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802E12" w14:textId="77777777" w:rsidR="00E20DC3" w:rsidRPr="00B61298" w:rsidRDefault="00E20DC3" w:rsidP="00E20DC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Start w:id="3" w:name="_Hlk108635099"/>
      <w:bookmarkStart w:id="4" w:name="_GoBack"/>
      <w:bookmarkEnd w:id="0"/>
      <w:bookmarkEnd w:id="4"/>
      <w:r w:rsidRPr="00B6129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7433FE" w14:textId="77777777" w:rsidR="00E20DC3" w:rsidRPr="00B61298" w:rsidRDefault="00E20DC3" w:rsidP="00E20DC3">
      <w:pPr>
        <w:jc w:val="both"/>
        <w:rPr>
          <w:rFonts w:ascii="Arial" w:hAnsi="Arial" w:cs="Arial"/>
          <w:sz w:val="20"/>
          <w:szCs w:val="20"/>
          <w:lang w:val="es-419" w:eastAsia="es-ES"/>
        </w:rPr>
      </w:pPr>
    </w:p>
    <w:p w14:paraId="6E06AC18" w14:textId="77777777" w:rsidR="00E20DC3" w:rsidRPr="00E20DC3" w:rsidRDefault="00E20DC3" w:rsidP="00E20DC3">
      <w:pPr>
        <w:jc w:val="both"/>
        <w:rPr>
          <w:rFonts w:ascii="Arial" w:eastAsia="Tahoma" w:hAnsi="Arial" w:cs="Arial"/>
          <w:color w:val="000000"/>
          <w:sz w:val="20"/>
          <w:szCs w:val="20"/>
        </w:rPr>
      </w:pPr>
      <w:r w:rsidRPr="00E20DC3">
        <w:rPr>
          <w:rFonts w:ascii="Arial" w:eastAsia="Tahoma" w:hAnsi="Arial" w:cs="Arial"/>
          <w:color w:val="000000"/>
          <w:sz w:val="20"/>
          <w:szCs w:val="20"/>
        </w:rPr>
        <w:t>Radicación No.:</w:t>
      </w:r>
      <w:r w:rsidRPr="00E20DC3">
        <w:rPr>
          <w:rFonts w:ascii="Arial" w:eastAsia="Tahoma" w:hAnsi="Arial" w:cs="Arial"/>
          <w:color w:val="000000"/>
          <w:sz w:val="20"/>
          <w:szCs w:val="20"/>
        </w:rPr>
        <w:tab/>
      </w:r>
      <w:r w:rsidRPr="00E20DC3">
        <w:rPr>
          <w:rFonts w:ascii="Arial" w:eastAsia="Tahoma" w:hAnsi="Arial" w:cs="Arial"/>
          <w:color w:val="000000"/>
          <w:sz w:val="20"/>
          <w:szCs w:val="20"/>
        </w:rPr>
        <w:tab/>
        <w:t>66001-31-05-002-2019-00157-01</w:t>
      </w:r>
    </w:p>
    <w:p w14:paraId="110511DA" w14:textId="77777777" w:rsidR="00E20DC3" w:rsidRPr="00E20DC3" w:rsidRDefault="00E20DC3" w:rsidP="00631EB0">
      <w:pPr>
        <w:jc w:val="both"/>
        <w:rPr>
          <w:rFonts w:ascii="Arial" w:eastAsia="Tahoma" w:hAnsi="Arial" w:cs="Arial"/>
          <w:color w:val="000000"/>
          <w:sz w:val="20"/>
          <w:szCs w:val="20"/>
        </w:rPr>
      </w:pPr>
      <w:r w:rsidRPr="00E20DC3">
        <w:rPr>
          <w:rFonts w:ascii="Arial" w:eastAsia="Tahoma" w:hAnsi="Arial" w:cs="Arial"/>
          <w:color w:val="000000"/>
          <w:sz w:val="20"/>
          <w:szCs w:val="20"/>
        </w:rPr>
        <w:t>Proceso:</w:t>
      </w:r>
      <w:r w:rsidRPr="00E20DC3">
        <w:rPr>
          <w:rFonts w:ascii="Arial" w:eastAsia="Tahoma" w:hAnsi="Arial" w:cs="Arial"/>
          <w:color w:val="000000"/>
          <w:sz w:val="20"/>
          <w:szCs w:val="20"/>
        </w:rPr>
        <w:tab/>
      </w:r>
      <w:r w:rsidRPr="00E20DC3">
        <w:rPr>
          <w:rFonts w:ascii="Arial" w:eastAsia="Tahoma" w:hAnsi="Arial" w:cs="Arial"/>
          <w:color w:val="000000"/>
          <w:sz w:val="20"/>
          <w:szCs w:val="20"/>
        </w:rPr>
        <w:tab/>
        <w:t>Ordinario laboral</w:t>
      </w:r>
    </w:p>
    <w:p w14:paraId="0A8A98DD" w14:textId="77777777" w:rsidR="00E20DC3" w:rsidRPr="00E20DC3" w:rsidRDefault="00E20DC3" w:rsidP="00631EB0">
      <w:pPr>
        <w:jc w:val="both"/>
        <w:rPr>
          <w:rFonts w:ascii="Arial" w:eastAsia="Tahoma" w:hAnsi="Arial" w:cs="Arial"/>
          <w:color w:val="000000"/>
          <w:sz w:val="20"/>
          <w:szCs w:val="20"/>
        </w:rPr>
      </w:pPr>
      <w:r w:rsidRPr="00E20DC3">
        <w:rPr>
          <w:rFonts w:ascii="Arial" w:eastAsia="Tahoma" w:hAnsi="Arial" w:cs="Arial"/>
          <w:color w:val="000000"/>
          <w:sz w:val="20"/>
          <w:szCs w:val="20"/>
        </w:rPr>
        <w:t>Demandante:</w:t>
      </w:r>
      <w:r w:rsidRPr="00E20DC3">
        <w:rPr>
          <w:rFonts w:ascii="Arial" w:eastAsia="Tahoma" w:hAnsi="Arial" w:cs="Arial"/>
          <w:color w:val="000000"/>
          <w:sz w:val="20"/>
          <w:szCs w:val="20"/>
        </w:rPr>
        <w:tab/>
      </w:r>
      <w:r w:rsidRPr="00E20DC3">
        <w:rPr>
          <w:rFonts w:ascii="Arial" w:eastAsia="Tahoma" w:hAnsi="Arial" w:cs="Arial"/>
          <w:color w:val="000000"/>
          <w:sz w:val="20"/>
          <w:szCs w:val="20"/>
        </w:rPr>
        <w:tab/>
        <w:t>Carmen Emilia Román de Acevedo</w:t>
      </w:r>
    </w:p>
    <w:p w14:paraId="02170066" w14:textId="73B6B210" w:rsidR="00E20DC3" w:rsidRPr="00E20DC3" w:rsidRDefault="00E20DC3" w:rsidP="00631EB0">
      <w:pPr>
        <w:jc w:val="both"/>
        <w:rPr>
          <w:rFonts w:ascii="Arial" w:eastAsia="Tahoma" w:hAnsi="Arial" w:cs="Arial"/>
          <w:color w:val="000000"/>
          <w:sz w:val="20"/>
          <w:szCs w:val="20"/>
        </w:rPr>
      </w:pPr>
      <w:r w:rsidRPr="00E20DC3">
        <w:rPr>
          <w:rFonts w:ascii="Arial" w:eastAsia="Tahoma" w:hAnsi="Arial" w:cs="Arial"/>
          <w:color w:val="000000"/>
          <w:sz w:val="20"/>
          <w:szCs w:val="20"/>
        </w:rPr>
        <w:t>Demandado:</w:t>
      </w:r>
      <w:r w:rsidRPr="00E20DC3">
        <w:rPr>
          <w:rFonts w:ascii="Arial" w:eastAsia="Tahoma" w:hAnsi="Arial" w:cs="Arial"/>
          <w:color w:val="000000"/>
          <w:sz w:val="20"/>
          <w:szCs w:val="20"/>
        </w:rPr>
        <w:tab/>
      </w:r>
      <w:r w:rsidRPr="00E20DC3">
        <w:rPr>
          <w:rFonts w:ascii="Arial" w:eastAsia="Tahoma" w:hAnsi="Arial" w:cs="Arial"/>
          <w:color w:val="000000"/>
          <w:sz w:val="20"/>
          <w:szCs w:val="20"/>
        </w:rPr>
        <w:tab/>
        <w:t>Colpensiones</w:t>
      </w:r>
    </w:p>
    <w:p w14:paraId="4776FFAD" w14:textId="69B5A719" w:rsidR="00E20DC3" w:rsidRPr="00E20DC3" w:rsidRDefault="00E20DC3" w:rsidP="00631EB0">
      <w:pPr>
        <w:jc w:val="both"/>
        <w:rPr>
          <w:rFonts w:ascii="Arial" w:eastAsia="Tahoma" w:hAnsi="Arial" w:cs="Arial"/>
          <w:color w:val="000000"/>
          <w:sz w:val="20"/>
          <w:szCs w:val="20"/>
        </w:rPr>
      </w:pPr>
      <w:r w:rsidRPr="00E20DC3">
        <w:rPr>
          <w:rFonts w:ascii="Arial" w:eastAsia="Tahoma" w:hAnsi="Arial" w:cs="Arial"/>
          <w:color w:val="000000"/>
          <w:sz w:val="20"/>
          <w:szCs w:val="20"/>
        </w:rPr>
        <w:t xml:space="preserve">Juzgado de origen: </w:t>
      </w:r>
      <w:r w:rsidRPr="00E20DC3">
        <w:rPr>
          <w:rFonts w:ascii="Arial" w:eastAsia="Tahoma" w:hAnsi="Arial" w:cs="Arial"/>
          <w:color w:val="000000"/>
          <w:sz w:val="20"/>
          <w:szCs w:val="20"/>
        </w:rPr>
        <w:tab/>
        <w:t>Juzgado Segundo Laboral del Circuito de Pereira</w:t>
      </w:r>
    </w:p>
    <w:p w14:paraId="6BF14D23" w14:textId="3B3B79A6" w:rsidR="00E20DC3" w:rsidRPr="00B61298" w:rsidRDefault="00E20DC3" w:rsidP="00E20DC3">
      <w:pPr>
        <w:jc w:val="both"/>
        <w:rPr>
          <w:rFonts w:ascii="Arial" w:eastAsia="Tahoma" w:hAnsi="Arial" w:cs="Arial"/>
          <w:color w:val="000000"/>
          <w:sz w:val="20"/>
          <w:szCs w:val="20"/>
        </w:rPr>
      </w:pPr>
      <w:r w:rsidRPr="00E20DC3">
        <w:rPr>
          <w:rFonts w:ascii="Arial" w:eastAsia="Tahoma" w:hAnsi="Arial" w:cs="Arial"/>
          <w:color w:val="000000"/>
          <w:sz w:val="20"/>
          <w:szCs w:val="20"/>
        </w:rPr>
        <w:t>Magistrada ponente:</w:t>
      </w:r>
      <w:r w:rsidRPr="00E20DC3">
        <w:rPr>
          <w:rFonts w:ascii="Arial" w:eastAsia="Tahoma" w:hAnsi="Arial" w:cs="Arial"/>
          <w:color w:val="000000"/>
          <w:sz w:val="20"/>
          <w:szCs w:val="20"/>
        </w:rPr>
        <w:tab/>
        <w:t>Dra. Ana Lucía Caicedo Calderón</w:t>
      </w:r>
    </w:p>
    <w:p w14:paraId="2329354C" w14:textId="77777777" w:rsidR="00E20DC3" w:rsidRPr="00B61298" w:rsidRDefault="00E20DC3" w:rsidP="00E20DC3">
      <w:pPr>
        <w:jc w:val="both"/>
        <w:rPr>
          <w:rFonts w:ascii="Arial" w:eastAsia="Tahoma" w:hAnsi="Arial" w:cs="Arial"/>
          <w:color w:val="000000"/>
          <w:sz w:val="20"/>
          <w:szCs w:val="20"/>
        </w:rPr>
      </w:pPr>
    </w:p>
    <w:bookmarkEnd w:id="1"/>
    <w:bookmarkEnd w:id="2"/>
    <w:bookmarkEnd w:id="3"/>
    <w:p w14:paraId="469983C2" w14:textId="77777777" w:rsidR="00B23F1E" w:rsidRPr="00B23F1E" w:rsidRDefault="00B23F1E" w:rsidP="00B23F1E">
      <w:pPr>
        <w:widowControl w:val="0"/>
        <w:autoSpaceDE w:val="0"/>
        <w:autoSpaceDN w:val="0"/>
        <w:adjustRightInd w:val="0"/>
        <w:jc w:val="both"/>
        <w:rPr>
          <w:rFonts w:ascii="Tahoma" w:hAnsi="Tahoma" w:cs="Tahoma"/>
          <w:sz w:val="18"/>
          <w:szCs w:val="18"/>
          <w:lang w:eastAsia="es-ES"/>
        </w:rPr>
      </w:pPr>
      <w:r w:rsidRPr="00B23F1E">
        <w:rPr>
          <w:rFonts w:ascii="Arial" w:hAnsi="Arial" w:cs="Arial"/>
          <w:b/>
          <w:bCs/>
          <w:iCs/>
          <w:sz w:val="20"/>
          <w:szCs w:val="20"/>
          <w:u w:val="single"/>
          <w:lang w:val="es-419" w:eastAsia="fr-FR"/>
        </w:rPr>
        <w:t>TEMAS</w:t>
      </w:r>
      <w:r w:rsidRPr="00B23F1E">
        <w:rPr>
          <w:rFonts w:ascii="Arial" w:hAnsi="Arial" w:cs="Arial"/>
          <w:b/>
          <w:bCs/>
          <w:iCs/>
          <w:sz w:val="20"/>
          <w:szCs w:val="20"/>
          <w:u w:val="single"/>
          <w:lang w:val="es-419" w:eastAsia="fr-FR"/>
        </w:rPr>
        <w:tab/>
        <w:t>:</w:t>
      </w:r>
      <w:r w:rsidRPr="00B23F1E">
        <w:rPr>
          <w:rFonts w:ascii="Arial" w:hAnsi="Arial" w:cs="Arial"/>
          <w:b/>
          <w:bCs/>
          <w:iCs/>
          <w:sz w:val="20"/>
          <w:szCs w:val="20"/>
          <w:lang w:val="es-419" w:eastAsia="fr-FR"/>
        </w:rPr>
        <w:tab/>
        <w:t>PENSIÓN DE VEJEZ / CONVENIO DE SEGURIDAD SOCIAL ENTRE COLOMBIA Y ESPAÑA / LEY 1112 DE 2016 / APLICACIÓN / A LOS DOS RÉGIMENES DE SEGURIDAD SOCIAL EN PENSIONES VIGENTES / INCLUIDOS LOS BENEFICIARIOS DEL RÉGIMEN DE TRANSICIÓN.</w:t>
      </w:r>
    </w:p>
    <w:p w14:paraId="0A608A5D" w14:textId="77777777" w:rsidR="00B23F1E" w:rsidRPr="00B23F1E" w:rsidRDefault="00B23F1E" w:rsidP="00B23F1E">
      <w:pPr>
        <w:jc w:val="both"/>
        <w:rPr>
          <w:rFonts w:ascii="Arial" w:hAnsi="Arial" w:cs="Arial"/>
          <w:sz w:val="20"/>
          <w:szCs w:val="20"/>
          <w:lang w:val="es-419" w:eastAsia="es-ES"/>
        </w:rPr>
      </w:pPr>
    </w:p>
    <w:p w14:paraId="34A8BFF1" w14:textId="77777777" w:rsidR="00B23F1E" w:rsidRPr="00B23F1E" w:rsidRDefault="00B23F1E" w:rsidP="00B23F1E">
      <w:pPr>
        <w:jc w:val="both"/>
        <w:rPr>
          <w:rFonts w:ascii="Arial" w:hAnsi="Arial" w:cs="Arial"/>
          <w:sz w:val="20"/>
          <w:szCs w:val="20"/>
          <w:lang w:val="es-419" w:eastAsia="es-ES"/>
        </w:rPr>
      </w:pPr>
      <w:r w:rsidRPr="00B23F1E">
        <w:rPr>
          <w:rFonts w:ascii="Arial" w:hAnsi="Arial" w:cs="Arial"/>
          <w:sz w:val="20"/>
          <w:szCs w:val="20"/>
          <w:lang w:val="es-419" w:eastAsia="es-ES"/>
        </w:rPr>
        <w:t>… el artículo 2º del Convenio enmarcado en la Ley 1112 de 2016 establece que este se aplicará a la legislación relativa a las prestaciones económicas dispuestas en el Sistema General de Pensiones (Prima Media con Prestación Definida y Ahorro Individual con Solidaridad), en cuanto a vejez, invalidez y sobrevivientes…</w:t>
      </w:r>
    </w:p>
    <w:p w14:paraId="48D85632" w14:textId="77777777" w:rsidR="00B23F1E" w:rsidRPr="00B23F1E" w:rsidRDefault="00B23F1E" w:rsidP="00B23F1E">
      <w:pPr>
        <w:jc w:val="both"/>
        <w:rPr>
          <w:rFonts w:ascii="Arial" w:hAnsi="Arial" w:cs="Arial"/>
          <w:sz w:val="20"/>
          <w:szCs w:val="20"/>
          <w:lang w:val="es-419" w:eastAsia="es-ES"/>
        </w:rPr>
      </w:pPr>
    </w:p>
    <w:p w14:paraId="2E6F873E" w14:textId="77777777" w:rsidR="00B23F1E" w:rsidRPr="00B23F1E" w:rsidRDefault="00B23F1E" w:rsidP="00B23F1E">
      <w:pPr>
        <w:jc w:val="both"/>
        <w:rPr>
          <w:rFonts w:ascii="Arial" w:hAnsi="Arial" w:cs="Arial"/>
          <w:sz w:val="20"/>
          <w:szCs w:val="20"/>
          <w:lang w:val="es-419" w:eastAsia="es-ES"/>
        </w:rPr>
      </w:pPr>
      <w:r w:rsidRPr="00B23F1E">
        <w:rPr>
          <w:rFonts w:ascii="Arial" w:hAnsi="Arial" w:cs="Arial"/>
          <w:sz w:val="20"/>
          <w:szCs w:val="20"/>
          <w:lang w:val="es-419" w:eastAsia="es-ES"/>
        </w:rPr>
        <w:t>En ese orden de ideas, es del caso resaltar que el Sistema General de Pensiones tiene por objeto garantizar a la población el amparo contra las contingencias derivadas de la vejez, la invalidez y la muerte, mediante el reconocimiento de las pensiones y prestaciones en él establecidas, así como propender por la ampliación progresiva de cobertura a los segmentos de población no cubiertos con un sistema de pensiones…</w:t>
      </w:r>
    </w:p>
    <w:p w14:paraId="07A42F84" w14:textId="77777777" w:rsidR="00B23F1E" w:rsidRPr="00B23F1E" w:rsidRDefault="00B23F1E" w:rsidP="00B23F1E">
      <w:pPr>
        <w:jc w:val="both"/>
        <w:rPr>
          <w:rFonts w:ascii="Arial" w:hAnsi="Arial" w:cs="Arial"/>
          <w:sz w:val="20"/>
          <w:szCs w:val="20"/>
          <w:lang w:val="es-419" w:eastAsia="es-ES"/>
        </w:rPr>
      </w:pPr>
    </w:p>
    <w:p w14:paraId="40BF9433" w14:textId="77777777" w:rsidR="00B23F1E" w:rsidRPr="00B23F1E" w:rsidRDefault="00B23F1E" w:rsidP="00B23F1E">
      <w:pPr>
        <w:jc w:val="both"/>
        <w:rPr>
          <w:rFonts w:ascii="Arial" w:hAnsi="Arial" w:cs="Arial"/>
          <w:sz w:val="20"/>
          <w:szCs w:val="20"/>
          <w:lang w:val="es-419" w:eastAsia="es-ES"/>
        </w:rPr>
      </w:pPr>
      <w:r w:rsidRPr="00B23F1E">
        <w:rPr>
          <w:rFonts w:ascii="Arial" w:hAnsi="Arial" w:cs="Arial"/>
          <w:sz w:val="20"/>
          <w:szCs w:val="20"/>
          <w:lang w:val="es-419" w:eastAsia="es-ES"/>
        </w:rPr>
        <w:t>El régimen de Prima Media con Prestación Definida es definido en el artículo 31 de la citada Ley 100 de 1993, como aquel mediante el cual los afiliados o sus beneficiarios obtienen una pensión de vejez, de invalidez o de sobrevivientes, o una indemnización, previamente definidas, de acuerdo con lo previsto en el Título II de la Ley 100 de 1993 y se previene en el mismo precepto, que serán aplicables a este régimen las disposiciones vigentes para los seguros de invalidez, vejez y muerte a cargo del Instituto de Seguros Sociales…</w:t>
      </w:r>
    </w:p>
    <w:p w14:paraId="10A539AE" w14:textId="77777777" w:rsidR="00B23F1E" w:rsidRPr="00B23F1E" w:rsidRDefault="00B23F1E" w:rsidP="00B23F1E">
      <w:pPr>
        <w:jc w:val="both"/>
        <w:rPr>
          <w:rFonts w:ascii="Arial" w:hAnsi="Arial" w:cs="Arial"/>
          <w:sz w:val="20"/>
          <w:szCs w:val="20"/>
          <w:lang w:val="es-419" w:eastAsia="es-ES"/>
        </w:rPr>
      </w:pPr>
    </w:p>
    <w:p w14:paraId="2DA270D3" w14:textId="77777777" w:rsidR="00B23F1E" w:rsidRPr="00B23F1E" w:rsidRDefault="00B23F1E" w:rsidP="00B23F1E">
      <w:pPr>
        <w:jc w:val="both"/>
        <w:rPr>
          <w:rFonts w:ascii="Arial" w:hAnsi="Arial" w:cs="Arial"/>
          <w:sz w:val="20"/>
          <w:szCs w:val="20"/>
          <w:lang w:val="es-419" w:eastAsia="es-ES"/>
        </w:rPr>
      </w:pPr>
      <w:r w:rsidRPr="00B23F1E">
        <w:rPr>
          <w:rFonts w:ascii="Arial" w:hAnsi="Arial" w:cs="Arial"/>
          <w:sz w:val="20"/>
          <w:szCs w:val="20"/>
          <w:lang w:val="es-419" w:eastAsia="es-ES"/>
        </w:rPr>
        <w:t>Con apoyo en las anteriores premisas normativas, se puede concluir que las pensiones de vejez concedidas con las condiciones del Acuerdo 049 de 1990, bajo el abrigo del régimen de transición, deben entenderse incorporadas al Sistema Integral de Seguridad Social concebido a partir de la expedición de la Ley 100 de 1993… En tal virtud, para efectos de acumular la densidad mínima de semanas exigidas en el Acuerdo 049 de 1990… resulta procedente la aplicación del Convenio de Seguridad Social celebrado entre Colombia y el Reino de España…</w:t>
      </w:r>
    </w:p>
    <w:p w14:paraId="4BCF135C" w14:textId="77777777" w:rsidR="00B23F1E" w:rsidRPr="00B23F1E" w:rsidRDefault="00B23F1E" w:rsidP="00B23F1E">
      <w:pPr>
        <w:jc w:val="both"/>
        <w:rPr>
          <w:rFonts w:ascii="Arial" w:hAnsi="Arial" w:cs="Arial"/>
          <w:sz w:val="20"/>
          <w:szCs w:val="20"/>
          <w:lang w:val="es-419" w:eastAsia="es-ES"/>
        </w:rPr>
      </w:pPr>
    </w:p>
    <w:p w14:paraId="62269FEA" w14:textId="1B24077C" w:rsidR="00B23F1E" w:rsidRDefault="00E60A95" w:rsidP="00B23F1E">
      <w:pPr>
        <w:jc w:val="both"/>
        <w:rPr>
          <w:rFonts w:ascii="Arial" w:hAnsi="Arial" w:cs="Arial"/>
          <w:sz w:val="20"/>
          <w:szCs w:val="20"/>
          <w:lang w:val="es-419" w:eastAsia="es-ES"/>
        </w:rPr>
      </w:pPr>
      <w:r w:rsidRPr="00E60A95">
        <w:rPr>
          <w:rFonts w:ascii="Arial" w:hAnsi="Arial" w:cs="Arial"/>
          <w:sz w:val="20"/>
          <w:szCs w:val="20"/>
          <w:lang w:val="es-419" w:eastAsia="es-ES"/>
        </w:rPr>
        <w:t>Cabe agregar, que al respecto tiene fijado la Sala de Casación Laboral de la Corte Suprema de Justicia que “las pensiones otorgadas con base en los Acuerdos del ISS, quedaron integradas al régimen de prima media con prestación definida, previsto en la Ley 100 de 1993”.</w:t>
      </w:r>
    </w:p>
    <w:p w14:paraId="36F8D851" w14:textId="038F7246" w:rsidR="00E60A95" w:rsidRDefault="00E60A95" w:rsidP="00B23F1E">
      <w:pPr>
        <w:jc w:val="both"/>
        <w:rPr>
          <w:rFonts w:ascii="Arial" w:hAnsi="Arial" w:cs="Arial"/>
          <w:sz w:val="20"/>
          <w:szCs w:val="20"/>
          <w:lang w:val="es-419" w:eastAsia="es-ES"/>
        </w:rPr>
      </w:pPr>
    </w:p>
    <w:p w14:paraId="311F888D" w14:textId="77777777" w:rsidR="00E60A95" w:rsidRPr="00B23F1E" w:rsidRDefault="00E60A95" w:rsidP="00B23F1E">
      <w:pPr>
        <w:jc w:val="both"/>
        <w:rPr>
          <w:rFonts w:ascii="Arial" w:hAnsi="Arial" w:cs="Arial"/>
          <w:sz w:val="20"/>
          <w:szCs w:val="20"/>
          <w:lang w:val="es-419" w:eastAsia="es-ES"/>
        </w:rPr>
      </w:pPr>
    </w:p>
    <w:p w14:paraId="7ED1B8A2" w14:textId="77777777" w:rsidR="00B23F1E" w:rsidRPr="00B23F1E" w:rsidRDefault="00B23F1E" w:rsidP="00B23F1E">
      <w:pPr>
        <w:jc w:val="both"/>
        <w:rPr>
          <w:rFonts w:ascii="Arial" w:hAnsi="Arial" w:cs="Arial"/>
          <w:sz w:val="20"/>
          <w:szCs w:val="20"/>
          <w:lang w:val="es-419" w:eastAsia="es-ES"/>
        </w:rPr>
      </w:pPr>
    </w:p>
    <w:p w14:paraId="4B57126B" w14:textId="77777777" w:rsidR="008C0B82" w:rsidRPr="00631EB0" w:rsidRDefault="00B00BC8" w:rsidP="00631EB0">
      <w:pPr>
        <w:spacing w:line="276" w:lineRule="auto"/>
        <w:jc w:val="center"/>
        <w:rPr>
          <w:rFonts w:ascii="Tahoma" w:eastAsia="Tahoma" w:hAnsi="Tahoma" w:cs="Tahoma"/>
          <w:b/>
          <w:color w:val="000000"/>
        </w:rPr>
      </w:pPr>
      <w:r w:rsidRPr="00631EB0">
        <w:rPr>
          <w:rFonts w:ascii="Tahoma" w:eastAsia="Tahoma" w:hAnsi="Tahoma" w:cs="Tahoma"/>
          <w:b/>
          <w:color w:val="000000"/>
        </w:rPr>
        <w:t xml:space="preserve">TRIBUNAL SUPERIOR DEL DISTRITO JUDICIAL DE PEREIRA </w:t>
      </w:r>
    </w:p>
    <w:p w14:paraId="666A7BEB" w14:textId="77777777" w:rsidR="008C0B82" w:rsidRPr="00631EB0" w:rsidRDefault="00B00BC8" w:rsidP="00631EB0">
      <w:pPr>
        <w:spacing w:line="276" w:lineRule="auto"/>
        <w:jc w:val="center"/>
        <w:rPr>
          <w:rFonts w:ascii="Tahoma" w:eastAsia="Quattrocento Sans" w:hAnsi="Tahoma" w:cs="Tahoma"/>
        </w:rPr>
      </w:pPr>
      <w:r w:rsidRPr="00631EB0">
        <w:rPr>
          <w:rFonts w:ascii="Tahoma" w:eastAsia="Tahoma" w:hAnsi="Tahoma" w:cs="Tahoma"/>
          <w:b/>
          <w:color w:val="000000"/>
        </w:rPr>
        <w:t xml:space="preserve">SALA PRIMERA DE DECISION LABORAL </w:t>
      </w:r>
      <w:r w:rsidRPr="00631EB0">
        <w:rPr>
          <w:rFonts w:ascii="Tahoma" w:eastAsia="Tahoma" w:hAnsi="Tahoma" w:cs="Tahoma"/>
          <w:color w:val="000000"/>
        </w:rPr>
        <w:t> </w:t>
      </w:r>
    </w:p>
    <w:p w14:paraId="1E20D98A" w14:textId="74C4E04E" w:rsidR="008C0B82" w:rsidRPr="00631EB0" w:rsidRDefault="008C0B82" w:rsidP="00631EB0">
      <w:pPr>
        <w:spacing w:line="276" w:lineRule="auto"/>
        <w:rPr>
          <w:rFonts w:ascii="Tahoma" w:eastAsia="Quattrocento Sans" w:hAnsi="Tahoma" w:cs="Tahoma"/>
        </w:rPr>
      </w:pPr>
    </w:p>
    <w:p w14:paraId="6D463D93" w14:textId="77777777" w:rsidR="008C0B82" w:rsidRPr="00631EB0" w:rsidRDefault="00B00BC8" w:rsidP="00631EB0">
      <w:pPr>
        <w:spacing w:line="276" w:lineRule="auto"/>
        <w:jc w:val="center"/>
        <w:rPr>
          <w:rFonts w:ascii="Tahoma" w:eastAsia="Quattrocento Sans" w:hAnsi="Tahoma" w:cs="Tahoma"/>
        </w:rPr>
      </w:pPr>
      <w:r w:rsidRPr="00631EB0">
        <w:rPr>
          <w:rFonts w:ascii="Tahoma" w:eastAsia="Tahoma" w:hAnsi="Tahoma" w:cs="Tahoma"/>
          <w:color w:val="000000"/>
        </w:rPr>
        <w:t>Magistrada Ponente: </w:t>
      </w:r>
      <w:r w:rsidRPr="00631EB0">
        <w:rPr>
          <w:rFonts w:ascii="Tahoma" w:eastAsia="Tahoma" w:hAnsi="Tahoma" w:cs="Tahoma"/>
          <w:b/>
          <w:color w:val="000000"/>
        </w:rPr>
        <w:t>Ana Lucía Caicedo Calderón</w:t>
      </w:r>
      <w:r w:rsidRPr="00631EB0">
        <w:rPr>
          <w:rFonts w:ascii="Tahoma" w:eastAsia="Tahoma" w:hAnsi="Tahoma" w:cs="Tahoma"/>
          <w:color w:val="000000"/>
        </w:rPr>
        <w:t> </w:t>
      </w:r>
    </w:p>
    <w:p w14:paraId="3AB52451" w14:textId="4F471386" w:rsidR="008C0B82" w:rsidRPr="00631EB0" w:rsidRDefault="008C0B82" w:rsidP="00631EB0">
      <w:pPr>
        <w:spacing w:line="276" w:lineRule="auto"/>
        <w:rPr>
          <w:rFonts w:ascii="Tahoma" w:eastAsia="Quattrocento Sans" w:hAnsi="Tahoma" w:cs="Tahoma"/>
        </w:rPr>
      </w:pPr>
    </w:p>
    <w:p w14:paraId="523F1144" w14:textId="78672C22" w:rsidR="008C0B82" w:rsidRPr="00631EB0" w:rsidRDefault="00B00BC8" w:rsidP="00631EB0">
      <w:pPr>
        <w:pBdr>
          <w:top w:val="nil"/>
          <w:left w:val="nil"/>
          <w:bottom w:val="nil"/>
          <w:right w:val="nil"/>
          <w:between w:val="nil"/>
        </w:pBdr>
        <w:spacing w:line="276" w:lineRule="auto"/>
        <w:ind w:firstLine="705"/>
        <w:jc w:val="center"/>
        <w:rPr>
          <w:rFonts w:ascii="Tahoma" w:eastAsia="Quattrocento Sans" w:hAnsi="Tahoma" w:cs="Tahoma"/>
        </w:rPr>
      </w:pPr>
      <w:bookmarkStart w:id="5" w:name="_Hlk101946939"/>
      <w:r w:rsidRPr="00631EB0">
        <w:rPr>
          <w:rFonts w:ascii="Tahoma" w:eastAsia="Tahoma" w:hAnsi="Tahoma" w:cs="Tahoma"/>
        </w:rPr>
        <w:t xml:space="preserve">Pereira, Risaralda, </w:t>
      </w:r>
      <w:r w:rsidR="000D66A3" w:rsidRPr="00631EB0">
        <w:rPr>
          <w:rFonts w:ascii="Tahoma" w:eastAsia="Tahoma" w:hAnsi="Tahoma" w:cs="Tahoma"/>
        </w:rPr>
        <w:t>primero</w:t>
      </w:r>
      <w:r w:rsidRPr="00631EB0">
        <w:rPr>
          <w:rFonts w:ascii="Tahoma" w:eastAsia="Tahoma" w:hAnsi="Tahoma" w:cs="Tahoma"/>
        </w:rPr>
        <w:t xml:space="preserve"> (</w:t>
      </w:r>
      <w:r w:rsidR="000D66A3" w:rsidRPr="00631EB0">
        <w:rPr>
          <w:rFonts w:ascii="Tahoma" w:eastAsia="Tahoma" w:hAnsi="Tahoma" w:cs="Tahoma"/>
        </w:rPr>
        <w:t>01</w:t>
      </w:r>
      <w:r w:rsidRPr="00631EB0">
        <w:rPr>
          <w:rFonts w:ascii="Tahoma" w:eastAsia="Tahoma" w:hAnsi="Tahoma" w:cs="Tahoma"/>
        </w:rPr>
        <w:t>) de</w:t>
      </w:r>
      <w:r w:rsidR="00F76442" w:rsidRPr="00631EB0">
        <w:rPr>
          <w:rFonts w:ascii="Tahoma" w:eastAsia="Tahoma" w:hAnsi="Tahoma" w:cs="Tahoma"/>
        </w:rPr>
        <w:t xml:space="preserve"> </w:t>
      </w:r>
      <w:r w:rsidR="000D66A3" w:rsidRPr="00631EB0">
        <w:rPr>
          <w:rFonts w:ascii="Tahoma" w:eastAsia="Tahoma" w:hAnsi="Tahoma" w:cs="Tahoma"/>
        </w:rPr>
        <w:t>agosto</w:t>
      </w:r>
      <w:r w:rsidRPr="00631EB0">
        <w:rPr>
          <w:rFonts w:ascii="Tahoma" w:eastAsia="Tahoma" w:hAnsi="Tahoma" w:cs="Tahoma"/>
        </w:rPr>
        <w:t xml:space="preserve"> de dos mil veintidós (2022)</w:t>
      </w:r>
    </w:p>
    <w:p w14:paraId="58862F60" w14:textId="1E40E18B" w:rsidR="008C0B82" w:rsidRPr="00631EB0" w:rsidRDefault="00B00BC8" w:rsidP="00631EB0">
      <w:pPr>
        <w:pBdr>
          <w:top w:val="nil"/>
          <w:left w:val="nil"/>
          <w:bottom w:val="nil"/>
          <w:right w:val="nil"/>
          <w:between w:val="nil"/>
        </w:pBdr>
        <w:spacing w:line="276" w:lineRule="auto"/>
        <w:ind w:firstLine="705"/>
        <w:jc w:val="center"/>
        <w:rPr>
          <w:rFonts w:ascii="Tahoma" w:eastAsia="Quattrocento Sans" w:hAnsi="Tahoma" w:cs="Tahoma"/>
        </w:rPr>
      </w:pPr>
      <w:r w:rsidRPr="00631EB0">
        <w:rPr>
          <w:rFonts w:ascii="Tahoma" w:eastAsia="Tahoma" w:hAnsi="Tahoma" w:cs="Tahoma"/>
        </w:rPr>
        <w:t>Acta No. __ del</w:t>
      </w:r>
      <w:r w:rsidR="00036567" w:rsidRPr="00631EB0">
        <w:rPr>
          <w:rFonts w:ascii="Tahoma" w:eastAsia="Tahoma" w:hAnsi="Tahoma" w:cs="Tahoma"/>
        </w:rPr>
        <w:t xml:space="preserve"> 2</w:t>
      </w:r>
      <w:r w:rsidR="000D66A3" w:rsidRPr="00631EB0">
        <w:rPr>
          <w:rFonts w:ascii="Tahoma" w:eastAsia="Tahoma" w:hAnsi="Tahoma" w:cs="Tahoma"/>
        </w:rPr>
        <w:t>8</w:t>
      </w:r>
      <w:r w:rsidRPr="00631EB0">
        <w:rPr>
          <w:rFonts w:ascii="Tahoma" w:eastAsia="Tahoma" w:hAnsi="Tahoma" w:cs="Tahoma"/>
        </w:rPr>
        <w:t xml:space="preserve"> de </w:t>
      </w:r>
      <w:r w:rsidR="00F76442" w:rsidRPr="00631EB0">
        <w:rPr>
          <w:rFonts w:ascii="Tahoma" w:eastAsia="Tahoma" w:hAnsi="Tahoma" w:cs="Tahoma"/>
        </w:rPr>
        <w:t>julio</w:t>
      </w:r>
      <w:r w:rsidRPr="00631EB0">
        <w:rPr>
          <w:rFonts w:ascii="Tahoma" w:eastAsia="Tahoma" w:hAnsi="Tahoma" w:cs="Tahoma"/>
        </w:rPr>
        <w:t xml:space="preserve"> de 2022 </w:t>
      </w:r>
    </w:p>
    <w:bookmarkEnd w:id="5"/>
    <w:p w14:paraId="2ED44F44" w14:textId="29E79025" w:rsidR="008C0B82" w:rsidRPr="00631EB0" w:rsidRDefault="008C0B82" w:rsidP="00631EB0">
      <w:pPr>
        <w:pBdr>
          <w:top w:val="nil"/>
          <w:left w:val="nil"/>
          <w:bottom w:val="nil"/>
          <w:right w:val="nil"/>
          <w:between w:val="nil"/>
        </w:pBdr>
        <w:spacing w:line="276" w:lineRule="auto"/>
        <w:rPr>
          <w:rFonts w:ascii="Tahoma" w:hAnsi="Tahoma" w:cs="Tahoma"/>
          <w:color w:val="000000"/>
        </w:rPr>
      </w:pPr>
    </w:p>
    <w:p w14:paraId="05473709" w14:textId="77777777" w:rsidR="00296472" w:rsidRPr="00631EB0" w:rsidRDefault="00296472" w:rsidP="00631EB0">
      <w:pPr>
        <w:pBdr>
          <w:top w:val="nil"/>
          <w:left w:val="nil"/>
          <w:bottom w:val="nil"/>
          <w:right w:val="nil"/>
          <w:between w:val="nil"/>
        </w:pBdr>
        <w:spacing w:line="276" w:lineRule="auto"/>
        <w:rPr>
          <w:rFonts w:ascii="Tahoma" w:hAnsi="Tahoma" w:cs="Tahoma"/>
          <w:color w:val="000000"/>
        </w:rPr>
      </w:pPr>
    </w:p>
    <w:p w14:paraId="21F1B1EE" w14:textId="4AC99905" w:rsidR="008C0B82" w:rsidRPr="00631EB0" w:rsidRDefault="006D2B57" w:rsidP="00631EB0">
      <w:pPr>
        <w:spacing w:line="276" w:lineRule="auto"/>
        <w:ind w:firstLine="708"/>
        <w:jc w:val="both"/>
        <w:rPr>
          <w:rFonts w:ascii="Tahoma" w:eastAsia="Tahoma" w:hAnsi="Tahoma" w:cs="Tahoma"/>
        </w:rPr>
      </w:pPr>
      <w:r w:rsidRPr="00631EB0">
        <w:rPr>
          <w:rFonts w:ascii="Tahoma" w:eastAsia="Tahoma" w:hAnsi="Tahoma" w:cs="Tahoma"/>
          <w:color w:val="000000" w:themeColor="text1"/>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w:t>
      </w:r>
      <w:r w:rsidRPr="00631EB0">
        <w:rPr>
          <w:rFonts w:ascii="Tahoma" w:eastAsia="Tahoma" w:hAnsi="Tahoma" w:cs="Tahoma"/>
          <w:color w:val="000000" w:themeColor="text1"/>
        </w:rPr>
        <w:lastRenderedPageBreak/>
        <w:t xml:space="preserve">de Pereira, integrada por las Magistradas ANA LUCÍA CAICEDO CALDERÓN como Ponente, OLGA LUCÍA HOYOS SEPÚLVEDA y el Magistrado GERMÁN DARÍO GÓEZ VINASCO, procede a proferir la siguiente sentencia escrita dentro del proceso </w:t>
      </w:r>
      <w:r w:rsidRPr="00631EB0">
        <w:rPr>
          <w:rFonts w:ascii="Tahoma" w:eastAsia="Tahoma" w:hAnsi="Tahoma" w:cs="Tahoma"/>
          <w:b/>
          <w:color w:val="000000" w:themeColor="text1"/>
        </w:rPr>
        <w:t>ordinario laboral</w:t>
      </w:r>
      <w:r w:rsidRPr="00631EB0">
        <w:rPr>
          <w:rFonts w:ascii="Tahoma" w:eastAsia="Tahoma" w:hAnsi="Tahoma" w:cs="Tahoma"/>
          <w:color w:val="000000" w:themeColor="text1"/>
        </w:rPr>
        <w:t xml:space="preserve"> instaurado po</w:t>
      </w:r>
      <w:r w:rsidR="003B4C1F" w:rsidRPr="00631EB0">
        <w:rPr>
          <w:rFonts w:ascii="Tahoma" w:eastAsia="Tahoma" w:hAnsi="Tahoma" w:cs="Tahoma"/>
          <w:color w:val="000000" w:themeColor="text1"/>
        </w:rPr>
        <w:t xml:space="preserve">r </w:t>
      </w:r>
      <w:r w:rsidR="00631EB0" w:rsidRPr="00631EB0">
        <w:rPr>
          <w:rFonts w:ascii="Tahoma" w:eastAsia="Tahoma" w:hAnsi="Tahoma" w:cs="Tahoma"/>
          <w:b/>
          <w:bCs/>
          <w:color w:val="000000" w:themeColor="text1"/>
        </w:rPr>
        <w:t xml:space="preserve">Carmen Emilia Román de Acevedo </w:t>
      </w:r>
      <w:r w:rsidR="00B00BC8" w:rsidRPr="00631EB0">
        <w:rPr>
          <w:rFonts w:ascii="Tahoma" w:eastAsia="Tahoma" w:hAnsi="Tahoma" w:cs="Tahoma"/>
        </w:rPr>
        <w:t xml:space="preserve">en contra de </w:t>
      </w:r>
      <w:r w:rsidR="00631EB0" w:rsidRPr="00631EB0">
        <w:rPr>
          <w:rFonts w:ascii="Tahoma" w:eastAsia="Tahoma" w:hAnsi="Tahoma" w:cs="Tahoma"/>
          <w:b/>
          <w:bCs/>
        </w:rPr>
        <w:t>Colpensiones</w:t>
      </w:r>
      <w:r w:rsidR="003B4C1F" w:rsidRPr="00631EB0">
        <w:rPr>
          <w:rFonts w:ascii="Tahoma" w:eastAsia="Tahoma" w:hAnsi="Tahoma" w:cs="Tahoma"/>
          <w:b/>
          <w:bCs/>
        </w:rPr>
        <w:t>.</w:t>
      </w:r>
    </w:p>
    <w:p w14:paraId="48249D55" w14:textId="5786D7D3" w:rsidR="19436D80" w:rsidRPr="00631EB0" w:rsidRDefault="19436D80" w:rsidP="00631EB0">
      <w:pPr>
        <w:spacing w:line="276" w:lineRule="auto"/>
        <w:ind w:firstLine="708"/>
        <w:jc w:val="both"/>
        <w:rPr>
          <w:rFonts w:ascii="Tahoma" w:eastAsia="Tahoma" w:hAnsi="Tahoma" w:cs="Tahoma"/>
          <w:b/>
          <w:bCs/>
        </w:rPr>
      </w:pPr>
    </w:p>
    <w:p w14:paraId="6B1294D6" w14:textId="77777777" w:rsidR="00573359" w:rsidRPr="00631EB0" w:rsidRDefault="00573359" w:rsidP="00631EB0">
      <w:pPr>
        <w:spacing w:line="276" w:lineRule="auto"/>
        <w:ind w:firstLine="708"/>
        <w:jc w:val="both"/>
        <w:rPr>
          <w:rFonts w:ascii="Tahoma" w:eastAsia="Tahoma" w:hAnsi="Tahoma" w:cs="Tahoma"/>
          <w:b/>
          <w:bCs/>
        </w:rPr>
      </w:pPr>
    </w:p>
    <w:p w14:paraId="1DB02293" w14:textId="7AA106AB" w:rsidR="19436D80" w:rsidRPr="00631EB0" w:rsidRDefault="19436D80" w:rsidP="00631EB0">
      <w:pPr>
        <w:spacing w:line="276" w:lineRule="auto"/>
        <w:jc w:val="center"/>
        <w:rPr>
          <w:rFonts w:ascii="Tahoma" w:hAnsi="Tahoma" w:cs="Tahoma"/>
        </w:rPr>
      </w:pPr>
      <w:r w:rsidRPr="00631EB0">
        <w:rPr>
          <w:rFonts w:ascii="Tahoma" w:eastAsia="Tahoma" w:hAnsi="Tahoma" w:cs="Tahoma"/>
          <w:b/>
          <w:bCs/>
          <w:lang w:val="es"/>
        </w:rPr>
        <w:t>AUTO</w:t>
      </w:r>
    </w:p>
    <w:p w14:paraId="22B057F4" w14:textId="582C37B8" w:rsidR="19436D80" w:rsidRPr="00631EB0" w:rsidRDefault="19436D80" w:rsidP="00631EB0">
      <w:pPr>
        <w:spacing w:line="276" w:lineRule="auto"/>
        <w:ind w:firstLine="708"/>
        <w:jc w:val="both"/>
        <w:rPr>
          <w:rFonts w:ascii="Tahoma" w:eastAsia="Tahoma" w:hAnsi="Tahoma" w:cs="Tahoma"/>
          <w:b/>
          <w:bCs/>
          <w:lang w:val="es"/>
        </w:rPr>
      </w:pPr>
      <w:r w:rsidRPr="00631EB0">
        <w:rPr>
          <w:rFonts w:ascii="Tahoma" w:eastAsia="Tahoma" w:hAnsi="Tahoma" w:cs="Tahoma"/>
          <w:b/>
          <w:bCs/>
          <w:lang w:val="es"/>
        </w:rPr>
        <w:t xml:space="preserve"> </w:t>
      </w:r>
    </w:p>
    <w:p w14:paraId="6B9B87A1" w14:textId="66511066" w:rsidR="19436D80" w:rsidRPr="00631EB0" w:rsidRDefault="0052348E" w:rsidP="00631EB0">
      <w:pPr>
        <w:spacing w:line="276" w:lineRule="auto"/>
        <w:ind w:firstLine="708"/>
        <w:jc w:val="both"/>
        <w:rPr>
          <w:rFonts w:ascii="Tahoma" w:eastAsia="Tahoma" w:hAnsi="Tahoma" w:cs="Tahoma"/>
        </w:rPr>
      </w:pPr>
      <w:r>
        <w:rPr>
          <w:rFonts w:ascii="Tahoma" w:eastAsia="Tahoma" w:hAnsi="Tahoma" w:cs="Tahoma"/>
        </w:rPr>
        <w:t>(…)</w:t>
      </w:r>
    </w:p>
    <w:p w14:paraId="75E3A551" w14:textId="77777777" w:rsidR="008922C2" w:rsidRPr="00631EB0" w:rsidRDefault="008922C2" w:rsidP="00631EB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0D49712D" w14:textId="23B3BBE9" w:rsidR="008922C2" w:rsidRPr="00631EB0" w:rsidRDefault="008922C2" w:rsidP="00631EB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ahoma" w:eastAsia="Tahoma" w:hAnsi="Tahoma" w:cs="Tahoma"/>
          <w:b/>
          <w:bCs/>
          <w:color w:val="000000"/>
        </w:rPr>
      </w:pPr>
      <w:r w:rsidRPr="00631EB0">
        <w:rPr>
          <w:rFonts w:ascii="Tahoma" w:eastAsia="Tahoma" w:hAnsi="Tahoma" w:cs="Tahoma"/>
          <w:b/>
          <w:bCs/>
          <w:color w:val="000000"/>
        </w:rPr>
        <w:t xml:space="preserve">PUNTO </w:t>
      </w:r>
      <w:r w:rsidR="001979A8" w:rsidRPr="00631EB0">
        <w:rPr>
          <w:rFonts w:ascii="Tahoma" w:eastAsia="Tahoma" w:hAnsi="Tahoma" w:cs="Tahoma"/>
          <w:b/>
          <w:bCs/>
          <w:color w:val="000000"/>
        </w:rPr>
        <w:t>A</w:t>
      </w:r>
      <w:r w:rsidRPr="00631EB0">
        <w:rPr>
          <w:rFonts w:ascii="Tahoma" w:eastAsia="Tahoma" w:hAnsi="Tahoma" w:cs="Tahoma"/>
          <w:b/>
          <w:bCs/>
          <w:color w:val="000000"/>
        </w:rPr>
        <w:t xml:space="preserve"> TRATAR</w:t>
      </w:r>
    </w:p>
    <w:p w14:paraId="52A49853" w14:textId="3F446A9C" w:rsidR="009D6E92" w:rsidRPr="00631EB0" w:rsidRDefault="009D6E92" w:rsidP="00631EB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lang w:val="es-CO"/>
        </w:rPr>
      </w:pPr>
    </w:p>
    <w:p w14:paraId="39141E2E" w14:textId="21A6179A" w:rsidR="008C0B82" w:rsidRPr="00631EB0" w:rsidRDefault="001979A8" w:rsidP="00631EB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rPr>
      </w:pPr>
      <w:r w:rsidRPr="00631EB0">
        <w:rPr>
          <w:rFonts w:ascii="Tahoma" w:eastAsia="Tahoma" w:hAnsi="Tahoma" w:cs="Tahoma"/>
          <w:color w:val="000000"/>
        </w:rPr>
        <w:tab/>
      </w:r>
      <w:r w:rsidR="008922C2" w:rsidRPr="00631EB0">
        <w:rPr>
          <w:rFonts w:ascii="Tahoma" w:eastAsia="Tahoma" w:hAnsi="Tahoma" w:cs="Tahoma"/>
        </w:rPr>
        <w:t>P</w:t>
      </w:r>
      <w:r w:rsidR="00882AB1" w:rsidRPr="00631EB0">
        <w:rPr>
          <w:rFonts w:ascii="Tahoma" w:eastAsia="Tahoma" w:hAnsi="Tahoma" w:cs="Tahoma"/>
        </w:rPr>
        <w:t xml:space="preserve">rocede la Sala a resolver </w:t>
      </w:r>
      <w:r w:rsidR="00662D53" w:rsidRPr="00631EB0">
        <w:rPr>
          <w:rFonts w:ascii="Tahoma" w:eastAsia="Tahoma" w:hAnsi="Tahoma" w:cs="Tahoma"/>
        </w:rPr>
        <w:t>el grado jurisdiccional de consulta dispuesto a favor de la Administradora Colombiana de Pensiones- Colpensiones</w:t>
      </w:r>
      <w:r w:rsidR="00FC5E9E" w:rsidRPr="00631EB0">
        <w:rPr>
          <w:rFonts w:ascii="Tahoma" w:eastAsia="Tahoma" w:hAnsi="Tahoma" w:cs="Tahoma"/>
        </w:rPr>
        <w:t>-</w:t>
      </w:r>
      <w:r w:rsidR="00662D53" w:rsidRPr="00631EB0">
        <w:rPr>
          <w:rFonts w:ascii="Tahoma" w:eastAsia="Tahoma" w:hAnsi="Tahoma" w:cs="Tahoma"/>
        </w:rPr>
        <w:t xml:space="preserve">, en </w:t>
      </w:r>
      <w:r w:rsidR="00CD7EA9" w:rsidRPr="00631EB0">
        <w:rPr>
          <w:rFonts w:ascii="Tahoma" w:eastAsia="Tahoma" w:hAnsi="Tahoma" w:cs="Tahoma"/>
        </w:rPr>
        <w:t xml:space="preserve">la sentencia proferida el </w:t>
      </w:r>
      <w:r w:rsidR="00BF3CE0" w:rsidRPr="00631EB0">
        <w:rPr>
          <w:rFonts w:ascii="Tahoma" w:eastAsia="Tahoma" w:hAnsi="Tahoma" w:cs="Tahoma"/>
        </w:rPr>
        <w:t xml:space="preserve">27 </w:t>
      </w:r>
      <w:r w:rsidR="00CD7EA9" w:rsidRPr="00631EB0">
        <w:rPr>
          <w:rFonts w:ascii="Tahoma" w:eastAsia="Tahoma" w:hAnsi="Tahoma" w:cs="Tahoma"/>
        </w:rPr>
        <w:t xml:space="preserve">de </w:t>
      </w:r>
      <w:r w:rsidR="00BF3CE0" w:rsidRPr="00631EB0">
        <w:rPr>
          <w:rFonts w:ascii="Tahoma" w:eastAsia="Tahoma" w:hAnsi="Tahoma" w:cs="Tahoma"/>
        </w:rPr>
        <w:t>enero</w:t>
      </w:r>
      <w:r w:rsidR="00CD7EA9" w:rsidRPr="00631EB0">
        <w:rPr>
          <w:rFonts w:ascii="Tahoma" w:eastAsia="Tahoma" w:hAnsi="Tahoma" w:cs="Tahoma"/>
        </w:rPr>
        <w:t xml:space="preserve"> de 202</w:t>
      </w:r>
      <w:r w:rsidR="00BF3CE0" w:rsidRPr="00631EB0">
        <w:rPr>
          <w:rFonts w:ascii="Tahoma" w:eastAsia="Tahoma" w:hAnsi="Tahoma" w:cs="Tahoma"/>
        </w:rPr>
        <w:t>2</w:t>
      </w:r>
      <w:r w:rsidR="00CD7EA9" w:rsidRPr="00631EB0">
        <w:rPr>
          <w:rFonts w:ascii="Tahoma" w:eastAsia="Tahoma" w:hAnsi="Tahoma" w:cs="Tahoma"/>
        </w:rPr>
        <w:t xml:space="preserve"> por el Juzgado </w:t>
      </w:r>
      <w:r w:rsidR="00BF3CE0" w:rsidRPr="00631EB0">
        <w:rPr>
          <w:rFonts w:ascii="Tahoma" w:eastAsia="Tahoma" w:hAnsi="Tahoma" w:cs="Tahoma"/>
        </w:rPr>
        <w:t>Segundo</w:t>
      </w:r>
      <w:r w:rsidR="00CD7EA9" w:rsidRPr="00631EB0">
        <w:rPr>
          <w:rFonts w:ascii="Tahoma" w:eastAsia="Tahoma" w:hAnsi="Tahoma" w:cs="Tahoma"/>
        </w:rPr>
        <w:t xml:space="preserve"> Laboral del Circuito de Pereira. </w:t>
      </w:r>
      <w:r w:rsidR="00882AB1" w:rsidRPr="00631EB0">
        <w:rPr>
          <w:rFonts w:ascii="Tahoma" w:eastAsia="Tahoma" w:hAnsi="Tahoma" w:cs="Tahoma"/>
        </w:rPr>
        <w:t>Para ello se tiene en cuenta lo siguiente: </w:t>
      </w:r>
    </w:p>
    <w:p w14:paraId="49BE9D3F" w14:textId="77777777" w:rsidR="00CD7EA9" w:rsidRPr="00631EB0" w:rsidRDefault="00CD7EA9" w:rsidP="00631EB0">
      <w:pPr>
        <w:spacing w:line="276" w:lineRule="auto"/>
        <w:ind w:firstLine="709"/>
        <w:jc w:val="both"/>
        <w:rPr>
          <w:rFonts w:ascii="Tahoma" w:eastAsia="Tahoma" w:hAnsi="Tahoma" w:cs="Tahoma"/>
        </w:rPr>
      </w:pPr>
    </w:p>
    <w:p w14:paraId="53D69BDB" w14:textId="7076CB1D" w:rsidR="008C0B82" w:rsidRPr="00631EB0" w:rsidRDefault="00882AB1" w:rsidP="00631EB0">
      <w:pPr>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color w:val="000000"/>
        </w:rPr>
      </w:pPr>
      <w:r w:rsidRPr="00631EB0">
        <w:rPr>
          <w:rFonts w:ascii="Tahoma" w:eastAsia="Tahoma" w:hAnsi="Tahoma" w:cs="Tahoma"/>
          <w:b/>
          <w:color w:val="000000"/>
        </w:rPr>
        <w:t>LA DEMANDA Y LA CONTESTACIÓN A LA DEMANDA.</w:t>
      </w:r>
    </w:p>
    <w:p w14:paraId="5D16C016" w14:textId="77777777" w:rsidR="00555132" w:rsidRPr="00631EB0" w:rsidRDefault="00555132" w:rsidP="00631EB0">
      <w:pPr>
        <w:widowControl w:val="0"/>
        <w:spacing w:line="276" w:lineRule="auto"/>
        <w:jc w:val="both"/>
        <w:rPr>
          <w:rFonts w:ascii="Tahoma" w:eastAsia="Tahoma" w:hAnsi="Tahoma" w:cs="Tahoma"/>
        </w:rPr>
      </w:pPr>
    </w:p>
    <w:p w14:paraId="3BFBB7D7" w14:textId="4C294AA8" w:rsidR="00467C09" w:rsidRPr="00631EB0" w:rsidRDefault="00467C09" w:rsidP="00631EB0">
      <w:pPr>
        <w:spacing w:line="276" w:lineRule="auto"/>
        <w:ind w:firstLine="708"/>
        <w:jc w:val="both"/>
        <w:textAlignment w:val="baseline"/>
        <w:rPr>
          <w:rFonts w:ascii="Tahoma" w:hAnsi="Tahoma" w:cs="Tahoma"/>
        </w:rPr>
      </w:pPr>
      <w:r w:rsidRPr="00631EB0">
        <w:rPr>
          <w:rFonts w:ascii="Tahoma" w:hAnsi="Tahoma" w:cs="Tahoma"/>
        </w:rPr>
        <w:t>Expone la actora que nació el 12 de septiembre de 1954</w:t>
      </w:r>
      <w:r w:rsidR="00FC5E9E" w:rsidRPr="00631EB0">
        <w:rPr>
          <w:rFonts w:ascii="Tahoma" w:hAnsi="Tahoma" w:cs="Tahoma"/>
        </w:rPr>
        <w:t>;</w:t>
      </w:r>
      <w:r w:rsidR="009F6CDE" w:rsidRPr="00631EB0">
        <w:rPr>
          <w:rFonts w:ascii="Tahoma" w:hAnsi="Tahoma" w:cs="Tahoma"/>
        </w:rPr>
        <w:t xml:space="preserve"> que</w:t>
      </w:r>
      <w:r w:rsidR="00411570" w:rsidRPr="00631EB0">
        <w:rPr>
          <w:rFonts w:ascii="Tahoma" w:hAnsi="Tahoma" w:cs="Tahoma"/>
        </w:rPr>
        <w:t xml:space="preserve"> al</w:t>
      </w:r>
      <w:r w:rsidR="009F6CDE" w:rsidRPr="00631EB0">
        <w:rPr>
          <w:rFonts w:ascii="Tahoma" w:hAnsi="Tahoma" w:cs="Tahoma"/>
        </w:rPr>
        <w:t xml:space="preserve"> 1 de abril de 1994 contaba </w:t>
      </w:r>
      <w:r w:rsidR="00193990" w:rsidRPr="00631EB0">
        <w:rPr>
          <w:rFonts w:ascii="Tahoma" w:hAnsi="Tahoma" w:cs="Tahoma"/>
        </w:rPr>
        <w:t xml:space="preserve">con 39 años edad y </w:t>
      </w:r>
      <w:r w:rsidR="00411570" w:rsidRPr="00631EB0">
        <w:rPr>
          <w:rFonts w:ascii="Tahoma" w:hAnsi="Tahoma" w:cs="Tahoma"/>
        </w:rPr>
        <w:t xml:space="preserve">que </w:t>
      </w:r>
      <w:r w:rsidR="00193990" w:rsidRPr="00631EB0">
        <w:rPr>
          <w:rFonts w:ascii="Tahoma" w:hAnsi="Tahoma" w:cs="Tahoma"/>
        </w:rPr>
        <w:t>entre el 02 de octubre de 1978 y el 30 de septiembre de 1997 cotizó un total de 691.86 semanas en el Régimen de Prima Media, aunad</w:t>
      </w:r>
      <w:r w:rsidR="00FB4EDE" w:rsidRPr="00631EB0">
        <w:rPr>
          <w:rFonts w:ascii="Tahoma" w:hAnsi="Tahoma" w:cs="Tahoma"/>
        </w:rPr>
        <w:t>o a 346 semanas por el tiempo laborado en España</w:t>
      </w:r>
      <w:r w:rsidR="00FC5E9E" w:rsidRPr="00631EB0">
        <w:rPr>
          <w:rFonts w:ascii="Tahoma" w:hAnsi="Tahoma" w:cs="Tahoma"/>
        </w:rPr>
        <w:t xml:space="preserve">: </w:t>
      </w:r>
      <w:r w:rsidR="008E2FBC" w:rsidRPr="00631EB0">
        <w:rPr>
          <w:rFonts w:ascii="Tahoma" w:hAnsi="Tahoma" w:cs="Tahoma"/>
        </w:rPr>
        <w:t>01 de octubre de 2002 al 30 de octubre de 2012, según consta en certificación ES/CO2</w:t>
      </w:r>
      <w:r w:rsidR="0087578A" w:rsidRPr="00631EB0">
        <w:rPr>
          <w:rFonts w:ascii="Tahoma" w:hAnsi="Tahoma" w:cs="Tahoma"/>
        </w:rPr>
        <w:t>, para un total de 1.038 semanas</w:t>
      </w:r>
      <w:r w:rsidR="004E177B" w:rsidRPr="00631EB0">
        <w:rPr>
          <w:rFonts w:ascii="Tahoma" w:hAnsi="Tahoma" w:cs="Tahoma"/>
        </w:rPr>
        <w:t>, de las cuales 770 semanas fueron cotizadas al 25 de julio de 2005</w:t>
      </w:r>
      <w:r w:rsidR="0079037C" w:rsidRPr="00631EB0">
        <w:rPr>
          <w:rFonts w:ascii="Tahoma" w:hAnsi="Tahoma" w:cs="Tahoma"/>
        </w:rPr>
        <w:t xml:space="preserve">. </w:t>
      </w:r>
    </w:p>
    <w:p w14:paraId="6AE8B9C8" w14:textId="7D2C1D99" w:rsidR="0079037C" w:rsidRPr="00631EB0" w:rsidRDefault="0079037C" w:rsidP="00631EB0">
      <w:pPr>
        <w:spacing w:line="276" w:lineRule="auto"/>
        <w:ind w:firstLine="708"/>
        <w:jc w:val="both"/>
        <w:textAlignment w:val="baseline"/>
        <w:rPr>
          <w:rFonts w:ascii="Tahoma" w:hAnsi="Tahoma" w:cs="Tahoma"/>
        </w:rPr>
      </w:pPr>
    </w:p>
    <w:p w14:paraId="20785ECF" w14:textId="0AFA44FC" w:rsidR="0079037C" w:rsidRPr="00631EB0" w:rsidRDefault="0079037C" w:rsidP="00631EB0">
      <w:pPr>
        <w:spacing w:line="276" w:lineRule="auto"/>
        <w:ind w:firstLine="708"/>
        <w:jc w:val="both"/>
        <w:textAlignment w:val="baseline"/>
        <w:rPr>
          <w:rFonts w:ascii="Tahoma" w:hAnsi="Tahoma" w:cs="Tahoma"/>
        </w:rPr>
      </w:pPr>
      <w:r w:rsidRPr="00631EB0">
        <w:rPr>
          <w:rFonts w:ascii="Tahoma" w:hAnsi="Tahoma" w:cs="Tahoma"/>
        </w:rPr>
        <w:t>En virtud de lo anterior, afirma que es beneficiaria del régimen de transición consagrado en el artículo 36 de la Ley 100 de 1993</w:t>
      </w:r>
      <w:r w:rsidR="00D636D5" w:rsidRPr="00631EB0">
        <w:rPr>
          <w:rFonts w:ascii="Tahoma" w:hAnsi="Tahoma" w:cs="Tahoma"/>
        </w:rPr>
        <w:t xml:space="preserve"> y por lo tanto le asiste el </w:t>
      </w:r>
      <w:r w:rsidR="00F77BD0" w:rsidRPr="00631EB0">
        <w:rPr>
          <w:rFonts w:ascii="Tahoma" w:hAnsi="Tahoma" w:cs="Tahoma"/>
        </w:rPr>
        <w:t xml:space="preserve">derecho al </w:t>
      </w:r>
      <w:r w:rsidR="00D636D5" w:rsidRPr="00631EB0">
        <w:rPr>
          <w:rFonts w:ascii="Tahoma" w:hAnsi="Tahoma" w:cs="Tahoma"/>
        </w:rPr>
        <w:t xml:space="preserve">reconocimiento y pago de la pensión de vejez con arreglo a lo dispuesto en el acuerdo 049 de 1990, aprobado por </w:t>
      </w:r>
      <w:r w:rsidR="00A4467D" w:rsidRPr="00631EB0">
        <w:rPr>
          <w:rFonts w:ascii="Tahoma" w:hAnsi="Tahoma" w:cs="Tahoma"/>
        </w:rPr>
        <w:t>el Decreto 758 del mismo año.</w:t>
      </w:r>
    </w:p>
    <w:p w14:paraId="14D8F78D" w14:textId="629D8C1A" w:rsidR="00A4467D" w:rsidRPr="00631EB0" w:rsidRDefault="00A4467D" w:rsidP="00631EB0">
      <w:pPr>
        <w:spacing w:line="276" w:lineRule="auto"/>
        <w:ind w:firstLine="708"/>
        <w:jc w:val="both"/>
        <w:textAlignment w:val="baseline"/>
        <w:rPr>
          <w:rFonts w:ascii="Tahoma" w:hAnsi="Tahoma" w:cs="Tahoma"/>
        </w:rPr>
      </w:pPr>
    </w:p>
    <w:p w14:paraId="7D59176E" w14:textId="2C9E1797" w:rsidR="00F63DC5" w:rsidRPr="00631EB0" w:rsidRDefault="00A4467D" w:rsidP="00631EB0">
      <w:pPr>
        <w:spacing w:line="276" w:lineRule="auto"/>
        <w:ind w:firstLine="708"/>
        <w:jc w:val="both"/>
        <w:textAlignment w:val="baseline"/>
        <w:rPr>
          <w:rFonts w:ascii="Tahoma" w:hAnsi="Tahoma" w:cs="Tahoma"/>
        </w:rPr>
      </w:pPr>
      <w:r w:rsidRPr="00631EB0">
        <w:rPr>
          <w:rFonts w:ascii="Tahoma" w:hAnsi="Tahoma" w:cs="Tahoma"/>
        </w:rPr>
        <w:t xml:space="preserve">Informa que </w:t>
      </w:r>
      <w:r w:rsidR="00BF73D3" w:rsidRPr="00631EB0">
        <w:rPr>
          <w:rFonts w:ascii="Tahoma" w:hAnsi="Tahoma" w:cs="Tahoma"/>
        </w:rPr>
        <w:t>elevó</w:t>
      </w:r>
      <w:r w:rsidR="00411570" w:rsidRPr="00631EB0">
        <w:rPr>
          <w:rFonts w:ascii="Tahoma" w:hAnsi="Tahoma" w:cs="Tahoma"/>
        </w:rPr>
        <w:t xml:space="preserve"> varias</w:t>
      </w:r>
      <w:r w:rsidR="00BF73D3" w:rsidRPr="00631EB0">
        <w:rPr>
          <w:rFonts w:ascii="Tahoma" w:hAnsi="Tahoma" w:cs="Tahoma"/>
        </w:rPr>
        <w:t xml:space="preserve"> reclamaci</w:t>
      </w:r>
      <w:r w:rsidR="00411570" w:rsidRPr="00631EB0">
        <w:rPr>
          <w:rFonts w:ascii="Tahoma" w:hAnsi="Tahoma" w:cs="Tahoma"/>
        </w:rPr>
        <w:t>ones pensionales a COLPENSIONES:</w:t>
      </w:r>
      <w:r w:rsidR="00BF73D3" w:rsidRPr="00631EB0">
        <w:rPr>
          <w:rFonts w:ascii="Tahoma" w:hAnsi="Tahoma" w:cs="Tahoma"/>
        </w:rPr>
        <w:t xml:space="preserve"> </w:t>
      </w:r>
      <w:r w:rsidR="00571A85" w:rsidRPr="00631EB0">
        <w:rPr>
          <w:rFonts w:ascii="Tahoma" w:hAnsi="Tahoma" w:cs="Tahoma"/>
        </w:rPr>
        <w:t>el 9 de diciembre de 2009</w:t>
      </w:r>
      <w:r w:rsidR="00F9070A" w:rsidRPr="00631EB0">
        <w:rPr>
          <w:rFonts w:ascii="Tahoma" w:hAnsi="Tahoma" w:cs="Tahoma"/>
        </w:rPr>
        <w:t xml:space="preserve">, </w:t>
      </w:r>
      <w:r w:rsidR="001838D8" w:rsidRPr="00631EB0">
        <w:rPr>
          <w:rFonts w:ascii="Tahoma" w:hAnsi="Tahoma" w:cs="Tahoma"/>
        </w:rPr>
        <w:t xml:space="preserve">31 de enero de </w:t>
      </w:r>
      <w:r w:rsidR="00F9070A" w:rsidRPr="00631EB0">
        <w:rPr>
          <w:rFonts w:ascii="Tahoma" w:hAnsi="Tahoma" w:cs="Tahoma"/>
        </w:rPr>
        <w:t>2013</w:t>
      </w:r>
      <w:r w:rsidR="005B4F02" w:rsidRPr="00631EB0">
        <w:rPr>
          <w:rFonts w:ascii="Tahoma" w:hAnsi="Tahoma" w:cs="Tahoma"/>
        </w:rPr>
        <w:t xml:space="preserve">, </w:t>
      </w:r>
      <w:r w:rsidR="00F9070A" w:rsidRPr="00631EB0">
        <w:rPr>
          <w:rFonts w:ascii="Tahoma" w:hAnsi="Tahoma" w:cs="Tahoma"/>
        </w:rPr>
        <w:t>8 de febrero de 2013</w:t>
      </w:r>
      <w:r w:rsidR="005B4F02" w:rsidRPr="00631EB0">
        <w:rPr>
          <w:rFonts w:ascii="Tahoma" w:hAnsi="Tahoma" w:cs="Tahoma"/>
        </w:rPr>
        <w:t xml:space="preserve"> y 30 de noviembre de 2015</w:t>
      </w:r>
      <w:r w:rsidR="00F9070A" w:rsidRPr="00631EB0">
        <w:rPr>
          <w:rFonts w:ascii="Tahoma" w:hAnsi="Tahoma" w:cs="Tahoma"/>
        </w:rPr>
        <w:t xml:space="preserve">, </w:t>
      </w:r>
      <w:r w:rsidR="00411570" w:rsidRPr="00631EB0">
        <w:rPr>
          <w:rFonts w:ascii="Tahoma" w:hAnsi="Tahoma" w:cs="Tahoma"/>
        </w:rPr>
        <w:t xml:space="preserve">y todas fueron negadas mediante las resoluciones: GNR </w:t>
      </w:r>
      <w:r w:rsidR="00BB181A" w:rsidRPr="00631EB0">
        <w:rPr>
          <w:rFonts w:ascii="Tahoma" w:hAnsi="Tahoma" w:cs="Tahoma"/>
        </w:rPr>
        <w:t xml:space="preserve">11403 </w:t>
      </w:r>
      <w:r w:rsidR="00C449FB" w:rsidRPr="00631EB0">
        <w:rPr>
          <w:rFonts w:ascii="Tahoma" w:hAnsi="Tahoma" w:cs="Tahoma"/>
        </w:rPr>
        <w:t>del 28 de marzo de 2012</w:t>
      </w:r>
      <w:r w:rsidR="00F9070A" w:rsidRPr="00631EB0">
        <w:rPr>
          <w:rFonts w:ascii="Tahoma" w:hAnsi="Tahoma" w:cs="Tahoma"/>
        </w:rPr>
        <w:t xml:space="preserve">, </w:t>
      </w:r>
      <w:r w:rsidR="00C449FB" w:rsidRPr="00631EB0">
        <w:rPr>
          <w:rFonts w:ascii="Tahoma" w:hAnsi="Tahoma" w:cs="Tahoma"/>
        </w:rPr>
        <w:t>GNR 033984 del 12 de marzo de 2013</w:t>
      </w:r>
      <w:r w:rsidR="005B4F02" w:rsidRPr="00631EB0">
        <w:rPr>
          <w:rFonts w:ascii="Tahoma" w:hAnsi="Tahoma" w:cs="Tahoma"/>
        </w:rPr>
        <w:t xml:space="preserve">, </w:t>
      </w:r>
      <w:r w:rsidR="00F9070A" w:rsidRPr="00631EB0">
        <w:rPr>
          <w:rFonts w:ascii="Tahoma" w:hAnsi="Tahoma" w:cs="Tahoma"/>
        </w:rPr>
        <w:t xml:space="preserve">el </w:t>
      </w:r>
      <w:r w:rsidR="0023101C" w:rsidRPr="00631EB0">
        <w:rPr>
          <w:rFonts w:ascii="Tahoma" w:hAnsi="Tahoma" w:cs="Tahoma"/>
        </w:rPr>
        <w:t>GNR 224309 del 2 de septiembre de 2013</w:t>
      </w:r>
      <w:r w:rsidR="005B4F02" w:rsidRPr="00631EB0">
        <w:rPr>
          <w:rFonts w:ascii="Tahoma" w:hAnsi="Tahoma" w:cs="Tahoma"/>
        </w:rPr>
        <w:t xml:space="preserve"> y GNR 314</w:t>
      </w:r>
      <w:r w:rsidR="00E91616" w:rsidRPr="00631EB0">
        <w:rPr>
          <w:rFonts w:ascii="Tahoma" w:hAnsi="Tahoma" w:cs="Tahoma"/>
        </w:rPr>
        <w:t>864 del 26 de octubre de 2016</w:t>
      </w:r>
      <w:r w:rsidR="0023101C" w:rsidRPr="00631EB0">
        <w:rPr>
          <w:rFonts w:ascii="Tahoma" w:hAnsi="Tahoma" w:cs="Tahoma"/>
        </w:rPr>
        <w:t xml:space="preserve">, </w:t>
      </w:r>
      <w:r w:rsidR="00C449FB" w:rsidRPr="00631EB0">
        <w:rPr>
          <w:rFonts w:ascii="Tahoma" w:hAnsi="Tahoma" w:cs="Tahoma"/>
        </w:rPr>
        <w:t>respectivamente</w:t>
      </w:r>
      <w:r w:rsidR="00E91616" w:rsidRPr="00631EB0">
        <w:rPr>
          <w:rFonts w:ascii="Tahoma" w:hAnsi="Tahoma" w:cs="Tahoma"/>
        </w:rPr>
        <w:t>, última en la que</w:t>
      </w:r>
      <w:r w:rsidR="00411570" w:rsidRPr="00631EB0">
        <w:rPr>
          <w:rFonts w:ascii="Tahoma" w:hAnsi="Tahoma" w:cs="Tahoma"/>
        </w:rPr>
        <w:t>,</w:t>
      </w:r>
      <w:r w:rsidR="00E91616" w:rsidRPr="00631EB0">
        <w:rPr>
          <w:rFonts w:ascii="Tahoma" w:hAnsi="Tahoma" w:cs="Tahoma"/>
        </w:rPr>
        <w:t xml:space="preserve"> a su vez fue resu</w:t>
      </w:r>
      <w:r w:rsidR="00F63DC5" w:rsidRPr="00631EB0">
        <w:rPr>
          <w:rFonts w:ascii="Tahoma" w:hAnsi="Tahoma" w:cs="Tahoma"/>
        </w:rPr>
        <w:t>e</w:t>
      </w:r>
      <w:r w:rsidR="00E91616" w:rsidRPr="00631EB0">
        <w:rPr>
          <w:rFonts w:ascii="Tahoma" w:hAnsi="Tahoma" w:cs="Tahoma"/>
        </w:rPr>
        <w:t xml:space="preserve">lto de </w:t>
      </w:r>
      <w:r w:rsidR="00C201E9" w:rsidRPr="00631EB0">
        <w:rPr>
          <w:rFonts w:ascii="Tahoma" w:hAnsi="Tahoma" w:cs="Tahoma"/>
        </w:rPr>
        <w:t>forma desfavorable el recurso de apelación</w:t>
      </w:r>
      <w:r w:rsidR="00411570" w:rsidRPr="00631EB0">
        <w:rPr>
          <w:rFonts w:ascii="Tahoma" w:hAnsi="Tahoma" w:cs="Tahoma"/>
        </w:rPr>
        <w:t xml:space="preserve">, mediante Resolución </w:t>
      </w:r>
      <w:r w:rsidR="00C201E9" w:rsidRPr="00631EB0">
        <w:rPr>
          <w:rFonts w:ascii="Tahoma" w:hAnsi="Tahoma" w:cs="Tahoma"/>
        </w:rPr>
        <w:t>VPB 43953 del 7 de diciembre de 2016</w:t>
      </w:r>
      <w:r w:rsidR="00411570" w:rsidRPr="00631EB0">
        <w:rPr>
          <w:rFonts w:ascii="Tahoma" w:hAnsi="Tahoma" w:cs="Tahoma"/>
        </w:rPr>
        <w:t>.</w:t>
      </w:r>
    </w:p>
    <w:p w14:paraId="3094E732" w14:textId="77777777" w:rsidR="00F63DC5" w:rsidRPr="00631EB0" w:rsidRDefault="00F63DC5" w:rsidP="00631EB0">
      <w:pPr>
        <w:spacing w:line="276" w:lineRule="auto"/>
        <w:ind w:firstLine="708"/>
        <w:jc w:val="both"/>
        <w:textAlignment w:val="baseline"/>
        <w:rPr>
          <w:rFonts w:ascii="Tahoma" w:hAnsi="Tahoma" w:cs="Tahoma"/>
        </w:rPr>
      </w:pPr>
    </w:p>
    <w:p w14:paraId="5E6363AB" w14:textId="47FBCCED" w:rsidR="00F63DC5" w:rsidRPr="00631EB0" w:rsidRDefault="00F63DC5" w:rsidP="00631EB0">
      <w:pPr>
        <w:spacing w:line="276" w:lineRule="auto"/>
        <w:ind w:firstLine="708"/>
        <w:jc w:val="both"/>
        <w:textAlignment w:val="baseline"/>
        <w:rPr>
          <w:rFonts w:ascii="Tahoma" w:hAnsi="Tahoma" w:cs="Tahoma"/>
        </w:rPr>
      </w:pPr>
      <w:r w:rsidRPr="00631EB0">
        <w:rPr>
          <w:rFonts w:ascii="Tahoma" w:hAnsi="Tahoma" w:cs="Tahoma"/>
        </w:rPr>
        <w:t xml:space="preserve">Adiciona que </w:t>
      </w:r>
      <w:r w:rsidR="00413D29" w:rsidRPr="00631EB0">
        <w:rPr>
          <w:rFonts w:ascii="Tahoma" w:hAnsi="Tahoma" w:cs="Tahoma"/>
        </w:rPr>
        <w:t xml:space="preserve">mediante radicado 2013-681 promovió demanda ordinaria laboral de primera instancia en contra del ISS, que por reparto correspondió al </w:t>
      </w:r>
      <w:r w:rsidR="009F6F5F" w:rsidRPr="00631EB0">
        <w:rPr>
          <w:rFonts w:ascii="Tahoma" w:hAnsi="Tahoma" w:cs="Tahoma"/>
        </w:rPr>
        <w:t xml:space="preserve">Juzgado Tercero Laboral del Circuito de Pereira, remitida por competencia al </w:t>
      </w:r>
      <w:r w:rsidR="00413D29" w:rsidRPr="00631EB0">
        <w:rPr>
          <w:rFonts w:ascii="Tahoma" w:hAnsi="Tahoma" w:cs="Tahoma"/>
        </w:rPr>
        <w:t>Juzgado Veintisiete Laboral del Circuito de Bogotá</w:t>
      </w:r>
      <w:r w:rsidR="00411570" w:rsidRPr="00631EB0">
        <w:rPr>
          <w:rFonts w:ascii="Tahoma" w:hAnsi="Tahoma" w:cs="Tahoma"/>
        </w:rPr>
        <w:t>,</w:t>
      </w:r>
      <w:r w:rsidR="00413D29" w:rsidRPr="00631EB0">
        <w:rPr>
          <w:rFonts w:ascii="Tahoma" w:hAnsi="Tahoma" w:cs="Tahoma"/>
        </w:rPr>
        <w:t xml:space="preserve"> </w:t>
      </w:r>
      <w:r w:rsidR="002D0D1E" w:rsidRPr="00631EB0">
        <w:rPr>
          <w:rFonts w:ascii="Tahoma" w:hAnsi="Tahoma" w:cs="Tahoma"/>
        </w:rPr>
        <w:t xml:space="preserve">quien mediante auto del 19 de enero de 2017 archivó el proceso por ser de carácter </w:t>
      </w:r>
      <w:r w:rsidR="0088591D" w:rsidRPr="00631EB0">
        <w:rPr>
          <w:rFonts w:ascii="Tahoma" w:hAnsi="Tahoma" w:cs="Tahoma"/>
        </w:rPr>
        <w:t>administrativo</w:t>
      </w:r>
      <w:r w:rsidR="002D0D1E" w:rsidRPr="00631EB0">
        <w:rPr>
          <w:rFonts w:ascii="Tahoma" w:hAnsi="Tahoma" w:cs="Tahoma"/>
        </w:rPr>
        <w:t>.</w:t>
      </w:r>
    </w:p>
    <w:p w14:paraId="25B25EF6" w14:textId="77777777" w:rsidR="00736C6A" w:rsidRPr="00631EB0" w:rsidRDefault="00736C6A" w:rsidP="00631EB0">
      <w:pPr>
        <w:spacing w:line="276" w:lineRule="auto"/>
        <w:jc w:val="both"/>
        <w:textAlignment w:val="baseline"/>
        <w:rPr>
          <w:rFonts w:ascii="Tahoma" w:hAnsi="Tahoma" w:cs="Tahoma"/>
        </w:rPr>
      </w:pPr>
    </w:p>
    <w:p w14:paraId="582EEA79" w14:textId="77600E8D" w:rsidR="0088591D" w:rsidRPr="00631EB0" w:rsidRDefault="006C0323" w:rsidP="00631EB0">
      <w:pPr>
        <w:spacing w:line="276" w:lineRule="auto"/>
        <w:ind w:firstLine="708"/>
        <w:jc w:val="both"/>
        <w:textAlignment w:val="baseline"/>
        <w:rPr>
          <w:rFonts w:ascii="Tahoma" w:hAnsi="Tahoma" w:cs="Tahoma"/>
        </w:rPr>
      </w:pPr>
      <w:r w:rsidRPr="00631EB0">
        <w:rPr>
          <w:rFonts w:ascii="Tahoma" w:hAnsi="Tahoma" w:cs="Tahoma"/>
        </w:rPr>
        <w:lastRenderedPageBreak/>
        <w:t>Con sustento en lo anterior, p</w:t>
      </w:r>
      <w:r w:rsidR="00650E35" w:rsidRPr="00631EB0">
        <w:rPr>
          <w:rFonts w:ascii="Tahoma" w:hAnsi="Tahoma" w:cs="Tahoma"/>
        </w:rPr>
        <w:t xml:space="preserve">retende </w:t>
      </w:r>
      <w:r w:rsidR="00AA7BA0" w:rsidRPr="00631EB0">
        <w:rPr>
          <w:rFonts w:ascii="Tahoma" w:hAnsi="Tahoma" w:cs="Tahoma"/>
        </w:rPr>
        <w:t xml:space="preserve">que </w:t>
      </w:r>
      <w:r w:rsidR="0082538D" w:rsidRPr="00631EB0">
        <w:rPr>
          <w:rFonts w:ascii="Tahoma" w:hAnsi="Tahoma" w:cs="Tahoma"/>
        </w:rPr>
        <w:t xml:space="preserve">se </w:t>
      </w:r>
      <w:r w:rsidR="005F7D51" w:rsidRPr="00631EB0">
        <w:rPr>
          <w:rFonts w:ascii="Tahoma" w:hAnsi="Tahoma" w:cs="Tahoma"/>
        </w:rPr>
        <w:t xml:space="preserve">declare </w:t>
      </w:r>
      <w:r w:rsidR="0088591D" w:rsidRPr="00631EB0">
        <w:rPr>
          <w:rFonts w:ascii="Tahoma" w:hAnsi="Tahoma" w:cs="Tahoma"/>
        </w:rPr>
        <w:t>que es beneficiaria del régimen de transición consagrado en el artículo 36 de la ley 100 de 1993</w:t>
      </w:r>
      <w:r w:rsidR="003536D3" w:rsidRPr="00631EB0">
        <w:rPr>
          <w:rFonts w:ascii="Tahoma" w:hAnsi="Tahoma" w:cs="Tahoma"/>
        </w:rPr>
        <w:t xml:space="preserve"> desde el 25 de septiembre de 2011, en aplicación de la ley 1112 de 2006, y</w:t>
      </w:r>
      <w:r w:rsidR="001B18D5" w:rsidRPr="00631EB0">
        <w:rPr>
          <w:rFonts w:ascii="Tahoma" w:hAnsi="Tahoma" w:cs="Tahoma"/>
        </w:rPr>
        <w:t>,</w:t>
      </w:r>
      <w:r w:rsidR="003536D3" w:rsidRPr="00631EB0">
        <w:rPr>
          <w:rFonts w:ascii="Tahoma" w:hAnsi="Tahoma" w:cs="Tahoma"/>
        </w:rPr>
        <w:t xml:space="preserve"> en consecuencia</w:t>
      </w:r>
      <w:r w:rsidR="001B18D5" w:rsidRPr="00631EB0">
        <w:rPr>
          <w:rFonts w:ascii="Tahoma" w:hAnsi="Tahoma" w:cs="Tahoma"/>
        </w:rPr>
        <w:t>,</w:t>
      </w:r>
      <w:r w:rsidR="003536D3" w:rsidRPr="00631EB0">
        <w:rPr>
          <w:rFonts w:ascii="Tahoma" w:hAnsi="Tahoma" w:cs="Tahoma"/>
        </w:rPr>
        <w:t xml:space="preserve"> se </w:t>
      </w:r>
      <w:r w:rsidR="00304120" w:rsidRPr="00631EB0">
        <w:rPr>
          <w:rFonts w:ascii="Tahoma" w:hAnsi="Tahoma" w:cs="Tahoma"/>
        </w:rPr>
        <w:t>condene a Colpensiones al reconocimiento y pago de la acreencia pensional desde el 25 de septiembre de 2011</w:t>
      </w:r>
      <w:r w:rsidR="00E87908" w:rsidRPr="00631EB0">
        <w:rPr>
          <w:rFonts w:ascii="Tahoma" w:hAnsi="Tahoma" w:cs="Tahoma"/>
        </w:rPr>
        <w:t>, junto con las mesadas adicionales de junio y diciembre, aunado a los intereses moratorios contemplados en el artículo 141 de la ley 100 de 1993, o en su defecto la indexación</w:t>
      </w:r>
      <w:r w:rsidR="001B18D5" w:rsidRPr="00631EB0">
        <w:rPr>
          <w:rFonts w:ascii="Tahoma" w:hAnsi="Tahoma" w:cs="Tahoma"/>
        </w:rPr>
        <w:t xml:space="preserve"> y</w:t>
      </w:r>
      <w:r w:rsidR="00E87908" w:rsidRPr="00631EB0">
        <w:rPr>
          <w:rFonts w:ascii="Tahoma" w:hAnsi="Tahoma" w:cs="Tahoma"/>
        </w:rPr>
        <w:t xml:space="preserve"> </w:t>
      </w:r>
      <w:r w:rsidR="001B18D5" w:rsidRPr="00631EB0">
        <w:rPr>
          <w:rFonts w:ascii="Tahoma" w:hAnsi="Tahoma" w:cs="Tahoma"/>
        </w:rPr>
        <w:t>que l</w:t>
      </w:r>
      <w:r w:rsidR="00E87908" w:rsidRPr="00631EB0">
        <w:rPr>
          <w:rFonts w:ascii="Tahoma" w:hAnsi="Tahoma" w:cs="Tahoma"/>
        </w:rPr>
        <w:t xml:space="preserve">o que resulte probado bajo las facultades ultra y extra petita y las costas procesales a su favor. </w:t>
      </w:r>
    </w:p>
    <w:p w14:paraId="04350D90" w14:textId="77777777" w:rsidR="0088591D" w:rsidRPr="00631EB0" w:rsidRDefault="0088591D" w:rsidP="00631EB0">
      <w:pPr>
        <w:spacing w:line="276" w:lineRule="auto"/>
        <w:ind w:firstLine="708"/>
        <w:jc w:val="both"/>
        <w:textAlignment w:val="baseline"/>
        <w:rPr>
          <w:rFonts w:ascii="Tahoma" w:hAnsi="Tahoma" w:cs="Tahoma"/>
        </w:rPr>
      </w:pPr>
    </w:p>
    <w:p w14:paraId="5E0305E4" w14:textId="744B2D1E" w:rsidR="005A7041" w:rsidRPr="00631EB0" w:rsidRDefault="00B61369" w:rsidP="00631EB0">
      <w:pPr>
        <w:spacing w:line="276" w:lineRule="auto"/>
        <w:ind w:firstLine="708"/>
        <w:jc w:val="both"/>
        <w:textAlignment w:val="baseline"/>
        <w:rPr>
          <w:rFonts w:ascii="Tahoma" w:hAnsi="Tahoma" w:cs="Tahoma"/>
          <w:i/>
          <w:iCs/>
        </w:rPr>
      </w:pPr>
      <w:r w:rsidRPr="00631EB0">
        <w:rPr>
          <w:rFonts w:ascii="Tahoma" w:hAnsi="Tahoma" w:cs="Tahoma"/>
        </w:rPr>
        <w:t>En respuesta a la demanda,</w:t>
      </w:r>
      <w:r w:rsidR="001B18D5" w:rsidRPr="00631EB0">
        <w:rPr>
          <w:rFonts w:ascii="Tahoma" w:hAnsi="Tahoma" w:cs="Tahoma"/>
        </w:rPr>
        <w:t xml:space="preserve"> la ADMINISTRADORA COLOMBIANA DE PENSIONES </w:t>
      </w:r>
      <w:r w:rsidR="0052348E">
        <w:rPr>
          <w:rFonts w:ascii="Tahoma" w:hAnsi="Tahoma" w:cs="Tahoma"/>
        </w:rPr>
        <w:t xml:space="preserve">– </w:t>
      </w:r>
      <w:r w:rsidR="001B18D5" w:rsidRPr="00631EB0">
        <w:rPr>
          <w:rFonts w:ascii="Tahoma" w:hAnsi="Tahoma" w:cs="Tahoma"/>
        </w:rPr>
        <w:t>COLPENSIONES</w:t>
      </w:r>
      <w:r w:rsidR="003A3CB1" w:rsidRPr="00631EB0">
        <w:rPr>
          <w:rFonts w:ascii="Tahoma" w:hAnsi="Tahoma" w:cs="Tahoma"/>
        </w:rPr>
        <w:t xml:space="preserve"> aceptó los hechos demostrados con la prueba documental, esto es, la edad de la actora</w:t>
      </w:r>
      <w:r w:rsidR="00C95A48" w:rsidRPr="00631EB0">
        <w:rPr>
          <w:rFonts w:ascii="Tahoma" w:hAnsi="Tahoma" w:cs="Tahoma"/>
        </w:rPr>
        <w:t xml:space="preserve">, </w:t>
      </w:r>
      <w:r w:rsidR="003A3CB1" w:rsidRPr="00631EB0">
        <w:rPr>
          <w:rFonts w:ascii="Tahoma" w:hAnsi="Tahoma" w:cs="Tahoma"/>
        </w:rPr>
        <w:t>los tiempos de cotización en Colombia y España</w:t>
      </w:r>
      <w:r w:rsidR="00C95A48" w:rsidRPr="00631EB0">
        <w:rPr>
          <w:rFonts w:ascii="Tahoma" w:hAnsi="Tahoma" w:cs="Tahoma"/>
        </w:rPr>
        <w:t xml:space="preserve">, y las </w:t>
      </w:r>
      <w:r w:rsidR="00532B7D" w:rsidRPr="00631EB0">
        <w:rPr>
          <w:rFonts w:ascii="Tahoma" w:hAnsi="Tahoma" w:cs="Tahoma"/>
        </w:rPr>
        <w:t>reclamaciones y respuestas reseñadas</w:t>
      </w:r>
      <w:r w:rsidR="001B18D5" w:rsidRPr="00631EB0">
        <w:rPr>
          <w:rFonts w:ascii="Tahoma" w:hAnsi="Tahoma" w:cs="Tahoma"/>
        </w:rPr>
        <w:t>.</w:t>
      </w:r>
      <w:r w:rsidR="00532B7D" w:rsidRPr="00631EB0">
        <w:rPr>
          <w:rFonts w:ascii="Tahoma" w:hAnsi="Tahoma" w:cs="Tahoma"/>
        </w:rPr>
        <w:t xml:space="preserve"> </w:t>
      </w:r>
      <w:r w:rsidR="001B18D5" w:rsidRPr="00631EB0">
        <w:rPr>
          <w:rFonts w:ascii="Tahoma" w:hAnsi="Tahoma" w:cs="Tahoma"/>
        </w:rPr>
        <w:t>Los</w:t>
      </w:r>
      <w:r w:rsidR="00C95A48" w:rsidRPr="00631EB0">
        <w:rPr>
          <w:rFonts w:ascii="Tahoma" w:hAnsi="Tahoma" w:cs="Tahoma"/>
        </w:rPr>
        <w:t xml:space="preserve"> demás hechos </w:t>
      </w:r>
      <w:r w:rsidR="001B18D5" w:rsidRPr="00631EB0">
        <w:rPr>
          <w:rFonts w:ascii="Tahoma" w:hAnsi="Tahoma" w:cs="Tahoma"/>
        </w:rPr>
        <w:t xml:space="preserve">no los aceptó </w:t>
      </w:r>
      <w:r w:rsidR="00C95A48" w:rsidRPr="00631EB0">
        <w:rPr>
          <w:rFonts w:ascii="Tahoma" w:hAnsi="Tahoma" w:cs="Tahoma"/>
        </w:rPr>
        <w:t xml:space="preserve">o </w:t>
      </w:r>
      <w:r w:rsidR="001B18D5" w:rsidRPr="00631EB0">
        <w:rPr>
          <w:rFonts w:ascii="Tahoma" w:hAnsi="Tahoma" w:cs="Tahoma"/>
        </w:rPr>
        <w:t>indicó que no</w:t>
      </w:r>
      <w:r w:rsidR="00C95A48" w:rsidRPr="00631EB0">
        <w:rPr>
          <w:rFonts w:ascii="Tahoma" w:hAnsi="Tahoma" w:cs="Tahoma"/>
        </w:rPr>
        <w:t xml:space="preserve"> le constaban</w:t>
      </w:r>
      <w:r w:rsidR="001B18D5" w:rsidRPr="00631EB0">
        <w:rPr>
          <w:rFonts w:ascii="Tahoma" w:hAnsi="Tahoma" w:cs="Tahoma"/>
        </w:rPr>
        <w:t>. Sin embargo,</w:t>
      </w:r>
      <w:r w:rsidR="002B41B1" w:rsidRPr="00631EB0">
        <w:rPr>
          <w:rFonts w:ascii="Tahoma" w:hAnsi="Tahoma" w:cs="Tahoma"/>
        </w:rPr>
        <w:t xml:space="preserve"> se opuso a todas y cada una de las pretensiones </w:t>
      </w:r>
      <w:r w:rsidR="00C95A48" w:rsidRPr="00631EB0">
        <w:rPr>
          <w:rFonts w:ascii="Tahoma" w:hAnsi="Tahoma" w:cs="Tahoma"/>
        </w:rPr>
        <w:t xml:space="preserve">y </w:t>
      </w:r>
      <w:r w:rsidR="00D15AEE" w:rsidRPr="00631EB0">
        <w:rPr>
          <w:rFonts w:ascii="Tahoma" w:hAnsi="Tahoma" w:cs="Tahoma"/>
        </w:rPr>
        <w:t>en su defensa propuso como medios exceptivos los que denominó:</w:t>
      </w:r>
      <w:r w:rsidR="00D15AEE" w:rsidRPr="00631EB0">
        <w:rPr>
          <w:rFonts w:ascii="Tahoma" w:hAnsi="Tahoma" w:cs="Tahoma"/>
          <w:i/>
          <w:iCs/>
        </w:rPr>
        <w:t xml:space="preserve"> “inexistencia de la obligación y cobro de lo no debido”, “imposibilidad jurídica para </w:t>
      </w:r>
      <w:r w:rsidR="00CB37EF" w:rsidRPr="00631EB0">
        <w:rPr>
          <w:rFonts w:ascii="Tahoma" w:hAnsi="Tahoma" w:cs="Tahoma"/>
          <w:i/>
          <w:iCs/>
        </w:rPr>
        <w:t>reconocer y pagar derechos por fuera del ordenamiento legal”, “buena fe”, “imposibilidad de condena en costas”</w:t>
      </w:r>
      <w:r w:rsidR="003C49E9" w:rsidRPr="00631EB0">
        <w:rPr>
          <w:rFonts w:ascii="Tahoma" w:hAnsi="Tahoma" w:cs="Tahoma"/>
          <w:i/>
          <w:iCs/>
        </w:rPr>
        <w:t xml:space="preserve"> y</w:t>
      </w:r>
      <w:r w:rsidR="00CB37EF" w:rsidRPr="00631EB0">
        <w:rPr>
          <w:rFonts w:ascii="Tahoma" w:hAnsi="Tahoma" w:cs="Tahoma"/>
          <w:i/>
          <w:iCs/>
        </w:rPr>
        <w:t xml:space="preserve"> “prescripción” </w:t>
      </w:r>
    </w:p>
    <w:p w14:paraId="3D20DC27" w14:textId="77777777" w:rsidR="00E60A95" w:rsidRPr="00631EB0" w:rsidRDefault="00E60A95" w:rsidP="00E60A95">
      <w:pPr>
        <w:spacing w:line="276" w:lineRule="auto"/>
        <w:jc w:val="both"/>
        <w:textAlignment w:val="baseline"/>
        <w:rPr>
          <w:rFonts w:ascii="Tahoma" w:hAnsi="Tahoma" w:cs="Tahoma"/>
          <w:i/>
          <w:iCs/>
        </w:rPr>
      </w:pPr>
    </w:p>
    <w:p w14:paraId="7D7A6034" w14:textId="6A3456B8" w:rsidR="005A7041" w:rsidRPr="00631EB0" w:rsidRDefault="00B42142" w:rsidP="00631EB0">
      <w:pPr>
        <w:pStyle w:val="Yo"/>
        <w:spacing w:line="276" w:lineRule="auto"/>
        <w:rPr>
          <w:rFonts w:ascii="Tahoma" w:eastAsia="Tahoma" w:hAnsi="Tahoma" w:cs="Tahoma"/>
          <w:sz w:val="24"/>
          <w:szCs w:val="24"/>
        </w:rPr>
      </w:pPr>
      <w:r w:rsidRPr="00631EB0">
        <w:rPr>
          <w:rFonts w:ascii="Tahoma" w:eastAsia="Tahoma" w:hAnsi="Tahoma" w:cs="Tahoma"/>
          <w:sz w:val="24"/>
          <w:szCs w:val="24"/>
        </w:rPr>
        <w:t>SENTENCIA DE PRIMERA INSTANCIA</w:t>
      </w:r>
    </w:p>
    <w:p w14:paraId="287A32AE" w14:textId="77777777" w:rsidR="00160EC9" w:rsidRPr="00631EB0" w:rsidRDefault="00160EC9" w:rsidP="00631EB0">
      <w:pPr>
        <w:spacing w:line="276" w:lineRule="auto"/>
        <w:textAlignment w:val="baseline"/>
        <w:rPr>
          <w:rFonts w:ascii="Tahoma" w:eastAsia="Tahoma" w:hAnsi="Tahoma" w:cs="Tahoma"/>
          <w:b/>
          <w:bCs/>
        </w:rPr>
      </w:pPr>
    </w:p>
    <w:p w14:paraId="305DEC1A" w14:textId="181DBAB3" w:rsidR="0035550F" w:rsidRPr="00631EB0" w:rsidRDefault="00C407C1" w:rsidP="00631EB0">
      <w:pPr>
        <w:spacing w:line="276" w:lineRule="auto"/>
        <w:ind w:firstLine="708"/>
        <w:jc w:val="both"/>
        <w:rPr>
          <w:rFonts w:ascii="Tahoma" w:eastAsia="Tahoma" w:hAnsi="Tahoma" w:cs="Tahoma"/>
        </w:rPr>
      </w:pPr>
      <w:r w:rsidRPr="00631EB0">
        <w:rPr>
          <w:rFonts w:ascii="Tahoma" w:eastAsia="Tahoma" w:hAnsi="Tahoma" w:cs="Tahoma"/>
        </w:rPr>
        <w:t xml:space="preserve">La jueza de primera instancia, previo recuento de </w:t>
      </w:r>
      <w:r w:rsidR="00FB60F9" w:rsidRPr="00631EB0">
        <w:rPr>
          <w:rFonts w:ascii="Tahoma" w:eastAsia="Tahoma" w:hAnsi="Tahoma" w:cs="Tahoma"/>
        </w:rPr>
        <w:t>las premisas normativas</w:t>
      </w:r>
      <w:r w:rsidR="00A1109B" w:rsidRPr="00631EB0">
        <w:rPr>
          <w:rFonts w:ascii="Tahoma" w:eastAsia="Tahoma" w:hAnsi="Tahoma" w:cs="Tahoma"/>
        </w:rPr>
        <w:t>,</w:t>
      </w:r>
      <w:r w:rsidR="00FB60F9" w:rsidRPr="00631EB0">
        <w:rPr>
          <w:rFonts w:ascii="Tahoma" w:eastAsia="Tahoma" w:hAnsi="Tahoma" w:cs="Tahoma"/>
        </w:rPr>
        <w:t xml:space="preserve"> jurisprudenciales</w:t>
      </w:r>
      <w:r w:rsidR="00A71302" w:rsidRPr="00631EB0">
        <w:rPr>
          <w:rFonts w:ascii="Tahoma" w:eastAsia="Tahoma" w:hAnsi="Tahoma" w:cs="Tahoma"/>
        </w:rPr>
        <w:t xml:space="preserve"> y de memorar acápites de la Ley 1112 de 2006</w:t>
      </w:r>
      <w:r w:rsidR="001B18D5" w:rsidRPr="00631EB0">
        <w:rPr>
          <w:rFonts w:ascii="Tahoma" w:eastAsia="Tahoma" w:hAnsi="Tahoma" w:cs="Tahoma"/>
        </w:rPr>
        <w:t>,</w:t>
      </w:r>
      <w:r w:rsidR="00A1109B" w:rsidRPr="00631EB0">
        <w:rPr>
          <w:rFonts w:ascii="Tahoma" w:eastAsia="Tahoma" w:hAnsi="Tahoma" w:cs="Tahoma"/>
        </w:rPr>
        <w:t xml:space="preserve"> adujo que en aplicación </w:t>
      </w:r>
      <w:r w:rsidR="00FC5E9E" w:rsidRPr="00631EB0">
        <w:rPr>
          <w:rFonts w:ascii="Tahoma" w:eastAsia="Tahoma" w:hAnsi="Tahoma" w:cs="Tahoma"/>
        </w:rPr>
        <w:t xml:space="preserve">del </w:t>
      </w:r>
      <w:r w:rsidR="00A1109B" w:rsidRPr="00631EB0">
        <w:rPr>
          <w:rFonts w:ascii="Tahoma" w:eastAsia="Tahoma" w:hAnsi="Tahoma" w:cs="Tahoma"/>
        </w:rPr>
        <w:t>convenio</w:t>
      </w:r>
      <w:r w:rsidR="00FC5E9E" w:rsidRPr="00631EB0">
        <w:rPr>
          <w:rFonts w:ascii="Tahoma" w:eastAsia="Tahoma" w:hAnsi="Tahoma" w:cs="Tahoma"/>
        </w:rPr>
        <w:t xml:space="preserve"> internacional adoptado con esta ley,</w:t>
      </w:r>
      <w:r w:rsidR="00A1109B" w:rsidRPr="00631EB0">
        <w:rPr>
          <w:rFonts w:ascii="Tahoma" w:eastAsia="Tahoma" w:hAnsi="Tahoma" w:cs="Tahoma"/>
        </w:rPr>
        <w:t xml:space="preserve"> aquellas personas que laboran en Colombia y en España y que realizaron cotizaciones al sistema de seguridad social in</w:t>
      </w:r>
      <w:r w:rsidR="00912490" w:rsidRPr="00631EB0">
        <w:rPr>
          <w:rFonts w:ascii="Tahoma" w:eastAsia="Tahoma" w:hAnsi="Tahoma" w:cs="Tahoma"/>
        </w:rPr>
        <w:t>tegral, pod</w:t>
      </w:r>
      <w:r w:rsidR="0032163F" w:rsidRPr="00631EB0">
        <w:rPr>
          <w:rFonts w:ascii="Tahoma" w:eastAsia="Tahoma" w:hAnsi="Tahoma" w:cs="Tahoma"/>
        </w:rPr>
        <w:t>ían</w:t>
      </w:r>
      <w:r w:rsidR="00912490" w:rsidRPr="00631EB0">
        <w:rPr>
          <w:rFonts w:ascii="Tahoma" w:eastAsia="Tahoma" w:hAnsi="Tahoma" w:cs="Tahoma"/>
        </w:rPr>
        <w:t xml:space="preserve"> suma</w:t>
      </w:r>
      <w:r w:rsidR="00FC5E9E" w:rsidRPr="00631EB0">
        <w:rPr>
          <w:rFonts w:ascii="Tahoma" w:eastAsia="Tahoma" w:hAnsi="Tahoma" w:cs="Tahoma"/>
        </w:rPr>
        <w:t>r</w:t>
      </w:r>
      <w:r w:rsidR="00912490" w:rsidRPr="00631EB0">
        <w:rPr>
          <w:rFonts w:ascii="Tahoma" w:eastAsia="Tahoma" w:hAnsi="Tahoma" w:cs="Tahoma"/>
        </w:rPr>
        <w:t xml:space="preserve"> y totalizar los periodos para reconocer la pensión en Colombia o España</w:t>
      </w:r>
      <w:r w:rsidR="00263903" w:rsidRPr="00631EB0">
        <w:rPr>
          <w:rFonts w:ascii="Tahoma" w:eastAsia="Tahoma" w:hAnsi="Tahoma" w:cs="Tahoma"/>
        </w:rPr>
        <w:t xml:space="preserve">, incluso para el reconocimiento de pensiones bajo la egida del acuerdo 049 de 1990, </w:t>
      </w:r>
      <w:r w:rsidR="0032163F" w:rsidRPr="00631EB0">
        <w:rPr>
          <w:rFonts w:ascii="Tahoma" w:eastAsia="Tahoma" w:hAnsi="Tahoma" w:cs="Tahoma"/>
        </w:rPr>
        <w:t xml:space="preserve">de conformidad con el </w:t>
      </w:r>
      <w:r w:rsidR="00263903" w:rsidRPr="00631EB0">
        <w:rPr>
          <w:rFonts w:ascii="Tahoma" w:eastAsia="Tahoma" w:hAnsi="Tahoma" w:cs="Tahoma"/>
        </w:rPr>
        <w:t>régimen de transición</w:t>
      </w:r>
      <w:r w:rsidR="0085773B" w:rsidRPr="00631EB0">
        <w:rPr>
          <w:rFonts w:ascii="Tahoma" w:eastAsia="Tahoma" w:hAnsi="Tahoma" w:cs="Tahoma"/>
        </w:rPr>
        <w:t>.</w:t>
      </w:r>
    </w:p>
    <w:p w14:paraId="3D0893DF" w14:textId="0D1DA64F" w:rsidR="0085773B" w:rsidRPr="00631EB0" w:rsidRDefault="0085773B" w:rsidP="00631EB0">
      <w:pPr>
        <w:spacing w:line="276" w:lineRule="auto"/>
        <w:ind w:firstLine="708"/>
        <w:jc w:val="both"/>
        <w:rPr>
          <w:rFonts w:ascii="Tahoma" w:eastAsia="Tahoma" w:hAnsi="Tahoma" w:cs="Tahoma"/>
        </w:rPr>
      </w:pPr>
    </w:p>
    <w:p w14:paraId="0D826A0D" w14:textId="77777777" w:rsidR="00FC5E9E" w:rsidRPr="00631EB0" w:rsidRDefault="0085773B" w:rsidP="00631EB0">
      <w:pPr>
        <w:spacing w:line="276" w:lineRule="auto"/>
        <w:ind w:firstLine="708"/>
        <w:jc w:val="both"/>
        <w:rPr>
          <w:rFonts w:ascii="Tahoma" w:eastAsia="Tahoma" w:hAnsi="Tahoma" w:cs="Tahoma"/>
        </w:rPr>
      </w:pPr>
      <w:r w:rsidRPr="00631EB0">
        <w:rPr>
          <w:rFonts w:ascii="Tahoma" w:eastAsia="Tahoma" w:hAnsi="Tahoma" w:cs="Tahoma"/>
        </w:rPr>
        <w:t>En ese orden</w:t>
      </w:r>
      <w:r w:rsidR="00355BD8" w:rsidRPr="00631EB0">
        <w:rPr>
          <w:rFonts w:ascii="Tahoma" w:eastAsia="Tahoma" w:hAnsi="Tahoma" w:cs="Tahoma"/>
        </w:rPr>
        <w:t>,</w:t>
      </w:r>
      <w:r w:rsidRPr="00631EB0">
        <w:rPr>
          <w:rFonts w:ascii="Tahoma" w:eastAsia="Tahoma" w:hAnsi="Tahoma" w:cs="Tahoma"/>
        </w:rPr>
        <w:t xml:space="preserve"> indicó que la demandante</w:t>
      </w:r>
      <w:r w:rsidR="00FC5E9E" w:rsidRPr="00631EB0">
        <w:rPr>
          <w:rFonts w:ascii="Tahoma" w:eastAsia="Tahoma" w:hAnsi="Tahoma" w:cs="Tahoma"/>
        </w:rPr>
        <w:t>,</w:t>
      </w:r>
      <w:r w:rsidRPr="00631EB0">
        <w:rPr>
          <w:rFonts w:ascii="Tahoma" w:eastAsia="Tahoma" w:hAnsi="Tahoma" w:cs="Tahoma"/>
        </w:rPr>
        <w:t xml:space="preserve"> </w:t>
      </w:r>
      <w:r w:rsidR="00355BD8" w:rsidRPr="00631EB0">
        <w:rPr>
          <w:rFonts w:ascii="Tahoma" w:eastAsia="Tahoma" w:hAnsi="Tahoma" w:cs="Tahoma"/>
        </w:rPr>
        <w:t xml:space="preserve">al haber nacido </w:t>
      </w:r>
      <w:r w:rsidRPr="00631EB0">
        <w:rPr>
          <w:rFonts w:ascii="Tahoma" w:eastAsia="Tahoma" w:hAnsi="Tahoma" w:cs="Tahoma"/>
        </w:rPr>
        <w:t xml:space="preserve">el </w:t>
      </w:r>
      <w:r w:rsidR="00355BD8" w:rsidRPr="00631EB0">
        <w:rPr>
          <w:rFonts w:ascii="Tahoma" w:eastAsia="Tahoma" w:hAnsi="Tahoma" w:cs="Tahoma"/>
        </w:rPr>
        <w:t xml:space="preserve">12 de septiembre de 1954, para el 1 de abril de 1994 contaba con 39 años de edad, </w:t>
      </w:r>
      <w:r w:rsidR="004B443E" w:rsidRPr="00631EB0">
        <w:rPr>
          <w:rFonts w:ascii="Tahoma" w:eastAsia="Tahoma" w:hAnsi="Tahoma" w:cs="Tahoma"/>
        </w:rPr>
        <w:t>por lo que en principio era beneficiaria del régimen de transición previsto en el artículo 36 de la Ley 100 de 1993</w:t>
      </w:r>
      <w:r w:rsidR="006B654A" w:rsidRPr="00631EB0">
        <w:rPr>
          <w:rFonts w:ascii="Tahoma" w:eastAsia="Tahoma" w:hAnsi="Tahoma" w:cs="Tahoma"/>
        </w:rPr>
        <w:t xml:space="preserve">, </w:t>
      </w:r>
      <w:r w:rsidR="00FC5E9E" w:rsidRPr="00631EB0">
        <w:rPr>
          <w:rFonts w:ascii="Tahoma" w:eastAsia="Tahoma" w:hAnsi="Tahoma" w:cs="Tahoma"/>
        </w:rPr>
        <w:t>siéndole</w:t>
      </w:r>
      <w:r w:rsidR="006B654A" w:rsidRPr="00631EB0">
        <w:rPr>
          <w:rFonts w:ascii="Tahoma" w:eastAsia="Tahoma" w:hAnsi="Tahoma" w:cs="Tahoma"/>
        </w:rPr>
        <w:t xml:space="preserve"> aplicable el acuerdo 049 de 1990, aprobado por el Decreto 758 del mismo año</w:t>
      </w:r>
      <w:r w:rsidR="003964D4" w:rsidRPr="00631EB0">
        <w:rPr>
          <w:rFonts w:ascii="Tahoma" w:eastAsia="Tahoma" w:hAnsi="Tahoma" w:cs="Tahoma"/>
        </w:rPr>
        <w:t xml:space="preserve">. </w:t>
      </w:r>
    </w:p>
    <w:p w14:paraId="17304D00" w14:textId="77777777" w:rsidR="00FC5E9E" w:rsidRPr="00631EB0" w:rsidRDefault="00FC5E9E" w:rsidP="00631EB0">
      <w:pPr>
        <w:spacing w:line="276" w:lineRule="auto"/>
        <w:ind w:firstLine="708"/>
        <w:jc w:val="both"/>
        <w:rPr>
          <w:rFonts w:ascii="Tahoma" w:eastAsia="Tahoma" w:hAnsi="Tahoma" w:cs="Tahoma"/>
        </w:rPr>
      </w:pPr>
    </w:p>
    <w:p w14:paraId="4581E570" w14:textId="188374BA" w:rsidR="0085773B" w:rsidRPr="00631EB0" w:rsidRDefault="00FC5E9E" w:rsidP="00631EB0">
      <w:pPr>
        <w:spacing w:line="276" w:lineRule="auto"/>
        <w:ind w:firstLine="708"/>
        <w:jc w:val="both"/>
        <w:rPr>
          <w:rFonts w:ascii="Tahoma" w:eastAsia="Tahoma" w:hAnsi="Tahoma" w:cs="Tahoma"/>
        </w:rPr>
      </w:pPr>
      <w:r w:rsidRPr="00631EB0">
        <w:rPr>
          <w:rFonts w:ascii="Tahoma" w:eastAsia="Tahoma" w:hAnsi="Tahoma" w:cs="Tahoma"/>
        </w:rPr>
        <w:t>Establecido lo anterior, procedió a verificar la cantidad de semanas cotizadas por la actora, concluyendo que asciende a 1038 semanas</w:t>
      </w:r>
      <w:r w:rsidR="00693266" w:rsidRPr="00631EB0">
        <w:rPr>
          <w:rFonts w:ascii="Tahoma" w:eastAsia="Tahoma" w:hAnsi="Tahoma" w:cs="Tahoma"/>
        </w:rPr>
        <w:t xml:space="preserve"> cotizadas en toda su vida laboral, de las cuales 770,43 semanas fueron cotizadas antes del 29 de julio de 2005, es decir, antes de la promulgación del acto legislativo 01 de 2005, con lo cual conservó el régimen de transición, según se desprende de su historia laboral y del contenido de la Resolución </w:t>
      </w:r>
      <w:r w:rsidR="0047240E" w:rsidRPr="00631EB0">
        <w:rPr>
          <w:rFonts w:ascii="Tahoma" w:eastAsia="Tahoma" w:hAnsi="Tahoma" w:cs="Tahoma"/>
        </w:rPr>
        <w:t>VPB 43953 del 7 de diciembre de 2016,</w:t>
      </w:r>
      <w:r w:rsidR="00693266" w:rsidRPr="00631EB0">
        <w:rPr>
          <w:rFonts w:ascii="Tahoma" w:eastAsia="Tahoma" w:hAnsi="Tahoma" w:cs="Tahoma"/>
        </w:rPr>
        <w:t xml:space="preserve"> última</w:t>
      </w:r>
      <w:r w:rsidR="0047240E" w:rsidRPr="00631EB0">
        <w:rPr>
          <w:rFonts w:ascii="Tahoma" w:eastAsia="Tahoma" w:hAnsi="Tahoma" w:cs="Tahoma"/>
        </w:rPr>
        <w:t xml:space="preserve"> a través de la cual Colpensiones imputó las cotizaciones realizadas en el reino de España</w:t>
      </w:r>
      <w:r w:rsidR="00823950" w:rsidRPr="00631EB0">
        <w:rPr>
          <w:rFonts w:ascii="Tahoma" w:eastAsia="Tahoma" w:hAnsi="Tahoma" w:cs="Tahoma"/>
        </w:rPr>
        <w:t xml:space="preserve"> </w:t>
      </w:r>
    </w:p>
    <w:p w14:paraId="5E4DB702" w14:textId="6672A4A3" w:rsidR="00E915C8" w:rsidRPr="00631EB0" w:rsidRDefault="00E915C8" w:rsidP="00631EB0">
      <w:pPr>
        <w:spacing w:line="276" w:lineRule="auto"/>
        <w:ind w:firstLine="708"/>
        <w:jc w:val="both"/>
        <w:rPr>
          <w:rFonts w:ascii="Tahoma" w:eastAsia="Tahoma" w:hAnsi="Tahoma" w:cs="Tahoma"/>
        </w:rPr>
      </w:pPr>
    </w:p>
    <w:p w14:paraId="57C51BD7" w14:textId="3AE91249" w:rsidR="009446CD" w:rsidRPr="00631EB0" w:rsidRDefault="00E915C8" w:rsidP="00631EB0">
      <w:pPr>
        <w:spacing w:line="276" w:lineRule="auto"/>
        <w:ind w:firstLine="708"/>
        <w:jc w:val="both"/>
        <w:rPr>
          <w:rFonts w:ascii="Tahoma" w:eastAsia="Tahoma" w:hAnsi="Tahoma" w:cs="Tahoma"/>
        </w:rPr>
      </w:pPr>
      <w:r w:rsidRPr="00631EB0">
        <w:rPr>
          <w:rFonts w:ascii="Tahoma" w:eastAsia="Tahoma" w:hAnsi="Tahoma" w:cs="Tahoma"/>
        </w:rPr>
        <w:t>En consecuencia, calculó la pensión teórica</w:t>
      </w:r>
      <w:r w:rsidR="009B7234" w:rsidRPr="00631EB0">
        <w:rPr>
          <w:rFonts w:ascii="Tahoma" w:eastAsia="Tahoma" w:hAnsi="Tahoma" w:cs="Tahoma"/>
        </w:rPr>
        <w:t xml:space="preserve"> sobre el mínimo mensual legal vigente</w:t>
      </w:r>
      <w:r w:rsidRPr="00631EB0">
        <w:rPr>
          <w:rFonts w:ascii="Tahoma" w:eastAsia="Tahoma" w:hAnsi="Tahoma" w:cs="Tahoma"/>
        </w:rPr>
        <w:t xml:space="preserve"> y determinó que </w:t>
      </w:r>
      <w:r w:rsidR="00AD7C5A" w:rsidRPr="00631EB0">
        <w:rPr>
          <w:rFonts w:ascii="Tahoma" w:eastAsia="Tahoma" w:hAnsi="Tahoma" w:cs="Tahoma"/>
        </w:rPr>
        <w:t xml:space="preserve">el montó a prorrata que le correspondía reconocer a </w:t>
      </w:r>
      <w:r w:rsidR="00AD7C5A" w:rsidRPr="00631EB0">
        <w:rPr>
          <w:rFonts w:ascii="Tahoma" w:eastAsia="Tahoma" w:hAnsi="Tahoma" w:cs="Tahoma"/>
        </w:rPr>
        <w:lastRenderedPageBreak/>
        <w:t>Colpensiones ascendía al 66.6</w:t>
      </w:r>
      <w:r w:rsidR="00910D6F" w:rsidRPr="00631EB0">
        <w:rPr>
          <w:rFonts w:ascii="Tahoma" w:eastAsia="Tahoma" w:hAnsi="Tahoma" w:cs="Tahoma"/>
        </w:rPr>
        <w:t>7</w:t>
      </w:r>
      <w:r w:rsidR="00AD7C5A" w:rsidRPr="00631EB0">
        <w:rPr>
          <w:rFonts w:ascii="Tahoma" w:eastAsia="Tahoma" w:hAnsi="Tahoma" w:cs="Tahoma"/>
        </w:rPr>
        <w:t>%</w:t>
      </w:r>
      <w:r w:rsidR="0001740A" w:rsidRPr="00631EB0">
        <w:rPr>
          <w:rFonts w:ascii="Tahoma" w:eastAsia="Tahoma" w:hAnsi="Tahoma" w:cs="Tahoma"/>
        </w:rPr>
        <w:t>, a partir del 31 de octubre de 2012, teniendo</w:t>
      </w:r>
      <w:r w:rsidR="00693266" w:rsidRPr="00631EB0">
        <w:rPr>
          <w:rFonts w:ascii="Tahoma" w:eastAsia="Tahoma" w:hAnsi="Tahoma" w:cs="Tahoma"/>
        </w:rPr>
        <w:t xml:space="preserve"> en cuenta</w:t>
      </w:r>
      <w:r w:rsidR="0001740A" w:rsidRPr="00631EB0">
        <w:rPr>
          <w:rFonts w:ascii="Tahoma" w:eastAsia="Tahoma" w:hAnsi="Tahoma" w:cs="Tahoma"/>
        </w:rPr>
        <w:t xml:space="preserve"> que la última cotización data del día anterio</w:t>
      </w:r>
      <w:r w:rsidR="009446CD" w:rsidRPr="00631EB0">
        <w:rPr>
          <w:rFonts w:ascii="Tahoma" w:eastAsia="Tahoma" w:hAnsi="Tahoma" w:cs="Tahoma"/>
        </w:rPr>
        <w:t>r</w:t>
      </w:r>
      <w:r w:rsidR="0063019F" w:rsidRPr="00631EB0">
        <w:rPr>
          <w:rFonts w:ascii="Tahoma" w:eastAsia="Tahoma" w:hAnsi="Tahoma" w:cs="Tahoma"/>
        </w:rPr>
        <w:t>, por 13 mesadas al año.</w:t>
      </w:r>
    </w:p>
    <w:p w14:paraId="414E387D" w14:textId="77777777" w:rsidR="009446CD" w:rsidRPr="00631EB0" w:rsidRDefault="009446CD" w:rsidP="00631EB0">
      <w:pPr>
        <w:spacing w:line="276" w:lineRule="auto"/>
        <w:ind w:firstLine="708"/>
        <w:jc w:val="both"/>
        <w:rPr>
          <w:rFonts w:ascii="Tahoma" w:eastAsia="Tahoma" w:hAnsi="Tahoma" w:cs="Tahoma"/>
        </w:rPr>
      </w:pPr>
    </w:p>
    <w:p w14:paraId="5722E40B" w14:textId="7AA8AA1E" w:rsidR="00E915C8" w:rsidRPr="00631EB0" w:rsidRDefault="009446CD" w:rsidP="00631EB0">
      <w:pPr>
        <w:spacing w:line="276" w:lineRule="auto"/>
        <w:ind w:firstLine="708"/>
        <w:jc w:val="both"/>
        <w:rPr>
          <w:rFonts w:ascii="Tahoma" w:eastAsia="Tahoma" w:hAnsi="Tahoma" w:cs="Tahoma"/>
        </w:rPr>
      </w:pPr>
      <w:r w:rsidRPr="00631EB0">
        <w:rPr>
          <w:rFonts w:ascii="Tahoma" w:eastAsia="Tahoma" w:hAnsi="Tahoma" w:cs="Tahoma"/>
        </w:rPr>
        <w:t xml:space="preserve">Añadió </w:t>
      </w:r>
      <w:r w:rsidR="00B042BA" w:rsidRPr="00631EB0">
        <w:rPr>
          <w:rFonts w:ascii="Tahoma" w:eastAsia="Tahoma" w:hAnsi="Tahoma" w:cs="Tahoma"/>
        </w:rPr>
        <w:t>que para la fecha de la primera reclamación no reunía las semanas necesarias para acceder a la gracia pensional</w:t>
      </w:r>
      <w:r w:rsidR="005E1166" w:rsidRPr="00631EB0">
        <w:rPr>
          <w:rFonts w:ascii="Tahoma" w:eastAsia="Tahoma" w:hAnsi="Tahoma" w:cs="Tahoma"/>
        </w:rPr>
        <w:t xml:space="preserve">, </w:t>
      </w:r>
      <w:r w:rsidR="008C1181" w:rsidRPr="00631EB0">
        <w:rPr>
          <w:rFonts w:ascii="Tahoma" w:eastAsia="Tahoma" w:hAnsi="Tahoma" w:cs="Tahoma"/>
        </w:rPr>
        <w:t>así mismo</w:t>
      </w:r>
      <w:r w:rsidR="00693266" w:rsidRPr="00631EB0">
        <w:rPr>
          <w:rFonts w:ascii="Tahoma" w:eastAsia="Tahoma" w:hAnsi="Tahoma" w:cs="Tahoma"/>
        </w:rPr>
        <w:t>,</w:t>
      </w:r>
      <w:r w:rsidR="008C1181" w:rsidRPr="00631EB0">
        <w:rPr>
          <w:rFonts w:ascii="Tahoma" w:eastAsia="Tahoma" w:hAnsi="Tahoma" w:cs="Tahoma"/>
        </w:rPr>
        <w:t xml:space="preserve"> precisó que el </w:t>
      </w:r>
      <w:r w:rsidR="00FB5145" w:rsidRPr="00631EB0">
        <w:rPr>
          <w:rFonts w:ascii="Tahoma" w:eastAsia="Tahoma" w:hAnsi="Tahoma" w:cs="Tahoma"/>
        </w:rPr>
        <w:t xml:space="preserve">proceso adelantado ante los juzgados del </w:t>
      </w:r>
      <w:r w:rsidR="00693266" w:rsidRPr="00631EB0">
        <w:rPr>
          <w:rFonts w:ascii="Tahoma" w:eastAsia="Tahoma" w:hAnsi="Tahoma" w:cs="Tahoma"/>
        </w:rPr>
        <w:t>C</w:t>
      </w:r>
      <w:r w:rsidR="00FB5145" w:rsidRPr="00631EB0">
        <w:rPr>
          <w:rFonts w:ascii="Tahoma" w:eastAsia="Tahoma" w:hAnsi="Tahoma" w:cs="Tahoma"/>
        </w:rPr>
        <w:t xml:space="preserve">ircuito de Bogotá finiquitó por </w:t>
      </w:r>
      <w:r w:rsidR="007F0917" w:rsidRPr="00631EB0">
        <w:rPr>
          <w:rFonts w:ascii="Tahoma" w:eastAsia="Tahoma" w:hAnsi="Tahoma" w:cs="Tahoma"/>
        </w:rPr>
        <w:t>medio de auto del 19 enero de 2017</w:t>
      </w:r>
      <w:r w:rsidR="00693266" w:rsidRPr="00631EB0">
        <w:rPr>
          <w:rFonts w:ascii="Tahoma" w:eastAsia="Tahoma" w:hAnsi="Tahoma" w:cs="Tahoma"/>
        </w:rPr>
        <w:t>,</w:t>
      </w:r>
      <w:r w:rsidR="007F0917" w:rsidRPr="00631EB0">
        <w:rPr>
          <w:rFonts w:ascii="Tahoma" w:eastAsia="Tahoma" w:hAnsi="Tahoma" w:cs="Tahoma"/>
        </w:rPr>
        <w:t xml:space="preserve"> ante la falta de competencia y dispuso el archivo</w:t>
      </w:r>
      <w:r w:rsidR="0048599A" w:rsidRPr="00631EB0">
        <w:rPr>
          <w:rFonts w:ascii="Tahoma" w:eastAsia="Tahoma" w:hAnsi="Tahoma" w:cs="Tahoma"/>
        </w:rPr>
        <w:t xml:space="preserve">, </w:t>
      </w:r>
      <w:r w:rsidR="00693266" w:rsidRPr="00631EB0">
        <w:rPr>
          <w:rFonts w:ascii="Tahoma" w:eastAsia="Tahoma" w:hAnsi="Tahoma" w:cs="Tahoma"/>
        </w:rPr>
        <w:t>pero no implicó un pronunciamiento de fondo. P</w:t>
      </w:r>
      <w:r w:rsidR="0048599A" w:rsidRPr="00631EB0">
        <w:rPr>
          <w:rFonts w:ascii="Tahoma" w:eastAsia="Tahoma" w:hAnsi="Tahoma" w:cs="Tahoma"/>
        </w:rPr>
        <w:t>or último</w:t>
      </w:r>
      <w:r w:rsidR="00693266" w:rsidRPr="00631EB0">
        <w:rPr>
          <w:rFonts w:ascii="Tahoma" w:eastAsia="Tahoma" w:hAnsi="Tahoma" w:cs="Tahoma"/>
        </w:rPr>
        <w:t>, explicó que</w:t>
      </w:r>
      <w:r w:rsidR="0048599A" w:rsidRPr="00631EB0">
        <w:rPr>
          <w:rFonts w:ascii="Tahoma" w:eastAsia="Tahoma" w:hAnsi="Tahoma" w:cs="Tahoma"/>
        </w:rPr>
        <w:t xml:space="preserve"> solo hasta que el Ministerio del Trabajo remitió los formularios ES/CO 02, la administradora pudo emitir la Resolución</w:t>
      </w:r>
      <w:r w:rsidR="00BC50CD" w:rsidRPr="00631EB0">
        <w:rPr>
          <w:rFonts w:ascii="Tahoma" w:eastAsia="Tahoma" w:hAnsi="Tahoma" w:cs="Tahoma"/>
        </w:rPr>
        <w:t xml:space="preserve"> No.</w:t>
      </w:r>
      <w:r w:rsidR="0048599A" w:rsidRPr="00631EB0">
        <w:rPr>
          <w:rFonts w:ascii="Tahoma" w:eastAsia="Tahoma" w:hAnsi="Tahoma" w:cs="Tahoma"/>
        </w:rPr>
        <w:t xml:space="preserve"> </w:t>
      </w:r>
      <w:r w:rsidR="004A09F1" w:rsidRPr="00631EB0">
        <w:rPr>
          <w:rFonts w:ascii="Tahoma" w:eastAsia="Tahoma" w:hAnsi="Tahoma" w:cs="Tahoma"/>
        </w:rPr>
        <w:t>314864</w:t>
      </w:r>
      <w:r w:rsidR="00F10C4D" w:rsidRPr="00631EB0">
        <w:rPr>
          <w:rFonts w:ascii="Tahoma" w:eastAsia="Tahoma" w:hAnsi="Tahoma" w:cs="Tahoma"/>
        </w:rPr>
        <w:t xml:space="preserve"> del 29 de octubre de 2016, por lo cual el disfrute del derecho debe radicar desde el 31 de octubre de 2012, declarando impróspera la excepción de prescripción</w:t>
      </w:r>
      <w:r w:rsidR="001C0ABD" w:rsidRPr="00631EB0">
        <w:rPr>
          <w:rFonts w:ascii="Tahoma" w:eastAsia="Tahoma" w:hAnsi="Tahoma" w:cs="Tahoma"/>
        </w:rPr>
        <w:t xml:space="preserve">, ya que el recurso de apelación fue resuelto el 7 de diciembre de 2016 y la demanda </w:t>
      </w:r>
      <w:r w:rsidR="00BC50CD" w:rsidRPr="00631EB0">
        <w:rPr>
          <w:rFonts w:ascii="Tahoma" w:eastAsia="Tahoma" w:hAnsi="Tahoma" w:cs="Tahoma"/>
        </w:rPr>
        <w:t xml:space="preserve">fue presentada </w:t>
      </w:r>
      <w:r w:rsidR="001C0ABD" w:rsidRPr="00631EB0">
        <w:rPr>
          <w:rFonts w:ascii="Tahoma" w:eastAsia="Tahoma" w:hAnsi="Tahoma" w:cs="Tahoma"/>
        </w:rPr>
        <w:t>el 12 de abril de 2019,</w:t>
      </w:r>
      <w:r w:rsidR="00BC50CD" w:rsidRPr="00631EB0">
        <w:rPr>
          <w:rFonts w:ascii="Tahoma" w:eastAsia="Tahoma" w:hAnsi="Tahoma" w:cs="Tahoma"/>
        </w:rPr>
        <w:t xml:space="preserve"> de modo que</w:t>
      </w:r>
      <w:r w:rsidR="001C0ABD" w:rsidRPr="00631EB0">
        <w:rPr>
          <w:rFonts w:ascii="Tahoma" w:eastAsia="Tahoma" w:hAnsi="Tahoma" w:cs="Tahoma"/>
        </w:rPr>
        <w:t xml:space="preserve"> no transcurrieron más de 3 años.</w:t>
      </w:r>
    </w:p>
    <w:p w14:paraId="5EE20BA7" w14:textId="20E5EE92" w:rsidR="00D72010" w:rsidRPr="00631EB0" w:rsidRDefault="00D72010" w:rsidP="00631EB0">
      <w:pPr>
        <w:spacing w:line="276" w:lineRule="auto"/>
        <w:ind w:firstLine="708"/>
        <w:jc w:val="both"/>
        <w:rPr>
          <w:rFonts w:ascii="Tahoma" w:eastAsia="Tahoma" w:hAnsi="Tahoma" w:cs="Tahoma"/>
        </w:rPr>
      </w:pPr>
    </w:p>
    <w:p w14:paraId="0F736004" w14:textId="4B453DB6" w:rsidR="00737699" w:rsidRPr="00631EB0" w:rsidRDefault="00D72010" w:rsidP="00631EB0">
      <w:pPr>
        <w:spacing w:line="276" w:lineRule="auto"/>
        <w:ind w:firstLine="708"/>
        <w:jc w:val="both"/>
        <w:rPr>
          <w:rFonts w:ascii="Tahoma" w:eastAsia="Tahoma" w:hAnsi="Tahoma" w:cs="Tahoma"/>
        </w:rPr>
      </w:pPr>
      <w:r w:rsidRPr="00631EB0">
        <w:rPr>
          <w:rFonts w:ascii="Tahoma" w:eastAsia="Tahoma" w:hAnsi="Tahoma" w:cs="Tahoma"/>
        </w:rPr>
        <w:t xml:space="preserve">Del mismo modo, atendiendo </w:t>
      </w:r>
      <w:r w:rsidR="00710BBA" w:rsidRPr="00631EB0">
        <w:rPr>
          <w:rFonts w:ascii="Tahoma" w:eastAsia="Tahoma" w:hAnsi="Tahoma" w:cs="Tahoma"/>
        </w:rPr>
        <w:t>que,</w:t>
      </w:r>
      <w:r w:rsidRPr="00631EB0">
        <w:rPr>
          <w:rFonts w:ascii="Tahoma" w:eastAsia="Tahoma" w:hAnsi="Tahoma" w:cs="Tahoma"/>
        </w:rPr>
        <w:t xml:space="preserve"> a partir del 29 de octubre de 2016, Colpensiones incorporó </w:t>
      </w:r>
      <w:r w:rsidR="00C236FF" w:rsidRPr="00631EB0">
        <w:rPr>
          <w:rFonts w:ascii="Tahoma" w:eastAsia="Tahoma" w:hAnsi="Tahoma" w:cs="Tahoma"/>
        </w:rPr>
        <w:t xml:space="preserve">las semanas cotizadas en el Reino de España dispuso que los intereses moratorios debían causarse desde el </w:t>
      </w:r>
      <w:r w:rsidR="00DF50D7" w:rsidRPr="00631EB0">
        <w:rPr>
          <w:rFonts w:ascii="Tahoma" w:eastAsia="Tahoma" w:hAnsi="Tahoma" w:cs="Tahoma"/>
        </w:rPr>
        <w:t xml:space="preserve">29 de enero de 2017, es decir transcurridos 4 meses desde que tuvo los elementos de juicio </w:t>
      </w:r>
      <w:r w:rsidR="00734747" w:rsidRPr="00631EB0">
        <w:rPr>
          <w:rFonts w:ascii="Tahoma" w:eastAsia="Tahoma" w:hAnsi="Tahoma" w:cs="Tahoma"/>
        </w:rPr>
        <w:t xml:space="preserve">para </w:t>
      </w:r>
      <w:r w:rsidR="00BC50CD" w:rsidRPr="00631EB0">
        <w:rPr>
          <w:rFonts w:ascii="Tahoma" w:eastAsia="Tahoma" w:hAnsi="Tahoma" w:cs="Tahoma"/>
        </w:rPr>
        <w:t>conceder e</w:t>
      </w:r>
      <w:r w:rsidR="00734747" w:rsidRPr="00631EB0">
        <w:rPr>
          <w:rFonts w:ascii="Tahoma" w:eastAsia="Tahoma" w:hAnsi="Tahoma" w:cs="Tahoma"/>
        </w:rPr>
        <w:t xml:space="preserve">l derecho </w:t>
      </w:r>
      <w:r w:rsidR="00BC50CD" w:rsidRPr="00631EB0">
        <w:rPr>
          <w:rFonts w:ascii="Tahoma" w:eastAsia="Tahoma" w:hAnsi="Tahoma" w:cs="Tahoma"/>
        </w:rPr>
        <w:t>reclamado</w:t>
      </w:r>
      <w:r w:rsidR="00734747" w:rsidRPr="00631EB0">
        <w:rPr>
          <w:rFonts w:ascii="Tahoma" w:eastAsia="Tahoma" w:hAnsi="Tahoma" w:cs="Tahoma"/>
        </w:rPr>
        <w:t>.</w:t>
      </w:r>
    </w:p>
    <w:p w14:paraId="7A729924" w14:textId="77777777" w:rsidR="00D72010" w:rsidRPr="00631EB0" w:rsidRDefault="00D72010" w:rsidP="00631EB0">
      <w:pPr>
        <w:spacing w:line="276" w:lineRule="auto"/>
        <w:ind w:firstLine="708"/>
        <w:jc w:val="both"/>
        <w:rPr>
          <w:rFonts w:ascii="Tahoma" w:eastAsia="Tahoma" w:hAnsi="Tahoma" w:cs="Tahoma"/>
        </w:rPr>
      </w:pPr>
    </w:p>
    <w:p w14:paraId="58C90C5D" w14:textId="29AF7331" w:rsidR="00737699" w:rsidRPr="00631EB0" w:rsidRDefault="00D72010" w:rsidP="00631EB0">
      <w:pPr>
        <w:spacing w:line="276" w:lineRule="auto"/>
        <w:ind w:firstLine="708"/>
        <w:jc w:val="both"/>
        <w:rPr>
          <w:rFonts w:ascii="Tahoma" w:eastAsia="Tahoma" w:hAnsi="Tahoma" w:cs="Tahoma"/>
        </w:rPr>
      </w:pPr>
      <w:r w:rsidRPr="00631EB0">
        <w:rPr>
          <w:rFonts w:ascii="Tahoma" w:eastAsia="Tahoma" w:hAnsi="Tahoma" w:cs="Tahoma"/>
        </w:rPr>
        <w:t>Finalmente</w:t>
      </w:r>
      <w:r w:rsidR="005E58F7" w:rsidRPr="00631EB0">
        <w:rPr>
          <w:rFonts w:ascii="Tahoma" w:eastAsia="Tahoma" w:hAnsi="Tahoma" w:cs="Tahoma"/>
        </w:rPr>
        <w:t xml:space="preserve">, </w:t>
      </w:r>
      <w:r w:rsidR="00737699" w:rsidRPr="00631EB0">
        <w:rPr>
          <w:rFonts w:ascii="Tahoma" w:eastAsia="Tahoma" w:hAnsi="Tahoma" w:cs="Tahoma"/>
        </w:rPr>
        <w:t xml:space="preserve">condenó </w:t>
      </w:r>
      <w:r w:rsidR="00EC5E91" w:rsidRPr="00631EB0">
        <w:rPr>
          <w:rFonts w:ascii="Tahoma" w:eastAsia="Tahoma" w:hAnsi="Tahoma" w:cs="Tahoma"/>
        </w:rPr>
        <w:t>a la suma de $</w:t>
      </w:r>
      <w:r w:rsidR="00CA19C5" w:rsidRPr="00631EB0">
        <w:rPr>
          <w:rFonts w:ascii="Tahoma" w:eastAsia="Tahoma" w:hAnsi="Tahoma" w:cs="Tahoma"/>
        </w:rPr>
        <w:t>58.</w:t>
      </w:r>
      <w:r w:rsidR="005F14B6" w:rsidRPr="00631EB0">
        <w:rPr>
          <w:rFonts w:ascii="Tahoma" w:eastAsia="Tahoma" w:hAnsi="Tahoma" w:cs="Tahoma"/>
        </w:rPr>
        <w:t>953.890</w:t>
      </w:r>
      <w:r w:rsidR="00EC5E91" w:rsidRPr="00631EB0">
        <w:rPr>
          <w:rFonts w:ascii="Tahoma" w:eastAsia="Tahoma" w:hAnsi="Tahoma" w:cs="Tahoma"/>
        </w:rPr>
        <w:t xml:space="preserve"> por retroactivo causado entre </w:t>
      </w:r>
      <w:r w:rsidR="002D03CD" w:rsidRPr="00631EB0">
        <w:rPr>
          <w:rFonts w:ascii="Tahoma" w:eastAsia="Tahoma" w:hAnsi="Tahoma" w:cs="Tahoma"/>
        </w:rPr>
        <w:t>el 31 de octubre de 2012</w:t>
      </w:r>
      <w:r w:rsidR="00EC5E91" w:rsidRPr="00631EB0">
        <w:rPr>
          <w:rFonts w:ascii="Tahoma" w:eastAsia="Tahoma" w:hAnsi="Tahoma" w:cs="Tahoma"/>
        </w:rPr>
        <w:t xml:space="preserve"> y el </w:t>
      </w:r>
      <w:r w:rsidR="002D03CD" w:rsidRPr="00631EB0">
        <w:rPr>
          <w:rFonts w:ascii="Tahoma" w:eastAsia="Tahoma" w:hAnsi="Tahoma" w:cs="Tahoma"/>
        </w:rPr>
        <w:t>31 diciembre de 2021</w:t>
      </w:r>
      <w:r w:rsidR="00EC5E91" w:rsidRPr="00631EB0">
        <w:rPr>
          <w:rFonts w:ascii="Tahoma" w:eastAsia="Tahoma" w:hAnsi="Tahoma" w:cs="Tahoma"/>
        </w:rPr>
        <w:t xml:space="preserve"> sobre </w:t>
      </w:r>
      <w:r w:rsidR="00CA19C5" w:rsidRPr="00631EB0">
        <w:rPr>
          <w:rFonts w:ascii="Tahoma" w:eastAsia="Tahoma" w:hAnsi="Tahoma" w:cs="Tahoma"/>
        </w:rPr>
        <w:t>el porcentaje que debe asumir Colpensiones</w:t>
      </w:r>
      <w:r w:rsidR="005E58F7" w:rsidRPr="00631EB0">
        <w:rPr>
          <w:rFonts w:ascii="Tahoma" w:eastAsia="Tahoma" w:hAnsi="Tahoma" w:cs="Tahoma"/>
        </w:rPr>
        <w:t>, autorizó a la demandada a descontar los aportes en salud</w:t>
      </w:r>
      <w:r w:rsidR="00BE085C" w:rsidRPr="00631EB0">
        <w:rPr>
          <w:rFonts w:ascii="Tahoma" w:eastAsia="Tahoma" w:hAnsi="Tahoma" w:cs="Tahoma"/>
        </w:rPr>
        <w:t>, e impuso costas en un 90% de las causadas.</w:t>
      </w:r>
    </w:p>
    <w:p w14:paraId="242633BA" w14:textId="689B1AB8" w:rsidR="005E58F7" w:rsidRPr="00631EB0" w:rsidRDefault="005E58F7" w:rsidP="00631EB0">
      <w:pPr>
        <w:spacing w:line="276" w:lineRule="auto"/>
        <w:ind w:firstLine="708"/>
        <w:jc w:val="both"/>
        <w:rPr>
          <w:rFonts w:ascii="Tahoma" w:eastAsia="Tahoma" w:hAnsi="Tahoma" w:cs="Tahoma"/>
        </w:rPr>
      </w:pPr>
    </w:p>
    <w:p w14:paraId="4059F324" w14:textId="4FDC83D3" w:rsidR="00752738" w:rsidRPr="00631EB0" w:rsidRDefault="00752738" w:rsidP="00631EB0">
      <w:pPr>
        <w:pStyle w:val="Yo"/>
        <w:spacing w:line="276" w:lineRule="auto"/>
        <w:rPr>
          <w:rFonts w:ascii="Tahoma" w:eastAsia="Calibri" w:hAnsi="Tahoma" w:cs="Tahoma"/>
          <w:sz w:val="24"/>
          <w:szCs w:val="24"/>
        </w:rPr>
      </w:pPr>
      <w:r w:rsidRPr="00631EB0">
        <w:rPr>
          <w:rFonts w:ascii="Tahoma" w:eastAsia="Calibri" w:hAnsi="Tahoma" w:cs="Tahoma"/>
          <w:sz w:val="24"/>
          <w:szCs w:val="24"/>
        </w:rPr>
        <w:t>GRADO JURISDICCIONAL DE CONSULTA</w:t>
      </w:r>
    </w:p>
    <w:p w14:paraId="55D194C0" w14:textId="77777777" w:rsidR="00752738" w:rsidRPr="00631EB0" w:rsidRDefault="00752738" w:rsidP="00631EB0">
      <w:pPr>
        <w:widowControl w:val="0"/>
        <w:autoSpaceDE w:val="0"/>
        <w:autoSpaceDN w:val="0"/>
        <w:spacing w:line="276" w:lineRule="auto"/>
        <w:ind w:firstLine="708"/>
        <w:jc w:val="both"/>
        <w:rPr>
          <w:rFonts w:ascii="Tahoma" w:eastAsia="Calibri" w:hAnsi="Tahoma" w:cs="Tahoma"/>
        </w:rPr>
      </w:pPr>
    </w:p>
    <w:p w14:paraId="6444806F" w14:textId="77777777" w:rsidR="00752738" w:rsidRPr="00631EB0" w:rsidRDefault="00752738" w:rsidP="00631EB0">
      <w:pPr>
        <w:widowControl w:val="0"/>
        <w:autoSpaceDE w:val="0"/>
        <w:autoSpaceDN w:val="0"/>
        <w:spacing w:line="276" w:lineRule="auto"/>
        <w:ind w:firstLine="709"/>
        <w:jc w:val="both"/>
        <w:rPr>
          <w:rFonts w:ascii="Tahoma" w:eastAsia="Calibri" w:hAnsi="Tahoma" w:cs="Tahoma"/>
        </w:rPr>
      </w:pPr>
      <w:r w:rsidRPr="00631EB0">
        <w:rPr>
          <w:rFonts w:ascii="Tahoma" w:eastAsia="Calibri" w:hAnsi="Tahoma" w:cs="Tahoma"/>
        </w:rPr>
        <w:t>Teniendo en cuenta que la Nación es garante del pago de las pensiones del Régimen de Prima Media, tal como lo explicó la Sala de Casación Laboral de la Corte Suprema de Justicia en sentencia STL-7382-2015 Rad. 40200, M.P. Clara Cecilia Dueñas, y que en este caso se dictó sentencia condenatoria en contra de COLPENSIONES, actual administradora del RPM, en cumplimiento del artículo 69 del C.P.T. y de la S.S., la Sala admitió conocer el presente asunto en grado jurisdiccional de consulta en favor de dicha entidad.</w:t>
      </w:r>
    </w:p>
    <w:p w14:paraId="330017BD" w14:textId="77777777" w:rsidR="00752738" w:rsidRPr="00631EB0" w:rsidRDefault="00752738" w:rsidP="00631EB0">
      <w:pPr>
        <w:widowControl w:val="0"/>
        <w:autoSpaceDE w:val="0"/>
        <w:autoSpaceDN w:val="0"/>
        <w:spacing w:line="276" w:lineRule="auto"/>
        <w:ind w:firstLine="709"/>
        <w:jc w:val="both"/>
        <w:rPr>
          <w:rFonts w:ascii="Tahoma" w:eastAsia="Calibri" w:hAnsi="Tahoma" w:cs="Tahoma"/>
        </w:rPr>
      </w:pPr>
    </w:p>
    <w:p w14:paraId="588AC39D" w14:textId="6A09C043" w:rsidR="00752738" w:rsidRPr="00631EB0" w:rsidRDefault="00752738" w:rsidP="00631EB0">
      <w:pPr>
        <w:pStyle w:val="Yo"/>
        <w:spacing w:line="276" w:lineRule="auto"/>
        <w:rPr>
          <w:rFonts w:ascii="Tahoma" w:eastAsia="Calibri" w:hAnsi="Tahoma" w:cs="Tahoma"/>
          <w:sz w:val="24"/>
          <w:szCs w:val="24"/>
        </w:rPr>
      </w:pPr>
      <w:r w:rsidRPr="00631EB0">
        <w:rPr>
          <w:rFonts w:ascii="Tahoma" w:eastAsia="Calibri" w:hAnsi="Tahoma" w:cs="Tahoma"/>
          <w:sz w:val="24"/>
          <w:szCs w:val="24"/>
        </w:rPr>
        <w:t>ALEGATOS DE CONCLUSIÓN</w:t>
      </w:r>
      <w:r w:rsidR="0052348E">
        <w:rPr>
          <w:rFonts w:ascii="Tahoma" w:eastAsia="Calibri" w:hAnsi="Tahoma" w:cs="Tahoma"/>
          <w:sz w:val="24"/>
          <w:szCs w:val="24"/>
        </w:rPr>
        <w:t xml:space="preserve"> </w:t>
      </w:r>
      <w:r w:rsidRPr="00631EB0">
        <w:rPr>
          <w:rFonts w:ascii="Tahoma" w:eastAsia="Calibri" w:hAnsi="Tahoma" w:cs="Tahoma"/>
          <w:sz w:val="24"/>
          <w:szCs w:val="24"/>
        </w:rPr>
        <w:t>/</w:t>
      </w:r>
      <w:r w:rsidR="0052348E">
        <w:rPr>
          <w:rFonts w:ascii="Tahoma" w:eastAsia="Calibri" w:hAnsi="Tahoma" w:cs="Tahoma"/>
          <w:sz w:val="24"/>
          <w:szCs w:val="24"/>
        </w:rPr>
        <w:t xml:space="preserve"> </w:t>
      </w:r>
      <w:r w:rsidRPr="00631EB0">
        <w:rPr>
          <w:rFonts w:ascii="Tahoma" w:eastAsia="Calibri" w:hAnsi="Tahoma" w:cs="Tahoma"/>
          <w:sz w:val="24"/>
          <w:szCs w:val="24"/>
        </w:rPr>
        <w:t>CONCEPTO DEL MINISTERIO PÚBLICO</w:t>
      </w:r>
    </w:p>
    <w:p w14:paraId="5E7F4309" w14:textId="77777777" w:rsidR="00752738" w:rsidRPr="00631EB0" w:rsidRDefault="00752738" w:rsidP="00631EB0">
      <w:pPr>
        <w:pStyle w:val="Prrafodelista"/>
        <w:widowControl w:val="0"/>
        <w:autoSpaceDE w:val="0"/>
        <w:autoSpaceDN w:val="0"/>
        <w:spacing w:line="276" w:lineRule="auto"/>
        <w:ind w:left="0"/>
        <w:jc w:val="both"/>
        <w:rPr>
          <w:rFonts w:ascii="Tahoma" w:eastAsia="Calibri" w:hAnsi="Tahoma" w:cs="Tahoma"/>
          <w:b/>
        </w:rPr>
      </w:pPr>
    </w:p>
    <w:p w14:paraId="533BAAC7" w14:textId="49FAB5F2" w:rsidR="00752738" w:rsidRPr="00631EB0" w:rsidRDefault="00752738" w:rsidP="00631EB0">
      <w:pPr>
        <w:widowControl w:val="0"/>
        <w:autoSpaceDE w:val="0"/>
        <w:autoSpaceDN w:val="0"/>
        <w:spacing w:line="276" w:lineRule="auto"/>
        <w:ind w:firstLine="708"/>
        <w:jc w:val="both"/>
        <w:rPr>
          <w:rFonts w:ascii="Tahoma" w:hAnsi="Tahoma" w:cs="Tahoma"/>
          <w:color w:val="000000"/>
        </w:rPr>
      </w:pPr>
      <w:r w:rsidRPr="00631EB0">
        <w:rPr>
          <w:rStyle w:val="normaltextrun"/>
          <w:rFonts w:ascii="Tahoma" w:hAnsi="Tahoma" w:cs="Tahoma"/>
          <w:color w:val="000000"/>
        </w:rPr>
        <w:t>Analizados los alegatos presentados por</w:t>
      </w:r>
      <w:r w:rsidR="00B77C65" w:rsidRPr="00631EB0">
        <w:rPr>
          <w:rStyle w:val="normaltextrun"/>
          <w:rFonts w:ascii="Tahoma" w:hAnsi="Tahoma" w:cs="Tahoma"/>
          <w:color w:val="000000"/>
        </w:rPr>
        <w:t xml:space="preserve"> las partes</w:t>
      </w:r>
      <w:r w:rsidRPr="00631EB0">
        <w:rPr>
          <w:rStyle w:val="normaltextrun"/>
          <w:rFonts w:ascii="Tahoma" w:hAnsi="Tahoma" w:cs="Tahoma"/>
          <w:color w:val="000000"/>
        </w:rPr>
        <w:t>, mismos que obran en el expediente</w:t>
      </w:r>
      <w:r w:rsidR="00BC50CD" w:rsidRPr="00631EB0">
        <w:rPr>
          <w:rStyle w:val="normaltextrun"/>
          <w:rFonts w:ascii="Tahoma" w:hAnsi="Tahoma" w:cs="Tahoma"/>
          <w:color w:val="000000"/>
        </w:rPr>
        <w:t xml:space="preserve"> </w:t>
      </w:r>
      <w:r w:rsidRPr="00631EB0">
        <w:rPr>
          <w:rStyle w:val="normaltextrun"/>
          <w:rFonts w:ascii="Tahoma" w:hAnsi="Tahoma" w:cs="Tahoma"/>
          <w:color w:val="000000"/>
        </w:rPr>
        <w:t>digital</w:t>
      </w:r>
      <w:r w:rsidR="00BC50CD" w:rsidRPr="00631EB0">
        <w:rPr>
          <w:rStyle w:val="normaltextrun"/>
          <w:rFonts w:ascii="Tahoma" w:hAnsi="Tahoma" w:cs="Tahoma"/>
          <w:color w:val="000000"/>
        </w:rPr>
        <w:t xml:space="preserve"> </w:t>
      </w:r>
      <w:r w:rsidRPr="00631EB0">
        <w:rPr>
          <w:rStyle w:val="normaltextrun"/>
          <w:rFonts w:ascii="Tahoma" w:hAnsi="Tahoma" w:cs="Tahoma"/>
          <w:color w:val="000000"/>
        </w:rPr>
        <w:t>y a los cuales nos remitimos por economía procesal en virtud del artículo</w:t>
      </w:r>
      <w:r w:rsidR="00BC50CD" w:rsidRPr="00631EB0">
        <w:rPr>
          <w:rStyle w:val="normaltextrun"/>
          <w:rFonts w:ascii="Tahoma" w:hAnsi="Tahoma" w:cs="Tahoma"/>
          <w:color w:val="000000"/>
        </w:rPr>
        <w:t xml:space="preserve"> </w:t>
      </w:r>
      <w:r w:rsidRPr="00631EB0">
        <w:rPr>
          <w:rStyle w:val="normaltextrun"/>
          <w:rFonts w:ascii="Tahoma" w:hAnsi="Tahoma" w:cs="Tahoma"/>
          <w:color w:val="000000"/>
        </w:rPr>
        <w:t>280 del C.G.P., la Sala encuentra que los</w:t>
      </w:r>
      <w:r w:rsidR="00BC50CD" w:rsidRPr="00631EB0">
        <w:rPr>
          <w:rStyle w:val="normaltextrun"/>
          <w:rFonts w:ascii="Tahoma" w:hAnsi="Tahoma" w:cs="Tahoma"/>
          <w:color w:val="000000"/>
        </w:rPr>
        <w:t xml:space="preserve"> </w:t>
      </w:r>
      <w:r w:rsidRPr="00631EB0">
        <w:rPr>
          <w:rStyle w:val="normaltextrun"/>
          <w:rFonts w:ascii="Tahoma" w:hAnsi="Tahoma" w:cs="Tahoma"/>
          <w:color w:val="000000"/>
        </w:rPr>
        <w:t>argumentos</w:t>
      </w:r>
      <w:r w:rsidR="00BC50CD" w:rsidRPr="00631EB0">
        <w:rPr>
          <w:rStyle w:val="normaltextrun"/>
          <w:rFonts w:ascii="Tahoma" w:hAnsi="Tahoma" w:cs="Tahoma"/>
          <w:color w:val="000000"/>
        </w:rPr>
        <w:t xml:space="preserve"> </w:t>
      </w:r>
      <w:r w:rsidRPr="00631EB0">
        <w:rPr>
          <w:rStyle w:val="normaltextrun"/>
          <w:rFonts w:ascii="Tahoma" w:hAnsi="Tahoma" w:cs="Tahoma"/>
          <w:color w:val="000000"/>
        </w:rPr>
        <w:t>fácticos</w:t>
      </w:r>
      <w:r w:rsidR="00BC50CD" w:rsidRPr="00631EB0">
        <w:rPr>
          <w:rStyle w:val="normaltextrun"/>
          <w:rFonts w:ascii="Tahoma" w:hAnsi="Tahoma" w:cs="Tahoma"/>
          <w:color w:val="000000"/>
        </w:rPr>
        <w:t xml:space="preserve"> </w:t>
      </w:r>
      <w:r w:rsidRPr="00631EB0">
        <w:rPr>
          <w:rStyle w:val="normaltextrun"/>
          <w:rFonts w:ascii="Tahoma" w:hAnsi="Tahoma" w:cs="Tahoma"/>
          <w:color w:val="000000"/>
        </w:rPr>
        <w:t>y jurídicos</w:t>
      </w:r>
      <w:r w:rsidR="00BC50CD" w:rsidRPr="00631EB0">
        <w:rPr>
          <w:rStyle w:val="normaltextrun"/>
          <w:rFonts w:ascii="Tahoma" w:hAnsi="Tahoma" w:cs="Tahoma"/>
          <w:color w:val="000000"/>
        </w:rPr>
        <w:t xml:space="preserve"> </w:t>
      </w:r>
      <w:r w:rsidRPr="00631EB0">
        <w:rPr>
          <w:rStyle w:val="normaltextrun"/>
          <w:rFonts w:ascii="Tahoma" w:hAnsi="Tahoma" w:cs="Tahoma"/>
          <w:color w:val="000000"/>
        </w:rPr>
        <w:t>expresados</w:t>
      </w:r>
      <w:r w:rsidR="00BC50CD" w:rsidRPr="00631EB0">
        <w:rPr>
          <w:rStyle w:val="normaltextrun"/>
          <w:rFonts w:ascii="Tahoma" w:hAnsi="Tahoma" w:cs="Tahoma"/>
          <w:color w:val="000000"/>
        </w:rPr>
        <w:t xml:space="preserve"> </w:t>
      </w:r>
      <w:r w:rsidRPr="00631EB0">
        <w:rPr>
          <w:rStyle w:val="normaltextrun"/>
          <w:rFonts w:ascii="Tahoma" w:hAnsi="Tahoma" w:cs="Tahoma"/>
          <w:color w:val="000000"/>
        </w:rPr>
        <w:t>en él, concuerdan con los puntos objeto de</w:t>
      </w:r>
      <w:r w:rsidR="00BC50CD" w:rsidRPr="00631EB0">
        <w:rPr>
          <w:rStyle w:val="normaltextrun"/>
          <w:rFonts w:ascii="Tahoma" w:hAnsi="Tahoma" w:cs="Tahoma"/>
          <w:color w:val="000000"/>
        </w:rPr>
        <w:t xml:space="preserve"> </w:t>
      </w:r>
      <w:r w:rsidRPr="00631EB0">
        <w:rPr>
          <w:rStyle w:val="normaltextrun"/>
          <w:rFonts w:ascii="Tahoma" w:hAnsi="Tahoma" w:cs="Tahoma"/>
          <w:color w:val="000000"/>
        </w:rPr>
        <w:t>discusión</w:t>
      </w:r>
      <w:r w:rsidR="00BC50CD" w:rsidRPr="00631EB0">
        <w:rPr>
          <w:rStyle w:val="normaltextrun"/>
          <w:rFonts w:ascii="Tahoma" w:hAnsi="Tahoma" w:cs="Tahoma"/>
          <w:color w:val="000000"/>
        </w:rPr>
        <w:t xml:space="preserve"> </w:t>
      </w:r>
      <w:r w:rsidRPr="00631EB0">
        <w:rPr>
          <w:rStyle w:val="normaltextrun"/>
          <w:rFonts w:ascii="Tahoma" w:hAnsi="Tahoma" w:cs="Tahoma"/>
          <w:color w:val="000000"/>
        </w:rPr>
        <w:t>en esta instancia y se relacionan con el problema jurídico que se expresa a continuación.</w:t>
      </w:r>
      <w:r w:rsidRPr="00631EB0">
        <w:rPr>
          <w:rFonts w:ascii="Tahoma" w:hAnsi="Tahoma" w:cs="Tahoma"/>
          <w:color w:val="000000"/>
        </w:rPr>
        <w:t xml:space="preserve"> </w:t>
      </w:r>
      <w:r w:rsidR="00B77C65" w:rsidRPr="00631EB0">
        <w:rPr>
          <w:rFonts w:ascii="Tahoma" w:hAnsi="Tahoma" w:cs="Tahoma"/>
          <w:color w:val="000000"/>
        </w:rPr>
        <w:t>E</w:t>
      </w:r>
      <w:r w:rsidRPr="00631EB0">
        <w:rPr>
          <w:rFonts w:ascii="Tahoma" w:hAnsi="Tahoma" w:cs="Tahoma"/>
          <w:color w:val="000000"/>
        </w:rPr>
        <w:t>l Ministerio Público no conceptuó en este asunto.</w:t>
      </w:r>
    </w:p>
    <w:p w14:paraId="1D39114E" w14:textId="77777777" w:rsidR="002319F8" w:rsidRPr="00631EB0" w:rsidRDefault="002319F8" w:rsidP="00631EB0">
      <w:pPr>
        <w:spacing w:line="276" w:lineRule="auto"/>
        <w:jc w:val="both"/>
        <w:rPr>
          <w:rFonts w:ascii="Tahoma" w:eastAsia="Tahoma" w:hAnsi="Tahoma" w:cs="Tahoma"/>
        </w:rPr>
      </w:pPr>
      <w:bookmarkStart w:id="6" w:name="_Hlk105572572"/>
    </w:p>
    <w:p w14:paraId="73C4D2F4" w14:textId="2C814EFD" w:rsidR="00F45D5F" w:rsidRPr="00631EB0" w:rsidRDefault="00326DD3" w:rsidP="00631EB0">
      <w:pPr>
        <w:pStyle w:val="Yo"/>
        <w:spacing w:line="276" w:lineRule="auto"/>
        <w:rPr>
          <w:rFonts w:ascii="Tahoma" w:eastAsia="Tahoma" w:hAnsi="Tahoma" w:cs="Tahoma"/>
          <w:sz w:val="24"/>
          <w:szCs w:val="24"/>
        </w:rPr>
      </w:pPr>
      <w:r w:rsidRPr="00631EB0">
        <w:rPr>
          <w:rFonts w:ascii="Tahoma" w:eastAsia="Tahoma" w:hAnsi="Tahoma" w:cs="Tahoma"/>
          <w:sz w:val="24"/>
          <w:szCs w:val="24"/>
        </w:rPr>
        <w:lastRenderedPageBreak/>
        <w:t>PROBLEMA JURÍDICO</w:t>
      </w:r>
    </w:p>
    <w:p w14:paraId="4BE061E1" w14:textId="741D8AF1" w:rsidR="00DE2CDA" w:rsidRPr="00631EB0" w:rsidRDefault="00DE2CDA" w:rsidP="00631EB0">
      <w:pPr>
        <w:pStyle w:val="Yo"/>
        <w:numPr>
          <w:ilvl w:val="0"/>
          <w:numId w:val="0"/>
        </w:numPr>
        <w:spacing w:line="276" w:lineRule="auto"/>
        <w:ind w:left="1068" w:hanging="360"/>
        <w:rPr>
          <w:rFonts w:ascii="Tahoma" w:eastAsia="Tahoma" w:hAnsi="Tahoma" w:cs="Tahoma"/>
          <w:sz w:val="24"/>
          <w:szCs w:val="24"/>
        </w:rPr>
      </w:pPr>
    </w:p>
    <w:bookmarkEnd w:id="6"/>
    <w:p w14:paraId="69C4E423" w14:textId="04669DA8" w:rsidR="00315730" w:rsidRPr="00631EB0" w:rsidRDefault="00315730" w:rsidP="00631EB0">
      <w:pPr>
        <w:widowControl w:val="0"/>
        <w:spacing w:line="276" w:lineRule="auto"/>
        <w:ind w:firstLine="708"/>
        <w:jc w:val="both"/>
        <w:rPr>
          <w:rFonts w:ascii="Tahoma" w:eastAsia="Tahoma" w:hAnsi="Tahoma" w:cs="Tahoma"/>
        </w:rPr>
      </w:pPr>
      <w:r w:rsidRPr="00631EB0">
        <w:rPr>
          <w:rFonts w:ascii="Tahoma" w:eastAsia="Tahoma" w:hAnsi="Tahoma" w:cs="Tahoma"/>
        </w:rPr>
        <w:t>De acuerdo a los argumentos expuestos en la sentencia de primera instancia, le corresponde a la Sala determinar si la demandante cumple los requisitos para acceder a la pensión de vejez consagrada en el Acuerdo 049 de 1990, en virtud del régimen de transición, y si para tal efecto es posible contabilizar los periodos cotizados en España. En caso afirmativo, se procederá a establecer si operó la prescripción y a partir de qué fecha se deben conceder los intereses moratorios.</w:t>
      </w:r>
    </w:p>
    <w:p w14:paraId="500A4A98" w14:textId="77777777" w:rsidR="001F2842" w:rsidRPr="00631EB0" w:rsidRDefault="001F2842" w:rsidP="00631EB0">
      <w:pPr>
        <w:widowControl w:val="0"/>
        <w:spacing w:line="276" w:lineRule="auto"/>
        <w:rPr>
          <w:rFonts w:ascii="Tahoma" w:eastAsia="Tahoma" w:hAnsi="Tahoma" w:cs="Tahoma"/>
          <w:b/>
          <w:smallCaps/>
        </w:rPr>
      </w:pPr>
    </w:p>
    <w:p w14:paraId="0CC4189B" w14:textId="211AE723" w:rsidR="006F6A32" w:rsidRPr="00631EB0" w:rsidRDefault="006F6A32" w:rsidP="00631EB0">
      <w:pPr>
        <w:pStyle w:val="Yo"/>
        <w:spacing w:line="276" w:lineRule="auto"/>
        <w:rPr>
          <w:rFonts w:ascii="Tahoma" w:eastAsia="Tahoma" w:hAnsi="Tahoma" w:cs="Tahoma"/>
          <w:sz w:val="24"/>
          <w:szCs w:val="24"/>
        </w:rPr>
      </w:pPr>
      <w:r w:rsidRPr="00631EB0">
        <w:rPr>
          <w:rFonts w:ascii="Tahoma" w:eastAsia="Tahoma" w:hAnsi="Tahoma" w:cs="Tahoma"/>
          <w:sz w:val="24"/>
          <w:szCs w:val="24"/>
        </w:rPr>
        <w:t>CONSIDERACIONES</w:t>
      </w:r>
    </w:p>
    <w:p w14:paraId="4116C1F0" w14:textId="77777777" w:rsidR="006F6A32" w:rsidRPr="00631EB0" w:rsidRDefault="006F6A32" w:rsidP="00631EB0">
      <w:pPr>
        <w:pStyle w:val="Yo"/>
        <w:numPr>
          <w:ilvl w:val="0"/>
          <w:numId w:val="0"/>
        </w:numPr>
        <w:spacing w:line="276" w:lineRule="auto"/>
        <w:ind w:left="1068" w:hanging="360"/>
        <w:jc w:val="left"/>
        <w:rPr>
          <w:rFonts w:ascii="Tahoma" w:eastAsia="Tahoma" w:hAnsi="Tahoma" w:cs="Tahoma"/>
          <w:sz w:val="24"/>
          <w:szCs w:val="24"/>
        </w:rPr>
      </w:pPr>
    </w:p>
    <w:p w14:paraId="7A6FA099" w14:textId="77777777" w:rsidR="000B0806" w:rsidRPr="00631EB0" w:rsidRDefault="000B0806" w:rsidP="00631EB0">
      <w:pPr>
        <w:numPr>
          <w:ilvl w:val="1"/>
          <w:numId w:val="16"/>
        </w:numPr>
        <w:spacing w:line="276" w:lineRule="auto"/>
        <w:ind w:left="426"/>
        <w:contextualSpacing/>
        <w:jc w:val="both"/>
        <w:rPr>
          <w:rFonts w:ascii="Tahoma" w:eastAsia="Calibri" w:hAnsi="Tahoma" w:cs="Tahoma"/>
          <w:b/>
          <w:bCs/>
          <w:lang w:eastAsia="en-US"/>
        </w:rPr>
      </w:pPr>
      <w:r w:rsidRPr="00631EB0">
        <w:rPr>
          <w:rFonts w:ascii="Tahoma" w:eastAsia="Calibri" w:hAnsi="Tahoma" w:cs="Tahoma"/>
          <w:b/>
          <w:bCs/>
          <w:lang w:eastAsia="en-US"/>
        </w:rPr>
        <w:t>Campo de aplicación material del Convenio en Colombia-España – Composición del Sistema General de Pensiones y Régimen de Prima Media</w:t>
      </w:r>
    </w:p>
    <w:p w14:paraId="27710804" w14:textId="77777777" w:rsidR="000B0806" w:rsidRPr="00631EB0" w:rsidRDefault="000B0806" w:rsidP="00631EB0">
      <w:pPr>
        <w:spacing w:line="276" w:lineRule="auto"/>
        <w:ind w:firstLine="708"/>
        <w:jc w:val="both"/>
        <w:rPr>
          <w:rFonts w:ascii="Tahoma" w:eastAsia="Calibri" w:hAnsi="Tahoma" w:cs="Tahoma"/>
          <w:lang w:eastAsia="en-US"/>
        </w:rPr>
      </w:pPr>
    </w:p>
    <w:p w14:paraId="364D53CD" w14:textId="77777777" w:rsidR="000B0806" w:rsidRPr="00631EB0" w:rsidRDefault="000B0806" w:rsidP="00631EB0">
      <w:pPr>
        <w:spacing w:line="276" w:lineRule="auto"/>
        <w:ind w:firstLine="708"/>
        <w:jc w:val="both"/>
        <w:rPr>
          <w:rFonts w:ascii="Tahoma" w:eastAsia="Calibri" w:hAnsi="Tahoma" w:cs="Tahoma"/>
          <w:i/>
          <w:lang w:eastAsia="en-US"/>
        </w:rPr>
      </w:pPr>
      <w:r w:rsidRPr="00631EB0">
        <w:rPr>
          <w:rFonts w:ascii="Tahoma" w:eastAsia="Calibri" w:hAnsi="Tahoma" w:cs="Tahoma"/>
          <w:lang w:eastAsia="en-US"/>
        </w:rPr>
        <w:t xml:space="preserve">Sea lo primer señalar que el artículo 2º del Convenio enmarcado en la Ley 1112 de 2016 establece que este se aplicará a la legislación relativa a las prestaciones económicas dispuestas en el Sistema General de Pensiones (Prima Media con Prestación Definida y Ahorro Individual con Solidaridad), en cuanto a vejez, invalidez y sobrevivientes, de origen común y en cuanto al término </w:t>
      </w:r>
      <w:r w:rsidRPr="00631EB0">
        <w:rPr>
          <w:rFonts w:ascii="Tahoma" w:eastAsia="Calibri" w:hAnsi="Tahoma" w:cs="Tahoma"/>
          <w:i/>
          <w:lang w:eastAsia="en-US"/>
        </w:rPr>
        <w:t>“legislación”,</w:t>
      </w:r>
      <w:r w:rsidRPr="00631EB0">
        <w:rPr>
          <w:rFonts w:ascii="Tahoma" w:eastAsia="Calibri" w:hAnsi="Tahoma" w:cs="Tahoma"/>
          <w:lang w:eastAsia="en-US"/>
        </w:rPr>
        <w:t xml:space="preserve"> se previene, en el literal b) del artículo 1º ídem, que por tal se entiende </w:t>
      </w:r>
      <w:r w:rsidRPr="00631EB0">
        <w:rPr>
          <w:rFonts w:ascii="Tahoma" w:eastAsia="Calibri" w:hAnsi="Tahoma" w:cs="Tahoma"/>
          <w:i/>
          <w:lang w:eastAsia="en-US"/>
        </w:rPr>
        <w:t>“</w:t>
      </w:r>
      <w:r w:rsidRPr="0052348E">
        <w:rPr>
          <w:rFonts w:ascii="Tahoma" w:eastAsia="Calibri" w:hAnsi="Tahoma" w:cs="Tahoma"/>
          <w:i/>
          <w:sz w:val="22"/>
          <w:lang w:eastAsia="en-US"/>
        </w:rPr>
        <w:t>las leyes, decretos, reglamentos y demás disposiciones relativas a Seguridad Social vigentes en el territorio de las partes contratantes</w:t>
      </w:r>
      <w:r w:rsidRPr="00631EB0">
        <w:rPr>
          <w:rFonts w:ascii="Tahoma" w:eastAsia="Calibri" w:hAnsi="Tahoma" w:cs="Tahoma"/>
          <w:i/>
          <w:lang w:eastAsia="en-US"/>
        </w:rPr>
        <w:t>”.</w:t>
      </w:r>
    </w:p>
    <w:p w14:paraId="4F94AADA" w14:textId="77777777" w:rsidR="000B0806" w:rsidRPr="00631EB0" w:rsidRDefault="000B0806" w:rsidP="00631EB0">
      <w:pPr>
        <w:spacing w:line="276" w:lineRule="auto"/>
        <w:ind w:firstLine="708"/>
        <w:jc w:val="both"/>
        <w:rPr>
          <w:rFonts w:ascii="Tahoma" w:eastAsia="Calibri" w:hAnsi="Tahoma" w:cs="Tahoma"/>
          <w:i/>
          <w:lang w:eastAsia="en-US"/>
        </w:rPr>
      </w:pPr>
    </w:p>
    <w:p w14:paraId="156B3CB2" w14:textId="77777777" w:rsidR="000B0806" w:rsidRPr="00631EB0" w:rsidRDefault="000B0806" w:rsidP="00631EB0">
      <w:pPr>
        <w:spacing w:line="276" w:lineRule="auto"/>
        <w:ind w:firstLine="708"/>
        <w:jc w:val="both"/>
        <w:rPr>
          <w:rFonts w:ascii="Tahoma" w:hAnsi="Tahoma" w:cs="Tahoma"/>
          <w:color w:val="000000"/>
          <w:lang w:eastAsia="en-US"/>
        </w:rPr>
      </w:pPr>
      <w:r w:rsidRPr="00631EB0">
        <w:rPr>
          <w:rFonts w:ascii="Tahoma" w:hAnsi="Tahoma" w:cs="Tahoma"/>
          <w:color w:val="000000"/>
          <w:lang w:eastAsia="en-US"/>
        </w:rPr>
        <w:t>En ese orden de ideas, es del caso resaltar que el Sistema General de Pensiones tiene por objeto garantizar a la población el amparo contra las contingencias derivadas de la vejez, la invalidez y la muerte, mediante el reconocimiento de las pensiones y prestaciones en él establecidas, así como propender por la ampliación progresiva de cobertura a los segmentos de población no cubiertos con un sistema de pensiones (art 10, Ley 100 de 1993) y que dicho sistema está compuesto por dos regímenes solidarios excluyentes pero que coexisten, a saber: Régimen Solidario de Prima Media con Prestación Definida y Régimen de Ahorro Individual con Solidaridad (Art. 12 ídem).</w:t>
      </w:r>
    </w:p>
    <w:p w14:paraId="4E0447CA" w14:textId="77777777" w:rsidR="000B0806" w:rsidRPr="00631EB0" w:rsidRDefault="000B0806" w:rsidP="00631EB0">
      <w:pPr>
        <w:spacing w:line="276" w:lineRule="auto"/>
        <w:ind w:firstLine="708"/>
        <w:jc w:val="both"/>
        <w:rPr>
          <w:rFonts w:ascii="Tahoma" w:hAnsi="Tahoma" w:cs="Tahoma"/>
          <w:color w:val="000000"/>
          <w:lang w:eastAsia="en-US"/>
        </w:rPr>
      </w:pPr>
    </w:p>
    <w:p w14:paraId="1542E308" w14:textId="77777777" w:rsidR="000B0806" w:rsidRPr="00631EB0" w:rsidRDefault="000B0806" w:rsidP="00631EB0">
      <w:pPr>
        <w:spacing w:line="276" w:lineRule="auto"/>
        <w:ind w:firstLine="708"/>
        <w:jc w:val="both"/>
        <w:rPr>
          <w:rFonts w:ascii="Tahoma" w:eastAsia="Calibri" w:hAnsi="Tahoma" w:cs="Tahoma"/>
          <w:color w:val="000000"/>
          <w:lang w:eastAsia="en-US"/>
        </w:rPr>
      </w:pPr>
      <w:r w:rsidRPr="00631EB0">
        <w:rPr>
          <w:rFonts w:ascii="Tahoma" w:hAnsi="Tahoma" w:cs="Tahoma"/>
          <w:color w:val="000000"/>
          <w:lang w:eastAsia="en-US"/>
        </w:rPr>
        <w:t xml:space="preserve">El régimen de Prima Media con </w:t>
      </w:r>
      <w:r w:rsidRPr="00631EB0">
        <w:rPr>
          <w:rFonts w:ascii="Tahoma" w:eastAsia="Calibri" w:hAnsi="Tahoma" w:cs="Tahoma"/>
          <w:color w:val="000000"/>
          <w:lang w:eastAsia="en-US"/>
        </w:rPr>
        <w:t>Prestación Definida es definido en el artículo 31 de la citada Ley 100 de 1993, como aquel mediante el cual los afiliados o sus beneficiarios obtienen una pensión de vejez, de invalidez o de sobrevivientes, o una indemnización, previamente definidas, de acuerdo con lo previsto en el Título II de la Ley 100 de 1993 y se previene en el mismo precepto, que serán aplicables a este régimen las disposiciones vigentes para los seguros de invalidez, vejez y muerte a cargo del Instituto de Seguros Sociales, con las adiciones, modificaciones y excepciones contenidas en esa ley.</w:t>
      </w:r>
    </w:p>
    <w:p w14:paraId="420C6ACB" w14:textId="77777777" w:rsidR="000B0806" w:rsidRPr="00631EB0" w:rsidRDefault="000B0806" w:rsidP="00631EB0">
      <w:pPr>
        <w:spacing w:line="276" w:lineRule="auto"/>
        <w:ind w:firstLine="708"/>
        <w:jc w:val="both"/>
        <w:rPr>
          <w:rFonts w:ascii="Tahoma" w:eastAsia="Calibri" w:hAnsi="Tahoma" w:cs="Tahoma"/>
          <w:color w:val="4B4949"/>
          <w:lang w:eastAsia="en-US"/>
        </w:rPr>
      </w:pPr>
    </w:p>
    <w:p w14:paraId="7169D31F" w14:textId="3D0CEE2D" w:rsidR="000B0806" w:rsidRPr="00631EB0" w:rsidRDefault="000B0806" w:rsidP="00631EB0">
      <w:pPr>
        <w:spacing w:line="276" w:lineRule="auto"/>
        <w:ind w:firstLine="708"/>
        <w:jc w:val="both"/>
        <w:rPr>
          <w:rFonts w:ascii="Tahoma" w:eastAsia="Calibri" w:hAnsi="Tahoma" w:cs="Tahoma"/>
          <w:color w:val="000000"/>
          <w:lang w:eastAsia="en-US"/>
        </w:rPr>
      </w:pPr>
      <w:r w:rsidRPr="00631EB0">
        <w:rPr>
          <w:rFonts w:ascii="Tahoma" w:eastAsia="Calibri" w:hAnsi="Tahoma" w:cs="Tahoma"/>
          <w:color w:val="000000"/>
          <w:lang w:eastAsia="en-US"/>
        </w:rPr>
        <w:t>Con apoyo en las anteriores premisas normativas, se puede concluir que l</w:t>
      </w:r>
      <w:r w:rsidR="00E36C40" w:rsidRPr="00631EB0">
        <w:rPr>
          <w:rFonts w:ascii="Tahoma" w:eastAsia="Calibri" w:hAnsi="Tahoma" w:cs="Tahoma"/>
          <w:color w:val="000000"/>
          <w:lang w:eastAsia="en-US"/>
        </w:rPr>
        <w:t xml:space="preserve">a pensión de vejez consagrada en el </w:t>
      </w:r>
      <w:r w:rsidRPr="00631EB0">
        <w:rPr>
          <w:rFonts w:ascii="Tahoma" w:eastAsia="Calibri" w:hAnsi="Tahoma" w:cs="Tahoma"/>
          <w:color w:val="000000"/>
          <w:lang w:eastAsia="en-US"/>
        </w:rPr>
        <w:t>Acuerdo </w:t>
      </w:r>
      <w:hyperlink r:id="rId11" w:anchor="INICIO">
        <w:r w:rsidRPr="00631EB0">
          <w:rPr>
            <w:rFonts w:ascii="Tahoma" w:eastAsia="Calibri" w:hAnsi="Tahoma" w:cs="Tahoma"/>
            <w:color w:val="000000"/>
            <w:lang w:eastAsia="en-US"/>
          </w:rPr>
          <w:t>049</w:t>
        </w:r>
      </w:hyperlink>
      <w:r w:rsidRPr="00631EB0">
        <w:rPr>
          <w:rFonts w:ascii="Tahoma" w:eastAsia="Calibri" w:hAnsi="Tahoma" w:cs="Tahoma"/>
          <w:color w:val="000000"/>
          <w:lang w:eastAsia="en-US"/>
        </w:rPr>
        <w:t xml:space="preserve"> de 1990, </w:t>
      </w:r>
      <w:r w:rsidR="00E36C40" w:rsidRPr="00631EB0">
        <w:rPr>
          <w:rFonts w:ascii="Tahoma" w:eastAsia="Calibri" w:hAnsi="Tahoma" w:cs="Tahoma"/>
          <w:color w:val="000000"/>
          <w:lang w:eastAsia="en-US"/>
        </w:rPr>
        <w:t>que deba ser reconocida bajo el</w:t>
      </w:r>
      <w:r w:rsidRPr="00631EB0">
        <w:rPr>
          <w:rFonts w:ascii="Tahoma" w:eastAsia="Calibri" w:hAnsi="Tahoma" w:cs="Tahoma"/>
          <w:color w:val="000000"/>
          <w:lang w:eastAsia="en-US"/>
        </w:rPr>
        <w:t xml:space="preserve"> abrigo del régimen de transición</w:t>
      </w:r>
      <w:r w:rsidR="00E36C40" w:rsidRPr="00631EB0">
        <w:rPr>
          <w:rFonts w:ascii="Tahoma" w:eastAsia="Calibri" w:hAnsi="Tahoma" w:cs="Tahoma"/>
          <w:color w:val="000000"/>
          <w:lang w:eastAsia="en-US"/>
        </w:rPr>
        <w:t xml:space="preserve"> previsto en el artículo 36 de la Ley 100 de 1993</w:t>
      </w:r>
      <w:r w:rsidRPr="00631EB0">
        <w:rPr>
          <w:rFonts w:ascii="Tahoma" w:eastAsia="Calibri" w:hAnsi="Tahoma" w:cs="Tahoma"/>
          <w:color w:val="000000"/>
          <w:lang w:eastAsia="en-US"/>
        </w:rPr>
        <w:t>,</w:t>
      </w:r>
      <w:r w:rsidR="00E36C40" w:rsidRPr="00631EB0">
        <w:rPr>
          <w:rFonts w:ascii="Tahoma" w:eastAsia="Calibri" w:hAnsi="Tahoma" w:cs="Tahoma"/>
          <w:color w:val="000000"/>
          <w:lang w:eastAsia="en-US"/>
        </w:rPr>
        <w:t xml:space="preserve"> se</w:t>
      </w:r>
      <w:r w:rsidRPr="00631EB0">
        <w:rPr>
          <w:rFonts w:ascii="Tahoma" w:eastAsia="Calibri" w:hAnsi="Tahoma" w:cs="Tahoma"/>
          <w:color w:val="000000"/>
          <w:lang w:eastAsia="en-US"/>
        </w:rPr>
        <w:t xml:space="preserve"> ent</w:t>
      </w:r>
      <w:r w:rsidR="00E36C40" w:rsidRPr="00631EB0">
        <w:rPr>
          <w:rFonts w:ascii="Tahoma" w:eastAsia="Calibri" w:hAnsi="Tahoma" w:cs="Tahoma"/>
          <w:color w:val="000000"/>
          <w:lang w:eastAsia="en-US"/>
        </w:rPr>
        <w:t>iende</w:t>
      </w:r>
      <w:r w:rsidRPr="00631EB0">
        <w:rPr>
          <w:rFonts w:ascii="Tahoma" w:eastAsia="Calibri" w:hAnsi="Tahoma" w:cs="Tahoma"/>
          <w:color w:val="000000"/>
          <w:lang w:eastAsia="en-US"/>
        </w:rPr>
        <w:t xml:space="preserve"> incorporada al Sistema Integral de Seguridad Social concebido a </w:t>
      </w:r>
      <w:r w:rsidRPr="00631EB0">
        <w:rPr>
          <w:rFonts w:ascii="Tahoma" w:eastAsia="Calibri" w:hAnsi="Tahoma" w:cs="Tahoma"/>
          <w:color w:val="000000"/>
          <w:lang w:eastAsia="en-US"/>
        </w:rPr>
        <w:lastRenderedPageBreak/>
        <w:t>partir de la expedición de la Ley </w:t>
      </w:r>
      <w:hyperlink r:id="rId12" w:anchor="inicio">
        <w:r w:rsidRPr="00631EB0">
          <w:rPr>
            <w:rFonts w:ascii="Tahoma" w:eastAsia="Calibri" w:hAnsi="Tahoma" w:cs="Tahoma"/>
            <w:color w:val="000000"/>
            <w:lang w:eastAsia="en-US"/>
          </w:rPr>
          <w:t>100</w:t>
        </w:r>
      </w:hyperlink>
      <w:r w:rsidRPr="00631EB0">
        <w:rPr>
          <w:rFonts w:ascii="Tahoma" w:eastAsia="Calibri" w:hAnsi="Tahoma" w:cs="Tahoma"/>
          <w:color w:val="000000"/>
          <w:lang w:eastAsia="en-US"/>
        </w:rPr>
        <w:t xml:space="preserve"> de 1993, </w:t>
      </w:r>
      <w:r w:rsidR="00BC50CD" w:rsidRPr="00631EB0">
        <w:rPr>
          <w:rFonts w:ascii="Tahoma" w:eastAsia="Calibri" w:hAnsi="Tahoma" w:cs="Tahoma"/>
          <w:color w:val="000000"/>
          <w:lang w:eastAsia="en-US"/>
        </w:rPr>
        <w:t>dado que si bien</w:t>
      </w:r>
      <w:r w:rsidR="00E36C40" w:rsidRPr="00631EB0">
        <w:rPr>
          <w:rFonts w:ascii="Tahoma" w:eastAsia="Calibri" w:hAnsi="Tahoma" w:cs="Tahoma"/>
          <w:color w:val="000000"/>
          <w:lang w:eastAsia="en-US"/>
        </w:rPr>
        <w:t xml:space="preserve"> fue concebida antes de esta última, el artículo 31</w:t>
      </w:r>
      <w:r w:rsidR="00434087" w:rsidRPr="00631EB0">
        <w:rPr>
          <w:rFonts w:ascii="Tahoma" w:eastAsia="Calibri" w:hAnsi="Tahoma" w:cs="Tahoma"/>
          <w:color w:val="000000"/>
          <w:lang w:eastAsia="en-US"/>
        </w:rPr>
        <w:t xml:space="preserve"> y 36</w:t>
      </w:r>
      <w:r w:rsidR="00E36C40" w:rsidRPr="00631EB0">
        <w:rPr>
          <w:rFonts w:ascii="Tahoma" w:eastAsia="Calibri" w:hAnsi="Tahoma" w:cs="Tahoma"/>
          <w:color w:val="000000"/>
          <w:lang w:eastAsia="en-US"/>
        </w:rPr>
        <w:t xml:space="preserve"> ídem vino a integra</w:t>
      </w:r>
      <w:r w:rsidR="00434087" w:rsidRPr="00631EB0">
        <w:rPr>
          <w:rFonts w:ascii="Tahoma" w:eastAsia="Calibri" w:hAnsi="Tahoma" w:cs="Tahoma"/>
          <w:color w:val="000000"/>
          <w:lang w:eastAsia="en-US"/>
        </w:rPr>
        <w:t>rla</w:t>
      </w:r>
      <w:r w:rsidR="00E36C40" w:rsidRPr="00631EB0">
        <w:rPr>
          <w:rFonts w:ascii="Tahoma" w:eastAsia="Calibri" w:hAnsi="Tahoma" w:cs="Tahoma"/>
          <w:color w:val="000000"/>
          <w:lang w:eastAsia="en-US"/>
        </w:rPr>
        <w:t xml:space="preserve"> al sistema general de pensiones, dentro del régimen de prima media, tal como se </w:t>
      </w:r>
      <w:r w:rsidR="00434087" w:rsidRPr="00631EB0">
        <w:rPr>
          <w:rFonts w:ascii="Tahoma" w:eastAsia="Calibri" w:hAnsi="Tahoma" w:cs="Tahoma"/>
          <w:color w:val="000000"/>
          <w:lang w:eastAsia="en-US"/>
        </w:rPr>
        <w:t xml:space="preserve">explicó líneas atrás. </w:t>
      </w:r>
      <w:r w:rsidRPr="00631EB0">
        <w:rPr>
          <w:rFonts w:ascii="Tahoma" w:eastAsia="Calibri" w:hAnsi="Tahoma" w:cs="Tahoma"/>
          <w:color w:val="000000"/>
          <w:lang w:eastAsia="en-US"/>
        </w:rPr>
        <w:t>En tal virtud, para efectos de acumular la densidad mínima de semanas exigidas en el Acuerdo 049 de 1990 (y en cualquier otra norma anterior aplicable por remisión del régimen de transición del art. 36 de la Ley 100 de 1993) resulta procedente la aplicación del Convenio de Seguridad Social celebrado entre Colombia y el Reino de España (elevado al rango legal a través de la Ley 1112/ 2006).</w:t>
      </w:r>
    </w:p>
    <w:p w14:paraId="03D54340" w14:textId="77777777" w:rsidR="000B0806" w:rsidRPr="00631EB0" w:rsidRDefault="000B0806" w:rsidP="00631EB0">
      <w:pPr>
        <w:spacing w:line="276" w:lineRule="auto"/>
        <w:ind w:firstLine="708"/>
        <w:jc w:val="both"/>
        <w:rPr>
          <w:rFonts w:ascii="Tahoma" w:eastAsia="Calibri" w:hAnsi="Tahoma" w:cs="Tahoma"/>
          <w:color w:val="000000"/>
          <w:lang w:eastAsia="en-US"/>
        </w:rPr>
      </w:pPr>
    </w:p>
    <w:p w14:paraId="2781B2D0" w14:textId="77777777" w:rsidR="000B0806" w:rsidRPr="00631EB0" w:rsidRDefault="000B0806" w:rsidP="00631EB0">
      <w:pPr>
        <w:spacing w:line="276" w:lineRule="auto"/>
        <w:ind w:firstLine="708"/>
        <w:jc w:val="both"/>
        <w:rPr>
          <w:rFonts w:ascii="Tahoma" w:eastAsia="Calibri" w:hAnsi="Tahoma" w:cs="Tahoma"/>
          <w:color w:val="000000"/>
          <w:lang w:eastAsia="en-US"/>
        </w:rPr>
      </w:pPr>
      <w:r w:rsidRPr="00631EB0">
        <w:rPr>
          <w:rFonts w:ascii="Tahoma" w:eastAsia="Calibri" w:hAnsi="Tahoma" w:cs="Tahoma"/>
          <w:color w:val="000000"/>
          <w:lang w:eastAsia="en-US"/>
        </w:rPr>
        <w:t xml:space="preserve">Cabe agregar, que al respecto tiene fijado la Sala de Casación Laboral de la Corte Suprema de Justicia que </w:t>
      </w:r>
      <w:bookmarkStart w:id="7" w:name="OLE_LINK190"/>
      <w:r w:rsidRPr="00631EB0">
        <w:rPr>
          <w:rFonts w:ascii="Tahoma" w:eastAsia="Calibri" w:hAnsi="Tahoma" w:cs="Tahoma"/>
          <w:i/>
          <w:color w:val="000000"/>
          <w:lang w:eastAsia="en-US"/>
        </w:rPr>
        <w:t>“</w:t>
      </w:r>
      <w:r w:rsidRPr="0052348E">
        <w:rPr>
          <w:rFonts w:ascii="Tahoma" w:eastAsia="Calibri" w:hAnsi="Tahoma" w:cs="Tahoma"/>
          <w:i/>
          <w:color w:val="000000"/>
          <w:sz w:val="22"/>
          <w:lang w:eastAsia="en-US"/>
        </w:rPr>
        <w:t>las pensiones otorgadas con base en los Acuerdos del ISS, quedaron integradas al régimen de prima media con prestación definida, previsto en la Ley 100 de 1993</w:t>
      </w:r>
      <w:r w:rsidRPr="00631EB0">
        <w:rPr>
          <w:rFonts w:ascii="Tahoma" w:eastAsia="Calibri" w:hAnsi="Tahoma" w:cs="Tahoma"/>
          <w:i/>
          <w:color w:val="000000"/>
          <w:lang w:eastAsia="en-US"/>
        </w:rPr>
        <w:t xml:space="preserve">”. </w:t>
      </w:r>
      <w:r w:rsidRPr="00631EB0">
        <w:rPr>
          <w:rFonts w:ascii="Tahoma" w:eastAsia="Calibri" w:hAnsi="Tahoma" w:cs="Tahoma"/>
          <w:color w:val="000000"/>
          <w:lang w:eastAsia="en-US"/>
        </w:rPr>
        <w:t xml:space="preserve">Asimismo, </w:t>
      </w:r>
      <w:bookmarkEnd w:id="7"/>
      <w:r w:rsidRPr="00631EB0">
        <w:rPr>
          <w:rFonts w:ascii="Tahoma" w:eastAsia="Calibri" w:hAnsi="Tahoma" w:cs="Tahoma"/>
          <w:color w:val="000000"/>
          <w:lang w:eastAsia="en-US"/>
        </w:rPr>
        <w:t xml:space="preserve">en la sentencia del 20 de octubre de 2004, radicado 23159, y reiterada en providencias posteriores, como la del 15 y 20 de octubre de 2008, radicaciones 34814 y 30550, respectivamente, precisó que con arreglo al inciso segundo del artículo 31 de la Ley 100 de 1993 </w:t>
      </w:r>
      <w:bookmarkStart w:id="8" w:name="OLE_LINK188"/>
      <w:r w:rsidRPr="00631EB0">
        <w:rPr>
          <w:rFonts w:ascii="Tahoma" w:eastAsia="Calibri" w:hAnsi="Tahoma" w:cs="Tahoma"/>
          <w:color w:val="000000"/>
          <w:lang w:eastAsia="en-US"/>
        </w:rPr>
        <w:t>“</w:t>
      </w:r>
      <w:r w:rsidRPr="00683BFE">
        <w:rPr>
          <w:rFonts w:ascii="Tahoma" w:eastAsia="Calibri" w:hAnsi="Tahoma" w:cs="Tahoma"/>
          <w:i/>
          <w:color w:val="000000"/>
          <w:sz w:val="22"/>
          <w:lang w:eastAsia="en-US"/>
        </w:rPr>
        <w:t>se</w:t>
      </w:r>
      <w:r w:rsidRPr="00683BFE">
        <w:rPr>
          <w:rFonts w:ascii="Tahoma" w:eastAsia="Calibri" w:hAnsi="Tahoma" w:cs="Tahoma"/>
          <w:i/>
          <w:iCs/>
          <w:color w:val="000000"/>
          <w:sz w:val="22"/>
          <w:lang w:eastAsia="en-US"/>
        </w:rPr>
        <w:t xml:space="preserve"> incorporó al régimen solidario de prima media con prestación definida las “disposiciones vigentes para los seguros de invalidez, vejez y muerte a cargo del Instituto de Seguros Sociales, con las adiciones, modificaciones y excepciones contenidas en esta ley”, al preceptuar que esas disposiciones le serán aplicables a ese régimen, que, como es suficientemente sabido, es uno de los dos que componen el sistema general de pensiones</w:t>
      </w:r>
      <w:r w:rsidRPr="00631EB0">
        <w:rPr>
          <w:rFonts w:ascii="Tahoma" w:eastAsia="Calibri" w:hAnsi="Tahoma" w:cs="Tahoma"/>
          <w:i/>
          <w:iCs/>
          <w:color w:val="000000"/>
          <w:lang w:eastAsia="en-US"/>
        </w:rPr>
        <w:t>”</w:t>
      </w:r>
      <w:bookmarkEnd w:id="8"/>
      <w:r w:rsidRPr="00631EB0">
        <w:rPr>
          <w:rFonts w:ascii="Tahoma" w:eastAsia="Calibri" w:hAnsi="Tahoma" w:cs="Tahoma"/>
          <w:i/>
          <w:iCs/>
          <w:color w:val="000000"/>
          <w:lang w:eastAsia="en-US"/>
        </w:rPr>
        <w:t xml:space="preserve">. </w:t>
      </w:r>
    </w:p>
    <w:p w14:paraId="46E92838" w14:textId="06791288" w:rsidR="00C77C5C" w:rsidRPr="00631EB0" w:rsidRDefault="00C77C5C" w:rsidP="00631EB0">
      <w:pPr>
        <w:pStyle w:val="paragraph"/>
        <w:spacing w:before="0" w:beforeAutospacing="0" w:after="0" w:afterAutospacing="0" w:line="276" w:lineRule="auto"/>
        <w:jc w:val="both"/>
        <w:textAlignment w:val="baseline"/>
        <w:rPr>
          <w:rFonts w:ascii="Tahoma" w:hAnsi="Tahoma" w:cs="Tahoma"/>
          <w:lang w:val="es-ES"/>
        </w:rPr>
      </w:pPr>
    </w:p>
    <w:p w14:paraId="786A121A" w14:textId="66B46A28" w:rsidR="008C0B82" w:rsidRPr="00631EB0" w:rsidRDefault="00B00BC8" w:rsidP="00631EB0">
      <w:pPr>
        <w:pStyle w:val="Prrafodelista"/>
        <w:widowControl w:val="0"/>
        <w:numPr>
          <w:ilvl w:val="1"/>
          <w:numId w:val="14"/>
        </w:numPr>
        <w:pBdr>
          <w:top w:val="nil"/>
          <w:left w:val="nil"/>
          <w:bottom w:val="nil"/>
          <w:right w:val="nil"/>
          <w:between w:val="nil"/>
        </w:pBdr>
        <w:spacing w:line="276" w:lineRule="auto"/>
        <w:jc w:val="both"/>
        <w:rPr>
          <w:rFonts w:ascii="Tahoma" w:eastAsia="Tahoma" w:hAnsi="Tahoma" w:cs="Tahoma"/>
          <w:b/>
          <w:color w:val="000000"/>
        </w:rPr>
      </w:pPr>
      <w:r w:rsidRPr="00631EB0">
        <w:rPr>
          <w:rFonts w:ascii="Tahoma" w:eastAsia="Tahoma" w:hAnsi="Tahoma" w:cs="Tahoma"/>
          <w:b/>
          <w:color w:val="000000"/>
        </w:rPr>
        <w:t>Caso concreto</w:t>
      </w:r>
    </w:p>
    <w:p w14:paraId="4E27E0C7" w14:textId="0B00C8EE" w:rsidR="0016063E" w:rsidRPr="00631EB0" w:rsidRDefault="0016063E" w:rsidP="00631EB0">
      <w:pPr>
        <w:widowControl w:val="0"/>
        <w:pBdr>
          <w:top w:val="nil"/>
          <w:left w:val="nil"/>
          <w:bottom w:val="nil"/>
          <w:right w:val="nil"/>
          <w:between w:val="nil"/>
        </w:pBdr>
        <w:spacing w:line="276" w:lineRule="auto"/>
        <w:ind w:firstLine="709"/>
        <w:jc w:val="both"/>
        <w:rPr>
          <w:rFonts w:ascii="Tahoma" w:eastAsia="Tahoma" w:hAnsi="Tahoma" w:cs="Tahoma"/>
          <w:bCs/>
          <w:color w:val="000000"/>
        </w:rPr>
      </w:pPr>
    </w:p>
    <w:p w14:paraId="3C486D6E" w14:textId="07EFD4FB" w:rsidR="00F144FA" w:rsidRPr="00631EB0" w:rsidRDefault="00FA6E14" w:rsidP="00631EB0">
      <w:pPr>
        <w:widowControl w:val="0"/>
        <w:autoSpaceDE w:val="0"/>
        <w:autoSpaceDN w:val="0"/>
        <w:adjustRightInd w:val="0"/>
        <w:spacing w:line="276" w:lineRule="auto"/>
        <w:ind w:firstLine="708"/>
        <w:jc w:val="both"/>
        <w:rPr>
          <w:rFonts w:ascii="Tahoma" w:hAnsi="Tahoma" w:cs="Tahoma"/>
        </w:rPr>
      </w:pPr>
      <w:r w:rsidRPr="00631EB0">
        <w:rPr>
          <w:rFonts w:ascii="Tahoma" w:hAnsi="Tahoma" w:cs="Tahoma"/>
        </w:rPr>
        <w:t xml:space="preserve">Efectuado el </w:t>
      </w:r>
      <w:r w:rsidR="009E614A" w:rsidRPr="00631EB0">
        <w:rPr>
          <w:rFonts w:ascii="Tahoma" w:hAnsi="Tahoma" w:cs="Tahoma"/>
        </w:rPr>
        <w:t xml:space="preserve">análisis conjunto de la prueba </w:t>
      </w:r>
      <w:r w:rsidRPr="00631EB0">
        <w:rPr>
          <w:rFonts w:ascii="Tahoma" w:hAnsi="Tahoma" w:cs="Tahoma"/>
        </w:rPr>
        <w:t>documental que obra en el proceso</w:t>
      </w:r>
      <w:r w:rsidR="009E614A" w:rsidRPr="00631EB0">
        <w:rPr>
          <w:rFonts w:ascii="Tahoma" w:hAnsi="Tahoma" w:cs="Tahoma"/>
        </w:rPr>
        <w:t>,</w:t>
      </w:r>
      <w:r w:rsidRPr="00631EB0">
        <w:rPr>
          <w:rFonts w:ascii="Tahoma" w:hAnsi="Tahoma" w:cs="Tahoma"/>
        </w:rPr>
        <w:t xml:space="preserve"> tanto la aportada por la demandante como por la </w:t>
      </w:r>
      <w:r w:rsidR="009E614A" w:rsidRPr="00631EB0">
        <w:rPr>
          <w:rFonts w:ascii="Tahoma" w:hAnsi="Tahoma" w:cs="Tahoma"/>
        </w:rPr>
        <w:t>demandada,</w:t>
      </w:r>
      <w:r w:rsidRPr="00631EB0">
        <w:rPr>
          <w:rFonts w:ascii="Tahoma" w:hAnsi="Tahoma" w:cs="Tahoma"/>
        </w:rPr>
        <w:t xml:space="preserve"> esto es,</w:t>
      </w:r>
      <w:r w:rsidR="009E614A" w:rsidRPr="00631EB0">
        <w:rPr>
          <w:rFonts w:ascii="Tahoma" w:hAnsi="Tahoma" w:cs="Tahoma"/>
        </w:rPr>
        <w:t xml:space="preserve"> el reporte de semanas expedido por Colpensiones</w:t>
      </w:r>
      <w:r w:rsidR="00F76DFF" w:rsidRPr="00631EB0">
        <w:rPr>
          <w:rStyle w:val="Refdenotaalpie"/>
          <w:rFonts w:ascii="Tahoma" w:hAnsi="Tahoma" w:cs="Tahoma"/>
        </w:rPr>
        <w:footnoteReference w:id="1"/>
      </w:r>
      <w:r w:rsidR="009E614A" w:rsidRPr="00631EB0">
        <w:rPr>
          <w:rFonts w:ascii="Tahoma" w:hAnsi="Tahoma" w:cs="Tahoma"/>
        </w:rPr>
        <w:t>, el formulario ES/CO-02 remitido por el Ministerio de Trabajo a dicha entidad</w:t>
      </w:r>
      <w:r w:rsidR="00F367DF" w:rsidRPr="00631EB0">
        <w:rPr>
          <w:rStyle w:val="Refdenotaalpie"/>
          <w:rFonts w:ascii="Tahoma" w:hAnsi="Tahoma" w:cs="Tahoma"/>
        </w:rPr>
        <w:footnoteReference w:id="2"/>
      </w:r>
      <w:r w:rsidR="00504555" w:rsidRPr="00631EB0">
        <w:rPr>
          <w:rFonts w:ascii="Tahoma" w:hAnsi="Tahoma" w:cs="Tahoma"/>
        </w:rPr>
        <w:t xml:space="preserve"> </w:t>
      </w:r>
      <w:r w:rsidR="009E614A" w:rsidRPr="00631EB0">
        <w:rPr>
          <w:rFonts w:ascii="Tahoma" w:hAnsi="Tahoma" w:cs="Tahoma"/>
        </w:rPr>
        <w:t>y la</w:t>
      </w:r>
      <w:r w:rsidR="00F144FA" w:rsidRPr="00631EB0">
        <w:rPr>
          <w:rFonts w:ascii="Tahoma" w:hAnsi="Tahoma" w:cs="Tahoma"/>
        </w:rPr>
        <w:t xml:space="preserve"> Resolución</w:t>
      </w:r>
      <w:r w:rsidR="009E614A" w:rsidRPr="00631EB0">
        <w:rPr>
          <w:rFonts w:ascii="Tahoma" w:hAnsi="Tahoma" w:cs="Tahoma"/>
        </w:rPr>
        <w:t xml:space="preserve"> </w:t>
      </w:r>
      <w:r w:rsidR="00F144FA" w:rsidRPr="00631EB0">
        <w:rPr>
          <w:rFonts w:ascii="Tahoma" w:eastAsia="Tahoma" w:hAnsi="Tahoma" w:cs="Tahoma"/>
        </w:rPr>
        <w:t>VPB 43953 del 7 de diciembre de 2016</w:t>
      </w:r>
      <w:r w:rsidR="00EE529F" w:rsidRPr="00631EB0">
        <w:rPr>
          <w:rStyle w:val="Refdenotaalpie"/>
          <w:rFonts w:ascii="Tahoma" w:eastAsia="Tahoma" w:hAnsi="Tahoma" w:cs="Tahoma"/>
        </w:rPr>
        <w:footnoteReference w:id="3"/>
      </w:r>
      <w:r w:rsidR="00AE1D4A" w:rsidRPr="00631EB0">
        <w:rPr>
          <w:rFonts w:ascii="Tahoma" w:eastAsia="Tahoma" w:hAnsi="Tahoma" w:cs="Tahoma"/>
        </w:rPr>
        <w:t xml:space="preserve"> (</w:t>
      </w:r>
      <w:proofErr w:type="spellStart"/>
      <w:r w:rsidR="00AE1D4A" w:rsidRPr="00631EB0">
        <w:rPr>
          <w:rFonts w:ascii="Tahoma" w:eastAsia="Tahoma" w:hAnsi="Tahoma" w:cs="Tahoma"/>
        </w:rPr>
        <w:t>Fl</w:t>
      </w:r>
      <w:proofErr w:type="spellEnd"/>
      <w:r w:rsidR="00AE1D4A" w:rsidRPr="00631EB0">
        <w:rPr>
          <w:rFonts w:ascii="Tahoma" w:eastAsia="Tahoma" w:hAnsi="Tahoma" w:cs="Tahoma"/>
        </w:rPr>
        <w:t>.</w:t>
      </w:r>
      <w:r w:rsidR="0018405C" w:rsidRPr="00631EB0">
        <w:rPr>
          <w:rFonts w:ascii="Tahoma" w:eastAsia="Tahoma" w:hAnsi="Tahoma" w:cs="Tahoma"/>
        </w:rPr>
        <w:t xml:space="preserve"> 40</w:t>
      </w:r>
      <w:r w:rsidR="00AE1D4A" w:rsidRPr="00631EB0">
        <w:rPr>
          <w:rFonts w:ascii="Tahoma" w:eastAsia="Tahoma" w:hAnsi="Tahoma" w:cs="Tahoma"/>
        </w:rPr>
        <w:t>)</w:t>
      </w:r>
      <w:r w:rsidR="009E614A" w:rsidRPr="00631EB0">
        <w:rPr>
          <w:rFonts w:ascii="Tahoma" w:hAnsi="Tahoma" w:cs="Tahoma"/>
        </w:rPr>
        <w:t xml:space="preserve">, </w:t>
      </w:r>
      <w:r w:rsidR="00F144FA" w:rsidRPr="00631EB0">
        <w:rPr>
          <w:rFonts w:ascii="Tahoma" w:hAnsi="Tahoma" w:cs="Tahoma"/>
        </w:rPr>
        <w:t xml:space="preserve">se puede </w:t>
      </w:r>
      <w:r w:rsidR="009E614A" w:rsidRPr="00631EB0">
        <w:rPr>
          <w:rFonts w:ascii="Tahoma" w:hAnsi="Tahoma" w:cs="Tahoma"/>
        </w:rPr>
        <w:t xml:space="preserve">inferir que entre </w:t>
      </w:r>
      <w:r w:rsidR="00794867" w:rsidRPr="00631EB0">
        <w:rPr>
          <w:rFonts w:ascii="Tahoma" w:hAnsi="Tahoma" w:cs="Tahoma"/>
        </w:rPr>
        <w:t xml:space="preserve">octubre de 1978 y </w:t>
      </w:r>
      <w:r w:rsidR="00986D6F" w:rsidRPr="00631EB0">
        <w:rPr>
          <w:rFonts w:ascii="Tahoma" w:hAnsi="Tahoma" w:cs="Tahoma"/>
        </w:rPr>
        <w:t>el 31 de octubre de 2012,</w:t>
      </w:r>
      <w:r w:rsidR="009E614A" w:rsidRPr="00631EB0">
        <w:rPr>
          <w:rFonts w:ascii="Tahoma" w:hAnsi="Tahoma" w:cs="Tahoma"/>
        </w:rPr>
        <w:t xml:space="preserve"> </w:t>
      </w:r>
      <w:r w:rsidR="00F144FA" w:rsidRPr="00631EB0">
        <w:rPr>
          <w:rFonts w:ascii="Tahoma" w:hAnsi="Tahoma" w:cs="Tahoma"/>
        </w:rPr>
        <w:t>la</w:t>
      </w:r>
      <w:r w:rsidR="009E614A" w:rsidRPr="00631EB0">
        <w:rPr>
          <w:rFonts w:ascii="Tahoma" w:hAnsi="Tahoma" w:cs="Tahoma"/>
        </w:rPr>
        <w:t xml:space="preserve"> actor</w:t>
      </w:r>
      <w:r w:rsidR="00F144FA" w:rsidRPr="00631EB0">
        <w:rPr>
          <w:rFonts w:ascii="Tahoma" w:hAnsi="Tahoma" w:cs="Tahoma"/>
        </w:rPr>
        <w:t>a</w:t>
      </w:r>
      <w:r w:rsidR="009E614A" w:rsidRPr="00631EB0">
        <w:rPr>
          <w:rFonts w:ascii="Tahoma" w:hAnsi="Tahoma" w:cs="Tahoma"/>
        </w:rPr>
        <w:t xml:space="preserve"> laboró el equivalente a </w:t>
      </w:r>
      <w:r w:rsidR="0018405C" w:rsidRPr="00631EB0">
        <w:rPr>
          <w:rFonts w:ascii="Tahoma" w:hAnsi="Tahoma" w:cs="Tahoma"/>
        </w:rPr>
        <w:t>1038</w:t>
      </w:r>
      <w:r w:rsidR="009E614A" w:rsidRPr="00631EB0">
        <w:rPr>
          <w:rFonts w:ascii="Tahoma" w:hAnsi="Tahoma" w:cs="Tahoma"/>
        </w:rPr>
        <w:t xml:space="preserve"> semanas, de las cuales</w:t>
      </w:r>
      <w:r w:rsidR="0018405C" w:rsidRPr="00631EB0">
        <w:rPr>
          <w:rFonts w:ascii="Tahoma" w:hAnsi="Tahoma" w:cs="Tahoma"/>
        </w:rPr>
        <w:t xml:space="preserve"> 691,86 semanas</w:t>
      </w:r>
      <w:r w:rsidR="009E614A" w:rsidRPr="00631EB0">
        <w:rPr>
          <w:rFonts w:ascii="Tahoma" w:hAnsi="Tahoma" w:cs="Tahoma"/>
        </w:rPr>
        <w:t xml:space="preserve"> fueron cotizadas en Colombia y </w:t>
      </w:r>
      <w:r w:rsidR="0018405C" w:rsidRPr="00631EB0">
        <w:rPr>
          <w:rFonts w:ascii="Tahoma" w:hAnsi="Tahoma" w:cs="Tahoma"/>
        </w:rPr>
        <w:t>2423 días (equivalente a 346,14 semanas)</w:t>
      </w:r>
      <w:r w:rsidR="009E614A" w:rsidRPr="00631EB0">
        <w:rPr>
          <w:rFonts w:ascii="Tahoma" w:hAnsi="Tahoma" w:cs="Tahoma"/>
        </w:rPr>
        <w:t xml:space="preserve"> en el Reino de España. </w:t>
      </w:r>
    </w:p>
    <w:p w14:paraId="6E131F43" w14:textId="77777777" w:rsidR="00F144FA" w:rsidRPr="00631EB0" w:rsidRDefault="00F144FA" w:rsidP="00631EB0">
      <w:pPr>
        <w:widowControl w:val="0"/>
        <w:autoSpaceDE w:val="0"/>
        <w:autoSpaceDN w:val="0"/>
        <w:adjustRightInd w:val="0"/>
        <w:spacing w:line="276" w:lineRule="auto"/>
        <w:ind w:firstLine="708"/>
        <w:jc w:val="both"/>
        <w:rPr>
          <w:rFonts w:ascii="Tahoma" w:hAnsi="Tahoma" w:cs="Tahoma"/>
        </w:rPr>
      </w:pPr>
    </w:p>
    <w:p w14:paraId="4AAA47E9" w14:textId="02C00308" w:rsidR="009E614A" w:rsidRPr="00631EB0" w:rsidRDefault="009E614A" w:rsidP="00631EB0">
      <w:pPr>
        <w:widowControl w:val="0"/>
        <w:autoSpaceDE w:val="0"/>
        <w:autoSpaceDN w:val="0"/>
        <w:adjustRightInd w:val="0"/>
        <w:spacing w:line="276" w:lineRule="auto"/>
        <w:ind w:firstLine="708"/>
        <w:jc w:val="both"/>
        <w:rPr>
          <w:rFonts w:ascii="Tahoma" w:hAnsi="Tahoma" w:cs="Tahoma"/>
        </w:rPr>
      </w:pPr>
      <w:r w:rsidRPr="00631EB0">
        <w:rPr>
          <w:rFonts w:ascii="Tahoma" w:hAnsi="Tahoma" w:cs="Tahoma"/>
        </w:rPr>
        <w:t>De estos mismos documentos se desprende</w:t>
      </w:r>
      <w:r w:rsidR="00F144FA" w:rsidRPr="00631EB0">
        <w:rPr>
          <w:rFonts w:ascii="Tahoma" w:hAnsi="Tahoma" w:cs="Tahoma"/>
        </w:rPr>
        <w:t xml:space="preserve"> que la promotora del litigio ostenta </w:t>
      </w:r>
      <w:r w:rsidRPr="00631EB0">
        <w:rPr>
          <w:rFonts w:ascii="Tahoma" w:hAnsi="Tahoma" w:cs="Tahoma"/>
        </w:rPr>
        <w:t>la calidad de beneficiari</w:t>
      </w:r>
      <w:r w:rsidR="00F144FA" w:rsidRPr="00631EB0">
        <w:rPr>
          <w:rFonts w:ascii="Tahoma" w:hAnsi="Tahoma" w:cs="Tahoma"/>
        </w:rPr>
        <w:t>a</w:t>
      </w:r>
      <w:r w:rsidRPr="00631EB0">
        <w:rPr>
          <w:rFonts w:ascii="Tahoma" w:hAnsi="Tahoma" w:cs="Tahoma"/>
        </w:rPr>
        <w:t xml:space="preserve"> del régimen de transición, y la prolongación de dicha prerrogativa hasta el año 2014, bien por contar con más de </w:t>
      </w:r>
      <w:r w:rsidR="00F144FA" w:rsidRPr="00631EB0">
        <w:rPr>
          <w:rFonts w:ascii="Tahoma" w:hAnsi="Tahoma" w:cs="Tahoma"/>
        </w:rPr>
        <w:t>35</w:t>
      </w:r>
      <w:r w:rsidRPr="00631EB0">
        <w:rPr>
          <w:rFonts w:ascii="Tahoma" w:hAnsi="Tahoma" w:cs="Tahoma"/>
        </w:rPr>
        <w:t xml:space="preserve"> años a la entrada en vigencia de la Ley 100 de 1993, ora porque acredita más de 750 semanas cuando entró a regir el Acto Legislativo de 2005. </w:t>
      </w:r>
    </w:p>
    <w:p w14:paraId="01957F74" w14:textId="77777777" w:rsidR="009E614A" w:rsidRPr="00631EB0" w:rsidRDefault="009E614A" w:rsidP="00631EB0">
      <w:pPr>
        <w:widowControl w:val="0"/>
        <w:autoSpaceDE w:val="0"/>
        <w:autoSpaceDN w:val="0"/>
        <w:adjustRightInd w:val="0"/>
        <w:spacing w:line="276" w:lineRule="auto"/>
        <w:ind w:firstLine="708"/>
        <w:rPr>
          <w:rFonts w:ascii="Tahoma" w:hAnsi="Tahoma" w:cs="Tahoma"/>
        </w:rPr>
      </w:pPr>
    </w:p>
    <w:p w14:paraId="55D01205" w14:textId="5ADEE56B" w:rsidR="007D5675" w:rsidRPr="00631EB0" w:rsidRDefault="009E614A" w:rsidP="00631EB0">
      <w:pPr>
        <w:widowControl w:val="0"/>
        <w:autoSpaceDE w:val="0"/>
        <w:autoSpaceDN w:val="0"/>
        <w:adjustRightInd w:val="0"/>
        <w:spacing w:line="276" w:lineRule="auto"/>
        <w:ind w:firstLine="709"/>
        <w:jc w:val="both"/>
        <w:rPr>
          <w:rFonts w:ascii="Tahoma" w:hAnsi="Tahoma" w:cs="Tahoma"/>
        </w:rPr>
      </w:pPr>
      <w:r w:rsidRPr="00631EB0">
        <w:rPr>
          <w:rFonts w:ascii="Tahoma" w:hAnsi="Tahoma" w:cs="Tahoma"/>
        </w:rPr>
        <w:t xml:space="preserve">Por otra parte, se estima acertado el discernimiento de la Jueza de instancia respecto a la viabilidad de aplicar el Acuerdo 049 de 1990 en casos como este, en el que se apela al Convenio suscrito entre Colombia y España, enmarcado en la Ley 1112 de 2006, toda vez que si bien de una lectura ligera del literal b del artículo 2º del </w:t>
      </w:r>
      <w:r w:rsidRPr="00631EB0">
        <w:rPr>
          <w:rFonts w:ascii="Tahoma" w:hAnsi="Tahoma" w:cs="Tahoma"/>
        </w:rPr>
        <w:lastRenderedPageBreak/>
        <w:t>aludido convenio</w:t>
      </w:r>
      <w:r w:rsidRPr="00631EB0">
        <w:rPr>
          <w:rFonts w:ascii="Tahoma" w:hAnsi="Tahoma" w:cs="Tahoma"/>
          <w:vertAlign w:val="superscript"/>
        </w:rPr>
        <w:footnoteReference w:id="4"/>
      </w:r>
      <w:r w:rsidRPr="00631EB0">
        <w:rPr>
          <w:rFonts w:ascii="Tahoma" w:hAnsi="Tahoma" w:cs="Tahoma"/>
        </w:rPr>
        <w:t xml:space="preserve"> puede</w:t>
      </w:r>
      <w:r w:rsidR="007D5675" w:rsidRPr="00631EB0">
        <w:rPr>
          <w:rFonts w:ascii="Tahoma" w:hAnsi="Tahoma" w:cs="Tahoma"/>
        </w:rPr>
        <w:t xml:space="preserve"> </w:t>
      </w:r>
      <w:r w:rsidRPr="00631EB0">
        <w:rPr>
          <w:rFonts w:ascii="Tahoma" w:hAnsi="Tahoma" w:cs="Tahoma"/>
        </w:rPr>
        <w:t xml:space="preserve">pensarse que este cobija de manera excluyente a quienes están bajo la égida de los regímenes de prima media o de ahorro individual, el artículo 36 de la Ley 100 de 1993 protegió en el tiempo a un grupo poblacional que cumplía unas características precisas, con el fin de que pudieran acceder a una gracia pensional bajo las condiciones establecidas en las normas </w:t>
      </w:r>
      <w:r w:rsidR="007D5675" w:rsidRPr="00631EB0">
        <w:rPr>
          <w:rFonts w:ascii="Tahoma" w:hAnsi="Tahoma" w:cs="Tahoma"/>
        </w:rPr>
        <w:t>anteriores al</w:t>
      </w:r>
      <w:r w:rsidRPr="00631EB0">
        <w:rPr>
          <w:rFonts w:ascii="Tahoma" w:hAnsi="Tahoma" w:cs="Tahoma"/>
        </w:rPr>
        <w:t xml:space="preserve"> sistema general de seguridad social</w:t>
      </w:r>
      <w:r w:rsidR="007D5675" w:rsidRPr="00631EB0">
        <w:rPr>
          <w:rFonts w:ascii="Tahoma" w:hAnsi="Tahoma" w:cs="Tahoma"/>
        </w:rPr>
        <w:t xml:space="preserve"> (Ley 100 de 1993)</w:t>
      </w:r>
      <w:r w:rsidRPr="00631EB0">
        <w:rPr>
          <w:rFonts w:ascii="Tahoma" w:hAnsi="Tahoma" w:cs="Tahoma"/>
        </w:rPr>
        <w:t>; en esa medida, tal como se advirtiera en precedencia, los beneficiarios del régimen de transición gozan igualmente de las prerrogativas establecidas en el convenio enmarcado en la Ley 1112 de 2006,</w:t>
      </w:r>
      <w:r w:rsidR="007D5675" w:rsidRPr="00631EB0">
        <w:rPr>
          <w:rFonts w:ascii="Tahoma" w:hAnsi="Tahoma" w:cs="Tahoma"/>
        </w:rPr>
        <w:t xml:space="preserve"> tal como ya lo ha definido esta Corporación en varios pronunciamientos, por citar alguno</w:t>
      </w:r>
      <w:r w:rsidR="000864B9" w:rsidRPr="00631EB0">
        <w:rPr>
          <w:rFonts w:ascii="Tahoma" w:hAnsi="Tahoma" w:cs="Tahoma"/>
        </w:rPr>
        <w:t>s</w:t>
      </w:r>
      <w:r w:rsidR="007D5675" w:rsidRPr="00631EB0">
        <w:rPr>
          <w:rFonts w:ascii="Tahoma" w:hAnsi="Tahoma" w:cs="Tahoma"/>
        </w:rPr>
        <w:t>,</w:t>
      </w:r>
      <w:r w:rsidR="000864B9" w:rsidRPr="00631EB0">
        <w:rPr>
          <w:rFonts w:ascii="Tahoma" w:hAnsi="Tahoma" w:cs="Tahoma"/>
        </w:rPr>
        <w:t xml:space="preserve"> la sentencia del 10 de agosto de 2020, rad. 66001-31-05-001-2017-00346, y</w:t>
      </w:r>
      <w:r w:rsidR="007D5675" w:rsidRPr="00631EB0">
        <w:rPr>
          <w:rFonts w:ascii="Tahoma" w:hAnsi="Tahoma" w:cs="Tahoma"/>
        </w:rPr>
        <w:t xml:space="preserve"> la más reciente sobre el asunto, dictada el 30 de marzo de 2022, radicado 66001-31-05-005-2019-00186-01, con ponencia de quien aquí cumple igual encargo, en la se indicó: </w:t>
      </w:r>
    </w:p>
    <w:p w14:paraId="614F005D" w14:textId="77777777" w:rsidR="007D5675" w:rsidRPr="00631EB0" w:rsidRDefault="007D5675" w:rsidP="00631EB0">
      <w:pPr>
        <w:widowControl w:val="0"/>
        <w:autoSpaceDE w:val="0"/>
        <w:autoSpaceDN w:val="0"/>
        <w:adjustRightInd w:val="0"/>
        <w:spacing w:line="276" w:lineRule="auto"/>
        <w:ind w:firstLine="709"/>
        <w:jc w:val="both"/>
        <w:rPr>
          <w:rFonts w:ascii="Tahoma" w:hAnsi="Tahoma" w:cs="Tahoma"/>
        </w:rPr>
      </w:pPr>
    </w:p>
    <w:p w14:paraId="5F473565" w14:textId="70568B27" w:rsidR="009E614A" w:rsidRPr="0052348E" w:rsidRDefault="007D5675" w:rsidP="0052348E">
      <w:pPr>
        <w:widowControl w:val="0"/>
        <w:autoSpaceDE w:val="0"/>
        <w:autoSpaceDN w:val="0"/>
        <w:adjustRightInd w:val="0"/>
        <w:ind w:left="426" w:right="539"/>
        <w:jc w:val="both"/>
        <w:rPr>
          <w:rFonts w:ascii="Tahoma" w:hAnsi="Tahoma" w:cs="Tahoma"/>
          <w:i/>
          <w:sz w:val="22"/>
        </w:rPr>
      </w:pPr>
      <w:r w:rsidRPr="0052348E">
        <w:rPr>
          <w:rFonts w:ascii="Tahoma" w:hAnsi="Tahoma" w:cs="Tahoma"/>
          <w:i/>
          <w:sz w:val="22"/>
        </w:rPr>
        <w:t xml:space="preserve">“(…) </w:t>
      </w:r>
      <w:r w:rsidR="009E614A" w:rsidRPr="0052348E">
        <w:rPr>
          <w:rFonts w:ascii="Tahoma" w:hAnsi="Tahoma" w:cs="Tahoma"/>
          <w:i/>
          <w:sz w:val="22"/>
        </w:rPr>
        <w:t>no tendría sentido que un acuerdo mancomunado, dirigido a no dejar desamparadas a aquellas personas que por una u otra razón se vieron en la necesidad de irse a trabajar a España, por las oportunidades laborales que ese país les ofrecía, ahora se vean afectadas por una interpretación sesgada que la administradora de pensiones quiere darle al mismo, tal como ocurrió en la Resolución GNR 374691 de 2016, y como lo reitera su apoderada judicial en la alzada</w:t>
      </w:r>
      <w:r w:rsidR="000864B9" w:rsidRPr="0052348E">
        <w:rPr>
          <w:rFonts w:ascii="Tahoma" w:hAnsi="Tahoma" w:cs="Tahoma"/>
          <w:i/>
          <w:sz w:val="22"/>
        </w:rPr>
        <w:t>”</w:t>
      </w:r>
      <w:r w:rsidR="009E614A" w:rsidRPr="0052348E">
        <w:rPr>
          <w:rFonts w:ascii="Tahoma" w:hAnsi="Tahoma" w:cs="Tahoma"/>
          <w:i/>
          <w:sz w:val="22"/>
        </w:rPr>
        <w:t>.</w:t>
      </w:r>
    </w:p>
    <w:p w14:paraId="49D83CA2" w14:textId="77777777" w:rsidR="009E614A" w:rsidRPr="00631EB0" w:rsidRDefault="009E614A" w:rsidP="00631EB0">
      <w:pPr>
        <w:widowControl w:val="0"/>
        <w:autoSpaceDE w:val="0"/>
        <w:autoSpaceDN w:val="0"/>
        <w:adjustRightInd w:val="0"/>
        <w:spacing w:line="276" w:lineRule="auto"/>
        <w:ind w:firstLine="708"/>
        <w:rPr>
          <w:rFonts w:ascii="Tahoma" w:hAnsi="Tahoma" w:cs="Tahoma"/>
        </w:rPr>
      </w:pPr>
    </w:p>
    <w:p w14:paraId="6D35D3EC" w14:textId="7EFCBDCA" w:rsidR="008F0FC6" w:rsidRPr="00631EB0" w:rsidRDefault="009E614A" w:rsidP="00F51855">
      <w:pPr>
        <w:widowControl w:val="0"/>
        <w:autoSpaceDE w:val="0"/>
        <w:autoSpaceDN w:val="0"/>
        <w:adjustRightInd w:val="0"/>
        <w:spacing w:line="276" w:lineRule="auto"/>
        <w:ind w:firstLine="708"/>
        <w:jc w:val="both"/>
        <w:rPr>
          <w:rFonts w:ascii="Tahoma" w:eastAsia="Tahoma" w:hAnsi="Tahoma" w:cs="Tahoma"/>
        </w:rPr>
      </w:pPr>
      <w:r w:rsidRPr="00631EB0">
        <w:rPr>
          <w:rFonts w:ascii="Tahoma" w:hAnsi="Tahoma" w:cs="Tahoma"/>
        </w:rPr>
        <w:t>Asimismo, se avala lo dispuesto en</w:t>
      </w:r>
      <w:r w:rsidR="000864B9" w:rsidRPr="00631EB0">
        <w:rPr>
          <w:rFonts w:ascii="Tahoma" w:hAnsi="Tahoma" w:cs="Tahoma"/>
        </w:rPr>
        <w:t xml:space="preserve"> sede de</w:t>
      </w:r>
      <w:r w:rsidRPr="00631EB0">
        <w:rPr>
          <w:rFonts w:ascii="Tahoma" w:hAnsi="Tahoma" w:cs="Tahoma"/>
        </w:rPr>
        <w:t xml:space="preserve"> primer grado respecto a la fecha de reconocimiento de la prestación,</w:t>
      </w:r>
      <w:r w:rsidR="00F55CD8" w:rsidRPr="00631EB0">
        <w:rPr>
          <w:rFonts w:ascii="Tahoma" w:hAnsi="Tahoma" w:cs="Tahoma"/>
        </w:rPr>
        <w:t xml:space="preserve"> por</w:t>
      </w:r>
      <w:r w:rsidR="00F825F3" w:rsidRPr="00631EB0">
        <w:rPr>
          <w:rFonts w:ascii="Tahoma" w:hAnsi="Tahoma" w:cs="Tahoma"/>
        </w:rPr>
        <w:t>que, a</w:t>
      </w:r>
      <w:r w:rsidR="00F55CD8" w:rsidRPr="00631EB0">
        <w:rPr>
          <w:rFonts w:ascii="Tahoma" w:hAnsi="Tahoma" w:cs="Tahoma"/>
        </w:rPr>
        <w:t xml:space="preserve">unque la demandante solicitó por primera vez la </w:t>
      </w:r>
      <w:r w:rsidR="00F825F3" w:rsidRPr="00631EB0">
        <w:rPr>
          <w:rFonts w:ascii="Tahoma" w:hAnsi="Tahoma" w:cs="Tahoma"/>
        </w:rPr>
        <w:t>pensión de vejez</w:t>
      </w:r>
      <w:r w:rsidR="00F55CD8" w:rsidRPr="00631EB0">
        <w:rPr>
          <w:rFonts w:ascii="Tahoma" w:hAnsi="Tahoma" w:cs="Tahoma"/>
        </w:rPr>
        <w:t xml:space="preserve"> el 09 de diciembre de 2009, según se desprende de la Resolución No. </w:t>
      </w:r>
      <w:r w:rsidR="00F825F3" w:rsidRPr="00631EB0">
        <w:rPr>
          <w:rFonts w:ascii="Tahoma" w:hAnsi="Tahoma" w:cs="Tahoma"/>
        </w:rPr>
        <w:t>11403 del 28 de marzo 2012</w:t>
      </w:r>
      <w:r w:rsidR="002B176C" w:rsidRPr="00631EB0">
        <w:rPr>
          <w:rStyle w:val="Refdenotaalpie"/>
          <w:rFonts w:ascii="Tahoma" w:hAnsi="Tahoma" w:cs="Tahoma"/>
        </w:rPr>
        <w:footnoteReference w:id="5"/>
      </w:r>
      <w:r w:rsidR="00F825F3" w:rsidRPr="00631EB0">
        <w:rPr>
          <w:rFonts w:ascii="Tahoma" w:hAnsi="Tahoma" w:cs="Tahoma"/>
        </w:rPr>
        <w:t>,</w:t>
      </w:r>
      <w:r w:rsidR="008F0FC6" w:rsidRPr="00631EB0">
        <w:rPr>
          <w:rFonts w:ascii="Tahoma" w:hAnsi="Tahoma" w:cs="Tahoma"/>
        </w:rPr>
        <w:t xml:space="preserve"> lo cierto es que</w:t>
      </w:r>
      <w:r w:rsidR="00F825F3" w:rsidRPr="00631EB0">
        <w:rPr>
          <w:rFonts w:ascii="Tahoma" w:hAnsi="Tahoma" w:cs="Tahoma"/>
        </w:rPr>
        <w:t xml:space="preserve"> para dicha calenda no reunía la densidad mínima de cotizaciones para acceder</w:t>
      </w:r>
      <w:r w:rsidR="00BF6CD5" w:rsidRPr="00631EB0">
        <w:rPr>
          <w:rFonts w:ascii="Tahoma" w:hAnsi="Tahoma" w:cs="Tahoma"/>
        </w:rPr>
        <w:t xml:space="preserve"> a</w:t>
      </w:r>
      <w:r w:rsidR="00F825F3" w:rsidRPr="00631EB0">
        <w:rPr>
          <w:rFonts w:ascii="Tahoma" w:hAnsi="Tahoma" w:cs="Tahoma"/>
        </w:rPr>
        <w:t xml:space="preserve"> la pensión con base en el acuerdo 049 de 1990</w:t>
      </w:r>
      <w:r w:rsidR="008F0FC6" w:rsidRPr="00631EB0">
        <w:rPr>
          <w:rFonts w:ascii="Tahoma" w:hAnsi="Tahoma" w:cs="Tahoma"/>
        </w:rPr>
        <w:t>, de modo que la pensión debía reconocerse, como bien se estableció en primera instancia, desde el 31 de octubre de 2012, fecha de la última cotización registrada por la actora, puesto que, para dicha calenda, ya reunía más de 1000 semanas cotizadas (</w:t>
      </w:r>
      <w:r w:rsidR="00BF6CD5" w:rsidRPr="00631EB0">
        <w:rPr>
          <w:rFonts w:ascii="Tahoma" w:hAnsi="Tahoma" w:cs="Tahoma"/>
        </w:rPr>
        <w:t>específicamente</w:t>
      </w:r>
      <w:r w:rsidR="008F0FC6" w:rsidRPr="00631EB0">
        <w:rPr>
          <w:rFonts w:ascii="Tahoma" w:hAnsi="Tahoma" w:cs="Tahoma"/>
        </w:rPr>
        <w:t xml:space="preserve"> 1038, como atrás se explicó)</w:t>
      </w:r>
      <w:r w:rsidR="00BF6CD5" w:rsidRPr="00631EB0">
        <w:rPr>
          <w:rFonts w:ascii="Tahoma" w:hAnsi="Tahoma" w:cs="Tahoma"/>
        </w:rPr>
        <w:t xml:space="preserve"> y la prestación</w:t>
      </w:r>
      <w:r w:rsidR="005E1607" w:rsidRPr="00631EB0">
        <w:rPr>
          <w:rFonts w:ascii="Tahoma" w:hAnsi="Tahoma" w:cs="Tahoma"/>
        </w:rPr>
        <w:t xml:space="preserve"> la volvió</w:t>
      </w:r>
      <w:r w:rsidR="00BF6CD5" w:rsidRPr="00631EB0">
        <w:rPr>
          <w:rFonts w:ascii="Tahoma" w:hAnsi="Tahoma" w:cs="Tahoma"/>
        </w:rPr>
        <w:t xml:space="preserve"> </w:t>
      </w:r>
      <w:r w:rsidR="005E1607" w:rsidRPr="00631EB0">
        <w:rPr>
          <w:rFonts w:ascii="Tahoma" w:hAnsi="Tahoma" w:cs="Tahoma"/>
        </w:rPr>
        <w:t>a</w:t>
      </w:r>
      <w:r w:rsidR="00BF6CD5" w:rsidRPr="00631EB0">
        <w:rPr>
          <w:rFonts w:ascii="Tahoma" w:hAnsi="Tahoma" w:cs="Tahoma"/>
        </w:rPr>
        <w:t xml:space="preserve"> reclam</w:t>
      </w:r>
      <w:r w:rsidR="005E1607" w:rsidRPr="00631EB0">
        <w:rPr>
          <w:rFonts w:ascii="Tahoma" w:hAnsi="Tahoma" w:cs="Tahoma"/>
        </w:rPr>
        <w:t>ar</w:t>
      </w:r>
      <w:r w:rsidR="00BF6CD5" w:rsidRPr="00631EB0">
        <w:rPr>
          <w:rFonts w:ascii="Tahoma" w:hAnsi="Tahoma" w:cs="Tahoma"/>
        </w:rPr>
        <w:t xml:space="preserve"> dentro de los tres años siguientes, puntualmente el 30 de noviembre de 2015</w:t>
      </w:r>
      <w:r w:rsidR="00D13C33" w:rsidRPr="00631EB0">
        <w:rPr>
          <w:rStyle w:val="Refdenotaalpie"/>
          <w:rFonts w:ascii="Tahoma" w:hAnsi="Tahoma" w:cs="Tahoma"/>
        </w:rPr>
        <w:footnoteReference w:id="6"/>
      </w:r>
      <w:r w:rsidR="00BF6CD5" w:rsidRPr="00631EB0">
        <w:rPr>
          <w:rFonts w:ascii="Tahoma" w:hAnsi="Tahoma" w:cs="Tahoma"/>
        </w:rPr>
        <w:t xml:space="preserve">, la cual solo </w:t>
      </w:r>
      <w:r w:rsidR="005E1607" w:rsidRPr="00631EB0">
        <w:rPr>
          <w:rFonts w:ascii="Tahoma" w:hAnsi="Tahoma" w:cs="Tahoma"/>
        </w:rPr>
        <w:t>vino a</w:t>
      </w:r>
      <w:r w:rsidR="00BF6CD5" w:rsidRPr="00631EB0">
        <w:rPr>
          <w:rFonts w:ascii="Tahoma" w:hAnsi="Tahoma" w:cs="Tahoma"/>
        </w:rPr>
        <w:t xml:space="preserve"> resolv</w:t>
      </w:r>
      <w:r w:rsidR="005E1607" w:rsidRPr="00631EB0">
        <w:rPr>
          <w:rFonts w:ascii="Tahoma" w:hAnsi="Tahoma" w:cs="Tahoma"/>
        </w:rPr>
        <w:t>erse</w:t>
      </w:r>
      <w:r w:rsidR="00BF6CD5" w:rsidRPr="00631EB0">
        <w:rPr>
          <w:rFonts w:ascii="Tahoma" w:hAnsi="Tahoma" w:cs="Tahoma"/>
        </w:rPr>
        <w:t xml:space="preserve"> de fondo con la expedición de la Resolución </w:t>
      </w:r>
      <w:r w:rsidR="00BF6CD5" w:rsidRPr="00631EB0">
        <w:rPr>
          <w:rFonts w:ascii="Tahoma" w:eastAsia="Tahoma" w:hAnsi="Tahoma" w:cs="Tahoma"/>
        </w:rPr>
        <w:t xml:space="preserve">VPB 43953 del 7 de diciembre de 2016, con lo cual operó la interrupción de la prescripción por tres (3) años más, según se desprende </w:t>
      </w:r>
      <w:r w:rsidR="00976131" w:rsidRPr="00631EB0">
        <w:rPr>
          <w:rFonts w:ascii="Tahoma" w:eastAsia="Tahoma" w:hAnsi="Tahoma" w:cs="Tahoma"/>
        </w:rPr>
        <w:t>del artículo 151 de</w:t>
      </w:r>
      <w:r w:rsidR="000454EF" w:rsidRPr="00631EB0">
        <w:rPr>
          <w:rFonts w:ascii="Tahoma" w:eastAsia="Tahoma" w:hAnsi="Tahoma" w:cs="Tahoma"/>
        </w:rPr>
        <w:t>l C.P.T. y de la S.S., de modo que no fue afectada de prescripción ninguna mesada, como quiera que la demanda se presentó el 04 de diciembre de 2019, es decir, dentro de los tres (3) que se siguen a la última de las mencionadas resoluciones.</w:t>
      </w:r>
    </w:p>
    <w:p w14:paraId="5CED1A2E" w14:textId="77777777" w:rsidR="009E614A" w:rsidRPr="00631EB0" w:rsidRDefault="009E614A" w:rsidP="00631EB0">
      <w:pPr>
        <w:widowControl w:val="0"/>
        <w:autoSpaceDE w:val="0"/>
        <w:autoSpaceDN w:val="0"/>
        <w:adjustRightInd w:val="0"/>
        <w:spacing w:line="276" w:lineRule="auto"/>
        <w:rPr>
          <w:rFonts w:ascii="Tahoma" w:hAnsi="Tahoma" w:cs="Tahoma"/>
        </w:rPr>
      </w:pPr>
    </w:p>
    <w:p w14:paraId="2EB128C6" w14:textId="39846E6B" w:rsidR="008E78A0" w:rsidRPr="00631EB0" w:rsidRDefault="009E614A" w:rsidP="00631EB0">
      <w:pPr>
        <w:widowControl w:val="0"/>
        <w:autoSpaceDE w:val="0"/>
        <w:autoSpaceDN w:val="0"/>
        <w:adjustRightInd w:val="0"/>
        <w:spacing w:line="276" w:lineRule="auto"/>
        <w:ind w:firstLine="709"/>
        <w:jc w:val="both"/>
        <w:rPr>
          <w:rFonts w:ascii="Tahoma" w:hAnsi="Tahoma" w:cs="Tahoma"/>
          <w:color w:val="000000"/>
        </w:rPr>
      </w:pPr>
      <w:r w:rsidRPr="00631EB0">
        <w:rPr>
          <w:rFonts w:ascii="Tahoma" w:hAnsi="Tahoma" w:cs="Tahoma"/>
        </w:rPr>
        <w:t xml:space="preserve">Con relación al monto calculado por la </w:t>
      </w:r>
      <w:r w:rsidR="008E78A0" w:rsidRPr="00631EB0">
        <w:rPr>
          <w:rFonts w:ascii="Tahoma" w:hAnsi="Tahoma" w:cs="Tahoma"/>
          <w:i/>
        </w:rPr>
        <w:t>a</w:t>
      </w:r>
      <w:r w:rsidRPr="00631EB0">
        <w:rPr>
          <w:rFonts w:ascii="Tahoma" w:hAnsi="Tahoma" w:cs="Tahoma"/>
          <w:i/>
        </w:rPr>
        <w:t>-quo</w:t>
      </w:r>
      <w:r w:rsidRPr="00631EB0">
        <w:rPr>
          <w:rFonts w:ascii="Tahoma" w:hAnsi="Tahoma" w:cs="Tahoma"/>
        </w:rPr>
        <w:t>, se observa que aplicó lo dispuesto</w:t>
      </w:r>
      <w:r w:rsidR="00F51855">
        <w:rPr>
          <w:rFonts w:ascii="Tahoma" w:hAnsi="Tahoma" w:cs="Tahoma"/>
        </w:rPr>
        <w:t xml:space="preserve"> </w:t>
      </w:r>
      <w:r w:rsidRPr="00631EB0">
        <w:rPr>
          <w:rFonts w:ascii="Tahoma" w:hAnsi="Tahoma" w:cs="Tahoma"/>
        </w:rPr>
        <w:lastRenderedPageBreak/>
        <w:t>en los artículos 9</w:t>
      </w:r>
      <w:r w:rsidRPr="00631EB0">
        <w:rPr>
          <w:rFonts w:ascii="Tahoma" w:hAnsi="Tahoma" w:cs="Tahoma"/>
        </w:rPr>
        <w:footnoteReference w:id="7"/>
      </w:r>
      <w:r w:rsidRPr="00631EB0">
        <w:rPr>
          <w:rFonts w:ascii="Tahoma" w:hAnsi="Tahoma" w:cs="Tahoma"/>
        </w:rPr>
        <w:t xml:space="preserve"> y</w:t>
      </w:r>
      <w:r w:rsidRPr="00631EB0">
        <w:rPr>
          <w:rFonts w:ascii="Tahoma" w:hAnsi="Tahoma" w:cs="Tahoma"/>
          <w:color w:val="000000"/>
        </w:rPr>
        <w:t xml:space="preserve"> 15</w:t>
      </w:r>
      <w:r w:rsidRPr="00631EB0">
        <w:rPr>
          <w:rFonts w:ascii="Tahoma" w:hAnsi="Tahoma" w:cs="Tahoma"/>
          <w:color w:val="000000"/>
          <w:vertAlign w:val="superscript"/>
        </w:rPr>
        <w:footnoteReference w:id="8"/>
      </w:r>
      <w:r w:rsidRPr="00631EB0">
        <w:rPr>
          <w:rFonts w:ascii="Tahoma" w:hAnsi="Tahoma" w:cs="Tahoma"/>
          <w:color w:val="000000"/>
        </w:rPr>
        <w:t xml:space="preserve"> de la Ley 1112 de 2006, para establecer la base de liquidación, la pensión teórica y la pensión prorrata. La pensión teórica fue el resultado de aplicar la tasa de reemplazo del </w:t>
      </w:r>
      <w:r w:rsidR="005E1607" w:rsidRPr="00631EB0">
        <w:rPr>
          <w:rFonts w:ascii="Tahoma" w:hAnsi="Tahoma" w:cs="Tahoma"/>
          <w:color w:val="000000"/>
        </w:rPr>
        <w:t>75</w:t>
      </w:r>
      <w:r w:rsidRPr="00631EB0">
        <w:rPr>
          <w:rFonts w:ascii="Tahoma" w:hAnsi="Tahoma" w:cs="Tahoma"/>
          <w:color w:val="000000"/>
        </w:rPr>
        <w:t xml:space="preserve">% a la base de liquidación obtenida con el promedio de salarios devengados en los últimos 10 años por </w:t>
      </w:r>
      <w:r w:rsidR="005E1607" w:rsidRPr="00631EB0">
        <w:rPr>
          <w:rFonts w:ascii="Tahoma" w:hAnsi="Tahoma" w:cs="Tahoma"/>
          <w:color w:val="000000"/>
        </w:rPr>
        <w:t>la</w:t>
      </w:r>
      <w:r w:rsidRPr="00631EB0">
        <w:rPr>
          <w:rFonts w:ascii="Tahoma" w:hAnsi="Tahoma" w:cs="Tahoma"/>
          <w:color w:val="000000"/>
        </w:rPr>
        <w:t xml:space="preserve"> actor</w:t>
      </w:r>
      <w:r w:rsidR="005E1607" w:rsidRPr="00631EB0">
        <w:rPr>
          <w:rFonts w:ascii="Tahoma" w:hAnsi="Tahoma" w:cs="Tahoma"/>
          <w:color w:val="000000"/>
        </w:rPr>
        <w:t>a, lo cual deriva en un monto inferior al salario mínimo legal mensual vigente, puesto que su IBC siempre fue el equivalente a dicha cifra</w:t>
      </w:r>
      <w:r w:rsidR="008E78A0" w:rsidRPr="00631EB0">
        <w:rPr>
          <w:rFonts w:ascii="Tahoma" w:hAnsi="Tahoma" w:cs="Tahoma"/>
          <w:color w:val="000000"/>
        </w:rPr>
        <w:t xml:space="preserve">; </w:t>
      </w:r>
      <w:r w:rsidRPr="00631EB0">
        <w:rPr>
          <w:rFonts w:ascii="Tahoma" w:hAnsi="Tahoma" w:cs="Tahoma"/>
          <w:color w:val="000000"/>
        </w:rPr>
        <w:t>no obstante, al ser inferior al salario mínimo legal, lo equiparó al mismo,</w:t>
      </w:r>
      <w:r w:rsidR="008E78A0" w:rsidRPr="00631EB0">
        <w:rPr>
          <w:rFonts w:ascii="Tahoma" w:hAnsi="Tahoma" w:cs="Tahoma"/>
          <w:color w:val="000000"/>
        </w:rPr>
        <w:t xml:space="preserve"> conforme al inciso final del artículo 48 constitucional.</w:t>
      </w:r>
    </w:p>
    <w:p w14:paraId="3C5D2711" w14:textId="77777777" w:rsidR="00F51855" w:rsidRPr="00631EB0" w:rsidRDefault="00F51855" w:rsidP="00631EB0">
      <w:pPr>
        <w:widowControl w:val="0"/>
        <w:autoSpaceDE w:val="0"/>
        <w:autoSpaceDN w:val="0"/>
        <w:adjustRightInd w:val="0"/>
        <w:spacing w:line="276" w:lineRule="auto"/>
        <w:ind w:firstLine="709"/>
        <w:jc w:val="both"/>
        <w:rPr>
          <w:rFonts w:ascii="Tahoma" w:hAnsi="Tahoma" w:cs="Tahoma"/>
          <w:color w:val="000000"/>
        </w:rPr>
      </w:pPr>
    </w:p>
    <w:p w14:paraId="3B97F8D3" w14:textId="77777777" w:rsidR="00106080" w:rsidRPr="00631EB0" w:rsidRDefault="009E614A" w:rsidP="00631EB0">
      <w:pPr>
        <w:pStyle w:val="Textocomentario"/>
        <w:spacing w:line="276" w:lineRule="auto"/>
        <w:ind w:firstLine="708"/>
        <w:jc w:val="both"/>
        <w:rPr>
          <w:rFonts w:ascii="Tahoma" w:hAnsi="Tahoma" w:cs="Tahoma"/>
          <w:color w:val="000000"/>
          <w:sz w:val="24"/>
          <w:szCs w:val="24"/>
        </w:rPr>
      </w:pPr>
      <w:r w:rsidRPr="00631EB0">
        <w:rPr>
          <w:rFonts w:ascii="Tahoma" w:hAnsi="Tahoma" w:cs="Tahoma"/>
          <w:color w:val="000000"/>
          <w:sz w:val="24"/>
          <w:szCs w:val="24"/>
        </w:rPr>
        <w:t>Frente al porcentaje que da lugar a la pensión prorrata, es menester indicar que, al contar con un total de 1</w:t>
      </w:r>
      <w:r w:rsidR="008E78A0" w:rsidRPr="00631EB0">
        <w:rPr>
          <w:rFonts w:ascii="Tahoma" w:hAnsi="Tahoma" w:cs="Tahoma"/>
          <w:color w:val="000000"/>
          <w:sz w:val="24"/>
          <w:szCs w:val="24"/>
        </w:rPr>
        <w:t xml:space="preserve">038 </w:t>
      </w:r>
      <w:r w:rsidRPr="00631EB0">
        <w:rPr>
          <w:rFonts w:ascii="Tahoma" w:hAnsi="Tahoma" w:cs="Tahoma"/>
          <w:color w:val="000000"/>
          <w:sz w:val="24"/>
          <w:szCs w:val="24"/>
        </w:rPr>
        <w:t>semanas cotizadas, las</w:t>
      </w:r>
      <w:r w:rsidR="008E78A0" w:rsidRPr="00631EB0">
        <w:rPr>
          <w:rFonts w:ascii="Tahoma" w:hAnsi="Tahoma" w:cs="Tahoma"/>
          <w:color w:val="000000"/>
          <w:sz w:val="24"/>
          <w:szCs w:val="24"/>
        </w:rPr>
        <w:t xml:space="preserve"> </w:t>
      </w:r>
      <w:r w:rsidR="008E78A0" w:rsidRPr="00631EB0">
        <w:rPr>
          <w:rFonts w:ascii="Tahoma" w:hAnsi="Tahoma" w:cs="Tahoma"/>
          <w:sz w:val="24"/>
          <w:szCs w:val="24"/>
        </w:rPr>
        <w:t xml:space="preserve">691,86 </w:t>
      </w:r>
      <w:r w:rsidRPr="00631EB0">
        <w:rPr>
          <w:rFonts w:ascii="Tahoma" w:hAnsi="Tahoma" w:cs="Tahoma"/>
          <w:color w:val="000000"/>
          <w:sz w:val="24"/>
          <w:szCs w:val="24"/>
        </w:rPr>
        <w:t xml:space="preserve">aportadas al régimen de prima media administrado por Colpensiones derivan en un porcentaje del </w:t>
      </w:r>
      <w:r w:rsidR="008E78A0" w:rsidRPr="00631EB0">
        <w:rPr>
          <w:rFonts w:ascii="Tahoma" w:hAnsi="Tahoma" w:cs="Tahoma"/>
          <w:color w:val="000000"/>
          <w:sz w:val="24"/>
          <w:szCs w:val="24"/>
        </w:rPr>
        <w:t>66,6</w:t>
      </w:r>
      <w:r w:rsidRPr="00631EB0">
        <w:rPr>
          <w:rFonts w:ascii="Tahoma" w:hAnsi="Tahoma" w:cs="Tahoma"/>
          <w:color w:val="000000"/>
          <w:sz w:val="24"/>
          <w:szCs w:val="24"/>
        </w:rPr>
        <w:t>%</w:t>
      </w:r>
      <w:r w:rsidR="00106080" w:rsidRPr="00631EB0">
        <w:rPr>
          <w:rFonts w:ascii="Tahoma" w:hAnsi="Tahoma" w:cs="Tahoma"/>
          <w:color w:val="000000"/>
          <w:sz w:val="24"/>
          <w:szCs w:val="24"/>
        </w:rPr>
        <w:t>, como bien lo decidió la a-quo en primera instancia.</w:t>
      </w:r>
    </w:p>
    <w:p w14:paraId="1A1EF0D3" w14:textId="77777777" w:rsidR="00106080" w:rsidRPr="00631EB0" w:rsidRDefault="00106080" w:rsidP="00631EB0">
      <w:pPr>
        <w:pStyle w:val="Textocomentario"/>
        <w:spacing w:line="276" w:lineRule="auto"/>
        <w:ind w:firstLine="708"/>
        <w:jc w:val="both"/>
        <w:rPr>
          <w:rFonts w:ascii="Tahoma" w:hAnsi="Tahoma" w:cs="Tahoma"/>
          <w:sz w:val="24"/>
          <w:szCs w:val="24"/>
        </w:rPr>
      </w:pPr>
    </w:p>
    <w:p w14:paraId="50DFB128" w14:textId="3144D2B6" w:rsidR="009E614A" w:rsidRPr="00631EB0" w:rsidRDefault="009E614A" w:rsidP="00631EB0">
      <w:pPr>
        <w:pStyle w:val="Textocomentario"/>
        <w:spacing w:line="276" w:lineRule="auto"/>
        <w:ind w:firstLine="708"/>
        <w:jc w:val="both"/>
        <w:rPr>
          <w:rFonts w:ascii="Tahoma" w:hAnsi="Tahoma" w:cs="Tahoma"/>
          <w:color w:val="000000"/>
          <w:sz w:val="24"/>
          <w:szCs w:val="24"/>
        </w:rPr>
      </w:pPr>
      <w:r w:rsidRPr="00631EB0">
        <w:rPr>
          <w:rFonts w:ascii="Tahoma" w:hAnsi="Tahoma" w:cs="Tahoma"/>
          <w:sz w:val="24"/>
          <w:szCs w:val="24"/>
        </w:rPr>
        <w:t>Dicho lo anterior</w:t>
      </w:r>
      <w:r w:rsidR="00B13485" w:rsidRPr="00631EB0">
        <w:rPr>
          <w:rFonts w:ascii="Tahoma" w:hAnsi="Tahoma" w:cs="Tahoma"/>
          <w:sz w:val="24"/>
          <w:szCs w:val="24"/>
        </w:rPr>
        <w:t xml:space="preserve"> y en atención al artículo 283 del C.G.P., </w:t>
      </w:r>
      <w:r w:rsidR="00106080" w:rsidRPr="00631EB0">
        <w:rPr>
          <w:rFonts w:ascii="Tahoma" w:hAnsi="Tahoma" w:cs="Tahoma"/>
          <w:sz w:val="24"/>
          <w:szCs w:val="24"/>
        </w:rPr>
        <w:t>con la finalidad de actualizar la condena,</w:t>
      </w:r>
      <w:r w:rsidRPr="00631EB0">
        <w:rPr>
          <w:rFonts w:ascii="Tahoma" w:hAnsi="Tahoma" w:cs="Tahoma"/>
          <w:sz w:val="24"/>
          <w:szCs w:val="24"/>
        </w:rPr>
        <w:t xml:space="preserve"> la Sala procedió a calcular el retroactivo pensional causado entre el </w:t>
      </w:r>
      <w:r w:rsidR="00106080" w:rsidRPr="00631EB0">
        <w:rPr>
          <w:rFonts w:ascii="Tahoma" w:hAnsi="Tahoma" w:cs="Tahoma"/>
          <w:sz w:val="24"/>
          <w:szCs w:val="24"/>
        </w:rPr>
        <w:t>31</w:t>
      </w:r>
      <w:r w:rsidRPr="00631EB0">
        <w:rPr>
          <w:rFonts w:ascii="Tahoma" w:hAnsi="Tahoma" w:cs="Tahoma"/>
          <w:sz w:val="24"/>
          <w:szCs w:val="24"/>
        </w:rPr>
        <w:t xml:space="preserve"> de </w:t>
      </w:r>
      <w:r w:rsidR="00106080" w:rsidRPr="00631EB0">
        <w:rPr>
          <w:rFonts w:ascii="Tahoma" w:hAnsi="Tahoma" w:cs="Tahoma"/>
          <w:sz w:val="24"/>
          <w:szCs w:val="24"/>
        </w:rPr>
        <w:t>octubre</w:t>
      </w:r>
      <w:r w:rsidRPr="00631EB0">
        <w:rPr>
          <w:rFonts w:ascii="Tahoma" w:hAnsi="Tahoma" w:cs="Tahoma"/>
          <w:sz w:val="24"/>
          <w:szCs w:val="24"/>
        </w:rPr>
        <w:t xml:space="preserve"> de 201</w:t>
      </w:r>
      <w:r w:rsidR="00106080" w:rsidRPr="00631EB0">
        <w:rPr>
          <w:rFonts w:ascii="Tahoma" w:hAnsi="Tahoma" w:cs="Tahoma"/>
          <w:sz w:val="24"/>
          <w:szCs w:val="24"/>
        </w:rPr>
        <w:t>2</w:t>
      </w:r>
      <w:r w:rsidRPr="00631EB0">
        <w:rPr>
          <w:rFonts w:ascii="Tahoma" w:hAnsi="Tahoma" w:cs="Tahoma"/>
          <w:sz w:val="24"/>
          <w:szCs w:val="24"/>
        </w:rPr>
        <w:t xml:space="preserve"> y el </w:t>
      </w:r>
      <w:r w:rsidR="00106080" w:rsidRPr="00631EB0">
        <w:rPr>
          <w:rFonts w:ascii="Tahoma" w:hAnsi="Tahoma" w:cs="Tahoma"/>
          <w:sz w:val="24"/>
          <w:szCs w:val="24"/>
        </w:rPr>
        <w:t xml:space="preserve">31 </w:t>
      </w:r>
      <w:r w:rsidRPr="00631EB0">
        <w:rPr>
          <w:rFonts w:ascii="Tahoma" w:hAnsi="Tahoma" w:cs="Tahoma"/>
          <w:sz w:val="24"/>
          <w:szCs w:val="24"/>
        </w:rPr>
        <w:t xml:space="preserve">de </w:t>
      </w:r>
      <w:r w:rsidR="00106080" w:rsidRPr="00631EB0">
        <w:rPr>
          <w:rFonts w:ascii="Tahoma" w:hAnsi="Tahoma" w:cs="Tahoma"/>
          <w:sz w:val="24"/>
          <w:szCs w:val="24"/>
        </w:rPr>
        <w:t>julio</w:t>
      </w:r>
      <w:r w:rsidRPr="00631EB0">
        <w:rPr>
          <w:rFonts w:ascii="Tahoma" w:hAnsi="Tahoma" w:cs="Tahoma"/>
          <w:sz w:val="24"/>
          <w:szCs w:val="24"/>
        </w:rPr>
        <w:t xml:space="preserve"> de 2022, </w:t>
      </w:r>
      <w:r w:rsidR="00106080" w:rsidRPr="00631EB0">
        <w:rPr>
          <w:rFonts w:ascii="Tahoma" w:hAnsi="Tahoma" w:cs="Tahoma"/>
          <w:sz w:val="24"/>
          <w:szCs w:val="24"/>
        </w:rPr>
        <w:t>fecha de corte del mes anterior a la sentencia,</w:t>
      </w:r>
      <w:r w:rsidR="00B13485" w:rsidRPr="00631EB0">
        <w:rPr>
          <w:rFonts w:ascii="Tahoma" w:hAnsi="Tahoma" w:cs="Tahoma"/>
          <w:sz w:val="24"/>
          <w:szCs w:val="24"/>
        </w:rPr>
        <w:t xml:space="preserve"> calculado</w:t>
      </w:r>
      <w:r w:rsidR="00106080" w:rsidRPr="00631EB0">
        <w:rPr>
          <w:rFonts w:ascii="Tahoma" w:hAnsi="Tahoma" w:cs="Tahoma"/>
          <w:sz w:val="24"/>
          <w:szCs w:val="24"/>
        </w:rPr>
        <w:t xml:space="preserve"> sobre la base del 66,6% de un salario mínimo</w:t>
      </w:r>
      <w:r w:rsidR="00B13485" w:rsidRPr="00631EB0">
        <w:rPr>
          <w:rFonts w:ascii="Tahoma" w:hAnsi="Tahoma" w:cs="Tahoma"/>
          <w:sz w:val="24"/>
          <w:szCs w:val="24"/>
        </w:rPr>
        <w:t xml:space="preserve"> (pensión prorrata)</w:t>
      </w:r>
      <w:r w:rsidR="00106080" w:rsidRPr="00631EB0">
        <w:rPr>
          <w:rFonts w:ascii="Tahoma" w:hAnsi="Tahoma" w:cs="Tahoma"/>
          <w:sz w:val="24"/>
          <w:szCs w:val="24"/>
        </w:rPr>
        <w:t xml:space="preserve">, </w:t>
      </w:r>
      <w:r w:rsidRPr="00631EB0">
        <w:rPr>
          <w:rFonts w:ascii="Tahoma" w:hAnsi="Tahoma" w:cs="Tahoma"/>
          <w:sz w:val="24"/>
          <w:szCs w:val="24"/>
        </w:rPr>
        <w:t>lo cual arroj</w:t>
      </w:r>
      <w:r w:rsidR="00106080" w:rsidRPr="00631EB0">
        <w:rPr>
          <w:rFonts w:ascii="Tahoma" w:hAnsi="Tahoma" w:cs="Tahoma"/>
          <w:sz w:val="24"/>
          <w:szCs w:val="24"/>
        </w:rPr>
        <w:t>a</w:t>
      </w:r>
      <w:r w:rsidRPr="00631EB0">
        <w:rPr>
          <w:rFonts w:ascii="Tahoma" w:hAnsi="Tahoma" w:cs="Tahoma"/>
          <w:sz w:val="24"/>
          <w:szCs w:val="24"/>
        </w:rPr>
        <w:t xml:space="preserve"> un total de </w:t>
      </w:r>
      <w:r w:rsidR="00B13485" w:rsidRPr="00631EB0">
        <w:rPr>
          <w:rFonts w:ascii="Tahoma" w:hAnsi="Tahoma" w:cs="Tahoma"/>
          <w:sz w:val="24"/>
          <w:szCs w:val="24"/>
        </w:rPr>
        <w:t>$63.644.718</w:t>
      </w:r>
      <w:r w:rsidRPr="00631EB0">
        <w:rPr>
          <w:rFonts w:ascii="Tahoma" w:hAnsi="Tahoma" w:cs="Tahoma"/>
          <w:sz w:val="24"/>
          <w:szCs w:val="24"/>
        </w:rPr>
        <w:t>,</w:t>
      </w:r>
      <w:r w:rsidR="00B13485" w:rsidRPr="00631EB0">
        <w:rPr>
          <w:rFonts w:ascii="Tahoma" w:hAnsi="Tahoma" w:cs="Tahoma"/>
          <w:sz w:val="24"/>
          <w:szCs w:val="24"/>
        </w:rPr>
        <w:t>74,</w:t>
      </w:r>
      <w:r w:rsidRPr="00631EB0">
        <w:rPr>
          <w:rFonts w:ascii="Tahoma" w:hAnsi="Tahoma" w:cs="Tahoma"/>
          <w:sz w:val="24"/>
          <w:szCs w:val="24"/>
        </w:rPr>
        <w:t xml:space="preserve"> sin perjuicio de las mesada que se causen con posterioridad</w:t>
      </w:r>
      <w:r w:rsidR="00B13485" w:rsidRPr="00631EB0">
        <w:rPr>
          <w:rFonts w:ascii="Tahoma" w:hAnsi="Tahoma" w:cs="Tahoma"/>
          <w:sz w:val="24"/>
          <w:szCs w:val="24"/>
        </w:rPr>
        <w:t xml:space="preserve"> y previo</w:t>
      </w:r>
      <w:r w:rsidRPr="00631EB0">
        <w:rPr>
          <w:rFonts w:ascii="Tahoma" w:hAnsi="Tahoma" w:cs="Tahoma"/>
          <w:sz w:val="24"/>
          <w:szCs w:val="24"/>
        </w:rPr>
        <w:t xml:space="preserve"> descuentos de ley</w:t>
      </w:r>
      <w:r w:rsidR="00106080" w:rsidRPr="00631EB0">
        <w:rPr>
          <w:rFonts w:ascii="Tahoma" w:hAnsi="Tahoma" w:cs="Tahoma"/>
          <w:sz w:val="24"/>
          <w:szCs w:val="24"/>
        </w:rPr>
        <w:t xml:space="preserve">. </w:t>
      </w:r>
    </w:p>
    <w:p w14:paraId="1D009FE8" w14:textId="77777777" w:rsidR="00B13485" w:rsidRPr="00631EB0" w:rsidRDefault="00B13485" w:rsidP="00631EB0">
      <w:pPr>
        <w:widowControl w:val="0"/>
        <w:autoSpaceDE w:val="0"/>
        <w:autoSpaceDN w:val="0"/>
        <w:adjustRightInd w:val="0"/>
        <w:spacing w:line="276" w:lineRule="auto"/>
        <w:ind w:firstLine="708"/>
        <w:rPr>
          <w:rFonts w:ascii="Tahoma" w:hAnsi="Tahoma" w:cs="Tahoma"/>
        </w:rPr>
      </w:pPr>
    </w:p>
    <w:tbl>
      <w:tblPr>
        <w:tblStyle w:val="Tablaconcuadrcula"/>
        <w:tblW w:w="9156" w:type="dxa"/>
        <w:tblLook w:val="04A0" w:firstRow="1" w:lastRow="0" w:firstColumn="1" w:lastColumn="0" w:noHBand="0" w:noVBand="1"/>
      </w:tblPr>
      <w:tblGrid>
        <w:gridCol w:w="1278"/>
        <w:gridCol w:w="1278"/>
        <w:gridCol w:w="1480"/>
        <w:gridCol w:w="1346"/>
        <w:gridCol w:w="1994"/>
        <w:gridCol w:w="1780"/>
      </w:tblGrid>
      <w:tr w:rsidR="00B13485" w:rsidRPr="00683BFE" w14:paraId="36A5C69E" w14:textId="77777777" w:rsidTr="0037300F">
        <w:trPr>
          <w:trHeight w:val="600"/>
        </w:trPr>
        <w:tc>
          <w:tcPr>
            <w:tcW w:w="1278" w:type="dxa"/>
            <w:noWrap/>
            <w:vAlign w:val="center"/>
            <w:hideMark/>
          </w:tcPr>
          <w:p w14:paraId="0E8EA27C" w14:textId="77777777" w:rsidR="00B13485" w:rsidRPr="00683BFE" w:rsidRDefault="00B13485" w:rsidP="00683BFE">
            <w:pPr>
              <w:jc w:val="center"/>
              <w:rPr>
                <w:rFonts w:ascii="Calibri" w:hAnsi="Calibri" w:cs="Calibri"/>
                <w:b/>
                <w:bCs/>
                <w:color w:val="000000"/>
                <w:sz w:val="22"/>
              </w:rPr>
            </w:pPr>
            <w:r w:rsidRPr="00683BFE">
              <w:rPr>
                <w:rFonts w:ascii="Calibri" w:hAnsi="Calibri" w:cs="Calibri"/>
                <w:b/>
                <w:bCs/>
                <w:color w:val="000000"/>
                <w:sz w:val="22"/>
              </w:rPr>
              <w:t>DESDE</w:t>
            </w:r>
          </w:p>
        </w:tc>
        <w:tc>
          <w:tcPr>
            <w:tcW w:w="1278" w:type="dxa"/>
            <w:noWrap/>
            <w:vAlign w:val="center"/>
            <w:hideMark/>
          </w:tcPr>
          <w:p w14:paraId="10FC394E" w14:textId="77777777" w:rsidR="00B13485" w:rsidRPr="00683BFE" w:rsidRDefault="00B13485" w:rsidP="00683BFE">
            <w:pPr>
              <w:jc w:val="center"/>
              <w:rPr>
                <w:rFonts w:ascii="Calibri" w:hAnsi="Calibri" w:cs="Calibri"/>
                <w:b/>
                <w:bCs/>
                <w:color w:val="000000"/>
                <w:sz w:val="22"/>
              </w:rPr>
            </w:pPr>
            <w:r w:rsidRPr="00683BFE">
              <w:rPr>
                <w:rFonts w:ascii="Calibri" w:hAnsi="Calibri" w:cs="Calibri"/>
                <w:b/>
                <w:bCs/>
                <w:color w:val="000000"/>
                <w:sz w:val="22"/>
              </w:rPr>
              <w:t>HASTA</w:t>
            </w:r>
          </w:p>
        </w:tc>
        <w:tc>
          <w:tcPr>
            <w:tcW w:w="1480" w:type="dxa"/>
            <w:vAlign w:val="center"/>
            <w:hideMark/>
          </w:tcPr>
          <w:p w14:paraId="372F190A" w14:textId="77777777" w:rsidR="00B13485" w:rsidRPr="00683BFE" w:rsidRDefault="00B13485" w:rsidP="00683BFE">
            <w:pPr>
              <w:jc w:val="center"/>
              <w:rPr>
                <w:rFonts w:ascii="Calibri" w:hAnsi="Calibri" w:cs="Calibri"/>
                <w:b/>
                <w:bCs/>
                <w:color w:val="000000"/>
                <w:sz w:val="22"/>
              </w:rPr>
            </w:pPr>
            <w:r w:rsidRPr="00683BFE">
              <w:rPr>
                <w:rFonts w:ascii="Calibri" w:hAnsi="Calibri" w:cs="Calibri"/>
                <w:b/>
                <w:bCs/>
                <w:color w:val="000000"/>
                <w:sz w:val="22"/>
              </w:rPr>
              <w:t>N° MESADAS</w:t>
            </w:r>
          </w:p>
        </w:tc>
        <w:tc>
          <w:tcPr>
            <w:tcW w:w="1346" w:type="dxa"/>
            <w:vAlign w:val="center"/>
            <w:hideMark/>
          </w:tcPr>
          <w:p w14:paraId="24E054D9" w14:textId="77777777" w:rsidR="00B13485" w:rsidRPr="00683BFE" w:rsidRDefault="00B13485" w:rsidP="00683BFE">
            <w:pPr>
              <w:jc w:val="center"/>
              <w:rPr>
                <w:rFonts w:ascii="Calibri" w:hAnsi="Calibri" w:cs="Calibri"/>
                <w:b/>
                <w:bCs/>
                <w:color w:val="000000"/>
                <w:sz w:val="22"/>
              </w:rPr>
            </w:pPr>
            <w:r w:rsidRPr="00683BFE">
              <w:rPr>
                <w:rFonts w:ascii="Calibri" w:hAnsi="Calibri" w:cs="Calibri"/>
                <w:b/>
                <w:bCs/>
                <w:color w:val="000000"/>
                <w:sz w:val="22"/>
              </w:rPr>
              <w:t>V. MESADA</w:t>
            </w:r>
          </w:p>
        </w:tc>
        <w:tc>
          <w:tcPr>
            <w:tcW w:w="1994" w:type="dxa"/>
            <w:hideMark/>
          </w:tcPr>
          <w:p w14:paraId="4D23D5DC" w14:textId="2FA05C2F" w:rsidR="00B13485" w:rsidRPr="00683BFE" w:rsidRDefault="00B13485" w:rsidP="0037300F">
            <w:pPr>
              <w:jc w:val="center"/>
              <w:rPr>
                <w:rFonts w:ascii="Calibri" w:hAnsi="Calibri" w:cs="Calibri"/>
                <w:b/>
                <w:bCs/>
                <w:color w:val="000000"/>
                <w:sz w:val="22"/>
              </w:rPr>
            </w:pPr>
            <w:r w:rsidRPr="00683BFE">
              <w:rPr>
                <w:rFonts w:ascii="Calibri" w:hAnsi="Calibri" w:cs="Calibri"/>
                <w:b/>
                <w:bCs/>
                <w:color w:val="000000"/>
                <w:sz w:val="22"/>
              </w:rPr>
              <w:t>PENSIÓN PRORRATA (66,6%)</w:t>
            </w:r>
          </w:p>
        </w:tc>
        <w:tc>
          <w:tcPr>
            <w:tcW w:w="1780" w:type="dxa"/>
            <w:noWrap/>
            <w:vAlign w:val="center"/>
            <w:hideMark/>
          </w:tcPr>
          <w:p w14:paraId="72D02845" w14:textId="77777777" w:rsidR="00B13485" w:rsidRPr="00683BFE" w:rsidRDefault="00B13485" w:rsidP="0037300F">
            <w:pPr>
              <w:jc w:val="center"/>
              <w:rPr>
                <w:rFonts w:ascii="Calibri" w:hAnsi="Calibri" w:cs="Calibri"/>
                <w:b/>
                <w:bCs/>
                <w:color w:val="000000"/>
                <w:sz w:val="22"/>
              </w:rPr>
            </w:pPr>
            <w:r w:rsidRPr="00683BFE">
              <w:rPr>
                <w:rFonts w:ascii="Calibri" w:hAnsi="Calibri" w:cs="Calibri"/>
                <w:b/>
                <w:bCs/>
                <w:color w:val="000000"/>
                <w:sz w:val="22"/>
              </w:rPr>
              <w:t>TOTAL</w:t>
            </w:r>
          </w:p>
        </w:tc>
      </w:tr>
      <w:tr w:rsidR="00B13485" w:rsidRPr="00683BFE" w14:paraId="33F8ED8C" w14:textId="77777777" w:rsidTr="00B13485">
        <w:trPr>
          <w:trHeight w:val="300"/>
        </w:trPr>
        <w:tc>
          <w:tcPr>
            <w:tcW w:w="1278" w:type="dxa"/>
            <w:noWrap/>
            <w:hideMark/>
          </w:tcPr>
          <w:p w14:paraId="10C1767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31/10/2012</w:t>
            </w:r>
          </w:p>
        </w:tc>
        <w:tc>
          <w:tcPr>
            <w:tcW w:w="1278" w:type="dxa"/>
            <w:noWrap/>
            <w:hideMark/>
          </w:tcPr>
          <w:p w14:paraId="68E974C3"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31/12/2012</w:t>
            </w:r>
          </w:p>
        </w:tc>
        <w:tc>
          <w:tcPr>
            <w:tcW w:w="1480" w:type="dxa"/>
            <w:noWrap/>
            <w:hideMark/>
          </w:tcPr>
          <w:p w14:paraId="5F314104"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3,03</w:t>
            </w:r>
          </w:p>
        </w:tc>
        <w:tc>
          <w:tcPr>
            <w:tcW w:w="1346" w:type="dxa"/>
            <w:noWrap/>
            <w:hideMark/>
          </w:tcPr>
          <w:p w14:paraId="7F983108"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$ 566.700</w:t>
            </w:r>
          </w:p>
        </w:tc>
        <w:tc>
          <w:tcPr>
            <w:tcW w:w="1994" w:type="dxa"/>
            <w:noWrap/>
            <w:hideMark/>
          </w:tcPr>
          <w:p w14:paraId="0C9E0668"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$ 377.819</w:t>
            </w:r>
          </w:p>
        </w:tc>
        <w:tc>
          <w:tcPr>
            <w:tcW w:w="1780" w:type="dxa"/>
            <w:noWrap/>
            <w:hideMark/>
          </w:tcPr>
          <w:p w14:paraId="2568790F"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$ 1.144.791,24</w:t>
            </w:r>
          </w:p>
        </w:tc>
      </w:tr>
      <w:tr w:rsidR="00B13485" w:rsidRPr="00683BFE" w14:paraId="56050014" w14:textId="77777777" w:rsidTr="00B13485">
        <w:trPr>
          <w:trHeight w:val="300"/>
        </w:trPr>
        <w:tc>
          <w:tcPr>
            <w:tcW w:w="1278" w:type="dxa"/>
            <w:noWrap/>
            <w:hideMark/>
          </w:tcPr>
          <w:p w14:paraId="6FBDD71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1/01/2013</w:t>
            </w:r>
          </w:p>
        </w:tc>
        <w:tc>
          <w:tcPr>
            <w:tcW w:w="1278" w:type="dxa"/>
            <w:noWrap/>
            <w:hideMark/>
          </w:tcPr>
          <w:p w14:paraId="60F0A4C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31/12/2013</w:t>
            </w:r>
          </w:p>
        </w:tc>
        <w:tc>
          <w:tcPr>
            <w:tcW w:w="1480" w:type="dxa"/>
            <w:noWrap/>
            <w:hideMark/>
          </w:tcPr>
          <w:p w14:paraId="0AED6A7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13</w:t>
            </w:r>
          </w:p>
        </w:tc>
        <w:tc>
          <w:tcPr>
            <w:tcW w:w="1346" w:type="dxa"/>
            <w:noWrap/>
            <w:hideMark/>
          </w:tcPr>
          <w:p w14:paraId="51191ADC"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$ 589.500</w:t>
            </w:r>
          </w:p>
        </w:tc>
        <w:tc>
          <w:tcPr>
            <w:tcW w:w="1994" w:type="dxa"/>
            <w:noWrap/>
            <w:hideMark/>
          </w:tcPr>
          <w:p w14:paraId="4B285166"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$ 393.020</w:t>
            </w:r>
          </w:p>
        </w:tc>
        <w:tc>
          <w:tcPr>
            <w:tcW w:w="1780" w:type="dxa"/>
            <w:noWrap/>
            <w:hideMark/>
          </w:tcPr>
          <w:p w14:paraId="64C789F9"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$ 5.109.255,45</w:t>
            </w:r>
          </w:p>
        </w:tc>
      </w:tr>
      <w:tr w:rsidR="00B13485" w:rsidRPr="00683BFE" w14:paraId="6DE7917D" w14:textId="77777777" w:rsidTr="00B13485">
        <w:trPr>
          <w:trHeight w:val="300"/>
        </w:trPr>
        <w:tc>
          <w:tcPr>
            <w:tcW w:w="1278" w:type="dxa"/>
            <w:noWrap/>
            <w:hideMark/>
          </w:tcPr>
          <w:p w14:paraId="18E0EB5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1/01/2014</w:t>
            </w:r>
          </w:p>
        </w:tc>
        <w:tc>
          <w:tcPr>
            <w:tcW w:w="1278" w:type="dxa"/>
            <w:noWrap/>
            <w:hideMark/>
          </w:tcPr>
          <w:p w14:paraId="07B0330F"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31/12/2014</w:t>
            </w:r>
          </w:p>
        </w:tc>
        <w:tc>
          <w:tcPr>
            <w:tcW w:w="1480" w:type="dxa"/>
            <w:noWrap/>
            <w:hideMark/>
          </w:tcPr>
          <w:p w14:paraId="0DA37582"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13</w:t>
            </w:r>
          </w:p>
        </w:tc>
        <w:tc>
          <w:tcPr>
            <w:tcW w:w="1346" w:type="dxa"/>
            <w:noWrap/>
            <w:hideMark/>
          </w:tcPr>
          <w:p w14:paraId="52DFB266"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$ 616.000</w:t>
            </w:r>
          </w:p>
        </w:tc>
        <w:tc>
          <w:tcPr>
            <w:tcW w:w="1994" w:type="dxa"/>
            <w:noWrap/>
            <w:hideMark/>
          </w:tcPr>
          <w:p w14:paraId="6ACBD968"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$ 410.687</w:t>
            </w:r>
          </w:p>
        </w:tc>
        <w:tc>
          <w:tcPr>
            <w:tcW w:w="1780" w:type="dxa"/>
            <w:noWrap/>
            <w:hideMark/>
          </w:tcPr>
          <w:p w14:paraId="29604944"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$ 5.338.933,60</w:t>
            </w:r>
          </w:p>
        </w:tc>
      </w:tr>
      <w:tr w:rsidR="00B13485" w:rsidRPr="00683BFE" w14:paraId="7B5268CE" w14:textId="77777777" w:rsidTr="00B13485">
        <w:trPr>
          <w:trHeight w:val="300"/>
        </w:trPr>
        <w:tc>
          <w:tcPr>
            <w:tcW w:w="1278" w:type="dxa"/>
            <w:noWrap/>
            <w:hideMark/>
          </w:tcPr>
          <w:p w14:paraId="67C555CE"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1/01/2015</w:t>
            </w:r>
          </w:p>
        </w:tc>
        <w:tc>
          <w:tcPr>
            <w:tcW w:w="1278" w:type="dxa"/>
            <w:noWrap/>
            <w:hideMark/>
          </w:tcPr>
          <w:p w14:paraId="1879A12C"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31/12/2015</w:t>
            </w:r>
          </w:p>
        </w:tc>
        <w:tc>
          <w:tcPr>
            <w:tcW w:w="1480" w:type="dxa"/>
            <w:noWrap/>
            <w:hideMark/>
          </w:tcPr>
          <w:p w14:paraId="0D28C697"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13</w:t>
            </w:r>
          </w:p>
        </w:tc>
        <w:tc>
          <w:tcPr>
            <w:tcW w:w="1346" w:type="dxa"/>
            <w:noWrap/>
            <w:hideMark/>
          </w:tcPr>
          <w:p w14:paraId="70574BC5"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$ 644.350</w:t>
            </w:r>
          </w:p>
        </w:tc>
        <w:tc>
          <w:tcPr>
            <w:tcW w:w="1994" w:type="dxa"/>
            <w:noWrap/>
            <w:hideMark/>
          </w:tcPr>
          <w:p w14:paraId="6002B84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$ 429.588</w:t>
            </w:r>
          </w:p>
        </w:tc>
        <w:tc>
          <w:tcPr>
            <w:tcW w:w="1780" w:type="dxa"/>
            <w:noWrap/>
            <w:hideMark/>
          </w:tcPr>
          <w:p w14:paraId="636380D5"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$ 5.584.645,89</w:t>
            </w:r>
          </w:p>
        </w:tc>
      </w:tr>
      <w:tr w:rsidR="00B13485" w:rsidRPr="00683BFE" w14:paraId="7D884060" w14:textId="77777777" w:rsidTr="00B13485">
        <w:trPr>
          <w:trHeight w:val="300"/>
        </w:trPr>
        <w:tc>
          <w:tcPr>
            <w:tcW w:w="1278" w:type="dxa"/>
            <w:noWrap/>
            <w:hideMark/>
          </w:tcPr>
          <w:p w14:paraId="238BA996"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1/01/2016</w:t>
            </w:r>
          </w:p>
        </w:tc>
        <w:tc>
          <w:tcPr>
            <w:tcW w:w="1278" w:type="dxa"/>
            <w:noWrap/>
            <w:hideMark/>
          </w:tcPr>
          <w:p w14:paraId="3FF5B7FC"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31/12/2016</w:t>
            </w:r>
          </w:p>
        </w:tc>
        <w:tc>
          <w:tcPr>
            <w:tcW w:w="1480" w:type="dxa"/>
            <w:noWrap/>
            <w:hideMark/>
          </w:tcPr>
          <w:p w14:paraId="50A005E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13</w:t>
            </w:r>
          </w:p>
        </w:tc>
        <w:tc>
          <w:tcPr>
            <w:tcW w:w="1346" w:type="dxa"/>
            <w:noWrap/>
            <w:hideMark/>
          </w:tcPr>
          <w:p w14:paraId="260E5F95"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$ 689.455</w:t>
            </w:r>
          </w:p>
        </w:tc>
        <w:tc>
          <w:tcPr>
            <w:tcW w:w="1994" w:type="dxa"/>
            <w:noWrap/>
            <w:hideMark/>
          </w:tcPr>
          <w:p w14:paraId="10759E9D"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$ 459.660</w:t>
            </w:r>
          </w:p>
        </w:tc>
        <w:tc>
          <w:tcPr>
            <w:tcW w:w="1780" w:type="dxa"/>
            <w:noWrap/>
            <w:hideMark/>
          </w:tcPr>
          <w:p w14:paraId="0B52AB74"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$ 5.975.575,43</w:t>
            </w:r>
          </w:p>
        </w:tc>
      </w:tr>
      <w:tr w:rsidR="00B13485" w:rsidRPr="00683BFE" w14:paraId="149021AA" w14:textId="77777777" w:rsidTr="00B13485">
        <w:trPr>
          <w:trHeight w:val="300"/>
        </w:trPr>
        <w:tc>
          <w:tcPr>
            <w:tcW w:w="1278" w:type="dxa"/>
            <w:noWrap/>
            <w:hideMark/>
          </w:tcPr>
          <w:p w14:paraId="6F1AAEC3"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1/01/2017</w:t>
            </w:r>
          </w:p>
        </w:tc>
        <w:tc>
          <w:tcPr>
            <w:tcW w:w="1278" w:type="dxa"/>
            <w:noWrap/>
            <w:hideMark/>
          </w:tcPr>
          <w:p w14:paraId="6DAF73D6"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31/12/2017</w:t>
            </w:r>
          </w:p>
        </w:tc>
        <w:tc>
          <w:tcPr>
            <w:tcW w:w="1480" w:type="dxa"/>
            <w:noWrap/>
            <w:hideMark/>
          </w:tcPr>
          <w:p w14:paraId="7EFBC276"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13</w:t>
            </w:r>
          </w:p>
        </w:tc>
        <w:tc>
          <w:tcPr>
            <w:tcW w:w="1346" w:type="dxa"/>
            <w:noWrap/>
            <w:hideMark/>
          </w:tcPr>
          <w:p w14:paraId="1B603476"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$ 737.717</w:t>
            </w:r>
          </w:p>
        </w:tc>
        <w:tc>
          <w:tcPr>
            <w:tcW w:w="1994" w:type="dxa"/>
            <w:noWrap/>
            <w:hideMark/>
          </w:tcPr>
          <w:p w14:paraId="54C955A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$ 491.836</w:t>
            </w:r>
          </w:p>
        </w:tc>
        <w:tc>
          <w:tcPr>
            <w:tcW w:w="1780" w:type="dxa"/>
            <w:noWrap/>
            <w:hideMark/>
          </w:tcPr>
          <w:p w14:paraId="4AE6D542"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$ 6.393.867,01</w:t>
            </w:r>
          </w:p>
        </w:tc>
      </w:tr>
      <w:tr w:rsidR="00B13485" w:rsidRPr="00683BFE" w14:paraId="0FB9B600" w14:textId="77777777" w:rsidTr="00B13485">
        <w:trPr>
          <w:trHeight w:val="300"/>
        </w:trPr>
        <w:tc>
          <w:tcPr>
            <w:tcW w:w="1278" w:type="dxa"/>
            <w:noWrap/>
            <w:hideMark/>
          </w:tcPr>
          <w:p w14:paraId="786844AE"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1/01/2018</w:t>
            </w:r>
          </w:p>
        </w:tc>
        <w:tc>
          <w:tcPr>
            <w:tcW w:w="1278" w:type="dxa"/>
            <w:noWrap/>
            <w:hideMark/>
          </w:tcPr>
          <w:p w14:paraId="531FC3D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31/12/2018</w:t>
            </w:r>
          </w:p>
        </w:tc>
        <w:tc>
          <w:tcPr>
            <w:tcW w:w="1480" w:type="dxa"/>
            <w:noWrap/>
            <w:hideMark/>
          </w:tcPr>
          <w:p w14:paraId="04A80577"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13</w:t>
            </w:r>
          </w:p>
        </w:tc>
        <w:tc>
          <w:tcPr>
            <w:tcW w:w="1346" w:type="dxa"/>
            <w:noWrap/>
            <w:hideMark/>
          </w:tcPr>
          <w:p w14:paraId="3CE66638"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$ 781.242</w:t>
            </w:r>
          </w:p>
        </w:tc>
        <w:tc>
          <w:tcPr>
            <w:tcW w:w="1994" w:type="dxa"/>
            <w:noWrap/>
            <w:hideMark/>
          </w:tcPr>
          <w:p w14:paraId="6DEC50D3"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$ 520.854</w:t>
            </w:r>
          </w:p>
        </w:tc>
        <w:tc>
          <w:tcPr>
            <w:tcW w:w="1780" w:type="dxa"/>
            <w:noWrap/>
            <w:hideMark/>
          </w:tcPr>
          <w:p w14:paraId="1DE5B0BB"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$ 6.771.102,54</w:t>
            </w:r>
          </w:p>
        </w:tc>
      </w:tr>
      <w:tr w:rsidR="00B13485" w:rsidRPr="00683BFE" w14:paraId="373BF51A" w14:textId="77777777" w:rsidTr="00B13485">
        <w:trPr>
          <w:trHeight w:val="300"/>
        </w:trPr>
        <w:tc>
          <w:tcPr>
            <w:tcW w:w="1278" w:type="dxa"/>
            <w:noWrap/>
            <w:hideMark/>
          </w:tcPr>
          <w:p w14:paraId="6287DD16"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lastRenderedPageBreak/>
              <w:t>1/01/2019</w:t>
            </w:r>
          </w:p>
        </w:tc>
        <w:tc>
          <w:tcPr>
            <w:tcW w:w="1278" w:type="dxa"/>
            <w:noWrap/>
            <w:hideMark/>
          </w:tcPr>
          <w:p w14:paraId="113992F3"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31/12/2019</w:t>
            </w:r>
          </w:p>
        </w:tc>
        <w:tc>
          <w:tcPr>
            <w:tcW w:w="1480" w:type="dxa"/>
            <w:noWrap/>
            <w:hideMark/>
          </w:tcPr>
          <w:p w14:paraId="68C734B7"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13</w:t>
            </w:r>
          </w:p>
        </w:tc>
        <w:tc>
          <w:tcPr>
            <w:tcW w:w="1346" w:type="dxa"/>
            <w:noWrap/>
            <w:hideMark/>
          </w:tcPr>
          <w:p w14:paraId="3D3E326A"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$ 828.116</w:t>
            </w:r>
          </w:p>
        </w:tc>
        <w:tc>
          <w:tcPr>
            <w:tcW w:w="1994" w:type="dxa"/>
            <w:noWrap/>
            <w:hideMark/>
          </w:tcPr>
          <w:p w14:paraId="1620CF7F"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$ 552.105</w:t>
            </w:r>
          </w:p>
        </w:tc>
        <w:tc>
          <w:tcPr>
            <w:tcW w:w="1780" w:type="dxa"/>
            <w:noWrap/>
            <w:hideMark/>
          </w:tcPr>
          <w:p w14:paraId="03C4FD74"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$ 7.177.364,18</w:t>
            </w:r>
          </w:p>
        </w:tc>
      </w:tr>
      <w:tr w:rsidR="00B13485" w:rsidRPr="00683BFE" w14:paraId="45A80922" w14:textId="77777777" w:rsidTr="00B13485">
        <w:trPr>
          <w:trHeight w:val="300"/>
        </w:trPr>
        <w:tc>
          <w:tcPr>
            <w:tcW w:w="1278" w:type="dxa"/>
            <w:noWrap/>
            <w:hideMark/>
          </w:tcPr>
          <w:p w14:paraId="1236B57F"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1/01/2020</w:t>
            </w:r>
          </w:p>
        </w:tc>
        <w:tc>
          <w:tcPr>
            <w:tcW w:w="1278" w:type="dxa"/>
            <w:noWrap/>
            <w:hideMark/>
          </w:tcPr>
          <w:p w14:paraId="57DD94D0"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31/12/2020</w:t>
            </w:r>
          </w:p>
        </w:tc>
        <w:tc>
          <w:tcPr>
            <w:tcW w:w="1480" w:type="dxa"/>
            <w:noWrap/>
            <w:hideMark/>
          </w:tcPr>
          <w:p w14:paraId="6AA2DAEF"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13</w:t>
            </w:r>
          </w:p>
        </w:tc>
        <w:tc>
          <w:tcPr>
            <w:tcW w:w="1346" w:type="dxa"/>
            <w:noWrap/>
            <w:hideMark/>
          </w:tcPr>
          <w:p w14:paraId="04B5E7D5"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$ 877.802</w:t>
            </w:r>
          </w:p>
        </w:tc>
        <w:tc>
          <w:tcPr>
            <w:tcW w:w="1994" w:type="dxa"/>
            <w:noWrap/>
            <w:hideMark/>
          </w:tcPr>
          <w:p w14:paraId="518B8429"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$ 585.231</w:t>
            </w:r>
          </w:p>
        </w:tc>
        <w:tc>
          <w:tcPr>
            <w:tcW w:w="1780" w:type="dxa"/>
            <w:noWrap/>
            <w:hideMark/>
          </w:tcPr>
          <w:p w14:paraId="7059F20E"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$ 7.607.997,71</w:t>
            </w:r>
          </w:p>
        </w:tc>
      </w:tr>
      <w:tr w:rsidR="00B13485" w:rsidRPr="00683BFE" w14:paraId="4297B8A2" w14:textId="77777777" w:rsidTr="00B13485">
        <w:trPr>
          <w:trHeight w:val="300"/>
        </w:trPr>
        <w:tc>
          <w:tcPr>
            <w:tcW w:w="1278" w:type="dxa"/>
            <w:noWrap/>
            <w:hideMark/>
          </w:tcPr>
          <w:p w14:paraId="5A73358A"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1/01/2021</w:t>
            </w:r>
          </w:p>
        </w:tc>
        <w:tc>
          <w:tcPr>
            <w:tcW w:w="1278" w:type="dxa"/>
            <w:noWrap/>
            <w:hideMark/>
          </w:tcPr>
          <w:p w14:paraId="10D9E752"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31/12/2021</w:t>
            </w:r>
          </w:p>
        </w:tc>
        <w:tc>
          <w:tcPr>
            <w:tcW w:w="1480" w:type="dxa"/>
            <w:noWrap/>
            <w:hideMark/>
          </w:tcPr>
          <w:p w14:paraId="128BF5C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13</w:t>
            </w:r>
          </w:p>
        </w:tc>
        <w:tc>
          <w:tcPr>
            <w:tcW w:w="1346" w:type="dxa"/>
            <w:noWrap/>
            <w:hideMark/>
          </w:tcPr>
          <w:p w14:paraId="1E5FB319"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$ 908.526</w:t>
            </w:r>
          </w:p>
        </w:tc>
        <w:tc>
          <w:tcPr>
            <w:tcW w:w="1994" w:type="dxa"/>
            <w:noWrap/>
            <w:hideMark/>
          </w:tcPr>
          <w:p w14:paraId="58669295"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$ 605.714</w:t>
            </w:r>
          </w:p>
        </w:tc>
        <w:tc>
          <w:tcPr>
            <w:tcW w:w="1780" w:type="dxa"/>
            <w:noWrap/>
            <w:hideMark/>
          </w:tcPr>
          <w:p w14:paraId="7212496C"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$ 7.874.285,69</w:t>
            </w:r>
          </w:p>
        </w:tc>
      </w:tr>
      <w:tr w:rsidR="00B13485" w:rsidRPr="00683BFE" w14:paraId="2F931E71" w14:textId="77777777" w:rsidTr="00B13485">
        <w:trPr>
          <w:trHeight w:val="300"/>
        </w:trPr>
        <w:tc>
          <w:tcPr>
            <w:tcW w:w="1278" w:type="dxa"/>
            <w:noWrap/>
            <w:hideMark/>
          </w:tcPr>
          <w:p w14:paraId="5192F731"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1/01/2022</w:t>
            </w:r>
          </w:p>
        </w:tc>
        <w:tc>
          <w:tcPr>
            <w:tcW w:w="1278" w:type="dxa"/>
            <w:noWrap/>
            <w:hideMark/>
          </w:tcPr>
          <w:p w14:paraId="0E21F290"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31/12/2022</w:t>
            </w:r>
          </w:p>
        </w:tc>
        <w:tc>
          <w:tcPr>
            <w:tcW w:w="1480" w:type="dxa"/>
            <w:noWrap/>
            <w:hideMark/>
          </w:tcPr>
          <w:p w14:paraId="47633708"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7</w:t>
            </w:r>
          </w:p>
        </w:tc>
        <w:tc>
          <w:tcPr>
            <w:tcW w:w="1346" w:type="dxa"/>
            <w:noWrap/>
            <w:hideMark/>
          </w:tcPr>
          <w:p w14:paraId="44431B00"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$ 1.000.000</w:t>
            </w:r>
          </w:p>
        </w:tc>
        <w:tc>
          <w:tcPr>
            <w:tcW w:w="1994" w:type="dxa"/>
            <w:noWrap/>
            <w:hideMark/>
          </w:tcPr>
          <w:p w14:paraId="5D6FBAD2"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$ 666.700</w:t>
            </w:r>
          </w:p>
        </w:tc>
        <w:tc>
          <w:tcPr>
            <w:tcW w:w="1780" w:type="dxa"/>
            <w:noWrap/>
            <w:hideMark/>
          </w:tcPr>
          <w:p w14:paraId="225EF2BE" w14:textId="77777777" w:rsidR="00B13485" w:rsidRPr="00683BFE" w:rsidRDefault="00B13485" w:rsidP="00683BFE">
            <w:pPr>
              <w:jc w:val="right"/>
              <w:rPr>
                <w:rFonts w:ascii="Calibri" w:hAnsi="Calibri" w:cs="Calibri"/>
                <w:color w:val="000000"/>
                <w:sz w:val="22"/>
              </w:rPr>
            </w:pPr>
            <w:r w:rsidRPr="00683BFE">
              <w:rPr>
                <w:rFonts w:ascii="Calibri" w:hAnsi="Calibri" w:cs="Calibri"/>
                <w:color w:val="000000"/>
                <w:sz w:val="22"/>
              </w:rPr>
              <w:t>$ 4.666.900,00</w:t>
            </w:r>
          </w:p>
        </w:tc>
      </w:tr>
      <w:tr w:rsidR="00B13485" w:rsidRPr="00683BFE" w14:paraId="16B9E199" w14:textId="77777777" w:rsidTr="00B13485">
        <w:trPr>
          <w:trHeight w:val="300"/>
        </w:trPr>
        <w:tc>
          <w:tcPr>
            <w:tcW w:w="7376" w:type="dxa"/>
            <w:gridSpan w:val="5"/>
            <w:noWrap/>
            <w:hideMark/>
          </w:tcPr>
          <w:p w14:paraId="3A03B077" w14:textId="77777777" w:rsidR="00B13485" w:rsidRPr="00683BFE" w:rsidRDefault="00B13485" w:rsidP="00683BFE">
            <w:pPr>
              <w:jc w:val="center"/>
              <w:rPr>
                <w:rFonts w:ascii="Calibri" w:hAnsi="Calibri" w:cs="Calibri"/>
                <w:b/>
                <w:bCs/>
                <w:color w:val="000000"/>
                <w:sz w:val="22"/>
              </w:rPr>
            </w:pPr>
            <w:r w:rsidRPr="00683BFE">
              <w:rPr>
                <w:rFonts w:ascii="Calibri" w:hAnsi="Calibri" w:cs="Calibri"/>
                <w:b/>
                <w:bCs/>
                <w:color w:val="000000"/>
                <w:sz w:val="22"/>
              </w:rPr>
              <w:t>GRAN TOTAL</w:t>
            </w:r>
          </w:p>
        </w:tc>
        <w:tc>
          <w:tcPr>
            <w:tcW w:w="1780" w:type="dxa"/>
            <w:noWrap/>
            <w:hideMark/>
          </w:tcPr>
          <w:p w14:paraId="3A958FC9" w14:textId="77777777" w:rsidR="00B13485" w:rsidRPr="00683BFE" w:rsidRDefault="00B13485" w:rsidP="00683BFE">
            <w:pPr>
              <w:jc w:val="right"/>
              <w:rPr>
                <w:rFonts w:ascii="Calibri" w:hAnsi="Calibri" w:cs="Calibri"/>
                <w:b/>
                <w:color w:val="000000"/>
                <w:sz w:val="22"/>
              </w:rPr>
            </w:pPr>
            <w:r w:rsidRPr="00683BFE">
              <w:rPr>
                <w:rFonts w:ascii="Calibri" w:hAnsi="Calibri" w:cs="Calibri"/>
                <w:b/>
                <w:color w:val="000000"/>
                <w:sz w:val="22"/>
              </w:rPr>
              <w:t>$ 63.644.718,74</w:t>
            </w:r>
          </w:p>
        </w:tc>
      </w:tr>
    </w:tbl>
    <w:p w14:paraId="65CEF52B" w14:textId="77777777" w:rsidR="00B13485" w:rsidRPr="00631EB0" w:rsidRDefault="00B13485" w:rsidP="00631EB0">
      <w:pPr>
        <w:widowControl w:val="0"/>
        <w:autoSpaceDE w:val="0"/>
        <w:autoSpaceDN w:val="0"/>
        <w:adjustRightInd w:val="0"/>
        <w:spacing w:line="276" w:lineRule="auto"/>
        <w:ind w:firstLine="708"/>
        <w:rPr>
          <w:rFonts w:ascii="Tahoma" w:hAnsi="Tahoma" w:cs="Tahoma"/>
        </w:rPr>
      </w:pPr>
    </w:p>
    <w:p w14:paraId="151EFF78" w14:textId="5C14ED9D" w:rsidR="00B13485" w:rsidRPr="00631EB0" w:rsidRDefault="00B13485" w:rsidP="0052348E">
      <w:pPr>
        <w:spacing w:line="276" w:lineRule="auto"/>
        <w:ind w:firstLine="708"/>
        <w:jc w:val="both"/>
        <w:textAlignment w:val="baseline"/>
        <w:rPr>
          <w:rFonts w:ascii="Tahoma" w:hAnsi="Tahoma" w:cs="Tahoma"/>
        </w:rPr>
      </w:pPr>
      <w:r w:rsidRPr="00631EB0">
        <w:rPr>
          <w:rFonts w:ascii="Tahoma" w:hAnsi="Tahoma" w:cs="Tahoma"/>
        </w:rPr>
        <w:t xml:space="preserve">Corolario de lo anterior, se confirmará la sentencia de primera instancia en sede de consulta y se actualizará la condena hasta el 31 de julio de 2022, de conformidad con el artículo 283 del C.G.P., aplicable a esta materia laboral por remisión del artículo 140 de la Ley 100 de 1993. Sin costas en sede jurisdiccional de consulta. </w:t>
      </w:r>
    </w:p>
    <w:p w14:paraId="510A2ED1" w14:textId="77777777" w:rsidR="009E614A" w:rsidRPr="00631EB0" w:rsidRDefault="009E614A" w:rsidP="00631EB0">
      <w:pPr>
        <w:widowControl w:val="0"/>
        <w:autoSpaceDE w:val="0"/>
        <w:autoSpaceDN w:val="0"/>
        <w:adjustRightInd w:val="0"/>
        <w:spacing w:line="276" w:lineRule="auto"/>
        <w:rPr>
          <w:rFonts w:ascii="Tahoma" w:eastAsia="Calibri" w:hAnsi="Tahoma" w:cs="Tahoma"/>
          <w:lang w:val="es-CO"/>
        </w:rPr>
      </w:pPr>
    </w:p>
    <w:p w14:paraId="4001C7E2" w14:textId="100C0113" w:rsidR="008C0B82" w:rsidRPr="00631EB0" w:rsidRDefault="00B00BC8" w:rsidP="00631EB0">
      <w:pPr>
        <w:spacing w:line="276" w:lineRule="auto"/>
        <w:ind w:firstLine="708"/>
        <w:jc w:val="both"/>
        <w:rPr>
          <w:rFonts w:ascii="Tahoma" w:eastAsia="Tahoma" w:hAnsi="Tahoma" w:cs="Tahoma"/>
          <w:bCs/>
          <w:highlight w:val="white"/>
        </w:rPr>
      </w:pPr>
      <w:r w:rsidRPr="00631EB0">
        <w:rPr>
          <w:rFonts w:ascii="Tahoma" w:eastAsia="Tahoma" w:hAnsi="Tahoma" w:cs="Tahoma"/>
        </w:rPr>
        <w:t xml:space="preserve">En mérito de lo expuesto, el </w:t>
      </w:r>
      <w:r w:rsidRPr="00631EB0">
        <w:rPr>
          <w:rFonts w:ascii="Tahoma" w:eastAsia="Tahoma" w:hAnsi="Tahoma" w:cs="Tahoma"/>
          <w:b/>
        </w:rPr>
        <w:t>Tribunal Superior del Distrito Judicial de Pereira (Risaralda)</w:t>
      </w:r>
      <w:r w:rsidRPr="00631EB0">
        <w:rPr>
          <w:rFonts w:ascii="Tahoma" w:eastAsia="Tahoma" w:hAnsi="Tahoma" w:cs="Tahoma"/>
        </w:rPr>
        <w:t xml:space="preserve">, </w:t>
      </w:r>
      <w:r w:rsidRPr="00631EB0">
        <w:rPr>
          <w:rFonts w:ascii="Tahoma" w:eastAsia="Tahoma" w:hAnsi="Tahoma" w:cs="Tahoma"/>
          <w:b/>
        </w:rPr>
        <w:t xml:space="preserve">Sala </w:t>
      </w:r>
      <w:r w:rsidR="00427921" w:rsidRPr="00631EB0">
        <w:rPr>
          <w:rFonts w:ascii="Tahoma" w:eastAsia="Tahoma" w:hAnsi="Tahoma" w:cs="Tahoma"/>
          <w:b/>
        </w:rPr>
        <w:t xml:space="preserve">Primera de Decisión Laboral, </w:t>
      </w:r>
      <w:r w:rsidR="00427921" w:rsidRPr="00631EB0">
        <w:rPr>
          <w:rFonts w:ascii="Tahoma" w:eastAsia="Tahoma" w:hAnsi="Tahoma" w:cs="Tahoma"/>
          <w:bCs/>
        </w:rPr>
        <w:t xml:space="preserve">administrando justicia en nombre de la República y por autoridad de la Ley, </w:t>
      </w:r>
    </w:p>
    <w:p w14:paraId="1F5E0963" w14:textId="77777777" w:rsidR="008C0B82" w:rsidRPr="00631EB0" w:rsidRDefault="008C0B82" w:rsidP="00631EB0">
      <w:pPr>
        <w:tabs>
          <w:tab w:val="left" w:pos="748"/>
        </w:tabs>
        <w:spacing w:line="276" w:lineRule="auto"/>
        <w:rPr>
          <w:rFonts w:ascii="Tahoma" w:eastAsia="Tahoma" w:hAnsi="Tahoma" w:cs="Tahoma"/>
        </w:rPr>
      </w:pPr>
    </w:p>
    <w:p w14:paraId="759ADE19" w14:textId="77777777" w:rsidR="008C0B82" w:rsidRPr="00631EB0" w:rsidRDefault="00B00BC8" w:rsidP="00631EB0">
      <w:pPr>
        <w:widowControl w:val="0"/>
        <w:spacing w:line="276" w:lineRule="auto"/>
        <w:jc w:val="center"/>
        <w:rPr>
          <w:rFonts w:ascii="Tahoma" w:eastAsia="Tahoma" w:hAnsi="Tahoma" w:cs="Tahoma"/>
          <w:b/>
        </w:rPr>
      </w:pPr>
      <w:r w:rsidRPr="00631EB0">
        <w:rPr>
          <w:rFonts w:ascii="Tahoma" w:eastAsia="Tahoma" w:hAnsi="Tahoma" w:cs="Tahoma"/>
          <w:b/>
        </w:rPr>
        <w:t>R E S U E L V E:</w:t>
      </w:r>
    </w:p>
    <w:p w14:paraId="51475BB1" w14:textId="77777777" w:rsidR="008C0B82" w:rsidRPr="00631EB0" w:rsidRDefault="008C0B82" w:rsidP="00631EB0">
      <w:pPr>
        <w:widowControl w:val="0"/>
        <w:spacing w:line="276" w:lineRule="auto"/>
        <w:jc w:val="center"/>
        <w:rPr>
          <w:rFonts w:ascii="Tahoma" w:eastAsia="Tahoma" w:hAnsi="Tahoma" w:cs="Tahoma"/>
          <w:b/>
        </w:rPr>
      </w:pPr>
    </w:p>
    <w:p w14:paraId="1F58A3A7" w14:textId="6A297E23" w:rsidR="00B13485" w:rsidRPr="00631EB0" w:rsidRDefault="00B00BC8" w:rsidP="00631EB0">
      <w:pPr>
        <w:spacing w:line="276" w:lineRule="auto"/>
        <w:ind w:firstLine="708"/>
        <w:jc w:val="both"/>
        <w:textAlignment w:val="baseline"/>
        <w:rPr>
          <w:rFonts w:ascii="Tahoma" w:hAnsi="Tahoma" w:cs="Tahoma"/>
          <w:b/>
          <w:bCs/>
          <w:caps/>
        </w:rPr>
      </w:pPr>
      <w:r w:rsidRPr="00631EB0">
        <w:rPr>
          <w:rFonts w:ascii="Tahoma" w:eastAsia="Tahoma" w:hAnsi="Tahoma" w:cs="Tahoma"/>
          <w:b/>
          <w:bCs/>
          <w:u w:val="single"/>
        </w:rPr>
        <w:t>PRIMERO</w:t>
      </w:r>
      <w:r w:rsidR="006D5C0A" w:rsidRPr="00631EB0">
        <w:rPr>
          <w:rFonts w:ascii="Tahoma" w:eastAsia="Tahoma" w:hAnsi="Tahoma" w:cs="Tahoma"/>
          <w:b/>
          <w:bCs/>
        </w:rPr>
        <w:t xml:space="preserve">: </w:t>
      </w:r>
      <w:r w:rsidR="00B13485" w:rsidRPr="00631EB0">
        <w:rPr>
          <w:rFonts w:ascii="Tahoma" w:hAnsi="Tahoma" w:cs="Tahoma"/>
          <w:b/>
          <w:bCs/>
        </w:rPr>
        <w:t xml:space="preserve">CONFIRMAR </w:t>
      </w:r>
      <w:r w:rsidR="00B13485" w:rsidRPr="00631EB0">
        <w:rPr>
          <w:rFonts w:ascii="Tahoma" w:hAnsi="Tahoma" w:cs="Tahoma"/>
        </w:rPr>
        <w:t xml:space="preserve">en sede de consulta la sentencia de primera instancia dictada el 27 de enero de 2022 dentro del proceso Ordinario Laboral de Primera Instancia promovido </w:t>
      </w:r>
      <w:r w:rsidR="00425075" w:rsidRPr="00631EB0">
        <w:rPr>
          <w:rFonts w:ascii="Tahoma" w:hAnsi="Tahoma" w:cs="Tahoma"/>
        </w:rPr>
        <w:t>por</w:t>
      </w:r>
      <w:r w:rsidR="00B13485" w:rsidRPr="00631EB0">
        <w:rPr>
          <w:rFonts w:ascii="Tahoma" w:hAnsi="Tahoma" w:cs="Tahoma"/>
        </w:rPr>
        <w:t xml:space="preserve"> </w:t>
      </w:r>
      <w:r w:rsidR="00425075" w:rsidRPr="00631EB0">
        <w:rPr>
          <w:rFonts w:ascii="Tahoma" w:eastAsia="Tahoma" w:hAnsi="Tahoma" w:cs="Tahoma"/>
          <w:b/>
          <w:bCs/>
          <w:color w:val="000000" w:themeColor="text1"/>
        </w:rPr>
        <w:t xml:space="preserve">CARMEN EMILIA ROMÁN DE ACEVEDO </w:t>
      </w:r>
      <w:r w:rsidR="00B13485" w:rsidRPr="00631EB0">
        <w:rPr>
          <w:rFonts w:ascii="Tahoma" w:hAnsi="Tahoma" w:cs="Tahoma"/>
        </w:rPr>
        <w:t xml:space="preserve">en contra de la </w:t>
      </w:r>
      <w:r w:rsidR="00B13485" w:rsidRPr="00631EB0">
        <w:rPr>
          <w:rFonts w:ascii="Tahoma" w:hAnsi="Tahoma" w:cs="Tahoma"/>
          <w:b/>
          <w:bCs/>
          <w:caps/>
        </w:rPr>
        <w:t xml:space="preserve">Administradora Colombia de Pensiones </w:t>
      </w:r>
      <w:r w:rsidR="0037300F">
        <w:rPr>
          <w:rFonts w:ascii="Tahoma" w:hAnsi="Tahoma" w:cs="Tahoma"/>
          <w:b/>
          <w:bCs/>
          <w:caps/>
        </w:rPr>
        <w:t xml:space="preserve">– </w:t>
      </w:r>
      <w:r w:rsidR="00B13485" w:rsidRPr="00631EB0">
        <w:rPr>
          <w:rFonts w:ascii="Tahoma" w:hAnsi="Tahoma" w:cs="Tahoma"/>
          <w:b/>
          <w:bCs/>
          <w:caps/>
        </w:rPr>
        <w:t>Colpensiones.</w:t>
      </w:r>
    </w:p>
    <w:p w14:paraId="65E18DDE" w14:textId="190C753D" w:rsidR="00425075" w:rsidRPr="00631EB0" w:rsidRDefault="00425075" w:rsidP="00631EB0">
      <w:pPr>
        <w:spacing w:line="276" w:lineRule="auto"/>
        <w:ind w:firstLine="708"/>
        <w:jc w:val="both"/>
        <w:textAlignment w:val="baseline"/>
        <w:rPr>
          <w:rFonts w:ascii="Tahoma" w:hAnsi="Tahoma" w:cs="Tahoma"/>
          <w:b/>
          <w:caps/>
        </w:rPr>
      </w:pPr>
    </w:p>
    <w:p w14:paraId="4CC456DD" w14:textId="2E84D219" w:rsidR="00425075" w:rsidRPr="00631EB0" w:rsidRDefault="00425075" w:rsidP="00631EB0">
      <w:pPr>
        <w:spacing w:line="276" w:lineRule="auto"/>
        <w:ind w:firstLine="708"/>
        <w:jc w:val="both"/>
        <w:textAlignment w:val="baseline"/>
        <w:rPr>
          <w:rFonts w:ascii="Tahoma" w:hAnsi="Tahoma" w:cs="Tahoma"/>
        </w:rPr>
      </w:pPr>
      <w:r w:rsidRPr="00631EB0">
        <w:rPr>
          <w:rFonts w:ascii="Tahoma" w:hAnsi="Tahoma" w:cs="Tahoma"/>
          <w:b/>
          <w:bCs/>
          <w:u w:val="single"/>
        </w:rPr>
        <w:t>SEGUNDO:</w:t>
      </w:r>
      <w:r w:rsidRPr="00631EB0">
        <w:rPr>
          <w:rFonts w:ascii="Tahoma" w:hAnsi="Tahoma" w:cs="Tahoma"/>
          <w:b/>
          <w:bCs/>
        </w:rPr>
        <w:t xml:space="preserve"> ACTUALIZAR</w:t>
      </w:r>
      <w:r w:rsidRPr="00631EB0">
        <w:rPr>
          <w:rFonts w:ascii="Tahoma" w:hAnsi="Tahoma" w:cs="Tahoma"/>
        </w:rPr>
        <w:t xml:space="preserve"> el monto de la condena al retroactivo pensional hasta el 31 de julio de 2022, conforme se explicó en lo considerativo de la providencia, en el sentido de señalar que el mismo asciende a la suma de </w:t>
      </w:r>
      <w:r w:rsidR="00D00CAC" w:rsidRPr="00631EB0">
        <w:rPr>
          <w:rFonts w:ascii="Tahoma" w:hAnsi="Tahoma" w:cs="Tahoma"/>
          <w:lang w:val="es-CO"/>
        </w:rPr>
        <w:t xml:space="preserve">sesenta y tres millones seiscientos cuarenta y cuatro mil setecientos dieciocho pesos con setenta y cuatro centavos </w:t>
      </w:r>
      <w:r w:rsidRPr="00631EB0">
        <w:rPr>
          <w:rFonts w:ascii="Tahoma" w:hAnsi="Tahoma" w:cs="Tahoma"/>
        </w:rPr>
        <w:t>(</w:t>
      </w:r>
      <w:r w:rsidRPr="00631EB0">
        <w:rPr>
          <w:rFonts w:ascii="Tahoma" w:hAnsi="Tahoma" w:cs="Tahoma"/>
          <w:b/>
          <w:bCs/>
          <w:color w:val="000000" w:themeColor="text1"/>
        </w:rPr>
        <w:t>$63.644.718,74</w:t>
      </w:r>
      <w:r w:rsidRPr="00631EB0">
        <w:rPr>
          <w:rFonts w:ascii="Tahoma" w:hAnsi="Tahoma" w:cs="Tahoma"/>
          <w:color w:val="000000" w:themeColor="text1"/>
        </w:rPr>
        <w:t>)</w:t>
      </w:r>
    </w:p>
    <w:p w14:paraId="0DFA54BE" w14:textId="7C71B341" w:rsidR="00425075" w:rsidRPr="00631EB0" w:rsidRDefault="00425075" w:rsidP="00631EB0">
      <w:pPr>
        <w:spacing w:line="276" w:lineRule="auto"/>
        <w:ind w:firstLine="708"/>
        <w:jc w:val="both"/>
        <w:textAlignment w:val="baseline"/>
        <w:rPr>
          <w:rFonts w:ascii="Tahoma" w:hAnsi="Tahoma" w:cs="Tahoma"/>
          <w:b/>
          <w:caps/>
        </w:rPr>
      </w:pPr>
    </w:p>
    <w:p w14:paraId="508EC3E8" w14:textId="2D8CAE3C" w:rsidR="00425075" w:rsidRPr="00631EB0" w:rsidRDefault="00425075" w:rsidP="00631EB0">
      <w:pPr>
        <w:spacing w:line="276" w:lineRule="auto"/>
        <w:ind w:firstLine="709"/>
        <w:rPr>
          <w:rFonts w:ascii="Tahoma" w:hAnsi="Tahoma" w:cs="Tahoma"/>
          <w:b/>
          <w:bCs/>
          <w:u w:val="single"/>
        </w:rPr>
      </w:pPr>
      <w:r w:rsidRPr="00631EB0">
        <w:rPr>
          <w:rFonts w:ascii="Tahoma" w:hAnsi="Tahoma" w:cs="Tahoma"/>
          <w:b/>
          <w:bCs/>
          <w:u w:val="single"/>
        </w:rPr>
        <w:t>TERCERO:</w:t>
      </w:r>
      <w:r w:rsidRPr="00631EB0">
        <w:rPr>
          <w:rFonts w:ascii="Tahoma" w:hAnsi="Tahoma" w:cs="Tahoma"/>
        </w:rPr>
        <w:t xml:space="preserve"> Sin costas en sede jurisdiccional de consulta.</w:t>
      </w:r>
    </w:p>
    <w:p w14:paraId="0DDEFF45" w14:textId="77777777" w:rsidR="008C0B82" w:rsidRPr="00631EB0" w:rsidRDefault="008C0B82" w:rsidP="00631EB0">
      <w:pPr>
        <w:spacing w:line="276" w:lineRule="auto"/>
        <w:rPr>
          <w:rFonts w:ascii="Tahoma" w:eastAsia="Tahoma" w:hAnsi="Tahoma" w:cs="Tahoma"/>
        </w:rPr>
      </w:pPr>
    </w:p>
    <w:p w14:paraId="3EF3B8EE" w14:textId="77777777" w:rsidR="008C0B82" w:rsidRPr="00631EB0" w:rsidRDefault="00B00BC8" w:rsidP="00631EB0">
      <w:pPr>
        <w:spacing w:line="276" w:lineRule="auto"/>
        <w:ind w:firstLine="709"/>
        <w:jc w:val="both"/>
        <w:rPr>
          <w:rFonts w:ascii="Tahoma" w:eastAsia="Tahoma" w:hAnsi="Tahoma" w:cs="Tahoma"/>
        </w:rPr>
      </w:pPr>
      <w:r w:rsidRPr="00631EB0">
        <w:rPr>
          <w:rFonts w:ascii="Tahoma" w:eastAsia="Tahoma" w:hAnsi="Tahoma" w:cs="Tahoma"/>
          <w:b/>
        </w:rPr>
        <w:t>Notifíquese y cúmplase.</w:t>
      </w:r>
    </w:p>
    <w:p w14:paraId="63858DC2" w14:textId="77777777" w:rsidR="00631EB0" w:rsidRPr="00631EB0" w:rsidRDefault="00631EB0" w:rsidP="00631EB0">
      <w:pPr>
        <w:spacing w:line="276" w:lineRule="auto"/>
        <w:jc w:val="both"/>
        <w:rPr>
          <w:rFonts w:ascii="Tahoma" w:eastAsia="Segoe UI" w:hAnsi="Tahoma" w:cs="Tahoma"/>
          <w:lang w:val="es-CO"/>
        </w:rPr>
      </w:pPr>
    </w:p>
    <w:p w14:paraId="159C2CD0" w14:textId="77777777" w:rsidR="00631EB0" w:rsidRPr="00631EB0" w:rsidRDefault="00631EB0" w:rsidP="00631EB0">
      <w:pPr>
        <w:widowControl w:val="0"/>
        <w:autoSpaceDE w:val="0"/>
        <w:autoSpaceDN w:val="0"/>
        <w:adjustRightInd w:val="0"/>
        <w:spacing w:line="276" w:lineRule="auto"/>
        <w:jc w:val="both"/>
        <w:rPr>
          <w:rFonts w:ascii="Tahoma" w:hAnsi="Tahoma" w:cs="Tahoma"/>
          <w:lang w:eastAsia="es-ES"/>
        </w:rPr>
      </w:pPr>
      <w:r w:rsidRPr="00631EB0">
        <w:rPr>
          <w:rFonts w:ascii="Tahoma" w:hAnsi="Tahoma" w:cs="Tahoma"/>
          <w:lang w:eastAsia="es-ES"/>
        </w:rPr>
        <w:tab/>
        <w:t>La Magistrada ponente,</w:t>
      </w:r>
    </w:p>
    <w:p w14:paraId="236FD92B" w14:textId="77777777" w:rsidR="00631EB0" w:rsidRPr="00631EB0" w:rsidRDefault="00631EB0" w:rsidP="00631EB0">
      <w:pPr>
        <w:spacing w:line="276" w:lineRule="auto"/>
        <w:rPr>
          <w:rFonts w:ascii="Tahoma" w:hAnsi="Tahoma" w:cs="Tahoma"/>
          <w:lang w:eastAsia="es-ES"/>
        </w:rPr>
      </w:pPr>
    </w:p>
    <w:p w14:paraId="14EB038A" w14:textId="18658749" w:rsidR="00631EB0" w:rsidRDefault="00631EB0" w:rsidP="00631EB0">
      <w:pPr>
        <w:spacing w:line="276" w:lineRule="auto"/>
        <w:rPr>
          <w:rFonts w:ascii="Tahoma" w:hAnsi="Tahoma" w:cs="Tahoma"/>
          <w:lang w:eastAsia="es-ES"/>
        </w:rPr>
      </w:pPr>
    </w:p>
    <w:p w14:paraId="0A03C81A" w14:textId="77777777" w:rsidR="000B0D4D" w:rsidRPr="00631EB0" w:rsidRDefault="000B0D4D" w:rsidP="00631EB0">
      <w:pPr>
        <w:spacing w:line="276" w:lineRule="auto"/>
        <w:rPr>
          <w:rFonts w:ascii="Tahoma" w:hAnsi="Tahoma" w:cs="Tahoma"/>
          <w:lang w:eastAsia="es-ES"/>
        </w:rPr>
      </w:pPr>
    </w:p>
    <w:p w14:paraId="16F39276" w14:textId="77777777" w:rsidR="00631EB0" w:rsidRPr="00631EB0" w:rsidRDefault="00631EB0" w:rsidP="00631EB0">
      <w:pPr>
        <w:keepNext/>
        <w:spacing w:line="276" w:lineRule="auto"/>
        <w:jc w:val="center"/>
        <w:outlineLvl w:val="2"/>
        <w:rPr>
          <w:rFonts w:ascii="Tahoma" w:hAnsi="Tahoma" w:cs="Tahoma"/>
          <w:b/>
          <w:bCs/>
          <w:lang w:eastAsia="es-ES"/>
        </w:rPr>
      </w:pPr>
      <w:r w:rsidRPr="00631EB0">
        <w:rPr>
          <w:rFonts w:ascii="Tahoma" w:hAnsi="Tahoma" w:cs="Tahoma"/>
          <w:b/>
          <w:bCs/>
          <w:lang w:eastAsia="es-ES"/>
        </w:rPr>
        <w:t>ANA LUCÍA CAICEDO CALDERÓN</w:t>
      </w:r>
    </w:p>
    <w:p w14:paraId="19467DBB" w14:textId="77777777" w:rsidR="00631EB0" w:rsidRPr="00631EB0" w:rsidRDefault="00631EB0" w:rsidP="00631EB0">
      <w:pPr>
        <w:spacing w:line="276" w:lineRule="auto"/>
        <w:rPr>
          <w:rFonts w:ascii="Tahoma" w:hAnsi="Tahoma" w:cs="Tahoma"/>
          <w:lang w:eastAsia="es-ES"/>
        </w:rPr>
      </w:pPr>
    </w:p>
    <w:p w14:paraId="40521FA3" w14:textId="77777777" w:rsidR="00631EB0" w:rsidRPr="00631EB0" w:rsidRDefault="00631EB0" w:rsidP="00631EB0">
      <w:pPr>
        <w:spacing w:line="276" w:lineRule="auto"/>
        <w:ind w:firstLine="708"/>
        <w:rPr>
          <w:rFonts w:ascii="Tahoma" w:hAnsi="Tahoma" w:cs="Tahoma"/>
          <w:lang w:eastAsia="es-ES"/>
        </w:rPr>
      </w:pPr>
      <w:bookmarkStart w:id="9" w:name="_Hlk62478330"/>
      <w:r w:rsidRPr="00631EB0">
        <w:rPr>
          <w:rFonts w:ascii="Tahoma" w:hAnsi="Tahoma" w:cs="Tahoma"/>
          <w:lang w:eastAsia="es-ES"/>
        </w:rPr>
        <w:t>La Magistrada y el Magistrado,</w:t>
      </w:r>
    </w:p>
    <w:p w14:paraId="29948C9A" w14:textId="6F510E88" w:rsidR="00631EB0" w:rsidRDefault="00631EB0" w:rsidP="00631EB0">
      <w:pPr>
        <w:spacing w:line="276" w:lineRule="auto"/>
        <w:rPr>
          <w:rFonts w:ascii="Tahoma" w:hAnsi="Tahoma" w:cs="Tahoma"/>
          <w:lang w:eastAsia="es-ES"/>
        </w:rPr>
      </w:pPr>
    </w:p>
    <w:p w14:paraId="13A768A0" w14:textId="77777777" w:rsidR="000B0D4D" w:rsidRPr="00631EB0" w:rsidRDefault="000B0D4D" w:rsidP="00631EB0">
      <w:pPr>
        <w:spacing w:line="276" w:lineRule="auto"/>
        <w:rPr>
          <w:rFonts w:ascii="Tahoma" w:hAnsi="Tahoma" w:cs="Tahoma"/>
          <w:lang w:eastAsia="es-ES"/>
        </w:rPr>
      </w:pPr>
    </w:p>
    <w:p w14:paraId="42E2C85C" w14:textId="77777777" w:rsidR="00631EB0" w:rsidRPr="00631EB0" w:rsidRDefault="00631EB0" w:rsidP="00631EB0">
      <w:pPr>
        <w:spacing w:line="276" w:lineRule="auto"/>
        <w:rPr>
          <w:rFonts w:ascii="Tahoma" w:hAnsi="Tahoma" w:cs="Tahoma"/>
          <w:lang w:eastAsia="es-ES"/>
        </w:rPr>
      </w:pPr>
    </w:p>
    <w:p w14:paraId="4817B4E5" w14:textId="112D5827" w:rsidR="008C0B82" w:rsidRPr="00631EB0" w:rsidRDefault="00631EB0" w:rsidP="0037300F">
      <w:pPr>
        <w:spacing w:line="276" w:lineRule="auto"/>
        <w:rPr>
          <w:rFonts w:ascii="Tahoma" w:eastAsia="Tahoma" w:hAnsi="Tahoma" w:cs="Tahoma"/>
        </w:rPr>
      </w:pPr>
      <w:r w:rsidRPr="00631EB0">
        <w:rPr>
          <w:rFonts w:ascii="Tahoma" w:hAnsi="Tahoma" w:cs="Tahoma"/>
          <w:b/>
          <w:bCs/>
          <w:lang w:eastAsia="es-ES"/>
        </w:rPr>
        <w:t>OLGA LUCÍA HOYOS SEPÚLVEDA</w:t>
      </w:r>
      <w:r w:rsidRPr="00631EB0">
        <w:rPr>
          <w:rFonts w:ascii="Tahoma" w:hAnsi="Tahoma" w:cs="Tahoma"/>
          <w:b/>
          <w:bCs/>
          <w:lang w:eastAsia="es-ES"/>
        </w:rPr>
        <w:tab/>
      </w:r>
      <w:r w:rsidRPr="00631EB0">
        <w:rPr>
          <w:rFonts w:ascii="Tahoma" w:hAnsi="Tahoma" w:cs="Tahoma"/>
          <w:b/>
          <w:bCs/>
          <w:lang w:eastAsia="es-ES"/>
        </w:rPr>
        <w:tab/>
        <w:t>GERMÁN DARÍO GÓEZ VINASCO</w:t>
      </w:r>
      <w:bookmarkEnd w:id="9"/>
    </w:p>
    <w:sectPr w:rsidR="008C0B82" w:rsidRPr="00631EB0" w:rsidSect="0037300F">
      <w:headerReference w:type="even" r:id="rId13"/>
      <w:headerReference w:type="default" r:id="rId14"/>
      <w:footerReference w:type="default" r:id="rId15"/>
      <w:footerReference w:type="first" r:id="rId16"/>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E3632C" w16cex:dateUtc="2022-07-28T21:25:51.8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245D" w14:textId="77777777" w:rsidR="006B5300" w:rsidRDefault="006B5300">
      <w:r>
        <w:separator/>
      </w:r>
    </w:p>
  </w:endnote>
  <w:endnote w:type="continuationSeparator" w:id="0">
    <w:p w14:paraId="467DAF2E" w14:textId="77777777" w:rsidR="006B5300" w:rsidRDefault="006B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8C0B82" w:rsidRPr="00631EB0" w:rsidRDefault="00B00BC8" w:rsidP="00631EB0">
    <w:pPr>
      <w:pStyle w:val="Ttulo"/>
      <w:spacing w:line="240" w:lineRule="auto"/>
      <w:ind w:left="1416" w:hanging="1416"/>
      <w:jc w:val="right"/>
      <w:rPr>
        <w:rFonts w:eastAsia="Tahoma"/>
        <w:b w:val="0"/>
        <w:sz w:val="18"/>
        <w:szCs w:val="18"/>
      </w:rPr>
    </w:pPr>
    <w:r w:rsidRPr="00631EB0">
      <w:rPr>
        <w:rFonts w:eastAsia="Tahoma"/>
        <w:b w:val="0"/>
        <w:sz w:val="18"/>
        <w:szCs w:val="18"/>
      </w:rPr>
      <w:fldChar w:fldCharType="begin"/>
    </w:r>
    <w:r w:rsidRPr="00631EB0">
      <w:rPr>
        <w:rFonts w:eastAsia="Tahoma"/>
        <w:b w:val="0"/>
        <w:sz w:val="18"/>
        <w:szCs w:val="18"/>
      </w:rPr>
      <w:instrText>PAGE</w:instrText>
    </w:r>
    <w:r w:rsidRPr="00631EB0">
      <w:rPr>
        <w:rFonts w:eastAsia="Tahoma"/>
        <w:b w:val="0"/>
        <w:sz w:val="18"/>
        <w:szCs w:val="18"/>
      </w:rPr>
      <w:fldChar w:fldCharType="separate"/>
    </w:r>
    <w:r w:rsidR="005D187C" w:rsidRPr="00631EB0">
      <w:rPr>
        <w:rFonts w:eastAsia="Tahoma"/>
        <w:b w:val="0"/>
        <w:sz w:val="18"/>
        <w:szCs w:val="18"/>
      </w:rPr>
      <w:t>5</w:t>
    </w:r>
    <w:r w:rsidRPr="00631EB0">
      <w:rPr>
        <w:rFonts w:eastAsia="Tahoma"/>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E961" w14:textId="77777777" w:rsidR="008C0B82" w:rsidRDefault="00B00BC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569F2">
      <w:rPr>
        <w:noProof/>
        <w:color w:val="000000"/>
      </w:rPr>
      <w:t>1</w:t>
    </w:r>
    <w:r>
      <w:rPr>
        <w:color w:val="000000"/>
      </w:rPr>
      <w:fldChar w:fldCharType="end"/>
    </w:r>
  </w:p>
  <w:p w14:paraId="4B8D358F" w14:textId="77777777" w:rsidR="008C0B82" w:rsidRDefault="008C0B82">
    <w:pPr>
      <w:pBdr>
        <w:top w:val="nil"/>
        <w:left w:val="nil"/>
        <w:bottom w:val="nil"/>
        <w:right w:val="nil"/>
        <w:between w:val="nil"/>
      </w:pBdr>
      <w:tabs>
        <w:tab w:val="center" w:pos="4252"/>
        <w:tab w:val="right" w:pos="8504"/>
      </w:tabs>
      <w:rPr>
        <w:color w:val="000000"/>
      </w:rPr>
    </w:pPr>
  </w:p>
  <w:p w14:paraId="034C8A97" w14:textId="77777777" w:rsidR="008C0B82" w:rsidRDefault="008C0B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8290" w14:textId="77777777" w:rsidR="006B5300" w:rsidRDefault="006B5300">
      <w:r>
        <w:separator/>
      </w:r>
    </w:p>
  </w:footnote>
  <w:footnote w:type="continuationSeparator" w:id="0">
    <w:p w14:paraId="39A7C273" w14:textId="77777777" w:rsidR="006B5300" w:rsidRDefault="006B5300">
      <w:r>
        <w:continuationSeparator/>
      </w:r>
    </w:p>
  </w:footnote>
  <w:footnote w:id="1">
    <w:p w14:paraId="4061CB59" w14:textId="184DB8BD" w:rsidR="00F76DFF" w:rsidRPr="00631EB0" w:rsidRDefault="00F76DFF" w:rsidP="00631EB0">
      <w:pPr>
        <w:pStyle w:val="Textonotapie"/>
        <w:jc w:val="both"/>
        <w:rPr>
          <w:rFonts w:ascii="Arial" w:hAnsi="Arial" w:cs="Arial"/>
          <w:sz w:val="18"/>
          <w:szCs w:val="18"/>
        </w:rPr>
      </w:pPr>
      <w:r w:rsidRPr="00631EB0">
        <w:rPr>
          <w:rStyle w:val="Refdenotaalpie"/>
          <w:rFonts w:ascii="Arial" w:hAnsi="Arial" w:cs="Arial"/>
          <w:sz w:val="18"/>
          <w:szCs w:val="18"/>
        </w:rPr>
        <w:footnoteRef/>
      </w:r>
      <w:r w:rsidRPr="00631EB0">
        <w:rPr>
          <w:rFonts w:ascii="Arial" w:hAnsi="Arial" w:cs="Arial"/>
          <w:sz w:val="18"/>
          <w:szCs w:val="18"/>
        </w:rPr>
        <w:t xml:space="preserve"> Archivo 10, página</w:t>
      </w:r>
      <w:r w:rsidR="009F6A33" w:rsidRPr="00631EB0">
        <w:rPr>
          <w:rFonts w:ascii="Arial" w:hAnsi="Arial" w:cs="Arial"/>
          <w:sz w:val="18"/>
          <w:szCs w:val="18"/>
        </w:rPr>
        <w:t xml:space="preserve"> 664 del cuaderno de primera instancia.</w:t>
      </w:r>
    </w:p>
  </w:footnote>
  <w:footnote w:id="2">
    <w:p w14:paraId="37E39FE7" w14:textId="3D5A18DF" w:rsidR="00F367DF" w:rsidRPr="00631EB0" w:rsidRDefault="00F367DF" w:rsidP="00631EB0">
      <w:pPr>
        <w:pStyle w:val="Textonotapie"/>
        <w:jc w:val="both"/>
        <w:rPr>
          <w:rFonts w:ascii="Arial" w:hAnsi="Arial" w:cs="Arial"/>
          <w:sz w:val="18"/>
          <w:szCs w:val="18"/>
        </w:rPr>
      </w:pPr>
      <w:r w:rsidRPr="00631EB0">
        <w:rPr>
          <w:rStyle w:val="Refdenotaalpie"/>
          <w:rFonts w:ascii="Arial" w:hAnsi="Arial" w:cs="Arial"/>
          <w:sz w:val="18"/>
          <w:szCs w:val="18"/>
        </w:rPr>
        <w:footnoteRef/>
      </w:r>
      <w:r w:rsidRPr="00631EB0">
        <w:rPr>
          <w:rFonts w:ascii="Arial" w:hAnsi="Arial" w:cs="Arial"/>
          <w:sz w:val="18"/>
          <w:szCs w:val="18"/>
        </w:rPr>
        <w:t xml:space="preserve"> Archivo 10, página 153 y archivo </w:t>
      </w:r>
      <w:r w:rsidR="00E12CDF" w:rsidRPr="00631EB0">
        <w:rPr>
          <w:rFonts w:ascii="Arial" w:hAnsi="Arial" w:cs="Arial"/>
          <w:sz w:val="18"/>
          <w:szCs w:val="18"/>
        </w:rPr>
        <w:t>0</w:t>
      </w:r>
      <w:r w:rsidR="00F4173F" w:rsidRPr="00631EB0">
        <w:rPr>
          <w:rFonts w:ascii="Arial" w:hAnsi="Arial" w:cs="Arial"/>
          <w:sz w:val="18"/>
          <w:szCs w:val="18"/>
        </w:rPr>
        <w:t>4</w:t>
      </w:r>
      <w:r w:rsidRPr="00631EB0">
        <w:rPr>
          <w:rFonts w:ascii="Arial" w:hAnsi="Arial" w:cs="Arial"/>
          <w:sz w:val="18"/>
          <w:szCs w:val="18"/>
        </w:rPr>
        <w:t>, página</w:t>
      </w:r>
      <w:r w:rsidR="00B45619" w:rsidRPr="00631EB0">
        <w:rPr>
          <w:rFonts w:ascii="Arial" w:hAnsi="Arial" w:cs="Arial"/>
          <w:sz w:val="18"/>
          <w:szCs w:val="18"/>
        </w:rPr>
        <w:t>s</w:t>
      </w:r>
      <w:r w:rsidRPr="00631EB0">
        <w:rPr>
          <w:rFonts w:ascii="Arial" w:hAnsi="Arial" w:cs="Arial"/>
          <w:sz w:val="18"/>
          <w:szCs w:val="18"/>
        </w:rPr>
        <w:t xml:space="preserve"> </w:t>
      </w:r>
      <w:r w:rsidR="00F4173F" w:rsidRPr="00631EB0">
        <w:rPr>
          <w:rFonts w:ascii="Arial" w:hAnsi="Arial" w:cs="Arial"/>
          <w:sz w:val="18"/>
          <w:szCs w:val="18"/>
        </w:rPr>
        <w:t>5</w:t>
      </w:r>
      <w:r w:rsidRPr="00631EB0">
        <w:rPr>
          <w:rFonts w:ascii="Arial" w:hAnsi="Arial" w:cs="Arial"/>
          <w:sz w:val="18"/>
          <w:szCs w:val="18"/>
        </w:rPr>
        <w:t>6</w:t>
      </w:r>
      <w:r w:rsidR="00B45619" w:rsidRPr="00631EB0">
        <w:rPr>
          <w:rFonts w:ascii="Arial" w:hAnsi="Arial" w:cs="Arial"/>
          <w:sz w:val="18"/>
          <w:szCs w:val="18"/>
        </w:rPr>
        <w:t xml:space="preserve"> a</w:t>
      </w:r>
      <w:r w:rsidR="00AA6126" w:rsidRPr="00631EB0">
        <w:rPr>
          <w:rFonts w:ascii="Arial" w:hAnsi="Arial" w:cs="Arial"/>
          <w:sz w:val="18"/>
          <w:szCs w:val="18"/>
        </w:rPr>
        <w:t xml:space="preserve"> 77</w:t>
      </w:r>
      <w:r w:rsidRPr="00631EB0">
        <w:rPr>
          <w:rFonts w:ascii="Arial" w:hAnsi="Arial" w:cs="Arial"/>
          <w:sz w:val="18"/>
          <w:szCs w:val="18"/>
        </w:rPr>
        <w:t xml:space="preserve"> del cuaderno de primera instancia.</w:t>
      </w:r>
    </w:p>
  </w:footnote>
  <w:footnote w:id="3">
    <w:p w14:paraId="16CA55C9" w14:textId="0BBFC2B6" w:rsidR="00EE529F" w:rsidRPr="00631EB0" w:rsidRDefault="00EE529F" w:rsidP="00631EB0">
      <w:pPr>
        <w:pStyle w:val="Textonotapie"/>
        <w:jc w:val="both"/>
        <w:rPr>
          <w:rFonts w:ascii="Arial" w:hAnsi="Arial" w:cs="Arial"/>
          <w:sz w:val="18"/>
          <w:szCs w:val="18"/>
        </w:rPr>
      </w:pPr>
      <w:r w:rsidRPr="00631EB0">
        <w:rPr>
          <w:rStyle w:val="Refdenotaalpie"/>
          <w:rFonts w:ascii="Arial" w:hAnsi="Arial" w:cs="Arial"/>
          <w:sz w:val="18"/>
          <w:szCs w:val="18"/>
        </w:rPr>
        <w:footnoteRef/>
      </w:r>
      <w:r w:rsidRPr="00631EB0">
        <w:rPr>
          <w:rFonts w:ascii="Arial" w:hAnsi="Arial" w:cs="Arial"/>
          <w:sz w:val="18"/>
          <w:szCs w:val="18"/>
        </w:rPr>
        <w:t xml:space="preserve"> Archivo </w:t>
      </w:r>
      <w:r w:rsidR="00AA6126" w:rsidRPr="00631EB0">
        <w:rPr>
          <w:rFonts w:ascii="Arial" w:hAnsi="Arial" w:cs="Arial"/>
          <w:sz w:val="18"/>
          <w:szCs w:val="18"/>
        </w:rPr>
        <w:t>04</w:t>
      </w:r>
      <w:r w:rsidRPr="00631EB0">
        <w:rPr>
          <w:rFonts w:ascii="Arial" w:hAnsi="Arial" w:cs="Arial"/>
          <w:sz w:val="18"/>
          <w:szCs w:val="18"/>
        </w:rPr>
        <w:t>, página 4</w:t>
      </w:r>
      <w:r w:rsidR="00AA6126" w:rsidRPr="00631EB0">
        <w:rPr>
          <w:rFonts w:ascii="Arial" w:hAnsi="Arial" w:cs="Arial"/>
          <w:sz w:val="18"/>
          <w:szCs w:val="18"/>
        </w:rPr>
        <w:t xml:space="preserve">0 a 45 </w:t>
      </w:r>
      <w:r w:rsidRPr="00631EB0">
        <w:rPr>
          <w:rFonts w:ascii="Arial" w:hAnsi="Arial" w:cs="Arial"/>
          <w:sz w:val="18"/>
          <w:szCs w:val="18"/>
        </w:rPr>
        <w:t>del cuaderno de primera instancia.</w:t>
      </w:r>
    </w:p>
  </w:footnote>
  <w:footnote w:id="4">
    <w:p w14:paraId="024C3085" w14:textId="77777777" w:rsidR="009E614A" w:rsidRPr="00631EB0" w:rsidRDefault="009E614A" w:rsidP="00631EB0">
      <w:pPr>
        <w:pStyle w:val="NormalWeb"/>
        <w:spacing w:before="0" w:beforeAutospacing="0" w:after="0" w:afterAutospacing="0"/>
        <w:jc w:val="both"/>
        <w:rPr>
          <w:rFonts w:ascii="Arial" w:hAnsi="Arial" w:cs="Arial"/>
          <w:sz w:val="18"/>
          <w:szCs w:val="18"/>
        </w:rPr>
      </w:pPr>
      <w:r w:rsidRPr="00631EB0">
        <w:rPr>
          <w:rStyle w:val="Refdenotaalpie"/>
          <w:rFonts w:ascii="Arial" w:hAnsi="Arial" w:cs="Arial"/>
          <w:sz w:val="18"/>
          <w:szCs w:val="18"/>
        </w:rPr>
        <w:footnoteRef/>
      </w:r>
      <w:r w:rsidRPr="00631EB0">
        <w:rPr>
          <w:rFonts w:ascii="Arial" w:hAnsi="Arial" w:cs="Arial"/>
          <w:sz w:val="18"/>
          <w:szCs w:val="18"/>
        </w:rPr>
        <w:t xml:space="preserve"> “1. El presente Convenio se aplicará:</w:t>
      </w:r>
    </w:p>
    <w:p w14:paraId="3FEE0548" w14:textId="77777777" w:rsidR="009E614A" w:rsidRPr="00631EB0" w:rsidRDefault="009E614A" w:rsidP="00631EB0">
      <w:pPr>
        <w:pStyle w:val="NormalWeb"/>
        <w:spacing w:before="0" w:beforeAutospacing="0" w:after="0" w:afterAutospacing="0"/>
        <w:jc w:val="both"/>
        <w:rPr>
          <w:rFonts w:ascii="Arial" w:hAnsi="Arial" w:cs="Arial"/>
          <w:sz w:val="18"/>
          <w:szCs w:val="18"/>
        </w:rPr>
      </w:pPr>
      <w:r w:rsidRPr="00631EB0">
        <w:rPr>
          <w:rFonts w:ascii="Arial" w:hAnsi="Arial" w:cs="Arial"/>
          <w:sz w:val="18"/>
          <w:szCs w:val="18"/>
        </w:rPr>
        <w:t>(…)</w:t>
      </w:r>
    </w:p>
    <w:p w14:paraId="294D6005" w14:textId="77777777" w:rsidR="009E614A" w:rsidRPr="00631EB0" w:rsidRDefault="009E614A" w:rsidP="00631EB0">
      <w:pPr>
        <w:pStyle w:val="NormalWeb"/>
        <w:spacing w:before="0" w:beforeAutospacing="0" w:after="0" w:afterAutospacing="0"/>
        <w:jc w:val="both"/>
        <w:rPr>
          <w:rFonts w:ascii="Arial" w:hAnsi="Arial" w:cs="Arial"/>
          <w:sz w:val="18"/>
          <w:szCs w:val="18"/>
        </w:rPr>
      </w:pPr>
      <w:r w:rsidRPr="00631EB0">
        <w:rPr>
          <w:rFonts w:ascii="Arial" w:hAnsi="Arial" w:cs="Arial"/>
          <w:sz w:val="18"/>
          <w:szCs w:val="18"/>
        </w:rPr>
        <w:t>b) En Colombia:</w:t>
      </w:r>
    </w:p>
    <w:p w14:paraId="18696787" w14:textId="77777777" w:rsidR="009E614A" w:rsidRPr="00631EB0" w:rsidRDefault="009E614A" w:rsidP="00631EB0">
      <w:pPr>
        <w:pStyle w:val="NormalWeb"/>
        <w:spacing w:before="0" w:beforeAutospacing="0" w:after="0" w:afterAutospacing="0"/>
        <w:jc w:val="both"/>
        <w:rPr>
          <w:rFonts w:ascii="Arial" w:hAnsi="Arial" w:cs="Arial"/>
          <w:sz w:val="18"/>
          <w:szCs w:val="18"/>
        </w:rPr>
      </w:pPr>
      <w:r w:rsidRPr="00631EB0">
        <w:rPr>
          <w:rFonts w:ascii="Arial" w:hAnsi="Arial" w:cs="Arial"/>
          <w:sz w:val="18"/>
          <w:szCs w:val="18"/>
        </w:rPr>
        <w:t>A la legislación relativa a las prestaciones económicas dispuestas en el Sistema General de Pensiones (Prima Media con Prestación Definida y Ahorro Individual con Solidaridad), en cuanto a vejez, invalidez y sobrevivientes, de origen común.”</w:t>
      </w:r>
    </w:p>
  </w:footnote>
  <w:footnote w:id="5">
    <w:p w14:paraId="155E752C" w14:textId="3AF69145" w:rsidR="002B176C" w:rsidRPr="00631EB0" w:rsidRDefault="002B176C" w:rsidP="00631EB0">
      <w:pPr>
        <w:pStyle w:val="Textonotapie"/>
        <w:jc w:val="both"/>
        <w:rPr>
          <w:rFonts w:ascii="Arial" w:hAnsi="Arial" w:cs="Arial"/>
          <w:sz w:val="18"/>
          <w:szCs w:val="18"/>
        </w:rPr>
      </w:pPr>
      <w:r w:rsidRPr="00631EB0">
        <w:rPr>
          <w:rStyle w:val="Refdenotaalpie"/>
          <w:rFonts w:ascii="Arial" w:hAnsi="Arial" w:cs="Arial"/>
          <w:sz w:val="18"/>
          <w:szCs w:val="18"/>
        </w:rPr>
        <w:footnoteRef/>
      </w:r>
      <w:r w:rsidRPr="00631EB0">
        <w:rPr>
          <w:rFonts w:ascii="Arial" w:hAnsi="Arial" w:cs="Arial"/>
          <w:sz w:val="18"/>
          <w:szCs w:val="18"/>
        </w:rPr>
        <w:t xml:space="preserve"> Archivo 04, página</w:t>
      </w:r>
      <w:r w:rsidR="00293E31" w:rsidRPr="00631EB0">
        <w:rPr>
          <w:rFonts w:ascii="Arial" w:hAnsi="Arial" w:cs="Arial"/>
          <w:sz w:val="18"/>
          <w:szCs w:val="18"/>
        </w:rPr>
        <w:t>s</w:t>
      </w:r>
      <w:r w:rsidRPr="00631EB0">
        <w:rPr>
          <w:rFonts w:ascii="Arial" w:hAnsi="Arial" w:cs="Arial"/>
          <w:sz w:val="18"/>
          <w:szCs w:val="18"/>
        </w:rPr>
        <w:t xml:space="preserve"> 3 </w:t>
      </w:r>
      <w:r w:rsidR="00293E31" w:rsidRPr="00631EB0">
        <w:rPr>
          <w:rFonts w:ascii="Arial" w:hAnsi="Arial" w:cs="Arial"/>
          <w:sz w:val="18"/>
          <w:szCs w:val="18"/>
        </w:rPr>
        <w:t>a 5 y archivo 10, página 56 a 57 del cuaderno de primera instancia.</w:t>
      </w:r>
    </w:p>
  </w:footnote>
  <w:footnote w:id="6">
    <w:p w14:paraId="4B12612D" w14:textId="77076A82" w:rsidR="00D13C33" w:rsidRPr="00631EB0" w:rsidRDefault="00D13C33" w:rsidP="00631EB0">
      <w:pPr>
        <w:pStyle w:val="Textonotapie"/>
        <w:jc w:val="both"/>
        <w:rPr>
          <w:rFonts w:ascii="Arial" w:hAnsi="Arial" w:cs="Arial"/>
          <w:sz w:val="18"/>
          <w:szCs w:val="18"/>
        </w:rPr>
      </w:pPr>
      <w:r w:rsidRPr="00631EB0">
        <w:rPr>
          <w:rStyle w:val="Refdenotaalpie"/>
          <w:rFonts w:ascii="Arial" w:hAnsi="Arial" w:cs="Arial"/>
          <w:sz w:val="18"/>
          <w:szCs w:val="18"/>
        </w:rPr>
        <w:footnoteRef/>
      </w:r>
      <w:r w:rsidRPr="00631EB0">
        <w:rPr>
          <w:rFonts w:ascii="Arial" w:hAnsi="Arial" w:cs="Arial"/>
          <w:sz w:val="18"/>
          <w:szCs w:val="18"/>
        </w:rPr>
        <w:t xml:space="preserve"> Archivo 04, página 17 del cuaderno de primera instancia.</w:t>
      </w:r>
      <w:r w:rsidR="00960673" w:rsidRPr="00631EB0">
        <w:rPr>
          <w:rFonts w:ascii="Arial" w:hAnsi="Arial" w:cs="Arial"/>
          <w:sz w:val="18"/>
          <w:szCs w:val="18"/>
        </w:rPr>
        <w:t xml:space="preserve"> </w:t>
      </w:r>
    </w:p>
  </w:footnote>
  <w:footnote w:id="7">
    <w:p w14:paraId="1EB55301" w14:textId="77777777" w:rsidR="009E614A" w:rsidRPr="00631EB0" w:rsidRDefault="009E614A" w:rsidP="00631EB0">
      <w:pPr>
        <w:pStyle w:val="NormalWeb"/>
        <w:spacing w:before="0" w:beforeAutospacing="0" w:after="0" w:afterAutospacing="0"/>
        <w:jc w:val="both"/>
        <w:rPr>
          <w:rFonts w:ascii="Arial" w:hAnsi="Arial" w:cs="Arial"/>
          <w:sz w:val="18"/>
          <w:szCs w:val="18"/>
        </w:rPr>
      </w:pPr>
      <w:r w:rsidRPr="00631EB0">
        <w:rPr>
          <w:rStyle w:val="Refdenotaalpie"/>
          <w:rFonts w:ascii="Arial" w:hAnsi="Arial" w:cs="Arial"/>
          <w:sz w:val="18"/>
          <w:szCs w:val="18"/>
        </w:rPr>
        <w:footnoteRef/>
      </w:r>
      <w:r w:rsidRPr="00631EB0">
        <w:rPr>
          <w:rFonts w:ascii="Arial" w:hAnsi="Arial" w:cs="Arial"/>
          <w:sz w:val="18"/>
          <w:szCs w:val="18"/>
        </w:rPr>
        <w:t xml:space="preserve"> “Con excepción de lo dispuesto en el artículo 18, el trabajador que haya estado sucesiva o alternativamente sometido a la legislación de una y otra Parte Contratante tendrá derecho a las prestaciones reguladas en este Capítulo en las condiciones siguientes:</w:t>
      </w:r>
    </w:p>
    <w:p w14:paraId="2D3E003E" w14:textId="77777777" w:rsidR="009E614A" w:rsidRPr="00631EB0" w:rsidRDefault="009E614A" w:rsidP="00631EB0">
      <w:pPr>
        <w:pStyle w:val="NormalWeb"/>
        <w:spacing w:before="0" w:beforeAutospacing="0" w:after="0" w:afterAutospacing="0"/>
        <w:jc w:val="both"/>
        <w:rPr>
          <w:rFonts w:ascii="Arial" w:hAnsi="Arial" w:cs="Arial"/>
          <w:sz w:val="18"/>
          <w:szCs w:val="18"/>
        </w:rPr>
      </w:pPr>
      <w:r w:rsidRPr="00631EB0">
        <w:rPr>
          <w:rFonts w:ascii="Arial" w:hAnsi="Arial" w:cs="Arial"/>
          <w:sz w:val="18"/>
          <w:szCs w:val="18"/>
        </w:rPr>
        <w:t>1. La Institución Competente de cada Parte determinará el derecho y calculará la prestación, teniendo en cuenta únicamente los períodos de seguro o cotización acreditados en esa Parte.</w:t>
      </w:r>
    </w:p>
    <w:p w14:paraId="3E9C0AD0" w14:textId="77777777" w:rsidR="009E614A" w:rsidRPr="00631EB0" w:rsidRDefault="009E614A" w:rsidP="00631EB0">
      <w:pPr>
        <w:pStyle w:val="NormalWeb"/>
        <w:spacing w:before="0" w:beforeAutospacing="0" w:after="0" w:afterAutospacing="0"/>
        <w:jc w:val="both"/>
        <w:rPr>
          <w:rFonts w:ascii="Arial" w:hAnsi="Arial" w:cs="Arial"/>
          <w:sz w:val="18"/>
          <w:szCs w:val="18"/>
        </w:rPr>
      </w:pPr>
      <w:r w:rsidRPr="00631EB0">
        <w:rPr>
          <w:rFonts w:ascii="Arial" w:hAnsi="Arial" w:cs="Arial"/>
          <w:sz w:val="18"/>
          <w:szCs w:val="18"/>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14:paraId="0357A190" w14:textId="77777777" w:rsidR="009E614A" w:rsidRPr="00631EB0" w:rsidRDefault="009E614A" w:rsidP="00631EB0">
      <w:pPr>
        <w:pStyle w:val="NormalWeb"/>
        <w:spacing w:before="0" w:beforeAutospacing="0" w:after="0" w:afterAutospacing="0"/>
        <w:jc w:val="both"/>
        <w:rPr>
          <w:rFonts w:ascii="Arial" w:hAnsi="Arial" w:cs="Arial"/>
          <w:sz w:val="18"/>
          <w:szCs w:val="18"/>
        </w:rPr>
      </w:pPr>
      <w:r w:rsidRPr="00631EB0">
        <w:rPr>
          <w:rFonts w:ascii="Arial" w:hAnsi="Arial" w:cs="Arial"/>
          <w:sz w:val="18"/>
          <w:szCs w:val="18"/>
        </w:rPr>
        <w:t xml:space="preserve">a) </w:t>
      </w:r>
      <w:r w:rsidRPr="00631EB0">
        <w:rPr>
          <w:rFonts w:ascii="Arial" w:hAnsi="Arial" w:cs="Arial"/>
          <w:b/>
          <w:sz w:val="18"/>
          <w:szCs w:val="18"/>
        </w:rPr>
        <w:t>Se determinará la cuantía de la prestación a la cual el interesado hubiera tenido derecho como si todos los períodos de seguro o cotización totalizados hubieran sido cumplidos bajo su propia legislación (pensión teórica);</w:t>
      </w:r>
    </w:p>
    <w:p w14:paraId="53DDB62D" w14:textId="77777777" w:rsidR="009E614A" w:rsidRPr="00631EB0" w:rsidRDefault="009E614A" w:rsidP="00631EB0">
      <w:pPr>
        <w:pStyle w:val="NormalWeb"/>
        <w:spacing w:before="0" w:beforeAutospacing="0" w:after="0" w:afterAutospacing="0"/>
        <w:jc w:val="both"/>
        <w:rPr>
          <w:rFonts w:ascii="Arial" w:hAnsi="Arial" w:cs="Arial"/>
          <w:sz w:val="18"/>
          <w:szCs w:val="18"/>
        </w:rPr>
      </w:pPr>
      <w:r w:rsidRPr="00631EB0">
        <w:rPr>
          <w:rFonts w:ascii="Arial" w:hAnsi="Arial" w:cs="Arial"/>
          <w:sz w:val="18"/>
          <w:szCs w:val="18"/>
        </w:rPr>
        <w:t xml:space="preserve">b) </w:t>
      </w:r>
      <w:r w:rsidRPr="00631EB0">
        <w:rPr>
          <w:rFonts w:ascii="Arial" w:hAnsi="Arial" w:cs="Arial"/>
          <w:b/>
          <w:sz w:val="18"/>
          <w:szCs w:val="18"/>
        </w:rPr>
        <w:t>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14:paraId="7BA2C445" w14:textId="77777777" w:rsidR="009E614A" w:rsidRPr="00631EB0" w:rsidRDefault="009E614A" w:rsidP="00631EB0">
      <w:pPr>
        <w:pStyle w:val="NormalWeb"/>
        <w:spacing w:before="0" w:beforeAutospacing="0" w:after="0" w:afterAutospacing="0"/>
        <w:jc w:val="both"/>
        <w:rPr>
          <w:rFonts w:ascii="Arial" w:hAnsi="Arial" w:cs="Arial"/>
          <w:i/>
          <w:color w:val="000000"/>
          <w:sz w:val="18"/>
          <w:szCs w:val="18"/>
        </w:rPr>
      </w:pPr>
      <w:r w:rsidRPr="00631EB0">
        <w:rPr>
          <w:rFonts w:ascii="Arial" w:hAnsi="Arial" w:cs="Arial"/>
          <w:sz w:val="18"/>
          <w:szCs w:val="18"/>
        </w:rPr>
        <w:t>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w:t>
      </w:r>
      <w:r w:rsidRPr="00631EB0">
        <w:rPr>
          <w:rFonts w:ascii="Arial" w:hAnsi="Arial" w:cs="Arial"/>
          <w:i/>
          <w:color w:val="000000"/>
          <w:sz w:val="18"/>
          <w:szCs w:val="18"/>
        </w:rPr>
        <w:t xml:space="preserve">  </w:t>
      </w:r>
    </w:p>
  </w:footnote>
  <w:footnote w:id="8">
    <w:p w14:paraId="2E5088CC" w14:textId="77777777" w:rsidR="009E614A" w:rsidRPr="00631EB0" w:rsidRDefault="009E614A" w:rsidP="00631EB0">
      <w:pPr>
        <w:tabs>
          <w:tab w:val="left" w:pos="5197"/>
        </w:tabs>
        <w:ind w:right="-5"/>
        <w:jc w:val="both"/>
        <w:rPr>
          <w:rFonts w:ascii="Arial" w:hAnsi="Arial" w:cs="Arial"/>
          <w:sz w:val="18"/>
          <w:szCs w:val="18"/>
        </w:rPr>
      </w:pPr>
      <w:r w:rsidRPr="00631EB0">
        <w:rPr>
          <w:rStyle w:val="Refdenotaalpie"/>
          <w:rFonts w:ascii="Arial" w:hAnsi="Arial" w:cs="Arial"/>
          <w:sz w:val="18"/>
          <w:szCs w:val="18"/>
        </w:rPr>
        <w:footnoteRef/>
      </w:r>
      <w:r w:rsidRPr="00631EB0">
        <w:rPr>
          <w:rFonts w:ascii="Arial" w:hAnsi="Arial" w:cs="Arial"/>
          <w:sz w:val="18"/>
          <w:szCs w:val="18"/>
        </w:rPr>
        <w:t xml:space="preserve"> “Para determinar el ingreso base de liquidación para el cálculo de las prestaciones que se reconozcan en aplicación de lo dispuesto en el artículo 9o, apartado 2 del presente Convenio, </w:t>
      </w:r>
      <w:r w:rsidRPr="00631EB0">
        <w:rPr>
          <w:rFonts w:ascii="Arial" w:hAnsi="Arial" w:cs="Arial"/>
          <w:b/>
          <w:sz w:val="18"/>
          <w:szCs w:val="18"/>
        </w:rPr>
        <w:t>la Institución Competente tomará el promedio de los salarios o rentas sobre las cuales haya cotizado el afiliado en Colombia durante los diez años anteriores al reconocimiento o el promedio de todo el tiempo estimado si éste fuere inferior.</w:t>
      </w:r>
    </w:p>
    <w:p w14:paraId="629CCC27" w14:textId="77777777" w:rsidR="009E614A" w:rsidRPr="00631EB0" w:rsidRDefault="009E614A" w:rsidP="00631EB0">
      <w:pPr>
        <w:tabs>
          <w:tab w:val="left" w:pos="5197"/>
          <w:tab w:val="left" w:pos="9498"/>
        </w:tabs>
        <w:ind w:right="-5"/>
        <w:jc w:val="both"/>
        <w:rPr>
          <w:rFonts w:ascii="Arial" w:hAnsi="Arial" w:cs="Arial"/>
          <w:sz w:val="18"/>
          <w:szCs w:val="18"/>
        </w:rPr>
      </w:pPr>
      <w:r w:rsidRPr="00631EB0">
        <w:rPr>
          <w:rFonts w:ascii="Arial" w:hAnsi="Arial" w:cs="Arial"/>
          <w:sz w:val="18"/>
          <w:szCs w:val="18"/>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14:paraId="3450F066" w14:textId="77777777" w:rsidR="009E614A" w:rsidRPr="000D06F1" w:rsidRDefault="009E614A" w:rsidP="00631EB0">
      <w:pPr>
        <w:pStyle w:val="Textonotapie"/>
        <w:jc w:val="both"/>
        <w:rPr>
          <w:rFonts w:ascii="Arial" w:hAnsi="Arial" w:cs="Arial"/>
          <w:sz w:val="18"/>
          <w:szCs w:val="18"/>
          <w:lang w:val="es-CO"/>
        </w:rPr>
      </w:pPr>
      <w:r w:rsidRPr="00631EB0">
        <w:rPr>
          <w:rFonts w:ascii="Arial" w:hAnsi="Arial" w:cs="Arial"/>
          <w:sz w:val="18"/>
          <w:szCs w:val="18"/>
        </w:rPr>
        <w:t>La cuantía resultante de este cálculo se ajustará hasta la fecha en que debe devengarse la prestación, de conformidad con su legislación”.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8C0B82" w:rsidRDefault="00B00BC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8C0B82" w:rsidRDefault="008C0B82">
    <w:pPr>
      <w:pBdr>
        <w:top w:val="nil"/>
        <w:left w:val="nil"/>
        <w:bottom w:val="nil"/>
        <w:right w:val="nil"/>
        <w:between w:val="nil"/>
      </w:pBdr>
      <w:tabs>
        <w:tab w:val="center" w:pos="4419"/>
        <w:tab w:val="right" w:pos="8838"/>
      </w:tabs>
      <w:rPr>
        <w:color w:val="000000"/>
      </w:rPr>
    </w:pPr>
  </w:p>
  <w:p w14:paraId="7A68FC1A" w14:textId="77777777" w:rsidR="008C0B82" w:rsidRDefault="008C0B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63CC" w14:textId="49DA930E" w:rsidR="00662D53" w:rsidRPr="00631EB0" w:rsidRDefault="00662D53" w:rsidP="00631EB0">
    <w:pPr>
      <w:pStyle w:val="Ttulo"/>
      <w:spacing w:line="240" w:lineRule="auto"/>
      <w:jc w:val="both"/>
      <w:rPr>
        <w:rFonts w:eastAsia="Tahoma"/>
        <w:b w:val="0"/>
        <w:sz w:val="18"/>
        <w:szCs w:val="18"/>
      </w:rPr>
    </w:pPr>
    <w:r w:rsidRPr="00631EB0">
      <w:rPr>
        <w:rFonts w:eastAsia="Tahoma"/>
        <w:b w:val="0"/>
        <w:sz w:val="18"/>
        <w:szCs w:val="18"/>
      </w:rPr>
      <w:t>Radicación No.:</w:t>
    </w:r>
    <w:r w:rsidRPr="00631EB0">
      <w:rPr>
        <w:rFonts w:eastAsia="Tahoma"/>
        <w:b w:val="0"/>
        <w:sz w:val="18"/>
        <w:szCs w:val="18"/>
      </w:rPr>
      <w:tab/>
      <w:t>66001-31-05-002-2019-00157-01</w:t>
    </w:r>
  </w:p>
  <w:p w14:paraId="0800D70B" w14:textId="61485CC5" w:rsidR="00662D53" w:rsidRPr="00631EB0" w:rsidRDefault="00662D53" w:rsidP="00631EB0">
    <w:pPr>
      <w:pStyle w:val="Ttulo"/>
      <w:spacing w:line="240" w:lineRule="auto"/>
      <w:jc w:val="both"/>
      <w:rPr>
        <w:rFonts w:eastAsia="Tahoma"/>
        <w:b w:val="0"/>
        <w:sz w:val="18"/>
        <w:szCs w:val="18"/>
      </w:rPr>
    </w:pPr>
    <w:r w:rsidRPr="00631EB0">
      <w:rPr>
        <w:rFonts w:eastAsia="Tahoma"/>
        <w:b w:val="0"/>
        <w:sz w:val="18"/>
        <w:szCs w:val="18"/>
      </w:rPr>
      <w:t>Demandante:</w:t>
    </w:r>
    <w:r w:rsidRPr="00631EB0">
      <w:rPr>
        <w:rFonts w:eastAsia="Tahoma"/>
        <w:b w:val="0"/>
        <w:sz w:val="18"/>
        <w:szCs w:val="18"/>
      </w:rPr>
      <w:tab/>
      <w:t>Carmen Emilia Román de Acevedo</w:t>
    </w:r>
  </w:p>
  <w:p w14:paraId="7092DB1C" w14:textId="301BE5DB" w:rsidR="008C0B82" w:rsidRPr="00631EB0" w:rsidRDefault="00662D53" w:rsidP="00631EB0">
    <w:pPr>
      <w:pStyle w:val="Ttulo"/>
      <w:spacing w:line="240" w:lineRule="auto"/>
      <w:ind w:left="1416" w:hanging="1416"/>
      <w:jc w:val="both"/>
      <w:rPr>
        <w:rFonts w:eastAsia="Tahoma"/>
        <w:b w:val="0"/>
        <w:sz w:val="18"/>
        <w:szCs w:val="18"/>
      </w:rPr>
    </w:pPr>
    <w:r w:rsidRPr="00631EB0">
      <w:rPr>
        <w:rFonts w:eastAsia="Tahoma"/>
        <w:b w:val="0"/>
        <w:sz w:val="18"/>
        <w:szCs w:val="18"/>
      </w:rPr>
      <w:t>Demandado:</w:t>
    </w:r>
    <w:r w:rsidRPr="00631EB0">
      <w:rPr>
        <w:rFonts w:eastAsia="Tahoma"/>
        <w:b w:val="0"/>
        <w:sz w:val="18"/>
        <w:szCs w:val="18"/>
      </w:rPr>
      <w:tab/>
    </w:r>
    <w:r w:rsidRPr="00631EB0">
      <w:rPr>
        <w:rFonts w:eastAsia="Tahoma"/>
        <w:b w:val="0"/>
        <w:sz w:val="18"/>
        <w:szCs w:val="18"/>
      </w:rPr>
      <w:tab/>
      <w:t>Colpensione</w:t>
    </w:r>
    <w:r w:rsidR="00631EB0" w:rsidRPr="00631EB0">
      <w:rPr>
        <w:rFonts w:eastAsia="Tahoma"/>
        <w:b w:val="0"/>
        <w:sz w:val="18"/>
        <w:szCs w:val="1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AF700B"/>
    <w:multiLevelType w:val="multilevel"/>
    <w:tmpl w:val="705A8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DA2CCC"/>
    <w:multiLevelType w:val="multilevel"/>
    <w:tmpl w:val="8E443354"/>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7763A55"/>
    <w:multiLevelType w:val="multilevel"/>
    <w:tmpl w:val="3E1073CC"/>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3427351"/>
    <w:multiLevelType w:val="multilevel"/>
    <w:tmpl w:val="7458C200"/>
    <w:lvl w:ilvl="0">
      <w:start w:val="5"/>
      <w:numFmt w:val="decimal"/>
      <w:lvlText w:val="%1."/>
      <w:lvlJc w:val="left"/>
      <w:pPr>
        <w:ind w:left="450" w:hanging="450"/>
      </w:pPr>
      <w:rPr>
        <w:rFonts w:hint="default"/>
        <w:b/>
      </w:rPr>
    </w:lvl>
    <w:lvl w:ilvl="1">
      <w:start w:val="2"/>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E8347ED"/>
    <w:multiLevelType w:val="multilevel"/>
    <w:tmpl w:val="2F00975E"/>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50365ADF"/>
    <w:multiLevelType w:val="multilevel"/>
    <w:tmpl w:val="EE247B8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10" w15:restartNumberingAfterBreak="0">
    <w:nsid w:val="60F84AB4"/>
    <w:multiLevelType w:val="multilevel"/>
    <w:tmpl w:val="4DA665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48B0054"/>
    <w:multiLevelType w:val="multilevel"/>
    <w:tmpl w:val="77DCAE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4"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718A08EF"/>
    <w:multiLevelType w:val="multilevel"/>
    <w:tmpl w:val="ED9ACF42"/>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13"/>
  </w:num>
  <w:num w:numId="2">
    <w:abstractNumId w:val="12"/>
  </w:num>
  <w:num w:numId="3">
    <w:abstractNumId w:val="14"/>
  </w:num>
  <w:num w:numId="4">
    <w:abstractNumId w:val="1"/>
  </w:num>
  <w:num w:numId="5">
    <w:abstractNumId w:val="0"/>
  </w:num>
  <w:num w:numId="6">
    <w:abstractNumId w:val="5"/>
  </w:num>
  <w:num w:numId="7">
    <w:abstractNumId w:val="10"/>
  </w:num>
  <w:num w:numId="8">
    <w:abstractNumId w:val="2"/>
  </w:num>
  <w:num w:numId="9">
    <w:abstractNumId w:val="3"/>
  </w:num>
  <w:num w:numId="10">
    <w:abstractNumId w:val="15"/>
  </w:num>
  <w:num w:numId="11">
    <w:abstractNumId w:val="4"/>
  </w:num>
  <w:num w:numId="12">
    <w:abstractNumId w:val="6"/>
  </w:num>
  <w:num w:numId="13">
    <w:abstractNumId w:val="1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460E"/>
    <w:rsid w:val="00004EEA"/>
    <w:rsid w:val="000054A2"/>
    <w:rsid w:val="00005E35"/>
    <w:rsid w:val="00007D72"/>
    <w:rsid w:val="00012937"/>
    <w:rsid w:val="000140B4"/>
    <w:rsid w:val="0001660B"/>
    <w:rsid w:val="0001740A"/>
    <w:rsid w:val="00030743"/>
    <w:rsid w:val="00036567"/>
    <w:rsid w:val="00043682"/>
    <w:rsid w:val="000454EF"/>
    <w:rsid w:val="00046975"/>
    <w:rsid w:val="0005089B"/>
    <w:rsid w:val="000542E8"/>
    <w:rsid w:val="000644A1"/>
    <w:rsid w:val="00065ABA"/>
    <w:rsid w:val="00066C86"/>
    <w:rsid w:val="00072B99"/>
    <w:rsid w:val="000730FF"/>
    <w:rsid w:val="00077398"/>
    <w:rsid w:val="00080963"/>
    <w:rsid w:val="00080E55"/>
    <w:rsid w:val="00083726"/>
    <w:rsid w:val="000838DB"/>
    <w:rsid w:val="0008459F"/>
    <w:rsid w:val="00084691"/>
    <w:rsid w:val="000857D1"/>
    <w:rsid w:val="000864B9"/>
    <w:rsid w:val="00092DD6"/>
    <w:rsid w:val="00094DD5"/>
    <w:rsid w:val="000A208F"/>
    <w:rsid w:val="000B0806"/>
    <w:rsid w:val="000B0D4D"/>
    <w:rsid w:val="000B0DCD"/>
    <w:rsid w:val="000B3E8E"/>
    <w:rsid w:val="000B3EFE"/>
    <w:rsid w:val="000B7A5B"/>
    <w:rsid w:val="000D15C2"/>
    <w:rsid w:val="000D66A3"/>
    <w:rsid w:val="000E178C"/>
    <w:rsid w:val="000E3A81"/>
    <w:rsid w:val="000E48D3"/>
    <w:rsid w:val="000E5992"/>
    <w:rsid w:val="000E5EF0"/>
    <w:rsid w:val="000E7918"/>
    <w:rsid w:val="000E7C26"/>
    <w:rsid w:val="000F5658"/>
    <w:rsid w:val="0010034F"/>
    <w:rsid w:val="00101D1B"/>
    <w:rsid w:val="00105682"/>
    <w:rsid w:val="00106080"/>
    <w:rsid w:val="0010684B"/>
    <w:rsid w:val="001076E5"/>
    <w:rsid w:val="00107FD7"/>
    <w:rsid w:val="001108EB"/>
    <w:rsid w:val="00114105"/>
    <w:rsid w:val="001157D7"/>
    <w:rsid w:val="001204A4"/>
    <w:rsid w:val="00120665"/>
    <w:rsid w:val="00121649"/>
    <w:rsid w:val="001248FA"/>
    <w:rsid w:val="00126B2B"/>
    <w:rsid w:val="00132080"/>
    <w:rsid w:val="00141098"/>
    <w:rsid w:val="001450D1"/>
    <w:rsid w:val="0015274A"/>
    <w:rsid w:val="0016063E"/>
    <w:rsid w:val="00160EC9"/>
    <w:rsid w:val="00163AE0"/>
    <w:rsid w:val="00167CAC"/>
    <w:rsid w:val="00167D6D"/>
    <w:rsid w:val="00171C0A"/>
    <w:rsid w:val="0018252D"/>
    <w:rsid w:val="001838D8"/>
    <w:rsid w:val="0018405C"/>
    <w:rsid w:val="00193990"/>
    <w:rsid w:val="00195F14"/>
    <w:rsid w:val="001979A8"/>
    <w:rsid w:val="001A032C"/>
    <w:rsid w:val="001A140F"/>
    <w:rsid w:val="001A1A20"/>
    <w:rsid w:val="001A3074"/>
    <w:rsid w:val="001A3301"/>
    <w:rsid w:val="001A7606"/>
    <w:rsid w:val="001A7AA3"/>
    <w:rsid w:val="001B18D5"/>
    <w:rsid w:val="001C0ABD"/>
    <w:rsid w:val="001C4315"/>
    <w:rsid w:val="001C744A"/>
    <w:rsid w:val="001C768D"/>
    <w:rsid w:val="001D257F"/>
    <w:rsid w:val="001D3B0F"/>
    <w:rsid w:val="001D3E49"/>
    <w:rsid w:val="001D4CC2"/>
    <w:rsid w:val="001D55E9"/>
    <w:rsid w:val="001D5D0A"/>
    <w:rsid w:val="001D6F51"/>
    <w:rsid w:val="001D7422"/>
    <w:rsid w:val="001E1F14"/>
    <w:rsid w:val="001E4D5E"/>
    <w:rsid w:val="001E52F7"/>
    <w:rsid w:val="001E66FE"/>
    <w:rsid w:val="001E705C"/>
    <w:rsid w:val="001F2842"/>
    <w:rsid w:val="001F2EC7"/>
    <w:rsid w:val="001F3D4C"/>
    <w:rsid w:val="001F7BCB"/>
    <w:rsid w:val="001F7E8F"/>
    <w:rsid w:val="00201842"/>
    <w:rsid w:val="002018D6"/>
    <w:rsid w:val="00203F43"/>
    <w:rsid w:val="00204CCC"/>
    <w:rsid w:val="00216848"/>
    <w:rsid w:val="00220653"/>
    <w:rsid w:val="002211EB"/>
    <w:rsid w:val="0022401C"/>
    <w:rsid w:val="00225A58"/>
    <w:rsid w:val="0022792E"/>
    <w:rsid w:val="0023101C"/>
    <w:rsid w:val="002319F8"/>
    <w:rsid w:val="002326C4"/>
    <w:rsid w:val="00232F08"/>
    <w:rsid w:val="00233C69"/>
    <w:rsid w:val="0024071C"/>
    <w:rsid w:val="00240A1A"/>
    <w:rsid w:val="00242F4B"/>
    <w:rsid w:val="00245B58"/>
    <w:rsid w:val="0024766D"/>
    <w:rsid w:val="00251581"/>
    <w:rsid w:val="0025230E"/>
    <w:rsid w:val="00253A79"/>
    <w:rsid w:val="00262873"/>
    <w:rsid w:val="00263903"/>
    <w:rsid w:val="00264604"/>
    <w:rsid w:val="002667E2"/>
    <w:rsid w:val="0026796D"/>
    <w:rsid w:val="00270B8F"/>
    <w:rsid w:val="0027144F"/>
    <w:rsid w:val="0027648A"/>
    <w:rsid w:val="00280E6D"/>
    <w:rsid w:val="002830E7"/>
    <w:rsid w:val="00283DAF"/>
    <w:rsid w:val="002915AB"/>
    <w:rsid w:val="00291EFA"/>
    <w:rsid w:val="00292335"/>
    <w:rsid w:val="00293E31"/>
    <w:rsid w:val="00296472"/>
    <w:rsid w:val="0029770F"/>
    <w:rsid w:val="002A24F6"/>
    <w:rsid w:val="002A33DA"/>
    <w:rsid w:val="002B169F"/>
    <w:rsid w:val="002B176C"/>
    <w:rsid w:val="002B390A"/>
    <w:rsid w:val="002B41B1"/>
    <w:rsid w:val="002B63C4"/>
    <w:rsid w:val="002B76AF"/>
    <w:rsid w:val="002D03CD"/>
    <w:rsid w:val="002D03E2"/>
    <w:rsid w:val="002D0D1E"/>
    <w:rsid w:val="002D3B5E"/>
    <w:rsid w:val="002D41DF"/>
    <w:rsid w:val="002D6260"/>
    <w:rsid w:val="002E05B7"/>
    <w:rsid w:val="002F047A"/>
    <w:rsid w:val="002F5EB5"/>
    <w:rsid w:val="002F6369"/>
    <w:rsid w:val="002F741C"/>
    <w:rsid w:val="003029AD"/>
    <w:rsid w:val="00304120"/>
    <w:rsid w:val="00305BBE"/>
    <w:rsid w:val="00310CBD"/>
    <w:rsid w:val="00315730"/>
    <w:rsid w:val="0032163F"/>
    <w:rsid w:val="003223C9"/>
    <w:rsid w:val="00324D97"/>
    <w:rsid w:val="00324FBE"/>
    <w:rsid w:val="00326140"/>
    <w:rsid w:val="00326DD3"/>
    <w:rsid w:val="00326F08"/>
    <w:rsid w:val="003427C1"/>
    <w:rsid w:val="00345001"/>
    <w:rsid w:val="00351056"/>
    <w:rsid w:val="003536D3"/>
    <w:rsid w:val="00354B1E"/>
    <w:rsid w:val="00354D51"/>
    <w:rsid w:val="0035550F"/>
    <w:rsid w:val="00355BD8"/>
    <w:rsid w:val="00355C96"/>
    <w:rsid w:val="00357262"/>
    <w:rsid w:val="00357994"/>
    <w:rsid w:val="00360C68"/>
    <w:rsid w:val="00371AA1"/>
    <w:rsid w:val="0037239F"/>
    <w:rsid w:val="00372E21"/>
    <w:rsid w:val="0037300F"/>
    <w:rsid w:val="003730E4"/>
    <w:rsid w:val="003733D8"/>
    <w:rsid w:val="003758B4"/>
    <w:rsid w:val="00375DD1"/>
    <w:rsid w:val="003763DB"/>
    <w:rsid w:val="003801F9"/>
    <w:rsid w:val="00384B63"/>
    <w:rsid w:val="003964D4"/>
    <w:rsid w:val="003A3CB1"/>
    <w:rsid w:val="003A41AE"/>
    <w:rsid w:val="003A43CB"/>
    <w:rsid w:val="003A4F68"/>
    <w:rsid w:val="003A5DE5"/>
    <w:rsid w:val="003A7CB9"/>
    <w:rsid w:val="003B04F9"/>
    <w:rsid w:val="003B167D"/>
    <w:rsid w:val="003B1FD7"/>
    <w:rsid w:val="003B2830"/>
    <w:rsid w:val="003B288C"/>
    <w:rsid w:val="003B3101"/>
    <w:rsid w:val="003B3731"/>
    <w:rsid w:val="003B3BD0"/>
    <w:rsid w:val="003B4477"/>
    <w:rsid w:val="003B4C1F"/>
    <w:rsid w:val="003B54A6"/>
    <w:rsid w:val="003B7F9C"/>
    <w:rsid w:val="003C49E9"/>
    <w:rsid w:val="003C6B42"/>
    <w:rsid w:val="003C7380"/>
    <w:rsid w:val="003D03BD"/>
    <w:rsid w:val="003D2F73"/>
    <w:rsid w:val="003D4463"/>
    <w:rsid w:val="003D5585"/>
    <w:rsid w:val="003D7318"/>
    <w:rsid w:val="003D7E33"/>
    <w:rsid w:val="003E2F73"/>
    <w:rsid w:val="003E62F5"/>
    <w:rsid w:val="003F18D1"/>
    <w:rsid w:val="003F3FED"/>
    <w:rsid w:val="003F4039"/>
    <w:rsid w:val="003F4C9E"/>
    <w:rsid w:val="003F6D2F"/>
    <w:rsid w:val="003F703F"/>
    <w:rsid w:val="0040237E"/>
    <w:rsid w:val="004023D2"/>
    <w:rsid w:val="004024D9"/>
    <w:rsid w:val="00410F71"/>
    <w:rsid w:val="00411570"/>
    <w:rsid w:val="00413D29"/>
    <w:rsid w:val="004142B5"/>
    <w:rsid w:val="00414A67"/>
    <w:rsid w:val="00415C50"/>
    <w:rsid w:val="0042107E"/>
    <w:rsid w:val="00421F22"/>
    <w:rsid w:val="00422086"/>
    <w:rsid w:val="00422251"/>
    <w:rsid w:val="00422F29"/>
    <w:rsid w:val="004240BE"/>
    <w:rsid w:val="00425075"/>
    <w:rsid w:val="00427921"/>
    <w:rsid w:val="004279FB"/>
    <w:rsid w:val="00434087"/>
    <w:rsid w:val="004345E1"/>
    <w:rsid w:val="00437203"/>
    <w:rsid w:val="0043788A"/>
    <w:rsid w:val="0044367D"/>
    <w:rsid w:val="00444FAD"/>
    <w:rsid w:val="00446A06"/>
    <w:rsid w:val="00450BE4"/>
    <w:rsid w:val="004552A7"/>
    <w:rsid w:val="00455E6B"/>
    <w:rsid w:val="00462710"/>
    <w:rsid w:val="00466060"/>
    <w:rsid w:val="00467B98"/>
    <w:rsid w:val="00467C09"/>
    <w:rsid w:val="00470E95"/>
    <w:rsid w:val="0047240E"/>
    <w:rsid w:val="00476CC4"/>
    <w:rsid w:val="00477E46"/>
    <w:rsid w:val="00481D11"/>
    <w:rsid w:val="0048340D"/>
    <w:rsid w:val="004843C4"/>
    <w:rsid w:val="0048599A"/>
    <w:rsid w:val="0049053E"/>
    <w:rsid w:val="00491141"/>
    <w:rsid w:val="00492667"/>
    <w:rsid w:val="00494040"/>
    <w:rsid w:val="00495258"/>
    <w:rsid w:val="004959CF"/>
    <w:rsid w:val="004973A2"/>
    <w:rsid w:val="00497ED6"/>
    <w:rsid w:val="004A0928"/>
    <w:rsid w:val="004A09F1"/>
    <w:rsid w:val="004A2C36"/>
    <w:rsid w:val="004A3017"/>
    <w:rsid w:val="004A6984"/>
    <w:rsid w:val="004A7D44"/>
    <w:rsid w:val="004B03B6"/>
    <w:rsid w:val="004B1DF5"/>
    <w:rsid w:val="004B443E"/>
    <w:rsid w:val="004B5E07"/>
    <w:rsid w:val="004B72A6"/>
    <w:rsid w:val="004C0DFB"/>
    <w:rsid w:val="004C0FB0"/>
    <w:rsid w:val="004C2ADB"/>
    <w:rsid w:val="004D083E"/>
    <w:rsid w:val="004D1F77"/>
    <w:rsid w:val="004D2E4A"/>
    <w:rsid w:val="004E177B"/>
    <w:rsid w:val="004E2CEB"/>
    <w:rsid w:val="004E7E1E"/>
    <w:rsid w:val="004F4D4E"/>
    <w:rsid w:val="005008F9"/>
    <w:rsid w:val="00501738"/>
    <w:rsid w:val="0050275C"/>
    <w:rsid w:val="00502CC1"/>
    <w:rsid w:val="00504555"/>
    <w:rsid w:val="0050667F"/>
    <w:rsid w:val="00506846"/>
    <w:rsid w:val="00510DCA"/>
    <w:rsid w:val="00510EEE"/>
    <w:rsid w:val="005119DB"/>
    <w:rsid w:val="00512937"/>
    <w:rsid w:val="00513A78"/>
    <w:rsid w:val="005141E3"/>
    <w:rsid w:val="00515B45"/>
    <w:rsid w:val="0052212E"/>
    <w:rsid w:val="0052348E"/>
    <w:rsid w:val="00525FFB"/>
    <w:rsid w:val="00526EE6"/>
    <w:rsid w:val="00532B7D"/>
    <w:rsid w:val="0053360B"/>
    <w:rsid w:val="005348B7"/>
    <w:rsid w:val="00535069"/>
    <w:rsid w:val="005433B8"/>
    <w:rsid w:val="0054777E"/>
    <w:rsid w:val="00552CB7"/>
    <w:rsid w:val="00554695"/>
    <w:rsid w:val="00554A8F"/>
    <w:rsid w:val="00555132"/>
    <w:rsid w:val="00560180"/>
    <w:rsid w:val="00561FB5"/>
    <w:rsid w:val="0057020E"/>
    <w:rsid w:val="005708F8"/>
    <w:rsid w:val="00571A85"/>
    <w:rsid w:val="00571C4E"/>
    <w:rsid w:val="00572104"/>
    <w:rsid w:val="00573359"/>
    <w:rsid w:val="00584DBF"/>
    <w:rsid w:val="00586CDC"/>
    <w:rsid w:val="005A1AD1"/>
    <w:rsid w:val="005A4A31"/>
    <w:rsid w:val="005A5699"/>
    <w:rsid w:val="005A7041"/>
    <w:rsid w:val="005B471D"/>
    <w:rsid w:val="005B4F02"/>
    <w:rsid w:val="005B7587"/>
    <w:rsid w:val="005C10F9"/>
    <w:rsid w:val="005C3E54"/>
    <w:rsid w:val="005C56F8"/>
    <w:rsid w:val="005D0301"/>
    <w:rsid w:val="005D187C"/>
    <w:rsid w:val="005D216F"/>
    <w:rsid w:val="005E0E9C"/>
    <w:rsid w:val="005E1166"/>
    <w:rsid w:val="005E1607"/>
    <w:rsid w:val="005E1CED"/>
    <w:rsid w:val="005E58F7"/>
    <w:rsid w:val="005F01B4"/>
    <w:rsid w:val="005F14B6"/>
    <w:rsid w:val="005F1698"/>
    <w:rsid w:val="005F2E94"/>
    <w:rsid w:val="005F314C"/>
    <w:rsid w:val="005F6290"/>
    <w:rsid w:val="005F7A85"/>
    <w:rsid w:val="005F7D51"/>
    <w:rsid w:val="006035CA"/>
    <w:rsid w:val="006039A3"/>
    <w:rsid w:val="006054AB"/>
    <w:rsid w:val="00605E74"/>
    <w:rsid w:val="00607E83"/>
    <w:rsid w:val="006101AD"/>
    <w:rsid w:val="00612C3A"/>
    <w:rsid w:val="00616B6A"/>
    <w:rsid w:val="00617147"/>
    <w:rsid w:val="00620261"/>
    <w:rsid w:val="006240F9"/>
    <w:rsid w:val="0063019F"/>
    <w:rsid w:val="00631EB0"/>
    <w:rsid w:val="00635DAA"/>
    <w:rsid w:val="006369F5"/>
    <w:rsid w:val="00646AE0"/>
    <w:rsid w:val="00650E35"/>
    <w:rsid w:val="006521EE"/>
    <w:rsid w:val="00654F19"/>
    <w:rsid w:val="006561B5"/>
    <w:rsid w:val="0065713C"/>
    <w:rsid w:val="00660B17"/>
    <w:rsid w:val="00662D53"/>
    <w:rsid w:val="00673664"/>
    <w:rsid w:val="00681C55"/>
    <w:rsid w:val="00681D7F"/>
    <w:rsid w:val="00683BFE"/>
    <w:rsid w:val="0068493B"/>
    <w:rsid w:val="00684C73"/>
    <w:rsid w:val="006864DE"/>
    <w:rsid w:val="00693266"/>
    <w:rsid w:val="00695348"/>
    <w:rsid w:val="006968CB"/>
    <w:rsid w:val="006B03E3"/>
    <w:rsid w:val="006B27BE"/>
    <w:rsid w:val="006B27E9"/>
    <w:rsid w:val="006B5300"/>
    <w:rsid w:val="006B654A"/>
    <w:rsid w:val="006C0323"/>
    <w:rsid w:val="006C04A2"/>
    <w:rsid w:val="006C4DC1"/>
    <w:rsid w:val="006C582A"/>
    <w:rsid w:val="006C62B7"/>
    <w:rsid w:val="006C6751"/>
    <w:rsid w:val="006D18E2"/>
    <w:rsid w:val="006D2B57"/>
    <w:rsid w:val="006D588D"/>
    <w:rsid w:val="006D5C0A"/>
    <w:rsid w:val="006E66A3"/>
    <w:rsid w:val="006E6CCB"/>
    <w:rsid w:val="006E726B"/>
    <w:rsid w:val="006E754F"/>
    <w:rsid w:val="006F01EE"/>
    <w:rsid w:val="006F6A32"/>
    <w:rsid w:val="00700199"/>
    <w:rsid w:val="00703D03"/>
    <w:rsid w:val="00704C20"/>
    <w:rsid w:val="00707295"/>
    <w:rsid w:val="00710BBA"/>
    <w:rsid w:val="00713727"/>
    <w:rsid w:val="00714B9C"/>
    <w:rsid w:val="007156D2"/>
    <w:rsid w:val="007165D7"/>
    <w:rsid w:val="00721917"/>
    <w:rsid w:val="00723A97"/>
    <w:rsid w:val="007245A5"/>
    <w:rsid w:val="007247B4"/>
    <w:rsid w:val="00726713"/>
    <w:rsid w:val="007303C8"/>
    <w:rsid w:val="00733E70"/>
    <w:rsid w:val="00734747"/>
    <w:rsid w:val="00736C6A"/>
    <w:rsid w:val="00736F89"/>
    <w:rsid w:val="00737699"/>
    <w:rsid w:val="00745E86"/>
    <w:rsid w:val="00751639"/>
    <w:rsid w:val="00752738"/>
    <w:rsid w:val="00756964"/>
    <w:rsid w:val="00764F15"/>
    <w:rsid w:val="00767CA9"/>
    <w:rsid w:val="00771529"/>
    <w:rsid w:val="00771C6C"/>
    <w:rsid w:val="007737A4"/>
    <w:rsid w:val="00773DFD"/>
    <w:rsid w:val="00774F65"/>
    <w:rsid w:val="00781BCF"/>
    <w:rsid w:val="007847BE"/>
    <w:rsid w:val="0079037C"/>
    <w:rsid w:val="007905FC"/>
    <w:rsid w:val="00791789"/>
    <w:rsid w:val="00794867"/>
    <w:rsid w:val="007962D8"/>
    <w:rsid w:val="007A46C0"/>
    <w:rsid w:val="007A61CA"/>
    <w:rsid w:val="007A7B64"/>
    <w:rsid w:val="007B1AED"/>
    <w:rsid w:val="007B1B92"/>
    <w:rsid w:val="007B47BA"/>
    <w:rsid w:val="007C7819"/>
    <w:rsid w:val="007D1480"/>
    <w:rsid w:val="007D4120"/>
    <w:rsid w:val="007D5675"/>
    <w:rsid w:val="007D5DCE"/>
    <w:rsid w:val="007E3225"/>
    <w:rsid w:val="007E472F"/>
    <w:rsid w:val="007E5A24"/>
    <w:rsid w:val="007E6B8B"/>
    <w:rsid w:val="007F04FB"/>
    <w:rsid w:val="007F0917"/>
    <w:rsid w:val="007F1A5B"/>
    <w:rsid w:val="007F4C88"/>
    <w:rsid w:val="007F567A"/>
    <w:rsid w:val="007F6CE8"/>
    <w:rsid w:val="008008A6"/>
    <w:rsid w:val="00803E97"/>
    <w:rsid w:val="0080509E"/>
    <w:rsid w:val="00812153"/>
    <w:rsid w:val="008210F4"/>
    <w:rsid w:val="00823950"/>
    <w:rsid w:val="0082538D"/>
    <w:rsid w:val="0082774C"/>
    <w:rsid w:val="0083084D"/>
    <w:rsid w:val="00836897"/>
    <w:rsid w:val="00844D16"/>
    <w:rsid w:val="008474D0"/>
    <w:rsid w:val="00851416"/>
    <w:rsid w:val="0085773B"/>
    <w:rsid w:val="008577A2"/>
    <w:rsid w:val="00861021"/>
    <w:rsid w:val="008619F3"/>
    <w:rsid w:val="00866C88"/>
    <w:rsid w:val="00867148"/>
    <w:rsid w:val="0086746D"/>
    <w:rsid w:val="0087066D"/>
    <w:rsid w:val="0087425A"/>
    <w:rsid w:val="00874712"/>
    <w:rsid w:val="0087578A"/>
    <w:rsid w:val="00882AB1"/>
    <w:rsid w:val="00882C1A"/>
    <w:rsid w:val="0088591D"/>
    <w:rsid w:val="008922C2"/>
    <w:rsid w:val="00897353"/>
    <w:rsid w:val="008A5865"/>
    <w:rsid w:val="008B136D"/>
    <w:rsid w:val="008B164A"/>
    <w:rsid w:val="008B2A2A"/>
    <w:rsid w:val="008C060E"/>
    <w:rsid w:val="008C0B82"/>
    <w:rsid w:val="008C1181"/>
    <w:rsid w:val="008C577B"/>
    <w:rsid w:val="008C76F9"/>
    <w:rsid w:val="008C7777"/>
    <w:rsid w:val="008D2F71"/>
    <w:rsid w:val="008D5D83"/>
    <w:rsid w:val="008E271B"/>
    <w:rsid w:val="008E2FBC"/>
    <w:rsid w:val="008E6BF3"/>
    <w:rsid w:val="008E789E"/>
    <w:rsid w:val="008E78A0"/>
    <w:rsid w:val="008F0FC6"/>
    <w:rsid w:val="008F200E"/>
    <w:rsid w:val="008F5975"/>
    <w:rsid w:val="008F6B55"/>
    <w:rsid w:val="008F7DAA"/>
    <w:rsid w:val="009008A7"/>
    <w:rsid w:val="0090114B"/>
    <w:rsid w:val="00905195"/>
    <w:rsid w:val="009107A6"/>
    <w:rsid w:val="00910D6F"/>
    <w:rsid w:val="00912490"/>
    <w:rsid w:val="00912A27"/>
    <w:rsid w:val="00913619"/>
    <w:rsid w:val="009160A5"/>
    <w:rsid w:val="00917856"/>
    <w:rsid w:val="009216FD"/>
    <w:rsid w:val="00923C0D"/>
    <w:rsid w:val="0092427E"/>
    <w:rsid w:val="00925182"/>
    <w:rsid w:val="009324FC"/>
    <w:rsid w:val="009334F6"/>
    <w:rsid w:val="00941A9A"/>
    <w:rsid w:val="009420BF"/>
    <w:rsid w:val="009443BC"/>
    <w:rsid w:val="009446CD"/>
    <w:rsid w:val="0095009B"/>
    <w:rsid w:val="00951F26"/>
    <w:rsid w:val="00953049"/>
    <w:rsid w:val="00953245"/>
    <w:rsid w:val="00954CC0"/>
    <w:rsid w:val="00956642"/>
    <w:rsid w:val="00960388"/>
    <w:rsid w:val="00960611"/>
    <w:rsid w:val="00960673"/>
    <w:rsid w:val="0096699A"/>
    <w:rsid w:val="00967D43"/>
    <w:rsid w:val="00971591"/>
    <w:rsid w:val="009716DF"/>
    <w:rsid w:val="00972C4A"/>
    <w:rsid w:val="00976131"/>
    <w:rsid w:val="009849FC"/>
    <w:rsid w:val="00984DBE"/>
    <w:rsid w:val="009855AC"/>
    <w:rsid w:val="00986D6F"/>
    <w:rsid w:val="00990D30"/>
    <w:rsid w:val="0099640E"/>
    <w:rsid w:val="009A27C8"/>
    <w:rsid w:val="009B10B1"/>
    <w:rsid w:val="009B1FF9"/>
    <w:rsid w:val="009B3564"/>
    <w:rsid w:val="009B4448"/>
    <w:rsid w:val="009B4CA6"/>
    <w:rsid w:val="009B5ECE"/>
    <w:rsid w:val="009B6C84"/>
    <w:rsid w:val="009B71AE"/>
    <w:rsid w:val="009B7234"/>
    <w:rsid w:val="009C3644"/>
    <w:rsid w:val="009D20C9"/>
    <w:rsid w:val="009D531C"/>
    <w:rsid w:val="009D6E92"/>
    <w:rsid w:val="009E3A01"/>
    <w:rsid w:val="009E47EE"/>
    <w:rsid w:val="009E614A"/>
    <w:rsid w:val="009E65FF"/>
    <w:rsid w:val="009E7BF4"/>
    <w:rsid w:val="009F3E14"/>
    <w:rsid w:val="009F6A33"/>
    <w:rsid w:val="009F6CDE"/>
    <w:rsid w:val="009F6F5F"/>
    <w:rsid w:val="00A01BBE"/>
    <w:rsid w:val="00A062FC"/>
    <w:rsid w:val="00A064E4"/>
    <w:rsid w:val="00A1109B"/>
    <w:rsid w:val="00A13C3B"/>
    <w:rsid w:val="00A13E1E"/>
    <w:rsid w:val="00A15273"/>
    <w:rsid w:val="00A20D47"/>
    <w:rsid w:val="00A25AE9"/>
    <w:rsid w:val="00A273B9"/>
    <w:rsid w:val="00A27E6B"/>
    <w:rsid w:val="00A304C9"/>
    <w:rsid w:val="00A31B63"/>
    <w:rsid w:val="00A31F75"/>
    <w:rsid w:val="00A36B4E"/>
    <w:rsid w:val="00A42F7F"/>
    <w:rsid w:val="00A43B0E"/>
    <w:rsid w:val="00A4467D"/>
    <w:rsid w:val="00A45A81"/>
    <w:rsid w:val="00A46A6D"/>
    <w:rsid w:val="00A53E2E"/>
    <w:rsid w:val="00A55A67"/>
    <w:rsid w:val="00A55E7A"/>
    <w:rsid w:val="00A569F2"/>
    <w:rsid w:val="00A5709C"/>
    <w:rsid w:val="00A609F2"/>
    <w:rsid w:val="00A60E8C"/>
    <w:rsid w:val="00A64704"/>
    <w:rsid w:val="00A6623D"/>
    <w:rsid w:val="00A6781A"/>
    <w:rsid w:val="00A71302"/>
    <w:rsid w:val="00A715D6"/>
    <w:rsid w:val="00A73CCD"/>
    <w:rsid w:val="00A7496E"/>
    <w:rsid w:val="00A82D37"/>
    <w:rsid w:val="00A83D53"/>
    <w:rsid w:val="00A84A49"/>
    <w:rsid w:val="00A85C57"/>
    <w:rsid w:val="00A879CD"/>
    <w:rsid w:val="00A957E0"/>
    <w:rsid w:val="00A95FFD"/>
    <w:rsid w:val="00A97308"/>
    <w:rsid w:val="00AA0E21"/>
    <w:rsid w:val="00AA2493"/>
    <w:rsid w:val="00AA2CC7"/>
    <w:rsid w:val="00AA3B24"/>
    <w:rsid w:val="00AA6126"/>
    <w:rsid w:val="00AA7B75"/>
    <w:rsid w:val="00AA7BA0"/>
    <w:rsid w:val="00AB1EC3"/>
    <w:rsid w:val="00AC15CA"/>
    <w:rsid w:val="00AC23D6"/>
    <w:rsid w:val="00AC5EA5"/>
    <w:rsid w:val="00AD1962"/>
    <w:rsid w:val="00AD1A29"/>
    <w:rsid w:val="00AD206A"/>
    <w:rsid w:val="00AD3B69"/>
    <w:rsid w:val="00AD6C75"/>
    <w:rsid w:val="00AD7784"/>
    <w:rsid w:val="00AD7C5A"/>
    <w:rsid w:val="00AE14D0"/>
    <w:rsid w:val="00AE1D4A"/>
    <w:rsid w:val="00AE3ACF"/>
    <w:rsid w:val="00AE4E16"/>
    <w:rsid w:val="00AE7B0E"/>
    <w:rsid w:val="00AF3AE4"/>
    <w:rsid w:val="00AF4599"/>
    <w:rsid w:val="00AF5839"/>
    <w:rsid w:val="00AF5D0F"/>
    <w:rsid w:val="00AF6E15"/>
    <w:rsid w:val="00B00BC8"/>
    <w:rsid w:val="00B03EF6"/>
    <w:rsid w:val="00B042BA"/>
    <w:rsid w:val="00B11741"/>
    <w:rsid w:val="00B12F20"/>
    <w:rsid w:val="00B13485"/>
    <w:rsid w:val="00B136E1"/>
    <w:rsid w:val="00B13D9B"/>
    <w:rsid w:val="00B218A8"/>
    <w:rsid w:val="00B23F1E"/>
    <w:rsid w:val="00B31C84"/>
    <w:rsid w:val="00B34689"/>
    <w:rsid w:val="00B408E2"/>
    <w:rsid w:val="00B42142"/>
    <w:rsid w:val="00B42D9F"/>
    <w:rsid w:val="00B45619"/>
    <w:rsid w:val="00B46607"/>
    <w:rsid w:val="00B5369E"/>
    <w:rsid w:val="00B54F63"/>
    <w:rsid w:val="00B553C8"/>
    <w:rsid w:val="00B5717F"/>
    <w:rsid w:val="00B57BBC"/>
    <w:rsid w:val="00B60AC3"/>
    <w:rsid w:val="00B61369"/>
    <w:rsid w:val="00B61FBE"/>
    <w:rsid w:val="00B675FD"/>
    <w:rsid w:val="00B702B7"/>
    <w:rsid w:val="00B72207"/>
    <w:rsid w:val="00B74FB5"/>
    <w:rsid w:val="00B76752"/>
    <w:rsid w:val="00B778D4"/>
    <w:rsid w:val="00B77C65"/>
    <w:rsid w:val="00B80C63"/>
    <w:rsid w:val="00B81644"/>
    <w:rsid w:val="00B82BC0"/>
    <w:rsid w:val="00B919E8"/>
    <w:rsid w:val="00B93389"/>
    <w:rsid w:val="00B95DBF"/>
    <w:rsid w:val="00BA1075"/>
    <w:rsid w:val="00BA159E"/>
    <w:rsid w:val="00BA477C"/>
    <w:rsid w:val="00BB181A"/>
    <w:rsid w:val="00BB1E08"/>
    <w:rsid w:val="00BC00C7"/>
    <w:rsid w:val="00BC04E1"/>
    <w:rsid w:val="00BC2036"/>
    <w:rsid w:val="00BC247D"/>
    <w:rsid w:val="00BC3A3E"/>
    <w:rsid w:val="00BC4FB6"/>
    <w:rsid w:val="00BC50CD"/>
    <w:rsid w:val="00BC5EDB"/>
    <w:rsid w:val="00BC5F9D"/>
    <w:rsid w:val="00BD0B73"/>
    <w:rsid w:val="00BD2162"/>
    <w:rsid w:val="00BD58AA"/>
    <w:rsid w:val="00BE051E"/>
    <w:rsid w:val="00BE085C"/>
    <w:rsid w:val="00BE0FF8"/>
    <w:rsid w:val="00BE1911"/>
    <w:rsid w:val="00BE22A3"/>
    <w:rsid w:val="00BE7A5A"/>
    <w:rsid w:val="00BF1A00"/>
    <w:rsid w:val="00BF24C6"/>
    <w:rsid w:val="00BF3CE0"/>
    <w:rsid w:val="00BF6CD5"/>
    <w:rsid w:val="00BF73D3"/>
    <w:rsid w:val="00C023E5"/>
    <w:rsid w:val="00C1118F"/>
    <w:rsid w:val="00C201E9"/>
    <w:rsid w:val="00C21EA6"/>
    <w:rsid w:val="00C236FF"/>
    <w:rsid w:val="00C26BF2"/>
    <w:rsid w:val="00C300E7"/>
    <w:rsid w:val="00C30F84"/>
    <w:rsid w:val="00C31741"/>
    <w:rsid w:val="00C31F3C"/>
    <w:rsid w:val="00C407C1"/>
    <w:rsid w:val="00C449FB"/>
    <w:rsid w:val="00C45415"/>
    <w:rsid w:val="00C45B24"/>
    <w:rsid w:val="00C508BC"/>
    <w:rsid w:val="00C51D6A"/>
    <w:rsid w:val="00C53623"/>
    <w:rsid w:val="00C53DC2"/>
    <w:rsid w:val="00C54144"/>
    <w:rsid w:val="00C7048F"/>
    <w:rsid w:val="00C73770"/>
    <w:rsid w:val="00C77739"/>
    <w:rsid w:val="00C77C5C"/>
    <w:rsid w:val="00C82029"/>
    <w:rsid w:val="00C84F39"/>
    <w:rsid w:val="00C86881"/>
    <w:rsid w:val="00C90513"/>
    <w:rsid w:val="00C90A72"/>
    <w:rsid w:val="00C90FEC"/>
    <w:rsid w:val="00C91AEC"/>
    <w:rsid w:val="00C91E25"/>
    <w:rsid w:val="00C9244F"/>
    <w:rsid w:val="00C95A48"/>
    <w:rsid w:val="00C96A57"/>
    <w:rsid w:val="00CA19C5"/>
    <w:rsid w:val="00CA4CD7"/>
    <w:rsid w:val="00CB37EF"/>
    <w:rsid w:val="00CB751C"/>
    <w:rsid w:val="00CC363D"/>
    <w:rsid w:val="00CD0912"/>
    <w:rsid w:val="00CD2052"/>
    <w:rsid w:val="00CD2CDD"/>
    <w:rsid w:val="00CD5902"/>
    <w:rsid w:val="00CD7EA9"/>
    <w:rsid w:val="00CD7F21"/>
    <w:rsid w:val="00CE4D87"/>
    <w:rsid w:val="00CF0501"/>
    <w:rsid w:val="00CF2567"/>
    <w:rsid w:val="00CF31C8"/>
    <w:rsid w:val="00CF6305"/>
    <w:rsid w:val="00CF6ECE"/>
    <w:rsid w:val="00D00CAC"/>
    <w:rsid w:val="00D07899"/>
    <w:rsid w:val="00D12023"/>
    <w:rsid w:val="00D13C33"/>
    <w:rsid w:val="00D13D17"/>
    <w:rsid w:val="00D14F32"/>
    <w:rsid w:val="00D15AEE"/>
    <w:rsid w:val="00D15C80"/>
    <w:rsid w:val="00D16A54"/>
    <w:rsid w:val="00D24EE9"/>
    <w:rsid w:val="00D40D9B"/>
    <w:rsid w:val="00D44457"/>
    <w:rsid w:val="00D45586"/>
    <w:rsid w:val="00D46C22"/>
    <w:rsid w:val="00D4715A"/>
    <w:rsid w:val="00D51507"/>
    <w:rsid w:val="00D53446"/>
    <w:rsid w:val="00D60427"/>
    <w:rsid w:val="00D636D5"/>
    <w:rsid w:val="00D67828"/>
    <w:rsid w:val="00D7129F"/>
    <w:rsid w:val="00D72010"/>
    <w:rsid w:val="00D74BE9"/>
    <w:rsid w:val="00D8091A"/>
    <w:rsid w:val="00D8124C"/>
    <w:rsid w:val="00D9092B"/>
    <w:rsid w:val="00D92186"/>
    <w:rsid w:val="00D95D0B"/>
    <w:rsid w:val="00D978CB"/>
    <w:rsid w:val="00D97B6D"/>
    <w:rsid w:val="00D97EEF"/>
    <w:rsid w:val="00DA0127"/>
    <w:rsid w:val="00DA129A"/>
    <w:rsid w:val="00DB3645"/>
    <w:rsid w:val="00DB4865"/>
    <w:rsid w:val="00DB6D7A"/>
    <w:rsid w:val="00DC0C14"/>
    <w:rsid w:val="00DC0FBE"/>
    <w:rsid w:val="00DD12F7"/>
    <w:rsid w:val="00DD5482"/>
    <w:rsid w:val="00DE0A42"/>
    <w:rsid w:val="00DE2BAD"/>
    <w:rsid w:val="00DE2CDA"/>
    <w:rsid w:val="00DF1264"/>
    <w:rsid w:val="00DF16F4"/>
    <w:rsid w:val="00DF33B1"/>
    <w:rsid w:val="00DF44C6"/>
    <w:rsid w:val="00DF45FB"/>
    <w:rsid w:val="00DF50D7"/>
    <w:rsid w:val="00DF7BCB"/>
    <w:rsid w:val="00E03287"/>
    <w:rsid w:val="00E044AD"/>
    <w:rsid w:val="00E12122"/>
    <w:rsid w:val="00E125EE"/>
    <w:rsid w:val="00E12CDF"/>
    <w:rsid w:val="00E20DC3"/>
    <w:rsid w:val="00E20E1A"/>
    <w:rsid w:val="00E24EB5"/>
    <w:rsid w:val="00E36C12"/>
    <w:rsid w:val="00E36C40"/>
    <w:rsid w:val="00E37EC4"/>
    <w:rsid w:val="00E40830"/>
    <w:rsid w:val="00E4469E"/>
    <w:rsid w:val="00E530C7"/>
    <w:rsid w:val="00E5525A"/>
    <w:rsid w:val="00E56F91"/>
    <w:rsid w:val="00E60A95"/>
    <w:rsid w:val="00E615CA"/>
    <w:rsid w:val="00E62230"/>
    <w:rsid w:val="00E66006"/>
    <w:rsid w:val="00E660E6"/>
    <w:rsid w:val="00E6699E"/>
    <w:rsid w:val="00E705F1"/>
    <w:rsid w:val="00E72698"/>
    <w:rsid w:val="00E7324A"/>
    <w:rsid w:val="00E74BF7"/>
    <w:rsid w:val="00E74C07"/>
    <w:rsid w:val="00E778AA"/>
    <w:rsid w:val="00E87908"/>
    <w:rsid w:val="00E915C8"/>
    <w:rsid w:val="00E91616"/>
    <w:rsid w:val="00E957F4"/>
    <w:rsid w:val="00E95863"/>
    <w:rsid w:val="00E979C9"/>
    <w:rsid w:val="00EA0370"/>
    <w:rsid w:val="00EA1825"/>
    <w:rsid w:val="00EA6257"/>
    <w:rsid w:val="00EA69B0"/>
    <w:rsid w:val="00EA6C18"/>
    <w:rsid w:val="00EB0FF4"/>
    <w:rsid w:val="00EB22FB"/>
    <w:rsid w:val="00EC0724"/>
    <w:rsid w:val="00EC5E91"/>
    <w:rsid w:val="00EC71F2"/>
    <w:rsid w:val="00ED5212"/>
    <w:rsid w:val="00EE0028"/>
    <w:rsid w:val="00EE1B57"/>
    <w:rsid w:val="00EE226C"/>
    <w:rsid w:val="00EE3EEA"/>
    <w:rsid w:val="00EE529F"/>
    <w:rsid w:val="00EE64B7"/>
    <w:rsid w:val="00EF4B63"/>
    <w:rsid w:val="00F00D09"/>
    <w:rsid w:val="00F0408F"/>
    <w:rsid w:val="00F07A9B"/>
    <w:rsid w:val="00F10C4D"/>
    <w:rsid w:val="00F144FA"/>
    <w:rsid w:val="00F1751F"/>
    <w:rsid w:val="00F235C0"/>
    <w:rsid w:val="00F24002"/>
    <w:rsid w:val="00F24DBB"/>
    <w:rsid w:val="00F31760"/>
    <w:rsid w:val="00F352FC"/>
    <w:rsid w:val="00F367DF"/>
    <w:rsid w:val="00F36D5F"/>
    <w:rsid w:val="00F4154B"/>
    <w:rsid w:val="00F4173F"/>
    <w:rsid w:val="00F43198"/>
    <w:rsid w:val="00F437F1"/>
    <w:rsid w:val="00F44232"/>
    <w:rsid w:val="00F45D5F"/>
    <w:rsid w:val="00F51632"/>
    <w:rsid w:val="00F51855"/>
    <w:rsid w:val="00F53E76"/>
    <w:rsid w:val="00F54D8A"/>
    <w:rsid w:val="00F55CD8"/>
    <w:rsid w:val="00F5791F"/>
    <w:rsid w:val="00F62BB8"/>
    <w:rsid w:val="00F63DC5"/>
    <w:rsid w:val="00F645A7"/>
    <w:rsid w:val="00F65FC9"/>
    <w:rsid w:val="00F66CC8"/>
    <w:rsid w:val="00F6727D"/>
    <w:rsid w:val="00F67909"/>
    <w:rsid w:val="00F705A3"/>
    <w:rsid w:val="00F76442"/>
    <w:rsid w:val="00F76DFF"/>
    <w:rsid w:val="00F77BD0"/>
    <w:rsid w:val="00F825F3"/>
    <w:rsid w:val="00F82E4E"/>
    <w:rsid w:val="00F85EC9"/>
    <w:rsid w:val="00F86310"/>
    <w:rsid w:val="00F86EBC"/>
    <w:rsid w:val="00F87237"/>
    <w:rsid w:val="00F9051C"/>
    <w:rsid w:val="00F9070A"/>
    <w:rsid w:val="00F946FB"/>
    <w:rsid w:val="00F9722D"/>
    <w:rsid w:val="00FA137E"/>
    <w:rsid w:val="00FA24EC"/>
    <w:rsid w:val="00FA2AA7"/>
    <w:rsid w:val="00FA6E14"/>
    <w:rsid w:val="00FB4EDE"/>
    <w:rsid w:val="00FB5145"/>
    <w:rsid w:val="00FB60F9"/>
    <w:rsid w:val="00FC150E"/>
    <w:rsid w:val="00FC532E"/>
    <w:rsid w:val="00FC5E9E"/>
    <w:rsid w:val="00FC66FC"/>
    <w:rsid w:val="00FC745F"/>
    <w:rsid w:val="00FD07DF"/>
    <w:rsid w:val="00FD4D48"/>
    <w:rsid w:val="00FD6C01"/>
    <w:rsid w:val="00FE0F52"/>
    <w:rsid w:val="00FE3CF1"/>
    <w:rsid w:val="00FE5BA4"/>
    <w:rsid w:val="00FE5D0F"/>
    <w:rsid w:val="00FE69D1"/>
    <w:rsid w:val="00FE6A64"/>
    <w:rsid w:val="00FE774F"/>
    <w:rsid w:val="19436D80"/>
    <w:rsid w:val="6FD870E6"/>
    <w:rsid w:val="78D72F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uiPriority w:val="99"/>
    <w:unhideWhenUsed/>
    <w:rsid w:val="00003532"/>
    <w:rPr>
      <w:sz w:val="20"/>
      <w:szCs w:val="20"/>
    </w:rPr>
  </w:style>
  <w:style w:type="character" w:customStyle="1" w:styleId="TextocomentarioCar">
    <w:name w:val="Texto comentario Car"/>
    <w:basedOn w:val="Fuentedeprrafopredeter"/>
    <w:link w:val="Textocomentario"/>
    <w:uiPriority w:val="99"/>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electable-text">
    <w:name w:val="selectable-text"/>
    <w:basedOn w:val="Fuentedeprrafopredeter"/>
    <w:rsid w:val="009D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744">
      <w:bodyDiv w:val="1"/>
      <w:marLeft w:val="0"/>
      <w:marRight w:val="0"/>
      <w:marTop w:val="0"/>
      <w:marBottom w:val="0"/>
      <w:divBdr>
        <w:top w:val="none" w:sz="0" w:space="0" w:color="auto"/>
        <w:left w:val="none" w:sz="0" w:space="0" w:color="auto"/>
        <w:bottom w:val="none" w:sz="0" w:space="0" w:color="auto"/>
        <w:right w:val="none" w:sz="0" w:space="0" w:color="auto"/>
      </w:divBdr>
    </w:div>
    <w:div w:id="54359198">
      <w:bodyDiv w:val="1"/>
      <w:marLeft w:val="0"/>
      <w:marRight w:val="0"/>
      <w:marTop w:val="0"/>
      <w:marBottom w:val="0"/>
      <w:divBdr>
        <w:top w:val="none" w:sz="0" w:space="0" w:color="auto"/>
        <w:left w:val="none" w:sz="0" w:space="0" w:color="auto"/>
        <w:bottom w:val="none" w:sz="0" w:space="0" w:color="auto"/>
        <w:right w:val="none" w:sz="0" w:space="0" w:color="auto"/>
      </w:divBdr>
      <w:divsChild>
        <w:div w:id="1472484371">
          <w:marLeft w:val="0"/>
          <w:marRight w:val="0"/>
          <w:marTop w:val="0"/>
          <w:marBottom w:val="0"/>
          <w:divBdr>
            <w:top w:val="none" w:sz="0" w:space="0" w:color="auto"/>
            <w:left w:val="none" w:sz="0" w:space="0" w:color="auto"/>
            <w:bottom w:val="none" w:sz="0" w:space="0" w:color="auto"/>
            <w:right w:val="none" w:sz="0" w:space="0" w:color="auto"/>
          </w:divBdr>
          <w:divsChild>
            <w:div w:id="165287743">
              <w:marLeft w:val="0"/>
              <w:marRight w:val="0"/>
              <w:marTop w:val="0"/>
              <w:marBottom w:val="0"/>
              <w:divBdr>
                <w:top w:val="none" w:sz="0" w:space="0" w:color="auto"/>
                <w:left w:val="none" w:sz="0" w:space="0" w:color="auto"/>
                <w:bottom w:val="none" w:sz="0" w:space="0" w:color="auto"/>
                <w:right w:val="none" w:sz="0" w:space="0" w:color="auto"/>
              </w:divBdr>
            </w:div>
            <w:div w:id="1406762762">
              <w:marLeft w:val="0"/>
              <w:marRight w:val="0"/>
              <w:marTop w:val="0"/>
              <w:marBottom w:val="0"/>
              <w:divBdr>
                <w:top w:val="none" w:sz="0" w:space="0" w:color="auto"/>
                <w:left w:val="none" w:sz="0" w:space="0" w:color="auto"/>
                <w:bottom w:val="none" w:sz="0" w:space="0" w:color="auto"/>
                <w:right w:val="none" w:sz="0" w:space="0" w:color="auto"/>
              </w:divBdr>
            </w:div>
            <w:div w:id="1614285702">
              <w:marLeft w:val="0"/>
              <w:marRight w:val="0"/>
              <w:marTop w:val="0"/>
              <w:marBottom w:val="0"/>
              <w:divBdr>
                <w:top w:val="none" w:sz="0" w:space="0" w:color="auto"/>
                <w:left w:val="none" w:sz="0" w:space="0" w:color="auto"/>
                <w:bottom w:val="none" w:sz="0" w:space="0" w:color="auto"/>
                <w:right w:val="none" w:sz="0" w:space="0" w:color="auto"/>
              </w:divBdr>
            </w:div>
            <w:div w:id="609243891">
              <w:marLeft w:val="0"/>
              <w:marRight w:val="0"/>
              <w:marTop w:val="0"/>
              <w:marBottom w:val="0"/>
              <w:divBdr>
                <w:top w:val="none" w:sz="0" w:space="0" w:color="auto"/>
                <w:left w:val="none" w:sz="0" w:space="0" w:color="auto"/>
                <w:bottom w:val="none" w:sz="0" w:space="0" w:color="auto"/>
                <w:right w:val="none" w:sz="0" w:space="0" w:color="auto"/>
              </w:divBdr>
            </w:div>
          </w:divsChild>
        </w:div>
        <w:div w:id="194269772">
          <w:marLeft w:val="0"/>
          <w:marRight w:val="0"/>
          <w:marTop w:val="0"/>
          <w:marBottom w:val="0"/>
          <w:divBdr>
            <w:top w:val="none" w:sz="0" w:space="0" w:color="auto"/>
            <w:left w:val="none" w:sz="0" w:space="0" w:color="auto"/>
            <w:bottom w:val="none" w:sz="0" w:space="0" w:color="auto"/>
            <w:right w:val="none" w:sz="0" w:space="0" w:color="auto"/>
          </w:divBdr>
        </w:div>
        <w:div w:id="1454440792">
          <w:marLeft w:val="0"/>
          <w:marRight w:val="0"/>
          <w:marTop w:val="0"/>
          <w:marBottom w:val="0"/>
          <w:divBdr>
            <w:top w:val="none" w:sz="0" w:space="0" w:color="auto"/>
            <w:left w:val="none" w:sz="0" w:space="0" w:color="auto"/>
            <w:bottom w:val="none" w:sz="0" w:space="0" w:color="auto"/>
            <w:right w:val="none" w:sz="0" w:space="0" w:color="auto"/>
          </w:divBdr>
        </w:div>
        <w:div w:id="467631428">
          <w:marLeft w:val="0"/>
          <w:marRight w:val="0"/>
          <w:marTop w:val="0"/>
          <w:marBottom w:val="0"/>
          <w:divBdr>
            <w:top w:val="none" w:sz="0" w:space="0" w:color="auto"/>
            <w:left w:val="none" w:sz="0" w:space="0" w:color="auto"/>
            <w:bottom w:val="none" w:sz="0" w:space="0" w:color="auto"/>
            <w:right w:val="none" w:sz="0" w:space="0" w:color="auto"/>
          </w:divBdr>
        </w:div>
        <w:div w:id="1383410685">
          <w:marLeft w:val="0"/>
          <w:marRight w:val="0"/>
          <w:marTop w:val="0"/>
          <w:marBottom w:val="0"/>
          <w:divBdr>
            <w:top w:val="none" w:sz="0" w:space="0" w:color="auto"/>
            <w:left w:val="none" w:sz="0" w:space="0" w:color="auto"/>
            <w:bottom w:val="none" w:sz="0" w:space="0" w:color="auto"/>
            <w:right w:val="none" w:sz="0" w:space="0" w:color="auto"/>
          </w:divBdr>
        </w:div>
        <w:div w:id="296492048">
          <w:marLeft w:val="0"/>
          <w:marRight w:val="0"/>
          <w:marTop w:val="0"/>
          <w:marBottom w:val="0"/>
          <w:divBdr>
            <w:top w:val="none" w:sz="0" w:space="0" w:color="auto"/>
            <w:left w:val="none" w:sz="0" w:space="0" w:color="auto"/>
            <w:bottom w:val="none" w:sz="0" w:space="0" w:color="auto"/>
            <w:right w:val="none" w:sz="0" w:space="0" w:color="auto"/>
          </w:divBdr>
        </w:div>
        <w:div w:id="117720181">
          <w:marLeft w:val="0"/>
          <w:marRight w:val="0"/>
          <w:marTop w:val="0"/>
          <w:marBottom w:val="0"/>
          <w:divBdr>
            <w:top w:val="none" w:sz="0" w:space="0" w:color="auto"/>
            <w:left w:val="none" w:sz="0" w:space="0" w:color="auto"/>
            <w:bottom w:val="none" w:sz="0" w:space="0" w:color="auto"/>
            <w:right w:val="none" w:sz="0" w:space="0" w:color="auto"/>
          </w:divBdr>
          <w:divsChild>
            <w:div w:id="864563566">
              <w:marLeft w:val="0"/>
              <w:marRight w:val="0"/>
              <w:marTop w:val="0"/>
              <w:marBottom w:val="0"/>
              <w:divBdr>
                <w:top w:val="none" w:sz="0" w:space="0" w:color="auto"/>
                <w:left w:val="none" w:sz="0" w:space="0" w:color="auto"/>
                <w:bottom w:val="none" w:sz="0" w:space="0" w:color="auto"/>
                <w:right w:val="none" w:sz="0" w:space="0" w:color="auto"/>
              </w:divBdr>
            </w:div>
            <w:div w:id="1742869037">
              <w:marLeft w:val="0"/>
              <w:marRight w:val="0"/>
              <w:marTop w:val="0"/>
              <w:marBottom w:val="0"/>
              <w:divBdr>
                <w:top w:val="none" w:sz="0" w:space="0" w:color="auto"/>
                <w:left w:val="none" w:sz="0" w:space="0" w:color="auto"/>
                <w:bottom w:val="none" w:sz="0" w:space="0" w:color="auto"/>
                <w:right w:val="none" w:sz="0" w:space="0" w:color="auto"/>
              </w:divBdr>
            </w:div>
            <w:div w:id="1478302049">
              <w:marLeft w:val="0"/>
              <w:marRight w:val="0"/>
              <w:marTop w:val="0"/>
              <w:marBottom w:val="0"/>
              <w:divBdr>
                <w:top w:val="none" w:sz="0" w:space="0" w:color="auto"/>
                <w:left w:val="none" w:sz="0" w:space="0" w:color="auto"/>
                <w:bottom w:val="none" w:sz="0" w:space="0" w:color="auto"/>
                <w:right w:val="none" w:sz="0" w:space="0" w:color="auto"/>
              </w:divBdr>
            </w:div>
            <w:div w:id="528758393">
              <w:marLeft w:val="0"/>
              <w:marRight w:val="0"/>
              <w:marTop w:val="0"/>
              <w:marBottom w:val="0"/>
              <w:divBdr>
                <w:top w:val="none" w:sz="0" w:space="0" w:color="auto"/>
                <w:left w:val="none" w:sz="0" w:space="0" w:color="auto"/>
                <w:bottom w:val="none" w:sz="0" w:space="0" w:color="auto"/>
                <w:right w:val="none" w:sz="0" w:space="0" w:color="auto"/>
              </w:divBdr>
            </w:div>
            <w:div w:id="1600211113">
              <w:marLeft w:val="0"/>
              <w:marRight w:val="0"/>
              <w:marTop w:val="0"/>
              <w:marBottom w:val="0"/>
              <w:divBdr>
                <w:top w:val="none" w:sz="0" w:space="0" w:color="auto"/>
                <w:left w:val="none" w:sz="0" w:space="0" w:color="auto"/>
                <w:bottom w:val="none" w:sz="0" w:space="0" w:color="auto"/>
                <w:right w:val="none" w:sz="0" w:space="0" w:color="auto"/>
              </w:divBdr>
            </w:div>
          </w:divsChild>
        </w:div>
        <w:div w:id="1273591681">
          <w:marLeft w:val="0"/>
          <w:marRight w:val="0"/>
          <w:marTop w:val="0"/>
          <w:marBottom w:val="0"/>
          <w:divBdr>
            <w:top w:val="none" w:sz="0" w:space="0" w:color="auto"/>
            <w:left w:val="none" w:sz="0" w:space="0" w:color="auto"/>
            <w:bottom w:val="none" w:sz="0" w:space="0" w:color="auto"/>
            <w:right w:val="none" w:sz="0" w:space="0" w:color="auto"/>
          </w:divBdr>
        </w:div>
        <w:div w:id="1295217665">
          <w:marLeft w:val="0"/>
          <w:marRight w:val="0"/>
          <w:marTop w:val="0"/>
          <w:marBottom w:val="0"/>
          <w:divBdr>
            <w:top w:val="none" w:sz="0" w:space="0" w:color="auto"/>
            <w:left w:val="none" w:sz="0" w:space="0" w:color="auto"/>
            <w:bottom w:val="none" w:sz="0" w:space="0" w:color="auto"/>
            <w:right w:val="none" w:sz="0" w:space="0" w:color="auto"/>
          </w:divBdr>
        </w:div>
        <w:div w:id="1703938108">
          <w:marLeft w:val="0"/>
          <w:marRight w:val="0"/>
          <w:marTop w:val="0"/>
          <w:marBottom w:val="0"/>
          <w:divBdr>
            <w:top w:val="none" w:sz="0" w:space="0" w:color="auto"/>
            <w:left w:val="none" w:sz="0" w:space="0" w:color="auto"/>
            <w:bottom w:val="none" w:sz="0" w:space="0" w:color="auto"/>
            <w:right w:val="none" w:sz="0" w:space="0" w:color="auto"/>
          </w:divBdr>
        </w:div>
        <w:div w:id="2069524975">
          <w:marLeft w:val="0"/>
          <w:marRight w:val="0"/>
          <w:marTop w:val="0"/>
          <w:marBottom w:val="0"/>
          <w:divBdr>
            <w:top w:val="none" w:sz="0" w:space="0" w:color="auto"/>
            <w:left w:val="none" w:sz="0" w:space="0" w:color="auto"/>
            <w:bottom w:val="none" w:sz="0" w:space="0" w:color="auto"/>
            <w:right w:val="none" w:sz="0" w:space="0" w:color="auto"/>
          </w:divBdr>
        </w:div>
      </w:divsChild>
    </w:div>
    <w:div w:id="115369487">
      <w:bodyDiv w:val="1"/>
      <w:marLeft w:val="0"/>
      <w:marRight w:val="0"/>
      <w:marTop w:val="0"/>
      <w:marBottom w:val="0"/>
      <w:divBdr>
        <w:top w:val="none" w:sz="0" w:space="0" w:color="auto"/>
        <w:left w:val="none" w:sz="0" w:space="0" w:color="auto"/>
        <w:bottom w:val="none" w:sz="0" w:space="0" w:color="auto"/>
        <w:right w:val="none" w:sz="0" w:space="0" w:color="auto"/>
      </w:divBdr>
    </w:div>
    <w:div w:id="136723163">
      <w:bodyDiv w:val="1"/>
      <w:marLeft w:val="0"/>
      <w:marRight w:val="0"/>
      <w:marTop w:val="0"/>
      <w:marBottom w:val="0"/>
      <w:divBdr>
        <w:top w:val="none" w:sz="0" w:space="0" w:color="auto"/>
        <w:left w:val="none" w:sz="0" w:space="0" w:color="auto"/>
        <w:bottom w:val="none" w:sz="0" w:space="0" w:color="auto"/>
        <w:right w:val="none" w:sz="0" w:space="0" w:color="auto"/>
      </w:divBdr>
    </w:div>
    <w:div w:id="257107867">
      <w:bodyDiv w:val="1"/>
      <w:marLeft w:val="0"/>
      <w:marRight w:val="0"/>
      <w:marTop w:val="0"/>
      <w:marBottom w:val="0"/>
      <w:divBdr>
        <w:top w:val="none" w:sz="0" w:space="0" w:color="auto"/>
        <w:left w:val="none" w:sz="0" w:space="0" w:color="auto"/>
        <w:bottom w:val="none" w:sz="0" w:space="0" w:color="auto"/>
        <w:right w:val="none" w:sz="0" w:space="0" w:color="auto"/>
      </w:divBdr>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687604713">
      <w:bodyDiv w:val="1"/>
      <w:marLeft w:val="0"/>
      <w:marRight w:val="0"/>
      <w:marTop w:val="0"/>
      <w:marBottom w:val="0"/>
      <w:divBdr>
        <w:top w:val="none" w:sz="0" w:space="0" w:color="auto"/>
        <w:left w:val="none" w:sz="0" w:space="0" w:color="auto"/>
        <w:bottom w:val="none" w:sz="0" w:space="0" w:color="auto"/>
        <w:right w:val="none" w:sz="0" w:space="0" w:color="auto"/>
      </w:divBdr>
    </w:div>
    <w:div w:id="853110536">
      <w:bodyDiv w:val="1"/>
      <w:marLeft w:val="0"/>
      <w:marRight w:val="0"/>
      <w:marTop w:val="0"/>
      <w:marBottom w:val="0"/>
      <w:divBdr>
        <w:top w:val="none" w:sz="0" w:space="0" w:color="auto"/>
        <w:left w:val="none" w:sz="0" w:space="0" w:color="auto"/>
        <w:bottom w:val="none" w:sz="0" w:space="0" w:color="auto"/>
        <w:right w:val="none" w:sz="0" w:space="0" w:color="auto"/>
      </w:divBdr>
    </w:div>
    <w:div w:id="944850438">
      <w:bodyDiv w:val="1"/>
      <w:marLeft w:val="0"/>
      <w:marRight w:val="0"/>
      <w:marTop w:val="0"/>
      <w:marBottom w:val="0"/>
      <w:divBdr>
        <w:top w:val="none" w:sz="0" w:space="0" w:color="auto"/>
        <w:left w:val="none" w:sz="0" w:space="0" w:color="auto"/>
        <w:bottom w:val="none" w:sz="0" w:space="0" w:color="auto"/>
        <w:right w:val="none" w:sz="0" w:space="0" w:color="auto"/>
      </w:divBdr>
    </w:div>
    <w:div w:id="984696241">
      <w:bodyDiv w:val="1"/>
      <w:marLeft w:val="0"/>
      <w:marRight w:val="0"/>
      <w:marTop w:val="0"/>
      <w:marBottom w:val="0"/>
      <w:divBdr>
        <w:top w:val="none" w:sz="0" w:space="0" w:color="auto"/>
        <w:left w:val="none" w:sz="0" w:space="0" w:color="auto"/>
        <w:bottom w:val="none" w:sz="0" w:space="0" w:color="auto"/>
        <w:right w:val="none" w:sz="0" w:space="0" w:color="auto"/>
      </w:divBdr>
    </w:div>
    <w:div w:id="1401294515">
      <w:bodyDiv w:val="1"/>
      <w:marLeft w:val="0"/>
      <w:marRight w:val="0"/>
      <w:marTop w:val="0"/>
      <w:marBottom w:val="0"/>
      <w:divBdr>
        <w:top w:val="none" w:sz="0" w:space="0" w:color="auto"/>
        <w:left w:val="none" w:sz="0" w:space="0" w:color="auto"/>
        <w:bottom w:val="none" w:sz="0" w:space="0" w:color="auto"/>
        <w:right w:val="none" w:sz="0" w:space="0" w:color="auto"/>
      </w:divBdr>
    </w:div>
    <w:div w:id="1480225513">
      <w:bodyDiv w:val="1"/>
      <w:marLeft w:val="0"/>
      <w:marRight w:val="0"/>
      <w:marTop w:val="0"/>
      <w:marBottom w:val="0"/>
      <w:divBdr>
        <w:top w:val="none" w:sz="0" w:space="0" w:color="auto"/>
        <w:left w:val="none" w:sz="0" w:space="0" w:color="auto"/>
        <w:bottom w:val="none" w:sz="0" w:space="0" w:color="auto"/>
        <w:right w:val="none" w:sz="0" w:space="0" w:color="auto"/>
      </w:divBdr>
    </w:div>
    <w:div w:id="1596785837">
      <w:bodyDiv w:val="1"/>
      <w:marLeft w:val="0"/>
      <w:marRight w:val="0"/>
      <w:marTop w:val="0"/>
      <w:marBottom w:val="0"/>
      <w:divBdr>
        <w:top w:val="none" w:sz="0" w:space="0" w:color="auto"/>
        <w:left w:val="none" w:sz="0" w:space="0" w:color="auto"/>
        <w:bottom w:val="none" w:sz="0" w:space="0" w:color="auto"/>
        <w:right w:val="none" w:sz="0" w:space="0" w:color="auto"/>
      </w:divBdr>
    </w:div>
    <w:div w:id="1875918887">
      <w:bodyDiv w:val="1"/>
      <w:marLeft w:val="0"/>
      <w:marRight w:val="0"/>
      <w:marTop w:val="0"/>
      <w:marBottom w:val="0"/>
      <w:divBdr>
        <w:top w:val="none" w:sz="0" w:space="0" w:color="auto"/>
        <w:left w:val="none" w:sz="0" w:space="0" w:color="auto"/>
        <w:bottom w:val="none" w:sz="0" w:space="0" w:color="auto"/>
        <w:right w:val="none" w:sz="0" w:space="0" w:color="auto"/>
      </w:divBdr>
    </w:div>
    <w:div w:id="195960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mativa.colpensiones.gov.co/colpens/docs/ley_0100_1993.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mativa.colpensiones.gov.co/colpens/docs/decreto_0758_1990.htm" TargetMode="External"/><Relationship Id="rId5" Type="http://schemas.openxmlformats.org/officeDocument/2006/relationships/numbering" Target="numbering.xml"/><Relationship Id="rId15" Type="http://schemas.openxmlformats.org/officeDocument/2006/relationships/footer" Target="footer1.xml"/><Relationship Id="R1cc06aea1b634db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541D-9E36-4000-8570-61E564C6CF83}">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870C7874-B0A0-4E00-B1E8-02A436E94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7BE54-1170-4B02-AF50-80A29CAE5C50}">
  <ds:schemaRefs>
    <ds:schemaRef ds:uri="http://schemas.microsoft.com/sharepoint/v3/contenttype/forms"/>
  </ds:schemaRefs>
</ds:datastoreItem>
</file>

<file path=customXml/itemProps4.xml><?xml version="1.0" encoding="utf-8"?>
<ds:datastoreItem xmlns:ds="http://schemas.openxmlformats.org/officeDocument/2006/customXml" ds:itemID="{63D8EFCE-5D18-4147-BC57-C5B0BF68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3679</Words>
  <Characters>20239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5</cp:revision>
  <dcterms:created xsi:type="dcterms:W3CDTF">2022-07-21T20:28:00Z</dcterms:created>
  <dcterms:modified xsi:type="dcterms:W3CDTF">2022-09-20T15:37:00Z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57059200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