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9E69" w14:textId="77777777" w:rsidR="00150B63" w:rsidRPr="00150B63" w:rsidRDefault="00150B63" w:rsidP="00E531FA">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89331001"/>
      <w:bookmarkStart w:id="1" w:name="_30j0zll" w:colFirst="0" w:colLast="0"/>
      <w:bookmarkStart w:id="2" w:name="_Hlk93052694"/>
      <w:bookmarkStart w:id="3" w:name="_Hlk97791231"/>
      <w:bookmarkEnd w:id="1"/>
      <w:r w:rsidRPr="00150B6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7AA0306"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p>
    <w:p w14:paraId="3E5ADBE7" w14:textId="77777777" w:rsidR="00150B63" w:rsidRPr="00150B63" w:rsidRDefault="00150B63" w:rsidP="00E531FA">
      <w:pPr>
        <w:spacing w:before="0" w:beforeAutospacing="0" w:after="0" w:afterAutospacing="0" w:line="240" w:lineRule="auto"/>
        <w:ind w:firstLine="0"/>
        <w:rPr>
          <w:rFonts w:ascii="Arial" w:eastAsia="Tahoma" w:hAnsi="Arial" w:cs="Arial"/>
          <w:color w:val="000000"/>
          <w:sz w:val="20"/>
          <w:szCs w:val="20"/>
          <w:lang w:val="es-ES" w:eastAsia="es-CO"/>
        </w:rPr>
      </w:pPr>
      <w:r w:rsidRPr="00150B63">
        <w:rPr>
          <w:rFonts w:ascii="Arial" w:eastAsia="Tahoma" w:hAnsi="Arial" w:cs="Arial"/>
          <w:color w:val="000000"/>
          <w:sz w:val="20"/>
          <w:szCs w:val="20"/>
          <w:lang w:val="es-ES" w:eastAsia="es-CO"/>
        </w:rPr>
        <w:t xml:space="preserve">Radicación No.: </w:t>
      </w:r>
      <w:r w:rsidRPr="00150B63">
        <w:rPr>
          <w:rFonts w:ascii="Arial" w:eastAsia="Tahoma" w:hAnsi="Arial" w:cs="Arial"/>
          <w:color w:val="000000"/>
          <w:sz w:val="20"/>
          <w:szCs w:val="20"/>
          <w:lang w:val="es-ES" w:eastAsia="es-CO"/>
        </w:rPr>
        <w:tab/>
        <w:t>66001-31-05-005-2020-00172-01</w:t>
      </w:r>
    </w:p>
    <w:p w14:paraId="3EB2F73F" w14:textId="2A22467D" w:rsidR="00150B63" w:rsidRPr="00150B63" w:rsidRDefault="00150B63" w:rsidP="00E531FA">
      <w:pPr>
        <w:spacing w:before="0" w:beforeAutospacing="0" w:after="0" w:afterAutospacing="0" w:line="240" w:lineRule="auto"/>
        <w:ind w:firstLine="0"/>
        <w:rPr>
          <w:rFonts w:ascii="Arial" w:eastAsia="Tahoma" w:hAnsi="Arial" w:cs="Arial"/>
          <w:color w:val="000000"/>
          <w:sz w:val="20"/>
          <w:szCs w:val="20"/>
          <w:lang w:val="es-ES" w:eastAsia="es-CO"/>
        </w:rPr>
      </w:pPr>
      <w:r w:rsidRPr="00150B63">
        <w:rPr>
          <w:rFonts w:ascii="Arial" w:eastAsia="Tahoma" w:hAnsi="Arial" w:cs="Arial"/>
          <w:color w:val="000000"/>
          <w:sz w:val="20"/>
          <w:szCs w:val="20"/>
          <w:lang w:val="es-ES" w:eastAsia="es-CO"/>
        </w:rPr>
        <w:t>Proceso:</w:t>
      </w:r>
      <w:r>
        <w:rPr>
          <w:rFonts w:ascii="Arial" w:eastAsia="Tahoma" w:hAnsi="Arial" w:cs="Arial"/>
          <w:color w:val="000000"/>
          <w:sz w:val="20"/>
          <w:szCs w:val="20"/>
          <w:lang w:val="es-ES" w:eastAsia="es-CO"/>
        </w:rPr>
        <w:tab/>
      </w:r>
      <w:r w:rsidRPr="00150B63">
        <w:rPr>
          <w:rFonts w:ascii="Arial" w:eastAsia="Tahoma" w:hAnsi="Arial" w:cs="Arial"/>
          <w:color w:val="000000"/>
          <w:sz w:val="20"/>
          <w:szCs w:val="20"/>
          <w:lang w:val="es-ES" w:eastAsia="es-CO"/>
        </w:rPr>
        <w:tab/>
        <w:t xml:space="preserve">Ordinario Laboral </w:t>
      </w:r>
    </w:p>
    <w:p w14:paraId="72C40CEB" w14:textId="29121DCC" w:rsidR="00150B63" w:rsidRPr="00150B63" w:rsidRDefault="00150B63" w:rsidP="00E531FA">
      <w:pPr>
        <w:spacing w:before="0" w:beforeAutospacing="0" w:after="0" w:afterAutospacing="0" w:line="240" w:lineRule="auto"/>
        <w:ind w:firstLine="0"/>
        <w:rPr>
          <w:rFonts w:ascii="Arial" w:eastAsia="Tahoma" w:hAnsi="Arial" w:cs="Arial"/>
          <w:color w:val="000000"/>
          <w:sz w:val="20"/>
          <w:szCs w:val="20"/>
          <w:lang w:val="es-ES" w:eastAsia="es-CO"/>
        </w:rPr>
      </w:pPr>
      <w:r w:rsidRPr="00150B63">
        <w:rPr>
          <w:rFonts w:ascii="Arial" w:eastAsia="Tahoma" w:hAnsi="Arial" w:cs="Arial"/>
          <w:color w:val="000000"/>
          <w:sz w:val="20"/>
          <w:szCs w:val="20"/>
          <w:lang w:val="es-ES" w:eastAsia="es-CO"/>
        </w:rPr>
        <w:t>Demandante:</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150B63">
        <w:rPr>
          <w:rFonts w:ascii="Arial" w:eastAsia="Tahoma" w:hAnsi="Arial" w:cs="Arial"/>
          <w:color w:val="000000"/>
          <w:sz w:val="20"/>
          <w:szCs w:val="20"/>
          <w:lang w:val="es-ES" w:eastAsia="es-CO"/>
        </w:rPr>
        <w:t xml:space="preserve">Alicia Arango Ocampo </w:t>
      </w:r>
    </w:p>
    <w:p w14:paraId="663075D3" w14:textId="68D748C1" w:rsidR="00150B63" w:rsidRPr="00150B63" w:rsidRDefault="00150B63" w:rsidP="00E531FA">
      <w:pPr>
        <w:spacing w:before="0" w:beforeAutospacing="0" w:after="0" w:afterAutospacing="0" w:line="240" w:lineRule="auto"/>
        <w:ind w:firstLine="0"/>
        <w:rPr>
          <w:rFonts w:ascii="Arial" w:eastAsia="Tahoma" w:hAnsi="Arial" w:cs="Arial"/>
          <w:color w:val="000000"/>
          <w:sz w:val="20"/>
          <w:szCs w:val="20"/>
          <w:lang w:val="es-ES" w:eastAsia="es-CO"/>
        </w:rPr>
      </w:pPr>
      <w:r w:rsidRPr="00150B63">
        <w:rPr>
          <w:rFonts w:ascii="Arial" w:eastAsia="Tahoma" w:hAnsi="Arial" w:cs="Arial"/>
          <w:color w:val="000000"/>
          <w:sz w:val="20"/>
          <w:szCs w:val="20"/>
          <w:lang w:val="es-ES" w:eastAsia="es-CO"/>
        </w:rPr>
        <w:t>Demandado:</w:t>
      </w:r>
      <w:r w:rsidRPr="00150B63">
        <w:rPr>
          <w:rFonts w:ascii="Arial" w:eastAsia="Tahoma" w:hAnsi="Arial" w:cs="Arial"/>
          <w:color w:val="000000"/>
          <w:sz w:val="20"/>
          <w:szCs w:val="20"/>
          <w:lang w:val="es-ES" w:eastAsia="es-CO"/>
        </w:rPr>
        <w:tab/>
      </w:r>
      <w:r w:rsidRPr="00150B63">
        <w:rPr>
          <w:rFonts w:ascii="Arial" w:eastAsia="Tahoma" w:hAnsi="Arial" w:cs="Arial"/>
          <w:color w:val="000000"/>
          <w:sz w:val="20"/>
          <w:szCs w:val="20"/>
          <w:lang w:val="es-ES" w:eastAsia="es-CO"/>
        </w:rPr>
        <w:tab/>
        <w:t>Colpensiones y otros.</w:t>
      </w:r>
    </w:p>
    <w:p w14:paraId="519BDE82" w14:textId="5C6D515D" w:rsidR="00150B63" w:rsidRPr="00150B63" w:rsidRDefault="00150B63" w:rsidP="00E531FA">
      <w:pPr>
        <w:spacing w:before="0" w:beforeAutospacing="0" w:after="0" w:afterAutospacing="0" w:line="240" w:lineRule="auto"/>
        <w:ind w:firstLine="0"/>
        <w:rPr>
          <w:rFonts w:ascii="Arial" w:eastAsia="Tahoma" w:hAnsi="Arial" w:cs="Arial"/>
          <w:color w:val="000000"/>
          <w:sz w:val="20"/>
          <w:szCs w:val="20"/>
          <w:lang w:val="es-ES" w:eastAsia="es-CO"/>
        </w:rPr>
      </w:pPr>
      <w:r w:rsidRPr="00150B63">
        <w:rPr>
          <w:rFonts w:ascii="Arial" w:eastAsia="Tahoma" w:hAnsi="Arial" w:cs="Arial"/>
          <w:color w:val="000000"/>
          <w:sz w:val="20"/>
          <w:szCs w:val="20"/>
          <w:lang w:val="es-ES" w:eastAsia="es-CO"/>
        </w:rPr>
        <w:t>Juzgado:</w:t>
      </w:r>
      <w:r w:rsidRPr="00150B63">
        <w:rPr>
          <w:rFonts w:ascii="Arial" w:eastAsia="Tahoma" w:hAnsi="Arial" w:cs="Arial"/>
          <w:color w:val="000000"/>
          <w:sz w:val="20"/>
          <w:szCs w:val="20"/>
          <w:lang w:val="es-ES" w:eastAsia="es-CO"/>
        </w:rPr>
        <w:tab/>
      </w:r>
      <w:r w:rsidRPr="00150B63">
        <w:rPr>
          <w:rFonts w:ascii="Arial" w:eastAsia="Tahoma" w:hAnsi="Arial" w:cs="Arial"/>
          <w:color w:val="000000"/>
          <w:sz w:val="20"/>
          <w:szCs w:val="20"/>
          <w:lang w:val="es-ES" w:eastAsia="es-CO"/>
        </w:rPr>
        <w:tab/>
        <w:t>Quinto Laboral del Circuito de Pereira</w:t>
      </w:r>
    </w:p>
    <w:p w14:paraId="63B3F25F" w14:textId="77777777" w:rsidR="00150B63" w:rsidRPr="00150B63" w:rsidRDefault="00150B63" w:rsidP="00E531FA">
      <w:pPr>
        <w:spacing w:before="0" w:beforeAutospacing="0" w:after="0" w:afterAutospacing="0" w:line="240" w:lineRule="auto"/>
        <w:ind w:firstLine="0"/>
        <w:rPr>
          <w:rFonts w:ascii="Arial" w:eastAsia="Tahoma" w:hAnsi="Arial" w:cs="Arial"/>
          <w:color w:val="000000"/>
          <w:sz w:val="20"/>
          <w:szCs w:val="20"/>
          <w:lang w:val="es-ES" w:eastAsia="es-CO"/>
        </w:rPr>
      </w:pPr>
    </w:p>
    <w:p w14:paraId="09661BDA" w14:textId="77777777" w:rsidR="00150B63" w:rsidRPr="00150B63" w:rsidRDefault="00150B63" w:rsidP="00E531FA">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2369399"/>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D473EE8"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p>
    <w:p w14:paraId="2145136A"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20687C5"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p>
    <w:p w14:paraId="7F938E98"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AD24B23"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p>
    <w:p w14:paraId="50996989"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8729539"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p>
    <w:p w14:paraId="4ED36720"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1F28120A"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p>
    <w:p w14:paraId="5F48D42F"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8010504"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p>
    <w:p w14:paraId="2A2A1A2F"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2C3B4B9A"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ES" w:eastAsia="es-ES"/>
        </w:rPr>
      </w:pPr>
    </w:p>
    <w:p w14:paraId="79D01434"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ES" w:eastAsia="es-ES"/>
        </w:rPr>
      </w:pPr>
    </w:p>
    <w:bookmarkEnd w:id="4"/>
    <w:p w14:paraId="3EA4171C" w14:textId="77777777" w:rsidR="00150B63" w:rsidRPr="00150B63" w:rsidRDefault="00150B63" w:rsidP="00E531FA">
      <w:pPr>
        <w:spacing w:before="0" w:beforeAutospacing="0" w:after="0" w:afterAutospacing="0" w:line="240" w:lineRule="auto"/>
        <w:ind w:firstLine="0"/>
        <w:rPr>
          <w:rFonts w:ascii="Arial" w:eastAsia="Times New Roman" w:hAnsi="Arial" w:cs="Arial"/>
          <w:sz w:val="20"/>
          <w:szCs w:val="20"/>
          <w:lang w:val="es-ES" w:eastAsia="es-ES"/>
        </w:rPr>
      </w:pPr>
    </w:p>
    <w:p w14:paraId="6F940760" w14:textId="77777777" w:rsidR="00BE4084" w:rsidRPr="00570B7A" w:rsidRDefault="00BE4084" w:rsidP="00E531FA">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bookmarkStart w:id="5" w:name="_Hlk89346566"/>
      <w:bookmarkEnd w:id="0"/>
      <w:r w:rsidRPr="00570B7A">
        <w:rPr>
          <w:rFonts w:ascii="Tahoma" w:hAnsi="Tahoma" w:cs="Tahoma"/>
          <w:bCs/>
          <w:szCs w:val="24"/>
          <w:lang w:eastAsia="es-MX"/>
        </w:rPr>
        <w:t xml:space="preserve">TRIBUNAL </w:t>
      </w:r>
      <w:r w:rsidRPr="00570B7A">
        <w:rPr>
          <w:rFonts w:ascii="Tahoma" w:hAnsi="Tahoma" w:cs="Tahoma"/>
          <w:bCs/>
          <w:color w:val="000000" w:themeColor="text1"/>
          <w:szCs w:val="24"/>
          <w:lang w:eastAsia="es-MX"/>
        </w:rPr>
        <w:t>SUPERIOR DEL DISTRITO JUDICIAL DE PEREIRA</w:t>
      </w:r>
    </w:p>
    <w:p w14:paraId="1E171542" w14:textId="3DFF88A5" w:rsidR="00BE4084" w:rsidRPr="00570B7A" w:rsidRDefault="00BE4084" w:rsidP="00E531FA">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570B7A">
        <w:rPr>
          <w:rFonts w:ascii="Tahoma" w:hAnsi="Tahoma" w:cs="Tahoma"/>
          <w:bCs/>
          <w:color w:val="000000" w:themeColor="text1"/>
          <w:szCs w:val="24"/>
          <w:lang w:eastAsia="es-MX"/>
        </w:rPr>
        <w:t xml:space="preserve">SALA PRIMERA DE DECISION LABORAL </w:t>
      </w:r>
    </w:p>
    <w:p w14:paraId="2D696FC3" w14:textId="77777777" w:rsidR="00E531FA" w:rsidRDefault="00E531FA" w:rsidP="00E531FA">
      <w:pPr>
        <w:spacing w:before="0" w:beforeAutospacing="0" w:after="0" w:afterAutospacing="0" w:line="276" w:lineRule="auto"/>
        <w:ind w:firstLine="0"/>
        <w:contextualSpacing/>
        <w:textAlignment w:val="baseline"/>
        <w:rPr>
          <w:rFonts w:ascii="Tahoma" w:eastAsia="Times New Roman" w:hAnsi="Tahoma" w:cs="Tahoma"/>
          <w:color w:val="000000" w:themeColor="text1"/>
          <w:lang w:eastAsia="es-CO"/>
        </w:rPr>
      </w:pPr>
    </w:p>
    <w:p w14:paraId="76975359" w14:textId="40F1502D" w:rsidR="00BE4084" w:rsidRPr="00570B7A" w:rsidRDefault="00BE4084" w:rsidP="00E531FA">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eastAsia="es-CO"/>
        </w:rPr>
      </w:pPr>
      <w:r w:rsidRPr="00570B7A">
        <w:rPr>
          <w:rFonts w:ascii="Tahoma" w:eastAsia="Times New Roman" w:hAnsi="Tahoma" w:cs="Tahoma"/>
          <w:color w:val="000000" w:themeColor="text1"/>
          <w:lang w:eastAsia="es-CO"/>
        </w:rPr>
        <w:t>Magistrada Ponente: </w:t>
      </w:r>
      <w:r w:rsidRPr="00570B7A">
        <w:rPr>
          <w:rFonts w:ascii="Tahoma" w:eastAsia="Times New Roman" w:hAnsi="Tahoma" w:cs="Tahoma"/>
          <w:b/>
          <w:bCs/>
          <w:color w:val="000000" w:themeColor="text1"/>
          <w:lang w:eastAsia="es-CO"/>
        </w:rPr>
        <w:t>Ana Lucía Caicedo Calderón</w:t>
      </w:r>
    </w:p>
    <w:p w14:paraId="26657D63" w14:textId="77777777" w:rsidR="00BE4084" w:rsidRPr="00570B7A" w:rsidRDefault="00BE4084" w:rsidP="00E531FA">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570B7A">
        <w:rPr>
          <w:rFonts w:ascii="Tahoma" w:eastAsia="Times New Roman" w:hAnsi="Tahoma" w:cs="Tahoma"/>
          <w:color w:val="000000" w:themeColor="text1"/>
          <w:lang w:eastAsia="es-CO"/>
        </w:rPr>
        <w:t> </w:t>
      </w:r>
    </w:p>
    <w:p w14:paraId="1E8802C7" w14:textId="06A57581" w:rsidR="00BE4084" w:rsidRPr="00570B7A" w:rsidRDefault="00BE4084" w:rsidP="00E531FA">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570B7A">
        <w:rPr>
          <w:rFonts w:ascii="Tahoma" w:eastAsia="Times New Roman" w:hAnsi="Tahoma" w:cs="Tahoma"/>
          <w:color w:val="000000" w:themeColor="text1"/>
          <w:lang w:eastAsia="es-CO"/>
        </w:rPr>
        <w:t xml:space="preserve">Pereira, Risaralda, </w:t>
      </w:r>
      <w:r w:rsidR="004234E8" w:rsidRPr="00570B7A">
        <w:rPr>
          <w:rFonts w:ascii="Tahoma" w:eastAsia="Times New Roman" w:hAnsi="Tahoma" w:cs="Tahoma"/>
          <w:color w:val="000000" w:themeColor="text1"/>
          <w:lang w:eastAsia="es-CO"/>
        </w:rPr>
        <w:t xml:space="preserve">octubre </w:t>
      </w:r>
      <w:proofErr w:type="spellStart"/>
      <w:r w:rsidR="00BD5F3F" w:rsidRPr="00570B7A">
        <w:rPr>
          <w:rFonts w:ascii="Tahoma" w:eastAsia="Times New Roman" w:hAnsi="Tahoma" w:cs="Tahoma"/>
          <w:color w:val="000000" w:themeColor="text1"/>
          <w:lang w:eastAsia="es-CO"/>
        </w:rPr>
        <w:t>veinticuato</w:t>
      </w:r>
      <w:proofErr w:type="spellEnd"/>
      <w:r w:rsidRPr="00570B7A">
        <w:rPr>
          <w:rFonts w:ascii="Tahoma" w:eastAsia="Times New Roman" w:hAnsi="Tahoma" w:cs="Tahoma"/>
          <w:color w:val="000000" w:themeColor="text1"/>
          <w:lang w:eastAsia="es-CO"/>
        </w:rPr>
        <w:t xml:space="preserve"> (</w:t>
      </w:r>
      <w:r w:rsidR="00BD5F3F" w:rsidRPr="00570B7A">
        <w:rPr>
          <w:rFonts w:ascii="Tahoma" w:eastAsia="Times New Roman" w:hAnsi="Tahoma" w:cs="Tahoma"/>
          <w:color w:val="000000" w:themeColor="text1"/>
          <w:lang w:eastAsia="es-CO"/>
        </w:rPr>
        <w:t>24</w:t>
      </w:r>
      <w:r w:rsidRPr="00570B7A">
        <w:rPr>
          <w:rFonts w:ascii="Tahoma" w:eastAsia="Times New Roman" w:hAnsi="Tahoma" w:cs="Tahoma"/>
          <w:color w:val="000000" w:themeColor="text1"/>
          <w:lang w:eastAsia="es-CO"/>
        </w:rPr>
        <w:t>) de dos mil veintidós (2022)  </w:t>
      </w:r>
    </w:p>
    <w:p w14:paraId="62DF4E87" w14:textId="5C19AC89" w:rsidR="00BE4084" w:rsidRPr="00570B7A" w:rsidRDefault="00BE4084" w:rsidP="00E531FA">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570B7A">
        <w:rPr>
          <w:rFonts w:ascii="Tahoma" w:eastAsia="Times New Roman" w:hAnsi="Tahoma" w:cs="Tahoma"/>
          <w:color w:val="000000" w:themeColor="text1"/>
          <w:lang w:eastAsia="es-CO"/>
        </w:rPr>
        <w:t xml:space="preserve"> Acta No. __ del </w:t>
      </w:r>
      <w:r w:rsidR="004D5C96" w:rsidRPr="00570B7A">
        <w:rPr>
          <w:rFonts w:ascii="Tahoma" w:eastAsia="Times New Roman" w:hAnsi="Tahoma" w:cs="Tahoma"/>
          <w:color w:val="000000" w:themeColor="text1"/>
          <w:lang w:eastAsia="es-CO"/>
        </w:rPr>
        <w:t>20 de octubre de</w:t>
      </w:r>
      <w:r w:rsidRPr="00570B7A">
        <w:rPr>
          <w:rFonts w:ascii="Tahoma" w:eastAsia="Times New Roman" w:hAnsi="Tahoma" w:cs="Tahoma"/>
          <w:color w:val="000000" w:themeColor="text1"/>
          <w:lang w:eastAsia="es-CO"/>
        </w:rPr>
        <w:t> 2022</w:t>
      </w:r>
    </w:p>
    <w:bookmarkEnd w:id="5"/>
    <w:p w14:paraId="2BD480C3" w14:textId="77777777" w:rsidR="00BE4084" w:rsidRPr="00570B7A" w:rsidRDefault="00BE4084" w:rsidP="00E531FA">
      <w:pPr>
        <w:spacing w:before="0" w:beforeAutospacing="0" w:after="0" w:afterAutospacing="0" w:line="276" w:lineRule="auto"/>
        <w:contextualSpacing/>
        <w:jc w:val="center"/>
        <w:rPr>
          <w:rFonts w:ascii="Tahoma" w:hAnsi="Tahoma" w:cs="Tahoma"/>
          <w:b/>
        </w:rPr>
      </w:pPr>
    </w:p>
    <w:p w14:paraId="125C8C03" w14:textId="256911CD" w:rsidR="00BE4084" w:rsidRDefault="00BE4084" w:rsidP="00E531FA">
      <w:pPr>
        <w:spacing w:before="0" w:beforeAutospacing="0" w:after="0" w:afterAutospacing="0" w:line="276" w:lineRule="auto"/>
        <w:ind w:firstLine="708"/>
        <w:contextualSpacing/>
        <w:rPr>
          <w:rFonts w:ascii="Tahoma" w:hAnsi="Tahoma" w:cs="Tahoma"/>
          <w:b/>
          <w:lang w:val="es-ES_tradnl"/>
        </w:rPr>
      </w:pPr>
      <w:r w:rsidRPr="00570B7A">
        <w:rPr>
          <w:rFonts w:ascii="Tahoma" w:hAnsi="Tahoma" w:cs="Tahoma"/>
        </w:rPr>
        <w:lastRenderedPageBreak/>
        <w:t>Teniendo en cuenta que el artículo 15 del Decreto No. 806 del 4 de junio de</w:t>
      </w:r>
      <w:r w:rsidR="00570B7A">
        <w:rPr>
          <w:rFonts w:ascii="Tahoma" w:hAnsi="Tahoma" w:cs="Tahoma"/>
        </w:rPr>
        <w:t xml:space="preserve"> </w:t>
      </w:r>
      <w:r w:rsidRPr="00570B7A">
        <w:rPr>
          <w:rFonts w:ascii="Tahoma" w:hAnsi="Tahoma" w:cs="Tahoma"/>
        </w:rPr>
        <w:t>2020, expedido por el Ministerio de Justicia y del Derecho, estableció que en la</w:t>
      </w:r>
      <w:r w:rsidR="00570B7A">
        <w:rPr>
          <w:rFonts w:ascii="Tahoma" w:hAnsi="Tahoma" w:cs="Tahoma"/>
        </w:rPr>
        <w:t xml:space="preserve"> </w:t>
      </w:r>
      <w:r w:rsidRPr="00570B7A">
        <w:rPr>
          <w:rFonts w:ascii="Tahoma" w:hAnsi="Tahoma" w:cs="Tahoma"/>
        </w:rPr>
        <w:t>especialidad laboral se proferirán por escrito las providencias de segunda instancia</w:t>
      </w:r>
      <w:r w:rsidR="00570B7A">
        <w:rPr>
          <w:rFonts w:ascii="Tahoma" w:hAnsi="Tahoma" w:cs="Tahoma"/>
        </w:rPr>
        <w:t xml:space="preserve"> </w:t>
      </w:r>
      <w:r w:rsidRPr="00570B7A">
        <w:rPr>
          <w:rFonts w:ascii="Tahoma" w:hAnsi="Tahoma" w:cs="Tahoma"/>
        </w:rPr>
        <w:t>en las que se surta el grado jurisdiccional de consulta o se resuelva el recurso de</w:t>
      </w:r>
      <w:r w:rsidR="00570B7A">
        <w:rPr>
          <w:rFonts w:ascii="Tahoma" w:hAnsi="Tahoma" w:cs="Tahoma"/>
        </w:rPr>
        <w:t xml:space="preserve"> </w:t>
      </w:r>
      <w:r w:rsidRPr="00570B7A">
        <w:rPr>
          <w:rFonts w:ascii="Tahoma" w:hAnsi="Tahoma" w:cs="Tahoma"/>
        </w:rPr>
        <w:t>apelación de autos o sentencias, la Sala de Decisión Laboral Presidida por la Dra.</w:t>
      </w:r>
      <w:r w:rsidR="00570B7A">
        <w:rPr>
          <w:rFonts w:ascii="Tahoma" w:hAnsi="Tahoma" w:cs="Tahoma"/>
        </w:rPr>
        <w:t xml:space="preserve"> </w:t>
      </w:r>
      <w:r w:rsidRPr="00570B7A">
        <w:rPr>
          <w:rFonts w:ascii="Tahoma" w:hAnsi="Tahoma" w:cs="Tahoma"/>
        </w:rPr>
        <w:t>Ana Lucía Caicedo Calderón del Tribunal Superior de Pereira, integrada por las</w:t>
      </w:r>
      <w:r w:rsidR="00570B7A">
        <w:rPr>
          <w:rFonts w:ascii="Tahoma" w:hAnsi="Tahoma" w:cs="Tahoma"/>
        </w:rPr>
        <w:t xml:space="preserve"> </w:t>
      </w:r>
      <w:r w:rsidRPr="00570B7A">
        <w:rPr>
          <w:rFonts w:ascii="Tahoma" w:hAnsi="Tahoma" w:cs="Tahoma"/>
        </w:rPr>
        <w:t>Magistradas ANA LUCÍA CAICEDO CALDERÓN como Ponente, OLGA LUCÍA HOYOS</w:t>
      </w:r>
      <w:r w:rsidR="00570B7A">
        <w:rPr>
          <w:rFonts w:ascii="Tahoma" w:hAnsi="Tahoma" w:cs="Tahoma"/>
        </w:rPr>
        <w:t xml:space="preserve"> </w:t>
      </w:r>
      <w:r w:rsidRPr="00570B7A">
        <w:rPr>
          <w:rFonts w:ascii="Tahoma" w:hAnsi="Tahoma" w:cs="Tahoma"/>
        </w:rPr>
        <w:t>SEPÚLVEDA y el Magistrado GERMÁN DARIO GOEZ VINASCO, procede a proferir la</w:t>
      </w:r>
      <w:r w:rsidR="00570B7A">
        <w:rPr>
          <w:rFonts w:ascii="Tahoma" w:hAnsi="Tahoma" w:cs="Tahoma"/>
        </w:rPr>
        <w:t xml:space="preserve"> </w:t>
      </w:r>
      <w:r w:rsidRPr="00570B7A">
        <w:rPr>
          <w:rFonts w:ascii="Tahoma" w:hAnsi="Tahoma" w:cs="Tahoma"/>
        </w:rPr>
        <w:t xml:space="preserve">siguiente sentencia escrita dentro del proceso </w:t>
      </w:r>
      <w:r w:rsidRPr="00570B7A">
        <w:rPr>
          <w:rFonts w:ascii="Tahoma" w:hAnsi="Tahoma" w:cs="Tahoma"/>
          <w:b/>
        </w:rPr>
        <w:t>ordinario laboral</w:t>
      </w:r>
      <w:r w:rsidRPr="00570B7A">
        <w:rPr>
          <w:rFonts w:ascii="Tahoma" w:hAnsi="Tahoma" w:cs="Tahoma"/>
        </w:rPr>
        <w:t xml:space="preserve"> instaurado </w:t>
      </w:r>
      <w:r w:rsidR="00DC6920" w:rsidRPr="00570B7A">
        <w:rPr>
          <w:rFonts w:ascii="Tahoma" w:hAnsi="Tahoma" w:cs="Tahoma"/>
          <w:b/>
          <w:bCs/>
        </w:rPr>
        <w:t xml:space="preserve">Alicia Arango Ocampo </w:t>
      </w:r>
      <w:r w:rsidRPr="00570B7A">
        <w:rPr>
          <w:rFonts w:ascii="Tahoma" w:hAnsi="Tahoma" w:cs="Tahoma"/>
          <w:lang w:val="es-ES_tradnl"/>
        </w:rPr>
        <w:t xml:space="preserve">en contra de la </w:t>
      </w:r>
      <w:r w:rsidRPr="00570B7A">
        <w:rPr>
          <w:rFonts w:ascii="Tahoma" w:hAnsi="Tahoma" w:cs="Tahoma"/>
          <w:b/>
          <w:lang w:val="es-ES_tradnl"/>
        </w:rPr>
        <w:t>Administradora Colombiana de Pensiones – Colpensiones</w:t>
      </w:r>
      <w:r w:rsidRPr="00570B7A">
        <w:rPr>
          <w:rFonts w:ascii="Tahoma" w:hAnsi="Tahoma" w:cs="Tahoma"/>
          <w:bCs/>
          <w:lang w:val="es-ES_tradnl"/>
        </w:rPr>
        <w:t xml:space="preserve"> y</w:t>
      </w:r>
      <w:r w:rsidRPr="00570B7A">
        <w:rPr>
          <w:rFonts w:ascii="Tahoma" w:hAnsi="Tahoma" w:cs="Tahoma"/>
          <w:lang w:val="es-ES_tradnl"/>
        </w:rPr>
        <w:t xml:space="preserve"> la </w:t>
      </w:r>
      <w:r w:rsidRPr="00570B7A">
        <w:rPr>
          <w:rFonts w:ascii="Tahoma" w:hAnsi="Tahoma" w:cs="Tahoma"/>
          <w:b/>
          <w:lang w:val="es-ES_tradnl"/>
        </w:rPr>
        <w:t>Administradora</w:t>
      </w:r>
      <w:r w:rsidR="00CE7214" w:rsidRPr="00570B7A">
        <w:rPr>
          <w:rFonts w:ascii="Tahoma" w:hAnsi="Tahoma" w:cs="Tahoma"/>
          <w:b/>
          <w:lang w:val="es-ES_tradnl"/>
        </w:rPr>
        <w:t>s</w:t>
      </w:r>
      <w:r w:rsidRPr="00570B7A">
        <w:rPr>
          <w:rFonts w:ascii="Tahoma" w:hAnsi="Tahoma" w:cs="Tahoma"/>
          <w:b/>
          <w:lang w:val="es-ES_tradnl"/>
        </w:rPr>
        <w:t xml:space="preserve"> de Fondos de Pensiones </w:t>
      </w:r>
      <w:bookmarkStart w:id="6" w:name="_Hlk69822626"/>
      <w:r w:rsidRPr="00570B7A">
        <w:rPr>
          <w:rFonts w:ascii="Tahoma" w:hAnsi="Tahoma" w:cs="Tahoma"/>
          <w:b/>
          <w:lang w:val="es-ES_tradnl"/>
        </w:rPr>
        <w:t>–</w:t>
      </w:r>
      <w:bookmarkEnd w:id="6"/>
      <w:r w:rsidRPr="00570B7A">
        <w:rPr>
          <w:rFonts w:ascii="Tahoma" w:hAnsi="Tahoma" w:cs="Tahoma"/>
          <w:lang w:val="es-ES_tradnl"/>
        </w:rPr>
        <w:t xml:space="preserve"> </w:t>
      </w:r>
      <w:r w:rsidRPr="00570B7A">
        <w:rPr>
          <w:rFonts w:ascii="Tahoma" w:hAnsi="Tahoma" w:cs="Tahoma"/>
          <w:b/>
          <w:lang w:val="es-ES_tradnl"/>
        </w:rPr>
        <w:t xml:space="preserve">Porvenir S.A. </w:t>
      </w:r>
      <w:r w:rsidR="00CE7214" w:rsidRPr="00570B7A">
        <w:rPr>
          <w:rFonts w:ascii="Tahoma" w:hAnsi="Tahoma" w:cs="Tahoma"/>
          <w:bCs/>
          <w:lang w:val="es-ES_tradnl"/>
        </w:rPr>
        <w:t xml:space="preserve">y </w:t>
      </w:r>
      <w:r w:rsidR="00CE7214" w:rsidRPr="00570B7A">
        <w:rPr>
          <w:rFonts w:ascii="Tahoma" w:hAnsi="Tahoma" w:cs="Tahoma"/>
          <w:b/>
          <w:lang w:val="es-ES_tradnl"/>
        </w:rPr>
        <w:t>Protección S.A.</w:t>
      </w:r>
    </w:p>
    <w:p w14:paraId="4ADCBE0A" w14:textId="33D250D5" w:rsidR="00E531FA" w:rsidRDefault="00E531FA" w:rsidP="00E531FA">
      <w:pPr>
        <w:spacing w:before="0" w:beforeAutospacing="0" w:after="0" w:afterAutospacing="0" w:line="276" w:lineRule="auto"/>
        <w:ind w:firstLine="708"/>
        <w:contextualSpacing/>
        <w:rPr>
          <w:rFonts w:ascii="Tahoma" w:hAnsi="Tahoma" w:cs="Tahoma"/>
          <w:b/>
          <w:lang w:val="es-ES_tradnl"/>
        </w:rPr>
      </w:pPr>
    </w:p>
    <w:p w14:paraId="2673BD05" w14:textId="77777777" w:rsidR="002436E2" w:rsidRPr="00570B7A" w:rsidRDefault="002436E2" w:rsidP="00E531FA">
      <w:pPr>
        <w:spacing w:before="0" w:beforeAutospacing="0" w:after="0" w:afterAutospacing="0" w:line="276" w:lineRule="auto"/>
        <w:ind w:firstLine="708"/>
        <w:contextualSpacing/>
        <w:rPr>
          <w:rFonts w:ascii="Tahoma" w:hAnsi="Tahoma" w:cs="Tahoma"/>
          <w:b/>
          <w:lang w:val="es-ES_tradnl"/>
        </w:rPr>
      </w:pPr>
    </w:p>
    <w:p w14:paraId="03741A66" w14:textId="77777777" w:rsidR="00BE4084" w:rsidRPr="00570B7A" w:rsidRDefault="00BE4084" w:rsidP="00E531FA">
      <w:pPr>
        <w:pStyle w:val="paragraph"/>
        <w:spacing w:before="0" w:beforeAutospacing="0" w:after="0" w:afterAutospacing="0" w:line="276" w:lineRule="auto"/>
        <w:jc w:val="center"/>
        <w:textAlignment w:val="baseline"/>
        <w:rPr>
          <w:rFonts w:ascii="Tahoma" w:hAnsi="Tahoma" w:cs="Tahoma"/>
          <w:b/>
        </w:rPr>
      </w:pPr>
      <w:r w:rsidRPr="00570B7A">
        <w:rPr>
          <w:rStyle w:val="normaltextrun"/>
          <w:rFonts w:ascii="Tahoma" w:hAnsi="Tahoma" w:cs="Tahoma"/>
          <w:b/>
        </w:rPr>
        <w:t>PUNTO A TRATAR</w:t>
      </w:r>
    </w:p>
    <w:p w14:paraId="1067CA8C" w14:textId="77777777" w:rsidR="00E531FA" w:rsidRDefault="00E531FA" w:rsidP="00E531FA">
      <w:pPr>
        <w:spacing w:before="0" w:beforeAutospacing="0" w:after="0" w:afterAutospacing="0" w:line="276" w:lineRule="auto"/>
        <w:ind w:firstLine="708"/>
        <w:rPr>
          <w:rStyle w:val="normaltextrun"/>
          <w:rFonts w:ascii="Tahoma" w:hAnsi="Tahoma" w:cs="Tahoma"/>
        </w:rPr>
      </w:pPr>
    </w:p>
    <w:p w14:paraId="18255D3A" w14:textId="78D224B6" w:rsidR="00BE4084" w:rsidRDefault="00BE4084" w:rsidP="00E531FA">
      <w:pPr>
        <w:spacing w:before="0" w:beforeAutospacing="0" w:after="0" w:afterAutospacing="0" w:line="276" w:lineRule="auto"/>
        <w:ind w:firstLine="708"/>
        <w:rPr>
          <w:rStyle w:val="normaltextrun"/>
          <w:rFonts w:ascii="Tahoma" w:hAnsi="Tahoma" w:cs="Tahoma"/>
        </w:rPr>
      </w:pPr>
      <w:r w:rsidRPr="00570B7A">
        <w:rPr>
          <w:rStyle w:val="normaltextrun"/>
          <w:rFonts w:ascii="Tahoma" w:hAnsi="Tahoma" w:cs="Tahoma"/>
        </w:rPr>
        <w:t>Por medio de esta providencia procede la Sala a</w:t>
      </w:r>
      <w:r w:rsidRPr="00570B7A">
        <w:rPr>
          <w:rFonts w:ascii="Tahoma" w:hAnsi="Tahoma" w:cs="Tahoma"/>
        </w:rPr>
        <w:t xml:space="preserve"> resolver el recurso de apelación interpuesto por Colpensiones</w:t>
      </w:r>
      <w:r w:rsidR="00CE7214" w:rsidRPr="00570B7A">
        <w:rPr>
          <w:rFonts w:ascii="Tahoma" w:hAnsi="Tahoma" w:cs="Tahoma"/>
        </w:rPr>
        <w:t>,</w:t>
      </w:r>
      <w:r w:rsidRPr="00570B7A">
        <w:rPr>
          <w:rFonts w:ascii="Tahoma" w:hAnsi="Tahoma" w:cs="Tahoma"/>
        </w:rPr>
        <w:t xml:space="preserve"> Porvenir S.A. </w:t>
      </w:r>
      <w:r w:rsidR="00CE7214" w:rsidRPr="00570B7A">
        <w:rPr>
          <w:rFonts w:ascii="Tahoma" w:hAnsi="Tahoma" w:cs="Tahoma"/>
        </w:rPr>
        <w:t xml:space="preserve">y Protección S.A. </w:t>
      </w:r>
      <w:r w:rsidRPr="00570B7A">
        <w:rPr>
          <w:rFonts w:ascii="Tahoma" w:hAnsi="Tahoma" w:cs="Tahoma"/>
        </w:rPr>
        <w:t xml:space="preserve">en contra de la sentencia proferida el </w:t>
      </w:r>
      <w:r w:rsidR="00DC6920" w:rsidRPr="00570B7A">
        <w:rPr>
          <w:rFonts w:ascii="Tahoma" w:hAnsi="Tahoma" w:cs="Tahoma"/>
          <w:bCs/>
        </w:rPr>
        <w:t>21 de junio</w:t>
      </w:r>
      <w:r w:rsidR="00B55098" w:rsidRPr="00570B7A">
        <w:rPr>
          <w:rFonts w:ascii="Tahoma" w:hAnsi="Tahoma" w:cs="Tahoma"/>
          <w:bCs/>
        </w:rPr>
        <w:t xml:space="preserve"> de</w:t>
      </w:r>
      <w:r w:rsidR="00CE7214" w:rsidRPr="00570B7A">
        <w:rPr>
          <w:rFonts w:ascii="Tahoma" w:hAnsi="Tahoma" w:cs="Tahoma"/>
          <w:bCs/>
        </w:rPr>
        <w:t xml:space="preserve"> 2022 </w:t>
      </w:r>
      <w:r w:rsidRPr="00570B7A">
        <w:rPr>
          <w:rFonts w:ascii="Tahoma" w:hAnsi="Tahoma" w:cs="Tahoma"/>
        </w:rPr>
        <w:t xml:space="preserve">por el </w:t>
      </w:r>
      <w:r w:rsidRPr="00570B7A">
        <w:rPr>
          <w:rFonts w:ascii="Tahoma" w:hAnsi="Tahoma" w:cs="Tahoma"/>
          <w:lang w:val="es-ES_tradnl"/>
        </w:rPr>
        <w:t>Juzgado</w:t>
      </w:r>
      <w:r w:rsidRPr="00570B7A">
        <w:rPr>
          <w:rFonts w:ascii="Tahoma" w:hAnsi="Tahoma" w:cs="Tahoma"/>
        </w:rPr>
        <w:t xml:space="preserve"> </w:t>
      </w:r>
      <w:r w:rsidR="00DC6920" w:rsidRPr="00570B7A">
        <w:rPr>
          <w:rFonts w:ascii="Tahoma" w:hAnsi="Tahoma" w:cs="Tahoma"/>
        </w:rPr>
        <w:t>Quinto</w:t>
      </w:r>
      <w:r w:rsidRPr="00570B7A">
        <w:rPr>
          <w:rFonts w:ascii="Tahoma" w:hAnsi="Tahoma" w:cs="Tahoma"/>
        </w:rPr>
        <w:t xml:space="preserve"> Laboral del Circuito de Pereira</w:t>
      </w:r>
      <w:r w:rsidRPr="00570B7A">
        <w:rPr>
          <w:rStyle w:val="normaltextrun"/>
          <w:rFonts w:ascii="Tahoma" w:hAnsi="Tahoma" w:cs="Tahoma"/>
        </w:rPr>
        <w:t>; asimismo, se revisará la decisión de instancia en virtud del</w:t>
      </w:r>
      <w:r w:rsidRPr="00570B7A">
        <w:rPr>
          <w:rFonts w:ascii="Tahoma" w:hAnsi="Tahoma" w:cs="Tahoma"/>
        </w:rPr>
        <w:t xml:space="preserve"> grado jurisdiccional de consulta respecto de Colpensiones. </w:t>
      </w:r>
      <w:r w:rsidRPr="00570B7A">
        <w:rPr>
          <w:rStyle w:val="normaltextrun"/>
          <w:rFonts w:ascii="Tahoma" w:hAnsi="Tahoma" w:cs="Tahoma"/>
        </w:rPr>
        <w:t>Para ello se tiene en cuenta lo siguiente: </w:t>
      </w:r>
    </w:p>
    <w:p w14:paraId="30D761BD" w14:textId="412720CA" w:rsidR="00E531FA" w:rsidRDefault="00E531FA" w:rsidP="00E531FA">
      <w:pPr>
        <w:spacing w:before="0" w:beforeAutospacing="0" w:after="0" w:afterAutospacing="0" w:line="276" w:lineRule="auto"/>
        <w:ind w:firstLine="708"/>
        <w:rPr>
          <w:rFonts w:ascii="Tahoma" w:hAnsi="Tahoma" w:cs="Tahoma"/>
        </w:rPr>
      </w:pPr>
    </w:p>
    <w:p w14:paraId="1521B329" w14:textId="77777777" w:rsidR="002436E2" w:rsidRPr="00570B7A" w:rsidRDefault="002436E2" w:rsidP="00E531FA">
      <w:pPr>
        <w:spacing w:before="0" w:beforeAutospacing="0" w:after="0" w:afterAutospacing="0" w:line="276" w:lineRule="auto"/>
        <w:ind w:firstLine="708"/>
        <w:rPr>
          <w:rFonts w:ascii="Tahoma" w:hAnsi="Tahoma" w:cs="Tahoma"/>
        </w:rPr>
      </w:pPr>
    </w:p>
    <w:p w14:paraId="2BBF3278" w14:textId="3B00D388" w:rsidR="00B55098" w:rsidRPr="00570B7A" w:rsidRDefault="00BE4084" w:rsidP="00E531FA">
      <w:pPr>
        <w:pStyle w:val="Prrafodelista"/>
        <w:numPr>
          <w:ilvl w:val="0"/>
          <w:numId w:val="1"/>
        </w:numPr>
        <w:spacing w:line="276" w:lineRule="auto"/>
        <w:ind w:left="426" w:hanging="426"/>
        <w:jc w:val="center"/>
        <w:rPr>
          <w:rFonts w:cs="Tahoma"/>
          <w:b/>
          <w:bCs/>
          <w:szCs w:val="24"/>
        </w:rPr>
      </w:pPr>
      <w:r w:rsidRPr="00570B7A">
        <w:rPr>
          <w:rFonts w:cs="Tahoma"/>
          <w:b/>
          <w:bCs/>
          <w:szCs w:val="24"/>
        </w:rPr>
        <w:t>Demanda y su contestación</w:t>
      </w:r>
    </w:p>
    <w:p w14:paraId="4F07B42C" w14:textId="77777777" w:rsidR="00E531FA" w:rsidRDefault="00E531FA" w:rsidP="00E531FA">
      <w:pPr>
        <w:spacing w:before="0" w:beforeAutospacing="0" w:after="0" w:afterAutospacing="0" w:line="276" w:lineRule="auto"/>
        <w:ind w:firstLine="709"/>
        <w:contextualSpacing/>
        <w:rPr>
          <w:rFonts w:ascii="Tahoma" w:hAnsi="Tahoma" w:cs="Tahoma"/>
        </w:rPr>
      </w:pPr>
    </w:p>
    <w:p w14:paraId="60FFF4CB" w14:textId="51CD60CF" w:rsidR="00B55098" w:rsidRPr="00570B7A" w:rsidRDefault="00DC6920" w:rsidP="00E531FA">
      <w:pPr>
        <w:spacing w:before="0" w:beforeAutospacing="0" w:after="0" w:afterAutospacing="0" w:line="276" w:lineRule="auto"/>
        <w:ind w:firstLine="709"/>
        <w:contextualSpacing/>
        <w:rPr>
          <w:rFonts w:ascii="Tahoma" w:hAnsi="Tahoma" w:cs="Tahoma"/>
        </w:rPr>
      </w:pPr>
      <w:r w:rsidRPr="00570B7A">
        <w:rPr>
          <w:rFonts w:ascii="Tahoma" w:hAnsi="Tahoma" w:cs="Tahoma"/>
        </w:rPr>
        <w:t>La</w:t>
      </w:r>
      <w:r w:rsidR="00B55098" w:rsidRPr="00570B7A">
        <w:rPr>
          <w:rFonts w:ascii="Tahoma" w:hAnsi="Tahoma" w:cs="Tahoma"/>
        </w:rPr>
        <w:t xml:space="preserve"> citad</w:t>
      </w:r>
      <w:r w:rsidRPr="00570B7A">
        <w:rPr>
          <w:rFonts w:ascii="Tahoma" w:hAnsi="Tahoma" w:cs="Tahoma"/>
        </w:rPr>
        <w:t>a</w:t>
      </w:r>
      <w:r w:rsidR="00B55098" w:rsidRPr="00570B7A">
        <w:rPr>
          <w:rFonts w:ascii="Tahoma" w:hAnsi="Tahoma" w:cs="Tahoma"/>
        </w:rPr>
        <w:t xml:space="preserve"> demandante busca que se declare la nulidad de la afiliación que realizó a la </w:t>
      </w:r>
      <w:r w:rsidRPr="00570B7A">
        <w:rPr>
          <w:rFonts w:ascii="Tahoma" w:hAnsi="Tahoma" w:cs="Tahoma"/>
        </w:rPr>
        <w:t>Porvenir S</w:t>
      </w:r>
      <w:r w:rsidR="00B55098" w:rsidRPr="00570B7A">
        <w:rPr>
          <w:rFonts w:ascii="Tahoma" w:hAnsi="Tahoma" w:cs="Tahoma"/>
        </w:rPr>
        <w:t>.</w:t>
      </w:r>
      <w:r w:rsidRPr="00570B7A">
        <w:rPr>
          <w:rFonts w:ascii="Tahoma" w:hAnsi="Tahoma" w:cs="Tahoma"/>
        </w:rPr>
        <w:t>A.</w:t>
      </w:r>
      <w:r w:rsidR="00B55098" w:rsidRPr="00570B7A">
        <w:rPr>
          <w:rFonts w:ascii="Tahoma" w:hAnsi="Tahoma" w:cs="Tahoma"/>
        </w:rPr>
        <w:t>, a través de la cual se trasladó del régimen de prima media con prestación definida (en adelante RPM) al régimen de ahorro individual con solidaridad (en adelante RAIS)</w:t>
      </w:r>
      <w:r w:rsidRPr="00570B7A">
        <w:rPr>
          <w:rFonts w:ascii="Tahoma" w:hAnsi="Tahoma" w:cs="Tahoma"/>
        </w:rPr>
        <w:t>.</w:t>
      </w:r>
    </w:p>
    <w:p w14:paraId="565EF4DC" w14:textId="77777777" w:rsidR="00B55098" w:rsidRPr="00570B7A" w:rsidRDefault="00B55098" w:rsidP="00E531FA">
      <w:pPr>
        <w:pBdr>
          <w:top w:val="nil"/>
          <w:left w:val="nil"/>
          <w:bottom w:val="nil"/>
          <w:right w:val="nil"/>
          <w:between w:val="nil"/>
        </w:pBdr>
        <w:spacing w:before="0" w:beforeAutospacing="0" w:after="0" w:afterAutospacing="0" w:line="276" w:lineRule="auto"/>
        <w:ind w:firstLine="709"/>
        <w:contextualSpacing/>
        <w:rPr>
          <w:rFonts w:ascii="Tahoma" w:hAnsi="Tahoma" w:cs="Tahoma"/>
        </w:rPr>
      </w:pPr>
    </w:p>
    <w:p w14:paraId="13E48DAB" w14:textId="136A345B" w:rsidR="00B55098" w:rsidRPr="00570B7A" w:rsidRDefault="00B55098" w:rsidP="00E531FA">
      <w:pPr>
        <w:spacing w:before="0" w:beforeAutospacing="0" w:after="0" w:afterAutospacing="0" w:line="276" w:lineRule="auto"/>
        <w:ind w:firstLine="709"/>
        <w:contextualSpacing/>
        <w:rPr>
          <w:rFonts w:ascii="Tahoma" w:hAnsi="Tahoma" w:cs="Tahoma"/>
        </w:rPr>
      </w:pPr>
      <w:r w:rsidRPr="00570B7A">
        <w:rPr>
          <w:rFonts w:ascii="Tahoma" w:hAnsi="Tahoma" w:cs="Tahoma"/>
        </w:rPr>
        <w:t xml:space="preserve">En consecuencia, procura que se condene a </w:t>
      </w:r>
      <w:r w:rsidR="00DC6920" w:rsidRPr="00570B7A">
        <w:rPr>
          <w:rFonts w:ascii="Tahoma" w:hAnsi="Tahoma" w:cs="Tahoma"/>
        </w:rPr>
        <w:t>Porvenir</w:t>
      </w:r>
      <w:r w:rsidRPr="00570B7A">
        <w:rPr>
          <w:rFonts w:ascii="Tahoma" w:hAnsi="Tahoma" w:cs="Tahoma"/>
        </w:rPr>
        <w:t xml:space="preserve"> S.A. trasladar a Colpensiones todos los valores que hubiera recibido con ocasión de su afiliación. </w:t>
      </w:r>
    </w:p>
    <w:p w14:paraId="421B8242" w14:textId="77777777" w:rsidR="00B55098" w:rsidRPr="00570B7A" w:rsidRDefault="00B55098" w:rsidP="00E531FA">
      <w:pPr>
        <w:spacing w:before="0" w:beforeAutospacing="0" w:after="0" w:afterAutospacing="0" w:line="276" w:lineRule="auto"/>
        <w:ind w:firstLine="709"/>
        <w:contextualSpacing/>
        <w:rPr>
          <w:rFonts w:ascii="Tahoma" w:hAnsi="Tahoma" w:cs="Tahoma"/>
        </w:rPr>
      </w:pPr>
    </w:p>
    <w:p w14:paraId="3460ED1A" w14:textId="67EDB29B" w:rsidR="00B55098" w:rsidRPr="00570B7A" w:rsidRDefault="00B55098" w:rsidP="00E531FA">
      <w:pPr>
        <w:spacing w:before="0" w:beforeAutospacing="0" w:after="0" w:afterAutospacing="0" w:line="276" w:lineRule="auto"/>
        <w:ind w:firstLine="709"/>
        <w:contextualSpacing/>
        <w:rPr>
          <w:rFonts w:ascii="Tahoma" w:hAnsi="Tahoma" w:cs="Tahoma"/>
        </w:rPr>
      </w:pPr>
      <w:r w:rsidRPr="00570B7A">
        <w:rPr>
          <w:rFonts w:ascii="Tahoma" w:hAnsi="Tahoma" w:cs="Tahoma"/>
        </w:rPr>
        <w:t xml:space="preserve">Por último, pide que se condene </w:t>
      </w:r>
      <w:r w:rsidR="00DC6920" w:rsidRPr="00570B7A">
        <w:rPr>
          <w:rFonts w:ascii="Tahoma" w:hAnsi="Tahoma" w:cs="Tahoma"/>
        </w:rPr>
        <w:t>a los demandados</w:t>
      </w:r>
      <w:r w:rsidRPr="00570B7A">
        <w:rPr>
          <w:rFonts w:ascii="Tahoma" w:hAnsi="Tahoma" w:cs="Tahoma"/>
        </w:rPr>
        <w:t xml:space="preserve"> a cancelar las costas procesales y a lo extra y ultra petita debatido y probado en el proceso.</w:t>
      </w:r>
    </w:p>
    <w:p w14:paraId="6D86469B" w14:textId="77777777" w:rsidR="00B55098" w:rsidRPr="00570B7A" w:rsidRDefault="00B55098" w:rsidP="00E531FA">
      <w:pPr>
        <w:spacing w:before="0" w:beforeAutospacing="0" w:after="0" w:afterAutospacing="0" w:line="276" w:lineRule="auto"/>
        <w:ind w:firstLine="0"/>
        <w:contextualSpacing/>
        <w:rPr>
          <w:rFonts w:ascii="Tahoma" w:hAnsi="Tahoma" w:cs="Tahoma"/>
        </w:rPr>
      </w:pPr>
    </w:p>
    <w:p w14:paraId="2DFB69A3" w14:textId="73AD6566" w:rsidR="00B55098" w:rsidRPr="00570B7A" w:rsidRDefault="004D5C96" w:rsidP="00E531FA">
      <w:pPr>
        <w:spacing w:before="0" w:beforeAutospacing="0" w:after="0" w:afterAutospacing="0" w:line="276" w:lineRule="auto"/>
        <w:contextualSpacing/>
        <w:rPr>
          <w:rFonts w:ascii="Tahoma" w:hAnsi="Tahoma" w:cs="Tahoma"/>
          <w:color w:val="000000"/>
        </w:rPr>
      </w:pPr>
      <w:r w:rsidRPr="00570B7A">
        <w:rPr>
          <w:rFonts w:ascii="Tahoma" w:hAnsi="Tahoma" w:cs="Tahoma"/>
          <w:color w:val="000000"/>
        </w:rPr>
        <w:t>En sustento de lo pretendido, relata la demandante que nació el 30 de septiembre de 1960 y que en el 7 de julio de 1980 se encontraba cotizando al RPM, luego perteneció a Colmena en noviembre de 1996, hasta que de manera discontinua e irregular, su empleador le cotizo a ING, hoy Protección S.A., en el año 2001. Posteriormente, en enero de 1999 fue trasladada por su empleador de manera rutinaria y formalista, a Porvenir S.A</w:t>
      </w:r>
      <w:proofErr w:type="gramStart"/>
      <w:r w:rsidRPr="00570B7A">
        <w:rPr>
          <w:rFonts w:ascii="Tahoma" w:hAnsi="Tahoma" w:cs="Tahoma"/>
          <w:color w:val="000000"/>
        </w:rPr>
        <w:t xml:space="preserve"> ..</w:t>
      </w:r>
      <w:proofErr w:type="gramEnd"/>
    </w:p>
    <w:p w14:paraId="5E17FB87" w14:textId="77777777" w:rsidR="004D5C96" w:rsidRPr="00570B7A" w:rsidRDefault="004D5C96" w:rsidP="00E531FA">
      <w:pPr>
        <w:spacing w:before="0" w:beforeAutospacing="0" w:after="0" w:afterAutospacing="0" w:line="276" w:lineRule="auto"/>
        <w:contextualSpacing/>
        <w:rPr>
          <w:rFonts w:ascii="Tahoma" w:hAnsi="Tahoma" w:cs="Tahoma"/>
        </w:rPr>
      </w:pPr>
    </w:p>
    <w:p w14:paraId="21105DBF" w14:textId="57FD7391" w:rsidR="00B55098" w:rsidRPr="00570B7A" w:rsidRDefault="00B55098" w:rsidP="00E531FA">
      <w:pPr>
        <w:spacing w:before="0" w:beforeAutospacing="0" w:after="0" w:afterAutospacing="0" w:line="276" w:lineRule="auto"/>
        <w:ind w:firstLine="708"/>
        <w:contextualSpacing/>
        <w:rPr>
          <w:rFonts w:ascii="Tahoma" w:hAnsi="Tahoma" w:cs="Tahoma"/>
        </w:rPr>
      </w:pPr>
      <w:bookmarkStart w:id="7" w:name="_heading=h.30j0zll" w:colFirst="0" w:colLast="0"/>
      <w:bookmarkEnd w:id="7"/>
      <w:r w:rsidRPr="00570B7A">
        <w:rPr>
          <w:rFonts w:ascii="Tahoma" w:hAnsi="Tahoma" w:cs="Tahoma"/>
        </w:rPr>
        <w:t>Refiere que</w:t>
      </w:r>
      <w:r w:rsidR="008B71A0" w:rsidRPr="00570B7A">
        <w:rPr>
          <w:rFonts w:ascii="Tahoma" w:hAnsi="Tahoma" w:cs="Tahoma"/>
        </w:rPr>
        <w:t xml:space="preserve">, </w:t>
      </w:r>
      <w:proofErr w:type="gramStart"/>
      <w:r w:rsidR="008B71A0" w:rsidRPr="00570B7A">
        <w:rPr>
          <w:rFonts w:ascii="Tahoma" w:hAnsi="Tahoma" w:cs="Tahoma"/>
        </w:rPr>
        <w:t>no  hubo</w:t>
      </w:r>
      <w:proofErr w:type="gramEnd"/>
      <w:r w:rsidR="008B71A0" w:rsidRPr="00570B7A">
        <w:rPr>
          <w:rFonts w:ascii="Tahoma" w:hAnsi="Tahoma" w:cs="Tahoma"/>
        </w:rPr>
        <w:t xml:space="preserve">  una  asesoría  adecuada,  oportuna,  altamente especializada, ya que la decisión de traslado tenía que ser fruto de un convencimiento profesional acerca de  los requisitos de edad mínima, saldo que  debía  acreditar  en  </w:t>
      </w:r>
      <w:r w:rsidR="008B71A0" w:rsidRPr="00570B7A">
        <w:rPr>
          <w:rFonts w:ascii="Tahoma" w:hAnsi="Tahoma" w:cs="Tahoma"/>
        </w:rPr>
        <w:lastRenderedPageBreak/>
        <w:t>su  cuenta  de  ahorro  individual  para acceder a la pensión, ventajas, desventajas, beneficios y los riesgos que representaba hacer dicho traslado.</w:t>
      </w:r>
    </w:p>
    <w:p w14:paraId="0BE91F76" w14:textId="77777777" w:rsidR="00B55098" w:rsidRPr="00570B7A" w:rsidRDefault="00B55098" w:rsidP="00E531FA">
      <w:pPr>
        <w:spacing w:before="0" w:beforeAutospacing="0" w:after="0" w:afterAutospacing="0" w:line="276" w:lineRule="auto"/>
        <w:ind w:firstLine="708"/>
        <w:contextualSpacing/>
        <w:rPr>
          <w:rFonts w:ascii="Tahoma" w:hAnsi="Tahoma" w:cs="Tahoma"/>
        </w:rPr>
      </w:pPr>
    </w:p>
    <w:p w14:paraId="0968B8C1" w14:textId="047039D6" w:rsidR="00B55098" w:rsidRPr="00570B7A" w:rsidRDefault="008B71A0" w:rsidP="00E531FA">
      <w:pPr>
        <w:spacing w:before="0" w:beforeAutospacing="0" w:after="0" w:afterAutospacing="0" w:line="276" w:lineRule="auto"/>
        <w:ind w:firstLine="708"/>
        <w:contextualSpacing/>
        <w:rPr>
          <w:rFonts w:ascii="Tahoma" w:hAnsi="Tahoma" w:cs="Tahoma"/>
        </w:rPr>
      </w:pPr>
      <w:r w:rsidRPr="00570B7A">
        <w:rPr>
          <w:rFonts w:ascii="Tahoma" w:hAnsi="Tahoma" w:cs="Tahoma"/>
        </w:rPr>
        <w:t>P</w:t>
      </w:r>
      <w:r w:rsidR="00B55098" w:rsidRPr="00570B7A">
        <w:rPr>
          <w:rFonts w:ascii="Tahoma" w:hAnsi="Tahoma" w:cs="Tahoma"/>
        </w:rPr>
        <w:t xml:space="preserve">or último, señala que el </w:t>
      </w:r>
      <w:r w:rsidRPr="00570B7A">
        <w:rPr>
          <w:rFonts w:ascii="Tahoma" w:hAnsi="Tahoma" w:cs="Tahoma"/>
        </w:rPr>
        <w:t>26 de noviembre de 2019</w:t>
      </w:r>
      <w:r w:rsidR="00B55098" w:rsidRPr="00570B7A">
        <w:rPr>
          <w:rFonts w:ascii="Tahoma" w:hAnsi="Tahoma" w:cs="Tahoma"/>
        </w:rPr>
        <w:t xml:space="preserve"> Colpensiones negó su solicitud de traslado al régimen de prima media, bajo el argumento de que se</w:t>
      </w:r>
      <w:r w:rsidR="00B55098" w:rsidRPr="00570B7A">
        <w:rPr>
          <w:rFonts w:ascii="Tahoma" w:hAnsi="Tahoma" w:cs="Tahoma"/>
          <w:i/>
        </w:rPr>
        <w:t xml:space="preserve"> </w:t>
      </w:r>
      <w:r w:rsidR="00B55098" w:rsidRPr="00570B7A">
        <w:rPr>
          <w:rFonts w:ascii="Tahoma" w:hAnsi="Tahoma" w:cs="Tahoma"/>
        </w:rPr>
        <w:t>encontraba a diez años o menos del requisito de tiempo para pensionarse.</w:t>
      </w:r>
    </w:p>
    <w:p w14:paraId="6893CB18" w14:textId="77777777" w:rsidR="00BE4084" w:rsidRPr="00570B7A" w:rsidRDefault="00BE4084" w:rsidP="00E531FA">
      <w:pPr>
        <w:spacing w:before="0" w:beforeAutospacing="0" w:after="0" w:afterAutospacing="0" w:line="276" w:lineRule="auto"/>
        <w:ind w:firstLine="0"/>
        <w:contextualSpacing/>
        <w:rPr>
          <w:rFonts w:ascii="Tahoma" w:hAnsi="Tahoma" w:cs="Tahoma"/>
        </w:rPr>
      </w:pPr>
    </w:p>
    <w:p w14:paraId="3735E75B" w14:textId="176591E1" w:rsidR="00ED390F" w:rsidRDefault="00BE4084" w:rsidP="00E531FA">
      <w:pPr>
        <w:spacing w:before="0" w:beforeAutospacing="0" w:after="0" w:afterAutospacing="0" w:line="276" w:lineRule="auto"/>
        <w:ind w:firstLine="709"/>
        <w:rPr>
          <w:rFonts w:ascii="Tahoma" w:hAnsi="Tahoma" w:cs="Tahoma"/>
        </w:rPr>
      </w:pPr>
      <w:r w:rsidRPr="00570B7A">
        <w:rPr>
          <w:rFonts w:ascii="Tahoma" w:hAnsi="Tahoma" w:cs="Tahoma"/>
          <w:b/>
        </w:rPr>
        <w:t>Colpensiones</w:t>
      </w:r>
      <w:r w:rsidRPr="00570B7A">
        <w:rPr>
          <w:rFonts w:ascii="Tahoma" w:hAnsi="Tahoma" w:cs="Tahoma"/>
        </w:rPr>
        <w:t xml:space="preserve"> se opuso a la totalidad de las pretensiones de la demanda arguyendo </w:t>
      </w:r>
      <w:r w:rsidR="00AF60AE" w:rsidRPr="00570B7A">
        <w:rPr>
          <w:rFonts w:ascii="Tahoma" w:hAnsi="Tahoma" w:cs="Tahoma"/>
        </w:rPr>
        <w:t xml:space="preserve">que </w:t>
      </w:r>
      <w:r w:rsidR="008F31F5" w:rsidRPr="00570B7A">
        <w:rPr>
          <w:rFonts w:ascii="Tahoma" w:hAnsi="Tahoma" w:cs="Tahoma"/>
        </w:rPr>
        <w:t>no se evidencia que existiere por parte de la AFP Colmena S.A, engaño alguno o acto que evidencie motivo para que se declare el traslado de  la  actora  como ineficaz, como  tampoco  lo  es  el  realizado  horizontalmente  a  la AFP Porvenir S.A.; anudado a lo anterior, afirma que afiliación de la actora se dio en virtud a la libertad de escogencia de régimen pensional y no a una nulidad por vicio en el consentimiento como se alega.</w:t>
      </w:r>
    </w:p>
    <w:p w14:paraId="2E9A3417" w14:textId="77777777" w:rsidR="00E531FA" w:rsidRPr="00570B7A" w:rsidRDefault="00E531FA" w:rsidP="00E531FA">
      <w:pPr>
        <w:spacing w:before="0" w:beforeAutospacing="0" w:after="0" w:afterAutospacing="0" w:line="276" w:lineRule="auto"/>
        <w:ind w:firstLine="709"/>
        <w:rPr>
          <w:rFonts w:ascii="Tahoma" w:hAnsi="Tahoma" w:cs="Tahoma"/>
        </w:rPr>
      </w:pPr>
    </w:p>
    <w:p w14:paraId="128BC31C" w14:textId="6CCD178A" w:rsidR="00BE4084" w:rsidRDefault="00BE4084" w:rsidP="00E531FA">
      <w:pPr>
        <w:spacing w:before="0" w:beforeAutospacing="0" w:after="0" w:afterAutospacing="0" w:line="276" w:lineRule="auto"/>
        <w:ind w:firstLine="709"/>
        <w:rPr>
          <w:rFonts w:ascii="Tahoma" w:hAnsi="Tahoma" w:cs="Tahoma"/>
        </w:rPr>
      </w:pPr>
      <w:r w:rsidRPr="00570B7A">
        <w:rPr>
          <w:rFonts w:ascii="Tahoma" w:hAnsi="Tahoma" w:cs="Tahoma"/>
          <w:color w:val="000000" w:themeColor="text1"/>
        </w:rPr>
        <w:t xml:space="preserve">En esa medida, invocó como excepciones de mérito las que denominó </w:t>
      </w:r>
      <w:r w:rsidRPr="00570B7A">
        <w:rPr>
          <w:rFonts w:ascii="Tahoma" w:hAnsi="Tahoma" w:cs="Tahoma"/>
        </w:rPr>
        <w:t>“</w:t>
      </w:r>
      <w:r w:rsidR="00E91DE7" w:rsidRPr="00570B7A">
        <w:rPr>
          <w:rFonts w:ascii="Tahoma" w:hAnsi="Tahoma" w:cs="Tahoma"/>
        </w:rPr>
        <w:t>Validez de la afiliación al RAIS”; “Saneamiento de una presunta nulidad”; “</w:t>
      </w:r>
      <w:r w:rsidR="009111D6" w:rsidRPr="00570B7A">
        <w:rPr>
          <w:rFonts w:ascii="Tahoma" w:hAnsi="Tahoma" w:cs="Tahoma"/>
        </w:rPr>
        <w:t>S</w:t>
      </w:r>
      <w:r w:rsidR="00E91DE7" w:rsidRPr="00570B7A">
        <w:rPr>
          <w:rFonts w:ascii="Tahoma" w:hAnsi="Tahoma" w:cs="Tahoma"/>
        </w:rPr>
        <w:t>olicitud de traslado de dineros de gastos de administración”; “Prescripción”; “</w:t>
      </w:r>
      <w:proofErr w:type="gramStart"/>
      <w:r w:rsidR="00E91DE7" w:rsidRPr="00570B7A">
        <w:rPr>
          <w:rFonts w:ascii="Tahoma" w:hAnsi="Tahoma" w:cs="Tahoma"/>
        </w:rPr>
        <w:t>Imposibilidad  jurídica</w:t>
      </w:r>
      <w:proofErr w:type="gramEnd"/>
      <w:r w:rsidR="00E91DE7" w:rsidRPr="00570B7A">
        <w:rPr>
          <w:rFonts w:ascii="Tahoma" w:hAnsi="Tahoma" w:cs="Tahoma"/>
        </w:rPr>
        <w:t xml:space="preserve">  para  reconocer  y  pagar  derechos  por  fuera  del ordenamiento legal”; “Buena fe: Colpensiones”; e “Imposibilidad de condena en costas”</w:t>
      </w:r>
      <w:r w:rsidR="00A40DBA" w:rsidRPr="00570B7A">
        <w:rPr>
          <w:rFonts w:ascii="Tahoma" w:hAnsi="Tahoma" w:cs="Tahoma"/>
        </w:rPr>
        <w:t>.</w:t>
      </w:r>
    </w:p>
    <w:p w14:paraId="130D0A63" w14:textId="77777777" w:rsidR="00E531FA" w:rsidRPr="00570B7A" w:rsidRDefault="00E531FA" w:rsidP="00E531FA">
      <w:pPr>
        <w:spacing w:before="0" w:beforeAutospacing="0" w:after="0" w:afterAutospacing="0" w:line="276" w:lineRule="auto"/>
        <w:ind w:firstLine="709"/>
        <w:rPr>
          <w:rFonts w:ascii="Tahoma" w:hAnsi="Tahoma" w:cs="Tahoma"/>
        </w:rPr>
      </w:pPr>
    </w:p>
    <w:p w14:paraId="266B61BB" w14:textId="7654382D" w:rsidR="00820A28" w:rsidRDefault="001E1E92" w:rsidP="00E531FA">
      <w:pPr>
        <w:spacing w:before="0" w:beforeAutospacing="0" w:after="0" w:afterAutospacing="0" w:line="276" w:lineRule="auto"/>
        <w:rPr>
          <w:rFonts w:ascii="Tahoma" w:hAnsi="Tahoma" w:cs="Tahoma"/>
        </w:rPr>
      </w:pPr>
      <w:r w:rsidRPr="00570B7A">
        <w:rPr>
          <w:rFonts w:ascii="Tahoma" w:hAnsi="Tahoma" w:cs="Tahoma"/>
          <w:b/>
          <w:bCs/>
          <w:iCs/>
        </w:rPr>
        <w:t>Protección S.A.</w:t>
      </w:r>
      <w:r w:rsidRPr="00570B7A">
        <w:rPr>
          <w:rFonts w:ascii="Tahoma" w:hAnsi="Tahoma" w:cs="Tahoma"/>
          <w:iCs/>
        </w:rPr>
        <w:t xml:space="preserve"> </w:t>
      </w:r>
      <w:r w:rsidR="00FC1B45" w:rsidRPr="00570B7A">
        <w:rPr>
          <w:rFonts w:ascii="Tahoma" w:hAnsi="Tahoma" w:cs="Tahoma"/>
          <w:iCs/>
        </w:rPr>
        <w:t xml:space="preserve">se opuso a todo lo pretendido por la demandada, manifestando que </w:t>
      </w:r>
      <w:r w:rsidR="008F31F5" w:rsidRPr="00570B7A">
        <w:rPr>
          <w:rFonts w:ascii="Tahoma" w:hAnsi="Tahoma" w:cs="Tahoma"/>
        </w:rPr>
        <w:t xml:space="preserve">  </w:t>
      </w:r>
      <w:proofErr w:type="gramStart"/>
      <w:r w:rsidR="008F31F5" w:rsidRPr="00570B7A">
        <w:rPr>
          <w:rFonts w:ascii="Tahoma" w:hAnsi="Tahoma" w:cs="Tahoma"/>
        </w:rPr>
        <w:t>dicho  suceso</w:t>
      </w:r>
      <w:proofErr w:type="gramEnd"/>
      <w:r w:rsidR="008F31F5" w:rsidRPr="00570B7A">
        <w:rPr>
          <w:rFonts w:ascii="Tahoma" w:hAnsi="Tahoma" w:cs="Tahoma"/>
        </w:rPr>
        <w:t xml:space="preserve">  jurídico  no  debe adolecer  de  vicios    en  el  consentimiento  que  deban  recaer    sobre  la voluntad  de  la  actora  porque  no  existieron precisamente  las maniobras preterintencionales que se le endilgan.</w:t>
      </w:r>
    </w:p>
    <w:p w14:paraId="17FC09BD" w14:textId="77777777" w:rsidR="00E531FA" w:rsidRPr="00570B7A" w:rsidRDefault="00E531FA" w:rsidP="00E531FA">
      <w:pPr>
        <w:spacing w:before="0" w:beforeAutospacing="0" w:after="0" w:afterAutospacing="0" w:line="276" w:lineRule="auto"/>
        <w:rPr>
          <w:rFonts w:ascii="Tahoma" w:hAnsi="Tahoma" w:cs="Tahoma"/>
          <w:iCs/>
        </w:rPr>
      </w:pPr>
    </w:p>
    <w:p w14:paraId="26C925B5" w14:textId="3B0E6703" w:rsidR="008F23C0" w:rsidRDefault="001E1E92" w:rsidP="00E531FA">
      <w:pPr>
        <w:spacing w:before="0" w:beforeAutospacing="0" w:after="0" w:afterAutospacing="0" w:line="276" w:lineRule="auto"/>
        <w:rPr>
          <w:rFonts w:ascii="Tahoma" w:hAnsi="Tahoma" w:cs="Tahoma"/>
        </w:rPr>
      </w:pPr>
      <w:r w:rsidRPr="00570B7A">
        <w:rPr>
          <w:rFonts w:ascii="Tahoma" w:hAnsi="Tahoma" w:cs="Tahoma"/>
        </w:rPr>
        <w:t>En ese sentido, propuso excepciones de mérito que denomin</w:t>
      </w:r>
      <w:r w:rsidR="00DE4C29" w:rsidRPr="00570B7A">
        <w:rPr>
          <w:rFonts w:ascii="Tahoma" w:hAnsi="Tahoma" w:cs="Tahoma"/>
        </w:rPr>
        <w:t>ó</w:t>
      </w:r>
      <w:r w:rsidRPr="00570B7A">
        <w:rPr>
          <w:rFonts w:ascii="Tahoma" w:hAnsi="Tahoma" w:cs="Tahoma"/>
        </w:rPr>
        <w:t xml:space="preserve"> como “Genérica </w:t>
      </w:r>
      <w:proofErr w:type="spellStart"/>
      <w:r w:rsidRPr="00570B7A">
        <w:rPr>
          <w:rFonts w:ascii="Tahoma" w:hAnsi="Tahoma" w:cs="Tahoma"/>
        </w:rPr>
        <w:t>ó</w:t>
      </w:r>
      <w:proofErr w:type="spellEnd"/>
      <w:r w:rsidRPr="00570B7A">
        <w:rPr>
          <w:rFonts w:ascii="Tahoma" w:hAnsi="Tahoma" w:cs="Tahoma"/>
        </w:rPr>
        <w:t xml:space="preserve">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w:t>
      </w:r>
      <w:r w:rsidRPr="00570B7A">
        <w:rPr>
          <w:rFonts w:ascii="Tahoma" w:hAnsi="Tahoma" w:cs="Tahoma"/>
          <w:lang w:eastAsia="es-MX"/>
        </w:rPr>
        <w:t>Excepción  de  mérito  seguro  previsional</w:t>
      </w:r>
      <w:r w:rsidRPr="00570B7A">
        <w:rPr>
          <w:rFonts w:ascii="Tahoma" w:hAnsi="Tahoma" w:cs="Tahoma"/>
        </w:rPr>
        <w:t>”; y “Excepción de mérito cuotas de administración.”</w:t>
      </w:r>
    </w:p>
    <w:p w14:paraId="32929F47" w14:textId="77777777" w:rsidR="00E531FA" w:rsidRPr="00570B7A" w:rsidRDefault="00E531FA" w:rsidP="00E531FA">
      <w:pPr>
        <w:spacing w:before="0" w:beforeAutospacing="0" w:after="0" w:afterAutospacing="0" w:line="276" w:lineRule="auto"/>
        <w:rPr>
          <w:rFonts w:ascii="Tahoma" w:eastAsia="Times New Roman" w:hAnsi="Tahoma" w:cs="Tahoma"/>
          <w:lang w:eastAsia="es-MX"/>
        </w:rPr>
      </w:pPr>
    </w:p>
    <w:p w14:paraId="78ADCE36" w14:textId="29BFCC4B" w:rsidR="000C5130" w:rsidRPr="00570B7A" w:rsidRDefault="00BE4084" w:rsidP="00E531FA">
      <w:pPr>
        <w:spacing w:before="0" w:beforeAutospacing="0" w:after="0" w:afterAutospacing="0" w:line="276" w:lineRule="auto"/>
        <w:ind w:firstLine="708"/>
        <w:contextualSpacing/>
        <w:rPr>
          <w:rFonts w:ascii="Tahoma" w:hAnsi="Tahoma" w:cs="Tahoma"/>
        </w:rPr>
      </w:pPr>
      <w:r w:rsidRPr="00570B7A">
        <w:rPr>
          <w:rFonts w:ascii="Tahoma" w:hAnsi="Tahoma" w:cs="Tahoma"/>
        </w:rPr>
        <w:t>Por su parte,</w:t>
      </w:r>
      <w:r w:rsidRPr="00570B7A">
        <w:rPr>
          <w:rFonts w:ascii="Tahoma" w:hAnsi="Tahoma" w:cs="Tahoma"/>
          <w:b/>
        </w:rPr>
        <w:t xml:space="preserve"> Porvenir S.A</w:t>
      </w:r>
      <w:r w:rsidRPr="00570B7A">
        <w:rPr>
          <w:rFonts w:ascii="Tahoma" w:hAnsi="Tahoma" w:cs="Tahoma"/>
        </w:rPr>
        <w:t xml:space="preserve"> se opuso a lo pretendido por la parte demandante, señalando </w:t>
      </w:r>
      <w:proofErr w:type="gramStart"/>
      <w:r w:rsidR="000C5130" w:rsidRPr="00570B7A">
        <w:rPr>
          <w:rFonts w:ascii="Tahoma" w:eastAsia="Calibri" w:hAnsi="Tahoma" w:cs="Tahoma"/>
        </w:rPr>
        <w:t>que</w:t>
      </w:r>
      <w:r w:rsidR="000C5130" w:rsidRPr="00570B7A">
        <w:rPr>
          <w:rFonts w:ascii="Tahoma" w:hAnsi="Tahoma" w:cs="Tahoma"/>
        </w:rPr>
        <w:t xml:space="preserve">  el</w:t>
      </w:r>
      <w:proofErr w:type="gramEnd"/>
      <w:r w:rsidR="000C5130" w:rsidRPr="00570B7A">
        <w:rPr>
          <w:rFonts w:ascii="Tahoma" w:hAnsi="Tahoma" w:cs="Tahoma"/>
        </w:rPr>
        <w:t xml:space="preserve">  traslado  de  régimen  fue  realizado  por la AFP Protección y , demás, que </w:t>
      </w:r>
      <w:r w:rsidR="004D5C96" w:rsidRPr="00570B7A">
        <w:rPr>
          <w:rFonts w:ascii="Tahoma" w:hAnsi="Tahoma" w:cs="Tahoma"/>
        </w:rPr>
        <w:t>e</w:t>
      </w:r>
      <w:r w:rsidR="000C5130" w:rsidRPr="00570B7A">
        <w:rPr>
          <w:rFonts w:ascii="Tahoma" w:hAnsi="Tahoma" w:cs="Tahoma"/>
        </w:rPr>
        <w:t xml:space="preserve">l  acto  jurídico  mediante  el  cual  la  </w:t>
      </w:r>
      <w:r w:rsidR="004D5C96" w:rsidRPr="00570B7A">
        <w:rPr>
          <w:rFonts w:ascii="Tahoma" w:hAnsi="Tahoma" w:cs="Tahoma"/>
        </w:rPr>
        <w:t>d</w:t>
      </w:r>
      <w:r w:rsidR="000C5130" w:rsidRPr="00570B7A">
        <w:rPr>
          <w:rFonts w:ascii="Tahoma" w:hAnsi="Tahoma" w:cs="Tahoma"/>
        </w:rPr>
        <w:t>emandante  se  trasladó  de  régimen produjo los correspondientes efectos; particularmente la realización de aportes a su cuenta de ahorro individual, durante más de 24 años. En ese medida, explica que el hecho de que las mesadas pensionales proyectadas en la actualidad en el RAIS sean inferiores a las estimadas hace más 24 años, no significa que la información brindada por el asesor de Protección, hubiese sido engañosa y falsa.</w:t>
      </w:r>
    </w:p>
    <w:p w14:paraId="7E091352" w14:textId="77777777" w:rsidR="00BE4084" w:rsidRPr="00570B7A" w:rsidRDefault="00BE4084" w:rsidP="00E531FA">
      <w:pPr>
        <w:spacing w:before="0" w:beforeAutospacing="0" w:after="0" w:afterAutospacing="0" w:line="276" w:lineRule="auto"/>
        <w:ind w:firstLine="0"/>
        <w:contextualSpacing/>
        <w:rPr>
          <w:rFonts w:ascii="Tahoma" w:eastAsia="Calibri" w:hAnsi="Tahoma" w:cs="Tahoma"/>
        </w:rPr>
      </w:pPr>
    </w:p>
    <w:p w14:paraId="3D37265A" w14:textId="1EAFBD70" w:rsidR="00BE4084" w:rsidRDefault="00BE4084" w:rsidP="00E531FA">
      <w:pPr>
        <w:spacing w:before="0" w:beforeAutospacing="0" w:after="0" w:afterAutospacing="0" w:line="276" w:lineRule="auto"/>
        <w:ind w:firstLine="708"/>
        <w:contextualSpacing/>
        <w:rPr>
          <w:rFonts w:ascii="Tahoma" w:hAnsi="Tahoma" w:cs="Tahoma"/>
          <w:i/>
        </w:rPr>
      </w:pPr>
      <w:r w:rsidRPr="00570B7A">
        <w:rPr>
          <w:rFonts w:ascii="Tahoma" w:hAnsi="Tahoma" w:cs="Tahoma"/>
        </w:rPr>
        <w:lastRenderedPageBreak/>
        <w:t xml:space="preserve">En virtud de lo antedicho, como excepciones </w:t>
      </w:r>
      <w:r w:rsidR="009E7C13" w:rsidRPr="00570B7A">
        <w:rPr>
          <w:rFonts w:ascii="Tahoma" w:hAnsi="Tahoma" w:cs="Tahoma"/>
        </w:rPr>
        <w:t>de mérito</w:t>
      </w:r>
      <w:r w:rsidRPr="00570B7A">
        <w:rPr>
          <w:rFonts w:ascii="Tahoma" w:hAnsi="Tahoma" w:cs="Tahoma"/>
        </w:rPr>
        <w:t xml:space="preserve"> esgrimió las de </w:t>
      </w:r>
      <w:r w:rsidRPr="00570B7A">
        <w:rPr>
          <w:rFonts w:ascii="Tahoma" w:hAnsi="Tahoma" w:cs="Tahoma"/>
          <w:i/>
        </w:rPr>
        <w:t xml:space="preserve">“Validez y eficacia de la afiliación </w:t>
      </w:r>
      <w:r w:rsidR="009E7C13" w:rsidRPr="00570B7A">
        <w:rPr>
          <w:rFonts w:ascii="Tahoma" w:hAnsi="Tahoma" w:cs="Tahoma"/>
          <w:i/>
        </w:rPr>
        <w:t>a</w:t>
      </w:r>
      <w:r w:rsidR="001E1E92" w:rsidRPr="00570B7A">
        <w:rPr>
          <w:rFonts w:ascii="Tahoma" w:hAnsi="Tahoma" w:cs="Tahoma"/>
          <w:i/>
        </w:rPr>
        <w:t xml:space="preserve">l RAIS </w:t>
      </w:r>
      <w:r w:rsidRPr="00570B7A">
        <w:rPr>
          <w:rFonts w:ascii="Tahoma" w:hAnsi="Tahoma" w:cs="Tahoma"/>
          <w:i/>
        </w:rPr>
        <w:t xml:space="preserve">e inexistencia de vicios en el consentimiento”; “Inexistencia de la obligación de </w:t>
      </w:r>
      <w:r w:rsidR="004B4943" w:rsidRPr="00570B7A">
        <w:rPr>
          <w:rFonts w:ascii="Tahoma" w:hAnsi="Tahoma" w:cs="Tahoma"/>
          <w:i/>
        </w:rPr>
        <w:t>devolver</w:t>
      </w:r>
      <w:r w:rsidRPr="00570B7A">
        <w:rPr>
          <w:rFonts w:ascii="Tahoma" w:hAnsi="Tahoma" w:cs="Tahoma"/>
          <w:i/>
        </w:rPr>
        <w:t xml:space="preserve"> la comisión de administración, en caso de que se declare la nulidad o ineficacia de la afiliación al RAIS”; “Inexistencia de la obligación de </w:t>
      </w:r>
      <w:r w:rsidR="004B4943" w:rsidRPr="00570B7A">
        <w:rPr>
          <w:rFonts w:ascii="Tahoma" w:hAnsi="Tahoma" w:cs="Tahoma"/>
          <w:i/>
        </w:rPr>
        <w:t>devolver</w:t>
      </w:r>
      <w:r w:rsidRPr="00570B7A">
        <w:rPr>
          <w:rFonts w:ascii="Tahoma" w:hAnsi="Tahoma" w:cs="Tahoma"/>
          <w:i/>
        </w:rPr>
        <w:t xml:space="preserve"> el pago al seguro previsional cuando se declara la nulidad o ineficacia de la afiliación al RAIS”; Prescripción”;  “Buena fe”; e “innominada o genérica”.</w:t>
      </w:r>
    </w:p>
    <w:p w14:paraId="57033426" w14:textId="48E2F433" w:rsidR="00EB0192" w:rsidRDefault="00EB0192" w:rsidP="00E531FA">
      <w:pPr>
        <w:spacing w:before="0" w:beforeAutospacing="0" w:after="0" w:afterAutospacing="0" w:line="276" w:lineRule="auto"/>
        <w:ind w:firstLine="708"/>
        <w:contextualSpacing/>
        <w:rPr>
          <w:rFonts w:ascii="Tahoma" w:hAnsi="Tahoma" w:cs="Tahoma"/>
          <w:i/>
        </w:rPr>
      </w:pPr>
    </w:p>
    <w:p w14:paraId="45BF2D3B" w14:textId="77777777" w:rsidR="002436E2" w:rsidRPr="00570B7A" w:rsidRDefault="002436E2" w:rsidP="00E531FA">
      <w:pPr>
        <w:spacing w:before="0" w:beforeAutospacing="0" w:after="0" w:afterAutospacing="0" w:line="276" w:lineRule="auto"/>
        <w:ind w:firstLine="708"/>
        <w:contextualSpacing/>
        <w:rPr>
          <w:rFonts w:ascii="Tahoma" w:hAnsi="Tahoma" w:cs="Tahoma"/>
          <w:i/>
        </w:rPr>
      </w:pPr>
    </w:p>
    <w:p w14:paraId="38F4B4D5" w14:textId="77777777" w:rsidR="004122B8" w:rsidRPr="00570B7A" w:rsidRDefault="004122B8" w:rsidP="00E531FA">
      <w:pPr>
        <w:pStyle w:val="Prrafodelista"/>
        <w:numPr>
          <w:ilvl w:val="0"/>
          <w:numId w:val="1"/>
        </w:numPr>
        <w:spacing w:line="276" w:lineRule="auto"/>
        <w:ind w:left="426" w:hanging="426"/>
        <w:jc w:val="center"/>
        <w:rPr>
          <w:rFonts w:cs="Tahoma"/>
          <w:b/>
          <w:bCs/>
          <w:szCs w:val="24"/>
        </w:rPr>
      </w:pPr>
      <w:r w:rsidRPr="00570B7A">
        <w:rPr>
          <w:rFonts w:cs="Tahoma"/>
          <w:b/>
          <w:bCs/>
          <w:szCs w:val="24"/>
        </w:rPr>
        <w:t>Sentencia de primera instancia</w:t>
      </w:r>
    </w:p>
    <w:p w14:paraId="64DB57B1" w14:textId="77777777" w:rsidR="00EB0192" w:rsidRDefault="00EB0192" w:rsidP="00E531FA">
      <w:pPr>
        <w:spacing w:before="0" w:beforeAutospacing="0" w:after="0" w:afterAutospacing="0" w:line="276" w:lineRule="auto"/>
        <w:rPr>
          <w:rFonts w:ascii="Tahoma" w:eastAsia="Calibri" w:hAnsi="Tahoma" w:cs="Tahoma"/>
        </w:rPr>
      </w:pPr>
    </w:p>
    <w:p w14:paraId="6E86804B" w14:textId="6C2865EE" w:rsidR="004122B8" w:rsidRPr="00570B7A" w:rsidRDefault="009E7C13" w:rsidP="00E531FA">
      <w:pPr>
        <w:spacing w:before="0" w:beforeAutospacing="0" w:after="0" w:afterAutospacing="0" w:line="276" w:lineRule="auto"/>
        <w:rPr>
          <w:rFonts w:ascii="Tahoma" w:hAnsi="Tahoma" w:cs="Tahoma"/>
        </w:rPr>
      </w:pPr>
      <w:r w:rsidRPr="00570B7A">
        <w:rPr>
          <w:rFonts w:ascii="Tahoma" w:eastAsia="Calibri" w:hAnsi="Tahoma" w:cs="Tahoma"/>
        </w:rPr>
        <w:t xml:space="preserve">La </w:t>
      </w:r>
      <w:r w:rsidR="004122B8" w:rsidRPr="00570B7A">
        <w:rPr>
          <w:rFonts w:ascii="Tahoma" w:eastAsia="Calibri" w:hAnsi="Tahoma" w:cs="Tahoma"/>
        </w:rPr>
        <w:t>Juez</w:t>
      </w:r>
      <w:r w:rsidR="00496EC0" w:rsidRPr="00570B7A">
        <w:rPr>
          <w:rFonts w:ascii="Tahoma" w:eastAsia="Calibri" w:hAnsi="Tahoma" w:cs="Tahoma"/>
        </w:rPr>
        <w:t>a</w:t>
      </w:r>
      <w:r w:rsidR="004122B8" w:rsidRPr="00570B7A">
        <w:rPr>
          <w:rFonts w:ascii="Tahoma" w:eastAsia="Calibri" w:hAnsi="Tahoma" w:cs="Tahoma"/>
        </w:rPr>
        <w:t xml:space="preserve"> de primera instancia </w:t>
      </w:r>
      <w:r w:rsidR="00496EC0" w:rsidRPr="00570B7A">
        <w:rPr>
          <w:rFonts w:ascii="Tahoma" w:eastAsia="Calibri" w:hAnsi="Tahoma" w:cs="Tahoma"/>
        </w:rPr>
        <w:t>desestimó</w:t>
      </w:r>
      <w:r w:rsidR="004122B8" w:rsidRPr="00570B7A">
        <w:rPr>
          <w:rFonts w:ascii="Tahoma" w:eastAsia="Calibri" w:hAnsi="Tahoma" w:cs="Tahoma"/>
        </w:rPr>
        <w:t xml:space="preserve"> los medios exceptivos propuestos por las codemandadas y declaró </w:t>
      </w:r>
      <w:r w:rsidR="00004298" w:rsidRPr="00570B7A">
        <w:rPr>
          <w:rFonts w:ascii="Tahoma" w:hAnsi="Tahoma" w:cs="Tahoma"/>
        </w:rPr>
        <w:t xml:space="preserve"> la </w:t>
      </w:r>
      <w:r w:rsidR="004D5C96" w:rsidRPr="00570B7A">
        <w:rPr>
          <w:rFonts w:ascii="Tahoma" w:hAnsi="Tahoma" w:cs="Tahoma"/>
        </w:rPr>
        <w:t>i</w:t>
      </w:r>
      <w:r w:rsidR="006633A2" w:rsidRPr="00570B7A">
        <w:rPr>
          <w:rFonts w:ascii="Tahoma" w:hAnsi="Tahoma" w:cs="Tahoma"/>
        </w:rPr>
        <w:t xml:space="preserve">neficacia  del  traslado  de  régimen  que Alicia Arango Ocampo efectuó al régimen de ahorro individual con solidaridad,  mediante  solicitud  del  07  de  octubre  de  1996, efectivo a partir del 01 de diciembre del mismo año a través de Colmena  hoy  Protección  S.A. y   con   ello   el   traslado efectuado a Porvenir </w:t>
      </w:r>
      <w:proofErr w:type="spellStart"/>
      <w:r w:rsidR="006633A2" w:rsidRPr="00570B7A">
        <w:rPr>
          <w:rFonts w:ascii="Tahoma" w:hAnsi="Tahoma" w:cs="Tahoma"/>
        </w:rPr>
        <w:t>S.A.el</w:t>
      </w:r>
      <w:proofErr w:type="spellEnd"/>
      <w:r w:rsidR="006633A2" w:rsidRPr="00570B7A">
        <w:rPr>
          <w:rFonts w:ascii="Tahoma" w:hAnsi="Tahoma" w:cs="Tahoma"/>
        </w:rPr>
        <w:t xml:space="preserve"> 10 de octubre de 1998, efectivo a partir del 01 de diciembre del mismo año y a Horizonte el 27 de diciembre de 2004, efectivo a partir del 01 de febrero de 2005.</w:t>
      </w:r>
    </w:p>
    <w:p w14:paraId="5BB8C73A" w14:textId="77777777" w:rsidR="00EB0192" w:rsidRDefault="00EB0192" w:rsidP="00E531FA">
      <w:pPr>
        <w:spacing w:before="0" w:beforeAutospacing="0" w:after="0" w:afterAutospacing="0" w:line="276" w:lineRule="auto"/>
        <w:rPr>
          <w:rFonts w:ascii="Tahoma" w:eastAsia="Calibri" w:hAnsi="Tahoma" w:cs="Tahoma"/>
        </w:rPr>
      </w:pPr>
    </w:p>
    <w:p w14:paraId="7CFC4251" w14:textId="4DC00CD3" w:rsidR="00496EC0" w:rsidRDefault="004122B8" w:rsidP="00E531FA">
      <w:pPr>
        <w:spacing w:before="0" w:beforeAutospacing="0" w:after="0" w:afterAutospacing="0" w:line="276" w:lineRule="auto"/>
        <w:rPr>
          <w:rFonts w:ascii="Tahoma" w:hAnsi="Tahoma" w:cs="Tahoma"/>
        </w:rPr>
      </w:pPr>
      <w:r w:rsidRPr="00570B7A">
        <w:rPr>
          <w:rFonts w:ascii="Tahoma" w:eastAsia="Calibri" w:hAnsi="Tahoma" w:cs="Tahoma"/>
        </w:rPr>
        <w:t xml:space="preserve">En consecuencia, </w:t>
      </w:r>
      <w:r w:rsidR="006633A2" w:rsidRPr="00570B7A">
        <w:rPr>
          <w:rFonts w:ascii="Tahoma" w:hAnsi="Tahoma" w:cs="Tahoma"/>
        </w:rPr>
        <w:t xml:space="preserve">ordenó a </w:t>
      </w:r>
      <w:proofErr w:type="gramStart"/>
      <w:r w:rsidR="003923F0" w:rsidRPr="00570B7A">
        <w:rPr>
          <w:rFonts w:ascii="Tahoma" w:hAnsi="Tahoma" w:cs="Tahoma"/>
        </w:rPr>
        <w:t>Porvenir</w:t>
      </w:r>
      <w:r w:rsidR="006633A2" w:rsidRPr="00570B7A">
        <w:rPr>
          <w:rFonts w:ascii="Tahoma" w:hAnsi="Tahoma" w:cs="Tahoma"/>
        </w:rPr>
        <w:t xml:space="preserve">  S.A.</w:t>
      </w:r>
      <w:proofErr w:type="gramEnd"/>
      <w:r w:rsidR="006633A2" w:rsidRPr="00570B7A">
        <w:rPr>
          <w:rFonts w:ascii="Tahoma" w:hAnsi="Tahoma" w:cs="Tahoma"/>
        </w:rPr>
        <w:t xml:space="preserve">, que  proceda  a  devolver  a  </w:t>
      </w:r>
      <w:r w:rsidR="003923F0" w:rsidRPr="00570B7A">
        <w:rPr>
          <w:rFonts w:ascii="Tahoma" w:hAnsi="Tahoma" w:cs="Tahoma"/>
        </w:rPr>
        <w:t xml:space="preserve">Colpensiones,   </w:t>
      </w:r>
      <w:r w:rsidR="006633A2" w:rsidRPr="00570B7A">
        <w:rPr>
          <w:rFonts w:ascii="Tahoma" w:hAnsi="Tahoma" w:cs="Tahoma"/>
        </w:rPr>
        <w:t xml:space="preserve">la   totalidad   de   las   sumas   recibidas   con ocasión  de  la  afiliación  de </w:t>
      </w:r>
      <w:r w:rsidR="003923F0" w:rsidRPr="00570B7A">
        <w:rPr>
          <w:rFonts w:ascii="Tahoma" w:hAnsi="Tahoma" w:cs="Tahoma"/>
        </w:rPr>
        <w:t>Alicia  Arango  Ocampo,</w:t>
      </w:r>
      <w:r w:rsidR="006633A2" w:rsidRPr="00570B7A">
        <w:rPr>
          <w:rFonts w:ascii="Tahoma" w:hAnsi="Tahoma" w:cs="Tahoma"/>
        </w:rPr>
        <w:t xml:space="preserve">  por concepto de cotizaciones</w:t>
      </w:r>
      <w:r w:rsidR="004D5C96" w:rsidRPr="00570B7A">
        <w:rPr>
          <w:rFonts w:ascii="Tahoma" w:hAnsi="Tahoma" w:cs="Tahoma"/>
        </w:rPr>
        <w:t xml:space="preserve"> </w:t>
      </w:r>
      <w:r w:rsidR="006633A2" w:rsidRPr="00570B7A">
        <w:rPr>
          <w:rFonts w:ascii="Tahoma" w:hAnsi="Tahoma" w:cs="Tahoma"/>
        </w:rPr>
        <w:t xml:space="preserve">recaudadas durante la vigencia de la afiliación,  incluyendo  lo que en  su  momento  aportó  a  través  de </w:t>
      </w:r>
      <w:r w:rsidR="003923F0" w:rsidRPr="00570B7A">
        <w:rPr>
          <w:rFonts w:ascii="Tahoma" w:hAnsi="Tahoma" w:cs="Tahoma"/>
        </w:rPr>
        <w:t>Colmena</w:t>
      </w:r>
      <w:r w:rsidR="006633A2" w:rsidRPr="00570B7A">
        <w:rPr>
          <w:rFonts w:ascii="Tahoma" w:hAnsi="Tahoma" w:cs="Tahoma"/>
        </w:rPr>
        <w:t xml:space="preserve">  hoy  </w:t>
      </w:r>
      <w:r w:rsidR="003923F0" w:rsidRPr="00570B7A">
        <w:rPr>
          <w:rFonts w:ascii="Tahoma" w:hAnsi="Tahoma" w:cs="Tahoma"/>
        </w:rPr>
        <w:t>Protección</w:t>
      </w:r>
      <w:r w:rsidR="006633A2" w:rsidRPr="00570B7A">
        <w:rPr>
          <w:rFonts w:ascii="Tahoma" w:hAnsi="Tahoma" w:cs="Tahoma"/>
        </w:rPr>
        <w:t xml:space="preserve">  S.A..,  sumas  adicionales,  junto con sus respectivos rendimiento, frutos e intereses.</w:t>
      </w:r>
    </w:p>
    <w:p w14:paraId="026CD35B" w14:textId="77777777" w:rsidR="00E531FA" w:rsidRPr="00570B7A" w:rsidRDefault="00E531FA" w:rsidP="00E531FA">
      <w:pPr>
        <w:spacing w:before="0" w:beforeAutospacing="0" w:after="0" w:afterAutospacing="0" w:line="276" w:lineRule="auto"/>
        <w:rPr>
          <w:rFonts w:ascii="Tahoma" w:hAnsi="Tahoma" w:cs="Tahoma"/>
        </w:rPr>
      </w:pPr>
    </w:p>
    <w:p w14:paraId="480707B4" w14:textId="23F50BC6" w:rsidR="006633A2" w:rsidRDefault="00332A6A" w:rsidP="00E531FA">
      <w:pPr>
        <w:spacing w:before="0" w:beforeAutospacing="0" w:after="0" w:afterAutospacing="0" w:line="276" w:lineRule="auto"/>
        <w:rPr>
          <w:rFonts w:ascii="Tahoma" w:hAnsi="Tahoma" w:cs="Tahoma"/>
        </w:rPr>
      </w:pPr>
      <w:r w:rsidRPr="00570B7A">
        <w:rPr>
          <w:rFonts w:ascii="Tahoma" w:hAnsi="Tahoma" w:cs="Tahoma"/>
        </w:rPr>
        <w:t xml:space="preserve">En ese sentido, </w:t>
      </w:r>
      <w:r w:rsidR="006633A2" w:rsidRPr="00570B7A">
        <w:rPr>
          <w:rFonts w:ascii="Tahoma" w:hAnsi="Tahoma" w:cs="Tahoma"/>
        </w:rPr>
        <w:t>ordenó a</w:t>
      </w:r>
      <w:r w:rsidR="003923F0" w:rsidRPr="00570B7A">
        <w:rPr>
          <w:rFonts w:ascii="Tahoma" w:hAnsi="Tahoma" w:cs="Tahoma"/>
        </w:rPr>
        <w:t xml:space="preserve"> </w:t>
      </w:r>
      <w:proofErr w:type="gramStart"/>
      <w:r w:rsidR="003923F0" w:rsidRPr="00570B7A">
        <w:rPr>
          <w:rFonts w:ascii="Tahoma" w:hAnsi="Tahoma" w:cs="Tahoma"/>
        </w:rPr>
        <w:t>Protección</w:t>
      </w:r>
      <w:r w:rsidR="006633A2" w:rsidRPr="00570B7A">
        <w:rPr>
          <w:rFonts w:ascii="Tahoma" w:hAnsi="Tahoma" w:cs="Tahoma"/>
        </w:rPr>
        <w:t xml:space="preserve">  S.A.</w:t>
      </w:r>
      <w:proofErr w:type="gramEnd"/>
      <w:r w:rsidR="006633A2" w:rsidRPr="00570B7A">
        <w:rPr>
          <w:rFonts w:ascii="Tahoma" w:hAnsi="Tahoma" w:cs="Tahoma"/>
        </w:rPr>
        <w:t xml:space="preserve"> y  a</w:t>
      </w:r>
      <w:r w:rsidR="003923F0" w:rsidRPr="00570B7A">
        <w:rPr>
          <w:rFonts w:ascii="Tahoma" w:hAnsi="Tahoma" w:cs="Tahoma"/>
        </w:rPr>
        <w:t xml:space="preserve"> Porvenir</w:t>
      </w:r>
      <w:r w:rsidR="006633A2" w:rsidRPr="00570B7A">
        <w:rPr>
          <w:rFonts w:ascii="Tahoma" w:hAnsi="Tahoma" w:cs="Tahoma"/>
        </w:rPr>
        <w:t xml:space="preserve">  </w:t>
      </w:r>
      <w:proofErr w:type="spellStart"/>
      <w:r w:rsidR="006633A2" w:rsidRPr="00570B7A">
        <w:rPr>
          <w:rFonts w:ascii="Tahoma" w:hAnsi="Tahoma" w:cs="Tahoma"/>
        </w:rPr>
        <w:t>S.A.que</w:t>
      </w:r>
      <w:proofErr w:type="spellEnd"/>
      <w:r w:rsidR="006633A2" w:rsidRPr="00570B7A">
        <w:rPr>
          <w:rFonts w:ascii="Tahoma" w:hAnsi="Tahoma" w:cs="Tahoma"/>
        </w:rPr>
        <w:t xml:space="preserve"> devuelvan a </w:t>
      </w:r>
      <w:r w:rsidR="003923F0" w:rsidRPr="00570B7A">
        <w:rPr>
          <w:rFonts w:ascii="Tahoma" w:hAnsi="Tahoma" w:cs="Tahoma"/>
        </w:rPr>
        <w:t xml:space="preserve">Colpensiones </w:t>
      </w:r>
      <w:r w:rsidR="006633A2" w:rsidRPr="00570B7A">
        <w:rPr>
          <w:rFonts w:ascii="Tahoma" w:hAnsi="Tahoma" w:cs="Tahoma"/>
        </w:rPr>
        <w:t>con cargo a sus propios recursos el  valor  de  las comisiones</w:t>
      </w:r>
      <w:r w:rsidR="004D5C96" w:rsidRPr="00570B7A">
        <w:rPr>
          <w:rFonts w:ascii="Tahoma" w:hAnsi="Tahoma" w:cs="Tahoma"/>
        </w:rPr>
        <w:t xml:space="preserve"> </w:t>
      </w:r>
      <w:r w:rsidR="006633A2" w:rsidRPr="00570B7A">
        <w:rPr>
          <w:rFonts w:ascii="Tahoma" w:hAnsi="Tahoma" w:cs="Tahoma"/>
        </w:rPr>
        <w:t xml:space="preserve">y  cuotas  de  administración  que cobraron, así como las cuotas de garantía de pensión mínima y seguros  previsionales  que  descontaron  durante  el  período  que </w:t>
      </w:r>
      <w:r w:rsidR="003923F0" w:rsidRPr="00570B7A">
        <w:rPr>
          <w:rFonts w:ascii="Tahoma" w:hAnsi="Tahoma" w:cs="Tahoma"/>
        </w:rPr>
        <w:t xml:space="preserve">Alicia  Arango Ocampo </w:t>
      </w:r>
      <w:r w:rsidR="006633A2" w:rsidRPr="00570B7A">
        <w:rPr>
          <w:rFonts w:ascii="Tahoma" w:hAnsi="Tahoma" w:cs="Tahoma"/>
        </w:rPr>
        <w:t>estuvo   afiliada   a   esos   fondos, debidamente indexados.</w:t>
      </w:r>
    </w:p>
    <w:p w14:paraId="0AD169E0" w14:textId="77777777" w:rsidR="00E531FA" w:rsidRPr="00570B7A" w:rsidRDefault="00E531FA" w:rsidP="00E531FA">
      <w:pPr>
        <w:spacing w:before="0" w:beforeAutospacing="0" w:after="0" w:afterAutospacing="0" w:line="276" w:lineRule="auto"/>
        <w:rPr>
          <w:rFonts w:ascii="Tahoma" w:hAnsi="Tahoma" w:cs="Tahoma"/>
        </w:rPr>
      </w:pPr>
    </w:p>
    <w:p w14:paraId="09906231" w14:textId="1ED770AC" w:rsidR="00332A6A" w:rsidRDefault="00296023" w:rsidP="00E531FA">
      <w:pPr>
        <w:spacing w:before="0" w:beforeAutospacing="0" w:after="0" w:afterAutospacing="0" w:line="276" w:lineRule="auto"/>
        <w:rPr>
          <w:rFonts w:ascii="Tahoma" w:hAnsi="Tahoma" w:cs="Tahoma"/>
        </w:rPr>
      </w:pPr>
      <w:r w:rsidRPr="00570B7A">
        <w:rPr>
          <w:rFonts w:ascii="Tahoma" w:eastAsia="Calibri" w:hAnsi="Tahoma" w:cs="Tahoma"/>
        </w:rPr>
        <w:t xml:space="preserve">Por otra parte, ordenó a Colpensiones que acepte el retorno del actor, </w:t>
      </w:r>
      <w:r w:rsidRPr="00570B7A">
        <w:rPr>
          <w:rFonts w:ascii="Tahoma" w:hAnsi="Tahoma" w:cs="Tahoma"/>
          <w:lang w:val="es-MX"/>
        </w:rPr>
        <w:t xml:space="preserve">sin solución de continuidad y dispuso comunicar la decisión a la OBP del Ministerio </w:t>
      </w:r>
      <w:r w:rsidR="002843C8" w:rsidRPr="00570B7A">
        <w:rPr>
          <w:rFonts w:ascii="Tahoma" w:hAnsi="Tahoma" w:cs="Tahoma"/>
          <w:lang w:val="es-MX"/>
        </w:rPr>
        <w:t>d</w:t>
      </w:r>
      <w:r w:rsidRPr="00570B7A">
        <w:rPr>
          <w:rFonts w:ascii="Tahoma" w:hAnsi="Tahoma" w:cs="Tahoma"/>
          <w:lang w:val="es-MX"/>
        </w:rPr>
        <w:t xml:space="preserve">e Hacienda y Crédito Público, </w:t>
      </w:r>
      <w:r w:rsidR="00332A6A" w:rsidRPr="00570B7A">
        <w:rPr>
          <w:rFonts w:ascii="Tahoma" w:hAnsi="Tahoma" w:cs="Tahoma"/>
        </w:rPr>
        <w:t xml:space="preserve"> </w:t>
      </w:r>
      <w:r w:rsidR="003923F0" w:rsidRPr="00570B7A">
        <w:rPr>
          <w:rFonts w:ascii="Tahoma" w:hAnsi="Tahoma" w:cs="Tahoma"/>
        </w:rPr>
        <w:t xml:space="preserve">la  presente  decisión,  con  el  fin  de  </w:t>
      </w:r>
      <w:proofErr w:type="spellStart"/>
      <w:r w:rsidR="003923F0" w:rsidRPr="00570B7A">
        <w:rPr>
          <w:rFonts w:ascii="Tahoma" w:hAnsi="Tahoma" w:cs="Tahoma"/>
        </w:rPr>
        <w:t>que,en</w:t>
      </w:r>
      <w:proofErr w:type="spellEnd"/>
      <w:r w:rsidR="003923F0" w:rsidRPr="00570B7A">
        <w:rPr>
          <w:rFonts w:ascii="Tahoma" w:hAnsi="Tahoma" w:cs="Tahoma"/>
        </w:rPr>
        <w:t xml:space="preserve"> un trámite interno y a través de canales institucionales, ejecute todas las  acciones a que haya lugar para dejar las cosas en el estado en el que se encontraban para el 30 de junio de 1996-día  anterior  a  la  efectividad  del  traslado-,  procediendo,  entre otras cosas y de ser el caso, a anular o dejar sin vigencia el bono pensional  que  se  hubiese  generado  en  favor  de la actora y que tenía como fecha de redención normal el 30 de septiembre de 2020.</w:t>
      </w:r>
    </w:p>
    <w:p w14:paraId="4A0A3619" w14:textId="77777777" w:rsidR="00E531FA" w:rsidRPr="00570B7A" w:rsidRDefault="00E531FA" w:rsidP="00E531FA">
      <w:pPr>
        <w:spacing w:before="0" w:beforeAutospacing="0" w:after="0" w:afterAutospacing="0" w:line="276" w:lineRule="auto"/>
        <w:rPr>
          <w:rFonts w:ascii="Tahoma" w:hAnsi="Tahoma" w:cs="Tahoma"/>
        </w:rPr>
      </w:pPr>
    </w:p>
    <w:p w14:paraId="78B626FC" w14:textId="04CA3F18" w:rsidR="003923F0" w:rsidRDefault="003923F0" w:rsidP="00E531FA">
      <w:pPr>
        <w:spacing w:before="0" w:beforeAutospacing="0" w:after="0" w:afterAutospacing="0" w:line="276" w:lineRule="auto"/>
        <w:rPr>
          <w:rFonts w:ascii="Tahoma" w:hAnsi="Tahoma" w:cs="Tahoma"/>
        </w:rPr>
      </w:pPr>
      <w:r w:rsidRPr="00570B7A">
        <w:rPr>
          <w:rFonts w:ascii="Tahoma" w:hAnsi="Tahoma" w:cs="Tahoma"/>
        </w:rPr>
        <w:t xml:space="preserve">Asimismo, condenó a Porvenir S.A. que, en caso de haberse efectuado </w:t>
      </w:r>
      <w:proofErr w:type="gramStart"/>
      <w:r w:rsidRPr="00570B7A">
        <w:rPr>
          <w:rFonts w:ascii="Tahoma" w:hAnsi="Tahoma" w:cs="Tahoma"/>
        </w:rPr>
        <w:t>la  redención</w:t>
      </w:r>
      <w:proofErr w:type="gramEnd"/>
      <w:r w:rsidRPr="00570B7A">
        <w:rPr>
          <w:rFonts w:ascii="Tahoma" w:hAnsi="Tahoma" w:cs="Tahoma"/>
        </w:rPr>
        <w:t xml:space="preserve">  del  bono  pensional, proceda  a  restituir  la  suma pagada  por  ese  concepto  a  favor  de  la  OBP  del  Ministerio  de Hacienda  y  Crédito  Público  y/o  </w:t>
      </w:r>
      <w:r w:rsidRPr="00570B7A">
        <w:rPr>
          <w:rFonts w:ascii="Tahoma" w:hAnsi="Tahoma" w:cs="Tahoma"/>
        </w:rPr>
        <w:lastRenderedPageBreak/>
        <w:t>a  la  entidad  que  hubiese efectuado  el  pago,  monto  que  deberá  ser  indexado  con  cargo  a sus propios recursos.</w:t>
      </w:r>
    </w:p>
    <w:p w14:paraId="5DE31F4F" w14:textId="77777777" w:rsidR="00E531FA" w:rsidRPr="00570B7A" w:rsidRDefault="00E531FA" w:rsidP="00E531FA">
      <w:pPr>
        <w:spacing w:before="0" w:beforeAutospacing="0" w:after="0" w:afterAutospacing="0" w:line="276" w:lineRule="auto"/>
        <w:rPr>
          <w:rFonts w:ascii="Tahoma" w:hAnsi="Tahoma" w:cs="Tahoma"/>
        </w:rPr>
      </w:pPr>
    </w:p>
    <w:p w14:paraId="03977CED" w14:textId="401604CA" w:rsidR="00305C60" w:rsidRPr="00570B7A" w:rsidRDefault="00305C60" w:rsidP="00E531FA">
      <w:pPr>
        <w:spacing w:before="0" w:beforeAutospacing="0" w:after="0" w:afterAutospacing="0" w:line="276" w:lineRule="auto"/>
        <w:contextualSpacing/>
        <w:rPr>
          <w:rFonts w:ascii="Tahoma" w:eastAsia="Calibri" w:hAnsi="Tahoma" w:cs="Tahoma"/>
        </w:rPr>
      </w:pPr>
      <w:r w:rsidRPr="00570B7A">
        <w:rPr>
          <w:rFonts w:ascii="Tahoma" w:eastAsia="Calibri" w:hAnsi="Tahoma" w:cs="Tahoma"/>
        </w:rPr>
        <w:t>Por último, condenó en costas a</w:t>
      </w:r>
      <w:r w:rsidR="003923F0" w:rsidRPr="00570B7A">
        <w:rPr>
          <w:rFonts w:ascii="Tahoma" w:eastAsia="Calibri" w:hAnsi="Tahoma" w:cs="Tahoma"/>
        </w:rPr>
        <w:t xml:space="preserve"> Porvenir S.A. </w:t>
      </w:r>
      <w:proofErr w:type="gramStart"/>
      <w:r w:rsidR="003923F0" w:rsidRPr="00570B7A">
        <w:rPr>
          <w:rFonts w:ascii="Tahoma" w:eastAsia="Calibri" w:hAnsi="Tahoma" w:cs="Tahoma"/>
        </w:rPr>
        <w:t xml:space="preserve">y </w:t>
      </w:r>
      <w:r w:rsidRPr="00570B7A">
        <w:rPr>
          <w:rFonts w:ascii="Tahoma" w:eastAsia="Calibri" w:hAnsi="Tahoma" w:cs="Tahoma"/>
        </w:rPr>
        <w:t xml:space="preserve"> </w:t>
      </w:r>
      <w:r w:rsidR="00332A6A" w:rsidRPr="00570B7A">
        <w:rPr>
          <w:rFonts w:ascii="Tahoma" w:eastAsia="Calibri" w:hAnsi="Tahoma" w:cs="Tahoma"/>
        </w:rPr>
        <w:t>Protección</w:t>
      </w:r>
      <w:proofErr w:type="gramEnd"/>
      <w:r w:rsidRPr="00570B7A">
        <w:rPr>
          <w:rFonts w:ascii="Tahoma" w:eastAsia="Calibri" w:hAnsi="Tahoma" w:cs="Tahoma"/>
        </w:rPr>
        <w:t xml:space="preserve"> S.A. a favor de la demandante en un 100%.</w:t>
      </w:r>
    </w:p>
    <w:p w14:paraId="27C28536" w14:textId="77777777" w:rsidR="00DE4F03" w:rsidRPr="00570B7A" w:rsidRDefault="00DE4F03" w:rsidP="00E531FA">
      <w:pPr>
        <w:spacing w:before="0" w:beforeAutospacing="0" w:after="0" w:afterAutospacing="0" w:line="276" w:lineRule="auto"/>
        <w:contextualSpacing/>
        <w:rPr>
          <w:rFonts w:ascii="Tahoma" w:eastAsia="Calibri" w:hAnsi="Tahoma" w:cs="Tahoma"/>
        </w:rPr>
      </w:pPr>
    </w:p>
    <w:p w14:paraId="17D62746" w14:textId="38A356DB" w:rsidR="00DE4F03" w:rsidRPr="00570B7A" w:rsidRDefault="00DE4F03" w:rsidP="00E531FA">
      <w:pPr>
        <w:spacing w:before="0" w:beforeAutospacing="0" w:after="0" w:afterAutospacing="0" w:line="276" w:lineRule="auto"/>
        <w:ind w:firstLine="708"/>
        <w:contextualSpacing/>
        <w:rPr>
          <w:rFonts w:ascii="Tahoma" w:hAnsi="Tahoma" w:cs="Tahoma"/>
        </w:rPr>
      </w:pPr>
      <w:r w:rsidRPr="00570B7A">
        <w:rPr>
          <w:rFonts w:ascii="Tahoma" w:eastAsia="Calibri" w:hAnsi="Tahoma" w:cs="Tahoma"/>
          <w:lang w:val="es-ES"/>
        </w:rPr>
        <w:t xml:space="preserve">Para llegar a tal determinación el A-quo hizo un recuento legal y jurisprudencial respecto del deber de información a cargo de las AFP, la cual debía ser clara, cierta, comprensible y oportuna sobre las características, condiciones, beneficios, diferencias, riesgos y consecuencias del cambio de régimen pensional.  Resaltó que, las </w:t>
      </w:r>
      <w:proofErr w:type="spellStart"/>
      <w:r w:rsidRPr="00570B7A">
        <w:rPr>
          <w:rFonts w:ascii="Tahoma" w:eastAsia="Calibri" w:hAnsi="Tahoma" w:cs="Tahoma"/>
          <w:lang w:val="es-ES"/>
        </w:rPr>
        <w:t>AFPs</w:t>
      </w:r>
      <w:proofErr w:type="spellEnd"/>
      <w:r w:rsidRPr="00570B7A">
        <w:rPr>
          <w:rFonts w:ascii="Tahoma" w:eastAsia="Calibri" w:hAnsi="Tahoma" w:cs="Tahoma"/>
          <w:lang w:val="es-ES"/>
        </w:rPr>
        <w:t xml:space="preserve"> Protección S.A. y Porvenir </w:t>
      </w:r>
      <w:r w:rsidRPr="00570B7A">
        <w:rPr>
          <w:rFonts w:ascii="Tahoma" w:hAnsi="Tahoma" w:cs="Tahoma"/>
        </w:rPr>
        <w:t>S.A. incumplieron con la carga de la prueba que le correspondía en el proceso, tendiente a acreditar que llevó a cabo el deber de información.</w:t>
      </w:r>
      <w:r w:rsidRPr="00570B7A">
        <w:rPr>
          <w:rFonts w:ascii="Tahoma" w:eastAsia="Calibri" w:hAnsi="Tahoma" w:cs="Tahoma"/>
          <w:lang w:val="es-ES"/>
        </w:rPr>
        <w:t xml:space="preserve"> De igual forma, indicó que </w:t>
      </w:r>
      <w:r w:rsidR="00772FF1" w:rsidRPr="00570B7A">
        <w:rPr>
          <w:rFonts w:ascii="Tahoma" w:eastAsia="Calibri" w:hAnsi="Tahoma" w:cs="Tahoma"/>
          <w:lang w:val="es-ES"/>
        </w:rPr>
        <w:t>no operan los actos de relacionamiento en los casos de ineficacia del traslado.</w:t>
      </w:r>
    </w:p>
    <w:p w14:paraId="0DAD7336" w14:textId="77777777" w:rsidR="00DE4F03" w:rsidRPr="00570B7A" w:rsidRDefault="00DE4F03" w:rsidP="00E531FA">
      <w:pPr>
        <w:spacing w:before="0" w:beforeAutospacing="0" w:after="0" w:afterAutospacing="0" w:line="276" w:lineRule="auto"/>
        <w:ind w:firstLine="0"/>
        <w:contextualSpacing/>
        <w:rPr>
          <w:rFonts w:ascii="Tahoma" w:eastAsia="Calibri" w:hAnsi="Tahoma" w:cs="Tahoma"/>
          <w:lang w:val="es-ES"/>
        </w:rPr>
      </w:pPr>
    </w:p>
    <w:p w14:paraId="52299CBB" w14:textId="77777777" w:rsidR="00DE4F03" w:rsidRPr="00570B7A" w:rsidRDefault="00DE4F03" w:rsidP="00E531FA">
      <w:pPr>
        <w:spacing w:before="0" w:beforeAutospacing="0" w:after="0" w:afterAutospacing="0" w:line="276" w:lineRule="auto"/>
        <w:ind w:firstLine="708"/>
        <w:contextualSpacing/>
        <w:rPr>
          <w:rFonts w:ascii="Tahoma" w:hAnsi="Tahoma" w:cs="Tahoma"/>
        </w:rPr>
      </w:pPr>
      <w:r w:rsidRPr="00570B7A">
        <w:rPr>
          <w:rFonts w:ascii="Tahoma" w:hAnsi="Tahoma" w:cs="Tahoma"/>
        </w:rPr>
        <w:t xml:space="preserve">Precisó que la sola suscripción del formulario de afiliación por sí solo no logra demostrar la información que se brindó a la promotora de la litis al momento de afiliarse, a pesar de que en él exista una cláusula que refiera que la afiliación del demandante fue libre, consciente y voluntaria. Además, resaltó que del interrogatorio rendido por la actora no se desprende que se </w:t>
      </w:r>
      <w:proofErr w:type="gramStart"/>
      <w:r w:rsidRPr="00570B7A">
        <w:rPr>
          <w:rFonts w:ascii="Tahoma" w:hAnsi="Tahoma" w:cs="Tahoma"/>
        </w:rPr>
        <w:t>le</w:t>
      </w:r>
      <w:proofErr w:type="gramEnd"/>
      <w:r w:rsidRPr="00570B7A">
        <w:rPr>
          <w:rFonts w:ascii="Tahoma" w:hAnsi="Tahoma" w:cs="Tahoma"/>
        </w:rPr>
        <w:t xml:space="preserve"> haya brindado información suficiente frente a las características del RAIS.</w:t>
      </w:r>
    </w:p>
    <w:p w14:paraId="216EA207" w14:textId="77777777" w:rsidR="00DE4F03" w:rsidRPr="00570B7A" w:rsidRDefault="00DE4F03" w:rsidP="00E531FA">
      <w:pPr>
        <w:spacing w:before="0" w:beforeAutospacing="0" w:after="0" w:afterAutospacing="0" w:line="276" w:lineRule="auto"/>
        <w:contextualSpacing/>
        <w:rPr>
          <w:rFonts w:ascii="Tahoma" w:eastAsia="Calibri" w:hAnsi="Tahoma" w:cs="Tahoma"/>
          <w:lang w:val="es-ES"/>
        </w:rPr>
      </w:pPr>
    </w:p>
    <w:p w14:paraId="2C4AB631" w14:textId="77777777" w:rsidR="00DE4F03" w:rsidRPr="00570B7A" w:rsidRDefault="00DE4F03" w:rsidP="00E531FA">
      <w:pPr>
        <w:spacing w:before="0" w:beforeAutospacing="0" w:after="0" w:afterAutospacing="0" w:line="276" w:lineRule="auto"/>
        <w:ind w:firstLine="708"/>
        <w:contextualSpacing/>
        <w:rPr>
          <w:rFonts w:ascii="Tahoma" w:eastAsia="Calibri" w:hAnsi="Tahoma" w:cs="Tahoma"/>
        </w:rPr>
      </w:pPr>
      <w:r w:rsidRPr="00570B7A">
        <w:rPr>
          <w:rFonts w:ascii="Tahoma" w:eastAsia="Calibri" w:hAnsi="Tahoma" w:cs="Tahoma"/>
        </w:rPr>
        <w:t>Por lo dicho, concluyó que la decisión de la parte demandante no estuvo precedida de la compresión suficiente ni el real consentimiento para llevarla a cabo, razón por la cual debía declarase la ineficacia del acto de traslado.</w:t>
      </w:r>
    </w:p>
    <w:p w14:paraId="55E75A8D" w14:textId="52370F11" w:rsidR="00DE4D7D" w:rsidRDefault="00DE4D7D" w:rsidP="00E531FA">
      <w:pPr>
        <w:spacing w:before="0" w:beforeAutospacing="0" w:after="0" w:afterAutospacing="0" w:line="276" w:lineRule="auto"/>
        <w:ind w:firstLine="708"/>
        <w:contextualSpacing/>
        <w:rPr>
          <w:rFonts w:ascii="Tahoma" w:eastAsia="Calibri" w:hAnsi="Tahoma" w:cs="Tahoma"/>
        </w:rPr>
      </w:pPr>
    </w:p>
    <w:p w14:paraId="2549E8D4" w14:textId="77777777" w:rsidR="002436E2" w:rsidRPr="00570B7A" w:rsidRDefault="002436E2" w:rsidP="00E531FA">
      <w:pPr>
        <w:spacing w:before="0" w:beforeAutospacing="0" w:after="0" w:afterAutospacing="0" w:line="276" w:lineRule="auto"/>
        <w:ind w:firstLine="708"/>
        <w:contextualSpacing/>
        <w:rPr>
          <w:rFonts w:ascii="Tahoma" w:eastAsia="Calibri" w:hAnsi="Tahoma" w:cs="Tahoma"/>
        </w:rPr>
      </w:pPr>
    </w:p>
    <w:p w14:paraId="5B7EE985" w14:textId="269AB841" w:rsidR="00724A52" w:rsidRPr="00570B7A" w:rsidRDefault="00792794" w:rsidP="00E531FA">
      <w:pPr>
        <w:pStyle w:val="Prrafodelista"/>
        <w:numPr>
          <w:ilvl w:val="0"/>
          <w:numId w:val="1"/>
        </w:numPr>
        <w:spacing w:line="276" w:lineRule="auto"/>
        <w:ind w:left="426" w:hanging="426"/>
        <w:jc w:val="center"/>
        <w:rPr>
          <w:rFonts w:cs="Tahoma"/>
          <w:b/>
          <w:bCs/>
          <w:szCs w:val="24"/>
        </w:rPr>
      </w:pPr>
      <w:r w:rsidRPr="00570B7A">
        <w:rPr>
          <w:rFonts w:cs="Tahoma"/>
          <w:b/>
          <w:bCs/>
          <w:szCs w:val="24"/>
        </w:rPr>
        <w:t>Recursos de apelación y procedencia de la consulta</w:t>
      </w:r>
    </w:p>
    <w:p w14:paraId="5D097003" w14:textId="14881CE1" w:rsidR="00CC71E0" w:rsidRPr="00570B7A" w:rsidRDefault="00CC71E0" w:rsidP="00E531FA">
      <w:pPr>
        <w:spacing w:before="0" w:beforeAutospacing="0" w:after="0" w:afterAutospacing="0" w:line="276" w:lineRule="auto"/>
        <w:ind w:firstLine="0"/>
        <w:contextualSpacing/>
        <w:rPr>
          <w:rFonts w:ascii="Tahoma" w:eastAsia="Times New Roman" w:hAnsi="Tahoma" w:cs="Tahoma"/>
          <w:b/>
          <w:bCs/>
          <w:color w:val="000000"/>
          <w:lang w:eastAsia="es-MX"/>
        </w:rPr>
      </w:pPr>
    </w:p>
    <w:p w14:paraId="62E34987" w14:textId="77777777"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b/>
          <w:bCs/>
          <w:color w:val="000000"/>
          <w:lang w:eastAsia="es-MX"/>
        </w:rPr>
        <w:t>Protección S.A.</w:t>
      </w:r>
      <w:r w:rsidRPr="00570B7A">
        <w:rPr>
          <w:rFonts w:ascii="Tahoma" w:eastAsia="Times New Roman" w:hAnsi="Tahoma" w:cs="Tahoma"/>
          <w:color w:val="000000"/>
          <w:lang w:eastAsia="es-MX"/>
        </w:rPr>
        <w:t xml:space="preserve"> atacó la providencia arguyendo que la demandante si recibió las asesorías correspondientes y, </w:t>
      </w:r>
      <w:proofErr w:type="gramStart"/>
      <w:r w:rsidRPr="00570B7A">
        <w:rPr>
          <w:rFonts w:ascii="Tahoma" w:eastAsia="Times New Roman" w:hAnsi="Tahoma" w:cs="Tahoma"/>
          <w:color w:val="000000"/>
          <w:lang w:eastAsia="es-MX"/>
        </w:rPr>
        <w:t>además,  ratificó</w:t>
      </w:r>
      <w:proofErr w:type="gramEnd"/>
      <w:r w:rsidRPr="00570B7A">
        <w:rPr>
          <w:rFonts w:ascii="Tahoma" w:eastAsia="Times New Roman" w:hAnsi="Tahoma" w:cs="Tahoma"/>
          <w:color w:val="000000"/>
          <w:lang w:eastAsia="es-MX"/>
        </w:rPr>
        <w:t xml:space="preserve"> su voluntad de permanecer en el RAIS, se benefició de los rendimiento y prerrogativas propias de este por más de 26 años.</w:t>
      </w:r>
    </w:p>
    <w:p w14:paraId="4488B83A" w14:textId="77777777"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 </w:t>
      </w:r>
    </w:p>
    <w:p w14:paraId="4C107065" w14:textId="68FEDECF"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 xml:space="preserve">Alegó que a las </w:t>
      </w:r>
      <w:proofErr w:type="spellStart"/>
      <w:r w:rsidRPr="00570B7A">
        <w:rPr>
          <w:rFonts w:ascii="Tahoma" w:eastAsia="Times New Roman" w:hAnsi="Tahoma" w:cs="Tahoma"/>
          <w:color w:val="000000"/>
          <w:lang w:eastAsia="es-MX"/>
        </w:rPr>
        <w:t>AFPs</w:t>
      </w:r>
      <w:proofErr w:type="spellEnd"/>
      <w:r w:rsidRPr="00570B7A">
        <w:rPr>
          <w:rFonts w:ascii="Tahoma" w:eastAsia="Times New Roman" w:hAnsi="Tahoma" w:cs="Tahoma"/>
          <w:color w:val="000000"/>
          <w:lang w:eastAsia="es-MX"/>
        </w:rPr>
        <w:t xml:space="preserve"> en años anteriores se les exigía un deber de información básico, pues sólo se exigía la obligatoriedad del formulario, en donde se plasmaba con la firma del afiliado, de esa forma quedaba constancia de su voluntad de permanecer en dicha entidad. En consecuencia, no se puede pretender que la jurisprudencia que viene a partir del año 2008, tenga efectos retroactivos para la época del traslado en el año 1996, la actual jurisprudencia es mucho más rigurosa acerca de cómo deben las </w:t>
      </w:r>
      <w:proofErr w:type="spellStart"/>
      <w:r w:rsidRPr="00570B7A">
        <w:rPr>
          <w:rFonts w:ascii="Tahoma" w:eastAsia="Times New Roman" w:hAnsi="Tahoma" w:cs="Tahoma"/>
          <w:color w:val="000000"/>
          <w:lang w:eastAsia="es-MX"/>
        </w:rPr>
        <w:t>AFPs</w:t>
      </w:r>
      <w:proofErr w:type="spellEnd"/>
      <w:r w:rsidRPr="00570B7A">
        <w:rPr>
          <w:rFonts w:ascii="Tahoma" w:eastAsia="Times New Roman" w:hAnsi="Tahoma" w:cs="Tahoma"/>
          <w:color w:val="000000"/>
          <w:lang w:eastAsia="es-MX"/>
        </w:rPr>
        <w:t xml:space="preserve"> asesorar y los soportes que estas deben tener sobre las asesorías.</w:t>
      </w:r>
    </w:p>
    <w:p w14:paraId="2DB4BF0A" w14:textId="77777777"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 </w:t>
      </w:r>
    </w:p>
    <w:p w14:paraId="0A11AF23" w14:textId="77777777"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Advirtió que, del interrogatorio de parte se desprende que la actora confiesa, ya que poco a poco fue mencionando toda la información que se le suministro en la asesoría. </w:t>
      </w:r>
    </w:p>
    <w:p w14:paraId="637896A6" w14:textId="77777777"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lastRenderedPageBreak/>
        <w:t xml:space="preserve">Indicó que se encuentra en desacuerdo con la devolución de gastos de administración y seguros </w:t>
      </w:r>
      <w:proofErr w:type="spellStart"/>
      <w:r w:rsidRPr="00570B7A">
        <w:rPr>
          <w:rFonts w:ascii="Tahoma" w:eastAsia="Times New Roman" w:hAnsi="Tahoma" w:cs="Tahoma"/>
          <w:color w:val="000000"/>
          <w:lang w:eastAsia="es-MX"/>
        </w:rPr>
        <w:t>prvisionales</w:t>
      </w:r>
      <w:proofErr w:type="spellEnd"/>
      <w:r w:rsidRPr="00570B7A">
        <w:rPr>
          <w:rFonts w:ascii="Tahoma" w:eastAsia="Times New Roman" w:hAnsi="Tahoma" w:cs="Tahoma"/>
          <w:color w:val="000000"/>
          <w:lang w:eastAsia="es-MX"/>
        </w:rPr>
        <w:t xml:space="preserve">, debido a que con ello se esta violentado el </w:t>
      </w:r>
      <w:proofErr w:type="spellStart"/>
      <w:r w:rsidRPr="00570B7A">
        <w:rPr>
          <w:rFonts w:ascii="Tahoma" w:eastAsia="Times New Roman" w:hAnsi="Tahoma" w:cs="Tahoma"/>
          <w:color w:val="000000"/>
          <w:lang w:eastAsia="es-MX"/>
        </w:rPr>
        <w:t>articulo</w:t>
      </w:r>
      <w:proofErr w:type="spellEnd"/>
      <w:r w:rsidRPr="00570B7A">
        <w:rPr>
          <w:rFonts w:ascii="Tahoma" w:eastAsia="Times New Roman" w:hAnsi="Tahoma" w:cs="Tahoma"/>
          <w:color w:val="000000"/>
          <w:lang w:eastAsia="es-MX"/>
        </w:rPr>
        <w:t xml:space="preserve"> 20 de la ley 100 de 1993, modificado por el artículo 7 de la ley 797 del año 2003 y la ley penal colombiana, porque se obliga proferir resolución judicial contraria a la ley, ya que ordena el reintegro de los gastos de administración como sanción, cuando su descuento obedece a una orden legal de estricto cumplimiento, al interior de la legislación no existe este tipo de sanciones; asimismo, respecto del seguro previsional, dicho porcentaje fue descontado con base a la ley y fue girado directamente a la aseguradora prestante del servicio, que fue un tercero de buena fe.</w:t>
      </w:r>
    </w:p>
    <w:p w14:paraId="10273329" w14:textId="7777777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24383C57" w14:textId="5ABFEE56"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 xml:space="preserve">Por su parte, </w:t>
      </w:r>
      <w:r w:rsidRPr="00570B7A">
        <w:rPr>
          <w:rFonts w:ascii="Tahoma" w:eastAsia="Times New Roman" w:hAnsi="Tahoma" w:cs="Tahoma"/>
          <w:b/>
          <w:bCs/>
          <w:color w:val="000000"/>
          <w:lang w:eastAsia="es-MX"/>
        </w:rPr>
        <w:t xml:space="preserve">Porvenir S.A. </w:t>
      </w:r>
      <w:r w:rsidRPr="00570B7A">
        <w:rPr>
          <w:rFonts w:ascii="Tahoma" w:eastAsia="Times New Roman" w:hAnsi="Tahoma" w:cs="Tahoma"/>
          <w:color w:val="000000"/>
          <w:lang w:eastAsia="es-MX"/>
        </w:rPr>
        <w:t>atacó la sentencia arguyendo que para la época del traslado se realizaba la asesoría de manera verbal, los fondos de pensiones no tenían el deber de dejar documentada la asesoría brindada a sus posibles afiliados, solo bastaba con que la afiliada firmara el formulario de afiliación de manera libre, voluntaria y sin presiones. </w:t>
      </w:r>
    </w:p>
    <w:p w14:paraId="69439340" w14:textId="7777777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1C6FADE0" w14:textId="4AE25E2C"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proofErr w:type="gramStart"/>
      <w:r w:rsidRPr="00570B7A">
        <w:rPr>
          <w:rFonts w:ascii="Tahoma" w:eastAsia="Times New Roman" w:hAnsi="Tahoma" w:cs="Tahoma"/>
          <w:color w:val="000000"/>
          <w:lang w:eastAsia="es-MX"/>
        </w:rPr>
        <w:t>Señaló  que</w:t>
      </w:r>
      <w:proofErr w:type="gramEnd"/>
      <w:r w:rsidRPr="00570B7A">
        <w:rPr>
          <w:rFonts w:ascii="Tahoma" w:eastAsia="Times New Roman" w:hAnsi="Tahoma" w:cs="Tahoma"/>
          <w:color w:val="000000"/>
          <w:lang w:eastAsia="es-MX"/>
        </w:rPr>
        <w:t xml:space="preserve"> se encuentra en desacuerdo con (a) la devolución de los gastos de administración,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prima de seguro previsional que eran primas encaminadas a proteger la suerte del demandante.</w:t>
      </w:r>
    </w:p>
    <w:p w14:paraId="01A34D37" w14:textId="77777777" w:rsidR="00EB0192" w:rsidRDefault="00EB0192" w:rsidP="00E531FA">
      <w:pPr>
        <w:spacing w:before="0" w:beforeAutospacing="0" w:after="0" w:afterAutospacing="0" w:line="276" w:lineRule="auto"/>
        <w:ind w:firstLine="700"/>
        <w:rPr>
          <w:rFonts w:ascii="Tahoma" w:eastAsia="Times New Roman" w:hAnsi="Tahoma" w:cs="Tahoma"/>
          <w:color w:val="000000"/>
          <w:lang w:eastAsia="es-MX"/>
        </w:rPr>
      </w:pPr>
    </w:p>
    <w:p w14:paraId="036E1CCE" w14:textId="6074F336" w:rsidR="00691CAA" w:rsidRPr="00570B7A" w:rsidRDefault="00691CAA" w:rsidP="00E531FA">
      <w:pPr>
        <w:spacing w:before="0" w:beforeAutospacing="0" w:after="0" w:afterAutospacing="0" w:line="276" w:lineRule="auto"/>
        <w:ind w:firstLine="700"/>
        <w:rPr>
          <w:rFonts w:ascii="Tahoma" w:eastAsia="Times New Roman" w:hAnsi="Tahoma" w:cs="Tahoma"/>
          <w:color w:val="000000"/>
          <w:lang w:eastAsia="es-MX"/>
        </w:rPr>
      </w:pPr>
      <w:r w:rsidRPr="00570B7A">
        <w:rPr>
          <w:rFonts w:ascii="Tahoma" w:eastAsia="Times New Roman" w:hAnsi="Tahoma" w:cs="Tahoma"/>
          <w:color w:val="000000"/>
          <w:lang w:eastAsia="es-MX"/>
        </w:rPr>
        <w:t>Por otra parte, consideró que no es de recibo que se trasladen los rendimientos financieros, puesto que el RPM no tiene la característica de aquellos; asimismo, consideró que se está vulnerando el principio de sostenibilidad financiera del sistema general de pensiones, ya que no tiene sentido que se condene al traslado de rendimientos y al mismo tiempo al de los gastos de administración que fueron cobrados en virtud de la ley.</w:t>
      </w:r>
    </w:p>
    <w:p w14:paraId="5A25D573" w14:textId="77777777" w:rsidR="00EB0192" w:rsidRDefault="00EB0192" w:rsidP="00E531FA">
      <w:pPr>
        <w:spacing w:before="0" w:beforeAutospacing="0" w:after="0" w:afterAutospacing="0" w:line="276" w:lineRule="auto"/>
        <w:ind w:firstLine="700"/>
        <w:rPr>
          <w:rFonts w:ascii="Tahoma" w:eastAsia="Times New Roman" w:hAnsi="Tahoma" w:cs="Tahoma"/>
          <w:color w:val="000000"/>
          <w:lang w:eastAsia="es-MX"/>
        </w:rPr>
      </w:pPr>
    </w:p>
    <w:p w14:paraId="3253C7AE" w14:textId="70D5EE5A" w:rsidR="00691CAA" w:rsidRPr="00570B7A" w:rsidRDefault="00691CAA" w:rsidP="00E531FA">
      <w:pPr>
        <w:spacing w:before="0" w:beforeAutospacing="0" w:after="0" w:afterAutospacing="0" w:line="276" w:lineRule="auto"/>
        <w:ind w:firstLine="700"/>
        <w:rPr>
          <w:rFonts w:ascii="Tahoma" w:eastAsia="Times New Roman" w:hAnsi="Tahoma" w:cs="Tahoma"/>
          <w:color w:val="000000"/>
          <w:lang w:eastAsia="es-MX"/>
        </w:rPr>
      </w:pPr>
      <w:r w:rsidRPr="00570B7A">
        <w:rPr>
          <w:rFonts w:ascii="Tahoma" w:eastAsia="Times New Roman" w:hAnsi="Tahoma" w:cs="Tahoma"/>
          <w:color w:val="000000"/>
          <w:lang w:eastAsia="es-MX"/>
        </w:rPr>
        <w:t xml:space="preserve">En ese sentido, indicó que la actora no puede regresar al RPM, en tanto que, se encuentra inmerso en la prohibición legal establecida en el literal e del artículo 2 de la ley 797 de </w:t>
      </w:r>
      <w:proofErr w:type="gramStart"/>
      <w:r w:rsidRPr="00570B7A">
        <w:rPr>
          <w:rFonts w:ascii="Tahoma" w:eastAsia="Times New Roman" w:hAnsi="Tahoma" w:cs="Tahoma"/>
          <w:color w:val="000000"/>
          <w:lang w:eastAsia="es-MX"/>
        </w:rPr>
        <w:t>2003 .</w:t>
      </w:r>
      <w:proofErr w:type="gramEnd"/>
    </w:p>
    <w:p w14:paraId="11302E84" w14:textId="77777777" w:rsidR="00EB0192" w:rsidRDefault="00EB0192" w:rsidP="00E531FA">
      <w:pPr>
        <w:spacing w:before="0" w:beforeAutospacing="0" w:after="0" w:afterAutospacing="0" w:line="276" w:lineRule="auto"/>
        <w:ind w:left="140" w:firstLine="700"/>
        <w:rPr>
          <w:rFonts w:ascii="Tahoma" w:eastAsia="Times New Roman" w:hAnsi="Tahoma" w:cs="Tahoma"/>
          <w:color w:val="000000"/>
          <w:lang w:eastAsia="es-MX"/>
        </w:rPr>
      </w:pPr>
    </w:p>
    <w:p w14:paraId="1327BE06" w14:textId="787A9196" w:rsidR="00691CAA" w:rsidRPr="00570B7A" w:rsidRDefault="00691CAA" w:rsidP="00E531FA">
      <w:pPr>
        <w:spacing w:before="0" w:beforeAutospacing="0" w:after="0" w:afterAutospacing="0" w:line="276" w:lineRule="auto"/>
        <w:ind w:left="140" w:firstLine="700"/>
        <w:rPr>
          <w:rFonts w:ascii="Tahoma" w:eastAsia="Times New Roman" w:hAnsi="Tahoma" w:cs="Tahoma"/>
          <w:color w:val="000000"/>
          <w:lang w:eastAsia="es-MX"/>
        </w:rPr>
      </w:pPr>
      <w:r w:rsidRPr="00570B7A">
        <w:rPr>
          <w:rFonts w:ascii="Tahoma" w:eastAsia="Times New Roman" w:hAnsi="Tahoma" w:cs="Tahoma"/>
          <w:color w:val="000000"/>
          <w:lang w:eastAsia="es-MX"/>
        </w:rPr>
        <w:t>Por último, señaló que no se encuentra conforme con la condena en costas, ya que considera que en el proceso no se observa que haya una actuación de mala fe por su parte.</w:t>
      </w:r>
    </w:p>
    <w:p w14:paraId="2CCD856D" w14:textId="7777777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76B19C81" w14:textId="00753DB9"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 xml:space="preserve">Finalmente, </w:t>
      </w:r>
      <w:r w:rsidRPr="00570B7A">
        <w:rPr>
          <w:rFonts w:ascii="Tahoma" w:eastAsia="Times New Roman" w:hAnsi="Tahoma" w:cs="Tahoma"/>
          <w:b/>
          <w:bCs/>
          <w:color w:val="000000"/>
          <w:lang w:eastAsia="es-MX"/>
        </w:rPr>
        <w:t xml:space="preserve">Colpensiones </w:t>
      </w:r>
      <w:r w:rsidRPr="00570B7A">
        <w:rPr>
          <w:rFonts w:ascii="Tahoma" w:eastAsia="Times New Roman" w:hAnsi="Tahoma" w:cs="Tahoma"/>
          <w:color w:val="000000"/>
          <w:lang w:eastAsia="es-MX"/>
        </w:rPr>
        <w:t xml:space="preserve">en su alzada, atacó la sentencia de primera instancia refiriendo que la actora se </w:t>
      </w:r>
      <w:proofErr w:type="spellStart"/>
      <w:r w:rsidRPr="00570B7A">
        <w:rPr>
          <w:rFonts w:ascii="Tahoma" w:eastAsia="Times New Roman" w:hAnsi="Tahoma" w:cs="Tahoma"/>
          <w:color w:val="000000"/>
          <w:lang w:eastAsia="es-MX"/>
        </w:rPr>
        <w:t>traslado</w:t>
      </w:r>
      <w:proofErr w:type="spellEnd"/>
      <w:r w:rsidRPr="00570B7A">
        <w:rPr>
          <w:rFonts w:ascii="Tahoma" w:eastAsia="Times New Roman" w:hAnsi="Tahoma" w:cs="Tahoma"/>
          <w:color w:val="000000"/>
          <w:lang w:eastAsia="es-MX"/>
        </w:rPr>
        <w:t xml:space="preserve"> al RAIS de manera libre, voluntaria y sin presiones; asimismo, de las pruebas obrantes en el proceso, no se evidencia una indebida asesoría por parte de las </w:t>
      </w:r>
      <w:proofErr w:type="spellStart"/>
      <w:r w:rsidRPr="00570B7A">
        <w:rPr>
          <w:rFonts w:ascii="Tahoma" w:eastAsia="Times New Roman" w:hAnsi="Tahoma" w:cs="Tahoma"/>
          <w:color w:val="000000"/>
          <w:lang w:eastAsia="es-MX"/>
        </w:rPr>
        <w:t>AFPs</w:t>
      </w:r>
      <w:proofErr w:type="spellEnd"/>
      <w:r w:rsidRPr="00570B7A">
        <w:rPr>
          <w:rFonts w:ascii="Tahoma" w:eastAsia="Times New Roman" w:hAnsi="Tahoma" w:cs="Tahoma"/>
          <w:color w:val="000000"/>
          <w:lang w:eastAsia="es-MX"/>
        </w:rPr>
        <w:t>, por lo tanto, no hay lugar a que se le ordene admitir la afiliación de la actora, debido a que la afiliación en el RAIS se encuentra vigente, eficaz y válida. Adicionalmente, en la época del traslado no existía esa obligación documental, la asesoría se hacía de manera verbal y presencial, solo bastaba con la suscripción del formulario de afiliación</w:t>
      </w:r>
    </w:p>
    <w:p w14:paraId="69A28F80" w14:textId="7777777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16CE0723" w14:textId="6384684F"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 xml:space="preserve">Señaló que, los afiliados no pueden trasladarse de régimen pensional cuando les faltaren 10 años o menos, </w:t>
      </w:r>
      <w:proofErr w:type="gramStart"/>
      <w:r w:rsidRPr="00570B7A">
        <w:rPr>
          <w:rFonts w:ascii="Tahoma" w:eastAsia="Times New Roman" w:hAnsi="Tahoma" w:cs="Tahoma"/>
          <w:color w:val="000000"/>
          <w:lang w:eastAsia="es-MX"/>
        </w:rPr>
        <w:t>la  demandante</w:t>
      </w:r>
      <w:proofErr w:type="gramEnd"/>
      <w:r w:rsidRPr="00570B7A">
        <w:rPr>
          <w:rFonts w:ascii="Tahoma" w:eastAsia="Times New Roman" w:hAnsi="Tahoma" w:cs="Tahoma"/>
          <w:color w:val="000000"/>
          <w:lang w:eastAsia="es-MX"/>
        </w:rPr>
        <w:t xml:space="preserve"> no cumple con el requisito de edad para poder trasladarse al RPM, en vista de que, cuenta con 61 años de edad, sobre paso su edad de pensión.</w:t>
      </w:r>
    </w:p>
    <w:p w14:paraId="61A56AC7" w14:textId="7777777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78F4905E" w14:textId="1C682022"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 xml:space="preserve">Solicitó que se de aplicación a la sentencia C-1024 de 2004 y la sentencia SU-062 de 2015, que estiman que nadie puede resultar subsidiado a costa de recursos ahorrados de manera obligatoria por otros afiliados, de modo que, el RPM se </w:t>
      </w:r>
      <w:proofErr w:type="spellStart"/>
      <w:r w:rsidRPr="00570B7A">
        <w:rPr>
          <w:rFonts w:ascii="Tahoma" w:eastAsia="Times New Roman" w:hAnsi="Tahoma" w:cs="Tahoma"/>
          <w:color w:val="000000"/>
          <w:lang w:eastAsia="es-MX"/>
        </w:rPr>
        <w:t>descapatilizaría</w:t>
      </w:r>
      <w:proofErr w:type="spellEnd"/>
      <w:r w:rsidRPr="00570B7A">
        <w:rPr>
          <w:rFonts w:ascii="Tahoma" w:eastAsia="Times New Roman" w:hAnsi="Tahoma" w:cs="Tahoma"/>
          <w:color w:val="000000"/>
          <w:lang w:eastAsia="es-MX"/>
        </w:rPr>
        <w:t xml:space="preserve">. También, peticionó que se vuelva a evaluar el interrogatorio de parte rendido por la actora, de manera integral, ya que se hizo una omisión a la verdad, ello debe ser un indicio grave en contra de la </w:t>
      </w:r>
      <w:proofErr w:type="spellStart"/>
      <w:proofErr w:type="gramStart"/>
      <w:r w:rsidRPr="00570B7A">
        <w:rPr>
          <w:rFonts w:ascii="Tahoma" w:eastAsia="Times New Roman" w:hAnsi="Tahoma" w:cs="Tahoma"/>
          <w:color w:val="000000"/>
          <w:lang w:eastAsia="es-MX"/>
        </w:rPr>
        <w:t>demandante,en</w:t>
      </w:r>
      <w:proofErr w:type="spellEnd"/>
      <w:proofErr w:type="gramEnd"/>
      <w:r w:rsidRPr="00570B7A">
        <w:rPr>
          <w:rFonts w:ascii="Tahoma" w:eastAsia="Times New Roman" w:hAnsi="Tahoma" w:cs="Tahoma"/>
          <w:color w:val="000000"/>
          <w:lang w:eastAsia="es-MX"/>
        </w:rPr>
        <w:t xml:space="preserve"> virtud de que si se le brindó la asesoría correcta, simplemente ahora por una situación pensional cambiante pretende regresar al RPM.</w:t>
      </w:r>
    </w:p>
    <w:p w14:paraId="30A3EFDC" w14:textId="7777777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5953715D" w14:textId="21FE3780" w:rsidR="00691CAA" w:rsidRPr="00570B7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Alegó que, cuando una persona hace un traslado de régimen y traslados horizontales en los regímenes de pensiones privados, se asume que recibió en dichas oportunidades asesorías pertinentes y esto demuestra su ánimo de permanecer en el RAIS, puesto que conoce sus ventajas y desventajas.</w:t>
      </w:r>
    </w:p>
    <w:p w14:paraId="4E77DB9C" w14:textId="7777777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52C32C64" w14:textId="6730CF94" w:rsidR="0016318A" w:rsidRDefault="00691CAA" w:rsidP="00E531FA">
      <w:pPr>
        <w:spacing w:before="0" w:beforeAutospacing="0" w:after="0" w:afterAutospacing="0" w:line="276" w:lineRule="auto"/>
        <w:ind w:firstLine="860"/>
        <w:rPr>
          <w:rFonts w:ascii="Tahoma" w:eastAsia="Times New Roman" w:hAnsi="Tahoma" w:cs="Tahoma"/>
          <w:color w:val="000000"/>
          <w:lang w:eastAsia="es-MX"/>
        </w:rPr>
      </w:pPr>
      <w:r w:rsidRPr="00570B7A">
        <w:rPr>
          <w:rFonts w:ascii="Tahoma" w:eastAsia="Times New Roman" w:hAnsi="Tahoma" w:cs="Tahoma"/>
          <w:color w:val="000000"/>
          <w:lang w:eastAsia="es-MX"/>
        </w:rPr>
        <w:t>Por último, solicitó que se le absuelva de la condena en costas, porque es un tercero que nada tiene que ver con el acto jurídico de traslado de régimen pensional.</w:t>
      </w:r>
    </w:p>
    <w:p w14:paraId="56984DC9" w14:textId="1F75C4D7" w:rsidR="00EB0192" w:rsidRDefault="00EB0192" w:rsidP="00E531FA">
      <w:pPr>
        <w:spacing w:before="0" w:beforeAutospacing="0" w:after="0" w:afterAutospacing="0" w:line="276" w:lineRule="auto"/>
        <w:ind w:firstLine="860"/>
        <w:rPr>
          <w:rFonts w:ascii="Tahoma" w:eastAsia="Times New Roman" w:hAnsi="Tahoma" w:cs="Tahoma"/>
          <w:color w:val="000000"/>
          <w:lang w:eastAsia="es-MX"/>
        </w:rPr>
      </w:pPr>
    </w:p>
    <w:p w14:paraId="040D2BF3" w14:textId="77777777" w:rsidR="002436E2" w:rsidRPr="00570B7A" w:rsidRDefault="002436E2" w:rsidP="00E531FA">
      <w:pPr>
        <w:spacing w:before="0" w:beforeAutospacing="0" w:after="0" w:afterAutospacing="0" w:line="276" w:lineRule="auto"/>
        <w:ind w:firstLine="860"/>
        <w:rPr>
          <w:rFonts w:ascii="Tahoma" w:eastAsia="Times New Roman" w:hAnsi="Tahoma" w:cs="Tahoma"/>
          <w:color w:val="000000"/>
          <w:lang w:eastAsia="es-MX"/>
        </w:rPr>
      </w:pPr>
    </w:p>
    <w:p w14:paraId="4E1B0313" w14:textId="0D5ACA9D" w:rsidR="00CC71E0" w:rsidRPr="00570B7A" w:rsidRDefault="00CC71E0" w:rsidP="00E531FA">
      <w:pPr>
        <w:pStyle w:val="Prrafodelista"/>
        <w:numPr>
          <w:ilvl w:val="0"/>
          <w:numId w:val="1"/>
        </w:numPr>
        <w:spacing w:line="276" w:lineRule="auto"/>
        <w:jc w:val="center"/>
        <w:rPr>
          <w:rFonts w:eastAsia="Tahoma" w:cs="Tahoma"/>
          <w:b/>
          <w:bCs/>
          <w:szCs w:val="24"/>
          <w:lang w:eastAsia="es-CO"/>
        </w:rPr>
      </w:pPr>
      <w:r w:rsidRPr="00570B7A">
        <w:rPr>
          <w:rFonts w:eastAsia="Tahoma" w:cs="Tahoma"/>
          <w:b/>
          <w:bCs/>
          <w:szCs w:val="24"/>
          <w:lang w:eastAsia="es-CO"/>
        </w:rPr>
        <w:t>Alegatos de conclusión</w:t>
      </w:r>
    </w:p>
    <w:p w14:paraId="5300AC89" w14:textId="77777777" w:rsidR="00EB0192" w:rsidRDefault="00EB0192" w:rsidP="00E531FA">
      <w:pPr>
        <w:spacing w:before="0" w:beforeAutospacing="0" w:after="0" w:afterAutospacing="0" w:line="276" w:lineRule="auto"/>
        <w:ind w:left="357" w:firstLine="352"/>
        <w:contextualSpacing/>
        <w:rPr>
          <w:rStyle w:val="normaltextrun"/>
          <w:rFonts w:ascii="Tahoma" w:hAnsi="Tahoma" w:cs="Tahoma"/>
          <w:color w:val="000000"/>
        </w:rPr>
      </w:pPr>
    </w:p>
    <w:p w14:paraId="7ED62EA3" w14:textId="3DADE395" w:rsidR="004D5C96" w:rsidRPr="00570B7A" w:rsidRDefault="004D5C96" w:rsidP="00E531FA">
      <w:pPr>
        <w:spacing w:before="0" w:beforeAutospacing="0" w:after="0" w:afterAutospacing="0" w:line="276" w:lineRule="auto"/>
        <w:ind w:left="357" w:firstLine="352"/>
        <w:contextualSpacing/>
        <w:rPr>
          <w:rStyle w:val="normaltextrun"/>
          <w:rFonts w:ascii="Tahoma" w:hAnsi="Tahoma" w:cs="Tahoma"/>
          <w:color w:val="000000"/>
        </w:rPr>
      </w:pPr>
      <w:r w:rsidRPr="00570B7A">
        <w:rPr>
          <w:rStyle w:val="normaltextrun"/>
          <w:rFonts w:ascii="Tahoma" w:hAnsi="Tahoma" w:cs="Tahoma"/>
          <w:color w:val="000000"/>
        </w:rPr>
        <w:t xml:space="preserve">Ninguna de las partes allegó alegatos de conclusión dentro del término concedido para tal efecto. </w:t>
      </w:r>
    </w:p>
    <w:p w14:paraId="20E9CCF4" w14:textId="085BB377" w:rsidR="00CC71E0" w:rsidRDefault="00CC71E0" w:rsidP="00E531FA">
      <w:pPr>
        <w:spacing w:before="0" w:beforeAutospacing="0" w:after="0" w:afterAutospacing="0" w:line="276" w:lineRule="auto"/>
        <w:ind w:firstLine="0"/>
        <w:rPr>
          <w:rFonts w:ascii="Tahoma" w:eastAsia="Tahoma" w:hAnsi="Tahoma" w:cs="Tahoma"/>
          <w:lang w:eastAsia="es-CO"/>
        </w:rPr>
      </w:pPr>
    </w:p>
    <w:p w14:paraId="410099D2" w14:textId="77777777" w:rsidR="002436E2" w:rsidRPr="00570B7A" w:rsidRDefault="002436E2" w:rsidP="00E531FA">
      <w:pPr>
        <w:spacing w:before="0" w:beforeAutospacing="0" w:after="0" w:afterAutospacing="0" w:line="276" w:lineRule="auto"/>
        <w:ind w:firstLine="0"/>
        <w:rPr>
          <w:rFonts w:ascii="Tahoma" w:eastAsia="Tahoma" w:hAnsi="Tahoma" w:cs="Tahoma"/>
          <w:lang w:eastAsia="es-CO"/>
        </w:rPr>
      </w:pPr>
    </w:p>
    <w:p w14:paraId="44686B22" w14:textId="77777777" w:rsidR="00CC71E0" w:rsidRPr="00570B7A" w:rsidRDefault="00CC71E0" w:rsidP="00E531FA">
      <w:pPr>
        <w:widowControl w:val="0"/>
        <w:numPr>
          <w:ilvl w:val="0"/>
          <w:numId w:val="1"/>
        </w:numPr>
        <w:autoSpaceDE w:val="0"/>
        <w:autoSpaceDN w:val="0"/>
        <w:spacing w:before="0" w:beforeAutospacing="0" w:after="0" w:afterAutospacing="0" w:line="276" w:lineRule="auto"/>
        <w:jc w:val="center"/>
        <w:rPr>
          <w:rFonts w:ascii="Tahoma" w:eastAsia="Times New Roman" w:hAnsi="Tahoma" w:cs="Tahoma"/>
          <w:b/>
          <w:bCs/>
          <w:lang w:eastAsia="es-CO"/>
        </w:rPr>
      </w:pPr>
      <w:r w:rsidRPr="00570B7A">
        <w:rPr>
          <w:rFonts w:ascii="Tahoma" w:eastAsia="Tahoma" w:hAnsi="Tahoma" w:cs="Tahoma"/>
          <w:b/>
          <w:bCs/>
          <w:lang w:val="es-ES" w:eastAsia="es-CO"/>
        </w:rPr>
        <w:t>Problemas jurídicos por resolver</w:t>
      </w:r>
    </w:p>
    <w:p w14:paraId="74E2BD8E" w14:textId="77777777" w:rsidR="00CC71E0" w:rsidRPr="00570B7A" w:rsidRDefault="00CC71E0" w:rsidP="00E531FA">
      <w:pPr>
        <w:spacing w:before="0" w:beforeAutospacing="0" w:after="0" w:afterAutospacing="0" w:line="276" w:lineRule="auto"/>
        <w:ind w:firstLine="0"/>
        <w:rPr>
          <w:rFonts w:ascii="Tahoma" w:eastAsia="Tahoma" w:hAnsi="Tahoma" w:cs="Tahoma"/>
          <w:lang w:eastAsia="es-CO"/>
        </w:rPr>
      </w:pPr>
      <w:r w:rsidRPr="00570B7A">
        <w:rPr>
          <w:rFonts w:ascii="Tahoma" w:eastAsia="Times New Roman" w:hAnsi="Tahoma" w:cs="Tahoma"/>
          <w:lang w:eastAsia="es-CO"/>
        </w:rPr>
        <w:t xml:space="preserve"> </w:t>
      </w:r>
    </w:p>
    <w:p w14:paraId="398EF85B" w14:textId="77777777" w:rsidR="00CC71E0" w:rsidRPr="00570B7A" w:rsidRDefault="00CC71E0" w:rsidP="00E531FA">
      <w:pPr>
        <w:spacing w:before="0" w:beforeAutospacing="0" w:after="0" w:afterAutospacing="0" w:line="276" w:lineRule="auto"/>
        <w:ind w:firstLine="360"/>
        <w:rPr>
          <w:rFonts w:ascii="Tahoma" w:eastAsia="Tahoma" w:hAnsi="Tahoma" w:cs="Tahoma"/>
          <w:lang w:eastAsia="es-CO"/>
        </w:rPr>
      </w:pPr>
      <w:r w:rsidRPr="00570B7A">
        <w:rPr>
          <w:rFonts w:ascii="Tahoma" w:eastAsia="Tahoma" w:hAnsi="Tahoma" w:cs="Tahoma"/>
          <w:lang w:eastAsia="es-CO"/>
        </w:rPr>
        <w:t xml:space="preserve">De acuerdo con los argumentos expuestos en la sentencia de primera instancia, los fundamentos de la apelación y los alegatos de conclusión, le corresponde a la Sala resolver los siguientes problemas jurídicos: </w:t>
      </w:r>
    </w:p>
    <w:p w14:paraId="3CDA99FE" w14:textId="77777777" w:rsidR="00CC71E0" w:rsidRPr="00570B7A" w:rsidRDefault="00CC71E0" w:rsidP="00E531FA">
      <w:pPr>
        <w:spacing w:before="0" w:beforeAutospacing="0" w:after="0" w:afterAutospacing="0" w:line="276" w:lineRule="auto"/>
        <w:ind w:firstLine="0"/>
        <w:jc w:val="center"/>
        <w:rPr>
          <w:rFonts w:ascii="Tahoma" w:eastAsia="Tahoma" w:hAnsi="Tahoma" w:cs="Tahoma"/>
          <w:lang w:eastAsia="es-CO"/>
        </w:rPr>
      </w:pPr>
      <w:r w:rsidRPr="00570B7A">
        <w:rPr>
          <w:rFonts w:ascii="Tahoma" w:eastAsia="Tahoma" w:hAnsi="Tahoma" w:cs="Tahoma"/>
          <w:b/>
          <w:bCs/>
          <w:lang w:eastAsia="es-CO"/>
        </w:rPr>
        <w:t xml:space="preserve"> </w:t>
      </w:r>
    </w:p>
    <w:p w14:paraId="2952846F" w14:textId="77777777" w:rsidR="00CC71E0" w:rsidRPr="00570B7A" w:rsidRDefault="00CC71E0" w:rsidP="00E531FA">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570B7A">
        <w:rPr>
          <w:rFonts w:ascii="Tahoma" w:eastAsia="Tahoma" w:hAnsi="Tahoma" w:cs="Tahoma"/>
          <w:lang w:val="es-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DAF6406" w14:textId="77777777" w:rsidR="00CC71E0" w:rsidRPr="00570B7A" w:rsidRDefault="00CC71E0" w:rsidP="00E531FA">
      <w:pPr>
        <w:spacing w:before="0" w:beforeAutospacing="0" w:after="0" w:afterAutospacing="0" w:line="276" w:lineRule="auto"/>
        <w:ind w:firstLine="707"/>
        <w:rPr>
          <w:rFonts w:ascii="Tahoma" w:eastAsia="Tahoma" w:hAnsi="Tahoma" w:cs="Tahoma"/>
          <w:lang w:eastAsia="es-CO"/>
        </w:rPr>
      </w:pPr>
      <w:r w:rsidRPr="00570B7A">
        <w:rPr>
          <w:rFonts w:ascii="Tahoma" w:eastAsia="Tahoma" w:hAnsi="Tahoma" w:cs="Tahoma"/>
          <w:lang w:val="es-ES" w:eastAsia="es-CO"/>
        </w:rPr>
        <w:t xml:space="preserve"> </w:t>
      </w:r>
    </w:p>
    <w:p w14:paraId="2C9D21E2" w14:textId="77777777" w:rsidR="00CC71E0" w:rsidRPr="00570B7A" w:rsidRDefault="00CC71E0" w:rsidP="00E531FA">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570B7A">
        <w:rPr>
          <w:rFonts w:ascii="Tahoma" w:eastAsia="Tahoma" w:hAnsi="Tahoma" w:cs="Tahoma"/>
          <w:lang w:val="es-ES" w:eastAsia="es-CO"/>
        </w:rPr>
        <w:t xml:space="preserve">Definir si para dar por cumplido el deber de información de las AFP es suficiente el diligenciamiento del formulario de afiliación. </w:t>
      </w:r>
    </w:p>
    <w:p w14:paraId="23299D91" w14:textId="77777777" w:rsidR="00CC71E0" w:rsidRPr="00570B7A" w:rsidRDefault="00CC71E0" w:rsidP="00E531FA">
      <w:pPr>
        <w:spacing w:before="0" w:beforeAutospacing="0" w:after="0" w:afterAutospacing="0" w:line="276" w:lineRule="auto"/>
        <w:ind w:firstLine="707"/>
        <w:rPr>
          <w:rFonts w:ascii="Tahoma" w:eastAsia="Tahoma" w:hAnsi="Tahoma" w:cs="Tahoma"/>
          <w:lang w:eastAsia="es-CO"/>
        </w:rPr>
      </w:pPr>
      <w:r w:rsidRPr="00570B7A">
        <w:rPr>
          <w:rFonts w:ascii="Tahoma" w:eastAsia="Tahoma" w:hAnsi="Tahoma" w:cs="Tahoma"/>
          <w:lang w:val="es-ES" w:eastAsia="es-CO"/>
        </w:rPr>
        <w:t xml:space="preserve"> </w:t>
      </w:r>
    </w:p>
    <w:p w14:paraId="0E8E7B93" w14:textId="77777777" w:rsidR="00CC71E0" w:rsidRPr="00570B7A" w:rsidRDefault="00CC71E0" w:rsidP="00E531FA">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570B7A">
        <w:rPr>
          <w:rFonts w:ascii="Tahoma" w:eastAsia="Tahoma" w:hAnsi="Tahoma" w:cs="Tahoma"/>
          <w:lang w:val="es-ES" w:eastAsia="es-CO"/>
        </w:rPr>
        <w:t xml:space="preserve"> Determinar la carga probatoria que les corresponde a cada una de las partes </w:t>
      </w:r>
      <w:r w:rsidRPr="00570B7A">
        <w:rPr>
          <w:rFonts w:ascii="Tahoma" w:eastAsia="Tahoma" w:hAnsi="Tahoma" w:cs="Tahoma"/>
          <w:lang w:val="es-ES" w:eastAsia="es-CO"/>
        </w:rPr>
        <w:lastRenderedPageBreak/>
        <w:t>cuando está en discusión la eficacia del traslado entre regímenes pensionales.</w:t>
      </w:r>
    </w:p>
    <w:p w14:paraId="0B277D37" w14:textId="77777777" w:rsidR="00CC71E0" w:rsidRPr="00570B7A" w:rsidRDefault="00CC71E0" w:rsidP="00E531FA">
      <w:pPr>
        <w:spacing w:before="0" w:beforeAutospacing="0" w:after="0" w:afterAutospacing="0" w:line="276" w:lineRule="auto"/>
        <w:ind w:firstLine="707"/>
        <w:rPr>
          <w:rFonts w:ascii="Tahoma" w:eastAsia="Tahoma" w:hAnsi="Tahoma" w:cs="Tahoma"/>
          <w:lang w:eastAsia="es-CO"/>
        </w:rPr>
      </w:pPr>
      <w:r w:rsidRPr="00570B7A">
        <w:rPr>
          <w:rFonts w:ascii="Tahoma" w:eastAsia="Tahoma" w:hAnsi="Tahoma" w:cs="Tahoma"/>
          <w:lang w:val="es-ES" w:eastAsia="es-CO"/>
        </w:rPr>
        <w:t xml:space="preserve"> </w:t>
      </w:r>
    </w:p>
    <w:p w14:paraId="04FB4D0C" w14:textId="77777777" w:rsidR="00CC71E0" w:rsidRPr="00570B7A" w:rsidRDefault="00CC71E0" w:rsidP="00E531FA">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570B7A">
        <w:rPr>
          <w:rFonts w:ascii="Tahoma" w:eastAsia="Tahoma" w:hAnsi="Tahoma" w:cs="Tahoma"/>
          <w:lang w:val="es-ES" w:eastAsia="es-CO"/>
        </w:rPr>
        <w:t xml:space="preserve">Analizar si quedó probado en el proceso que la parte demandante recibió de parte de la AFP demandada, la asesoría e información suficiente y necesaria para hacer el cambio de régimen. </w:t>
      </w:r>
    </w:p>
    <w:p w14:paraId="37C78353" w14:textId="77777777" w:rsidR="00CC71E0" w:rsidRPr="00570B7A" w:rsidRDefault="00CC71E0" w:rsidP="00E531FA">
      <w:pPr>
        <w:spacing w:before="0" w:beforeAutospacing="0" w:after="0" w:afterAutospacing="0" w:line="276" w:lineRule="auto"/>
        <w:ind w:firstLine="707"/>
        <w:rPr>
          <w:rFonts w:ascii="Tahoma" w:eastAsia="Tahoma" w:hAnsi="Tahoma" w:cs="Tahoma"/>
          <w:lang w:eastAsia="es-CO"/>
        </w:rPr>
      </w:pPr>
    </w:p>
    <w:p w14:paraId="7C05E94E" w14:textId="77777777" w:rsidR="00CC71E0" w:rsidRPr="00570B7A" w:rsidRDefault="00CC71E0" w:rsidP="00E531FA">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570B7A">
        <w:rPr>
          <w:rFonts w:ascii="Tahoma" w:eastAsia="Tahoma" w:hAnsi="Tahoma" w:cs="Tahoma"/>
          <w:lang w:val="es-ES" w:eastAsia="es-CO"/>
        </w:rPr>
        <w:t>Establecer si es dable ordenar a la AFP demandada la devolución, con cargo a sus propios recursos de los gastos de administración, comisiones</w:t>
      </w:r>
      <w:bookmarkStart w:id="8" w:name="_Hlk77058474"/>
      <w:r w:rsidRPr="00570B7A">
        <w:rPr>
          <w:rFonts w:ascii="Tahoma" w:eastAsia="Tahoma" w:hAnsi="Tahoma" w:cs="Tahoma"/>
          <w:lang w:val="es-ES" w:eastAsia="es-CO"/>
        </w:rPr>
        <w:t>, cuotas de garantía de pensión mínima y seguros previsionales a Colpensiones.</w:t>
      </w:r>
      <w:bookmarkEnd w:id="8"/>
    </w:p>
    <w:p w14:paraId="09D45398" w14:textId="77777777" w:rsidR="00CC71E0" w:rsidRPr="00570B7A" w:rsidRDefault="00CC71E0" w:rsidP="00E531FA">
      <w:pPr>
        <w:spacing w:before="0" w:beforeAutospacing="0" w:after="0" w:afterAutospacing="0" w:line="276" w:lineRule="auto"/>
        <w:ind w:left="720" w:firstLine="0"/>
        <w:contextualSpacing/>
        <w:rPr>
          <w:rFonts w:ascii="Tahoma" w:eastAsia="Tahoma" w:hAnsi="Tahoma" w:cs="Tahoma"/>
          <w:lang w:eastAsia="es-CO"/>
        </w:rPr>
      </w:pPr>
    </w:p>
    <w:p w14:paraId="3197A43E" w14:textId="77777777" w:rsidR="00CC71E0" w:rsidRPr="00570B7A" w:rsidRDefault="00CC71E0" w:rsidP="00E531FA">
      <w:pPr>
        <w:numPr>
          <w:ilvl w:val="0"/>
          <w:numId w:val="4"/>
        </w:numPr>
        <w:spacing w:before="0" w:beforeAutospacing="0" w:after="0" w:afterAutospacing="0" w:line="276" w:lineRule="auto"/>
        <w:rPr>
          <w:rFonts w:ascii="Tahoma" w:eastAsia="Tahoma" w:hAnsi="Tahoma" w:cs="Tahoma"/>
          <w:lang w:eastAsia="es-CO"/>
        </w:rPr>
      </w:pPr>
      <w:r w:rsidRPr="00570B7A">
        <w:rPr>
          <w:rFonts w:ascii="Tahoma" w:eastAsia="Tahoma" w:hAnsi="Tahoma" w:cs="Tahoma"/>
          <w:lang w:val="es-ES"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2184B6F1" w14:textId="77777777" w:rsidR="00CC71E0" w:rsidRPr="00570B7A" w:rsidRDefault="00CC71E0" w:rsidP="00E531FA">
      <w:pPr>
        <w:spacing w:before="0" w:beforeAutospacing="0" w:after="0" w:afterAutospacing="0" w:line="276" w:lineRule="auto"/>
        <w:ind w:left="720" w:firstLine="0"/>
        <w:contextualSpacing/>
        <w:rPr>
          <w:rFonts w:ascii="Tahoma" w:eastAsia="Tahoma" w:hAnsi="Tahoma" w:cs="Tahoma"/>
          <w:lang w:eastAsia="es-CO"/>
        </w:rPr>
      </w:pPr>
    </w:p>
    <w:p w14:paraId="5812015A" w14:textId="67562653" w:rsidR="00CC71E0" w:rsidRPr="00570B7A" w:rsidRDefault="00CC71E0" w:rsidP="00E531FA">
      <w:pPr>
        <w:numPr>
          <w:ilvl w:val="0"/>
          <w:numId w:val="4"/>
        </w:numPr>
        <w:spacing w:before="0" w:beforeAutospacing="0" w:after="0" w:afterAutospacing="0" w:line="276" w:lineRule="auto"/>
        <w:rPr>
          <w:rFonts w:ascii="Tahoma" w:eastAsia="Tahoma" w:hAnsi="Tahoma" w:cs="Tahoma"/>
          <w:lang w:eastAsia="es-CO"/>
        </w:rPr>
      </w:pPr>
      <w:r w:rsidRPr="00570B7A">
        <w:rPr>
          <w:rFonts w:ascii="Tahoma" w:eastAsia="Tahoma" w:hAnsi="Tahoma" w:cs="Tahoma"/>
          <w:lang w:eastAsia="es-CO"/>
        </w:rPr>
        <w:t>Analizar cuál es el precedente aplicable en la actualidad respecto de los actos de relacionamiento.</w:t>
      </w:r>
    </w:p>
    <w:p w14:paraId="45CACBA9" w14:textId="4F19F2F7" w:rsidR="00CC71E0"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18ADA3A" w14:textId="77777777" w:rsidR="002436E2" w:rsidRPr="00570B7A" w:rsidRDefault="002436E2"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F3F6CD" w14:textId="77777777" w:rsidR="00CC71E0" w:rsidRPr="00570B7A" w:rsidRDefault="00CC71E0" w:rsidP="00E531FA">
      <w:pPr>
        <w:widowControl w:val="0"/>
        <w:numPr>
          <w:ilvl w:val="0"/>
          <w:numId w:val="2"/>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570B7A">
        <w:rPr>
          <w:rFonts w:ascii="Tahoma" w:eastAsia="Calibri" w:hAnsi="Tahoma" w:cs="Tahoma"/>
          <w:b/>
          <w:bCs/>
          <w:lang w:eastAsia="es-CO"/>
        </w:rPr>
        <w:t>Consideraciones</w:t>
      </w:r>
    </w:p>
    <w:p w14:paraId="1D4FD93C" w14:textId="36E2BD82" w:rsidR="00CC71E0"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38D0748" w14:textId="77777777" w:rsidR="002436E2" w:rsidRPr="00570B7A" w:rsidRDefault="002436E2" w:rsidP="00E531FA">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5D36E067" w14:textId="77777777" w:rsidR="002427D0" w:rsidRPr="002427D0" w:rsidRDefault="002427D0" w:rsidP="00E531FA">
      <w:pPr>
        <w:widowControl w:val="0"/>
        <w:numPr>
          <w:ilvl w:val="1"/>
          <w:numId w:val="5"/>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2427D0">
        <w:rPr>
          <w:rFonts w:ascii="Tahoma" w:eastAsia="Calibri" w:hAnsi="Tahoma" w:cs="Tahoma"/>
          <w:b/>
          <w:bCs/>
          <w:lang w:eastAsia="es-CO"/>
        </w:rPr>
        <w:t xml:space="preserve">Precedente vertical: la tesis de la Corte Suprema de Justicia respecto al tema de la ineficacia del traslado constituye doctrina probable </w:t>
      </w:r>
    </w:p>
    <w:p w14:paraId="1D4BA896"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8F3BCF"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427D0">
        <w:rPr>
          <w:rFonts w:ascii="Tahoma" w:eastAsia="Calibri" w:hAnsi="Tahoma" w:cs="Tahoma"/>
          <w:lang w:eastAsia="es-CO"/>
        </w:rPr>
        <w:t xml:space="preserve">En la actualidad existe </w:t>
      </w:r>
      <w:r w:rsidRPr="002427D0">
        <w:rPr>
          <w:rFonts w:ascii="Tahoma" w:eastAsia="Calibri" w:hAnsi="Tahoma" w:cs="Tahoma"/>
          <w:b/>
          <w:lang w:eastAsia="es-CO"/>
        </w:rPr>
        <w:t>doctrina probable</w:t>
      </w:r>
      <w:r w:rsidRPr="002427D0">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63F672AD"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9A4812"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427D0">
        <w:rPr>
          <w:rFonts w:ascii="Tahoma" w:eastAsia="Calibri" w:hAnsi="Tahoma" w:cs="Tahoma"/>
          <w:bCs/>
          <w:lang w:eastAsia="es-CO"/>
        </w:rPr>
        <w:t xml:space="preserve">SL 31989 del 9 sep. 2008, </w:t>
      </w:r>
      <w:r w:rsidRPr="002427D0">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9CB7943"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F7C4F3"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427D0">
        <w:rPr>
          <w:rFonts w:ascii="Tahoma" w:eastAsia="Calibri" w:hAnsi="Tahoma" w:cs="Tahoma"/>
          <w:lang w:eastAsia="es-CO"/>
        </w:rPr>
        <w:t xml:space="preserve">En términos generales, en todas estas sentencias se determinó </w:t>
      </w:r>
      <w:r w:rsidRPr="002427D0">
        <w:rPr>
          <w:rFonts w:ascii="Tahoma" w:eastAsia="Calibri" w:hAnsi="Tahoma" w:cs="Tahoma"/>
          <w:i/>
          <w:lang w:eastAsia="es-CO"/>
        </w:rPr>
        <w:t xml:space="preserve">i) </w:t>
      </w:r>
      <w:r w:rsidRPr="002427D0">
        <w:rPr>
          <w:rFonts w:ascii="Tahoma" w:eastAsia="Calibri" w:hAnsi="Tahoma" w:cs="Tahoma"/>
          <w:lang w:eastAsia="es-CO"/>
        </w:rPr>
        <w:t xml:space="preserve">el alcance del deber de información a cargo de las Administradoras de Fondos de Pensiones, </w:t>
      </w:r>
      <w:r w:rsidRPr="002427D0">
        <w:rPr>
          <w:rFonts w:ascii="Tahoma" w:eastAsia="Calibri" w:hAnsi="Tahoma" w:cs="Tahoma"/>
          <w:i/>
          <w:lang w:eastAsia="es-CO"/>
        </w:rPr>
        <w:t xml:space="preserve">ii) </w:t>
      </w:r>
      <w:r w:rsidRPr="002427D0">
        <w:rPr>
          <w:rFonts w:ascii="Tahoma" w:eastAsia="Calibri" w:hAnsi="Tahoma" w:cs="Tahoma"/>
          <w:lang w:eastAsia="es-CO"/>
        </w:rPr>
        <w:t xml:space="preserve">la procedencia de la ineficacia del traslado, </w:t>
      </w:r>
      <w:r w:rsidRPr="002427D0">
        <w:rPr>
          <w:rFonts w:ascii="Tahoma" w:eastAsia="Calibri" w:hAnsi="Tahoma" w:cs="Tahoma"/>
          <w:i/>
          <w:lang w:eastAsia="es-CO"/>
        </w:rPr>
        <w:t xml:space="preserve">iii) </w:t>
      </w:r>
      <w:r w:rsidRPr="002427D0">
        <w:rPr>
          <w:rFonts w:ascii="Tahoma" w:eastAsia="Calibri" w:hAnsi="Tahoma" w:cs="Tahoma"/>
          <w:lang w:eastAsia="es-CO"/>
        </w:rPr>
        <w:t xml:space="preserve">la inversión de la carga de la prueba en favor del afiliado. Todos los problemas jurídicos planteados en este asunto, fueron objeto de estudio por parte de la Sala de Casación Laboral, de modo que basta referirnos a su precedente para dar respuesta a los mismos, como veremos a </w:t>
      </w:r>
      <w:r w:rsidRPr="002427D0">
        <w:rPr>
          <w:rFonts w:ascii="Tahoma" w:eastAsia="Calibri" w:hAnsi="Tahoma" w:cs="Tahoma"/>
          <w:lang w:eastAsia="es-CO"/>
        </w:rPr>
        <w:lastRenderedPageBreak/>
        <w:t>continuación.</w:t>
      </w:r>
    </w:p>
    <w:p w14:paraId="69F0F28C" w14:textId="445D33F1" w:rsidR="00EB0192" w:rsidRDefault="00EB0192" w:rsidP="00E531FA">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469E75C6" w14:textId="77777777" w:rsidR="002436E2" w:rsidRPr="002427D0" w:rsidRDefault="002436E2" w:rsidP="00E531FA">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14331C07" w14:textId="77777777" w:rsidR="002427D0" w:rsidRPr="002427D0" w:rsidRDefault="002427D0" w:rsidP="00E531FA">
      <w:pPr>
        <w:widowControl w:val="0"/>
        <w:numPr>
          <w:ilvl w:val="1"/>
          <w:numId w:val="5"/>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2427D0">
        <w:rPr>
          <w:rFonts w:ascii="Tahoma" w:eastAsia="Calibri" w:hAnsi="Tahoma" w:cs="Tahoma"/>
          <w:b/>
          <w:bCs/>
          <w:lang w:eastAsia="es-CO"/>
        </w:rPr>
        <w:t>“El deber de información a cargo de las administradoras de fondos de pensiones: Un deber exigible desde su creación</w:t>
      </w:r>
      <w:r w:rsidRPr="002427D0">
        <w:rPr>
          <w:rFonts w:ascii="Tahoma" w:eastAsia="Calibri" w:hAnsi="Tahoma" w:cs="Tahoma"/>
          <w:bCs/>
          <w:vertAlign w:val="superscript"/>
          <w:lang w:eastAsia="es-CO"/>
        </w:rPr>
        <w:footnoteReference w:id="1"/>
      </w:r>
      <w:r w:rsidRPr="002427D0">
        <w:rPr>
          <w:rFonts w:ascii="Tahoma" w:eastAsia="Calibri" w:hAnsi="Tahoma" w:cs="Tahoma"/>
          <w:b/>
          <w:bCs/>
          <w:lang w:eastAsia="es-CO"/>
        </w:rPr>
        <w:t>”</w:t>
      </w:r>
    </w:p>
    <w:p w14:paraId="07C6E8A7"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74D7F34E"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427D0">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2427D0">
        <w:rPr>
          <w:rFonts w:ascii="Tahoma" w:eastAsia="Calibri" w:hAnsi="Tahoma" w:cs="Tahoma"/>
          <w:u w:val="single"/>
          <w:lang w:eastAsia="es-CO"/>
        </w:rPr>
        <w:t>debida diligencia y cuidado</w:t>
      </w:r>
      <w:r w:rsidRPr="002427D0">
        <w:rPr>
          <w:rFonts w:ascii="Tahoma" w:eastAsia="Calibri" w:hAnsi="Tahoma" w:cs="Tahoma"/>
          <w:lang w:eastAsia="es-CO"/>
        </w:rPr>
        <w:t xml:space="preserve"> incumbe a quien ha debido emplearla, atendiendo a las siguientes razones:</w:t>
      </w:r>
    </w:p>
    <w:p w14:paraId="1B9DF0B9"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1528A694"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427D0">
        <w:rPr>
          <w:rFonts w:ascii="Tahoma" w:eastAsia="Calibri" w:hAnsi="Tahoma" w:cs="Tahoma"/>
          <w:b/>
          <w:lang w:eastAsia="es-CO"/>
        </w:rPr>
        <w:t>1)</w:t>
      </w:r>
      <w:r w:rsidRPr="002427D0">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2427D0">
        <w:rPr>
          <w:rFonts w:ascii="Tahoma" w:eastAsia="Calibri" w:hAnsi="Tahoma" w:cs="Tahoma"/>
          <w:u w:val="single"/>
          <w:lang w:eastAsia="es-CO"/>
        </w:rPr>
        <w:t>Decreto 663 de 1993</w:t>
      </w:r>
      <w:r w:rsidRPr="002427D0">
        <w:rPr>
          <w:rFonts w:ascii="Tahoma" w:eastAsia="Calibri" w:hAnsi="Tahoma" w:cs="Tahoma"/>
          <w:u w:val="single"/>
          <w:vertAlign w:val="superscript"/>
          <w:lang w:eastAsia="es-CO"/>
        </w:rPr>
        <w:footnoteReference w:id="2"/>
      </w:r>
      <w:r w:rsidRPr="002427D0">
        <w:rPr>
          <w:rFonts w:ascii="Tahoma" w:eastAsia="Calibri" w:hAnsi="Tahoma" w:cs="Tahoma"/>
          <w:lang w:eastAsia="es-CO"/>
        </w:rPr>
        <w:t>, norma en la que se destaca la importancia de los principios de debida diligencia, transparencia e información cierta, suficiente y oportuna.</w:t>
      </w:r>
    </w:p>
    <w:p w14:paraId="538B262D"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445ED9"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427D0">
        <w:rPr>
          <w:rFonts w:ascii="Tahoma" w:eastAsia="Calibri" w:hAnsi="Tahoma" w:cs="Tahoma"/>
          <w:b/>
          <w:lang w:eastAsia="es-CO"/>
        </w:rPr>
        <w:t>2)</w:t>
      </w:r>
      <w:r w:rsidRPr="002427D0">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2427D0">
        <w:rPr>
          <w:rFonts w:ascii="Tahoma" w:eastAsia="Calibri" w:hAnsi="Tahoma" w:cs="Tahoma"/>
          <w:u w:val="single"/>
          <w:lang w:eastAsia="es-CO"/>
        </w:rPr>
        <w:t>suficiente, amplia y oportuna</w:t>
      </w:r>
      <w:r w:rsidRPr="002427D0">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05F75DCA"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D5AF46"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427D0">
        <w:rPr>
          <w:rFonts w:ascii="Tahoma" w:eastAsia="Calibri" w:hAnsi="Tahoma" w:cs="Tahoma"/>
          <w:b/>
          <w:lang w:eastAsia="es-CO"/>
        </w:rPr>
        <w:t>3)</w:t>
      </w:r>
      <w:r w:rsidRPr="002427D0">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9B206AC"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DB699E1"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2427D0">
        <w:rPr>
          <w:rFonts w:ascii="Tahoma" w:eastAsia="Calibri" w:hAnsi="Tahoma" w:cs="Tahoma"/>
          <w:b/>
          <w:lang w:eastAsia="es-CO"/>
        </w:rPr>
        <w:t>4)</w:t>
      </w:r>
      <w:r w:rsidRPr="002427D0">
        <w:rPr>
          <w:rFonts w:ascii="Tahoma" w:eastAsia="Calibri" w:hAnsi="Tahoma" w:cs="Tahoma"/>
          <w:lang w:eastAsia="es-CO"/>
        </w:rPr>
        <w:t xml:space="preserve"> En numerosas sentencias del órgano de cierre de la jurisdicción ordinaria laboral, se ha establecido que no puede argüirse que </w:t>
      </w:r>
      <w:r w:rsidRPr="002427D0">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2427D0">
        <w:rPr>
          <w:rFonts w:ascii="Tahoma" w:eastAsia="Calibri" w:hAnsi="Tahoma" w:cs="Tahoma"/>
          <w:i/>
          <w:iCs/>
          <w:lang w:eastAsia="es-CO"/>
        </w:rPr>
        <w:t>“</w:t>
      </w:r>
      <w:r w:rsidRPr="002427D0">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2427D0">
        <w:rPr>
          <w:rFonts w:ascii="Tahoma" w:eastAsia="Calibri" w:hAnsi="Tahoma" w:cs="Tahoma"/>
          <w:i/>
          <w:iCs/>
          <w:u w:val="single"/>
          <w:lang w:eastAsia="es-CO"/>
        </w:rPr>
        <w:t>”</w:t>
      </w:r>
      <w:r w:rsidRPr="002427D0">
        <w:rPr>
          <w:rFonts w:ascii="Tahoma" w:eastAsia="Calibri" w:hAnsi="Tahoma" w:cs="Tahoma"/>
          <w:iCs/>
          <w:u w:val="single"/>
          <w:lang w:eastAsia="es-CO"/>
        </w:rPr>
        <w:t>.</w:t>
      </w:r>
    </w:p>
    <w:p w14:paraId="3139F25B"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17134795"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2427D0">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w:t>
      </w:r>
      <w:r w:rsidRPr="002427D0">
        <w:rPr>
          <w:rFonts w:ascii="Tahoma" w:eastAsia="Calibri" w:hAnsi="Tahoma" w:cs="Tahoma"/>
          <w:iCs/>
          <w:lang w:eastAsia="es-CO"/>
        </w:rPr>
        <w:lastRenderedPageBreak/>
        <w:t xml:space="preserve">transmitirle al afiliado toda aquella información que resultaba relevante para que tomara una decisión de tal trascendencia. </w:t>
      </w:r>
    </w:p>
    <w:p w14:paraId="59ADCD49"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7BA93F29"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2427D0">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6E8F956"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52B23261"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2427D0">
        <w:rPr>
          <w:rFonts w:ascii="Tahoma" w:eastAsia="Calibri" w:hAnsi="Tahoma" w:cs="Tahoma"/>
          <w:lang w:eastAsia="es-CO"/>
        </w:rPr>
        <w:tab/>
        <w:t xml:space="preserve">Ello así, también ha dicho el órgano de cierre de la especialidad laboral, que las </w:t>
      </w:r>
      <w:proofErr w:type="spellStart"/>
      <w:r w:rsidRPr="002427D0">
        <w:rPr>
          <w:rFonts w:ascii="Tahoma" w:eastAsia="Calibri" w:hAnsi="Tahoma" w:cs="Tahoma"/>
          <w:lang w:eastAsia="es-CO"/>
        </w:rPr>
        <w:t>AFPs</w:t>
      </w:r>
      <w:proofErr w:type="spellEnd"/>
      <w:r w:rsidRPr="002427D0">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943A0C9"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7C07ED" w14:textId="77777777" w:rsidR="002427D0" w:rsidRPr="002427D0" w:rsidRDefault="002427D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9" w:name="_Hlk90025453"/>
      <w:r w:rsidRPr="002427D0">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2427D0">
        <w:rPr>
          <w:rFonts w:ascii="Tahoma" w:eastAsia="Calibri" w:hAnsi="Tahoma" w:cs="Tahoma"/>
          <w:b/>
          <w:lang w:eastAsia="es-CO"/>
        </w:rPr>
        <w:t xml:space="preserve">necesaria y transparente, </w:t>
      </w:r>
      <w:r w:rsidRPr="002427D0">
        <w:rPr>
          <w:rFonts w:ascii="Tahoma" w:eastAsia="Calibri" w:hAnsi="Tahoma" w:cs="Tahoma"/>
          <w:lang w:eastAsia="es-CO"/>
        </w:rPr>
        <w:t xml:space="preserve">que con el transcurrir del tiempo esta exigencia cambió, pasando de un deber de información necesaria al de </w:t>
      </w:r>
      <w:r w:rsidRPr="002427D0">
        <w:rPr>
          <w:rFonts w:ascii="Tahoma" w:eastAsia="Calibri" w:hAnsi="Tahoma" w:cs="Tahoma"/>
          <w:b/>
          <w:lang w:eastAsia="es-CO"/>
        </w:rPr>
        <w:t>asesoría y buen consejo</w:t>
      </w:r>
      <w:r w:rsidRPr="002427D0">
        <w:rPr>
          <w:rFonts w:ascii="Tahoma" w:eastAsia="Calibri" w:hAnsi="Tahoma" w:cs="Tahoma"/>
          <w:lang w:eastAsia="es-CO"/>
        </w:rPr>
        <w:t xml:space="preserve">, y finalmente al de </w:t>
      </w:r>
      <w:r w:rsidRPr="002427D0">
        <w:rPr>
          <w:rFonts w:ascii="Tahoma" w:eastAsia="Calibri" w:hAnsi="Tahoma" w:cs="Tahoma"/>
          <w:b/>
          <w:lang w:eastAsia="es-CO"/>
        </w:rPr>
        <w:t>doble asesoría</w:t>
      </w:r>
      <w:r w:rsidRPr="002427D0">
        <w:rPr>
          <w:rFonts w:ascii="Tahoma" w:eastAsia="Calibri" w:hAnsi="Tahoma" w:cs="Tahoma"/>
          <w:lang w:eastAsia="es-CO"/>
        </w:rPr>
        <w:t>, explicando en qué consiste cada uno de esos conceptos</w:t>
      </w:r>
      <w:bookmarkEnd w:id="9"/>
      <w:r w:rsidRPr="002427D0">
        <w:rPr>
          <w:rFonts w:ascii="Tahoma" w:eastAsia="Calibri" w:hAnsi="Tahoma" w:cs="Tahoma"/>
          <w:lang w:eastAsia="es-CO"/>
        </w:rPr>
        <w:t>. Dicho recuento histórico, se compendia de la siguiente manera:</w:t>
      </w:r>
    </w:p>
    <w:p w14:paraId="7B48DED1"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5990252" w14:textId="77777777" w:rsidR="002427D0" w:rsidRPr="002427D0" w:rsidRDefault="002427D0" w:rsidP="00E531FA">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0" w:name="_Hlk66368436"/>
      <w:r w:rsidRPr="002427D0">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49FACA25" w14:textId="77777777" w:rsidR="002427D0" w:rsidRPr="002427D0" w:rsidRDefault="002427D0" w:rsidP="00E531FA">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2427D0" w:rsidRPr="002427D0" w14:paraId="56944A33"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29DCC9"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Etapa acumulativa</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07E1B7"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Normas que obligan a las administradoras de pensiones a dar información</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6AE307"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Contenido mínimo y alcance del deber de información</w:t>
            </w:r>
            <w:r w:rsidRPr="002427D0">
              <w:rPr>
                <w:rFonts w:ascii="Tahoma" w:eastAsia="Times New Roman" w:hAnsi="Tahoma" w:cs="Tahoma"/>
                <w:sz w:val="20"/>
                <w:lang w:eastAsia="es-ES"/>
              </w:rPr>
              <w:t> </w:t>
            </w:r>
          </w:p>
        </w:tc>
      </w:tr>
      <w:tr w:rsidR="002427D0" w:rsidRPr="002427D0" w14:paraId="33599F6D"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1EF6B62"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8F754D0"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Arts. 13 literal b), 271 y 272 de la Ley 100 de 1993</w:t>
            </w:r>
            <w:r w:rsidRPr="002427D0">
              <w:rPr>
                <w:rFonts w:ascii="Tahoma" w:eastAsia="Times New Roman" w:hAnsi="Tahoma" w:cs="Tahoma"/>
                <w:sz w:val="20"/>
                <w:lang w:eastAsia="es-ES"/>
              </w:rPr>
              <w:t> </w:t>
            </w:r>
          </w:p>
          <w:p w14:paraId="337D6A9B"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 97, numeral 1 del Decreto 663 de 1993, modificado por el artículo 23 de la Ley 797 de 2003</w:t>
            </w:r>
            <w:r w:rsidRPr="002427D0">
              <w:rPr>
                <w:rFonts w:ascii="Tahoma" w:eastAsia="Times New Roman" w:hAnsi="Tahoma" w:cs="Tahoma"/>
                <w:sz w:val="20"/>
                <w:lang w:eastAsia="es-ES"/>
              </w:rPr>
              <w:t> </w:t>
            </w:r>
          </w:p>
          <w:p w14:paraId="6D6F9B3E"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Disposiciones constitucionales relativas al derecho a la información, no menoscabo de derechos laborales y autonomía personal</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A378AE"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427D0">
              <w:rPr>
                <w:rFonts w:ascii="Tahoma" w:eastAsia="Times New Roman" w:hAnsi="Tahoma" w:cs="Tahoma"/>
                <w:sz w:val="20"/>
                <w:lang w:eastAsia="es-ES"/>
              </w:rPr>
              <w:t> </w:t>
            </w:r>
          </w:p>
        </w:tc>
      </w:tr>
      <w:tr w:rsidR="002427D0" w:rsidRPr="002427D0" w14:paraId="74048479"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045E7F3"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asesoría y buen consejo</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E01677"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Artículo 3, literal c) de la Ley 1328 de 2009</w:t>
            </w:r>
            <w:r w:rsidRPr="002427D0">
              <w:rPr>
                <w:rFonts w:ascii="Tahoma" w:eastAsia="Times New Roman" w:hAnsi="Tahoma" w:cs="Tahoma"/>
                <w:sz w:val="20"/>
                <w:lang w:eastAsia="es-ES"/>
              </w:rPr>
              <w:t> </w:t>
            </w:r>
          </w:p>
          <w:p w14:paraId="03CAAE1F"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Decreto 2241 de 2010</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1869B67"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 xml:space="preserve">Implica el análisis previo, calificado y global de los antecedentes del afiliado y los pormenores de los regímenes pensionales, a fin de que el asesor o promotor pueda emitir un consejo, </w:t>
            </w:r>
            <w:r w:rsidRPr="002427D0">
              <w:rPr>
                <w:rFonts w:ascii="Tahoma" w:eastAsia="Times New Roman" w:hAnsi="Tahoma" w:cs="Tahoma"/>
                <w:i/>
                <w:iCs/>
                <w:sz w:val="20"/>
                <w:lang w:eastAsia="es-ES"/>
              </w:rPr>
              <w:lastRenderedPageBreak/>
              <w:t>sugerencia o recomendación al afiliado acerca de lo que más le conviene y, por tanto, lo que podría perjudicarle</w:t>
            </w:r>
            <w:r w:rsidRPr="002427D0">
              <w:rPr>
                <w:rFonts w:ascii="Tahoma" w:eastAsia="Times New Roman" w:hAnsi="Tahoma" w:cs="Tahoma"/>
                <w:sz w:val="20"/>
                <w:lang w:eastAsia="es-ES"/>
              </w:rPr>
              <w:t> </w:t>
            </w:r>
          </w:p>
        </w:tc>
      </w:tr>
      <w:tr w:rsidR="002427D0" w:rsidRPr="002427D0" w14:paraId="7FB3C6BE"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5B0FCA"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lastRenderedPageBreak/>
              <w:t>Deber de información, asesoría, buen consejo y doble asesoría. </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799FB5"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Ley 1748 de 2014</w:t>
            </w:r>
            <w:r w:rsidRPr="002427D0">
              <w:rPr>
                <w:rFonts w:ascii="Tahoma" w:eastAsia="Times New Roman" w:hAnsi="Tahoma" w:cs="Tahoma"/>
                <w:sz w:val="20"/>
                <w:lang w:eastAsia="es-ES"/>
              </w:rPr>
              <w:t> </w:t>
            </w:r>
          </w:p>
          <w:p w14:paraId="60F0CF2C"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Artículo 3 del Decreto 2071 de 2015</w:t>
            </w:r>
            <w:r w:rsidRPr="002427D0">
              <w:rPr>
                <w:rFonts w:ascii="Tahoma" w:eastAsia="Times New Roman" w:hAnsi="Tahoma" w:cs="Tahoma"/>
                <w:sz w:val="20"/>
                <w:lang w:eastAsia="es-ES"/>
              </w:rPr>
              <w:t> </w:t>
            </w:r>
          </w:p>
          <w:p w14:paraId="1148C4E5"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Circular Externa n. 016 de 2016</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B64CF9" w14:textId="77777777" w:rsidR="002427D0" w:rsidRPr="002427D0" w:rsidRDefault="002427D0" w:rsidP="00E531FA">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Junto con lo anterior, lleva inmerso el derecho a obtener asesoría de los representantes de ambos regímenes pensionales.</w:t>
            </w:r>
            <w:r w:rsidRPr="002427D0">
              <w:rPr>
                <w:rFonts w:ascii="Tahoma" w:eastAsia="Times New Roman" w:hAnsi="Tahoma" w:cs="Tahoma"/>
                <w:sz w:val="20"/>
                <w:lang w:eastAsia="es-ES"/>
              </w:rPr>
              <w:t> </w:t>
            </w:r>
          </w:p>
        </w:tc>
      </w:tr>
    </w:tbl>
    <w:p w14:paraId="2EDC6282" w14:textId="77777777" w:rsidR="002427D0" w:rsidRPr="002427D0" w:rsidRDefault="002427D0" w:rsidP="00E531FA">
      <w:pPr>
        <w:spacing w:before="0" w:beforeAutospacing="0" w:after="0" w:afterAutospacing="0" w:line="240" w:lineRule="auto"/>
        <w:ind w:left="426" w:right="420" w:firstLine="0"/>
        <w:rPr>
          <w:rFonts w:ascii="Tahoma" w:eastAsia="Calibri" w:hAnsi="Tahoma" w:cs="Tahoma"/>
          <w:b/>
          <w:i/>
          <w:spacing w:val="-4"/>
          <w:sz w:val="22"/>
          <w:lang w:eastAsia="es-CO"/>
        </w:rPr>
      </w:pPr>
    </w:p>
    <w:bookmarkEnd w:id="10"/>
    <w:p w14:paraId="57BBD5E3" w14:textId="77777777" w:rsidR="002427D0" w:rsidRPr="002427D0" w:rsidRDefault="002427D0" w:rsidP="00E531FA">
      <w:pPr>
        <w:spacing w:before="0" w:beforeAutospacing="0" w:after="0" w:afterAutospacing="0" w:line="240" w:lineRule="auto"/>
        <w:ind w:left="426" w:right="420" w:firstLine="0"/>
        <w:rPr>
          <w:rFonts w:ascii="Tahoma" w:eastAsia="Calibri" w:hAnsi="Tahoma" w:cs="Tahoma"/>
          <w:b/>
          <w:i/>
          <w:sz w:val="22"/>
          <w:lang w:eastAsia="es-CO"/>
        </w:rPr>
      </w:pPr>
      <w:r w:rsidRPr="002427D0">
        <w:rPr>
          <w:rFonts w:ascii="Tahoma" w:eastAsia="Calibri" w:hAnsi="Tahoma" w:cs="Tahoma"/>
          <w:b/>
          <w:i/>
          <w:sz w:val="22"/>
          <w:lang w:eastAsia="es-CO"/>
        </w:rPr>
        <w:t>1.4 Conclusión: La constatación del deber de información es ineludible</w:t>
      </w:r>
    </w:p>
    <w:p w14:paraId="5C095C4D" w14:textId="77777777" w:rsidR="002427D0" w:rsidRPr="002427D0" w:rsidRDefault="002427D0" w:rsidP="00E531FA">
      <w:pPr>
        <w:spacing w:before="0" w:beforeAutospacing="0" w:after="0" w:afterAutospacing="0" w:line="240" w:lineRule="auto"/>
        <w:ind w:left="426" w:right="420" w:firstLine="0"/>
        <w:rPr>
          <w:rFonts w:ascii="Tahoma" w:eastAsia="Calibri" w:hAnsi="Tahoma" w:cs="Tahoma"/>
          <w:b/>
          <w:i/>
          <w:sz w:val="22"/>
          <w:lang w:eastAsia="es-CO"/>
        </w:rPr>
      </w:pPr>
    </w:p>
    <w:p w14:paraId="6E26D2F5" w14:textId="77777777" w:rsidR="002427D0" w:rsidRPr="002427D0" w:rsidRDefault="002427D0" w:rsidP="00E531FA">
      <w:pPr>
        <w:spacing w:before="0" w:beforeAutospacing="0" w:after="0" w:afterAutospacing="0" w:line="240" w:lineRule="auto"/>
        <w:ind w:left="426" w:right="420" w:firstLine="1"/>
        <w:rPr>
          <w:rFonts w:ascii="Tahoma" w:eastAsia="Calibri" w:hAnsi="Tahoma" w:cs="Tahoma"/>
          <w:i/>
          <w:sz w:val="22"/>
          <w:lang w:eastAsia="es-CO"/>
        </w:rPr>
      </w:pPr>
      <w:r w:rsidRPr="002427D0">
        <w:rPr>
          <w:rFonts w:ascii="Tahoma" w:eastAsia="Calibri" w:hAnsi="Tahoma" w:cs="Tahoma"/>
          <w:i/>
          <w:sz w:val="22"/>
          <w:lang w:eastAsia="es-CO"/>
        </w:rPr>
        <w:t xml:space="preserve">Según se pudo advertir del anterior recuento, </w:t>
      </w:r>
      <w:r w:rsidRPr="002427D0">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2427D0">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277EACD" w14:textId="77777777" w:rsidR="002427D0" w:rsidRPr="002427D0" w:rsidRDefault="002427D0" w:rsidP="00E531FA">
      <w:pPr>
        <w:spacing w:before="0" w:beforeAutospacing="0" w:after="0" w:afterAutospacing="0" w:line="240" w:lineRule="auto"/>
        <w:ind w:left="426" w:right="420" w:firstLine="1"/>
        <w:rPr>
          <w:rFonts w:ascii="Tahoma" w:eastAsia="Calibri" w:hAnsi="Tahoma" w:cs="Tahoma"/>
          <w:i/>
          <w:sz w:val="22"/>
          <w:lang w:eastAsia="es-CO"/>
        </w:rPr>
      </w:pPr>
    </w:p>
    <w:p w14:paraId="2D77A698" w14:textId="77777777" w:rsidR="002427D0" w:rsidRPr="002427D0" w:rsidRDefault="002427D0" w:rsidP="00E531FA">
      <w:pPr>
        <w:spacing w:before="0" w:beforeAutospacing="0" w:after="0" w:afterAutospacing="0" w:line="240" w:lineRule="auto"/>
        <w:ind w:left="426" w:right="420" w:firstLine="0"/>
        <w:rPr>
          <w:rFonts w:ascii="Tahoma" w:eastAsia="Calibri" w:hAnsi="Tahoma" w:cs="Tahoma"/>
          <w:i/>
          <w:sz w:val="22"/>
          <w:lang w:eastAsia="es-CO"/>
        </w:rPr>
      </w:pPr>
      <w:r w:rsidRPr="002427D0">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623EF32D" w14:textId="77777777" w:rsidR="002427D0" w:rsidRPr="002427D0" w:rsidRDefault="002427D0" w:rsidP="00E531FA">
      <w:pPr>
        <w:spacing w:before="0" w:beforeAutospacing="0" w:after="0" w:afterAutospacing="0" w:line="240" w:lineRule="auto"/>
        <w:ind w:left="426" w:right="420" w:firstLine="0"/>
        <w:rPr>
          <w:rFonts w:ascii="Tahoma" w:eastAsia="Calibri" w:hAnsi="Tahoma" w:cs="Tahoma"/>
          <w:i/>
          <w:sz w:val="22"/>
          <w:lang w:eastAsia="es-CO"/>
        </w:rPr>
      </w:pPr>
    </w:p>
    <w:p w14:paraId="2403FD03" w14:textId="77777777" w:rsidR="002427D0" w:rsidRPr="002427D0" w:rsidRDefault="002427D0" w:rsidP="00E531FA">
      <w:pPr>
        <w:spacing w:before="0" w:beforeAutospacing="0" w:after="0" w:afterAutospacing="0" w:line="240" w:lineRule="auto"/>
        <w:ind w:left="426" w:right="420" w:firstLine="0"/>
        <w:rPr>
          <w:rFonts w:ascii="Tahoma" w:eastAsia="Calibri" w:hAnsi="Tahoma" w:cs="Tahoma"/>
          <w:i/>
          <w:sz w:val="22"/>
          <w:lang w:eastAsia="es-CO"/>
        </w:rPr>
      </w:pPr>
      <w:r w:rsidRPr="002427D0">
        <w:rPr>
          <w:rFonts w:ascii="Tahoma" w:eastAsia="Calibri" w:hAnsi="Tahoma" w:cs="Tahoma"/>
          <w:i/>
          <w:sz w:val="22"/>
          <w:lang w:eastAsia="es-CO"/>
        </w:rPr>
        <w:t xml:space="preserve">Adicionalmente, la Sala no puede pasar por alto la indebida fundamentación con la que </w:t>
      </w:r>
      <w:r w:rsidRPr="002427D0">
        <w:rPr>
          <w:rFonts w:ascii="Tahoma" w:eastAsia="Calibri" w:hAnsi="Tahoma" w:cs="Tahoma"/>
          <w:bCs/>
          <w:i/>
          <w:sz w:val="22"/>
          <w:lang w:eastAsia="es-CO"/>
        </w:rPr>
        <w:t>la Sala Primera de Decisión Laboral del Tribunal de Medellín</w:t>
      </w:r>
      <w:r w:rsidRPr="002427D0">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80E12A3"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EEDDA0B" w14:textId="77777777" w:rsidR="002427D0" w:rsidRP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2427D0">
        <w:rPr>
          <w:rFonts w:ascii="Tahoma" w:eastAsia="Calibri" w:hAnsi="Tahoma" w:cs="Tahoma"/>
          <w:lang w:eastAsia="es-CO"/>
        </w:rPr>
        <w:t>Con lo dicho precedentemente queda resuelto el primer problema jurídico.</w:t>
      </w:r>
    </w:p>
    <w:p w14:paraId="4F850C71" w14:textId="481902DF" w:rsidR="002427D0" w:rsidRDefault="002427D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2900BF8" w14:textId="77777777" w:rsidR="002436E2" w:rsidRPr="00570B7A" w:rsidRDefault="002436E2"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8CE144" w14:textId="77777777" w:rsidR="00C449C8" w:rsidRPr="00C449C8" w:rsidRDefault="00C449C8" w:rsidP="00E531FA">
      <w:pPr>
        <w:widowControl w:val="0"/>
        <w:numPr>
          <w:ilvl w:val="1"/>
          <w:numId w:val="5"/>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C449C8">
        <w:rPr>
          <w:rFonts w:ascii="Tahoma" w:eastAsia="Calibri" w:hAnsi="Tahoma" w:cs="Tahoma"/>
          <w:b/>
          <w:bCs/>
          <w:lang w:eastAsia="es-CO"/>
        </w:rPr>
        <w:t xml:space="preserve">“El simple consentimiento vertido en el formulario de afiliación es insuficiente – Necesidad de un consentimiento informado” </w:t>
      </w:r>
      <w:r w:rsidRPr="00C449C8">
        <w:rPr>
          <w:rFonts w:ascii="Tahoma" w:eastAsia="Calibri" w:hAnsi="Tahoma" w:cs="Tahoma"/>
          <w:b/>
          <w:bCs/>
          <w:vertAlign w:val="superscript"/>
          <w:lang w:eastAsia="es-CO"/>
        </w:rPr>
        <w:footnoteReference w:id="3"/>
      </w:r>
      <w:r w:rsidRPr="00C449C8">
        <w:rPr>
          <w:rFonts w:ascii="Tahoma" w:eastAsia="Calibri" w:hAnsi="Tahoma" w:cs="Tahoma"/>
          <w:b/>
          <w:bCs/>
          <w:lang w:eastAsia="es-CO"/>
        </w:rPr>
        <w:t xml:space="preserve"> </w:t>
      </w:r>
    </w:p>
    <w:p w14:paraId="00AAC4B3" w14:textId="77777777" w:rsidR="00C449C8" w:rsidRPr="00C449C8" w:rsidRDefault="00C449C8"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248B615" w14:textId="77777777" w:rsidR="00C449C8" w:rsidRPr="00C449C8" w:rsidRDefault="00C449C8"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449C8">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C449C8">
        <w:rPr>
          <w:rFonts w:ascii="Tahoma" w:eastAsia="Calibri" w:hAnsi="Tahoma" w:cs="Tahoma"/>
          <w:b/>
          <w:lang w:eastAsia="es-CO"/>
        </w:rPr>
        <w:t>pero no informado</w:t>
      </w:r>
      <w:r w:rsidRPr="00C449C8">
        <w:rPr>
          <w:rFonts w:ascii="Tahoma" w:eastAsia="Calibri" w:hAnsi="Tahoma" w:cs="Tahoma"/>
          <w:lang w:eastAsia="es-CO"/>
        </w:rPr>
        <w:t xml:space="preserve">, tal como se expresa a continuación: </w:t>
      </w:r>
    </w:p>
    <w:p w14:paraId="3641D298"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A2AD4AE"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82DEDE7"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550C96D3"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F0309AC"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296F057"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38EFFD0"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5FF8AFF8"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2839C07" w14:textId="77777777" w:rsidR="003B30E1" w:rsidRPr="003B30E1" w:rsidRDefault="003B30E1" w:rsidP="00E531FA">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6E0597B3" w14:textId="77777777" w:rsidR="003B30E1" w:rsidRPr="003B30E1" w:rsidRDefault="003B30E1" w:rsidP="00E531FA">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3B30E1">
        <w:rPr>
          <w:rFonts w:ascii="Tahoma" w:eastAsia="Calibri" w:hAnsi="Tahoma" w:cs="Tahoma"/>
          <w:bCs/>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3B30E1">
        <w:rPr>
          <w:rFonts w:ascii="Tahoma" w:eastAsia="Calibri" w:hAnsi="Tahoma" w:cs="Tahoma"/>
          <w:bCs/>
          <w:vertAlign w:val="superscript"/>
          <w:lang w:eastAsia="es-CO"/>
        </w:rPr>
        <w:footnoteReference w:id="4"/>
      </w:r>
      <w:r w:rsidRPr="003B30E1">
        <w:rPr>
          <w:rFonts w:ascii="Tahoma" w:eastAsia="Calibri" w:hAnsi="Tahoma" w:cs="Tahoma"/>
          <w:bCs/>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799A217" w14:textId="77777777" w:rsidR="003B30E1" w:rsidRPr="003B30E1" w:rsidRDefault="003B30E1" w:rsidP="00E531FA">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0BEC3422"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F98C5C7"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2E863CC"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4849505E" w14:textId="77777777" w:rsidR="003B30E1" w:rsidRPr="003B30E1" w:rsidRDefault="003B30E1" w:rsidP="00E531FA">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3F9CF606" w14:textId="77777777" w:rsidR="003B30E1" w:rsidRPr="003B30E1" w:rsidRDefault="003B30E1"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B30E1">
        <w:rPr>
          <w:rFonts w:ascii="Tahoma" w:eastAsia="Calibri" w:hAnsi="Tahoma" w:cs="Tahoma"/>
          <w:bCs/>
          <w:lang w:eastAsia="es-CO"/>
        </w:rPr>
        <w:lastRenderedPageBreak/>
        <w:t xml:space="preserve">Igual cosa se ha predicado de las </w:t>
      </w:r>
      <w:proofErr w:type="spellStart"/>
      <w:r w:rsidRPr="003B30E1">
        <w:rPr>
          <w:rFonts w:ascii="Tahoma" w:eastAsia="Calibri" w:hAnsi="Tahoma" w:cs="Tahoma"/>
          <w:bCs/>
          <w:lang w:eastAsia="es-CO"/>
        </w:rPr>
        <w:t>reasesorías</w:t>
      </w:r>
      <w:proofErr w:type="spellEnd"/>
      <w:r w:rsidRPr="003B30E1">
        <w:rPr>
          <w:rFonts w:ascii="Tahoma" w:eastAsia="Calibri" w:hAnsi="Tahoma" w:cs="Tahoma"/>
          <w:bCs/>
          <w:lang w:eastAsia="es-CO"/>
        </w:rPr>
        <w:t xml:space="preserve"> posteriores dadas al interior de las AFP</w:t>
      </w:r>
      <w:r w:rsidRPr="003B30E1">
        <w:rPr>
          <w:rFonts w:ascii="Tahoma" w:eastAsia="Calibri" w:hAnsi="Tahoma" w:cs="Tahoma"/>
          <w:lang w:eastAsia="es-CO"/>
        </w:rPr>
        <w:t xml:space="preserve">, las cuales tampoco convalidan el traslado, como quedó dicho en la citada sentencia del 8 de mayo de 2019 SL 1688-2019, así: </w:t>
      </w:r>
    </w:p>
    <w:p w14:paraId="03970FC9" w14:textId="77777777" w:rsidR="003B30E1" w:rsidRPr="003B30E1" w:rsidRDefault="003B30E1" w:rsidP="00E531FA">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3B30E1">
        <w:rPr>
          <w:rFonts w:ascii="Tahoma" w:eastAsia="Calibri" w:hAnsi="Tahoma" w:cs="Tahoma"/>
          <w:lang w:eastAsia="es-CO"/>
        </w:rPr>
        <w:t xml:space="preserve">  </w:t>
      </w:r>
    </w:p>
    <w:p w14:paraId="5545500F"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“Ahora, si bien la AFP brindó a la actora una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F1D3892"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7F10332B"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de todas formas, ya había perdido la transición.</w:t>
      </w:r>
    </w:p>
    <w:p w14:paraId="2B87FBAC"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1ACEC37D"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92E4943"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4FBD4151" w14:textId="77777777" w:rsidR="003B30E1" w:rsidRPr="003B30E1" w:rsidRDefault="003B30E1"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Por otro lado, no es de recibo el planteo de Protección S.A., cuando sostiene que una vez realizó la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4ACC9E1" w14:textId="6B27CC3C" w:rsidR="00CC71E0" w:rsidRDefault="00CC71E0" w:rsidP="00E531FA">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70D2FAE7" w14:textId="77777777" w:rsidR="002436E2" w:rsidRPr="00570B7A" w:rsidRDefault="002436E2" w:rsidP="00E531FA">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1F70DA74" w14:textId="77777777" w:rsidR="00150B63" w:rsidRPr="00150B63" w:rsidRDefault="00150B63" w:rsidP="00C80AEA">
      <w:pPr>
        <w:widowControl w:val="0"/>
        <w:numPr>
          <w:ilvl w:val="1"/>
          <w:numId w:val="5"/>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11" w:name="_Hlk109243055"/>
      <w:r w:rsidRPr="00150B63">
        <w:rPr>
          <w:rFonts w:ascii="Tahoma" w:eastAsia="Calibri" w:hAnsi="Tahoma" w:cs="Tahoma"/>
          <w:b/>
          <w:bCs/>
          <w:lang w:eastAsia="es-CO"/>
        </w:rPr>
        <w:t xml:space="preserve">Los actos de relacionamiento, </w:t>
      </w:r>
      <w:proofErr w:type="spellStart"/>
      <w:r w:rsidRPr="00150B63">
        <w:rPr>
          <w:rFonts w:ascii="Tahoma" w:eastAsia="Calibri" w:hAnsi="Tahoma" w:cs="Tahoma"/>
          <w:b/>
          <w:bCs/>
          <w:lang w:eastAsia="es-CO"/>
        </w:rPr>
        <w:t>reasesorías</w:t>
      </w:r>
      <w:proofErr w:type="spellEnd"/>
      <w:r w:rsidRPr="00150B63">
        <w:rPr>
          <w:rFonts w:ascii="Tahoma" w:eastAsia="Calibri" w:hAnsi="Tahoma" w:cs="Tahoma"/>
          <w:b/>
          <w:bCs/>
          <w:lang w:eastAsia="es-CO"/>
        </w:rPr>
        <w:t>, falta de retorno al RPM en el tiempo estipulado por la ley, publicaciones de prensa y extractos de la cuenta de ahorro individual no desestiman la ineficacia por la falta de información al momento del traslado al RAIS.</w:t>
      </w:r>
    </w:p>
    <w:p w14:paraId="47796823" w14:textId="77777777" w:rsidR="00150B63" w:rsidRPr="00150B63" w:rsidRDefault="00150B63" w:rsidP="00E531FA">
      <w:pPr>
        <w:widowControl w:val="0"/>
        <w:autoSpaceDE w:val="0"/>
        <w:autoSpaceDN w:val="0"/>
        <w:adjustRightInd w:val="0"/>
        <w:spacing w:before="0" w:beforeAutospacing="0" w:after="0" w:afterAutospacing="0" w:line="276" w:lineRule="auto"/>
        <w:ind w:left="1429" w:firstLine="0"/>
        <w:contextualSpacing/>
        <w:rPr>
          <w:rFonts w:ascii="Tahoma" w:eastAsia="Calibri" w:hAnsi="Tahoma" w:cs="Tahoma"/>
          <w:b/>
          <w:bCs/>
          <w:lang w:eastAsia="es-CO"/>
        </w:rPr>
      </w:pPr>
    </w:p>
    <w:p w14:paraId="179CD1F2" w14:textId="77777777" w:rsidR="00150B63" w:rsidRPr="00150B63" w:rsidRDefault="00150B63" w:rsidP="00E531FA">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2" w:name="_Hlk109255998"/>
      <w:bookmarkEnd w:id="11"/>
      <w:r w:rsidRPr="00150B63">
        <w:rPr>
          <w:rFonts w:ascii="Tahoma" w:eastAsia="Calibri" w:hAnsi="Tahoma" w:cs="Tahoma"/>
          <w:bCs/>
          <w:lang w:eastAsia="es-CO"/>
        </w:rPr>
        <w:t xml:space="preserve">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w:t>
      </w:r>
      <w:r w:rsidRPr="00150B63">
        <w:rPr>
          <w:rFonts w:ascii="Tahoma" w:eastAsia="Calibri" w:hAnsi="Tahoma" w:cs="Tahoma"/>
          <w:bCs/>
          <w:lang w:eastAsia="es-CO"/>
        </w:rPr>
        <w:lastRenderedPageBreak/>
        <w:t>privadas, al respecto en la sentencia SL 5688 de 2021</w:t>
      </w:r>
      <w:r w:rsidRPr="00150B63">
        <w:rPr>
          <w:rFonts w:ascii="Tahoma" w:eastAsia="Calibri" w:hAnsi="Tahoma" w:cs="Tahoma"/>
          <w:bCs/>
          <w:vertAlign w:val="superscript"/>
          <w:lang w:eastAsia="es-CO"/>
        </w:rPr>
        <w:footnoteReference w:id="5"/>
      </w:r>
      <w:r w:rsidRPr="00150B63">
        <w:rPr>
          <w:rFonts w:ascii="Tahoma" w:eastAsia="Calibri" w:hAnsi="Tahoma" w:cs="Tahoma"/>
          <w:bCs/>
          <w:lang w:eastAsia="es-CO"/>
        </w:rPr>
        <w:t xml:space="preserve"> que memora la sentencia CSJ SL, 9 sep. 2008, rad. 31989 expuso:</w:t>
      </w:r>
    </w:p>
    <w:p w14:paraId="762EF279"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021909B1"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159576FD"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2202776B" w14:textId="77777777" w:rsidR="00150B63" w:rsidRPr="00150B63" w:rsidRDefault="00150B63" w:rsidP="00E531FA">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150B63">
        <w:rPr>
          <w:rFonts w:ascii="Tahoma" w:eastAsia="Calibri" w:hAnsi="Tahoma" w:cs="Tahoma"/>
          <w:bCs/>
          <w:lang w:eastAsia="es-CO"/>
        </w:rPr>
        <w:t>En este orden de ideas, en la sentencia CSJ SL 5686 de 2021</w:t>
      </w:r>
      <w:r w:rsidRPr="00150B63">
        <w:rPr>
          <w:rFonts w:ascii="Tahoma" w:eastAsia="Calibri" w:hAnsi="Tahoma" w:cs="Tahoma"/>
          <w:bCs/>
          <w:vertAlign w:val="superscript"/>
          <w:lang w:eastAsia="es-CO"/>
        </w:rPr>
        <w:footnoteReference w:id="6"/>
      </w:r>
      <w:r w:rsidRPr="00150B63">
        <w:rPr>
          <w:rFonts w:ascii="Tahoma" w:eastAsia="Calibri" w:hAnsi="Tahoma" w:cs="Tahoma"/>
          <w:bCs/>
          <w:lang w:eastAsia="es-CO"/>
        </w:rPr>
        <w:t xml:space="preserve"> traída a colación en la CSJ SL1926-2022</w:t>
      </w:r>
      <w:r w:rsidRPr="00150B63">
        <w:rPr>
          <w:rFonts w:ascii="Tahoma" w:eastAsia="Calibri" w:hAnsi="Tahoma" w:cs="Tahoma"/>
          <w:bCs/>
          <w:vertAlign w:val="superscript"/>
          <w:lang w:eastAsia="es-CO"/>
        </w:rPr>
        <w:footnoteReference w:id="7"/>
      </w:r>
      <w:r w:rsidRPr="00150B63">
        <w:rPr>
          <w:rFonts w:ascii="Tahoma" w:eastAsia="Calibri" w:hAnsi="Tahoma" w:cs="Tahoma"/>
          <w:bCs/>
          <w:lang w:eastAsia="es-CO"/>
        </w:rPr>
        <w:t xml:space="preserve"> añadió:</w:t>
      </w:r>
    </w:p>
    <w:p w14:paraId="53AC147E" w14:textId="77777777" w:rsidR="00150B63" w:rsidRPr="00150B63" w:rsidRDefault="00150B63" w:rsidP="00E531FA">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0B9B10B3"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56DC5E38"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F177737"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22454FE6" w14:textId="77777777" w:rsidR="00150B63" w:rsidRPr="00150B63" w:rsidRDefault="00150B63" w:rsidP="00E531FA">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5816F901" w14:textId="77777777" w:rsidR="00150B63" w:rsidRPr="00150B63" w:rsidRDefault="00150B63" w:rsidP="00E531FA">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150B63">
        <w:rPr>
          <w:rFonts w:ascii="Tahoma" w:eastAsia="Calibri" w:hAnsi="Tahoma" w:cs="Tahoma"/>
          <w:bCs/>
          <w:lang w:eastAsia="es-CO"/>
        </w:rPr>
        <w:t>Posteriormente, la sentencia CSJ SL1055 de 2022</w:t>
      </w:r>
      <w:r w:rsidRPr="00150B63">
        <w:rPr>
          <w:rFonts w:ascii="Tahoma" w:eastAsia="Calibri" w:hAnsi="Tahoma" w:cs="Tahoma"/>
          <w:bCs/>
          <w:vertAlign w:val="superscript"/>
          <w:lang w:eastAsia="es-CO"/>
        </w:rPr>
        <w:footnoteReference w:id="8"/>
      </w:r>
      <w:r w:rsidRPr="00150B63">
        <w:rPr>
          <w:rFonts w:ascii="Tahoma" w:eastAsia="Calibri" w:hAnsi="Tahoma" w:cs="Tahoma"/>
          <w:bCs/>
          <w:lang w:eastAsia="es-CO"/>
        </w:rPr>
        <w:t xml:space="preserve"> también recogió las posturas contrarias establecidas por las Sala de Descongestión de la Corte en las providencias </w:t>
      </w:r>
      <w:r w:rsidRPr="00150B63">
        <w:rPr>
          <w:rFonts w:ascii="Tahoma" w:eastAsia="Calibri" w:hAnsi="Tahoma" w:cs="Tahoma"/>
          <w:bCs/>
          <w:lang w:val="es-ES" w:eastAsia="es-CO"/>
        </w:rPr>
        <w:t>CSJ SL249-2022 y SL259-2022, y en su lugar ratificó:</w:t>
      </w:r>
    </w:p>
    <w:p w14:paraId="045B7C06" w14:textId="77777777" w:rsidR="00150B63" w:rsidRPr="00150B63" w:rsidRDefault="00150B63" w:rsidP="00E531FA">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44B1B1CB"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6FFE9AC0" w14:textId="77777777" w:rsidR="00150B63" w:rsidRPr="00150B63" w:rsidRDefault="00150B63" w:rsidP="00E531FA">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1583A812" w14:textId="77777777" w:rsidR="00150B63" w:rsidRPr="00150B63" w:rsidRDefault="00150B63"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50B63">
        <w:rPr>
          <w:rFonts w:ascii="Tahoma" w:eastAsia="Calibri" w:hAnsi="Tahoma" w:cs="Tahoma"/>
          <w:bCs/>
          <w:lang w:eastAsia="es-CO"/>
        </w:rPr>
        <w:t xml:space="preserve">Igual cosa se ha predicado de las </w:t>
      </w:r>
      <w:proofErr w:type="spellStart"/>
      <w:r w:rsidRPr="00150B63">
        <w:rPr>
          <w:rFonts w:ascii="Tahoma" w:eastAsia="Calibri" w:hAnsi="Tahoma" w:cs="Tahoma"/>
          <w:bCs/>
          <w:lang w:eastAsia="es-CO"/>
        </w:rPr>
        <w:t>reasesorías</w:t>
      </w:r>
      <w:proofErr w:type="spellEnd"/>
      <w:r w:rsidRPr="00150B63">
        <w:rPr>
          <w:rFonts w:ascii="Tahoma" w:eastAsia="Calibri" w:hAnsi="Tahoma" w:cs="Tahoma"/>
          <w:bCs/>
          <w:lang w:eastAsia="es-CO"/>
        </w:rPr>
        <w:t xml:space="preserve"> posteriores dadas al interior de las AFP</w:t>
      </w:r>
      <w:r w:rsidRPr="00150B63">
        <w:rPr>
          <w:rFonts w:ascii="Tahoma" w:eastAsia="Calibri" w:hAnsi="Tahoma" w:cs="Tahoma"/>
          <w:lang w:eastAsia="es-CO"/>
        </w:rPr>
        <w:t xml:space="preserve">, las cuales tampoco convalidan el traslado, como quedó dicho en la citada sentencia del 8 de mayo de 2019 SL 1688-2019, así: </w:t>
      </w:r>
    </w:p>
    <w:p w14:paraId="76D378CD"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150B63">
        <w:rPr>
          <w:rFonts w:ascii="Tahoma" w:eastAsia="Calibri" w:hAnsi="Tahoma" w:cs="Tahoma"/>
          <w:lang w:eastAsia="es-CO"/>
        </w:rPr>
        <w:t xml:space="preserve">  </w:t>
      </w:r>
    </w:p>
    <w:p w14:paraId="29CE4E81"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“Ahora, si bien la AFP brindó a la actora una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w:t>
      </w:r>
      <w:r w:rsidRPr="00150B63">
        <w:rPr>
          <w:rFonts w:ascii="Tahoma" w:eastAsia="Calibri" w:hAnsi="Tahoma" w:cs="Tahoma"/>
          <w:i/>
          <w:sz w:val="22"/>
          <w:lang w:eastAsia="es-CO"/>
        </w:rPr>
        <w:lastRenderedPageBreak/>
        <w:t>la obligación de información en que incurrió la AFP al momento del traslado, por dos razones:</w:t>
      </w:r>
    </w:p>
    <w:p w14:paraId="6AA6726B"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0E805E9F"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de todas formas, ya había perdido la transición.</w:t>
      </w:r>
    </w:p>
    <w:p w14:paraId="6DBAB4E1"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2EBA01A4"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0DDCB9E"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47D93A79"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Por otro lado, no es de recibo el planteo de Protección S.A., cuando sostiene que una vez realizó la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3A51822" w14:textId="77777777" w:rsidR="00150B63" w:rsidRPr="00150B63" w:rsidRDefault="00150B63" w:rsidP="00E531FA">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2"/>
    <w:p w14:paraId="1F9BCAF0" w14:textId="77777777" w:rsidR="00150B63" w:rsidRPr="00150B63" w:rsidRDefault="00150B63" w:rsidP="00E531FA">
      <w:pPr>
        <w:spacing w:before="0" w:beforeAutospacing="0" w:after="0" w:afterAutospacing="0" w:line="276" w:lineRule="auto"/>
        <w:ind w:right="-5"/>
        <w:contextualSpacing/>
        <w:rPr>
          <w:rFonts w:ascii="Tahoma" w:eastAsia="Calibri" w:hAnsi="Tahoma" w:cs="Tahoma"/>
          <w:iCs/>
          <w:lang w:val="es-ES"/>
        </w:rPr>
      </w:pPr>
      <w:r w:rsidRPr="00150B63">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150B63">
        <w:rPr>
          <w:rFonts w:ascii="Tahoma" w:eastAsia="Calibri" w:hAnsi="Tahoma" w:cs="Tahoma"/>
          <w:iCs/>
          <w:vertAlign w:val="superscript"/>
          <w:lang w:val="es-ES"/>
        </w:rPr>
        <w:footnoteReference w:id="9"/>
      </w:r>
      <w:r w:rsidRPr="00150B63">
        <w:rPr>
          <w:rFonts w:ascii="Tahoma" w:eastAsia="Calibri" w:hAnsi="Tahoma" w:cs="Tahoma"/>
          <w:iCs/>
          <w:lang w:val="es-ES"/>
        </w:rPr>
        <w:t xml:space="preserve"> precisó: </w:t>
      </w:r>
    </w:p>
    <w:p w14:paraId="36C512F5" w14:textId="77777777" w:rsidR="00150B63" w:rsidRPr="00150B63" w:rsidRDefault="00150B63" w:rsidP="00E531FA">
      <w:pPr>
        <w:spacing w:before="0" w:beforeAutospacing="0" w:after="0" w:afterAutospacing="0" w:line="276" w:lineRule="auto"/>
        <w:ind w:left="426" w:right="420" w:firstLine="0"/>
        <w:contextualSpacing/>
        <w:rPr>
          <w:rFonts w:ascii="Tahoma" w:eastAsia="Calibri" w:hAnsi="Tahoma" w:cs="Tahoma"/>
          <w:i/>
          <w:lang w:val="es-ES"/>
        </w:rPr>
      </w:pPr>
    </w:p>
    <w:p w14:paraId="41751C91"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44D5BF2B" w14:textId="68F0706B" w:rsidR="00150B63" w:rsidRDefault="00150B63" w:rsidP="00E531FA">
      <w:pPr>
        <w:widowControl w:val="0"/>
        <w:autoSpaceDE w:val="0"/>
        <w:autoSpaceDN w:val="0"/>
        <w:adjustRightInd w:val="0"/>
        <w:spacing w:before="0" w:beforeAutospacing="0" w:after="0" w:afterAutospacing="0" w:line="276" w:lineRule="auto"/>
        <w:ind w:firstLine="0"/>
        <w:rPr>
          <w:rFonts w:ascii="Tahoma" w:eastAsia="Calibri" w:hAnsi="Tahoma" w:cs="Tahoma"/>
          <w:i/>
          <w:lang w:val="es-ES" w:eastAsia="es-CO"/>
        </w:rPr>
      </w:pPr>
    </w:p>
    <w:p w14:paraId="6B15A67D" w14:textId="77777777" w:rsidR="002436E2" w:rsidRPr="00150B63" w:rsidRDefault="002436E2" w:rsidP="00E531FA">
      <w:pPr>
        <w:widowControl w:val="0"/>
        <w:autoSpaceDE w:val="0"/>
        <w:autoSpaceDN w:val="0"/>
        <w:adjustRightInd w:val="0"/>
        <w:spacing w:before="0" w:beforeAutospacing="0" w:after="0" w:afterAutospacing="0" w:line="276" w:lineRule="auto"/>
        <w:ind w:firstLine="0"/>
        <w:rPr>
          <w:rFonts w:ascii="Tahoma" w:eastAsia="Calibri" w:hAnsi="Tahoma" w:cs="Tahoma"/>
          <w:i/>
          <w:lang w:val="es-ES" w:eastAsia="es-CO"/>
        </w:rPr>
      </w:pPr>
    </w:p>
    <w:p w14:paraId="2652B67C" w14:textId="5B95D8EC" w:rsidR="00150B63" w:rsidRPr="00150B63" w:rsidRDefault="00EB0192" w:rsidP="00C80AEA">
      <w:pPr>
        <w:widowControl w:val="0"/>
        <w:numPr>
          <w:ilvl w:val="1"/>
          <w:numId w:val="5"/>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150B63">
        <w:rPr>
          <w:rFonts w:ascii="Tahoma" w:eastAsia="Calibri" w:hAnsi="Tahoma" w:cs="Tahoma"/>
          <w:b/>
          <w:bCs/>
          <w:lang w:eastAsia="es-CO"/>
        </w:rPr>
        <w:t xml:space="preserve"> </w:t>
      </w:r>
      <w:r w:rsidR="00150B63" w:rsidRPr="00150B63">
        <w:rPr>
          <w:rFonts w:ascii="Tahoma" w:eastAsia="Calibri" w:hAnsi="Tahoma" w:cs="Tahoma"/>
          <w:b/>
          <w:bCs/>
          <w:lang w:eastAsia="es-CO"/>
        </w:rPr>
        <w:t>“De la carga de la prueba – Inversión a favor del afiliado”</w:t>
      </w:r>
      <w:r w:rsidR="00150B63" w:rsidRPr="00150B63">
        <w:rPr>
          <w:rFonts w:ascii="Tahoma" w:eastAsia="Calibri" w:hAnsi="Tahoma" w:cs="Tahoma"/>
          <w:b/>
          <w:bCs/>
          <w:vertAlign w:val="superscript"/>
          <w:lang w:eastAsia="es-CO"/>
        </w:rPr>
        <w:footnoteReference w:id="10"/>
      </w:r>
    </w:p>
    <w:p w14:paraId="4E2F7A87"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0E7C71D3" w14:textId="77777777" w:rsidR="00150B63" w:rsidRPr="00150B63" w:rsidRDefault="00150B63"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50B63">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150B63">
        <w:rPr>
          <w:rFonts w:ascii="Tahoma" w:eastAsia="Calibri" w:hAnsi="Tahoma" w:cs="Tahoma"/>
          <w:i/>
          <w:lang w:eastAsia="es-CO"/>
        </w:rPr>
        <w:t>la prueba de la diligencia o cuidado incumbe al que ha debido emplearlo”</w:t>
      </w:r>
      <w:r w:rsidRPr="00150B63">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57276AE4"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E3C925C"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4C78B9F"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6440F14"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C035492"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6D04ADD"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FD4FAB7"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8A3370B"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78835E6F"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2CAC66D"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82B386A"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D1FF4CD"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DFF4273"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4A517C9"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C8E43F9" w14:textId="22F1BE6E" w:rsid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F233C7B" w14:textId="77777777" w:rsidR="002436E2" w:rsidRPr="00150B63" w:rsidRDefault="002436E2"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521FF0" w14:textId="77777777" w:rsidR="00150B63" w:rsidRPr="00150B63" w:rsidRDefault="00150B63" w:rsidP="00C80AEA">
      <w:pPr>
        <w:widowControl w:val="0"/>
        <w:numPr>
          <w:ilvl w:val="1"/>
          <w:numId w:val="5"/>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150B63">
        <w:rPr>
          <w:rFonts w:ascii="Tahoma" w:eastAsia="Calibri" w:hAnsi="Tahoma" w:cs="Tahoma"/>
          <w:b/>
          <w:bCs/>
          <w:lang w:eastAsia="es-CO"/>
        </w:rPr>
        <w:t>Consecuencias de la declaratoria de ineficacia del traslado: Devolución de las cuotas de administración y de otros valores debidamente indexados.</w:t>
      </w:r>
    </w:p>
    <w:p w14:paraId="4CEBF9CD" w14:textId="77777777" w:rsidR="00C80AEA" w:rsidRDefault="00C80AEA"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D1EC2DC" w14:textId="11CBA7AB" w:rsidR="00150B63" w:rsidRPr="00150B63" w:rsidRDefault="00150B63"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50B63">
        <w:rPr>
          <w:rFonts w:ascii="Tahoma" w:eastAsia="Calibri" w:hAnsi="Tahoma" w:cs="Tahoma"/>
          <w:lang w:eastAsia="es-CO"/>
        </w:rPr>
        <w:t xml:space="preserve">En la sentencia SL1421 de 2019, Rad. 56174, M.P. Gerardo Botero Zuluaga, </w:t>
      </w:r>
      <w:r w:rsidRPr="00150B63">
        <w:rPr>
          <w:rFonts w:ascii="Tahoma" w:eastAsia="Calibri" w:hAnsi="Tahoma" w:cs="Tahoma"/>
          <w:lang w:eastAsia="es-CO"/>
        </w:rPr>
        <w:lastRenderedPageBreak/>
        <w:t xml:space="preserve">cuando se declaró la ineficacia del traslado, se dijo que una de las consecuencias de tal situación era la devolución de las cuotas de administración a cargo de la AFP, tema que se planteó en los siguientes términos: </w:t>
      </w:r>
    </w:p>
    <w:p w14:paraId="50265FEA"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3A86B9"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F4F4491"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F06551A"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10FBABE7"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1FE6E26"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w:t>
      </w:r>
    </w:p>
    <w:p w14:paraId="38D4683E"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7AFF474"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441EF7D"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08D7716"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E1E5751"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088D7A"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50B63">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3C284D00"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11EBE02" w14:textId="77777777" w:rsidR="00150B63" w:rsidRPr="00150B63" w:rsidRDefault="00150B63" w:rsidP="00E531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436C37BB" w14:textId="77777777" w:rsidR="00150B63" w:rsidRPr="00150B63" w:rsidRDefault="00150B63"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9A2D514" w14:textId="77777777" w:rsidR="00150B63" w:rsidRPr="00150B63" w:rsidRDefault="00150B63"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50B63">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4D9B588" w14:textId="75D40F33" w:rsidR="00CC71E0" w:rsidRDefault="00CC71E0" w:rsidP="00E531FA">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63581388" w14:textId="77777777" w:rsidR="002436E2" w:rsidRPr="00570B7A" w:rsidRDefault="002436E2" w:rsidP="00E531FA">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0F161413" w14:textId="77777777" w:rsidR="00CC71E0" w:rsidRPr="00570B7A" w:rsidRDefault="00CC71E0" w:rsidP="00C80AEA">
      <w:pPr>
        <w:widowControl w:val="0"/>
        <w:numPr>
          <w:ilvl w:val="1"/>
          <w:numId w:val="5"/>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70B7A">
        <w:rPr>
          <w:rFonts w:ascii="Tahoma" w:eastAsia="Calibri" w:hAnsi="Tahoma" w:cs="Tahoma"/>
          <w:b/>
          <w:bCs/>
          <w:lang w:eastAsia="es-CO"/>
        </w:rPr>
        <w:lastRenderedPageBreak/>
        <w:t>Caso concreto</w:t>
      </w:r>
    </w:p>
    <w:p w14:paraId="5D0CE56E"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CAA692" w14:textId="77777777"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70B7A">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365014F"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F01E7A" w14:textId="77777777"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70B7A">
        <w:rPr>
          <w:rFonts w:ascii="Tahoma" w:eastAsia="Calibri" w:hAnsi="Tahoma" w:cs="Tahoma"/>
          <w:lang w:eastAsia="es-CO"/>
        </w:rPr>
        <w:t>De conformidad a la jurisprudencia de la Sala de Casación Laboral de la Corte Suprema de Justicia, en las citadas sentencias, según las voces del artículo 1604 del C.C., la prueb</w:t>
      </w:r>
      <w:bookmarkStart w:id="13" w:name="_GoBack"/>
      <w:bookmarkEnd w:id="13"/>
      <w:r w:rsidRPr="00570B7A">
        <w:rPr>
          <w:rFonts w:ascii="Tahoma" w:eastAsia="Calibri" w:hAnsi="Tahoma" w:cs="Tahoma"/>
          <w:lang w:eastAsia="es-CO"/>
        </w:rPr>
        <w:t>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ACDDB93"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6D8B84" w14:textId="77777777"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570B7A">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570B7A">
        <w:rPr>
          <w:rFonts w:ascii="Tahoma" w:eastAsia="Calibri" w:hAnsi="Tahoma" w:cs="Tahoma"/>
          <w:b/>
          <w:bCs/>
          <w:lang w:eastAsia="es-CO"/>
        </w:rPr>
        <w:t>, acreditar haber transmitido a la parte actora la información concreta y cierta, acerca de la implicación del traslado de régimen pensional.</w:t>
      </w:r>
    </w:p>
    <w:p w14:paraId="538E1D1F"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0E0003C2" w14:textId="77777777"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70B7A">
        <w:rPr>
          <w:rFonts w:ascii="Tahoma" w:eastAsia="Calibri" w:hAnsi="Tahoma" w:cs="Tahoma"/>
          <w:lang w:eastAsia="es-CO"/>
        </w:rPr>
        <w:t xml:space="preserve">En realidad, mínimo la AFP tendría que haber dado la siguiente información: </w:t>
      </w:r>
      <w:r w:rsidRPr="00570B7A">
        <w:rPr>
          <w:rFonts w:ascii="Tahoma" w:eastAsia="Calibri" w:hAnsi="Tahoma" w:cs="Tahoma"/>
          <w:i/>
          <w:iCs/>
          <w:lang w:eastAsia="es-CO"/>
        </w:rPr>
        <w:t xml:space="preserve">i) </w:t>
      </w:r>
      <w:r w:rsidRPr="00570B7A">
        <w:rPr>
          <w:rFonts w:ascii="Tahoma" w:eastAsia="Calibri" w:hAnsi="Tahoma" w:cs="Tahoma"/>
          <w:lang w:eastAsia="es-CO"/>
        </w:rPr>
        <w:t xml:space="preserve">Que, dependiendo del capital, puede pensionarse anticipadamente, esto es, antes de la edad mínima para la pensión de vejez. </w:t>
      </w:r>
      <w:r w:rsidRPr="00570B7A">
        <w:rPr>
          <w:rFonts w:ascii="Tahoma" w:eastAsia="Calibri" w:hAnsi="Tahoma" w:cs="Tahoma"/>
          <w:i/>
          <w:iCs/>
          <w:lang w:eastAsia="es-CO"/>
        </w:rPr>
        <w:t xml:space="preserve">ii) </w:t>
      </w:r>
      <w:r w:rsidRPr="00570B7A">
        <w:rPr>
          <w:rFonts w:ascii="Tahoma" w:eastAsia="Calibri" w:hAnsi="Tahoma" w:cs="Tahoma"/>
          <w:lang w:eastAsia="es-CO"/>
        </w:rPr>
        <w:t xml:space="preserve">La posibilidad para sus herederos de hacerse a la devolución de saldos, en caso de que no existieran beneficiaros para la pensión de sobrevivientes. </w:t>
      </w:r>
      <w:r w:rsidRPr="00570B7A">
        <w:rPr>
          <w:rFonts w:ascii="Tahoma" w:eastAsia="Calibri" w:hAnsi="Tahoma" w:cs="Tahoma"/>
          <w:i/>
          <w:iCs/>
          <w:lang w:eastAsia="es-CO"/>
        </w:rPr>
        <w:t xml:space="preserve">iii) </w:t>
      </w:r>
      <w:r w:rsidRPr="00570B7A">
        <w:rPr>
          <w:rFonts w:ascii="Tahoma" w:eastAsia="Calibri" w:hAnsi="Tahoma" w:cs="Tahoma"/>
          <w:lang w:eastAsia="es-CO"/>
        </w:rPr>
        <w:t xml:space="preserve">La devolución total del saldo en caso de no alcanzar a reunir el total de los requisitos legales para optar al beneficio pensional. </w:t>
      </w:r>
      <w:r w:rsidRPr="00570B7A">
        <w:rPr>
          <w:rFonts w:ascii="Tahoma" w:eastAsia="Calibri" w:hAnsi="Tahoma" w:cs="Tahoma"/>
          <w:i/>
          <w:iCs/>
          <w:lang w:eastAsia="es-CO"/>
        </w:rPr>
        <w:t xml:space="preserve">iv) </w:t>
      </w:r>
      <w:r w:rsidRPr="00570B7A">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570B7A">
        <w:rPr>
          <w:rFonts w:ascii="Tahoma" w:eastAsia="Calibri" w:hAnsi="Tahoma" w:cs="Tahoma"/>
          <w:i/>
          <w:iCs/>
          <w:lang w:eastAsia="es-CO"/>
        </w:rPr>
        <w:t xml:space="preserve">v) </w:t>
      </w:r>
      <w:r w:rsidRPr="00570B7A">
        <w:rPr>
          <w:rFonts w:ascii="Tahoma" w:eastAsia="Calibri" w:hAnsi="Tahoma" w:cs="Tahoma"/>
          <w:lang w:eastAsia="es-CO"/>
        </w:rPr>
        <w:t xml:space="preserve">La posibilidad de que el reconocimiento de la pensión de vejez, una vez reunido los requisitos, se haga pronto. </w:t>
      </w:r>
      <w:r w:rsidRPr="00570B7A">
        <w:rPr>
          <w:rFonts w:ascii="Tahoma" w:eastAsia="Calibri" w:hAnsi="Tahoma" w:cs="Tahoma"/>
          <w:i/>
          <w:iCs/>
          <w:lang w:eastAsia="es-CO"/>
        </w:rPr>
        <w:t xml:space="preserve">vi) </w:t>
      </w:r>
      <w:r w:rsidRPr="00570B7A">
        <w:rPr>
          <w:rFonts w:ascii="Tahoma" w:eastAsia="Calibri" w:hAnsi="Tahoma" w:cs="Tahoma"/>
          <w:lang w:eastAsia="es-CO"/>
        </w:rPr>
        <w:t xml:space="preserve">La posibilidad de que sus aportes se conviertan en patrimonio </w:t>
      </w:r>
      <w:proofErr w:type="spellStart"/>
      <w:r w:rsidRPr="00570B7A">
        <w:rPr>
          <w:rFonts w:ascii="Tahoma" w:eastAsia="Calibri" w:hAnsi="Tahoma" w:cs="Tahoma"/>
          <w:lang w:eastAsia="es-CO"/>
        </w:rPr>
        <w:t>sucesoral</w:t>
      </w:r>
      <w:proofErr w:type="spellEnd"/>
      <w:r w:rsidRPr="00570B7A">
        <w:rPr>
          <w:rFonts w:ascii="Tahoma" w:eastAsia="Calibri" w:hAnsi="Tahoma" w:cs="Tahoma"/>
          <w:lang w:eastAsia="es-CO"/>
        </w:rPr>
        <w:t xml:space="preserve"> en un caso dado. </w:t>
      </w:r>
      <w:r w:rsidRPr="00570B7A">
        <w:rPr>
          <w:rFonts w:ascii="Tahoma" w:eastAsia="Calibri" w:hAnsi="Tahoma" w:cs="Tahoma"/>
          <w:i/>
          <w:iCs/>
          <w:lang w:eastAsia="es-CO"/>
        </w:rPr>
        <w:t xml:space="preserve">vii) </w:t>
      </w:r>
      <w:r w:rsidRPr="00570B7A">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570B7A">
        <w:rPr>
          <w:rFonts w:ascii="Tahoma" w:eastAsia="Calibri" w:hAnsi="Tahoma" w:cs="Tahoma"/>
          <w:i/>
          <w:iCs/>
          <w:lang w:eastAsia="es-CO"/>
        </w:rPr>
        <w:t>viii</w:t>
      </w:r>
      <w:proofErr w:type="spellEnd"/>
      <w:r w:rsidRPr="00570B7A">
        <w:rPr>
          <w:rFonts w:ascii="Tahoma" w:eastAsia="Calibri" w:hAnsi="Tahoma" w:cs="Tahoma"/>
          <w:i/>
          <w:iCs/>
          <w:lang w:eastAsia="es-CO"/>
        </w:rPr>
        <w:t xml:space="preserve">) </w:t>
      </w:r>
      <w:r w:rsidRPr="00570B7A">
        <w:rPr>
          <w:rFonts w:ascii="Tahoma" w:eastAsia="Calibri" w:hAnsi="Tahoma" w:cs="Tahoma"/>
          <w:lang w:eastAsia="es-CO"/>
        </w:rPr>
        <w:t xml:space="preserve">Los rendimientos financieros que le generen sus aportes abonados sobre el saldo de su cuenta de ahorro individual; y, </w:t>
      </w:r>
      <w:proofErr w:type="spellStart"/>
      <w:r w:rsidRPr="00570B7A">
        <w:rPr>
          <w:rFonts w:ascii="Tahoma" w:eastAsia="Calibri" w:hAnsi="Tahoma" w:cs="Tahoma"/>
          <w:i/>
          <w:iCs/>
          <w:lang w:eastAsia="es-CO"/>
        </w:rPr>
        <w:t>ix</w:t>
      </w:r>
      <w:proofErr w:type="spellEnd"/>
      <w:r w:rsidRPr="00570B7A">
        <w:rPr>
          <w:rFonts w:ascii="Tahoma" w:eastAsia="Calibri" w:hAnsi="Tahoma" w:cs="Tahoma"/>
          <w:i/>
          <w:iCs/>
          <w:lang w:eastAsia="es-CO"/>
        </w:rPr>
        <w:t xml:space="preserve">) </w:t>
      </w:r>
      <w:r w:rsidRPr="00570B7A">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570B7A">
        <w:rPr>
          <w:rFonts w:ascii="Tahoma" w:eastAsia="Calibri" w:hAnsi="Tahoma" w:cs="Tahoma"/>
          <w:lang w:eastAsia="es-CO"/>
        </w:rPr>
        <w:t>sucesoral</w:t>
      </w:r>
      <w:proofErr w:type="spellEnd"/>
      <w:r w:rsidRPr="00570B7A">
        <w:rPr>
          <w:rFonts w:ascii="Tahoma" w:eastAsia="Calibri" w:hAnsi="Tahoma" w:cs="Tahoma"/>
          <w:lang w:eastAsia="es-CO"/>
        </w:rPr>
        <w:t xml:space="preserve">, pero le garantiza una pensión de por vida. La modalidad de </w:t>
      </w:r>
      <w:r w:rsidRPr="00570B7A">
        <w:rPr>
          <w:rFonts w:ascii="Tahoma" w:eastAsia="Calibri" w:hAnsi="Tahoma" w:cs="Tahoma"/>
          <w:i/>
          <w:iCs/>
          <w:lang w:eastAsia="es-CO"/>
        </w:rPr>
        <w:t>retiro programado</w:t>
      </w:r>
      <w:r w:rsidRPr="00570B7A">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19CE69F" w14:textId="77777777"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B481DA1" w14:textId="0044E829"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70B7A">
        <w:rPr>
          <w:rFonts w:ascii="Tahoma" w:eastAsia="Calibri" w:hAnsi="Tahoma" w:cs="Tahoma"/>
          <w:lang w:eastAsia="es-CO"/>
        </w:rPr>
        <w:t xml:space="preserve">Protección S.A. </w:t>
      </w:r>
      <w:proofErr w:type="gramStart"/>
      <w:r w:rsidRPr="00570B7A">
        <w:rPr>
          <w:rFonts w:ascii="Tahoma" w:eastAsia="Calibri" w:hAnsi="Tahoma" w:cs="Tahoma"/>
          <w:color w:val="000000" w:themeColor="text1"/>
          <w:lang w:eastAsia="es-CO"/>
        </w:rPr>
        <w:t xml:space="preserve">afirma  </w:t>
      </w:r>
      <w:r w:rsidR="00585FA4" w:rsidRPr="00570B7A">
        <w:rPr>
          <w:rFonts w:ascii="Tahoma" w:eastAsia="Calibri" w:hAnsi="Tahoma" w:cs="Tahoma"/>
          <w:color w:val="000000" w:themeColor="text1"/>
          <w:lang w:eastAsia="es-CO"/>
        </w:rPr>
        <w:t>en</w:t>
      </w:r>
      <w:proofErr w:type="gramEnd"/>
      <w:r w:rsidR="00585FA4" w:rsidRPr="00570B7A">
        <w:rPr>
          <w:rFonts w:ascii="Tahoma" w:eastAsia="Calibri" w:hAnsi="Tahoma" w:cs="Tahoma"/>
          <w:color w:val="000000" w:themeColor="text1"/>
          <w:lang w:eastAsia="es-CO"/>
        </w:rPr>
        <w:t xml:space="preserve"> su </w:t>
      </w:r>
      <w:r w:rsidRPr="00570B7A">
        <w:rPr>
          <w:rFonts w:ascii="Tahoma" w:eastAsia="Calibri" w:hAnsi="Tahoma" w:cs="Tahoma"/>
          <w:color w:val="000000" w:themeColor="text1"/>
          <w:lang w:eastAsia="es-CO"/>
        </w:rPr>
        <w:t xml:space="preserve"> </w:t>
      </w:r>
      <w:r w:rsidR="009442BA" w:rsidRPr="00570B7A">
        <w:rPr>
          <w:rFonts w:ascii="Tahoma" w:eastAsia="Calibri" w:hAnsi="Tahoma" w:cs="Tahoma"/>
          <w:color w:val="000000" w:themeColor="text1"/>
          <w:lang w:eastAsia="es-CO"/>
        </w:rPr>
        <w:t xml:space="preserve">contestación de la demanda y en su </w:t>
      </w:r>
      <w:r w:rsidRPr="00570B7A">
        <w:rPr>
          <w:rFonts w:ascii="Tahoma" w:eastAsia="Calibri" w:hAnsi="Tahoma" w:cs="Tahoma"/>
          <w:color w:val="000000" w:themeColor="text1"/>
          <w:lang w:eastAsia="es-CO"/>
        </w:rPr>
        <w:t xml:space="preserve">alzada que brindó la </w:t>
      </w:r>
      <w:r w:rsidRPr="00570B7A">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48A58859"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6C96AD" w14:textId="50B27F8B"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70B7A">
        <w:rPr>
          <w:rFonts w:ascii="Tahoma" w:eastAsia="Calibri" w:hAnsi="Tahoma" w:cs="Tahoma"/>
          <w:lang w:eastAsia="es-CO"/>
        </w:rPr>
        <w:t xml:space="preserve">Con todo hay que indicar que como prueba del cumplimiento del deber de información y buen consejo, las </w:t>
      </w:r>
      <w:proofErr w:type="spellStart"/>
      <w:r w:rsidRPr="00570B7A">
        <w:rPr>
          <w:rFonts w:ascii="Tahoma" w:eastAsia="Calibri" w:hAnsi="Tahoma" w:cs="Tahoma"/>
          <w:lang w:eastAsia="es-CO"/>
        </w:rPr>
        <w:t>AFPs</w:t>
      </w:r>
      <w:proofErr w:type="spellEnd"/>
      <w:r w:rsidRPr="00570B7A">
        <w:rPr>
          <w:rFonts w:ascii="Tahoma" w:eastAsia="Calibri" w:hAnsi="Tahoma" w:cs="Tahoma"/>
          <w:lang w:eastAsia="es-CO"/>
        </w:rPr>
        <w:t xml:space="preserve">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 todo, no se le puso de presente que perdería los beneficios transicionales al cambiar de régimen. El otro elemento de prueba que esgrime la AFP es el formulario de afiliación suscrito por el promotor de la litis, pero dicho documento no logra evidenciar la información que se le brindó. En tal virtud se estima acertada la valoración probatoria efectuada por la operadora judicial de instancia.</w:t>
      </w:r>
    </w:p>
    <w:p w14:paraId="0DDD243F"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C43D9B" w14:textId="1AC2AA48"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70B7A">
        <w:rPr>
          <w:rFonts w:ascii="Tahoma" w:eastAsia="Calibri" w:hAnsi="Tahoma" w:cs="Tahoma"/>
          <w:lang w:eastAsia="es-CO"/>
        </w:rPr>
        <w:t xml:space="preserve">En cuanto a las condenas impartidas a cargo de </w:t>
      </w:r>
      <w:r w:rsidR="00723FC4" w:rsidRPr="00570B7A">
        <w:rPr>
          <w:rFonts w:ascii="Tahoma" w:eastAsia="Calibri" w:hAnsi="Tahoma" w:cs="Tahoma"/>
          <w:lang w:eastAsia="es-CO"/>
        </w:rPr>
        <w:t xml:space="preserve">las </w:t>
      </w:r>
      <w:r w:rsidRPr="00570B7A">
        <w:rPr>
          <w:rFonts w:ascii="Tahoma" w:eastAsia="Calibri" w:hAnsi="Tahoma" w:cs="Tahoma"/>
          <w:lang w:eastAsia="es-CO"/>
        </w:rPr>
        <w:t>Porvenir S.A.</w:t>
      </w:r>
      <w:r w:rsidR="00723FC4" w:rsidRPr="00570B7A">
        <w:rPr>
          <w:rFonts w:ascii="Tahoma" w:eastAsia="Calibri" w:hAnsi="Tahoma" w:cs="Tahoma"/>
          <w:lang w:eastAsia="es-CO"/>
        </w:rPr>
        <w:t xml:space="preserve"> y Protección S.A.</w:t>
      </w:r>
      <w:r w:rsidRPr="00570B7A">
        <w:rPr>
          <w:rFonts w:ascii="Tahoma" w:eastAsia="Calibri" w:hAnsi="Tahoma" w:cs="Tahoma"/>
          <w:lang w:eastAsia="es-CO"/>
        </w:rPr>
        <w:t>,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E7C5068" w14:textId="77777777" w:rsidR="00CC71E0" w:rsidRPr="00570B7A" w:rsidRDefault="00CC71E0" w:rsidP="00E531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02685A" w14:textId="4026C6DA" w:rsidR="00DD6FB5" w:rsidRPr="00570B7A" w:rsidRDefault="00CC71E0" w:rsidP="00E531FA">
      <w:pPr>
        <w:spacing w:before="0" w:beforeAutospacing="0" w:after="0" w:afterAutospacing="0" w:line="276" w:lineRule="auto"/>
        <w:ind w:firstLine="644"/>
        <w:rPr>
          <w:rFonts w:ascii="Tahoma" w:eastAsia="Times New Roman" w:hAnsi="Tahoma" w:cs="Tahoma"/>
          <w:color w:val="000000" w:themeColor="text1"/>
          <w:lang w:val="es-ES" w:eastAsia="es-ES"/>
        </w:rPr>
      </w:pPr>
      <w:r w:rsidRPr="00570B7A">
        <w:rPr>
          <w:rFonts w:ascii="Tahoma" w:eastAsia="Times New Roman" w:hAnsi="Tahoma" w:cs="Tahoma"/>
          <w:lang w:val="es-ES" w:eastAsia="es-ES"/>
        </w:rPr>
        <w:t xml:space="preserve">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“guardan una estrecha relación con el derecho a la igualdad, garantía </w:t>
      </w:r>
      <w:r w:rsidRPr="00570B7A">
        <w:rPr>
          <w:rFonts w:ascii="Tahoma" w:eastAsia="Times New Roman" w:hAnsi="Tahoma" w:cs="Tahoma"/>
          <w:color w:val="000000" w:themeColor="text1"/>
          <w:lang w:val="es-ES" w:eastAsia="es-ES"/>
        </w:rPr>
        <w:t xml:space="preserve">constitucional que le permite a los ciudadanos obtener decisiones judiciales idénticas frente a casos semejantes, aunado al carácter ordenador y unificador de las </w:t>
      </w:r>
      <w:r w:rsidRPr="00570B7A">
        <w:rPr>
          <w:rFonts w:ascii="Tahoma" w:eastAsia="Times New Roman" w:hAnsi="Tahoma" w:cs="Tahoma"/>
          <w:color w:val="000000" w:themeColor="text1"/>
          <w:lang w:val="es-ES" w:eastAsia="es-ES"/>
        </w:rPr>
        <w:lastRenderedPageBreak/>
        <w:t>sentencias de casación, en tanto aseguran una mayor coherencia del sistema jurídico, seguridad, confianza y certeza del derecho” (STL4759-2020).</w:t>
      </w:r>
    </w:p>
    <w:p w14:paraId="4EF490D4" w14:textId="77777777" w:rsidR="009442BA" w:rsidRPr="00570B7A" w:rsidRDefault="009442BA" w:rsidP="00E531FA">
      <w:pPr>
        <w:spacing w:before="0" w:beforeAutospacing="0" w:after="0" w:afterAutospacing="0" w:line="276" w:lineRule="auto"/>
        <w:ind w:firstLine="644"/>
        <w:rPr>
          <w:rFonts w:ascii="Tahoma" w:eastAsia="Times New Roman" w:hAnsi="Tahoma" w:cs="Tahoma"/>
          <w:color w:val="000000" w:themeColor="text1"/>
          <w:lang w:val="es-ES" w:eastAsia="es-ES"/>
        </w:rPr>
      </w:pPr>
    </w:p>
    <w:p w14:paraId="1764FD3E" w14:textId="77777777" w:rsidR="009442BA" w:rsidRPr="00570B7A" w:rsidRDefault="009442BA" w:rsidP="00E531FA">
      <w:pPr>
        <w:widowControl w:val="0"/>
        <w:autoSpaceDE w:val="0"/>
        <w:autoSpaceDN w:val="0"/>
        <w:adjustRightInd w:val="0"/>
        <w:spacing w:before="0" w:beforeAutospacing="0" w:after="0" w:afterAutospacing="0" w:line="276" w:lineRule="auto"/>
        <w:ind w:firstLine="708"/>
        <w:rPr>
          <w:rFonts w:ascii="Tahoma" w:eastAsia="Calibri" w:hAnsi="Tahoma" w:cs="Tahoma"/>
          <w:color w:val="000000" w:themeColor="text1"/>
        </w:rPr>
      </w:pPr>
      <w:r w:rsidRPr="00570B7A">
        <w:rPr>
          <w:rFonts w:ascii="Tahoma" w:eastAsia="Calibri" w:hAnsi="Tahoma" w:cs="Tahoma"/>
          <w:color w:val="000000" w:themeColor="text1"/>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5436C8A7" w14:textId="13004968" w:rsidR="00CC71E0" w:rsidRPr="00570B7A" w:rsidRDefault="00CC71E0" w:rsidP="00E531FA">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5F52E04E" w14:textId="724195F4" w:rsidR="00537542" w:rsidRPr="00570B7A" w:rsidRDefault="00537542" w:rsidP="00E531FA">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r w:rsidRPr="00570B7A">
        <w:rPr>
          <w:rFonts w:ascii="Tahoma" w:hAnsi="Tahoma" w:cs="Tahoma"/>
          <w:color w:val="000000" w:themeColor="text1"/>
          <w:spacing w:val="-2"/>
          <w:lang w:eastAsia="es-ES"/>
        </w:rPr>
        <w:t>En este punto, conviene recordar que, la Sala de Casación Laboral</w:t>
      </w:r>
      <w:r w:rsidRPr="00570B7A">
        <w:rPr>
          <w:rStyle w:val="Refdenotaalpie"/>
          <w:rFonts w:ascii="Tahoma" w:hAnsi="Tahoma" w:cs="Tahoma"/>
          <w:color w:val="000000" w:themeColor="text1"/>
          <w:spacing w:val="-2"/>
          <w:lang w:eastAsia="es-ES"/>
        </w:rPr>
        <w:footnoteReference w:id="11"/>
      </w:r>
      <w:r w:rsidRPr="00570B7A">
        <w:rPr>
          <w:rFonts w:ascii="Tahoma" w:hAnsi="Tahoma" w:cs="Tahoma"/>
          <w:color w:val="000000" w:themeColor="text1"/>
          <w:spacing w:val="-2"/>
          <w:lang w:eastAsia="es-ES"/>
        </w:rPr>
        <w:t xml:space="preserve"> manifestó que los actos u omisiones posteriores del afiliado,  como el de no retornar al régimen de prima media con prestación definida en la oportunidad legal prevista para ello o trasladarse entre fondos privados, no convalidan el incumplimiento del deber de información de la AFP, tales actuaciones  del afiliado se dan de manera posterior, de modo que, dejan intactos los hechos u omisiones que anteceden a la declaratoria de ineficacia.</w:t>
      </w:r>
    </w:p>
    <w:p w14:paraId="5922A1CF" w14:textId="20A658E5" w:rsidR="00691CAA" w:rsidRPr="00570B7A" w:rsidRDefault="00691CAA" w:rsidP="00E531FA">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p>
    <w:p w14:paraId="104ED352" w14:textId="77777777" w:rsidR="00691CAA" w:rsidRPr="00570B7A" w:rsidRDefault="00691CAA" w:rsidP="00E531FA">
      <w:pPr>
        <w:spacing w:before="0" w:beforeAutospacing="0" w:after="0" w:afterAutospacing="0" w:line="276" w:lineRule="auto"/>
        <w:ind w:firstLine="709"/>
        <w:rPr>
          <w:rFonts w:ascii="Tahoma" w:eastAsia="Tahoma" w:hAnsi="Tahoma" w:cs="Tahoma"/>
          <w:color w:val="000000" w:themeColor="text1"/>
          <w:lang w:val="es-ES" w:eastAsia="es-MX"/>
        </w:rPr>
      </w:pPr>
      <w:r w:rsidRPr="00570B7A">
        <w:rPr>
          <w:rFonts w:ascii="Tahoma" w:eastAsia="Tahoma" w:hAnsi="Tahoma" w:cs="Tahoma"/>
          <w:lang w:val="es-ES" w:eastAsia="es-MX"/>
        </w:rPr>
        <w:t xml:space="preserve">De otro lado, respecto a la solicitud de la AFP Porvenir S.A., 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w:t>
      </w:r>
      <w:r w:rsidRPr="00570B7A">
        <w:rPr>
          <w:rFonts w:ascii="Tahoma" w:eastAsia="Tahoma" w:hAnsi="Tahoma" w:cs="Tahoma"/>
          <w:color w:val="000000" w:themeColor="text1"/>
          <w:lang w:val="es-ES" w:eastAsia="es-MX"/>
        </w:rPr>
        <w:t>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39B88C65" w14:textId="77777777" w:rsidR="00A26141" w:rsidRPr="00570B7A" w:rsidRDefault="00A26141" w:rsidP="00E531FA">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4BC84C2" w14:textId="69732CCF"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color w:val="000000" w:themeColor="text1"/>
          <w:lang w:val="es-ES" w:eastAsia="es-MX"/>
        </w:rPr>
      </w:pPr>
      <w:r w:rsidRPr="00570B7A">
        <w:rPr>
          <w:rFonts w:ascii="Tahoma" w:eastAsia="Calibri" w:hAnsi="Tahoma" w:cs="Tahoma"/>
          <w:lang w:val="es-ES" w:eastAsia="es-MX"/>
        </w:rPr>
        <w:t>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w:t>
      </w:r>
      <w:r w:rsidRPr="00570B7A">
        <w:rPr>
          <w:rFonts w:ascii="Tahoma" w:eastAsia="Calibri" w:hAnsi="Tahoma" w:cs="Tahoma"/>
          <w:i/>
          <w:iCs/>
          <w:lang w:val="es-ES" w:eastAsia="es-MX"/>
        </w:rPr>
        <w:t>-</w:t>
      </w:r>
      <w:r w:rsidRPr="00570B7A">
        <w:rPr>
          <w:rFonts w:ascii="Tahoma" w:eastAsia="Calibri" w:hAnsi="Tahoma" w:cs="Tahoma"/>
          <w:lang w:val="es-ES" w:eastAsia="es-MX"/>
        </w:rPr>
        <w:t xml:space="preserve">, proceda con la anulación del mismo mediante trámite </w:t>
      </w:r>
      <w:r w:rsidRPr="00570B7A">
        <w:rPr>
          <w:rFonts w:ascii="Tahoma" w:eastAsia="Calibri" w:hAnsi="Tahoma" w:cs="Tahoma"/>
          <w:color w:val="000000" w:themeColor="text1"/>
          <w:lang w:val="es-ES" w:eastAsia="es-MX"/>
        </w:rPr>
        <w:t>interno, aplicando lo previsto en el artículo 57 del Decreto 1748 de 1995, modificado por el artículo 17 del Decreto 3798 de 2003 hoy recopilado en el Decreto 833 de 2016</w:t>
      </w:r>
      <w:r w:rsidR="00BD5F3F" w:rsidRPr="00570B7A">
        <w:rPr>
          <w:rFonts w:ascii="Tahoma" w:eastAsia="Calibri" w:hAnsi="Tahoma" w:cs="Tahoma"/>
          <w:color w:val="000000" w:themeColor="text1"/>
          <w:lang w:val="es-ES" w:eastAsia="es-MX"/>
        </w:rPr>
        <w:t>.</w:t>
      </w:r>
    </w:p>
    <w:p w14:paraId="5F3DFB5D" w14:textId="77777777"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7E10669" w14:textId="6B037AD4" w:rsidR="00CC71E0" w:rsidRPr="00570B7A" w:rsidRDefault="00CC71E0" w:rsidP="00E531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70B7A">
        <w:rPr>
          <w:rFonts w:ascii="Tahoma" w:eastAsia="Calibri" w:hAnsi="Tahoma" w:cs="Tahoma"/>
          <w:lang w:eastAsia="es-CO"/>
        </w:rPr>
        <w:t xml:space="preserve">En esta instancia de conformidad a lo consagrado en el artículo 365 del CGP, se condenará en costas procesales a </w:t>
      </w:r>
      <w:r w:rsidR="006A37FE" w:rsidRPr="00570B7A">
        <w:rPr>
          <w:rFonts w:ascii="Tahoma" w:eastAsia="Calibri" w:hAnsi="Tahoma" w:cs="Tahoma"/>
          <w:lang w:eastAsia="es-CO"/>
        </w:rPr>
        <w:t xml:space="preserve">Protección S.A., </w:t>
      </w:r>
      <w:r w:rsidRPr="00570B7A">
        <w:rPr>
          <w:rFonts w:ascii="Tahoma" w:eastAsia="Calibri" w:hAnsi="Tahoma" w:cs="Tahoma"/>
          <w:lang w:eastAsia="es-CO"/>
        </w:rPr>
        <w:t xml:space="preserve">Porvenir S.A y Colpensiones a favor de la parte actora, las cuales se liquidarán por la secretaría del juzgado de origen. </w:t>
      </w:r>
    </w:p>
    <w:p w14:paraId="3EBFCC00" w14:textId="77777777" w:rsidR="00CC71E0" w:rsidRPr="00570B7A" w:rsidRDefault="00CC71E0" w:rsidP="00E531FA">
      <w:pPr>
        <w:spacing w:before="0" w:beforeAutospacing="0" w:after="0" w:afterAutospacing="0" w:line="276" w:lineRule="auto"/>
        <w:ind w:firstLine="284"/>
        <w:rPr>
          <w:rFonts w:ascii="Tahoma" w:eastAsia="Tahoma" w:hAnsi="Tahoma" w:cs="Tahoma"/>
          <w:lang w:eastAsia="es-CO"/>
        </w:rPr>
      </w:pPr>
    </w:p>
    <w:p w14:paraId="5F01FE61" w14:textId="77777777" w:rsidR="00CC71E0" w:rsidRPr="00570B7A" w:rsidRDefault="00CC71E0" w:rsidP="00E531FA">
      <w:pPr>
        <w:spacing w:before="0" w:beforeAutospacing="0" w:after="0" w:afterAutospacing="0" w:line="276" w:lineRule="auto"/>
        <w:ind w:firstLine="708"/>
        <w:rPr>
          <w:rFonts w:ascii="Tahoma" w:eastAsia="Tahoma" w:hAnsi="Tahoma" w:cs="Tahoma"/>
          <w:lang w:eastAsia="es-CO"/>
        </w:rPr>
      </w:pPr>
      <w:r w:rsidRPr="00570B7A">
        <w:rPr>
          <w:rFonts w:ascii="Tahoma" w:eastAsia="Tahoma" w:hAnsi="Tahoma" w:cs="Tahoma"/>
          <w:lang w:eastAsia="es-CO"/>
        </w:rPr>
        <w:t xml:space="preserve">En mérito de lo expuesto, el </w:t>
      </w:r>
      <w:r w:rsidRPr="00570B7A">
        <w:rPr>
          <w:rFonts w:ascii="Tahoma" w:eastAsia="Tahoma" w:hAnsi="Tahoma" w:cs="Tahoma"/>
          <w:b/>
          <w:bCs/>
          <w:lang w:eastAsia="es-CO"/>
        </w:rPr>
        <w:t>Tribunal Superior del Distrito Judicial de Pereira - Risaralda, Sala Primera de Decisión Laboral,</w:t>
      </w:r>
      <w:r w:rsidRPr="00570B7A">
        <w:rPr>
          <w:rFonts w:ascii="Tahoma" w:eastAsia="Tahoma" w:hAnsi="Tahoma" w:cs="Tahoma"/>
          <w:lang w:eastAsia="es-CO"/>
        </w:rPr>
        <w:t xml:space="preserve"> administrando justicia en nombre de la República y por autoridad de la ley,</w:t>
      </w:r>
    </w:p>
    <w:p w14:paraId="6A88BC08" w14:textId="77777777" w:rsidR="00CC71E0" w:rsidRPr="00570B7A" w:rsidRDefault="00CC71E0" w:rsidP="00E531FA">
      <w:pPr>
        <w:spacing w:before="0" w:beforeAutospacing="0" w:after="0" w:afterAutospacing="0" w:line="276" w:lineRule="auto"/>
        <w:ind w:firstLine="644"/>
        <w:rPr>
          <w:rFonts w:ascii="Tahoma" w:eastAsia="Tahoma" w:hAnsi="Tahoma" w:cs="Tahoma"/>
          <w:lang w:eastAsia="es-CO"/>
        </w:rPr>
      </w:pPr>
      <w:r w:rsidRPr="00570B7A">
        <w:rPr>
          <w:rFonts w:ascii="Tahoma" w:eastAsia="Tahoma" w:hAnsi="Tahoma" w:cs="Tahoma"/>
          <w:lang w:eastAsia="es-CO"/>
        </w:rPr>
        <w:t xml:space="preserve"> </w:t>
      </w:r>
    </w:p>
    <w:p w14:paraId="1AA27538" w14:textId="77777777" w:rsidR="00CC71E0" w:rsidRPr="00570B7A" w:rsidRDefault="00CC71E0" w:rsidP="00E531FA">
      <w:pPr>
        <w:spacing w:before="0" w:beforeAutospacing="0" w:after="0" w:afterAutospacing="0" w:line="276" w:lineRule="auto"/>
        <w:ind w:firstLine="284"/>
        <w:jc w:val="center"/>
        <w:rPr>
          <w:rFonts w:ascii="Tahoma" w:eastAsia="Tahoma" w:hAnsi="Tahoma" w:cs="Tahoma"/>
          <w:lang w:eastAsia="es-CO"/>
        </w:rPr>
      </w:pPr>
      <w:r w:rsidRPr="00570B7A">
        <w:rPr>
          <w:rFonts w:ascii="Tahoma" w:eastAsia="Tahoma" w:hAnsi="Tahoma" w:cs="Tahoma"/>
          <w:b/>
          <w:bCs/>
          <w:lang w:eastAsia="es-CO"/>
        </w:rPr>
        <w:t>RESUELVE</w:t>
      </w:r>
    </w:p>
    <w:p w14:paraId="6577B7EA" w14:textId="77777777" w:rsidR="00CC71E0" w:rsidRPr="00570B7A" w:rsidRDefault="00CC71E0" w:rsidP="00E531FA">
      <w:pPr>
        <w:spacing w:before="0" w:beforeAutospacing="0" w:after="0" w:afterAutospacing="0" w:line="276" w:lineRule="auto"/>
        <w:ind w:firstLine="0"/>
        <w:jc w:val="center"/>
        <w:rPr>
          <w:rFonts w:ascii="Tahoma" w:eastAsia="Tahoma" w:hAnsi="Tahoma" w:cs="Tahoma"/>
          <w:lang w:eastAsia="es-CO"/>
        </w:rPr>
      </w:pPr>
      <w:r w:rsidRPr="00570B7A">
        <w:rPr>
          <w:rFonts w:ascii="Tahoma" w:eastAsia="Tahoma" w:hAnsi="Tahoma" w:cs="Tahoma"/>
          <w:b/>
          <w:bCs/>
          <w:lang w:eastAsia="es-CO"/>
        </w:rPr>
        <w:t xml:space="preserve"> </w:t>
      </w:r>
    </w:p>
    <w:p w14:paraId="3CD76C4B" w14:textId="0C3DC68C" w:rsidR="00CC71E0" w:rsidRPr="00570B7A" w:rsidRDefault="00CC71E0" w:rsidP="00E531FA">
      <w:pPr>
        <w:spacing w:before="0" w:beforeAutospacing="0" w:after="0" w:afterAutospacing="0" w:line="276" w:lineRule="auto"/>
        <w:ind w:firstLine="708"/>
        <w:rPr>
          <w:rFonts w:ascii="Tahoma" w:eastAsia="Tahoma" w:hAnsi="Tahoma" w:cs="Tahoma"/>
          <w:lang w:val="es-ES" w:eastAsia="es-MX"/>
        </w:rPr>
      </w:pPr>
      <w:r w:rsidRPr="00570B7A">
        <w:rPr>
          <w:rFonts w:ascii="Tahoma" w:eastAsia="Times New Roman" w:hAnsi="Tahoma" w:cs="Tahoma"/>
          <w:b/>
          <w:bCs/>
          <w:lang w:eastAsia="es-CO"/>
        </w:rPr>
        <w:t xml:space="preserve">  PRIMERO: </w:t>
      </w:r>
      <w:r w:rsidRPr="00570B7A">
        <w:rPr>
          <w:rFonts w:ascii="Tahoma" w:eastAsia="Times New Roman" w:hAnsi="Tahoma" w:cs="Tahoma"/>
          <w:lang w:eastAsia="es-CO"/>
        </w:rPr>
        <w:t> </w:t>
      </w:r>
      <w:r w:rsidRPr="00570B7A">
        <w:rPr>
          <w:rFonts w:ascii="Tahoma" w:eastAsia="Times New Roman" w:hAnsi="Tahoma" w:cs="Tahoma"/>
          <w:b/>
          <w:bCs/>
          <w:lang w:val="es-ES" w:eastAsia="es-CO"/>
        </w:rPr>
        <w:t> </w:t>
      </w:r>
      <w:r w:rsidRPr="00570B7A">
        <w:rPr>
          <w:rFonts w:ascii="Tahoma" w:eastAsia="Tahoma" w:hAnsi="Tahoma" w:cs="Tahoma"/>
          <w:b/>
          <w:bCs/>
          <w:lang w:eastAsia="es-ES"/>
        </w:rPr>
        <w:t xml:space="preserve">CONFIRMAR </w:t>
      </w:r>
      <w:r w:rsidRPr="00570B7A">
        <w:rPr>
          <w:rFonts w:ascii="Tahoma" w:eastAsia="Tahoma" w:hAnsi="Tahoma" w:cs="Tahoma"/>
          <w:lang w:eastAsia="es-CO"/>
        </w:rPr>
        <w:t xml:space="preserve">la sentencia proferida por el Juzgado </w:t>
      </w:r>
      <w:r w:rsidR="00BD5F3F" w:rsidRPr="00570B7A">
        <w:rPr>
          <w:rFonts w:ascii="Tahoma" w:eastAsia="Tahoma" w:hAnsi="Tahoma" w:cs="Tahoma"/>
          <w:lang w:eastAsia="es-CO"/>
        </w:rPr>
        <w:t xml:space="preserve">Quinto </w:t>
      </w:r>
      <w:r w:rsidRPr="00570B7A">
        <w:rPr>
          <w:rFonts w:ascii="Tahoma" w:eastAsia="Tahoma" w:hAnsi="Tahoma" w:cs="Tahoma"/>
          <w:lang w:eastAsia="es-CO"/>
        </w:rPr>
        <w:t xml:space="preserve">Laboral del Circuito de Pereira </w:t>
      </w:r>
      <w:r w:rsidR="00BD5F3F" w:rsidRPr="00570B7A">
        <w:rPr>
          <w:rFonts w:ascii="Tahoma" w:eastAsia="Tahoma" w:hAnsi="Tahoma" w:cs="Tahoma"/>
          <w:lang w:eastAsia="es-CO"/>
        </w:rPr>
        <w:t>21 de junio</w:t>
      </w:r>
      <w:r w:rsidRPr="00570B7A">
        <w:rPr>
          <w:rFonts w:ascii="Tahoma" w:eastAsia="Tahoma" w:hAnsi="Tahoma" w:cs="Tahoma"/>
          <w:lang w:eastAsia="es-CO"/>
        </w:rPr>
        <w:t xml:space="preserve"> 2022, dentro del proceso ordinario laboral promovido por </w:t>
      </w:r>
      <w:r w:rsidR="00BD5F3F" w:rsidRPr="00570B7A">
        <w:rPr>
          <w:rFonts w:ascii="Tahoma" w:eastAsia="Tahoma" w:hAnsi="Tahoma" w:cs="Tahoma"/>
          <w:b/>
          <w:bCs/>
          <w:lang w:eastAsia="es-MX"/>
        </w:rPr>
        <w:t>Alicia Arango Ocampo</w:t>
      </w:r>
      <w:r w:rsidR="006A37FE" w:rsidRPr="00570B7A">
        <w:rPr>
          <w:rFonts w:ascii="Tahoma" w:eastAsia="Tahoma" w:hAnsi="Tahoma" w:cs="Tahoma"/>
          <w:b/>
          <w:bCs/>
          <w:lang w:eastAsia="es-MX"/>
        </w:rPr>
        <w:t xml:space="preserve"> </w:t>
      </w:r>
      <w:r w:rsidRPr="00570B7A">
        <w:rPr>
          <w:rFonts w:ascii="Tahoma" w:eastAsia="Tahoma" w:hAnsi="Tahoma" w:cs="Tahoma"/>
          <w:lang w:val="es-ES" w:eastAsia="es-MX"/>
        </w:rPr>
        <w:t xml:space="preserve">en contra de </w:t>
      </w:r>
      <w:r w:rsidRPr="00570B7A">
        <w:rPr>
          <w:rFonts w:ascii="Tahoma" w:eastAsia="Tahoma" w:hAnsi="Tahoma" w:cs="Tahoma"/>
          <w:b/>
          <w:bCs/>
          <w:lang w:val="es-ES" w:eastAsia="es-MX"/>
        </w:rPr>
        <w:t>Colpensiones</w:t>
      </w:r>
      <w:r w:rsidR="006A37FE" w:rsidRPr="00570B7A">
        <w:rPr>
          <w:rFonts w:ascii="Tahoma" w:eastAsia="Tahoma" w:hAnsi="Tahoma" w:cs="Tahoma"/>
          <w:b/>
          <w:bCs/>
          <w:lang w:val="es-ES" w:eastAsia="es-MX"/>
        </w:rPr>
        <w:t>, Protección S.A.</w:t>
      </w:r>
      <w:r w:rsidRPr="00570B7A">
        <w:rPr>
          <w:rFonts w:ascii="Tahoma" w:eastAsia="Tahoma" w:hAnsi="Tahoma" w:cs="Tahoma"/>
          <w:lang w:val="es-ES" w:eastAsia="es-MX"/>
        </w:rPr>
        <w:t xml:space="preserve"> y </w:t>
      </w:r>
      <w:r w:rsidRPr="00570B7A">
        <w:rPr>
          <w:rFonts w:ascii="Tahoma" w:eastAsia="Tahoma" w:hAnsi="Tahoma" w:cs="Tahoma"/>
          <w:b/>
          <w:bCs/>
          <w:lang w:val="es-ES" w:eastAsia="es-MX"/>
        </w:rPr>
        <w:t>Porvenir</w:t>
      </w:r>
      <w:r w:rsidRPr="00570B7A">
        <w:rPr>
          <w:rFonts w:ascii="Tahoma" w:eastAsia="Tahoma" w:hAnsi="Tahoma" w:cs="Tahoma"/>
          <w:lang w:val="es-ES" w:eastAsia="es-MX"/>
        </w:rPr>
        <w:t xml:space="preserve"> </w:t>
      </w:r>
      <w:r w:rsidRPr="00570B7A">
        <w:rPr>
          <w:rFonts w:ascii="Tahoma" w:eastAsia="Tahoma" w:hAnsi="Tahoma" w:cs="Tahoma"/>
          <w:b/>
          <w:bCs/>
          <w:lang w:val="es-ES" w:eastAsia="es-MX"/>
        </w:rPr>
        <w:t>S.A.</w:t>
      </w:r>
    </w:p>
    <w:p w14:paraId="2F623C62" w14:textId="77777777" w:rsidR="00CC71E0" w:rsidRPr="00570B7A" w:rsidRDefault="00CC71E0" w:rsidP="00E531FA">
      <w:pPr>
        <w:spacing w:before="0" w:beforeAutospacing="0" w:after="0" w:afterAutospacing="0" w:line="276" w:lineRule="auto"/>
        <w:ind w:firstLine="0"/>
        <w:textAlignment w:val="baseline"/>
        <w:rPr>
          <w:rFonts w:ascii="Tahoma" w:eastAsia="Tahoma" w:hAnsi="Tahoma" w:cs="Tahoma"/>
          <w:lang w:eastAsia="es-CO"/>
        </w:rPr>
      </w:pPr>
    </w:p>
    <w:p w14:paraId="66B34BD9" w14:textId="48B96D7D" w:rsidR="00CC71E0" w:rsidRPr="00570B7A" w:rsidRDefault="00CC71E0" w:rsidP="00E531FA">
      <w:pPr>
        <w:spacing w:before="0" w:beforeAutospacing="0" w:after="0" w:afterAutospacing="0" w:line="276" w:lineRule="auto"/>
        <w:ind w:firstLine="708"/>
        <w:rPr>
          <w:rFonts w:ascii="Tahoma" w:eastAsia="Tahoma" w:hAnsi="Tahoma" w:cs="Tahoma"/>
          <w:lang w:eastAsia="es-CO"/>
        </w:rPr>
      </w:pPr>
      <w:r w:rsidRPr="00570B7A">
        <w:rPr>
          <w:rFonts w:ascii="Tahoma" w:eastAsia="Tahoma" w:hAnsi="Tahoma" w:cs="Tahoma"/>
          <w:b/>
          <w:bCs/>
          <w:lang w:eastAsia="es-CO"/>
        </w:rPr>
        <w:t>SEGUNDO: CONDENAR</w:t>
      </w:r>
      <w:r w:rsidRPr="00570B7A">
        <w:rPr>
          <w:rFonts w:ascii="Tahoma" w:eastAsia="Tahoma" w:hAnsi="Tahoma" w:cs="Tahoma"/>
          <w:lang w:eastAsia="es-CO"/>
        </w:rPr>
        <w:t xml:space="preserve"> en costas de segunda instancia a </w:t>
      </w:r>
      <w:r w:rsidR="006A37FE" w:rsidRPr="00570B7A">
        <w:rPr>
          <w:rFonts w:ascii="Tahoma" w:eastAsia="Tahoma" w:hAnsi="Tahoma" w:cs="Tahoma"/>
          <w:b/>
          <w:bCs/>
          <w:lang w:eastAsia="es-CO"/>
        </w:rPr>
        <w:t>Protección S.A.,</w:t>
      </w:r>
      <w:r w:rsidR="006A37FE" w:rsidRPr="00570B7A">
        <w:rPr>
          <w:rFonts w:ascii="Tahoma" w:eastAsia="Tahoma" w:hAnsi="Tahoma" w:cs="Tahoma"/>
          <w:lang w:eastAsia="es-CO"/>
        </w:rPr>
        <w:t xml:space="preserve"> </w:t>
      </w:r>
      <w:r w:rsidRPr="00570B7A">
        <w:rPr>
          <w:rFonts w:ascii="Tahoma" w:eastAsia="Tahoma" w:hAnsi="Tahoma" w:cs="Tahoma"/>
          <w:b/>
          <w:bCs/>
          <w:lang w:eastAsia="es-CO"/>
        </w:rPr>
        <w:t>Porvenir S.A. y Colpensiones</w:t>
      </w:r>
      <w:r w:rsidRPr="00570B7A">
        <w:rPr>
          <w:rFonts w:ascii="Tahoma" w:eastAsia="Tahoma" w:hAnsi="Tahoma" w:cs="Tahoma"/>
          <w:lang w:eastAsia="es-CO"/>
        </w:rPr>
        <w:t xml:space="preserve"> a favor de la parte demandante. Liquídense por la secretaría del juzgado de origen.</w:t>
      </w:r>
    </w:p>
    <w:p w14:paraId="67773D16" w14:textId="77777777" w:rsidR="00570B7A" w:rsidRPr="00570B7A" w:rsidRDefault="00570B7A" w:rsidP="00E531FA">
      <w:pPr>
        <w:spacing w:before="0" w:beforeAutospacing="0" w:after="0" w:afterAutospacing="0" w:line="276" w:lineRule="auto"/>
        <w:ind w:firstLine="0"/>
        <w:jc w:val="left"/>
        <w:rPr>
          <w:rFonts w:ascii="Tahoma" w:eastAsia="Tahoma" w:hAnsi="Tahoma" w:cs="Tahoma"/>
          <w:lang w:val="es-ES" w:eastAsia="es-CO"/>
        </w:rPr>
      </w:pPr>
    </w:p>
    <w:p w14:paraId="646F5546" w14:textId="77777777" w:rsidR="00570B7A" w:rsidRPr="00570B7A" w:rsidRDefault="00570B7A" w:rsidP="00E531FA">
      <w:pPr>
        <w:spacing w:before="0" w:beforeAutospacing="0" w:after="0" w:afterAutospacing="0" w:line="276" w:lineRule="auto"/>
        <w:ind w:firstLine="709"/>
        <w:rPr>
          <w:rFonts w:ascii="Tahoma" w:eastAsia="Tahoma" w:hAnsi="Tahoma" w:cs="Tahoma"/>
          <w:lang w:val="es-ES" w:eastAsia="es-CO"/>
        </w:rPr>
      </w:pPr>
      <w:r w:rsidRPr="00570B7A">
        <w:rPr>
          <w:rFonts w:ascii="Tahoma" w:eastAsia="Tahoma" w:hAnsi="Tahoma" w:cs="Tahoma"/>
          <w:b/>
          <w:lang w:val="es-ES" w:eastAsia="es-CO"/>
        </w:rPr>
        <w:t>Notifíquese y cúmplase.</w:t>
      </w:r>
    </w:p>
    <w:p w14:paraId="1E2747EE" w14:textId="77777777" w:rsidR="00570B7A" w:rsidRPr="00570B7A" w:rsidRDefault="00570B7A" w:rsidP="00E531FA">
      <w:pPr>
        <w:spacing w:before="0" w:beforeAutospacing="0" w:after="0" w:afterAutospacing="0" w:line="276" w:lineRule="auto"/>
        <w:ind w:firstLine="0"/>
        <w:rPr>
          <w:rFonts w:ascii="Tahoma" w:eastAsia="Segoe UI" w:hAnsi="Tahoma" w:cs="Tahoma"/>
          <w:lang w:eastAsia="es-CO"/>
        </w:rPr>
      </w:pPr>
    </w:p>
    <w:p w14:paraId="63FF45B5" w14:textId="77777777" w:rsidR="00570B7A" w:rsidRPr="00570B7A" w:rsidRDefault="00570B7A" w:rsidP="00E531FA">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570B7A">
        <w:rPr>
          <w:rFonts w:ascii="Tahoma" w:eastAsia="Times New Roman" w:hAnsi="Tahoma" w:cs="Tahoma"/>
          <w:lang w:val="es-ES" w:eastAsia="es-ES"/>
        </w:rPr>
        <w:tab/>
        <w:t>La Magistrada ponente,</w:t>
      </w:r>
    </w:p>
    <w:p w14:paraId="53221F33" w14:textId="77777777" w:rsidR="00570B7A" w:rsidRPr="00570B7A" w:rsidRDefault="00570B7A" w:rsidP="00E531FA">
      <w:pPr>
        <w:spacing w:before="0" w:beforeAutospacing="0" w:after="0" w:afterAutospacing="0" w:line="276" w:lineRule="auto"/>
        <w:ind w:firstLine="0"/>
        <w:jc w:val="left"/>
        <w:rPr>
          <w:rFonts w:ascii="Tahoma" w:eastAsia="Times New Roman" w:hAnsi="Tahoma" w:cs="Tahoma"/>
          <w:lang w:val="es-ES" w:eastAsia="es-ES"/>
        </w:rPr>
      </w:pPr>
    </w:p>
    <w:p w14:paraId="5F13B753" w14:textId="77777777" w:rsidR="00570B7A" w:rsidRPr="00570B7A" w:rsidRDefault="00570B7A" w:rsidP="00E531FA">
      <w:pPr>
        <w:spacing w:before="0" w:beforeAutospacing="0" w:after="0" w:afterAutospacing="0" w:line="276" w:lineRule="auto"/>
        <w:ind w:firstLine="0"/>
        <w:jc w:val="left"/>
        <w:rPr>
          <w:rFonts w:ascii="Tahoma" w:eastAsia="Times New Roman" w:hAnsi="Tahoma" w:cs="Tahoma"/>
          <w:lang w:val="es-ES" w:eastAsia="es-ES"/>
        </w:rPr>
      </w:pPr>
    </w:p>
    <w:p w14:paraId="126CD627" w14:textId="77777777" w:rsidR="00570B7A" w:rsidRPr="00570B7A" w:rsidRDefault="00570B7A" w:rsidP="00E531FA">
      <w:pPr>
        <w:spacing w:before="0" w:beforeAutospacing="0" w:after="0" w:afterAutospacing="0" w:line="276" w:lineRule="auto"/>
        <w:ind w:firstLine="0"/>
        <w:jc w:val="left"/>
        <w:rPr>
          <w:rFonts w:ascii="Tahoma" w:eastAsia="Times New Roman" w:hAnsi="Tahoma" w:cs="Tahoma"/>
          <w:lang w:val="es-ES" w:eastAsia="es-ES"/>
        </w:rPr>
      </w:pPr>
    </w:p>
    <w:p w14:paraId="74605854" w14:textId="77777777" w:rsidR="00570B7A" w:rsidRPr="00570B7A" w:rsidRDefault="00570B7A" w:rsidP="00E531FA">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570B7A">
        <w:rPr>
          <w:rFonts w:ascii="Tahoma" w:eastAsia="Times New Roman" w:hAnsi="Tahoma" w:cs="Tahoma"/>
          <w:b/>
          <w:bCs/>
          <w:lang w:val="es-ES" w:eastAsia="es-ES"/>
        </w:rPr>
        <w:t>ANA LUCÍA CAICEDO CALDERÓN</w:t>
      </w:r>
    </w:p>
    <w:p w14:paraId="2F297744" w14:textId="77777777" w:rsidR="00570B7A" w:rsidRPr="00570B7A" w:rsidRDefault="00570B7A" w:rsidP="00E531FA">
      <w:pPr>
        <w:spacing w:before="0" w:beforeAutospacing="0" w:after="0" w:afterAutospacing="0" w:line="276" w:lineRule="auto"/>
        <w:ind w:firstLine="0"/>
        <w:jc w:val="left"/>
        <w:rPr>
          <w:rFonts w:ascii="Tahoma" w:eastAsia="Times New Roman" w:hAnsi="Tahoma" w:cs="Tahoma"/>
          <w:lang w:val="es-ES" w:eastAsia="es-ES"/>
        </w:rPr>
      </w:pPr>
    </w:p>
    <w:p w14:paraId="64D14324" w14:textId="77777777" w:rsidR="00570B7A" w:rsidRPr="00570B7A" w:rsidRDefault="00570B7A" w:rsidP="00E531FA">
      <w:pPr>
        <w:spacing w:before="0" w:beforeAutospacing="0" w:after="0" w:afterAutospacing="0" w:line="276" w:lineRule="auto"/>
        <w:ind w:firstLine="708"/>
        <w:jc w:val="left"/>
        <w:rPr>
          <w:rFonts w:ascii="Tahoma" w:eastAsia="Times New Roman" w:hAnsi="Tahoma" w:cs="Tahoma"/>
          <w:lang w:val="es-ES" w:eastAsia="es-ES"/>
        </w:rPr>
      </w:pPr>
      <w:bookmarkStart w:id="14" w:name="_Hlk62478330"/>
      <w:r w:rsidRPr="00570B7A">
        <w:rPr>
          <w:rFonts w:ascii="Tahoma" w:eastAsia="Times New Roman" w:hAnsi="Tahoma" w:cs="Tahoma"/>
          <w:lang w:val="es-ES" w:eastAsia="es-ES"/>
        </w:rPr>
        <w:t>La Magistrada y el Magistrado,</w:t>
      </w:r>
    </w:p>
    <w:p w14:paraId="4B09BB4E" w14:textId="77777777" w:rsidR="00570B7A" w:rsidRPr="00570B7A" w:rsidRDefault="00570B7A" w:rsidP="00E531FA">
      <w:pPr>
        <w:spacing w:before="0" w:beforeAutospacing="0" w:after="0" w:afterAutospacing="0" w:line="276" w:lineRule="auto"/>
        <w:ind w:firstLine="0"/>
        <w:jc w:val="left"/>
        <w:rPr>
          <w:rFonts w:ascii="Tahoma" w:eastAsia="Times New Roman" w:hAnsi="Tahoma" w:cs="Tahoma"/>
          <w:lang w:val="es-ES" w:eastAsia="es-ES"/>
        </w:rPr>
      </w:pPr>
    </w:p>
    <w:p w14:paraId="4F638982" w14:textId="77777777" w:rsidR="00570B7A" w:rsidRPr="00570B7A" w:rsidRDefault="00570B7A" w:rsidP="00E531FA">
      <w:pPr>
        <w:spacing w:before="0" w:beforeAutospacing="0" w:after="0" w:afterAutospacing="0" w:line="276" w:lineRule="auto"/>
        <w:ind w:firstLine="0"/>
        <w:jc w:val="left"/>
        <w:rPr>
          <w:rFonts w:ascii="Tahoma" w:eastAsia="Times New Roman" w:hAnsi="Tahoma" w:cs="Tahoma"/>
          <w:lang w:val="es-ES" w:eastAsia="es-ES"/>
        </w:rPr>
      </w:pPr>
    </w:p>
    <w:p w14:paraId="389F28D4" w14:textId="77777777" w:rsidR="00570B7A" w:rsidRPr="00570B7A" w:rsidRDefault="00570B7A" w:rsidP="00E531FA">
      <w:pPr>
        <w:spacing w:before="0" w:beforeAutospacing="0" w:after="0" w:afterAutospacing="0" w:line="276" w:lineRule="auto"/>
        <w:ind w:firstLine="0"/>
        <w:jc w:val="left"/>
        <w:rPr>
          <w:rFonts w:ascii="Tahoma" w:eastAsia="Times New Roman" w:hAnsi="Tahoma" w:cs="Tahoma"/>
          <w:lang w:val="es-ES" w:eastAsia="es-ES"/>
        </w:rPr>
      </w:pPr>
    </w:p>
    <w:p w14:paraId="6D58FD40" w14:textId="64DD0DAE" w:rsidR="003A169D" w:rsidRDefault="00570B7A" w:rsidP="00E531FA">
      <w:pPr>
        <w:spacing w:before="0" w:beforeAutospacing="0" w:after="0" w:afterAutospacing="0" w:line="276" w:lineRule="auto"/>
        <w:ind w:firstLine="0"/>
        <w:rPr>
          <w:rFonts w:ascii="Tahoma" w:eastAsia="Times New Roman" w:hAnsi="Tahoma" w:cs="Tahoma"/>
          <w:bCs/>
          <w:lang w:val="es-ES" w:eastAsia="es-ES"/>
        </w:rPr>
      </w:pPr>
      <w:r w:rsidRPr="00570B7A">
        <w:rPr>
          <w:rFonts w:ascii="Tahoma" w:eastAsia="Times New Roman" w:hAnsi="Tahoma" w:cs="Tahoma"/>
          <w:b/>
          <w:bCs/>
          <w:lang w:val="es-ES" w:eastAsia="es-ES"/>
        </w:rPr>
        <w:t>OLGA LUCÍA HOYOS SEPÚLVEDA</w:t>
      </w:r>
      <w:r w:rsidRPr="00570B7A">
        <w:rPr>
          <w:rFonts w:ascii="Tahoma" w:eastAsia="Times New Roman" w:hAnsi="Tahoma" w:cs="Tahoma"/>
          <w:b/>
          <w:bCs/>
          <w:lang w:val="es-ES" w:eastAsia="es-ES"/>
        </w:rPr>
        <w:tab/>
      </w:r>
      <w:r w:rsidRPr="00570B7A">
        <w:rPr>
          <w:rFonts w:ascii="Tahoma" w:eastAsia="Times New Roman" w:hAnsi="Tahoma" w:cs="Tahoma"/>
          <w:b/>
          <w:bCs/>
          <w:lang w:val="es-ES" w:eastAsia="es-ES"/>
        </w:rPr>
        <w:tab/>
        <w:t>GERMÁN DARÍO GÓEZ VINASCO</w:t>
      </w:r>
      <w:bookmarkEnd w:id="14"/>
    </w:p>
    <w:p w14:paraId="0F62BDE1" w14:textId="354E05AD" w:rsidR="00570B7A" w:rsidRPr="00570B7A" w:rsidRDefault="00570B7A" w:rsidP="00E531FA">
      <w:pPr>
        <w:spacing w:before="0" w:beforeAutospacing="0" w:after="0" w:afterAutospacing="0" w:line="276" w:lineRule="auto"/>
        <w:ind w:firstLine="0"/>
        <w:rPr>
          <w:rFonts w:ascii="Tahoma" w:hAnsi="Tahoma" w:cs="Tahoma"/>
        </w:rPr>
      </w:pPr>
      <w:r>
        <w:rPr>
          <w:rFonts w:ascii="Tahoma" w:hAnsi="Tahoma" w:cs="Tahoma"/>
        </w:rPr>
        <w:t>Con aclaración de voto</w:t>
      </w:r>
    </w:p>
    <w:sectPr w:rsidR="00570B7A" w:rsidRPr="00570B7A" w:rsidSect="00A83E88">
      <w:head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E2A8" w14:textId="77777777" w:rsidR="00903A0B" w:rsidRDefault="00903A0B" w:rsidP="00C615C3">
      <w:pPr>
        <w:spacing w:before="0" w:after="0" w:line="240" w:lineRule="auto"/>
      </w:pPr>
      <w:r>
        <w:separator/>
      </w:r>
    </w:p>
  </w:endnote>
  <w:endnote w:type="continuationSeparator" w:id="0">
    <w:p w14:paraId="5061FCED" w14:textId="77777777" w:rsidR="00903A0B" w:rsidRDefault="00903A0B"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598A" w14:textId="77777777" w:rsidR="00903A0B" w:rsidRDefault="00903A0B" w:rsidP="00C615C3">
      <w:pPr>
        <w:spacing w:before="0" w:after="0" w:line="240" w:lineRule="auto"/>
      </w:pPr>
      <w:r>
        <w:separator/>
      </w:r>
    </w:p>
  </w:footnote>
  <w:footnote w:type="continuationSeparator" w:id="0">
    <w:p w14:paraId="0FD1FED2" w14:textId="77777777" w:rsidR="00903A0B" w:rsidRDefault="00903A0B" w:rsidP="00C615C3">
      <w:pPr>
        <w:spacing w:before="0" w:after="0" w:line="240" w:lineRule="auto"/>
      </w:pPr>
      <w:r>
        <w:continuationSeparator/>
      </w:r>
    </w:p>
  </w:footnote>
  <w:footnote w:id="1">
    <w:p w14:paraId="65D2C83D" w14:textId="77777777" w:rsidR="002427D0" w:rsidRPr="00C80AEA" w:rsidRDefault="002427D0"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Título tomado de la sentencia del 8 de mayo de 2019SL 1688-2019, Radicado 68838, con Ponencia de la Dra. Clara Cecilia Dueñas Quevedo</w:t>
      </w:r>
    </w:p>
  </w:footnote>
  <w:footnote w:id="2">
    <w:p w14:paraId="6258A9BE" w14:textId="77777777" w:rsidR="002427D0" w:rsidRPr="00C80AEA" w:rsidRDefault="002427D0"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Estatuto Orgánico del Sistema Financiero</w:t>
      </w:r>
    </w:p>
  </w:footnote>
  <w:footnote w:id="3">
    <w:p w14:paraId="43A4DD1D" w14:textId="521D213F" w:rsidR="00C449C8" w:rsidRPr="00C80AEA" w:rsidRDefault="00C449C8"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Título tomado de la sentencia del 8 de mayo de 2019SL 1688-2019, Radicado 68838, con Ponencia de la Dra. Clara Cecilia Dueñas Quevedo</w:t>
      </w:r>
    </w:p>
  </w:footnote>
  <w:footnote w:id="4">
    <w:p w14:paraId="2A7FA030" w14:textId="77777777" w:rsidR="003B30E1" w:rsidRPr="00C80AEA" w:rsidRDefault="003B30E1"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66D5396E" w14:textId="77777777" w:rsidR="00150B63" w:rsidRPr="00C80AEA" w:rsidRDefault="00150B63"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Corte Suprema de Justicia- Sala Laboral, sentencia SL5688 de 2021, rad. 83576 del 6 de octubre de 2021. M.P. Iván Mauricio Lenis Gómez.</w:t>
      </w:r>
    </w:p>
  </w:footnote>
  <w:footnote w:id="6">
    <w:p w14:paraId="1D0910A6" w14:textId="77777777" w:rsidR="00150B63" w:rsidRPr="00C80AEA" w:rsidRDefault="00150B63"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w:t>
      </w:r>
      <w:r w:rsidRPr="00C80AEA">
        <w:rPr>
          <w:rFonts w:ascii="Arial" w:hAnsi="Arial" w:cs="Arial"/>
          <w:sz w:val="18"/>
          <w:szCs w:val="18"/>
          <w:lang w:val="es-CO"/>
        </w:rPr>
        <w:t>Corte Suprema de Justicia- Sala Laboral, sentencia SL5686 de 2021, rad. 82139 del 6 de octubre de 2021. M.P. Iván Mauricio Lenis Gómez.</w:t>
      </w:r>
    </w:p>
  </w:footnote>
  <w:footnote w:id="7">
    <w:p w14:paraId="7FD0620E" w14:textId="77777777" w:rsidR="00150B63" w:rsidRPr="00C80AEA" w:rsidRDefault="00150B63"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w:t>
      </w:r>
      <w:r w:rsidRPr="00C80AEA">
        <w:rPr>
          <w:rFonts w:ascii="Arial" w:hAnsi="Arial" w:cs="Arial"/>
          <w:sz w:val="18"/>
          <w:szCs w:val="18"/>
          <w:lang w:val="es-CO"/>
        </w:rPr>
        <w:t>Corte Suprema de Justicia- Sala Laboral, sentencia SL1926 de 2022, rad. 89920 del 27 de abril de 2022. M.P. Omar Ángel Mejía Amador.</w:t>
      </w:r>
    </w:p>
  </w:footnote>
  <w:footnote w:id="8">
    <w:p w14:paraId="784EA44D" w14:textId="77777777" w:rsidR="00150B63" w:rsidRPr="00C80AEA" w:rsidRDefault="00150B63"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w:t>
      </w:r>
      <w:r w:rsidRPr="00C80AEA">
        <w:rPr>
          <w:rFonts w:ascii="Arial" w:hAnsi="Arial" w:cs="Arial"/>
          <w:sz w:val="18"/>
          <w:szCs w:val="18"/>
          <w:lang w:val="es-CO"/>
        </w:rPr>
        <w:t>Corte Suprema de Justicia- Sala Laboral, sentencia SL1055 de 2022, rad. 87911 del 2 de marzo de 2022. M.P. Iván Mauricio Lenis Gómez.</w:t>
      </w:r>
    </w:p>
  </w:footnote>
  <w:footnote w:id="9">
    <w:p w14:paraId="7C02097E" w14:textId="77777777" w:rsidR="00150B63" w:rsidRPr="00C80AEA" w:rsidRDefault="00150B63"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Corte Suprema de Justicia- Sala Laboral, sentencia SL 1618-2022, radicado 87821 del 4 de mayo de 2022, M.P. Gerardo Botero Zuluaga.</w:t>
      </w:r>
    </w:p>
  </w:footnote>
  <w:footnote w:id="10">
    <w:p w14:paraId="753319C9" w14:textId="77777777" w:rsidR="00150B63" w:rsidRPr="00C80AEA" w:rsidRDefault="00150B63"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Ibídem</w:t>
      </w:r>
    </w:p>
  </w:footnote>
  <w:footnote w:id="11">
    <w:p w14:paraId="0973F5A5" w14:textId="77777777" w:rsidR="00537542" w:rsidRPr="00C80AEA" w:rsidRDefault="00537542" w:rsidP="00C80AEA">
      <w:pPr>
        <w:pStyle w:val="Textonotapie"/>
        <w:rPr>
          <w:rFonts w:ascii="Arial" w:hAnsi="Arial" w:cs="Arial"/>
          <w:sz w:val="18"/>
          <w:szCs w:val="18"/>
        </w:rPr>
      </w:pPr>
      <w:r w:rsidRPr="00C80AEA">
        <w:rPr>
          <w:rStyle w:val="Refdenotaalpie"/>
          <w:rFonts w:ascii="Arial" w:hAnsi="Arial" w:cs="Arial"/>
          <w:sz w:val="18"/>
          <w:szCs w:val="18"/>
        </w:rPr>
        <w:footnoteRef/>
      </w:r>
      <w:r w:rsidRPr="00C80AEA">
        <w:rPr>
          <w:rFonts w:ascii="Arial" w:hAnsi="Arial" w:cs="Arial"/>
          <w:sz w:val="18"/>
          <w:szCs w:val="18"/>
        </w:rPr>
        <w:t xml:space="preserve"> Corte Suprema de Justicia- Sala de Casación Laboral. SL 1055, rad 87911 del 3 de marzo de 2022. MP. Iván Mauricio Lenis Gómez.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737C" w14:textId="5D31A23F" w:rsidR="00546AAC" w:rsidRPr="001C28BC" w:rsidRDefault="00546AAC" w:rsidP="001C28BC">
    <w:pPr>
      <w:spacing w:before="0" w:beforeAutospacing="0" w:after="0" w:afterAutospacing="0" w:line="240" w:lineRule="auto"/>
      <w:ind w:firstLine="0"/>
      <w:contextualSpacing/>
      <w:rPr>
        <w:rFonts w:ascii="Arial" w:eastAsia="Times New Roman" w:hAnsi="Arial" w:cs="Arial"/>
        <w:sz w:val="18"/>
        <w:szCs w:val="18"/>
        <w:lang w:eastAsia="es-MX"/>
      </w:rPr>
    </w:pPr>
    <w:r w:rsidRPr="001C28BC">
      <w:rPr>
        <w:rFonts w:ascii="Arial" w:eastAsia="Times New Roman" w:hAnsi="Arial" w:cs="Arial"/>
        <w:sz w:val="18"/>
        <w:szCs w:val="18"/>
        <w:lang w:val="es-419" w:eastAsia="es-ES"/>
      </w:rPr>
      <w:t>Radicación No.</w:t>
    </w:r>
    <w:r w:rsidR="001C28BC">
      <w:rPr>
        <w:rFonts w:ascii="Arial" w:eastAsia="Times New Roman" w:hAnsi="Arial" w:cs="Arial"/>
        <w:sz w:val="18"/>
        <w:szCs w:val="18"/>
        <w:lang w:val="es-419" w:eastAsia="es-ES"/>
      </w:rPr>
      <w:tab/>
    </w:r>
    <w:r w:rsidRPr="001C28BC">
      <w:rPr>
        <w:rFonts w:ascii="Arial" w:eastAsia="Times New Roman" w:hAnsi="Arial" w:cs="Arial"/>
        <w:sz w:val="18"/>
        <w:szCs w:val="18"/>
        <w:lang w:eastAsia="es-MX"/>
      </w:rPr>
      <w:t>66001-31-05-005-2020-00172-01</w:t>
    </w:r>
  </w:p>
  <w:p w14:paraId="4DD72DD7" w14:textId="7DBC17D4" w:rsidR="00546AAC" w:rsidRPr="001C28BC" w:rsidRDefault="00546AAC" w:rsidP="001C28BC">
    <w:pPr>
      <w:tabs>
        <w:tab w:val="left" w:pos="993"/>
      </w:tabs>
      <w:spacing w:before="0" w:beforeAutospacing="0" w:after="0" w:afterAutospacing="0" w:line="240" w:lineRule="auto"/>
      <w:ind w:left="1134" w:hanging="1134"/>
      <w:contextualSpacing/>
      <w:rPr>
        <w:rFonts w:ascii="Arial" w:eastAsia="Times New Roman" w:hAnsi="Arial" w:cs="Arial"/>
        <w:sz w:val="18"/>
        <w:szCs w:val="18"/>
        <w:lang w:eastAsia="es-ES"/>
      </w:rPr>
    </w:pPr>
    <w:r w:rsidRPr="001C28BC">
      <w:rPr>
        <w:rFonts w:ascii="Arial" w:eastAsia="Times New Roman" w:hAnsi="Arial" w:cs="Arial"/>
        <w:sz w:val="18"/>
        <w:szCs w:val="18"/>
        <w:lang w:eastAsia="es-ES"/>
      </w:rPr>
      <w:t>Demandante:</w:t>
    </w:r>
    <w:r w:rsidR="001C28BC">
      <w:rPr>
        <w:rFonts w:ascii="Arial" w:eastAsia="Times New Roman" w:hAnsi="Arial" w:cs="Arial"/>
        <w:sz w:val="18"/>
        <w:szCs w:val="18"/>
        <w:lang w:eastAsia="es-ES"/>
      </w:rPr>
      <w:tab/>
    </w:r>
    <w:r w:rsidR="001C28BC">
      <w:rPr>
        <w:rFonts w:ascii="Arial" w:eastAsia="Times New Roman" w:hAnsi="Arial" w:cs="Arial"/>
        <w:sz w:val="18"/>
        <w:szCs w:val="18"/>
        <w:lang w:eastAsia="es-ES"/>
      </w:rPr>
      <w:tab/>
    </w:r>
    <w:r w:rsidRPr="001C28BC">
      <w:rPr>
        <w:rFonts w:ascii="Arial" w:eastAsia="Times New Roman" w:hAnsi="Arial" w:cs="Arial"/>
        <w:sz w:val="18"/>
        <w:szCs w:val="18"/>
        <w:lang w:eastAsia="es-ES"/>
      </w:rPr>
      <w:t xml:space="preserve">Alicia Arango Ocampo </w:t>
    </w:r>
  </w:p>
  <w:p w14:paraId="44810F2F" w14:textId="3BDC21D8" w:rsidR="00C615C3" w:rsidRPr="001C28BC" w:rsidRDefault="00546AAC" w:rsidP="001C28BC">
    <w:pPr>
      <w:tabs>
        <w:tab w:val="left" w:pos="993"/>
      </w:tabs>
      <w:spacing w:before="0" w:beforeAutospacing="0" w:after="0" w:afterAutospacing="0" w:line="240" w:lineRule="auto"/>
      <w:ind w:left="1134" w:hanging="1134"/>
      <w:contextualSpacing/>
      <w:rPr>
        <w:rFonts w:ascii="Arial" w:eastAsia="Times New Roman" w:hAnsi="Arial" w:cs="Arial"/>
        <w:sz w:val="18"/>
        <w:szCs w:val="18"/>
        <w:lang w:val="es-419" w:eastAsia="es-ES"/>
      </w:rPr>
    </w:pPr>
    <w:r w:rsidRPr="001C28BC">
      <w:rPr>
        <w:rFonts w:ascii="Arial" w:eastAsia="Times New Roman" w:hAnsi="Arial" w:cs="Arial"/>
        <w:sz w:val="18"/>
        <w:szCs w:val="18"/>
        <w:lang w:val="es-419" w:eastAsia="es-ES"/>
      </w:rPr>
      <w:t>Demandado:</w:t>
    </w:r>
    <w:r w:rsidR="001C28BC">
      <w:rPr>
        <w:rFonts w:ascii="Arial" w:eastAsia="Times New Roman" w:hAnsi="Arial" w:cs="Arial"/>
        <w:sz w:val="18"/>
        <w:szCs w:val="18"/>
        <w:lang w:val="es-419" w:eastAsia="es-ES"/>
      </w:rPr>
      <w:tab/>
    </w:r>
    <w:r w:rsidR="001C28BC">
      <w:rPr>
        <w:rFonts w:ascii="Arial" w:eastAsia="Times New Roman" w:hAnsi="Arial" w:cs="Arial"/>
        <w:sz w:val="18"/>
        <w:szCs w:val="18"/>
        <w:lang w:val="es-419" w:eastAsia="es-ES"/>
      </w:rPr>
      <w:tab/>
    </w:r>
    <w:r w:rsidRPr="001C28BC">
      <w:rPr>
        <w:rFonts w:ascii="Arial" w:eastAsia="Times New Roman" w:hAnsi="Arial" w:cs="Arial"/>
        <w:sz w:val="18"/>
        <w:szCs w:val="18"/>
        <w:lang w:val="es-419" w:eastAsia="es-ES"/>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4A6378CB"/>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3063046"/>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4298"/>
    <w:rsid w:val="00013CA8"/>
    <w:rsid w:val="00031E63"/>
    <w:rsid w:val="000403CA"/>
    <w:rsid w:val="000517CC"/>
    <w:rsid w:val="00074245"/>
    <w:rsid w:val="00077E29"/>
    <w:rsid w:val="000A6B90"/>
    <w:rsid w:val="000C0573"/>
    <w:rsid w:val="000C5130"/>
    <w:rsid w:val="000C6971"/>
    <w:rsid w:val="000E5A5D"/>
    <w:rsid w:val="000F0902"/>
    <w:rsid w:val="00100D4C"/>
    <w:rsid w:val="00106210"/>
    <w:rsid w:val="00112248"/>
    <w:rsid w:val="00121A5F"/>
    <w:rsid w:val="00125092"/>
    <w:rsid w:val="00150B63"/>
    <w:rsid w:val="00161133"/>
    <w:rsid w:val="00161181"/>
    <w:rsid w:val="0016318A"/>
    <w:rsid w:val="00163816"/>
    <w:rsid w:val="00170FBB"/>
    <w:rsid w:val="00191ED8"/>
    <w:rsid w:val="001A441E"/>
    <w:rsid w:val="001B6BD5"/>
    <w:rsid w:val="001B7281"/>
    <w:rsid w:val="001C0FAC"/>
    <w:rsid w:val="001C28BC"/>
    <w:rsid w:val="001C3122"/>
    <w:rsid w:val="001D3FDE"/>
    <w:rsid w:val="001E1E92"/>
    <w:rsid w:val="001F08C5"/>
    <w:rsid w:val="001F42B1"/>
    <w:rsid w:val="002069A3"/>
    <w:rsid w:val="002120F3"/>
    <w:rsid w:val="00217CC0"/>
    <w:rsid w:val="002427D0"/>
    <w:rsid w:val="002436E2"/>
    <w:rsid w:val="00255E2D"/>
    <w:rsid w:val="002843C8"/>
    <w:rsid w:val="00296023"/>
    <w:rsid w:val="002D7DC5"/>
    <w:rsid w:val="002E32EF"/>
    <w:rsid w:val="002E6806"/>
    <w:rsid w:val="002F7BE8"/>
    <w:rsid w:val="00304902"/>
    <w:rsid w:val="00305C60"/>
    <w:rsid w:val="00317682"/>
    <w:rsid w:val="00331B85"/>
    <w:rsid w:val="00332A6A"/>
    <w:rsid w:val="003377F7"/>
    <w:rsid w:val="003410AF"/>
    <w:rsid w:val="00367BE9"/>
    <w:rsid w:val="00373354"/>
    <w:rsid w:val="00377CBF"/>
    <w:rsid w:val="003923F0"/>
    <w:rsid w:val="003A169D"/>
    <w:rsid w:val="003B235F"/>
    <w:rsid w:val="003B30E1"/>
    <w:rsid w:val="003B69FA"/>
    <w:rsid w:val="003B6C86"/>
    <w:rsid w:val="004122B8"/>
    <w:rsid w:val="004137DC"/>
    <w:rsid w:val="004234E8"/>
    <w:rsid w:val="00433E93"/>
    <w:rsid w:val="0045357F"/>
    <w:rsid w:val="00457848"/>
    <w:rsid w:val="00496EC0"/>
    <w:rsid w:val="004A092B"/>
    <w:rsid w:val="004A4277"/>
    <w:rsid w:val="004B4943"/>
    <w:rsid w:val="004D5C96"/>
    <w:rsid w:val="004F04C6"/>
    <w:rsid w:val="004F64AF"/>
    <w:rsid w:val="005143EA"/>
    <w:rsid w:val="00530BDD"/>
    <w:rsid w:val="00537542"/>
    <w:rsid w:val="00544768"/>
    <w:rsid w:val="00546AAC"/>
    <w:rsid w:val="00570B7A"/>
    <w:rsid w:val="00585FA4"/>
    <w:rsid w:val="0059589A"/>
    <w:rsid w:val="005A5768"/>
    <w:rsid w:val="005B147A"/>
    <w:rsid w:val="005B50CC"/>
    <w:rsid w:val="005C5243"/>
    <w:rsid w:val="00607E47"/>
    <w:rsid w:val="00630A4C"/>
    <w:rsid w:val="00632951"/>
    <w:rsid w:val="00635238"/>
    <w:rsid w:val="006503B6"/>
    <w:rsid w:val="00651F6B"/>
    <w:rsid w:val="006547E8"/>
    <w:rsid w:val="006633A2"/>
    <w:rsid w:val="00671085"/>
    <w:rsid w:val="006778CB"/>
    <w:rsid w:val="0068453D"/>
    <w:rsid w:val="00686EAA"/>
    <w:rsid w:val="00690FBF"/>
    <w:rsid w:val="00691CAA"/>
    <w:rsid w:val="006961C9"/>
    <w:rsid w:val="006A37FE"/>
    <w:rsid w:val="006C62FB"/>
    <w:rsid w:val="006D5389"/>
    <w:rsid w:val="00705F42"/>
    <w:rsid w:val="00723FC4"/>
    <w:rsid w:val="00724A52"/>
    <w:rsid w:val="0075203B"/>
    <w:rsid w:val="00753BAF"/>
    <w:rsid w:val="0076004F"/>
    <w:rsid w:val="00761DBF"/>
    <w:rsid w:val="00772FF1"/>
    <w:rsid w:val="0077796C"/>
    <w:rsid w:val="00792794"/>
    <w:rsid w:val="00796DA1"/>
    <w:rsid w:val="007B1618"/>
    <w:rsid w:val="007C7D08"/>
    <w:rsid w:val="007D7961"/>
    <w:rsid w:val="007E5614"/>
    <w:rsid w:val="007E6340"/>
    <w:rsid w:val="00820A28"/>
    <w:rsid w:val="0082622D"/>
    <w:rsid w:val="008771B9"/>
    <w:rsid w:val="008803D6"/>
    <w:rsid w:val="00881751"/>
    <w:rsid w:val="00883C75"/>
    <w:rsid w:val="008911FE"/>
    <w:rsid w:val="008A1361"/>
    <w:rsid w:val="008A7EFB"/>
    <w:rsid w:val="008B26E9"/>
    <w:rsid w:val="008B71A0"/>
    <w:rsid w:val="008F23C0"/>
    <w:rsid w:val="008F31F5"/>
    <w:rsid w:val="008F5815"/>
    <w:rsid w:val="00903A0B"/>
    <w:rsid w:val="009111D6"/>
    <w:rsid w:val="0092445F"/>
    <w:rsid w:val="00930E23"/>
    <w:rsid w:val="009344C9"/>
    <w:rsid w:val="009370BE"/>
    <w:rsid w:val="00937508"/>
    <w:rsid w:val="00937831"/>
    <w:rsid w:val="009442BA"/>
    <w:rsid w:val="009457D4"/>
    <w:rsid w:val="009B3B49"/>
    <w:rsid w:val="009B7B5B"/>
    <w:rsid w:val="009C6C76"/>
    <w:rsid w:val="009D32A0"/>
    <w:rsid w:val="009E7C13"/>
    <w:rsid w:val="00A25822"/>
    <w:rsid w:val="00A26141"/>
    <w:rsid w:val="00A3299A"/>
    <w:rsid w:val="00A36D83"/>
    <w:rsid w:val="00A40DBA"/>
    <w:rsid w:val="00A4162C"/>
    <w:rsid w:val="00A83CF8"/>
    <w:rsid w:val="00A83E88"/>
    <w:rsid w:val="00A97601"/>
    <w:rsid w:val="00AA0FCF"/>
    <w:rsid w:val="00AA6F64"/>
    <w:rsid w:val="00AD0983"/>
    <w:rsid w:val="00AD7C46"/>
    <w:rsid w:val="00AF60AE"/>
    <w:rsid w:val="00B11E8D"/>
    <w:rsid w:val="00B31CD2"/>
    <w:rsid w:val="00B335A2"/>
    <w:rsid w:val="00B40233"/>
    <w:rsid w:val="00B4056E"/>
    <w:rsid w:val="00B43A14"/>
    <w:rsid w:val="00B449F0"/>
    <w:rsid w:val="00B534BA"/>
    <w:rsid w:val="00B55098"/>
    <w:rsid w:val="00B608E7"/>
    <w:rsid w:val="00B61686"/>
    <w:rsid w:val="00B668BC"/>
    <w:rsid w:val="00B67305"/>
    <w:rsid w:val="00B812C4"/>
    <w:rsid w:val="00BC36F5"/>
    <w:rsid w:val="00BC76EE"/>
    <w:rsid w:val="00BD5F3F"/>
    <w:rsid w:val="00BE4084"/>
    <w:rsid w:val="00BF0397"/>
    <w:rsid w:val="00C042C2"/>
    <w:rsid w:val="00C102E3"/>
    <w:rsid w:val="00C1592F"/>
    <w:rsid w:val="00C449C8"/>
    <w:rsid w:val="00C502F7"/>
    <w:rsid w:val="00C615C3"/>
    <w:rsid w:val="00C7600F"/>
    <w:rsid w:val="00C80AEA"/>
    <w:rsid w:val="00CA349D"/>
    <w:rsid w:val="00CA74BF"/>
    <w:rsid w:val="00CC71E0"/>
    <w:rsid w:val="00CE7214"/>
    <w:rsid w:val="00D11268"/>
    <w:rsid w:val="00D14229"/>
    <w:rsid w:val="00D43353"/>
    <w:rsid w:val="00D75B6B"/>
    <w:rsid w:val="00D918BC"/>
    <w:rsid w:val="00DA3793"/>
    <w:rsid w:val="00DC6920"/>
    <w:rsid w:val="00DD6FB5"/>
    <w:rsid w:val="00DE4C29"/>
    <w:rsid w:val="00DE4D7D"/>
    <w:rsid w:val="00DE4F03"/>
    <w:rsid w:val="00DF1B1E"/>
    <w:rsid w:val="00E21A31"/>
    <w:rsid w:val="00E31CC8"/>
    <w:rsid w:val="00E36725"/>
    <w:rsid w:val="00E531FA"/>
    <w:rsid w:val="00E5409A"/>
    <w:rsid w:val="00E74D6F"/>
    <w:rsid w:val="00E91DE7"/>
    <w:rsid w:val="00EB0192"/>
    <w:rsid w:val="00EC4460"/>
    <w:rsid w:val="00EC5648"/>
    <w:rsid w:val="00ED390F"/>
    <w:rsid w:val="00ED523D"/>
    <w:rsid w:val="00ED52FD"/>
    <w:rsid w:val="00EE0273"/>
    <w:rsid w:val="00EF139D"/>
    <w:rsid w:val="00F1511D"/>
    <w:rsid w:val="00F20C83"/>
    <w:rsid w:val="00F21703"/>
    <w:rsid w:val="00F335CF"/>
    <w:rsid w:val="00F426B0"/>
    <w:rsid w:val="00F458AA"/>
    <w:rsid w:val="00F7176D"/>
    <w:rsid w:val="00F73278"/>
    <w:rsid w:val="00F83D6F"/>
    <w:rsid w:val="00F902C7"/>
    <w:rsid w:val="00F91601"/>
    <w:rsid w:val="00FB53E1"/>
    <w:rsid w:val="00FC1B45"/>
    <w:rsid w:val="00FD5811"/>
    <w:rsid w:val="00FF35CA"/>
    <w:rsid w:val="00FF4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105072328">
      <w:bodyDiv w:val="1"/>
      <w:marLeft w:val="0"/>
      <w:marRight w:val="0"/>
      <w:marTop w:val="0"/>
      <w:marBottom w:val="0"/>
      <w:divBdr>
        <w:top w:val="none" w:sz="0" w:space="0" w:color="auto"/>
        <w:left w:val="none" w:sz="0" w:space="0" w:color="auto"/>
        <w:bottom w:val="none" w:sz="0" w:space="0" w:color="auto"/>
        <w:right w:val="none" w:sz="0" w:space="0" w:color="auto"/>
      </w:divBdr>
    </w:div>
    <w:div w:id="1276718030">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 w:id="1912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677AF-0638-4CE7-9A6B-89C7BBCD1E53}">
  <ds:schemaRefs>
    <ds:schemaRef ds:uri="http://schemas.microsoft.com/sharepoint/v3/contenttype/forms"/>
  </ds:schemaRefs>
</ds:datastoreItem>
</file>

<file path=customXml/itemProps2.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8EED537-5904-4C04-8EF8-3FC270FFC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9368</Words>
  <Characters>51528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2</cp:revision>
  <dcterms:created xsi:type="dcterms:W3CDTF">2022-11-16T17:10:00Z</dcterms:created>
  <dcterms:modified xsi:type="dcterms:W3CDTF">2022-11-16T17:10:00Z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