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735F0A" w14:textId="77777777" w:rsidR="00C36D5E" w:rsidRPr="00C36D5E" w:rsidRDefault="00C36D5E" w:rsidP="00C36D5E">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93052694"/>
      <w:bookmarkStart w:id="2" w:name="_Hlk97791231"/>
      <w:bookmarkStart w:id="3" w:name="_Hlk82369399"/>
      <w:bookmarkStart w:id="4" w:name="_Hlk117163896"/>
      <w:bookmarkEnd w:id="0"/>
      <w:r w:rsidRPr="00C36D5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11CD31"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p>
    <w:bookmarkEnd w:id="1"/>
    <w:bookmarkEnd w:id="2"/>
    <w:p w14:paraId="29414E91" w14:textId="0A54528D" w:rsidR="00C27E54" w:rsidRPr="00C27E54" w:rsidRDefault="00C27E54" w:rsidP="00AD418D">
      <w:pPr>
        <w:spacing w:before="0" w:beforeAutospacing="0" w:after="0" w:afterAutospacing="0" w:line="240" w:lineRule="auto"/>
        <w:ind w:firstLine="0"/>
        <w:rPr>
          <w:rFonts w:ascii="Arial" w:eastAsia="Tahoma" w:hAnsi="Arial" w:cs="Arial"/>
          <w:color w:val="000000"/>
          <w:sz w:val="20"/>
          <w:szCs w:val="20"/>
          <w:lang w:val="es-ES" w:eastAsia="es-CO"/>
        </w:rPr>
      </w:pPr>
      <w:r w:rsidRPr="00C27E54">
        <w:rPr>
          <w:rFonts w:ascii="Arial" w:eastAsia="Tahoma" w:hAnsi="Arial" w:cs="Arial"/>
          <w:color w:val="000000"/>
          <w:sz w:val="20"/>
          <w:szCs w:val="20"/>
          <w:lang w:val="es-ES" w:eastAsia="es-CO"/>
        </w:rPr>
        <w:t>Radicación No.</w:t>
      </w:r>
      <w:r w:rsidR="00322315">
        <w:rPr>
          <w:rFonts w:ascii="Arial" w:eastAsia="Tahoma" w:hAnsi="Arial" w:cs="Arial"/>
          <w:color w:val="000000"/>
          <w:sz w:val="20"/>
          <w:szCs w:val="20"/>
          <w:lang w:val="es-ES" w:eastAsia="es-CO"/>
        </w:rPr>
        <w:tab/>
      </w:r>
      <w:r w:rsidR="00322315">
        <w:rPr>
          <w:rFonts w:ascii="Arial" w:eastAsia="Tahoma" w:hAnsi="Arial" w:cs="Arial"/>
          <w:color w:val="000000"/>
          <w:sz w:val="20"/>
          <w:szCs w:val="20"/>
          <w:lang w:val="es-ES" w:eastAsia="es-CO"/>
        </w:rPr>
        <w:tab/>
      </w:r>
      <w:r w:rsidRPr="00C27E54">
        <w:rPr>
          <w:rFonts w:ascii="Arial" w:eastAsia="Tahoma" w:hAnsi="Arial" w:cs="Arial"/>
          <w:color w:val="000000"/>
          <w:sz w:val="20"/>
          <w:szCs w:val="20"/>
          <w:lang w:val="es-ES" w:eastAsia="es-CO"/>
        </w:rPr>
        <w:t>66001-31-05-003-2020-00329-01</w:t>
      </w:r>
    </w:p>
    <w:p w14:paraId="496FD8FB" w14:textId="089FAB0B" w:rsidR="00C27E54" w:rsidRPr="00C27E54" w:rsidRDefault="00C27E54" w:rsidP="00AD418D">
      <w:pPr>
        <w:spacing w:before="0" w:beforeAutospacing="0" w:after="0" w:afterAutospacing="0" w:line="240" w:lineRule="auto"/>
        <w:ind w:firstLine="0"/>
        <w:rPr>
          <w:rFonts w:ascii="Arial" w:eastAsia="Tahoma" w:hAnsi="Arial" w:cs="Arial"/>
          <w:color w:val="000000"/>
          <w:sz w:val="20"/>
          <w:szCs w:val="20"/>
          <w:lang w:val="es-ES" w:eastAsia="es-CO"/>
        </w:rPr>
      </w:pPr>
      <w:r w:rsidRPr="00C27E54">
        <w:rPr>
          <w:rFonts w:ascii="Arial" w:eastAsia="Tahoma" w:hAnsi="Arial" w:cs="Arial"/>
          <w:color w:val="000000"/>
          <w:sz w:val="20"/>
          <w:szCs w:val="20"/>
          <w:lang w:val="es-ES" w:eastAsia="es-CO"/>
        </w:rPr>
        <w:t>Proceso:</w:t>
      </w:r>
      <w:r w:rsidR="00322315">
        <w:rPr>
          <w:rFonts w:ascii="Arial" w:eastAsia="Tahoma" w:hAnsi="Arial" w:cs="Arial"/>
          <w:color w:val="000000"/>
          <w:sz w:val="20"/>
          <w:szCs w:val="20"/>
          <w:lang w:val="es-ES" w:eastAsia="es-CO"/>
        </w:rPr>
        <w:tab/>
      </w:r>
      <w:r w:rsidR="00322315">
        <w:rPr>
          <w:rFonts w:ascii="Arial" w:eastAsia="Tahoma" w:hAnsi="Arial" w:cs="Arial"/>
          <w:color w:val="000000"/>
          <w:sz w:val="20"/>
          <w:szCs w:val="20"/>
          <w:lang w:val="es-ES" w:eastAsia="es-CO"/>
        </w:rPr>
        <w:tab/>
      </w:r>
      <w:r w:rsidRPr="00C27E54">
        <w:rPr>
          <w:rFonts w:ascii="Arial" w:eastAsia="Tahoma" w:hAnsi="Arial" w:cs="Arial"/>
          <w:color w:val="000000"/>
          <w:sz w:val="20"/>
          <w:szCs w:val="20"/>
          <w:lang w:val="es-ES" w:eastAsia="es-CO"/>
        </w:rPr>
        <w:t xml:space="preserve">Ordinario Laboral </w:t>
      </w:r>
    </w:p>
    <w:p w14:paraId="62E3F9E3" w14:textId="223D94F7" w:rsidR="00C27E54" w:rsidRPr="00C27E54" w:rsidRDefault="00C27E54" w:rsidP="00AD418D">
      <w:pPr>
        <w:spacing w:before="0" w:beforeAutospacing="0" w:after="0" w:afterAutospacing="0" w:line="240" w:lineRule="auto"/>
        <w:ind w:firstLine="0"/>
        <w:rPr>
          <w:rFonts w:ascii="Arial" w:eastAsia="Tahoma" w:hAnsi="Arial" w:cs="Arial"/>
          <w:color w:val="000000"/>
          <w:sz w:val="20"/>
          <w:szCs w:val="20"/>
          <w:lang w:val="es-ES" w:eastAsia="es-CO"/>
        </w:rPr>
      </w:pPr>
      <w:r w:rsidRPr="00C27E54">
        <w:rPr>
          <w:rFonts w:ascii="Arial" w:eastAsia="Tahoma" w:hAnsi="Arial" w:cs="Arial"/>
          <w:color w:val="000000"/>
          <w:sz w:val="20"/>
          <w:szCs w:val="20"/>
          <w:lang w:val="es-ES" w:eastAsia="es-CO"/>
        </w:rPr>
        <w:t>Demandante:</w:t>
      </w:r>
      <w:r w:rsidR="00322315">
        <w:rPr>
          <w:rFonts w:ascii="Arial" w:eastAsia="Tahoma" w:hAnsi="Arial" w:cs="Arial"/>
          <w:color w:val="000000"/>
          <w:sz w:val="20"/>
          <w:szCs w:val="20"/>
          <w:lang w:val="es-ES" w:eastAsia="es-CO"/>
        </w:rPr>
        <w:tab/>
      </w:r>
      <w:r w:rsidR="00322315">
        <w:rPr>
          <w:rFonts w:ascii="Arial" w:eastAsia="Tahoma" w:hAnsi="Arial" w:cs="Arial"/>
          <w:color w:val="000000"/>
          <w:sz w:val="20"/>
          <w:szCs w:val="20"/>
          <w:lang w:val="es-ES" w:eastAsia="es-CO"/>
        </w:rPr>
        <w:tab/>
      </w:r>
      <w:r w:rsidRPr="00C27E54">
        <w:rPr>
          <w:rFonts w:ascii="Arial" w:eastAsia="Tahoma" w:hAnsi="Arial" w:cs="Arial"/>
          <w:color w:val="000000"/>
          <w:sz w:val="20"/>
          <w:szCs w:val="20"/>
          <w:lang w:val="es-ES" w:eastAsia="es-CO"/>
        </w:rPr>
        <w:t xml:space="preserve">Claudia Liliana Giraldo Álzate </w:t>
      </w:r>
    </w:p>
    <w:p w14:paraId="5EF65819" w14:textId="3E5690CC" w:rsidR="00C27E54" w:rsidRPr="00C27E54" w:rsidRDefault="00C27E54" w:rsidP="00AD418D">
      <w:pPr>
        <w:spacing w:before="0" w:beforeAutospacing="0" w:after="0" w:afterAutospacing="0" w:line="240" w:lineRule="auto"/>
        <w:ind w:firstLine="0"/>
        <w:rPr>
          <w:rFonts w:ascii="Arial" w:eastAsia="Tahoma" w:hAnsi="Arial" w:cs="Arial"/>
          <w:color w:val="000000"/>
          <w:sz w:val="20"/>
          <w:szCs w:val="20"/>
          <w:lang w:val="es-ES" w:eastAsia="es-CO"/>
        </w:rPr>
      </w:pPr>
      <w:r w:rsidRPr="00C27E54">
        <w:rPr>
          <w:rFonts w:ascii="Arial" w:eastAsia="Tahoma" w:hAnsi="Arial" w:cs="Arial"/>
          <w:color w:val="000000"/>
          <w:sz w:val="20"/>
          <w:szCs w:val="20"/>
          <w:lang w:val="es-ES" w:eastAsia="es-CO"/>
        </w:rPr>
        <w:t>Demandado:</w:t>
      </w:r>
      <w:r w:rsidR="00322315">
        <w:rPr>
          <w:rFonts w:ascii="Arial" w:eastAsia="Tahoma" w:hAnsi="Arial" w:cs="Arial"/>
          <w:color w:val="000000"/>
          <w:sz w:val="20"/>
          <w:szCs w:val="20"/>
          <w:lang w:val="es-ES" w:eastAsia="es-CO"/>
        </w:rPr>
        <w:tab/>
      </w:r>
      <w:r w:rsidR="00322315">
        <w:rPr>
          <w:rFonts w:ascii="Arial" w:eastAsia="Tahoma" w:hAnsi="Arial" w:cs="Arial"/>
          <w:color w:val="000000"/>
          <w:sz w:val="20"/>
          <w:szCs w:val="20"/>
          <w:lang w:val="es-ES" w:eastAsia="es-CO"/>
        </w:rPr>
        <w:tab/>
      </w:r>
      <w:r w:rsidRPr="00C27E54">
        <w:rPr>
          <w:rFonts w:ascii="Arial" w:eastAsia="Tahoma" w:hAnsi="Arial" w:cs="Arial"/>
          <w:color w:val="000000"/>
          <w:sz w:val="20"/>
          <w:szCs w:val="20"/>
          <w:lang w:val="es-ES" w:eastAsia="es-CO"/>
        </w:rPr>
        <w:t>Colpensiones y otros</w:t>
      </w:r>
    </w:p>
    <w:p w14:paraId="528BEECD" w14:textId="7537D01B" w:rsidR="00C36D5E" w:rsidRDefault="00C27E54" w:rsidP="00AD418D">
      <w:pPr>
        <w:spacing w:before="0" w:beforeAutospacing="0" w:after="0" w:afterAutospacing="0" w:line="240" w:lineRule="auto"/>
        <w:ind w:firstLine="0"/>
        <w:rPr>
          <w:rFonts w:ascii="Arial" w:eastAsia="Tahoma" w:hAnsi="Arial" w:cs="Arial"/>
          <w:color w:val="000000"/>
          <w:sz w:val="20"/>
          <w:szCs w:val="20"/>
          <w:lang w:val="es-ES" w:eastAsia="es-CO"/>
        </w:rPr>
      </w:pPr>
      <w:r w:rsidRPr="00C27E54">
        <w:rPr>
          <w:rFonts w:ascii="Arial" w:eastAsia="Tahoma" w:hAnsi="Arial" w:cs="Arial"/>
          <w:color w:val="000000"/>
          <w:sz w:val="20"/>
          <w:szCs w:val="20"/>
          <w:lang w:val="es-ES" w:eastAsia="es-CO"/>
        </w:rPr>
        <w:t>Juzgado:</w:t>
      </w:r>
      <w:r w:rsidR="00322315">
        <w:rPr>
          <w:rFonts w:ascii="Arial" w:eastAsia="Tahoma" w:hAnsi="Arial" w:cs="Arial"/>
          <w:color w:val="000000"/>
          <w:sz w:val="20"/>
          <w:szCs w:val="20"/>
          <w:lang w:val="es-ES" w:eastAsia="es-CO"/>
        </w:rPr>
        <w:tab/>
      </w:r>
      <w:r w:rsidR="00322315">
        <w:rPr>
          <w:rFonts w:ascii="Arial" w:eastAsia="Tahoma" w:hAnsi="Arial" w:cs="Arial"/>
          <w:color w:val="000000"/>
          <w:sz w:val="20"/>
          <w:szCs w:val="20"/>
          <w:lang w:val="es-ES" w:eastAsia="es-CO"/>
        </w:rPr>
        <w:tab/>
      </w:r>
      <w:r w:rsidRPr="00C27E54">
        <w:rPr>
          <w:rFonts w:ascii="Arial" w:eastAsia="Tahoma" w:hAnsi="Arial" w:cs="Arial"/>
          <w:color w:val="000000"/>
          <w:sz w:val="20"/>
          <w:szCs w:val="20"/>
          <w:lang w:val="es-ES" w:eastAsia="es-CO"/>
        </w:rPr>
        <w:t>Tercero Laboral del Circuito de Pereira</w:t>
      </w:r>
    </w:p>
    <w:p w14:paraId="4A4694BF" w14:textId="77777777" w:rsidR="00C27E54" w:rsidRPr="00C36D5E" w:rsidRDefault="00C27E54" w:rsidP="00C27E54">
      <w:pPr>
        <w:spacing w:before="0" w:beforeAutospacing="0" w:after="0" w:afterAutospacing="0" w:line="240" w:lineRule="auto"/>
        <w:ind w:firstLine="0"/>
        <w:rPr>
          <w:rFonts w:ascii="Arial" w:eastAsia="Tahoma" w:hAnsi="Arial" w:cs="Arial"/>
          <w:color w:val="000000"/>
          <w:sz w:val="20"/>
          <w:szCs w:val="20"/>
          <w:lang w:val="es-ES" w:eastAsia="es-CO"/>
        </w:rPr>
      </w:pPr>
    </w:p>
    <w:p w14:paraId="33B33121" w14:textId="77777777" w:rsidR="00C36D5E" w:rsidRPr="00C36D5E" w:rsidRDefault="00C36D5E" w:rsidP="00C36D5E">
      <w:pPr>
        <w:spacing w:before="0" w:beforeAutospacing="0" w:after="0" w:afterAutospacing="0" w:line="240" w:lineRule="auto"/>
        <w:ind w:firstLine="0"/>
        <w:rPr>
          <w:rFonts w:ascii="Arial" w:eastAsia="Times New Roman" w:hAnsi="Arial" w:cs="Arial"/>
          <w:b/>
          <w:bCs/>
          <w:iCs/>
          <w:sz w:val="20"/>
          <w:szCs w:val="20"/>
          <w:lang w:val="es-419" w:eastAsia="fr-FR"/>
        </w:rPr>
      </w:pPr>
      <w:r w:rsidRPr="00C36D5E">
        <w:rPr>
          <w:rFonts w:ascii="Arial" w:eastAsia="Times New Roman" w:hAnsi="Arial" w:cs="Arial"/>
          <w:b/>
          <w:bCs/>
          <w:iCs/>
          <w:sz w:val="20"/>
          <w:szCs w:val="20"/>
          <w:u w:val="single"/>
          <w:lang w:val="es-419" w:eastAsia="fr-FR"/>
        </w:rPr>
        <w:t>TEMAS:</w:t>
      </w:r>
      <w:r w:rsidRPr="00C36D5E">
        <w:rPr>
          <w:rFonts w:ascii="Arial" w:eastAsia="Times New Roman" w:hAnsi="Arial" w:cs="Arial"/>
          <w:b/>
          <w:bCs/>
          <w:iCs/>
          <w:sz w:val="20"/>
          <w:szCs w:val="20"/>
          <w:lang w:val="es-419" w:eastAsia="fr-FR"/>
        </w:rPr>
        <w:tab/>
      </w:r>
      <w:r w:rsidRPr="00C36D5E">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C7081BF"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p>
    <w:p w14:paraId="032E7686"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r w:rsidRPr="00C36D5E">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885A928"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p>
    <w:p w14:paraId="2AB71909"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r w:rsidRPr="00C36D5E">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D482CE9"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p>
    <w:p w14:paraId="64EFBAC9"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r w:rsidRPr="00C36D5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BDDB08C"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p>
    <w:p w14:paraId="62CACA8A"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r w:rsidRPr="00C36D5E">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18C90E9D"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p>
    <w:p w14:paraId="744267E3"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r w:rsidRPr="00C36D5E">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2985AEA"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p>
    <w:p w14:paraId="19E488C5"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419" w:eastAsia="es-ES"/>
        </w:rPr>
      </w:pPr>
      <w:r w:rsidRPr="00C36D5E">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6F5FA529"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ES" w:eastAsia="es-ES"/>
        </w:rPr>
      </w:pPr>
    </w:p>
    <w:p w14:paraId="43500D8E"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ES" w:eastAsia="es-ES"/>
        </w:rPr>
      </w:pPr>
    </w:p>
    <w:bookmarkEnd w:id="3"/>
    <w:p w14:paraId="7124DD92" w14:textId="77777777" w:rsidR="00C36D5E" w:rsidRPr="00C36D5E" w:rsidRDefault="00C36D5E" w:rsidP="00C36D5E">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322315" w:rsidRDefault="003B6848" w:rsidP="00322315">
      <w:pPr>
        <w:pStyle w:val="Ttulo4"/>
        <w:widowControl w:val="0"/>
        <w:tabs>
          <w:tab w:val="clear" w:pos="0"/>
        </w:tabs>
        <w:spacing w:line="276" w:lineRule="auto"/>
        <w:ind w:right="49"/>
        <w:contextualSpacing/>
        <w:rPr>
          <w:rFonts w:ascii="Tahoma" w:hAnsi="Tahoma" w:cs="Tahoma"/>
          <w:bCs/>
          <w:szCs w:val="24"/>
          <w:lang w:eastAsia="es-MX"/>
        </w:rPr>
      </w:pPr>
      <w:bookmarkStart w:id="5" w:name="_Hlk89346566"/>
      <w:bookmarkEnd w:id="4"/>
      <w:r w:rsidRPr="00322315">
        <w:rPr>
          <w:rFonts w:ascii="Tahoma" w:hAnsi="Tahoma" w:cs="Tahoma"/>
          <w:bCs/>
          <w:szCs w:val="24"/>
          <w:lang w:eastAsia="es-MX"/>
        </w:rPr>
        <w:t>TRIBUNAL SUPERIOR DEL DISTRITO JUDICIAL DE PEREIRA</w:t>
      </w:r>
    </w:p>
    <w:p w14:paraId="5A16DD1F" w14:textId="5F655AE0" w:rsidR="003B6848" w:rsidRPr="00322315" w:rsidRDefault="003B6848" w:rsidP="00322315">
      <w:pPr>
        <w:pStyle w:val="Ttulo4"/>
        <w:widowControl w:val="0"/>
        <w:tabs>
          <w:tab w:val="clear" w:pos="0"/>
        </w:tabs>
        <w:spacing w:line="276" w:lineRule="auto"/>
        <w:ind w:right="49"/>
        <w:contextualSpacing/>
        <w:rPr>
          <w:rFonts w:ascii="Tahoma" w:hAnsi="Tahoma" w:cs="Tahoma"/>
          <w:bCs/>
          <w:szCs w:val="24"/>
          <w:lang w:eastAsia="es-MX"/>
        </w:rPr>
      </w:pPr>
      <w:r w:rsidRPr="00322315">
        <w:rPr>
          <w:rFonts w:ascii="Tahoma" w:hAnsi="Tahoma" w:cs="Tahoma"/>
          <w:bCs/>
          <w:szCs w:val="24"/>
          <w:lang w:eastAsia="es-MX"/>
        </w:rPr>
        <w:t>SALA PRIMERA DE DECISION LABORAL</w:t>
      </w:r>
    </w:p>
    <w:p w14:paraId="1EA4F8CA" w14:textId="77777777" w:rsidR="000A7489" w:rsidRPr="00322315" w:rsidRDefault="000A7489" w:rsidP="00322315">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322315" w:rsidRDefault="003B6848" w:rsidP="00322315">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322315">
        <w:rPr>
          <w:rFonts w:ascii="Tahoma" w:eastAsia="Times New Roman" w:hAnsi="Tahoma" w:cs="Tahoma"/>
          <w:lang w:eastAsia="es-CO"/>
        </w:rPr>
        <w:t>Magistrada Ponente: </w:t>
      </w:r>
      <w:r w:rsidRPr="00322315">
        <w:rPr>
          <w:rFonts w:ascii="Tahoma" w:eastAsia="Times New Roman" w:hAnsi="Tahoma" w:cs="Tahoma"/>
          <w:b/>
          <w:bCs/>
          <w:lang w:eastAsia="es-CO"/>
        </w:rPr>
        <w:t>Ana Lucía Caicedo Calderón</w:t>
      </w:r>
    </w:p>
    <w:p w14:paraId="2EE6C2C2" w14:textId="438562DA" w:rsidR="003B6848" w:rsidRPr="00322315" w:rsidRDefault="003B6848" w:rsidP="00322315">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5"/>
    <w:p w14:paraId="486A3902" w14:textId="77777777" w:rsidR="00C640E3" w:rsidRPr="00322315" w:rsidRDefault="00C640E3" w:rsidP="00322315">
      <w:pPr>
        <w:spacing w:line="276" w:lineRule="auto"/>
        <w:ind w:firstLine="0"/>
        <w:contextualSpacing/>
        <w:mirrorIndents/>
        <w:jc w:val="center"/>
        <w:rPr>
          <w:rFonts w:ascii="Tahoma" w:hAnsi="Tahoma" w:cs="Tahoma"/>
        </w:rPr>
      </w:pPr>
      <w:r w:rsidRPr="00322315">
        <w:rPr>
          <w:rFonts w:ascii="Tahoma" w:hAnsi="Tahoma" w:cs="Tahoma"/>
        </w:rPr>
        <w:t>Pereira, treinta y uno (31) de octubre de dos mil veintidós (2022)  </w:t>
      </w:r>
    </w:p>
    <w:p w14:paraId="2E19E53C" w14:textId="77777777" w:rsidR="00C640E3" w:rsidRPr="00322315" w:rsidRDefault="00C640E3" w:rsidP="00322315">
      <w:pPr>
        <w:spacing w:line="276" w:lineRule="auto"/>
        <w:ind w:firstLine="0"/>
        <w:contextualSpacing/>
        <w:mirrorIndents/>
        <w:jc w:val="center"/>
        <w:rPr>
          <w:rFonts w:ascii="Tahoma" w:hAnsi="Tahoma" w:cs="Tahoma"/>
        </w:rPr>
      </w:pPr>
      <w:r w:rsidRPr="00322315">
        <w:rPr>
          <w:rFonts w:ascii="Tahoma" w:hAnsi="Tahoma" w:cs="Tahoma"/>
        </w:rPr>
        <w:t> Acta No. ____ del 27 de octubre del 2022</w:t>
      </w:r>
    </w:p>
    <w:p w14:paraId="4D47DCFA" w14:textId="327BEAAA" w:rsidR="00151506" w:rsidRPr="00322315" w:rsidRDefault="00151506" w:rsidP="00322315">
      <w:pPr>
        <w:spacing w:before="0" w:beforeAutospacing="0" w:after="0" w:afterAutospacing="0" w:line="276" w:lineRule="auto"/>
        <w:contextualSpacing/>
        <w:jc w:val="center"/>
        <w:rPr>
          <w:rFonts w:ascii="Tahoma" w:hAnsi="Tahoma" w:cs="Tahoma"/>
          <w:b/>
        </w:rPr>
      </w:pPr>
    </w:p>
    <w:p w14:paraId="56E65A9E" w14:textId="77777777" w:rsidR="00C640E3" w:rsidRPr="00322315" w:rsidRDefault="00C640E3" w:rsidP="00322315">
      <w:pPr>
        <w:spacing w:before="0" w:beforeAutospacing="0" w:after="0" w:afterAutospacing="0" w:line="276" w:lineRule="auto"/>
        <w:contextualSpacing/>
        <w:jc w:val="center"/>
        <w:rPr>
          <w:rFonts w:ascii="Tahoma" w:hAnsi="Tahoma" w:cs="Tahoma"/>
          <w:b/>
        </w:rPr>
      </w:pPr>
    </w:p>
    <w:p w14:paraId="4AC3CC0A" w14:textId="7621289A" w:rsidR="00CC7065" w:rsidRPr="00322315" w:rsidRDefault="00C113E7" w:rsidP="00322315">
      <w:pPr>
        <w:spacing w:before="0" w:beforeAutospacing="0" w:after="0" w:afterAutospacing="0" w:line="276" w:lineRule="auto"/>
        <w:ind w:firstLine="708"/>
        <w:contextualSpacing/>
        <w:rPr>
          <w:rFonts w:ascii="Tahoma" w:hAnsi="Tahoma" w:cs="Tahoma"/>
          <w:b/>
          <w:bCs/>
        </w:rPr>
      </w:pPr>
      <w:r w:rsidRPr="00322315">
        <w:rPr>
          <w:rFonts w:ascii="Tahoma" w:hAnsi="Tahoma" w:cs="Tahoma"/>
          <w:lang w:val="es-ES"/>
        </w:rPr>
        <w:t>Teniendo en cuenta que el artículo 15 del Decreto No. 806 del 4 de junio de 2020, adoptado como legislación permanente por medio de la Ley 2213 del 13 de junio de 2022</w:t>
      </w:r>
      <w:r w:rsidR="000A7489" w:rsidRPr="00322315">
        <w:rPr>
          <w:rFonts w:ascii="Tahoma" w:hAnsi="Tahoma" w:cs="Tahoma"/>
        </w:rPr>
        <w:t xml:space="preserve">, </w:t>
      </w:r>
      <w:r w:rsidR="003B6848" w:rsidRPr="00322315">
        <w:rPr>
          <w:rFonts w:ascii="Tahoma" w:hAnsi="Tahoma" w:cs="Tahoma"/>
        </w:rPr>
        <w:t>estableció que en la</w:t>
      </w:r>
      <w:r w:rsidR="00E60AFE" w:rsidRPr="00322315">
        <w:rPr>
          <w:rFonts w:ascii="Tahoma" w:hAnsi="Tahoma" w:cs="Tahoma"/>
        </w:rPr>
        <w:t xml:space="preserve"> </w:t>
      </w:r>
      <w:r w:rsidR="003B6848" w:rsidRPr="00322315">
        <w:rPr>
          <w:rFonts w:ascii="Tahoma" w:hAnsi="Tahoma" w:cs="Tahoma"/>
        </w:rPr>
        <w:t>especialidad laboral se proferirán por escrito las providencias de</w:t>
      </w:r>
      <w:r w:rsidR="00E60AFE" w:rsidRPr="00322315">
        <w:rPr>
          <w:rFonts w:ascii="Tahoma" w:hAnsi="Tahoma" w:cs="Tahoma"/>
        </w:rPr>
        <w:t xml:space="preserve"> </w:t>
      </w:r>
      <w:r w:rsidR="003B6848" w:rsidRPr="00322315">
        <w:rPr>
          <w:rFonts w:ascii="Tahoma" w:hAnsi="Tahoma" w:cs="Tahoma"/>
        </w:rPr>
        <w:t>segunda</w:t>
      </w:r>
      <w:r w:rsidR="00E60AFE" w:rsidRPr="00322315">
        <w:rPr>
          <w:rFonts w:ascii="Tahoma" w:hAnsi="Tahoma" w:cs="Tahoma"/>
        </w:rPr>
        <w:t xml:space="preserve"> </w:t>
      </w:r>
      <w:r w:rsidR="003B6848" w:rsidRPr="00322315">
        <w:rPr>
          <w:rFonts w:ascii="Tahoma" w:hAnsi="Tahoma" w:cs="Tahoma"/>
        </w:rPr>
        <w:t>instancia</w:t>
      </w:r>
      <w:r w:rsidR="00E60AFE" w:rsidRPr="00322315">
        <w:rPr>
          <w:rFonts w:ascii="Tahoma" w:hAnsi="Tahoma" w:cs="Tahoma"/>
        </w:rPr>
        <w:t xml:space="preserve"> </w:t>
      </w:r>
      <w:r w:rsidR="003B6848" w:rsidRPr="00322315">
        <w:rPr>
          <w:rFonts w:ascii="Tahoma" w:hAnsi="Tahoma" w:cs="Tahoma"/>
        </w:rPr>
        <w:t>en las que se surta el grado jurisdiccional de consulta o se resuelva el recurso de</w:t>
      </w:r>
      <w:r w:rsidR="00E60AFE" w:rsidRPr="00322315">
        <w:rPr>
          <w:rFonts w:ascii="Tahoma" w:hAnsi="Tahoma" w:cs="Tahoma"/>
        </w:rPr>
        <w:t xml:space="preserve"> </w:t>
      </w:r>
      <w:r w:rsidR="003B6848" w:rsidRPr="00322315">
        <w:rPr>
          <w:rFonts w:ascii="Tahoma" w:hAnsi="Tahoma" w:cs="Tahoma"/>
        </w:rPr>
        <w:t>apelación de autos o sentencias, la Sala de Decisión Laboral</w:t>
      </w:r>
      <w:r w:rsidR="00617E08" w:rsidRPr="00322315">
        <w:rPr>
          <w:rFonts w:ascii="Tahoma" w:hAnsi="Tahoma" w:cs="Tahoma"/>
        </w:rPr>
        <w:t xml:space="preserve"> del Tribunal Superior de Pereira, </w:t>
      </w:r>
      <w:r w:rsidR="003B6848" w:rsidRPr="00322315">
        <w:rPr>
          <w:rFonts w:ascii="Tahoma" w:hAnsi="Tahoma" w:cs="Tahoma"/>
        </w:rPr>
        <w:t>integrada por las</w:t>
      </w:r>
      <w:r w:rsidR="00510D63" w:rsidRPr="00322315">
        <w:rPr>
          <w:rFonts w:ascii="Tahoma" w:hAnsi="Tahoma" w:cs="Tahoma"/>
        </w:rPr>
        <w:t xml:space="preserve"> </w:t>
      </w:r>
      <w:r w:rsidR="003B6848" w:rsidRPr="00322315">
        <w:rPr>
          <w:rFonts w:ascii="Tahoma" w:hAnsi="Tahoma" w:cs="Tahoma"/>
        </w:rPr>
        <w:t>Magistradas ANA LUCÍA CAICEDO CALDERÓN</w:t>
      </w:r>
      <w:r w:rsidR="00617E08" w:rsidRPr="00322315">
        <w:rPr>
          <w:rFonts w:ascii="Tahoma" w:hAnsi="Tahoma" w:cs="Tahoma"/>
        </w:rPr>
        <w:t>,</w:t>
      </w:r>
      <w:r w:rsidR="003B6848" w:rsidRPr="00322315">
        <w:rPr>
          <w:rFonts w:ascii="Tahoma" w:hAnsi="Tahoma" w:cs="Tahoma"/>
        </w:rPr>
        <w:t xml:space="preserve"> como </w:t>
      </w:r>
      <w:r w:rsidR="00617E08" w:rsidRPr="00322315">
        <w:rPr>
          <w:rFonts w:ascii="Tahoma" w:hAnsi="Tahoma" w:cs="Tahoma"/>
        </w:rPr>
        <w:t>p</w:t>
      </w:r>
      <w:r w:rsidR="003B6848" w:rsidRPr="00322315">
        <w:rPr>
          <w:rFonts w:ascii="Tahoma" w:hAnsi="Tahoma" w:cs="Tahoma"/>
        </w:rPr>
        <w:t xml:space="preserve">onente, </w:t>
      </w:r>
      <w:r w:rsidR="00617E08" w:rsidRPr="00322315">
        <w:rPr>
          <w:rFonts w:ascii="Tahoma" w:hAnsi="Tahoma" w:cs="Tahoma"/>
        </w:rPr>
        <w:t xml:space="preserve">y </w:t>
      </w:r>
      <w:r w:rsidR="003B6848" w:rsidRPr="00322315">
        <w:rPr>
          <w:rFonts w:ascii="Tahoma" w:hAnsi="Tahoma" w:cs="Tahoma"/>
        </w:rPr>
        <w:t>OLGA LUCÍA HOYOS</w:t>
      </w:r>
      <w:r w:rsidR="00510D63" w:rsidRPr="00322315">
        <w:rPr>
          <w:rFonts w:ascii="Tahoma" w:hAnsi="Tahoma" w:cs="Tahoma"/>
        </w:rPr>
        <w:t xml:space="preserve"> </w:t>
      </w:r>
      <w:r w:rsidR="003B6848" w:rsidRPr="00322315">
        <w:rPr>
          <w:rFonts w:ascii="Tahoma" w:hAnsi="Tahoma" w:cs="Tahoma"/>
        </w:rPr>
        <w:t>SEPÚLVEDA</w:t>
      </w:r>
      <w:r w:rsidR="00617E08" w:rsidRPr="00322315">
        <w:rPr>
          <w:rFonts w:ascii="Tahoma" w:hAnsi="Tahoma" w:cs="Tahoma"/>
        </w:rPr>
        <w:t>,</w:t>
      </w:r>
      <w:r w:rsidR="003B6848" w:rsidRPr="00322315">
        <w:rPr>
          <w:rFonts w:ascii="Tahoma" w:hAnsi="Tahoma" w:cs="Tahoma"/>
        </w:rPr>
        <w:t xml:space="preserve"> y el Magistrado</w:t>
      </w:r>
      <w:r w:rsidR="00510D63" w:rsidRPr="00322315">
        <w:rPr>
          <w:rFonts w:ascii="Tahoma" w:hAnsi="Tahoma" w:cs="Tahoma"/>
        </w:rPr>
        <w:t xml:space="preserve"> </w:t>
      </w:r>
      <w:r w:rsidR="003B6848" w:rsidRPr="00322315">
        <w:rPr>
          <w:rFonts w:ascii="Tahoma" w:hAnsi="Tahoma" w:cs="Tahoma"/>
        </w:rPr>
        <w:t xml:space="preserve">GERMÁN DARIO </w:t>
      </w:r>
      <w:r w:rsidR="00AA60CF" w:rsidRPr="00322315">
        <w:rPr>
          <w:rFonts w:ascii="Tahoma" w:hAnsi="Tahoma" w:cs="Tahoma"/>
        </w:rPr>
        <w:t xml:space="preserve">GOEZ </w:t>
      </w:r>
      <w:r w:rsidR="003B6848" w:rsidRPr="00322315">
        <w:rPr>
          <w:rFonts w:ascii="Tahoma" w:hAnsi="Tahoma" w:cs="Tahoma"/>
        </w:rPr>
        <w:t>VINASCO, procede a proferir la</w:t>
      </w:r>
      <w:r w:rsidR="00510D63" w:rsidRPr="00322315">
        <w:rPr>
          <w:rFonts w:ascii="Tahoma" w:hAnsi="Tahoma" w:cs="Tahoma"/>
        </w:rPr>
        <w:t xml:space="preserve"> </w:t>
      </w:r>
      <w:r w:rsidR="003B6848" w:rsidRPr="00322315">
        <w:rPr>
          <w:rFonts w:ascii="Tahoma" w:hAnsi="Tahoma" w:cs="Tahoma"/>
        </w:rPr>
        <w:t xml:space="preserve">siguiente sentencia escrita dentro del proceso </w:t>
      </w:r>
      <w:r w:rsidR="003B6848" w:rsidRPr="00AD418D">
        <w:rPr>
          <w:rFonts w:ascii="Tahoma" w:hAnsi="Tahoma" w:cs="Tahoma"/>
          <w:b/>
        </w:rPr>
        <w:t>ordinario laboral</w:t>
      </w:r>
      <w:r w:rsidR="003B6848" w:rsidRPr="00322315">
        <w:rPr>
          <w:rFonts w:ascii="Tahoma" w:hAnsi="Tahoma" w:cs="Tahoma"/>
        </w:rPr>
        <w:t xml:space="preserve"> instaurado por </w:t>
      </w:r>
      <w:r w:rsidR="005F249B" w:rsidRPr="00322315">
        <w:rPr>
          <w:rFonts w:ascii="Tahoma" w:hAnsi="Tahoma" w:cs="Tahoma"/>
          <w:b/>
          <w:bCs/>
        </w:rPr>
        <w:t>Claudia Liliana Giraldo Álzate</w:t>
      </w:r>
      <w:r w:rsidR="001559D4" w:rsidRPr="00322315">
        <w:rPr>
          <w:rFonts w:ascii="Tahoma" w:hAnsi="Tahoma" w:cs="Tahoma"/>
          <w:b/>
          <w:bCs/>
        </w:rPr>
        <w:t xml:space="preserve"> </w:t>
      </w:r>
      <w:r w:rsidR="00171926" w:rsidRPr="00322315">
        <w:rPr>
          <w:rFonts w:ascii="Tahoma" w:hAnsi="Tahoma" w:cs="Tahoma"/>
        </w:rPr>
        <w:t>en contra de</w:t>
      </w:r>
      <w:r w:rsidR="00171926" w:rsidRPr="00322315">
        <w:rPr>
          <w:rFonts w:ascii="Tahoma" w:hAnsi="Tahoma" w:cs="Tahoma"/>
          <w:b/>
          <w:bCs/>
        </w:rPr>
        <w:t xml:space="preserve"> </w:t>
      </w:r>
      <w:r w:rsidR="00D51575" w:rsidRPr="00322315">
        <w:rPr>
          <w:rFonts w:ascii="Tahoma" w:hAnsi="Tahoma" w:cs="Tahoma"/>
          <w:b/>
          <w:bCs/>
        </w:rPr>
        <w:t>L</w:t>
      </w:r>
      <w:r w:rsidR="00171926" w:rsidRPr="00322315">
        <w:rPr>
          <w:rFonts w:ascii="Tahoma" w:hAnsi="Tahoma" w:cs="Tahoma"/>
          <w:b/>
          <w:bCs/>
        </w:rPr>
        <w:t xml:space="preserve">a Administradora Colombiana de Pensiones – Colpensiones </w:t>
      </w:r>
      <w:r w:rsidR="00171926" w:rsidRPr="00322315">
        <w:rPr>
          <w:rFonts w:ascii="Tahoma" w:hAnsi="Tahoma" w:cs="Tahoma"/>
        </w:rPr>
        <w:t>y la</w:t>
      </w:r>
      <w:r w:rsidR="006B682B" w:rsidRPr="00322315">
        <w:rPr>
          <w:rFonts w:ascii="Tahoma" w:hAnsi="Tahoma" w:cs="Tahoma"/>
        </w:rPr>
        <w:t xml:space="preserve"> </w:t>
      </w:r>
      <w:r w:rsidR="00171926" w:rsidRPr="00322315">
        <w:rPr>
          <w:rFonts w:ascii="Tahoma" w:hAnsi="Tahoma" w:cs="Tahoma"/>
          <w:b/>
          <w:bCs/>
        </w:rPr>
        <w:t>Administradora de Fondos de Pensiones</w:t>
      </w:r>
      <w:r w:rsidR="00910B8E" w:rsidRPr="00322315">
        <w:rPr>
          <w:rFonts w:ascii="Tahoma" w:hAnsi="Tahoma" w:cs="Tahoma"/>
          <w:b/>
          <w:bCs/>
        </w:rPr>
        <w:t xml:space="preserve"> y Cesantías</w:t>
      </w:r>
      <w:r w:rsidR="00171926" w:rsidRPr="00322315">
        <w:rPr>
          <w:rFonts w:ascii="Tahoma" w:hAnsi="Tahoma" w:cs="Tahoma"/>
          <w:b/>
          <w:bCs/>
        </w:rPr>
        <w:t xml:space="preserve"> – P</w:t>
      </w:r>
      <w:r w:rsidR="00910B8E" w:rsidRPr="00322315">
        <w:rPr>
          <w:rFonts w:ascii="Tahoma" w:hAnsi="Tahoma" w:cs="Tahoma"/>
          <w:b/>
          <w:bCs/>
        </w:rPr>
        <w:t>orvenir</w:t>
      </w:r>
      <w:r w:rsidR="00171926" w:rsidRPr="00322315">
        <w:rPr>
          <w:rFonts w:ascii="Tahoma" w:hAnsi="Tahoma" w:cs="Tahoma"/>
          <w:b/>
          <w:bCs/>
        </w:rPr>
        <w:t xml:space="preserve"> S.A.</w:t>
      </w:r>
    </w:p>
    <w:p w14:paraId="46700DBC" w14:textId="266EF8A4" w:rsidR="001D328D" w:rsidRDefault="001D328D" w:rsidP="00322315">
      <w:pPr>
        <w:spacing w:before="0" w:beforeAutospacing="0" w:after="0" w:afterAutospacing="0" w:line="276" w:lineRule="auto"/>
        <w:ind w:firstLine="0"/>
        <w:contextualSpacing/>
        <w:rPr>
          <w:rFonts w:ascii="Tahoma" w:hAnsi="Tahoma" w:cs="Tahoma"/>
          <w:b/>
        </w:rPr>
      </w:pPr>
    </w:p>
    <w:p w14:paraId="0A456F77" w14:textId="77777777" w:rsidR="008D71DA" w:rsidRPr="00322315" w:rsidRDefault="008D71DA" w:rsidP="00322315">
      <w:pPr>
        <w:spacing w:before="0" w:beforeAutospacing="0" w:after="0" w:afterAutospacing="0" w:line="276" w:lineRule="auto"/>
        <w:ind w:firstLine="0"/>
        <w:contextualSpacing/>
        <w:rPr>
          <w:rFonts w:ascii="Tahoma" w:hAnsi="Tahoma" w:cs="Tahoma"/>
          <w:b/>
        </w:rPr>
      </w:pPr>
    </w:p>
    <w:p w14:paraId="11B2C985" w14:textId="5477777E" w:rsidR="00CC7065" w:rsidRPr="00322315" w:rsidRDefault="00CC7065" w:rsidP="00322315">
      <w:pPr>
        <w:pStyle w:val="paragraph"/>
        <w:spacing w:before="0" w:beforeAutospacing="0" w:after="0" w:afterAutospacing="0" w:line="276" w:lineRule="auto"/>
        <w:jc w:val="center"/>
        <w:textAlignment w:val="baseline"/>
        <w:rPr>
          <w:rFonts w:ascii="Tahoma" w:hAnsi="Tahoma" w:cs="Tahoma"/>
          <w:b/>
        </w:rPr>
      </w:pPr>
      <w:r w:rsidRPr="00322315">
        <w:rPr>
          <w:rStyle w:val="normaltextrun"/>
          <w:rFonts w:ascii="Tahoma" w:hAnsi="Tahoma" w:cs="Tahoma"/>
          <w:b/>
        </w:rPr>
        <w:t>PUNTO A TRATAR</w:t>
      </w:r>
    </w:p>
    <w:p w14:paraId="32FCA209" w14:textId="77777777" w:rsidR="00617E08" w:rsidRPr="00322315" w:rsidRDefault="00617E08" w:rsidP="00322315">
      <w:pPr>
        <w:spacing w:before="0" w:beforeAutospacing="0" w:after="0" w:afterAutospacing="0" w:line="276" w:lineRule="auto"/>
        <w:ind w:firstLine="708"/>
        <w:rPr>
          <w:rStyle w:val="normaltextrun"/>
          <w:rFonts w:ascii="Tahoma" w:hAnsi="Tahoma" w:cs="Tahoma"/>
        </w:rPr>
      </w:pPr>
    </w:p>
    <w:p w14:paraId="06AA2758" w14:textId="02D216BC" w:rsidR="00415842" w:rsidRPr="00322315" w:rsidRDefault="00CC7065" w:rsidP="00322315">
      <w:pPr>
        <w:spacing w:before="0" w:beforeAutospacing="0" w:after="0" w:afterAutospacing="0" w:line="276" w:lineRule="auto"/>
        <w:ind w:firstLine="708"/>
        <w:rPr>
          <w:rStyle w:val="normaltextrun"/>
          <w:rFonts w:ascii="Tahoma" w:hAnsi="Tahoma" w:cs="Tahoma"/>
        </w:rPr>
      </w:pPr>
      <w:r w:rsidRPr="00322315">
        <w:rPr>
          <w:rStyle w:val="normaltextrun"/>
          <w:rFonts w:ascii="Tahoma" w:hAnsi="Tahoma" w:cs="Tahoma"/>
        </w:rPr>
        <w:t>Por medio de esta providencia procede la Sala a</w:t>
      </w:r>
      <w:r w:rsidRPr="00322315">
        <w:rPr>
          <w:rFonts w:ascii="Tahoma" w:hAnsi="Tahoma" w:cs="Tahoma"/>
        </w:rPr>
        <w:t xml:space="preserve"> resolver el </w:t>
      </w:r>
      <w:r w:rsidR="00E75BE4" w:rsidRPr="00322315">
        <w:rPr>
          <w:rFonts w:ascii="Tahoma" w:hAnsi="Tahoma" w:cs="Tahoma"/>
        </w:rPr>
        <w:t>grado jurisdiccional de consulta dispuesto en favor de la Administradora Colombiana de Pensiones</w:t>
      </w:r>
      <w:r w:rsidR="00D51575" w:rsidRPr="00322315">
        <w:rPr>
          <w:rFonts w:ascii="Tahoma" w:hAnsi="Tahoma" w:cs="Tahoma"/>
        </w:rPr>
        <w:t xml:space="preserve"> </w:t>
      </w:r>
      <w:r w:rsidR="00E75BE4" w:rsidRPr="00322315">
        <w:rPr>
          <w:rFonts w:ascii="Tahoma" w:hAnsi="Tahoma" w:cs="Tahoma"/>
        </w:rPr>
        <w:t>-Colpensiones</w:t>
      </w:r>
      <w:r w:rsidR="00D51575" w:rsidRPr="00322315">
        <w:rPr>
          <w:rFonts w:ascii="Tahoma" w:hAnsi="Tahoma" w:cs="Tahoma"/>
        </w:rPr>
        <w:t>-</w:t>
      </w:r>
      <w:r w:rsidR="00E75BE4" w:rsidRPr="00322315">
        <w:rPr>
          <w:rFonts w:ascii="Tahoma" w:hAnsi="Tahoma" w:cs="Tahoma"/>
        </w:rPr>
        <w:t xml:space="preserve"> </w:t>
      </w:r>
      <w:r w:rsidR="000B758F" w:rsidRPr="00322315">
        <w:rPr>
          <w:rFonts w:ascii="Tahoma" w:hAnsi="Tahoma" w:cs="Tahoma"/>
        </w:rPr>
        <w:t xml:space="preserve">y los recursos de apelación presentados por ambas </w:t>
      </w:r>
      <w:r w:rsidR="00C37DCA" w:rsidRPr="00322315">
        <w:rPr>
          <w:rFonts w:ascii="Tahoma" w:hAnsi="Tahoma" w:cs="Tahoma"/>
        </w:rPr>
        <w:t>co</w:t>
      </w:r>
      <w:r w:rsidR="000B758F" w:rsidRPr="00322315">
        <w:rPr>
          <w:rFonts w:ascii="Tahoma" w:hAnsi="Tahoma" w:cs="Tahoma"/>
        </w:rPr>
        <w:t xml:space="preserve">demandadas en contra de </w:t>
      </w:r>
      <w:r w:rsidR="00E75BE4" w:rsidRPr="00322315">
        <w:rPr>
          <w:rFonts w:ascii="Tahoma" w:hAnsi="Tahoma" w:cs="Tahoma"/>
        </w:rPr>
        <w:t xml:space="preserve">la sentencia proferida el </w:t>
      </w:r>
      <w:r w:rsidR="00D51575" w:rsidRPr="00322315">
        <w:rPr>
          <w:rFonts w:ascii="Tahoma" w:hAnsi="Tahoma" w:cs="Tahoma"/>
        </w:rPr>
        <w:t>0</w:t>
      </w:r>
      <w:r w:rsidR="00324253" w:rsidRPr="00322315">
        <w:rPr>
          <w:rFonts w:ascii="Tahoma" w:hAnsi="Tahoma" w:cs="Tahoma"/>
        </w:rPr>
        <w:t>4</w:t>
      </w:r>
      <w:r w:rsidR="00E75BE4" w:rsidRPr="00322315">
        <w:rPr>
          <w:rFonts w:ascii="Tahoma" w:hAnsi="Tahoma" w:cs="Tahoma"/>
        </w:rPr>
        <w:t xml:space="preserve"> de </w:t>
      </w:r>
      <w:r w:rsidR="00324253" w:rsidRPr="00322315">
        <w:rPr>
          <w:rFonts w:ascii="Tahoma" w:hAnsi="Tahoma" w:cs="Tahoma"/>
        </w:rPr>
        <w:t>mayo</w:t>
      </w:r>
      <w:r w:rsidR="00E75BE4" w:rsidRPr="00322315">
        <w:rPr>
          <w:rFonts w:ascii="Tahoma" w:hAnsi="Tahoma" w:cs="Tahoma"/>
        </w:rPr>
        <w:t xml:space="preserve"> de 202</w:t>
      </w:r>
      <w:r w:rsidR="00324253" w:rsidRPr="00322315">
        <w:rPr>
          <w:rFonts w:ascii="Tahoma" w:hAnsi="Tahoma" w:cs="Tahoma"/>
        </w:rPr>
        <w:t>2</w:t>
      </w:r>
      <w:r w:rsidR="00E75BE4" w:rsidRPr="00322315">
        <w:rPr>
          <w:rFonts w:ascii="Tahoma" w:hAnsi="Tahoma" w:cs="Tahoma"/>
        </w:rPr>
        <w:t xml:space="preserve"> por el Juzgado Tercero Laboral del Circuito de Pereira</w:t>
      </w:r>
      <w:r w:rsidRPr="00322315">
        <w:rPr>
          <w:rFonts w:ascii="Tahoma" w:hAnsi="Tahoma" w:cs="Tahoma"/>
        </w:rPr>
        <w:t xml:space="preserve">. </w:t>
      </w:r>
      <w:r w:rsidRPr="00322315">
        <w:rPr>
          <w:rStyle w:val="normaltextrun"/>
          <w:rFonts w:ascii="Tahoma" w:hAnsi="Tahoma" w:cs="Tahoma"/>
        </w:rPr>
        <w:t>Para ello se tiene en cuenta lo siguiente: </w:t>
      </w:r>
    </w:p>
    <w:p w14:paraId="614DD6DA" w14:textId="24D1F170" w:rsidR="00CC3B17" w:rsidRDefault="00CC3B17" w:rsidP="00322315">
      <w:pPr>
        <w:tabs>
          <w:tab w:val="left" w:pos="3345"/>
        </w:tabs>
        <w:spacing w:before="0" w:beforeAutospacing="0" w:after="0" w:afterAutospacing="0" w:line="276" w:lineRule="auto"/>
        <w:ind w:firstLine="0"/>
        <w:rPr>
          <w:rFonts w:ascii="Tahoma" w:hAnsi="Tahoma" w:cs="Tahoma"/>
        </w:rPr>
      </w:pPr>
    </w:p>
    <w:p w14:paraId="25281AEC" w14:textId="77777777" w:rsidR="008D71DA" w:rsidRPr="00322315" w:rsidRDefault="008D71DA" w:rsidP="00322315">
      <w:pPr>
        <w:tabs>
          <w:tab w:val="left" w:pos="3345"/>
        </w:tabs>
        <w:spacing w:before="0" w:beforeAutospacing="0" w:after="0" w:afterAutospacing="0" w:line="276" w:lineRule="auto"/>
        <w:ind w:firstLine="0"/>
        <w:rPr>
          <w:rFonts w:ascii="Tahoma" w:hAnsi="Tahoma" w:cs="Tahoma"/>
        </w:rPr>
      </w:pPr>
    </w:p>
    <w:p w14:paraId="40C2E441" w14:textId="706C9BD8" w:rsidR="00415842" w:rsidRPr="00322315" w:rsidRDefault="00C640E3" w:rsidP="00322315">
      <w:pPr>
        <w:pStyle w:val="Prrafodelista"/>
        <w:numPr>
          <w:ilvl w:val="0"/>
          <w:numId w:val="1"/>
        </w:numPr>
        <w:spacing w:line="276" w:lineRule="auto"/>
        <w:ind w:left="426" w:hanging="426"/>
        <w:jc w:val="center"/>
        <w:rPr>
          <w:rStyle w:val="normaltextrun"/>
          <w:rFonts w:cs="Tahoma"/>
          <w:b/>
          <w:bCs/>
          <w:szCs w:val="24"/>
        </w:rPr>
      </w:pPr>
      <w:r w:rsidRPr="00322315">
        <w:rPr>
          <w:rFonts w:cs="Tahoma"/>
          <w:b/>
          <w:bCs/>
          <w:szCs w:val="24"/>
        </w:rPr>
        <w:t xml:space="preserve">La </w:t>
      </w:r>
      <w:r w:rsidR="00415842" w:rsidRPr="00322315">
        <w:rPr>
          <w:rFonts w:cs="Tahoma"/>
          <w:b/>
          <w:bCs/>
          <w:szCs w:val="24"/>
        </w:rPr>
        <w:t xml:space="preserve">Demanda y </w:t>
      </w:r>
      <w:r w:rsidRPr="00322315">
        <w:rPr>
          <w:rFonts w:cs="Tahoma"/>
          <w:b/>
          <w:bCs/>
          <w:szCs w:val="24"/>
        </w:rPr>
        <w:t>la</w:t>
      </w:r>
      <w:r w:rsidR="00415842" w:rsidRPr="00322315">
        <w:rPr>
          <w:rFonts w:cs="Tahoma"/>
          <w:b/>
          <w:bCs/>
          <w:szCs w:val="24"/>
        </w:rPr>
        <w:t xml:space="preserve"> contestación</w:t>
      </w:r>
      <w:r w:rsidRPr="00322315">
        <w:rPr>
          <w:rFonts w:cs="Tahoma"/>
          <w:b/>
          <w:bCs/>
          <w:szCs w:val="24"/>
        </w:rPr>
        <w:t xml:space="preserve"> de la demanda</w:t>
      </w:r>
    </w:p>
    <w:p w14:paraId="417070AC" w14:textId="77777777" w:rsidR="00647E83" w:rsidRPr="00322315" w:rsidRDefault="00647E83" w:rsidP="00322315">
      <w:pPr>
        <w:spacing w:before="0" w:beforeAutospacing="0" w:after="0" w:afterAutospacing="0" w:line="276" w:lineRule="auto"/>
        <w:ind w:firstLine="708"/>
        <w:contextualSpacing/>
        <w:rPr>
          <w:rFonts w:ascii="Tahoma" w:eastAsia="Calibri" w:hAnsi="Tahoma" w:cs="Tahoma"/>
        </w:rPr>
      </w:pPr>
    </w:p>
    <w:p w14:paraId="4E8446E6" w14:textId="09CB0DF9" w:rsidR="00721BFD" w:rsidRPr="00322315" w:rsidRDefault="00FD6841" w:rsidP="00322315">
      <w:pPr>
        <w:spacing w:before="0" w:beforeAutospacing="0" w:after="0" w:afterAutospacing="0" w:line="276" w:lineRule="auto"/>
        <w:rPr>
          <w:rFonts w:ascii="Tahoma" w:eastAsia="Times New Roman" w:hAnsi="Tahoma" w:cs="Tahoma"/>
          <w:lang w:eastAsia="es-MX"/>
        </w:rPr>
      </w:pPr>
      <w:r w:rsidRPr="00322315">
        <w:rPr>
          <w:rFonts w:ascii="Tahoma" w:eastAsia="Times New Roman" w:hAnsi="Tahoma" w:cs="Tahoma"/>
          <w:lang w:val="es-ES" w:eastAsia="es-MX"/>
        </w:rPr>
        <w:t xml:space="preserve">Pretende la promotora del litigio que se declare </w:t>
      </w:r>
      <w:r w:rsidR="006C00B2" w:rsidRPr="00322315">
        <w:rPr>
          <w:rFonts w:ascii="Tahoma" w:eastAsia="Times New Roman" w:hAnsi="Tahoma" w:cs="Tahoma"/>
          <w:lang w:val="es-ES" w:eastAsia="es-MX"/>
        </w:rPr>
        <w:t>la nulidad de</w:t>
      </w:r>
      <w:r w:rsidR="003B2DE4" w:rsidRPr="00322315">
        <w:rPr>
          <w:rFonts w:ascii="Tahoma" w:eastAsia="Times New Roman" w:hAnsi="Tahoma" w:cs="Tahoma"/>
          <w:lang w:val="es-ES" w:eastAsia="es-MX"/>
        </w:rPr>
        <w:t xml:space="preserve">l traslado </w:t>
      </w:r>
      <w:r w:rsidR="006C00B2" w:rsidRPr="00322315">
        <w:rPr>
          <w:rFonts w:ascii="Tahoma" w:eastAsia="Times New Roman" w:hAnsi="Tahoma" w:cs="Tahoma"/>
          <w:lang w:val="es-ES" w:eastAsia="es-MX"/>
        </w:rPr>
        <w:t>del régimen de prima media con prestación definida (en adelante RPM) al régimen de ahorro individual con solidaridad (en adelante RAIS)</w:t>
      </w:r>
      <w:r w:rsidR="00211C42" w:rsidRPr="00322315">
        <w:rPr>
          <w:rFonts w:ascii="Tahoma" w:eastAsia="Times New Roman" w:hAnsi="Tahoma" w:cs="Tahoma"/>
          <w:lang w:val="es-ES" w:eastAsia="es-MX"/>
        </w:rPr>
        <w:t>,</w:t>
      </w:r>
      <w:r w:rsidR="00367B8E" w:rsidRPr="00322315">
        <w:rPr>
          <w:rFonts w:ascii="Tahoma" w:eastAsia="Times New Roman" w:hAnsi="Tahoma" w:cs="Tahoma"/>
          <w:lang w:val="es-ES" w:eastAsia="es-MX"/>
        </w:rPr>
        <w:t xml:space="preserve"> </w:t>
      </w:r>
      <w:r w:rsidR="00EA43DA" w:rsidRPr="00322315">
        <w:rPr>
          <w:rFonts w:ascii="Tahoma" w:eastAsia="Times New Roman" w:hAnsi="Tahoma" w:cs="Tahoma"/>
          <w:lang w:val="es-ES" w:eastAsia="es-MX"/>
        </w:rPr>
        <w:t xml:space="preserve">y en </w:t>
      </w:r>
      <w:r w:rsidR="00721BFD" w:rsidRPr="00322315">
        <w:rPr>
          <w:rFonts w:ascii="Tahoma" w:eastAsia="Times New Roman" w:hAnsi="Tahoma" w:cs="Tahoma"/>
          <w:lang w:val="es-ES" w:eastAsia="es-MX"/>
        </w:rPr>
        <w:t>consecuencia</w:t>
      </w:r>
      <w:r w:rsidR="00EA43DA" w:rsidRPr="00322315">
        <w:rPr>
          <w:rFonts w:ascii="Tahoma" w:eastAsia="Times New Roman" w:hAnsi="Tahoma" w:cs="Tahoma"/>
          <w:lang w:val="es-ES" w:eastAsia="es-MX"/>
        </w:rPr>
        <w:t xml:space="preserve"> se conden</w:t>
      </w:r>
      <w:r w:rsidR="00C640E3" w:rsidRPr="00322315">
        <w:rPr>
          <w:rFonts w:ascii="Tahoma" w:eastAsia="Times New Roman" w:hAnsi="Tahoma" w:cs="Tahoma"/>
          <w:lang w:val="es-ES" w:eastAsia="es-MX"/>
        </w:rPr>
        <w:t>e</w:t>
      </w:r>
      <w:r w:rsidR="00EA43DA" w:rsidRPr="00322315">
        <w:rPr>
          <w:rFonts w:ascii="Tahoma" w:eastAsia="Times New Roman" w:hAnsi="Tahoma" w:cs="Tahoma"/>
          <w:lang w:val="es-ES" w:eastAsia="es-MX"/>
        </w:rPr>
        <w:t xml:space="preserve"> a la </w:t>
      </w:r>
      <w:r w:rsidR="00721BFD" w:rsidRPr="00322315">
        <w:rPr>
          <w:rFonts w:ascii="Tahoma" w:eastAsia="Times New Roman" w:hAnsi="Tahoma" w:cs="Tahoma"/>
          <w:caps/>
          <w:lang w:eastAsia="es-MX"/>
        </w:rPr>
        <w:t>Administradora de Fondos de Pensiones y Cesantías – Porvenir S.A.-</w:t>
      </w:r>
      <w:r w:rsidR="00C640E3" w:rsidRPr="00322315">
        <w:rPr>
          <w:rFonts w:ascii="Tahoma" w:eastAsia="Times New Roman" w:hAnsi="Tahoma" w:cs="Tahoma"/>
          <w:caps/>
          <w:lang w:eastAsia="es-MX"/>
        </w:rPr>
        <w:t xml:space="preserve"> </w:t>
      </w:r>
      <w:r w:rsidR="00C640E3" w:rsidRPr="00322315">
        <w:rPr>
          <w:rFonts w:ascii="Tahoma" w:eastAsia="Times New Roman" w:hAnsi="Tahoma" w:cs="Tahoma"/>
          <w:lang w:eastAsia="es-MX"/>
        </w:rPr>
        <w:t>a</w:t>
      </w:r>
      <w:r w:rsidR="00C640E3" w:rsidRPr="00322315">
        <w:rPr>
          <w:rFonts w:ascii="Tahoma" w:eastAsia="Times New Roman" w:hAnsi="Tahoma" w:cs="Tahoma"/>
          <w:caps/>
          <w:lang w:eastAsia="es-MX"/>
        </w:rPr>
        <w:t xml:space="preserve"> </w:t>
      </w:r>
      <w:r w:rsidR="00721BFD" w:rsidRPr="00322315">
        <w:rPr>
          <w:rFonts w:ascii="Tahoma" w:eastAsia="Times New Roman" w:hAnsi="Tahoma" w:cs="Tahoma"/>
          <w:lang w:eastAsia="es-MX"/>
        </w:rPr>
        <w:t xml:space="preserve">restituir a favor de la Administradora del RPM todos los aportes y </w:t>
      </w:r>
      <w:r w:rsidR="00F2204A" w:rsidRPr="00322315">
        <w:rPr>
          <w:rFonts w:ascii="Tahoma" w:eastAsia="Times New Roman" w:hAnsi="Tahoma" w:cs="Tahoma"/>
          <w:lang w:eastAsia="es-MX"/>
        </w:rPr>
        <w:t>rendimientos</w:t>
      </w:r>
      <w:r w:rsidR="00721BFD" w:rsidRPr="00322315">
        <w:rPr>
          <w:rFonts w:ascii="Tahoma" w:eastAsia="Times New Roman" w:hAnsi="Tahoma" w:cs="Tahoma"/>
          <w:lang w:eastAsia="es-MX"/>
        </w:rPr>
        <w:t xml:space="preserve"> </w:t>
      </w:r>
      <w:r w:rsidR="00F2204A" w:rsidRPr="00322315">
        <w:rPr>
          <w:rFonts w:ascii="Tahoma" w:eastAsia="Times New Roman" w:hAnsi="Tahoma" w:cs="Tahoma"/>
          <w:lang w:eastAsia="es-MX"/>
        </w:rPr>
        <w:t xml:space="preserve">financieros, sin descuento o retención alguna por concepto de administración, seguro previsional o garantía de pensión mínima, lo que se demuestre bajo las facultades </w:t>
      </w:r>
      <w:r w:rsidR="00F2204A" w:rsidRPr="00322315">
        <w:rPr>
          <w:rFonts w:ascii="Tahoma" w:eastAsia="Times New Roman" w:hAnsi="Tahoma" w:cs="Tahoma"/>
          <w:i/>
          <w:lang w:eastAsia="es-MX"/>
        </w:rPr>
        <w:t>ultra</w:t>
      </w:r>
      <w:r w:rsidR="00F2204A" w:rsidRPr="00322315">
        <w:rPr>
          <w:rFonts w:ascii="Tahoma" w:eastAsia="Times New Roman" w:hAnsi="Tahoma" w:cs="Tahoma"/>
          <w:lang w:eastAsia="es-MX"/>
        </w:rPr>
        <w:t xml:space="preserve"> y </w:t>
      </w:r>
      <w:r w:rsidR="00F2204A" w:rsidRPr="00322315">
        <w:rPr>
          <w:rFonts w:ascii="Tahoma" w:eastAsia="Times New Roman" w:hAnsi="Tahoma" w:cs="Tahoma"/>
          <w:i/>
          <w:lang w:eastAsia="es-MX"/>
        </w:rPr>
        <w:t>extra petita</w:t>
      </w:r>
      <w:r w:rsidR="00F2204A" w:rsidRPr="00322315">
        <w:rPr>
          <w:rFonts w:ascii="Tahoma" w:eastAsia="Times New Roman" w:hAnsi="Tahoma" w:cs="Tahoma"/>
          <w:lang w:eastAsia="es-MX"/>
        </w:rPr>
        <w:t xml:space="preserve"> y las costas </w:t>
      </w:r>
      <w:r w:rsidR="00B76768" w:rsidRPr="00322315">
        <w:rPr>
          <w:rFonts w:ascii="Tahoma" w:eastAsia="Times New Roman" w:hAnsi="Tahoma" w:cs="Tahoma"/>
          <w:lang w:eastAsia="es-MX"/>
        </w:rPr>
        <w:t>procesales en su favor.</w:t>
      </w:r>
    </w:p>
    <w:p w14:paraId="0B2055D5" w14:textId="77777777" w:rsidR="006C00B2" w:rsidRPr="00322315" w:rsidRDefault="006C00B2" w:rsidP="00322315">
      <w:pPr>
        <w:spacing w:before="0" w:beforeAutospacing="0" w:after="0" w:afterAutospacing="0" w:line="276" w:lineRule="auto"/>
        <w:ind w:firstLine="0"/>
        <w:rPr>
          <w:rFonts w:ascii="Tahoma" w:eastAsia="Times New Roman" w:hAnsi="Tahoma" w:cs="Tahoma"/>
          <w:lang w:val="es-ES" w:eastAsia="es-MX"/>
        </w:rPr>
      </w:pPr>
    </w:p>
    <w:p w14:paraId="102B2C15" w14:textId="347AD282" w:rsidR="00B76768" w:rsidRPr="00322315" w:rsidRDefault="006C00B2" w:rsidP="00322315">
      <w:pPr>
        <w:spacing w:before="0" w:beforeAutospacing="0" w:after="0" w:afterAutospacing="0" w:line="276" w:lineRule="auto"/>
        <w:ind w:firstLine="708"/>
        <w:rPr>
          <w:rFonts w:ascii="Tahoma" w:eastAsia="Times New Roman" w:hAnsi="Tahoma" w:cs="Tahoma"/>
          <w:lang w:val="es-ES" w:eastAsia="es-MX"/>
        </w:rPr>
      </w:pPr>
      <w:r w:rsidRPr="00322315">
        <w:rPr>
          <w:rFonts w:ascii="Tahoma" w:eastAsia="Times New Roman" w:hAnsi="Tahoma" w:cs="Tahoma"/>
          <w:lang w:val="es-ES" w:eastAsia="es-MX"/>
        </w:rPr>
        <w:t xml:space="preserve">En sustento de lo pretendido, relata que </w:t>
      </w:r>
      <w:r w:rsidR="00B76768" w:rsidRPr="00322315">
        <w:rPr>
          <w:rFonts w:ascii="Tahoma" w:eastAsia="Times New Roman" w:hAnsi="Tahoma" w:cs="Tahoma"/>
          <w:lang w:val="es-ES" w:eastAsia="es-MX"/>
        </w:rPr>
        <w:t xml:space="preserve">prestó sus servicios a entidades o empleadores que le realizaron aportes al </w:t>
      </w:r>
      <w:r w:rsidR="00BA1564" w:rsidRPr="00322315">
        <w:rPr>
          <w:rFonts w:ascii="Tahoma" w:eastAsia="Times New Roman" w:hAnsi="Tahoma" w:cs="Tahoma"/>
          <w:lang w:val="es-ES" w:eastAsia="es-MX"/>
        </w:rPr>
        <w:t xml:space="preserve">extinto </w:t>
      </w:r>
      <w:r w:rsidR="008F4552" w:rsidRPr="00322315">
        <w:rPr>
          <w:rFonts w:ascii="Tahoma" w:eastAsia="Times New Roman" w:hAnsi="Tahoma" w:cs="Tahoma"/>
          <w:lang w:val="es-ES" w:eastAsia="es-MX"/>
        </w:rPr>
        <w:t>I</w:t>
      </w:r>
      <w:r w:rsidR="00BA1564" w:rsidRPr="00322315">
        <w:rPr>
          <w:rFonts w:ascii="Tahoma" w:eastAsia="Times New Roman" w:hAnsi="Tahoma" w:cs="Tahoma"/>
          <w:lang w:val="es-ES" w:eastAsia="es-MX"/>
        </w:rPr>
        <w:t xml:space="preserve">nstituto de </w:t>
      </w:r>
      <w:r w:rsidR="008F4552" w:rsidRPr="00322315">
        <w:rPr>
          <w:rFonts w:ascii="Tahoma" w:eastAsia="Times New Roman" w:hAnsi="Tahoma" w:cs="Tahoma"/>
          <w:lang w:val="es-ES" w:eastAsia="es-MX"/>
        </w:rPr>
        <w:t>S</w:t>
      </w:r>
      <w:r w:rsidR="00BA1564" w:rsidRPr="00322315">
        <w:rPr>
          <w:rFonts w:ascii="Tahoma" w:eastAsia="Times New Roman" w:hAnsi="Tahoma" w:cs="Tahoma"/>
          <w:lang w:val="es-ES" w:eastAsia="es-MX"/>
        </w:rPr>
        <w:t xml:space="preserve">eguros </w:t>
      </w:r>
      <w:r w:rsidR="008F4552" w:rsidRPr="00322315">
        <w:rPr>
          <w:rFonts w:ascii="Tahoma" w:eastAsia="Times New Roman" w:hAnsi="Tahoma" w:cs="Tahoma"/>
          <w:lang w:val="es-ES" w:eastAsia="es-MX"/>
        </w:rPr>
        <w:t>S</w:t>
      </w:r>
      <w:r w:rsidR="00BA1564" w:rsidRPr="00322315">
        <w:rPr>
          <w:rFonts w:ascii="Tahoma" w:eastAsia="Times New Roman" w:hAnsi="Tahoma" w:cs="Tahoma"/>
          <w:lang w:val="es-ES" w:eastAsia="es-MX"/>
        </w:rPr>
        <w:t>ociales y con posterioridad a Porvenir S.A</w:t>
      </w:r>
      <w:r w:rsidR="0011418D" w:rsidRPr="00322315">
        <w:rPr>
          <w:rFonts w:ascii="Tahoma" w:eastAsia="Times New Roman" w:hAnsi="Tahoma" w:cs="Tahoma"/>
          <w:lang w:val="es-ES" w:eastAsia="es-MX"/>
        </w:rPr>
        <w:t>.,</w:t>
      </w:r>
      <w:r w:rsidR="00BA1564" w:rsidRPr="00322315">
        <w:rPr>
          <w:rFonts w:ascii="Tahoma" w:eastAsia="Times New Roman" w:hAnsi="Tahoma" w:cs="Tahoma"/>
          <w:lang w:val="es-ES" w:eastAsia="es-MX"/>
        </w:rPr>
        <w:t xml:space="preserve"> </w:t>
      </w:r>
      <w:r w:rsidR="008F4552" w:rsidRPr="00322315">
        <w:rPr>
          <w:rFonts w:ascii="Tahoma" w:eastAsia="Times New Roman" w:hAnsi="Tahoma" w:cs="Tahoma"/>
          <w:lang w:val="es-ES" w:eastAsia="es-MX"/>
        </w:rPr>
        <w:t xml:space="preserve">producto </w:t>
      </w:r>
      <w:r w:rsidR="00BA1564" w:rsidRPr="00322315">
        <w:rPr>
          <w:rFonts w:ascii="Tahoma" w:eastAsia="Times New Roman" w:hAnsi="Tahoma" w:cs="Tahoma"/>
          <w:lang w:val="es-ES" w:eastAsia="es-MX"/>
        </w:rPr>
        <w:t xml:space="preserve">del traslado de régimen </w:t>
      </w:r>
      <w:r w:rsidR="002A6D8C" w:rsidRPr="00322315">
        <w:rPr>
          <w:rFonts w:ascii="Tahoma" w:eastAsia="Times New Roman" w:hAnsi="Tahoma" w:cs="Tahoma"/>
          <w:lang w:val="es-ES" w:eastAsia="es-MX"/>
        </w:rPr>
        <w:t>que efectuó el 13 de marzo del 2000</w:t>
      </w:r>
      <w:r w:rsidR="0011418D" w:rsidRPr="00322315">
        <w:rPr>
          <w:rFonts w:ascii="Tahoma" w:eastAsia="Times New Roman" w:hAnsi="Tahoma" w:cs="Tahoma"/>
          <w:lang w:val="es-ES" w:eastAsia="es-MX"/>
        </w:rPr>
        <w:t>,</w:t>
      </w:r>
      <w:r w:rsidR="003015EF" w:rsidRPr="00322315">
        <w:rPr>
          <w:rFonts w:ascii="Tahoma" w:eastAsia="Times New Roman" w:hAnsi="Tahoma" w:cs="Tahoma"/>
          <w:lang w:val="es-ES" w:eastAsia="es-MX"/>
        </w:rPr>
        <w:t xml:space="preserve"> </w:t>
      </w:r>
      <w:r w:rsidR="00895894" w:rsidRPr="00322315">
        <w:rPr>
          <w:rFonts w:ascii="Tahoma" w:eastAsia="Times New Roman" w:hAnsi="Tahoma" w:cs="Tahoma"/>
          <w:lang w:val="es-ES" w:eastAsia="es-MX"/>
        </w:rPr>
        <w:t xml:space="preserve">debido a que el asesor le aseguró que </w:t>
      </w:r>
      <w:r w:rsidR="003015EF" w:rsidRPr="00322315">
        <w:rPr>
          <w:rFonts w:ascii="Tahoma" w:eastAsia="Times New Roman" w:hAnsi="Tahoma" w:cs="Tahoma"/>
          <w:lang w:val="es-ES" w:eastAsia="es-MX"/>
        </w:rPr>
        <w:t>de trasladarse obtendría una</w:t>
      </w:r>
      <w:r w:rsidR="00FD0F2E" w:rsidRPr="00322315">
        <w:rPr>
          <w:rFonts w:ascii="Tahoma" w:eastAsia="Times New Roman" w:hAnsi="Tahoma" w:cs="Tahoma"/>
          <w:lang w:val="es-ES" w:eastAsia="es-MX"/>
        </w:rPr>
        <w:t xml:space="preserve"> mejor pensión de vejez, </w:t>
      </w:r>
      <w:r w:rsidR="00A3647A" w:rsidRPr="00322315">
        <w:rPr>
          <w:rFonts w:ascii="Tahoma" w:eastAsia="Times New Roman" w:hAnsi="Tahoma" w:cs="Tahoma"/>
          <w:lang w:val="es-ES" w:eastAsia="es-MX"/>
        </w:rPr>
        <w:t xml:space="preserve">sin manifestarle las consecuencias o perjuicios que acarreaba el traslado. </w:t>
      </w:r>
      <w:r w:rsidR="00B469DC" w:rsidRPr="00322315">
        <w:rPr>
          <w:rFonts w:ascii="Tahoma" w:eastAsia="Times New Roman" w:hAnsi="Tahoma" w:cs="Tahoma"/>
          <w:lang w:val="es-ES" w:eastAsia="es-MX"/>
        </w:rPr>
        <w:t xml:space="preserve">Agrega que el 28 de julio de 2020 solicitó a la AFP demandada declarar ineficaz el traslado </w:t>
      </w:r>
      <w:r w:rsidR="0011418D" w:rsidRPr="00322315">
        <w:rPr>
          <w:rFonts w:ascii="Tahoma" w:eastAsia="Times New Roman" w:hAnsi="Tahoma" w:cs="Tahoma"/>
          <w:lang w:val="es-ES" w:eastAsia="es-MX"/>
        </w:rPr>
        <w:t>e igual</w:t>
      </w:r>
      <w:r w:rsidR="00B469DC" w:rsidRPr="00322315">
        <w:rPr>
          <w:rFonts w:ascii="Tahoma" w:eastAsia="Times New Roman" w:hAnsi="Tahoma" w:cs="Tahoma"/>
          <w:lang w:val="es-ES" w:eastAsia="es-MX"/>
        </w:rPr>
        <w:t xml:space="preserve"> </w:t>
      </w:r>
      <w:r w:rsidR="0077100F" w:rsidRPr="00322315">
        <w:rPr>
          <w:rFonts w:ascii="Tahoma" w:eastAsia="Times New Roman" w:hAnsi="Tahoma" w:cs="Tahoma"/>
          <w:lang w:val="es-ES" w:eastAsia="es-MX"/>
        </w:rPr>
        <w:t>petición elevó a Colpensiones el 1 de septiembre de 2020</w:t>
      </w:r>
      <w:r w:rsidR="0011418D" w:rsidRPr="00322315">
        <w:rPr>
          <w:rFonts w:ascii="Tahoma" w:eastAsia="Times New Roman" w:hAnsi="Tahoma" w:cs="Tahoma"/>
          <w:lang w:val="es-ES" w:eastAsia="es-MX"/>
        </w:rPr>
        <w:t>,</w:t>
      </w:r>
      <w:r w:rsidR="0077100F" w:rsidRPr="00322315">
        <w:rPr>
          <w:rFonts w:ascii="Tahoma" w:eastAsia="Times New Roman" w:hAnsi="Tahoma" w:cs="Tahoma"/>
          <w:lang w:val="es-ES" w:eastAsia="es-MX"/>
        </w:rPr>
        <w:t xml:space="preserve"> siendo despachadas desfavorablemente ambas s</w:t>
      </w:r>
      <w:r w:rsidR="00C640E3" w:rsidRPr="00322315">
        <w:rPr>
          <w:rFonts w:ascii="Tahoma" w:eastAsia="Times New Roman" w:hAnsi="Tahoma" w:cs="Tahoma"/>
          <w:lang w:val="es-ES" w:eastAsia="es-MX"/>
        </w:rPr>
        <w:t>ú</w:t>
      </w:r>
      <w:r w:rsidR="0077100F" w:rsidRPr="00322315">
        <w:rPr>
          <w:rFonts w:ascii="Tahoma" w:eastAsia="Times New Roman" w:hAnsi="Tahoma" w:cs="Tahoma"/>
          <w:lang w:val="es-ES" w:eastAsia="es-MX"/>
        </w:rPr>
        <w:t xml:space="preserve">plicas. </w:t>
      </w:r>
    </w:p>
    <w:p w14:paraId="7A872F8D" w14:textId="77777777" w:rsidR="006C00B2" w:rsidRPr="00322315" w:rsidRDefault="006C00B2" w:rsidP="00322315">
      <w:pPr>
        <w:spacing w:before="0" w:beforeAutospacing="0" w:after="0" w:afterAutospacing="0" w:line="276" w:lineRule="auto"/>
        <w:ind w:firstLine="0"/>
        <w:rPr>
          <w:rFonts w:ascii="Tahoma" w:eastAsia="Times New Roman" w:hAnsi="Tahoma" w:cs="Tahoma"/>
          <w:lang w:val="es-ES" w:eastAsia="es-MX"/>
        </w:rPr>
      </w:pPr>
    </w:p>
    <w:p w14:paraId="10289C8A" w14:textId="0CBAD174" w:rsidR="000B269B" w:rsidRPr="00322315" w:rsidRDefault="003D5DB0" w:rsidP="00322315">
      <w:pPr>
        <w:spacing w:before="0" w:beforeAutospacing="0" w:after="0" w:afterAutospacing="0" w:line="276" w:lineRule="auto"/>
        <w:ind w:firstLine="708"/>
        <w:rPr>
          <w:rFonts w:ascii="Tahoma" w:eastAsia="Times New Roman" w:hAnsi="Tahoma" w:cs="Tahoma"/>
          <w:lang w:val="es-ES" w:eastAsia="es-MX"/>
        </w:rPr>
      </w:pPr>
      <w:r w:rsidRPr="00322315">
        <w:rPr>
          <w:rFonts w:ascii="Tahoma" w:eastAsia="Times New Roman" w:hAnsi="Tahoma" w:cs="Tahoma"/>
          <w:bCs/>
          <w:lang w:val="es-ES" w:eastAsia="es-MX"/>
        </w:rPr>
        <w:t>La</w:t>
      </w:r>
      <w:r w:rsidRPr="00322315">
        <w:rPr>
          <w:rFonts w:ascii="Tahoma" w:eastAsia="Times New Roman" w:hAnsi="Tahoma" w:cs="Tahoma"/>
          <w:b/>
          <w:lang w:val="es-ES" w:eastAsia="es-MX"/>
        </w:rPr>
        <w:t xml:space="preserve"> Administradora Colombiana de Pensiones -</w:t>
      </w:r>
      <w:r w:rsidR="006C00B2" w:rsidRPr="00322315">
        <w:rPr>
          <w:rFonts w:ascii="Tahoma" w:eastAsia="Times New Roman" w:hAnsi="Tahoma" w:cs="Tahoma"/>
          <w:b/>
          <w:lang w:val="es-ES" w:eastAsia="es-MX"/>
        </w:rPr>
        <w:t>Colpensiones</w:t>
      </w:r>
      <w:r w:rsidRPr="00322315">
        <w:rPr>
          <w:rFonts w:ascii="Tahoma" w:eastAsia="Times New Roman" w:hAnsi="Tahoma" w:cs="Tahoma"/>
          <w:b/>
          <w:lang w:val="es-ES" w:eastAsia="es-MX"/>
        </w:rPr>
        <w:t>-</w:t>
      </w:r>
      <w:r w:rsidR="006C00B2" w:rsidRPr="00322315">
        <w:rPr>
          <w:rFonts w:ascii="Tahoma" w:eastAsia="Times New Roman" w:hAnsi="Tahoma" w:cs="Tahoma"/>
          <w:lang w:val="es-ES" w:eastAsia="es-MX"/>
        </w:rPr>
        <w:t xml:space="preserve"> </w:t>
      </w:r>
      <w:r w:rsidR="00873435" w:rsidRPr="00322315">
        <w:rPr>
          <w:rFonts w:ascii="Tahoma" w:eastAsia="Times New Roman" w:hAnsi="Tahoma" w:cs="Tahoma"/>
          <w:lang w:val="es-ES" w:eastAsia="es-MX"/>
        </w:rPr>
        <w:t xml:space="preserve">en respuesta a la demanda se opuso a la prosperidad de las pretensiones, argumentando </w:t>
      </w:r>
      <w:r w:rsidR="00873435" w:rsidRPr="00322315">
        <w:rPr>
          <w:rFonts w:ascii="Tahoma" w:eastAsia="Times New Roman" w:hAnsi="Tahoma" w:cs="Tahoma"/>
          <w:lang w:val="es-ES" w:eastAsia="es-MX"/>
        </w:rPr>
        <w:lastRenderedPageBreak/>
        <w:t xml:space="preserve">que la afiliación de la demandante al RAIS tiene plenos efectos jurídicos, </w:t>
      </w:r>
      <w:r w:rsidR="00B5151E" w:rsidRPr="00322315">
        <w:rPr>
          <w:rFonts w:ascii="Tahoma" w:eastAsia="Times New Roman" w:hAnsi="Tahoma" w:cs="Tahoma"/>
          <w:lang w:val="es-ES" w:eastAsia="es-MX"/>
        </w:rPr>
        <w:t>y despach</w:t>
      </w:r>
      <w:r w:rsidR="00126DAB" w:rsidRPr="00322315">
        <w:rPr>
          <w:rFonts w:ascii="Tahoma" w:eastAsia="Times New Roman" w:hAnsi="Tahoma" w:cs="Tahoma"/>
          <w:lang w:val="es-ES" w:eastAsia="es-MX"/>
        </w:rPr>
        <w:t xml:space="preserve">ó </w:t>
      </w:r>
      <w:r w:rsidR="00BE61AA" w:rsidRPr="00322315">
        <w:rPr>
          <w:rFonts w:ascii="Tahoma" w:eastAsia="Times New Roman" w:hAnsi="Tahoma" w:cs="Tahoma"/>
          <w:lang w:val="es-ES" w:eastAsia="es-MX"/>
        </w:rPr>
        <w:t>desfavorablemente</w:t>
      </w:r>
      <w:r w:rsidR="00126DAB" w:rsidRPr="00322315">
        <w:rPr>
          <w:rFonts w:ascii="Tahoma" w:eastAsia="Times New Roman" w:hAnsi="Tahoma" w:cs="Tahoma"/>
          <w:lang w:val="es-ES" w:eastAsia="es-MX"/>
        </w:rPr>
        <w:t xml:space="preserve"> la suplica de traslado, por cuanto se encuentra incursa en la restricción </w:t>
      </w:r>
      <w:r w:rsidR="00B405F0" w:rsidRPr="00322315">
        <w:rPr>
          <w:rFonts w:ascii="Tahoma" w:eastAsia="Times New Roman" w:hAnsi="Tahoma" w:cs="Tahoma"/>
          <w:lang w:val="es-ES" w:eastAsia="es-MX"/>
        </w:rPr>
        <w:t xml:space="preserve">prevista en el artículo segundo de la </w:t>
      </w:r>
      <w:r w:rsidR="00126DAB" w:rsidRPr="00322315">
        <w:rPr>
          <w:rFonts w:ascii="Tahoma" w:eastAsia="Times New Roman" w:hAnsi="Tahoma" w:cs="Tahoma"/>
          <w:lang w:val="es-ES" w:eastAsia="es-MX"/>
        </w:rPr>
        <w:t>ley 797 de 2009</w:t>
      </w:r>
      <w:r w:rsidR="00BE61AA" w:rsidRPr="00322315">
        <w:rPr>
          <w:rFonts w:ascii="Tahoma" w:eastAsia="Times New Roman" w:hAnsi="Tahoma" w:cs="Tahoma"/>
          <w:lang w:val="es-ES" w:eastAsia="es-MX"/>
        </w:rPr>
        <w:t xml:space="preserve"> debido a que le faltan 10 años o menos para cumplir la edad exigida para adquirir el derecho pensional. </w:t>
      </w:r>
      <w:r w:rsidR="0081474E" w:rsidRPr="00322315">
        <w:rPr>
          <w:rFonts w:ascii="Tahoma" w:eastAsia="Times New Roman" w:hAnsi="Tahoma" w:cs="Tahoma"/>
          <w:lang w:val="es-ES" w:eastAsia="es-MX"/>
        </w:rPr>
        <w:t xml:space="preserve">En ese orden como </w:t>
      </w:r>
      <w:r w:rsidR="00E669F2" w:rsidRPr="00322315">
        <w:rPr>
          <w:rFonts w:ascii="Tahoma" w:eastAsia="Times New Roman" w:hAnsi="Tahoma" w:cs="Tahoma"/>
          <w:lang w:val="es-ES" w:eastAsia="es-MX"/>
        </w:rPr>
        <w:t>medios exceptivos de mérito</w:t>
      </w:r>
      <w:r w:rsidR="0081474E" w:rsidRPr="00322315">
        <w:rPr>
          <w:rFonts w:ascii="Tahoma" w:eastAsia="Times New Roman" w:hAnsi="Tahoma" w:cs="Tahoma"/>
          <w:lang w:val="es-ES" w:eastAsia="es-MX"/>
        </w:rPr>
        <w:t xml:space="preserve"> formuló</w:t>
      </w:r>
      <w:r w:rsidR="00BD5887" w:rsidRPr="00322315">
        <w:rPr>
          <w:rFonts w:ascii="Tahoma" w:eastAsia="Times New Roman" w:hAnsi="Tahoma" w:cs="Tahoma"/>
          <w:lang w:val="es-ES" w:eastAsia="es-MX"/>
        </w:rPr>
        <w:t xml:space="preserve">: </w:t>
      </w:r>
      <w:r w:rsidR="00BD5887" w:rsidRPr="00322315">
        <w:rPr>
          <w:rFonts w:ascii="Tahoma" w:eastAsia="Times New Roman" w:hAnsi="Tahoma" w:cs="Tahoma"/>
          <w:i/>
          <w:iCs/>
          <w:lang w:val="es-ES" w:eastAsia="es-MX"/>
        </w:rPr>
        <w:t>“</w:t>
      </w:r>
      <w:r w:rsidR="0081474E" w:rsidRPr="00322315">
        <w:rPr>
          <w:rFonts w:ascii="Tahoma" w:eastAsia="Times New Roman" w:hAnsi="Tahoma" w:cs="Tahoma"/>
          <w:i/>
          <w:iCs/>
          <w:lang w:val="es-ES" w:eastAsia="es-MX"/>
        </w:rPr>
        <w:t>caducidad”, “</w:t>
      </w:r>
      <w:r w:rsidR="00BD5887" w:rsidRPr="00322315">
        <w:rPr>
          <w:rFonts w:ascii="Tahoma" w:eastAsia="Times New Roman" w:hAnsi="Tahoma" w:cs="Tahoma"/>
          <w:i/>
          <w:iCs/>
          <w:lang w:val="es-ES" w:eastAsia="es-MX"/>
        </w:rPr>
        <w:t>inexistencia de la obligación</w:t>
      </w:r>
      <w:r w:rsidR="0081474E" w:rsidRPr="00322315">
        <w:rPr>
          <w:rFonts w:ascii="Tahoma" w:eastAsia="Times New Roman" w:hAnsi="Tahoma" w:cs="Tahoma"/>
          <w:i/>
          <w:iCs/>
          <w:lang w:val="es-ES" w:eastAsia="es-MX"/>
        </w:rPr>
        <w:t xml:space="preserve">”, </w:t>
      </w:r>
      <w:r w:rsidR="00BD5887" w:rsidRPr="00322315">
        <w:rPr>
          <w:rFonts w:ascii="Tahoma" w:eastAsia="Times New Roman" w:hAnsi="Tahoma" w:cs="Tahoma"/>
          <w:i/>
          <w:iCs/>
          <w:lang w:val="es-ES" w:eastAsia="es-MX"/>
        </w:rPr>
        <w:t>“</w:t>
      </w:r>
      <w:r w:rsidR="0081474E" w:rsidRPr="00322315">
        <w:rPr>
          <w:rFonts w:ascii="Tahoma" w:eastAsia="Times New Roman" w:hAnsi="Tahoma" w:cs="Tahoma"/>
          <w:i/>
          <w:iCs/>
          <w:lang w:val="es-ES" w:eastAsia="es-MX"/>
        </w:rPr>
        <w:t xml:space="preserve">imposibilidad </w:t>
      </w:r>
      <w:r w:rsidR="009A53EF" w:rsidRPr="00322315">
        <w:rPr>
          <w:rFonts w:ascii="Tahoma" w:eastAsia="Times New Roman" w:hAnsi="Tahoma" w:cs="Tahoma"/>
          <w:i/>
          <w:iCs/>
          <w:lang w:val="es-ES" w:eastAsia="es-MX"/>
        </w:rPr>
        <w:t>jurídica</w:t>
      </w:r>
      <w:r w:rsidR="0081474E" w:rsidRPr="00322315">
        <w:rPr>
          <w:rFonts w:ascii="Tahoma" w:eastAsia="Times New Roman" w:hAnsi="Tahoma" w:cs="Tahoma"/>
          <w:i/>
          <w:iCs/>
          <w:lang w:val="es-ES" w:eastAsia="es-MX"/>
        </w:rPr>
        <w:t xml:space="preserve"> para cumplir con las obligaciones pretendidas</w:t>
      </w:r>
      <w:r w:rsidR="00BD5887" w:rsidRPr="00322315">
        <w:rPr>
          <w:rFonts w:ascii="Tahoma" w:eastAsia="Times New Roman" w:hAnsi="Tahoma" w:cs="Tahoma"/>
          <w:i/>
          <w:iCs/>
          <w:lang w:val="es-ES" w:eastAsia="es-MX"/>
        </w:rPr>
        <w:t>”</w:t>
      </w:r>
      <w:r w:rsidR="0081474E" w:rsidRPr="00322315">
        <w:rPr>
          <w:rFonts w:ascii="Tahoma" w:eastAsia="Times New Roman" w:hAnsi="Tahoma" w:cs="Tahoma"/>
          <w:i/>
          <w:iCs/>
          <w:lang w:val="es-ES" w:eastAsia="es-MX"/>
        </w:rPr>
        <w:t xml:space="preserve">, “buena fe”, </w:t>
      </w:r>
      <w:r w:rsidR="009A53EF" w:rsidRPr="00322315">
        <w:rPr>
          <w:rFonts w:ascii="Tahoma" w:eastAsia="Times New Roman" w:hAnsi="Tahoma" w:cs="Tahoma"/>
          <w:i/>
          <w:iCs/>
          <w:lang w:val="es-ES" w:eastAsia="es-MX"/>
        </w:rPr>
        <w:t>“prescripción” y “declarables de oficio”.</w:t>
      </w:r>
    </w:p>
    <w:p w14:paraId="17723503" w14:textId="13686D0A" w:rsidR="005E14A1" w:rsidRPr="00322315" w:rsidRDefault="005E14A1" w:rsidP="00322315">
      <w:pPr>
        <w:spacing w:before="0" w:beforeAutospacing="0" w:after="0" w:afterAutospacing="0" w:line="276" w:lineRule="auto"/>
        <w:ind w:firstLine="708"/>
        <w:rPr>
          <w:rFonts w:ascii="Tahoma" w:eastAsia="Times New Roman" w:hAnsi="Tahoma" w:cs="Tahoma"/>
          <w:i/>
          <w:iCs/>
          <w:lang w:val="es-ES" w:eastAsia="es-MX"/>
        </w:rPr>
      </w:pPr>
    </w:p>
    <w:p w14:paraId="44080D08" w14:textId="0B47C23F" w:rsidR="001E3A51" w:rsidRPr="00322315" w:rsidRDefault="008879E8"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La</w:t>
      </w:r>
      <w:r w:rsidRPr="00322315">
        <w:rPr>
          <w:rFonts w:ascii="Tahoma" w:hAnsi="Tahoma" w:cs="Tahoma"/>
          <w:b/>
          <w:bCs/>
        </w:rPr>
        <w:t xml:space="preserve"> Administradora de Fondos de Pensiones y Cesantías – Porvenir S.A.-</w:t>
      </w:r>
      <w:r w:rsidRPr="00322315">
        <w:rPr>
          <w:rFonts w:ascii="Tahoma" w:hAnsi="Tahoma" w:cs="Tahoma"/>
        </w:rPr>
        <w:t xml:space="preserve"> </w:t>
      </w:r>
      <w:r w:rsidR="00445F55" w:rsidRPr="00322315">
        <w:rPr>
          <w:rFonts w:ascii="Tahoma" w:hAnsi="Tahoma" w:cs="Tahoma"/>
        </w:rPr>
        <w:t>se opuso a todas y cada una de las pretensiones indicando que la información brindada a la actora fue completa, veraz y oportuna</w:t>
      </w:r>
      <w:r w:rsidR="00283C0F" w:rsidRPr="00322315">
        <w:rPr>
          <w:rFonts w:ascii="Tahoma" w:hAnsi="Tahoma" w:cs="Tahoma"/>
        </w:rPr>
        <w:t xml:space="preserve">, que la asesoría se ajustó a los parámetros legales vigentes para la época del traslado, donde no era obligatorio realizar proyecciones financieras, ni tener constancia escrita de las mismas. </w:t>
      </w:r>
      <w:r w:rsidR="0077167A" w:rsidRPr="00322315">
        <w:rPr>
          <w:rFonts w:ascii="Tahoma" w:hAnsi="Tahoma" w:cs="Tahoma"/>
        </w:rPr>
        <w:t xml:space="preserve">Añadió que para el momento de la afiliación las mesadas ofrecidas por el RAIS eran significativamente superiores </w:t>
      </w:r>
      <w:r w:rsidR="00A7384E" w:rsidRPr="00322315">
        <w:rPr>
          <w:rFonts w:ascii="Tahoma" w:hAnsi="Tahoma" w:cs="Tahoma"/>
        </w:rPr>
        <w:t>a las proyectadas en la actualidad, debido a las altas tasas de rentabilidad ofrecidas que de</w:t>
      </w:r>
      <w:r w:rsidR="00910B4C" w:rsidRPr="00322315">
        <w:rPr>
          <w:rFonts w:ascii="Tahoma" w:hAnsi="Tahoma" w:cs="Tahoma"/>
        </w:rPr>
        <w:t xml:space="preserve">penden de la economía nacional e internacional y no de la voluntad de las AFPS. Afirma que la </w:t>
      </w:r>
      <w:r w:rsidR="00732037" w:rsidRPr="00322315">
        <w:rPr>
          <w:rFonts w:ascii="Tahoma" w:hAnsi="Tahoma" w:cs="Tahoma"/>
        </w:rPr>
        <w:t>vinculación se dio de manera libre, espontánea y sin presiones, luego de recibir la respectiva asesoría,</w:t>
      </w:r>
      <w:r w:rsidR="008404A9" w:rsidRPr="00322315">
        <w:rPr>
          <w:rFonts w:ascii="Tahoma" w:hAnsi="Tahoma" w:cs="Tahoma"/>
        </w:rPr>
        <w:t xml:space="preserve"> tal como lo hace constar la </w:t>
      </w:r>
      <w:r w:rsidR="00EC0CAE" w:rsidRPr="00322315">
        <w:rPr>
          <w:rFonts w:ascii="Tahoma" w:hAnsi="Tahoma" w:cs="Tahoma"/>
        </w:rPr>
        <w:t>d</w:t>
      </w:r>
      <w:r w:rsidR="008404A9" w:rsidRPr="00322315">
        <w:rPr>
          <w:rFonts w:ascii="Tahoma" w:hAnsi="Tahoma" w:cs="Tahoma"/>
        </w:rPr>
        <w:t>emandante, al imponer su firma en el formulario de afiliación, por lo que no se produjo ningún vicio en el consentimiento</w:t>
      </w:r>
      <w:r w:rsidR="00410BA1" w:rsidRPr="00322315">
        <w:rPr>
          <w:rFonts w:ascii="Tahoma" w:hAnsi="Tahoma" w:cs="Tahoma"/>
        </w:rPr>
        <w:t>, aunado a que la eventual nulidad que hubiere podido configurarse quedó saneada con el paso del tiempo que en los términos del artículo 1750 del Código Civ</w:t>
      </w:r>
      <w:r w:rsidR="00565DF4" w:rsidRPr="00322315">
        <w:rPr>
          <w:rFonts w:ascii="Tahoma" w:hAnsi="Tahoma" w:cs="Tahoma"/>
        </w:rPr>
        <w:t xml:space="preserve">il y por la ratificación expresa de la voluntad de la demandante al continuar afiliada por más de 21 años. </w:t>
      </w:r>
      <w:r w:rsidR="00586457" w:rsidRPr="00322315">
        <w:rPr>
          <w:rFonts w:ascii="Tahoma" w:hAnsi="Tahoma" w:cs="Tahoma"/>
        </w:rPr>
        <w:t>Insistió al igual que Colpensiones en la imposibilidad del traslado por prohibición expresa de la ley (literal e) del artículo 2 de la Ley 797 de 2003, que modificó el literal e) del artículo 13 de la Ley 100 de 1993)</w:t>
      </w:r>
      <w:r w:rsidR="00EC0CAE" w:rsidRPr="00322315">
        <w:rPr>
          <w:rFonts w:ascii="Tahoma" w:hAnsi="Tahoma" w:cs="Tahoma"/>
        </w:rPr>
        <w:t xml:space="preserve">, y arguyó que el traslado a Colpensiones de los </w:t>
      </w:r>
      <w:r w:rsidR="00815840" w:rsidRPr="00322315">
        <w:rPr>
          <w:rFonts w:ascii="Tahoma" w:hAnsi="Tahoma" w:cs="Tahoma"/>
        </w:rPr>
        <w:t>rendimientos</w:t>
      </w:r>
      <w:r w:rsidR="00EC0CAE" w:rsidRPr="00322315">
        <w:rPr>
          <w:rFonts w:ascii="Tahoma" w:hAnsi="Tahoma" w:cs="Tahoma"/>
        </w:rPr>
        <w:t xml:space="preserve"> generados </w:t>
      </w:r>
      <w:r w:rsidR="00815840" w:rsidRPr="00322315">
        <w:rPr>
          <w:rFonts w:ascii="Tahoma" w:hAnsi="Tahoma" w:cs="Tahoma"/>
        </w:rPr>
        <w:t xml:space="preserve">sin previó descuento de la comisión por administración constituye un enriquecimiento sin causa. </w:t>
      </w:r>
      <w:r w:rsidR="004E4F6D" w:rsidRPr="00322315">
        <w:rPr>
          <w:rFonts w:ascii="Tahoma" w:hAnsi="Tahoma" w:cs="Tahoma"/>
        </w:rPr>
        <w:t xml:space="preserve">Como medios defensivos propuso: </w:t>
      </w:r>
      <w:r w:rsidR="003A4172" w:rsidRPr="00322315">
        <w:rPr>
          <w:rFonts w:ascii="Tahoma" w:hAnsi="Tahoma" w:cs="Tahoma"/>
          <w:i/>
          <w:iCs/>
        </w:rPr>
        <w:t>“validez y eficacia de la afiliación e inexistencia de vicios en el consentimiento”, “saneamiento de la eventual nulidad relativa”, “inexistencia de la obligación de devolver la comisión de administración, en caso de que se declare la nulidad o ineficacia de la afiliación al RAIS”, “</w:t>
      </w:r>
      <w:r w:rsidR="00062E02" w:rsidRPr="00322315">
        <w:rPr>
          <w:rFonts w:ascii="Tahoma" w:hAnsi="Tahoma" w:cs="Tahoma"/>
          <w:i/>
          <w:iCs/>
        </w:rPr>
        <w:t>inexistencia de la obligación de devolver el pago al seguro previsional cuando se declara la nulidad o ineficacia de la afiliación al RAIS”, “prescripción”, “buena fe” e “innominada o genérica”.</w:t>
      </w:r>
    </w:p>
    <w:p w14:paraId="0C6A99A3" w14:textId="0E9DA348" w:rsidR="00CC3B17" w:rsidRDefault="00CC3B17" w:rsidP="00322315">
      <w:pPr>
        <w:spacing w:before="0" w:beforeAutospacing="0" w:after="0" w:afterAutospacing="0" w:line="276" w:lineRule="auto"/>
        <w:ind w:firstLine="0"/>
        <w:rPr>
          <w:rFonts w:ascii="Tahoma" w:eastAsia="Times New Roman" w:hAnsi="Tahoma" w:cs="Tahoma"/>
          <w:i/>
          <w:lang w:val="es-ES" w:eastAsia="es-MX"/>
        </w:rPr>
      </w:pPr>
    </w:p>
    <w:p w14:paraId="508DC8F0" w14:textId="77777777" w:rsidR="008D71DA" w:rsidRPr="00322315" w:rsidRDefault="008D71DA" w:rsidP="00322315">
      <w:pPr>
        <w:spacing w:before="0" w:beforeAutospacing="0" w:after="0" w:afterAutospacing="0" w:line="276" w:lineRule="auto"/>
        <w:ind w:firstLine="0"/>
        <w:rPr>
          <w:rFonts w:ascii="Tahoma" w:eastAsia="Times New Roman" w:hAnsi="Tahoma" w:cs="Tahoma"/>
          <w:i/>
          <w:lang w:val="es-ES" w:eastAsia="es-MX"/>
        </w:rPr>
      </w:pPr>
    </w:p>
    <w:p w14:paraId="0D04922D" w14:textId="77777777" w:rsidR="00DC4FE9" w:rsidRPr="00322315" w:rsidRDefault="00DC4FE9" w:rsidP="00322315">
      <w:pPr>
        <w:pStyle w:val="Prrafodelista"/>
        <w:numPr>
          <w:ilvl w:val="0"/>
          <w:numId w:val="1"/>
        </w:numPr>
        <w:spacing w:line="276" w:lineRule="auto"/>
        <w:ind w:left="426" w:hanging="426"/>
        <w:jc w:val="center"/>
        <w:rPr>
          <w:rFonts w:cs="Tahoma"/>
          <w:b/>
          <w:bCs/>
          <w:szCs w:val="24"/>
        </w:rPr>
      </w:pPr>
      <w:r w:rsidRPr="00322315">
        <w:rPr>
          <w:rFonts w:cs="Tahoma"/>
          <w:b/>
          <w:bCs/>
          <w:szCs w:val="24"/>
        </w:rPr>
        <w:t>Sentencia de primera instancia</w:t>
      </w:r>
    </w:p>
    <w:p w14:paraId="2AA9ED75" w14:textId="77777777" w:rsidR="00740F1C" w:rsidRPr="00322315" w:rsidRDefault="00740F1C" w:rsidP="00322315">
      <w:pPr>
        <w:spacing w:before="0" w:beforeAutospacing="0" w:after="0" w:afterAutospacing="0" w:line="276" w:lineRule="auto"/>
        <w:ind w:firstLine="0"/>
        <w:contextualSpacing/>
        <w:rPr>
          <w:rFonts w:ascii="Tahoma" w:eastAsia="Calibri" w:hAnsi="Tahoma" w:cs="Tahoma"/>
          <w:lang w:val="es-ES"/>
        </w:rPr>
      </w:pPr>
    </w:p>
    <w:p w14:paraId="0EF077BF" w14:textId="1F66BAA4" w:rsidR="00CB33D8" w:rsidRPr="00322315" w:rsidRDefault="00CB33D8" w:rsidP="00322315">
      <w:pPr>
        <w:widowControl w:val="0"/>
        <w:autoSpaceDE w:val="0"/>
        <w:autoSpaceDN w:val="0"/>
        <w:spacing w:before="0" w:beforeAutospacing="0" w:after="0" w:afterAutospacing="0" w:line="276" w:lineRule="auto"/>
        <w:contextualSpacing/>
        <w:rPr>
          <w:rFonts w:ascii="Tahoma" w:eastAsia="Calibri" w:hAnsi="Tahoma" w:cs="Tahoma"/>
          <w:lang w:val="es-ES"/>
        </w:rPr>
      </w:pPr>
      <w:r w:rsidRPr="00322315">
        <w:rPr>
          <w:rFonts w:ascii="Tahoma" w:eastAsia="Calibri" w:hAnsi="Tahoma" w:cs="Tahoma"/>
          <w:lang w:val="es-ES"/>
        </w:rPr>
        <w:t>La jueza de primera instancia declaró ineficaz el traslado de régimen pensional que efectuó la demandante el día 13 de marzo de 2000 y en virtud de tal declaración, declaró que la demandante seguía afiliada al régimen de prima media con prestación definida actualmente administrado por COLPENSIONES. En consecuencia, ordenó a la AFP PORVENIR</w:t>
      </w:r>
      <w:bookmarkStart w:id="6" w:name="_Hlk117246351"/>
      <w:r w:rsidRPr="00322315">
        <w:rPr>
          <w:rFonts w:ascii="Tahoma" w:eastAsia="Calibri" w:hAnsi="Tahoma" w:cs="Tahoma"/>
          <w:lang w:val="es-ES"/>
        </w:rPr>
        <w:t xml:space="preserve"> </w:t>
      </w:r>
      <w:r w:rsidRPr="00322315">
        <w:rPr>
          <w:rFonts w:ascii="Tahoma" w:eastAsia="Calibri" w:hAnsi="Tahoma" w:cs="Tahoma"/>
          <w:i/>
          <w:iCs/>
          <w:lang w:val="es-ES"/>
        </w:rPr>
        <w:t>“</w:t>
      </w:r>
      <w:r w:rsidRPr="00C308AF">
        <w:rPr>
          <w:rFonts w:ascii="Tahoma" w:eastAsia="Calibri" w:hAnsi="Tahoma" w:cs="Tahoma"/>
          <w:i/>
          <w:iCs/>
          <w:sz w:val="22"/>
          <w:lang w:val="es-ES"/>
        </w:rPr>
        <w:t>que proceda a entregar a COLPENSIONES todo lo que aparezca en la cuenta individual de la señora Giraldo Álzate e incluya por supuesto todo el capital, intereses, cuotas de administración y todo aquello que hace parte de la misma</w:t>
      </w:r>
      <w:r w:rsidRPr="00322315">
        <w:rPr>
          <w:rFonts w:ascii="Tahoma" w:eastAsia="Calibri" w:hAnsi="Tahoma" w:cs="Tahoma"/>
          <w:i/>
          <w:iCs/>
          <w:lang w:val="es-ES"/>
        </w:rPr>
        <w:t>”</w:t>
      </w:r>
      <w:r w:rsidR="00C640E3" w:rsidRPr="00322315">
        <w:rPr>
          <w:rFonts w:ascii="Tahoma" w:eastAsia="Calibri" w:hAnsi="Tahoma" w:cs="Tahoma"/>
          <w:lang w:val="es-ES"/>
        </w:rPr>
        <w:t>;</w:t>
      </w:r>
      <w:r w:rsidRPr="00322315">
        <w:rPr>
          <w:rFonts w:ascii="Tahoma" w:eastAsia="Calibri" w:hAnsi="Tahoma" w:cs="Tahoma"/>
          <w:lang w:val="es-ES"/>
        </w:rPr>
        <w:t xml:space="preserve"> </w:t>
      </w:r>
      <w:bookmarkEnd w:id="6"/>
      <w:r w:rsidRPr="00322315">
        <w:rPr>
          <w:rFonts w:ascii="Tahoma" w:eastAsia="Calibri" w:hAnsi="Tahoma" w:cs="Tahoma"/>
          <w:lang w:val="es-ES"/>
        </w:rPr>
        <w:t xml:space="preserve">le </w:t>
      </w:r>
      <w:r w:rsidRPr="00322315">
        <w:rPr>
          <w:rFonts w:ascii="Tahoma" w:eastAsia="Calibri" w:hAnsi="Tahoma" w:cs="Tahoma"/>
          <w:i/>
          <w:iCs/>
          <w:lang w:val="es-ES"/>
        </w:rPr>
        <w:t>“</w:t>
      </w:r>
      <w:r w:rsidRPr="00C308AF">
        <w:rPr>
          <w:rFonts w:ascii="Tahoma" w:eastAsia="Calibri" w:hAnsi="Tahoma" w:cs="Tahoma"/>
          <w:i/>
          <w:iCs/>
          <w:sz w:val="22"/>
          <w:lang w:val="es-ES"/>
        </w:rPr>
        <w:t>indicó</w:t>
      </w:r>
      <w:r w:rsidRPr="00322315">
        <w:rPr>
          <w:rFonts w:ascii="Tahoma" w:eastAsia="Calibri" w:hAnsi="Tahoma" w:cs="Tahoma"/>
          <w:i/>
          <w:iCs/>
          <w:lang w:val="es-ES"/>
        </w:rPr>
        <w:t>”</w:t>
      </w:r>
      <w:r w:rsidRPr="00322315">
        <w:rPr>
          <w:rFonts w:ascii="Tahoma" w:eastAsia="Calibri" w:hAnsi="Tahoma" w:cs="Tahoma"/>
          <w:lang w:val="es-ES"/>
        </w:rPr>
        <w:t xml:space="preserve"> a COLPENSIONES que debía proceder a habilitar la afiliación de la demandante y “</w:t>
      </w:r>
      <w:r w:rsidRPr="00C308AF">
        <w:rPr>
          <w:rFonts w:ascii="Tahoma" w:eastAsia="Calibri" w:hAnsi="Tahoma" w:cs="Tahoma"/>
          <w:sz w:val="22"/>
          <w:lang w:val="es-ES"/>
        </w:rPr>
        <w:t xml:space="preserve">actualizar su historia </w:t>
      </w:r>
      <w:r w:rsidRPr="00C308AF">
        <w:rPr>
          <w:rFonts w:ascii="Tahoma" w:eastAsia="Calibri" w:hAnsi="Tahoma" w:cs="Tahoma"/>
          <w:sz w:val="22"/>
          <w:lang w:val="es-ES"/>
        </w:rPr>
        <w:lastRenderedPageBreak/>
        <w:t>laboral si es del caso</w:t>
      </w:r>
      <w:r w:rsidRPr="00322315">
        <w:rPr>
          <w:rFonts w:ascii="Tahoma" w:eastAsia="Calibri" w:hAnsi="Tahoma" w:cs="Tahoma"/>
          <w:lang w:val="es-ES"/>
        </w:rPr>
        <w:t>” y a est</w:t>
      </w:r>
      <w:r w:rsidR="00C640E3" w:rsidRPr="00322315">
        <w:rPr>
          <w:rFonts w:ascii="Tahoma" w:eastAsia="Calibri" w:hAnsi="Tahoma" w:cs="Tahoma"/>
          <w:lang w:val="es-ES"/>
        </w:rPr>
        <w:t>a</w:t>
      </w:r>
      <w:r w:rsidRPr="00322315">
        <w:rPr>
          <w:rFonts w:ascii="Tahoma" w:eastAsia="Calibri" w:hAnsi="Tahoma" w:cs="Tahoma"/>
          <w:lang w:val="es-ES"/>
        </w:rPr>
        <w:t xml:space="preserve"> última le advirtió </w:t>
      </w:r>
      <w:r w:rsidR="00B25AD8" w:rsidRPr="00322315">
        <w:rPr>
          <w:rFonts w:ascii="Tahoma" w:eastAsia="Calibri" w:hAnsi="Tahoma" w:cs="Tahoma"/>
          <w:lang w:val="es-ES"/>
        </w:rPr>
        <w:t xml:space="preserve">que </w:t>
      </w:r>
      <w:r w:rsidR="00B25AD8" w:rsidRPr="00322315">
        <w:rPr>
          <w:rFonts w:ascii="Tahoma" w:eastAsia="Calibri" w:hAnsi="Tahoma" w:cs="Tahoma"/>
          <w:i/>
          <w:iCs/>
          <w:lang w:val="es-ES"/>
        </w:rPr>
        <w:t>“</w:t>
      </w:r>
      <w:r w:rsidR="00B25AD8" w:rsidRPr="00C308AF">
        <w:rPr>
          <w:rFonts w:ascii="Tahoma" w:eastAsia="Calibri" w:hAnsi="Tahoma" w:cs="Tahoma"/>
          <w:i/>
          <w:iCs/>
          <w:sz w:val="22"/>
          <w:lang w:val="es-ES"/>
        </w:rPr>
        <w:t>para reclamaciones o pretensiones del SSS en pensiones, deberá agotar las vías administrativas en los términos y en las condiciones previstos en la ley</w:t>
      </w:r>
      <w:r w:rsidR="00B25AD8" w:rsidRPr="00322315">
        <w:rPr>
          <w:rFonts w:ascii="Tahoma" w:eastAsia="Calibri" w:hAnsi="Tahoma" w:cs="Tahoma"/>
          <w:i/>
          <w:iCs/>
          <w:lang w:val="es-ES"/>
        </w:rPr>
        <w:t>”</w:t>
      </w:r>
      <w:r w:rsidR="00B25AD8" w:rsidRPr="00322315">
        <w:rPr>
          <w:rFonts w:ascii="Tahoma" w:eastAsia="Calibri" w:hAnsi="Tahoma" w:cs="Tahoma"/>
          <w:lang w:val="es-ES"/>
        </w:rPr>
        <w:t>.</w:t>
      </w:r>
    </w:p>
    <w:p w14:paraId="4F5315E6" w14:textId="6ACD9F8B" w:rsidR="6ADA08DD" w:rsidRPr="00322315" w:rsidRDefault="6ADA08DD" w:rsidP="00322315">
      <w:pPr>
        <w:widowControl w:val="0"/>
        <w:spacing w:before="0" w:beforeAutospacing="0" w:after="0" w:afterAutospacing="0" w:line="276" w:lineRule="auto"/>
        <w:contextualSpacing/>
        <w:rPr>
          <w:rFonts w:ascii="Tahoma" w:eastAsia="Calibri" w:hAnsi="Tahoma" w:cs="Tahoma"/>
          <w:lang w:val="es-ES"/>
        </w:rPr>
      </w:pPr>
    </w:p>
    <w:p w14:paraId="683E6B95" w14:textId="77777777" w:rsidR="00B25AD8" w:rsidRPr="00322315" w:rsidRDefault="00CB33D8" w:rsidP="00322315">
      <w:pPr>
        <w:widowControl w:val="0"/>
        <w:autoSpaceDE w:val="0"/>
        <w:autoSpaceDN w:val="0"/>
        <w:spacing w:before="0" w:beforeAutospacing="0" w:after="0" w:afterAutospacing="0" w:line="276" w:lineRule="auto"/>
        <w:contextualSpacing/>
        <w:rPr>
          <w:rFonts w:ascii="Tahoma" w:eastAsia="Calibri" w:hAnsi="Tahoma" w:cs="Tahoma"/>
          <w:lang w:val="es-ES"/>
        </w:rPr>
      </w:pPr>
      <w:r w:rsidRPr="00322315">
        <w:rPr>
          <w:rFonts w:ascii="Tahoma" w:eastAsia="Calibri" w:hAnsi="Tahoma" w:cs="Tahoma"/>
          <w:lang w:val="es-ES"/>
        </w:rPr>
        <w:t xml:space="preserve">Para llegar a tal determinación la </w:t>
      </w:r>
      <w:r w:rsidRPr="00322315">
        <w:rPr>
          <w:rFonts w:ascii="Tahoma" w:eastAsia="Calibri" w:hAnsi="Tahoma" w:cs="Tahoma"/>
          <w:i/>
          <w:lang w:val="es-ES"/>
        </w:rPr>
        <w:t>a-quo</w:t>
      </w:r>
      <w:r w:rsidRPr="00322315">
        <w:rPr>
          <w:rFonts w:ascii="Tahoma" w:eastAsia="Calibri" w:hAnsi="Tahoma" w:cs="Tahoma"/>
          <w:lang w:val="es-ES"/>
        </w:rPr>
        <w:t xml:space="preserve"> hizo un recuento legal y jurisprudencial respecto del deber de información a cargo de las AFP, la cual debía ser clara, cierta, comprensible y oportuna sobre las características, condiciones, beneficios, diferencias, riesgos y consecuencias del cambio de régimen pensional, carga que deben asumir desde la misma creación de los fondos. </w:t>
      </w:r>
    </w:p>
    <w:p w14:paraId="786535AD" w14:textId="77777777" w:rsidR="00B25AD8" w:rsidRPr="00322315" w:rsidRDefault="00B25AD8" w:rsidP="00322315">
      <w:pPr>
        <w:widowControl w:val="0"/>
        <w:autoSpaceDE w:val="0"/>
        <w:autoSpaceDN w:val="0"/>
        <w:spacing w:before="0" w:beforeAutospacing="0" w:after="0" w:afterAutospacing="0" w:line="276" w:lineRule="auto"/>
        <w:contextualSpacing/>
        <w:rPr>
          <w:rFonts w:ascii="Tahoma" w:eastAsia="Calibri" w:hAnsi="Tahoma" w:cs="Tahoma"/>
          <w:lang w:val="es-ES"/>
        </w:rPr>
      </w:pPr>
    </w:p>
    <w:p w14:paraId="3A2E8C37" w14:textId="5B69AA66" w:rsidR="00CB33D8" w:rsidRPr="00322315" w:rsidRDefault="00CB33D8" w:rsidP="00322315">
      <w:pPr>
        <w:widowControl w:val="0"/>
        <w:autoSpaceDE w:val="0"/>
        <w:autoSpaceDN w:val="0"/>
        <w:spacing w:before="0" w:beforeAutospacing="0" w:after="0" w:afterAutospacing="0" w:line="276" w:lineRule="auto"/>
        <w:contextualSpacing/>
        <w:rPr>
          <w:rFonts w:ascii="Tahoma" w:eastAsia="Calibri" w:hAnsi="Tahoma" w:cs="Tahoma"/>
          <w:lang w:val="es-ES"/>
        </w:rPr>
      </w:pPr>
      <w:r w:rsidRPr="00322315">
        <w:rPr>
          <w:rFonts w:ascii="Tahoma" w:eastAsia="Calibri" w:hAnsi="Tahoma" w:cs="Tahoma"/>
          <w:lang w:val="es-ES"/>
        </w:rPr>
        <w:t>Resaltó que la Corte</w:t>
      </w:r>
      <w:r w:rsidR="00210D29" w:rsidRPr="00322315">
        <w:rPr>
          <w:rFonts w:ascii="Tahoma" w:eastAsia="Calibri" w:hAnsi="Tahoma" w:cs="Tahoma"/>
          <w:lang w:val="es-ES"/>
        </w:rPr>
        <w:t xml:space="preserve"> Suprema de Justicia</w:t>
      </w:r>
      <w:r w:rsidRPr="00322315">
        <w:rPr>
          <w:rFonts w:ascii="Tahoma" w:eastAsia="Calibri" w:hAnsi="Tahoma" w:cs="Tahoma"/>
          <w:lang w:val="es-ES"/>
        </w:rPr>
        <w:t xml:space="preserve"> ha establecido para este tipo de </w:t>
      </w:r>
      <w:r w:rsidR="00B25AD8" w:rsidRPr="00322315">
        <w:rPr>
          <w:rFonts w:ascii="Tahoma" w:eastAsia="Calibri" w:hAnsi="Tahoma" w:cs="Tahoma"/>
          <w:lang w:val="es-ES"/>
        </w:rPr>
        <w:t>asuntos</w:t>
      </w:r>
      <w:r w:rsidRPr="00322315">
        <w:rPr>
          <w:rFonts w:ascii="Tahoma" w:eastAsia="Calibri" w:hAnsi="Tahoma" w:cs="Tahoma"/>
          <w:lang w:val="es-ES"/>
        </w:rPr>
        <w:t xml:space="preserve"> </w:t>
      </w:r>
      <w:r w:rsidR="00210D29" w:rsidRPr="00322315">
        <w:rPr>
          <w:rFonts w:ascii="Tahoma" w:eastAsia="Calibri" w:hAnsi="Tahoma" w:cs="Tahoma"/>
          <w:lang w:val="es-ES"/>
        </w:rPr>
        <w:t>una regla de</w:t>
      </w:r>
      <w:r w:rsidRPr="00322315">
        <w:rPr>
          <w:rFonts w:ascii="Tahoma" w:eastAsia="Calibri" w:hAnsi="Tahoma" w:cs="Tahoma"/>
          <w:lang w:val="es-ES"/>
        </w:rPr>
        <w:t xml:space="preserve"> inversión de la carga de la prueba en favor de los afiliados, por lo cual le correspondía a la AFP P</w:t>
      </w:r>
      <w:r w:rsidR="00B25AD8" w:rsidRPr="00322315">
        <w:rPr>
          <w:rFonts w:ascii="Tahoma" w:eastAsia="Calibri" w:hAnsi="Tahoma" w:cs="Tahoma"/>
          <w:lang w:val="es-ES"/>
        </w:rPr>
        <w:t>ORVENIR</w:t>
      </w:r>
      <w:r w:rsidRPr="00322315">
        <w:rPr>
          <w:rFonts w:ascii="Tahoma" w:eastAsia="Calibri" w:hAnsi="Tahoma" w:cs="Tahoma"/>
          <w:lang w:val="es-ES"/>
        </w:rPr>
        <w:t xml:space="preserve"> S.A. probar que cumplió a cabalidad con el deber de información, sin embargo, no logró demostrar que cumplió con dicho deber para lograr exonerarse de las consecuencias derivadas de la declaratoria de ineficacia del traslado que realizó la señora </w:t>
      </w:r>
      <w:r w:rsidR="00B25AD8" w:rsidRPr="00322315">
        <w:rPr>
          <w:rFonts w:ascii="Tahoma" w:eastAsia="Calibri" w:hAnsi="Tahoma" w:cs="Tahoma"/>
          <w:lang w:val="es-ES"/>
        </w:rPr>
        <w:t xml:space="preserve">Claudia Liliana </w:t>
      </w:r>
      <w:r w:rsidRPr="00322315">
        <w:rPr>
          <w:rFonts w:ascii="Tahoma" w:eastAsia="Calibri" w:hAnsi="Tahoma" w:cs="Tahoma"/>
          <w:lang w:val="es-ES"/>
        </w:rPr>
        <w:t>y precisó que la sola suscripción del formulario de afiliación</w:t>
      </w:r>
      <w:r w:rsidR="00B25AD8" w:rsidRPr="00322315">
        <w:rPr>
          <w:rFonts w:ascii="Tahoma" w:eastAsia="Calibri" w:hAnsi="Tahoma" w:cs="Tahoma"/>
          <w:lang w:val="es-ES"/>
        </w:rPr>
        <w:t>,</w:t>
      </w:r>
      <w:r w:rsidRPr="00322315">
        <w:rPr>
          <w:rFonts w:ascii="Tahoma" w:eastAsia="Calibri" w:hAnsi="Tahoma" w:cs="Tahoma"/>
          <w:lang w:val="es-ES"/>
        </w:rPr>
        <w:t xml:space="preserve"> no es prueba suficiente para acreditar la información que la AFP le brindó a su afiliado y en todo caso no constituye un consentimiento informado. </w:t>
      </w:r>
    </w:p>
    <w:p w14:paraId="26C5EBCE" w14:textId="77777777" w:rsidR="00CB33D8" w:rsidRPr="00322315" w:rsidRDefault="00CB33D8" w:rsidP="00322315">
      <w:pPr>
        <w:widowControl w:val="0"/>
        <w:autoSpaceDE w:val="0"/>
        <w:autoSpaceDN w:val="0"/>
        <w:spacing w:before="0" w:beforeAutospacing="0" w:after="0" w:afterAutospacing="0" w:line="276" w:lineRule="auto"/>
        <w:contextualSpacing/>
        <w:rPr>
          <w:rFonts w:ascii="Tahoma" w:eastAsia="Calibri" w:hAnsi="Tahoma" w:cs="Tahoma"/>
          <w:lang w:val="es-ES"/>
        </w:rPr>
      </w:pPr>
    </w:p>
    <w:p w14:paraId="11F3FECD" w14:textId="4312DEAC" w:rsidR="00CB33D8" w:rsidRPr="00322315" w:rsidRDefault="00CB33D8" w:rsidP="00322315">
      <w:pPr>
        <w:widowControl w:val="0"/>
        <w:autoSpaceDE w:val="0"/>
        <w:autoSpaceDN w:val="0"/>
        <w:spacing w:before="0" w:beforeAutospacing="0" w:after="0" w:afterAutospacing="0" w:line="276" w:lineRule="auto"/>
        <w:contextualSpacing/>
        <w:rPr>
          <w:rFonts w:ascii="Tahoma" w:eastAsia="Calibri" w:hAnsi="Tahoma" w:cs="Tahoma"/>
          <w:lang w:val="es-ES"/>
        </w:rPr>
      </w:pPr>
      <w:r w:rsidRPr="00322315">
        <w:rPr>
          <w:rFonts w:ascii="Tahoma" w:eastAsia="Calibri" w:hAnsi="Tahoma" w:cs="Tahoma"/>
          <w:lang w:val="es-ES"/>
        </w:rPr>
        <w:t>Por último, resaltó que, de las pruebas practicadas, especialmente del interrogatorio rendido por la actora</w:t>
      </w:r>
      <w:r w:rsidR="00B25AD8" w:rsidRPr="00322315">
        <w:rPr>
          <w:rFonts w:ascii="Tahoma" w:eastAsia="Calibri" w:hAnsi="Tahoma" w:cs="Tahoma"/>
          <w:lang w:val="es-ES"/>
        </w:rPr>
        <w:t>,</w:t>
      </w:r>
      <w:r w:rsidRPr="00322315">
        <w:rPr>
          <w:rFonts w:ascii="Tahoma" w:eastAsia="Calibri" w:hAnsi="Tahoma" w:cs="Tahoma"/>
          <w:lang w:val="es-ES"/>
        </w:rPr>
        <w:t xml:space="preserve"> no se obtuvo prueba de confesión de la que se pueda desprender que la AFP cumplió con su deber de información, pues, la información que indicó que le dieron no cumple con los requisitos normativos que el órgano de cierre ha establecido, lo que lleva a concluir que no tuvo la comprensión suficiente ni el real consentimiento para llevar a cabo el traslado.</w:t>
      </w:r>
    </w:p>
    <w:p w14:paraId="45F5560F" w14:textId="6A627979" w:rsidR="00C640E3" w:rsidRDefault="00C640E3" w:rsidP="00322315">
      <w:pPr>
        <w:widowControl w:val="0"/>
        <w:autoSpaceDE w:val="0"/>
        <w:autoSpaceDN w:val="0"/>
        <w:spacing w:before="0" w:beforeAutospacing="0" w:after="0" w:afterAutospacing="0" w:line="276" w:lineRule="auto"/>
        <w:contextualSpacing/>
        <w:rPr>
          <w:rFonts w:ascii="Tahoma" w:eastAsia="Calibri" w:hAnsi="Tahoma" w:cs="Tahoma"/>
          <w:lang w:val="es-ES"/>
        </w:rPr>
      </w:pPr>
    </w:p>
    <w:p w14:paraId="5EDB1270" w14:textId="77777777" w:rsidR="008D71DA" w:rsidRPr="00322315" w:rsidRDefault="008D71DA" w:rsidP="00322315">
      <w:pPr>
        <w:widowControl w:val="0"/>
        <w:autoSpaceDE w:val="0"/>
        <w:autoSpaceDN w:val="0"/>
        <w:spacing w:before="0" w:beforeAutospacing="0" w:after="0" w:afterAutospacing="0" w:line="276" w:lineRule="auto"/>
        <w:contextualSpacing/>
        <w:rPr>
          <w:rFonts w:ascii="Tahoma" w:eastAsia="Calibri" w:hAnsi="Tahoma" w:cs="Tahoma"/>
          <w:lang w:val="es-ES"/>
        </w:rPr>
      </w:pPr>
    </w:p>
    <w:p w14:paraId="61F2BBDD" w14:textId="37E4F8F8" w:rsidR="00363345" w:rsidRPr="00322315" w:rsidRDefault="00363345" w:rsidP="00322315">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322315">
        <w:rPr>
          <w:rFonts w:eastAsia="Calibri" w:cs="Tahoma"/>
          <w:b/>
          <w:szCs w:val="24"/>
          <w:lang w:val="es-ES"/>
        </w:rPr>
        <w:t>Recursos de apelación y procedencia de la consulta</w:t>
      </w:r>
    </w:p>
    <w:p w14:paraId="381E088B" w14:textId="77777777" w:rsidR="00363345" w:rsidRPr="00322315" w:rsidRDefault="00363345" w:rsidP="00322315">
      <w:pPr>
        <w:widowControl w:val="0"/>
        <w:autoSpaceDE w:val="0"/>
        <w:autoSpaceDN w:val="0"/>
        <w:spacing w:before="0" w:beforeAutospacing="0" w:after="0" w:afterAutospacing="0" w:line="276" w:lineRule="auto"/>
        <w:contextualSpacing/>
        <w:rPr>
          <w:rFonts w:ascii="Tahoma" w:eastAsia="Calibri" w:hAnsi="Tahoma" w:cs="Tahoma"/>
          <w:lang w:val="es-ES"/>
        </w:rPr>
      </w:pPr>
    </w:p>
    <w:p w14:paraId="733A8E9D" w14:textId="77777777" w:rsidR="00363345" w:rsidRPr="00322315" w:rsidRDefault="00363345" w:rsidP="00322315">
      <w:pPr>
        <w:widowControl w:val="0"/>
        <w:autoSpaceDE w:val="0"/>
        <w:autoSpaceDN w:val="0"/>
        <w:spacing w:before="0" w:beforeAutospacing="0" w:after="0" w:afterAutospacing="0" w:line="276" w:lineRule="auto"/>
        <w:contextualSpacing/>
        <w:rPr>
          <w:rFonts w:ascii="Tahoma" w:eastAsia="Times New Roman" w:hAnsi="Tahoma" w:cs="Tahoma"/>
          <w:color w:val="000000"/>
          <w:lang w:eastAsia="es-CO"/>
        </w:rPr>
      </w:pPr>
      <w:r w:rsidRPr="00322315">
        <w:rPr>
          <w:rFonts w:ascii="Tahoma" w:hAnsi="Tahoma" w:cs="Tahoma"/>
          <w:bCs/>
          <w:lang w:val="es-ES"/>
        </w:rPr>
        <w:t xml:space="preserve">La </w:t>
      </w:r>
      <w:r w:rsidRPr="00322315">
        <w:rPr>
          <w:rFonts w:ascii="Tahoma" w:hAnsi="Tahoma" w:cs="Tahoma"/>
          <w:bCs/>
          <w:caps/>
        </w:rPr>
        <w:t>Administradora de Fondos de Pensiones – Porvenir S.A.</w:t>
      </w:r>
      <w:r w:rsidRPr="00322315">
        <w:rPr>
          <w:rFonts w:ascii="Tahoma" w:eastAsia="Calibri" w:hAnsi="Tahoma" w:cs="Tahoma"/>
          <w:lang w:val="es-ES"/>
        </w:rPr>
        <w:t xml:space="preserve">, solicita que se revoque la sentencia en su integridad y en su defecto se absuelva a la AFP, dado </w:t>
      </w:r>
      <w:r w:rsidRPr="00322315">
        <w:rPr>
          <w:rFonts w:ascii="Tahoma" w:eastAsia="Times New Roman" w:hAnsi="Tahoma" w:cs="Tahoma"/>
          <w:color w:val="000000"/>
          <w:lang w:eastAsia="es-CO"/>
        </w:rPr>
        <w:t>que para la época del traslado de la actora se realizaba la asesoría de manera verbal, los fondos de pensiones no tenían el deber de dejar documentada la asesoría brindada a sus posibles afiliados, solo bastaba con que la afiliada firmara el formulario de afiliación de manera libre, voluntaria y sin presiones.</w:t>
      </w:r>
    </w:p>
    <w:p w14:paraId="287E203D" w14:textId="77777777" w:rsidR="00363345" w:rsidRPr="00322315" w:rsidRDefault="00363345" w:rsidP="00322315">
      <w:pPr>
        <w:widowControl w:val="0"/>
        <w:autoSpaceDE w:val="0"/>
        <w:autoSpaceDN w:val="0"/>
        <w:spacing w:before="0" w:beforeAutospacing="0" w:after="0" w:afterAutospacing="0" w:line="276" w:lineRule="auto"/>
        <w:contextualSpacing/>
        <w:rPr>
          <w:rFonts w:ascii="Tahoma" w:eastAsia="Times New Roman" w:hAnsi="Tahoma" w:cs="Tahoma"/>
          <w:color w:val="000000"/>
          <w:lang w:eastAsia="es-CO"/>
        </w:rPr>
      </w:pPr>
    </w:p>
    <w:p w14:paraId="09A779BD" w14:textId="579FA323" w:rsidR="00363345" w:rsidRPr="00322315" w:rsidRDefault="00363345" w:rsidP="00322315">
      <w:pPr>
        <w:widowControl w:val="0"/>
        <w:autoSpaceDE w:val="0"/>
        <w:autoSpaceDN w:val="0"/>
        <w:spacing w:before="0" w:beforeAutospacing="0" w:after="0" w:afterAutospacing="0" w:line="276" w:lineRule="auto"/>
        <w:contextualSpacing/>
        <w:rPr>
          <w:rFonts w:ascii="Tahoma" w:eastAsia="Times New Roman" w:hAnsi="Tahoma" w:cs="Tahoma"/>
          <w:lang w:eastAsia="es-CO"/>
        </w:rPr>
      </w:pPr>
      <w:r w:rsidRPr="00322315">
        <w:rPr>
          <w:rFonts w:ascii="Tahoma" w:eastAsia="Times New Roman" w:hAnsi="Tahoma" w:cs="Tahoma"/>
          <w:color w:val="000000"/>
          <w:lang w:eastAsia="es-CO"/>
        </w:rPr>
        <w:t xml:space="preserve">Adicionalmente, manifestó su desacuerdo con: (a) la devolución de los gastos de administración,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prima de seguro previsional que eran primas encaminadas a proteger la suerte del demandante. Agregó que no es de recibo que se trasladen los rendimientos financieros, puesto que el RPM no tiene la característica de aquellos; asimismo, consideró que se está vulnerando el principio de sostenibilidad financiera del sistema general de pensiones, ya que no tiene sentido que se condene al traslado de rendimientos y al mismo tiempo al de los gastos de </w:t>
      </w:r>
      <w:r w:rsidRPr="00322315">
        <w:rPr>
          <w:rFonts w:ascii="Tahoma" w:eastAsia="Times New Roman" w:hAnsi="Tahoma" w:cs="Tahoma"/>
          <w:color w:val="000000"/>
          <w:lang w:eastAsia="es-CO"/>
        </w:rPr>
        <w:lastRenderedPageBreak/>
        <w:t xml:space="preserve">administración que fueron cobrados en virtud de la ley. En ese sentido, indicó que la actora no puede regresar al RPM, en tanto que, se encuentra inmersa en la prohibición legal establecida en el literal </w:t>
      </w:r>
      <w:proofErr w:type="gramStart"/>
      <w:r w:rsidRPr="00322315">
        <w:rPr>
          <w:rFonts w:ascii="Tahoma" w:eastAsia="Times New Roman" w:hAnsi="Tahoma" w:cs="Tahoma"/>
          <w:color w:val="000000"/>
          <w:lang w:eastAsia="es-CO"/>
        </w:rPr>
        <w:t>e</w:t>
      </w:r>
      <w:proofErr w:type="gramEnd"/>
      <w:r w:rsidRPr="00322315">
        <w:rPr>
          <w:rFonts w:ascii="Tahoma" w:eastAsia="Times New Roman" w:hAnsi="Tahoma" w:cs="Tahoma"/>
          <w:color w:val="000000"/>
          <w:lang w:eastAsia="es-CO"/>
        </w:rPr>
        <w:t xml:space="preserve"> del artículo 2 de la ley 797 de 2003. </w:t>
      </w:r>
    </w:p>
    <w:p w14:paraId="0EF567CC" w14:textId="77777777" w:rsidR="00363345" w:rsidRPr="00322315" w:rsidRDefault="00363345" w:rsidP="00322315">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779BAF88" w14:textId="77777777" w:rsidR="00363345" w:rsidRPr="00322315" w:rsidRDefault="00363345" w:rsidP="00322315">
      <w:pPr>
        <w:widowControl w:val="0"/>
        <w:autoSpaceDE w:val="0"/>
        <w:autoSpaceDN w:val="0"/>
        <w:spacing w:before="0" w:beforeAutospacing="0" w:after="0" w:afterAutospacing="0" w:line="276" w:lineRule="auto"/>
        <w:contextualSpacing/>
        <w:rPr>
          <w:rFonts w:ascii="Tahoma" w:eastAsia="Calibri" w:hAnsi="Tahoma" w:cs="Tahoma"/>
          <w:lang w:val="es-ES"/>
        </w:rPr>
      </w:pPr>
      <w:r w:rsidRPr="00322315">
        <w:rPr>
          <w:rFonts w:ascii="Tahoma" w:eastAsia="Calibri" w:hAnsi="Tahoma" w:cs="Tahoma"/>
          <w:lang w:val="es-ES"/>
        </w:rPr>
        <w:t xml:space="preserve">Por su parte, Colpensiones en su alzada, atacó la decisión citando el artículo 2 de la ley 797 de 2003, que modificó el artículo 13 de la ley 100 de 1993, que dispuso la prohibición de traslado de régimen cuando al afiliado le faltaren 10 años o menos para cumplir la edad para tener derecho a su pensión, en ese sentido recordó lo decidido por la Corte Constitucional en las sentencias SU-062 de 2010 y SU-130 de 2013. Por otro lado, resaltó que la actora no hizo uso del derecho de retracto para dejar sin efecto su elección de trasladarse dentro de los cinco (05) días hábiles siguientes a la fecha en que manifestó por escrito su elección. Así mismo, en el momento de su afiliación al RAIS solo se estaba frente a una expectativa de monto pensional. </w:t>
      </w:r>
    </w:p>
    <w:p w14:paraId="2AA9FDFA" w14:textId="155F39B8" w:rsidR="00363345" w:rsidRDefault="00363345" w:rsidP="00322315">
      <w:pPr>
        <w:widowControl w:val="0"/>
        <w:autoSpaceDE w:val="0"/>
        <w:autoSpaceDN w:val="0"/>
        <w:spacing w:before="0" w:beforeAutospacing="0" w:after="0" w:afterAutospacing="0" w:line="276" w:lineRule="auto"/>
        <w:contextualSpacing/>
        <w:rPr>
          <w:rFonts w:ascii="Tahoma" w:eastAsia="Calibri" w:hAnsi="Tahoma" w:cs="Tahoma"/>
          <w:lang w:val="es-ES"/>
        </w:rPr>
      </w:pPr>
    </w:p>
    <w:p w14:paraId="0135F1F5" w14:textId="77777777" w:rsidR="008D71DA" w:rsidRPr="00322315" w:rsidRDefault="008D71DA" w:rsidP="00322315">
      <w:pPr>
        <w:widowControl w:val="0"/>
        <w:autoSpaceDE w:val="0"/>
        <w:autoSpaceDN w:val="0"/>
        <w:spacing w:before="0" w:beforeAutospacing="0" w:after="0" w:afterAutospacing="0" w:line="276" w:lineRule="auto"/>
        <w:contextualSpacing/>
        <w:rPr>
          <w:rFonts w:ascii="Tahoma" w:eastAsia="Calibri" w:hAnsi="Tahoma" w:cs="Tahoma"/>
          <w:lang w:val="es-ES"/>
        </w:rPr>
      </w:pPr>
    </w:p>
    <w:p w14:paraId="5681262D" w14:textId="77777777" w:rsidR="00363345" w:rsidRPr="00322315" w:rsidRDefault="00363345" w:rsidP="00322315">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322315">
        <w:rPr>
          <w:rFonts w:eastAsia="Tahoma" w:cs="Tahoma"/>
          <w:b/>
          <w:bCs/>
          <w:szCs w:val="24"/>
          <w:lang w:val="es"/>
        </w:rPr>
        <w:t>Alegatos de conclusión</w:t>
      </w:r>
    </w:p>
    <w:p w14:paraId="33A27BB1" w14:textId="77777777" w:rsidR="00363345" w:rsidRPr="00322315" w:rsidRDefault="00363345" w:rsidP="00322315">
      <w:pPr>
        <w:spacing w:before="0" w:beforeAutospacing="0" w:after="0" w:afterAutospacing="0" w:line="276" w:lineRule="auto"/>
        <w:ind w:firstLine="708"/>
        <w:contextualSpacing/>
        <w:rPr>
          <w:rFonts w:ascii="Tahoma" w:eastAsia="Tahoma" w:hAnsi="Tahoma" w:cs="Tahoma"/>
        </w:rPr>
      </w:pPr>
    </w:p>
    <w:p w14:paraId="7B700BFD" w14:textId="77777777" w:rsidR="00363345" w:rsidRPr="00322315" w:rsidRDefault="00363345" w:rsidP="00322315">
      <w:pPr>
        <w:spacing w:before="0" w:beforeAutospacing="0" w:after="0" w:afterAutospacing="0" w:line="276" w:lineRule="auto"/>
        <w:ind w:firstLine="708"/>
        <w:contextualSpacing/>
        <w:rPr>
          <w:rFonts w:ascii="Tahoma" w:eastAsia="Tahoma" w:hAnsi="Tahoma" w:cs="Tahoma"/>
        </w:rPr>
      </w:pPr>
      <w:r w:rsidRPr="00322315">
        <w:rPr>
          <w:rFonts w:ascii="Tahoma" w:eastAsia="Tahoma" w:hAnsi="Tahoma" w:cs="Tahoma"/>
        </w:rPr>
        <w:t>Analizados los alegatos presentados por la totalidad de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esta instancia procesal.</w:t>
      </w:r>
    </w:p>
    <w:p w14:paraId="1488EF2F" w14:textId="0D8FFAA1" w:rsidR="00363345" w:rsidRDefault="00363345" w:rsidP="00322315">
      <w:pPr>
        <w:spacing w:before="0" w:beforeAutospacing="0" w:after="0" w:afterAutospacing="0" w:line="276" w:lineRule="auto"/>
        <w:ind w:firstLine="708"/>
        <w:contextualSpacing/>
        <w:rPr>
          <w:rFonts w:ascii="Tahoma" w:eastAsia="Tahoma" w:hAnsi="Tahoma" w:cs="Tahoma"/>
        </w:rPr>
      </w:pPr>
    </w:p>
    <w:p w14:paraId="678EB5EC" w14:textId="77777777" w:rsidR="008D71DA" w:rsidRPr="00322315" w:rsidRDefault="008D71DA" w:rsidP="00322315">
      <w:pPr>
        <w:spacing w:before="0" w:beforeAutospacing="0" w:after="0" w:afterAutospacing="0" w:line="276" w:lineRule="auto"/>
        <w:ind w:firstLine="708"/>
        <w:contextualSpacing/>
        <w:rPr>
          <w:rFonts w:ascii="Tahoma" w:eastAsia="Tahoma" w:hAnsi="Tahoma" w:cs="Tahoma"/>
        </w:rPr>
      </w:pPr>
    </w:p>
    <w:p w14:paraId="644CA4BB" w14:textId="77777777" w:rsidR="00363345" w:rsidRPr="00322315" w:rsidRDefault="00363345" w:rsidP="00322315">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322315">
        <w:rPr>
          <w:rFonts w:ascii="Tahoma" w:eastAsia="Tahoma" w:hAnsi="Tahoma" w:cs="Tahoma"/>
          <w:b/>
          <w:bCs/>
          <w:lang w:val="es"/>
        </w:rPr>
        <w:t>Problemas jurídicos por resolver</w:t>
      </w:r>
    </w:p>
    <w:p w14:paraId="6B587EC9" w14:textId="77777777" w:rsidR="00363345" w:rsidRPr="00322315" w:rsidRDefault="00363345" w:rsidP="00322315">
      <w:pPr>
        <w:spacing w:before="0" w:beforeAutospacing="0" w:after="0" w:afterAutospacing="0" w:line="276" w:lineRule="auto"/>
        <w:ind w:firstLine="708"/>
        <w:contextualSpacing/>
        <w:rPr>
          <w:rFonts w:ascii="Tahoma" w:hAnsi="Tahoma" w:cs="Tahoma"/>
        </w:rPr>
      </w:pPr>
    </w:p>
    <w:p w14:paraId="3D04D197"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322315" w:rsidRDefault="00363345" w:rsidP="00322315">
      <w:pPr>
        <w:spacing w:before="0" w:beforeAutospacing="0" w:after="0" w:afterAutospacing="0" w:line="276" w:lineRule="auto"/>
        <w:ind w:firstLine="708"/>
        <w:contextualSpacing/>
        <w:rPr>
          <w:rFonts w:ascii="Tahoma" w:hAnsi="Tahoma" w:cs="Tahoma"/>
        </w:rPr>
      </w:pPr>
    </w:p>
    <w:p w14:paraId="22611C26"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81927C" w14:textId="77777777" w:rsidR="00363345" w:rsidRPr="00322315" w:rsidRDefault="00363345" w:rsidP="00322315">
      <w:pPr>
        <w:spacing w:before="0" w:beforeAutospacing="0" w:after="0" w:afterAutospacing="0" w:line="276" w:lineRule="auto"/>
        <w:ind w:firstLine="708"/>
        <w:contextualSpacing/>
        <w:rPr>
          <w:rFonts w:ascii="Tahoma" w:hAnsi="Tahoma" w:cs="Tahoma"/>
        </w:rPr>
      </w:pPr>
    </w:p>
    <w:p w14:paraId="3FDD46C2"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Definir si para dar por cumplido el deber de información de las AFP es suficiente el diligenciamiento del formulario de afiliación.</w:t>
      </w:r>
    </w:p>
    <w:p w14:paraId="26F064A9" w14:textId="77777777" w:rsidR="00363345" w:rsidRPr="00322315" w:rsidRDefault="00363345" w:rsidP="00322315">
      <w:pPr>
        <w:spacing w:before="0" w:beforeAutospacing="0" w:after="0" w:afterAutospacing="0" w:line="276" w:lineRule="auto"/>
        <w:ind w:firstLine="708"/>
        <w:contextualSpacing/>
        <w:rPr>
          <w:rFonts w:ascii="Tahoma" w:hAnsi="Tahoma" w:cs="Tahoma"/>
        </w:rPr>
      </w:pPr>
    </w:p>
    <w:p w14:paraId="6F526C40"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 xml:space="preserve">Determinar la carga probatoria que les corresponde a cada una de las partes cuando está en discusión la eficacia del traslado entre regímenes pensionales. </w:t>
      </w:r>
    </w:p>
    <w:p w14:paraId="480FD0AE" w14:textId="77777777" w:rsidR="00363345" w:rsidRPr="00322315" w:rsidRDefault="00363345" w:rsidP="00322315">
      <w:pPr>
        <w:spacing w:before="0" w:beforeAutospacing="0" w:after="0" w:afterAutospacing="0" w:line="276" w:lineRule="auto"/>
        <w:ind w:firstLine="708"/>
        <w:contextualSpacing/>
        <w:rPr>
          <w:rFonts w:ascii="Tahoma" w:hAnsi="Tahoma" w:cs="Tahoma"/>
        </w:rPr>
      </w:pPr>
    </w:p>
    <w:p w14:paraId="21C57FC0"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 xml:space="preserve">Analizar si quedó probado en el proceso que la parte demandante recibió de parte de las AFP demandadas, la asesoría e información suficiente y necesaria para hacer el cambio de régimen. </w:t>
      </w:r>
    </w:p>
    <w:p w14:paraId="30C2A8BD" w14:textId="77777777" w:rsidR="00363345" w:rsidRPr="00322315" w:rsidRDefault="00363345" w:rsidP="00322315">
      <w:pPr>
        <w:spacing w:before="0" w:beforeAutospacing="0" w:after="0" w:afterAutospacing="0" w:line="276" w:lineRule="auto"/>
        <w:ind w:firstLine="708"/>
        <w:contextualSpacing/>
        <w:rPr>
          <w:rFonts w:ascii="Tahoma" w:hAnsi="Tahoma" w:cs="Tahoma"/>
        </w:rPr>
      </w:pPr>
    </w:p>
    <w:p w14:paraId="36D03925"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 xml:space="preserve">Establecer si se debe ordenar a la AFP demandada la devolución, con cargo a sus propios recursos de los gastos de administración, comisiones, cuotas de garantía de pensión mínima y seguros previsionales a Colpensiones. </w:t>
      </w:r>
    </w:p>
    <w:p w14:paraId="6D2D1C27" w14:textId="77777777" w:rsidR="00363345" w:rsidRPr="00322315" w:rsidRDefault="00363345" w:rsidP="00322315">
      <w:pPr>
        <w:spacing w:before="0" w:beforeAutospacing="0" w:after="0" w:afterAutospacing="0" w:line="276" w:lineRule="auto"/>
        <w:ind w:firstLine="0"/>
        <w:contextualSpacing/>
        <w:rPr>
          <w:rFonts w:ascii="Tahoma" w:hAnsi="Tahoma" w:cs="Tahoma"/>
        </w:rPr>
      </w:pPr>
    </w:p>
    <w:p w14:paraId="769DEA98"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 xml:space="preserve">Determinar si los denominados actos de relacionamiento tienen la virtualidad de convalidar el traslado al RAIS de conformidad con las sentencias CSJ SL3752 de 2020 y CSJ SL1061 de 2021, conforme lo solicita Colpensiones. </w:t>
      </w:r>
    </w:p>
    <w:p w14:paraId="233DAEC0" w14:textId="77777777" w:rsidR="00363345" w:rsidRPr="00322315" w:rsidRDefault="00363345" w:rsidP="00322315">
      <w:pPr>
        <w:spacing w:before="0" w:beforeAutospacing="0" w:after="0" w:afterAutospacing="0" w:line="276" w:lineRule="auto"/>
        <w:ind w:firstLine="0"/>
        <w:contextualSpacing/>
        <w:rPr>
          <w:rFonts w:ascii="Tahoma" w:hAnsi="Tahoma" w:cs="Tahoma"/>
        </w:rPr>
      </w:pPr>
    </w:p>
    <w:p w14:paraId="1065B406" w14:textId="77777777" w:rsidR="00363345" w:rsidRPr="00322315" w:rsidRDefault="00363345" w:rsidP="00322315">
      <w:pPr>
        <w:spacing w:before="0" w:beforeAutospacing="0" w:after="0" w:afterAutospacing="0" w:line="276" w:lineRule="auto"/>
        <w:ind w:firstLine="708"/>
        <w:contextualSpacing/>
        <w:rPr>
          <w:rFonts w:ascii="Tahoma" w:hAnsi="Tahoma" w:cs="Tahoma"/>
        </w:rPr>
      </w:pPr>
      <w:r w:rsidRPr="00322315">
        <w:rPr>
          <w:rFonts w:ascii="Tahoma" w:hAnsi="Tahoma" w:cs="Tahoma"/>
        </w:rPr>
        <w:t>Establecer si hay lugar a exonerar en costas a Protección S.A.</w:t>
      </w:r>
    </w:p>
    <w:p w14:paraId="28B80D78" w14:textId="68E6165B" w:rsidR="00363345" w:rsidRDefault="00363345" w:rsidP="0032231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F48DB4" w14:textId="77777777" w:rsidR="008D71DA" w:rsidRPr="00322315" w:rsidRDefault="008D71DA" w:rsidP="0032231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E96C6B" w14:textId="77777777" w:rsidR="00363345" w:rsidRPr="00322315" w:rsidRDefault="00363345" w:rsidP="00322315">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322315">
        <w:rPr>
          <w:rFonts w:ascii="Tahoma" w:eastAsia="Calibri" w:hAnsi="Tahoma" w:cs="Tahoma"/>
          <w:b/>
          <w:bCs/>
          <w:lang w:eastAsia="es-CO"/>
        </w:rPr>
        <w:t>Consideraciones</w:t>
      </w:r>
    </w:p>
    <w:p w14:paraId="10F104B7" w14:textId="09ED1AC5" w:rsidR="00363345" w:rsidRDefault="00363345" w:rsidP="00322315">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6828AC04" w14:textId="77777777" w:rsidR="008D71DA" w:rsidRPr="00322315" w:rsidRDefault="008D71DA" w:rsidP="00322315">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611FF4E7" w14:textId="77777777" w:rsidR="00ED34FC" w:rsidRPr="00ED34FC" w:rsidRDefault="00ED34FC" w:rsidP="00ED34FC">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7" w:name="_Hlk119490538"/>
      <w:r w:rsidRPr="00ED34FC">
        <w:rPr>
          <w:rFonts w:ascii="Tahoma" w:eastAsia="Calibri" w:hAnsi="Tahoma" w:cs="Tahoma"/>
          <w:b/>
          <w:bCs/>
          <w:lang w:eastAsia="es-CO"/>
        </w:rPr>
        <w:t xml:space="preserve">Precedente vertical: la tesis de la Corte Suprema de Justicia respecto al tema de la ineficacia del traslado constituye doctrina probable </w:t>
      </w:r>
    </w:p>
    <w:p w14:paraId="22032BA5"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AE17BB"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lang w:eastAsia="es-CO"/>
        </w:rPr>
        <w:t xml:space="preserve">En la actualidad existe </w:t>
      </w:r>
      <w:r w:rsidRPr="00ED34FC">
        <w:rPr>
          <w:rFonts w:ascii="Tahoma" w:eastAsia="Calibri" w:hAnsi="Tahoma" w:cs="Tahoma"/>
          <w:b/>
          <w:lang w:eastAsia="es-CO"/>
        </w:rPr>
        <w:t>doctrina probable</w:t>
      </w:r>
      <w:r w:rsidRPr="00ED34FC">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27D14304"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204C174"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bCs/>
          <w:lang w:eastAsia="es-CO"/>
        </w:rPr>
        <w:t xml:space="preserve">SL 31989 del 9 sep. 2008, </w:t>
      </w:r>
      <w:r w:rsidRPr="00ED34FC">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2B7E402E"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570F1AA"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lang w:eastAsia="es-CO"/>
        </w:rPr>
        <w:t xml:space="preserve">En términos generales, en todas estas sentencias se determinó </w:t>
      </w:r>
      <w:r w:rsidRPr="00ED34FC">
        <w:rPr>
          <w:rFonts w:ascii="Tahoma" w:eastAsia="Calibri" w:hAnsi="Tahoma" w:cs="Tahoma"/>
          <w:i/>
          <w:lang w:eastAsia="es-CO"/>
        </w:rPr>
        <w:t xml:space="preserve">i) </w:t>
      </w:r>
      <w:r w:rsidRPr="00ED34FC">
        <w:rPr>
          <w:rFonts w:ascii="Tahoma" w:eastAsia="Calibri" w:hAnsi="Tahoma" w:cs="Tahoma"/>
          <w:lang w:eastAsia="es-CO"/>
        </w:rPr>
        <w:t xml:space="preserve">el alcance del deber de información a cargo de las Administradoras de Fondos de Pensiones, </w:t>
      </w:r>
      <w:r w:rsidRPr="00ED34FC">
        <w:rPr>
          <w:rFonts w:ascii="Tahoma" w:eastAsia="Calibri" w:hAnsi="Tahoma" w:cs="Tahoma"/>
          <w:i/>
          <w:lang w:eastAsia="es-CO"/>
        </w:rPr>
        <w:t xml:space="preserve">ii) </w:t>
      </w:r>
      <w:r w:rsidRPr="00ED34FC">
        <w:rPr>
          <w:rFonts w:ascii="Tahoma" w:eastAsia="Calibri" w:hAnsi="Tahoma" w:cs="Tahoma"/>
          <w:lang w:eastAsia="es-CO"/>
        </w:rPr>
        <w:t xml:space="preserve">la procedencia de la ineficacia del traslado, </w:t>
      </w:r>
      <w:r w:rsidRPr="00ED34FC">
        <w:rPr>
          <w:rFonts w:ascii="Tahoma" w:eastAsia="Calibri" w:hAnsi="Tahoma" w:cs="Tahoma"/>
          <w:i/>
          <w:lang w:eastAsia="es-CO"/>
        </w:rPr>
        <w:t xml:space="preserve">iii) </w:t>
      </w:r>
      <w:r w:rsidRPr="00ED34FC">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C5E5D63" w14:textId="74AA3E8F" w:rsidR="00ED34FC" w:rsidRDefault="00ED34FC" w:rsidP="00ED34FC">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422EFAAC" w14:textId="77777777" w:rsidR="008D71DA" w:rsidRPr="00ED34FC" w:rsidRDefault="008D71DA" w:rsidP="00ED34FC">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0B31798F" w14:textId="77777777" w:rsidR="00ED34FC" w:rsidRPr="00ED34FC" w:rsidRDefault="00ED34FC" w:rsidP="00ED34FC">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ED34FC">
        <w:rPr>
          <w:rFonts w:ascii="Tahoma" w:eastAsia="Calibri" w:hAnsi="Tahoma" w:cs="Tahoma"/>
          <w:b/>
          <w:bCs/>
          <w:lang w:eastAsia="es-CO"/>
        </w:rPr>
        <w:t xml:space="preserve">“El deber de información a cargo de las administradoras de </w:t>
      </w:r>
      <w:r w:rsidRPr="00ED34FC">
        <w:rPr>
          <w:rFonts w:ascii="Tahoma" w:eastAsia="Calibri" w:hAnsi="Tahoma" w:cs="Tahoma"/>
          <w:b/>
          <w:bCs/>
          <w:lang w:eastAsia="es-CO"/>
        </w:rPr>
        <w:lastRenderedPageBreak/>
        <w:t>fondos de pensiones: Un deber exigible desde su creación</w:t>
      </w:r>
      <w:r w:rsidRPr="00ED34FC">
        <w:rPr>
          <w:rFonts w:ascii="Tahoma" w:eastAsia="Calibri" w:hAnsi="Tahoma" w:cs="Tahoma"/>
          <w:bCs/>
          <w:vertAlign w:val="superscript"/>
          <w:lang w:eastAsia="es-CO"/>
        </w:rPr>
        <w:footnoteReference w:id="2"/>
      </w:r>
      <w:r w:rsidRPr="00ED34FC">
        <w:rPr>
          <w:rFonts w:ascii="Tahoma" w:eastAsia="Calibri" w:hAnsi="Tahoma" w:cs="Tahoma"/>
          <w:b/>
          <w:bCs/>
          <w:lang w:eastAsia="es-CO"/>
        </w:rPr>
        <w:t>”</w:t>
      </w:r>
    </w:p>
    <w:p w14:paraId="04110738"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1C4E9F86"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ED34FC">
        <w:rPr>
          <w:rFonts w:ascii="Tahoma" w:eastAsia="Calibri" w:hAnsi="Tahoma" w:cs="Tahoma"/>
          <w:u w:val="single"/>
          <w:lang w:eastAsia="es-CO"/>
        </w:rPr>
        <w:t>debida diligencia y cuidado</w:t>
      </w:r>
      <w:r w:rsidRPr="00ED34FC">
        <w:rPr>
          <w:rFonts w:ascii="Tahoma" w:eastAsia="Calibri" w:hAnsi="Tahoma" w:cs="Tahoma"/>
          <w:lang w:eastAsia="es-CO"/>
        </w:rPr>
        <w:t xml:space="preserve"> incumbe a quien ha debido emplearla, atendiendo a las siguientes razones:</w:t>
      </w:r>
    </w:p>
    <w:p w14:paraId="0F4AA9A8"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E5B3A91"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b/>
          <w:lang w:eastAsia="es-CO"/>
        </w:rPr>
        <w:t>1)</w:t>
      </w:r>
      <w:r w:rsidRPr="00ED34FC">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ED34FC">
        <w:rPr>
          <w:rFonts w:ascii="Tahoma" w:eastAsia="Calibri" w:hAnsi="Tahoma" w:cs="Tahoma"/>
          <w:u w:val="single"/>
          <w:lang w:eastAsia="es-CO"/>
        </w:rPr>
        <w:t>Decreto 663 de 1993</w:t>
      </w:r>
      <w:r w:rsidRPr="00ED34FC">
        <w:rPr>
          <w:rFonts w:ascii="Tahoma" w:eastAsia="Calibri" w:hAnsi="Tahoma" w:cs="Tahoma"/>
          <w:u w:val="single"/>
          <w:vertAlign w:val="superscript"/>
          <w:lang w:eastAsia="es-CO"/>
        </w:rPr>
        <w:footnoteReference w:id="3"/>
      </w:r>
      <w:r w:rsidRPr="00ED34FC">
        <w:rPr>
          <w:rFonts w:ascii="Tahoma" w:eastAsia="Calibri" w:hAnsi="Tahoma" w:cs="Tahoma"/>
          <w:lang w:eastAsia="es-CO"/>
        </w:rPr>
        <w:t>, norma en la que se destaca la importancia de los principios de debida diligencia, transparencia e información cierta, suficiente y oportuna.</w:t>
      </w:r>
    </w:p>
    <w:p w14:paraId="4CE2B0C8"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FA4B5E9"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b/>
          <w:lang w:eastAsia="es-CO"/>
        </w:rPr>
        <w:t>2)</w:t>
      </w:r>
      <w:r w:rsidRPr="00ED34FC">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ED34FC">
        <w:rPr>
          <w:rFonts w:ascii="Tahoma" w:eastAsia="Calibri" w:hAnsi="Tahoma" w:cs="Tahoma"/>
          <w:u w:val="single"/>
          <w:lang w:eastAsia="es-CO"/>
        </w:rPr>
        <w:t>suficiente, amplia y oportuna</w:t>
      </w:r>
      <w:r w:rsidRPr="00ED34FC">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5CE36989"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B5487F6"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b/>
          <w:lang w:eastAsia="es-CO"/>
        </w:rPr>
        <w:t>3)</w:t>
      </w:r>
      <w:r w:rsidRPr="00ED34FC">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4F09E05"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EADB63"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ED34FC">
        <w:rPr>
          <w:rFonts w:ascii="Tahoma" w:eastAsia="Calibri" w:hAnsi="Tahoma" w:cs="Tahoma"/>
          <w:b/>
          <w:lang w:eastAsia="es-CO"/>
        </w:rPr>
        <w:t>4)</w:t>
      </w:r>
      <w:r w:rsidRPr="00ED34FC">
        <w:rPr>
          <w:rFonts w:ascii="Tahoma" w:eastAsia="Calibri" w:hAnsi="Tahoma" w:cs="Tahoma"/>
          <w:lang w:eastAsia="es-CO"/>
        </w:rPr>
        <w:t xml:space="preserve"> En numerosas sentencias del órgano de cierre de la jurisdicción ordinaria laboral, se ha establecido que no puede argüirse que </w:t>
      </w:r>
      <w:r w:rsidRPr="00ED34FC">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D34FC">
        <w:rPr>
          <w:rFonts w:ascii="Tahoma" w:eastAsia="Calibri" w:hAnsi="Tahoma" w:cs="Tahoma"/>
          <w:i/>
          <w:iCs/>
          <w:lang w:eastAsia="es-CO"/>
        </w:rPr>
        <w:t>“</w:t>
      </w:r>
      <w:r w:rsidRPr="00ED34FC">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ED34FC">
        <w:rPr>
          <w:rFonts w:ascii="Tahoma" w:eastAsia="Calibri" w:hAnsi="Tahoma" w:cs="Tahoma"/>
          <w:i/>
          <w:iCs/>
          <w:u w:val="single"/>
          <w:lang w:eastAsia="es-CO"/>
        </w:rPr>
        <w:t>”</w:t>
      </w:r>
      <w:r w:rsidRPr="00ED34FC">
        <w:rPr>
          <w:rFonts w:ascii="Tahoma" w:eastAsia="Calibri" w:hAnsi="Tahoma" w:cs="Tahoma"/>
          <w:iCs/>
          <w:u w:val="single"/>
          <w:lang w:eastAsia="es-CO"/>
        </w:rPr>
        <w:t>.</w:t>
      </w:r>
    </w:p>
    <w:p w14:paraId="65EF604B"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2B4E1CDA"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ED34FC">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EB5977B"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4781440B"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ED34FC">
        <w:rPr>
          <w:rFonts w:ascii="Tahoma" w:eastAsia="Calibri" w:hAnsi="Tahoma" w:cs="Tahoma"/>
          <w:iCs/>
          <w:lang w:eastAsia="es-CO"/>
        </w:rPr>
        <w:tab/>
        <w:t xml:space="preserve">Dicho deber, como lo ha enseñado la Corte, es exigible desde las etapas previas </w:t>
      </w:r>
      <w:r w:rsidRPr="00ED34FC">
        <w:rPr>
          <w:rFonts w:ascii="Tahoma" w:eastAsia="Calibri" w:hAnsi="Tahoma" w:cs="Tahoma"/>
          <w:iCs/>
          <w:lang w:eastAsia="es-CO"/>
        </w:rPr>
        <w:lastRenderedPageBreak/>
        <w:t>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51C254D"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3CFC380"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ED34FC">
        <w:rPr>
          <w:rFonts w:ascii="Tahoma" w:eastAsia="Calibri" w:hAnsi="Tahoma" w:cs="Tahoma"/>
          <w:lang w:eastAsia="es-CO"/>
        </w:rPr>
        <w:tab/>
        <w:t xml:space="preserve">Ello así, también ha dicho el órgano de cierre de la especialidad laboral, que las </w:t>
      </w:r>
      <w:proofErr w:type="spellStart"/>
      <w:r w:rsidRPr="00ED34FC">
        <w:rPr>
          <w:rFonts w:ascii="Tahoma" w:eastAsia="Calibri" w:hAnsi="Tahoma" w:cs="Tahoma"/>
          <w:lang w:eastAsia="es-CO"/>
        </w:rPr>
        <w:t>AFPs</w:t>
      </w:r>
      <w:proofErr w:type="spellEnd"/>
      <w:r w:rsidRPr="00ED34FC">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48BFF1C"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C6A771"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8" w:name="_Hlk90025453"/>
      <w:r w:rsidRPr="00ED34FC">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ED34FC">
        <w:rPr>
          <w:rFonts w:ascii="Tahoma" w:eastAsia="Calibri" w:hAnsi="Tahoma" w:cs="Tahoma"/>
          <w:b/>
          <w:lang w:eastAsia="es-CO"/>
        </w:rPr>
        <w:t xml:space="preserve">necesaria y transparente, </w:t>
      </w:r>
      <w:r w:rsidRPr="00ED34FC">
        <w:rPr>
          <w:rFonts w:ascii="Tahoma" w:eastAsia="Calibri" w:hAnsi="Tahoma" w:cs="Tahoma"/>
          <w:lang w:eastAsia="es-CO"/>
        </w:rPr>
        <w:t xml:space="preserve">que con el transcurrir del tiempo esta exigencia cambió, pasando de un deber de información necesaria al de </w:t>
      </w:r>
      <w:r w:rsidRPr="00ED34FC">
        <w:rPr>
          <w:rFonts w:ascii="Tahoma" w:eastAsia="Calibri" w:hAnsi="Tahoma" w:cs="Tahoma"/>
          <w:b/>
          <w:lang w:eastAsia="es-CO"/>
        </w:rPr>
        <w:t>asesoría y buen consejo</w:t>
      </w:r>
      <w:r w:rsidRPr="00ED34FC">
        <w:rPr>
          <w:rFonts w:ascii="Tahoma" w:eastAsia="Calibri" w:hAnsi="Tahoma" w:cs="Tahoma"/>
          <w:lang w:eastAsia="es-CO"/>
        </w:rPr>
        <w:t xml:space="preserve">, y finalmente al de </w:t>
      </w:r>
      <w:r w:rsidRPr="00ED34FC">
        <w:rPr>
          <w:rFonts w:ascii="Tahoma" w:eastAsia="Calibri" w:hAnsi="Tahoma" w:cs="Tahoma"/>
          <w:b/>
          <w:lang w:eastAsia="es-CO"/>
        </w:rPr>
        <w:t>doble asesoría</w:t>
      </w:r>
      <w:r w:rsidRPr="00ED34FC">
        <w:rPr>
          <w:rFonts w:ascii="Tahoma" w:eastAsia="Calibri" w:hAnsi="Tahoma" w:cs="Tahoma"/>
          <w:lang w:eastAsia="es-CO"/>
        </w:rPr>
        <w:t>, explicando en qué consiste cada uno de esos conceptos</w:t>
      </w:r>
      <w:bookmarkEnd w:id="8"/>
      <w:r w:rsidRPr="00ED34FC">
        <w:rPr>
          <w:rFonts w:ascii="Tahoma" w:eastAsia="Calibri" w:hAnsi="Tahoma" w:cs="Tahoma"/>
          <w:lang w:eastAsia="es-CO"/>
        </w:rPr>
        <w:t>. Dicho recuento histórico, se compendia de la siguiente manera:</w:t>
      </w:r>
    </w:p>
    <w:p w14:paraId="551284D3"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7E6659" w14:textId="77777777" w:rsidR="00ED34FC" w:rsidRPr="00ED34FC" w:rsidRDefault="00ED34FC" w:rsidP="00ED34FC">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9" w:name="_Hlk66368436"/>
      <w:r w:rsidRPr="00ED34FC">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06293A0E" w14:textId="77777777" w:rsidR="00ED34FC" w:rsidRPr="00ED34FC" w:rsidRDefault="00ED34FC" w:rsidP="00ED34FC">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D34FC" w:rsidRPr="00ED34FC" w14:paraId="4EFB3F11"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A4D6C4"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b/>
                <w:bCs/>
                <w:i/>
                <w:iCs/>
                <w:sz w:val="20"/>
                <w:lang w:eastAsia="es-ES"/>
              </w:rPr>
              <w:t>Etapa acumulativa</w:t>
            </w:r>
            <w:r w:rsidRPr="00ED34F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D01970"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b/>
                <w:bCs/>
                <w:i/>
                <w:iCs/>
                <w:sz w:val="20"/>
                <w:lang w:eastAsia="es-ES"/>
              </w:rPr>
              <w:t>Normas que obligan a las administradoras de pensiones a dar información</w:t>
            </w:r>
            <w:r w:rsidRPr="00ED34F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6C9775"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b/>
                <w:bCs/>
                <w:i/>
                <w:iCs/>
                <w:sz w:val="20"/>
                <w:lang w:eastAsia="es-ES"/>
              </w:rPr>
              <w:t>Contenido mínimo y alcance del deber de información</w:t>
            </w:r>
            <w:r w:rsidRPr="00ED34FC">
              <w:rPr>
                <w:rFonts w:ascii="Tahoma" w:eastAsia="Times New Roman" w:hAnsi="Tahoma" w:cs="Tahoma"/>
                <w:sz w:val="20"/>
                <w:lang w:eastAsia="es-ES"/>
              </w:rPr>
              <w:t> </w:t>
            </w:r>
          </w:p>
        </w:tc>
      </w:tr>
      <w:tr w:rsidR="00ED34FC" w:rsidRPr="00ED34FC" w14:paraId="11C8C965"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AF47AB"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Deber de información </w:t>
            </w:r>
            <w:r w:rsidRPr="00ED34F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5D3274"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Arts. 13 literal b), 271 y 272 de la Ley 100 de 1993</w:t>
            </w:r>
            <w:r w:rsidRPr="00ED34FC">
              <w:rPr>
                <w:rFonts w:ascii="Tahoma" w:eastAsia="Times New Roman" w:hAnsi="Tahoma" w:cs="Tahoma"/>
                <w:sz w:val="20"/>
                <w:lang w:eastAsia="es-ES"/>
              </w:rPr>
              <w:t> </w:t>
            </w:r>
          </w:p>
          <w:p w14:paraId="246562FC"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Art. 97, numeral 1 del Decreto 663 de 1993, modificado por el artículo 23 de la Ley 797 de 2003</w:t>
            </w:r>
            <w:r w:rsidRPr="00ED34FC">
              <w:rPr>
                <w:rFonts w:ascii="Tahoma" w:eastAsia="Times New Roman" w:hAnsi="Tahoma" w:cs="Tahoma"/>
                <w:sz w:val="20"/>
                <w:lang w:eastAsia="es-ES"/>
              </w:rPr>
              <w:t> </w:t>
            </w:r>
          </w:p>
          <w:p w14:paraId="60932507"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Disposiciones constitucionales relativas al derecho a la información, no menoscabo de derechos laborales y autonomía personal</w:t>
            </w:r>
            <w:r w:rsidRPr="00ED34F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8006253"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D34FC">
              <w:rPr>
                <w:rFonts w:ascii="Tahoma" w:eastAsia="Times New Roman" w:hAnsi="Tahoma" w:cs="Tahoma"/>
                <w:sz w:val="20"/>
                <w:lang w:eastAsia="es-ES"/>
              </w:rPr>
              <w:t> </w:t>
            </w:r>
          </w:p>
        </w:tc>
      </w:tr>
      <w:tr w:rsidR="00ED34FC" w:rsidRPr="00ED34FC" w14:paraId="6A9AC75D"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EE2E6DB"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Deber de información, asesoría y buen consejo</w:t>
            </w:r>
            <w:r w:rsidRPr="00ED34F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BF3E1E"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Artículo 3, literal c) de la Ley 1328 de 2009</w:t>
            </w:r>
            <w:r w:rsidRPr="00ED34FC">
              <w:rPr>
                <w:rFonts w:ascii="Tahoma" w:eastAsia="Times New Roman" w:hAnsi="Tahoma" w:cs="Tahoma"/>
                <w:sz w:val="20"/>
                <w:lang w:eastAsia="es-ES"/>
              </w:rPr>
              <w:t> </w:t>
            </w:r>
          </w:p>
          <w:p w14:paraId="60BEE794"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Decreto 2241 de 2010</w:t>
            </w:r>
            <w:r w:rsidRPr="00ED34F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C6FB13"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D34FC">
              <w:rPr>
                <w:rFonts w:ascii="Tahoma" w:eastAsia="Times New Roman" w:hAnsi="Tahoma" w:cs="Tahoma"/>
                <w:sz w:val="20"/>
                <w:lang w:eastAsia="es-ES"/>
              </w:rPr>
              <w:t> </w:t>
            </w:r>
          </w:p>
        </w:tc>
      </w:tr>
      <w:tr w:rsidR="00ED34FC" w:rsidRPr="00ED34FC" w14:paraId="5F8B3D6E"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EDF3538"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lastRenderedPageBreak/>
              <w:t>Deber de información, asesoría, buen consejo y doble asesoría. </w:t>
            </w:r>
            <w:r w:rsidRPr="00ED34F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09778A"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Ley 1748 de 2014</w:t>
            </w:r>
            <w:r w:rsidRPr="00ED34FC">
              <w:rPr>
                <w:rFonts w:ascii="Tahoma" w:eastAsia="Times New Roman" w:hAnsi="Tahoma" w:cs="Tahoma"/>
                <w:sz w:val="20"/>
                <w:lang w:eastAsia="es-ES"/>
              </w:rPr>
              <w:t> </w:t>
            </w:r>
          </w:p>
          <w:p w14:paraId="5A3BCCF0"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Artículo 3 del Decreto 2071 de 2015</w:t>
            </w:r>
            <w:r w:rsidRPr="00ED34FC">
              <w:rPr>
                <w:rFonts w:ascii="Tahoma" w:eastAsia="Times New Roman" w:hAnsi="Tahoma" w:cs="Tahoma"/>
                <w:sz w:val="20"/>
                <w:lang w:eastAsia="es-ES"/>
              </w:rPr>
              <w:t> </w:t>
            </w:r>
          </w:p>
          <w:p w14:paraId="4331EAEE"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Circular Externa n. 016 de 2016</w:t>
            </w:r>
            <w:r w:rsidRPr="00ED34F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0E7AD5" w14:textId="77777777" w:rsidR="00ED34FC" w:rsidRPr="00ED34FC" w:rsidRDefault="00ED34FC" w:rsidP="00ED34FC">
            <w:pPr>
              <w:spacing w:before="0" w:beforeAutospacing="0" w:after="0" w:afterAutospacing="0" w:line="276" w:lineRule="auto"/>
              <w:ind w:firstLine="0"/>
              <w:textAlignment w:val="baseline"/>
              <w:rPr>
                <w:rFonts w:ascii="Tahoma" w:eastAsia="Times New Roman" w:hAnsi="Tahoma" w:cs="Tahoma"/>
                <w:sz w:val="20"/>
                <w:lang w:eastAsia="es-ES"/>
              </w:rPr>
            </w:pPr>
            <w:r w:rsidRPr="00ED34FC">
              <w:rPr>
                <w:rFonts w:ascii="Tahoma" w:eastAsia="Times New Roman" w:hAnsi="Tahoma" w:cs="Tahoma"/>
                <w:i/>
                <w:iCs/>
                <w:sz w:val="20"/>
                <w:lang w:eastAsia="es-ES"/>
              </w:rPr>
              <w:t>Junto con lo anterior, lleva inmerso el derecho a obtener asesoría de los representantes de ambos regímenes pensionales.</w:t>
            </w:r>
            <w:r w:rsidRPr="00ED34FC">
              <w:rPr>
                <w:rFonts w:ascii="Tahoma" w:eastAsia="Times New Roman" w:hAnsi="Tahoma" w:cs="Tahoma"/>
                <w:sz w:val="20"/>
                <w:lang w:eastAsia="es-ES"/>
              </w:rPr>
              <w:t> </w:t>
            </w:r>
          </w:p>
        </w:tc>
      </w:tr>
    </w:tbl>
    <w:p w14:paraId="7BC08F22" w14:textId="77777777" w:rsidR="00ED34FC" w:rsidRPr="00ED34FC" w:rsidRDefault="00ED34FC" w:rsidP="00ED34FC">
      <w:pPr>
        <w:spacing w:before="0" w:beforeAutospacing="0" w:after="0" w:afterAutospacing="0" w:line="240" w:lineRule="auto"/>
        <w:ind w:left="426" w:right="420" w:firstLine="0"/>
        <w:rPr>
          <w:rFonts w:ascii="Tahoma" w:eastAsia="Calibri" w:hAnsi="Tahoma" w:cs="Tahoma"/>
          <w:b/>
          <w:i/>
          <w:spacing w:val="-4"/>
          <w:sz w:val="22"/>
          <w:lang w:eastAsia="es-CO"/>
        </w:rPr>
      </w:pPr>
    </w:p>
    <w:bookmarkEnd w:id="9"/>
    <w:p w14:paraId="253FF3F4" w14:textId="77777777" w:rsidR="00ED34FC" w:rsidRPr="00ED34FC" w:rsidRDefault="00ED34FC" w:rsidP="00ED34FC">
      <w:pPr>
        <w:spacing w:before="0" w:beforeAutospacing="0" w:after="0" w:afterAutospacing="0" w:line="240" w:lineRule="auto"/>
        <w:ind w:left="426" w:right="420" w:firstLine="0"/>
        <w:rPr>
          <w:rFonts w:ascii="Tahoma" w:eastAsia="Calibri" w:hAnsi="Tahoma" w:cs="Tahoma"/>
          <w:b/>
          <w:i/>
          <w:sz w:val="22"/>
          <w:lang w:eastAsia="es-CO"/>
        </w:rPr>
      </w:pPr>
      <w:r w:rsidRPr="00ED34FC">
        <w:rPr>
          <w:rFonts w:ascii="Tahoma" w:eastAsia="Calibri" w:hAnsi="Tahoma" w:cs="Tahoma"/>
          <w:b/>
          <w:i/>
          <w:sz w:val="22"/>
          <w:lang w:eastAsia="es-CO"/>
        </w:rPr>
        <w:t>1.4 Conclusión: La constatación del deber de información es ineludible</w:t>
      </w:r>
    </w:p>
    <w:p w14:paraId="217EA0FF" w14:textId="77777777" w:rsidR="00ED34FC" w:rsidRPr="00ED34FC" w:rsidRDefault="00ED34FC" w:rsidP="00ED34FC">
      <w:pPr>
        <w:spacing w:before="0" w:beforeAutospacing="0" w:after="0" w:afterAutospacing="0" w:line="240" w:lineRule="auto"/>
        <w:ind w:left="426" w:right="420" w:firstLine="0"/>
        <w:rPr>
          <w:rFonts w:ascii="Tahoma" w:eastAsia="Calibri" w:hAnsi="Tahoma" w:cs="Tahoma"/>
          <w:b/>
          <w:i/>
          <w:sz w:val="22"/>
          <w:lang w:eastAsia="es-CO"/>
        </w:rPr>
      </w:pPr>
    </w:p>
    <w:p w14:paraId="11F329CF" w14:textId="77777777" w:rsidR="00ED34FC" w:rsidRPr="00ED34FC" w:rsidRDefault="00ED34FC" w:rsidP="00ED34FC">
      <w:pPr>
        <w:spacing w:before="0" w:beforeAutospacing="0" w:after="0" w:afterAutospacing="0" w:line="240" w:lineRule="auto"/>
        <w:ind w:left="426" w:right="420" w:firstLine="1"/>
        <w:rPr>
          <w:rFonts w:ascii="Tahoma" w:eastAsia="Calibri" w:hAnsi="Tahoma" w:cs="Tahoma"/>
          <w:i/>
          <w:sz w:val="22"/>
          <w:lang w:eastAsia="es-CO"/>
        </w:rPr>
      </w:pPr>
      <w:r w:rsidRPr="00ED34FC">
        <w:rPr>
          <w:rFonts w:ascii="Tahoma" w:eastAsia="Calibri" w:hAnsi="Tahoma" w:cs="Tahoma"/>
          <w:i/>
          <w:sz w:val="22"/>
          <w:lang w:eastAsia="es-CO"/>
        </w:rPr>
        <w:t xml:space="preserve">Según se pudo advertir del anterior recuento, </w:t>
      </w:r>
      <w:r w:rsidRPr="00ED34FC">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ED34FC">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897B581" w14:textId="77777777" w:rsidR="00ED34FC" w:rsidRPr="00ED34FC" w:rsidRDefault="00ED34FC" w:rsidP="00ED34FC">
      <w:pPr>
        <w:spacing w:before="0" w:beforeAutospacing="0" w:after="0" w:afterAutospacing="0" w:line="240" w:lineRule="auto"/>
        <w:ind w:left="426" w:right="420" w:firstLine="1"/>
        <w:rPr>
          <w:rFonts w:ascii="Tahoma" w:eastAsia="Calibri" w:hAnsi="Tahoma" w:cs="Tahoma"/>
          <w:i/>
          <w:sz w:val="22"/>
          <w:lang w:eastAsia="es-CO"/>
        </w:rPr>
      </w:pPr>
    </w:p>
    <w:p w14:paraId="2F1ADE65" w14:textId="77777777" w:rsidR="00ED34FC" w:rsidRPr="00ED34FC" w:rsidRDefault="00ED34FC" w:rsidP="00ED34FC">
      <w:pPr>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34D29BF0" w14:textId="77777777" w:rsidR="00ED34FC" w:rsidRPr="00ED34FC" w:rsidRDefault="00ED34FC" w:rsidP="00ED34FC">
      <w:pPr>
        <w:spacing w:before="0" w:beforeAutospacing="0" w:after="0" w:afterAutospacing="0" w:line="240" w:lineRule="auto"/>
        <w:ind w:left="426" w:right="420" w:firstLine="0"/>
        <w:rPr>
          <w:rFonts w:ascii="Tahoma" w:eastAsia="Calibri" w:hAnsi="Tahoma" w:cs="Tahoma"/>
          <w:i/>
          <w:sz w:val="22"/>
          <w:lang w:eastAsia="es-CO"/>
        </w:rPr>
      </w:pPr>
    </w:p>
    <w:p w14:paraId="0EB51876" w14:textId="77777777" w:rsidR="00ED34FC" w:rsidRPr="00ED34FC" w:rsidRDefault="00ED34FC" w:rsidP="00ED34FC">
      <w:pPr>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Adicionalmente, la Sala no puede pasar por alto la indebida fundamentación con la que </w:t>
      </w:r>
      <w:r w:rsidRPr="00ED34FC">
        <w:rPr>
          <w:rFonts w:ascii="Tahoma" w:eastAsia="Calibri" w:hAnsi="Tahoma" w:cs="Tahoma"/>
          <w:bCs/>
          <w:i/>
          <w:sz w:val="22"/>
          <w:lang w:eastAsia="es-CO"/>
        </w:rPr>
        <w:t>la Sala Primera de Decisión Laboral del Tribunal de Medellín</w:t>
      </w:r>
      <w:r w:rsidRPr="00ED34FC">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121166A" w14:textId="5B778DC8" w:rsid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87250C" w14:textId="77777777" w:rsidR="008D71DA" w:rsidRPr="00ED34FC" w:rsidRDefault="008D71DA"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D65AF43" w14:textId="77777777" w:rsidR="00ED34FC" w:rsidRPr="00ED34FC" w:rsidRDefault="00ED34FC" w:rsidP="00ED34FC">
      <w:pPr>
        <w:widowControl w:val="0"/>
        <w:numPr>
          <w:ilvl w:val="1"/>
          <w:numId w:val="10"/>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ED34FC">
        <w:rPr>
          <w:rFonts w:ascii="Tahoma" w:eastAsia="Calibri" w:hAnsi="Tahoma" w:cs="Tahoma"/>
          <w:b/>
          <w:bCs/>
          <w:lang w:eastAsia="es-CO"/>
        </w:rPr>
        <w:t>“El simple consentimiento vertido en el formulario de afiliación es insuficiente – Necesidad de un consentimiento informado”</w:t>
      </w:r>
      <w:r w:rsidRPr="00ED34FC">
        <w:rPr>
          <w:rFonts w:ascii="Tahoma" w:eastAsia="Calibri" w:hAnsi="Tahoma" w:cs="Tahoma"/>
          <w:b/>
          <w:iCs/>
          <w:lang w:eastAsia="es-CO"/>
        </w:rPr>
        <w:t xml:space="preserve"> </w:t>
      </w:r>
      <w:r w:rsidRPr="00ED34FC">
        <w:rPr>
          <w:rFonts w:ascii="Tahoma" w:eastAsia="Calibri" w:hAnsi="Tahoma" w:cs="Tahoma"/>
          <w:b/>
          <w:iCs/>
          <w:vertAlign w:val="superscript"/>
          <w:lang w:eastAsia="es-CO"/>
        </w:rPr>
        <w:footnoteReference w:id="4"/>
      </w:r>
      <w:r w:rsidRPr="00ED34FC">
        <w:rPr>
          <w:rFonts w:ascii="Tahoma" w:eastAsia="Calibri" w:hAnsi="Tahoma" w:cs="Tahoma"/>
          <w:b/>
          <w:iCs/>
          <w:lang w:eastAsia="es-CO"/>
        </w:rPr>
        <w:t xml:space="preserve"> </w:t>
      </w:r>
    </w:p>
    <w:p w14:paraId="11014D26"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9F959EE"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lang w:eastAsia="es-CO"/>
        </w:rPr>
        <w:t xml:space="preserve">El valor probatorio de los formularios de afiliación, fue abordado en la sentencia a la que venimos haciendo referencia, en el sentido de que </w:t>
      </w:r>
      <w:bookmarkStart w:id="10" w:name="_Hlk114553616"/>
      <w:r w:rsidRPr="00ED34FC">
        <w:rPr>
          <w:rFonts w:ascii="Tahoma" w:eastAsia="Calibri" w:hAnsi="Tahoma" w:cs="Tahoma"/>
          <w:lang w:eastAsia="es-CO"/>
        </w:rPr>
        <w:t xml:space="preserve">los formularios de afiliación a lo sumo acreditan un consentimiento, </w:t>
      </w:r>
      <w:r w:rsidRPr="00ED34FC">
        <w:rPr>
          <w:rFonts w:ascii="Tahoma" w:eastAsia="Calibri" w:hAnsi="Tahoma" w:cs="Tahoma"/>
          <w:b/>
          <w:lang w:eastAsia="es-CO"/>
        </w:rPr>
        <w:t>pero no informado</w:t>
      </w:r>
      <w:r w:rsidRPr="00ED34FC">
        <w:rPr>
          <w:rFonts w:ascii="Tahoma" w:eastAsia="Calibri" w:hAnsi="Tahoma" w:cs="Tahoma"/>
          <w:lang w:eastAsia="es-CO"/>
        </w:rPr>
        <w:t xml:space="preserve">, tal como se expresa a continuación: </w:t>
      </w:r>
    </w:p>
    <w:p w14:paraId="6DFC0954"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8FEBDBE"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5FC22752"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366B5406"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La Sala considera desacertada esta tesis, en la medida que la firma del formulario, al igual que las afirmaciones consignadas en los formatos preimpresos de los fondos de pensiones, tales como «la afiliación se hace libre y voluntaria», «se ha efectuado libre, </w:t>
      </w:r>
      <w:r w:rsidRPr="00ED34FC">
        <w:rPr>
          <w:rFonts w:ascii="Tahoma" w:eastAsia="Calibri" w:hAnsi="Tahoma" w:cs="Tahoma"/>
          <w:i/>
          <w:sz w:val="22"/>
          <w:lang w:eastAsia="es-CO"/>
        </w:rPr>
        <w:lastRenderedPageBreak/>
        <w:t>espontánea y sin presiones» u otro tipo de leyendas de este tipo o aseveraciones, no son suficientes para dar por demostrado el deber de información. A lo sumo, acreditan un consentimiento, pero no informado. (…)</w:t>
      </w:r>
    </w:p>
    <w:bookmarkEnd w:id="10"/>
    <w:p w14:paraId="4E833ED9"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C0EEE6A"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3DD1B59"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546ED9B5"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BA2CD52"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6FAB9116"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ED34FC">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23E9F214"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60F8B11F"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7526650" w14:textId="1FA50CB6" w:rsidR="00ED34FC" w:rsidRDefault="00ED34FC" w:rsidP="00ED34FC">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19E5634F" w14:textId="77777777" w:rsidR="008D71DA" w:rsidRPr="00ED34FC" w:rsidRDefault="008D71DA" w:rsidP="00ED34FC">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0F2BF278" w14:textId="77777777" w:rsidR="00ED34FC" w:rsidRPr="00ED34FC" w:rsidRDefault="00ED34FC" w:rsidP="00ED34FC">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11" w:name="_Hlk109243055"/>
      <w:r w:rsidRPr="00ED34FC">
        <w:rPr>
          <w:rFonts w:ascii="Tahoma" w:eastAsia="Calibri" w:hAnsi="Tahoma" w:cs="Tahoma"/>
          <w:b/>
          <w:bCs/>
          <w:lang w:eastAsia="es-CO"/>
        </w:rPr>
        <w:t xml:space="preserve">Los actos de relacionamiento, </w:t>
      </w:r>
      <w:proofErr w:type="spellStart"/>
      <w:r w:rsidRPr="00ED34FC">
        <w:rPr>
          <w:rFonts w:ascii="Tahoma" w:eastAsia="Calibri" w:hAnsi="Tahoma" w:cs="Tahoma"/>
          <w:b/>
          <w:bCs/>
          <w:lang w:eastAsia="es-CO"/>
        </w:rPr>
        <w:t>reasesorías</w:t>
      </w:r>
      <w:proofErr w:type="spellEnd"/>
      <w:r w:rsidRPr="00ED34FC">
        <w:rPr>
          <w:rFonts w:ascii="Tahoma" w:eastAsia="Calibri" w:hAnsi="Tahoma" w:cs="Tahoma"/>
          <w:b/>
          <w:bCs/>
          <w:lang w:eastAsia="es-CO"/>
        </w:rPr>
        <w:t>, falta de retorno al RPM en el tiempo estipulado por la ley, publicaciones de prensa y extractos de la cuenta de ahorro individual no desestiman la ineficacia por la falta de información al momento del traslado al RAIS.</w:t>
      </w:r>
    </w:p>
    <w:p w14:paraId="24018C2F" w14:textId="77777777" w:rsidR="00ED34FC" w:rsidRPr="00ED34FC" w:rsidRDefault="00ED34FC" w:rsidP="00ED34FC">
      <w:pPr>
        <w:widowControl w:val="0"/>
        <w:autoSpaceDE w:val="0"/>
        <w:autoSpaceDN w:val="0"/>
        <w:adjustRightInd w:val="0"/>
        <w:spacing w:before="0" w:beforeAutospacing="0" w:after="0" w:afterAutospacing="0" w:line="276" w:lineRule="auto"/>
        <w:ind w:left="1429" w:firstLine="0"/>
        <w:contextualSpacing/>
        <w:rPr>
          <w:rFonts w:ascii="Tahoma" w:eastAsia="Calibri" w:hAnsi="Tahoma" w:cs="Tahoma"/>
          <w:b/>
          <w:bCs/>
          <w:lang w:eastAsia="es-CO"/>
        </w:rPr>
      </w:pPr>
    </w:p>
    <w:p w14:paraId="6A6BAF74" w14:textId="77777777" w:rsidR="00ED34FC" w:rsidRPr="00ED34FC" w:rsidRDefault="00ED34FC" w:rsidP="00ED34FC">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2" w:name="_Hlk109255998"/>
      <w:bookmarkEnd w:id="11"/>
      <w:r w:rsidRPr="00ED34FC">
        <w:rPr>
          <w:rFonts w:ascii="Tahoma" w:eastAsia="Calibri" w:hAnsi="Tahoma" w:cs="Tahoma"/>
          <w:bCs/>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ED34FC">
        <w:rPr>
          <w:rFonts w:ascii="Tahoma" w:eastAsia="Calibri" w:hAnsi="Tahoma" w:cs="Tahoma"/>
          <w:bCs/>
          <w:vertAlign w:val="superscript"/>
          <w:lang w:eastAsia="es-CO"/>
        </w:rPr>
        <w:footnoteReference w:id="5"/>
      </w:r>
      <w:r w:rsidRPr="00ED34FC">
        <w:rPr>
          <w:rFonts w:ascii="Tahoma" w:eastAsia="Calibri" w:hAnsi="Tahoma" w:cs="Tahoma"/>
          <w:bCs/>
          <w:lang w:eastAsia="es-CO"/>
        </w:rPr>
        <w:t xml:space="preserve"> que memora la sentencia CSJ </w:t>
      </w:r>
      <w:r w:rsidRPr="00ED34FC">
        <w:rPr>
          <w:rFonts w:ascii="Tahoma" w:eastAsia="Calibri" w:hAnsi="Tahoma" w:cs="Tahoma"/>
          <w:bCs/>
          <w:lang w:eastAsia="es-CO"/>
        </w:rPr>
        <w:lastRenderedPageBreak/>
        <w:t>SL, 9 sep. 2008, rad. 31989 expuso:</w:t>
      </w:r>
    </w:p>
    <w:p w14:paraId="4036E0D0"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145B6614"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1167D0EE"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56C6EEC3" w14:textId="77777777" w:rsidR="00ED34FC" w:rsidRPr="00ED34FC" w:rsidRDefault="00ED34FC" w:rsidP="00ED34FC">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ED34FC">
        <w:rPr>
          <w:rFonts w:ascii="Tahoma" w:eastAsia="Calibri" w:hAnsi="Tahoma" w:cs="Tahoma"/>
          <w:bCs/>
          <w:lang w:eastAsia="es-CO"/>
        </w:rPr>
        <w:t>En este orden de ideas, en la sentencia CSJ SL 5686 de 2021</w:t>
      </w:r>
      <w:r w:rsidRPr="00ED34FC">
        <w:rPr>
          <w:rFonts w:ascii="Tahoma" w:eastAsia="Calibri" w:hAnsi="Tahoma" w:cs="Tahoma"/>
          <w:bCs/>
          <w:vertAlign w:val="superscript"/>
          <w:lang w:eastAsia="es-CO"/>
        </w:rPr>
        <w:footnoteReference w:id="6"/>
      </w:r>
      <w:r w:rsidRPr="00ED34FC">
        <w:rPr>
          <w:rFonts w:ascii="Tahoma" w:eastAsia="Calibri" w:hAnsi="Tahoma" w:cs="Tahoma"/>
          <w:bCs/>
          <w:lang w:eastAsia="es-CO"/>
        </w:rPr>
        <w:t xml:space="preserve"> traída a colación en la CSJ SL1926-2022</w:t>
      </w:r>
      <w:r w:rsidRPr="00ED34FC">
        <w:rPr>
          <w:rFonts w:ascii="Tahoma" w:eastAsia="Calibri" w:hAnsi="Tahoma" w:cs="Tahoma"/>
          <w:bCs/>
          <w:vertAlign w:val="superscript"/>
          <w:lang w:eastAsia="es-CO"/>
        </w:rPr>
        <w:footnoteReference w:id="7"/>
      </w:r>
      <w:r w:rsidRPr="00ED34FC">
        <w:rPr>
          <w:rFonts w:ascii="Tahoma" w:eastAsia="Calibri" w:hAnsi="Tahoma" w:cs="Tahoma"/>
          <w:bCs/>
          <w:lang w:eastAsia="es-CO"/>
        </w:rPr>
        <w:t xml:space="preserve"> añadió:</w:t>
      </w:r>
    </w:p>
    <w:p w14:paraId="28C28070" w14:textId="77777777" w:rsidR="00ED34FC" w:rsidRPr="00ED34FC" w:rsidRDefault="00ED34FC" w:rsidP="00ED34FC">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48C61B1C"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730AD384"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16160B3"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0FC75C51" w14:textId="77777777" w:rsidR="00ED34FC" w:rsidRPr="00ED34FC" w:rsidRDefault="00ED34FC" w:rsidP="00ED34FC">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6E2D461F" w14:textId="77777777" w:rsidR="00ED34FC" w:rsidRPr="00ED34FC" w:rsidRDefault="00ED34FC" w:rsidP="00ED34FC">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ED34FC">
        <w:rPr>
          <w:rFonts w:ascii="Tahoma" w:eastAsia="Calibri" w:hAnsi="Tahoma" w:cs="Tahoma"/>
          <w:bCs/>
          <w:lang w:eastAsia="es-CO"/>
        </w:rPr>
        <w:t>Posteriormente, la sentencia CSJ SL1055 de 2022</w:t>
      </w:r>
      <w:r w:rsidRPr="00ED34FC">
        <w:rPr>
          <w:rFonts w:ascii="Tahoma" w:eastAsia="Calibri" w:hAnsi="Tahoma" w:cs="Tahoma"/>
          <w:bCs/>
          <w:vertAlign w:val="superscript"/>
          <w:lang w:eastAsia="es-CO"/>
        </w:rPr>
        <w:footnoteReference w:id="8"/>
      </w:r>
      <w:r w:rsidRPr="00ED34FC">
        <w:rPr>
          <w:rFonts w:ascii="Tahoma" w:eastAsia="Calibri" w:hAnsi="Tahoma" w:cs="Tahoma"/>
          <w:bCs/>
          <w:lang w:eastAsia="es-CO"/>
        </w:rPr>
        <w:t xml:space="preserve"> también recogió las posturas contrarias establecidas por las Sala de Descongestión de la Corte en las providencias </w:t>
      </w:r>
      <w:r w:rsidRPr="00ED34FC">
        <w:rPr>
          <w:rFonts w:ascii="Tahoma" w:eastAsia="Calibri" w:hAnsi="Tahoma" w:cs="Tahoma"/>
          <w:bCs/>
          <w:lang w:val="es-ES" w:eastAsia="es-CO"/>
        </w:rPr>
        <w:t>CSJ SL249-2022 y SL259-2022, y en su lugar ratificó:</w:t>
      </w:r>
    </w:p>
    <w:p w14:paraId="59E80F87" w14:textId="77777777" w:rsidR="00ED34FC" w:rsidRPr="00ED34FC" w:rsidRDefault="00ED34FC" w:rsidP="00ED34FC">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36A8A4CE"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7EC748DA" w14:textId="77777777" w:rsidR="00ED34FC" w:rsidRPr="00ED34FC" w:rsidRDefault="00ED34FC" w:rsidP="00ED34FC">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3E42C11E"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bCs/>
          <w:lang w:eastAsia="es-CO"/>
        </w:rPr>
        <w:t xml:space="preserve">Igual cosa se ha predicado de las </w:t>
      </w:r>
      <w:proofErr w:type="spellStart"/>
      <w:r w:rsidRPr="00ED34FC">
        <w:rPr>
          <w:rFonts w:ascii="Tahoma" w:eastAsia="Calibri" w:hAnsi="Tahoma" w:cs="Tahoma"/>
          <w:bCs/>
          <w:lang w:eastAsia="es-CO"/>
        </w:rPr>
        <w:t>reasesorías</w:t>
      </w:r>
      <w:proofErr w:type="spellEnd"/>
      <w:r w:rsidRPr="00ED34FC">
        <w:rPr>
          <w:rFonts w:ascii="Tahoma" w:eastAsia="Calibri" w:hAnsi="Tahoma" w:cs="Tahoma"/>
          <w:bCs/>
          <w:lang w:eastAsia="es-CO"/>
        </w:rPr>
        <w:t xml:space="preserve"> posteriores dadas al interior de las AFP</w:t>
      </w:r>
      <w:r w:rsidRPr="00ED34FC">
        <w:rPr>
          <w:rFonts w:ascii="Tahoma" w:eastAsia="Calibri" w:hAnsi="Tahoma" w:cs="Tahoma"/>
          <w:lang w:eastAsia="es-CO"/>
        </w:rPr>
        <w:t xml:space="preserve">, las cuales tampoco convalidan el traslado, como quedó dicho en la citada sentencia del 8 de mayo de 2019 SL 1688-2019, así: </w:t>
      </w:r>
    </w:p>
    <w:p w14:paraId="21F7615C"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ED34FC">
        <w:rPr>
          <w:rFonts w:ascii="Tahoma" w:eastAsia="Calibri" w:hAnsi="Tahoma" w:cs="Tahoma"/>
          <w:lang w:eastAsia="es-CO"/>
        </w:rPr>
        <w:t xml:space="preserve">  </w:t>
      </w:r>
    </w:p>
    <w:p w14:paraId="2A5EC883"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“Ahora, si bien la AFP brindó a la actora una </w:t>
      </w:r>
      <w:proofErr w:type="spellStart"/>
      <w:r w:rsidRPr="00ED34FC">
        <w:rPr>
          <w:rFonts w:ascii="Tahoma" w:eastAsia="Calibri" w:hAnsi="Tahoma" w:cs="Tahoma"/>
          <w:i/>
          <w:sz w:val="22"/>
          <w:lang w:eastAsia="es-CO"/>
        </w:rPr>
        <w:t>reasesoría</w:t>
      </w:r>
      <w:proofErr w:type="spellEnd"/>
      <w:r w:rsidRPr="00ED34FC">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13F0503"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 </w:t>
      </w:r>
    </w:p>
    <w:p w14:paraId="39AFF924"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lastRenderedPageBreak/>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ED34FC">
        <w:rPr>
          <w:rFonts w:ascii="Tahoma" w:eastAsia="Calibri" w:hAnsi="Tahoma" w:cs="Tahoma"/>
          <w:i/>
          <w:sz w:val="22"/>
          <w:lang w:eastAsia="es-CO"/>
        </w:rPr>
        <w:t>reasesoría</w:t>
      </w:r>
      <w:proofErr w:type="spellEnd"/>
      <w:r w:rsidRPr="00ED34FC">
        <w:rPr>
          <w:rFonts w:ascii="Tahoma" w:eastAsia="Calibri" w:hAnsi="Tahoma" w:cs="Tahoma"/>
          <w:i/>
          <w:sz w:val="22"/>
          <w:lang w:eastAsia="es-CO"/>
        </w:rPr>
        <w:t>, de todas formas, ya había perdido la transición.</w:t>
      </w:r>
    </w:p>
    <w:p w14:paraId="2EF5A4A2"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 </w:t>
      </w:r>
    </w:p>
    <w:p w14:paraId="20B9AA6D"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DCBEDB2"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 </w:t>
      </w:r>
    </w:p>
    <w:p w14:paraId="636A6DD3"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Por otro lado, no es de recibo el planteo de Protección S.A., cuando sostiene que una vez realizó la </w:t>
      </w:r>
      <w:proofErr w:type="spellStart"/>
      <w:r w:rsidRPr="00ED34FC">
        <w:rPr>
          <w:rFonts w:ascii="Tahoma" w:eastAsia="Calibri" w:hAnsi="Tahoma" w:cs="Tahoma"/>
          <w:i/>
          <w:sz w:val="22"/>
          <w:lang w:eastAsia="es-CO"/>
        </w:rPr>
        <w:t>reasesoría</w:t>
      </w:r>
      <w:proofErr w:type="spellEnd"/>
      <w:r w:rsidRPr="00ED34FC">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5041F48" w14:textId="77777777" w:rsidR="00ED34FC" w:rsidRPr="00ED34FC" w:rsidRDefault="00ED34FC" w:rsidP="00ED34FC">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2"/>
    <w:p w14:paraId="0A30C8A7" w14:textId="77777777" w:rsidR="00ED34FC" w:rsidRPr="00ED34FC" w:rsidRDefault="00ED34FC" w:rsidP="00ED34FC">
      <w:pPr>
        <w:spacing w:before="0" w:beforeAutospacing="0" w:after="0" w:afterAutospacing="0" w:line="276" w:lineRule="auto"/>
        <w:ind w:right="-5"/>
        <w:contextualSpacing/>
        <w:rPr>
          <w:rFonts w:ascii="Tahoma" w:eastAsia="Calibri" w:hAnsi="Tahoma" w:cs="Tahoma"/>
          <w:iCs/>
          <w:lang w:val="es-ES"/>
        </w:rPr>
      </w:pPr>
      <w:r w:rsidRPr="00ED34FC">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ED34FC">
        <w:rPr>
          <w:rFonts w:ascii="Tahoma" w:eastAsia="Calibri" w:hAnsi="Tahoma" w:cs="Tahoma"/>
          <w:iCs/>
          <w:vertAlign w:val="superscript"/>
          <w:lang w:val="es-ES"/>
        </w:rPr>
        <w:footnoteReference w:id="9"/>
      </w:r>
      <w:r w:rsidRPr="00ED34FC">
        <w:rPr>
          <w:rFonts w:ascii="Tahoma" w:eastAsia="Calibri" w:hAnsi="Tahoma" w:cs="Tahoma"/>
          <w:iCs/>
          <w:lang w:val="es-ES"/>
        </w:rPr>
        <w:t xml:space="preserve"> precisó: </w:t>
      </w:r>
    </w:p>
    <w:p w14:paraId="0C8E6AB0" w14:textId="77777777" w:rsidR="00ED34FC" w:rsidRPr="00ED34FC" w:rsidRDefault="00ED34FC" w:rsidP="00ED34FC">
      <w:pPr>
        <w:spacing w:before="0" w:beforeAutospacing="0" w:after="0" w:afterAutospacing="0" w:line="276" w:lineRule="auto"/>
        <w:ind w:left="426" w:right="420" w:firstLine="0"/>
        <w:contextualSpacing/>
        <w:rPr>
          <w:rFonts w:ascii="Tahoma" w:eastAsia="Calibri" w:hAnsi="Tahoma" w:cs="Tahoma"/>
          <w:i/>
          <w:lang w:val="es-ES"/>
        </w:rPr>
      </w:pPr>
    </w:p>
    <w:p w14:paraId="4E9FA85F"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6A1CC570" w14:textId="101F823A" w:rsid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3D3AB36" w14:textId="77777777" w:rsidR="008D71DA" w:rsidRPr="00ED34FC" w:rsidRDefault="008D71DA"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CCF39F8" w14:textId="77777777" w:rsidR="00ED34FC" w:rsidRPr="00ED34FC" w:rsidRDefault="00ED34FC" w:rsidP="00ED34FC">
      <w:pPr>
        <w:widowControl w:val="0"/>
        <w:numPr>
          <w:ilvl w:val="1"/>
          <w:numId w:val="10"/>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ED34FC">
        <w:rPr>
          <w:rFonts w:ascii="Tahoma" w:eastAsia="Calibri" w:hAnsi="Tahoma" w:cs="Tahoma"/>
          <w:b/>
          <w:bCs/>
          <w:lang w:eastAsia="es-CO"/>
        </w:rPr>
        <w:t>“De la carga de la prueba – Inversión a favor del afiliado”</w:t>
      </w:r>
      <w:r w:rsidRPr="00ED34FC">
        <w:rPr>
          <w:rFonts w:ascii="Tahoma" w:eastAsia="Calibri" w:hAnsi="Tahoma" w:cs="Tahoma"/>
          <w:b/>
          <w:bCs/>
          <w:vertAlign w:val="superscript"/>
          <w:lang w:eastAsia="es-CO"/>
        </w:rPr>
        <w:footnoteReference w:id="10"/>
      </w:r>
    </w:p>
    <w:p w14:paraId="64EFC897"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5DEF3F77"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ED34FC">
        <w:rPr>
          <w:rFonts w:ascii="Tahoma" w:eastAsia="Calibri" w:hAnsi="Tahoma" w:cs="Tahoma"/>
          <w:i/>
          <w:lang w:eastAsia="es-CO"/>
        </w:rPr>
        <w:t>la prueba de la diligencia o cuidado incumbe al que ha debido emplearlo”</w:t>
      </w:r>
      <w:r w:rsidRPr="00ED34FC">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3E62A6AD"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9A10AA5"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w:t>
      </w:r>
      <w:r w:rsidRPr="00ED34FC">
        <w:rPr>
          <w:rFonts w:ascii="Tahoma" w:eastAsia="Calibri" w:hAnsi="Tahoma" w:cs="Tahoma"/>
          <w:i/>
          <w:sz w:val="22"/>
          <w:lang w:eastAsia="es-CO"/>
        </w:rPr>
        <w:lastRenderedPageBreak/>
        <w:t xml:space="preserve">la convicción de que ese contrato de aseguramiento goza de plena validez. </w:t>
      </w:r>
    </w:p>
    <w:p w14:paraId="622246F0"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8084DB6"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19A27DE"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1F846F1"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CC6567B"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FF078BC"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7754AC25"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65CFE5B"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896A6BA"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686F3DB"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245DA93"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CDEEDDA"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00311E1F" w14:textId="47F1A69A" w:rsid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91405C" w14:textId="77777777" w:rsidR="008D71DA" w:rsidRPr="00ED34FC" w:rsidRDefault="008D71DA"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5D2EED" w14:textId="77777777" w:rsidR="00ED34FC" w:rsidRPr="00ED34FC" w:rsidRDefault="00ED34FC" w:rsidP="00ED34FC">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ED34FC">
        <w:rPr>
          <w:rFonts w:ascii="Tahoma" w:eastAsia="Calibri" w:hAnsi="Tahoma" w:cs="Tahoma"/>
          <w:b/>
          <w:bCs/>
          <w:lang w:eastAsia="es-CO"/>
        </w:rPr>
        <w:t>Consecuencias de la declaratoria de ineficacia del traslado: Devolución de las cuotas de administración y de otros valores debidamente indexados.</w:t>
      </w:r>
    </w:p>
    <w:p w14:paraId="4CDE259F"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1561FCE"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00EC98C"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56E40A"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A773351"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9F8828A"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2DB4D95A"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E0316C8"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w:t>
      </w:r>
    </w:p>
    <w:p w14:paraId="278DBC44"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37C4CBB"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298551C"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905EF56"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3BB79C1"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A3AADD7"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ED34FC">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782BEAF1"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7E11796" w14:textId="77777777" w:rsidR="00ED34FC" w:rsidRPr="00ED34FC" w:rsidRDefault="00ED34FC" w:rsidP="00ED34F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ED34FC">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2152AF09" w14:textId="77777777" w:rsidR="00ED34FC" w:rsidRPr="00ED34FC" w:rsidRDefault="00ED34FC" w:rsidP="00ED34F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C11A211" w14:textId="77777777" w:rsidR="00ED34FC" w:rsidRPr="00ED34FC" w:rsidRDefault="00ED34FC" w:rsidP="00ED34F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ED34FC">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7"/>
    <w:p w14:paraId="715B46FD" w14:textId="0B5EB7CE" w:rsidR="00C640E3" w:rsidRDefault="00C640E3" w:rsidP="00322315">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4BBE1E05" w14:textId="77777777" w:rsidR="008D71DA" w:rsidRPr="00322315" w:rsidRDefault="008D71DA" w:rsidP="00322315">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1A69D6" w:rsidRDefault="00363345" w:rsidP="001A69D6">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322315">
        <w:rPr>
          <w:rFonts w:ascii="Tahoma" w:eastAsia="Calibri" w:hAnsi="Tahoma" w:cs="Tahoma"/>
          <w:b/>
          <w:bCs/>
          <w:lang w:eastAsia="es-CO"/>
        </w:rPr>
        <w:t>Caso concreto</w:t>
      </w:r>
    </w:p>
    <w:p w14:paraId="29B8913B" w14:textId="77777777" w:rsidR="00363345" w:rsidRPr="00322315" w:rsidRDefault="00363345" w:rsidP="00322315">
      <w:pPr>
        <w:pStyle w:val="Prrafodelista"/>
        <w:widowControl w:val="0"/>
        <w:autoSpaceDE w:val="0"/>
        <w:autoSpaceDN w:val="0"/>
        <w:adjustRightInd w:val="0"/>
        <w:spacing w:line="276" w:lineRule="auto"/>
        <w:ind w:left="0"/>
        <w:rPr>
          <w:rFonts w:eastAsia="Calibri" w:cs="Tahoma"/>
          <w:b/>
          <w:szCs w:val="24"/>
          <w:lang w:eastAsia="es-CO"/>
        </w:rPr>
      </w:pPr>
    </w:p>
    <w:p w14:paraId="28A85CC7" w14:textId="2203C4D4"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22315">
        <w:rPr>
          <w:rFonts w:ascii="Tahoma" w:eastAsia="Calibri" w:hAnsi="Tahoma" w:cs="Tahoma"/>
          <w:lang w:eastAsia="es-CO"/>
        </w:rPr>
        <w:t xml:space="preserve">Se pretende por esta vía ordinaria que se declare la ineficacia del traslado del </w:t>
      </w:r>
      <w:r w:rsidRPr="00322315">
        <w:rPr>
          <w:rFonts w:ascii="Tahoma" w:eastAsia="Calibri" w:hAnsi="Tahoma" w:cs="Tahoma"/>
          <w:lang w:eastAsia="es-CO"/>
        </w:rPr>
        <w:lastRenderedPageBreak/>
        <w:t xml:space="preserve">régimen de prima media con prestación definida al de ahorro individual con solidaridad, que realizó la actora a través de </w:t>
      </w:r>
      <w:r w:rsidRPr="00322315">
        <w:rPr>
          <w:rFonts w:ascii="Tahoma" w:eastAsia="Calibri" w:hAnsi="Tahoma" w:cs="Tahoma"/>
        </w:rPr>
        <w:t xml:space="preserve">la AFP PORVENIR el </w:t>
      </w:r>
      <w:r w:rsidR="00E30E20" w:rsidRPr="00322315">
        <w:rPr>
          <w:rFonts w:ascii="Tahoma" w:eastAsia="Calibri" w:hAnsi="Tahoma" w:cs="Tahoma"/>
        </w:rPr>
        <w:t>1</w:t>
      </w:r>
      <w:r w:rsidRPr="00322315">
        <w:rPr>
          <w:rFonts w:ascii="Tahoma" w:eastAsia="Calibri" w:hAnsi="Tahoma" w:cs="Tahoma"/>
        </w:rPr>
        <w:t xml:space="preserve">3 de marzo de 2000, AFP en la que ha permanecido afiliada hasta la fecha. </w:t>
      </w:r>
    </w:p>
    <w:p w14:paraId="5DFBF7B0" w14:textId="77777777" w:rsidR="00363345" w:rsidRPr="00322315" w:rsidRDefault="00363345" w:rsidP="0032231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59FA06" w14:textId="77777777"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22315">
        <w:rPr>
          <w:rFonts w:ascii="Tahoma" w:eastAsia="Calibri" w:hAnsi="Tahoma" w:cs="Tahoma"/>
          <w:lang w:eastAsia="es-CO"/>
        </w:rPr>
        <w:t>De conformidad con 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64D97EE9" w14:textId="77777777" w:rsidR="00363345" w:rsidRPr="00322315" w:rsidRDefault="00363345" w:rsidP="00322315">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06E69C78" w14:textId="77777777"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22315">
        <w:rPr>
          <w:rFonts w:ascii="Tahoma" w:eastAsia="Calibri" w:hAnsi="Tahoma" w:cs="Tahoma"/>
          <w:lang w:eastAsia="es-CO"/>
        </w:rPr>
        <w:t xml:space="preserve">En este orden, PORVENIR S.A. como </w:t>
      </w:r>
      <w:r w:rsidRPr="00322315">
        <w:rPr>
          <w:rFonts w:ascii="Tahoma" w:eastAsia="Calibri" w:hAnsi="Tahoma" w:cs="Tahoma"/>
          <w:lang w:val="es-ES" w:eastAsia="es-CO"/>
        </w:rPr>
        <w:t xml:space="preserve">prueba del cumplimiento del deber de información, llamó a declarar a su contraparte procesal, con el fin de demostrar </w:t>
      </w:r>
      <w:r w:rsidRPr="00322315">
        <w:rPr>
          <w:rFonts w:ascii="Tahoma" w:eastAsia="Calibri" w:hAnsi="Tahoma" w:cs="Tahoma"/>
          <w:lang w:eastAsia="es-CO"/>
        </w:rPr>
        <w:t>que le brindó la información seria y veraz que, para la época, era jurídicamente pertinente,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w:t>
      </w:r>
    </w:p>
    <w:p w14:paraId="580D69AE" w14:textId="77777777"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59C19FF" w14:textId="57BB05FB"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322315">
        <w:rPr>
          <w:rFonts w:ascii="Tahoma" w:eastAsia="Calibri" w:hAnsi="Tahoma" w:cs="Tahoma"/>
          <w:lang w:eastAsia="es-CO"/>
        </w:rPr>
        <w:t xml:space="preserve">Sin embargo, una vez rendido el interrogatorio de parte, no se </w:t>
      </w:r>
      <w:r w:rsidRPr="00322315">
        <w:rPr>
          <w:rFonts w:ascii="Tahoma" w:eastAsia="Tahoma" w:hAnsi="Tahoma" w:cs="Tahoma"/>
          <w:color w:val="000000" w:themeColor="text1"/>
          <w:lang w:val="es-ES"/>
        </w:rPr>
        <w:t xml:space="preserve">logró desvirtuar la poca información recibida por la promotora de la litis, ya que </w:t>
      </w:r>
      <w:r w:rsidR="00210D29" w:rsidRPr="00322315">
        <w:rPr>
          <w:rFonts w:ascii="Tahoma" w:eastAsia="Tahoma" w:hAnsi="Tahoma" w:cs="Tahoma"/>
          <w:color w:val="000000" w:themeColor="text1"/>
          <w:lang w:val="es-ES"/>
        </w:rPr>
        <w:t>refirió</w:t>
      </w:r>
      <w:r w:rsidRPr="00322315">
        <w:rPr>
          <w:rFonts w:ascii="Tahoma" w:eastAsia="Tahoma" w:hAnsi="Tahoma" w:cs="Tahoma"/>
          <w:color w:val="000000" w:themeColor="text1"/>
          <w:lang w:val="es-ES"/>
        </w:rPr>
        <w:t xml:space="preserve"> en</w:t>
      </w:r>
      <w:r w:rsidR="00210D29" w:rsidRPr="00322315">
        <w:rPr>
          <w:rFonts w:ascii="Tahoma" w:eastAsia="Tahoma" w:hAnsi="Tahoma" w:cs="Tahoma"/>
          <w:color w:val="000000" w:themeColor="text1"/>
          <w:lang w:val="es-ES"/>
        </w:rPr>
        <w:t xml:space="preserve"> una reunión en</w:t>
      </w:r>
      <w:r w:rsidRPr="00322315">
        <w:rPr>
          <w:rFonts w:ascii="Tahoma" w:eastAsia="Tahoma" w:hAnsi="Tahoma" w:cs="Tahoma"/>
          <w:color w:val="000000" w:themeColor="text1"/>
          <w:lang w:val="es-ES"/>
        </w:rPr>
        <w:t xml:space="preserve"> la empresa en la </w:t>
      </w:r>
      <w:r w:rsidR="00C640E3" w:rsidRPr="00322315">
        <w:rPr>
          <w:rFonts w:ascii="Tahoma" w:eastAsia="Tahoma" w:hAnsi="Tahoma" w:cs="Tahoma"/>
          <w:color w:val="000000" w:themeColor="text1"/>
          <w:lang w:val="es-ES"/>
        </w:rPr>
        <w:t xml:space="preserve">que </w:t>
      </w:r>
      <w:r w:rsidRPr="00322315">
        <w:rPr>
          <w:rFonts w:ascii="Tahoma" w:eastAsia="Tahoma" w:hAnsi="Tahoma" w:cs="Tahoma"/>
          <w:color w:val="000000" w:themeColor="text1"/>
          <w:lang w:val="es-ES"/>
        </w:rPr>
        <w:t xml:space="preserve">laboraba para la fecha de traslado, el asesor de la AFP le aseguró que el </w:t>
      </w:r>
      <w:r w:rsidR="00210D29" w:rsidRPr="00322315">
        <w:rPr>
          <w:rFonts w:ascii="Tahoma" w:eastAsia="Tahoma" w:hAnsi="Tahoma" w:cs="Tahoma"/>
          <w:color w:val="000000" w:themeColor="text1"/>
          <w:lang w:val="es-ES"/>
        </w:rPr>
        <w:t xml:space="preserve">Instituto del </w:t>
      </w:r>
      <w:r w:rsidRPr="00322315">
        <w:rPr>
          <w:rFonts w:ascii="Tahoma" w:eastAsia="Tahoma" w:hAnsi="Tahoma" w:cs="Tahoma"/>
          <w:color w:val="000000" w:themeColor="text1"/>
          <w:lang w:val="es-ES"/>
        </w:rPr>
        <w:t>Seguro Social se iba acabar, que en el RAIS la pensión era heredable y obtendrían una mejor mesada pensional.</w:t>
      </w:r>
    </w:p>
    <w:p w14:paraId="209E00B0" w14:textId="77777777"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688D2A7D" w14:textId="5CD75C76"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322315">
        <w:rPr>
          <w:rFonts w:ascii="Tahoma" w:eastAsia="Tahoma" w:hAnsi="Tahoma" w:cs="Tahoma"/>
          <w:color w:val="000000" w:themeColor="text1"/>
          <w:lang w:val="es-ES"/>
        </w:rPr>
        <w:t>Ahora, si bien añadió que la decisión de trasladarse se funda en el monto de la mesada pensional equivalente a un salario mínimo que percibiría en el RAIS, esto de ningún modo desvía el origen de la litis, esto es, verificar si al momento del traslado efectivo el afiliado accedió a una información clara y precisa sobre las ventajas, desventajas y riesgos de cada régimen en los términos explicados.</w:t>
      </w:r>
    </w:p>
    <w:p w14:paraId="4D02F35B" w14:textId="77777777" w:rsidR="00E30E20" w:rsidRPr="00322315" w:rsidRDefault="00E30E20" w:rsidP="00322315">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0AA3F35A" w14:textId="428FE9DD" w:rsidR="00363345" w:rsidRPr="00322315" w:rsidRDefault="00363345" w:rsidP="00322315">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r w:rsidRPr="00322315">
        <w:rPr>
          <w:rFonts w:ascii="Tahoma" w:eastAsia="Tahoma" w:hAnsi="Tahoma" w:cs="Tahoma"/>
          <w:color w:val="000000" w:themeColor="text1"/>
          <w:lang w:val="es-ES"/>
        </w:rPr>
        <w:tab/>
        <w:t xml:space="preserve">De lo anterior, se concluye que la actora jamás confesó que se le hubiere brindado una explicación pormenorizada e individualizada de los pros y contras de su determinación o de las características entre uno u otro régimen, contrario a ello, el formulario aportado no da cuenta de las circunstancias que rodearon el momento del traslado o de la información recibida por </w:t>
      </w:r>
      <w:r w:rsidR="00C640E3" w:rsidRPr="00322315">
        <w:rPr>
          <w:rFonts w:ascii="Tahoma" w:eastAsia="Tahoma" w:hAnsi="Tahoma" w:cs="Tahoma"/>
          <w:color w:val="000000" w:themeColor="text1"/>
          <w:lang w:val="es-ES"/>
        </w:rPr>
        <w:t>la parte</w:t>
      </w:r>
      <w:r w:rsidRPr="00322315">
        <w:rPr>
          <w:rFonts w:ascii="Tahoma" w:eastAsia="Tahoma" w:hAnsi="Tahoma" w:cs="Tahoma"/>
          <w:color w:val="000000" w:themeColor="text1"/>
          <w:lang w:val="es-ES"/>
        </w:rPr>
        <w:t xml:space="preserve"> actora, que contrario a lo afirmado por las pasivas de la litis, se evidencia parcializada, sesgada e insuficiente para calificarse de informada.</w:t>
      </w:r>
    </w:p>
    <w:p w14:paraId="4EBB736D" w14:textId="77777777" w:rsidR="00363345" w:rsidRPr="00322315" w:rsidRDefault="00363345" w:rsidP="00322315">
      <w:pPr>
        <w:widowControl w:val="0"/>
        <w:spacing w:before="0" w:beforeAutospacing="0" w:after="0" w:afterAutospacing="0" w:line="276" w:lineRule="auto"/>
        <w:ind w:firstLine="0"/>
        <w:rPr>
          <w:rFonts w:ascii="Tahoma" w:eastAsia="Tahoma" w:hAnsi="Tahoma" w:cs="Tahoma"/>
          <w:color w:val="000000" w:themeColor="text1"/>
          <w:lang w:val="es-ES"/>
        </w:rPr>
      </w:pPr>
    </w:p>
    <w:p w14:paraId="0847EB20" w14:textId="44A58BCF" w:rsidR="00363345"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322315">
        <w:rPr>
          <w:rFonts w:ascii="Tahoma" w:eastAsia="Tahoma" w:hAnsi="Tahoma" w:cs="Tahoma"/>
          <w:color w:val="000000" w:themeColor="text1"/>
          <w:lang w:val="es-ES"/>
        </w:rPr>
        <w:t>Asimismo, no se evidencia que se le hubiere brindado información sobre la existencia de un régimen de transición y la eventual pérdida de beneficios pensionales, lo cual, según la jurisprudencia traída a colación, hacía parte del núcleo esencial del derecho de información exigido para la época.</w:t>
      </w:r>
    </w:p>
    <w:p w14:paraId="1DF154E6" w14:textId="77777777" w:rsidR="00D67499" w:rsidRPr="00322315" w:rsidRDefault="00D67499" w:rsidP="00322315">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634A6C5D" w14:textId="7F2B6C3E" w:rsidR="008C3C1E" w:rsidRPr="00322315" w:rsidRDefault="00363345" w:rsidP="00322315">
      <w:pPr>
        <w:widowControl w:val="0"/>
        <w:autoSpaceDE w:val="0"/>
        <w:autoSpaceDN w:val="0"/>
        <w:adjustRightInd w:val="0"/>
        <w:spacing w:before="0" w:beforeAutospacing="0" w:after="0" w:afterAutospacing="0" w:line="276" w:lineRule="auto"/>
        <w:ind w:firstLine="708"/>
        <w:rPr>
          <w:rFonts w:ascii="Tahoma" w:eastAsia="Times New Roman" w:hAnsi="Tahoma" w:cs="Tahoma"/>
          <w:bCs/>
          <w:color w:val="000000" w:themeColor="text1"/>
          <w:lang w:eastAsia="es-ES"/>
        </w:rPr>
      </w:pPr>
      <w:r w:rsidRPr="00322315">
        <w:rPr>
          <w:rFonts w:ascii="Tahoma" w:eastAsia="Times New Roman" w:hAnsi="Tahoma" w:cs="Tahoma"/>
          <w:color w:val="000000" w:themeColor="text1"/>
          <w:lang w:val="es-ES" w:eastAsia="es-ES"/>
        </w:rPr>
        <w:t xml:space="preserve">Por otra parte, respecto de las sentencias SL3752 de 2020 y CSJ SL1061 que </w:t>
      </w:r>
      <w:r w:rsidRPr="00322315">
        <w:rPr>
          <w:rFonts w:ascii="Tahoma" w:eastAsia="Times New Roman" w:hAnsi="Tahoma" w:cs="Tahoma"/>
          <w:color w:val="000000" w:themeColor="text1"/>
          <w:lang w:val="es-ES" w:eastAsia="es-ES"/>
        </w:rPr>
        <w:lastRenderedPageBreak/>
        <w:t xml:space="preserve">invocó </w:t>
      </w:r>
      <w:r w:rsidR="00210D29" w:rsidRPr="00322315">
        <w:rPr>
          <w:rFonts w:ascii="Tahoma" w:eastAsia="Times New Roman" w:hAnsi="Tahoma" w:cs="Tahoma"/>
          <w:color w:val="000000" w:themeColor="text1"/>
          <w:lang w:val="es-ES" w:eastAsia="es-ES"/>
        </w:rPr>
        <w:t>PORVENIR</w:t>
      </w:r>
      <w:r w:rsidRPr="00322315">
        <w:rPr>
          <w:rFonts w:ascii="Tahoma" w:eastAsia="Times New Roman" w:hAnsi="Tahoma" w:cs="Tahoma"/>
          <w:color w:val="000000" w:themeColor="text1"/>
          <w:lang w:val="es-ES" w:eastAsia="es-ES"/>
        </w:rPr>
        <w:t xml:space="preserve">, con el fin de convalidar el acto de afiliación en razón de los actos de relacionamiento, basta remitirse a la sentencia </w:t>
      </w:r>
      <w:r w:rsidRPr="00322315">
        <w:rPr>
          <w:rFonts w:ascii="Tahoma" w:eastAsia="Times New Roman" w:hAnsi="Tahoma" w:cs="Tahoma"/>
          <w:color w:val="000000" w:themeColor="text1"/>
          <w:lang w:eastAsia="es-ES"/>
        </w:rPr>
        <w:t>CSJ SL 5686 de 2021 que corrigió la tesis sentada en dichas providencias por ser contrarias al precedente vigente y en rigor de la Sala de Casación Laboral, expuesto entre otras, en las sentencias CSJ SL, 9 sep. 2008, CSJ SL1949-2021, CSJ SL1055 de 2022 CSJ SL1926-2022 y CSJ SL 5686 de 2021, en tanto como explicó la Corte</w:t>
      </w:r>
      <w:r w:rsidRPr="00322315">
        <w:rPr>
          <w:rFonts w:ascii="Tahoma" w:eastAsia="Times New Roman" w:hAnsi="Tahoma" w:cs="Tahoma"/>
          <w:i/>
          <w:iCs/>
          <w:color w:val="000000" w:themeColor="text1"/>
          <w:lang w:eastAsia="es-ES"/>
        </w:rPr>
        <w:t xml:space="preserve"> </w:t>
      </w:r>
      <w:r w:rsidRPr="00322315">
        <w:rPr>
          <w:rFonts w:ascii="Tahoma" w:eastAsia="Times New Roman" w:hAnsi="Tahoma" w:cs="Tahoma"/>
          <w:color w:val="000000" w:themeColor="text1"/>
          <w:lang w:eastAsia="es-ES"/>
        </w:rPr>
        <w:t>trasladarse entre entes pensionales del RAIS, no reemplaza o suple la omisión de la entidad administradora en el cumplimiento de su deber de información a los afiliados, ratifica la decisión del traslado o supone una afiliación tácita del mismo.</w:t>
      </w:r>
    </w:p>
    <w:p w14:paraId="61193712" w14:textId="1F629684" w:rsidR="00E30E20" w:rsidRPr="00322315" w:rsidRDefault="00E30E20" w:rsidP="00322315">
      <w:pPr>
        <w:widowControl w:val="0"/>
        <w:autoSpaceDE w:val="0"/>
        <w:autoSpaceDN w:val="0"/>
        <w:adjustRightInd w:val="0"/>
        <w:spacing w:before="0" w:beforeAutospacing="0" w:after="0" w:afterAutospacing="0" w:line="276" w:lineRule="auto"/>
        <w:ind w:firstLine="708"/>
        <w:rPr>
          <w:rFonts w:ascii="Tahoma" w:eastAsia="Times New Roman" w:hAnsi="Tahoma" w:cs="Tahoma"/>
          <w:bCs/>
          <w:color w:val="000000" w:themeColor="text1"/>
          <w:lang w:eastAsia="es-ES"/>
        </w:rPr>
      </w:pPr>
    </w:p>
    <w:p w14:paraId="58AC4E10" w14:textId="77777777" w:rsidR="00D67499" w:rsidRPr="00322315" w:rsidRDefault="00E30E20" w:rsidP="00322315">
      <w:pPr>
        <w:widowControl w:val="0"/>
        <w:autoSpaceDE w:val="0"/>
        <w:autoSpaceDN w:val="0"/>
        <w:adjustRightInd w:val="0"/>
        <w:spacing w:before="0" w:beforeAutospacing="0" w:after="0" w:afterAutospacing="0" w:line="276" w:lineRule="auto"/>
        <w:ind w:firstLine="708"/>
        <w:rPr>
          <w:rStyle w:val="eop"/>
          <w:rFonts w:ascii="Tahoma" w:hAnsi="Tahoma" w:cs="Tahoma"/>
          <w:color w:val="000000"/>
          <w:shd w:val="clear" w:color="auto" w:fill="FFFFFF"/>
        </w:rPr>
      </w:pPr>
      <w:r w:rsidRPr="00322315">
        <w:rPr>
          <w:rFonts w:ascii="Tahoma" w:eastAsia="Tahoma" w:hAnsi="Tahoma" w:cs="Tahoma"/>
          <w:color w:val="000000" w:themeColor="text1"/>
        </w:rPr>
        <w:t xml:space="preserve">Finalmente, la Sala advierte necesario </w:t>
      </w:r>
      <w:r w:rsidR="00210D29" w:rsidRPr="00322315">
        <w:rPr>
          <w:rFonts w:ascii="Tahoma" w:eastAsia="Tahoma" w:hAnsi="Tahoma" w:cs="Tahoma"/>
          <w:color w:val="000000" w:themeColor="text1"/>
        </w:rPr>
        <w:t>modificar</w:t>
      </w:r>
      <w:r w:rsidRPr="00322315">
        <w:rPr>
          <w:rFonts w:ascii="Tahoma" w:eastAsia="Tahoma" w:hAnsi="Tahoma" w:cs="Tahoma"/>
          <w:color w:val="000000" w:themeColor="text1"/>
        </w:rPr>
        <w:t xml:space="preserve"> en sede de consulta la sentencia objeto de revisión, con la finalidad de precisar los efectos de la declaratoria de ineficacia, pues lo ordenado en primera instancia no solo es insuficiente para la garantizar que las cosas vuelvan al estado en que se encontraban al momento del traslado declarado ineficaz, sino que no</w:t>
      </w:r>
      <w:r w:rsidR="00711FF5" w:rsidRPr="00322315">
        <w:rPr>
          <w:rFonts w:ascii="Tahoma" w:eastAsia="Tahoma" w:hAnsi="Tahoma" w:cs="Tahoma"/>
          <w:color w:val="000000" w:themeColor="text1"/>
        </w:rPr>
        <w:t xml:space="preserve"> se</w:t>
      </w:r>
      <w:r w:rsidRPr="00322315">
        <w:rPr>
          <w:rFonts w:ascii="Tahoma" w:eastAsia="Tahoma" w:hAnsi="Tahoma" w:cs="Tahoma"/>
          <w:color w:val="000000" w:themeColor="text1"/>
        </w:rPr>
        <w:t xml:space="preserve"> acompasa con los efectos ampliamente decantados por la abundante jurisprudencia sobre la materia, dado que se debe ordenar</w:t>
      </w:r>
      <w:r w:rsidRPr="00322315">
        <w:rPr>
          <w:rStyle w:val="normaltextrun"/>
          <w:rFonts w:ascii="Tahoma" w:hAnsi="Tahoma" w:cs="Tahoma"/>
          <w:color w:val="000000"/>
          <w:shd w:val="clear" w:color="auto" w:fill="FFFFFF"/>
          <w:lang w:val="es-ES"/>
        </w:rPr>
        <w:t xml:space="preserve"> no solo el traslado de los saldos de la cuenta de ahorro individual con sus respectivos rendimientos a COLPENSIONES, sino también la devolución del porcentaje correspondiente a los gastos de administración, comisiones y primas de seguros previsionales de invalidez y sobrevivencia, y el porcentaje destinado al fondo de garantía de pensión mínima, debidamente indexados y con cargo a sus propios recursos, pues estos conceptos, desde el nacimiento del acto ineficaz, debieron ingresar al régimen de prima media con prestación definida administrado por Colpensiones</w:t>
      </w:r>
      <w:r w:rsidRPr="00322315">
        <w:rPr>
          <w:rStyle w:val="normaltextrun"/>
          <w:rFonts w:ascii="Tahoma" w:hAnsi="Tahoma" w:cs="Tahoma"/>
          <w:color w:val="000000"/>
          <w:shd w:val="clear" w:color="auto" w:fill="FFFFFF"/>
        </w:rPr>
        <w:t>, de conformidad con las sentencias SL1421 de 2019, SL 2611 de 2020 y SL 2819 de 2022, previamente citadas.</w:t>
      </w:r>
      <w:r w:rsidRPr="00322315">
        <w:rPr>
          <w:rStyle w:val="eop"/>
          <w:rFonts w:ascii="Tahoma" w:hAnsi="Tahoma" w:cs="Tahoma"/>
          <w:color w:val="000000"/>
          <w:shd w:val="clear" w:color="auto" w:fill="FFFFFF"/>
        </w:rPr>
        <w:t> </w:t>
      </w:r>
    </w:p>
    <w:p w14:paraId="3CD177D8" w14:textId="77777777" w:rsidR="00D67499" w:rsidRPr="00322315" w:rsidRDefault="00D67499" w:rsidP="00322315">
      <w:pPr>
        <w:widowControl w:val="0"/>
        <w:autoSpaceDE w:val="0"/>
        <w:autoSpaceDN w:val="0"/>
        <w:adjustRightInd w:val="0"/>
        <w:spacing w:before="0" w:beforeAutospacing="0" w:after="0" w:afterAutospacing="0" w:line="276" w:lineRule="auto"/>
        <w:ind w:firstLine="708"/>
        <w:rPr>
          <w:rStyle w:val="eop"/>
          <w:rFonts w:ascii="Tahoma" w:hAnsi="Tahoma" w:cs="Tahoma"/>
          <w:color w:val="000000"/>
          <w:shd w:val="clear" w:color="auto" w:fill="FFFFFF"/>
        </w:rPr>
      </w:pPr>
    </w:p>
    <w:p w14:paraId="12D7E933" w14:textId="653BA90E" w:rsidR="00E30E20" w:rsidRPr="00322315" w:rsidRDefault="00711FF5" w:rsidP="00322315">
      <w:pPr>
        <w:widowControl w:val="0"/>
        <w:autoSpaceDE w:val="0"/>
        <w:autoSpaceDN w:val="0"/>
        <w:adjustRightInd w:val="0"/>
        <w:spacing w:before="0" w:beforeAutospacing="0" w:after="0" w:afterAutospacing="0" w:line="276" w:lineRule="auto"/>
        <w:ind w:firstLine="708"/>
        <w:rPr>
          <w:rFonts w:ascii="Tahoma" w:hAnsi="Tahoma" w:cs="Tahoma"/>
          <w:color w:val="000000"/>
          <w:shd w:val="clear" w:color="auto" w:fill="FFFFFF"/>
        </w:rPr>
      </w:pPr>
      <w:r w:rsidRPr="00322315">
        <w:rPr>
          <w:rStyle w:val="eop"/>
          <w:rFonts w:ascii="Tahoma" w:hAnsi="Tahoma" w:cs="Tahoma"/>
          <w:color w:val="000000"/>
          <w:shd w:val="clear" w:color="auto" w:fill="FFFFFF"/>
        </w:rPr>
        <w:t>Además</w:t>
      </w:r>
      <w:r w:rsidR="00E30E20" w:rsidRPr="00322315">
        <w:rPr>
          <w:rFonts w:ascii="Tahoma" w:eastAsia="Calibri" w:hAnsi="Tahoma" w:cs="Tahoma"/>
          <w:lang w:val="es-ES" w:eastAsia="es-MX"/>
        </w:rPr>
        <w:t>, como la declaratoria de ineficacia trae como consecuencia que las cosas se reestablezcan al estado en el que se encontraban al momento del traslado de régimen, también es necesario adicionar la</w:t>
      </w:r>
      <w:r w:rsidRPr="00322315">
        <w:rPr>
          <w:rFonts w:ascii="Tahoma" w:eastAsia="Calibri" w:hAnsi="Tahoma" w:cs="Tahoma"/>
          <w:lang w:val="es-ES" w:eastAsia="es-MX"/>
        </w:rPr>
        <w:t xml:space="preserve"> sentencia con la</w:t>
      </w:r>
      <w:r w:rsidR="00E30E20" w:rsidRPr="00322315">
        <w:rPr>
          <w:rFonts w:ascii="Tahoma" w:eastAsia="Calibri" w:hAnsi="Tahoma" w:cs="Tahoma"/>
          <w:lang w:val="es-ES" w:eastAsia="es-MX"/>
        </w:rPr>
        <w:t xml:space="preserve"> orden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3C0F9B99" w14:textId="3DD10184" w:rsidR="00210D29" w:rsidRPr="00322315" w:rsidRDefault="00210D29" w:rsidP="00322315">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p>
    <w:p w14:paraId="64637C2C" w14:textId="447D3791" w:rsidR="00210D29" w:rsidRPr="00322315" w:rsidRDefault="00711FF5" w:rsidP="0032231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22315">
        <w:rPr>
          <w:rFonts w:ascii="Tahoma" w:eastAsia="Calibri" w:hAnsi="Tahoma" w:cs="Tahoma"/>
          <w:lang w:eastAsia="es-CO"/>
        </w:rPr>
        <w:t xml:space="preserve">Ante el fracaso de los recursos de apelación, </w:t>
      </w:r>
      <w:r w:rsidR="00210D29" w:rsidRPr="00322315">
        <w:rPr>
          <w:rFonts w:ascii="Tahoma" w:eastAsia="Calibri" w:hAnsi="Tahoma" w:cs="Tahoma"/>
          <w:lang w:eastAsia="es-CO"/>
        </w:rPr>
        <w:t xml:space="preserve">de conformidad con el artículo 365 del CGP, se condenará en costas procesales a Protección S.A. y Colpensiones a favor de la parte actora, las cuales se liquidarán por la secretaría del juzgado de origen. </w:t>
      </w:r>
    </w:p>
    <w:p w14:paraId="7CDEB2ED" w14:textId="06831CA4" w:rsidR="00210D29" w:rsidRPr="00322315" w:rsidRDefault="00210D29" w:rsidP="0032231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BE016E8" w14:textId="77777777" w:rsidR="00210D29" w:rsidRPr="00322315" w:rsidRDefault="00210D29" w:rsidP="00322315">
      <w:pPr>
        <w:spacing w:before="0" w:beforeAutospacing="0" w:after="0" w:afterAutospacing="0" w:line="276" w:lineRule="auto"/>
        <w:ind w:firstLine="705"/>
        <w:textAlignment w:val="baseline"/>
        <w:rPr>
          <w:rFonts w:ascii="Tahoma" w:eastAsia="Times New Roman" w:hAnsi="Tahoma" w:cs="Tahoma"/>
          <w:lang w:eastAsia="es-CO"/>
        </w:rPr>
      </w:pPr>
      <w:r w:rsidRPr="00322315">
        <w:rPr>
          <w:rFonts w:ascii="Tahoma" w:eastAsia="Times New Roman" w:hAnsi="Tahoma" w:cs="Tahoma"/>
          <w:lang w:eastAsia="es-CO"/>
        </w:rPr>
        <w:t xml:space="preserve">En mérito de lo expuesto, el </w:t>
      </w:r>
      <w:r w:rsidRPr="00322315">
        <w:rPr>
          <w:rFonts w:ascii="Tahoma" w:eastAsia="Times New Roman" w:hAnsi="Tahoma" w:cs="Tahoma"/>
          <w:b/>
          <w:bCs/>
          <w:lang w:eastAsia="es-CO"/>
        </w:rPr>
        <w:t>Tribunal Superior del Distrito Judicial de Pereira - Risaralda, Sala Primera de Decisión Laboral,</w:t>
      </w:r>
      <w:r w:rsidRPr="00322315">
        <w:rPr>
          <w:rFonts w:ascii="Tahoma" w:eastAsia="Times New Roman" w:hAnsi="Tahoma" w:cs="Tahoma"/>
          <w:lang w:eastAsia="es-CO"/>
        </w:rPr>
        <w:t xml:space="preserve"> administrando justicia en nombre de la República y por autoridad de la ley, </w:t>
      </w:r>
    </w:p>
    <w:p w14:paraId="2BE74E4E" w14:textId="77777777" w:rsidR="008D71DA" w:rsidRDefault="008D71DA" w:rsidP="00322315">
      <w:pPr>
        <w:spacing w:before="0" w:beforeAutospacing="0" w:after="0" w:afterAutospacing="0" w:line="276" w:lineRule="auto"/>
        <w:ind w:firstLine="705"/>
        <w:textAlignment w:val="baseline"/>
        <w:rPr>
          <w:rFonts w:ascii="Tahoma" w:eastAsia="Times New Roman" w:hAnsi="Tahoma" w:cs="Tahoma"/>
          <w:lang w:eastAsia="es-CO"/>
        </w:rPr>
      </w:pPr>
    </w:p>
    <w:p w14:paraId="443025ED" w14:textId="57928AE5" w:rsidR="00210D29" w:rsidRPr="00322315" w:rsidRDefault="00210D29" w:rsidP="00322315">
      <w:pPr>
        <w:spacing w:before="0" w:beforeAutospacing="0" w:after="0" w:afterAutospacing="0" w:line="276" w:lineRule="auto"/>
        <w:ind w:firstLine="705"/>
        <w:textAlignment w:val="baseline"/>
        <w:rPr>
          <w:rFonts w:ascii="Tahoma" w:eastAsia="Times New Roman" w:hAnsi="Tahoma" w:cs="Tahoma"/>
          <w:lang w:eastAsia="es-CO"/>
        </w:rPr>
      </w:pPr>
      <w:r w:rsidRPr="00322315">
        <w:rPr>
          <w:rFonts w:ascii="Tahoma" w:eastAsia="Times New Roman" w:hAnsi="Tahoma" w:cs="Tahoma"/>
          <w:lang w:eastAsia="es-CO"/>
        </w:rPr>
        <w:t> </w:t>
      </w:r>
    </w:p>
    <w:p w14:paraId="6746B67C" w14:textId="77777777" w:rsidR="00210D29" w:rsidRPr="00322315" w:rsidRDefault="00210D29" w:rsidP="00322315">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r w:rsidRPr="00322315">
        <w:rPr>
          <w:rFonts w:ascii="Tahoma" w:eastAsia="Times New Roman" w:hAnsi="Tahoma" w:cs="Tahoma"/>
          <w:b/>
          <w:bCs/>
          <w:color w:val="000000"/>
          <w:lang w:eastAsia="es-CO"/>
        </w:rPr>
        <w:t>RESUELVE</w:t>
      </w:r>
    </w:p>
    <w:p w14:paraId="3765D465" w14:textId="77777777" w:rsidR="00210D29" w:rsidRPr="00322315" w:rsidRDefault="00210D29" w:rsidP="00322315">
      <w:pPr>
        <w:spacing w:before="0" w:beforeAutospacing="0" w:after="0" w:afterAutospacing="0" w:line="276" w:lineRule="auto"/>
        <w:ind w:firstLine="270"/>
        <w:jc w:val="center"/>
        <w:textAlignment w:val="baseline"/>
        <w:rPr>
          <w:rFonts w:ascii="Tahoma" w:eastAsia="Times New Roman" w:hAnsi="Tahoma" w:cs="Tahoma"/>
          <w:color w:val="000000"/>
          <w:lang w:eastAsia="es-CO"/>
        </w:rPr>
      </w:pPr>
    </w:p>
    <w:p w14:paraId="224F1BB5" w14:textId="7A303004" w:rsidR="00711FF5" w:rsidRPr="00322315" w:rsidRDefault="00210D29" w:rsidP="00322315">
      <w:pPr>
        <w:spacing w:before="0" w:beforeAutospacing="0" w:after="0" w:afterAutospacing="0" w:line="276" w:lineRule="auto"/>
        <w:ind w:firstLine="708"/>
        <w:textAlignment w:val="baseline"/>
        <w:rPr>
          <w:rStyle w:val="normaltextrun"/>
          <w:rFonts w:ascii="Tahoma" w:hAnsi="Tahoma" w:cs="Tahoma"/>
          <w:color w:val="000000"/>
          <w:shd w:val="clear" w:color="auto" w:fill="FFFFFF"/>
        </w:rPr>
      </w:pPr>
      <w:r w:rsidRPr="00322315">
        <w:rPr>
          <w:rFonts w:ascii="Tahoma" w:eastAsia="Times New Roman" w:hAnsi="Tahoma" w:cs="Tahoma"/>
          <w:b/>
          <w:color w:val="000000"/>
          <w:lang w:eastAsia="es-CO"/>
        </w:rPr>
        <w:lastRenderedPageBreak/>
        <w:t xml:space="preserve">PRIMERO: </w:t>
      </w:r>
      <w:r w:rsidR="00711FF5" w:rsidRPr="00322315">
        <w:rPr>
          <w:rFonts w:ascii="Tahoma" w:eastAsia="Times New Roman" w:hAnsi="Tahoma" w:cs="Tahoma"/>
          <w:b/>
          <w:color w:val="000000"/>
          <w:lang w:eastAsia="es-CO"/>
        </w:rPr>
        <w:t>MODIFICAR</w:t>
      </w:r>
      <w:r w:rsidR="00711FF5" w:rsidRPr="00322315">
        <w:rPr>
          <w:rFonts w:ascii="Tahoma" w:eastAsia="Times New Roman" w:hAnsi="Tahoma" w:cs="Tahoma"/>
          <w:color w:val="000000"/>
          <w:lang w:eastAsia="es-CO"/>
        </w:rPr>
        <w:t xml:space="preserve"> el numeral tercero de la </w:t>
      </w:r>
      <w:r w:rsidR="00D67499" w:rsidRPr="00322315">
        <w:rPr>
          <w:rFonts w:ascii="Tahoma" w:eastAsia="Times New Roman" w:hAnsi="Tahoma" w:cs="Tahoma"/>
          <w:color w:val="000000"/>
          <w:lang w:eastAsia="es-CO"/>
        </w:rPr>
        <w:t xml:space="preserve">parte resolutiva de la </w:t>
      </w:r>
      <w:r w:rsidR="00711FF5" w:rsidRPr="00322315">
        <w:rPr>
          <w:rFonts w:ascii="Tahoma" w:eastAsia="Times New Roman" w:hAnsi="Tahoma" w:cs="Tahoma"/>
          <w:color w:val="000000"/>
          <w:lang w:eastAsia="es-CO"/>
        </w:rPr>
        <w:t>sentencia</w:t>
      </w:r>
      <w:r w:rsidR="00D67499" w:rsidRPr="00322315">
        <w:rPr>
          <w:rFonts w:ascii="Tahoma" w:eastAsia="Times New Roman" w:hAnsi="Tahoma" w:cs="Tahoma"/>
          <w:color w:val="000000"/>
          <w:lang w:eastAsia="es-CO"/>
        </w:rPr>
        <w:t xml:space="preserve"> de primera instancia</w:t>
      </w:r>
      <w:r w:rsidR="00711FF5" w:rsidRPr="00322315">
        <w:rPr>
          <w:rFonts w:ascii="Tahoma" w:eastAsia="Times New Roman" w:hAnsi="Tahoma" w:cs="Tahoma"/>
          <w:color w:val="000000"/>
          <w:lang w:eastAsia="es-CO"/>
        </w:rPr>
        <w:t xml:space="preserve">, en el sentido de ORDENAR a PORVENIR S.A. realizar la </w:t>
      </w:r>
      <w:r w:rsidR="00711FF5" w:rsidRPr="00322315">
        <w:rPr>
          <w:rStyle w:val="normaltextrun"/>
          <w:rFonts w:ascii="Tahoma" w:hAnsi="Tahoma" w:cs="Tahoma"/>
          <w:color w:val="000000"/>
          <w:shd w:val="clear" w:color="auto" w:fill="FFFFFF"/>
        </w:rPr>
        <w:t xml:space="preserve">devolución a Colpensiones de </w:t>
      </w:r>
      <w:r w:rsidR="00D67499" w:rsidRPr="00322315">
        <w:rPr>
          <w:rStyle w:val="normaltextrun"/>
          <w:rFonts w:ascii="Tahoma" w:hAnsi="Tahoma" w:cs="Tahoma"/>
          <w:color w:val="000000"/>
          <w:shd w:val="clear" w:color="auto" w:fill="FFFFFF"/>
        </w:rPr>
        <w:t xml:space="preserve">los siguientes ítems: i) </w:t>
      </w:r>
      <w:r w:rsidR="00711FF5" w:rsidRPr="00322315">
        <w:rPr>
          <w:rStyle w:val="normaltextrun"/>
          <w:rFonts w:ascii="Tahoma" w:hAnsi="Tahoma" w:cs="Tahoma"/>
          <w:color w:val="000000"/>
          <w:shd w:val="clear" w:color="auto" w:fill="FFFFFF"/>
        </w:rPr>
        <w:t>los aportes y rendimientos</w:t>
      </w:r>
      <w:r w:rsidR="00D67499" w:rsidRPr="00322315">
        <w:rPr>
          <w:rStyle w:val="normaltextrun"/>
          <w:rFonts w:ascii="Tahoma" w:hAnsi="Tahoma" w:cs="Tahoma"/>
          <w:color w:val="000000"/>
          <w:shd w:val="clear" w:color="auto" w:fill="FFFFFF"/>
        </w:rPr>
        <w:t xml:space="preserve"> que estuvieren en la cuenta de ahorro individual de la Señora CLAUDIA LILIANA GIRALDO ALZATE; ii) </w:t>
      </w:r>
      <w:r w:rsidR="00711FF5" w:rsidRPr="00322315">
        <w:rPr>
          <w:rStyle w:val="normaltextrun"/>
          <w:rFonts w:ascii="Tahoma" w:hAnsi="Tahoma" w:cs="Tahoma"/>
          <w:color w:val="000000"/>
          <w:shd w:val="clear" w:color="auto" w:fill="FFFFFF"/>
        </w:rPr>
        <w:t xml:space="preserve">los gastos de administración, comisiones, cuotas de garantía de pensión mínima y seguros previsionales con cargo a sus propios recursos; </w:t>
      </w:r>
      <w:r w:rsidR="00D67499" w:rsidRPr="00322315">
        <w:rPr>
          <w:rStyle w:val="normaltextrun"/>
          <w:rFonts w:ascii="Tahoma" w:hAnsi="Tahoma" w:cs="Tahoma"/>
          <w:color w:val="000000"/>
          <w:shd w:val="clear" w:color="auto" w:fill="FFFFFF"/>
        </w:rPr>
        <w:t xml:space="preserve">sumas </w:t>
      </w:r>
      <w:r w:rsidR="00711FF5" w:rsidRPr="00322315">
        <w:rPr>
          <w:rStyle w:val="normaltextrun"/>
          <w:rFonts w:ascii="Tahoma" w:hAnsi="Tahoma" w:cs="Tahoma"/>
          <w:color w:val="000000"/>
          <w:shd w:val="clear" w:color="auto" w:fill="FFFFFF"/>
        </w:rPr>
        <w:t>debidamente indexad</w:t>
      </w:r>
      <w:r w:rsidR="00D67499" w:rsidRPr="00322315">
        <w:rPr>
          <w:rStyle w:val="normaltextrun"/>
          <w:rFonts w:ascii="Tahoma" w:hAnsi="Tahoma" w:cs="Tahoma"/>
          <w:color w:val="000000"/>
          <w:shd w:val="clear" w:color="auto" w:fill="FFFFFF"/>
        </w:rPr>
        <w:t>as</w:t>
      </w:r>
      <w:r w:rsidR="00711FF5" w:rsidRPr="00322315">
        <w:rPr>
          <w:rStyle w:val="normaltextrun"/>
          <w:rFonts w:ascii="Tahoma" w:hAnsi="Tahoma" w:cs="Tahoma"/>
          <w:color w:val="000000"/>
          <w:shd w:val="clear" w:color="auto" w:fill="FFFFFF"/>
        </w:rPr>
        <w:t xml:space="preserve">. </w:t>
      </w:r>
    </w:p>
    <w:p w14:paraId="5DCDC466" w14:textId="77777777" w:rsidR="00711FF5" w:rsidRPr="00322315" w:rsidRDefault="00711FF5" w:rsidP="00322315">
      <w:pPr>
        <w:spacing w:before="0" w:beforeAutospacing="0" w:after="0" w:afterAutospacing="0" w:line="276" w:lineRule="auto"/>
        <w:ind w:left="708" w:firstLine="0"/>
        <w:textAlignment w:val="baseline"/>
        <w:rPr>
          <w:rStyle w:val="normaltextrun"/>
          <w:rFonts w:ascii="Tahoma" w:hAnsi="Tahoma" w:cs="Tahoma"/>
          <w:color w:val="000000"/>
          <w:shd w:val="clear" w:color="auto" w:fill="FFFFFF"/>
        </w:rPr>
      </w:pPr>
    </w:p>
    <w:p w14:paraId="486EC68A" w14:textId="452DCB2D" w:rsidR="00711FF5" w:rsidRPr="00322315" w:rsidRDefault="00711FF5" w:rsidP="00322315">
      <w:pPr>
        <w:spacing w:before="0" w:beforeAutospacing="0" w:after="0" w:afterAutospacing="0" w:line="276" w:lineRule="auto"/>
        <w:textAlignment w:val="baseline"/>
        <w:rPr>
          <w:rStyle w:val="eop"/>
          <w:rFonts w:ascii="Tahoma" w:hAnsi="Tahoma" w:cs="Tahoma"/>
          <w:color w:val="000000"/>
          <w:shd w:val="clear" w:color="auto" w:fill="FFFFFF"/>
        </w:rPr>
      </w:pPr>
      <w:r w:rsidRPr="00322315">
        <w:rPr>
          <w:rStyle w:val="normaltextrun"/>
          <w:rFonts w:ascii="Tahoma" w:hAnsi="Tahoma" w:cs="Tahoma"/>
          <w:b/>
          <w:color w:val="000000"/>
          <w:shd w:val="clear" w:color="auto" w:fill="FFFFFF"/>
        </w:rPr>
        <w:t>SEGUNDO: ADICIONAR</w:t>
      </w:r>
      <w:r w:rsidRPr="00322315">
        <w:rPr>
          <w:rStyle w:val="normaltextrun"/>
          <w:rFonts w:ascii="Tahoma" w:hAnsi="Tahoma" w:cs="Tahoma"/>
          <w:color w:val="000000"/>
          <w:shd w:val="clear" w:color="auto" w:fill="FFFFFF"/>
        </w:rPr>
        <w:t xml:space="preserve"> la parte resolutiva de la sentencia </w:t>
      </w:r>
      <w:r w:rsidR="00D67499" w:rsidRPr="00322315">
        <w:rPr>
          <w:rStyle w:val="normaltextrun"/>
          <w:rFonts w:ascii="Tahoma" w:hAnsi="Tahoma" w:cs="Tahoma"/>
          <w:color w:val="000000"/>
          <w:shd w:val="clear" w:color="auto" w:fill="FFFFFF"/>
        </w:rPr>
        <w:t>de primera instancia</w:t>
      </w:r>
      <w:r w:rsidRPr="00322315">
        <w:rPr>
          <w:rStyle w:val="normaltextrun"/>
          <w:rFonts w:ascii="Tahoma" w:hAnsi="Tahoma" w:cs="Tahoma"/>
          <w:color w:val="000000"/>
          <w:shd w:val="clear" w:color="auto" w:fill="FFFFFF"/>
        </w:rPr>
        <w:t>,</w:t>
      </w:r>
      <w:r w:rsidR="00D67499" w:rsidRPr="00322315">
        <w:rPr>
          <w:rStyle w:val="normaltextrun"/>
          <w:rFonts w:ascii="Tahoma" w:hAnsi="Tahoma" w:cs="Tahoma"/>
          <w:color w:val="000000"/>
          <w:shd w:val="clear" w:color="auto" w:fill="FFFFFF"/>
        </w:rPr>
        <w:t xml:space="preserve"> a efectos de</w:t>
      </w:r>
      <w:r w:rsidR="00A242D7" w:rsidRPr="00322315">
        <w:rPr>
          <w:rStyle w:val="normaltextrun"/>
          <w:rFonts w:ascii="Tahoma" w:hAnsi="Tahoma" w:cs="Tahoma"/>
          <w:color w:val="000000"/>
          <w:shd w:val="clear" w:color="auto" w:fill="FFFFFF"/>
        </w:rPr>
        <w:t xml:space="preserve"> </w:t>
      </w:r>
      <w:r w:rsidR="00A242D7" w:rsidRPr="00322315">
        <w:rPr>
          <w:rStyle w:val="normaltextrun"/>
          <w:rFonts w:ascii="Tahoma" w:hAnsi="Tahoma" w:cs="Tahoma"/>
          <w:b/>
          <w:bCs/>
          <w:color w:val="000000"/>
          <w:shd w:val="clear" w:color="auto" w:fill="FFFFFF"/>
        </w:rPr>
        <w:t>COMUNICAR</w:t>
      </w:r>
      <w:r w:rsidR="00A242D7" w:rsidRPr="00322315">
        <w:rPr>
          <w:rStyle w:val="normaltextrun"/>
          <w:rFonts w:ascii="Tahoma" w:hAnsi="Tahoma" w:cs="Tahoma"/>
          <w:color w:val="000000"/>
          <w:shd w:val="clear" w:color="auto" w:fill="FFFFFF"/>
        </w:rPr>
        <w:t xml:space="preserve"> la decisión adoptada en este asunto </w:t>
      </w:r>
      <w:r w:rsidR="00A242D7" w:rsidRPr="00322315">
        <w:rPr>
          <w:rStyle w:val="normaltextrun"/>
          <w:rFonts w:ascii="Tahoma" w:hAnsi="Tahoma" w:cs="Tahoma"/>
          <w:color w:val="000000"/>
          <w:shd w:val="clear" w:color="auto" w:fill="FFFFFF"/>
          <w:lang w:val="es-ES"/>
        </w:rPr>
        <w:t xml:space="preserve">a la </w:t>
      </w:r>
      <w:r w:rsidR="00D67499" w:rsidRPr="00322315">
        <w:rPr>
          <w:rStyle w:val="normaltextrun"/>
          <w:rFonts w:ascii="Tahoma" w:hAnsi="Tahoma" w:cs="Tahoma"/>
          <w:color w:val="000000"/>
          <w:shd w:val="clear" w:color="auto" w:fill="FFFFFF"/>
          <w:lang w:val="es-ES"/>
        </w:rPr>
        <w:t>Oficina de Bonos Pensionales -</w:t>
      </w:r>
      <w:r w:rsidR="00A242D7" w:rsidRPr="00322315">
        <w:rPr>
          <w:rStyle w:val="normaltextrun"/>
          <w:rFonts w:ascii="Tahoma" w:hAnsi="Tahoma" w:cs="Tahoma"/>
          <w:color w:val="000000"/>
          <w:shd w:val="clear" w:color="auto" w:fill="FFFFFF"/>
          <w:lang w:val="es-ES"/>
        </w:rPr>
        <w:t>OBP</w:t>
      </w:r>
      <w:r w:rsidR="00D67499" w:rsidRPr="00322315">
        <w:rPr>
          <w:rStyle w:val="normaltextrun"/>
          <w:rFonts w:ascii="Tahoma" w:hAnsi="Tahoma" w:cs="Tahoma"/>
          <w:color w:val="000000"/>
          <w:shd w:val="clear" w:color="auto" w:fill="FFFFFF"/>
          <w:lang w:val="es-ES"/>
        </w:rPr>
        <w:t>-</w:t>
      </w:r>
      <w:r w:rsidR="00A242D7" w:rsidRPr="00322315">
        <w:rPr>
          <w:rStyle w:val="normaltextrun"/>
          <w:rFonts w:ascii="Tahoma" w:hAnsi="Tahoma" w:cs="Tahoma"/>
          <w:color w:val="000000"/>
          <w:shd w:val="clear" w:color="auto" w:fill="FFFFFF"/>
          <w:lang w:val="es-ES"/>
        </w:rPr>
        <w:t xml:space="preserve"> del Ministerio de Hacienda y Crédito Público, conforme se expuso en precedencia.</w:t>
      </w:r>
      <w:r w:rsidR="00A242D7" w:rsidRPr="00322315">
        <w:rPr>
          <w:rStyle w:val="eop"/>
          <w:rFonts w:ascii="Tahoma" w:hAnsi="Tahoma" w:cs="Tahoma"/>
          <w:color w:val="000000"/>
          <w:shd w:val="clear" w:color="auto" w:fill="FFFFFF"/>
        </w:rPr>
        <w:t> </w:t>
      </w:r>
    </w:p>
    <w:p w14:paraId="418B46B8" w14:textId="1724C82E" w:rsidR="00A242D7" w:rsidRPr="00322315" w:rsidRDefault="00A242D7" w:rsidP="00322315">
      <w:pPr>
        <w:spacing w:before="0" w:beforeAutospacing="0" w:after="0" w:afterAutospacing="0" w:line="276" w:lineRule="auto"/>
        <w:textAlignment w:val="baseline"/>
        <w:rPr>
          <w:rFonts w:ascii="Tahoma" w:hAnsi="Tahoma" w:cs="Tahoma"/>
          <w:color w:val="000000"/>
          <w:shd w:val="clear" w:color="auto" w:fill="FFFFFF"/>
        </w:rPr>
      </w:pPr>
    </w:p>
    <w:p w14:paraId="79203D30" w14:textId="7D27A66C" w:rsidR="00A242D7" w:rsidRPr="00322315" w:rsidRDefault="00A242D7" w:rsidP="00322315">
      <w:pPr>
        <w:spacing w:before="0" w:beforeAutospacing="0" w:after="0" w:afterAutospacing="0" w:line="276" w:lineRule="auto"/>
        <w:textAlignment w:val="baseline"/>
        <w:rPr>
          <w:rFonts w:ascii="Tahoma" w:hAnsi="Tahoma" w:cs="Tahoma"/>
          <w:color w:val="000000"/>
          <w:shd w:val="clear" w:color="auto" w:fill="FFFFFF"/>
        </w:rPr>
      </w:pPr>
      <w:r w:rsidRPr="00322315">
        <w:rPr>
          <w:rFonts w:ascii="Tahoma" w:hAnsi="Tahoma" w:cs="Tahoma"/>
          <w:b/>
          <w:color w:val="000000"/>
          <w:shd w:val="clear" w:color="auto" w:fill="FFFFFF"/>
        </w:rPr>
        <w:t>TERCERO: CONFIRMAR</w:t>
      </w:r>
      <w:r w:rsidRPr="00322315">
        <w:rPr>
          <w:rFonts w:ascii="Tahoma" w:hAnsi="Tahoma" w:cs="Tahoma"/>
          <w:color w:val="000000"/>
          <w:shd w:val="clear" w:color="auto" w:fill="FFFFFF"/>
        </w:rPr>
        <w:t xml:space="preserve"> en todo lo demás la sentencia objeto de recurso.</w:t>
      </w:r>
    </w:p>
    <w:p w14:paraId="752868E7" w14:textId="2A4D66DF" w:rsidR="00A242D7" w:rsidRPr="00322315" w:rsidRDefault="00A242D7" w:rsidP="00322315">
      <w:pPr>
        <w:spacing w:before="0" w:beforeAutospacing="0" w:after="0" w:afterAutospacing="0" w:line="276" w:lineRule="auto"/>
        <w:textAlignment w:val="baseline"/>
        <w:rPr>
          <w:rFonts w:ascii="Tahoma" w:hAnsi="Tahoma" w:cs="Tahoma"/>
          <w:color w:val="000000"/>
          <w:shd w:val="clear" w:color="auto" w:fill="FFFFFF"/>
        </w:rPr>
      </w:pPr>
    </w:p>
    <w:p w14:paraId="6CD887F6" w14:textId="1FBB486E" w:rsidR="00A242D7" w:rsidRPr="00322315" w:rsidRDefault="00A242D7" w:rsidP="00322315">
      <w:pPr>
        <w:spacing w:before="0" w:beforeAutospacing="0" w:after="0" w:afterAutospacing="0" w:line="276" w:lineRule="auto"/>
        <w:textAlignment w:val="baseline"/>
        <w:rPr>
          <w:rStyle w:val="normaltextrun"/>
          <w:rFonts w:ascii="Tahoma" w:hAnsi="Tahoma" w:cs="Tahoma"/>
          <w:color w:val="000000"/>
          <w:shd w:val="clear" w:color="auto" w:fill="FFFFFF"/>
        </w:rPr>
      </w:pPr>
      <w:r w:rsidRPr="00322315">
        <w:rPr>
          <w:rFonts w:ascii="Tahoma" w:hAnsi="Tahoma" w:cs="Tahoma"/>
          <w:b/>
          <w:color w:val="000000"/>
          <w:shd w:val="clear" w:color="auto" w:fill="FFFFFF"/>
        </w:rPr>
        <w:t>CUARTO:</w:t>
      </w:r>
      <w:r w:rsidRPr="00322315">
        <w:rPr>
          <w:rFonts w:ascii="Tahoma" w:hAnsi="Tahoma" w:cs="Tahoma"/>
          <w:color w:val="000000"/>
          <w:shd w:val="clear" w:color="auto" w:fill="FFFFFF"/>
        </w:rPr>
        <w:t xml:space="preserve"> </w:t>
      </w:r>
      <w:r w:rsidRPr="00322315">
        <w:rPr>
          <w:rStyle w:val="normaltextrun"/>
          <w:rFonts w:ascii="Tahoma" w:hAnsi="Tahoma" w:cs="Tahoma"/>
          <w:b/>
          <w:bCs/>
          <w:color w:val="000000"/>
          <w:shd w:val="clear" w:color="auto" w:fill="FFFFFF"/>
        </w:rPr>
        <w:t>CONDENAR</w:t>
      </w:r>
      <w:r w:rsidRPr="00322315">
        <w:rPr>
          <w:rStyle w:val="normaltextrun"/>
          <w:rFonts w:ascii="Tahoma" w:hAnsi="Tahoma" w:cs="Tahoma"/>
          <w:color w:val="000000"/>
          <w:shd w:val="clear" w:color="auto" w:fill="FFFFFF"/>
        </w:rPr>
        <w:t xml:space="preserve"> en costas de segunda instancia a </w:t>
      </w:r>
      <w:r w:rsidRPr="00322315">
        <w:rPr>
          <w:rStyle w:val="normaltextrun"/>
          <w:rFonts w:ascii="Tahoma" w:hAnsi="Tahoma" w:cs="Tahoma"/>
          <w:bCs/>
          <w:color w:val="000000"/>
          <w:shd w:val="clear" w:color="auto" w:fill="FFFFFF"/>
          <w:lang w:val="es-ES"/>
        </w:rPr>
        <w:t>Porvenir S.A.</w:t>
      </w:r>
      <w:r w:rsidRPr="00322315">
        <w:rPr>
          <w:rStyle w:val="normaltextrun"/>
          <w:rFonts w:ascii="Tahoma" w:hAnsi="Tahoma" w:cs="Tahoma"/>
          <w:color w:val="000000"/>
          <w:shd w:val="clear" w:color="auto" w:fill="FFFFFF"/>
        </w:rPr>
        <w:t xml:space="preserve"> y Colpensiones a favor de la parte demandante. Liquídense por la secretaría del juzgado de origen.</w:t>
      </w:r>
    </w:p>
    <w:p w14:paraId="1A2809F0" w14:textId="77777777" w:rsidR="00322315" w:rsidRPr="00322315" w:rsidRDefault="00322315" w:rsidP="00322315">
      <w:pPr>
        <w:spacing w:before="0" w:beforeAutospacing="0" w:after="0" w:afterAutospacing="0" w:line="276" w:lineRule="auto"/>
        <w:ind w:firstLine="0"/>
        <w:jc w:val="left"/>
        <w:rPr>
          <w:rFonts w:ascii="Tahoma" w:eastAsia="Tahoma" w:hAnsi="Tahoma" w:cs="Tahoma"/>
          <w:lang w:val="es-ES" w:eastAsia="es-CO"/>
        </w:rPr>
      </w:pPr>
    </w:p>
    <w:p w14:paraId="0D120013" w14:textId="77777777" w:rsidR="00322315" w:rsidRPr="00322315" w:rsidRDefault="00322315" w:rsidP="00322315">
      <w:pPr>
        <w:spacing w:before="0" w:beforeAutospacing="0" w:after="0" w:afterAutospacing="0" w:line="276" w:lineRule="auto"/>
        <w:ind w:firstLine="709"/>
        <w:rPr>
          <w:rFonts w:ascii="Tahoma" w:eastAsia="Tahoma" w:hAnsi="Tahoma" w:cs="Tahoma"/>
          <w:lang w:val="es-ES" w:eastAsia="es-CO"/>
        </w:rPr>
      </w:pPr>
      <w:r w:rsidRPr="00322315">
        <w:rPr>
          <w:rFonts w:ascii="Tahoma" w:eastAsia="Tahoma" w:hAnsi="Tahoma" w:cs="Tahoma"/>
          <w:b/>
          <w:lang w:val="es-ES" w:eastAsia="es-CO"/>
        </w:rPr>
        <w:t>Notifíquese y cúmplase.</w:t>
      </w:r>
    </w:p>
    <w:p w14:paraId="0699A21C" w14:textId="77777777" w:rsidR="00322315" w:rsidRPr="00322315" w:rsidRDefault="00322315" w:rsidP="00322315">
      <w:pPr>
        <w:spacing w:before="0" w:beforeAutospacing="0" w:after="0" w:afterAutospacing="0" w:line="276" w:lineRule="auto"/>
        <w:ind w:firstLine="0"/>
        <w:rPr>
          <w:rFonts w:ascii="Tahoma" w:eastAsia="Segoe UI" w:hAnsi="Tahoma" w:cs="Tahoma"/>
          <w:lang w:eastAsia="es-CO"/>
        </w:rPr>
      </w:pPr>
    </w:p>
    <w:p w14:paraId="4EECD168" w14:textId="77777777" w:rsidR="00322315" w:rsidRPr="00322315" w:rsidRDefault="00322315" w:rsidP="00322315">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322315">
        <w:rPr>
          <w:rFonts w:ascii="Tahoma" w:eastAsia="Times New Roman" w:hAnsi="Tahoma" w:cs="Tahoma"/>
          <w:lang w:val="es-ES" w:eastAsia="es-ES"/>
        </w:rPr>
        <w:tab/>
        <w:t>La Magistrada ponente,</w:t>
      </w:r>
    </w:p>
    <w:p w14:paraId="6E2A5653" w14:textId="77777777" w:rsidR="00322315" w:rsidRPr="00322315" w:rsidRDefault="00322315" w:rsidP="00322315">
      <w:pPr>
        <w:spacing w:before="0" w:beforeAutospacing="0" w:after="0" w:afterAutospacing="0" w:line="276" w:lineRule="auto"/>
        <w:ind w:firstLine="0"/>
        <w:jc w:val="left"/>
        <w:rPr>
          <w:rFonts w:ascii="Tahoma" w:eastAsia="Times New Roman" w:hAnsi="Tahoma" w:cs="Tahoma"/>
          <w:lang w:val="es-ES" w:eastAsia="es-ES"/>
        </w:rPr>
      </w:pPr>
    </w:p>
    <w:p w14:paraId="693E9C4B" w14:textId="77777777" w:rsidR="00322315" w:rsidRPr="00322315" w:rsidRDefault="00322315" w:rsidP="00322315">
      <w:pPr>
        <w:spacing w:before="0" w:beforeAutospacing="0" w:after="0" w:afterAutospacing="0" w:line="276" w:lineRule="auto"/>
        <w:ind w:firstLine="0"/>
        <w:jc w:val="left"/>
        <w:rPr>
          <w:rFonts w:ascii="Tahoma" w:eastAsia="Times New Roman" w:hAnsi="Tahoma" w:cs="Tahoma"/>
          <w:lang w:val="es-ES" w:eastAsia="es-ES"/>
        </w:rPr>
      </w:pPr>
    </w:p>
    <w:p w14:paraId="21FEEA0D" w14:textId="77777777" w:rsidR="00322315" w:rsidRPr="00322315" w:rsidRDefault="00322315" w:rsidP="00322315">
      <w:pPr>
        <w:spacing w:before="0" w:beforeAutospacing="0" w:after="0" w:afterAutospacing="0" w:line="276" w:lineRule="auto"/>
        <w:ind w:firstLine="0"/>
        <w:jc w:val="left"/>
        <w:rPr>
          <w:rFonts w:ascii="Tahoma" w:eastAsia="Times New Roman" w:hAnsi="Tahoma" w:cs="Tahoma"/>
          <w:lang w:val="es-ES" w:eastAsia="es-ES"/>
        </w:rPr>
      </w:pPr>
    </w:p>
    <w:p w14:paraId="4B65B16A" w14:textId="77777777" w:rsidR="00322315" w:rsidRPr="00322315" w:rsidRDefault="00322315" w:rsidP="00322315">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322315">
        <w:rPr>
          <w:rFonts w:ascii="Tahoma" w:eastAsia="Times New Roman" w:hAnsi="Tahoma" w:cs="Tahoma"/>
          <w:b/>
          <w:bCs/>
          <w:lang w:val="es-ES" w:eastAsia="es-ES"/>
        </w:rPr>
        <w:t>ANA LUCÍA CAICEDO CALDERÓN</w:t>
      </w:r>
    </w:p>
    <w:p w14:paraId="17540E4B" w14:textId="77777777" w:rsidR="00322315" w:rsidRPr="00322315" w:rsidRDefault="00322315" w:rsidP="00322315">
      <w:pPr>
        <w:spacing w:before="0" w:beforeAutospacing="0" w:after="0" w:afterAutospacing="0" w:line="276" w:lineRule="auto"/>
        <w:ind w:firstLine="0"/>
        <w:jc w:val="left"/>
        <w:rPr>
          <w:rFonts w:ascii="Tahoma" w:eastAsia="Times New Roman" w:hAnsi="Tahoma" w:cs="Tahoma"/>
          <w:lang w:val="es-ES" w:eastAsia="es-ES"/>
        </w:rPr>
      </w:pPr>
    </w:p>
    <w:p w14:paraId="0EB52479" w14:textId="77777777" w:rsidR="00322315" w:rsidRPr="00322315" w:rsidRDefault="00322315" w:rsidP="00322315">
      <w:pPr>
        <w:spacing w:before="0" w:beforeAutospacing="0" w:after="0" w:afterAutospacing="0" w:line="276" w:lineRule="auto"/>
        <w:ind w:firstLine="708"/>
        <w:jc w:val="left"/>
        <w:rPr>
          <w:rFonts w:ascii="Tahoma" w:eastAsia="Times New Roman" w:hAnsi="Tahoma" w:cs="Tahoma"/>
          <w:lang w:val="es-ES" w:eastAsia="es-ES"/>
        </w:rPr>
      </w:pPr>
      <w:bookmarkStart w:id="13" w:name="_Hlk62478330"/>
      <w:r w:rsidRPr="00322315">
        <w:rPr>
          <w:rFonts w:ascii="Tahoma" w:eastAsia="Times New Roman" w:hAnsi="Tahoma" w:cs="Tahoma"/>
          <w:lang w:val="es-ES" w:eastAsia="es-ES"/>
        </w:rPr>
        <w:t>La Magistrada y el Magistrado,</w:t>
      </w:r>
    </w:p>
    <w:p w14:paraId="5644E589" w14:textId="77777777" w:rsidR="00322315" w:rsidRPr="00322315" w:rsidRDefault="00322315" w:rsidP="00322315">
      <w:pPr>
        <w:spacing w:before="0" w:beforeAutospacing="0" w:after="0" w:afterAutospacing="0" w:line="276" w:lineRule="auto"/>
        <w:ind w:firstLine="0"/>
        <w:jc w:val="left"/>
        <w:rPr>
          <w:rFonts w:ascii="Tahoma" w:eastAsia="Times New Roman" w:hAnsi="Tahoma" w:cs="Tahoma"/>
          <w:lang w:val="es-ES" w:eastAsia="es-ES"/>
        </w:rPr>
      </w:pPr>
    </w:p>
    <w:p w14:paraId="2C269FB9" w14:textId="77777777" w:rsidR="00322315" w:rsidRPr="00322315" w:rsidRDefault="00322315" w:rsidP="00322315">
      <w:pPr>
        <w:spacing w:before="0" w:beforeAutospacing="0" w:after="0" w:afterAutospacing="0" w:line="276" w:lineRule="auto"/>
        <w:ind w:firstLine="0"/>
        <w:jc w:val="left"/>
        <w:rPr>
          <w:rFonts w:ascii="Tahoma" w:eastAsia="Times New Roman" w:hAnsi="Tahoma" w:cs="Tahoma"/>
          <w:lang w:val="es-ES" w:eastAsia="es-ES"/>
        </w:rPr>
      </w:pPr>
    </w:p>
    <w:p w14:paraId="60CA45B6" w14:textId="77777777" w:rsidR="00322315" w:rsidRPr="00322315" w:rsidRDefault="00322315" w:rsidP="00322315">
      <w:pPr>
        <w:spacing w:before="0" w:beforeAutospacing="0" w:after="0" w:afterAutospacing="0" w:line="276" w:lineRule="auto"/>
        <w:ind w:firstLine="0"/>
        <w:jc w:val="left"/>
        <w:rPr>
          <w:rFonts w:ascii="Tahoma" w:eastAsia="Times New Roman" w:hAnsi="Tahoma" w:cs="Tahoma"/>
          <w:lang w:val="es-ES" w:eastAsia="es-ES"/>
        </w:rPr>
      </w:pPr>
    </w:p>
    <w:p w14:paraId="24351A2D" w14:textId="01B039F2" w:rsidR="00E30E20" w:rsidRDefault="00322315" w:rsidP="00322315">
      <w:pPr>
        <w:pStyle w:val="paragraph"/>
        <w:spacing w:before="0" w:beforeAutospacing="0" w:after="0" w:afterAutospacing="0" w:line="276" w:lineRule="auto"/>
        <w:jc w:val="both"/>
        <w:textAlignment w:val="baseline"/>
        <w:rPr>
          <w:rFonts w:ascii="Tahoma" w:hAnsi="Tahoma" w:cs="Tahoma"/>
          <w:bCs/>
          <w:lang w:val="es-ES" w:eastAsia="es-ES"/>
        </w:rPr>
      </w:pPr>
      <w:r w:rsidRPr="00322315">
        <w:rPr>
          <w:rFonts w:ascii="Tahoma" w:hAnsi="Tahoma" w:cs="Tahoma"/>
          <w:b/>
          <w:bCs/>
          <w:lang w:val="es-ES" w:eastAsia="es-ES"/>
        </w:rPr>
        <w:t>OLGA LUCÍA HOYOS SEPÚLVEDA</w:t>
      </w:r>
      <w:r w:rsidRPr="00322315">
        <w:rPr>
          <w:rFonts w:ascii="Tahoma" w:hAnsi="Tahoma" w:cs="Tahoma"/>
          <w:b/>
          <w:bCs/>
          <w:lang w:val="es-ES" w:eastAsia="es-ES"/>
        </w:rPr>
        <w:tab/>
      </w:r>
      <w:r w:rsidRPr="00322315">
        <w:rPr>
          <w:rFonts w:ascii="Tahoma" w:hAnsi="Tahoma" w:cs="Tahoma"/>
          <w:b/>
          <w:bCs/>
          <w:lang w:val="es-ES" w:eastAsia="es-ES"/>
        </w:rPr>
        <w:tab/>
        <w:t>GERMÁN DARÍO GÓEZ VINASCO</w:t>
      </w:r>
      <w:bookmarkEnd w:id="13"/>
    </w:p>
    <w:p w14:paraId="60ABBC6C" w14:textId="132B0E5E" w:rsidR="00322315" w:rsidRPr="00322315" w:rsidRDefault="00322315" w:rsidP="00322315">
      <w:pPr>
        <w:pStyle w:val="paragraph"/>
        <w:spacing w:before="0" w:beforeAutospacing="0" w:after="0" w:afterAutospacing="0" w:line="276" w:lineRule="auto"/>
        <w:jc w:val="both"/>
        <w:textAlignment w:val="baseline"/>
        <w:rPr>
          <w:rFonts w:ascii="Tahoma" w:hAnsi="Tahoma" w:cs="Tahoma"/>
          <w:bCs/>
          <w:color w:val="000000" w:themeColor="text1"/>
          <w:lang w:val="es-ES" w:eastAsia="es-ES"/>
        </w:rPr>
      </w:pPr>
      <w:r>
        <w:rPr>
          <w:rFonts w:ascii="Tahoma" w:hAnsi="Tahoma" w:cs="Tahoma"/>
          <w:bCs/>
          <w:color w:val="000000" w:themeColor="text1"/>
          <w:lang w:val="es-ES" w:eastAsia="es-ES"/>
        </w:rPr>
        <w:t>Con ac</w:t>
      </w:r>
      <w:bookmarkStart w:id="14" w:name="_GoBack"/>
      <w:bookmarkEnd w:id="14"/>
      <w:r>
        <w:rPr>
          <w:rFonts w:ascii="Tahoma" w:hAnsi="Tahoma" w:cs="Tahoma"/>
          <w:bCs/>
          <w:color w:val="000000" w:themeColor="text1"/>
          <w:lang w:val="es-ES" w:eastAsia="es-ES"/>
        </w:rPr>
        <w:t>laración de voto</w:t>
      </w:r>
    </w:p>
    <w:sectPr w:rsidR="00322315" w:rsidRPr="00322315" w:rsidSect="00C36D5E">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6C8E" w14:textId="77777777" w:rsidR="004A7587" w:rsidRDefault="004A7587" w:rsidP="00995B6C">
      <w:pPr>
        <w:spacing w:before="0" w:after="0" w:line="240" w:lineRule="auto"/>
      </w:pPr>
      <w:r>
        <w:separator/>
      </w:r>
    </w:p>
  </w:endnote>
  <w:endnote w:type="continuationSeparator" w:id="0">
    <w:p w14:paraId="65033AEE" w14:textId="77777777" w:rsidR="004A7587" w:rsidRDefault="004A7587" w:rsidP="00995B6C">
      <w:pPr>
        <w:spacing w:before="0" w:after="0" w:line="240" w:lineRule="auto"/>
      </w:pPr>
      <w:r>
        <w:continuationSeparator/>
      </w:r>
    </w:p>
  </w:endnote>
  <w:endnote w:type="continuationNotice" w:id="1">
    <w:p w14:paraId="282EE830" w14:textId="77777777" w:rsidR="004A7587" w:rsidRDefault="004A75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AD418D" w:rsidRDefault="0040599D" w:rsidP="00AD418D">
        <w:pPr>
          <w:framePr w:wrap="none" w:vAnchor="text" w:hAnchor="margin" w:xAlign="right" w:y="1"/>
          <w:tabs>
            <w:tab w:val="left" w:pos="0"/>
          </w:tabs>
          <w:spacing w:before="0" w:beforeAutospacing="0" w:after="0" w:afterAutospacing="0" w:line="240" w:lineRule="auto"/>
          <w:ind w:firstLine="0"/>
          <w:contextualSpacing/>
          <w:rPr>
            <w:rFonts w:ascii="Arial" w:hAnsi="Arial" w:cs="Arial"/>
            <w:color w:val="000000"/>
            <w:sz w:val="18"/>
            <w:szCs w:val="18"/>
          </w:rPr>
        </w:pPr>
        <w:r w:rsidRPr="00AD418D">
          <w:rPr>
            <w:rFonts w:ascii="Arial" w:hAnsi="Arial" w:cs="Arial"/>
            <w:color w:val="000000"/>
            <w:sz w:val="18"/>
            <w:szCs w:val="18"/>
          </w:rPr>
          <w:fldChar w:fldCharType="begin"/>
        </w:r>
        <w:r w:rsidRPr="00AD418D">
          <w:rPr>
            <w:rFonts w:ascii="Arial" w:hAnsi="Arial" w:cs="Arial"/>
            <w:color w:val="000000"/>
            <w:sz w:val="18"/>
            <w:szCs w:val="18"/>
          </w:rPr>
          <w:instrText xml:space="preserve"> PAGE </w:instrText>
        </w:r>
        <w:r w:rsidRPr="00AD418D">
          <w:rPr>
            <w:rFonts w:ascii="Arial" w:hAnsi="Arial" w:cs="Arial"/>
            <w:color w:val="000000"/>
            <w:sz w:val="18"/>
            <w:szCs w:val="18"/>
          </w:rPr>
          <w:fldChar w:fldCharType="separate"/>
        </w:r>
        <w:r w:rsidRPr="00AD418D">
          <w:rPr>
            <w:rFonts w:ascii="Arial" w:hAnsi="Arial" w:cs="Arial"/>
            <w:color w:val="000000"/>
            <w:sz w:val="18"/>
            <w:szCs w:val="18"/>
          </w:rPr>
          <w:t>2</w:t>
        </w:r>
        <w:r w:rsidRPr="00AD418D">
          <w:rPr>
            <w:rFonts w:ascii="Arial" w:hAnsi="Arial" w:cs="Arial"/>
            <w:color w:val="000000"/>
            <w:sz w:val="18"/>
            <w:szCs w:val="18"/>
          </w:rPr>
          <w:fldChar w:fldCharType="end"/>
        </w:r>
      </w:p>
    </w:sdtContent>
  </w:sdt>
  <w:p w14:paraId="79A44826" w14:textId="77777777" w:rsidR="0040599D" w:rsidRPr="00AD418D" w:rsidRDefault="0040599D" w:rsidP="00AD418D">
    <w:pPr>
      <w:tabs>
        <w:tab w:val="left" w:pos="0"/>
      </w:tabs>
      <w:spacing w:before="0" w:beforeAutospacing="0" w:after="0" w:afterAutospacing="0" w:line="240" w:lineRule="auto"/>
      <w:ind w:firstLine="0"/>
      <w:contextualSpacing/>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72C2" w14:textId="77777777" w:rsidR="004A7587" w:rsidRDefault="004A7587" w:rsidP="00995B6C">
      <w:pPr>
        <w:spacing w:before="0" w:after="0" w:line="240" w:lineRule="auto"/>
      </w:pPr>
      <w:r>
        <w:separator/>
      </w:r>
    </w:p>
  </w:footnote>
  <w:footnote w:type="continuationSeparator" w:id="0">
    <w:p w14:paraId="32BF2589" w14:textId="77777777" w:rsidR="004A7587" w:rsidRDefault="004A7587" w:rsidP="00995B6C">
      <w:pPr>
        <w:spacing w:before="0" w:after="0" w:line="240" w:lineRule="auto"/>
      </w:pPr>
      <w:r>
        <w:continuationSeparator/>
      </w:r>
    </w:p>
  </w:footnote>
  <w:footnote w:type="continuationNotice" w:id="1">
    <w:p w14:paraId="7B63041A" w14:textId="77777777" w:rsidR="004A7587" w:rsidRDefault="004A7587">
      <w:pPr>
        <w:spacing w:before="0" w:after="0" w:line="240" w:lineRule="auto"/>
      </w:pPr>
    </w:p>
  </w:footnote>
  <w:footnote w:id="2">
    <w:p w14:paraId="4B83500D" w14:textId="77777777" w:rsidR="00ED34FC" w:rsidRPr="00BE4A38" w:rsidRDefault="00ED34FC" w:rsidP="008D71DA">
      <w:pPr>
        <w:pStyle w:val="Textonotapie"/>
        <w:ind w:firstLine="0"/>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3">
    <w:p w14:paraId="07A2CF87" w14:textId="77777777" w:rsidR="00ED34FC" w:rsidRPr="00BE4A38" w:rsidRDefault="00ED34FC" w:rsidP="008D71DA">
      <w:pPr>
        <w:pStyle w:val="Textonotapie"/>
        <w:ind w:firstLine="0"/>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4">
    <w:p w14:paraId="0C00287E" w14:textId="77777777" w:rsidR="00ED34FC" w:rsidRPr="00CF2B6C" w:rsidRDefault="00ED34FC" w:rsidP="008D71DA">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Título tomado de la sentencia del 8 de mayo de 2019SL 1688-2019, Radicado 68838, con Ponencia de la Dra. Clara Cecilia Dueñas Quevedo</w:t>
      </w:r>
    </w:p>
  </w:footnote>
  <w:footnote w:id="5">
    <w:p w14:paraId="7D1E10F5" w14:textId="77777777" w:rsidR="00ED34FC" w:rsidRPr="00CF2B6C" w:rsidRDefault="00ED34FC" w:rsidP="008D71DA">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SL5688 de 2021, rad. 83576 del 6 de octubre de 2021. M.P. Iván Mauricio Lenis Gómez.</w:t>
      </w:r>
    </w:p>
  </w:footnote>
  <w:footnote w:id="6">
    <w:p w14:paraId="057D8723" w14:textId="77777777" w:rsidR="00ED34FC" w:rsidRPr="00CF2B6C" w:rsidRDefault="00ED34FC" w:rsidP="008D71DA">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SL5686 de 2021, rad. 82139 del 6 de octubre de 2021. M.P. Iván Mauricio Lenis Gómez.</w:t>
      </w:r>
    </w:p>
  </w:footnote>
  <w:footnote w:id="7">
    <w:p w14:paraId="3BB5EE35" w14:textId="77777777" w:rsidR="00ED34FC" w:rsidRPr="00CF2B6C" w:rsidRDefault="00ED34FC" w:rsidP="008D71DA">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SL1926 de 2022, rad. 89920 del 27 de abril de 2022. M.P. Omar Ángel Mejía Amador.</w:t>
      </w:r>
    </w:p>
  </w:footnote>
  <w:footnote w:id="8">
    <w:p w14:paraId="4D802C56" w14:textId="77777777" w:rsidR="00ED34FC" w:rsidRPr="00CF2B6C" w:rsidRDefault="00ED34FC" w:rsidP="008D71DA">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SL1055 de 2022, rad. 87911 del 2 de marzo de 2022. M.P. Iván Mauricio Lenis Gómez.</w:t>
      </w:r>
    </w:p>
  </w:footnote>
  <w:footnote w:id="9">
    <w:p w14:paraId="4931CB37" w14:textId="77777777" w:rsidR="00ED34FC" w:rsidRPr="00CF2B6C" w:rsidRDefault="00ED34FC" w:rsidP="008D71DA">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 1618-2022, radicado 87821 del 4 de mayo de 2022, M.P. Gerardo Botero Zuluaga.</w:t>
      </w:r>
    </w:p>
  </w:footnote>
  <w:footnote w:id="10">
    <w:p w14:paraId="164DCD02" w14:textId="77777777" w:rsidR="00ED34FC" w:rsidRPr="00CF2B6C" w:rsidRDefault="00ED34FC" w:rsidP="008D71DA">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3E4B" w14:textId="20B87598" w:rsidR="005F249B" w:rsidRPr="00322315" w:rsidRDefault="005F249B" w:rsidP="00322315">
    <w:pPr>
      <w:tabs>
        <w:tab w:val="left" w:pos="0"/>
      </w:tabs>
      <w:spacing w:before="0" w:beforeAutospacing="0" w:after="0" w:afterAutospacing="0" w:line="240" w:lineRule="auto"/>
      <w:ind w:firstLine="0"/>
      <w:contextualSpacing/>
      <w:rPr>
        <w:rFonts w:ascii="Arial" w:hAnsi="Arial" w:cs="Arial"/>
        <w:color w:val="000000"/>
        <w:sz w:val="18"/>
        <w:szCs w:val="18"/>
      </w:rPr>
    </w:pPr>
    <w:r w:rsidRPr="00322315">
      <w:rPr>
        <w:rFonts w:ascii="Arial" w:hAnsi="Arial" w:cs="Arial"/>
        <w:color w:val="000000"/>
        <w:sz w:val="18"/>
        <w:szCs w:val="18"/>
      </w:rPr>
      <w:t>Radicación No.</w:t>
    </w:r>
    <w:r w:rsidR="00322315">
      <w:rPr>
        <w:rFonts w:ascii="Arial" w:hAnsi="Arial" w:cs="Arial"/>
        <w:color w:val="000000"/>
        <w:sz w:val="18"/>
        <w:szCs w:val="18"/>
      </w:rPr>
      <w:tab/>
    </w:r>
    <w:r w:rsidRPr="00322315">
      <w:rPr>
        <w:rFonts w:ascii="Arial" w:hAnsi="Arial" w:cs="Arial"/>
        <w:color w:val="000000"/>
        <w:sz w:val="18"/>
        <w:szCs w:val="18"/>
      </w:rPr>
      <w:t>66001-31-05-003-2020-00329-01</w:t>
    </w:r>
  </w:p>
  <w:p w14:paraId="3550E65A" w14:textId="65C8E86B" w:rsidR="005F249B" w:rsidRPr="00322315" w:rsidRDefault="005F249B" w:rsidP="00322315">
    <w:pPr>
      <w:tabs>
        <w:tab w:val="left" w:pos="0"/>
      </w:tabs>
      <w:spacing w:before="0" w:beforeAutospacing="0" w:after="0" w:afterAutospacing="0" w:line="240" w:lineRule="auto"/>
      <w:ind w:firstLine="0"/>
      <w:contextualSpacing/>
      <w:rPr>
        <w:rFonts w:ascii="Arial" w:hAnsi="Arial" w:cs="Arial"/>
        <w:color w:val="000000"/>
        <w:sz w:val="18"/>
        <w:szCs w:val="18"/>
      </w:rPr>
    </w:pPr>
    <w:r w:rsidRPr="00322315">
      <w:rPr>
        <w:rFonts w:ascii="Arial" w:hAnsi="Arial" w:cs="Arial"/>
        <w:color w:val="000000"/>
        <w:sz w:val="18"/>
        <w:szCs w:val="18"/>
      </w:rPr>
      <w:t>Demandante:</w:t>
    </w:r>
    <w:r w:rsidR="00322315">
      <w:rPr>
        <w:rFonts w:ascii="Arial" w:hAnsi="Arial" w:cs="Arial"/>
        <w:color w:val="000000"/>
        <w:sz w:val="18"/>
        <w:szCs w:val="18"/>
      </w:rPr>
      <w:tab/>
    </w:r>
    <w:r w:rsidRPr="00322315">
      <w:rPr>
        <w:rFonts w:ascii="Arial" w:hAnsi="Arial" w:cs="Arial"/>
        <w:color w:val="000000"/>
        <w:sz w:val="18"/>
        <w:szCs w:val="18"/>
      </w:rPr>
      <w:t xml:space="preserve">Claudia Liliana Giraldo Álzate </w:t>
    </w:r>
  </w:p>
  <w:p w14:paraId="3DB9B54B" w14:textId="196E1DC9" w:rsidR="0040599D" w:rsidRPr="00322315" w:rsidRDefault="005F249B" w:rsidP="00322315">
    <w:pPr>
      <w:tabs>
        <w:tab w:val="left" w:pos="0"/>
      </w:tabs>
      <w:spacing w:before="0" w:beforeAutospacing="0" w:after="0" w:afterAutospacing="0" w:line="240" w:lineRule="auto"/>
      <w:ind w:firstLine="0"/>
      <w:contextualSpacing/>
      <w:rPr>
        <w:rFonts w:ascii="Arial" w:hAnsi="Arial" w:cs="Arial"/>
        <w:color w:val="000000"/>
        <w:sz w:val="18"/>
        <w:szCs w:val="18"/>
      </w:rPr>
    </w:pPr>
    <w:r w:rsidRPr="00322315">
      <w:rPr>
        <w:rFonts w:ascii="Arial" w:hAnsi="Arial" w:cs="Arial"/>
        <w:color w:val="000000"/>
        <w:sz w:val="18"/>
        <w:szCs w:val="18"/>
      </w:rPr>
      <w:t>Demandado:</w:t>
    </w:r>
    <w:r w:rsidR="00322315">
      <w:rPr>
        <w:rFonts w:ascii="Arial" w:hAnsi="Arial" w:cs="Arial"/>
        <w:color w:val="000000"/>
        <w:sz w:val="18"/>
        <w:szCs w:val="18"/>
      </w:rPr>
      <w:tab/>
    </w:r>
    <w:r w:rsidRPr="00322315">
      <w:rPr>
        <w:rFonts w:ascii="Arial" w:hAnsi="Arial" w:cs="Arial"/>
        <w:color w:val="000000"/>
        <w:sz w:val="18"/>
        <w:szCs w:val="18"/>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03D61"/>
    <w:rsid w:val="00003F8B"/>
    <w:rsid w:val="0000442B"/>
    <w:rsid w:val="000075E2"/>
    <w:rsid w:val="00010CA6"/>
    <w:rsid w:val="000114AC"/>
    <w:rsid w:val="0001462A"/>
    <w:rsid w:val="0001710B"/>
    <w:rsid w:val="00021D57"/>
    <w:rsid w:val="000331FD"/>
    <w:rsid w:val="00034673"/>
    <w:rsid w:val="00037CD5"/>
    <w:rsid w:val="00043917"/>
    <w:rsid w:val="000507B6"/>
    <w:rsid w:val="00061247"/>
    <w:rsid w:val="00062E02"/>
    <w:rsid w:val="000645D4"/>
    <w:rsid w:val="00070883"/>
    <w:rsid w:val="000729F9"/>
    <w:rsid w:val="00073E27"/>
    <w:rsid w:val="00081E34"/>
    <w:rsid w:val="0008247A"/>
    <w:rsid w:val="00091006"/>
    <w:rsid w:val="00091CEF"/>
    <w:rsid w:val="00094464"/>
    <w:rsid w:val="00095732"/>
    <w:rsid w:val="000A0C58"/>
    <w:rsid w:val="000A70BA"/>
    <w:rsid w:val="000A7489"/>
    <w:rsid w:val="000B1501"/>
    <w:rsid w:val="000B269B"/>
    <w:rsid w:val="000B5F9F"/>
    <w:rsid w:val="000B758F"/>
    <w:rsid w:val="000C42AB"/>
    <w:rsid w:val="000C5FE0"/>
    <w:rsid w:val="000D1243"/>
    <w:rsid w:val="000D1284"/>
    <w:rsid w:val="000D60BA"/>
    <w:rsid w:val="000E1D8A"/>
    <w:rsid w:val="000E3AA0"/>
    <w:rsid w:val="000E4C41"/>
    <w:rsid w:val="000E4F34"/>
    <w:rsid w:val="000E6459"/>
    <w:rsid w:val="000E7048"/>
    <w:rsid w:val="000F048E"/>
    <w:rsid w:val="00100045"/>
    <w:rsid w:val="00100F91"/>
    <w:rsid w:val="0010292D"/>
    <w:rsid w:val="001102E5"/>
    <w:rsid w:val="0011418D"/>
    <w:rsid w:val="0012076B"/>
    <w:rsid w:val="00126DAB"/>
    <w:rsid w:val="001300D4"/>
    <w:rsid w:val="00130244"/>
    <w:rsid w:val="00130EA4"/>
    <w:rsid w:val="00130FFD"/>
    <w:rsid w:val="00132737"/>
    <w:rsid w:val="00133625"/>
    <w:rsid w:val="001342EE"/>
    <w:rsid w:val="00142244"/>
    <w:rsid w:val="0014296D"/>
    <w:rsid w:val="00142A07"/>
    <w:rsid w:val="00142E00"/>
    <w:rsid w:val="00143CD9"/>
    <w:rsid w:val="00144783"/>
    <w:rsid w:val="001466BC"/>
    <w:rsid w:val="001477E0"/>
    <w:rsid w:val="00150C39"/>
    <w:rsid w:val="00151506"/>
    <w:rsid w:val="001515A6"/>
    <w:rsid w:val="00152364"/>
    <w:rsid w:val="001559D4"/>
    <w:rsid w:val="00157578"/>
    <w:rsid w:val="0016074B"/>
    <w:rsid w:val="00160AD7"/>
    <w:rsid w:val="0016235B"/>
    <w:rsid w:val="0016609B"/>
    <w:rsid w:val="00166B82"/>
    <w:rsid w:val="00167475"/>
    <w:rsid w:val="00167FC3"/>
    <w:rsid w:val="001701D0"/>
    <w:rsid w:val="001704E4"/>
    <w:rsid w:val="00171926"/>
    <w:rsid w:val="00174AE3"/>
    <w:rsid w:val="00175C84"/>
    <w:rsid w:val="00175F93"/>
    <w:rsid w:val="00183FB2"/>
    <w:rsid w:val="001846F2"/>
    <w:rsid w:val="00185BF8"/>
    <w:rsid w:val="00186097"/>
    <w:rsid w:val="00187B9A"/>
    <w:rsid w:val="00191CB5"/>
    <w:rsid w:val="00193482"/>
    <w:rsid w:val="001949A3"/>
    <w:rsid w:val="00197066"/>
    <w:rsid w:val="001977C7"/>
    <w:rsid w:val="001A2518"/>
    <w:rsid w:val="001A6210"/>
    <w:rsid w:val="001A69D6"/>
    <w:rsid w:val="001B4D98"/>
    <w:rsid w:val="001B64E3"/>
    <w:rsid w:val="001C013A"/>
    <w:rsid w:val="001C6065"/>
    <w:rsid w:val="001D328D"/>
    <w:rsid w:val="001D3D0B"/>
    <w:rsid w:val="001D48B0"/>
    <w:rsid w:val="001E0A71"/>
    <w:rsid w:val="001E31CE"/>
    <w:rsid w:val="001E35F2"/>
    <w:rsid w:val="001E3A51"/>
    <w:rsid w:val="001E60C4"/>
    <w:rsid w:val="001F3E27"/>
    <w:rsid w:val="001F42A5"/>
    <w:rsid w:val="001F7A57"/>
    <w:rsid w:val="002001A7"/>
    <w:rsid w:val="00203CE4"/>
    <w:rsid w:val="0020420B"/>
    <w:rsid w:val="00206161"/>
    <w:rsid w:val="0020674E"/>
    <w:rsid w:val="00210D29"/>
    <w:rsid w:val="00211049"/>
    <w:rsid w:val="00211C42"/>
    <w:rsid w:val="00211DB9"/>
    <w:rsid w:val="00234B72"/>
    <w:rsid w:val="002372A5"/>
    <w:rsid w:val="00241461"/>
    <w:rsid w:val="00245563"/>
    <w:rsid w:val="0024686F"/>
    <w:rsid w:val="002472D3"/>
    <w:rsid w:val="0024770B"/>
    <w:rsid w:val="00256E1A"/>
    <w:rsid w:val="00270931"/>
    <w:rsid w:val="0027225F"/>
    <w:rsid w:val="00274814"/>
    <w:rsid w:val="00274ACE"/>
    <w:rsid w:val="00274C26"/>
    <w:rsid w:val="00274D15"/>
    <w:rsid w:val="00276DD9"/>
    <w:rsid w:val="00281848"/>
    <w:rsid w:val="00282127"/>
    <w:rsid w:val="00283C0F"/>
    <w:rsid w:val="0029235B"/>
    <w:rsid w:val="00295F84"/>
    <w:rsid w:val="002A05AE"/>
    <w:rsid w:val="002A1367"/>
    <w:rsid w:val="002A6071"/>
    <w:rsid w:val="002A6D8C"/>
    <w:rsid w:val="002A6F21"/>
    <w:rsid w:val="002B586C"/>
    <w:rsid w:val="002B775C"/>
    <w:rsid w:val="002C0C24"/>
    <w:rsid w:val="002C3206"/>
    <w:rsid w:val="002C36F5"/>
    <w:rsid w:val="002C6AA0"/>
    <w:rsid w:val="002D07AA"/>
    <w:rsid w:val="002D3F32"/>
    <w:rsid w:val="002D4640"/>
    <w:rsid w:val="002D4C61"/>
    <w:rsid w:val="002D7247"/>
    <w:rsid w:val="002E07F2"/>
    <w:rsid w:val="002E4CD5"/>
    <w:rsid w:val="002E4FED"/>
    <w:rsid w:val="002F59E9"/>
    <w:rsid w:val="003015EF"/>
    <w:rsid w:val="00305BFF"/>
    <w:rsid w:val="0030626D"/>
    <w:rsid w:val="00311CE6"/>
    <w:rsid w:val="0031282D"/>
    <w:rsid w:val="00316347"/>
    <w:rsid w:val="003203F3"/>
    <w:rsid w:val="00320FA4"/>
    <w:rsid w:val="00322315"/>
    <w:rsid w:val="00322A29"/>
    <w:rsid w:val="00324253"/>
    <w:rsid w:val="00325F7E"/>
    <w:rsid w:val="00327B34"/>
    <w:rsid w:val="00332FB5"/>
    <w:rsid w:val="003337B6"/>
    <w:rsid w:val="003341A8"/>
    <w:rsid w:val="0033550D"/>
    <w:rsid w:val="00336942"/>
    <w:rsid w:val="00340DBE"/>
    <w:rsid w:val="00341542"/>
    <w:rsid w:val="00342407"/>
    <w:rsid w:val="00342C2D"/>
    <w:rsid w:val="0035588E"/>
    <w:rsid w:val="003632A0"/>
    <w:rsid w:val="00363345"/>
    <w:rsid w:val="003637EB"/>
    <w:rsid w:val="00367B8E"/>
    <w:rsid w:val="003706D2"/>
    <w:rsid w:val="003723B6"/>
    <w:rsid w:val="003728FE"/>
    <w:rsid w:val="00385187"/>
    <w:rsid w:val="0039019A"/>
    <w:rsid w:val="003926FE"/>
    <w:rsid w:val="00397E88"/>
    <w:rsid w:val="003A4172"/>
    <w:rsid w:val="003B23EA"/>
    <w:rsid w:val="003B2DE4"/>
    <w:rsid w:val="003B3B22"/>
    <w:rsid w:val="003B6848"/>
    <w:rsid w:val="003C1954"/>
    <w:rsid w:val="003C1968"/>
    <w:rsid w:val="003C3F45"/>
    <w:rsid w:val="003C56EF"/>
    <w:rsid w:val="003C5A00"/>
    <w:rsid w:val="003D3C04"/>
    <w:rsid w:val="003D5DB0"/>
    <w:rsid w:val="003E0BE1"/>
    <w:rsid w:val="003E12D1"/>
    <w:rsid w:val="003E604A"/>
    <w:rsid w:val="003F4AAB"/>
    <w:rsid w:val="00400B5C"/>
    <w:rsid w:val="00400CB5"/>
    <w:rsid w:val="00403459"/>
    <w:rsid w:val="0040599D"/>
    <w:rsid w:val="00407A14"/>
    <w:rsid w:val="00410BA1"/>
    <w:rsid w:val="004126ED"/>
    <w:rsid w:val="00412D02"/>
    <w:rsid w:val="004137B9"/>
    <w:rsid w:val="00415842"/>
    <w:rsid w:val="00416085"/>
    <w:rsid w:val="00416DEC"/>
    <w:rsid w:val="00420ABB"/>
    <w:rsid w:val="00423610"/>
    <w:rsid w:val="004239E1"/>
    <w:rsid w:val="0042586E"/>
    <w:rsid w:val="00427DB9"/>
    <w:rsid w:val="004303F5"/>
    <w:rsid w:val="004332C7"/>
    <w:rsid w:val="00434EF3"/>
    <w:rsid w:val="00441D34"/>
    <w:rsid w:val="00445C03"/>
    <w:rsid w:val="00445F55"/>
    <w:rsid w:val="0044656C"/>
    <w:rsid w:val="004558B8"/>
    <w:rsid w:val="00455FC7"/>
    <w:rsid w:val="00456855"/>
    <w:rsid w:val="0046549D"/>
    <w:rsid w:val="004708F9"/>
    <w:rsid w:val="00473B12"/>
    <w:rsid w:val="0047555D"/>
    <w:rsid w:val="00480F74"/>
    <w:rsid w:val="00481436"/>
    <w:rsid w:val="00481BD4"/>
    <w:rsid w:val="00482FD3"/>
    <w:rsid w:val="004839AD"/>
    <w:rsid w:val="0048475E"/>
    <w:rsid w:val="00491ED6"/>
    <w:rsid w:val="004922E4"/>
    <w:rsid w:val="0049395C"/>
    <w:rsid w:val="00493A3A"/>
    <w:rsid w:val="0049495F"/>
    <w:rsid w:val="00495403"/>
    <w:rsid w:val="00496773"/>
    <w:rsid w:val="004A5112"/>
    <w:rsid w:val="004A7587"/>
    <w:rsid w:val="004B05CC"/>
    <w:rsid w:val="004B3577"/>
    <w:rsid w:val="004B58AC"/>
    <w:rsid w:val="004B6730"/>
    <w:rsid w:val="004B6909"/>
    <w:rsid w:val="004B6EE9"/>
    <w:rsid w:val="004C3B1C"/>
    <w:rsid w:val="004C426A"/>
    <w:rsid w:val="004D2220"/>
    <w:rsid w:val="004D4784"/>
    <w:rsid w:val="004E0093"/>
    <w:rsid w:val="004E4F6D"/>
    <w:rsid w:val="004E659A"/>
    <w:rsid w:val="004F004E"/>
    <w:rsid w:val="004F0854"/>
    <w:rsid w:val="004F1747"/>
    <w:rsid w:val="004F19B6"/>
    <w:rsid w:val="004F2ECB"/>
    <w:rsid w:val="004F359A"/>
    <w:rsid w:val="004F3E96"/>
    <w:rsid w:val="004F4328"/>
    <w:rsid w:val="004F5AD3"/>
    <w:rsid w:val="004F643D"/>
    <w:rsid w:val="0050278F"/>
    <w:rsid w:val="005058C8"/>
    <w:rsid w:val="00510D63"/>
    <w:rsid w:val="00520A60"/>
    <w:rsid w:val="005219F8"/>
    <w:rsid w:val="00522DCA"/>
    <w:rsid w:val="00523FE3"/>
    <w:rsid w:val="00524AFE"/>
    <w:rsid w:val="0052540F"/>
    <w:rsid w:val="005311FB"/>
    <w:rsid w:val="005314C7"/>
    <w:rsid w:val="005338F5"/>
    <w:rsid w:val="005345C0"/>
    <w:rsid w:val="005352EF"/>
    <w:rsid w:val="00536DE0"/>
    <w:rsid w:val="00537B37"/>
    <w:rsid w:val="00543D59"/>
    <w:rsid w:val="00545F85"/>
    <w:rsid w:val="00545FCC"/>
    <w:rsid w:val="00553215"/>
    <w:rsid w:val="0056162F"/>
    <w:rsid w:val="00563DB3"/>
    <w:rsid w:val="005652FE"/>
    <w:rsid w:val="00565852"/>
    <w:rsid w:val="00565922"/>
    <w:rsid w:val="00565DF4"/>
    <w:rsid w:val="00571C08"/>
    <w:rsid w:val="0057307A"/>
    <w:rsid w:val="00576F86"/>
    <w:rsid w:val="005771F8"/>
    <w:rsid w:val="00581726"/>
    <w:rsid w:val="00581B7C"/>
    <w:rsid w:val="00582209"/>
    <w:rsid w:val="00585C8B"/>
    <w:rsid w:val="00586457"/>
    <w:rsid w:val="0059688C"/>
    <w:rsid w:val="005974D6"/>
    <w:rsid w:val="005B1377"/>
    <w:rsid w:val="005B2028"/>
    <w:rsid w:val="005B4D39"/>
    <w:rsid w:val="005B54EF"/>
    <w:rsid w:val="005B6A0C"/>
    <w:rsid w:val="005B7733"/>
    <w:rsid w:val="005C2C37"/>
    <w:rsid w:val="005C2D06"/>
    <w:rsid w:val="005C588D"/>
    <w:rsid w:val="005C5D11"/>
    <w:rsid w:val="005C70DC"/>
    <w:rsid w:val="005C7802"/>
    <w:rsid w:val="005D0D5A"/>
    <w:rsid w:val="005D6237"/>
    <w:rsid w:val="005E0B37"/>
    <w:rsid w:val="005E14A1"/>
    <w:rsid w:val="005E2321"/>
    <w:rsid w:val="005E55E7"/>
    <w:rsid w:val="005E6CF3"/>
    <w:rsid w:val="005F15A6"/>
    <w:rsid w:val="005F249B"/>
    <w:rsid w:val="00601795"/>
    <w:rsid w:val="00602044"/>
    <w:rsid w:val="00603BC5"/>
    <w:rsid w:val="006048C5"/>
    <w:rsid w:val="00606472"/>
    <w:rsid w:val="00612CB4"/>
    <w:rsid w:val="00613BC1"/>
    <w:rsid w:val="00617E08"/>
    <w:rsid w:val="00623AEF"/>
    <w:rsid w:val="0062667E"/>
    <w:rsid w:val="00630A98"/>
    <w:rsid w:val="0063194E"/>
    <w:rsid w:val="006412B3"/>
    <w:rsid w:val="00641BF1"/>
    <w:rsid w:val="0064476B"/>
    <w:rsid w:val="006453D0"/>
    <w:rsid w:val="00645930"/>
    <w:rsid w:val="00646361"/>
    <w:rsid w:val="00647E83"/>
    <w:rsid w:val="00650C9B"/>
    <w:rsid w:val="00651B11"/>
    <w:rsid w:val="0065201C"/>
    <w:rsid w:val="00660362"/>
    <w:rsid w:val="00660570"/>
    <w:rsid w:val="00666129"/>
    <w:rsid w:val="0066635F"/>
    <w:rsid w:val="0067372B"/>
    <w:rsid w:val="006740DF"/>
    <w:rsid w:val="00676A11"/>
    <w:rsid w:val="00681BCC"/>
    <w:rsid w:val="006835BE"/>
    <w:rsid w:val="00686245"/>
    <w:rsid w:val="00686D2F"/>
    <w:rsid w:val="00690A06"/>
    <w:rsid w:val="0069601C"/>
    <w:rsid w:val="00696E88"/>
    <w:rsid w:val="006A0C84"/>
    <w:rsid w:val="006A2ECC"/>
    <w:rsid w:val="006A3A51"/>
    <w:rsid w:val="006A5A01"/>
    <w:rsid w:val="006A644C"/>
    <w:rsid w:val="006B2CCE"/>
    <w:rsid w:val="006B3DE9"/>
    <w:rsid w:val="006B682B"/>
    <w:rsid w:val="006B70C1"/>
    <w:rsid w:val="006B70EF"/>
    <w:rsid w:val="006C00B2"/>
    <w:rsid w:val="006C1748"/>
    <w:rsid w:val="006C1E3C"/>
    <w:rsid w:val="006C487F"/>
    <w:rsid w:val="006C4E21"/>
    <w:rsid w:val="006C79E4"/>
    <w:rsid w:val="006D4E2B"/>
    <w:rsid w:val="006D5907"/>
    <w:rsid w:val="006E0C88"/>
    <w:rsid w:val="006E10A0"/>
    <w:rsid w:val="006E2CED"/>
    <w:rsid w:val="006E2F57"/>
    <w:rsid w:val="006E5977"/>
    <w:rsid w:val="006E5BD6"/>
    <w:rsid w:val="006E65BD"/>
    <w:rsid w:val="006E668F"/>
    <w:rsid w:val="006F1E32"/>
    <w:rsid w:val="006F4E09"/>
    <w:rsid w:val="006F54F3"/>
    <w:rsid w:val="006F63B8"/>
    <w:rsid w:val="007013BC"/>
    <w:rsid w:val="0070153D"/>
    <w:rsid w:val="00706B62"/>
    <w:rsid w:val="00711F08"/>
    <w:rsid w:val="00711FF5"/>
    <w:rsid w:val="00721BFD"/>
    <w:rsid w:val="0073045F"/>
    <w:rsid w:val="00732037"/>
    <w:rsid w:val="007339D2"/>
    <w:rsid w:val="00733C37"/>
    <w:rsid w:val="00740263"/>
    <w:rsid w:val="00740928"/>
    <w:rsid w:val="00740F1C"/>
    <w:rsid w:val="00740F84"/>
    <w:rsid w:val="00741A38"/>
    <w:rsid w:val="007425C2"/>
    <w:rsid w:val="00752050"/>
    <w:rsid w:val="007524CE"/>
    <w:rsid w:val="00754F0E"/>
    <w:rsid w:val="00756E93"/>
    <w:rsid w:val="00761A18"/>
    <w:rsid w:val="00767A1B"/>
    <w:rsid w:val="00767B5D"/>
    <w:rsid w:val="0077100F"/>
    <w:rsid w:val="0077167A"/>
    <w:rsid w:val="00771A6E"/>
    <w:rsid w:val="00772BFD"/>
    <w:rsid w:val="00773016"/>
    <w:rsid w:val="007775BD"/>
    <w:rsid w:val="00795848"/>
    <w:rsid w:val="00797F97"/>
    <w:rsid w:val="007B482B"/>
    <w:rsid w:val="007B75CC"/>
    <w:rsid w:val="007C43EC"/>
    <w:rsid w:val="007C7A2B"/>
    <w:rsid w:val="007D249C"/>
    <w:rsid w:val="007D4B82"/>
    <w:rsid w:val="007D50D1"/>
    <w:rsid w:val="007D591C"/>
    <w:rsid w:val="007E6666"/>
    <w:rsid w:val="007F0D78"/>
    <w:rsid w:val="007F183E"/>
    <w:rsid w:val="007F4262"/>
    <w:rsid w:val="007F5C1B"/>
    <w:rsid w:val="007F63AA"/>
    <w:rsid w:val="007F729D"/>
    <w:rsid w:val="0080163F"/>
    <w:rsid w:val="00802BC0"/>
    <w:rsid w:val="00805B61"/>
    <w:rsid w:val="00811777"/>
    <w:rsid w:val="008126EA"/>
    <w:rsid w:val="008138D6"/>
    <w:rsid w:val="008143EF"/>
    <w:rsid w:val="0081474E"/>
    <w:rsid w:val="00814B66"/>
    <w:rsid w:val="00815840"/>
    <w:rsid w:val="008179CD"/>
    <w:rsid w:val="00820314"/>
    <w:rsid w:val="0082038E"/>
    <w:rsid w:val="00832DE7"/>
    <w:rsid w:val="00835274"/>
    <w:rsid w:val="00837814"/>
    <w:rsid w:val="008404A9"/>
    <w:rsid w:val="00841EA8"/>
    <w:rsid w:val="00843B77"/>
    <w:rsid w:val="0084405A"/>
    <w:rsid w:val="00850E9D"/>
    <w:rsid w:val="0085400D"/>
    <w:rsid w:val="00860DF9"/>
    <w:rsid w:val="0086200C"/>
    <w:rsid w:val="0086282F"/>
    <w:rsid w:val="00862AF8"/>
    <w:rsid w:val="00862D97"/>
    <w:rsid w:val="00863705"/>
    <w:rsid w:val="00863B1F"/>
    <w:rsid w:val="00870C82"/>
    <w:rsid w:val="00873435"/>
    <w:rsid w:val="00882A88"/>
    <w:rsid w:val="00882C8A"/>
    <w:rsid w:val="0088572E"/>
    <w:rsid w:val="00886B43"/>
    <w:rsid w:val="008879E8"/>
    <w:rsid w:val="008936D8"/>
    <w:rsid w:val="0089481D"/>
    <w:rsid w:val="00895894"/>
    <w:rsid w:val="00897908"/>
    <w:rsid w:val="00897D7E"/>
    <w:rsid w:val="008A7187"/>
    <w:rsid w:val="008B0237"/>
    <w:rsid w:val="008B0CA0"/>
    <w:rsid w:val="008C1C22"/>
    <w:rsid w:val="008C3C1E"/>
    <w:rsid w:val="008C74BE"/>
    <w:rsid w:val="008C798D"/>
    <w:rsid w:val="008C7FCA"/>
    <w:rsid w:val="008D0DE1"/>
    <w:rsid w:val="008D10F5"/>
    <w:rsid w:val="008D2AEC"/>
    <w:rsid w:val="008D4B94"/>
    <w:rsid w:val="008D71DA"/>
    <w:rsid w:val="008D7E8A"/>
    <w:rsid w:val="008E0C39"/>
    <w:rsid w:val="008E24DB"/>
    <w:rsid w:val="008E2814"/>
    <w:rsid w:val="008E6732"/>
    <w:rsid w:val="008E7F44"/>
    <w:rsid w:val="008F08E8"/>
    <w:rsid w:val="008F27F1"/>
    <w:rsid w:val="008F2D08"/>
    <w:rsid w:val="008F4552"/>
    <w:rsid w:val="00901D3D"/>
    <w:rsid w:val="00903CF2"/>
    <w:rsid w:val="00905218"/>
    <w:rsid w:val="00910B4C"/>
    <w:rsid w:val="00910B8E"/>
    <w:rsid w:val="00911938"/>
    <w:rsid w:val="0091724D"/>
    <w:rsid w:val="00924DEF"/>
    <w:rsid w:val="00924F14"/>
    <w:rsid w:val="00925E94"/>
    <w:rsid w:val="009279BF"/>
    <w:rsid w:val="0093390D"/>
    <w:rsid w:val="00936BC2"/>
    <w:rsid w:val="0094021B"/>
    <w:rsid w:val="009501F7"/>
    <w:rsid w:val="00954A72"/>
    <w:rsid w:val="0096257A"/>
    <w:rsid w:val="0096264F"/>
    <w:rsid w:val="00964AFF"/>
    <w:rsid w:val="00964F1D"/>
    <w:rsid w:val="00986C7A"/>
    <w:rsid w:val="0099526A"/>
    <w:rsid w:val="00995B6C"/>
    <w:rsid w:val="00996A49"/>
    <w:rsid w:val="009A299F"/>
    <w:rsid w:val="009A53EF"/>
    <w:rsid w:val="009B3A13"/>
    <w:rsid w:val="009B3CE5"/>
    <w:rsid w:val="009C3DFC"/>
    <w:rsid w:val="009C5EB3"/>
    <w:rsid w:val="009D38FF"/>
    <w:rsid w:val="009E165B"/>
    <w:rsid w:val="009E4E4B"/>
    <w:rsid w:val="009F2539"/>
    <w:rsid w:val="009F319E"/>
    <w:rsid w:val="009F360A"/>
    <w:rsid w:val="00A03007"/>
    <w:rsid w:val="00A0409F"/>
    <w:rsid w:val="00A05225"/>
    <w:rsid w:val="00A05EFA"/>
    <w:rsid w:val="00A11E5C"/>
    <w:rsid w:val="00A128B9"/>
    <w:rsid w:val="00A1753F"/>
    <w:rsid w:val="00A20AB0"/>
    <w:rsid w:val="00A223F1"/>
    <w:rsid w:val="00A242D7"/>
    <w:rsid w:val="00A27D8A"/>
    <w:rsid w:val="00A3299A"/>
    <w:rsid w:val="00A347C0"/>
    <w:rsid w:val="00A3647A"/>
    <w:rsid w:val="00A36906"/>
    <w:rsid w:val="00A40324"/>
    <w:rsid w:val="00A40704"/>
    <w:rsid w:val="00A42B3C"/>
    <w:rsid w:val="00A502E1"/>
    <w:rsid w:val="00A527AB"/>
    <w:rsid w:val="00A52E97"/>
    <w:rsid w:val="00A53EEE"/>
    <w:rsid w:val="00A57698"/>
    <w:rsid w:val="00A5787D"/>
    <w:rsid w:val="00A6404A"/>
    <w:rsid w:val="00A64AD9"/>
    <w:rsid w:val="00A70802"/>
    <w:rsid w:val="00A73395"/>
    <w:rsid w:val="00A7384E"/>
    <w:rsid w:val="00A74A66"/>
    <w:rsid w:val="00A75E5C"/>
    <w:rsid w:val="00A7665A"/>
    <w:rsid w:val="00A81564"/>
    <w:rsid w:val="00A82E64"/>
    <w:rsid w:val="00A84DED"/>
    <w:rsid w:val="00A871A4"/>
    <w:rsid w:val="00A91753"/>
    <w:rsid w:val="00A92302"/>
    <w:rsid w:val="00A927EA"/>
    <w:rsid w:val="00A9443F"/>
    <w:rsid w:val="00A94656"/>
    <w:rsid w:val="00AA2320"/>
    <w:rsid w:val="00AA2997"/>
    <w:rsid w:val="00AA5584"/>
    <w:rsid w:val="00AA60CF"/>
    <w:rsid w:val="00AB3DE6"/>
    <w:rsid w:val="00AB5225"/>
    <w:rsid w:val="00AB53D3"/>
    <w:rsid w:val="00AB6339"/>
    <w:rsid w:val="00AB721F"/>
    <w:rsid w:val="00AB753C"/>
    <w:rsid w:val="00AB7DA5"/>
    <w:rsid w:val="00AC190C"/>
    <w:rsid w:val="00AC1A72"/>
    <w:rsid w:val="00AC22DC"/>
    <w:rsid w:val="00AC5F06"/>
    <w:rsid w:val="00AC6F5B"/>
    <w:rsid w:val="00AD0B5E"/>
    <w:rsid w:val="00AD1ACE"/>
    <w:rsid w:val="00AD3B13"/>
    <w:rsid w:val="00AD418D"/>
    <w:rsid w:val="00AD520E"/>
    <w:rsid w:val="00AE049B"/>
    <w:rsid w:val="00AE09F1"/>
    <w:rsid w:val="00AE182C"/>
    <w:rsid w:val="00AE476D"/>
    <w:rsid w:val="00AE7029"/>
    <w:rsid w:val="00AE7F09"/>
    <w:rsid w:val="00AF0B1B"/>
    <w:rsid w:val="00AF777E"/>
    <w:rsid w:val="00B00DBA"/>
    <w:rsid w:val="00B059D5"/>
    <w:rsid w:val="00B061E0"/>
    <w:rsid w:val="00B113DC"/>
    <w:rsid w:val="00B121C3"/>
    <w:rsid w:val="00B13502"/>
    <w:rsid w:val="00B15211"/>
    <w:rsid w:val="00B1570A"/>
    <w:rsid w:val="00B17B1C"/>
    <w:rsid w:val="00B202C5"/>
    <w:rsid w:val="00B21548"/>
    <w:rsid w:val="00B2391B"/>
    <w:rsid w:val="00B24AB7"/>
    <w:rsid w:val="00B24FB1"/>
    <w:rsid w:val="00B25A70"/>
    <w:rsid w:val="00B25AD8"/>
    <w:rsid w:val="00B26ECF"/>
    <w:rsid w:val="00B34265"/>
    <w:rsid w:val="00B405F0"/>
    <w:rsid w:val="00B40967"/>
    <w:rsid w:val="00B40DB8"/>
    <w:rsid w:val="00B469DC"/>
    <w:rsid w:val="00B5151E"/>
    <w:rsid w:val="00B519CA"/>
    <w:rsid w:val="00B52510"/>
    <w:rsid w:val="00B534BA"/>
    <w:rsid w:val="00B54FE4"/>
    <w:rsid w:val="00B57C61"/>
    <w:rsid w:val="00B66255"/>
    <w:rsid w:val="00B71F7C"/>
    <w:rsid w:val="00B72AA5"/>
    <w:rsid w:val="00B73C88"/>
    <w:rsid w:val="00B73FF1"/>
    <w:rsid w:val="00B76091"/>
    <w:rsid w:val="00B76422"/>
    <w:rsid w:val="00B76768"/>
    <w:rsid w:val="00B7718D"/>
    <w:rsid w:val="00B827C3"/>
    <w:rsid w:val="00B8729C"/>
    <w:rsid w:val="00B876BD"/>
    <w:rsid w:val="00B90029"/>
    <w:rsid w:val="00B91B8D"/>
    <w:rsid w:val="00B92B87"/>
    <w:rsid w:val="00B93249"/>
    <w:rsid w:val="00BA0131"/>
    <w:rsid w:val="00BA1564"/>
    <w:rsid w:val="00BA2E95"/>
    <w:rsid w:val="00BA653D"/>
    <w:rsid w:val="00BB0D41"/>
    <w:rsid w:val="00BB7C59"/>
    <w:rsid w:val="00BC4DCF"/>
    <w:rsid w:val="00BC4FE6"/>
    <w:rsid w:val="00BD14AE"/>
    <w:rsid w:val="00BD43D0"/>
    <w:rsid w:val="00BD4CD3"/>
    <w:rsid w:val="00BD5887"/>
    <w:rsid w:val="00BE09FC"/>
    <w:rsid w:val="00BE2554"/>
    <w:rsid w:val="00BE3906"/>
    <w:rsid w:val="00BE461D"/>
    <w:rsid w:val="00BE61AA"/>
    <w:rsid w:val="00BE6E65"/>
    <w:rsid w:val="00BE7F15"/>
    <w:rsid w:val="00BF10A5"/>
    <w:rsid w:val="00BF592F"/>
    <w:rsid w:val="00C055FE"/>
    <w:rsid w:val="00C06396"/>
    <w:rsid w:val="00C10434"/>
    <w:rsid w:val="00C105A5"/>
    <w:rsid w:val="00C113E7"/>
    <w:rsid w:val="00C13C88"/>
    <w:rsid w:val="00C23C26"/>
    <w:rsid w:val="00C263AD"/>
    <w:rsid w:val="00C27AB6"/>
    <w:rsid w:val="00C27E54"/>
    <w:rsid w:val="00C308AF"/>
    <w:rsid w:val="00C35AB1"/>
    <w:rsid w:val="00C36D5E"/>
    <w:rsid w:val="00C37DCA"/>
    <w:rsid w:val="00C41934"/>
    <w:rsid w:val="00C517F7"/>
    <w:rsid w:val="00C5239A"/>
    <w:rsid w:val="00C62188"/>
    <w:rsid w:val="00C632F7"/>
    <w:rsid w:val="00C640E3"/>
    <w:rsid w:val="00C64794"/>
    <w:rsid w:val="00C6543D"/>
    <w:rsid w:val="00C72652"/>
    <w:rsid w:val="00C73CC7"/>
    <w:rsid w:val="00C76FCB"/>
    <w:rsid w:val="00C77DAD"/>
    <w:rsid w:val="00C85BE8"/>
    <w:rsid w:val="00C87913"/>
    <w:rsid w:val="00C948A8"/>
    <w:rsid w:val="00C9561A"/>
    <w:rsid w:val="00CA349D"/>
    <w:rsid w:val="00CA56C7"/>
    <w:rsid w:val="00CA5B04"/>
    <w:rsid w:val="00CA6E57"/>
    <w:rsid w:val="00CB0795"/>
    <w:rsid w:val="00CB33D8"/>
    <w:rsid w:val="00CB40C7"/>
    <w:rsid w:val="00CB46B2"/>
    <w:rsid w:val="00CB6E57"/>
    <w:rsid w:val="00CC2CDE"/>
    <w:rsid w:val="00CC3B17"/>
    <w:rsid w:val="00CC3CFB"/>
    <w:rsid w:val="00CC5E24"/>
    <w:rsid w:val="00CC5E74"/>
    <w:rsid w:val="00CC6CAB"/>
    <w:rsid w:val="00CC7065"/>
    <w:rsid w:val="00CD055E"/>
    <w:rsid w:val="00CD1885"/>
    <w:rsid w:val="00CD4BB4"/>
    <w:rsid w:val="00CE39A5"/>
    <w:rsid w:val="00CF36B9"/>
    <w:rsid w:val="00D02D0C"/>
    <w:rsid w:val="00D0472B"/>
    <w:rsid w:val="00D05C5F"/>
    <w:rsid w:val="00D07CB8"/>
    <w:rsid w:val="00D1121B"/>
    <w:rsid w:val="00D11763"/>
    <w:rsid w:val="00D21B62"/>
    <w:rsid w:val="00D26C4D"/>
    <w:rsid w:val="00D3092D"/>
    <w:rsid w:val="00D31E1D"/>
    <w:rsid w:val="00D32EE0"/>
    <w:rsid w:val="00D35BAA"/>
    <w:rsid w:val="00D35CA8"/>
    <w:rsid w:val="00D361C1"/>
    <w:rsid w:val="00D431ED"/>
    <w:rsid w:val="00D47EFA"/>
    <w:rsid w:val="00D51575"/>
    <w:rsid w:val="00D52474"/>
    <w:rsid w:val="00D6592E"/>
    <w:rsid w:val="00D659BA"/>
    <w:rsid w:val="00D67499"/>
    <w:rsid w:val="00D71180"/>
    <w:rsid w:val="00D77B2F"/>
    <w:rsid w:val="00D80AAF"/>
    <w:rsid w:val="00D8698F"/>
    <w:rsid w:val="00DA78EF"/>
    <w:rsid w:val="00DB13A5"/>
    <w:rsid w:val="00DB4245"/>
    <w:rsid w:val="00DB51A7"/>
    <w:rsid w:val="00DB6467"/>
    <w:rsid w:val="00DB6DFB"/>
    <w:rsid w:val="00DC023C"/>
    <w:rsid w:val="00DC1DC8"/>
    <w:rsid w:val="00DC1F37"/>
    <w:rsid w:val="00DC4FE9"/>
    <w:rsid w:val="00DC6350"/>
    <w:rsid w:val="00DC77E4"/>
    <w:rsid w:val="00DD33F7"/>
    <w:rsid w:val="00DD5119"/>
    <w:rsid w:val="00DD57A6"/>
    <w:rsid w:val="00DE377F"/>
    <w:rsid w:val="00DE43CD"/>
    <w:rsid w:val="00DE45BF"/>
    <w:rsid w:val="00DE7704"/>
    <w:rsid w:val="00DF2715"/>
    <w:rsid w:val="00DF3345"/>
    <w:rsid w:val="00DF57A6"/>
    <w:rsid w:val="00DF6108"/>
    <w:rsid w:val="00DF6BCE"/>
    <w:rsid w:val="00DF77A9"/>
    <w:rsid w:val="00DF78BA"/>
    <w:rsid w:val="00E005E4"/>
    <w:rsid w:val="00E021A1"/>
    <w:rsid w:val="00E108AB"/>
    <w:rsid w:val="00E141E2"/>
    <w:rsid w:val="00E164F4"/>
    <w:rsid w:val="00E17217"/>
    <w:rsid w:val="00E30E20"/>
    <w:rsid w:val="00E3181B"/>
    <w:rsid w:val="00E31CB4"/>
    <w:rsid w:val="00E343FC"/>
    <w:rsid w:val="00E37110"/>
    <w:rsid w:val="00E42016"/>
    <w:rsid w:val="00E45B03"/>
    <w:rsid w:val="00E45C75"/>
    <w:rsid w:val="00E47799"/>
    <w:rsid w:val="00E47AB8"/>
    <w:rsid w:val="00E5158C"/>
    <w:rsid w:val="00E51830"/>
    <w:rsid w:val="00E53A23"/>
    <w:rsid w:val="00E60AFE"/>
    <w:rsid w:val="00E667D1"/>
    <w:rsid w:val="00E669F2"/>
    <w:rsid w:val="00E72E01"/>
    <w:rsid w:val="00E75BE4"/>
    <w:rsid w:val="00E76A17"/>
    <w:rsid w:val="00E81D80"/>
    <w:rsid w:val="00E83024"/>
    <w:rsid w:val="00E8625C"/>
    <w:rsid w:val="00E90F0C"/>
    <w:rsid w:val="00E93157"/>
    <w:rsid w:val="00E979A6"/>
    <w:rsid w:val="00E97EBE"/>
    <w:rsid w:val="00EA0C8F"/>
    <w:rsid w:val="00EA43DA"/>
    <w:rsid w:val="00EA5201"/>
    <w:rsid w:val="00EB3377"/>
    <w:rsid w:val="00EB5F8A"/>
    <w:rsid w:val="00EB7DC9"/>
    <w:rsid w:val="00EC071E"/>
    <w:rsid w:val="00EC0CAE"/>
    <w:rsid w:val="00EC0EA9"/>
    <w:rsid w:val="00EC367B"/>
    <w:rsid w:val="00ED34FC"/>
    <w:rsid w:val="00ED43DF"/>
    <w:rsid w:val="00ED5727"/>
    <w:rsid w:val="00ED597A"/>
    <w:rsid w:val="00ED7027"/>
    <w:rsid w:val="00EE0537"/>
    <w:rsid w:val="00EE12E4"/>
    <w:rsid w:val="00EE3D40"/>
    <w:rsid w:val="00EE4B5E"/>
    <w:rsid w:val="00EE54A1"/>
    <w:rsid w:val="00EF2220"/>
    <w:rsid w:val="00EF2B45"/>
    <w:rsid w:val="00EF3761"/>
    <w:rsid w:val="00F01EE7"/>
    <w:rsid w:val="00F021C2"/>
    <w:rsid w:val="00F10573"/>
    <w:rsid w:val="00F10FED"/>
    <w:rsid w:val="00F1245B"/>
    <w:rsid w:val="00F12BB3"/>
    <w:rsid w:val="00F13CB4"/>
    <w:rsid w:val="00F15775"/>
    <w:rsid w:val="00F214F0"/>
    <w:rsid w:val="00F2204A"/>
    <w:rsid w:val="00F25E12"/>
    <w:rsid w:val="00F26E9C"/>
    <w:rsid w:val="00F27539"/>
    <w:rsid w:val="00F2779D"/>
    <w:rsid w:val="00F33B53"/>
    <w:rsid w:val="00F35A3A"/>
    <w:rsid w:val="00F41C4F"/>
    <w:rsid w:val="00F525A0"/>
    <w:rsid w:val="00F529A4"/>
    <w:rsid w:val="00F52E13"/>
    <w:rsid w:val="00F55B70"/>
    <w:rsid w:val="00F60E07"/>
    <w:rsid w:val="00F61FC4"/>
    <w:rsid w:val="00F645BC"/>
    <w:rsid w:val="00F64731"/>
    <w:rsid w:val="00F65786"/>
    <w:rsid w:val="00F666F7"/>
    <w:rsid w:val="00F71B5E"/>
    <w:rsid w:val="00F7382C"/>
    <w:rsid w:val="00F76564"/>
    <w:rsid w:val="00F76D17"/>
    <w:rsid w:val="00F8146C"/>
    <w:rsid w:val="00F84C72"/>
    <w:rsid w:val="00F90380"/>
    <w:rsid w:val="00F91236"/>
    <w:rsid w:val="00F91341"/>
    <w:rsid w:val="00F93069"/>
    <w:rsid w:val="00F9489A"/>
    <w:rsid w:val="00F956B9"/>
    <w:rsid w:val="00FA3AC7"/>
    <w:rsid w:val="00FA43ED"/>
    <w:rsid w:val="00FA5E08"/>
    <w:rsid w:val="00FA7C61"/>
    <w:rsid w:val="00FC04CD"/>
    <w:rsid w:val="00FC098E"/>
    <w:rsid w:val="00FC11DC"/>
    <w:rsid w:val="00FC23E2"/>
    <w:rsid w:val="00FD0848"/>
    <w:rsid w:val="00FD0B7D"/>
    <w:rsid w:val="00FD0F2E"/>
    <w:rsid w:val="00FD2A60"/>
    <w:rsid w:val="00FD5936"/>
    <w:rsid w:val="00FD6841"/>
    <w:rsid w:val="00FE1BD0"/>
    <w:rsid w:val="00FE24E1"/>
    <w:rsid w:val="00FE256F"/>
    <w:rsid w:val="00FE42EF"/>
    <w:rsid w:val="00FE4700"/>
    <w:rsid w:val="00FE5D54"/>
    <w:rsid w:val="00FF4450"/>
    <w:rsid w:val="00FF7145"/>
    <w:rsid w:val="52D30946"/>
    <w:rsid w:val="54BA298A"/>
    <w:rsid w:val="6ADA08DD"/>
    <w:rsid w:val="6C2070C6"/>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 w:type="table" w:customStyle="1" w:styleId="NormalTable0">
    <w:name w:val="Normal Table0"/>
    <w:rsid w:val="00322315"/>
    <w:pPr>
      <w:spacing w:before="0" w:beforeAutospacing="0" w:after="0" w:afterAutospacing="0" w:line="240" w:lineRule="auto"/>
      <w:ind w:firstLine="0"/>
      <w:jc w:val="left"/>
    </w:pPr>
    <w:rPr>
      <w:rFonts w:ascii="Times New Roman" w:eastAsia="Times New Roman" w:hAnsi="Times New Roman" w:cs="Times New Roman"/>
      <w:lang w:val="es-ES"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873">
      <w:bodyDiv w:val="1"/>
      <w:marLeft w:val="0"/>
      <w:marRight w:val="0"/>
      <w:marTop w:val="0"/>
      <w:marBottom w:val="0"/>
      <w:divBdr>
        <w:top w:val="none" w:sz="0" w:space="0" w:color="auto"/>
        <w:left w:val="none" w:sz="0" w:space="0" w:color="auto"/>
        <w:bottom w:val="none" w:sz="0" w:space="0" w:color="auto"/>
        <w:right w:val="none" w:sz="0" w:space="0" w:color="auto"/>
      </w:divBdr>
    </w:div>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3573470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4F8D-DA29-4955-90FF-67362FC1B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3.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4A6A6872-53E1-4F2D-8A6B-C64F4042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7599</Words>
  <Characters>41796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3</cp:revision>
  <dcterms:created xsi:type="dcterms:W3CDTF">2022-11-16T16:44:00Z</dcterms:created>
  <dcterms:modified xsi:type="dcterms:W3CDTF">2022-11-16T17:14:00Z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