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E78F" w14:textId="77777777" w:rsidR="00527367" w:rsidRPr="00527367" w:rsidRDefault="00527367" w:rsidP="0052736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52736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D825D3" w14:textId="77777777" w:rsidR="00527367" w:rsidRPr="00527367" w:rsidRDefault="00527367" w:rsidP="00527367">
      <w:pPr>
        <w:jc w:val="both"/>
        <w:rPr>
          <w:rFonts w:ascii="Arial" w:eastAsia="Times New Roman" w:hAnsi="Arial" w:cs="Arial"/>
          <w:sz w:val="20"/>
          <w:szCs w:val="20"/>
          <w:lang w:val="es-419" w:eastAsia="es-ES"/>
        </w:rPr>
      </w:pPr>
    </w:p>
    <w:p w14:paraId="5F2DF636" w14:textId="77777777" w:rsidR="00527367" w:rsidRPr="00527367" w:rsidRDefault="00527367" w:rsidP="00527367">
      <w:pPr>
        <w:jc w:val="both"/>
        <w:rPr>
          <w:rFonts w:ascii="Arial" w:eastAsia="Tahoma" w:hAnsi="Arial" w:cs="Arial"/>
          <w:sz w:val="20"/>
          <w:szCs w:val="20"/>
          <w:lang w:val="es-419" w:eastAsia="es-CO"/>
        </w:rPr>
      </w:pPr>
      <w:r w:rsidRPr="00527367">
        <w:rPr>
          <w:rFonts w:ascii="Arial" w:eastAsia="Tahoma" w:hAnsi="Arial" w:cs="Arial"/>
          <w:sz w:val="20"/>
          <w:szCs w:val="20"/>
          <w:lang w:val="es-419" w:eastAsia="es-CO"/>
        </w:rPr>
        <w:t xml:space="preserve">Providencia: </w:t>
      </w:r>
      <w:r w:rsidRPr="00527367">
        <w:rPr>
          <w:rFonts w:ascii="Arial" w:eastAsia="Tahoma" w:hAnsi="Arial" w:cs="Arial"/>
          <w:sz w:val="20"/>
          <w:szCs w:val="20"/>
          <w:lang w:val="es-419" w:eastAsia="es-CO"/>
        </w:rPr>
        <w:tab/>
      </w:r>
      <w:r w:rsidRPr="00527367">
        <w:rPr>
          <w:rFonts w:ascii="Arial" w:eastAsia="Tahoma" w:hAnsi="Arial" w:cs="Arial"/>
          <w:sz w:val="20"/>
          <w:szCs w:val="20"/>
          <w:lang w:val="es-419" w:eastAsia="es-CO"/>
        </w:rPr>
        <w:tab/>
        <w:t>Sentencia del 28 de septiembre de 2021</w:t>
      </w:r>
    </w:p>
    <w:p w14:paraId="014B6FD4" w14:textId="77777777" w:rsidR="00527367" w:rsidRPr="00527367" w:rsidRDefault="00527367" w:rsidP="00527367">
      <w:pPr>
        <w:jc w:val="both"/>
        <w:rPr>
          <w:rFonts w:ascii="Arial" w:eastAsia="Tahoma" w:hAnsi="Arial" w:cs="Arial"/>
          <w:sz w:val="20"/>
          <w:szCs w:val="20"/>
          <w:lang w:val="es-419" w:eastAsia="es-CO"/>
        </w:rPr>
      </w:pPr>
      <w:r w:rsidRPr="00527367">
        <w:rPr>
          <w:rFonts w:ascii="Arial" w:eastAsia="Tahoma" w:hAnsi="Arial" w:cs="Arial"/>
          <w:sz w:val="20"/>
          <w:szCs w:val="20"/>
          <w:lang w:val="es-419" w:eastAsia="es-CO"/>
        </w:rPr>
        <w:t>Radicación No.:</w:t>
      </w:r>
      <w:r w:rsidRPr="00527367">
        <w:rPr>
          <w:rFonts w:ascii="Arial" w:eastAsia="Tahoma" w:hAnsi="Arial" w:cs="Arial"/>
          <w:sz w:val="20"/>
          <w:szCs w:val="20"/>
          <w:lang w:val="es-419" w:eastAsia="es-CO"/>
        </w:rPr>
        <w:tab/>
      </w:r>
      <w:r w:rsidRPr="00527367">
        <w:rPr>
          <w:rFonts w:ascii="Arial" w:eastAsia="Tahoma" w:hAnsi="Arial" w:cs="Arial"/>
          <w:sz w:val="20"/>
          <w:szCs w:val="20"/>
          <w:lang w:val="es-419" w:eastAsia="es-CO"/>
        </w:rPr>
        <w:tab/>
        <w:t>66001-31-05-003-2020-00161-01</w:t>
      </w:r>
    </w:p>
    <w:p w14:paraId="460DD54F" w14:textId="77777777" w:rsidR="00527367" w:rsidRPr="00527367" w:rsidRDefault="00527367" w:rsidP="00527367">
      <w:pPr>
        <w:jc w:val="both"/>
        <w:rPr>
          <w:rFonts w:ascii="Arial" w:eastAsia="Tahoma" w:hAnsi="Arial" w:cs="Arial"/>
          <w:sz w:val="20"/>
          <w:szCs w:val="20"/>
          <w:lang w:val="es-419" w:eastAsia="es-CO"/>
        </w:rPr>
      </w:pPr>
      <w:r w:rsidRPr="00527367">
        <w:rPr>
          <w:rFonts w:ascii="Arial" w:eastAsia="Tahoma" w:hAnsi="Arial" w:cs="Arial"/>
          <w:sz w:val="20"/>
          <w:szCs w:val="20"/>
          <w:lang w:val="es-419" w:eastAsia="es-CO"/>
        </w:rPr>
        <w:t>Proceso:</w:t>
      </w:r>
      <w:r w:rsidRPr="00527367">
        <w:rPr>
          <w:rFonts w:ascii="Arial" w:eastAsia="Tahoma" w:hAnsi="Arial" w:cs="Arial"/>
          <w:sz w:val="20"/>
          <w:szCs w:val="20"/>
          <w:lang w:val="es-419" w:eastAsia="es-CO"/>
        </w:rPr>
        <w:tab/>
      </w:r>
      <w:r w:rsidRPr="00527367">
        <w:rPr>
          <w:rFonts w:ascii="Arial" w:eastAsia="Tahoma" w:hAnsi="Arial" w:cs="Arial"/>
          <w:sz w:val="20"/>
          <w:szCs w:val="20"/>
          <w:lang w:val="es-419" w:eastAsia="es-CO"/>
        </w:rPr>
        <w:tab/>
        <w:t xml:space="preserve">Ordinario Laboral </w:t>
      </w:r>
    </w:p>
    <w:p w14:paraId="1BBD0182" w14:textId="77777777" w:rsidR="00527367" w:rsidRPr="00527367" w:rsidRDefault="00527367" w:rsidP="00527367">
      <w:pPr>
        <w:jc w:val="both"/>
        <w:rPr>
          <w:rFonts w:ascii="Arial" w:eastAsia="Tahoma" w:hAnsi="Arial" w:cs="Arial"/>
          <w:sz w:val="20"/>
          <w:szCs w:val="20"/>
          <w:lang w:val="es-419" w:eastAsia="es-CO"/>
        </w:rPr>
      </w:pPr>
      <w:r w:rsidRPr="00527367">
        <w:rPr>
          <w:rFonts w:ascii="Arial" w:eastAsia="Tahoma" w:hAnsi="Arial" w:cs="Arial"/>
          <w:sz w:val="20"/>
          <w:szCs w:val="20"/>
          <w:lang w:val="es-419" w:eastAsia="es-CO"/>
        </w:rPr>
        <w:t>Demandante:</w:t>
      </w:r>
      <w:r w:rsidRPr="00527367">
        <w:rPr>
          <w:rFonts w:ascii="Arial" w:eastAsia="Tahoma" w:hAnsi="Arial" w:cs="Arial"/>
          <w:sz w:val="20"/>
          <w:szCs w:val="20"/>
          <w:lang w:val="es-419" w:eastAsia="es-CO"/>
        </w:rPr>
        <w:tab/>
      </w:r>
      <w:r w:rsidRPr="00527367">
        <w:rPr>
          <w:rFonts w:ascii="Arial" w:eastAsia="Tahoma" w:hAnsi="Arial" w:cs="Arial"/>
          <w:sz w:val="20"/>
          <w:szCs w:val="20"/>
          <w:lang w:val="es-419" w:eastAsia="es-CO"/>
        </w:rPr>
        <w:tab/>
        <w:t>Dolly Jaramillo de Mejía</w:t>
      </w:r>
    </w:p>
    <w:p w14:paraId="3CEF93F2" w14:textId="77777777" w:rsidR="00527367" w:rsidRPr="00527367" w:rsidRDefault="00527367" w:rsidP="00527367">
      <w:pPr>
        <w:jc w:val="both"/>
        <w:rPr>
          <w:rFonts w:ascii="Arial" w:eastAsia="Tahoma" w:hAnsi="Arial" w:cs="Arial"/>
          <w:sz w:val="20"/>
          <w:szCs w:val="20"/>
          <w:lang w:val="es-419" w:eastAsia="es-CO"/>
        </w:rPr>
      </w:pPr>
      <w:r w:rsidRPr="00527367">
        <w:rPr>
          <w:rFonts w:ascii="Arial" w:eastAsia="Tahoma" w:hAnsi="Arial" w:cs="Arial"/>
          <w:sz w:val="20"/>
          <w:szCs w:val="20"/>
          <w:lang w:val="es-419" w:eastAsia="es-CO"/>
        </w:rPr>
        <w:t>Demandado:</w:t>
      </w:r>
      <w:r w:rsidRPr="00527367">
        <w:rPr>
          <w:rFonts w:ascii="Arial" w:eastAsia="Tahoma" w:hAnsi="Arial" w:cs="Arial"/>
          <w:sz w:val="20"/>
          <w:szCs w:val="20"/>
          <w:lang w:val="es-419" w:eastAsia="es-CO"/>
        </w:rPr>
        <w:tab/>
      </w:r>
      <w:r w:rsidRPr="00527367">
        <w:rPr>
          <w:rFonts w:ascii="Arial" w:eastAsia="Tahoma" w:hAnsi="Arial" w:cs="Arial"/>
          <w:sz w:val="20"/>
          <w:szCs w:val="20"/>
          <w:lang w:val="es-419" w:eastAsia="es-CO"/>
        </w:rPr>
        <w:tab/>
        <w:t xml:space="preserve">Colpensiones </w:t>
      </w:r>
    </w:p>
    <w:p w14:paraId="4E0B7BD6" w14:textId="77777777" w:rsidR="00527367" w:rsidRPr="00527367" w:rsidRDefault="00527367" w:rsidP="00527367">
      <w:pPr>
        <w:jc w:val="both"/>
        <w:rPr>
          <w:rFonts w:ascii="Arial" w:eastAsia="Tahoma" w:hAnsi="Arial" w:cs="Arial"/>
          <w:sz w:val="20"/>
          <w:szCs w:val="20"/>
          <w:lang w:val="es-419" w:eastAsia="es-CO"/>
        </w:rPr>
      </w:pPr>
      <w:r w:rsidRPr="00527367">
        <w:rPr>
          <w:rFonts w:ascii="Arial" w:eastAsia="Tahoma" w:hAnsi="Arial" w:cs="Arial"/>
          <w:sz w:val="20"/>
          <w:szCs w:val="20"/>
          <w:lang w:val="es-419" w:eastAsia="es-CO"/>
        </w:rPr>
        <w:t xml:space="preserve">Juzgado de origen: </w:t>
      </w:r>
      <w:r w:rsidRPr="00527367">
        <w:rPr>
          <w:rFonts w:ascii="Arial" w:eastAsia="Tahoma" w:hAnsi="Arial" w:cs="Arial"/>
          <w:sz w:val="20"/>
          <w:szCs w:val="20"/>
          <w:lang w:val="es-419" w:eastAsia="es-CO"/>
        </w:rPr>
        <w:tab/>
        <w:t>Juzgado Tercero Laboral del Circuito de Pereira</w:t>
      </w:r>
    </w:p>
    <w:p w14:paraId="26204341" w14:textId="299AA12D" w:rsidR="00527367" w:rsidRPr="00527367" w:rsidRDefault="00527367" w:rsidP="00527367">
      <w:pPr>
        <w:jc w:val="both"/>
        <w:rPr>
          <w:rFonts w:ascii="Arial" w:eastAsia="Tahoma" w:hAnsi="Arial" w:cs="Arial"/>
          <w:sz w:val="20"/>
          <w:szCs w:val="20"/>
          <w:lang w:val="es-419" w:eastAsia="es-CO"/>
        </w:rPr>
      </w:pPr>
      <w:r w:rsidRPr="00527367">
        <w:rPr>
          <w:rFonts w:ascii="Arial" w:eastAsia="Tahoma" w:hAnsi="Arial" w:cs="Arial"/>
          <w:sz w:val="20"/>
          <w:szCs w:val="20"/>
          <w:lang w:val="es-419" w:eastAsia="es-CO"/>
        </w:rPr>
        <w:t>Magistrada ponente:</w:t>
      </w:r>
      <w:r w:rsidRPr="00527367">
        <w:rPr>
          <w:rFonts w:ascii="Arial" w:eastAsia="Tahoma" w:hAnsi="Arial" w:cs="Arial"/>
          <w:sz w:val="20"/>
          <w:szCs w:val="20"/>
          <w:lang w:val="es-419" w:eastAsia="es-CO"/>
        </w:rPr>
        <w:tab/>
        <w:t>Dra. Ana Lucía Caicedo Calderón</w:t>
      </w:r>
    </w:p>
    <w:p w14:paraId="3EC0D248" w14:textId="77777777" w:rsidR="00527367" w:rsidRPr="00527367" w:rsidRDefault="00527367" w:rsidP="00527367">
      <w:pPr>
        <w:jc w:val="both"/>
        <w:rPr>
          <w:rFonts w:ascii="Arial" w:eastAsia="Tahoma" w:hAnsi="Arial" w:cs="Arial"/>
          <w:color w:val="000000"/>
          <w:sz w:val="20"/>
          <w:szCs w:val="20"/>
          <w:lang w:eastAsia="es-CO"/>
        </w:rPr>
      </w:pPr>
    </w:p>
    <w:p w14:paraId="407BE310" w14:textId="265FB880" w:rsidR="00527367" w:rsidRPr="00527367" w:rsidRDefault="00FC5A19" w:rsidP="00527367">
      <w:pPr>
        <w:jc w:val="both"/>
        <w:rPr>
          <w:rFonts w:ascii="Arial" w:eastAsia="Times New Roman" w:hAnsi="Arial" w:cs="Arial"/>
          <w:sz w:val="20"/>
          <w:szCs w:val="20"/>
          <w:lang w:val="es-419" w:eastAsia="es-ES"/>
        </w:rPr>
      </w:pPr>
      <w:r w:rsidRPr="00527367">
        <w:rPr>
          <w:rFonts w:ascii="Arial" w:eastAsia="Times New Roman" w:hAnsi="Arial" w:cs="Arial"/>
          <w:b/>
          <w:bCs/>
          <w:iCs/>
          <w:sz w:val="20"/>
          <w:szCs w:val="20"/>
          <w:u w:val="single"/>
          <w:lang w:val="es-419" w:eastAsia="fr-FR"/>
        </w:rPr>
        <w:t>TEMAS:</w:t>
      </w:r>
      <w:r w:rsidRPr="00527367">
        <w:rPr>
          <w:rFonts w:ascii="Arial" w:eastAsia="Times New Roman" w:hAnsi="Arial" w:cs="Arial"/>
          <w:b/>
          <w:bCs/>
          <w:iCs/>
          <w:sz w:val="20"/>
          <w:szCs w:val="20"/>
          <w:lang w:val="es-419" w:eastAsia="fr-FR"/>
        </w:rPr>
        <w:tab/>
      </w:r>
      <w:r w:rsidRPr="00D17457">
        <w:rPr>
          <w:rFonts w:ascii="Arial" w:eastAsia="Times New Roman" w:hAnsi="Arial" w:cs="Arial"/>
          <w:b/>
          <w:bCs/>
          <w:iCs/>
          <w:sz w:val="20"/>
          <w:szCs w:val="20"/>
          <w:lang w:val="es-419" w:eastAsia="fr-FR"/>
        </w:rPr>
        <w:t>PENSIÓN DE INVALIDEZ / CONDICIÓN MÁS BENEFICIOSA / ANÁLISIS JURISPRUDENCIAL / SENTENCIA SU-556 DE 2019</w:t>
      </w:r>
      <w:r>
        <w:rPr>
          <w:rFonts w:ascii="Arial" w:eastAsia="Times New Roman" w:hAnsi="Arial" w:cs="Arial"/>
          <w:b/>
          <w:bCs/>
          <w:iCs/>
          <w:sz w:val="20"/>
          <w:szCs w:val="20"/>
          <w:lang w:val="es-419" w:eastAsia="fr-FR"/>
        </w:rPr>
        <w:t xml:space="preserve">, CORTE CONSTITUCIONAL </w:t>
      </w:r>
      <w:r w:rsidRPr="00D17457">
        <w:rPr>
          <w:rFonts w:ascii="Arial" w:eastAsia="Times New Roman" w:hAnsi="Arial" w:cs="Arial"/>
          <w:b/>
          <w:bCs/>
          <w:iCs/>
          <w:sz w:val="20"/>
          <w:szCs w:val="20"/>
          <w:lang w:val="es-419" w:eastAsia="fr-FR"/>
        </w:rPr>
        <w:t>/ TEST DE PROCEDENCIA</w:t>
      </w:r>
      <w:r>
        <w:rPr>
          <w:rFonts w:ascii="Arial" w:eastAsia="Times New Roman" w:hAnsi="Arial" w:cs="Arial"/>
          <w:b/>
          <w:bCs/>
          <w:iCs/>
          <w:sz w:val="20"/>
          <w:szCs w:val="20"/>
          <w:lang w:val="es-419" w:eastAsia="fr-FR"/>
        </w:rPr>
        <w:t xml:space="preserve"> / POSICIÓN DE LA CORTE SUPREMA DE JUSTICIA / SOLO APLICA PARA LA NORMA INMEDIATAMENTE ANTERIOR / SE ACOGE TESIS DE LA CORTE CONSTITUCIONAL.</w:t>
      </w:r>
    </w:p>
    <w:p w14:paraId="6BC2B7A0" w14:textId="77777777" w:rsidR="00527367" w:rsidRPr="00527367" w:rsidRDefault="00527367" w:rsidP="00527367">
      <w:pPr>
        <w:jc w:val="both"/>
        <w:rPr>
          <w:rFonts w:ascii="Arial" w:eastAsia="Times New Roman" w:hAnsi="Arial" w:cs="Arial"/>
          <w:sz w:val="20"/>
          <w:szCs w:val="20"/>
          <w:lang w:val="es-419" w:eastAsia="es-ES"/>
        </w:rPr>
      </w:pPr>
    </w:p>
    <w:p w14:paraId="6F0D97EA" w14:textId="77777777" w:rsidR="00294215" w:rsidRPr="00294215" w:rsidRDefault="00294215" w:rsidP="00294215">
      <w:pPr>
        <w:jc w:val="both"/>
        <w:rPr>
          <w:rFonts w:ascii="Arial" w:eastAsia="Times New Roman" w:hAnsi="Arial" w:cs="Arial"/>
          <w:sz w:val="20"/>
          <w:szCs w:val="20"/>
          <w:lang w:val="es-419" w:eastAsia="es-ES"/>
        </w:rPr>
      </w:pPr>
      <w:r w:rsidRPr="00294215">
        <w:rPr>
          <w:rFonts w:ascii="Arial" w:eastAsia="Times New Roman" w:hAnsi="Arial" w:cs="Arial"/>
          <w:sz w:val="20"/>
          <w:szCs w:val="20"/>
          <w:lang w:val="es-419" w:eastAsia="es-ES"/>
        </w:rPr>
        <w:t>La Corte Constitucional a través de la sentencia SU-442 de 2016 determinó el alcance de aplicación del principio de la condición más beneficiosa en la pensión de invalidez, bajo los postulados de la seguridad social, la protección de las personas en circunstancias de debilidad manifiesta, el principio de confianza legítima… y el principio de igualdad en lo que atañe a la disparidad de tratamiento que existe como consecuencia de la creación de regímenes de transición para vejez, pero no para invalidez.</w:t>
      </w:r>
    </w:p>
    <w:p w14:paraId="7789E34A" w14:textId="77777777" w:rsidR="00294215" w:rsidRPr="00294215" w:rsidRDefault="00294215" w:rsidP="00294215">
      <w:pPr>
        <w:jc w:val="both"/>
        <w:rPr>
          <w:rFonts w:ascii="Arial" w:eastAsia="Times New Roman" w:hAnsi="Arial" w:cs="Arial"/>
          <w:sz w:val="20"/>
          <w:szCs w:val="20"/>
          <w:lang w:val="es-419" w:eastAsia="es-ES"/>
        </w:rPr>
      </w:pPr>
    </w:p>
    <w:p w14:paraId="7FE194AD" w14:textId="77777777" w:rsidR="00294215" w:rsidRPr="00294215" w:rsidRDefault="00294215" w:rsidP="00294215">
      <w:pPr>
        <w:jc w:val="both"/>
        <w:rPr>
          <w:rFonts w:ascii="Arial" w:eastAsia="Times New Roman" w:hAnsi="Arial" w:cs="Arial"/>
          <w:sz w:val="20"/>
          <w:szCs w:val="20"/>
          <w:lang w:val="es-419" w:eastAsia="es-ES"/>
        </w:rPr>
      </w:pPr>
      <w:r w:rsidRPr="00294215">
        <w:rPr>
          <w:rFonts w:ascii="Arial" w:eastAsia="Times New Roman" w:hAnsi="Arial" w:cs="Arial"/>
          <w:sz w:val="20"/>
          <w:szCs w:val="20"/>
          <w:lang w:val="es-419" w:eastAsia="es-ES"/>
        </w:rPr>
        <w:t>Posteriormente, en la sentencia SU-556 de 2019 unificó los criterios de: “i) la valoración de la exigencia de subsidiariedad de la acción de tutela cuando se pretende el reconocimiento y pago de la pensión de invalidez, en aplicación del principio de la condición más beneficiosa y ii) el alcance del principio de la condición más beneficiosa para el reconocimiento de la pensión de invalidez.” (…)</w:t>
      </w:r>
    </w:p>
    <w:p w14:paraId="0C11A85D" w14:textId="77777777" w:rsidR="00294215" w:rsidRPr="00294215" w:rsidRDefault="00294215" w:rsidP="00294215">
      <w:pPr>
        <w:jc w:val="both"/>
        <w:rPr>
          <w:rFonts w:ascii="Arial" w:eastAsia="Times New Roman" w:hAnsi="Arial" w:cs="Arial"/>
          <w:sz w:val="20"/>
          <w:szCs w:val="20"/>
          <w:lang w:val="es-419" w:eastAsia="es-ES"/>
        </w:rPr>
      </w:pPr>
    </w:p>
    <w:p w14:paraId="1C74A079" w14:textId="438B296F" w:rsidR="00294215" w:rsidRPr="00294215" w:rsidRDefault="00260D9A" w:rsidP="00294215">
      <w:pPr>
        <w:jc w:val="both"/>
        <w:rPr>
          <w:rFonts w:ascii="Arial" w:eastAsia="Times New Roman" w:hAnsi="Arial" w:cs="Arial"/>
          <w:sz w:val="20"/>
          <w:szCs w:val="20"/>
          <w:lang w:val="es-419" w:eastAsia="es-ES"/>
        </w:rPr>
      </w:pPr>
      <w:r w:rsidRPr="00260D9A">
        <w:rPr>
          <w:rFonts w:ascii="Arial" w:eastAsia="Times New Roman" w:hAnsi="Arial" w:cs="Arial"/>
          <w:sz w:val="20"/>
          <w:szCs w:val="20"/>
          <w:lang w:val="es-419" w:eastAsia="es-ES"/>
        </w:rPr>
        <w:t>En lo que atañe al primer punto, esto es la valoración de la exigencia de subsidiariedad, la Sala estableció cuatro condiciones necesarias y en conjunto suficientes, como exigencia del ejercicio subsidiario de la acción de tutela, que denominó</w:t>
      </w:r>
      <w:r w:rsidR="00294215" w:rsidRPr="00294215">
        <w:rPr>
          <w:rFonts w:ascii="Arial" w:eastAsia="Times New Roman" w:hAnsi="Arial" w:cs="Arial"/>
          <w:sz w:val="20"/>
          <w:szCs w:val="20"/>
          <w:lang w:val="es-419" w:eastAsia="es-ES"/>
        </w:rPr>
        <w:t xml:space="preserve"> “test de procedencia” …</w:t>
      </w:r>
    </w:p>
    <w:p w14:paraId="413D0DA3" w14:textId="77777777" w:rsidR="00294215" w:rsidRPr="00294215" w:rsidRDefault="00294215" w:rsidP="00294215">
      <w:pPr>
        <w:jc w:val="both"/>
        <w:rPr>
          <w:rFonts w:ascii="Arial" w:eastAsia="Times New Roman" w:hAnsi="Arial" w:cs="Arial"/>
          <w:sz w:val="20"/>
          <w:szCs w:val="20"/>
          <w:lang w:val="es-419" w:eastAsia="es-ES"/>
        </w:rPr>
      </w:pPr>
    </w:p>
    <w:p w14:paraId="5E40EB39" w14:textId="77777777" w:rsidR="00294215" w:rsidRPr="00294215" w:rsidRDefault="00294215" w:rsidP="00294215">
      <w:pPr>
        <w:jc w:val="both"/>
        <w:rPr>
          <w:rFonts w:ascii="Arial" w:eastAsia="Times New Roman" w:hAnsi="Arial" w:cs="Arial"/>
          <w:sz w:val="20"/>
          <w:szCs w:val="20"/>
          <w:lang w:val="es-419" w:eastAsia="es-ES"/>
        </w:rPr>
      </w:pPr>
      <w:r w:rsidRPr="00294215">
        <w:rPr>
          <w:rFonts w:ascii="Arial" w:eastAsia="Times New Roman" w:hAnsi="Arial" w:cs="Arial"/>
          <w:sz w:val="20"/>
          <w:szCs w:val="20"/>
          <w:lang w:val="es-419" w:eastAsia="es-ES"/>
        </w:rPr>
        <w:t xml:space="preserve">… para la Sala Plena de la Corte Constitucional, solo resulta razonable y proporcionado interpretar el principio de la condición más beneficiosa en el sentido de aplicar de manera </w:t>
      </w:r>
      <w:proofErr w:type="spellStart"/>
      <w:r w:rsidRPr="00294215">
        <w:rPr>
          <w:rFonts w:ascii="Arial" w:eastAsia="Times New Roman" w:hAnsi="Arial" w:cs="Arial"/>
          <w:sz w:val="20"/>
          <w:szCs w:val="20"/>
          <w:lang w:val="es-419" w:eastAsia="es-ES"/>
        </w:rPr>
        <w:t>ultractiva</w:t>
      </w:r>
      <w:proofErr w:type="spellEnd"/>
      <w:r w:rsidRPr="00294215">
        <w:rPr>
          <w:rFonts w:ascii="Arial" w:eastAsia="Times New Roman" w:hAnsi="Arial" w:cs="Arial"/>
          <w:sz w:val="20"/>
          <w:szCs w:val="20"/>
          <w:lang w:val="es-419" w:eastAsia="es-ES"/>
        </w:rPr>
        <w:t xml:space="preserve"> las disposiciones del Acuerdo 049 de 1990, en los eventos en que la invalidez se estructura en vigencia de la Ley 860 de 2003, cuando el accionante es una persona en situación de vulnerabilidad, es decir, cuando satisface las exigencias del test de procedencia.</w:t>
      </w:r>
    </w:p>
    <w:p w14:paraId="7B8CCEB5" w14:textId="77777777" w:rsidR="00294215" w:rsidRPr="00294215" w:rsidRDefault="00294215" w:rsidP="00294215">
      <w:pPr>
        <w:jc w:val="both"/>
        <w:rPr>
          <w:rFonts w:ascii="Arial" w:eastAsia="Times New Roman" w:hAnsi="Arial" w:cs="Arial"/>
          <w:sz w:val="20"/>
          <w:szCs w:val="20"/>
          <w:lang w:val="es-419" w:eastAsia="es-ES"/>
        </w:rPr>
      </w:pPr>
    </w:p>
    <w:p w14:paraId="280B54A9" w14:textId="2986621A" w:rsidR="00527367" w:rsidRPr="00527367" w:rsidRDefault="00F474DD" w:rsidP="00527367">
      <w:pPr>
        <w:jc w:val="both"/>
        <w:rPr>
          <w:rFonts w:ascii="Arial" w:eastAsia="Times New Roman" w:hAnsi="Arial" w:cs="Arial"/>
          <w:sz w:val="20"/>
          <w:szCs w:val="20"/>
          <w:lang w:val="es-419" w:eastAsia="es-ES"/>
        </w:rPr>
      </w:pPr>
      <w:r w:rsidRPr="00F474DD">
        <w:rPr>
          <w:rFonts w:ascii="Arial" w:eastAsia="Times New Roman" w:hAnsi="Arial" w:cs="Arial"/>
          <w:sz w:val="20"/>
          <w:szCs w:val="20"/>
          <w:lang w:val="es-419" w:eastAsia="es-ES"/>
        </w:rPr>
        <w:t>Como es bien sabido, la tesis anterior es contraria a la desarrollada por la Corte Suprema de Justicia, pues para esa Colegiatura solo es posible aplicar el principio de condición más beneficiosa con la norma inmediatamente anterior, siempre y cuando la densidad de semanas exigidas por la norma anterior se hubiese hecho dentro de un determinado período</w:t>
      </w:r>
      <w:r>
        <w:rPr>
          <w:rFonts w:ascii="Arial" w:eastAsia="Times New Roman" w:hAnsi="Arial" w:cs="Arial"/>
          <w:sz w:val="20"/>
          <w:szCs w:val="20"/>
          <w:lang w:val="es-419" w:eastAsia="es-ES"/>
        </w:rPr>
        <w:t>…</w:t>
      </w:r>
    </w:p>
    <w:p w14:paraId="55BBA1A6" w14:textId="77777777" w:rsidR="00527367" w:rsidRPr="00527367" w:rsidRDefault="00527367" w:rsidP="00527367">
      <w:pPr>
        <w:jc w:val="both"/>
        <w:rPr>
          <w:rFonts w:ascii="Arial" w:eastAsia="Times New Roman" w:hAnsi="Arial" w:cs="Arial"/>
          <w:sz w:val="20"/>
          <w:szCs w:val="20"/>
          <w:lang w:val="es-419" w:eastAsia="es-ES"/>
        </w:rPr>
      </w:pPr>
    </w:p>
    <w:p w14:paraId="1A35375F" w14:textId="405499D5" w:rsidR="00527367" w:rsidRPr="00527367" w:rsidRDefault="00F474DD" w:rsidP="00527367">
      <w:pPr>
        <w:jc w:val="both"/>
        <w:rPr>
          <w:rFonts w:ascii="Arial" w:eastAsia="Times New Roman" w:hAnsi="Arial" w:cs="Arial"/>
          <w:sz w:val="20"/>
          <w:szCs w:val="20"/>
          <w:lang w:val="es-419" w:eastAsia="es-ES"/>
        </w:rPr>
      </w:pPr>
      <w:r w:rsidRPr="00F474DD">
        <w:rPr>
          <w:rFonts w:ascii="Arial" w:eastAsia="Times New Roman" w:hAnsi="Arial" w:cs="Arial"/>
          <w:sz w:val="20"/>
          <w:szCs w:val="20"/>
          <w:lang w:val="es-419" w:eastAsia="es-ES"/>
        </w:rPr>
        <w:t>En el presente caso, está plenamente probado que la pérdida de capacidad laboral de la parte demandante se presentó en vigencia de la Ley 860 de 2003, pero aquella no tiene 50 semanas cotizadas en los 3 años anteriores a la estructuración de la invalidez. En consecuencia, el análisis de este asunto se hará bajo el principio de la condición más beneficiosa, bajo la tesis del test de procedencia de la Corte Constitucional.</w:t>
      </w:r>
    </w:p>
    <w:p w14:paraId="5BC16798" w14:textId="77777777" w:rsidR="00527367" w:rsidRPr="00527367" w:rsidRDefault="00527367" w:rsidP="00527367">
      <w:pPr>
        <w:jc w:val="both"/>
        <w:rPr>
          <w:rFonts w:ascii="Arial" w:eastAsia="Times New Roman" w:hAnsi="Arial" w:cs="Arial"/>
          <w:sz w:val="20"/>
          <w:szCs w:val="20"/>
          <w:lang w:val="es-419" w:eastAsia="es-ES"/>
        </w:rPr>
      </w:pPr>
    </w:p>
    <w:p w14:paraId="25B027EF" w14:textId="77777777" w:rsidR="00527367" w:rsidRPr="00527367" w:rsidRDefault="00527367" w:rsidP="00527367">
      <w:pPr>
        <w:jc w:val="both"/>
        <w:rPr>
          <w:rFonts w:ascii="Arial" w:eastAsia="Times New Roman" w:hAnsi="Arial" w:cs="Arial"/>
          <w:sz w:val="20"/>
          <w:szCs w:val="20"/>
          <w:lang w:val="es-419" w:eastAsia="es-ES"/>
        </w:rPr>
      </w:pPr>
    </w:p>
    <w:p w14:paraId="71F8BD02" w14:textId="77777777" w:rsidR="00527367" w:rsidRPr="00527367" w:rsidRDefault="00527367" w:rsidP="00527367">
      <w:pPr>
        <w:jc w:val="both"/>
        <w:rPr>
          <w:rFonts w:ascii="Arial" w:eastAsia="Times New Roman" w:hAnsi="Arial" w:cs="Arial"/>
          <w:sz w:val="20"/>
          <w:szCs w:val="20"/>
          <w:lang w:val="es-419" w:eastAsia="es-ES"/>
        </w:rPr>
      </w:pPr>
    </w:p>
    <w:bookmarkEnd w:id="1"/>
    <w:bookmarkEnd w:id="2"/>
    <w:p w14:paraId="66F815E5" w14:textId="77777777" w:rsidR="0067162E" w:rsidRPr="00527367" w:rsidRDefault="0067162E"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527367">
        <w:rPr>
          <w:rFonts w:cs="Tahoma"/>
          <w:b/>
          <w:bCs/>
          <w:sz w:val="24"/>
          <w:szCs w:val="24"/>
          <w:lang w:val="es-CO"/>
        </w:rPr>
        <w:t>TRIBUNAL SUPERIOR DEL DISTRITO JUDICIAL DE PEREIRA</w:t>
      </w:r>
    </w:p>
    <w:p w14:paraId="566CD8C4" w14:textId="0B5511AE" w:rsidR="0067162E" w:rsidRPr="00527367" w:rsidRDefault="0067162E"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527367">
        <w:rPr>
          <w:rFonts w:cs="Tahoma"/>
          <w:b/>
          <w:bCs/>
          <w:sz w:val="24"/>
          <w:szCs w:val="24"/>
          <w:lang w:val="es-CO"/>
        </w:rPr>
        <w:t>SALA LABORAL</w:t>
      </w:r>
    </w:p>
    <w:p w14:paraId="5993EDEA" w14:textId="77777777" w:rsidR="003045CA" w:rsidRPr="00527367" w:rsidRDefault="003045CA"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7D986D30" w14:textId="4CC7C466" w:rsidR="0080541C" w:rsidRPr="00527367" w:rsidRDefault="0067162E"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527367">
        <w:rPr>
          <w:rStyle w:val="Ninguno"/>
          <w:rFonts w:cs="Tahoma"/>
          <w:sz w:val="24"/>
          <w:szCs w:val="24"/>
          <w:lang w:val="es-CO"/>
        </w:rPr>
        <w:t>Magistrada Ponente:</w:t>
      </w:r>
      <w:r w:rsidRPr="00527367">
        <w:rPr>
          <w:rFonts w:cs="Tahoma"/>
          <w:b/>
          <w:bCs/>
          <w:sz w:val="24"/>
          <w:szCs w:val="24"/>
          <w:lang w:val="es-CO"/>
        </w:rPr>
        <w:t xml:space="preserve"> Ana Lucía Caicedo Calderón</w:t>
      </w:r>
    </w:p>
    <w:p w14:paraId="26C64F7A" w14:textId="5EF8F83E" w:rsidR="0018283C" w:rsidRPr="00527367" w:rsidRDefault="0018283C"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368D958A" w14:textId="77777777" w:rsidR="003C4977" w:rsidRPr="00527367" w:rsidRDefault="003C4977" w:rsidP="00527367">
      <w:pPr>
        <w:pStyle w:val="paragraph"/>
        <w:spacing w:before="0" w:beforeAutospacing="0" w:after="0" w:afterAutospacing="0" w:line="276" w:lineRule="auto"/>
        <w:ind w:firstLine="705"/>
        <w:contextualSpacing/>
        <w:jc w:val="center"/>
        <w:textAlignment w:val="baseline"/>
        <w:rPr>
          <w:rFonts w:ascii="Tahoma" w:hAnsi="Tahoma" w:cs="Tahoma"/>
        </w:rPr>
      </w:pPr>
      <w:r w:rsidRPr="00527367">
        <w:rPr>
          <w:rStyle w:val="normaltextrun"/>
          <w:rFonts w:ascii="Tahoma" w:hAnsi="Tahoma" w:cs="Tahoma"/>
          <w:color w:val="000000"/>
        </w:rPr>
        <w:t>Pereira, cuatro (04) de noviembre de dos mil veintidós (2022)  </w:t>
      </w:r>
      <w:r w:rsidRPr="00527367">
        <w:rPr>
          <w:rStyle w:val="eop"/>
          <w:rFonts w:ascii="Tahoma" w:hAnsi="Tahoma" w:cs="Tahoma"/>
          <w:color w:val="000000"/>
        </w:rPr>
        <w:t> </w:t>
      </w:r>
    </w:p>
    <w:p w14:paraId="70AEA30D" w14:textId="4786365C" w:rsidR="003C4977" w:rsidRPr="00527367" w:rsidRDefault="003C4977" w:rsidP="00527367">
      <w:pPr>
        <w:pStyle w:val="paragraph"/>
        <w:spacing w:before="0" w:beforeAutospacing="0" w:after="0" w:afterAutospacing="0" w:line="276" w:lineRule="auto"/>
        <w:ind w:firstLine="705"/>
        <w:contextualSpacing/>
        <w:jc w:val="center"/>
        <w:textAlignment w:val="baseline"/>
        <w:rPr>
          <w:rFonts w:ascii="Tahoma" w:hAnsi="Tahoma" w:cs="Tahoma"/>
        </w:rPr>
      </w:pPr>
      <w:r w:rsidRPr="00527367">
        <w:rPr>
          <w:rStyle w:val="normaltextrun"/>
          <w:rFonts w:ascii="Tahoma" w:hAnsi="Tahoma" w:cs="Tahoma"/>
          <w:color w:val="000000" w:themeColor="text1"/>
        </w:rPr>
        <w:t>Acta No. </w:t>
      </w:r>
      <w:r w:rsidR="0097779E" w:rsidRPr="00527367">
        <w:rPr>
          <w:rStyle w:val="normaltextrun"/>
          <w:rFonts w:ascii="Tahoma" w:hAnsi="Tahoma" w:cs="Tahoma"/>
          <w:color w:val="000000" w:themeColor="text1"/>
        </w:rPr>
        <w:t>181</w:t>
      </w:r>
      <w:r w:rsidRPr="00527367">
        <w:rPr>
          <w:rStyle w:val="normaltextrun"/>
          <w:rFonts w:ascii="Tahoma" w:hAnsi="Tahoma" w:cs="Tahoma"/>
          <w:color w:val="000000" w:themeColor="text1"/>
        </w:rPr>
        <w:t xml:space="preserve"> del 3 de noviembre de 2022 </w:t>
      </w:r>
      <w:r w:rsidRPr="00527367">
        <w:rPr>
          <w:rStyle w:val="eop"/>
          <w:rFonts w:ascii="Tahoma" w:hAnsi="Tahoma" w:cs="Tahoma"/>
          <w:color w:val="000000" w:themeColor="text1"/>
        </w:rPr>
        <w:t> </w:t>
      </w:r>
    </w:p>
    <w:p w14:paraId="5E55E47F" w14:textId="77777777" w:rsidR="0018283C" w:rsidRPr="00527367" w:rsidRDefault="0018283C"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ES"/>
        </w:rPr>
      </w:pPr>
    </w:p>
    <w:p w14:paraId="1E3538B8" w14:textId="77777777" w:rsidR="0080541C" w:rsidRPr="00527367" w:rsidRDefault="0080541C"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40CBD898" w14:textId="1A5D1AF6" w:rsidR="0080541C" w:rsidRPr="00527367" w:rsidRDefault="0080541C"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527367">
        <w:rPr>
          <w:rFonts w:cs="Tahoma"/>
          <w:sz w:val="24"/>
          <w:szCs w:val="24"/>
          <w:lang w:val="es-CO"/>
        </w:rPr>
        <w:tab/>
        <w:t xml:space="preserve">Teniendo en cuenta que el artículo 15 del Decreto No. 806 del 4 de junio de 2020, expedido por el Ministerio de Justicia y del Derecho, estableció que en la especialidad laboral se proferirán por escrito las providencias de segunda instancia en </w:t>
      </w:r>
      <w:r w:rsidRPr="00527367">
        <w:rPr>
          <w:rFonts w:cs="Tahoma"/>
          <w:sz w:val="24"/>
          <w:szCs w:val="24"/>
          <w:lang w:val="es-CO"/>
        </w:rPr>
        <w:lastRenderedPageBreak/>
        <w:t>las que se surta el grado jurisdiccional de consulta o se resuelva el recurso de apelación de autos o sentencias, la Sala de Decisión Laboral No. 1 del Tribunal Superior de</w:t>
      </w:r>
      <w:r w:rsidRPr="008F6BBB">
        <w:rPr>
          <w:rFonts w:cs="Tahoma"/>
          <w:sz w:val="24"/>
          <w:szCs w:val="24"/>
          <w:lang w:val="es-CO"/>
        </w:rPr>
        <w:t xml:space="preserve"> Pereira, integrada por las Magistradas </w:t>
      </w:r>
      <w:r w:rsidRPr="008F6BBB">
        <w:rPr>
          <w:rFonts w:cs="Tahoma"/>
          <w:bCs/>
          <w:sz w:val="24"/>
          <w:szCs w:val="24"/>
          <w:lang w:val="es-CO"/>
        </w:rPr>
        <w:t>ANA LUCÍA CAICEDO CALDERÓN</w:t>
      </w:r>
      <w:r w:rsidRPr="008F6BBB">
        <w:rPr>
          <w:rFonts w:cs="Tahoma"/>
          <w:sz w:val="24"/>
          <w:szCs w:val="24"/>
          <w:lang w:val="es-CO"/>
        </w:rPr>
        <w:t xml:space="preserve"> como Ponente, </w:t>
      </w:r>
      <w:r w:rsidRPr="008F6BBB">
        <w:rPr>
          <w:rFonts w:cs="Tahoma"/>
          <w:bCs/>
          <w:sz w:val="24"/>
          <w:szCs w:val="24"/>
          <w:lang w:val="es-CO"/>
        </w:rPr>
        <w:t>OLGA LUCÍA HOYOS SEPÚLVEDA</w:t>
      </w:r>
      <w:r w:rsidRPr="008F6BBB">
        <w:rPr>
          <w:rFonts w:cs="Tahoma"/>
          <w:sz w:val="24"/>
          <w:szCs w:val="24"/>
          <w:lang w:val="es-CO"/>
        </w:rPr>
        <w:t xml:space="preserve"> y el Magistrado </w:t>
      </w:r>
      <w:r w:rsidRPr="008F6BBB">
        <w:rPr>
          <w:rFonts w:cs="Tahoma"/>
          <w:bCs/>
          <w:sz w:val="24"/>
          <w:szCs w:val="24"/>
          <w:lang w:val="es-CO"/>
        </w:rPr>
        <w:t>GERMÁN DARIO GOEZ VINASCO</w:t>
      </w:r>
      <w:r w:rsidRPr="008F6BBB">
        <w:rPr>
          <w:rFonts w:cs="Tahoma"/>
          <w:sz w:val="24"/>
          <w:szCs w:val="24"/>
          <w:lang w:val="es-CO"/>
        </w:rPr>
        <w:t xml:space="preserve">, procede a proferir el siguiente escrito dentro del proceso </w:t>
      </w:r>
      <w:r w:rsidRPr="008F6BBB">
        <w:rPr>
          <w:rFonts w:cs="Tahoma"/>
          <w:b/>
          <w:sz w:val="24"/>
          <w:szCs w:val="24"/>
          <w:lang w:val="es-CO"/>
        </w:rPr>
        <w:t>ordinario laboral</w:t>
      </w:r>
      <w:r w:rsidRPr="00527367">
        <w:rPr>
          <w:rFonts w:cs="Tahoma"/>
          <w:sz w:val="24"/>
          <w:szCs w:val="24"/>
          <w:lang w:val="es-CO"/>
        </w:rPr>
        <w:t xml:space="preserve"> instaurado por la señora </w:t>
      </w:r>
      <w:r w:rsidR="008F6BBB" w:rsidRPr="00527367">
        <w:rPr>
          <w:rFonts w:cs="Tahoma"/>
          <w:b/>
          <w:bCs/>
          <w:sz w:val="24"/>
          <w:szCs w:val="24"/>
          <w:lang w:val="es-CO"/>
        </w:rPr>
        <w:t>Dolly Jaramillo de Mejía</w:t>
      </w:r>
      <w:r w:rsidR="008F6BBB" w:rsidRPr="00527367">
        <w:rPr>
          <w:rFonts w:cs="Tahoma"/>
          <w:sz w:val="24"/>
          <w:szCs w:val="24"/>
          <w:lang w:val="es-CO"/>
        </w:rPr>
        <w:t xml:space="preserve"> </w:t>
      </w:r>
      <w:r w:rsidRPr="00527367">
        <w:rPr>
          <w:rFonts w:cs="Tahoma"/>
          <w:sz w:val="24"/>
          <w:szCs w:val="24"/>
          <w:lang w:val="es-CO"/>
        </w:rPr>
        <w:t xml:space="preserve">en contra del </w:t>
      </w:r>
      <w:r w:rsidRPr="00527367">
        <w:rPr>
          <w:rFonts w:cs="Tahoma"/>
          <w:b/>
          <w:bCs/>
          <w:sz w:val="24"/>
          <w:szCs w:val="24"/>
          <w:lang w:val="es-CO"/>
        </w:rPr>
        <w:t>COLPENSIONES</w:t>
      </w:r>
      <w:r w:rsidRPr="00527367">
        <w:rPr>
          <w:rFonts w:cs="Tahoma"/>
          <w:sz w:val="24"/>
          <w:szCs w:val="24"/>
          <w:lang w:val="es-CO"/>
        </w:rPr>
        <w:t>.</w:t>
      </w:r>
    </w:p>
    <w:p w14:paraId="28C36018" w14:textId="089E4458" w:rsidR="003C4977" w:rsidRDefault="003C4977"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3AB08DC8" w14:textId="77777777" w:rsidR="00F474DD" w:rsidRPr="00527367" w:rsidRDefault="00F474DD"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67411ADB" w14:textId="77777777" w:rsidR="0080541C" w:rsidRPr="00527367" w:rsidRDefault="0080541C"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527367">
        <w:rPr>
          <w:rFonts w:cs="Tahoma"/>
          <w:b/>
          <w:bCs/>
          <w:sz w:val="24"/>
          <w:szCs w:val="24"/>
          <w:lang w:val="es-CO"/>
        </w:rPr>
        <w:t>PUNTO A TRATAR</w:t>
      </w:r>
    </w:p>
    <w:p w14:paraId="47B02304" w14:textId="77777777" w:rsidR="0080541C" w:rsidRPr="00527367" w:rsidRDefault="0080541C"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36E592E4" w14:textId="5AFDC1BC" w:rsidR="00CA6E6B" w:rsidRPr="00527367" w:rsidRDefault="0080541C" w:rsidP="00527367">
      <w:pPr>
        <w:spacing w:line="276" w:lineRule="auto"/>
        <w:ind w:firstLine="708"/>
        <w:jc w:val="both"/>
        <w:rPr>
          <w:rFonts w:ascii="Tahoma" w:hAnsi="Tahoma" w:cs="Tahoma"/>
          <w:sz w:val="24"/>
          <w:szCs w:val="24"/>
        </w:rPr>
      </w:pPr>
      <w:r w:rsidRPr="00527367">
        <w:rPr>
          <w:rFonts w:ascii="Tahoma" w:hAnsi="Tahoma" w:cs="Tahoma"/>
          <w:sz w:val="24"/>
          <w:szCs w:val="24"/>
          <w:lang w:val="es-CO"/>
        </w:rPr>
        <w:tab/>
      </w:r>
      <w:r w:rsidR="009D7484" w:rsidRPr="00527367">
        <w:rPr>
          <w:rFonts w:ascii="Tahoma" w:hAnsi="Tahoma" w:cs="Tahoma"/>
          <w:sz w:val="24"/>
          <w:szCs w:val="24"/>
        </w:rPr>
        <w:t xml:space="preserve">Por medio de esta providencia procede la Sala a revolver el grado de jurisdicción de consulta de la sentencia de primera instancia proferida el </w:t>
      </w:r>
      <w:r w:rsidR="0018283C" w:rsidRPr="00527367">
        <w:rPr>
          <w:rFonts w:ascii="Tahoma" w:hAnsi="Tahoma" w:cs="Tahoma"/>
          <w:sz w:val="24"/>
          <w:szCs w:val="24"/>
        </w:rPr>
        <w:t>28</w:t>
      </w:r>
      <w:r w:rsidR="009D7484" w:rsidRPr="00527367">
        <w:rPr>
          <w:rFonts w:ascii="Tahoma" w:hAnsi="Tahoma" w:cs="Tahoma"/>
          <w:sz w:val="24"/>
          <w:szCs w:val="24"/>
        </w:rPr>
        <w:t xml:space="preserve"> de septiembre de 2021 por el Juzgado Tercero Laboral del Circuito de Pereira, debido a que esta fue totalmente adversa a los intereses de la afiliada. Para ello se tiene en cuenta lo siguiente: </w:t>
      </w:r>
    </w:p>
    <w:p w14:paraId="1A69375C" w14:textId="223BF2C5" w:rsidR="009D7484" w:rsidRDefault="009D7484" w:rsidP="00527367">
      <w:pPr>
        <w:spacing w:line="276" w:lineRule="auto"/>
        <w:jc w:val="both"/>
        <w:rPr>
          <w:rFonts w:ascii="Tahoma" w:hAnsi="Tahoma" w:cs="Tahoma"/>
          <w:sz w:val="24"/>
          <w:szCs w:val="24"/>
        </w:rPr>
      </w:pPr>
    </w:p>
    <w:p w14:paraId="70DD437C" w14:textId="77777777" w:rsidR="00F474DD" w:rsidRPr="00527367" w:rsidRDefault="00F474DD" w:rsidP="00527367">
      <w:pPr>
        <w:spacing w:line="276" w:lineRule="auto"/>
        <w:jc w:val="both"/>
        <w:rPr>
          <w:rFonts w:ascii="Tahoma" w:hAnsi="Tahoma" w:cs="Tahoma"/>
          <w:sz w:val="24"/>
          <w:szCs w:val="24"/>
        </w:rPr>
      </w:pPr>
    </w:p>
    <w:p w14:paraId="517D72BA" w14:textId="7C155F81" w:rsidR="009D7484" w:rsidRPr="00527367" w:rsidRDefault="009D7484" w:rsidP="00527367">
      <w:pPr>
        <w:pStyle w:val="Prrafodelista"/>
        <w:widowControl w:val="0"/>
        <w:numPr>
          <w:ilvl w:val="0"/>
          <w:numId w:val="12"/>
        </w:numPr>
        <w:autoSpaceDE w:val="0"/>
        <w:autoSpaceDN w:val="0"/>
        <w:adjustRightInd w:val="0"/>
        <w:spacing w:line="276" w:lineRule="auto"/>
        <w:ind w:left="1066"/>
        <w:jc w:val="center"/>
        <w:rPr>
          <w:rFonts w:ascii="Tahoma" w:hAnsi="Tahoma" w:cs="Tahoma"/>
          <w:b/>
          <w:bCs/>
          <w:sz w:val="24"/>
          <w:szCs w:val="24"/>
        </w:rPr>
      </w:pPr>
      <w:r w:rsidRPr="00527367">
        <w:rPr>
          <w:rFonts w:ascii="Tahoma" w:hAnsi="Tahoma" w:cs="Tahoma"/>
          <w:b/>
          <w:bCs/>
          <w:sz w:val="24"/>
          <w:szCs w:val="24"/>
        </w:rPr>
        <w:t xml:space="preserve">LA DEMANDA Y </w:t>
      </w:r>
      <w:r w:rsidR="003C4977" w:rsidRPr="00527367">
        <w:rPr>
          <w:rFonts w:ascii="Tahoma" w:hAnsi="Tahoma" w:cs="Tahoma"/>
          <w:b/>
          <w:bCs/>
          <w:sz w:val="24"/>
          <w:szCs w:val="24"/>
        </w:rPr>
        <w:t>LA</w:t>
      </w:r>
      <w:r w:rsidRPr="00527367">
        <w:rPr>
          <w:rFonts w:ascii="Tahoma" w:hAnsi="Tahoma" w:cs="Tahoma"/>
          <w:b/>
          <w:bCs/>
          <w:sz w:val="24"/>
          <w:szCs w:val="24"/>
        </w:rPr>
        <w:t xml:space="preserve"> CONTESTACIÓN</w:t>
      </w:r>
      <w:r w:rsidR="003C4977" w:rsidRPr="00527367">
        <w:rPr>
          <w:rFonts w:ascii="Tahoma" w:hAnsi="Tahoma" w:cs="Tahoma"/>
          <w:b/>
          <w:bCs/>
          <w:sz w:val="24"/>
          <w:szCs w:val="24"/>
        </w:rPr>
        <w:t xml:space="preserve"> DE LA DEMANDA</w:t>
      </w:r>
    </w:p>
    <w:p w14:paraId="381863BE" w14:textId="77777777" w:rsidR="00863421" w:rsidRPr="00527367" w:rsidRDefault="00863421" w:rsidP="00527367">
      <w:pPr>
        <w:spacing w:line="276" w:lineRule="auto"/>
        <w:jc w:val="both"/>
        <w:rPr>
          <w:rFonts w:ascii="Tahoma" w:hAnsi="Tahoma" w:cs="Tahoma"/>
          <w:sz w:val="24"/>
          <w:szCs w:val="24"/>
          <w:lang w:val="es-CO"/>
        </w:rPr>
      </w:pPr>
    </w:p>
    <w:p w14:paraId="556A115F" w14:textId="02C87AD2" w:rsidR="00325BDB" w:rsidRPr="00527367" w:rsidRDefault="009A6EFB" w:rsidP="00527367">
      <w:pPr>
        <w:spacing w:line="276" w:lineRule="auto"/>
        <w:ind w:firstLine="567"/>
        <w:jc w:val="both"/>
        <w:rPr>
          <w:rFonts w:ascii="Tahoma" w:hAnsi="Tahoma" w:cs="Tahoma"/>
          <w:sz w:val="24"/>
          <w:szCs w:val="24"/>
          <w:lang w:val="es-CO"/>
        </w:rPr>
      </w:pPr>
      <w:r w:rsidRPr="00527367">
        <w:rPr>
          <w:rFonts w:ascii="Tahoma" w:hAnsi="Tahoma" w:cs="Tahoma"/>
          <w:sz w:val="24"/>
          <w:szCs w:val="24"/>
          <w:lang w:val="es-CO"/>
        </w:rPr>
        <w:t>Por medio de apoderado</w:t>
      </w:r>
      <w:r w:rsidR="009A068D" w:rsidRPr="00527367">
        <w:rPr>
          <w:rFonts w:ascii="Tahoma" w:hAnsi="Tahoma" w:cs="Tahoma"/>
          <w:sz w:val="24"/>
          <w:szCs w:val="24"/>
          <w:lang w:val="es-CO"/>
        </w:rPr>
        <w:t xml:space="preserve"> judicial, la parte demandante,</w:t>
      </w:r>
      <w:r w:rsidR="00EC0948" w:rsidRPr="00527367">
        <w:rPr>
          <w:rFonts w:ascii="Tahoma" w:hAnsi="Tahoma" w:cs="Tahoma"/>
          <w:sz w:val="24"/>
          <w:szCs w:val="24"/>
          <w:lang w:val="es-CO"/>
        </w:rPr>
        <w:t xml:space="preserve"> solicita se declare</w:t>
      </w:r>
      <w:r w:rsidR="001A7606" w:rsidRPr="00527367">
        <w:rPr>
          <w:rFonts w:ascii="Tahoma" w:hAnsi="Tahoma" w:cs="Tahoma"/>
          <w:sz w:val="24"/>
          <w:szCs w:val="24"/>
          <w:lang w:val="es-CO"/>
        </w:rPr>
        <w:t xml:space="preserve"> </w:t>
      </w:r>
      <w:r w:rsidR="001A1C18" w:rsidRPr="00527367">
        <w:rPr>
          <w:rFonts w:ascii="Tahoma" w:hAnsi="Tahoma" w:cs="Tahoma"/>
          <w:sz w:val="24"/>
          <w:szCs w:val="24"/>
          <w:lang w:val="es-CO"/>
        </w:rPr>
        <w:t>que</w:t>
      </w:r>
      <w:r w:rsidR="001A1C18" w:rsidRPr="00527367">
        <w:rPr>
          <w:rFonts w:ascii="Tahoma" w:hAnsi="Tahoma" w:cs="Tahoma"/>
          <w:b/>
          <w:bCs/>
          <w:sz w:val="24"/>
          <w:szCs w:val="24"/>
          <w:lang w:val="es-CO"/>
        </w:rPr>
        <w:t xml:space="preserve"> </w:t>
      </w:r>
      <w:r w:rsidR="001A1C18" w:rsidRPr="00527367">
        <w:rPr>
          <w:rFonts w:ascii="Tahoma" w:hAnsi="Tahoma" w:cs="Tahoma"/>
          <w:sz w:val="24"/>
          <w:szCs w:val="24"/>
          <w:lang w:val="es-CO"/>
        </w:rPr>
        <w:t>tiene derecho a la pensión de invalidez</w:t>
      </w:r>
      <w:r w:rsidR="00325BDB" w:rsidRPr="00527367">
        <w:rPr>
          <w:rFonts w:ascii="Tahoma" w:hAnsi="Tahoma" w:cs="Tahoma"/>
          <w:sz w:val="24"/>
          <w:szCs w:val="24"/>
          <w:lang w:val="es-CO"/>
        </w:rPr>
        <w:t xml:space="preserve"> en virtud del principio de la condición más beneficiosa y que como consecuencia se condene a la Administradora Colombiana de Pensiones – </w:t>
      </w:r>
      <w:r w:rsidR="00325BDB" w:rsidRPr="00527367">
        <w:rPr>
          <w:rFonts w:ascii="Tahoma" w:hAnsi="Tahoma" w:cs="Tahoma"/>
          <w:b/>
          <w:bCs/>
          <w:sz w:val="24"/>
          <w:szCs w:val="24"/>
          <w:lang w:val="es-CO"/>
        </w:rPr>
        <w:t>COLPENSIONES</w:t>
      </w:r>
      <w:r w:rsidR="00325BDB" w:rsidRPr="00527367">
        <w:rPr>
          <w:rFonts w:ascii="Tahoma" w:hAnsi="Tahoma" w:cs="Tahoma"/>
          <w:sz w:val="24"/>
          <w:szCs w:val="24"/>
          <w:lang w:val="es-CO"/>
        </w:rPr>
        <w:t xml:space="preserve">, a pagar la pensión de invalidez a favor de la accionante a partir del 24 de octubre de 2017, así como los intereses moratorios aplicados a los valores a los que ascienden las mesadas pensionales dejadas de percibir; en subsidio de lo anterior y en caso de no prosperar la petición anterior, solicita </w:t>
      </w:r>
      <w:r w:rsidR="006D06CE" w:rsidRPr="00527367">
        <w:rPr>
          <w:rFonts w:ascii="Tahoma" w:hAnsi="Tahoma" w:cs="Tahoma"/>
          <w:sz w:val="24"/>
          <w:szCs w:val="24"/>
          <w:lang w:val="es-CO"/>
        </w:rPr>
        <w:t xml:space="preserve">que </w:t>
      </w:r>
      <w:r w:rsidR="00325BDB" w:rsidRPr="00527367">
        <w:rPr>
          <w:rFonts w:ascii="Tahoma" w:hAnsi="Tahoma" w:cs="Tahoma"/>
          <w:sz w:val="24"/>
          <w:szCs w:val="24"/>
          <w:lang w:val="es-CO"/>
        </w:rPr>
        <w:t>se conden</w:t>
      </w:r>
      <w:r w:rsidR="006D06CE" w:rsidRPr="00527367">
        <w:rPr>
          <w:rFonts w:ascii="Tahoma" w:hAnsi="Tahoma" w:cs="Tahoma"/>
          <w:sz w:val="24"/>
          <w:szCs w:val="24"/>
          <w:lang w:val="es-CO"/>
        </w:rPr>
        <w:t>e</w:t>
      </w:r>
      <w:r w:rsidR="00325BDB" w:rsidRPr="00527367">
        <w:rPr>
          <w:rFonts w:ascii="Tahoma" w:hAnsi="Tahoma" w:cs="Tahoma"/>
          <w:sz w:val="24"/>
          <w:szCs w:val="24"/>
          <w:lang w:val="es-CO"/>
        </w:rPr>
        <w:t xml:space="preserve"> a Colpensiones a pagar las mesa</w:t>
      </w:r>
      <w:r w:rsidR="003C4977" w:rsidRPr="00527367">
        <w:rPr>
          <w:rFonts w:ascii="Tahoma" w:hAnsi="Tahoma" w:cs="Tahoma"/>
          <w:sz w:val="24"/>
          <w:szCs w:val="24"/>
          <w:lang w:val="es-CO"/>
        </w:rPr>
        <w:t>da</w:t>
      </w:r>
      <w:r w:rsidR="00325BDB" w:rsidRPr="00527367">
        <w:rPr>
          <w:rFonts w:ascii="Tahoma" w:hAnsi="Tahoma" w:cs="Tahoma"/>
          <w:sz w:val="24"/>
          <w:szCs w:val="24"/>
          <w:lang w:val="es-CO"/>
        </w:rPr>
        <w:t xml:space="preserve">s debidamente indexadas de acuerdo con el IPC y cancelar las costas y agencias en derecho que resulten dentro del presente asunto. </w:t>
      </w:r>
    </w:p>
    <w:p w14:paraId="16EB3CD9" w14:textId="598A1012" w:rsidR="005F6B4B" w:rsidRPr="00527367" w:rsidRDefault="005F6B4B" w:rsidP="00527367">
      <w:pPr>
        <w:spacing w:line="276" w:lineRule="auto"/>
        <w:jc w:val="both"/>
        <w:rPr>
          <w:rFonts w:ascii="Tahoma" w:hAnsi="Tahoma" w:cs="Tahoma"/>
          <w:sz w:val="24"/>
          <w:szCs w:val="24"/>
          <w:lang w:val="es-CO"/>
        </w:rPr>
      </w:pPr>
    </w:p>
    <w:p w14:paraId="1DD90022" w14:textId="48ECDBA4" w:rsidR="006D41B9" w:rsidRPr="00527367" w:rsidRDefault="005F6B4B" w:rsidP="00527367">
      <w:pPr>
        <w:spacing w:line="276" w:lineRule="auto"/>
        <w:ind w:firstLine="567"/>
        <w:jc w:val="both"/>
        <w:rPr>
          <w:rFonts w:ascii="Tahoma" w:hAnsi="Tahoma" w:cs="Tahoma"/>
          <w:sz w:val="24"/>
          <w:szCs w:val="24"/>
          <w:lang w:val="es-CO"/>
        </w:rPr>
      </w:pPr>
      <w:r w:rsidRPr="00527367">
        <w:rPr>
          <w:rFonts w:ascii="Tahoma" w:hAnsi="Tahoma" w:cs="Tahoma"/>
          <w:sz w:val="24"/>
          <w:szCs w:val="24"/>
          <w:lang w:val="es-CO"/>
        </w:rPr>
        <w:t xml:space="preserve">Los hechos en los que funda sus pretensiones son las siguientes: </w:t>
      </w:r>
      <w:r w:rsidR="0064354A" w:rsidRPr="00527367">
        <w:rPr>
          <w:rFonts w:ascii="Tahoma" w:hAnsi="Tahoma" w:cs="Tahoma"/>
          <w:sz w:val="24"/>
          <w:szCs w:val="24"/>
          <w:lang w:val="es-CO"/>
        </w:rPr>
        <w:t xml:space="preserve">la señora Dolly Jaramillo nació el 30 de abril de 1952, por lo que en la actualidad ostenta la edad de 67 años; </w:t>
      </w:r>
      <w:r w:rsidR="006D41B9" w:rsidRPr="00527367">
        <w:rPr>
          <w:rFonts w:ascii="Tahoma" w:hAnsi="Tahoma" w:cs="Tahoma"/>
          <w:sz w:val="24"/>
          <w:szCs w:val="24"/>
          <w:lang w:val="es-CO"/>
        </w:rPr>
        <w:t xml:space="preserve">durante su vida laboral estuvo afiliada a Colpensiones acumulando un total de 340 semanas; para </w:t>
      </w:r>
      <w:r w:rsidR="00B454C8" w:rsidRPr="00527367">
        <w:rPr>
          <w:rFonts w:ascii="Tahoma" w:hAnsi="Tahoma" w:cs="Tahoma"/>
          <w:sz w:val="24"/>
          <w:szCs w:val="24"/>
          <w:lang w:val="es-CO"/>
        </w:rPr>
        <w:t>al</w:t>
      </w:r>
      <w:r w:rsidR="006D41B9" w:rsidRPr="00527367">
        <w:rPr>
          <w:rFonts w:ascii="Tahoma" w:hAnsi="Tahoma" w:cs="Tahoma"/>
          <w:sz w:val="24"/>
          <w:szCs w:val="24"/>
          <w:lang w:val="es-CO"/>
        </w:rPr>
        <w:t xml:space="preserve"> 1 de abril de 1994</w:t>
      </w:r>
      <w:r w:rsidR="00B454C8" w:rsidRPr="00527367">
        <w:rPr>
          <w:rFonts w:ascii="Tahoma" w:hAnsi="Tahoma" w:cs="Tahoma"/>
          <w:sz w:val="24"/>
          <w:szCs w:val="24"/>
          <w:lang w:val="es-CO"/>
        </w:rPr>
        <w:t>,</w:t>
      </w:r>
      <w:r w:rsidR="006D41B9" w:rsidRPr="00527367">
        <w:rPr>
          <w:rFonts w:ascii="Tahoma" w:hAnsi="Tahoma" w:cs="Tahoma"/>
          <w:sz w:val="24"/>
          <w:szCs w:val="24"/>
          <w:lang w:val="es-CO"/>
        </w:rPr>
        <w:t xml:space="preserve"> fecha en que entra en vigencia la Ley 100 de 1993</w:t>
      </w:r>
      <w:r w:rsidR="00B454C8" w:rsidRPr="00527367">
        <w:rPr>
          <w:rFonts w:ascii="Tahoma" w:hAnsi="Tahoma" w:cs="Tahoma"/>
          <w:sz w:val="24"/>
          <w:szCs w:val="24"/>
          <w:lang w:val="es-CO"/>
        </w:rPr>
        <w:t>,</w:t>
      </w:r>
      <w:r w:rsidR="006D41B9" w:rsidRPr="00527367">
        <w:rPr>
          <w:rFonts w:ascii="Tahoma" w:hAnsi="Tahoma" w:cs="Tahoma"/>
          <w:sz w:val="24"/>
          <w:szCs w:val="24"/>
          <w:lang w:val="es-CO"/>
        </w:rPr>
        <w:t xml:space="preserve"> contaba con </w:t>
      </w:r>
      <w:r w:rsidR="00366464" w:rsidRPr="00527367">
        <w:rPr>
          <w:rFonts w:ascii="Tahoma" w:hAnsi="Tahoma" w:cs="Tahoma"/>
          <w:sz w:val="24"/>
          <w:szCs w:val="24"/>
          <w:lang w:val="es-CO"/>
        </w:rPr>
        <w:t>más</w:t>
      </w:r>
      <w:r w:rsidR="006D41B9" w:rsidRPr="00527367">
        <w:rPr>
          <w:rFonts w:ascii="Tahoma" w:hAnsi="Tahoma" w:cs="Tahoma"/>
          <w:sz w:val="24"/>
          <w:szCs w:val="24"/>
          <w:lang w:val="es-CO"/>
        </w:rPr>
        <w:t xml:space="preserve"> de 300 semanas de cotización; agrega que mediante dictamen número 3310696 con fecha del 07 de mayo de 2019 determinó la demandada, que la actora presentaba una </w:t>
      </w:r>
      <w:r w:rsidR="00F35ACD" w:rsidRPr="00527367">
        <w:rPr>
          <w:rFonts w:ascii="Tahoma" w:hAnsi="Tahoma" w:cs="Tahoma"/>
          <w:sz w:val="24"/>
          <w:szCs w:val="24"/>
          <w:lang w:val="es-CO"/>
        </w:rPr>
        <w:t>pérdida</w:t>
      </w:r>
      <w:r w:rsidR="006D41B9" w:rsidRPr="00527367">
        <w:rPr>
          <w:rFonts w:ascii="Tahoma" w:hAnsi="Tahoma" w:cs="Tahoma"/>
          <w:sz w:val="24"/>
          <w:szCs w:val="24"/>
          <w:lang w:val="es-CO"/>
        </w:rPr>
        <w:t xml:space="preserve"> de capacidad laboral del 56.87% con fecha de estructuración del 14 de enero de 2019, situación por la que para </w:t>
      </w:r>
      <w:r w:rsidR="003C4977" w:rsidRPr="00527367">
        <w:rPr>
          <w:rFonts w:ascii="Tahoma" w:hAnsi="Tahoma" w:cs="Tahoma"/>
          <w:sz w:val="24"/>
          <w:szCs w:val="24"/>
          <w:lang w:val="es-CO"/>
        </w:rPr>
        <w:t>e</w:t>
      </w:r>
      <w:r w:rsidR="00366464" w:rsidRPr="00527367">
        <w:rPr>
          <w:rFonts w:ascii="Tahoma" w:hAnsi="Tahoma" w:cs="Tahoma"/>
          <w:sz w:val="24"/>
          <w:szCs w:val="24"/>
          <w:lang w:val="es-CO"/>
        </w:rPr>
        <w:t>l</w:t>
      </w:r>
      <w:r w:rsidR="006D41B9" w:rsidRPr="00527367">
        <w:rPr>
          <w:rFonts w:ascii="Tahoma" w:hAnsi="Tahoma" w:cs="Tahoma"/>
          <w:sz w:val="24"/>
          <w:szCs w:val="24"/>
          <w:lang w:val="es-CO"/>
        </w:rPr>
        <w:t xml:space="preserve"> 30 de mayo de ese mismo año</w:t>
      </w:r>
      <w:r w:rsidR="00366464" w:rsidRPr="00527367">
        <w:rPr>
          <w:rFonts w:ascii="Tahoma" w:hAnsi="Tahoma" w:cs="Tahoma"/>
          <w:sz w:val="24"/>
          <w:szCs w:val="24"/>
          <w:lang w:val="es-CO"/>
        </w:rPr>
        <w:t>,</w:t>
      </w:r>
      <w:r w:rsidR="006D41B9" w:rsidRPr="00527367">
        <w:rPr>
          <w:rFonts w:ascii="Tahoma" w:hAnsi="Tahoma" w:cs="Tahoma"/>
          <w:sz w:val="24"/>
          <w:szCs w:val="24"/>
          <w:lang w:val="es-CO"/>
        </w:rPr>
        <w:t xml:space="preserve"> se presentó recurso de reposición y en subsidio de apelación en contra de dicho dictamen por no estar de acuerdo en la fecha de estructuración. </w:t>
      </w:r>
    </w:p>
    <w:p w14:paraId="76C0CB36" w14:textId="5D40C92E" w:rsidR="006D41B9" w:rsidRPr="00527367" w:rsidRDefault="006D41B9" w:rsidP="00527367">
      <w:pPr>
        <w:spacing w:line="276" w:lineRule="auto"/>
        <w:ind w:firstLine="567"/>
        <w:jc w:val="both"/>
        <w:rPr>
          <w:rFonts w:ascii="Tahoma" w:hAnsi="Tahoma" w:cs="Tahoma"/>
          <w:sz w:val="24"/>
          <w:szCs w:val="24"/>
          <w:lang w:val="es-CO"/>
        </w:rPr>
      </w:pPr>
    </w:p>
    <w:p w14:paraId="1972DF93" w14:textId="06A78E3B" w:rsidR="006D41B9" w:rsidRPr="00527367" w:rsidRDefault="006D41B9" w:rsidP="00527367">
      <w:pPr>
        <w:spacing w:line="276" w:lineRule="auto"/>
        <w:ind w:firstLine="567"/>
        <w:jc w:val="both"/>
        <w:rPr>
          <w:rFonts w:ascii="Tahoma" w:hAnsi="Tahoma" w:cs="Tahoma"/>
          <w:sz w:val="24"/>
          <w:szCs w:val="24"/>
          <w:lang w:val="es-CO"/>
        </w:rPr>
      </w:pPr>
      <w:r w:rsidRPr="00527367">
        <w:rPr>
          <w:rFonts w:ascii="Tahoma" w:hAnsi="Tahoma" w:cs="Tahoma"/>
          <w:sz w:val="24"/>
          <w:szCs w:val="24"/>
          <w:lang w:val="es-CO"/>
        </w:rPr>
        <w:t xml:space="preserve">Como consecuencia del hecho inmediatamente anterior, la Junta de calificación de invalidez del Risaralda mediante dictamen de pérdida de la capacidad No. 25016056-981 con fecha del 28 de agosto de 2019 confirmó el porcentaje de </w:t>
      </w:r>
      <w:r w:rsidR="00366464" w:rsidRPr="00527367">
        <w:rPr>
          <w:rFonts w:ascii="Tahoma" w:hAnsi="Tahoma" w:cs="Tahoma"/>
          <w:sz w:val="24"/>
          <w:szCs w:val="24"/>
          <w:lang w:val="es-CO"/>
        </w:rPr>
        <w:t>pérdida</w:t>
      </w:r>
      <w:r w:rsidRPr="00527367">
        <w:rPr>
          <w:rFonts w:ascii="Tahoma" w:hAnsi="Tahoma" w:cs="Tahoma"/>
          <w:sz w:val="24"/>
          <w:szCs w:val="24"/>
          <w:lang w:val="es-CO"/>
        </w:rPr>
        <w:t xml:space="preserve"> de capacidad laboral 56.87%</w:t>
      </w:r>
      <w:r w:rsidR="00366464" w:rsidRPr="00527367">
        <w:rPr>
          <w:rFonts w:ascii="Tahoma" w:hAnsi="Tahoma" w:cs="Tahoma"/>
          <w:sz w:val="24"/>
          <w:szCs w:val="24"/>
          <w:lang w:val="es-CO"/>
        </w:rPr>
        <w:t xml:space="preserve"> </w:t>
      </w:r>
      <w:r w:rsidRPr="00527367">
        <w:rPr>
          <w:rFonts w:ascii="Tahoma" w:hAnsi="Tahoma" w:cs="Tahoma"/>
          <w:sz w:val="24"/>
          <w:szCs w:val="24"/>
          <w:lang w:val="es-CO"/>
        </w:rPr>
        <w:t xml:space="preserve">y determinó que el 24 de octubre de 2017 era su fecha de estructuración.  </w:t>
      </w:r>
    </w:p>
    <w:p w14:paraId="7BCDA407" w14:textId="1B1A99B4" w:rsidR="00C555DC" w:rsidRPr="00527367" w:rsidRDefault="00C555DC" w:rsidP="00527367">
      <w:pPr>
        <w:spacing w:line="276" w:lineRule="auto"/>
        <w:ind w:firstLine="567"/>
        <w:jc w:val="both"/>
        <w:rPr>
          <w:rFonts w:ascii="Tahoma" w:hAnsi="Tahoma" w:cs="Tahoma"/>
          <w:sz w:val="24"/>
          <w:szCs w:val="24"/>
          <w:lang w:val="es-CO"/>
        </w:rPr>
      </w:pPr>
    </w:p>
    <w:p w14:paraId="66875D4A" w14:textId="06568382" w:rsidR="00C555DC" w:rsidRPr="00527367" w:rsidRDefault="00C555DC" w:rsidP="00527367">
      <w:pPr>
        <w:spacing w:line="276" w:lineRule="auto"/>
        <w:ind w:firstLine="567"/>
        <w:jc w:val="both"/>
        <w:rPr>
          <w:rFonts w:ascii="Tahoma" w:hAnsi="Tahoma" w:cs="Tahoma"/>
          <w:sz w:val="24"/>
          <w:szCs w:val="24"/>
          <w:lang w:val="es-CO"/>
        </w:rPr>
      </w:pPr>
      <w:r w:rsidRPr="00527367">
        <w:rPr>
          <w:rFonts w:ascii="Tahoma" w:hAnsi="Tahoma" w:cs="Tahoma"/>
          <w:sz w:val="24"/>
          <w:szCs w:val="24"/>
          <w:lang w:val="es-CO"/>
        </w:rPr>
        <w:t>Acto seguido en su alzada indica que el 31 de octubre de 2019, la demandante presentó solicitud tendiente a obtener el reconocimiento y pago de la pensión de invalidez</w:t>
      </w:r>
      <w:r w:rsidR="003E33EC" w:rsidRPr="00527367">
        <w:rPr>
          <w:rFonts w:ascii="Tahoma" w:hAnsi="Tahoma" w:cs="Tahoma"/>
          <w:sz w:val="24"/>
          <w:szCs w:val="24"/>
          <w:lang w:val="es-CO"/>
        </w:rPr>
        <w:t>,</w:t>
      </w:r>
      <w:r w:rsidRPr="00527367">
        <w:rPr>
          <w:rFonts w:ascii="Tahoma" w:hAnsi="Tahoma" w:cs="Tahoma"/>
          <w:sz w:val="24"/>
          <w:szCs w:val="24"/>
          <w:lang w:val="es-CO"/>
        </w:rPr>
        <w:t xml:space="preserve"> empero Colpensiones mediante resolución SUB 1101 del 3 de enero de 2020 negó el reconocimiento y pago de la misma bajo el argumento </w:t>
      </w:r>
      <w:r w:rsidR="003C4977" w:rsidRPr="00527367">
        <w:rPr>
          <w:rFonts w:ascii="Tahoma" w:hAnsi="Tahoma" w:cs="Tahoma"/>
          <w:sz w:val="24"/>
          <w:szCs w:val="24"/>
          <w:lang w:val="es-CO"/>
        </w:rPr>
        <w:t xml:space="preserve">de </w:t>
      </w:r>
      <w:r w:rsidRPr="00527367">
        <w:rPr>
          <w:rFonts w:ascii="Tahoma" w:hAnsi="Tahoma" w:cs="Tahoma"/>
          <w:sz w:val="24"/>
          <w:szCs w:val="24"/>
          <w:lang w:val="es-CO"/>
        </w:rPr>
        <w:t>que la invalidez no se generó en vigencia de la Ley 100 de 1993</w:t>
      </w:r>
      <w:r w:rsidR="00CC0BAD" w:rsidRPr="00527367">
        <w:rPr>
          <w:rFonts w:ascii="Tahoma" w:hAnsi="Tahoma" w:cs="Tahoma"/>
          <w:sz w:val="24"/>
          <w:szCs w:val="24"/>
          <w:lang w:val="es-CO"/>
        </w:rPr>
        <w:t>, situación que motiv</w:t>
      </w:r>
      <w:r w:rsidR="003C4977" w:rsidRPr="00527367">
        <w:rPr>
          <w:rFonts w:ascii="Tahoma" w:hAnsi="Tahoma" w:cs="Tahoma"/>
          <w:sz w:val="24"/>
          <w:szCs w:val="24"/>
          <w:lang w:val="es-CO"/>
        </w:rPr>
        <w:t>ó</w:t>
      </w:r>
      <w:r w:rsidR="00CC0BAD" w:rsidRPr="00527367">
        <w:rPr>
          <w:rFonts w:ascii="Tahoma" w:hAnsi="Tahoma" w:cs="Tahoma"/>
          <w:sz w:val="24"/>
          <w:szCs w:val="24"/>
          <w:lang w:val="es-CO"/>
        </w:rPr>
        <w:t xml:space="preserve"> a la señora Dolly Jaramillo a presentar recurso de reposición y en subsidio apelación en contra de dicha resolución el 15 de enero de 2020, sin embargo</w:t>
      </w:r>
      <w:r w:rsidR="00366464" w:rsidRPr="00527367">
        <w:rPr>
          <w:rFonts w:ascii="Tahoma" w:hAnsi="Tahoma" w:cs="Tahoma"/>
          <w:sz w:val="24"/>
          <w:szCs w:val="24"/>
          <w:lang w:val="es-CO"/>
        </w:rPr>
        <w:t>,</w:t>
      </w:r>
      <w:r w:rsidR="00CC0BAD" w:rsidRPr="00527367">
        <w:rPr>
          <w:rFonts w:ascii="Tahoma" w:hAnsi="Tahoma" w:cs="Tahoma"/>
          <w:sz w:val="24"/>
          <w:szCs w:val="24"/>
          <w:lang w:val="es-CO"/>
        </w:rPr>
        <w:t xml:space="preserve"> Colpensiones confirm</w:t>
      </w:r>
      <w:r w:rsidR="003C4977" w:rsidRPr="00527367">
        <w:rPr>
          <w:rFonts w:ascii="Tahoma" w:hAnsi="Tahoma" w:cs="Tahoma"/>
          <w:sz w:val="24"/>
          <w:szCs w:val="24"/>
          <w:lang w:val="es-CO"/>
        </w:rPr>
        <w:t>ó</w:t>
      </w:r>
      <w:r w:rsidR="00CC0BAD" w:rsidRPr="00527367">
        <w:rPr>
          <w:rFonts w:ascii="Tahoma" w:hAnsi="Tahoma" w:cs="Tahoma"/>
          <w:sz w:val="24"/>
          <w:szCs w:val="24"/>
          <w:lang w:val="es-CO"/>
        </w:rPr>
        <w:t xml:space="preserve"> en cada una de las partes mediante resolución SUB 20448 con fecha del 24 de enero de 2020. </w:t>
      </w:r>
    </w:p>
    <w:p w14:paraId="34E6B456" w14:textId="77777777" w:rsidR="00DB714D" w:rsidRPr="00527367" w:rsidRDefault="00DB714D" w:rsidP="00527367">
      <w:pPr>
        <w:spacing w:line="276" w:lineRule="auto"/>
        <w:jc w:val="both"/>
        <w:rPr>
          <w:rFonts w:ascii="Tahoma" w:hAnsi="Tahoma" w:cs="Tahoma"/>
          <w:b/>
          <w:sz w:val="24"/>
          <w:szCs w:val="24"/>
          <w:lang w:val="es-CO"/>
        </w:rPr>
      </w:pPr>
    </w:p>
    <w:p w14:paraId="3713C00C" w14:textId="64813369" w:rsidR="00BB6EC0" w:rsidRPr="00527367" w:rsidRDefault="001A1784" w:rsidP="00527367">
      <w:pPr>
        <w:spacing w:line="276" w:lineRule="auto"/>
        <w:ind w:firstLine="567"/>
        <w:jc w:val="both"/>
        <w:rPr>
          <w:rFonts w:ascii="Tahoma" w:hAnsi="Tahoma" w:cs="Tahoma"/>
          <w:bCs/>
          <w:sz w:val="24"/>
          <w:szCs w:val="24"/>
          <w:lang w:val="es-CO"/>
        </w:rPr>
      </w:pPr>
      <w:r w:rsidRPr="00527367">
        <w:rPr>
          <w:rFonts w:ascii="Tahoma" w:hAnsi="Tahoma" w:cs="Tahoma"/>
          <w:bCs/>
          <w:sz w:val="24"/>
          <w:szCs w:val="24"/>
          <w:lang w:val="es-CO"/>
        </w:rPr>
        <w:t>Por medio de representación legal,</w:t>
      </w:r>
      <w:r w:rsidR="00DB714D" w:rsidRPr="00527367">
        <w:rPr>
          <w:rFonts w:ascii="Tahoma" w:hAnsi="Tahoma" w:cs="Tahoma"/>
          <w:bCs/>
          <w:sz w:val="24"/>
          <w:szCs w:val="24"/>
          <w:lang w:val="es-CO"/>
        </w:rPr>
        <w:t xml:space="preserve"> Colpensiones en su contestación</w:t>
      </w:r>
      <w:r w:rsidR="0040002D" w:rsidRPr="00527367">
        <w:rPr>
          <w:rFonts w:ascii="Tahoma" w:hAnsi="Tahoma" w:cs="Tahoma"/>
          <w:bCs/>
          <w:sz w:val="24"/>
          <w:szCs w:val="24"/>
          <w:lang w:val="es-CO"/>
        </w:rPr>
        <w:t xml:space="preserve"> a pesar de aceptar todos y cada uno de los hechos mencionados en el escrito de la demanda, se opone a todas las pretensiones de la misma arguyendo que no hay lugar a condena alguna</w:t>
      </w:r>
      <w:r w:rsidR="00366464" w:rsidRPr="00527367">
        <w:rPr>
          <w:rFonts w:ascii="Tahoma" w:hAnsi="Tahoma" w:cs="Tahoma"/>
          <w:bCs/>
          <w:sz w:val="24"/>
          <w:szCs w:val="24"/>
          <w:lang w:val="es-CO"/>
        </w:rPr>
        <w:t>,</w:t>
      </w:r>
      <w:r w:rsidR="0040002D" w:rsidRPr="00527367">
        <w:rPr>
          <w:rFonts w:ascii="Tahoma" w:hAnsi="Tahoma" w:cs="Tahoma"/>
          <w:bCs/>
          <w:sz w:val="24"/>
          <w:szCs w:val="24"/>
          <w:lang w:val="es-CO"/>
        </w:rPr>
        <w:t xml:space="preserve"> puesto que la demandante no cumplió con los requisitos establecidos en el artículo 39 de la Ley 100 de 1993</w:t>
      </w:r>
      <w:r w:rsidR="00BB6EC0" w:rsidRPr="00527367">
        <w:rPr>
          <w:rFonts w:ascii="Tahoma" w:hAnsi="Tahoma" w:cs="Tahoma"/>
          <w:sz w:val="24"/>
          <w:szCs w:val="24"/>
        </w:rPr>
        <w:t xml:space="preserve"> modificado por la Ley 860 de 2003</w:t>
      </w:r>
      <w:r w:rsidR="00BB6EC0" w:rsidRPr="00527367">
        <w:rPr>
          <w:rFonts w:ascii="Tahoma" w:hAnsi="Tahoma" w:cs="Tahoma"/>
          <w:bCs/>
          <w:sz w:val="24"/>
          <w:szCs w:val="24"/>
          <w:lang w:val="es-CO"/>
        </w:rPr>
        <w:t xml:space="preserve">; anudado a lo anterior, señala que </w:t>
      </w:r>
      <w:r w:rsidR="00BB6EC0" w:rsidRPr="00527367">
        <w:rPr>
          <w:rFonts w:ascii="Tahoma" w:hAnsi="Tahoma" w:cs="Tahoma"/>
          <w:sz w:val="24"/>
          <w:szCs w:val="24"/>
        </w:rPr>
        <w:t xml:space="preserve">frente al principio de la condición más beneficiosa, es procedente indicar que la invalidez no se generó en vigencia de la Ley 100 de 1993, motivo por el cual no hay lugar a reconocer la prestación bajo esta norma. Adicionalmente, </w:t>
      </w:r>
      <w:r w:rsidR="00BB6EC0" w:rsidRPr="00527367">
        <w:rPr>
          <w:rFonts w:ascii="Tahoma" w:hAnsi="Tahoma" w:cs="Tahoma"/>
          <w:bCs/>
          <w:sz w:val="24"/>
          <w:szCs w:val="24"/>
          <w:lang w:val="es-CO"/>
        </w:rPr>
        <w:t xml:space="preserve">respecto a la condena de intereses moratorios, dijo que no hay lugar </w:t>
      </w:r>
      <w:r w:rsidR="003F0E14" w:rsidRPr="00527367">
        <w:rPr>
          <w:rFonts w:ascii="Tahoma" w:hAnsi="Tahoma" w:cs="Tahoma"/>
          <w:bCs/>
          <w:sz w:val="24"/>
          <w:szCs w:val="24"/>
          <w:lang w:val="es-CO"/>
        </w:rPr>
        <w:t>a aquella</w:t>
      </w:r>
      <w:r w:rsidR="00BB6EC0" w:rsidRPr="00527367">
        <w:rPr>
          <w:rFonts w:ascii="Tahoma" w:hAnsi="Tahoma" w:cs="Tahoma"/>
          <w:bCs/>
          <w:sz w:val="24"/>
          <w:szCs w:val="24"/>
          <w:lang w:val="es-CO"/>
        </w:rPr>
        <w:t>, en tanto que, actuó conforme a derecho.</w:t>
      </w:r>
    </w:p>
    <w:p w14:paraId="61A1CF09" w14:textId="77777777" w:rsidR="00366464" w:rsidRPr="00527367" w:rsidRDefault="00366464" w:rsidP="00527367">
      <w:pPr>
        <w:spacing w:line="276" w:lineRule="auto"/>
        <w:jc w:val="both"/>
        <w:rPr>
          <w:rFonts w:ascii="Tahoma" w:hAnsi="Tahoma" w:cs="Tahoma"/>
          <w:bCs/>
          <w:sz w:val="24"/>
          <w:szCs w:val="24"/>
          <w:lang w:val="es-CO"/>
        </w:rPr>
      </w:pPr>
    </w:p>
    <w:p w14:paraId="17906DE7" w14:textId="15D6DB19" w:rsidR="00366464" w:rsidRPr="00527367" w:rsidRDefault="00366464" w:rsidP="00527367">
      <w:pPr>
        <w:spacing w:line="276" w:lineRule="auto"/>
        <w:ind w:firstLine="567"/>
        <w:jc w:val="both"/>
        <w:rPr>
          <w:rFonts w:ascii="Tahoma" w:hAnsi="Tahoma" w:cs="Tahoma"/>
          <w:bCs/>
          <w:sz w:val="24"/>
          <w:szCs w:val="24"/>
          <w:lang w:val="es-CO"/>
        </w:rPr>
      </w:pPr>
      <w:r w:rsidRPr="00527367">
        <w:rPr>
          <w:rFonts w:ascii="Tahoma" w:hAnsi="Tahoma" w:cs="Tahoma"/>
          <w:sz w:val="24"/>
          <w:szCs w:val="24"/>
          <w:lang w:val="es-CO"/>
        </w:rPr>
        <w:t>Formuló las excepciones de mérito que denominó</w:t>
      </w:r>
      <w:r w:rsidRPr="00527367">
        <w:rPr>
          <w:rFonts w:ascii="Tahoma" w:hAnsi="Tahoma" w:cs="Tahoma"/>
          <w:bCs/>
          <w:sz w:val="24"/>
          <w:szCs w:val="24"/>
          <w:lang w:val="es-CO"/>
        </w:rPr>
        <w:t xml:space="preserve"> “Inexistencia de la obligación demandada”; “Improcedencia de los intereses de mora en aplicación de la condición más beneficiosa”; “Prescripción” y “Buena fe”.</w:t>
      </w:r>
    </w:p>
    <w:p w14:paraId="71AEB2B7" w14:textId="48070A8F" w:rsidR="00CA6E6B" w:rsidRDefault="00CA6E6B" w:rsidP="00527367">
      <w:pPr>
        <w:spacing w:line="276" w:lineRule="auto"/>
        <w:rPr>
          <w:rFonts w:ascii="Tahoma" w:hAnsi="Tahoma" w:cs="Tahoma"/>
          <w:b/>
          <w:sz w:val="24"/>
          <w:szCs w:val="24"/>
          <w:lang w:val="es-CO"/>
        </w:rPr>
      </w:pPr>
    </w:p>
    <w:p w14:paraId="512CE837" w14:textId="77777777" w:rsidR="00F474DD" w:rsidRPr="00527367" w:rsidRDefault="00F474DD" w:rsidP="00527367">
      <w:pPr>
        <w:spacing w:line="276" w:lineRule="auto"/>
        <w:rPr>
          <w:rFonts w:ascii="Tahoma" w:hAnsi="Tahoma" w:cs="Tahoma"/>
          <w:b/>
          <w:sz w:val="24"/>
          <w:szCs w:val="24"/>
          <w:lang w:val="es-CO"/>
        </w:rPr>
      </w:pPr>
    </w:p>
    <w:p w14:paraId="0656A34E" w14:textId="3FFFC6D4" w:rsidR="00A671A2" w:rsidRPr="00F474DD" w:rsidRDefault="0010130A" w:rsidP="00F474DD">
      <w:pPr>
        <w:pStyle w:val="Prrafodelista"/>
        <w:widowControl w:val="0"/>
        <w:numPr>
          <w:ilvl w:val="0"/>
          <w:numId w:val="12"/>
        </w:numPr>
        <w:autoSpaceDE w:val="0"/>
        <w:autoSpaceDN w:val="0"/>
        <w:adjustRightInd w:val="0"/>
        <w:spacing w:line="276" w:lineRule="auto"/>
        <w:ind w:left="1066"/>
        <w:jc w:val="center"/>
        <w:rPr>
          <w:rFonts w:ascii="Tahoma" w:hAnsi="Tahoma" w:cs="Tahoma"/>
          <w:b/>
          <w:bCs/>
          <w:sz w:val="24"/>
          <w:szCs w:val="24"/>
        </w:rPr>
      </w:pPr>
      <w:r w:rsidRPr="00F474DD">
        <w:rPr>
          <w:rFonts w:ascii="Tahoma" w:hAnsi="Tahoma" w:cs="Tahoma"/>
          <w:b/>
          <w:bCs/>
          <w:sz w:val="24"/>
          <w:szCs w:val="24"/>
        </w:rPr>
        <w:t>SENTENCIA DE PRIMERA INSTANCIA</w:t>
      </w:r>
      <w:r w:rsidR="004A28DF" w:rsidRPr="00F474DD">
        <w:rPr>
          <w:rFonts w:ascii="Tahoma" w:hAnsi="Tahoma" w:cs="Tahoma"/>
          <w:b/>
          <w:bCs/>
          <w:sz w:val="24"/>
          <w:szCs w:val="24"/>
        </w:rPr>
        <w:t xml:space="preserve"> </w:t>
      </w:r>
    </w:p>
    <w:p w14:paraId="527B7A1F" w14:textId="77777777" w:rsidR="003C4977" w:rsidRPr="00527367" w:rsidRDefault="003C4977" w:rsidP="00527367">
      <w:pPr>
        <w:pStyle w:val="Prrafodelista"/>
        <w:spacing w:line="276" w:lineRule="auto"/>
        <w:rPr>
          <w:rFonts w:ascii="Tahoma" w:hAnsi="Tahoma" w:cs="Tahoma"/>
          <w:b/>
          <w:sz w:val="24"/>
          <w:szCs w:val="24"/>
          <w:lang w:val="es-CO"/>
        </w:rPr>
      </w:pPr>
    </w:p>
    <w:p w14:paraId="715C1DE5" w14:textId="6608DF8F" w:rsidR="00CB1290" w:rsidRPr="00527367" w:rsidRDefault="00CB1290" w:rsidP="00527367">
      <w:pPr>
        <w:spacing w:line="276" w:lineRule="auto"/>
        <w:ind w:firstLine="708"/>
        <w:jc w:val="both"/>
        <w:rPr>
          <w:rFonts w:ascii="Tahoma" w:hAnsi="Tahoma" w:cs="Tahoma"/>
          <w:sz w:val="24"/>
          <w:szCs w:val="24"/>
          <w:lang w:val="es-CO"/>
        </w:rPr>
      </w:pPr>
      <w:r w:rsidRPr="00527367">
        <w:rPr>
          <w:rFonts w:ascii="Tahoma" w:hAnsi="Tahoma" w:cs="Tahoma"/>
          <w:sz w:val="24"/>
          <w:szCs w:val="24"/>
          <w:lang w:val="es-CO"/>
        </w:rPr>
        <w:t xml:space="preserve">En sentencia de 28 de septiembre de 2021, la funcionaria de primer grado </w:t>
      </w:r>
      <w:r w:rsidR="00C70A24" w:rsidRPr="00527367">
        <w:rPr>
          <w:rFonts w:ascii="Tahoma" w:hAnsi="Tahoma" w:cs="Tahoma"/>
          <w:sz w:val="24"/>
          <w:szCs w:val="24"/>
          <w:lang w:val="es-CO"/>
        </w:rPr>
        <w:t xml:space="preserve">decretó </w:t>
      </w:r>
      <w:r w:rsidR="00C70A24" w:rsidRPr="00527367">
        <w:rPr>
          <w:rFonts w:ascii="Tahoma" w:hAnsi="Tahoma" w:cs="Tahoma"/>
          <w:sz w:val="24"/>
          <w:szCs w:val="24"/>
        </w:rPr>
        <w:t>probada  la  excepción  de  mérito  que  fue  planteada Colpensiones, y  que  denominó inexistencia de la obligación demandada; anudado a lo anterior,</w:t>
      </w:r>
      <w:r w:rsidRPr="00527367">
        <w:rPr>
          <w:rFonts w:ascii="Tahoma" w:hAnsi="Tahoma" w:cs="Tahoma"/>
          <w:sz w:val="24"/>
          <w:szCs w:val="24"/>
          <w:lang w:val="es-CO"/>
        </w:rPr>
        <w:t>determinó que</w:t>
      </w:r>
      <w:r w:rsidRPr="00527367">
        <w:rPr>
          <w:rFonts w:ascii="Tahoma" w:hAnsi="Tahoma" w:cs="Tahoma"/>
          <w:sz w:val="24"/>
          <w:szCs w:val="24"/>
        </w:rPr>
        <w:t xml:space="preserve"> </w:t>
      </w:r>
      <w:r w:rsidR="003C4977" w:rsidRPr="00527367">
        <w:rPr>
          <w:rFonts w:ascii="Tahoma" w:hAnsi="Tahoma" w:cs="Tahoma"/>
          <w:sz w:val="24"/>
          <w:szCs w:val="24"/>
        </w:rPr>
        <w:t>l</w:t>
      </w:r>
      <w:r w:rsidRPr="00527367">
        <w:rPr>
          <w:rFonts w:ascii="Tahoma" w:hAnsi="Tahoma" w:cs="Tahoma"/>
          <w:sz w:val="24"/>
          <w:szCs w:val="24"/>
        </w:rPr>
        <w:t>a señora Dolly Jaramillo De Mejía no cumple con las exigencias contempladas en el artículo</w:t>
      </w:r>
      <w:r w:rsidR="00C70A24" w:rsidRPr="00527367">
        <w:rPr>
          <w:rFonts w:ascii="Tahoma" w:hAnsi="Tahoma" w:cs="Tahoma"/>
          <w:sz w:val="24"/>
          <w:szCs w:val="24"/>
        </w:rPr>
        <w:t xml:space="preserve"> </w:t>
      </w:r>
      <w:r w:rsidRPr="00527367">
        <w:rPr>
          <w:rFonts w:ascii="Tahoma" w:hAnsi="Tahoma" w:cs="Tahoma"/>
          <w:sz w:val="24"/>
          <w:szCs w:val="24"/>
        </w:rPr>
        <w:t>1 de la ley 860 del año 2003 que modificó el  artículo  39  de  la  ley  100  de  1993,  en  cuanto  no  tiene  50  semanas  cotizadas dentro  del  período  comprendido  entre  el  24  de  octubre  del  año  2014  y  el  24  de octubre del año 2017.</w:t>
      </w:r>
    </w:p>
    <w:p w14:paraId="58814644" w14:textId="035138E5" w:rsidR="00C70A24" w:rsidRPr="00527367" w:rsidRDefault="00C70A24" w:rsidP="00527367">
      <w:pPr>
        <w:spacing w:line="276" w:lineRule="auto"/>
        <w:ind w:firstLine="708"/>
        <w:jc w:val="both"/>
        <w:rPr>
          <w:rFonts w:ascii="Tahoma" w:hAnsi="Tahoma" w:cs="Tahoma"/>
          <w:sz w:val="24"/>
          <w:szCs w:val="24"/>
        </w:rPr>
      </w:pPr>
    </w:p>
    <w:p w14:paraId="5E004896" w14:textId="20CB6349" w:rsidR="00C70A24" w:rsidRPr="00527367" w:rsidRDefault="00C70A24" w:rsidP="00527367">
      <w:pPr>
        <w:spacing w:line="276" w:lineRule="auto"/>
        <w:ind w:firstLine="708"/>
        <w:jc w:val="both"/>
        <w:rPr>
          <w:rFonts w:ascii="Tahoma" w:hAnsi="Tahoma" w:cs="Tahoma"/>
          <w:sz w:val="24"/>
          <w:szCs w:val="24"/>
        </w:rPr>
      </w:pPr>
      <w:r w:rsidRPr="00527367">
        <w:rPr>
          <w:rFonts w:ascii="Tahoma" w:hAnsi="Tahoma" w:cs="Tahoma"/>
          <w:sz w:val="24"/>
          <w:szCs w:val="24"/>
        </w:rPr>
        <w:t>De la misma manera, declaró que la actora</w:t>
      </w:r>
      <w:r w:rsidR="00BD2C2D">
        <w:rPr>
          <w:rFonts w:ascii="Tahoma" w:hAnsi="Tahoma" w:cs="Tahoma"/>
          <w:sz w:val="24"/>
          <w:szCs w:val="24"/>
        </w:rPr>
        <w:t xml:space="preserve"> </w:t>
      </w:r>
      <w:r w:rsidRPr="00527367">
        <w:rPr>
          <w:rFonts w:ascii="Tahoma" w:hAnsi="Tahoma" w:cs="Tahoma"/>
          <w:sz w:val="24"/>
          <w:szCs w:val="24"/>
        </w:rPr>
        <w:t>tampoco</w:t>
      </w:r>
      <w:r w:rsidR="00BD2C2D">
        <w:rPr>
          <w:rFonts w:ascii="Tahoma" w:hAnsi="Tahoma" w:cs="Tahoma"/>
          <w:sz w:val="24"/>
          <w:szCs w:val="24"/>
        </w:rPr>
        <w:t xml:space="preserve"> </w:t>
      </w:r>
      <w:r w:rsidRPr="00527367">
        <w:rPr>
          <w:rFonts w:ascii="Tahoma" w:hAnsi="Tahoma" w:cs="Tahoma"/>
          <w:sz w:val="24"/>
          <w:szCs w:val="24"/>
        </w:rPr>
        <w:t xml:space="preserve">es beneficiaria del principio de la condición más beneficiosa en virtud </w:t>
      </w:r>
      <w:r w:rsidR="003C4977" w:rsidRPr="00527367">
        <w:rPr>
          <w:rFonts w:ascii="Tahoma" w:hAnsi="Tahoma" w:cs="Tahoma"/>
          <w:sz w:val="24"/>
          <w:szCs w:val="24"/>
        </w:rPr>
        <w:t xml:space="preserve">a </w:t>
      </w:r>
      <w:r w:rsidRPr="00527367">
        <w:rPr>
          <w:rFonts w:ascii="Tahoma" w:hAnsi="Tahoma" w:cs="Tahoma"/>
          <w:sz w:val="24"/>
          <w:szCs w:val="24"/>
        </w:rPr>
        <w:t>que no tenía las semanas cotizadas exigidas por el artículo 39 de la ley 100 de 1993 en el periodo comprendido entre el día 26 de diciembre del año 2003 y el 26 de diciembre del año 2006.</w:t>
      </w:r>
    </w:p>
    <w:p w14:paraId="069A5921" w14:textId="737097F1" w:rsidR="00C70A24" w:rsidRPr="00527367" w:rsidRDefault="00C70A24" w:rsidP="00527367">
      <w:pPr>
        <w:spacing w:line="276" w:lineRule="auto"/>
        <w:ind w:firstLine="708"/>
        <w:jc w:val="both"/>
        <w:rPr>
          <w:rFonts w:ascii="Tahoma" w:hAnsi="Tahoma" w:cs="Tahoma"/>
          <w:sz w:val="24"/>
          <w:szCs w:val="24"/>
          <w:lang w:val="es-CO"/>
        </w:rPr>
      </w:pPr>
    </w:p>
    <w:p w14:paraId="53DC3EC1" w14:textId="062BBF92" w:rsidR="00D6278D" w:rsidRPr="00527367" w:rsidRDefault="00C70A24" w:rsidP="00527367">
      <w:pPr>
        <w:spacing w:line="276" w:lineRule="auto"/>
        <w:ind w:firstLine="708"/>
        <w:jc w:val="both"/>
        <w:rPr>
          <w:rFonts w:ascii="Tahoma" w:hAnsi="Tahoma" w:cs="Tahoma"/>
          <w:sz w:val="24"/>
          <w:szCs w:val="24"/>
          <w:lang w:val="es-CO"/>
        </w:rPr>
      </w:pPr>
      <w:r w:rsidRPr="00527367">
        <w:rPr>
          <w:rFonts w:ascii="Tahoma" w:hAnsi="Tahoma" w:cs="Tahoma"/>
          <w:sz w:val="24"/>
          <w:szCs w:val="24"/>
          <w:lang w:val="es-CO"/>
        </w:rPr>
        <w:t xml:space="preserve">En consecuencia, negó </w:t>
      </w:r>
      <w:r w:rsidRPr="00527367">
        <w:rPr>
          <w:rFonts w:ascii="Tahoma" w:hAnsi="Tahoma" w:cs="Tahoma"/>
          <w:sz w:val="24"/>
          <w:szCs w:val="24"/>
        </w:rPr>
        <w:t>la totalidad de las pretensiones contenidas en la demanda que presentó la señora Dolly Jaramillo De Mejía.</w:t>
      </w:r>
    </w:p>
    <w:p w14:paraId="0F8C39B3" w14:textId="77777777" w:rsidR="009D20E7" w:rsidRPr="00527367" w:rsidRDefault="009D20E7" w:rsidP="00527367">
      <w:pPr>
        <w:spacing w:line="276" w:lineRule="auto"/>
        <w:ind w:firstLine="708"/>
        <w:jc w:val="both"/>
        <w:rPr>
          <w:rFonts w:ascii="Tahoma" w:hAnsi="Tahoma" w:cs="Tahoma"/>
          <w:sz w:val="24"/>
          <w:szCs w:val="24"/>
          <w:lang w:val="es-CO"/>
        </w:rPr>
      </w:pPr>
    </w:p>
    <w:p w14:paraId="58FA57B5" w14:textId="77777777" w:rsidR="005E4695" w:rsidRPr="00527367" w:rsidRDefault="005E4695" w:rsidP="00527367">
      <w:pPr>
        <w:spacing w:line="276" w:lineRule="auto"/>
        <w:ind w:firstLine="708"/>
        <w:jc w:val="both"/>
        <w:rPr>
          <w:rFonts w:ascii="Tahoma" w:hAnsi="Tahoma" w:cs="Tahoma"/>
          <w:i/>
          <w:iCs/>
          <w:sz w:val="24"/>
          <w:szCs w:val="24"/>
          <w:lang w:val="es-CO"/>
        </w:rPr>
      </w:pPr>
      <w:r w:rsidRPr="00527367">
        <w:rPr>
          <w:rFonts w:ascii="Tahoma" w:hAnsi="Tahoma" w:cs="Tahoma"/>
          <w:sz w:val="24"/>
          <w:szCs w:val="24"/>
          <w:lang w:val="es-CO"/>
        </w:rPr>
        <w:lastRenderedPageBreak/>
        <w:t xml:space="preserve">Consecuentemente, advierte que, de acuerdo a la historia laboral debidamente aportada en el plenario por la demandante, se observa que la misma tiene cotizaciones equivalentes a 340 semanas pero cuando se desciende a hacer el conteo de las semanas se advierte que entre el 24 de octubre de 2017  y el 24 de octubre de 2014 desafortunadamente no se encuentran satisfechos los requisitos necesarios y aclara que: </w:t>
      </w:r>
      <w:r w:rsidRPr="00527367">
        <w:rPr>
          <w:rFonts w:ascii="Tahoma" w:hAnsi="Tahoma" w:cs="Tahoma"/>
          <w:i/>
          <w:iCs/>
          <w:sz w:val="24"/>
          <w:szCs w:val="24"/>
          <w:lang w:val="es-CO"/>
        </w:rPr>
        <w:t>“</w:t>
      </w:r>
      <w:r w:rsidRPr="008B5AF1">
        <w:rPr>
          <w:rFonts w:ascii="Tahoma" w:hAnsi="Tahoma" w:cs="Tahoma"/>
          <w:i/>
          <w:iCs/>
          <w:szCs w:val="24"/>
          <w:lang w:val="es-CO"/>
        </w:rPr>
        <w:t>el conteo de semanas equivalentes a 340, no permite advertir que entre las fechas citadas se hubiese gestado alguna para el Sistema de Seguridad Social, pues en ese interregno se encuentran un total de cero semanas de cotización</w:t>
      </w:r>
      <w:r w:rsidRPr="00527367">
        <w:rPr>
          <w:rFonts w:ascii="Tahoma" w:hAnsi="Tahoma" w:cs="Tahoma"/>
          <w:i/>
          <w:iCs/>
          <w:sz w:val="24"/>
          <w:szCs w:val="24"/>
          <w:lang w:val="es-CO"/>
        </w:rPr>
        <w:t xml:space="preserve">”. </w:t>
      </w:r>
    </w:p>
    <w:p w14:paraId="54F13D74" w14:textId="7B88C0EC" w:rsidR="00564C65" w:rsidRPr="00527367" w:rsidRDefault="00564C65" w:rsidP="00527367">
      <w:pPr>
        <w:spacing w:line="276" w:lineRule="auto"/>
        <w:ind w:firstLine="708"/>
        <w:jc w:val="both"/>
        <w:rPr>
          <w:rFonts w:ascii="Tahoma" w:hAnsi="Tahoma" w:cs="Tahoma"/>
          <w:sz w:val="24"/>
          <w:szCs w:val="24"/>
          <w:lang w:val="es-CO"/>
        </w:rPr>
      </w:pPr>
    </w:p>
    <w:p w14:paraId="485E0D9A" w14:textId="29E01BB3" w:rsidR="005E4695" w:rsidRPr="00527367" w:rsidRDefault="005E4695" w:rsidP="00527367">
      <w:pPr>
        <w:spacing w:line="276" w:lineRule="auto"/>
        <w:ind w:firstLine="708"/>
        <w:jc w:val="both"/>
        <w:rPr>
          <w:rFonts w:ascii="Tahoma" w:hAnsi="Tahoma" w:cs="Tahoma"/>
          <w:sz w:val="24"/>
          <w:szCs w:val="24"/>
          <w:lang w:val="es-CO"/>
        </w:rPr>
      </w:pPr>
      <w:r w:rsidRPr="00527367">
        <w:rPr>
          <w:rFonts w:ascii="Tahoma" w:hAnsi="Tahoma" w:cs="Tahoma"/>
          <w:sz w:val="24"/>
          <w:szCs w:val="24"/>
          <w:lang w:val="es-CO"/>
        </w:rPr>
        <w:t xml:space="preserve">Resalta que es importante recordar que el principio de la condición más beneficiosa permite regresar a la norma inmediatamente anterior y no a ninguna otra, </w:t>
      </w:r>
      <w:r w:rsidR="003C4977" w:rsidRPr="00527367">
        <w:rPr>
          <w:rFonts w:ascii="Tahoma" w:hAnsi="Tahoma" w:cs="Tahoma"/>
          <w:sz w:val="24"/>
          <w:szCs w:val="24"/>
          <w:lang w:val="es-CO"/>
        </w:rPr>
        <w:t xml:space="preserve">lo que quiere decir que, </w:t>
      </w:r>
      <w:r w:rsidRPr="00527367">
        <w:rPr>
          <w:rFonts w:ascii="Tahoma" w:hAnsi="Tahoma" w:cs="Tahoma"/>
          <w:sz w:val="24"/>
          <w:szCs w:val="24"/>
          <w:lang w:val="es-CO"/>
        </w:rPr>
        <w:t>en el presente asunto</w:t>
      </w:r>
      <w:r w:rsidR="003C4977" w:rsidRPr="00527367">
        <w:rPr>
          <w:rFonts w:ascii="Tahoma" w:hAnsi="Tahoma" w:cs="Tahoma"/>
          <w:sz w:val="24"/>
          <w:szCs w:val="24"/>
          <w:lang w:val="es-CO"/>
        </w:rPr>
        <w:t xml:space="preserve">, </w:t>
      </w:r>
      <w:r w:rsidRPr="00527367">
        <w:rPr>
          <w:rFonts w:ascii="Tahoma" w:hAnsi="Tahoma" w:cs="Tahoma"/>
          <w:sz w:val="24"/>
          <w:szCs w:val="24"/>
          <w:lang w:val="es-CO"/>
        </w:rPr>
        <w:t>estando vigente la ley 860 del año 2003</w:t>
      </w:r>
      <w:r w:rsidR="003C4977" w:rsidRPr="00527367">
        <w:rPr>
          <w:rFonts w:ascii="Tahoma" w:hAnsi="Tahoma" w:cs="Tahoma"/>
          <w:sz w:val="24"/>
          <w:szCs w:val="24"/>
          <w:lang w:val="es-CO"/>
        </w:rPr>
        <w:t>,</w:t>
      </w:r>
      <w:r w:rsidRPr="00527367">
        <w:rPr>
          <w:rFonts w:ascii="Tahoma" w:hAnsi="Tahoma" w:cs="Tahoma"/>
          <w:sz w:val="24"/>
          <w:szCs w:val="24"/>
          <w:lang w:val="es-CO"/>
        </w:rPr>
        <w:t xml:space="preserve"> </w:t>
      </w:r>
      <w:r w:rsidR="003C4977" w:rsidRPr="00527367">
        <w:rPr>
          <w:rFonts w:ascii="Tahoma" w:hAnsi="Tahoma" w:cs="Tahoma"/>
          <w:sz w:val="24"/>
          <w:szCs w:val="24"/>
          <w:lang w:val="es-CO"/>
        </w:rPr>
        <w:t xml:space="preserve">sólo se puede retrotraer </w:t>
      </w:r>
      <w:r w:rsidRPr="00527367">
        <w:rPr>
          <w:rFonts w:ascii="Tahoma" w:hAnsi="Tahoma" w:cs="Tahoma"/>
          <w:sz w:val="24"/>
          <w:szCs w:val="24"/>
          <w:lang w:val="es-CO"/>
        </w:rPr>
        <w:t>a la Ley 100 de 1993.</w:t>
      </w:r>
    </w:p>
    <w:p w14:paraId="41F0F205" w14:textId="77777777" w:rsidR="005E4695" w:rsidRPr="00527367" w:rsidRDefault="005E4695" w:rsidP="00527367">
      <w:pPr>
        <w:spacing w:line="276" w:lineRule="auto"/>
        <w:ind w:firstLine="708"/>
        <w:jc w:val="both"/>
        <w:rPr>
          <w:rFonts w:ascii="Tahoma" w:hAnsi="Tahoma" w:cs="Tahoma"/>
          <w:sz w:val="24"/>
          <w:szCs w:val="24"/>
          <w:lang w:val="es-CO"/>
        </w:rPr>
      </w:pPr>
    </w:p>
    <w:p w14:paraId="53F2DD1E" w14:textId="77777777" w:rsidR="003C4977" w:rsidRPr="00527367" w:rsidRDefault="003C4977" w:rsidP="00527367">
      <w:pPr>
        <w:spacing w:line="276" w:lineRule="auto"/>
        <w:ind w:firstLine="709"/>
        <w:jc w:val="both"/>
        <w:rPr>
          <w:rFonts w:ascii="Tahoma" w:hAnsi="Tahoma" w:cs="Tahoma"/>
          <w:sz w:val="24"/>
          <w:szCs w:val="24"/>
          <w:lang w:val="es-CO"/>
        </w:rPr>
      </w:pPr>
      <w:r w:rsidRPr="00527367">
        <w:rPr>
          <w:rFonts w:ascii="Tahoma" w:hAnsi="Tahoma" w:cs="Tahoma"/>
          <w:sz w:val="24"/>
          <w:szCs w:val="24"/>
          <w:lang w:val="es-CO"/>
        </w:rPr>
        <w:t xml:space="preserve">Explica que </w:t>
      </w:r>
      <w:r w:rsidR="00564C65" w:rsidRPr="00527367">
        <w:rPr>
          <w:rFonts w:ascii="Tahoma" w:hAnsi="Tahoma" w:cs="Tahoma"/>
          <w:sz w:val="24"/>
          <w:szCs w:val="24"/>
          <w:lang w:val="es-CO"/>
        </w:rPr>
        <w:t xml:space="preserve">la última cotización que se le realizó al sistema se seguridad social fue el día 4 de agosto de 1993, lo cual significa que para cuando se expide la Ley 100 de 1993 la cual estableció las 26 semanas cotizadas en cualquier tiempo o 26 semanas en el año inmediatamente anterior si no es cotizante, la señora Dolly Jaramillo ni siquiera cumplía con esas condiciones ya que ella no estaba cotizando para el 1 de abril de 1994, momento en que empezó a regir la Ley 100 de 1993, lo que le lleva a concluir que ni siquiera satisface las exigencias consagradas en la ley original o primigenia en torno al nuevo Sistema de Seguridad Social. </w:t>
      </w:r>
    </w:p>
    <w:p w14:paraId="608204E3" w14:textId="7E6C1EE1" w:rsidR="003852A5" w:rsidRDefault="00564C65" w:rsidP="00BD2C2D">
      <w:pPr>
        <w:spacing w:line="276" w:lineRule="auto"/>
        <w:ind w:firstLine="709"/>
        <w:jc w:val="both"/>
        <w:rPr>
          <w:rFonts w:ascii="Tahoma" w:hAnsi="Tahoma" w:cs="Tahoma"/>
          <w:sz w:val="24"/>
          <w:szCs w:val="24"/>
          <w:lang w:val="es-CO"/>
        </w:rPr>
      </w:pPr>
      <w:r w:rsidRPr="00527367">
        <w:rPr>
          <w:rFonts w:ascii="Tahoma" w:hAnsi="Tahoma" w:cs="Tahoma"/>
          <w:sz w:val="24"/>
          <w:szCs w:val="24"/>
          <w:lang w:val="es-CO"/>
        </w:rPr>
        <w:t xml:space="preserve">  </w:t>
      </w:r>
    </w:p>
    <w:p w14:paraId="14E98D4F" w14:textId="77777777" w:rsidR="006C2210" w:rsidRPr="00527367" w:rsidRDefault="006C2210" w:rsidP="00BD2C2D">
      <w:pPr>
        <w:spacing w:line="276" w:lineRule="auto"/>
        <w:ind w:firstLine="709"/>
        <w:jc w:val="both"/>
        <w:rPr>
          <w:rFonts w:ascii="Tahoma" w:hAnsi="Tahoma" w:cs="Tahoma"/>
          <w:sz w:val="24"/>
          <w:szCs w:val="24"/>
          <w:lang w:val="es-CO"/>
        </w:rPr>
      </w:pPr>
    </w:p>
    <w:p w14:paraId="7AA98618" w14:textId="77777777" w:rsidR="00B07C79" w:rsidRPr="006C2210" w:rsidRDefault="00B07C79" w:rsidP="006C2210">
      <w:pPr>
        <w:pStyle w:val="Prrafodelista"/>
        <w:widowControl w:val="0"/>
        <w:numPr>
          <w:ilvl w:val="0"/>
          <w:numId w:val="12"/>
        </w:numPr>
        <w:autoSpaceDE w:val="0"/>
        <w:autoSpaceDN w:val="0"/>
        <w:adjustRightInd w:val="0"/>
        <w:spacing w:line="276" w:lineRule="auto"/>
        <w:ind w:left="1066"/>
        <w:jc w:val="center"/>
        <w:rPr>
          <w:rFonts w:ascii="Tahoma" w:hAnsi="Tahoma" w:cs="Tahoma"/>
          <w:b/>
          <w:bCs/>
          <w:sz w:val="24"/>
          <w:szCs w:val="24"/>
        </w:rPr>
      </w:pPr>
      <w:r w:rsidRPr="006C2210">
        <w:rPr>
          <w:rFonts w:ascii="Tahoma" w:hAnsi="Tahoma" w:cs="Tahoma"/>
          <w:b/>
          <w:bCs/>
          <w:sz w:val="24"/>
          <w:szCs w:val="24"/>
        </w:rPr>
        <w:t>PROCEDENCIA DE LA CONSULTA</w:t>
      </w:r>
    </w:p>
    <w:p w14:paraId="548A4F3D" w14:textId="77777777" w:rsidR="00B07C79" w:rsidRPr="00527367" w:rsidRDefault="00B07C79" w:rsidP="00527367">
      <w:pPr>
        <w:spacing w:line="276" w:lineRule="auto"/>
        <w:ind w:firstLine="708"/>
        <w:jc w:val="both"/>
        <w:rPr>
          <w:rFonts w:ascii="Tahoma" w:hAnsi="Tahoma" w:cs="Tahoma"/>
          <w:bCs/>
          <w:sz w:val="24"/>
          <w:szCs w:val="24"/>
          <w:lang w:val="es-CO"/>
        </w:rPr>
      </w:pPr>
    </w:p>
    <w:p w14:paraId="590EAF33" w14:textId="2719984C" w:rsidR="00B07C79" w:rsidRPr="00527367" w:rsidRDefault="00B07C79" w:rsidP="00527367">
      <w:pPr>
        <w:spacing w:line="276" w:lineRule="auto"/>
        <w:ind w:firstLine="708"/>
        <w:jc w:val="both"/>
        <w:rPr>
          <w:rFonts w:ascii="Tahoma" w:hAnsi="Tahoma" w:cs="Tahoma"/>
          <w:bCs/>
          <w:sz w:val="24"/>
          <w:szCs w:val="24"/>
          <w:lang w:val="es-CO"/>
        </w:rPr>
      </w:pPr>
      <w:r w:rsidRPr="00527367">
        <w:rPr>
          <w:rFonts w:ascii="Tahoma" w:hAnsi="Tahoma" w:cs="Tahoma"/>
          <w:bCs/>
          <w:sz w:val="24"/>
          <w:szCs w:val="24"/>
          <w:lang w:val="es-CO"/>
        </w:rPr>
        <w:t>Tal como se advirtiera en precedencia, al haberse despachado desfavorablemente las súplicas de la demanda, se dispuso la remisión de la providencia de instancia para su revisión en sede jurisdiccional de consulta.</w:t>
      </w:r>
    </w:p>
    <w:p w14:paraId="259DBE0B" w14:textId="5EDED502" w:rsidR="000660F3" w:rsidRDefault="000660F3" w:rsidP="00527367">
      <w:pPr>
        <w:spacing w:line="276" w:lineRule="auto"/>
        <w:jc w:val="both"/>
        <w:rPr>
          <w:rFonts w:ascii="Tahoma" w:hAnsi="Tahoma" w:cs="Tahoma"/>
          <w:bCs/>
          <w:sz w:val="24"/>
          <w:szCs w:val="24"/>
          <w:lang w:val="es-CO"/>
        </w:rPr>
      </w:pPr>
      <w:r w:rsidRPr="00527367">
        <w:rPr>
          <w:rFonts w:ascii="Tahoma" w:hAnsi="Tahoma" w:cs="Tahoma"/>
          <w:bCs/>
          <w:sz w:val="24"/>
          <w:szCs w:val="24"/>
          <w:lang w:val="es-CO"/>
        </w:rPr>
        <w:tab/>
      </w:r>
    </w:p>
    <w:p w14:paraId="259E883E" w14:textId="77777777" w:rsidR="006C2210" w:rsidRPr="00527367" w:rsidRDefault="006C2210" w:rsidP="00527367">
      <w:pPr>
        <w:spacing w:line="276" w:lineRule="auto"/>
        <w:jc w:val="both"/>
        <w:rPr>
          <w:rFonts w:ascii="Tahoma" w:hAnsi="Tahoma" w:cs="Tahoma"/>
          <w:bCs/>
          <w:sz w:val="24"/>
          <w:szCs w:val="24"/>
          <w:lang w:val="es-CO"/>
        </w:rPr>
      </w:pPr>
    </w:p>
    <w:p w14:paraId="28D00ABE" w14:textId="7EDE3549" w:rsidR="00C145F6" w:rsidRPr="006C2210" w:rsidRDefault="0087375E" w:rsidP="006C2210">
      <w:pPr>
        <w:pStyle w:val="Prrafodelista"/>
        <w:widowControl w:val="0"/>
        <w:numPr>
          <w:ilvl w:val="0"/>
          <w:numId w:val="12"/>
        </w:numPr>
        <w:autoSpaceDE w:val="0"/>
        <w:autoSpaceDN w:val="0"/>
        <w:adjustRightInd w:val="0"/>
        <w:spacing w:line="276" w:lineRule="auto"/>
        <w:ind w:left="1066"/>
        <w:jc w:val="center"/>
        <w:rPr>
          <w:rFonts w:ascii="Tahoma" w:hAnsi="Tahoma" w:cs="Tahoma"/>
          <w:b/>
          <w:bCs/>
          <w:sz w:val="24"/>
          <w:szCs w:val="24"/>
        </w:rPr>
      </w:pPr>
      <w:r w:rsidRPr="006C2210">
        <w:rPr>
          <w:rFonts w:ascii="Tahoma" w:hAnsi="Tahoma" w:cs="Tahoma"/>
          <w:b/>
          <w:bCs/>
          <w:sz w:val="24"/>
          <w:szCs w:val="24"/>
        </w:rPr>
        <w:t>ALEGATOS DE CONCLUSIÓN</w:t>
      </w:r>
    </w:p>
    <w:p w14:paraId="5038E966" w14:textId="77777777" w:rsidR="00C145F6" w:rsidRPr="00527367" w:rsidRDefault="00C145F6" w:rsidP="00527367">
      <w:pPr>
        <w:pStyle w:val="Poromisin"/>
        <w:rPr>
          <w:rFonts w:cs="Tahoma"/>
          <w:sz w:val="24"/>
          <w:szCs w:val="24"/>
          <w:lang w:val="es-CO"/>
        </w:rPr>
      </w:pPr>
    </w:p>
    <w:p w14:paraId="14470CA0" w14:textId="0BB7F50C" w:rsidR="00FA2E5E" w:rsidRPr="00527367" w:rsidRDefault="00D85E4E" w:rsidP="00527367">
      <w:pPr>
        <w:spacing w:line="276" w:lineRule="auto"/>
        <w:ind w:firstLine="708"/>
        <w:jc w:val="both"/>
        <w:rPr>
          <w:rFonts w:ascii="Tahoma" w:eastAsia="Tahoma" w:hAnsi="Tahoma" w:cs="Tahoma"/>
          <w:sz w:val="24"/>
          <w:szCs w:val="24"/>
          <w:lang w:eastAsia="es-CO"/>
        </w:rPr>
      </w:pPr>
      <w:r w:rsidRPr="00527367">
        <w:rPr>
          <w:rFonts w:ascii="Tahoma" w:eastAsia="Tahoma" w:hAnsi="Tahoma" w:cs="Tahoma"/>
          <w:sz w:val="24"/>
          <w:szCs w:val="24"/>
          <w:lang w:eastAsia="es-CO"/>
        </w:rPr>
        <w:t>Analizados los alegatos presentados por escrito por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3AEFBA41" w14:textId="4DDD762F" w:rsidR="00C145F6" w:rsidRDefault="00C145F6"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440BC3BD" w14:textId="77777777" w:rsidR="006C2210" w:rsidRPr="00527367" w:rsidRDefault="006C2210"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68852824" w14:textId="3981B916" w:rsidR="00FA2E5E" w:rsidRPr="006C2210" w:rsidRDefault="00C145F6" w:rsidP="006C2210">
      <w:pPr>
        <w:pStyle w:val="Prrafodelista"/>
        <w:widowControl w:val="0"/>
        <w:numPr>
          <w:ilvl w:val="0"/>
          <w:numId w:val="12"/>
        </w:numPr>
        <w:autoSpaceDE w:val="0"/>
        <w:autoSpaceDN w:val="0"/>
        <w:adjustRightInd w:val="0"/>
        <w:spacing w:line="276" w:lineRule="auto"/>
        <w:ind w:left="1066"/>
        <w:jc w:val="center"/>
        <w:rPr>
          <w:rFonts w:ascii="Tahoma" w:hAnsi="Tahoma" w:cs="Tahoma"/>
          <w:b/>
          <w:bCs/>
          <w:sz w:val="24"/>
          <w:szCs w:val="24"/>
        </w:rPr>
      </w:pPr>
      <w:r w:rsidRPr="006C2210">
        <w:rPr>
          <w:rFonts w:ascii="Tahoma" w:hAnsi="Tahoma" w:cs="Tahoma"/>
          <w:b/>
          <w:bCs/>
          <w:sz w:val="24"/>
          <w:szCs w:val="24"/>
        </w:rPr>
        <w:t>PROBLEMA JURIDICO A RESOLVER</w:t>
      </w:r>
      <w:r w:rsidR="004A28DF" w:rsidRPr="006C2210">
        <w:rPr>
          <w:rFonts w:ascii="Tahoma" w:hAnsi="Tahoma" w:cs="Tahoma"/>
          <w:b/>
          <w:bCs/>
          <w:sz w:val="24"/>
          <w:szCs w:val="24"/>
        </w:rPr>
        <w:t xml:space="preserve"> </w:t>
      </w:r>
    </w:p>
    <w:p w14:paraId="3F81EE84" w14:textId="77777777" w:rsidR="002C2D1D" w:rsidRPr="00527367" w:rsidRDefault="002C2D1D" w:rsidP="0052736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3BB504CD" w14:textId="674A6481" w:rsidR="00C145F6" w:rsidRPr="00527367" w:rsidRDefault="00B07C79" w:rsidP="00527367">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cs="Tahoma"/>
          <w:sz w:val="24"/>
          <w:szCs w:val="24"/>
          <w:lang w:val="es-CO"/>
        </w:rPr>
      </w:pPr>
      <w:r w:rsidRPr="00527367">
        <w:rPr>
          <w:rFonts w:cs="Tahoma"/>
          <w:sz w:val="24"/>
          <w:szCs w:val="24"/>
          <w:lang w:val="es-CO"/>
        </w:rPr>
        <w:t xml:space="preserve">De acuerdo a los argumentos expuestos en la sentencia de primera instancia y los alegatos de conclusión, le corresponde a la Sala determinar si la demandante en virtud de la condición más beneficiosa tiene derecho al reconocimiento y pago de la </w:t>
      </w:r>
      <w:r w:rsidRPr="00527367">
        <w:rPr>
          <w:rFonts w:cs="Tahoma"/>
          <w:sz w:val="24"/>
          <w:szCs w:val="24"/>
          <w:lang w:val="es-CO"/>
        </w:rPr>
        <w:lastRenderedPageBreak/>
        <w:t>pensión de invalidez a partir del día (24) de octubre del año 2017 y resuelto esto, si tiene derecho al pago de los intereses moratorios que peticiona.</w:t>
      </w:r>
    </w:p>
    <w:p w14:paraId="2BFE8EC4" w14:textId="1260FB43" w:rsidR="003C4977" w:rsidRDefault="003C4977" w:rsidP="00527367">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cs="Tahoma"/>
          <w:sz w:val="24"/>
          <w:szCs w:val="24"/>
        </w:rPr>
      </w:pPr>
    </w:p>
    <w:p w14:paraId="2D93E566" w14:textId="77777777" w:rsidR="006C2210" w:rsidRPr="00527367" w:rsidRDefault="006C2210" w:rsidP="00527367">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cs="Tahoma"/>
          <w:sz w:val="24"/>
          <w:szCs w:val="24"/>
        </w:rPr>
      </w:pPr>
    </w:p>
    <w:p w14:paraId="4AD058A3" w14:textId="459CD9C3" w:rsidR="00746255" w:rsidRPr="006C2210" w:rsidRDefault="00746255" w:rsidP="006C2210">
      <w:pPr>
        <w:pStyle w:val="Prrafodelista"/>
        <w:widowControl w:val="0"/>
        <w:numPr>
          <w:ilvl w:val="0"/>
          <w:numId w:val="12"/>
        </w:numPr>
        <w:autoSpaceDE w:val="0"/>
        <w:autoSpaceDN w:val="0"/>
        <w:adjustRightInd w:val="0"/>
        <w:spacing w:line="276" w:lineRule="auto"/>
        <w:ind w:left="1066"/>
        <w:jc w:val="center"/>
        <w:rPr>
          <w:rFonts w:ascii="Tahoma" w:hAnsi="Tahoma" w:cs="Tahoma"/>
          <w:b/>
          <w:bCs/>
          <w:sz w:val="24"/>
          <w:szCs w:val="24"/>
        </w:rPr>
      </w:pPr>
      <w:r w:rsidRPr="006C2210">
        <w:rPr>
          <w:rFonts w:ascii="Tahoma" w:hAnsi="Tahoma" w:cs="Tahoma"/>
          <w:b/>
          <w:bCs/>
          <w:sz w:val="24"/>
          <w:szCs w:val="24"/>
        </w:rPr>
        <w:t>CONSIDERACIONES</w:t>
      </w:r>
    </w:p>
    <w:p w14:paraId="129F3996" w14:textId="77777777" w:rsidR="003C4977" w:rsidRPr="00527367" w:rsidRDefault="003C4977" w:rsidP="00527367">
      <w:pPr>
        <w:spacing w:line="276" w:lineRule="auto"/>
        <w:jc w:val="both"/>
        <w:rPr>
          <w:rFonts w:ascii="Tahoma" w:hAnsi="Tahoma" w:cs="Tahoma"/>
          <w:b/>
          <w:sz w:val="24"/>
          <w:szCs w:val="24"/>
          <w:lang w:val="es-CO"/>
        </w:rPr>
      </w:pPr>
    </w:p>
    <w:p w14:paraId="05943A35" w14:textId="1CFCA4FA" w:rsidR="00D85E4E" w:rsidRPr="00527367" w:rsidRDefault="00D85E4E" w:rsidP="006C2210">
      <w:pPr>
        <w:pStyle w:val="paragraph"/>
        <w:numPr>
          <w:ilvl w:val="1"/>
          <w:numId w:val="14"/>
        </w:numPr>
        <w:spacing w:before="0" w:beforeAutospacing="0" w:after="0" w:afterAutospacing="0" w:line="276" w:lineRule="auto"/>
        <w:jc w:val="both"/>
        <w:textAlignment w:val="baseline"/>
        <w:rPr>
          <w:rStyle w:val="normaltextrun"/>
          <w:rFonts w:ascii="Tahoma" w:hAnsi="Tahoma" w:cs="Tahoma"/>
          <w:b/>
          <w:caps/>
          <w:lang w:val="es-ES"/>
        </w:rPr>
      </w:pPr>
      <w:r w:rsidRPr="00527367">
        <w:rPr>
          <w:rStyle w:val="normaltextrun"/>
          <w:rFonts w:ascii="Tahoma" w:hAnsi="Tahoma" w:cs="Tahoma"/>
          <w:b/>
          <w:lang w:val="es-ES"/>
        </w:rPr>
        <w:t>Requisitos para acceder a la pensión de invalidez en aplicación del principio de la condición más beneficiosa</w:t>
      </w:r>
      <w:r w:rsidR="008F09AC" w:rsidRPr="00527367">
        <w:rPr>
          <w:rStyle w:val="normaltextrun"/>
          <w:rFonts w:ascii="Tahoma" w:hAnsi="Tahoma" w:cs="Tahoma"/>
          <w:b/>
          <w:lang w:val="es-ES"/>
        </w:rPr>
        <w:t>.</w:t>
      </w:r>
    </w:p>
    <w:p w14:paraId="2289B139" w14:textId="77777777" w:rsidR="00D85E4E" w:rsidRPr="00527367" w:rsidRDefault="00D85E4E" w:rsidP="00527367">
      <w:pPr>
        <w:pStyle w:val="paragraph"/>
        <w:spacing w:before="0" w:beforeAutospacing="0" w:after="0" w:afterAutospacing="0" w:line="276" w:lineRule="auto"/>
        <w:jc w:val="both"/>
        <w:textAlignment w:val="baseline"/>
        <w:rPr>
          <w:rStyle w:val="normaltextrun"/>
          <w:rFonts w:ascii="Tahoma" w:hAnsi="Tahoma" w:cs="Tahoma"/>
          <w:lang w:val="es-MX"/>
        </w:rPr>
      </w:pPr>
    </w:p>
    <w:p w14:paraId="1760AF1D" w14:textId="198E6A53" w:rsidR="00D85E4E" w:rsidRPr="00527367" w:rsidRDefault="00D85E4E" w:rsidP="00527367">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527367">
        <w:rPr>
          <w:rStyle w:val="normaltextrun"/>
          <w:rFonts w:ascii="Tahoma" w:hAnsi="Tahoma" w:cs="Tahoma"/>
          <w:lang w:val="es-MX"/>
        </w:rPr>
        <w:t xml:space="preserve">La Corte Constitucional a través de la sentencia SU-442 de 2016 determinó el alcance de aplicación del principio de la condición más beneficiosa en la pensión de invalidez, bajo los postulados de la seguridad social, la protección de las personas en circunstancias de debilidad manifiesta, el principio de confianza </w:t>
      </w:r>
      <w:r w:rsidR="00DF145F" w:rsidRPr="00527367">
        <w:rPr>
          <w:rStyle w:val="normaltextrun"/>
          <w:rFonts w:ascii="Tahoma" w:hAnsi="Tahoma" w:cs="Tahoma"/>
          <w:lang w:val="es-MX"/>
        </w:rPr>
        <w:t>legítima</w:t>
      </w:r>
      <w:r w:rsidRPr="00527367">
        <w:rPr>
          <w:rStyle w:val="normaltextrun"/>
          <w:rFonts w:ascii="Tahoma" w:hAnsi="Tahoma" w:cs="Tahoma"/>
          <w:lang w:val="es-MX"/>
        </w:rPr>
        <w:t xml:space="preserve"> que se intensifica cuando se pretende amparar al individuo frente a la pérdida de su fuerza de trabajo o capacidad laboral y el principio de igualdad en lo que atañe a la disparidad de tratamiento que existe como consecuencia de la creación de regímenes de transición para vejez, pero no para invalidez.</w:t>
      </w:r>
    </w:p>
    <w:p w14:paraId="732AADBB" w14:textId="77777777" w:rsidR="00D85E4E" w:rsidRPr="00527367" w:rsidRDefault="00D85E4E" w:rsidP="00527367">
      <w:pPr>
        <w:pStyle w:val="paragraph"/>
        <w:spacing w:before="0" w:beforeAutospacing="0" w:after="0" w:afterAutospacing="0" w:line="276" w:lineRule="auto"/>
        <w:jc w:val="both"/>
        <w:textAlignment w:val="baseline"/>
        <w:rPr>
          <w:rStyle w:val="normaltextrun"/>
          <w:rFonts w:ascii="Tahoma" w:hAnsi="Tahoma" w:cs="Tahoma"/>
          <w:lang w:val="es-MX"/>
        </w:rPr>
      </w:pPr>
    </w:p>
    <w:p w14:paraId="4757DE59" w14:textId="77777777" w:rsidR="00D85E4E" w:rsidRPr="00527367" w:rsidRDefault="00D85E4E" w:rsidP="00527367">
      <w:pPr>
        <w:pStyle w:val="paragraph"/>
        <w:spacing w:before="0" w:beforeAutospacing="0" w:after="0" w:afterAutospacing="0" w:line="276" w:lineRule="auto"/>
        <w:ind w:firstLine="705"/>
        <w:jc w:val="both"/>
        <w:textAlignment w:val="baseline"/>
        <w:rPr>
          <w:rFonts w:ascii="Tahoma" w:hAnsi="Tahoma" w:cs="Tahoma"/>
        </w:rPr>
      </w:pPr>
      <w:r w:rsidRPr="00527367">
        <w:rPr>
          <w:rFonts w:ascii="Tahoma" w:hAnsi="Tahoma" w:cs="Tahoma"/>
        </w:rPr>
        <w:t>Posteriormente, en la sentencia SU-556 de 2019 unificó los criterios respecto de dos aspectos: “</w:t>
      </w:r>
      <w:r w:rsidRPr="008B5AF1">
        <w:rPr>
          <w:rFonts w:ascii="Tahoma" w:hAnsi="Tahoma" w:cs="Tahoma"/>
          <w:i/>
          <w:iCs/>
          <w:sz w:val="22"/>
        </w:rPr>
        <w:t xml:space="preserve">i) </w:t>
      </w:r>
      <w:r w:rsidRPr="008B5AF1">
        <w:rPr>
          <w:rFonts w:ascii="Tahoma" w:hAnsi="Tahoma" w:cs="Tahoma"/>
          <w:i/>
          <w:iCs/>
          <w:sz w:val="22"/>
          <w:shd w:val="clear" w:color="auto" w:fill="FFFFFF"/>
        </w:rPr>
        <w:t>la valoración de la exigencia de subsidiariedad de la acción de tutela cuando se pretende el reconocimiento y pago de la pensión de invalidez, en aplicación del principio de la condición más beneficiosa y ii) el alcance del principio de la condición más beneficiosa para el reconocimiento de la pensión de invalidez</w:t>
      </w:r>
      <w:r w:rsidRPr="00527367">
        <w:rPr>
          <w:rFonts w:ascii="Tahoma" w:hAnsi="Tahoma" w:cs="Tahoma"/>
          <w:i/>
          <w:iCs/>
          <w:shd w:val="clear" w:color="auto" w:fill="FFFFFF"/>
        </w:rPr>
        <w:t>.”</w:t>
      </w:r>
    </w:p>
    <w:p w14:paraId="10F9E4DC" w14:textId="77777777" w:rsidR="00D85E4E" w:rsidRPr="00527367" w:rsidRDefault="00D85E4E" w:rsidP="00527367">
      <w:pPr>
        <w:shd w:val="clear" w:color="auto" w:fill="FFFFFF"/>
        <w:spacing w:line="276" w:lineRule="auto"/>
        <w:jc w:val="both"/>
        <w:rPr>
          <w:rFonts w:ascii="Tahoma" w:hAnsi="Tahoma" w:cs="Tahoma"/>
          <w:sz w:val="24"/>
          <w:szCs w:val="24"/>
          <w:shd w:val="clear" w:color="auto" w:fill="FFFFFF"/>
        </w:rPr>
      </w:pPr>
    </w:p>
    <w:p w14:paraId="5DCD8E4F" w14:textId="4914D744" w:rsidR="00D85E4E" w:rsidRPr="00527367" w:rsidRDefault="00D85E4E" w:rsidP="00527367">
      <w:pPr>
        <w:shd w:val="clear" w:color="auto" w:fill="FFFFFF"/>
        <w:spacing w:line="276" w:lineRule="auto"/>
        <w:ind w:firstLine="705"/>
        <w:jc w:val="both"/>
        <w:rPr>
          <w:rFonts w:ascii="Tahoma" w:hAnsi="Tahoma" w:cs="Tahoma"/>
          <w:sz w:val="24"/>
          <w:szCs w:val="24"/>
          <w:shd w:val="clear" w:color="auto" w:fill="FFFFFF"/>
        </w:rPr>
      </w:pPr>
      <w:r w:rsidRPr="00527367">
        <w:rPr>
          <w:rFonts w:ascii="Tahoma" w:hAnsi="Tahoma" w:cs="Tahoma"/>
          <w:sz w:val="24"/>
          <w:szCs w:val="24"/>
          <w:shd w:val="clear" w:color="auto" w:fill="FFFFFF"/>
        </w:rPr>
        <w:t xml:space="preserve">En lo que atañe al primer punto, esto es la valoración de la exigencia de subsidiariedad, la Sala estableció cuatro condiciones necesarias y en conjunto suficientes, como exigencia del ejercicio subsidiario de la acción de tutela, que denominó </w:t>
      </w:r>
      <w:r w:rsidRPr="00527367">
        <w:rPr>
          <w:rFonts w:ascii="Tahoma" w:hAnsi="Tahoma" w:cs="Tahoma"/>
          <w:i/>
          <w:iCs/>
          <w:sz w:val="24"/>
          <w:szCs w:val="24"/>
          <w:shd w:val="clear" w:color="auto" w:fill="FFFFFF"/>
        </w:rPr>
        <w:t xml:space="preserve">“test de procedencia” </w:t>
      </w:r>
      <w:r w:rsidRPr="00527367">
        <w:rPr>
          <w:rFonts w:ascii="Tahoma" w:hAnsi="Tahoma" w:cs="Tahoma"/>
          <w:sz w:val="24"/>
          <w:szCs w:val="24"/>
          <w:shd w:val="clear" w:color="auto" w:fill="FFFFFF"/>
        </w:rPr>
        <w:t xml:space="preserve">precisando, en primer término, que para solicitar la prestación económica de invalidez por el mecanismo de protección constitucional el accionante debe acreditar, además de los ya conocidos requisitos de procedencia, esto es,  legitimación por activa y pasiva, inmediatez y la subsidiariedad propiamente dicha, los siguientes: </w:t>
      </w:r>
      <w:r w:rsidRPr="00527367">
        <w:rPr>
          <w:rFonts w:ascii="Tahoma" w:hAnsi="Tahoma" w:cs="Tahoma"/>
          <w:i/>
          <w:iCs/>
          <w:sz w:val="24"/>
          <w:szCs w:val="24"/>
          <w:shd w:val="clear" w:color="auto" w:fill="FFFFFF"/>
        </w:rPr>
        <w:t>“</w:t>
      </w:r>
      <w:r w:rsidRPr="008B5AF1">
        <w:rPr>
          <w:rFonts w:ascii="Tahoma" w:hAnsi="Tahoma" w:cs="Tahoma"/>
          <w:i/>
          <w:iCs/>
          <w:szCs w:val="24"/>
          <w:shd w:val="clear" w:color="auto" w:fill="FFFFFF"/>
        </w:rPr>
        <w:t>i) debe pertenecer a un grupo de especial protección constitucional, tales como analfabetismo, vejez, pobreza extrema, cabeza de familia, desplazamiento o padecimiento de una enfermedad crónica, catastrófica, congénita o degenerativa; ii)</w:t>
      </w:r>
      <w:r w:rsidRPr="008B5AF1">
        <w:rPr>
          <w:rFonts w:ascii="Tahoma" w:hAnsi="Tahoma" w:cs="Tahoma"/>
          <w:i/>
          <w:iCs/>
          <w:szCs w:val="24"/>
          <w:bdr w:val="none" w:sz="0" w:space="0" w:color="auto" w:frame="1"/>
          <w:shd w:val="clear" w:color="auto" w:fill="FFFFFF"/>
          <w:lang w:val="es-CO" w:eastAsia="es-CO"/>
        </w:rPr>
        <w:t xml:space="preserve"> debe poder inferirse razonablemente que la carencia del reconocimiento de la pensión de invalidez afecta directamente la satisfacción de las necesidades básicas del accionante, esto es, su mínimo vital y, en consecuencia, una vida en condiciones dignas; iii) deben valorarse como razonables los argumentos que proponga el accionante para justificar su imposibilidad de haber cotizado las semanas previstas por las disposiciones vigente al momento de la estructuración de la invalidez; y </w:t>
      </w:r>
      <w:bookmarkStart w:id="4" w:name="_Hlk76571905"/>
      <w:r w:rsidRPr="008B5AF1">
        <w:rPr>
          <w:rFonts w:ascii="Tahoma" w:hAnsi="Tahoma" w:cs="Tahoma"/>
          <w:i/>
          <w:iCs/>
          <w:szCs w:val="24"/>
          <w:bdr w:val="none" w:sz="0" w:space="0" w:color="auto" w:frame="1"/>
          <w:shd w:val="clear" w:color="auto" w:fill="FFFFFF"/>
          <w:lang w:val="es-CO" w:eastAsia="es-CO"/>
        </w:rPr>
        <w:t>iv)</w:t>
      </w:r>
      <w:r w:rsidRPr="008B5AF1">
        <w:rPr>
          <w:rFonts w:ascii="Tahoma" w:hAnsi="Tahoma" w:cs="Tahoma"/>
          <w:i/>
          <w:iCs/>
          <w:szCs w:val="24"/>
          <w:lang w:val="es-CO" w:eastAsia="es-CO"/>
        </w:rPr>
        <w:t xml:space="preserve"> debe comprobarse una actuación diligente del accionante para solicitar el reconocimiento de la pensión de invalidez</w:t>
      </w:r>
      <w:r w:rsidRPr="00527367">
        <w:rPr>
          <w:rFonts w:ascii="Tahoma" w:hAnsi="Tahoma" w:cs="Tahoma"/>
          <w:i/>
          <w:iCs/>
          <w:sz w:val="24"/>
          <w:szCs w:val="24"/>
          <w:lang w:val="es-CO" w:eastAsia="es-CO"/>
        </w:rPr>
        <w:t>”</w:t>
      </w:r>
      <w:r w:rsidR="008B5AF1">
        <w:rPr>
          <w:rFonts w:ascii="Tahoma" w:hAnsi="Tahoma" w:cs="Tahoma"/>
          <w:sz w:val="24"/>
          <w:szCs w:val="24"/>
          <w:shd w:val="clear" w:color="auto" w:fill="FFFFFF"/>
        </w:rPr>
        <w:t>.</w:t>
      </w:r>
    </w:p>
    <w:bookmarkEnd w:id="4"/>
    <w:p w14:paraId="31D943FE" w14:textId="77777777" w:rsidR="00D85E4E" w:rsidRPr="00527367" w:rsidRDefault="00D85E4E" w:rsidP="00527367">
      <w:pPr>
        <w:shd w:val="clear" w:color="auto" w:fill="FFFFFF"/>
        <w:spacing w:line="276" w:lineRule="auto"/>
        <w:jc w:val="both"/>
        <w:rPr>
          <w:rFonts w:ascii="Tahoma" w:hAnsi="Tahoma" w:cs="Tahoma"/>
          <w:sz w:val="24"/>
          <w:szCs w:val="24"/>
          <w:shd w:val="clear" w:color="auto" w:fill="FFFFFF"/>
        </w:rPr>
      </w:pPr>
    </w:p>
    <w:p w14:paraId="77123233" w14:textId="4CC15088" w:rsidR="00D85E4E" w:rsidRPr="00527367" w:rsidRDefault="00D85E4E" w:rsidP="00527367">
      <w:pPr>
        <w:shd w:val="clear" w:color="auto" w:fill="FFFFFF"/>
        <w:spacing w:line="276" w:lineRule="auto"/>
        <w:ind w:firstLine="708"/>
        <w:jc w:val="both"/>
        <w:rPr>
          <w:rFonts w:ascii="Tahoma" w:hAnsi="Tahoma" w:cs="Tahoma"/>
          <w:sz w:val="24"/>
          <w:szCs w:val="24"/>
          <w:shd w:val="clear" w:color="auto" w:fill="FFFFFF"/>
        </w:rPr>
      </w:pPr>
      <w:r w:rsidRPr="00527367">
        <w:rPr>
          <w:rFonts w:ascii="Tahoma" w:hAnsi="Tahoma" w:cs="Tahoma"/>
          <w:sz w:val="24"/>
          <w:szCs w:val="24"/>
        </w:rPr>
        <w:t xml:space="preserve">Respecto de la primera condición, explicó la Sala que no puede considerarse suficiente la situación de invalidez del accionante, pues ello supondría un desplazamiento absoluto de la competencia del juez ordinario por la del juez constitucional; asimismo, de conformidad con la segunda condición adujó que la misma permite valorar como relevante, prima facie el reconocimiento de la pensión de </w:t>
      </w:r>
      <w:r w:rsidRPr="00527367">
        <w:rPr>
          <w:rFonts w:ascii="Tahoma" w:hAnsi="Tahoma" w:cs="Tahoma"/>
          <w:sz w:val="24"/>
          <w:szCs w:val="24"/>
        </w:rPr>
        <w:lastRenderedPageBreak/>
        <w:t xml:space="preserve">invalidez como único medio idóneo para que el accionante satisfaga sus necesidades básicas; en relación a la tercera exigencia explica la Corte que solo basta la acreditación de una situación razonable de imposibilidad para cumplir con las exigencias normativas impuestas por el ordenamiento jurídico al momento de la estructuración de invalidez; este entendido hace posible que </w:t>
      </w:r>
      <w:r w:rsidRPr="00527367">
        <w:rPr>
          <w:rFonts w:ascii="Tahoma" w:hAnsi="Tahoma" w:cs="Tahoma"/>
          <w:sz w:val="24"/>
          <w:szCs w:val="24"/>
          <w:shd w:val="clear" w:color="auto" w:fill="FFFFFF"/>
        </w:rPr>
        <w:t xml:space="preserve">el juez constitucional se pronuncie acerca de un reconocimiento que, en principio, corresponde al juez ordinario; y, </w:t>
      </w:r>
      <w:r w:rsidRPr="00527367">
        <w:rPr>
          <w:rStyle w:val="normaltextrun"/>
          <w:rFonts w:ascii="Tahoma" w:hAnsi="Tahoma" w:cs="Tahoma"/>
          <w:sz w:val="24"/>
          <w:szCs w:val="24"/>
          <w:lang w:val="es-MX"/>
        </w:rPr>
        <w:t xml:space="preserve">finalmente, en los términos de la jurisprudencia constitucional, la cuarta exigencia es </w:t>
      </w:r>
      <w:r w:rsidRPr="00527367">
        <w:rPr>
          <w:rFonts w:ascii="Tahoma" w:hAnsi="Tahoma" w:cs="Tahoma"/>
          <w:i/>
          <w:iCs/>
          <w:sz w:val="24"/>
          <w:szCs w:val="24"/>
          <w:shd w:val="clear" w:color="auto" w:fill="FFFFFF"/>
        </w:rPr>
        <w:t>“</w:t>
      </w:r>
      <w:r w:rsidRPr="008B5AF1">
        <w:rPr>
          <w:rFonts w:ascii="Tahoma" w:hAnsi="Tahoma" w:cs="Tahoma"/>
          <w:i/>
          <w:iCs/>
          <w:szCs w:val="24"/>
          <w:shd w:val="clear" w:color="auto" w:fill="FFFFFF"/>
        </w:rPr>
        <w:t>una </w:t>
      </w:r>
      <w:r w:rsidRPr="008B5AF1">
        <w:rPr>
          <w:rFonts w:ascii="Tahoma" w:hAnsi="Tahoma" w:cs="Tahoma"/>
          <w:i/>
          <w:iCs/>
          <w:szCs w:val="24"/>
          <w:bdr w:val="none" w:sz="0" w:space="0" w:color="auto" w:frame="1"/>
          <w:shd w:val="clear" w:color="auto" w:fill="FFFFFF"/>
        </w:rPr>
        <w:t>precondición </w:t>
      </w:r>
      <w:r w:rsidRPr="008B5AF1">
        <w:rPr>
          <w:rFonts w:ascii="Tahoma" w:hAnsi="Tahoma" w:cs="Tahoma"/>
          <w:i/>
          <w:iCs/>
          <w:szCs w:val="24"/>
          <w:shd w:val="clear" w:color="auto" w:fill="FFFFFF"/>
        </w:rPr>
        <w:t>para el ejercicio de la acción de tutela</w:t>
      </w:r>
      <w:r w:rsidRPr="00527367">
        <w:rPr>
          <w:rFonts w:ascii="Tahoma" w:hAnsi="Tahoma" w:cs="Tahoma"/>
          <w:i/>
          <w:iCs/>
          <w:sz w:val="24"/>
          <w:szCs w:val="24"/>
          <w:shd w:val="clear" w:color="auto" w:fill="FFFFFF"/>
        </w:rPr>
        <w:t>”</w:t>
      </w:r>
      <w:r w:rsidRPr="00527367">
        <w:rPr>
          <w:rFonts w:ascii="Tahoma" w:hAnsi="Tahoma" w:cs="Tahoma"/>
          <w:sz w:val="24"/>
          <w:szCs w:val="24"/>
          <w:shd w:val="clear" w:color="auto" w:fill="FFFFFF"/>
        </w:rPr>
        <w:t xml:space="preserve"> , pues supone acreditar un grado mínimo de diligencia para la protección de los derechos propios, por vía administrativa o judicial.</w:t>
      </w:r>
    </w:p>
    <w:p w14:paraId="101CC0F2" w14:textId="77777777" w:rsidR="00D85E4E" w:rsidRPr="00527367" w:rsidRDefault="00D85E4E" w:rsidP="00527367">
      <w:pPr>
        <w:shd w:val="clear" w:color="auto" w:fill="FFFFFF"/>
        <w:spacing w:line="276" w:lineRule="auto"/>
        <w:jc w:val="both"/>
        <w:rPr>
          <w:rFonts w:ascii="Tahoma" w:hAnsi="Tahoma" w:cs="Tahoma"/>
          <w:sz w:val="24"/>
          <w:szCs w:val="24"/>
          <w:shd w:val="clear" w:color="auto" w:fill="FFFFFF"/>
        </w:rPr>
      </w:pPr>
    </w:p>
    <w:p w14:paraId="3A22C57A" w14:textId="77777777" w:rsidR="00D85E4E" w:rsidRPr="00527367" w:rsidRDefault="00D85E4E" w:rsidP="00527367">
      <w:pPr>
        <w:shd w:val="clear" w:color="auto" w:fill="FFFFFF"/>
        <w:spacing w:line="276" w:lineRule="auto"/>
        <w:ind w:firstLine="708"/>
        <w:jc w:val="both"/>
        <w:rPr>
          <w:rFonts w:ascii="Tahoma" w:hAnsi="Tahoma" w:cs="Tahoma"/>
          <w:i/>
          <w:iCs/>
          <w:sz w:val="24"/>
          <w:szCs w:val="24"/>
          <w:shd w:val="clear" w:color="auto" w:fill="FFFFFF"/>
        </w:rPr>
      </w:pPr>
      <w:r w:rsidRPr="00527367">
        <w:rPr>
          <w:rFonts w:ascii="Tahoma" w:hAnsi="Tahoma" w:cs="Tahoma"/>
          <w:sz w:val="24"/>
          <w:szCs w:val="24"/>
          <w:shd w:val="clear" w:color="auto" w:fill="FFFFFF"/>
        </w:rPr>
        <w:t>Por último, la Corte Constitucional, como segundo criterio de unificación, determinó el alcance del principio de la condición más beneficiosa para el reconocimiento de la pensión de invalidez, fijando para el efecto los siguientes requisitos: “</w:t>
      </w:r>
      <w:r w:rsidRPr="008B5AF1">
        <w:rPr>
          <w:rFonts w:ascii="Tahoma" w:hAnsi="Tahoma" w:cs="Tahoma"/>
          <w:i/>
          <w:iCs/>
          <w:szCs w:val="24"/>
          <w:shd w:val="clear" w:color="auto" w:fill="FFFFFF"/>
        </w:rPr>
        <w:t>i) pérdida de la capacidad  laboral igual o superior al 50% con fecha de estructuración en vigencia de la Ley 860 de 2003, ii) que no se acredite la densidad de semanas que exige la Ley 860 de 2003, es decir que el afiliado no acredite haber cotizado 50 semanas dentro de los 3 años inmediatamente anteriores a la fecha de estructuración de la invalidez, según se certifique por la autoridad competente, en los términos del artículo 1 de la Ley 860 de 2003 y iii) que acredite la densidad de semanas que exigía el Acuerdo 049 de 1990, esto es, 150 semanas en los 6 años anteriores a la fecha de estructuración o 300 semanas en cualquier tiempo, antes de la entrada en vigencia de la Ley 100 de 1993</w:t>
      </w:r>
      <w:r w:rsidRPr="00527367">
        <w:rPr>
          <w:rFonts w:ascii="Tahoma" w:hAnsi="Tahoma" w:cs="Tahoma"/>
          <w:i/>
          <w:iCs/>
          <w:sz w:val="24"/>
          <w:szCs w:val="24"/>
          <w:shd w:val="clear" w:color="auto" w:fill="FFFFFF"/>
        </w:rPr>
        <w:t>.”</w:t>
      </w:r>
    </w:p>
    <w:p w14:paraId="62FEB0AF" w14:textId="77777777" w:rsidR="00D85E4E" w:rsidRPr="00527367" w:rsidRDefault="00D85E4E" w:rsidP="00527367">
      <w:pPr>
        <w:shd w:val="clear" w:color="auto" w:fill="FFFFFF"/>
        <w:spacing w:line="276" w:lineRule="auto"/>
        <w:ind w:firstLine="708"/>
        <w:jc w:val="both"/>
        <w:rPr>
          <w:rFonts w:ascii="Tahoma" w:hAnsi="Tahoma" w:cs="Tahoma"/>
          <w:i/>
          <w:iCs/>
          <w:sz w:val="24"/>
          <w:szCs w:val="24"/>
          <w:shd w:val="clear" w:color="auto" w:fill="FFFFFF"/>
        </w:rPr>
      </w:pPr>
    </w:p>
    <w:p w14:paraId="5FCD21D5" w14:textId="77777777" w:rsidR="00D85E4E" w:rsidRPr="00527367" w:rsidRDefault="00D85E4E" w:rsidP="00527367">
      <w:pPr>
        <w:pStyle w:val="paragraph"/>
        <w:spacing w:before="0" w:beforeAutospacing="0" w:after="0" w:afterAutospacing="0" w:line="276" w:lineRule="auto"/>
        <w:ind w:firstLine="708"/>
        <w:jc w:val="both"/>
        <w:textAlignment w:val="baseline"/>
        <w:rPr>
          <w:rFonts w:ascii="Tahoma" w:hAnsi="Tahoma" w:cs="Tahoma"/>
          <w:shd w:val="clear" w:color="auto" w:fill="FFFFFF"/>
        </w:rPr>
      </w:pPr>
      <w:r w:rsidRPr="00527367">
        <w:rPr>
          <w:rFonts w:ascii="Tahoma" w:hAnsi="Tahoma" w:cs="Tahoma"/>
          <w:shd w:val="clear" w:color="auto" w:fill="FFFFFF"/>
        </w:rPr>
        <w:t xml:space="preserve">Se desprende de lo anterior que, para la Sala Plena de la Corte Constitucional, solo resulta razonable y proporcionado interpretar el principio de la condición más beneficiosa en el sentido de aplicar de manera </w:t>
      </w:r>
      <w:proofErr w:type="spellStart"/>
      <w:r w:rsidRPr="00527367">
        <w:rPr>
          <w:rFonts w:ascii="Tahoma" w:hAnsi="Tahoma" w:cs="Tahoma"/>
          <w:shd w:val="clear" w:color="auto" w:fill="FFFFFF"/>
        </w:rPr>
        <w:t>ultractiva</w:t>
      </w:r>
      <w:proofErr w:type="spellEnd"/>
      <w:r w:rsidRPr="00527367">
        <w:rPr>
          <w:rFonts w:ascii="Tahoma" w:hAnsi="Tahoma" w:cs="Tahoma"/>
          <w:shd w:val="clear" w:color="auto" w:fill="FFFFFF"/>
        </w:rPr>
        <w:t xml:space="preserve"> las disposiciones del Acuerdo 049 de 1990, en los eventos en que la invalidez se estructura en vigencia de la Ley 860 de 2003, cuando el accionante es una persona en situación de vulnerabilidad, es decir, cuando satisface las exigencias del test de procedencia. </w:t>
      </w:r>
    </w:p>
    <w:p w14:paraId="5B97D6AC" w14:textId="77777777" w:rsidR="00D85E4E" w:rsidRPr="00527367" w:rsidRDefault="00D85E4E" w:rsidP="00527367">
      <w:pPr>
        <w:shd w:val="clear" w:color="auto" w:fill="FFFFFF"/>
        <w:spacing w:line="276" w:lineRule="auto"/>
        <w:ind w:firstLine="708"/>
        <w:jc w:val="both"/>
        <w:rPr>
          <w:rFonts w:ascii="Tahoma" w:hAnsi="Tahoma" w:cs="Tahoma"/>
          <w:i/>
          <w:iCs/>
          <w:sz w:val="24"/>
          <w:szCs w:val="24"/>
          <w:shd w:val="clear" w:color="auto" w:fill="FFFFFF"/>
        </w:rPr>
      </w:pPr>
    </w:p>
    <w:p w14:paraId="6B136CB5" w14:textId="0170E4B2" w:rsidR="00D85E4E" w:rsidRPr="00527367" w:rsidRDefault="00D85E4E" w:rsidP="00527367">
      <w:pPr>
        <w:pStyle w:val="paragraph"/>
        <w:spacing w:before="0" w:beforeAutospacing="0" w:after="0" w:afterAutospacing="0" w:line="276" w:lineRule="auto"/>
        <w:ind w:firstLine="708"/>
        <w:jc w:val="both"/>
        <w:textAlignment w:val="baseline"/>
        <w:rPr>
          <w:rStyle w:val="normaltextrun"/>
          <w:rFonts w:ascii="Tahoma" w:hAnsi="Tahoma" w:cs="Tahoma"/>
          <w:lang w:val="es-MX"/>
        </w:rPr>
      </w:pPr>
      <w:bookmarkStart w:id="5" w:name="_Hlk125382746"/>
      <w:r w:rsidRPr="00527367">
        <w:rPr>
          <w:rStyle w:val="normaltextrun"/>
          <w:rFonts w:ascii="Tahoma" w:hAnsi="Tahoma" w:cs="Tahoma"/>
          <w:lang w:val="es-MX"/>
        </w:rPr>
        <w:t>Como es bien sabido, la tesis anterior es contraria a la desarrollada por la Corte Suprema de Justicia, pues para esa Colegiatura solo es posible aplicar el principio de condición más beneficiosa con la norma inmediatamente anterior, siempre y cuando la densidad de semanas exigidas por la norma anterior se hubiese hecho dentro de un determinado período</w:t>
      </w:r>
      <w:bookmarkEnd w:id="5"/>
      <w:r w:rsidRPr="00527367">
        <w:rPr>
          <w:rStyle w:val="normaltextrun"/>
          <w:rFonts w:ascii="Tahoma" w:hAnsi="Tahoma" w:cs="Tahoma"/>
          <w:lang w:val="es-MX"/>
        </w:rPr>
        <w:t xml:space="preserve">. Así entonces, cuando la estructuración de la invalidez se da en vigencia de la Ley 860 de 2003, pero no fuere posible aplicar esa norma porque el afiliado no cuenta con las 50 semanas en los tres años anteriores, la Sala de Casación Laboral acepta la aplicación </w:t>
      </w:r>
      <w:proofErr w:type="spellStart"/>
      <w:r w:rsidRPr="00527367">
        <w:rPr>
          <w:rStyle w:val="normaltextrun"/>
          <w:rFonts w:ascii="Tahoma" w:hAnsi="Tahoma" w:cs="Tahoma"/>
          <w:lang w:val="es-MX"/>
        </w:rPr>
        <w:t>ultractiva</w:t>
      </w:r>
      <w:proofErr w:type="spellEnd"/>
      <w:r w:rsidRPr="00527367">
        <w:rPr>
          <w:rStyle w:val="normaltextrun"/>
          <w:rFonts w:ascii="Tahoma" w:hAnsi="Tahoma" w:cs="Tahoma"/>
          <w:lang w:val="es-MX"/>
        </w:rPr>
        <w:t xml:space="preserve"> (principio de condición más beneficiosa) únicamente de la ley 100 original y no del Acuerdo 049 de 1990, siempre y cuando las 26 semanas de cotización que establecía la ley 100 original se hubieren cotizado dentro de los 3 años anteriores a la vigencia de la ley 860 de 2003.  </w:t>
      </w:r>
    </w:p>
    <w:p w14:paraId="769BBDBB" w14:textId="1DD44C67" w:rsidR="00FA2E5E" w:rsidRDefault="00D85E4E" w:rsidP="00527367">
      <w:pPr>
        <w:pStyle w:val="paragraph"/>
        <w:spacing w:before="0" w:beforeAutospacing="0" w:after="0" w:afterAutospacing="0" w:line="276" w:lineRule="auto"/>
        <w:jc w:val="both"/>
        <w:textAlignment w:val="baseline"/>
        <w:rPr>
          <w:rFonts w:ascii="Tahoma" w:hAnsi="Tahoma" w:cs="Tahoma"/>
          <w:shd w:val="clear" w:color="auto" w:fill="FFFFFF"/>
        </w:rPr>
      </w:pPr>
      <w:r w:rsidRPr="00527367">
        <w:rPr>
          <w:rFonts w:ascii="Tahoma" w:hAnsi="Tahoma" w:cs="Tahoma"/>
          <w:shd w:val="clear" w:color="auto" w:fill="FFFFFF"/>
        </w:rPr>
        <w:tab/>
      </w:r>
    </w:p>
    <w:p w14:paraId="7483D6CB" w14:textId="77777777" w:rsidR="006C2210" w:rsidRPr="00527367" w:rsidRDefault="006C2210" w:rsidP="00527367">
      <w:pPr>
        <w:pStyle w:val="paragraph"/>
        <w:spacing w:before="0" w:beforeAutospacing="0" w:after="0" w:afterAutospacing="0" w:line="276" w:lineRule="auto"/>
        <w:jc w:val="both"/>
        <w:textAlignment w:val="baseline"/>
        <w:rPr>
          <w:rFonts w:ascii="Tahoma" w:hAnsi="Tahoma" w:cs="Tahoma"/>
          <w:shd w:val="clear" w:color="auto" w:fill="FFFFFF"/>
        </w:rPr>
      </w:pPr>
    </w:p>
    <w:p w14:paraId="68C323DB" w14:textId="4DEEA939" w:rsidR="002C5FB2" w:rsidRPr="006C2210" w:rsidRDefault="00057A11" w:rsidP="006C2210">
      <w:pPr>
        <w:pStyle w:val="Prrafodelista"/>
        <w:widowControl w:val="0"/>
        <w:numPr>
          <w:ilvl w:val="0"/>
          <w:numId w:val="12"/>
        </w:numPr>
        <w:autoSpaceDE w:val="0"/>
        <w:autoSpaceDN w:val="0"/>
        <w:adjustRightInd w:val="0"/>
        <w:spacing w:line="276" w:lineRule="auto"/>
        <w:ind w:left="1066"/>
        <w:jc w:val="center"/>
        <w:rPr>
          <w:rFonts w:ascii="Tahoma" w:hAnsi="Tahoma" w:cs="Tahoma"/>
          <w:b/>
          <w:bCs/>
          <w:sz w:val="24"/>
          <w:szCs w:val="24"/>
        </w:rPr>
      </w:pPr>
      <w:r w:rsidRPr="006C2210">
        <w:rPr>
          <w:rFonts w:ascii="Tahoma" w:hAnsi="Tahoma" w:cs="Tahoma"/>
          <w:b/>
          <w:bCs/>
          <w:sz w:val="24"/>
          <w:szCs w:val="24"/>
        </w:rPr>
        <w:t xml:space="preserve"> CASO CONCRETO</w:t>
      </w:r>
    </w:p>
    <w:p w14:paraId="77869EDC" w14:textId="77777777" w:rsidR="00A37220" w:rsidRPr="00527367" w:rsidRDefault="00A37220" w:rsidP="00527367">
      <w:pPr>
        <w:pStyle w:val="NormalWeb"/>
        <w:spacing w:before="0" w:beforeAutospacing="0" w:after="0" w:afterAutospacing="0" w:line="276" w:lineRule="auto"/>
        <w:rPr>
          <w:rFonts w:ascii="Tahoma" w:hAnsi="Tahoma" w:cs="Tahoma"/>
          <w:b/>
        </w:rPr>
      </w:pPr>
    </w:p>
    <w:p w14:paraId="6B2D63BC" w14:textId="17C1A3A7" w:rsidR="00A37220" w:rsidRPr="00527367" w:rsidRDefault="00A37220" w:rsidP="00527367">
      <w:pPr>
        <w:pStyle w:val="NormalWeb"/>
        <w:spacing w:before="0" w:beforeAutospacing="0" w:after="0" w:afterAutospacing="0" w:line="276" w:lineRule="auto"/>
        <w:jc w:val="both"/>
        <w:rPr>
          <w:rFonts w:ascii="Tahoma" w:hAnsi="Tahoma" w:cs="Tahoma"/>
        </w:rPr>
      </w:pPr>
      <w:r w:rsidRPr="00527367">
        <w:rPr>
          <w:rFonts w:ascii="Tahoma" w:hAnsi="Tahoma" w:cs="Tahoma"/>
          <w:b/>
        </w:rPr>
        <w:tab/>
      </w:r>
      <w:r w:rsidRPr="00527367">
        <w:rPr>
          <w:rFonts w:ascii="Tahoma" w:hAnsi="Tahoma" w:cs="Tahoma"/>
        </w:rPr>
        <w:t>En el presente caso, está plenamente probado que la pérdida de capacidad laboral de</w:t>
      </w:r>
      <w:r w:rsidR="003C4977" w:rsidRPr="00527367">
        <w:rPr>
          <w:rFonts w:ascii="Tahoma" w:hAnsi="Tahoma" w:cs="Tahoma"/>
        </w:rPr>
        <w:t xml:space="preserve"> la parte </w:t>
      </w:r>
      <w:r w:rsidRPr="00527367">
        <w:rPr>
          <w:rFonts w:ascii="Tahoma" w:hAnsi="Tahoma" w:cs="Tahoma"/>
        </w:rPr>
        <w:t xml:space="preserve">demandante se presentó en vigencia de la Ley 860 de 2003, pero </w:t>
      </w:r>
      <w:r w:rsidRPr="00527367">
        <w:rPr>
          <w:rFonts w:ascii="Tahoma" w:hAnsi="Tahoma" w:cs="Tahoma"/>
        </w:rPr>
        <w:lastRenderedPageBreak/>
        <w:t>aquella no tiene 50 semanas cotizadas en los 3 años anteriores a la estructuración de la invalidez</w:t>
      </w:r>
      <w:r w:rsidR="003C4977" w:rsidRPr="00527367">
        <w:rPr>
          <w:rFonts w:ascii="Tahoma" w:hAnsi="Tahoma" w:cs="Tahoma"/>
        </w:rPr>
        <w:t>.</w:t>
      </w:r>
      <w:r w:rsidRPr="00527367">
        <w:rPr>
          <w:rFonts w:ascii="Tahoma" w:hAnsi="Tahoma" w:cs="Tahoma"/>
        </w:rPr>
        <w:t xml:space="preserve"> En consecuencia, el análisis de este asunto se hará bajo el principio de la condición más beneficiosa, </w:t>
      </w:r>
      <w:r w:rsidR="003C4977" w:rsidRPr="00527367">
        <w:rPr>
          <w:rFonts w:ascii="Tahoma" w:hAnsi="Tahoma" w:cs="Tahoma"/>
        </w:rPr>
        <w:t>bajo la tesis del test de procedencia de la Corte Constitucional</w:t>
      </w:r>
      <w:r w:rsidR="00EB70F7" w:rsidRPr="00527367">
        <w:rPr>
          <w:rFonts w:ascii="Tahoma" w:hAnsi="Tahoma" w:cs="Tahoma"/>
        </w:rPr>
        <w:t>.</w:t>
      </w:r>
    </w:p>
    <w:p w14:paraId="475814E3" w14:textId="77777777" w:rsidR="00A37220" w:rsidRPr="00527367" w:rsidRDefault="00A37220" w:rsidP="00527367">
      <w:pPr>
        <w:pStyle w:val="NormalWeb"/>
        <w:spacing w:before="0" w:beforeAutospacing="0" w:after="0" w:afterAutospacing="0" w:line="276" w:lineRule="auto"/>
        <w:jc w:val="both"/>
        <w:rPr>
          <w:rFonts w:ascii="Tahoma" w:hAnsi="Tahoma" w:cs="Tahoma"/>
        </w:rPr>
      </w:pPr>
    </w:p>
    <w:p w14:paraId="19263065" w14:textId="770451B8" w:rsidR="00A37220" w:rsidRPr="00527367" w:rsidRDefault="00EB70F7" w:rsidP="00527367">
      <w:pPr>
        <w:pStyle w:val="NormalWeb"/>
        <w:spacing w:before="0" w:beforeAutospacing="0" w:after="0" w:afterAutospacing="0" w:line="276" w:lineRule="auto"/>
        <w:ind w:firstLine="708"/>
        <w:jc w:val="both"/>
        <w:rPr>
          <w:rFonts w:ascii="Tahoma" w:hAnsi="Tahoma" w:cs="Tahoma"/>
          <w:bCs/>
        </w:rPr>
      </w:pPr>
      <w:r w:rsidRPr="00527367">
        <w:rPr>
          <w:rFonts w:ascii="Tahoma" w:hAnsi="Tahoma" w:cs="Tahoma"/>
        </w:rPr>
        <w:t xml:space="preserve">Lo anterior, por cuanto </w:t>
      </w:r>
      <w:r w:rsidR="00A37220" w:rsidRPr="00527367">
        <w:rPr>
          <w:rFonts w:ascii="Tahoma" w:hAnsi="Tahoma" w:cs="Tahoma"/>
          <w:bCs/>
        </w:rPr>
        <w:t>exist</w:t>
      </w:r>
      <w:r w:rsidRPr="00527367">
        <w:rPr>
          <w:rFonts w:ascii="Tahoma" w:hAnsi="Tahoma" w:cs="Tahoma"/>
          <w:bCs/>
        </w:rPr>
        <w:t>iendo</w:t>
      </w:r>
      <w:r w:rsidR="00A37220" w:rsidRPr="00527367">
        <w:rPr>
          <w:rFonts w:ascii="Tahoma" w:hAnsi="Tahoma" w:cs="Tahoma"/>
          <w:bCs/>
        </w:rPr>
        <w:t xml:space="preserve"> dos interpretaciones respecto a la aplicación del principio de condición más beneficiosa, la Sala mayoritaria se inclina por aplicar la más favorable al actor, esto es, la tesis de la Corte Constitucional, conforme lo establece el artículo 53 de la Carta Política</w:t>
      </w:r>
      <w:r w:rsidR="00A37220" w:rsidRPr="00527367">
        <w:rPr>
          <w:rStyle w:val="Refdenotaalpie"/>
          <w:rFonts w:ascii="Tahoma" w:hAnsi="Tahoma" w:cs="Tahoma"/>
          <w:bCs/>
        </w:rPr>
        <w:footnoteReference w:id="1"/>
      </w:r>
      <w:r w:rsidR="00A37220" w:rsidRPr="00527367">
        <w:rPr>
          <w:rFonts w:ascii="Tahoma" w:hAnsi="Tahoma" w:cs="Tahoma"/>
          <w:bCs/>
        </w:rPr>
        <w:t xml:space="preserve"> . En ese sentido a continuación se verificarán los requisitos de subsidiariedad determinados por la Corte Constitucional como “test de procedencia” en la sentencia SU-556/19, los cuales se encuentran detalladamente citados en acápites anteriores, y aunque dichos requisitos de subsidiaridad en principio pertenecen a la esfera del amparo constitucional, no se puede pasar por alto que el derecho a la seguridad social en pensiones tiene carácter de </w:t>
      </w:r>
      <w:r w:rsidR="00A37220" w:rsidRPr="00527367">
        <w:rPr>
          <w:rFonts w:ascii="Tahoma" w:hAnsi="Tahoma" w:cs="Tahoma"/>
          <w:bCs/>
          <w:i/>
        </w:rPr>
        <w:t xml:space="preserve">fundamental </w:t>
      </w:r>
      <w:r w:rsidR="00A37220" w:rsidRPr="00527367">
        <w:rPr>
          <w:rFonts w:ascii="Tahoma" w:hAnsi="Tahoma" w:cs="Tahoma"/>
          <w:bCs/>
        </w:rPr>
        <w:t>donde quiera que se lo analice, bien en la jurisdicción ordinaria, ora en la jurisdicción constitucional. En ese sentido, como la Sala mayoritaria acoge la interpretación del Alto Tribunal Constitucional, la aplicación del precedente debe ser integral y no parcial, lo que de suyo impide que el juez ordinario no tenga en cuenta que para la flexibilización del principio de condición más beneficiosa la Corte Constitucional dirigió la interpretación a un sujeto cualificado.</w:t>
      </w:r>
    </w:p>
    <w:p w14:paraId="5C3D9CF4" w14:textId="77777777" w:rsidR="00A37220" w:rsidRPr="00527367" w:rsidRDefault="00A37220" w:rsidP="00527367">
      <w:pPr>
        <w:pStyle w:val="NormalWeb"/>
        <w:spacing w:before="0" w:beforeAutospacing="0" w:after="0" w:afterAutospacing="0" w:line="276" w:lineRule="auto"/>
        <w:jc w:val="both"/>
        <w:rPr>
          <w:rFonts w:ascii="Tahoma" w:hAnsi="Tahoma" w:cs="Tahoma"/>
          <w:bCs/>
        </w:rPr>
      </w:pPr>
    </w:p>
    <w:p w14:paraId="42BB1222" w14:textId="2B5E5066" w:rsidR="00A37220" w:rsidRPr="00527367" w:rsidRDefault="00A37220" w:rsidP="00527367">
      <w:pPr>
        <w:pStyle w:val="NormalWeb"/>
        <w:spacing w:before="0" w:beforeAutospacing="0" w:after="0" w:afterAutospacing="0" w:line="276" w:lineRule="auto"/>
        <w:ind w:firstLine="708"/>
        <w:jc w:val="both"/>
        <w:rPr>
          <w:rFonts w:ascii="Tahoma" w:hAnsi="Tahoma" w:cs="Tahoma"/>
          <w:bCs/>
        </w:rPr>
      </w:pPr>
      <w:r w:rsidRPr="00527367">
        <w:rPr>
          <w:rFonts w:ascii="Tahoma" w:hAnsi="Tahoma" w:cs="Tahoma"/>
          <w:bCs/>
        </w:rPr>
        <w:t>En el caso objeto de estudio, en primer lugar</w:t>
      </w:r>
      <w:r w:rsidRPr="00527367">
        <w:rPr>
          <w:rStyle w:val="Refdenotaalpie"/>
          <w:rFonts w:ascii="Tahoma" w:hAnsi="Tahoma" w:cs="Tahoma"/>
          <w:bCs/>
        </w:rPr>
        <w:footnoteReference w:id="2"/>
      </w:r>
      <w:r w:rsidRPr="00527367">
        <w:rPr>
          <w:rFonts w:ascii="Tahoma" w:hAnsi="Tahoma" w:cs="Tahoma"/>
          <w:bCs/>
        </w:rPr>
        <w:t>, se tiene que la señora Dolly Jaramillo de Mejía pertenece a un grupo de especial protección constitucional por estar inmerso dentro del universo de personas de la tercera edad, de conformidad con el artículo 7 de la Ley 1276 de 2009, esto es, por tener más de 60 años (en este caso 70 años).</w:t>
      </w:r>
    </w:p>
    <w:p w14:paraId="5C3F18E4" w14:textId="77777777" w:rsidR="000001F6" w:rsidRPr="00527367" w:rsidRDefault="000001F6" w:rsidP="00527367">
      <w:pPr>
        <w:pStyle w:val="NormalWeb"/>
        <w:spacing w:before="0" w:beforeAutospacing="0" w:after="0" w:afterAutospacing="0" w:line="276" w:lineRule="auto"/>
        <w:ind w:firstLine="708"/>
        <w:jc w:val="both"/>
        <w:rPr>
          <w:rFonts w:ascii="Tahoma" w:hAnsi="Tahoma" w:cs="Tahoma"/>
          <w:bCs/>
        </w:rPr>
      </w:pPr>
    </w:p>
    <w:p w14:paraId="1D5F5F4C" w14:textId="7BC007D6" w:rsidR="006076D7" w:rsidRPr="00527367" w:rsidRDefault="000001F6" w:rsidP="00527367">
      <w:pPr>
        <w:spacing w:line="276" w:lineRule="auto"/>
        <w:ind w:firstLine="709"/>
        <w:jc w:val="both"/>
        <w:rPr>
          <w:rFonts w:ascii="Tahoma" w:hAnsi="Tahoma" w:cs="Tahoma"/>
          <w:bCs/>
          <w:sz w:val="24"/>
          <w:szCs w:val="24"/>
        </w:rPr>
      </w:pPr>
      <w:r w:rsidRPr="00527367">
        <w:rPr>
          <w:rFonts w:ascii="Tahoma" w:hAnsi="Tahoma" w:cs="Tahoma"/>
          <w:bCs/>
          <w:sz w:val="24"/>
          <w:szCs w:val="24"/>
        </w:rPr>
        <w:t>En lo que atañe al segundo requisito</w:t>
      </w:r>
      <w:r w:rsidRPr="00527367">
        <w:rPr>
          <w:rStyle w:val="Refdenotaalpie"/>
          <w:rFonts w:ascii="Tahoma" w:hAnsi="Tahoma" w:cs="Tahoma"/>
          <w:bCs/>
          <w:sz w:val="24"/>
          <w:szCs w:val="24"/>
        </w:rPr>
        <w:footnoteReference w:id="3"/>
      </w:r>
      <w:r w:rsidRPr="00527367">
        <w:rPr>
          <w:rFonts w:ascii="Tahoma" w:hAnsi="Tahoma" w:cs="Tahoma"/>
          <w:bCs/>
          <w:sz w:val="24"/>
          <w:szCs w:val="24"/>
        </w:rPr>
        <w:t>,</w:t>
      </w:r>
      <w:r w:rsidR="00823C51" w:rsidRPr="00527367">
        <w:rPr>
          <w:rFonts w:ascii="Tahoma" w:hAnsi="Tahoma" w:cs="Tahoma"/>
          <w:bCs/>
          <w:sz w:val="24"/>
          <w:szCs w:val="24"/>
        </w:rPr>
        <w:t xml:space="preserve"> acreditado se encuentra, por cuanto la solicitante es una persona de la tercera edad, que se encuentra en una situación precaria de salud,</w:t>
      </w:r>
      <w:r w:rsidR="006076D7" w:rsidRPr="00527367">
        <w:rPr>
          <w:rFonts w:ascii="Tahoma" w:hAnsi="Tahoma" w:cs="Tahoma"/>
          <w:bCs/>
          <w:sz w:val="24"/>
          <w:szCs w:val="24"/>
        </w:rPr>
        <w:t xml:space="preserve"> </w:t>
      </w:r>
      <w:r w:rsidR="00DD4E77" w:rsidRPr="00527367">
        <w:rPr>
          <w:rFonts w:ascii="Tahoma" w:hAnsi="Tahoma" w:cs="Tahoma"/>
          <w:bCs/>
          <w:sz w:val="24"/>
          <w:szCs w:val="24"/>
        </w:rPr>
        <w:t>debido a que</w:t>
      </w:r>
      <w:r w:rsidR="006076D7" w:rsidRPr="00527367">
        <w:rPr>
          <w:rFonts w:ascii="Tahoma" w:hAnsi="Tahoma" w:cs="Tahoma"/>
          <w:bCs/>
          <w:sz w:val="24"/>
          <w:szCs w:val="24"/>
        </w:rPr>
        <w:t xml:space="preserve"> tiene problemas de salud desde hace más de 10 años, se desplaza con dificultad para </w:t>
      </w:r>
      <w:r w:rsidR="0077041E" w:rsidRPr="00527367">
        <w:rPr>
          <w:rFonts w:ascii="Tahoma" w:hAnsi="Tahoma" w:cs="Tahoma"/>
          <w:bCs/>
          <w:sz w:val="24"/>
          <w:szCs w:val="24"/>
        </w:rPr>
        <w:t>caminar,</w:t>
      </w:r>
      <w:r w:rsidR="00DD4E77" w:rsidRPr="00527367">
        <w:rPr>
          <w:rFonts w:ascii="Tahoma" w:hAnsi="Tahoma" w:cs="Tahoma"/>
          <w:bCs/>
          <w:sz w:val="24"/>
          <w:szCs w:val="24"/>
        </w:rPr>
        <w:t xml:space="preserve"> además de que</w:t>
      </w:r>
      <w:r w:rsidR="006076D7" w:rsidRPr="00527367">
        <w:rPr>
          <w:rFonts w:ascii="Tahoma" w:hAnsi="Tahoma" w:cs="Tahoma"/>
          <w:bCs/>
          <w:sz w:val="24"/>
          <w:szCs w:val="24"/>
        </w:rPr>
        <w:t xml:space="preserve"> padece </w:t>
      </w:r>
      <w:r w:rsidR="00DD4E77" w:rsidRPr="00527367">
        <w:rPr>
          <w:rFonts w:ascii="Tahoma" w:hAnsi="Tahoma" w:cs="Tahoma"/>
          <w:bCs/>
          <w:sz w:val="24"/>
          <w:szCs w:val="24"/>
        </w:rPr>
        <w:t xml:space="preserve">de las enfermedades de diabetes mellitus no insulinodependiente, hipertensión esencial (primaria), insuficiencia renal crónica y </w:t>
      </w:r>
      <w:proofErr w:type="spellStart"/>
      <w:r w:rsidR="00DD4E77" w:rsidRPr="00527367">
        <w:rPr>
          <w:rFonts w:ascii="Tahoma" w:hAnsi="Tahoma" w:cs="Tahoma"/>
          <w:bCs/>
          <w:sz w:val="24"/>
          <w:szCs w:val="24"/>
        </w:rPr>
        <w:t>poliartrosis</w:t>
      </w:r>
      <w:proofErr w:type="spellEnd"/>
      <w:r w:rsidR="00DD4E77" w:rsidRPr="00527367">
        <w:rPr>
          <w:rFonts w:ascii="Tahoma" w:hAnsi="Tahoma" w:cs="Tahoma"/>
          <w:bCs/>
          <w:sz w:val="24"/>
          <w:szCs w:val="24"/>
        </w:rPr>
        <w:t xml:space="preserve">. </w:t>
      </w:r>
      <w:r w:rsidR="00924DD7" w:rsidRPr="00527367">
        <w:rPr>
          <w:rFonts w:ascii="Tahoma" w:hAnsi="Tahoma" w:cs="Tahoma"/>
          <w:bCs/>
          <w:sz w:val="24"/>
          <w:szCs w:val="24"/>
        </w:rPr>
        <w:t xml:space="preserve">En consecuencia, se puede concluir que la actora a su avanzada edad y con sus graves padecimientos de salud, no puede </w:t>
      </w:r>
      <w:r w:rsidR="00924DD7" w:rsidRPr="00527367">
        <w:rPr>
          <w:rFonts w:ascii="Tahoma" w:hAnsi="Tahoma" w:cs="Tahoma"/>
          <w:bCs/>
          <w:sz w:val="24"/>
          <w:szCs w:val="24"/>
        </w:rPr>
        <w:lastRenderedPageBreak/>
        <w:t xml:space="preserve">adelantar ninguna labor que me permita obtener un sustento económico para sobrevivir en condiciones dignas. </w:t>
      </w:r>
    </w:p>
    <w:p w14:paraId="63724ACE" w14:textId="09F5397A" w:rsidR="006076D7" w:rsidRPr="00527367" w:rsidRDefault="006076D7" w:rsidP="00527367">
      <w:pPr>
        <w:spacing w:line="276" w:lineRule="auto"/>
        <w:ind w:firstLine="709"/>
        <w:jc w:val="both"/>
        <w:rPr>
          <w:rFonts w:ascii="Tahoma" w:hAnsi="Tahoma" w:cs="Tahoma"/>
          <w:bCs/>
          <w:sz w:val="24"/>
          <w:szCs w:val="24"/>
        </w:rPr>
      </w:pPr>
    </w:p>
    <w:p w14:paraId="1FAAA256" w14:textId="5A5760C6" w:rsidR="00DD4E77" w:rsidRPr="00527367" w:rsidRDefault="00DD4E77" w:rsidP="00527367">
      <w:pPr>
        <w:spacing w:line="276" w:lineRule="auto"/>
        <w:ind w:firstLine="709"/>
        <w:jc w:val="both"/>
        <w:rPr>
          <w:rFonts w:ascii="Tahoma" w:hAnsi="Tahoma" w:cs="Tahoma"/>
          <w:bCs/>
          <w:sz w:val="24"/>
          <w:szCs w:val="24"/>
        </w:rPr>
      </w:pPr>
      <w:r w:rsidRPr="00527367">
        <w:rPr>
          <w:rFonts w:ascii="Tahoma" w:hAnsi="Tahoma" w:cs="Tahoma"/>
          <w:bCs/>
          <w:sz w:val="24"/>
          <w:szCs w:val="24"/>
        </w:rPr>
        <w:t>En lo que respecta a la tercera condición</w:t>
      </w:r>
      <w:r w:rsidRPr="00527367">
        <w:rPr>
          <w:rStyle w:val="Refdenotaalpie"/>
          <w:rFonts w:ascii="Tahoma" w:hAnsi="Tahoma" w:cs="Tahoma"/>
          <w:bCs/>
          <w:sz w:val="24"/>
          <w:szCs w:val="24"/>
        </w:rPr>
        <w:footnoteReference w:id="4"/>
      </w:r>
      <w:r w:rsidRPr="00527367">
        <w:rPr>
          <w:rFonts w:ascii="Tahoma" w:hAnsi="Tahoma" w:cs="Tahoma"/>
          <w:bCs/>
          <w:sz w:val="24"/>
          <w:szCs w:val="24"/>
        </w:rPr>
        <w:t>, se desprende del acervo probatorio la imposibilidad de la actor</w:t>
      </w:r>
      <w:r w:rsidR="0077041E" w:rsidRPr="00527367">
        <w:rPr>
          <w:rFonts w:ascii="Tahoma" w:hAnsi="Tahoma" w:cs="Tahoma"/>
          <w:bCs/>
          <w:sz w:val="24"/>
          <w:szCs w:val="24"/>
        </w:rPr>
        <w:t>a</w:t>
      </w:r>
      <w:r w:rsidRPr="00527367">
        <w:rPr>
          <w:rFonts w:ascii="Tahoma" w:hAnsi="Tahoma" w:cs="Tahoma"/>
          <w:bCs/>
          <w:sz w:val="24"/>
          <w:szCs w:val="24"/>
        </w:rPr>
        <w:t xml:space="preserve"> para efectuar cotizaciones hasta el momento de la estructuración de la invalidez (24 de octubre de 2017)</w:t>
      </w:r>
      <w:r w:rsidR="0077041E" w:rsidRPr="00527367">
        <w:rPr>
          <w:rFonts w:ascii="Tahoma" w:hAnsi="Tahoma" w:cs="Tahoma"/>
          <w:bCs/>
          <w:sz w:val="24"/>
          <w:szCs w:val="24"/>
        </w:rPr>
        <w:t>, pues consta en el dictamen de perdida de la capacidad laboral</w:t>
      </w:r>
      <w:r w:rsidR="00985B64" w:rsidRPr="00527367">
        <w:rPr>
          <w:rStyle w:val="Refdenotaalpie"/>
          <w:rFonts w:ascii="Tahoma" w:hAnsi="Tahoma" w:cs="Tahoma"/>
          <w:bCs/>
          <w:sz w:val="24"/>
          <w:szCs w:val="24"/>
        </w:rPr>
        <w:footnoteReference w:id="5"/>
      </w:r>
      <w:r w:rsidR="00985B64" w:rsidRPr="00527367">
        <w:rPr>
          <w:rFonts w:ascii="Tahoma" w:hAnsi="Tahoma" w:cs="Tahoma"/>
          <w:bCs/>
          <w:sz w:val="24"/>
          <w:szCs w:val="24"/>
        </w:rPr>
        <w:t xml:space="preserve"> </w:t>
      </w:r>
      <w:r w:rsidR="0077041E" w:rsidRPr="00527367">
        <w:rPr>
          <w:rFonts w:ascii="Tahoma" w:hAnsi="Tahoma" w:cs="Tahoma"/>
          <w:bCs/>
          <w:sz w:val="24"/>
          <w:szCs w:val="24"/>
        </w:rPr>
        <w:t>que la demandante tiene un proceso artrósico de varios años</w:t>
      </w:r>
      <w:r w:rsidR="00985B64" w:rsidRPr="00527367">
        <w:rPr>
          <w:rFonts w:ascii="Tahoma" w:hAnsi="Tahoma" w:cs="Tahoma"/>
          <w:bCs/>
          <w:sz w:val="24"/>
          <w:szCs w:val="24"/>
        </w:rPr>
        <w:t xml:space="preserve"> de evolución que le compromete especialmente las rodillas y la cadera. Su artrosis evolucionaba con dolor y limitación severa en la cadera izquierda por lo que el 27 de septiembre de 2017 se le realizó un reemplazo de cadera izquierda.</w:t>
      </w:r>
    </w:p>
    <w:p w14:paraId="24DE97B1" w14:textId="77777777" w:rsidR="006076D7" w:rsidRPr="00527367" w:rsidRDefault="006076D7" w:rsidP="00527367">
      <w:pPr>
        <w:spacing w:line="276" w:lineRule="auto"/>
        <w:ind w:firstLine="709"/>
        <w:jc w:val="both"/>
        <w:rPr>
          <w:rFonts w:ascii="Tahoma" w:hAnsi="Tahoma" w:cs="Tahoma"/>
          <w:bCs/>
          <w:sz w:val="24"/>
          <w:szCs w:val="24"/>
        </w:rPr>
      </w:pPr>
    </w:p>
    <w:p w14:paraId="4EF8D371" w14:textId="152D0C87" w:rsidR="006076D7" w:rsidRPr="00527367" w:rsidRDefault="00947658" w:rsidP="00527367">
      <w:pPr>
        <w:spacing w:line="276" w:lineRule="auto"/>
        <w:ind w:firstLine="709"/>
        <w:jc w:val="both"/>
        <w:rPr>
          <w:rFonts w:ascii="Tahoma" w:hAnsi="Tahoma" w:cs="Tahoma"/>
          <w:bCs/>
          <w:sz w:val="24"/>
          <w:szCs w:val="24"/>
        </w:rPr>
      </w:pPr>
      <w:r w:rsidRPr="00527367">
        <w:rPr>
          <w:rFonts w:ascii="Tahoma" w:hAnsi="Tahoma" w:cs="Tahoma"/>
          <w:bCs/>
          <w:sz w:val="24"/>
          <w:szCs w:val="24"/>
        </w:rPr>
        <w:t>Frente al último requisito</w:t>
      </w:r>
      <w:r w:rsidRPr="00527367">
        <w:rPr>
          <w:rStyle w:val="Refdenotaalpie"/>
          <w:rFonts w:ascii="Tahoma" w:hAnsi="Tahoma" w:cs="Tahoma"/>
          <w:bCs/>
          <w:sz w:val="24"/>
          <w:szCs w:val="24"/>
        </w:rPr>
        <w:footnoteReference w:id="6"/>
      </w:r>
      <w:r w:rsidRPr="00527367">
        <w:rPr>
          <w:rFonts w:ascii="Tahoma" w:hAnsi="Tahoma" w:cs="Tahoma"/>
          <w:bCs/>
          <w:sz w:val="24"/>
          <w:szCs w:val="24"/>
        </w:rPr>
        <w:t>, se comprueba una actuar diligente de</w:t>
      </w:r>
      <w:r w:rsidR="00EB70F7" w:rsidRPr="00527367">
        <w:rPr>
          <w:rFonts w:ascii="Tahoma" w:hAnsi="Tahoma" w:cs="Tahoma"/>
          <w:bCs/>
          <w:sz w:val="24"/>
          <w:szCs w:val="24"/>
        </w:rPr>
        <w:t xml:space="preserve"> la parte</w:t>
      </w:r>
      <w:r w:rsidRPr="00527367">
        <w:rPr>
          <w:rFonts w:ascii="Tahoma" w:hAnsi="Tahoma" w:cs="Tahoma"/>
          <w:bCs/>
          <w:sz w:val="24"/>
          <w:szCs w:val="24"/>
        </w:rPr>
        <w:t xml:space="preserve"> demandante para solicitar el reconocimiento de la pensión de invalidez, pues la actora </w:t>
      </w:r>
      <w:r w:rsidR="00CD4A04" w:rsidRPr="00527367">
        <w:rPr>
          <w:rFonts w:ascii="Tahoma" w:hAnsi="Tahoma" w:cs="Tahoma"/>
          <w:bCs/>
          <w:sz w:val="24"/>
          <w:szCs w:val="24"/>
        </w:rPr>
        <w:t xml:space="preserve">solicitó la prestación económica de invalidez a la demandada el 31 de octubre de 2019, </w:t>
      </w:r>
      <w:r w:rsidR="00001527" w:rsidRPr="00527367">
        <w:rPr>
          <w:rFonts w:ascii="Tahoma" w:hAnsi="Tahoma" w:cs="Tahoma"/>
          <w:bCs/>
          <w:sz w:val="24"/>
          <w:szCs w:val="24"/>
        </w:rPr>
        <w:t xml:space="preserve">misma que fue </w:t>
      </w:r>
      <w:r w:rsidR="00CD4A04" w:rsidRPr="00527367">
        <w:rPr>
          <w:rFonts w:ascii="Tahoma" w:hAnsi="Tahoma" w:cs="Tahoma"/>
          <w:bCs/>
          <w:sz w:val="24"/>
          <w:szCs w:val="24"/>
        </w:rPr>
        <w:t xml:space="preserve">resuelta negativamente a través de la Resolución </w:t>
      </w:r>
      <w:r w:rsidR="00CD4A04" w:rsidRPr="00527367">
        <w:rPr>
          <w:rFonts w:ascii="Tahoma" w:hAnsi="Tahoma" w:cs="Tahoma"/>
          <w:bCs/>
          <w:sz w:val="24"/>
          <w:szCs w:val="24"/>
          <w:lang w:val="es-CO"/>
        </w:rPr>
        <w:t>N°SUB1101 del 3 de enero de 2020, en donde se le negó el reconocimiento de la pensión de invalidez</w:t>
      </w:r>
      <w:r w:rsidR="00EB70F7" w:rsidRPr="00527367">
        <w:rPr>
          <w:rFonts w:ascii="Tahoma" w:hAnsi="Tahoma" w:cs="Tahoma"/>
          <w:bCs/>
          <w:sz w:val="24"/>
          <w:szCs w:val="24"/>
          <w:lang w:val="es-CO"/>
        </w:rPr>
        <w:t>. C</w:t>
      </w:r>
      <w:r w:rsidR="00001527" w:rsidRPr="00527367">
        <w:rPr>
          <w:rFonts w:ascii="Tahoma" w:hAnsi="Tahoma" w:cs="Tahoma"/>
          <w:bCs/>
          <w:sz w:val="24"/>
          <w:szCs w:val="24"/>
          <w:lang w:val="es-CO"/>
        </w:rPr>
        <w:t xml:space="preserve">ontra </w:t>
      </w:r>
      <w:r w:rsidR="00CD4A04" w:rsidRPr="00527367">
        <w:rPr>
          <w:rFonts w:ascii="Tahoma" w:hAnsi="Tahoma" w:cs="Tahoma"/>
          <w:bCs/>
          <w:sz w:val="24"/>
          <w:szCs w:val="24"/>
          <w:lang w:val="es-CO"/>
        </w:rPr>
        <w:t xml:space="preserve">esta decisión la actora presentó recurso de reposición y en subsidio el de apelación, </w:t>
      </w:r>
      <w:r w:rsidR="00001527" w:rsidRPr="00527367">
        <w:rPr>
          <w:rFonts w:ascii="Tahoma" w:hAnsi="Tahoma" w:cs="Tahoma"/>
          <w:bCs/>
          <w:sz w:val="24"/>
          <w:szCs w:val="24"/>
          <w:lang w:val="es-CO"/>
        </w:rPr>
        <w:t>que fue</w:t>
      </w:r>
      <w:r w:rsidR="00CD4A04" w:rsidRPr="00527367">
        <w:rPr>
          <w:rFonts w:ascii="Tahoma" w:hAnsi="Tahoma" w:cs="Tahoma"/>
          <w:bCs/>
          <w:sz w:val="24"/>
          <w:szCs w:val="24"/>
          <w:lang w:val="es-CO"/>
        </w:rPr>
        <w:t xml:space="preserve"> resuelto por la demandada mediante la resolución N°SUB20228 del 24 de enero de 2020, </w:t>
      </w:r>
      <w:r w:rsidR="00001527" w:rsidRPr="00527367">
        <w:rPr>
          <w:rFonts w:ascii="Tahoma" w:hAnsi="Tahoma" w:cs="Tahoma"/>
          <w:bCs/>
          <w:sz w:val="24"/>
          <w:szCs w:val="24"/>
          <w:lang w:val="es-CO"/>
        </w:rPr>
        <w:t>mediante la cual se</w:t>
      </w:r>
      <w:r w:rsidR="00CD4A04" w:rsidRPr="00527367">
        <w:rPr>
          <w:rFonts w:ascii="Tahoma" w:hAnsi="Tahoma" w:cs="Tahoma"/>
          <w:bCs/>
          <w:sz w:val="24"/>
          <w:szCs w:val="24"/>
          <w:lang w:val="es-CO"/>
        </w:rPr>
        <w:t xml:space="preserve"> confirmó en cada una de sus partes </w:t>
      </w:r>
      <w:r w:rsidR="00001527" w:rsidRPr="00527367">
        <w:rPr>
          <w:rFonts w:ascii="Tahoma" w:hAnsi="Tahoma" w:cs="Tahoma"/>
          <w:bCs/>
          <w:sz w:val="24"/>
          <w:szCs w:val="24"/>
          <w:lang w:val="es-CO"/>
        </w:rPr>
        <w:t xml:space="preserve">la resolución </w:t>
      </w:r>
      <w:proofErr w:type="spellStart"/>
      <w:r w:rsidR="00001527" w:rsidRPr="00527367">
        <w:rPr>
          <w:rFonts w:ascii="Tahoma" w:hAnsi="Tahoma" w:cs="Tahoma"/>
          <w:bCs/>
          <w:sz w:val="24"/>
          <w:szCs w:val="24"/>
          <w:lang w:val="es-CO"/>
        </w:rPr>
        <w:t>N°SUB</w:t>
      </w:r>
      <w:proofErr w:type="spellEnd"/>
      <w:r w:rsidR="00001527" w:rsidRPr="00527367">
        <w:rPr>
          <w:rFonts w:ascii="Tahoma" w:hAnsi="Tahoma" w:cs="Tahoma"/>
          <w:bCs/>
          <w:sz w:val="24"/>
          <w:szCs w:val="24"/>
          <w:lang w:val="es-CO"/>
        </w:rPr>
        <w:t xml:space="preserve"> 1101.</w:t>
      </w:r>
    </w:p>
    <w:p w14:paraId="6A8DBB93" w14:textId="77777777" w:rsidR="0023490F" w:rsidRPr="00527367" w:rsidRDefault="0023490F" w:rsidP="00527367">
      <w:pPr>
        <w:pStyle w:val="NormalWeb"/>
        <w:spacing w:before="0" w:beforeAutospacing="0" w:after="0" w:afterAutospacing="0" w:line="276" w:lineRule="auto"/>
        <w:jc w:val="both"/>
        <w:rPr>
          <w:rFonts w:ascii="Tahoma" w:hAnsi="Tahoma" w:cs="Tahoma"/>
          <w:bCs/>
        </w:rPr>
      </w:pPr>
    </w:p>
    <w:p w14:paraId="5A61F58E" w14:textId="11C350E1" w:rsidR="0023490F" w:rsidRPr="00527367" w:rsidRDefault="0023490F" w:rsidP="00527367">
      <w:pPr>
        <w:pStyle w:val="NormalWeb"/>
        <w:spacing w:before="0" w:beforeAutospacing="0" w:after="0" w:afterAutospacing="0" w:line="276" w:lineRule="auto"/>
        <w:ind w:firstLine="708"/>
        <w:jc w:val="both"/>
        <w:rPr>
          <w:rFonts w:ascii="Tahoma" w:hAnsi="Tahoma" w:cs="Tahoma"/>
          <w:bCs/>
        </w:rPr>
      </w:pPr>
      <w:r w:rsidRPr="00527367">
        <w:rPr>
          <w:rFonts w:ascii="Tahoma" w:hAnsi="Tahoma" w:cs="Tahoma"/>
          <w:bCs/>
        </w:rPr>
        <w:t>En este orden de ideas, surtido el test de procedencia y acredita</w:t>
      </w:r>
      <w:r w:rsidR="00EB70F7" w:rsidRPr="00527367">
        <w:rPr>
          <w:rFonts w:ascii="Tahoma" w:hAnsi="Tahoma" w:cs="Tahoma"/>
          <w:bCs/>
        </w:rPr>
        <w:t>da</w:t>
      </w:r>
      <w:r w:rsidRPr="00527367">
        <w:rPr>
          <w:rFonts w:ascii="Tahoma" w:hAnsi="Tahoma" w:cs="Tahoma"/>
          <w:bCs/>
        </w:rPr>
        <w:t xml:space="preserve">s todas y cada una de las condiciones establecidas por la Corte Constitucional en la Sentencia SU-556/19, solo resta verificar si </w:t>
      </w:r>
      <w:r w:rsidR="00EB70F7" w:rsidRPr="00527367">
        <w:rPr>
          <w:rFonts w:ascii="Tahoma" w:hAnsi="Tahoma" w:cs="Tahoma"/>
          <w:bCs/>
        </w:rPr>
        <w:t xml:space="preserve">la parte </w:t>
      </w:r>
      <w:r w:rsidRPr="00527367">
        <w:rPr>
          <w:rFonts w:ascii="Tahoma" w:hAnsi="Tahoma" w:cs="Tahoma"/>
          <w:bCs/>
        </w:rPr>
        <w:t>actor</w:t>
      </w:r>
      <w:r w:rsidR="00EB70F7" w:rsidRPr="00527367">
        <w:rPr>
          <w:rFonts w:ascii="Tahoma" w:hAnsi="Tahoma" w:cs="Tahoma"/>
          <w:bCs/>
        </w:rPr>
        <w:t>a</w:t>
      </w:r>
      <w:r w:rsidRPr="00527367">
        <w:rPr>
          <w:rFonts w:ascii="Tahoma" w:hAnsi="Tahoma" w:cs="Tahoma"/>
          <w:bCs/>
        </w:rPr>
        <w:t xml:space="preserve"> cumple con los requisitos de la norma anterior para acceder a la pensión de invalidez, por cuenta de la aplicación del principio de condición más beneficiosa. </w:t>
      </w:r>
    </w:p>
    <w:p w14:paraId="13E59B91" w14:textId="77777777" w:rsidR="0023490F" w:rsidRPr="00527367" w:rsidRDefault="0023490F" w:rsidP="00527367">
      <w:pPr>
        <w:spacing w:line="276" w:lineRule="auto"/>
        <w:ind w:firstLine="709"/>
        <w:jc w:val="both"/>
        <w:rPr>
          <w:rFonts w:ascii="Tahoma" w:hAnsi="Tahoma" w:cs="Tahoma"/>
          <w:bCs/>
          <w:sz w:val="24"/>
          <w:szCs w:val="24"/>
          <w:lang w:val="es-ES_tradnl"/>
        </w:rPr>
      </w:pPr>
    </w:p>
    <w:p w14:paraId="1F5E8D1A" w14:textId="1E0385ED" w:rsidR="0023490F" w:rsidRPr="00527367" w:rsidRDefault="0023490F" w:rsidP="00527367">
      <w:pPr>
        <w:pStyle w:val="NormalWeb"/>
        <w:spacing w:before="0" w:beforeAutospacing="0" w:after="0" w:afterAutospacing="0" w:line="276" w:lineRule="auto"/>
        <w:ind w:firstLine="708"/>
        <w:jc w:val="both"/>
        <w:rPr>
          <w:rFonts w:ascii="Tahoma" w:hAnsi="Tahoma" w:cs="Tahoma"/>
        </w:rPr>
      </w:pPr>
      <w:r w:rsidRPr="00527367">
        <w:rPr>
          <w:rFonts w:ascii="Tahoma" w:hAnsi="Tahoma" w:cs="Tahoma"/>
          <w:bCs/>
        </w:rPr>
        <w:t xml:space="preserve">De acuerdo al material probatorio y con sustento en las anteriores premisas, se concluye que la actora </w:t>
      </w:r>
      <w:r w:rsidRPr="00527367">
        <w:rPr>
          <w:rStyle w:val="normaltextrun"/>
          <w:rFonts w:ascii="Tahoma" w:hAnsi="Tahoma" w:cs="Tahoma"/>
        </w:rPr>
        <w:t xml:space="preserve">tiene derecho a la pensión de invalidez porque acredita una pérdida de la capacidad laboral del 56,87%, de origen común, estructurado el </w:t>
      </w:r>
      <w:r w:rsidR="001638AC" w:rsidRPr="00527367">
        <w:rPr>
          <w:rStyle w:val="normaltextrun"/>
          <w:rFonts w:ascii="Tahoma" w:hAnsi="Tahoma" w:cs="Tahoma"/>
        </w:rPr>
        <w:t>24 de octubre de 2017</w:t>
      </w:r>
      <w:r w:rsidRPr="00527367">
        <w:rPr>
          <w:rStyle w:val="normaltextrun"/>
          <w:rFonts w:ascii="Tahoma" w:hAnsi="Tahoma" w:cs="Tahoma"/>
        </w:rPr>
        <w:t xml:space="preserve"> y cotizó un total de </w:t>
      </w:r>
      <w:r w:rsidR="001638AC" w:rsidRPr="00527367">
        <w:rPr>
          <w:rStyle w:val="normaltextrun"/>
          <w:rFonts w:ascii="Tahoma" w:hAnsi="Tahoma" w:cs="Tahoma"/>
        </w:rPr>
        <w:t>340</w:t>
      </w:r>
      <w:r w:rsidRPr="00527367">
        <w:rPr>
          <w:rStyle w:val="normaltextrun"/>
          <w:rFonts w:ascii="Tahoma" w:hAnsi="Tahoma" w:cs="Tahoma"/>
        </w:rPr>
        <w:t xml:space="preserve"> semanas antes del 1º de abril de 1994. En consecuencia, conforme al principio de la condición más beneficiosa, su pensión se disciplina con el Acuerdo 049 de 1990, cuyos requisitos se cumplen al tener más de 300 semanas cotizadas en cualquier tiempo antes de la entrada en vigencia de la Ley 100 de 1993.</w:t>
      </w:r>
    </w:p>
    <w:p w14:paraId="1CB45005" w14:textId="57044AA5" w:rsidR="003516BA" w:rsidRPr="00527367" w:rsidRDefault="003516BA" w:rsidP="00527367">
      <w:pPr>
        <w:pStyle w:val="paragraph"/>
        <w:spacing w:before="0" w:beforeAutospacing="0" w:after="0" w:afterAutospacing="0" w:line="276" w:lineRule="auto"/>
        <w:ind w:firstLine="709"/>
        <w:jc w:val="both"/>
        <w:textAlignment w:val="baseline"/>
        <w:rPr>
          <w:rFonts w:ascii="Tahoma" w:hAnsi="Tahoma" w:cs="Tahoma"/>
          <w:lang w:val="es-ES"/>
        </w:rPr>
      </w:pPr>
    </w:p>
    <w:p w14:paraId="24AE1EDA" w14:textId="6A249AFC" w:rsidR="1D50A642" w:rsidRPr="00527367" w:rsidRDefault="1D50A642" w:rsidP="00527367">
      <w:pPr>
        <w:spacing w:line="276" w:lineRule="auto"/>
        <w:ind w:firstLine="705"/>
        <w:jc w:val="both"/>
        <w:rPr>
          <w:rFonts w:ascii="Tahoma" w:hAnsi="Tahoma" w:cs="Tahoma"/>
          <w:sz w:val="24"/>
          <w:szCs w:val="24"/>
        </w:rPr>
      </w:pPr>
      <w:r w:rsidRPr="00527367">
        <w:rPr>
          <w:rFonts w:ascii="Tahoma" w:eastAsia="Tahoma" w:hAnsi="Tahoma" w:cs="Tahoma"/>
          <w:sz w:val="24"/>
          <w:szCs w:val="24"/>
          <w:lang w:val="es"/>
        </w:rPr>
        <w:t xml:space="preserve">Consecuencia de lo anterior, se revocará este punto de la sentencia de primera instancia, en el sentido de que la actora tiene derecho al reconocimiento y pago de la prestación reclamada, su prestación económica debe reconocerse desde la fecha de estructuración, esto es, desde el 24 de octubre de 2017, toda vez que si bien, la Corte Constitucional </w:t>
      </w:r>
      <w:r w:rsidRPr="00527367">
        <w:rPr>
          <w:rFonts w:ascii="Tahoma" w:eastAsia="Tahoma" w:hAnsi="Tahoma" w:cs="Tahoma"/>
          <w:sz w:val="24"/>
          <w:szCs w:val="24"/>
        </w:rPr>
        <w:t xml:space="preserve">en sentencia de unificación SU-442/16 ordenó el reconocimiento y pago de la pensión desde la fecha de estructuración de invalidez del peticionario, por ser la </w:t>
      </w:r>
      <w:r w:rsidRPr="00527367">
        <w:rPr>
          <w:rFonts w:ascii="Tahoma" w:eastAsia="Tahoma" w:hAnsi="Tahoma" w:cs="Tahoma"/>
          <w:sz w:val="24"/>
          <w:szCs w:val="24"/>
        </w:rPr>
        <w:lastRenderedPageBreak/>
        <w:t xml:space="preserve">calenda en la que adquirió el derecho pensional. En este orden de ideas, </w:t>
      </w:r>
      <w:r w:rsidRPr="00527367">
        <w:rPr>
          <w:rFonts w:ascii="Tahoma" w:eastAsia="Tahoma" w:hAnsi="Tahoma" w:cs="Tahoma"/>
          <w:sz w:val="24"/>
          <w:szCs w:val="24"/>
          <w:lang w:val="es"/>
        </w:rPr>
        <w:t>toda vez que el legislador no previo un régimen de transición para pensión de invalidez y que, en ambas disposiciones normativas (artículo 10 del Decreto 758 de 1990 y el artículo 39 de la Ley 100 de 1993 modificado por el artículo 1 de la Ley 860 de 2003) el disfrute de la pensión de invalidez por riesgo común se reconoce y paga desde la fecha de la estructuración del estado de invalidez así se reconocerá en esta instancia procesal, razón por la cual se modificará este punto de la litis, para en su lugar conceder el derecho desde el 24 de octubre de 2017 por ser la fecha de estructuración del estado de invalidez.</w:t>
      </w:r>
    </w:p>
    <w:p w14:paraId="1BFB023F" w14:textId="38345C0B" w:rsidR="1D50A642" w:rsidRPr="00527367" w:rsidRDefault="1D50A642" w:rsidP="00527367">
      <w:pPr>
        <w:spacing w:line="276" w:lineRule="auto"/>
        <w:jc w:val="both"/>
        <w:rPr>
          <w:rFonts w:ascii="Tahoma" w:hAnsi="Tahoma" w:cs="Tahoma"/>
          <w:sz w:val="24"/>
          <w:szCs w:val="24"/>
        </w:rPr>
      </w:pPr>
      <w:r w:rsidRPr="00527367">
        <w:rPr>
          <w:rFonts w:ascii="Tahoma" w:eastAsia="Tahoma" w:hAnsi="Tahoma" w:cs="Tahoma"/>
          <w:sz w:val="24"/>
          <w:szCs w:val="24"/>
          <w:lang w:val="es"/>
        </w:rPr>
        <w:t xml:space="preserve"> </w:t>
      </w:r>
    </w:p>
    <w:p w14:paraId="7D9D688E" w14:textId="6C1F57E9" w:rsidR="1D50A642" w:rsidRPr="00527367" w:rsidRDefault="1D50A642" w:rsidP="00527367">
      <w:pPr>
        <w:spacing w:line="276" w:lineRule="auto"/>
        <w:ind w:firstLine="705"/>
        <w:jc w:val="both"/>
        <w:rPr>
          <w:rFonts w:ascii="Tahoma" w:hAnsi="Tahoma" w:cs="Tahoma"/>
          <w:sz w:val="24"/>
          <w:szCs w:val="24"/>
        </w:rPr>
      </w:pPr>
      <w:r w:rsidRPr="00527367">
        <w:rPr>
          <w:rFonts w:ascii="Tahoma" w:eastAsia="Tahoma" w:hAnsi="Tahoma" w:cs="Tahoma"/>
          <w:sz w:val="24"/>
          <w:szCs w:val="24"/>
          <w:lang w:val="es"/>
        </w:rPr>
        <w:t xml:space="preserve">En lo que respecta al reconocimiento y pago de los intereses moratorios reclamados por la parte demandante, cabe anotar que el principio de la condición más beneficiosa que aquí se aplicó, supone una excepción al carácter </w:t>
      </w:r>
      <w:proofErr w:type="spellStart"/>
      <w:r w:rsidRPr="00527367">
        <w:rPr>
          <w:rFonts w:ascii="Tahoma" w:eastAsia="Tahoma" w:hAnsi="Tahoma" w:cs="Tahoma"/>
          <w:sz w:val="24"/>
          <w:szCs w:val="24"/>
          <w:lang w:val="es"/>
        </w:rPr>
        <w:t>ultractivo</w:t>
      </w:r>
      <w:proofErr w:type="spellEnd"/>
      <w:r w:rsidRPr="00527367">
        <w:rPr>
          <w:rFonts w:ascii="Tahoma" w:eastAsia="Tahoma" w:hAnsi="Tahoma" w:cs="Tahoma"/>
          <w:sz w:val="24"/>
          <w:szCs w:val="24"/>
          <w:lang w:val="es"/>
        </w:rPr>
        <w:t xml:space="preserve"> de las leyes sociales, en la medida que permite la aplicación retroactiva de una ley antigua a una situación jurídica acaecida en vigencia de una nueva ley, como expresión material de un principio abstracto de estirpe constitucional, como se expuso en acápites anteriores.  Ello para recordar, que en otras oportunidades esta Corporación ha adoptado la posición que hoy reitera, según la cual no es procedente la condena por concepto intereses moratorios cuando </w:t>
      </w:r>
      <w:r w:rsidRPr="00527367">
        <w:rPr>
          <w:rFonts w:ascii="Tahoma" w:eastAsia="Tahoma" w:hAnsi="Tahoma" w:cs="Tahoma"/>
          <w:i/>
          <w:iCs/>
          <w:sz w:val="24"/>
          <w:szCs w:val="24"/>
          <w:lang w:val="es"/>
        </w:rPr>
        <w:t>“</w:t>
      </w:r>
      <w:r w:rsidRPr="008B5AF1">
        <w:rPr>
          <w:rFonts w:ascii="Tahoma" w:eastAsia="Tahoma" w:hAnsi="Tahoma" w:cs="Tahoma"/>
          <w:i/>
          <w:iCs/>
          <w:szCs w:val="24"/>
          <w:lang w:val="es"/>
        </w:rPr>
        <w:t>la pensión se reconoce en virtud de una interpretación constitucional favorable</w:t>
      </w:r>
      <w:r w:rsidRPr="00527367">
        <w:rPr>
          <w:rFonts w:ascii="Tahoma" w:eastAsia="Tahoma" w:hAnsi="Tahoma" w:cs="Tahoma"/>
          <w:i/>
          <w:iCs/>
          <w:sz w:val="24"/>
          <w:szCs w:val="24"/>
          <w:lang w:val="es"/>
        </w:rPr>
        <w:t>”,</w:t>
      </w:r>
      <w:r w:rsidRPr="00527367">
        <w:rPr>
          <w:rFonts w:ascii="Tahoma" w:eastAsia="Tahoma" w:hAnsi="Tahoma" w:cs="Tahoma"/>
          <w:sz w:val="24"/>
          <w:szCs w:val="24"/>
          <w:lang w:val="es"/>
        </w:rPr>
        <w:t xml:space="preserve"> pues en esos eventos se entiende que la entidad negó la prestación de conformidad con los parámetros legales vigentes. Ello de acuerdo a lo dicho por la Corte Suprema de Justicia, según la cual, la introducción de principios constitucionales al discurso jurídico laboral y social, ha cumplido una función trascendental al interpretar la normativa a la luz de dichos principios y objetivos que informan la seguridad social, y que en muchos casos no corresponde con el texto literal del precepto que las administradoras en su momento debieron aplicar. En esas condiciones, no resulta razonable imponer el pago de intereses moratorios desde la fecha de disfrute de la pensión reconocida, sino desde el día siguiente a la ejecutoria de la presente providencia, como se ordenará. </w:t>
      </w:r>
    </w:p>
    <w:p w14:paraId="3FC0632A" w14:textId="331770FE"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sz w:val="24"/>
          <w:szCs w:val="24"/>
          <w:lang w:val="es"/>
        </w:rPr>
        <w:t xml:space="preserve"> </w:t>
      </w:r>
    </w:p>
    <w:p w14:paraId="3DB91A38" w14:textId="1D001967" w:rsidR="1D50A642" w:rsidRPr="00527367" w:rsidRDefault="1D50A642" w:rsidP="00527367">
      <w:pPr>
        <w:spacing w:line="276" w:lineRule="auto"/>
        <w:ind w:firstLine="709"/>
        <w:jc w:val="both"/>
        <w:rPr>
          <w:rFonts w:ascii="Tahoma" w:eastAsia="Tahoma" w:hAnsi="Tahoma" w:cs="Tahoma"/>
          <w:sz w:val="24"/>
          <w:szCs w:val="24"/>
          <w:lang w:val="es"/>
        </w:rPr>
      </w:pPr>
      <w:r w:rsidRPr="00527367">
        <w:rPr>
          <w:rFonts w:ascii="Tahoma" w:eastAsia="Tahoma" w:hAnsi="Tahoma" w:cs="Tahoma"/>
          <w:sz w:val="24"/>
          <w:szCs w:val="24"/>
          <w:lang w:val="es"/>
        </w:rPr>
        <w:t>Finalmente, la pensión debió ser reconocida desde la fecha de estructuración de la invalidez, el día 24 de octubre de 2017, la cuantía de la mesada asciende a la suma un salario mínimo, por 13 mesadas al año.</w:t>
      </w:r>
    </w:p>
    <w:p w14:paraId="58E1E62F" w14:textId="6C8CFA11"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sz w:val="24"/>
          <w:szCs w:val="24"/>
          <w:lang w:val="es"/>
        </w:rPr>
        <w:t xml:space="preserve"> </w:t>
      </w:r>
    </w:p>
    <w:p w14:paraId="5092BF6C" w14:textId="0B792015" w:rsidR="1D50A642" w:rsidRPr="00527367" w:rsidRDefault="1D50A642" w:rsidP="00527367">
      <w:pPr>
        <w:spacing w:line="276" w:lineRule="auto"/>
        <w:ind w:firstLine="705"/>
        <w:jc w:val="both"/>
        <w:rPr>
          <w:rFonts w:ascii="Tahoma" w:hAnsi="Tahoma" w:cs="Tahoma"/>
          <w:sz w:val="24"/>
          <w:szCs w:val="24"/>
        </w:rPr>
      </w:pPr>
      <w:r w:rsidRPr="00527367">
        <w:rPr>
          <w:rFonts w:ascii="Tahoma" w:eastAsia="Tahoma" w:hAnsi="Tahoma" w:cs="Tahoma"/>
          <w:sz w:val="24"/>
          <w:szCs w:val="24"/>
          <w:lang w:val="es"/>
        </w:rPr>
        <w:t xml:space="preserve">Con fundamento en lo anterior, sobra decir que no prosperan las excepciones propuestas por la parte demandada, incluida la excepción de prescripción por cuanto el estado de invalidez se estructuró el 24 de octubre de 2017, en tanto que la presente demanda se instauró el 16 de julio de 2020, calenda para la cual no había transcurrido el trienio que exige la figura de la prescripción. </w:t>
      </w:r>
    </w:p>
    <w:p w14:paraId="5717B1A8" w14:textId="1FBF543A"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sz w:val="24"/>
          <w:szCs w:val="24"/>
          <w:lang w:val="es"/>
        </w:rPr>
        <w:t xml:space="preserve"> </w:t>
      </w:r>
    </w:p>
    <w:p w14:paraId="6E2F88AA" w14:textId="440B19C6" w:rsidR="1D50A642" w:rsidRPr="00527367" w:rsidRDefault="1D50A642" w:rsidP="00527367">
      <w:pPr>
        <w:spacing w:line="276" w:lineRule="auto"/>
        <w:ind w:firstLine="705"/>
        <w:jc w:val="both"/>
        <w:rPr>
          <w:rFonts w:ascii="Tahoma" w:hAnsi="Tahoma" w:cs="Tahoma"/>
          <w:sz w:val="24"/>
          <w:szCs w:val="24"/>
        </w:rPr>
      </w:pPr>
      <w:r w:rsidRPr="00527367">
        <w:rPr>
          <w:rFonts w:ascii="Tahoma" w:eastAsia="Tahoma" w:hAnsi="Tahoma" w:cs="Tahoma"/>
          <w:sz w:val="24"/>
          <w:szCs w:val="24"/>
          <w:lang w:val="es"/>
        </w:rPr>
        <w:t xml:space="preserve">La condena en costas de ambas instancias a cargo de COLPENSIONES por haber resultado vencida en el proceso, las cuales se liquidarán por el juzgado de origen. </w:t>
      </w:r>
    </w:p>
    <w:p w14:paraId="48FA8485" w14:textId="59752BAB" w:rsidR="1D50A642" w:rsidRPr="00527367" w:rsidRDefault="1D50A642" w:rsidP="00527367">
      <w:pPr>
        <w:spacing w:line="276" w:lineRule="auto"/>
        <w:ind w:firstLine="705"/>
        <w:jc w:val="both"/>
        <w:rPr>
          <w:rFonts w:ascii="Tahoma" w:hAnsi="Tahoma" w:cs="Tahoma"/>
          <w:sz w:val="24"/>
          <w:szCs w:val="24"/>
        </w:rPr>
      </w:pPr>
      <w:r w:rsidRPr="00527367">
        <w:rPr>
          <w:rFonts w:ascii="Tahoma" w:eastAsia="Tahoma" w:hAnsi="Tahoma" w:cs="Tahoma"/>
          <w:sz w:val="24"/>
          <w:szCs w:val="24"/>
          <w:lang w:val="es"/>
        </w:rPr>
        <w:t xml:space="preserve"> </w:t>
      </w:r>
    </w:p>
    <w:p w14:paraId="42ACAFFE" w14:textId="75A718DC" w:rsidR="1D50A642" w:rsidRPr="00527367" w:rsidRDefault="1D50A642" w:rsidP="00527367">
      <w:pPr>
        <w:spacing w:line="276" w:lineRule="auto"/>
        <w:ind w:firstLine="705"/>
        <w:jc w:val="both"/>
        <w:rPr>
          <w:rFonts w:ascii="Tahoma" w:hAnsi="Tahoma" w:cs="Tahoma"/>
          <w:sz w:val="24"/>
          <w:szCs w:val="24"/>
        </w:rPr>
      </w:pPr>
      <w:r w:rsidRPr="00527367">
        <w:rPr>
          <w:rFonts w:ascii="Tahoma" w:eastAsia="Tahoma" w:hAnsi="Tahoma" w:cs="Tahoma"/>
          <w:sz w:val="24"/>
          <w:szCs w:val="24"/>
        </w:rPr>
        <w:t xml:space="preserve">En mérito de lo expuesto, el </w:t>
      </w:r>
      <w:r w:rsidRPr="00527367">
        <w:rPr>
          <w:rFonts w:ascii="Tahoma" w:eastAsia="Tahoma" w:hAnsi="Tahoma" w:cs="Tahoma"/>
          <w:b/>
          <w:bCs/>
          <w:sz w:val="24"/>
          <w:szCs w:val="24"/>
        </w:rPr>
        <w:t>Tribunal Superior del Distrito Judicial de Pereira (Risaralda)</w:t>
      </w:r>
      <w:r w:rsidRPr="00527367">
        <w:rPr>
          <w:rFonts w:ascii="Tahoma" w:eastAsia="Tahoma" w:hAnsi="Tahoma" w:cs="Tahoma"/>
          <w:sz w:val="24"/>
          <w:szCs w:val="24"/>
        </w:rPr>
        <w:t xml:space="preserve">, </w:t>
      </w:r>
      <w:r w:rsidRPr="00527367">
        <w:rPr>
          <w:rFonts w:ascii="Tahoma" w:eastAsia="Tahoma" w:hAnsi="Tahoma" w:cs="Tahoma"/>
          <w:b/>
          <w:bCs/>
          <w:sz w:val="24"/>
          <w:szCs w:val="24"/>
        </w:rPr>
        <w:t xml:space="preserve">Sala de Decisión Laboral No. 1, </w:t>
      </w:r>
      <w:r w:rsidRPr="00527367">
        <w:rPr>
          <w:rFonts w:ascii="Tahoma" w:eastAsia="Tahoma" w:hAnsi="Tahoma" w:cs="Tahoma"/>
          <w:sz w:val="24"/>
          <w:szCs w:val="24"/>
        </w:rPr>
        <w:t>Administrando Justicia en Nombre de la República y por autoridad de la Ley,</w:t>
      </w:r>
    </w:p>
    <w:p w14:paraId="7BD0EF29" w14:textId="310C25D9"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sz w:val="24"/>
          <w:szCs w:val="24"/>
        </w:rPr>
        <w:lastRenderedPageBreak/>
        <w:t xml:space="preserve"> </w:t>
      </w:r>
    </w:p>
    <w:p w14:paraId="19E9CF8A" w14:textId="2641692B" w:rsidR="1D50A642" w:rsidRPr="00527367" w:rsidRDefault="1D50A642" w:rsidP="00527367">
      <w:pPr>
        <w:spacing w:line="276" w:lineRule="auto"/>
        <w:jc w:val="center"/>
        <w:rPr>
          <w:rFonts w:ascii="Tahoma" w:hAnsi="Tahoma" w:cs="Tahoma"/>
          <w:sz w:val="24"/>
          <w:szCs w:val="24"/>
        </w:rPr>
      </w:pPr>
      <w:r w:rsidRPr="00527367">
        <w:rPr>
          <w:rFonts w:ascii="Tahoma" w:eastAsia="Tahoma" w:hAnsi="Tahoma" w:cs="Tahoma"/>
          <w:b/>
          <w:bCs/>
          <w:sz w:val="24"/>
          <w:szCs w:val="24"/>
          <w:lang w:val="es"/>
        </w:rPr>
        <w:t>R E S U E L V E:</w:t>
      </w:r>
    </w:p>
    <w:p w14:paraId="33CF14FD" w14:textId="5D569C96" w:rsidR="1D50A642" w:rsidRPr="00527367" w:rsidRDefault="1D50A642" w:rsidP="00527367">
      <w:pPr>
        <w:spacing w:line="276" w:lineRule="auto"/>
        <w:ind w:firstLine="3375"/>
        <w:rPr>
          <w:rFonts w:ascii="Tahoma" w:hAnsi="Tahoma" w:cs="Tahoma"/>
          <w:sz w:val="24"/>
          <w:szCs w:val="24"/>
        </w:rPr>
      </w:pPr>
      <w:r w:rsidRPr="00527367">
        <w:rPr>
          <w:rFonts w:ascii="Tahoma" w:eastAsia="Tahoma" w:hAnsi="Tahoma" w:cs="Tahoma"/>
          <w:color w:val="000000" w:themeColor="text1"/>
          <w:sz w:val="24"/>
          <w:szCs w:val="24"/>
        </w:rPr>
        <w:t xml:space="preserve"> </w:t>
      </w:r>
    </w:p>
    <w:p w14:paraId="304CFA6B" w14:textId="05E38393" w:rsidR="1D50A642" w:rsidRPr="00527367" w:rsidRDefault="1D50A642" w:rsidP="00527367">
      <w:pPr>
        <w:spacing w:line="276" w:lineRule="auto"/>
        <w:jc w:val="both"/>
        <w:rPr>
          <w:rFonts w:ascii="Tahoma" w:hAnsi="Tahoma" w:cs="Tahoma"/>
          <w:sz w:val="24"/>
          <w:szCs w:val="24"/>
        </w:rPr>
      </w:pPr>
      <w:r w:rsidRPr="00527367">
        <w:rPr>
          <w:rFonts w:ascii="Tahoma" w:eastAsia="Tahoma" w:hAnsi="Tahoma" w:cs="Tahoma"/>
          <w:b/>
          <w:bCs/>
          <w:color w:val="000000" w:themeColor="text1"/>
          <w:sz w:val="24"/>
          <w:szCs w:val="24"/>
          <w:u w:val="single"/>
          <w:lang w:val="es"/>
        </w:rPr>
        <w:t>PRIMERO:</w:t>
      </w:r>
      <w:r w:rsidRPr="00527367">
        <w:rPr>
          <w:rFonts w:ascii="Tahoma" w:eastAsia="Tahoma" w:hAnsi="Tahoma" w:cs="Tahoma"/>
          <w:b/>
          <w:bCs/>
          <w:color w:val="000000" w:themeColor="text1"/>
          <w:sz w:val="24"/>
          <w:szCs w:val="24"/>
        </w:rPr>
        <w:t xml:space="preserve"> REVOCAR </w:t>
      </w:r>
      <w:r w:rsidRPr="00527367">
        <w:rPr>
          <w:rFonts w:ascii="Tahoma" w:eastAsia="Tahoma" w:hAnsi="Tahoma" w:cs="Tahoma"/>
          <w:color w:val="000000" w:themeColor="text1"/>
          <w:sz w:val="24"/>
          <w:szCs w:val="24"/>
        </w:rPr>
        <w:t xml:space="preserve">la sentencia del 28 de septiembre de 2021, proferida por el Juzgado Tercero Laboral del Circuito de Pereira, </w:t>
      </w:r>
      <w:r w:rsidRPr="00527367">
        <w:rPr>
          <w:rFonts w:ascii="Tahoma" w:eastAsia="Tahoma" w:hAnsi="Tahoma" w:cs="Tahoma"/>
          <w:color w:val="000000" w:themeColor="text1"/>
          <w:sz w:val="24"/>
          <w:szCs w:val="24"/>
          <w:lang w:val="es"/>
        </w:rPr>
        <w:t xml:space="preserve">dentro del proceso que promueve </w:t>
      </w:r>
      <w:r w:rsidRPr="00527367">
        <w:rPr>
          <w:rFonts w:ascii="Tahoma" w:eastAsia="Tahoma" w:hAnsi="Tahoma" w:cs="Tahoma"/>
          <w:sz w:val="24"/>
          <w:szCs w:val="24"/>
        </w:rPr>
        <w:t xml:space="preserve">la señora </w:t>
      </w:r>
      <w:r w:rsidRPr="00527367">
        <w:rPr>
          <w:rFonts w:ascii="Tahoma" w:eastAsia="Tahoma" w:hAnsi="Tahoma" w:cs="Tahoma"/>
          <w:b/>
          <w:bCs/>
          <w:sz w:val="24"/>
          <w:szCs w:val="24"/>
        </w:rPr>
        <w:t xml:space="preserve">DOLLY JARAMILLO DE MEJÍA </w:t>
      </w:r>
      <w:r w:rsidRPr="00527367">
        <w:rPr>
          <w:rFonts w:ascii="Tahoma" w:eastAsia="Tahoma" w:hAnsi="Tahoma" w:cs="Tahoma"/>
          <w:sz w:val="24"/>
          <w:szCs w:val="24"/>
        </w:rPr>
        <w:t xml:space="preserve">en contra de </w:t>
      </w:r>
      <w:r w:rsidRPr="00527367">
        <w:rPr>
          <w:rFonts w:ascii="Tahoma" w:eastAsia="Tahoma" w:hAnsi="Tahoma" w:cs="Tahoma"/>
          <w:b/>
          <w:bCs/>
          <w:sz w:val="24"/>
          <w:szCs w:val="24"/>
        </w:rPr>
        <w:t xml:space="preserve">LA ADMINISTRADORA COLOMBIANA DE PENSIONES – COLPENSIONES, </w:t>
      </w:r>
      <w:r w:rsidRPr="00527367">
        <w:rPr>
          <w:rFonts w:ascii="Tahoma" w:eastAsia="Tahoma" w:hAnsi="Tahoma" w:cs="Tahoma"/>
          <w:sz w:val="24"/>
          <w:szCs w:val="24"/>
        </w:rPr>
        <w:t xml:space="preserve">por las razones expuestas en la parte motiva de esta providencia. </w:t>
      </w:r>
    </w:p>
    <w:p w14:paraId="77B8EDE2" w14:textId="23CBAE69"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color w:val="000000" w:themeColor="text1"/>
          <w:sz w:val="24"/>
          <w:szCs w:val="24"/>
          <w:lang w:val="es"/>
        </w:rPr>
        <w:t xml:space="preserve"> </w:t>
      </w:r>
    </w:p>
    <w:p w14:paraId="59FDD4AF" w14:textId="209AD38C" w:rsidR="1D50A642" w:rsidRPr="00527367" w:rsidRDefault="1D50A642" w:rsidP="00527367">
      <w:pPr>
        <w:tabs>
          <w:tab w:val="left" w:pos="2653"/>
        </w:tabs>
        <w:spacing w:line="276" w:lineRule="auto"/>
        <w:ind w:firstLine="709"/>
        <w:jc w:val="both"/>
        <w:rPr>
          <w:rFonts w:ascii="Tahoma" w:hAnsi="Tahoma" w:cs="Tahoma"/>
          <w:sz w:val="24"/>
          <w:szCs w:val="24"/>
        </w:rPr>
      </w:pPr>
      <w:r w:rsidRPr="00527367">
        <w:rPr>
          <w:rFonts w:ascii="Tahoma" w:eastAsia="Tahoma" w:hAnsi="Tahoma" w:cs="Tahoma"/>
          <w:b/>
          <w:bCs/>
          <w:color w:val="000000" w:themeColor="text1"/>
          <w:sz w:val="24"/>
          <w:szCs w:val="24"/>
          <w:lang w:val="es"/>
        </w:rPr>
        <w:t xml:space="preserve">SEGUNDO: </w:t>
      </w:r>
      <w:r w:rsidRPr="00527367">
        <w:rPr>
          <w:rFonts w:ascii="Tahoma" w:eastAsia="Tahoma" w:hAnsi="Tahoma" w:cs="Tahoma"/>
          <w:sz w:val="24"/>
          <w:szCs w:val="24"/>
          <w:lang w:val="es"/>
        </w:rPr>
        <w:t xml:space="preserve">En su lugar, </w:t>
      </w:r>
      <w:r w:rsidRPr="00527367">
        <w:rPr>
          <w:rFonts w:ascii="Tahoma" w:eastAsia="Tahoma" w:hAnsi="Tahoma" w:cs="Tahoma"/>
          <w:b/>
          <w:bCs/>
          <w:sz w:val="24"/>
          <w:szCs w:val="24"/>
          <w:lang w:val="es"/>
        </w:rPr>
        <w:t>DECLARAR</w:t>
      </w:r>
      <w:r w:rsidRPr="00527367">
        <w:rPr>
          <w:rFonts w:ascii="Tahoma" w:eastAsia="Tahoma" w:hAnsi="Tahoma" w:cs="Tahoma"/>
          <w:sz w:val="24"/>
          <w:szCs w:val="24"/>
          <w:lang w:val="es"/>
        </w:rPr>
        <w:t xml:space="preserve"> que la señora </w:t>
      </w:r>
      <w:r w:rsidRPr="00527367">
        <w:rPr>
          <w:rFonts w:ascii="Tahoma" w:eastAsia="Tahoma" w:hAnsi="Tahoma" w:cs="Tahoma"/>
          <w:b/>
          <w:bCs/>
          <w:sz w:val="24"/>
          <w:szCs w:val="24"/>
          <w:lang w:val="es"/>
        </w:rPr>
        <w:t xml:space="preserve">DOLLY JARAMILLO DE MEJÍA </w:t>
      </w:r>
      <w:r w:rsidRPr="00527367">
        <w:rPr>
          <w:rFonts w:ascii="Tahoma" w:eastAsia="Tahoma" w:hAnsi="Tahoma" w:cs="Tahoma"/>
          <w:sz w:val="24"/>
          <w:szCs w:val="24"/>
          <w:lang w:val="es"/>
        </w:rPr>
        <w:t xml:space="preserve">tiene derecho al reconocimiento y pago de la pensión de invalidez desde el 24 de octubre de 2017, en cuantía de un salario mínimo legal mensual vigente y por 13 mesadas al año, como se indicó en precedencia. </w:t>
      </w:r>
    </w:p>
    <w:p w14:paraId="52B55283" w14:textId="760A947A" w:rsidR="1D50A642" w:rsidRPr="00527367" w:rsidRDefault="1D50A642" w:rsidP="00527367">
      <w:pPr>
        <w:tabs>
          <w:tab w:val="left" w:pos="2653"/>
        </w:tabs>
        <w:spacing w:line="276" w:lineRule="auto"/>
        <w:ind w:firstLine="709"/>
        <w:jc w:val="both"/>
        <w:rPr>
          <w:rFonts w:ascii="Tahoma" w:hAnsi="Tahoma" w:cs="Tahoma"/>
          <w:sz w:val="24"/>
          <w:szCs w:val="24"/>
        </w:rPr>
      </w:pPr>
      <w:r w:rsidRPr="00527367">
        <w:rPr>
          <w:rFonts w:ascii="Tahoma" w:eastAsia="Tahoma" w:hAnsi="Tahoma" w:cs="Tahoma"/>
          <w:sz w:val="24"/>
          <w:szCs w:val="24"/>
          <w:lang w:val="es"/>
        </w:rPr>
        <w:t xml:space="preserve"> </w:t>
      </w:r>
    </w:p>
    <w:p w14:paraId="20102EDA" w14:textId="4C140EC4"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b/>
          <w:bCs/>
          <w:sz w:val="24"/>
          <w:szCs w:val="24"/>
          <w:lang w:val="es"/>
        </w:rPr>
        <w:t xml:space="preserve">TERCERO: </w:t>
      </w:r>
      <w:r w:rsidRPr="00527367">
        <w:rPr>
          <w:rFonts w:ascii="Tahoma" w:eastAsia="Tahoma" w:hAnsi="Tahoma" w:cs="Tahoma"/>
          <w:b/>
          <w:bCs/>
          <w:sz w:val="24"/>
          <w:szCs w:val="24"/>
        </w:rPr>
        <w:t xml:space="preserve">CONDENAR </w:t>
      </w:r>
      <w:r w:rsidRPr="00527367">
        <w:rPr>
          <w:rFonts w:ascii="Tahoma" w:eastAsia="Tahoma" w:hAnsi="Tahoma" w:cs="Tahoma"/>
          <w:sz w:val="24"/>
          <w:szCs w:val="24"/>
        </w:rPr>
        <w:t xml:space="preserve">a la Administradora Colombiana de Pensiones – COLPENSIONES al pago de las mesadas adeudadas la </w:t>
      </w:r>
      <w:r w:rsidRPr="00527367">
        <w:rPr>
          <w:rFonts w:ascii="Tahoma" w:eastAsia="Tahoma" w:hAnsi="Tahoma" w:cs="Tahoma"/>
          <w:b/>
          <w:bCs/>
          <w:sz w:val="24"/>
          <w:szCs w:val="24"/>
        </w:rPr>
        <w:t>DOLLY JARAMILLO DE MEJÍA,</w:t>
      </w:r>
      <w:r w:rsidRPr="00527367">
        <w:rPr>
          <w:rFonts w:ascii="Tahoma" w:eastAsia="Tahoma" w:hAnsi="Tahoma" w:cs="Tahoma"/>
          <w:sz w:val="24"/>
          <w:szCs w:val="24"/>
        </w:rPr>
        <w:t xml:space="preserve"> debidamente indexadas, desde el 24 de octubre de 2017 </w:t>
      </w:r>
      <w:r w:rsidRPr="00527367">
        <w:rPr>
          <w:rFonts w:ascii="Tahoma" w:eastAsia="Tahoma" w:hAnsi="Tahoma" w:cs="Tahoma"/>
          <w:sz w:val="24"/>
          <w:szCs w:val="24"/>
          <w:lang w:val="es"/>
        </w:rPr>
        <w:t xml:space="preserve">hasta la ejecutoria de esta providencia, y a partir del día siguiente a la ejecutoria, cancelar en favor de la susodicha los intereses moratorios de que habla el artículo </w:t>
      </w:r>
      <w:r w:rsidRPr="00527367">
        <w:rPr>
          <w:rFonts w:ascii="Tahoma" w:eastAsia="Tahoma" w:hAnsi="Tahoma" w:cs="Tahoma"/>
          <w:sz w:val="24"/>
          <w:szCs w:val="24"/>
        </w:rPr>
        <w:t xml:space="preserve">141 de la Ley 100 de 1993 hasta el pago total de la obligación. </w:t>
      </w:r>
    </w:p>
    <w:p w14:paraId="59E45A38" w14:textId="104F54EE" w:rsidR="1D50A642" w:rsidRPr="00527367" w:rsidRDefault="1D50A642" w:rsidP="00527367">
      <w:pPr>
        <w:spacing w:line="276" w:lineRule="auto"/>
        <w:jc w:val="both"/>
        <w:rPr>
          <w:rFonts w:ascii="Tahoma" w:hAnsi="Tahoma" w:cs="Tahoma"/>
          <w:sz w:val="24"/>
          <w:szCs w:val="24"/>
        </w:rPr>
      </w:pPr>
      <w:r w:rsidRPr="00527367">
        <w:rPr>
          <w:rFonts w:ascii="Tahoma" w:eastAsia="Tahoma" w:hAnsi="Tahoma" w:cs="Tahoma"/>
          <w:sz w:val="24"/>
          <w:szCs w:val="24"/>
        </w:rPr>
        <w:t xml:space="preserve"> </w:t>
      </w:r>
    </w:p>
    <w:p w14:paraId="22B31932" w14:textId="024F62BC"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b/>
          <w:bCs/>
          <w:sz w:val="24"/>
          <w:szCs w:val="24"/>
          <w:lang w:val="es"/>
        </w:rPr>
        <w:t xml:space="preserve">CUARTO: </w:t>
      </w:r>
      <w:r w:rsidRPr="00527367">
        <w:rPr>
          <w:rFonts w:ascii="Tahoma" w:eastAsia="Tahoma" w:hAnsi="Tahoma" w:cs="Tahoma"/>
          <w:b/>
          <w:bCs/>
          <w:color w:val="000000" w:themeColor="text1"/>
          <w:sz w:val="24"/>
          <w:szCs w:val="24"/>
          <w:lang w:val="es"/>
        </w:rPr>
        <w:t xml:space="preserve">CONDENAR </w:t>
      </w:r>
      <w:r w:rsidRPr="00527367">
        <w:rPr>
          <w:rFonts w:ascii="Tahoma" w:eastAsia="Tahoma" w:hAnsi="Tahoma" w:cs="Tahoma"/>
          <w:color w:val="000000" w:themeColor="text1"/>
          <w:sz w:val="24"/>
          <w:szCs w:val="24"/>
          <w:lang w:val="es"/>
        </w:rPr>
        <w:t>en costas procesales a la parte demandada en ambas instancias a favor de la demandante. Liquídense por el juzgado de origen.</w:t>
      </w:r>
    </w:p>
    <w:p w14:paraId="379AC4DE" w14:textId="583CB94F" w:rsidR="1D50A642" w:rsidRPr="00527367" w:rsidRDefault="1D50A642" w:rsidP="00527367">
      <w:pPr>
        <w:spacing w:line="276" w:lineRule="auto"/>
        <w:ind w:firstLine="709"/>
        <w:jc w:val="both"/>
        <w:rPr>
          <w:rFonts w:ascii="Tahoma" w:hAnsi="Tahoma" w:cs="Tahoma"/>
          <w:sz w:val="24"/>
          <w:szCs w:val="24"/>
        </w:rPr>
      </w:pPr>
      <w:r w:rsidRPr="00527367">
        <w:rPr>
          <w:rFonts w:ascii="Tahoma" w:eastAsia="Tahoma" w:hAnsi="Tahoma" w:cs="Tahoma"/>
          <w:sz w:val="24"/>
          <w:szCs w:val="24"/>
        </w:rPr>
        <w:t xml:space="preserve"> </w:t>
      </w:r>
    </w:p>
    <w:p w14:paraId="526007C3" w14:textId="77A73A58" w:rsidR="1D50A642" w:rsidRPr="00527367" w:rsidRDefault="1D50A642" w:rsidP="00527367">
      <w:pPr>
        <w:spacing w:line="276" w:lineRule="auto"/>
        <w:jc w:val="center"/>
        <w:rPr>
          <w:rFonts w:ascii="Tahoma" w:hAnsi="Tahoma" w:cs="Tahoma"/>
          <w:sz w:val="24"/>
          <w:szCs w:val="24"/>
        </w:rPr>
      </w:pPr>
      <w:r w:rsidRPr="00527367">
        <w:rPr>
          <w:rFonts w:ascii="Tahoma" w:eastAsia="Tahoma" w:hAnsi="Tahoma" w:cs="Tahoma"/>
          <w:b/>
          <w:bCs/>
          <w:sz w:val="24"/>
          <w:szCs w:val="24"/>
          <w:lang w:val="es"/>
        </w:rPr>
        <w:t>NOTIFÍQUESE Y CÚMPLASE</w:t>
      </w:r>
    </w:p>
    <w:p w14:paraId="5154B33D" w14:textId="77777777" w:rsidR="00527367" w:rsidRPr="00527367" w:rsidRDefault="00527367" w:rsidP="00527367">
      <w:pPr>
        <w:spacing w:line="276" w:lineRule="auto"/>
        <w:jc w:val="both"/>
        <w:rPr>
          <w:rFonts w:ascii="Tahoma" w:eastAsia="Segoe UI" w:hAnsi="Tahoma" w:cs="Tahoma"/>
          <w:sz w:val="24"/>
          <w:szCs w:val="24"/>
          <w:lang w:val="es-CO" w:eastAsia="es-CO"/>
        </w:rPr>
      </w:pPr>
    </w:p>
    <w:p w14:paraId="396D096C" w14:textId="77777777" w:rsidR="00527367" w:rsidRPr="00527367" w:rsidRDefault="00527367" w:rsidP="00527367">
      <w:pPr>
        <w:widowControl w:val="0"/>
        <w:autoSpaceDE w:val="0"/>
        <w:autoSpaceDN w:val="0"/>
        <w:adjustRightInd w:val="0"/>
        <w:spacing w:line="276" w:lineRule="auto"/>
        <w:jc w:val="both"/>
        <w:rPr>
          <w:rFonts w:ascii="Tahoma" w:eastAsia="Times New Roman" w:hAnsi="Tahoma" w:cs="Tahoma"/>
          <w:sz w:val="24"/>
          <w:szCs w:val="24"/>
          <w:lang w:eastAsia="es-ES"/>
        </w:rPr>
      </w:pPr>
      <w:r w:rsidRPr="00527367">
        <w:rPr>
          <w:rFonts w:ascii="Tahoma" w:eastAsia="Times New Roman" w:hAnsi="Tahoma" w:cs="Tahoma"/>
          <w:sz w:val="24"/>
          <w:szCs w:val="24"/>
          <w:lang w:eastAsia="es-ES"/>
        </w:rPr>
        <w:tab/>
        <w:t>La Magistrada ponente,</w:t>
      </w:r>
    </w:p>
    <w:p w14:paraId="270F3B0B" w14:textId="77777777" w:rsidR="00527367" w:rsidRPr="00527367" w:rsidRDefault="00527367" w:rsidP="00527367">
      <w:pPr>
        <w:spacing w:line="276" w:lineRule="auto"/>
        <w:rPr>
          <w:rFonts w:ascii="Tahoma" w:eastAsia="Times New Roman" w:hAnsi="Tahoma" w:cs="Tahoma"/>
          <w:sz w:val="24"/>
          <w:szCs w:val="24"/>
          <w:lang w:eastAsia="es-ES"/>
        </w:rPr>
      </w:pPr>
    </w:p>
    <w:p w14:paraId="0E58E16D" w14:textId="77777777" w:rsidR="00527367" w:rsidRPr="00527367" w:rsidRDefault="00527367" w:rsidP="00527367">
      <w:pPr>
        <w:spacing w:line="276" w:lineRule="auto"/>
        <w:rPr>
          <w:rFonts w:ascii="Tahoma" w:eastAsia="Times New Roman" w:hAnsi="Tahoma" w:cs="Tahoma"/>
          <w:sz w:val="24"/>
          <w:szCs w:val="24"/>
          <w:lang w:eastAsia="es-ES"/>
        </w:rPr>
      </w:pPr>
    </w:p>
    <w:p w14:paraId="02CCD091" w14:textId="77777777" w:rsidR="00527367" w:rsidRPr="00527367" w:rsidRDefault="00527367" w:rsidP="00527367">
      <w:pPr>
        <w:spacing w:line="276" w:lineRule="auto"/>
        <w:rPr>
          <w:rFonts w:ascii="Tahoma" w:eastAsia="Times New Roman" w:hAnsi="Tahoma" w:cs="Tahoma"/>
          <w:sz w:val="24"/>
          <w:szCs w:val="24"/>
          <w:lang w:eastAsia="es-ES"/>
        </w:rPr>
      </w:pPr>
    </w:p>
    <w:p w14:paraId="066A0679" w14:textId="77777777" w:rsidR="00527367" w:rsidRPr="00527367" w:rsidRDefault="00527367" w:rsidP="00527367">
      <w:pPr>
        <w:keepNext/>
        <w:spacing w:line="276" w:lineRule="auto"/>
        <w:jc w:val="center"/>
        <w:outlineLvl w:val="2"/>
        <w:rPr>
          <w:rFonts w:ascii="Tahoma" w:eastAsia="Times New Roman" w:hAnsi="Tahoma" w:cs="Tahoma"/>
          <w:b/>
          <w:bCs/>
          <w:sz w:val="24"/>
          <w:szCs w:val="24"/>
          <w:lang w:eastAsia="es-ES"/>
        </w:rPr>
      </w:pPr>
      <w:r w:rsidRPr="00527367">
        <w:rPr>
          <w:rFonts w:ascii="Tahoma" w:eastAsia="Times New Roman" w:hAnsi="Tahoma" w:cs="Tahoma"/>
          <w:b/>
          <w:bCs/>
          <w:sz w:val="24"/>
          <w:szCs w:val="24"/>
          <w:lang w:eastAsia="es-ES"/>
        </w:rPr>
        <w:t>ANA LUCÍA CAICEDO CALDERÓN</w:t>
      </w:r>
    </w:p>
    <w:p w14:paraId="2C87017D" w14:textId="77777777" w:rsidR="00527367" w:rsidRPr="00527367" w:rsidRDefault="00527367" w:rsidP="00527367">
      <w:pPr>
        <w:spacing w:line="276" w:lineRule="auto"/>
        <w:rPr>
          <w:rFonts w:ascii="Tahoma" w:eastAsia="Times New Roman" w:hAnsi="Tahoma" w:cs="Tahoma"/>
          <w:sz w:val="24"/>
          <w:szCs w:val="24"/>
          <w:lang w:eastAsia="es-ES"/>
        </w:rPr>
      </w:pPr>
    </w:p>
    <w:p w14:paraId="5250E55A" w14:textId="77777777" w:rsidR="00527367" w:rsidRPr="00527367" w:rsidRDefault="00527367" w:rsidP="00527367">
      <w:pPr>
        <w:spacing w:line="276" w:lineRule="auto"/>
        <w:ind w:firstLine="708"/>
        <w:rPr>
          <w:rFonts w:ascii="Tahoma" w:eastAsia="Times New Roman" w:hAnsi="Tahoma" w:cs="Tahoma"/>
          <w:sz w:val="24"/>
          <w:szCs w:val="24"/>
          <w:lang w:eastAsia="es-ES"/>
        </w:rPr>
      </w:pPr>
      <w:bookmarkStart w:id="6" w:name="_Hlk62478330"/>
      <w:r w:rsidRPr="00527367">
        <w:rPr>
          <w:rFonts w:ascii="Tahoma" w:eastAsia="Times New Roman" w:hAnsi="Tahoma" w:cs="Tahoma"/>
          <w:sz w:val="24"/>
          <w:szCs w:val="24"/>
          <w:lang w:eastAsia="es-ES"/>
        </w:rPr>
        <w:t>La Magistrada y el Magistrado,</w:t>
      </w:r>
    </w:p>
    <w:p w14:paraId="047B8D32" w14:textId="77777777" w:rsidR="00527367" w:rsidRPr="00527367" w:rsidRDefault="00527367" w:rsidP="00527367">
      <w:pPr>
        <w:spacing w:line="276" w:lineRule="auto"/>
        <w:rPr>
          <w:rFonts w:ascii="Tahoma" w:eastAsia="Times New Roman" w:hAnsi="Tahoma" w:cs="Tahoma"/>
          <w:sz w:val="24"/>
          <w:szCs w:val="24"/>
          <w:lang w:eastAsia="es-ES"/>
        </w:rPr>
      </w:pPr>
    </w:p>
    <w:p w14:paraId="12E46AB8" w14:textId="77777777" w:rsidR="00527367" w:rsidRPr="00527367" w:rsidRDefault="00527367" w:rsidP="00527367">
      <w:pPr>
        <w:spacing w:line="276" w:lineRule="auto"/>
        <w:rPr>
          <w:rFonts w:ascii="Tahoma" w:eastAsia="Times New Roman" w:hAnsi="Tahoma" w:cs="Tahoma"/>
          <w:sz w:val="24"/>
          <w:szCs w:val="24"/>
          <w:lang w:eastAsia="es-ES"/>
        </w:rPr>
      </w:pPr>
    </w:p>
    <w:p w14:paraId="5FDEC71E" w14:textId="77777777" w:rsidR="00527367" w:rsidRPr="00527367" w:rsidRDefault="00527367" w:rsidP="00527367">
      <w:pPr>
        <w:spacing w:line="276" w:lineRule="auto"/>
        <w:rPr>
          <w:rFonts w:ascii="Tahoma" w:eastAsia="Times New Roman" w:hAnsi="Tahoma" w:cs="Tahoma"/>
          <w:sz w:val="24"/>
          <w:szCs w:val="24"/>
          <w:lang w:eastAsia="es-ES"/>
        </w:rPr>
      </w:pPr>
    </w:p>
    <w:p w14:paraId="0089C589" w14:textId="77777777" w:rsidR="00527367" w:rsidRPr="00527367" w:rsidRDefault="00527367" w:rsidP="00527367">
      <w:pPr>
        <w:spacing w:line="276" w:lineRule="auto"/>
        <w:jc w:val="both"/>
        <w:rPr>
          <w:rFonts w:ascii="Tahoma" w:eastAsia="Times New Roman" w:hAnsi="Tahoma" w:cs="Tahoma"/>
          <w:b/>
          <w:bCs/>
          <w:sz w:val="24"/>
          <w:szCs w:val="24"/>
          <w:lang w:eastAsia="es-ES"/>
        </w:rPr>
      </w:pPr>
      <w:r w:rsidRPr="00527367">
        <w:rPr>
          <w:rFonts w:ascii="Tahoma" w:eastAsia="Times New Roman" w:hAnsi="Tahoma" w:cs="Tahoma"/>
          <w:b/>
          <w:bCs/>
          <w:sz w:val="24"/>
          <w:szCs w:val="24"/>
          <w:lang w:eastAsia="es-ES"/>
        </w:rPr>
        <w:t>OLGA LUCÍA HOYOS SEPÚLVEDA</w:t>
      </w:r>
      <w:r w:rsidRPr="00527367">
        <w:rPr>
          <w:rFonts w:ascii="Tahoma" w:eastAsia="Times New Roman" w:hAnsi="Tahoma" w:cs="Tahoma"/>
          <w:b/>
          <w:bCs/>
          <w:sz w:val="24"/>
          <w:szCs w:val="24"/>
          <w:lang w:eastAsia="es-ES"/>
        </w:rPr>
        <w:tab/>
      </w:r>
      <w:r w:rsidRPr="00527367">
        <w:rPr>
          <w:rFonts w:ascii="Tahoma" w:eastAsia="Times New Roman" w:hAnsi="Tahoma" w:cs="Tahoma"/>
          <w:b/>
          <w:bCs/>
          <w:sz w:val="24"/>
          <w:szCs w:val="24"/>
          <w:lang w:eastAsia="es-ES"/>
        </w:rPr>
        <w:tab/>
        <w:t>GERMÁN DARÍO GÓEZ VINASCO</w:t>
      </w:r>
      <w:bookmarkEnd w:id="6"/>
    </w:p>
    <w:p w14:paraId="7CE756A0" w14:textId="15844621" w:rsidR="7A9F043B" w:rsidRPr="00527367" w:rsidRDefault="00527367" w:rsidP="00527367">
      <w:pPr>
        <w:spacing w:line="276" w:lineRule="auto"/>
        <w:rPr>
          <w:rFonts w:ascii="Tahoma" w:hAnsi="Tahoma" w:cs="Tahoma"/>
          <w:sz w:val="24"/>
          <w:szCs w:val="24"/>
        </w:rPr>
      </w:pPr>
      <w:r>
        <w:rPr>
          <w:rFonts w:ascii="Tahoma" w:hAnsi="Tahoma" w:cs="Tahoma"/>
          <w:sz w:val="24"/>
          <w:szCs w:val="24"/>
        </w:rPr>
        <w:t>Con salvamento de voto</w:t>
      </w:r>
    </w:p>
    <w:sectPr w:rsidR="7A9F043B" w:rsidRPr="00527367" w:rsidSect="00A8593E">
      <w:headerReference w:type="default" r:id="rId11"/>
      <w:footerReference w:type="default" r:id="rId12"/>
      <w:pgSz w:w="12242" w:h="18722" w:code="14"/>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03D21A" w16cex:dateUtc="2022-10-31T19:01:02.575Z"/>
  <w16cex:commentExtensible w16cex:durableId="7686612A" w16cex:dateUtc="2022-11-03T18:59:01.5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3296" w14:textId="77777777" w:rsidR="00F15AD1" w:rsidRDefault="00F15AD1" w:rsidP="00C3760A">
      <w:r>
        <w:separator/>
      </w:r>
    </w:p>
  </w:endnote>
  <w:endnote w:type="continuationSeparator" w:id="0">
    <w:p w14:paraId="71E6472C" w14:textId="77777777" w:rsidR="00F15AD1" w:rsidRDefault="00F15AD1" w:rsidP="00C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12700"/>
      <w:docPartObj>
        <w:docPartGallery w:val="Page Numbers (Bottom of Page)"/>
        <w:docPartUnique/>
      </w:docPartObj>
    </w:sdtPr>
    <w:sdtEndPr>
      <w:rPr>
        <w:rFonts w:ascii="Arial" w:hAnsi="Arial" w:cs="Arial"/>
        <w:sz w:val="18"/>
        <w:szCs w:val="16"/>
        <w:lang w:val="es-CO"/>
      </w:rPr>
    </w:sdtEndPr>
    <w:sdtContent>
      <w:p w14:paraId="45E98974" w14:textId="77777777" w:rsidR="009F358C" w:rsidRPr="00A8593E" w:rsidRDefault="009F358C">
        <w:pPr>
          <w:pStyle w:val="Piedepgina"/>
          <w:jc w:val="right"/>
          <w:rPr>
            <w:rFonts w:ascii="Arial" w:hAnsi="Arial" w:cs="Arial"/>
            <w:sz w:val="18"/>
            <w:szCs w:val="16"/>
            <w:lang w:val="es-CO"/>
          </w:rPr>
        </w:pPr>
        <w:r w:rsidRPr="00A8593E">
          <w:rPr>
            <w:rFonts w:ascii="Arial" w:hAnsi="Arial" w:cs="Arial"/>
            <w:sz w:val="18"/>
            <w:szCs w:val="16"/>
            <w:lang w:val="es-CO"/>
          </w:rPr>
          <w:fldChar w:fldCharType="begin"/>
        </w:r>
        <w:r w:rsidRPr="00A8593E">
          <w:rPr>
            <w:rFonts w:ascii="Arial" w:hAnsi="Arial" w:cs="Arial"/>
            <w:sz w:val="18"/>
            <w:szCs w:val="16"/>
            <w:lang w:val="es-CO"/>
          </w:rPr>
          <w:instrText>PAGE   \* MERGEFORMAT</w:instrText>
        </w:r>
        <w:r w:rsidRPr="00A8593E">
          <w:rPr>
            <w:rFonts w:ascii="Arial" w:hAnsi="Arial" w:cs="Arial"/>
            <w:sz w:val="18"/>
            <w:szCs w:val="16"/>
            <w:lang w:val="es-CO"/>
          </w:rPr>
          <w:fldChar w:fldCharType="separate"/>
        </w:r>
        <w:r w:rsidR="00A57472">
          <w:rPr>
            <w:rFonts w:ascii="Arial" w:hAnsi="Arial" w:cs="Arial"/>
            <w:noProof/>
            <w:sz w:val="18"/>
            <w:szCs w:val="16"/>
            <w:lang w:val="es-CO"/>
          </w:rPr>
          <w:t>3</w:t>
        </w:r>
        <w:r w:rsidRPr="00A8593E">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4350" w14:textId="77777777" w:rsidR="00F15AD1" w:rsidRDefault="00F15AD1" w:rsidP="00C3760A">
      <w:r>
        <w:separator/>
      </w:r>
    </w:p>
  </w:footnote>
  <w:footnote w:type="continuationSeparator" w:id="0">
    <w:p w14:paraId="2E6C39A5" w14:textId="77777777" w:rsidR="00F15AD1" w:rsidRDefault="00F15AD1" w:rsidP="00C3760A">
      <w:r>
        <w:continuationSeparator/>
      </w:r>
    </w:p>
  </w:footnote>
  <w:footnote w:id="1">
    <w:p w14:paraId="790DBD3E" w14:textId="7BAAD9BC" w:rsidR="00A37220" w:rsidRPr="00BD2C2D" w:rsidRDefault="00A37220" w:rsidP="00BD2C2D">
      <w:pPr>
        <w:pStyle w:val="NormalWeb"/>
        <w:spacing w:before="0" w:beforeAutospacing="0" w:after="0" w:afterAutospacing="0"/>
        <w:jc w:val="both"/>
        <w:rPr>
          <w:rFonts w:ascii="Arial" w:hAnsi="Arial" w:cs="Arial"/>
          <w:bCs/>
          <w:sz w:val="18"/>
          <w:szCs w:val="18"/>
        </w:rPr>
      </w:pPr>
      <w:r w:rsidRPr="00BD2C2D">
        <w:rPr>
          <w:rStyle w:val="Refdenotaalpie"/>
          <w:rFonts w:ascii="Arial" w:hAnsi="Arial" w:cs="Arial"/>
          <w:sz w:val="18"/>
          <w:szCs w:val="18"/>
        </w:rPr>
        <w:footnoteRef/>
      </w:r>
      <w:r w:rsidRPr="00BD2C2D">
        <w:rPr>
          <w:rFonts w:ascii="Arial" w:hAnsi="Arial" w:cs="Arial"/>
          <w:sz w:val="18"/>
          <w:szCs w:val="18"/>
        </w:rPr>
        <w:t xml:space="preserve"> </w:t>
      </w:r>
      <w:r w:rsidRPr="00BD2C2D">
        <w:rPr>
          <w:rFonts w:ascii="Arial" w:hAnsi="Arial" w:cs="Arial"/>
          <w:color w:val="000000"/>
          <w:sz w:val="18"/>
          <w:szCs w:val="18"/>
          <w:shd w:val="clear" w:color="auto" w:fill="FFFFFF"/>
        </w:rPr>
        <w:t>Artículo 53.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w:t>
      </w:r>
    </w:p>
  </w:footnote>
  <w:footnote w:id="2">
    <w:p w14:paraId="1DB385DC" w14:textId="77777777" w:rsidR="00A37220" w:rsidRPr="00BD2C2D" w:rsidRDefault="00A37220" w:rsidP="00BD2C2D">
      <w:pPr>
        <w:pStyle w:val="Textonotapie"/>
        <w:jc w:val="both"/>
        <w:rPr>
          <w:rFonts w:ascii="Arial" w:hAnsi="Arial" w:cs="Arial"/>
          <w:sz w:val="18"/>
          <w:szCs w:val="18"/>
          <w:lang w:val="es-CO"/>
        </w:rPr>
      </w:pPr>
      <w:r w:rsidRPr="00BD2C2D">
        <w:rPr>
          <w:rStyle w:val="Refdenotaalpie"/>
          <w:rFonts w:ascii="Arial" w:hAnsi="Arial" w:cs="Arial"/>
          <w:sz w:val="18"/>
          <w:szCs w:val="18"/>
        </w:rPr>
        <w:footnoteRef/>
      </w:r>
      <w:r w:rsidRPr="00BD2C2D">
        <w:rPr>
          <w:rFonts w:ascii="Arial" w:hAnsi="Arial" w:cs="Arial"/>
          <w:sz w:val="18"/>
          <w:szCs w:val="18"/>
        </w:rPr>
        <w:t xml:space="preserve"> “</w:t>
      </w:r>
      <w:r w:rsidRPr="00BD2C2D">
        <w:rPr>
          <w:rFonts w:ascii="Arial" w:hAnsi="Arial" w:cs="Arial"/>
          <w:i/>
          <w:iCs/>
          <w:sz w:val="18"/>
          <w:szCs w:val="18"/>
        </w:rPr>
        <w:t>i) debe pertenecer a un grupo de especial protección constitucional, tales como analfabetismo, vejez, pobreza extrema, cabeza de familia, desplazamiento o padecimiento de una enfermedad crónica, catastrófica, congénita o degenerativa”.</w:t>
      </w:r>
    </w:p>
  </w:footnote>
  <w:footnote w:id="3">
    <w:p w14:paraId="47A0D6F2" w14:textId="77777777" w:rsidR="000001F6" w:rsidRPr="00BD2C2D" w:rsidRDefault="000001F6" w:rsidP="00BD2C2D">
      <w:pPr>
        <w:pStyle w:val="Textonotapie"/>
        <w:jc w:val="both"/>
        <w:rPr>
          <w:rFonts w:ascii="Arial" w:hAnsi="Arial" w:cs="Arial"/>
          <w:sz w:val="18"/>
          <w:szCs w:val="18"/>
          <w:lang w:val="es-CO"/>
        </w:rPr>
      </w:pPr>
      <w:r w:rsidRPr="00BD2C2D">
        <w:rPr>
          <w:rStyle w:val="Refdenotaalpie"/>
          <w:rFonts w:ascii="Arial" w:hAnsi="Arial" w:cs="Arial"/>
          <w:sz w:val="18"/>
          <w:szCs w:val="18"/>
        </w:rPr>
        <w:footnoteRef/>
      </w:r>
      <w:r w:rsidRPr="00BD2C2D">
        <w:rPr>
          <w:rFonts w:ascii="Arial" w:hAnsi="Arial" w:cs="Arial"/>
          <w:sz w:val="18"/>
          <w:szCs w:val="18"/>
        </w:rPr>
        <w:t xml:space="preserve"> “</w:t>
      </w:r>
      <w:r w:rsidRPr="00BD2C2D">
        <w:rPr>
          <w:rFonts w:ascii="Arial" w:hAnsi="Arial" w:cs="Arial"/>
          <w:i/>
          <w:iCs/>
          <w:sz w:val="18"/>
          <w:szCs w:val="18"/>
        </w:rPr>
        <w:t>ii)</w:t>
      </w:r>
      <w:r w:rsidRPr="00BD2C2D">
        <w:rPr>
          <w:rFonts w:ascii="Arial" w:hAnsi="Arial" w:cs="Arial"/>
          <w:i/>
          <w:iCs/>
          <w:sz w:val="18"/>
          <w:szCs w:val="18"/>
          <w:lang w:val="es-CO"/>
        </w:rPr>
        <w:t xml:space="preserve"> debe poder inferirse razonablemente que la carencia del reconocimiento de la pensión de invalidez afecta directamente la satisfacción de las necesidades básicas del accionante, esto es, su mínimo vital y, en consecuencia, una vida en condiciones dignas”</w:t>
      </w:r>
    </w:p>
  </w:footnote>
  <w:footnote w:id="4">
    <w:p w14:paraId="787E2425" w14:textId="77777777" w:rsidR="00DD4E77" w:rsidRPr="00BD2C2D" w:rsidRDefault="00DD4E77" w:rsidP="00BD2C2D">
      <w:pPr>
        <w:pStyle w:val="Textonotapie"/>
        <w:jc w:val="both"/>
        <w:rPr>
          <w:rFonts w:ascii="Arial" w:hAnsi="Arial" w:cs="Arial"/>
          <w:sz w:val="18"/>
          <w:szCs w:val="18"/>
          <w:lang w:val="es-CO"/>
        </w:rPr>
      </w:pPr>
      <w:r w:rsidRPr="00BD2C2D">
        <w:rPr>
          <w:rStyle w:val="Refdenotaalpie"/>
          <w:rFonts w:ascii="Arial" w:hAnsi="Arial" w:cs="Arial"/>
          <w:sz w:val="18"/>
          <w:szCs w:val="18"/>
        </w:rPr>
        <w:footnoteRef/>
      </w:r>
      <w:r w:rsidRPr="00BD2C2D">
        <w:rPr>
          <w:rFonts w:ascii="Arial" w:hAnsi="Arial" w:cs="Arial"/>
          <w:sz w:val="18"/>
          <w:szCs w:val="18"/>
        </w:rPr>
        <w:t xml:space="preserve"> “</w:t>
      </w:r>
      <w:r w:rsidRPr="00BD2C2D">
        <w:rPr>
          <w:rFonts w:ascii="Arial" w:hAnsi="Arial" w:cs="Arial"/>
          <w:i/>
          <w:iCs/>
          <w:sz w:val="18"/>
          <w:szCs w:val="18"/>
          <w:lang w:val="es-CO"/>
        </w:rPr>
        <w:t>iii) deben valorarse como razonables los argumentos que proponga el accionante para justificar su imposibilidad de haber cotizado las semanas previstas por las disposiciones vigente al momento de la estructuración de la invalidez”</w:t>
      </w:r>
    </w:p>
  </w:footnote>
  <w:footnote w:id="5">
    <w:p w14:paraId="4979CB7C" w14:textId="7B9C9820" w:rsidR="00985B64" w:rsidRPr="00BD2C2D" w:rsidRDefault="00985B64" w:rsidP="00BD2C2D">
      <w:pPr>
        <w:pStyle w:val="Textonotapie"/>
        <w:jc w:val="both"/>
        <w:rPr>
          <w:rFonts w:ascii="Arial" w:hAnsi="Arial" w:cs="Arial"/>
          <w:sz w:val="18"/>
          <w:szCs w:val="18"/>
          <w:lang w:val="es-CO"/>
        </w:rPr>
      </w:pPr>
      <w:r w:rsidRPr="00BD2C2D">
        <w:rPr>
          <w:rStyle w:val="Refdenotaalpie"/>
          <w:rFonts w:ascii="Arial" w:hAnsi="Arial" w:cs="Arial"/>
          <w:sz w:val="18"/>
          <w:szCs w:val="18"/>
        </w:rPr>
        <w:footnoteRef/>
      </w:r>
      <w:r w:rsidRPr="00BD2C2D">
        <w:rPr>
          <w:rFonts w:ascii="Arial" w:hAnsi="Arial" w:cs="Arial"/>
          <w:sz w:val="18"/>
          <w:szCs w:val="18"/>
        </w:rPr>
        <w:t xml:space="preserve"> </w:t>
      </w:r>
      <w:r w:rsidRPr="00BD2C2D">
        <w:rPr>
          <w:rFonts w:ascii="Arial" w:hAnsi="Arial" w:cs="Arial"/>
          <w:sz w:val="18"/>
          <w:szCs w:val="18"/>
          <w:lang w:val="es-CO"/>
        </w:rPr>
        <w:t>Folio 31 del expediente digital bajo el denominativo “02Demanda”</w:t>
      </w:r>
    </w:p>
  </w:footnote>
  <w:footnote w:id="6">
    <w:p w14:paraId="1068D831" w14:textId="41850613" w:rsidR="00947658" w:rsidRPr="00BD2C2D" w:rsidRDefault="00947658" w:rsidP="00BD2C2D">
      <w:pPr>
        <w:pStyle w:val="Textonotapie"/>
        <w:jc w:val="both"/>
        <w:rPr>
          <w:rFonts w:ascii="Arial" w:hAnsi="Arial" w:cs="Arial"/>
          <w:sz w:val="18"/>
          <w:szCs w:val="18"/>
        </w:rPr>
      </w:pPr>
      <w:r w:rsidRPr="00BD2C2D">
        <w:rPr>
          <w:rStyle w:val="Refdenotaalpie"/>
          <w:rFonts w:ascii="Arial" w:hAnsi="Arial" w:cs="Arial"/>
          <w:sz w:val="18"/>
          <w:szCs w:val="18"/>
        </w:rPr>
        <w:footnoteRef/>
      </w:r>
      <w:r w:rsidRPr="00BD2C2D">
        <w:rPr>
          <w:rFonts w:ascii="Arial" w:hAnsi="Arial" w:cs="Arial"/>
          <w:sz w:val="18"/>
          <w:szCs w:val="18"/>
        </w:rPr>
        <w:t xml:space="preserve"> “</w:t>
      </w:r>
      <w:r w:rsidRPr="00BD2C2D">
        <w:rPr>
          <w:rFonts w:ascii="Arial" w:hAnsi="Arial" w:cs="Arial"/>
          <w:i/>
          <w:iCs/>
          <w:sz w:val="18"/>
          <w:szCs w:val="18"/>
          <w:lang w:val="es-CO"/>
        </w:rPr>
        <w:t>iv) debe comprobarse una actuación diligente del accionante para solicitar el reconocimiento de la pensión de invalidez”</w:t>
      </w:r>
      <w:r w:rsidRPr="00BD2C2D">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05A6" w14:textId="3DDA1392" w:rsidR="006F6300" w:rsidRPr="00BF6799" w:rsidRDefault="006F6300" w:rsidP="006F6300">
    <w:pPr>
      <w:jc w:val="both"/>
      <w:rPr>
        <w:rFonts w:ascii="Arial" w:eastAsia="Times New Roman" w:hAnsi="Arial" w:cs="Arial"/>
        <w:sz w:val="20"/>
        <w:szCs w:val="20"/>
        <w:lang w:val="es-419" w:eastAsia="es-ES"/>
      </w:rPr>
    </w:pPr>
    <w:r w:rsidRPr="00BF6799">
      <w:rPr>
        <w:rFonts w:ascii="Arial" w:eastAsia="Times New Roman" w:hAnsi="Arial" w:cs="Arial"/>
        <w:sz w:val="20"/>
        <w:szCs w:val="20"/>
        <w:lang w:val="es-419" w:eastAsia="es-ES"/>
      </w:rPr>
      <w:t>Radicación No.:</w:t>
    </w:r>
    <w:r w:rsidRPr="00BF6799">
      <w:rPr>
        <w:rFonts w:ascii="Arial" w:eastAsia="Times New Roman" w:hAnsi="Arial" w:cs="Arial"/>
        <w:sz w:val="20"/>
        <w:szCs w:val="20"/>
        <w:lang w:val="es-419" w:eastAsia="es-ES"/>
      </w:rPr>
      <w:tab/>
    </w:r>
    <w:r w:rsidRPr="00BF6799">
      <w:rPr>
        <w:rFonts w:ascii="Arial" w:eastAsia="Times New Roman" w:hAnsi="Arial" w:cs="Arial"/>
        <w:sz w:val="20"/>
        <w:szCs w:val="20"/>
        <w:lang w:val="es-419" w:eastAsia="es-ES"/>
      </w:rPr>
      <w:tab/>
    </w:r>
    <w:r>
      <w:rPr>
        <w:rFonts w:ascii="Arial" w:eastAsia="Times New Roman" w:hAnsi="Arial" w:cs="Arial"/>
        <w:sz w:val="20"/>
        <w:szCs w:val="20"/>
        <w:lang w:val="es-419" w:eastAsia="es-ES"/>
      </w:rPr>
      <w:t>6600131050032020001610</w:t>
    </w:r>
    <w:r w:rsidR="00CB1290">
      <w:rPr>
        <w:rFonts w:ascii="Arial" w:eastAsia="Times New Roman" w:hAnsi="Arial" w:cs="Arial"/>
        <w:sz w:val="20"/>
        <w:szCs w:val="20"/>
        <w:lang w:val="es-419" w:eastAsia="es-ES"/>
      </w:rPr>
      <w:t>1</w:t>
    </w:r>
  </w:p>
  <w:p w14:paraId="7F87BAF2" w14:textId="77777777" w:rsidR="006F6300" w:rsidRPr="00BF6799" w:rsidRDefault="006F6300" w:rsidP="006F6300">
    <w:pPr>
      <w:jc w:val="both"/>
      <w:rPr>
        <w:rFonts w:ascii="Arial" w:eastAsia="Times New Roman" w:hAnsi="Arial" w:cs="Arial"/>
        <w:sz w:val="20"/>
        <w:szCs w:val="20"/>
        <w:lang w:val="es-419" w:eastAsia="es-ES"/>
      </w:rPr>
    </w:pPr>
    <w:r w:rsidRPr="00BF6799">
      <w:rPr>
        <w:rFonts w:ascii="Arial" w:eastAsia="Times New Roman" w:hAnsi="Arial" w:cs="Arial"/>
        <w:sz w:val="20"/>
        <w:szCs w:val="20"/>
        <w:lang w:val="es-419" w:eastAsia="es-ES"/>
      </w:rPr>
      <w:t>Demandante:</w:t>
    </w:r>
    <w:r w:rsidRPr="00BF6799">
      <w:rPr>
        <w:rFonts w:ascii="Arial" w:eastAsia="Times New Roman" w:hAnsi="Arial" w:cs="Arial"/>
        <w:sz w:val="20"/>
        <w:szCs w:val="20"/>
        <w:lang w:val="es-419" w:eastAsia="es-ES"/>
      </w:rPr>
      <w:tab/>
    </w:r>
    <w:r w:rsidRPr="00BF6799">
      <w:rPr>
        <w:rFonts w:ascii="Arial" w:eastAsia="Times New Roman" w:hAnsi="Arial" w:cs="Arial"/>
        <w:sz w:val="20"/>
        <w:szCs w:val="20"/>
        <w:lang w:val="es-419" w:eastAsia="es-ES"/>
      </w:rPr>
      <w:tab/>
    </w:r>
    <w:r>
      <w:rPr>
        <w:rFonts w:ascii="Arial" w:eastAsia="Times New Roman" w:hAnsi="Arial" w:cs="Arial"/>
        <w:sz w:val="20"/>
        <w:szCs w:val="20"/>
        <w:lang w:val="es-419" w:eastAsia="es-ES"/>
      </w:rPr>
      <w:t>Dolly Jaramillo de Mejía</w:t>
    </w:r>
  </w:p>
  <w:p w14:paraId="151BD6F2" w14:textId="77777777" w:rsidR="006F6300" w:rsidRPr="00BF6799" w:rsidRDefault="006F6300" w:rsidP="006F6300">
    <w:pPr>
      <w:jc w:val="both"/>
      <w:rPr>
        <w:rFonts w:ascii="Arial" w:eastAsia="Times New Roman" w:hAnsi="Arial" w:cs="Arial"/>
        <w:sz w:val="20"/>
        <w:szCs w:val="20"/>
        <w:lang w:val="es-419" w:eastAsia="es-ES"/>
      </w:rPr>
    </w:pPr>
    <w:r w:rsidRPr="00BF6799">
      <w:rPr>
        <w:rFonts w:ascii="Arial" w:eastAsia="Times New Roman" w:hAnsi="Arial" w:cs="Arial"/>
        <w:sz w:val="20"/>
        <w:szCs w:val="20"/>
        <w:lang w:val="es-419" w:eastAsia="es-ES"/>
      </w:rPr>
      <w:t>Demandado:</w:t>
    </w:r>
    <w:r w:rsidRPr="00BF6799">
      <w:rPr>
        <w:rFonts w:ascii="Arial" w:eastAsia="Times New Roman" w:hAnsi="Arial" w:cs="Arial"/>
        <w:sz w:val="20"/>
        <w:szCs w:val="20"/>
        <w:lang w:val="es-419" w:eastAsia="es-ES"/>
      </w:rPr>
      <w:tab/>
    </w:r>
    <w:r w:rsidRPr="00BF6799">
      <w:rPr>
        <w:rFonts w:ascii="Arial" w:eastAsia="Times New Roman" w:hAnsi="Arial" w:cs="Arial"/>
        <w:sz w:val="20"/>
        <w:szCs w:val="20"/>
        <w:lang w:val="es-419" w:eastAsia="es-ES"/>
      </w:rPr>
      <w:tab/>
    </w:r>
    <w:r>
      <w:rPr>
        <w:rFonts w:ascii="Arial" w:eastAsia="Times New Roman" w:hAnsi="Arial" w:cs="Arial"/>
        <w:sz w:val="20"/>
        <w:szCs w:val="20"/>
        <w:lang w:val="es-419" w:eastAsia="es-ES"/>
      </w:rPr>
      <w:t xml:space="preserve">Colpensiones </w:t>
    </w:r>
  </w:p>
  <w:p w14:paraId="0C048697" w14:textId="198D4F02" w:rsidR="009F358C" w:rsidRPr="00A8593E" w:rsidRDefault="009F358C">
    <w:pPr>
      <w:pStyle w:val="Encabezado"/>
      <w:rPr>
        <w:rFonts w:ascii="Arial" w:hAnsi="Arial" w:cs="Arial"/>
        <w:sz w:val="18"/>
        <w:szCs w:val="16"/>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2"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5113B0"/>
    <w:multiLevelType w:val="multilevel"/>
    <w:tmpl w:val="D9787C30"/>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31559EF"/>
    <w:multiLevelType w:val="hybridMultilevel"/>
    <w:tmpl w:val="ACAA9104"/>
    <w:lvl w:ilvl="0" w:tplc="26A87CEA">
      <w:start w:val="1"/>
      <w:numFmt w:val="lowerLetter"/>
      <w:lvlText w:val="%1)"/>
      <w:lvlJc w:val="left"/>
      <w:pPr>
        <w:ind w:left="1791" w:hanging="360"/>
      </w:pPr>
      <w:rPr>
        <w:rFonts w:hint="default"/>
      </w:rPr>
    </w:lvl>
    <w:lvl w:ilvl="1" w:tplc="240A0019" w:tentative="1">
      <w:start w:val="1"/>
      <w:numFmt w:val="lowerLetter"/>
      <w:lvlText w:val="%2."/>
      <w:lvlJc w:val="left"/>
      <w:pPr>
        <w:ind w:left="2511" w:hanging="360"/>
      </w:pPr>
    </w:lvl>
    <w:lvl w:ilvl="2" w:tplc="240A001B" w:tentative="1">
      <w:start w:val="1"/>
      <w:numFmt w:val="lowerRoman"/>
      <w:lvlText w:val="%3."/>
      <w:lvlJc w:val="right"/>
      <w:pPr>
        <w:ind w:left="3231" w:hanging="180"/>
      </w:pPr>
    </w:lvl>
    <w:lvl w:ilvl="3" w:tplc="240A000F" w:tentative="1">
      <w:start w:val="1"/>
      <w:numFmt w:val="decimal"/>
      <w:lvlText w:val="%4."/>
      <w:lvlJc w:val="left"/>
      <w:pPr>
        <w:ind w:left="3951" w:hanging="360"/>
      </w:pPr>
    </w:lvl>
    <w:lvl w:ilvl="4" w:tplc="240A0019" w:tentative="1">
      <w:start w:val="1"/>
      <w:numFmt w:val="lowerLetter"/>
      <w:lvlText w:val="%5."/>
      <w:lvlJc w:val="left"/>
      <w:pPr>
        <w:ind w:left="4671" w:hanging="360"/>
      </w:pPr>
    </w:lvl>
    <w:lvl w:ilvl="5" w:tplc="240A001B" w:tentative="1">
      <w:start w:val="1"/>
      <w:numFmt w:val="lowerRoman"/>
      <w:lvlText w:val="%6."/>
      <w:lvlJc w:val="right"/>
      <w:pPr>
        <w:ind w:left="5391" w:hanging="180"/>
      </w:pPr>
    </w:lvl>
    <w:lvl w:ilvl="6" w:tplc="240A000F" w:tentative="1">
      <w:start w:val="1"/>
      <w:numFmt w:val="decimal"/>
      <w:lvlText w:val="%7."/>
      <w:lvlJc w:val="left"/>
      <w:pPr>
        <w:ind w:left="6111" w:hanging="360"/>
      </w:pPr>
    </w:lvl>
    <w:lvl w:ilvl="7" w:tplc="240A0019" w:tentative="1">
      <w:start w:val="1"/>
      <w:numFmt w:val="lowerLetter"/>
      <w:lvlText w:val="%8."/>
      <w:lvlJc w:val="left"/>
      <w:pPr>
        <w:ind w:left="6831" w:hanging="360"/>
      </w:pPr>
    </w:lvl>
    <w:lvl w:ilvl="8" w:tplc="240A001B" w:tentative="1">
      <w:start w:val="1"/>
      <w:numFmt w:val="lowerRoman"/>
      <w:lvlText w:val="%9."/>
      <w:lvlJc w:val="right"/>
      <w:pPr>
        <w:ind w:left="7551" w:hanging="180"/>
      </w:pPr>
    </w:lvl>
  </w:abstractNum>
  <w:abstractNum w:abstractNumId="5" w15:restartNumberingAfterBreak="0">
    <w:nsid w:val="4C8F56A6"/>
    <w:multiLevelType w:val="hybridMultilevel"/>
    <w:tmpl w:val="55C6E832"/>
    <w:lvl w:ilvl="0" w:tplc="650AA5BA">
      <w:start w:val="1"/>
      <w:numFmt w:val="decimal"/>
      <w:lvlText w:val="%1."/>
      <w:lvlJc w:val="left"/>
      <w:pPr>
        <w:ind w:left="720"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7"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6FFA0C16"/>
    <w:multiLevelType w:val="multilevel"/>
    <w:tmpl w:val="1090B756"/>
    <w:lvl w:ilvl="0">
      <w:start w:val="5"/>
      <w:numFmt w:val="decimal"/>
      <w:lvlText w:val="%1."/>
      <w:lvlJc w:val="left"/>
      <w:pPr>
        <w:ind w:left="460" w:hanging="4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122728A"/>
    <w:multiLevelType w:val="multilevel"/>
    <w:tmpl w:val="3A80B1F8"/>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1" w15:restartNumberingAfterBreak="0">
    <w:nsid w:val="72753000"/>
    <w:multiLevelType w:val="hybridMultilevel"/>
    <w:tmpl w:val="466CFAB6"/>
    <w:lvl w:ilvl="0" w:tplc="D2FA6F82">
      <w:start w:val="1"/>
      <w:numFmt w:val="lowerLetter"/>
      <w:lvlText w:val="%1)"/>
      <w:lvlJc w:val="left"/>
      <w:pPr>
        <w:ind w:left="1791" w:hanging="360"/>
      </w:pPr>
      <w:rPr>
        <w:rFonts w:hint="default"/>
      </w:rPr>
    </w:lvl>
    <w:lvl w:ilvl="1" w:tplc="240A0019" w:tentative="1">
      <w:start w:val="1"/>
      <w:numFmt w:val="lowerLetter"/>
      <w:lvlText w:val="%2."/>
      <w:lvlJc w:val="left"/>
      <w:pPr>
        <w:ind w:left="2511" w:hanging="360"/>
      </w:pPr>
    </w:lvl>
    <w:lvl w:ilvl="2" w:tplc="240A001B" w:tentative="1">
      <w:start w:val="1"/>
      <w:numFmt w:val="lowerRoman"/>
      <w:lvlText w:val="%3."/>
      <w:lvlJc w:val="right"/>
      <w:pPr>
        <w:ind w:left="3231" w:hanging="180"/>
      </w:pPr>
    </w:lvl>
    <w:lvl w:ilvl="3" w:tplc="240A000F" w:tentative="1">
      <w:start w:val="1"/>
      <w:numFmt w:val="decimal"/>
      <w:lvlText w:val="%4."/>
      <w:lvlJc w:val="left"/>
      <w:pPr>
        <w:ind w:left="3951" w:hanging="360"/>
      </w:pPr>
    </w:lvl>
    <w:lvl w:ilvl="4" w:tplc="240A0019" w:tentative="1">
      <w:start w:val="1"/>
      <w:numFmt w:val="lowerLetter"/>
      <w:lvlText w:val="%5."/>
      <w:lvlJc w:val="left"/>
      <w:pPr>
        <w:ind w:left="4671" w:hanging="360"/>
      </w:pPr>
    </w:lvl>
    <w:lvl w:ilvl="5" w:tplc="240A001B" w:tentative="1">
      <w:start w:val="1"/>
      <w:numFmt w:val="lowerRoman"/>
      <w:lvlText w:val="%6."/>
      <w:lvlJc w:val="right"/>
      <w:pPr>
        <w:ind w:left="5391" w:hanging="180"/>
      </w:pPr>
    </w:lvl>
    <w:lvl w:ilvl="6" w:tplc="240A000F" w:tentative="1">
      <w:start w:val="1"/>
      <w:numFmt w:val="decimal"/>
      <w:lvlText w:val="%7."/>
      <w:lvlJc w:val="left"/>
      <w:pPr>
        <w:ind w:left="6111" w:hanging="360"/>
      </w:pPr>
    </w:lvl>
    <w:lvl w:ilvl="7" w:tplc="240A0019" w:tentative="1">
      <w:start w:val="1"/>
      <w:numFmt w:val="lowerLetter"/>
      <w:lvlText w:val="%8."/>
      <w:lvlJc w:val="left"/>
      <w:pPr>
        <w:ind w:left="6831" w:hanging="360"/>
      </w:pPr>
    </w:lvl>
    <w:lvl w:ilvl="8" w:tplc="240A001B" w:tentative="1">
      <w:start w:val="1"/>
      <w:numFmt w:val="lowerRoman"/>
      <w:lvlText w:val="%9."/>
      <w:lvlJc w:val="right"/>
      <w:pPr>
        <w:ind w:left="7551" w:hanging="180"/>
      </w:pPr>
    </w:lvl>
  </w:abstractNum>
  <w:abstractNum w:abstractNumId="12"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C6913EC"/>
    <w:multiLevelType w:val="hybridMultilevel"/>
    <w:tmpl w:val="C0B4448A"/>
    <w:lvl w:ilvl="0" w:tplc="495E039C">
      <w:start w:val="1"/>
      <w:numFmt w:val="upperRoman"/>
      <w:lvlText w:val="%1."/>
      <w:lvlJc w:val="left"/>
      <w:pPr>
        <w:ind w:left="1431" w:hanging="720"/>
      </w:pPr>
      <w:rPr>
        <w:rFonts w:hint="default"/>
        <w:b/>
      </w:rPr>
    </w:lvl>
    <w:lvl w:ilvl="1" w:tplc="240A0019" w:tentative="1">
      <w:start w:val="1"/>
      <w:numFmt w:val="lowerLetter"/>
      <w:lvlText w:val="%2."/>
      <w:lvlJc w:val="left"/>
      <w:pPr>
        <w:ind w:left="1791" w:hanging="360"/>
      </w:pPr>
    </w:lvl>
    <w:lvl w:ilvl="2" w:tplc="240A001B" w:tentative="1">
      <w:start w:val="1"/>
      <w:numFmt w:val="lowerRoman"/>
      <w:lvlText w:val="%3."/>
      <w:lvlJc w:val="right"/>
      <w:pPr>
        <w:ind w:left="2511" w:hanging="180"/>
      </w:pPr>
    </w:lvl>
    <w:lvl w:ilvl="3" w:tplc="240A000F" w:tentative="1">
      <w:start w:val="1"/>
      <w:numFmt w:val="decimal"/>
      <w:lvlText w:val="%4."/>
      <w:lvlJc w:val="left"/>
      <w:pPr>
        <w:ind w:left="3231" w:hanging="360"/>
      </w:pPr>
    </w:lvl>
    <w:lvl w:ilvl="4" w:tplc="240A0019" w:tentative="1">
      <w:start w:val="1"/>
      <w:numFmt w:val="lowerLetter"/>
      <w:lvlText w:val="%5."/>
      <w:lvlJc w:val="left"/>
      <w:pPr>
        <w:ind w:left="3951" w:hanging="360"/>
      </w:pPr>
    </w:lvl>
    <w:lvl w:ilvl="5" w:tplc="240A001B" w:tentative="1">
      <w:start w:val="1"/>
      <w:numFmt w:val="lowerRoman"/>
      <w:lvlText w:val="%6."/>
      <w:lvlJc w:val="right"/>
      <w:pPr>
        <w:ind w:left="4671" w:hanging="180"/>
      </w:pPr>
    </w:lvl>
    <w:lvl w:ilvl="6" w:tplc="240A000F" w:tentative="1">
      <w:start w:val="1"/>
      <w:numFmt w:val="decimal"/>
      <w:lvlText w:val="%7."/>
      <w:lvlJc w:val="left"/>
      <w:pPr>
        <w:ind w:left="5391" w:hanging="360"/>
      </w:pPr>
    </w:lvl>
    <w:lvl w:ilvl="7" w:tplc="240A0019" w:tentative="1">
      <w:start w:val="1"/>
      <w:numFmt w:val="lowerLetter"/>
      <w:lvlText w:val="%8."/>
      <w:lvlJc w:val="left"/>
      <w:pPr>
        <w:ind w:left="6111" w:hanging="360"/>
      </w:pPr>
    </w:lvl>
    <w:lvl w:ilvl="8" w:tplc="240A001B" w:tentative="1">
      <w:start w:val="1"/>
      <w:numFmt w:val="lowerRoman"/>
      <w:lvlText w:val="%9."/>
      <w:lvlJc w:val="right"/>
      <w:pPr>
        <w:ind w:left="6831" w:hanging="180"/>
      </w:pPr>
    </w:lvl>
  </w:abstractNum>
  <w:num w:numId="1">
    <w:abstractNumId w:val="5"/>
  </w:num>
  <w:num w:numId="2">
    <w:abstractNumId w:val="8"/>
  </w:num>
  <w:num w:numId="3">
    <w:abstractNumId w:val="7"/>
  </w:num>
  <w:num w:numId="4">
    <w:abstractNumId w:val="6"/>
  </w:num>
  <w:num w:numId="5">
    <w:abstractNumId w:val="1"/>
  </w:num>
  <w:num w:numId="6">
    <w:abstractNumId w:val="0"/>
  </w:num>
  <w:num w:numId="7">
    <w:abstractNumId w:val="2"/>
  </w:num>
  <w:num w:numId="8">
    <w:abstractNumId w:val="12"/>
  </w:num>
  <w:num w:numId="9">
    <w:abstractNumId w:val="13"/>
  </w:num>
  <w:num w:numId="10">
    <w:abstractNumId w:val="11"/>
  </w:num>
  <w:num w:numId="11">
    <w:abstractNumId w:val="4"/>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01F6"/>
    <w:rsid w:val="00001527"/>
    <w:rsid w:val="00001C05"/>
    <w:rsid w:val="00004A32"/>
    <w:rsid w:val="00007339"/>
    <w:rsid w:val="000105B3"/>
    <w:rsid w:val="0001186E"/>
    <w:rsid w:val="00012972"/>
    <w:rsid w:val="00013660"/>
    <w:rsid w:val="0001407C"/>
    <w:rsid w:val="00015391"/>
    <w:rsid w:val="00016E54"/>
    <w:rsid w:val="00020471"/>
    <w:rsid w:val="000239AF"/>
    <w:rsid w:val="00026744"/>
    <w:rsid w:val="0003149E"/>
    <w:rsid w:val="00031B74"/>
    <w:rsid w:val="000338FB"/>
    <w:rsid w:val="00034AD6"/>
    <w:rsid w:val="000355D9"/>
    <w:rsid w:val="00037AF0"/>
    <w:rsid w:val="0004182D"/>
    <w:rsid w:val="00042877"/>
    <w:rsid w:val="0004309C"/>
    <w:rsid w:val="000434DA"/>
    <w:rsid w:val="00052752"/>
    <w:rsid w:val="00055613"/>
    <w:rsid w:val="00055646"/>
    <w:rsid w:val="00056FC6"/>
    <w:rsid w:val="00057A11"/>
    <w:rsid w:val="00060307"/>
    <w:rsid w:val="0006105A"/>
    <w:rsid w:val="00062A2B"/>
    <w:rsid w:val="00064D89"/>
    <w:rsid w:val="000660F3"/>
    <w:rsid w:val="00070B0D"/>
    <w:rsid w:val="000717C0"/>
    <w:rsid w:val="00071EC5"/>
    <w:rsid w:val="00073166"/>
    <w:rsid w:val="00073BA2"/>
    <w:rsid w:val="0007663C"/>
    <w:rsid w:val="000810EF"/>
    <w:rsid w:val="00086C76"/>
    <w:rsid w:val="00091277"/>
    <w:rsid w:val="00091389"/>
    <w:rsid w:val="000913E5"/>
    <w:rsid w:val="000923B1"/>
    <w:rsid w:val="000930F4"/>
    <w:rsid w:val="00096C68"/>
    <w:rsid w:val="000A0312"/>
    <w:rsid w:val="000A3811"/>
    <w:rsid w:val="000A6D6F"/>
    <w:rsid w:val="000A77B9"/>
    <w:rsid w:val="000A7B68"/>
    <w:rsid w:val="000B267B"/>
    <w:rsid w:val="000B3597"/>
    <w:rsid w:val="000C029F"/>
    <w:rsid w:val="000C0684"/>
    <w:rsid w:val="000C07A9"/>
    <w:rsid w:val="000C0E23"/>
    <w:rsid w:val="000C42DB"/>
    <w:rsid w:val="000C4A5D"/>
    <w:rsid w:val="000D4D09"/>
    <w:rsid w:val="000D4FDF"/>
    <w:rsid w:val="000D7822"/>
    <w:rsid w:val="000E06F8"/>
    <w:rsid w:val="000F1295"/>
    <w:rsid w:val="000F5D6C"/>
    <w:rsid w:val="000F5FB9"/>
    <w:rsid w:val="0010130A"/>
    <w:rsid w:val="00110177"/>
    <w:rsid w:val="00113D9B"/>
    <w:rsid w:val="00116340"/>
    <w:rsid w:val="00120AA5"/>
    <w:rsid w:val="00123BFE"/>
    <w:rsid w:val="00125805"/>
    <w:rsid w:val="0013000A"/>
    <w:rsid w:val="0013095B"/>
    <w:rsid w:val="00132E3B"/>
    <w:rsid w:val="00133431"/>
    <w:rsid w:val="0013635C"/>
    <w:rsid w:val="00150247"/>
    <w:rsid w:val="001526C7"/>
    <w:rsid w:val="00154822"/>
    <w:rsid w:val="00155853"/>
    <w:rsid w:val="0015595A"/>
    <w:rsid w:val="00157D5A"/>
    <w:rsid w:val="0016021D"/>
    <w:rsid w:val="00162660"/>
    <w:rsid w:val="001638AC"/>
    <w:rsid w:val="0016535F"/>
    <w:rsid w:val="00166008"/>
    <w:rsid w:val="00172003"/>
    <w:rsid w:val="0017260A"/>
    <w:rsid w:val="00177318"/>
    <w:rsid w:val="001816E8"/>
    <w:rsid w:val="0018283C"/>
    <w:rsid w:val="00182CA7"/>
    <w:rsid w:val="0018502F"/>
    <w:rsid w:val="00186A2B"/>
    <w:rsid w:val="00192226"/>
    <w:rsid w:val="00195141"/>
    <w:rsid w:val="0019689C"/>
    <w:rsid w:val="001A1784"/>
    <w:rsid w:val="001A1C18"/>
    <w:rsid w:val="001A4F6D"/>
    <w:rsid w:val="001A5B07"/>
    <w:rsid w:val="001A7606"/>
    <w:rsid w:val="001B33EB"/>
    <w:rsid w:val="001B52B6"/>
    <w:rsid w:val="001B632E"/>
    <w:rsid w:val="001C0D64"/>
    <w:rsid w:val="001C1B93"/>
    <w:rsid w:val="001C1CFA"/>
    <w:rsid w:val="001C40AD"/>
    <w:rsid w:val="001C498D"/>
    <w:rsid w:val="001C4A11"/>
    <w:rsid w:val="001C4ECE"/>
    <w:rsid w:val="001C7C22"/>
    <w:rsid w:val="001D0580"/>
    <w:rsid w:val="001D29A1"/>
    <w:rsid w:val="001D4A86"/>
    <w:rsid w:val="001D5486"/>
    <w:rsid w:val="001E00BD"/>
    <w:rsid w:val="001F0432"/>
    <w:rsid w:val="001F060D"/>
    <w:rsid w:val="001F07EA"/>
    <w:rsid w:val="001F13D4"/>
    <w:rsid w:val="001F29EB"/>
    <w:rsid w:val="001F3AAC"/>
    <w:rsid w:val="001F6DAC"/>
    <w:rsid w:val="002003CA"/>
    <w:rsid w:val="00200DB4"/>
    <w:rsid w:val="00201AE5"/>
    <w:rsid w:val="00201DA5"/>
    <w:rsid w:val="002038AB"/>
    <w:rsid w:val="00204C84"/>
    <w:rsid w:val="00210576"/>
    <w:rsid w:val="002147D5"/>
    <w:rsid w:val="002201C7"/>
    <w:rsid w:val="0023182F"/>
    <w:rsid w:val="0023298F"/>
    <w:rsid w:val="00232F62"/>
    <w:rsid w:val="0023490F"/>
    <w:rsid w:val="00234F92"/>
    <w:rsid w:val="0023606E"/>
    <w:rsid w:val="0023634B"/>
    <w:rsid w:val="00236A20"/>
    <w:rsid w:val="00241301"/>
    <w:rsid w:val="00242DA9"/>
    <w:rsid w:val="002433E4"/>
    <w:rsid w:val="00243BB8"/>
    <w:rsid w:val="002451A4"/>
    <w:rsid w:val="00247ACE"/>
    <w:rsid w:val="00252020"/>
    <w:rsid w:val="00254409"/>
    <w:rsid w:val="00260D9A"/>
    <w:rsid w:val="00262923"/>
    <w:rsid w:val="002640D9"/>
    <w:rsid w:val="00264C66"/>
    <w:rsid w:val="0026550E"/>
    <w:rsid w:val="002676F9"/>
    <w:rsid w:val="00270139"/>
    <w:rsid w:val="00275A5F"/>
    <w:rsid w:val="00275E0A"/>
    <w:rsid w:val="00276426"/>
    <w:rsid w:val="0027787E"/>
    <w:rsid w:val="002821B2"/>
    <w:rsid w:val="0028353C"/>
    <w:rsid w:val="00283FA4"/>
    <w:rsid w:val="0029109F"/>
    <w:rsid w:val="00291374"/>
    <w:rsid w:val="00293F89"/>
    <w:rsid w:val="00294215"/>
    <w:rsid w:val="00294738"/>
    <w:rsid w:val="002962C0"/>
    <w:rsid w:val="00297518"/>
    <w:rsid w:val="002A0F7B"/>
    <w:rsid w:val="002A235D"/>
    <w:rsid w:val="002A3F0B"/>
    <w:rsid w:val="002A4DAF"/>
    <w:rsid w:val="002A5E0B"/>
    <w:rsid w:val="002A61C8"/>
    <w:rsid w:val="002A6E02"/>
    <w:rsid w:val="002A783D"/>
    <w:rsid w:val="002B1F71"/>
    <w:rsid w:val="002B2189"/>
    <w:rsid w:val="002B3FDE"/>
    <w:rsid w:val="002B5D12"/>
    <w:rsid w:val="002B62C9"/>
    <w:rsid w:val="002C2D1D"/>
    <w:rsid w:val="002C5FB2"/>
    <w:rsid w:val="002C6473"/>
    <w:rsid w:val="002D0A90"/>
    <w:rsid w:val="002D0C5C"/>
    <w:rsid w:val="002D1E88"/>
    <w:rsid w:val="002D67FB"/>
    <w:rsid w:val="002D6EB1"/>
    <w:rsid w:val="002E3AB0"/>
    <w:rsid w:val="002F0794"/>
    <w:rsid w:val="002F0E8A"/>
    <w:rsid w:val="002F2A10"/>
    <w:rsid w:val="002F2BD4"/>
    <w:rsid w:val="002F3C6D"/>
    <w:rsid w:val="002F5DFD"/>
    <w:rsid w:val="002F69B6"/>
    <w:rsid w:val="002F7BDA"/>
    <w:rsid w:val="003006E9"/>
    <w:rsid w:val="00303C29"/>
    <w:rsid w:val="003045CA"/>
    <w:rsid w:val="00304F4E"/>
    <w:rsid w:val="00305DE9"/>
    <w:rsid w:val="003068F0"/>
    <w:rsid w:val="00311641"/>
    <w:rsid w:val="00312090"/>
    <w:rsid w:val="00312900"/>
    <w:rsid w:val="0031510A"/>
    <w:rsid w:val="0031632C"/>
    <w:rsid w:val="003164D0"/>
    <w:rsid w:val="0031723C"/>
    <w:rsid w:val="0031728F"/>
    <w:rsid w:val="00323E1B"/>
    <w:rsid w:val="003248D4"/>
    <w:rsid w:val="00324FFC"/>
    <w:rsid w:val="00325BDB"/>
    <w:rsid w:val="00327A98"/>
    <w:rsid w:val="00327CC1"/>
    <w:rsid w:val="00330B85"/>
    <w:rsid w:val="00332D4D"/>
    <w:rsid w:val="00333C43"/>
    <w:rsid w:val="00334936"/>
    <w:rsid w:val="0034417B"/>
    <w:rsid w:val="00347D3F"/>
    <w:rsid w:val="003516BA"/>
    <w:rsid w:val="00353915"/>
    <w:rsid w:val="00354290"/>
    <w:rsid w:val="00355653"/>
    <w:rsid w:val="003558EF"/>
    <w:rsid w:val="00355D58"/>
    <w:rsid w:val="00355FEF"/>
    <w:rsid w:val="00356C70"/>
    <w:rsid w:val="00357D89"/>
    <w:rsid w:val="0036138E"/>
    <w:rsid w:val="00366464"/>
    <w:rsid w:val="003700A8"/>
    <w:rsid w:val="00370871"/>
    <w:rsid w:val="003752C4"/>
    <w:rsid w:val="00376270"/>
    <w:rsid w:val="003774E5"/>
    <w:rsid w:val="003821E8"/>
    <w:rsid w:val="003835A0"/>
    <w:rsid w:val="003852A5"/>
    <w:rsid w:val="00390B51"/>
    <w:rsid w:val="003913A7"/>
    <w:rsid w:val="003922D8"/>
    <w:rsid w:val="003938A7"/>
    <w:rsid w:val="003939B0"/>
    <w:rsid w:val="00396F23"/>
    <w:rsid w:val="003A1130"/>
    <w:rsid w:val="003A4388"/>
    <w:rsid w:val="003A470F"/>
    <w:rsid w:val="003A553C"/>
    <w:rsid w:val="003A5BFC"/>
    <w:rsid w:val="003B0F99"/>
    <w:rsid w:val="003B217A"/>
    <w:rsid w:val="003B3F47"/>
    <w:rsid w:val="003C1168"/>
    <w:rsid w:val="003C1E8E"/>
    <w:rsid w:val="003C3343"/>
    <w:rsid w:val="003C3874"/>
    <w:rsid w:val="003C4977"/>
    <w:rsid w:val="003C4E76"/>
    <w:rsid w:val="003C7BA5"/>
    <w:rsid w:val="003D006A"/>
    <w:rsid w:val="003D06DE"/>
    <w:rsid w:val="003E1D40"/>
    <w:rsid w:val="003E2CC0"/>
    <w:rsid w:val="003E33EC"/>
    <w:rsid w:val="003E3418"/>
    <w:rsid w:val="003E4F7A"/>
    <w:rsid w:val="003F0E14"/>
    <w:rsid w:val="003F1D8E"/>
    <w:rsid w:val="003F334D"/>
    <w:rsid w:val="003F42CD"/>
    <w:rsid w:val="003F6069"/>
    <w:rsid w:val="003F68EE"/>
    <w:rsid w:val="0040002D"/>
    <w:rsid w:val="004017F9"/>
    <w:rsid w:val="0040272E"/>
    <w:rsid w:val="004028F3"/>
    <w:rsid w:val="00404004"/>
    <w:rsid w:val="00410A21"/>
    <w:rsid w:val="00412D71"/>
    <w:rsid w:val="004130F6"/>
    <w:rsid w:val="004159BA"/>
    <w:rsid w:val="00417C08"/>
    <w:rsid w:val="00423942"/>
    <w:rsid w:val="00427714"/>
    <w:rsid w:val="00433153"/>
    <w:rsid w:val="00434FFD"/>
    <w:rsid w:val="0043520A"/>
    <w:rsid w:val="0044066B"/>
    <w:rsid w:val="00440A44"/>
    <w:rsid w:val="00441AEB"/>
    <w:rsid w:val="00450CCA"/>
    <w:rsid w:val="004559C8"/>
    <w:rsid w:val="00457F3F"/>
    <w:rsid w:val="00461056"/>
    <w:rsid w:val="00462148"/>
    <w:rsid w:val="00464F86"/>
    <w:rsid w:val="00466F16"/>
    <w:rsid w:val="00466F78"/>
    <w:rsid w:val="00467068"/>
    <w:rsid w:val="00480508"/>
    <w:rsid w:val="00480804"/>
    <w:rsid w:val="004851C3"/>
    <w:rsid w:val="0048790A"/>
    <w:rsid w:val="004919D6"/>
    <w:rsid w:val="004925DE"/>
    <w:rsid w:val="00493490"/>
    <w:rsid w:val="00493521"/>
    <w:rsid w:val="004971FC"/>
    <w:rsid w:val="00497376"/>
    <w:rsid w:val="004A2041"/>
    <w:rsid w:val="004A21F1"/>
    <w:rsid w:val="004A28DF"/>
    <w:rsid w:val="004A32EA"/>
    <w:rsid w:val="004A382F"/>
    <w:rsid w:val="004A723D"/>
    <w:rsid w:val="004A7FF2"/>
    <w:rsid w:val="004B7CBD"/>
    <w:rsid w:val="004C28AE"/>
    <w:rsid w:val="004C3458"/>
    <w:rsid w:val="004C3F7E"/>
    <w:rsid w:val="004D075C"/>
    <w:rsid w:val="004D34E0"/>
    <w:rsid w:val="004E5D51"/>
    <w:rsid w:val="004E70BA"/>
    <w:rsid w:val="004E7AA3"/>
    <w:rsid w:val="004F2451"/>
    <w:rsid w:val="004F2EA6"/>
    <w:rsid w:val="004F6431"/>
    <w:rsid w:val="004F74B8"/>
    <w:rsid w:val="005004BF"/>
    <w:rsid w:val="005007EA"/>
    <w:rsid w:val="005031B3"/>
    <w:rsid w:val="00507B8E"/>
    <w:rsid w:val="00510F98"/>
    <w:rsid w:val="0051107B"/>
    <w:rsid w:val="0051286B"/>
    <w:rsid w:val="0051478C"/>
    <w:rsid w:val="00516867"/>
    <w:rsid w:val="005215F2"/>
    <w:rsid w:val="00524300"/>
    <w:rsid w:val="0052489E"/>
    <w:rsid w:val="005260B4"/>
    <w:rsid w:val="00527367"/>
    <w:rsid w:val="0052797E"/>
    <w:rsid w:val="0053047E"/>
    <w:rsid w:val="00531E9E"/>
    <w:rsid w:val="005327E8"/>
    <w:rsid w:val="00533A75"/>
    <w:rsid w:val="0053555D"/>
    <w:rsid w:val="00540E17"/>
    <w:rsid w:val="00540E2B"/>
    <w:rsid w:val="00542A25"/>
    <w:rsid w:val="005431B7"/>
    <w:rsid w:val="0054333D"/>
    <w:rsid w:val="00550987"/>
    <w:rsid w:val="005511CA"/>
    <w:rsid w:val="00552D07"/>
    <w:rsid w:val="00554ACC"/>
    <w:rsid w:val="00555BE4"/>
    <w:rsid w:val="00562617"/>
    <w:rsid w:val="00563587"/>
    <w:rsid w:val="00564C65"/>
    <w:rsid w:val="00565255"/>
    <w:rsid w:val="005707EE"/>
    <w:rsid w:val="00570803"/>
    <w:rsid w:val="00571204"/>
    <w:rsid w:val="00572997"/>
    <w:rsid w:val="005736C9"/>
    <w:rsid w:val="00574982"/>
    <w:rsid w:val="00574EE9"/>
    <w:rsid w:val="0057675A"/>
    <w:rsid w:val="00582C2D"/>
    <w:rsid w:val="005857B1"/>
    <w:rsid w:val="00585801"/>
    <w:rsid w:val="005863F5"/>
    <w:rsid w:val="00587C9C"/>
    <w:rsid w:val="005902A3"/>
    <w:rsid w:val="00596BCC"/>
    <w:rsid w:val="00597FCB"/>
    <w:rsid w:val="005A024B"/>
    <w:rsid w:val="005A1C2B"/>
    <w:rsid w:val="005A2686"/>
    <w:rsid w:val="005A391E"/>
    <w:rsid w:val="005A3EC0"/>
    <w:rsid w:val="005A5579"/>
    <w:rsid w:val="005A600B"/>
    <w:rsid w:val="005A637C"/>
    <w:rsid w:val="005B3CFF"/>
    <w:rsid w:val="005B3DAF"/>
    <w:rsid w:val="005B3F46"/>
    <w:rsid w:val="005B51F1"/>
    <w:rsid w:val="005B6929"/>
    <w:rsid w:val="005C1507"/>
    <w:rsid w:val="005C6902"/>
    <w:rsid w:val="005C7C44"/>
    <w:rsid w:val="005C7CE5"/>
    <w:rsid w:val="005D126D"/>
    <w:rsid w:val="005D2171"/>
    <w:rsid w:val="005D2449"/>
    <w:rsid w:val="005D2739"/>
    <w:rsid w:val="005E13D6"/>
    <w:rsid w:val="005E45F5"/>
    <w:rsid w:val="005E4695"/>
    <w:rsid w:val="005E5402"/>
    <w:rsid w:val="005E67A4"/>
    <w:rsid w:val="005E6970"/>
    <w:rsid w:val="005E7213"/>
    <w:rsid w:val="005F2489"/>
    <w:rsid w:val="005F4E7B"/>
    <w:rsid w:val="005F6B4B"/>
    <w:rsid w:val="005F71B7"/>
    <w:rsid w:val="005F7672"/>
    <w:rsid w:val="00607597"/>
    <w:rsid w:val="006076D7"/>
    <w:rsid w:val="00613596"/>
    <w:rsid w:val="0062468B"/>
    <w:rsid w:val="006249A3"/>
    <w:rsid w:val="00626581"/>
    <w:rsid w:val="00640146"/>
    <w:rsid w:val="006416A5"/>
    <w:rsid w:val="00642EAE"/>
    <w:rsid w:val="0064354A"/>
    <w:rsid w:val="00643BD3"/>
    <w:rsid w:val="0064422C"/>
    <w:rsid w:val="006444EE"/>
    <w:rsid w:val="00644A60"/>
    <w:rsid w:val="006459AF"/>
    <w:rsid w:val="0064748C"/>
    <w:rsid w:val="00650ED9"/>
    <w:rsid w:val="00651116"/>
    <w:rsid w:val="00653981"/>
    <w:rsid w:val="006539FE"/>
    <w:rsid w:val="00655BA7"/>
    <w:rsid w:val="00661325"/>
    <w:rsid w:val="006623CA"/>
    <w:rsid w:val="00666892"/>
    <w:rsid w:val="00670D92"/>
    <w:rsid w:val="0067162E"/>
    <w:rsid w:val="00671C9E"/>
    <w:rsid w:val="00672592"/>
    <w:rsid w:val="006737BE"/>
    <w:rsid w:val="00674716"/>
    <w:rsid w:val="00676959"/>
    <w:rsid w:val="00681C15"/>
    <w:rsid w:val="00687ED9"/>
    <w:rsid w:val="006907C0"/>
    <w:rsid w:val="00692011"/>
    <w:rsid w:val="00695C76"/>
    <w:rsid w:val="00696DEF"/>
    <w:rsid w:val="006974E1"/>
    <w:rsid w:val="006979D7"/>
    <w:rsid w:val="006A214C"/>
    <w:rsid w:val="006A2BEF"/>
    <w:rsid w:val="006A3DD3"/>
    <w:rsid w:val="006B004F"/>
    <w:rsid w:val="006B0B9E"/>
    <w:rsid w:val="006B142E"/>
    <w:rsid w:val="006B35F5"/>
    <w:rsid w:val="006C2210"/>
    <w:rsid w:val="006C4FE4"/>
    <w:rsid w:val="006D06CE"/>
    <w:rsid w:val="006D0EE6"/>
    <w:rsid w:val="006D0F9D"/>
    <w:rsid w:val="006D179C"/>
    <w:rsid w:val="006D29D3"/>
    <w:rsid w:val="006D41B9"/>
    <w:rsid w:val="006D5FC5"/>
    <w:rsid w:val="006E34B2"/>
    <w:rsid w:val="006E4EDC"/>
    <w:rsid w:val="006E65CC"/>
    <w:rsid w:val="006E6AC1"/>
    <w:rsid w:val="006F082E"/>
    <w:rsid w:val="006F1931"/>
    <w:rsid w:val="006F1D42"/>
    <w:rsid w:val="006F1ECC"/>
    <w:rsid w:val="006F56C3"/>
    <w:rsid w:val="006F6034"/>
    <w:rsid w:val="006F6300"/>
    <w:rsid w:val="00701004"/>
    <w:rsid w:val="007037F2"/>
    <w:rsid w:val="007039F6"/>
    <w:rsid w:val="00703C26"/>
    <w:rsid w:val="00703E5E"/>
    <w:rsid w:val="007059B5"/>
    <w:rsid w:val="007064DD"/>
    <w:rsid w:val="00711DBB"/>
    <w:rsid w:val="0071249C"/>
    <w:rsid w:val="00713B83"/>
    <w:rsid w:val="00714322"/>
    <w:rsid w:val="007143C6"/>
    <w:rsid w:val="00715272"/>
    <w:rsid w:val="00720329"/>
    <w:rsid w:val="00723C93"/>
    <w:rsid w:val="00726937"/>
    <w:rsid w:val="00727279"/>
    <w:rsid w:val="007320E0"/>
    <w:rsid w:val="0073370E"/>
    <w:rsid w:val="007344D7"/>
    <w:rsid w:val="00743238"/>
    <w:rsid w:val="00746255"/>
    <w:rsid w:val="00746B10"/>
    <w:rsid w:val="0075108D"/>
    <w:rsid w:val="007604CE"/>
    <w:rsid w:val="00761A48"/>
    <w:rsid w:val="00761EFF"/>
    <w:rsid w:val="00767B96"/>
    <w:rsid w:val="0077041E"/>
    <w:rsid w:val="007714CA"/>
    <w:rsid w:val="00773F0E"/>
    <w:rsid w:val="00777470"/>
    <w:rsid w:val="007805A3"/>
    <w:rsid w:val="00781104"/>
    <w:rsid w:val="00781ED6"/>
    <w:rsid w:val="00785914"/>
    <w:rsid w:val="00785DF3"/>
    <w:rsid w:val="00787638"/>
    <w:rsid w:val="00793C2B"/>
    <w:rsid w:val="0079445B"/>
    <w:rsid w:val="007963FF"/>
    <w:rsid w:val="007976D6"/>
    <w:rsid w:val="007A180D"/>
    <w:rsid w:val="007A23A2"/>
    <w:rsid w:val="007A3F00"/>
    <w:rsid w:val="007A4B80"/>
    <w:rsid w:val="007A6F5A"/>
    <w:rsid w:val="007B4F8B"/>
    <w:rsid w:val="007C1E59"/>
    <w:rsid w:val="007C3313"/>
    <w:rsid w:val="007C3921"/>
    <w:rsid w:val="007C6277"/>
    <w:rsid w:val="007D2180"/>
    <w:rsid w:val="007D359C"/>
    <w:rsid w:val="007D68A4"/>
    <w:rsid w:val="007E24B4"/>
    <w:rsid w:val="007E3F4D"/>
    <w:rsid w:val="007E58D7"/>
    <w:rsid w:val="007F30DA"/>
    <w:rsid w:val="007F75C7"/>
    <w:rsid w:val="00803166"/>
    <w:rsid w:val="00805019"/>
    <w:rsid w:val="0080541C"/>
    <w:rsid w:val="008118D5"/>
    <w:rsid w:val="008137CB"/>
    <w:rsid w:val="008152D7"/>
    <w:rsid w:val="008179C8"/>
    <w:rsid w:val="00823C51"/>
    <w:rsid w:val="00824B2E"/>
    <w:rsid w:val="00826AB2"/>
    <w:rsid w:val="00830893"/>
    <w:rsid w:val="00833CC0"/>
    <w:rsid w:val="0083776F"/>
    <w:rsid w:val="00837A4E"/>
    <w:rsid w:val="00837D7B"/>
    <w:rsid w:val="00840969"/>
    <w:rsid w:val="00851BA8"/>
    <w:rsid w:val="00851EA8"/>
    <w:rsid w:val="008574E7"/>
    <w:rsid w:val="008579C3"/>
    <w:rsid w:val="00862763"/>
    <w:rsid w:val="00863421"/>
    <w:rsid w:val="008650C5"/>
    <w:rsid w:val="00866C64"/>
    <w:rsid w:val="0087375E"/>
    <w:rsid w:val="00874605"/>
    <w:rsid w:val="00876929"/>
    <w:rsid w:val="00876BB5"/>
    <w:rsid w:val="00876DAC"/>
    <w:rsid w:val="0087736B"/>
    <w:rsid w:val="00877568"/>
    <w:rsid w:val="00877D90"/>
    <w:rsid w:val="008804D5"/>
    <w:rsid w:val="008823A4"/>
    <w:rsid w:val="0089021F"/>
    <w:rsid w:val="00890499"/>
    <w:rsid w:val="00890531"/>
    <w:rsid w:val="008922AD"/>
    <w:rsid w:val="008923E9"/>
    <w:rsid w:val="008A39FD"/>
    <w:rsid w:val="008A3C47"/>
    <w:rsid w:val="008A70A8"/>
    <w:rsid w:val="008A7863"/>
    <w:rsid w:val="008B2757"/>
    <w:rsid w:val="008B2B5D"/>
    <w:rsid w:val="008B5AF1"/>
    <w:rsid w:val="008B60EE"/>
    <w:rsid w:val="008B7C34"/>
    <w:rsid w:val="008C53F2"/>
    <w:rsid w:val="008D32BB"/>
    <w:rsid w:val="008D386A"/>
    <w:rsid w:val="008D7867"/>
    <w:rsid w:val="008E0C1B"/>
    <w:rsid w:val="008E4E6B"/>
    <w:rsid w:val="008F09AC"/>
    <w:rsid w:val="008F6BBB"/>
    <w:rsid w:val="00900FD7"/>
    <w:rsid w:val="00907AFE"/>
    <w:rsid w:val="00913B6D"/>
    <w:rsid w:val="00916B11"/>
    <w:rsid w:val="00924DD7"/>
    <w:rsid w:val="00927BB4"/>
    <w:rsid w:val="0093526D"/>
    <w:rsid w:val="00940D8E"/>
    <w:rsid w:val="00942CE8"/>
    <w:rsid w:val="00942ECF"/>
    <w:rsid w:val="00946C95"/>
    <w:rsid w:val="00947658"/>
    <w:rsid w:val="00950054"/>
    <w:rsid w:val="009525C2"/>
    <w:rsid w:val="009546C3"/>
    <w:rsid w:val="00954F5F"/>
    <w:rsid w:val="00956AE0"/>
    <w:rsid w:val="00956BCB"/>
    <w:rsid w:val="00957D75"/>
    <w:rsid w:val="009601D5"/>
    <w:rsid w:val="00960A6F"/>
    <w:rsid w:val="00960D3F"/>
    <w:rsid w:val="00961C3C"/>
    <w:rsid w:val="00963098"/>
    <w:rsid w:val="009656B1"/>
    <w:rsid w:val="00965FBB"/>
    <w:rsid w:val="00967FA9"/>
    <w:rsid w:val="0097598D"/>
    <w:rsid w:val="0097779E"/>
    <w:rsid w:val="00977C4D"/>
    <w:rsid w:val="00985B64"/>
    <w:rsid w:val="00985D45"/>
    <w:rsid w:val="0098769E"/>
    <w:rsid w:val="009910C7"/>
    <w:rsid w:val="00993BCB"/>
    <w:rsid w:val="00995AC4"/>
    <w:rsid w:val="009A068D"/>
    <w:rsid w:val="009A1077"/>
    <w:rsid w:val="009A16DB"/>
    <w:rsid w:val="009A2018"/>
    <w:rsid w:val="009A494C"/>
    <w:rsid w:val="009A6EFB"/>
    <w:rsid w:val="009A7C3D"/>
    <w:rsid w:val="009B05CF"/>
    <w:rsid w:val="009B108A"/>
    <w:rsid w:val="009B12D3"/>
    <w:rsid w:val="009B177F"/>
    <w:rsid w:val="009B18E2"/>
    <w:rsid w:val="009B2E29"/>
    <w:rsid w:val="009B3C81"/>
    <w:rsid w:val="009B61A4"/>
    <w:rsid w:val="009C37D8"/>
    <w:rsid w:val="009C62D8"/>
    <w:rsid w:val="009C7B9D"/>
    <w:rsid w:val="009D01E4"/>
    <w:rsid w:val="009D1460"/>
    <w:rsid w:val="009D20E7"/>
    <w:rsid w:val="009D3113"/>
    <w:rsid w:val="009D3FD9"/>
    <w:rsid w:val="009D476D"/>
    <w:rsid w:val="009D4901"/>
    <w:rsid w:val="009D56F6"/>
    <w:rsid w:val="009D7484"/>
    <w:rsid w:val="009D7D0B"/>
    <w:rsid w:val="009E07B1"/>
    <w:rsid w:val="009E38E9"/>
    <w:rsid w:val="009E4B44"/>
    <w:rsid w:val="009E6147"/>
    <w:rsid w:val="009E6AF1"/>
    <w:rsid w:val="009F04BD"/>
    <w:rsid w:val="009F07FC"/>
    <w:rsid w:val="009F2CB0"/>
    <w:rsid w:val="009F358C"/>
    <w:rsid w:val="009F45B4"/>
    <w:rsid w:val="009F5429"/>
    <w:rsid w:val="009F69A2"/>
    <w:rsid w:val="00A000B2"/>
    <w:rsid w:val="00A03835"/>
    <w:rsid w:val="00A128C1"/>
    <w:rsid w:val="00A14A6A"/>
    <w:rsid w:val="00A1750B"/>
    <w:rsid w:val="00A17DE7"/>
    <w:rsid w:val="00A20FD3"/>
    <w:rsid w:val="00A253E7"/>
    <w:rsid w:val="00A26E68"/>
    <w:rsid w:val="00A3135B"/>
    <w:rsid w:val="00A32524"/>
    <w:rsid w:val="00A37220"/>
    <w:rsid w:val="00A40AF2"/>
    <w:rsid w:val="00A414E8"/>
    <w:rsid w:val="00A4187B"/>
    <w:rsid w:val="00A4302D"/>
    <w:rsid w:val="00A442D9"/>
    <w:rsid w:val="00A508DC"/>
    <w:rsid w:val="00A53F6F"/>
    <w:rsid w:val="00A55D30"/>
    <w:rsid w:val="00A57472"/>
    <w:rsid w:val="00A62C29"/>
    <w:rsid w:val="00A65430"/>
    <w:rsid w:val="00A65546"/>
    <w:rsid w:val="00A669ED"/>
    <w:rsid w:val="00A671A2"/>
    <w:rsid w:val="00A7201B"/>
    <w:rsid w:val="00A720B9"/>
    <w:rsid w:val="00A735A5"/>
    <w:rsid w:val="00A75DFD"/>
    <w:rsid w:val="00A812DA"/>
    <w:rsid w:val="00A82653"/>
    <w:rsid w:val="00A82CF1"/>
    <w:rsid w:val="00A8593E"/>
    <w:rsid w:val="00A91FAA"/>
    <w:rsid w:val="00A93A64"/>
    <w:rsid w:val="00A95370"/>
    <w:rsid w:val="00A954B2"/>
    <w:rsid w:val="00A95FA7"/>
    <w:rsid w:val="00AA185A"/>
    <w:rsid w:val="00AA61A3"/>
    <w:rsid w:val="00AB231D"/>
    <w:rsid w:val="00AB34B8"/>
    <w:rsid w:val="00AB3CBE"/>
    <w:rsid w:val="00AB4AD1"/>
    <w:rsid w:val="00AB770B"/>
    <w:rsid w:val="00AC00EC"/>
    <w:rsid w:val="00AC083A"/>
    <w:rsid w:val="00AC250D"/>
    <w:rsid w:val="00AC2FD4"/>
    <w:rsid w:val="00AC4663"/>
    <w:rsid w:val="00AC776D"/>
    <w:rsid w:val="00AD1C59"/>
    <w:rsid w:val="00AD6FE4"/>
    <w:rsid w:val="00AD7979"/>
    <w:rsid w:val="00AE23E4"/>
    <w:rsid w:val="00AE5C26"/>
    <w:rsid w:val="00AE6866"/>
    <w:rsid w:val="00AE7124"/>
    <w:rsid w:val="00AE75A4"/>
    <w:rsid w:val="00AF57E7"/>
    <w:rsid w:val="00AF74F7"/>
    <w:rsid w:val="00B00B0B"/>
    <w:rsid w:val="00B02502"/>
    <w:rsid w:val="00B0251E"/>
    <w:rsid w:val="00B03315"/>
    <w:rsid w:val="00B065BA"/>
    <w:rsid w:val="00B0676E"/>
    <w:rsid w:val="00B07C79"/>
    <w:rsid w:val="00B1090E"/>
    <w:rsid w:val="00B1460D"/>
    <w:rsid w:val="00B15AD0"/>
    <w:rsid w:val="00B17B7B"/>
    <w:rsid w:val="00B2032D"/>
    <w:rsid w:val="00B22C9A"/>
    <w:rsid w:val="00B26BD7"/>
    <w:rsid w:val="00B274D1"/>
    <w:rsid w:val="00B32D57"/>
    <w:rsid w:val="00B340AE"/>
    <w:rsid w:val="00B35466"/>
    <w:rsid w:val="00B406D6"/>
    <w:rsid w:val="00B413A5"/>
    <w:rsid w:val="00B42539"/>
    <w:rsid w:val="00B437B4"/>
    <w:rsid w:val="00B438C5"/>
    <w:rsid w:val="00B454C8"/>
    <w:rsid w:val="00B468CC"/>
    <w:rsid w:val="00B52DFE"/>
    <w:rsid w:val="00B5342E"/>
    <w:rsid w:val="00B5461B"/>
    <w:rsid w:val="00B54839"/>
    <w:rsid w:val="00B54F71"/>
    <w:rsid w:val="00B6796C"/>
    <w:rsid w:val="00B728E5"/>
    <w:rsid w:val="00B73742"/>
    <w:rsid w:val="00B73940"/>
    <w:rsid w:val="00B7483B"/>
    <w:rsid w:val="00B74AFC"/>
    <w:rsid w:val="00B7505A"/>
    <w:rsid w:val="00B762F9"/>
    <w:rsid w:val="00B774AA"/>
    <w:rsid w:val="00B82041"/>
    <w:rsid w:val="00B826D8"/>
    <w:rsid w:val="00B84E2C"/>
    <w:rsid w:val="00B86171"/>
    <w:rsid w:val="00B92F0A"/>
    <w:rsid w:val="00B9560A"/>
    <w:rsid w:val="00B967CF"/>
    <w:rsid w:val="00BA301C"/>
    <w:rsid w:val="00BA68F4"/>
    <w:rsid w:val="00BB0D53"/>
    <w:rsid w:val="00BB0E9B"/>
    <w:rsid w:val="00BB3E6B"/>
    <w:rsid w:val="00BB5642"/>
    <w:rsid w:val="00BB6EC0"/>
    <w:rsid w:val="00BC41DB"/>
    <w:rsid w:val="00BC523C"/>
    <w:rsid w:val="00BC5D19"/>
    <w:rsid w:val="00BC6F27"/>
    <w:rsid w:val="00BD2C2D"/>
    <w:rsid w:val="00BD3ACA"/>
    <w:rsid w:val="00BE23F6"/>
    <w:rsid w:val="00BE2D30"/>
    <w:rsid w:val="00BE3BD8"/>
    <w:rsid w:val="00BF1ABD"/>
    <w:rsid w:val="00BF330B"/>
    <w:rsid w:val="00BF5F88"/>
    <w:rsid w:val="00BF6799"/>
    <w:rsid w:val="00BF6D9A"/>
    <w:rsid w:val="00C0138D"/>
    <w:rsid w:val="00C03C18"/>
    <w:rsid w:val="00C114A6"/>
    <w:rsid w:val="00C1239C"/>
    <w:rsid w:val="00C145F6"/>
    <w:rsid w:val="00C16372"/>
    <w:rsid w:val="00C20641"/>
    <w:rsid w:val="00C24F32"/>
    <w:rsid w:val="00C2562E"/>
    <w:rsid w:val="00C26E01"/>
    <w:rsid w:val="00C27047"/>
    <w:rsid w:val="00C27C67"/>
    <w:rsid w:val="00C3011C"/>
    <w:rsid w:val="00C3209A"/>
    <w:rsid w:val="00C3311A"/>
    <w:rsid w:val="00C33FBA"/>
    <w:rsid w:val="00C3760A"/>
    <w:rsid w:val="00C43F0A"/>
    <w:rsid w:val="00C46FB7"/>
    <w:rsid w:val="00C50E0C"/>
    <w:rsid w:val="00C51A15"/>
    <w:rsid w:val="00C52714"/>
    <w:rsid w:val="00C555DC"/>
    <w:rsid w:val="00C56B7E"/>
    <w:rsid w:val="00C60814"/>
    <w:rsid w:val="00C640F0"/>
    <w:rsid w:val="00C64570"/>
    <w:rsid w:val="00C659CE"/>
    <w:rsid w:val="00C6614C"/>
    <w:rsid w:val="00C66E1D"/>
    <w:rsid w:val="00C66FD8"/>
    <w:rsid w:val="00C70A24"/>
    <w:rsid w:val="00C7516C"/>
    <w:rsid w:val="00C76C0B"/>
    <w:rsid w:val="00C76D59"/>
    <w:rsid w:val="00C76EEE"/>
    <w:rsid w:val="00C77D1C"/>
    <w:rsid w:val="00C820DE"/>
    <w:rsid w:val="00C82F97"/>
    <w:rsid w:val="00C85A6F"/>
    <w:rsid w:val="00C90553"/>
    <w:rsid w:val="00C90DD7"/>
    <w:rsid w:val="00C955B7"/>
    <w:rsid w:val="00C96147"/>
    <w:rsid w:val="00C961CF"/>
    <w:rsid w:val="00CA316F"/>
    <w:rsid w:val="00CA6E6B"/>
    <w:rsid w:val="00CA74F0"/>
    <w:rsid w:val="00CB1290"/>
    <w:rsid w:val="00CB441C"/>
    <w:rsid w:val="00CB44D4"/>
    <w:rsid w:val="00CB4629"/>
    <w:rsid w:val="00CB5899"/>
    <w:rsid w:val="00CC0B8B"/>
    <w:rsid w:val="00CC0BAD"/>
    <w:rsid w:val="00CC4821"/>
    <w:rsid w:val="00CC4843"/>
    <w:rsid w:val="00CD0C93"/>
    <w:rsid w:val="00CD4A04"/>
    <w:rsid w:val="00CD59F0"/>
    <w:rsid w:val="00CD69EC"/>
    <w:rsid w:val="00CD7DE6"/>
    <w:rsid w:val="00CE0A6B"/>
    <w:rsid w:val="00CE21F9"/>
    <w:rsid w:val="00CE4791"/>
    <w:rsid w:val="00CE490E"/>
    <w:rsid w:val="00CE62EE"/>
    <w:rsid w:val="00CF121A"/>
    <w:rsid w:val="00CF6B68"/>
    <w:rsid w:val="00CF7BE0"/>
    <w:rsid w:val="00D010DA"/>
    <w:rsid w:val="00D034C2"/>
    <w:rsid w:val="00D04E1C"/>
    <w:rsid w:val="00D051A4"/>
    <w:rsid w:val="00D05937"/>
    <w:rsid w:val="00D06B58"/>
    <w:rsid w:val="00D10C44"/>
    <w:rsid w:val="00D159D2"/>
    <w:rsid w:val="00D17457"/>
    <w:rsid w:val="00D178E0"/>
    <w:rsid w:val="00D203DB"/>
    <w:rsid w:val="00D212C2"/>
    <w:rsid w:val="00D25DBC"/>
    <w:rsid w:val="00D302E8"/>
    <w:rsid w:val="00D308F8"/>
    <w:rsid w:val="00D3091B"/>
    <w:rsid w:val="00D3385C"/>
    <w:rsid w:val="00D3391F"/>
    <w:rsid w:val="00D4372F"/>
    <w:rsid w:val="00D4433D"/>
    <w:rsid w:val="00D4724B"/>
    <w:rsid w:val="00D47474"/>
    <w:rsid w:val="00D52ADE"/>
    <w:rsid w:val="00D624E9"/>
    <w:rsid w:val="00D6278D"/>
    <w:rsid w:val="00D6422E"/>
    <w:rsid w:val="00D6623B"/>
    <w:rsid w:val="00D668F5"/>
    <w:rsid w:val="00D67A71"/>
    <w:rsid w:val="00D73203"/>
    <w:rsid w:val="00D7360C"/>
    <w:rsid w:val="00D753BE"/>
    <w:rsid w:val="00D8113D"/>
    <w:rsid w:val="00D81F14"/>
    <w:rsid w:val="00D843B7"/>
    <w:rsid w:val="00D851C0"/>
    <w:rsid w:val="00D85E4E"/>
    <w:rsid w:val="00D869A9"/>
    <w:rsid w:val="00D90EC5"/>
    <w:rsid w:val="00D914B5"/>
    <w:rsid w:val="00D917D1"/>
    <w:rsid w:val="00D9235F"/>
    <w:rsid w:val="00D92536"/>
    <w:rsid w:val="00D93568"/>
    <w:rsid w:val="00D97D5C"/>
    <w:rsid w:val="00DA1EDA"/>
    <w:rsid w:val="00DA6176"/>
    <w:rsid w:val="00DA6439"/>
    <w:rsid w:val="00DA684C"/>
    <w:rsid w:val="00DA731E"/>
    <w:rsid w:val="00DB1A91"/>
    <w:rsid w:val="00DB4012"/>
    <w:rsid w:val="00DB7070"/>
    <w:rsid w:val="00DB714D"/>
    <w:rsid w:val="00DC11AE"/>
    <w:rsid w:val="00DC2187"/>
    <w:rsid w:val="00DC2AC7"/>
    <w:rsid w:val="00DC64B7"/>
    <w:rsid w:val="00DD2BCE"/>
    <w:rsid w:val="00DD384C"/>
    <w:rsid w:val="00DD4E77"/>
    <w:rsid w:val="00DE14C3"/>
    <w:rsid w:val="00DE4327"/>
    <w:rsid w:val="00DE5BC1"/>
    <w:rsid w:val="00DE73D6"/>
    <w:rsid w:val="00DF145F"/>
    <w:rsid w:val="00DF175D"/>
    <w:rsid w:val="00DF35D3"/>
    <w:rsid w:val="00DF4D1F"/>
    <w:rsid w:val="00E04629"/>
    <w:rsid w:val="00E0523F"/>
    <w:rsid w:val="00E05CF0"/>
    <w:rsid w:val="00E06CF6"/>
    <w:rsid w:val="00E07D19"/>
    <w:rsid w:val="00E13994"/>
    <w:rsid w:val="00E143C8"/>
    <w:rsid w:val="00E17ED4"/>
    <w:rsid w:val="00E20A29"/>
    <w:rsid w:val="00E2205E"/>
    <w:rsid w:val="00E25478"/>
    <w:rsid w:val="00E315FF"/>
    <w:rsid w:val="00E34DF2"/>
    <w:rsid w:val="00E366D9"/>
    <w:rsid w:val="00E36A6C"/>
    <w:rsid w:val="00E37B46"/>
    <w:rsid w:val="00E40D29"/>
    <w:rsid w:val="00E44A0B"/>
    <w:rsid w:val="00E45AFD"/>
    <w:rsid w:val="00E45BCD"/>
    <w:rsid w:val="00E535F0"/>
    <w:rsid w:val="00E53880"/>
    <w:rsid w:val="00E56A2E"/>
    <w:rsid w:val="00E605F2"/>
    <w:rsid w:val="00E61A13"/>
    <w:rsid w:val="00E62378"/>
    <w:rsid w:val="00E63523"/>
    <w:rsid w:val="00E65B6F"/>
    <w:rsid w:val="00E7151D"/>
    <w:rsid w:val="00E73FB7"/>
    <w:rsid w:val="00E77080"/>
    <w:rsid w:val="00E81806"/>
    <w:rsid w:val="00E81B9B"/>
    <w:rsid w:val="00E84E31"/>
    <w:rsid w:val="00E84EB7"/>
    <w:rsid w:val="00E87668"/>
    <w:rsid w:val="00E901D9"/>
    <w:rsid w:val="00E90FC2"/>
    <w:rsid w:val="00E91D7A"/>
    <w:rsid w:val="00E91F10"/>
    <w:rsid w:val="00E93A9E"/>
    <w:rsid w:val="00E959F6"/>
    <w:rsid w:val="00EA06FB"/>
    <w:rsid w:val="00EA3829"/>
    <w:rsid w:val="00EB08D1"/>
    <w:rsid w:val="00EB2593"/>
    <w:rsid w:val="00EB54A2"/>
    <w:rsid w:val="00EB70F7"/>
    <w:rsid w:val="00EC0948"/>
    <w:rsid w:val="00EC2A0F"/>
    <w:rsid w:val="00EC3E53"/>
    <w:rsid w:val="00EC4EF3"/>
    <w:rsid w:val="00EC5C7C"/>
    <w:rsid w:val="00EC7FEC"/>
    <w:rsid w:val="00ED1973"/>
    <w:rsid w:val="00ED2363"/>
    <w:rsid w:val="00ED2942"/>
    <w:rsid w:val="00ED2D2D"/>
    <w:rsid w:val="00ED6038"/>
    <w:rsid w:val="00ED618A"/>
    <w:rsid w:val="00EE20EA"/>
    <w:rsid w:val="00EE35F7"/>
    <w:rsid w:val="00EE3D1F"/>
    <w:rsid w:val="00EE6DDA"/>
    <w:rsid w:val="00EF2ED4"/>
    <w:rsid w:val="00EF62BA"/>
    <w:rsid w:val="00EF76D5"/>
    <w:rsid w:val="00F01845"/>
    <w:rsid w:val="00F035A1"/>
    <w:rsid w:val="00F079A8"/>
    <w:rsid w:val="00F07D13"/>
    <w:rsid w:val="00F154F0"/>
    <w:rsid w:val="00F15AD1"/>
    <w:rsid w:val="00F246DE"/>
    <w:rsid w:val="00F26571"/>
    <w:rsid w:val="00F32185"/>
    <w:rsid w:val="00F324BF"/>
    <w:rsid w:val="00F3259B"/>
    <w:rsid w:val="00F32D3B"/>
    <w:rsid w:val="00F35ACD"/>
    <w:rsid w:val="00F43434"/>
    <w:rsid w:val="00F44EE6"/>
    <w:rsid w:val="00F4657F"/>
    <w:rsid w:val="00F46BDD"/>
    <w:rsid w:val="00F46D92"/>
    <w:rsid w:val="00F474DD"/>
    <w:rsid w:val="00F52623"/>
    <w:rsid w:val="00F55EE8"/>
    <w:rsid w:val="00F60548"/>
    <w:rsid w:val="00F60EBC"/>
    <w:rsid w:val="00F610B4"/>
    <w:rsid w:val="00F63BB3"/>
    <w:rsid w:val="00F64788"/>
    <w:rsid w:val="00F649D7"/>
    <w:rsid w:val="00F65F4F"/>
    <w:rsid w:val="00F67FA4"/>
    <w:rsid w:val="00F70DF4"/>
    <w:rsid w:val="00F726FE"/>
    <w:rsid w:val="00F74998"/>
    <w:rsid w:val="00F761AC"/>
    <w:rsid w:val="00F763DF"/>
    <w:rsid w:val="00F81C5B"/>
    <w:rsid w:val="00F82E35"/>
    <w:rsid w:val="00F8558B"/>
    <w:rsid w:val="00F85CBE"/>
    <w:rsid w:val="00F86B93"/>
    <w:rsid w:val="00F87F0E"/>
    <w:rsid w:val="00F90171"/>
    <w:rsid w:val="00F9070C"/>
    <w:rsid w:val="00F9557D"/>
    <w:rsid w:val="00F955D7"/>
    <w:rsid w:val="00F9616B"/>
    <w:rsid w:val="00FA1BAF"/>
    <w:rsid w:val="00FA2D18"/>
    <w:rsid w:val="00FA2E5E"/>
    <w:rsid w:val="00FA69FA"/>
    <w:rsid w:val="00FB00E4"/>
    <w:rsid w:val="00FB030C"/>
    <w:rsid w:val="00FB2AD6"/>
    <w:rsid w:val="00FB6B4A"/>
    <w:rsid w:val="00FC1620"/>
    <w:rsid w:val="00FC1D64"/>
    <w:rsid w:val="00FC33DB"/>
    <w:rsid w:val="00FC5A19"/>
    <w:rsid w:val="00FC5D7F"/>
    <w:rsid w:val="00FD694E"/>
    <w:rsid w:val="00FE01A9"/>
    <w:rsid w:val="00FE0B8E"/>
    <w:rsid w:val="00FE131A"/>
    <w:rsid w:val="00FE655A"/>
    <w:rsid w:val="00FE6D4C"/>
    <w:rsid w:val="00FE7B07"/>
    <w:rsid w:val="00FF1861"/>
    <w:rsid w:val="1D50A642"/>
    <w:rsid w:val="2F355346"/>
    <w:rsid w:val="5C1FC7DF"/>
    <w:rsid w:val="6E068F52"/>
    <w:rsid w:val="7A9F0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9BA15E5D-B816-476E-AE27-74FEEB3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E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803166"/>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803166"/>
    <w:rPr>
      <w:sz w:val="20"/>
      <w:szCs w:val="20"/>
    </w:rPr>
  </w:style>
  <w:style w:type="character" w:styleId="Refdenotaalpie">
    <w:name w:val="footnote reference"/>
    <w:aliases w:val="Texto nota pie Car2,Texto nota pie Car Car1,Footnote Text Char Char Char Char Char Car2,Footnote Text Char Char Char Char Car2,FA Fu Car2,Footnote Text Char Car2,FC,Ref,f"/>
    <w:basedOn w:val="Fuentedeprrafopredeter"/>
    <w:uiPriority w:val="99"/>
    <w:unhideWhenUsed/>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7484"/>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D7484"/>
  </w:style>
  <w:style w:type="character" w:customStyle="1" w:styleId="eop">
    <w:name w:val="eop"/>
    <w:basedOn w:val="Fuentedeprrafopredeter"/>
    <w:rsid w:val="009D7484"/>
  </w:style>
  <w:style w:type="paragraph" w:styleId="Sinespaciado">
    <w:name w:val="No Spacing"/>
    <w:link w:val="SinespaciadoCar"/>
    <w:uiPriority w:val="1"/>
    <w:qFormat/>
    <w:rsid w:val="0018283C"/>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8283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B70F7"/>
    <w:rPr>
      <w:sz w:val="16"/>
      <w:szCs w:val="16"/>
    </w:rPr>
  </w:style>
  <w:style w:type="paragraph" w:styleId="Textocomentario">
    <w:name w:val="annotation text"/>
    <w:basedOn w:val="Normal"/>
    <w:link w:val="TextocomentarioCar"/>
    <w:uiPriority w:val="99"/>
    <w:semiHidden/>
    <w:unhideWhenUsed/>
    <w:rsid w:val="00EB70F7"/>
    <w:rPr>
      <w:sz w:val="20"/>
      <w:szCs w:val="20"/>
    </w:rPr>
  </w:style>
  <w:style w:type="character" w:customStyle="1" w:styleId="TextocomentarioCar">
    <w:name w:val="Texto comentario Car"/>
    <w:basedOn w:val="Fuentedeprrafopredeter"/>
    <w:link w:val="Textocomentario"/>
    <w:uiPriority w:val="99"/>
    <w:semiHidden/>
    <w:rsid w:val="00EB70F7"/>
    <w:rPr>
      <w:sz w:val="20"/>
      <w:szCs w:val="20"/>
    </w:rPr>
  </w:style>
  <w:style w:type="paragraph" w:styleId="Asuntodelcomentario">
    <w:name w:val="annotation subject"/>
    <w:basedOn w:val="Textocomentario"/>
    <w:next w:val="Textocomentario"/>
    <w:link w:val="AsuntodelcomentarioCar"/>
    <w:uiPriority w:val="99"/>
    <w:semiHidden/>
    <w:unhideWhenUsed/>
    <w:rsid w:val="00EB70F7"/>
    <w:rPr>
      <w:b/>
      <w:bCs/>
    </w:rPr>
  </w:style>
  <w:style w:type="character" w:customStyle="1" w:styleId="AsuntodelcomentarioCar">
    <w:name w:val="Asunto del comentario Car"/>
    <w:basedOn w:val="TextocomentarioCar"/>
    <w:link w:val="Asuntodelcomentario"/>
    <w:uiPriority w:val="99"/>
    <w:semiHidden/>
    <w:rsid w:val="00EB7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138">
      <w:bodyDiv w:val="1"/>
      <w:marLeft w:val="0"/>
      <w:marRight w:val="0"/>
      <w:marTop w:val="0"/>
      <w:marBottom w:val="0"/>
      <w:divBdr>
        <w:top w:val="none" w:sz="0" w:space="0" w:color="auto"/>
        <w:left w:val="none" w:sz="0" w:space="0" w:color="auto"/>
        <w:bottom w:val="none" w:sz="0" w:space="0" w:color="auto"/>
        <w:right w:val="none" w:sz="0" w:space="0" w:color="auto"/>
      </w:divBdr>
    </w:div>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261954452">
      <w:bodyDiv w:val="1"/>
      <w:marLeft w:val="0"/>
      <w:marRight w:val="0"/>
      <w:marTop w:val="0"/>
      <w:marBottom w:val="0"/>
      <w:divBdr>
        <w:top w:val="none" w:sz="0" w:space="0" w:color="auto"/>
        <w:left w:val="none" w:sz="0" w:space="0" w:color="auto"/>
        <w:bottom w:val="none" w:sz="0" w:space="0" w:color="auto"/>
        <w:right w:val="none" w:sz="0" w:space="0" w:color="auto"/>
      </w:divBdr>
    </w:div>
    <w:div w:id="392973662">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621618879">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49524992">
      <w:bodyDiv w:val="1"/>
      <w:marLeft w:val="0"/>
      <w:marRight w:val="0"/>
      <w:marTop w:val="0"/>
      <w:marBottom w:val="0"/>
      <w:divBdr>
        <w:top w:val="none" w:sz="0" w:space="0" w:color="auto"/>
        <w:left w:val="none" w:sz="0" w:space="0" w:color="auto"/>
        <w:bottom w:val="none" w:sz="0" w:space="0" w:color="auto"/>
        <w:right w:val="none" w:sz="0" w:space="0" w:color="auto"/>
      </w:divBdr>
      <w:divsChild>
        <w:div w:id="1799835721">
          <w:marLeft w:val="0"/>
          <w:marRight w:val="0"/>
          <w:marTop w:val="120"/>
          <w:marBottom w:val="120"/>
          <w:divBdr>
            <w:top w:val="none" w:sz="0" w:space="0" w:color="auto"/>
            <w:left w:val="none" w:sz="0" w:space="0" w:color="auto"/>
            <w:bottom w:val="none" w:sz="0" w:space="0" w:color="auto"/>
            <w:right w:val="none" w:sz="0" w:space="0" w:color="auto"/>
          </w:divBdr>
          <w:divsChild>
            <w:div w:id="722145411">
              <w:marLeft w:val="0"/>
              <w:marRight w:val="0"/>
              <w:marTop w:val="0"/>
              <w:marBottom w:val="0"/>
              <w:divBdr>
                <w:top w:val="none" w:sz="0" w:space="0" w:color="auto"/>
                <w:left w:val="none" w:sz="0" w:space="0" w:color="auto"/>
                <w:bottom w:val="none" w:sz="0" w:space="0" w:color="auto"/>
                <w:right w:val="none" w:sz="0" w:space="0" w:color="auto"/>
              </w:divBdr>
            </w:div>
          </w:divsChild>
        </w:div>
        <w:div w:id="1988971737">
          <w:marLeft w:val="0"/>
          <w:marRight w:val="0"/>
          <w:marTop w:val="0"/>
          <w:marBottom w:val="120"/>
          <w:divBdr>
            <w:top w:val="none" w:sz="0" w:space="0" w:color="auto"/>
            <w:left w:val="none" w:sz="0" w:space="0" w:color="auto"/>
            <w:bottom w:val="none" w:sz="0" w:space="0" w:color="auto"/>
            <w:right w:val="none" w:sz="0" w:space="0" w:color="auto"/>
          </w:divBdr>
          <w:divsChild>
            <w:div w:id="3463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423">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7522">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f12e5cac86364d7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2CD52C9E-DB14-426F-BBC1-AE7E0A9E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03BCE-F04B-4464-B51F-5F9CF4E2621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F390EC94-C29F-480A-82ED-879163F2F963}">
  <ds:schemaRefs>
    <ds:schemaRef ds:uri="http://schemas.microsoft.com/sharepoint/v3/contenttype/forms"/>
  </ds:schemaRefs>
</ds:datastoreItem>
</file>

<file path=customXml/itemProps4.xml><?xml version="1.0" encoding="utf-8"?>
<ds:datastoreItem xmlns:ds="http://schemas.openxmlformats.org/officeDocument/2006/customXml" ds:itemID="{E966C73B-A31B-4057-99D1-663878D8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4323</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8</cp:revision>
  <cp:lastPrinted>2020-03-05T14:02:00Z</cp:lastPrinted>
  <dcterms:created xsi:type="dcterms:W3CDTF">2022-10-29T23:21:00Z</dcterms:created>
  <dcterms:modified xsi:type="dcterms:W3CDTF">2023-01-23T21:19:00Z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57077500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