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4075" w14:textId="77777777" w:rsidR="00CF5BC1" w:rsidRPr="00CF5BC1" w:rsidRDefault="00CF5BC1" w:rsidP="00CF5B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CF5BC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A5A1F7" w14:textId="77777777" w:rsidR="00CF5BC1" w:rsidRPr="00CF5BC1" w:rsidRDefault="00CF5BC1" w:rsidP="00CF5BC1">
      <w:pPr>
        <w:jc w:val="both"/>
        <w:rPr>
          <w:rFonts w:ascii="Arial" w:hAnsi="Arial" w:cs="Arial"/>
          <w:sz w:val="20"/>
          <w:szCs w:val="20"/>
          <w:lang w:val="es-419"/>
        </w:rPr>
      </w:pPr>
    </w:p>
    <w:p w14:paraId="7AB57593" w14:textId="77777777" w:rsidR="00CF5BC1" w:rsidRPr="00CF5BC1" w:rsidRDefault="00CF5BC1" w:rsidP="00CF5BC1">
      <w:pPr>
        <w:jc w:val="both"/>
        <w:rPr>
          <w:rFonts w:ascii="Arial" w:eastAsia="Tahoma" w:hAnsi="Arial" w:cs="Arial"/>
          <w:sz w:val="20"/>
          <w:szCs w:val="20"/>
          <w:lang w:val="es-419" w:eastAsia="es-CO"/>
        </w:rPr>
      </w:pPr>
      <w:r w:rsidRPr="00CF5BC1">
        <w:rPr>
          <w:rFonts w:ascii="Arial" w:eastAsia="Tahoma" w:hAnsi="Arial" w:cs="Arial"/>
          <w:sz w:val="20"/>
          <w:szCs w:val="20"/>
          <w:lang w:val="es-419" w:eastAsia="es-CO"/>
        </w:rPr>
        <w:t>Radicación No.:</w:t>
      </w:r>
      <w:r w:rsidRPr="00CF5BC1">
        <w:rPr>
          <w:rFonts w:ascii="Arial" w:eastAsia="Tahoma" w:hAnsi="Arial" w:cs="Arial"/>
          <w:sz w:val="20"/>
          <w:szCs w:val="20"/>
          <w:lang w:val="es-419" w:eastAsia="es-CO"/>
        </w:rPr>
        <w:tab/>
      </w:r>
      <w:r w:rsidRPr="00CF5BC1">
        <w:rPr>
          <w:rFonts w:ascii="Arial" w:eastAsia="Tahoma" w:hAnsi="Arial" w:cs="Arial"/>
          <w:sz w:val="20"/>
          <w:szCs w:val="20"/>
          <w:lang w:val="es-419" w:eastAsia="es-CO"/>
        </w:rPr>
        <w:tab/>
        <w:t>66001-31-05-001-2019-00259-01</w:t>
      </w:r>
    </w:p>
    <w:p w14:paraId="1E6C7FB1" w14:textId="77777777" w:rsidR="00CF5BC1" w:rsidRPr="00CF5BC1" w:rsidRDefault="00CF5BC1" w:rsidP="00CF5BC1">
      <w:pPr>
        <w:jc w:val="both"/>
        <w:rPr>
          <w:rFonts w:ascii="Arial" w:eastAsia="Tahoma" w:hAnsi="Arial" w:cs="Arial"/>
          <w:sz w:val="20"/>
          <w:szCs w:val="20"/>
          <w:lang w:val="es-419" w:eastAsia="es-CO"/>
        </w:rPr>
      </w:pPr>
      <w:r w:rsidRPr="00CF5BC1">
        <w:rPr>
          <w:rFonts w:ascii="Arial" w:eastAsia="Tahoma" w:hAnsi="Arial" w:cs="Arial"/>
          <w:sz w:val="20"/>
          <w:szCs w:val="20"/>
          <w:lang w:val="es-419" w:eastAsia="es-CO"/>
        </w:rPr>
        <w:t>Proceso:</w:t>
      </w:r>
      <w:r w:rsidRPr="00CF5BC1">
        <w:rPr>
          <w:rFonts w:ascii="Arial" w:eastAsia="Tahoma" w:hAnsi="Arial" w:cs="Arial"/>
          <w:sz w:val="20"/>
          <w:szCs w:val="20"/>
          <w:lang w:val="es-419" w:eastAsia="es-CO"/>
        </w:rPr>
        <w:tab/>
      </w:r>
      <w:r w:rsidRPr="00CF5BC1">
        <w:rPr>
          <w:rFonts w:ascii="Arial" w:eastAsia="Tahoma" w:hAnsi="Arial" w:cs="Arial"/>
          <w:sz w:val="20"/>
          <w:szCs w:val="20"/>
          <w:lang w:val="es-419" w:eastAsia="es-CO"/>
        </w:rPr>
        <w:tab/>
        <w:t xml:space="preserve">Ordinario laboral </w:t>
      </w:r>
    </w:p>
    <w:p w14:paraId="436B635F" w14:textId="77777777" w:rsidR="00CF5BC1" w:rsidRPr="00CF5BC1" w:rsidRDefault="00CF5BC1" w:rsidP="00CF5BC1">
      <w:pPr>
        <w:jc w:val="both"/>
        <w:rPr>
          <w:rFonts w:ascii="Arial" w:eastAsia="Tahoma" w:hAnsi="Arial" w:cs="Arial"/>
          <w:sz w:val="20"/>
          <w:szCs w:val="20"/>
          <w:lang w:val="es-419" w:eastAsia="es-CO"/>
        </w:rPr>
      </w:pPr>
      <w:r w:rsidRPr="00CF5BC1">
        <w:rPr>
          <w:rFonts w:ascii="Arial" w:eastAsia="Tahoma" w:hAnsi="Arial" w:cs="Arial"/>
          <w:sz w:val="20"/>
          <w:szCs w:val="20"/>
          <w:lang w:val="es-419" w:eastAsia="es-CO"/>
        </w:rPr>
        <w:t>Demandante:</w:t>
      </w:r>
      <w:r w:rsidRPr="00CF5BC1">
        <w:rPr>
          <w:rFonts w:ascii="Arial" w:eastAsia="Tahoma" w:hAnsi="Arial" w:cs="Arial"/>
          <w:sz w:val="20"/>
          <w:szCs w:val="20"/>
          <w:lang w:val="es-419" w:eastAsia="es-CO"/>
        </w:rPr>
        <w:tab/>
      </w:r>
      <w:r w:rsidRPr="00CF5BC1">
        <w:rPr>
          <w:rFonts w:ascii="Arial" w:eastAsia="Tahoma" w:hAnsi="Arial" w:cs="Arial"/>
          <w:sz w:val="20"/>
          <w:szCs w:val="20"/>
          <w:lang w:val="es-419" w:eastAsia="es-CO"/>
        </w:rPr>
        <w:tab/>
        <w:t xml:space="preserve">María Auxiliadora Orcasitas Ramírez  </w:t>
      </w:r>
    </w:p>
    <w:p w14:paraId="09D00496" w14:textId="77777777" w:rsidR="00CF5BC1" w:rsidRPr="00CF5BC1" w:rsidRDefault="00CF5BC1" w:rsidP="00CF5BC1">
      <w:pPr>
        <w:jc w:val="both"/>
        <w:rPr>
          <w:rFonts w:ascii="Arial" w:eastAsia="Tahoma" w:hAnsi="Arial" w:cs="Arial"/>
          <w:sz w:val="20"/>
          <w:szCs w:val="20"/>
          <w:lang w:val="es-419" w:eastAsia="es-CO"/>
        </w:rPr>
      </w:pPr>
      <w:r w:rsidRPr="00CF5BC1">
        <w:rPr>
          <w:rFonts w:ascii="Arial" w:eastAsia="Tahoma" w:hAnsi="Arial" w:cs="Arial"/>
          <w:sz w:val="20"/>
          <w:szCs w:val="20"/>
          <w:lang w:val="es-419" w:eastAsia="es-CO"/>
        </w:rPr>
        <w:t>Demandado:</w:t>
      </w:r>
      <w:r w:rsidRPr="00CF5BC1">
        <w:rPr>
          <w:rFonts w:ascii="Arial" w:eastAsia="Tahoma" w:hAnsi="Arial" w:cs="Arial"/>
          <w:sz w:val="20"/>
          <w:szCs w:val="20"/>
          <w:lang w:val="es-419" w:eastAsia="es-CO"/>
        </w:rPr>
        <w:tab/>
      </w:r>
      <w:r w:rsidRPr="00CF5BC1">
        <w:rPr>
          <w:rFonts w:ascii="Arial" w:eastAsia="Tahoma" w:hAnsi="Arial" w:cs="Arial"/>
          <w:sz w:val="20"/>
          <w:szCs w:val="20"/>
          <w:lang w:val="es-419" w:eastAsia="es-CO"/>
        </w:rPr>
        <w:tab/>
        <w:t xml:space="preserve">Colpensiones </w:t>
      </w:r>
    </w:p>
    <w:p w14:paraId="0C4CB680" w14:textId="77777777" w:rsidR="00CF5BC1" w:rsidRPr="00CF5BC1" w:rsidRDefault="00CF5BC1" w:rsidP="00CF5BC1">
      <w:pPr>
        <w:jc w:val="both"/>
        <w:rPr>
          <w:rFonts w:ascii="Arial" w:eastAsia="Tahoma" w:hAnsi="Arial" w:cs="Arial"/>
          <w:sz w:val="20"/>
          <w:szCs w:val="20"/>
          <w:lang w:val="es-419" w:eastAsia="es-CO"/>
        </w:rPr>
      </w:pPr>
      <w:r w:rsidRPr="00CF5BC1">
        <w:rPr>
          <w:rFonts w:ascii="Arial" w:eastAsia="Tahoma" w:hAnsi="Arial" w:cs="Arial"/>
          <w:sz w:val="20"/>
          <w:szCs w:val="20"/>
          <w:lang w:val="es-419" w:eastAsia="es-CO"/>
        </w:rPr>
        <w:t xml:space="preserve">Juzgado de origen: </w:t>
      </w:r>
      <w:r w:rsidRPr="00CF5BC1">
        <w:rPr>
          <w:rFonts w:ascii="Arial" w:eastAsia="Tahoma" w:hAnsi="Arial" w:cs="Arial"/>
          <w:sz w:val="20"/>
          <w:szCs w:val="20"/>
          <w:lang w:val="es-419" w:eastAsia="es-CO"/>
        </w:rPr>
        <w:tab/>
        <w:t xml:space="preserve">Primero Laboral del Circuito de Pereira </w:t>
      </w:r>
    </w:p>
    <w:p w14:paraId="0624C9A5" w14:textId="76021554" w:rsidR="00CF5BC1" w:rsidRPr="00CF5BC1" w:rsidRDefault="00CF5BC1" w:rsidP="00CF5BC1">
      <w:pPr>
        <w:jc w:val="both"/>
        <w:rPr>
          <w:rFonts w:ascii="Arial" w:eastAsia="Tahoma" w:hAnsi="Arial" w:cs="Arial"/>
          <w:sz w:val="20"/>
          <w:szCs w:val="20"/>
          <w:lang w:val="es-419" w:eastAsia="es-CO"/>
        </w:rPr>
      </w:pPr>
      <w:r w:rsidRPr="00CF5BC1">
        <w:rPr>
          <w:rFonts w:ascii="Arial" w:eastAsia="Tahoma" w:hAnsi="Arial" w:cs="Arial"/>
          <w:sz w:val="20"/>
          <w:szCs w:val="20"/>
          <w:lang w:val="es-419" w:eastAsia="es-CO"/>
        </w:rPr>
        <w:t>Magistrada ponente:</w:t>
      </w:r>
      <w:r w:rsidRPr="00CF5BC1">
        <w:rPr>
          <w:rFonts w:ascii="Arial" w:eastAsia="Tahoma" w:hAnsi="Arial" w:cs="Arial"/>
          <w:sz w:val="20"/>
          <w:szCs w:val="20"/>
          <w:lang w:val="es-419" w:eastAsia="es-CO"/>
        </w:rPr>
        <w:tab/>
        <w:t>Dra. Ana Lucía Caicedo Calderón</w:t>
      </w:r>
    </w:p>
    <w:p w14:paraId="4C586049" w14:textId="77777777" w:rsidR="00CF5BC1" w:rsidRPr="00CF5BC1" w:rsidRDefault="00CF5BC1" w:rsidP="00CF5BC1">
      <w:pPr>
        <w:jc w:val="both"/>
        <w:rPr>
          <w:rFonts w:ascii="Arial" w:eastAsia="Tahoma" w:hAnsi="Arial" w:cs="Arial"/>
          <w:color w:val="000000"/>
          <w:sz w:val="20"/>
          <w:szCs w:val="20"/>
          <w:lang w:eastAsia="es-CO"/>
        </w:rPr>
      </w:pPr>
    </w:p>
    <w:p w14:paraId="4FC98932" w14:textId="70713743" w:rsidR="00503E48" w:rsidRPr="00503E48" w:rsidRDefault="00226928" w:rsidP="00503E48">
      <w:pPr>
        <w:jc w:val="both"/>
        <w:rPr>
          <w:rFonts w:ascii="Arial" w:hAnsi="Arial" w:cs="Arial"/>
          <w:b/>
          <w:bCs/>
          <w:iCs/>
          <w:sz w:val="20"/>
          <w:szCs w:val="20"/>
          <w:lang w:val="es-419" w:eastAsia="fr-FR"/>
        </w:rPr>
      </w:pPr>
      <w:r w:rsidRPr="00503E48">
        <w:rPr>
          <w:rFonts w:ascii="Arial" w:hAnsi="Arial" w:cs="Arial"/>
          <w:b/>
          <w:bCs/>
          <w:iCs/>
          <w:sz w:val="20"/>
          <w:szCs w:val="20"/>
          <w:u w:val="single"/>
          <w:lang w:val="es-419" w:eastAsia="fr-FR"/>
        </w:rPr>
        <w:t>TEMAS:</w:t>
      </w:r>
      <w:r w:rsidRPr="00503E48">
        <w:rPr>
          <w:rFonts w:ascii="Arial" w:hAnsi="Arial" w:cs="Arial"/>
          <w:b/>
          <w:bCs/>
          <w:iCs/>
          <w:sz w:val="20"/>
          <w:szCs w:val="20"/>
          <w:lang w:val="es-419" w:eastAsia="fr-FR"/>
        </w:rPr>
        <w:tab/>
        <w:t xml:space="preserve">PENSIÓN DE JUBILACIÓN / DOCENTES / COMPATIBILIDAD CON DERECHOS DEL SISTEMA DE SEGURIDAD SOCIAL / REQUISITOS / </w:t>
      </w:r>
      <w:r>
        <w:rPr>
          <w:rFonts w:ascii="Arial" w:hAnsi="Arial" w:cs="Arial"/>
          <w:b/>
          <w:bCs/>
          <w:iCs/>
          <w:sz w:val="20"/>
          <w:szCs w:val="20"/>
          <w:lang w:val="es-419" w:eastAsia="fr-FR"/>
        </w:rPr>
        <w:t>INDEMNIZACIÓN SUSTITUTIVA DE LA PENSIÓN DE VEJEZ.</w:t>
      </w:r>
    </w:p>
    <w:p w14:paraId="01A13044" w14:textId="77777777" w:rsidR="00503E48" w:rsidRPr="00503E48" w:rsidRDefault="00503E48" w:rsidP="00503E48">
      <w:pPr>
        <w:jc w:val="both"/>
        <w:rPr>
          <w:rFonts w:ascii="Arial" w:hAnsi="Arial" w:cs="Arial"/>
          <w:sz w:val="20"/>
          <w:szCs w:val="20"/>
          <w:lang w:val="es-419"/>
        </w:rPr>
      </w:pPr>
    </w:p>
    <w:p w14:paraId="1FC53FCD" w14:textId="77777777" w:rsidR="00503E48" w:rsidRPr="00503E48" w:rsidRDefault="00503E48" w:rsidP="00503E48">
      <w:pPr>
        <w:jc w:val="both"/>
        <w:rPr>
          <w:rFonts w:ascii="Arial" w:hAnsi="Arial" w:cs="Arial"/>
          <w:sz w:val="20"/>
          <w:szCs w:val="20"/>
          <w:lang w:val="es-419"/>
        </w:rPr>
      </w:pPr>
      <w:r w:rsidRPr="00503E48">
        <w:rPr>
          <w:rFonts w:ascii="Arial" w:hAnsi="Arial" w:cs="Arial"/>
          <w:sz w:val="20"/>
          <w:szCs w:val="20"/>
          <w:lang w:val="es-419"/>
        </w:rPr>
        <w:t>Está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w:t>
      </w:r>
    </w:p>
    <w:p w14:paraId="6D2D5D8F" w14:textId="77777777" w:rsidR="00503E48" w:rsidRPr="00503E48" w:rsidRDefault="00503E48" w:rsidP="00503E48">
      <w:pPr>
        <w:jc w:val="both"/>
        <w:rPr>
          <w:rFonts w:ascii="Arial" w:hAnsi="Arial" w:cs="Arial"/>
          <w:sz w:val="20"/>
          <w:szCs w:val="20"/>
          <w:lang w:val="es-419"/>
        </w:rPr>
      </w:pPr>
    </w:p>
    <w:p w14:paraId="006B243D" w14:textId="77777777" w:rsidR="00503E48" w:rsidRPr="00503E48" w:rsidRDefault="00503E48" w:rsidP="00503E48">
      <w:pPr>
        <w:jc w:val="both"/>
        <w:rPr>
          <w:rFonts w:ascii="Arial" w:hAnsi="Arial" w:cs="Arial"/>
          <w:sz w:val="20"/>
          <w:szCs w:val="20"/>
          <w:lang w:val="es-419"/>
        </w:rPr>
      </w:pPr>
      <w:r w:rsidRPr="00503E48">
        <w:rPr>
          <w:rFonts w:ascii="Arial" w:hAnsi="Arial" w:cs="Arial"/>
          <w:sz w:val="20"/>
          <w:szCs w:val="20"/>
          <w:lang w:val="es-419"/>
        </w:rPr>
        <w:t>Ahora, aquellos docentes del sector público que adicionalmente prestaron sus servicios en el sector privado y efectuaron aportes al Instituto de Seguros Sociales antes de la entrada en vigencia de la Ley 100 de 1993 y/o cotizaron al ISS o a una administradora del Régimen de Ahorro Individual con Solidaridad después de que empezó a regir el Sistema General de Pensiones, tienen derecho a derivar también de este régimen legal la pensión de vejez que allí se contempla. (…)</w:t>
      </w:r>
    </w:p>
    <w:p w14:paraId="2959D59C" w14:textId="77777777" w:rsidR="00503E48" w:rsidRPr="00503E48" w:rsidRDefault="00503E48" w:rsidP="00503E48">
      <w:pPr>
        <w:jc w:val="both"/>
        <w:rPr>
          <w:rFonts w:ascii="Arial" w:hAnsi="Arial" w:cs="Arial"/>
          <w:sz w:val="20"/>
          <w:szCs w:val="20"/>
          <w:lang w:val="es-419"/>
        </w:rPr>
      </w:pPr>
    </w:p>
    <w:p w14:paraId="17964B16" w14:textId="77777777" w:rsidR="007320F1" w:rsidRPr="007320F1" w:rsidRDefault="007320F1" w:rsidP="007320F1">
      <w:pPr>
        <w:jc w:val="both"/>
        <w:rPr>
          <w:rFonts w:ascii="Arial" w:hAnsi="Arial" w:cs="Arial"/>
          <w:sz w:val="20"/>
          <w:szCs w:val="20"/>
          <w:lang w:val="es-419"/>
        </w:rPr>
      </w:pPr>
      <w:r w:rsidRPr="007320F1">
        <w:rPr>
          <w:rFonts w:ascii="Arial" w:hAnsi="Arial" w:cs="Arial"/>
          <w:sz w:val="20"/>
          <w:szCs w:val="20"/>
          <w:lang w:val="es-419"/>
        </w:rPr>
        <w:t>Descendiendo al caso concreto, tenemos que la señora María Auxiliadora Orcasitas i) se vinculó al Magisterio antes de la entrada en vigencia de la Ley 812 de 2003 y, ii) prestó sus servicios al sector privado, cotizando al régimen de prima media administrado por el I.S.S. un total de 466,57 semanas.</w:t>
      </w:r>
    </w:p>
    <w:p w14:paraId="7BCB3A32" w14:textId="77777777" w:rsidR="007320F1" w:rsidRPr="007320F1" w:rsidRDefault="007320F1" w:rsidP="007320F1">
      <w:pPr>
        <w:jc w:val="both"/>
        <w:rPr>
          <w:rFonts w:ascii="Arial" w:hAnsi="Arial" w:cs="Arial"/>
          <w:sz w:val="20"/>
          <w:szCs w:val="20"/>
          <w:lang w:val="es-419"/>
        </w:rPr>
      </w:pPr>
    </w:p>
    <w:p w14:paraId="1C643008" w14:textId="14E0296A" w:rsidR="00CF5BC1" w:rsidRDefault="007320F1" w:rsidP="007320F1">
      <w:pPr>
        <w:jc w:val="both"/>
        <w:rPr>
          <w:rFonts w:ascii="Arial" w:hAnsi="Arial" w:cs="Arial"/>
          <w:sz w:val="20"/>
          <w:szCs w:val="20"/>
          <w:lang w:val="es-419"/>
        </w:rPr>
      </w:pPr>
      <w:r w:rsidRPr="007320F1">
        <w:rPr>
          <w:rFonts w:ascii="Arial" w:hAnsi="Arial" w:cs="Arial"/>
          <w:sz w:val="20"/>
          <w:szCs w:val="20"/>
          <w:lang w:val="es-419"/>
        </w:rPr>
        <w:t>En ese orden de ideas, contrario a lo planteado por Colpensiones en la alzada, resulta palmario que la demandante tenía derecho a que, además de la pensión de jubilación que le otorgó el Fondo Nacional de Prestaciones del Magisterio por sus servicios en el sector público, le fuera reconocida la indemnización sustitutiva de la pensión de vejez derivada del Sistema General de Seguridad Social en Pensiones</w:t>
      </w:r>
      <w:r>
        <w:rPr>
          <w:rFonts w:ascii="Arial" w:hAnsi="Arial" w:cs="Arial"/>
          <w:sz w:val="20"/>
          <w:szCs w:val="20"/>
          <w:lang w:val="es-419"/>
        </w:rPr>
        <w:t>…</w:t>
      </w:r>
    </w:p>
    <w:p w14:paraId="10B3D4FF" w14:textId="5DFF044A" w:rsidR="007320F1" w:rsidRDefault="007320F1" w:rsidP="00CF5BC1">
      <w:pPr>
        <w:jc w:val="both"/>
        <w:rPr>
          <w:rFonts w:ascii="Arial" w:hAnsi="Arial" w:cs="Arial"/>
          <w:sz w:val="20"/>
          <w:szCs w:val="20"/>
          <w:lang w:val="es-419"/>
        </w:rPr>
      </w:pPr>
    </w:p>
    <w:p w14:paraId="1B5479EE" w14:textId="77777777" w:rsidR="007320F1" w:rsidRPr="00CF5BC1" w:rsidRDefault="007320F1" w:rsidP="00CF5BC1">
      <w:pPr>
        <w:jc w:val="both"/>
        <w:rPr>
          <w:rFonts w:ascii="Arial" w:hAnsi="Arial" w:cs="Arial"/>
          <w:sz w:val="20"/>
          <w:szCs w:val="20"/>
          <w:lang w:val="es-419"/>
        </w:rPr>
      </w:pPr>
    </w:p>
    <w:p w14:paraId="4A935329" w14:textId="77777777" w:rsidR="00CF5BC1" w:rsidRPr="00CF5BC1" w:rsidRDefault="00CF5BC1" w:rsidP="00CF5BC1">
      <w:pPr>
        <w:jc w:val="both"/>
        <w:rPr>
          <w:rFonts w:ascii="Arial" w:hAnsi="Arial" w:cs="Arial"/>
          <w:sz w:val="20"/>
          <w:szCs w:val="20"/>
          <w:lang w:val="es-419"/>
        </w:rPr>
      </w:pPr>
    </w:p>
    <w:bookmarkEnd w:id="1"/>
    <w:bookmarkEnd w:id="2"/>
    <w:p w14:paraId="1DD29841" w14:textId="77777777" w:rsidR="00766B8A" w:rsidRPr="00CF5BC1" w:rsidRDefault="00766B8A" w:rsidP="00CF5BC1">
      <w:pPr>
        <w:spacing w:line="276" w:lineRule="auto"/>
        <w:jc w:val="center"/>
        <w:textAlignment w:val="baseline"/>
        <w:rPr>
          <w:rFonts w:ascii="Tahoma" w:hAnsi="Tahoma" w:cs="Tahoma"/>
          <w:b/>
          <w:bCs/>
          <w:color w:val="000000"/>
          <w:lang w:eastAsia="es-CO"/>
        </w:rPr>
      </w:pPr>
      <w:r w:rsidRPr="00CF5BC1">
        <w:rPr>
          <w:rFonts w:ascii="Tahoma" w:hAnsi="Tahoma" w:cs="Tahoma"/>
          <w:b/>
          <w:bCs/>
          <w:color w:val="000000"/>
          <w:lang w:eastAsia="es-CO"/>
        </w:rPr>
        <w:t xml:space="preserve">TRIBUNAL SUPERIOR DEL DISTRITO JUDICIAL DE PEREIRA </w:t>
      </w:r>
    </w:p>
    <w:p w14:paraId="50D32D9E" w14:textId="4DB6AA43" w:rsidR="008F1F12" w:rsidRPr="00CF5BC1" w:rsidRDefault="00766B8A" w:rsidP="00CF5BC1">
      <w:pPr>
        <w:spacing w:line="276" w:lineRule="auto"/>
        <w:jc w:val="center"/>
        <w:textAlignment w:val="baseline"/>
        <w:rPr>
          <w:rFonts w:ascii="Tahoma" w:hAnsi="Tahoma" w:cs="Tahoma"/>
          <w:b/>
          <w:bCs/>
          <w:color w:val="000000"/>
          <w:lang w:eastAsia="es-CO"/>
        </w:rPr>
      </w:pPr>
      <w:r w:rsidRPr="00CF5BC1">
        <w:rPr>
          <w:rFonts w:ascii="Tahoma" w:hAnsi="Tahoma" w:cs="Tahoma"/>
          <w:b/>
          <w:bCs/>
          <w:color w:val="000000"/>
          <w:lang w:eastAsia="es-CO"/>
        </w:rPr>
        <w:t>SALA</w:t>
      </w:r>
      <w:r w:rsidR="00774D3E" w:rsidRPr="00CF5BC1">
        <w:rPr>
          <w:rFonts w:ascii="Tahoma" w:hAnsi="Tahoma" w:cs="Tahoma"/>
          <w:b/>
          <w:bCs/>
          <w:color w:val="000000"/>
          <w:lang w:eastAsia="es-CO"/>
        </w:rPr>
        <w:t xml:space="preserve"> PRIMERA</w:t>
      </w:r>
      <w:r w:rsidRPr="00CF5BC1">
        <w:rPr>
          <w:rFonts w:ascii="Tahoma" w:hAnsi="Tahoma" w:cs="Tahoma"/>
          <w:b/>
          <w:bCs/>
          <w:color w:val="000000"/>
          <w:lang w:eastAsia="es-CO"/>
        </w:rPr>
        <w:t xml:space="preserve"> DE DECISION </w:t>
      </w:r>
      <w:r w:rsidR="008F1F12" w:rsidRPr="00CF5BC1">
        <w:rPr>
          <w:rFonts w:ascii="Tahoma" w:hAnsi="Tahoma" w:cs="Tahoma"/>
          <w:b/>
          <w:bCs/>
          <w:color w:val="000000"/>
          <w:lang w:eastAsia="es-CO"/>
        </w:rPr>
        <w:t>LABORAL</w:t>
      </w:r>
    </w:p>
    <w:p w14:paraId="1424224E" w14:textId="0DC2890B" w:rsidR="00766B8A" w:rsidRPr="00CF5BC1" w:rsidRDefault="008F1F12" w:rsidP="00CF5BC1">
      <w:pPr>
        <w:spacing w:line="276" w:lineRule="auto"/>
        <w:jc w:val="center"/>
        <w:textAlignment w:val="baseline"/>
        <w:rPr>
          <w:rFonts w:ascii="Tahoma" w:hAnsi="Tahoma" w:cs="Tahoma"/>
          <w:lang w:val="es-CO" w:eastAsia="es-CO"/>
        </w:rPr>
      </w:pPr>
      <w:r w:rsidRPr="00CF5BC1">
        <w:rPr>
          <w:rFonts w:ascii="Tahoma" w:hAnsi="Tahoma" w:cs="Tahoma"/>
          <w:b/>
          <w:bCs/>
          <w:color w:val="000000"/>
          <w:lang w:eastAsia="es-CO"/>
        </w:rPr>
        <w:t xml:space="preserve"> </w:t>
      </w:r>
      <w:r w:rsidR="00766B8A" w:rsidRPr="00CF5BC1">
        <w:rPr>
          <w:rFonts w:ascii="Tahoma" w:hAnsi="Tahoma" w:cs="Tahoma"/>
          <w:color w:val="000000"/>
          <w:lang w:val="es-CO" w:eastAsia="es-CO"/>
        </w:rPr>
        <w:t> </w:t>
      </w:r>
    </w:p>
    <w:p w14:paraId="4944CD3F" w14:textId="77777777" w:rsidR="00766B8A" w:rsidRPr="00CF5BC1" w:rsidRDefault="00766B8A" w:rsidP="00CF5BC1">
      <w:pPr>
        <w:spacing w:line="276" w:lineRule="auto"/>
        <w:jc w:val="center"/>
        <w:textAlignment w:val="baseline"/>
        <w:rPr>
          <w:rFonts w:ascii="Tahoma" w:hAnsi="Tahoma" w:cs="Tahoma"/>
          <w:lang w:val="es-CO" w:eastAsia="es-CO"/>
        </w:rPr>
      </w:pPr>
      <w:r w:rsidRPr="00CF5BC1">
        <w:rPr>
          <w:rFonts w:ascii="Tahoma" w:hAnsi="Tahoma" w:cs="Tahoma"/>
          <w:color w:val="000000"/>
          <w:lang w:eastAsia="es-CO"/>
        </w:rPr>
        <w:t>Magistrada Ponente: </w:t>
      </w:r>
      <w:r w:rsidRPr="00CF5BC1">
        <w:rPr>
          <w:rFonts w:ascii="Tahoma" w:hAnsi="Tahoma" w:cs="Tahoma"/>
          <w:b/>
          <w:bCs/>
          <w:color w:val="000000"/>
          <w:lang w:eastAsia="es-CO"/>
        </w:rPr>
        <w:t>Ana Lucía Caicedo Calderón</w:t>
      </w:r>
      <w:r w:rsidRPr="00CF5BC1">
        <w:rPr>
          <w:rFonts w:ascii="Tahoma" w:hAnsi="Tahoma" w:cs="Tahoma"/>
          <w:color w:val="000000"/>
          <w:lang w:val="es-CO" w:eastAsia="es-CO"/>
        </w:rPr>
        <w:t> </w:t>
      </w:r>
    </w:p>
    <w:p w14:paraId="6F82CB97" w14:textId="77777777" w:rsidR="00766B8A" w:rsidRPr="00CF5BC1" w:rsidRDefault="00766B8A" w:rsidP="00CF5BC1">
      <w:pPr>
        <w:spacing w:line="276" w:lineRule="auto"/>
        <w:jc w:val="center"/>
        <w:textAlignment w:val="baseline"/>
        <w:rPr>
          <w:rFonts w:ascii="Tahoma" w:hAnsi="Tahoma" w:cs="Tahoma"/>
          <w:lang w:val="es-CO" w:eastAsia="es-CO"/>
        </w:rPr>
      </w:pPr>
      <w:r w:rsidRPr="00CF5BC1">
        <w:rPr>
          <w:rFonts w:ascii="Tahoma" w:hAnsi="Tahoma" w:cs="Tahoma"/>
          <w:color w:val="000000"/>
          <w:lang w:val="es-CO" w:eastAsia="es-CO"/>
        </w:rPr>
        <w:t> </w:t>
      </w:r>
    </w:p>
    <w:p w14:paraId="07C95AAB" w14:textId="083C266A" w:rsidR="00766B8A" w:rsidRPr="00CF5BC1" w:rsidRDefault="00766B8A" w:rsidP="00CF5BC1">
      <w:pPr>
        <w:spacing w:line="276" w:lineRule="auto"/>
        <w:jc w:val="center"/>
        <w:textAlignment w:val="baseline"/>
        <w:rPr>
          <w:rFonts w:ascii="Tahoma" w:hAnsi="Tahoma" w:cs="Tahoma"/>
          <w:lang w:val="es-CO" w:eastAsia="es-CO"/>
        </w:rPr>
      </w:pPr>
      <w:r w:rsidRPr="00CF5BC1">
        <w:rPr>
          <w:rFonts w:ascii="Tahoma" w:hAnsi="Tahoma" w:cs="Tahoma"/>
          <w:lang w:val="es-CO" w:eastAsia="es-CO"/>
        </w:rPr>
        <w:t>Pereira, Risaralda, </w:t>
      </w:r>
      <w:r w:rsidR="00755EFF" w:rsidRPr="00CF5BC1">
        <w:rPr>
          <w:rFonts w:ascii="Tahoma" w:hAnsi="Tahoma" w:cs="Tahoma"/>
          <w:lang w:val="es-CO" w:eastAsia="es-CO"/>
        </w:rPr>
        <w:t xml:space="preserve">noviembre once </w:t>
      </w:r>
      <w:r w:rsidRPr="00CF5BC1">
        <w:rPr>
          <w:rFonts w:ascii="Tahoma" w:hAnsi="Tahoma" w:cs="Tahoma"/>
          <w:lang w:val="es-CO" w:eastAsia="es-CO"/>
        </w:rPr>
        <w:t>(</w:t>
      </w:r>
      <w:r w:rsidR="00755EFF" w:rsidRPr="00CF5BC1">
        <w:rPr>
          <w:rFonts w:ascii="Tahoma" w:hAnsi="Tahoma" w:cs="Tahoma"/>
          <w:lang w:val="es-CO" w:eastAsia="es-CO"/>
        </w:rPr>
        <w:t>11</w:t>
      </w:r>
      <w:r w:rsidRPr="00CF5BC1">
        <w:rPr>
          <w:rFonts w:ascii="Tahoma" w:hAnsi="Tahoma" w:cs="Tahoma"/>
          <w:lang w:val="es-CO" w:eastAsia="es-CO"/>
        </w:rPr>
        <w:t xml:space="preserve">) de dos mil </w:t>
      </w:r>
      <w:r w:rsidR="006A3AC9" w:rsidRPr="00CF5BC1">
        <w:rPr>
          <w:rFonts w:ascii="Tahoma" w:hAnsi="Tahoma" w:cs="Tahoma"/>
          <w:lang w:val="es-CO" w:eastAsia="es-CO"/>
        </w:rPr>
        <w:t>veintidós</w:t>
      </w:r>
      <w:r w:rsidR="0012133C" w:rsidRPr="00CF5BC1">
        <w:rPr>
          <w:rFonts w:ascii="Tahoma" w:hAnsi="Tahoma" w:cs="Tahoma"/>
          <w:lang w:val="es-CO" w:eastAsia="es-CO"/>
        </w:rPr>
        <w:t xml:space="preserve"> </w:t>
      </w:r>
      <w:r w:rsidRPr="00CF5BC1">
        <w:rPr>
          <w:rFonts w:ascii="Tahoma" w:hAnsi="Tahoma" w:cs="Tahoma"/>
          <w:lang w:val="es-CO" w:eastAsia="es-CO"/>
        </w:rPr>
        <w:t>(202</w:t>
      </w:r>
      <w:r w:rsidR="006A3AC9" w:rsidRPr="00CF5BC1">
        <w:rPr>
          <w:rFonts w:ascii="Tahoma" w:hAnsi="Tahoma" w:cs="Tahoma"/>
          <w:lang w:val="es-CO" w:eastAsia="es-CO"/>
        </w:rPr>
        <w:t>2</w:t>
      </w:r>
      <w:r w:rsidRPr="00CF5BC1">
        <w:rPr>
          <w:rFonts w:ascii="Tahoma" w:hAnsi="Tahoma" w:cs="Tahoma"/>
          <w:lang w:val="es-CO" w:eastAsia="es-CO"/>
        </w:rPr>
        <w:t>)  </w:t>
      </w:r>
    </w:p>
    <w:p w14:paraId="52A7FA82" w14:textId="6BC8AD7C" w:rsidR="00766B8A" w:rsidRPr="00CF5BC1" w:rsidRDefault="00766B8A" w:rsidP="00CF5BC1">
      <w:pPr>
        <w:spacing w:line="276" w:lineRule="auto"/>
        <w:jc w:val="center"/>
        <w:textAlignment w:val="baseline"/>
        <w:rPr>
          <w:rFonts w:ascii="Tahoma" w:hAnsi="Tahoma" w:cs="Tahoma"/>
          <w:lang w:val="es-CO" w:eastAsia="es-CO"/>
        </w:rPr>
      </w:pPr>
      <w:r w:rsidRPr="00CF5BC1">
        <w:rPr>
          <w:rFonts w:ascii="Tahoma" w:hAnsi="Tahoma" w:cs="Tahoma"/>
          <w:lang w:val="es-CO" w:eastAsia="es-CO"/>
        </w:rPr>
        <w:t> Acta No. </w:t>
      </w:r>
      <w:r w:rsidR="232ED2CE" w:rsidRPr="00CF5BC1">
        <w:rPr>
          <w:rFonts w:ascii="Tahoma" w:hAnsi="Tahoma" w:cs="Tahoma"/>
          <w:lang w:val="es-CO" w:eastAsia="es-CO"/>
        </w:rPr>
        <w:t>186</w:t>
      </w:r>
      <w:r w:rsidRPr="00CF5BC1">
        <w:rPr>
          <w:rFonts w:ascii="Tahoma" w:hAnsi="Tahoma" w:cs="Tahoma"/>
          <w:lang w:val="es-CO" w:eastAsia="es-CO"/>
        </w:rPr>
        <w:t xml:space="preserve"> del </w:t>
      </w:r>
      <w:r w:rsidR="001E03A8" w:rsidRPr="00CF5BC1">
        <w:rPr>
          <w:rFonts w:ascii="Tahoma" w:hAnsi="Tahoma" w:cs="Tahoma"/>
          <w:lang w:val="es-CO" w:eastAsia="es-CO"/>
        </w:rPr>
        <w:t>1</w:t>
      </w:r>
      <w:r w:rsidR="00755EFF" w:rsidRPr="00CF5BC1">
        <w:rPr>
          <w:rFonts w:ascii="Tahoma" w:hAnsi="Tahoma" w:cs="Tahoma"/>
          <w:lang w:val="es-CO" w:eastAsia="es-CO"/>
        </w:rPr>
        <w:t>0</w:t>
      </w:r>
      <w:r w:rsidR="001E03A8" w:rsidRPr="00CF5BC1">
        <w:rPr>
          <w:rFonts w:ascii="Tahoma" w:hAnsi="Tahoma" w:cs="Tahoma"/>
          <w:lang w:val="es-CO" w:eastAsia="es-CO"/>
        </w:rPr>
        <w:t xml:space="preserve"> de </w:t>
      </w:r>
      <w:r w:rsidR="00755EFF" w:rsidRPr="00CF5BC1">
        <w:rPr>
          <w:rFonts w:ascii="Tahoma" w:hAnsi="Tahoma" w:cs="Tahoma"/>
          <w:lang w:val="es-CO" w:eastAsia="es-CO"/>
        </w:rPr>
        <w:t xml:space="preserve">noviembre </w:t>
      </w:r>
      <w:r w:rsidR="002A5055" w:rsidRPr="00CF5BC1">
        <w:rPr>
          <w:rFonts w:ascii="Tahoma" w:hAnsi="Tahoma" w:cs="Tahoma"/>
          <w:lang w:val="es-CO" w:eastAsia="es-CO"/>
        </w:rPr>
        <w:t xml:space="preserve">de </w:t>
      </w:r>
      <w:r w:rsidRPr="00CF5BC1">
        <w:rPr>
          <w:rFonts w:ascii="Tahoma" w:hAnsi="Tahoma" w:cs="Tahoma"/>
          <w:lang w:val="es-CO" w:eastAsia="es-CO"/>
        </w:rPr>
        <w:t>202</w:t>
      </w:r>
      <w:r w:rsidR="006C63F0" w:rsidRPr="00CF5BC1">
        <w:rPr>
          <w:rFonts w:ascii="Tahoma" w:hAnsi="Tahoma" w:cs="Tahoma"/>
          <w:lang w:val="es-CO" w:eastAsia="es-CO"/>
        </w:rPr>
        <w:t>2</w:t>
      </w:r>
    </w:p>
    <w:p w14:paraId="11422366" w14:textId="77777777" w:rsidR="003A3BBB" w:rsidRPr="00CF5BC1" w:rsidRDefault="003A3BBB" w:rsidP="00CF5BC1">
      <w:pPr>
        <w:pStyle w:val="Sinespaciado"/>
        <w:spacing w:line="276" w:lineRule="auto"/>
        <w:rPr>
          <w:rFonts w:ascii="Tahoma" w:hAnsi="Tahoma" w:cs="Tahoma"/>
        </w:rPr>
      </w:pPr>
      <w:r w:rsidRPr="00CF5BC1">
        <w:rPr>
          <w:rFonts w:ascii="Tahoma" w:hAnsi="Tahoma" w:cs="Tahoma"/>
        </w:rPr>
        <w:tab/>
      </w:r>
      <w:r w:rsidR="004052FE" w:rsidRPr="00CF5BC1">
        <w:rPr>
          <w:rFonts w:ascii="Tahoma" w:hAnsi="Tahoma" w:cs="Tahoma"/>
        </w:rPr>
        <w:t xml:space="preserve"> </w:t>
      </w:r>
    </w:p>
    <w:p w14:paraId="3154AF30" w14:textId="199156C4" w:rsidR="003A3BBB" w:rsidRPr="00CF5BC1" w:rsidRDefault="0019087E" w:rsidP="00CF5BC1">
      <w:pPr>
        <w:spacing w:line="276" w:lineRule="auto"/>
        <w:ind w:firstLine="708"/>
        <w:jc w:val="both"/>
        <w:rPr>
          <w:rFonts w:ascii="Tahoma" w:hAnsi="Tahoma" w:cs="Tahoma"/>
          <w:lang w:val="es-ES_tradnl"/>
        </w:rPr>
      </w:pPr>
      <w:r w:rsidRPr="00CF5BC1">
        <w:rPr>
          <w:rFonts w:ascii="Tahoma" w:hAnsi="Tahoma" w:cs="Tahoma"/>
          <w:color w:val="000000"/>
          <w:lang w:val="es-ES_tradnl"/>
        </w:rPr>
        <w:t>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w:t>
      </w:r>
      <w:r w:rsidR="00766B8A" w:rsidRPr="00CF5BC1">
        <w:rPr>
          <w:rFonts w:ascii="Tahoma" w:hAnsi="Tahoma" w:cs="Tahoma"/>
          <w:color w:val="000000"/>
          <w:lang w:val="es-ES_tradnl"/>
        </w:rPr>
        <w:t xml:space="preserve">, </w:t>
      </w:r>
      <w:r w:rsidR="00766B8A" w:rsidRPr="00CF5BC1">
        <w:rPr>
          <w:rFonts w:ascii="Tahoma" w:hAnsi="Tahoma" w:cs="Tahoma"/>
          <w:color w:val="000000"/>
        </w:rPr>
        <w:t xml:space="preserve">la Sala </w:t>
      </w:r>
      <w:r w:rsidR="00774D3E" w:rsidRPr="00CF5BC1">
        <w:rPr>
          <w:rFonts w:ascii="Tahoma" w:hAnsi="Tahoma" w:cs="Tahoma"/>
          <w:color w:val="000000"/>
        </w:rPr>
        <w:t xml:space="preserve">Primera </w:t>
      </w:r>
      <w:r w:rsidR="00766B8A" w:rsidRPr="00CF5BC1">
        <w:rPr>
          <w:rFonts w:ascii="Tahoma" w:hAnsi="Tahoma" w:cs="Tahoma"/>
          <w:color w:val="000000"/>
        </w:rPr>
        <w:t xml:space="preserve">de </w:t>
      </w:r>
      <w:r w:rsidR="00766B8A" w:rsidRPr="00CF5BC1">
        <w:rPr>
          <w:rFonts w:ascii="Tahoma" w:hAnsi="Tahoma" w:cs="Tahoma"/>
        </w:rPr>
        <w:t xml:space="preserve">Decisión Laboral </w:t>
      </w:r>
      <w:r w:rsidR="00FA3AC2" w:rsidRPr="00CF5BC1">
        <w:rPr>
          <w:rFonts w:ascii="Tahoma" w:hAnsi="Tahoma" w:cs="Tahoma"/>
          <w:color w:val="000000"/>
          <w:lang w:val="es-ES_tradnl"/>
        </w:rPr>
        <w:t xml:space="preserve">del </w:t>
      </w:r>
      <w:r w:rsidR="00FA3AC2" w:rsidRPr="00C25BA6">
        <w:rPr>
          <w:rFonts w:ascii="Tahoma" w:hAnsi="Tahoma" w:cs="Tahoma"/>
          <w:color w:val="000000"/>
          <w:lang w:val="es-ES_tradnl"/>
        </w:rPr>
        <w:t xml:space="preserve">Tribunal Superior de Pereira, </w:t>
      </w:r>
      <w:r w:rsidR="00766B8A" w:rsidRPr="00C25BA6">
        <w:rPr>
          <w:rFonts w:ascii="Tahoma" w:hAnsi="Tahoma" w:cs="Tahoma"/>
        </w:rPr>
        <w:t xml:space="preserve">integrada por las Magistradas </w:t>
      </w:r>
      <w:r w:rsidR="00766B8A" w:rsidRPr="00C25BA6">
        <w:rPr>
          <w:rFonts w:ascii="Tahoma" w:hAnsi="Tahoma" w:cs="Tahoma"/>
          <w:bCs/>
        </w:rPr>
        <w:t>ANA LUCÍA CAICEDO CALDERÓN</w:t>
      </w:r>
      <w:r w:rsidR="00E70D76" w:rsidRPr="00C25BA6">
        <w:rPr>
          <w:rFonts w:ascii="Tahoma" w:hAnsi="Tahoma" w:cs="Tahoma"/>
        </w:rPr>
        <w:t xml:space="preserve">, </w:t>
      </w:r>
      <w:r w:rsidR="00766B8A" w:rsidRPr="00C25BA6">
        <w:rPr>
          <w:rFonts w:ascii="Tahoma" w:hAnsi="Tahoma" w:cs="Tahoma"/>
        </w:rPr>
        <w:t xml:space="preserve">como </w:t>
      </w:r>
      <w:r w:rsidR="00E70D76" w:rsidRPr="00C25BA6">
        <w:rPr>
          <w:rFonts w:ascii="Tahoma" w:hAnsi="Tahoma" w:cs="Tahoma"/>
        </w:rPr>
        <w:t>p</w:t>
      </w:r>
      <w:r w:rsidR="00766B8A" w:rsidRPr="00C25BA6">
        <w:rPr>
          <w:rFonts w:ascii="Tahoma" w:hAnsi="Tahoma" w:cs="Tahoma"/>
        </w:rPr>
        <w:t xml:space="preserve">onente, </w:t>
      </w:r>
      <w:r w:rsidR="00E70D76" w:rsidRPr="00C25BA6">
        <w:rPr>
          <w:rFonts w:ascii="Tahoma" w:hAnsi="Tahoma" w:cs="Tahoma"/>
        </w:rPr>
        <w:t xml:space="preserve">y </w:t>
      </w:r>
      <w:r w:rsidR="00766B8A" w:rsidRPr="00C25BA6">
        <w:rPr>
          <w:rFonts w:ascii="Tahoma" w:hAnsi="Tahoma" w:cs="Tahoma"/>
          <w:bCs/>
        </w:rPr>
        <w:t>OLGA LUCÍA HOYOS SEPÚLVEDA</w:t>
      </w:r>
      <w:r w:rsidR="00E70D76" w:rsidRPr="00C25BA6">
        <w:rPr>
          <w:rFonts w:ascii="Tahoma" w:hAnsi="Tahoma" w:cs="Tahoma"/>
        </w:rPr>
        <w:t xml:space="preserve">, </w:t>
      </w:r>
      <w:r w:rsidR="00766B8A" w:rsidRPr="00C25BA6">
        <w:rPr>
          <w:rFonts w:ascii="Tahoma" w:hAnsi="Tahoma" w:cs="Tahoma"/>
        </w:rPr>
        <w:t xml:space="preserve">y el Magistrado </w:t>
      </w:r>
      <w:r w:rsidR="0012133A" w:rsidRPr="00C25BA6">
        <w:rPr>
          <w:rFonts w:ascii="Tahoma" w:hAnsi="Tahoma" w:cs="Tahoma"/>
          <w:bCs/>
        </w:rPr>
        <w:t>GERMÁN DARIO GÓEZ VINASCO</w:t>
      </w:r>
      <w:r w:rsidR="00766B8A" w:rsidRPr="00C25BA6">
        <w:rPr>
          <w:rFonts w:ascii="Tahoma" w:hAnsi="Tahoma" w:cs="Tahoma"/>
        </w:rPr>
        <w:t>, procede a proferir la siguiente sentencia escrita</w:t>
      </w:r>
      <w:r w:rsidR="00766B8A" w:rsidRPr="00C25BA6">
        <w:rPr>
          <w:rStyle w:val="normaltextrun"/>
          <w:rFonts w:ascii="Tahoma" w:hAnsi="Tahoma" w:cs="Tahoma"/>
        </w:rPr>
        <w:t xml:space="preserve"> </w:t>
      </w:r>
      <w:r w:rsidR="00766B8A" w:rsidRPr="00C25BA6">
        <w:rPr>
          <w:rFonts w:ascii="Tahoma" w:hAnsi="Tahoma" w:cs="Tahoma"/>
        </w:rPr>
        <w:t>dentro</w:t>
      </w:r>
      <w:r w:rsidR="00766B8A" w:rsidRPr="00CF5BC1">
        <w:rPr>
          <w:rStyle w:val="normaltextrun"/>
          <w:rFonts w:ascii="Tahoma" w:hAnsi="Tahoma" w:cs="Tahoma"/>
        </w:rPr>
        <w:t xml:space="preserve"> del proceso </w:t>
      </w:r>
      <w:r w:rsidR="00766B8A" w:rsidRPr="00C25BA6">
        <w:rPr>
          <w:rStyle w:val="normaltextrun"/>
          <w:rFonts w:ascii="Tahoma" w:hAnsi="Tahoma" w:cs="Tahoma"/>
          <w:b/>
        </w:rPr>
        <w:t>ordinario laboral</w:t>
      </w:r>
      <w:r w:rsidR="00766B8A" w:rsidRPr="00CF5BC1">
        <w:rPr>
          <w:rStyle w:val="normaltextrun"/>
          <w:rFonts w:ascii="Tahoma" w:hAnsi="Tahoma" w:cs="Tahoma"/>
        </w:rPr>
        <w:t xml:space="preserve"> instaurado por</w:t>
      </w:r>
      <w:r w:rsidR="003A3BBB" w:rsidRPr="00CF5BC1">
        <w:rPr>
          <w:rFonts w:ascii="Tahoma" w:hAnsi="Tahoma" w:cs="Tahoma"/>
          <w:lang w:val="es-ES_tradnl"/>
        </w:rPr>
        <w:t xml:space="preserve"> </w:t>
      </w:r>
      <w:r w:rsidR="00755EFF" w:rsidRPr="00CF5BC1">
        <w:rPr>
          <w:rFonts w:ascii="Tahoma" w:hAnsi="Tahoma" w:cs="Tahoma"/>
          <w:b/>
          <w:lang w:val="es-ES_tradnl"/>
        </w:rPr>
        <w:t xml:space="preserve">María Auxiliadora Orcasitas Ramírez </w:t>
      </w:r>
      <w:r w:rsidR="003A3BBB" w:rsidRPr="00CF5BC1">
        <w:rPr>
          <w:rFonts w:ascii="Tahoma" w:hAnsi="Tahoma" w:cs="Tahoma"/>
          <w:lang w:val="es-ES_tradnl"/>
        </w:rPr>
        <w:t>en contra de</w:t>
      </w:r>
      <w:r w:rsidR="005D79AB" w:rsidRPr="00CF5BC1">
        <w:rPr>
          <w:rFonts w:ascii="Tahoma" w:hAnsi="Tahoma" w:cs="Tahoma"/>
          <w:lang w:val="es-ES_tradnl"/>
        </w:rPr>
        <w:t xml:space="preserve"> la </w:t>
      </w:r>
      <w:r w:rsidR="00CD1C4B" w:rsidRPr="00CF5BC1">
        <w:rPr>
          <w:rFonts w:ascii="Tahoma" w:hAnsi="Tahoma" w:cs="Tahoma"/>
          <w:b/>
          <w:lang w:val="es-ES_tradnl"/>
        </w:rPr>
        <w:t xml:space="preserve">Administradora </w:t>
      </w:r>
      <w:r w:rsidR="00755EFF" w:rsidRPr="00CF5BC1">
        <w:rPr>
          <w:rFonts w:ascii="Tahoma" w:hAnsi="Tahoma" w:cs="Tahoma"/>
          <w:b/>
          <w:lang w:val="es-ES_tradnl"/>
        </w:rPr>
        <w:t>Colombiana de Pensiones – Colpensiones</w:t>
      </w:r>
      <w:r w:rsidR="001A3764" w:rsidRPr="00CF5BC1">
        <w:rPr>
          <w:rFonts w:ascii="Tahoma" w:hAnsi="Tahoma" w:cs="Tahoma"/>
          <w:b/>
          <w:lang w:val="es-ES_tradnl"/>
        </w:rPr>
        <w:t>.</w:t>
      </w:r>
      <w:r w:rsidR="00C117B9" w:rsidRPr="00CF5BC1">
        <w:rPr>
          <w:rFonts w:ascii="Tahoma" w:hAnsi="Tahoma" w:cs="Tahoma"/>
          <w:lang w:val="es-ES_tradnl"/>
        </w:rPr>
        <w:t xml:space="preserve"> </w:t>
      </w:r>
    </w:p>
    <w:p w14:paraId="1BA0E532" w14:textId="77777777" w:rsidR="000F57C6" w:rsidRPr="00CF5BC1" w:rsidRDefault="000F57C6" w:rsidP="00CF5BC1">
      <w:pPr>
        <w:spacing w:line="276" w:lineRule="auto"/>
        <w:ind w:firstLine="708"/>
        <w:jc w:val="both"/>
        <w:rPr>
          <w:rFonts w:ascii="Tahoma" w:hAnsi="Tahoma" w:cs="Tahoma"/>
          <w:b/>
          <w:lang w:val="es-ES_tradnl"/>
        </w:rPr>
      </w:pPr>
    </w:p>
    <w:p w14:paraId="3864ECFF" w14:textId="77777777" w:rsidR="00766B8A" w:rsidRPr="00CF5BC1" w:rsidRDefault="00766B8A" w:rsidP="00CF5BC1">
      <w:pPr>
        <w:pStyle w:val="paragraph"/>
        <w:spacing w:before="0" w:beforeAutospacing="0" w:after="0" w:afterAutospacing="0" w:line="276" w:lineRule="auto"/>
        <w:jc w:val="center"/>
        <w:textAlignment w:val="baseline"/>
        <w:rPr>
          <w:rFonts w:ascii="Tahoma" w:hAnsi="Tahoma" w:cs="Tahoma"/>
        </w:rPr>
      </w:pPr>
      <w:r w:rsidRPr="00CF5BC1">
        <w:rPr>
          <w:rStyle w:val="normaltextrun"/>
          <w:rFonts w:ascii="Tahoma" w:hAnsi="Tahoma" w:cs="Tahoma"/>
          <w:b/>
          <w:bCs/>
          <w:color w:val="000000"/>
          <w:lang w:val="es-ES"/>
        </w:rPr>
        <w:t>PUNTO A TRATAR</w:t>
      </w:r>
    </w:p>
    <w:p w14:paraId="12E4D180" w14:textId="77777777" w:rsidR="00766B8A" w:rsidRPr="00CF5BC1" w:rsidRDefault="00766B8A" w:rsidP="00CF5BC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49CF2E72" w:rsidR="00766B8A" w:rsidRPr="00CF5BC1" w:rsidRDefault="00766B8A" w:rsidP="00CF5BC1">
      <w:pPr>
        <w:spacing w:line="276" w:lineRule="auto"/>
        <w:ind w:firstLine="708"/>
        <w:jc w:val="both"/>
        <w:rPr>
          <w:rStyle w:val="eop"/>
          <w:rFonts w:ascii="Tahoma" w:hAnsi="Tahoma" w:cs="Tahoma"/>
        </w:rPr>
      </w:pPr>
      <w:r w:rsidRPr="00CF5BC1">
        <w:rPr>
          <w:rStyle w:val="normaltextrun"/>
          <w:rFonts w:ascii="Tahoma" w:hAnsi="Tahoma" w:cs="Tahoma"/>
        </w:rPr>
        <w:t>Por medio de esta providencia procede la Sala a</w:t>
      </w:r>
      <w:r w:rsidRPr="00CF5BC1">
        <w:rPr>
          <w:rFonts w:ascii="Tahoma" w:hAnsi="Tahoma" w:cs="Tahoma"/>
        </w:rPr>
        <w:t xml:space="preserve"> </w:t>
      </w:r>
      <w:r w:rsidR="00C23E38" w:rsidRPr="00CF5BC1">
        <w:rPr>
          <w:rFonts w:ascii="Tahoma" w:hAnsi="Tahoma" w:cs="Tahoma"/>
        </w:rPr>
        <w:t>re</w:t>
      </w:r>
      <w:r w:rsidR="001A3764" w:rsidRPr="00CF5BC1">
        <w:rPr>
          <w:rFonts w:ascii="Tahoma" w:hAnsi="Tahoma" w:cs="Tahoma"/>
        </w:rPr>
        <w:t>solver l</w:t>
      </w:r>
      <w:r w:rsidR="001D7501" w:rsidRPr="00CF5BC1">
        <w:rPr>
          <w:rFonts w:ascii="Tahoma" w:hAnsi="Tahoma" w:cs="Tahoma"/>
        </w:rPr>
        <w:t>os</w:t>
      </w:r>
      <w:r w:rsidR="00C066D4" w:rsidRPr="00CF5BC1">
        <w:rPr>
          <w:rFonts w:ascii="Tahoma" w:hAnsi="Tahoma" w:cs="Tahoma"/>
        </w:rPr>
        <w:t xml:space="preserve"> </w:t>
      </w:r>
      <w:r w:rsidR="001A3764" w:rsidRPr="00CF5BC1">
        <w:rPr>
          <w:rFonts w:ascii="Tahoma" w:hAnsi="Tahoma" w:cs="Tahoma"/>
        </w:rPr>
        <w:t>recurso</w:t>
      </w:r>
      <w:r w:rsidR="001D7501" w:rsidRPr="00CF5BC1">
        <w:rPr>
          <w:rFonts w:ascii="Tahoma" w:hAnsi="Tahoma" w:cs="Tahoma"/>
        </w:rPr>
        <w:t>s</w:t>
      </w:r>
      <w:r w:rsidR="001A3764" w:rsidRPr="00CF5BC1">
        <w:rPr>
          <w:rFonts w:ascii="Tahoma" w:hAnsi="Tahoma" w:cs="Tahoma"/>
        </w:rPr>
        <w:t xml:space="preserve"> de apelación interpuestos por </w:t>
      </w:r>
      <w:r w:rsidR="00DD49FC" w:rsidRPr="00CF5BC1">
        <w:rPr>
          <w:rFonts w:ascii="Tahoma" w:hAnsi="Tahoma" w:cs="Tahoma"/>
        </w:rPr>
        <w:t>l</w:t>
      </w:r>
      <w:r w:rsidR="006A2F7C" w:rsidRPr="00CF5BC1">
        <w:rPr>
          <w:rFonts w:ascii="Tahoma" w:hAnsi="Tahoma" w:cs="Tahoma"/>
        </w:rPr>
        <w:t>os</w:t>
      </w:r>
      <w:r w:rsidR="00DD49FC" w:rsidRPr="00CF5BC1">
        <w:rPr>
          <w:rFonts w:ascii="Tahoma" w:hAnsi="Tahoma" w:cs="Tahoma"/>
        </w:rPr>
        <w:t xml:space="preserve"> apodera</w:t>
      </w:r>
      <w:r w:rsidR="006A2F7C" w:rsidRPr="00CF5BC1">
        <w:rPr>
          <w:rFonts w:ascii="Tahoma" w:hAnsi="Tahoma" w:cs="Tahoma"/>
        </w:rPr>
        <w:t>dos</w:t>
      </w:r>
      <w:r w:rsidR="00DD49FC" w:rsidRPr="00CF5BC1">
        <w:rPr>
          <w:rFonts w:ascii="Tahoma" w:hAnsi="Tahoma" w:cs="Tahoma"/>
        </w:rPr>
        <w:t xml:space="preserve"> judicial</w:t>
      </w:r>
      <w:r w:rsidR="006A2F7C" w:rsidRPr="00CF5BC1">
        <w:rPr>
          <w:rFonts w:ascii="Tahoma" w:hAnsi="Tahoma" w:cs="Tahoma"/>
        </w:rPr>
        <w:t>es</w:t>
      </w:r>
      <w:r w:rsidR="004F2D5E" w:rsidRPr="00CF5BC1">
        <w:rPr>
          <w:rFonts w:ascii="Tahoma" w:hAnsi="Tahoma" w:cs="Tahoma"/>
        </w:rPr>
        <w:t xml:space="preserve"> de</w:t>
      </w:r>
      <w:r w:rsidR="00DD49FC" w:rsidRPr="00CF5BC1">
        <w:rPr>
          <w:rFonts w:ascii="Tahoma" w:hAnsi="Tahoma" w:cs="Tahoma"/>
        </w:rPr>
        <w:t xml:space="preserve"> la</w:t>
      </w:r>
      <w:r w:rsidR="006A2F7C" w:rsidRPr="00CF5BC1">
        <w:rPr>
          <w:rFonts w:ascii="Tahoma" w:hAnsi="Tahoma" w:cs="Tahoma"/>
        </w:rPr>
        <w:t>s</w:t>
      </w:r>
      <w:r w:rsidR="00DD49FC" w:rsidRPr="00CF5BC1">
        <w:rPr>
          <w:rFonts w:ascii="Tahoma" w:hAnsi="Tahoma" w:cs="Tahoma"/>
        </w:rPr>
        <w:t xml:space="preserve"> parte</w:t>
      </w:r>
      <w:r w:rsidR="006A2F7C" w:rsidRPr="00CF5BC1">
        <w:rPr>
          <w:rFonts w:ascii="Tahoma" w:hAnsi="Tahoma" w:cs="Tahoma"/>
        </w:rPr>
        <w:t>s</w:t>
      </w:r>
      <w:r w:rsidR="001D7501" w:rsidRPr="00CF5BC1">
        <w:rPr>
          <w:rFonts w:ascii="Tahoma" w:hAnsi="Tahoma" w:cs="Tahoma"/>
        </w:rPr>
        <w:t xml:space="preserve"> demandante y demandada,</w:t>
      </w:r>
      <w:r w:rsidR="006A2F7C" w:rsidRPr="00CF5BC1">
        <w:rPr>
          <w:rFonts w:ascii="Tahoma" w:hAnsi="Tahoma" w:cs="Tahoma"/>
        </w:rPr>
        <w:t xml:space="preserve"> </w:t>
      </w:r>
      <w:r w:rsidR="00DD49FC" w:rsidRPr="00CF5BC1">
        <w:rPr>
          <w:rFonts w:ascii="Tahoma" w:hAnsi="Tahoma" w:cs="Tahoma"/>
        </w:rPr>
        <w:t xml:space="preserve">en contra de la </w:t>
      </w:r>
      <w:r w:rsidR="00462EB4" w:rsidRPr="00CF5BC1">
        <w:rPr>
          <w:rFonts w:ascii="Tahoma" w:hAnsi="Tahoma" w:cs="Tahoma"/>
        </w:rPr>
        <w:t xml:space="preserve">sentencia </w:t>
      </w:r>
      <w:r w:rsidRPr="00CF5BC1">
        <w:rPr>
          <w:rFonts w:ascii="Tahoma" w:hAnsi="Tahoma" w:cs="Tahoma"/>
        </w:rPr>
        <w:t xml:space="preserve">emitida por el Juzgado </w:t>
      </w:r>
      <w:r w:rsidR="00CA19EA" w:rsidRPr="00CF5BC1">
        <w:rPr>
          <w:rFonts w:ascii="Tahoma" w:hAnsi="Tahoma" w:cs="Tahoma"/>
        </w:rPr>
        <w:t xml:space="preserve">Primero </w:t>
      </w:r>
      <w:r w:rsidRPr="00CF5BC1">
        <w:rPr>
          <w:rFonts w:ascii="Tahoma" w:hAnsi="Tahoma" w:cs="Tahoma"/>
        </w:rPr>
        <w:t xml:space="preserve">Laboral del Circuito de Pereira el </w:t>
      </w:r>
      <w:r w:rsidR="00CA19EA" w:rsidRPr="00CF5BC1">
        <w:rPr>
          <w:rFonts w:ascii="Tahoma" w:hAnsi="Tahoma" w:cs="Tahoma"/>
        </w:rPr>
        <w:t>14</w:t>
      </w:r>
      <w:r w:rsidR="00BF33D8" w:rsidRPr="00CF5BC1">
        <w:rPr>
          <w:rFonts w:ascii="Tahoma" w:hAnsi="Tahoma" w:cs="Tahoma"/>
        </w:rPr>
        <w:t xml:space="preserve"> d</w:t>
      </w:r>
      <w:r w:rsidR="00462EB4" w:rsidRPr="00CF5BC1">
        <w:rPr>
          <w:rFonts w:ascii="Tahoma" w:hAnsi="Tahoma" w:cs="Tahoma"/>
        </w:rPr>
        <w:t xml:space="preserve">e </w:t>
      </w:r>
      <w:r w:rsidR="00CA19EA" w:rsidRPr="00CF5BC1">
        <w:rPr>
          <w:rFonts w:ascii="Tahoma" w:hAnsi="Tahoma" w:cs="Tahoma"/>
        </w:rPr>
        <w:t xml:space="preserve">junio </w:t>
      </w:r>
      <w:r w:rsidR="00462EB4" w:rsidRPr="00CF5BC1">
        <w:rPr>
          <w:rFonts w:ascii="Tahoma" w:hAnsi="Tahoma" w:cs="Tahoma"/>
        </w:rPr>
        <w:t>de 202</w:t>
      </w:r>
      <w:r w:rsidR="00CA19EA" w:rsidRPr="00CF5BC1">
        <w:rPr>
          <w:rFonts w:ascii="Tahoma" w:hAnsi="Tahoma" w:cs="Tahoma"/>
        </w:rPr>
        <w:t>2</w:t>
      </w:r>
      <w:r w:rsidRPr="00CF5BC1">
        <w:rPr>
          <w:rFonts w:ascii="Tahoma" w:hAnsi="Tahoma" w:cs="Tahoma"/>
        </w:rPr>
        <w:t xml:space="preserve">. </w:t>
      </w:r>
      <w:r w:rsidR="00CA19EA" w:rsidRPr="00CF5BC1">
        <w:rPr>
          <w:rFonts w:ascii="Tahoma" w:hAnsi="Tahoma" w:cs="Tahoma"/>
        </w:rPr>
        <w:t xml:space="preserve">Asimismo, se revisará en sede de consulta el aludido fallo al haber sido adverso a los intereses de Colpensiones. </w:t>
      </w:r>
      <w:r w:rsidRPr="00CF5BC1">
        <w:rPr>
          <w:rStyle w:val="normaltextrun"/>
          <w:rFonts w:ascii="Tahoma" w:hAnsi="Tahoma" w:cs="Tahoma"/>
        </w:rPr>
        <w:t>Para ello se tiene en cuenta lo siguiente: </w:t>
      </w:r>
      <w:r w:rsidRPr="00CF5BC1">
        <w:rPr>
          <w:rStyle w:val="eop"/>
          <w:rFonts w:ascii="Tahoma" w:hAnsi="Tahoma" w:cs="Tahoma"/>
        </w:rPr>
        <w:t> </w:t>
      </w:r>
    </w:p>
    <w:p w14:paraId="63E2E156" w14:textId="43A17EC5" w:rsidR="003D5F4E" w:rsidRPr="00CF5BC1" w:rsidRDefault="003D5F4E" w:rsidP="00CF5BC1">
      <w:pPr>
        <w:spacing w:line="276" w:lineRule="auto"/>
        <w:jc w:val="both"/>
        <w:rPr>
          <w:rFonts w:ascii="Tahoma" w:hAnsi="Tahoma" w:cs="Tahoma"/>
        </w:rPr>
      </w:pPr>
    </w:p>
    <w:p w14:paraId="11EB8792" w14:textId="3D4D123D" w:rsidR="003A3BBB" w:rsidRPr="00CF5BC1" w:rsidRDefault="003A3BBB" w:rsidP="00CF5BC1">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CF5BC1">
        <w:rPr>
          <w:rFonts w:ascii="Tahoma" w:hAnsi="Tahoma" w:cs="Tahoma"/>
          <w:b/>
        </w:rPr>
        <w:t xml:space="preserve">La demanda y </w:t>
      </w:r>
      <w:r w:rsidR="00A563DE" w:rsidRPr="00CF5BC1">
        <w:rPr>
          <w:rFonts w:ascii="Tahoma" w:hAnsi="Tahoma" w:cs="Tahoma"/>
          <w:b/>
        </w:rPr>
        <w:t>la</w:t>
      </w:r>
      <w:r w:rsidRPr="00CF5BC1">
        <w:rPr>
          <w:rFonts w:ascii="Tahoma" w:hAnsi="Tahoma" w:cs="Tahoma"/>
          <w:b/>
        </w:rPr>
        <w:t xml:space="preserve"> contestación</w:t>
      </w:r>
      <w:r w:rsidR="00A563DE" w:rsidRPr="00CF5BC1">
        <w:rPr>
          <w:rFonts w:ascii="Tahoma" w:hAnsi="Tahoma" w:cs="Tahoma"/>
          <w:b/>
        </w:rPr>
        <w:t xml:space="preserve"> de la demanda</w:t>
      </w:r>
    </w:p>
    <w:p w14:paraId="13BCB206" w14:textId="77777777" w:rsidR="00A82F87" w:rsidRPr="00CF5BC1" w:rsidRDefault="00A82F87" w:rsidP="00CF5BC1">
      <w:pPr>
        <w:widowControl w:val="0"/>
        <w:autoSpaceDE w:val="0"/>
        <w:autoSpaceDN w:val="0"/>
        <w:adjustRightInd w:val="0"/>
        <w:spacing w:line="276" w:lineRule="auto"/>
        <w:ind w:firstLine="708"/>
        <w:jc w:val="both"/>
        <w:rPr>
          <w:rFonts w:ascii="Tahoma" w:hAnsi="Tahoma" w:cs="Tahoma"/>
        </w:rPr>
      </w:pPr>
    </w:p>
    <w:p w14:paraId="43CC173B" w14:textId="55408C7C" w:rsidR="00CA19EA" w:rsidRPr="00CF5BC1" w:rsidRDefault="00EE3ACE"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Solicita la demandante que</w:t>
      </w:r>
      <w:r w:rsidR="003872C4" w:rsidRPr="00CF5BC1">
        <w:rPr>
          <w:rFonts w:ascii="Tahoma" w:hAnsi="Tahoma" w:cs="Tahoma"/>
        </w:rPr>
        <w:t xml:space="preserve"> se ordene a Colpensiones el reconocimiento y pago de la indemnización sustitutiva de la pensión de vejez, conforme a lo previsto en el artículo 37 de la Ley 100 de 1993, así como los intereses de mora a la tasa máxima legal prevista en el artículo 1617 del C.C., las costas procesales y lo extra y ultra petita probado en el proceso.</w:t>
      </w:r>
    </w:p>
    <w:p w14:paraId="07A417D1" w14:textId="77777777" w:rsidR="00CA19EA" w:rsidRPr="00CF5BC1" w:rsidRDefault="00CA19EA" w:rsidP="00CF5BC1">
      <w:pPr>
        <w:widowControl w:val="0"/>
        <w:autoSpaceDE w:val="0"/>
        <w:autoSpaceDN w:val="0"/>
        <w:adjustRightInd w:val="0"/>
        <w:spacing w:line="276" w:lineRule="auto"/>
        <w:ind w:firstLine="708"/>
        <w:jc w:val="both"/>
        <w:rPr>
          <w:rFonts w:ascii="Tahoma" w:hAnsi="Tahoma" w:cs="Tahoma"/>
        </w:rPr>
      </w:pPr>
    </w:p>
    <w:p w14:paraId="1456F967" w14:textId="50C18A19" w:rsidR="00CA19EA" w:rsidRPr="00CF5BC1" w:rsidRDefault="003872C4"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 xml:space="preserve">Para así pedir manifiesta que </w:t>
      </w:r>
      <w:r w:rsidR="00CA19EA" w:rsidRPr="00CF5BC1">
        <w:rPr>
          <w:rFonts w:ascii="Tahoma" w:hAnsi="Tahoma" w:cs="Tahoma"/>
        </w:rPr>
        <w:t>nació el 24 de mayo de 1953</w:t>
      </w:r>
      <w:r w:rsidRPr="00CF5BC1">
        <w:rPr>
          <w:rFonts w:ascii="Tahoma" w:hAnsi="Tahoma" w:cs="Tahoma"/>
        </w:rPr>
        <w:t xml:space="preserve"> y que </w:t>
      </w:r>
      <w:r w:rsidR="00CA19EA" w:rsidRPr="00CF5BC1">
        <w:rPr>
          <w:rFonts w:ascii="Tahoma" w:hAnsi="Tahoma" w:cs="Tahoma"/>
        </w:rPr>
        <w:t>se afilió al Instituto de Seguros Sociales como trabajadora del sector privado</w:t>
      </w:r>
      <w:r w:rsidRPr="00CF5BC1">
        <w:rPr>
          <w:rFonts w:ascii="Tahoma" w:hAnsi="Tahoma" w:cs="Tahoma"/>
        </w:rPr>
        <w:t>, cotizando un total de 473</w:t>
      </w:r>
      <w:r w:rsidR="003B7DC7" w:rsidRPr="00CF5BC1">
        <w:rPr>
          <w:rFonts w:ascii="Tahoma" w:hAnsi="Tahoma" w:cs="Tahoma"/>
        </w:rPr>
        <w:t xml:space="preserve"> </w:t>
      </w:r>
      <w:r w:rsidRPr="00CF5BC1">
        <w:rPr>
          <w:rFonts w:ascii="Tahoma" w:hAnsi="Tahoma" w:cs="Tahoma"/>
        </w:rPr>
        <w:t xml:space="preserve">semanas </w:t>
      </w:r>
      <w:r w:rsidR="00CA19EA" w:rsidRPr="00CF5BC1">
        <w:rPr>
          <w:rFonts w:ascii="Tahoma" w:hAnsi="Tahoma" w:cs="Tahoma"/>
        </w:rPr>
        <w:t>entre el 3 de febrero de 1987 y el 31 de diciembre de 1997</w:t>
      </w:r>
      <w:r w:rsidRPr="00CF5BC1">
        <w:rPr>
          <w:rFonts w:ascii="Tahoma" w:hAnsi="Tahoma" w:cs="Tahoma"/>
        </w:rPr>
        <w:t>.</w:t>
      </w:r>
    </w:p>
    <w:p w14:paraId="67AAB2DE" w14:textId="77777777" w:rsidR="00CA19EA" w:rsidRPr="00CF5BC1" w:rsidRDefault="00CA19EA" w:rsidP="00CF5BC1">
      <w:pPr>
        <w:widowControl w:val="0"/>
        <w:autoSpaceDE w:val="0"/>
        <w:autoSpaceDN w:val="0"/>
        <w:adjustRightInd w:val="0"/>
        <w:spacing w:line="276" w:lineRule="auto"/>
        <w:ind w:firstLine="708"/>
        <w:jc w:val="both"/>
        <w:rPr>
          <w:rFonts w:ascii="Tahoma" w:hAnsi="Tahoma" w:cs="Tahoma"/>
        </w:rPr>
      </w:pPr>
    </w:p>
    <w:p w14:paraId="1A9CCF4F" w14:textId="017CBA0C" w:rsidR="00CA19EA" w:rsidRPr="00CF5BC1" w:rsidRDefault="003872C4"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Afirma q</w:t>
      </w:r>
      <w:r w:rsidR="00CA19EA" w:rsidRPr="00CF5BC1">
        <w:rPr>
          <w:rFonts w:ascii="Tahoma" w:hAnsi="Tahoma" w:cs="Tahoma"/>
        </w:rPr>
        <w:t xml:space="preserve">ue </w:t>
      </w:r>
      <w:r w:rsidRPr="00CF5BC1">
        <w:rPr>
          <w:rFonts w:ascii="Tahoma" w:hAnsi="Tahoma" w:cs="Tahoma"/>
        </w:rPr>
        <w:t xml:space="preserve">laboró </w:t>
      </w:r>
      <w:r w:rsidR="00CA19EA" w:rsidRPr="00CF5BC1">
        <w:rPr>
          <w:rFonts w:ascii="Tahoma" w:hAnsi="Tahoma" w:cs="Tahoma"/>
        </w:rPr>
        <w:t xml:space="preserve">como docente oficial afiliada al Fondo Nacional de Prestaciones Sociales del Magisterio, entidad que le reconoció </w:t>
      </w:r>
      <w:r w:rsidRPr="00CF5BC1">
        <w:rPr>
          <w:rFonts w:ascii="Tahoma" w:hAnsi="Tahoma" w:cs="Tahoma"/>
        </w:rPr>
        <w:t xml:space="preserve">la </w:t>
      </w:r>
      <w:r w:rsidR="00CA19EA" w:rsidRPr="00CF5BC1">
        <w:rPr>
          <w:rFonts w:ascii="Tahoma" w:hAnsi="Tahoma" w:cs="Tahoma"/>
        </w:rPr>
        <w:t xml:space="preserve">pensión de jubilación mediante Resolución 743 del 3 de septiembre de 2008, </w:t>
      </w:r>
      <w:r w:rsidRPr="00CF5BC1">
        <w:rPr>
          <w:rFonts w:ascii="Tahoma" w:hAnsi="Tahoma" w:cs="Tahoma"/>
        </w:rPr>
        <w:t>teniendo en cuenta</w:t>
      </w:r>
      <w:r w:rsidR="00CA19EA" w:rsidRPr="00CF5BC1">
        <w:rPr>
          <w:rFonts w:ascii="Tahoma" w:hAnsi="Tahoma" w:cs="Tahoma"/>
        </w:rPr>
        <w:t xml:space="preserve"> únicamente el tiempo laborado al servicio del Magisterio,</w:t>
      </w:r>
      <w:r w:rsidR="00D74E70" w:rsidRPr="00CF5BC1">
        <w:rPr>
          <w:rFonts w:ascii="Tahoma" w:hAnsi="Tahoma" w:cs="Tahoma"/>
        </w:rPr>
        <w:t xml:space="preserve"> más no aquellas </w:t>
      </w:r>
      <w:r w:rsidR="00CA19EA" w:rsidRPr="00CF5BC1">
        <w:rPr>
          <w:rFonts w:ascii="Tahoma" w:hAnsi="Tahoma" w:cs="Tahoma"/>
        </w:rPr>
        <w:t>realizadas de manera independiente.</w:t>
      </w:r>
    </w:p>
    <w:p w14:paraId="0CC9C951" w14:textId="77777777" w:rsidR="00CA19EA" w:rsidRPr="00CF5BC1" w:rsidRDefault="00CA19EA" w:rsidP="00CF5BC1">
      <w:pPr>
        <w:widowControl w:val="0"/>
        <w:autoSpaceDE w:val="0"/>
        <w:autoSpaceDN w:val="0"/>
        <w:adjustRightInd w:val="0"/>
        <w:spacing w:line="276" w:lineRule="auto"/>
        <w:ind w:firstLine="708"/>
        <w:jc w:val="both"/>
        <w:rPr>
          <w:rFonts w:ascii="Tahoma" w:hAnsi="Tahoma" w:cs="Tahoma"/>
        </w:rPr>
      </w:pPr>
    </w:p>
    <w:p w14:paraId="4E260E8B" w14:textId="2F263E87" w:rsidR="006034A8" w:rsidRPr="00CF5BC1" w:rsidRDefault="00510CE2"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Indica q</w:t>
      </w:r>
      <w:r w:rsidR="00CA19EA" w:rsidRPr="00CF5BC1">
        <w:rPr>
          <w:rFonts w:ascii="Tahoma" w:hAnsi="Tahoma" w:cs="Tahoma"/>
        </w:rPr>
        <w:t xml:space="preserve">ue cumplió 57 años de edad el 24 de mayo de 2010, </w:t>
      </w:r>
      <w:r w:rsidRPr="00CF5BC1">
        <w:rPr>
          <w:rFonts w:ascii="Tahoma" w:hAnsi="Tahoma" w:cs="Tahoma"/>
        </w:rPr>
        <w:t xml:space="preserve">y que </w:t>
      </w:r>
      <w:r w:rsidR="00CA19EA" w:rsidRPr="00CF5BC1">
        <w:rPr>
          <w:rFonts w:ascii="Tahoma" w:hAnsi="Tahoma" w:cs="Tahoma"/>
        </w:rPr>
        <w:t>el 8 de abril de 2015 solicitó a Colpensiones el reconocimiento de la indemnización sustitutiva de la pensión de vejez</w:t>
      </w:r>
      <w:r w:rsidRPr="00CF5BC1">
        <w:rPr>
          <w:rFonts w:ascii="Tahoma" w:hAnsi="Tahoma" w:cs="Tahoma"/>
        </w:rPr>
        <w:t xml:space="preserve">, misma que </w:t>
      </w:r>
      <w:r w:rsidR="00CA19EA" w:rsidRPr="00CF5BC1">
        <w:rPr>
          <w:rFonts w:ascii="Tahoma" w:hAnsi="Tahoma" w:cs="Tahoma"/>
        </w:rPr>
        <w:t xml:space="preserve">fue denegada </w:t>
      </w:r>
      <w:r w:rsidRPr="00CF5BC1">
        <w:rPr>
          <w:rFonts w:ascii="Tahoma" w:hAnsi="Tahoma" w:cs="Tahoma"/>
        </w:rPr>
        <w:t xml:space="preserve">a través de </w:t>
      </w:r>
      <w:r w:rsidR="00CA19EA" w:rsidRPr="00CF5BC1">
        <w:rPr>
          <w:rFonts w:ascii="Tahoma" w:hAnsi="Tahoma" w:cs="Tahoma"/>
        </w:rPr>
        <w:t xml:space="preserve">la Resolución GNR 246026 del 13 de agosto de 2015, </w:t>
      </w:r>
      <w:r w:rsidRPr="00CF5BC1">
        <w:rPr>
          <w:rFonts w:ascii="Tahoma" w:hAnsi="Tahoma" w:cs="Tahoma"/>
        </w:rPr>
        <w:t xml:space="preserve">bajo el argumento de que era </w:t>
      </w:r>
      <w:r w:rsidR="00CA19EA" w:rsidRPr="00CF5BC1">
        <w:rPr>
          <w:rFonts w:ascii="Tahoma" w:hAnsi="Tahoma" w:cs="Tahoma"/>
        </w:rPr>
        <w:t xml:space="preserve">incompatible con la pensión de jubilación </w:t>
      </w:r>
      <w:r w:rsidRPr="00CF5BC1">
        <w:rPr>
          <w:rFonts w:ascii="Tahoma" w:hAnsi="Tahoma" w:cs="Tahoma"/>
        </w:rPr>
        <w:t xml:space="preserve">concedida </w:t>
      </w:r>
      <w:r w:rsidR="00CA19EA" w:rsidRPr="00CF5BC1">
        <w:rPr>
          <w:rFonts w:ascii="Tahoma" w:hAnsi="Tahoma" w:cs="Tahoma"/>
        </w:rPr>
        <w:t>por el Magisterio.</w:t>
      </w:r>
    </w:p>
    <w:p w14:paraId="2D597A82" w14:textId="77777777" w:rsidR="00CA19EA" w:rsidRPr="00CF5BC1" w:rsidRDefault="00CA19EA" w:rsidP="00CF5BC1">
      <w:pPr>
        <w:widowControl w:val="0"/>
        <w:autoSpaceDE w:val="0"/>
        <w:autoSpaceDN w:val="0"/>
        <w:adjustRightInd w:val="0"/>
        <w:spacing w:line="276" w:lineRule="auto"/>
        <w:ind w:firstLine="708"/>
        <w:jc w:val="both"/>
        <w:rPr>
          <w:rFonts w:ascii="Tahoma" w:hAnsi="Tahoma" w:cs="Tahoma"/>
        </w:rPr>
      </w:pPr>
    </w:p>
    <w:p w14:paraId="0FD9371A" w14:textId="2BDBB60D" w:rsidR="00CA19EA" w:rsidRPr="00CF5BC1" w:rsidRDefault="000621CB"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b/>
        </w:rPr>
        <w:t>Col</w:t>
      </w:r>
      <w:r w:rsidR="00CA19EA" w:rsidRPr="00CF5BC1">
        <w:rPr>
          <w:rFonts w:ascii="Tahoma" w:hAnsi="Tahoma" w:cs="Tahoma"/>
          <w:b/>
        </w:rPr>
        <w:t xml:space="preserve">pensiones </w:t>
      </w:r>
      <w:r w:rsidR="007218AE" w:rsidRPr="00CF5BC1">
        <w:rPr>
          <w:rFonts w:ascii="Tahoma" w:hAnsi="Tahoma" w:cs="Tahoma"/>
        </w:rPr>
        <w:t>solicitó que se denegaran los pedidos de la promotora de la litis</w:t>
      </w:r>
      <w:r w:rsidR="00AE6354" w:rsidRPr="00CF5BC1">
        <w:rPr>
          <w:rFonts w:ascii="Tahoma" w:hAnsi="Tahoma" w:cs="Tahoma"/>
        </w:rPr>
        <w:t xml:space="preserve"> en razón a que </w:t>
      </w:r>
      <w:r w:rsidR="00CA19EA" w:rsidRPr="00CF5BC1">
        <w:rPr>
          <w:rFonts w:ascii="Tahoma" w:hAnsi="Tahoma" w:cs="Tahoma"/>
        </w:rPr>
        <w:t>su</w:t>
      </w:r>
      <w:r w:rsidR="000051CD" w:rsidRPr="00CF5BC1">
        <w:rPr>
          <w:rFonts w:ascii="Tahoma" w:hAnsi="Tahoma" w:cs="Tahoma"/>
        </w:rPr>
        <w:t>s</w:t>
      </w:r>
      <w:r w:rsidR="00CA19EA" w:rsidRPr="00CF5BC1">
        <w:rPr>
          <w:rFonts w:ascii="Tahoma" w:hAnsi="Tahoma" w:cs="Tahoma"/>
        </w:rPr>
        <w:t xml:space="preserve"> aporte</w:t>
      </w:r>
      <w:r w:rsidR="000051CD" w:rsidRPr="00CF5BC1">
        <w:rPr>
          <w:rFonts w:ascii="Tahoma" w:hAnsi="Tahoma" w:cs="Tahoma"/>
        </w:rPr>
        <w:t>s</w:t>
      </w:r>
      <w:r w:rsidR="00CA19EA" w:rsidRPr="00CF5BC1">
        <w:rPr>
          <w:rFonts w:ascii="Tahoma" w:hAnsi="Tahoma" w:cs="Tahoma"/>
        </w:rPr>
        <w:t xml:space="preserve"> como docente del Magisterio provi</w:t>
      </w:r>
      <w:r w:rsidR="000051CD" w:rsidRPr="00CF5BC1">
        <w:rPr>
          <w:rFonts w:ascii="Tahoma" w:hAnsi="Tahoma" w:cs="Tahoma"/>
        </w:rPr>
        <w:t xml:space="preserve">nieron </w:t>
      </w:r>
      <w:r w:rsidR="00CA19EA" w:rsidRPr="00CF5BC1">
        <w:rPr>
          <w:rFonts w:ascii="Tahoma" w:hAnsi="Tahoma" w:cs="Tahoma"/>
        </w:rPr>
        <w:t>del tesoro público</w:t>
      </w:r>
      <w:r w:rsidR="000051CD" w:rsidRPr="00CF5BC1">
        <w:rPr>
          <w:rFonts w:ascii="Tahoma" w:hAnsi="Tahoma" w:cs="Tahoma"/>
        </w:rPr>
        <w:t>,</w:t>
      </w:r>
      <w:r w:rsidR="00CA19EA" w:rsidRPr="00CF5BC1">
        <w:rPr>
          <w:rFonts w:ascii="Tahoma" w:hAnsi="Tahoma" w:cs="Tahoma"/>
        </w:rPr>
        <w:t xml:space="preserve"> resultando improcedente reconocer la indemnización sustitutiva de la pensión de vejez </w:t>
      </w:r>
      <w:r w:rsidR="00AE6354" w:rsidRPr="00CF5BC1">
        <w:rPr>
          <w:rFonts w:ascii="Tahoma" w:hAnsi="Tahoma" w:cs="Tahoma"/>
        </w:rPr>
        <w:t>al ser</w:t>
      </w:r>
      <w:r w:rsidR="00CA19EA" w:rsidRPr="00CF5BC1">
        <w:rPr>
          <w:rFonts w:ascii="Tahoma" w:hAnsi="Tahoma" w:cs="Tahoma"/>
        </w:rPr>
        <w:t xml:space="preserve"> incompatible con la </w:t>
      </w:r>
      <w:r w:rsidR="00236976" w:rsidRPr="00CF5BC1">
        <w:rPr>
          <w:rFonts w:ascii="Tahoma" w:hAnsi="Tahoma" w:cs="Tahoma"/>
        </w:rPr>
        <w:t xml:space="preserve">de jubilación </w:t>
      </w:r>
      <w:r w:rsidR="00CA19EA" w:rsidRPr="00CF5BC1">
        <w:rPr>
          <w:rFonts w:ascii="Tahoma" w:hAnsi="Tahoma" w:cs="Tahoma"/>
        </w:rPr>
        <w:t>que actualmente devenga</w:t>
      </w:r>
      <w:r w:rsidR="00AE6354" w:rsidRPr="00CF5BC1">
        <w:rPr>
          <w:rFonts w:ascii="Tahoma" w:hAnsi="Tahoma" w:cs="Tahoma"/>
        </w:rPr>
        <w:t>.</w:t>
      </w:r>
      <w:r w:rsidR="00CA19EA" w:rsidRPr="00CF5BC1">
        <w:rPr>
          <w:rFonts w:ascii="Tahoma" w:hAnsi="Tahoma" w:cs="Tahoma"/>
        </w:rPr>
        <w:t xml:space="preserve"> </w:t>
      </w:r>
      <w:r w:rsidR="003B7DC7" w:rsidRPr="00CF5BC1">
        <w:rPr>
          <w:rFonts w:ascii="Tahoma" w:hAnsi="Tahoma" w:cs="Tahoma"/>
        </w:rPr>
        <w:t xml:space="preserve">En tal sentido, propuso las </w:t>
      </w:r>
      <w:r w:rsidR="00CA19EA" w:rsidRPr="00CF5BC1">
        <w:rPr>
          <w:rFonts w:ascii="Tahoma" w:hAnsi="Tahoma" w:cs="Tahoma"/>
        </w:rPr>
        <w:t xml:space="preserve">excepciones de mérito </w:t>
      </w:r>
      <w:r w:rsidR="003B7DC7" w:rsidRPr="00CF5BC1">
        <w:rPr>
          <w:rFonts w:ascii="Tahoma" w:hAnsi="Tahoma" w:cs="Tahoma"/>
        </w:rPr>
        <w:t>de “Inexistencia de la obligación demandada”</w:t>
      </w:r>
      <w:r w:rsidR="00CA19EA" w:rsidRPr="00CF5BC1">
        <w:rPr>
          <w:rFonts w:ascii="Tahoma" w:hAnsi="Tahoma" w:cs="Tahoma"/>
        </w:rPr>
        <w:t xml:space="preserve">, </w:t>
      </w:r>
      <w:r w:rsidR="003B7DC7" w:rsidRPr="00CF5BC1">
        <w:rPr>
          <w:rFonts w:ascii="Tahoma" w:hAnsi="Tahoma" w:cs="Tahoma"/>
        </w:rPr>
        <w:t>“Cobro de lo no debido”</w:t>
      </w:r>
      <w:r w:rsidR="00CA19EA" w:rsidRPr="00CF5BC1">
        <w:rPr>
          <w:rFonts w:ascii="Tahoma" w:hAnsi="Tahoma" w:cs="Tahoma"/>
        </w:rPr>
        <w:t xml:space="preserve"> y </w:t>
      </w:r>
      <w:r w:rsidR="003B7DC7" w:rsidRPr="00CF5BC1">
        <w:rPr>
          <w:rFonts w:ascii="Tahoma" w:hAnsi="Tahoma" w:cs="Tahoma"/>
        </w:rPr>
        <w:t>“Prescripción”</w:t>
      </w:r>
      <w:r w:rsidR="00CA19EA" w:rsidRPr="00CF5BC1">
        <w:rPr>
          <w:rFonts w:ascii="Tahoma" w:hAnsi="Tahoma" w:cs="Tahoma"/>
        </w:rPr>
        <w:t>.</w:t>
      </w:r>
    </w:p>
    <w:p w14:paraId="59437426" w14:textId="77777777" w:rsidR="00DE2EB9" w:rsidRPr="00CF5BC1" w:rsidRDefault="00DE2EB9" w:rsidP="00CF5BC1">
      <w:pPr>
        <w:widowControl w:val="0"/>
        <w:autoSpaceDE w:val="0"/>
        <w:autoSpaceDN w:val="0"/>
        <w:adjustRightInd w:val="0"/>
        <w:spacing w:line="276" w:lineRule="auto"/>
        <w:jc w:val="both"/>
        <w:rPr>
          <w:rFonts w:ascii="Tahoma" w:hAnsi="Tahoma" w:cs="Tahoma"/>
        </w:rPr>
      </w:pPr>
    </w:p>
    <w:p w14:paraId="0BCBB844" w14:textId="77777777" w:rsidR="003A3BBB" w:rsidRPr="00CF5BC1" w:rsidRDefault="008F2E7F" w:rsidP="00CF5BC1">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CF5BC1">
        <w:rPr>
          <w:rFonts w:ascii="Tahoma" w:hAnsi="Tahoma" w:cs="Tahoma"/>
          <w:b/>
        </w:rPr>
        <w:t>S</w:t>
      </w:r>
      <w:r w:rsidR="003A3BBB" w:rsidRPr="00CF5BC1">
        <w:rPr>
          <w:rFonts w:ascii="Tahoma" w:hAnsi="Tahoma" w:cs="Tahoma"/>
          <w:b/>
        </w:rPr>
        <w:t>entencia de primera instancia</w:t>
      </w:r>
    </w:p>
    <w:p w14:paraId="2168AFBE" w14:textId="77777777" w:rsidR="003A3BBB" w:rsidRPr="00CF5BC1" w:rsidRDefault="003A3BBB" w:rsidP="00CF5BC1">
      <w:pPr>
        <w:pStyle w:val="Sinespaciado"/>
        <w:spacing w:line="276" w:lineRule="auto"/>
        <w:rPr>
          <w:rFonts w:ascii="Tahoma" w:hAnsi="Tahoma" w:cs="Tahoma"/>
        </w:rPr>
      </w:pPr>
    </w:p>
    <w:p w14:paraId="56919067" w14:textId="6B7E5491" w:rsidR="00CA19EA" w:rsidRPr="00CF5BC1" w:rsidRDefault="00DD1394"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La Jueza de conocimiento</w:t>
      </w:r>
      <w:r w:rsidR="00FC2F9C" w:rsidRPr="00CF5BC1">
        <w:rPr>
          <w:rFonts w:ascii="Tahoma" w:hAnsi="Tahoma" w:cs="Tahoma"/>
        </w:rPr>
        <w:t xml:space="preserve"> </w:t>
      </w:r>
      <w:r w:rsidR="0097605F" w:rsidRPr="00CF5BC1">
        <w:rPr>
          <w:rFonts w:ascii="Tahoma" w:hAnsi="Tahoma" w:cs="Tahoma"/>
        </w:rPr>
        <w:t xml:space="preserve">declaró </w:t>
      </w:r>
      <w:r w:rsidR="0054123B" w:rsidRPr="00CF5BC1">
        <w:rPr>
          <w:rFonts w:ascii="Tahoma" w:hAnsi="Tahoma" w:cs="Tahoma"/>
        </w:rPr>
        <w:t xml:space="preserve">no probadas </w:t>
      </w:r>
      <w:r w:rsidR="00CA19EA" w:rsidRPr="00CF5BC1">
        <w:rPr>
          <w:rFonts w:ascii="Tahoma" w:hAnsi="Tahoma" w:cs="Tahoma"/>
        </w:rPr>
        <w:t>las excepciones propuestas por Colpensiones</w:t>
      </w:r>
      <w:r w:rsidR="0054123B" w:rsidRPr="00CF5BC1">
        <w:rPr>
          <w:rFonts w:ascii="Tahoma" w:hAnsi="Tahoma" w:cs="Tahoma"/>
        </w:rPr>
        <w:t xml:space="preserve"> y determinó q</w:t>
      </w:r>
      <w:r w:rsidR="00CA19EA" w:rsidRPr="00CF5BC1">
        <w:rPr>
          <w:rFonts w:ascii="Tahoma" w:hAnsi="Tahoma" w:cs="Tahoma"/>
        </w:rPr>
        <w:t>ue la indemnización sustitutiva de la pensión de vejez</w:t>
      </w:r>
      <w:r w:rsidR="00B75444" w:rsidRPr="00CF5BC1">
        <w:rPr>
          <w:rFonts w:ascii="Tahoma" w:hAnsi="Tahoma" w:cs="Tahoma"/>
        </w:rPr>
        <w:t xml:space="preserve"> en cabeza de </w:t>
      </w:r>
      <w:r w:rsidR="00CA19EA" w:rsidRPr="00CF5BC1">
        <w:rPr>
          <w:rFonts w:ascii="Tahoma" w:hAnsi="Tahoma" w:cs="Tahoma"/>
        </w:rPr>
        <w:t xml:space="preserve">Colpensiones es compatible con la pensión de jubilación que percibe la </w:t>
      </w:r>
      <w:r w:rsidR="00CA19EA" w:rsidRPr="00CF5BC1">
        <w:rPr>
          <w:rFonts w:ascii="Tahoma" w:hAnsi="Tahoma" w:cs="Tahoma"/>
        </w:rPr>
        <w:lastRenderedPageBreak/>
        <w:t>demandante como docente al servicio del Magisterio.</w:t>
      </w:r>
    </w:p>
    <w:p w14:paraId="295D931D" w14:textId="77777777" w:rsidR="00CA19EA" w:rsidRPr="00CF5BC1" w:rsidRDefault="00CA19EA" w:rsidP="00CF5BC1">
      <w:pPr>
        <w:widowControl w:val="0"/>
        <w:autoSpaceDE w:val="0"/>
        <w:autoSpaceDN w:val="0"/>
        <w:adjustRightInd w:val="0"/>
        <w:spacing w:line="276" w:lineRule="auto"/>
        <w:ind w:firstLine="708"/>
        <w:jc w:val="both"/>
        <w:rPr>
          <w:rFonts w:ascii="Tahoma" w:hAnsi="Tahoma" w:cs="Tahoma"/>
        </w:rPr>
      </w:pPr>
    </w:p>
    <w:p w14:paraId="21A9E0C8" w14:textId="761A21D7" w:rsidR="00CA19EA" w:rsidRPr="00CF5BC1" w:rsidRDefault="00B75444"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En consecuencia, condenó a Colpensiones a cancelar a María Auxiliadora Orcasitas Ramírez la suma de $1.044.259,45 por concepto de indemnización sustitutiva de la pensión de vejez</w:t>
      </w:r>
      <w:r w:rsidR="0008352E" w:rsidRPr="00CF5BC1">
        <w:rPr>
          <w:rFonts w:ascii="Tahoma" w:hAnsi="Tahoma" w:cs="Tahoma"/>
        </w:rPr>
        <w:t>, así como los</w:t>
      </w:r>
      <w:r w:rsidR="00CA19EA" w:rsidRPr="00CF5BC1">
        <w:rPr>
          <w:rFonts w:ascii="Tahoma" w:hAnsi="Tahoma" w:cs="Tahoma"/>
        </w:rPr>
        <w:t xml:space="preserve"> intereses legales estipulados por el art 1617 </w:t>
      </w:r>
      <w:r w:rsidR="0008352E" w:rsidRPr="00CF5BC1">
        <w:rPr>
          <w:rFonts w:ascii="Tahoma" w:hAnsi="Tahoma" w:cs="Tahoma"/>
        </w:rPr>
        <w:t>C.C.</w:t>
      </w:r>
      <w:r w:rsidR="00CA19EA" w:rsidRPr="00CF5BC1">
        <w:rPr>
          <w:rFonts w:ascii="Tahoma" w:hAnsi="Tahoma" w:cs="Tahoma"/>
        </w:rPr>
        <w:t xml:space="preserve"> desde el 6 de noviembre 2017 y hasta que se haga el pago efectivo.</w:t>
      </w:r>
    </w:p>
    <w:p w14:paraId="63683B82" w14:textId="77777777" w:rsidR="00CA19EA" w:rsidRPr="00CF5BC1" w:rsidRDefault="00CA19EA" w:rsidP="00CF5BC1">
      <w:pPr>
        <w:widowControl w:val="0"/>
        <w:autoSpaceDE w:val="0"/>
        <w:autoSpaceDN w:val="0"/>
        <w:adjustRightInd w:val="0"/>
        <w:spacing w:line="276" w:lineRule="auto"/>
        <w:jc w:val="both"/>
        <w:rPr>
          <w:rFonts w:ascii="Tahoma" w:hAnsi="Tahoma" w:cs="Tahoma"/>
        </w:rPr>
      </w:pPr>
      <w:r w:rsidRPr="00CF5BC1">
        <w:rPr>
          <w:rFonts w:ascii="Tahoma" w:hAnsi="Tahoma" w:cs="Tahoma"/>
        </w:rPr>
        <w:t xml:space="preserve">  </w:t>
      </w:r>
    </w:p>
    <w:p w14:paraId="18649416" w14:textId="3DE5B9FF" w:rsidR="00584FE2" w:rsidRPr="00CF5BC1" w:rsidRDefault="00432AA7"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Como fundamento de su decisión</w:t>
      </w:r>
      <w:r w:rsidR="00584FE2" w:rsidRPr="00CF5BC1">
        <w:rPr>
          <w:rFonts w:ascii="Tahoma" w:hAnsi="Tahoma" w:cs="Tahoma"/>
        </w:rPr>
        <w:t>,</w:t>
      </w:r>
      <w:r w:rsidRPr="00CF5BC1">
        <w:rPr>
          <w:rFonts w:ascii="Tahoma" w:hAnsi="Tahoma" w:cs="Tahoma"/>
        </w:rPr>
        <w:t xml:space="preserve"> la A-quo </w:t>
      </w:r>
      <w:r w:rsidR="00584FE2" w:rsidRPr="00CF5BC1">
        <w:rPr>
          <w:rFonts w:ascii="Tahoma" w:hAnsi="Tahoma" w:cs="Tahoma"/>
        </w:rPr>
        <w:t xml:space="preserve">consideró por disposición del Acto Legislativo 01 de 2005, </w:t>
      </w:r>
      <w:r w:rsidRPr="00CF5BC1">
        <w:rPr>
          <w:rFonts w:ascii="Tahoma" w:hAnsi="Tahoma" w:cs="Tahoma"/>
        </w:rPr>
        <w:t xml:space="preserve">al </w:t>
      </w:r>
      <w:r w:rsidR="00584FE2" w:rsidRPr="00CF5BC1">
        <w:rPr>
          <w:rFonts w:ascii="Tahoma" w:hAnsi="Tahoma" w:cs="Tahoma"/>
        </w:rPr>
        <w:t xml:space="preserve">haberse vinculado </w:t>
      </w:r>
      <w:r w:rsidR="00D4184A" w:rsidRPr="00CF5BC1">
        <w:rPr>
          <w:rFonts w:ascii="Tahoma" w:hAnsi="Tahoma" w:cs="Tahoma"/>
        </w:rPr>
        <w:t>como docente territorial</w:t>
      </w:r>
      <w:r w:rsidR="00584FE2" w:rsidRPr="00CF5BC1">
        <w:rPr>
          <w:rFonts w:ascii="Tahoma" w:hAnsi="Tahoma" w:cs="Tahoma"/>
        </w:rPr>
        <w:t xml:space="preserve"> antes del 27 de junio de 2003, la gestora del pleito conservó el régimen exceptuado contenido en la Ley 91 de 1989, de manera que </w:t>
      </w:r>
      <w:r w:rsidR="00D4184A" w:rsidRPr="00CF5BC1">
        <w:rPr>
          <w:rFonts w:ascii="Tahoma" w:hAnsi="Tahoma" w:cs="Tahoma"/>
        </w:rPr>
        <w:t>podía devengar simultáneamente la pensión de jubilación reconocida por el Magisterio y la indemnización sustitutiva de la pensión de vejez derivada de las cotizaciones efectuadas como trabajadora particular en el I.S.S.</w:t>
      </w:r>
      <w:r w:rsidR="000603C5" w:rsidRPr="00CF5BC1">
        <w:rPr>
          <w:rFonts w:ascii="Tahoma" w:hAnsi="Tahoma" w:cs="Tahoma"/>
        </w:rPr>
        <w:t xml:space="preserve">, entre </w:t>
      </w:r>
      <w:r w:rsidR="000603C5" w:rsidRPr="00CF5BC1">
        <w:rPr>
          <w:rFonts w:ascii="Tahoma" w:hAnsi="Tahoma" w:cs="Tahoma"/>
          <w:color w:val="000000" w:themeColor="text1"/>
        </w:rPr>
        <w:t>el 3 de febrero de 1987 y el 31 de diciembre de 1997.</w:t>
      </w:r>
    </w:p>
    <w:p w14:paraId="5A6B9B66" w14:textId="6D35896B" w:rsidR="00D4184A" w:rsidRPr="00CF5BC1" w:rsidRDefault="00D4184A" w:rsidP="00CF5BC1">
      <w:pPr>
        <w:widowControl w:val="0"/>
        <w:autoSpaceDE w:val="0"/>
        <w:autoSpaceDN w:val="0"/>
        <w:adjustRightInd w:val="0"/>
        <w:spacing w:line="276" w:lineRule="auto"/>
        <w:ind w:firstLine="708"/>
        <w:jc w:val="both"/>
        <w:rPr>
          <w:rFonts w:ascii="Tahoma" w:hAnsi="Tahoma" w:cs="Tahoma"/>
        </w:rPr>
      </w:pPr>
    </w:p>
    <w:p w14:paraId="39E5C741" w14:textId="722E1CDD" w:rsidR="00D4184A" w:rsidRPr="00CF5BC1" w:rsidRDefault="00D4184A"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 xml:space="preserve">En tal sentido, </w:t>
      </w:r>
      <w:r w:rsidR="009701A6" w:rsidRPr="00CF5BC1">
        <w:rPr>
          <w:rFonts w:ascii="Tahoma" w:hAnsi="Tahoma" w:cs="Tahoma"/>
        </w:rPr>
        <w:t xml:space="preserve">para calcular el monto de la indemnización sustitutiva, </w:t>
      </w:r>
      <w:r w:rsidR="000603C5" w:rsidRPr="00CF5BC1">
        <w:rPr>
          <w:rFonts w:ascii="Tahoma" w:hAnsi="Tahoma" w:cs="Tahoma"/>
        </w:rPr>
        <w:t>se</w:t>
      </w:r>
      <w:r w:rsidR="009701A6" w:rsidRPr="00CF5BC1">
        <w:rPr>
          <w:rFonts w:ascii="Tahoma" w:hAnsi="Tahoma" w:cs="Tahoma"/>
        </w:rPr>
        <w:t xml:space="preserve"> </w:t>
      </w:r>
      <w:r w:rsidRPr="00CF5BC1">
        <w:rPr>
          <w:rFonts w:ascii="Tahoma" w:hAnsi="Tahoma" w:cs="Tahoma"/>
        </w:rPr>
        <w:t>realiz</w:t>
      </w:r>
      <w:r w:rsidR="000603C5" w:rsidRPr="00CF5BC1">
        <w:rPr>
          <w:rFonts w:ascii="Tahoma" w:hAnsi="Tahoma" w:cs="Tahoma"/>
        </w:rPr>
        <w:t>ó</w:t>
      </w:r>
      <w:r w:rsidRPr="00CF5BC1">
        <w:rPr>
          <w:rFonts w:ascii="Tahoma" w:hAnsi="Tahoma" w:cs="Tahoma"/>
        </w:rPr>
        <w:t xml:space="preserve"> el cálculo </w:t>
      </w:r>
      <w:r w:rsidR="009701A6" w:rsidRPr="00CF5BC1">
        <w:rPr>
          <w:rFonts w:ascii="Tahoma" w:hAnsi="Tahoma" w:cs="Tahoma"/>
        </w:rPr>
        <w:t>con base en las 466,47 semanas que aparecen reportadas en la historia laboral aportada al proceso, lo cual arrojó la suma de $1.044.259,45.</w:t>
      </w:r>
    </w:p>
    <w:p w14:paraId="2DB1D3E4" w14:textId="1A1AA8AC" w:rsidR="003B4C2E" w:rsidRPr="00CF5BC1" w:rsidRDefault="003B4C2E" w:rsidP="00CF5BC1">
      <w:pPr>
        <w:widowControl w:val="0"/>
        <w:autoSpaceDE w:val="0"/>
        <w:autoSpaceDN w:val="0"/>
        <w:adjustRightInd w:val="0"/>
        <w:spacing w:line="276" w:lineRule="auto"/>
        <w:ind w:firstLine="708"/>
        <w:jc w:val="both"/>
        <w:rPr>
          <w:rFonts w:ascii="Tahoma" w:hAnsi="Tahoma" w:cs="Tahoma"/>
        </w:rPr>
      </w:pPr>
    </w:p>
    <w:p w14:paraId="0BC595F8" w14:textId="6AC53237" w:rsidR="003B4C2E" w:rsidRPr="00CF5BC1" w:rsidRDefault="003B4C2E"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 xml:space="preserve">Con relación a los intereses del artículo 1617 del C.C., pretendidos en la demanda, </w:t>
      </w:r>
      <w:r w:rsidR="000603C5" w:rsidRPr="00CF5BC1">
        <w:rPr>
          <w:rFonts w:ascii="Tahoma" w:hAnsi="Tahoma" w:cs="Tahoma"/>
        </w:rPr>
        <w:t xml:space="preserve">adujo </w:t>
      </w:r>
      <w:r w:rsidRPr="00CF5BC1">
        <w:rPr>
          <w:rFonts w:ascii="Tahoma" w:hAnsi="Tahoma" w:cs="Tahoma"/>
        </w:rPr>
        <w:t>que al haberse solicitado la indemnización el 8 de abril de 2015, estos correrían a partir de los cuatro meses con los que contaba Colpensiones para reconocer y pagar tal emolumento</w:t>
      </w:r>
      <w:r w:rsidR="000603C5" w:rsidRPr="00CF5BC1">
        <w:rPr>
          <w:rFonts w:ascii="Tahoma" w:hAnsi="Tahoma" w:cs="Tahoma"/>
        </w:rPr>
        <w:t xml:space="preserve">; no obstante, </w:t>
      </w:r>
      <w:r w:rsidRPr="00CF5BC1">
        <w:rPr>
          <w:rFonts w:ascii="Tahoma" w:hAnsi="Tahoma" w:cs="Tahoma"/>
        </w:rPr>
        <w:t>dispuso que los mismos correrían a partir del 6 de noviembre de 2017</w:t>
      </w:r>
      <w:r w:rsidR="000603C5" w:rsidRPr="00CF5BC1">
        <w:rPr>
          <w:rFonts w:ascii="Tahoma" w:hAnsi="Tahoma" w:cs="Tahoma"/>
        </w:rPr>
        <w:t>.</w:t>
      </w:r>
    </w:p>
    <w:p w14:paraId="4B4C3069" w14:textId="77777777" w:rsidR="00066E64" w:rsidRPr="00CF5BC1" w:rsidRDefault="00066E64" w:rsidP="00CF5BC1">
      <w:pPr>
        <w:widowControl w:val="0"/>
        <w:autoSpaceDE w:val="0"/>
        <w:autoSpaceDN w:val="0"/>
        <w:adjustRightInd w:val="0"/>
        <w:spacing w:line="276" w:lineRule="auto"/>
        <w:jc w:val="both"/>
        <w:rPr>
          <w:rFonts w:ascii="Tahoma" w:hAnsi="Tahoma" w:cs="Tahoma"/>
        </w:rPr>
      </w:pPr>
    </w:p>
    <w:p w14:paraId="20B617D6" w14:textId="5B0793EF" w:rsidR="004F2069" w:rsidRPr="00CF5BC1" w:rsidRDefault="005B1462" w:rsidP="00CF5BC1">
      <w:pPr>
        <w:pStyle w:val="Prrafodelista"/>
        <w:numPr>
          <w:ilvl w:val="0"/>
          <w:numId w:val="2"/>
        </w:numPr>
        <w:spacing w:line="276" w:lineRule="auto"/>
        <w:jc w:val="center"/>
        <w:rPr>
          <w:rFonts w:ascii="Tahoma" w:hAnsi="Tahoma" w:cs="Tahoma"/>
          <w:b/>
        </w:rPr>
      </w:pPr>
      <w:r w:rsidRPr="00CF5BC1">
        <w:rPr>
          <w:rFonts w:ascii="Tahoma" w:hAnsi="Tahoma" w:cs="Tahoma"/>
          <w:b/>
        </w:rPr>
        <w:t>Recursos de apelación</w:t>
      </w:r>
    </w:p>
    <w:p w14:paraId="04BD3B1F" w14:textId="2C361370" w:rsidR="00A9473B" w:rsidRPr="00CF5BC1" w:rsidRDefault="00A9473B" w:rsidP="00CF5BC1">
      <w:pPr>
        <w:pStyle w:val="Prrafodelista"/>
        <w:spacing w:line="276" w:lineRule="auto"/>
        <w:ind w:left="1080"/>
        <w:rPr>
          <w:rFonts w:ascii="Tahoma" w:hAnsi="Tahoma" w:cs="Tahoma"/>
        </w:rPr>
      </w:pPr>
    </w:p>
    <w:p w14:paraId="08E2442F" w14:textId="687F3F40" w:rsidR="00D23758" w:rsidRPr="00CF5BC1" w:rsidRDefault="00D00C8F" w:rsidP="00CF5BC1">
      <w:pPr>
        <w:spacing w:line="276" w:lineRule="auto"/>
        <w:ind w:firstLine="709"/>
        <w:jc w:val="both"/>
        <w:rPr>
          <w:rFonts w:ascii="Tahoma" w:eastAsia="Tahoma" w:hAnsi="Tahoma" w:cs="Tahoma"/>
        </w:rPr>
      </w:pPr>
      <w:r w:rsidRPr="00CF5BC1">
        <w:rPr>
          <w:rFonts w:ascii="Tahoma" w:eastAsia="Tahoma" w:hAnsi="Tahoma" w:cs="Tahoma"/>
        </w:rPr>
        <w:t xml:space="preserve">El apoderado </w:t>
      </w:r>
      <w:r w:rsidR="005958AF" w:rsidRPr="00CF5BC1">
        <w:rPr>
          <w:rFonts w:ascii="Tahoma" w:eastAsia="Tahoma" w:hAnsi="Tahoma" w:cs="Tahoma"/>
        </w:rPr>
        <w:t xml:space="preserve">judicial de la demandante atacó la decisión en lo referente a la liquidación desplegada por el juzgado, arguyendo que el mismo omitió ponderar y/o multiplicar la indexación de las cotizaciones por los días laborados, lo cual era necesario para poder obtener el salario base </w:t>
      </w:r>
      <w:r w:rsidRPr="00CF5BC1">
        <w:rPr>
          <w:rFonts w:ascii="Tahoma" w:eastAsia="Tahoma" w:hAnsi="Tahoma" w:cs="Tahoma"/>
        </w:rPr>
        <w:t>promedio mensual</w:t>
      </w:r>
      <w:r w:rsidR="005958AF" w:rsidRPr="00CF5BC1">
        <w:rPr>
          <w:rFonts w:ascii="Tahoma" w:eastAsia="Tahoma" w:hAnsi="Tahoma" w:cs="Tahoma"/>
        </w:rPr>
        <w:t xml:space="preserve">. En tal sentido, </w:t>
      </w:r>
      <w:r w:rsidR="00D23758" w:rsidRPr="00CF5BC1">
        <w:rPr>
          <w:rFonts w:ascii="Tahoma" w:eastAsia="Tahoma" w:hAnsi="Tahoma" w:cs="Tahoma"/>
        </w:rPr>
        <w:t>pide a este Tribunal que se liquide debidamente la indemnización sustitutiva, sobre la cual se ordenará, subsecuentemente, el pago de los intereses moratorios.</w:t>
      </w:r>
    </w:p>
    <w:p w14:paraId="75BD6AE8" w14:textId="77777777" w:rsidR="00D00C8F" w:rsidRPr="00CF5BC1" w:rsidRDefault="00D00C8F" w:rsidP="00CF5BC1">
      <w:pPr>
        <w:spacing w:line="276" w:lineRule="auto"/>
        <w:jc w:val="both"/>
        <w:rPr>
          <w:rFonts w:ascii="Tahoma" w:eastAsia="Tahoma" w:hAnsi="Tahoma" w:cs="Tahoma"/>
        </w:rPr>
      </w:pPr>
    </w:p>
    <w:p w14:paraId="213EEC74" w14:textId="74AA6EC3" w:rsidR="00D00C8F" w:rsidRPr="00CF5BC1" w:rsidRDefault="009A6B30" w:rsidP="00CF5BC1">
      <w:pPr>
        <w:spacing w:line="276" w:lineRule="auto"/>
        <w:ind w:firstLine="709"/>
        <w:jc w:val="both"/>
        <w:rPr>
          <w:rFonts w:ascii="Tahoma" w:eastAsia="Tahoma" w:hAnsi="Tahoma" w:cs="Tahoma"/>
          <w:color w:val="000000" w:themeColor="text1"/>
        </w:rPr>
      </w:pPr>
      <w:r w:rsidRPr="00CF5BC1">
        <w:rPr>
          <w:rFonts w:ascii="Tahoma" w:eastAsia="Tahoma" w:hAnsi="Tahoma" w:cs="Tahoma"/>
        </w:rPr>
        <w:t xml:space="preserve">Por su parte, </w:t>
      </w:r>
      <w:r w:rsidR="00D00C8F" w:rsidRPr="00CF5BC1">
        <w:rPr>
          <w:rFonts w:ascii="Tahoma" w:eastAsia="Tahoma" w:hAnsi="Tahoma" w:cs="Tahoma"/>
          <w:b/>
          <w:bCs/>
        </w:rPr>
        <w:t xml:space="preserve">Colpensiones </w:t>
      </w:r>
      <w:r w:rsidR="00D00C8F" w:rsidRPr="00CF5BC1">
        <w:rPr>
          <w:rFonts w:ascii="Tahoma" w:eastAsia="Tahoma" w:hAnsi="Tahoma" w:cs="Tahoma"/>
        </w:rPr>
        <w:t>in</w:t>
      </w:r>
      <w:r w:rsidRPr="00CF5BC1">
        <w:rPr>
          <w:rFonts w:ascii="Tahoma" w:eastAsia="Tahoma" w:hAnsi="Tahoma" w:cs="Tahoma"/>
        </w:rPr>
        <w:t>sistió en que l</w:t>
      </w:r>
      <w:r w:rsidR="00D00C8F" w:rsidRPr="00CF5BC1">
        <w:rPr>
          <w:rFonts w:ascii="Tahoma" w:eastAsia="Tahoma" w:hAnsi="Tahoma" w:cs="Tahoma"/>
          <w:color w:val="000000" w:themeColor="text1"/>
        </w:rPr>
        <w:t xml:space="preserve">a pensión </w:t>
      </w:r>
      <w:r w:rsidRPr="00CF5BC1">
        <w:rPr>
          <w:rFonts w:ascii="Tahoma" w:eastAsia="Tahoma" w:hAnsi="Tahoma" w:cs="Tahoma"/>
          <w:color w:val="000000" w:themeColor="text1"/>
        </w:rPr>
        <w:t xml:space="preserve">reconocida a la demandante por </w:t>
      </w:r>
      <w:r w:rsidR="00D00C8F" w:rsidRPr="00CF5BC1">
        <w:rPr>
          <w:rFonts w:ascii="Tahoma" w:eastAsia="Tahoma" w:hAnsi="Tahoma" w:cs="Tahoma"/>
          <w:color w:val="000000" w:themeColor="text1"/>
        </w:rPr>
        <w:t xml:space="preserve">el </w:t>
      </w:r>
      <w:r w:rsidRPr="00CF5BC1">
        <w:rPr>
          <w:rFonts w:ascii="Tahoma" w:eastAsia="Tahoma" w:hAnsi="Tahoma" w:cs="Tahoma"/>
          <w:color w:val="000000" w:themeColor="text1"/>
        </w:rPr>
        <w:t>M</w:t>
      </w:r>
      <w:r w:rsidR="00D00C8F" w:rsidRPr="00CF5BC1">
        <w:rPr>
          <w:rFonts w:ascii="Tahoma" w:eastAsia="Tahoma" w:hAnsi="Tahoma" w:cs="Tahoma"/>
          <w:color w:val="000000" w:themeColor="text1"/>
        </w:rPr>
        <w:t xml:space="preserve">agisterio se encuentra a cargo de la </w:t>
      </w:r>
      <w:r w:rsidRPr="00CF5BC1">
        <w:rPr>
          <w:rFonts w:ascii="Tahoma" w:eastAsia="Tahoma" w:hAnsi="Tahoma" w:cs="Tahoma"/>
          <w:color w:val="000000" w:themeColor="text1"/>
        </w:rPr>
        <w:t>N</w:t>
      </w:r>
      <w:r w:rsidR="00D00C8F" w:rsidRPr="00CF5BC1">
        <w:rPr>
          <w:rFonts w:ascii="Tahoma" w:eastAsia="Tahoma" w:hAnsi="Tahoma" w:cs="Tahoma"/>
          <w:color w:val="000000" w:themeColor="text1"/>
        </w:rPr>
        <w:t>ación</w:t>
      </w:r>
      <w:r w:rsidRPr="00CF5BC1">
        <w:rPr>
          <w:rFonts w:ascii="Tahoma" w:eastAsia="Tahoma" w:hAnsi="Tahoma" w:cs="Tahoma"/>
          <w:color w:val="000000" w:themeColor="text1"/>
        </w:rPr>
        <w:t>,</w:t>
      </w:r>
      <w:r w:rsidR="00D00C8F" w:rsidRPr="00CF5BC1">
        <w:rPr>
          <w:rFonts w:ascii="Tahoma" w:eastAsia="Tahoma" w:hAnsi="Tahoma" w:cs="Tahoma"/>
          <w:color w:val="000000" w:themeColor="text1"/>
        </w:rPr>
        <w:t xml:space="preserve"> </w:t>
      </w:r>
      <w:r w:rsidRPr="00CF5BC1">
        <w:rPr>
          <w:rFonts w:ascii="Tahoma" w:eastAsia="Tahoma" w:hAnsi="Tahoma" w:cs="Tahoma"/>
          <w:color w:val="000000" w:themeColor="text1"/>
        </w:rPr>
        <w:t xml:space="preserve">al igual que </w:t>
      </w:r>
      <w:r w:rsidR="00D00C8F" w:rsidRPr="00CF5BC1">
        <w:rPr>
          <w:rFonts w:ascii="Tahoma" w:eastAsia="Tahoma" w:hAnsi="Tahoma" w:cs="Tahoma"/>
          <w:color w:val="000000" w:themeColor="text1"/>
        </w:rPr>
        <w:t>la indemnización</w:t>
      </w:r>
      <w:r w:rsidRPr="00CF5BC1">
        <w:rPr>
          <w:rFonts w:ascii="Tahoma" w:eastAsia="Tahoma" w:hAnsi="Tahoma" w:cs="Tahoma"/>
          <w:color w:val="000000" w:themeColor="text1"/>
        </w:rPr>
        <w:t xml:space="preserve"> por ella</w:t>
      </w:r>
      <w:r w:rsidR="00D00C8F" w:rsidRPr="00CF5BC1">
        <w:rPr>
          <w:rFonts w:ascii="Tahoma" w:eastAsia="Tahoma" w:hAnsi="Tahoma" w:cs="Tahoma"/>
          <w:color w:val="000000" w:themeColor="text1"/>
        </w:rPr>
        <w:t xml:space="preserve"> </w:t>
      </w:r>
      <w:r w:rsidRPr="00CF5BC1">
        <w:rPr>
          <w:rFonts w:ascii="Tahoma" w:eastAsia="Tahoma" w:hAnsi="Tahoma" w:cs="Tahoma"/>
          <w:color w:val="000000" w:themeColor="text1"/>
        </w:rPr>
        <w:t xml:space="preserve">pretendida, </w:t>
      </w:r>
      <w:r w:rsidR="00D00C8F" w:rsidRPr="00CF5BC1">
        <w:rPr>
          <w:rFonts w:ascii="Tahoma" w:eastAsia="Tahoma" w:hAnsi="Tahoma" w:cs="Tahoma"/>
          <w:color w:val="000000" w:themeColor="text1"/>
        </w:rPr>
        <w:t xml:space="preserve">situación que va en contravía de los principios constitucionales establecidos en el art 128 de la Constitución Política, no </w:t>
      </w:r>
      <w:r w:rsidRPr="00CF5BC1">
        <w:rPr>
          <w:rFonts w:ascii="Tahoma" w:eastAsia="Tahoma" w:hAnsi="Tahoma" w:cs="Tahoma"/>
          <w:color w:val="000000" w:themeColor="text1"/>
        </w:rPr>
        <w:t xml:space="preserve">siendo </w:t>
      </w:r>
      <w:r w:rsidR="00D00C8F" w:rsidRPr="00CF5BC1">
        <w:rPr>
          <w:rFonts w:ascii="Tahoma" w:eastAsia="Tahoma" w:hAnsi="Tahoma" w:cs="Tahoma"/>
          <w:color w:val="000000" w:themeColor="text1"/>
        </w:rPr>
        <w:t xml:space="preserve">posible </w:t>
      </w:r>
      <w:r w:rsidRPr="00CF5BC1">
        <w:rPr>
          <w:rFonts w:ascii="Tahoma" w:eastAsia="Tahoma" w:hAnsi="Tahoma" w:cs="Tahoma"/>
          <w:color w:val="000000" w:themeColor="text1"/>
        </w:rPr>
        <w:t>un</w:t>
      </w:r>
      <w:r w:rsidR="00D00C8F" w:rsidRPr="00CF5BC1">
        <w:rPr>
          <w:rFonts w:ascii="Tahoma" w:eastAsia="Tahoma" w:hAnsi="Tahoma" w:cs="Tahoma"/>
          <w:color w:val="000000" w:themeColor="text1"/>
        </w:rPr>
        <w:t xml:space="preserve"> doble reconocimiento a cargo del patrimonio público</w:t>
      </w:r>
      <w:r w:rsidRPr="00CF5BC1">
        <w:rPr>
          <w:rFonts w:ascii="Tahoma" w:eastAsia="Tahoma" w:hAnsi="Tahoma" w:cs="Tahoma"/>
          <w:color w:val="000000" w:themeColor="text1"/>
        </w:rPr>
        <w:t>.</w:t>
      </w:r>
    </w:p>
    <w:p w14:paraId="496819FD" w14:textId="77777777" w:rsidR="00A563DE" w:rsidRPr="00CF5BC1" w:rsidRDefault="00A563DE" w:rsidP="00CF5BC1">
      <w:pPr>
        <w:spacing w:line="276" w:lineRule="auto"/>
        <w:ind w:firstLine="709"/>
        <w:jc w:val="both"/>
        <w:rPr>
          <w:rFonts w:ascii="Tahoma" w:eastAsia="Tahoma" w:hAnsi="Tahoma" w:cs="Tahoma"/>
          <w:color w:val="000000" w:themeColor="text1"/>
        </w:rPr>
      </w:pPr>
    </w:p>
    <w:p w14:paraId="22352B26" w14:textId="49AD98CB" w:rsidR="00D51494" w:rsidRPr="00CF5BC1" w:rsidRDefault="00D51494" w:rsidP="00CF5BC1">
      <w:pPr>
        <w:pStyle w:val="Prrafodelista"/>
        <w:numPr>
          <w:ilvl w:val="0"/>
          <w:numId w:val="2"/>
        </w:numPr>
        <w:tabs>
          <w:tab w:val="left" w:pos="284"/>
        </w:tabs>
        <w:spacing w:line="276" w:lineRule="auto"/>
        <w:ind w:left="0" w:firstLine="0"/>
        <w:jc w:val="center"/>
        <w:rPr>
          <w:rFonts w:ascii="Tahoma" w:hAnsi="Tahoma" w:cs="Tahoma"/>
          <w:b/>
        </w:rPr>
      </w:pPr>
      <w:r w:rsidRPr="00CF5BC1">
        <w:rPr>
          <w:rStyle w:val="normaltextrun"/>
          <w:rFonts w:ascii="Tahoma" w:hAnsi="Tahoma" w:cs="Tahoma"/>
          <w:b/>
          <w:bCs/>
        </w:rPr>
        <w:t>Alegatos de Conclusión/Concepto del Ministerio Público</w:t>
      </w:r>
    </w:p>
    <w:p w14:paraId="166AD530" w14:textId="77777777" w:rsidR="00D00C8F" w:rsidRPr="00CF5BC1" w:rsidRDefault="00D00C8F" w:rsidP="00CF5BC1">
      <w:pPr>
        <w:spacing w:line="276" w:lineRule="auto"/>
        <w:ind w:firstLine="708"/>
        <w:jc w:val="both"/>
        <w:rPr>
          <w:rStyle w:val="normaltextrun"/>
          <w:rFonts w:ascii="Tahoma" w:hAnsi="Tahoma" w:cs="Tahoma"/>
          <w:color w:val="000000"/>
        </w:rPr>
      </w:pPr>
    </w:p>
    <w:p w14:paraId="6CC5168F" w14:textId="39B9CF29" w:rsidR="00D51494" w:rsidRPr="00CF5BC1" w:rsidRDefault="00D51494" w:rsidP="00CF5BC1">
      <w:pPr>
        <w:spacing w:line="276" w:lineRule="auto"/>
        <w:ind w:firstLine="708"/>
        <w:jc w:val="both"/>
        <w:rPr>
          <w:rStyle w:val="normaltextrun"/>
          <w:rFonts w:ascii="Tahoma" w:hAnsi="Tahoma" w:cs="Tahoma"/>
          <w:color w:val="000000"/>
        </w:rPr>
      </w:pPr>
      <w:r w:rsidRPr="00CF5BC1">
        <w:rPr>
          <w:rStyle w:val="normaltextrun"/>
          <w:rFonts w:ascii="Tahoma" w:hAnsi="Tahoma" w:cs="Tahoma"/>
          <w:color w:val="000000"/>
        </w:rPr>
        <w:t xml:space="preserve">Analizados los alegatos presentados por </w:t>
      </w:r>
      <w:r w:rsidR="00D00C8F" w:rsidRPr="00CF5BC1">
        <w:rPr>
          <w:rStyle w:val="normaltextrun"/>
          <w:rFonts w:ascii="Tahoma" w:hAnsi="Tahoma" w:cs="Tahoma"/>
          <w:color w:val="000000"/>
        </w:rPr>
        <w:t>Colpensiones</w:t>
      </w:r>
      <w:r w:rsidRPr="00CF5BC1">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w:t>
      </w:r>
      <w:r w:rsidRPr="00CF5BC1">
        <w:rPr>
          <w:rStyle w:val="normaltextrun"/>
          <w:rFonts w:ascii="Tahoma" w:hAnsi="Tahoma" w:cs="Tahoma"/>
          <w:color w:val="000000"/>
        </w:rPr>
        <w:lastRenderedPageBreak/>
        <w:t xml:space="preserve">relacionan con los problemas jurídicos que se expresan a continuación.  Por otra parte, </w:t>
      </w:r>
      <w:r w:rsidRPr="00CF5BC1">
        <w:rPr>
          <w:rStyle w:val="normaltextrun"/>
          <w:rFonts w:ascii="Tahoma" w:hAnsi="Tahoma" w:cs="Tahoma"/>
        </w:rPr>
        <w:t>el Ministerio Público NO conceptuó en este asunto.</w:t>
      </w:r>
      <w:r w:rsidRPr="00CF5BC1">
        <w:rPr>
          <w:rStyle w:val="normaltextrun"/>
          <w:rFonts w:ascii="Tahoma" w:hAnsi="Tahoma" w:cs="Tahoma"/>
          <w:color w:val="000000"/>
        </w:rPr>
        <w:t xml:space="preserve"> </w:t>
      </w:r>
    </w:p>
    <w:p w14:paraId="284D1FFA" w14:textId="77777777" w:rsidR="00A563DE" w:rsidRPr="00CF5BC1" w:rsidRDefault="00A563DE" w:rsidP="00CF5BC1">
      <w:pPr>
        <w:spacing w:line="276" w:lineRule="auto"/>
        <w:ind w:firstLine="708"/>
        <w:jc w:val="both"/>
        <w:rPr>
          <w:rStyle w:val="normaltextrun"/>
          <w:rFonts w:ascii="Tahoma" w:hAnsi="Tahoma" w:cs="Tahoma"/>
          <w:color w:val="000000"/>
        </w:rPr>
      </w:pPr>
    </w:p>
    <w:p w14:paraId="6582FEE0" w14:textId="77777777" w:rsidR="00D51494" w:rsidRPr="00CF5BC1" w:rsidRDefault="00D51494" w:rsidP="00CF5BC1">
      <w:pPr>
        <w:pStyle w:val="Prrafodelista"/>
        <w:widowControl w:val="0"/>
        <w:numPr>
          <w:ilvl w:val="0"/>
          <w:numId w:val="2"/>
        </w:numPr>
        <w:autoSpaceDE w:val="0"/>
        <w:autoSpaceDN w:val="0"/>
        <w:adjustRightInd w:val="0"/>
        <w:spacing w:line="276" w:lineRule="auto"/>
        <w:jc w:val="center"/>
        <w:rPr>
          <w:rFonts w:ascii="Tahoma" w:hAnsi="Tahoma" w:cs="Tahoma"/>
          <w:b/>
        </w:rPr>
      </w:pPr>
      <w:r w:rsidRPr="00CF5BC1">
        <w:rPr>
          <w:rFonts w:ascii="Tahoma" w:hAnsi="Tahoma" w:cs="Tahoma"/>
          <w:b/>
        </w:rPr>
        <w:t>Problema jurídico por resolver</w:t>
      </w:r>
    </w:p>
    <w:p w14:paraId="6D78C238" w14:textId="77777777" w:rsidR="00D51494" w:rsidRPr="00CF5BC1" w:rsidRDefault="00D51494" w:rsidP="00CF5BC1">
      <w:pPr>
        <w:pStyle w:val="Sinespaciado"/>
        <w:spacing w:line="276" w:lineRule="auto"/>
        <w:ind w:left="1080"/>
        <w:rPr>
          <w:rFonts w:ascii="Tahoma" w:hAnsi="Tahoma" w:cs="Tahoma"/>
        </w:rPr>
      </w:pPr>
    </w:p>
    <w:p w14:paraId="1DF2D824" w14:textId="23CB896E" w:rsidR="00095F52" w:rsidRPr="00CF5BC1" w:rsidRDefault="00D51494" w:rsidP="00CF5BC1">
      <w:pPr>
        <w:spacing w:line="276" w:lineRule="auto"/>
        <w:ind w:firstLine="708"/>
        <w:jc w:val="both"/>
        <w:rPr>
          <w:rFonts w:ascii="Tahoma" w:hAnsi="Tahoma" w:cs="Tahoma"/>
        </w:rPr>
      </w:pPr>
      <w:r w:rsidRPr="00CF5BC1">
        <w:rPr>
          <w:rFonts w:ascii="Tahoma" w:hAnsi="Tahoma" w:cs="Tahoma"/>
        </w:rPr>
        <w:t>De acuerdo a los argumentos expuestos en la sentencia de primera instancia y los alegatos de conclusión, le corresponde a la Sala determinar</w:t>
      </w:r>
      <w:r w:rsidR="004C1320" w:rsidRPr="00CF5BC1">
        <w:rPr>
          <w:rFonts w:ascii="Tahoma" w:hAnsi="Tahoma" w:cs="Tahoma"/>
        </w:rPr>
        <w:t>:</w:t>
      </w:r>
    </w:p>
    <w:p w14:paraId="43B67F2E" w14:textId="7A667C39" w:rsidR="00476FCF" w:rsidRPr="00CF5BC1" w:rsidRDefault="00476FCF" w:rsidP="00CF5BC1">
      <w:pPr>
        <w:spacing w:line="276" w:lineRule="auto"/>
        <w:ind w:firstLine="708"/>
        <w:jc w:val="both"/>
        <w:rPr>
          <w:rFonts w:ascii="Tahoma" w:hAnsi="Tahoma" w:cs="Tahoma"/>
        </w:rPr>
      </w:pPr>
    </w:p>
    <w:p w14:paraId="793FEA38" w14:textId="4298DA36" w:rsidR="0049341F" w:rsidRPr="00CF5BC1" w:rsidRDefault="0049341F" w:rsidP="00CF5BC1">
      <w:pPr>
        <w:pStyle w:val="Prrafodelista"/>
        <w:numPr>
          <w:ilvl w:val="0"/>
          <w:numId w:val="5"/>
        </w:numPr>
        <w:spacing w:line="276" w:lineRule="auto"/>
        <w:jc w:val="both"/>
        <w:rPr>
          <w:rFonts w:ascii="Tahoma" w:hAnsi="Tahoma" w:cs="Tahoma"/>
        </w:rPr>
      </w:pPr>
      <w:r w:rsidRPr="00CF5BC1">
        <w:rPr>
          <w:rFonts w:ascii="Tahoma" w:hAnsi="Tahoma" w:cs="Tahoma"/>
        </w:rPr>
        <w:t>Si es posible conceder a la demandante la indemnización sustitutiva de la</w:t>
      </w:r>
      <w:r w:rsidR="00A563DE" w:rsidRPr="00CF5BC1">
        <w:rPr>
          <w:rFonts w:ascii="Tahoma" w:hAnsi="Tahoma" w:cs="Tahoma"/>
        </w:rPr>
        <w:t xml:space="preserve"> pensión de vejez</w:t>
      </w:r>
      <w:r w:rsidRPr="00CF5BC1">
        <w:rPr>
          <w:rFonts w:ascii="Tahoma" w:hAnsi="Tahoma" w:cs="Tahoma"/>
        </w:rPr>
        <w:t>, a pesar de que actualmente devenga una pensión de jubilación reconocida por el Municipio de Pereira, como docente nacionalizado y, en caso afirmativo,</w:t>
      </w:r>
    </w:p>
    <w:p w14:paraId="16B00632" w14:textId="77777777" w:rsidR="0049341F" w:rsidRPr="00CF5BC1" w:rsidRDefault="0049341F" w:rsidP="00CF5BC1">
      <w:pPr>
        <w:pStyle w:val="Prrafodelista"/>
        <w:spacing w:line="276" w:lineRule="auto"/>
        <w:ind w:left="1428"/>
        <w:jc w:val="both"/>
        <w:rPr>
          <w:rFonts w:ascii="Tahoma" w:hAnsi="Tahoma" w:cs="Tahoma"/>
        </w:rPr>
      </w:pPr>
    </w:p>
    <w:p w14:paraId="0A96177B" w14:textId="4246164C" w:rsidR="0049341F" w:rsidRPr="00CF5BC1" w:rsidRDefault="0049341F" w:rsidP="00CF5BC1">
      <w:pPr>
        <w:pStyle w:val="Prrafodelista"/>
        <w:numPr>
          <w:ilvl w:val="0"/>
          <w:numId w:val="5"/>
        </w:numPr>
        <w:spacing w:line="276" w:lineRule="auto"/>
        <w:jc w:val="both"/>
        <w:rPr>
          <w:rFonts w:ascii="Tahoma" w:hAnsi="Tahoma" w:cs="Tahoma"/>
        </w:rPr>
      </w:pPr>
      <w:r w:rsidRPr="00CF5BC1">
        <w:rPr>
          <w:rFonts w:ascii="Tahoma" w:hAnsi="Tahoma" w:cs="Tahoma"/>
        </w:rPr>
        <w:t xml:space="preserve">Si la liquidación efectuada en primer grado se encuentra ajustada a derecho. </w:t>
      </w:r>
    </w:p>
    <w:p w14:paraId="3BC9CD43" w14:textId="77777777" w:rsidR="0049341F" w:rsidRPr="00CF5BC1" w:rsidRDefault="0049341F" w:rsidP="00CF5BC1">
      <w:pPr>
        <w:pStyle w:val="Prrafodelista"/>
        <w:spacing w:line="276" w:lineRule="auto"/>
        <w:rPr>
          <w:rFonts w:ascii="Tahoma" w:hAnsi="Tahoma" w:cs="Tahoma"/>
        </w:rPr>
      </w:pPr>
    </w:p>
    <w:p w14:paraId="15D231B6" w14:textId="66D52184" w:rsidR="0049341F" w:rsidRPr="00CF5BC1" w:rsidRDefault="0049341F" w:rsidP="00CF5BC1">
      <w:pPr>
        <w:pStyle w:val="Prrafodelista"/>
        <w:numPr>
          <w:ilvl w:val="0"/>
          <w:numId w:val="5"/>
        </w:numPr>
        <w:spacing w:line="276" w:lineRule="auto"/>
        <w:jc w:val="both"/>
        <w:rPr>
          <w:rFonts w:ascii="Tahoma" w:hAnsi="Tahoma" w:cs="Tahoma"/>
        </w:rPr>
      </w:pPr>
      <w:r w:rsidRPr="00CF5BC1">
        <w:rPr>
          <w:rFonts w:ascii="Tahoma" w:hAnsi="Tahoma" w:cs="Tahoma"/>
        </w:rPr>
        <w:t xml:space="preserve">Si hay lugar a los intereses contemplados en el artículo 1617 del C.C. </w:t>
      </w:r>
    </w:p>
    <w:p w14:paraId="3B0F839B" w14:textId="7CF8343D" w:rsidR="0049341F" w:rsidRPr="00CF5BC1" w:rsidRDefault="0049341F" w:rsidP="00CF5BC1">
      <w:pPr>
        <w:pStyle w:val="Prrafodelista"/>
        <w:spacing w:line="276" w:lineRule="auto"/>
        <w:rPr>
          <w:rFonts w:ascii="Tahoma" w:hAnsi="Tahoma" w:cs="Tahoma"/>
        </w:rPr>
      </w:pPr>
    </w:p>
    <w:p w14:paraId="54FEA792" w14:textId="77777777" w:rsidR="00D51494" w:rsidRPr="00CF5BC1" w:rsidRDefault="00D51494" w:rsidP="00CF5BC1">
      <w:pPr>
        <w:widowControl w:val="0"/>
        <w:numPr>
          <w:ilvl w:val="0"/>
          <w:numId w:val="2"/>
        </w:numPr>
        <w:autoSpaceDE w:val="0"/>
        <w:autoSpaceDN w:val="0"/>
        <w:adjustRightInd w:val="0"/>
        <w:spacing w:line="276" w:lineRule="auto"/>
        <w:ind w:hanging="519"/>
        <w:jc w:val="center"/>
        <w:rPr>
          <w:rFonts w:ascii="Tahoma" w:hAnsi="Tahoma" w:cs="Tahoma"/>
          <w:b/>
        </w:rPr>
      </w:pPr>
      <w:r w:rsidRPr="00CF5BC1">
        <w:rPr>
          <w:rFonts w:ascii="Tahoma" w:hAnsi="Tahoma" w:cs="Tahoma"/>
          <w:b/>
        </w:rPr>
        <w:t>Consideraciones</w:t>
      </w:r>
    </w:p>
    <w:p w14:paraId="3AF4420C" w14:textId="77777777" w:rsidR="00A563DE" w:rsidRPr="00CF5BC1" w:rsidRDefault="00A563DE" w:rsidP="00CF5BC1">
      <w:pPr>
        <w:widowControl w:val="0"/>
        <w:tabs>
          <w:tab w:val="left" w:pos="426"/>
        </w:tabs>
        <w:autoSpaceDE w:val="0"/>
        <w:autoSpaceDN w:val="0"/>
        <w:adjustRightInd w:val="0"/>
        <w:spacing w:line="276" w:lineRule="auto"/>
        <w:rPr>
          <w:rFonts w:ascii="Tahoma" w:hAnsi="Tahoma" w:cs="Tahoma"/>
          <w:b/>
        </w:rPr>
      </w:pPr>
    </w:p>
    <w:p w14:paraId="3A9C4D2C" w14:textId="7E69EF9E" w:rsidR="0049341F" w:rsidRPr="00CF5BC1" w:rsidRDefault="0049341F" w:rsidP="00CF5BC1">
      <w:pPr>
        <w:pStyle w:val="Prrafodelista"/>
        <w:numPr>
          <w:ilvl w:val="1"/>
          <w:numId w:val="6"/>
        </w:numPr>
        <w:tabs>
          <w:tab w:val="left" w:pos="567"/>
        </w:tabs>
        <w:spacing w:line="276" w:lineRule="auto"/>
        <w:jc w:val="both"/>
        <w:rPr>
          <w:rFonts w:ascii="Tahoma" w:hAnsi="Tahoma" w:cs="Tahoma"/>
          <w:b/>
        </w:rPr>
      </w:pPr>
      <w:r w:rsidRPr="00CF5BC1">
        <w:rPr>
          <w:rFonts w:ascii="Tahoma" w:hAnsi="Tahoma" w:cs="Tahoma"/>
          <w:b/>
        </w:rPr>
        <w:t>Presupuestos fácticos debidamente probados</w:t>
      </w:r>
    </w:p>
    <w:p w14:paraId="19495552" w14:textId="77777777" w:rsidR="0049341F" w:rsidRPr="00CF5BC1" w:rsidRDefault="0049341F" w:rsidP="00CF5BC1">
      <w:pPr>
        <w:tabs>
          <w:tab w:val="left" w:pos="567"/>
        </w:tabs>
        <w:spacing w:line="276" w:lineRule="auto"/>
        <w:jc w:val="both"/>
        <w:rPr>
          <w:rFonts w:ascii="Tahoma" w:hAnsi="Tahoma" w:cs="Tahoma"/>
        </w:rPr>
      </w:pPr>
    </w:p>
    <w:p w14:paraId="2D5AF771" w14:textId="697F0072" w:rsidR="0049341F" w:rsidRPr="00CF5BC1" w:rsidRDefault="0049341F" w:rsidP="00CF5BC1">
      <w:pPr>
        <w:tabs>
          <w:tab w:val="left" w:pos="748"/>
        </w:tabs>
        <w:spacing w:line="276" w:lineRule="auto"/>
        <w:jc w:val="both"/>
        <w:rPr>
          <w:rFonts w:ascii="Tahoma" w:hAnsi="Tahoma" w:cs="Tahoma"/>
        </w:rPr>
      </w:pPr>
      <w:r w:rsidRPr="00CF5BC1">
        <w:rPr>
          <w:rFonts w:ascii="Tahoma" w:hAnsi="Tahoma" w:cs="Tahoma"/>
        </w:rPr>
        <w:tab/>
        <w:t>No existe discusión alguna en el presente asunto respecto de los siguientes hechos:</w:t>
      </w:r>
    </w:p>
    <w:p w14:paraId="15D37CED" w14:textId="77777777" w:rsidR="0049341F" w:rsidRPr="00CF5BC1" w:rsidRDefault="0049341F" w:rsidP="00CF5BC1">
      <w:pPr>
        <w:tabs>
          <w:tab w:val="left" w:pos="748"/>
        </w:tabs>
        <w:spacing w:line="276" w:lineRule="auto"/>
        <w:ind w:firstLine="1122"/>
        <w:jc w:val="both"/>
        <w:rPr>
          <w:rFonts w:ascii="Tahoma" w:hAnsi="Tahoma" w:cs="Tahoma"/>
        </w:rPr>
      </w:pPr>
    </w:p>
    <w:p w14:paraId="6D6C3F86" w14:textId="055C6223" w:rsidR="0049341F" w:rsidRPr="00CF5BC1" w:rsidRDefault="0049341F" w:rsidP="00CF5BC1">
      <w:pPr>
        <w:tabs>
          <w:tab w:val="left" w:pos="748"/>
        </w:tabs>
        <w:spacing w:line="276" w:lineRule="auto"/>
        <w:ind w:firstLine="709"/>
        <w:jc w:val="both"/>
        <w:rPr>
          <w:rFonts w:ascii="Tahoma" w:hAnsi="Tahoma" w:cs="Tahoma"/>
        </w:rPr>
      </w:pPr>
      <w:r w:rsidRPr="00CF5BC1">
        <w:rPr>
          <w:rFonts w:ascii="Tahoma" w:hAnsi="Tahoma" w:cs="Tahoma"/>
        </w:rPr>
        <w:t>1º. Que la Secretaría de Educación del Municipio de Pereira le reconoció a</w:t>
      </w:r>
      <w:r w:rsidR="00431AFB" w:rsidRPr="00CF5BC1">
        <w:rPr>
          <w:rFonts w:ascii="Tahoma" w:hAnsi="Tahoma" w:cs="Tahoma"/>
        </w:rPr>
        <w:t xml:space="preserve"> </w:t>
      </w:r>
      <w:r w:rsidRPr="00CF5BC1">
        <w:rPr>
          <w:rFonts w:ascii="Tahoma" w:hAnsi="Tahoma" w:cs="Tahoma"/>
        </w:rPr>
        <w:t>l</w:t>
      </w:r>
      <w:r w:rsidR="00431AFB" w:rsidRPr="00CF5BC1">
        <w:rPr>
          <w:rFonts w:ascii="Tahoma" w:hAnsi="Tahoma" w:cs="Tahoma"/>
        </w:rPr>
        <w:t>a</w:t>
      </w:r>
      <w:r w:rsidRPr="00CF5BC1">
        <w:rPr>
          <w:rFonts w:ascii="Tahoma" w:hAnsi="Tahoma" w:cs="Tahoma"/>
        </w:rPr>
        <w:t xml:space="preserve"> señor</w:t>
      </w:r>
      <w:r w:rsidR="00431AFB" w:rsidRPr="00CF5BC1">
        <w:rPr>
          <w:rFonts w:ascii="Tahoma" w:hAnsi="Tahoma" w:cs="Tahoma"/>
        </w:rPr>
        <w:t>a</w:t>
      </w:r>
      <w:r w:rsidRPr="00CF5BC1">
        <w:rPr>
          <w:rFonts w:ascii="Tahoma" w:hAnsi="Tahoma" w:cs="Tahoma"/>
        </w:rPr>
        <w:t xml:space="preserve"> </w:t>
      </w:r>
      <w:r w:rsidR="00431AFB" w:rsidRPr="00CF5BC1">
        <w:rPr>
          <w:rFonts w:ascii="Tahoma" w:hAnsi="Tahoma" w:cs="Tahoma"/>
        </w:rPr>
        <w:t xml:space="preserve">María Auxiliadora Orcasitas </w:t>
      </w:r>
      <w:r w:rsidRPr="00CF5BC1">
        <w:rPr>
          <w:rFonts w:ascii="Tahoma" w:hAnsi="Tahoma" w:cs="Tahoma"/>
        </w:rPr>
        <w:t xml:space="preserve">la pensión de jubilación desde el </w:t>
      </w:r>
      <w:r w:rsidR="00431AFB" w:rsidRPr="00CF5BC1">
        <w:rPr>
          <w:rFonts w:ascii="Tahoma" w:hAnsi="Tahoma" w:cs="Tahoma"/>
        </w:rPr>
        <w:t>2</w:t>
      </w:r>
      <w:r w:rsidRPr="00CF5BC1">
        <w:rPr>
          <w:rFonts w:ascii="Tahoma" w:hAnsi="Tahoma" w:cs="Tahoma"/>
        </w:rPr>
        <w:t>5 mayo de 2008 por haber prestado sus servicios como docente nacionalizad</w:t>
      </w:r>
      <w:r w:rsidR="00431AFB" w:rsidRPr="00CF5BC1">
        <w:rPr>
          <w:rFonts w:ascii="Tahoma" w:hAnsi="Tahoma" w:cs="Tahoma"/>
        </w:rPr>
        <w:t>a</w:t>
      </w:r>
      <w:r w:rsidRPr="00CF5BC1">
        <w:rPr>
          <w:rFonts w:ascii="Tahoma" w:hAnsi="Tahoma" w:cs="Tahoma"/>
        </w:rPr>
        <w:t xml:space="preserve"> entre el 2</w:t>
      </w:r>
      <w:r w:rsidR="00431AFB" w:rsidRPr="00CF5BC1">
        <w:rPr>
          <w:rFonts w:ascii="Tahoma" w:hAnsi="Tahoma" w:cs="Tahoma"/>
        </w:rPr>
        <w:t>2</w:t>
      </w:r>
      <w:r w:rsidRPr="00CF5BC1">
        <w:rPr>
          <w:rFonts w:ascii="Tahoma" w:hAnsi="Tahoma" w:cs="Tahoma"/>
        </w:rPr>
        <w:t xml:space="preserve"> de ma</w:t>
      </w:r>
      <w:r w:rsidR="00431AFB" w:rsidRPr="00CF5BC1">
        <w:rPr>
          <w:rFonts w:ascii="Tahoma" w:hAnsi="Tahoma" w:cs="Tahoma"/>
        </w:rPr>
        <w:t>yo de 1981 y el 24 de mayo de 20</w:t>
      </w:r>
      <w:r w:rsidRPr="00CF5BC1">
        <w:rPr>
          <w:rFonts w:ascii="Tahoma" w:hAnsi="Tahoma" w:cs="Tahoma"/>
        </w:rPr>
        <w:t>08; prestación que está a cargo del Fondo Nacional de Prestaciones Sociales del Magisterio (</w:t>
      </w:r>
      <w:proofErr w:type="spellStart"/>
      <w:r w:rsidRPr="00CF5BC1">
        <w:rPr>
          <w:rFonts w:ascii="Tahoma" w:hAnsi="Tahoma" w:cs="Tahoma"/>
        </w:rPr>
        <w:t>fl</w:t>
      </w:r>
      <w:proofErr w:type="spellEnd"/>
      <w:r w:rsidRPr="00CF5BC1">
        <w:rPr>
          <w:rFonts w:ascii="Tahoma" w:hAnsi="Tahoma" w:cs="Tahoma"/>
        </w:rPr>
        <w:t>. 1</w:t>
      </w:r>
      <w:r w:rsidR="00431AFB" w:rsidRPr="00CF5BC1">
        <w:rPr>
          <w:rFonts w:ascii="Tahoma" w:hAnsi="Tahoma" w:cs="Tahoma"/>
        </w:rPr>
        <w:t xml:space="preserve">6 archivo </w:t>
      </w:r>
      <w:proofErr w:type="gramStart"/>
      <w:r w:rsidR="00431AFB" w:rsidRPr="00CF5BC1">
        <w:rPr>
          <w:rFonts w:ascii="Tahoma" w:hAnsi="Tahoma" w:cs="Tahoma"/>
        </w:rPr>
        <w:t>01.ExpedienteDigitalizado</w:t>
      </w:r>
      <w:proofErr w:type="gramEnd"/>
      <w:r w:rsidRPr="00CF5BC1">
        <w:rPr>
          <w:rFonts w:ascii="Tahoma" w:hAnsi="Tahoma" w:cs="Tahoma"/>
        </w:rPr>
        <w:t>).</w:t>
      </w:r>
    </w:p>
    <w:p w14:paraId="6CCDF70E" w14:textId="77777777" w:rsidR="0049341F" w:rsidRPr="00CF5BC1" w:rsidRDefault="0049341F" w:rsidP="00CF5BC1">
      <w:pPr>
        <w:tabs>
          <w:tab w:val="left" w:pos="748"/>
        </w:tabs>
        <w:spacing w:line="276" w:lineRule="auto"/>
        <w:ind w:firstLine="709"/>
        <w:jc w:val="both"/>
        <w:rPr>
          <w:rFonts w:ascii="Tahoma" w:hAnsi="Tahoma" w:cs="Tahoma"/>
        </w:rPr>
      </w:pPr>
    </w:p>
    <w:p w14:paraId="22DD10A8" w14:textId="47969AA7" w:rsidR="0049341F" w:rsidRPr="00CF5BC1" w:rsidRDefault="0049341F" w:rsidP="00CF5BC1">
      <w:pPr>
        <w:tabs>
          <w:tab w:val="left" w:pos="748"/>
        </w:tabs>
        <w:spacing w:line="276" w:lineRule="auto"/>
        <w:ind w:firstLine="709"/>
        <w:jc w:val="both"/>
        <w:rPr>
          <w:rFonts w:ascii="Tahoma" w:hAnsi="Tahoma" w:cs="Tahoma"/>
        </w:rPr>
      </w:pPr>
      <w:r w:rsidRPr="00CF5BC1">
        <w:rPr>
          <w:rFonts w:ascii="Tahoma" w:hAnsi="Tahoma" w:cs="Tahoma"/>
        </w:rPr>
        <w:t>2º. Que l</w:t>
      </w:r>
      <w:r w:rsidR="00431AFB" w:rsidRPr="00CF5BC1">
        <w:rPr>
          <w:rFonts w:ascii="Tahoma" w:hAnsi="Tahoma" w:cs="Tahoma"/>
        </w:rPr>
        <w:t>a</w:t>
      </w:r>
      <w:r w:rsidRPr="00CF5BC1">
        <w:rPr>
          <w:rFonts w:ascii="Tahoma" w:hAnsi="Tahoma" w:cs="Tahoma"/>
        </w:rPr>
        <w:t xml:space="preserve"> demandante también prestó sus servicios como </w:t>
      </w:r>
      <w:r w:rsidR="00431AFB" w:rsidRPr="00CF5BC1">
        <w:rPr>
          <w:rFonts w:ascii="Tahoma" w:hAnsi="Tahoma" w:cs="Tahoma"/>
        </w:rPr>
        <w:t xml:space="preserve">docente del sector privado </w:t>
      </w:r>
      <w:r w:rsidR="00F77DED" w:rsidRPr="00CF5BC1">
        <w:rPr>
          <w:rFonts w:ascii="Tahoma" w:hAnsi="Tahoma" w:cs="Tahoma"/>
        </w:rPr>
        <w:t>entre el 3 de febrero de 1987 hasta el 31 de diciembre de 1997, acumulando un total de 466,57 semanas, según se desprende de la historia que milita en el infolio.</w:t>
      </w:r>
    </w:p>
    <w:p w14:paraId="77B7DFC4" w14:textId="77777777" w:rsidR="00A563DE" w:rsidRPr="00CF5BC1" w:rsidRDefault="00A563DE" w:rsidP="00CF5BC1">
      <w:pPr>
        <w:tabs>
          <w:tab w:val="left" w:pos="748"/>
        </w:tabs>
        <w:spacing w:line="276" w:lineRule="auto"/>
        <w:ind w:firstLine="709"/>
        <w:jc w:val="both"/>
        <w:rPr>
          <w:rFonts w:ascii="Tahoma" w:hAnsi="Tahoma" w:cs="Tahoma"/>
        </w:rPr>
      </w:pPr>
    </w:p>
    <w:p w14:paraId="1E9D9935" w14:textId="64106001" w:rsidR="0049341F" w:rsidRPr="00CF5BC1" w:rsidRDefault="0049341F" w:rsidP="00CF5BC1">
      <w:pPr>
        <w:pStyle w:val="Prrafodelista"/>
        <w:numPr>
          <w:ilvl w:val="1"/>
          <w:numId w:val="6"/>
        </w:numPr>
        <w:tabs>
          <w:tab w:val="left" w:pos="567"/>
        </w:tabs>
        <w:spacing w:line="276" w:lineRule="auto"/>
        <w:ind w:left="1276"/>
        <w:jc w:val="both"/>
        <w:rPr>
          <w:rFonts w:ascii="Tahoma" w:hAnsi="Tahoma" w:cs="Tahoma"/>
          <w:b/>
        </w:rPr>
      </w:pPr>
      <w:r w:rsidRPr="00CF5BC1">
        <w:rPr>
          <w:rFonts w:ascii="Tahoma" w:hAnsi="Tahoma" w:cs="Tahoma"/>
          <w:b/>
        </w:rPr>
        <w:t>Compatibilidad de la pensión otorgada por el Magisterio y la derivada del sistema general de seguridad social</w:t>
      </w:r>
    </w:p>
    <w:p w14:paraId="634005AA" w14:textId="77777777" w:rsidR="00A563DE" w:rsidRPr="00CF5BC1" w:rsidRDefault="00A563DE" w:rsidP="00CF5BC1">
      <w:pPr>
        <w:pStyle w:val="Prrafodelista"/>
        <w:tabs>
          <w:tab w:val="left" w:pos="567"/>
        </w:tabs>
        <w:spacing w:line="276" w:lineRule="auto"/>
        <w:ind w:left="1276"/>
        <w:jc w:val="both"/>
        <w:rPr>
          <w:rFonts w:ascii="Tahoma" w:hAnsi="Tahoma" w:cs="Tahoma"/>
          <w:b/>
        </w:rPr>
      </w:pPr>
    </w:p>
    <w:p w14:paraId="0EA6B61B" w14:textId="77777777" w:rsidR="0049341F" w:rsidRPr="00CF5BC1" w:rsidRDefault="0049341F" w:rsidP="00CF5BC1">
      <w:pPr>
        <w:tabs>
          <w:tab w:val="left" w:pos="748"/>
        </w:tabs>
        <w:spacing w:line="276" w:lineRule="auto"/>
        <w:ind w:firstLine="709"/>
        <w:jc w:val="both"/>
        <w:rPr>
          <w:rFonts w:ascii="Tahoma" w:hAnsi="Tahoma" w:cs="Tahoma"/>
        </w:rPr>
      </w:pPr>
      <w:r w:rsidRPr="00CF5BC1">
        <w:rPr>
          <w:rFonts w:ascii="Tahoma" w:hAnsi="Tahoma" w:cs="Tahoma"/>
        </w:rPr>
        <w:t xml:space="preserve">Está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 en virtud de la cual pueden acceder a una </w:t>
      </w:r>
      <w:r w:rsidRPr="00CF5BC1">
        <w:rPr>
          <w:rFonts w:ascii="Tahoma" w:hAnsi="Tahoma" w:cs="Tahoma"/>
        </w:rPr>
        <w:lastRenderedPageBreak/>
        <w:t>pensión vitalicia de jubilación a cargo del Fondo Nacional de Prestaciones Sociales del Magisterio.</w:t>
      </w:r>
    </w:p>
    <w:p w14:paraId="2CA4E8AD" w14:textId="77777777" w:rsidR="0049341F" w:rsidRPr="00CF5BC1" w:rsidRDefault="0049341F" w:rsidP="00CF5BC1">
      <w:pPr>
        <w:tabs>
          <w:tab w:val="left" w:pos="748"/>
        </w:tabs>
        <w:spacing w:line="276" w:lineRule="auto"/>
        <w:ind w:firstLine="709"/>
        <w:jc w:val="both"/>
        <w:rPr>
          <w:rFonts w:ascii="Tahoma" w:hAnsi="Tahoma" w:cs="Tahoma"/>
        </w:rPr>
      </w:pPr>
    </w:p>
    <w:p w14:paraId="4D7EF789" w14:textId="77777777" w:rsidR="0049341F" w:rsidRPr="00CF5BC1" w:rsidRDefault="0049341F" w:rsidP="00CF5BC1">
      <w:pPr>
        <w:tabs>
          <w:tab w:val="left" w:pos="748"/>
        </w:tabs>
        <w:spacing w:line="276" w:lineRule="auto"/>
        <w:ind w:firstLine="709"/>
        <w:jc w:val="both"/>
        <w:rPr>
          <w:rFonts w:ascii="Tahoma" w:hAnsi="Tahoma" w:cs="Tahoma"/>
        </w:rPr>
      </w:pPr>
      <w:r w:rsidRPr="00CF5BC1">
        <w:rPr>
          <w:rFonts w:ascii="Tahoma" w:hAnsi="Tahoma" w:cs="Tahoma"/>
        </w:rPr>
        <w:t>Ahora, aquellos docentes del sector público que adicionalmente prestaron sus servicios en el sector privado y efectuaron aportes al Instituto de Seguros Sociales antes de la entrada en vigencia de la Ley 100 de 1993 y/o cotizaron al ISS o a una administradora del régimen de ahorro individual con solidaridad después de que empezó a regir el Sistema General de Pensiones, tienen derecho a derivar también de este régimen legal la pensión de vejez que allí se contempla.</w:t>
      </w:r>
    </w:p>
    <w:p w14:paraId="1AEB0F93" w14:textId="77777777" w:rsidR="0049341F" w:rsidRPr="00CF5BC1" w:rsidRDefault="0049341F" w:rsidP="00CF5BC1">
      <w:pPr>
        <w:tabs>
          <w:tab w:val="left" w:pos="748"/>
        </w:tabs>
        <w:spacing w:line="276" w:lineRule="auto"/>
        <w:ind w:firstLine="1122"/>
        <w:jc w:val="both"/>
        <w:rPr>
          <w:rFonts w:ascii="Tahoma" w:hAnsi="Tahoma" w:cs="Tahoma"/>
        </w:rPr>
      </w:pPr>
    </w:p>
    <w:p w14:paraId="46C134D9" w14:textId="77777777" w:rsidR="0049341F" w:rsidRPr="00CF5BC1" w:rsidRDefault="0049341F" w:rsidP="00CF5BC1">
      <w:pPr>
        <w:widowControl w:val="0"/>
        <w:autoSpaceDE w:val="0"/>
        <w:autoSpaceDN w:val="0"/>
        <w:adjustRightInd w:val="0"/>
        <w:spacing w:line="276" w:lineRule="auto"/>
        <w:ind w:firstLine="708"/>
        <w:jc w:val="both"/>
        <w:rPr>
          <w:rFonts w:ascii="Tahoma" w:hAnsi="Tahoma" w:cs="Tahoma"/>
        </w:rPr>
      </w:pPr>
      <w:r w:rsidRPr="00CF5BC1">
        <w:rPr>
          <w:rFonts w:ascii="Tahoma" w:hAnsi="Tahoma" w:cs="Tahoma"/>
        </w:rPr>
        <w:t xml:space="preserve">Así lo señaló esta Corporación en sentencia del 26 de enero del 2017, proferida dentro del proceso radicado con el número 2014-00682, con ponencia del Dr. Francisco Javier Tamayo Tabares, citada por la Jueza de instancia y en la que lo que respecta al tema se indicó: </w:t>
      </w:r>
    </w:p>
    <w:p w14:paraId="7D153661" w14:textId="77777777" w:rsidR="0049341F" w:rsidRPr="00CF5BC1" w:rsidRDefault="0049341F" w:rsidP="00CF5BC1">
      <w:pPr>
        <w:tabs>
          <w:tab w:val="left" w:pos="748"/>
        </w:tabs>
        <w:spacing w:line="276" w:lineRule="auto"/>
        <w:ind w:left="709" w:right="760"/>
        <w:jc w:val="both"/>
        <w:rPr>
          <w:rFonts w:ascii="Tahoma" w:hAnsi="Tahoma" w:cs="Tahoma"/>
        </w:rPr>
      </w:pPr>
    </w:p>
    <w:p w14:paraId="31D4275E" w14:textId="77777777" w:rsidR="0049341F" w:rsidRPr="0075628E" w:rsidRDefault="0049341F" w:rsidP="0075628E">
      <w:pPr>
        <w:pStyle w:val="Sinespaciado"/>
        <w:ind w:left="426" w:right="420"/>
        <w:jc w:val="both"/>
        <w:rPr>
          <w:rFonts w:ascii="Tahoma" w:hAnsi="Tahoma" w:cs="Tahoma"/>
          <w:color w:val="000000"/>
          <w:sz w:val="22"/>
        </w:rPr>
      </w:pPr>
      <w:r w:rsidRPr="0075628E">
        <w:rPr>
          <w:rFonts w:ascii="Tahoma" w:hAnsi="Tahoma" w:cs="Tahoma"/>
          <w:color w:val="000000"/>
          <w:sz w:val="22"/>
        </w:rPr>
        <w:t xml:space="preserve">“Para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“Así mismo, se exceptúan a los afiliados del Fondo Nacional de Prestaciones Sociales del Magisterio, creado por la Ley 91 de 1989, cuyas prestaciones a cargo serán compatibles con pensiones o cualquier clase de remuneración”. </w:t>
      </w:r>
    </w:p>
    <w:p w14:paraId="32F70C01" w14:textId="77777777" w:rsidR="0049341F" w:rsidRPr="0075628E" w:rsidRDefault="0049341F" w:rsidP="0075628E">
      <w:pPr>
        <w:pStyle w:val="Sinespaciado"/>
        <w:ind w:left="426" w:right="420"/>
        <w:jc w:val="both"/>
        <w:rPr>
          <w:rFonts w:ascii="Tahoma" w:hAnsi="Tahoma" w:cs="Tahoma"/>
          <w:color w:val="000000"/>
          <w:sz w:val="22"/>
        </w:rPr>
      </w:pPr>
    </w:p>
    <w:p w14:paraId="4A944772" w14:textId="77777777" w:rsidR="0049341F" w:rsidRPr="0075628E" w:rsidRDefault="0049341F" w:rsidP="0075628E">
      <w:pPr>
        <w:pStyle w:val="Sinespaciado"/>
        <w:ind w:left="426" w:right="420"/>
        <w:jc w:val="both"/>
        <w:rPr>
          <w:rFonts w:ascii="Tahoma" w:hAnsi="Tahoma" w:cs="Tahoma"/>
          <w:color w:val="000000"/>
          <w:sz w:val="22"/>
        </w:rPr>
      </w:pPr>
      <w:r w:rsidRPr="0075628E">
        <w:rPr>
          <w:rFonts w:ascii="Tahoma" w:hAnsi="Tahoma" w:cs="Tahoma"/>
          <w:color w:val="000000"/>
          <w:sz w:val="22"/>
        </w:rPr>
        <w:t xml:space="preserve">Este preliminar análisis normativo, permite concluir que los docentes del sector público pueden acceder a las prestaciones económicas, tanto, dentro de ese especial modelo pensional –pensión de jubilación y pensión gracia-, como en el modelo general del Sistema Integral de la Ley 100 de 1993 –pensión de vejez o indemnización sustitutiva-, estableciéndose entonces una regla de compatibilidad. </w:t>
      </w:r>
    </w:p>
    <w:p w14:paraId="3585CC63" w14:textId="77777777" w:rsidR="0049341F" w:rsidRPr="0075628E" w:rsidRDefault="0049341F" w:rsidP="0075628E">
      <w:pPr>
        <w:pStyle w:val="Sinespaciado"/>
        <w:ind w:left="426" w:right="420"/>
        <w:jc w:val="both"/>
        <w:rPr>
          <w:rFonts w:ascii="Tahoma" w:hAnsi="Tahoma" w:cs="Tahoma"/>
          <w:color w:val="000000"/>
          <w:sz w:val="22"/>
        </w:rPr>
      </w:pPr>
    </w:p>
    <w:p w14:paraId="68FEC1FC" w14:textId="77777777" w:rsidR="0049341F" w:rsidRPr="0075628E" w:rsidRDefault="0049341F" w:rsidP="0075628E">
      <w:pPr>
        <w:pStyle w:val="Sinespaciado"/>
        <w:ind w:left="426" w:right="420"/>
        <w:jc w:val="both"/>
        <w:rPr>
          <w:rFonts w:ascii="Tahoma" w:hAnsi="Tahoma" w:cs="Tahoma"/>
          <w:color w:val="000000"/>
          <w:sz w:val="22"/>
        </w:rPr>
      </w:pPr>
      <w:r w:rsidRPr="0075628E">
        <w:rPr>
          <w:rFonts w:ascii="Tahoma" w:hAnsi="Tahoma" w:cs="Tahoma"/>
          <w:color w:val="000000"/>
          <w:sz w:val="22"/>
        </w:rPr>
        <w:t>Posteriormente, con la entrada en vigencia de la Ley 812 de 2003, en especial su artículo 81, el régimen pensional del Magisterio dejó de ser exceptuado y pasó a ser parte del Sistema General de Pensiones implementado por la Ley 100 de 1993, para aquellos docentes que se vincularon al sector público con posterioridad al cambio legislativo -27 de junio de 2003-, según lo dispuso el Parágrafo Transitorio 1º, adicionado por el Art. 1º del Acto Legislativo 01 de 2005, que le dio vigencia hasta el 31 de julio de 2010.</w:t>
      </w:r>
    </w:p>
    <w:p w14:paraId="1064E074" w14:textId="77777777" w:rsidR="0049341F" w:rsidRPr="0075628E" w:rsidRDefault="0049341F" w:rsidP="0075628E">
      <w:pPr>
        <w:pStyle w:val="Sinespaciado"/>
        <w:ind w:left="426" w:right="420"/>
        <w:jc w:val="both"/>
        <w:rPr>
          <w:rFonts w:ascii="Tahoma" w:hAnsi="Tahoma" w:cs="Tahoma"/>
          <w:color w:val="000000"/>
          <w:sz w:val="22"/>
        </w:rPr>
      </w:pPr>
    </w:p>
    <w:p w14:paraId="090377F1" w14:textId="15E8BB3A" w:rsidR="0049341F" w:rsidRPr="0075628E" w:rsidRDefault="0049341F" w:rsidP="0075628E">
      <w:pPr>
        <w:pStyle w:val="Sinespaciado"/>
        <w:ind w:left="426" w:right="420"/>
        <w:jc w:val="both"/>
        <w:rPr>
          <w:rFonts w:ascii="Tahoma" w:hAnsi="Tahoma" w:cs="Tahoma"/>
          <w:color w:val="000000"/>
          <w:sz w:val="22"/>
        </w:rPr>
      </w:pPr>
      <w:r w:rsidRPr="0075628E">
        <w:rPr>
          <w:rFonts w:ascii="Tahoma" w:hAnsi="Tahoma" w:cs="Tahoma"/>
          <w:color w:val="000000"/>
          <w:sz w:val="22"/>
        </w:rPr>
        <w:t xml:space="preserve">Ello en la medida en que dichos cuerpos normativos, dejaron indemnes las disposiciones de la Ley 100 de 1993, sobre la materia, a los docentes nacionales, nacionalizados y territoriales, cuya vinculación data con anterioridad </w:t>
      </w:r>
      <w:r w:rsidR="00226B30" w:rsidRPr="0075628E">
        <w:rPr>
          <w:rFonts w:ascii="Tahoma" w:hAnsi="Tahoma" w:cs="Tahoma"/>
          <w:color w:val="000000"/>
          <w:sz w:val="22"/>
        </w:rPr>
        <w:t>al 27</w:t>
      </w:r>
      <w:r w:rsidRPr="0075628E">
        <w:rPr>
          <w:rFonts w:ascii="Tahoma" w:hAnsi="Tahoma" w:cs="Tahoma"/>
          <w:color w:val="000000"/>
          <w:sz w:val="22"/>
        </w:rPr>
        <w:t xml:space="preserve"> de junio de 2003, de modo que, para aquellos se mantiene el régimen exceptuado de la Ley 100 de 1993, conservándose para los mismos el sistema pensional previsto en la Ley 91 de 1989.</w:t>
      </w:r>
    </w:p>
    <w:p w14:paraId="651D1C0F" w14:textId="77777777" w:rsidR="0049341F" w:rsidRPr="0075628E" w:rsidRDefault="0049341F" w:rsidP="0075628E">
      <w:pPr>
        <w:pStyle w:val="Sinespaciado"/>
        <w:ind w:left="426" w:right="420"/>
        <w:jc w:val="both"/>
        <w:rPr>
          <w:rFonts w:ascii="Tahoma" w:hAnsi="Tahoma" w:cs="Tahoma"/>
          <w:color w:val="000000"/>
          <w:sz w:val="22"/>
        </w:rPr>
      </w:pPr>
      <w:r w:rsidRPr="0075628E">
        <w:rPr>
          <w:rFonts w:ascii="Tahoma" w:hAnsi="Tahoma" w:cs="Tahoma"/>
          <w:color w:val="000000"/>
          <w:sz w:val="22"/>
        </w:rPr>
        <w:tab/>
      </w:r>
    </w:p>
    <w:p w14:paraId="28CA5E8A" w14:textId="77777777" w:rsidR="0049341F" w:rsidRPr="0075628E" w:rsidRDefault="0049341F" w:rsidP="0075628E">
      <w:pPr>
        <w:pStyle w:val="Sinespaciado"/>
        <w:ind w:left="426" w:right="420"/>
        <w:jc w:val="both"/>
        <w:rPr>
          <w:rFonts w:ascii="Tahoma" w:hAnsi="Tahoma" w:cs="Tahoma"/>
          <w:color w:val="000000"/>
          <w:sz w:val="22"/>
        </w:rPr>
      </w:pPr>
      <w:r w:rsidRPr="0075628E">
        <w:rPr>
          <w:rFonts w:ascii="Tahoma" w:hAnsi="Tahoma" w:cs="Tahoma"/>
          <w:color w:val="000000"/>
          <w:sz w:val="22"/>
        </w:rPr>
        <w:t>Dada esa posibilidad de prestación coetánea de servicios como docente para el Estado, con vinculación anterior al 27 de junio de 2003, y para particulares, se abre la senda para que simultáneamente se hagan aportes al ISS,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cada una cuenta con recursos propios para su financiación.”</w:t>
      </w:r>
    </w:p>
    <w:p w14:paraId="17D4CB09" w14:textId="77777777" w:rsidR="00A563DE" w:rsidRPr="0075628E" w:rsidRDefault="00A563DE" w:rsidP="00CF5BC1">
      <w:pPr>
        <w:pStyle w:val="Sinespaciado"/>
        <w:spacing w:line="276" w:lineRule="auto"/>
        <w:ind w:left="709" w:right="335"/>
        <w:jc w:val="both"/>
        <w:rPr>
          <w:rFonts w:ascii="Tahoma" w:hAnsi="Tahoma" w:cs="Tahoma"/>
          <w:color w:val="000000"/>
        </w:rPr>
      </w:pPr>
    </w:p>
    <w:p w14:paraId="00B3FB22" w14:textId="2E6EBE15" w:rsidR="0049341F" w:rsidRPr="00CF5BC1" w:rsidRDefault="0049341F" w:rsidP="00CF5BC1">
      <w:pPr>
        <w:numPr>
          <w:ilvl w:val="1"/>
          <w:numId w:val="6"/>
        </w:numPr>
        <w:tabs>
          <w:tab w:val="left" w:pos="567"/>
        </w:tabs>
        <w:spacing w:line="276" w:lineRule="auto"/>
        <w:ind w:hanging="371"/>
        <w:jc w:val="both"/>
        <w:rPr>
          <w:rFonts w:ascii="Tahoma" w:hAnsi="Tahoma" w:cs="Tahoma"/>
          <w:b/>
        </w:rPr>
      </w:pPr>
      <w:r w:rsidRPr="00CF5BC1">
        <w:rPr>
          <w:rFonts w:ascii="Tahoma" w:hAnsi="Tahoma" w:cs="Tahoma"/>
          <w:b/>
        </w:rPr>
        <w:t xml:space="preserve"> Caso Concreto</w:t>
      </w:r>
    </w:p>
    <w:p w14:paraId="13B5FA88" w14:textId="77777777" w:rsidR="0049341F" w:rsidRPr="00CF5BC1" w:rsidRDefault="0049341F" w:rsidP="00CF5BC1">
      <w:pPr>
        <w:tabs>
          <w:tab w:val="left" w:pos="567"/>
        </w:tabs>
        <w:spacing w:line="276" w:lineRule="auto"/>
        <w:jc w:val="both"/>
        <w:rPr>
          <w:rFonts w:ascii="Tahoma" w:hAnsi="Tahoma" w:cs="Tahoma"/>
        </w:rPr>
      </w:pPr>
    </w:p>
    <w:p w14:paraId="4758E935" w14:textId="5D225552" w:rsidR="0049341F" w:rsidRPr="00CF5BC1" w:rsidRDefault="0049341F" w:rsidP="00CF5BC1">
      <w:pPr>
        <w:tabs>
          <w:tab w:val="left" w:pos="748"/>
        </w:tabs>
        <w:spacing w:line="276" w:lineRule="auto"/>
        <w:ind w:firstLine="709"/>
        <w:jc w:val="both"/>
        <w:rPr>
          <w:rFonts w:ascii="Tahoma" w:hAnsi="Tahoma" w:cs="Tahoma"/>
        </w:rPr>
      </w:pPr>
      <w:r w:rsidRPr="00CF5BC1">
        <w:rPr>
          <w:rFonts w:ascii="Tahoma" w:hAnsi="Tahoma" w:cs="Tahoma"/>
        </w:rPr>
        <w:lastRenderedPageBreak/>
        <w:t>Descendiendo al caso concreto, tenemos que l</w:t>
      </w:r>
      <w:r w:rsidR="00F77DED" w:rsidRPr="00CF5BC1">
        <w:rPr>
          <w:rFonts w:ascii="Tahoma" w:hAnsi="Tahoma" w:cs="Tahoma"/>
        </w:rPr>
        <w:t>a</w:t>
      </w:r>
      <w:r w:rsidRPr="00CF5BC1">
        <w:rPr>
          <w:rFonts w:ascii="Tahoma" w:hAnsi="Tahoma" w:cs="Tahoma"/>
        </w:rPr>
        <w:t xml:space="preserve"> señor</w:t>
      </w:r>
      <w:r w:rsidR="00F77DED" w:rsidRPr="00CF5BC1">
        <w:rPr>
          <w:rFonts w:ascii="Tahoma" w:hAnsi="Tahoma" w:cs="Tahoma"/>
        </w:rPr>
        <w:t>a</w:t>
      </w:r>
      <w:r w:rsidRPr="00CF5BC1">
        <w:rPr>
          <w:rFonts w:ascii="Tahoma" w:hAnsi="Tahoma" w:cs="Tahoma"/>
        </w:rPr>
        <w:t xml:space="preserve"> </w:t>
      </w:r>
      <w:r w:rsidR="00F77DED" w:rsidRPr="00CF5BC1">
        <w:rPr>
          <w:rFonts w:ascii="Tahoma" w:hAnsi="Tahoma" w:cs="Tahoma"/>
        </w:rPr>
        <w:t xml:space="preserve">María Auxiliadora </w:t>
      </w:r>
      <w:r w:rsidR="00226B30" w:rsidRPr="00CF5BC1">
        <w:rPr>
          <w:rFonts w:ascii="Tahoma" w:hAnsi="Tahoma" w:cs="Tahoma"/>
        </w:rPr>
        <w:t>Orcasitas i</w:t>
      </w:r>
      <w:r w:rsidRPr="00CF5BC1">
        <w:rPr>
          <w:rFonts w:ascii="Tahoma" w:hAnsi="Tahoma" w:cs="Tahoma"/>
          <w:i/>
        </w:rPr>
        <w:t>)</w:t>
      </w:r>
      <w:r w:rsidRPr="00CF5BC1">
        <w:rPr>
          <w:rFonts w:ascii="Tahoma" w:hAnsi="Tahoma" w:cs="Tahoma"/>
        </w:rPr>
        <w:t xml:space="preserve"> se vinculó al Magisterio antes de la entrada en vigencia de la Ley 812 de 2003 y, </w:t>
      </w:r>
      <w:r w:rsidRPr="00CF5BC1">
        <w:rPr>
          <w:rFonts w:ascii="Tahoma" w:hAnsi="Tahoma" w:cs="Tahoma"/>
          <w:i/>
        </w:rPr>
        <w:t>ii)</w:t>
      </w:r>
      <w:r w:rsidRPr="00CF5BC1">
        <w:rPr>
          <w:rFonts w:ascii="Tahoma" w:hAnsi="Tahoma" w:cs="Tahoma"/>
        </w:rPr>
        <w:t xml:space="preserve"> prestó sus servicios al sector privado</w:t>
      </w:r>
      <w:r w:rsidR="00F77DED" w:rsidRPr="00CF5BC1">
        <w:rPr>
          <w:rFonts w:ascii="Tahoma" w:hAnsi="Tahoma" w:cs="Tahoma"/>
        </w:rPr>
        <w:t xml:space="preserve">, cotizando </w:t>
      </w:r>
      <w:r w:rsidRPr="00CF5BC1">
        <w:rPr>
          <w:rFonts w:ascii="Tahoma" w:hAnsi="Tahoma" w:cs="Tahoma"/>
        </w:rPr>
        <w:t>al régimen de prima media administrado por el I.S.S. un total de 4</w:t>
      </w:r>
      <w:r w:rsidR="00F77DED" w:rsidRPr="00CF5BC1">
        <w:rPr>
          <w:rFonts w:ascii="Tahoma" w:hAnsi="Tahoma" w:cs="Tahoma"/>
        </w:rPr>
        <w:t>66,57</w:t>
      </w:r>
      <w:r w:rsidRPr="00CF5BC1">
        <w:rPr>
          <w:rFonts w:ascii="Tahoma" w:hAnsi="Tahoma" w:cs="Tahoma"/>
        </w:rPr>
        <w:t xml:space="preserve"> semanas.</w:t>
      </w:r>
    </w:p>
    <w:p w14:paraId="38F76544" w14:textId="77777777" w:rsidR="0049341F" w:rsidRPr="00CF5BC1" w:rsidRDefault="0049341F" w:rsidP="00CF5BC1">
      <w:pPr>
        <w:tabs>
          <w:tab w:val="left" w:pos="748"/>
        </w:tabs>
        <w:spacing w:line="276" w:lineRule="auto"/>
        <w:ind w:firstLine="709"/>
        <w:jc w:val="both"/>
        <w:rPr>
          <w:rFonts w:ascii="Tahoma" w:hAnsi="Tahoma" w:cs="Tahoma"/>
        </w:rPr>
      </w:pPr>
    </w:p>
    <w:p w14:paraId="05F4BD1F" w14:textId="12C57A8E" w:rsidR="0049341F" w:rsidRPr="00CF5BC1" w:rsidRDefault="0049341F" w:rsidP="00CF5BC1">
      <w:pPr>
        <w:pStyle w:val="Sinespaciado"/>
        <w:spacing w:line="276" w:lineRule="auto"/>
        <w:ind w:firstLine="709"/>
        <w:jc w:val="both"/>
        <w:rPr>
          <w:rFonts w:ascii="Tahoma" w:hAnsi="Tahoma" w:cs="Tahoma"/>
        </w:rPr>
      </w:pPr>
      <w:r w:rsidRPr="00CF5BC1">
        <w:rPr>
          <w:rFonts w:ascii="Tahoma" w:hAnsi="Tahoma" w:cs="Tahoma"/>
        </w:rPr>
        <w:t xml:space="preserve">En ese orden de ideas, </w:t>
      </w:r>
      <w:r w:rsidR="0024427E" w:rsidRPr="00CF5BC1">
        <w:rPr>
          <w:rFonts w:ascii="Tahoma" w:hAnsi="Tahoma" w:cs="Tahoma"/>
        </w:rPr>
        <w:t xml:space="preserve">contrario a lo planteado por Colpensiones en la alzada, resulta palmario </w:t>
      </w:r>
      <w:r w:rsidR="00A563DE" w:rsidRPr="00CF5BC1">
        <w:rPr>
          <w:rFonts w:ascii="Tahoma" w:hAnsi="Tahoma" w:cs="Tahoma"/>
        </w:rPr>
        <w:t xml:space="preserve">que </w:t>
      </w:r>
      <w:r w:rsidRPr="00CF5BC1">
        <w:rPr>
          <w:rFonts w:ascii="Tahoma" w:hAnsi="Tahoma" w:cs="Tahoma"/>
        </w:rPr>
        <w:t>l</w:t>
      </w:r>
      <w:r w:rsidR="00F77DED" w:rsidRPr="00CF5BC1">
        <w:rPr>
          <w:rFonts w:ascii="Tahoma" w:hAnsi="Tahoma" w:cs="Tahoma"/>
        </w:rPr>
        <w:t>a</w:t>
      </w:r>
      <w:r w:rsidRPr="00CF5BC1">
        <w:rPr>
          <w:rFonts w:ascii="Tahoma" w:hAnsi="Tahoma" w:cs="Tahoma"/>
        </w:rPr>
        <w:t xml:space="preserve"> demandante tenía derecho a que, además de la pensión de jubilación que le otorgó el Fondo Nacional de Prestaciones del Magisterio por sus servicios en el sector público, le fuera reconocida la </w:t>
      </w:r>
      <w:r w:rsidR="00F77DED" w:rsidRPr="00CF5BC1">
        <w:rPr>
          <w:rFonts w:ascii="Tahoma" w:hAnsi="Tahoma" w:cs="Tahoma"/>
        </w:rPr>
        <w:t xml:space="preserve">indemnización sustitutiva de la </w:t>
      </w:r>
      <w:r w:rsidRPr="00CF5BC1">
        <w:rPr>
          <w:rFonts w:ascii="Tahoma" w:hAnsi="Tahoma" w:cs="Tahoma"/>
        </w:rPr>
        <w:t xml:space="preserve">pensión de vejez derivada del Sistema General de Seguridad Social en Pensiones, bien fuera en el régimen de prima media o en el de ahorro individual, en caso de haber efectuado a uno u otro las cotizaciones suficientes como docente del sector privado. </w:t>
      </w:r>
    </w:p>
    <w:p w14:paraId="3FEC1075" w14:textId="5E4028C0" w:rsidR="0024427E" w:rsidRPr="00CF5BC1" w:rsidRDefault="0024427E" w:rsidP="00CF5BC1">
      <w:pPr>
        <w:pStyle w:val="Sinespaciado"/>
        <w:spacing w:line="276" w:lineRule="auto"/>
        <w:ind w:firstLine="709"/>
        <w:jc w:val="both"/>
        <w:rPr>
          <w:rFonts w:ascii="Tahoma" w:hAnsi="Tahoma" w:cs="Tahoma"/>
        </w:rPr>
      </w:pPr>
    </w:p>
    <w:p w14:paraId="5E683C31" w14:textId="4F3F618B" w:rsidR="0024427E" w:rsidRPr="00CF5BC1" w:rsidRDefault="0024427E" w:rsidP="00CF5BC1">
      <w:pPr>
        <w:pStyle w:val="Sinespaciado"/>
        <w:spacing w:line="276" w:lineRule="auto"/>
        <w:ind w:firstLine="709"/>
        <w:jc w:val="both"/>
        <w:rPr>
          <w:rFonts w:ascii="Tahoma" w:hAnsi="Tahoma" w:cs="Tahoma"/>
        </w:rPr>
      </w:pPr>
      <w:r w:rsidRPr="00CF5BC1">
        <w:rPr>
          <w:rFonts w:ascii="Tahoma" w:hAnsi="Tahoma" w:cs="Tahoma"/>
        </w:rPr>
        <w:t xml:space="preserve">Despejado lo anterior, dado que el togado de la gestora de la litis planteó su inconformidad frente a la liquidación desplegada por el juzgado de conocimiento, la Sala procedió a calcular dicho emolumento con fundamento en los salarios plasmados en la historia laboral incorporada al expediente digital (archivo 02ExpdAdtivoeHLCDfl46), tomando como fecha de reconocimiento aquella en la se presentó la reclamación administrativa ante Colpensiones, esto es, el 8 de abril de 2015, lo cual arrojó un total de </w:t>
      </w:r>
      <w:r w:rsidRPr="00CF5BC1">
        <w:rPr>
          <w:rFonts w:ascii="Tahoma" w:hAnsi="Tahoma" w:cs="Tahoma"/>
          <w:b/>
          <w:bCs/>
        </w:rPr>
        <w:t>$14.793.429,2</w:t>
      </w:r>
      <w:r w:rsidRPr="00CF5BC1">
        <w:rPr>
          <w:rFonts w:ascii="Tahoma" w:hAnsi="Tahoma" w:cs="Tahoma"/>
        </w:rPr>
        <w:t>, tal como se percibe en la siguiente tabla.</w:t>
      </w:r>
    </w:p>
    <w:p w14:paraId="09486DD3" w14:textId="77777777" w:rsidR="00274FFD" w:rsidRPr="009C7614" w:rsidRDefault="00274FFD" w:rsidP="00274FFD">
      <w:pPr>
        <w:overflowPunct w:val="0"/>
        <w:autoSpaceDE w:val="0"/>
        <w:autoSpaceDN w:val="0"/>
        <w:adjustRightInd w:val="0"/>
        <w:spacing w:line="360" w:lineRule="auto"/>
        <w:ind w:right="193"/>
        <w:jc w:val="both"/>
        <w:textAlignment w:val="baseline"/>
        <w:rPr>
          <w:rFonts w:ascii="Tahoma" w:hAnsi="Tahoma" w:cs="Tahoma"/>
        </w:rPr>
      </w:pPr>
    </w:p>
    <w:tbl>
      <w:tblPr>
        <w:tblW w:w="9777" w:type="dxa"/>
        <w:tblCellMar>
          <w:left w:w="70" w:type="dxa"/>
          <w:right w:w="70" w:type="dxa"/>
        </w:tblCellMar>
        <w:tblLook w:val="04A0" w:firstRow="1" w:lastRow="0" w:firstColumn="1" w:lastColumn="0" w:noHBand="0" w:noVBand="1"/>
      </w:tblPr>
      <w:tblGrid>
        <w:gridCol w:w="438"/>
        <w:gridCol w:w="384"/>
        <w:gridCol w:w="334"/>
        <w:gridCol w:w="451"/>
        <w:gridCol w:w="451"/>
        <w:gridCol w:w="403"/>
        <w:gridCol w:w="425"/>
        <w:gridCol w:w="694"/>
        <w:gridCol w:w="1086"/>
        <w:gridCol w:w="874"/>
        <w:gridCol w:w="1034"/>
        <w:gridCol w:w="503"/>
        <w:gridCol w:w="585"/>
        <w:gridCol w:w="1034"/>
        <w:gridCol w:w="1081"/>
      </w:tblGrid>
      <w:tr w:rsidR="00274FFD" w:rsidRPr="0049341F" w14:paraId="77FB1230" w14:textId="77777777" w:rsidTr="00372C4F">
        <w:trPr>
          <w:trHeight w:val="320"/>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3AA9ED9A"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single" w:sz="8" w:space="0" w:color="auto"/>
              <w:left w:val="nil"/>
              <w:bottom w:val="single" w:sz="8" w:space="0" w:color="auto"/>
              <w:right w:val="nil"/>
            </w:tcBorders>
            <w:shd w:val="clear" w:color="auto" w:fill="auto"/>
            <w:noWrap/>
            <w:vAlign w:val="center"/>
            <w:hideMark/>
          </w:tcPr>
          <w:p w14:paraId="240CFE65"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single" w:sz="8" w:space="0" w:color="auto"/>
              <w:left w:val="nil"/>
              <w:bottom w:val="single" w:sz="8" w:space="0" w:color="auto"/>
              <w:right w:val="nil"/>
            </w:tcBorders>
            <w:shd w:val="clear" w:color="auto" w:fill="auto"/>
            <w:noWrap/>
            <w:vAlign w:val="center"/>
            <w:hideMark/>
          </w:tcPr>
          <w:p w14:paraId="21882D2E"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single" w:sz="8" w:space="0" w:color="auto"/>
              <w:left w:val="nil"/>
              <w:bottom w:val="single" w:sz="8" w:space="0" w:color="auto"/>
              <w:right w:val="nil"/>
            </w:tcBorders>
            <w:shd w:val="clear" w:color="auto" w:fill="auto"/>
            <w:noWrap/>
            <w:vAlign w:val="center"/>
            <w:hideMark/>
          </w:tcPr>
          <w:p w14:paraId="0039F1F1"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single" w:sz="8" w:space="0" w:color="auto"/>
              <w:left w:val="nil"/>
              <w:bottom w:val="single" w:sz="8" w:space="0" w:color="auto"/>
              <w:right w:val="nil"/>
            </w:tcBorders>
            <w:shd w:val="clear" w:color="auto" w:fill="auto"/>
            <w:noWrap/>
            <w:vAlign w:val="center"/>
            <w:hideMark/>
          </w:tcPr>
          <w:p w14:paraId="4A034ED1"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single" w:sz="8" w:space="0" w:color="auto"/>
              <w:left w:val="nil"/>
              <w:bottom w:val="single" w:sz="8" w:space="0" w:color="auto"/>
              <w:right w:val="nil"/>
            </w:tcBorders>
            <w:shd w:val="clear" w:color="auto" w:fill="auto"/>
            <w:noWrap/>
            <w:vAlign w:val="center"/>
            <w:hideMark/>
          </w:tcPr>
          <w:p w14:paraId="7BF37E77"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w:t>
            </w:r>
          </w:p>
        </w:tc>
        <w:tc>
          <w:tcPr>
            <w:tcW w:w="5191"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747A1F4"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FECHA EN DONDE SE RECLAMA LA INDEMNIZACIÓN (Año/Mes</w:t>
            </w:r>
            <w:proofErr w:type="gramStart"/>
            <w:r w:rsidRPr="0049341F">
              <w:rPr>
                <w:rFonts w:ascii="Arial Narrow" w:hAnsi="Arial Narrow" w:cs="Calibri"/>
                <w:b/>
                <w:bCs/>
                <w:sz w:val="15"/>
                <w:szCs w:val="15"/>
              </w:rPr>
              <w:t>) :</w:t>
            </w:r>
            <w:proofErr w:type="gram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21CD7E6"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AÑO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7934641"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*MES</w:t>
            </w:r>
          </w:p>
        </w:tc>
      </w:tr>
      <w:tr w:rsidR="00274FFD" w:rsidRPr="0049341F" w14:paraId="73CAE940" w14:textId="77777777" w:rsidTr="00372C4F">
        <w:trPr>
          <w:trHeight w:val="320"/>
        </w:trPr>
        <w:tc>
          <w:tcPr>
            <w:tcW w:w="0" w:type="auto"/>
            <w:gridSpan w:val="6"/>
            <w:tcBorders>
              <w:top w:val="single" w:sz="8" w:space="0" w:color="auto"/>
              <w:left w:val="single" w:sz="8" w:space="0" w:color="auto"/>
              <w:bottom w:val="single" w:sz="8" w:space="0" w:color="auto"/>
              <w:right w:val="nil"/>
            </w:tcBorders>
            <w:shd w:val="clear" w:color="000000" w:fill="595959"/>
            <w:noWrap/>
            <w:vAlign w:val="center"/>
            <w:hideMark/>
          </w:tcPr>
          <w:p w14:paraId="75F5AED3" w14:textId="77777777" w:rsidR="00274FFD" w:rsidRPr="0049341F" w:rsidRDefault="00274FFD" w:rsidP="00274FFD">
            <w:pPr>
              <w:jc w:val="center"/>
              <w:rPr>
                <w:rFonts w:ascii="Arial Narrow" w:hAnsi="Arial Narrow" w:cs="Calibri"/>
                <w:b/>
                <w:bCs/>
                <w:color w:val="FFFFFF"/>
                <w:sz w:val="15"/>
                <w:szCs w:val="15"/>
              </w:rPr>
            </w:pPr>
            <w:r w:rsidRPr="0049341F">
              <w:rPr>
                <w:rFonts w:ascii="Arial Narrow" w:hAnsi="Arial Narrow" w:cs="Calibri"/>
                <w:b/>
                <w:bCs/>
                <w:color w:val="FFFFFF"/>
                <w:sz w:val="15"/>
                <w:szCs w:val="15"/>
              </w:rPr>
              <w:t>PERIODOS DE COTIZACIONES</w:t>
            </w:r>
          </w:p>
        </w:tc>
        <w:tc>
          <w:tcPr>
            <w:tcW w:w="5191" w:type="dxa"/>
            <w:gridSpan w:val="7"/>
            <w:vMerge/>
            <w:tcBorders>
              <w:top w:val="single" w:sz="8" w:space="0" w:color="auto"/>
              <w:left w:val="single" w:sz="8" w:space="0" w:color="auto"/>
              <w:bottom w:val="single" w:sz="8" w:space="0" w:color="000000"/>
              <w:right w:val="single" w:sz="8" w:space="0" w:color="000000"/>
            </w:tcBorders>
            <w:vAlign w:val="center"/>
            <w:hideMark/>
          </w:tcPr>
          <w:p w14:paraId="6D40CA5D" w14:textId="77777777" w:rsidR="00274FFD" w:rsidRPr="0049341F" w:rsidRDefault="00274FFD" w:rsidP="00274FFD">
            <w:pPr>
              <w:rPr>
                <w:rFonts w:ascii="Arial Narrow" w:hAnsi="Arial Narrow" w:cs="Calibri"/>
                <w:b/>
                <w:bCs/>
                <w:sz w:val="15"/>
                <w:szCs w:val="15"/>
              </w:rPr>
            </w:pPr>
          </w:p>
        </w:tc>
        <w:tc>
          <w:tcPr>
            <w:tcW w:w="0" w:type="auto"/>
            <w:tcBorders>
              <w:top w:val="nil"/>
              <w:left w:val="nil"/>
              <w:bottom w:val="single" w:sz="8" w:space="0" w:color="auto"/>
              <w:right w:val="single" w:sz="8" w:space="0" w:color="auto"/>
            </w:tcBorders>
            <w:shd w:val="clear" w:color="auto" w:fill="auto"/>
            <w:noWrap/>
            <w:vAlign w:val="center"/>
            <w:hideMark/>
          </w:tcPr>
          <w:p w14:paraId="69A03969"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2015</w:t>
            </w:r>
          </w:p>
        </w:tc>
        <w:tc>
          <w:tcPr>
            <w:tcW w:w="0" w:type="auto"/>
            <w:tcBorders>
              <w:top w:val="nil"/>
              <w:left w:val="nil"/>
              <w:bottom w:val="single" w:sz="8" w:space="0" w:color="auto"/>
              <w:right w:val="single" w:sz="8" w:space="0" w:color="auto"/>
            </w:tcBorders>
            <w:shd w:val="clear" w:color="auto" w:fill="auto"/>
            <w:noWrap/>
            <w:vAlign w:val="center"/>
            <w:hideMark/>
          </w:tcPr>
          <w:p w14:paraId="42C75313"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04</w:t>
            </w:r>
          </w:p>
        </w:tc>
      </w:tr>
      <w:tr w:rsidR="00274FFD" w:rsidRPr="0049341F" w14:paraId="5FCB67AE" w14:textId="77777777" w:rsidTr="00372C4F">
        <w:trPr>
          <w:trHeight w:val="315"/>
        </w:trPr>
        <w:tc>
          <w:tcPr>
            <w:tcW w:w="0" w:type="auto"/>
            <w:gridSpan w:val="3"/>
            <w:tcBorders>
              <w:top w:val="nil"/>
              <w:left w:val="single" w:sz="8" w:space="0" w:color="auto"/>
              <w:bottom w:val="nil"/>
              <w:right w:val="single" w:sz="8" w:space="0" w:color="000000"/>
            </w:tcBorders>
            <w:shd w:val="clear" w:color="000000" w:fill="595959"/>
            <w:noWrap/>
            <w:vAlign w:val="center"/>
            <w:hideMark/>
          </w:tcPr>
          <w:p w14:paraId="4A6324ED" w14:textId="77777777" w:rsidR="00274FFD" w:rsidRPr="0049341F" w:rsidRDefault="00274FFD" w:rsidP="00274FFD">
            <w:pPr>
              <w:jc w:val="center"/>
              <w:rPr>
                <w:rFonts w:ascii="Arial Narrow" w:hAnsi="Arial Narrow" w:cs="Calibri"/>
                <w:b/>
                <w:bCs/>
                <w:color w:val="FFFFFF"/>
                <w:sz w:val="15"/>
                <w:szCs w:val="15"/>
              </w:rPr>
            </w:pPr>
            <w:r w:rsidRPr="0049341F">
              <w:rPr>
                <w:rFonts w:ascii="Arial Narrow" w:hAnsi="Arial Narrow" w:cs="Calibri"/>
                <w:b/>
                <w:bCs/>
                <w:color w:val="FFFFFF"/>
                <w:sz w:val="15"/>
                <w:szCs w:val="15"/>
              </w:rPr>
              <w:t>DESDE</w:t>
            </w:r>
          </w:p>
        </w:tc>
        <w:tc>
          <w:tcPr>
            <w:tcW w:w="0" w:type="auto"/>
            <w:gridSpan w:val="3"/>
            <w:tcBorders>
              <w:top w:val="nil"/>
              <w:left w:val="nil"/>
              <w:bottom w:val="nil"/>
              <w:right w:val="nil"/>
            </w:tcBorders>
            <w:shd w:val="clear" w:color="000000" w:fill="595959"/>
            <w:noWrap/>
            <w:vAlign w:val="center"/>
            <w:hideMark/>
          </w:tcPr>
          <w:p w14:paraId="588C687F" w14:textId="77777777" w:rsidR="00274FFD" w:rsidRPr="0049341F" w:rsidRDefault="00274FFD" w:rsidP="00274FFD">
            <w:pPr>
              <w:jc w:val="center"/>
              <w:rPr>
                <w:rFonts w:ascii="Arial Narrow" w:hAnsi="Arial Narrow" w:cs="Calibri"/>
                <w:b/>
                <w:bCs/>
                <w:color w:val="FFFFFF"/>
                <w:sz w:val="15"/>
                <w:szCs w:val="15"/>
              </w:rPr>
            </w:pPr>
            <w:r w:rsidRPr="0049341F">
              <w:rPr>
                <w:rFonts w:ascii="Arial Narrow" w:hAnsi="Arial Narrow" w:cs="Calibri"/>
                <w:b/>
                <w:bCs/>
                <w:color w:val="FFFFFF"/>
                <w:sz w:val="15"/>
                <w:szCs w:val="15"/>
              </w:rPr>
              <w:t>HASTA</w:t>
            </w:r>
          </w:p>
        </w:tc>
        <w:tc>
          <w:tcPr>
            <w:tcW w:w="0" w:type="auto"/>
            <w:tcBorders>
              <w:top w:val="nil"/>
              <w:left w:val="nil"/>
              <w:bottom w:val="nil"/>
              <w:right w:val="nil"/>
            </w:tcBorders>
            <w:shd w:val="clear" w:color="auto" w:fill="auto"/>
            <w:noWrap/>
            <w:vAlign w:val="center"/>
            <w:hideMark/>
          </w:tcPr>
          <w:p w14:paraId="1D91A628" w14:textId="77777777" w:rsidR="00274FFD" w:rsidRPr="0049341F" w:rsidRDefault="00274FFD" w:rsidP="00274FFD">
            <w:pPr>
              <w:jc w:val="center"/>
              <w:rPr>
                <w:rFonts w:ascii="Arial Narrow" w:hAnsi="Arial Narrow" w:cs="Calibri"/>
                <w:b/>
                <w:bCs/>
                <w:color w:val="FFFFFF"/>
                <w:sz w:val="15"/>
                <w:szCs w:val="15"/>
              </w:rPr>
            </w:pPr>
          </w:p>
        </w:tc>
        <w:tc>
          <w:tcPr>
            <w:tcW w:w="0" w:type="auto"/>
            <w:tcBorders>
              <w:top w:val="nil"/>
              <w:left w:val="nil"/>
              <w:bottom w:val="nil"/>
              <w:right w:val="nil"/>
            </w:tcBorders>
            <w:shd w:val="clear" w:color="auto" w:fill="auto"/>
            <w:vAlign w:val="center"/>
            <w:hideMark/>
          </w:tcPr>
          <w:p w14:paraId="77A01416" w14:textId="77777777" w:rsidR="00274FFD" w:rsidRPr="0049341F" w:rsidRDefault="00274FFD" w:rsidP="00274FFD">
            <w:pPr>
              <w:rPr>
                <w:sz w:val="15"/>
                <w:szCs w:val="15"/>
              </w:rPr>
            </w:pPr>
          </w:p>
        </w:tc>
        <w:tc>
          <w:tcPr>
            <w:tcW w:w="1086" w:type="dxa"/>
            <w:tcBorders>
              <w:top w:val="nil"/>
              <w:left w:val="nil"/>
              <w:bottom w:val="nil"/>
              <w:right w:val="nil"/>
            </w:tcBorders>
            <w:shd w:val="clear" w:color="auto" w:fill="auto"/>
            <w:vAlign w:val="center"/>
            <w:hideMark/>
          </w:tcPr>
          <w:p w14:paraId="532F7BBD" w14:textId="77777777" w:rsidR="00274FFD" w:rsidRPr="0049341F" w:rsidRDefault="00274FFD" w:rsidP="00274FFD">
            <w:pPr>
              <w:rPr>
                <w:sz w:val="15"/>
                <w:szCs w:val="15"/>
              </w:rPr>
            </w:pPr>
          </w:p>
        </w:tc>
        <w:tc>
          <w:tcPr>
            <w:tcW w:w="874" w:type="dxa"/>
            <w:tcBorders>
              <w:top w:val="nil"/>
              <w:left w:val="nil"/>
              <w:bottom w:val="nil"/>
              <w:right w:val="nil"/>
            </w:tcBorders>
            <w:shd w:val="clear" w:color="auto" w:fill="auto"/>
            <w:vAlign w:val="center"/>
            <w:hideMark/>
          </w:tcPr>
          <w:p w14:paraId="5FAAE34A" w14:textId="77777777" w:rsidR="00274FFD" w:rsidRPr="0049341F" w:rsidRDefault="00274FFD" w:rsidP="00274FFD">
            <w:pPr>
              <w:rPr>
                <w:sz w:val="15"/>
                <w:szCs w:val="15"/>
              </w:rPr>
            </w:pPr>
          </w:p>
        </w:tc>
        <w:tc>
          <w:tcPr>
            <w:tcW w:w="1034" w:type="dxa"/>
            <w:tcBorders>
              <w:top w:val="nil"/>
              <w:left w:val="nil"/>
              <w:bottom w:val="nil"/>
              <w:right w:val="nil"/>
            </w:tcBorders>
            <w:shd w:val="clear" w:color="auto" w:fill="auto"/>
            <w:vAlign w:val="center"/>
            <w:hideMark/>
          </w:tcPr>
          <w:p w14:paraId="39DE81B9" w14:textId="77777777" w:rsidR="00274FFD" w:rsidRPr="0049341F" w:rsidRDefault="00274FFD" w:rsidP="00274FFD">
            <w:pPr>
              <w:rPr>
                <w:sz w:val="15"/>
                <w:szCs w:val="15"/>
              </w:rPr>
            </w:pPr>
          </w:p>
        </w:tc>
        <w:tc>
          <w:tcPr>
            <w:tcW w:w="0" w:type="auto"/>
            <w:tcBorders>
              <w:top w:val="nil"/>
              <w:left w:val="nil"/>
              <w:bottom w:val="nil"/>
              <w:right w:val="single" w:sz="8" w:space="0" w:color="auto"/>
            </w:tcBorders>
            <w:shd w:val="clear" w:color="000000" w:fill="000000"/>
            <w:noWrap/>
            <w:vAlign w:val="center"/>
            <w:hideMark/>
          </w:tcPr>
          <w:p w14:paraId="28236901" w14:textId="77777777" w:rsidR="00274FFD" w:rsidRPr="0049341F" w:rsidRDefault="00274FFD" w:rsidP="00274FFD">
            <w:pPr>
              <w:jc w:val="center"/>
              <w:rPr>
                <w:rFonts w:ascii="Arial Narrow" w:hAnsi="Arial Narrow" w:cs="Calibri"/>
                <w:b/>
                <w:bCs/>
                <w:color w:val="FFFFFF"/>
                <w:sz w:val="15"/>
                <w:szCs w:val="15"/>
              </w:rPr>
            </w:pPr>
            <w:r w:rsidRPr="0049341F">
              <w:rPr>
                <w:rFonts w:ascii="Arial Narrow" w:hAnsi="Arial Narrow" w:cs="Calibri"/>
                <w:b/>
                <w:bCs/>
                <w:color w:val="FFFFFF"/>
                <w:sz w:val="15"/>
                <w:szCs w:val="15"/>
              </w:rPr>
              <w:t>IPC</w:t>
            </w:r>
          </w:p>
        </w:tc>
        <w:tc>
          <w:tcPr>
            <w:tcW w:w="0" w:type="auto"/>
            <w:tcBorders>
              <w:top w:val="nil"/>
              <w:left w:val="nil"/>
              <w:bottom w:val="nil"/>
              <w:right w:val="single" w:sz="8" w:space="0" w:color="auto"/>
            </w:tcBorders>
            <w:shd w:val="clear" w:color="000000" w:fill="000000"/>
            <w:noWrap/>
            <w:vAlign w:val="center"/>
            <w:hideMark/>
          </w:tcPr>
          <w:p w14:paraId="71801A2F" w14:textId="77777777" w:rsidR="00274FFD" w:rsidRPr="0049341F" w:rsidRDefault="00274FFD" w:rsidP="00274FFD">
            <w:pPr>
              <w:jc w:val="center"/>
              <w:rPr>
                <w:rFonts w:ascii="Arial Narrow" w:hAnsi="Arial Narrow" w:cs="Calibri"/>
                <w:b/>
                <w:bCs/>
                <w:color w:val="FFFFFF"/>
                <w:sz w:val="15"/>
                <w:szCs w:val="15"/>
              </w:rPr>
            </w:pPr>
            <w:r w:rsidRPr="0049341F">
              <w:rPr>
                <w:rFonts w:ascii="Arial Narrow" w:hAnsi="Arial Narrow" w:cs="Calibri"/>
                <w:b/>
                <w:bCs/>
                <w:color w:val="FFFFFF"/>
                <w:sz w:val="15"/>
                <w:szCs w:val="15"/>
              </w:rPr>
              <w:t>IPC</w:t>
            </w:r>
          </w:p>
        </w:tc>
        <w:tc>
          <w:tcPr>
            <w:tcW w:w="0" w:type="auto"/>
            <w:tcBorders>
              <w:top w:val="nil"/>
              <w:left w:val="nil"/>
              <w:bottom w:val="nil"/>
              <w:right w:val="single" w:sz="8" w:space="0" w:color="auto"/>
            </w:tcBorders>
            <w:shd w:val="clear" w:color="auto" w:fill="auto"/>
            <w:vAlign w:val="center"/>
            <w:hideMark/>
          </w:tcPr>
          <w:p w14:paraId="5A798092" w14:textId="77777777" w:rsidR="00274FFD" w:rsidRPr="0049341F" w:rsidRDefault="00274FFD" w:rsidP="00274FFD">
            <w:pPr>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nil"/>
              <w:left w:val="nil"/>
              <w:bottom w:val="nil"/>
              <w:right w:val="single" w:sz="8" w:space="0" w:color="auto"/>
            </w:tcBorders>
            <w:shd w:val="clear" w:color="auto" w:fill="auto"/>
            <w:vAlign w:val="center"/>
            <w:hideMark/>
          </w:tcPr>
          <w:p w14:paraId="024658DA" w14:textId="77777777" w:rsidR="00274FFD" w:rsidRPr="0049341F" w:rsidRDefault="00274FFD" w:rsidP="00274FFD">
            <w:pPr>
              <w:rPr>
                <w:rFonts w:ascii="Arial Narrow" w:hAnsi="Arial Narrow" w:cs="Calibri"/>
                <w:b/>
                <w:bCs/>
                <w:sz w:val="15"/>
                <w:szCs w:val="15"/>
              </w:rPr>
            </w:pPr>
            <w:r w:rsidRPr="0049341F">
              <w:rPr>
                <w:rFonts w:ascii="Arial Narrow" w:hAnsi="Arial Narrow" w:cs="Calibri"/>
                <w:b/>
                <w:bCs/>
                <w:sz w:val="15"/>
                <w:szCs w:val="15"/>
              </w:rPr>
              <w:t> </w:t>
            </w:r>
          </w:p>
        </w:tc>
      </w:tr>
      <w:tr w:rsidR="00274FFD" w:rsidRPr="00431AFB" w14:paraId="411A7FF2" w14:textId="77777777" w:rsidTr="00372C4F">
        <w:trPr>
          <w:trHeight w:val="1420"/>
        </w:trPr>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195558CE"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Año</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7A3C921A"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Mes</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00BDE34A"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Día</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0FC53A78"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Año2</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1C60C3FF"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Mes3</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474BC7AB"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Día4</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4137CBE4"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 xml:space="preserve"> # Días</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1495C70B"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 Semanas</w:t>
            </w:r>
          </w:p>
        </w:tc>
        <w:tc>
          <w:tcPr>
            <w:tcW w:w="1086" w:type="dxa"/>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5101A2F9"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 xml:space="preserve">% de </w:t>
            </w:r>
            <w:proofErr w:type="spellStart"/>
            <w:r w:rsidRPr="00431AFB">
              <w:rPr>
                <w:rFonts w:ascii="Arial Narrow" w:hAnsi="Arial Narrow" w:cs="Calibri"/>
                <w:b/>
                <w:bCs/>
                <w:sz w:val="15"/>
                <w:szCs w:val="15"/>
              </w:rPr>
              <w:t>Cotizac</w:t>
            </w:r>
            <w:proofErr w:type="spellEnd"/>
            <w:r w:rsidRPr="00431AFB">
              <w:rPr>
                <w:rFonts w:ascii="Arial Narrow" w:hAnsi="Arial Narrow" w:cs="Calibri"/>
                <w:b/>
                <w:bCs/>
                <w:sz w:val="15"/>
                <w:szCs w:val="15"/>
              </w:rPr>
              <w:t>. Legal</w:t>
            </w:r>
          </w:p>
        </w:tc>
        <w:tc>
          <w:tcPr>
            <w:tcW w:w="874" w:type="dxa"/>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46D60A37"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 semanas multiplicado por % de cotización</w:t>
            </w:r>
          </w:p>
        </w:tc>
        <w:tc>
          <w:tcPr>
            <w:tcW w:w="1034" w:type="dxa"/>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1C52BF11"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 xml:space="preserve">ÚLTIMO SALARIO BASE DE COTIZACIÓN </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2D78B5E9"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FINAL</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0AE7711B"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INICIAL</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6BEADAE5"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 xml:space="preserve">SALARIO ACTUALIZADO </w:t>
            </w:r>
            <w:proofErr w:type="spellStart"/>
            <w:r w:rsidRPr="00431AFB">
              <w:rPr>
                <w:rFonts w:ascii="Arial Narrow" w:hAnsi="Arial Narrow" w:cs="Calibri"/>
                <w:b/>
                <w:bCs/>
                <w:sz w:val="15"/>
                <w:szCs w:val="15"/>
              </w:rPr>
              <w:t>Ó</w:t>
            </w:r>
            <w:proofErr w:type="spellEnd"/>
            <w:r w:rsidRPr="00431AFB">
              <w:rPr>
                <w:rFonts w:ascii="Arial Narrow" w:hAnsi="Arial Narrow" w:cs="Calibri"/>
                <w:b/>
                <w:bCs/>
                <w:sz w:val="15"/>
                <w:szCs w:val="15"/>
              </w:rPr>
              <w:t xml:space="preserve"> INDEXADO</w:t>
            </w:r>
          </w:p>
        </w:tc>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2BDC64F9" w14:textId="77777777" w:rsidR="00274FFD" w:rsidRPr="00431AFB" w:rsidRDefault="00274FFD" w:rsidP="00274FFD">
            <w:pPr>
              <w:jc w:val="center"/>
              <w:rPr>
                <w:rFonts w:ascii="Arial Narrow" w:hAnsi="Arial Narrow" w:cs="Calibri"/>
                <w:b/>
                <w:bCs/>
                <w:sz w:val="15"/>
                <w:szCs w:val="15"/>
              </w:rPr>
            </w:pPr>
            <w:r w:rsidRPr="00431AFB">
              <w:rPr>
                <w:rFonts w:ascii="Arial Narrow" w:hAnsi="Arial Narrow" w:cs="Calibri"/>
                <w:b/>
                <w:bCs/>
                <w:sz w:val="15"/>
                <w:szCs w:val="15"/>
              </w:rPr>
              <w:t>SALARIO ACTUALIZADO MULTIPLICADO POR NÚMERO DE DÍAS</w:t>
            </w:r>
          </w:p>
        </w:tc>
      </w:tr>
      <w:tr w:rsidR="00274FFD" w:rsidRPr="0049341F" w14:paraId="664674BB"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0AB387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1987</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3A0EC2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F8FF78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11880D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1987</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414714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F4BA111"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236EDA0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301</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6EAEF1A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43,00</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48791C2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6939326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279,50</w:t>
            </w:r>
          </w:p>
        </w:tc>
        <w:tc>
          <w:tcPr>
            <w:tcW w:w="1034" w:type="dxa"/>
            <w:tcBorders>
              <w:top w:val="single" w:sz="4" w:space="0" w:color="000000"/>
              <w:left w:val="single" w:sz="4" w:space="0" w:color="auto"/>
              <w:bottom w:val="single" w:sz="4" w:space="0" w:color="auto"/>
              <w:right w:val="single" w:sz="4" w:space="0" w:color="auto"/>
            </w:tcBorders>
            <w:shd w:val="clear" w:color="D9D9D9" w:fill="D9D9D9"/>
            <w:noWrap/>
            <w:vAlign w:val="bottom"/>
            <w:hideMark/>
          </w:tcPr>
          <w:p w14:paraId="52502C8E"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$ 21.420,00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68CA1CD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2CC0B14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2,90</w:t>
            </w:r>
          </w:p>
        </w:tc>
        <w:tc>
          <w:tcPr>
            <w:tcW w:w="0" w:type="auto"/>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775ED154"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$ 609.140,48</w:t>
            </w:r>
          </w:p>
        </w:tc>
        <w:tc>
          <w:tcPr>
            <w:tcW w:w="0" w:type="auto"/>
            <w:tcBorders>
              <w:top w:val="single" w:sz="4" w:space="0" w:color="000000"/>
              <w:left w:val="single" w:sz="4" w:space="0" w:color="auto"/>
              <w:bottom w:val="single" w:sz="4" w:space="0" w:color="auto"/>
              <w:right w:val="single" w:sz="4" w:space="0" w:color="auto"/>
            </w:tcBorders>
            <w:shd w:val="clear" w:color="D9D9D9" w:fill="D9D9D9"/>
            <w:noWrap/>
            <w:vAlign w:val="bottom"/>
            <w:hideMark/>
          </w:tcPr>
          <w:p w14:paraId="0B91751C"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183351285,31</w:t>
            </w:r>
          </w:p>
        </w:tc>
      </w:tr>
      <w:tr w:rsidR="00274FFD" w:rsidRPr="0049341F" w14:paraId="65B45F8D"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37F927A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1988</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6C7376A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49BD2F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08F90F9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1988</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55D8071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5B950B7E"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nil"/>
              <w:left w:val="single" w:sz="4" w:space="0" w:color="auto"/>
              <w:bottom w:val="single" w:sz="4" w:space="0" w:color="auto"/>
              <w:right w:val="nil"/>
            </w:tcBorders>
            <w:shd w:val="clear" w:color="auto" w:fill="auto"/>
            <w:noWrap/>
            <w:vAlign w:val="center"/>
            <w:hideMark/>
          </w:tcPr>
          <w:p w14:paraId="7FE6D09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293</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54DC24D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41,86</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1C7D2D2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093B33F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272,07</w:t>
            </w:r>
          </w:p>
        </w:tc>
        <w:tc>
          <w:tcPr>
            <w:tcW w:w="103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F44BCE1"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$ 70.260,00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4B0EE82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15EC963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1CA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$ 1.609.539,50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75C15"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471595073,50</w:t>
            </w:r>
          </w:p>
        </w:tc>
      </w:tr>
      <w:tr w:rsidR="00274FFD" w:rsidRPr="0049341F" w14:paraId="79634956"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53C2A0D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1989</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6CA0C17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6E2B44B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14</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0CF7901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1989</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05EE4E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2380F82B"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15</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25BD599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6C22089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0,29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70B128F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577D023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1,86</w:t>
            </w:r>
          </w:p>
        </w:tc>
        <w:tc>
          <w:tcPr>
            <w:tcW w:w="1034" w:type="dxa"/>
            <w:tcBorders>
              <w:top w:val="single" w:sz="4" w:space="0" w:color="000000"/>
              <w:left w:val="single" w:sz="4" w:space="0" w:color="auto"/>
              <w:bottom w:val="single" w:sz="4" w:space="0" w:color="auto"/>
              <w:right w:val="single" w:sz="4" w:space="0" w:color="auto"/>
            </w:tcBorders>
            <w:shd w:val="clear" w:color="D9D9D9" w:fill="D9D9D9"/>
            <w:noWrap/>
            <w:vAlign w:val="bottom"/>
            <w:hideMark/>
          </w:tcPr>
          <w:p w14:paraId="71CACF45"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$ 99.630,00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0C7E7B5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6B4F447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4,61</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02BDCE"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$ 1.782.318,03</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387EC0"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3564636,05</w:t>
            </w:r>
          </w:p>
        </w:tc>
      </w:tr>
      <w:tr w:rsidR="00274FFD" w:rsidRPr="0049341F" w14:paraId="7AAA8F71"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7101744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1989</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5FD6DAB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5091F30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0A261FA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1989</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7398182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CE3D156"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nil"/>
              <w:left w:val="single" w:sz="4" w:space="0" w:color="auto"/>
              <w:bottom w:val="single" w:sz="4" w:space="0" w:color="auto"/>
              <w:right w:val="nil"/>
            </w:tcBorders>
            <w:shd w:val="clear" w:color="auto" w:fill="auto"/>
            <w:noWrap/>
            <w:vAlign w:val="center"/>
            <w:hideMark/>
          </w:tcPr>
          <w:p w14:paraId="3AE28E3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275</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2076696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39,29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79B6B90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71E56A9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255,36</w:t>
            </w:r>
          </w:p>
        </w:tc>
        <w:tc>
          <w:tcPr>
            <w:tcW w:w="103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936A794"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$ 99.630,00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10C79D5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54EB5AB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3BE9F"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$ 1.782.318,03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4D70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490137457,16</w:t>
            </w:r>
          </w:p>
        </w:tc>
      </w:tr>
      <w:tr w:rsidR="00274FFD" w:rsidRPr="0049341F" w14:paraId="2F9030F7"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C4DE92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1990</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53F61D7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23D51CC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1BE8B4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1990</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5F24CC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B795A24"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7984191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296</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5BC2F3C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610FC9B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35BABEA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274,86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30336D"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$ 123.210,00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4C31CFF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2E04EC4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5,81</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E88788"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$ 1.748.903,39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A420EF"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517675403,65</w:t>
            </w:r>
          </w:p>
        </w:tc>
      </w:tr>
      <w:tr w:rsidR="00274FFD" w:rsidRPr="0049341F" w14:paraId="341CDCEB"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9B339C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7BBCCDD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5320B6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3BEB19F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551275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555F67C2"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nil"/>
              <w:left w:val="single" w:sz="4" w:space="0" w:color="auto"/>
              <w:bottom w:val="single" w:sz="4" w:space="0" w:color="auto"/>
              <w:right w:val="nil"/>
            </w:tcBorders>
            <w:shd w:val="clear" w:color="auto" w:fill="auto"/>
            <w:noWrap/>
            <w:vAlign w:val="center"/>
            <w:hideMark/>
          </w:tcPr>
          <w:p w14:paraId="481C62E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293</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040C1C0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41,86</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5F9D058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25E9C79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272,07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B9506"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$ 136.290,00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2FB0C97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2C2EB71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30922"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$ 1.461.617,20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22908"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428253840,82</w:t>
            </w:r>
          </w:p>
        </w:tc>
      </w:tr>
      <w:tr w:rsidR="00274FFD" w:rsidRPr="0049341F" w14:paraId="1A77EF6F"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5253E20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71261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72913F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10</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DEFA43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0D7B1E9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750FCBD"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08FCCAD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295</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64FF187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42,14</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295B409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2CC997C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273,93</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D08C9A"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$ 136.290,00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77AECB9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07C4F29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9,74</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B4E38"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$ 1.153.987,30</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147922"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340426253,44</w:t>
            </w:r>
          </w:p>
        </w:tc>
      </w:tr>
      <w:tr w:rsidR="00274FFD" w:rsidRPr="0049341F" w14:paraId="6DB407FB"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0629464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1993</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7878BF5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B507DD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69F94F7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1993</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C6978D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54CD0CE"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nil"/>
              <w:left w:val="single" w:sz="4" w:space="0" w:color="auto"/>
              <w:bottom w:val="single" w:sz="4" w:space="0" w:color="auto"/>
              <w:right w:val="nil"/>
            </w:tcBorders>
            <w:shd w:val="clear" w:color="auto" w:fill="auto"/>
            <w:noWrap/>
            <w:vAlign w:val="center"/>
            <w:hideMark/>
          </w:tcPr>
          <w:p w14:paraId="3EF3315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292</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12B9EEB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41,71</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0208B1B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22965FE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271,14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A9B2D"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$ 215.790,00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2C50184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17BFB98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2FB0"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$ 1.459.901,67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4822"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426291286,27</w:t>
            </w:r>
          </w:p>
        </w:tc>
      </w:tr>
      <w:tr w:rsidR="00274FFD" w:rsidRPr="0049341F" w14:paraId="05A14A54"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2EA31AE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1994</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24BC6F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01DC52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12162E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1994</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8DCFE6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117B8BE"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5616FAE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305</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4AA484B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43,57</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2484A35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0F7C382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501,07</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82CBF8"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$ 348.641,00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53D7AB7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13DA64F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14,93</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6095C0"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$ 1.925.815,36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5DB2C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587373683,68</w:t>
            </w:r>
          </w:p>
        </w:tc>
      </w:tr>
      <w:tr w:rsidR="00274FFD" w:rsidRPr="0049341F" w14:paraId="4AED3D36"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7AD228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6813513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8207F1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1B80E0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CFE6A9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374B48F1"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31</w:t>
            </w:r>
          </w:p>
        </w:tc>
        <w:tc>
          <w:tcPr>
            <w:tcW w:w="0" w:type="auto"/>
            <w:tcBorders>
              <w:top w:val="nil"/>
              <w:left w:val="single" w:sz="4" w:space="0" w:color="auto"/>
              <w:bottom w:val="single" w:sz="4" w:space="0" w:color="auto"/>
              <w:right w:val="nil"/>
            </w:tcBorders>
            <w:shd w:val="clear" w:color="auto" w:fill="auto"/>
            <w:noWrap/>
            <w:vAlign w:val="center"/>
            <w:hideMark/>
          </w:tcPr>
          <w:p w14:paraId="5E3A209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77010EE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7EA6A4A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5A06FBD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8130"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76DDECD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3AD4159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9306"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393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5E97EF2C"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0A5223F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0C3ADBC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90D3BD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BBDF1A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60EBD31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520D9070"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28</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6D6B014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3D1D3D3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25C3206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49BF080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A4C57F"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0C396CC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120E1D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84103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6FC9A7"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5E22EC0D"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05BF4D3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70215D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60CB14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6FFA826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786A9D4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D20E5F1"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31</w:t>
            </w:r>
          </w:p>
        </w:tc>
        <w:tc>
          <w:tcPr>
            <w:tcW w:w="0" w:type="auto"/>
            <w:tcBorders>
              <w:top w:val="nil"/>
              <w:left w:val="single" w:sz="4" w:space="0" w:color="auto"/>
              <w:bottom w:val="single" w:sz="4" w:space="0" w:color="auto"/>
              <w:right w:val="nil"/>
            </w:tcBorders>
            <w:shd w:val="clear" w:color="auto" w:fill="auto"/>
            <w:noWrap/>
            <w:vAlign w:val="center"/>
            <w:hideMark/>
          </w:tcPr>
          <w:p w14:paraId="6222221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5282E0D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01F9589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55C7D48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0D958"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630EEC7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4E91A56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3785F"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BC71"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029CAAE1"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CC6A6F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6C00F07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B167DE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28E9751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F3EC42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5F81E94"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5AB9EAC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296FE9E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456CD2B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7ADD0FE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B8AF39"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0126D32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497E866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F63EF0"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D93A42"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2FC16E16" w14:textId="77777777" w:rsidTr="00372C4F">
        <w:trPr>
          <w:trHeight w:val="300"/>
        </w:trPr>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F54365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6CB618E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0E535B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44AC6D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3BBB8C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3AD198B"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31</w:t>
            </w:r>
          </w:p>
        </w:tc>
        <w:tc>
          <w:tcPr>
            <w:tcW w:w="0" w:type="auto"/>
            <w:tcBorders>
              <w:top w:val="nil"/>
              <w:left w:val="single" w:sz="4" w:space="0" w:color="auto"/>
              <w:bottom w:val="single" w:sz="4" w:space="0" w:color="auto"/>
              <w:right w:val="nil"/>
            </w:tcBorders>
            <w:shd w:val="clear" w:color="auto" w:fill="auto"/>
            <w:noWrap/>
            <w:vAlign w:val="center"/>
            <w:hideMark/>
          </w:tcPr>
          <w:p w14:paraId="42B99C2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65A82F8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0035149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0F63623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C63EC"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405251E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311D9A1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FF2E"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6629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604D2A26"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A9080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A6AE3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7574F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1579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D8A12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AC25E5"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0136A74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28BBDD2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4A2102C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6F7391A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A856B1"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38128AA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3A5E3E6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8BBF91"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40FD96"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24F141E7"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56D8A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nil"/>
              <w:left w:val="nil"/>
              <w:bottom w:val="single" w:sz="4" w:space="0" w:color="auto"/>
              <w:right w:val="single" w:sz="4" w:space="0" w:color="auto"/>
            </w:tcBorders>
            <w:shd w:val="clear" w:color="auto" w:fill="auto"/>
            <w:noWrap/>
            <w:vAlign w:val="center"/>
            <w:hideMark/>
          </w:tcPr>
          <w:p w14:paraId="1DC2919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14:paraId="4C58A25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14:paraId="7F5935A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nil"/>
              <w:left w:val="nil"/>
              <w:bottom w:val="single" w:sz="4" w:space="0" w:color="auto"/>
              <w:right w:val="single" w:sz="4" w:space="0" w:color="auto"/>
            </w:tcBorders>
            <w:shd w:val="clear" w:color="auto" w:fill="auto"/>
            <w:noWrap/>
            <w:vAlign w:val="center"/>
            <w:hideMark/>
          </w:tcPr>
          <w:p w14:paraId="1C6B40A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14:paraId="599BEE27"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31</w:t>
            </w:r>
          </w:p>
        </w:tc>
        <w:tc>
          <w:tcPr>
            <w:tcW w:w="0" w:type="auto"/>
            <w:tcBorders>
              <w:top w:val="nil"/>
              <w:left w:val="nil"/>
              <w:bottom w:val="single" w:sz="4" w:space="0" w:color="auto"/>
              <w:right w:val="nil"/>
            </w:tcBorders>
            <w:shd w:val="clear" w:color="auto" w:fill="auto"/>
            <w:noWrap/>
            <w:vAlign w:val="center"/>
            <w:hideMark/>
          </w:tcPr>
          <w:p w14:paraId="4E0C43C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4792166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4A72E5E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34E9CED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1E43B"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2B8D6D2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6BA109B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AE0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A4C1"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41395F48"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7A00D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7E8A8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960C4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61DD7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7986E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3A1F7E"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4BD7061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131211C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3740BC3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498130F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3F78C5"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2A091AF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3A5D852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CACF56"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80F4B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55013DE1"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9339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nil"/>
              <w:left w:val="nil"/>
              <w:bottom w:val="single" w:sz="4" w:space="0" w:color="auto"/>
              <w:right w:val="single" w:sz="4" w:space="0" w:color="auto"/>
            </w:tcBorders>
            <w:shd w:val="clear" w:color="auto" w:fill="auto"/>
            <w:noWrap/>
            <w:vAlign w:val="center"/>
            <w:hideMark/>
          </w:tcPr>
          <w:p w14:paraId="690CC09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14:paraId="2944EBB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14:paraId="5413D8A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nil"/>
              <w:left w:val="nil"/>
              <w:bottom w:val="single" w:sz="4" w:space="0" w:color="auto"/>
              <w:right w:val="single" w:sz="4" w:space="0" w:color="auto"/>
            </w:tcBorders>
            <w:shd w:val="clear" w:color="auto" w:fill="auto"/>
            <w:noWrap/>
            <w:vAlign w:val="center"/>
            <w:hideMark/>
          </w:tcPr>
          <w:p w14:paraId="186B13E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14:paraId="5EE63B5C"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30</w:t>
            </w:r>
          </w:p>
        </w:tc>
        <w:tc>
          <w:tcPr>
            <w:tcW w:w="0" w:type="auto"/>
            <w:tcBorders>
              <w:top w:val="nil"/>
              <w:left w:val="nil"/>
              <w:bottom w:val="single" w:sz="4" w:space="0" w:color="auto"/>
              <w:right w:val="nil"/>
            </w:tcBorders>
            <w:shd w:val="clear" w:color="auto" w:fill="auto"/>
            <w:noWrap/>
            <w:vAlign w:val="center"/>
            <w:hideMark/>
          </w:tcPr>
          <w:p w14:paraId="4180211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6B828C6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0A5140D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6A30F72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9F53"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683E3A6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36532FA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CFE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3154"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6B3D8DCC"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AFBCD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lastRenderedPageBreak/>
              <w:t>1995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EBCD9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10</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39B7C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4CE69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366A9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10</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A43737" w14:textId="77777777" w:rsidR="00274FFD" w:rsidRPr="0049341F" w:rsidRDefault="00274FFD" w:rsidP="00274FFD">
            <w:pPr>
              <w:jc w:val="center"/>
              <w:rPr>
                <w:rFonts w:ascii="Arial Narrow" w:hAnsi="Arial Narrow" w:cs="Calibri"/>
                <w:color w:val="000000"/>
                <w:sz w:val="15"/>
                <w:szCs w:val="15"/>
              </w:rPr>
            </w:pPr>
            <w:r w:rsidRPr="0049341F">
              <w:rPr>
                <w:rFonts w:ascii="Arial Narrow" w:hAnsi="Arial Narrow" w:cs="Calibri"/>
                <w:color w:val="000000"/>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02E7055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73C46B3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5152E97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74D25C3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53,57</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283405" w14:textId="77777777" w:rsidR="00274FFD" w:rsidRPr="0049341F" w:rsidRDefault="00274FFD" w:rsidP="00274FFD">
            <w:pPr>
              <w:jc w:val="right"/>
              <w:rPr>
                <w:rFonts w:ascii="Arial Narrow" w:hAnsi="Arial Narrow" w:cs="Calibri"/>
                <w:color w:val="000000"/>
                <w:sz w:val="15"/>
                <w:szCs w:val="15"/>
              </w:rPr>
            </w:pPr>
            <w:r w:rsidRPr="0049341F">
              <w:rPr>
                <w:rFonts w:ascii="Arial Narrow" w:hAnsi="Arial Narrow" w:cs="Calibri"/>
                <w:color w:val="000000"/>
                <w:sz w:val="15"/>
                <w:szCs w:val="15"/>
              </w:rPr>
              <w:t>$ 405.992,00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32608AD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3CBB50F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18,29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1D0A8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$ 1.830.626,59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2A1391"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54918797,55</w:t>
            </w:r>
          </w:p>
        </w:tc>
      </w:tr>
      <w:tr w:rsidR="00274FFD" w:rsidRPr="0049341F" w14:paraId="3D2B72BE"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75A91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nil"/>
              <w:left w:val="nil"/>
              <w:bottom w:val="single" w:sz="4" w:space="0" w:color="auto"/>
              <w:right w:val="single" w:sz="4" w:space="0" w:color="auto"/>
            </w:tcBorders>
            <w:shd w:val="clear" w:color="auto" w:fill="auto"/>
            <w:noWrap/>
            <w:vAlign w:val="center"/>
            <w:hideMark/>
          </w:tcPr>
          <w:p w14:paraId="43E3E8F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nil"/>
              <w:left w:val="nil"/>
              <w:bottom w:val="single" w:sz="4" w:space="0" w:color="auto"/>
              <w:right w:val="single" w:sz="4" w:space="0" w:color="auto"/>
            </w:tcBorders>
            <w:shd w:val="clear" w:color="auto" w:fill="auto"/>
            <w:noWrap/>
            <w:vAlign w:val="center"/>
            <w:hideMark/>
          </w:tcPr>
          <w:p w14:paraId="196DF66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A925B4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BC4A3C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CC2C9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nil"/>
              <w:left w:val="nil"/>
              <w:bottom w:val="single" w:sz="4" w:space="0" w:color="auto"/>
              <w:right w:val="nil"/>
            </w:tcBorders>
            <w:shd w:val="clear" w:color="auto" w:fill="auto"/>
            <w:noWrap/>
            <w:vAlign w:val="center"/>
            <w:hideMark/>
          </w:tcPr>
          <w:p w14:paraId="20D6624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5B85596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25C441F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7523E11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53C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$ 40.191,00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15616E1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55C905A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B255"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$ 151.834,71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387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4555041,37</w:t>
            </w:r>
          </w:p>
        </w:tc>
      </w:tr>
      <w:tr w:rsidR="00274FFD" w:rsidRPr="0049341F" w14:paraId="7AADD7BB"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DDB55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83C8E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BEA25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0663FA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5DA4493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99F6F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67A3FA6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18C952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7E6456A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6A5C5D5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75C05F"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646200A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1EC1234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73FFC3"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27BDE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11581653"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3A085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nil"/>
              <w:left w:val="nil"/>
              <w:bottom w:val="single" w:sz="4" w:space="0" w:color="auto"/>
              <w:right w:val="single" w:sz="4" w:space="0" w:color="auto"/>
            </w:tcBorders>
            <w:shd w:val="clear" w:color="auto" w:fill="auto"/>
            <w:noWrap/>
            <w:vAlign w:val="center"/>
            <w:hideMark/>
          </w:tcPr>
          <w:p w14:paraId="1F5E983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w:t>
            </w:r>
          </w:p>
        </w:tc>
        <w:tc>
          <w:tcPr>
            <w:tcW w:w="0" w:type="auto"/>
            <w:tcBorders>
              <w:top w:val="nil"/>
              <w:left w:val="nil"/>
              <w:bottom w:val="single" w:sz="4" w:space="0" w:color="auto"/>
              <w:right w:val="single" w:sz="4" w:space="0" w:color="auto"/>
            </w:tcBorders>
            <w:shd w:val="clear" w:color="auto" w:fill="auto"/>
            <w:noWrap/>
            <w:vAlign w:val="center"/>
            <w:hideMark/>
          </w:tcPr>
          <w:p w14:paraId="0B017EA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5363660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74E640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0249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nil"/>
              <w:left w:val="nil"/>
              <w:bottom w:val="single" w:sz="4" w:space="0" w:color="auto"/>
              <w:right w:val="nil"/>
            </w:tcBorders>
            <w:shd w:val="clear" w:color="auto" w:fill="auto"/>
            <w:noWrap/>
            <w:vAlign w:val="center"/>
            <w:hideMark/>
          </w:tcPr>
          <w:p w14:paraId="546818E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38905FA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15B1C48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5FCC965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EBF5"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65FBEED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0D07A4D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AF4E3"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1982F"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58E050E2"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5D1A0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BD9C3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1F0A6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7DEE72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D55FBC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A83DC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1F57089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68F2122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29B0297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6633309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DAF3F4"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6ECDCA3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67D322A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E6355E"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9A2DE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764263ED"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BD71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nil"/>
              <w:left w:val="nil"/>
              <w:bottom w:val="single" w:sz="4" w:space="0" w:color="auto"/>
              <w:right w:val="single" w:sz="4" w:space="0" w:color="auto"/>
            </w:tcBorders>
            <w:shd w:val="clear" w:color="auto" w:fill="auto"/>
            <w:noWrap/>
            <w:vAlign w:val="center"/>
            <w:hideMark/>
          </w:tcPr>
          <w:p w14:paraId="7FC6E01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14:paraId="0B90040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EF6B45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97151D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5E401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nil"/>
              <w:left w:val="nil"/>
              <w:bottom w:val="single" w:sz="4" w:space="0" w:color="auto"/>
              <w:right w:val="nil"/>
            </w:tcBorders>
            <w:shd w:val="clear" w:color="auto" w:fill="auto"/>
            <w:noWrap/>
            <w:vAlign w:val="center"/>
            <w:hideMark/>
          </w:tcPr>
          <w:p w14:paraId="09CE4E3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4A9A3D0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1A23711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5CB5258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F7D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11CA1C1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11A3A90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ED6C"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2273"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6E9FB10D"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00663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5F4F2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6BB9D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CC676C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74C7975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04F54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6141E87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388061B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3030A72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558A6E6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BAEF7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3082687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15EED08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C2E4C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D03576"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207D676E"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5840F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nil"/>
              <w:left w:val="nil"/>
              <w:bottom w:val="single" w:sz="4" w:space="0" w:color="auto"/>
              <w:right w:val="single" w:sz="4" w:space="0" w:color="auto"/>
            </w:tcBorders>
            <w:shd w:val="clear" w:color="auto" w:fill="auto"/>
            <w:noWrap/>
            <w:vAlign w:val="center"/>
            <w:hideMark/>
          </w:tcPr>
          <w:p w14:paraId="77C1770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14:paraId="5400615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2DA44FE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39A3B5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2699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nil"/>
              <w:left w:val="nil"/>
              <w:bottom w:val="single" w:sz="4" w:space="0" w:color="auto"/>
              <w:right w:val="nil"/>
            </w:tcBorders>
            <w:shd w:val="clear" w:color="auto" w:fill="auto"/>
            <w:noWrap/>
            <w:vAlign w:val="center"/>
            <w:hideMark/>
          </w:tcPr>
          <w:p w14:paraId="6EF8C30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585EDE3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4A7F31B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0CA2A4C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2137"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4B9C258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4058911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2D60"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D90EC"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2EBBA55E"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F5BB8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29133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10</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D2527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0B3396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6AE4D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10</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D5B35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4C4DE17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62CEF89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3924278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3B0C477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1F9F7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15365BC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616B7AD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5487F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F1AE62"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41E3DFD5"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3D0B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nil"/>
              <w:left w:val="nil"/>
              <w:bottom w:val="single" w:sz="4" w:space="0" w:color="auto"/>
              <w:right w:val="single" w:sz="4" w:space="0" w:color="auto"/>
            </w:tcBorders>
            <w:shd w:val="clear" w:color="auto" w:fill="auto"/>
            <w:noWrap/>
            <w:vAlign w:val="center"/>
            <w:hideMark/>
          </w:tcPr>
          <w:p w14:paraId="462B57A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nil"/>
              <w:left w:val="nil"/>
              <w:bottom w:val="single" w:sz="4" w:space="0" w:color="auto"/>
              <w:right w:val="single" w:sz="4" w:space="0" w:color="auto"/>
            </w:tcBorders>
            <w:shd w:val="clear" w:color="auto" w:fill="auto"/>
            <w:noWrap/>
            <w:vAlign w:val="center"/>
            <w:hideMark/>
          </w:tcPr>
          <w:p w14:paraId="07CE3A5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0DA02C6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A31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nil"/>
              <w:left w:val="nil"/>
              <w:bottom w:val="single" w:sz="4" w:space="0" w:color="auto"/>
              <w:right w:val="single" w:sz="4" w:space="0" w:color="auto"/>
            </w:tcBorders>
            <w:shd w:val="clear" w:color="auto" w:fill="auto"/>
            <w:noWrap/>
            <w:vAlign w:val="center"/>
            <w:hideMark/>
          </w:tcPr>
          <w:p w14:paraId="7C80A4B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nil"/>
              <w:left w:val="nil"/>
              <w:bottom w:val="single" w:sz="4" w:space="0" w:color="auto"/>
              <w:right w:val="nil"/>
            </w:tcBorders>
            <w:shd w:val="clear" w:color="auto" w:fill="auto"/>
            <w:noWrap/>
            <w:vAlign w:val="center"/>
            <w:hideMark/>
          </w:tcPr>
          <w:p w14:paraId="6E3C86C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230C63D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2D5E918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20010BB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E72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2650151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6946F81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85C2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11AC"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459EEF36"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0EBB0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29F4C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A04C1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1A93C11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631B5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12</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1CDB3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68124AB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20C9D6E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7A46362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7297848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C30DB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0AF2495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0BF4BEB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21,83</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443A3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$ 1.647.817,09</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7AD08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49434512,69</w:t>
            </w:r>
          </w:p>
        </w:tc>
      </w:tr>
      <w:tr w:rsidR="00274FFD" w:rsidRPr="0049341F" w14:paraId="53FBB972"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BC37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nil"/>
              <w:bottom w:val="single" w:sz="4" w:space="0" w:color="auto"/>
              <w:right w:val="single" w:sz="4" w:space="0" w:color="auto"/>
            </w:tcBorders>
            <w:shd w:val="clear" w:color="auto" w:fill="auto"/>
            <w:noWrap/>
            <w:vAlign w:val="center"/>
            <w:hideMark/>
          </w:tcPr>
          <w:p w14:paraId="5E972FD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14:paraId="6913CD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37B5471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763F5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14:paraId="1367ABB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nil"/>
              <w:left w:val="nil"/>
              <w:bottom w:val="single" w:sz="4" w:space="0" w:color="auto"/>
              <w:right w:val="nil"/>
            </w:tcBorders>
            <w:shd w:val="clear" w:color="auto" w:fill="auto"/>
            <w:noWrap/>
            <w:vAlign w:val="center"/>
            <w:hideMark/>
          </w:tcPr>
          <w:p w14:paraId="0B345D0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72E1E0E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5E7E1EC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277004A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2E6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$ 436.181,00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10F76C8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7F0A5C1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BC648"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$ 1.354.871,83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28F98"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40646154,88</w:t>
            </w:r>
          </w:p>
        </w:tc>
      </w:tr>
      <w:tr w:rsidR="00274FFD" w:rsidRPr="0049341F" w14:paraId="7785F842"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06349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1C471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E02D1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462E051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85753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EE3AC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28</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1E52044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4B7A76F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343319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275BC00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E3A7D7"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09AA92E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6FD2CA2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A1843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5A3A93"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6840BF11"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91FA8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nil"/>
              <w:bottom w:val="single" w:sz="4" w:space="0" w:color="auto"/>
              <w:right w:val="single" w:sz="4" w:space="0" w:color="auto"/>
            </w:tcBorders>
            <w:shd w:val="clear" w:color="auto" w:fill="auto"/>
            <w:noWrap/>
            <w:vAlign w:val="center"/>
            <w:hideMark/>
          </w:tcPr>
          <w:p w14:paraId="2045054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nil"/>
              <w:left w:val="nil"/>
              <w:bottom w:val="single" w:sz="4" w:space="0" w:color="auto"/>
              <w:right w:val="single" w:sz="4" w:space="0" w:color="auto"/>
            </w:tcBorders>
            <w:shd w:val="clear" w:color="auto" w:fill="auto"/>
            <w:noWrap/>
            <w:vAlign w:val="center"/>
            <w:hideMark/>
          </w:tcPr>
          <w:p w14:paraId="12E9494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1AAC9DE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3805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w:t>
            </w:r>
          </w:p>
        </w:tc>
        <w:tc>
          <w:tcPr>
            <w:tcW w:w="0" w:type="auto"/>
            <w:tcBorders>
              <w:top w:val="nil"/>
              <w:left w:val="nil"/>
              <w:bottom w:val="single" w:sz="4" w:space="0" w:color="auto"/>
              <w:right w:val="single" w:sz="4" w:space="0" w:color="auto"/>
            </w:tcBorders>
            <w:shd w:val="clear" w:color="auto" w:fill="auto"/>
            <w:noWrap/>
            <w:vAlign w:val="center"/>
            <w:hideMark/>
          </w:tcPr>
          <w:p w14:paraId="31CF4B0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nil"/>
              <w:left w:val="nil"/>
              <w:bottom w:val="single" w:sz="4" w:space="0" w:color="auto"/>
              <w:right w:val="nil"/>
            </w:tcBorders>
            <w:shd w:val="clear" w:color="auto" w:fill="auto"/>
            <w:noWrap/>
            <w:vAlign w:val="center"/>
            <w:hideMark/>
          </w:tcPr>
          <w:p w14:paraId="787DC85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0C7AD2E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5EF9849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25616AA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616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1813EEE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4FC20EF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89F3"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1627"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6E82EBE4"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EED46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575C7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83346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297DE78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26E70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7AB77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1FDE011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22DD930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295F013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3CBE43E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3F626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1CAF352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0896FF4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CCD031"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5BA984"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69110EAB"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A079D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nil"/>
              <w:bottom w:val="single" w:sz="4" w:space="0" w:color="auto"/>
              <w:right w:val="single" w:sz="4" w:space="0" w:color="auto"/>
            </w:tcBorders>
            <w:shd w:val="clear" w:color="auto" w:fill="auto"/>
            <w:noWrap/>
            <w:vAlign w:val="center"/>
            <w:hideMark/>
          </w:tcPr>
          <w:p w14:paraId="3A6F429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w:t>
            </w:r>
          </w:p>
        </w:tc>
        <w:tc>
          <w:tcPr>
            <w:tcW w:w="0" w:type="auto"/>
            <w:tcBorders>
              <w:top w:val="nil"/>
              <w:left w:val="nil"/>
              <w:bottom w:val="single" w:sz="4" w:space="0" w:color="auto"/>
              <w:right w:val="single" w:sz="4" w:space="0" w:color="auto"/>
            </w:tcBorders>
            <w:shd w:val="clear" w:color="auto" w:fill="auto"/>
            <w:noWrap/>
            <w:vAlign w:val="center"/>
            <w:hideMark/>
          </w:tcPr>
          <w:p w14:paraId="595A5CA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7AA0EBD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4CFB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w:t>
            </w:r>
          </w:p>
        </w:tc>
        <w:tc>
          <w:tcPr>
            <w:tcW w:w="0" w:type="auto"/>
            <w:tcBorders>
              <w:top w:val="nil"/>
              <w:left w:val="nil"/>
              <w:bottom w:val="single" w:sz="4" w:space="0" w:color="auto"/>
              <w:right w:val="single" w:sz="4" w:space="0" w:color="auto"/>
            </w:tcBorders>
            <w:shd w:val="clear" w:color="auto" w:fill="auto"/>
            <w:noWrap/>
            <w:vAlign w:val="center"/>
            <w:hideMark/>
          </w:tcPr>
          <w:p w14:paraId="242201F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nil"/>
              <w:left w:val="nil"/>
              <w:bottom w:val="single" w:sz="4" w:space="0" w:color="auto"/>
              <w:right w:val="nil"/>
            </w:tcBorders>
            <w:shd w:val="clear" w:color="auto" w:fill="auto"/>
            <w:noWrap/>
            <w:vAlign w:val="center"/>
            <w:hideMark/>
          </w:tcPr>
          <w:p w14:paraId="47B3249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3E8ED0D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07EE1C0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54B6D9B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3345"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391D9AF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3FCF82E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903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24DE"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31F16306"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6CB4E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64C24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7E1F1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87CAF5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60917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6</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B8BC9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6329036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3774E9D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1B3B283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478249F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5BE12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1BDA0C0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170D626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850A24"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E30987"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59AB0BAB"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0B50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nil"/>
              <w:bottom w:val="single" w:sz="4" w:space="0" w:color="auto"/>
              <w:right w:val="single" w:sz="4" w:space="0" w:color="auto"/>
            </w:tcBorders>
            <w:shd w:val="clear" w:color="auto" w:fill="auto"/>
            <w:noWrap/>
            <w:vAlign w:val="center"/>
            <w:hideMark/>
          </w:tcPr>
          <w:p w14:paraId="42DC6FF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14:paraId="1DC0C5C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076F413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605D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14:paraId="17BA022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nil"/>
              <w:left w:val="nil"/>
              <w:bottom w:val="single" w:sz="4" w:space="0" w:color="auto"/>
              <w:right w:val="nil"/>
            </w:tcBorders>
            <w:shd w:val="clear" w:color="auto" w:fill="auto"/>
            <w:noWrap/>
            <w:vAlign w:val="center"/>
            <w:hideMark/>
          </w:tcPr>
          <w:p w14:paraId="55F1B39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34827EE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0D4ADA0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0B9B194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B7B8"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3A06028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139B07F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BD22"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A29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5137821B"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EB8686"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948FA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57023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35FD7D1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B54F5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0E6D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2393943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6FAA46A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7265E08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496406D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6757E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20A4CF3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6DADC8E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00CC36"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A71759"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5D79E4DA"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7184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nil"/>
              <w:bottom w:val="single" w:sz="4" w:space="0" w:color="auto"/>
              <w:right w:val="single" w:sz="4" w:space="0" w:color="auto"/>
            </w:tcBorders>
            <w:shd w:val="clear" w:color="auto" w:fill="auto"/>
            <w:noWrap/>
            <w:vAlign w:val="center"/>
            <w:hideMark/>
          </w:tcPr>
          <w:p w14:paraId="2EBC41A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14:paraId="072F6AE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4125D5F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E7D0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14:paraId="6C608CD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nil"/>
              <w:left w:val="nil"/>
              <w:bottom w:val="single" w:sz="4" w:space="0" w:color="auto"/>
              <w:right w:val="nil"/>
            </w:tcBorders>
            <w:shd w:val="clear" w:color="auto" w:fill="auto"/>
            <w:noWrap/>
            <w:vAlign w:val="center"/>
            <w:hideMark/>
          </w:tcPr>
          <w:p w14:paraId="4F08705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11C9CDA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05E2A38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62A77C0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E1586"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249C8E9F"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2518348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769D"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2EC4"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634A6F67" w14:textId="77777777" w:rsidTr="00372C4F">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4D5C4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D91A6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10</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D5E33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D9D9D9" w:fill="D9D9D9"/>
            <w:noWrap/>
            <w:vAlign w:val="center"/>
            <w:hideMark/>
          </w:tcPr>
          <w:p w14:paraId="697B797E"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F0CAEA"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10</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A53B5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31</w:t>
            </w:r>
          </w:p>
        </w:tc>
        <w:tc>
          <w:tcPr>
            <w:tcW w:w="0" w:type="auto"/>
            <w:tcBorders>
              <w:top w:val="single" w:sz="4" w:space="0" w:color="auto"/>
              <w:left w:val="single" w:sz="4" w:space="0" w:color="auto"/>
              <w:bottom w:val="single" w:sz="4" w:space="0" w:color="auto"/>
              <w:right w:val="nil"/>
            </w:tcBorders>
            <w:shd w:val="clear" w:color="D9D9D9" w:fill="D9D9D9"/>
            <w:noWrap/>
            <w:vAlign w:val="center"/>
            <w:hideMark/>
          </w:tcPr>
          <w:p w14:paraId="0DE150C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30</w:t>
            </w:r>
          </w:p>
        </w:tc>
        <w:tc>
          <w:tcPr>
            <w:tcW w:w="0" w:type="auto"/>
            <w:tcBorders>
              <w:top w:val="single" w:sz="4" w:space="0" w:color="000000"/>
              <w:left w:val="single" w:sz="4" w:space="0" w:color="auto"/>
              <w:bottom w:val="single" w:sz="4" w:space="0" w:color="auto"/>
              <w:right w:val="nil"/>
            </w:tcBorders>
            <w:shd w:val="clear" w:color="D9D9D9" w:fill="D9D9D9"/>
            <w:noWrap/>
            <w:vAlign w:val="center"/>
            <w:hideMark/>
          </w:tcPr>
          <w:p w14:paraId="17E44DD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4,29</w:t>
            </w:r>
          </w:p>
        </w:tc>
        <w:tc>
          <w:tcPr>
            <w:tcW w:w="1086" w:type="dxa"/>
            <w:tcBorders>
              <w:top w:val="single" w:sz="4" w:space="0" w:color="000000"/>
              <w:left w:val="single" w:sz="4" w:space="0" w:color="auto"/>
              <w:bottom w:val="single" w:sz="4" w:space="0" w:color="auto"/>
              <w:right w:val="nil"/>
            </w:tcBorders>
            <w:shd w:val="clear" w:color="D9D9D9" w:fill="D9D9D9"/>
            <w:noWrap/>
            <w:vAlign w:val="center"/>
            <w:hideMark/>
          </w:tcPr>
          <w:p w14:paraId="2C8AF465"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D9D9D9" w:fill="D9D9D9"/>
            <w:noWrap/>
            <w:vAlign w:val="center"/>
            <w:hideMark/>
          </w:tcPr>
          <w:p w14:paraId="69CE7E83"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57,86</w:t>
            </w:r>
          </w:p>
        </w:tc>
        <w:tc>
          <w:tcPr>
            <w:tcW w:w="10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D84DC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D9D9D9" w:fill="D9D9D9"/>
            <w:noWrap/>
            <w:vAlign w:val="center"/>
            <w:hideMark/>
          </w:tcPr>
          <w:p w14:paraId="522D354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D9D9D9" w:fill="D9D9D9"/>
            <w:noWrap/>
            <w:vAlign w:val="center"/>
            <w:hideMark/>
          </w:tcPr>
          <w:p w14:paraId="2B62623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5E2434"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9FCB63"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56599487,15</w:t>
            </w:r>
          </w:p>
        </w:tc>
      </w:tr>
      <w:tr w:rsidR="00274FFD" w:rsidRPr="0049341F" w14:paraId="3BCBAFC6" w14:textId="77777777" w:rsidTr="00372C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A0A57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nil"/>
              <w:bottom w:val="single" w:sz="4" w:space="0" w:color="auto"/>
              <w:right w:val="single" w:sz="4" w:space="0" w:color="auto"/>
            </w:tcBorders>
            <w:shd w:val="clear" w:color="auto" w:fill="auto"/>
            <w:noWrap/>
            <w:vAlign w:val="center"/>
            <w:hideMark/>
          </w:tcPr>
          <w:p w14:paraId="62F8F1BD"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nil"/>
              <w:left w:val="nil"/>
              <w:bottom w:val="single" w:sz="4" w:space="0" w:color="auto"/>
              <w:right w:val="single" w:sz="4" w:space="0" w:color="auto"/>
            </w:tcBorders>
            <w:shd w:val="clear" w:color="auto" w:fill="auto"/>
            <w:noWrap/>
            <w:vAlign w:val="center"/>
            <w:hideMark/>
          </w:tcPr>
          <w:p w14:paraId="035ED740"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w:t>
            </w:r>
          </w:p>
        </w:tc>
        <w:tc>
          <w:tcPr>
            <w:tcW w:w="0" w:type="auto"/>
            <w:tcBorders>
              <w:top w:val="single" w:sz="4" w:space="0" w:color="000000"/>
              <w:left w:val="single" w:sz="4" w:space="0" w:color="595959"/>
              <w:bottom w:val="single" w:sz="4" w:space="0" w:color="595959"/>
              <w:right w:val="single" w:sz="4" w:space="0" w:color="595959"/>
            </w:tcBorders>
            <w:shd w:val="clear" w:color="auto" w:fill="auto"/>
            <w:noWrap/>
            <w:vAlign w:val="center"/>
            <w:hideMark/>
          </w:tcPr>
          <w:p w14:paraId="687461D4"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1997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D9E8F7"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11</w:t>
            </w:r>
          </w:p>
        </w:tc>
        <w:tc>
          <w:tcPr>
            <w:tcW w:w="0" w:type="auto"/>
            <w:tcBorders>
              <w:top w:val="nil"/>
              <w:left w:val="nil"/>
              <w:bottom w:val="single" w:sz="4" w:space="0" w:color="auto"/>
              <w:right w:val="single" w:sz="4" w:space="0" w:color="auto"/>
            </w:tcBorders>
            <w:shd w:val="clear" w:color="auto" w:fill="auto"/>
            <w:noWrap/>
            <w:vAlign w:val="center"/>
            <w:hideMark/>
          </w:tcPr>
          <w:p w14:paraId="69CB3B99"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14</w:t>
            </w:r>
          </w:p>
        </w:tc>
        <w:tc>
          <w:tcPr>
            <w:tcW w:w="0" w:type="auto"/>
            <w:tcBorders>
              <w:top w:val="nil"/>
              <w:left w:val="nil"/>
              <w:bottom w:val="single" w:sz="4" w:space="0" w:color="auto"/>
              <w:right w:val="nil"/>
            </w:tcBorders>
            <w:shd w:val="clear" w:color="auto" w:fill="auto"/>
            <w:noWrap/>
            <w:vAlign w:val="center"/>
            <w:hideMark/>
          </w:tcPr>
          <w:p w14:paraId="34BA3DB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14</w:t>
            </w:r>
          </w:p>
        </w:tc>
        <w:tc>
          <w:tcPr>
            <w:tcW w:w="0" w:type="auto"/>
            <w:tcBorders>
              <w:top w:val="single" w:sz="4" w:space="0" w:color="000000"/>
              <w:left w:val="single" w:sz="4" w:space="0" w:color="auto"/>
              <w:bottom w:val="single" w:sz="4" w:space="0" w:color="auto"/>
              <w:right w:val="nil"/>
            </w:tcBorders>
            <w:shd w:val="clear" w:color="auto" w:fill="auto"/>
            <w:noWrap/>
            <w:vAlign w:val="center"/>
            <w:hideMark/>
          </w:tcPr>
          <w:p w14:paraId="67DD725C"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2,00</w:t>
            </w:r>
          </w:p>
        </w:tc>
        <w:tc>
          <w:tcPr>
            <w:tcW w:w="1086" w:type="dxa"/>
            <w:tcBorders>
              <w:top w:val="single" w:sz="4" w:space="0" w:color="000000"/>
              <w:left w:val="single" w:sz="4" w:space="0" w:color="auto"/>
              <w:bottom w:val="single" w:sz="4" w:space="0" w:color="auto"/>
              <w:right w:val="nil"/>
            </w:tcBorders>
            <w:shd w:val="clear" w:color="auto" w:fill="auto"/>
            <w:noWrap/>
            <w:vAlign w:val="center"/>
            <w:hideMark/>
          </w:tcPr>
          <w:p w14:paraId="35792311"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13,5</w:t>
            </w:r>
          </w:p>
        </w:tc>
        <w:tc>
          <w:tcPr>
            <w:tcW w:w="874" w:type="dxa"/>
            <w:tcBorders>
              <w:top w:val="single" w:sz="4" w:space="0" w:color="000000"/>
              <w:left w:val="single" w:sz="4" w:space="0" w:color="auto"/>
              <w:bottom w:val="single" w:sz="4" w:space="0" w:color="auto"/>
              <w:right w:val="nil"/>
            </w:tcBorders>
            <w:shd w:val="clear" w:color="auto" w:fill="auto"/>
            <w:noWrap/>
            <w:vAlign w:val="center"/>
            <w:hideMark/>
          </w:tcPr>
          <w:p w14:paraId="03430F62"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27,00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1CBAA"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$ 607.379,00</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14:paraId="45DF00EB"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82,47</w:t>
            </w:r>
          </w:p>
        </w:tc>
        <w:tc>
          <w:tcPr>
            <w:tcW w:w="0" w:type="auto"/>
            <w:tcBorders>
              <w:top w:val="single" w:sz="4" w:space="0" w:color="000000"/>
              <w:left w:val="nil"/>
              <w:bottom w:val="single" w:sz="4" w:space="0" w:color="595959"/>
              <w:right w:val="nil"/>
            </w:tcBorders>
            <w:shd w:val="clear" w:color="auto" w:fill="auto"/>
            <w:noWrap/>
            <w:vAlign w:val="center"/>
            <w:hideMark/>
          </w:tcPr>
          <w:p w14:paraId="1732FEC8" w14:textId="77777777" w:rsidR="00274FFD" w:rsidRPr="0049341F" w:rsidRDefault="00274FFD" w:rsidP="00274FFD">
            <w:pPr>
              <w:jc w:val="center"/>
              <w:rPr>
                <w:rFonts w:ascii="Arial Narrow" w:hAnsi="Arial Narrow" w:cs="Calibri"/>
                <w:sz w:val="15"/>
                <w:szCs w:val="15"/>
              </w:rPr>
            </w:pPr>
            <w:r w:rsidRPr="0049341F">
              <w:rPr>
                <w:rFonts w:ascii="Arial Narrow" w:hAnsi="Arial Narrow" w:cs="Calibri"/>
                <w:sz w:val="15"/>
                <w:szCs w:val="15"/>
              </w:rPr>
              <w:t>26,55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F61B"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$ 1.886.649,57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22D2C" w14:textId="77777777" w:rsidR="00274FFD" w:rsidRPr="0049341F" w:rsidRDefault="00274FFD" w:rsidP="00274FFD">
            <w:pPr>
              <w:jc w:val="right"/>
              <w:rPr>
                <w:rFonts w:ascii="Arial Narrow" w:hAnsi="Arial Narrow" w:cs="Calibri"/>
                <w:sz w:val="15"/>
                <w:szCs w:val="15"/>
              </w:rPr>
            </w:pPr>
            <w:r w:rsidRPr="0049341F">
              <w:rPr>
                <w:rFonts w:ascii="Arial Narrow" w:hAnsi="Arial Narrow" w:cs="Calibri"/>
                <w:sz w:val="15"/>
                <w:szCs w:val="15"/>
              </w:rPr>
              <w:t>26413094,00</w:t>
            </w:r>
          </w:p>
        </w:tc>
      </w:tr>
      <w:tr w:rsidR="00274FFD" w:rsidRPr="0049341F" w14:paraId="62BC8464" w14:textId="77777777" w:rsidTr="00372C4F">
        <w:trPr>
          <w:trHeight w:val="300"/>
        </w:trPr>
        <w:tc>
          <w:tcPr>
            <w:tcW w:w="0" w:type="auto"/>
            <w:tcBorders>
              <w:top w:val="double" w:sz="6" w:space="0" w:color="000000"/>
              <w:left w:val="single" w:sz="4" w:space="0" w:color="auto"/>
              <w:bottom w:val="single" w:sz="4" w:space="0" w:color="000000"/>
              <w:right w:val="single" w:sz="4" w:space="0" w:color="auto"/>
            </w:tcBorders>
            <w:shd w:val="clear" w:color="auto" w:fill="auto"/>
            <w:noWrap/>
            <w:vAlign w:val="center"/>
            <w:hideMark/>
          </w:tcPr>
          <w:p w14:paraId="10232104"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Total</w:t>
            </w:r>
          </w:p>
        </w:tc>
        <w:tc>
          <w:tcPr>
            <w:tcW w:w="0" w:type="auto"/>
            <w:tcBorders>
              <w:top w:val="double" w:sz="6" w:space="0" w:color="000000"/>
              <w:left w:val="single" w:sz="4" w:space="0" w:color="auto"/>
              <w:bottom w:val="single" w:sz="4" w:space="0" w:color="000000"/>
              <w:right w:val="single" w:sz="4" w:space="0" w:color="auto"/>
            </w:tcBorders>
            <w:shd w:val="clear" w:color="auto" w:fill="auto"/>
            <w:noWrap/>
            <w:vAlign w:val="center"/>
            <w:hideMark/>
          </w:tcPr>
          <w:p w14:paraId="2EB64104"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double" w:sz="6" w:space="0" w:color="000000"/>
              <w:left w:val="single" w:sz="4" w:space="0" w:color="auto"/>
              <w:bottom w:val="single" w:sz="4" w:space="0" w:color="000000"/>
              <w:right w:val="single" w:sz="4" w:space="0" w:color="auto"/>
            </w:tcBorders>
            <w:shd w:val="clear" w:color="auto" w:fill="auto"/>
            <w:noWrap/>
            <w:vAlign w:val="center"/>
            <w:hideMark/>
          </w:tcPr>
          <w:p w14:paraId="20E8F086"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double" w:sz="6" w:space="0" w:color="000000"/>
              <w:left w:val="single" w:sz="4" w:space="0" w:color="595959"/>
              <w:bottom w:val="single" w:sz="4" w:space="0" w:color="000000"/>
              <w:right w:val="single" w:sz="4" w:space="0" w:color="595959"/>
            </w:tcBorders>
            <w:shd w:val="clear" w:color="auto" w:fill="auto"/>
            <w:noWrap/>
            <w:vAlign w:val="center"/>
            <w:hideMark/>
          </w:tcPr>
          <w:p w14:paraId="236015C1"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double" w:sz="6" w:space="0" w:color="000000"/>
              <w:left w:val="single" w:sz="4" w:space="0" w:color="auto"/>
              <w:bottom w:val="single" w:sz="4" w:space="0" w:color="000000"/>
              <w:right w:val="single" w:sz="4" w:space="0" w:color="auto"/>
            </w:tcBorders>
            <w:shd w:val="clear" w:color="auto" w:fill="auto"/>
            <w:noWrap/>
            <w:vAlign w:val="center"/>
            <w:hideMark/>
          </w:tcPr>
          <w:p w14:paraId="382F551F"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double" w:sz="6" w:space="0" w:color="000000"/>
              <w:left w:val="single" w:sz="4" w:space="0" w:color="auto"/>
              <w:bottom w:val="single" w:sz="4" w:space="0" w:color="000000"/>
              <w:right w:val="single" w:sz="4" w:space="0" w:color="auto"/>
            </w:tcBorders>
            <w:shd w:val="clear" w:color="auto" w:fill="auto"/>
            <w:noWrap/>
            <w:vAlign w:val="center"/>
            <w:hideMark/>
          </w:tcPr>
          <w:p w14:paraId="0AE14F18"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double" w:sz="6" w:space="0" w:color="000000"/>
              <w:left w:val="single" w:sz="4" w:space="0" w:color="auto"/>
              <w:bottom w:val="single" w:sz="4" w:space="0" w:color="000000"/>
              <w:right w:val="nil"/>
            </w:tcBorders>
            <w:shd w:val="clear" w:color="auto" w:fill="auto"/>
            <w:noWrap/>
            <w:vAlign w:val="center"/>
            <w:hideMark/>
          </w:tcPr>
          <w:p w14:paraId="00A4147A"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3266</w:t>
            </w:r>
          </w:p>
        </w:tc>
        <w:tc>
          <w:tcPr>
            <w:tcW w:w="0" w:type="auto"/>
            <w:tcBorders>
              <w:top w:val="double" w:sz="6" w:space="0" w:color="000000"/>
              <w:left w:val="single" w:sz="4" w:space="0" w:color="auto"/>
              <w:bottom w:val="single" w:sz="4" w:space="0" w:color="000000"/>
              <w:right w:val="nil"/>
            </w:tcBorders>
            <w:shd w:val="clear" w:color="auto" w:fill="auto"/>
            <w:noWrap/>
            <w:vAlign w:val="center"/>
            <w:hideMark/>
          </w:tcPr>
          <w:p w14:paraId="31B24E1C"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466,57</w:t>
            </w:r>
          </w:p>
        </w:tc>
        <w:tc>
          <w:tcPr>
            <w:tcW w:w="1086" w:type="dxa"/>
            <w:tcBorders>
              <w:top w:val="double" w:sz="6" w:space="0" w:color="000000"/>
              <w:left w:val="single" w:sz="4" w:space="0" w:color="auto"/>
              <w:bottom w:val="single" w:sz="4" w:space="0" w:color="000000"/>
              <w:right w:val="nil"/>
            </w:tcBorders>
            <w:shd w:val="clear" w:color="auto" w:fill="auto"/>
            <w:noWrap/>
            <w:vAlign w:val="center"/>
            <w:hideMark/>
          </w:tcPr>
          <w:p w14:paraId="206B4E15"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 </w:t>
            </w:r>
          </w:p>
        </w:tc>
        <w:tc>
          <w:tcPr>
            <w:tcW w:w="874" w:type="dxa"/>
            <w:tcBorders>
              <w:top w:val="double" w:sz="6" w:space="0" w:color="000000"/>
              <w:left w:val="single" w:sz="4" w:space="0" w:color="auto"/>
              <w:bottom w:val="single" w:sz="4" w:space="0" w:color="000000"/>
              <w:right w:val="nil"/>
            </w:tcBorders>
            <w:shd w:val="clear" w:color="auto" w:fill="auto"/>
            <w:noWrap/>
            <w:vAlign w:val="center"/>
            <w:hideMark/>
          </w:tcPr>
          <w:p w14:paraId="4F9F4CAA"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4121,71</w:t>
            </w:r>
          </w:p>
        </w:tc>
        <w:tc>
          <w:tcPr>
            <w:tcW w:w="1034" w:type="dxa"/>
            <w:tcBorders>
              <w:top w:val="double" w:sz="6" w:space="0" w:color="000000"/>
              <w:left w:val="single" w:sz="4" w:space="0" w:color="auto"/>
              <w:bottom w:val="single" w:sz="4" w:space="0" w:color="000000"/>
              <w:right w:val="single" w:sz="4" w:space="0" w:color="auto"/>
            </w:tcBorders>
            <w:shd w:val="clear" w:color="auto" w:fill="auto"/>
            <w:noWrap/>
            <w:vAlign w:val="center"/>
            <w:hideMark/>
          </w:tcPr>
          <w:p w14:paraId="2D4CED76"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$ 15.786.872,00</w:t>
            </w:r>
          </w:p>
        </w:tc>
        <w:tc>
          <w:tcPr>
            <w:tcW w:w="0" w:type="auto"/>
            <w:tcBorders>
              <w:top w:val="double" w:sz="6" w:space="0" w:color="000000"/>
              <w:left w:val="nil"/>
              <w:bottom w:val="single" w:sz="4" w:space="0" w:color="000000"/>
              <w:right w:val="single" w:sz="4" w:space="0" w:color="auto"/>
            </w:tcBorders>
            <w:shd w:val="clear" w:color="auto" w:fill="auto"/>
            <w:noWrap/>
            <w:vAlign w:val="center"/>
            <w:hideMark/>
          </w:tcPr>
          <w:p w14:paraId="7B3EA5F9" w14:textId="77777777" w:rsidR="00274FFD" w:rsidRPr="0049341F" w:rsidRDefault="00274FFD" w:rsidP="00274FFD">
            <w:pPr>
              <w:jc w:val="center"/>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double" w:sz="6" w:space="0" w:color="000000"/>
              <w:left w:val="nil"/>
              <w:bottom w:val="single" w:sz="4" w:space="0" w:color="000000"/>
              <w:right w:val="nil"/>
            </w:tcBorders>
            <w:shd w:val="clear" w:color="auto" w:fill="auto"/>
            <w:noWrap/>
            <w:vAlign w:val="center"/>
            <w:hideMark/>
          </w:tcPr>
          <w:p w14:paraId="2D72470E" w14:textId="77777777" w:rsidR="00274FFD" w:rsidRPr="0049341F" w:rsidRDefault="00274FFD" w:rsidP="00274FFD">
            <w:pPr>
              <w:jc w:val="center"/>
              <w:rPr>
                <w:rFonts w:ascii="Arial Narrow" w:hAnsi="Arial Narrow" w:cs="Calibri"/>
                <w:b/>
                <w:bCs/>
                <w:sz w:val="15"/>
                <w:szCs w:val="15"/>
              </w:rPr>
            </w:pPr>
          </w:p>
        </w:tc>
        <w:tc>
          <w:tcPr>
            <w:tcW w:w="0" w:type="auto"/>
            <w:tcBorders>
              <w:top w:val="double" w:sz="6" w:space="0" w:color="000000"/>
              <w:left w:val="single" w:sz="4" w:space="0" w:color="auto"/>
              <w:bottom w:val="single" w:sz="4" w:space="0" w:color="000000"/>
              <w:right w:val="single" w:sz="4" w:space="0" w:color="auto"/>
            </w:tcBorders>
            <w:shd w:val="clear" w:color="auto" w:fill="auto"/>
            <w:noWrap/>
            <w:vAlign w:val="center"/>
            <w:hideMark/>
          </w:tcPr>
          <w:p w14:paraId="141CB8D5"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 </w:t>
            </w:r>
          </w:p>
        </w:tc>
        <w:tc>
          <w:tcPr>
            <w:tcW w:w="0" w:type="auto"/>
            <w:tcBorders>
              <w:top w:val="double" w:sz="6" w:space="0" w:color="000000"/>
              <w:left w:val="single" w:sz="4" w:space="0" w:color="auto"/>
              <w:bottom w:val="single" w:sz="4" w:space="0" w:color="000000"/>
              <w:right w:val="single" w:sz="4" w:space="0" w:color="auto"/>
            </w:tcBorders>
            <w:shd w:val="clear" w:color="auto" w:fill="auto"/>
            <w:noWrap/>
            <w:vAlign w:val="bottom"/>
            <w:hideMark/>
          </w:tcPr>
          <w:p w14:paraId="2CEB8791" w14:textId="77777777" w:rsidR="00274FFD" w:rsidRPr="0049341F" w:rsidRDefault="00274FFD" w:rsidP="00274FFD">
            <w:pPr>
              <w:jc w:val="right"/>
              <w:rPr>
                <w:rFonts w:ascii="Arial Narrow" w:hAnsi="Arial Narrow" w:cs="Calibri"/>
                <w:b/>
                <w:bCs/>
                <w:sz w:val="15"/>
                <w:szCs w:val="15"/>
              </w:rPr>
            </w:pPr>
            <w:r w:rsidRPr="0049341F">
              <w:rPr>
                <w:rFonts w:ascii="Arial Narrow" w:hAnsi="Arial Narrow" w:cs="Calibri"/>
                <w:b/>
                <w:bCs/>
                <w:sz w:val="15"/>
                <w:szCs w:val="15"/>
              </w:rPr>
              <w:t>5023777184,25</w:t>
            </w:r>
          </w:p>
        </w:tc>
      </w:tr>
      <w:tr w:rsidR="00274FFD" w:rsidRPr="0049341F" w14:paraId="01B2B980" w14:textId="77777777" w:rsidTr="00372C4F">
        <w:trPr>
          <w:trHeight w:val="320"/>
        </w:trPr>
        <w:tc>
          <w:tcPr>
            <w:tcW w:w="0" w:type="auto"/>
            <w:tcBorders>
              <w:top w:val="nil"/>
              <w:left w:val="nil"/>
              <w:bottom w:val="nil"/>
              <w:right w:val="nil"/>
            </w:tcBorders>
            <w:shd w:val="clear" w:color="auto" w:fill="auto"/>
            <w:noWrap/>
            <w:vAlign w:val="bottom"/>
            <w:hideMark/>
          </w:tcPr>
          <w:p w14:paraId="752FCB70" w14:textId="77777777" w:rsidR="00274FFD" w:rsidRPr="0049341F" w:rsidRDefault="00274FFD" w:rsidP="00274FFD">
            <w:pPr>
              <w:jc w:val="right"/>
              <w:rPr>
                <w:rFonts w:ascii="Arial Narrow" w:hAnsi="Arial Narrow" w:cs="Calibri"/>
                <w:b/>
                <w:bCs/>
                <w:sz w:val="15"/>
                <w:szCs w:val="15"/>
              </w:rPr>
            </w:pPr>
          </w:p>
        </w:tc>
        <w:tc>
          <w:tcPr>
            <w:tcW w:w="0" w:type="auto"/>
            <w:tcBorders>
              <w:top w:val="nil"/>
              <w:left w:val="nil"/>
              <w:bottom w:val="nil"/>
              <w:right w:val="nil"/>
            </w:tcBorders>
            <w:shd w:val="clear" w:color="auto" w:fill="auto"/>
            <w:noWrap/>
            <w:vAlign w:val="bottom"/>
            <w:hideMark/>
          </w:tcPr>
          <w:p w14:paraId="459C8318"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205E0FDB"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5392F9C2"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48845FF7"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1962746E"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71195070"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732FC688" w14:textId="77777777" w:rsidR="00274FFD" w:rsidRPr="0049341F" w:rsidRDefault="00274FFD" w:rsidP="00274FFD">
            <w:pPr>
              <w:rPr>
                <w:sz w:val="15"/>
                <w:szCs w:val="15"/>
              </w:rPr>
            </w:pPr>
          </w:p>
        </w:tc>
        <w:tc>
          <w:tcPr>
            <w:tcW w:w="1086" w:type="dxa"/>
            <w:tcBorders>
              <w:top w:val="nil"/>
              <w:left w:val="nil"/>
              <w:bottom w:val="nil"/>
              <w:right w:val="nil"/>
            </w:tcBorders>
            <w:shd w:val="clear" w:color="auto" w:fill="auto"/>
            <w:noWrap/>
            <w:vAlign w:val="bottom"/>
            <w:hideMark/>
          </w:tcPr>
          <w:p w14:paraId="0AE03457" w14:textId="77777777" w:rsidR="00274FFD" w:rsidRPr="0049341F" w:rsidRDefault="00274FFD" w:rsidP="00274FFD">
            <w:pPr>
              <w:rPr>
                <w:sz w:val="15"/>
                <w:szCs w:val="15"/>
              </w:rPr>
            </w:pPr>
          </w:p>
        </w:tc>
        <w:tc>
          <w:tcPr>
            <w:tcW w:w="874" w:type="dxa"/>
            <w:tcBorders>
              <w:top w:val="nil"/>
              <w:left w:val="nil"/>
              <w:bottom w:val="nil"/>
              <w:right w:val="nil"/>
            </w:tcBorders>
            <w:shd w:val="clear" w:color="auto" w:fill="auto"/>
            <w:noWrap/>
            <w:vAlign w:val="bottom"/>
            <w:hideMark/>
          </w:tcPr>
          <w:p w14:paraId="5644947E" w14:textId="77777777" w:rsidR="00274FFD" w:rsidRPr="0049341F" w:rsidRDefault="00274FFD" w:rsidP="00274FFD">
            <w:pPr>
              <w:rPr>
                <w:sz w:val="15"/>
                <w:szCs w:val="15"/>
              </w:rPr>
            </w:pPr>
          </w:p>
        </w:tc>
        <w:tc>
          <w:tcPr>
            <w:tcW w:w="1034" w:type="dxa"/>
            <w:tcBorders>
              <w:top w:val="nil"/>
              <w:left w:val="nil"/>
              <w:bottom w:val="nil"/>
              <w:right w:val="nil"/>
            </w:tcBorders>
            <w:shd w:val="clear" w:color="auto" w:fill="auto"/>
            <w:noWrap/>
            <w:vAlign w:val="bottom"/>
            <w:hideMark/>
          </w:tcPr>
          <w:p w14:paraId="20018A08"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761909BA"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399726F2"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76BDEDD9" w14:textId="77777777" w:rsidR="00274FFD" w:rsidRPr="0049341F" w:rsidRDefault="00274FFD" w:rsidP="00274FFD">
            <w:pPr>
              <w:rPr>
                <w:sz w:val="15"/>
                <w:szCs w:val="15"/>
              </w:rPr>
            </w:pPr>
          </w:p>
        </w:tc>
        <w:tc>
          <w:tcPr>
            <w:tcW w:w="0" w:type="auto"/>
            <w:tcBorders>
              <w:top w:val="nil"/>
              <w:left w:val="nil"/>
              <w:bottom w:val="nil"/>
              <w:right w:val="nil"/>
            </w:tcBorders>
            <w:shd w:val="clear" w:color="auto" w:fill="auto"/>
            <w:noWrap/>
            <w:vAlign w:val="bottom"/>
            <w:hideMark/>
          </w:tcPr>
          <w:p w14:paraId="6F5A9929" w14:textId="77777777" w:rsidR="00274FFD" w:rsidRPr="0049341F" w:rsidRDefault="00274FFD" w:rsidP="00274FFD">
            <w:pPr>
              <w:rPr>
                <w:sz w:val="15"/>
                <w:szCs w:val="15"/>
              </w:rPr>
            </w:pPr>
          </w:p>
        </w:tc>
      </w:tr>
      <w:tr w:rsidR="00274FFD" w:rsidRPr="0075628E" w14:paraId="49F84294" w14:textId="77777777" w:rsidTr="00372C4F">
        <w:trPr>
          <w:trHeight w:val="330"/>
        </w:trPr>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08323DD" w14:textId="59E38DB3" w:rsidR="00274FFD" w:rsidRPr="0075628E" w:rsidRDefault="00274FFD" w:rsidP="00274FFD">
            <w:pPr>
              <w:rPr>
                <w:rFonts w:ascii="Arial Narrow" w:hAnsi="Arial Narrow" w:cs="Calibri"/>
                <w:color w:val="000000"/>
                <w:sz w:val="18"/>
                <w:szCs w:val="18"/>
              </w:rPr>
            </w:pPr>
            <w:r w:rsidRPr="0075628E">
              <w:rPr>
                <w:rFonts w:ascii="Arial Narrow" w:hAnsi="Arial Narrow" w:cs="Calibri"/>
                <w:color w:val="000000"/>
                <w:sz w:val="18"/>
                <w:szCs w:val="18"/>
              </w:rPr>
              <w:t xml:space="preserve">*Porcentaje Promedio de Cotización (PPC)= Sumatoria # de semanas multiplicado por % de Cotización de esas </w:t>
            </w:r>
            <w:r w:rsidR="0075628E" w:rsidRPr="0075628E">
              <w:rPr>
                <w:rFonts w:ascii="Arial Narrow" w:hAnsi="Arial Narrow" w:cs="Calibri"/>
                <w:color w:val="000000"/>
                <w:sz w:val="18"/>
                <w:szCs w:val="18"/>
              </w:rPr>
              <w:t>semanas divididas</w:t>
            </w:r>
            <w:r w:rsidRPr="0075628E">
              <w:rPr>
                <w:rFonts w:ascii="Arial Narrow" w:hAnsi="Arial Narrow" w:cs="Calibri"/>
                <w:color w:val="000000"/>
                <w:sz w:val="18"/>
                <w:szCs w:val="18"/>
              </w:rPr>
              <w:t xml:space="preserve"> por el total de todas las semanas</w:t>
            </w:r>
          </w:p>
        </w:tc>
        <w:tc>
          <w:tcPr>
            <w:tcW w:w="1086" w:type="dxa"/>
            <w:vMerge w:val="restart"/>
            <w:tcBorders>
              <w:top w:val="single" w:sz="8" w:space="0" w:color="auto"/>
              <w:left w:val="nil"/>
              <w:bottom w:val="single" w:sz="8" w:space="0" w:color="000000"/>
              <w:right w:val="single" w:sz="8" w:space="0" w:color="auto"/>
            </w:tcBorders>
            <w:shd w:val="clear" w:color="auto" w:fill="auto"/>
            <w:vAlign w:val="center"/>
            <w:hideMark/>
          </w:tcPr>
          <w:p w14:paraId="0203B041" w14:textId="77777777" w:rsidR="00274FFD" w:rsidRPr="0075628E" w:rsidRDefault="00274FFD" w:rsidP="00274FFD">
            <w:pPr>
              <w:jc w:val="center"/>
              <w:rPr>
                <w:rFonts w:ascii="Arial Narrow" w:hAnsi="Arial Narrow" w:cs="Calibri"/>
                <w:color w:val="000000"/>
                <w:sz w:val="18"/>
                <w:szCs w:val="18"/>
              </w:rPr>
            </w:pPr>
            <w:r w:rsidRPr="0075628E">
              <w:rPr>
                <w:rFonts w:ascii="Arial Narrow" w:hAnsi="Arial Narrow" w:cs="Calibri"/>
                <w:color w:val="000000"/>
                <w:sz w:val="18"/>
                <w:szCs w:val="18"/>
              </w:rPr>
              <w:t>8,83</w:t>
            </w:r>
          </w:p>
        </w:tc>
        <w:tc>
          <w:tcPr>
            <w:tcW w:w="874" w:type="dxa"/>
            <w:tcBorders>
              <w:top w:val="nil"/>
              <w:left w:val="nil"/>
              <w:bottom w:val="nil"/>
              <w:right w:val="nil"/>
            </w:tcBorders>
            <w:shd w:val="clear" w:color="auto" w:fill="auto"/>
            <w:noWrap/>
            <w:vAlign w:val="bottom"/>
            <w:hideMark/>
          </w:tcPr>
          <w:p w14:paraId="628D655C" w14:textId="77777777" w:rsidR="00274FFD" w:rsidRPr="0075628E" w:rsidRDefault="00274FFD" w:rsidP="00274FFD">
            <w:pPr>
              <w:jc w:val="center"/>
              <w:rPr>
                <w:rFonts w:ascii="Arial Narrow" w:hAnsi="Arial Narrow" w:cs="Calibri"/>
                <w:color w:val="000000"/>
                <w:sz w:val="18"/>
                <w:szCs w:val="18"/>
              </w:rPr>
            </w:pPr>
          </w:p>
        </w:tc>
        <w:tc>
          <w:tcPr>
            <w:tcW w:w="1034" w:type="dxa"/>
            <w:tcBorders>
              <w:top w:val="nil"/>
              <w:left w:val="nil"/>
              <w:bottom w:val="nil"/>
              <w:right w:val="nil"/>
            </w:tcBorders>
            <w:shd w:val="clear" w:color="auto" w:fill="auto"/>
            <w:noWrap/>
            <w:vAlign w:val="bottom"/>
            <w:hideMark/>
          </w:tcPr>
          <w:p w14:paraId="657659A8"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085A6DB5"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102F6CE8"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0671C3F2"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576CF37" w14:textId="77777777" w:rsidR="00274FFD" w:rsidRPr="0075628E" w:rsidRDefault="00274FFD" w:rsidP="00274FFD">
            <w:pPr>
              <w:rPr>
                <w:sz w:val="18"/>
                <w:szCs w:val="18"/>
              </w:rPr>
            </w:pPr>
          </w:p>
        </w:tc>
      </w:tr>
      <w:tr w:rsidR="00274FFD" w:rsidRPr="0075628E" w14:paraId="66E170A9" w14:textId="77777777" w:rsidTr="00372C4F">
        <w:trPr>
          <w:trHeight w:val="300"/>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541EFA30" w14:textId="77777777" w:rsidR="00274FFD" w:rsidRPr="0075628E" w:rsidRDefault="00274FFD" w:rsidP="00274FFD">
            <w:pPr>
              <w:rPr>
                <w:rFonts w:ascii="Arial Narrow" w:hAnsi="Arial Narrow" w:cs="Calibri"/>
                <w:color w:val="000000"/>
                <w:sz w:val="18"/>
                <w:szCs w:val="18"/>
              </w:rPr>
            </w:pPr>
          </w:p>
        </w:tc>
        <w:tc>
          <w:tcPr>
            <w:tcW w:w="1086" w:type="dxa"/>
            <w:vMerge/>
            <w:tcBorders>
              <w:top w:val="single" w:sz="8" w:space="0" w:color="auto"/>
              <w:left w:val="nil"/>
              <w:bottom w:val="single" w:sz="8" w:space="0" w:color="000000"/>
              <w:right w:val="single" w:sz="8" w:space="0" w:color="auto"/>
            </w:tcBorders>
            <w:vAlign w:val="center"/>
            <w:hideMark/>
          </w:tcPr>
          <w:p w14:paraId="4370D5C9" w14:textId="77777777" w:rsidR="00274FFD" w:rsidRPr="0075628E" w:rsidRDefault="00274FFD" w:rsidP="00274FFD">
            <w:pPr>
              <w:rPr>
                <w:rFonts w:ascii="Arial Narrow" w:hAnsi="Arial Narrow" w:cs="Calibri"/>
                <w:color w:val="000000"/>
                <w:sz w:val="18"/>
                <w:szCs w:val="18"/>
              </w:rPr>
            </w:pPr>
          </w:p>
        </w:tc>
        <w:tc>
          <w:tcPr>
            <w:tcW w:w="874" w:type="dxa"/>
            <w:tcBorders>
              <w:top w:val="nil"/>
              <w:left w:val="nil"/>
              <w:bottom w:val="nil"/>
              <w:right w:val="nil"/>
            </w:tcBorders>
            <w:shd w:val="clear" w:color="auto" w:fill="auto"/>
            <w:noWrap/>
            <w:vAlign w:val="bottom"/>
            <w:hideMark/>
          </w:tcPr>
          <w:p w14:paraId="5AC64B65"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0447578F"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3FF6B1B6"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760C65C3"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4A8D117"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6B6A44E2" w14:textId="77777777" w:rsidR="00274FFD" w:rsidRPr="0075628E" w:rsidRDefault="00274FFD" w:rsidP="00274FFD">
            <w:pPr>
              <w:rPr>
                <w:sz w:val="18"/>
                <w:szCs w:val="18"/>
              </w:rPr>
            </w:pPr>
          </w:p>
        </w:tc>
      </w:tr>
      <w:tr w:rsidR="00274FFD" w:rsidRPr="0075628E" w14:paraId="7D5CBF34" w14:textId="77777777" w:rsidTr="00372C4F">
        <w:trPr>
          <w:trHeight w:val="320"/>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71ABE639" w14:textId="77777777" w:rsidR="00274FFD" w:rsidRPr="0075628E" w:rsidRDefault="00274FFD" w:rsidP="00274FFD">
            <w:pPr>
              <w:rPr>
                <w:rFonts w:ascii="Arial Narrow" w:hAnsi="Arial Narrow" w:cs="Calibri"/>
                <w:color w:val="000000"/>
                <w:sz w:val="18"/>
                <w:szCs w:val="18"/>
              </w:rPr>
            </w:pPr>
          </w:p>
        </w:tc>
        <w:tc>
          <w:tcPr>
            <w:tcW w:w="1086" w:type="dxa"/>
            <w:vMerge/>
            <w:tcBorders>
              <w:top w:val="single" w:sz="8" w:space="0" w:color="auto"/>
              <w:left w:val="nil"/>
              <w:bottom w:val="single" w:sz="8" w:space="0" w:color="000000"/>
              <w:right w:val="single" w:sz="8" w:space="0" w:color="auto"/>
            </w:tcBorders>
            <w:vAlign w:val="center"/>
            <w:hideMark/>
          </w:tcPr>
          <w:p w14:paraId="6AAC08F3" w14:textId="77777777" w:rsidR="00274FFD" w:rsidRPr="0075628E" w:rsidRDefault="00274FFD" w:rsidP="00274FFD">
            <w:pPr>
              <w:rPr>
                <w:rFonts w:ascii="Arial Narrow" w:hAnsi="Arial Narrow" w:cs="Calibri"/>
                <w:color w:val="000000"/>
                <w:sz w:val="18"/>
                <w:szCs w:val="18"/>
              </w:rPr>
            </w:pPr>
          </w:p>
        </w:tc>
        <w:tc>
          <w:tcPr>
            <w:tcW w:w="874" w:type="dxa"/>
            <w:tcBorders>
              <w:top w:val="nil"/>
              <w:left w:val="nil"/>
              <w:bottom w:val="nil"/>
              <w:right w:val="nil"/>
            </w:tcBorders>
            <w:shd w:val="clear" w:color="auto" w:fill="auto"/>
            <w:noWrap/>
            <w:vAlign w:val="bottom"/>
            <w:hideMark/>
          </w:tcPr>
          <w:p w14:paraId="64E03003"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079EC5D9"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7118D8BE"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613FD2BA"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68842460"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30746BEA" w14:textId="77777777" w:rsidR="00274FFD" w:rsidRPr="0075628E" w:rsidRDefault="00274FFD" w:rsidP="00274FFD">
            <w:pPr>
              <w:rPr>
                <w:sz w:val="18"/>
                <w:szCs w:val="18"/>
              </w:rPr>
            </w:pPr>
          </w:p>
        </w:tc>
      </w:tr>
      <w:tr w:rsidR="00274FFD" w:rsidRPr="0075628E" w14:paraId="0FDAAD4F" w14:textId="77777777" w:rsidTr="00372C4F">
        <w:trPr>
          <w:trHeight w:val="300"/>
        </w:trPr>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202DDE" w14:textId="77777777" w:rsidR="00274FFD" w:rsidRPr="0075628E" w:rsidRDefault="00274FFD" w:rsidP="00274FFD">
            <w:pPr>
              <w:rPr>
                <w:rFonts w:ascii="Arial Narrow" w:hAnsi="Arial Narrow" w:cs="Calibri"/>
                <w:color w:val="000000"/>
                <w:sz w:val="18"/>
                <w:szCs w:val="18"/>
              </w:rPr>
            </w:pPr>
            <w:r w:rsidRPr="0075628E">
              <w:rPr>
                <w:rFonts w:ascii="Arial Narrow" w:hAnsi="Arial Narrow" w:cs="Calibri"/>
                <w:color w:val="000000"/>
                <w:sz w:val="18"/>
                <w:szCs w:val="18"/>
              </w:rPr>
              <w:t>INGRESO PROMEDIO MENSUAL= Sumatoria Dividida por # Total de días</w:t>
            </w:r>
          </w:p>
        </w:tc>
        <w:tc>
          <w:tcPr>
            <w:tcW w:w="1086" w:type="dxa"/>
            <w:vMerge w:val="restart"/>
            <w:tcBorders>
              <w:top w:val="nil"/>
              <w:left w:val="nil"/>
              <w:bottom w:val="single" w:sz="8" w:space="0" w:color="000000"/>
              <w:right w:val="single" w:sz="8" w:space="0" w:color="auto"/>
            </w:tcBorders>
            <w:shd w:val="clear" w:color="auto" w:fill="auto"/>
            <w:vAlign w:val="center"/>
            <w:hideMark/>
          </w:tcPr>
          <w:p w14:paraId="6F8C80C7" w14:textId="77777777" w:rsidR="00274FFD" w:rsidRPr="0075628E" w:rsidRDefault="00274FFD" w:rsidP="00274FFD">
            <w:pPr>
              <w:jc w:val="center"/>
              <w:rPr>
                <w:rFonts w:ascii="Arial Narrow" w:hAnsi="Arial Narrow" w:cs="Calibri"/>
                <w:color w:val="000000"/>
                <w:sz w:val="18"/>
                <w:szCs w:val="18"/>
              </w:rPr>
            </w:pPr>
            <w:r w:rsidRPr="0075628E">
              <w:rPr>
                <w:rFonts w:ascii="Arial Narrow" w:hAnsi="Arial Narrow" w:cs="Calibri"/>
                <w:color w:val="000000"/>
                <w:sz w:val="18"/>
                <w:szCs w:val="18"/>
              </w:rPr>
              <w:t>$ 1.538.204,89</w:t>
            </w:r>
          </w:p>
        </w:tc>
        <w:tc>
          <w:tcPr>
            <w:tcW w:w="874" w:type="dxa"/>
            <w:tcBorders>
              <w:top w:val="nil"/>
              <w:left w:val="nil"/>
              <w:bottom w:val="nil"/>
              <w:right w:val="nil"/>
            </w:tcBorders>
            <w:shd w:val="clear" w:color="auto" w:fill="auto"/>
            <w:noWrap/>
            <w:vAlign w:val="bottom"/>
            <w:hideMark/>
          </w:tcPr>
          <w:p w14:paraId="7C35380B" w14:textId="77777777" w:rsidR="00274FFD" w:rsidRPr="0075628E" w:rsidRDefault="00274FFD" w:rsidP="00274FFD">
            <w:pPr>
              <w:jc w:val="center"/>
              <w:rPr>
                <w:rFonts w:ascii="Arial Narrow" w:hAnsi="Arial Narrow" w:cs="Calibri"/>
                <w:color w:val="000000"/>
                <w:sz w:val="18"/>
                <w:szCs w:val="18"/>
              </w:rPr>
            </w:pPr>
          </w:p>
        </w:tc>
        <w:tc>
          <w:tcPr>
            <w:tcW w:w="1034" w:type="dxa"/>
            <w:tcBorders>
              <w:top w:val="nil"/>
              <w:left w:val="nil"/>
              <w:bottom w:val="nil"/>
              <w:right w:val="nil"/>
            </w:tcBorders>
            <w:shd w:val="clear" w:color="auto" w:fill="auto"/>
            <w:noWrap/>
            <w:vAlign w:val="bottom"/>
            <w:hideMark/>
          </w:tcPr>
          <w:p w14:paraId="20B3F19D"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3248D201"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2EAD2C28"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4483D26C"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102C558D" w14:textId="77777777" w:rsidR="00274FFD" w:rsidRPr="0075628E" w:rsidRDefault="00274FFD" w:rsidP="00274FFD">
            <w:pPr>
              <w:rPr>
                <w:sz w:val="18"/>
                <w:szCs w:val="18"/>
              </w:rPr>
            </w:pPr>
          </w:p>
        </w:tc>
      </w:tr>
      <w:tr w:rsidR="00274FFD" w:rsidRPr="0075628E" w14:paraId="4603DC44" w14:textId="77777777" w:rsidTr="00372C4F">
        <w:trPr>
          <w:trHeight w:val="300"/>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5337742F" w14:textId="77777777" w:rsidR="00274FFD" w:rsidRPr="0075628E" w:rsidRDefault="00274FFD" w:rsidP="00274FFD">
            <w:pPr>
              <w:rPr>
                <w:rFonts w:ascii="Arial Narrow" w:hAnsi="Arial Narrow" w:cs="Calibri"/>
                <w:color w:val="000000"/>
                <w:sz w:val="18"/>
                <w:szCs w:val="18"/>
              </w:rPr>
            </w:pPr>
          </w:p>
        </w:tc>
        <w:tc>
          <w:tcPr>
            <w:tcW w:w="1086" w:type="dxa"/>
            <w:vMerge/>
            <w:tcBorders>
              <w:top w:val="nil"/>
              <w:left w:val="nil"/>
              <w:bottom w:val="single" w:sz="8" w:space="0" w:color="000000"/>
              <w:right w:val="single" w:sz="8" w:space="0" w:color="auto"/>
            </w:tcBorders>
            <w:vAlign w:val="center"/>
            <w:hideMark/>
          </w:tcPr>
          <w:p w14:paraId="117109AA" w14:textId="77777777" w:rsidR="00274FFD" w:rsidRPr="0075628E" w:rsidRDefault="00274FFD" w:rsidP="00274FFD">
            <w:pPr>
              <w:rPr>
                <w:rFonts w:ascii="Arial Narrow" w:hAnsi="Arial Narrow" w:cs="Calibri"/>
                <w:color w:val="000000"/>
                <w:sz w:val="18"/>
                <w:szCs w:val="18"/>
              </w:rPr>
            </w:pPr>
          </w:p>
        </w:tc>
        <w:tc>
          <w:tcPr>
            <w:tcW w:w="874" w:type="dxa"/>
            <w:tcBorders>
              <w:top w:val="nil"/>
              <w:left w:val="nil"/>
              <w:bottom w:val="nil"/>
              <w:right w:val="nil"/>
            </w:tcBorders>
            <w:shd w:val="clear" w:color="auto" w:fill="auto"/>
            <w:noWrap/>
            <w:vAlign w:val="bottom"/>
            <w:hideMark/>
          </w:tcPr>
          <w:p w14:paraId="388C8963"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027F7183"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6E325A32"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1CBB256F"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297C1B4"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22EF00F1" w14:textId="77777777" w:rsidR="00274FFD" w:rsidRPr="0075628E" w:rsidRDefault="00274FFD" w:rsidP="00274FFD">
            <w:pPr>
              <w:rPr>
                <w:sz w:val="18"/>
                <w:szCs w:val="18"/>
              </w:rPr>
            </w:pPr>
          </w:p>
        </w:tc>
      </w:tr>
      <w:tr w:rsidR="00274FFD" w:rsidRPr="0075628E" w14:paraId="5C83A5AD" w14:textId="77777777" w:rsidTr="00372C4F">
        <w:trPr>
          <w:trHeight w:val="320"/>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1D25F7D2" w14:textId="77777777" w:rsidR="00274FFD" w:rsidRPr="0075628E" w:rsidRDefault="00274FFD" w:rsidP="00274FFD">
            <w:pPr>
              <w:rPr>
                <w:rFonts w:ascii="Arial Narrow" w:hAnsi="Arial Narrow" w:cs="Calibri"/>
                <w:color w:val="000000"/>
                <w:sz w:val="18"/>
                <w:szCs w:val="18"/>
              </w:rPr>
            </w:pPr>
          </w:p>
        </w:tc>
        <w:tc>
          <w:tcPr>
            <w:tcW w:w="1086" w:type="dxa"/>
            <w:vMerge/>
            <w:tcBorders>
              <w:top w:val="nil"/>
              <w:left w:val="nil"/>
              <w:bottom w:val="single" w:sz="8" w:space="0" w:color="000000"/>
              <w:right w:val="single" w:sz="8" w:space="0" w:color="auto"/>
            </w:tcBorders>
            <w:vAlign w:val="center"/>
            <w:hideMark/>
          </w:tcPr>
          <w:p w14:paraId="54A0E1F8" w14:textId="77777777" w:rsidR="00274FFD" w:rsidRPr="0075628E" w:rsidRDefault="00274FFD" w:rsidP="00274FFD">
            <w:pPr>
              <w:rPr>
                <w:rFonts w:ascii="Arial Narrow" w:hAnsi="Arial Narrow" w:cs="Calibri"/>
                <w:color w:val="000000"/>
                <w:sz w:val="18"/>
                <w:szCs w:val="18"/>
              </w:rPr>
            </w:pPr>
          </w:p>
        </w:tc>
        <w:tc>
          <w:tcPr>
            <w:tcW w:w="874" w:type="dxa"/>
            <w:tcBorders>
              <w:top w:val="nil"/>
              <w:left w:val="nil"/>
              <w:bottom w:val="nil"/>
              <w:right w:val="nil"/>
            </w:tcBorders>
            <w:shd w:val="clear" w:color="auto" w:fill="auto"/>
            <w:noWrap/>
            <w:vAlign w:val="bottom"/>
            <w:hideMark/>
          </w:tcPr>
          <w:p w14:paraId="3B09C727"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0129F7C4"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4212D074"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66D3B919"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6370D9E8"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7B6493B6" w14:textId="77777777" w:rsidR="00274FFD" w:rsidRPr="0075628E" w:rsidRDefault="00274FFD" w:rsidP="00274FFD">
            <w:pPr>
              <w:rPr>
                <w:sz w:val="18"/>
                <w:szCs w:val="18"/>
              </w:rPr>
            </w:pPr>
          </w:p>
        </w:tc>
      </w:tr>
      <w:tr w:rsidR="00274FFD" w:rsidRPr="0075628E" w14:paraId="0A22132D" w14:textId="77777777" w:rsidTr="00372C4F">
        <w:trPr>
          <w:trHeight w:val="300"/>
        </w:trPr>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77C1BA" w14:textId="1B5D3DF8" w:rsidR="00274FFD" w:rsidRPr="0075628E" w:rsidRDefault="00274FFD" w:rsidP="00274FFD">
            <w:pPr>
              <w:rPr>
                <w:rFonts w:ascii="Arial Narrow" w:hAnsi="Arial Narrow" w:cs="Calibri"/>
                <w:color w:val="000000"/>
                <w:sz w:val="18"/>
                <w:szCs w:val="18"/>
              </w:rPr>
            </w:pPr>
            <w:r w:rsidRPr="0075628E">
              <w:rPr>
                <w:rFonts w:ascii="Arial Narrow" w:hAnsi="Arial Narrow" w:cs="Calibri"/>
                <w:color w:val="000000"/>
                <w:sz w:val="18"/>
                <w:szCs w:val="18"/>
              </w:rPr>
              <w:t xml:space="preserve">Salario Base cotización </w:t>
            </w:r>
            <w:r w:rsidR="0075628E" w:rsidRPr="0075628E">
              <w:rPr>
                <w:rFonts w:ascii="Arial Narrow" w:hAnsi="Arial Narrow" w:cs="Calibri"/>
                <w:color w:val="000000"/>
                <w:sz w:val="18"/>
                <w:szCs w:val="18"/>
              </w:rPr>
              <w:t>semanal (</w:t>
            </w:r>
            <w:proofErr w:type="gramStart"/>
            <w:r w:rsidRPr="0075628E">
              <w:rPr>
                <w:rFonts w:ascii="Arial Narrow" w:hAnsi="Arial Narrow" w:cs="Calibri"/>
                <w:color w:val="000000"/>
                <w:sz w:val="18"/>
                <w:szCs w:val="18"/>
              </w:rPr>
              <w:t>SBC )</w:t>
            </w:r>
            <w:proofErr w:type="gramEnd"/>
            <w:r w:rsidRPr="0075628E">
              <w:rPr>
                <w:rFonts w:ascii="Arial Narrow" w:hAnsi="Arial Narrow" w:cs="Calibri"/>
                <w:color w:val="000000"/>
                <w:sz w:val="18"/>
                <w:szCs w:val="18"/>
              </w:rPr>
              <w:t xml:space="preserve">= Ingreso mensual dividido por 30 y </w:t>
            </w:r>
            <w:proofErr w:type="spellStart"/>
            <w:r w:rsidRPr="0075628E">
              <w:rPr>
                <w:rFonts w:ascii="Arial Narrow" w:hAnsi="Arial Narrow" w:cs="Calibri"/>
                <w:color w:val="000000"/>
                <w:sz w:val="18"/>
                <w:szCs w:val="18"/>
              </w:rPr>
              <w:t>mutiplicado</w:t>
            </w:r>
            <w:proofErr w:type="spellEnd"/>
            <w:r w:rsidRPr="0075628E">
              <w:rPr>
                <w:rFonts w:ascii="Arial Narrow" w:hAnsi="Arial Narrow" w:cs="Calibri"/>
                <w:color w:val="000000"/>
                <w:sz w:val="18"/>
                <w:szCs w:val="18"/>
              </w:rPr>
              <w:t xml:space="preserve"> por 7</w:t>
            </w:r>
          </w:p>
        </w:tc>
        <w:tc>
          <w:tcPr>
            <w:tcW w:w="1086" w:type="dxa"/>
            <w:vMerge w:val="restart"/>
            <w:tcBorders>
              <w:top w:val="nil"/>
              <w:left w:val="nil"/>
              <w:bottom w:val="single" w:sz="8" w:space="0" w:color="000000"/>
              <w:right w:val="single" w:sz="8" w:space="0" w:color="auto"/>
            </w:tcBorders>
            <w:shd w:val="clear" w:color="auto" w:fill="auto"/>
            <w:vAlign w:val="center"/>
            <w:hideMark/>
          </w:tcPr>
          <w:p w14:paraId="2A4FDB48" w14:textId="77777777" w:rsidR="00274FFD" w:rsidRPr="0075628E" w:rsidRDefault="00274FFD" w:rsidP="00274FFD">
            <w:pPr>
              <w:jc w:val="center"/>
              <w:rPr>
                <w:rFonts w:ascii="Arial Narrow" w:hAnsi="Arial Narrow" w:cs="Calibri"/>
                <w:color w:val="000000"/>
                <w:sz w:val="18"/>
                <w:szCs w:val="18"/>
              </w:rPr>
            </w:pPr>
            <w:r w:rsidRPr="0075628E">
              <w:rPr>
                <w:rFonts w:ascii="Arial Narrow" w:hAnsi="Arial Narrow" w:cs="Calibri"/>
                <w:color w:val="000000"/>
                <w:sz w:val="18"/>
                <w:szCs w:val="18"/>
              </w:rPr>
              <w:t>$ 358.914,48</w:t>
            </w:r>
          </w:p>
        </w:tc>
        <w:tc>
          <w:tcPr>
            <w:tcW w:w="874" w:type="dxa"/>
            <w:tcBorders>
              <w:top w:val="nil"/>
              <w:left w:val="nil"/>
              <w:bottom w:val="nil"/>
              <w:right w:val="nil"/>
            </w:tcBorders>
            <w:shd w:val="clear" w:color="auto" w:fill="auto"/>
            <w:noWrap/>
            <w:vAlign w:val="bottom"/>
            <w:hideMark/>
          </w:tcPr>
          <w:p w14:paraId="549C2369" w14:textId="77777777" w:rsidR="00274FFD" w:rsidRPr="0075628E" w:rsidRDefault="00274FFD" w:rsidP="00274FFD">
            <w:pPr>
              <w:jc w:val="center"/>
              <w:rPr>
                <w:rFonts w:ascii="Arial Narrow" w:hAnsi="Arial Narrow" w:cs="Calibri"/>
                <w:color w:val="000000"/>
                <w:sz w:val="18"/>
                <w:szCs w:val="18"/>
              </w:rPr>
            </w:pPr>
          </w:p>
        </w:tc>
        <w:tc>
          <w:tcPr>
            <w:tcW w:w="1034" w:type="dxa"/>
            <w:tcBorders>
              <w:top w:val="nil"/>
              <w:left w:val="nil"/>
              <w:bottom w:val="nil"/>
              <w:right w:val="nil"/>
            </w:tcBorders>
            <w:shd w:val="clear" w:color="auto" w:fill="auto"/>
            <w:noWrap/>
            <w:vAlign w:val="bottom"/>
            <w:hideMark/>
          </w:tcPr>
          <w:p w14:paraId="05074D36"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0429D0D6"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33D4868"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710F8D21"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7CA61289" w14:textId="77777777" w:rsidR="00274FFD" w:rsidRPr="0075628E" w:rsidRDefault="00274FFD" w:rsidP="00274FFD">
            <w:pPr>
              <w:rPr>
                <w:sz w:val="18"/>
                <w:szCs w:val="18"/>
              </w:rPr>
            </w:pPr>
          </w:p>
        </w:tc>
      </w:tr>
      <w:tr w:rsidR="00274FFD" w:rsidRPr="0075628E" w14:paraId="62F9A0A9" w14:textId="77777777" w:rsidTr="00372C4F">
        <w:trPr>
          <w:trHeight w:val="300"/>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58464D22" w14:textId="77777777" w:rsidR="00274FFD" w:rsidRPr="0075628E" w:rsidRDefault="00274FFD" w:rsidP="00274FFD">
            <w:pPr>
              <w:rPr>
                <w:rFonts w:ascii="Arial Narrow" w:hAnsi="Arial Narrow" w:cs="Calibri"/>
                <w:color w:val="000000"/>
                <w:sz w:val="18"/>
                <w:szCs w:val="18"/>
              </w:rPr>
            </w:pPr>
          </w:p>
        </w:tc>
        <w:tc>
          <w:tcPr>
            <w:tcW w:w="1086" w:type="dxa"/>
            <w:vMerge/>
            <w:tcBorders>
              <w:top w:val="nil"/>
              <w:left w:val="nil"/>
              <w:bottom w:val="single" w:sz="8" w:space="0" w:color="000000"/>
              <w:right w:val="single" w:sz="8" w:space="0" w:color="auto"/>
            </w:tcBorders>
            <w:vAlign w:val="center"/>
            <w:hideMark/>
          </w:tcPr>
          <w:p w14:paraId="1C09FC80" w14:textId="77777777" w:rsidR="00274FFD" w:rsidRPr="0075628E" w:rsidRDefault="00274FFD" w:rsidP="00274FFD">
            <w:pPr>
              <w:rPr>
                <w:rFonts w:ascii="Arial Narrow" w:hAnsi="Arial Narrow" w:cs="Calibri"/>
                <w:color w:val="000000"/>
                <w:sz w:val="18"/>
                <w:szCs w:val="18"/>
              </w:rPr>
            </w:pPr>
          </w:p>
        </w:tc>
        <w:tc>
          <w:tcPr>
            <w:tcW w:w="874" w:type="dxa"/>
            <w:tcBorders>
              <w:top w:val="nil"/>
              <w:left w:val="nil"/>
              <w:bottom w:val="nil"/>
              <w:right w:val="nil"/>
            </w:tcBorders>
            <w:shd w:val="clear" w:color="auto" w:fill="auto"/>
            <w:noWrap/>
            <w:vAlign w:val="bottom"/>
            <w:hideMark/>
          </w:tcPr>
          <w:p w14:paraId="46288A99"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1C59F018"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415C7A65"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13D05EF1"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3BD70CC2"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441133B6" w14:textId="77777777" w:rsidR="00274FFD" w:rsidRPr="0075628E" w:rsidRDefault="00274FFD" w:rsidP="00274FFD">
            <w:pPr>
              <w:rPr>
                <w:sz w:val="18"/>
                <w:szCs w:val="18"/>
              </w:rPr>
            </w:pPr>
          </w:p>
        </w:tc>
      </w:tr>
      <w:tr w:rsidR="00274FFD" w:rsidRPr="0075628E" w14:paraId="6A4E3A5E" w14:textId="77777777" w:rsidTr="00372C4F">
        <w:trPr>
          <w:trHeight w:val="320"/>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1D95618B" w14:textId="77777777" w:rsidR="00274FFD" w:rsidRPr="0075628E" w:rsidRDefault="00274FFD" w:rsidP="00274FFD">
            <w:pPr>
              <w:rPr>
                <w:rFonts w:ascii="Arial Narrow" w:hAnsi="Arial Narrow" w:cs="Calibri"/>
                <w:color w:val="000000"/>
                <w:sz w:val="18"/>
                <w:szCs w:val="18"/>
              </w:rPr>
            </w:pPr>
          </w:p>
        </w:tc>
        <w:tc>
          <w:tcPr>
            <w:tcW w:w="1086" w:type="dxa"/>
            <w:vMerge/>
            <w:tcBorders>
              <w:top w:val="nil"/>
              <w:left w:val="nil"/>
              <w:bottom w:val="single" w:sz="8" w:space="0" w:color="000000"/>
              <w:right w:val="single" w:sz="8" w:space="0" w:color="auto"/>
            </w:tcBorders>
            <w:vAlign w:val="center"/>
            <w:hideMark/>
          </w:tcPr>
          <w:p w14:paraId="06CBC56D" w14:textId="77777777" w:rsidR="00274FFD" w:rsidRPr="0075628E" w:rsidRDefault="00274FFD" w:rsidP="00274FFD">
            <w:pPr>
              <w:rPr>
                <w:rFonts w:ascii="Arial Narrow" w:hAnsi="Arial Narrow" w:cs="Calibri"/>
                <w:color w:val="000000"/>
                <w:sz w:val="18"/>
                <w:szCs w:val="18"/>
              </w:rPr>
            </w:pPr>
          </w:p>
        </w:tc>
        <w:tc>
          <w:tcPr>
            <w:tcW w:w="874" w:type="dxa"/>
            <w:tcBorders>
              <w:top w:val="nil"/>
              <w:left w:val="nil"/>
              <w:bottom w:val="nil"/>
              <w:right w:val="nil"/>
            </w:tcBorders>
            <w:shd w:val="clear" w:color="auto" w:fill="auto"/>
            <w:noWrap/>
            <w:vAlign w:val="bottom"/>
            <w:hideMark/>
          </w:tcPr>
          <w:p w14:paraId="5261955A"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04AB84BA"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430F7DAE"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44555932"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194BBCF7"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099D157E" w14:textId="77777777" w:rsidR="00274FFD" w:rsidRPr="0075628E" w:rsidRDefault="00274FFD" w:rsidP="00274FFD">
            <w:pPr>
              <w:rPr>
                <w:sz w:val="18"/>
                <w:szCs w:val="18"/>
              </w:rPr>
            </w:pPr>
          </w:p>
        </w:tc>
      </w:tr>
      <w:tr w:rsidR="00274FFD" w:rsidRPr="0075628E" w14:paraId="4E84DA59" w14:textId="77777777" w:rsidTr="00372C4F">
        <w:trPr>
          <w:trHeight w:val="300"/>
        </w:trPr>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221FCF" w14:textId="77777777" w:rsidR="00274FFD" w:rsidRPr="0075628E" w:rsidRDefault="00274FFD" w:rsidP="00274FFD">
            <w:pPr>
              <w:rPr>
                <w:rFonts w:ascii="Arial Narrow" w:hAnsi="Arial Narrow" w:cs="Calibri"/>
                <w:b/>
                <w:bCs/>
                <w:color w:val="000000"/>
                <w:sz w:val="18"/>
                <w:szCs w:val="18"/>
              </w:rPr>
            </w:pPr>
            <w:r w:rsidRPr="0075628E">
              <w:rPr>
                <w:rFonts w:ascii="Arial Narrow" w:hAnsi="Arial Narrow" w:cs="Calibri"/>
                <w:b/>
                <w:bCs/>
                <w:color w:val="000000"/>
                <w:sz w:val="18"/>
                <w:szCs w:val="18"/>
              </w:rPr>
              <w:t xml:space="preserve">TOTAL INDEMNIZACIÓN=      </w:t>
            </w:r>
            <w:proofErr w:type="gramStart"/>
            <w:r w:rsidRPr="0075628E">
              <w:rPr>
                <w:rFonts w:ascii="Arial Narrow" w:hAnsi="Arial Narrow" w:cs="Calibri"/>
                <w:b/>
                <w:bCs/>
                <w:color w:val="000000"/>
                <w:sz w:val="18"/>
                <w:szCs w:val="18"/>
              </w:rPr>
              <w:t xml:space="preserve">   (</w:t>
            </w:r>
            <w:proofErr w:type="gramEnd"/>
            <w:r w:rsidRPr="0075628E">
              <w:rPr>
                <w:rFonts w:ascii="Arial Narrow" w:hAnsi="Arial Narrow" w:cs="Calibri"/>
                <w:b/>
                <w:bCs/>
                <w:color w:val="000000"/>
                <w:sz w:val="18"/>
                <w:szCs w:val="18"/>
              </w:rPr>
              <w:t>SBC x SC x PPC)</w:t>
            </w:r>
          </w:p>
        </w:tc>
        <w:tc>
          <w:tcPr>
            <w:tcW w:w="1086" w:type="dxa"/>
            <w:vMerge w:val="restart"/>
            <w:tcBorders>
              <w:top w:val="nil"/>
              <w:left w:val="nil"/>
              <w:bottom w:val="single" w:sz="8" w:space="0" w:color="000000"/>
              <w:right w:val="single" w:sz="8" w:space="0" w:color="auto"/>
            </w:tcBorders>
            <w:shd w:val="clear" w:color="auto" w:fill="auto"/>
            <w:vAlign w:val="center"/>
            <w:hideMark/>
          </w:tcPr>
          <w:p w14:paraId="762B251B" w14:textId="77777777" w:rsidR="00274FFD" w:rsidRPr="0075628E" w:rsidRDefault="00274FFD" w:rsidP="00274FFD">
            <w:pPr>
              <w:jc w:val="center"/>
              <w:rPr>
                <w:rFonts w:ascii="Arial Narrow" w:hAnsi="Arial Narrow" w:cs="Calibri"/>
                <w:b/>
                <w:bCs/>
                <w:sz w:val="18"/>
                <w:szCs w:val="18"/>
              </w:rPr>
            </w:pPr>
            <w:r w:rsidRPr="0075628E">
              <w:rPr>
                <w:rFonts w:ascii="Arial Narrow" w:hAnsi="Arial Narrow" w:cs="Calibri"/>
                <w:b/>
                <w:bCs/>
                <w:sz w:val="18"/>
                <w:szCs w:val="18"/>
              </w:rPr>
              <w:t>$ 14.793.429,20</w:t>
            </w:r>
          </w:p>
        </w:tc>
        <w:tc>
          <w:tcPr>
            <w:tcW w:w="874" w:type="dxa"/>
            <w:tcBorders>
              <w:top w:val="nil"/>
              <w:left w:val="nil"/>
              <w:bottom w:val="nil"/>
              <w:right w:val="nil"/>
            </w:tcBorders>
            <w:shd w:val="clear" w:color="auto" w:fill="auto"/>
            <w:noWrap/>
            <w:vAlign w:val="bottom"/>
            <w:hideMark/>
          </w:tcPr>
          <w:p w14:paraId="703B8600" w14:textId="77777777" w:rsidR="00274FFD" w:rsidRPr="0075628E" w:rsidRDefault="00274FFD" w:rsidP="00274FFD">
            <w:pPr>
              <w:jc w:val="center"/>
              <w:rPr>
                <w:rFonts w:ascii="Arial Narrow" w:hAnsi="Arial Narrow" w:cs="Calibri"/>
                <w:b/>
                <w:bCs/>
                <w:sz w:val="18"/>
                <w:szCs w:val="18"/>
              </w:rPr>
            </w:pPr>
          </w:p>
        </w:tc>
        <w:tc>
          <w:tcPr>
            <w:tcW w:w="1034" w:type="dxa"/>
            <w:tcBorders>
              <w:top w:val="nil"/>
              <w:left w:val="nil"/>
              <w:bottom w:val="nil"/>
              <w:right w:val="nil"/>
            </w:tcBorders>
            <w:shd w:val="clear" w:color="auto" w:fill="auto"/>
            <w:noWrap/>
            <w:vAlign w:val="bottom"/>
            <w:hideMark/>
          </w:tcPr>
          <w:p w14:paraId="36909E52"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65166E0D"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2888E6C1"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27094186"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29236921" w14:textId="77777777" w:rsidR="00274FFD" w:rsidRPr="0075628E" w:rsidRDefault="00274FFD" w:rsidP="00274FFD">
            <w:pPr>
              <w:rPr>
                <w:sz w:val="18"/>
                <w:szCs w:val="18"/>
              </w:rPr>
            </w:pPr>
          </w:p>
        </w:tc>
      </w:tr>
      <w:tr w:rsidR="00274FFD" w:rsidRPr="0075628E" w14:paraId="1A8E2D92" w14:textId="77777777" w:rsidTr="00372C4F">
        <w:trPr>
          <w:trHeight w:val="300"/>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59B96D7C" w14:textId="77777777" w:rsidR="00274FFD" w:rsidRPr="0075628E" w:rsidRDefault="00274FFD" w:rsidP="00274FFD">
            <w:pPr>
              <w:rPr>
                <w:rFonts w:ascii="Arial Narrow" w:hAnsi="Arial Narrow" w:cs="Calibri"/>
                <w:b/>
                <w:bCs/>
                <w:color w:val="000000"/>
                <w:sz w:val="18"/>
                <w:szCs w:val="18"/>
              </w:rPr>
            </w:pPr>
          </w:p>
        </w:tc>
        <w:tc>
          <w:tcPr>
            <w:tcW w:w="1086" w:type="dxa"/>
            <w:vMerge/>
            <w:tcBorders>
              <w:top w:val="nil"/>
              <w:left w:val="nil"/>
              <w:bottom w:val="single" w:sz="8" w:space="0" w:color="000000"/>
              <w:right w:val="single" w:sz="8" w:space="0" w:color="auto"/>
            </w:tcBorders>
            <w:vAlign w:val="center"/>
            <w:hideMark/>
          </w:tcPr>
          <w:p w14:paraId="39AA1021" w14:textId="77777777" w:rsidR="00274FFD" w:rsidRPr="0075628E" w:rsidRDefault="00274FFD" w:rsidP="00274FFD">
            <w:pPr>
              <w:rPr>
                <w:rFonts w:ascii="Arial Narrow" w:hAnsi="Arial Narrow" w:cs="Calibri"/>
                <w:b/>
                <w:bCs/>
                <w:sz w:val="18"/>
                <w:szCs w:val="18"/>
              </w:rPr>
            </w:pPr>
          </w:p>
        </w:tc>
        <w:tc>
          <w:tcPr>
            <w:tcW w:w="874" w:type="dxa"/>
            <w:tcBorders>
              <w:top w:val="nil"/>
              <w:left w:val="nil"/>
              <w:bottom w:val="nil"/>
              <w:right w:val="nil"/>
            </w:tcBorders>
            <w:shd w:val="clear" w:color="auto" w:fill="auto"/>
            <w:noWrap/>
            <w:vAlign w:val="bottom"/>
            <w:hideMark/>
          </w:tcPr>
          <w:p w14:paraId="4C3992E9"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57C5D513"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B8C3156"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2C4D9E9D"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38CAB5DE"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3AFCE67" w14:textId="77777777" w:rsidR="00274FFD" w:rsidRPr="0075628E" w:rsidRDefault="00274FFD" w:rsidP="00274FFD">
            <w:pPr>
              <w:rPr>
                <w:sz w:val="18"/>
                <w:szCs w:val="18"/>
              </w:rPr>
            </w:pPr>
          </w:p>
        </w:tc>
      </w:tr>
      <w:tr w:rsidR="00274FFD" w:rsidRPr="0075628E" w14:paraId="0CCC999E" w14:textId="77777777" w:rsidTr="00372C4F">
        <w:trPr>
          <w:trHeight w:val="315"/>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5B76FFF2" w14:textId="77777777" w:rsidR="00274FFD" w:rsidRPr="0075628E" w:rsidRDefault="00274FFD" w:rsidP="00274FFD">
            <w:pPr>
              <w:rPr>
                <w:rFonts w:ascii="Arial Narrow" w:hAnsi="Arial Narrow" w:cs="Calibri"/>
                <w:b/>
                <w:bCs/>
                <w:color w:val="000000"/>
                <w:sz w:val="18"/>
                <w:szCs w:val="18"/>
              </w:rPr>
            </w:pPr>
          </w:p>
        </w:tc>
        <w:tc>
          <w:tcPr>
            <w:tcW w:w="1086" w:type="dxa"/>
            <w:vMerge/>
            <w:tcBorders>
              <w:top w:val="nil"/>
              <w:left w:val="nil"/>
              <w:bottom w:val="single" w:sz="8" w:space="0" w:color="000000"/>
              <w:right w:val="single" w:sz="8" w:space="0" w:color="auto"/>
            </w:tcBorders>
            <w:vAlign w:val="center"/>
            <w:hideMark/>
          </w:tcPr>
          <w:p w14:paraId="7F45D2CF" w14:textId="77777777" w:rsidR="00274FFD" w:rsidRPr="0075628E" w:rsidRDefault="00274FFD" w:rsidP="00274FFD">
            <w:pPr>
              <w:rPr>
                <w:rFonts w:ascii="Arial Narrow" w:hAnsi="Arial Narrow" w:cs="Calibri"/>
                <w:b/>
                <w:bCs/>
                <w:color w:val="FF0000"/>
                <w:sz w:val="18"/>
                <w:szCs w:val="18"/>
              </w:rPr>
            </w:pPr>
          </w:p>
        </w:tc>
        <w:tc>
          <w:tcPr>
            <w:tcW w:w="874" w:type="dxa"/>
            <w:tcBorders>
              <w:top w:val="nil"/>
              <w:left w:val="nil"/>
              <w:bottom w:val="nil"/>
              <w:right w:val="nil"/>
            </w:tcBorders>
            <w:shd w:val="clear" w:color="auto" w:fill="auto"/>
            <w:noWrap/>
            <w:vAlign w:val="bottom"/>
            <w:hideMark/>
          </w:tcPr>
          <w:p w14:paraId="34B53E9E" w14:textId="77777777" w:rsidR="00274FFD" w:rsidRPr="0075628E" w:rsidRDefault="00274FFD" w:rsidP="00274FFD">
            <w:pPr>
              <w:rPr>
                <w:sz w:val="18"/>
                <w:szCs w:val="18"/>
              </w:rPr>
            </w:pPr>
          </w:p>
        </w:tc>
        <w:tc>
          <w:tcPr>
            <w:tcW w:w="1034" w:type="dxa"/>
            <w:tcBorders>
              <w:top w:val="nil"/>
              <w:left w:val="nil"/>
              <w:bottom w:val="nil"/>
              <w:right w:val="nil"/>
            </w:tcBorders>
            <w:shd w:val="clear" w:color="auto" w:fill="auto"/>
            <w:noWrap/>
            <w:vAlign w:val="bottom"/>
            <w:hideMark/>
          </w:tcPr>
          <w:p w14:paraId="28301123"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70E281B"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55257D15"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1A3C7057" w14:textId="77777777" w:rsidR="00274FFD" w:rsidRPr="0075628E" w:rsidRDefault="00274FFD" w:rsidP="00274FFD">
            <w:pPr>
              <w:rPr>
                <w:sz w:val="18"/>
                <w:szCs w:val="18"/>
              </w:rPr>
            </w:pPr>
          </w:p>
        </w:tc>
        <w:tc>
          <w:tcPr>
            <w:tcW w:w="0" w:type="auto"/>
            <w:tcBorders>
              <w:top w:val="nil"/>
              <w:left w:val="nil"/>
              <w:bottom w:val="nil"/>
              <w:right w:val="nil"/>
            </w:tcBorders>
            <w:shd w:val="clear" w:color="auto" w:fill="auto"/>
            <w:noWrap/>
            <w:vAlign w:val="bottom"/>
            <w:hideMark/>
          </w:tcPr>
          <w:p w14:paraId="1BAE67B0" w14:textId="77777777" w:rsidR="00274FFD" w:rsidRPr="0075628E" w:rsidRDefault="00274FFD" w:rsidP="00274FFD">
            <w:pPr>
              <w:rPr>
                <w:sz w:val="18"/>
                <w:szCs w:val="18"/>
              </w:rPr>
            </w:pPr>
          </w:p>
        </w:tc>
      </w:tr>
    </w:tbl>
    <w:p w14:paraId="202DEB3D" w14:textId="77777777" w:rsidR="00274FFD" w:rsidRDefault="00274FFD" w:rsidP="00274FFD">
      <w:pPr>
        <w:overflowPunct w:val="0"/>
        <w:autoSpaceDE w:val="0"/>
        <w:autoSpaceDN w:val="0"/>
        <w:adjustRightInd w:val="0"/>
        <w:spacing w:line="360" w:lineRule="auto"/>
        <w:ind w:left="709" w:right="193"/>
        <w:jc w:val="both"/>
        <w:textAlignment w:val="baseline"/>
        <w:rPr>
          <w:rFonts w:ascii="Tahoma" w:hAnsi="Tahoma" w:cs="Tahoma"/>
          <w:i/>
        </w:rPr>
      </w:pPr>
    </w:p>
    <w:p w14:paraId="3C896D0F" w14:textId="58D2F93C" w:rsidR="00CC111B" w:rsidRPr="00CF5BC1" w:rsidRDefault="00BB786B" w:rsidP="00CF5BC1">
      <w:pPr>
        <w:pStyle w:val="Prrafodelista"/>
        <w:tabs>
          <w:tab w:val="left" w:pos="0"/>
        </w:tabs>
        <w:spacing w:line="276" w:lineRule="auto"/>
        <w:ind w:left="0" w:firstLine="561"/>
        <w:jc w:val="both"/>
        <w:rPr>
          <w:rFonts w:ascii="Tahoma" w:hAnsi="Tahoma" w:cs="Tahoma"/>
        </w:rPr>
      </w:pPr>
      <w:r w:rsidRPr="00CF5BC1">
        <w:rPr>
          <w:rFonts w:ascii="Tahoma" w:hAnsi="Tahoma" w:cs="Tahoma"/>
        </w:rPr>
        <w:t xml:space="preserve"> </w:t>
      </w:r>
      <w:r w:rsidR="004F2793" w:rsidRPr="00CF5BC1">
        <w:rPr>
          <w:rFonts w:ascii="Tahoma" w:hAnsi="Tahoma" w:cs="Tahoma"/>
        </w:rPr>
        <w:t xml:space="preserve">Como se </w:t>
      </w:r>
      <w:r w:rsidR="00641DC6" w:rsidRPr="00CF5BC1">
        <w:rPr>
          <w:rFonts w:ascii="Tahoma" w:hAnsi="Tahoma" w:cs="Tahoma"/>
        </w:rPr>
        <w:t xml:space="preserve">advierte, la liquidación realizada por la operadora jurídica de instancia incurrió en la omisión que puso de presente el apoderado de la demandante, por lo que se redujo sustancialmente el monto al que realmente tenía derecho, razón por la cual se </w:t>
      </w:r>
      <w:r w:rsidR="00386811" w:rsidRPr="00CF5BC1">
        <w:rPr>
          <w:rFonts w:ascii="Tahoma" w:hAnsi="Tahoma" w:cs="Tahoma"/>
        </w:rPr>
        <w:t>modificar</w:t>
      </w:r>
      <w:r w:rsidR="00641DC6" w:rsidRPr="00CF5BC1">
        <w:rPr>
          <w:rFonts w:ascii="Tahoma" w:hAnsi="Tahoma" w:cs="Tahoma"/>
        </w:rPr>
        <w:t>á</w:t>
      </w:r>
      <w:r w:rsidR="00386811" w:rsidRPr="00CF5BC1">
        <w:rPr>
          <w:rFonts w:ascii="Tahoma" w:hAnsi="Tahoma" w:cs="Tahoma"/>
        </w:rPr>
        <w:t xml:space="preserve"> el ordinal cuarto de la parte resolutiva de la sentencia primigenia.</w:t>
      </w:r>
    </w:p>
    <w:p w14:paraId="4A79DE90" w14:textId="405C12E1" w:rsidR="00386811" w:rsidRPr="00CF5BC1" w:rsidRDefault="00386811" w:rsidP="00CF5BC1">
      <w:pPr>
        <w:pStyle w:val="Prrafodelista"/>
        <w:tabs>
          <w:tab w:val="left" w:pos="0"/>
        </w:tabs>
        <w:spacing w:line="276" w:lineRule="auto"/>
        <w:ind w:left="0" w:firstLine="561"/>
        <w:jc w:val="both"/>
        <w:rPr>
          <w:rFonts w:ascii="Tahoma" w:hAnsi="Tahoma" w:cs="Tahoma"/>
        </w:rPr>
      </w:pPr>
    </w:p>
    <w:p w14:paraId="2C82F7A7" w14:textId="13DEA66C" w:rsidR="004F2793" w:rsidRPr="00CF5BC1" w:rsidRDefault="00386811" w:rsidP="00CF5BC1">
      <w:pPr>
        <w:pStyle w:val="Prrafodelista"/>
        <w:tabs>
          <w:tab w:val="left" w:pos="0"/>
        </w:tabs>
        <w:spacing w:line="276" w:lineRule="auto"/>
        <w:ind w:left="0" w:firstLine="561"/>
        <w:jc w:val="both"/>
        <w:rPr>
          <w:rFonts w:ascii="Tahoma" w:hAnsi="Tahoma" w:cs="Tahoma"/>
        </w:rPr>
      </w:pPr>
      <w:r w:rsidRPr="00CF5BC1">
        <w:rPr>
          <w:rFonts w:ascii="Tahoma" w:hAnsi="Tahoma" w:cs="Tahoma"/>
        </w:rPr>
        <w:t xml:space="preserve">Con relación a los intereses a que fuera condenada Colpensiones, </w:t>
      </w:r>
      <w:r w:rsidR="004F2793" w:rsidRPr="00CF5BC1">
        <w:rPr>
          <w:rFonts w:ascii="Tahoma" w:hAnsi="Tahoma" w:cs="Tahoma"/>
        </w:rPr>
        <w:t xml:space="preserve">considera esta judicatura que los mismos no contrarían el ordenamiento jurídico al evidenciarse la injustificada negativa por parte de dicha entidad, y la subsecuente mora en el pago de la obligación. Ahora bien, como quiera que no se mostró inconformidad frente a la fecha a partir de la cual se reconocerían estos emolumentos, se mantendrá incólume la estipulada por la jueza de instancia, esto es, el 6 de noviembre de 2017, pero se </w:t>
      </w:r>
      <w:r w:rsidR="004F2793" w:rsidRPr="00CF5BC1">
        <w:rPr>
          <w:rFonts w:ascii="Tahoma" w:hAnsi="Tahoma" w:cs="Tahoma"/>
        </w:rPr>
        <w:lastRenderedPageBreak/>
        <w:t>suprimirá la suma estipulada por ese concepto en el ordinal quinto, dado que el mismo se fundó en la liquidación errada de la indemnización.</w:t>
      </w:r>
    </w:p>
    <w:p w14:paraId="0043BF14" w14:textId="4AD4B5D4" w:rsidR="004F2793" w:rsidRPr="00CF5BC1" w:rsidRDefault="004F2793" w:rsidP="00CF5BC1">
      <w:pPr>
        <w:pStyle w:val="Prrafodelista"/>
        <w:tabs>
          <w:tab w:val="left" w:pos="0"/>
        </w:tabs>
        <w:spacing w:line="276" w:lineRule="auto"/>
        <w:ind w:left="0" w:firstLine="561"/>
        <w:jc w:val="both"/>
        <w:rPr>
          <w:rFonts w:ascii="Tahoma" w:hAnsi="Tahoma" w:cs="Tahoma"/>
        </w:rPr>
      </w:pPr>
    </w:p>
    <w:p w14:paraId="5D506C4B" w14:textId="57364598" w:rsidR="004F2793" w:rsidRPr="00CF5BC1" w:rsidRDefault="00641DC6" w:rsidP="00CF5BC1">
      <w:pPr>
        <w:pStyle w:val="Prrafodelista"/>
        <w:tabs>
          <w:tab w:val="left" w:pos="0"/>
        </w:tabs>
        <w:spacing w:line="276" w:lineRule="auto"/>
        <w:ind w:left="0" w:firstLine="561"/>
        <w:jc w:val="both"/>
        <w:rPr>
          <w:rFonts w:ascii="Tahoma" w:hAnsi="Tahoma" w:cs="Tahoma"/>
        </w:rPr>
      </w:pPr>
      <w:r w:rsidRPr="00CF5BC1">
        <w:rPr>
          <w:rFonts w:ascii="Tahoma" w:hAnsi="Tahoma" w:cs="Tahoma"/>
        </w:rPr>
        <w:t>Las costas impuestas en primera instancia se confirmarán. En esta sede correrán a cargo de Colpensiones, en un 100%, a favor de la parte actora.</w:t>
      </w:r>
    </w:p>
    <w:p w14:paraId="24C54589" w14:textId="1E302303" w:rsidR="00D51494" w:rsidRPr="00CF5BC1" w:rsidRDefault="00D51494" w:rsidP="00CF5BC1">
      <w:pPr>
        <w:spacing w:line="276" w:lineRule="auto"/>
        <w:jc w:val="both"/>
        <w:rPr>
          <w:rFonts w:ascii="Tahoma" w:hAnsi="Tahoma" w:cs="Tahoma"/>
        </w:rPr>
      </w:pPr>
    </w:p>
    <w:p w14:paraId="3F0959F5" w14:textId="36579BF2" w:rsidR="00D51494" w:rsidRPr="00CF5BC1" w:rsidRDefault="00D51494" w:rsidP="00CF5BC1">
      <w:pPr>
        <w:pStyle w:val="Sangradetextonormal"/>
        <w:spacing w:line="276" w:lineRule="auto"/>
      </w:pPr>
      <w:r w:rsidRPr="00CF5BC1">
        <w:t xml:space="preserve">En mérito de lo expuesto, el </w:t>
      </w:r>
      <w:r w:rsidRPr="00CF5BC1">
        <w:rPr>
          <w:b/>
        </w:rPr>
        <w:t xml:space="preserve">Tribunal Superior del Distrito Judicial de Pereira (Risaralda), Sala </w:t>
      </w:r>
      <w:r w:rsidR="008C093F" w:rsidRPr="00CF5BC1">
        <w:rPr>
          <w:b/>
        </w:rPr>
        <w:t xml:space="preserve">Primera </w:t>
      </w:r>
      <w:r w:rsidRPr="00CF5BC1">
        <w:rPr>
          <w:b/>
        </w:rPr>
        <w:t>de Decisión Laboral</w:t>
      </w:r>
      <w:r w:rsidRPr="00CF5BC1">
        <w:t>, administrando justicia en nombre de la República y por autoridad de la Ley,</w:t>
      </w:r>
    </w:p>
    <w:p w14:paraId="64CCE6E4" w14:textId="77777777" w:rsidR="00D51494" w:rsidRPr="00CF5BC1" w:rsidRDefault="00D51494" w:rsidP="00CF5BC1">
      <w:pPr>
        <w:pStyle w:val="Sinespaciado"/>
        <w:spacing w:line="276" w:lineRule="auto"/>
        <w:rPr>
          <w:rFonts w:ascii="Tahoma" w:hAnsi="Tahoma" w:cs="Tahoma"/>
        </w:rPr>
      </w:pPr>
    </w:p>
    <w:p w14:paraId="23C29F55" w14:textId="77777777" w:rsidR="00D51494" w:rsidRPr="00CF5BC1" w:rsidRDefault="00D51494" w:rsidP="00CF5BC1">
      <w:pPr>
        <w:pStyle w:val="Prrafodelista"/>
        <w:widowControl w:val="0"/>
        <w:numPr>
          <w:ilvl w:val="0"/>
          <w:numId w:val="3"/>
        </w:numPr>
        <w:autoSpaceDE w:val="0"/>
        <w:autoSpaceDN w:val="0"/>
        <w:adjustRightInd w:val="0"/>
        <w:spacing w:line="276" w:lineRule="auto"/>
        <w:jc w:val="center"/>
        <w:rPr>
          <w:rFonts w:ascii="Tahoma" w:hAnsi="Tahoma" w:cs="Tahoma"/>
          <w:b/>
        </w:rPr>
      </w:pPr>
      <w:r w:rsidRPr="00CF5BC1">
        <w:rPr>
          <w:rFonts w:ascii="Tahoma" w:hAnsi="Tahoma" w:cs="Tahoma"/>
          <w:b/>
        </w:rPr>
        <w:t>RESUELVE</w:t>
      </w:r>
    </w:p>
    <w:p w14:paraId="7C6745EF" w14:textId="77777777" w:rsidR="00D51494" w:rsidRPr="00CF5BC1" w:rsidRDefault="00D51494" w:rsidP="00CF5BC1">
      <w:pPr>
        <w:pStyle w:val="Sinespaciado"/>
        <w:spacing w:line="276" w:lineRule="auto"/>
        <w:rPr>
          <w:rFonts w:ascii="Tahoma" w:hAnsi="Tahoma" w:cs="Tahoma"/>
        </w:rPr>
      </w:pPr>
    </w:p>
    <w:p w14:paraId="1B7157FA" w14:textId="22E16752" w:rsidR="008C093F" w:rsidRPr="00CF5BC1" w:rsidRDefault="00D56B20" w:rsidP="00CF5BC1">
      <w:pPr>
        <w:spacing w:line="276" w:lineRule="auto"/>
        <w:ind w:firstLine="708"/>
        <w:jc w:val="both"/>
        <w:rPr>
          <w:rFonts w:ascii="Tahoma" w:hAnsi="Tahoma" w:cs="Tahoma"/>
          <w:bCs/>
          <w:lang w:val="es-ES_tradnl"/>
        </w:rPr>
      </w:pPr>
      <w:r w:rsidRPr="00CF5BC1">
        <w:rPr>
          <w:rFonts w:ascii="Tahoma" w:hAnsi="Tahoma" w:cs="Tahoma"/>
          <w:b/>
          <w:u w:val="single"/>
        </w:rPr>
        <w:t>PRIMERO</w:t>
      </w:r>
      <w:r w:rsidRPr="00CF5BC1">
        <w:rPr>
          <w:rFonts w:ascii="Tahoma" w:hAnsi="Tahoma" w:cs="Tahoma"/>
        </w:rPr>
        <w:t>. -</w:t>
      </w:r>
      <w:r w:rsidR="00D51494" w:rsidRPr="00CF5BC1">
        <w:rPr>
          <w:rFonts w:ascii="Tahoma" w:hAnsi="Tahoma" w:cs="Tahoma"/>
        </w:rPr>
        <w:t xml:space="preserve"> </w:t>
      </w:r>
      <w:r w:rsidR="008C093F" w:rsidRPr="00CF5BC1">
        <w:rPr>
          <w:rFonts w:ascii="Tahoma" w:hAnsi="Tahoma" w:cs="Tahoma"/>
          <w:b/>
        </w:rPr>
        <w:t>MODIFIC</w:t>
      </w:r>
      <w:r w:rsidR="00205750" w:rsidRPr="00CF5BC1">
        <w:rPr>
          <w:rFonts w:ascii="Tahoma" w:hAnsi="Tahoma" w:cs="Tahoma"/>
          <w:b/>
        </w:rPr>
        <w:t xml:space="preserve">AR </w:t>
      </w:r>
      <w:r w:rsidR="00205750" w:rsidRPr="00CF5BC1">
        <w:rPr>
          <w:rFonts w:ascii="Tahoma" w:hAnsi="Tahoma" w:cs="Tahoma"/>
          <w:spacing w:val="-2"/>
        </w:rPr>
        <w:t>l</w:t>
      </w:r>
      <w:r w:rsidR="008C093F" w:rsidRPr="00CF5BC1">
        <w:rPr>
          <w:rFonts w:ascii="Tahoma" w:hAnsi="Tahoma" w:cs="Tahoma"/>
          <w:spacing w:val="-2"/>
        </w:rPr>
        <w:t>os</w:t>
      </w:r>
      <w:r w:rsidR="00205750" w:rsidRPr="00CF5BC1">
        <w:rPr>
          <w:rFonts w:ascii="Tahoma" w:hAnsi="Tahoma" w:cs="Tahoma"/>
          <w:spacing w:val="-2"/>
        </w:rPr>
        <w:t xml:space="preserve"> ordinal</w:t>
      </w:r>
      <w:r w:rsidR="008C093F" w:rsidRPr="00CF5BC1">
        <w:rPr>
          <w:rFonts w:ascii="Tahoma" w:hAnsi="Tahoma" w:cs="Tahoma"/>
          <w:spacing w:val="-2"/>
        </w:rPr>
        <w:t>es cuarto y quinto de la</w:t>
      </w:r>
      <w:r w:rsidR="00205750" w:rsidRPr="00CF5BC1">
        <w:rPr>
          <w:rFonts w:ascii="Tahoma" w:hAnsi="Tahoma" w:cs="Tahoma"/>
          <w:spacing w:val="-2"/>
        </w:rPr>
        <w:t xml:space="preserve"> </w:t>
      </w:r>
      <w:r w:rsidR="004C14BD" w:rsidRPr="00CF5BC1">
        <w:rPr>
          <w:rFonts w:ascii="Tahoma" w:hAnsi="Tahoma" w:cs="Tahoma"/>
        </w:rPr>
        <w:t xml:space="preserve">sentencia proferida el </w:t>
      </w:r>
      <w:r w:rsidR="008C093F" w:rsidRPr="00CF5BC1">
        <w:rPr>
          <w:rFonts w:ascii="Tahoma" w:hAnsi="Tahoma" w:cs="Tahoma"/>
        </w:rPr>
        <w:t>14</w:t>
      </w:r>
      <w:r w:rsidR="004C14BD" w:rsidRPr="00CF5BC1">
        <w:rPr>
          <w:rFonts w:ascii="Tahoma" w:hAnsi="Tahoma" w:cs="Tahoma"/>
        </w:rPr>
        <w:t xml:space="preserve"> de </w:t>
      </w:r>
      <w:r w:rsidR="008C093F" w:rsidRPr="00CF5BC1">
        <w:rPr>
          <w:rFonts w:ascii="Tahoma" w:hAnsi="Tahoma" w:cs="Tahoma"/>
        </w:rPr>
        <w:t>junio de 2022</w:t>
      </w:r>
      <w:r w:rsidR="004C14BD" w:rsidRPr="00CF5BC1">
        <w:rPr>
          <w:rFonts w:ascii="Tahoma" w:hAnsi="Tahoma" w:cs="Tahoma"/>
        </w:rPr>
        <w:t xml:space="preserve"> por el Juzgado </w:t>
      </w:r>
      <w:r w:rsidR="008C093F" w:rsidRPr="00CF5BC1">
        <w:rPr>
          <w:rFonts w:ascii="Tahoma" w:hAnsi="Tahoma" w:cs="Tahoma"/>
        </w:rPr>
        <w:t xml:space="preserve">Primero </w:t>
      </w:r>
      <w:r w:rsidR="004C14BD" w:rsidRPr="00CF5BC1">
        <w:rPr>
          <w:rFonts w:ascii="Tahoma" w:hAnsi="Tahoma" w:cs="Tahoma"/>
        </w:rPr>
        <w:t>Laboral del Circuito de Pereira</w:t>
      </w:r>
      <w:r w:rsidR="00205750" w:rsidRPr="00CF5BC1">
        <w:rPr>
          <w:rFonts w:ascii="Tahoma" w:hAnsi="Tahoma" w:cs="Tahoma"/>
          <w:bCs/>
          <w:lang w:val="es-ES_tradnl"/>
        </w:rPr>
        <w:t xml:space="preserve">, </w:t>
      </w:r>
      <w:r w:rsidR="008C093F" w:rsidRPr="00CF5BC1">
        <w:rPr>
          <w:rFonts w:ascii="Tahoma" w:hAnsi="Tahoma" w:cs="Tahoma"/>
          <w:bCs/>
          <w:lang w:val="es-ES_tradnl"/>
        </w:rPr>
        <w:t>los cuales quedarán así:</w:t>
      </w:r>
    </w:p>
    <w:p w14:paraId="15073545" w14:textId="77777777" w:rsidR="008C093F" w:rsidRPr="00CF5BC1" w:rsidRDefault="008C093F" w:rsidP="00CF5BC1">
      <w:pPr>
        <w:spacing w:line="276" w:lineRule="auto"/>
        <w:ind w:left="709"/>
        <w:jc w:val="both"/>
        <w:rPr>
          <w:rFonts w:ascii="Tahoma" w:hAnsi="Tahoma" w:cs="Tahoma"/>
          <w:lang w:val="es-ES_tradnl"/>
        </w:rPr>
      </w:pPr>
    </w:p>
    <w:p w14:paraId="113C794C" w14:textId="52E31D59" w:rsidR="008C093F" w:rsidRPr="00CF5BC1" w:rsidRDefault="008C093F" w:rsidP="00D56B20">
      <w:pPr>
        <w:spacing w:line="276" w:lineRule="auto"/>
        <w:ind w:left="426" w:right="420"/>
        <w:jc w:val="both"/>
        <w:rPr>
          <w:rFonts w:ascii="Tahoma" w:hAnsi="Tahoma" w:cs="Tahoma"/>
        </w:rPr>
      </w:pPr>
      <w:r w:rsidRPr="00CF5BC1">
        <w:rPr>
          <w:rFonts w:ascii="Tahoma" w:hAnsi="Tahoma" w:cs="Tahoma"/>
        </w:rPr>
        <w:t xml:space="preserve">CUARTO: CONDENAR a la ADMINISTRADORA COLOMBIANA DE PENSIONES </w:t>
      </w:r>
      <w:r w:rsidR="00D56B20" w:rsidRPr="00CF5BC1">
        <w:rPr>
          <w:rFonts w:ascii="Tahoma" w:hAnsi="Tahoma" w:cs="Tahoma"/>
        </w:rPr>
        <w:t>COLPENSIONES, a</w:t>
      </w:r>
      <w:r w:rsidRPr="00CF5BC1">
        <w:rPr>
          <w:rFonts w:ascii="Tahoma" w:hAnsi="Tahoma" w:cs="Tahoma"/>
        </w:rPr>
        <w:t xml:space="preserve">   cancelar   a   favor   de   la   señora   MARIA   AUXILIADORA </w:t>
      </w:r>
      <w:r w:rsidR="00D56B20" w:rsidRPr="00CF5BC1">
        <w:rPr>
          <w:rFonts w:ascii="Tahoma" w:hAnsi="Tahoma" w:cs="Tahoma"/>
        </w:rPr>
        <w:t>ORCASITAS RAMIREZ, la indemnización sustitutiva por valor de $</w:t>
      </w:r>
      <w:r w:rsidRPr="00CF5BC1">
        <w:rPr>
          <w:rFonts w:ascii="Tahoma" w:hAnsi="Tahoma" w:cs="Tahoma"/>
        </w:rPr>
        <w:t xml:space="preserve">14.793.429,2, por las razones expuestas en la parte motiva de este proveído. </w:t>
      </w:r>
    </w:p>
    <w:p w14:paraId="7B04B9EB" w14:textId="77777777" w:rsidR="008C093F" w:rsidRPr="00CF5BC1" w:rsidRDefault="008C093F" w:rsidP="00D56B20">
      <w:pPr>
        <w:spacing w:line="276" w:lineRule="auto"/>
        <w:ind w:left="426" w:right="420"/>
        <w:jc w:val="both"/>
        <w:rPr>
          <w:rFonts w:ascii="Tahoma" w:hAnsi="Tahoma" w:cs="Tahoma"/>
        </w:rPr>
      </w:pPr>
    </w:p>
    <w:p w14:paraId="3F5B32EF" w14:textId="1C451FCB" w:rsidR="008C093F" w:rsidRPr="00CF5BC1" w:rsidRDefault="008C093F" w:rsidP="00D56B20">
      <w:pPr>
        <w:spacing w:line="276" w:lineRule="auto"/>
        <w:ind w:left="426" w:right="420"/>
        <w:jc w:val="both"/>
        <w:rPr>
          <w:rFonts w:ascii="Tahoma" w:hAnsi="Tahoma" w:cs="Tahoma"/>
          <w:lang w:val="es-ES_tradnl"/>
        </w:rPr>
      </w:pPr>
      <w:r w:rsidRPr="00CF5BC1">
        <w:rPr>
          <w:rFonts w:ascii="Tahoma" w:hAnsi="Tahoma" w:cs="Tahoma"/>
        </w:rPr>
        <w:t xml:space="preserve">QUINTO: CONDENAR </w:t>
      </w:r>
      <w:r w:rsidR="00D56B20" w:rsidRPr="00CF5BC1">
        <w:rPr>
          <w:rFonts w:ascii="Tahoma" w:hAnsi="Tahoma" w:cs="Tahoma"/>
        </w:rPr>
        <w:t>a la</w:t>
      </w:r>
      <w:r w:rsidR="00A563DE" w:rsidRPr="00CF5BC1">
        <w:rPr>
          <w:rFonts w:ascii="Tahoma" w:hAnsi="Tahoma" w:cs="Tahoma"/>
        </w:rPr>
        <w:t xml:space="preserve"> </w:t>
      </w:r>
      <w:r w:rsidR="00D56B20" w:rsidRPr="00CF5BC1">
        <w:rPr>
          <w:rFonts w:ascii="Tahoma" w:hAnsi="Tahoma" w:cs="Tahoma"/>
        </w:rPr>
        <w:t>ADMINISTRADORA COLOMBIANA</w:t>
      </w:r>
      <w:r w:rsidRPr="00CF5BC1">
        <w:rPr>
          <w:rFonts w:ascii="Tahoma" w:hAnsi="Tahoma" w:cs="Tahoma"/>
        </w:rPr>
        <w:t xml:space="preserve"> DE PENSIONES COLPENSIONES a cancelar a favor de la demandante por concepto de intereses legales, estipulados por el art 1617 código civil, sobre la suma adeudada desde el 6</w:t>
      </w:r>
      <w:r w:rsidR="00A563DE" w:rsidRPr="00CF5BC1">
        <w:rPr>
          <w:rFonts w:ascii="Tahoma" w:hAnsi="Tahoma" w:cs="Tahoma"/>
        </w:rPr>
        <w:t xml:space="preserve"> </w:t>
      </w:r>
      <w:r w:rsidRPr="00CF5BC1">
        <w:rPr>
          <w:rFonts w:ascii="Tahoma" w:hAnsi="Tahoma" w:cs="Tahoma"/>
        </w:rPr>
        <w:t>de noviembre 2017 y hasta que se haga el pago efectivo, lo que a la fecha equivale a la suma de $429.190 conforme a lo dicho en la parte motiva, sin perjuicio de los que se causen en adelante.</w:t>
      </w:r>
    </w:p>
    <w:p w14:paraId="33A24B9B" w14:textId="4B3D303B" w:rsidR="00581C49" w:rsidRPr="00CF5BC1" w:rsidRDefault="00581C49" w:rsidP="00CF5BC1">
      <w:pPr>
        <w:spacing w:line="276" w:lineRule="auto"/>
        <w:ind w:firstLine="708"/>
        <w:jc w:val="both"/>
        <w:rPr>
          <w:rFonts w:ascii="Tahoma" w:hAnsi="Tahoma" w:cs="Tahoma"/>
        </w:rPr>
      </w:pPr>
    </w:p>
    <w:p w14:paraId="6B2FAFE3" w14:textId="43951D18" w:rsidR="00205750" w:rsidRPr="00CF5BC1" w:rsidRDefault="00D56B20" w:rsidP="00CF5BC1">
      <w:pPr>
        <w:spacing w:line="276" w:lineRule="auto"/>
        <w:ind w:firstLine="708"/>
        <w:jc w:val="both"/>
        <w:rPr>
          <w:rFonts w:ascii="Tahoma" w:hAnsi="Tahoma" w:cs="Tahoma"/>
          <w:b/>
        </w:rPr>
      </w:pPr>
      <w:r w:rsidRPr="00CF5BC1">
        <w:rPr>
          <w:rFonts w:ascii="Tahoma" w:hAnsi="Tahoma" w:cs="Tahoma"/>
          <w:b/>
          <w:u w:val="single"/>
        </w:rPr>
        <w:t>SEGUNDO</w:t>
      </w:r>
      <w:r w:rsidRPr="00CF5BC1">
        <w:rPr>
          <w:rFonts w:ascii="Tahoma" w:hAnsi="Tahoma" w:cs="Tahoma"/>
          <w:b/>
        </w:rPr>
        <w:t>. -</w:t>
      </w:r>
      <w:r w:rsidR="00D51494" w:rsidRPr="00CF5BC1">
        <w:rPr>
          <w:rFonts w:ascii="Tahoma" w:hAnsi="Tahoma" w:cs="Tahoma"/>
          <w:b/>
        </w:rPr>
        <w:t xml:space="preserve"> </w:t>
      </w:r>
      <w:r w:rsidR="00205750" w:rsidRPr="00CF5BC1">
        <w:rPr>
          <w:rFonts w:ascii="Tahoma" w:hAnsi="Tahoma" w:cs="Tahoma"/>
          <w:b/>
        </w:rPr>
        <w:t xml:space="preserve">CONFIRMAR </w:t>
      </w:r>
      <w:r w:rsidR="00205750" w:rsidRPr="00CF5BC1">
        <w:rPr>
          <w:rFonts w:ascii="Tahoma" w:hAnsi="Tahoma" w:cs="Tahoma"/>
          <w:bCs/>
        </w:rPr>
        <w:t>en todo lo demás la decisión de primera instancia.</w:t>
      </w:r>
    </w:p>
    <w:p w14:paraId="5FA4F8D6" w14:textId="77777777" w:rsidR="00205750" w:rsidRPr="00CF5BC1" w:rsidRDefault="00205750" w:rsidP="00CF5BC1">
      <w:pPr>
        <w:spacing w:line="276" w:lineRule="auto"/>
        <w:ind w:firstLine="708"/>
        <w:jc w:val="both"/>
        <w:rPr>
          <w:rFonts w:ascii="Tahoma" w:hAnsi="Tahoma" w:cs="Tahoma"/>
          <w:b/>
        </w:rPr>
      </w:pPr>
    </w:p>
    <w:p w14:paraId="4DA3E54A" w14:textId="3AB82B9E" w:rsidR="00FF2D43" w:rsidRPr="00CF5BC1" w:rsidRDefault="00D56B20" w:rsidP="00CF5BC1">
      <w:pPr>
        <w:spacing w:line="276" w:lineRule="auto"/>
        <w:ind w:firstLine="708"/>
        <w:jc w:val="both"/>
        <w:rPr>
          <w:rFonts w:ascii="Tahoma" w:hAnsi="Tahoma" w:cs="Tahoma"/>
          <w:b/>
        </w:rPr>
      </w:pPr>
      <w:r w:rsidRPr="00CF5BC1">
        <w:rPr>
          <w:rFonts w:ascii="Tahoma" w:hAnsi="Tahoma" w:cs="Tahoma"/>
          <w:b/>
        </w:rPr>
        <w:t>TERCERO. -</w:t>
      </w:r>
      <w:r w:rsidR="00205750" w:rsidRPr="00CF5BC1">
        <w:rPr>
          <w:rFonts w:ascii="Tahoma" w:hAnsi="Tahoma" w:cs="Tahoma"/>
          <w:b/>
        </w:rPr>
        <w:t xml:space="preserve"> COSTAS </w:t>
      </w:r>
      <w:r w:rsidR="00205750" w:rsidRPr="00CF5BC1">
        <w:rPr>
          <w:rFonts w:ascii="Tahoma" w:hAnsi="Tahoma" w:cs="Tahoma"/>
          <w:bCs/>
        </w:rPr>
        <w:t>en segundo grado</w:t>
      </w:r>
      <w:r w:rsidR="002A59E1" w:rsidRPr="00CF5BC1">
        <w:rPr>
          <w:rFonts w:ascii="Tahoma" w:hAnsi="Tahoma" w:cs="Tahoma"/>
          <w:bCs/>
        </w:rPr>
        <w:t xml:space="preserve"> a cargo de Colpensiones en un 100% a favor de la demandante</w:t>
      </w:r>
      <w:r w:rsidR="00B07369" w:rsidRPr="00CF5BC1">
        <w:rPr>
          <w:rFonts w:ascii="Tahoma" w:hAnsi="Tahoma" w:cs="Tahoma"/>
        </w:rPr>
        <w:t>.</w:t>
      </w:r>
    </w:p>
    <w:p w14:paraId="1F7C5049" w14:textId="77777777" w:rsidR="00D51494" w:rsidRPr="00CF5BC1" w:rsidRDefault="00D51494" w:rsidP="00CF5BC1">
      <w:pPr>
        <w:pStyle w:val="Sinespaciado"/>
        <w:spacing w:line="276" w:lineRule="auto"/>
        <w:rPr>
          <w:rFonts w:ascii="Tahoma" w:hAnsi="Tahoma" w:cs="Tahoma"/>
        </w:rPr>
      </w:pPr>
    </w:p>
    <w:p w14:paraId="2C4F8A75" w14:textId="0268914A" w:rsidR="00ED2367" w:rsidRPr="00CF5BC1" w:rsidRDefault="00ED2367" w:rsidP="00CF5BC1">
      <w:pPr>
        <w:pStyle w:val="Prrafodelista"/>
        <w:widowControl w:val="0"/>
        <w:autoSpaceDE w:val="0"/>
        <w:autoSpaceDN w:val="0"/>
        <w:adjustRightInd w:val="0"/>
        <w:spacing w:line="276" w:lineRule="auto"/>
        <w:ind w:left="0" w:firstLine="709"/>
        <w:jc w:val="both"/>
        <w:rPr>
          <w:rFonts w:ascii="Tahoma" w:hAnsi="Tahoma" w:cs="Tahoma"/>
          <w:b/>
          <w:bCs/>
        </w:rPr>
      </w:pPr>
      <w:r w:rsidRPr="00CF5BC1">
        <w:rPr>
          <w:rFonts w:ascii="Tahoma" w:hAnsi="Tahoma" w:cs="Tahoma"/>
          <w:b/>
          <w:bCs/>
        </w:rPr>
        <w:t>Notifíquese y cúmplase.</w:t>
      </w:r>
    </w:p>
    <w:p w14:paraId="61EB63DD" w14:textId="77777777" w:rsidR="00D56B20" w:rsidRPr="00D56B20" w:rsidRDefault="00D56B20" w:rsidP="00D56B20">
      <w:pPr>
        <w:spacing w:line="276" w:lineRule="auto"/>
        <w:jc w:val="both"/>
        <w:rPr>
          <w:rFonts w:ascii="Tahoma" w:eastAsia="Segoe UI" w:hAnsi="Tahoma" w:cs="Tahoma"/>
          <w:lang w:val="es-CO" w:eastAsia="es-CO"/>
        </w:rPr>
      </w:pPr>
    </w:p>
    <w:p w14:paraId="1E63084D" w14:textId="77777777" w:rsidR="00D56B20" w:rsidRPr="00D56B20" w:rsidRDefault="00D56B20" w:rsidP="00D56B20">
      <w:pPr>
        <w:widowControl w:val="0"/>
        <w:autoSpaceDE w:val="0"/>
        <w:autoSpaceDN w:val="0"/>
        <w:adjustRightInd w:val="0"/>
        <w:spacing w:line="276" w:lineRule="auto"/>
        <w:jc w:val="both"/>
        <w:rPr>
          <w:rFonts w:ascii="Tahoma" w:hAnsi="Tahoma" w:cs="Tahoma"/>
        </w:rPr>
      </w:pPr>
      <w:r w:rsidRPr="00D56B20">
        <w:rPr>
          <w:rFonts w:ascii="Tahoma" w:hAnsi="Tahoma" w:cs="Tahoma"/>
        </w:rPr>
        <w:tab/>
        <w:t>La Magistrada ponente,</w:t>
      </w:r>
    </w:p>
    <w:p w14:paraId="584244D8" w14:textId="77777777" w:rsidR="00D56B20" w:rsidRPr="00D56B20" w:rsidRDefault="00D56B20" w:rsidP="00D56B20">
      <w:pPr>
        <w:spacing w:line="276" w:lineRule="auto"/>
        <w:rPr>
          <w:rFonts w:ascii="Tahoma" w:hAnsi="Tahoma" w:cs="Tahoma"/>
        </w:rPr>
      </w:pPr>
    </w:p>
    <w:p w14:paraId="0157E844" w14:textId="77777777" w:rsidR="00D56B20" w:rsidRPr="00D56B20" w:rsidRDefault="00D56B20" w:rsidP="00D56B20">
      <w:pPr>
        <w:spacing w:line="276" w:lineRule="auto"/>
        <w:rPr>
          <w:rFonts w:ascii="Tahoma" w:hAnsi="Tahoma" w:cs="Tahoma"/>
        </w:rPr>
      </w:pPr>
    </w:p>
    <w:p w14:paraId="24762B5B" w14:textId="77777777" w:rsidR="00D56B20" w:rsidRPr="00D56B20" w:rsidRDefault="00D56B20" w:rsidP="00D56B20">
      <w:pPr>
        <w:spacing w:line="276" w:lineRule="auto"/>
        <w:rPr>
          <w:rFonts w:ascii="Tahoma" w:hAnsi="Tahoma" w:cs="Tahoma"/>
        </w:rPr>
      </w:pPr>
    </w:p>
    <w:p w14:paraId="646A13CE" w14:textId="77777777" w:rsidR="00D56B20" w:rsidRPr="00D56B20" w:rsidRDefault="00D56B20" w:rsidP="00D56B20">
      <w:pPr>
        <w:keepNext/>
        <w:spacing w:line="276" w:lineRule="auto"/>
        <w:jc w:val="center"/>
        <w:outlineLvl w:val="2"/>
        <w:rPr>
          <w:rFonts w:ascii="Tahoma" w:hAnsi="Tahoma" w:cs="Tahoma"/>
          <w:b/>
          <w:bCs/>
        </w:rPr>
      </w:pPr>
      <w:r w:rsidRPr="00D56B20">
        <w:rPr>
          <w:rFonts w:ascii="Tahoma" w:hAnsi="Tahoma" w:cs="Tahoma"/>
          <w:b/>
          <w:bCs/>
        </w:rPr>
        <w:t>ANA LUCÍA CAICEDO CALDERÓN</w:t>
      </w:r>
    </w:p>
    <w:p w14:paraId="5486B1B2" w14:textId="77777777" w:rsidR="00D56B20" w:rsidRPr="00D56B20" w:rsidRDefault="00D56B20" w:rsidP="00D56B20">
      <w:pPr>
        <w:spacing w:line="276" w:lineRule="auto"/>
        <w:rPr>
          <w:rFonts w:ascii="Tahoma" w:hAnsi="Tahoma" w:cs="Tahoma"/>
        </w:rPr>
      </w:pPr>
    </w:p>
    <w:p w14:paraId="4E5BD261" w14:textId="77777777" w:rsidR="00D56B20" w:rsidRPr="00D56B20" w:rsidRDefault="00D56B20" w:rsidP="00D56B20">
      <w:pPr>
        <w:spacing w:line="276" w:lineRule="auto"/>
        <w:ind w:firstLine="708"/>
        <w:rPr>
          <w:rFonts w:ascii="Tahoma" w:hAnsi="Tahoma" w:cs="Tahoma"/>
        </w:rPr>
      </w:pPr>
      <w:bookmarkStart w:id="4" w:name="_Hlk62478330"/>
      <w:r w:rsidRPr="00D56B20">
        <w:rPr>
          <w:rFonts w:ascii="Tahoma" w:hAnsi="Tahoma" w:cs="Tahoma"/>
        </w:rPr>
        <w:t>La Magistrada y el Magistrado,</w:t>
      </w:r>
    </w:p>
    <w:p w14:paraId="33A2AF7A" w14:textId="77777777" w:rsidR="00D56B20" w:rsidRPr="00D56B20" w:rsidRDefault="00D56B20" w:rsidP="00D56B20">
      <w:pPr>
        <w:spacing w:line="276" w:lineRule="auto"/>
        <w:rPr>
          <w:rFonts w:ascii="Tahoma" w:hAnsi="Tahoma" w:cs="Tahoma"/>
        </w:rPr>
      </w:pPr>
    </w:p>
    <w:p w14:paraId="0332A5CE" w14:textId="77777777" w:rsidR="00D56B20" w:rsidRPr="00D56B20" w:rsidRDefault="00D56B20" w:rsidP="00D56B20">
      <w:pPr>
        <w:spacing w:line="276" w:lineRule="auto"/>
        <w:rPr>
          <w:rFonts w:ascii="Tahoma" w:hAnsi="Tahoma" w:cs="Tahoma"/>
        </w:rPr>
      </w:pPr>
    </w:p>
    <w:p w14:paraId="490F7214" w14:textId="77777777" w:rsidR="00D56B20" w:rsidRPr="00D56B20" w:rsidRDefault="00D56B20" w:rsidP="00D56B20">
      <w:pPr>
        <w:spacing w:line="276" w:lineRule="auto"/>
        <w:rPr>
          <w:rFonts w:ascii="Tahoma" w:hAnsi="Tahoma" w:cs="Tahoma"/>
        </w:rPr>
      </w:pPr>
    </w:p>
    <w:p w14:paraId="7B4D8B0D" w14:textId="1C61AAD7" w:rsidR="00036862" w:rsidRPr="00D56B20" w:rsidRDefault="00D56B20" w:rsidP="00D56B20">
      <w:pPr>
        <w:spacing w:line="276" w:lineRule="auto"/>
        <w:jc w:val="both"/>
        <w:rPr>
          <w:rFonts w:ascii="Tahoma" w:hAnsi="Tahoma" w:cs="Tahoma"/>
          <w:b/>
          <w:bCs/>
        </w:rPr>
      </w:pPr>
      <w:r w:rsidRPr="00D56B20">
        <w:rPr>
          <w:rFonts w:ascii="Tahoma" w:hAnsi="Tahoma" w:cs="Tahoma"/>
          <w:b/>
          <w:bCs/>
        </w:rPr>
        <w:t>OLGA LUCÍA HOYOS SEPÚLVEDA</w:t>
      </w:r>
      <w:r w:rsidRPr="00D56B20">
        <w:rPr>
          <w:rFonts w:ascii="Tahoma" w:hAnsi="Tahoma" w:cs="Tahoma"/>
          <w:b/>
          <w:bCs/>
        </w:rPr>
        <w:tab/>
      </w:r>
      <w:r w:rsidRPr="00D56B20">
        <w:rPr>
          <w:rFonts w:ascii="Tahoma" w:hAnsi="Tahoma" w:cs="Tahoma"/>
          <w:b/>
          <w:bCs/>
        </w:rPr>
        <w:tab/>
        <w:t>GERMÁN DARÍO GÓEZ VINASCO</w:t>
      </w:r>
      <w:bookmarkEnd w:id="4"/>
    </w:p>
    <w:sectPr w:rsidR="00036862" w:rsidRPr="00D56B20" w:rsidSect="00CF5BC1">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B12F42" w16cex:dateUtc="2022-11-10T12:59:03.062Z"/>
  <w16cex:commentExtensible w16cex:durableId="77F75A30" w16cex:dateUtc="2022-11-10T20:59:09.3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69F0" w14:textId="77777777" w:rsidR="00283CFE" w:rsidRDefault="00283CFE">
      <w:r>
        <w:separator/>
      </w:r>
    </w:p>
  </w:endnote>
  <w:endnote w:type="continuationSeparator" w:id="0">
    <w:p w14:paraId="1D75F9B8" w14:textId="77777777" w:rsidR="00283CFE" w:rsidRDefault="0028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503E48" w:rsidRPr="0002458E" w:rsidRDefault="00503E48">
    <w:pPr>
      <w:pStyle w:val="Piedepgina"/>
      <w:jc w:val="right"/>
    </w:pPr>
    <w:r w:rsidRPr="0002458E">
      <w:fldChar w:fldCharType="begin"/>
    </w:r>
    <w:r w:rsidRPr="0002458E">
      <w:instrText>PAGE   \* MERGEFORMAT</w:instrText>
    </w:r>
    <w:r w:rsidRPr="0002458E">
      <w:fldChar w:fldCharType="separate"/>
    </w:r>
    <w:r>
      <w:rPr>
        <w:noProof/>
      </w:rPr>
      <w:t>2</w:t>
    </w:r>
    <w:r w:rsidRPr="0002458E">
      <w:fldChar w:fldCharType="end"/>
    </w:r>
  </w:p>
  <w:p w14:paraId="1111E56E" w14:textId="77777777" w:rsidR="00503E48" w:rsidRDefault="00503E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503E48" w:rsidRDefault="00503E48">
    <w:pPr>
      <w:pStyle w:val="Piedepgina"/>
      <w:jc w:val="right"/>
    </w:pPr>
    <w:r>
      <w:fldChar w:fldCharType="begin"/>
    </w:r>
    <w:r>
      <w:instrText>PAGE   \* MERGEFORMAT</w:instrText>
    </w:r>
    <w:r>
      <w:fldChar w:fldCharType="separate"/>
    </w:r>
    <w:r>
      <w:rPr>
        <w:noProof/>
      </w:rPr>
      <w:t>1</w:t>
    </w:r>
    <w:r>
      <w:fldChar w:fldCharType="end"/>
    </w:r>
  </w:p>
  <w:p w14:paraId="167C4D67" w14:textId="77777777" w:rsidR="00503E48" w:rsidRDefault="00503E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075D" w14:textId="77777777" w:rsidR="00283CFE" w:rsidRDefault="00283CFE">
      <w:r>
        <w:separator/>
      </w:r>
    </w:p>
  </w:footnote>
  <w:footnote w:type="continuationSeparator" w:id="0">
    <w:p w14:paraId="04A15E3B" w14:textId="77777777" w:rsidR="00283CFE" w:rsidRDefault="0028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503E48" w:rsidRDefault="00503E4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503E48" w:rsidRDefault="00503E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2E26" w14:textId="08D085CF" w:rsidR="00503E48" w:rsidRPr="00CA19EA" w:rsidRDefault="00503E48" w:rsidP="00CA19EA">
    <w:pPr>
      <w:pStyle w:val="Ttulo"/>
      <w:spacing w:line="240" w:lineRule="auto"/>
      <w:jc w:val="both"/>
      <w:rPr>
        <w:rFonts w:ascii="Times New Roman" w:hAnsi="Times New Roman" w:cs="Times New Roman"/>
        <w:b w:val="0"/>
        <w:sz w:val="16"/>
        <w:szCs w:val="16"/>
      </w:rPr>
    </w:pPr>
    <w:r w:rsidRPr="00CA19E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CA19EA">
      <w:rPr>
        <w:rFonts w:ascii="Times New Roman" w:hAnsi="Times New Roman" w:cs="Times New Roman"/>
        <w:b w:val="0"/>
        <w:sz w:val="16"/>
        <w:szCs w:val="16"/>
      </w:rPr>
      <w:t>66001-31-05-001-2019-00259-01</w:t>
    </w:r>
  </w:p>
  <w:p w14:paraId="7216905F" w14:textId="0AAD8771" w:rsidR="00503E48" w:rsidRPr="00CA19EA" w:rsidRDefault="00503E48" w:rsidP="00CA19EA">
    <w:pPr>
      <w:pStyle w:val="Ttulo"/>
      <w:spacing w:line="240" w:lineRule="auto"/>
      <w:jc w:val="both"/>
      <w:rPr>
        <w:rFonts w:ascii="Times New Roman" w:hAnsi="Times New Roman" w:cs="Times New Roman"/>
        <w:b w:val="0"/>
        <w:sz w:val="16"/>
        <w:szCs w:val="16"/>
      </w:rPr>
    </w:pPr>
    <w:r w:rsidRPr="00CA19EA">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CA19EA">
      <w:rPr>
        <w:rFonts w:ascii="Times New Roman" w:hAnsi="Times New Roman" w:cs="Times New Roman"/>
        <w:b w:val="0"/>
        <w:sz w:val="16"/>
        <w:szCs w:val="16"/>
      </w:rPr>
      <w:t xml:space="preserve">María Auxiliadora Orcasitas Ramírez  </w:t>
    </w:r>
  </w:p>
  <w:p w14:paraId="62B3CCB0" w14:textId="627B6D81" w:rsidR="00503E48" w:rsidRDefault="00503E48" w:rsidP="00CA19EA">
    <w:pPr>
      <w:pStyle w:val="Ttulo"/>
      <w:spacing w:line="240" w:lineRule="auto"/>
      <w:jc w:val="both"/>
      <w:rPr>
        <w:rFonts w:ascii="Times New Roman" w:hAnsi="Times New Roman" w:cs="Times New Roman"/>
        <w:b w:val="0"/>
        <w:sz w:val="16"/>
        <w:szCs w:val="16"/>
      </w:rPr>
    </w:pPr>
    <w:r w:rsidRPr="00CA19E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A19EA">
      <w:rPr>
        <w:rFonts w:ascii="Times New Roman" w:hAnsi="Times New Roman" w:cs="Times New Roman"/>
        <w:b w:val="0"/>
        <w:sz w:val="16"/>
        <w:szCs w:val="16"/>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3906D3"/>
    <w:multiLevelType w:val="hybridMultilevel"/>
    <w:tmpl w:val="A372D3EE"/>
    <w:lvl w:ilvl="0" w:tplc="80C8DDEE">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6F21167F"/>
    <w:multiLevelType w:val="multilevel"/>
    <w:tmpl w:val="5798E7B8"/>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1CD"/>
    <w:rsid w:val="000057C8"/>
    <w:rsid w:val="00005AD0"/>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441"/>
    <w:rsid w:val="000138D2"/>
    <w:rsid w:val="00014101"/>
    <w:rsid w:val="00014172"/>
    <w:rsid w:val="00014949"/>
    <w:rsid w:val="000149FB"/>
    <w:rsid w:val="00014C12"/>
    <w:rsid w:val="00014F1A"/>
    <w:rsid w:val="000153D6"/>
    <w:rsid w:val="00015677"/>
    <w:rsid w:val="00015C7D"/>
    <w:rsid w:val="00016531"/>
    <w:rsid w:val="00016CEA"/>
    <w:rsid w:val="000207D2"/>
    <w:rsid w:val="0002080C"/>
    <w:rsid w:val="00020B62"/>
    <w:rsid w:val="00020EAD"/>
    <w:rsid w:val="00021B46"/>
    <w:rsid w:val="000222F2"/>
    <w:rsid w:val="000228BF"/>
    <w:rsid w:val="00022A5C"/>
    <w:rsid w:val="0002387D"/>
    <w:rsid w:val="0002448C"/>
    <w:rsid w:val="0002458E"/>
    <w:rsid w:val="00024D40"/>
    <w:rsid w:val="00025895"/>
    <w:rsid w:val="00025C56"/>
    <w:rsid w:val="00026905"/>
    <w:rsid w:val="000269CA"/>
    <w:rsid w:val="000271CA"/>
    <w:rsid w:val="000277BB"/>
    <w:rsid w:val="00027E37"/>
    <w:rsid w:val="000323C7"/>
    <w:rsid w:val="000355F6"/>
    <w:rsid w:val="00035929"/>
    <w:rsid w:val="00035BF4"/>
    <w:rsid w:val="00035D3A"/>
    <w:rsid w:val="000360E7"/>
    <w:rsid w:val="00036862"/>
    <w:rsid w:val="00036C06"/>
    <w:rsid w:val="00036EDF"/>
    <w:rsid w:val="00036EF2"/>
    <w:rsid w:val="00037530"/>
    <w:rsid w:val="00037AF3"/>
    <w:rsid w:val="00037FB7"/>
    <w:rsid w:val="000400DC"/>
    <w:rsid w:val="00040AE8"/>
    <w:rsid w:val="000414E6"/>
    <w:rsid w:val="00041F36"/>
    <w:rsid w:val="000423AA"/>
    <w:rsid w:val="000424DD"/>
    <w:rsid w:val="000424FE"/>
    <w:rsid w:val="00042929"/>
    <w:rsid w:val="00042BE8"/>
    <w:rsid w:val="00042D64"/>
    <w:rsid w:val="00043582"/>
    <w:rsid w:val="0004475C"/>
    <w:rsid w:val="00044858"/>
    <w:rsid w:val="00044C28"/>
    <w:rsid w:val="00044E95"/>
    <w:rsid w:val="000454B0"/>
    <w:rsid w:val="00045950"/>
    <w:rsid w:val="000461AB"/>
    <w:rsid w:val="00046230"/>
    <w:rsid w:val="0004798C"/>
    <w:rsid w:val="00050286"/>
    <w:rsid w:val="000502A9"/>
    <w:rsid w:val="00050B8B"/>
    <w:rsid w:val="000516FA"/>
    <w:rsid w:val="000526DE"/>
    <w:rsid w:val="0005299F"/>
    <w:rsid w:val="00052DCE"/>
    <w:rsid w:val="00053381"/>
    <w:rsid w:val="00053767"/>
    <w:rsid w:val="000539D9"/>
    <w:rsid w:val="00053BBC"/>
    <w:rsid w:val="00054180"/>
    <w:rsid w:val="0005432E"/>
    <w:rsid w:val="00056F1F"/>
    <w:rsid w:val="00057644"/>
    <w:rsid w:val="00057E02"/>
    <w:rsid w:val="000603C5"/>
    <w:rsid w:val="000620FC"/>
    <w:rsid w:val="000621CB"/>
    <w:rsid w:val="0006296E"/>
    <w:rsid w:val="0006298A"/>
    <w:rsid w:val="0006342C"/>
    <w:rsid w:val="000634C3"/>
    <w:rsid w:val="00063FBC"/>
    <w:rsid w:val="00064C80"/>
    <w:rsid w:val="00065677"/>
    <w:rsid w:val="00065765"/>
    <w:rsid w:val="00065C21"/>
    <w:rsid w:val="00065E53"/>
    <w:rsid w:val="00066E64"/>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352E"/>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6D78"/>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2673"/>
    <w:rsid w:val="000B3191"/>
    <w:rsid w:val="000B3201"/>
    <w:rsid w:val="000B408E"/>
    <w:rsid w:val="000B4F1F"/>
    <w:rsid w:val="000B5064"/>
    <w:rsid w:val="000B7C76"/>
    <w:rsid w:val="000B7F7C"/>
    <w:rsid w:val="000C032A"/>
    <w:rsid w:val="000C0395"/>
    <w:rsid w:val="000C0CA5"/>
    <w:rsid w:val="000C1504"/>
    <w:rsid w:val="000C1551"/>
    <w:rsid w:val="000C1808"/>
    <w:rsid w:val="000C1993"/>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B82"/>
    <w:rsid w:val="000D4C36"/>
    <w:rsid w:val="000D5E78"/>
    <w:rsid w:val="000D6954"/>
    <w:rsid w:val="000D6E32"/>
    <w:rsid w:val="000D74FA"/>
    <w:rsid w:val="000D78DE"/>
    <w:rsid w:val="000D78EF"/>
    <w:rsid w:val="000D7A48"/>
    <w:rsid w:val="000D7BE7"/>
    <w:rsid w:val="000D7C60"/>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5B8"/>
    <w:rsid w:val="000F57C6"/>
    <w:rsid w:val="000F59E8"/>
    <w:rsid w:val="000F5EBD"/>
    <w:rsid w:val="000F6917"/>
    <w:rsid w:val="000F6A05"/>
    <w:rsid w:val="000F6B06"/>
    <w:rsid w:val="000F7199"/>
    <w:rsid w:val="000F719F"/>
    <w:rsid w:val="001001C8"/>
    <w:rsid w:val="00100D4D"/>
    <w:rsid w:val="001015B5"/>
    <w:rsid w:val="00102482"/>
    <w:rsid w:val="00102835"/>
    <w:rsid w:val="00103EF5"/>
    <w:rsid w:val="001045F3"/>
    <w:rsid w:val="00104A14"/>
    <w:rsid w:val="0010539E"/>
    <w:rsid w:val="001070DD"/>
    <w:rsid w:val="00107553"/>
    <w:rsid w:val="00107712"/>
    <w:rsid w:val="0010779E"/>
    <w:rsid w:val="00107AB5"/>
    <w:rsid w:val="001102C3"/>
    <w:rsid w:val="00110367"/>
    <w:rsid w:val="001103AC"/>
    <w:rsid w:val="0011286C"/>
    <w:rsid w:val="00112F15"/>
    <w:rsid w:val="001130B9"/>
    <w:rsid w:val="00113705"/>
    <w:rsid w:val="001137DF"/>
    <w:rsid w:val="00113870"/>
    <w:rsid w:val="00114499"/>
    <w:rsid w:val="00114AD3"/>
    <w:rsid w:val="001162F4"/>
    <w:rsid w:val="00116754"/>
    <w:rsid w:val="001172A8"/>
    <w:rsid w:val="001174B9"/>
    <w:rsid w:val="00120A35"/>
    <w:rsid w:val="00120E4F"/>
    <w:rsid w:val="00120EAB"/>
    <w:rsid w:val="0012133A"/>
    <w:rsid w:val="0012133C"/>
    <w:rsid w:val="00122129"/>
    <w:rsid w:val="00122140"/>
    <w:rsid w:val="00122521"/>
    <w:rsid w:val="00122A4F"/>
    <w:rsid w:val="00122FE4"/>
    <w:rsid w:val="00123412"/>
    <w:rsid w:val="00123767"/>
    <w:rsid w:val="001245C1"/>
    <w:rsid w:val="00124D1E"/>
    <w:rsid w:val="00125BB8"/>
    <w:rsid w:val="00126266"/>
    <w:rsid w:val="00126867"/>
    <w:rsid w:val="00127EE2"/>
    <w:rsid w:val="00130D74"/>
    <w:rsid w:val="00131250"/>
    <w:rsid w:val="00131C1B"/>
    <w:rsid w:val="0013280B"/>
    <w:rsid w:val="00133641"/>
    <w:rsid w:val="00133DD5"/>
    <w:rsid w:val="00134872"/>
    <w:rsid w:val="001355E4"/>
    <w:rsid w:val="00135707"/>
    <w:rsid w:val="00135D07"/>
    <w:rsid w:val="00136279"/>
    <w:rsid w:val="00137BDE"/>
    <w:rsid w:val="00137E1C"/>
    <w:rsid w:val="00140A37"/>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087E"/>
    <w:rsid w:val="00191410"/>
    <w:rsid w:val="001917DB"/>
    <w:rsid w:val="00191D60"/>
    <w:rsid w:val="00192076"/>
    <w:rsid w:val="00193410"/>
    <w:rsid w:val="00193623"/>
    <w:rsid w:val="001938F9"/>
    <w:rsid w:val="001939B4"/>
    <w:rsid w:val="00193AAA"/>
    <w:rsid w:val="001940E5"/>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965"/>
    <w:rsid w:val="001A3BD6"/>
    <w:rsid w:val="001A3CA5"/>
    <w:rsid w:val="001A42CC"/>
    <w:rsid w:val="001A4830"/>
    <w:rsid w:val="001A4C84"/>
    <w:rsid w:val="001A58F6"/>
    <w:rsid w:val="001A5A7A"/>
    <w:rsid w:val="001A5C23"/>
    <w:rsid w:val="001A6356"/>
    <w:rsid w:val="001A6896"/>
    <w:rsid w:val="001A69F9"/>
    <w:rsid w:val="001A7217"/>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157"/>
    <w:rsid w:val="001B76BD"/>
    <w:rsid w:val="001C03A9"/>
    <w:rsid w:val="001C14EA"/>
    <w:rsid w:val="001C1CDC"/>
    <w:rsid w:val="001C2224"/>
    <w:rsid w:val="001C264B"/>
    <w:rsid w:val="001C2CC6"/>
    <w:rsid w:val="001C2DB5"/>
    <w:rsid w:val="001C4178"/>
    <w:rsid w:val="001C4293"/>
    <w:rsid w:val="001C46CD"/>
    <w:rsid w:val="001C4719"/>
    <w:rsid w:val="001C4780"/>
    <w:rsid w:val="001C512A"/>
    <w:rsid w:val="001C5B1C"/>
    <w:rsid w:val="001C7251"/>
    <w:rsid w:val="001C7BB2"/>
    <w:rsid w:val="001C7F1D"/>
    <w:rsid w:val="001D153F"/>
    <w:rsid w:val="001D2276"/>
    <w:rsid w:val="001D305C"/>
    <w:rsid w:val="001D3995"/>
    <w:rsid w:val="001D3A97"/>
    <w:rsid w:val="001D3DC4"/>
    <w:rsid w:val="001D5B31"/>
    <w:rsid w:val="001D6479"/>
    <w:rsid w:val="001D7501"/>
    <w:rsid w:val="001E03A8"/>
    <w:rsid w:val="001E0812"/>
    <w:rsid w:val="001E13EB"/>
    <w:rsid w:val="001E34F9"/>
    <w:rsid w:val="001E3682"/>
    <w:rsid w:val="001E36CE"/>
    <w:rsid w:val="001E3A55"/>
    <w:rsid w:val="001E448B"/>
    <w:rsid w:val="001E4B08"/>
    <w:rsid w:val="001E5064"/>
    <w:rsid w:val="001E514F"/>
    <w:rsid w:val="001E52A5"/>
    <w:rsid w:val="001E65B7"/>
    <w:rsid w:val="001E724A"/>
    <w:rsid w:val="001E7355"/>
    <w:rsid w:val="001E7B5E"/>
    <w:rsid w:val="001F0BDA"/>
    <w:rsid w:val="001F0CF7"/>
    <w:rsid w:val="001F0DDE"/>
    <w:rsid w:val="001F0ED8"/>
    <w:rsid w:val="001F25BB"/>
    <w:rsid w:val="001F2E91"/>
    <w:rsid w:val="001F3AEA"/>
    <w:rsid w:val="001F3CEA"/>
    <w:rsid w:val="001F4666"/>
    <w:rsid w:val="001F48BB"/>
    <w:rsid w:val="001F48EE"/>
    <w:rsid w:val="001F4FBB"/>
    <w:rsid w:val="001F54E6"/>
    <w:rsid w:val="001F55B9"/>
    <w:rsid w:val="001F582C"/>
    <w:rsid w:val="001F5BC2"/>
    <w:rsid w:val="001F5D82"/>
    <w:rsid w:val="001F5F7F"/>
    <w:rsid w:val="001F60D4"/>
    <w:rsid w:val="001F6462"/>
    <w:rsid w:val="001F6B11"/>
    <w:rsid w:val="001F7539"/>
    <w:rsid w:val="001F7DFA"/>
    <w:rsid w:val="00200192"/>
    <w:rsid w:val="00201327"/>
    <w:rsid w:val="00201DEE"/>
    <w:rsid w:val="002021D9"/>
    <w:rsid w:val="0020257E"/>
    <w:rsid w:val="00203502"/>
    <w:rsid w:val="00203DCA"/>
    <w:rsid w:val="00203E26"/>
    <w:rsid w:val="00204572"/>
    <w:rsid w:val="002054CF"/>
    <w:rsid w:val="00205750"/>
    <w:rsid w:val="00205B3D"/>
    <w:rsid w:val="00205CFF"/>
    <w:rsid w:val="00206F7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0DE0"/>
    <w:rsid w:val="00221452"/>
    <w:rsid w:val="00221E2C"/>
    <w:rsid w:val="00221F05"/>
    <w:rsid w:val="002225AD"/>
    <w:rsid w:val="0022317F"/>
    <w:rsid w:val="0022375A"/>
    <w:rsid w:val="00223894"/>
    <w:rsid w:val="00223AE4"/>
    <w:rsid w:val="002244C1"/>
    <w:rsid w:val="0022458D"/>
    <w:rsid w:val="002248AE"/>
    <w:rsid w:val="00224E1C"/>
    <w:rsid w:val="002250D5"/>
    <w:rsid w:val="002262B8"/>
    <w:rsid w:val="002262C5"/>
    <w:rsid w:val="002266BC"/>
    <w:rsid w:val="00226928"/>
    <w:rsid w:val="00226B30"/>
    <w:rsid w:val="0022734D"/>
    <w:rsid w:val="002273C1"/>
    <w:rsid w:val="00227E72"/>
    <w:rsid w:val="002307F0"/>
    <w:rsid w:val="00230B57"/>
    <w:rsid w:val="00231133"/>
    <w:rsid w:val="002314B7"/>
    <w:rsid w:val="00233341"/>
    <w:rsid w:val="002338AC"/>
    <w:rsid w:val="00233BD7"/>
    <w:rsid w:val="00234388"/>
    <w:rsid w:val="002343F1"/>
    <w:rsid w:val="00234BAC"/>
    <w:rsid w:val="00234E83"/>
    <w:rsid w:val="00235181"/>
    <w:rsid w:val="00235D02"/>
    <w:rsid w:val="00235D95"/>
    <w:rsid w:val="002360AF"/>
    <w:rsid w:val="0023693B"/>
    <w:rsid w:val="00236976"/>
    <w:rsid w:val="002400B7"/>
    <w:rsid w:val="002400DC"/>
    <w:rsid w:val="002404F3"/>
    <w:rsid w:val="002405F5"/>
    <w:rsid w:val="00240BD7"/>
    <w:rsid w:val="002411AC"/>
    <w:rsid w:val="00241339"/>
    <w:rsid w:val="002413EE"/>
    <w:rsid w:val="002429C7"/>
    <w:rsid w:val="00242B0A"/>
    <w:rsid w:val="00243627"/>
    <w:rsid w:val="00243E9F"/>
    <w:rsid w:val="0024401A"/>
    <w:rsid w:val="0024427E"/>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C71"/>
    <w:rsid w:val="00247E47"/>
    <w:rsid w:val="002500A3"/>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2666"/>
    <w:rsid w:val="00262975"/>
    <w:rsid w:val="00262E0F"/>
    <w:rsid w:val="00264186"/>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ACC"/>
    <w:rsid w:val="00271B05"/>
    <w:rsid w:val="0027261A"/>
    <w:rsid w:val="00272C0E"/>
    <w:rsid w:val="00272DB6"/>
    <w:rsid w:val="00274834"/>
    <w:rsid w:val="00274C60"/>
    <w:rsid w:val="00274CA0"/>
    <w:rsid w:val="00274FFD"/>
    <w:rsid w:val="002763C1"/>
    <w:rsid w:val="0027657D"/>
    <w:rsid w:val="002765F1"/>
    <w:rsid w:val="00276620"/>
    <w:rsid w:val="00277315"/>
    <w:rsid w:val="002802D1"/>
    <w:rsid w:val="002814C1"/>
    <w:rsid w:val="002818EA"/>
    <w:rsid w:val="002819E9"/>
    <w:rsid w:val="002819FE"/>
    <w:rsid w:val="00281F83"/>
    <w:rsid w:val="00282359"/>
    <w:rsid w:val="0028317E"/>
    <w:rsid w:val="00283CF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1716"/>
    <w:rsid w:val="002A2734"/>
    <w:rsid w:val="002A2825"/>
    <w:rsid w:val="002A2B23"/>
    <w:rsid w:val="002A2CD2"/>
    <w:rsid w:val="002A47DA"/>
    <w:rsid w:val="002A5055"/>
    <w:rsid w:val="002A59E1"/>
    <w:rsid w:val="002A6E4A"/>
    <w:rsid w:val="002A7835"/>
    <w:rsid w:val="002A7981"/>
    <w:rsid w:val="002A7B5A"/>
    <w:rsid w:val="002B0087"/>
    <w:rsid w:val="002B0F49"/>
    <w:rsid w:val="002B15EF"/>
    <w:rsid w:val="002B191F"/>
    <w:rsid w:val="002B2511"/>
    <w:rsid w:val="002B2545"/>
    <w:rsid w:val="002B2DEC"/>
    <w:rsid w:val="002B4504"/>
    <w:rsid w:val="002B4874"/>
    <w:rsid w:val="002B4B70"/>
    <w:rsid w:val="002B5A64"/>
    <w:rsid w:val="002B60ED"/>
    <w:rsid w:val="002B6380"/>
    <w:rsid w:val="002B6AF5"/>
    <w:rsid w:val="002B6B54"/>
    <w:rsid w:val="002B6CF8"/>
    <w:rsid w:val="002B6D4C"/>
    <w:rsid w:val="002B73AC"/>
    <w:rsid w:val="002B776A"/>
    <w:rsid w:val="002B7E9C"/>
    <w:rsid w:val="002B7FD3"/>
    <w:rsid w:val="002C0BAD"/>
    <w:rsid w:val="002C1403"/>
    <w:rsid w:val="002C199F"/>
    <w:rsid w:val="002C25E0"/>
    <w:rsid w:val="002C2A7C"/>
    <w:rsid w:val="002C31C2"/>
    <w:rsid w:val="002C31F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0B3"/>
    <w:rsid w:val="002D33E0"/>
    <w:rsid w:val="002D380F"/>
    <w:rsid w:val="002D3D0B"/>
    <w:rsid w:val="002D3F06"/>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6F0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53E"/>
    <w:rsid w:val="00316687"/>
    <w:rsid w:val="00317201"/>
    <w:rsid w:val="003174DF"/>
    <w:rsid w:val="00320D1D"/>
    <w:rsid w:val="0032124D"/>
    <w:rsid w:val="003216D0"/>
    <w:rsid w:val="00321806"/>
    <w:rsid w:val="00322B29"/>
    <w:rsid w:val="00323C2D"/>
    <w:rsid w:val="00325D21"/>
    <w:rsid w:val="0032600C"/>
    <w:rsid w:val="00326E13"/>
    <w:rsid w:val="00326EFD"/>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6D98"/>
    <w:rsid w:val="00337B89"/>
    <w:rsid w:val="00337C3D"/>
    <w:rsid w:val="003425A9"/>
    <w:rsid w:val="00342B91"/>
    <w:rsid w:val="00342F43"/>
    <w:rsid w:val="0034420C"/>
    <w:rsid w:val="00344697"/>
    <w:rsid w:val="00344FE9"/>
    <w:rsid w:val="00345108"/>
    <w:rsid w:val="00345A87"/>
    <w:rsid w:val="00345BFE"/>
    <w:rsid w:val="00346B75"/>
    <w:rsid w:val="00346BF8"/>
    <w:rsid w:val="00346D00"/>
    <w:rsid w:val="003470ED"/>
    <w:rsid w:val="00347661"/>
    <w:rsid w:val="003479E9"/>
    <w:rsid w:val="00347BFA"/>
    <w:rsid w:val="00351D97"/>
    <w:rsid w:val="00351DA6"/>
    <w:rsid w:val="00352BAE"/>
    <w:rsid w:val="00353228"/>
    <w:rsid w:val="00353422"/>
    <w:rsid w:val="00353B4B"/>
    <w:rsid w:val="00353C76"/>
    <w:rsid w:val="00355296"/>
    <w:rsid w:val="00355E71"/>
    <w:rsid w:val="003561C2"/>
    <w:rsid w:val="003561ED"/>
    <w:rsid w:val="003565B2"/>
    <w:rsid w:val="00356D92"/>
    <w:rsid w:val="003576C3"/>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7B7"/>
    <w:rsid w:val="00372C4F"/>
    <w:rsid w:val="00372E1F"/>
    <w:rsid w:val="0037454D"/>
    <w:rsid w:val="00374DD5"/>
    <w:rsid w:val="003750A1"/>
    <w:rsid w:val="003754C7"/>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811"/>
    <w:rsid w:val="00386E56"/>
    <w:rsid w:val="00386EC9"/>
    <w:rsid w:val="003870B2"/>
    <w:rsid w:val="003872C4"/>
    <w:rsid w:val="00387D04"/>
    <w:rsid w:val="00387EB2"/>
    <w:rsid w:val="003912B6"/>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B86"/>
    <w:rsid w:val="003A2C58"/>
    <w:rsid w:val="003A388F"/>
    <w:rsid w:val="003A3A6E"/>
    <w:rsid w:val="003A3BBB"/>
    <w:rsid w:val="003A3D86"/>
    <w:rsid w:val="003A3FC4"/>
    <w:rsid w:val="003A3FDF"/>
    <w:rsid w:val="003A4185"/>
    <w:rsid w:val="003A432A"/>
    <w:rsid w:val="003A43C3"/>
    <w:rsid w:val="003A52A3"/>
    <w:rsid w:val="003A5634"/>
    <w:rsid w:val="003A6522"/>
    <w:rsid w:val="003A65B1"/>
    <w:rsid w:val="003A66AE"/>
    <w:rsid w:val="003A69EC"/>
    <w:rsid w:val="003A7B37"/>
    <w:rsid w:val="003B02A3"/>
    <w:rsid w:val="003B16C4"/>
    <w:rsid w:val="003B1930"/>
    <w:rsid w:val="003B1B0E"/>
    <w:rsid w:val="003B2E57"/>
    <w:rsid w:val="003B3424"/>
    <w:rsid w:val="003B3E6E"/>
    <w:rsid w:val="003B4467"/>
    <w:rsid w:val="003B4C2E"/>
    <w:rsid w:val="003B4CEA"/>
    <w:rsid w:val="003B51C2"/>
    <w:rsid w:val="003B5CD2"/>
    <w:rsid w:val="003B5F57"/>
    <w:rsid w:val="003B6103"/>
    <w:rsid w:val="003B61BF"/>
    <w:rsid w:val="003B650D"/>
    <w:rsid w:val="003B6E9D"/>
    <w:rsid w:val="003B7777"/>
    <w:rsid w:val="003B7DC7"/>
    <w:rsid w:val="003C0C9A"/>
    <w:rsid w:val="003C1DD7"/>
    <w:rsid w:val="003C21E6"/>
    <w:rsid w:val="003C2237"/>
    <w:rsid w:val="003C2541"/>
    <w:rsid w:val="003C2FB0"/>
    <w:rsid w:val="003C3278"/>
    <w:rsid w:val="003C3623"/>
    <w:rsid w:val="003C4271"/>
    <w:rsid w:val="003C4838"/>
    <w:rsid w:val="003C485E"/>
    <w:rsid w:val="003C4B44"/>
    <w:rsid w:val="003C5545"/>
    <w:rsid w:val="003C6A58"/>
    <w:rsid w:val="003C6D5F"/>
    <w:rsid w:val="003C7018"/>
    <w:rsid w:val="003C7149"/>
    <w:rsid w:val="003C7C33"/>
    <w:rsid w:val="003C7CDD"/>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3F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1D8"/>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C72"/>
    <w:rsid w:val="00407D53"/>
    <w:rsid w:val="00407F53"/>
    <w:rsid w:val="00410D79"/>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4C63"/>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AFB"/>
    <w:rsid w:val="00431F77"/>
    <w:rsid w:val="00432108"/>
    <w:rsid w:val="00432AA7"/>
    <w:rsid w:val="00433FA1"/>
    <w:rsid w:val="00433FF1"/>
    <w:rsid w:val="0043421D"/>
    <w:rsid w:val="004347CA"/>
    <w:rsid w:val="00434967"/>
    <w:rsid w:val="004356B3"/>
    <w:rsid w:val="004357B2"/>
    <w:rsid w:val="00435C1D"/>
    <w:rsid w:val="0043741C"/>
    <w:rsid w:val="004403B2"/>
    <w:rsid w:val="0044046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D71"/>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A6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6FCF"/>
    <w:rsid w:val="00477094"/>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41F"/>
    <w:rsid w:val="00493E08"/>
    <w:rsid w:val="004940ED"/>
    <w:rsid w:val="00494331"/>
    <w:rsid w:val="00494BA4"/>
    <w:rsid w:val="00495560"/>
    <w:rsid w:val="00495E07"/>
    <w:rsid w:val="004962F5"/>
    <w:rsid w:val="00497E95"/>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84E"/>
    <w:rsid w:val="004A7C5D"/>
    <w:rsid w:val="004B0127"/>
    <w:rsid w:val="004B27E0"/>
    <w:rsid w:val="004B29F2"/>
    <w:rsid w:val="004B33AE"/>
    <w:rsid w:val="004B3AB2"/>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320"/>
    <w:rsid w:val="004C1419"/>
    <w:rsid w:val="004C14BD"/>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4BCD"/>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2793"/>
    <w:rsid w:val="004F2D5E"/>
    <w:rsid w:val="004F31FF"/>
    <w:rsid w:val="004F43F1"/>
    <w:rsid w:val="004F48F6"/>
    <w:rsid w:val="004F4F15"/>
    <w:rsid w:val="004F6882"/>
    <w:rsid w:val="004F69C5"/>
    <w:rsid w:val="004F71FA"/>
    <w:rsid w:val="004F7351"/>
    <w:rsid w:val="004F7C33"/>
    <w:rsid w:val="00500756"/>
    <w:rsid w:val="005014A9"/>
    <w:rsid w:val="0050220E"/>
    <w:rsid w:val="0050266B"/>
    <w:rsid w:val="00503101"/>
    <w:rsid w:val="00503E48"/>
    <w:rsid w:val="005051A9"/>
    <w:rsid w:val="00505E54"/>
    <w:rsid w:val="00505EB1"/>
    <w:rsid w:val="005065A4"/>
    <w:rsid w:val="00507889"/>
    <w:rsid w:val="005079BC"/>
    <w:rsid w:val="005105B7"/>
    <w:rsid w:val="0051061B"/>
    <w:rsid w:val="005107E5"/>
    <w:rsid w:val="00510CE2"/>
    <w:rsid w:val="00512883"/>
    <w:rsid w:val="00512F75"/>
    <w:rsid w:val="00513B9C"/>
    <w:rsid w:val="00513D07"/>
    <w:rsid w:val="00514368"/>
    <w:rsid w:val="00514BB4"/>
    <w:rsid w:val="00514C7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B6"/>
    <w:rsid w:val="005337F5"/>
    <w:rsid w:val="00533BA1"/>
    <w:rsid w:val="00533FD9"/>
    <w:rsid w:val="00534379"/>
    <w:rsid w:val="00534382"/>
    <w:rsid w:val="00534CEA"/>
    <w:rsid w:val="00535526"/>
    <w:rsid w:val="00535570"/>
    <w:rsid w:val="0053628F"/>
    <w:rsid w:val="005366D1"/>
    <w:rsid w:val="00540A27"/>
    <w:rsid w:val="00540BF2"/>
    <w:rsid w:val="0054123B"/>
    <w:rsid w:val="005416D6"/>
    <w:rsid w:val="005417FF"/>
    <w:rsid w:val="00542138"/>
    <w:rsid w:val="00542C65"/>
    <w:rsid w:val="0054352F"/>
    <w:rsid w:val="0054465E"/>
    <w:rsid w:val="00544CC5"/>
    <w:rsid w:val="00544E61"/>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2C3C"/>
    <w:rsid w:val="00563151"/>
    <w:rsid w:val="00563866"/>
    <w:rsid w:val="00563FC0"/>
    <w:rsid w:val="005649CC"/>
    <w:rsid w:val="005651AD"/>
    <w:rsid w:val="00566226"/>
    <w:rsid w:val="0056711F"/>
    <w:rsid w:val="0056774A"/>
    <w:rsid w:val="0056776A"/>
    <w:rsid w:val="00567BED"/>
    <w:rsid w:val="00567ECB"/>
    <w:rsid w:val="00570552"/>
    <w:rsid w:val="0057072B"/>
    <w:rsid w:val="00570C1C"/>
    <w:rsid w:val="00570FA6"/>
    <w:rsid w:val="00572199"/>
    <w:rsid w:val="005721AB"/>
    <w:rsid w:val="00572365"/>
    <w:rsid w:val="0057284F"/>
    <w:rsid w:val="005728DC"/>
    <w:rsid w:val="00572A1F"/>
    <w:rsid w:val="00572D23"/>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88"/>
    <w:rsid w:val="005824BE"/>
    <w:rsid w:val="00582D26"/>
    <w:rsid w:val="00584FE2"/>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58AF"/>
    <w:rsid w:val="0059678F"/>
    <w:rsid w:val="00596972"/>
    <w:rsid w:val="00596BBA"/>
    <w:rsid w:val="00597947"/>
    <w:rsid w:val="005A073F"/>
    <w:rsid w:val="005A08D3"/>
    <w:rsid w:val="005A0929"/>
    <w:rsid w:val="005A10CA"/>
    <w:rsid w:val="005A1558"/>
    <w:rsid w:val="005A1B19"/>
    <w:rsid w:val="005A221E"/>
    <w:rsid w:val="005A25F0"/>
    <w:rsid w:val="005A2620"/>
    <w:rsid w:val="005A2746"/>
    <w:rsid w:val="005A2934"/>
    <w:rsid w:val="005A2946"/>
    <w:rsid w:val="005A2A12"/>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1A19"/>
    <w:rsid w:val="005D2D57"/>
    <w:rsid w:val="005D322F"/>
    <w:rsid w:val="005D3838"/>
    <w:rsid w:val="005D3FC4"/>
    <w:rsid w:val="005D41D3"/>
    <w:rsid w:val="005D47F3"/>
    <w:rsid w:val="005D4CFA"/>
    <w:rsid w:val="005D56BB"/>
    <w:rsid w:val="005D571D"/>
    <w:rsid w:val="005D580C"/>
    <w:rsid w:val="005D5AE3"/>
    <w:rsid w:val="005D62B9"/>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68F"/>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0A12"/>
    <w:rsid w:val="0060123E"/>
    <w:rsid w:val="00601D2E"/>
    <w:rsid w:val="00601E68"/>
    <w:rsid w:val="00602689"/>
    <w:rsid w:val="0060282E"/>
    <w:rsid w:val="00602F78"/>
    <w:rsid w:val="006033E3"/>
    <w:rsid w:val="006034A8"/>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201"/>
    <w:rsid w:val="0061340F"/>
    <w:rsid w:val="006139E3"/>
    <w:rsid w:val="00613A32"/>
    <w:rsid w:val="00614232"/>
    <w:rsid w:val="006148E1"/>
    <w:rsid w:val="006153AB"/>
    <w:rsid w:val="00615B84"/>
    <w:rsid w:val="00615F04"/>
    <w:rsid w:val="00616C21"/>
    <w:rsid w:val="00616D19"/>
    <w:rsid w:val="00616F8E"/>
    <w:rsid w:val="006172B6"/>
    <w:rsid w:val="00617CF9"/>
    <w:rsid w:val="0062041D"/>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8A"/>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CD5"/>
    <w:rsid w:val="00637FD8"/>
    <w:rsid w:val="006406AA"/>
    <w:rsid w:val="00640EE1"/>
    <w:rsid w:val="0064162F"/>
    <w:rsid w:val="00641DC6"/>
    <w:rsid w:val="00643B07"/>
    <w:rsid w:val="0064404A"/>
    <w:rsid w:val="00644D88"/>
    <w:rsid w:val="00644F38"/>
    <w:rsid w:val="0064502D"/>
    <w:rsid w:val="00645764"/>
    <w:rsid w:val="00645B7F"/>
    <w:rsid w:val="00645F06"/>
    <w:rsid w:val="00646968"/>
    <w:rsid w:val="00646E28"/>
    <w:rsid w:val="0064703A"/>
    <w:rsid w:val="006475D0"/>
    <w:rsid w:val="00647F52"/>
    <w:rsid w:val="00650B3E"/>
    <w:rsid w:val="00650FC1"/>
    <w:rsid w:val="0065228F"/>
    <w:rsid w:val="006522B0"/>
    <w:rsid w:val="00652349"/>
    <w:rsid w:val="00652678"/>
    <w:rsid w:val="00652B2C"/>
    <w:rsid w:val="006535E6"/>
    <w:rsid w:val="0065450B"/>
    <w:rsid w:val="00654623"/>
    <w:rsid w:val="00654BAD"/>
    <w:rsid w:val="00654D3D"/>
    <w:rsid w:val="006553DC"/>
    <w:rsid w:val="00655794"/>
    <w:rsid w:val="0065759A"/>
    <w:rsid w:val="00660133"/>
    <w:rsid w:val="006609C0"/>
    <w:rsid w:val="00660F77"/>
    <w:rsid w:val="006619E5"/>
    <w:rsid w:val="00661F00"/>
    <w:rsid w:val="006621E9"/>
    <w:rsid w:val="0066269A"/>
    <w:rsid w:val="00663B58"/>
    <w:rsid w:val="00663BEC"/>
    <w:rsid w:val="00664B6C"/>
    <w:rsid w:val="00664D3D"/>
    <w:rsid w:val="006656BE"/>
    <w:rsid w:val="00665DC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755"/>
    <w:rsid w:val="0068387E"/>
    <w:rsid w:val="006838B6"/>
    <w:rsid w:val="00683904"/>
    <w:rsid w:val="006840BA"/>
    <w:rsid w:val="006842A5"/>
    <w:rsid w:val="006846CE"/>
    <w:rsid w:val="0068544D"/>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2F7C"/>
    <w:rsid w:val="006A3AC9"/>
    <w:rsid w:val="006A41E6"/>
    <w:rsid w:val="006A4958"/>
    <w:rsid w:val="006A52A2"/>
    <w:rsid w:val="006A58D8"/>
    <w:rsid w:val="006A5C36"/>
    <w:rsid w:val="006A5DD7"/>
    <w:rsid w:val="006A6626"/>
    <w:rsid w:val="006A7504"/>
    <w:rsid w:val="006A7C1E"/>
    <w:rsid w:val="006A7CFC"/>
    <w:rsid w:val="006B057C"/>
    <w:rsid w:val="006B0EE8"/>
    <w:rsid w:val="006B108A"/>
    <w:rsid w:val="006B1D87"/>
    <w:rsid w:val="006B1DD6"/>
    <w:rsid w:val="006B2798"/>
    <w:rsid w:val="006B2831"/>
    <w:rsid w:val="006B2C1E"/>
    <w:rsid w:val="006B2DB9"/>
    <w:rsid w:val="006B4B48"/>
    <w:rsid w:val="006B53B7"/>
    <w:rsid w:val="006B60D9"/>
    <w:rsid w:val="006B6423"/>
    <w:rsid w:val="006B6960"/>
    <w:rsid w:val="006B7830"/>
    <w:rsid w:val="006B78F8"/>
    <w:rsid w:val="006C1952"/>
    <w:rsid w:val="006C1DC7"/>
    <w:rsid w:val="006C23AF"/>
    <w:rsid w:val="006C28EC"/>
    <w:rsid w:val="006C2C44"/>
    <w:rsid w:val="006C2DC7"/>
    <w:rsid w:val="006C319C"/>
    <w:rsid w:val="006C3280"/>
    <w:rsid w:val="006C46EF"/>
    <w:rsid w:val="006C4CDF"/>
    <w:rsid w:val="006C4E3E"/>
    <w:rsid w:val="006C5678"/>
    <w:rsid w:val="006C5927"/>
    <w:rsid w:val="006C63F0"/>
    <w:rsid w:val="006C6B36"/>
    <w:rsid w:val="006C7035"/>
    <w:rsid w:val="006C71A8"/>
    <w:rsid w:val="006C71F6"/>
    <w:rsid w:val="006C75C8"/>
    <w:rsid w:val="006C75FC"/>
    <w:rsid w:val="006C7894"/>
    <w:rsid w:val="006D0517"/>
    <w:rsid w:val="006D0A42"/>
    <w:rsid w:val="006D0AEB"/>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AA9"/>
    <w:rsid w:val="006D6FA1"/>
    <w:rsid w:val="006D791C"/>
    <w:rsid w:val="006D7944"/>
    <w:rsid w:val="006E057B"/>
    <w:rsid w:val="006E0CD7"/>
    <w:rsid w:val="006E10D1"/>
    <w:rsid w:val="006E16C9"/>
    <w:rsid w:val="006E26B9"/>
    <w:rsid w:val="006E2A54"/>
    <w:rsid w:val="006E37D2"/>
    <w:rsid w:val="006E4B16"/>
    <w:rsid w:val="006E6431"/>
    <w:rsid w:val="006E6612"/>
    <w:rsid w:val="006E675C"/>
    <w:rsid w:val="006E6A8B"/>
    <w:rsid w:val="006E72A1"/>
    <w:rsid w:val="006E731C"/>
    <w:rsid w:val="006E78E8"/>
    <w:rsid w:val="006E79CA"/>
    <w:rsid w:val="006E7C2B"/>
    <w:rsid w:val="006E7C6A"/>
    <w:rsid w:val="006E7FC1"/>
    <w:rsid w:val="006F086D"/>
    <w:rsid w:val="006F089B"/>
    <w:rsid w:val="006F0BEA"/>
    <w:rsid w:val="006F158C"/>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415A"/>
    <w:rsid w:val="00705900"/>
    <w:rsid w:val="00705943"/>
    <w:rsid w:val="00707856"/>
    <w:rsid w:val="00707D90"/>
    <w:rsid w:val="00710EDE"/>
    <w:rsid w:val="0071103A"/>
    <w:rsid w:val="0071154D"/>
    <w:rsid w:val="00711891"/>
    <w:rsid w:val="0071197C"/>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18AE"/>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B40"/>
    <w:rsid w:val="00732070"/>
    <w:rsid w:val="007320F1"/>
    <w:rsid w:val="0073215F"/>
    <w:rsid w:val="00732D93"/>
    <w:rsid w:val="0073326C"/>
    <w:rsid w:val="00733346"/>
    <w:rsid w:val="0073357B"/>
    <w:rsid w:val="00733726"/>
    <w:rsid w:val="0073395C"/>
    <w:rsid w:val="00733AA1"/>
    <w:rsid w:val="00734730"/>
    <w:rsid w:val="0073497E"/>
    <w:rsid w:val="00734AE6"/>
    <w:rsid w:val="00734C45"/>
    <w:rsid w:val="00735676"/>
    <w:rsid w:val="00735908"/>
    <w:rsid w:val="00736976"/>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5EFF"/>
    <w:rsid w:val="0075628E"/>
    <w:rsid w:val="0075687E"/>
    <w:rsid w:val="00756DF9"/>
    <w:rsid w:val="007572F7"/>
    <w:rsid w:val="00757E6E"/>
    <w:rsid w:val="00761EB7"/>
    <w:rsid w:val="00762382"/>
    <w:rsid w:val="0076244C"/>
    <w:rsid w:val="0076247D"/>
    <w:rsid w:val="0076268F"/>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4D3E"/>
    <w:rsid w:val="007754D8"/>
    <w:rsid w:val="007763AA"/>
    <w:rsid w:val="007767FE"/>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6A"/>
    <w:rsid w:val="0078749D"/>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5F6C"/>
    <w:rsid w:val="007F6008"/>
    <w:rsid w:val="007F6520"/>
    <w:rsid w:val="007F6D94"/>
    <w:rsid w:val="007F7BC4"/>
    <w:rsid w:val="008010EC"/>
    <w:rsid w:val="00801471"/>
    <w:rsid w:val="00801622"/>
    <w:rsid w:val="0080165B"/>
    <w:rsid w:val="008018B1"/>
    <w:rsid w:val="00801B94"/>
    <w:rsid w:val="00801C6C"/>
    <w:rsid w:val="008027F9"/>
    <w:rsid w:val="00802C6C"/>
    <w:rsid w:val="0080348F"/>
    <w:rsid w:val="008038DC"/>
    <w:rsid w:val="00804725"/>
    <w:rsid w:val="00804D2D"/>
    <w:rsid w:val="008050D3"/>
    <w:rsid w:val="008054F8"/>
    <w:rsid w:val="00805A82"/>
    <w:rsid w:val="00805EBC"/>
    <w:rsid w:val="00806549"/>
    <w:rsid w:val="008065C3"/>
    <w:rsid w:val="00807046"/>
    <w:rsid w:val="008077E1"/>
    <w:rsid w:val="00807BFD"/>
    <w:rsid w:val="00807E7B"/>
    <w:rsid w:val="008102A8"/>
    <w:rsid w:val="0081058C"/>
    <w:rsid w:val="0081073E"/>
    <w:rsid w:val="00811467"/>
    <w:rsid w:val="008126A5"/>
    <w:rsid w:val="0081288C"/>
    <w:rsid w:val="0081288D"/>
    <w:rsid w:val="00812B86"/>
    <w:rsid w:val="00812CF9"/>
    <w:rsid w:val="008130A6"/>
    <w:rsid w:val="00813166"/>
    <w:rsid w:val="0081369A"/>
    <w:rsid w:val="00813908"/>
    <w:rsid w:val="00813EAE"/>
    <w:rsid w:val="0081479D"/>
    <w:rsid w:val="00814923"/>
    <w:rsid w:val="00815322"/>
    <w:rsid w:val="008155DB"/>
    <w:rsid w:val="00815A22"/>
    <w:rsid w:val="00815A7D"/>
    <w:rsid w:val="0081628A"/>
    <w:rsid w:val="008165FB"/>
    <w:rsid w:val="0081673E"/>
    <w:rsid w:val="00816C15"/>
    <w:rsid w:val="00816F82"/>
    <w:rsid w:val="00820469"/>
    <w:rsid w:val="00820CB4"/>
    <w:rsid w:val="00820EF2"/>
    <w:rsid w:val="00821E57"/>
    <w:rsid w:val="008228FE"/>
    <w:rsid w:val="00823A0F"/>
    <w:rsid w:val="00823AB6"/>
    <w:rsid w:val="00823BDB"/>
    <w:rsid w:val="00824291"/>
    <w:rsid w:val="008243A5"/>
    <w:rsid w:val="0082471B"/>
    <w:rsid w:val="00824A9D"/>
    <w:rsid w:val="00824DBF"/>
    <w:rsid w:val="008253A9"/>
    <w:rsid w:val="00825A2D"/>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4560"/>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4C9"/>
    <w:rsid w:val="00844517"/>
    <w:rsid w:val="00844688"/>
    <w:rsid w:val="00844840"/>
    <w:rsid w:val="0084491B"/>
    <w:rsid w:val="00844E2A"/>
    <w:rsid w:val="00844EF0"/>
    <w:rsid w:val="00845A71"/>
    <w:rsid w:val="00846653"/>
    <w:rsid w:val="00846945"/>
    <w:rsid w:val="00846B1F"/>
    <w:rsid w:val="008476E7"/>
    <w:rsid w:val="00847A45"/>
    <w:rsid w:val="00847C4B"/>
    <w:rsid w:val="00847E70"/>
    <w:rsid w:val="008506A4"/>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77404"/>
    <w:rsid w:val="00881514"/>
    <w:rsid w:val="0088223A"/>
    <w:rsid w:val="008837EF"/>
    <w:rsid w:val="0088455A"/>
    <w:rsid w:val="00884E1D"/>
    <w:rsid w:val="00885370"/>
    <w:rsid w:val="00885C43"/>
    <w:rsid w:val="00885F8E"/>
    <w:rsid w:val="00886B50"/>
    <w:rsid w:val="00886DEA"/>
    <w:rsid w:val="00886FEC"/>
    <w:rsid w:val="00887331"/>
    <w:rsid w:val="0088750D"/>
    <w:rsid w:val="008877EB"/>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D97"/>
    <w:rsid w:val="008A4014"/>
    <w:rsid w:val="008A4642"/>
    <w:rsid w:val="008A4A10"/>
    <w:rsid w:val="008A4AE3"/>
    <w:rsid w:val="008A4B0D"/>
    <w:rsid w:val="008A4DC3"/>
    <w:rsid w:val="008A4EBC"/>
    <w:rsid w:val="008A57D3"/>
    <w:rsid w:val="008A693C"/>
    <w:rsid w:val="008A6C58"/>
    <w:rsid w:val="008A6F32"/>
    <w:rsid w:val="008A6FF5"/>
    <w:rsid w:val="008A769D"/>
    <w:rsid w:val="008A7D6A"/>
    <w:rsid w:val="008B0084"/>
    <w:rsid w:val="008B111D"/>
    <w:rsid w:val="008B1B1E"/>
    <w:rsid w:val="008B24F9"/>
    <w:rsid w:val="008B35A7"/>
    <w:rsid w:val="008B59C3"/>
    <w:rsid w:val="008B684D"/>
    <w:rsid w:val="008B69DF"/>
    <w:rsid w:val="008B7A03"/>
    <w:rsid w:val="008B7BFA"/>
    <w:rsid w:val="008C0444"/>
    <w:rsid w:val="008C04FE"/>
    <w:rsid w:val="008C093F"/>
    <w:rsid w:val="008C0B28"/>
    <w:rsid w:val="008C0B7C"/>
    <w:rsid w:val="008C0D89"/>
    <w:rsid w:val="008C1264"/>
    <w:rsid w:val="008C22DA"/>
    <w:rsid w:val="008C26C2"/>
    <w:rsid w:val="008C29CE"/>
    <w:rsid w:val="008C2B48"/>
    <w:rsid w:val="008C2EB1"/>
    <w:rsid w:val="008C30F6"/>
    <w:rsid w:val="008C3D5C"/>
    <w:rsid w:val="008C3F1C"/>
    <w:rsid w:val="008C4417"/>
    <w:rsid w:val="008C4B42"/>
    <w:rsid w:val="008C4B93"/>
    <w:rsid w:val="008C5E5B"/>
    <w:rsid w:val="008C64A8"/>
    <w:rsid w:val="008C6718"/>
    <w:rsid w:val="008C6FEC"/>
    <w:rsid w:val="008C762C"/>
    <w:rsid w:val="008C76AE"/>
    <w:rsid w:val="008C7A13"/>
    <w:rsid w:val="008C7EA7"/>
    <w:rsid w:val="008D04D4"/>
    <w:rsid w:val="008D0698"/>
    <w:rsid w:val="008D0FFB"/>
    <w:rsid w:val="008D10A9"/>
    <w:rsid w:val="008D125A"/>
    <w:rsid w:val="008D2FB8"/>
    <w:rsid w:val="008D308E"/>
    <w:rsid w:val="008D44E7"/>
    <w:rsid w:val="008D4756"/>
    <w:rsid w:val="008D4B0E"/>
    <w:rsid w:val="008D4B1D"/>
    <w:rsid w:val="008D544F"/>
    <w:rsid w:val="008D6240"/>
    <w:rsid w:val="008D68D0"/>
    <w:rsid w:val="008D69CD"/>
    <w:rsid w:val="008D769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E7F86"/>
    <w:rsid w:val="008F02C2"/>
    <w:rsid w:val="008F0316"/>
    <w:rsid w:val="008F0382"/>
    <w:rsid w:val="008F0439"/>
    <w:rsid w:val="008F0536"/>
    <w:rsid w:val="008F0EB2"/>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6D8D"/>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503E"/>
    <w:rsid w:val="00926550"/>
    <w:rsid w:val="009267D7"/>
    <w:rsid w:val="00926B55"/>
    <w:rsid w:val="00927407"/>
    <w:rsid w:val="00927865"/>
    <w:rsid w:val="009279E8"/>
    <w:rsid w:val="0093077C"/>
    <w:rsid w:val="00930A61"/>
    <w:rsid w:val="00930DA8"/>
    <w:rsid w:val="00931860"/>
    <w:rsid w:val="00931C36"/>
    <w:rsid w:val="0093248B"/>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7C8"/>
    <w:rsid w:val="0093685F"/>
    <w:rsid w:val="00937BDE"/>
    <w:rsid w:val="00937F47"/>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EBE"/>
    <w:rsid w:val="00964F65"/>
    <w:rsid w:val="00964FC6"/>
    <w:rsid w:val="00966217"/>
    <w:rsid w:val="009662CE"/>
    <w:rsid w:val="00966BDF"/>
    <w:rsid w:val="009673D9"/>
    <w:rsid w:val="00967416"/>
    <w:rsid w:val="009700B3"/>
    <w:rsid w:val="009701A6"/>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5C94"/>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909"/>
    <w:rsid w:val="00984C8A"/>
    <w:rsid w:val="00984E11"/>
    <w:rsid w:val="0098567C"/>
    <w:rsid w:val="0098751C"/>
    <w:rsid w:val="009875F0"/>
    <w:rsid w:val="00987B5C"/>
    <w:rsid w:val="0099042D"/>
    <w:rsid w:val="009904DA"/>
    <w:rsid w:val="00990A77"/>
    <w:rsid w:val="00991640"/>
    <w:rsid w:val="00991A3C"/>
    <w:rsid w:val="00992668"/>
    <w:rsid w:val="0099338C"/>
    <w:rsid w:val="009935D9"/>
    <w:rsid w:val="00993FC0"/>
    <w:rsid w:val="00994532"/>
    <w:rsid w:val="009952BF"/>
    <w:rsid w:val="00995558"/>
    <w:rsid w:val="0099557A"/>
    <w:rsid w:val="00995E81"/>
    <w:rsid w:val="00996C36"/>
    <w:rsid w:val="00996E05"/>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232"/>
    <w:rsid w:val="009A5739"/>
    <w:rsid w:val="009A57B9"/>
    <w:rsid w:val="009A5975"/>
    <w:rsid w:val="009A5E41"/>
    <w:rsid w:val="009A6407"/>
    <w:rsid w:val="009A64AC"/>
    <w:rsid w:val="009A6A74"/>
    <w:rsid w:val="009A6B30"/>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6B93"/>
    <w:rsid w:val="009B79EE"/>
    <w:rsid w:val="009B7B37"/>
    <w:rsid w:val="009B7D2C"/>
    <w:rsid w:val="009B7D3A"/>
    <w:rsid w:val="009C0108"/>
    <w:rsid w:val="009C0BD1"/>
    <w:rsid w:val="009C1081"/>
    <w:rsid w:val="009C1475"/>
    <w:rsid w:val="009C178C"/>
    <w:rsid w:val="009C17AC"/>
    <w:rsid w:val="009C1E5A"/>
    <w:rsid w:val="009C23E0"/>
    <w:rsid w:val="009C25EE"/>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367B"/>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9E"/>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14A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B4E"/>
    <w:rsid w:val="00A41D55"/>
    <w:rsid w:val="00A43BB8"/>
    <w:rsid w:val="00A443BC"/>
    <w:rsid w:val="00A4460F"/>
    <w:rsid w:val="00A44DE9"/>
    <w:rsid w:val="00A45733"/>
    <w:rsid w:val="00A457C8"/>
    <w:rsid w:val="00A4627C"/>
    <w:rsid w:val="00A46592"/>
    <w:rsid w:val="00A46822"/>
    <w:rsid w:val="00A50E2A"/>
    <w:rsid w:val="00A511F8"/>
    <w:rsid w:val="00A51F3F"/>
    <w:rsid w:val="00A52CBE"/>
    <w:rsid w:val="00A533AC"/>
    <w:rsid w:val="00A53625"/>
    <w:rsid w:val="00A55494"/>
    <w:rsid w:val="00A55509"/>
    <w:rsid w:val="00A563DE"/>
    <w:rsid w:val="00A57624"/>
    <w:rsid w:val="00A57DE4"/>
    <w:rsid w:val="00A6014B"/>
    <w:rsid w:val="00A605B8"/>
    <w:rsid w:val="00A606D9"/>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0DC0"/>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93E"/>
    <w:rsid w:val="00AB1B69"/>
    <w:rsid w:val="00AB202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2E1C"/>
    <w:rsid w:val="00AC373B"/>
    <w:rsid w:val="00AC38EC"/>
    <w:rsid w:val="00AC3BF4"/>
    <w:rsid w:val="00AC3FB9"/>
    <w:rsid w:val="00AC5139"/>
    <w:rsid w:val="00AC5D25"/>
    <w:rsid w:val="00AC618B"/>
    <w:rsid w:val="00AC659C"/>
    <w:rsid w:val="00AC6676"/>
    <w:rsid w:val="00AC7607"/>
    <w:rsid w:val="00AD1694"/>
    <w:rsid w:val="00AD17BA"/>
    <w:rsid w:val="00AD1E37"/>
    <w:rsid w:val="00AD252D"/>
    <w:rsid w:val="00AD2D33"/>
    <w:rsid w:val="00AD2E5A"/>
    <w:rsid w:val="00AD2F0D"/>
    <w:rsid w:val="00AD2F77"/>
    <w:rsid w:val="00AD386A"/>
    <w:rsid w:val="00AD3BF4"/>
    <w:rsid w:val="00AD40FF"/>
    <w:rsid w:val="00AD45D4"/>
    <w:rsid w:val="00AD4AAA"/>
    <w:rsid w:val="00AD539A"/>
    <w:rsid w:val="00AD5AA2"/>
    <w:rsid w:val="00AD5B8D"/>
    <w:rsid w:val="00AD63F5"/>
    <w:rsid w:val="00AD6D51"/>
    <w:rsid w:val="00AD6F87"/>
    <w:rsid w:val="00AD75E9"/>
    <w:rsid w:val="00AD771D"/>
    <w:rsid w:val="00AE0BA2"/>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6346"/>
    <w:rsid w:val="00AE6354"/>
    <w:rsid w:val="00AE6614"/>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78B"/>
    <w:rsid w:val="00B04FCD"/>
    <w:rsid w:val="00B0505F"/>
    <w:rsid w:val="00B052E9"/>
    <w:rsid w:val="00B0538B"/>
    <w:rsid w:val="00B05489"/>
    <w:rsid w:val="00B05774"/>
    <w:rsid w:val="00B06897"/>
    <w:rsid w:val="00B07369"/>
    <w:rsid w:val="00B073B4"/>
    <w:rsid w:val="00B07D70"/>
    <w:rsid w:val="00B1000D"/>
    <w:rsid w:val="00B103D2"/>
    <w:rsid w:val="00B10865"/>
    <w:rsid w:val="00B109E0"/>
    <w:rsid w:val="00B1188A"/>
    <w:rsid w:val="00B11C8A"/>
    <w:rsid w:val="00B12335"/>
    <w:rsid w:val="00B12B6C"/>
    <w:rsid w:val="00B12DC9"/>
    <w:rsid w:val="00B12ED6"/>
    <w:rsid w:val="00B13258"/>
    <w:rsid w:val="00B13822"/>
    <w:rsid w:val="00B13A51"/>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DB"/>
    <w:rsid w:val="00B31EE0"/>
    <w:rsid w:val="00B31FFA"/>
    <w:rsid w:val="00B320E6"/>
    <w:rsid w:val="00B321C2"/>
    <w:rsid w:val="00B32480"/>
    <w:rsid w:val="00B34ACF"/>
    <w:rsid w:val="00B34F7E"/>
    <w:rsid w:val="00B35666"/>
    <w:rsid w:val="00B3580B"/>
    <w:rsid w:val="00B35C7F"/>
    <w:rsid w:val="00B35EBB"/>
    <w:rsid w:val="00B363D6"/>
    <w:rsid w:val="00B36581"/>
    <w:rsid w:val="00B36B81"/>
    <w:rsid w:val="00B36C81"/>
    <w:rsid w:val="00B3724D"/>
    <w:rsid w:val="00B37588"/>
    <w:rsid w:val="00B37CD7"/>
    <w:rsid w:val="00B40996"/>
    <w:rsid w:val="00B41905"/>
    <w:rsid w:val="00B41CAF"/>
    <w:rsid w:val="00B4219B"/>
    <w:rsid w:val="00B43BEE"/>
    <w:rsid w:val="00B4463E"/>
    <w:rsid w:val="00B44856"/>
    <w:rsid w:val="00B459E5"/>
    <w:rsid w:val="00B46202"/>
    <w:rsid w:val="00B46330"/>
    <w:rsid w:val="00B46774"/>
    <w:rsid w:val="00B475D2"/>
    <w:rsid w:val="00B47ADC"/>
    <w:rsid w:val="00B50546"/>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2C0"/>
    <w:rsid w:val="00B73734"/>
    <w:rsid w:val="00B737EE"/>
    <w:rsid w:val="00B73B18"/>
    <w:rsid w:val="00B746B8"/>
    <w:rsid w:val="00B74D7C"/>
    <w:rsid w:val="00B74F47"/>
    <w:rsid w:val="00B75315"/>
    <w:rsid w:val="00B75444"/>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5739"/>
    <w:rsid w:val="00B866C3"/>
    <w:rsid w:val="00B87084"/>
    <w:rsid w:val="00B87440"/>
    <w:rsid w:val="00B875BD"/>
    <w:rsid w:val="00B87750"/>
    <w:rsid w:val="00B90285"/>
    <w:rsid w:val="00B90554"/>
    <w:rsid w:val="00B929BA"/>
    <w:rsid w:val="00B931B7"/>
    <w:rsid w:val="00B9358A"/>
    <w:rsid w:val="00B93672"/>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B786B"/>
    <w:rsid w:val="00BC1511"/>
    <w:rsid w:val="00BC17E8"/>
    <w:rsid w:val="00BC18AD"/>
    <w:rsid w:val="00BC1AA0"/>
    <w:rsid w:val="00BC1D27"/>
    <w:rsid w:val="00BC28C3"/>
    <w:rsid w:val="00BC2DAD"/>
    <w:rsid w:val="00BC3A76"/>
    <w:rsid w:val="00BC4A13"/>
    <w:rsid w:val="00BC50E8"/>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33D8"/>
    <w:rsid w:val="00BF43B5"/>
    <w:rsid w:val="00BF5E08"/>
    <w:rsid w:val="00BF6510"/>
    <w:rsid w:val="00BF67FB"/>
    <w:rsid w:val="00BF6AF0"/>
    <w:rsid w:val="00BF6CDA"/>
    <w:rsid w:val="00BF76A4"/>
    <w:rsid w:val="00BF7882"/>
    <w:rsid w:val="00BF7DBE"/>
    <w:rsid w:val="00C008B3"/>
    <w:rsid w:val="00C00C4F"/>
    <w:rsid w:val="00C011B2"/>
    <w:rsid w:val="00C01C27"/>
    <w:rsid w:val="00C0213D"/>
    <w:rsid w:val="00C0263C"/>
    <w:rsid w:val="00C0294D"/>
    <w:rsid w:val="00C02C55"/>
    <w:rsid w:val="00C0306B"/>
    <w:rsid w:val="00C0371A"/>
    <w:rsid w:val="00C037F2"/>
    <w:rsid w:val="00C04554"/>
    <w:rsid w:val="00C05441"/>
    <w:rsid w:val="00C054DF"/>
    <w:rsid w:val="00C058B7"/>
    <w:rsid w:val="00C05AA6"/>
    <w:rsid w:val="00C05C85"/>
    <w:rsid w:val="00C060DB"/>
    <w:rsid w:val="00C065B8"/>
    <w:rsid w:val="00C066D4"/>
    <w:rsid w:val="00C068EF"/>
    <w:rsid w:val="00C06C8F"/>
    <w:rsid w:val="00C07326"/>
    <w:rsid w:val="00C1005D"/>
    <w:rsid w:val="00C10B24"/>
    <w:rsid w:val="00C116A8"/>
    <w:rsid w:val="00C117B9"/>
    <w:rsid w:val="00C123A5"/>
    <w:rsid w:val="00C132FB"/>
    <w:rsid w:val="00C14339"/>
    <w:rsid w:val="00C14441"/>
    <w:rsid w:val="00C151E0"/>
    <w:rsid w:val="00C15BBB"/>
    <w:rsid w:val="00C162EE"/>
    <w:rsid w:val="00C1698B"/>
    <w:rsid w:val="00C16BD8"/>
    <w:rsid w:val="00C1711B"/>
    <w:rsid w:val="00C203EF"/>
    <w:rsid w:val="00C20611"/>
    <w:rsid w:val="00C21135"/>
    <w:rsid w:val="00C212D1"/>
    <w:rsid w:val="00C2166E"/>
    <w:rsid w:val="00C21723"/>
    <w:rsid w:val="00C22D36"/>
    <w:rsid w:val="00C22ED8"/>
    <w:rsid w:val="00C22F77"/>
    <w:rsid w:val="00C23D59"/>
    <w:rsid w:val="00C23E38"/>
    <w:rsid w:val="00C24068"/>
    <w:rsid w:val="00C24285"/>
    <w:rsid w:val="00C2441F"/>
    <w:rsid w:val="00C24757"/>
    <w:rsid w:val="00C25178"/>
    <w:rsid w:val="00C2518C"/>
    <w:rsid w:val="00C251EA"/>
    <w:rsid w:val="00C25BA6"/>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753"/>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BAF"/>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607"/>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518"/>
    <w:rsid w:val="00C73726"/>
    <w:rsid w:val="00C738D7"/>
    <w:rsid w:val="00C73ACA"/>
    <w:rsid w:val="00C7546D"/>
    <w:rsid w:val="00C75C59"/>
    <w:rsid w:val="00C760C5"/>
    <w:rsid w:val="00C76A70"/>
    <w:rsid w:val="00C76C94"/>
    <w:rsid w:val="00C76D7F"/>
    <w:rsid w:val="00C77274"/>
    <w:rsid w:val="00C776F1"/>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3317"/>
    <w:rsid w:val="00C956DF"/>
    <w:rsid w:val="00C97A53"/>
    <w:rsid w:val="00C97B5F"/>
    <w:rsid w:val="00C97F7D"/>
    <w:rsid w:val="00CA06EE"/>
    <w:rsid w:val="00CA0E3F"/>
    <w:rsid w:val="00CA115F"/>
    <w:rsid w:val="00CA19EA"/>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1654"/>
    <w:rsid w:val="00CC2B6D"/>
    <w:rsid w:val="00CC2C0A"/>
    <w:rsid w:val="00CC2FAF"/>
    <w:rsid w:val="00CC362C"/>
    <w:rsid w:val="00CC3B98"/>
    <w:rsid w:val="00CC3E1B"/>
    <w:rsid w:val="00CC3FCF"/>
    <w:rsid w:val="00CC4816"/>
    <w:rsid w:val="00CC516B"/>
    <w:rsid w:val="00CC60B8"/>
    <w:rsid w:val="00CC63F7"/>
    <w:rsid w:val="00CC6A5B"/>
    <w:rsid w:val="00CC6DB3"/>
    <w:rsid w:val="00CD0326"/>
    <w:rsid w:val="00CD0F52"/>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867"/>
    <w:rsid w:val="00CE5F80"/>
    <w:rsid w:val="00CE5FDE"/>
    <w:rsid w:val="00CE6AF0"/>
    <w:rsid w:val="00CE6D1E"/>
    <w:rsid w:val="00CE72CD"/>
    <w:rsid w:val="00CE788C"/>
    <w:rsid w:val="00CE7DF9"/>
    <w:rsid w:val="00CF016E"/>
    <w:rsid w:val="00CF0670"/>
    <w:rsid w:val="00CF1693"/>
    <w:rsid w:val="00CF1B04"/>
    <w:rsid w:val="00CF1E45"/>
    <w:rsid w:val="00CF2084"/>
    <w:rsid w:val="00CF2C37"/>
    <w:rsid w:val="00CF3705"/>
    <w:rsid w:val="00CF3E20"/>
    <w:rsid w:val="00CF4509"/>
    <w:rsid w:val="00CF597D"/>
    <w:rsid w:val="00CF5BC1"/>
    <w:rsid w:val="00CF7754"/>
    <w:rsid w:val="00D00C8F"/>
    <w:rsid w:val="00D010BF"/>
    <w:rsid w:val="00D01346"/>
    <w:rsid w:val="00D01532"/>
    <w:rsid w:val="00D0153B"/>
    <w:rsid w:val="00D01C6B"/>
    <w:rsid w:val="00D01E34"/>
    <w:rsid w:val="00D01EDD"/>
    <w:rsid w:val="00D022DF"/>
    <w:rsid w:val="00D0233C"/>
    <w:rsid w:val="00D023E5"/>
    <w:rsid w:val="00D02C7C"/>
    <w:rsid w:val="00D031FC"/>
    <w:rsid w:val="00D032C1"/>
    <w:rsid w:val="00D03475"/>
    <w:rsid w:val="00D04F39"/>
    <w:rsid w:val="00D05544"/>
    <w:rsid w:val="00D056CB"/>
    <w:rsid w:val="00D05DD8"/>
    <w:rsid w:val="00D061A8"/>
    <w:rsid w:val="00D061BC"/>
    <w:rsid w:val="00D062D7"/>
    <w:rsid w:val="00D0634F"/>
    <w:rsid w:val="00D06CDE"/>
    <w:rsid w:val="00D075BE"/>
    <w:rsid w:val="00D07639"/>
    <w:rsid w:val="00D103EF"/>
    <w:rsid w:val="00D106C5"/>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81"/>
    <w:rsid w:val="00D178FE"/>
    <w:rsid w:val="00D17EE4"/>
    <w:rsid w:val="00D17FBE"/>
    <w:rsid w:val="00D201EE"/>
    <w:rsid w:val="00D20B3B"/>
    <w:rsid w:val="00D20FEC"/>
    <w:rsid w:val="00D2197D"/>
    <w:rsid w:val="00D225B4"/>
    <w:rsid w:val="00D2285C"/>
    <w:rsid w:val="00D22C3F"/>
    <w:rsid w:val="00D22F7E"/>
    <w:rsid w:val="00D23758"/>
    <w:rsid w:val="00D246EC"/>
    <w:rsid w:val="00D2494E"/>
    <w:rsid w:val="00D24DB3"/>
    <w:rsid w:val="00D256F8"/>
    <w:rsid w:val="00D25E2C"/>
    <w:rsid w:val="00D26175"/>
    <w:rsid w:val="00D266A4"/>
    <w:rsid w:val="00D2780D"/>
    <w:rsid w:val="00D300B3"/>
    <w:rsid w:val="00D30E7A"/>
    <w:rsid w:val="00D31332"/>
    <w:rsid w:val="00D314AE"/>
    <w:rsid w:val="00D31730"/>
    <w:rsid w:val="00D318F5"/>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84A"/>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56B20"/>
    <w:rsid w:val="00D60116"/>
    <w:rsid w:val="00D604D6"/>
    <w:rsid w:val="00D60737"/>
    <w:rsid w:val="00D6104D"/>
    <w:rsid w:val="00D6118C"/>
    <w:rsid w:val="00D61AFA"/>
    <w:rsid w:val="00D6200D"/>
    <w:rsid w:val="00D6208A"/>
    <w:rsid w:val="00D64C01"/>
    <w:rsid w:val="00D64DC3"/>
    <w:rsid w:val="00D65299"/>
    <w:rsid w:val="00D655CF"/>
    <w:rsid w:val="00D65F50"/>
    <w:rsid w:val="00D66F1F"/>
    <w:rsid w:val="00D671F3"/>
    <w:rsid w:val="00D67344"/>
    <w:rsid w:val="00D67A20"/>
    <w:rsid w:val="00D702D4"/>
    <w:rsid w:val="00D705D6"/>
    <w:rsid w:val="00D70F03"/>
    <w:rsid w:val="00D714A8"/>
    <w:rsid w:val="00D71894"/>
    <w:rsid w:val="00D72259"/>
    <w:rsid w:val="00D724B3"/>
    <w:rsid w:val="00D72C0A"/>
    <w:rsid w:val="00D7348D"/>
    <w:rsid w:val="00D73492"/>
    <w:rsid w:val="00D74097"/>
    <w:rsid w:val="00D74808"/>
    <w:rsid w:val="00D74919"/>
    <w:rsid w:val="00D74C49"/>
    <w:rsid w:val="00D74D58"/>
    <w:rsid w:val="00D74E70"/>
    <w:rsid w:val="00D7585A"/>
    <w:rsid w:val="00D758B1"/>
    <w:rsid w:val="00D76301"/>
    <w:rsid w:val="00D764DB"/>
    <w:rsid w:val="00D76654"/>
    <w:rsid w:val="00D76AC9"/>
    <w:rsid w:val="00D77081"/>
    <w:rsid w:val="00D77F4F"/>
    <w:rsid w:val="00D80207"/>
    <w:rsid w:val="00D80C9F"/>
    <w:rsid w:val="00D81119"/>
    <w:rsid w:val="00D81896"/>
    <w:rsid w:val="00D818F9"/>
    <w:rsid w:val="00D81E4D"/>
    <w:rsid w:val="00D82587"/>
    <w:rsid w:val="00D82F65"/>
    <w:rsid w:val="00D83C73"/>
    <w:rsid w:val="00D84924"/>
    <w:rsid w:val="00D84C9E"/>
    <w:rsid w:val="00D84DEB"/>
    <w:rsid w:val="00D84EAE"/>
    <w:rsid w:val="00D8578D"/>
    <w:rsid w:val="00D85FFD"/>
    <w:rsid w:val="00D8647B"/>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5E2"/>
    <w:rsid w:val="00D957EB"/>
    <w:rsid w:val="00D96830"/>
    <w:rsid w:val="00D96DD1"/>
    <w:rsid w:val="00DA0545"/>
    <w:rsid w:val="00DA0FD5"/>
    <w:rsid w:val="00DA1524"/>
    <w:rsid w:val="00DA1E01"/>
    <w:rsid w:val="00DA386E"/>
    <w:rsid w:val="00DA4022"/>
    <w:rsid w:val="00DA416B"/>
    <w:rsid w:val="00DA43A1"/>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64B"/>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5C0"/>
    <w:rsid w:val="00DE0F1D"/>
    <w:rsid w:val="00DE1CF2"/>
    <w:rsid w:val="00DE1D62"/>
    <w:rsid w:val="00DE2020"/>
    <w:rsid w:val="00DE2EB9"/>
    <w:rsid w:val="00DE3A97"/>
    <w:rsid w:val="00DE3FAA"/>
    <w:rsid w:val="00DE5002"/>
    <w:rsid w:val="00DE5D5E"/>
    <w:rsid w:val="00DE5E8D"/>
    <w:rsid w:val="00DE6615"/>
    <w:rsid w:val="00DE696D"/>
    <w:rsid w:val="00DE6AD1"/>
    <w:rsid w:val="00DE7825"/>
    <w:rsid w:val="00DE7D89"/>
    <w:rsid w:val="00DF0309"/>
    <w:rsid w:val="00DF03D7"/>
    <w:rsid w:val="00DF05EC"/>
    <w:rsid w:val="00DF06C1"/>
    <w:rsid w:val="00DF08EC"/>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2438"/>
    <w:rsid w:val="00E03558"/>
    <w:rsid w:val="00E04642"/>
    <w:rsid w:val="00E055B6"/>
    <w:rsid w:val="00E06B03"/>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5EA"/>
    <w:rsid w:val="00E17C92"/>
    <w:rsid w:val="00E17DC6"/>
    <w:rsid w:val="00E17F97"/>
    <w:rsid w:val="00E20CDA"/>
    <w:rsid w:val="00E211F6"/>
    <w:rsid w:val="00E2134C"/>
    <w:rsid w:val="00E215F7"/>
    <w:rsid w:val="00E217F9"/>
    <w:rsid w:val="00E21AAF"/>
    <w:rsid w:val="00E22F60"/>
    <w:rsid w:val="00E2407A"/>
    <w:rsid w:val="00E249C1"/>
    <w:rsid w:val="00E24B33"/>
    <w:rsid w:val="00E24EA7"/>
    <w:rsid w:val="00E25122"/>
    <w:rsid w:val="00E2531E"/>
    <w:rsid w:val="00E264DC"/>
    <w:rsid w:val="00E26E44"/>
    <w:rsid w:val="00E274FF"/>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0CD"/>
    <w:rsid w:val="00E40FBC"/>
    <w:rsid w:val="00E41462"/>
    <w:rsid w:val="00E41882"/>
    <w:rsid w:val="00E41F7B"/>
    <w:rsid w:val="00E42FC3"/>
    <w:rsid w:val="00E43CD2"/>
    <w:rsid w:val="00E4453A"/>
    <w:rsid w:val="00E44665"/>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1D2"/>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0D76"/>
    <w:rsid w:val="00E7167D"/>
    <w:rsid w:val="00E71811"/>
    <w:rsid w:val="00E72C9D"/>
    <w:rsid w:val="00E734D8"/>
    <w:rsid w:val="00E73536"/>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538"/>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018"/>
    <w:rsid w:val="00EB0B5E"/>
    <w:rsid w:val="00EB0DD7"/>
    <w:rsid w:val="00EB13EB"/>
    <w:rsid w:val="00EB1EAC"/>
    <w:rsid w:val="00EB2326"/>
    <w:rsid w:val="00EB2B0E"/>
    <w:rsid w:val="00EB2EA6"/>
    <w:rsid w:val="00EB306E"/>
    <w:rsid w:val="00EB3216"/>
    <w:rsid w:val="00EB37C1"/>
    <w:rsid w:val="00EB3808"/>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828"/>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ACE"/>
    <w:rsid w:val="00EE3DCE"/>
    <w:rsid w:val="00EE45FA"/>
    <w:rsid w:val="00EE58A3"/>
    <w:rsid w:val="00EE5B24"/>
    <w:rsid w:val="00EE618C"/>
    <w:rsid w:val="00EE63F9"/>
    <w:rsid w:val="00EE64F0"/>
    <w:rsid w:val="00EE6583"/>
    <w:rsid w:val="00EF0357"/>
    <w:rsid w:val="00EF03B3"/>
    <w:rsid w:val="00EF0782"/>
    <w:rsid w:val="00EF07E0"/>
    <w:rsid w:val="00EF1300"/>
    <w:rsid w:val="00EF15D6"/>
    <w:rsid w:val="00EF16AB"/>
    <w:rsid w:val="00EF1BE7"/>
    <w:rsid w:val="00EF2014"/>
    <w:rsid w:val="00EF27CF"/>
    <w:rsid w:val="00EF3A80"/>
    <w:rsid w:val="00EF3FC6"/>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6F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7BF"/>
    <w:rsid w:val="00F25CF0"/>
    <w:rsid w:val="00F25F18"/>
    <w:rsid w:val="00F2641D"/>
    <w:rsid w:val="00F26C67"/>
    <w:rsid w:val="00F27290"/>
    <w:rsid w:val="00F2785B"/>
    <w:rsid w:val="00F279B0"/>
    <w:rsid w:val="00F30251"/>
    <w:rsid w:val="00F305B2"/>
    <w:rsid w:val="00F3226D"/>
    <w:rsid w:val="00F3245D"/>
    <w:rsid w:val="00F335A7"/>
    <w:rsid w:val="00F33E15"/>
    <w:rsid w:val="00F34265"/>
    <w:rsid w:val="00F34C09"/>
    <w:rsid w:val="00F34CDE"/>
    <w:rsid w:val="00F35249"/>
    <w:rsid w:val="00F353F9"/>
    <w:rsid w:val="00F35BAB"/>
    <w:rsid w:val="00F35BFE"/>
    <w:rsid w:val="00F3607F"/>
    <w:rsid w:val="00F3646F"/>
    <w:rsid w:val="00F372A4"/>
    <w:rsid w:val="00F373AF"/>
    <w:rsid w:val="00F374BE"/>
    <w:rsid w:val="00F3754E"/>
    <w:rsid w:val="00F410D8"/>
    <w:rsid w:val="00F4167E"/>
    <w:rsid w:val="00F416FA"/>
    <w:rsid w:val="00F423EF"/>
    <w:rsid w:val="00F4314A"/>
    <w:rsid w:val="00F43433"/>
    <w:rsid w:val="00F43450"/>
    <w:rsid w:val="00F44BE8"/>
    <w:rsid w:val="00F44C0F"/>
    <w:rsid w:val="00F45347"/>
    <w:rsid w:val="00F455DB"/>
    <w:rsid w:val="00F45BA6"/>
    <w:rsid w:val="00F470A4"/>
    <w:rsid w:val="00F479F8"/>
    <w:rsid w:val="00F50014"/>
    <w:rsid w:val="00F50A32"/>
    <w:rsid w:val="00F50B68"/>
    <w:rsid w:val="00F51103"/>
    <w:rsid w:val="00F516D6"/>
    <w:rsid w:val="00F51D3D"/>
    <w:rsid w:val="00F51E5A"/>
    <w:rsid w:val="00F5262C"/>
    <w:rsid w:val="00F527D2"/>
    <w:rsid w:val="00F52F30"/>
    <w:rsid w:val="00F5359F"/>
    <w:rsid w:val="00F53BB6"/>
    <w:rsid w:val="00F5558B"/>
    <w:rsid w:val="00F55ED9"/>
    <w:rsid w:val="00F56DA6"/>
    <w:rsid w:val="00F56FE4"/>
    <w:rsid w:val="00F570B1"/>
    <w:rsid w:val="00F57FED"/>
    <w:rsid w:val="00F60069"/>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6E13"/>
    <w:rsid w:val="00F76F7F"/>
    <w:rsid w:val="00F77CA5"/>
    <w:rsid w:val="00F77CFE"/>
    <w:rsid w:val="00F77DED"/>
    <w:rsid w:val="00F8028A"/>
    <w:rsid w:val="00F805C0"/>
    <w:rsid w:val="00F8072C"/>
    <w:rsid w:val="00F8109B"/>
    <w:rsid w:val="00F815C1"/>
    <w:rsid w:val="00F8182F"/>
    <w:rsid w:val="00F82212"/>
    <w:rsid w:val="00F823F0"/>
    <w:rsid w:val="00F82539"/>
    <w:rsid w:val="00F836BF"/>
    <w:rsid w:val="00F83D5D"/>
    <w:rsid w:val="00F83EBA"/>
    <w:rsid w:val="00F84162"/>
    <w:rsid w:val="00F84547"/>
    <w:rsid w:val="00F845DF"/>
    <w:rsid w:val="00F8559D"/>
    <w:rsid w:val="00F85686"/>
    <w:rsid w:val="00F85E7E"/>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39"/>
    <w:rsid w:val="00F97DBD"/>
    <w:rsid w:val="00FA000A"/>
    <w:rsid w:val="00FA0189"/>
    <w:rsid w:val="00FA035D"/>
    <w:rsid w:val="00FA0390"/>
    <w:rsid w:val="00FA03F4"/>
    <w:rsid w:val="00FA09B4"/>
    <w:rsid w:val="00FA0C36"/>
    <w:rsid w:val="00FA181D"/>
    <w:rsid w:val="00FA1827"/>
    <w:rsid w:val="00FA1A99"/>
    <w:rsid w:val="00FA1C72"/>
    <w:rsid w:val="00FA3AC2"/>
    <w:rsid w:val="00FA49F7"/>
    <w:rsid w:val="00FA4D61"/>
    <w:rsid w:val="00FA5348"/>
    <w:rsid w:val="00FA77BB"/>
    <w:rsid w:val="00FA792B"/>
    <w:rsid w:val="00FB0592"/>
    <w:rsid w:val="00FB0808"/>
    <w:rsid w:val="00FB0D6C"/>
    <w:rsid w:val="00FB1198"/>
    <w:rsid w:val="00FB2619"/>
    <w:rsid w:val="00FB276C"/>
    <w:rsid w:val="00FB303B"/>
    <w:rsid w:val="00FB372D"/>
    <w:rsid w:val="00FB4032"/>
    <w:rsid w:val="00FB42E8"/>
    <w:rsid w:val="00FB4714"/>
    <w:rsid w:val="00FB49C0"/>
    <w:rsid w:val="00FB57FB"/>
    <w:rsid w:val="00FB5F29"/>
    <w:rsid w:val="00FB651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C7DFD"/>
    <w:rsid w:val="00FD0675"/>
    <w:rsid w:val="00FD0D70"/>
    <w:rsid w:val="00FD1829"/>
    <w:rsid w:val="00FD19E3"/>
    <w:rsid w:val="00FD2245"/>
    <w:rsid w:val="00FD2BCE"/>
    <w:rsid w:val="00FD2D31"/>
    <w:rsid w:val="00FD4053"/>
    <w:rsid w:val="00FD45EB"/>
    <w:rsid w:val="00FD4C7A"/>
    <w:rsid w:val="00FD5B9B"/>
    <w:rsid w:val="00FD5C78"/>
    <w:rsid w:val="00FD6BD3"/>
    <w:rsid w:val="00FD6CA4"/>
    <w:rsid w:val="00FD7D0A"/>
    <w:rsid w:val="00FD7F59"/>
    <w:rsid w:val="00FE147D"/>
    <w:rsid w:val="00FE18C9"/>
    <w:rsid w:val="00FE1A3F"/>
    <w:rsid w:val="00FE1B93"/>
    <w:rsid w:val="00FE2152"/>
    <w:rsid w:val="00FE228B"/>
    <w:rsid w:val="00FE2CCF"/>
    <w:rsid w:val="00FE3BA0"/>
    <w:rsid w:val="00FE49E5"/>
    <w:rsid w:val="00FE4A5D"/>
    <w:rsid w:val="00FE4AE7"/>
    <w:rsid w:val="00FE6832"/>
    <w:rsid w:val="00FE6979"/>
    <w:rsid w:val="00FE6CC2"/>
    <w:rsid w:val="00FE74BD"/>
    <w:rsid w:val="00FF058D"/>
    <w:rsid w:val="00FF072B"/>
    <w:rsid w:val="00FF1D50"/>
    <w:rsid w:val="00FF1DEE"/>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0BDD203B"/>
    <w:rsid w:val="232ED2CE"/>
    <w:rsid w:val="5E30898F"/>
    <w:rsid w:val="667632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CUERPOTEXTO">
    <w:name w:val="CUERPO TEXTO"/>
    <w:rsid w:val="00D00C8F"/>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CO" w:eastAsia="es-CO"/>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691226">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7701333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14220725">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15f8def2818f4e2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823C-F977-4701-90C9-0F984AFC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D2976022-D9C9-4C04-B2E5-C63113F0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3536</Words>
  <Characters>19450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5</cp:revision>
  <cp:lastPrinted>2018-11-02T18:38:00Z</cp:lastPrinted>
  <dcterms:created xsi:type="dcterms:W3CDTF">2023-01-17T16:11:00Z</dcterms:created>
  <dcterms:modified xsi:type="dcterms:W3CDTF">2023-01-24T13:16:00Z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57078700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