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3A3E0" w14:textId="20DC5D9C" w:rsidR="00B81A19" w:rsidRPr="00BC0519" w:rsidRDefault="00B81A19" w:rsidP="00BC0519">
      <w:pPr>
        <w:autoSpaceDE w:val="0"/>
        <w:autoSpaceDN w:val="0"/>
        <w:adjustRightInd w:val="0"/>
        <w:spacing w:after="0" w:line="240" w:lineRule="auto"/>
        <w:jc w:val="both"/>
        <w:rPr>
          <w:rFonts w:ascii="Arial" w:eastAsia="Times New Roman" w:hAnsi="Arial" w:cs="Arial"/>
          <w:spacing w:val="2"/>
          <w:sz w:val="20"/>
          <w:szCs w:val="20"/>
          <w:lang w:eastAsia="es-ES"/>
        </w:rPr>
      </w:pPr>
      <w:bookmarkStart w:id="0" w:name="_GoBack"/>
      <w:bookmarkEnd w:id="0"/>
      <w:r w:rsidRPr="00BC0519">
        <w:rPr>
          <w:rFonts w:ascii="Arial" w:eastAsia="Times New Roman" w:hAnsi="Arial" w:cs="Arial"/>
          <w:bCs/>
          <w:spacing w:val="2"/>
          <w:sz w:val="20"/>
          <w:szCs w:val="20"/>
          <w:lang w:val="es-ES" w:eastAsia="es-ES"/>
        </w:rPr>
        <w:t>Radicación No</w:t>
      </w:r>
      <w:r w:rsidRPr="00BC0519">
        <w:rPr>
          <w:rFonts w:ascii="Arial" w:eastAsia="Times New Roman" w:hAnsi="Arial" w:cs="Arial"/>
          <w:spacing w:val="2"/>
          <w:sz w:val="20"/>
          <w:szCs w:val="20"/>
          <w:lang w:val="es-ES" w:eastAsia="es-ES"/>
        </w:rPr>
        <w:t>:</w:t>
      </w:r>
      <w:r w:rsidR="00BC0519">
        <w:rPr>
          <w:rFonts w:ascii="Arial" w:eastAsia="Times New Roman" w:hAnsi="Arial" w:cs="Arial"/>
          <w:spacing w:val="2"/>
          <w:sz w:val="20"/>
          <w:szCs w:val="20"/>
          <w:lang w:val="es-ES" w:eastAsia="es-ES"/>
        </w:rPr>
        <w:tab/>
      </w:r>
      <w:r w:rsidRPr="00BC0519">
        <w:rPr>
          <w:rFonts w:ascii="Arial" w:eastAsia="Times New Roman" w:hAnsi="Arial" w:cs="Arial"/>
          <w:spacing w:val="2"/>
          <w:sz w:val="20"/>
          <w:szCs w:val="20"/>
          <w:lang w:val="es-ES" w:eastAsia="es-ES"/>
        </w:rPr>
        <w:tab/>
      </w:r>
      <w:r w:rsidR="00101E1D" w:rsidRPr="00BC0519">
        <w:rPr>
          <w:rFonts w:ascii="Arial" w:eastAsia="Times New Roman" w:hAnsi="Arial" w:cs="Arial"/>
          <w:spacing w:val="2"/>
          <w:sz w:val="20"/>
          <w:szCs w:val="20"/>
          <w:lang w:eastAsia="es-ES"/>
        </w:rPr>
        <w:t>66001-31-05-00</w:t>
      </w:r>
      <w:r w:rsidR="00E264B8" w:rsidRPr="00BC0519">
        <w:rPr>
          <w:rFonts w:ascii="Arial" w:eastAsia="Times New Roman" w:hAnsi="Arial" w:cs="Arial"/>
          <w:spacing w:val="2"/>
          <w:sz w:val="20"/>
          <w:szCs w:val="20"/>
          <w:lang w:eastAsia="es-ES"/>
        </w:rPr>
        <w:t>2</w:t>
      </w:r>
      <w:r w:rsidR="00101E1D" w:rsidRPr="00BC0519">
        <w:rPr>
          <w:rFonts w:ascii="Arial" w:eastAsia="Times New Roman" w:hAnsi="Arial" w:cs="Arial"/>
          <w:spacing w:val="2"/>
          <w:sz w:val="20"/>
          <w:szCs w:val="20"/>
          <w:lang w:eastAsia="es-ES"/>
        </w:rPr>
        <w:t>-20</w:t>
      </w:r>
      <w:r w:rsidR="00E264B8" w:rsidRPr="00BC0519">
        <w:rPr>
          <w:rFonts w:ascii="Arial" w:eastAsia="Times New Roman" w:hAnsi="Arial" w:cs="Arial"/>
          <w:spacing w:val="2"/>
          <w:sz w:val="20"/>
          <w:szCs w:val="20"/>
          <w:lang w:eastAsia="es-ES"/>
        </w:rPr>
        <w:t>19</w:t>
      </w:r>
      <w:r w:rsidR="00101E1D" w:rsidRPr="00BC0519">
        <w:rPr>
          <w:rFonts w:ascii="Arial" w:eastAsia="Times New Roman" w:hAnsi="Arial" w:cs="Arial"/>
          <w:spacing w:val="2"/>
          <w:sz w:val="20"/>
          <w:szCs w:val="20"/>
          <w:lang w:eastAsia="es-ES"/>
        </w:rPr>
        <w:t>-00</w:t>
      </w:r>
      <w:r w:rsidR="00A132D7" w:rsidRPr="00BC0519">
        <w:rPr>
          <w:rFonts w:ascii="Arial" w:eastAsia="Times New Roman" w:hAnsi="Arial" w:cs="Arial"/>
          <w:spacing w:val="2"/>
          <w:sz w:val="20"/>
          <w:szCs w:val="20"/>
          <w:lang w:eastAsia="es-ES"/>
        </w:rPr>
        <w:t>360</w:t>
      </w:r>
      <w:r w:rsidR="00101E1D" w:rsidRPr="00BC0519">
        <w:rPr>
          <w:rFonts w:ascii="Arial" w:eastAsia="Times New Roman" w:hAnsi="Arial" w:cs="Arial"/>
          <w:spacing w:val="2"/>
          <w:sz w:val="20"/>
          <w:szCs w:val="20"/>
          <w:lang w:eastAsia="es-ES"/>
        </w:rPr>
        <w:t>-0</w:t>
      </w:r>
      <w:r w:rsidR="00653581" w:rsidRPr="00BC0519">
        <w:rPr>
          <w:rFonts w:ascii="Arial" w:eastAsia="Times New Roman" w:hAnsi="Arial" w:cs="Arial"/>
          <w:spacing w:val="2"/>
          <w:sz w:val="20"/>
          <w:szCs w:val="20"/>
          <w:lang w:eastAsia="es-ES"/>
        </w:rPr>
        <w:t>1</w:t>
      </w:r>
    </w:p>
    <w:p w14:paraId="0BCC8A92" w14:textId="40FFFD71" w:rsidR="00B81A19" w:rsidRPr="00BC0519" w:rsidRDefault="00B81A19" w:rsidP="00BC0519">
      <w:pPr>
        <w:spacing w:after="0" w:line="240" w:lineRule="auto"/>
        <w:jc w:val="both"/>
        <w:rPr>
          <w:rFonts w:ascii="Arial" w:eastAsia="Times New Roman" w:hAnsi="Arial" w:cs="Arial"/>
          <w:lang w:eastAsia="es-ES"/>
        </w:rPr>
      </w:pPr>
      <w:r w:rsidRPr="00BC0519">
        <w:rPr>
          <w:rFonts w:ascii="Arial" w:eastAsia="Times New Roman" w:hAnsi="Arial" w:cs="Arial"/>
          <w:bCs/>
          <w:spacing w:val="2"/>
          <w:sz w:val="20"/>
          <w:szCs w:val="20"/>
          <w:lang w:val="es-ES" w:eastAsia="es-ES"/>
        </w:rPr>
        <w:t>Demandante</w:t>
      </w:r>
      <w:r w:rsidRPr="00BC0519">
        <w:rPr>
          <w:rFonts w:ascii="Arial" w:eastAsia="Times New Roman" w:hAnsi="Arial" w:cs="Arial"/>
          <w:spacing w:val="2"/>
          <w:sz w:val="20"/>
          <w:szCs w:val="20"/>
          <w:lang w:val="es-ES" w:eastAsia="es-ES"/>
        </w:rPr>
        <w:t>:</w:t>
      </w:r>
      <w:r w:rsidRPr="00BC0519">
        <w:rPr>
          <w:rFonts w:ascii="Arial" w:eastAsia="Times New Roman" w:hAnsi="Arial" w:cs="Arial"/>
          <w:spacing w:val="2"/>
          <w:sz w:val="20"/>
          <w:szCs w:val="20"/>
          <w:lang w:val="es-ES" w:eastAsia="es-ES"/>
        </w:rPr>
        <w:tab/>
      </w:r>
      <w:r w:rsidRPr="00BC0519">
        <w:rPr>
          <w:rFonts w:ascii="Arial" w:eastAsia="Times New Roman" w:hAnsi="Arial" w:cs="Arial"/>
          <w:spacing w:val="2"/>
          <w:sz w:val="20"/>
          <w:szCs w:val="20"/>
          <w:lang w:val="es-ES" w:eastAsia="es-ES"/>
        </w:rPr>
        <w:tab/>
      </w:r>
      <w:bookmarkStart w:id="1" w:name="_Hlk93916645"/>
      <w:bookmarkEnd w:id="1"/>
      <w:r w:rsidR="00A132D7" w:rsidRPr="00BC0519">
        <w:rPr>
          <w:rFonts w:ascii="Arial" w:eastAsia="Times New Roman" w:hAnsi="Arial" w:cs="Arial"/>
          <w:sz w:val="20"/>
          <w:szCs w:val="20"/>
          <w:lang w:eastAsia="es-ES"/>
        </w:rPr>
        <w:t>Ana Leonor Preciado Nieto</w:t>
      </w:r>
      <w:r w:rsidR="000C256F" w:rsidRPr="00BC0519">
        <w:rPr>
          <w:rFonts w:ascii="Arial" w:eastAsia="Times New Roman" w:hAnsi="Arial" w:cs="Arial"/>
          <w:sz w:val="20"/>
          <w:szCs w:val="20"/>
          <w:lang w:eastAsia="es-ES"/>
        </w:rPr>
        <w:t xml:space="preserve"> </w:t>
      </w:r>
    </w:p>
    <w:p w14:paraId="7CD4E67D" w14:textId="1BBF44BD" w:rsidR="00B81A19" w:rsidRPr="00BC0519" w:rsidRDefault="00B81A19" w:rsidP="00BC0519">
      <w:pPr>
        <w:autoSpaceDE w:val="0"/>
        <w:autoSpaceDN w:val="0"/>
        <w:adjustRightInd w:val="0"/>
        <w:spacing w:after="0" w:line="240" w:lineRule="auto"/>
        <w:jc w:val="both"/>
        <w:rPr>
          <w:rFonts w:ascii="Arial" w:eastAsia="Times New Roman" w:hAnsi="Arial" w:cs="Arial"/>
          <w:spacing w:val="2"/>
          <w:sz w:val="20"/>
          <w:szCs w:val="20"/>
          <w:lang w:eastAsia="es-ES"/>
        </w:rPr>
      </w:pPr>
      <w:r w:rsidRPr="00BC0519">
        <w:rPr>
          <w:rFonts w:ascii="Arial" w:eastAsia="Times New Roman" w:hAnsi="Arial" w:cs="Arial"/>
          <w:bCs/>
          <w:spacing w:val="2"/>
          <w:sz w:val="20"/>
          <w:szCs w:val="20"/>
          <w:lang w:val="es-ES" w:eastAsia="es-ES"/>
        </w:rPr>
        <w:t>Demandado:</w:t>
      </w:r>
      <w:r w:rsidR="00BC0519">
        <w:rPr>
          <w:rFonts w:ascii="Arial" w:eastAsia="Times New Roman" w:hAnsi="Arial" w:cs="Arial"/>
          <w:spacing w:val="2"/>
          <w:sz w:val="20"/>
          <w:szCs w:val="20"/>
          <w:lang w:val="es-ES" w:eastAsia="es-ES"/>
        </w:rPr>
        <w:tab/>
      </w:r>
      <w:r w:rsidRPr="00BC0519">
        <w:rPr>
          <w:rFonts w:ascii="Arial" w:eastAsia="Times New Roman" w:hAnsi="Arial" w:cs="Arial"/>
          <w:spacing w:val="2"/>
          <w:sz w:val="20"/>
          <w:szCs w:val="20"/>
          <w:lang w:val="es-ES" w:eastAsia="es-ES"/>
        </w:rPr>
        <w:tab/>
        <w:t xml:space="preserve">Colpensiones y </w:t>
      </w:r>
      <w:r w:rsidR="004D3E98" w:rsidRPr="00BC0519">
        <w:rPr>
          <w:rFonts w:ascii="Arial" w:eastAsia="Times New Roman" w:hAnsi="Arial" w:cs="Arial"/>
          <w:spacing w:val="2"/>
          <w:sz w:val="20"/>
          <w:szCs w:val="20"/>
          <w:lang w:val="es-ES" w:eastAsia="es-ES"/>
        </w:rPr>
        <w:t>otro</w:t>
      </w:r>
      <w:r w:rsidRPr="00BC0519">
        <w:rPr>
          <w:rFonts w:ascii="Arial" w:eastAsia="Times New Roman" w:hAnsi="Arial" w:cs="Arial"/>
          <w:spacing w:val="2"/>
          <w:sz w:val="20"/>
          <w:szCs w:val="20"/>
          <w:lang w:eastAsia="es-ES"/>
        </w:rPr>
        <w:t> </w:t>
      </w:r>
    </w:p>
    <w:p w14:paraId="3D1591FF" w14:textId="4D2C0387" w:rsidR="00B6229B" w:rsidRPr="00BC0519" w:rsidRDefault="69F4D62F" w:rsidP="00BC0519">
      <w:pPr>
        <w:pStyle w:val="Textoindependiente"/>
        <w:spacing w:line="240" w:lineRule="auto"/>
        <w:rPr>
          <w:rFonts w:eastAsia="Arial" w:cs="Arial"/>
          <w:sz w:val="18"/>
          <w:szCs w:val="18"/>
        </w:rPr>
      </w:pPr>
      <w:r w:rsidRPr="00BC0519">
        <w:rPr>
          <w:rFonts w:eastAsia="Arial" w:cs="Arial"/>
          <w:sz w:val="20"/>
          <w:lang w:val="es-ES"/>
        </w:rPr>
        <w:t>Tema:</w:t>
      </w:r>
      <w:r w:rsidR="00BC0519">
        <w:rPr>
          <w:rFonts w:eastAsia="Arial" w:cs="Arial"/>
          <w:sz w:val="20"/>
          <w:lang w:val="es-ES"/>
        </w:rPr>
        <w:tab/>
      </w:r>
      <w:r w:rsidR="00BC0519">
        <w:rPr>
          <w:rFonts w:eastAsia="Arial" w:cs="Arial"/>
          <w:sz w:val="20"/>
          <w:lang w:val="es-ES"/>
        </w:rPr>
        <w:tab/>
      </w:r>
      <w:r w:rsidR="00B81A19" w:rsidRPr="00BC0519">
        <w:rPr>
          <w:rFonts w:eastAsia="Arial" w:cs="Arial"/>
          <w:sz w:val="20"/>
          <w:lang w:val="es-ES"/>
        </w:rPr>
        <w:tab/>
      </w:r>
      <w:r w:rsidR="00B6229B" w:rsidRPr="00BC0519">
        <w:rPr>
          <w:rFonts w:eastAsia="Arial" w:cs="Arial"/>
          <w:sz w:val="20"/>
          <w:lang w:val="es-ES"/>
        </w:rPr>
        <w:t>Cumplimiento a exhorto de la Sala de Casación.</w:t>
      </w:r>
    </w:p>
    <w:p w14:paraId="7F8EC052" w14:textId="77777777" w:rsidR="00B6229B" w:rsidRPr="00BC0519" w:rsidRDefault="00B6229B" w:rsidP="00BC0519">
      <w:pPr>
        <w:keepNext/>
        <w:spacing w:after="0" w:line="240" w:lineRule="auto"/>
        <w:jc w:val="both"/>
        <w:outlineLvl w:val="2"/>
        <w:rPr>
          <w:rFonts w:ascii="Arial" w:eastAsia="Times New Roman" w:hAnsi="Arial" w:cs="Arial"/>
          <w:sz w:val="24"/>
          <w:szCs w:val="24"/>
          <w:lang w:val="es-ES_tradnl" w:eastAsia="es-ES"/>
        </w:rPr>
      </w:pPr>
    </w:p>
    <w:p w14:paraId="2274FE14" w14:textId="77777777" w:rsidR="00B6229B" w:rsidRPr="00BC0519" w:rsidRDefault="00B6229B" w:rsidP="00BC0519">
      <w:pPr>
        <w:keepNext/>
        <w:spacing w:after="0" w:line="240" w:lineRule="auto"/>
        <w:jc w:val="both"/>
        <w:outlineLvl w:val="2"/>
        <w:rPr>
          <w:rFonts w:ascii="Arial" w:eastAsia="Times New Roman" w:hAnsi="Arial" w:cs="Arial"/>
          <w:sz w:val="24"/>
          <w:szCs w:val="24"/>
          <w:lang w:val="es-ES_tradnl" w:eastAsia="es-ES"/>
        </w:rPr>
      </w:pPr>
    </w:p>
    <w:p w14:paraId="7D441B81" w14:textId="77777777" w:rsidR="00B6229B" w:rsidRPr="00BC0519" w:rsidRDefault="00B6229B" w:rsidP="00BC0519">
      <w:pPr>
        <w:keepNext/>
        <w:spacing w:after="0" w:line="240" w:lineRule="auto"/>
        <w:jc w:val="both"/>
        <w:outlineLvl w:val="2"/>
        <w:rPr>
          <w:rFonts w:ascii="Arial" w:eastAsia="Times New Roman" w:hAnsi="Arial" w:cs="Arial"/>
          <w:sz w:val="24"/>
          <w:szCs w:val="24"/>
          <w:lang w:val="es-ES_tradnl" w:eastAsia="es-ES"/>
        </w:rPr>
      </w:pPr>
    </w:p>
    <w:p w14:paraId="4D6ADD48" w14:textId="77777777" w:rsidR="00BC0519" w:rsidRPr="003E7166" w:rsidRDefault="00BC0519" w:rsidP="00BC0519">
      <w:pPr>
        <w:keepNext/>
        <w:spacing w:after="0" w:line="240" w:lineRule="auto"/>
        <w:jc w:val="center"/>
        <w:outlineLvl w:val="2"/>
        <w:rPr>
          <w:rFonts w:ascii="Arial" w:eastAsia="Times New Roman" w:hAnsi="Arial" w:cs="Arial"/>
          <w:b/>
          <w:sz w:val="24"/>
          <w:szCs w:val="24"/>
          <w:lang w:val="es-ES_tradnl" w:eastAsia="es-ES"/>
        </w:rPr>
      </w:pPr>
      <w:r w:rsidRPr="003E7166">
        <w:rPr>
          <w:rFonts w:ascii="Arial" w:eastAsia="Times New Roman" w:hAnsi="Arial" w:cs="Arial"/>
          <w:b/>
          <w:sz w:val="24"/>
          <w:szCs w:val="24"/>
          <w:lang w:val="es-ES_tradnl" w:eastAsia="es-ES"/>
        </w:rPr>
        <w:t>TRIBUNAL SUPERIOR DEL DISTRITO JUDICIAL</w:t>
      </w:r>
    </w:p>
    <w:p w14:paraId="17B7F4B7" w14:textId="77777777" w:rsidR="00BC0519" w:rsidRPr="003E7166" w:rsidRDefault="00BC0519" w:rsidP="00BC0519">
      <w:pPr>
        <w:spacing w:after="0"/>
        <w:jc w:val="both"/>
        <w:rPr>
          <w:rFonts w:ascii="Arial" w:eastAsia="Times New Roman" w:hAnsi="Arial" w:cs="Arial"/>
          <w:sz w:val="24"/>
          <w:szCs w:val="24"/>
          <w:lang w:val="es-ES" w:eastAsia="es-ES"/>
        </w:rPr>
      </w:pPr>
    </w:p>
    <w:p w14:paraId="0733D6FE" w14:textId="77777777" w:rsidR="00BC0519" w:rsidRPr="003E7166" w:rsidRDefault="00BC0519" w:rsidP="00BC0519">
      <w:pPr>
        <w:spacing w:after="0" w:line="240" w:lineRule="auto"/>
        <w:jc w:val="center"/>
        <w:rPr>
          <w:rFonts w:ascii="Arial" w:hAnsi="Arial" w:cs="Arial"/>
          <w:b/>
          <w:sz w:val="24"/>
          <w:szCs w:val="24"/>
        </w:rPr>
      </w:pPr>
      <w:r w:rsidRPr="003E7166">
        <w:rPr>
          <w:rFonts w:ascii="Arial" w:hAnsi="Arial" w:cs="Arial"/>
          <w:b/>
          <w:sz w:val="24"/>
          <w:szCs w:val="24"/>
        </w:rPr>
        <w:t>SALA LABORAL</w:t>
      </w:r>
    </w:p>
    <w:p w14:paraId="6ACB7ED3" w14:textId="77777777" w:rsidR="00BC0519" w:rsidRPr="003E7166" w:rsidRDefault="00BC0519" w:rsidP="00BC0519">
      <w:pPr>
        <w:spacing w:after="0"/>
        <w:jc w:val="both"/>
        <w:rPr>
          <w:rFonts w:ascii="Arial" w:eastAsia="Times New Roman" w:hAnsi="Arial" w:cs="Arial"/>
          <w:sz w:val="24"/>
          <w:szCs w:val="24"/>
          <w:lang w:val="es-ES" w:eastAsia="es-ES"/>
        </w:rPr>
      </w:pPr>
    </w:p>
    <w:p w14:paraId="1BCD5978" w14:textId="77777777" w:rsidR="00BC0519" w:rsidRPr="003E7166" w:rsidRDefault="00BC0519" w:rsidP="00BC0519">
      <w:pPr>
        <w:spacing w:after="0" w:line="240" w:lineRule="auto"/>
        <w:jc w:val="center"/>
        <w:rPr>
          <w:rFonts w:ascii="Arial" w:eastAsia="Times New Roman" w:hAnsi="Arial" w:cs="Arial"/>
          <w:b/>
          <w:sz w:val="24"/>
          <w:szCs w:val="24"/>
          <w:lang w:val="es-ES_tradnl" w:eastAsia="es-ES"/>
        </w:rPr>
      </w:pPr>
      <w:r w:rsidRPr="003E7166">
        <w:rPr>
          <w:rFonts w:ascii="Arial" w:eastAsia="Times New Roman" w:hAnsi="Arial" w:cs="Arial"/>
          <w:b/>
          <w:sz w:val="24"/>
          <w:szCs w:val="24"/>
          <w:lang w:val="es-ES_tradnl" w:eastAsia="es-ES"/>
        </w:rPr>
        <w:t xml:space="preserve">MAGISTRADO: JULIO CÉSAR SALAZAR MUÑOZ </w:t>
      </w:r>
    </w:p>
    <w:p w14:paraId="2FEE0AF7" w14:textId="77777777" w:rsidR="00BC0519" w:rsidRPr="003E7166" w:rsidRDefault="00BC0519" w:rsidP="00BC0519">
      <w:pPr>
        <w:spacing w:after="0"/>
        <w:jc w:val="both"/>
        <w:rPr>
          <w:rFonts w:ascii="Arial" w:eastAsia="Times New Roman" w:hAnsi="Arial" w:cs="Arial"/>
          <w:sz w:val="24"/>
          <w:szCs w:val="24"/>
          <w:lang w:val="es-ES" w:eastAsia="es-ES"/>
        </w:rPr>
      </w:pPr>
    </w:p>
    <w:p w14:paraId="5A276C50" w14:textId="77777777" w:rsidR="00BC0519" w:rsidRPr="003E7166" w:rsidRDefault="00BC0519" w:rsidP="00BC0519">
      <w:pPr>
        <w:spacing w:after="0"/>
        <w:jc w:val="both"/>
        <w:rPr>
          <w:rFonts w:ascii="Arial" w:eastAsia="Times New Roman" w:hAnsi="Arial" w:cs="Arial"/>
          <w:sz w:val="24"/>
          <w:szCs w:val="24"/>
          <w:lang w:val="es-ES" w:eastAsia="es-ES"/>
        </w:rPr>
      </w:pPr>
    </w:p>
    <w:p w14:paraId="357316F3" w14:textId="6BD3EC1A" w:rsidR="00BC0519" w:rsidRPr="003E7166" w:rsidRDefault="00BC0519" w:rsidP="00BC0519">
      <w:pPr>
        <w:spacing w:after="0" w:line="240" w:lineRule="auto"/>
        <w:jc w:val="center"/>
        <w:rPr>
          <w:rFonts w:ascii="Arial" w:eastAsia="Times New Roman" w:hAnsi="Arial" w:cs="Arial"/>
          <w:bCs/>
          <w:sz w:val="24"/>
          <w:szCs w:val="24"/>
          <w:lang w:val="es-ES" w:eastAsia="es-ES"/>
        </w:rPr>
      </w:pPr>
      <w:r>
        <w:rPr>
          <w:rFonts w:ascii="Arial" w:eastAsia="Times New Roman" w:hAnsi="Arial" w:cs="Arial"/>
          <w:bCs/>
          <w:sz w:val="24"/>
          <w:szCs w:val="24"/>
          <w:lang w:val="es-ES" w:eastAsia="es-ES"/>
        </w:rPr>
        <w:t>Septiembre 14</w:t>
      </w:r>
      <w:r>
        <w:rPr>
          <w:rFonts w:ascii="Arial" w:eastAsia="Times New Roman" w:hAnsi="Arial" w:cs="Arial"/>
          <w:bCs/>
          <w:sz w:val="24"/>
          <w:szCs w:val="24"/>
          <w:lang w:val="es-ES" w:eastAsia="es-ES"/>
        </w:rPr>
        <w:t xml:space="preserve"> de 2022</w:t>
      </w:r>
    </w:p>
    <w:p w14:paraId="1B44329C" w14:textId="77777777" w:rsidR="00BC0519" w:rsidRPr="003E7166" w:rsidRDefault="00BC0519" w:rsidP="00BC0519">
      <w:pPr>
        <w:spacing w:after="0"/>
        <w:jc w:val="both"/>
        <w:rPr>
          <w:rFonts w:ascii="Arial" w:eastAsia="Times New Roman" w:hAnsi="Arial" w:cs="Arial"/>
          <w:sz w:val="24"/>
          <w:szCs w:val="24"/>
          <w:lang w:val="es-ES" w:eastAsia="es-ES"/>
        </w:rPr>
      </w:pPr>
    </w:p>
    <w:p w14:paraId="22564558" w14:textId="77777777" w:rsidR="00BC0519" w:rsidRPr="003E7166" w:rsidRDefault="00BC0519" w:rsidP="00BC0519">
      <w:pPr>
        <w:spacing w:after="0"/>
        <w:jc w:val="both"/>
        <w:rPr>
          <w:rFonts w:ascii="Arial" w:eastAsia="Times New Roman" w:hAnsi="Arial" w:cs="Arial"/>
          <w:sz w:val="24"/>
          <w:szCs w:val="24"/>
          <w:lang w:val="es-ES" w:eastAsia="es-ES"/>
        </w:rPr>
      </w:pPr>
    </w:p>
    <w:p w14:paraId="62AEFD0F" w14:textId="77777777" w:rsidR="00BC0519" w:rsidRPr="003E7166" w:rsidRDefault="00BC0519" w:rsidP="00BC0519">
      <w:pPr>
        <w:spacing w:after="0" w:line="240" w:lineRule="auto"/>
        <w:jc w:val="center"/>
        <w:rPr>
          <w:rFonts w:ascii="Arial" w:eastAsia="Times New Roman" w:hAnsi="Arial" w:cs="Arial"/>
          <w:b/>
          <w:sz w:val="24"/>
          <w:szCs w:val="24"/>
          <w:u w:val="single"/>
          <w:lang w:val="es-ES_tradnl" w:eastAsia="es-ES"/>
        </w:rPr>
      </w:pPr>
      <w:r w:rsidRPr="003E7166">
        <w:rPr>
          <w:rFonts w:ascii="Arial" w:eastAsia="Times New Roman" w:hAnsi="Arial" w:cs="Arial"/>
          <w:b/>
          <w:sz w:val="24"/>
          <w:szCs w:val="24"/>
          <w:u w:val="single"/>
          <w:lang w:val="es-ES_tradnl" w:eastAsia="es-ES"/>
        </w:rPr>
        <w:t>ACLARACIÓN DE VOTO</w:t>
      </w:r>
    </w:p>
    <w:p w14:paraId="6E2F1C36" w14:textId="77777777" w:rsidR="00BC0519" w:rsidRPr="003E7166" w:rsidRDefault="00BC0519" w:rsidP="00BC0519">
      <w:pPr>
        <w:spacing w:after="0"/>
        <w:jc w:val="both"/>
        <w:rPr>
          <w:rFonts w:ascii="Arial" w:eastAsia="Times New Roman" w:hAnsi="Arial" w:cs="Arial"/>
          <w:sz w:val="24"/>
          <w:szCs w:val="24"/>
          <w:lang w:val="es-ES" w:eastAsia="es-ES"/>
        </w:rPr>
      </w:pPr>
    </w:p>
    <w:p w14:paraId="205A35CF" w14:textId="77777777" w:rsidR="00BC0519" w:rsidRPr="003E7166" w:rsidRDefault="00BC0519" w:rsidP="00BC0519">
      <w:pPr>
        <w:spacing w:after="0"/>
        <w:jc w:val="both"/>
        <w:rPr>
          <w:rFonts w:ascii="Arial" w:eastAsia="Times New Roman" w:hAnsi="Arial" w:cs="Arial"/>
          <w:sz w:val="24"/>
          <w:szCs w:val="24"/>
          <w:lang w:val="es-ES" w:eastAsia="es-ES"/>
        </w:rPr>
      </w:pPr>
    </w:p>
    <w:p w14:paraId="3FCF1925" w14:textId="77777777" w:rsidR="00BC0519" w:rsidRPr="003E7166" w:rsidRDefault="00BC0519" w:rsidP="00BC0519">
      <w:pPr>
        <w:spacing w:after="0"/>
        <w:jc w:val="both"/>
        <w:rPr>
          <w:rFonts w:ascii="Arial" w:eastAsia="Times New Roman" w:hAnsi="Arial" w:cs="Arial"/>
          <w:sz w:val="24"/>
          <w:szCs w:val="24"/>
          <w:lang w:val="es-ES" w:eastAsia="es-ES"/>
        </w:rPr>
      </w:pPr>
    </w:p>
    <w:p w14:paraId="07047D35" w14:textId="77777777" w:rsidR="00BC0519" w:rsidRDefault="00BC0519" w:rsidP="00BC0519">
      <w:pPr>
        <w:spacing w:after="0"/>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A pesar de que, según mi leal saber y entender, en la sentencia proferida por esta Sala del Tribunal el 5 de marzo de 2020, en el proceso que contra Colpensiones y Porvenir S.A. adelantó la señora María Inés Espitia Lozano en un proceso de ineficacia del traslado entre regímenes pensionales, en el que se trataban iguales temas jurídicos y probatorios a los que en este asunto se resolvieron, se cumplieron por la Sala mayoritaria a cabalidad con las exigencias que según las Cortes Constitucional y Suprema tienen que llenar los jueces de inferior jerarquía para apartarse de la línea jurisprudencial del órgano de cierre, cuatro de los siete magistrados de la Sala de Casación Laboral de la Corte Suprema de Justicia, esto es, la mayoría de esa célula judicial, decidieron textualmente: “</w:t>
      </w:r>
      <w:r>
        <w:rPr>
          <w:rFonts w:ascii="Arial" w:eastAsia="Times New Roman" w:hAnsi="Arial" w:cs="Arial"/>
          <w:b/>
          <w:sz w:val="24"/>
          <w:szCs w:val="24"/>
          <w:lang w:val="es-ES" w:eastAsia="es-ES"/>
        </w:rPr>
        <w:t>EXORTAR</w:t>
      </w:r>
      <w:r>
        <w:rPr>
          <w:rFonts w:ascii="Arial" w:eastAsia="Times New Roman" w:hAnsi="Arial" w:cs="Arial"/>
          <w:sz w:val="24"/>
          <w:szCs w:val="24"/>
          <w:lang w:val="es-ES" w:eastAsia="es-ES"/>
        </w:rPr>
        <w:t xml:space="preserve"> (sic) a la </w:t>
      </w:r>
      <w:r>
        <w:rPr>
          <w:rFonts w:ascii="Arial" w:eastAsia="Times New Roman" w:hAnsi="Arial" w:cs="Arial"/>
          <w:b/>
          <w:sz w:val="24"/>
          <w:szCs w:val="24"/>
          <w:lang w:val="es-ES" w:eastAsia="es-ES"/>
        </w:rPr>
        <w:t xml:space="preserve">SALA LABORAL DEL TRIBUNAL SUPERIOR DEL DISTRITO JUDICIAL DE PEREIRA </w:t>
      </w:r>
      <w:r>
        <w:rPr>
          <w:rFonts w:ascii="Arial" w:eastAsia="Times New Roman" w:hAnsi="Arial" w:cs="Arial"/>
          <w:sz w:val="24"/>
          <w:szCs w:val="24"/>
          <w:lang w:val="es-ES" w:eastAsia="es-ES"/>
        </w:rPr>
        <w:t>para que en lo sucesivo acate el precedente judicial emanado de esta Corporación”.</w:t>
      </w:r>
    </w:p>
    <w:p w14:paraId="524408C9" w14:textId="77777777" w:rsidR="00BC0519" w:rsidRDefault="00BC0519" w:rsidP="00BC0519">
      <w:pPr>
        <w:spacing w:after="0"/>
        <w:jc w:val="both"/>
        <w:rPr>
          <w:rFonts w:ascii="Arial" w:eastAsia="Times New Roman" w:hAnsi="Arial" w:cs="Arial"/>
          <w:sz w:val="24"/>
          <w:szCs w:val="24"/>
          <w:lang w:val="es-ES" w:eastAsia="es-ES"/>
        </w:rPr>
      </w:pPr>
    </w:p>
    <w:p w14:paraId="1711D925" w14:textId="77777777" w:rsidR="00BC0519" w:rsidRDefault="00BC0519" w:rsidP="00BC0519">
      <w:pPr>
        <w:spacing w:after="0"/>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Como iguales circunstancias a las narradas previamente ocurrieron en este asunto, bajo tal apremio, no obstante lo dispuesto en los artículos 228 y 230 de la Constitución Nacional, </w:t>
      </w:r>
      <w:r w:rsidRPr="007D543A">
        <w:rPr>
          <w:rFonts w:ascii="Arial" w:eastAsia="Times New Roman" w:hAnsi="Arial" w:cs="Arial"/>
          <w:b/>
          <w:sz w:val="24"/>
          <w:szCs w:val="24"/>
          <w:lang w:val="es-ES" w:eastAsia="es-ES"/>
        </w:rPr>
        <w:t>no queda otra posibilidad al suscrito que</w:t>
      </w:r>
      <w:r>
        <w:rPr>
          <w:rFonts w:ascii="Arial" w:eastAsia="Times New Roman" w:hAnsi="Arial" w:cs="Arial"/>
          <w:sz w:val="24"/>
          <w:szCs w:val="24"/>
          <w:lang w:val="es-ES" w:eastAsia="es-ES"/>
        </w:rPr>
        <w:t xml:space="preserve">, en este y en todos los numerosos y sucesivos asuntos de similares características que se presenten a la Sala para decisión de eventos de ineficacia de traslados entre regímenes pensionales, </w:t>
      </w:r>
      <w:r w:rsidRPr="007D543A">
        <w:rPr>
          <w:rFonts w:ascii="Arial" w:eastAsia="Times New Roman" w:hAnsi="Arial" w:cs="Arial"/>
          <w:b/>
          <w:sz w:val="24"/>
          <w:szCs w:val="24"/>
          <w:lang w:val="es-ES" w:eastAsia="es-ES"/>
        </w:rPr>
        <w:t>acatar lo resuelto por el superior</w:t>
      </w:r>
      <w:r>
        <w:rPr>
          <w:rFonts w:ascii="Arial" w:eastAsia="Times New Roman" w:hAnsi="Arial" w:cs="Arial"/>
          <w:sz w:val="24"/>
          <w:szCs w:val="24"/>
          <w:lang w:val="es-ES" w:eastAsia="es-ES"/>
        </w:rPr>
        <w:t>, en el sentido de proferir la providencia siguiendo la línea jurisprudencial señalada por la mayoría de los integrantes de la Sala de Casación Laboral, a pesar de no representar ésta el criterio jurídico de quien suscribe esta aclaración, mismo que se enmarca en el siguiente:</w:t>
      </w:r>
    </w:p>
    <w:p w14:paraId="22C416EB" w14:textId="77777777" w:rsidR="00BC0519" w:rsidRPr="00751003" w:rsidRDefault="00BC0519" w:rsidP="00BC0519">
      <w:pPr>
        <w:spacing w:after="0"/>
        <w:jc w:val="both"/>
        <w:rPr>
          <w:rFonts w:ascii="Arial" w:eastAsia="Times New Roman" w:hAnsi="Arial" w:cs="Arial"/>
          <w:sz w:val="24"/>
          <w:szCs w:val="24"/>
          <w:lang w:val="es-ES" w:eastAsia="es-ES"/>
        </w:rPr>
      </w:pPr>
    </w:p>
    <w:p w14:paraId="57AFEADE" w14:textId="77777777" w:rsidR="00BC0519" w:rsidRPr="00751003" w:rsidRDefault="00BC0519" w:rsidP="00BC0519">
      <w:pPr>
        <w:spacing w:after="0"/>
        <w:jc w:val="center"/>
        <w:rPr>
          <w:rFonts w:ascii="Arial" w:eastAsia="Times New Roman" w:hAnsi="Arial" w:cs="Arial"/>
          <w:b/>
          <w:sz w:val="24"/>
          <w:szCs w:val="24"/>
          <w:lang w:val="es-ES" w:eastAsia="es-ES"/>
        </w:rPr>
      </w:pPr>
      <w:r w:rsidRPr="00751003">
        <w:rPr>
          <w:rFonts w:ascii="Arial" w:eastAsia="Times New Roman" w:hAnsi="Arial" w:cs="Arial"/>
          <w:b/>
          <w:sz w:val="24"/>
          <w:szCs w:val="24"/>
          <w:lang w:val="es-ES" w:eastAsia="es-ES"/>
        </w:rPr>
        <w:t>ANÁLISIS JURÍDICO DE LOS HECHOS DEBATIDOS EN LOS CASOS DE TRASLADOS ENTRE REGÍMENES</w:t>
      </w:r>
    </w:p>
    <w:p w14:paraId="12D23B04" w14:textId="77777777" w:rsidR="00BC0519" w:rsidRPr="00751003" w:rsidRDefault="00BC0519" w:rsidP="00BC0519">
      <w:pPr>
        <w:spacing w:after="0"/>
        <w:jc w:val="both"/>
        <w:rPr>
          <w:rFonts w:ascii="Arial" w:eastAsia="Times New Roman" w:hAnsi="Arial" w:cs="Arial"/>
          <w:sz w:val="24"/>
          <w:szCs w:val="24"/>
          <w:lang w:val="es-ES" w:eastAsia="es-ES"/>
        </w:rPr>
      </w:pPr>
    </w:p>
    <w:p w14:paraId="262EBF4D" w14:textId="77777777" w:rsidR="00BC0519" w:rsidRPr="00751003" w:rsidRDefault="00BC0519" w:rsidP="00BC0519">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w:t>
      </w:r>
      <w:r w:rsidRPr="00751003">
        <w:rPr>
          <w:rFonts w:ascii="Arial" w:eastAsia="Times New Roman" w:hAnsi="Arial" w:cs="Arial"/>
          <w:sz w:val="24"/>
          <w:szCs w:val="24"/>
          <w:lang w:val="es-ES_tradnl" w:eastAsia="es-ES"/>
        </w:rPr>
        <w:lastRenderedPageBreak/>
        <w:t>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14:paraId="6A6DC550" w14:textId="77777777" w:rsidR="00BC0519" w:rsidRPr="00751003" w:rsidRDefault="00BC0519" w:rsidP="00BC0519">
      <w:pPr>
        <w:suppressAutoHyphens/>
        <w:spacing w:after="0"/>
        <w:jc w:val="both"/>
        <w:rPr>
          <w:rFonts w:ascii="Arial" w:eastAsia="Times New Roman" w:hAnsi="Arial" w:cs="Arial"/>
          <w:sz w:val="24"/>
          <w:szCs w:val="24"/>
          <w:lang w:val="es-ES_tradnl" w:eastAsia="es-ES"/>
        </w:rPr>
      </w:pPr>
    </w:p>
    <w:p w14:paraId="10376DD3" w14:textId="77777777" w:rsidR="00BC0519" w:rsidRPr="00751003" w:rsidRDefault="00BC0519" w:rsidP="00BC0519">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14:paraId="397CF060" w14:textId="77777777" w:rsidR="00BC0519" w:rsidRPr="00751003" w:rsidRDefault="00BC0519" w:rsidP="00BC0519">
      <w:pPr>
        <w:suppressAutoHyphens/>
        <w:spacing w:after="0"/>
        <w:jc w:val="both"/>
        <w:rPr>
          <w:rFonts w:ascii="Arial" w:eastAsia="Times New Roman" w:hAnsi="Arial" w:cs="Arial"/>
          <w:sz w:val="24"/>
          <w:szCs w:val="24"/>
          <w:lang w:val="es-ES_tradnl" w:eastAsia="es-ES"/>
        </w:rPr>
      </w:pPr>
    </w:p>
    <w:p w14:paraId="091E599C" w14:textId="77777777" w:rsidR="00BC0519" w:rsidRPr="00751003" w:rsidRDefault="00BC0519" w:rsidP="00BC0519">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Como quiera que esta posición se separa expresamente de la línea actual de la Corte Suprema de Justicia, considero necesario </w:t>
      </w:r>
      <w:r w:rsidRPr="00751003">
        <w:rPr>
          <w:rFonts w:ascii="Arial" w:eastAsia="Times New Roman" w:hAnsi="Arial" w:cs="Arial"/>
          <w:iCs/>
          <w:sz w:val="24"/>
          <w:szCs w:val="24"/>
          <w:lang w:val="es-ES_tradnl" w:eastAsia="es-ES"/>
        </w:rPr>
        <w:t>discurrir sobre los 8 temas jurídicos que a continuación se desarrollan:</w:t>
      </w:r>
    </w:p>
    <w:p w14:paraId="6C607B21" w14:textId="77777777" w:rsidR="00BC0519" w:rsidRPr="00751003" w:rsidRDefault="00BC0519" w:rsidP="00BC0519">
      <w:pPr>
        <w:suppressAutoHyphens/>
        <w:spacing w:after="0"/>
        <w:jc w:val="both"/>
        <w:rPr>
          <w:rFonts w:ascii="Arial" w:eastAsia="Times New Roman" w:hAnsi="Arial" w:cs="Arial"/>
          <w:sz w:val="24"/>
          <w:szCs w:val="24"/>
          <w:lang w:val="es-ES_tradnl" w:eastAsia="es-ES"/>
        </w:rPr>
      </w:pPr>
    </w:p>
    <w:p w14:paraId="4C608970" w14:textId="77777777" w:rsidR="00BC0519" w:rsidRPr="00751003" w:rsidRDefault="00BC0519" w:rsidP="00BC0519">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LA JURISPRUDENCIA, LA OBLIGACIÓN DE LOS JUECES DE SEGUIRLA Y LA AUTORIZACIÓN Y FORMA DE APARTARSE DE LA DOCTRINA PROBABLE.</w:t>
      </w:r>
    </w:p>
    <w:p w14:paraId="2E856F9F" w14:textId="77777777" w:rsidR="00BC0519" w:rsidRPr="00751003" w:rsidRDefault="00BC0519" w:rsidP="00BC0519">
      <w:pPr>
        <w:suppressAutoHyphens/>
        <w:spacing w:after="0"/>
        <w:jc w:val="both"/>
        <w:rPr>
          <w:rFonts w:ascii="Arial" w:eastAsia="Times New Roman" w:hAnsi="Arial" w:cs="Arial"/>
          <w:sz w:val="24"/>
          <w:szCs w:val="24"/>
          <w:lang w:val="es-ES_tradnl" w:eastAsia="es-ES"/>
        </w:rPr>
      </w:pPr>
    </w:p>
    <w:p w14:paraId="5017E9BF" w14:textId="77777777" w:rsidR="00BC0519" w:rsidRPr="00751003" w:rsidRDefault="00BC0519" w:rsidP="00BC0519">
      <w:pPr>
        <w:spacing w:after="0"/>
        <w:ind w:right="51"/>
        <w:jc w:val="both"/>
        <w:rPr>
          <w:rFonts w:ascii="Arial" w:eastAsia="Times New Roman" w:hAnsi="Arial" w:cs="Arial"/>
          <w:sz w:val="24"/>
          <w:szCs w:val="24"/>
          <w:lang w:val="es-ES_tradnl" w:eastAsia="es-ES"/>
        </w:rPr>
      </w:pPr>
      <w:r w:rsidRPr="00751003">
        <w:rPr>
          <w:rFonts w:ascii="Arial" w:eastAsia="Times New Roman" w:hAnsi="Arial" w:cs="Arial"/>
          <w:sz w:val="24"/>
          <w:szCs w:val="24"/>
          <w:lang w:eastAsia="es-ES"/>
        </w:rPr>
        <w:t xml:space="preserve">Como es bien sabido, desde la sentencia 836 de 2001 la Corte Constitucional explicó que tres decisiones emanadas de la Corte Suprema de Justicia como Tribunal de casación constituyen doctrina probable que debe ser seguida por los jueces de inferior jerarquía. No obstante, tanto en esa providencia como en la C-621 de 2015, dejó sentado que, en virtud de la autonomía judicial, es posible que, cumpliendo ciertas reglas, los funcionarios judiciales se separen de la línea trazada por la alta corporación. Sobre el tema en la sentencia T-459 de 2017, se concreta con meridiana claridad tal posibilidad, así: </w:t>
      </w:r>
    </w:p>
    <w:p w14:paraId="406F2D10" w14:textId="77777777" w:rsidR="00BC0519" w:rsidRPr="00751003" w:rsidRDefault="00BC0519" w:rsidP="00BC0519">
      <w:pPr>
        <w:suppressAutoHyphens/>
        <w:spacing w:after="0"/>
        <w:jc w:val="both"/>
        <w:rPr>
          <w:rFonts w:ascii="Arial" w:eastAsia="Times New Roman" w:hAnsi="Arial" w:cs="Arial"/>
          <w:sz w:val="24"/>
          <w:szCs w:val="24"/>
          <w:lang w:val="es-ES_tradnl" w:eastAsia="es-ES"/>
        </w:rPr>
      </w:pPr>
    </w:p>
    <w:p w14:paraId="04208F24" w14:textId="77777777" w:rsidR="00BC0519" w:rsidRPr="00751003" w:rsidRDefault="00BC0519" w:rsidP="00BC0519">
      <w:pPr>
        <w:suppressAutoHyphens/>
        <w:spacing w:after="0" w:line="240" w:lineRule="auto"/>
        <w:ind w:left="426" w:right="420"/>
        <w:jc w:val="both"/>
        <w:rPr>
          <w:rFonts w:ascii="Arial" w:eastAsia="Times New Roman" w:hAnsi="Arial" w:cs="Arial"/>
          <w:szCs w:val="24"/>
          <w:lang w:val="es-ES" w:eastAsia="es-ES"/>
        </w:rPr>
      </w:pPr>
      <w:r w:rsidRPr="00751003">
        <w:rPr>
          <w:rFonts w:ascii="Arial" w:eastAsia="Times New Roman" w:hAnsi="Arial" w:cs="Arial"/>
          <w:szCs w:val="24"/>
          <w:lang w:val="es-ES" w:eastAsia="es-ES"/>
        </w:rPr>
        <w:t>“No obstante, el precedente no constituye una obligatoriedad absoluta, pues en razón del principio de la autonomía judicial, el juez puede apartarse de aquellos, siempre y cuando presente </w:t>
      </w:r>
      <w:r w:rsidRPr="00751003">
        <w:rPr>
          <w:rFonts w:ascii="Arial" w:eastAsia="Times New Roman" w:hAnsi="Arial" w:cs="Arial"/>
          <w:b/>
          <w:bCs/>
          <w:szCs w:val="24"/>
          <w:lang w:val="es-ES" w:eastAsia="es-ES"/>
        </w:rPr>
        <w:t>(i)</w:t>
      </w:r>
      <w:r w:rsidRPr="00751003">
        <w:rPr>
          <w:rFonts w:ascii="Arial" w:eastAsia="Times New Roman" w:hAnsi="Arial" w:cs="Arial"/>
          <w:szCs w:val="24"/>
          <w:lang w:val="es-ES" w:eastAsia="es-ES"/>
        </w:rPr>
        <w:t> de forma explícita las razones por las cuales se separa de aquellos, y </w:t>
      </w:r>
      <w:r w:rsidRPr="00751003">
        <w:rPr>
          <w:rFonts w:ascii="Arial" w:eastAsia="Times New Roman" w:hAnsi="Arial" w:cs="Arial"/>
          <w:b/>
          <w:bCs/>
          <w:szCs w:val="24"/>
          <w:lang w:val="es-ES" w:eastAsia="es-ES"/>
        </w:rPr>
        <w:t>(ii)</w:t>
      </w:r>
      <w:r w:rsidRPr="00751003">
        <w:rPr>
          <w:rFonts w:ascii="Arial" w:eastAsia="Times New Roman" w:hAnsi="Arial" w:cs="Arial"/>
          <w:szCs w:val="24"/>
          <w:lang w:val="es-ES" w:eastAsia="es-ES"/>
        </w:rPr>
        <w:t> demuestre con suficiencia que su interpretación aporta un mejor desarrollo a los derechos y principios constitucionales.</w:t>
      </w:r>
      <w:bookmarkStart w:id="2" w:name="_ftnref33"/>
      <w:r w:rsidRPr="00751003">
        <w:rPr>
          <w:rFonts w:ascii="Arial" w:eastAsia="Times New Roman" w:hAnsi="Arial" w:cs="Arial"/>
          <w:szCs w:val="24"/>
          <w:lang w:val="es-ES" w:eastAsia="es-ES"/>
        </w:rPr>
        <w:t>”</w:t>
      </w:r>
      <w:bookmarkEnd w:id="2"/>
    </w:p>
    <w:p w14:paraId="702000C3" w14:textId="77777777" w:rsidR="00BC0519" w:rsidRPr="00751003" w:rsidRDefault="00BC0519" w:rsidP="00BC0519">
      <w:pPr>
        <w:suppressAutoHyphens/>
        <w:spacing w:after="0" w:line="240" w:lineRule="auto"/>
        <w:ind w:left="426" w:right="420"/>
        <w:jc w:val="both"/>
        <w:rPr>
          <w:rFonts w:ascii="Arial" w:eastAsia="Times New Roman" w:hAnsi="Arial" w:cs="Arial"/>
          <w:szCs w:val="24"/>
          <w:lang w:val="es-ES" w:eastAsia="es-ES"/>
        </w:rPr>
      </w:pPr>
    </w:p>
    <w:p w14:paraId="16CA2AE2" w14:textId="77777777" w:rsidR="00BC0519" w:rsidRPr="00751003" w:rsidRDefault="00BC0519" w:rsidP="00BC0519">
      <w:pPr>
        <w:suppressAutoHyphens/>
        <w:spacing w:after="0" w:line="240" w:lineRule="auto"/>
        <w:ind w:left="426" w:right="420"/>
        <w:jc w:val="both"/>
        <w:rPr>
          <w:rFonts w:ascii="Arial" w:eastAsia="Times New Roman" w:hAnsi="Arial" w:cs="Arial"/>
          <w:szCs w:val="24"/>
          <w:lang w:val="es-ES" w:eastAsia="es-ES"/>
        </w:rPr>
      </w:pPr>
      <w:r w:rsidRPr="00751003">
        <w:rPr>
          <w:rFonts w:ascii="Arial" w:eastAsia="Times New Roman" w:hAnsi="Arial" w:cs="Arial"/>
          <w:szCs w:val="24"/>
          <w:lang w:eastAsia="es-ES"/>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sidRPr="00751003">
        <w:rPr>
          <w:rFonts w:ascii="Arial" w:eastAsia="Times New Roman" w:hAnsi="Arial" w:cs="Arial"/>
          <w:b/>
          <w:szCs w:val="24"/>
          <w:lang w:eastAsia="es-ES"/>
        </w:rPr>
        <w:t>sin exponer las razones jurídicas que justifique el cambio de jurisprudencia</w:t>
      </w:r>
      <w:r w:rsidRPr="00751003">
        <w:rPr>
          <w:rFonts w:ascii="Arial" w:eastAsia="Times New Roman" w:hAnsi="Arial" w:cs="Arial"/>
          <w:szCs w:val="24"/>
          <w:lang w:eastAsia="es-ES"/>
        </w:rPr>
        <w:t>.” (Negrillas fuera del original)</w:t>
      </w:r>
      <w:r w:rsidRPr="00751003">
        <w:rPr>
          <w:rFonts w:ascii="Arial" w:eastAsia="Times New Roman" w:hAnsi="Arial" w:cs="Arial"/>
          <w:szCs w:val="24"/>
          <w:lang w:val="es-ES" w:eastAsia="es-ES"/>
        </w:rPr>
        <w:t xml:space="preserve"> </w:t>
      </w:r>
    </w:p>
    <w:p w14:paraId="64DBE542" w14:textId="77777777" w:rsidR="00BC0519" w:rsidRPr="00751003" w:rsidRDefault="00BC0519" w:rsidP="00BC0519">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 </w:t>
      </w:r>
    </w:p>
    <w:p w14:paraId="62F707EA" w14:textId="77777777" w:rsidR="00BC0519" w:rsidRPr="00751003" w:rsidRDefault="00BC0519" w:rsidP="00BC0519">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Por lo tanto, como respecto al tema de la ineficacia del traslado entre regímenes la Sala mayoritaria se separa expresamente de la línea actual de la Sala de Casación Laboral de la Corte Suprema de Justicia, se pasa a exponer las razones jurídicas que demuestran con suficiencia la necesidad constitucional y legal de revaluar la procedencia de las declaraciones de ineficacia.</w:t>
      </w:r>
    </w:p>
    <w:p w14:paraId="39F78E46" w14:textId="77777777" w:rsidR="00BC0519" w:rsidRPr="00751003" w:rsidRDefault="00BC0519" w:rsidP="00BC0519">
      <w:pPr>
        <w:suppressAutoHyphens/>
        <w:spacing w:after="0"/>
        <w:jc w:val="both"/>
        <w:rPr>
          <w:rFonts w:ascii="Arial" w:eastAsia="Times New Roman" w:hAnsi="Arial" w:cs="Arial"/>
          <w:b/>
          <w:sz w:val="24"/>
          <w:szCs w:val="24"/>
          <w:lang w:val="es-ES_tradnl" w:eastAsia="es-ES"/>
        </w:rPr>
      </w:pPr>
    </w:p>
    <w:p w14:paraId="6919ED57" w14:textId="77777777" w:rsidR="00BC0519" w:rsidRPr="00751003" w:rsidRDefault="00BC0519" w:rsidP="00BC0519">
      <w:pPr>
        <w:numPr>
          <w:ilvl w:val="0"/>
          <w:numId w:val="11"/>
        </w:numPr>
        <w:suppressAutoHyphens/>
        <w:spacing w:after="0" w:line="240" w:lineRule="auto"/>
        <w:ind w:left="567" w:hanging="567"/>
        <w:jc w:val="both"/>
        <w:rPr>
          <w:rFonts w:ascii="Arial" w:eastAsia="Times New Roman" w:hAnsi="Arial" w:cs="Arial"/>
          <w:sz w:val="24"/>
          <w:szCs w:val="24"/>
          <w:lang w:val="es-ES_tradnl" w:eastAsia="es-ES"/>
        </w:rPr>
      </w:pPr>
      <w:r w:rsidRPr="00751003">
        <w:rPr>
          <w:rFonts w:ascii="Arial" w:eastAsia="Times New Roman" w:hAnsi="Arial" w:cs="Arial"/>
          <w:b/>
          <w:sz w:val="24"/>
          <w:szCs w:val="24"/>
          <w:lang w:val="es-ES_tradnl" w:eastAsia="es-ES"/>
        </w:rPr>
        <w:lastRenderedPageBreak/>
        <w:t>LA POSICIÓN ACTUAL DE LA SALA DE CASACIÓN LABORAL RESPECTO AL TEMA DE LA NULIDAD O INEFICACIA DE LOS TRASLADOS ENTRE REGÍMENES PENSIONALES.</w:t>
      </w:r>
    </w:p>
    <w:p w14:paraId="22B3219C" w14:textId="77777777" w:rsidR="00BC0519" w:rsidRPr="00751003" w:rsidRDefault="00BC0519" w:rsidP="00BC0519">
      <w:pPr>
        <w:suppressAutoHyphens/>
        <w:spacing w:after="0"/>
        <w:jc w:val="both"/>
        <w:rPr>
          <w:rFonts w:ascii="Arial" w:eastAsia="Times New Roman" w:hAnsi="Arial" w:cs="Arial"/>
          <w:sz w:val="24"/>
          <w:szCs w:val="24"/>
          <w:lang w:val="es-ES_tradnl" w:eastAsia="es-ES"/>
        </w:rPr>
      </w:pPr>
    </w:p>
    <w:p w14:paraId="4D1D32F1" w14:textId="77777777" w:rsidR="00BC0519" w:rsidRPr="00751003" w:rsidRDefault="00BC0519" w:rsidP="00BC0519">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sz w:val="24"/>
          <w:szCs w:val="24"/>
          <w:lang w:val="es-ES_tradnl" w:eastAsia="es-ES"/>
        </w:rPr>
        <w:t xml:space="preserve">En acatamiento de lo señalado en las sentencias C-836 de 2001 y C-621 de 2015 desde ya se deja en evidencia que es conocida la jurisprudencia vigente emanada de la </w:t>
      </w:r>
      <w:r w:rsidRPr="00751003">
        <w:rPr>
          <w:rFonts w:ascii="Arial" w:eastAsia="Times New Roman" w:hAnsi="Arial" w:cs="Arial"/>
          <w:iCs/>
          <w:sz w:val="24"/>
          <w:szCs w:val="24"/>
          <w:lang w:val="es-ES_tradnl" w:eastAsia="es-ES"/>
        </w:rPr>
        <w:t>Sala de Casación Laboral contenida en las sentencias SL1421-2019, SL1452-2019, SL1688-2019 y SL1689-2019 que se concreta en los siguientes razonamientos:</w:t>
      </w:r>
    </w:p>
    <w:p w14:paraId="74381626" w14:textId="77777777" w:rsidR="00BC0519" w:rsidRPr="00751003" w:rsidRDefault="00BC0519" w:rsidP="00BC0519">
      <w:pPr>
        <w:suppressAutoHyphens/>
        <w:spacing w:after="0"/>
        <w:jc w:val="both"/>
        <w:rPr>
          <w:rFonts w:ascii="Arial" w:eastAsia="Times New Roman" w:hAnsi="Arial" w:cs="Arial"/>
          <w:iCs/>
          <w:sz w:val="24"/>
          <w:szCs w:val="24"/>
          <w:lang w:val="es-ES_tradnl" w:eastAsia="es-ES"/>
        </w:rPr>
      </w:pPr>
    </w:p>
    <w:p w14:paraId="26B69E67" w14:textId="77777777" w:rsidR="00BC0519" w:rsidRPr="00751003" w:rsidRDefault="00BC0519" w:rsidP="00BC0519">
      <w:pPr>
        <w:numPr>
          <w:ilvl w:val="0"/>
          <w:numId w:val="6"/>
        </w:numPr>
        <w:suppressAutoHyphens/>
        <w:spacing w:after="0" w:line="240" w:lineRule="auto"/>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En esta clase de acciones no se trata de la nulidad del acto jurídico del traslado sino de la ineficacia del mismo con base en los artículos 13 literal b), 271 y 272 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p>
    <w:p w14:paraId="46E78CCA" w14:textId="77777777" w:rsidR="00BC0519" w:rsidRPr="00751003" w:rsidRDefault="00BC0519" w:rsidP="00BC0519">
      <w:pPr>
        <w:suppressAutoHyphens/>
        <w:spacing w:after="0"/>
        <w:ind w:left="720"/>
        <w:jc w:val="both"/>
        <w:rPr>
          <w:rFonts w:ascii="Arial" w:eastAsia="Times New Roman" w:hAnsi="Arial" w:cs="Arial"/>
          <w:iCs/>
          <w:sz w:val="24"/>
          <w:szCs w:val="24"/>
          <w:lang w:val="es-ES_tradnl" w:eastAsia="es-ES"/>
        </w:rPr>
      </w:pPr>
    </w:p>
    <w:p w14:paraId="3C110424" w14:textId="77777777" w:rsidR="00BC0519" w:rsidRPr="00751003" w:rsidRDefault="00BC0519" w:rsidP="00BC0519">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El deber de información a cargo de las administradoras de fondos de pensiones es un deber que le es exigible desde la creación de estas entidades</w:t>
      </w:r>
      <w:r w:rsidRPr="00751003">
        <w:rPr>
          <w:rFonts w:ascii="Arial" w:eastAsia="Times New Roman" w:hAnsi="Arial" w:cs="Arial"/>
          <w:iCs/>
          <w:sz w:val="24"/>
          <w:szCs w:val="24"/>
          <w:lang w:val="es-ES_tradnl" w:eastAsia="es-ES"/>
        </w:rPr>
        <w:t xml:space="preserve">, básicamente porque </w:t>
      </w:r>
      <w:r w:rsidRPr="00751003">
        <w:rPr>
          <w:rFonts w:ascii="Arial" w:eastAsia="Times New Roman" w:hAnsi="Arial" w:cs="Arial"/>
          <w:i/>
          <w:iCs/>
          <w:sz w:val="24"/>
          <w:szCs w:val="24"/>
          <w:lang w:val="es-ES_tradnl" w:eastAsia="es-ES"/>
        </w:rPr>
        <w:t>“</w:t>
      </w:r>
      <w:r w:rsidRPr="00751003">
        <w:rPr>
          <w:rFonts w:ascii="Arial" w:eastAsia="Times New Roman" w:hAnsi="Arial" w:cs="Arial"/>
          <w:i/>
          <w:szCs w:val="24"/>
        </w:rPr>
        <w:t>las instituciones financieras cuentan con una estructura corporativa especializada, experta en la materia y respaldada en complejos equipos actuariales capaces de conocer los detalles de su servicio, lo que las ubica en una posición de preeminencia frente a los usuarios</w:t>
      </w:r>
      <w:r w:rsidRPr="00751003">
        <w:rPr>
          <w:rFonts w:ascii="Arial" w:eastAsia="Times New Roman" w:hAnsi="Arial" w:cs="Arial"/>
          <w:i/>
          <w:sz w:val="24"/>
          <w:szCs w:val="24"/>
        </w:rPr>
        <w:t xml:space="preserve">”. </w:t>
      </w:r>
      <w:r w:rsidRPr="00751003">
        <w:rPr>
          <w:rFonts w:ascii="Arial" w:eastAsia="Times New Roman" w:hAnsi="Arial" w:cs="Arial"/>
          <w:sz w:val="24"/>
          <w:szCs w:val="24"/>
        </w:rPr>
        <w:t>Deber cuyo nivel de exigencia se elevó con la expedición</w:t>
      </w:r>
      <w:r w:rsidRPr="00751003">
        <w:rPr>
          <w:rFonts w:ascii="Arial" w:eastAsia="Times New Roman" w:hAnsi="Arial" w:cs="Arial"/>
          <w:sz w:val="24"/>
          <w:szCs w:val="24"/>
          <w:lang w:val="es-ES_tradnl"/>
        </w:rPr>
        <w:t xml:space="preserve"> de la Ley 1328 de 2009 y el Decreto 2241 de 2010, en la medida que </w:t>
      </w:r>
      <w:r w:rsidRPr="00751003">
        <w:rPr>
          <w:rFonts w:ascii="Arial" w:eastAsia="Times New Roman" w:hAnsi="Arial" w:cs="Arial"/>
          <w:i/>
          <w:sz w:val="24"/>
          <w:szCs w:val="24"/>
        </w:rPr>
        <w:t>“</w:t>
      </w:r>
      <w:r w:rsidRPr="00751003">
        <w:rPr>
          <w:rFonts w:ascii="Arial" w:eastAsia="Times New Roman" w:hAnsi="Arial" w:cs="Arial"/>
          <w:i/>
          <w:szCs w:val="24"/>
        </w:rPr>
        <w:t>ya no basta con dar a conocer con claridad las distintas opciones de mercado, con sus características, condiciones, riesgos y consecuencias, sino que, adicionalmente, implica un mandato de dar asesoría y buen consejo</w:t>
      </w:r>
      <w:r w:rsidRPr="00751003">
        <w:rPr>
          <w:rFonts w:ascii="Arial" w:eastAsia="Times New Roman" w:hAnsi="Arial" w:cs="Arial"/>
          <w:i/>
          <w:sz w:val="24"/>
          <w:szCs w:val="24"/>
        </w:rPr>
        <w:t xml:space="preserve">”, </w:t>
      </w:r>
      <w:r w:rsidRPr="00751003">
        <w:rPr>
          <w:rFonts w:ascii="Arial" w:eastAsia="Times New Roman" w:hAnsi="Arial" w:cs="Arial"/>
          <w:sz w:val="24"/>
          <w:szCs w:val="24"/>
        </w:rPr>
        <w:t>llegando incluso</w:t>
      </w:r>
      <w:r w:rsidRPr="00751003">
        <w:rPr>
          <w:rFonts w:ascii="Arial" w:eastAsia="Times New Roman" w:hAnsi="Arial" w:cs="Arial"/>
          <w:iCs/>
          <w:sz w:val="24"/>
          <w:szCs w:val="24"/>
          <w:lang w:val="es-ES_tradnl" w:eastAsia="es-ES"/>
        </w:rPr>
        <w:t xml:space="preserve"> a la exigencia de la doble asesoría prevista en </w:t>
      </w:r>
      <w:r w:rsidRPr="00751003">
        <w:rPr>
          <w:rFonts w:ascii="Arial" w:eastAsia="Times New Roman" w:hAnsi="Arial" w:cs="Arial"/>
          <w:sz w:val="24"/>
          <w:szCs w:val="24"/>
          <w:lang w:val="es-ES_tradnl"/>
        </w:rPr>
        <w:t xml:space="preserve">la Ley 1748 de 2014, el Decreto 2071 de 2015 y la Circular Externa </w:t>
      </w:r>
      <w:proofErr w:type="spellStart"/>
      <w:r w:rsidRPr="00751003">
        <w:rPr>
          <w:rFonts w:ascii="Arial" w:eastAsia="Times New Roman" w:hAnsi="Arial" w:cs="Arial"/>
          <w:sz w:val="24"/>
          <w:szCs w:val="24"/>
          <w:lang w:val="es-ES_tradnl"/>
        </w:rPr>
        <w:t>n.°</w:t>
      </w:r>
      <w:proofErr w:type="spellEnd"/>
      <w:r w:rsidRPr="00751003">
        <w:rPr>
          <w:rFonts w:ascii="Arial" w:eastAsia="Times New Roman" w:hAnsi="Arial" w:cs="Arial"/>
          <w:sz w:val="24"/>
          <w:szCs w:val="24"/>
          <w:lang w:val="es-ES_tradnl"/>
        </w:rPr>
        <w:t xml:space="preserve"> 016 de 2016.</w:t>
      </w:r>
      <w:r w:rsidRPr="00751003">
        <w:rPr>
          <w:rFonts w:ascii="Arial" w:eastAsia="Times New Roman" w:hAnsi="Arial" w:cs="Arial"/>
          <w:i/>
          <w:iCs/>
          <w:sz w:val="24"/>
          <w:szCs w:val="24"/>
          <w:lang w:val="es-ES_tradnl" w:eastAsia="es-ES"/>
        </w:rPr>
        <w:t xml:space="preserve"> </w:t>
      </w:r>
    </w:p>
    <w:p w14:paraId="73D89BFC" w14:textId="77777777" w:rsidR="00BC0519" w:rsidRPr="00751003" w:rsidRDefault="00BC0519" w:rsidP="00BC0519">
      <w:pPr>
        <w:suppressAutoHyphens/>
        <w:spacing w:after="0"/>
        <w:jc w:val="both"/>
        <w:rPr>
          <w:rFonts w:ascii="Arial" w:eastAsia="Times New Roman" w:hAnsi="Arial" w:cs="Arial"/>
          <w:i/>
          <w:iCs/>
          <w:sz w:val="24"/>
          <w:szCs w:val="24"/>
          <w:lang w:val="es-ES_tradnl" w:eastAsia="es-ES"/>
        </w:rPr>
      </w:pPr>
    </w:p>
    <w:p w14:paraId="57E51A9E" w14:textId="77777777" w:rsidR="00BC0519" w:rsidRPr="00751003" w:rsidRDefault="00BC0519" w:rsidP="00BC0519">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El simple consentimiento vertido en el formulario de afiliación es insuficiente para darle eficacia al acto del traslado, pues ello solo no da cuenta de que haya sido, como se requiere en estos eventos, un “consentimiento informado”.</w:t>
      </w:r>
    </w:p>
    <w:p w14:paraId="0B3AF3D9" w14:textId="77777777" w:rsidR="00BC0519" w:rsidRPr="00751003" w:rsidRDefault="00BC0519" w:rsidP="00BC0519">
      <w:pPr>
        <w:suppressAutoHyphens/>
        <w:spacing w:after="0"/>
        <w:jc w:val="both"/>
        <w:rPr>
          <w:rFonts w:ascii="Arial" w:eastAsia="Times New Roman" w:hAnsi="Arial" w:cs="Arial"/>
          <w:i/>
          <w:iCs/>
          <w:sz w:val="24"/>
          <w:szCs w:val="24"/>
          <w:lang w:val="es-ES_tradnl" w:eastAsia="es-ES"/>
        </w:rPr>
      </w:pPr>
    </w:p>
    <w:p w14:paraId="6FA97424" w14:textId="77777777" w:rsidR="00BC0519" w:rsidRPr="00751003" w:rsidRDefault="00BC0519" w:rsidP="00BC0519">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14:paraId="52D97EA4" w14:textId="77777777" w:rsidR="00BC0519" w:rsidRPr="00751003" w:rsidRDefault="00BC0519" w:rsidP="00BC0519">
      <w:pPr>
        <w:suppressAutoHyphens/>
        <w:spacing w:after="0"/>
        <w:jc w:val="both"/>
        <w:rPr>
          <w:rFonts w:ascii="Arial" w:eastAsia="Times New Roman" w:hAnsi="Arial" w:cs="Arial"/>
          <w:i/>
          <w:iCs/>
          <w:sz w:val="24"/>
          <w:szCs w:val="24"/>
          <w:lang w:val="es-ES_tradnl" w:eastAsia="es-ES"/>
        </w:rPr>
      </w:pPr>
    </w:p>
    <w:p w14:paraId="7CDC3344" w14:textId="77777777" w:rsidR="00BC0519" w:rsidRPr="00751003" w:rsidRDefault="00BC0519" w:rsidP="00BC0519">
      <w:pPr>
        <w:numPr>
          <w:ilvl w:val="0"/>
          <w:numId w:val="6"/>
        </w:numPr>
        <w:suppressAutoHyphens/>
        <w:spacing w:after="0" w:line="240" w:lineRule="auto"/>
        <w:jc w:val="both"/>
        <w:rPr>
          <w:rFonts w:ascii="Arial" w:hAnsi="Arial" w:cs="Arial"/>
          <w:sz w:val="24"/>
          <w:szCs w:val="24"/>
          <w:lang w:val="es-ES"/>
        </w:rPr>
      </w:pPr>
      <w:r w:rsidRPr="00751003">
        <w:rPr>
          <w:rFonts w:ascii="Arial" w:eastAsia="Times New Roman" w:hAnsi="Arial" w:cs="Arial"/>
          <w:sz w:val="24"/>
          <w:szCs w:val="24"/>
        </w:rPr>
        <w:t xml:space="preserve">Acreditada la falta de consentimiento informado corresponde declarar la ineficacia del traslado y como consecuencia de ello </w:t>
      </w:r>
      <w:r w:rsidRPr="00751003">
        <w:rPr>
          <w:rFonts w:ascii="Arial" w:eastAsia="Times New Roman" w:hAnsi="Arial" w:cs="Arial"/>
          <w:sz w:val="24"/>
          <w:szCs w:val="24"/>
          <w:lang w:val="es-ES"/>
        </w:rPr>
        <w:t xml:space="preserve">entonces, para efectos de la concreción de los derechos pensionales reclamados, se debe imponer la obligación de la AFP de trasladar a Colpensiones </w:t>
      </w:r>
      <w:r w:rsidRPr="00751003">
        <w:rPr>
          <w:rFonts w:ascii="Arial" w:eastAsia="Times New Roman" w:hAnsi="Arial" w:cs="Arial"/>
          <w:sz w:val="24"/>
          <w:szCs w:val="24"/>
        </w:rPr>
        <w:t>los valores correspondientes a las cotizaciones, rendimientos financieros y gastos de administración, pertenecientes a la cuenta de quien demanda</w:t>
      </w:r>
      <w:r w:rsidRPr="00751003">
        <w:rPr>
          <w:rFonts w:ascii="Arial" w:eastAsia="Times New Roman" w:hAnsi="Arial" w:cs="Arial"/>
          <w:color w:val="000000"/>
          <w:sz w:val="24"/>
          <w:szCs w:val="24"/>
        </w:rPr>
        <w:t xml:space="preserve"> </w:t>
      </w:r>
      <w:r w:rsidRPr="00751003">
        <w:rPr>
          <w:rFonts w:ascii="Arial" w:eastAsia="Times New Roman" w:hAnsi="Arial" w:cs="Arial"/>
          <w:sz w:val="24"/>
          <w:szCs w:val="24"/>
          <w:lang w:val="es-ES"/>
        </w:rPr>
        <w:t>para que sea esta entidad la que proceda a reconocer la pensión con base en las disposiciones que guían el RPM.</w:t>
      </w:r>
    </w:p>
    <w:p w14:paraId="26A7A1CE" w14:textId="77777777" w:rsidR="00BC0519" w:rsidRPr="00751003" w:rsidRDefault="00BC0519" w:rsidP="00BC0519">
      <w:pPr>
        <w:suppressAutoHyphens/>
        <w:spacing w:after="0"/>
        <w:jc w:val="both"/>
        <w:rPr>
          <w:rFonts w:ascii="Arial" w:eastAsia="Times New Roman" w:hAnsi="Arial" w:cs="Arial"/>
          <w:sz w:val="24"/>
          <w:szCs w:val="24"/>
          <w:lang w:val="es-ES" w:eastAsia="es-ES"/>
        </w:rPr>
      </w:pPr>
    </w:p>
    <w:p w14:paraId="07F7171C" w14:textId="77777777" w:rsidR="00BC0519" w:rsidRPr="00751003" w:rsidRDefault="00BC0519" w:rsidP="00BC0519">
      <w:pPr>
        <w:numPr>
          <w:ilvl w:val="0"/>
          <w:numId w:val="11"/>
        </w:numPr>
        <w:suppressAutoHyphens/>
        <w:spacing w:after="0" w:line="240" w:lineRule="auto"/>
        <w:ind w:left="567" w:hanging="567"/>
        <w:jc w:val="both"/>
        <w:rPr>
          <w:rFonts w:ascii="Arial" w:eastAsia="Times New Roman" w:hAnsi="Arial" w:cs="Arial"/>
          <w:b/>
          <w:sz w:val="24"/>
          <w:szCs w:val="24"/>
          <w:lang w:val="es-ES" w:eastAsia="es-ES"/>
        </w:rPr>
      </w:pPr>
      <w:r w:rsidRPr="00751003">
        <w:rPr>
          <w:rFonts w:ascii="Arial" w:eastAsia="Times New Roman" w:hAnsi="Arial" w:cs="Arial"/>
          <w:b/>
          <w:sz w:val="24"/>
          <w:szCs w:val="24"/>
          <w:lang w:val="es-ES" w:eastAsia="es-ES"/>
        </w:rPr>
        <w:t>CONTENIDO DE LOS ARTÍCULOS 13 LITERAL b) y 271 DE LA LEY 100 DE 1993</w:t>
      </w:r>
    </w:p>
    <w:p w14:paraId="2D3E3449" w14:textId="77777777" w:rsidR="00BC0519" w:rsidRPr="00751003" w:rsidRDefault="00BC0519" w:rsidP="00BC0519">
      <w:pPr>
        <w:suppressAutoHyphens/>
        <w:spacing w:after="0"/>
        <w:jc w:val="both"/>
        <w:rPr>
          <w:rFonts w:ascii="Arial" w:eastAsia="Times New Roman" w:hAnsi="Arial" w:cs="Arial"/>
          <w:b/>
          <w:sz w:val="24"/>
          <w:szCs w:val="24"/>
          <w:lang w:val="es-ES" w:eastAsia="es-ES"/>
        </w:rPr>
      </w:pPr>
    </w:p>
    <w:p w14:paraId="4668A751" w14:textId="77777777" w:rsidR="00BC0519" w:rsidRPr="00751003" w:rsidRDefault="00BC0519" w:rsidP="00BC0519">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De conformidad con el literal b) del artículo 13 de la ley 100 de 199</w:t>
      </w:r>
      <w:r w:rsidRPr="00751003">
        <w:rPr>
          <w:rFonts w:ascii="Arial" w:eastAsia="Times New Roman" w:hAnsi="Arial" w:cs="Arial"/>
          <w:b/>
          <w:sz w:val="24"/>
          <w:szCs w:val="24"/>
          <w:lang w:val="es-ES" w:eastAsia="es-ES"/>
        </w:rPr>
        <w:t xml:space="preserve">3, </w:t>
      </w:r>
      <w:r w:rsidRPr="00751003">
        <w:rPr>
          <w:rFonts w:ascii="Arial" w:eastAsia="Times New Roman" w:hAnsi="Arial" w:cs="Arial"/>
          <w:sz w:val="24"/>
          <w:szCs w:val="24"/>
          <w:lang w:val="es-ES" w:eastAsia="es-ES"/>
        </w:rPr>
        <w:t xml:space="preserve">la selección de cualquiera de los regímenes que conforma el sistema general de pensiones es libre y voluntaria, por lo que, si un empleador o alguna persona natural o jurídica desconoce </w:t>
      </w:r>
      <w:r w:rsidRPr="00751003">
        <w:rPr>
          <w:rFonts w:ascii="Arial" w:eastAsia="Times New Roman" w:hAnsi="Arial" w:cs="Arial"/>
          <w:sz w:val="24"/>
          <w:szCs w:val="24"/>
          <w:lang w:val="es-ES" w:eastAsia="es-ES"/>
        </w:rPr>
        <w:lastRenderedPageBreak/>
        <w:t>ese derecho operan las sanciones de que trata el inciso 1º del artículo 271 ibídem, del que se extrae lo siguiente:</w:t>
      </w:r>
    </w:p>
    <w:p w14:paraId="37E79D40" w14:textId="77777777" w:rsidR="00BC0519" w:rsidRPr="00751003" w:rsidRDefault="00BC0519" w:rsidP="00BC0519">
      <w:pPr>
        <w:suppressAutoHyphens/>
        <w:spacing w:after="0"/>
        <w:jc w:val="both"/>
        <w:rPr>
          <w:rFonts w:ascii="Arial" w:eastAsia="Times New Roman" w:hAnsi="Arial" w:cs="Arial"/>
          <w:sz w:val="24"/>
          <w:szCs w:val="24"/>
          <w:lang w:val="es-ES" w:eastAsia="es-ES"/>
        </w:rPr>
      </w:pPr>
    </w:p>
    <w:p w14:paraId="4B887D63" w14:textId="77777777" w:rsidR="00BC0519" w:rsidRPr="00751003" w:rsidRDefault="00BC0519" w:rsidP="00BC0519">
      <w:pPr>
        <w:numPr>
          <w:ilvl w:val="0"/>
          <w:numId w:val="12"/>
        </w:numPr>
        <w:suppressAutoHyphens/>
        <w:spacing w:after="0" w:line="240" w:lineRule="auto"/>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La conducta sancionable consiste en impedir o atentar “en cualquier forma contra el derecho del trabajador a su afiliación y selección de organismos del e instituciones del sistema de seguridad social integral”</w:t>
      </w:r>
    </w:p>
    <w:p w14:paraId="4E3F1056" w14:textId="77777777" w:rsidR="00BC0519" w:rsidRPr="00751003" w:rsidRDefault="00BC0519" w:rsidP="00BC0519">
      <w:pPr>
        <w:suppressAutoHyphens/>
        <w:spacing w:after="0"/>
        <w:ind w:left="360"/>
        <w:jc w:val="both"/>
        <w:rPr>
          <w:rFonts w:ascii="Arial" w:eastAsia="Times New Roman" w:hAnsi="Arial" w:cs="Arial"/>
          <w:sz w:val="24"/>
          <w:szCs w:val="24"/>
          <w:lang w:val="es-ES_tradnl" w:eastAsia="es-ES"/>
        </w:rPr>
      </w:pPr>
    </w:p>
    <w:p w14:paraId="6462971F" w14:textId="77777777" w:rsidR="00BC0519" w:rsidRPr="00751003" w:rsidRDefault="00BC0519" w:rsidP="00BC0519">
      <w:pPr>
        <w:numPr>
          <w:ilvl w:val="0"/>
          <w:numId w:val="12"/>
        </w:numPr>
        <w:suppressAutoHyphens/>
        <w:spacing w:after="0" w:line="240" w:lineRule="auto"/>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El sujeto activo de la conducta es el empleador o cualquier persona natural o jurídica que impida o atente contra la libre afiliación o selección de organismos del sistema de seguridad social.</w:t>
      </w:r>
    </w:p>
    <w:p w14:paraId="354C5EF9" w14:textId="77777777" w:rsidR="00BC0519" w:rsidRPr="00751003" w:rsidRDefault="00BC0519" w:rsidP="00BC0519">
      <w:pPr>
        <w:suppressAutoHyphens/>
        <w:spacing w:after="0"/>
        <w:ind w:left="360"/>
        <w:jc w:val="both"/>
        <w:rPr>
          <w:rFonts w:ascii="Arial" w:eastAsia="Times New Roman" w:hAnsi="Arial" w:cs="Arial"/>
          <w:b/>
          <w:bCs/>
          <w:sz w:val="24"/>
          <w:szCs w:val="24"/>
          <w:lang w:val="es-ES" w:eastAsia="es-ES"/>
        </w:rPr>
      </w:pPr>
    </w:p>
    <w:p w14:paraId="4DE440B6" w14:textId="77777777" w:rsidR="00BC0519" w:rsidRPr="00751003" w:rsidRDefault="00BC0519" w:rsidP="00BC0519">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 sanción es una multa por un valor entre uno y 50 SMLMV.</w:t>
      </w:r>
    </w:p>
    <w:p w14:paraId="4893602E" w14:textId="77777777" w:rsidR="00BC0519" w:rsidRPr="00751003" w:rsidRDefault="00BC0519" w:rsidP="00BC0519">
      <w:pPr>
        <w:suppressAutoHyphens/>
        <w:spacing w:after="0"/>
        <w:ind w:left="360"/>
        <w:jc w:val="both"/>
        <w:rPr>
          <w:rFonts w:ascii="Arial" w:eastAsia="Times New Roman" w:hAnsi="Arial" w:cs="Arial"/>
          <w:b/>
          <w:bCs/>
          <w:sz w:val="24"/>
          <w:szCs w:val="24"/>
          <w:lang w:val="es-ES" w:eastAsia="es-ES"/>
        </w:rPr>
      </w:pPr>
    </w:p>
    <w:p w14:paraId="58DDAB49" w14:textId="77777777" w:rsidR="00BC0519" w:rsidRPr="00751003" w:rsidRDefault="00BC0519" w:rsidP="00BC0519">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El funcionario competente para imponerla es el Ministerio del Trabajo y Seguridad Social o el Ministerio de Salud.</w:t>
      </w:r>
    </w:p>
    <w:p w14:paraId="4B0102E9" w14:textId="77777777" w:rsidR="00BC0519" w:rsidRPr="00751003" w:rsidRDefault="00BC0519" w:rsidP="00BC0519">
      <w:pPr>
        <w:suppressAutoHyphens/>
        <w:spacing w:after="0"/>
        <w:ind w:left="360"/>
        <w:jc w:val="both"/>
        <w:rPr>
          <w:rFonts w:ascii="Arial" w:eastAsia="Times New Roman" w:hAnsi="Arial" w:cs="Arial"/>
          <w:b/>
          <w:bCs/>
          <w:sz w:val="24"/>
          <w:szCs w:val="24"/>
          <w:lang w:val="es-ES" w:eastAsia="es-ES"/>
        </w:rPr>
      </w:pPr>
    </w:p>
    <w:p w14:paraId="00D973FF" w14:textId="77777777" w:rsidR="00BC0519" w:rsidRPr="00751003" w:rsidRDefault="00BC0519" w:rsidP="00BC0519">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Una vez impuesta la sanción por el funcionario competente la afiliación respectiva podrá realizarse nuevamente en forma libre y espontánea.</w:t>
      </w:r>
    </w:p>
    <w:p w14:paraId="3143BED3" w14:textId="77777777" w:rsidR="00BC0519" w:rsidRPr="00751003" w:rsidRDefault="00BC0519" w:rsidP="00BC0519">
      <w:pPr>
        <w:suppressAutoHyphens/>
        <w:spacing w:after="0"/>
        <w:jc w:val="both"/>
        <w:rPr>
          <w:rFonts w:ascii="Arial" w:eastAsia="Times New Roman" w:hAnsi="Arial" w:cs="Arial"/>
          <w:sz w:val="24"/>
          <w:szCs w:val="24"/>
          <w:lang w:val="es-ES" w:eastAsia="es-ES"/>
        </w:rPr>
      </w:pPr>
    </w:p>
    <w:p w14:paraId="0EFC7F8B" w14:textId="77777777" w:rsidR="00BC0519" w:rsidRPr="00751003" w:rsidRDefault="00BC0519" w:rsidP="00BC0519">
      <w:pPr>
        <w:suppressAutoHyphens/>
        <w:spacing w:after="0"/>
        <w:jc w:val="both"/>
        <w:rPr>
          <w:rFonts w:ascii="Arial" w:eastAsia="Times New Roman" w:hAnsi="Arial" w:cs="Arial"/>
          <w:sz w:val="24"/>
          <w:szCs w:val="24"/>
          <w:lang w:val="es-ES" w:eastAsia="es-ES"/>
        </w:rPr>
      </w:pPr>
    </w:p>
    <w:p w14:paraId="07B5C324" w14:textId="77777777" w:rsidR="00BC0519" w:rsidRPr="00751003" w:rsidRDefault="00BC0519" w:rsidP="00BC0519">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OBSERVACIONES SOBRE EL CONTENIDO DEL ARTÍCULO 271 DE LA LEY 100 DE 1993 Y LA APLICACIÓN QUE VIENE DÁNDOLE LA CORTE SUPREMA.</w:t>
      </w:r>
    </w:p>
    <w:p w14:paraId="630BEA6B" w14:textId="77777777" w:rsidR="00BC0519" w:rsidRPr="00751003" w:rsidRDefault="00BC0519" w:rsidP="00BC0519">
      <w:pPr>
        <w:suppressAutoHyphens/>
        <w:spacing w:after="0"/>
        <w:jc w:val="both"/>
        <w:rPr>
          <w:rFonts w:ascii="Arial" w:eastAsia="Times New Roman" w:hAnsi="Arial" w:cs="Arial"/>
          <w:sz w:val="24"/>
          <w:szCs w:val="24"/>
          <w:lang w:val="es-ES_tradnl" w:eastAsia="es-ES"/>
        </w:rPr>
      </w:pPr>
    </w:p>
    <w:p w14:paraId="5B2D051E" w14:textId="77777777" w:rsidR="00BC0519" w:rsidRPr="00751003" w:rsidRDefault="00BC0519" w:rsidP="00BC0519">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Obviando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sidRPr="00751003">
        <w:rPr>
          <w:rFonts w:ascii="Arial" w:eastAsia="Times New Roman" w:hAnsi="Arial" w:cs="Arial"/>
          <w:b/>
          <w:sz w:val="24"/>
          <w:szCs w:val="24"/>
          <w:lang w:val="es-ES_tradnl" w:eastAsia="es-ES"/>
        </w:rPr>
        <w:t xml:space="preserve"> “En la interpretación de leyes prohibitivas no deben buscarse analogías o razones para hacerlas extensivas a casos no comprendidos claramente en la prohibición”, t</w:t>
      </w:r>
      <w:r w:rsidRPr="00751003">
        <w:rPr>
          <w:rFonts w:ascii="Arial" w:eastAsia="Times New Roman" w:hAnsi="Arial" w:cs="Arial"/>
          <w:sz w:val="24"/>
          <w:szCs w:val="24"/>
          <w:lang w:val="es-ES_tradnl" w:eastAsia="es-ES"/>
        </w:rPr>
        <w:t xml:space="preserve">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sidRPr="00751003">
        <w:rPr>
          <w:rFonts w:ascii="Arial" w:eastAsia="Times New Roman" w:hAnsi="Arial" w:cs="Arial"/>
          <w:b/>
          <w:sz w:val="24"/>
          <w:szCs w:val="24"/>
          <w:lang w:val="es-ES_tradnl" w:eastAsia="es-ES"/>
        </w:rPr>
        <w:t>“Sanciones al empleador”</w:t>
      </w:r>
      <w:r w:rsidRPr="00751003">
        <w:rPr>
          <w:rFonts w:ascii="Arial" w:eastAsia="Times New Roman" w:hAnsi="Arial" w:cs="Arial"/>
          <w:sz w:val="24"/>
          <w:szCs w:val="24"/>
          <w:lang w:val="es-ES_tradnl" w:eastAsia="es-ES"/>
        </w:rPr>
        <w:t>,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RAIS que les conciernen en desarrollo de su objeto social, pues para tales efectos hay legislación específica que adelante se resaltará.</w:t>
      </w:r>
    </w:p>
    <w:p w14:paraId="692A23D1" w14:textId="77777777" w:rsidR="00BC0519" w:rsidRPr="00751003" w:rsidRDefault="00BC0519" w:rsidP="00BC0519">
      <w:pPr>
        <w:suppressAutoHyphens/>
        <w:spacing w:after="0"/>
        <w:jc w:val="both"/>
        <w:rPr>
          <w:rFonts w:ascii="Arial" w:eastAsia="Times New Roman" w:hAnsi="Arial" w:cs="Arial"/>
          <w:sz w:val="24"/>
          <w:szCs w:val="24"/>
          <w:lang w:val="es-ES_tradnl" w:eastAsia="es-ES"/>
        </w:rPr>
      </w:pPr>
    </w:p>
    <w:p w14:paraId="10ACF38D" w14:textId="77777777" w:rsidR="00BC0519" w:rsidRPr="00751003" w:rsidRDefault="00BC0519" w:rsidP="00BC0519">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Tal conclusión encuentra apoyo adicional en el hecho de que el sistema implementado por la ley 100 de 1993 implica la libre competencia entre los dos regímenes, de allí que no guarde coherencia ubicar a las Administradoras como destinatarias de lo previsto en artículos 13 literal b y 271 de la ley 100 de 1993 pues es inherente a su creación el otorgarles la posibilidad de promocionar el nuevo sistema cuya gestión les fue encargada. </w:t>
      </w:r>
    </w:p>
    <w:p w14:paraId="56082DE8" w14:textId="77777777" w:rsidR="00BC0519" w:rsidRPr="00751003" w:rsidRDefault="00BC0519" w:rsidP="00BC0519">
      <w:pPr>
        <w:suppressAutoHyphens/>
        <w:spacing w:after="0"/>
        <w:jc w:val="both"/>
        <w:rPr>
          <w:rFonts w:ascii="Arial" w:eastAsia="Times New Roman" w:hAnsi="Arial" w:cs="Arial"/>
          <w:sz w:val="24"/>
          <w:szCs w:val="24"/>
          <w:lang w:val="es-ES_tradnl" w:eastAsia="es-ES"/>
        </w:rPr>
      </w:pPr>
    </w:p>
    <w:p w14:paraId="12D5F447" w14:textId="77777777" w:rsidR="00BC0519" w:rsidRPr="00751003" w:rsidRDefault="00BC0519" w:rsidP="00BC0519">
      <w:pPr>
        <w:suppressAutoHyphens/>
        <w:spacing w:after="0"/>
        <w:jc w:val="both"/>
        <w:rPr>
          <w:rFonts w:ascii="Arial" w:eastAsia="Times New Roman" w:hAnsi="Arial" w:cs="Arial"/>
          <w:b/>
          <w:sz w:val="24"/>
          <w:szCs w:val="24"/>
          <w:lang w:val="es-ES_tradnl" w:eastAsia="es-ES"/>
        </w:rPr>
      </w:pPr>
      <w:r w:rsidRPr="00751003">
        <w:rPr>
          <w:rFonts w:ascii="Arial" w:eastAsia="Times New Roman" w:hAnsi="Arial" w:cs="Arial"/>
          <w:sz w:val="24"/>
          <w:szCs w:val="24"/>
          <w:lang w:val="es-ES_tradnl" w:eastAsia="es-ES"/>
        </w:rPr>
        <w:t xml:space="preserve">Es que nótese que, conteniendo la norma citada 2 verbos rectores -“impedir o atentar”-, referidos al derecho de los trabajadores de afiliarse y seleccionar libremente los organismos e instituciones del sistema de seguridad social a los que quiere entregar la administración de sus aportes, resulta evidente que cuando las AFP promocionan y se ofrecen para administrar los recursos que permitirán acceder a una pensión, bajo ningún entendimiento se puede considerar que están incursas en esas conductas,  pues ni han impedido la afiliación de los usuarios al sistema o su libre selección de organismo ni tampoco han desconocido o boicoteado el derecho del afiliado a la selección del organismo que se encargaría de administrar sus aportes. </w:t>
      </w:r>
      <w:r w:rsidRPr="00751003">
        <w:rPr>
          <w:rFonts w:ascii="Arial" w:eastAsia="Times New Roman" w:hAnsi="Arial" w:cs="Arial"/>
          <w:b/>
          <w:sz w:val="24"/>
          <w:szCs w:val="24"/>
          <w:lang w:val="es-ES_tradnl" w:eastAsia="es-ES"/>
        </w:rPr>
        <w:t>Lo que hicieron fue buscar que, dentro de las opciones que creó la ley 100 de 1993, los participantes del sistema las eligieran para administrar sus recursos. Ahora, si para lograr tal cometido dieron información equivocada u omitieron dar la que correspondía, no son los artículos 13 y 271 de la ley 100 de 1993 los que determinan las consecuencias de tal proceder sino el decreto 720 de 1994, como adelante se explicitará.</w:t>
      </w:r>
    </w:p>
    <w:p w14:paraId="3508F6D9" w14:textId="77777777" w:rsidR="00BC0519" w:rsidRPr="00751003" w:rsidRDefault="00BC0519" w:rsidP="00BC0519">
      <w:pPr>
        <w:suppressAutoHyphens/>
        <w:spacing w:after="0"/>
        <w:jc w:val="both"/>
        <w:rPr>
          <w:rFonts w:ascii="Arial" w:eastAsia="Times New Roman" w:hAnsi="Arial" w:cs="Arial"/>
          <w:b/>
          <w:sz w:val="24"/>
          <w:szCs w:val="24"/>
          <w:lang w:val="es-ES_tradnl" w:eastAsia="es-ES"/>
        </w:rPr>
      </w:pPr>
    </w:p>
    <w:p w14:paraId="33F2BF5F" w14:textId="77777777" w:rsidR="00BC0519" w:rsidRPr="00751003" w:rsidRDefault="00BC0519" w:rsidP="00BC0519">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Adicionalmente vale la pena resaltar que según se desprende de la construcción normativa del artículo 271 de la ley 100 de 1993, la sanción es la multa; misma que una vez se impone por quien tiene la competencia para ello, que son los ministerios de Trabajo y Salud, trae como consecuencia que “la afiliación” realizada irregularmente quede sin efecto y deje al interesado en la posibilidad de realizarla nuevamente de manera libre y espontánea.</w:t>
      </w:r>
    </w:p>
    <w:p w14:paraId="02A45F81" w14:textId="77777777" w:rsidR="00BC0519" w:rsidRPr="00751003" w:rsidRDefault="00BC0519" w:rsidP="00BC0519">
      <w:pPr>
        <w:suppressAutoHyphens/>
        <w:spacing w:after="0"/>
        <w:jc w:val="both"/>
        <w:rPr>
          <w:rFonts w:ascii="Arial" w:eastAsia="Times New Roman" w:hAnsi="Arial" w:cs="Arial"/>
          <w:sz w:val="24"/>
          <w:szCs w:val="24"/>
          <w:lang w:val="es-ES_tradnl" w:eastAsia="es-ES"/>
        </w:rPr>
      </w:pPr>
    </w:p>
    <w:p w14:paraId="76F08FFB" w14:textId="77777777" w:rsidR="00BC0519" w:rsidRPr="00751003" w:rsidRDefault="00BC0519" w:rsidP="00BC0519">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 xml:space="preserve">Las condiciones para que opere la ineficacia que se acaban de evidenciar, además del análisis que adelante se hará, ponen de relieve tres situaciones que denotan que la solución que se está dando a la situación fáctica analizada no es la que corresponde legalmente: </w:t>
      </w:r>
    </w:p>
    <w:p w14:paraId="05D09244" w14:textId="77777777" w:rsidR="00BC0519" w:rsidRPr="00751003" w:rsidRDefault="00BC0519" w:rsidP="00BC0519">
      <w:pPr>
        <w:suppressAutoHyphens/>
        <w:spacing w:after="0"/>
        <w:jc w:val="both"/>
        <w:rPr>
          <w:rFonts w:ascii="Arial" w:eastAsia="Times New Roman" w:hAnsi="Arial" w:cs="Arial"/>
          <w:b/>
          <w:bCs/>
          <w:sz w:val="24"/>
          <w:szCs w:val="24"/>
          <w:lang w:val="es-ES" w:eastAsia="es-ES"/>
        </w:rPr>
      </w:pPr>
    </w:p>
    <w:p w14:paraId="2D87EB7C" w14:textId="77777777" w:rsidR="00BC0519" w:rsidRPr="00751003" w:rsidRDefault="00BC0519" w:rsidP="00BC0519">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 primera que la competencia para determinar si se incurrió en la conducta que amerita multa es de los Ministerios de Trabajo y de Salud y ella se constituye en el fundamento de la declaratoria de ineficacia.</w:t>
      </w:r>
    </w:p>
    <w:p w14:paraId="5261B10A" w14:textId="77777777" w:rsidR="00BC0519" w:rsidRPr="00751003" w:rsidRDefault="00BC0519" w:rsidP="00BC0519">
      <w:pPr>
        <w:suppressAutoHyphens/>
        <w:spacing w:after="0"/>
        <w:jc w:val="both"/>
        <w:rPr>
          <w:rFonts w:ascii="Arial" w:eastAsia="Times New Roman" w:hAnsi="Arial" w:cs="Arial"/>
          <w:b/>
          <w:bCs/>
          <w:sz w:val="24"/>
          <w:szCs w:val="24"/>
          <w:lang w:val="es-ES" w:eastAsia="es-ES"/>
        </w:rPr>
      </w:pPr>
    </w:p>
    <w:p w14:paraId="08D1A0EE" w14:textId="77777777" w:rsidR="00BC0519" w:rsidRPr="00751003" w:rsidRDefault="00BC0519" w:rsidP="00BC0519">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La segunda que la ineficacia solo está prevista como consecuencia de la “afiliación” irregular, pues expresamente la norma determina que la “afiliación respectiva quedará sin efecto” sin que pueda extenderse la sanción a los casos de traslado entre regímenes, por cuanto es bien sabido que ellos no implican una nueva afiliación. Al respecto baste traer a colación lo dicho por la propia Corte en sentencia 39772 de 5 de octubre de 2010, en la que se explicó</w:t>
      </w:r>
      <w:r w:rsidRPr="00751003">
        <w:rPr>
          <w:rFonts w:ascii="Arial" w:eastAsia="Times New Roman" w:hAnsi="Arial" w:cs="Arial"/>
          <w:sz w:val="24"/>
          <w:szCs w:val="24"/>
          <w:lang w:val="es-ES" w:eastAsia="es-ES"/>
        </w:rPr>
        <w:t>:</w:t>
      </w:r>
    </w:p>
    <w:p w14:paraId="6D178B32" w14:textId="77777777" w:rsidR="00BC0519" w:rsidRPr="00751003" w:rsidRDefault="00BC0519" w:rsidP="00BC0519">
      <w:pPr>
        <w:suppressAutoHyphens/>
        <w:spacing w:after="0"/>
        <w:jc w:val="both"/>
        <w:rPr>
          <w:rFonts w:ascii="Arial" w:eastAsia="Times New Roman" w:hAnsi="Arial" w:cs="Arial"/>
          <w:sz w:val="24"/>
          <w:szCs w:val="24"/>
          <w:lang w:val="es-ES_tradnl" w:eastAsia="es-ES"/>
        </w:rPr>
      </w:pPr>
    </w:p>
    <w:p w14:paraId="3B43FAF8" w14:textId="77777777" w:rsidR="00BC0519" w:rsidRPr="00751003" w:rsidRDefault="00BC0519" w:rsidP="00BC0519">
      <w:pPr>
        <w:suppressAutoHyphens/>
        <w:spacing w:after="0" w:line="240" w:lineRule="auto"/>
        <w:ind w:left="426" w:right="420"/>
        <w:jc w:val="both"/>
        <w:rPr>
          <w:rFonts w:ascii="Arial" w:eastAsia="Times New Roman" w:hAnsi="Arial" w:cs="Arial"/>
          <w:szCs w:val="24"/>
          <w:lang w:val="es-ES_tradnl" w:eastAsia="es-ES"/>
        </w:rPr>
      </w:pPr>
      <w:r w:rsidRPr="00751003">
        <w:rPr>
          <w:rFonts w:ascii="Arial" w:eastAsia="Times New Roman" w:hAnsi="Arial" w:cs="Arial"/>
          <w:szCs w:val="24"/>
          <w:lang w:val="es-ES_tradnl" w:eastAsia="es-ES"/>
        </w:rPr>
        <w:t>“De acuerdo a lo anterior, confunde el Tribunal lo que es la afiliación al sistema de seguridad social, que ha sostenido la jurisprudencia tanto de la Corte Constitucional como la de esta Sala, tiene un carácter vitalicio, se efectúa a través de una primera y única inscripción y no se pierde o suspende porque se dejen de causar cotizaciones en un determinado interregno de tiempo, con la vinculación a uno de los dos regímenes de pensiones que contempla dicho sistema, y que delimita muy claramente el artículo 13 del Decreto 692 de 1994, en los siguientes términos:</w:t>
      </w:r>
    </w:p>
    <w:p w14:paraId="39FFD509" w14:textId="77777777" w:rsidR="00BC0519" w:rsidRPr="00751003" w:rsidRDefault="00BC0519" w:rsidP="00BC0519">
      <w:pPr>
        <w:suppressAutoHyphens/>
        <w:spacing w:after="0" w:line="240" w:lineRule="auto"/>
        <w:ind w:left="426" w:right="420"/>
        <w:jc w:val="both"/>
        <w:rPr>
          <w:rFonts w:ascii="Arial" w:eastAsia="Times New Roman" w:hAnsi="Arial" w:cs="Arial"/>
          <w:szCs w:val="24"/>
          <w:lang w:val="es-ES_tradnl" w:eastAsia="es-ES"/>
        </w:rPr>
      </w:pPr>
    </w:p>
    <w:p w14:paraId="269C850D" w14:textId="77777777" w:rsidR="00BC0519" w:rsidRPr="00751003" w:rsidRDefault="00BC0519" w:rsidP="00BC0519">
      <w:pPr>
        <w:suppressAutoHyphens/>
        <w:spacing w:after="0" w:line="240" w:lineRule="auto"/>
        <w:ind w:left="851" w:right="845"/>
        <w:jc w:val="both"/>
        <w:rPr>
          <w:rFonts w:ascii="Arial" w:eastAsia="Times New Roman" w:hAnsi="Arial" w:cs="Arial"/>
          <w:szCs w:val="24"/>
          <w:lang w:val="es-ES_tradnl" w:eastAsia="es-ES"/>
        </w:rPr>
      </w:pPr>
      <w:r w:rsidRPr="00751003">
        <w:rPr>
          <w:rFonts w:ascii="Arial" w:eastAsia="Times New Roman" w:hAnsi="Arial" w:cs="Arial"/>
          <w:i/>
          <w:szCs w:val="24"/>
          <w:lang w:val="es-ES_tradnl" w:eastAsia="es-ES"/>
        </w:rPr>
        <w:t>“</w:t>
      </w:r>
      <w:r w:rsidRPr="00751003">
        <w:rPr>
          <w:rFonts w:ascii="Arial" w:eastAsia="Times New Roman" w:hAnsi="Arial" w:cs="Arial"/>
          <w:b/>
          <w:i/>
          <w:szCs w:val="24"/>
          <w:lang w:val="es-ES_tradnl" w:eastAsia="es-ES"/>
        </w:rPr>
        <w:t>Permanencia de la afiliación</w:t>
      </w:r>
      <w:r w:rsidRPr="00751003">
        <w:rPr>
          <w:rFonts w:ascii="Arial" w:eastAsia="Times New Roman" w:hAnsi="Arial" w:cs="Arial"/>
          <w:i/>
          <w:szCs w:val="24"/>
          <w:lang w:val="es-ES_tradnl" w:eastAsia="es-ES"/>
        </w:rPr>
        <w:t xml:space="preserve">. La afiliación al Sistema General de Pensiones es permanente </w:t>
      </w:r>
      <w:r w:rsidRPr="00751003">
        <w:rPr>
          <w:rFonts w:ascii="Arial" w:eastAsia="Times New Roman" w:hAnsi="Arial" w:cs="Arial"/>
          <w:i/>
          <w:szCs w:val="24"/>
          <w:u w:val="single"/>
          <w:lang w:val="es-ES_tradnl" w:eastAsia="es-ES"/>
        </w:rPr>
        <w:t>e independiente del régimen que seleccione el afiliado</w:t>
      </w:r>
      <w:r w:rsidRPr="00751003">
        <w:rPr>
          <w:rFonts w:ascii="Arial" w:eastAsia="Times New Roman" w:hAnsi="Arial" w:cs="Arial"/>
          <w:i/>
          <w:szCs w:val="24"/>
          <w:lang w:val="es-ES_tradnl" w:eastAsia="es-ES"/>
        </w:rPr>
        <w:t xml:space="preserve">. Dicha afiliación no se pierde por haber dejado de cotizar durante </w:t>
      </w:r>
      <w:r w:rsidRPr="00751003">
        <w:rPr>
          <w:rFonts w:ascii="Arial" w:eastAsia="Times New Roman" w:hAnsi="Arial" w:cs="Arial"/>
          <w:i/>
          <w:szCs w:val="24"/>
          <w:lang w:val="es-ES_tradnl" w:eastAsia="es-ES"/>
        </w:rPr>
        <w:lastRenderedPageBreak/>
        <w:t>uno o varios períodos, pero podrá pasar a la categoría de afiliados inactivos, cuando tengan más de seis meses de no pago de cotizaciones.”</w:t>
      </w:r>
    </w:p>
    <w:p w14:paraId="5DA901D6" w14:textId="77777777" w:rsidR="00BC0519" w:rsidRPr="00751003" w:rsidRDefault="00BC0519" w:rsidP="00BC0519">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 </w:t>
      </w:r>
    </w:p>
    <w:p w14:paraId="37B85ED6" w14:textId="77777777" w:rsidR="00BC0519" w:rsidRPr="00751003" w:rsidRDefault="00BC0519" w:rsidP="00BC0519">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Y la tercera y más importante, </w:t>
      </w:r>
      <w:r w:rsidRPr="00751003">
        <w:rPr>
          <w:rFonts w:ascii="Arial" w:eastAsia="Times New Roman" w:hAnsi="Arial" w:cs="Arial"/>
          <w:b/>
          <w:sz w:val="24"/>
          <w:szCs w:val="24"/>
          <w:lang w:val="es-ES_tradnl" w:eastAsia="es-ES"/>
        </w:rPr>
        <w:t>que como se analiza a continuación existe una acción diferente y precisa para los casos como el presente en que se aduce la deficiente o nula información brindada por las AFP para obtener la vinculación de una persona al RAIS a pesar del perjuicio que ello le pudiere significar</w:t>
      </w:r>
      <w:r w:rsidRPr="00751003">
        <w:rPr>
          <w:rFonts w:ascii="Arial" w:eastAsia="Times New Roman" w:hAnsi="Arial" w:cs="Arial"/>
          <w:sz w:val="24"/>
          <w:szCs w:val="24"/>
          <w:lang w:val="es-ES_tradnl" w:eastAsia="es-ES"/>
        </w:rPr>
        <w:t>.</w:t>
      </w:r>
    </w:p>
    <w:p w14:paraId="371B0764" w14:textId="77777777" w:rsidR="00BC0519" w:rsidRPr="00751003" w:rsidRDefault="00BC0519" w:rsidP="00BC0519">
      <w:pPr>
        <w:suppressAutoHyphens/>
        <w:spacing w:after="0"/>
        <w:jc w:val="both"/>
        <w:rPr>
          <w:rFonts w:ascii="Arial" w:eastAsia="Times New Roman" w:hAnsi="Arial" w:cs="Arial"/>
          <w:sz w:val="24"/>
          <w:szCs w:val="24"/>
          <w:lang w:val="es-ES_tradnl" w:eastAsia="es-ES"/>
        </w:rPr>
      </w:pPr>
    </w:p>
    <w:p w14:paraId="22F76464" w14:textId="77777777" w:rsidR="00BC0519" w:rsidRPr="00751003" w:rsidRDefault="00BC0519" w:rsidP="00BC0519">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CONSECUENCIAS DE LA APLICACIÓN DE LA TESIS DE LA INEFICACIA DE LOS TRASLADOS CON FUNDAMENTO EN LOS ARTÍCULOS 13 Y 271 DE LA LEY 100 DE 1993.</w:t>
      </w:r>
    </w:p>
    <w:p w14:paraId="07D31ABC" w14:textId="77777777" w:rsidR="00BC0519" w:rsidRPr="00751003" w:rsidRDefault="00BC0519" w:rsidP="00BC0519">
      <w:pPr>
        <w:suppressAutoHyphens/>
        <w:spacing w:after="0"/>
        <w:jc w:val="both"/>
        <w:rPr>
          <w:rFonts w:ascii="Arial" w:eastAsia="Times New Roman" w:hAnsi="Arial" w:cs="Arial"/>
          <w:sz w:val="24"/>
          <w:szCs w:val="24"/>
          <w:lang w:val="es-ES_tradnl" w:eastAsia="es-ES"/>
        </w:rPr>
      </w:pPr>
    </w:p>
    <w:p w14:paraId="48B55FEF" w14:textId="77777777" w:rsidR="00BC0519" w:rsidRPr="00751003" w:rsidRDefault="00BC0519" w:rsidP="00BC0519">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Las declaraciones de ineficacias de traslados envuelven los siguientes resultados:</w:t>
      </w:r>
    </w:p>
    <w:p w14:paraId="712E3228" w14:textId="77777777" w:rsidR="00BC0519" w:rsidRPr="00751003" w:rsidRDefault="00BC0519" w:rsidP="00BC0519">
      <w:pPr>
        <w:suppressAutoHyphens/>
        <w:spacing w:after="0"/>
        <w:jc w:val="both"/>
        <w:rPr>
          <w:rFonts w:ascii="Arial" w:eastAsia="Times New Roman" w:hAnsi="Arial" w:cs="Arial"/>
          <w:b/>
          <w:bCs/>
          <w:sz w:val="24"/>
          <w:szCs w:val="24"/>
          <w:lang w:val="es-ES" w:eastAsia="es-ES"/>
        </w:rPr>
      </w:pPr>
    </w:p>
    <w:p w14:paraId="14471CAC" w14:textId="77777777" w:rsidR="00BC0519" w:rsidRPr="00751003" w:rsidRDefault="00BC0519" w:rsidP="00BC0519">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 xml:space="preserve">PRIMERO: Desdibuja nuestro sistema jurídico de responsabilidad </w:t>
      </w:r>
      <w:r w:rsidRPr="00751003">
        <w:rPr>
          <w:rFonts w:ascii="Arial" w:eastAsia="Times New Roman" w:hAnsi="Arial" w:cs="Arial"/>
          <w:sz w:val="24"/>
          <w:szCs w:val="24"/>
          <w:lang w:val="es-ES" w:eastAsia="es-ES"/>
        </w:rPr>
        <w:t>al imponer la carga de resarcir un daño, a quien no lo produjo, en este caso Colpensiones y de contera la Nación como su garante.</w:t>
      </w:r>
    </w:p>
    <w:p w14:paraId="0723BAF2" w14:textId="77777777" w:rsidR="00BC0519" w:rsidRPr="00751003" w:rsidRDefault="00BC0519" w:rsidP="00BC0519">
      <w:pPr>
        <w:suppressAutoHyphens/>
        <w:spacing w:after="0"/>
        <w:jc w:val="both"/>
        <w:rPr>
          <w:rFonts w:ascii="Arial" w:eastAsia="Times New Roman" w:hAnsi="Arial" w:cs="Arial"/>
          <w:iCs/>
          <w:sz w:val="24"/>
          <w:szCs w:val="24"/>
          <w:lang w:val="es-ES_tradnl" w:eastAsia="es-ES"/>
        </w:rPr>
      </w:pPr>
    </w:p>
    <w:p w14:paraId="00C77BD5" w14:textId="77777777" w:rsidR="00BC0519" w:rsidRPr="00751003" w:rsidRDefault="00BC0519" w:rsidP="00BC0519">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Se afirma lo anterior por cuanto las órdenes judiciales de ineficacia comportan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si aún lo tiene en su poder, el saldo que exista en cuenta de ahorro individual a Colpensiones, entidad esta última que, </w:t>
      </w:r>
      <w:r w:rsidRPr="00751003">
        <w:rPr>
          <w:rFonts w:ascii="Arial" w:eastAsia="Times New Roman" w:hAnsi="Arial" w:cs="Arial"/>
          <w:b/>
          <w:iCs/>
          <w:sz w:val="24"/>
          <w:szCs w:val="24"/>
          <w:lang w:val="es-ES_tradnl" w:eastAsia="es-ES"/>
        </w:rPr>
        <w:t>con esa misma suma -que ahora se sabe que solo alcanza para otorgar una pensión de “x pesos”- debe reconocer y pagar una prestación dos o tres veces superior a la que financieramente es posible conceder</w:t>
      </w:r>
      <w:r w:rsidRPr="00751003">
        <w:rPr>
          <w:rFonts w:ascii="Arial" w:eastAsia="Times New Roman" w:hAnsi="Arial" w:cs="Arial"/>
          <w:iCs/>
          <w:sz w:val="24"/>
          <w:szCs w:val="24"/>
          <w:lang w:val="es-ES_tradnl" w:eastAsia="es-ES"/>
        </w:rPr>
        <w:t>.</w:t>
      </w:r>
    </w:p>
    <w:p w14:paraId="7FE64A68" w14:textId="77777777" w:rsidR="00BC0519" w:rsidRPr="00751003" w:rsidRDefault="00BC0519" w:rsidP="00BC0519">
      <w:pPr>
        <w:suppressAutoHyphens/>
        <w:spacing w:after="0"/>
        <w:jc w:val="both"/>
        <w:rPr>
          <w:rFonts w:ascii="Arial" w:eastAsia="Times New Roman" w:hAnsi="Arial" w:cs="Arial"/>
          <w:iCs/>
          <w:sz w:val="24"/>
          <w:szCs w:val="24"/>
          <w:lang w:val="es-ES_tradnl" w:eastAsia="es-ES"/>
        </w:rPr>
      </w:pPr>
    </w:p>
    <w:p w14:paraId="40C1622E" w14:textId="77777777" w:rsidR="00BC0519" w:rsidRPr="00751003" w:rsidRDefault="00BC0519" w:rsidP="00BC0519">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Como fácilmente se observa, el resultado de declarar la ineficacia del traslado lleva a lo siguiente:  AFP PRIVADA por supuestos errores u omisiones en información CAUSA PERJUICIO al afiliado, entonces, a un tercero -COLPENSIONES- la rama judicial le impone que con los demás dineros del fondo público, cubra el daño generado por la AFP privada.</w:t>
      </w:r>
    </w:p>
    <w:p w14:paraId="55E06164" w14:textId="77777777" w:rsidR="00BC0519" w:rsidRPr="00751003" w:rsidRDefault="00BC0519" w:rsidP="00BC0519">
      <w:pPr>
        <w:suppressAutoHyphens/>
        <w:spacing w:after="0"/>
        <w:jc w:val="both"/>
        <w:rPr>
          <w:rFonts w:ascii="Arial" w:eastAsia="Times New Roman" w:hAnsi="Arial" w:cs="Arial"/>
          <w:iCs/>
          <w:sz w:val="24"/>
          <w:szCs w:val="24"/>
          <w:lang w:val="es-ES_tradnl" w:eastAsia="es-ES"/>
        </w:rPr>
      </w:pPr>
    </w:p>
    <w:p w14:paraId="1C051BA3" w14:textId="77777777" w:rsidR="00BC0519" w:rsidRPr="00751003" w:rsidRDefault="00BC0519" w:rsidP="00BC0519">
      <w:pPr>
        <w:suppressAutoHyphens/>
        <w:spacing w:after="0"/>
        <w:jc w:val="both"/>
        <w:rPr>
          <w:rFonts w:ascii="Arial" w:eastAsia="Times New Roman" w:hAnsi="Arial" w:cs="Arial"/>
          <w:b/>
          <w:iCs/>
          <w:sz w:val="24"/>
          <w:szCs w:val="24"/>
          <w:lang w:val="es-ES_tradnl" w:eastAsia="es-ES"/>
        </w:rPr>
      </w:pPr>
      <w:r w:rsidRPr="00751003">
        <w:rPr>
          <w:rFonts w:ascii="Arial" w:eastAsia="Times New Roman" w:hAnsi="Arial" w:cs="Arial"/>
          <w:b/>
          <w:iCs/>
          <w:sz w:val="24"/>
          <w:szCs w:val="24"/>
          <w:lang w:val="es-ES_tradnl" w:eastAsia="es-ES"/>
        </w:rPr>
        <w:t>Obviamente esa no es una solución legal y constitucionalmente sostenible, pero sobre todo NO ES LA SOLUCIÓN JURÍDICA QUE NUESTRA LEGISLACIÓN PREVÉ PARA ESTOS EVENTOS y que se encuentra consagrada en el artículo 10 del decreto 720 de 1994.</w:t>
      </w:r>
    </w:p>
    <w:p w14:paraId="0B01FBAF" w14:textId="77777777" w:rsidR="00BC0519" w:rsidRPr="00751003" w:rsidRDefault="00BC0519" w:rsidP="00BC0519">
      <w:pPr>
        <w:suppressAutoHyphens/>
        <w:spacing w:after="0"/>
        <w:jc w:val="both"/>
        <w:rPr>
          <w:rFonts w:ascii="Arial" w:eastAsia="Times New Roman" w:hAnsi="Arial" w:cs="Arial"/>
          <w:iCs/>
          <w:sz w:val="24"/>
          <w:szCs w:val="24"/>
          <w:lang w:val="es-ES_tradnl" w:eastAsia="es-ES"/>
        </w:rPr>
      </w:pPr>
    </w:p>
    <w:p w14:paraId="66211647" w14:textId="77777777" w:rsidR="00BC0519" w:rsidRPr="00751003" w:rsidRDefault="00BC0519" w:rsidP="00BC0519">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SEGUNDO: De manera consciente, sin justificación alguna, inaplica la solución jurídica que el sistema tiene prevista de manera específica para los actos de las AFP que por omisión o falsa información causen perjuicio a los afiliados.</w:t>
      </w:r>
    </w:p>
    <w:p w14:paraId="1E609A5B" w14:textId="77777777" w:rsidR="00BC0519" w:rsidRPr="00751003" w:rsidRDefault="00BC0519" w:rsidP="00BC0519">
      <w:pPr>
        <w:suppressAutoHyphens/>
        <w:spacing w:after="0"/>
        <w:jc w:val="both"/>
        <w:rPr>
          <w:rFonts w:ascii="Arial" w:eastAsia="Times New Roman" w:hAnsi="Arial" w:cs="Arial"/>
          <w:iCs/>
          <w:sz w:val="24"/>
          <w:szCs w:val="24"/>
          <w:lang w:val="es-ES_tradnl" w:eastAsia="es-ES"/>
        </w:rPr>
      </w:pPr>
    </w:p>
    <w:p w14:paraId="7B0E527F" w14:textId="77777777" w:rsidR="00BC0519" w:rsidRPr="00751003" w:rsidRDefault="00BC0519" w:rsidP="00BC0519">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A continuación se analizan aspectos de estas dos afirmaciones.</w:t>
      </w:r>
    </w:p>
    <w:p w14:paraId="6F7FD03D" w14:textId="77777777" w:rsidR="00BC0519" w:rsidRPr="00751003" w:rsidRDefault="00BC0519" w:rsidP="00BC0519">
      <w:pPr>
        <w:suppressAutoHyphens/>
        <w:spacing w:after="0"/>
        <w:jc w:val="both"/>
        <w:rPr>
          <w:rFonts w:ascii="Arial" w:eastAsia="Times New Roman" w:hAnsi="Arial" w:cs="Arial"/>
          <w:sz w:val="24"/>
          <w:szCs w:val="24"/>
          <w:lang w:val="es-ES_tradnl" w:eastAsia="es-ES"/>
        </w:rPr>
      </w:pPr>
    </w:p>
    <w:p w14:paraId="1564A8FA" w14:textId="77777777" w:rsidR="00BC0519" w:rsidRPr="00751003" w:rsidRDefault="00BC0519" w:rsidP="00BC0519">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iCs/>
          <w:sz w:val="24"/>
          <w:szCs w:val="24"/>
          <w:lang w:val="es-ES_tradnl" w:eastAsia="es-ES"/>
        </w:rPr>
        <w:lastRenderedPageBreak/>
        <w:t xml:space="preserve">APOYO CONSTITUCIONAL EMANADO DE LA SENTENCIA C-1024 DE 2004 SOBRE LA RAZON DE SER DE LA LIMITACIÓN DE TRASLADO CUANDO FALTEN MENOS DE 10 AÑOS. </w:t>
      </w:r>
    </w:p>
    <w:p w14:paraId="51B33930" w14:textId="77777777" w:rsidR="00BC0519" w:rsidRPr="00751003" w:rsidRDefault="00BC0519" w:rsidP="00BC0519">
      <w:pPr>
        <w:suppressAutoHyphens/>
        <w:spacing w:after="0"/>
        <w:jc w:val="both"/>
        <w:rPr>
          <w:rFonts w:ascii="Arial" w:eastAsia="Times New Roman" w:hAnsi="Arial" w:cs="Arial"/>
          <w:b/>
          <w:iCs/>
          <w:sz w:val="24"/>
          <w:szCs w:val="24"/>
          <w:lang w:val="es-ES_tradnl" w:eastAsia="es-ES"/>
        </w:rPr>
      </w:pPr>
    </w:p>
    <w:p w14:paraId="63A5D362" w14:textId="77777777" w:rsidR="00BC0519" w:rsidRPr="00751003" w:rsidRDefault="00BC0519" w:rsidP="00BC0519">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Para garantizar la abierta competencia entre regímenes, la ley estableció la posibilidad de trasladarse libremente entre ellos, limitándola en la etapa final de la adquisición del derecho -inicialmente 5 años y posteriormente 10-. </w:t>
      </w:r>
    </w:p>
    <w:p w14:paraId="6BAB347C" w14:textId="77777777" w:rsidR="00BC0519" w:rsidRPr="00751003" w:rsidRDefault="00BC0519" w:rsidP="00BC0519">
      <w:pPr>
        <w:suppressAutoHyphens/>
        <w:spacing w:after="0"/>
        <w:jc w:val="both"/>
        <w:rPr>
          <w:rFonts w:ascii="Arial" w:eastAsia="Times New Roman" w:hAnsi="Arial" w:cs="Arial"/>
          <w:iCs/>
          <w:sz w:val="24"/>
          <w:szCs w:val="24"/>
          <w:lang w:val="es-ES_tradnl" w:eastAsia="es-ES"/>
        </w:rPr>
      </w:pPr>
    </w:p>
    <w:p w14:paraId="220969BE" w14:textId="77777777" w:rsidR="00BC0519" w:rsidRPr="00751003" w:rsidRDefault="00BC0519" w:rsidP="00BC0519">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Al analizar esa limitación la Corte Constitucional fue clara en explicar que </w:t>
      </w:r>
      <w:r w:rsidRPr="00751003">
        <w:rPr>
          <w:rFonts w:ascii="Arial" w:eastAsia="Times New Roman" w:hAnsi="Arial" w:cs="Arial"/>
          <w:b/>
          <w:iCs/>
          <w:sz w:val="24"/>
          <w:szCs w:val="24"/>
          <w:lang w:val="es-ES_tradnl" w:eastAsia="es-ES"/>
        </w:rPr>
        <w:t>para garantizar la sostenibilidad financiera del sistema de prima media</w:t>
      </w:r>
      <w:r w:rsidRPr="00751003">
        <w:rPr>
          <w:rFonts w:ascii="Arial" w:eastAsia="Times New Roman" w:hAnsi="Arial" w:cs="Arial"/>
          <w:iCs/>
          <w:sz w:val="24"/>
          <w:szCs w:val="24"/>
          <w:lang w:val="es-ES_tradnl" w:eastAsia="es-ES"/>
        </w:rPr>
        <w:t xml:space="preserve"> es necesario que los aportes de los afiliados estén a su disposición, de manera tal que se permita que la administradora haga las inversiones necesarias para obtener altas tasas de rentabilidad. En efecto se extraen los siguientes apartes de la sentencia C-1024 de 2004:</w:t>
      </w:r>
    </w:p>
    <w:p w14:paraId="5E2A58B1" w14:textId="77777777" w:rsidR="00BC0519" w:rsidRPr="00751003" w:rsidRDefault="00BC0519" w:rsidP="00BC0519">
      <w:pPr>
        <w:suppressAutoHyphens/>
        <w:spacing w:after="0"/>
        <w:jc w:val="both"/>
        <w:rPr>
          <w:rFonts w:ascii="Arial" w:eastAsia="Times New Roman" w:hAnsi="Arial" w:cs="Arial"/>
          <w:b/>
          <w:iCs/>
          <w:sz w:val="24"/>
          <w:szCs w:val="24"/>
          <w:lang w:val="es-ES_tradnl" w:eastAsia="es-ES"/>
        </w:rPr>
      </w:pPr>
    </w:p>
    <w:p w14:paraId="199960C2" w14:textId="77777777" w:rsidR="00BC0519" w:rsidRPr="00751003" w:rsidRDefault="00BC0519" w:rsidP="00BC0519">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“Desde esta perspectiva, el </w:t>
      </w:r>
      <w:r w:rsidRPr="00751003">
        <w:rPr>
          <w:rFonts w:ascii="Arial" w:eastAsia="Times New Roman" w:hAnsi="Arial" w:cs="Arial"/>
          <w:i/>
          <w:iCs/>
          <w:szCs w:val="24"/>
          <w:lang w:eastAsia="es-ES"/>
        </w:rPr>
        <w:t>objetivo </w:t>
      </w:r>
      <w:r w:rsidRPr="00751003">
        <w:rPr>
          <w:rFonts w:ascii="Arial" w:eastAsia="Times New Roman" w:hAnsi="Arial" w:cs="Arial"/>
          <w:iCs/>
          <w:szCs w:val="24"/>
          <w:lang w:eastAsia="es-ES"/>
        </w:rPr>
        <w:t xml:space="preserve">perseguido con el señalamiento del  período de carencia en la norma acusada, </w:t>
      </w:r>
      <w:r w:rsidRPr="00751003">
        <w:rPr>
          <w:rFonts w:ascii="Arial" w:eastAsia="Times New Roman" w:hAnsi="Arial" w:cs="Arial"/>
          <w:b/>
          <w:iCs/>
          <w:szCs w:val="24"/>
          <w:lang w:eastAsia="es-ES"/>
        </w:rPr>
        <w:t>consiste en evitar la </w:t>
      </w:r>
      <w:r w:rsidRPr="00751003">
        <w:rPr>
          <w:rFonts w:ascii="Arial" w:eastAsia="Times New Roman" w:hAnsi="Arial" w:cs="Arial"/>
          <w:b/>
          <w:i/>
          <w:iCs/>
          <w:szCs w:val="24"/>
          <w:lang w:eastAsia="es-ES"/>
        </w:rPr>
        <w:t>descapitalización</w:t>
      </w:r>
      <w:r w:rsidRPr="00751003">
        <w:rPr>
          <w:rFonts w:ascii="Arial" w:eastAsia="Times New Roman" w:hAnsi="Arial" w:cs="Arial"/>
          <w:b/>
          <w:iCs/>
          <w:szCs w:val="24"/>
          <w:lang w:eastAsia="es-ES"/>
        </w:rPr>
        <w:t> del fondo común del Régimen Solidario de Prima Media con Prestación Definida</w:t>
      </w:r>
      <w:r w:rsidRPr="00751003">
        <w:rPr>
          <w:rFonts w:ascii="Arial" w:eastAsia="Times New Roman" w:hAnsi="Arial" w:cs="Arial"/>
          <w:iCs/>
          <w:szCs w:val="24"/>
          <w:lang w:eastAsia="es-ES"/>
        </w:rPr>
        <w:t>, que se produciría si se permitiera que las personas que no han contribuido al </w:t>
      </w:r>
      <w:r w:rsidRPr="00751003">
        <w:rPr>
          <w:rFonts w:ascii="Arial" w:eastAsia="Times New Roman" w:hAnsi="Arial" w:cs="Arial"/>
          <w:i/>
          <w:iCs/>
          <w:szCs w:val="24"/>
          <w:lang w:eastAsia="es-ES"/>
        </w:rPr>
        <w:t>fondo común</w:t>
      </w:r>
      <w:r w:rsidRPr="00751003">
        <w:rPr>
          <w:rFonts w:ascii="Arial" w:eastAsia="Times New Roman" w:hAnsi="Arial" w:cs="Arial"/>
          <w:iCs/>
          <w:szCs w:val="24"/>
          <w:lang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751003">
        <w:rPr>
          <w:rFonts w:ascii="Arial" w:eastAsia="Times New Roman" w:hAnsi="Arial" w:cs="Arial"/>
          <w:b/>
          <w:iCs/>
          <w:szCs w:val="24"/>
          <w:lang w:eastAsia="es-ES"/>
        </w:rPr>
        <w:t>a poner en riesgo la garantía del derecho irrenunciable a la pensión del resto de cotizantes</w:t>
      </w:r>
      <w:r w:rsidRPr="00751003">
        <w:rPr>
          <w:rFonts w:ascii="Arial" w:eastAsia="Times New Roman" w:hAnsi="Arial" w:cs="Arial"/>
          <w:iCs/>
          <w:szCs w:val="24"/>
          <w:lang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751003">
        <w:rPr>
          <w:rFonts w:ascii="Arial" w:eastAsia="Times New Roman" w:hAnsi="Arial" w:cs="Arial"/>
          <w:b/>
          <w:iCs/>
          <w:szCs w:val="24"/>
          <w:lang w:eastAsia="es-ES"/>
        </w:rPr>
        <w:t>podría llegar a poner en riesgo la garantía del derecho pensional para los actuales y futuros pensionados</w:t>
      </w:r>
      <w:r w:rsidRPr="00751003">
        <w:rPr>
          <w:rFonts w:ascii="Arial" w:eastAsia="Times New Roman" w:hAnsi="Arial" w:cs="Arial"/>
          <w:iCs/>
          <w:szCs w:val="24"/>
          <w:lang w:eastAsia="es-ES"/>
        </w:rPr>
        <w:t>.</w:t>
      </w:r>
    </w:p>
    <w:p w14:paraId="2C21BFE1" w14:textId="77777777" w:rsidR="00BC0519" w:rsidRPr="00751003" w:rsidRDefault="00BC0519" w:rsidP="00BC0519">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 </w:t>
      </w:r>
    </w:p>
    <w:p w14:paraId="25CAE691" w14:textId="77777777" w:rsidR="00BC0519" w:rsidRPr="00751003" w:rsidRDefault="00BC0519" w:rsidP="00BC0519">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14:paraId="73FC1B9E" w14:textId="77777777" w:rsidR="00BC0519" w:rsidRPr="00751003" w:rsidRDefault="00BC0519" w:rsidP="00BC0519">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 </w:t>
      </w:r>
    </w:p>
    <w:p w14:paraId="29BC7F86" w14:textId="77777777" w:rsidR="00BC0519" w:rsidRPr="00751003" w:rsidRDefault="00BC0519" w:rsidP="00BC0519">
      <w:pPr>
        <w:suppressAutoHyphens/>
        <w:spacing w:after="0" w:line="240" w:lineRule="auto"/>
        <w:ind w:left="426" w:right="420"/>
        <w:jc w:val="both"/>
        <w:rPr>
          <w:rFonts w:ascii="Arial" w:eastAsia="Times New Roman" w:hAnsi="Arial" w:cs="Arial"/>
          <w:b/>
          <w:iCs/>
          <w:szCs w:val="24"/>
          <w:lang w:eastAsia="es-ES"/>
        </w:rPr>
      </w:pPr>
      <w:r w:rsidRPr="00751003">
        <w:rPr>
          <w:rFonts w:ascii="Arial" w:eastAsia="Times New Roman" w:hAnsi="Arial" w:cs="Arial"/>
          <w:iCs/>
          <w:szCs w:val="24"/>
          <w:lang w:eastAsia="es-ES"/>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sidRPr="00751003">
        <w:rPr>
          <w:rFonts w:ascii="Arial" w:eastAsia="Times New Roman" w:hAnsi="Arial" w:cs="Arial"/>
          <w:b/>
          <w:iCs/>
          <w:szCs w:val="24"/>
          <w:lang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751003">
        <w:rPr>
          <w:rFonts w:ascii="Arial" w:eastAsia="Times New Roman" w:hAnsi="Arial" w:cs="Arial"/>
          <w:iCs/>
          <w:szCs w:val="24"/>
          <w:lang w:eastAsia="es-ES"/>
        </w:rPr>
        <w:t>, cuyo propósito consiste en: </w:t>
      </w:r>
      <w:r w:rsidRPr="00751003">
        <w:rPr>
          <w:rFonts w:ascii="Arial" w:eastAsia="Times New Roman" w:hAnsi="Arial" w:cs="Arial"/>
          <w:i/>
          <w:iCs/>
          <w:szCs w:val="24"/>
          <w:lang w:eastAsia="es-ES"/>
        </w:rPr>
        <w:t>´obtener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oportuno y al reajuste periódico de las pensiones legales’, en los términos previstos en el artículo 53 del Texto Superior´</w:t>
      </w:r>
      <w:r w:rsidRPr="00751003">
        <w:rPr>
          <w:rFonts w:ascii="Arial" w:eastAsia="Times New Roman" w:hAnsi="Arial" w:cs="Arial"/>
          <w:iCs/>
          <w:szCs w:val="24"/>
          <w:lang w:eastAsia="es-ES"/>
        </w:rPr>
        <w:t>.”</w:t>
      </w:r>
      <w:r w:rsidRPr="00751003">
        <w:rPr>
          <w:rFonts w:ascii="Arial" w:eastAsia="Times New Roman" w:hAnsi="Arial" w:cs="Arial"/>
          <w:b/>
          <w:iCs/>
          <w:szCs w:val="24"/>
          <w:lang w:eastAsia="es-ES"/>
        </w:rPr>
        <w:t> </w:t>
      </w:r>
    </w:p>
    <w:p w14:paraId="3F750CB9" w14:textId="77777777" w:rsidR="00BC0519" w:rsidRPr="00751003" w:rsidRDefault="00BC0519" w:rsidP="00BC0519">
      <w:pPr>
        <w:suppressAutoHyphens/>
        <w:spacing w:after="0"/>
        <w:jc w:val="both"/>
        <w:rPr>
          <w:rFonts w:ascii="Arial" w:eastAsia="Times New Roman" w:hAnsi="Arial" w:cs="Arial"/>
          <w:b/>
          <w:iCs/>
          <w:sz w:val="24"/>
          <w:szCs w:val="24"/>
          <w:lang w:val="es-ES_tradnl" w:eastAsia="es-ES"/>
        </w:rPr>
      </w:pPr>
    </w:p>
    <w:p w14:paraId="0875F545" w14:textId="77777777" w:rsidR="00BC0519" w:rsidRPr="00751003" w:rsidRDefault="00BC0519" w:rsidP="00BC0519">
      <w:pPr>
        <w:suppressAutoHyphens/>
        <w:spacing w:after="0"/>
        <w:jc w:val="both"/>
        <w:rPr>
          <w:rFonts w:ascii="Arial" w:eastAsia="Times New Roman" w:hAnsi="Arial" w:cs="Arial"/>
          <w:b/>
          <w:iCs/>
          <w:sz w:val="24"/>
          <w:szCs w:val="24"/>
          <w:lang w:eastAsia="es-ES"/>
        </w:rPr>
      </w:pPr>
      <w:r w:rsidRPr="00751003">
        <w:rPr>
          <w:rFonts w:ascii="Arial" w:eastAsia="Times New Roman" w:hAnsi="Arial" w:cs="Arial"/>
          <w:iCs/>
          <w:sz w:val="24"/>
          <w:szCs w:val="24"/>
          <w:lang w:val="es-ES_tradnl" w:eastAsia="es-ES"/>
        </w:rPr>
        <w:lastRenderedPageBreak/>
        <w:t xml:space="preserve">Permitir entonces, la declaración de ineficacia de traslados de personas que han estado largos años en el RAIS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-dada esa circunstancia- </w:t>
      </w:r>
      <w:r w:rsidRPr="00751003">
        <w:rPr>
          <w:rFonts w:ascii="Arial" w:eastAsia="Times New Roman" w:hAnsi="Arial" w:cs="Arial"/>
          <w:b/>
          <w:iCs/>
          <w:sz w:val="24"/>
          <w:szCs w:val="24"/>
          <w:lang w:eastAsia="es-ES"/>
        </w:rPr>
        <w:t>puede llegar a poner en riesgo la garantía del derecho pensional para los actuales y futuros pensionados que si lo hicieron.</w:t>
      </w:r>
    </w:p>
    <w:p w14:paraId="304F064C" w14:textId="77777777" w:rsidR="00BC0519" w:rsidRPr="00751003" w:rsidRDefault="00BC0519" w:rsidP="00BC0519">
      <w:pPr>
        <w:suppressAutoHyphens/>
        <w:spacing w:after="0"/>
        <w:jc w:val="both"/>
        <w:rPr>
          <w:rFonts w:ascii="Arial" w:eastAsia="Times New Roman" w:hAnsi="Arial" w:cs="Arial"/>
          <w:b/>
          <w:iCs/>
          <w:sz w:val="24"/>
          <w:szCs w:val="24"/>
          <w:lang w:eastAsia="es-ES"/>
        </w:rPr>
      </w:pPr>
    </w:p>
    <w:p w14:paraId="62B16E38" w14:textId="77777777" w:rsidR="00BC0519" w:rsidRPr="00751003" w:rsidRDefault="00BC0519" w:rsidP="00BC0519">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b/>
          <w:iCs/>
          <w:sz w:val="24"/>
          <w:szCs w:val="24"/>
          <w:lang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sidRPr="00751003">
        <w:rPr>
          <w:rFonts w:ascii="Arial" w:eastAsia="Times New Roman" w:hAnsi="Arial" w:cs="Arial"/>
          <w:iCs/>
          <w:sz w:val="24"/>
          <w:szCs w:val="24"/>
          <w:lang w:eastAsia="es-ES"/>
        </w:rPr>
        <w:t>. Y se afirma lo anterior porque la ineficacia a diferencia de la nulidad no tiene un tiempo que otorgue firmeza jurídica al acto, entonces bajo su amparo, el interesado, cuando ya potencialmente ha estado cobijado durante largos años por los beneficios del RAIS, a última hora, con pleno conocimiento de que su pensión en el RPM resulta de mayor cuantía, busca su retorno a este sistema en el que poco colaboró con sus aportes oportunos. Y se afirma que ese afiliado estuvo potencialmente cobijado por los beneficios del RAIS por cuanto no puede olvidarse que</w:t>
      </w:r>
      <w:r w:rsidRPr="00751003">
        <w:rPr>
          <w:rFonts w:ascii="Arial" w:eastAsia="Times New Roman" w:hAnsi="Arial" w:cs="Arial"/>
          <w:iCs/>
          <w:sz w:val="24"/>
          <w:szCs w:val="24"/>
          <w:lang w:val="es-ES_tradnl" w:eastAsia="es-ES"/>
        </w:rPr>
        <w:t xml:space="preserve"> estuvo amparado por la garantía de pensión mínima 150 semanas antes que en el RPM, pues mientras en este ocurre a las 1300 semanas en aquel sucede a las 1150 semanas; no tuvo el límite del 80% del IBL como tope de su pensión; 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sidRPr="00751003">
        <w:rPr>
          <w:rFonts w:ascii="Arial" w:eastAsia="Times New Roman" w:hAnsi="Arial" w:cs="Arial"/>
          <w:iCs/>
          <w:sz w:val="24"/>
          <w:szCs w:val="24"/>
          <w:lang w:val="es-ES_tradnl" w:eastAsia="es-ES"/>
        </w:rPr>
        <w:t>sucesoral</w:t>
      </w:r>
      <w:proofErr w:type="spellEnd"/>
      <w:r w:rsidRPr="00751003">
        <w:rPr>
          <w:rFonts w:ascii="Arial" w:eastAsia="Times New Roman" w:hAnsi="Arial" w:cs="Arial"/>
          <w:iCs/>
          <w:sz w:val="24"/>
          <w:szCs w:val="24"/>
          <w:lang w:val="es-ES_tradnl" w:eastAsia="es-ES"/>
        </w:rPr>
        <w:t>, etc..</w:t>
      </w:r>
    </w:p>
    <w:p w14:paraId="4BDE47AA" w14:textId="77777777" w:rsidR="00BC0519" w:rsidRPr="00751003" w:rsidRDefault="00BC0519" w:rsidP="00BC0519">
      <w:pPr>
        <w:suppressAutoHyphens/>
        <w:spacing w:after="0"/>
        <w:jc w:val="both"/>
        <w:rPr>
          <w:rFonts w:ascii="Arial" w:eastAsia="Times New Roman" w:hAnsi="Arial" w:cs="Arial"/>
          <w:sz w:val="24"/>
          <w:szCs w:val="24"/>
          <w:lang w:val="es-ES_tradnl" w:eastAsia="es-ES"/>
        </w:rPr>
      </w:pPr>
    </w:p>
    <w:p w14:paraId="29701F1F" w14:textId="77777777" w:rsidR="00BC0519" w:rsidRPr="00751003" w:rsidRDefault="00BC0519" w:rsidP="00BC0519">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EN NUESTRO SISTEMA JURÍDICO ¿QUIEN ES LA PERSONA LLAMADA A RESPONDER POR LOS DAÑOS ANTIJURÍDICOS QUE CAUSE CON SU PROCEDER?</w:t>
      </w:r>
    </w:p>
    <w:p w14:paraId="4D66C459" w14:textId="77777777" w:rsidR="00BC0519" w:rsidRPr="00751003" w:rsidRDefault="00BC0519" w:rsidP="00BC0519">
      <w:pPr>
        <w:suppressAutoHyphens/>
        <w:spacing w:after="0"/>
        <w:jc w:val="both"/>
        <w:rPr>
          <w:rFonts w:ascii="Arial" w:eastAsia="Times New Roman" w:hAnsi="Arial" w:cs="Arial"/>
          <w:sz w:val="24"/>
          <w:szCs w:val="24"/>
          <w:lang w:val="es-ES_tradnl" w:eastAsia="es-ES"/>
        </w:rPr>
      </w:pPr>
    </w:p>
    <w:p w14:paraId="7A876D3C" w14:textId="77777777" w:rsidR="00BC0519" w:rsidRPr="00751003" w:rsidRDefault="00BC0519" w:rsidP="00BC0519">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pago de unas mesadas en cuantía superior a la que el capital existente permite otorgar, es a COLPENSIONES, con grave detrimento de los legítimos intereses de todas las personas que fielmente han permanecido en el RPM, dada la descapitalización del fondo por el otorgamiento de pensiones sin el soporte financiero necesario. Situación que en últimas afecta gravemente el presupuesto nacional, pues como lo dispone el artículo 48 constitucional con las modificaciones que le introdujo el acto legislativo 01 </w:t>
      </w:r>
      <w:r w:rsidRPr="00751003">
        <w:rPr>
          <w:rFonts w:ascii="Arial" w:eastAsia="Times New Roman" w:hAnsi="Arial" w:cs="Arial"/>
          <w:sz w:val="24"/>
          <w:szCs w:val="24"/>
          <w:lang w:val="es-ES_tradnl" w:eastAsia="es-ES"/>
        </w:rPr>
        <w:lastRenderedPageBreak/>
        <w:t>de 2005, la nación es garante del pago de las obligaciones pensionales a cargo de Colpensiones.</w:t>
      </w:r>
    </w:p>
    <w:p w14:paraId="38768E02" w14:textId="77777777" w:rsidR="00BC0519" w:rsidRPr="00751003" w:rsidRDefault="00BC0519" w:rsidP="00BC0519">
      <w:pPr>
        <w:suppressAutoHyphens/>
        <w:spacing w:after="0"/>
        <w:jc w:val="both"/>
        <w:rPr>
          <w:rFonts w:ascii="Arial" w:eastAsia="Times New Roman" w:hAnsi="Arial" w:cs="Arial"/>
          <w:sz w:val="24"/>
          <w:szCs w:val="24"/>
          <w:lang w:val="es-ES_tradnl" w:eastAsia="es-ES"/>
        </w:rPr>
      </w:pPr>
    </w:p>
    <w:p w14:paraId="3732BC44" w14:textId="77777777" w:rsidR="00BC0519" w:rsidRPr="00751003" w:rsidRDefault="00BC0519" w:rsidP="00BC0519">
      <w:pPr>
        <w:suppressAutoHyphens/>
        <w:spacing w:after="0"/>
        <w:jc w:val="both"/>
        <w:rPr>
          <w:rFonts w:ascii="Arial" w:eastAsia="Times New Roman" w:hAnsi="Arial" w:cs="Arial"/>
          <w:i/>
          <w:sz w:val="24"/>
          <w:szCs w:val="24"/>
          <w:lang w:val="es-ES_tradnl" w:eastAsia="es-ES"/>
        </w:rPr>
      </w:pPr>
      <w:r w:rsidRPr="00751003">
        <w:rPr>
          <w:rFonts w:ascii="Arial" w:eastAsia="Times New Roman" w:hAnsi="Arial" w:cs="Arial"/>
          <w:sz w:val="24"/>
          <w:szCs w:val="24"/>
          <w:lang w:val="es-ES_tradnl" w:eastAsia="es-ES"/>
        </w:rPr>
        <w:t>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dispone que “</w:t>
      </w:r>
      <w:r w:rsidRPr="00751003">
        <w:rPr>
          <w:rFonts w:ascii="Arial" w:eastAsia="Times New Roman" w:hAnsi="Arial" w:cs="Arial"/>
          <w:i/>
          <w:szCs w:val="24"/>
          <w:lang w:val="es-ES_tradnl" w:eastAsia="es-ES"/>
        </w:rPr>
        <w:t>el Estado únicamente responderá patrimonialmente por los daños antijurídicos que le sean imputables, causado por la acción o la omisión de las autoridades públicas</w:t>
      </w:r>
      <w:r w:rsidRPr="00751003">
        <w:rPr>
          <w:rFonts w:ascii="Arial" w:eastAsia="Times New Roman" w:hAnsi="Arial" w:cs="Arial"/>
          <w:i/>
          <w:sz w:val="24"/>
          <w:szCs w:val="24"/>
          <w:lang w:val="es-ES_tradnl" w:eastAsia="es-ES"/>
        </w:rPr>
        <w:t>”.</w:t>
      </w:r>
    </w:p>
    <w:p w14:paraId="306D58DE" w14:textId="77777777" w:rsidR="00BC0519" w:rsidRPr="00751003" w:rsidRDefault="00BC0519" w:rsidP="00BC0519">
      <w:pPr>
        <w:suppressAutoHyphens/>
        <w:spacing w:after="0"/>
        <w:jc w:val="both"/>
        <w:rPr>
          <w:rFonts w:ascii="Arial" w:eastAsia="Times New Roman" w:hAnsi="Arial" w:cs="Arial"/>
          <w:sz w:val="24"/>
          <w:szCs w:val="24"/>
          <w:lang w:val="es-ES_tradnl" w:eastAsia="es-ES"/>
        </w:rPr>
      </w:pPr>
    </w:p>
    <w:p w14:paraId="6DF70028" w14:textId="77777777" w:rsidR="00BC0519" w:rsidRPr="00751003" w:rsidRDefault="00BC0519" w:rsidP="00BC0519">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LAS NORMAS VIGENTES QUE REGULAN LAS CONDUCTAS IRREGULARES DE LAS ADMINISTRADORAS DE FONDOS DE PENSIONES POR LOS ERRORES U OMISIONES EN LA INFORMACIÓN QUE CAUSEN PERJUICIO A QUIENES AFILIEN.</w:t>
      </w:r>
    </w:p>
    <w:p w14:paraId="37CDF19F" w14:textId="77777777" w:rsidR="00BC0519" w:rsidRPr="00751003" w:rsidRDefault="00BC0519" w:rsidP="00BC0519">
      <w:pPr>
        <w:suppressAutoHyphens/>
        <w:spacing w:after="0"/>
        <w:jc w:val="both"/>
        <w:rPr>
          <w:rFonts w:ascii="Arial" w:eastAsia="Times New Roman" w:hAnsi="Arial" w:cs="Arial"/>
          <w:sz w:val="24"/>
          <w:szCs w:val="24"/>
          <w:lang w:val="es-ES_tradnl" w:eastAsia="es-ES"/>
        </w:rPr>
      </w:pPr>
    </w:p>
    <w:p w14:paraId="72BB3A99" w14:textId="77777777" w:rsidR="00BC0519" w:rsidRPr="00751003" w:rsidRDefault="00BC0519" w:rsidP="00BC0519">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 xml:space="preserve">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 </w:t>
      </w:r>
      <w:r w:rsidRPr="00751003">
        <w:rPr>
          <w:rFonts w:ascii="Arial" w:eastAsia="Times New Roman" w:hAnsi="Arial" w:cs="Arial"/>
          <w:sz w:val="24"/>
          <w:szCs w:val="24"/>
          <w:lang w:val="es-ES" w:eastAsia="es-ES"/>
        </w:rPr>
        <w:t xml:space="preserve"> </w:t>
      </w:r>
    </w:p>
    <w:p w14:paraId="13C3F79F" w14:textId="77777777" w:rsidR="00BC0519" w:rsidRPr="00751003" w:rsidRDefault="00BC0519" w:rsidP="00BC0519">
      <w:pPr>
        <w:suppressAutoHyphens/>
        <w:spacing w:after="0"/>
        <w:jc w:val="both"/>
        <w:rPr>
          <w:rFonts w:ascii="Arial" w:eastAsia="Times New Roman" w:hAnsi="Arial" w:cs="Arial"/>
          <w:sz w:val="24"/>
          <w:szCs w:val="24"/>
          <w:lang w:val="es-ES_tradnl" w:eastAsia="es-ES"/>
        </w:rPr>
      </w:pPr>
    </w:p>
    <w:p w14:paraId="5FFF41F0" w14:textId="77777777" w:rsidR="00BC0519" w:rsidRPr="00751003" w:rsidRDefault="00BC0519" w:rsidP="00BC0519">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Basta una lectura del decreto 720 de 1994 para concluir que es él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Vale la pena mencionar el texto del artículo 10 del decreto en cita. </w:t>
      </w:r>
    </w:p>
    <w:p w14:paraId="5E917059" w14:textId="77777777" w:rsidR="00BC0519" w:rsidRPr="00751003" w:rsidRDefault="00BC0519" w:rsidP="00BC0519">
      <w:pPr>
        <w:suppressAutoHyphens/>
        <w:spacing w:after="0"/>
        <w:jc w:val="both"/>
        <w:rPr>
          <w:rFonts w:ascii="Arial" w:eastAsia="Times New Roman" w:hAnsi="Arial" w:cs="Arial"/>
          <w:sz w:val="24"/>
          <w:szCs w:val="24"/>
          <w:lang w:val="es-ES_tradnl" w:eastAsia="es-ES"/>
        </w:rPr>
      </w:pPr>
    </w:p>
    <w:p w14:paraId="0C8FF036" w14:textId="77777777" w:rsidR="00BC0519" w:rsidRPr="00751003" w:rsidRDefault="00BC0519" w:rsidP="00BC0519">
      <w:pPr>
        <w:suppressAutoHyphens/>
        <w:spacing w:after="0" w:line="240" w:lineRule="auto"/>
        <w:ind w:left="426" w:right="420"/>
        <w:jc w:val="both"/>
        <w:rPr>
          <w:rFonts w:ascii="Arial" w:eastAsia="Times New Roman" w:hAnsi="Arial" w:cs="Arial"/>
          <w:szCs w:val="24"/>
          <w:lang w:val="es-ES_tradnl" w:eastAsia="es-ES"/>
        </w:rPr>
      </w:pPr>
      <w:r w:rsidRPr="00751003">
        <w:rPr>
          <w:rFonts w:ascii="Arial" w:eastAsia="Times New Roman" w:hAnsi="Arial" w:cs="Arial"/>
          <w:b/>
          <w:szCs w:val="24"/>
          <w:lang w:eastAsia="es-ES"/>
        </w:rPr>
        <w:t>“Artículo 10</w:t>
      </w:r>
      <w:r w:rsidRPr="00751003">
        <w:rPr>
          <w:rFonts w:ascii="Arial" w:eastAsia="Times New Roman" w:hAnsi="Arial" w:cs="Arial"/>
          <w:b/>
          <w:bCs/>
          <w:szCs w:val="24"/>
          <w:lang w:eastAsia="es-ES"/>
        </w:rPr>
        <w:t>.</w:t>
      </w:r>
      <w:r w:rsidRPr="00751003">
        <w:rPr>
          <w:rFonts w:ascii="Arial" w:eastAsia="Times New Roman" w:hAnsi="Arial" w:cs="Arial"/>
          <w:b/>
          <w:szCs w:val="24"/>
          <w:lang w:eastAsia="es-ES"/>
        </w:rPr>
        <w:t xml:space="preserve"> RESPONSABILIDAD DE LOS PROMOTORES. </w:t>
      </w:r>
      <w:r w:rsidRPr="00751003">
        <w:rPr>
          <w:rFonts w:ascii="Arial" w:eastAsia="Times New Roman" w:hAnsi="Arial" w:cs="Arial"/>
          <w:b/>
          <w:szCs w:val="24"/>
          <w:u w:val="single"/>
          <w:lang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sidRPr="00751003">
        <w:rPr>
          <w:rFonts w:ascii="Arial" w:eastAsia="Times New Roman" w:hAnsi="Arial" w:cs="Arial"/>
          <w:b/>
          <w:szCs w:val="24"/>
          <w:lang w:eastAsia="es-ES"/>
        </w:rPr>
        <w:t xml:space="preserve"> sin perjuicio de la responsabilidad de los promotores frente a la correspondiente sociedad administradora del sistema general de pensiones.”</w:t>
      </w:r>
      <w:r w:rsidRPr="00751003">
        <w:rPr>
          <w:rFonts w:ascii="Arial" w:eastAsia="Times New Roman" w:hAnsi="Arial" w:cs="Arial"/>
          <w:szCs w:val="24"/>
          <w:lang w:eastAsia="es-ES"/>
        </w:rPr>
        <w:t xml:space="preserve"> (Negrillas y subrayas fuera del texto)</w:t>
      </w:r>
    </w:p>
    <w:p w14:paraId="08FEEDFC" w14:textId="77777777" w:rsidR="00BC0519" w:rsidRPr="00751003" w:rsidRDefault="00BC0519" w:rsidP="00BC0519">
      <w:pPr>
        <w:suppressAutoHyphens/>
        <w:spacing w:after="0"/>
        <w:jc w:val="both"/>
        <w:rPr>
          <w:rFonts w:ascii="Arial" w:eastAsia="Times New Roman" w:hAnsi="Arial" w:cs="Arial"/>
          <w:sz w:val="24"/>
          <w:szCs w:val="24"/>
          <w:lang w:val="es-ES_tradnl" w:eastAsia="es-ES"/>
        </w:rPr>
      </w:pPr>
    </w:p>
    <w:p w14:paraId="36FC9006" w14:textId="77777777" w:rsidR="00BC0519" w:rsidRPr="00751003" w:rsidRDefault="00BC0519" w:rsidP="00BC0519">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La norma no me deja duda alguna de que los errores u omisiones en la información que dieron las AFP pudieron causar daños a los afiliados que decidieron trasladarse, pero que la consecuencia jurídica de esas equivocaciones no corresponde trasladarla a Colpensiones, pues es claro el texto en determinar que la responsabilidad que se compromete es la de la AFP privada. </w:t>
      </w:r>
    </w:p>
    <w:p w14:paraId="122E07DB" w14:textId="77777777" w:rsidR="00BC0519" w:rsidRPr="00751003" w:rsidRDefault="00BC0519" w:rsidP="00BC0519">
      <w:pPr>
        <w:suppressAutoHyphens/>
        <w:spacing w:after="0"/>
        <w:jc w:val="both"/>
        <w:rPr>
          <w:rFonts w:ascii="Arial" w:eastAsia="Times New Roman" w:hAnsi="Arial" w:cs="Arial"/>
          <w:sz w:val="24"/>
          <w:szCs w:val="24"/>
          <w:lang w:val="es-ES_tradnl" w:eastAsia="es-ES"/>
        </w:rPr>
      </w:pPr>
    </w:p>
    <w:p w14:paraId="0AF00F97" w14:textId="77777777" w:rsidR="00BC0519" w:rsidRPr="00751003" w:rsidRDefault="00BC0519" w:rsidP="00BC0519">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Es bueno hacer notar que se argumenta en ocasiones que Colpensiones no sufre daño con la declaración de ineficacia porque se le devuelve todo el dinero en cuenta de ahorro individual, sin percatarse quienes así discurren que los mismos hechos de </w:t>
      </w:r>
      <w:r w:rsidRPr="00751003">
        <w:rPr>
          <w:rFonts w:ascii="Arial" w:eastAsia="Times New Roman" w:hAnsi="Arial" w:cs="Arial"/>
          <w:sz w:val="24"/>
          <w:szCs w:val="24"/>
          <w:lang w:val="es-ES_tradnl" w:eastAsia="es-ES"/>
        </w:rPr>
        <w:lastRenderedPageBreak/>
        <w:t xml:space="preserve">múltiples demandas dan cuenta que con ese capital no es posible sino pagar pensiones de determinada suma de dinero, misma que precisamente se espera que por el traslado y sin soporte financiero alguno Colpensiones duplique o triplique. Siendo a veces tan aberrante la situación que, trasladado el capital a Colpensiones, este, prácticamente sirve solo para pagar el retroactivo pensional que la concesión de la pensión genera. </w:t>
      </w:r>
    </w:p>
    <w:p w14:paraId="3692BBB8" w14:textId="77777777" w:rsidR="00BC0519" w:rsidRPr="00751003" w:rsidRDefault="00BC0519" w:rsidP="00BC0519">
      <w:pPr>
        <w:suppressAutoHyphens/>
        <w:spacing w:after="0"/>
        <w:jc w:val="both"/>
        <w:rPr>
          <w:rFonts w:ascii="Arial" w:eastAsia="Times New Roman" w:hAnsi="Arial" w:cs="Arial"/>
          <w:sz w:val="24"/>
          <w:szCs w:val="24"/>
          <w:lang w:val="es-ES_tradnl" w:eastAsia="es-ES"/>
        </w:rPr>
      </w:pPr>
    </w:p>
    <w:p w14:paraId="36384D99" w14:textId="77777777" w:rsidR="00BC0519" w:rsidRPr="00751003" w:rsidRDefault="00BC0519" w:rsidP="00BC0519">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Para concluir debo decir que este desarrollo argumentativo no implica que las personas que sientan que fueron afectadas por falta de la debida información carezcan de acción en orden a defender sus derechos dentro del sistema general de pensiones por las conductas de los promotores de las AFP privadas, sino que se trata de otra acción con unas consecuencias jurídicas diferentes a las que se llega por el camino de la ineficacia utilizada por la mayoría de los integrantes de la Sala de Casación Laboral.</w:t>
      </w:r>
    </w:p>
    <w:p w14:paraId="2905B290" w14:textId="77777777" w:rsidR="00BC0519" w:rsidRPr="00751003" w:rsidRDefault="00BC0519" w:rsidP="00BC0519">
      <w:pPr>
        <w:suppressAutoHyphens/>
        <w:spacing w:after="0"/>
        <w:jc w:val="both"/>
        <w:rPr>
          <w:rFonts w:ascii="Arial" w:eastAsia="Times New Roman" w:hAnsi="Arial" w:cs="Arial"/>
          <w:sz w:val="24"/>
          <w:szCs w:val="24"/>
          <w:lang w:val="es-ES_tradnl" w:eastAsia="es-ES"/>
        </w:rPr>
      </w:pPr>
    </w:p>
    <w:p w14:paraId="5A9FF8D5" w14:textId="77777777" w:rsidR="00BC0519" w:rsidRPr="00751003" w:rsidRDefault="00BC0519" w:rsidP="00BC0519">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El anterior es mi sentir jurídico en estos casos, pero itero, me corresponde acatar el exhorto hecho por la Sala de Casación y por eso suscribí la sentencia.</w:t>
      </w:r>
    </w:p>
    <w:p w14:paraId="4619D7E6" w14:textId="77777777" w:rsidR="00BC0519" w:rsidRPr="00751003" w:rsidRDefault="00BC0519" w:rsidP="00BC0519">
      <w:pPr>
        <w:suppressAutoHyphens/>
        <w:spacing w:after="0"/>
        <w:jc w:val="both"/>
        <w:rPr>
          <w:rFonts w:ascii="Arial" w:eastAsia="Times New Roman" w:hAnsi="Arial" w:cs="Arial"/>
          <w:sz w:val="24"/>
          <w:szCs w:val="24"/>
          <w:lang w:val="es-ES_tradnl" w:eastAsia="es-ES"/>
        </w:rPr>
      </w:pPr>
    </w:p>
    <w:p w14:paraId="687C6832" w14:textId="77777777" w:rsidR="00BC0519" w:rsidRPr="00751003" w:rsidRDefault="00BC0519" w:rsidP="00BC0519">
      <w:pPr>
        <w:spacing w:after="0"/>
        <w:jc w:val="both"/>
        <w:rPr>
          <w:rFonts w:ascii="Arial" w:eastAsia="Times New Roman" w:hAnsi="Arial" w:cs="Arial"/>
          <w:sz w:val="24"/>
          <w:szCs w:val="24"/>
          <w:lang w:eastAsia="es-ES"/>
        </w:rPr>
      </w:pPr>
      <w:r w:rsidRPr="00751003">
        <w:rPr>
          <w:rFonts w:ascii="Arial" w:eastAsia="Times New Roman" w:hAnsi="Arial" w:cs="Arial"/>
          <w:sz w:val="24"/>
          <w:szCs w:val="24"/>
          <w:lang w:eastAsia="es-ES"/>
        </w:rPr>
        <w:t>Dejo así aclarado mi voto.</w:t>
      </w:r>
    </w:p>
    <w:p w14:paraId="07B6379C" w14:textId="77777777" w:rsidR="00BC0519" w:rsidRPr="00751003" w:rsidRDefault="00BC0519" w:rsidP="00BC0519">
      <w:pPr>
        <w:spacing w:after="0"/>
        <w:jc w:val="both"/>
        <w:rPr>
          <w:rFonts w:ascii="Arial" w:hAnsi="Arial" w:cs="Arial"/>
          <w:sz w:val="24"/>
          <w:szCs w:val="24"/>
        </w:rPr>
      </w:pPr>
    </w:p>
    <w:p w14:paraId="74800F4B" w14:textId="77777777" w:rsidR="00BC0519" w:rsidRPr="00751003" w:rsidRDefault="00BC0519" w:rsidP="00BC0519">
      <w:pPr>
        <w:spacing w:after="0"/>
        <w:jc w:val="both"/>
        <w:rPr>
          <w:rFonts w:ascii="Arial" w:eastAsia="Times New Roman" w:hAnsi="Arial" w:cs="Arial"/>
          <w:sz w:val="24"/>
          <w:szCs w:val="24"/>
        </w:rPr>
      </w:pPr>
    </w:p>
    <w:p w14:paraId="6FD7B637" w14:textId="77777777" w:rsidR="00BC0519" w:rsidRPr="00751003" w:rsidRDefault="00BC0519" w:rsidP="00BC0519">
      <w:pPr>
        <w:spacing w:after="0"/>
        <w:jc w:val="both"/>
        <w:rPr>
          <w:rFonts w:ascii="Arial" w:eastAsia="Times New Roman" w:hAnsi="Arial" w:cs="Arial"/>
          <w:sz w:val="24"/>
          <w:szCs w:val="24"/>
        </w:rPr>
      </w:pPr>
    </w:p>
    <w:p w14:paraId="4176537E" w14:textId="77777777" w:rsidR="00BC0519" w:rsidRPr="00751003" w:rsidRDefault="00BC0519" w:rsidP="00BC0519">
      <w:pPr>
        <w:spacing w:after="0"/>
        <w:jc w:val="both"/>
        <w:rPr>
          <w:rFonts w:ascii="Arial" w:eastAsia="Times New Roman" w:hAnsi="Arial" w:cs="Arial"/>
          <w:sz w:val="24"/>
          <w:szCs w:val="24"/>
        </w:rPr>
      </w:pPr>
    </w:p>
    <w:p w14:paraId="736DD7D2" w14:textId="77777777" w:rsidR="00BC0519" w:rsidRPr="00751003" w:rsidRDefault="00BC0519" w:rsidP="00BC0519">
      <w:pPr>
        <w:widowControl w:val="0"/>
        <w:autoSpaceDE w:val="0"/>
        <w:autoSpaceDN w:val="0"/>
        <w:adjustRightInd w:val="0"/>
        <w:spacing w:after="0"/>
        <w:jc w:val="center"/>
        <w:rPr>
          <w:rFonts w:ascii="Arial" w:eastAsia="Times New Roman" w:hAnsi="Arial" w:cs="Arial"/>
          <w:b/>
          <w:sz w:val="24"/>
          <w:szCs w:val="24"/>
        </w:rPr>
      </w:pPr>
      <w:r w:rsidRPr="00751003">
        <w:rPr>
          <w:rFonts w:ascii="Arial" w:eastAsia="Times New Roman" w:hAnsi="Arial" w:cs="Arial"/>
          <w:b/>
          <w:sz w:val="24"/>
          <w:szCs w:val="24"/>
        </w:rPr>
        <w:t>JULIO CÉSAR SALAZAR MUÑOZ</w:t>
      </w:r>
    </w:p>
    <w:p w14:paraId="426BC030" w14:textId="33F0D30A" w:rsidR="00F64486" w:rsidRPr="00BC0519" w:rsidRDefault="00BC0519" w:rsidP="00BC0519">
      <w:pPr>
        <w:widowControl w:val="0"/>
        <w:autoSpaceDE w:val="0"/>
        <w:autoSpaceDN w:val="0"/>
        <w:adjustRightInd w:val="0"/>
        <w:spacing w:after="0"/>
        <w:jc w:val="center"/>
        <w:rPr>
          <w:rFonts w:ascii="Arial" w:eastAsia="Times New Roman" w:hAnsi="Arial" w:cs="Arial"/>
          <w:sz w:val="24"/>
          <w:szCs w:val="24"/>
        </w:rPr>
      </w:pPr>
      <w:r w:rsidRPr="00751003">
        <w:rPr>
          <w:rFonts w:ascii="Arial" w:eastAsia="Times New Roman" w:hAnsi="Arial" w:cs="Arial"/>
          <w:sz w:val="24"/>
          <w:szCs w:val="24"/>
        </w:rPr>
        <w:t>Magistrado</w:t>
      </w:r>
    </w:p>
    <w:sectPr w:rsidR="00F64486" w:rsidRPr="00BC0519" w:rsidSect="00BC0519">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18DAC7" w14:textId="77777777" w:rsidR="0038240F" w:rsidRDefault="0038240F" w:rsidP="006E44BA">
      <w:pPr>
        <w:spacing w:after="0" w:line="240" w:lineRule="auto"/>
      </w:pPr>
      <w:r>
        <w:separator/>
      </w:r>
    </w:p>
  </w:endnote>
  <w:endnote w:type="continuationSeparator" w:id="0">
    <w:p w14:paraId="7BCC6FD6" w14:textId="77777777" w:rsidR="0038240F" w:rsidRDefault="0038240F" w:rsidP="006E4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69775" w14:textId="0DCD63A5" w:rsidR="00CE469D" w:rsidRPr="00BC0519" w:rsidRDefault="00CE469D" w:rsidP="00BC0519">
    <w:pPr>
      <w:tabs>
        <w:tab w:val="center" w:pos="4419"/>
        <w:tab w:val="right" w:pos="8838"/>
      </w:tabs>
      <w:spacing w:after="0" w:line="240" w:lineRule="auto"/>
      <w:jc w:val="right"/>
      <w:rPr>
        <w:rFonts w:ascii="Arial" w:hAnsi="Arial" w:cs="Arial"/>
        <w:sz w:val="18"/>
        <w:szCs w:val="16"/>
        <w:lang w:val="es-ES"/>
      </w:rPr>
    </w:pPr>
    <w:r w:rsidRPr="00BC0519">
      <w:rPr>
        <w:rFonts w:ascii="Arial" w:hAnsi="Arial" w:cs="Arial"/>
        <w:sz w:val="18"/>
        <w:szCs w:val="16"/>
        <w:lang w:val="es-ES"/>
      </w:rPr>
      <w:fldChar w:fldCharType="begin"/>
    </w:r>
    <w:r w:rsidRPr="00BC0519">
      <w:rPr>
        <w:rFonts w:ascii="Arial" w:hAnsi="Arial" w:cs="Arial"/>
        <w:sz w:val="18"/>
        <w:szCs w:val="16"/>
        <w:lang w:val="es-ES"/>
      </w:rPr>
      <w:instrText>PAGE   \* MERGEFORMAT</w:instrText>
    </w:r>
    <w:r w:rsidRPr="00BC0519">
      <w:rPr>
        <w:rFonts w:ascii="Arial" w:hAnsi="Arial" w:cs="Arial"/>
        <w:sz w:val="18"/>
        <w:szCs w:val="16"/>
        <w:lang w:val="es-ES"/>
      </w:rPr>
      <w:fldChar w:fldCharType="separate"/>
    </w:r>
    <w:r w:rsidR="00F64486" w:rsidRPr="00BC0519">
      <w:rPr>
        <w:rFonts w:ascii="Arial" w:hAnsi="Arial" w:cs="Arial"/>
        <w:sz w:val="18"/>
        <w:szCs w:val="16"/>
        <w:lang w:val="es-ES"/>
      </w:rPr>
      <w:t>12</w:t>
    </w:r>
    <w:r w:rsidRPr="00BC0519">
      <w:rPr>
        <w:rFonts w:ascii="Arial" w:hAnsi="Arial" w:cs="Arial"/>
        <w:sz w:val="18"/>
        <w:szCs w:val="16"/>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0091AD" w14:textId="77777777" w:rsidR="0038240F" w:rsidRDefault="0038240F" w:rsidP="006E44BA">
      <w:pPr>
        <w:spacing w:after="0" w:line="240" w:lineRule="auto"/>
      </w:pPr>
      <w:r>
        <w:separator/>
      </w:r>
    </w:p>
  </w:footnote>
  <w:footnote w:type="continuationSeparator" w:id="0">
    <w:p w14:paraId="4E2C7D27" w14:textId="77777777" w:rsidR="0038240F" w:rsidRDefault="0038240F" w:rsidP="006E4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6FD4F" w14:textId="77777777" w:rsidR="00BC0519" w:rsidRPr="00BC0519" w:rsidRDefault="52237203" w:rsidP="00BC0519">
    <w:pPr>
      <w:tabs>
        <w:tab w:val="center" w:pos="4419"/>
        <w:tab w:val="right" w:pos="8838"/>
      </w:tabs>
      <w:spacing w:after="0" w:line="240" w:lineRule="auto"/>
      <w:jc w:val="center"/>
      <w:rPr>
        <w:rFonts w:ascii="Arial" w:hAnsi="Arial" w:cs="Arial"/>
        <w:sz w:val="18"/>
        <w:szCs w:val="16"/>
        <w:lang w:val="es-ES"/>
      </w:rPr>
    </w:pPr>
    <w:r w:rsidRPr="00BC0519">
      <w:rPr>
        <w:rFonts w:ascii="Arial" w:hAnsi="Arial" w:cs="Arial"/>
        <w:sz w:val="18"/>
        <w:szCs w:val="16"/>
        <w:lang w:val="es-ES"/>
      </w:rPr>
      <w:t>Proceso Ordinario Laboral</w:t>
    </w:r>
  </w:p>
  <w:p w14:paraId="3DD671FC" w14:textId="03E08A08" w:rsidR="00425842" w:rsidRPr="00BC0519" w:rsidRDefault="00A132D7" w:rsidP="00BC0519">
    <w:pPr>
      <w:tabs>
        <w:tab w:val="center" w:pos="4419"/>
        <w:tab w:val="right" w:pos="8838"/>
      </w:tabs>
      <w:spacing w:after="0" w:line="240" w:lineRule="auto"/>
      <w:jc w:val="center"/>
      <w:rPr>
        <w:rFonts w:ascii="Arial" w:hAnsi="Arial" w:cs="Arial"/>
        <w:sz w:val="18"/>
        <w:szCs w:val="16"/>
      </w:rPr>
    </w:pPr>
    <w:r w:rsidRPr="00BC0519">
      <w:rPr>
        <w:rFonts w:ascii="Arial" w:hAnsi="Arial" w:cs="Arial"/>
        <w:sz w:val="18"/>
        <w:szCs w:val="16"/>
      </w:rPr>
      <w:t>Ana Leonor Preciado Nieto</w:t>
    </w:r>
    <w:r w:rsidR="52237203" w:rsidRPr="00BC0519">
      <w:rPr>
        <w:rFonts w:ascii="Arial" w:hAnsi="Arial" w:cs="Arial"/>
        <w:sz w:val="18"/>
        <w:szCs w:val="16"/>
      </w:rPr>
      <w:t xml:space="preserve"> VS Colpensiones y otro</w:t>
    </w:r>
  </w:p>
  <w:p w14:paraId="581C0F93" w14:textId="478E5CDC" w:rsidR="00BC0519" w:rsidRPr="00BC0519" w:rsidRDefault="00BC0519" w:rsidP="00BC0519">
    <w:pPr>
      <w:tabs>
        <w:tab w:val="center" w:pos="4419"/>
        <w:tab w:val="right" w:pos="8838"/>
      </w:tabs>
      <w:spacing w:after="0" w:line="240" w:lineRule="auto"/>
      <w:jc w:val="center"/>
      <w:rPr>
        <w:rFonts w:ascii="Arial" w:hAnsi="Arial" w:cs="Arial"/>
        <w:sz w:val="18"/>
        <w:szCs w:val="16"/>
        <w:lang w:val="es-ES"/>
      </w:rPr>
    </w:pPr>
    <w:r w:rsidRPr="00BC0519">
      <w:rPr>
        <w:rFonts w:ascii="Arial" w:hAnsi="Arial" w:cs="Arial"/>
        <w:sz w:val="18"/>
        <w:szCs w:val="16"/>
        <w:lang w:val="es-ES"/>
      </w:rPr>
      <w:t xml:space="preserve">Rad. </w:t>
    </w:r>
    <w:bookmarkStart w:id="3" w:name="_Hlk69724663"/>
    <w:bookmarkStart w:id="4" w:name="_Hlk69724532"/>
    <w:r w:rsidRPr="00BC0519">
      <w:rPr>
        <w:rFonts w:ascii="Arial" w:hAnsi="Arial" w:cs="Arial"/>
        <w:sz w:val="18"/>
        <w:szCs w:val="16"/>
      </w:rPr>
      <w:t>66001-31-05-002-2019-00360-0</w:t>
    </w:r>
    <w:bookmarkEnd w:id="3"/>
    <w:bookmarkEnd w:id="4"/>
    <w:r w:rsidRPr="00BC0519">
      <w:rPr>
        <w:rFonts w:ascii="Arial" w:hAnsi="Arial" w:cs="Arial"/>
        <w:sz w:val="18"/>
        <w:szCs w:val="16"/>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E3C781C"/>
    <w:multiLevelType w:val="hybridMultilevel"/>
    <w:tmpl w:val="C382CB5C"/>
    <w:lvl w:ilvl="0" w:tplc="EE8625D4">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301C5981"/>
    <w:multiLevelType w:val="hybridMultilevel"/>
    <w:tmpl w:val="F5625DB4"/>
    <w:lvl w:ilvl="0" w:tplc="6A8E4D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59B7EA3"/>
    <w:multiLevelType w:val="hybridMultilevel"/>
    <w:tmpl w:val="6CE889F4"/>
    <w:lvl w:ilvl="0" w:tplc="885EDD6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FBC288C"/>
    <w:multiLevelType w:val="multilevel"/>
    <w:tmpl w:val="73EEEE5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D06607C"/>
    <w:multiLevelType w:val="hybridMultilevel"/>
    <w:tmpl w:val="6212E00A"/>
    <w:lvl w:ilvl="0" w:tplc="0002898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4BA"/>
    <w:rsid w:val="00002114"/>
    <w:rsid w:val="00005840"/>
    <w:rsid w:val="0000625E"/>
    <w:rsid w:val="000139DC"/>
    <w:rsid w:val="00013FCB"/>
    <w:rsid w:val="0002126D"/>
    <w:rsid w:val="000214A3"/>
    <w:rsid w:val="00027F11"/>
    <w:rsid w:val="000303B6"/>
    <w:rsid w:val="000377AB"/>
    <w:rsid w:val="00041487"/>
    <w:rsid w:val="00042CDA"/>
    <w:rsid w:val="00043E42"/>
    <w:rsid w:val="0007347B"/>
    <w:rsid w:val="0008270B"/>
    <w:rsid w:val="00093210"/>
    <w:rsid w:val="000934BD"/>
    <w:rsid w:val="000A1EA7"/>
    <w:rsid w:val="000A40CA"/>
    <w:rsid w:val="000A50E2"/>
    <w:rsid w:val="000A7E5D"/>
    <w:rsid w:val="000B0026"/>
    <w:rsid w:val="000B7A8D"/>
    <w:rsid w:val="000C256F"/>
    <w:rsid w:val="000D5A0B"/>
    <w:rsid w:val="000D7B6E"/>
    <w:rsid w:val="000E0BD3"/>
    <w:rsid w:val="000E34AB"/>
    <w:rsid w:val="00101E1D"/>
    <w:rsid w:val="00105061"/>
    <w:rsid w:val="0010537B"/>
    <w:rsid w:val="001176FD"/>
    <w:rsid w:val="00122450"/>
    <w:rsid w:val="00125C59"/>
    <w:rsid w:val="0012681B"/>
    <w:rsid w:val="001273D5"/>
    <w:rsid w:val="00133676"/>
    <w:rsid w:val="00160990"/>
    <w:rsid w:val="001675CA"/>
    <w:rsid w:val="00184DCE"/>
    <w:rsid w:val="0019063C"/>
    <w:rsid w:val="00192C08"/>
    <w:rsid w:val="001935E1"/>
    <w:rsid w:val="001A2977"/>
    <w:rsid w:val="001A4800"/>
    <w:rsid w:val="001A577F"/>
    <w:rsid w:val="001B2478"/>
    <w:rsid w:val="001C7AF4"/>
    <w:rsid w:val="001E4966"/>
    <w:rsid w:val="001F1E2E"/>
    <w:rsid w:val="001F761A"/>
    <w:rsid w:val="00201C58"/>
    <w:rsid w:val="002022F7"/>
    <w:rsid w:val="00205E61"/>
    <w:rsid w:val="00212299"/>
    <w:rsid w:val="002222AF"/>
    <w:rsid w:val="00223644"/>
    <w:rsid w:val="00224CD1"/>
    <w:rsid w:val="002348E9"/>
    <w:rsid w:val="00235E80"/>
    <w:rsid w:val="002366D0"/>
    <w:rsid w:val="00237453"/>
    <w:rsid w:val="002507FF"/>
    <w:rsid w:val="00253A9C"/>
    <w:rsid w:val="00255850"/>
    <w:rsid w:val="002569D8"/>
    <w:rsid w:val="00257582"/>
    <w:rsid w:val="00261B7B"/>
    <w:rsid w:val="00261ECA"/>
    <w:rsid w:val="002867C2"/>
    <w:rsid w:val="00292222"/>
    <w:rsid w:val="002A1418"/>
    <w:rsid w:val="002A1EC7"/>
    <w:rsid w:val="002A24AC"/>
    <w:rsid w:val="002A2A2E"/>
    <w:rsid w:val="002A7EDF"/>
    <w:rsid w:val="002B0202"/>
    <w:rsid w:val="002B73CE"/>
    <w:rsid w:val="002C0B1D"/>
    <w:rsid w:val="002D2BD7"/>
    <w:rsid w:val="002E4E03"/>
    <w:rsid w:val="002F281F"/>
    <w:rsid w:val="002F31DA"/>
    <w:rsid w:val="002F4FCD"/>
    <w:rsid w:val="002F5646"/>
    <w:rsid w:val="002F5DA4"/>
    <w:rsid w:val="002F7156"/>
    <w:rsid w:val="00302B59"/>
    <w:rsid w:val="00306A11"/>
    <w:rsid w:val="00311FDE"/>
    <w:rsid w:val="00312B2D"/>
    <w:rsid w:val="00314F91"/>
    <w:rsid w:val="0032080E"/>
    <w:rsid w:val="00322330"/>
    <w:rsid w:val="0032307B"/>
    <w:rsid w:val="00323C24"/>
    <w:rsid w:val="00326B7F"/>
    <w:rsid w:val="003313A0"/>
    <w:rsid w:val="00353A45"/>
    <w:rsid w:val="00361B76"/>
    <w:rsid w:val="00363E15"/>
    <w:rsid w:val="00381456"/>
    <w:rsid w:val="003823A1"/>
    <w:rsid w:val="0038240F"/>
    <w:rsid w:val="00382AB3"/>
    <w:rsid w:val="00390822"/>
    <w:rsid w:val="00396C8D"/>
    <w:rsid w:val="003A03B9"/>
    <w:rsid w:val="003A71C6"/>
    <w:rsid w:val="003A7559"/>
    <w:rsid w:val="003C2D54"/>
    <w:rsid w:val="003C53E5"/>
    <w:rsid w:val="003D6DCA"/>
    <w:rsid w:val="004003CA"/>
    <w:rsid w:val="00405C12"/>
    <w:rsid w:val="00406232"/>
    <w:rsid w:val="004238A6"/>
    <w:rsid w:val="00425842"/>
    <w:rsid w:val="00433FDB"/>
    <w:rsid w:val="004400B8"/>
    <w:rsid w:val="00450F77"/>
    <w:rsid w:val="004541CF"/>
    <w:rsid w:val="0046122C"/>
    <w:rsid w:val="0046416E"/>
    <w:rsid w:val="00467493"/>
    <w:rsid w:val="00467A19"/>
    <w:rsid w:val="00472F63"/>
    <w:rsid w:val="00473181"/>
    <w:rsid w:val="004768EC"/>
    <w:rsid w:val="00486DA5"/>
    <w:rsid w:val="00494131"/>
    <w:rsid w:val="00494B52"/>
    <w:rsid w:val="00497144"/>
    <w:rsid w:val="004B01FC"/>
    <w:rsid w:val="004B5A14"/>
    <w:rsid w:val="004B62D1"/>
    <w:rsid w:val="004C0596"/>
    <w:rsid w:val="004C4A70"/>
    <w:rsid w:val="004C6AC6"/>
    <w:rsid w:val="004D3E98"/>
    <w:rsid w:val="004E263F"/>
    <w:rsid w:val="004F02FE"/>
    <w:rsid w:val="004F0A0F"/>
    <w:rsid w:val="004F5B43"/>
    <w:rsid w:val="004F6CB6"/>
    <w:rsid w:val="004F780A"/>
    <w:rsid w:val="005020A5"/>
    <w:rsid w:val="00506F40"/>
    <w:rsid w:val="00512942"/>
    <w:rsid w:val="00523152"/>
    <w:rsid w:val="0052622A"/>
    <w:rsid w:val="0053518E"/>
    <w:rsid w:val="005351FF"/>
    <w:rsid w:val="0054092D"/>
    <w:rsid w:val="00563BAE"/>
    <w:rsid w:val="0057265A"/>
    <w:rsid w:val="00592DE9"/>
    <w:rsid w:val="00593B12"/>
    <w:rsid w:val="0059577C"/>
    <w:rsid w:val="005A05EE"/>
    <w:rsid w:val="005A310F"/>
    <w:rsid w:val="005A6E35"/>
    <w:rsid w:val="005B7D71"/>
    <w:rsid w:val="005E0E91"/>
    <w:rsid w:val="005E2518"/>
    <w:rsid w:val="005E72A2"/>
    <w:rsid w:val="005F3614"/>
    <w:rsid w:val="005F6449"/>
    <w:rsid w:val="005F6582"/>
    <w:rsid w:val="006001DC"/>
    <w:rsid w:val="00601219"/>
    <w:rsid w:val="00606159"/>
    <w:rsid w:val="0060706C"/>
    <w:rsid w:val="006111D8"/>
    <w:rsid w:val="0061311B"/>
    <w:rsid w:val="00613C4B"/>
    <w:rsid w:val="006211C7"/>
    <w:rsid w:val="0062453E"/>
    <w:rsid w:val="006260D0"/>
    <w:rsid w:val="00630C87"/>
    <w:rsid w:val="00636586"/>
    <w:rsid w:val="0064558C"/>
    <w:rsid w:val="00653581"/>
    <w:rsid w:val="006623CB"/>
    <w:rsid w:val="006668CE"/>
    <w:rsid w:val="00667FC8"/>
    <w:rsid w:val="006714DD"/>
    <w:rsid w:val="00681D96"/>
    <w:rsid w:val="006839B1"/>
    <w:rsid w:val="00686DA2"/>
    <w:rsid w:val="00697108"/>
    <w:rsid w:val="006A148F"/>
    <w:rsid w:val="006A38C8"/>
    <w:rsid w:val="006A7F82"/>
    <w:rsid w:val="006B72EE"/>
    <w:rsid w:val="006B77B4"/>
    <w:rsid w:val="006C13E3"/>
    <w:rsid w:val="006C1497"/>
    <w:rsid w:val="006C4C2B"/>
    <w:rsid w:val="006D109F"/>
    <w:rsid w:val="006D7F45"/>
    <w:rsid w:val="006E44BA"/>
    <w:rsid w:val="006E4569"/>
    <w:rsid w:val="006E722F"/>
    <w:rsid w:val="006E76EF"/>
    <w:rsid w:val="006F4020"/>
    <w:rsid w:val="006F5B5B"/>
    <w:rsid w:val="007052C7"/>
    <w:rsid w:val="0070623E"/>
    <w:rsid w:val="007075B6"/>
    <w:rsid w:val="00714542"/>
    <w:rsid w:val="00714A2D"/>
    <w:rsid w:val="00716F31"/>
    <w:rsid w:val="00720D6C"/>
    <w:rsid w:val="00730BA3"/>
    <w:rsid w:val="00731755"/>
    <w:rsid w:val="007337EE"/>
    <w:rsid w:val="00734C4E"/>
    <w:rsid w:val="007409E5"/>
    <w:rsid w:val="0075180F"/>
    <w:rsid w:val="007570F9"/>
    <w:rsid w:val="007659CC"/>
    <w:rsid w:val="0076770B"/>
    <w:rsid w:val="00767FF7"/>
    <w:rsid w:val="00771480"/>
    <w:rsid w:val="00784B6A"/>
    <w:rsid w:val="00787AD6"/>
    <w:rsid w:val="007908B9"/>
    <w:rsid w:val="007924FA"/>
    <w:rsid w:val="00793CB0"/>
    <w:rsid w:val="007A0D82"/>
    <w:rsid w:val="007A75C6"/>
    <w:rsid w:val="007C1CD7"/>
    <w:rsid w:val="007C7D90"/>
    <w:rsid w:val="007D4F06"/>
    <w:rsid w:val="007D543A"/>
    <w:rsid w:val="007E126C"/>
    <w:rsid w:val="007E1351"/>
    <w:rsid w:val="007E464A"/>
    <w:rsid w:val="007E4E91"/>
    <w:rsid w:val="007F107D"/>
    <w:rsid w:val="00802025"/>
    <w:rsid w:val="008033BB"/>
    <w:rsid w:val="00805B8A"/>
    <w:rsid w:val="0080762E"/>
    <w:rsid w:val="00812450"/>
    <w:rsid w:val="00813690"/>
    <w:rsid w:val="00823555"/>
    <w:rsid w:val="00823A0B"/>
    <w:rsid w:val="008330CD"/>
    <w:rsid w:val="0083356F"/>
    <w:rsid w:val="0084159E"/>
    <w:rsid w:val="008458F3"/>
    <w:rsid w:val="00845B20"/>
    <w:rsid w:val="00850F1B"/>
    <w:rsid w:val="0085289E"/>
    <w:rsid w:val="00853C8E"/>
    <w:rsid w:val="00855421"/>
    <w:rsid w:val="00856FD2"/>
    <w:rsid w:val="0086241E"/>
    <w:rsid w:val="00870831"/>
    <w:rsid w:val="0087120F"/>
    <w:rsid w:val="00874753"/>
    <w:rsid w:val="0088212E"/>
    <w:rsid w:val="00883E27"/>
    <w:rsid w:val="00892048"/>
    <w:rsid w:val="00896338"/>
    <w:rsid w:val="00896B03"/>
    <w:rsid w:val="00897668"/>
    <w:rsid w:val="008A216C"/>
    <w:rsid w:val="008A4243"/>
    <w:rsid w:val="008C2BE6"/>
    <w:rsid w:val="008C33E7"/>
    <w:rsid w:val="008C3D4D"/>
    <w:rsid w:val="008C6C0F"/>
    <w:rsid w:val="008D2240"/>
    <w:rsid w:val="008D79E2"/>
    <w:rsid w:val="008E1024"/>
    <w:rsid w:val="008E2C8A"/>
    <w:rsid w:val="008E63C1"/>
    <w:rsid w:val="008F32FF"/>
    <w:rsid w:val="008F6ADF"/>
    <w:rsid w:val="009049BA"/>
    <w:rsid w:val="00910275"/>
    <w:rsid w:val="009153AD"/>
    <w:rsid w:val="00915E04"/>
    <w:rsid w:val="00916BD1"/>
    <w:rsid w:val="00925AA3"/>
    <w:rsid w:val="0092630E"/>
    <w:rsid w:val="0093298D"/>
    <w:rsid w:val="0093702E"/>
    <w:rsid w:val="00937A09"/>
    <w:rsid w:val="0094108C"/>
    <w:rsid w:val="00942F56"/>
    <w:rsid w:val="0094674C"/>
    <w:rsid w:val="00947F27"/>
    <w:rsid w:val="00951CC6"/>
    <w:rsid w:val="00965D04"/>
    <w:rsid w:val="009731BC"/>
    <w:rsid w:val="00973370"/>
    <w:rsid w:val="00974CD9"/>
    <w:rsid w:val="00985370"/>
    <w:rsid w:val="009933D4"/>
    <w:rsid w:val="009A0B46"/>
    <w:rsid w:val="009A6CCD"/>
    <w:rsid w:val="009C2686"/>
    <w:rsid w:val="009C64AD"/>
    <w:rsid w:val="009D0AC8"/>
    <w:rsid w:val="009D1DC2"/>
    <w:rsid w:val="009D1E81"/>
    <w:rsid w:val="009D22B0"/>
    <w:rsid w:val="009D44D0"/>
    <w:rsid w:val="009E0C16"/>
    <w:rsid w:val="009E146A"/>
    <w:rsid w:val="009E23FA"/>
    <w:rsid w:val="009E72E8"/>
    <w:rsid w:val="009F06A0"/>
    <w:rsid w:val="009F1A02"/>
    <w:rsid w:val="009F4006"/>
    <w:rsid w:val="00A02A3E"/>
    <w:rsid w:val="00A132D7"/>
    <w:rsid w:val="00A13C2B"/>
    <w:rsid w:val="00A153BE"/>
    <w:rsid w:val="00A159F0"/>
    <w:rsid w:val="00A16780"/>
    <w:rsid w:val="00A168E7"/>
    <w:rsid w:val="00A16D98"/>
    <w:rsid w:val="00A24E90"/>
    <w:rsid w:val="00A27F88"/>
    <w:rsid w:val="00A30E5F"/>
    <w:rsid w:val="00A32126"/>
    <w:rsid w:val="00A34BE5"/>
    <w:rsid w:val="00A41642"/>
    <w:rsid w:val="00A42C48"/>
    <w:rsid w:val="00A45A49"/>
    <w:rsid w:val="00A46A40"/>
    <w:rsid w:val="00A61CA0"/>
    <w:rsid w:val="00A61D5C"/>
    <w:rsid w:val="00A73C27"/>
    <w:rsid w:val="00A760E9"/>
    <w:rsid w:val="00A82588"/>
    <w:rsid w:val="00A97698"/>
    <w:rsid w:val="00AA02AD"/>
    <w:rsid w:val="00AA0C95"/>
    <w:rsid w:val="00AB1494"/>
    <w:rsid w:val="00AB15B4"/>
    <w:rsid w:val="00AB4584"/>
    <w:rsid w:val="00AC1145"/>
    <w:rsid w:val="00AC1FD6"/>
    <w:rsid w:val="00AD145F"/>
    <w:rsid w:val="00AD70FB"/>
    <w:rsid w:val="00AD71B7"/>
    <w:rsid w:val="00AE1EDB"/>
    <w:rsid w:val="00AE5121"/>
    <w:rsid w:val="00AE7E25"/>
    <w:rsid w:val="00AF34D7"/>
    <w:rsid w:val="00AF597C"/>
    <w:rsid w:val="00AF5F86"/>
    <w:rsid w:val="00B02A09"/>
    <w:rsid w:val="00B05CA9"/>
    <w:rsid w:val="00B10FE6"/>
    <w:rsid w:val="00B14D9A"/>
    <w:rsid w:val="00B160B5"/>
    <w:rsid w:val="00B169E5"/>
    <w:rsid w:val="00B20DE7"/>
    <w:rsid w:val="00B22E93"/>
    <w:rsid w:val="00B308DF"/>
    <w:rsid w:val="00B33059"/>
    <w:rsid w:val="00B46518"/>
    <w:rsid w:val="00B46BDA"/>
    <w:rsid w:val="00B621B8"/>
    <w:rsid w:val="00B6229B"/>
    <w:rsid w:val="00B62E78"/>
    <w:rsid w:val="00B6465F"/>
    <w:rsid w:val="00B654A9"/>
    <w:rsid w:val="00B70498"/>
    <w:rsid w:val="00B7071C"/>
    <w:rsid w:val="00B81A19"/>
    <w:rsid w:val="00B846EF"/>
    <w:rsid w:val="00B84E2F"/>
    <w:rsid w:val="00BB11ED"/>
    <w:rsid w:val="00BC0519"/>
    <w:rsid w:val="00BC0CC8"/>
    <w:rsid w:val="00BD2F58"/>
    <w:rsid w:val="00BD5CEA"/>
    <w:rsid w:val="00BE1AB3"/>
    <w:rsid w:val="00BE1DA8"/>
    <w:rsid w:val="00BF42FC"/>
    <w:rsid w:val="00C149C4"/>
    <w:rsid w:val="00C14E35"/>
    <w:rsid w:val="00C21F75"/>
    <w:rsid w:val="00C21FDD"/>
    <w:rsid w:val="00C25EB7"/>
    <w:rsid w:val="00C266D1"/>
    <w:rsid w:val="00C47084"/>
    <w:rsid w:val="00C52B72"/>
    <w:rsid w:val="00C700EC"/>
    <w:rsid w:val="00C71B05"/>
    <w:rsid w:val="00C737B5"/>
    <w:rsid w:val="00C8095E"/>
    <w:rsid w:val="00C85C1A"/>
    <w:rsid w:val="00C87CF0"/>
    <w:rsid w:val="00C9081F"/>
    <w:rsid w:val="00C91649"/>
    <w:rsid w:val="00C94E95"/>
    <w:rsid w:val="00CA4805"/>
    <w:rsid w:val="00CB1793"/>
    <w:rsid w:val="00CB342C"/>
    <w:rsid w:val="00CB634F"/>
    <w:rsid w:val="00CB6A67"/>
    <w:rsid w:val="00CD2FBD"/>
    <w:rsid w:val="00CD7178"/>
    <w:rsid w:val="00CD7A4B"/>
    <w:rsid w:val="00CE469D"/>
    <w:rsid w:val="00D03794"/>
    <w:rsid w:val="00D06ED6"/>
    <w:rsid w:val="00D135EC"/>
    <w:rsid w:val="00D177F1"/>
    <w:rsid w:val="00D22417"/>
    <w:rsid w:val="00D249E7"/>
    <w:rsid w:val="00D55E1B"/>
    <w:rsid w:val="00D56473"/>
    <w:rsid w:val="00D565C3"/>
    <w:rsid w:val="00D57F91"/>
    <w:rsid w:val="00D607D0"/>
    <w:rsid w:val="00D63E02"/>
    <w:rsid w:val="00D67C76"/>
    <w:rsid w:val="00D70805"/>
    <w:rsid w:val="00D725CB"/>
    <w:rsid w:val="00D7461B"/>
    <w:rsid w:val="00D7633C"/>
    <w:rsid w:val="00D76E1F"/>
    <w:rsid w:val="00D80433"/>
    <w:rsid w:val="00D8119E"/>
    <w:rsid w:val="00D82CEA"/>
    <w:rsid w:val="00D83180"/>
    <w:rsid w:val="00D85138"/>
    <w:rsid w:val="00D90748"/>
    <w:rsid w:val="00D917F7"/>
    <w:rsid w:val="00D91EDC"/>
    <w:rsid w:val="00DC2ECB"/>
    <w:rsid w:val="00DC316F"/>
    <w:rsid w:val="00DC589A"/>
    <w:rsid w:val="00DC606E"/>
    <w:rsid w:val="00DD71AD"/>
    <w:rsid w:val="00DE0E1E"/>
    <w:rsid w:val="00DF0CF7"/>
    <w:rsid w:val="00DF2746"/>
    <w:rsid w:val="00DF5127"/>
    <w:rsid w:val="00E00979"/>
    <w:rsid w:val="00E01C51"/>
    <w:rsid w:val="00E03DA3"/>
    <w:rsid w:val="00E04C53"/>
    <w:rsid w:val="00E107DE"/>
    <w:rsid w:val="00E10924"/>
    <w:rsid w:val="00E10C5B"/>
    <w:rsid w:val="00E1411B"/>
    <w:rsid w:val="00E15369"/>
    <w:rsid w:val="00E15A9E"/>
    <w:rsid w:val="00E20D48"/>
    <w:rsid w:val="00E26176"/>
    <w:rsid w:val="00E264B8"/>
    <w:rsid w:val="00E34EE6"/>
    <w:rsid w:val="00E36B17"/>
    <w:rsid w:val="00E43726"/>
    <w:rsid w:val="00E43A12"/>
    <w:rsid w:val="00E44FEF"/>
    <w:rsid w:val="00E530B9"/>
    <w:rsid w:val="00E55AB2"/>
    <w:rsid w:val="00E55EE8"/>
    <w:rsid w:val="00E7722D"/>
    <w:rsid w:val="00E812D5"/>
    <w:rsid w:val="00E837FA"/>
    <w:rsid w:val="00E846BD"/>
    <w:rsid w:val="00E9151F"/>
    <w:rsid w:val="00E91EE8"/>
    <w:rsid w:val="00EA2D83"/>
    <w:rsid w:val="00EA41C4"/>
    <w:rsid w:val="00EA786D"/>
    <w:rsid w:val="00EB5F01"/>
    <w:rsid w:val="00EB6392"/>
    <w:rsid w:val="00EC08B7"/>
    <w:rsid w:val="00EC0D56"/>
    <w:rsid w:val="00EC77EC"/>
    <w:rsid w:val="00ED345B"/>
    <w:rsid w:val="00ED3D40"/>
    <w:rsid w:val="00ED5700"/>
    <w:rsid w:val="00ED7A39"/>
    <w:rsid w:val="00EF428B"/>
    <w:rsid w:val="00EF4895"/>
    <w:rsid w:val="00F01C69"/>
    <w:rsid w:val="00F07B70"/>
    <w:rsid w:val="00F12CEE"/>
    <w:rsid w:val="00F13027"/>
    <w:rsid w:val="00F15C96"/>
    <w:rsid w:val="00F17A37"/>
    <w:rsid w:val="00F23930"/>
    <w:rsid w:val="00F30EEE"/>
    <w:rsid w:val="00F331B9"/>
    <w:rsid w:val="00F3608B"/>
    <w:rsid w:val="00F37564"/>
    <w:rsid w:val="00F42857"/>
    <w:rsid w:val="00F5192A"/>
    <w:rsid w:val="00F54217"/>
    <w:rsid w:val="00F55337"/>
    <w:rsid w:val="00F55554"/>
    <w:rsid w:val="00F63426"/>
    <w:rsid w:val="00F63E6E"/>
    <w:rsid w:val="00F64296"/>
    <w:rsid w:val="00F64486"/>
    <w:rsid w:val="00F6642C"/>
    <w:rsid w:val="00F67787"/>
    <w:rsid w:val="00F7158E"/>
    <w:rsid w:val="00F74B97"/>
    <w:rsid w:val="00F779B1"/>
    <w:rsid w:val="00F77C42"/>
    <w:rsid w:val="00F851AE"/>
    <w:rsid w:val="00F869C1"/>
    <w:rsid w:val="00F932D6"/>
    <w:rsid w:val="00FA0580"/>
    <w:rsid w:val="00FA0F9A"/>
    <w:rsid w:val="00FA27A4"/>
    <w:rsid w:val="00FA2F55"/>
    <w:rsid w:val="00FB1D0E"/>
    <w:rsid w:val="00FC5C83"/>
    <w:rsid w:val="00FD045E"/>
    <w:rsid w:val="00FD4218"/>
    <w:rsid w:val="00FE4109"/>
    <w:rsid w:val="00FE5AA8"/>
    <w:rsid w:val="00FE6BCD"/>
    <w:rsid w:val="00FE7E4B"/>
    <w:rsid w:val="00FF14E6"/>
    <w:rsid w:val="00FF2584"/>
    <w:rsid w:val="00FF261C"/>
    <w:rsid w:val="01C2A746"/>
    <w:rsid w:val="021FE403"/>
    <w:rsid w:val="023847B0"/>
    <w:rsid w:val="027F422D"/>
    <w:rsid w:val="028F8C10"/>
    <w:rsid w:val="04001D47"/>
    <w:rsid w:val="05142D43"/>
    <w:rsid w:val="060D0EE7"/>
    <w:rsid w:val="0630FC9D"/>
    <w:rsid w:val="06D25685"/>
    <w:rsid w:val="0AF428BD"/>
    <w:rsid w:val="0F1A2F09"/>
    <w:rsid w:val="124F6D50"/>
    <w:rsid w:val="12AAC0C7"/>
    <w:rsid w:val="1360D385"/>
    <w:rsid w:val="185B21EB"/>
    <w:rsid w:val="1B26B423"/>
    <w:rsid w:val="1C8015C1"/>
    <w:rsid w:val="2036F799"/>
    <w:rsid w:val="20F0854F"/>
    <w:rsid w:val="22F28305"/>
    <w:rsid w:val="239279AA"/>
    <w:rsid w:val="249D446D"/>
    <w:rsid w:val="254E9AF9"/>
    <w:rsid w:val="2846571A"/>
    <w:rsid w:val="28B9C06E"/>
    <w:rsid w:val="2AD9267C"/>
    <w:rsid w:val="2CA0DBA0"/>
    <w:rsid w:val="2E183262"/>
    <w:rsid w:val="3001CE6C"/>
    <w:rsid w:val="312A4404"/>
    <w:rsid w:val="31402D1D"/>
    <w:rsid w:val="33B25B8A"/>
    <w:rsid w:val="33B5C146"/>
    <w:rsid w:val="35BE54C9"/>
    <w:rsid w:val="3878B44F"/>
    <w:rsid w:val="38C956FE"/>
    <w:rsid w:val="39A93A8E"/>
    <w:rsid w:val="3BF27DF4"/>
    <w:rsid w:val="3E04B3E2"/>
    <w:rsid w:val="3E848578"/>
    <w:rsid w:val="43A4309A"/>
    <w:rsid w:val="440B18EF"/>
    <w:rsid w:val="4436E38E"/>
    <w:rsid w:val="46421702"/>
    <w:rsid w:val="464C2EC7"/>
    <w:rsid w:val="47FD5600"/>
    <w:rsid w:val="4B039175"/>
    <w:rsid w:val="4B93534E"/>
    <w:rsid w:val="4E487EDB"/>
    <w:rsid w:val="4E6D8297"/>
    <w:rsid w:val="4F52F663"/>
    <w:rsid w:val="514CA131"/>
    <w:rsid w:val="51B47B9D"/>
    <w:rsid w:val="52237203"/>
    <w:rsid w:val="533B2A12"/>
    <w:rsid w:val="53598671"/>
    <w:rsid w:val="55517F00"/>
    <w:rsid w:val="55C16BD4"/>
    <w:rsid w:val="57DAEDF0"/>
    <w:rsid w:val="57FBAF18"/>
    <w:rsid w:val="5C9484B3"/>
    <w:rsid w:val="5DEE416F"/>
    <w:rsid w:val="66AF7CDA"/>
    <w:rsid w:val="66CDBDE5"/>
    <w:rsid w:val="677D1750"/>
    <w:rsid w:val="67E7A186"/>
    <w:rsid w:val="68BD0A4B"/>
    <w:rsid w:val="691A7FCE"/>
    <w:rsid w:val="69EA9709"/>
    <w:rsid w:val="69F4D62F"/>
    <w:rsid w:val="6A592ABD"/>
    <w:rsid w:val="6B2580DD"/>
    <w:rsid w:val="6BAF7D6B"/>
    <w:rsid w:val="6D2237CB"/>
    <w:rsid w:val="6D6B0D9D"/>
    <w:rsid w:val="6FD77768"/>
    <w:rsid w:val="702B30F0"/>
    <w:rsid w:val="72BCCD81"/>
    <w:rsid w:val="78C1E4F0"/>
    <w:rsid w:val="78D3EAF9"/>
    <w:rsid w:val="7A11C808"/>
    <w:rsid w:val="7A1282B2"/>
    <w:rsid w:val="7BB1C96F"/>
    <w:rsid w:val="7C9C3317"/>
    <w:rsid w:val="7D1ECE91"/>
    <w:rsid w:val="7E7B4E47"/>
    <w:rsid w:val="7EFB5431"/>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2DD9C5"/>
  <w15:docId w15:val="{EF1B5CA7-9364-4927-AEBD-96D5E10DB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44BA"/>
    <w:pPr>
      <w:spacing w:after="200" w:line="276" w:lineRule="auto"/>
    </w:pPr>
    <w:rPr>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E44BA"/>
    <w:pPr>
      <w:spacing w:after="0" w:line="360" w:lineRule="auto"/>
      <w:jc w:val="both"/>
    </w:pPr>
    <w:rPr>
      <w:rFonts w:ascii="Arial" w:eastAsia="Times New Roman" w:hAnsi="Arial"/>
      <w:sz w:val="26"/>
      <w:szCs w:val="20"/>
      <w:lang w:val="es-ES_tradnl" w:eastAsia="es-ES"/>
    </w:rPr>
  </w:style>
  <w:style w:type="character" w:customStyle="1" w:styleId="TextoindependienteCar">
    <w:name w:val="Texto independiente Car"/>
    <w:link w:val="Textoindependiente"/>
    <w:rsid w:val="006E44BA"/>
    <w:rPr>
      <w:rFonts w:ascii="Arial" w:eastAsia="Times New Roman" w:hAnsi="Arial" w:cs="Times New Roman"/>
      <w:sz w:val="26"/>
      <w:szCs w:val="20"/>
      <w:lang w:val="es-ES_tradnl" w:eastAsia="es-ES"/>
    </w:rPr>
  </w:style>
  <w:style w:type="paragraph" w:styleId="Encabezado">
    <w:name w:val="header"/>
    <w:basedOn w:val="Normal"/>
    <w:link w:val="EncabezadoCar"/>
    <w:uiPriority w:val="99"/>
    <w:unhideWhenUsed/>
    <w:rsid w:val="006E44BA"/>
    <w:pPr>
      <w:tabs>
        <w:tab w:val="center" w:pos="4419"/>
        <w:tab w:val="right" w:pos="8838"/>
      </w:tabs>
    </w:pPr>
  </w:style>
  <w:style w:type="character" w:customStyle="1" w:styleId="EncabezadoCar">
    <w:name w:val="Encabezado Car"/>
    <w:link w:val="Encabezado"/>
    <w:uiPriority w:val="99"/>
    <w:rsid w:val="006E44BA"/>
    <w:rPr>
      <w:rFonts w:ascii="Calibri" w:eastAsia="Calibri" w:hAnsi="Calibri" w:cs="Times New Roman"/>
      <w:lang w:val="es-CO"/>
    </w:rPr>
  </w:style>
  <w:style w:type="paragraph" w:styleId="Piedepgina">
    <w:name w:val="footer"/>
    <w:basedOn w:val="Normal"/>
    <w:link w:val="PiedepginaCar"/>
    <w:unhideWhenUsed/>
    <w:rsid w:val="006E44BA"/>
    <w:pPr>
      <w:tabs>
        <w:tab w:val="center" w:pos="4419"/>
        <w:tab w:val="right" w:pos="8838"/>
      </w:tabs>
    </w:pPr>
  </w:style>
  <w:style w:type="character" w:customStyle="1" w:styleId="PiedepginaCar">
    <w:name w:val="Pie de página Car"/>
    <w:link w:val="Piedepgina"/>
    <w:rsid w:val="006E44BA"/>
    <w:rPr>
      <w:rFonts w:ascii="Calibri" w:eastAsia="Calibri" w:hAnsi="Calibri" w:cs="Times New Roman"/>
      <w:lang w:val="es-CO"/>
    </w:rPr>
  </w:style>
  <w:style w:type="paragraph" w:styleId="Textoindependiente2">
    <w:name w:val="Body Text 2"/>
    <w:basedOn w:val="Normal"/>
    <w:link w:val="Textoindependiente2Car"/>
    <w:rsid w:val="006E44BA"/>
    <w:pPr>
      <w:spacing w:after="120" w:line="480" w:lineRule="auto"/>
    </w:pPr>
  </w:style>
  <w:style w:type="character" w:customStyle="1" w:styleId="Textoindependiente2Car">
    <w:name w:val="Texto independiente 2 Car"/>
    <w:link w:val="Textoindependiente2"/>
    <w:rsid w:val="006E44BA"/>
    <w:rPr>
      <w:rFonts w:ascii="Calibri" w:eastAsia="Calibri" w:hAnsi="Calibri" w:cs="Times New Roman"/>
      <w:lang w:val="es-CO"/>
    </w:rPr>
  </w:style>
  <w:style w:type="paragraph" w:styleId="Sinespaciado">
    <w:name w:val="No Spacing"/>
    <w:uiPriority w:val="1"/>
    <w:qFormat/>
    <w:rsid w:val="006E44BA"/>
    <w:rPr>
      <w:sz w:val="22"/>
      <w:szCs w:val="22"/>
      <w:lang w:val="es-CO" w:eastAsia="en-US"/>
    </w:rPr>
  </w:style>
  <w:style w:type="paragraph" w:styleId="Textodeglobo">
    <w:name w:val="Balloon Text"/>
    <w:basedOn w:val="Normal"/>
    <w:link w:val="TextodegloboCar"/>
    <w:uiPriority w:val="99"/>
    <w:semiHidden/>
    <w:unhideWhenUsed/>
    <w:rsid w:val="0046416E"/>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46416E"/>
    <w:rPr>
      <w:rFonts w:ascii="Segoe UI" w:hAnsi="Segoe UI" w:cs="Segoe UI"/>
      <w:sz w:val="18"/>
      <w:szCs w:val="18"/>
      <w:lang w:val="es-CO" w:eastAsia="en-US"/>
    </w:rPr>
  </w:style>
  <w:style w:type="paragraph" w:customStyle="1" w:styleId="a">
    <w:basedOn w:val="Normal"/>
    <w:next w:val="Puesto"/>
    <w:link w:val="TtuloCar"/>
    <w:qFormat/>
    <w:rsid w:val="005B7D71"/>
    <w:pPr>
      <w:widowControl w:val="0"/>
      <w:autoSpaceDE w:val="0"/>
      <w:autoSpaceDN w:val="0"/>
      <w:adjustRightInd w:val="0"/>
      <w:spacing w:after="0" w:line="240" w:lineRule="auto"/>
      <w:jc w:val="center"/>
    </w:pPr>
    <w:rPr>
      <w:rFonts w:ascii="Roman 12cpi" w:eastAsia="Times New Roman" w:hAnsi="Roman 12cpi"/>
      <w:b/>
      <w:bCs/>
      <w:sz w:val="20"/>
      <w:szCs w:val="20"/>
      <w:lang w:val="es-ES" w:eastAsia="es-ES"/>
    </w:rPr>
  </w:style>
  <w:style w:type="character" w:customStyle="1" w:styleId="TtuloCar">
    <w:name w:val="Título Car"/>
    <w:link w:val="a"/>
    <w:rsid w:val="005B7D71"/>
    <w:rPr>
      <w:rFonts w:ascii="Roman 12cpi" w:eastAsia="Times New Roman" w:hAnsi="Roman 12cpi"/>
      <w:b/>
      <w:bCs/>
    </w:rPr>
  </w:style>
  <w:style w:type="paragraph" w:customStyle="1" w:styleId="Puesto">
    <w:name w:val="Puesto"/>
    <w:basedOn w:val="Normal"/>
    <w:next w:val="Normal"/>
    <w:link w:val="PuestoCar"/>
    <w:uiPriority w:val="10"/>
    <w:qFormat/>
    <w:rsid w:val="005B7D71"/>
    <w:pPr>
      <w:spacing w:before="240" w:after="60"/>
      <w:jc w:val="center"/>
      <w:outlineLvl w:val="0"/>
    </w:pPr>
    <w:rPr>
      <w:rFonts w:ascii="Calibri Light" w:eastAsia="Times New Roman" w:hAnsi="Calibri Light"/>
      <w:b/>
      <w:bCs/>
      <w:kern w:val="28"/>
      <w:sz w:val="32"/>
      <w:szCs w:val="32"/>
    </w:rPr>
  </w:style>
  <w:style w:type="character" w:customStyle="1" w:styleId="PuestoCar">
    <w:name w:val="Puesto Car"/>
    <w:link w:val="Puesto"/>
    <w:uiPriority w:val="10"/>
    <w:rsid w:val="005B7D71"/>
    <w:rPr>
      <w:rFonts w:ascii="Calibri Light" w:eastAsia="Times New Roman" w:hAnsi="Calibri Light" w:cs="Times New Roman"/>
      <w:b/>
      <w:bCs/>
      <w:kern w:val="28"/>
      <w:sz w:val="32"/>
      <w:szCs w:val="32"/>
      <w:lang w:val="es-CO" w:eastAsia="en-US"/>
    </w:rPr>
  </w:style>
  <w:style w:type="paragraph" w:customStyle="1" w:styleId="paragraph">
    <w:name w:val="paragraph"/>
    <w:basedOn w:val="Normal"/>
    <w:rsid w:val="006111D8"/>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basedOn w:val="Fuentedeprrafopredeter"/>
    <w:rsid w:val="006111D8"/>
  </w:style>
  <w:style w:type="character" w:customStyle="1" w:styleId="eop">
    <w:name w:val="eop"/>
    <w:basedOn w:val="Fuentedeprrafopredeter"/>
    <w:rsid w:val="00611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948375">
      <w:bodyDiv w:val="1"/>
      <w:marLeft w:val="0"/>
      <w:marRight w:val="0"/>
      <w:marTop w:val="0"/>
      <w:marBottom w:val="0"/>
      <w:divBdr>
        <w:top w:val="none" w:sz="0" w:space="0" w:color="auto"/>
        <w:left w:val="none" w:sz="0" w:space="0" w:color="auto"/>
        <w:bottom w:val="none" w:sz="0" w:space="0" w:color="auto"/>
        <w:right w:val="none" w:sz="0" w:space="0" w:color="auto"/>
      </w:divBdr>
      <w:divsChild>
        <w:div w:id="2118134749">
          <w:marLeft w:val="0"/>
          <w:marRight w:val="0"/>
          <w:marTop w:val="0"/>
          <w:marBottom w:val="0"/>
          <w:divBdr>
            <w:top w:val="none" w:sz="0" w:space="0" w:color="auto"/>
            <w:left w:val="none" w:sz="0" w:space="0" w:color="auto"/>
            <w:bottom w:val="none" w:sz="0" w:space="0" w:color="auto"/>
            <w:right w:val="none" w:sz="0" w:space="0" w:color="auto"/>
          </w:divBdr>
        </w:div>
        <w:div w:id="1403060657">
          <w:marLeft w:val="0"/>
          <w:marRight w:val="0"/>
          <w:marTop w:val="0"/>
          <w:marBottom w:val="0"/>
          <w:divBdr>
            <w:top w:val="none" w:sz="0" w:space="0" w:color="auto"/>
            <w:left w:val="none" w:sz="0" w:space="0" w:color="auto"/>
            <w:bottom w:val="none" w:sz="0" w:space="0" w:color="auto"/>
            <w:right w:val="none" w:sz="0" w:space="0" w:color="auto"/>
          </w:divBdr>
        </w:div>
        <w:div w:id="1499226947">
          <w:marLeft w:val="0"/>
          <w:marRight w:val="0"/>
          <w:marTop w:val="0"/>
          <w:marBottom w:val="0"/>
          <w:divBdr>
            <w:top w:val="none" w:sz="0" w:space="0" w:color="auto"/>
            <w:left w:val="none" w:sz="0" w:space="0" w:color="auto"/>
            <w:bottom w:val="none" w:sz="0" w:space="0" w:color="auto"/>
            <w:right w:val="none" w:sz="0" w:space="0" w:color="auto"/>
          </w:divBdr>
        </w:div>
      </w:divsChild>
    </w:div>
    <w:div w:id="2095541265">
      <w:bodyDiv w:val="1"/>
      <w:marLeft w:val="0"/>
      <w:marRight w:val="0"/>
      <w:marTop w:val="0"/>
      <w:marBottom w:val="0"/>
      <w:divBdr>
        <w:top w:val="none" w:sz="0" w:space="0" w:color="auto"/>
        <w:left w:val="none" w:sz="0" w:space="0" w:color="auto"/>
        <w:bottom w:val="none" w:sz="0" w:space="0" w:color="auto"/>
        <w:right w:val="none" w:sz="0" w:space="0" w:color="auto"/>
      </w:divBdr>
      <w:divsChild>
        <w:div w:id="1193692916">
          <w:marLeft w:val="0"/>
          <w:marRight w:val="0"/>
          <w:marTop w:val="0"/>
          <w:marBottom w:val="0"/>
          <w:divBdr>
            <w:top w:val="none" w:sz="0" w:space="0" w:color="auto"/>
            <w:left w:val="none" w:sz="0" w:space="0" w:color="auto"/>
            <w:bottom w:val="none" w:sz="0" w:space="0" w:color="auto"/>
            <w:right w:val="none" w:sz="0" w:space="0" w:color="auto"/>
          </w:divBdr>
        </w:div>
        <w:div w:id="125896422">
          <w:marLeft w:val="0"/>
          <w:marRight w:val="0"/>
          <w:marTop w:val="0"/>
          <w:marBottom w:val="0"/>
          <w:divBdr>
            <w:top w:val="none" w:sz="0" w:space="0" w:color="auto"/>
            <w:left w:val="none" w:sz="0" w:space="0" w:color="auto"/>
            <w:bottom w:val="none" w:sz="0" w:space="0" w:color="auto"/>
            <w:right w:val="none" w:sz="0" w:space="0" w:color="auto"/>
          </w:divBdr>
        </w:div>
        <w:div w:id="1111319014">
          <w:marLeft w:val="0"/>
          <w:marRight w:val="0"/>
          <w:marTop w:val="0"/>
          <w:marBottom w:val="0"/>
          <w:divBdr>
            <w:top w:val="none" w:sz="0" w:space="0" w:color="auto"/>
            <w:left w:val="none" w:sz="0" w:space="0" w:color="auto"/>
            <w:bottom w:val="none" w:sz="0" w:space="0" w:color="auto"/>
            <w:right w:val="none" w:sz="0" w:space="0" w:color="auto"/>
          </w:divBdr>
        </w:div>
        <w:div w:id="1539076648">
          <w:marLeft w:val="0"/>
          <w:marRight w:val="0"/>
          <w:marTop w:val="0"/>
          <w:marBottom w:val="0"/>
          <w:divBdr>
            <w:top w:val="none" w:sz="0" w:space="0" w:color="auto"/>
            <w:left w:val="none" w:sz="0" w:space="0" w:color="auto"/>
            <w:bottom w:val="none" w:sz="0" w:space="0" w:color="auto"/>
            <w:right w:val="none" w:sz="0" w:space="0" w:color="auto"/>
          </w:divBdr>
        </w:div>
        <w:div w:id="2140762348">
          <w:marLeft w:val="0"/>
          <w:marRight w:val="0"/>
          <w:marTop w:val="0"/>
          <w:marBottom w:val="0"/>
          <w:divBdr>
            <w:top w:val="none" w:sz="0" w:space="0" w:color="auto"/>
            <w:left w:val="none" w:sz="0" w:space="0" w:color="auto"/>
            <w:bottom w:val="none" w:sz="0" w:space="0" w:color="auto"/>
            <w:right w:val="none" w:sz="0" w:space="0" w:color="auto"/>
          </w:divBdr>
        </w:div>
        <w:div w:id="1013071367">
          <w:marLeft w:val="0"/>
          <w:marRight w:val="0"/>
          <w:marTop w:val="0"/>
          <w:marBottom w:val="0"/>
          <w:divBdr>
            <w:top w:val="none" w:sz="0" w:space="0" w:color="auto"/>
            <w:left w:val="none" w:sz="0" w:space="0" w:color="auto"/>
            <w:bottom w:val="none" w:sz="0" w:space="0" w:color="auto"/>
            <w:right w:val="none" w:sz="0" w:space="0" w:color="auto"/>
          </w:divBdr>
        </w:div>
        <w:div w:id="779834484">
          <w:marLeft w:val="0"/>
          <w:marRight w:val="0"/>
          <w:marTop w:val="0"/>
          <w:marBottom w:val="0"/>
          <w:divBdr>
            <w:top w:val="none" w:sz="0" w:space="0" w:color="auto"/>
            <w:left w:val="none" w:sz="0" w:space="0" w:color="auto"/>
            <w:bottom w:val="none" w:sz="0" w:space="0" w:color="auto"/>
            <w:right w:val="none" w:sz="0" w:space="0" w:color="auto"/>
          </w:divBdr>
        </w:div>
        <w:div w:id="344792947">
          <w:marLeft w:val="0"/>
          <w:marRight w:val="0"/>
          <w:marTop w:val="0"/>
          <w:marBottom w:val="0"/>
          <w:divBdr>
            <w:top w:val="none" w:sz="0" w:space="0" w:color="auto"/>
            <w:left w:val="none" w:sz="0" w:space="0" w:color="auto"/>
            <w:bottom w:val="none" w:sz="0" w:space="0" w:color="auto"/>
            <w:right w:val="none" w:sz="0" w:space="0" w:color="auto"/>
          </w:divBdr>
        </w:div>
        <w:div w:id="145322479">
          <w:marLeft w:val="0"/>
          <w:marRight w:val="0"/>
          <w:marTop w:val="0"/>
          <w:marBottom w:val="0"/>
          <w:divBdr>
            <w:top w:val="none" w:sz="0" w:space="0" w:color="auto"/>
            <w:left w:val="none" w:sz="0" w:space="0" w:color="auto"/>
            <w:bottom w:val="none" w:sz="0" w:space="0" w:color="auto"/>
            <w:right w:val="none" w:sz="0" w:space="0" w:color="auto"/>
          </w:divBdr>
        </w:div>
        <w:div w:id="41681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lcf76f155ced4ddcb4097134ff3c332f xmlns="dded84e4-001b-470d-a0e6-15ddd3924142">
      <Terms xmlns="http://schemas.microsoft.com/office/infopath/2007/PartnerControls"/>
    </lcf76f155ced4ddcb4097134ff3c332f>
    <TaxCatchAll xmlns="b157412b-f7d0-435c-8dc3-c57cc9ba339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849611-F3A6-4633-A4F2-FC31B2ACBD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F2B442-4106-424F-A552-F92B84F3D784}">
  <ds:schemaRefs>
    <ds:schemaRef ds:uri="http://schemas.microsoft.com/office/2006/metadata/properties"/>
    <ds:schemaRef ds:uri="dded84e4-001b-470d-a0e6-15ddd3924142"/>
    <ds:schemaRef ds:uri="http://schemas.microsoft.com/office/infopath/2007/PartnerControls"/>
    <ds:schemaRef ds:uri="b157412b-f7d0-435c-8dc3-c57cc9ba3390"/>
  </ds:schemaRefs>
</ds:datastoreItem>
</file>

<file path=customXml/itemProps3.xml><?xml version="1.0" encoding="utf-8"?>
<ds:datastoreItem xmlns:ds="http://schemas.openxmlformats.org/officeDocument/2006/customXml" ds:itemID="{83247951-5FCB-4699-A492-CD234D71753F}">
  <ds:schemaRefs>
    <ds:schemaRef ds:uri="http://schemas.microsoft.com/sharepoint/v3/contenttype/forms"/>
  </ds:schemaRefs>
</ds:datastoreItem>
</file>

<file path=customXml/itemProps4.xml><?xml version="1.0" encoding="utf-8"?>
<ds:datastoreItem xmlns:ds="http://schemas.openxmlformats.org/officeDocument/2006/customXml" ds:itemID="{10742C32-E433-4B47-A969-2659F3707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4519</Words>
  <Characters>24860</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Cesar Augusto Quintero Piedrahita</dc:creator>
  <cp:lastModifiedBy>Hermides Alonso Gaviria Ocampo</cp:lastModifiedBy>
  <cp:revision>2</cp:revision>
  <cp:lastPrinted>2020-03-04T21:08:00Z</cp:lastPrinted>
  <dcterms:created xsi:type="dcterms:W3CDTF">2022-11-08T19:19:00Z</dcterms:created>
  <dcterms:modified xsi:type="dcterms:W3CDTF">2022-11-08T19:19:00Z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