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075" w:rsidRPr="008A290B" w:rsidRDefault="00A25075" w:rsidP="00A250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5075" w:rsidRDefault="00A25075" w:rsidP="00A25075">
      <w:pPr>
        <w:jc w:val="both"/>
        <w:rPr>
          <w:rFonts w:ascii="Arial" w:hAnsi="Arial" w:cs="Arial"/>
          <w:lang w:val="es-419"/>
        </w:rPr>
      </w:pPr>
    </w:p>
    <w:p w:rsidR="00A25075" w:rsidRPr="00A25075" w:rsidRDefault="00A25075" w:rsidP="00A25075">
      <w:pPr>
        <w:jc w:val="both"/>
        <w:rPr>
          <w:rFonts w:ascii="Arial" w:hAnsi="Arial" w:cs="Arial"/>
          <w:lang w:val="es-419"/>
        </w:rPr>
      </w:pPr>
      <w:r w:rsidRPr="00A25075">
        <w:rPr>
          <w:rFonts w:ascii="Arial" w:hAnsi="Arial" w:cs="Arial"/>
          <w:lang w:val="es-419"/>
        </w:rPr>
        <w:t>Providencia:</w:t>
      </w:r>
      <w:r>
        <w:rPr>
          <w:rFonts w:ascii="Arial" w:hAnsi="Arial" w:cs="Arial"/>
          <w:lang w:val="es-419"/>
        </w:rPr>
        <w:tab/>
      </w:r>
      <w:r w:rsidRPr="00A25075">
        <w:rPr>
          <w:rFonts w:ascii="Arial" w:hAnsi="Arial" w:cs="Arial"/>
          <w:lang w:val="es-419"/>
        </w:rPr>
        <w:tab/>
        <w:t>Auto de 9 de marzo de 2022</w:t>
      </w:r>
    </w:p>
    <w:p w:rsidR="00A25075" w:rsidRPr="00A25075" w:rsidRDefault="00A25075" w:rsidP="00A25075">
      <w:pPr>
        <w:jc w:val="both"/>
        <w:rPr>
          <w:rFonts w:ascii="Arial" w:hAnsi="Arial" w:cs="Arial"/>
          <w:lang w:val="es-419"/>
        </w:rPr>
      </w:pPr>
      <w:r w:rsidRPr="00A25075">
        <w:rPr>
          <w:rFonts w:ascii="Arial" w:hAnsi="Arial" w:cs="Arial"/>
          <w:lang w:val="es-419"/>
        </w:rPr>
        <w:t>Radicación Nro.:</w:t>
      </w:r>
      <w:r w:rsidRPr="00A25075">
        <w:rPr>
          <w:rFonts w:ascii="Arial" w:hAnsi="Arial" w:cs="Arial"/>
          <w:lang w:val="es-419"/>
        </w:rPr>
        <w:tab/>
        <w:t>66001310500120110003501</w:t>
      </w:r>
    </w:p>
    <w:p w:rsidR="00A25075" w:rsidRPr="00A25075" w:rsidRDefault="00A25075" w:rsidP="00A25075">
      <w:pPr>
        <w:jc w:val="both"/>
        <w:rPr>
          <w:rFonts w:ascii="Arial" w:hAnsi="Arial" w:cs="Arial"/>
          <w:lang w:val="es-419"/>
        </w:rPr>
      </w:pPr>
      <w:r w:rsidRPr="00A25075">
        <w:rPr>
          <w:rFonts w:ascii="Arial" w:hAnsi="Arial" w:cs="Arial"/>
          <w:lang w:val="es-419"/>
        </w:rPr>
        <w:t>Proceso:</w:t>
      </w:r>
      <w:r w:rsidRPr="00A25075">
        <w:rPr>
          <w:rFonts w:ascii="Arial" w:hAnsi="Arial" w:cs="Arial"/>
          <w:lang w:val="es-419"/>
        </w:rPr>
        <w:tab/>
      </w:r>
      <w:r w:rsidRPr="00A25075">
        <w:rPr>
          <w:rFonts w:ascii="Arial" w:hAnsi="Arial" w:cs="Arial"/>
          <w:lang w:val="es-419"/>
        </w:rPr>
        <w:tab/>
        <w:t xml:space="preserve">Ejecutivo Laboral  </w:t>
      </w:r>
    </w:p>
    <w:p w:rsidR="00A25075" w:rsidRPr="00A25075" w:rsidRDefault="00A25075" w:rsidP="00A25075">
      <w:pPr>
        <w:jc w:val="both"/>
        <w:rPr>
          <w:rFonts w:ascii="Arial" w:hAnsi="Arial" w:cs="Arial"/>
          <w:lang w:val="es-419"/>
        </w:rPr>
      </w:pPr>
      <w:r w:rsidRPr="00A25075">
        <w:rPr>
          <w:rFonts w:ascii="Arial" w:hAnsi="Arial" w:cs="Arial"/>
          <w:lang w:val="es-419"/>
        </w:rPr>
        <w:t>Demandante:</w:t>
      </w:r>
      <w:r>
        <w:rPr>
          <w:rFonts w:ascii="Arial" w:hAnsi="Arial" w:cs="Arial"/>
          <w:lang w:val="es-419"/>
        </w:rPr>
        <w:tab/>
      </w:r>
      <w:r w:rsidRPr="00A25075">
        <w:rPr>
          <w:rFonts w:ascii="Arial" w:hAnsi="Arial" w:cs="Arial"/>
          <w:lang w:val="es-419"/>
        </w:rPr>
        <w:tab/>
        <w:t>Luis Ángel Posada</w:t>
      </w:r>
    </w:p>
    <w:p w:rsidR="00A25075" w:rsidRPr="00A25075" w:rsidRDefault="00A25075" w:rsidP="00A25075">
      <w:pPr>
        <w:jc w:val="both"/>
        <w:rPr>
          <w:rFonts w:ascii="Arial" w:hAnsi="Arial" w:cs="Arial"/>
          <w:lang w:val="es-419"/>
        </w:rPr>
      </w:pPr>
      <w:r w:rsidRPr="00A25075">
        <w:rPr>
          <w:rFonts w:ascii="Arial" w:hAnsi="Arial" w:cs="Arial"/>
          <w:lang w:val="es-419"/>
        </w:rPr>
        <w:t>Demandado:</w:t>
      </w:r>
      <w:r>
        <w:rPr>
          <w:rFonts w:ascii="Arial" w:hAnsi="Arial" w:cs="Arial"/>
          <w:lang w:val="es-419"/>
        </w:rPr>
        <w:tab/>
      </w:r>
      <w:r w:rsidRPr="00A25075">
        <w:rPr>
          <w:rFonts w:ascii="Arial" w:hAnsi="Arial" w:cs="Arial"/>
          <w:lang w:val="es-419"/>
        </w:rPr>
        <w:tab/>
        <w:t>Colpensiones</w:t>
      </w:r>
    </w:p>
    <w:p w:rsidR="00A25075" w:rsidRPr="00A25075" w:rsidRDefault="00A25075" w:rsidP="00A25075">
      <w:pPr>
        <w:jc w:val="both"/>
        <w:rPr>
          <w:rFonts w:ascii="Arial" w:hAnsi="Arial" w:cs="Arial"/>
          <w:lang w:val="es-419"/>
        </w:rPr>
      </w:pPr>
      <w:r w:rsidRPr="00A25075">
        <w:rPr>
          <w:rFonts w:ascii="Arial" w:hAnsi="Arial" w:cs="Arial"/>
          <w:lang w:val="es-419"/>
        </w:rPr>
        <w:t>Juzgado de origen:</w:t>
      </w:r>
      <w:r w:rsidRPr="00A25075">
        <w:rPr>
          <w:rFonts w:ascii="Arial" w:hAnsi="Arial" w:cs="Arial"/>
          <w:lang w:val="es-419"/>
        </w:rPr>
        <w:tab/>
        <w:t>Juzgado Primero Laboral del Circuito</w:t>
      </w:r>
    </w:p>
    <w:p w:rsidR="00A25075" w:rsidRDefault="00A25075" w:rsidP="00A25075">
      <w:pPr>
        <w:jc w:val="both"/>
        <w:rPr>
          <w:rFonts w:ascii="Arial" w:hAnsi="Arial" w:cs="Arial"/>
          <w:lang w:val="es-419"/>
        </w:rPr>
      </w:pPr>
      <w:r w:rsidRPr="00A25075">
        <w:rPr>
          <w:rFonts w:ascii="Arial" w:hAnsi="Arial" w:cs="Arial"/>
          <w:lang w:val="es-419"/>
        </w:rPr>
        <w:t>Magistrado Ponente:</w:t>
      </w:r>
      <w:r w:rsidRPr="00A25075">
        <w:rPr>
          <w:rFonts w:ascii="Arial" w:hAnsi="Arial" w:cs="Arial"/>
          <w:lang w:val="es-419"/>
        </w:rPr>
        <w:tab/>
        <w:t>Julio César Salazar Muñoz</w:t>
      </w:r>
    </w:p>
    <w:p w:rsidR="00A25075" w:rsidRDefault="00A25075" w:rsidP="00A25075">
      <w:pPr>
        <w:jc w:val="both"/>
        <w:rPr>
          <w:rFonts w:ascii="Arial" w:hAnsi="Arial" w:cs="Arial"/>
          <w:lang w:val="es-419"/>
        </w:rPr>
      </w:pPr>
    </w:p>
    <w:bookmarkEnd w:id="0"/>
    <w:bookmarkEnd w:id="1"/>
    <w:p w:rsidR="00FD345F" w:rsidRPr="00FD345F" w:rsidRDefault="00FD345F" w:rsidP="00FD345F">
      <w:pPr>
        <w:jc w:val="both"/>
        <w:rPr>
          <w:rFonts w:ascii="Arial" w:hAnsi="Arial" w:cs="Arial"/>
          <w:lang w:val="es-419"/>
        </w:rPr>
      </w:pPr>
      <w:r w:rsidRPr="00FD345F">
        <w:rPr>
          <w:rFonts w:ascii="Arial" w:hAnsi="Arial" w:cs="Arial"/>
          <w:b/>
          <w:bCs/>
          <w:iCs/>
          <w:u w:val="single"/>
          <w:lang w:val="es-419" w:eastAsia="fr-FR"/>
        </w:rPr>
        <w:t>TEMAS:</w:t>
      </w:r>
      <w:r w:rsidRPr="00FD345F">
        <w:rPr>
          <w:rFonts w:ascii="Arial" w:hAnsi="Arial" w:cs="Arial"/>
          <w:b/>
          <w:bCs/>
          <w:iCs/>
          <w:lang w:val="es-419" w:eastAsia="fr-FR"/>
        </w:rPr>
        <w:tab/>
      </w:r>
      <w:r w:rsidR="00067799">
        <w:rPr>
          <w:rFonts w:ascii="Arial" w:hAnsi="Arial" w:cs="Arial"/>
          <w:b/>
          <w:bCs/>
          <w:iCs/>
          <w:lang w:val="es-419" w:eastAsia="fr-FR"/>
        </w:rPr>
        <w:t xml:space="preserve">PROCESO EJECUTIVO / </w:t>
      </w:r>
      <w:r w:rsidRPr="00FD345F">
        <w:rPr>
          <w:rFonts w:ascii="Arial" w:hAnsi="Arial" w:cs="Arial"/>
          <w:b/>
          <w:lang w:val="es-419"/>
        </w:rPr>
        <w:t>COSTAS PROCESALES / PRESCRIPCIÓN / TÉRMINO: 3 AÑOS Y NO 5 / SE RIGE POR EL ARTÍCULO 2542 DEL CÓDIGO CIVIL / INTERRUPCIÓN / ANÁLISIS.</w:t>
      </w: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419"/>
        </w:rPr>
      </w:pPr>
      <w:r w:rsidRPr="00FD345F">
        <w:rPr>
          <w:rFonts w:ascii="Arial" w:hAnsi="Arial" w:cs="Arial"/>
          <w:lang w:val="es-419"/>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419"/>
        </w:rPr>
      </w:pPr>
      <w:r w:rsidRPr="00FD345F">
        <w:rPr>
          <w:rFonts w:ascii="Arial" w:hAnsi="Arial" w:cs="Arial"/>
          <w:lang w:val="es-419"/>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rsidR="00FD345F" w:rsidRPr="00FD345F" w:rsidRDefault="00FD345F" w:rsidP="00FD345F">
      <w:pPr>
        <w:jc w:val="both"/>
        <w:rPr>
          <w:rFonts w:ascii="Arial" w:hAnsi="Arial" w:cs="Arial"/>
          <w:lang w:val="es-419"/>
        </w:rPr>
      </w:pPr>
      <w:r w:rsidRPr="00FD345F">
        <w:rPr>
          <w:rFonts w:ascii="Arial" w:hAnsi="Arial" w:cs="Arial"/>
          <w:lang w:val="es-419"/>
        </w:rPr>
        <w:t xml:space="preserve"> </w:t>
      </w:r>
    </w:p>
    <w:p w:rsidR="00FD345F" w:rsidRPr="00FD345F" w:rsidRDefault="00FD345F" w:rsidP="00FD345F">
      <w:pPr>
        <w:jc w:val="both"/>
        <w:rPr>
          <w:rFonts w:ascii="Arial" w:hAnsi="Arial" w:cs="Arial"/>
          <w:lang w:val="es-419"/>
        </w:rPr>
      </w:pPr>
      <w:r w:rsidRPr="00FD345F">
        <w:rPr>
          <w:rFonts w:ascii="Arial" w:hAnsi="Arial" w:cs="Arial"/>
          <w:lang w:val="es-419"/>
        </w:rPr>
        <w:t>“Prescriben en tres años los gastos judiciales enumerados en el título VII, libro I del Código Judicial de la Unión, incluso los honorarios de los defensores; los médicos y cirujanos…”</w:t>
      </w: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419"/>
        </w:rPr>
      </w:pPr>
      <w:r w:rsidRPr="00FD345F">
        <w:rPr>
          <w:rFonts w:ascii="Arial" w:hAnsi="Arial" w:cs="Arial"/>
          <w:lang w:val="es-419"/>
        </w:rPr>
        <w:t>…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419"/>
        </w:rPr>
      </w:pPr>
      <w:r w:rsidRPr="00FD345F">
        <w:rPr>
          <w:rFonts w:ascii="Arial" w:hAnsi="Arial" w:cs="Arial"/>
          <w:lang w:val="es-419"/>
        </w:rPr>
        <w:t>“…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 (…)</w:t>
      </w:r>
    </w:p>
    <w:p w:rsidR="00FD345F" w:rsidRPr="00FD345F" w:rsidRDefault="00FD345F" w:rsidP="00FD345F">
      <w:pPr>
        <w:jc w:val="both"/>
        <w:rPr>
          <w:rFonts w:ascii="Arial" w:hAnsi="Arial" w:cs="Arial"/>
          <w:lang w:val="es-419"/>
        </w:rPr>
      </w:pPr>
    </w:p>
    <w:p w:rsidR="00FD345F" w:rsidRPr="00FD345F" w:rsidRDefault="00DB43EA" w:rsidP="00FD345F">
      <w:pPr>
        <w:jc w:val="both"/>
        <w:rPr>
          <w:rFonts w:ascii="Arial" w:hAnsi="Arial" w:cs="Arial"/>
          <w:lang w:val="es-419"/>
        </w:rPr>
      </w:pPr>
      <w:r w:rsidRPr="00DB43EA">
        <w:rPr>
          <w:rFonts w:ascii="Arial" w:hAnsi="Arial" w:cs="Arial"/>
          <w:lang w:val="es-419"/>
        </w:rPr>
        <w:t>Respecto a la renuncia a la prescripción a la que hace referencia la a quo, habría que decir que contrario al análisis realizado por ella, en el oficio Bizagi, BZ 2019_897408 de 12 de febrero de 2019 por medio del cual se atendió el requerimiento del actor, consistente en el pago de costas del proceso ordinario</w:t>
      </w:r>
      <w:r w:rsidR="00F23D96">
        <w:rPr>
          <w:rFonts w:ascii="Arial" w:hAnsi="Arial" w:cs="Arial"/>
          <w:lang w:val="es-419"/>
        </w:rPr>
        <w:t>…</w:t>
      </w:r>
      <w:r w:rsidRPr="00DB43EA">
        <w:rPr>
          <w:rFonts w:ascii="Arial" w:hAnsi="Arial" w:cs="Arial"/>
          <w:lang w:val="es-419"/>
        </w:rPr>
        <w:t>, Colpensiones de ningún modo renunció a la prescripción, es más, en esa oportunidad, precisame</w:t>
      </w:r>
      <w:bookmarkStart w:id="2" w:name="_GoBack"/>
      <w:bookmarkEnd w:id="2"/>
      <w:r w:rsidRPr="00DB43EA">
        <w:rPr>
          <w:rFonts w:ascii="Arial" w:hAnsi="Arial" w:cs="Arial"/>
          <w:lang w:val="es-419"/>
        </w:rPr>
        <w:t>nte adujo como argumento defensivo para negar el pago de tales rubros, la afectación del fenómeno prescriptivo sobre ellos, toda vez que el documento con cual se solicitó el cumplimiento del fallo, que tiene la facultad de interrumpir la prescripción por una sola vez, fue radicado el 16 de enero de 2012.</w:t>
      </w: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419"/>
        </w:rPr>
      </w:pPr>
    </w:p>
    <w:p w:rsidR="00FD345F" w:rsidRPr="00FD345F" w:rsidRDefault="00FD345F" w:rsidP="00FD345F">
      <w:pPr>
        <w:jc w:val="both"/>
        <w:rPr>
          <w:rFonts w:ascii="Arial" w:hAnsi="Arial" w:cs="Arial"/>
          <w:lang w:val="es-ES"/>
        </w:rPr>
      </w:pPr>
    </w:p>
    <w:p w:rsidR="008B726D" w:rsidRPr="00C71E51" w:rsidRDefault="008B726D" w:rsidP="00C71E51">
      <w:pPr>
        <w:pStyle w:val="Ttulo2"/>
        <w:spacing w:line="276" w:lineRule="auto"/>
        <w:jc w:val="center"/>
        <w:rPr>
          <w:rFonts w:cs="Arial"/>
          <w:szCs w:val="24"/>
        </w:rPr>
      </w:pPr>
      <w:r w:rsidRPr="00C71E51">
        <w:rPr>
          <w:rFonts w:cs="Arial"/>
          <w:szCs w:val="24"/>
        </w:rPr>
        <w:t>TRIBUNAL SUPERIOR DEL DISTRITO JUDICIAL</w:t>
      </w:r>
    </w:p>
    <w:p w:rsidR="008B726D" w:rsidRPr="00C71E51" w:rsidRDefault="008B726D" w:rsidP="00C71E51">
      <w:pPr>
        <w:spacing w:line="276" w:lineRule="auto"/>
        <w:jc w:val="center"/>
        <w:rPr>
          <w:rFonts w:ascii="Arial" w:hAnsi="Arial" w:cs="Arial"/>
          <w:b/>
          <w:sz w:val="24"/>
          <w:szCs w:val="24"/>
        </w:rPr>
      </w:pPr>
      <w:r w:rsidRPr="00C71E51">
        <w:rPr>
          <w:rFonts w:ascii="Arial" w:hAnsi="Arial" w:cs="Arial"/>
          <w:b/>
          <w:sz w:val="24"/>
          <w:szCs w:val="24"/>
        </w:rPr>
        <w:t>SALA LABORAL</w:t>
      </w:r>
    </w:p>
    <w:p w:rsidR="008B726D" w:rsidRPr="00C71E51" w:rsidRDefault="008B726D" w:rsidP="00C71E51">
      <w:pPr>
        <w:spacing w:line="276" w:lineRule="auto"/>
        <w:jc w:val="center"/>
        <w:rPr>
          <w:rFonts w:ascii="Arial" w:hAnsi="Arial" w:cs="Arial"/>
          <w:b/>
          <w:sz w:val="24"/>
          <w:szCs w:val="24"/>
        </w:rPr>
      </w:pPr>
      <w:r w:rsidRPr="00C71E51">
        <w:rPr>
          <w:rFonts w:ascii="Arial" w:hAnsi="Arial" w:cs="Arial"/>
          <w:b/>
          <w:sz w:val="24"/>
          <w:szCs w:val="24"/>
        </w:rPr>
        <w:t>MAGISTRADO PONENTE: JULIO CÉSAR SALAZAR MUÑOZ</w:t>
      </w:r>
    </w:p>
    <w:p w:rsidR="008B726D" w:rsidRPr="00C71E51" w:rsidRDefault="008B726D" w:rsidP="00C71E51">
      <w:pPr>
        <w:spacing w:line="276" w:lineRule="auto"/>
        <w:rPr>
          <w:rFonts w:ascii="Arial" w:hAnsi="Arial" w:cs="Arial"/>
          <w:sz w:val="24"/>
          <w:szCs w:val="24"/>
        </w:rPr>
      </w:pPr>
    </w:p>
    <w:p w:rsidR="008B726D" w:rsidRPr="00C71E51" w:rsidRDefault="008B726D" w:rsidP="00C71E51">
      <w:pPr>
        <w:spacing w:line="276" w:lineRule="auto"/>
        <w:jc w:val="center"/>
        <w:rPr>
          <w:rFonts w:ascii="Arial" w:hAnsi="Arial" w:cs="Arial"/>
          <w:sz w:val="24"/>
          <w:szCs w:val="24"/>
        </w:rPr>
      </w:pPr>
      <w:r w:rsidRPr="00C71E51">
        <w:rPr>
          <w:rFonts w:ascii="Arial" w:hAnsi="Arial" w:cs="Arial"/>
          <w:sz w:val="24"/>
          <w:szCs w:val="24"/>
        </w:rPr>
        <w:t>Pereira, nueve de marzo de dos mil veintidós</w:t>
      </w:r>
    </w:p>
    <w:p w:rsidR="008B726D" w:rsidRPr="00C71E51" w:rsidRDefault="008B726D" w:rsidP="00C71E51">
      <w:pPr>
        <w:tabs>
          <w:tab w:val="center" w:pos="4420"/>
          <w:tab w:val="left" w:pos="7873"/>
        </w:tabs>
        <w:spacing w:line="276" w:lineRule="auto"/>
        <w:jc w:val="center"/>
        <w:rPr>
          <w:rFonts w:ascii="Arial" w:hAnsi="Arial" w:cs="Arial"/>
          <w:sz w:val="24"/>
          <w:szCs w:val="24"/>
        </w:rPr>
      </w:pPr>
      <w:r w:rsidRPr="00C71E51">
        <w:rPr>
          <w:rFonts w:ascii="Arial" w:hAnsi="Arial" w:cs="Arial"/>
          <w:sz w:val="24"/>
          <w:szCs w:val="24"/>
        </w:rPr>
        <w:t>Acta de Sala de Discusión No</w:t>
      </w:r>
      <w:r w:rsidR="006B7AD9" w:rsidRPr="00C71E51">
        <w:rPr>
          <w:rFonts w:ascii="Arial" w:hAnsi="Arial" w:cs="Arial"/>
          <w:sz w:val="24"/>
          <w:szCs w:val="24"/>
        </w:rPr>
        <w:t xml:space="preserve"> </w:t>
      </w:r>
      <w:r w:rsidR="00C71E51" w:rsidRPr="00C71E51">
        <w:rPr>
          <w:rFonts w:ascii="Arial" w:hAnsi="Arial" w:cs="Arial"/>
          <w:sz w:val="24"/>
          <w:szCs w:val="24"/>
        </w:rPr>
        <w:t>033 de</w:t>
      </w:r>
      <w:r w:rsidRPr="00C71E51">
        <w:rPr>
          <w:rFonts w:ascii="Arial" w:hAnsi="Arial" w:cs="Arial"/>
          <w:sz w:val="24"/>
          <w:szCs w:val="24"/>
        </w:rPr>
        <w:t xml:space="preserve"> 7 de marzo de 2022</w:t>
      </w:r>
    </w:p>
    <w:p w:rsidR="008B726D" w:rsidRPr="00C71E51" w:rsidRDefault="008B726D" w:rsidP="00C71E51">
      <w:pPr>
        <w:pStyle w:val="Textoindependiente21"/>
        <w:spacing w:line="276" w:lineRule="auto"/>
        <w:jc w:val="center"/>
        <w:rPr>
          <w:rFonts w:cs="Arial"/>
          <w:sz w:val="24"/>
          <w:szCs w:val="24"/>
        </w:rPr>
      </w:pPr>
    </w:p>
    <w:p w:rsidR="008B726D" w:rsidRPr="00C71E51" w:rsidRDefault="008B726D" w:rsidP="00C71E51">
      <w:pPr>
        <w:pStyle w:val="Textoindependiente21"/>
        <w:spacing w:line="276" w:lineRule="auto"/>
        <w:jc w:val="center"/>
        <w:rPr>
          <w:rFonts w:cs="Arial"/>
          <w:sz w:val="24"/>
          <w:szCs w:val="24"/>
        </w:rPr>
      </w:pPr>
    </w:p>
    <w:p w:rsidR="008B726D" w:rsidRPr="00C71E51" w:rsidRDefault="008B726D" w:rsidP="00C71E51">
      <w:pPr>
        <w:spacing w:line="276" w:lineRule="auto"/>
        <w:jc w:val="both"/>
        <w:rPr>
          <w:rFonts w:ascii="Arial" w:hAnsi="Arial" w:cs="Arial"/>
          <w:sz w:val="24"/>
          <w:szCs w:val="24"/>
        </w:rPr>
      </w:pPr>
      <w:r w:rsidRPr="00C71E51">
        <w:rPr>
          <w:rFonts w:ascii="Arial" w:hAnsi="Arial" w:cs="Arial"/>
          <w:sz w:val="24"/>
          <w:szCs w:val="24"/>
        </w:rPr>
        <w:lastRenderedPageBreak/>
        <w:t xml:space="preserve">Procede la Sala de Decisión Laboral del Tribunal Superior del Distrito Judicial de Pereira a desatar el recurso de apelación interpuesto por </w:t>
      </w:r>
      <w:r w:rsidRPr="00C71E51">
        <w:rPr>
          <w:rFonts w:ascii="Arial" w:hAnsi="Arial" w:cs="Arial"/>
          <w:b/>
          <w:sz w:val="24"/>
          <w:szCs w:val="24"/>
        </w:rPr>
        <w:t>Colpensiones</w:t>
      </w:r>
      <w:r w:rsidRPr="00C71E51">
        <w:rPr>
          <w:rFonts w:ascii="Arial" w:hAnsi="Arial" w:cs="Arial"/>
          <w:sz w:val="24"/>
          <w:szCs w:val="24"/>
        </w:rPr>
        <w:t xml:space="preserve"> contra del auto proferido por el Primero Laboral del Circuito de Pereira el 03 de septiembre de 2021 dentro del proceso </w:t>
      </w:r>
      <w:r w:rsidRPr="00C71E51">
        <w:rPr>
          <w:rFonts w:ascii="Arial" w:hAnsi="Arial" w:cs="Arial"/>
          <w:b/>
          <w:sz w:val="24"/>
          <w:szCs w:val="24"/>
        </w:rPr>
        <w:t>ejecutivo laboral</w:t>
      </w:r>
      <w:r w:rsidRPr="00C71E51">
        <w:rPr>
          <w:rFonts w:ascii="Arial" w:hAnsi="Arial" w:cs="Arial"/>
          <w:sz w:val="24"/>
          <w:szCs w:val="24"/>
        </w:rPr>
        <w:t xml:space="preserve"> que le promueve el señor </w:t>
      </w:r>
      <w:r w:rsidRPr="00C71E51">
        <w:rPr>
          <w:rFonts w:ascii="Arial" w:hAnsi="Arial" w:cs="Arial"/>
          <w:b/>
          <w:sz w:val="24"/>
          <w:szCs w:val="24"/>
        </w:rPr>
        <w:t>Luis Ángel Posada</w:t>
      </w:r>
      <w:r w:rsidRPr="00C71E51">
        <w:rPr>
          <w:rFonts w:ascii="Arial" w:hAnsi="Arial" w:cs="Arial"/>
          <w:sz w:val="24"/>
          <w:szCs w:val="24"/>
        </w:rPr>
        <w:t>, cuya radicación corresponde al Nº 66001-31-05-001-2011-00035-01.</w:t>
      </w:r>
    </w:p>
    <w:p w:rsidR="008B726D" w:rsidRPr="00C71E51" w:rsidRDefault="008B726D" w:rsidP="00C71E51">
      <w:pPr>
        <w:spacing w:line="276" w:lineRule="auto"/>
        <w:jc w:val="both"/>
        <w:rPr>
          <w:rFonts w:ascii="Arial" w:hAnsi="Arial" w:cs="Arial"/>
          <w:sz w:val="24"/>
          <w:szCs w:val="24"/>
        </w:rPr>
      </w:pPr>
    </w:p>
    <w:p w:rsidR="008B726D" w:rsidRPr="00C71E51" w:rsidRDefault="008B726D" w:rsidP="00C71E51">
      <w:pPr>
        <w:spacing w:line="276" w:lineRule="auto"/>
        <w:jc w:val="both"/>
        <w:rPr>
          <w:rFonts w:ascii="Arial" w:hAnsi="Arial" w:cs="Arial"/>
          <w:sz w:val="24"/>
          <w:szCs w:val="24"/>
        </w:rPr>
      </w:pPr>
      <w:r w:rsidRPr="00C71E51">
        <w:rPr>
          <w:rFonts w:ascii="Arial" w:hAnsi="Arial" w:cs="Arial"/>
          <w:sz w:val="24"/>
          <w:szCs w:val="24"/>
        </w:rPr>
        <w:t>Previamente se revisó, discutió y aprobó el proyecto elaborado por el Magistrado ponente que corresponde a los siguientes,</w:t>
      </w:r>
    </w:p>
    <w:p w:rsidR="008B726D" w:rsidRPr="00C71E51" w:rsidRDefault="008B726D" w:rsidP="00C71E51">
      <w:pPr>
        <w:spacing w:line="276" w:lineRule="auto"/>
        <w:rPr>
          <w:rFonts w:ascii="Arial" w:hAnsi="Arial" w:cs="Arial"/>
          <w:sz w:val="24"/>
          <w:szCs w:val="24"/>
        </w:rPr>
      </w:pPr>
    </w:p>
    <w:p w:rsidR="008B726D" w:rsidRPr="00C71E51" w:rsidRDefault="008B726D" w:rsidP="00C71E51">
      <w:pPr>
        <w:pStyle w:val="Ttulo4"/>
        <w:spacing w:line="276" w:lineRule="auto"/>
        <w:rPr>
          <w:rFonts w:cs="Arial"/>
          <w:b/>
          <w:sz w:val="24"/>
          <w:szCs w:val="24"/>
        </w:rPr>
      </w:pPr>
      <w:r w:rsidRPr="00C71E51">
        <w:rPr>
          <w:rFonts w:cs="Arial"/>
          <w:b/>
          <w:sz w:val="24"/>
          <w:szCs w:val="24"/>
        </w:rPr>
        <w:t>ANTECEDENTES</w:t>
      </w:r>
    </w:p>
    <w:p w:rsidR="008B726D" w:rsidRPr="00C71E51" w:rsidRDefault="008B726D" w:rsidP="00C71E51">
      <w:pPr>
        <w:spacing w:line="276" w:lineRule="auto"/>
        <w:jc w:val="both"/>
        <w:rPr>
          <w:rFonts w:ascii="Arial" w:hAnsi="Arial" w:cs="Arial"/>
          <w:sz w:val="24"/>
          <w:szCs w:val="24"/>
        </w:rPr>
      </w:pPr>
    </w:p>
    <w:p w:rsidR="008B726D" w:rsidRPr="00C71E51" w:rsidRDefault="008B726D" w:rsidP="00C71E51">
      <w:pPr>
        <w:spacing w:line="276" w:lineRule="auto"/>
        <w:ind w:right="51"/>
        <w:jc w:val="both"/>
        <w:rPr>
          <w:rFonts w:ascii="Arial" w:hAnsi="Arial" w:cs="Arial"/>
          <w:sz w:val="24"/>
          <w:szCs w:val="24"/>
        </w:rPr>
      </w:pPr>
      <w:r w:rsidRPr="00C71E51">
        <w:rPr>
          <w:rFonts w:ascii="Arial" w:hAnsi="Arial" w:cs="Arial"/>
          <w:sz w:val="24"/>
          <w:szCs w:val="24"/>
        </w:rPr>
        <w:t xml:space="preserve">Luego de obtener sentencia favorable ante la jurisdicción laboral, el señor </w:t>
      </w:r>
      <w:r w:rsidR="006B7AD9" w:rsidRPr="00C71E51">
        <w:rPr>
          <w:rFonts w:ascii="Arial" w:hAnsi="Arial" w:cs="Arial"/>
          <w:sz w:val="24"/>
          <w:szCs w:val="24"/>
        </w:rPr>
        <w:t>Luis Ángel Posada</w:t>
      </w:r>
      <w:r w:rsidRPr="00C71E51">
        <w:rPr>
          <w:rFonts w:ascii="Arial" w:hAnsi="Arial" w:cs="Arial"/>
          <w:sz w:val="24"/>
          <w:szCs w:val="24"/>
        </w:rPr>
        <w:t xml:space="preserve"> inició acción ejecutiva con el fin de que fuera librado mandamiento de pago a su favor por la</w:t>
      </w:r>
      <w:r w:rsidR="00195942" w:rsidRPr="00C71E51">
        <w:rPr>
          <w:rFonts w:ascii="Arial" w:hAnsi="Arial" w:cs="Arial"/>
          <w:sz w:val="24"/>
          <w:szCs w:val="24"/>
        </w:rPr>
        <w:t>s mesadas pensionales causadas a partir del 3 de febrero de 201</w:t>
      </w:r>
      <w:r w:rsidR="000A0A07" w:rsidRPr="00C71E51">
        <w:rPr>
          <w:rFonts w:ascii="Arial" w:hAnsi="Arial" w:cs="Arial"/>
          <w:sz w:val="24"/>
          <w:szCs w:val="24"/>
        </w:rPr>
        <w:t>0 y hasta el 9 de febrero de 2011;</w:t>
      </w:r>
      <w:r w:rsidR="00195942" w:rsidRPr="00C71E51">
        <w:rPr>
          <w:rFonts w:ascii="Arial" w:hAnsi="Arial" w:cs="Arial"/>
          <w:sz w:val="24"/>
          <w:szCs w:val="24"/>
        </w:rPr>
        <w:t xml:space="preserve"> por los intereses moratorios, las costas del proceso ordinario liquidadas en la suma </w:t>
      </w:r>
      <w:r w:rsidR="00C71E51" w:rsidRPr="00C71E51">
        <w:rPr>
          <w:rFonts w:ascii="Arial" w:hAnsi="Arial" w:cs="Arial"/>
          <w:sz w:val="24"/>
          <w:szCs w:val="24"/>
        </w:rPr>
        <w:t>de $</w:t>
      </w:r>
      <w:r w:rsidRPr="00C71E51">
        <w:rPr>
          <w:rFonts w:ascii="Arial" w:hAnsi="Arial" w:cs="Arial"/>
          <w:sz w:val="24"/>
          <w:szCs w:val="24"/>
        </w:rPr>
        <w:t>7.498.400</w:t>
      </w:r>
      <w:r w:rsidR="652D1064" w:rsidRPr="00C71E51">
        <w:rPr>
          <w:rFonts w:ascii="Arial" w:eastAsia="Arial" w:hAnsi="Arial" w:cs="Arial"/>
          <w:color w:val="000000" w:themeColor="text1"/>
          <w:sz w:val="24"/>
          <w:szCs w:val="24"/>
          <w:lang w:val="es-ES"/>
        </w:rPr>
        <w:t xml:space="preserve"> y costas de la acción ejecutiva</w:t>
      </w:r>
      <w:r w:rsidRPr="00C71E51">
        <w:rPr>
          <w:rFonts w:ascii="Arial" w:hAnsi="Arial" w:cs="Arial"/>
          <w:sz w:val="24"/>
          <w:szCs w:val="24"/>
        </w:rPr>
        <w:t xml:space="preserve">.  Lo anterior obedeció a que Colpensiones, mediante Resolución No 5654 de 2012, lo incluyó en nómina de pensionados, pero </w:t>
      </w:r>
      <w:r w:rsidR="00C71E51" w:rsidRPr="00C71E51">
        <w:rPr>
          <w:rFonts w:ascii="Arial" w:hAnsi="Arial" w:cs="Arial"/>
          <w:sz w:val="24"/>
          <w:szCs w:val="24"/>
        </w:rPr>
        <w:t>sin cancelar</w:t>
      </w:r>
      <w:r w:rsidRPr="00C71E51">
        <w:rPr>
          <w:rFonts w:ascii="Arial" w:hAnsi="Arial" w:cs="Arial"/>
          <w:sz w:val="24"/>
          <w:szCs w:val="24"/>
        </w:rPr>
        <w:t xml:space="preserve"> los rubros antes </w:t>
      </w:r>
      <w:r w:rsidR="00C71E51" w:rsidRPr="00C71E51">
        <w:rPr>
          <w:rFonts w:ascii="Arial" w:hAnsi="Arial" w:cs="Arial"/>
          <w:sz w:val="24"/>
          <w:szCs w:val="24"/>
        </w:rPr>
        <w:t>referidos.</w:t>
      </w:r>
    </w:p>
    <w:p w:rsidR="008B726D" w:rsidRPr="00C71E51" w:rsidRDefault="008B726D" w:rsidP="00C71E51">
      <w:pPr>
        <w:spacing w:line="276" w:lineRule="auto"/>
        <w:ind w:right="51"/>
        <w:jc w:val="both"/>
        <w:rPr>
          <w:rFonts w:ascii="Arial" w:hAnsi="Arial" w:cs="Arial"/>
          <w:sz w:val="24"/>
          <w:szCs w:val="24"/>
        </w:rPr>
      </w:pPr>
    </w:p>
    <w:p w:rsidR="008B726D" w:rsidRPr="00C71E51" w:rsidRDefault="008B726D" w:rsidP="00C71E51">
      <w:pPr>
        <w:spacing w:line="276" w:lineRule="auto"/>
        <w:ind w:right="51"/>
        <w:jc w:val="both"/>
        <w:rPr>
          <w:rFonts w:ascii="Arial" w:hAnsi="Arial" w:cs="Arial"/>
          <w:sz w:val="24"/>
          <w:szCs w:val="24"/>
        </w:rPr>
      </w:pPr>
    </w:p>
    <w:p w:rsidR="008B726D" w:rsidRDefault="008B726D" w:rsidP="00C71E51">
      <w:pPr>
        <w:spacing w:line="276" w:lineRule="auto"/>
        <w:ind w:right="51"/>
        <w:jc w:val="both"/>
        <w:rPr>
          <w:rFonts w:ascii="Arial" w:hAnsi="Arial" w:cs="Arial"/>
          <w:sz w:val="24"/>
          <w:szCs w:val="24"/>
        </w:rPr>
      </w:pPr>
      <w:r w:rsidRPr="00C71E51">
        <w:rPr>
          <w:rFonts w:ascii="Arial" w:hAnsi="Arial" w:cs="Arial"/>
          <w:sz w:val="24"/>
          <w:szCs w:val="24"/>
        </w:rPr>
        <w:t xml:space="preserve">En providencia de fecha </w:t>
      </w:r>
      <w:r w:rsidR="00195942" w:rsidRPr="00C71E51">
        <w:rPr>
          <w:rFonts w:ascii="Arial" w:hAnsi="Arial" w:cs="Arial"/>
          <w:sz w:val="24"/>
          <w:szCs w:val="24"/>
        </w:rPr>
        <w:t>11 de febrero de 2013</w:t>
      </w:r>
      <w:r w:rsidRPr="00C71E51">
        <w:rPr>
          <w:rFonts w:ascii="Arial" w:hAnsi="Arial" w:cs="Arial"/>
          <w:sz w:val="24"/>
          <w:szCs w:val="24"/>
        </w:rPr>
        <w:t xml:space="preserve">, el juzgado de conocimiento libró </w:t>
      </w:r>
      <w:r w:rsidR="00195942" w:rsidRPr="00C71E51">
        <w:rPr>
          <w:rFonts w:ascii="Arial" w:hAnsi="Arial" w:cs="Arial"/>
          <w:sz w:val="24"/>
          <w:szCs w:val="24"/>
        </w:rPr>
        <w:t>el man</w:t>
      </w:r>
      <w:r w:rsidRPr="00C71E51">
        <w:rPr>
          <w:rFonts w:ascii="Arial" w:hAnsi="Arial" w:cs="Arial"/>
          <w:sz w:val="24"/>
          <w:szCs w:val="24"/>
        </w:rPr>
        <w:t>damiento de pago respect</w:t>
      </w:r>
      <w:r w:rsidR="00195942" w:rsidRPr="00C71E51">
        <w:rPr>
          <w:rFonts w:ascii="Arial" w:hAnsi="Arial" w:cs="Arial"/>
          <w:sz w:val="24"/>
          <w:szCs w:val="24"/>
        </w:rPr>
        <w:t>ivo</w:t>
      </w:r>
      <w:r w:rsidRPr="00C71E51">
        <w:rPr>
          <w:rFonts w:ascii="Arial" w:hAnsi="Arial" w:cs="Arial"/>
          <w:sz w:val="24"/>
          <w:szCs w:val="24"/>
        </w:rPr>
        <w:t xml:space="preserve"> y dispuso la notificación </w:t>
      </w:r>
      <w:r w:rsidR="000A0A07" w:rsidRPr="00C71E51">
        <w:rPr>
          <w:rFonts w:ascii="Arial" w:hAnsi="Arial" w:cs="Arial"/>
          <w:sz w:val="24"/>
          <w:szCs w:val="24"/>
        </w:rPr>
        <w:t>a Colpensiones de manera personal</w:t>
      </w:r>
      <w:r w:rsidRPr="00C71E51">
        <w:rPr>
          <w:rFonts w:ascii="Arial" w:hAnsi="Arial" w:cs="Arial"/>
          <w:sz w:val="24"/>
          <w:szCs w:val="24"/>
        </w:rPr>
        <w:t>.</w:t>
      </w:r>
    </w:p>
    <w:p w:rsidR="00C71E51" w:rsidRPr="00C71E51" w:rsidRDefault="00C71E51" w:rsidP="00C71E51">
      <w:pPr>
        <w:spacing w:line="276" w:lineRule="auto"/>
        <w:ind w:right="51"/>
        <w:jc w:val="both"/>
        <w:rPr>
          <w:rFonts w:ascii="Arial" w:hAnsi="Arial" w:cs="Arial"/>
          <w:sz w:val="24"/>
          <w:szCs w:val="24"/>
        </w:rPr>
      </w:pPr>
    </w:p>
    <w:p w:rsidR="003F61D7" w:rsidRPr="00C71E51" w:rsidRDefault="007D49EB" w:rsidP="00C71E51">
      <w:pPr>
        <w:pStyle w:val="paragraph"/>
        <w:spacing w:before="0" w:beforeAutospacing="0" w:after="0" w:afterAutospacing="0" w:line="276" w:lineRule="auto"/>
        <w:ind w:right="32"/>
        <w:textAlignment w:val="baseline"/>
        <w:rPr>
          <w:rStyle w:val="normaltextrun"/>
          <w:rFonts w:ascii="Arial" w:hAnsi="Arial" w:cs="Arial"/>
        </w:rPr>
      </w:pPr>
      <w:r w:rsidRPr="00C71E51">
        <w:rPr>
          <w:rFonts w:ascii="Arial" w:hAnsi="Arial" w:cs="Arial"/>
        </w:rPr>
        <w:t xml:space="preserve">Adelantado el trámite correspondiente sin que </w:t>
      </w:r>
      <w:r w:rsidR="006C0ED7" w:rsidRPr="00C71E51">
        <w:rPr>
          <w:rFonts w:ascii="Arial" w:hAnsi="Arial" w:cs="Arial"/>
        </w:rPr>
        <w:t>la ejecutada</w:t>
      </w:r>
      <w:r w:rsidRPr="00C71E51">
        <w:rPr>
          <w:rFonts w:ascii="Arial" w:hAnsi="Arial" w:cs="Arial"/>
        </w:rPr>
        <w:t xml:space="preserve"> formulara e</w:t>
      </w:r>
      <w:r w:rsidR="00224652" w:rsidRPr="00C71E51">
        <w:rPr>
          <w:rFonts w:ascii="Arial" w:hAnsi="Arial" w:cs="Arial"/>
        </w:rPr>
        <w:t xml:space="preserve">xcepciones como medio defensivo y encontrándose el expediente para presentar la liquidación del crédito, el juzgado de conocimiento, mediante auto de fecha 4 de septiembre de 2014, </w:t>
      </w:r>
      <w:r w:rsidR="006C0ED7" w:rsidRPr="00C71E51">
        <w:rPr>
          <w:rFonts w:ascii="Arial" w:hAnsi="Arial" w:cs="Arial"/>
        </w:rPr>
        <w:t>declaró la nulidad del mandamiento de pago respecto a</w:t>
      </w:r>
      <w:r w:rsidR="003F61D7" w:rsidRPr="00C71E51">
        <w:rPr>
          <w:rFonts w:ascii="Arial" w:hAnsi="Arial" w:cs="Arial"/>
        </w:rPr>
        <w:t xml:space="preserve"> las costas aprobadas en el proceso ordinario, al advertir que de acuerdo con el Decreto 2013 de 201</w:t>
      </w:r>
      <w:r w:rsidR="006C0ED7" w:rsidRPr="00C71E51">
        <w:rPr>
          <w:rFonts w:ascii="Arial" w:hAnsi="Arial" w:cs="Arial"/>
        </w:rPr>
        <w:t xml:space="preserve">2 y la jurisprudencia local, dichos rubros </w:t>
      </w:r>
      <w:r w:rsidR="003F61D7" w:rsidRPr="00C71E51">
        <w:rPr>
          <w:rStyle w:val="normaltextrun"/>
          <w:rFonts w:ascii="Arial" w:hAnsi="Arial" w:cs="Arial"/>
        </w:rPr>
        <w:t>debían ser reclamad</w:t>
      </w:r>
      <w:r w:rsidR="006C0ED7" w:rsidRPr="00C71E51">
        <w:rPr>
          <w:rStyle w:val="normaltextrun"/>
          <w:rFonts w:ascii="Arial" w:hAnsi="Arial" w:cs="Arial"/>
        </w:rPr>
        <w:t>o</w:t>
      </w:r>
      <w:r w:rsidR="003F61D7" w:rsidRPr="00C71E51">
        <w:rPr>
          <w:rStyle w:val="normaltextrun"/>
          <w:rFonts w:ascii="Arial" w:hAnsi="Arial" w:cs="Arial"/>
        </w:rPr>
        <w:t>s ante el liquidador del</w:t>
      </w:r>
      <w:r w:rsidR="006C0ED7" w:rsidRPr="00C71E51">
        <w:rPr>
          <w:rStyle w:val="normaltextrun"/>
          <w:rFonts w:ascii="Arial" w:hAnsi="Arial" w:cs="Arial"/>
        </w:rPr>
        <w:t xml:space="preserve"> Instituto de Seguros Sociales y no a través de la acción ejecutiva promovida a Colpensiones. </w:t>
      </w:r>
      <w:r w:rsidR="003F61D7" w:rsidRPr="00C71E51">
        <w:rPr>
          <w:rStyle w:val="normaltextrun"/>
          <w:rFonts w:ascii="Arial" w:hAnsi="Arial" w:cs="Arial"/>
        </w:rPr>
        <w:t>Contra dicha decisión ninguna inconformidad formuló la parte ejecutante.</w:t>
      </w:r>
    </w:p>
    <w:p w:rsidR="008B726D" w:rsidRPr="00C71E51" w:rsidRDefault="008B726D" w:rsidP="00C71E51">
      <w:pPr>
        <w:spacing w:line="276" w:lineRule="auto"/>
        <w:jc w:val="both"/>
        <w:rPr>
          <w:rFonts w:ascii="Arial" w:hAnsi="Arial" w:cs="Arial"/>
          <w:sz w:val="24"/>
          <w:szCs w:val="24"/>
        </w:rPr>
      </w:pPr>
    </w:p>
    <w:p w:rsidR="006C0ED7" w:rsidRPr="00C71E51" w:rsidRDefault="006C0ED7" w:rsidP="00C71E51">
      <w:pPr>
        <w:spacing w:line="276" w:lineRule="auto"/>
        <w:jc w:val="both"/>
        <w:rPr>
          <w:rFonts w:ascii="Arial" w:hAnsi="Arial" w:cs="Arial"/>
          <w:sz w:val="24"/>
          <w:szCs w:val="24"/>
        </w:rPr>
      </w:pPr>
      <w:r w:rsidRPr="00C71E51">
        <w:rPr>
          <w:rFonts w:ascii="Arial" w:hAnsi="Arial" w:cs="Arial"/>
          <w:sz w:val="24"/>
          <w:szCs w:val="24"/>
        </w:rPr>
        <w:t>Liquidado y aprobado el crédito, al igual que las costas del proceso ejecutivo, mediante auto de fecha 15 de diciembre de 2014, se dispuso la terminación del proceso al advertir que con los dineros aprisionados por cuenta de las medidas cautelares decretadas se cubría el total de la obligación.</w:t>
      </w:r>
    </w:p>
    <w:p w:rsidR="008B726D" w:rsidRPr="00C71E51" w:rsidRDefault="008B726D" w:rsidP="00C71E51">
      <w:pPr>
        <w:spacing w:line="276" w:lineRule="auto"/>
        <w:jc w:val="both"/>
        <w:rPr>
          <w:rFonts w:ascii="Arial" w:hAnsi="Arial" w:cs="Arial"/>
          <w:sz w:val="24"/>
          <w:szCs w:val="24"/>
        </w:rPr>
      </w:pPr>
    </w:p>
    <w:p w:rsidR="006C0ED7" w:rsidRPr="00C71E51" w:rsidRDefault="006C0ED7" w:rsidP="00C71E51">
      <w:pPr>
        <w:spacing w:line="276" w:lineRule="auto"/>
        <w:jc w:val="both"/>
        <w:rPr>
          <w:rFonts w:ascii="Arial" w:hAnsi="Arial" w:cs="Arial"/>
          <w:sz w:val="24"/>
          <w:szCs w:val="24"/>
        </w:rPr>
      </w:pPr>
      <w:r w:rsidRPr="00C71E51">
        <w:rPr>
          <w:rFonts w:ascii="Arial" w:hAnsi="Arial" w:cs="Arial"/>
          <w:sz w:val="24"/>
          <w:szCs w:val="24"/>
        </w:rPr>
        <w:t xml:space="preserve">En </w:t>
      </w:r>
      <w:r w:rsidR="00EF68AB" w:rsidRPr="00C71E51">
        <w:rPr>
          <w:rFonts w:ascii="Arial" w:hAnsi="Arial" w:cs="Arial"/>
          <w:sz w:val="24"/>
          <w:szCs w:val="24"/>
        </w:rPr>
        <w:t>memorial</w:t>
      </w:r>
      <w:r w:rsidRPr="00C71E51">
        <w:rPr>
          <w:rFonts w:ascii="Arial" w:hAnsi="Arial" w:cs="Arial"/>
          <w:sz w:val="24"/>
          <w:szCs w:val="24"/>
        </w:rPr>
        <w:t xml:space="preserve"> presentado al juzgado el 5 de junio de 2019, la parte actora solicitó que se librara mandamiento de pago por las costas aprobadas en el proceso ordinario, toda vez que el PAR ISS le informó que el pago de la obligación le correspondía a Colpensiones, entidad a la cual efectúo el cobro, señalando esta que una vez verificada la documentación que daba cuenta de la obligación, la remitió al área competente de efectuar el pago; no obstante, posterior a ello le fue informado de la afectación del fenómeno prescriptivo </w:t>
      </w:r>
      <w:r w:rsidR="00D722FE" w:rsidRPr="00C71E51">
        <w:rPr>
          <w:rFonts w:ascii="Arial" w:hAnsi="Arial" w:cs="Arial"/>
          <w:sz w:val="24"/>
          <w:szCs w:val="24"/>
        </w:rPr>
        <w:t xml:space="preserve">al rubro </w:t>
      </w:r>
      <w:r w:rsidRPr="00C71E51">
        <w:rPr>
          <w:rFonts w:ascii="Arial" w:hAnsi="Arial" w:cs="Arial"/>
          <w:sz w:val="24"/>
          <w:szCs w:val="24"/>
        </w:rPr>
        <w:t>cobrad</w:t>
      </w:r>
      <w:r w:rsidR="00D722FE" w:rsidRPr="00C71E51">
        <w:rPr>
          <w:rFonts w:ascii="Arial" w:hAnsi="Arial" w:cs="Arial"/>
          <w:sz w:val="24"/>
          <w:szCs w:val="24"/>
        </w:rPr>
        <w:t>o</w:t>
      </w:r>
      <w:r w:rsidRPr="00C71E51">
        <w:rPr>
          <w:rFonts w:ascii="Arial" w:hAnsi="Arial" w:cs="Arial"/>
          <w:sz w:val="24"/>
          <w:szCs w:val="24"/>
        </w:rPr>
        <w:t>.</w:t>
      </w:r>
    </w:p>
    <w:p w:rsidR="00D722FE" w:rsidRPr="00C71E51" w:rsidRDefault="00D722FE" w:rsidP="00C71E51">
      <w:pPr>
        <w:spacing w:line="276" w:lineRule="auto"/>
        <w:jc w:val="both"/>
        <w:rPr>
          <w:rFonts w:ascii="Arial" w:hAnsi="Arial" w:cs="Arial"/>
          <w:sz w:val="24"/>
          <w:szCs w:val="24"/>
        </w:rPr>
      </w:pPr>
    </w:p>
    <w:p w:rsidR="00D722FE" w:rsidRPr="00C71E51" w:rsidRDefault="00D722FE" w:rsidP="00C71E51">
      <w:pPr>
        <w:spacing w:line="276" w:lineRule="auto"/>
        <w:jc w:val="both"/>
        <w:rPr>
          <w:rFonts w:ascii="Arial" w:hAnsi="Arial" w:cs="Arial"/>
          <w:sz w:val="24"/>
          <w:szCs w:val="24"/>
        </w:rPr>
      </w:pPr>
      <w:r w:rsidRPr="00C71E51">
        <w:rPr>
          <w:rFonts w:ascii="Arial" w:hAnsi="Arial" w:cs="Arial"/>
          <w:sz w:val="24"/>
          <w:szCs w:val="24"/>
        </w:rPr>
        <w:t xml:space="preserve">En auto de fecha 13 de junio de 2019, el Juzgado Primero Laboral del Circuito </w:t>
      </w:r>
      <w:r w:rsidR="00333297" w:rsidRPr="00C71E51">
        <w:rPr>
          <w:rFonts w:ascii="Arial" w:hAnsi="Arial" w:cs="Arial"/>
          <w:sz w:val="24"/>
          <w:szCs w:val="24"/>
        </w:rPr>
        <w:t xml:space="preserve">de Pereira </w:t>
      </w:r>
      <w:r w:rsidRPr="00C71E51">
        <w:rPr>
          <w:rFonts w:ascii="Arial" w:hAnsi="Arial" w:cs="Arial"/>
          <w:sz w:val="24"/>
          <w:szCs w:val="24"/>
        </w:rPr>
        <w:t>libró mandamiento ejecut</w:t>
      </w:r>
      <w:r w:rsidR="00333297" w:rsidRPr="00C71E51">
        <w:rPr>
          <w:rFonts w:ascii="Arial" w:hAnsi="Arial" w:cs="Arial"/>
          <w:sz w:val="24"/>
          <w:szCs w:val="24"/>
        </w:rPr>
        <w:t>ivo</w:t>
      </w:r>
      <w:r w:rsidRPr="00C71E51">
        <w:rPr>
          <w:rFonts w:ascii="Arial" w:hAnsi="Arial" w:cs="Arial"/>
          <w:sz w:val="24"/>
          <w:szCs w:val="24"/>
        </w:rPr>
        <w:t xml:space="preserve"> por la suma de $7.498.400 y por las costas del </w:t>
      </w:r>
      <w:r w:rsidRPr="00C71E51">
        <w:rPr>
          <w:rFonts w:ascii="Arial" w:hAnsi="Arial" w:cs="Arial"/>
          <w:sz w:val="24"/>
          <w:szCs w:val="24"/>
        </w:rPr>
        <w:lastRenderedPageBreak/>
        <w:t xml:space="preserve">proceso ejecutivo, ordenando de paso la notificación personal a Colpensiones, como sujeto pasivo de la acción, entidad que dentro del término previsto en el numeral 2º del artículo 442 del C.G.P. </w:t>
      </w:r>
      <w:r w:rsidR="007160E7" w:rsidRPr="00C71E51">
        <w:rPr>
          <w:rFonts w:ascii="Arial" w:hAnsi="Arial" w:cs="Arial"/>
          <w:sz w:val="24"/>
          <w:szCs w:val="24"/>
        </w:rPr>
        <w:t>formulo cómo excepciones de “</w:t>
      </w:r>
      <w:r w:rsidR="007160E7" w:rsidRPr="00C71E51">
        <w:rPr>
          <w:rFonts w:ascii="Arial" w:hAnsi="Arial" w:cs="Arial"/>
          <w:i/>
          <w:sz w:val="24"/>
          <w:szCs w:val="24"/>
        </w:rPr>
        <w:t>Prescripción – Inexigibilidad de la Obligación, Inembargabilidad de las rentas y bienes de Colpensiones, Buena fe de Colpensiones y Declaratoria ”</w:t>
      </w:r>
      <w:r w:rsidR="007160E7" w:rsidRPr="00C71E51">
        <w:rPr>
          <w:rFonts w:ascii="Arial" w:hAnsi="Arial" w:cs="Arial"/>
          <w:sz w:val="24"/>
          <w:szCs w:val="24"/>
        </w:rPr>
        <w:t xml:space="preserve">. </w:t>
      </w:r>
    </w:p>
    <w:p w:rsidR="006C0ED7" w:rsidRPr="00C71E51" w:rsidRDefault="006C0ED7" w:rsidP="00C71E51">
      <w:pPr>
        <w:spacing w:line="276" w:lineRule="auto"/>
        <w:jc w:val="both"/>
        <w:rPr>
          <w:rFonts w:ascii="Arial" w:hAnsi="Arial" w:cs="Arial"/>
          <w:sz w:val="24"/>
          <w:szCs w:val="24"/>
        </w:rPr>
      </w:pPr>
    </w:p>
    <w:p w:rsidR="008B726D" w:rsidRPr="00C71E51" w:rsidRDefault="008B726D" w:rsidP="00C71E51">
      <w:pPr>
        <w:spacing w:line="276" w:lineRule="auto"/>
        <w:jc w:val="both"/>
        <w:rPr>
          <w:rFonts w:ascii="Arial" w:hAnsi="Arial" w:cs="Arial"/>
          <w:sz w:val="24"/>
          <w:szCs w:val="24"/>
        </w:rPr>
      </w:pPr>
      <w:r w:rsidRPr="00C71E51">
        <w:rPr>
          <w:rFonts w:ascii="Arial" w:hAnsi="Arial" w:cs="Arial"/>
          <w:sz w:val="24"/>
          <w:szCs w:val="24"/>
        </w:rPr>
        <w:t xml:space="preserve">En audiencia celebrada el </w:t>
      </w:r>
      <w:r w:rsidR="007160E7" w:rsidRPr="00C71E51">
        <w:rPr>
          <w:rFonts w:ascii="Arial" w:hAnsi="Arial" w:cs="Arial"/>
          <w:sz w:val="24"/>
          <w:szCs w:val="24"/>
        </w:rPr>
        <w:t>3 de septiembre</w:t>
      </w:r>
      <w:r w:rsidRPr="00C71E51">
        <w:rPr>
          <w:rFonts w:ascii="Arial" w:hAnsi="Arial" w:cs="Arial"/>
          <w:sz w:val="24"/>
          <w:szCs w:val="24"/>
        </w:rPr>
        <w:t xml:space="preserve"> de 20</w:t>
      </w:r>
      <w:r w:rsidR="007160E7" w:rsidRPr="00C71E51">
        <w:rPr>
          <w:rFonts w:ascii="Arial" w:hAnsi="Arial" w:cs="Arial"/>
          <w:sz w:val="24"/>
          <w:szCs w:val="24"/>
        </w:rPr>
        <w:t>21</w:t>
      </w:r>
      <w:r w:rsidRPr="00C71E51">
        <w:rPr>
          <w:rFonts w:ascii="Arial" w:hAnsi="Arial" w:cs="Arial"/>
          <w:sz w:val="24"/>
          <w:szCs w:val="24"/>
        </w:rPr>
        <w:t xml:space="preserve">, el juzgado de conocimiento, luego de precisar que las únicas excepciones respecto a las cuales podía pronunciarse, son las previstas en el artículo 442 del Código General del Proceso, por tratarse el título judicial de una sentencia legalmente </w:t>
      </w:r>
      <w:r w:rsidR="00EF68AB" w:rsidRPr="00C71E51">
        <w:rPr>
          <w:rFonts w:ascii="Arial" w:hAnsi="Arial" w:cs="Arial"/>
          <w:sz w:val="24"/>
          <w:szCs w:val="24"/>
        </w:rPr>
        <w:t>ejecutoriada, procedió</w:t>
      </w:r>
      <w:r w:rsidRPr="00C71E51">
        <w:rPr>
          <w:rFonts w:ascii="Arial" w:hAnsi="Arial" w:cs="Arial"/>
          <w:sz w:val="24"/>
          <w:szCs w:val="24"/>
        </w:rPr>
        <w:t xml:space="preserve"> a estudiar </w:t>
      </w:r>
      <w:r w:rsidR="00E10E3E" w:rsidRPr="00C71E51">
        <w:rPr>
          <w:rFonts w:ascii="Arial" w:hAnsi="Arial" w:cs="Arial"/>
          <w:sz w:val="24"/>
          <w:szCs w:val="24"/>
        </w:rPr>
        <w:t xml:space="preserve">solamente </w:t>
      </w:r>
      <w:r w:rsidRPr="00C71E51">
        <w:rPr>
          <w:rFonts w:ascii="Arial" w:hAnsi="Arial" w:cs="Arial"/>
          <w:sz w:val="24"/>
          <w:szCs w:val="24"/>
        </w:rPr>
        <w:t>la excepción de prescripción formulada por Colpensiones.</w:t>
      </w:r>
    </w:p>
    <w:p w:rsidR="008B726D" w:rsidRPr="00C71E51" w:rsidRDefault="008B726D" w:rsidP="00C71E51">
      <w:pPr>
        <w:spacing w:line="276" w:lineRule="auto"/>
        <w:jc w:val="both"/>
        <w:rPr>
          <w:rFonts w:ascii="Arial" w:hAnsi="Arial" w:cs="Arial"/>
          <w:sz w:val="24"/>
          <w:szCs w:val="24"/>
        </w:rPr>
      </w:pPr>
    </w:p>
    <w:p w:rsidR="00F052A4" w:rsidRPr="00C71E51" w:rsidRDefault="00F052A4" w:rsidP="00C71E51">
      <w:pPr>
        <w:spacing w:line="276" w:lineRule="auto"/>
        <w:jc w:val="both"/>
        <w:rPr>
          <w:rFonts w:ascii="Arial" w:hAnsi="Arial" w:cs="Arial"/>
          <w:sz w:val="24"/>
          <w:szCs w:val="24"/>
        </w:rPr>
      </w:pPr>
      <w:r w:rsidRPr="00C71E51">
        <w:rPr>
          <w:rFonts w:ascii="Arial" w:hAnsi="Arial" w:cs="Arial"/>
          <w:sz w:val="24"/>
          <w:szCs w:val="24"/>
        </w:rPr>
        <w:t xml:space="preserve">Pues bien, para resolver el medio exceptivo, señaló, soportada en la jurisprudencia nacional y local, que el término de prescripción en estos asuntos debe contabilizarse conforme lo previsto en los artículos 488 del Código Sustantivo del Trabajo y 151 del Código de Procedimiento Laboral y de la Seguridad Social, es decir tres (3) años contados a partir de la ejecutoria del auto que aprobó las costas procesales. </w:t>
      </w:r>
    </w:p>
    <w:p w:rsidR="008B726D" w:rsidRPr="00C71E51" w:rsidRDefault="008B726D" w:rsidP="00C71E51">
      <w:pPr>
        <w:spacing w:line="276" w:lineRule="auto"/>
        <w:jc w:val="both"/>
        <w:rPr>
          <w:rFonts w:ascii="Arial" w:hAnsi="Arial" w:cs="Arial"/>
          <w:sz w:val="24"/>
          <w:szCs w:val="24"/>
        </w:rPr>
      </w:pPr>
    </w:p>
    <w:p w:rsidR="00094FC8" w:rsidRPr="00C71E51" w:rsidRDefault="00F052A4" w:rsidP="00C71E51">
      <w:pPr>
        <w:spacing w:line="276" w:lineRule="auto"/>
        <w:jc w:val="both"/>
        <w:rPr>
          <w:rFonts w:ascii="Arial" w:hAnsi="Arial" w:cs="Arial"/>
          <w:sz w:val="24"/>
          <w:szCs w:val="24"/>
        </w:rPr>
      </w:pPr>
      <w:r w:rsidRPr="00C71E51">
        <w:rPr>
          <w:rFonts w:ascii="Arial" w:hAnsi="Arial" w:cs="Arial"/>
          <w:sz w:val="24"/>
          <w:szCs w:val="24"/>
        </w:rPr>
        <w:t>Indicó entonces en el caso concreto, que la fecha en que quedó en firme dicha providencia fue el 14 de diciembre de 2011, por lo tanto, la acción ejecutiva debía iniciarse del 14 de diciembre de 2014</w:t>
      </w:r>
      <w:r w:rsidR="00094FC8" w:rsidRPr="00C71E51">
        <w:rPr>
          <w:rFonts w:ascii="Arial" w:hAnsi="Arial" w:cs="Arial"/>
          <w:sz w:val="24"/>
          <w:szCs w:val="24"/>
        </w:rPr>
        <w:t>, lo cual no ocurrió dado que la solicitud de mandamiento de pago por las costas del proceso ordinario, fue radicada el 5 de junio de 2019.</w:t>
      </w:r>
    </w:p>
    <w:p w:rsidR="00094FC8" w:rsidRPr="00C71E51" w:rsidRDefault="00094FC8" w:rsidP="00C71E51">
      <w:pPr>
        <w:spacing w:line="276" w:lineRule="auto"/>
        <w:jc w:val="both"/>
        <w:rPr>
          <w:rFonts w:ascii="Arial" w:hAnsi="Arial" w:cs="Arial"/>
          <w:sz w:val="24"/>
          <w:szCs w:val="24"/>
        </w:rPr>
      </w:pPr>
    </w:p>
    <w:p w:rsidR="00333297" w:rsidRPr="00C71E51" w:rsidRDefault="00E657FF" w:rsidP="00C71E51">
      <w:pPr>
        <w:spacing w:line="276" w:lineRule="auto"/>
        <w:jc w:val="both"/>
        <w:rPr>
          <w:rFonts w:ascii="Arial" w:hAnsi="Arial" w:cs="Arial"/>
          <w:sz w:val="24"/>
          <w:szCs w:val="24"/>
        </w:rPr>
      </w:pPr>
      <w:r w:rsidRPr="00C71E51">
        <w:rPr>
          <w:rFonts w:ascii="Arial" w:hAnsi="Arial" w:cs="Arial"/>
          <w:sz w:val="24"/>
          <w:szCs w:val="24"/>
        </w:rPr>
        <w:t>Posteriormente</w:t>
      </w:r>
      <w:r w:rsidR="00094FC8" w:rsidRPr="00C71E51">
        <w:rPr>
          <w:rFonts w:ascii="Arial" w:hAnsi="Arial" w:cs="Arial"/>
          <w:sz w:val="24"/>
          <w:szCs w:val="24"/>
        </w:rPr>
        <w:t xml:space="preserve">, la </w:t>
      </w:r>
      <w:r w:rsidR="00094FC8" w:rsidRPr="00C71E51">
        <w:rPr>
          <w:rFonts w:ascii="Arial" w:hAnsi="Arial" w:cs="Arial"/>
          <w:i/>
          <w:iCs/>
          <w:sz w:val="24"/>
          <w:szCs w:val="24"/>
        </w:rPr>
        <w:t xml:space="preserve"> a quo</w:t>
      </w:r>
      <w:r w:rsidRPr="00C71E51">
        <w:rPr>
          <w:rFonts w:ascii="Arial" w:hAnsi="Arial" w:cs="Arial"/>
          <w:i/>
          <w:iCs/>
          <w:sz w:val="24"/>
          <w:szCs w:val="24"/>
        </w:rPr>
        <w:t xml:space="preserve">, </w:t>
      </w:r>
      <w:r w:rsidR="00094FC8" w:rsidRPr="00C71E51">
        <w:rPr>
          <w:rFonts w:ascii="Arial" w:hAnsi="Arial" w:cs="Arial"/>
          <w:i/>
          <w:iCs/>
          <w:sz w:val="24"/>
          <w:szCs w:val="24"/>
        </w:rPr>
        <w:t xml:space="preserve"> </w:t>
      </w:r>
      <w:r w:rsidRPr="00C71E51">
        <w:rPr>
          <w:rFonts w:ascii="Arial" w:hAnsi="Arial" w:cs="Arial"/>
          <w:sz w:val="24"/>
          <w:szCs w:val="24"/>
        </w:rPr>
        <w:t xml:space="preserve">luego de hacer un recuento relacionado con lo acontecido en el proceso ejecutivo anterior, en el cual se declaró la nulidad del mandamiento de pago respecto a las costas procesales aprobadas en proceso ordinario que originó el presente cobro y el trámite administrativo adelantado por el actor en procura de su pago, señaló que la reclamación efectuada a Colpensiones con esos fines se produjo el día 3 de junio de 2015, por lo que tampoco por esa vía sería posible continuar con el trámite de la acción ejecutiva por encontrarse prescrita la obligación. </w:t>
      </w:r>
    </w:p>
    <w:p w:rsidR="00333297" w:rsidRPr="00C71E51" w:rsidRDefault="00333297" w:rsidP="00C71E51">
      <w:pPr>
        <w:spacing w:line="276" w:lineRule="auto"/>
        <w:jc w:val="both"/>
        <w:rPr>
          <w:rFonts w:ascii="Arial" w:hAnsi="Arial" w:cs="Arial"/>
          <w:sz w:val="24"/>
          <w:szCs w:val="24"/>
        </w:rPr>
      </w:pPr>
    </w:p>
    <w:p w:rsidR="00333297" w:rsidRPr="00C71E51" w:rsidRDefault="00E657FF" w:rsidP="00C71E51">
      <w:pPr>
        <w:spacing w:line="276" w:lineRule="auto"/>
        <w:jc w:val="both"/>
        <w:rPr>
          <w:rFonts w:ascii="Arial" w:hAnsi="Arial" w:cs="Arial"/>
          <w:sz w:val="24"/>
          <w:szCs w:val="24"/>
        </w:rPr>
      </w:pPr>
      <w:r w:rsidRPr="00C71E51">
        <w:rPr>
          <w:rFonts w:ascii="Arial" w:hAnsi="Arial" w:cs="Arial"/>
          <w:sz w:val="24"/>
          <w:szCs w:val="24"/>
        </w:rPr>
        <w:t xml:space="preserve">No obstante ello, consideró que con la respuesta ofrecida por Colpensiones al </w:t>
      </w:r>
      <w:r w:rsidR="005A12E5" w:rsidRPr="00C71E51">
        <w:rPr>
          <w:rFonts w:ascii="Arial" w:hAnsi="Arial" w:cs="Arial"/>
          <w:sz w:val="24"/>
          <w:szCs w:val="24"/>
        </w:rPr>
        <w:t xml:space="preserve">actor el </w:t>
      </w:r>
      <w:r w:rsidR="00333297" w:rsidRPr="00C71E51">
        <w:rPr>
          <w:rFonts w:ascii="Arial" w:hAnsi="Arial" w:cs="Arial"/>
          <w:sz w:val="24"/>
          <w:szCs w:val="24"/>
        </w:rPr>
        <w:t>12 de febrero de 2019,</w:t>
      </w:r>
      <w:r w:rsidR="005A12E5" w:rsidRPr="00C71E51">
        <w:rPr>
          <w:rFonts w:ascii="Arial" w:hAnsi="Arial" w:cs="Arial"/>
          <w:sz w:val="24"/>
          <w:szCs w:val="24"/>
        </w:rPr>
        <w:t xml:space="preserve"> la entidad </w:t>
      </w:r>
      <w:r w:rsidR="00333297" w:rsidRPr="00C71E51">
        <w:rPr>
          <w:rFonts w:ascii="Arial" w:hAnsi="Arial" w:cs="Arial"/>
          <w:sz w:val="24"/>
          <w:szCs w:val="24"/>
        </w:rPr>
        <w:t>reconoce el val</w:t>
      </w:r>
      <w:r w:rsidR="005A12E5" w:rsidRPr="00C71E51">
        <w:rPr>
          <w:rFonts w:ascii="Arial" w:hAnsi="Arial" w:cs="Arial"/>
          <w:sz w:val="24"/>
          <w:szCs w:val="24"/>
        </w:rPr>
        <w:t>or</w:t>
      </w:r>
      <w:r w:rsidR="00333297" w:rsidRPr="00C71E51">
        <w:rPr>
          <w:rFonts w:ascii="Arial" w:hAnsi="Arial" w:cs="Arial"/>
          <w:sz w:val="24"/>
          <w:szCs w:val="24"/>
        </w:rPr>
        <w:t xml:space="preserve"> de las costas</w:t>
      </w:r>
      <w:r w:rsidR="005A12E5" w:rsidRPr="00C71E51">
        <w:rPr>
          <w:rFonts w:ascii="Arial" w:hAnsi="Arial" w:cs="Arial"/>
          <w:sz w:val="24"/>
          <w:szCs w:val="24"/>
        </w:rPr>
        <w:t xml:space="preserve"> adeudadas lo que tácitamente implicaba una renuncia a la prescripción; toda vez </w:t>
      </w:r>
      <w:r w:rsidR="00EF68AB" w:rsidRPr="00C71E51">
        <w:rPr>
          <w:rFonts w:ascii="Arial" w:hAnsi="Arial" w:cs="Arial"/>
          <w:sz w:val="24"/>
          <w:szCs w:val="24"/>
        </w:rPr>
        <w:t>que, a</w:t>
      </w:r>
      <w:r w:rsidR="005A12E5" w:rsidRPr="00C71E51">
        <w:rPr>
          <w:rFonts w:ascii="Arial" w:hAnsi="Arial" w:cs="Arial"/>
          <w:sz w:val="24"/>
          <w:szCs w:val="24"/>
        </w:rPr>
        <w:t xml:space="preserve"> pesar de que en el mismo escrito Colpensiones alegó que la obligación estaba prescrita, ello se refiere al proceso ejecutivo adelantado para el pago del retroactivo pensional de la pensión reconocida mediante sentencia de fecha 30 de septiembre de 2011. Por esta razón declaró no probado el medio exceptivo de prescripción propuesto por la ejecutada.</w:t>
      </w:r>
      <w:r w:rsidR="00333297" w:rsidRPr="00C71E51">
        <w:rPr>
          <w:rFonts w:ascii="Arial" w:hAnsi="Arial" w:cs="Arial"/>
          <w:sz w:val="24"/>
          <w:szCs w:val="24"/>
        </w:rPr>
        <w:t xml:space="preserve"> </w:t>
      </w:r>
    </w:p>
    <w:p w:rsidR="00333297" w:rsidRPr="00C71E51" w:rsidRDefault="00333297" w:rsidP="00C71E51">
      <w:pPr>
        <w:spacing w:line="276" w:lineRule="auto"/>
        <w:jc w:val="both"/>
        <w:rPr>
          <w:rFonts w:ascii="Arial" w:hAnsi="Arial" w:cs="Arial"/>
          <w:sz w:val="24"/>
          <w:szCs w:val="24"/>
        </w:rPr>
      </w:pPr>
    </w:p>
    <w:p w:rsidR="00333297" w:rsidRPr="00C71E51" w:rsidRDefault="008B726D" w:rsidP="00C71E51">
      <w:pPr>
        <w:spacing w:line="276" w:lineRule="auto"/>
        <w:ind w:right="51"/>
        <w:jc w:val="both"/>
        <w:rPr>
          <w:rFonts w:ascii="Arial" w:hAnsi="Arial" w:cs="Arial"/>
          <w:sz w:val="24"/>
          <w:szCs w:val="24"/>
        </w:rPr>
      </w:pPr>
      <w:r w:rsidRPr="00C71E51">
        <w:rPr>
          <w:rFonts w:ascii="Arial" w:hAnsi="Arial" w:cs="Arial"/>
          <w:sz w:val="24"/>
          <w:szCs w:val="24"/>
        </w:rPr>
        <w:t xml:space="preserve">Inconforme con la decisión, la parte ejecutada la apeló </w:t>
      </w:r>
      <w:r w:rsidR="00333297" w:rsidRPr="00C71E51">
        <w:rPr>
          <w:rFonts w:ascii="Arial" w:hAnsi="Arial" w:cs="Arial"/>
          <w:sz w:val="24"/>
          <w:szCs w:val="24"/>
        </w:rPr>
        <w:t xml:space="preserve">indicando que la entidad </w:t>
      </w:r>
      <w:r w:rsidR="005A12E5" w:rsidRPr="00C71E51">
        <w:rPr>
          <w:rFonts w:ascii="Arial" w:hAnsi="Arial" w:cs="Arial"/>
          <w:sz w:val="24"/>
          <w:szCs w:val="24"/>
        </w:rPr>
        <w:t xml:space="preserve">en la comunicación </w:t>
      </w:r>
      <w:proofErr w:type="spellStart"/>
      <w:r w:rsidR="00333297" w:rsidRPr="00C71E51">
        <w:rPr>
          <w:rFonts w:ascii="Arial" w:hAnsi="Arial" w:cs="Arial"/>
          <w:sz w:val="24"/>
          <w:szCs w:val="24"/>
        </w:rPr>
        <w:t>bizagi</w:t>
      </w:r>
      <w:proofErr w:type="spellEnd"/>
      <w:r w:rsidR="00333297" w:rsidRPr="00C71E51">
        <w:rPr>
          <w:rFonts w:ascii="Arial" w:hAnsi="Arial" w:cs="Arial"/>
          <w:sz w:val="24"/>
          <w:szCs w:val="24"/>
        </w:rPr>
        <w:t xml:space="preserve"> </w:t>
      </w:r>
      <w:r w:rsidR="005A12E5" w:rsidRPr="00C71E51">
        <w:rPr>
          <w:rFonts w:ascii="Arial" w:hAnsi="Arial" w:cs="Arial"/>
          <w:sz w:val="24"/>
          <w:szCs w:val="24"/>
        </w:rPr>
        <w:t xml:space="preserve">BZ </w:t>
      </w:r>
      <w:r w:rsidR="00333297" w:rsidRPr="00C71E51">
        <w:rPr>
          <w:rFonts w:ascii="Arial" w:hAnsi="Arial" w:cs="Arial"/>
          <w:sz w:val="24"/>
          <w:szCs w:val="24"/>
        </w:rPr>
        <w:t xml:space="preserve">219 12 de febrero de 2019 </w:t>
      </w:r>
      <w:r w:rsidR="004734D5" w:rsidRPr="00C71E51">
        <w:rPr>
          <w:rFonts w:ascii="Arial" w:hAnsi="Arial" w:cs="Arial"/>
          <w:sz w:val="24"/>
          <w:szCs w:val="24"/>
        </w:rPr>
        <w:t>no renunció de manera tácita a la prescripción, por el contrario, en el mismo oficio se indica que la negativa a pagar la obligación obedece precisamente a la que la misma fue afectada por el paso del tiempo, quedando imposibilitada la entidad de comprometer recursos de naturaleza pública para cancelar una obligación prescrita.</w:t>
      </w:r>
    </w:p>
    <w:p w:rsidR="004734D5" w:rsidRPr="00C71E51" w:rsidRDefault="004734D5" w:rsidP="00C71E51">
      <w:pPr>
        <w:spacing w:line="276" w:lineRule="auto"/>
        <w:ind w:right="51"/>
        <w:jc w:val="both"/>
        <w:rPr>
          <w:rFonts w:ascii="Arial" w:hAnsi="Arial" w:cs="Arial"/>
          <w:sz w:val="24"/>
          <w:szCs w:val="24"/>
        </w:rPr>
      </w:pPr>
    </w:p>
    <w:p w:rsidR="00B5402E" w:rsidRPr="00C71E51" w:rsidRDefault="00B5402E" w:rsidP="00C71E51">
      <w:pPr>
        <w:pStyle w:val="paragraph"/>
        <w:spacing w:before="0" w:beforeAutospacing="0" w:after="0" w:afterAutospacing="0" w:line="276" w:lineRule="auto"/>
        <w:jc w:val="center"/>
        <w:textAlignment w:val="baseline"/>
        <w:rPr>
          <w:rFonts w:ascii="Arial" w:hAnsi="Arial" w:cs="Arial"/>
        </w:rPr>
      </w:pPr>
      <w:r w:rsidRPr="00C71E51">
        <w:rPr>
          <w:rStyle w:val="normaltextrun"/>
          <w:rFonts w:ascii="Arial" w:hAnsi="Arial" w:cs="Arial"/>
          <w:b/>
          <w:bCs/>
        </w:rPr>
        <w:t>ALEGATOS DE CONCLUSIÓN     </w:t>
      </w:r>
      <w:r w:rsidRPr="00C71E51">
        <w:rPr>
          <w:rStyle w:val="eop"/>
          <w:rFonts w:ascii="Arial" w:hAnsi="Arial" w:cs="Arial"/>
        </w:rPr>
        <w:t> </w:t>
      </w:r>
    </w:p>
    <w:p w:rsidR="00B5402E" w:rsidRPr="00C71E51" w:rsidRDefault="00B5402E"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 </w:t>
      </w:r>
      <w:r w:rsidRPr="00C71E51">
        <w:rPr>
          <w:rStyle w:val="eop"/>
          <w:rFonts w:ascii="Arial" w:hAnsi="Arial" w:cs="Arial"/>
        </w:rPr>
        <w:t> </w:t>
      </w:r>
    </w:p>
    <w:p w:rsidR="00B5402E" w:rsidRPr="00C71E51" w:rsidRDefault="00B5402E" w:rsidP="00C71E51">
      <w:pPr>
        <w:pStyle w:val="paragraph"/>
        <w:spacing w:before="0" w:beforeAutospacing="0" w:after="0" w:afterAutospacing="0" w:line="276" w:lineRule="auto"/>
        <w:textAlignment w:val="baseline"/>
        <w:rPr>
          <w:rStyle w:val="normaltextrun"/>
          <w:rFonts w:ascii="Arial" w:hAnsi="Arial" w:cs="Arial"/>
        </w:rPr>
      </w:pPr>
      <w:r w:rsidRPr="00C71E51">
        <w:rPr>
          <w:rStyle w:val="normaltextrun"/>
          <w:rFonts w:ascii="Arial" w:hAnsi="Arial" w:cs="Arial"/>
        </w:rPr>
        <w:lastRenderedPageBreak/>
        <w:t>Conforme se dejó plasmado en la constancia emitida por la Secretaría de la Corporación, Colpensiones hizo uso del derecho a presentar los alegatos de insistiendo en la prosperidad de la excepción de prescripción en el asunto bajo examen, por haber trascurrido más de tres años entre que se hizo exigible la obligación y se presentó a la acción ejecutiva, trayendo como sustento providencia de esta Corporación.</w:t>
      </w:r>
    </w:p>
    <w:p w:rsidR="00B5402E" w:rsidRPr="00C71E51" w:rsidRDefault="00B5402E"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B5402E" w:rsidRPr="00C71E51" w:rsidRDefault="00B5402E"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Reunida la Sala, lo que corresponde es la solución del siguiente </w:t>
      </w:r>
      <w:r w:rsidRPr="00C71E51">
        <w:rPr>
          <w:rStyle w:val="eop"/>
          <w:rFonts w:ascii="Arial" w:hAnsi="Arial" w:cs="Arial"/>
        </w:rPr>
        <w:t> </w:t>
      </w:r>
    </w:p>
    <w:p w:rsidR="00B5402E" w:rsidRPr="00C71E51" w:rsidRDefault="00B5402E" w:rsidP="00C71E51">
      <w:pPr>
        <w:spacing w:line="276" w:lineRule="auto"/>
        <w:ind w:right="51"/>
        <w:jc w:val="both"/>
        <w:rPr>
          <w:rFonts w:ascii="Arial" w:hAnsi="Arial" w:cs="Arial"/>
          <w:sz w:val="24"/>
          <w:szCs w:val="24"/>
          <w:lang w:val="es-ES"/>
        </w:rPr>
      </w:pPr>
    </w:p>
    <w:p w:rsidR="008B726D" w:rsidRPr="00C71E51" w:rsidRDefault="008B726D" w:rsidP="00C71E51">
      <w:pPr>
        <w:widowControl w:val="0"/>
        <w:autoSpaceDE w:val="0"/>
        <w:autoSpaceDN w:val="0"/>
        <w:adjustRightInd w:val="0"/>
        <w:spacing w:line="276" w:lineRule="auto"/>
        <w:jc w:val="center"/>
        <w:rPr>
          <w:rFonts w:ascii="Arial" w:hAnsi="Arial" w:cs="Arial"/>
          <w:b/>
          <w:sz w:val="24"/>
          <w:szCs w:val="24"/>
        </w:rPr>
      </w:pPr>
      <w:r w:rsidRPr="00C71E51">
        <w:rPr>
          <w:rFonts w:ascii="Arial" w:hAnsi="Arial" w:cs="Arial"/>
          <w:b/>
          <w:sz w:val="24"/>
          <w:szCs w:val="24"/>
        </w:rPr>
        <w:t>PROBLEMA JURÍDICO</w:t>
      </w:r>
    </w:p>
    <w:p w:rsidR="008B726D" w:rsidRPr="00C71E51" w:rsidRDefault="008B726D" w:rsidP="00C71E51">
      <w:pPr>
        <w:widowControl w:val="0"/>
        <w:autoSpaceDE w:val="0"/>
        <w:autoSpaceDN w:val="0"/>
        <w:adjustRightInd w:val="0"/>
        <w:spacing w:line="276" w:lineRule="auto"/>
        <w:jc w:val="both"/>
        <w:rPr>
          <w:rFonts w:ascii="Arial" w:hAnsi="Arial" w:cs="Arial"/>
          <w:b/>
          <w:sz w:val="24"/>
          <w:szCs w:val="24"/>
        </w:rPr>
      </w:pPr>
    </w:p>
    <w:p w:rsidR="008B726D" w:rsidRPr="00C71E51" w:rsidRDefault="008B726D" w:rsidP="00C71E51">
      <w:pPr>
        <w:widowControl w:val="0"/>
        <w:autoSpaceDE w:val="0"/>
        <w:autoSpaceDN w:val="0"/>
        <w:adjustRightInd w:val="0"/>
        <w:spacing w:line="276" w:lineRule="auto"/>
        <w:ind w:left="567" w:right="618"/>
        <w:jc w:val="both"/>
        <w:rPr>
          <w:rFonts w:ascii="Arial" w:hAnsi="Arial" w:cs="Arial"/>
          <w:b/>
          <w:i/>
          <w:spacing w:val="2"/>
          <w:sz w:val="24"/>
          <w:szCs w:val="24"/>
        </w:rPr>
      </w:pPr>
      <w:r w:rsidRPr="00C71E51">
        <w:rPr>
          <w:rFonts w:ascii="Arial" w:hAnsi="Arial" w:cs="Arial"/>
          <w:b/>
          <w:i/>
          <w:spacing w:val="2"/>
          <w:sz w:val="24"/>
          <w:szCs w:val="24"/>
        </w:rPr>
        <w:t>¿Operó el fenómeno prescriptivo en el presente asunto?</w:t>
      </w:r>
    </w:p>
    <w:p w:rsidR="00333297" w:rsidRPr="00C71E51" w:rsidRDefault="00333297" w:rsidP="00C71E51">
      <w:pPr>
        <w:widowControl w:val="0"/>
        <w:autoSpaceDE w:val="0"/>
        <w:autoSpaceDN w:val="0"/>
        <w:adjustRightInd w:val="0"/>
        <w:spacing w:line="276" w:lineRule="auto"/>
        <w:ind w:left="567" w:right="618"/>
        <w:jc w:val="both"/>
        <w:rPr>
          <w:rFonts w:ascii="Arial" w:hAnsi="Arial" w:cs="Arial"/>
          <w:b/>
          <w:i/>
          <w:sz w:val="24"/>
          <w:szCs w:val="24"/>
        </w:rPr>
      </w:pPr>
    </w:p>
    <w:p w:rsidR="008B726D" w:rsidRPr="00C71E51" w:rsidRDefault="008B726D" w:rsidP="00C71E51">
      <w:pPr>
        <w:pStyle w:val="Textoindependiente"/>
        <w:spacing w:line="276" w:lineRule="auto"/>
        <w:rPr>
          <w:rFonts w:cs="Arial"/>
          <w:sz w:val="24"/>
          <w:szCs w:val="24"/>
        </w:rPr>
      </w:pPr>
      <w:r w:rsidRPr="00C71E51">
        <w:rPr>
          <w:rFonts w:cs="Arial"/>
          <w:sz w:val="24"/>
          <w:szCs w:val="24"/>
        </w:rPr>
        <w:t>Para resolver el interrogante planteado en el caso concreto, la Sala estima pertinente hacer las siguientes precisiones:</w:t>
      </w:r>
    </w:p>
    <w:p w:rsidR="008B726D" w:rsidRPr="00C71E51" w:rsidRDefault="008B726D" w:rsidP="00C71E51">
      <w:pPr>
        <w:pStyle w:val="Textoindependiente"/>
        <w:spacing w:line="276" w:lineRule="auto"/>
        <w:ind w:right="51"/>
        <w:rPr>
          <w:rStyle w:val="FontStyle16"/>
          <w:b/>
          <w:sz w:val="24"/>
          <w:szCs w:val="24"/>
          <w:lang w:eastAsia="es-ES_tradnl"/>
        </w:rPr>
      </w:pPr>
    </w:p>
    <w:p w:rsidR="00C0318F" w:rsidRPr="00C71E51" w:rsidRDefault="00C0318F" w:rsidP="00C71E51">
      <w:pPr>
        <w:pStyle w:val="Prrafodelista"/>
        <w:numPr>
          <w:ilvl w:val="0"/>
          <w:numId w:val="8"/>
        </w:numPr>
        <w:spacing w:line="276" w:lineRule="auto"/>
        <w:ind w:left="426" w:hanging="426"/>
        <w:jc w:val="both"/>
        <w:rPr>
          <w:rFonts w:ascii="Arial" w:eastAsia="Arial" w:hAnsi="Arial" w:cs="Arial"/>
          <w:b/>
          <w:bCs/>
          <w:sz w:val="24"/>
          <w:szCs w:val="24"/>
          <w:lang w:val="es-ES"/>
        </w:rPr>
      </w:pPr>
      <w:r w:rsidRPr="00C71E51">
        <w:rPr>
          <w:rFonts w:ascii="Arial" w:eastAsia="Arial" w:hAnsi="Arial" w:cs="Arial"/>
          <w:b/>
          <w:bCs/>
          <w:sz w:val="24"/>
          <w:szCs w:val="24"/>
          <w:lang w:val="es-ES"/>
        </w:rPr>
        <w:t>EL FENÓMENO DE LA PRESCRIPCIÓN</w:t>
      </w:r>
    </w:p>
    <w:p w:rsidR="00C0318F" w:rsidRPr="00C71E51" w:rsidRDefault="00C0318F" w:rsidP="00C71E51">
      <w:pPr>
        <w:spacing w:line="276" w:lineRule="auto"/>
        <w:ind w:right="51"/>
        <w:rPr>
          <w:rFonts w:ascii="Arial" w:eastAsia="Arial" w:hAnsi="Arial" w:cs="Arial"/>
          <w:sz w:val="24"/>
          <w:szCs w:val="24"/>
        </w:rPr>
      </w:pPr>
    </w:p>
    <w:p w:rsidR="00C0318F" w:rsidRPr="00C71E51" w:rsidRDefault="00C0318F" w:rsidP="00C71E51">
      <w:pPr>
        <w:spacing w:line="276" w:lineRule="auto"/>
        <w:ind w:right="51"/>
        <w:jc w:val="both"/>
        <w:rPr>
          <w:rFonts w:ascii="Arial" w:eastAsia="Arial" w:hAnsi="Arial" w:cs="Arial"/>
          <w:i/>
          <w:iCs/>
          <w:sz w:val="24"/>
          <w:szCs w:val="24"/>
        </w:rPr>
      </w:pPr>
      <w:r w:rsidRPr="00C71E51">
        <w:rPr>
          <w:rFonts w:ascii="Arial" w:eastAsia="Arial" w:hAnsi="Arial" w:cs="Arial"/>
          <w:color w:val="000000"/>
          <w:sz w:val="24"/>
          <w:szCs w:val="24"/>
        </w:rPr>
        <w:t xml:space="preserve">El artículo 151 del Estatuto Procesal Laboral dispone que </w:t>
      </w:r>
      <w:r w:rsidRPr="00C71E51">
        <w:rPr>
          <w:rFonts w:ascii="Arial" w:eastAsia="Arial" w:hAnsi="Arial" w:cs="Arial"/>
          <w:i/>
          <w:iCs/>
          <w:sz w:val="24"/>
          <w:szCs w:val="24"/>
        </w:rPr>
        <w:t>“</w:t>
      </w:r>
      <w:r w:rsidRPr="00EF68AB">
        <w:rPr>
          <w:rFonts w:ascii="Arial" w:eastAsia="Arial" w:hAnsi="Arial" w:cs="Arial"/>
          <w:i/>
          <w:iCs/>
          <w:sz w:val="22"/>
          <w:szCs w:val="24"/>
        </w:rPr>
        <w:t>La acciones que emanen de las leyes sociales prescribirán en tres años, que se contarán desde que la respectiva obligación se haya hecho exigible</w:t>
      </w:r>
      <w:r w:rsidRPr="00C71E51">
        <w:rPr>
          <w:rFonts w:ascii="Arial" w:eastAsia="Arial" w:hAnsi="Arial" w:cs="Arial"/>
          <w:i/>
          <w:iCs/>
          <w:sz w:val="24"/>
          <w:szCs w:val="24"/>
        </w:rPr>
        <w:t>”.</w:t>
      </w:r>
    </w:p>
    <w:p w:rsidR="00C0318F" w:rsidRPr="00C71E51" w:rsidRDefault="00C0318F" w:rsidP="00C71E51">
      <w:pPr>
        <w:spacing w:line="276" w:lineRule="auto"/>
        <w:ind w:right="51"/>
        <w:rPr>
          <w:rFonts w:ascii="Arial" w:eastAsia="Arial" w:hAnsi="Arial" w:cs="Arial"/>
          <w:sz w:val="24"/>
          <w:szCs w:val="24"/>
        </w:rPr>
      </w:pPr>
    </w:p>
    <w:p w:rsidR="00C0318F" w:rsidRPr="00C71E51" w:rsidRDefault="00C0318F" w:rsidP="00C71E51">
      <w:pPr>
        <w:pStyle w:val="paragraph"/>
        <w:spacing w:before="0" w:beforeAutospacing="0" w:after="0" w:afterAutospacing="0" w:line="276" w:lineRule="auto"/>
        <w:textAlignment w:val="baseline"/>
        <w:rPr>
          <w:rStyle w:val="eop"/>
          <w:rFonts w:ascii="Arial" w:hAnsi="Arial" w:cs="Arial"/>
        </w:rPr>
      </w:pPr>
      <w:r w:rsidRPr="00C71E51">
        <w:rPr>
          <w:rStyle w:val="normaltextrun"/>
          <w:rFonts w:ascii="Arial" w:hAnsi="Arial" w:cs="Arial"/>
          <w:b/>
          <w:bCs/>
        </w:rPr>
        <w:t xml:space="preserve"> 2. ACOGIMIENTO DE LA LINEA JURISPRUDENCIAL DE LA SALA DE CASACIÓN DE LA CORTE SUPREMA DE JUSTICIA FRENTE A LA PRESCRIPCIÓN DE LAS COSTAS PROCESALES.</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Style w:val="eop"/>
          <w:rFonts w:ascii="Arial" w:hAnsi="Arial" w:cs="Arial"/>
        </w:rPr>
      </w:pPr>
    </w:p>
    <w:p w:rsidR="00C0318F" w:rsidRPr="00C71E51" w:rsidRDefault="00C0318F" w:rsidP="00C71E51">
      <w:pPr>
        <w:pStyle w:val="paragraph"/>
        <w:spacing w:before="0" w:beforeAutospacing="0" w:after="0" w:afterAutospacing="0" w:line="276" w:lineRule="auto"/>
        <w:textAlignment w:val="baseline"/>
        <w:rPr>
          <w:rStyle w:val="normaltextrun"/>
          <w:rFonts w:ascii="Arial" w:hAnsi="Arial" w:cs="Arial"/>
        </w:rPr>
      </w:pPr>
      <w:r w:rsidRPr="00C71E51">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C0318F" w:rsidRPr="00C71E51" w:rsidRDefault="00C0318F" w:rsidP="00C71E51">
      <w:pPr>
        <w:pStyle w:val="paragraph"/>
        <w:spacing w:before="0" w:beforeAutospacing="0" w:after="0" w:afterAutospacing="0" w:line="276" w:lineRule="auto"/>
        <w:textAlignment w:val="baseline"/>
        <w:rPr>
          <w:rStyle w:val="normaltextrun"/>
          <w:rFonts w:ascii="Arial" w:hAnsi="Arial" w:cs="Arial"/>
        </w:rPr>
      </w:pP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EF68AB" w:rsidRDefault="00C0318F" w:rsidP="00EF68AB">
      <w:pPr>
        <w:pStyle w:val="paragraph"/>
        <w:spacing w:before="0" w:beforeAutospacing="0" w:after="0" w:afterAutospacing="0"/>
        <w:ind w:left="426" w:right="441"/>
        <w:textAlignment w:val="baseline"/>
        <w:rPr>
          <w:rFonts w:ascii="Arial" w:hAnsi="Arial" w:cs="Arial"/>
          <w:sz w:val="22"/>
        </w:rPr>
      </w:pPr>
      <w:r w:rsidRPr="00EF68AB">
        <w:rPr>
          <w:rStyle w:val="normaltextrun"/>
          <w:rFonts w:ascii="Arial" w:hAnsi="Arial" w:cs="Arial"/>
          <w:sz w:val="22"/>
        </w:rPr>
        <w:t>“</w:t>
      </w:r>
      <w:r w:rsidRPr="00EF68AB">
        <w:rPr>
          <w:rStyle w:val="normaltextrun"/>
          <w:rFonts w:ascii="Arial" w:hAnsi="Arial" w:cs="Arial"/>
          <w:i/>
          <w:iCs/>
          <w:sz w:val="22"/>
        </w:rPr>
        <w:t xml:space="preserve">Prescriben en tres años los gastos judiciales enumerados en el título VII, libro I del Código Judicial de la Unión, incluso los honorarios de los defensores; los médicos y </w:t>
      </w:r>
      <w:r w:rsidR="00EF68AB" w:rsidRPr="00EF68AB">
        <w:rPr>
          <w:rStyle w:val="normaltextrun"/>
          <w:rFonts w:ascii="Arial" w:hAnsi="Arial" w:cs="Arial"/>
          <w:i/>
          <w:iCs/>
          <w:sz w:val="22"/>
        </w:rPr>
        <w:t>cirujanos</w:t>
      </w:r>
      <w:r w:rsidR="00EF68AB" w:rsidRPr="00EF68AB">
        <w:rPr>
          <w:rStyle w:val="normaltextrun"/>
          <w:rFonts w:ascii="Arial" w:hAnsi="Arial" w:cs="Arial"/>
          <w:sz w:val="22"/>
        </w:rPr>
        <w:t>…</w:t>
      </w:r>
      <w:r w:rsidRPr="00EF68AB">
        <w:rPr>
          <w:rStyle w:val="normaltextrun"/>
          <w:rFonts w:ascii="Arial" w:hAnsi="Arial" w:cs="Arial"/>
          <w:sz w:val="22"/>
        </w:rPr>
        <w:t>”  </w:t>
      </w:r>
      <w:r w:rsidRPr="00EF68AB">
        <w:rPr>
          <w:rStyle w:val="eop"/>
          <w:rFonts w:ascii="Arial" w:hAnsi="Arial" w:cs="Arial"/>
          <w:sz w:val="22"/>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lastRenderedPageBreak/>
        <w:t>Los gastos judiciales a que hace referencia la norma, en el código judicial –ley 105 de 1931</w:t>
      </w:r>
      <w:r w:rsidR="00EF68AB">
        <w:rPr>
          <w:rStyle w:val="normaltextrun"/>
          <w:rFonts w:ascii="Arial" w:hAnsi="Arial" w:cs="Arial"/>
        </w:rPr>
        <w:t>–</w:t>
      </w:r>
      <w:r w:rsidR="00EF68AB" w:rsidRPr="00C71E51">
        <w:rPr>
          <w:rStyle w:val="normaltextrun"/>
          <w:rFonts w:ascii="Arial" w:hAnsi="Arial" w:cs="Arial"/>
        </w:rPr>
        <w:t> en</w:t>
      </w:r>
      <w:r w:rsidRPr="00C71E51">
        <w:rPr>
          <w:rStyle w:val="normaltextrun"/>
          <w:rFonts w:ascii="Arial" w:hAnsi="Arial" w:cs="Arial"/>
        </w:rPr>
        <w:t xml:space="preserve"> su título XVI, en sus dos capítulos (arancel y costas) en cuanto a estas últimas, previó lo siguiente:</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EF68AB" w:rsidRDefault="00C0318F" w:rsidP="00EA094E">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b/>
          <w:sz w:val="22"/>
        </w:rPr>
        <w:t>ARTÍCULO 578.-</w:t>
      </w:r>
      <w:r w:rsidRPr="00EF68AB">
        <w:rPr>
          <w:rStyle w:val="normaltextrun"/>
          <w:rFonts w:ascii="Arial" w:hAnsi="Arial" w:cs="Arial"/>
          <w:sz w:val="22"/>
        </w:rPr>
        <w:t xml:space="preserve"> En toda liquidación de costas se computa a cargo de la parte a quien se imponen: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1°. El papel sellado y los portes de correo.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2°. Los gastos judiciales de que se trata en el CAPITULO I de este TITULO y los demás que autorice la ley, o que por la naturaleza del negocio hayan sido indispensables; y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  </w:t>
      </w:r>
      <w:r w:rsidRPr="00EF68AB">
        <w:rPr>
          <w:rStyle w:val="normaltextrun"/>
          <w:sz w:val="22"/>
        </w:rPr>
        <w:t> </w:t>
      </w:r>
    </w:p>
    <w:p w:rsidR="00C0318F" w:rsidRPr="00EF68AB" w:rsidRDefault="00C0318F" w:rsidP="00EF68AB">
      <w:pPr>
        <w:pStyle w:val="paragraph"/>
        <w:spacing w:before="0" w:beforeAutospacing="0" w:after="0" w:afterAutospacing="0"/>
        <w:ind w:left="426" w:right="441"/>
        <w:textAlignment w:val="baseline"/>
        <w:rPr>
          <w:rStyle w:val="normaltextrun"/>
          <w:sz w:val="22"/>
        </w:rPr>
      </w:pPr>
      <w:r w:rsidRPr="00EF68AB">
        <w:rPr>
          <w:rStyle w:val="normaltextrun"/>
          <w:rFonts w:ascii="Arial" w:hAnsi="Arial" w:cs="Arial"/>
          <w:sz w:val="22"/>
        </w:rPr>
        <w:t>3°. Las diligencias, escritos o alegatos verbales de la parte favorecida o de su apoderado en el juicio, y la atención o vigilancia que le haya prestado al negocio. </w:t>
      </w:r>
      <w:r w:rsidRPr="00EF68AB">
        <w:rPr>
          <w:rStyle w:val="normaltextrun"/>
          <w:sz w:val="22"/>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Esos conceptos</w:t>
      </w:r>
      <w:r w:rsidR="00490A54">
        <w:rPr>
          <w:rStyle w:val="normaltextrun"/>
          <w:rFonts w:ascii="Arial" w:hAnsi="Arial" w:cs="Arial"/>
        </w:rPr>
        <w:t xml:space="preserve"> </w:t>
      </w:r>
      <w:r w:rsidRPr="00C71E51">
        <w:rPr>
          <w:rStyle w:val="normaltextrun"/>
          <w:rFonts w:ascii="Arial" w:hAnsi="Arial" w:cs="Arial"/>
        </w:rPr>
        <w:t>a su vez fueron</w:t>
      </w:r>
      <w:r w:rsidR="00490A54">
        <w:rPr>
          <w:rStyle w:val="normaltextrun"/>
          <w:rFonts w:ascii="Arial" w:hAnsi="Arial" w:cs="Arial"/>
        </w:rPr>
        <w:t xml:space="preserve"> </w:t>
      </w:r>
      <w:r w:rsidRPr="00C71E51">
        <w:rPr>
          <w:rStyle w:val="normaltextrun"/>
          <w:rFonts w:ascii="Arial" w:hAnsi="Arial" w:cs="Arial"/>
        </w:rPr>
        <w:t>desarrollados</w:t>
      </w:r>
      <w:r w:rsidR="00490A54">
        <w:rPr>
          <w:rStyle w:val="normaltextrun"/>
          <w:rFonts w:ascii="Arial" w:hAnsi="Arial" w:cs="Arial"/>
        </w:rPr>
        <w:t xml:space="preserve"> </w:t>
      </w:r>
      <w:r w:rsidRPr="00C71E51">
        <w:rPr>
          <w:rStyle w:val="normaltextrun"/>
          <w:rFonts w:ascii="Arial" w:hAnsi="Arial" w:cs="Arial"/>
        </w:rPr>
        <w:t>en el C.P.C. de 1970 en los títulos XIX y XX bajo iguales denominaciones de expensas y costas y así</w:t>
      </w:r>
      <w:r w:rsidR="00EF68AB">
        <w:rPr>
          <w:rStyle w:val="normaltextrun"/>
          <w:rFonts w:ascii="Arial" w:hAnsi="Arial" w:cs="Arial"/>
        </w:rPr>
        <w:t xml:space="preserve"> </w:t>
      </w:r>
      <w:r w:rsidRPr="00C71E51">
        <w:rPr>
          <w:rStyle w:val="normaltextrun"/>
          <w:rFonts w:ascii="Arial" w:hAnsi="Arial" w:cs="Arial"/>
        </w:rPr>
        <w:t>se mantienen</w:t>
      </w:r>
      <w:r w:rsidR="00EF68AB">
        <w:rPr>
          <w:rStyle w:val="normaltextrun"/>
          <w:rFonts w:ascii="Arial" w:hAnsi="Arial" w:cs="Arial"/>
        </w:rPr>
        <w:t xml:space="preserve"> </w:t>
      </w:r>
      <w:r w:rsidRPr="00C71E51">
        <w:rPr>
          <w:rStyle w:val="normaltextrun"/>
          <w:rFonts w:ascii="Arial" w:hAnsi="Arial" w:cs="Arial"/>
        </w:rPr>
        <w:t>hasta la actualidad.</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  </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De allí que si bien la norma inicialmente citada (Art. 2542 C.C.) no se refiere a las “</w:t>
      </w:r>
      <w:r w:rsidRPr="00490A54">
        <w:rPr>
          <w:rStyle w:val="normaltextrun"/>
          <w:rFonts w:ascii="Arial" w:hAnsi="Arial" w:cs="Arial"/>
          <w:i/>
          <w:iCs/>
          <w:sz w:val="22"/>
        </w:rPr>
        <w:t>costas procesales</w:t>
      </w:r>
      <w:r w:rsidRPr="00C71E51">
        <w:rPr>
          <w:rStyle w:val="normaltextrun"/>
          <w:rFonts w:ascii="Arial" w:hAnsi="Arial" w:cs="Arial"/>
        </w:rPr>
        <w:t>”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b/>
          <w:bCs/>
        </w:rPr>
        <w:t>3. LA INTERRUPCIÓN DE LA PRESCRIPCIÓN ENTRATÁNDOSE DE COSTAS JUDICIALES.</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Al respecto del tema propuesto en providencia STL7311 de 2019, dejó dicho la Sala e casación Laboral de la Corte Suprema de Justicia lo que sigue:</w:t>
      </w:r>
      <w:r w:rsidRPr="00C71E51">
        <w:rPr>
          <w:rStyle w:val="eop"/>
          <w:rFonts w:ascii="Arial" w:hAnsi="Arial" w:cs="Arial"/>
        </w:rPr>
        <w:t> </w:t>
      </w:r>
    </w:p>
    <w:p w:rsidR="00C0318F" w:rsidRPr="00C71E51" w:rsidRDefault="00C0318F"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C0318F" w:rsidRPr="00490A54" w:rsidRDefault="00C0318F" w:rsidP="00490A54">
      <w:pPr>
        <w:pStyle w:val="paragraph"/>
        <w:spacing w:before="0" w:beforeAutospacing="0" w:after="0" w:afterAutospacing="0"/>
        <w:ind w:left="426" w:right="441"/>
        <w:textAlignment w:val="baseline"/>
        <w:rPr>
          <w:rStyle w:val="normaltextrun"/>
          <w:sz w:val="22"/>
        </w:rPr>
      </w:pPr>
      <w:r w:rsidRPr="00490A54">
        <w:rPr>
          <w:rStyle w:val="normaltextrun"/>
          <w:rFonts w:ascii="Arial" w:hAnsi="Arial" w:cs="Arial"/>
          <w:sz w:val="22"/>
        </w:rPr>
        <w:lastRenderedPageBreak/>
        <w:t>“Sobre el particular, esta Sala de la Corte, recientemente en sentencias CSJ STL14542-2018 y CSJ STL7447-2019, puso de presente el criterio acogido frente al tema que nos ocupa, para lo cual, en esta última providencia sostuvo: </w:t>
      </w:r>
      <w:r w:rsidRPr="00490A54">
        <w:rPr>
          <w:rStyle w:val="normaltextrun"/>
          <w:sz w:val="22"/>
        </w:rPr>
        <w:t> </w:t>
      </w:r>
    </w:p>
    <w:p w:rsidR="00C0318F" w:rsidRPr="00490A54" w:rsidRDefault="00C0318F" w:rsidP="00490A54">
      <w:pPr>
        <w:pStyle w:val="paragraph"/>
        <w:spacing w:before="0" w:beforeAutospacing="0" w:after="0" w:afterAutospacing="0"/>
        <w:ind w:left="426" w:right="441"/>
        <w:textAlignment w:val="baseline"/>
        <w:rPr>
          <w:rStyle w:val="normaltextrun"/>
          <w:sz w:val="22"/>
        </w:rPr>
      </w:pPr>
      <w:r w:rsidRPr="00490A54">
        <w:rPr>
          <w:rStyle w:val="normaltextrun"/>
          <w:sz w:val="22"/>
        </w:rPr>
        <w:t> </w:t>
      </w:r>
    </w:p>
    <w:p w:rsidR="00C0318F" w:rsidRPr="00490A54" w:rsidRDefault="00C0318F" w:rsidP="00490A54">
      <w:pPr>
        <w:pStyle w:val="paragraph"/>
        <w:spacing w:before="0" w:beforeAutospacing="0" w:after="0" w:afterAutospacing="0"/>
        <w:ind w:left="851" w:right="845"/>
        <w:textAlignment w:val="baseline"/>
        <w:rPr>
          <w:rFonts w:ascii="Arial" w:hAnsi="Arial" w:cs="Arial"/>
          <w:sz w:val="22"/>
        </w:rPr>
      </w:pPr>
      <w:r w:rsidRPr="00490A54">
        <w:rPr>
          <w:rStyle w:val="normaltextrun"/>
          <w:rFonts w:ascii="Arial" w:hAnsi="Arial" w:cs="Arial"/>
          <w:sz w:val="22"/>
        </w:rPr>
        <w:t>“Sobre el tema, y en consideración a los planteamientos esbozados por la accionante, en relación a la aplicabilidad del artículo 6° del C.P.T., en sentencia STL11275-2016 se dijo lo siguiente: </w:t>
      </w:r>
      <w:r w:rsidRPr="00490A54">
        <w:rPr>
          <w:rStyle w:val="eop"/>
          <w:rFonts w:ascii="Arial" w:hAnsi="Arial" w:cs="Arial"/>
          <w:sz w:val="22"/>
        </w:rPr>
        <w:t> </w:t>
      </w:r>
    </w:p>
    <w:p w:rsidR="00C0318F" w:rsidRPr="00490A54" w:rsidRDefault="00C0318F" w:rsidP="00490A54">
      <w:pPr>
        <w:pStyle w:val="paragraph"/>
        <w:spacing w:before="0" w:beforeAutospacing="0" w:after="0" w:afterAutospacing="0"/>
        <w:ind w:left="851" w:right="845"/>
        <w:textAlignment w:val="baseline"/>
        <w:rPr>
          <w:rFonts w:ascii="Arial" w:hAnsi="Arial" w:cs="Arial"/>
          <w:sz w:val="22"/>
        </w:rPr>
      </w:pPr>
      <w:r w:rsidRPr="00490A54">
        <w:rPr>
          <w:rStyle w:val="eop"/>
          <w:rFonts w:ascii="Arial" w:hAnsi="Arial" w:cs="Arial"/>
          <w:sz w:val="22"/>
        </w:rPr>
        <w:t> </w:t>
      </w:r>
    </w:p>
    <w:p w:rsidR="00C0318F" w:rsidRPr="00490A54" w:rsidRDefault="00C0318F" w:rsidP="00490A54">
      <w:pPr>
        <w:pStyle w:val="paragraph"/>
        <w:spacing w:before="0" w:beforeAutospacing="0" w:after="0" w:afterAutospacing="0"/>
        <w:ind w:left="851" w:right="845"/>
        <w:textAlignment w:val="baseline"/>
        <w:rPr>
          <w:rFonts w:ascii="Arial" w:hAnsi="Arial" w:cs="Arial"/>
          <w:sz w:val="22"/>
        </w:rPr>
      </w:pPr>
      <w:r w:rsidRPr="00490A54">
        <w:rPr>
          <w:rStyle w:val="normaltextrun"/>
          <w:rFonts w:ascii="Arial" w:hAnsi="Arial" w:cs="Arial"/>
          <w:sz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r w:rsidRPr="00490A54">
        <w:rPr>
          <w:rStyle w:val="eop"/>
          <w:rFonts w:ascii="Arial" w:hAnsi="Arial" w:cs="Arial"/>
          <w:sz w:val="22"/>
        </w:rPr>
        <w:t> </w:t>
      </w:r>
    </w:p>
    <w:p w:rsidR="00C0318F" w:rsidRPr="00490A54" w:rsidRDefault="00C0318F" w:rsidP="00490A54">
      <w:pPr>
        <w:pStyle w:val="paragraph"/>
        <w:spacing w:before="0" w:beforeAutospacing="0" w:after="0" w:afterAutospacing="0"/>
        <w:ind w:left="851" w:right="845"/>
        <w:textAlignment w:val="baseline"/>
        <w:rPr>
          <w:rFonts w:ascii="Arial" w:hAnsi="Arial" w:cs="Arial"/>
          <w:sz w:val="22"/>
        </w:rPr>
      </w:pPr>
      <w:r w:rsidRPr="00490A54">
        <w:rPr>
          <w:rStyle w:val="eop"/>
          <w:rFonts w:ascii="Arial" w:hAnsi="Arial" w:cs="Arial"/>
          <w:sz w:val="22"/>
        </w:rPr>
        <w:t> </w:t>
      </w:r>
    </w:p>
    <w:p w:rsidR="00C0318F" w:rsidRPr="00490A54" w:rsidRDefault="00C0318F" w:rsidP="00490A54">
      <w:pPr>
        <w:pStyle w:val="paragraph"/>
        <w:spacing w:before="0" w:beforeAutospacing="0" w:after="0" w:afterAutospacing="0"/>
        <w:ind w:left="851" w:right="845"/>
        <w:textAlignment w:val="baseline"/>
        <w:rPr>
          <w:rFonts w:ascii="Arial" w:hAnsi="Arial" w:cs="Arial"/>
          <w:sz w:val="22"/>
        </w:rPr>
      </w:pPr>
      <w:r w:rsidRPr="00490A54">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490A54">
        <w:rPr>
          <w:rStyle w:val="normaltextrun"/>
          <w:rFonts w:ascii="Arial" w:hAnsi="Arial" w:cs="Arial"/>
          <w:b/>
          <w:bCs/>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490A54">
        <w:rPr>
          <w:rStyle w:val="normaltextrun"/>
          <w:rFonts w:ascii="Arial" w:hAnsi="Arial" w:cs="Arial"/>
          <w:b/>
          <w:bCs/>
          <w:sz w:val="22"/>
        </w:rPr>
        <w:t>fl</w:t>
      </w:r>
      <w:proofErr w:type="spellEnd"/>
      <w:r w:rsidRPr="00490A54">
        <w:rPr>
          <w:rStyle w:val="normaltextrun"/>
          <w:rFonts w:ascii="Arial" w:hAnsi="Arial" w:cs="Arial"/>
          <w:b/>
          <w:bCs/>
          <w:sz w:val="22"/>
        </w:rPr>
        <w:t>. 74), debiendo entonces darse aplicación al contenido, en estricto rigor, del artículo 151 del estatuto procesal laboral que predica la prescripción trienal”</w:t>
      </w:r>
      <w:r w:rsidRPr="00490A54">
        <w:rPr>
          <w:rStyle w:val="normaltextrun"/>
          <w:rFonts w:ascii="Arial" w:hAnsi="Arial" w:cs="Arial"/>
          <w:i/>
          <w:iCs/>
          <w:sz w:val="22"/>
        </w:rPr>
        <w:t>(negrilla fuera de texto)</w:t>
      </w:r>
      <w:r w:rsidRPr="00490A54">
        <w:rPr>
          <w:rStyle w:val="normaltextrun"/>
          <w:rFonts w:ascii="Arial" w:hAnsi="Arial" w:cs="Arial"/>
          <w:sz w:val="22"/>
        </w:rPr>
        <w:t>.</w:t>
      </w:r>
      <w:r w:rsidRPr="00490A54">
        <w:rPr>
          <w:rStyle w:val="eop"/>
          <w:rFonts w:ascii="Arial" w:hAnsi="Arial" w:cs="Arial"/>
          <w:sz w:val="22"/>
        </w:rPr>
        <w:t> </w:t>
      </w:r>
    </w:p>
    <w:p w:rsidR="00C0318F" w:rsidRPr="00490A54" w:rsidRDefault="00C0318F" w:rsidP="00490A54">
      <w:pPr>
        <w:pStyle w:val="paragraph"/>
        <w:spacing w:before="0" w:beforeAutospacing="0" w:after="0" w:afterAutospacing="0"/>
        <w:ind w:left="426" w:right="441"/>
        <w:textAlignment w:val="baseline"/>
        <w:rPr>
          <w:rStyle w:val="normaltextrun"/>
          <w:sz w:val="22"/>
        </w:rPr>
      </w:pPr>
      <w:r w:rsidRPr="00490A54">
        <w:rPr>
          <w:rStyle w:val="normaltextrun"/>
          <w:sz w:val="22"/>
        </w:rPr>
        <w:t> </w:t>
      </w:r>
    </w:p>
    <w:p w:rsidR="00C0318F" w:rsidRPr="00490A54" w:rsidRDefault="00C0318F" w:rsidP="00490A54">
      <w:pPr>
        <w:pStyle w:val="paragraph"/>
        <w:spacing w:before="0" w:beforeAutospacing="0" w:after="0" w:afterAutospacing="0"/>
        <w:ind w:left="426" w:right="441"/>
        <w:textAlignment w:val="baseline"/>
        <w:rPr>
          <w:rStyle w:val="normaltextrun"/>
          <w:sz w:val="22"/>
        </w:rPr>
      </w:pPr>
      <w:r w:rsidRPr="00490A54">
        <w:rPr>
          <w:rStyle w:val="normaltextrun"/>
          <w:rFonts w:ascii="Arial" w:hAnsi="Arial"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sidRPr="00490A54">
        <w:rPr>
          <w:rStyle w:val="normaltextrun"/>
          <w:sz w:val="22"/>
        </w:rPr>
        <w:t> </w:t>
      </w:r>
    </w:p>
    <w:p w:rsidR="00C0318F" w:rsidRPr="00C71E51" w:rsidRDefault="00C0318F" w:rsidP="00C71E51">
      <w:pPr>
        <w:pStyle w:val="paragraph"/>
        <w:spacing w:before="0" w:beforeAutospacing="0" w:after="0" w:afterAutospacing="0" w:line="276" w:lineRule="auto"/>
        <w:textAlignment w:val="baseline"/>
        <w:rPr>
          <w:rStyle w:val="eop"/>
          <w:rFonts w:ascii="Arial" w:hAnsi="Arial" w:cs="Arial"/>
        </w:rPr>
      </w:pPr>
      <w:r w:rsidRPr="00C71E51">
        <w:rPr>
          <w:rStyle w:val="eop"/>
          <w:rFonts w:ascii="Arial" w:hAnsi="Arial" w:cs="Arial"/>
        </w:rPr>
        <w:t> </w:t>
      </w:r>
    </w:p>
    <w:p w:rsidR="008B726D" w:rsidRPr="00C71E51" w:rsidRDefault="00C0318F" w:rsidP="00C71E51">
      <w:pPr>
        <w:widowControl w:val="0"/>
        <w:autoSpaceDE w:val="0"/>
        <w:autoSpaceDN w:val="0"/>
        <w:adjustRightInd w:val="0"/>
        <w:spacing w:line="276" w:lineRule="auto"/>
        <w:ind w:left="142"/>
        <w:jc w:val="both"/>
        <w:rPr>
          <w:rFonts w:ascii="Arial" w:hAnsi="Arial" w:cs="Arial"/>
          <w:b/>
          <w:spacing w:val="2"/>
          <w:sz w:val="24"/>
          <w:szCs w:val="24"/>
        </w:rPr>
      </w:pPr>
      <w:r w:rsidRPr="00C71E51">
        <w:rPr>
          <w:rFonts w:ascii="Arial" w:hAnsi="Arial" w:cs="Arial"/>
          <w:b/>
          <w:spacing w:val="2"/>
          <w:sz w:val="24"/>
          <w:szCs w:val="24"/>
        </w:rPr>
        <w:t xml:space="preserve">4. </w:t>
      </w:r>
      <w:r w:rsidR="008B726D" w:rsidRPr="00C71E51">
        <w:rPr>
          <w:rFonts w:ascii="Arial" w:hAnsi="Arial" w:cs="Arial"/>
          <w:b/>
          <w:spacing w:val="2"/>
          <w:sz w:val="24"/>
          <w:szCs w:val="24"/>
        </w:rPr>
        <w:t>CASO CONCRETO</w:t>
      </w:r>
    </w:p>
    <w:p w:rsidR="008B726D" w:rsidRPr="00C71E51" w:rsidRDefault="008B726D" w:rsidP="00C71E51">
      <w:pPr>
        <w:spacing w:line="276" w:lineRule="auto"/>
        <w:jc w:val="both"/>
        <w:rPr>
          <w:rFonts w:ascii="Arial" w:hAnsi="Arial" w:cs="Arial"/>
          <w:sz w:val="24"/>
          <w:szCs w:val="24"/>
        </w:rPr>
      </w:pPr>
    </w:p>
    <w:p w:rsidR="002E0F49" w:rsidRPr="00C71E51" w:rsidRDefault="002E0F49"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En el presente asunto, la parte demandante reclama por la vía ejecutiva, el pago de las costas procesales liquidadas y aprobadas dentro del trámite ordinario laboral que finalizó con la sentencia que reconoció a su favor la calidad de pensionado a partir del 30 de septiembre de 2011.</w:t>
      </w: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r w:rsidRPr="00C71E51">
        <w:rPr>
          <w:rStyle w:val="eop"/>
          <w:rFonts w:ascii="Arial" w:hAnsi="Arial" w:cs="Arial"/>
        </w:rPr>
        <w:t xml:space="preserve">No obstante lo anterior, luego de revisado el proceso, se tiene que una vez ejecutoriado el fallo judicial y liquidadas y aprobadas las costas procesales de primera instancia, la parte actora, en escrito de fecha 6 de julio de 2012, solicitó que se librara </w:t>
      </w:r>
      <w:r w:rsidRPr="00C71E51">
        <w:rPr>
          <w:rStyle w:val="eop"/>
          <w:rFonts w:ascii="Arial" w:hAnsi="Arial" w:cs="Arial"/>
        </w:rPr>
        <w:lastRenderedPageBreak/>
        <w:t xml:space="preserve">el mandamiento de pago a su favor respecto al retroactivo pensional, los intereses moratorios </w:t>
      </w:r>
      <w:r w:rsidRPr="00C71E51">
        <w:rPr>
          <w:rStyle w:val="eop"/>
          <w:rFonts w:ascii="Arial" w:hAnsi="Arial" w:cs="Arial"/>
          <w:b/>
          <w:bCs/>
        </w:rPr>
        <w:t>y las costas del proceso ordinario</w:t>
      </w:r>
      <w:r w:rsidRPr="00C71E51">
        <w:rPr>
          <w:rStyle w:val="eop"/>
          <w:rFonts w:ascii="Arial" w:hAnsi="Arial" w:cs="Arial"/>
        </w:rPr>
        <w:t>.</w:t>
      </w: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r w:rsidRPr="00C71E51">
        <w:rPr>
          <w:rStyle w:val="eop"/>
          <w:rFonts w:ascii="Arial" w:hAnsi="Arial" w:cs="Arial"/>
        </w:rPr>
        <w:t xml:space="preserve">Mediante providencia de fecha 11 de febrero de 2013, se libró mandamiento de pago por los conceptos reclamados; sin embargo, en providencia </w:t>
      </w:r>
      <w:r w:rsidR="00F05236" w:rsidRPr="00C71E51">
        <w:rPr>
          <w:rStyle w:val="eop"/>
          <w:rFonts w:ascii="Arial" w:hAnsi="Arial" w:cs="Arial"/>
        </w:rPr>
        <w:t>adiada 4 de septiembre de 2014, se declaró la nulidad de dicho auto respecto a las costas procesales</w:t>
      </w:r>
      <w:r w:rsidRPr="00C71E51">
        <w:rPr>
          <w:rStyle w:val="eop"/>
          <w:rFonts w:ascii="Arial" w:hAnsi="Arial" w:cs="Arial"/>
        </w:rPr>
        <w:t xml:space="preserve">, toda vez que estimó </w:t>
      </w:r>
      <w:r w:rsidR="00F05236" w:rsidRPr="00C71E51">
        <w:rPr>
          <w:rStyle w:val="eop"/>
          <w:rFonts w:ascii="Arial" w:hAnsi="Arial" w:cs="Arial"/>
        </w:rPr>
        <w:t>la</w:t>
      </w:r>
      <w:r w:rsidRPr="00C71E51">
        <w:rPr>
          <w:rStyle w:val="eop"/>
          <w:rFonts w:ascii="Arial" w:hAnsi="Arial" w:cs="Arial"/>
        </w:rPr>
        <w:t xml:space="preserve"> juez de la causa, respaldada en la jurisprudencia local, que Colpensiones no era el responsable del pago de tal obligación, por lo que le correspondía a la parte ejecutante presentarse en el proceso liquidatorio del Instituto de Seguros Sociales </w:t>
      </w:r>
      <w:r w:rsidR="00F05236" w:rsidRPr="00C71E51">
        <w:rPr>
          <w:rStyle w:val="eop"/>
          <w:rFonts w:ascii="Arial" w:hAnsi="Arial" w:cs="Arial"/>
        </w:rPr>
        <w:t xml:space="preserve">a reclamar </w:t>
      </w:r>
      <w:r w:rsidRPr="00C71E51">
        <w:rPr>
          <w:rStyle w:val="eop"/>
          <w:rFonts w:ascii="Arial" w:hAnsi="Arial" w:cs="Arial"/>
        </w:rPr>
        <w:t>el referido crédito para su cancelación, de conformidad con lo previsto en el numeral 5º del Decreto 2013 de 2012.  Contra esta decisión, la parte actora no formuló recurso alguno por lo que se continuó con el trámite hasta que se produjo el pago de la obligación.</w:t>
      </w: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p>
    <w:p w:rsidR="002E0F49" w:rsidRPr="00C71E51" w:rsidRDefault="002E0F49" w:rsidP="00C71E51">
      <w:pPr>
        <w:pStyle w:val="paragraph"/>
        <w:spacing w:before="0" w:beforeAutospacing="0" w:after="0" w:afterAutospacing="0" w:line="276" w:lineRule="auto"/>
        <w:textAlignment w:val="baseline"/>
        <w:rPr>
          <w:rStyle w:val="eop"/>
          <w:rFonts w:ascii="Arial" w:hAnsi="Arial" w:cs="Arial"/>
        </w:rPr>
      </w:pPr>
      <w:r w:rsidRPr="00C71E51">
        <w:rPr>
          <w:rStyle w:val="eop"/>
          <w:rFonts w:ascii="Arial" w:hAnsi="Arial" w:cs="Arial"/>
        </w:rPr>
        <w:t xml:space="preserve">Ahora bien, posteriormente, en escrito de fecha </w:t>
      </w:r>
      <w:r w:rsidR="00F05236" w:rsidRPr="00C71E51">
        <w:rPr>
          <w:rStyle w:val="eop"/>
          <w:rFonts w:ascii="Arial" w:hAnsi="Arial" w:cs="Arial"/>
        </w:rPr>
        <w:t>5 de junio de 2019</w:t>
      </w:r>
      <w:r w:rsidRPr="00C71E51">
        <w:rPr>
          <w:rStyle w:val="eop"/>
          <w:rFonts w:ascii="Arial" w:hAnsi="Arial" w:cs="Arial"/>
        </w:rPr>
        <w:t xml:space="preserve"> se solicitó nuevamente el mandamiento de pago por las costas procesales, el cual fue resuelto de manera favorable el </w:t>
      </w:r>
      <w:r w:rsidR="00700953" w:rsidRPr="00C71E51">
        <w:rPr>
          <w:rStyle w:val="eop"/>
          <w:rFonts w:ascii="Arial" w:hAnsi="Arial" w:cs="Arial"/>
        </w:rPr>
        <w:t>13 de junio de 2019.</w:t>
      </w:r>
    </w:p>
    <w:p w:rsidR="002E0F49" w:rsidRPr="00C71E51" w:rsidRDefault="002E0F49" w:rsidP="00C71E51">
      <w:pPr>
        <w:pStyle w:val="paragraph"/>
        <w:spacing w:before="0" w:beforeAutospacing="0" w:after="0" w:afterAutospacing="0" w:line="276" w:lineRule="auto"/>
        <w:textAlignment w:val="baseline"/>
        <w:rPr>
          <w:rFonts w:ascii="Arial" w:hAnsi="Arial" w:cs="Arial"/>
        </w:rPr>
      </w:pPr>
    </w:p>
    <w:p w:rsidR="002E0F49" w:rsidRPr="00C71E51" w:rsidRDefault="002E0F49" w:rsidP="00C71E51">
      <w:pPr>
        <w:pStyle w:val="paragraph"/>
        <w:spacing w:before="0" w:beforeAutospacing="0" w:after="0" w:afterAutospacing="0" w:line="276" w:lineRule="auto"/>
        <w:textAlignment w:val="baseline"/>
        <w:rPr>
          <w:rFonts w:ascii="Arial" w:hAnsi="Arial" w:cs="Arial"/>
        </w:rPr>
      </w:pPr>
    </w:p>
    <w:p w:rsidR="002E0F49" w:rsidRPr="00C71E51" w:rsidRDefault="002E0F49" w:rsidP="00C71E51">
      <w:pPr>
        <w:pStyle w:val="paragraph"/>
        <w:spacing w:before="0" w:beforeAutospacing="0" w:after="0" w:afterAutospacing="0" w:line="276" w:lineRule="auto"/>
        <w:textAlignment w:val="baseline"/>
        <w:rPr>
          <w:rFonts w:ascii="Arial" w:hAnsi="Arial" w:cs="Arial"/>
        </w:rPr>
      </w:pPr>
      <w:r w:rsidRPr="00C71E51">
        <w:rPr>
          <w:rStyle w:val="normaltextrun"/>
          <w:rFonts w:ascii="Arial" w:hAnsi="Arial" w:cs="Arial"/>
        </w:rPr>
        <w:t>Al respecto de la excepción de prescripción, debe decirse que en este caso la providencia que aprobó la liquidación de costas </w:t>
      </w:r>
      <w:r w:rsidR="006463D2" w:rsidRPr="00C71E51">
        <w:rPr>
          <w:rStyle w:val="normaltextrun"/>
          <w:rFonts w:ascii="Arial" w:hAnsi="Arial" w:cs="Arial"/>
        </w:rPr>
        <w:t>de primera</w:t>
      </w:r>
      <w:r w:rsidRPr="00C71E51">
        <w:rPr>
          <w:rStyle w:val="normaltextrun"/>
          <w:rFonts w:ascii="Arial" w:hAnsi="Arial" w:cs="Arial"/>
        </w:rPr>
        <w:t xml:space="preserve"> instancia quedó ejecutoriada el </w:t>
      </w:r>
      <w:r w:rsidR="006463D2" w:rsidRPr="00C71E51">
        <w:rPr>
          <w:rStyle w:val="normaltextrun"/>
          <w:rFonts w:ascii="Arial" w:hAnsi="Arial" w:cs="Arial"/>
        </w:rPr>
        <w:t>1</w:t>
      </w:r>
      <w:r w:rsidR="009C1E6A" w:rsidRPr="00C71E51">
        <w:rPr>
          <w:rStyle w:val="normaltextrun"/>
          <w:rFonts w:ascii="Arial" w:hAnsi="Arial" w:cs="Arial"/>
        </w:rPr>
        <w:t>2</w:t>
      </w:r>
      <w:r w:rsidR="006463D2" w:rsidRPr="00C71E51">
        <w:rPr>
          <w:rStyle w:val="normaltextrun"/>
          <w:rFonts w:ascii="Arial" w:hAnsi="Arial" w:cs="Arial"/>
        </w:rPr>
        <w:t xml:space="preserve"> de diciembre</w:t>
      </w:r>
      <w:r w:rsidR="00D36A5C" w:rsidRPr="00C71E51">
        <w:rPr>
          <w:rStyle w:val="normaltextrun"/>
          <w:rFonts w:ascii="Arial" w:hAnsi="Arial" w:cs="Arial"/>
        </w:rPr>
        <w:t xml:space="preserve"> de 2011</w:t>
      </w:r>
      <w:r w:rsidRPr="00C71E51">
        <w:rPr>
          <w:rStyle w:val="normaltextrun"/>
          <w:rFonts w:ascii="Arial" w:hAnsi="Arial" w:cs="Arial"/>
        </w:rPr>
        <w:t> –</w:t>
      </w:r>
      <w:proofErr w:type="spellStart"/>
      <w:r w:rsidRPr="00C71E51">
        <w:rPr>
          <w:rStyle w:val="normaltextrun"/>
          <w:rFonts w:ascii="Arial" w:hAnsi="Arial" w:cs="Arial"/>
          <w:i/>
          <w:iCs/>
        </w:rPr>
        <w:t>fl</w:t>
      </w:r>
      <w:proofErr w:type="spellEnd"/>
      <w:r w:rsidRPr="00C71E51">
        <w:rPr>
          <w:rStyle w:val="normaltextrun"/>
          <w:rFonts w:ascii="Arial" w:hAnsi="Arial" w:cs="Arial"/>
          <w:i/>
          <w:iCs/>
        </w:rPr>
        <w:t xml:space="preserve"> </w:t>
      </w:r>
      <w:r w:rsidR="006463D2" w:rsidRPr="00C71E51">
        <w:rPr>
          <w:rStyle w:val="normaltextrun"/>
          <w:rFonts w:ascii="Arial" w:hAnsi="Arial" w:cs="Arial"/>
          <w:i/>
          <w:iCs/>
        </w:rPr>
        <w:t>13</w:t>
      </w:r>
      <w:r w:rsidRPr="00C71E51">
        <w:rPr>
          <w:rStyle w:val="normaltextrun"/>
          <w:rFonts w:ascii="Arial" w:hAnsi="Arial" w:cs="Arial"/>
          <w:i/>
          <w:iCs/>
        </w:rPr>
        <w:t xml:space="preserve"> del cuaderno de primera instancia del expediente digital</w:t>
      </w:r>
      <w:r w:rsidRPr="00C71E51">
        <w:rPr>
          <w:rStyle w:val="normaltextrun"/>
          <w:rFonts w:ascii="Arial" w:hAnsi="Arial" w:cs="Arial"/>
        </w:rPr>
        <w:t xml:space="preserve">- por lo tanto, conforme las consideraciones vertidas con anterioridad, para que la prescripción de tres años fuera interrumpida, conforme al artículo 151 del C.P.T., correspondía a la parte actora presentar la reclamación administrativa o acción ejecutiva antes del </w:t>
      </w:r>
      <w:r w:rsidR="006463D2" w:rsidRPr="00C71E51">
        <w:rPr>
          <w:rStyle w:val="normaltextrun"/>
          <w:rFonts w:ascii="Arial" w:hAnsi="Arial" w:cs="Arial"/>
        </w:rPr>
        <w:t>1</w:t>
      </w:r>
      <w:r w:rsidR="009C1E6A" w:rsidRPr="00C71E51">
        <w:rPr>
          <w:rStyle w:val="normaltextrun"/>
          <w:rFonts w:ascii="Arial" w:hAnsi="Arial" w:cs="Arial"/>
        </w:rPr>
        <w:t>2</w:t>
      </w:r>
      <w:r w:rsidR="006463D2" w:rsidRPr="00C71E51">
        <w:rPr>
          <w:rStyle w:val="normaltextrun"/>
          <w:rFonts w:ascii="Arial" w:hAnsi="Arial" w:cs="Arial"/>
        </w:rPr>
        <w:t xml:space="preserve"> de </w:t>
      </w:r>
      <w:r w:rsidRPr="00C71E51">
        <w:rPr>
          <w:rStyle w:val="normaltextrun"/>
          <w:rFonts w:ascii="Arial" w:hAnsi="Arial" w:cs="Arial"/>
        </w:rPr>
        <w:t xml:space="preserve">diciembre de 2014, lo cual solo hizo hasta el </w:t>
      </w:r>
      <w:r w:rsidR="006463D2" w:rsidRPr="00C71E51">
        <w:rPr>
          <w:rStyle w:val="normaltextrun"/>
          <w:rFonts w:ascii="Arial" w:hAnsi="Arial" w:cs="Arial"/>
        </w:rPr>
        <w:t>5 de junio de 2019</w:t>
      </w:r>
      <w:r w:rsidRPr="00C71E51">
        <w:rPr>
          <w:rStyle w:val="normaltextrun"/>
          <w:rFonts w:ascii="Arial" w:hAnsi="Arial" w:cs="Arial"/>
        </w:rPr>
        <w:t> –</w:t>
      </w:r>
      <w:proofErr w:type="spellStart"/>
      <w:r w:rsidRPr="00C71E51">
        <w:rPr>
          <w:rStyle w:val="normaltextrun"/>
          <w:rFonts w:ascii="Arial" w:hAnsi="Arial" w:cs="Arial"/>
          <w:i/>
          <w:iCs/>
        </w:rPr>
        <w:t>fl</w:t>
      </w:r>
      <w:proofErr w:type="spellEnd"/>
      <w:r w:rsidRPr="00C71E51">
        <w:rPr>
          <w:rStyle w:val="normaltextrun"/>
          <w:rFonts w:ascii="Arial" w:hAnsi="Arial" w:cs="Arial"/>
          <w:i/>
          <w:iCs/>
        </w:rPr>
        <w:t> </w:t>
      </w:r>
      <w:r w:rsidR="00E27681" w:rsidRPr="00C71E51">
        <w:rPr>
          <w:rStyle w:val="normaltextrun"/>
          <w:rFonts w:ascii="Arial" w:hAnsi="Arial" w:cs="Arial"/>
          <w:i/>
          <w:iCs/>
        </w:rPr>
        <w:t>142</w:t>
      </w:r>
      <w:r w:rsidRPr="00C71E51">
        <w:rPr>
          <w:rStyle w:val="normaltextrun"/>
          <w:rFonts w:ascii="Arial" w:hAnsi="Arial" w:cs="Arial"/>
          <w:i/>
          <w:iCs/>
        </w:rPr>
        <w:t xml:space="preserve"> y siguientes del cuaderno de primera instancia del expediente digital-</w:t>
      </w:r>
      <w:r w:rsidRPr="00C71E51">
        <w:rPr>
          <w:rStyle w:val="normaltextrun"/>
          <w:rFonts w:ascii="Arial" w:hAnsi="Arial" w:cs="Arial"/>
        </w:rPr>
        <w:t>.</w:t>
      </w:r>
      <w:r w:rsidRPr="00C71E51">
        <w:rPr>
          <w:rStyle w:val="eop"/>
          <w:rFonts w:ascii="Arial" w:hAnsi="Arial" w:cs="Arial"/>
        </w:rPr>
        <w:t> </w:t>
      </w:r>
    </w:p>
    <w:p w:rsidR="002E0F49" w:rsidRPr="00C71E51" w:rsidRDefault="002E0F49" w:rsidP="00C71E51">
      <w:pPr>
        <w:pStyle w:val="paragraph"/>
        <w:spacing w:before="0" w:beforeAutospacing="0" w:after="0" w:afterAutospacing="0" w:line="276" w:lineRule="auto"/>
        <w:textAlignment w:val="baseline"/>
        <w:rPr>
          <w:rFonts w:ascii="Arial" w:hAnsi="Arial" w:cs="Arial"/>
        </w:rPr>
      </w:pPr>
      <w:r w:rsidRPr="00C71E51">
        <w:rPr>
          <w:rStyle w:val="eop"/>
          <w:rFonts w:ascii="Arial" w:hAnsi="Arial" w:cs="Arial"/>
        </w:rPr>
        <w:t> </w:t>
      </w:r>
    </w:p>
    <w:p w:rsidR="002E0F49" w:rsidRPr="00C71E51" w:rsidRDefault="002E0F49" w:rsidP="00C71E51">
      <w:pPr>
        <w:pStyle w:val="paragraph"/>
        <w:spacing w:before="0" w:beforeAutospacing="0" w:after="0" w:afterAutospacing="0" w:line="276" w:lineRule="auto"/>
        <w:textAlignment w:val="baseline"/>
        <w:rPr>
          <w:rStyle w:val="normaltextrun"/>
          <w:rFonts w:ascii="Arial" w:hAnsi="Arial" w:cs="Arial"/>
        </w:rPr>
      </w:pPr>
      <w:r w:rsidRPr="00C71E51">
        <w:rPr>
          <w:rStyle w:val="normaltextrun"/>
          <w:rFonts w:ascii="Arial" w:hAnsi="Arial" w:cs="Arial"/>
        </w:rPr>
        <w:t xml:space="preserve">Ahora, no puede considerarse que en la primera oportunidad en la que se libró el mandamiento de pago, esto es el </w:t>
      </w:r>
      <w:r w:rsidR="009C1E6A" w:rsidRPr="00C71E51">
        <w:rPr>
          <w:rStyle w:val="normaltextrun"/>
          <w:rFonts w:ascii="Arial" w:hAnsi="Arial" w:cs="Arial"/>
        </w:rPr>
        <w:t>11 de febrero de 2013</w:t>
      </w:r>
      <w:r w:rsidRPr="00C71E51">
        <w:rPr>
          <w:rStyle w:val="normaltextrun"/>
          <w:rFonts w:ascii="Arial" w:hAnsi="Arial" w:cs="Arial"/>
        </w:rPr>
        <w:t>, tuvo la virtualidad de interrumpir el fenómeno prescriptivo, pues como</w:t>
      </w:r>
      <w:r w:rsidR="004640D5" w:rsidRPr="00C71E51">
        <w:rPr>
          <w:rStyle w:val="normaltextrun"/>
          <w:rFonts w:ascii="Arial" w:hAnsi="Arial" w:cs="Arial"/>
        </w:rPr>
        <w:t xml:space="preserve"> viene de verse</w:t>
      </w:r>
      <w:r w:rsidRPr="00C71E51">
        <w:rPr>
          <w:rStyle w:val="normaltextrun"/>
          <w:rFonts w:ascii="Arial" w:hAnsi="Arial" w:cs="Arial"/>
        </w:rPr>
        <w:t>,</w:t>
      </w:r>
      <w:r w:rsidR="009C1E6A" w:rsidRPr="00C71E51">
        <w:rPr>
          <w:rStyle w:val="normaltextrun"/>
          <w:rFonts w:ascii="Arial" w:hAnsi="Arial" w:cs="Arial"/>
        </w:rPr>
        <w:t xml:space="preserve"> la nulidad decretada en torno a</w:t>
      </w:r>
      <w:r w:rsidRPr="00C71E51">
        <w:rPr>
          <w:rStyle w:val="normaltextrun"/>
          <w:rFonts w:ascii="Arial" w:hAnsi="Arial" w:cs="Arial"/>
        </w:rPr>
        <w:t xml:space="preserve"> las costas procesales</w:t>
      </w:r>
      <w:r w:rsidR="009C1E6A" w:rsidRPr="00C71E51">
        <w:rPr>
          <w:rStyle w:val="normaltextrun"/>
          <w:rFonts w:ascii="Arial" w:hAnsi="Arial" w:cs="Arial"/>
        </w:rPr>
        <w:t xml:space="preserve"> permite concluir que tales rubros no hicieron parte de </w:t>
      </w:r>
      <w:r w:rsidRPr="00C71E51">
        <w:rPr>
          <w:rStyle w:val="normaltextrun"/>
          <w:rFonts w:ascii="Arial" w:hAnsi="Arial" w:cs="Arial"/>
        </w:rPr>
        <w:t xml:space="preserve">la ejecución que se adelantaba hasta ese momento, </w:t>
      </w:r>
      <w:r w:rsidR="009C1E6A" w:rsidRPr="00C71E51">
        <w:rPr>
          <w:rStyle w:val="normaltextrun"/>
          <w:rFonts w:ascii="Arial" w:hAnsi="Arial" w:cs="Arial"/>
        </w:rPr>
        <w:t xml:space="preserve">decisión que de paso sea dicho </w:t>
      </w:r>
      <w:r w:rsidRPr="00C71E51">
        <w:rPr>
          <w:rStyle w:val="normaltextrun"/>
          <w:rFonts w:ascii="Arial" w:hAnsi="Arial" w:cs="Arial"/>
        </w:rPr>
        <w:t xml:space="preserve">ningún reparo </w:t>
      </w:r>
      <w:r w:rsidR="009C1E6A" w:rsidRPr="00C71E51">
        <w:rPr>
          <w:rStyle w:val="normaltextrun"/>
          <w:rFonts w:ascii="Arial" w:hAnsi="Arial" w:cs="Arial"/>
        </w:rPr>
        <w:t>mereció de la parte ejecutada</w:t>
      </w:r>
      <w:r w:rsidRPr="00C71E51">
        <w:rPr>
          <w:rStyle w:val="normaltextrun"/>
          <w:rFonts w:ascii="Arial" w:hAnsi="Arial" w:cs="Arial"/>
        </w:rPr>
        <w:t xml:space="preserve">, procediendo solo hasta el </w:t>
      </w:r>
      <w:r w:rsidR="009C1E6A" w:rsidRPr="00C71E51">
        <w:rPr>
          <w:rStyle w:val="normaltextrun"/>
          <w:rFonts w:ascii="Arial" w:hAnsi="Arial" w:cs="Arial"/>
        </w:rPr>
        <w:t>5</w:t>
      </w:r>
      <w:r w:rsidRPr="00C71E51">
        <w:rPr>
          <w:rStyle w:val="normaltextrun"/>
          <w:rFonts w:ascii="Arial" w:hAnsi="Arial" w:cs="Arial"/>
        </w:rPr>
        <w:t xml:space="preserve"> de </w:t>
      </w:r>
      <w:r w:rsidR="009C1E6A" w:rsidRPr="00C71E51">
        <w:rPr>
          <w:rStyle w:val="normaltextrun"/>
          <w:rFonts w:ascii="Arial" w:hAnsi="Arial" w:cs="Arial"/>
        </w:rPr>
        <w:t xml:space="preserve">junio de 2019 </w:t>
      </w:r>
      <w:r w:rsidRPr="00C71E51">
        <w:rPr>
          <w:rStyle w:val="normaltextrun"/>
          <w:rFonts w:ascii="Arial" w:hAnsi="Arial" w:cs="Arial"/>
        </w:rPr>
        <w:t>a reclamar la cancelación de tales em</w:t>
      </w:r>
      <w:r w:rsidR="009C1E6A" w:rsidRPr="00C71E51">
        <w:rPr>
          <w:rStyle w:val="normaltextrun"/>
          <w:rFonts w:ascii="Arial" w:hAnsi="Arial" w:cs="Arial"/>
        </w:rPr>
        <w:t>o</w:t>
      </w:r>
      <w:r w:rsidRPr="00C71E51">
        <w:rPr>
          <w:rStyle w:val="normaltextrun"/>
          <w:rFonts w:ascii="Arial" w:hAnsi="Arial" w:cs="Arial"/>
        </w:rPr>
        <w:t xml:space="preserve">lumentos, siendo la orden ejecutiva, emitida solo hasta </w:t>
      </w:r>
      <w:r w:rsidR="009C1E6A" w:rsidRPr="00C71E51">
        <w:rPr>
          <w:rStyle w:val="normaltextrun"/>
          <w:rFonts w:ascii="Arial" w:hAnsi="Arial" w:cs="Arial"/>
        </w:rPr>
        <w:t>el 13 de junio de 2019</w:t>
      </w:r>
      <w:r w:rsidRPr="00C71E51">
        <w:rPr>
          <w:rStyle w:val="normaltextrun"/>
          <w:rFonts w:ascii="Arial" w:hAnsi="Arial" w:cs="Arial"/>
        </w:rPr>
        <w:t xml:space="preserve"> cuando el juzgado accedió a librarla, por lo que, </w:t>
      </w:r>
      <w:r w:rsidR="009C1E6A" w:rsidRPr="00C71E51">
        <w:rPr>
          <w:rStyle w:val="normaltextrun"/>
          <w:rFonts w:ascii="Arial" w:hAnsi="Arial" w:cs="Arial"/>
        </w:rPr>
        <w:t xml:space="preserve">contrario a lo considerado por la </w:t>
      </w:r>
      <w:r w:rsidRPr="00C71E51">
        <w:rPr>
          <w:rStyle w:val="normaltextrun"/>
          <w:rFonts w:ascii="Arial" w:hAnsi="Arial" w:cs="Arial"/>
        </w:rPr>
        <w:t>juez de la causa, operó la prescripción en relación con las costas procesales liquidadas y aprobadas en el proceso ordinario.</w:t>
      </w:r>
    </w:p>
    <w:p w:rsidR="002E0F49" w:rsidRPr="00C71E51" w:rsidRDefault="002E0F49" w:rsidP="00C71E51">
      <w:pPr>
        <w:pStyle w:val="paragraph"/>
        <w:spacing w:before="0" w:beforeAutospacing="0" w:after="0" w:afterAutospacing="0" w:line="276" w:lineRule="auto"/>
        <w:textAlignment w:val="baseline"/>
        <w:rPr>
          <w:rFonts w:ascii="Arial" w:hAnsi="Arial" w:cs="Arial"/>
        </w:rPr>
      </w:pPr>
    </w:p>
    <w:p w:rsidR="00FA34C6" w:rsidRPr="00C71E51" w:rsidRDefault="008B726D" w:rsidP="00C71E51">
      <w:pPr>
        <w:spacing w:line="276" w:lineRule="auto"/>
        <w:ind w:right="51"/>
        <w:jc w:val="both"/>
        <w:rPr>
          <w:rFonts w:ascii="Arial" w:hAnsi="Arial" w:cs="Arial"/>
          <w:sz w:val="24"/>
          <w:szCs w:val="24"/>
        </w:rPr>
      </w:pPr>
      <w:bookmarkStart w:id="3" w:name="_Hlk101338361"/>
      <w:r w:rsidRPr="00C71E51">
        <w:rPr>
          <w:rFonts w:ascii="Arial" w:hAnsi="Arial" w:cs="Arial"/>
          <w:sz w:val="24"/>
          <w:szCs w:val="24"/>
        </w:rPr>
        <w:t xml:space="preserve">Respecto a la renuncia a la prescripción a la que hace referencia la </w:t>
      </w:r>
      <w:r w:rsidRPr="00C71E51">
        <w:rPr>
          <w:rFonts w:ascii="Arial" w:hAnsi="Arial" w:cs="Arial"/>
          <w:i/>
          <w:iCs/>
          <w:sz w:val="24"/>
          <w:szCs w:val="24"/>
        </w:rPr>
        <w:t xml:space="preserve">a quo, </w:t>
      </w:r>
      <w:r w:rsidRPr="00C71E51">
        <w:rPr>
          <w:rFonts w:ascii="Arial" w:hAnsi="Arial" w:cs="Arial"/>
          <w:sz w:val="24"/>
          <w:szCs w:val="24"/>
        </w:rPr>
        <w:t xml:space="preserve">habría que decir que </w:t>
      </w:r>
      <w:r w:rsidR="00FA34C6" w:rsidRPr="00C71E51">
        <w:rPr>
          <w:rFonts w:ascii="Arial" w:hAnsi="Arial" w:cs="Arial"/>
          <w:sz w:val="24"/>
          <w:szCs w:val="24"/>
        </w:rPr>
        <w:t>contrario al análisis realizado por ella,</w:t>
      </w:r>
      <w:r w:rsidR="00FA34C6" w:rsidRPr="00B8531E">
        <w:rPr>
          <w:rFonts w:ascii="Arial" w:hAnsi="Arial" w:cs="Arial"/>
          <w:iCs/>
          <w:sz w:val="24"/>
          <w:szCs w:val="24"/>
        </w:rPr>
        <w:t xml:space="preserve"> </w:t>
      </w:r>
      <w:r w:rsidR="00FA34C6" w:rsidRPr="00C71E51">
        <w:rPr>
          <w:rFonts w:ascii="Arial" w:hAnsi="Arial" w:cs="Arial"/>
          <w:sz w:val="24"/>
          <w:szCs w:val="24"/>
        </w:rPr>
        <w:t>en el oficio Bizagi, BZ 2019_897408 de 12 de febrero de 2019 por medio del cual se atendió el requerimiento del actor, consistente en el pago de costas</w:t>
      </w:r>
      <w:r w:rsidR="0070743C" w:rsidRPr="00C71E51">
        <w:rPr>
          <w:rFonts w:ascii="Arial" w:hAnsi="Arial" w:cs="Arial"/>
          <w:sz w:val="24"/>
          <w:szCs w:val="24"/>
        </w:rPr>
        <w:t xml:space="preserve"> del proceso ordinario</w:t>
      </w:r>
      <w:r w:rsidR="00FA34C6" w:rsidRPr="00C71E51">
        <w:rPr>
          <w:rFonts w:ascii="Arial" w:hAnsi="Arial" w:cs="Arial"/>
          <w:sz w:val="24"/>
          <w:szCs w:val="24"/>
        </w:rPr>
        <w:t xml:space="preserve"> –</w:t>
      </w:r>
      <w:r w:rsidR="00FA34C6" w:rsidRPr="00C71E51">
        <w:rPr>
          <w:rFonts w:ascii="Arial" w:hAnsi="Arial" w:cs="Arial"/>
          <w:i/>
          <w:iCs/>
          <w:sz w:val="24"/>
          <w:szCs w:val="24"/>
        </w:rPr>
        <w:t>folios 153 y siguientes de la carpeta digital de primera instancia</w:t>
      </w:r>
      <w:r w:rsidR="00FA34C6" w:rsidRPr="00C71E51">
        <w:rPr>
          <w:rFonts w:ascii="Arial" w:hAnsi="Arial" w:cs="Arial"/>
          <w:sz w:val="24"/>
          <w:szCs w:val="24"/>
        </w:rPr>
        <w:t>-, Colpensiones de ningún modo renunci</w:t>
      </w:r>
      <w:r w:rsidR="0070743C" w:rsidRPr="00C71E51">
        <w:rPr>
          <w:rFonts w:ascii="Arial" w:hAnsi="Arial" w:cs="Arial"/>
          <w:sz w:val="24"/>
          <w:szCs w:val="24"/>
        </w:rPr>
        <w:t>ó</w:t>
      </w:r>
      <w:r w:rsidR="00FA34C6" w:rsidRPr="00C71E51">
        <w:rPr>
          <w:rFonts w:ascii="Arial" w:hAnsi="Arial" w:cs="Arial"/>
          <w:sz w:val="24"/>
          <w:szCs w:val="24"/>
        </w:rPr>
        <w:t xml:space="preserve"> a la </w:t>
      </w:r>
      <w:r w:rsidRPr="00C71E51">
        <w:rPr>
          <w:rFonts w:ascii="Arial" w:hAnsi="Arial" w:cs="Arial"/>
          <w:sz w:val="24"/>
          <w:szCs w:val="24"/>
        </w:rPr>
        <w:t xml:space="preserve">prescripción, </w:t>
      </w:r>
      <w:r w:rsidR="00FA34C6" w:rsidRPr="00C71E51">
        <w:rPr>
          <w:rFonts w:ascii="Arial" w:hAnsi="Arial" w:cs="Arial"/>
          <w:sz w:val="24"/>
          <w:szCs w:val="24"/>
        </w:rPr>
        <w:t>es más, en esa oportunidad, precisamente adujo como argumento defensivo para negar el pago de tales rubros, la afectación del fenómeno prescriptivo so</w:t>
      </w:r>
      <w:r w:rsidR="0070743C" w:rsidRPr="00C71E51">
        <w:rPr>
          <w:rFonts w:ascii="Arial" w:hAnsi="Arial" w:cs="Arial"/>
          <w:sz w:val="24"/>
          <w:szCs w:val="24"/>
        </w:rPr>
        <w:t xml:space="preserve">bre ellos, toda vez que el documento con cual se solicitó el cumplimiento del fallo, </w:t>
      </w:r>
      <w:r w:rsidR="0070743C" w:rsidRPr="00C71E51">
        <w:rPr>
          <w:rFonts w:ascii="Arial" w:hAnsi="Arial" w:cs="Arial"/>
          <w:sz w:val="24"/>
          <w:szCs w:val="24"/>
        </w:rPr>
        <w:lastRenderedPageBreak/>
        <w:t>que tiene la facultad de interrumpir la prescripción por una sola vez, fue radicado el 16 de enero de 2012</w:t>
      </w:r>
      <w:r w:rsidR="004C783F" w:rsidRPr="00C71E51">
        <w:rPr>
          <w:rFonts w:ascii="Arial" w:hAnsi="Arial" w:cs="Arial"/>
          <w:sz w:val="24"/>
          <w:szCs w:val="24"/>
        </w:rPr>
        <w:t>.</w:t>
      </w:r>
    </w:p>
    <w:bookmarkEnd w:id="3"/>
    <w:p w:rsidR="004C783F" w:rsidRPr="00C71E51" w:rsidRDefault="004C783F" w:rsidP="00C71E51">
      <w:pPr>
        <w:spacing w:line="276" w:lineRule="auto"/>
        <w:ind w:right="51"/>
        <w:jc w:val="both"/>
        <w:rPr>
          <w:rFonts w:ascii="Arial" w:hAnsi="Arial" w:cs="Arial"/>
          <w:sz w:val="24"/>
          <w:szCs w:val="24"/>
        </w:rPr>
      </w:pPr>
    </w:p>
    <w:p w:rsidR="004640D5" w:rsidRPr="00C71E51" w:rsidRDefault="004C783F" w:rsidP="00C71E51">
      <w:pPr>
        <w:spacing w:line="276" w:lineRule="auto"/>
        <w:ind w:right="51"/>
        <w:jc w:val="both"/>
        <w:rPr>
          <w:rFonts w:ascii="Arial" w:hAnsi="Arial" w:cs="Arial"/>
          <w:sz w:val="24"/>
          <w:szCs w:val="24"/>
        </w:rPr>
      </w:pPr>
      <w:r w:rsidRPr="00C71E51">
        <w:rPr>
          <w:rFonts w:ascii="Arial" w:hAnsi="Arial" w:cs="Arial"/>
          <w:sz w:val="24"/>
          <w:szCs w:val="24"/>
        </w:rPr>
        <w:t xml:space="preserve">Ahora, si en gracia de discusión se considerara que el oficio por medio del cual fue requerida por primera vez Colpensiones para el pago de la citada obligación con posterioridad a la nulidad decretada por el juzgado, </w:t>
      </w:r>
      <w:r w:rsidR="004640D5" w:rsidRPr="00C71E51">
        <w:rPr>
          <w:rFonts w:ascii="Arial" w:hAnsi="Arial" w:cs="Arial"/>
          <w:sz w:val="24"/>
          <w:szCs w:val="24"/>
        </w:rPr>
        <w:t>tuviera los mismos efectos, habría que concluir que también por esa vía prosperaría la excepción de prescripción, pues la misma fue radicada el 3 de junio de 2015 -</w:t>
      </w:r>
      <w:r w:rsidR="004640D5" w:rsidRPr="00C71E51">
        <w:rPr>
          <w:rFonts w:ascii="Arial" w:hAnsi="Arial" w:cs="Arial"/>
          <w:i/>
          <w:iCs/>
          <w:sz w:val="24"/>
          <w:szCs w:val="24"/>
        </w:rPr>
        <w:t>folios 148 y siguientes de la carpeta digital de primera instancia</w:t>
      </w:r>
      <w:r w:rsidR="004640D5" w:rsidRPr="00C71E51">
        <w:rPr>
          <w:rFonts w:ascii="Arial" w:hAnsi="Arial" w:cs="Arial"/>
          <w:sz w:val="24"/>
          <w:szCs w:val="24"/>
        </w:rPr>
        <w:t>-, siendo la demanda ejecutiva radicada 4 años después.</w:t>
      </w:r>
    </w:p>
    <w:p w:rsidR="004640D5" w:rsidRPr="00C71E51" w:rsidRDefault="004640D5" w:rsidP="00C71E51">
      <w:pPr>
        <w:spacing w:line="276" w:lineRule="auto"/>
        <w:ind w:right="51"/>
        <w:jc w:val="both"/>
        <w:rPr>
          <w:rFonts w:ascii="Arial" w:hAnsi="Arial" w:cs="Arial"/>
          <w:sz w:val="24"/>
          <w:szCs w:val="24"/>
        </w:rPr>
      </w:pPr>
    </w:p>
    <w:p w:rsidR="00FA34C6" w:rsidRPr="00C71E51" w:rsidRDefault="004640D5" w:rsidP="00C71E51">
      <w:pPr>
        <w:spacing w:line="276" w:lineRule="auto"/>
        <w:ind w:right="51"/>
        <w:jc w:val="both"/>
        <w:rPr>
          <w:rFonts w:ascii="Arial" w:hAnsi="Arial" w:cs="Arial"/>
          <w:sz w:val="24"/>
          <w:szCs w:val="24"/>
        </w:rPr>
      </w:pPr>
      <w:r w:rsidRPr="00C71E51">
        <w:rPr>
          <w:rFonts w:ascii="Arial" w:hAnsi="Arial" w:cs="Arial"/>
          <w:sz w:val="24"/>
          <w:szCs w:val="24"/>
        </w:rPr>
        <w:t>De acuerdo con lo anterior, habiendo alegado precisamente la ejecutada, en la vía administrativa, la imposibilidad del pago pretendido debido</w:t>
      </w:r>
      <w:r w:rsidR="00A9422F" w:rsidRPr="00C71E51">
        <w:rPr>
          <w:rFonts w:ascii="Arial" w:hAnsi="Arial" w:cs="Arial"/>
          <w:sz w:val="24"/>
          <w:szCs w:val="24"/>
        </w:rPr>
        <w:t xml:space="preserve"> a la prescripción de la obligación, de ningún modo puede concluirse que ella renunció a dicha garantía</w:t>
      </w:r>
    </w:p>
    <w:p w:rsidR="008B726D" w:rsidRPr="00C71E51" w:rsidRDefault="008B726D" w:rsidP="00C71E51">
      <w:pPr>
        <w:spacing w:line="276" w:lineRule="auto"/>
        <w:ind w:right="51"/>
        <w:jc w:val="both"/>
        <w:rPr>
          <w:rFonts w:ascii="Arial" w:hAnsi="Arial" w:cs="Arial"/>
          <w:sz w:val="24"/>
          <w:szCs w:val="24"/>
        </w:rPr>
      </w:pPr>
    </w:p>
    <w:p w:rsidR="008B726D" w:rsidRPr="00C71E51" w:rsidRDefault="008B726D" w:rsidP="00C71E51">
      <w:pPr>
        <w:overflowPunct w:val="0"/>
        <w:autoSpaceDE w:val="0"/>
        <w:autoSpaceDN w:val="0"/>
        <w:adjustRightInd w:val="0"/>
        <w:spacing w:line="276" w:lineRule="auto"/>
        <w:jc w:val="both"/>
        <w:textAlignment w:val="baseline"/>
        <w:rPr>
          <w:rFonts w:ascii="Arial" w:hAnsi="Arial" w:cs="Arial"/>
          <w:sz w:val="24"/>
          <w:szCs w:val="24"/>
        </w:rPr>
      </w:pPr>
      <w:r w:rsidRPr="00C71E51">
        <w:rPr>
          <w:rFonts w:ascii="Arial" w:hAnsi="Arial" w:cs="Arial"/>
          <w:sz w:val="24"/>
          <w:szCs w:val="24"/>
        </w:rPr>
        <w:t xml:space="preserve">Conforme lo dicho, como quiera que el ejecutante no interpuso la acción ejecutiva dentro del interregno comprendido entre el </w:t>
      </w:r>
      <w:r w:rsidR="00A9422F" w:rsidRPr="00C71E51">
        <w:rPr>
          <w:rFonts w:ascii="Arial" w:hAnsi="Arial" w:cs="Arial"/>
          <w:sz w:val="24"/>
          <w:szCs w:val="24"/>
        </w:rPr>
        <w:t>12 de diciembre de 2011</w:t>
      </w:r>
      <w:r w:rsidRPr="00C71E51">
        <w:rPr>
          <w:rFonts w:ascii="Arial" w:hAnsi="Arial" w:cs="Arial"/>
          <w:sz w:val="24"/>
          <w:szCs w:val="24"/>
        </w:rPr>
        <w:t xml:space="preserve"> y la misma data del año 2014, habrá de revocarse la providencia recurrida, para en su lugar declarar prospera la excepción de prescripción y ordenar la terminación del proceso ejecutivo.</w:t>
      </w:r>
    </w:p>
    <w:p w:rsidR="008B726D" w:rsidRPr="00C71E51" w:rsidRDefault="008B726D" w:rsidP="00C71E51">
      <w:pPr>
        <w:spacing w:line="276" w:lineRule="auto"/>
        <w:ind w:right="51"/>
        <w:jc w:val="both"/>
        <w:rPr>
          <w:rFonts w:ascii="Arial" w:hAnsi="Arial" w:cs="Arial"/>
          <w:sz w:val="24"/>
          <w:szCs w:val="24"/>
        </w:rPr>
      </w:pPr>
    </w:p>
    <w:p w:rsidR="008B726D" w:rsidRPr="00C71E51" w:rsidRDefault="008B726D" w:rsidP="00C71E51">
      <w:pPr>
        <w:spacing w:line="276" w:lineRule="auto"/>
        <w:ind w:right="51"/>
        <w:jc w:val="both"/>
        <w:rPr>
          <w:rFonts w:ascii="Arial" w:hAnsi="Arial" w:cs="Arial"/>
          <w:sz w:val="24"/>
          <w:szCs w:val="24"/>
        </w:rPr>
      </w:pPr>
      <w:r w:rsidRPr="00C71E51">
        <w:rPr>
          <w:rFonts w:ascii="Arial" w:hAnsi="Arial" w:cs="Arial"/>
          <w:sz w:val="24"/>
          <w:szCs w:val="24"/>
        </w:rPr>
        <w:t xml:space="preserve">Costas en esta instancia no se causaron, las de primera correrán por cuente del señor </w:t>
      </w:r>
      <w:r w:rsidR="00A9422F" w:rsidRPr="00C71E51">
        <w:rPr>
          <w:rFonts w:ascii="Arial" w:hAnsi="Arial" w:cs="Arial"/>
          <w:sz w:val="24"/>
          <w:szCs w:val="24"/>
        </w:rPr>
        <w:t>Luis Ángel Posada</w:t>
      </w:r>
      <w:r w:rsidRPr="00C71E51">
        <w:rPr>
          <w:rFonts w:ascii="Arial" w:hAnsi="Arial" w:cs="Arial"/>
          <w:sz w:val="24"/>
          <w:szCs w:val="24"/>
        </w:rPr>
        <w:t>.</w:t>
      </w:r>
    </w:p>
    <w:p w:rsidR="008B726D" w:rsidRPr="00C71E51" w:rsidRDefault="008B726D" w:rsidP="00C71E51">
      <w:pPr>
        <w:spacing w:line="276" w:lineRule="auto"/>
        <w:ind w:right="51"/>
        <w:jc w:val="both"/>
        <w:rPr>
          <w:rFonts w:ascii="Arial" w:hAnsi="Arial" w:cs="Arial"/>
          <w:sz w:val="24"/>
          <w:szCs w:val="24"/>
        </w:rPr>
      </w:pPr>
    </w:p>
    <w:p w:rsidR="008B726D" w:rsidRPr="00C71E51" w:rsidRDefault="008B726D" w:rsidP="00C71E51">
      <w:pPr>
        <w:pStyle w:val="Textoindependiente"/>
        <w:spacing w:line="276" w:lineRule="auto"/>
        <w:rPr>
          <w:rFonts w:cs="Arial"/>
          <w:sz w:val="24"/>
          <w:szCs w:val="24"/>
        </w:rPr>
      </w:pPr>
      <w:r w:rsidRPr="00C71E51">
        <w:rPr>
          <w:rFonts w:cs="Arial"/>
          <w:sz w:val="24"/>
          <w:szCs w:val="24"/>
        </w:rPr>
        <w:t xml:space="preserve">En mérito de lo expuesto, la </w:t>
      </w:r>
      <w:r w:rsidRPr="00C71E51">
        <w:rPr>
          <w:rFonts w:cs="Arial"/>
          <w:bCs/>
          <w:sz w:val="24"/>
          <w:szCs w:val="24"/>
        </w:rPr>
        <w:t>Sala Laboral del Tribunal Superior del Distrito Judicial de Pereira</w:t>
      </w:r>
      <w:r w:rsidRPr="00C71E51">
        <w:rPr>
          <w:rFonts w:cs="Arial"/>
          <w:sz w:val="24"/>
          <w:szCs w:val="24"/>
        </w:rPr>
        <w:t>,</w:t>
      </w:r>
    </w:p>
    <w:p w:rsidR="008B726D" w:rsidRPr="00C71E51" w:rsidRDefault="008B726D" w:rsidP="00C71E51">
      <w:pPr>
        <w:pStyle w:val="Textoindependiente"/>
        <w:spacing w:line="276" w:lineRule="auto"/>
        <w:jc w:val="center"/>
        <w:rPr>
          <w:rFonts w:cs="Arial"/>
          <w:b/>
          <w:sz w:val="24"/>
          <w:szCs w:val="24"/>
        </w:rPr>
      </w:pPr>
    </w:p>
    <w:p w:rsidR="008B726D" w:rsidRPr="00C71E51" w:rsidRDefault="008B726D" w:rsidP="00C71E51">
      <w:pPr>
        <w:pStyle w:val="Textoindependiente"/>
        <w:spacing w:line="276" w:lineRule="auto"/>
        <w:jc w:val="center"/>
        <w:rPr>
          <w:rFonts w:cs="Arial"/>
          <w:b/>
          <w:sz w:val="24"/>
          <w:szCs w:val="24"/>
        </w:rPr>
      </w:pPr>
      <w:r w:rsidRPr="00C71E51">
        <w:rPr>
          <w:rFonts w:cs="Arial"/>
          <w:b/>
          <w:sz w:val="24"/>
          <w:szCs w:val="24"/>
        </w:rPr>
        <w:t>RESUELVE</w:t>
      </w:r>
    </w:p>
    <w:p w:rsidR="008B726D" w:rsidRPr="00C71E51" w:rsidRDefault="008B726D" w:rsidP="00C71E51">
      <w:pPr>
        <w:pStyle w:val="Textoindependiente"/>
        <w:spacing w:line="276" w:lineRule="auto"/>
        <w:rPr>
          <w:rFonts w:cs="Arial"/>
          <w:sz w:val="24"/>
          <w:szCs w:val="24"/>
        </w:rPr>
      </w:pPr>
    </w:p>
    <w:p w:rsidR="008B726D" w:rsidRPr="00C71E51" w:rsidRDefault="008B726D" w:rsidP="00C71E51">
      <w:pPr>
        <w:widowControl w:val="0"/>
        <w:autoSpaceDE w:val="0"/>
        <w:autoSpaceDN w:val="0"/>
        <w:adjustRightInd w:val="0"/>
        <w:spacing w:line="276" w:lineRule="auto"/>
        <w:jc w:val="both"/>
        <w:rPr>
          <w:rFonts w:ascii="Arial" w:hAnsi="Arial" w:cs="Arial"/>
          <w:sz w:val="24"/>
          <w:szCs w:val="24"/>
        </w:rPr>
      </w:pPr>
      <w:r w:rsidRPr="00C71E51">
        <w:rPr>
          <w:rFonts w:ascii="Arial" w:hAnsi="Arial" w:cs="Arial"/>
          <w:b/>
          <w:sz w:val="24"/>
          <w:szCs w:val="24"/>
        </w:rPr>
        <w:t>PRIMERO: REVOCAR</w:t>
      </w:r>
      <w:r w:rsidRPr="00C71E51">
        <w:rPr>
          <w:rFonts w:ascii="Arial" w:hAnsi="Arial" w:cs="Arial"/>
          <w:sz w:val="24"/>
          <w:szCs w:val="24"/>
        </w:rPr>
        <w:t xml:space="preserve"> la providencia proferida por el </w:t>
      </w:r>
      <w:r w:rsidR="00A9422F" w:rsidRPr="00C71E51">
        <w:rPr>
          <w:rFonts w:ascii="Arial" w:hAnsi="Arial" w:cs="Arial"/>
          <w:sz w:val="24"/>
          <w:szCs w:val="24"/>
        </w:rPr>
        <w:t>J</w:t>
      </w:r>
      <w:r w:rsidRPr="00C71E51">
        <w:rPr>
          <w:rFonts w:ascii="Arial" w:hAnsi="Arial" w:cs="Arial"/>
          <w:sz w:val="24"/>
          <w:szCs w:val="24"/>
        </w:rPr>
        <w:t xml:space="preserve">uzgado </w:t>
      </w:r>
      <w:r w:rsidR="00A9422F" w:rsidRPr="00C71E51">
        <w:rPr>
          <w:rFonts w:ascii="Arial" w:hAnsi="Arial" w:cs="Arial"/>
          <w:sz w:val="24"/>
          <w:szCs w:val="24"/>
        </w:rPr>
        <w:t>Primero</w:t>
      </w:r>
      <w:r w:rsidRPr="00C71E51">
        <w:rPr>
          <w:rFonts w:ascii="Arial" w:hAnsi="Arial" w:cs="Arial"/>
          <w:sz w:val="24"/>
          <w:szCs w:val="24"/>
        </w:rPr>
        <w:t xml:space="preserve"> Laboral del Circuito el día </w:t>
      </w:r>
      <w:r w:rsidR="00A9422F" w:rsidRPr="00C71E51">
        <w:rPr>
          <w:rFonts w:ascii="Arial" w:hAnsi="Arial" w:cs="Arial"/>
          <w:sz w:val="24"/>
          <w:szCs w:val="24"/>
        </w:rPr>
        <w:t>3 de septiembre</w:t>
      </w:r>
      <w:r w:rsidRPr="00C71E51">
        <w:rPr>
          <w:rFonts w:ascii="Arial" w:hAnsi="Arial" w:cs="Arial"/>
          <w:sz w:val="24"/>
          <w:szCs w:val="24"/>
        </w:rPr>
        <w:t xml:space="preserve"> de 20</w:t>
      </w:r>
      <w:r w:rsidR="00A9422F" w:rsidRPr="00C71E51">
        <w:rPr>
          <w:rFonts w:ascii="Arial" w:hAnsi="Arial" w:cs="Arial"/>
          <w:sz w:val="24"/>
          <w:szCs w:val="24"/>
        </w:rPr>
        <w:t>21</w:t>
      </w:r>
      <w:r w:rsidRPr="00C71E51">
        <w:rPr>
          <w:rFonts w:ascii="Arial" w:hAnsi="Arial" w:cs="Arial"/>
          <w:sz w:val="24"/>
          <w:szCs w:val="24"/>
        </w:rPr>
        <w:t>, para en su lugar declarar probada la excepción de prescripción y ordenar la terminación y archivo del proceso ejecu</w:t>
      </w:r>
      <w:r w:rsidR="00FA34C6" w:rsidRPr="00C71E51">
        <w:rPr>
          <w:rFonts w:ascii="Arial" w:hAnsi="Arial" w:cs="Arial"/>
          <w:sz w:val="24"/>
          <w:szCs w:val="24"/>
        </w:rPr>
        <w:t xml:space="preserve">tivo adelantado por el señor </w:t>
      </w:r>
      <w:r w:rsidR="00A9422F" w:rsidRPr="00C71E51">
        <w:rPr>
          <w:rFonts w:ascii="Arial" w:hAnsi="Arial" w:cs="Arial"/>
          <w:sz w:val="24"/>
          <w:szCs w:val="24"/>
        </w:rPr>
        <w:t>Luis Ángel Posada</w:t>
      </w:r>
      <w:r w:rsidRPr="00C71E51">
        <w:rPr>
          <w:rFonts w:ascii="Arial" w:hAnsi="Arial" w:cs="Arial"/>
          <w:sz w:val="24"/>
          <w:szCs w:val="24"/>
        </w:rPr>
        <w:t xml:space="preserve"> contra Colpensiones.</w:t>
      </w:r>
    </w:p>
    <w:p w:rsidR="008B726D" w:rsidRPr="00C71E51" w:rsidRDefault="008B726D" w:rsidP="00C71E51">
      <w:pPr>
        <w:widowControl w:val="0"/>
        <w:autoSpaceDE w:val="0"/>
        <w:autoSpaceDN w:val="0"/>
        <w:adjustRightInd w:val="0"/>
        <w:spacing w:line="276" w:lineRule="auto"/>
        <w:jc w:val="both"/>
        <w:rPr>
          <w:rFonts w:ascii="Arial" w:hAnsi="Arial" w:cs="Arial"/>
          <w:sz w:val="24"/>
          <w:szCs w:val="24"/>
        </w:rPr>
      </w:pPr>
    </w:p>
    <w:p w:rsidR="008B726D" w:rsidRPr="00C71E51" w:rsidRDefault="008B726D" w:rsidP="00C71E51">
      <w:pPr>
        <w:widowControl w:val="0"/>
        <w:autoSpaceDE w:val="0"/>
        <w:autoSpaceDN w:val="0"/>
        <w:adjustRightInd w:val="0"/>
        <w:spacing w:line="276" w:lineRule="auto"/>
        <w:jc w:val="both"/>
        <w:rPr>
          <w:rFonts w:ascii="Arial" w:eastAsia="Arial" w:hAnsi="Arial" w:cs="Arial"/>
          <w:sz w:val="24"/>
          <w:szCs w:val="24"/>
        </w:rPr>
      </w:pPr>
      <w:r w:rsidRPr="00C71E51">
        <w:rPr>
          <w:rFonts w:ascii="Arial" w:eastAsia="Arial" w:hAnsi="Arial" w:cs="Arial"/>
          <w:b/>
          <w:bCs/>
          <w:sz w:val="24"/>
          <w:szCs w:val="24"/>
        </w:rPr>
        <w:t xml:space="preserve">SEGUNDO: CONDENAR </w:t>
      </w:r>
      <w:r w:rsidRPr="00C71E51">
        <w:rPr>
          <w:rFonts w:ascii="Arial" w:eastAsia="Arial" w:hAnsi="Arial" w:cs="Arial"/>
          <w:sz w:val="24"/>
          <w:szCs w:val="24"/>
        </w:rPr>
        <w:t>en costas de primera instancia al ejecutante.  En esta instancia no se causaron.</w:t>
      </w:r>
    </w:p>
    <w:p w:rsidR="008B726D" w:rsidRPr="00C71E51" w:rsidRDefault="008B726D" w:rsidP="00C71E51">
      <w:pPr>
        <w:widowControl w:val="0"/>
        <w:autoSpaceDE w:val="0"/>
        <w:autoSpaceDN w:val="0"/>
        <w:adjustRightInd w:val="0"/>
        <w:spacing w:line="276" w:lineRule="auto"/>
        <w:jc w:val="both"/>
        <w:rPr>
          <w:rFonts w:ascii="Arial" w:eastAsia="Arial" w:hAnsi="Arial" w:cs="Arial"/>
          <w:b/>
          <w:bCs/>
          <w:sz w:val="24"/>
          <w:szCs w:val="24"/>
        </w:rPr>
      </w:pPr>
    </w:p>
    <w:p w:rsidR="008B726D" w:rsidRPr="00C71E51" w:rsidRDefault="652D1064" w:rsidP="00C71E51">
      <w:pPr>
        <w:spacing w:line="276" w:lineRule="auto"/>
        <w:jc w:val="both"/>
        <w:rPr>
          <w:rFonts w:ascii="Arial" w:eastAsia="Arial" w:hAnsi="Arial" w:cs="Arial"/>
          <w:sz w:val="24"/>
          <w:szCs w:val="24"/>
          <w:lang w:val="es-CO"/>
        </w:rPr>
      </w:pPr>
      <w:r w:rsidRPr="00C71E51">
        <w:rPr>
          <w:rFonts w:ascii="Arial" w:eastAsia="Arial" w:hAnsi="Arial" w:cs="Arial"/>
          <w:sz w:val="24"/>
          <w:szCs w:val="24"/>
          <w:lang w:val="es-CO"/>
        </w:rPr>
        <w:t>Notifíquese por estado y a los correos electrónicos de los apoderados de las partes.</w:t>
      </w:r>
    </w:p>
    <w:p w:rsidR="008B726D" w:rsidRPr="00C71E51" w:rsidRDefault="652D1064" w:rsidP="00C71E51">
      <w:pPr>
        <w:spacing w:line="276" w:lineRule="auto"/>
        <w:jc w:val="both"/>
        <w:rPr>
          <w:rFonts w:ascii="Arial" w:eastAsia="Arial" w:hAnsi="Arial" w:cs="Arial"/>
          <w:sz w:val="24"/>
          <w:szCs w:val="24"/>
          <w:lang w:val="es-ES"/>
        </w:rPr>
      </w:pPr>
      <w:r w:rsidRPr="00C71E51">
        <w:rPr>
          <w:rFonts w:ascii="Arial" w:eastAsia="Arial" w:hAnsi="Arial" w:cs="Arial"/>
          <w:sz w:val="24"/>
          <w:szCs w:val="24"/>
          <w:lang w:val="es-ES"/>
        </w:rPr>
        <w:t xml:space="preserve"> </w:t>
      </w:r>
    </w:p>
    <w:p w:rsidR="00C71E51" w:rsidRPr="00BF3A49" w:rsidRDefault="00C71E51" w:rsidP="00C71E51">
      <w:pPr>
        <w:spacing w:line="276" w:lineRule="auto"/>
        <w:jc w:val="both"/>
        <w:textAlignment w:val="baseline"/>
        <w:rPr>
          <w:rFonts w:ascii="Arial" w:hAnsi="Arial" w:cs="Arial"/>
          <w:sz w:val="24"/>
          <w:szCs w:val="24"/>
          <w:lang w:val="es-CO" w:eastAsia="es-CO"/>
        </w:rPr>
      </w:pPr>
      <w:r w:rsidRPr="00BF3A49">
        <w:rPr>
          <w:rFonts w:ascii="Arial" w:hAnsi="Arial" w:cs="Arial"/>
          <w:sz w:val="24"/>
          <w:szCs w:val="24"/>
          <w:lang w:val="es-ES" w:eastAsia="es-CO"/>
        </w:rPr>
        <w:t>Quienes Integran la Sala,</w:t>
      </w:r>
    </w:p>
    <w:p w:rsidR="00C71E51" w:rsidRPr="00BF3A49" w:rsidRDefault="00C71E51" w:rsidP="00C71E51">
      <w:pPr>
        <w:spacing w:line="276" w:lineRule="auto"/>
        <w:jc w:val="both"/>
        <w:textAlignment w:val="baseline"/>
        <w:rPr>
          <w:rFonts w:ascii="Arial" w:hAnsi="Arial" w:cs="Arial"/>
          <w:sz w:val="24"/>
          <w:szCs w:val="24"/>
          <w:lang w:val="es-CO" w:eastAsia="es-CO"/>
        </w:rPr>
      </w:pPr>
    </w:p>
    <w:p w:rsidR="00C71E51" w:rsidRPr="00BF3A49" w:rsidRDefault="00C71E51" w:rsidP="00C71E51">
      <w:pPr>
        <w:spacing w:line="276" w:lineRule="auto"/>
        <w:jc w:val="both"/>
        <w:textAlignment w:val="baseline"/>
        <w:rPr>
          <w:rFonts w:ascii="Arial" w:hAnsi="Arial" w:cs="Arial"/>
          <w:sz w:val="24"/>
          <w:szCs w:val="24"/>
          <w:lang w:val="es-CO" w:eastAsia="es-CO"/>
        </w:rPr>
      </w:pPr>
    </w:p>
    <w:p w:rsidR="00C71E51" w:rsidRPr="00BF3A49" w:rsidRDefault="00C71E51" w:rsidP="00C71E51">
      <w:pPr>
        <w:spacing w:line="276" w:lineRule="auto"/>
        <w:jc w:val="both"/>
        <w:textAlignment w:val="baseline"/>
        <w:rPr>
          <w:rFonts w:ascii="Arial" w:hAnsi="Arial" w:cs="Arial"/>
          <w:sz w:val="24"/>
          <w:szCs w:val="24"/>
          <w:lang w:val="es-CO" w:eastAsia="es-CO"/>
        </w:rPr>
      </w:pPr>
    </w:p>
    <w:p w:rsidR="00C71E51" w:rsidRPr="00BF3A49" w:rsidRDefault="00C71E51" w:rsidP="00C71E51">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JULIO CÉSAR SALAZAR MUÑOZ</w:t>
      </w:r>
    </w:p>
    <w:p w:rsidR="00C71E51" w:rsidRPr="00BF3A49" w:rsidRDefault="00C71E51" w:rsidP="00C71E51">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 Ponente</w:t>
      </w:r>
    </w:p>
    <w:p w:rsidR="00C71E51" w:rsidRPr="00BF3A49" w:rsidRDefault="00C71E51" w:rsidP="00C71E51">
      <w:pPr>
        <w:spacing w:line="276" w:lineRule="auto"/>
        <w:jc w:val="center"/>
        <w:textAlignment w:val="baseline"/>
        <w:rPr>
          <w:rFonts w:ascii="Arial" w:hAnsi="Arial" w:cs="Arial"/>
          <w:sz w:val="24"/>
          <w:szCs w:val="24"/>
          <w:lang w:val="es-CO" w:eastAsia="es-CO"/>
        </w:rPr>
      </w:pPr>
    </w:p>
    <w:p w:rsidR="00C71E51" w:rsidRPr="00BF3A49" w:rsidRDefault="00C71E51" w:rsidP="00C71E51">
      <w:pPr>
        <w:spacing w:line="276" w:lineRule="auto"/>
        <w:jc w:val="center"/>
        <w:textAlignment w:val="baseline"/>
        <w:rPr>
          <w:rFonts w:ascii="Arial" w:hAnsi="Arial" w:cs="Arial"/>
          <w:sz w:val="24"/>
          <w:szCs w:val="24"/>
          <w:lang w:val="es-CO" w:eastAsia="es-CO"/>
        </w:rPr>
      </w:pPr>
    </w:p>
    <w:p w:rsidR="00C71E51" w:rsidRPr="00BF3A49" w:rsidRDefault="00C71E51" w:rsidP="00C71E51">
      <w:pPr>
        <w:spacing w:line="276" w:lineRule="auto"/>
        <w:jc w:val="center"/>
        <w:textAlignment w:val="baseline"/>
        <w:rPr>
          <w:rFonts w:ascii="Arial" w:hAnsi="Arial" w:cs="Arial"/>
          <w:sz w:val="24"/>
          <w:szCs w:val="24"/>
          <w:lang w:val="es-CO" w:eastAsia="es-CO"/>
        </w:rPr>
      </w:pPr>
    </w:p>
    <w:p w:rsidR="00C71E51" w:rsidRPr="00BF3A49" w:rsidRDefault="00C71E51" w:rsidP="00EA094E">
      <w:pPr>
        <w:spacing w:line="276" w:lineRule="auto"/>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ANA LUCÍA CAICEDO CALDERÓN</w:t>
      </w:r>
      <w:r w:rsidR="00EA094E">
        <w:rPr>
          <w:rFonts w:ascii="Arial" w:hAnsi="Arial" w:cs="Arial"/>
          <w:b/>
          <w:bCs/>
          <w:sz w:val="24"/>
          <w:szCs w:val="24"/>
          <w:lang w:val="es-CO" w:eastAsia="es-CO"/>
        </w:rPr>
        <w:tab/>
      </w:r>
      <w:r w:rsidR="00EA094E">
        <w:rPr>
          <w:rFonts w:ascii="Arial" w:hAnsi="Arial" w:cs="Arial"/>
          <w:b/>
          <w:bCs/>
          <w:sz w:val="24"/>
          <w:szCs w:val="24"/>
          <w:lang w:val="es-CO" w:eastAsia="es-CO"/>
        </w:rPr>
        <w:tab/>
      </w:r>
      <w:r w:rsidR="00EA094E">
        <w:rPr>
          <w:rFonts w:ascii="Arial" w:hAnsi="Arial" w:cs="Arial"/>
          <w:bCs/>
          <w:sz w:val="24"/>
          <w:szCs w:val="24"/>
          <w:lang w:val="es-CO" w:eastAsia="es-CO"/>
        </w:rPr>
        <w:t xml:space="preserve">      </w:t>
      </w:r>
      <w:r w:rsidR="00EA094E" w:rsidRPr="00BF3A49">
        <w:rPr>
          <w:rFonts w:ascii="Arial" w:hAnsi="Arial" w:cs="Arial"/>
          <w:b/>
          <w:bCs/>
          <w:sz w:val="24"/>
          <w:szCs w:val="24"/>
          <w:lang w:val="es-CO" w:eastAsia="es-CO"/>
        </w:rPr>
        <w:t>GERMÁN DARÍO GÓEZ VINASCO</w:t>
      </w:r>
    </w:p>
    <w:p w:rsidR="008B726D" w:rsidRPr="00C71E51" w:rsidRDefault="00C71E51" w:rsidP="00EA094E">
      <w:pPr>
        <w:spacing w:line="276" w:lineRule="auto"/>
        <w:textAlignment w:val="baseline"/>
        <w:rPr>
          <w:rFonts w:ascii="Arial" w:hAnsi="Arial" w:cs="Arial"/>
          <w:sz w:val="24"/>
          <w:szCs w:val="24"/>
          <w:lang w:val="es-CO" w:eastAsia="es-CO"/>
        </w:rPr>
      </w:pPr>
      <w:r w:rsidRPr="00BF3A49">
        <w:rPr>
          <w:rFonts w:ascii="Arial" w:hAnsi="Arial" w:cs="Arial"/>
          <w:sz w:val="24"/>
          <w:szCs w:val="24"/>
          <w:lang w:val="es-CO" w:eastAsia="es-CO"/>
        </w:rPr>
        <w:t>Magistrada</w:t>
      </w:r>
      <w:r w:rsidR="00EA094E">
        <w:rPr>
          <w:rFonts w:ascii="Arial" w:hAnsi="Arial" w:cs="Arial"/>
          <w:sz w:val="24"/>
          <w:szCs w:val="24"/>
          <w:lang w:val="es-CO" w:eastAsia="es-CO"/>
        </w:rPr>
        <w:tab/>
      </w:r>
      <w:r w:rsidR="00EA094E">
        <w:rPr>
          <w:rFonts w:ascii="Arial" w:hAnsi="Arial" w:cs="Arial"/>
          <w:sz w:val="24"/>
          <w:szCs w:val="24"/>
          <w:lang w:val="es-CO" w:eastAsia="es-CO"/>
        </w:rPr>
        <w:tab/>
      </w:r>
      <w:r w:rsidR="00EA094E">
        <w:rPr>
          <w:rFonts w:ascii="Arial" w:hAnsi="Arial" w:cs="Arial"/>
          <w:sz w:val="24"/>
          <w:szCs w:val="24"/>
          <w:lang w:val="es-CO" w:eastAsia="es-CO"/>
        </w:rPr>
        <w:tab/>
      </w:r>
      <w:r w:rsidR="00EA094E">
        <w:rPr>
          <w:rFonts w:ascii="Arial" w:hAnsi="Arial" w:cs="Arial"/>
          <w:sz w:val="24"/>
          <w:szCs w:val="24"/>
          <w:lang w:val="es-CO" w:eastAsia="es-CO"/>
        </w:rPr>
        <w:tab/>
      </w:r>
      <w:r w:rsidR="00EA094E">
        <w:rPr>
          <w:rFonts w:ascii="Arial" w:hAnsi="Arial" w:cs="Arial"/>
          <w:sz w:val="24"/>
          <w:szCs w:val="24"/>
          <w:lang w:val="es-CO" w:eastAsia="es-CO"/>
        </w:rPr>
        <w:tab/>
      </w:r>
      <w:r w:rsidR="00EA094E">
        <w:rPr>
          <w:rFonts w:ascii="Arial" w:hAnsi="Arial" w:cs="Arial"/>
          <w:sz w:val="24"/>
          <w:szCs w:val="24"/>
          <w:lang w:val="es-CO" w:eastAsia="es-CO"/>
        </w:rPr>
        <w:tab/>
      </w:r>
      <w:r w:rsidR="00EA094E">
        <w:rPr>
          <w:rFonts w:ascii="Arial" w:hAnsi="Arial" w:cs="Arial"/>
          <w:bCs/>
          <w:sz w:val="24"/>
          <w:szCs w:val="24"/>
          <w:lang w:val="es-CO" w:eastAsia="es-CO"/>
        </w:rPr>
        <w:t xml:space="preserve">      </w:t>
      </w:r>
      <w:r w:rsidRPr="00BF3A49">
        <w:rPr>
          <w:rFonts w:ascii="Arial" w:hAnsi="Arial" w:cs="Arial"/>
          <w:sz w:val="24"/>
          <w:szCs w:val="24"/>
          <w:lang w:val="es-CO" w:eastAsia="es-CO"/>
        </w:rPr>
        <w:t>Magistrado</w:t>
      </w:r>
    </w:p>
    <w:sectPr w:rsidR="008B726D" w:rsidRPr="00C71E51" w:rsidSect="00EA094E">
      <w:headerReference w:type="default" r:id="rId10"/>
      <w:foot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0326272E" w16cex:dateUtc="2022-03-02T15:39:20.293Z"/>
  <w16cex:commentExtensible w16cex:durableId="012C86EC" w16cex:dateUtc="2022-03-07T16:33:20.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D81" w:rsidRDefault="002D0D81" w:rsidP="00A71BE2">
      <w:r>
        <w:separator/>
      </w:r>
    </w:p>
  </w:endnote>
  <w:endnote w:type="continuationSeparator" w:id="0">
    <w:p w:rsidR="002D0D81" w:rsidRDefault="002D0D81"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41" w:rsidRPr="00B2081A" w:rsidRDefault="0026787D" w:rsidP="00B2081A">
    <w:pPr>
      <w:pStyle w:val="Encabezado"/>
      <w:jc w:val="right"/>
      <w:rPr>
        <w:rFonts w:ascii="Arial" w:hAnsi="Arial" w:cs="Arial"/>
        <w:sz w:val="18"/>
        <w:szCs w:val="16"/>
        <w:lang w:val="es-CO"/>
      </w:rPr>
    </w:pPr>
    <w:r w:rsidRPr="00B2081A">
      <w:rPr>
        <w:rFonts w:ascii="Arial" w:hAnsi="Arial" w:cs="Arial"/>
        <w:sz w:val="18"/>
        <w:szCs w:val="16"/>
        <w:lang w:val="es-CO"/>
      </w:rPr>
      <w:fldChar w:fldCharType="begin"/>
    </w:r>
    <w:r w:rsidR="00C17841" w:rsidRPr="00B2081A">
      <w:rPr>
        <w:rFonts w:ascii="Arial" w:hAnsi="Arial" w:cs="Arial"/>
        <w:sz w:val="18"/>
        <w:szCs w:val="16"/>
        <w:lang w:val="es-CO"/>
      </w:rPr>
      <w:instrText>PAGE   \* MERGEFORMAT</w:instrText>
    </w:r>
    <w:r w:rsidRPr="00B2081A">
      <w:rPr>
        <w:rFonts w:ascii="Arial" w:hAnsi="Arial" w:cs="Arial"/>
        <w:sz w:val="18"/>
        <w:szCs w:val="16"/>
        <w:lang w:val="es-CO"/>
      </w:rPr>
      <w:fldChar w:fldCharType="separate"/>
    </w:r>
    <w:r w:rsidR="006B7AD9" w:rsidRPr="00B2081A">
      <w:rPr>
        <w:rFonts w:ascii="Arial" w:hAnsi="Arial" w:cs="Arial"/>
        <w:sz w:val="18"/>
        <w:szCs w:val="16"/>
        <w:lang w:val="es-CO"/>
      </w:rPr>
      <w:t>10</w:t>
    </w:r>
    <w:r w:rsidRPr="00B2081A">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D81" w:rsidRDefault="002D0D81" w:rsidP="00A71BE2">
      <w:r>
        <w:separator/>
      </w:r>
    </w:p>
  </w:footnote>
  <w:footnote w:type="continuationSeparator" w:id="0">
    <w:p w:rsidR="002D0D81" w:rsidRDefault="002D0D81"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1A" w:rsidRPr="00B2081A" w:rsidRDefault="006B7AD9" w:rsidP="00B2081A">
    <w:pPr>
      <w:pStyle w:val="Encabezado"/>
      <w:jc w:val="center"/>
      <w:rPr>
        <w:rFonts w:ascii="Arial" w:hAnsi="Arial" w:cs="Arial"/>
        <w:sz w:val="18"/>
        <w:szCs w:val="16"/>
        <w:lang w:val="es-CO"/>
      </w:rPr>
    </w:pPr>
    <w:r w:rsidRPr="00B2081A">
      <w:rPr>
        <w:rFonts w:ascii="Arial" w:hAnsi="Arial" w:cs="Arial"/>
        <w:sz w:val="18"/>
        <w:szCs w:val="16"/>
        <w:lang w:val="es-CO"/>
      </w:rPr>
      <w:t xml:space="preserve">Luis </w:t>
    </w:r>
    <w:r w:rsidR="00E657FF" w:rsidRPr="00B2081A">
      <w:rPr>
        <w:rFonts w:ascii="Arial" w:hAnsi="Arial" w:cs="Arial"/>
        <w:sz w:val="18"/>
        <w:szCs w:val="16"/>
        <w:lang w:val="es-CO"/>
      </w:rPr>
      <w:t>Ángel Posada</w:t>
    </w:r>
    <w:r w:rsidR="00C17841" w:rsidRPr="00B2081A">
      <w:rPr>
        <w:rFonts w:ascii="Arial" w:hAnsi="Arial" w:cs="Arial"/>
        <w:sz w:val="18"/>
        <w:szCs w:val="16"/>
        <w:lang w:val="es-CO"/>
      </w:rPr>
      <w:t xml:space="preserve"> vs </w:t>
    </w:r>
    <w:r w:rsidR="00E657FF" w:rsidRPr="00B2081A">
      <w:rPr>
        <w:rFonts w:ascii="Arial" w:hAnsi="Arial" w:cs="Arial"/>
        <w:sz w:val="18"/>
        <w:szCs w:val="16"/>
        <w:lang w:val="es-CO"/>
      </w:rPr>
      <w:t>Colpensiones</w:t>
    </w:r>
  </w:p>
  <w:p w:rsidR="00C17841" w:rsidRPr="00B2081A" w:rsidRDefault="00C17841" w:rsidP="00B2081A">
    <w:pPr>
      <w:pStyle w:val="Encabezado"/>
      <w:jc w:val="center"/>
      <w:rPr>
        <w:sz w:val="18"/>
        <w:szCs w:val="16"/>
        <w:lang w:val="es-CO"/>
      </w:rPr>
    </w:pPr>
    <w:r w:rsidRPr="00B2081A">
      <w:rPr>
        <w:rFonts w:ascii="Arial" w:hAnsi="Arial" w:cs="Arial"/>
        <w:sz w:val="18"/>
        <w:szCs w:val="16"/>
        <w:lang w:val="es-CO"/>
      </w:rPr>
      <w:t>Rad. 660013105001201100</w:t>
    </w:r>
    <w:r w:rsidR="00E657FF" w:rsidRPr="00B2081A">
      <w:rPr>
        <w:rFonts w:ascii="Arial" w:hAnsi="Arial" w:cs="Arial"/>
        <w:sz w:val="18"/>
        <w:szCs w:val="16"/>
        <w:lang w:val="es-CO"/>
      </w:rPr>
      <w:t>35</w:t>
    </w:r>
    <w:r w:rsidRPr="00B2081A">
      <w:rPr>
        <w:rFonts w:ascii="Arial" w:hAnsi="Arial" w:cs="Arial"/>
        <w:sz w:val="18"/>
        <w:szCs w:val="16"/>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2"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3"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abstractNum w:abstractNumId="7" w15:restartNumberingAfterBreak="0">
    <w:nsid w:val="66A33857"/>
    <w:multiLevelType w:val="hybridMultilevel"/>
    <w:tmpl w:val="6F68720E"/>
    <w:lvl w:ilvl="0" w:tplc="898C30A0">
      <w:start w:val="2"/>
      <w:numFmt w:val="decimal"/>
      <w:lvlText w:val="%1."/>
      <w:lvlJc w:val="left"/>
      <w:pPr>
        <w:ind w:left="50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05D16"/>
    <w:rsid w:val="00013F45"/>
    <w:rsid w:val="00067799"/>
    <w:rsid w:val="00076331"/>
    <w:rsid w:val="00094FC8"/>
    <w:rsid w:val="000A0A07"/>
    <w:rsid w:val="000F6478"/>
    <w:rsid w:val="001248D5"/>
    <w:rsid w:val="00132C6A"/>
    <w:rsid w:val="0014341A"/>
    <w:rsid w:val="00143E24"/>
    <w:rsid w:val="00195942"/>
    <w:rsid w:val="001A56EA"/>
    <w:rsid w:val="001B09CD"/>
    <w:rsid w:val="001C566D"/>
    <w:rsid w:val="00224652"/>
    <w:rsid w:val="0026787D"/>
    <w:rsid w:val="0028E6E3"/>
    <w:rsid w:val="002D0D81"/>
    <w:rsid w:val="002E0F49"/>
    <w:rsid w:val="002E651C"/>
    <w:rsid w:val="00321FA0"/>
    <w:rsid w:val="003248C8"/>
    <w:rsid w:val="00333297"/>
    <w:rsid w:val="00345E5C"/>
    <w:rsid w:val="003A231E"/>
    <w:rsid w:val="003D2DCC"/>
    <w:rsid w:val="003F61D7"/>
    <w:rsid w:val="00407335"/>
    <w:rsid w:val="00445A65"/>
    <w:rsid w:val="004640D5"/>
    <w:rsid w:val="004734D5"/>
    <w:rsid w:val="00481D90"/>
    <w:rsid w:val="0048397E"/>
    <w:rsid w:val="00490A54"/>
    <w:rsid w:val="004B351C"/>
    <w:rsid w:val="004C783F"/>
    <w:rsid w:val="004DEC87"/>
    <w:rsid w:val="004E6807"/>
    <w:rsid w:val="00502B65"/>
    <w:rsid w:val="005250F1"/>
    <w:rsid w:val="0053299C"/>
    <w:rsid w:val="00550FC7"/>
    <w:rsid w:val="00553688"/>
    <w:rsid w:val="005539DC"/>
    <w:rsid w:val="00555CCD"/>
    <w:rsid w:val="00574000"/>
    <w:rsid w:val="005A12E5"/>
    <w:rsid w:val="006463D2"/>
    <w:rsid w:val="006750F8"/>
    <w:rsid w:val="0069294D"/>
    <w:rsid w:val="006A7B29"/>
    <w:rsid w:val="006B7AD9"/>
    <w:rsid w:val="006C0ED7"/>
    <w:rsid w:val="006F21BE"/>
    <w:rsid w:val="006F74C0"/>
    <w:rsid w:val="00700953"/>
    <w:rsid w:val="0070743C"/>
    <w:rsid w:val="00711EF4"/>
    <w:rsid w:val="007160E7"/>
    <w:rsid w:val="00727868"/>
    <w:rsid w:val="00763BB2"/>
    <w:rsid w:val="007A040B"/>
    <w:rsid w:val="007A0E90"/>
    <w:rsid w:val="007A3D08"/>
    <w:rsid w:val="007B5945"/>
    <w:rsid w:val="007C0E23"/>
    <w:rsid w:val="007C2297"/>
    <w:rsid w:val="007C3A1F"/>
    <w:rsid w:val="007D49EB"/>
    <w:rsid w:val="007F6947"/>
    <w:rsid w:val="00865156"/>
    <w:rsid w:val="008672F7"/>
    <w:rsid w:val="008B726D"/>
    <w:rsid w:val="009443C4"/>
    <w:rsid w:val="009C1E6A"/>
    <w:rsid w:val="009D210C"/>
    <w:rsid w:val="00A0A807"/>
    <w:rsid w:val="00A25075"/>
    <w:rsid w:val="00A61665"/>
    <w:rsid w:val="00A61D33"/>
    <w:rsid w:val="00A71BE2"/>
    <w:rsid w:val="00A734D0"/>
    <w:rsid w:val="00A9422F"/>
    <w:rsid w:val="00AB40A8"/>
    <w:rsid w:val="00AB4E5E"/>
    <w:rsid w:val="00AD706F"/>
    <w:rsid w:val="00B2081A"/>
    <w:rsid w:val="00B5402E"/>
    <w:rsid w:val="00B735C2"/>
    <w:rsid w:val="00B77BC1"/>
    <w:rsid w:val="00B8531E"/>
    <w:rsid w:val="00BB1B12"/>
    <w:rsid w:val="00BC0FCC"/>
    <w:rsid w:val="00BD184C"/>
    <w:rsid w:val="00C01752"/>
    <w:rsid w:val="00C0318F"/>
    <w:rsid w:val="00C115A0"/>
    <w:rsid w:val="00C145DC"/>
    <w:rsid w:val="00C17841"/>
    <w:rsid w:val="00C43D1F"/>
    <w:rsid w:val="00C6667B"/>
    <w:rsid w:val="00C71E51"/>
    <w:rsid w:val="00C7B003"/>
    <w:rsid w:val="00D31A63"/>
    <w:rsid w:val="00D36A5C"/>
    <w:rsid w:val="00D37BB8"/>
    <w:rsid w:val="00D722FE"/>
    <w:rsid w:val="00DB43EA"/>
    <w:rsid w:val="00DC2F36"/>
    <w:rsid w:val="00DE34E8"/>
    <w:rsid w:val="00DF2342"/>
    <w:rsid w:val="00DF35E7"/>
    <w:rsid w:val="00E10E3E"/>
    <w:rsid w:val="00E1198D"/>
    <w:rsid w:val="00E119C7"/>
    <w:rsid w:val="00E172FE"/>
    <w:rsid w:val="00E1755B"/>
    <w:rsid w:val="00E27681"/>
    <w:rsid w:val="00E34E5F"/>
    <w:rsid w:val="00E657FF"/>
    <w:rsid w:val="00E852A6"/>
    <w:rsid w:val="00E941D6"/>
    <w:rsid w:val="00EA094E"/>
    <w:rsid w:val="00EB06E5"/>
    <w:rsid w:val="00EF24DA"/>
    <w:rsid w:val="00EF68AB"/>
    <w:rsid w:val="00F05236"/>
    <w:rsid w:val="00F052A4"/>
    <w:rsid w:val="00F23D96"/>
    <w:rsid w:val="00FA34C6"/>
    <w:rsid w:val="00FB748D"/>
    <w:rsid w:val="00FD08D6"/>
    <w:rsid w:val="00FD345F"/>
    <w:rsid w:val="00FD41C7"/>
    <w:rsid w:val="01280FDA"/>
    <w:rsid w:val="01858129"/>
    <w:rsid w:val="01E7B427"/>
    <w:rsid w:val="0274B238"/>
    <w:rsid w:val="0388E467"/>
    <w:rsid w:val="03A9A185"/>
    <w:rsid w:val="04599C79"/>
    <w:rsid w:val="0461C451"/>
    <w:rsid w:val="048CAC4B"/>
    <w:rsid w:val="04E32FA9"/>
    <w:rsid w:val="054571E6"/>
    <w:rsid w:val="0555ACF6"/>
    <w:rsid w:val="05920337"/>
    <w:rsid w:val="059ADFF6"/>
    <w:rsid w:val="05E13D07"/>
    <w:rsid w:val="05F56CDA"/>
    <w:rsid w:val="06200152"/>
    <w:rsid w:val="065D243A"/>
    <w:rsid w:val="0669FC94"/>
    <w:rsid w:val="06AE392D"/>
    <w:rsid w:val="06DE6336"/>
    <w:rsid w:val="06E0B583"/>
    <w:rsid w:val="0710F132"/>
    <w:rsid w:val="0727E2F8"/>
    <w:rsid w:val="076CDF5E"/>
    <w:rsid w:val="079F72A8"/>
    <w:rsid w:val="08CF366D"/>
    <w:rsid w:val="08D636EF"/>
    <w:rsid w:val="08D7B5D3"/>
    <w:rsid w:val="0A05FE9F"/>
    <w:rsid w:val="0B06438C"/>
    <w:rsid w:val="0B92389A"/>
    <w:rsid w:val="0BDDF341"/>
    <w:rsid w:val="0C433E70"/>
    <w:rsid w:val="0CAB4F0F"/>
    <w:rsid w:val="0CC57E23"/>
    <w:rsid w:val="0CF59DBE"/>
    <w:rsid w:val="0D25296A"/>
    <w:rsid w:val="0D4DA4BA"/>
    <w:rsid w:val="0D7BF5C9"/>
    <w:rsid w:val="0DA312BB"/>
    <w:rsid w:val="0F4EEEB9"/>
    <w:rsid w:val="0F91B6A0"/>
    <w:rsid w:val="0FCD25ED"/>
    <w:rsid w:val="1076FFE1"/>
    <w:rsid w:val="109E6DD9"/>
    <w:rsid w:val="10B1C6D0"/>
    <w:rsid w:val="10CEC53E"/>
    <w:rsid w:val="11423401"/>
    <w:rsid w:val="11F302F0"/>
    <w:rsid w:val="123A3E3A"/>
    <w:rsid w:val="12497540"/>
    <w:rsid w:val="12607BD1"/>
    <w:rsid w:val="1264DDDC"/>
    <w:rsid w:val="13284111"/>
    <w:rsid w:val="135C2D83"/>
    <w:rsid w:val="135D8312"/>
    <w:rsid w:val="137393D8"/>
    <w:rsid w:val="13A57C0C"/>
    <w:rsid w:val="13CEF434"/>
    <w:rsid w:val="14351233"/>
    <w:rsid w:val="143A0C26"/>
    <w:rsid w:val="14A32937"/>
    <w:rsid w:val="14A9388D"/>
    <w:rsid w:val="14D8AE85"/>
    <w:rsid w:val="156D7CF1"/>
    <w:rsid w:val="163EF998"/>
    <w:rsid w:val="16523155"/>
    <w:rsid w:val="166715AE"/>
    <w:rsid w:val="16DD1CCE"/>
    <w:rsid w:val="16F041C3"/>
    <w:rsid w:val="16FB70D4"/>
    <w:rsid w:val="175D9EEE"/>
    <w:rsid w:val="17D7032F"/>
    <w:rsid w:val="17E849F3"/>
    <w:rsid w:val="1838E1BB"/>
    <w:rsid w:val="1893E2DC"/>
    <w:rsid w:val="193C501A"/>
    <w:rsid w:val="195DCC1C"/>
    <w:rsid w:val="1989D217"/>
    <w:rsid w:val="1A4C7340"/>
    <w:rsid w:val="1A8612F7"/>
    <w:rsid w:val="1B0195D7"/>
    <w:rsid w:val="1B817691"/>
    <w:rsid w:val="1BE843A1"/>
    <w:rsid w:val="1BF5AC3E"/>
    <w:rsid w:val="1C07C6AA"/>
    <w:rsid w:val="1D1010AB"/>
    <w:rsid w:val="1D3F631C"/>
    <w:rsid w:val="1D54E03A"/>
    <w:rsid w:val="1D5579CD"/>
    <w:rsid w:val="1DB7CB74"/>
    <w:rsid w:val="1DBFBA18"/>
    <w:rsid w:val="1DC9FC78"/>
    <w:rsid w:val="1E1988FB"/>
    <w:rsid w:val="1E3686D7"/>
    <w:rsid w:val="1E578B77"/>
    <w:rsid w:val="1E5E40D5"/>
    <w:rsid w:val="1EBD0515"/>
    <w:rsid w:val="1F59EDF8"/>
    <w:rsid w:val="1FB74E2D"/>
    <w:rsid w:val="1FFF05B4"/>
    <w:rsid w:val="20781065"/>
    <w:rsid w:val="20AF5F5B"/>
    <w:rsid w:val="211D91BB"/>
    <w:rsid w:val="21DFC401"/>
    <w:rsid w:val="2215D29A"/>
    <w:rsid w:val="227E8D21"/>
    <w:rsid w:val="2299EDDA"/>
    <w:rsid w:val="22AAB717"/>
    <w:rsid w:val="22C0A9E2"/>
    <w:rsid w:val="22D1200F"/>
    <w:rsid w:val="22D386F4"/>
    <w:rsid w:val="235E867D"/>
    <w:rsid w:val="246769CF"/>
    <w:rsid w:val="24CF563D"/>
    <w:rsid w:val="24E70DC2"/>
    <w:rsid w:val="257F5131"/>
    <w:rsid w:val="26007F33"/>
    <w:rsid w:val="266B7FCB"/>
    <w:rsid w:val="266E4738"/>
    <w:rsid w:val="2711DF4A"/>
    <w:rsid w:val="279968CC"/>
    <w:rsid w:val="27EF8573"/>
    <w:rsid w:val="27F01F06"/>
    <w:rsid w:val="2807502C"/>
    <w:rsid w:val="280A1799"/>
    <w:rsid w:val="28927496"/>
    <w:rsid w:val="28B17965"/>
    <w:rsid w:val="28DEC016"/>
    <w:rsid w:val="28E8A756"/>
    <w:rsid w:val="295A68F6"/>
    <w:rsid w:val="2996475C"/>
    <w:rsid w:val="29A3FC2C"/>
    <w:rsid w:val="29F9BD5E"/>
    <w:rsid w:val="2B0EA087"/>
    <w:rsid w:val="2B561E29"/>
    <w:rsid w:val="2B79D67E"/>
    <w:rsid w:val="2CAA70E8"/>
    <w:rsid w:val="2DBFE1B7"/>
    <w:rsid w:val="2E3FB1D7"/>
    <w:rsid w:val="2E6DAF41"/>
    <w:rsid w:val="2F43E7CC"/>
    <w:rsid w:val="2F6FFEC3"/>
    <w:rsid w:val="2F813709"/>
    <w:rsid w:val="2F83A8CB"/>
    <w:rsid w:val="2FDC21A0"/>
    <w:rsid w:val="30017376"/>
    <w:rsid w:val="303D3067"/>
    <w:rsid w:val="3084B70C"/>
    <w:rsid w:val="30E86059"/>
    <w:rsid w:val="315143A2"/>
    <w:rsid w:val="31531F8B"/>
    <w:rsid w:val="3156ECBE"/>
    <w:rsid w:val="316ABBF4"/>
    <w:rsid w:val="31A0DB55"/>
    <w:rsid w:val="31DB69DF"/>
    <w:rsid w:val="324C3503"/>
    <w:rsid w:val="3252F256"/>
    <w:rsid w:val="32759675"/>
    <w:rsid w:val="3290516E"/>
    <w:rsid w:val="3292573D"/>
    <w:rsid w:val="32A4BCD2"/>
    <w:rsid w:val="339B7577"/>
    <w:rsid w:val="339E608B"/>
    <w:rsid w:val="33F4E5EB"/>
    <w:rsid w:val="3430B1E1"/>
    <w:rsid w:val="343D6C99"/>
    <w:rsid w:val="34DA2E35"/>
    <w:rsid w:val="34DB96DE"/>
    <w:rsid w:val="351FD828"/>
    <w:rsid w:val="3529FC5C"/>
    <w:rsid w:val="3541EBF4"/>
    <w:rsid w:val="355E6057"/>
    <w:rsid w:val="35E740CC"/>
    <w:rsid w:val="36082323"/>
    <w:rsid w:val="365C2CC7"/>
    <w:rsid w:val="369C9B44"/>
    <w:rsid w:val="374EF9B1"/>
    <w:rsid w:val="37B7DA06"/>
    <w:rsid w:val="37C00739"/>
    <w:rsid w:val="3815C94D"/>
    <w:rsid w:val="3952D0E1"/>
    <w:rsid w:val="39C131DD"/>
    <w:rsid w:val="39CFD2A5"/>
    <w:rsid w:val="39E276DC"/>
    <w:rsid w:val="39FD6D7F"/>
    <w:rsid w:val="3AC0725E"/>
    <w:rsid w:val="3B993DE0"/>
    <w:rsid w:val="3C188744"/>
    <w:rsid w:val="3C568250"/>
    <w:rsid w:val="3C5C4F43"/>
    <w:rsid w:val="3C5FD0DC"/>
    <w:rsid w:val="3C742FCC"/>
    <w:rsid w:val="3CBD8350"/>
    <w:rsid w:val="3D2EC398"/>
    <w:rsid w:val="3D35B943"/>
    <w:rsid w:val="3D65A3D9"/>
    <w:rsid w:val="3DEF5CFF"/>
    <w:rsid w:val="3DFBA13D"/>
    <w:rsid w:val="3E141064"/>
    <w:rsid w:val="3E858EBF"/>
    <w:rsid w:val="3EB2279A"/>
    <w:rsid w:val="3F070B30"/>
    <w:rsid w:val="3F665B27"/>
    <w:rsid w:val="3F6B89AE"/>
    <w:rsid w:val="3F8B2D60"/>
    <w:rsid w:val="3FAF0569"/>
    <w:rsid w:val="3FBBA894"/>
    <w:rsid w:val="400E6895"/>
    <w:rsid w:val="40215F20"/>
    <w:rsid w:val="402656AF"/>
    <w:rsid w:val="40366909"/>
    <w:rsid w:val="40A81A3D"/>
    <w:rsid w:val="40C66CED"/>
    <w:rsid w:val="40E2D3D0"/>
    <w:rsid w:val="4129F373"/>
    <w:rsid w:val="41B915ED"/>
    <w:rsid w:val="41BD2F81"/>
    <w:rsid w:val="4297B853"/>
    <w:rsid w:val="43460957"/>
    <w:rsid w:val="43925E2F"/>
    <w:rsid w:val="43F674A6"/>
    <w:rsid w:val="452D701C"/>
    <w:rsid w:val="455D1122"/>
    <w:rsid w:val="45B23DAD"/>
    <w:rsid w:val="45BCDF1F"/>
    <w:rsid w:val="45C85B26"/>
    <w:rsid w:val="467DAA19"/>
    <w:rsid w:val="477B1C20"/>
    <w:rsid w:val="4844750A"/>
    <w:rsid w:val="4894B1E4"/>
    <w:rsid w:val="4923CA81"/>
    <w:rsid w:val="49A6FC24"/>
    <w:rsid w:val="49B2F23A"/>
    <w:rsid w:val="49C05D78"/>
    <w:rsid w:val="4A76FAB0"/>
    <w:rsid w:val="4AA4ABC3"/>
    <w:rsid w:val="4ABC0459"/>
    <w:rsid w:val="4AC66377"/>
    <w:rsid w:val="4B407C21"/>
    <w:rsid w:val="4B52252E"/>
    <w:rsid w:val="4B983AA5"/>
    <w:rsid w:val="4BAB704F"/>
    <w:rsid w:val="4C5CCC49"/>
    <w:rsid w:val="4C6F5BD0"/>
    <w:rsid w:val="4CEA92FC"/>
    <w:rsid w:val="4D0D371B"/>
    <w:rsid w:val="4DD3796A"/>
    <w:rsid w:val="4E3EF977"/>
    <w:rsid w:val="4E494B7D"/>
    <w:rsid w:val="4E79D3B4"/>
    <w:rsid w:val="4EFAF660"/>
    <w:rsid w:val="4F7C7EF1"/>
    <w:rsid w:val="5044D7DD"/>
    <w:rsid w:val="50596C14"/>
    <w:rsid w:val="508087CB"/>
    <w:rsid w:val="511E1329"/>
    <w:rsid w:val="5123F92E"/>
    <w:rsid w:val="51303D6C"/>
    <w:rsid w:val="516C5239"/>
    <w:rsid w:val="51BA0FCC"/>
    <w:rsid w:val="5230E733"/>
    <w:rsid w:val="524E68BC"/>
    <w:rsid w:val="527BD2CD"/>
    <w:rsid w:val="52CD7891"/>
    <w:rsid w:val="52DF1961"/>
    <w:rsid w:val="5353EACB"/>
    <w:rsid w:val="539C6F39"/>
    <w:rsid w:val="543A0FCE"/>
    <w:rsid w:val="5455B3EB"/>
    <w:rsid w:val="547086BD"/>
    <w:rsid w:val="54C3173B"/>
    <w:rsid w:val="55867F11"/>
    <w:rsid w:val="5587BB9C"/>
    <w:rsid w:val="55EBC075"/>
    <w:rsid w:val="55F42363"/>
    <w:rsid w:val="56E60DCC"/>
    <w:rsid w:val="56E70A21"/>
    <w:rsid w:val="56F2B6A4"/>
    <w:rsid w:val="56F30850"/>
    <w:rsid w:val="579E1DEA"/>
    <w:rsid w:val="57A50D1F"/>
    <w:rsid w:val="57E1E5E9"/>
    <w:rsid w:val="583D2377"/>
    <w:rsid w:val="58BC5BA6"/>
    <w:rsid w:val="5939EE4B"/>
    <w:rsid w:val="59B79318"/>
    <w:rsid w:val="5A1FB103"/>
    <w:rsid w:val="5A5FE89B"/>
    <w:rsid w:val="5AB4B53B"/>
    <w:rsid w:val="5ABF3198"/>
    <w:rsid w:val="5AD88590"/>
    <w:rsid w:val="5AE56F2F"/>
    <w:rsid w:val="5B3FBAE3"/>
    <w:rsid w:val="5C54DE32"/>
    <w:rsid w:val="5C7A30D8"/>
    <w:rsid w:val="5CB24CF9"/>
    <w:rsid w:val="5D222BF5"/>
    <w:rsid w:val="5DD1D2A7"/>
    <w:rsid w:val="5E78FACF"/>
    <w:rsid w:val="5F01A5E7"/>
    <w:rsid w:val="5FA92FCF"/>
    <w:rsid w:val="5FB49897"/>
    <w:rsid w:val="5FBCAAE5"/>
    <w:rsid w:val="6036BEC8"/>
    <w:rsid w:val="6073FBCB"/>
    <w:rsid w:val="6128414A"/>
    <w:rsid w:val="612EA39D"/>
    <w:rsid w:val="613BB1C8"/>
    <w:rsid w:val="6176B3EA"/>
    <w:rsid w:val="620FCC2C"/>
    <w:rsid w:val="6217AD40"/>
    <w:rsid w:val="62D48A61"/>
    <w:rsid w:val="6301B2E8"/>
    <w:rsid w:val="63916D79"/>
    <w:rsid w:val="6397BAE9"/>
    <w:rsid w:val="63B92814"/>
    <w:rsid w:val="63C70D60"/>
    <w:rsid w:val="6457B818"/>
    <w:rsid w:val="64A4020D"/>
    <w:rsid w:val="64E14B48"/>
    <w:rsid w:val="652D1064"/>
    <w:rsid w:val="652D3DDA"/>
    <w:rsid w:val="654C5850"/>
    <w:rsid w:val="65797CA6"/>
    <w:rsid w:val="657C5B9C"/>
    <w:rsid w:val="6647D9A8"/>
    <w:rsid w:val="66C514A3"/>
    <w:rsid w:val="66C90E3B"/>
    <w:rsid w:val="681E71E8"/>
    <w:rsid w:val="685F26D9"/>
    <w:rsid w:val="6886EEC4"/>
    <w:rsid w:val="68A059C9"/>
    <w:rsid w:val="698E8509"/>
    <w:rsid w:val="6A64B75F"/>
    <w:rsid w:val="6AC6548D"/>
    <w:rsid w:val="6B36A2AB"/>
    <w:rsid w:val="6B73F0DE"/>
    <w:rsid w:val="6B838F7C"/>
    <w:rsid w:val="6BB5B3CF"/>
    <w:rsid w:val="6C07C19E"/>
    <w:rsid w:val="6C2BBD30"/>
    <w:rsid w:val="6C481056"/>
    <w:rsid w:val="6CDFF934"/>
    <w:rsid w:val="6CF91010"/>
    <w:rsid w:val="6D345627"/>
    <w:rsid w:val="6DECF44B"/>
    <w:rsid w:val="6E0270AB"/>
    <w:rsid w:val="6E4B378F"/>
    <w:rsid w:val="6F71438A"/>
    <w:rsid w:val="6F80B59E"/>
    <w:rsid w:val="6FA883C7"/>
    <w:rsid w:val="7094A699"/>
    <w:rsid w:val="713E452A"/>
    <w:rsid w:val="7148547E"/>
    <w:rsid w:val="71A4AFBF"/>
    <w:rsid w:val="721CD861"/>
    <w:rsid w:val="7238A9A4"/>
    <w:rsid w:val="723D6D41"/>
    <w:rsid w:val="725EB964"/>
    <w:rsid w:val="72F9CC12"/>
    <w:rsid w:val="7321620B"/>
    <w:rsid w:val="73496BD8"/>
    <w:rsid w:val="734ADC36"/>
    <w:rsid w:val="736638A8"/>
    <w:rsid w:val="748455AF"/>
    <w:rsid w:val="7550A06C"/>
    <w:rsid w:val="7562940D"/>
    <w:rsid w:val="76514A8F"/>
    <w:rsid w:val="76B8CAE0"/>
    <w:rsid w:val="771C8BFB"/>
    <w:rsid w:val="77A9D87B"/>
    <w:rsid w:val="77C8DB2A"/>
    <w:rsid w:val="77CD9823"/>
    <w:rsid w:val="783CEFAF"/>
    <w:rsid w:val="784F9B5F"/>
    <w:rsid w:val="786FB82F"/>
    <w:rsid w:val="7888412E"/>
    <w:rsid w:val="789505FB"/>
    <w:rsid w:val="78AE4EA0"/>
    <w:rsid w:val="7959DD45"/>
    <w:rsid w:val="79C6389E"/>
    <w:rsid w:val="7A0BE80C"/>
    <w:rsid w:val="7A2B3ECF"/>
    <w:rsid w:val="7A460CB3"/>
    <w:rsid w:val="7A599806"/>
    <w:rsid w:val="7A6D0F25"/>
    <w:rsid w:val="7AD10A33"/>
    <w:rsid w:val="7AD25EB3"/>
    <w:rsid w:val="7ADBC0B0"/>
    <w:rsid w:val="7BB720F4"/>
    <w:rsid w:val="7BB7B7FC"/>
    <w:rsid w:val="7BF10E52"/>
    <w:rsid w:val="7C201EAA"/>
    <w:rsid w:val="7C33CF70"/>
    <w:rsid w:val="7D757B85"/>
    <w:rsid w:val="7D7E2C28"/>
    <w:rsid w:val="7D81BFC3"/>
    <w:rsid w:val="7DA7D98C"/>
    <w:rsid w:val="7DCBE076"/>
    <w:rsid w:val="7DD26E96"/>
    <w:rsid w:val="7E441CF3"/>
    <w:rsid w:val="7E785752"/>
    <w:rsid w:val="7E90AD8D"/>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AB9F"/>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styleId="NormalWeb">
    <w:name w:val="Normal (Web)"/>
    <w:basedOn w:val="Normal"/>
    <w:semiHidden/>
    <w:unhideWhenUsed/>
    <w:rsid w:val="008B726D"/>
    <w:pPr>
      <w:spacing w:before="100" w:beforeAutospacing="1" w:after="100" w:afterAutospacing="1"/>
    </w:pPr>
    <w:rPr>
      <w:sz w:val="24"/>
      <w:szCs w:val="24"/>
      <w:lang w:val="es-ES"/>
    </w:rPr>
  </w:style>
  <w:style w:type="paragraph" w:customStyle="1" w:styleId="Textoindependiente21">
    <w:name w:val="Texto independiente 21"/>
    <w:basedOn w:val="Normal"/>
    <w:rsid w:val="008B726D"/>
    <w:pPr>
      <w:spacing w:line="360" w:lineRule="auto"/>
      <w:jc w:val="both"/>
    </w:pPr>
    <w:rPr>
      <w:rFonts w:ascii="Arial" w:hAnsi="Arial"/>
      <w:b/>
      <w:sz w:val="28"/>
    </w:rPr>
  </w:style>
  <w:style w:type="character" w:customStyle="1" w:styleId="FontStyle16">
    <w:name w:val="Font Style16"/>
    <w:rsid w:val="008B726D"/>
    <w:rPr>
      <w:rFonts w:ascii="Arial" w:hAnsi="Arial" w:cs="Arial" w:hint="default"/>
      <w:color w:val="000000"/>
      <w:spacing w:val="20"/>
      <w:sz w:val="18"/>
      <w:szCs w:val="18"/>
    </w:rPr>
  </w:style>
  <w:style w:type="paragraph" w:customStyle="1" w:styleId="paragraph">
    <w:name w:val="paragraph"/>
    <w:basedOn w:val="Normal"/>
    <w:rsid w:val="003F61D7"/>
    <w:pPr>
      <w:spacing w:before="100" w:beforeAutospacing="1" w:after="100" w:afterAutospacing="1"/>
      <w:jc w:val="both"/>
    </w:pPr>
    <w:rPr>
      <w:sz w:val="24"/>
      <w:szCs w:val="24"/>
      <w:lang w:val="es-ES"/>
    </w:rPr>
  </w:style>
  <w:style w:type="character" w:customStyle="1" w:styleId="normaltextrun">
    <w:name w:val="normaltextrun"/>
    <w:basedOn w:val="Fuentedeprrafopredeter"/>
    <w:rsid w:val="003F61D7"/>
  </w:style>
  <w:style w:type="character" w:customStyle="1" w:styleId="eop">
    <w:name w:val="eop"/>
    <w:basedOn w:val="Fuentedeprrafopredeter"/>
    <w:rsid w:val="00B5402E"/>
  </w:style>
  <w:style w:type="paragraph" w:styleId="Asuntodelcomentario">
    <w:name w:val="annotation subject"/>
    <w:basedOn w:val="Textocomentario"/>
    <w:next w:val="Textocomentario"/>
    <w:link w:val="AsuntodelcomentarioCar"/>
    <w:uiPriority w:val="99"/>
    <w:semiHidden/>
    <w:unhideWhenUsed/>
    <w:rsid w:val="00DE34E8"/>
    <w:rPr>
      <w:b/>
      <w:bCs/>
    </w:rPr>
  </w:style>
  <w:style w:type="character" w:customStyle="1" w:styleId="AsuntodelcomentarioCar">
    <w:name w:val="Asunto del comentario Car"/>
    <w:basedOn w:val="TextocomentarioCar"/>
    <w:link w:val="Asuntodelcomentario"/>
    <w:uiPriority w:val="99"/>
    <w:semiHidden/>
    <w:rsid w:val="00DE34E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43B236BB-BFCA-4817-8E2D-9B55A854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3.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3749</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31</cp:revision>
  <dcterms:created xsi:type="dcterms:W3CDTF">2022-03-02T01:56:00Z</dcterms:created>
  <dcterms:modified xsi:type="dcterms:W3CDTF">2022-04-20T14:21:00Z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