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4C" w:rsidRPr="00F54135" w:rsidRDefault="003E194C" w:rsidP="003E194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F5413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E194C" w:rsidRPr="00F54135" w:rsidRDefault="003E194C" w:rsidP="003E194C">
      <w:pPr>
        <w:spacing w:after="0" w:line="240" w:lineRule="auto"/>
        <w:jc w:val="both"/>
        <w:rPr>
          <w:rFonts w:ascii="Arial" w:eastAsia="Times New Roman" w:hAnsi="Arial" w:cs="Arial"/>
          <w:sz w:val="20"/>
          <w:szCs w:val="20"/>
          <w:lang w:val="es-419" w:eastAsia="es-ES"/>
        </w:rPr>
      </w:pPr>
    </w:p>
    <w:p w:rsidR="003E194C" w:rsidRPr="00F54135" w:rsidRDefault="002F7826" w:rsidP="003E194C">
      <w:pPr>
        <w:spacing w:after="0" w:line="240" w:lineRule="auto"/>
        <w:jc w:val="both"/>
        <w:rPr>
          <w:rFonts w:ascii="Arial" w:eastAsia="Calibri" w:hAnsi="Arial" w:cs="Arial"/>
          <w:b/>
          <w:bCs/>
          <w:iCs/>
          <w:sz w:val="20"/>
          <w:szCs w:val="20"/>
          <w:lang w:eastAsia="fr-FR"/>
        </w:rPr>
      </w:pPr>
      <w:r w:rsidRPr="00F54135">
        <w:rPr>
          <w:rFonts w:ascii="Arial" w:eastAsia="Calibri" w:hAnsi="Arial" w:cs="Arial"/>
          <w:b/>
          <w:bCs/>
          <w:iCs/>
          <w:sz w:val="20"/>
          <w:szCs w:val="20"/>
          <w:u w:val="single"/>
          <w:lang w:val="es-419" w:eastAsia="fr-FR"/>
        </w:rPr>
        <w:t>TEMAS:</w:t>
      </w:r>
      <w:r w:rsidRPr="00F54135">
        <w:rPr>
          <w:rFonts w:ascii="Arial" w:eastAsia="Calibri" w:hAnsi="Arial" w:cs="Arial"/>
          <w:b/>
          <w:bCs/>
          <w:iCs/>
          <w:sz w:val="20"/>
          <w:szCs w:val="20"/>
          <w:lang w:val="es-419" w:eastAsia="fr-FR"/>
        </w:rPr>
        <w:tab/>
      </w:r>
      <w:r>
        <w:rPr>
          <w:rFonts w:ascii="Arial" w:eastAsia="Calibri" w:hAnsi="Arial" w:cs="Arial"/>
          <w:b/>
          <w:bCs/>
          <w:iCs/>
          <w:sz w:val="20"/>
          <w:szCs w:val="20"/>
          <w:lang w:val="es-419" w:eastAsia="fr-FR"/>
        </w:rPr>
        <w:t>PENSIÓN DE SOBREVIVIENTES / APLICACIÓN DIRECTA ACUERDO 049 DE 1990 / REQUISITOS / ACUMULACIÓN CON TIEMPO DE SERVICIO PÚBLICO / PROCEDE EN CASOS REGULADOS POR EL RÉGIMEN DE TRANSICIÓN.</w:t>
      </w:r>
    </w:p>
    <w:p w:rsidR="003E194C" w:rsidRPr="00F54135" w:rsidRDefault="003E194C" w:rsidP="003E194C">
      <w:pPr>
        <w:spacing w:after="0" w:line="240" w:lineRule="auto"/>
        <w:jc w:val="both"/>
        <w:rPr>
          <w:rFonts w:ascii="Arial" w:eastAsia="Times New Roman" w:hAnsi="Arial" w:cs="Arial"/>
          <w:sz w:val="20"/>
          <w:szCs w:val="20"/>
          <w:lang w:val="es-419" w:eastAsia="es-ES"/>
        </w:rPr>
      </w:pPr>
    </w:p>
    <w:p w:rsidR="00C970D7" w:rsidRPr="00C970D7" w:rsidRDefault="00C970D7" w:rsidP="00C970D7">
      <w:pPr>
        <w:spacing w:after="0" w:line="240" w:lineRule="auto"/>
        <w:jc w:val="both"/>
        <w:rPr>
          <w:rFonts w:ascii="Arial" w:eastAsia="Times New Roman" w:hAnsi="Arial" w:cs="Arial"/>
          <w:sz w:val="20"/>
          <w:szCs w:val="20"/>
          <w:lang w:val="es-ES_tradnl" w:eastAsia="es-ES"/>
        </w:rPr>
      </w:pPr>
      <w:r w:rsidRPr="00C970D7">
        <w:rPr>
          <w:rFonts w:ascii="Arial" w:eastAsia="Times New Roman" w:hAnsi="Arial" w:cs="Arial"/>
          <w:sz w:val="20"/>
          <w:szCs w:val="20"/>
          <w:lang w:val="es-ES_tradnl" w:eastAsia="es-ES"/>
        </w:rPr>
        <w:t xml:space="preserve">Es posición pacífica de la jurisprudencia considerar que la norma que rige las pensiones de sobrevivientes es la vigente al momento en que se produce el deceso del afiliado. </w:t>
      </w:r>
      <w:r>
        <w:rPr>
          <w:rFonts w:ascii="Arial" w:eastAsia="Times New Roman" w:hAnsi="Arial" w:cs="Arial"/>
          <w:sz w:val="20"/>
          <w:szCs w:val="20"/>
          <w:lang w:val="es-ES_tradnl" w:eastAsia="es-ES"/>
        </w:rPr>
        <w:t>(…)</w:t>
      </w:r>
    </w:p>
    <w:p w:rsidR="00C970D7" w:rsidRPr="00C970D7" w:rsidRDefault="00C970D7" w:rsidP="00C970D7">
      <w:pPr>
        <w:spacing w:after="0" w:line="240" w:lineRule="auto"/>
        <w:jc w:val="both"/>
        <w:rPr>
          <w:rFonts w:ascii="Arial" w:eastAsia="Times New Roman" w:hAnsi="Arial" w:cs="Arial"/>
          <w:sz w:val="20"/>
          <w:szCs w:val="20"/>
          <w:lang w:val="es-ES_tradnl" w:eastAsia="es-ES"/>
        </w:rPr>
      </w:pPr>
      <w:r w:rsidRPr="00C970D7">
        <w:rPr>
          <w:rFonts w:ascii="Arial" w:eastAsia="Times New Roman" w:hAnsi="Arial" w:cs="Arial"/>
          <w:sz w:val="20"/>
          <w:szCs w:val="20"/>
          <w:lang w:val="es-ES_tradnl" w:eastAsia="es-ES"/>
        </w:rPr>
        <w:t xml:space="preserve"> </w:t>
      </w:r>
    </w:p>
    <w:p w:rsidR="003E194C" w:rsidRPr="00F54135" w:rsidRDefault="00C970D7" w:rsidP="00C970D7">
      <w:pPr>
        <w:spacing w:after="0" w:line="240" w:lineRule="auto"/>
        <w:jc w:val="both"/>
        <w:rPr>
          <w:rFonts w:ascii="Arial" w:eastAsia="Times New Roman" w:hAnsi="Arial" w:cs="Arial"/>
          <w:sz w:val="20"/>
          <w:szCs w:val="20"/>
          <w:lang w:val="es-ES_tradnl" w:eastAsia="es-ES"/>
        </w:rPr>
      </w:pPr>
      <w:r w:rsidRPr="00C970D7">
        <w:rPr>
          <w:rFonts w:ascii="Arial" w:eastAsia="Times New Roman" w:hAnsi="Arial" w:cs="Arial"/>
          <w:sz w:val="20"/>
          <w:szCs w:val="20"/>
          <w:lang w:val="es-ES_tradnl" w:eastAsia="es-ES"/>
        </w:rPr>
        <w:t>Establece el artículo 25 del Acuerdo 049 de 1990 que habrá derecho a la pensión de sobrevivientes cuando a la fecha de fallecimiento, el asegurado haya reunido el número y densidad de cotizaciones que se exigen para adquirir el derecho a la pensión de invalidez por riesgo común; por lo que de acuerdo con lo previsto en el artículo 6° ibidem, para dejar causado el derecho a favor de sus beneficiarios, al afiliado fallecido le corresponde haber cotizado al ISS (hoy Colpensiones) ciento cincuenta semanas (150) dentro de los seis (6) años anteriores a la fecha del deceso, o en su defecto haber sufragado trescientas (300) semanas en cualquier tiempo.</w:t>
      </w:r>
    </w:p>
    <w:p w:rsidR="003E194C" w:rsidRDefault="003E194C" w:rsidP="003E194C">
      <w:pPr>
        <w:spacing w:after="0" w:line="240" w:lineRule="auto"/>
        <w:jc w:val="both"/>
        <w:rPr>
          <w:rFonts w:ascii="Arial" w:eastAsia="Times New Roman" w:hAnsi="Arial" w:cs="Arial"/>
          <w:sz w:val="20"/>
          <w:szCs w:val="20"/>
          <w:lang w:val="es-ES_tradnl" w:eastAsia="es-ES"/>
        </w:rPr>
      </w:pPr>
    </w:p>
    <w:p w:rsidR="003E194C" w:rsidRDefault="00C970D7" w:rsidP="003E194C">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C970D7">
        <w:rPr>
          <w:rFonts w:ascii="Arial" w:eastAsia="Times New Roman" w:hAnsi="Arial" w:cs="Arial"/>
          <w:sz w:val="20"/>
          <w:szCs w:val="20"/>
          <w:lang w:val="es-ES_tradnl" w:eastAsia="es-ES"/>
        </w:rPr>
        <w:t>al revisar la historia laboral allegada por la Administradora Colombiana de Pensiones -fls.94 a 97- se evidencia que ella cotizó en toda su vida laboral al ISS (hoy Colpensiones) un total de 50.71 semanas, las cuales se tornan insuficientes para dejar causada la pensión de sobrevivientes a favor de sus beneficiarios, sin que en este caso sea posible dar aplicación a la acumulación de esos aportes efectivamente sufragados al régimen de prima media con prestación definida, con los tiempos de servicios públicos</w:t>
      </w:r>
      <w:r>
        <w:rPr>
          <w:rFonts w:ascii="Arial" w:eastAsia="Times New Roman" w:hAnsi="Arial" w:cs="Arial"/>
          <w:sz w:val="20"/>
          <w:szCs w:val="20"/>
          <w:lang w:val="es-ES_tradnl" w:eastAsia="es-ES"/>
        </w:rPr>
        <w:t>…</w:t>
      </w:r>
      <w:r w:rsidR="002F7826">
        <w:rPr>
          <w:rFonts w:ascii="Arial" w:eastAsia="Times New Roman" w:hAnsi="Arial" w:cs="Arial"/>
          <w:sz w:val="20"/>
          <w:szCs w:val="20"/>
          <w:lang w:val="es-ES_tradnl" w:eastAsia="es-ES"/>
        </w:rPr>
        <w:t xml:space="preserve"> </w:t>
      </w:r>
      <w:r w:rsidR="002F7826" w:rsidRPr="002F7826">
        <w:rPr>
          <w:rFonts w:ascii="Arial" w:eastAsia="Times New Roman" w:hAnsi="Arial" w:cs="Arial"/>
          <w:sz w:val="20"/>
          <w:szCs w:val="20"/>
          <w:lang w:val="es-ES_tradnl" w:eastAsia="es-ES"/>
        </w:rPr>
        <w:t>no solamente porque el Acuerdo 049 de 1990 no lo permite, sino también porque a pesar de que la Sala de Casación Laboral de la Corte Suprema de Justicia en sentencia SL1981 de 1° de julio de 2020 permitió la acumulación de cotizaciones con tiempos de servicios públicos, lo cierto es que únicamente lo autorizó en los casos regulados por el régimen de transición previsto en el artículo 36 de la Ley 100 de 1993, destinado a la solución de los eventos en curso de las pensiones de vejez.</w:t>
      </w:r>
    </w:p>
    <w:p w:rsidR="003E194C" w:rsidRDefault="003E194C" w:rsidP="003E194C">
      <w:pPr>
        <w:spacing w:after="0" w:line="240" w:lineRule="auto"/>
        <w:jc w:val="both"/>
        <w:rPr>
          <w:rFonts w:ascii="Arial" w:eastAsia="Times New Roman" w:hAnsi="Arial" w:cs="Arial"/>
          <w:sz w:val="20"/>
          <w:szCs w:val="20"/>
          <w:lang w:val="es-ES_tradnl" w:eastAsia="es-ES"/>
        </w:rPr>
      </w:pPr>
    </w:p>
    <w:p w:rsidR="003E194C" w:rsidRPr="00F54135" w:rsidRDefault="003E194C" w:rsidP="003E194C">
      <w:pPr>
        <w:spacing w:after="0" w:line="240" w:lineRule="auto"/>
        <w:jc w:val="both"/>
        <w:rPr>
          <w:rFonts w:ascii="Arial" w:eastAsia="Times New Roman" w:hAnsi="Arial" w:cs="Arial"/>
          <w:sz w:val="20"/>
          <w:szCs w:val="20"/>
          <w:lang w:val="es-ES_tradnl" w:eastAsia="es-ES"/>
        </w:rPr>
      </w:pPr>
    </w:p>
    <w:bookmarkEnd w:id="0"/>
    <w:p w:rsidR="003E194C" w:rsidRPr="00F54135" w:rsidRDefault="003E194C" w:rsidP="003E194C">
      <w:pPr>
        <w:spacing w:after="0" w:line="240" w:lineRule="auto"/>
        <w:jc w:val="both"/>
        <w:rPr>
          <w:rFonts w:ascii="Arial" w:eastAsia="Times New Roman" w:hAnsi="Arial" w:cs="Arial"/>
          <w:sz w:val="20"/>
          <w:szCs w:val="20"/>
          <w:lang w:val="es-ES_tradnl" w:eastAsia="es-ES"/>
        </w:rPr>
      </w:pPr>
    </w:p>
    <w:bookmarkEnd w:id="1"/>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TRIBUNAL SUPERIOR DEL DISTRITO JUDICIAL</w:t>
      </w: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SALA DE DECISIÓN LABORAL</w:t>
      </w: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MAGISTRADO PONENTE: JULIO CÉSAR SALAZAR MUÑOZ</w:t>
      </w:r>
    </w:p>
    <w:p w:rsidR="003E194C" w:rsidRPr="003E194C" w:rsidRDefault="003E194C" w:rsidP="003E194C">
      <w:pPr>
        <w:spacing w:line="276" w:lineRule="auto"/>
        <w:jc w:val="center"/>
        <w:textAlignment w:val="baseline"/>
        <w:rPr>
          <w:rFonts w:ascii="Arial" w:hAnsi="Arial" w:cs="Arial"/>
          <w:bCs/>
          <w:sz w:val="24"/>
          <w:szCs w:val="24"/>
          <w:lang w:eastAsia="es-CO"/>
        </w:rPr>
      </w:pPr>
    </w:p>
    <w:p w:rsidR="00715044" w:rsidRPr="003E194C" w:rsidRDefault="003E194C" w:rsidP="003E194C">
      <w:pPr>
        <w:spacing w:line="276" w:lineRule="auto"/>
        <w:jc w:val="center"/>
        <w:textAlignment w:val="baseline"/>
        <w:rPr>
          <w:rFonts w:ascii="Arial" w:hAnsi="Arial" w:cs="Arial"/>
          <w:bCs/>
          <w:sz w:val="24"/>
          <w:szCs w:val="24"/>
          <w:lang w:eastAsia="es-CO"/>
        </w:rPr>
      </w:pPr>
      <w:r w:rsidRPr="003E194C">
        <w:rPr>
          <w:rFonts w:ascii="Arial" w:hAnsi="Arial" w:cs="Arial"/>
          <w:bCs/>
          <w:sz w:val="24"/>
          <w:szCs w:val="24"/>
          <w:lang w:eastAsia="es-CO"/>
        </w:rPr>
        <w:t>Pereira, nueve de marzo de dos mil veintidós</w:t>
      </w:r>
    </w:p>
    <w:p w:rsidR="00715044" w:rsidRPr="003E194C" w:rsidRDefault="00715044" w:rsidP="003E194C">
      <w:pPr>
        <w:spacing w:line="276" w:lineRule="auto"/>
        <w:jc w:val="center"/>
        <w:textAlignment w:val="baseline"/>
        <w:rPr>
          <w:rFonts w:ascii="Arial" w:hAnsi="Arial" w:cs="Arial"/>
          <w:sz w:val="24"/>
          <w:szCs w:val="24"/>
          <w:lang w:eastAsia="es-CO"/>
        </w:rPr>
      </w:pPr>
      <w:r w:rsidRPr="003E194C">
        <w:rPr>
          <w:rFonts w:ascii="Arial" w:hAnsi="Arial" w:cs="Arial"/>
          <w:bCs/>
          <w:sz w:val="24"/>
          <w:szCs w:val="24"/>
          <w:lang w:eastAsia="es-CO"/>
        </w:rPr>
        <w:t>Acta de Sala Especial de Discusión No 34 de 8 de marzo de 2022</w:t>
      </w:r>
      <w:r w:rsidRPr="003E194C">
        <w:rPr>
          <w:rFonts w:ascii="Arial" w:hAnsi="Arial" w:cs="Arial"/>
          <w:sz w:val="24"/>
          <w:szCs w:val="24"/>
          <w:lang w:eastAsia="es-CO"/>
        </w:rPr>
        <w:t>   </w:t>
      </w:r>
    </w:p>
    <w:p w:rsidR="00CE3700" w:rsidRDefault="00CE3700" w:rsidP="003E194C">
      <w:pPr>
        <w:pStyle w:val="paragraph"/>
        <w:spacing w:before="0" w:beforeAutospacing="0" w:after="0" w:afterAutospacing="0" w:line="276" w:lineRule="auto"/>
        <w:textAlignment w:val="baseline"/>
        <w:rPr>
          <w:rStyle w:val="eop"/>
          <w:rFonts w:ascii="Arial" w:hAnsi="Arial" w:cs="Arial"/>
        </w:rPr>
      </w:pPr>
      <w:r w:rsidRPr="003E194C">
        <w:rPr>
          <w:rStyle w:val="eop"/>
          <w:rFonts w:ascii="Arial" w:hAnsi="Arial" w:cs="Arial"/>
        </w:rPr>
        <w:t> </w:t>
      </w:r>
    </w:p>
    <w:p w:rsidR="003654BB" w:rsidRPr="003E194C" w:rsidRDefault="003654BB" w:rsidP="003E194C">
      <w:pPr>
        <w:pStyle w:val="paragraph"/>
        <w:spacing w:before="0" w:beforeAutospacing="0" w:after="0" w:afterAutospacing="0" w:line="276" w:lineRule="auto"/>
        <w:textAlignment w:val="baseline"/>
        <w:rPr>
          <w:rFonts w:ascii="Arial" w:hAnsi="Arial" w:cs="Arial"/>
        </w:rPr>
      </w:pPr>
    </w:p>
    <w:p w:rsidR="000115D4" w:rsidRPr="003E194C" w:rsidRDefault="000115D4" w:rsidP="003E194C">
      <w:pPr>
        <w:pStyle w:val="paragraph"/>
        <w:spacing w:before="0" w:beforeAutospacing="0" w:after="0" w:afterAutospacing="0" w:line="276" w:lineRule="auto"/>
        <w:jc w:val="center"/>
        <w:textAlignment w:val="baseline"/>
        <w:rPr>
          <w:rStyle w:val="normaltextrun"/>
          <w:rFonts w:ascii="Arial" w:hAnsi="Arial" w:cs="Arial"/>
          <w:b/>
          <w:bCs/>
        </w:rPr>
      </w:pPr>
      <w:r w:rsidRPr="003E194C">
        <w:rPr>
          <w:rStyle w:val="normaltextrun"/>
          <w:rFonts w:ascii="Arial" w:hAnsi="Arial" w:cs="Arial"/>
          <w:b/>
          <w:bCs/>
        </w:rPr>
        <w:t>CUESTIÓN PREVIA</w:t>
      </w:r>
    </w:p>
    <w:p w:rsidR="000115D4" w:rsidRPr="003E194C" w:rsidRDefault="000115D4" w:rsidP="003E194C">
      <w:pPr>
        <w:pStyle w:val="paragraph"/>
        <w:spacing w:before="0" w:beforeAutospacing="0" w:after="0" w:afterAutospacing="0" w:line="276" w:lineRule="auto"/>
        <w:jc w:val="center"/>
        <w:textAlignment w:val="baseline"/>
        <w:rPr>
          <w:rStyle w:val="normaltextrun"/>
          <w:rFonts w:ascii="Arial" w:hAnsi="Arial" w:cs="Arial"/>
          <w:b/>
          <w:bCs/>
        </w:rPr>
      </w:pPr>
    </w:p>
    <w:p w:rsidR="000115D4" w:rsidRPr="003E194C" w:rsidRDefault="000115D4"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xml:space="preserve">Una vez vencidos los términos de traslados dispuestos en la lista fijada el </w:t>
      </w:r>
      <w:r w:rsidR="00A9180C" w:rsidRPr="003E194C">
        <w:rPr>
          <w:rFonts w:ascii="Arial" w:eastAsia="Times New Roman" w:hAnsi="Arial" w:cs="Arial"/>
          <w:b/>
          <w:bCs/>
          <w:sz w:val="24"/>
          <w:szCs w:val="24"/>
          <w:lang w:eastAsia="es-CO"/>
        </w:rPr>
        <w:t>27 de octubre de 2020</w:t>
      </w:r>
      <w:r w:rsidRPr="003E194C">
        <w:rPr>
          <w:rFonts w:ascii="Arial" w:eastAsia="Times New Roman" w:hAnsi="Arial" w:cs="Arial"/>
          <w:sz w:val="24"/>
          <w:szCs w:val="24"/>
          <w:lang w:eastAsia="es-CO"/>
        </w:rPr>
        <w:t xml:space="preserve">, quien aquí hace las veces de magistrado sustanciador, incluyó, dentro del registro de proyectos de </w:t>
      </w:r>
      <w:r w:rsidR="00A9180C" w:rsidRPr="003E194C">
        <w:rPr>
          <w:rFonts w:ascii="Arial" w:eastAsia="Times New Roman" w:hAnsi="Arial" w:cs="Arial"/>
          <w:b/>
          <w:bCs/>
          <w:sz w:val="24"/>
          <w:szCs w:val="24"/>
          <w:lang w:eastAsia="es-CO"/>
        </w:rPr>
        <w:t>2 de diciembre de 2020</w:t>
      </w:r>
      <w:r w:rsidRPr="003E194C">
        <w:rPr>
          <w:rFonts w:ascii="Arial" w:eastAsia="Times New Roman" w:hAnsi="Arial" w:cs="Arial"/>
          <w:sz w:val="24"/>
          <w:szCs w:val="24"/>
          <w:lang w:eastAsia="es-CO"/>
        </w:rPr>
        <w:t xml:space="preserve">, la ponencia que resolvía el recurso de apelación interpuesto por el señor </w:t>
      </w:r>
      <w:r w:rsidR="00A9180C" w:rsidRPr="003E194C">
        <w:rPr>
          <w:rFonts w:ascii="Arial" w:eastAsia="Times New Roman" w:hAnsi="Arial" w:cs="Arial"/>
          <w:sz w:val="24"/>
          <w:szCs w:val="24"/>
          <w:lang w:eastAsia="es-CO"/>
        </w:rPr>
        <w:t xml:space="preserve">Luis Mariano Restrepo </w:t>
      </w:r>
      <w:proofErr w:type="spellStart"/>
      <w:r w:rsidR="00A9180C" w:rsidRPr="003E194C">
        <w:rPr>
          <w:rFonts w:ascii="Arial" w:eastAsia="Times New Roman" w:hAnsi="Arial" w:cs="Arial"/>
          <w:sz w:val="24"/>
          <w:szCs w:val="24"/>
          <w:lang w:eastAsia="es-CO"/>
        </w:rPr>
        <w:t>Restrepo</w:t>
      </w:r>
      <w:proofErr w:type="spellEnd"/>
      <w:r w:rsidR="00A9180C" w:rsidRPr="003E194C">
        <w:rPr>
          <w:rFonts w:ascii="Arial" w:eastAsia="Times New Roman" w:hAnsi="Arial" w:cs="Arial"/>
          <w:sz w:val="24"/>
          <w:szCs w:val="24"/>
          <w:lang w:eastAsia="es-CO"/>
        </w:rPr>
        <w:t xml:space="preserve"> en contra de la sentencia proferida por el Juzgado Segundo Laboral del Circuito el </w:t>
      </w:r>
      <w:r w:rsidR="00A9180C" w:rsidRPr="003E194C">
        <w:rPr>
          <w:rFonts w:ascii="Arial" w:eastAsia="Times New Roman" w:hAnsi="Arial" w:cs="Arial"/>
          <w:b/>
          <w:bCs/>
          <w:sz w:val="24"/>
          <w:szCs w:val="24"/>
          <w:lang w:eastAsia="es-CO"/>
        </w:rPr>
        <w:t>13 de julio de 2020</w:t>
      </w:r>
      <w:r w:rsidR="00A9180C" w:rsidRPr="003E194C">
        <w:rPr>
          <w:rFonts w:ascii="Arial" w:eastAsia="Times New Roman" w:hAnsi="Arial" w:cs="Arial"/>
          <w:sz w:val="24"/>
          <w:szCs w:val="24"/>
          <w:lang w:eastAsia="es-CO"/>
        </w:rPr>
        <w:t xml:space="preserve">, </w:t>
      </w:r>
      <w:r w:rsidR="377D51B3" w:rsidRPr="003E194C">
        <w:rPr>
          <w:rFonts w:ascii="Arial" w:eastAsia="Times New Roman" w:hAnsi="Arial" w:cs="Arial"/>
          <w:sz w:val="24"/>
          <w:szCs w:val="24"/>
          <w:lang w:eastAsia="es-CO"/>
        </w:rPr>
        <w:t>misma que</w:t>
      </w:r>
      <w:r w:rsidRPr="003E194C">
        <w:rPr>
          <w:rFonts w:ascii="Arial" w:eastAsia="Times New Roman" w:hAnsi="Arial" w:cs="Arial"/>
          <w:sz w:val="24"/>
          <w:szCs w:val="24"/>
          <w:lang w:eastAsia="es-CO"/>
        </w:rPr>
        <w:t xml:space="preserve">, luego de estudiada por los demás integrantes de la Sala de Decisión, no fue compartida por ellos, tal y como quedó consignado en el acta de la sala de discusión </w:t>
      </w:r>
      <w:r w:rsidRPr="003E194C">
        <w:rPr>
          <w:rFonts w:ascii="Arial" w:eastAsia="Times New Roman" w:hAnsi="Arial" w:cs="Arial"/>
          <w:b/>
          <w:bCs/>
          <w:sz w:val="24"/>
          <w:szCs w:val="24"/>
          <w:lang w:eastAsia="es-CO"/>
        </w:rPr>
        <w:t>N°</w:t>
      </w:r>
      <w:r w:rsidR="003E194C">
        <w:rPr>
          <w:rFonts w:ascii="Arial" w:eastAsia="Times New Roman" w:hAnsi="Arial" w:cs="Arial"/>
          <w:b/>
          <w:bCs/>
          <w:sz w:val="24"/>
          <w:szCs w:val="24"/>
          <w:lang w:eastAsia="es-CO"/>
        </w:rPr>
        <w:t xml:space="preserve"> </w:t>
      </w:r>
      <w:r w:rsidRPr="003E194C">
        <w:rPr>
          <w:rFonts w:ascii="Arial" w:eastAsia="Times New Roman" w:hAnsi="Arial" w:cs="Arial"/>
          <w:b/>
          <w:bCs/>
          <w:sz w:val="24"/>
          <w:szCs w:val="24"/>
          <w:lang w:eastAsia="es-CO"/>
        </w:rPr>
        <w:t>1</w:t>
      </w:r>
      <w:r w:rsidR="00E53F27" w:rsidRPr="003E194C">
        <w:rPr>
          <w:rFonts w:ascii="Arial" w:eastAsia="Times New Roman" w:hAnsi="Arial" w:cs="Arial"/>
          <w:b/>
          <w:bCs/>
          <w:sz w:val="24"/>
          <w:szCs w:val="24"/>
          <w:lang w:eastAsia="es-CO"/>
        </w:rPr>
        <w:t>2</w:t>
      </w:r>
      <w:r w:rsidRPr="003E194C">
        <w:rPr>
          <w:rFonts w:ascii="Arial" w:eastAsia="Times New Roman" w:hAnsi="Arial" w:cs="Arial"/>
          <w:b/>
          <w:bCs/>
          <w:sz w:val="24"/>
          <w:szCs w:val="24"/>
          <w:lang w:eastAsia="es-CO"/>
        </w:rPr>
        <w:t xml:space="preserve"> de </w:t>
      </w:r>
      <w:r w:rsidR="00E53F27" w:rsidRPr="003E194C">
        <w:rPr>
          <w:rFonts w:ascii="Arial" w:eastAsia="Times New Roman" w:hAnsi="Arial" w:cs="Arial"/>
          <w:b/>
          <w:bCs/>
          <w:sz w:val="24"/>
          <w:szCs w:val="24"/>
          <w:lang w:eastAsia="es-CO"/>
        </w:rPr>
        <w:t>1° de febrero de 2021</w:t>
      </w:r>
      <w:r w:rsidRPr="003E194C">
        <w:rPr>
          <w:rFonts w:ascii="Arial" w:eastAsia="Times New Roman" w:hAnsi="Arial" w:cs="Arial"/>
          <w:sz w:val="24"/>
          <w:szCs w:val="24"/>
          <w:lang w:eastAsia="es-CO"/>
        </w:rPr>
        <w:t xml:space="preserve"> -archivo </w:t>
      </w:r>
      <w:r w:rsidR="001B78AC" w:rsidRPr="003E194C">
        <w:rPr>
          <w:rFonts w:ascii="Arial" w:eastAsia="Times New Roman" w:hAnsi="Arial" w:cs="Arial"/>
          <w:sz w:val="24"/>
          <w:szCs w:val="24"/>
          <w:lang w:eastAsia="es-CO"/>
        </w:rPr>
        <w:t>07</w:t>
      </w:r>
      <w:r w:rsidRPr="003E194C">
        <w:rPr>
          <w:rFonts w:ascii="Arial" w:eastAsia="Times New Roman" w:hAnsi="Arial" w:cs="Arial"/>
          <w:sz w:val="24"/>
          <w:szCs w:val="24"/>
          <w:lang w:eastAsia="es-CO"/>
        </w:rPr>
        <w:t xml:space="preserve"> carpeta de segunda instancia-; por lo que a partir del </w:t>
      </w:r>
      <w:r w:rsidR="001B78AC" w:rsidRPr="003E194C">
        <w:rPr>
          <w:rFonts w:ascii="Arial" w:eastAsia="Times New Roman" w:hAnsi="Arial" w:cs="Arial"/>
          <w:b/>
          <w:bCs/>
          <w:sz w:val="24"/>
          <w:szCs w:val="24"/>
          <w:lang w:eastAsia="es-CO"/>
        </w:rPr>
        <w:t>5 de febrero de 2021</w:t>
      </w:r>
      <w:r w:rsidRPr="003E194C">
        <w:rPr>
          <w:rFonts w:ascii="Arial" w:eastAsia="Times New Roman" w:hAnsi="Arial" w:cs="Arial"/>
          <w:sz w:val="24"/>
          <w:szCs w:val="24"/>
          <w:lang w:eastAsia="es-CO"/>
        </w:rPr>
        <w:t xml:space="preserve"> el expediente pasó al despacho de</w:t>
      </w:r>
      <w:r w:rsidR="001B78AC" w:rsidRPr="003E194C">
        <w:rPr>
          <w:rFonts w:ascii="Arial" w:eastAsia="Times New Roman" w:hAnsi="Arial" w:cs="Arial"/>
          <w:sz w:val="24"/>
          <w:szCs w:val="24"/>
          <w:lang w:eastAsia="es-CO"/>
        </w:rPr>
        <w:t>l</w:t>
      </w:r>
      <w:r w:rsidRPr="003E194C">
        <w:rPr>
          <w:rFonts w:ascii="Arial" w:eastAsia="Times New Roman" w:hAnsi="Arial" w:cs="Arial"/>
          <w:sz w:val="24"/>
          <w:szCs w:val="24"/>
          <w:lang w:eastAsia="es-CO"/>
        </w:rPr>
        <w:t xml:space="preserve"> magistrad</w:t>
      </w:r>
      <w:r w:rsidR="001B78AC" w:rsidRPr="003E194C">
        <w:rPr>
          <w:rFonts w:ascii="Arial" w:eastAsia="Times New Roman" w:hAnsi="Arial" w:cs="Arial"/>
          <w:sz w:val="24"/>
          <w:szCs w:val="24"/>
          <w:lang w:eastAsia="es-CO"/>
        </w:rPr>
        <w:t>o</w:t>
      </w:r>
      <w:r w:rsidRPr="003E194C">
        <w:rPr>
          <w:rFonts w:ascii="Arial" w:eastAsia="Times New Roman" w:hAnsi="Arial" w:cs="Arial"/>
          <w:sz w:val="24"/>
          <w:szCs w:val="24"/>
          <w:lang w:eastAsia="es-CO"/>
        </w:rPr>
        <w:t xml:space="preserve"> que seguía en turno, a quien le correspondía elaborar la sentencia que contenía la tesis de la sala mayoritaria. </w:t>
      </w:r>
    </w:p>
    <w:p w:rsidR="000115D4" w:rsidRPr="003E194C" w:rsidRDefault="000115D4"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1B78AC" w:rsidRPr="003E194C" w:rsidRDefault="000115D4"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lastRenderedPageBreak/>
        <w:t xml:space="preserve">No obstante, el pasado </w:t>
      </w:r>
      <w:r w:rsidR="001B78AC" w:rsidRPr="003E194C">
        <w:rPr>
          <w:rFonts w:ascii="Arial" w:eastAsia="Times New Roman" w:hAnsi="Arial" w:cs="Arial"/>
          <w:b/>
          <w:bCs/>
          <w:sz w:val="24"/>
          <w:szCs w:val="24"/>
          <w:lang w:eastAsia="es-CO"/>
        </w:rPr>
        <w:t>20 de enero de 2022</w:t>
      </w:r>
      <w:r w:rsidRPr="003E194C">
        <w:rPr>
          <w:rFonts w:ascii="Arial" w:eastAsia="Times New Roman" w:hAnsi="Arial" w:cs="Arial"/>
          <w:sz w:val="24"/>
          <w:szCs w:val="24"/>
          <w:lang w:eastAsia="es-CO"/>
        </w:rPr>
        <w:t xml:space="preserve">, el doctor </w:t>
      </w:r>
      <w:r w:rsidR="003E194C" w:rsidRPr="003E194C">
        <w:rPr>
          <w:rFonts w:ascii="Arial" w:eastAsia="Times New Roman" w:hAnsi="Arial" w:cs="Arial"/>
          <w:sz w:val="24"/>
          <w:szCs w:val="24"/>
          <w:lang w:eastAsia="es-CO"/>
        </w:rPr>
        <w:t xml:space="preserve">Germán Darío </w:t>
      </w:r>
      <w:proofErr w:type="spellStart"/>
      <w:r w:rsidR="003E194C" w:rsidRPr="003E194C">
        <w:rPr>
          <w:rFonts w:ascii="Arial" w:eastAsia="Times New Roman" w:hAnsi="Arial" w:cs="Arial"/>
          <w:sz w:val="24"/>
          <w:szCs w:val="24"/>
          <w:lang w:eastAsia="es-CO"/>
        </w:rPr>
        <w:t>Góez</w:t>
      </w:r>
      <w:proofErr w:type="spellEnd"/>
      <w:r w:rsidR="003E194C" w:rsidRPr="003E194C">
        <w:rPr>
          <w:rFonts w:ascii="Arial" w:eastAsia="Times New Roman" w:hAnsi="Arial" w:cs="Arial"/>
          <w:sz w:val="24"/>
          <w:szCs w:val="24"/>
          <w:lang w:eastAsia="es-CO"/>
        </w:rPr>
        <w:t xml:space="preserve"> Vinasco</w:t>
      </w:r>
      <w:r w:rsidRPr="003E194C">
        <w:rPr>
          <w:rFonts w:ascii="Arial" w:eastAsia="Times New Roman" w:hAnsi="Arial" w:cs="Arial"/>
          <w:sz w:val="24"/>
          <w:szCs w:val="24"/>
          <w:lang w:eastAsia="es-CO"/>
        </w:rPr>
        <w:t> -</w:t>
      </w:r>
      <w:r w:rsidR="7402E42C" w:rsidRPr="003E194C">
        <w:rPr>
          <w:rFonts w:ascii="Arial" w:eastAsia="Times New Roman" w:hAnsi="Arial" w:cs="Arial"/>
          <w:sz w:val="24"/>
          <w:szCs w:val="24"/>
          <w:lang w:eastAsia="es-CO"/>
        </w:rPr>
        <w:t>encargado de hacer la nueva ponencia</w:t>
      </w:r>
      <w:r w:rsidRPr="003E194C">
        <w:rPr>
          <w:rFonts w:ascii="Arial" w:eastAsia="Times New Roman" w:hAnsi="Arial" w:cs="Arial"/>
          <w:sz w:val="24"/>
          <w:szCs w:val="24"/>
          <w:lang w:eastAsia="es-CO"/>
        </w:rPr>
        <w:t>-, suscribi</w:t>
      </w:r>
      <w:r w:rsidR="001B78AC" w:rsidRPr="003E194C">
        <w:rPr>
          <w:rFonts w:ascii="Arial" w:eastAsia="Times New Roman" w:hAnsi="Arial" w:cs="Arial"/>
          <w:sz w:val="24"/>
          <w:szCs w:val="24"/>
          <w:lang w:eastAsia="es-CO"/>
        </w:rPr>
        <w:t xml:space="preserve">ó </w:t>
      </w:r>
      <w:r w:rsidR="001B78AC" w:rsidRPr="003E194C">
        <w:rPr>
          <w:rFonts w:ascii="Arial" w:eastAsia="Times New Roman" w:hAnsi="Arial" w:cs="Arial"/>
          <w:i/>
          <w:iCs/>
          <w:sz w:val="24"/>
          <w:szCs w:val="24"/>
          <w:lang w:eastAsia="es-CO"/>
        </w:rPr>
        <w:t>“</w:t>
      </w:r>
      <w:r w:rsidR="001B78AC" w:rsidRPr="003E194C">
        <w:rPr>
          <w:rFonts w:ascii="Arial" w:eastAsia="Times New Roman" w:hAnsi="Arial" w:cs="Arial"/>
          <w:b/>
          <w:bCs/>
          <w:i/>
          <w:iCs/>
          <w:sz w:val="24"/>
          <w:szCs w:val="24"/>
          <w:lang w:eastAsia="es-CO"/>
        </w:rPr>
        <w:t>ACTA DE SALA DE DEVOLUCIÓN EXPEDIENTE”</w:t>
      </w:r>
      <w:r w:rsidR="001B78AC" w:rsidRPr="003E194C">
        <w:rPr>
          <w:rFonts w:ascii="Arial" w:eastAsia="Times New Roman" w:hAnsi="Arial" w:cs="Arial"/>
          <w:b/>
          <w:bCs/>
          <w:sz w:val="24"/>
          <w:szCs w:val="24"/>
          <w:lang w:eastAsia="es-CO"/>
        </w:rPr>
        <w:t xml:space="preserve"> </w:t>
      </w:r>
      <w:r w:rsidR="001B78AC" w:rsidRPr="003E194C">
        <w:rPr>
          <w:rFonts w:ascii="Arial" w:eastAsia="Times New Roman" w:hAnsi="Arial" w:cs="Arial"/>
          <w:sz w:val="24"/>
          <w:szCs w:val="24"/>
          <w:lang w:eastAsia="es-CO"/>
        </w:rPr>
        <w:t xml:space="preserve">en la que manifestó que </w:t>
      </w:r>
      <w:r w:rsidR="001B78AC" w:rsidRPr="003E194C">
        <w:rPr>
          <w:rFonts w:ascii="Arial" w:eastAsia="Times New Roman" w:hAnsi="Arial" w:cs="Arial"/>
          <w:i/>
          <w:iCs/>
          <w:sz w:val="24"/>
          <w:szCs w:val="24"/>
          <w:lang w:eastAsia="es-CO"/>
        </w:rPr>
        <w:t>“Una vez realizada (sic) el proyecto de ponencia por el suscrito</w:t>
      </w:r>
      <w:r w:rsidR="009E5393" w:rsidRPr="003E194C">
        <w:rPr>
          <w:rFonts w:ascii="Arial" w:eastAsia="Times New Roman" w:hAnsi="Arial" w:cs="Arial"/>
          <w:i/>
          <w:iCs/>
          <w:sz w:val="24"/>
          <w:szCs w:val="24"/>
          <w:lang w:eastAsia="es-CO"/>
        </w:rPr>
        <w:t xml:space="preserve">, y pasada a la Magistrada ANA LUCÍA CAICEDO CALDERÓN, la misma no estuvo de acuerdo con el proyecto presentado, por lo que procede la devolución del expediente al ponente original.” </w:t>
      </w:r>
      <w:r w:rsidR="009E5393" w:rsidRPr="003E194C">
        <w:rPr>
          <w:rFonts w:ascii="Arial" w:eastAsia="Times New Roman" w:hAnsi="Arial" w:cs="Arial"/>
          <w:sz w:val="24"/>
          <w:szCs w:val="24"/>
          <w:lang w:eastAsia="es-CO"/>
        </w:rPr>
        <w:t>-archivo 09 carpeta segunda instancia-.</w:t>
      </w:r>
    </w:p>
    <w:p w:rsidR="000115D4" w:rsidRPr="003E194C" w:rsidRDefault="000115D4"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0115D4" w:rsidRPr="003E194C" w:rsidRDefault="000115D4"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xml:space="preserve">Recibido nuevamente el expediente el </w:t>
      </w:r>
      <w:r w:rsidR="009E5393" w:rsidRPr="003E194C">
        <w:rPr>
          <w:rFonts w:ascii="Arial" w:eastAsia="Times New Roman" w:hAnsi="Arial" w:cs="Arial"/>
          <w:b/>
          <w:bCs/>
          <w:sz w:val="24"/>
          <w:szCs w:val="24"/>
          <w:lang w:eastAsia="es-CO"/>
        </w:rPr>
        <w:t>20 de enero de 2022</w:t>
      </w:r>
      <w:r w:rsidRPr="003E194C">
        <w:rPr>
          <w:rFonts w:ascii="Arial" w:eastAsia="Times New Roman" w:hAnsi="Arial" w:cs="Arial"/>
          <w:sz w:val="24"/>
          <w:szCs w:val="24"/>
          <w:lang w:eastAsia="es-CO"/>
        </w:rPr>
        <w:t>, como se evidencia en la constancia de devolución realizada por la secretaría de la sala -archivo 1</w:t>
      </w:r>
      <w:r w:rsidR="009E5393" w:rsidRPr="003E194C">
        <w:rPr>
          <w:rFonts w:ascii="Arial" w:eastAsia="Times New Roman" w:hAnsi="Arial" w:cs="Arial"/>
          <w:sz w:val="24"/>
          <w:szCs w:val="24"/>
          <w:lang w:eastAsia="es-CO"/>
        </w:rPr>
        <w:t>0</w:t>
      </w:r>
      <w:r w:rsidRPr="003E194C">
        <w:rPr>
          <w:rFonts w:ascii="Arial" w:eastAsia="Times New Roman" w:hAnsi="Arial" w:cs="Arial"/>
          <w:sz w:val="24"/>
          <w:szCs w:val="24"/>
          <w:lang w:eastAsia="es-CO"/>
        </w:rPr>
        <w:t xml:space="preserve"> carpeta de segunda instancia-</w:t>
      </w:r>
      <w:r w:rsidR="44E18902" w:rsidRPr="003E194C">
        <w:rPr>
          <w:rFonts w:ascii="Arial" w:eastAsia="Times New Roman" w:hAnsi="Arial" w:cs="Arial"/>
          <w:sz w:val="24"/>
          <w:szCs w:val="24"/>
          <w:lang w:eastAsia="es-CO"/>
        </w:rPr>
        <w:t xml:space="preserve"> </w:t>
      </w:r>
      <w:r w:rsidR="0FCF68DA" w:rsidRPr="003E194C">
        <w:rPr>
          <w:rFonts w:ascii="Arial" w:eastAsia="Times New Roman" w:hAnsi="Arial" w:cs="Arial"/>
          <w:sz w:val="24"/>
          <w:szCs w:val="24"/>
          <w:lang w:eastAsia="es-CO"/>
        </w:rPr>
        <w:t xml:space="preserve">indagada sobre el punto, en nota de </w:t>
      </w:r>
      <w:proofErr w:type="spellStart"/>
      <w:r w:rsidR="0FCF68DA" w:rsidRPr="003E194C">
        <w:rPr>
          <w:rFonts w:ascii="Arial" w:eastAsia="Times New Roman" w:hAnsi="Arial" w:cs="Arial"/>
          <w:sz w:val="24"/>
          <w:szCs w:val="24"/>
          <w:lang w:eastAsia="es-CO"/>
        </w:rPr>
        <w:t>Teams</w:t>
      </w:r>
      <w:proofErr w:type="spellEnd"/>
      <w:r w:rsidR="0FCF68DA" w:rsidRPr="003E194C">
        <w:rPr>
          <w:rFonts w:ascii="Arial" w:eastAsia="Times New Roman" w:hAnsi="Arial" w:cs="Arial"/>
          <w:sz w:val="24"/>
          <w:szCs w:val="24"/>
          <w:lang w:eastAsia="es-CO"/>
        </w:rPr>
        <w:t xml:space="preserve"> de 21 de enero a las 12:02 </w:t>
      </w:r>
      <w:r w:rsidR="2F7BC25B" w:rsidRPr="003E194C">
        <w:rPr>
          <w:rFonts w:ascii="Arial" w:eastAsia="Times New Roman" w:hAnsi="Arial" w:cs="Arial"/>
          <w:sz w:val="24"/>
          <w:szCs w:val="24"/>
          <w:lang w:eastAsia="es-CO"/>
        </w:rPr>
        <w:t>p.m., e</w:t>
      </w:r>
      <w:r w:rsidR="6C6BA5D5" w:rsidRPr="003E194C">
        <w:rPr>
          <w:rFonts w:ascii="Arial" w:eastAsia="Times New Roman" w:hAnsi="Arial" w:cs="Arial"/>
          <w:sz w:val="24"/>
          <w:szCs w:val="24"/>
          <w:lang w:eastAsia="es-CO"/>
        </w:rPr>
        <w:t>xpresó</w:t>
      </w:r>
      <w:r w:rsidR="2F7BC25B" w:rsidRPr="003E194C">
        <w:rPr>
          <w:rFonts w:ascii="Arial" w:eastAsia="Times New Roman" w:hAnsi="Arial" w:cs="Arial"/>
          <w:sz w:val="24"/>
          <w:szCs w:val="24"/>
          <w:lang w:eastAsia="es-CO"/>
        </w:rPr>
        <w:t xml:space="preserve"> que acompaña la ponencia original </w:t>
      </w:r>
      <w:r w:rsidR="7A69A232" w:rsidRPr="003E194C">
        <w:rPr>
          <w:rFonts w:ascii="Arial" w:eastAsia="Times New Roman" w:hAnsi="Arial" w:cs="Arial"/>
          <w:sz w:val="24"/>
          <w:szCs w:val="24"/>
          <w:lang w:eastAsia="es-CO"/>
        </w:rPr>
        <w:t>presentada por este sustanciador el día 2 de diciembre de 2020</w:t>
      </w:r>
      <w:r w:rsidR="0CCD816A" w:rsidRPr="003E194C">
        <w:rPr>
          <w:rFonts w:ascii="Arial" w:eastAsia="Times New Roman" w:hAnsi="Arial" w:cs="Arial"/>
          <w:sz w:val="24"/>
          <w:szCs w:val="24"/>
          <w:lang w:eastAsia="es-CO"/>
        </w:rPr>
        <w:t>.</w:t>
      </w:r>
      <w:r w:rsidRPr="003E194C">
        <w:rPr>
          <w:rFonts w:ascii="Arial" w:eastAsia="Times New Roman" w:hAnsi="Arial" w:cs="Arial"/>
          <w:sz w:val="24"/>
          <w:szCs w:val="24"/>
          <w:lang w:eastAsia="es-CO"/>
        </w:rPr>
        <w:t xml:space="preserve"> </w:t>
      </w:r>
    </w:p>
    <w:p w:rsidR="000115D4" w:rsidRDefault="000115D4" w:rsidP="003E194C">
      <w:pPr>
        <w:pStyle w:val="paragraph"/>
        <w:spacing w:before="0" w:beforeAutospacing="0" w:after="0" w:afterAutospacing="0" w:line="276" w:lineRule="auto"/>
        <w:textAlignment w:val="baseline"/>
        <w:rPr>
          <w:rStyle w:val="normaltextrun"/>
          <w:rFonts w:ascii="Arial" w:hAnsi="Arial" w:cs="Arial"/>
          <w:b/>
          <w:bCs/>
        </w:rPr>
      </w:pPr>
    </w:p>
    <w:p w:rsidR="003654BB" w:rsidRPr="003E194C" w:rsidRDefault="003654BB" w:rsidP="003E194C">
      <w:pPr>
        <w:pStyle w:val="paragraph"/>
        <w:spacing w:before="0" w:beforeAutospacing="0" w:after="0" w:afterAutospacing="0" w:line="276" w:lineRule="auto"/>
        <w:textAlignment w:val="baseline"/>
        <w:rPr>
          <w:rStyle w:val="normaltextrun"/>
          <w:rFonts w:ascii="Arial" w:hAnsi="Arial" w:cs="Arial"/>
          <w:b/>
          <w:bCs/>
        </w:rPr>
      </w:pP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SENTENCIA ESCRITA</w:t>
      </w:r>
      <w:r w:rsidRPr="003E194C">
        <w:rPr>
          <w:rStyle w:val="eop"/>
          <w:rFonts w:ascii="Arial" w:hAnsi="Arial" w:cs="Arial"/>
        </w:rPr>
        <w:t> </w:t>
      </w:r>
    </w:p>
    <w:p w:rsidR="00CE3700" w:rsidRPr="003E194C" w:rsidRDefault="00CE3700" w:rsidP="003E194C">
      <w:pPr>
        <w:pStyle w:val="paragraph"/>
        <w:spacing w:before="0" w:beforeAutospacing="0" w:after="0" w:afterAutospacing="0" w:line="276" w:lineRule="auto"/>
        <w:jc w:val="both"/>
        <w:textAlignment w:val="baseline"/>
        <w:rPr>
          <w:rFonts w:ascii="Arial" w:hAnsi="Arial" w:cs="Arial"/>
        </w:rPr>
      </w:pPr>
      <w:r w:rsidRPr="003E194C">
        <w:rPr>
          <w:rStyle w:val="eop"/>
          <w:rFonts w:ascii="Arial" w:hAnsi="Arial" w:cs="Arial"/>
        </w:rPr>
        <w:t> </w:t>
      </w:r>
    </w:p>
    <w:p w:rsidR="00CE3700" w:rsidRPr="003E194C" w:rsidRDefault="00CE3700" w:rsidP="003E194C">
      <w:pPr>
        <w:suppressAutoHyphens/>
        <w:spacing w:after="0" w:line="276" w:lineRule="auto"/>
        <w:jc w:val="both"/>
        <w:rPr>
          <w:rStyle w:val="normaltextrun"/>
          <w:rFonts w:ascii="Arial" w:hAnsi="Arial" w:cs="Arial"/>
          <w:sz w:val="24"/>
          <w:szCs w:val="24"/>
        </w:rPr>
      </w:pPr>
      <w:r w:rsidRPr="003E194C">
        <w:rPr>
          <w:rStyle w:val="normaltextrun"/>
          <w:rFonts w:ascii="Arial" w:hAnsi="Arial" w:cs="Arial"/>
          <w:sz w:val="24"/>
          <w:szCs w:val="24"/>
        </w:rPr>
        <w:t xml:space="preserve">Se resuelve el recurso de apelación interpuesto por el señor </w:t>
      </w:r>
      <w:r w:rsidR="003E194C" w:rsidRPr="003E194C">
        <w:rPr>
          <w:rStyle w:val="normaltextrun"/>
          <w:rFonts w:ascii="Arial" w:hAnsi="Arial" w:cs="Arial"/>
          <w:b/>
          <w:sz w:val="24"/>
          <w:szCs w:val="24"/>
        </w:rPr>
        <w:t xml:space="preserve">Luis Mariano Restrepo </w:t>
      </w:r>
      <w:proofErr w:type="spellStart"/>
      <w:r w:rsidR="003E194C" w:rsidRPr="003E194C">
        <w:rPr>
          <w:rStyle w:val="normaltextrun"/>
          <w:rFonts w:ascii="Arial" w:hAnsi="Arial" w:cs="Arial"/>
          <w:b/>
          <w:sz w:val="24"/>
          <w:szCs w:val="24"/>
        </w:rPr>
        <w:t>Restrepo</w:t>
      </w:r>
      <w:proofErr w:type="spellEnd"/>
      <w:r w:rsidR="003E194C" w:rsidRPr="003E194C">
        <w:rPr>
          <w:rStyle w:val="normaltextrun"/>
          <w:rFonts w:ascii="Arial" w:hAnsi="Arial" w:cs="Arial"/>
          <w:sz w:val="24"/>
          <w:szCs w:val="24"/>
        </w:rPr>
        <w:t xml:space="preserve"> </w:t>
      </w:r>
      <w:r w:rsidRPr="003E194C">
        <w:rPr>
          <w:rStyle w:val="normaltextrun"/>
          <w:rFonts w:ascii="Arial" w:hAnsi="Arial" w:cs="Arial"/>
          <w:sz w:val="24"/>
          <w:szCs w:val="24"/>
        </w:rPr>
        <w:t xml:space="preserve">en contra de la sentencia proferida por el Juzgado Segundo Laboral del Circuito el 13 de julio de 2020, dentro del proceso </w:t>
      </w:r>
      <w:r w:rsidR="008D08D8">
        <w:rPr>
          <w:rStyle w:val="normaltextrun"/>
          <w:rFonts w:ascii="Arial" w:hAnsi="Arial" w:cs="Arial"/>
          <w:b/>
          <w:sz w:val="24"/>
          <w:szCs w:val="24"/>
        </w:rPr>
        <w:t xml:space="preserve">ordinario laboral </w:t>
      </w:r>
      <w:r w:rsidRPr="003E194C">
        <w:rPr>
          <w:rStyle w:val="normaltextrun"/>
          <w:rFonts w:ascii="Arial" w:hAnsi="Arial" w:cs="Arial"/>
          <w:sz w:val="24"/>
          <w:szCs w:val="24"/>
        </w:rPr>
        <w:t xml:space="preserve">que le promueve a la </w:t>
      </w:r>
      <w:r w:rsidR="008D08D8" w:rsidRPr="008D08D8">
        <w:rPr>
          <w:rStyle w:val="normaltextrun"/>
          <w:rFonts w:ascii="Arial" w:hAnsi="Arial" w:cs="Arial"/>
          <w:b/>
          <w:sz w:val="24"/>
          <w:szCs w:val="24"/>
        </w:rPr>
        <w:t>Administradora Colombiana de Pensiones</w:t>
      </w:r>
      <w:r w:rsidRPr="003E194C">
        <w:rPr>
          <w:rStyle w:val="normaltextrun"/>
          <w:rFonts w:ascii="Arial" w:hAnsi="Arial" w:cs="Arial"/>
          <w:sz w:val="24"/>
          <w:szCs w:val="24"/>
        </w:rPr>
        <w:t>, cuya radicación corresponde al N°</w:t>
      </w:r>
      <w:r w:rsidR="008D08D8">
        <w:rPr>
          <w:rStyle w:val="normaltextrun"/>
          <w:rFonts w:ascii="Arial" w:hAnsi="Arial" w:cs="Arial"/>
          <w:sz w:val="24"/>
          <w:szCs w:val="24"/>
        </w:rPr>
        <w:t xml:space="preserve"> </w:t>
      </w:r>
      <w:r w:rsidRPr="003E194C">
        <w:rPr>
          <w:rStyle w:val="normaltextrun"/>
          <w:rFonts w:ascii="Arial" w:hAnsi="Arial" w:cs="Arial"/>
          <w:sz w:val="24"/>
          <w:szCs w:val="24"/>
        </w:rPr>
        <w:t>66001</w:t>
      </w:r>
      <w:r w:rsidR="008D08D8">
        <w:rPr>
          <w:rStyle w:val="normaltextrun"/>
          <w:rFonts w:ascii="Arial" w:hAnsi="Arial" w:cs="Arial"/>
          <w:sz w:val="24"/>
          <w:szCs w:val="24"/>
        </w:rPr>
        <w:t>-</w:t>
      </w:r>
      <w:r w:rsidRPr="003E194C">
        <w:rPr>
          <w:rStyle w:val="normaltextrun"/>
          <w:rFonts w:ascii="Arial" w:hAnsi="Arial" w:cs="Arial"/>
          <w:sz w:val="24"/>
          <w:szCs w:val="24"/>
        </w:rPr>
        <w:t>31</w:t>
      </w:r>
      <w:r w:rsidR="008D08D8">
        <w:rPr>
          <w:rStyle w:val="normaltextrun"/>
          <w:rFonts w:ascii="Arial" w:hAnsi="Arial" w:cs="Arial"/>
          <w:sz w:val="24"/>
          <w:szCs w:val="24"/>
        </w:rPr>
        <w:t>-</w:t>
      </w:r>
      <w:r w:rsidRPr="003E194C">
        <w:rPr>
          <w:rStyle w:val="normaltextrun"/>
          <w:rFonts w:ascii="Arial" w:hAnsi="Arial" w:cs="Arial"/>
          <w:sz w:val="24"/>
          <w:szCs w:val="24"/>
        </w:rPr>
        <w:t>05</w:t>
      </w:r>
      <w:r w:rsidR="008D08D8">
        <w:rPr>
          <w:rStyle w:val="normaltextrun"/>
          <w:rFonts w:ascii="Arial" w:hAnsi="Arial" w:cs="Arial"/>
          <w:sz w:val="24"/>
          <w:szCs w:val="24"/>
        </w:rPr>
        <w:t>-</w:t>
      </w:r>
      <w:r w:rsidRPr="003E194C">
        <w:rPr>
          <w:rStyle w:val="normaltextrun"/>
          <w:rFonts w:ascii="Arial" w:hAnsi="Arial" w:cs="Arial"/>
          <w:sz w:val="24"/>
          <w:szCs w:val="24"/>
        </w:rPr>
        <w:t>002</w:t>
      </w:r>
      <w:r w:rsidR="008D08D8">
        <w:rPr>
          <w:rStyle w:val="normaltextrun"/>
          <w:rFonts w:ascii="Arial" w:hAnsi="Arial" w:cs="Arial"/>
          <w:sz w:val="24"/>
          <w:szCs w:val="24"/>
        </w:rPr>
        <w:t>-</w:t>
      </w:r>
      <w:r w:rsidRPr="003E194C">
        <w:rPr>
          <w:rStyle w:val="normaltextrun"/>
          <w:rFonts w:ascii="Arial" w:hAnsi="Arial" w:cs="Arial"/>
          <w:sz w:val="24"/>
          <w:szCs w:val="24"/>
        </w:rPr>
        <w:t>2018</w:t>
      </w:r>
      <w:r w:rsidR="008D08D8">
        <w:rPr>
          <w:rStyle w:val="normaltextrun"/>
          <w:rFonts w:ascii="Arial" w:hAnsi="Arial" w:cs="Arial"/>
          <w:sz w:val="24"/>
          <w:szCs w:val="24"/>
        </w:rPr>
        <w:t>-</w:t>
      </w:r>
      <w:r w:rsidRPr="003E194C">
        <w:rPr>
          <w:rStyle w:val="normaltextrun"/>
          <w:rFonts w:ascii="Arial" w:hAnsi="Arial" w:cs="Arial"/>
          <w:sz w:val="24"/>
          <w:szCs w:val="24"/>
        </w:rPr>
        <w:t>00517</w:t>
      </w:r>
      <w:r w:rsidR="008D08D8">
        <w:rPr>
          <w:rStyle w:val="normaltextrun"/>
          <w:rFonts w:ascii="Arial" w:hAnsi="Arial" w:cs="Arial"/>
          <w:sz w:val="24"/>
          <w:szCs w:val="24"/>
        </w:rPr>
        <w:t>-</w:t>
      </w:r>
      <w:r w:rsidRPr="003E194C">
        <w:rPr>
          <w:rStyle w:val="normaltextrun"/>
          <w:rFonts w:ascii="Arial" w:hAnsi="Arial" w:cs="Arial"/>
          <w:sz w:val="24"/>
          <w:szCs w:val="24"/>
        </w:rPr>
        <w:t>01.</w:t>
      </w:r>
    </w:p>
    <w:p w:rsidR="00691FA2" w:rsidRPr="003E194C" w:rsidRDefault="00691FA2" w:rsidP="003E194C">
      <w:pPr>
        <w:suppressAutoHyphens/>
        <w:spacing w:after="0" w:line="276" w:lineRule="auto"/>
        <w:jc w:val="both"/>
        <w:rPr>
          <w:rStyle w:val="normaltextrun"/>
          <w:rFonts w:ascii="Arial" w:hAnsi="Arial" w:cs="Arial"/>
          <w:sz w:val="24"/>
          <w:szCs w:val="24"/>
        </w:rPr>
      </w:pPr>
    </w:p>
    <w:p w:rsidR="00691FA2" w:rsidRPr="003E194C" w:rsidRDefault="00691FA2" w:rsidP="003E194C">
      <w:pPr>
        <w:pStyle w:val="paragraph"/>
        <w:spacing w:before="0" w:beforeAutospacing="0" w:after="0" w:afterAutospacing="0" w:line="276" w:lineRule="auto"/>
        <w:jc w:val="center"/>
        <w:textAlignment w:val="baseline"/>
        <w:rPr>
          <w:rFonts w:ascii="Arial" w:hAnsi="Arial" w:cs="Arial"/>
          <w:b/>
          <w:bCs/>
        </w:rPr>
      </w:pPr>
      <w:r w:rsidRPr="003E194C">
        <w:rPr>
          <w:rStyle w:val="eop"/>
          <w:rFonts w:ascii="Arial" w:hAnsi="Arial" w:cs="Arial"/>
          <w:b/>
          <w:bCs/>
        </w:rPr>
        <w:t>AUTO</w:t>
      </w:r>
    </w:p>
    <w:p w:rsidR="00691FA2" w:rsidRPr="003E194C" w:rsidRDefault="00691FA2" w:rsidP="003E194C">
      <w:pPr>
        <w:pStyle w:val="paragraph"/>
        <w:spacing w:before="0" w:beforeAutospacing="0" w:after="0" w:afterAutospacing="0" w:line="276" w:lineRule="auto"/>
        <w:jc w:val="both"/>
        <w:textAlignment w:val="baseline"/>
        <w:rPr>
          <w:rFonts w:ascii="Arial" w:hAnsi="Arial" w:cs="Arial"/>
        </w:rPr>
      </w:pPr>
    </w:p>
    <w:p w:rsidR="00691FA2" w:rsidRPr="003E194C" w:rsidRDefault="008D08D8" w:rsidP="003E194C">
      <w:pPr>
        <w:pStyle w:val="paragraph"/>
        <w:spacing w:before="0" w:beforeAutospacing="0" w:after="0" w:afterAutospacing="0" w:line="276" w:lineRule="auto"/>
        <w:jc w:val="both"/>
        <w:textAlignment w:val="baseline"/>
        <w:rPr>
          <w:rFonts w:ascii="Arial" w:hAnsi="Arial" w:cs="Arial"/>
        </w:rPr>
      </w:pPr>
      <w:r>
        <w:rPr>
          <w:rFonts w:ascii="Arial" w:hAnsi="Arial" w:cs="Arial"/>
        </w:rPr>
        <w:t>(…)</w:t>
      </w:r>
    </w:p>
    <w:p w:rsidR="00CE3700" w:rsidRDefault="00CE3700" w:rsidP="003E194C">
      <w:pPr>
        <w:pStyle w:val="paragraph"/>
        <w:spacing w:before="0" w:beforeAutospacing="0" w:after="0" w:afterAutospacing="0" w:line="276" w:lineRule="auto"/>
        <w:jc w:val="both"/>
        <w:textAlignment w:val="baseline"/>
        <w:rPr>
          <w:rFonts w:ascii="Arial" w:hAnsi="Arial" w:cs="Arial"/>
        </w:rPr>
      </w:pPr>
    </w:p>
    <w:p w:rsidR="003654BB" w:rsidRPr="003E194C" w:rsidRDefault="003654BB" w:rsidP="003E194C">
      <w:pPr>
        <w:pStyle w:val="paragraph"/>
        <w:spacing w:before="0" w:beforeAutospacing="0" w:after="0" w:afterAutospacing="0" w:line="276" w:lineRule="auto"/>
        <w:jc w:val="both"/>
        <w:textAlignment w:val="baseline"/>
        <w:rPr>
          <w:rFonts w:ascii="Arial" w:hAnsi="Arial" w:cs="Arial"/>
        </w:rPr>
      </w:pP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ANTECEDENTES</w:t>
      </w: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eop"/>
          <w:rFonts w:ascii="Arial" w:hAnsi="Arial" w:cs="Arial"/>
        </w:rPr>
        <w:t> </w:t>
      </w:r>
    </w:p>
    <w:p w:rsidR="00CE3700" w:rsidRPr="003E194C" w:rsidRDefault="00721FD4"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Pretende el señor Luis Mariano Restrepo </w:t>
      </w:r>
      <w:proofErr w:type="spellStart"/>
      <w:r w:rsidRPr="003E194C">
        <w:rPr>
          <w:rStyle w:val="normaltextrun"/>
          <w:rFonts w:ascii="Arial" w:hAnsi="Arial" w:cs="Arial"/>
          <w:color w:val="000000"/>
          <w:shd w:val="clear" w:color="auto" w:fill="FFFFFF"/>
        </w:rPr>
        <w:t>Restrepo</w:t>
      </w:r>
      <w:proofErr w:type="spellEnd"/>
      <w:r w:rsidRPr="003E194C">
        <w:rPr>
          <w:rStyle w:val="normaltextrun"/>
          <w:rFonts w:ascii="Arial" w:hAnsi="Arial" w:cs="Arial"/>
          <w:color w:val="000000"/>
          <w:shd w:val="clear" w:color="auto" w:fill="FFFFFF"/>
        </w:rPr>
        <w:t xml:space="preserve"> que la justicia laboral declare que tiene derecho a que se le reconozca la pensión de sobrevivientes causada con el deceso de su compañera permanente Marta Cecilia Sánchez Tamayo y con base en ello aspira que se condene a la Administradora Colombiana de Pensiones a reconocer y pagar la prestación económica a partir del 21 de diciembre de 1993, los intereses moratorios del artículo 141 de la Ley 100 de 1993 o en su defecto la indexación de las sumas reconocidas y las costas procesales a su favor.</w:t>
      </w:r>
      <w:r w:rsidRPr="003E194C">
        <w:rPr>
          <w:rStyle w:val="eop"/>
          <w:rFonts w:ascii="Arial" w:hAnsi="Arial" w:cs="Arial"/>
          <w:color w:val="000000"/>
          <w:shd w:val="clear" w:color="auto" w:fill="FFFFFF"/>
        </w:rPr>
        <w:t> </w:t>
      </w:r>
    </w:p>
    <w:p w:rsidR="00721FD4" w:rsidRPr="003E194C" w:rsidRDefault="00721FD4"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834D6A"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Refiere que la señora Marta Cecilia Sánchez Tamayo prestó sus servicios a favor del Departamento de Antioquia en la extinta </w:t>
      </w:r>
      <w:proofErr w:type="spellStart"/>
      <w:r w:rsidRPr="003E194C">
        <w:rPr>
          <w:rStyle w:val="normaltextrun"/>
          <w:rFonts w:ascii="Arial" w:hAnsi="Arial" w:cs="Arial"/>
          <w:color w:val="000000"/>
          <w:shd w:val="clear" w:color="auto" w:fill="FFFFFF"/>
        </w:rPr>
        <w:t>Acuantioquia</w:t>
      </w:r>
      <w:proofErr w:type="spellEnd"/>
      <w:r w:rsidRPr="003E194C">
        <w:rPr>
          <w:rStyle w:val="normaltextrun"/>
          <w:rFonts w:ascii="Arial" w:hAnsi="Arial" w:cs="Arial"/>
          <w:color w:val="000000"/>
          <w:shd w:val="clear" w:color="auto" w:fill="FFFFFF"/>
        </w:rPr>
        <w:t xml:space="preserve"> entre el 30 de septiembre de 1968 y el 3 de diciembre de 1984, vinculándose posteriormente a la sociedad Restaurante Virrey Ltda. en la que prestó sus servicios durante un lapso de 174 semanas, además de haber estado vinculada con el señor Carlos Uriel Orozco y otras personas durante 181 semanas de servicios; en total, en su vida laboral, prestó sus servicios durante 878 semanas.</w:t>
      </w:r>
      <w:r w:rsidRPr="003E194C">
        <w:rPr>
          <w:rStyle w:val="eop"/>
          <w:rFonts w:ascii="Arial" w:hAnsi="Arial" w:cs="Arial"/>
          <w:color w:val="000000"/>
          <w:shd w:val="clear" w:color="auto" w:fill="FFFFFF"/>
        </w:rPr>
        <w:t> </w:t>
      </w:r>
    </w:p>
    <w:p w:rsidR="00834D6A" w:rsidRPr="003E194C" w:rsidRDefault="00834D6A"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834D6A"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En lo que concierne a la relación sostenida con la señora Marta Cecilia Sánchez Tamayo, asegura que, para el 21 de diciembre de 1993, cuando ella falleció a </w:t>
      </w:r>
      <w:r w:rsidRPr="003E194C">
        <w:rPr>
          <w:rStyle w:val="normaltextrun"/>
          <w:rFonts w:ascii="Arial" w:hAnsi="Arial" w:cs="Arial"/>
          <w:color w:val="000000"/>
          <w:shd w:val="clear" w:color="auto" w:fill="FFFFFF"/>
        </w:rPr>
        <w:lastRenderedPageBreak/>
        <w:t>causa de un paro respiratorio, finalizó una convivencia continua e ininterrumpida que había iniciado el 25 de octubre del año 1983, asegurando que dentro de la unión marital no se procrearon hijos.</w:t>
      </w:r>
      <w:r w:rsidRPr="003E194C">
        <w:rPr>
          <w:rStyle w:val="eop"/>
          <w:rFonts w:ascii="Arial" w:hAnsi="Arial" w:cs="Arial"/>
          <w:color w:val="000000"/>
          <w:shd w:val="clear" w:color="auto" w:fill="FFFFFF"/>
        </w:rPr>
        <w:t> </w:t>
      </w:r>
    </w:p>
    <w:p w:rsidR="00834D6A" w:rsidRPr="003E194C" w:rsidRDefault="00834D6A"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5B5D02"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Respecto a la Administradora Colombiana de Pensiones, expuso que el 15 de septiembre de 2017 le solicitó el reconocimiento y pago de la pensión de sobrevivientes, la cual fue negada en la resolución N°</w:t>
      </w:r>
      <w:r w:rsidR="001525F2">
        <w:rPr>
          <w:rStyle w:val="normaltextrun"/>
          <w:rFonts w:ascii="Arial" w:hAnsi="Arial" w:cs="Arial"/>
          <w:color w:val="000000"/>
          <w:shd w:val="clear" w:color="auto" w:fill="FFFFFF"/>
        </w:rPr>
        <w:t xml:space="preserve"> </w:t>
      </w:r>
      <w:r w:rsidRPr="003E194C">
        <w:rPr>
          <w:rStyle w:val="normaltextrun"/>
          <w:rFonts w:ascii="Arial" w:hAnsi="Arial" w:cs="Arial"/>
          <w:color w:val="000000"/>
          <w:shd w:val="clear" w:color="auto" w:fill="FFFFFF"/>
        </w:rPr>
        <w:t xml:space="preserve">SUB246594 de 3 de noviembre de 2017, bajo el argumento que su compañera permanente no acredita la densidad de semanas exigidas en el Acuerdo 049 de 1990 para dejar causado el derecho pensional; el 16 de noviembre de 2017, haciendo uso del recurso de reposición, solicitó el reconocimiento de la indemnización sustitutiva de la pensión de sobrevivientes, la cual fue reconocida en la resolución N°SUB8199 de 15 de enero de 2018, después de reconocerse su condición de beneficiario de su compañera permanente; a su vez, solicitó el reconocimiento y pago de la indemnización sustitutiva de la pensión de sobrevivientes ante la Directora de Prestaciones Sociales y Nómina de la Secretaría de Gestión Humana y Desarrollo Organizacional de la Gobernación de Antioquia, por los tiempos de servicios prestados a favor de </w:t>
      </w:r>
      <w:proofErr w:type="spellStart"/>
      <w:r w:rsidRPr="003E194C">
        <w:rPr>
          <w:rStyle w:val="normaltextrun"/>
          <w:rFonts w:ascii="Arial" w:hAnsi="Arial" w:cs="Arial"/>
          <w:color w:val="000000"/>
          <w:shd w:val="clear" w:color="auto" w:fill="FFFFFF"/>
        </w:rPr>
        <w:t>Acuantioquia</w:t>
      </w:r>
      <w:proofErr w:type="spellEnd"/>
      <w:r w:rsidRPr="003E194C">
        <w:rPr>
          <w:rStyle w:val="normaltextrun"/>
          <w:rFonts w:ascii="Arial" w:hAnsi="Arial" w:cs="Arial"/>
          <w:color w:val="000000"/>
          <w:shd w:val="clear" w:color="auto" w:fill="FFFFFF"/>
        </w:rPr>
        <w:t>, misma que fue reconocida en la resolución N°2018060005319 de 6 de febrero de 2018.</w:t>
      </w:r>
      <w:r w:rsidRPr="003E194C">
        <w:rPr>
          <w:rStyle w:val="eop"/>
          <w:rFonts w:ascii="Arial" w:hAnsi="Arial" w:cs="Arial"/>
          <w:color w:val="000000"/>
          <w:shd w:val="clear" w:color="auto" w:fill="FFFFFF"/>
        </w:rPr>
        <w:t> </w:t>
      </w:r>
    </w:p>
    <w:p w:rsidR="005B5D02" w:rsidRPr="003E194C" w:rsidRDefault="005B5D02"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C34F83"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Al dar respuesta a la demanda -fls.70 a 80- la Administradora Colombiana de Pensiones se opuso a la prosperidad de las pretensiones, en consideración a que la señora Marta Cecilia Sánchez Tamayo no dejó causada la pensión de sobrevivientes dentro del régimen de prima media con prestación definida administrado por esa entidad, al no haber cotizado la densidad de semanas exigidas en el Acuerdo 049 de 1990. Formuló las excepciones de mérito que denominó </w:t>
      </w:r>
      <w:r w:rsidRPr="003E194C">
        <w:rPr>
          <w:rStyle w:val="normaltextrun"/>
          <w:rFonts w:ascii="Arial" w:hAnsi="Arial" w:cs="Arial"/>
          <w:i/>
          <w:color w:val="000000"/>
          <w:shd w:val="clear" w:color="auto" w:fill="FFFFFF"/>
        </w:rPr>
        <w:t>“Inexistencia de la obligación”, “Prescripción”, “Imposibilidad jurídica para reconocer y pagar derechos por fuera del ordenamiento legal”, “Buena fe”, “Imposibilidad de condena en costas</w:t>
      </w:r>
      <w:r w:rsidRPr="003E194C">
        <w:rPr>
          <w:rStyle w:val="normaltextrun"/>
          <w:rFonts w:ascii="Arial" w:hAnsi="Arial" w:cs="Arial"/>
          <w:color w:val="000000"/>
          <w:shd w:val="clear" w:color="auto" w:fill="FFFFFF"/>
        </w:rPr>
        <w:t>” y “</w:t>
      </w:r>
      <w:r w:rsidRPr="003E194C">
        <w:rPr>
          <w:rStyle w:val="normaltextrun"/>
          <w:rFonts w:ascii="Arial" w:hAnsi="Arial" w:cs="Arial"/>
          <w:i/>
          <w:color w:val="000000"/>
          <w:shd w:val="clear" w:color="auto" w:fill="FFFFFF"/>
        </w:rPr>
        <w:t>Declaratoria de otras excepciones”</w:t>
      </w:r>
      <w:r w:rsidRPr="003E194C">
        <w:rPr>
          <w:rStyle w:val="normaltextrun"/>
          <w:rFonts w:ascii="Arial" w:hAnsi="Arial" w:cs="Arial"/>
          <w:color w:val="000000"/>
          <w:shd w:val="clear" w:color="auto" w:fill="FFFFFF"/>
        </w:rPr>
        <w:t>.</w:t>
      </w:r>
      <w:r w:rsidRPr="003E194C">
        <w:rPr>
          <w:rStyle w:val="eop"/>
          <w:rFonts w:ascii="Arial" w:hAnsi="Arial" w:cs="Arial"/>
          <w:color w:val="000000"/>
          <w:shd w:val="clear" w:color="auto" w:fill="FFFFFF"/>
        </w:rPr>
        <w:t> </w:t>
      </w:r>
    </w:p>
    <w:p w:rsidR="00C34F83" w:rsidRPr="003E194C" w:rsidRDefault="00C34F83"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C34F83"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En sentencia de 13 de julio de 2020, la funcionaria de primera instancia, negó la totalidad de las pretensiones del señor Luis Mariano Restrepo </w:t>
      </w:r>
      <w:proofErr w:type="spellStart"/>
      <w:r w:rsidRPr="003E194C">
        <w:rPr>
          <w:rStyle w:val="normaltextrun"/>
          <w:rFonts w:ascii="Arial" w:hAnsi="Arial" w:cs="Arial"/>
          <w:color w:val="000000"/>
          <w:shd w:val="clear" w:color="auto" w:fill="FFFFFF"/>
        </w:rPr>
        <w:t>Restrepo</w:t>
      </w:r>
      <w:proofErr w:type="spellEnd"/>
      <w:r w:rsidRPr="003E194C">
        <w:rPr>
          <w:rStyle w:val="normaltextrun"/>
          <w:rFonts w:ascii="Arial" w:hAnsi="Arial" w:cs="Arial"/>
          <w:color w:val="000000"/>
          <w:shd w:val="clear" w:color="auto" w:fill="FFFFFF"/>
        </w:rPr>
        <w:t>, argumentando que la señora Marta Cecilia Sánchez Tamayo no cumplió con los requisitos exigidos en el Acuerdo 049 de 1990 para dejar causada a favor de sus beneficiarios la pensión de sobrevivientes dentro del régimen de prima media con prestación definida, al haber cotizado en ese régimen pensional tan solo 50.71 semanas, sin que en este tipo de casos sea posible acumular los tiempos de servicios en el sector público para tales efectos.</w:t>
      </w:r>
      <w:r w:rsidRPr="003E194C">
        <w:rPr>
          <w:rStyle w:val="eop"/>
          <w:rFonts w:ascii="Arial" w:hAnsi="Arial" w:cs="Arial"/>
          <w:color w:val="000000"/>
          <w:shd w:val="clear" w:color="auto" w:fill="FFFFFF"/>
        </w:rPr>
        <w:t> </w:t>
      </w:r>
    </w:p>
    <w:p w:rsidR="00C34F83" w:rsidRPr="003E194C" w:rsidRDefault="00C34F83"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CD2C94" w:rsidP="003E194C">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3E194C">
        <w:rPr>
          <w:rStyle w:val="normaltextrun"/>
          <w:rFonts w:ascii="Arial" w:hAnsi="Arial" w:cs="Arial"/>
          <w:color w:val="000000"/>
          <w:shd w:val="clear" w:color="auto" w:fill="FFFFFF"/>
        </w:rPr>
        <w:t xml:space="preserve">Inconforme con la decisión, la apoderada judicial de la parte actora interpuso recurso de apelación, expresando que, como lo ha sentado la Corte Constitucional en su jurisprudencia, en este tipo de eventos si es posible la acumulación de tiempos servidos en el sector público con las cotizaciones realizadas en el régimen de prima media con prestación definida, por lo que al estar demostrado que la causante acumuló más de 300 semanas en el sector público con las semanas cotizadas en el régimen de prima media con prestación definida, es del caso reconocerle al señor Luis Mariano Restrepo </w:t>
      </w:r>
      <w:proofErr w:type="spellStart"/>
      <w:r w:rsidRPr="003E194C">
        <w:rPr>
          <w:rStyle w:val="normaltextrun"/>
          <w:rFonts w:ascii="Arial" w:hAnsi="Arial" w:cs="Arial"/>
          <w:color w:val="000000"/>
          <w:shd w:val="clear" w:color="auto" w:fill="FFFFFF"/>
        </w:rPr>
        <w:t>Restrepo</w:t>
      </w:r>
      <w:proofErr w:type="spellEnd"/>
      <w:r w:rsidRPr="003E194C">
        <w:rPr>
          <w:rStyle w:val="normaltextrun"/>
          <w:rFonts w:ascii="Arial" w:hAnsi="Arial" w:cs="Arial"/>
          <w:color w:val="000000"/>
          <w:shd w:val="clear" w:color="auto" w:fill="FFFFFF"/>
        </w:rPr>
        <w:t xml:space="preserve"> la pensión de sobrevivientes a partir del 21 de diciembre de 1993.</w:t>
      </w:r>
      <w:r w:rsidRPr="003E194C">
        <w:rPr>
          <w:rStyle w:val="eop"/>
          <w:rFonts w:ascii="Arial" w:hAnsi="Arial" w:cs="Arial"/>
          <w:color w:val="000000"/>
          <w:shd w:val="clear" w:color="auto" w:fill="FFFFFF"/>
        </w:rPr>
        <w:t> </w:t>
      </w:r>
    </w:p>
    <w:p w:rsidR="00CD2C94" w:rsidRDefault="00CD2C94" w:rsidP="003E194C">
      <w:pPr>
        <w:pStyle w:val="paragraph"/>
        <w:spacing w:before="0" w:beforeAutospacing="0" w:after="0" w:afterAutospacing="0" w:line="276" w:lineRule="auto"/>
        <w:jc w:val="both"/>
        <w:textAlignment w:val="baseline"/>
        <w:rPr>
          <w:rStyle w:val="normaltextrun"/>
          <w:rFonts w:ascii="Arial" w:hAnsi="Arial" w:cs="Arial"/>
        </w:rPr>
      </w:pPr>
    </w:p>
    <w:p w:rsidR="003654BB" w:rsidRPr="003E194C" w:rsidRDefault="003654BB" w:rsidP="003E194C">
      <w:pPr>
        <w:pStyle w:val="paragraph"/>
        <w:spacing w:before="0" w:beforeAutospacing="0" w:after="0" w:afterAutospacing="0" w:line="276" w:lineRule="auto"/>
        <w:jc w:val="both"/>
        <w:textAlignment w:val="baseline"/>
        <w:rPr>
          <w:rStyle w:val="normaltextrun"/>
          <w:rFonts w:ascii="Arial" w:hAnsi="Arial" w:cs="Arial"/>
        </w:rPr>
      </w:pPr>
    </w:p>
    <w:p w:rsidR="00CE3700" w:rsidRPr="003E194C" w:rsidRDefault="00CE3700"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ALEGATOS DE CONCLUSIÓN</w:t>
      </w:r>
      <w:r w:rsidRPr="003E194C">
        <w:rPr>
          <w:rFonts w:ascii="Arial" w:eastAsia="Times New Roman" w:hAnsi="Arial" w:cs="Arial"/>
          <w:sz w:val="24"/>
          <w:szCs w:val="24"/>
          <w:lang w:eastAsia="es-CO"/>
        </w:rPr>
        <w:t> </w:t>
      </w:r>
    </w:p>
    <w:p w:rsidR="00CE3700" w:rsidRPr="003E194C" w:rsidRDefault="00CE3700"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Conforme se dejó plasmado en la constancia emitida por la Secretaría de la Corporación, la Administradora Colombiana de Pensiones hizo uso del derecho a presentar alegatos de conclusión; mientras que la parte actora dejó transcurrir el plazo otorgado en silencio.</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xml:space="preserve">En cuanto al contenido de los alegatos de conclusión expuestos por Colpensiones y de acuerdo con lo establecido en el artículo 279 del CGP en el que se dispone que </w:t>
      </w:r>
      <w:r w:rsidRPr="003E194C">
        <w:rPr>
          <w:rFonts w:ascii="Arial" w:eastAsia="Times New Roman" w:hAnsi="Arial" w:cs="Arial"/>
          <w:i/>
          <w:iCs/>
          <w:sz w:val="24"/>
          <w:szCs w:val="24"/>
          <w:lang w:eastAsia="es-CO"/>
        </w:rPr>
        <w:t>“</w:t>
      </w:r>
      <w:r w:rsidR="005A4ECB">
        <w:rPr>
          <w:rFonts w:ascii="Arial" w:eastAsia="Times New Roman" w:hAnsi="Arial" w:cs="Arial"/>
          <w:i/>
          <w:iCs/>
          <w:sz w:val="24"/>
          <w:szCs w:val="24"/>
          <w:lang w:eastAsia="es-CO"/>
        </w:rPr>
        <w:t>n</w:t>
      </w:r>
      <w:r w:rsidRPr="005A4ECB">
        <w:rPr>
          <w:rFonts w:ascii="Arial" w:eastAsia="Times New Roman" w:hAnsi="Arial" w:cs="Arial"/>
          <w:i/>
          <w:iCs/>
          <w:szCs w:val="24"/>
          <w:lang w:eastAsia="es-CO"/>
        </w:rPr>
        <w:t>o se podrá hacer transcripciones o reproducciones de actas, decisiones o conceptos que obren en el expediente</w:t>
      </w:r>
      <w:r w:rsidRPr="003E194C">
        <w:rPr>
          <w:rFonts w:ascii="Arial" w:eastAsia="Times New Roman" w:hAnsi="Arial" w:cs="Arial"/>
          <w:i/>
          <w:iCs/>
          <w:sz w:val="24"/>
          <w:szCs w:val="24"/>
          <w:lang w:eastAsia="es-CO"/>
        </w:rPr>
        <w:t>”, </w:t>
      </w:r>
      <w:r w:rsidRPr="003E194C">
        <w:rPr>
          <w:rFonts w:ascii="Arial" w:eastAsia="Times New Roman" w:hAnsi="Arial" w:cs="Arial"/>
          <w:sz w:val="24"/>
          <w:szCs w:val="24"/>
          <w:lang w:eastAsia="es-CO"/>
        </w:rPr>
        <w:t>baste decir que, los argumentos allí emitidos coinciden plenamente con los argumentos fácticos y jurídicos plasmados en la contestación de la demanda; solicitando con base en ellos que se confirme la decisión emitida en el curso de la primera instancia.</w:t>
      </w:r>
    </w:p>
    <w:p w:rsidR="00CE3700" w:rsidRPr="003E194C" w:rsidRDefault="00CE3700" w:rsidP="003E194C">
      <w:pPr>
        <w:pStyle w:val="paragraph"/>
        <w:spacing w:before="0" w:beforeAutospacing="0" w:after="0" w:afterAutospacing="0" w:line="276" w:lineRule="auto"/>
        <w:jc w:val="both"/>
        <w:textAlignment w:val="baseline"/>
        <w:rPr>
          <w:rFonts w:ascii="Arial" w:hAnsi="Arial" w:cs="Arial"/>
        </w:rPr>
      </w:pPr>
    </w:p>
    <w:p w:rsidR="00CE3700" w:rsidRPr="003E194C" w:rsidRDefault="00CE3700" w:rsidP="003E194C">
      <w:pPr>
        <w:pStyle w:val="paragraph"/>
        <w:spacing w:before="0" w:beforeAutospacing="0" w:after="0" w:afterAutospacing="0" w:line="276" w:lineRule="auto"/>
        <w:jc w:val="both"/>
        <w:textAlignment w:val="baseline"/>
        <w:rPr>
          <w:rStyle w:val="normaltextrun"/>
          <w:rFonts w:ascii="Arial" w:hAnsi="Arial" w:cs="Arial"/>
        </w:rPr>
      </w:pPr>
      <w:r w:rsidRPr="003E194C">
        <w:rPr>
          <w:rStyle w:val="normaltextrun"/>
          <w:rFonts w:ascii="Arial" w:hAnsi="Arial" w:cs="Arial"/>
        </w:rPr>
        <w:t xml:space="preserve">Atendidos los argumentos expuestos a esta Sala de Decisión le corresponde resolver los siguientes: </w:t>
      </w:r>
    </w:p>
    <w:p w:rsidR="003654BB" w:rsidRDefault="003654BB" w:rsidP="003E194C">
      <w:pPr>
        <w:pStyle w:val="paragraph"/>
        <w:spacing w:before="0" w:beforeAutospacing="0" w:after="0" w:afterAutospacing="0" w:line="276" w:lineRule="auto"/>
        <w:jc w:val="both"/>
        <w:textAlignment w:val="baseline"/>
        <w:rPr>
          <w:rStyle w:val="eop"/>
          <w:rFonts w:ascii="Arial" w:hAnsi="Arial" w:cs="Arial"/>
        </w:rPr>
      </w:pPr>
    </w:p>
    <w:p w:rsidR="00CE3700" w:rsidRPr="003E194C" w:rsidRDefault="00CE3700" w:rsidP="003E194C">
      <w:pPr>
        <w:pStyle w:val="paragraph"/>
        <w:spacing w:before="0" w:beforeAutospacing="0" w:after="0" w:afterAutospacing="0" w:line="276" w:lineRule="auto"/>
        <w:jc w:val="both"/>
        <w:textAlignment w:val="baseline"/>
        <w:rPr>
          <w:rFonts w:ascii="Arial" w:hAnsi="Arial" w:cs="Arial"/>
        </w:rPr>
      </w:pPr>
      <w:r w:rsidRPr="003E194C">
        <w:rPr>
          <w:rStyle w:val="eop"/>
          <w:rFonts w:ascii="Arial" w:hAnsi="Arial" w:cs="Arial"/>
        </w:rPr>
        <w:t> </w:t>
      </w:r>
    </w:p>
    <w:p w:rsidR="00CE3700" w:rsidRPr="003E194C" w:rsidRDefault="00CE3700" w:rsidP="003E194C">
      <w:pPr>
        <w:pStyle w:val="paragraph"/>
        <w:spacing w:before="0" w:beforeAutospacing="0" w:after="0" w:afterAutospacing="0" w:line="276" w:lineRule="auto"/>
        <w:jc w:val="center"/>
        <w:textAlignment w:val="baseline"/>
        <w:rPr>
          <w:rFonts w:ascii="Arial" w:hAnsi="Arial" w:cs="Arial"/>
        </w:rPr>
      </w:pPr>
      <w:r w:rsidRPr="003E194C">
        <w:rPr>
          <w:rStyle w:val="normaltextrun"/>
          <w:rFonts w:ascii="Arial" w:hAnsi="Arial" w:cs="Arial"/>
          <w:b/>
          <w:bCs/>
        </w:rPr>
        <w:t>PROBLEMAS JURIDICOS</w:t>
      </w:r>
      <w:r w:rsidRPr="003E194C">
        <w:rPr>
          <w:rStyle w:val="normaltextrun"/>
          <w:rFonts w:ascii="Arial" w:hAnsi="Arial" w:cs="Arial"/>
        </w:rPr>
        <w:t>:</w:t>
      </w:r>
    </w:p>
    <w:p w:rsidR="00CE3700" w:rsidRPr="003E194C" w:rsidRDefault="00CE3700" w:rsidP="003E194C">
      <w:pPr>
        <w:pStyle w:val="paragraph"/>
        <w:spacing w:before="0" w:beforeAutospacing="0" w:after="0" w:afterAutospacing="0" w:line="276" w:lineRule="auto"/>
        <w:jc w:val="both"/>
        <w:textAlignment w:val="baseline"/>
        <w:rPr>
          <w:rFonts w:ascii="Arial" w:hAnsi="Arial" w:cs="Arial"/>
        </w:rPr>
      </w:pPr>
      <w:r w:rsidRPr="003E194C">
        <w:rPr>
          <w:rStyle w:val="eop"/>
          <w:rFonts w:ascii="Arial" w:hAnsi="Arial" w:cs="Arial"/>
        </w:rPr>
        <w:t> </w:t>
      </w:r>
    </w:p>
    <w:p w:rsidR="00CE3700" w:rsidRPr="003E194C" w:rsidRDefault="00CE3700" w:rsidP="005A4EC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3E194C">
        <w:rPr>
          <w:rStyle w:val="normaltextrun"/>
          <w:rFonts w:ascii="Arial" w:hAnsi="Arial" w:cs="Arial"/>
          <w:b/>
          <w:bCs/>
          <w:i/>
          <w:lang w:val="es-ES"/>
        </w:rPr>
        <w:t>¿Dejó causada a favor de sus beneficiarios la señora Marta Cecilia Sánchez Tamayo la pensión de sobrevivientes dentro del régimen de prima media con prestación definida?</w:t>
      </w:r>
    </w:p>
    <w:p w:rsidR="00CE3700" w:rsidRPr="003E194C" w:rsidRDefault="00CE3700" w:rsidP="005A4EC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CE3700" w:rsidRPr="003E194C" w:rsidRDefault="00CE3700" w:rsidP="005A4EC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3E194C">
        <w:rPr>
          <w:rStyle w:val="normaltextrun"/>
          <w:rFonts w:ascii="Arial" w:hAnsi="Arial" w:cs="Arial"/>
          <w:b/>
          <w:bCs/>
          <w:i/>
          <w:lang w:val="es-ES"/>
        </w:rPr>
        <w:t>Con base en la respuesta dada al interrogante anterior ¿Hay lugar a acceder a las pretensiones de la demanda?</w:t>
      </w:r>
    </w:p>
    <w:p w:rsidR="00CE3700" w:rsidRPr="003E194C" w:rsidRDefault="00CE3700" w:rsidP="003E194C">
      <w:pPr>
        <w:pStyle w:val="paragraph"/>
        <w:spacing w:before="0" w:beforeAutospacing="0" w:after="0" w:afterAutospacing="0" w:line="276" w:lineRule="auto"/>
        <w:ind w:left="840" w:right="465"/>
        <w:jc w:val="both"/>
        <w:textAlignment w:val="baseline"/>
        <w:rPr>
          <w:rFonts w:ascii="Arial" w:hAnsi="Arial" w:cs="Arial"/>
        </w:rPr>
      </w:pPr>
    </w:p>
    <w:p w:rsidR="00CE3700" w:rsidRPr="003E194C" w:rsidRDefault="00CE3700" w:rsidP="003E194C">
      <w:pPr>
        <w:pStyle w:val="paragraph"/>
        <w:spacing w:before="0" w:beforeAutospacing="0" w:after="0" w:afterAutospacing="0" w:line="276" w:lineRule="auto"/>
        <w:ind w:right="45"/>
        <w:jc w:val="both"/>
        <w:textAlignment w:val="baseline"/>
        <w:rPr>
          <w:rFonts w:ascii="Arial" w:hAnsi="Arial" w:cs="Arial"/>
        </w:rPr>
      </w:pPr>
      <w:r w:rsidRPr="003E194C">
        <w:rPr>
          <w:rStyle w:val="normaltextrun"/>
          <w:rFonts w:ascii="Arial" w:hAnsi="Arial" w:cs="Arial"/>
          <w:lang w:val="es-ES"/>
        </w:rPr>
        <w:t xml:space="preserve">Con el propósito de dar solución al interrogante en el caso concreto, la Sala considera necesario precisar, </w:t>
      </w:r>
      <w:r w:rsidR="00C66181" w:rsidRPr="003E194C">
        <w:rPr>
          <w:rStyle w:val="normaltextrun"/>
          <w:rFonts w:ascii="Arial" w:hAnsi="Arial" w:cs="Arial"/>
          <w:lang w:val="es-ES"/>
        </w:rPr>
        <w:t xml:space="preserve">los </w:t>
      </w:r>
      <w:r w:rsidRPr="003E194C">
        <w:rPr>
          <w:rStyle w:val="normaltextrun"/>
          <w:rFonts w:ascii="Arial" w:hAnsi="Arial" w:cs="Arial"/>
          <w:lang w:val="es-ES"/>
        </w:rPr>
        <w:t>siguiente</w:t>
      </w:r>
      <w:r w:rsidR="00C66181" w:rsidRPr="003E194C">
        <w:rPr>
          <w:rStyle w:val="normaltextrun"/>
          <w:rFonts w:ascii="Arial" w:hAnsi="Arial" w:cs="Arial"/>
          <w:lang w:val="es-ES"/>
        </w:rPr>
        <w:t>s</w:t>
      </w:r>
      <w:r w:rsidRPr="003E194C">
        <w:rPr>
          <w:rStyle w:val="normaltextrun"/>
          <w:rFonts w:ascii="Arial" w:hAnsi="Arial" w:cs="Arial"/>
          <w:lang w:val="es-ES"/>
        </w:rPr>
        <w:t xml:space="preserve"> aspecto</w:t>
      </w:r>
      <w:r w:rsidR="00C66181" w:rsidRPr="003E194C">
        <w:rPr>
          <w:rStyle w:val="normaltextrun"/>
          <w:rFonts w:ascii="Arial" w:hAnsi="Arial" w:cs="Arial"/>
          <w:lang w:val="es-ES"/>
        </w:rPr>
        <w:t>s</w:t>
      </w:r>
      <w:r w:rsidRPr="003E194C">
        <w:rPr>
          <w:rStyle w:val="normaltextrun"/>
          <w:rFonts w:ascii="Arial" w:hAnsi="Arial" w:cs="Arial"/>
          <w:lang w:val="es-ES"/>
        </w:rPr>
        <w:t>:</w:t>
      </w:r>
      <w:r w:rsidRPr="003E194C">
        <w:rPr>
          <w:rStyle w:val="eop"/>
          <w:rFonts w:ascii="Arial" w:hAnsi="Arial" w:cs="Arial"/>
        </w:rPr>
        <w:t> </w:t>
      </w:r>
    </w:p>
    <w:p w:rsidR="003654BB" w:rsidRDefault="003654BB" w:rsidP="003E194C">
      <w:pPr>
        <w:pStyle w:val="paragraph"/>
        <w:spacing w:before="0" w:beforeAutospacing="0" w:after="0" w:afterAutospacing="0" w:line="276" w:lineRule="auto"/>
        <w:ind w:right="45"/>
        <w:jc w:val="both"/>
        <w:textAlignment w:val="baseline"/>
        <w:rPr>
          <w:rStyle w:val="eop"/>
          <w:rFonts w:ascii="Arial" w:hAnsi="Arial" w:cs="Arial"/>
        </w:rPr>
      </w:pPr>
    </w:p>
    <w:p w:rsidR="00CE3700" w:rsidRPr="003E194C" w:rsidRDefault="00CE3700" w:rsidP="003E194C">
      <w:pPr>
        <w:pStyle w:val="paragraph"/>
        <w:spacing w:before="0" w:beforeAutospacing="0" w:after="0" w:afterAutospacing="0" w:line="276" w:lineRule="auto"/>
        <w:ind w:right="45"/>
        <w:jc w:val="both"/>
        <w:textAlignment w:val="baseline"/>
        <w:rPr>
          <w:rFonts w:ascii="Arial" w:hAnsi="Arial" w:cs="Arial"/>
        </w:rPr>
      </w:pPr>
      <w:r w:rsidRPr="003E194C">
        <w:rPr>
          <w:rStyle w:val="eop"/>
          <w:rFonts w:ascii="Arial" w:hAnsi="Arial" w:cs="Arial"/>
        </w:rPr>
        <w:t> </w:t>
      </w: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1. NORMATIVIDAD APLICABLE PARA LA PENSIÓN DE SOBREVIVIENTES.</w:t>
      </w:r>
      <w:r w:rsidRPr="003E194C">
        <w:rPr>
          <w:rFonts w:ascii="Arial" w:eastAsia="Times New Roman" w:hAnsi="Arial" w:cs="Arial"/>
          <w:sz w:val="24"/>
          <w:szCs w:val="24"/>
          <w:lang w:eastAsia="es-CO"/>
        </w:rPr>
        <w:t> </w:t>
      </w: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Es posición pacífica de la jurisprudencia considerar que la norma que rige las pensiones de sobrevivientes es la vigente al momento en que se produce el deceso del afiliado. </w:t>
      </w:r>
    </w:p>
    <w:p w:rsidR="003654BB" w:rsidRDefault="003654BB" w:rsidP="003E194C">
      <w:pPr>
        <w:spacing w:after="0" w:line="276" w:lineRule="auto"/>
        <w:ind w:right="45"/>
        <w:jc w:val="both"/>
        <w:textAlignment w:val="baseline"/>
        <w:rPr>
          <w:rFonts w:ascii="Arial" w:eastAsia="Times New Roman" w:hAnsi="Arial" w:cs="Arial"/>
          <w:sz w:val="24"/>
          <w:szCs w:val="24"/>
          <w:lang w:eastAsia="es-CO"/>
        </w:rPr>
      </w:pP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2. CAUSACIÓN DE LA PENSIÓN DE SOBREVIVIENTES EN VIGENCIA DEL ACUERDO 049 DE 1990.</w:t>
      </w:r>
      <w:r w:rsidRPr="003E194C">
        <w:rPr>
          <w:rFonts w:ascii="Arial" w:eastAsia="Times New Roman" w:hAnsi="Arial" w:cs="Arial"/>
          <w:sz w:val="24"/>
          <w:szCs w:val="24"/>
          <w:lang w:eastAsia="es-CO"/>
        </w:rPr>
        <w:t> </w:t>
      </w:r>
    </w:p>
    <w:p w:rsidR="00891E3F" w:rsidRPr="003E194C" w:rsidRDefault="00891E3F" w:rsidP="003E194C">
      <w:pPr>
        <w:spacing w:after="0" w:line="276" w:lineRule="auto"/>
        <w:ind w:right="45"/>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891E3F" w:rsidRPr="003E194C" w:rsidRDefault="00891E3F"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xml:space="preserve">Establece el artículo 25 del Acuerdo 049 de 1990 que habrá derecho a la pensión de sobrevivientes cuando a la fecha de fallecimiento, el asegurado haya reunido el número y densidad de cotizaciones que se exigen para adquirir el derecho a la pensión de invalidez por riesgo común; por lo que de acuerdo con lo previsto en el </w:t>
      </w:r>
      <w:r w:rsidRPr="003E194C">
        <w:rPr>
          <w:rFonts w:ascii="Arial" w:eastAsia="Times New Roman" w:hAnsi="Arial" w:cs="Arial"/>
          <w:sz w:val="24"/>
          <w:szCs w:val="24"/>
          <w:lang w:eastAsia="es-CO"/>
        </w:rPr>
        <w:lastRenderedPageBreak/>
        <w:t>artículo 6° ibidem, para dejar causado el derecho a favor de sus beneficiarios, al afiliado fallecido le corresponde haber cotizado al ISS (hoy Colpensiones) ciento cincuenta semanas (150) dentro de los seis (6) años anteriores a la fecha del deceso, o en su defecto haber sufragado trescientas (300) semanas en cualquier tiempo. </w:t>
      </w:r>
    </w:p>
    <w:p w:rsidR="003654BB" w:rsidRDefault="003654BB" w:rsidP="003E194C">
      <w:pPr>
        <w:spacing w:after="0" w:line="276" w:lineRule="auto"/>
        <w:jc w:val="both"/>
        <w:textAlignment w:val="baseline"/>
        <w:rPr>
          <w:rFonts w:ascii="Arial" w:eastAsia="Times New Roman" w:hAnsi="Arial" w:cs="Arial"/>
          <w:sz w:val="24"/>
          <w:szCs w:val="24"/>
          <w:lang w:eastAsia="es-CO"/>
        </w:rPr>
      </w:pP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CASO CONCRETO.</w:t>
      </w:r>
      <w:r w:rsidRPr="003E194C">
        <w:rPr>
          <w:rFonts w:ascii="Arial" w:eastAsia="Times New Roman" w:hAnsi="Arial" w:cs="Arial"/>
          <w:sz w:val="24"/>
          <w:szCs w:val="24"/>
          <w:lang w:eastAsia="es-CO"/>
        </w:rPr>
        <w:t> </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CE3700" w:rsidRPr="003E194C" w:rsidRDefault="00086CAB" w:rsidP="003E194C">
      <w:pPr>
        <w:spacing w:after="0" w:line="276" w:lineRule="auto"/>
        <w:jc w:val="both"/>
        <w:textAlignment w:val="baseline"/>
        <w:rPr>
          <w:rStyle w:val="eop"/>
          <w:rFonts w:ascii="Arial" w:hAnsi="Arial" w:cs="Arial"/>
          <w:color w:val="000000"/>
          <w:sz w:val="24"/>
          <w:szCs w:val="24"/>
          <w:shd w:val="clear" w:color="auto" w:fill="FFFFFF"/>
        </w:rPr>
      </w:pPr>
      <w:r w:rsidRPr="003E194C">
        <w:rPr>
          <w:rStyle w:val="normaltextrun"/>
          <w:rFonts w:ascii="Arial" w:hAnsi="Arial" w:cs="Arial"/>
          <w:color w:val="000000"/>
          <w:sz w:val="24"/>
          <w:szCs w:val="24"/>
          <w:shd w:val="clear" w:color="auto" w:fill="FFFFFF"/>
        </w:rPr>
        <w:t>Conforme se aprecia en el registro civil de defunción -fl.11- la señora Marta Cecilia Sánchez Tamayo falleció el 21 de diciembre de 1993, fecha en la que se encontraba vigente el Acuerdo 049 de 1990, por lo que de conformidad con lo previsto en los artículos 6° y 25 de la normatividad bajo estudio, para dejar causado el derecho a la pensión de sobrevivientes a favor de sus beneficiarios, correspondía que la afiliada fallecida hubiese dejado acreditadas la densidad de semanas allí exigidas.</w:t>
      </w:r>
      <w:r w:rsidRPr="003E194C">
        <w:rPr>
          <w:rStyle w:val="eop"/>
          <w:rFonts w:ascii="Arial" w:hAnsi="Arial" w:cs="Arial"/>
          <w:color w:val="000000"/>
          <w:sz w:val="24"/>
          <w:szCs w:val="24"/>
          <w:shd w:val="clear" w:color="auto" w:fill="FFFFFF"/>
        </w:rPr>
        <w:t> </w:t>
      </w:r>
    </w:p>
    <w:p w:rsidR="00086CAB" w:rsidRPr="003E194C" w:rsidRDefault="00086CAB" w:rsidP="003E194C">
      <w:pPr>
        <w:spacing w:after="0" w:line="276" w:lineRule="auto"/>
        <w:jc w:val="both"/>
        <w:textAlignment w:val="baseline"/>
        <w:rPr>
          <w:rFonts w:ascii="Arial" w:eastAsia="Times New Roman" w:hAnsi="Arial" w:cs="Arial"/>
          <w:sz w:val="24"/>
          <w:szCs w:val="24"/>
          <w:lang w:eastAsia="es-CO"/>
        </w:rPr>
      </w:pPr>
    </w:p>
    <w:p w:rsidR="00CE3700" w:rsidRPr="003E194C" w:rsidRDefault="00086CAB" w:rsidP="003E194C">
      <w:pPr>
        <w:spacing w:after="0" w:line="276" w:lineRule="auto"/>
        <w:jc w:val="both"/>
        <w:textAlignment w:val="baseline"/>
        <w:rPr>
          <w:rStyle w:val="eop"/>
          <w:rFonts w:ascii="Arial" w:hAnsi="Arial" w:cs="Arial"/>
          <w:color w:val="000000"/>
          <w:sz w:val="24"/>
          <w:szCs w:val="24"/>
          <w:shd w:val="clear" w:color="auto" w:fill="FFFFFF"/>
        </w:rPr>
      </w:pPr>
      <w:r w:rsidRPr="003E194C">
        <w:rPr>
          <w:rStyle w:val="normaltextrun"/>
          <w:rFonts w:ascii="Arial" w:hAnsi="Arial" w:cs="Arial"/>
          <w:color w:val="000000"/>
          <w:sz w:val="24"/>
          <w:szCs w:val="24"/>
          <w:shd w:val="clear" w:color="auto" w:fill="FFFFFF"/>
        </w:rPr>
        <w:t xml:space="preserve">No obstante, al revisar la historia laboral allegada por la Administradora Colombiana de Pensiones -fls.94 a 97- se evidencia que ella cotizó en toda su vida laboral al ISS (hoy Colpensiones) un total de 50.71 semanas, las cuales se tornan insuficientes para dejar causada la pensión de sobrevivientes a favor de sus beneficiarios, sin que en este caso sea posible dar aplicación a la acumulación de esos aportes efectivamente sufragados al régimen de prima media con prestación definida, con los tiempos de servicios públicos prestados por ella a favor del Departamento de Antioquia en la extinta </w:t>
      </w:r>
      <w:proofErr w:type="spellStart"/>
      <w:r w:rsidRPr="003E194C">
        <w:rPr>
          <w:rStyle w:val="normaltextrun"/>
          <w:rFonts w:ascii="Arial" w:hAnsi="Arial" w:cs="Arial"/>
          <w:color w:val="000000"/>
          <w:sz w:val="24"/>
          <w:szCs w:val="24"/>
          <w:shd w:val="clear" w:color="auto" w:fill="FFFFFF"/>
        </w:rPr>
        <w:t>Acuantioquia</w:t>
      </w:r>
      <w:proofErr w:type="spellEnd"/>
      <w:r w:rsidRPr="003E194C">
        <w:rPr>
          <w:rStyle w:val="normaltextrun"/>
          <w:rFonts w:ascii="Arial" w:hAnsi="Arial" w:cs="Arial"/>
          <w:color w:val="000000"/>
          <w:sz w:val="24"/>
          <w:szCs w:val="24"/>
          <w:shd w:val="clear" w:color="auto" w:fill="FFFFFF"/>
        </w:rPr>
        <w:t xml:space="preserve"> entre el 30 de septiembre de 1968 y el 25 de mayo de 1969 y entre el 28 de mayo de 1969 y el 3 de diciembre de 1984, como se aprecia en el certificado de información laboral expedido por el ente territorial –fls.18 a 22-, no solamente porque el Acuerdo 049 de 1990 no lo permite, sino también porque a pesar de que la Sala de Casación Laboral de la Corte Suprema de Justicia en sentencia SL1981 de 1° de julio de 2020 permitió la acumulación de cotizaciones con tiempos de servicios públicos, lo cierto es que únicamente lo autorizó en los casos regulados por el régimen de transición previsto en el artículo 36 de la Ley 100 de 1993, destinado a la solución de los eventos en curso de las pensiones de vejez. </w:t>
      </w:r>
      <w:r w:rsidRPr="003E194C">
        <w:rPr>
          <w:rStyle w:val="eop"/>
          <w:rFonts w:ascii="Arial" w:hAnsi="Arial" w:cs="Arial"/>
          <w:color w:val="000000"/>
          <w:sz w:val="24"/>
          <w:szCs w:val="24"/>
          <w:shd w:val="clear" w:color="auto" w:fill="FFFFFF"/>
        </w:rPr>
        <w:t> </w:t>
      </w:r>
    </w:p>
    <w:p w:rsidR="00107E32" w:rsidRPr="003E194C" w:rsidRDefault="00107E32" w:rsidP="003E194C">
      <w:pPr>
        <w:spacing w:after="0" w:line="276" w:lineRule="auto"/>
        <w:jc w:val="both"/>
        <w:textAlignment w:val="baseline"/>
        <w:rPr>
          <w:rStyle w:val="eop"/>
          <w:rFonts w:ascii="Arial" w:hAnsi="Arial" w:cs="Arial"/>
          <w:color w:val="000000"/>
          <w:sz w:val="24"/>
          <w:szCs w:val="24"/>
          <w:shd w:val="clear" w:color="auto" w:fill="FFFFFF"/>
        </w:rPr>
      </w:pPr>
    </w:p>
    <w:p w:rsidR="00107E32" w:rsidRPr="003E194C" w:rsidRDefault="00107E32" w:rsidP="003E194C">
      <w:pPr>
        <w:spacing w:after="0" w:line="276" w:lineRule="auto"/>
        <w:jc w:val="both"/>
        <w:textAlignment w:val="baseline"/>
        <w:rPr>
          <w:rStyle w:val="eop"/>
          <w:rFonts w:ascii="Arial" w:hAnsi="Arial" w:cs="Arial"/>
          <w:color w:val="000000"/>
          <w:sz w:val="24"/>
          <w:szCs w:val="24"/>
          <w:shd w:val="clear" w:color="auto" w:fill="FFFFFF"/>
        </w:rPr>
      </w:pPr>
      <w:r w:rsidRPr="003E194C">
        <w:rPr>
          <w:rStyle w:val="normaltextrun"/>
          <w:rFonts w:ascii="Arial" w:hAnsi="Arial" w:cs="Arial"/>
          <w:color w:val="000000"/>
          <w:sz w:val="24"/>
          <w:szCs w:val="24"/>
          <w:shd w:val="clear" w:color="auto" w:fill="FFFFFF"/>
        </w:rPr>
        <w:t xml:space="preserve">Para realzar lo anterior, baste recordar que la elaboración jurisprudencial de la figura de la condición más beneficiosa tuvo como origen precisamente la inexistencia de un régimen de transición para la solución de los conflictos que surgían por los riesgos de invalidez y muerte. Sin que, bajo ninguna circunstancia resulte posible su análisis y aplicación en este asunto, toda vez que las circunstancias que permiten definir el </w:t>
      </w:r>
      <w:r w:rsidR="000B6280" w:rsidRPr="003E194C">
        <w:rPr>
          <w:rStyle w:val="normaltextrun"/>
          <w:rFonts w:ascii="Arial" w:hAnsi="Arial" w:cs="Arial"/>
          <w:color w:val="000000"/>
          <w:sz w:val="24"/>
          <w:szCs w:val="24"/>
          <w:shd w:val="clear" w:color="auto" w:fill="FFFFFF"/>
        </w:rPr>
        <w:t>derecho</w:t>
      </w:r>
      <w:r w:rsidRPr="003E194C">
        <w:rPr>
          <w:rStyle w:val="normaltextrun"/>
          <w:rFonts w:ascii="Arial" w:hAnsi="Arial" w:cs="Arial"/>
          <w:color w:val="000000"/>
          <w:sz w:val="24"/>
          <w:szCs w:val="24"/>
          <w:shd w:val="clear" w:color="auto" w:fill="FFFFFF"/>
        </w:rPr>
        <w:t xml:space="preserve"> se concretaron todas bajo el imperio de la legislación anterior.</w:t>
      </w:r>
      <w:r w:rsidRPr="003E194C">
        <w:rPr>
          <w:rStyle w:val="eop"/>
          <w:rFonts w:ascii="Arial" w:hAnsi="Arial" w:cs="Arial"/>
          <w:color w:val="000000"/>
          <w:sz w:val="24"/>
          <w:szCs w:val="24"/>
          <w:shd w:val="clear" w:color="auto" w:fill="FFFFFF"/>
        </w:rPr>
        <w:t> </w:t>
      </w:r>
    </w:p>
    <w:p w:rsidR="000B6280" w:rsidRPr="003E194C" w:rsidRDefault="000B6280" w:rsidP="003E194C">
      <w:pPr>
        <w:spacing w:after="0" w:line="276" w:lineRule="auto"/>
        <w:jc w:val="both"/>
        <w:textAlignment w:val="baseline"/>
        <w:rPr>
          <w:rStyle w:val="eop"/>
          <w:rFonts w:ascii="Arial" w:hAnsi="Arial" w:cs="Arial"/>
          <w:color w:val="000000"/>
          <w:sz w:val="24"/>
          <w:szCs w:val="24"/>
          <w:shd w:val="clear" w:color="auto" w:fill="FFFFFF"/>
        </w:rPr>
      </w:pPr>
    </w:p>
    <w:p w:rsidR="000B6280" w:rsidRPr="003E194C" w:rsidRDefault="000B6280" w:rsidP="003E194C">
      <w:pPr>
        <w:spacing w:after="0" w:line="276" w:lineRule="auto"/>
        <w:jc w:val="both"/>
        <w:textAlignment w:val="baseline"/>
        <w:rPr>
          <w:rStyle w:val="eop"/>
          <w:rFonts w:ascii="Arial" w:hAnsi="Arial" w:cs="Arial"/>
          <w:color w:val="000000"/>
          <w:sz w:val="24"/>
          <w:szCs w:val="24"/>
          <w:shd w:val="clear" w:color="auto" w:fill="FFFFFF"/>
        </w:rPr>
      </w:pPr>
      <w:r w:rsidRPr="003E194C">
        <w:rPr>
          <w:rStyle w:val="normaltextrun"/>
          <w:rFonts w:ascii="Arial" w:hAnsi="Arial" w:cs="Arial"/>
          <w:color w:val="000000"/>
          <w:sz w:val="24"/>
          <w:szCs w:val="24"/>
          <w:shd w:val="clear" w:color="auto" w:fill="FFFFFF"/>
        </w:rPr>
        <w:t xml:space="preserve">En efecto, no existiendo discusión en el hecho de que el deceso de la señora Sánchez Tamayo ocurrió el 21 de diciembre de 1993, esto es, antes de empezar a regir el sistema general de pensiones previsto en la ley 100 de 1993, ninguna incidencia tiene en este caso la aplicación de reglas legales y jurisprudenciales </w:t>
      </w:r>
      <w:r w:rsidRPr="003E194C">
        <w:rPr>
          <w:rStyle w:val="normaltextrun"/>
          <w:rFonts w:ascii="Arial" w:hAnsi="Arial" w:cs="Arial"/>
          <w:color w:val="000000"/>
          <w:sz w:val="24"/>
          <w:szCs w:val="24"/>
          <w:shd w:val="clear" w:color="auto" w:fill="FFFFFF"/>
        </w:rPr>
        <w:lastRenderedPageBreak/>
        <w:t>emitidas dentro del marco de esta normatividad, que como bien es sabido, entró en vigor el 1° de abril de 1994.</w:t>
      </w:r>
      <w:r w:rsidRPr="003E194C">
        <w:rPr>
          <w:rStyle w:val="eop"/>
          <w:rFonts w:ascii="Arial" w:hAnsi="Arial" w:cs="Arial"/>
          <w:color w:val="000000"/>
          <w:sz w:val="24"/>
          <w:szCs w:val="24"/>
          <w:shd w:val="clear" w:color="auto" w:fill="FFFFFF"/>
        </w:rPr>
        <w:t> </w:t>
      </w:r>
    </w:p>
    <w:p w:rsidR="00107E32" w:rsidRPr="003E194C" w:rsidRDefault="00107E32" w:rsidP="003E194C">
      <w:pPr>
        <w:spacing w:after="0" w:line="276" w:lineRule="auto"/>
        <w:jc w:val="both"/>
        <w:textAlignment w:val="baseline"/>
        <w:rPr>
          <w:rFonts w:ascii="Arial" w:eastAsia="Times New Roman" w:hAnsi="Arial" w:cs="Arial"/>
          <w:sz w:val="24"/>
          <w:szCs w:val="24"/>
          <w:lang w:eastAsia="es-CO"/>
        </w:rPr>
      </w:pPr>
    </w:p>
    <w:p w:rsidR="005F1559" w:rsidRPr="003E194C" w:rsidRDefault="005F1559"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En el anterior orden de ideas, se confirmará en su integridad la sentencia proferida por el Juzgado Segundo Laboral del Circuito el 13 de julio de 2020. </w:t>
      </w:r>
    </w:p>
    <w:p w:rsidR="005F1559" w:rsidRPr="003E194C" w:rsidRDefault="005F1559"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5F1559" w:rsidRPr="003E194C" w:rsidRDefault="005F1559"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Costas en esta instancia a cargo de la parte actora en un 100%. </w:t>
      </w:r>
    </w:p>
    <w:p w:rsidR="00CE3700" w:rsidRPr="003E194C" w:rsidRDefault="00CE3700" w:rsidP="003E194C">
      <w:pPr>
        <w:spacing w:after="0" w:line="276" w:lineRule="auto"/>
        <w:jc w:val="both"/>
        <w:textAlignment w:val="baseline"/>
        <w:rPr>
          <w:rFonts w:ascii="Arial" w:eastAsia="Times New Roman" w:hAnsi="Arial" w:cs="Arial"/>
          <w:i/>
          <w:iCs/>
          <w:sz w:val="24"/>
          <w:szCs w:val="24"/>
          <w:lang w:eastAsia="es-CO"/>
        </w:rPr>
      </w:pPr>
      <w:r w:rsidRPr="003E194C">
        <w:rPr>
          <w:rFonts w:ascii="Arial" w:eastAsia="Times New Roman" w:hAnsi="Arial" w:cs="Arial"/>
          <w:sz w:val="24"/>
          <w:szCs w:val="24"/>
          <w:lang w:eastAsia="es-CO"/>
        </w:rPr>
        <w:t> </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En mérito de lo expuesto, </w:t>
      </w:r>
      <w:r w:rsidRPr="003E194C">
        <w:rPr>
          <w:rFonts w:ascii="Arial" w:eastAsia="Times New Roman" w:hAnsi="Arial" w:cs="Arial"/>
          <w:b/>
          <w:bCs/>
          <w:sz w:val="24"/>
          <w:szCs w:val="24"/>
          <w:lang w:eastAsia="es-CO"/>
        </w:rPr>
        <w:t>la Sala de Decisión Laboral del Tribunal Superior del Distrito Judicial de Pereira, </w:t>
      </w:r>
      <w:r w:rsidRPr="003E194C">
        <w:rPr>
          <w:rFonts w:ascii="Arial" w:eastAsia="Times New Roman" w:hAnsi="Arial" w:cs="Arial"/>
          <w:sz w:val="24"/>
          <w:szCs w:val="24"/>
          <w:lang w:eastAsia="es-CO"/>
        </w:rPr>
        <w:t>administrado justicia en nombre de la República y por autoridad de la Ley;  </w:t>
      </w:r>
    </w:p>
    <w:p w:rsidR="003654BB" w:rsidRDefault="003654BB" w:rsidP="003E194C">
      <w:pPr>
        <w:spacing w:after="0" w:line="276" w:lineRule="auto"/>
        <w:jc w:val="both"/>
        <w:textAlignment w:val="baseline"/>
        <w:rPr>
          <w:rFonts w:ascii="Arial" w:eastAsia="Times New Roman" w:hAnsi="Arial" w:cs="Arial"/>
          <w:sz w:val="24"/>
          <w:szCs w:val="24"/>
          <w:lang w:eastAsia="es-CO"/>
        </w:rPr>
      </w:pP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CE3700" w:rsidRPr="003E194C" w:rsidRDefault="00CE3700"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RESUELVE</w:t>
      </w:r>
      <w:r w:rsidRPr="003E194C">
        <w:rPr>
          <w:rFonts w:ascii="Arial" w:eastAsia="Times New Roman" w:hAnsi="Arial" w:cs="Arial"/>
          <w:sz w:val="24"/>
          <w:szCs w:val="24"/>
          <w:lang w:eastAsia="es-CO"/>
        </w:rPr>
        <w:t> </w:t>
      </w:r>
    </w:p>
    <w:p w:rsidR="00CE3700" w:rsidRPr="003E194C" w:rsidRDefault="00CE3700"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 xml:space="preserve">PRIMERO. CONFIRMAR </w:t>
      </w:r>
      <w:r w:rsidRPr="003E194C">
        <w:rPr>
          <w:rFonts w:ascii="Arial" w:eastAsia="Times New Roman" w:hAnsi="Arial" w:cs="Arial"/>
          <w:sz w:val="24"/>
          <w:szCs w:val="24"/>
          <w:lang w:eastAsia="es-CO"/>
        </w:rPr>
        <w:t>la sentencia recurrida.</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b/>
          <w:bCs/>
          <w:sz w:val="24"/>
          <w:szCs w:val="24"/>
          <w:lang w:eastAsia="es-CO"/>
        </w:rPr>
        <w:t xml:space="preserve">SEGUNDO. CONDENAR </w:t>
      </w:r>
      <w:r w:rsidRPr="003E194C">
        <w:rPr>
          <w:rFonts w:ascii="Arial" w:eastAsia="Times New Roman" w:hAnsi="Arial" w:cs="Arial"/>
          <w:sz w:val="24"/>
          <w:szCs w:val="24"/>
          <w:lang w:eastAsia="es-CO"/>
        </w:rPr>
        <w:t>en costas procesales en esta instancia a la parte actora en un 100%.</w:t>
      </w:r>
    </w:p>
    <w:p w:rsidR="00CE3700" w:rsidRPr="003E194C" w:rsidRDefault="00CE3700"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  </w:t>
      </w:r>
    </w:p>
    <w:p w:rsidR="003E194C" w:rsidRPr="003E194C" w:rsidRDefault="003E194C" w:rsidP="003E194C">
      <w:pPr>
        <w:spacing w:after="0" w:line="276" w:lineRule="auto"/>
        <w:jc w:val="both"/>
        <w:textAlignment w:val="baseline"/>
        <w:rPr>
          <w:rFonts w:ascii="Arial" w:eastAsia="Times New Roman" w:hAnsi="Arial" w:cs="Arial"/>
          <w:sz w:val="24"/>
          <w:szCs w:val="24"/>
          <w:lang w:eastAsia="es-CO"/>
        </w:rPr>
      </w:pPr>
      <w:r w:rsidRPr="003E194C">
        <w:rPr>
          <w:rFonts w:ascii="Arial" w:eastAsia="Times New Roman" w:hAnsi="Arial" w:cs="Arial"/>
          <w:sz w:val="24"/>
          <w:szCs w:val="24"/>
          <w:lang w:val="es-ES" w:eastAsia="es-CO"/>
        </w:rPr>
        <w:t>Quienes Integran la Sala,</w:t>
      </w:r>
    </w:p>
    <w:p w:rsidR="003E194C" w:rsidRPr="003E194C" w:rsidRDefault="003E194C" w:rsidP="003E194C">
      <w:pPr>
        <w:spacing w:after="0" w:line="276" w:lineRule="auto"/>
        <w:jc w:val="both"/>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both"/>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both"/>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b/>
          <w:bCs/>
          <w:sz w:val="24"/>
          <w:szCs w:val="24"/>
          <w:lang w:eastAsia="es-CO"/>
        </w:rPr>
      </w:pPr>
      <w:r w:rsidRPr="003E194C">
        <w:rPr>
          <w:rFonts w:ascii="Arial" w:eastAsia="Times New Roman" w:hAnsi="Arial" w:cs="Arial"/>
          <w:b/>
          <w:bCs/>
          <w:sz w:val="24"/>
          <w:szCs w:val="24"/>
          <w:lang w:eastAsia="es-CO"/>
        </w:rPr>
        <w:t>JULIO CÉSAR SALAZAR MUÑOZ</w:t>
      </w: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Magistrado Ponente</w:t>
      </w: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b/>
          <w:bCs/>
          <w:sz w:val="24"/>
          <w:szCs w:val="24"/>
          <w:lang w:eastAsia="es-CO"/>
        </w:rPr>
      </w:pPr>
      <w:r w:rsidRPr="003E194C">
        <w:rPr>
          <w:rFonts w:ascii="Arial" w:eastAsia="Times New Roman" w:hAnsi="Arial" w:cs="Arial"/>
          <w:b/>
          <w:bCs/>
          <w:sz w:val="24"/>
          <w:szCs w:val="24"/>
          <w:lang w:eastAsia="es-CO"/>
        </w:rPr>
        <w:t>ANA LUCÍA CAICEDO CALDERÓN</w:t>
      </w: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Magistrada</w:t>
      </w: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p>
    <w:p w:rsidR="003E194C" w:rsidRPr="003E194C" w:rsidRDefault="003E194C" w:rsidP="003E194C">
      <w:pPr>
        <w:spacing w:after="0" w:line="276" w:lineRule="auto"/>
        <w:jc w:val="center"/>
        <w:textAlignment w:val="baseline"/>
        <w:rPr>
          <w:rFonts w:ascii="Arial" w:eastAsia="Times New Roman" w:hAnsi="Arial" w:cs="Arial"/>
          <w:b/>
          <w:bCs/>
          <w:sz w:val="24"/>
          <w:szCs w:val="24"/>
          <w:lang w:eastAsia="es-CO"/>
        </w:rPr>
      </w:pPr>
      <w:r w:rsidRPr="003E194C">
        <w:rPr>
          <w:rFonts w:ascii="Arial" w:eastAsia="Times New Roman" w:hAnsi="Arial" w:cs="Arial"/>
          <w:b/>
          <w:bCs/>
          <w:sz w:val="24"/>
          <w:szCs w:val="24"/>
          <w:lang w:eastAsia="es-CO"/>
        </w:rPr>
        <w:t>GERMÁN DARÍO GÓEZ VINASCO</w:t>
      </w:r>
    </w:p>
    <w:p w:rsidR="00107DA3" w:rsidRDefault="003E194C" w:rsidP="003E194C">
      <w:pPr>
        <w:spacing w:after="0" w:line="276" w:lineRule="auto"/>
        <w:jc w:val="center"/>
        <w:textAlignment w:val="baseline"/>
        <w:rPr>
          <w:rFonts w:ascii="Arial" w:eastAsia="Times New Roman" w:hAnsi="Arial" w:cs="Arial"/>
          <w:sz w:val="24"/>
          <w:szCs w:val="24"/>
          <w:lang w:eastAsia="es-CO"/>
        </w:rPr>
      </w:pPr>
      <w:r w:rsidRPr="003E194C">
        <w:rPr>
          <w:rFonts w:ascii="Arial" w:eastAsia="Times New Roman" w:hAnsi="Arial" w:cs="Arial"/>
          <w:sz w:val="24"/>
          <w:szCs w:val="24"/>
          <w:lang w:eastAsia="es-CO"/>
        </w:rPr>
        <w:t>Magistrado</w:t>
      </w:r>
    </w:p>
    <w:p w:rsidR="003E194C" w:rsidRPr="003E194C" w:rsidRDefault="003E194C" w:rsidP="003E194C">
      <w:pPr>
        <w:spacing w:after="0" w:line="276" w:lineRule="auto"/>
        <w:jc w:val="center"/>
        <w:textAlignment w:val="baseline"/>
        <w:rPr>
          <w:rFonts w:ascii="Arial" w:eastAsia="Times New Roman" w:hAnsi="Arial" w:cs="Arial"/>
          <w:sz w:val="24"/>
          <w:szCs w:val="24"/>
          <w:lang w:eastAsia="es-CO"/>
        </w:rPr>
      </w:pPr>
      <w:bookmarkStart w:id="2" w:name="_GoBack"/>
      <w:bookmarkEnd w:id="2"/>
      <w:r>
        <w:rPr>
          <w:rFonts w:ascii="Arial" w:eastAsia="Times New Roman" w:hAnsi="Arial" w:cs="Arial"/>
          <w:sz w:val="24"/>
          <w:szCs w:val="24"/>
          <w:lang w:eastAsia="es-CO"/>
        </w:rPr>
        <w:t>Salva voto</w:t>
      </w:r>
    </w:p>
    <w:sectPr w:rsidR="003E194C" w:rsidRPr="003E194C" w:rsidSect="00793461">
      <w:headerReference w:type="default" r:id="rId9"/>
      <w:footerReference w:type="default" r:id="rId10"/>
      <w:pgSz w:w="12242" w:h="18722" w:code="25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99" w:rsidRDefault="00D61899" w:rsidP="00715044">
      <w:pPr>
        <w:spacing w:after="0" w:line="240" w:lineRule="auto"/>
      </w:pPr>
      <w:r>
        <w:separator/>
      </w:r>
    </w:p>
  </w:endnote>
  <w:endnote w:type="continuationSeparator" w:id="0">
    <w:p w:rsidR="00D61899" w:rsidRDefault="00D61899" w:rsidP="0071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929"/>
      <w:docPartObj>
        <w:docPartGallery w:val="Page Numbers (Bottom of Page)"/>
        <w:docPartUnique/>
      </w:docPartObj>
    </w:sdtPr>
    <w:sdtEndPr>
      <w:rPr>
        <w:rFonts w:ascii="Arial" w:hAnsi="Arial" w:cs="Arial"/>
        <w:sz w:val="18"/>
      </w:rPr>
    </w:sdtEndPr>
    <w:sdtContent>
      <w:p w:rsidR="00715044" w:rsidRPr="008D08D8" w:rsidRDefault="00013244" w:rsidP="005A4ECB">
        <w:pPr>
          <w:suppressAutoHyphens/>
          <w:spacing w:after="0" w:line="240" w:lineRule="auto"/>
          <w:jc w:val="right"/>
          <w:rPr>
            <w:rFonts w:ascii="Arial" w:hAnsi="Arial" w:cs="Arial"/>
            <w:sz w:val="18"/>
          </w:rPr>
        </w:pPr>
        <w:r w:rsidRPr="008D08D8">
          <w:rPr>
            <w:rFonts w:ascii="Arial" w:hAnsi="Arial" w:cs="Arial"/>
            <w:noProof/>
            <w:sz w:val="18"/>
          </w:rPr>
          <w:fldChar w:fldCharType="begin"/>
        </w:r>
        <w:r w:rsidRPr="008D08D8">
          <w:rPr>
            <w:rFonts w:ascii="Arial" w:hAnsi="Arial" w:cs="Arial"/>
            <w:noProof/>
            <w:sz w:val="18"/>
          </w:rPr>
          <w:instrText xml:space="preserve"> PAGE   \* MERGEFORMAT </w:instrText>
        </w:r>
        <w:r w:rsidRPr="008D08D8">
          <w:rPr>
            <w:rFonts w:ascii="Arial" w:hAnsi="Arial" w:cs="Arial"/>
            <w:noProof/>
            <w:sz w:val="18"/>
          </w:rPr>
          <w:fldChar w:fldCharType="separate"/>
        </w:r>
        <w:r w:rsidR="00715044" w:rsidRPr="008D08D8">
          <w:rPr>
            <w:rFonts w:ascii="Arial" w:hAnsi="Arial" w:cs="Arial"/>
            <w:noProof/>
            <w:sz w:val="18"/>
          </w:rPr>
          <w:t>8</w:t>
        </w:r>
        <w:r w:rsidRPr="008D08D8">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99" w:rsidRDefault="00D61899" w:rsidP="00715044">
      <w:pPr>
        <w:spacing w:after="0" w:line="240" w:lineRule="auto"/>
      </w:pPr>
      <w:r>
        <w:separator/>
      </w:r>
    </w:p>
  </w:footnote>
  <w:footnote w:type="continuationSeparator" w:id="0">
    <w:p w:rsidR="00D61899" w:rsidRDefault="00D61899" w:rsidP="0071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D8" w:rsidRDefault="00715044" w:rsidP="008D08D8">
    <w:pPr>
      <w:suppressAutoHyphens/>
      <w:spacing w:after="0" w:line="240" w:lineRule="auto"/>
      <w:jc w:val="center"/>
      <w:rPr>
        <w:rStyle w:val="normaltextrun"/>
        <w:rFonts w:ascii="Arial" w:hAnsi="Arial" w:cs="Arial"/>
        <w:sz w:val="18"/>
        <w:szCs w:val="16"/>
      </w:rPr>
    </w:pPr>
    <w:r w:rsidRPr="008D08D8">
      <w:rPr>
        <w:rStyle w:val="normaltextrun"/>
        <w:rFonts w:ascii="Arial" w:hAnsi="Arial" w:cs="Arial"/>
        <w:sz w:val="18"/>
        <w:szCs w:val="16"/>
      </w:rPr>
      <w:t xml:space="preserve">Luis Mariano Restrepo </w:t>
    </w:r>
    <w:proofErr w:type="spellStart"/>
    <w:r w:rsidRPr="008D08D8">
      <w:rPr>
        <w:rStyle w:val="normaltextrun"/>
        <w:rFonts w:ascii="Arial" w:hAnsi="Arial" w:cs="Arial"/>
        <w:sz w:val="18"/>
        <w:szCs w:val="16"/>
      </w:rPr>
      <w:t>Restrepo</w:t>
    </w:r>
    <w:proofErr w:type="spellEnd"/>
    <w:r w:rsidRPr="008D08D8">
      <w:rPr>
        <w:rStyle w:val="normaltextrun"/>
        <w:rFonts w:ascii="Arial" w:hAnsi="Arial" w:cs="Arial"/>
        <w:sz w:val="18"/>
        <w:szCs w:val="16"/>
      </w:rPr>
      <w:t xml:space="preserve"> Vs Colpensiones</w:t>
    </w:r>
  </w:p>
  <w:p w:rsidR="00715044" w:rsidRPr="008D08D8" w:rsidRDefault="00715044" w:rsidP="008D08D8">
    <w:pPr>
      <w:suppressAutoHyphens/>
      <w:spacing w:after="0" w:line="240" w:lineRule="auto"/>
      <w:jc w:val="center"/>
      <w:rPr>
        <w:rFonts w:ascii="Arial" w:hAnsi="Arial" w:cs="Arial"/>
        <w:sz w:val="18"/>
        <w:szCs w:val="16"/>
      </w:rPr>
    </w:pPr>
    <w:r w:rsidRPr="008D08D8">
      <w:rPr>
        <w:rStyle w:val="normaltextrun"/>
        <w:rFonts w:ascii="Arial" w:hAnsi="Arial" w:cs="Arial"/>
        <w:sz w:val="18"/>
        <w:szCs w:val="16"/>
      </w:rPr>
      <w:t>Rad 66001310500220180051701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700"/>
    <w:rsid w:val="000115D4"/>
    <w:rsid w:val="00013244"/>
    <w:rsid w:val="00086CAB"/>
    <w:rsid w:val="000B6280"/>
    <w:rsid w:val="00107E32"/>
    <w:rsid w:val="00131F74"/>
    <w:rsid w:val="001525F2"/>
    <w:rsid w:val="001B78AC"/>
    <w:rsid w:val="002787DF"/>
    <w:rsid w:val="002F7826"/>
    <w:rsid w:val="003654BB"/>
    <w:rsid w:val="003E194C"/>
    <w:rsid w:val="003E504B"/>
    <w:rsid w:val="004C6961"/>
    <w:rsid w:val="005A4ECB"/>
    <w:rsid w:val="005B5D02"/>
    <w:rsid w:val="005F1559"/>
    <w:rsid w:val="00691FA2"/>
    <w:rsid w:val="00715044"/>
    <w:rsid w:val="00721FD4"/>
    <w:rsid w:val="00793461"/>
    <w:rsid w:val="00834D6A"/>
    <w:rsid w:val="00891E3F"/>
    <w:rsid w:val="008D08D8"/>
    <w:rsid w:val="00941F06"/>
    <w:rsid w:val="009E5393"/>
    <w:rsid w:val="00A0267F"/>
    <w:rsid w:val="00A9180C"/>
    <w:rsid w:val="00AE4EEC"/>
    <w:rsid w:val="00C34F83"/>
    <w:rsid w:val="00C66181"/>
    <w:rsid w:val="00C970D7"/>
    <w:rsid w:val="00CD2C94"/>
    <w:rsid w:val="00CE3700"/>
    <w:rsid w:val="00D61899"/>
    <w:rsid w:val="00E479C8"/>
    <w:rsid w:val="00E53F27"/>
    <w:rsid w:val="00E83A72"/>
    <w:rsid w:val="00F05D77"/>
    <w:rsid w:val="00F61B47"/>
    <w:rsid w:val="07E6E43F"/>
    <w:rsid w:val="0A62FDA0"/>
    <w:rsid w:val="0A86116A"/>
    <w:rsid w:val="0CCD816A"/>
    <w:rsid w:val="0D8F2C45"/>
    <w:rsid w:val="0E5625C3"/>
    <w:rsid w:val="0FCF68DA"/>
    <w:rsid w:val="101555CC"/>
    <w:rsid w:val="104561E2"/>
    <w:rsid w:val="19879D93"/>
    <w:rsid w:val="2CD5621F"/>
    <w:rsid w:val="2F7BC25B"/>
    <w:rsid w:val="3014F067"/>
    <w:rsid w:val="31EC9B41"/>
    <w:rsid w:val="334C9129"/>
    <w:rsid w:val="35BB0E9A"/>
    <w:rsid w:val="377D51B3"/>
    <w:rsid w:val="3820024C"/>
    <w:rsid w:val="38F2AF5C"/>
    <w:rsid w:val="3DC6207F"/>
    <w:rsid w:val="3F61F0E0"/>
    <w:rsid w:val="429991A2"/>
    <w:rsid w:val="44E18902"/>
    <w:rsid w:val="4BBE186E"/>
    <w:rsid w:val="4F800230"/>
    <w:rsid w:val="54562450"/>
    <w:rsid w:val="6C6BA5D5"/>
    <w:rsid w:val="70D6DD29"/>
    <w:rsid w:val="7402E42C"/>
    <w:rsid w:val="7A69A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D2FB"/>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E37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E3700"/>
  </w:style>
  <w:style w:type="character" w:customStyle="1" w:styleId="eop">
    <w:name w:val="eop"/>
    <w:basedOn w:val="Fuentedeprrafopredeter"/>
    <w:rsid w:val="00CE3700"/>
  </w:style>
  <w:style w:type="character" w:styleId="Hipervnculo">
    <w:name w:val="Hyperlink"/>
    <w:unhideWhenUsed/>
    <w:rsid w:val="00CE3700"/>
    <w:rPr>
      <w:color w:val="0563C1"/>
      <w:u w:val="single"/>
    </w:rPr>
  </w:style>
  <w:style w:type="paragraph" w:styleId="Textoindependiente">
    <w:name w:val="Body Text"/>
    <w:basedOn w:val="Normal"/>
    <w:link w:val="TextoindependienteCar"/>
    <w:rsid w:val="00CE370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CE3700"/>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7150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044"/>
  </w:style>
  <w:style w:type="paragraph" w:styleId="Piedepgina">
    <w:name w:val="footer"/>
    <w:basedOn w:val="Normal"/>
    <w:link w:val="PiedepginaCar"/>
    <w:uiPriority w:val="99"/>
    <w:unhideWhenUsed/>
    <w:rsid w:val="007150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9735">
      <w:bodyDiv w:val="1"/>
      <w:marLeft w:val="0"/>
      <w:marRight w:val="0"/>
      <w:marTop w:val="0"/>
      <w:marBottom w:val="0"/>
      <w:divBdr>
        <w:top w:val="none" w:sz="0" w:space="0" w:color="auto"/>
        <w:left w:val="none" w:sz="0" w:space="0" w:color="auto"/>
        <w:bottom w:val="none" w:sz="0" w:space="0" w:color="auto"/>
        <w:right w:val="none" w:sz="0" w:space="0" w:color="auto"/>
      </w:divBdr>
      <w:divsChild>
        <w:div w:id="242882511">
          <w:marLeft w:val="0"/>
          <w:marRight w:val="0"/>
          <w:marTop w:val="0"/>
          <w:marBottom w:val="0"/>
          <w:divBdr>
            <w:top w:val="none" w:sz="0" w:space="0" w:color="auto"/>
            <w:left w:val="none" w:sz="0" w:space="0" w:color="auto"/>
            <w:bottom w:val="none" w:sz="0" w:space="0" w:color="auto"/>
            <w:right w:val="none" w:sz="0" w:space="0" w:color="auto"/>
          </w:divBdr>
        </w:div>
        <w:div w:id="1887598291">
          <w:marLeft w:val="0"/>
          <w:marRight w:val="0"/>
          <w:marTop w:val="0"/>
          <w:marBottom w:val="0"/>
          <w:divBdr>
            <w:top w:val="none" w:sz="0" w:space="0" w:color="auto"/>
            <w:left w:val="none" w:sz="0" w:space="0" w:color="auto"/>
            <w:bottom w:val="none" w:sz="0" w:space="0" w:color="auto"/>
            <w:right w:val="none" w:sz="0" w:space="0" w:color="auto"/>
          </w:divBdr>
        </w:div>
        <w:div w:id="504396612">
          <w:marLeft w:val="0"/>
          <w:marRight w:val="0"/>
          <w:marTop w:val="0"/>
          <w:marBottom w:val="0"/>
          <w:divBdr>
            <w:top w:val="none" w:sz="0" w:space="0" w:color="auto"/>
            <w:left w:val="none" w:sz="0" w:space="0" w:color="auto"/>
            <w:bottom w:val="none" w:sz="0" w:space="0" w:color="auto"/>
            <w:right w:val="none" w:sz="0" w:space="0" w:color="auto"/>
          </w:divBdr>
        </w:div>
        <w:div w:id="410589086">
          <w:marLeft w:val="0"/>
          <w:marRight w:val="0"/>
          <w:marTop w:val="0"/>
          <w:marBottom w:val="0"/>
          <w:divBdr>
            <w:top w:val="none" w:sz="0" w:space="0" w:color="auto"/>
            <w:left w:val="none" w:sz="0" w:space="0" w:color="auto"/>
            <w:bottom w:val="none" w:sz="0" w:space="0" w:color="auto"/>
            <w:right w:val="none" w:sz="0" w:space="0" w:color="auto"/>
          </w:divBdr>
        </w:div>
        <w:div w:id="471794753">
          <w:marLeft w:val="0"/>
          <w:marRight w:val="0"/>
          <w:marTop w:val="0"/>
          <w:marBottom w:val="0"/>
          <w:divBdr>
            <w:top w:val="none" w:sz="0" w:space="0" w:color="auto"/>
            <w:left w:val="none" w:sz="0" w:space="0" w:color="auto"/>
            <w:bottom w:val="none" w:sz="0" w:space="0" w:color="auto"/>
            <w:right w:val="none" w:sz="0" w:space="0" w:color="auto"/>
          </w:divBdr>
        </w:div>
        <w:div w:id="724959574">
          <w:marLeft w:val="0"/>
          <w:marRight w:val="0"/>
          <w:marTop w:val="0"/>
          <w:marBottom w:val="0"/>
          <w:divBdr>
            <w:top w:val="none" w:sz="0" w:space="0" w:color="auto"/>
            <w:left w:val="none" w:sz="0" w:space="0" w:color="auto"/>
            <w:bottom w:val="none" w:sz="0" w:space="0" w:color="auto"/>
            <w:right w:val="none" w:sz="0" w:space="0" w:color="auto"/>
          </w:divBdr>
        </w:div>
        <w:div w:id="1059982157">
          <w:marLeft w:val="0"/>
          <w:marRight w:val="0"/>
          <w:marTop w:val="0"/>
          <w:marBottom w:val="0"/>
          <w:divBdr>
            <w:top w:val="none" w:sz="0" w:space="0" w:color="auto"/>
            <w:left w:val="none" w:sz="0" w:space="0" w:color="auto"/>
            <w:bottom w:val="none" w:sz="0" w:space="0" w:color="auto"/>
            <w:right w:val="none" w:sz="0" w:space="0" w:color="auto"/>
          </w:divBdr>
        </w:div>
      </w:divsChild>
    </w:div>
    <w:div w:id="1234005548">
      <w:bodyDiv w:val="1"/>
      <w:marLeft w:val="0"/>
      <w:marRight w:val="0"/>
      <w:marTop w:val="0"/>
      <w:marBottom w:val="0"/>
      <w:divBdr>
        <w:top w:val="none" w:sz="0" w:space="0" w:color="auto"/>
        <w:left w:val="none" w:sz="0" w:space="0" w:color="auto"/>
        <w:bottom w:val="none" w:sz="0" w:space="0" w:color="auto"/>
        <w:right w:val="none" w:sz="0" w:space="0" w:color="auto"/>
      </w:divBdr>
      <w:divsChild>
        <w:div w:id="2084062986">
          <w:marLeft w:val="0"/>
          <w:marRight w:val="0"/>
          <w:marTop w:val="0"/>
          <w:marBottom w:val="0"/>
          <w:divBdr>
            <w:top w:val="none" w:sz="0" w:space="0" w:color="auto"/>
            <w:left w:val="none" w:sz="0" w:space="0" w:color="auto"/>
            <w:bottom w:val="none" w:sz="0" w:space="0" w:color="auto"/>
            <w:right w:val="none" w:sz="0" w:space="0" w:color="auto"/>
          </w:divBdr>
        </w:div>
        <w:div w:id="1981302671">
          <w:marLeft w:val="0"/>
          <w:marRight w:val="0"/>
          <w:marTop w:val="0"/>
          <w:marBottom w:val="0"/>
          <w:divBdr>
            <w:top w:val="none" w:sz="0" w:space="0" w:color="auto"/>
            <w:left w:val="none" w:sz="0" w:space="0" w:color="auto"/>
            <w:bottom w:val="none" w:sz="0" w:space="0" w:color="auto"/>
            <w:right w:val="none" w:sz="0" w:space="0" w:color="auto"/>
          </w:divBdr>
        </w:div>
        <w:div w:id="175447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43525-1B15-4B35-ACA2-0748190F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06C96-DE46-4F6C-AA59-92BF6DCE259B}">
  <ds:schemaRefs>
    <ds:schemaRef ds:uri="http://schemas.microsoft.com/sharepoint/v3/contenttype/forms"/>
  </ds:schemaRefs>
</ds:datastoreItem>
</file>

<file path=customXml/itemProps3.xml><?xml version="1.0" encoding="utf-8"?>
<ds:datastoreItem xmlns:ds="http://schemas.openxmlformats.org/officeDocument/2006/customXml" ds:itemID="{B8B51F39-13E1-4F91-8103-22CFFB6DB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2309</Words>
  <Characters>12702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cp:revision>
  <dcterms:created xsi:type="dcterms:W3CDTF">2022-01-25T12:52:00Z</dcterms:created>
  <dcterms:modified xsi:type="dcterms:W3CDTF">2022-04-21T19:45:00Z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