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48E1946A" w:rsidR="008E4E97" w:rsidRPr="003A691C" w:rsidRDefault="008E4E97" w:rsidP="003A691C">
      <w:pPr>
        <w:pStyle w:val="Puesto"/>
        <w:jc w:val="both"/>
        <w:rPr>
          <w:rFonts w:ascii="Arial" w:hAnsi="Arial" w:cs="Arial"/>
          <w:b w:val="0"/>
          <w:bCs w:val="0"/>
          <w:szCs w:val="24"/>
        </w:rPr>
      </w:pPr>
      <w:bookmarkStart w:id="0" w:name="_GoBack"/>
      <w:bookmarkEnd w:id="0"/>
      <w:r w:rsidRPr="003A691C">
        <w:rPr>
          <w:rFonts w:ascii="Arial" w:hAnsi="Arial" w:cs="Arial"/>
          <w:b w:val="0"/>
          <w:bCs w:val="0"/>
          <w:szCs w:val="24"/>
        </w:rPr>
        <w:t>Radicación Nro.:</w:t>
      </w:r>
      <w:r w:rsidRPr="003A691C">
        <w:rPr>
          <w:rFonts w:ascii="Arial" w:hAnsi="Arial" w:cs="Arial"/>
          <w:szCs w:val="24"/>
        </w:rPr>
        <w:tab/>
      </w:r>
      <w:r w:rsidR="0012555B" w:rsidRPr="003A691C">
        <w:rPr>
          <w:rFonts w:ascii="Arial" w:hAnsi="Arial" w:cs="Arial"/>
          <w:b w:val="0"/>
          <w:bCs w:val="0"/>
          <w:szCs w:val="24"/>
        </w:rPr>
        <w:t>660013105</w:t>
      </w:r>
      <w:r w:rsidR="71C4A3B9" w:rsidRPr="003A691C">
        <w:rPr>
          <w:rFonts w:ascii="Arial" w:hAnsi="Arial" w:cs="Arial"/>
          <w:b w:val="0"/>
          <w:bCs w:val="0"/>
          <w:szCs w:val="24"/>
        </w:rPr>
        <w:t>0</w:t>
      </w:r>
      <w:r w:rsidR="0012555B" w:rsidRPr="003A691C">
        <w:rPr>
          <w:rFonts w:ascii="Arial" w:hAnsi="Arial" w:cs="Arial"/>
          <w:b w:val="0"/>
          <w:bCs w:val="0"/>
          <w:szCs w:val="24"/>
        </w:rPr>
        <w:t>0</w:t>
      </w:r>
      <w:r w:rsidR="00023017" w:rsidRPr="003A691C">
        <w:rPr>
          <w:rFonts w:ascii="Arial" w:hAnsi="Arial" w:cs="Arial"/>
          <w:b w:val="0"/>
          <w:bCs w:val="0"/>
          <w:szCs w:val="24"/>
        </w:rPr>
        <w:t>3</w:t>
      </w:r>
      <w:r w:rsidR="0012555B" w:rsidRPr="003A691C">
        <w:rPr>
          <w:rFonts w:ascii="Arial" w:hAnsi="Arial" w:cs="Arial"/>
          <w:b w:val="0"/>
          <w:bCs w:val="0"/>
          <w:szCs w:val="24"/>
        </w:rPr>
        <w:t>201</w:t>
      </w:r>
      <w:r w:rsidR="00023017" w:rsidRPr="003A691C">
        <w:rPr>
          <w:rFonts w:ascii="Arial" w:hAnsi="Arial" w:cs="Arial"/>
          <w:b w:val="0"/>
          <w:bCs w:val="0"/>
          <w:szCs w:val="24"/>
        </w:rPr>
        <w:t>6</w:t>
      </w:r>
      <w:r w:rsidR="0012555B" w:rsidRPr="003A691C">
        <w:rPr>
          <w:rFonts w:ascii="Arial" w:hAnsi="Arial" w:cs="Arial"/>
          <w:b w:val="0"/>
          <w:bCs w:val="0"/>
          <w:szCs w:val="24"/>
        </w:rPr>
        <w:t>00</w:t>
      </w:r>
      <w:r w:rsidR="00ED72C3" w:rsidRPr="003A691C">
        <w:rPr>
          <w:rFonts w:ascii="Arial" w:hAnsi="Arial" w:cs="Arial"/>
          <w:b w:val="0"/>
          <w:bCs w:val="0"/>
          <w:szCs w:val="24"/>
        </w:rPr>
        <w:t>4</w:t>
      </w:r>
      <w:r w:rsidR="00023017" w:rsidRPr="003A691C">
        <w:rPr>
          <w:rFonts w:ascii="Arial" w:hAnsi="Arial" w:cs="Arial"/>
          <w:b w:val="0"/>
          <w:bCs w:val="0"/>
          <w:szCs w:val="24"/>
        </w:rPr>
        <w:t>61</w:t>
      </w:r>
      <w:r w:rsidR="0012555B" w:rsidRPr="003A691C">
        <w:rPr>
          <w:rFonts w:ascii="Arial" w:hAnsi="Arial" w:cs="Arial"/>
          <w:b w:val="0"/>
          <w:bCs w:val="0"/>
          <w:szCs w:val="24"/>
        </w:rPr>
        <w:t>02</w:t>
      </w:r>
    </w:p>
    <w:p w14:paraId="4811A1B1" w14:textId="110789B7" w:rsidR="008E4E97" w:rsidRPr="003A691C" w:rsidRDefault="008E4E97" w:rsidP="003A691C">
      <w:pPr>
        <w:pStyle w:val="Puesto"/>
        <w:jc w:val="both"/>
        <w:rPr>
          <w:rFonts w:ascii="Arial" w:hAnsi="Arial" w:cs="Arial"/>
          <w:b w:val="0"/>
          <w:szCs w:val="24"/>
        </w:rPr>
      </w:pPr>
      <w:r w:rsidRPr="003A691C">
        <w:rPr>
          <w:rFonts w:ascii="Arial" w:hAnsi="Arial" w:cs="Arial"/>
          <w:b w:val="0"/>
          <w:szCs w:val="24"/>
        </w:rPr>
        <w:t>Proceso:</w:t>
      </w:r>
      <w:r w:rsidRPr="003A691C">
        <w:rPr>
          <w:rFonts w:ascii="Arial" w:hAnsi="Arial" w:cs="Arial"/>
          <w:b w:val="0"/>
          <w:szCs w:val="24"/>
        </w:rPr>
        <w:tab/>
      </w:r>
      <w:r w:rsidRPr="003A691C">
        <w:rPr>
          <w:rFonts w:ascii="Arial" w:hAnsi="Arial" w:cs="Arial"/>
          <w:b w:val="0"/>
          <w:szCs w:val="24"/>
        </w:rPr>
        <w:tab/>
        <w:t xml:space="preserve">Ordinario Laboral  </w:t>
      </w:r>
    </w:p>
    <w:p w14:paraId="39FEE4BF" w14:textId="693AF7D6" w:rsidR="008E4E97" w:rsidRPr="003A691C" w:rsidRDefault="008E4E97" w:rsidP="003A691C">
      <w:pPr>
        <w:pStyle w:val="Puesto"/>
        <w:jc w:val="both"/>
        <w:rPr>
          <w:rFonts w:ascii="Arial" w:hAnsi="Arial" w:cs="Arial"/>
          <w:b w:val="0"/>
          <w:szCs w:val="24"/>
        </w:rPr>
      </w:pPr>
      <w:r w:rsidRPr="003A691C">
        <w:rPr>
          <w:rFonts w:ascii="Arial" w:hAnsi="Arial" w:cs="Arial"/>
          <w:b w:val="0"/>
          <w:szCs w:val="24"/>
        </w:rPr>
        <w:t>Demandante:</w:t>
      </w:r>
      <w:r w:rsidRPr="003A691C">
        <w:rPr>
          <w:rFonts w:ascii="Arial" w:hAnsi="Arial" w:cs="Arial"/>
          <w:b w:val="0"/>
          <w:szCs w:val="24"/>
        </w:rPr>
        <w:tab/>
      </w:r>
      <w:r w:rsidRPr="003A691C">
        <w:rPr>
          <w:rFonts w:ascii="Arial" w:hAnsi="Arial" w:cs="Arial"/>
          <w:b w:val="0"/>
          <w:szCs w:val="24"/>
        </w:rPr>
        <w:tab/>
      </w:r>
      <w:bookmarkStart w:id="1" w:name="_Hlk108636035"/>
      <w:r w:rsidR="00023017" w:rsidRPr="003A691C">
        <w:rPr>
          <w:rFonts w:ascii="Arial" w:hAnsi="Arial" w:cs="Arial"/>
          <w:b w:val="0"/>
          <w:szCs w:val="24"/>
        </w:rPr>
        <w:t>María Amparo López Marín</w:t>
      </w:r>
      <w:bookmarkEnd w:id="1"/>
    </w:p>
    <w:p w14:paraId="6E0C375B" w14:textId="52FBCEB4" w:rsidR="008E4E97" w:rsidRPr="003A691C" w:rsidRDefault="008E4E97" w:rsidP="003A691C">
      <w:pPr>
        <w:pStyle w:val="Puesto"/>
        <w:jc w:val="both"/>
        <w:rPr>
          <w:rFonts w:ascii="Arial" w:hAnsi="Arial" w:cs="Arial"/>
          <w:b w:val="0"/>
          <w:szCs w:val="24"/>
        </w:rPr>
      </w:pPr>
      <w:r w:rsidRPr="003A691C">
        <w:rPr>
          <w:rFonts w:ascii="Arial" w:hAnsi="Arial" w:cs="Arial"/>
          <w:b w:val="0"/>
          <w:szCs w:val="24"/>
        </w:rPr>
        <w:t>Demandad</w:t>
      </w:r>
      <w:r w:rsidR="009A6D78" w:rsidRPr="003A691C">
        <w:rPr>
          <w:rFonts w:ascii="Arial" w:hAnsi="Arial" w:cs="Arial"/>
          <w:b w:val="0"/>
          <w:szCs w:val="24"/>
        </w:rPr>
        <w:t>o:</w:t>
      </w:r>
      <w:r w:rsidR="009A6D78" w:rsidRPr="003A691C">
        <w:rPr>
          <w:rFonts w:ascii="Arial" w:hAnsi="Arial" w:cs="Arial"/>
          <w:b w:val="0"/>
          <w:szCs w:val="24"/>
        </w:rPr>
        <w:tab/>
      </w:r>
      <w:r w:rsidR="003A691C">
        <w:rPr>
          <w:rFonts w:ascii="Arial" w:hAnsi="Arial" w:cs="Arial"/>
          <w:b w:val="0"/>
          <w:szCs w:val="24"/>
        </w:rPr>
        <w:tab/>
      </w:r>
      <w:r w:rsidR="006001A0" w:rsidRPr="003A691C">
        <w:rPr>
          <w:rFonts w:ascii="Arial" w:hAnsi="Arial" w:cs="Arial"/>
          <w:b w:val="0"/>
          <w:szCs w:val="24"/>
        </w:rPr>
        <w:t>Colpensiones</w:t>
      </w:r>
      <w:r w:rsidR="00EC2CC3" w:rsidRPr="003A691C">
        <w:rPr>
          <w:rFonts w:ascii="Arial" w:hAnsi="Arial" w:cs="Arial"/>
          <w:b w:val="0"/>
          <w:szCs w:val="24"/>
        </w:rPr>
        <w:t xml:space="preserve"> y</w:t>
      </w:r>
      <w:r w:rsidR="006001A0" w:rsidRPr="003A691C">
        <w:rPr>
          <w:rFonts w:ascii="Arial" w:hAnsi="Arial" w:cs="Arial"/>
          <w:b w:val="0"/>
          <w:szCs w:val="24"/>
        </w:rPr>
        <w:t xml:space="preserve"> </w:t>
      </w:r>
      <w:r w:rsidR="00B65EC8" w:rsidRPr="003A691C">
        <w:rPr>
          <w:rFonts w:ascii="Arial" w:hAnsi="Arial" w:cs="Arial"/>
          <w:b w:val="0"/>
          <w:szCs w:val="24"/>
        </w:rPr>
        <w:t>otro</w:t>
      </w:r>
      <w:r w:rsidR="00B95F48" w:rsidRPr="003A691C">
        <w:rPr>
          <w:rFonts w:ascii="Arial" w:hAnsi="Arial" w:cs="Arial"/>
          <w:b w:val="0"/>
          <w:szCs w:val="24"/>
        </w:rPr>
        <w:t>s</w:t>
      </w:r>
    </w:p>
    <w:p w14:paraId="672A6659" w14:textId="2135B43F" w:rsidR="008E4E97" w:rsidRDefault="008E4E97" w:rsidP="003A691C">
      <w:pPr>
        <w:pStyle w:val="Textoindependiente"/>
        <w:spacing w:line="240" w:lineRule="auto"/>
        <w:ind w:right="51"/>
        <w:rPr>
          <w:rFonts w:cs="Arial"/>
          <w:bCs/>
          <w:sz w:val="20"/>
          <w:szCs w:val="24"/>
        </w:rPr>
      </w:pPr>
    </w:p>
    <w:p w14:paraId="24509B19" w14:textId="435AC920" w:rsidR="003A691C" w:rsidRDefault="003A691C" w:rsidP="003A691C">
      <w:pPr>
        <w:pStyle w:val="Textoindependiente"/>
        <w:spacing w:line="240" w:lineRule="auto"/>
        <w:ind w:right="51"/>
        <w:rPr>
          <w:rFonts w:cs="Arial"/>
          <w:bCs/>
          <w:sz w:val="20"/>
          <w:szCs w:val="24"/>
        </w:rPr>
      </w:pPr>
    </w:p>
    <w:p w14:paraId="0CE2AF90" w14:textId="77777777" w:rsidR="003A691C" w:rsidRPr="003A691C" w:rsidRDefault="003A691C" w:rsidP="003A691C">
      <w:pPr>
        <w:pStyle w:val="Textoindependiente"/>
        <w:spacing w:line="240" w:lineRule="auto"/>
        <w:ind w:right="51"/>
        <w:rPr>
          <w:rFonts w:cs="Arial"/>
          <w:bCs/>
          <w:sz w:val="20"/>
          <w:szCs w:val="24"/>
        </w:rPr>
      </w:pPr>
    </w:p>
    <w:p w14:paraId="0A37501D" w14:textId="77777777" w:rsidR="008E4E97" w:rsidRPr="003A691C" w:rsidRDefault="008E4E97" w:rsidP="003A691C">
      <w:pPr>
        <w:spacing w:after="0" w:line="240" w:lineRule="auto"/>
        <w:ind w:left="2829" w:hanging="2829"/>
        <w:jc w:val="both"/>
        <w:rPr>
          <w:rFonts w:ascii="Arial" w:hAnsi="Arial" w:cs="Arial"/>
          <w:bCs/>
          <w:sz w:val="20"/>
          <w:szCs w:val="24"/>
          <w:lang w:val="es-ES_tradnl"/>
        </w:rPr>
      </w:pPr>
    </w:p>
    <w:p w14:paraId="17431B1A" w14:textId="77777777" w:rsidR="00B42B2C" w:rsidRPr="003A691C" w:rsidRDefault="00B42B2C" w:rsidP="003A691C">
      <w:pPr>
        <w:spacing w:after="0"/>
        <w:jc w:val="center"/>
        <w:rPr>
          <w:rFonts w:ascii="Arial" w:hAnsi="Arial" w:cs="Arial"/>
          <w:b/>
          <w:sz w:val="24"/>
          <w:szCs w:val="24"/>
        </w:rPr>
      </w:pPr>
      <w:r w:rsidRPr="003A691C">
        <w:rPr>
          <w:rFonts w:ascii="Arial" w:hAnsi="Arial" w:cs="Arial"/>
          <w:sz w:val="24"/>
          <w:szCs w:val="24"/>
        </w:rPr>
        <w:t xml:space="preserve">MAGISTRADO: </w:t>
      </w:r>
      <w:r w:rsidRPr="003A691C">
        <w:rPr>
          <w:rFonts w:ascii="Arial" w:hAnsi="Arial" w:cs="Arial"/>
          <w:b/>
          <w:sz w:val="24"/>
          <w:szCs w:val="24"/>
        </w:rPr>
        <w:t>JULIO CÉSAR SALAZAR MUÑOZ</w:t>
      </w:r>
    </w:p>
    <w:p w14:paraId="5AE7F496" w14:textId="60D268B0" w:rsidR="00B42B2C" w:rsidRPr="003A691C" w:rsidRDefault="00B42B2C" w:rsidP="003A691C">
      <w:pPr>
        <w:spacing w:after="0"/>
        <w:jc w:val="center"/>
        <w:rPr>
          <w:rFonts w:ascii="Arial" w:hAnsi="Arial" w:cs="Arial"/>
          <w:sz w:val="24"/>
          <w:szCs w:val="24"/>
        </w:rPr>
      </w:pPr>
      <w:r w:rsidRPr="003A691C">
        <w:rPr>
          <w:rFonts w:ascii="Arial" w:hAnsi="Arial" w:cs="Arial"/>
          <w:sz w:val="24"/>
          <w:szCs w:val="24"/>
        </w:rPr>
        <w:t xml:space="preserve">Pereira, </w:t>
      </w:r>
      <w:r w:rsidR="00E92485" w:rsidRPr="003A691C">
        <w:rPr>
          <w:rFonts w:ascii="Arial" w:hAnsi="Arial" w:cs="Arial"/>
          <w:sz w:val="24"/>
          <w:szCs w:val="24"/>
        </w:rPr>
        <w:t>quince</w:t>
      </w:r>
      <w:r w:rsidRPr="003A691C">
        <w:rPr>
          <w:rFonts w:ascii="Arial" w:hAnsi="Arial" w:cs="Arial"/>
          <w:sz w:val="24"/>
          <w:szCs w:val="24"/>
        </w:rPr>
        <w:t xml:space="preserve"> [</w:t>
      </w:r>
      <w:r w:rsidR="00ED72C3" w:rsidRPr="003A691C">
        <w:rPr>
          <w:rFonts w:ascii="Arial" w:hAnsi="Arial" w:cs="Arial"/>
          <w:sz w:val="24"/>
          <w:szCs w:val="24"/>
        </w:rPr>
        <w:t>1</w:t>
      </w:r>
      <w:r w:rsidR="00E92485" w:rsidRPr="003A691C">
        <w:rPr>
          <w:rFonts w:ascii="Arial" w:hAnsi="Arial" w:cs="Arial"/>
          <w:sz w:val="24"/>
          <w:szCs w:val="24"/>
        </w:rPr>
        <w:t>5</w:t>
      </w:r>
      <w:r w:rsidRPr="003A691C">
        <w:rPr>
          <w:rFonts w:ascii="Arial" w:hAnsi="Arial" w:cs="Arial"/>
          <w:sz w:val="24"/>
          <w:szCs w:val="24"/>
        </w:rPr>
        <w:t xml:space="preserve">] de </w:t>
      </w:r>
      <w:r w:rsidR="00A84901" w:rsidRPr="003A691C">
        <w:rPr>
          <w:rFonts w:ascii="Arial" w:hAnsi="Arial" w:cs="Arial"/>
          <w:sz w:val="24"/>
          <w:szCs w:val="24"/>
        </w:rPr>
        <w:t>ju</w:t>
      </w:r>
      <w:r w:rsidR="00023017" w:rsidRPr="003A691C">
        <w:rPr>
          <w:rFonts w:ascii="Arial" w:hAnsi="Arial" w:cs="Arial"/>
          <w:sz w:val="24"/>
          <w:szCs w:val="24"/>
        </w:rPr>
        <w:t>l</w:t>
      </w:r>
      <w:r w:rsidR="00A84901" w:rsidRPr="003A691C">
        <w:rPr>
          <w:rFonts w:ascii="Arial" w:hAnsi="Arial" w:cs="Arial"/>
          <w:sz w:val="24"/>
          <w:szCs w:val="24"/>
        </w:rPr>
        <w:t>io</w:t>
      </w:r>
      <w:r w:rsidRPr="003A691C">
        <w:rPr>
          <w:rFonts w:ascii="Arial" w:hAnsi="Arial" w:cs="Arial"/>
          <w:sz w:val="24"/>
          <w:szCs w:val="24"/>
        </w:rPr>
        <w:t xml:space="preserve"> de dos mil veinti</w:t>
      </w:r>
      <w:r w:rsidR="00F02CF0" w:rsidRPr="003A691C">
        <w:rPr>
          <w:rFonts w:ascii="Arial" w:hAnsi="Arial" w:cs="Arial"/>
          <w:sz w:val="24"/>
          <w:szCs w:val="24"/>
        </w:rPr>
        <w:t>d</w:t>
      </w:r>
      <w:r w:rsidR="005E3D8D" w:rsidRPr="003A691C">
        <w:rPr>
          <w:rFonts w:ascii="Arial" w:hAnsi="Arial" w:cs="Arial"/>
          <w:sz w:val="24"/>
          <w:szCs w:val="24"/>
        </w:rPr>
        <w:t>ó</w:t>
      </w:r>
      <w:r w:rsidR="00F02CF0" w:rsidRPr="003A691C">
        <w:rPr>
          <w:rFonts w:ascii="Arial" w:hAnsi="Arial" w:cs="Arial"/>
          <w:sz w:val="24"/>
          <w:szCs w:val="24"/>
        </w:rPr>
        <w:t>s</w:t>
      </w:r>
      <w:r w:rsidRPr="003A691C">
        <w:rPr>
          <w:rFonts w:ascii="Arial" w:hAnsi="Arial" w:cs="Arial"/>
          <w:sz w:val="24"/>
          <w:szCs w:val="24"/>
        </w:rPr>
        <w:t xml:space="preserve"> [202</w:t>
      </w:r>
      <w:r w:rsidR="00F02CF0" w:rsidRPr="003A691C">
        <w:rPr>
          <w:rFonts w:ascii="Arial" w:hAnsi="Arial" w:cs="Arial"/>
          <w:sz w:val="24"/>
          <w:szCs w:val="24"/>
        </w:rPr>
        <w:t>2</w:t>
      </w:r>
      <w:r w:rsidRPr="003A691C">
        <w:rPr>
          <w:rFonts w:ascii="Arial" w:hAnsi="Arial" w:cs="Arial"/>
          <w:sz w:val="24"/>
          <w:szCs w:val="24"/>
        </w:rPr>
        <w:t>].</w:t>
      </w:r>
    </w:p>
    <w:p w14:paraId="3118B893" w14:textId="77777777" w:rsidR="003A691C" w:rsidRDefault="003A691C" w:rsidP="003A691C">
      <w:pPr>
        <w:tabs>
          <w:tab w:val="left" w:pos="1440"/>
        </w:tabs>
        <w:spacing w:after="0"/>
        <w:jc w:val="both"/>
        <w:rPr>
          <w:rFonts w:ascii="Arial" w:hAnsi="Arial" w:cs="Arial"/>
          <w:snapToGrid w:val="0"/>
          <w:sz w:val="24"/>
          <w:szCs w:val="24"/>
        </w:rPr>
      </w:pPr>
    </w:p>
    <w:p w14:paraId="0F9EFE41" w14:textId="14478E06" w:rsidR="00B42B2C" w:rsidRPr="003A691C" w:rsidRDefault="00B42B2C" w:rsidP="003A691C">
      <w:pPr>
        <w:tabs>
          <w:tab w:val="left" w:pos="1440"/>
        </w:tabs>
        <w:spacing w:after="0"/>
        <w:jc w:val="both"/>
        <w:rPr>
          <w:rFonts w:ascii="Arial" w:hAnsi="Arial" w:cs="Arial"/>
          <w:snapToGrid w:val="0"/>
          <w:sz w:val="24"/>
          <w:szCs w:val="24"/>
        </w:rPr>
      </w:pPr>
    </w:p>
    <w:p w14:paraId="618CBC55" w14:textId="17631D0C" w:rsidR="00B42B2C" w:rsidRPr="003A691C" w:rsidRDefault="00B42B2C" w:rsidP="003A691C">
      <w:pPr>
        <w:spacing w:after="0"/>
        <w:jc w:val="center"/>
        <w:rPr>
          <w:rFonts w:ascii="Arial" w:hAnsi="Arial" w:cs="Arial"/>
          <w:b/>
          <w:sz w:val="24"/>
          <w:szCs w:val="24"/>
        </w:rPr>
      </w:pPr>
      <w:r w:rsidRPr="003A691C">
        <w:rPr>
          <w:rFonts w:ascii="Arial" w:hAnsi="Arial" w:cs="Arial"/>
          <w:b/>
          <w:sz w:val="24"/>
          <w:szCs w:val="24"/>
          <w:u w:val="single"/>
        </w:rPr>
        <w:t xml:space="preserve">SALVAMENTO </w:t>
      </w:r>
      <w:r w:rsidR="00545EFD" w:rsidRPr="003A691C">
        <w:rPr>
          <w:rFonts w:ascii="Arial" w:hAnsi="Arial" w:cs="Arial"/>
          <w:b/>
          <w:sz w:val="24"/>
          <w:szCs w:val="24"/>
          <w:u w:val="single"/>
        </w:rPr>
        <w:t xml:space="preserve">PARCIAL </w:t>
      </w:r>
      <w:r w:rsidRPr="003A691C">
        <w:rPr>
          <w:rFonts w:ascii="Arial" w:hAnsi="Arial" w:cs="Arial"/>
          <w:b/>
          <w:sz w:val="24"/>
          <w:szCs w:val="24"/>
          <w:u w:val="single"/>
        </w:rPr>
        <w:t>DE VOTO</w:t>
      </w:r>
    </w:p>
    <w:p w14:paraId="6F21F5F9" w14:textId="1C6DA876" w:rsidR="00B42B2C" w:rsidRDefault="00B42B2C" w:rsidP="003A691C">
      <w:pPr>
        <w:pStyle w:val="Textoindependiente"/>
        <w:spacing w:line="276" w:lineRule="auto"/>
        <w:rPr>
          <w:rFonts w:cs="Arial"/>
          <w:sz w:val="24"/>
          <w:szCs w:val="24"/>
        </w:rPr>
      </w:pPr>
    </w:p>
    <w:p w14:paraId="35E46E2A" w14:textId="77777777" w:rsidR="003A691C" w:rsidRPr="003A691C" w:rsidRDefault="003A691C" w:rsidP="003A691C">
      <w:pPr>
        <w:pStyle w:val="Textoindependiente"/>
        <w:spacing w:line="276" w:lineRule="auto"/>
        <w:rPr>
          <w:rFonts w:cs="Arial"/>
          <w:sz w:val="24"/>
          <w:szCs w:val="24"/>
        </w:rPr>
      </w:pPr>
    </w:p>
    <w:p w14:paraId="04E63D48" w14:textId="5631085E" w:rsidR="00B42B2C" w:rsidRPr="003A691C" w:rsidRDefault="00B42B2C" w:rsidP="003A691C">
      <w:pPr>
        <w:suppressAutoHyphens/>
        <w:spacing w:after="0"/>
        <w:jc w:val="both"/>
        <w:rPr>
          <w:rFonts w:ascii="Arial" w:hAnsi="Arial" w:cs="Arial"/>
          <w:spacing w:val="-2"/>
          <w:sz w:val="24"/>
          <w:szCs w:val="24"/>
          <w:lang w:val="es-ES_tradnl"/>
        </w:rPr>
      </w:pPr>
      <w:r w:rsidRPr="003A691C">
        <w:rPr>
          <w:rFonts w:ascii="Arial" w:hAnsi="Arial" w:cs="Arial"/>
          <w:spacing w:val="-2"/>
          <w:sz w:val="24"/>
          <w:szCs w:val="24"/>
          <w:lang w:val="es-ES_tradnl"/>
        </w:rPr>
        <w:t xml:space="preserve">Tal como lo propuse en la ponencia que presenté inicialmente, considero que </w:t>
      </w:r>
      <w:r w:rsidRPr="003A691C">
        <w:rPr>
          <w:rFonts w:ascii="Arial" w:hAnsi="Arial" w:cs="Arial"/>
          <w:spacing w:val="-2"/>
          <w:sz w:val="24"/>
          <w:szCs w:val="24"/>
        </w:rPr>
        <w:t xml:space="preserve">el auto proferido por </w:t>
      </w:r>
      <w:r w:rsidRPr="003A691C">
        <w:rPr>
          <w:rFonts w:ascii="Arial" w:hAnsi="Arial" w:cs="Arial"/>
          <w:color w:val="000000"/>
          <w:sz w:val="24"/>
          <w:szCs w:val="24"/>
          <w:shd w:val="clear" w:color="auto" w:fill="FFFFFF"/>
        </w:rPr>
        <w:t xml:space="preserve">el Juzgado Segundo Laboral del Circuito de Pereira el día </w:t>
      </w:r>
      <w:r w:rsidR="00023017" w:rsidRPr="003A691C">
        <w:rPr>
          <w:rFonts w:ascii="Arial" w:hAnsi="Arial" w:cs="Arial"/>
          <w:color w:val="000000"/>
          <w:sz w:val="24"/>
          <w:szCs w:val="24"/>
          <w:shd w:val="clear" w:color="auto" w:fill="FFFFFF"/>
        </w:rPr>
        <w:t>26</w:t>
      </w:r>
      <w:r w:rsidRPr="003A691C">
        <w:rPr>
          <w:rFonts w:ascii="Arial" w:hAnsi="Arial" w:cs="Arial"/>
          <w:color w:val="000000"/>
          <w:sz w:val="24"/>
          <w:szCs w:val="24"/>
          <w:shd w:val="clear" w:color="auto" w:fill="FFFFFF"/>
        </w:rPr>
        <w:t xml:space="preserve"> de </w:t>
      </w:r>
      <w:r w:rsidR="00023017" w:rsidRPr="003A691C">
        <w:rPr>
          <w:rFonts w:ascii="Arial" w:hAnsi="Arial" w:cs="Arial"/>
          <w:color w:val="000000"/>
          <w:sz w:val="24"/>
          <w:szCs w:val="24"/>
          <w:shd w:val="clear" w:color="auto" w:fill="FFFFFF"/>
        </w:rPr>
        <w:t>octu</w:t>
      </w:r>
      <w:r w:rsidR="00ED72C3" w:rsidRPr="003A691C">
        <w:rPr>
          <w:rFonts w:ascii="Arial" w:hAnsi="Arial" w:cs="Arial"/>
          <w:color w:val="000000"/>
          <w:sz w:val="24"/>
          <w:szCs w:val="24"/>
          <w:shd w:val="clear" w:color="auto" w:fill="FFFFFF"/>
        </w:rPr>
        <w:t>bre</w:t>
      </w:r>
      <w:r w:rsidRPr="003A691C">
        <w:rPr>
          <w:rFonts w:ascii="Arial" w:hAnsi="Arial" w:cs="Arial"/>
          <w:color w:val="000000"/>
          <w:sz w:val="24"/>
          <w:szCs w:val="24"/>
          <w:shd w:val="clear" w:color="auto" w:fill="FFFFFF"/>
        </w:rPr>
        <w:t xml:space="preserve"> de 202</w:t>
      </w:r>
      <w:r w:rsidR="00ED72C3" w:rsidRPr="003A691C">
        <w:rPr>
          <w:rFonts w:ascii="Arial" w:hAnsi="Arial" w:cs="Arial"/>
          <w:color w:val="000000"/>
          <w:sz w:val="24"/>
          <w:szCs w:val="24"/>
          <w:shd w:val="clear" w:color="auto" w:fill="FFFFFF"/>
        </w:rPr>
        <w:t>1</w:t>
      </w:r>
      <w:r w:rsidRPr="003A691C">
        <w:rPr>
          <w:rFonts w:ascii="Arial" w:hAnsi="Arial" w:cs="Arial"/>
          <w:spacing w:val="-2"/>
          <w:sz w:val="24"/>
          <w:szCs w:val="24"/>
        </w:rPr>
        <w:t xml:space="preserve">, </w:t>
      </w:r>
      <w:r w:rsidR="00023017" w:rsidRPr="003A691C">
        <w:rPr>
          <w:rFonts w:ascii="Arial" w:hAnsi="Arial" w:cs="Arial"/>
          <w:spacing w:val="-2"/>
          <w:sz w:val="24"/>
          <w:szCs w:val="24"/>
        </w:rPr>
        <w:t xml:space="preserve">en efecto </w:t>
      </w:r>
      <w:r w:rsidRPr="003A691C">
        <w:rPr>
          <w:rFonts w:ascii="Arial" w:hAnsi="Arial" w:cs="Arial"/>
          <w:spacing w:val="-2"/>
          <w:sz w:val="24"/>
          <w:szCs w:val="24"/>
        </w:rPr>
        <w:t>debió ser modificado</w:t>
      </w:r>
      <w:r w:rsidR="00023017" w:rsidRPr="003A691C">
        <w:rPr>
          <w:rFonts w:ascii="Arial" w:hAnsi="Arial" w:cs="Arial"/>
          <w:spacing w:val="-2"/>
          <w:sz w:val="24"/>
          <w:szCs w:val="24"/>
        </w:rPr>
        <w:t xml:space="preserve">, pero fijando el valor de las agencias en valor diferente al que determinó la </w:t>
      </w:r>
      <w:r w:rsidR="00545EFD" w:rsidRPr="003A691C">
        <w:rPr>
          <w:rFonts w:ascii="Arial" w:hAnsi="Arial" w:cs="Arial"/>
          <w:spacing w:val="-2"/>
          <w:sz w:val="24"/>
          <w:szCs w:val="24"/>
        </w:rPr>
        <w:t>providencia</w:t>
      </w:r>
      <w:r w:rsidRPr="003A691C">
        <w:rPr>
          <w:rFonts w:ascii="Arial" w:hAnsi="Arial" w:cs="Arial"/>
          <w:spacing w:val="-2"/>
          <w:sz w:val="24"/>
          <w:szCs w:val="24"/>
          <w:lang w:val="es-ES_tradnl"/>
        </w:rPr>
        <w:t>.</w:t>
      </w:r>
    </w:p>
    <w:p w14:paraId="457409A9" w14:textId="77777777" w:rsidR="003A691C" w:rsidRDefault="003A691C" w:rsidP="003A691C">
      <w:pPr>
        <w:tabs>
          <w:tab w:val="left" w:pos="-720"/>
        </w:tabs>
        <w:suppressAutoHyphens/>
        <w:spacing w:after="0"/>
        <w:jc w:val="both"/>
        <w:rPr>
          <w:rFonts w:ascii="Arial" w:hAnsi="Arial" w:cs="Arial"/>
          <w:spacing w:val="-2"/>
          <w:sz w:val="24"/>
          <w:szCs w:val="24"/>
          <w:lang w:val="es-ES_tradnl"/>
        </w:rPr>
      </w:pPr>
    </w:p>
    <w:p w14:paraId="0FC9B552" w14:textId="505E1C64" w:rsidR="00B42B2C" w:rsidRPr="003A691C" w:rsidRDefault="00B42B2C" w:rsidP="003A691C">
      <w:pPr>
        <w:tabs>
          <w:tab w:val="left" w:pos="-720"/>
        </w:tabs>
        <w:suppressAutoHyphens/>
        <w:spacing w:after="0"/>
        <w:jc w:val="both"/>
        <w:rPr>
          <w:rFonts w:ascii="Arial" w:hAnsi="Arial" w:cs="Arial"/>
          <w:sz w:val="24"/>
          <w:szCs w:val="24"/>
          <w:lang w:val="es-ES_tradnl"/>
        </w:rPr>
      </w:pPr>
      <w:r w:rsidRPr="003A691C">
        <w:rPr>
          <w:rFonts w:ascii="Arial" w:hAnsi="Arial" w:cs="Arial"/>
          <w:spacing w:val="-2"/>
          <w:sz w:val="24"/>
          <w:szCs w:val="24"/>
          <w:lang w:val="es-ES_tradnl"/>
        </w:rPr>
        <w:t xml:space="preserve">Los argumentos que sustentan mi alejamiento </w:t>
      </w:r>
      <w:r w:rsidR="00545EFD" w:rsidRPr="003A691C">
        <w:rPr>
          <w:rFonts w:ascii="Arial" w:hAnsi="Arial" w:cs="Arial"/>
          <w:spacing w:val="-2"/>
          <w:sz w:val="24"/>
          <w:szCs w:val="24"/>
          <w:lang w:val="es-ES_tradnl"/>
        </w:rPr>
        <w:t xml:space="preserve">parcial </w:t>
      </w:r>
      <w:r w:rsidRPr="003A691C">
        <w:rPr>
          <w:rFonts w:ascii="Arial" w:hAnsi="Arial" w:cs="Arial"/>
          <w:spacing w:val="-2"/>
          <w:sz w:val="24"/>
          <w:szCs w:val="24"/>
          <w:lang w:val="es-ES_tradnl"/>
        </w:rPr>
        <w:t>de lo decidido por la mayoría en esta segunda instancia, se basan en los siguientes supuestos jurídicos y análisis del caso, partiendo de la necesidad de resolver como problema jurídico, si:</w:t>
      </w:r>
    </w:p>
    <w:p w14:paraId="483DCD2D" w14:textId="77777777" w:rsidR="00B42B2C" w:rsidRPr="003A691C" w:rsidRDefault="00B42B2C" w:rsidP="003A691C">
      <w:pPr>
        <w:pStyle w:val="paragraph"/>
        <w:spacing w:before="0" w:beforeAutospacing="0" w:after="0" w:afterAutospacing="0" w:line="276" w:lineRule="auto"/>
        <w:ind w:left="420" w:right="330"/>
        <w:textAlignment w:val="baseline"/>
        <w:rPr>
          <w:rStyle w:val="normaltextrun"/>
          <w:rFonts w:ascii="Arial" w:hAnsi="Arial" w:cs="Arial"/>
          <w:b/>
          <w:bCs/>
          <w:iCs/>
        </w:rPr>
      </w:pPr>
    </w:p>
    <w:p w14:paraId="05F50EA5" w14:textId="77777777" w:rsidR="00B42B2C" w:rsidRPr="003A691C" w:rsidRDefault="00B42B2C" w:rsidP="003A691C">
      <w:pPr>
        <w:pStyle w:val="paragraph"/>
        <w:spacing w:before="0" w:beforeAutospacing="0" w:after="0" w:afterAutospacing="0" w:line="276" w:lineRule="auto"/>
        <w:ind w:left="420" w:right="330"/>
        <w:textAlignment w:val="baseline"/>
        <w:rPr>
          <w:rFonts w:ascii="Arial" w:hAnsi="Arial" w:cs="Arial"/>
        </w:rPr>
      </w:pPr>
      <w:r w:rsidRPr="003A691C">
        <w:rPr>
          <w:rStyle w:val="normaltextrun"/>
          <w:rFonts w:ascii="Arial" w:hAnsi="Arial" w:cs="Arial"/>
          <w:b/>
          <w:bCs/>
          <w:iCs/>
        </w:rPr>
        <w:t>¿El monto reconocido a título de agencias en derecho se encuentra a justado a lo establecido en el Acuerdo</w:t>
      </w:r>
      <w:r w:rsidRPr="003A691C">
        <w:rPr>
          <w:rStyle w:val="normaltextrun"/>
          <w:rFonts w:ascii="Arial" w:hAnsi="Arial" w:cs="Arial"/>
        </w:rPr>
        <w:t> </w:t>
      </w:r>
      <w:r w:rsidRPr="003A691C">
        <w:rPr>
          <w:rStyle w:val="normaltextrun"/>
          <w:rFonts w:ascii="Arial" w:hAnsi="Arial" w:cs="Arial"/>
          <w:b/>
          <w:bCs/>
          <w:iCs/>
        </w:rPr>
        <w:t>PSAA 16 – 10554 de 2016?</w:t>
      </w:r>
      <w:r w:rsidRPr="003A691C">
        <w:rPr>
          <w:rStyle w:val="eop"/>
          <w:rFonts w:ascii="Arial" w:hAnsi="Arial" w:cs="Arial"/>
        </w:rPr>
        <w:t> </w:t>
      </w:r>
    </w:p>
    <w:p w14:paraId="253F7482" w14:textId="77777777" w:rsidR="00B42B2C" w:rsidRPr="003A691C" w:rsidRDefault="00B42B2C" w:rsidP="003A691C">
      <w:pPr>
        <w:pStyle w:val="paragraph"/>
        <w:spacing w:before="0" w:beforeAutospacing="0" w:after="0" w:afterAutospacing="0" w:line="276" w:lineRule="auto"/>
        <w:textAlignment w:val="baseline"/>
        <w:rPr>
          <w:rFonts w:ascii="Arial" w:hAnsi="Arial" w:cs="Arial"/>
        </w:rPr>
      </w:pPr>
      <w:r w:rsidRPr="003A691C">
        <w:rPr>
          <w:rStyle w:val="eop"/>
          <w:rFonts w:ascii="Arial" w:hAnsi="Arial" w:cs="Arial"/>
        </w:rPr>
        <w:t> </w:t>
      </w:r>
    </w:p>
    <w:p w14:paraId="0E656B48" w14:textId="77777777" w:rsidR="00B42B2C" w:rsidRPr="003A691C" w:rsidRDefault="00B42B2C" w:rsidP="003A691C">
      <w:pPr>
        <w:pStyle w:val="paragraph"/>
        <w:spacing w:before="0" w:beforeAutospacing="0" w:after="0" w:afterAutospacing="0" w:line="276" w:lineRule="auto"/>
        <w:ind w:right="45"/>
        <w:textAlignment w:val="baseline"/>
        <w:rPr>
          <w:rStyle w:val="normaltextrun"/>
          <w:rFonts w:ascii="Arial" w:hAnsi="Arial" w:cs="Arial"/>
        </w:rPr>
      </w:pPr>
    </w:p>
    <w:p w14:paraId="75D69062" w14:textId="63D16AA4" w:rsidR="00940ECF" w:rsidRPr="003A691C" w:rsidRDefault="00B42B2C" w:rsidP="003A691C">
      <w:pPr>
        <w:spacing w:after="0"/>
        <w:ind w:right="51"/>
        <w:jc w:val="both"/>
        <w:rPr>
          <w:rFonts w:ascii="Arial" w:hAnsi="Arial" w:cs="Arial"/>
          <w:sz w:val="24"/>
          <w:szCs w:val="24"/>
        </w:rPr>
      </w:pPr>
      <w:r w:rsidRPr="003A691C">
        <w:rPr>
          <w:rStyle w:val="normaltextrun"/>
          <w:rFonts w:ascii="Arial" w:hAnsi="Arial" w:cs="Arial"/>
          <w:sz w:val="24"/>
          <w:szCs w:val="24"/>
        </w:rPr>
        <w:t>Para resolver el interrogante formulado propuse hacer las siguientes precisiones:</w:t>
      </w:r>
    </w:p>
    <w:p w14:paraId="4B99056E" w14:textId="77777777" w:rsidR="00940ECF" w:rsidRPr="003A691C" w:rsidRDefault="00940ECF" w:rsidP="003A691C">
      <w:pPr>
        <w:pStyle w:val="NormalWeb"/>
        <w:spacing w:before="0" w:beforeAutospacing="0" w:after="0" w:afterAutospacing="0" w:line="276" w:lineRule="auto"/>
        <w:jc w:val="both"/>
        <w:rPr>
          <w:rFonts w:ascii="Arial" w:hAnsi="Arial" w:cs="Arial"/>
          <w:b/>
          <w:bCs/>
        </w:rPr>
      </w:pPr>
    </w:p>
    <w:p w14:paraId="57CA3AAF" w14:textId="741658CA" w:rsidR="00940ECF" w:rsidRPr="003A691C" w:rsidRDefault="00B42B2C" w:rsidP="00C64613">
      <w:pPr>
        <w:pStyle w:val="NormalWeb"/>
        <w:spacing w:before="0" w:beforeAutospacing="0" w:after="0" w:afterAutospacing="0" w:line="276" w:lineRule="auto"/>
        <w:ind w:left="426" w:right="418"/>
        <w:jc w:val="both"/>
        <w:rPr>
          <w:rFonts w:ascii="Arial" w:hAnsi="Arial" w:cs="Arial"/>
          <w:b/>
          <w:bCs/>
        </w:rPr>
      </w:pPr>
      <w:r w:rsidRPr="003A691C">
        <w:rPr>
          <w:rFonts w:ascii="Arial" w:hAnsi="Arial" w:cs="Arial"/>
          <w:b/>
          <w:bCs/>
        </w:rPr>
        <w:t xml:space="preserve">“1. </w:t>
      </w:r>
      <w:r w:rsidR="00940ECF" w:rsidRPr="003A691C">
        <w:rPr>
          <w:rFonts w:ascii="Arial" w:hAnsi="Arial" w:cs="Arial"/>
          <w:b/>
          <w:bCs/>
        </w:rPr>
        <w:t>FIJACION DE AGENCIAS EN DERECHO </w:t>
      </w:r>
      <w:bookmarkStart w:id="2" w:name="BM392"/>
      <w:r w:rsidR="00940ECF" w:rsidRPr="003A691C">
        <w:rPr>
          <w:rFonts w:ascii="Arial" w:hAnsi="Arial" w:cs="Arial"/>
          <w:b/>
          <w:bCs/>
        </w:rPr>
        <w:t> </w:t>
      </w:r>
      <w:bookmarkStart w:id="3" w:name="392"/>
      <w:bookmarkEnd w:id="2"/>
      <w:r w:rsidR="00940ECF" w:rsidRPr="003A691C">
        <w:rPr>
          <w:rFonts w:ascii="Arial" w:hAnsi="Arial" w:cs="Arial"/>
          <w:b/>
          <w:bCs/>
        </w:rPr>
        <w:t> </w:t>
      </w:r>
      <w:bookmarkEnd w:id="3"/>
    </w:p>
    <w:p w14:paraId="1299C43A" w14:textId="77777777" w:rsidR="00940ECF" w:rsidRPr="003A691C" w:rsidRDefault="00940ECF" w:rsidP="00C64613">
      <w:pPr>
        <w:pStyle w:val="Textoindependiente"/>
        <w:spacing w:line="276" w:lineRule="auto"/>
        <w:ind w:left="426" w:right="418"/>
        <w:rPr>
          <w:rFonts w:cs="Arial"/>
          <w:sz w:val="24"/>
          <w:szCs w:val="24"/>
        </w:rPr>
      </w:pPr>
    </w:p>
    <w:p w14:paraId="665E2B47" w14:textId="77777777" w:rsidR="00940ECF" w:rsidRPr="003A691C" w:rsidRDefault="00940ECF" w:rsidP="00C64613">
      <w:pPr>
        <w:pStyle w:val="Textoindependiente"/>
        <w:spacing w:line="276" w:lineRule="auto"/>
        <w:ind w:left="426" w:right="418"/>
        <w:rPr>
          <w:rFonts w:cs="Arial"/>
          <w:sz w:val="24"/>
          <w:szCs w:val="24"/>
        </w:rPr>
      </w:pPr>
      <w:r w:rsidRPr="003A691C">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4DDBEF00" w14:textId="77777777" w:rsidR="00940ECF" w:rsidRPr="003A691C" w:rsidRDefault="00940ECF" w:rsidP="00C64613">
      <w:pPr>
        <w:pStyle w:val="Textoindependiente"/>
        <w:spacing w:line="276" w:lineRule="auto"/>
        <w:ind w:left="426" w:right="418"/>
        <w:rPr>
          <w:rFonts w:cs="Arial"/>
          <w:sz w:val="24"/>
          <w:szCs w:val="24"/>
        </w:rPr>
      </w:pPr>
    </w:p>
    <w:p w14:paraId="089D62F8" w14:textId="372D3919" w:rsidR="00940ECF" w:rsidRPr="003A691C" w:rsidRDefault="00940ECF" w:rsidP="00C64613">
      <w:pPr>
        <w:pStyle w:val="Textoindependiente"/>
        <w:spacing w:line="276" w:lineRule="auto"/>
        <w:ind w:left="426" w:right="418"/>
        <w:rPr>
          <w:rFonts w:cs="Arial"/>
          <w:sz w:val="24"/>
          <w:szCs w:val="24"/>
        </w:rPr>
      </w:pPr>
      <w:r w:rsidRPr="003A691C">
        <w:rPr>
          <w:rFonts w:cs="Arial"/>
          <w:sz w:val="24"/>
          <w:szCs w:val="24"/>
        </w:rPr>
        <w:t>Es indiscutible que</w:t>
      </w:r>
      <w:r w:rsidR="00DF7181" w:rsidRPr="003A691C">
        <w:rPr>
          <w:rFonts w:cs="Arial"/>
          <w:sz w:val="24"/>
          <w:szCs w:val="24"/>
        </w:rPr>
        <w:t>,</w:t>
      </w:r>
      <w:r w:rsidRPr="003A691C">
        <w:rPr>
          <w:rFonts w:cs="Arial"/>
          <w:sz w:val="24"/>
          <w:szCs w:val="24"/>
        </w:rPr>
        <w:t xml:space="preserve"> 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p>
    <w:p w14:paraId="3461D779" w14:textId="77777777" w:rsidR="00940ECF" w:rsidRPr="003A691C" w:rsidRDefault="00940ECF" w:rsidP="00C64613">
      <w:pPr>
        <w:pStyle w:val="Textoindependiente"/>
        <w:spacing w:line="276" w:lineRule="auto"/>
        <w:ind w:left="426" w:right="418"/>
        <w:rPr>
          <w:rFonts w:cs="Arial"/>
          <w:sz w:val="24"/>
          <w:szCs w:val="24"/>
        </w:rPr>
      </w:pPr>
    </w:p>
    <w:p w14:paraId="113FFCCD" w14:textId="77777777" w:rsidR="00AB1A9D" w:rsidRPr="003A691C" w:rsidRDefault="00481CC1" w:rsidP="00C64613">
      <w:pPr>
        <w:pStyle w:val="Textoindependiente"/>
        <w:spacing w:line="276" w:lineRule="auto"/>
        <w:ind w:left="426" w:right="418"/>
        <w:rPr>
          <w:rFonts w:cs="Arial"/>
          <w:color w:val="FF0000"/>
          <w:sz w:val="24"/>
          <w:szCs w:val="24"/>
        </w:rPr>
      </w:pPr>
      <w:r w:rsidRPr="003A691C">
        <w:rPr>
          <w:rFonts w:cs="Arial"/>
          <w:sz w:val="24"/>
          <w:szCs w:val="24"/>
        </w:rPr>
        <w:lastRenderedPageBreak/>
        <w:t>Ahora bien, la normatividad vigente respecto a las tarifas de agencias en derecho es el Acuerdo PSAA16-10554 de 2016</w:t>
      </w:r>
      <w:r w:rsidR="00AB1A9D" w:rsidRPr="003A691C">
        <w:rPr>
          <w:rFonts w:cs="Arial"/>
          <w:sz w:val="24"/>
          <w:szCs w:val="24"/>
        </w:rPr>
        <w:t xml:space="preserve">, expedido por el Consejo Superior de la Judicatura, acto administrativo que empezó a regir a partir de la fecha de su publicación que lo fue el 5 de agosto de esa anualidad y aplicaba para los procesos iniciados a partir de esta data. </w:t>
      </w:r>
    </w:p>
    <w:p w14:paraId="3CF2D8B6" w14:textId="77777777" w:rsidR="00AB1A9D" w:rsidRPr="003A691C" w:rsidRDefault="00AB1A9D" w:rsidP="00C64613">
      <w:pPr>
        <w:pStyle w:val="Textoindependiente"/>
        <w:spacing w:line="276" w:lineRule="auto"/>
        <w:ind w:left="426" w:right="418"/>
        <w:rPr>
          <w:rFonts w:cs="Arial"/>
          <w:sz w:val="24"/>
          <w:szCs w:val="24"/>
        </w:rPr>
      </w:pPr>
    </w:p>
    <w:p w14:paraId="08CE3323" w14:textId="77777777" w:rsidR="00F20DFB" w:rsidRPr="003A691C" w:rsidRDefault="00B57E10" w:rsidP="00C64613">
      <w:pPr>
        <w:pStyle w:val="Textoindependiente"/>
        <w:spacing w:line="276" w:lineRule="auto"/>
        <w:ind w:left="426" w:right="418"/>
        <w:rPr>
          <w:rFonts w:cs="Arial"/>
          <w:iCs/>
          <w:sz w:val="24"/>
          <w:szCs w:val="24"/>
        </w:rPr>
      </w:pPr>
      <w:r w:rsidRPr="003A691C">
        <w:rPr>
          <w:rFonts w:cs="Arial"/>
          <w:sz w:val="24"/>
          <w:szCs w:val="24"/>
        </w:rPr>
        <w:t xml:space="preserve">Dicho </w:t>
      </w:r>
      <w:r w:rsidR="00940ECF" w:rsidRPr="003A691C">
        <w:rPr>
          <w:rFonts w:cs="Arial"/>
          <w:sz w:val="24"/>
          <w:szCs w:val="24"/>
        </w:rPr>
        <w:t xml:space="preserve">Acuerdo, </w:t>
      </w:r>
      <w:r w:rsidR="00940ECF" w:rsidRPr="003A691C">
        <w:rPr>
          <w:rFonts w:cs="Arial"/>
          <w:iCs/>
          <w:sz w:val="24"/>
          <w:szCs w:val="24"/>
        </w:rPr>
        <w:t>“Por el cual se establecen las tarifas de agencias en derecho”</w:t>
      </w:r>
      <w:r w:rsidR="00940ECF" w:rsidRPr="003A691C">
        <w:rPr>
          <w:rFonts w:cs="Arial"/>
          <w:sz w:val="24"/>
          <w:szCs w:val="24"/>
        </w:rPr>
        <w:t xml:space="preserve">, en el </w:t>
      </w:r>
      <w:r w:rsidR="00E83D44" w:rsidRPr="003A691C">
        <w:rPr>
          <w:rFonts w:cs="Arial"/>
          <w:sz w:val="24"/>
          <w:szCs w:val="24"/>
        </w:rPr>
        <w:t>numeral 1º de del artículo 5º se establece</w:t>
      </w:r>
      <w:r w:rsidR="00940ECF" w:rsidRPr="003A691C">
        <w:rPr>
          <w:rFonts w:cs="Arial"/>
          <w:sz w:val="24"/>
          <w:szCs w:val="24"/>
        </w:rPr>
        <w:t xml:space="preserve">: </w:t>
      </w:r>
      <w:r w:rsidR="00940ECF" w:rsidRPr="003A691C">
        <w:rPr>
          <w:rFonts w:cs="Arial"/>
          <w:iCs/>
          <w:sz w:val="24"/>
          <w:szCs w:val="24"/>
        </w:rPr>
        <w:t>“</w:t>
      </w:r>
      <w:r w:rsidR="00E83D44" w:rsidRPr="003A691C">
        <w:rPr>
          <w:rFonts w:cs="Arial"/>
          <w:iCs/>
          <w:sz w:val="24"/>
          <w:szCs w:val="24"/>
        </w:rPr>
        <w:t xml:space="preserve">b) por la naturaleza del asunto.  En aquellos asuntos que carezcan de cuantía o pretensiones pecuniarias, entre 1 y 10 S.M.M.L.V” </w:t>
      </w:r>
    </w:p>
    <w:p w14:paraId="0FB78278" w14:textId="77777777" w:rsidR="00E83D44" w:rsidRPr="003A691C" w:rsidRDefault="00E83D44" w:rsidP="00C64613">
      <w:pPr>
        <w:pStyle w:val="Textoindependiente"/>
        <w:spacing w:line="276" w:lineRule="auto"/>
        <w:ind w:left="426" w:right="418"/>
        <w:rPr>
          <w:rFonts w:cs="Arial"/>
          <w:sz w:val="24"/>
          <w:szCs w:val="24"/>
        </w:rPr>
      </w:pPr>
    </w:p>
    <w:p w14:paraId="7CC34083" w14:textId="77777777" w:rsidR="00940ECF" w:rsidRPr="003A691C" w:rsidRDefault="00F20DFB" w:rsidP="00C64613">
      <w:pPr>
        <w:pStyle w:val="Textoindependiente"/>
        <w:spacing w:line="276" w:lineRule="auto"/>
        <w:ind w:left="426" w:right="418"/>
        <w:rPr>
          <w:rFonts w:cs="Arial"/>
          <w:sz w:val="24"/>
          <w:szCs w:val="24"/>
        </w:rPr>
      </w:pPr>
      <w:r w:rsidRPr="003A691C">
        <w:rPr>
          <w:rFonts w:cs="Arial"/>
          <w:sz w:val="24"/>
          <w:szCs w:val="24"/>
        </w:rPr>
        <w:t>En segunda instancia, la misma norma prevé</w:t>
      </w:r>
      <w:r w:rsidR="00940ECF" w:rsidRPr="003A691C">
        <w:rPr>
          <w:rFonts w:cs="Arial"/>
          <w:iCs/>
          <w:sz w:val="24"/>
          <w:szCs w:val="24"/>
        </w:rPr>
        <w:t xml:space="preserve"> </w:t>
      </w:r>
      <w:r w:rsidRPr="003A691C">
        <w:rPr>
          <w:rFonts w:cs="Arial"/>
          <w:iCs/>
          <w:sz w:val="24"/>
          <w:szCs w:val="24"/>
        </w:rPr>
        <w:t>“</w:t>
      </w:r>
      <w:r w:rsidR="00E83D44" w:rsidRPr="003A691C">
        <w:rPr>
          <w:rFonts w:cs="Arial"/>
          <w:iCs/>
          <w:sz w:val="24"/>
          <w:szCs w:val="24"/>
        </w:rPr>
        <w:t xml:space="preserve">Entre 1 y 6 S.M.M.L.V” </w:t>
      </w:r>
    </w:p>
    <w:p w14:paraId="1FC39945" w14:textId="77777777" w:rsidR="003C52E2" w:rsidRPr="003A691C" w:rsidRDefault="003C52E2" w:rsidP="00C64613">
      <w:pPr>
        <w:pStyle w:val="Textoindependiente"/>
        <w:spacing w:line="276" w:lineRule="auto"/>
        <w:ind w:left="426" w:right="418"/>
        <w:rPr>
          <w:rFonts w:cs="Arial"/>
          <w:sz w:val="24"/>
          <w:szCs w:val="24"/>
        </w:rPr>
      </w:pPr>
    </w:p>
    <w:p w14:paraId="131C431E" w14:textId="77777777" w:rsidR="00CE4110" w:rsidRPr="003A691C" w:rsidRDefault="00E83D44" w:rsidP="00C64613">
      <w:pPr>
        <w:pStyle w:val="Textoindependiente"/>
        <w:spacing w:line="276" w:lineRule="auto"/>
        <w:ind w:left="426" w:right="418"/>
        <w:rPr>
          <w:rFonts w:cs="Arial"/>
          <w:sz w:val="24"/>
          <w:szCs w:val="24"/>
        </w:rPr>
      </w:pPr>
      <w:r w:rsidRPr="003A691C">
        <w:rPr>
          <w:rFonts w:cs="Arial"/>
          <w:sz w:val="24"/>
          <w:szCs w:val="24"/>
        </w:rPr>
        <w:t>C</w:t>
      </w:r>
      <w:r w:rsidR="00940ECF" w:rsidRPr="003A691C">
        <w:rPr>
          <w:rFonts w:cs="Arial"/>
          <w:sz w:val="24"/>
          <w:szCs w:val="24"/>
        </w:rPr>
        <w:t>omo puede verse,</w:t>
      </w:r>
      <w:r w:rsidRPr="003A691C">
        <w:rPr>
          <w:rFonts w:cs="Arial"/>
          <w:sz w:val="24"/>
          <w:szCs w:val="24"/>
        </w:rPr>
        <w:t xml:space="preserve"> la norma</w:t>
      </w:r>
      <w:r w:rsidR="00940ECF" w:rsidRPr="003A691C">
        <w:rPr>
          <w:rFonts w:cs="Arial"/>
          <w:sz w:val="24"/>
          <w:szCs w:val="24"/>
        </w:rPr>
        <w:t xml:space="preserve"> otorga al operador jurídico la facultad de moverse entre los topes mínimos y máximos establecidos en el Acuerdo </w:t>
      </w:r>
      <w:r w:rsidRPr="003A691C">
        <w:rPr>
          <w:rFonts w:cs="Arial"/>
          <w:sz w:val="24"/>
          <w:szCs w:val="24"/>
        </w:rPr>
        <w:t>No PSAA16-10554 de 2016</w:t>
      </w:r>
      <w:r w:rsidR="00940ECF" w:rsidRPr="003A691C">
        <w:rPr>
          <w:rFonts w:cs="Arial"/>
          <w:sz w:val="24"/>
          <w:szCs w:val="24"/>
        </w:rPr>
        <w:t>, debiendo antes, analizar los pre</w:t>
      </w:r>
      <w:r w:rsidR="00CE4110" w:rsidRPr="003A691C">
        <w:rPr>
          <w:rFonts w:cs="Arial"/>
          <w:sz w:val="24"/>
          <w:szCs w:val="24"/>
        </w:rPr>
        <w:t>supuestos a tener en cuenta antes trascritos, así como los establecidos en el artículo 2º ibídem, que en su tenor literal dispone: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p>
    <w:p w14:paraId="29D6B04F" w14:textId="77777777" w:rsidR="00940ECF" w:rsidRPr="003A691C" w:rsidRDefault="00CE4110" w:rsidP="00C64613">
      <w:pPr>
        <w:pStyle w:val="Textoindependiente"/>
        <w:spacing w:line="276" w:lineRule="auto"/>
        <w:ind w:left="426" w:right="418"/>
        <w:rPr>
          <w:rFonts w:cs="Arial"/>
          <w:sz w:val="24"/>
          <w:szCs w:val="24"/>
        </w:rPr>
      </w:pPr>
      <w:r w:rsidRPr="003A691C">
        <w:rPr>
          <w:rFonts w:cs="Arial"/>
          <w:sz w:val="24"/>
          <w:szCs w:val="24"/>
        </w:rPr>
        <w:t xml:space="preserve"> </w:t>
      </w:r>
    </w:p>
    <w:p w14:paraId="42E66179" w14:textId="33E730AF" w:rsidR="00CE4110" w:rsidRPr="003A691C" w:rsidRDefault="00CE4110" w:rsidP="00C64613">
      <w:pPr>
        <w:pStyle w:val="Textoindependiente"/>
        <w:spacing w:line="276" w:lineRule="auto"/>
        <w:ind w:left="426" w:right="418"/>
        <w:rPr>
          <w:rFonts w:cs="Arial"/>
          <w:sz w:val="24"/>
          <w:szCs w:val="24"/>
        </w:rPr>
      </w:pPr>
      <w:r w:rsidRPr="003A691C">
        <w:rPr>
          <w:rFonts w:cs="Arial"/>
          <w:sz w:val="24"/>
          <w:szCs w:val="24"/>
        </w:rPr>
        <w:t>Finalmente, en el parágrafo del artículo 3º de la disposición que se viene citando, se establece “Para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00B42B2C" w:rsidRPr="003A691C">
        <w:rPr>
          <w:rFonts w:cs="Arial"/>
          <w:sz w:val="24"/>
          <w:szCs w:val="24"/>
        </w:rPr>
        <w:t>”</w:t>
      </w:r>
    </w:p>
    <w:p w14:paraId="0562CB0E" w14:textId="77777777" w:rsidR="00940ECF" w:rsidRPr="003A691C" w:rsidRDefault="00940ECF" w:rsidP="003A691C">
      <w:pPr>
        <w:pStyle w:val="Textoindependiente"/>
        <w:spacing w:line="276" w:lineRule="auto"/>
        <w:rPr>
          <w:rFonts w:cs="Arial"/>
          <w:iCs/>
          <w:sz w:val="24"/>
          <w:szCs w:val="24"/>
        </w:rPr>
      </w:pPr>
    </w:p>
    <w:p w14:paraId="4E37DF62" w14:textId="77777777" w:rsidR="00B42B2C" w:rsidRPr="003A691C" w:rsidRDefault="00B42B2C" w:rsidP="003A691C">
      <w:pPr>
        <w:pStyle w:val="Textoindependiente"/>
        <w:spacing w:line="276" w:lineRule="auto"/>
        <w:rPr>
          <w:rFonts w:cs="Arial"/>
          <w:sz w:val="24"/>
          <w:szCs w:val="24"/>
        </w:rPr>
      </w:pPr>
      <w:r w:rsidRPr="003A691C">
        <w:rPr>
          <w:rStyle w:val="normaltextrun"/>
          <w:rFonts w:cs="Arial"/>
          <w:bCs/>
          <w:sz w:val="24"/>
          <w:szCs w:val="24"/>
        </w:rPr>
        <w:t>Con base en lo anterior, en mi proyecto, propuse resolver</w:t>
      </w:r>
      <w:r w:rsidRPr="003A691C">
        <w:rPr>
          <w:rStyle w:val="normaltextrun"/>
          <w:rFonts w:cs="Arial"/>
          <w:b/>
          <w:bCs/>
          <w:sz w:val="24"/>
          <w:szCs w:val="24"/>
        </w:rPr>
        <w:t xml:space="preserve"> EL CASO CONCRETO</w:t>
      </w:r>
      <w:r w:rsidRPr="003A691C">
        <w:rPr>
          <w:rStyle w:val="eop"/>
          <w:rFonts w:cs="Arial"/>
          <w:sz w:val="24"/>
          <w:szCs w:val="24"/>
        </w:rPr>
        <w:t> como transcribo a continuación:</w:t>
      </w:r>
    </w:p>
    <w:p w14:paraId="34CE0A41" w14:textId="77777777" w:rsidR="00940ECF" w:rsidRPr="003A691C" w:rsidRDefault="00940ECF" w:rsidP="003A691C">
      <w:pPr>
        <w:pStyle w:val="Textoindependiente"/>
        <w:spacing w:line="276" w:lineRule="auto"/>
        <w:rPr>
          <w:rFonts w:cs="Arial"/>
          <w:sz w:val="24"/>
          <w:szCs w:val="24"/>
        </w:rPr>
      </w:pPr>
    </w:p>
    <w:p w14:paraId="724296F2" w14:textId="77777777" w:rsidR="00023017" w:rsidRPr="003A691C" w:rsidRDefault="004D3DA3" w:rsidP="00C64613">
      <w:pPr>
        <w:spacing w:after="0"/>
        <w:ind w:left="426" w:right="418"/>
        <w:jc w:val="both"/>
        <w:rPr>
          <w:rFonts w:ascii="Arial" w:eastAsia="Times New Roman" w:hAnsi="Arial" w:cs="Arial"/>
          <w:sz w:val="24"/>
          <w:szCs w:val="24"/>
          <w:lang w:val="es-ES" w:eastAsia="es-ES"/>
        </w:rPr>
      </w:pPr>
      <w:r w:rsidRPr="003A691C">
        <w:rPr>
          <w:rFonts w:ascii="Arial" w:eastAsia="Times New Roman" w:hAnsi="Arial" w:cs="Arial"/>
          <w:sz w:val="24"/>
          <w:szCs w:val="24"/>
          <w:lang w:val="es-ES" w:eastAsia="es-ES"/>
        </w:rPr>
        <w:t>“</w:t>
      </w:r>
      <w:r w:rsidR="00023017" w:rsidRPr="003A691C">
        <w:rPr>
          <w:rFonts w:ascii="Arial" w:eastAsia="Times New Roman" w:hAnsi="Arial" w:cs="Arial"/>
          <w:sz w:val="24"/>
          <w:szCs w:val="24"/>
          <w:lang w:eastAsia="es-ES"/>
        </w:rPr>
        <w:t>Se procede al estudio de la inconformidad planteada por la parte demandante, respecto a la tasación de las agencias en derecho, y para el efecto, en primer lugar, debe resaltarse que no existe discusión frente al hecho de que la norma que regula el asunto es el Acuerdo PSAA16-10554 de 2016, por encontrarse vigente para momento de presentación de la demanda y que, en segundo lugar, la asignación de dicho concepto</w:t>
      </w:r>
      <w:r w:rsidR="00023017" w:rsidRPr="003A691C">
        <w:rPr>
          <w:rFonts w:ascii="Arial" w:eastAsia="Times New Roman" w:hAnsi="Arial" w:cs="Arial"/>
          <w:sz w:val="24"/>
          <w:szCs w:val="24"/>
          <w:lang w:val="es-ES" w:eastAsia="es-ES"/>
        </w:rPr>
        <w:t> debe estar precedido del análisis de los criterios establecidos en el artículo 366 del Código General del Proceso, estudio que no efectuó el juzgado al momento de fijar dicho monto, sino al resolver el recurso de reposición formulado por la parte actora. </w:t>
      </w:r>
    </w:p>
    <w:p w14:paraId="7FA5C569" w14:textId="77777777" w:rsidR="00023017" w:rsidRPr="003A691C" w:rsidRDefault="00023017" w:rsidP="00C64613">
      <w:pPr>
        <w:spacing w:after="0"/>
        <w:ind w:left="426" w:right="418"/>
        <w:jc w:val="both"/>
        <w:rPr>
          <w:rFonts w:ascii="Arial" w:eastAsia="Times New Roman" w:hAnsi="Arial" w:cs="Arial"/>
          <w:sz w:val="24"/>
          <w:szCs w:val="24"/>
          <w:lang w:val="es-ES" w:eastAsia="es-ES"/>
        </w:rPr>
      </w:pPr>
    </w:p>
    <w:p w14:paraId="159344F5" w14:textId="77777777" w:rsidR="00023017" w:rsidRPr="003A691C" w:rsidRDefault="00023017" w:rsidP="00C64613">
      <w:pPr>
        <w:spacing w:after="0"/>
        <w:ind w:left="426" w:right="418"/>
        <w:jc w:val="both"/>
        <w:rPr>
          <w:rFonts w:ascii="Arial" w:eastAsia="Times New Roman" w:hAnsi="Arial" w:cs="Arial"/>
          <w:sz w:val="24"/>
          <w:szCs w:val="24"/>
          <w:lang w:val="es-ES_tradnl" w:eastAsia="es-ES"/>
        </w:rPr>
      </w:pPr>
      <w:r w:rsidRPr="003A691C">
        <w:rPr>
          <w:rFonts w:ascii="Arial" w:eastAsia="Times New Roman" w:hAnsi="Arial" w:cs="Arial"/>
          <w:sz w:val="24"/>
          <w:szCs w:val="24"/>
          <w:lang w:val="es-ES_tradnl" w:eastAsia="es-ES"/>
        </w:rPr>
        <w:t xml:space="preserve">En armonía con dicho análisis, al considerar los parámetros establecidos en el ordinal 4º del artículo 366 del C.G.P., se tiene que en la primera instancia, </w:t>
      </w:r>
      <w:r w:rsidRPr="003A691C">
        <w:rPr>
          <w:rFonts w:ascii="Arial" w:eastAsia="Times New Roman" w:hAnsi="Arial" w:cs="Arial"/>
          <w:sz w:val="24"/>
          <w:szCs w:val="24"/>
          <w:lang w:val="es-ES_tradnl" w:eastAsia="es-ES"/>
        </w:rPr>
        <w:lastRenderedPageBreak/>
        <w:t>el proceso tuvo una duración poco menos de 7 meses –</w:t>
      </w:r>
      <w:r w:rsidRPr="003A691C">
        <w:rPr>
          <w:rFonts w:ascii="Arial" w:eastAsia="Times New Roman" w:hAnsi="Arial" w:cs="Arial"/>
          <w:iCs/>
          <w:sz w:val="24"/>
          <w:szCs w:val="24"/>
          <w:lang w:val="es-ES_tradnl" w:eastAsia="es-ES"/>
        </w:rPr>
        <w:t>en los que se cuenta un periodo de vacancia judicial de final de año</w:t>
      </w:r>
      <w:r w:rsidRPr="003A691C">
        <w:rPr>
          <w:rFonts w:ascii="Arial" w:eastAsia="Times New Roman" w:hAnsi="Arial" w:cs="Arial"/>
          <w:sz w:val="24"/>
          <w:szCs w:val="24"/>
          <w:lang w:val="es-ES_tradnl" w:eastAsia="es-ES"/>
        </w:rPr>
        <w:t>-, en el cual se recolectó el material probatorio necesario para definir el asunto, de manera específica en  audiencia y que consistió en  el interrogatorio de parte a la demandante por parte de la AFP Colfondos S.A. y la recepción de los testimonios de los señores Álvaro García López, Juan Alberto Gil, Luis Ángel Giraldo Bustamante y Raúl Ramírez León lo que indica que la definición del asunto no era de tal identidad que se pueda pregonar que se requirió de un debate probatorio complejo, pues con los documentos recolectados en la etapa correspondiente, el interrogatorio realizado a  la actora y las declaraciones recibidas bastaron para que se tomara decisión de fondo que tampoco mereció mayores disquisiciones en la instancia anterior.  Por lo demás, la apoderada de la parte demandante estuvo presente en las audiencias de que tratan los artículos 77 y 80 del CPT y la SS.</w:t>
      </w:r>
    </w:p>
    <w:p w14:paraId="4DC92F90" w14:textId="77777777" w:rsidR="00023017" w:rsidRPr="003A691C" w:rsidRDefault="00023017" w:rsidP="00C64613">
      <w:pPr>
        <w:spacing w:after="0"/>
        <w:ind w:left="426" w:right="418"/>
        <w:jc w:val="both"/>
        <w:rPr>
          <w:rFonts w:ascii="Arial" w:eastAsia="Times New Roman" w:hAnsi="Arial" w:cs="Arial"/>
          <w:sz w:val="24"/>
          <w:szCs w:val="24"/>
          <w:lang w:val="es-ES_tradnl" w:eastAsia="es-ES"/>
        </w:rPr>
      </w:pPr>
    </w:p>
    <w:p w14:paraId="3A3288DF" w14:textId="77777777" w:rsidR="00023017" w:rsidRPr="003A691C" w:rsidRDefault="00023017" w:rsidP="00C64613">
      <w:pPr>
        <w:spacing w:after="0"/>
        <w:ind w:left="426" w:right="418"/>
        <w:jc w:val="both"/>
        <w:rPr>
          <w:rFonts w:ascii="Arial" w:eastAsia="Times New Roman" w:hAnsi="Arial" w:cs="Arial"/>
          <w:sz w:val="24"/>
          <w:szCs w:val="24"/>
          <w:lang w:val="es-ES" w:eastAsia="es-ES"/>
        </w:rPr>
      </w:pPr>
      <w:r w:rsidRPr="003A691C">
        <w:rPr>
          <w:rFonts w:ascii="Arial" w:eastAsia="Times New Roman" w:hAnsi="Arial" w:cs="Arial"/>
          <w:sz w:val="24"/>
          <w:szCs w:val="24"/>
          <w:lang w:val="es-ES" w:eastAsia="es-ES"/>
        </w:rPr>
        <w:t>En ese sentido entonces, bajo la concepción -</w:t>
      </w:r>
      <w:r w:rsidRPr="003A691C">
        <w:rPr>
          <w:rFonts w:ascii="Arial" w:eastAsia="Times New Roman" w:hAnsi="Arial" w:cs="Arial"/>
          <w:iCs/>
          <w:sz w:val="24"/>
          <w:szCs w:val="24"/>
          <w:lang w:val="es-ES" w:eastAsia="es-ES"/>
        </w:rPr>
        <w:t>no discutida por ninguna de las partes en este asunto</w:t>
      </w:r>
      <w:r w:rsidRPr="003A691C">
        <w:rPr>
          <w:rFonts w:ascii="Arial" w:eastAsia="Times New Roman" w:hAnsi="Arial" w:cs="Arial"/>
          <w:sz w:val="24"/>
          <w:szCs w:val="24"/>
          <w:lang w:val="es-ES" w:eastAsia="es-ES"/>
        </w:rPr>
        <w:t xml:space="preserve">- que la actual óptica de la Corte implica que las sentencias que se profieren en esta clase de asuntos, solo contemplan obligaciones de hacer, y que para estos eventos, la norma que corresponde aplicar establece un tope máximo de diez (10) SMLMV a cargo de la </w:t>
      </w:r>
      <w:r w:rsidRPr="003A691C">
        <w:rPr>
          <w:rFonts w:ascii="Arial" w:eastAsia="Times New Roman" w:hAnsi="Arial" w:cs="Arial"/>
          <w:b/>
          <w:bCs/>
          <w:sz w:val="24"/>
          <w:szCs w:val="24"/>
          <w:lang w:val="es-ES" w:eastAsia="es-ES"/>
        </w:rPr>
        <w:t xml:space="preserve">parte </w:t>
      </w:r>
      <w:r w:rsidRPr="003A691C">
        <w:rPr>
          <w:rFonts w:ascii="Arial" w:eastAsia="Times New Roman" w:hAnsi="Arial" w:cs="Arial"/>
          <w:sz w:val="24"/>
          <w:szCs w:val="24"/>
          <w:lang w:val="es-ES" w:eastAsia="es-ES"/>
        </w:rPr>
        <w:t>vencida, la Sala, dada la duración y actividad desplegada por la actora, considera que a título de agencias en derecho debe fijarse el equivalente a tres (3) salarios mínimos mensuales legales vigentes para el año  2021 esto es $2.725.578 que corresponde al 100% de las costas fijadas a cargo de Colpensiones y la AFP Colfondos S.A.</w:t>
      </w:r>
    </w:p>
    <w:p w14:paraId="3FB99985" w14:textId="77777777" w:rsidR="00023017" w:rsidRPr="003A691C" w:rsidRDefault="00023017" w:rsidP="00C64613">
      <w:pPr>
        <w:spacing w:after="0"/>
        <w:ind w:left="426" w:right="418"/>
        <w:jc w:val="both"/>
        <w:rPr>
          <w:rFonts w:ascii="Arial" w:eastAsia="Times New Roman" w:hAnsi="Arial" w:cs="Arial"/>
          <w:sz w:val="24"/>
          <w:szCs w:val="24"/>
          <w:lang w:val="es-ES" w:eastAsia="es-ES"/>
        </w:rPr>
      </w:pPr>
    </w:p>
    <w:p w14:paraId="4C5CBCB6" w14:textId="6F3ACA38" w:rsidR="00E92349" w:rsidRPr="003A691C" w:rsidRDefault="00023017" w:rsidP="00C64613">
      <w:pPr>
        <w:spacing w:after="0"/>
        <w:ind w:left="426" w:right="418"/>
        <w:jc w:val="both"/>
        <w:rPr>
          <w:rFonts w:ascii="Arial" w:hAnsi="Arial" w:cs="Arial"/>
          <w:sz w:val="24"/>
          <w:szCs w:val="24"/>
          <w:lang w:val="es-ES"/>
        </w:rPr>
      </w:pPr>
      <w:r w:rsidRPr="003A691C">
        <w:rPr>
          <w:rFonts w:ascii="Arial" w:eastAsia="Times New Roman" w:hAnsi="Arial" w:cs="Arial"/>
          <w:sz w:val="24"/>
          <w:szCs w:val="24"/>
          <w:lang w:val="es-ES" w:eastAsia="es-ES"/>
        </w:rPr>
        <w:t>Respecto a la actuación surtida en esta Sede y ante el Superior, ningún análisis debe hacer la Sala, pues en lo que atañe a dicho trámite, ninguna condena en costas impuso la Sala de Casación Laboral de la Corte Suprema de Justicia en la decisión que casó la sentencia de segundo grado y revocó la decisión de primera instancia.</w:t>
      </w:r>
      <w:r w:rsidR="000A1A9B" w:rsidRPr="003A691C">
        <w:rPr>
          <w:rFonts w:ascii="Arial" w:hAnsi="Arial" w:cs="Arial"/>
          <w:sz w:val="24"/>
          <w:szCs w:val="24"/>
        </w:rPr>
        <w:t>”</w:t>
      </w:r>
    </w:p>
    <w:p w14:paraId="58B43A8A" w14:textId="77777777" w:rsidR="00A84901" w:rsidRPr="003A691C" w:rsidRDefault="00A84901" w:rsidP="003A691C">
      <w:pPr>
        <w:pStyle w:val="Textoindependiente"/>
        <w:spacing w:line="276" w:lineRule="auto"/>
        <w:rPr>
          <w:rFonts w:cs="Arial"/>
          <w:sz w:val="24"/>
          <w:szCs w:val="24"/>
        </w:rPr>
      </w:pPr>
    </w:p>
    <w:p w14:paraId="4A757C47" w14:textId="3E50D2EE" w:rsidR="00B42B2C" w:rsidRPr="003A691C" w:rsidRDefault="00B42B2C" w:rsidP="003A691C">
      <w:pPr>
        <w:pStyle w:val="Textoindependiente"/>
        <w:spacing w:line="276" w:lineRule="auto"/>
        <w:rPr>
          <w:rFonts w:cs="Arial"/>
          <w:sz w:val="24"/>
          <w:szCs w:val="24"/>
        </w:rPr>
      </w:pPr>
      <w:r w:rsidRPr="003A691C">
        <w:rPr>
          <w:rFonts w:cs="Arial"/>
          <w:sz w:val="24"/>
          <w:szCs w:val="24"/>
        </w:rPr>
        <w:t xml:space="preserve">Como puede verse, mi percepción sobre </w:t>
      </w:r>
      <w:r w:rsidR="00A84901" w:rsidRPr="003A691C">
        <w:rPr>
          <w:rFonts w:cs="Arial"/>
          <w:sz w:val="24"/>
          <w:szCs w:val="24"/>
        </w:rPr>
        <w:t xml:space="preserve">la </w:t>
      </w:r>
      <w:r w:rsidRPr="003A691C">
        <w:rPr>
          <w:rFonts w:cs="Arial"/>
          <w:sz w:val="24"/>
          <w:szCs w:val="24"/>
        </w:rPr>
        <w:t xml:space="preserve">forma de cuantificar las agencias en derecho en esta clase de procesos en los que, en la actualidad, la actividad procesal y probatoria es mínima, difiere de la que tienen los demás miembros de la Sala y es por ello que me corresponde salvar </w:t>
      </w:r>
      <w:r w:rsidR="00545EFD" w:rsidRPr="003A691C">
        <w:rPr>
          <w:rFonts w:cs="Arial"/>
          <w:sz w:val="24"/>
          <w:szCs w:val="24"/>
        </w:rPr>
        <w:t xml:space="preserve">parcialmente </w:t>
      </w:r>
      <w:r w:rsidRPr="003A691C">
        <w:rPr>
          <w:rFonts w:cs="Arial"/>
          <w:sz w:val="24"/>
          <w:szCs w:val="24"/>
        </w:rPr>
        <w:t xml:space="preserve">el voto, </w:t>
      </w:r>
      <w:r w:rsidR="00545EFD" w:rsidRPr="003A691C">
        <w:rPr>
          <w:rFonts w:cs="Arial"/>
          <w:sz w:val="24"/>
          <w:szCs w:val="24"/>
        </w:rPr>
        <w:t>pues si bien, debió procederse a la modificación del valor de las agencias fijadas por el a-quo, el monto no debió ascender a lo determinado por la mayoría</w:t>
      </w:r>
      <w:r w:rsidRPr="003A691C">
        <w:rPr>
          <w:rFonts w:cs="Arial"/>
          <w:sz w:val="24"/>
          <w:szCs w:val="24"/>
        </w:rPr>
        <w:t>.</w:t>
      </w:r>
    </w:p>
    <w:p w14:paraId="182D9673" w14:textId="6F75E01B" w:rsidR="00B42B2C" w:rsidRDefault="00B42B2C" w:rsidP="003A691C">
      <w:pPr>
        <w:pStyle w:val="Textoindependiente"/>
        <w:spacing w:line="276" w:lineRule="auto"/>
        <w:rPr>
          <w:rFonts w:cs="Arial"/>
          <w:sz w:val="24"/>
          <w:szCs w:val="24"/>
        </w:rPr>
      </w:pPr>
    </w:p>
    <w:p w14:paraId="18235FE0" w14:textId="2021D5CA" w:rsidR="003A691C" w:rsidRDefault="003A691C" w:rsidP="003A691C">
      <w:pPr>
        <w:pStyle w:val="Textoindependiente"/>
        <w:spacing w:line="276" w:lineRule="auto"/>
        <w:rPr>
          <w:rFonts w:cs="Arial"/>
          <w:sz w:val="24"/>
          <w:szCs w:val="24"/>
        </w:rPr>
      </w:pPr>
    </w:p>
    <w:p w14:paraId="4D136FD0" w14:textId="77777777" w:rsidR="003A691C" w:rsidRPr="003A691C" w:rsidRDefault="003A691C" w:rsidP="003A691C">
      <w:pPr>
        <w:pStyle w:val="Textoindependiente"/>
        <w:spacing w:line="276" w:lineRule="auto"/>
        <w:rPr>
          <w:rFonts w:cs="Arial"/>
          <w:sz w:val="24"/>
          <w:szCs w:val="24"/>
        </w:rPr>
      </w:pPr>
    </w:p>
    <w:p w14:paraId="3A7DBED3" w14:textId="27EEAD9D" w:rsidR="00E92485" w:rsidRPr="003A691C" w:rsidRDefault="00E92485" w:rsidP="003A691C">
      <w:pPr>
        <w:pStyle w:val="Textoindependiente"/>
        <w:spacing w:line="276" w:lineRule="auto"/>
        <w:rPr>
          <w:rFonts w:cs="Arial"/>
          <w:sz w:val="24"/>
          <w:szCs w:val="24"/>
        </w:rPr>
      </w:pPr>
    </w:p>
    <w:p w14:paraId="27F16769" w14:textId="1B4F3E5D" w:rsidR="00B42B2C" w:rsidRPr="003A691C" w:rsidRDefault="00B42B2C" w:rsidP="003A691C">
      <w:pPr>
        <w:spacing w:after="0"/>
        <w:jc w:val="center"/>
        <w:rPr>
          <w:rFonts w:ascii="Arial" w:hAnsi="Arial" w:cs="Arial"/>
          <w:b/>
          <w:sz w:val="24"/>
          <w:szCs w:val="24"/>
        </w:rPr>
      </w:pPr>
      <w:r w:rsidRPr="003A691C">
        <w:rPr>
          <w:rFonts w:ascii="Arial" w:hAnsi="Arial" w:cs="Arial"/>
          <w:b/>
          <w:sz w:val="24"/>
          <w:szCs w:val="24"/>
        </w:rPr>
        <w:t>JULIO CÉSAR SALAZAR MUÑOZ</w:t>
      </w:r>
    </w:p>
    <w:p w14:paraId="17AD93B2" w14:textId="4449C215" w:rsidR="00967ABD" w:rsidRPr="003A691C" w:rsidRDefault="00B42B2C" w:rsidP="003A691C">
      <w:pPr>
        <w:spacing w:after="0"/>
        <w:jc w:val="center"/>
        <w:rPr>
          <w:rFonts w:ascii="Arial" w:hAnsi="Arial" w:cs="Arial"/>
          <w:sz w:val="24"/>
          <w:szCs w:val="24"/>
        </w:rPr>
      </w:pPr>
      <w:r w:rsidRPr="003A691C">
        <w:rPr>
          <w:rFonts w:ascii="Arial" w:hAnsi="Arial" w:cs="Arial"/>
          <w:sz w:val="24"/>
          <w:szCs w:val="24"/>
        </w:rPr>
        <w:t>Magistrado</w:t>
      </w:r>
    </w:p>
    <w:sectPr w:rsidR="00967ABD" w:rsidRPr="003A691C" w:rsidSect="003A691C">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8815" w14:textId="77777777" w:rsidR="009A37EF" w:rsidRDefault="009A37EF">
      <w:pPr>
        <w:spacing w:after="0" w:line="240" w:lineRule="auto"/>
      </w:pPr>
      <w:r>
        <w:separator/>
      </w:r>
    </w:p>
  </w:endnote>
  <w:endnote w:type="continuationSeparator" w:id="0">
    <w:p w14:paraId="4263DBF6" w14:textId="77777777" w:rsidR="009A37EF" w:rsidRDefault="009A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31A81A3C" w:rsidR="00627266" w:rsidRPr="00C64613" w:rsidRDefault="00941435" w:rsidP="00E17A11">
    <w:pPr>
      <w:pStyle w:val="Encabezado"/>
      <w:spacing w:after="0" w:line="240" w:lineRule="auto"/>
      <w:jc w:val="right"/>
      <w:rPr>
        <w:rFonts w:ascii="Arial" w:hAnsi="Arial" w:cs="Arial"/>
        <w:sz w:val="18"/>
        <w:szCs w:val="20"/>
      </w:rPr>
    </w:pPr>
    <w:r w:rsidRPr="00C64613">
      <w:rPr>
        <w:rFonts w:ascii="Arial" w:hAnsi="Arial" w:cs="Arial"/>
        <w:sz w:val="18"/>
        <w:szCs w:val="20"/>
      </w:rPr>
      <w:fldChar w:fldCharType="begin"/>
    </w:r>
    <w:r w:rsidR="00B7659C" w:rsidRPr="00C64613">
      <w:rPr>
        <w:rFonts w:ascii="Arial" w:hAnsi="Arial" w:cs="Arial"/>
        <w:sz w:val="18"/>
        <w:szCs w:val="20"/>
      </w:rPr>
      <w:instrText>PAGE   \* MERGEFORMAT</w:instrText>
    </w:r>
    <w:r w:rsidRPr="00C64613">
      <w:rPr>
        <w:rFonts w:ascii="Arial" w:hAnsi="Arial" w:cs="Arial"/>
        <w:sz w:val="18"/>
        <w:szCs w:val="20"/>
      </w:rPr>
      <w:fldChar w:fldCharType="separate"/>
    </w:r>
    <w:r w:rsidR="00E92485" w:rsidRPr="00C64613">
      <w:rPr>
        <w:rFonts w:ascii="Arial" w:hAnsi="Arial" w:cs="Arial"/>
        <w:sz w:val="18"/>
        <w:szCs w:val="20"/>
      </w:rPr>
      <w:t>4</w:t>
    </w:r>
    <w:r w:rsidRPr="00C64613">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E383" w14:textId="77777777" w:rsidR="009A37EF" w:rsidRDefault="009A37EF">
      <w:pPr>
        <w:spacing w:after="0" w:line="240" w:lineRule="auto"/>
      </w:pPr>
      <w:r>
        <w:separator/>
      </w:r>
    </w:p>
  </w:footnote>
  <w:footnote w:type="continuationSeparator" w:id="0">
    <w:p w14:paraId="3E2DA03E" w14:textId="77777777" w:rsidR="009A37EF" w:rsidRDefault="009A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4949" w14:textId="77777777" w:rsidR="00C64613" w:rsidRPr="00ED502E" w:rsidRDefault="00C64613" w:rsidP="00C64613">
    <w:pPr>
      <w:pStyle w:val="Encabezado"/>
      <w:spacing w:after="0" w:line="240" w:lineRule="auto"/>
      <w:jc w:val="center"/>
      <w:rPr>
        <w:rFonts w:ascii="Arial" w:hAnsi="Arial" w:cs="Arial"/>
        <w:sz w:val="18"/>
        <w:szCs w:val="20"/>
      </w:rPr>
    </w:pPr>
    <w:r w:rsidRPr="00ED502E">
      <w:rPr>
        <w:rFonts w:ascii="Arial" w:hAnsi="Arial" w:cs="Arial"/>
        <w:sz w:val="18"/>
        <w:szCs w:val="20"/>
      </w:rPr>
      <w:t>María Amparo López Marín Vs AFP Colfondos y otra</w:t>
    </w:r>
  </w:p>
  <w:p w14:paraId="2DBF0D7D" w14:textId="4DD4014E" w:rsidR="00627266" w:rsidRPr="00C64613" w:rsidRDefault="00C64613" w:rsidP="00C64613">
    <w:pPr>
      <w:pStyle w:val="Encabezado"/>
      <w:spacing w:after="0" w:line="240" w:lineRule="auto"/>
      <w:jc w:val="center"/>
      <w:rPr>
        <w:rFonts w:ascii="Arial" w:hAnsi="Arial" w:cs="Arial"/>
        <w:sz w:val="18"/>
        <w:szCs w:val="20"/>
      </w:rPr>
    </w:pPr>
    <w:r w:rsidRPr="00ED502E">
      <w:rPr>
        <w:rFonts w:ascii="Arial" w:hAnsi="Arial" w:cs="Arial"/>
        <w:sz w:val="18"/>
        <w:szCs w:val="20"/>
      </w:rPr>
      <w:t xml:space="preserve">Rad. </w:t>
    </w:r>
    <w:r w:rsidRPr="00ED502E">
      <w:rPr>
        <w:rFonts w:ascii="Arial" w:hAnsi="Arial" w:cs="Arial"/>
        <w:bCs/>
        <w:spacing w:val="2"/>
        <w:sz w:val="18"/>
        <w:szCs w:val="20"/>
      </w:rPr>
      <w:t>66001310500320160046102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017"/>
    <w:rsid w:val="000239D3"/>
    <w:rsid w:val="000256DA"/>
    <w:rsid w:val="000313E5"/>
    <w:rsid w:val="00044CBF"/>
    <w:rsid w:val="000516DD"/>
    <w:rsid w:val="00053499"/>
    <w:rsid w:val="0005558D"/>
    <w:rsid w:val="00063F9B"/>
    <w:rsid w:val="00064580"/>
    <w:rsid w:val="000801F0"/>
    <w:rsid w:val="00087FDF"/>
    <w:rsid w:val="00093A3D"/>
    <w:rsid w:val="00094300"/>
    <w:rsid w:val="000A1A9B"/>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68E5"/>
    <w:rsid w:val="00330C78"/>
    <w:rsid w:val="00331961"/>
    <w:rsid w:val="00334427"/>
    <w:rsid w:val="00334A2F"/>
    <w:rsid w:val="003400AB"/>
    <w:rsid w:val="0034789C"/>
    <w:rsid w:val="00350F83"/>
    <w:rsid w:val="00357B44"/>
    <w:rsid w:val="00365CE5"/>
    <w:rsid w:val="003745FA"/>
    <w:rsid w:val="0038490C"/>
    <w:rsid w:val="00384A8C"/>
    <w:rsid w:val="0038624E"/>
    <w:rsid w:val="0039018C"/>
    <w:rsid w:val="00397C74"/>
    <w:rsid w:val="003A470A"/>
    <w:rsid w:val="003A691C"/>
    <w:rsid w:val="003B0546"/>
    <w:rsid w:val="003B0B08"/>
    <w:rsid w:val="003B15E8"/>
    <w:rsid w:val="003B3D53"/>
    <w:rsid w:val="003B7236"/>
    <w:rsid w:val="003B7C6F"/>
    <w:rsid w:val="003C03BC"/>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45EFD"/>
    <w:rsid w:val="00552AF8"/>
    <w:rsid w:val="005659B9"/>
    <w:rsid w:val="00567192"/>
    <w:rsid w:val="00580FF2"/>
    <w:rsid w:val="00584AC6"/>
    <w:rsid w:val="0059346C"/>
    <w:rsid w:val="005A3734"/>
    <w:rsid w:val="005A7036"/>
    <w:rsid w:val="005B3A22"/>
    <w:rsid w:val="005E06E3"/>
    <w:rsid w:val="005E06EA"/>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8463A"/>
    <w:rsid w:val="0079012F"/>
    <w:rsid w:val="00794401"/>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B33E3"/>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37E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13F4D"/>
    <w:rsid w:val="00C31AC4"/>
    <w:rsid w:val="00C41E49"/>
    <w:rsid w:val="00C50E8F"/>
    <w:rsid w:val="00C634B6"/>
    <w:rsid w:val="00C64116"/>
    <w:rsid w:val="00C64613"/>
    <w:rsid w:val="00C64C20"/>
    <w:rsid w:val="00C67955"/>
    <w:rsid w:val="00C719E4"/>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17A11"/>
    <w:rsid w:val="00E27DB8"/>
    <w:rsid w:val="00E37DA2"/>
    <w:rsid w:val="00E43D12"/>
    <w:rsid w:val="00E43E90"/>
    <w:rsid w:val="00E525A6"/>
    <w:rsid w:val="00E53A6E"/>
    <w:rsid w:val="00E5458A"/>
    <w:rsid w:val="00E7519F"/>
    <w:rsid w:val="00E83D44"/>
    <w:rsid w:val="00E92349"/>
    <w:rsid w:val="00E92485"/>
    <w:rsid w:val="00EC191C"/>
    <w:rsid w:val="00EC2CC3"/>
    <w:rsid w:val="00EC4F4F"/>
    <w:rsid w:val="00EC593C"/>
    <w:rsid w:val="00ED2DA4"/>
    <w:rsid w:val="00ED3D06"/>
    <w:rsid w:val="00ED45B0"/>
    <w:rsid w:val="00ED72C3"/>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D0A41"/>
    <w:rsid w:val="00FD1077"/>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91DC838E-3207-44BF-BE98-DCBA197A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F42FE6E8-26C6-4DE8-8B55-2F7B0ABE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4</cp:revision>
  <cp:lastPrinted>2019-10-25T15:57:00Z</cp:lastPrinted>
  <dcterms:created xsi:type="dcterms:W3CDTF">2022-07-14T01:32:00Z</dcterms:created>
  <dcterms:modified xsi:type="dcterms:W3CDTF">2022-08-31T13:42:00Z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