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077" w:rsidRPr="00625077" w:rsidRDefault="00625077" w:rsidP="0062507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62507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5077" w:rsidRPr="00625077" w:rsidRDefault="00625077" w:rsidP="00625077">
      <w:pPr>
        <w:spacing w:after="0" w:line="240" w:lineRule="auto"/>
        <w:jc w:val="both"/>
        <w:rPr>
          <w:rFonts w:ascii="Arial" w:eastAsia="Times New Roman" w:hAnsi="Arial" w:cs="Arial"/>
          <w:sz w:val="20"/>
          <w:szCs w:val="20"/>
          <w:lang w:val="es-419" w:eastAsia="es-ES"/>
        </w:rPr>
      </w:pPr>
    </w:p>
    <w:p w:rsidR="00625077" w:rsidRPr="00625077" w:rsidRDefault="002758E7" w:rsidP="00625077">
      <w:pPr>
        <w:spacing w:after="0" w:line="240" w:lineRule="auto"/>
        <w:jc w:val="both"/>
        <w:rPr>
          <w:rFonts w:ascii="Arial" w:eastAsia="Arial" w:hAnsi="Arial" w:cs="Arial"/>
          <w:color w:val="000000"/>
          <w:sz w:val="20"/>
          <w:szCs w:val="20"/>
          <w:lang w:val="es-ES" w:eastAsia="es-ES"/>
        </w:rPr>
      </w:pPr>
      <w:r w:rsidRPr="00625077">
        <w:rPr>
          <w:rFonts w:ascii="Arial" w:eastAsia="Arial" w:hAnsi="Arial" w:cs="Arial"/>
          <w:b/>
          <w:bCs/>
          <w:color w:val="000000"/>
          <w:sz w:val="20"/>
          <w:szCs w:val="20"/>
          <w:u w:val="single"/>
          <w:lang w:val="es-419"/>
        </w:rPr>
        <w:t>TEMAS:</w:t>
      </w:r>
      <w:r w:rsidRPr="00625077">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VEJEZ / </w:t>
      </w:r>
      <w:r w:rsidR="00614C75">
        <w:rPr>
          <w:rFonts w:ascii="Arial" w:eastAsia="Arial" w:hAnsi="Arial" w:cs="Arial"/>
          <w:b/>
          <w:bCs/>
          <w:color w:val="000000"/>
          <w:sz w:val="20"/>
          <w:szCs w:val="20"/>
          <w:lang w:val="es-419"/>
        </w:rPr>
        <w:t>IN</w:t>
      </w:r>
      <w:bookmarkStart w:id="0" w:name="_GoBack"/>
      <w:bookmarkEnd w:id="0"/>
      <w:r>
        <w:rPr>
          <w:rFonts w:ascii="Arial" w:eastAsia="Arial" w:hAnsi="Arial" w:cs="Arial"/>
          <w:b/>
          <w:bCs/>
          <w:color w:val="000000"/>
          <w:sz w:val="20"/>
          <w:szCs w:val="20"/>
          <w:lang w:val="es-419"/>
        </w:rPr>
        <w:t>COMPATIBILIDAD CON PENSIÓN DE JUBILACIÓN / CONVENCIONAL RECONOCIDA POR EMPLEADOR / MUNICIPIO DE PEREIRA / ESTE DEBE CONTINUAR COTIZANDO AL SISTEMA DE PENSIONES / Y ASUMIR MAYOR VALOR EN CASO NECESARIO.</w:t>
      </w:r>
    </w:p>
    <w:p w:rsidR="00625077" w:rsidRPr="00625077" w:rsidRDefault="00625077"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5077" w:rsidRPr="00625077" w:rsidRDefault="00763C1B"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63C1B">
        <w:rPr>
          <w:rFonts w:ascii="Arial" w:eastAsia="Arial" w:hAnsi="Arial" w:cs="Arial"/>
          <w:color w:val="000000"/>
          <w:sz w:val="20"/>
          <w:szCs w:val="20"/>
          <w:lang w:val="es-ES" w:eastAsia="es-ES"/>
        </w:rPr>
        <w:t>La Sala de Casación Laboral de la Corte Suprema de Justicia en sentencia SL 17447 de 2014</w:t>
      </w:r>
      <w:r>
        <w:rPr>
          <w:rFonts w:ascii="Arial" w:eastAsia="Arial" w:hAnsi="Arial" w:cs="Arial"/>
          <w:color w:val="000000"/>
          <w:sz w:val="20"/>
          <w:szCs w:val="20"/>
          <w:lang w:val="es-ES" w:eastAsia="es-ES"/>
        </w:rPr>
        <w:t>…</w:t>
      </w:r>
      <w:r w:rsidRPr="00763C1B">
        <w:rPr>
          <w:rFonts w:ascii="Arial" w:eastAsia="Arial" w:hAnsi="Arial" w:cs="Arial"/>
          <w:color w:val="000000"/>
          <w:sz w:val="20"/>
          <w:szCs w:val="20"/>
          <w:lang w:val="es-ES" w:eastAsia="es-ES"/>
        </w:rPr>
        <w:t xml:space="preserve"> estableció que en términos generales, los referentes actuales para definir la compatibilidad o incompatibilidad de dos pensiones, son los siguientes: (i) el origen de la contingencia o riesgo que amparan –criterio principal-, ello siempre que no existe una normativa especial que prohíba la compatibilidad; (ii) la existencia de una reglamentación propia o fuente normativa, y (iii) la autonomía de la fuente de su financiación.</w:t>
      </w:r>
    </w:p>
    <w:p w:rsidR="00625077" w:rsidRPr="00625077" w:rsidRDefault="00625077"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5077" w:rsidRPr="00625077" w:rsidRDefault="00763C1B"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63C1B">
        <w:rPr>
          <w:rFonts w:ascii="Arial" w:eastAsia="Arial" w:hAnsi="Arial" w:cs="Arial"/>
          <w:color w:val="000000"/>
          <w:sz w:val="20"/>
          <w:szCs w:val="20"/>
          <w:lang w:val="es-ES" w:eastAsia="es-ES"/>
        </w:rPr>
        <w:t xml:space="preserve">El Decreto 2879 de 1985, aprobado por el Acuerdo 029 del 17 de octubre de ese mismo año, estableció en su artículo 5°, la </w:t>
      </w:r>
      <w:proofErr w:type="spellStart"/>
      <w:r w:rsidRPr="00763C1B">
        <w:rPr>
          <w:rFonts w:ascii="Arial" w:eastAsia="Arial" w:hAnsi="Arial" w:cs="Arial"/>
          <w:color w:val="000000"/>
          <w:sz w:val="20"/>
          <w:szCs w:val="20"/>
          <w:lang w:val="es-ES" w:eastAsia="es-ES"/>
        </w:rPr>
        <w:t>compartibilidad</w:t>
      </w:r>
      <w:proofErr w:type="spellEnd"/>
      <w:r w:rsidRPr="00763C1B">
        <w:rPr>
          <w:rFonts w:ascii="Arial" w:eastAsia="Arial" w:hAnsi="Arial" w:cs="Arial"/>
          <w:color w:val="000000"/>
          <w:sz w:val="20"/>
          <w:szCs w:val="20"/>
          <w:lang w:val="es-ES" w:eastAsia="es-ES"/>
        </w:rPr>
        <w:t xml:space="preserve"> pensional entre las pensiones de jubilación convencionales, pacto colectivo, laudo arbitral o las que voluntariamente reconociera el empleador, con aquellas pensiones de vejez que otorga el Instituto de Seguros Sociales</w:t>
      </w:r>
      <w:r>
        <w:rPr>
          <w:rFonts w:ascii="Arial" w:eastAsia="Arial" w:hAnsi="Arial" w:cs="Arial"/>
          <w:color w:val="000000"/>
          <w:sz w:val="20"/>
          <w:szCs w:val="20"/>
          <w:lang w:val="es-ES" w:eastAsia="es-ES"/>
        </w:rPr>
        <w:t>…</w:t>
      </w:r>
    </w:p>
    <w:p w:rsidR="00625077" w:rsidRDefault="00625077"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991C39" w:rsidRDefault="00991C39"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91C39">
        <w:rPr>
          <w:rFonts w:ascii="Arial" w:eastAsia="Arial" w:hAnsi="Arial" w:cs="Arial"/>
          <w:color w:val="000000"/>
          <w:sz w:val="20"/>
          <w:szCs w:val="20"/>
          <w:lang w:val="es-ES" w:eastAsia="es-ES"/>
        </w:rPr>
        <w:t xml:space="preserve">Dicha figura de </w:t>
      </w:r>
      <w:proofErr w:type="spellStart"/>
      <w:r w:rsidRPr="00991C39">
        <w:rPr>
          <w:rFonts w:ascii="Arial" w:eastAsia="Arial" w:hAnsi="Arial" w:cs="Arial"/>
          <w:color w:val="000000"/>
          <w:sz w:val="20"/>
          <w:szCs w:val="20"/>
          <w:lang w:val="es-ES" w:eastAsia="es-ES"/>
        </w:rPr>
        <w:t>compartibilidad</w:t>
      </w:r>
      <w:proofErr w:type="spellEnd"/>
      <w:r w:rsidRPr="00991C39">
        <w:rPr>
          <w:rFonts w:ascii="Arial" w:eastAsia="Arial" w:hAnsi="Arial" w:cs="Arial"/>
          <w:color w:val="000000"/>
          <w:sz w:val="20"/>
          <w:szCs w:val="20"/>
          <w:lang w:val="es-ES" w:eastAsia="es-ES"/>
        </w:rPr>
        <w:t xml:space="preserve"> pensional se mantuvo en el artículo 18 del Acuerdo 049 de 1990</w:t>
      </w:r>
      <w:r>
        <w:rPr>
          <w:rFonts w:ascii="Arial" w:eastAsia="Arial" w:hAnsi="Arial" w:cs="Arial"/>
          <w:color w:val="000000"/>
          <w:sz w:val="20"/>
          <w:szCs w:val="20"/>
          <w:lang w:val="es-ES" w:eastAsia="es-ES"/>
        </w:rPr>
        <w:t>…</w:t>
      </w:r>
    </w:p>
    <w:p w:rsidR="00991C39" w:rsidRDefault="00991C39"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991C39" w:rsidRDefault="00991C39"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91C39">
        <w:rPr>
          <w:rFonts w:ascii="Arial" w:eastAsia="Arial" w:hAnsi="Arial" w:cs="Arial"/>
          <w:color w:val="000000"/>
          <w:sz w:val="20"/>
          <w:szCs w:val="20"/>
          <w:lang w:val="es-ES" w:eastAsia="es-ES"/>
        </w:rPr>
        <w:t>Posteriormente, el artículo 5º del Decreto 813 de 1994, modificado por el 2º del Decreto 1160 del mismo año, dispuso que los empleadores reconocerían la pensión de jubilación con base en las normas que se venían aplicando y que “continuaría cotizando al ISS hasta que el trabajador cumpla con los requisitos mínimos exigidos por dicho Instituto para otorgar la pensión de vejez...”, momento a partir del cual sería a cargo del empleador el mayor valor entre lo que el ISS empezara a pagar y el monto de la pensión de jubilación que él venía pagando.</w:t>
      </w:r>
      <w:r w:rsidR="009A025D">
        <w:rPr>
          <w:rFonts w:ascii="Arial" w:eastAsia="Arial" w:hAnsi="Arial" w:cs="Arial"/>
          <w:color w:val="000000"/>
          <w:sz w:val="20"/>
          <w:szCs w:val="20"/>
          <w:lang w:val="es-ES" w:eastAsia="es-ES"/>
        </w:rPr>
        <w:t xml:space="preserve"> (…)</w:t>
      </w:r>
    </w:p>
    <w:p w:rsidR="00991C39" w:rsidRDefault="00991C39"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9A025D" w:rsidRPr="009A025D" w:rsidRDefault="009A025D" w:rsidP="009A0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A025D">
        <w:rPr>
          <w:rFonts w:ascii="Arial" w:eastAsia="Arial" w:hAnsi="Arial" w:cs="Arial"/>
          <w:color w:val="000000"/>
          <w:sz w:val="20"/>
          <w:szCs w:val="20"/>
          <w:lang w:val="es-ES" w:eastAsia="es-ES"/>
        </w:rPr>
        <w:t xml:space="preserve">Sobre la </w:t>
      </w:r>
      <w:proofErr w:type="spellStart"/>
      <w:r w:rsidRPr="009A025D">
        <w:rPr>
          <w:rFonts w:ascii="Arial" w:eastAsia="Arial" w:hAnsi="Arial" w:cs="Arial"/>
          <w:color w:val="000000"/>
          <w:sz w:val="20"/>
          <w:szCs w:val="20"/>
          <w:lang w:val="es-ES" w:eastAsia="es-ES"/>
        </w:rPr>
        <w:t>compartibilidad</w:t>
      </w:r>
      <w:proofErr w:type="spellEnd"/>
      <w:r w:rsidRPr="009A025D">
        <w:rPr>
          <w:rFonts w:ascii="Arial" w:eastAsia="Arial" w:hAnsi="Arial" w:cs="Arial"/>
          <w:color w:val="000000"/>
          <w:sz w:val="20"/>
          <w:szCs w:val="20"/>
          <w:lang w:val="es-ES" w:eastAsia="es-ES"/>
        </w:rPr>
        <w:t xml:space="preserve"> pensional, la Sala de Casación Laboral de la Corte Suprema de Justicia</w:t>
      </w:r>
      <w:r>
        <w:rPr>
          <w:rFonts w:ascii="Arial" w:eastAsia="Arial" w:hAnsi="Arial" w:cs="Arial"/>
          <w:color w:val="000000"/>
          <w:sz w:val="20"/>
          <w:szCs w:val="20"/>
          <w:lang w:val="es-ES" w:eastAsia="es-ES"/>
        </w:rPr>
        <w:t>…</w:t>
      </w:r>
      <w:r w:rsidRPr="009A025D">
        <w:rPr>
          <w:rFonts w:ascii="Arial" w:eastAsia="Arial" w:hAnsi="Arial" w:cs="Arial"/>
          <w:color w:val="000000"/>
          <w:sz w:val="20"/>
          <w:szCs w:val="20"/>
          <w:lang w:val="es-ES" w:eastAsia="es-ES"/>
        </w:rPr>
        <w:t xml:space="preserve"> en reciente sentencia SL 2602 del 26 de mayo de 2021</w:t>
      </w:r>
      <w:r>
        <w:rPr>
          <w:rFonts w:ascii="Arial" w:eastAsia="Arial" w:hAnsi="Arial" w:cs="Arial"/>
          <w:color w:val="000000"/>
          <w:sz w:val="20"/>
          <w:szCs w:val="20"/>
          <w:lang w:val="es-ES" w:eastAsia="es-ES"/>
        </w:rPr>
        <w:t>…</w:t>
      </w:r>
      <w:r w:rsidRPr="009A025D">
        <w:rPr>
          <w:rFonts w:ascii="Arial" w:eastAsia="Arial" w:hAnsi="Arial" w:cs="Arial"/>
          <w:color w:val="000000"/>
          <w:sz w:val="20"/>
          <w:szCs w:val="20"/>
          <w:lang w:val="es-ES" w:eastAsia="es-ES"/>
        </w:rPr>
        <w:t>, reiteró el criterio sostenido de tiempo atrás, según el cual dicha figura legal pretende:</w:t>
      </w:r>
    </w:p>
    <w:p w:rsidR="009A025D" w:rsidRPr="009A025D" w:rsidRDefault="009A025D" w:rsidP="009A0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991C39" w:rsidRPr="00625077" w:rsidRDefault="009A025D" w:rsidP="009A0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A025D">
        <w:rPr>
          <w:rFonts w:ascii="Arial" w:eastAsia="Arial" w:hAnsi="Arial" w:cs="Arial"/>
          <w:color w:val="000000"/>
          <w:sz w:val="20"/>
          <w:szCs w:val="20"/>
          <w:lang w:val="es-ES" w:eastAsia="es-ES"/>
        </w:rPr>
        <w:t>“Evitar que para el cubrimiento de un mismo riesgo surgieran concomitantemente dos prestaciones, una de orden extralegal y otra legal, a menos que de manera expresa las partes pactaran lo contrario</w:t>
      </w:r>
      <w:r>
        <w:rPr>
          <w:rFonts w:ascii="Arial" w:eastAsia="Arial" w:hAnsi="Arial" w:cs="Arial"/>
          <w:color w:val="000000"/>
          <w:sz w:val="20"/>
          <w:szCs w:val="20"/>
          <w:lang w:val="es-ES" w:eastAsia="es-ES"/>
        </w:rPr>
        <w:t>…”</w:t>
      </w:r>
    </w:p>
    <w:p w:rsidR="00625077" w:rsidRPr="00625077" w:rsidRDefault="00625077"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5077" w:rsidRPr="00625077" w:rsidRDefault="00625077"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5077" w:rsidRPr="00625077" w:rsidRDefault="00625077" w:rsidP="006250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0326F3" w:rsidRPr="00625077" w:rsidRDefault="000326F3" w:rsidP="00625077">
      <w:pPr>
        <w:spacing w:after="0"/>
        <w:jc w:val="center"/>
        <w:textAlignment w:val="baseline"/>
        <w:rPr>
          <w:rFonts w:ascii="Arial" w:eastAsia="Times New Roman" w:hAnsi="Arial" w:cs="Arial"/>
          <w:sz w:val="24"/>
          <w:szCs w:val="24"/>
          <w:lang w:eastAsia="es-CO"/>
        </w:rPr>
      </w:pPr>
      <w:r w:rsidRPr="00625077">
        <w:rPr>
          <w:rFonts w:ascii="Arial" w:eastAsia="Times New Roman" w:hAnsi="Arial" w:cs="Arial"/>
          <w:b/>
          <w:bCs/>
          <w:sz w:val="24"/>
          <w:szCs w:val="24"/>
          <w:lang w:eastAsia="es-CO"/>
        </w:rPr>
        <w:t>TRIBUNAL SUPERIOR DEL DISTRITO JUDICIAL</w:t>
      </w:r>
    </w:p>
    <w:p w:rsidR="000326F3" w:rsidRPr="00625077" w:rsidRDefault="000326F3" w:rsidP="00625077">
      <w:pPr>
        <w:spacing w:after="0"/>
        <w:jc w:val="center"/>
        <w:textAlignment w:val="baseline"/>
        <w:rPr>
          <w:rFonts w:ascii="Arial" w:eastAsia="Times New Roman" w:hAnsi="Arial" w:cs="Arial"/>
          <w:sz w:val="24"/>
          <w:szCs w:val="24"/>
          <w:lang w:eastAsia="es-CO"/>
        </w:rPr>
      </w:pPr>
      <w:r w:rsidRPr="00625077">
        <w:rPr>
          <w:rFonts w:ascii="Arial" w:eastAsia="Times New Roman" w:hAnsi="Arial" w:cs="Arial"/>
          <w:b/>
          <w:bCs/>
          <w:sz w:val="24"/>
          <w:szCs w:val="24"/>
          <w:lang w:eastAsia="es-CO"/>
        </w:rPr>
        <w:t>SALA DE DECISIÓN LABORAL</w:t>
      </w:r>
    </w:p>
    <w:p w:rsidR="000326F3" w:rsidRPr="00625077" w:rsidRDefault="000326F3" w:rsidP="00625077">
      <w:pPr>
        <w:spacing w:after="0"/>
        <w:jc w:val="center"/>
        <w:textAlignment w:val="baseline"/>
        <w:rPr>
          <w:rFonts w:ascii="Arial" w:eastAsia="Times New Roman" w:hAnsi="Arial" w:cs="Arial"/>
          <w:sz w:val="24"/>
          <w:szCs w:val="24"/>
          <w:lang w:eastAsia="es-CO"/>
        </w:rPr>
      </w:pPr>
      <w:r w:rsidRPr="00625077">
        <w:rPr>
          <w:rFonts w:ascii="Arial" w:eastAsia="Times New Roman" w:hAnsi="Arial" w:cs="Arial"/>
          <w:b/>
          <w:bCs/>
          <w:sz w:val="24"/>
          <w:szCs w:val="24"/>
          <w:lang w:eastAsia="es-CO"/>
        </w:rPr>
        <w:t>MAGISTRADO PONENTE: JULIO CÉSAR SALAZAR MUÑOZ</w:t>
      </w:r>
    </w:p>
    <w:p w:rsidR="00625077" w:rsidRPr="00625077" w:rsidRDefault="00625077" w:rsidP="00625077">
      <w:pPr>
        <w:spacing w:after="0"/>
        <w:jc w:val="center"/>
        <w:textAlignment w:val="baseline"/>
        <w:rPr>
          <w:rFonts w:ascii="Arial" w:eastAsia="Times New Roman" w:hAnsi="Arial" w:cs="Arial"/>
          <w:bCs/>
          <w:sz w:val="24"/>
          <w:szCs w:val="24"/>
          <w:lang w:eastAsia="es-CO"/>
        </w:rPr>
      </w:pPr>
    </w:p>
    <w:p w:rsidR="00A6742F" w:rsidRPr="00625077" w:rsidRDefault="00625077" w:rsidP="00625077">
      <w:pPr>
        <w:spacing w:after="0"/>
        <w:jc w:val="center"/>
        <w:textAlignment w:val="baseline"/>
        <w:rPr>
          <w:rFonts w:ascii="Arial" w:eastAsia="Times New Roman" w:hAnsi="Arial" w:cs="Arial"/>
          <w:bCs/>
          <w:sz w:val="24"/>
          <w:szCs w:val="24"/>
          <w:lang w:eastAsia="es-CO"/>
        </w:rPr>
      </w:pPr>
      <w:r w:rsidRPr="00625077">
        <w:rPr>
          <w:rFonts w:ascii="Arial" w:eastAsia="Times New Roman" w:hAnsi="Arial" w:cs="Arial"/>
          <w:bCs/>
          <w:sz w:val="24"/>
          <w:szCs w:val="24"/>
          <w:lang w:eastAsia="es-CO"/>
        </w:rPr>
        <w:t>Pereira, seis de julio de dos mil veintidós</w:t>
      </w:r>
    </w:p>
    <w:p w:rsidR="00A6742F" w:rsidRPr="00625077" w:rsidRDefault="00A6742F" w:rsidP="00625077">
      <w:pPr>
        <w:spacing w:after="0"/>
        <w:jc w:val="center"/>
        <w:textAlignment w:val="baseline"/>
        <w:rPr>
          <w:rFonts w:ascii="Arial" w:eastAsia="Times New Roman" w:hAnsi="Arial" w:cs="Arial"/>
          <w:sz w:val="24"/>
          <w:szCs w:val="24"/>
          <w:lang w:eastAsia="es-CO"/>
        </w:rPr>
      </w:pPr>
      <w:r w:rsidRPr="00625077">
        <w:rPr>
          <w:rFonts w:ascii="Arial" w:eastAsia="Times New Roman" w:hAnsi="Arial" w:cs="Arial"/>
          <w:bCs/>
          <w:sz w:val="24"/>
          <w:szCs w:val="24"/>
          <w:lang w:eastAsia="es-CO"/>
        </w:rPr>
        <w:t>Acta de Sala de Discusión No 100 de 5 de julio de 2022</w:t>
      </w:r>
    </w:p>
    <w:p w:rsidR="000326F3" w:rsidRPr="00625077" w:rsidRDefault="000326F3" w:rsidP="00625077">
      <w:pPr>
        <w:pStyle w:val="Sinespaciado"/>
        <w:spacing w:line="276" w:lineRule="auto"/>
        <w:rPr>
          <w:rFonts w:ascii="Arial" w:hAnsi="Arial" w:cs="Arial"/>
          <w:sz w:val="24"/>
          <w:szCs w:val="24"/>
          <w:lang w:eastAsia="es-CO"/>
        </w:rPr>
      </w:pPr>
    </w:p>
    <w:p w:rsidR="00A6742F" w:rsidRPr="00625077" w:rsidRDefault="00A6742F" w:rsidP="00625077">
      <w:pPr>
        <w:pStyle w:val="Sinespaciado"/>
        <w:spacing w:line="276" w:lineRule="auto"/>
        <w:rPr>
          <w:rFonts w:ascii="Arial" w:hAnsi="Arial" w:cs="Arial"/>
          <w:sz w:val="24"/>
          <w:szCs w:val="24"/>
          <w:lang w:eastAsia="es-CO"/>
        </w:rPr>
      </w:pP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Se resuelve el</w:t>
      </w:r>
      <w:r w:rsidR="002D36FA" w:rsidRPr="002758E7">
        <w:rPr>
          <w:rFonts w:ascii="Arial" w:eastAsia="Times New Roman" w:hAnsi="Arial" w:cs="Arial"/>
          <w:spacing w:val="-4"/>
          <w:sz w:val="24"/>
          <w:szCs w:val="24"/>
          <w:lang w:eastAsia="es-CO"/>
        </w:rPr>
        <w:t xml:space="preserve"> grado jurisdiccional de consulta ordenado en favor del señor </w:t>
      </w:r>
      <w:proofErr w:type="spellStart"/>
      <w:r w:rsidR="00AF2783" w:rsidRPr="002758E7">
        <w:rPr>
          <w:rFonts w:ascii="Arial" w:eastAsia="Times New Roman" w:hAnsi="Arial" w:cs="Arial"/>
          <w:b/>
          <w:spacing w:val="-4"/>
          <w:sz w:val="24"/>
          <w:szCs w:val="24"/>
          <w:lang w:eastAsia="es-CO"/>
        </w:rPr>
        <w:t>Dumbardo</w:t>
      </w:r>
      <w:proofErr w:type="spellEnd"/>
      <w:r w:rsidR="00AF2783" w:rsidRPr="002758E7">
        <w:rPr>
          <w:rFonts w:ascii="Arial" w:eastAsia="Times New Roman" w:hAnsi="Arial" w:cs="Arial"/>
          <w:b/>
          <w:spacing w:val="-4"/>
          <w:sz w:val="24"/>
          <w:szCs w:val="24"/>
          <w:lang w:eastAsia="es-CO"/>
        </w:rPr>
        <w:t xml:space="preserve"> Santa Torres</w:t>
      </w:r>
      <w:r w:rsidR="00AF2783" w:rsidRPr="002758E7">
        <w:rPr>
          <w:rFonts w:ascii="Arial" w:eastAsia="Times New Roman" w:hAnsi="Arial" w:cs="Arial"/>
          <w:spacing w:val="-4"/>
          <w:sz w:val="24"/>
          <w:szCs w:val="24"/>
          <w:lang w:eastAsia="es-CO"/>
        </w:rPr>
        <w:t xml:space="preserve"> </w:t>
      </w:r>
      <w:r w:rsidRPr="002758E7">
        <w:rPr>
          <w:rFonts w:ascii="Arial" w:eastAsia="Times New Roman" w:hAnsi="Arial" w:cs="Arial"/>
          <w:spacing w:val="-4"/>
          <w:sz w:val="24"/>
          <w:szCs w:val="24"/>
          <w:lang w:eastAsia="es-CO"/>
        </w:rPr>
        <w:t xml:space="preserve">respecto de la sentencia proferida por el Juzgado </w:t>
      </w:r>
      <w:r w:rsidR="002D36FA" w:rsidRPr="002758E7">
        <w:rPr>
          <w:rFonts w:ascii="Arial" w:eastAsia="Times New Roman" w:hAnsi="Arial" w:cs="Arial"/>
          <w:spacing w:val="-4"/>
          <w:sz w:val="24"/>
          <w:szCs w:val="24"/>
          <w:lang w:eastAsia="es-CO"/>
        </w:rPr>
        <w:t>Segundo</w:t>
      </w:r>
      <w:r w:rsidRPr="002758E7">
        <w:rPr>
          <w:rFonts w:ascii="Arial" w:eastAsia="Times New Roman" w:hAnsi="Arial" w:cs="Arial"/>
          <w:spacing w:val="-4"/>
          <w:sz w:val="24"/>
          <w:szCs w:val="24"/>
          <w:lang w:eastAsia="es-CO"/>
        </w:rPr>
        <w:t xml:space="preserve"> Laboral del Circuito de Pereira el 2 de </w:t>
      </w:r>
      <w:r w:rsidR="002D36FA" w:rsidRPr="002758E7">
        <w:rPr>
          <w:rFonts w:ascii="Arial" w:eastAsia="Times New Roman" w:hAnsi="Arial" w:cs="Arial"/>
          <w:spacing w:val="-4"/>
          <w:sz w:val="24"/>
          <w:szCs w:val="24"/>
          <w:lang w:eastAsia="es-CO"/>
        </w:rPr>
        <w:t xml:space="preserve">septiembre de </w:t>
      </w:r>
      <w:r w:rsidRPr="002758E7">
        <w:rPr>
          <w:rFonts w:ascii="Arial" w:eastAsia="Times New Roman" w:hAnsi="Arial" w:cs="Arial"/>
          <w:spacing w:val="-4"/>
          <w:sz w:val="24"/>
          <w:szCs w:val="24"/>
          <w:lang w:eastAsia="es-CO"/>
        </w:rPr>
        <w:t xml:space="preserve">2021, dentro del proceso </w:t>
      </w:r>
      <w:r w:rsidR="002D36FA" w:rsidRPr="002758E7">
        <w:rPr>
          <w:rFonts w:ascii="Arial" w:eastAsia="Times New Roman" w:hAnsi="Arial" w:cs="Arial"/>
          <w:b/>
          <w:spacing w:val="-4"/>
          <w:sz w:val="24"/>
          <w:szCs w:val="24"/>
          <w:lang w:eastAsia="es-CO"/>
        </w:rPr>
        <w:t>ordinario laboral</w:t>
      </w:r>
      <w:r w:rsidR="002D36FA" w:rsidRPr="002758E7">
        <w:rPr>
          <w:rFonts w:ascii="Arial" w:eastAsia="Times New Roman" w:hAnsi="Arial" w:cs="Arial"/>
          <w:spacing w:val="-4"/>
          <w:sz w:val="24"/>
          <w:szCs w:val="24"/>
          <w:lang w:eastAsia="es-CO"/>
        </w:rPr>
        <w:t xml:space="preserve"> que aquel promueve en contra de </w:t>
      </w:r>
      <w:r w:rsidRPr="002758E7">
        <w:rPr>
          <w:rFonts w:ascii="Arial" w:eastAsia="Times New Roman" w:hAnsi="Arial" w:cs="Arial"/>
          <w:spacing w:val="-4"/>
          <w:sz w:val="24"/>
          <w:szCs w:val="24"/>
          <w:lang w:eastAsia="es-CO"/>
        </w:rPr>
        <w:t>l</w:t>
      </w:r>
      <w:r w:rsidR="00AF2783" w:rsidRPr="002758E7">
        <w:rPr>
          <w:rFonts w:ascii="Arial" w:eastAsia="Times New Roman" w:hAnsi="Arial" w:cs="Arial"/>
          <w:spacing w:val="-4"/>
          <w:sz w:val="24"/>
          <w:szCs w:val="24"/>
          <w:lang w:eastAsia="es-CO"/>
        </w:rPr>
        <w:t>a</w:t>
      </w:r>
      <w:r w:rsidR="00AF2783" w:rsidRPr="002758E7">
        <w:rPr>
          <w:rFonts w:ascii="Arial" w:eastAsia="Times New Roman" w:hAnsi="Arial" w:cs="Arial"/>
          <w:b/>
          <w:spacing w:val="-4"/>
          <w:sz w:val="24"/>
          <w:szCs w:val="24"/>
          <w:lang w:eastAsia="es-CO"/>
        </w:rPr>
        <w:t xml:space="preserve"> Administradora Colombiana de Pensiones – Colpensiones</w:t>
      </w:r>
      <w:r w:rsidR="002D36FA" w:rsidRPr="002758E7">
        <w:rPr>
          <w:rFonts w:ascii="Arial" w:eastAsia="Times New Roman" w:hAnsi="Arial" w:cs="Arial"/>
          <w:spacing w:val="-4"/>
          <w:sz w:val="24"/>
          <w:szCs w:val="24"/>
          <w:lang w:eastAsia="es-CO"/>
        </w:rPr>
        <w:t xml:space="preserve">, trámite al cual fue vinculado en calidad de litisconsorte necesario el </w:t>
      </w:r>
      <w:r w:rsidR="00AF2783" w:rsidRPr="002758E7">
        <w:rPr>
          <w:rFonts w:ascii="Arial" w:eastAsia="Times New Roman" w:hAnsi="Arial" w:cs="Arial"/>
          <w:b/>
          <w:spacing w:val="-4"/>
          <w:sz w:val="24"/>
          <w:szCs w:val="24"/>
          <w:lang w:eastAsia="es-CO"/>
        </w:rPr>
        <w:t>Municipio de Pereira</w:t>
      </w:r>
      <w:r w:rsidR="002D36FA" w:rsidRPr="002758E7">
        <w:rPr>
          <w:rFonts w:ascii="Arial" w:eastAsia="Times New Roman" w:hAnsi="Arial" w:cs="Arial"/>
          <w:spacing w:val="-4"/>
          <w:sz w:val="24"/>
          <w:szCs w:val="24"/>
          <w:lang w:eastAsia="es-CO"/>
        </w:rPr>
        <w:t xml:space="preserve">, </w:t>
      </w:r>
      <w:r w:rsidRPr="002758E7">
        <w:rPr>
          <w:rFonts w:ascii="Arial" w:eastAsia="Times New Roman" w:hAnsi="Arial" w:cs="Arial"/>
          <w:spacing w:val="-4"/>
          <w:sz w:val="24"/>
          <w:szCs w:val="24"/>
          <w:lang w:eastAsia="es-CO"/>
        </w:rPr>
        <w:t xml:space="preserve">cuya radicación corresponde al </w:t>
      </w:r>
      <w:r w:rsidR="002D36FA" w:rsidRPr="002758E7">
        <w:rPr>
          <w:rFonts w:ascii="Arial" w:eastAsia="Times New Roman" w:hAnsi="Arial" w:cs="Arial"/>
          <w:spacing w:val="-4"/>
          <w:sz w:val="24"/>
          <w:szCs w:val="24"/>
          <w:lang w:eastAsia="es-CO"/>
        </w:rPr>
        <w:t>No.</w:t>
      </w:r>
      <w:r w:rsidR="00AF2783" w:rsidRPr="002758E7">
        <w:rPr>
          <w:rFonts w:ascii="Arial" w:eastAsia="Times New Roman" w:hAnsi="Arial" w:cs="Arial"/>
          <w:spacing w:val="-4"/>
          <w:sz w:val="24"/>
          <w:szCs w:val="24"/>
          <w:lang w:eastAsia="es-CO"/>
        </w:rPr>
        <w:t xml:space="preserve"> </w:t>
      </w:r>
      <w:r w:rsidRPr="002758E7">
        <w:rPr>
          <w:rFonts w:ascii="Arial" w:eastAsia="Times New Roman" w:hAnsi="Arial" w:cs="Arial"/>
          <w:spacing w:val="-4"/>
          <w:sz w:val="24"/>
          <w:szCs w:val="24"/>
          <w:lang w:eastAsia="es-CO"/>
        </w:rPr>
        <w:t>66001310500</w:t>
      </w:r>
      <w:r w:rsidR="002D36FA" w:rsidRPr="002758E7">
        <w:rPr>
          <w:rFonts w:ascii="Arial" w:eastAsia="Times New Roman" w:hAnsi="Arial" w:cs="Arial"/>
          <w:spacing w:val="-4"/>
          <w:sz w:val="24"/>
          <w:szCs w:val="24"/>
          <w:lang w:eastAsia="es-CO"/>
        </w:rPr>
        <w:t>2</w:t>
      </w:r>
      <w:r w:rsidRPr="002758E7">
        <w:rPr>
          <w:rFonts w:ascii="Arial" w:eastAsia="Times New Roman" w:hAnsi="Arial" w:cs="Arial"/>
          <w:spacing w:val="-4"/>
          <w:sz w:val="24"/>
          <w:szCs w:val="24"/>
          <w:lang w:eastAsia="es-CO"/>
        </w:rPr>
        <w:t>201</w:t>
      </w:r>
      <w:r w:rsidR="002D36FA" w:rsidRPr="002758E7">
        <w:rPr>
          <w:rFonts w:ascii="Arial" w:eastAsia="Times New Roman" w:hAnsi="Arial" w:cs="Arial"/>
          <w:spacing w:val="-4"/>
          <w:sz w:val="24"/>
          <w:szCs w:val="24"/>
          <w:lang w:eastAsia="es-CO"/>
        </w:rPr>
        <w:t>80070101</w:t>
      </w:r>
      <w:r w:rsidRPr="002758E7">
        <w:rPr>
          <w:rFonts w:ascii="Arial" w:eastAsia="Times New Roman" w:hAnsi="Arial" w:cs="Arial"/>
          <w:spacing w:val="-4"/>
          <w:sz w:val="24"/>
          <w:szCs w:val="24"/>
          <w:lang w:eastAsia="es-CO"/>
        </w:rPr>
        <w:t>.</w:t>
      </w:r>
    </w:p>
    <w:p w:rsidR="000326F3" w:rsidRPr="002758E7" w:rsidRDefault="000326F3" w:rsidP="00625077">
      <w:pPr>
        <w:pStyle w:val="Sinespaciado"/>
        <w:spacing w:line="276" w:lineRule="auto"/>
        <w:rPr>
          <w:rFonts w:ascii="Arial" w:hAnsi="Arial" w:cs="Arial"/>
          <w:spacing w:val="-4"/>
          <w:sz w:val="24"/>
          <w:szCs w:val="24"/>
          <w:lang w:eastAsia="es-CO"/>
        </w:rPr>
      </w:pPr>
    </w:p>
    <w:p w:rsidR="000326F3" w:rsidRPr="002758E7" w:rsidRDefault="000326F3" w:rsidP="00625077">
      <w:pPr>
        <w:pStyle w:val="paragraph"/>
        <w:spacing w:before="0" w:beforeAutospacing="0" w:after="0" w:afterAutospacing="0" w:line="276" w:lineRule="auto"/>
        <w:jc w:val="center"/>
        <w:textAlignment w:val="baseline"/>
        <w:rPr>
          <w:rStyle w:val="eop"/>
          <w:rFonts w:ascii="Arial" w:eastAsia="Calibri" w:hAnsi="Arial" w:cs="Arial"/>
          <w:spacing w:val="-4"/>
        </w:rPr>
      </w:pPr>
      <w:r w:rsidRPr="002758E7">
        <w:rPr>
          <w:rStyle w:val="normaltextrun"/>
          <w:rFonts w:ascii="Arial" w:hAnsi="Arial" w:cs="Arial"/>
          <w:b/>
          <w:bCs/>
          <w:spacing w:val="-4"/>
        </w:rPr>
        <w:t>AUTO</w:t>
      </w:r>
      <w:r w:rsidRPr="002758E7">
        <w:rPr>
          <w:rStyle w:val="eop"/>
          <w:rFonts w:ascii="Arial" w:eastAsia="Calibri" w:hAnsi="Arial" w:cs="Arial"/>
          <w:spacing w:val="-4"/>
        </w:rPr>
        <w:t> </w:t>
      </w:r>
    </w:p>
    <w:p w:rsidR="002D36FA" w:rsidRPr="002758E7" w:rsidRDefault="002D36FA" w:rsidP="00625077">
      <w:pPr>
        <w:pStyle w:val="paragraph"/>
        <w:spacing w:before="0" w:beforeAutospacing="0" w:after="0" w:afterAutospacing="0" w:line="276" w:lineRule="auto"/>
        <w:jc w:val="center"/>
        <w:textAlignment w:val="baseline"/>
        <w:rPr>
          <w:rFonts w:ascii="Arial" w:hAnsi="Arial" w:cs="Arial"/>
          <w:spacing w:val="-4"/>
        </w:rPr>
      </w:pPr>
    </w:p>
    <w:p w:rsidR="002D36FA" w:rsidRPr="002758E7" w:rsidRDefault="00AF2783" w:rsidP="00625077">
      <w:pPr>
        <w:suppressAutoHyphens/>
        <w:spacing w:after="0"/>
        <w:jc w:val="both"/>
        <w:rPr>
          <w:rStyle w:val="normaltextrun"/>
          <w:rFonts w:ascii="Arial" w:hAnsi="Arial" w:cs="Arial"/>
          <w:spacing w:val="-4"/>
          <w:sz w:val="24"/>
          <w:szCs w:val="24"/>
        </w:rPr>
      </w:pPr>
      <w:r w:rsidRPr="002758E7">
        <w:rPr>
          <w:rStyle w:val="normaltextrun"/>
          <w:rFonts w:ascii="Arial" w:hAnsi="Arial" w:cs="Arial"/>
          <w:spacing w:val="-4"/>
          <w:sz w:val="24"/>
          <w:szCs w:val="24"/>
        </w:rPr>
        <w:t>(…)</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0326F3" w:rsidRPr="002758E7" w:rsidRDefault="000326F3" w:rsidP="00625077">
      <w:pPr>
        <w:spacing w:after="0"/>
        <w:jc w:val="center"/>
        <w:textAlignment w:val="baseline"/>
        <w:rPr>
          <w:rFonts w:ascii="Arial" w:eastAsia="Times New Roman" w:hAnsi="Arial" w:cs="Arial"/>
          <w:spacing w:val="-4"/>
          <w:sz w:val="24"/>
          <w:szCs w:val="24"/>
          <w:lang w:eastAsia="es-CO"/>
        </w:rPr>
      </w:pPr>
      <w:r w:rsidRPr="002758E7">
        <w:rPr>
          <w:rFonts w:ascii="Arial" w:eastAsia="Times New Roman" w:hAnsi="Arial" w:cs="Arial"/>
          <w:b/>
          <w:bCs/>
          <w:spacing w:val="-4"/>
          <w:sz w:val="24"/>
          <w:szCs w:val="24"/>
          <w:lang w:eastAsia="es-CO"/>
        </w:rPr>
        <w:t>ANTECEDENTES</w:t>
      </w:r>
      <w:r w:rsidRPr="002758E7">
        <w:rPr>
          <w:rFonts w:ascii="Arial" w:eastAsia="Times New Roman" w:hAnsi="Arial" w:cs="Arial"/>
          <w:spacing w:val="-4"/>
          <w:sz w:val="24"/>
          <w:szCs w:val="24"/>
          <w:lang w:eastAsia="es-CO"/>
        </w:rPr>
        <w:t>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lastRenderedPageBreak/>
        <w:t>Pretende </w:t>
      </w:r>
      <w:r w:rsidR="00B75E57" w:rsidRPr="002758E7">
        <w:rPr>
          <w:rFonts w:ascii="Arial" w:eastAsia="Times New Roman" w:hAnsi="Arial" w:cs="Arial"/>
          <w:spacing w:val="-4"/>
          <w:sz w:val="24"/>
          <w:szCs w:val="24"/>
          <w:lang w:eastAsia="es-CO"/>
        </w:rPr>
        <w:t xml:space="preserve">el señor </w:t>
      </w:r>
      <w:proofErr w:type="spellStart"/>
      <w:r w:rsidR="00B75E57" w:rsidRPr="002758E7">
        <w:rPr>
          <w:rFonts w:ascii="Arial" w:eastAsia="Times New Roman" w:hAnsi="Arial" w:cs="Arial"/>
          <w:spacing w:val="-4"/>
          <w:sz w:val="24"/>
          <w:szCs w:val="24"/>
          <w:lang w:eastAsia="es-CO"/>
        </w:rPr>
        <w:t>Dumbardo</w:t>
      </w:r>
      <w:proofErr w:type="spellEnd"/>
      <w:r w:rsidR="00B75E57" w:rsidRPr="002758E7">
        <w:rPr>
          <w:rFonts w:ascii="Arial" w:eastAsia="Times New Roman" w:hAnsi="Arial" w:cs="Arial"/>
          <w:spacing w:val="-4"/>
          <w:sz w:val="24"/>
          <w:szCs w:val="24"/>
          <w:lang w:eastAsia="es-CO"/>
        </w:rPr>
        <w:t xml:space="preserve"> Santa Torres </w:t>
      </w:r>
      <w:r w:rsidRPr="002758E7">
        <w:rPr>
          <w:rFonts w:ascii="Arial" w:eastAsia="Times New Roman" w:hAnsi="Arial" w:cs="Arial"/>
          <w:spacing w:val="-4"/>
          <w:sz w:val="24"/>
          <w:szCs w:val="24"/>
          <w:lang w:eastAsia="es-CO"/>
        </w:rPr>
        <w:t>que la justicia laboral declare que es beneficiari</w:t>
      </w:r>
      <w:r w:rsidR="00B75E57" w:rsidRPr="002758E7">
        <w:rPr>
          <w:rFonts w:ascii="Arial" w:eastAsia="Times New Roman" w:hAnsi="Arial" w:cs="Arial"/>
          <w:spacing w:val="-4"/>
          <w:sz w:val="24"/>
          <w:szCs w:val="24"/>
          <w:lang w:eastAsia="es-CO"/>
        </w:rPr>
        <w:t xml:space="preserve">o </w:t>
      </w:r>
      <w:r w:rsidRPr="002758E7">
        <w:rPr>
          <w:rFonts w:ascii="Arial" w:eastAsia="Times New Roman" w:hAnsi="Arial" w:cs="Arial"/>
          <w:spacing w:val="-4"/>
          <w:sz w:val="24"/>
          <w:szCs w:val="24"/>
          <w:lang w:eastAsia="es-CO"/>
        </w:rPr>
        <w:t xml:space="preserve">del régimen de transición previsto en el artículo 36 de la Ley 100 de 1993 y, por ende, </w:t>
      </w:r>
      <w:r w:rsidR="00B75E57" w:rsidRPr="002758E7">
        <w:rPr>
          <w:rFonts w:ascii="Arial" w:eastAsia="Times New Roman" w:hAnsi="Arial" w:cs="Arial"/>
          <w:spacing w:val="-4"/>
          <w:sz w:val="24"/>
          <w:szCs w:val="24"/>
          <w:lang w:eastAsia="es-CO"/>
        </w:rPr>
        <w:t xml:space="preserve">tiene derecho al reconocimiento y pago de la pensión de vejez con fundamento en la Ley 71 de 1988. Consecuente con ello, aspira que se condene a la Administradora Colombiana de Pensiones Colpensiones a reconocer y pagar dicha prestación pensional a partir del 9 de mayo de 2013, junto con el retroactivo, los intereses moratorios contemplados en el artículo 141 de la Ley 100 de 1993 o en subsidio la indexación, más las costas procesales a su favor.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Como sustento a sus pretensiones expone que nació el </w:t>
      </w:r>
      <w:r w:rsidR="00FD03C0" w:rsidRPr="002758E7">
        <w:rPr>
          <w:rFonts w:ascii="Arial" w:eastAsia="Times New Roman" w:hAnsi="Arial" w:cs="Arial"/>
          <w:spacing w:val="-4"/>
          <w:sz w:val="24"/>
          <w:szCs w:val="24"/>
          <w:lang w:eastAsia="es-CO"/>
        </w:rPr>
        <w:t>9 de mayo de 1953; inició su vida laboral en 1971 cotizando al Instituto de Seguros Sociales hoy Colpensiones; laboró más de 20 años de manera ininterrumpida al servicio del Municipio de Pereira, razón por la cual con fundamento en el punto 8° de la Convención Colectiva de Trabajo del 13 de noviembre de 1990, dicho ente territorial mediante acto administrativo No.477 del 19 de febrero de 2002 le reconoció la pensión de jubilación vitalicia en cuantía de $1´076.467; solicitó ante Colpensiones el reconocimiento y pago de la pensión de vejez, sin embargo, le fue negada a través de las Resoluciones GNR 383267 de</w:t>
      </w:r>
      <w:r w:rsidR="00986D0D" w:rsidRPr="002758E7">
        <w:rPr>
          <w:rFonts w:ascii="Arial" w:eastAsia="Times New Roman" w:hAnsi="Arial" w:cs="Arial"/>
          <w:spacing w:val="-4"/>
          <w:sz w:val="24"/>
          <w:szCs w:val="24"/>
          <w:lang w:eastAsia="es-CO"/>
        </w:rPr>
        <w:t xml:space="preserve">l 19 de diciembre de </w:t>
      </w:r>
      <w:r w:rsidR="00FD03C0" w:rsidRPr="002758E7">
        <w:rPr>
          <w:rFonts w:ascii="Arial" w:eastAsia="Times New Roman" w:hAnsi="Arial" w:cs="Arial"/>
          <w:spacing w:val="-4"/>
          <w:sz w:val="24"/>
          <w:szCs w:val="24"/>
          <w:lang w:eastAsia="es-CO"/>
        </w:rPr>
        <w:t>2016 y SUB 34174 de</w:t>
      </w:r>
      <w:r w:rsidR="00986D0D" w:rsidRPr="002758E7">
        <w:rPr>
          <w:rFonts w:ascii="Arial" w:eastAsia="Times New Roman" w:hAnsi="Arial" w:cs="Arial"/>
          <w:spacing w:val="-4"/>
          <w:sz w:val="24"/>
          <w:szCs w:val="24"/>
          <w:lang w:eastAsia="es-CO"/>
        </w:rPr>
        <w:t>l 25 de abril de</w:t>
      </w:r>
      <w:r w:rsidR="00FD03C0" w:rsidRPr="002758E7">
        <w:rPr>
          <w:rFonts w:ascii="Arial" w:eastAsia="Times New Roman" w:hAnsi="Arial" w:cs="Arial"/>
          <w:spacing w:val="-4"/>
          <w:sz w:val="24"/>
          <w:szCs w:val="24"/>
          <w:lang w:eastAsia="es-CO"/>
        </w:rPr>
        <w:t xml:space="preserve"> 2017, quedando agotad</w:t>
      </w:r>
      <w:r w:rsidR="00986D0D" w:rsidRPr="002758E7">
        <w:rPr>
          <w:rFonts w:ascii="Arial" w:eastAsia="Times New Roman" w:hAnsi="Arial" w:cs="Arial"/>
          <w:spacing w:val="-4"/>
          <w:sz w:val="24"/>
          <w:szCs w:val="24"/>
          <w:lang w:eastAsia="es-CO"/>
        </w:rPr>
        <w:t xml:space="preserve">o el requisito de procedibilidad.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Al contestar la demanda, la Administradora Colombiana de Pensiones manifestó que </w:t>
      </w:r>
      <w:r w:rsidR="006D39FA" w:rsidRPr="002758E7">
        <w:rPr>
          <w:rFonts w:ascii="Arial" w:eastAsia="Times New Roman" w:hAnsi="Arial" w:cs="Arial"/>
          <w:spacing w:val="-4"/>
          <w:sz w:val="24"/>
          <w:szCs w:val="24"/>
          <w:lang w:eastAsia="es-CO"/>
        </w:rPr>
        <w:t>existe incompatibilidad entre la pensión de jubilación reconocida por el Municipio de Pereira y la que se pretende ante la entidad de seguridad social, de conformidad con lo establecido en el artículo 49 del Decreto 758 de 1990</w:t>
      </w:r>
      <w:r w:rsidR="002A1BED" w:rsidRPr="002758E7">
        <w:rPr>
          <w:rFonts w:ascii="Arial" w:eastAsia="Times New Roman" w:hAnsi="Arial" w:cs="Arial"/>
          <w:spacing w:val="-4"/>
          <w:sz w:val="24"/>
          <w:szCs w:val="24"/>
          <w:lang w:eastAsia="es-CO"/>
        </w:rPr>
        <w:t xml:space="preserve"> y el artículo 128 de la Constitución Política</w:t>
      </w:r>
      <w:r w:rsidR="006D39FA" w:rsidRPr="002758E7">
        <w:rPr>
          <w:rFonts w:ascii="Arial" w:eastAsia="Times New Roman" w:hAnsi="Arial" w:cs="Arial"/>
          <w:spacing w:val="-4"/>
          <w:sz w:val="24"/>
          <w:szCs w:val="24"/>
          <w:lang w:eastAsia="es-CO"/>
        </w:rPr>
        <w:t>, pues se estaría presentando un doble pago y por ende un detrimento patrimonial</w:t>
      </w:r>
      <w:r w:rsidR="002A1BED" w:rsidRPr="002758E7">
        <w:rPr>
          <w:rFonts w:ascii="Arial" w:eastAsia="Times New Roman" w:hAnsi="Arial" w:cs="Arial"/>
          <w:spacing w:val="-4"/>
          <w:sz w:val="24"/>
          <w:szCs w:val="24"/>
          <w:lang w:eastAsia="es-CO"/>
        </w:rPr>
        <w:t xml:space="preserve"> del tesoro público</w:t>
      </w:r>
      <w:r w:rsidR="006D39FA" w:rsidRPr="002758E7">
        <w:rPr>
          <w:rFonts w:ascii="Arial" w:eastAsia="Times New Roman" w:hAnsi="Arial" w:cs="Arial"/>
          <w:spacing w:val="-4"/>
          <w:sz w:val="24"/>
          <w:szCs w:val="24"/>
          <w:lang w:eastAsia="es-CO"/>
        </w:rPr>
        <w:t>. Se opuso a la prosperidad de las pretensiones y en su defensa</w:t>
      </w:r>
      <w:r w:rsidR="002A1BED" w:rsidRPr="002758E7">
        <w:rPr>
          <w:rFonts w:ascii="Arial" w:eastAsia="Times New Roman" w:hAnsi="Arial" w:cs="Arial"/>
          <w:spacing w:val="-4"/>
          <w:sz w:val="24"/>
          <w:szCs w:val="24"/>
          <w:lang w:eastAsia="es-CO"/>
        </w:rPr>
        <w:t xml:space="preserve"> f</w:t>
      </w:r>
      <w:r w:rsidRPr="002758E7">
        <w:rPr>
          <w:rFonts w:ascii="Arial" w:eastAsia="Times New Roman" w:hAnsi="Arial" w:cs="Arial"/>
          <w:spacing w:val="-4"/>
          <w:sz w:val="24"/>
          <w:szCs w:val="24"/>
          <w:lang w:eastAsia="es-CO"/>
        </w:rPr>
        <w:t>ormuló las excepciones de mérito que denominó “</w:t>
      </w:r>
      <w:r w:rsidR="002A1BED" w:rsidRPr="002758E7">
        <w:rPr>
          <w:rFonts w:ascii="Arial" w:eastAsia="Times New Roman" w:hAnsi="Arial" w:cs="Arial"/>
          <w:i/>
          <w:spacing w:val="-4"/>
          <w:sz w:val="24"/>
          <w:szCs w:val="24"/>
          <w:lang w:eastAsia="es-CO"/>
        </w:rPr>
        <w:t>Inexistencia de la obligación”, “Prescripción”, Imposibilidad jurídica para reconocer y pagar derechos por fuera del ordenamiento legal”, “Buena fe”, Imposibilidad de condena en costas</w:t>
      </w:r>
      <w:r w:rsidR="002A1BED" w:rsidRPr="002758E7">
        <w:rPr>
          <w:rFonts w:ascii="Arial" w:eastAsia="Times New Roman" w:hAnsi="Arial" w:cs="Arial"/>
          <w:spacing w:val="-4"/>
          <w:sz w:val="24"/>
          <w:szCs w:val="24"/>
          <w:lang w:eastAsia="es-CO"/>
        </w:rPr>
        <w:t xml:space="preserve">” y </w:t>
      </w:r>
      <w:r w:rsidR="002A1BED" w:rsidRPr="002758E7">
        <w:rPr>
          <w:rFonts w:ascii="Arial" w:eastAsia="Times New Roman" w:hAnsi="Arial" w:cs="Arial"/>
          <w:i/>
          <w:spacing w:val="-4"/>
          <w:sz w:val="24"/>
          <w:szCs w:val="24"/>
          <w:lang w:eastAsia="es-CO"/>
        </w:rPr>
        <w:t>“Declaratoria de otras excepciones</w:t>
      </w:r>
      <w:r w:rsidR="002A1BED" w:rsidRPr="002758E7">
        <w:rPr>
          <w:rFonts w:ascii="Arial" w:eastAsia="Times New Roman" w:hAnsi="Arial" w:cs="Arial"/>
          <w:spacing w:val="-4"/>
          <w:sz w:val="24"/>
          <w:szCs w:val="24"/>
          <w:lang w:eastAsia="es-CO"/>
        </w:rPr>
        <w:t xml:space="preserve">”, (archivo 11 del expediente digital). </w:t>
      </w:r>
    </w:p>
    <w:p w:rsidR="002A1BED" w:rsidRPr="002758E7" w:rsidRDefault="002A1BED" w:rsidP="00625077">
      <w:pPr>
        <w:spacing w:after="0"/>
        <w:jc w:val="both"/>
        <w:textAlignment w:val="baseline"/>
        <w:rPr>
          <w:rFonts w:ascii="Arial" w:eastAsia="Times New Roman" w:hAnsi="Arial" w:cs="Arial"/>
          <w:spacing w:val="-4"/>
          <w:sz w:val="24"/>
          <w:szCs w:val="24"/>
          <w:lang w:eastAsia="es-CO"/>
        </w:rPr>
      </w:pPr>
    </w:p>
    <w:p w:rsidR="002A1BED" w:rsidRPr="002758E7" w:rsidRDefault="002A1BED"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El Municipio de Pereira dio contestación a la demanda,</w:t>
      </w:r>
      <w:r w:rsidR="00121E23" w:rsidRPr="002758E7">
        <w:rPr>
          <w:rFonts w:ascii="Arial" w:eastAsia="Times New Roman" w:hAnsi="Arial" w:cs="Arial"/>
          <w:spacing w:val="-4"/>
          <w:sz w:val="24"/>
          <w:szCs w:val="24"/>
          <w:lang w:eastAsia="es-CO"/>
        </w:rPr>
        <w:t xml:space="preserve"> aceptando que el demandante </w:t>
      </w:r>
      <w:r w:rsidR="00991038" w:rsidRPr="002758E7">
        <w:rPr>
          <w:rFonts w:ascii="Arial" w:eastAsia="Times New Roman" w:hAnsi="Arial" w:cs="Arial"/>
          <w:spacing w:val="-4"/>
          <w:sz w:val="24"/>
          <w:szCs w:val="24"/>
          <w:lang w:eastAsia="es-CO"/>
        </w:rPr>
        <w:t xml:space="preserve">le </w:t>
      </w:r>
      <w:r w:rsidR="00121E23" w:rsidRPr="002758E7">
        <w:rPr>
          <w:rFonts w:ascii="Arial" w:eastAsia="Times New Roman" w:hAnsi="Arial" w:cs="Arial"/>
          <w:spacing w:val="-4"/>
          <w:sz w:val="24"/>
          <w:szCs w:val="24"/>
          <w:lang w:eastAsia="es-CO"/>
        </w:rPr>
        <w:t xml:space="preserve">prestó </w:t>
      </w:r>
      <w:r w:rsidR="00991038" w:rsidRPr="002758E7">
        <w:rPr>
          <w:rFonts w:ascii="Arial" w:eastAsia="Times New Roman" w:hAnsi="Arial" w:cs="Arial"/>
          <w:spacing w:val="-4"/>
          <w:sz w:val="24"/>
          <w:szCs w:val="24"/>
          <w:lang w:eastAsia="es-CO"/>
        </w:rPr>
        <w:t xml:space="preserve">20 años de servicio, </w:t>
      </w:r>
      <w:r w:rsidR="00121E23" w:rsidRPr="002758E7">
        <w:rPr>
          <w:rFonts w:ascii="Arial" w:eastAsia="Times New Roman" w:hAnsi="Arial" w:cs="Arial"/>
          <w:spacing w:val="-4"/>
          <w:sz w:val="24"/>
          <w:szCs w:val="24"/>
          <w:lang w:eastAsia="es-CO"/>
        </w:rPr>
        <w:t>advirtiendo que no lo fue</w:t>
      </w:r>
      <w:r w:rsidR="00991038" w:rsidRPr="002758E7">
        <w:rPr>
          <w:rFonts w:ascii="Arial" w:eastAsia="Times New Roman" w:hAnsi="Arial" w:cs="Arial"/>
          <w:spacing w:val="-4"/>
          <w:sz w:val="24"/>
          <w:szCs w:val="24"/>
          <w:lang w:eastAsia="es-CO"/>
        </w:rPr>
        <w:t xml:space="preserve"> de manera continua; </w:t>
      </w:r>
      <w:r w:rsidR="00121E23" w:rsidRPr="002758E7">
        <w:rPr>
          <w:rFonts w:ascii="Arial" w:eastAsia="Times New Roman" w:hAnsi="Arial" w:cs="Arial"/>
          <w:spacing w:val="-4"/>
          <w:sz w:val="24"/>
          <w:szCs w:val="24"/>
          <w:lang w:eastAsia="es-CO"/>
        </w:rPr>
        <w:t xml:space="preserve">que en tal virtud le fue reconocida la pensión de jubilación convencional. En su defensa propuso como excepciones de fondo las de: </w:t>
      </w:r>
      <w:r w:rsidR="00121E23" w:rsidRPr="002758E7">
        <w:rPr>
          <w:rFonts w:ascii="Arial" w:eastAsia="Times New Roman" w:hAnsi="Arial" w:cs="Arial"/>
          <w:i/>
          <w:spacing w:val="-4"/>
          <w:sz w:val="24"/>
          <w:szCs w:val="24"/>
          <w:lang w:eastAsia="es-CO"/>
        </w:rPr>
        <w:t>“Falta de legitimación en la causa por pasiva</w:t>
      </w:r>
      <w:r w:rsidR="00121E23" w:rsidRPr="002758E7">
        <w:rPr>
          <w:rFonts w:ascii="Arial" w:eastAsia="Times New Roman" w:hAnsi="Arial" w:cs="Arial"/>
          <w:spacing w:val="-4"/>
          <w:sz w:val="24"/>
          <w:szCs w:val="24"/>
          <w:lang w:eastAsia="es-CO"/>
        </w:rPr>
        <w:t>” y “</w:t>
      </w:r>
      <w:r w:rsidR="00121E23" w:rsidRPr="002758E7">
        <w:rPr>
          <w:rFonts w:ascii="Arial" w:eastAsia="Times New Roman" w:hAnsi="Arial" w:cs="Arial"/>
          <w:i/>
          <w:spacing w:val="-4"/>
          <w:sz w:val="24"/>
          <w:szCs w:val="24"/>
          <w:lang w:eastAsia="es-CO"/>
        </w:rPr>
        <w:t>Genérica</w:t>
      </w:r>
      <w:r w:rsidR="00121E23" w:rsidRPr="002758E7">
        <w:rPr>
          <w:rFonts w:ascii="Arial" w:eastAsia="Times New Roman" w:hAnsi="Arial" w:cs="Arial"/>
          <w:spacing w:val="-4"/>
          <w:sz w:val="24"/>
          <w:szCs w:val="24"/>
          <w:lang w:eastAsia="es-CO"/>
        </w:rPr>
        <w:t>”, (archivo 15 del expediente digital).</w:t>
      </w:r>
    </w:p>
    <w:p w:rsidR="002A1BED" w:rsidRPr="002758E7" w:rsidRDefault="002A1BED" w:rsidP="00625077">
      <w:pPr>
        <w:spacing w:after="0"/>
        <w:jc w:val="both"/>
        <w:textAlignment w:val="baseline"/>
        <w:rPr>
          <w:rFonts w:ascii="Arial" w:eastAsia="Times New Roman" w:hAnsi="Arial" w:cs="Arial"/>
          <w:spacing w:val="-4"/>
          <w:sz w:val="24"/>
          <w:szCs w:val="24"/>
          <w:lang w:eastAsia="es-CO"/>
        </w:rPr>
      </w:pPr>
    </w:p>
    <w:p w:rsidR="005C28E3" w:rsidRPr="002758E7" w:rsidRDefault="000326F3" w:rsidP="00625077">
      <w:pPr>
        <w:spacing w:after="0"/>
        <w:jc w:val="both"/>
        <w:textAlignment w:val="baseline"/>
        <w:rPr>
          <w:rFonts w:ascii="Arial" w:eastAsia="Times New Roman" w:hAnsi="Arial" w:cs="Arial"/>
          <w:spacing w:val="-4"/>
          <w:sz w:val="24"/>
          <w:szCs w:val="24"/>
          <w:lang w:eastAsia="es-CO"/>
        </w:rPr>
      </w:pPr>
      <w:bookmarkStart w:id="1" w:name="_Hlk106790687"/>
      <w:r w:rsidRPr="002758E7">
        <w:rPr>
          <w:rFonts w:ascii="Arial" w:eastAsia="Times New Roman" w:hAnsi="Arial" w:cs="Arial"/>
          <w:spacing w:val="-4"/>
          <w:sz w:val="24"/>
          <w:szCs w:val="24"/>
          <w:lang w:eastAsia="es-CO"/>
        </w:rPr>
        <w:t xml:space="preserve">En sentencia de 2 de </w:t>
      </w:r>
      <w:r w:rsidR="00991038" w:rsidRPr="002758E7">
        <w:rPr>
          <w:rFonts w:ascii="Arial" w:eastAsia="Times New Roman" w:hAnsi="Arial" w:cs="Arial"/>
          <w:spacing w:val="-4"/>
          <w:sz w:val="24"/>
          <w:szCs w:val="24"/>
          <w:lang w:eastAsia="es-CO"/>
        </w:rPr>
        <w:t>septiembre</w:t>
      </w:r>
      <w:r w:rsidRPr="002758E7">
        <w:rPr>
          <w:rFonts w:ascii="Arial" w:eastAsia="Times New Roman" w:hAnsi="Arial" w:cs="Arial"/>
          <w:spacing w:val="-4"/>
          <w:sz w:val="24"/>
          <w:szCs w:val="24"/>
          <w:lang w:eastAsia="es-CO"/>
        </w:rPr>
        <w:t xml:space="preserve"> de 2021, la funcionaria de primer grado, </w:t>
      </w:r>
      <w:r w:rsidR="005C28E3" w:rsidRPr="002758E7">
        <w:rPr>
          <w:rFonts w:ascii="Arial" w:eastAsia="Times New Roman" w:hAnsi="Arial" w:cs="Arial"/>
          <w:spacing w:val="-4"/>
          <w:sz w:val="24"/>
          <w:szCs w:val="24"/>
          <w:lang w:eastAsia="es-CO"/>
        </w:rPr>
        <w:t xml:space="preserve">luego de </w:t>
      </w:r>
      <w:r w:rsidR="005101AD" w:rsidRPr="002758E7">
        <w:rPr>
          <w:rFonts w:ascii="Arial" w:eastAsia="Times New Roman" w:hAnsi="Arial" w:cs="Arial"/>
          <w:spacing w:val="-4"/>
          <w:sz w:val="24"/>
          <w:szCs w:val="24"/>
          <w:lang w:eastAsia="es-CO"/>
        </w:rPr>
        <w:t>precisar</w:t>
      </w:r>
      <w:r w:rsidR="005C28E3" w:rsidRPr="002758E7">
        <w:rPr>
          <w:rFonts w:ascii="Arial" w:eastAsia="Times New Roman" w:hAnsi="Arial" w:cs="Arial"/>
          <w:spacing w:val="-4"/>
          <w:sz w:val="24"/>
          <w:szCs w:val="24"/>
          <w:lang w:eastAsia="es-CO"/>
        </w:rPr>
        <w:t xml:space="preserve"> la diferencia </w:t>
      </w:r>
      <w:r w:rsidR="005101AD" w:rsidRPr="002758E7">
        <w:rPr>
          <w:rFonts w:ascii="Arial" w:eastAsia="Times New Roman" w:hAnsi="Arial" w:cs="Arial"/>
          <w:spacing w:val="-4"/>
          <w:sz w:val="24"/>
          <w:szCs w:val="24"/>
          <w:lang w:eastAsia="es-CO"/>
        </w:rPr>
        <w:t>entre l</w:t>
      </w:r>
      <w:r w:rsidR="00BD7DCA" w:rsidRPr="002758E7">
        <w:rPr>
          <w:rFonts w:ascii="Arial" w:eastAsia="Times New Roman" w:hAnsi="Arial" w:cs="Arial"/>
          <w:spacing w:val="-4"/>
          <w:sz w:val="24"/>
          <w:szCs w:val="24"/>
          <w:lang w:eastAsia="es-CO"/>
        </w:rPr>
        <w:t>a</w:t>
      </w:r>
      <w:r w:rsidR="005101AD" w:rsidRPr="002758E7">
        <w:rPr>
          <w:rFonts w:ascii="Arial" w:eastAsia="Times New Roman" w:hAnsi="Arial" w:cs="Arial"/>
          <w:spacing w:val="-4"/>
          <w:sz w:val="24"/>
          <w:szCs w:val="24"/>
          <w:lang w:eastAsia="es-CO"/>
        </w:rPr>
        <w:t xml:space="preserve"> </w:t>
      </w:r>
      <w:r w:rsidR="005C28E3" w:rsidRPr="002758E7">
        <w:rPr>
          <w:rFonts w:ascii="Arial" w:eastAsia="Times New Roman" w:hAnsi="Arial" w:cs="Arial"/>
          <w:spacing w:val="-4"/>
          <w:sz w:val="24"/>
          <w:szCs w:val="24"/>
          <w:lang w:eastAsia="es-CO"/>
        </w:rPr>
        <w:t xml:space="preserve">compatibilidad y </w:t>
      </w:r>
      <w:r w:rsidR="00BD7DCA" w:rsidRPr="002758E7">
        <w:rPr>
          <w:rFonts w:ascii="Arial" w:eastAsia="Times New Roman" w:hAnsi="Arial" w:cs="Arial"/>
          <w:spacing w:val="-4"/>
          <w:sz w:val="24"/>
          <w:szCs w:val="24"/>
          <w:lang w:eastAsia="es-CO"/>
        </w:rPr>
        <w:t xml:space="preserve">la </w:t>
      </w:r>
      <w:proofErr w:type="spellStart"/>
      <w:r w:rsidR="005C28E3" w:rsidRPr="002758E7">
        <w:rPr>
          <w:rFonts w:ascii="Arial" w:eastAsia="Times New Roman" w:hAnsi="Arial" w:cs="Arial"/>
          <w:spacing w:val="-4"/>
          <w:sz w:val="24"/>
          <w:szCs w:val="24"/>
          <w:lang w:eastAsia="es-CO"/>
        </w:rPr>
        <w:t>compartibilidad</w:t>
      </w:r>
      <w:proofErr w:type="spellEnd"/>
      <w:r w:rsidR="005C28E3" w:rsidRPr="002758E7">
        <w:rPr>
          <w:rFonts w:ascii="Arial" w:eastAsia="Times New Roman" w:hAnsi="Arial" w:cs="Arial"/>
          <w:spacing w:val="-4"/>
          <w:sz w:val="24"/>
          <w:szCs w:val="24"/>
          <w:lang w:eastAsia="es-CO"/>
        </w:rPr>
        <w:t xml:space="preserve"> pensional, dijo que según lo disp</w:t>
      </w:r>
      <w:r w:rsidR="006228D8" w:rsidRPr="002758E7">
        <w:rPr>
          <w:rFonts w:ascii="Arial" w:eastAsia="Times New Roman" w:hAnsi="Arial" w:cs="Arial"/>
          <w:spacing w:val="-4"/>
          <w:sz w:val="24"/>
          <w:szCs w:val="24"/>
          <w:lang w:eastAsia="es-CO"/>
        </w:rPr>
        <w:t xml:space="preserve">uesto en el artículo 18 del Acuerdo 049 de 1990 y los múltiples pronunciamientos </w:t>
      </w:r>
      <w:r w:rsidR="005C28E3" w:rsidRPr="002758E7">
        <w:rPr>
          <w:rFonts w:ascii="Arial" w:eastAsia="Times New Roman" w:hAnsi="Arial" w:cs="Arial"/>
          <w:spacing w:val="-4"/>
          <w:sz w:val="24"/>
          <w:szCs w:val="24"/>
          <w:lang w:eastAsia="es-CO"/>
        </w:rPr>
        <w:t>proferidos</w:t>
      </w:r>
      <w:r w:rsidR="006228D8" w:rsidRPr="002758E7">
        <w:rPr>
          <w:rFonts w:ascii="Arial" w:eastAsia="Times New Roman" w:hAnsi="Arial" w:cs="Arial"/>
          <w:spacing w:val="-4"/>
          <w:sz w:val="24"/>
          <w:szCs w:val="24"/>
          <w:lang w:eastAsia="es-CO"/>
        </w:rPr>
        <w:t xml:space="preserve"> por la Sala de Casación Laboral y el Consejo de Estado,</w:t>
      </w:r>
      <w:r w:rsidR="005C28E3" w:rsidRPr="002758E7">
        <w:rPr>
          <w:rFonts w:ascii="Arial" w:eastAsia="Times New Roman" w:hAnsi="Arial" w:cs="Arial"/>
          <w:spacing w:val="-4"/>
          <w:sz w:val="24"/>
          <w:szCs w:val="24"/>
          <w:lang w:eastAsia="es-CO"/>
        </w:rPr>
        <w:t xml:space="preserve"> los empleadores que asumían el pago de las pensiones de sus trabajadores podían continuar cotizando al ISS con el fin de subrogarse en la obligación, y </w:t>
      </w:r>
      <w:r w:rsidR="005101AD" w:rsidRPr="002758E7">
        <w:rPr>
          <w:rFonts w:ascii="Arial" w:eastAsia="Times New Roman" w:hAnsi="Arial" w:cs="Arial"/>
          <w:spacing w:val="-4"/>
          <w:sz w:val="24"/>
          <w:szCs w:val="24"/>
          <w:lang w:eastAsia="es-CO"/>
        </w:rPr>
        <w:t xml:space="preserve">que </w:t>
      </w:r>
      <w:r w:rsidR="005C28E3" w:rsidRPr="002758E7">
        <w:rPr>
          <w:rFonts w:ascii="Arial" w:eastAsia="Times New Roman" w:hAnsi="Arial" w:cs="Arial"/>
          <w:spacing w:val="-4"/>
          <w:sz w:val="24"/>
          <w:szCs w:val="24"/>
          <w:lang w:eastAsia="es-CO"/>
        </w:rPr>
        <w:t xml:space="preserve">en tal sentido la pensión de jubilación convencional o extralegal que reconocían tendría la virtualidad de ser compartida con la que otorga el ISS hoy Colpensiones por el riesgo de vejez, una vez el extrabajador cumpliera los requisitos de ley. </w:t>
      </w:r>
    </w:p>
    <w:p w:rsidR="005C28E3" w:rsidRPr="002758E7" w:rsidRDefault="005C28E3" w:rsidP="00625077">
      <w:pPr>
        <w:spacing w:after="0"/>
        <w:jc w:val="both"/>
        <w:textAlignment w:val="baseline"/>
        <w:rPr>
          <w:rFonts w:ascii="Arial" w:eastAsia="Times New Roman" w:hAnsi="Arial" w:cs="Arial"/>
          <w:spacing w:val="-4"/>
          <w:sz w:val="24"/>
          <w:szCs w:val="24"/>
          <w:lang w:eastAsia="es-CO"/>
        </w:rPr>
      </w:pPr>
    </w:p>
    <w:p w:rsidR="005C28E3" w:rsidRPr="002758E7" w:rsidRDefault="005101AD"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E</w:t>
      </w:r>
      <w:r w:rsidR="005C28E3" w:rsidRPr="002758E7">
        <w:rPr>
          <w:rFonts w:ascii="Arial" w:eastAsia="Times New Roman" w:hAnsi="Arial" w:cs="Arial"/>
          <w:spacing w:val="-4"/>
          <w:sz w:val="24"/>
          <w:szCs w:val="24"/>
          <w:lang w:eastAsia="es-CO"/>
        </w:rPr>
        <w:t xml:space="preserve">sgrimió </w:t>
      </w:r>
      <w:r w:rsidRPr="002758E7">
        <w:rPr>
          <w:rFonts w:ascii="Arial" w:eastAsia="Times New Roman" w:hAnsi="Arial" w:cs="Arial"/>
          <w:spacing w:val="-4"/>
          <w:sz w:val="24"/>
          <w:szCs w:val="24"/>
          <w:lang w:eastAsia="es-CO"/>
        </w:rPr>
        <w:t xml:space="preserve">seguidamente </w:t>
      </w:r>
      <w:r w:rsidR="005C28E3" w:rsidRPr="002758E7">
        <w:rPr>
          <w:rFonts w:ascii="Arial" w:eastAsia="Times New Roman" w:hAnsi="Arial" w:cs="Arial"/>
          <w:spacing w:val="-4"/>
          <w:sz w:val="24"/>
          <w:szCs w:val="24"/>
          <w:lang w:eastAsia="es-CO"/>
        </w:rPr>
        <w:t xml:space="preserve">que </w:t>
      </w:r>
      <w:r w:rsidRPr="002758E7">
        <w:rPr>
          <w:rFonts w:ascii="Arial" w:eastAsia="Times New Roman" w:hAnsi="Arial" w:cs="Arial"/>
          <w:spacing w:val="-4"/>
          <w:sz w:val="24"/>
          <w:szCs w:val="24"/>
          <w:lang w:eastAsia="es-CO"/>
        </w:rPr>
        <w:t>sería</w:t>
      </w:r>
      <w:r w:rsidR="005C28E3" w:rsidRPr="002758E7">
        <w:rPr>
          <w:rFonts w:ascii="Arial" w:eastAsia="Times New Roman" w:hAnsi="Arial" w:cs="Arial"/>
          <w:spacing w:val="-4"/>
          <w:sz w:val="24"/>
          <w:szCs w:val="24"/>
          <w:lang w:eastAsia="es-CO"/>
        </w:rPr>
        <w:t xml:space="preserve"> viable percibir una pensión de jubilación por servicios prestados en el sector público y a la vez recibir una pensión de vejez por parte del </w:t>
      </w:r>
      <w:r w:rsidRPr="002758E7">
        <w:rPr>
          <w:rFonts w:ascii="Arial" w:eastAsia="Times New Roman" w:hAnsi="Arial" w:cs="Arial"/>
          <w:spacing w:val="-4"/>
          <w:sz w:val="24"/>
          <w:szCs w:val="24"/>
          <w:lang w:eastAsia="es-CO"/>
        </w:rPr>
        <w:t>régimen de prima media</w:t>
      </w:r>
      <w:r w:rsidR="005C28E3" w:rsidRPr="002758E7">
        <w:rPr>
          <w:rFonts w:ascii="Arial" w:eastAsia="Times New Roman" w:hAnsi="Arial" w:cs="Arial"/>
          <w:spacing w:val="-4"/>
          <w:sz w:val="24"/>
          <w:szCs w:val="24"/>
          <w:lang w:eastAsia="es-CO"/>
        </w:rPr>
        <w:t xml:space="preserve">, siempre que esta se reconozca por servicios prestados a </w:t>
      </w:r>
      <w:r w:rsidR="005C28E3" w:rsidRPr="002758E7">
        <w:rPr>
          <w:rFonts w:ascii="Arial" w:eastAsia="Times New Roman" w:hAnsi="Arial" w:cs="Arial"/>
          <w:spacing w:val="-4"/>
          <w:sz w:val="24"/>
          <w:szCs w:val="24"/>
          <w:lang w:eastAsia="es-CO"/>
        </w:rPr>
        <w:lastRenderedPageBreak/>
        <w:t xml:space="preserve">patronos particulares, empero que no ocurría lo mismo cuando la pensión que reconoce el </w:t>
      </w:r>
      <w:r w:rsidRPr="002758E7">
        <w:rPr>
          <w:rFonts w:ascii="Arial" w:eastAsia="Times New Roman" w:hAnsi="Arial" w:cs="Arial"/>
          <w:spacing w:val="-4"/>
          <w:sz w:val="24"/>
          <w:szCs w:val="24"/>
          <w:lang w:eastAsia="es-CO"/>
        </w:rPr>
        <w:t>sistema general de pensiones</w:t>
      </w:r>
      <w:r w:rsidR="005C28E3" w:rsidRPr="002758E7">
        <w:rPr>
          <w:rFonts w:ascii="Arial" w:eastAsia="Times New Roman" w:hAnsi="Arial" w:cs="Arial"/>
          <w:spacing w:val="-4"/>
          <w:sz w:val="24"/>
          <w:szCs w:val="24"/>
          <w:lang w:eastAsia="es-CO"/>
        </w:rPr>
        <w:t xml:space="preserve"> incluye tiempos laborados en el sector </w:t>
      </w:r>
      <w:r w:rsidRPr="002758E7">
        <w:rPr>
          <w:rFonts w:ascii="Arial" w:eastAsia="Times New Roman" w:hAnsi="Arial" w:cs="Arial"/>
          <w:spacing w:val="-4"/>
          <w:sz w:val="24"/>
          <w:szCs w:val="24"/>
          <w:lang w:eastAsia="es-CO"/>
        </w:rPr>
        <w:t>público, pues en dichos eventos s</w:t>
      </w:r>
      <w:r w:rsidR="005C28E3" w:rsidRPr="002758E7">
        <w:rPr>
          <w:rFonts w:ascii="Arial" w:eastAsia="Times New Roman" w:hAnsi="Arial" w:cs="Arial"/>
          <w:spacing w:val="-4"/>
          <w:sz w:val="24"/>
          <w:szCs w:val="24"/>
          <w:lang w:eastAsia="es-CO"/>
        </w:rPr>
        <w:t xml:space="preserve">e involucran dineros que provienen del tesoro público o instituciones con participación mayoritaria del Estado, </w:t>
      </w:r>
      <w:r w:rsidRPr="002758E7">
        <w:rPr>
          <w:rFonts w:ascii="Arial" w:eastAsia="Times New Roman" w:hAnsi="Arial" w:cs="Arial"/>
          <w:spacing w:val="-4"/>
          <w:sz w:val="24"/>
          <w:szCs w:val="24"/>
          <w:lang w:eastAsia="es-CO"/>
        </w:rPr>
        <w:t xml:space="preserve">siendo entonces incompatible con </w:t>
      </w:r>
      <w:r w:rsidR="005C28E3" w:rsidRPr="002758E7">
        <w:rPr>
          <w:rFonts w:ascii="Arial" w:eastAsia="Times New Roman" w:hAnsi="Arial" w:cs="Arial"/>
          <w:spacing w:val="-4"/>
          <w:sz w:val="24"/>
          <w:szCs w:val="24"/>
          <w:lang w:eastAsia="es-CO"/>
        </w:rPr>
        <w:t>la pensión de jubilación reconocida por servicios prestados en el sector público</w:t>
      </w:r>
      <w:r w:rsidRPr="002758E7">
        <w:rPr>
          <w:rFonts w:ascii="Arial" w:eastAsia="Times New Roman" w:hAnsi="Arial" w:cs="Arial"/>
          <w:spacing w:val="-4"/>
          <w:sz w:val="24"/>
          <w:szCs w:val="24"/>
          <w:lang w:eastAsia="es-CO"/>
        </w:rPr>
        <w:t xml:space="preserve">; para el efecto trajo a colación y citó algunos de los apartes de la sentencia </w:t>
      </w:r>
      <w:r w:rsidR="005C28E3" w:rsidRPr="002758E7">
        <w:rPr>
          <w:rFonts w:ascii="Arial" w:eastAsia="Times New Roman" w:hAnsi="Arial" w:cs="Arial"/>
          <w:spacing w:val="-4"/>
          <w:sz w:val="24"/>
          <w:szCs w:val="24"/>
          <w:lang w:eastAsia="es-CO"/>
        </w:rPr>
        <w:t>SL 2247 de 2021</w:t>
      </w:r>
      <w:r w:rsidRPr="002758E7">
        <w:rPr>
          <w:rFonts w:ascii="Arial" w:eastAsia="Times New Roman" w:hAnsi="Arial" w:cs="Arial"/>
          <w:spacing w:val="-4"/>
          <w:sz w:val="24"/>
          <w:szCs w:val="24"/>
          <w:lang w:eastAsia="es-CO"/>
        </w:rPr>
        <w:t xml:space="preserve">. </w:t>
      </w:r>
    </w:p>
    <w:p w:rsidR="002B1599" w:rsidRPr="002758E7" w:rsidRDefault="002B1599" w:rsidP="00625077">
      <w:pPr>
        <w:spacing w:after="0"/>
        <w:jc w:val="both"/>
        <w:textAlignment w:val="baseline"/>
        <w:rPr>
          <w:rFonts w:ascii="Arial" w:eastAsia="Times New Roman" w:hAnsi="Arial" w:cs="Arial"/>
          <w:spacing w:val="-4"/>
          <w:sz w:val="24"/>
          <w:szCs w:val="24"/>
          <w:lang w:eastAsia="es-CO"/>
        </w:rPr>
      </w:pPr>
    </w:p>
    <w:p w:rsidR="003D472B" w:rsidRPr="002758E7" w:rsidRDefault="002B1599"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En ese orden, </w:t>
      </w:r>
      <w:r w:rsidR="00A23A1C" w:rsidRPr="002758E7">
        <w:rPr>
          <w:rFonts w:ascii="Arial" w:eastAsia="Times New Roman" w:hAnsi="Arial" w:cs="Arial"/>
          <w:spacing w:val="-4"/>
          <w:sz w:val="24"/>
          <w:szCs w:val="24"/>
          <w:lang w:eastAsia="es-CO"/>
        </w:rPr>
        <w:t>al descender al caso concreto e</w:t>
      </w:r>
      <w:r w:rsidRPr="002758E7">
        <w:rPr>
          <w:rFonts w:ascii="Arial" w:eastAsia="Times New Roman" w:hAnsi="Arial" w:cs="Arial"/>
          <w:spacing w:val="-4"/>
          <w:sz w:val="24"/>
          <w:szCs w:val="24"/>
          <w:lang w:eastAsia="es-CO"/>
        </w:rPr>
        <w:t xml:space="preserve">stimó </w:t>
      </w:r>
      <w:r w:rsidR="00BD7DCA" w:rsidRPr="002758E7">
        <w:rPr>
          <w:rFonts w:ascii="Arial" w:eastAsia="Times New Roman" w:hAnsi="Arial" w:cs="Arial"/>
          <w:spacing w:val="-4"/>
          <w:sz w:val="24"/>
          <w:szCs w:val="24"/>
          <w:lang w:eastAsia="es-CO"/>
        </w:rPr>
        <w:t xml:space="preserve">con base en las normas y la jurisprudencia citada, </w:t>
      </w:r>
      <w:r w:rsidRPr="002758E7">
        <w:rPr>
          <w:rFonts w:ascii="Arial" w:eastAsia="Times New Roman" w:hAnsi="Arial" w:cs="Arial"/>
          <w:spacing w:val="-4"/>
          <w:sz w:val="24"/>
          <w:szCs w:val="24"/>
          <w:lang w:eastAsia="es-CO"/>
        </w:rPr>
        <w:t xml:space="preserve">que </w:t>
      </w:r>
      <w:r w:rsidR="005101AD" w:rsidRPr="002758E7">
        <w:rPr>
          <w:rFonts w:ascii="Arial" w:eastAsia="Times New Roman" w:hAnsi="Arial" w:cs="Arial"/>
          <w:spacing w:val="-4"/>
          <w:sz w:val="24"/>
          <w:szCs w:val="24"/>
          <w:lang w:eastAsia="es-CO"/>
        </w:rPr>
        <w:t>n</w:t>
      </w:r>
      <w:r w:rsidR="006228D8" w:rsidRPr="002758E7">
        <w:rPr>
          <w:rFonts w:ascii="Arial" w:eastAsia="Times New Roman" w:hAnsi="Arial" w:cs="Arial"/>
          <w:spacing w:val="-4"/>
          <w:sz w:val="24"/>
          <w:szCs w:val="24"/>
          <w:lang w:eastAsia="es-CO"/>
        </w:rPr>
        <w:t>o</w:t>
      </w:r>
      <w:r w:rsidRPr="002758E7">
        <w:rPr>
          <w:rFonts w:ascii="Arial" w:eastAsia="Times New Roman" w:hAnsi="Arial" w:cs="Arial"/>
          <w:spacing w:val="-4"/>
          <w:sz w:val="24"/>
          <w:szCs w:val="24"/>
          <w:lang w:eastAsia="es-CO"/>
        </w:rPr>
        <w:t xml:space="preserve"> resulta</w:t>
      </w:r>
      <w:r w:rsidR="00A23A1C" w:rsidRPr="002758E7">
        <w:rPr>
          <w:rFonts w:ascii="Arial" w:eastAsia="Times New Roman" w:hAnsi="Arial" w:cs="Arial"/>
          <w:spacing w:val="-4"/>
          <w:sz w:val="24"/>
          <w:szCs w:val="24"/>
          <w:lang w:eastAsia="es-CO"/>
        </w:rPr>
        <w:t xml:space="preserve">ba </w:t>
      </w:r>
      <w:r w:rsidRPr="002758E7">
        <w:rPr>
          <w:rFonts w:ascii="Arial" w:eastAsia="Times New Roman" w:hAnsi="Arial" w:cs="Arial"/>
          <w:spacing w:val="-4"/>
          <w:sz w:val="24"/>
          <w:szCs w:val="24"/>
          <w:lang w:eastAsia="es-CO"/>
        </w:rPr>
        <w:t xml:space="preserve">admisible acumular tiempos de servicio público con privado para el reconocimiento de </w:t>
      </w:r>
      <w:r w:rsidR="00A23A1C" w:rsidRPr="002758E7">
        <w:rPr>
          <w:rFonts w:ascii="Arial" w:eastAsia="Times New Roman" w:hAnsi="Arial" w:cs="Arial"/>
          <w:spacing w:val="-4"/>
          <w:sz w:val="24"/>
          <w:szCs w:val="24"/>
          <w:lang w:eastAsia="es-CO"/>
        </w:rPr>
        <w:t xml:space="preserve">la </w:t>
      </w:r>
      <w:r w:rsidRPr="002758E7">
        <w:rPr>
          <w:rFonts w:ascii="Arial" w:eastAsia="Times New Roman" w:hAnsi="Arial" w:cs="Arial"/>
          <w:spacing w:val="-4"/>
          <w:sz w:val="24"/>
          <w:szCs w:val="24"/>
          <w:lang w:eastAsia="es-CO"/>
        </w:rPr>
        <w:t>pensión de vejez reclamada, por cuanto dicha prestación es incompatible con la pensión de jubilación otorgada por el municipio de Pereira, en razón a que: (i) el  tiempo de servicio público que</w:t>
      </w:r>
      <w:r w:rsidR="005101AD" w:rsidRPr="002758E7">
        <w:rPr>
          <w:rFonts w:ascii="Arial" w:eastAsia="Times New Roman" w:hAnsi="Arial" w:cs="Arial"/>
          <w:spacing w:val="-4"/>
          <w:sz w:val="24"/>
          <w:szCs w:val="24"/>
          <w:lang w:eastAsia="es-CO"/>
        </w:rPr>
        <w:t xml:space="preserve"> se pretende para la prestación pensional que reclama</w:t>
      </w:r>
      <w:r w:rsidRPr="002758E7">
        <w:rPr>
          <w:rFonts w:ascii="Arial" w:eastAsia="Times New Roman" w:hAnsi="Arial" w:cs="Arial"/>
          <w:spacing w:val="-4"/>
          <w:sz w:val="24"/>
          <w:szCs w:val="24"/>
          <w:lang w:eastAsia="es-CO"/>
        </w:rPr>
        <w:t xml:space="preserve"> fue tenido en cuenta para el reconocimiento de </w:t>
      </w:r>
      <w:r w:rsidR="005101AD" w:rsidRPr="002758E7">
        <w:rPr>
          <w:rFonts w:ascii="Arial" w:eastAsia="Times New Roman" w:hAnsi="Arial" w:cs="Arial"/>
          <w:spacing w:val="-4"/>
          <w:sz w:val="24"/>
          <w:szCs w:val="24"/>
          <w:lang w:eastAsia="es-CO"/>
        </w:rPr>
        <w:t>la</w:t>
      </w:r>
      <w:r w:rsidRPr="002758E7">
        <w:rPr>
          <w:rFonts w:ascii="Arial" w:eastAsia="Times New Roman" w:hAnsi="Arial" w:cs="Arial"/>
          <w:spacing w:val="-4"/>
          <w:sz w:val="24"/>
          <w:szCs w:val="24"/>
          <w:lang w:eastAsia="es-CO"/>
        </w:rPr>
        <w:t xml:space="preserve"> pensión convencional</w:t>
      </w:r>
      <w:r w:rsidR="00A23A1C" w:rsidRPr="002758E7">
        <w:rPr>
          <w:rFonts w:ascii="Arial" w:eastAsia="Times New Roman" w:hAnsi="Arial" w:cs="Arial"/>
          <w:spacing w:val="-4"/>
          <w:sz w:val="24"/>
          <w:szCs w:val="24"/>
          <w:lang w:eastAsia="es-CO"/>
        </w:rPr>
        <w:t xml:space="preserve">, (ii) la convención colectiva suscrita entre el Municipio de Pereira y su organización sindical, ninguna estipulación hizo referencia a la compatibilidad de la pensión de jubilación convencional, </w:t>
      </w:r>
      <w:r w:rsidRPr="002758E7">
        <w:rPr>
          <w:rFonts w:ascii="Arial" w:eastAsia="Times New Roman" w:hAnsi="Arial" w:cs="Arial"/>
          <w:spacing w:val="-4"/>
          <w:sz w:val="24"/>
          <w:szCs w:val="24"/>
          <w:lang w:eastAsia="es-CO"/>
        </w:rPr>
        <w:t xml:space="preserve">y, (iii) el actor solo registra un total de 58.71 semanas cotizadas al sistema pensional por tiempos de servicio en el sector privado. </w:t>
      </w:r>
    </w:p>
    <w:p w:rsidR="005101AD" w:rsidRPr="002758E7" w:rsidRDefault="005101AD" w:rsidP="00625077">
      <w:pPr>
        <w:spacing w:after="0"/>
        <w:jc w:val="both"/>
        <w:textAlignment w:val="baseline"/>
        <w:rPr>
          <w:rFonts w:ascii="Arial" w:eastAsia="Times New Roman" w:hAnsi="Arial" w:cs="Arial"/>
          <w:spacing w:val="-4"/>
          <w:sz w:val="24"/>
          <w:szCs w:val="24"/>
          <w:lang w:eastAsia="es-CO"/>
        </w:rPr>
      </w:pPr>
    </w:p>
    <w:p w:rsidR="005101AD" w:rsidRPr="002758E7" w:rsidRDefault="005101AD"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Por lo anterior, absolvió a la Administradora Colombiana de Pensiones de todas las pretensiones elevadas en su contra y condenó en costas a la parte actora vencida en un 100% de las causadas a favor de dicha entidad de seguridad social. </w:t>
      </w:r>
    </w:p>
    <w:p w:rsidR="006228D8" w:rsidRPr="002758E7" w:rsidRDefault="006228D8" w:rsidP="00625077">
      <w:pPr>
        <w:spacing w:after="0"/>
        <w:jc w:val="both"/>
        <w:textAlignment w:val="baseline"/>
        <w:rPr>
          <w:rFonts w:ascii="Arial" w:eastAsia="Times New Roman" w:hAnsi="Arial" w:cs="Arial"/>
          <w:spacing w:val="-4"/>
          <w:sz w:val="24"/>
          <w:szCs w:val="24"/>
          <w:highlight w:val="yellow"/>
          <w:lang w:eastAsia="es-CO"/>
        </w:rPr>
      </w:pPr>
    </w:p>
    <w:bookmarkEnd w:id="1"/>
    <w:p w:rsidR="00991038" w:rsidRPr="002758E7" w:rsidRDefault="00991038" w:rsidP="00625077">
      <w:pPr>
        <w:spacing w:after="0"/>
        <w:jc w:val="both"/>
        <w:rPr>
          <w:rFonts w:ascii="Arial" w:hAnsi="Arial" w:cs="Arial"/>
          <w:spacing w:val="-4"/>
          <w:sz w:val="24"/>
          <w:szCs w:val="24"/>
        </w:rPr>
      </w:pPr>
      <w:r w:rsidRPr="002758E7">
        <w:rPr>
          <w:rFonts w:ascii="Arial" w:hAnsi="Arial" w:cs="Arial"/>
          <w:spacing w:val="-4"/>
          <w:sz w:val="24"/>
          <w:szCs w:val="24"/>
        </w:rPr>
        <w:t>No hubo apelación de la sentencia, por lo que, al haber resultado la decisión completamente desfavorable a los intereses de la parte actora, se dispuso el grado jurisdiccional de consulta a su favor.</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0326F3" w:rsidRPr="002758E7" w:rsidRDefault="000326F3" w:rsidP="00625077">
      <w:pPr>
        <w:spacing w:after="0"/>
        <w:jc w:val="center"/>
        <w:textAlignment w:val="baseline"/>
        <w:rPr>
          <w:rFonts w:ascii="Arial" w:eastAsia="Times New Roman" w:hAnsi="Arial" w:cs="Arial"/>
          <w:spacing w:val="-4"/>
          <w:sz w:val="24"/>
          <w:szCs w:val="24"/>
          <w:lang w:eastAsia="es-CO"/>
        </w:rPr>
      </w:pPr>
      <w:r w:rsidRPr="002758E7">
        <w:rPr>
          <w:rFonts w:ascii="Arial" w:eastAsia="Times New Roman" w:hAnsi="Arial" w:cs="Arial"/>
          <w:b/>
          <w:bCs/>
          <w:spacing w:val="-4"/>
          <w:sz w:val="24"/>
          <w:szCs w:val="24"/>
          <w:lang w:eastAsia="es-CO"/>
        </w:rPr>
        <w:t>ALEGATOS DE CONCLUSIÓN</w:t>
      </w:r>
      <w:r w:rsidRPr="002758E7">
        <w:rPr>
          <w:rFonts w:ascii="Arial" w:eastAsia="Times New Roman" w:hAnsi="Arial" w:cs="Arial"/>
          <w:spacing w:val="-4"/>
          <w:sz w:val="24"/>
          <w:szCs w:val="24"/>
          <w:lang w:eastAsia="es-CO"/>
        </w:rPr>
        <w:t>  </w:t>
      </w:r>
    </w:p>
    <w:p w:rsidR="000326F3" w:rsidRPr="002758E7" w:rsidRDefault="000326F3" w:rsidP="00625077">
      <w:pPr>
        <w:pStyle w:val="Sinespaciado"/>
        <w:spacing w:line="276" w:lineRule="auto"/>
        <w:rPr>
          <w:rFonts w:ascii="Arial" w:hAnsi="Arial" w:cs="Arial"/>
          <w:spacing w:val="-4"/>
          <w:sz w:val="24"/>
          <w:szCs w:val="24"/>
          <w:lang w:eastAsia="es-CO"/>
        </w:rPr>
      </w:pPr>
      <w:r w:rsidRPr="002758E7">
        <w:rPr>
          <w:rFonts w:ascii="Arial" w:hAnsi="Arial" w:cs="Arial"/>
          <w:spacing w:val="-4"/>
          <w:sz w:val="24"/>
          <w:szCs w:val="24"/>
          <w:lang w:eastAsia="es-CO"/>
        </w:rPr>
        <w:t>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Conforme se dejó plasmado en la constancia emitida por la Secretaría de la Corporación, únicamente fueron remitidos en término los alegatos de conclusión por parte de la Administradora Colombiana de Pensiones COLPENSIONES.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En cuanto al contenido de los alegatos de conclusión remitidos por la entidad accionada, teniendo en cuenta que el artículo 279 del CGP dispone que </w:t>
      </w:r>
      <w:r w:rsidRPr="002758E7">
        <w:rPr>
          <w:rFonts w:ascii="Arial" w:eastAsia="Times New Roman" w:hAnsi="Arial" w:cs="Arial"/>
          <w:i/>
          <w:iCs/>
          <w:spacing w:val="-4"/>
          <w:sz w:val="24"/>
          <w:szCs w:val="24"/>
          <w:lang w:eastAsia="es-CO"/>
        </w:rPr>
        <w:t>“</w:t>
      </w:r>
      <w:r w:rsidR="00DD21F6" w:rsidRPr="002758E7">
        <w:rPr>
          <w:rFonts w:ascii="Arial" w:eastAsia="Times New Roman" w:hAnsi="Arial" w:cs="Arial"/>
          <w:i/>
          <w:iCs/>
          <w:spacing w:val="-4"/>
          <w:szCs w:val="24"/>
          <w:lang w:eastAsia="es-CO"/>
        </w:rPr>
        <w:t xml:space="preserve">no </w:t>
      </w:r>
      <w:r w:rsidRPr="002758E7">
        <w:rPr>
          <w:rFonts w:ascii="Arial" w:eastAsia="Times New Roman" w:hAnsi="Arial" w:cs="Arial"/>
          <w:i/>
          <w:iCs/>
          <w:spacing w:val="-4"/>
          <w:szCs w:val="24"/>
          <w:lang w:eastAsia="es-CO"/>
        </w:rPr>
        <w:t>se podrá hacer transcripciones o reproducciones de actas, decisiones o conceptos que obren en el expediente</w:t>
      </w:r>
      <w:r w:rsidRPr="002758E7">
        <w:rPr>
          <w:rFonts w:ascii="Arial" w:eastAsia="Times New Roman" w:hAnsi="Arial" w:cs="Arial"/>
          <w:i/>
          <w:iCs/>
          <w:spacing w:val="-4"/>
          <w:sz w:val="24"/>
          <w:szCs w:val="24"/>
          <w:lang w:eastAsia="es-CO"/>
        </w:rPr>
        <w:t xml:space="preserve">”, </w:t>
      </w:r>
      <w:r w:rsidRPr="002758E7">
        <w:rPr>
          <w:rFonts w:ascii="Arial" w:eastAsia="Times New Roman" w:hAnsi="Arial" w:cs="Arial"/>
          <w:spacing w:val="-4"/>
          <w:sz w:val="24"/>
          <w:szCs w:val="24"/>
          <w:lang w:eastAsia="es-CO"/>
        </w:rPr>
        <w:t xml:space="preserve">baste decir que los argumentos emitidos por Colpensiones </w:t>
      </w:r>
      <w:r w:rsidR="00991038" w:rsidRPr="002758E7">
        <w:rPr>
          <w:rFonts w:ascii="Arial" w:eastAsia="Times New Roman" w:hAnsi="Arial" w:cs="Arial"/>
          <w:spacing w:val="-4"/>
          <w:sz w:val="24"/>
          <w:szCs w:val="24"/>
          <w:lang w:eastAsia="es-CO"/>
        </w:rPr>
        <w:t>solicitan la confirmación del fallo de primer grado.</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Atendidas las argumentaciones, a esta Sala de Decisión le corresponde resolver los siguientes: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0326F3" w:rsidRPr="002758E7" w:rsidRDefault="000326F3" w:rsidP="00625077">
      <w:pPr>
        <w:spacing w:after="0"/>
        <w:jc w:val="center"/>
        <w:textAlignment w:val="baseline"/>
        <w:rPr>
          <w:rFonts w:ascii="Arial" w:eastAsia="Times New Roman" w:hAnsi="Arial" w:cs="Arial"/>
          <w:spacing w:val="-4"/>
          <w:sz w:val="24"/>
          <w:szCs w:val="24"/>
          <w:lang w:eastAsia="es-CO"/>
        </w:rPr>
      </w:pPr>
      <w:r w:rsidRPr="002758E7">
        <w:rPr>
          <w:rFonts w:ascii="Arial" w:eastAsia="Times New Roman" w:hAnsi="Arial" w:cs="Arial"/>
          <w:b/>
          <w:bCs/>
          <w:spacing w:val="-4"/>
          <w:sz w:val="24"/>
          <w:szCs w:val="24"/>
          <w:lang w:eastAsia="es-CO"/>
        </w:rPr>
        <w:t>PROBLEMAS JURÍDICOS</w:t>
      </w:r>
      <w:r w:rsidRPr="002758E7">
        <w:rPr>
          <w:rFonts w:ascii="Arial" w:eastAsia="Times New Roman" w:hAnsi="Arial" w:cs="Arial"/>
          <w:spacing w:val="-4"/>
          <w:sz w:val="24"/>
          <w:szCs w:val="24"/>
          <w:lang w:eastAsia="es-CO"/>
        </w:rPr>
        <w:t>  </w:t>
      </w:r>
    </w:p>
    <w:p w:rsidR="000326F3" w:rsidRPr="002758E7" w:rsidRDefault="000326F3" w:rsidP="00625077">
      <w:pPr>
        <w:spacing w:after="0"/>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5343EA" w:rsidRPr="002758E7" w:rsidRDefault="000326F3" w:rsidP="00DD21F6">
      <w:pPr>
        <w:pStyle w:val="Prrafodelista"/>
        <w:numPr>
          <w:ilvl w:val="0"/>
          <w:numId w:val="1"/>
        </w:numPr>
        <w:spacing w:after="0"/>
        <w:ind w:left="709" w:right="420"/>
        <w:jc w:val="both"/>
        <w:textAlignment w:val="baseline"/>
        <w:rPr>
          <w:rFonts w:ascii="Arial" w:eastAsia="Times New Roman" w:hAnsi="Arial" w:cs="Arial"/>
          <w:b/>
          <w:bCs/>
          <w:i/>
          <w:spacing w:val="-4"/>
          <w:sz w:val="24"/>
          <w:szCs w:val="24"/>
          <w:lang w:eastAsia="es-CO"/>
        </w:rPr>
      </w:pPr>
      <w:r w:rsidRPr="002758E7">
        <w:rPr>
          <w:rFonts w:ascii="Arial" w:eastAsia="Times New Roman" w:hAnsi="Arial" w:cs="Arial"/>
          <w:b/>
          <w:bCs/>
          <w:i/>
          <w:spacing w:val="-4"/>
          <w:sz w:val="24"/>
          <w:szCs w:val="24"/>
          <w:lang w:eastAsia="es-CO"/>
        </w:rPr>
        <w:t>¿</w:t>
      </w:r>
      <w:r w:rsidR="00991038" w:rsidRPr="002758E7">
        <w:rPr>
          <w:rFonts w:ascii="Arial" w:eastAsia="Times New Roman" w:hAnsi="Arial" w:cs="Arial"/>
          <w:b/>
          <w:bCs/>
          <w:i/>
          <w:spacing w:val="-4"/>
          <w:sz w:val="24"/>
          <w:szCs w:val="24"/>
          <w:lang w:eastAsia="es-CO"/>
        </w:rPr>
        <w:t xml:space="preserve">Tiene la pensión de jubilación </w:t>
      </w:r>
      <w:r w:rsidR="005343EA" w:rsidRPr="002758E7">
        <w:rPr>
          <w:rFonts w:ascii="Arial" w:eastAsia="Times New Roman" w:hAnsi="Arial" w:cs="Arial"/>
          <w:b/>
          <w:bCs/>
          <w:i/>
          <w:spacing w:val="-4"/>
          <w:sz w:val="24"/>
          <w:szCs w:val="24"/>
          <w:lang w:eastAsia="es-CO"/>
        </w:rPr>
        <w:t xml:space="preserve">de origen </w:t>
      </w:r>
      <w:r w:rsidR="00991038" w:rsidRPr="002758E7">
        <w:rPr>
          <w:rFonts w:ascii="Arial" w:eastAsia="Times New Roman" w:hAnsi="Arial" w:cs="Arial"/>
          <w:b/>
          <w:bCs/>
          <w:i/>
          <w:spacing w:val="-4"/>
          <w:sz w:val="24"/>
          <w:szCs w:val="24"/>
          <w:lang w:eastAsia="es-CO"/>
        </w:rPr>
        <w:t xml:space="preserve">convencional reconocida por el Municipio de Pereira al señor </w:t>
      </w:r>
      <w:proofErr w:type="spellStart"/>
      <w:r w:rsidR="00991038" w:rsidRPr="002758E7">
        <w:rPr>
          <w:rFonts w:ascii="Arial" w:eastAsia="Times New Roman" w:hAnsi="Arial" w:cs="Arial"/>
          <w:b/>
          <w:bCs/>
          <w:i/>
          <w:spacing w:val="-4"/>
          <w:sz w:val="24"/>
          <w:szCs w:val="24"/>
          <w:lang w:eastAsia="es-CO"/>
        </w:rPr>
        <w:t>Dumbardo</w:t>
      </w:r>
      <w:proofErr w:type="spellEnd"/>
      <w:r w:rsidR="00991038" w:rsidRPr="002758E7">
        <w:rPr>
          <w:rFonts w:ascii="Arial" w:eastAsia="Times New Roman" w:hAnsi="Arial" w:cs="Arial"/>
          <w:b/>
          <w:bCs/>
          <w:i/>
          <w:spacing w:val="-4"/>
          <w:sz w:val="24"/>
          <w:szCs w:val="24"/>
          <w:lang w:eastAsia="es-CO"/>
        </w:rPr>
        <w:t xml:space="preserve"> </w:t>
      </w:r>
      <w:r w:rsidR="005343EA" w:rsidRPr="002758E7">
        <w:rPr>
          <w:rFonts w:ascii="Arial" w:eastAsia="Times New Roman" w:hAnsi="Arial" w:cs="Arial"/>
          <w:b/>
          <w:bCs/>
          <w:i/>
          <w:spacing w:val="-4"/>
          <w:sz w:val="24"/>
          <w:szCs w:val="24"/>
          <w:lang w:eastAsia="es-CO"/>
        </w:rPr>
        <w:t xml:space="preserve">Santa Torres la vocación de ser compatible con la pensión de vejez que se solicita ante la Administradora Colombiana de Pensiones Colpensiones? </w:t>
      </w:r>
    </w:p>
    <w:p w:rsidR="34DF6283" w:rsidRPr="002758E7" w:rsidRDefault="34DF6283" w:rsidP="00625077">
      <w:pPr>
        <w:spacing w:after="0"/>
        <w:ind w:right="465"/>
        <w:jc w:val="both"/>
        <w:rPr>
          <w:rFonts w:ascii="Arial" w:eastAsia="Times New Roman" w:hAnsi="Arial" w:cs="Arial"/>
          <w:b/>
          <w:bCs/>
          <w:spacing w:val="-4"/>
          <w:sz w:val="24"/>
          <w:szCs w:val="24"/>
          <w:lang w:eastAsia="es-CO"/>
        </w:rPr>
      </w:pPr>
    </w:p>
    <w:p w:rsidR="000326F3" w:rsidRPr="002758E7" w:rsidRDefault="000326F3" w:rsidP="00625077">
      <w:pPr>
        <w:spacing w:after="0"/>
        <w:ind w:right="465"/>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lastRenderedPageBreak/>
        <w:t>Con el propósito de dar solución a los interrogantes en el caso concreto, la Sala considera necesario precisar, los siguientes aspectos: </w:t>
      </w:r>
    </w:p>
    <w:p w:rsidR="0F7F342F" w:rsidRPr="002758E7" w:rsidRDefault="0F7F342F" w:rsidP="00625077">
      <w:pPr>
        <w:pStyle w:val="Sinespaciado"/>
        <w:spacing w:line="276" w:lineRule="auto"/>
        <w:rPr>
          <w:rFonts w:ascii="Arial" w:hAnsi="Arial" w:cs="Arial"/>
          <w:spacing w:val="-4"/>
          <w:sz w:val="24"/>
          <w:szCs w:val="24"/>
          <w:lang w:eastAsia="es-CO"/>
        </w:rPr>
      </w:pPr>
    </w:p>
    <w:p w:rsidR="0F7F342F" w:rsidRPr="002758E7" w:rsidRDefault="00C257E7" w:rsidP="00625077">
      <w:pPr>
        <w:pStyle w:val="Prrafodelista"/>
        <w:numPr>
          <w:ilvl w:val="0"/>
          <w:numId w:val="4"/>
        </w:numPr>
        <w:spacing w:after="0"/>
        <w:ind w:left="0" w:right="49" w:firstLine="0"/>
        <w:jc w:val="both"/>
        <w:rPr>
          <w:rFonts w:ascii="Arial" w:eastAsia="Times New Roman" w:hAnsi="Arial" w:cs="Arial"/>
          <w:b/>
          <w:bCs/>
          <w:spacing w:val="-4"/>
          <w:sz w:val="24"/>
          <w:szCs w:val="24"/>
          <w:lang w:eastAsia="es-CO"/>
        </w:rPr>
      </w:pPr>
      <w:r w:rsidRPr="002758E7">
        <w:rPr>
          <w:rFonts w:ascii="Arial" w:eastAsia="Times New Roman" w:hAnsi="Arial" w:cs="Arial"/>
          <w:b/>
          <w:bCs/>
          <w:spacing w:val="-4"/>
          <w:sz w:val="24"/>
          <w:szCs w:val="24"/>
          <w:lang w:eastAsia="es-CO"/>
        </w:rPr>
        <w:t>REFERENTES</w:t>
      </w:r>
      <w:r w:rsidR="0F7F342F" w:rsidRPr="002758E7">
        <w:rPr>
          <w:rFonts w:ascii="Arial" w:eastAsia="Times New Roman" w:hAnsi="Arial" w:cs="Arial"/>
          <w:b/>
          <w:bCs/>
          <w:spacing w:val="-4"/>
          <w:sz w:val="24"/>
          <w:szCs w:val="24"/>
          <w:lang w:eastAsia="es-CO"/>
        </w:rPr>
        <w:t xml:space="preserve"> PARA ESTABLECER LA COMPATIBILIDAD O INCOMPATIBILIDAD ENTRE PRESTACIONES </w:t>
      </w:r>
    </w:p>
    <w:p w:rsidR="00C257E7" w:rsidRPr="002758E7" w:rsidRDefault="00C257E7" w:rsidP="00625077">
      <w:pPr>
        <w:spacing w:after="0"/>
        <w:ind w:right="465"/>
        <w:jc w:val="both"/>
        <w:rPr>
          <w:rFonts w:ascii="Arial" w:eastAsia="Times New Roman" w:hAnsi="Arial" w:cs="Arial"/>
          <w:spacing w:val="-4"/>
          <w:sz w:val="24"/>
          <w:szCs w:val="24"/>
          <w:lang w:eastAsia="es-CO"/>
        </w:rPr>
      </w:pPr>
    </w:p>
    <w:p w:rsidR="00C257E7" w:rsidRPr="002758E7" w:rsidRDefault="00C257E7" w:rsidP="00AF2783">
      <w:pPr>
        <w:spacing w:after="0"/>
        <w:jc w:val="both"/>
        <w:rPr>
          <w:rFonts w:ascii="Arial" w:hAnsi="Arial" w:cs="Arial"/>
          <w:spacing w:val="-4"/>
          <w:sz w:val="24"/>
          <w:szCs w:val="24"/>
        </w:rPr>
      </w:pPr>
      <w:r w:rsidRPr="002758E7">
        <w:rPr>
          <w:rFonts w:ascii="Arial" w:hAnsi="Arial" w:cs="Arial"/>
          <w:spacing w:val="-4"/>
          <w:sz w:val="24"/>
          <w:szCs w:val="24"/>
        </w:rPr>
        <w:t xml:space="preserve">La Sala de Casación Laboral de la Corte Suprema de Justicia en sentencia SL 17447 de 2014, </w:t>
      </w:r>
      <w:r w:rsidR="009852DA" w:rsidRPr="002758E7">
        <w:rPr>
          <w:rFonts w:ascii="Arial" w:hAnsi="Arial" w:cs="Arial"/>
          <w:spacing w:val="-4"/>
          <w:sz w:val="24"/>
          <w:szCs w:val="24"/>
        </w:rPr>
        <w:t xml:space="preserve">con ponencia de la MP Clara Cecilia Dueñas Quevedo, </w:t>
      </w:r>
      <w:r w:rsidRPr="002758E7">
        <w:rPr>
          <w:rFonts w:ascii="Arial" w:hAnsi="Arial" w:cs="Arial"/>
          <w:spacing w:val="-4"/>
          <w:sz w:val="24"/>
          <w:szCs w:val="24"/>
        </w:rPr>
        <w:t xml:space="preserve">estableció que </w:t>
      </w:r>
      <w:r w:rsidR="009260CB" w:rsidRPr="002758E7">
        <w:rPr>
          <w:rFonts w:ascii="Arial" w:hAnsi="Arial" w:cs="Arial"/>
          <w:spacing w:val="-4"/>
          <w:sz w:val="24"/>
          <w:szCs w:val="24"/>
        </w:rPr>
        <w:t xml:space="preserve">en términos generales, </w:t>
      </w:r>
      <w:r w:rsidRPr="002758E7">
        <w:rPr>
          <w:rFonts w:ascii="Arial" w:hAnsi="Arial" w:cs="Arial"/>
          <w:spacing w:val="-4"/>
          <w:sz w:val="24"/>
          <w:szCs w:val="24"/>
        </w:rPr>
        <w:t>los referentes actuales para definir la compatibilidad o incompatibilidad de dos pensiones</w:t>
      </w:r>
      <w:r w:rsidR="009260CB" w:rsidRPr="002758E7">
        <w:rPr>
          <w:rFonts w:ascii="Arial" w:hAnsi="Arial" w:cs="Arial"/>
          <w:spacing w:val="-4"/>
          <w:sz w:val="24"/>
          <w:szCs w:val="24"/>
        </w:rPr>
        <w:t xml:space="preserve">, </w:t>
      </w:r>
      <w:r w:rsidRPr="002758E7">
        <w:rPr>
          <w:rFonts w:ascii="Arial" w:hAnsi="Arial" w:cs="Arial"/>
          <w:spacing w:val="-4"/>
          <w:sz w:val="24"/>
          <w:szCs w:val="24"/>
        </w:rPr>
        <w:t>son los siguientes: (i) el origen de la contingencia o riesgo que amparan –criterio principal-, ello siempre que no existe una normativa especial que prohíba la compatibilidad; (ii) la existencia de una reglamentación propia</w:t>
      </w:r>
      <w:r w:rsidR="008C70A8" w:rsidRPr="002758E7">
        <w:rPr>
          <w:rFonts w:ascii="Arial" w:hAnsi="Arial" w:cs="Arial"/>
          <w:spacing w:val="-4"/>
          <w:sz w:val="24"/>
          <w:szCs w:val="24"/>
        </w:rPr>
        <w:t xml:space="preserve"> o fuente normativa</w:t>
      </w:r>
      <w:r w:rsidRPr="002758E7">
        <w:rPr>
          <w:rFonts w:ascii="Arial" w:hAnsi="Arial" w:cs="Arial"/>
          <w:spacing w:val="-4"/>
          <w:sz w:val="24"/>
          <w:szCs w:val="24"/>
        </w:rPr>
        <w:t>, y (iii) la autonomía de la fuente de su financiación.</w:t>
      </w:r>
    </w:p>
    <w:p w:rsidR="00C257E7" w:rsidRPr="002758E7" w:rsidRDefault="00C257E7" w:rsidP="00625077">
      <w:pPr>
        <w:spacing w:after="0"/>
        <w:ind w:right="465"/>
        <w:jc w:val="both"/>
        <w:rPr>
          <w:rFonts w:ascii="Arial" w:eastAsia="Times New Roman" w:hAnsi="Arial" w:cs="Arial"/>
          <w:spacing w:val="-4"/>
          <w:sz w:val="24"/>
          <w:szCs w:val="24"/>
          <w:lang w:eastAsia="es-CO"/>
        </w:rPr>
      </w:pPr>
    </w:p>
    <w:p w:rsidR="0F7F342F" w:rsidRPr="002758E7" w:rsidRDefault="009260CB" w:rsidP="00625077">
      <w:pPr>
        <w:pStyle w:val="Prrafodelista"/>
        <w:numPr>
          <w:ilvl w:val="0"/>
          <w:numId w:val="4"/>
        </w:numPr>
        <w:spacing w:after="0"/>
        <w:ind w:left="0" w:right="465" w:firstLine="0"/>
        <w:jc w:val="both"/>
        <w:rPr>
          <w:rFonts w:ascii="Arial" w:eastAsia="Times New Roman" w:hAnsi="Arial" w:cs="Arial"/>
          <w:b/>
          <w:bCs/>
          <w:spacing w:val="-4"/>
          <w:sz w:val="24"/>
          <w:szCs w:val="24"/>
          <w:lang w:eastAsia="es-CO"/>
        </w:rPr>
      </w:pPr>
      <w:r w:rsidRPr="002758E7">
        <w:rPr>
          <w:rFonts w:ascii="Arial" w:eastAsia="Times New Roman" w:hAnsi="Arial" w:cs="Arial"/>
          <w:b/>
          <w:bCs/>
          <w:spacing w:val="-4"/>
          <w:sz w:val="24"/>
          <w:szCs w:val="24"/>
          <w:lang w:eastAsia="es-CO"/>
        </w:rPr>
        <w:t xml:space="preserve">COMPARTIBILIDAD PENSIONAL </w:t>
      </w:r>
      <w:r w:rsidR="0028773F" w:rsidRPr="002758E7">
        <w:rPr>
          <w:rFonts w:ascii="Arial" w:eastAsia="Times New Roman" w:hAnsi="Arial" w:cs="Arial"/>
          <w:b/>
          <w:bCs/>
          <w:spacing w:val="-4"/>
          <w:sz w:val="24"/>
          <w:szCs w:val="24"/>
          <w:lang w:eastAsia="es-CO"/>
        </w:rPr>
        <w:t>–</w:t>
      </w:r>
      <w:r w:rsidRPr="002758E7">
        <w:rPr>
          <w:rFonts w:ascii="Arial" w:eastAsia="Times New Roman" w:hAnsi="Arial" w:cs="Arial"/>
          <w:b/>
          <w:bCs/>
          <w:spacing w:val="-4"/>
          <w:sz w:val="24"/>
          <w:szCs w:val="24"/>
          <w:lang w:eastAsia="es-CO"/>
        </w:rPr>
        <w:t xml:space="preserve"> </w:t>
      </w:r>
      <w:r w:rsidR="0028773F" w:rsidRPr="002758E7">
        <w:rPr>
          <w:rFonts w:ascii="Arial" w:eastAsia="Times New Roman" w:hAnsi="Arial" w:cs="Arial"/>
          <w:b/>
          <w:bCs/>
          <w:spacing w:val="-4"/>
          <w:sz w:val="24"/>
          <w:szCs w:val="24"/>
          <w:lang w:eastAsia="es-CO"/>
        </w:rPr>
        <w:t xml:space="preserve">REQUISITOS PARA LA </w:t>
      </w:r>
      <w:r w:rsidR="0F7F342F" w:rsidRPr="002758E7">
        <w:rPr>
          <w:rFonts w:ascii="Arial" w:eastAsia="Times New Roman" w:hAnsi="Arial" w:cs="Arial"/>
          <w:b/>
          <w:bCs/>
          <w:spacing w:val="-4"/>
          <w:sz w:val="24"/>
          <w:szCs w:val="24"/>
          <w:lang w:eastAsia="es-CO"/>
        </w:rPr>
        <w:t xml:space="preserve">SUBROGACIÓN TOTAL </w:t>
      </w:r>
      <w:r w:rsidRPr="002758E7">
        <w:rPr>
          <w:rFonts w:ascii="Arial" w:eastAsia="Times New Roman" w:hAnsi="Arial" w:cs="Arial"/>
          <w:b/>
          <w:bCs/>
          <w:spacing w:val="-4"/>
          <w:sz w:val="24"/>
          <w:szCs w:val="24"/>
          <w:lang w:eastAsia="es-CO"/>
        </w:rPr>
        <w:t>O PARCIAL DEL EMPLEADOR EN EL ISS HOY COLPENSIONES RESPECTO DE LA OBLIGACIÓN PENSIONAL</w:t>
      </w:r>
    </w:p>
    <w:p w:rsidR="00A72465" w:rsidRPr="002758E7" w:rsidRDefault="00A72465" w:rsidP="00625077">
      <w:pPr>
        <w:pStyle w:val="paragraph"/>
        <w:spacing w:before="0" w:beforeAutospacing="0" w:after="0" w:afterAutospacing="0" w:line="276" w:lineRule="auto"/>
        <w:jc w:val="both"/>
        <w:textAlignment w:val="baseline"/>
        <w:rPr>
          <w:rFonts w:ascii="Arial" w:hAnsi="Arial" w:cs="Arial"/>
          <w:spacing w:val="-4"/>
        </w:rPr>
      </w:pPr>
      <w:r w:rsidRPr="002758E7">
        <w:rPr>
          <w:rStyle w:val="eop"/>
          <w:rFonts w:ascii="Arial" w:hAnsi="Arial" w:cs="Arial"/>
          <w:spacing w:val="-4"/>
        </w:rPr>
        <w:t> </w:t>
      </w:r>
    </w:p>
    <w:p w:rsidR="003B12CD" w:rsidRPr="002758E7" w:rsidRDefault="002A46C7" w:rsidP="00625077">
      <w:pPr>
        <w:pStyle w:val="Prrafodelista"/>
        <w:ind w:left="0"/>
        <w:jc w:val="both"/>
        <w:rPr>
          <w:rFonts w:ascii="Arial" w:hAnsi="Arial" w:cs="Arial"/>
          <w:bCs/>
          <w:spacing w:val="-4"/>
          <w:sz w:val="24"/>
          <w:szCs w:val="24"/>
        </w:rPr>
      </w:pPr>
      <w:r w:rsidRPr="002758E7">
        <w:rPr>
          <w:rFonts w:ascii="Arial" w:hAnsi="Arial" w:cs="Arial"/>
          <w:bCs/>
          <w:spacing w:val="-4"/>
          <w:sz w:val="24"/>
          <w:szCs w:val="24"/>
        </w:rPr>
        <w:t>El</w:t>
      </w:r>
      <w:r w:rsidR="008B6512" w:rsidRPr="002758E7">
        <w:rPr>
          <w:rFonts w:ascii="Arial" w:hAnsi="Arial" w:cs="Arial"/>
          <w:bCs/>
          <w:spacing w:val="-4"/>
          <w:sz w:val="24"/>
          <w:szCs w:val="24"/>
        </w:rPr>
        <w:t xml:space="preserve"> </w:t>
      </w:r>
      <w:r w:rsidR="00FD59C4" w:rsidRPr="002758E7">
        <w:rPr>
          <w:rFonts w:ascii="Arial" w:hAnsi="Arial" w:cs="Arial"/>
          <w:bCs/>
          <w:spacing w:val="-4"/>
          <w:sz w:val="24"/>
          <w:szCs w:val="24"/>
        </w:rPr>
        <w:t>Decreto 2879</w:t>
      </w:r>
      <w:r w:rsidR="0028773F" w:rsidRPr="002758E7">
        <w:rPr>
          <w:rFonts w:ascii="Arial" w:hAnsi="Arial" w:cs="Arial"/>
          <w:bCs/>
          <w:spacing w:val="-4"/>
          <w:sz w:val="24"/>
          <w:szCs w:val="24"/>
        </w:rPr>
        <w:t xml:space="preserve"> </w:t>
      </w:r>
      <w:r w:rsidR="007C3092" w:rsidRPr="002758E7">
        <w:rPr>
          <w:rFonts w:ascii="Arial" w:hAnsi="Arial" w:cs="Arial"/>
          <w:bCs/>
          <w:spacing w:val="-4"/>
          <w:sz w:val="24"/>
          <w:szCs w:val="24"/>
        </w:rPr>
        <w:t xml:space="preserve">de </w:t>
      </w:r>
      <w:r w:rsidRPr="002758E7">
        <w:rPr>
          <w:rFonts w:ascii="Arial" w:hAnsi="Arial" w:cs="Arial"/>
          <w:bCs/>
          <w:spacing w:val="-4"/>
          <w:sz w:val="24"/>
          <w:szCs w:val="24"/>
        </w:rPr>
        <w:t>1985,</w:t>
      </w:r>
      <w:r w:rsidR="0028773F" w:rsidRPr="002758E7">
        <w:rPr>
          <w:rFonts w:ascii="Arial" w:hAnsi="Arial" w:cs="Arial"/>
          <w:bCs/>
          <w:spacing w:val="-4"/>
          <w:sz w:val="24"/>
          <w:szCs w:val="24"/>
        </w:rPr>
        <w:t xml:space="preserve"> aprobado por el Acuerdo 029 del 17 de octubre de ese mismo año, </w:t>
      </w:r>
      <w:r w:rsidRPr="002758E7">
        <w:rPr>
          <w:rFonts w:ascii="Arial" w:hAnsi="Arial" w:cs="Arial"/>
          <w:bCs/>
          <w:spacing w:val="-4"/>
          <w:sz w:val="24"/>
          <w:szCs w:val="24"/>
        </w:rPr>
        <w:t xml:space="preserve">estableció en su artículo 5°, </w:t>
      </w:r>
      <w:r w:rsidR="008B6512" w:rsidRPr="002758E7">
        <w:rPr>
          <w:rFonts w:ascii="Arial" w:hAnsi="Arial" w:cs="Arial"/>
          <w:bCs/>
          <w:spacing w:val="-4"/>
          <w:sz w:val="24"/>
          <w:szCs w:val="24"/>
        </w:rPr>
        <w:t xml:space="preserve">la </w:t>
      </w:r>
      <w:proofErr w:type="spellStart"/>
      <w:r w:rsidR="00FD59C4" w:rsidRPr="002758E7">
        <w:rPr>
          <w:rFonts w:ascii="Arial" w:hAnsi="Arial" w:cs="Arial"/>
          <w:bCs/>
          <w:spacing w:val="-4"/>
          <w:sz w:val="24"/>
          <w:szCs w:val="24"/>
        </w:rPr>
        <w:t>compartibilidad</w:t>
      </w:r>
      <w:proofErr w:type="spellEnd"/>
      <w:r w:rsidR="00FD59C4" w:rsidRPr="002758E7">
        <w:rPr>
          <w:rFonts w:ascii="Arial" w:hAnsi="Arial" w:cs="Arial"/>
          <w:bCs/>
          <w:spacing w:val="-4"/>
          <w:sz w:val="24"/>
          <w:szCs w:val="24"/>
        </w:rPr>
        <w:t xml:space="preserve"> </w:t>
      </w:r>
      <w:r w:rsidR="007E7B55" w:rsidRPr="002758E7">
        <w:rPr>
          <w:rFonts w:ascii="Arial" w:hAnsi="Arial" w:cs="Arial"/>
          <w:bCs/>
          <w:spacing w:val="-4"/>
          <w:sz w:val="24"/>
          <w:szCs w:val="24"/>
        </w:rPr>
        <w:t xml:space="preserve">pensional </w:t>
      </w:r>
      <w:r w:rsidR="007C3092" w:rsidRPr="002758E7">
        <w:rPr>
          <w:rFonts w:ascii="Arial" w:hAnsi="Arial" w:cs="Arial"/>
          <w:bCs/>
          <w:spacing w:val="-4"/>
          <w:sz w:val="24"/>
          <w:szCs w:val="24"/>
        </w:rPr>
        <w:t xml:space="preserve">entre </w:t>
      </w:r>
      <w:r w:rsidR="007C3092" w:rsidRPr="002758E7">
        <w:rPr>
          <w:rStyle w:val="normaltextrun"/>
          <w:rFonts w:ascii="Arial" w:hAnsi="Arial" w:cs="Arial"/>
          <w:spacing w:val="-4"/>
          <w:sz w:val="24"/>
          <w:szCs w:val="24"/>
        </w:rPr>
        <w:t>las</w:t>
      </w:r>
      <w:r w:rsidR="007E7B55" w:rsidRPr="002758E7">
        <w:rPr>
          <w:rStyle w:val="normaltextrun"/>
          <w:rFonts w:ascii="Arial" w:hAnsi="Arial" w:cs="Arial"/>
          <w:spacing w:val="-4"/>
          <w:sz w:val="24"/>
          <w:szCs w:val="24"/>
        </w:rPr>
        <w:t xml:space="preserve"> </w:t>
      </w:r>
      <w:r w:rsidR="007C3092" w:rsidRPr="002758E7">
        <w:rPr>
          <w:rStyle w:val="normaltextrun"/>
          <w:rFonts w:ascii="Arial" w:hAnsi="Arial" w:cs="Arial"/>
          <w:spacing w:val="-4"/>
          <w:sz w:val="24"/>
          <w:szCs w:val="24"/>
        </w:rPr>
        <w:t xml:space="preserve">pensiones de jubilación convencionales, pacto colectivo, laudo arbitral o </w:t>
      </w:r>
      <w:r w:rsidRPr="002758E7">
        <w:rPr>
          <w:rStyle w:val="normaltextrun"/>
          <w:rFonts w:ascii="Arial" w:hAnsi="Arial" w:cs="Arial"/>
          <w:spacing w:val="-4"/>
          <w:sz w:val="24"/>
          <w:szCs w:val="24"/>
        </w:rPr>
        <w:t>las</w:t>
      </w:r>
      <w:r w:rsidR="007C3092" w:rsidRPr="002758E7">
        <w:rPr>
          <w:rStyle w:val="normaltextrun"/>
          <w:rFonts w:ascii="Arial" w:hAnsi="Arial" w:cs="Arial"/>
          <w:spacing w:val="-4"/>
          <w:sz w:val="24"/>
          <w:szCs w:val="24"/>
        </w:rPr>
        <w:t xml:space="preserve"> que voluntariamente reconociera el empleador</w:t>
      </w:r>
      <w:r w:rsidR="00FD59C4" w:rsidRPr="002758E7">
        <w:rPr>
          <w:rFonts w:ascii="Arial" w:hAnsi="Arial" w:cs="Arial"/>
          <w:bCs/>
          <w:spacing w:val="-4"/>
          <w:sz w:val="24"/>
          <w:szCs w:val="24"/>
        </w:rPr>
        <w:t>,</w:t>
      </w:r>
      <w:r w:rsidR="007C3092" w:rsidRPr="002758E7">
        <w:rPr>
          <w:rFonts w:ascii="Arial" w:hAnsi="Arial" w:cs="Arial"/>
          <w:bCs/>
          <w:spacing w:val="-4"/>
          <w:sz w:val="24"/>
          <w:szCs w:val="24"/>
        </w:rPr>
        <w:t xml:space="preserve"> con</w:t>
      </w:r>
      <w:r w:rsidRPr="002758E7">
        <w:rPr>
          <w:rFonts w:ascii="Arial" w:hAnsi="Arial" w:cs="Arial"/>
          <w:bCs/>
          <w:spacing w:val="-4"/>
          <w:sz w:val="24"/>
          <w:szCs w:val="24"/>
        </w:rPr>
        <w:t xml:space="preserve"> </w:t>
      </w:r>
      <w:r w:rsidR="007E7B55" w:rsidRPr="002758E7">
        <w:rPr>
          <w:rFonts w:ascii="Arial" w:hAnsi="Arial" w:cs="Arial"/>
          <w:bCs/>
          <w:spacing w:val="-4"/>
          <w:sz w:val="24"/>
          <w:szCs w:val="24"/>
        </w:rPr>
        <w:t xml:space="preserve">aquellas pensiones de vejez </w:t>
      </w:r>
      <w:r w:rsidR="007C3092" w:rsidRPr="002758E7">
        <w:rPr>
          <w:rFonts w:ascii="Arial" w:hAnsi="Arial" w:cs="Arial"/>
          <w:bCs/>
          <w:spacing w:val="-4"/>
          <w:sz w:val="24"/>
          <w:szCs w:val="24"/>
        </w:rPr>
        <w:t>que otorga el Instituto de Seguros Sociales</w:t>
      </w:r>
      <w:r w:rsidR="003B12CD" w:rsidRPr="002758E7">
        <w:rPr>
          <w:rFonts w:ascii="Arial" w:hAnsi="Arial" w:cs="Arial"/>
          <w:bCs/>
          <w:spacing w:val="-4"/>
          <w:sz w:val="24"/>
          <w:szCs w:val="24"/>
        </w:rPr>
        <w:t xml:space="preserve">, </w:t>
      </w:r>
      <w:r w:rsidR="00FD59C4" w:rsidRPr="002758E7">
        <w:rPr>
          <w:rFonts w:ascii="Arial" w:hAnsi="Arial" w:cs="Arial"/>
          <w:bCs/>
          <w:spacing w:val="-4"/>
          <w:sz w:val="24"/>
          <w:szCs w:val="24"/>
        </w:rPr>
        <w:t xml:space="preserve">bajo el entendido de que otorgada una pensión extralegal a un trabajador, el empleador puede </w:t>
      </w:r>
      <w:r w:rsidRPr="002758E7">
        <w:rPr>
          <w:rFonts w:ascii="Arial" w:hAnsi="Arial" w:cs="Arial"/>
          <w:bCs/>
          <w:spacing w:val="-4"/>
          <w:sz w:val="24"/>
          <w:szCs w:val="24"/>
        </w:rPr>
        <w:t>continuar</w:t>
      </w:r>
      <w:r w:rsidR="00FD59C4" w:rsidRPr="002758E7">
        <w:rPr>
          <w:rFonts w:ascii="Arial" w:hAnsi="Arial" w:cs="Arial"/>
          <w:bCs/>
          <w:spacing w:val="-4"/>
          <w:sz w:val="24"/>
          <w:szCs w:val="24"/>
        </w:rPr>
        <w:t xml:space="preserve"> haciendo aportes </w:t>
      </w:r>
      <w:r w:rsidR="002F55A5" w:rsidRPr="002758E7">
        <w:rPr>
          <w:rFonts w:ascii="Arial" w:hAnsi="Arial" w:cs="Arial"/>
          <w:bCs/>
          <w:spacing w:val="-4"/>
          <w:sz w:val="24"/>
          <w:szCs w:val="24"/>
        </w:rPr>
        <w:t>al ISS</w:t>
      </w:r>
      <w:r w:rsidR="00763C1B" w:rsidRPr="002758E7">
        <w:rPr>
          <w:rFonts w:ascii="Arial" w:hAnsi="Arial" w:cs="Arial"/>
          <w:bCs/>
          <w:spacing w:val="-4"/>
          <w:sz w:val="24"/>
          <w:szCs w:val="24"/>
        </w:rPr>
        <w:t>,</w:t>
      </w:r>
      <w:r w:rsidR="002F55A5" w:rsidRPr="002758E7">
        <w:rPr>
          <w:rFonts w:ascii="Arial" w:hAnsi="Arial" w:cs="Arial"/>
          <w:bCs/>
          <w:spacing w:val="-4"/>
          <w:sz w:val="24"/>
          <w:szCs w:val="24"/>
        </w:rPr>
        <w:t xml:space="preserve"> hoy Colpensiones</w:t>
      </w:r>
      <w:r w:rsidR="00763C1B" w:rsidRPr="002758E7">
        <w:rPr>
          <w:rFonts w:ascii="Arial" w:hAnsi="Arial" w:cs="Arial"/>
          <w:bCs/>
          <w:spacing w:val="-4"/>
          <w:sz w:val="24"/>
          <w:szCs w:val="24"/>
        </w:rPr>
        <w:t>,</w:t>
      </w:r>
      <w:r w:rsidR="002F55A5" w:rsidRPr="002758E7">
        <w:rPr>
          <w:rFonts w:ascii="Arial" w:hAnsi="Arial" w:cs="Arial"/>
          <w:bCs/>
          <w:spacing w:val="-4"/>
          <w:sz w:val="24"/>
          <w:szCs w:val="24"/>
        </w:rPr>
        <w:t xml:space="preserve"> </w:t>
      </w:r>
      <w:r w:rsidR="00FD59C4" w:rsidRPr="002758E7">
        <w:rPr>
          <w:rFonts w:ascii="Arial" w:hAnsi="Arial" w:cs="Arial"/>
          <w:bCs/>
          <w:spacing w:val="-4"/>
          <w:sz w:val="24"/>
          <w:szCs w:val="24"/>
        </w:rPr>
        <w:t>con el propósito de que una vez le sea reconocida la pensión de vejez por haber reunido los requisitos</w:t>
      </w:r>
      <w:r w:rsidR="007C3092" w:rsidRPr="002758E7">
        <w:rPr>
          <w:rFonts w:ascii="Arial" w:hAnsi="Arial" w:cs="Arial"/>
          <w:bCs/>
          <w:spacing w:val="-4"/>
          <w:sz w:val="24"/>
          <w:szCs w:val="24"/>
        </w:rPr>
        <w:t xml:space="preserve"> legales exigidos para ello, </w:t>
      </w:r>
      <w:r w:rsidR="00FD59C4" w:rsidRPr="002758E7">
        <w:rPr>
          <w:rFonts w:ascii="Arial" w:hAnsi="Arial" w:cs="Arial"/>
          <w:bCs/>
          <w:spacing w:val="-4"/>
          <w:sz w:val="24"/>
          <w:szCs w:val="24"/>
        </w:rPr>
        <w:t>el valor de esta mesad</w:t>
      </w:r>
      <w:r w:rsidRPr="002758E7">
        <w:rPr>
          <w:rFonts w:ascii="Arial" w:hAnsi="Arial" w:cs="Arial"/>
          <w:bCs/>
          <w:spacing w:val="-4"/>
          <w:sz w:val="24"/>
          <w:szCs w:val="24"/>
        </w:rPr>
        <w:t>a</w:t>
      </w:r>
      <w:r w:rsidR="00FD59C4" w:rsidRPr="002758E7">
        <w:rPr>
          <w:rFonts w:ascii="Arial" w:hAnsi="Arial" w:cs="Arial"/>
          <w:bCs/>
          <w:spacing w:val="-4"/>
          <w:sz w:val="24"/>
          <w:szCs w:val="24"/>
        </w:rPr>
        <w:t xml:space="preserve"> sea abonado como parte de pago del monto mensual que a él corresponde hacer por concepto de pensión </w:t>
      </w:r>
      <w:r w:rsidR="002F55A5" w:rsidRPr="002758E7">
        <w:rPr>
          <w:rFonts w:ascii="Arial" w:hAnsi="Arial" w:cs="Arial"/>
          <w:bCs/>
          <w:spacing w:val="-4"/>
          <w:sz w:val="24"/>
          <w:szCs w:val="24"/>
        </w:rPr>
        <w:t xml:space="preserve">de jubilación </w:t>
      </w:r>
      <w:r w:rsidR="00FD59C4" w:rsidRPr="002758E7">
        <w:rPr>
          <w:rFonts w:ascii="Arial" w:hAnsi="Arial" w:cs="Arial"/>
          <w:bCs/>
          <w:spacing w:val="-4"/>
          <w:sz w:val="24"/>
          <w:szCs w:val="24"/>
        </w:rPr>
        <w:t>convencional, de manera tal que</w:t>
      </w:r>
      <w:r w:rsidR="008B6512" w:rsidRPr="002758E7">
        <w:rPr>
          <w:rFonts w:ascii="Arial" w:hAnsi="Arial" w:cs="Arial"/>
          <w:bCs/>
          <w:spacing w:val="-4"/>
          <w:sz w:val="24"/>
          <w:szCs w:val="24"/>
        </w:rPr>
        <w:t xml:space="preserve">, </w:t>
      </w:r>
      <w:r w:rsidR="00FD59C4" w:rsidRPr="002758E7">
        <w:rPr>
          <w:rFonts w:ascii="Arial" w:hAnsi="Arial" w:cs="Arial"/>
          <w:bCs/>
          <w:spacing w:val="-4"/>
          <w:sz w:val="24"/>
          <w:szCs w:val="24"/>
        </w:rPr>
        <w:t xml:space="preserve">en adelante </w:t>
      </w:r>
      <w:r w:rsidRPr="002758E7">
        <w:rPr>
          <w:rFonts w:ascii="Arial" w:hAnsi="Arial" w:cs="Arial"/>
          <w:bCs/>
          <w:spacing w:val="-4"/>
          <w:sz w:val="24"/>
          <w:szCs w:val="24"/>
        </w:rPr>
        <w:t xml:space="preserve">al empleador </w:t>
      </w:r>
      <w:r w:rsidR="00FD59C4" w:rsidRPr="002758E7">
        <w:rPr>
          <w:rFonts w:ascii="Arial" w:hAnsi="Arial" w:cs="Arial"/>
          <w:bCs/>
          <w:spacing w:val="-4"/>
          <w:sz w:val="24"/>
          <w:szCs w:val="24"/>
        </w:rPr>
        <w:t xml:space="preserve">solo le corresponda pagar, si lo hubiere, el mayor valor </w:t>
      </w:r>
      <w:r w:rsidR="003B12CD" w:rsidRPr="002758E7">
        <w:rPr>
          <w:rFonts w:ascii="Arial" w:hAnsi="Arial" w:cs="Arial"/>
          <w:bCs/>
          <w:spacing w:val="-4"/>
          <w:sz w:val="24"/>
          <w:szCs w:val="24"/>
        </w:rPr>
        <w:t xml:space="preserve">existente entre </w:t>
      </w:r>
      <w:r w:rsidR="00FD59C4" w:rsidRPr="002758E7">
        <w:rPr>
          <w:rFonts w:ascii="Arial" w:hAnsi="Arial" w:cs="Arial"/>
          <w:bCs/>
          <w:spacing w:val="-4"/>
          <w:sz w:val="24"/>
          <w:szCs w:val="24"/>
        </w:rPr>
        <w:t>la</w:t>
      </w:r>
      <w:r w:rsidRPr="002758E7">
        <w:rPr>
          <w:rFonts w:ascii="Arial" w:hAnsi="Arial" w:cs="Arial"/>
          <w:bCs/>
          <w:spacing w:val="-4"/>
          <w:sz w:val="24"/>
          <w:szCs w:val="24"/>
        </w:rPr>
        <w:t xml:space="preserve"> pensión de jubilación y</w:t>
      </w:r>
      <w:r w:rsidR="00FD59C4" w:rsidRPr="002758E7">
        <w:rPr>
          <w:rFonts w:ascii="Arial" w:hAnsi="Arial" w:cs="Arial"/>
          <w:bCs/>
          <w:spacing w:val="-4"/>
          <w:sz w:val="24"/>
          <w:szCs w:val="24"/>
        </w:rPr>
        <w:t xml:space="preserve"> la de vejez reconocida por el ISS</w:t>
      </w:r>
      <w:r w:rsidR="003B12CD" w:rsidRPr="002758E7">
        <w:rPr>
          <w:rFonts w:ascii="Arial" w:hAnsi="Arial" w:cs="Arial"/>
          <w:bCs/>
          <w:spacing w:val="-4"/>
          <w:sz w:val="24"/>
          <w:szCs w:val="24"/>
        </w:rPr>
        <w:t xml:space="preserve">. </w:t>
      </w:r>
    </w:p>
    <w:p w:rsidR="003B12CD" w:rsidRPr="002758E7" w:rsidRDefault="003B12CD" w:rsidP="00625077">
      <w:pPr>
        <w:pStyle w:val="Prrafodelista"/>
        <w:ind w:left="0"/>
        <w:jc w:val="both"/>
        <w:rPr>
          <w:rFonts w:ascii="Arial" w:hAnsi="Arial" w:cs="Arial"/>
          <w:bCs/>
          <w:spacing w:val="-4"/>
          <w:sz w:val="24"/>
          <w:szCs w:val="24"/>
        </w:rPr>
      </w:pPr>
    </w:p>
    <w:p w:rsidR="007E7B55" w:rsidRPr="002758E7" w:rsidRDefault="003B12CD" w:rsidP="00625077">
      <w:pPr>
        <w:pStyle w:val="Prrafodelista"/>
        <w:spacing w:after="0"/>
        <w:ind w:left="0"/>
        <w:jc w:val="both"/>
        <w:rPr>
          <w:rFonts w:ascii="Arial" w:hAnsi="Arial" w:cs="Arial"/>
          <w:bCs/>
          <w:spacing w:val="-4"/>
          <w:sz w:val="24"/>
          <w:szCs w:val="24"/>
        </w:rPr>
      </w:pPr>
      <w:bookmarkStart w:id="2" w:name="_Hlk112942596"/>
      <w:r w:rsidRPr="002758E7">
        <w:rPr>
          <w:rFonts w:ascii="Arial" w:hAnsi="Arial" w:cs="Arial"/>
          <w:bCs/>
          <w:spacing w:val="-4"/>
          <w:sz w:val="24"/>
          <w:szCs w:val="24"/>
        </w:rPr>
        <w:t xml:space="preserve">Dicha figura de </w:t>
      </w:r>
      <w:proofErr w:type="spellStart"/>
      <w:r w:rsidRPr="002758E7">
        <w:rPr>
          <w:rFonts w:ascii="Arial" w:hAnsi="Arial" w:cs="Arial"/>
          <w:bCs/>
          <w:spacing w:val="-4"/>
          <w:sz w:val="24"/>
          <w:szCs w:val="24"/>
        </w:rPr>
        <w:t>compartibilidad</w:t>
      </w:r>
      <w:proofErr w:type="spellEnd"/>
      <w:r w:rsidRPr="002758E7">
        <w:rPr>
          <w:rFonts w:ascii="Arial" w:hAnsi="Arial" w:cs="Arial"/>
          <w:bCs/>
          <w:spacing w:val="-4"/>
          <w:sz w:val="24"/>
          <w:szCs w:val="24"/>
        </w:rPr>
        <w:t xml:space="preserve"> pensional se mantuvo en el artículo 18 del Acuerdo 049 de 1990</w:t>
      </w:r>
      <w:bookmarkEnd w:id="2"/>
      <w:r w:rsidRPr="002758E7">
        <w:rPr>
          <w:rFonts w:ascii="Arial" w:hAnsi="Arial" w:cs="Arial"/>
          <w:bCs/>
          <w:spacing w:val="-4"/>
          <w:sz w:val="24"/>
          <w:szCs w:val="24"/>
        </w:rPr>
        <w:t>, aprobado por el Decreto 758 del mismo año,</w:t>
      </w:r>
      <w:r w:rsidR="002A46C7" w:rsidRPr="002758E7">
        <w:rPr>
          <w:rFonts w:ascii="Arial" w:hAnsi="Arial" w:cs="Arial"/>
          <w:bCs/>
          <w:spacing w:val="-4"/>
          <w:sz w:val="24"/>
          <w:szCs w:val="24"/>
        </w:rPr>
        <w:t xml:space="preserve"> </w:t>
      </w:r>
      <w:r w:rsidRPr="002758E7">
        <w:rPr>
          <w:rFonts w:ascii="Arial" w:hAnsi="Arial" w:cs="Arial"/>
          <w:bCs/>
          <w:spacing w:val="-4"/>
          <w:sz w:val="24"/>
          <w:szCs w:val="24"/>
        </w:rPr>
        <w:t xml:space="preserve">en los siguientes términos: </w:t>
      </w:r>
    </w:p>
    <w:p w:rsidR="00AF2783" w:rsidRPr="002758E7" w:rsidRDefault="00AF2783" w:rsidP="00625077">
      <w:pPr>
        <w:pStyle w:val="Prrafodelista"/>
        <w:spacing w:after="0"/>
        <w:ind w:left="0"/>
        <w:jc w:val="both"/>
        <w:rPr>
          <w:rFonts w:ascii="Arial" w:hAnsi="Arial" w:cs="Arial"/>
          <w:b/>
          <w:spacing w:val="-4"/>
          <w:sz w:val="24"/>
          <w:szCs w:val="24"/>
        </w:rPr>
      </w:pPr>
    </w:p>
    <w:p w:rsidR="007E7B55" w:rsidRPr="002758E7" w:rsidRDefault="0004459E" w:rsidP="00DD21F6">
      <w:pPr>
        <w:pStyle w:val="NormalWeb"/>
        <w:spacing w:before="0" w:beforeAutospacing="0" w:after="0" w:afterAutospacing="0"/>
        <w:ind w:left="426" w:right="474"/>
        <w:jc w:val="both"/>
        <w:rPr>
          <w:rFonts w:ascii="Arial" w:eastAsia="Calibri" w:hAnsi="Arial" w:cs="Arial"/>
          <w:bCs/>
          <w:spacing w:val="-4"/>
          <w:sz w:val="22"/>
          <w:lang w:eastAsia="en-US"/>
        </w:rPr>
      </w:pPr>
      <w:r w:rsidRPr="002758E7">
        <w:rPr>
          <w:rFonts w:ascii="Arial" w:eastAsia="Calibri" w:hAnsi="Arial" w:cs="Arial"/>
          <w:bCs/>
          <w:i/>
          <w:iCs/>
          <w:spacing w:val="-4"/>
          <w:sz w:val="22"/>
          <w:lang w:eastAsia="en-US"/>
        </w:rPr>
        <w:t>“</w:t>
      </w:r>
      <w:r w:rsidR="002A46C7" w:rsidRPr="002758E7">
        <w:rPr>
          <w:rFonts w:ascii="Arial" w:eastAsia="Calibri" w:hAnsi="Arial" w:cs="Arial"/>
          <w:b/>
          <w:spacing w:val="-4"/>
          <w:sz w:val="22"/>
          <w:lang w:eastAsia="en-US"/>
        </w:rPr>
        <w:t>Artículo 18</w:t>
      </w:r>
      <w:r w:rsidR="002A46C7" w:rsidRPr="002758E7">
        <w:rPr>
          <w:rFonts w:ascii="Arial" w:eastAsia="Calibri" w:hAnsi="Arial" w:cs="Arial"/>
          <w:bCs/>
          <w:i/>
          <w:iCs/>
          <w:spacing w:val="-4"/>
          <w:sz w:val="22"/>
          <w:lang w:eastAsia="en-US"/>
        </w:rPr>
        <w:t xml:space="preserve">: “Los patronos inscritos en el Instituto de Seguros Sociales, que a partir de la fecha de publicación del decreto que apruebe este Acuerdo, otorguen a sus trabajadores afiliados pensiones de jubilación reconocidas en Convención Colectiva, Pacto Colectivo, Laudo Arbitral o voluntariamente, </w:t>
      </w:r>
      <w:r w:rsidR="002A46C7" w:rsidRPr="002758E7">
        <w:rPr>
          <w:rFonts w:ascii="Arial" w:eastAsia="Calibri" w:hAnsi="Arial" w:cs="Arial"/>
          <w:b/>
          <w:i/>
          <w:iCs/>
          <w:spacing w:val="-4"/>
          <w:sz w:val="22"/>
          <w:lang w:eastAsia="en-US"/>
        </w:rPr>
        <w:t>continuarán cotizando</w:t>
      </w:r>
      <w:r w:rsidR="002A46C7" w:rsidRPr="002758E7">
        <w:rPr>
          <w:rFonts w:ascii="Arial" w:eastAsia="Calibri" w:hAnsi="Arial" w:cs="Arial"/>
          <w:bCs/>
          <w:i/>
          <w:iCs/>
          <w:spacing w:val="-4"/>
          <w:sz w:val="22"/>
          <w:lang w:eastAsia="en-US"/>
        </w:rPr>
        <w:t xml:space="preserve"> para los seguros de Invalidez, Vejez y Muerte, </w:t>
      </w:r>
      <w:r w:rsidR="002A46C7" w:rsidRPr="002758E7">
        <w:rPr>
          <w:rFonts w:ascii="Arial" w:eastAsia="Calibri" w:hAnsi="Arial" w:cs="Arial"/>
          <w:b/>
          <w:i/>
          <w:iCs/>
          <w:spacing w:val="-4"/>
          <w:sz w:val="22"/>
          <w:lang w:eastAsia="en-US"/>
        </w:rPr>
        <w:t>hasta cuando los asegurados cumplan los requisitos exigidos por el Instituto para otorgar la pensión de Vejez</w:t>
      </w:r>
      <w:r w:rsidR="002A46C7" w:rsidRPr="002758E7">
        <w:rPr>
          <w:rFonts w:ascii="Arial" w:eastAsia="Calibri" w:hAnsi="Arial" w:cs="Arial"/>
          <w:bCs/>
          <w:i/>
          <w:iCs/>
          <w:spacing w:val="-4"/>
          <w:sz w:val="22"/>
          <w:lang w:eastAsia="en-US"/>
        </w:rPr>
        <w:t xml:space="preserve"> y en este momento el Instituto procederá a cubrir dicha pensión, siendo de cuenta del patrono únicamente el mayor valor, si lo hubiere, entre la pensión otorgada por el Instituto y la que venía siendo pagada por el patrono. </w:t>
      </w:r>
    </w:p>
    <w:p w:rsidR="00AF2783" w:rsidRPr="002758E7" w:rsidRDefault="00AF2783" w:rsidP="00DD21F6">
      <w:pPr>
        <w:pStyle w:val="NormalWeb"/>
        <w:spacing w:before="0" w:beforeAutospacing="0" w:after="0" w:afterAutospacing="0"/>
        <w:ind w:left="426" w:right="474"/>
        <w:jc w:val="both"/>
        <w:rPr>
          <w:rFonts w:ascii="Arial" w:eastAsia="Calibri" w:hAnsi="Arial" w:cs="Arial"/>
          <w:bCs/>
          <w:i/>
          <w:iCs/>
          <w:spacing w:val="-4"/>
          <w:sz w:val="22"/>
          <w:lang w:eastAsia="en-US"/>
        </w:rPr>
      </w:pPr>
    </w:p>
    <w:p w:rsidR="002A46C7" w:rsidRPr="002758E7" w:rsidRDefault="00DD21F6" w:rsidP="00DD21F6">
      <w:pPr>
        <w:pStyle w:val="NormalWeb"/>
        <w:spacing w:before="0" w:beforeAutospacing="0" w:after="0" w:afterAutospacing="0"/>
        <w:ind w:left="426" w:right="474"/>
        <w:jc w:val="both"/>
        <w:rPr>
          <w:rFonts w:ascii="Arial" w:eastAsia="Calibri" w:hAnsi="Arial" w:cs="Arial"/>
          <w:bCs/>
          <w:i/>
          <w:iCs/>
          <w:spacing w:val="-4"/>
          <w:sz w:val="22"/>
          <w:lang w:eastAsia="en-US"/>
        </w:rPr>
      </w:pPr>
      <w:r w:rsidRPr="002758E7">
        <w:rPr>
          <w:rFonts w:ascii="Arial" w:eastAsia="Calibri" w:hAnsi="Arial" w:cs="Arial"/>
          <w:bCs/>
          <w:i/>
          <w:iCs/>
          <w:spacing w:val="-4"/>
          <w:sz w:val="22"/>
          <w:lang w:eastAsia="en-US"/>
        </w:rPr>
        <w:t>“</w:t>
      </w:r>
      <w:r w:rsidR="002A46C7" w:rsidRPr="002758E7">
        <w:rPr>
          <w:rFonts w:ascii="Arial" w:eastAsia="Calibri" w:hAnsi="Arial" w:cs="Arial"/>
          <w:bCs/>
          <w:i/>
          <w:iCs/>
          <w:spacing w:val="-4"/>
          <w:sz w:val="22"/>
          <w:lang w:eastAsia="en-US"/>
        </w:rPr>
        <w:t xml:space="preserve">La obligación de seguir cotizando al Seguro de Invalidez, Vejez y Muerte, de que trata este artículo, sólo rige para el patrono inscrito en el Instituto de Seguros Sociales.  </w:t>
      </w:r>
    </w:p>
    <w:p w:rsidR="00AF2783" w:rsidRPr="002758E7" w:rsidRDefault="00AF2783" w:rsidP="00DD21F6">
      <w:pPr>
        <w:pStyle w:val="NormalWeb"/>
        <w:spacing w:before="0" w:beforeAutospacing="0" w:after="0" w:afterAutospacing="0"/>
        <w:ind w:left="426" w:right="474"/>
        <w:jc w:val="both"/>
        <w:rPr>
          <w:rFonts w:ascii="Arial" w:eastAsia="Calibri" w:hAnsi="Arial" w:cs="Arial"/>
          <w:bCs/>
          <w:i/>
          <w:iCs/>
          <w:spacing w:val="-4"/>
          <w:sz w:val="22"/>
          <w:lang w:eastAsia="en-US"/>
        </w:rPr>
      </w:pPr>
    </w:p>
    <w:p w:rsidR="00081FB2" w:rsidRPr="002758E7" w:rsidRDefault="00DD21F6" w:rsidP="00DD21F6">
      <w:pPr>
        <w:pStyle w:val="NormalWeb"/>
        <w:spacing w:before="0" w:beforeAutospacing="0" w:after="0" w:afterAutospacing="0"/>
        <w:ind w:left="426" w:right="474"/>
        <w:jc w:val="both"/>
        <w:rPr>
          <w:rFonts w:ascii="Arial" w:eastAsia="Calibri" w:hAnsi="Arial" w:cs="Arial"/>
          <w:bCs/>
          <w:i/>
          <w:iCs/>
          <w:spacing w:val="-4"/>
          <w:sz w:val="22"/>
          <w:lang w:eastAsia="en-US"/>
        </w:rPr>
      </w:pPr>
      <w:r w:rsidRPr="002758E7">
        <w:rPr>
          <w:rFonts w:ascii="Arial" w:eastAsia="Calibri" w:hAnsi="Arial" w:cs="Arial"/>
          <w:bCs/>
          <w:i/>
          <w:iCs/>
          <w:spacing w:val="-4"/>
          <w:sz w:val="22"/>
          <w:lang w:eastAsia="en-US"/>
        </w:rPr>
        <w:t>“</w:t>
      </w:r>
      <w:r w:rsidR="002A46C7" w:rsidRPr="002758E7">
        <w:rPr>
          <w:rFonts w:ascii="Arial" w:eastAsia="Calibri" w:hAnsi="Arial" w:cs="Arial"/>
          <w:bCs/>
          <w:i/>
          <w:iCs/>
          <w:spacing w:val="-4"/>
          <w:sz w:val="22"/>
          <w:lang w:eastAsia="en-US"/>
        </w:rPr>
        <w:t>Parágrafo 1</w:t>
      </w:r>
      <w:r w:rsidR="002A46C7" w:rsidRPr="002758E7">
        <w:rPr>
          <w:rFonts w:ascii="Arial" w:eastAsia="Calibri" w:hAnsi="Arial" w:cs="Arial"/>
          <w:b/>
          <w:i/>
          <w:iCs/>
          <w:spacing w:val="-4"/>
          <w:sz w:val="22"/>
          <w:lang w:eastAsia="en-US"/>
        </w:rPr>
        <w:t>°</w:t>
      </w:r>
      <w:r w:rsidRPr="002758E7">
        <w:rPr>
          <w:rFonts w:ascii="Arial" w:eastAsia="Calibri" w:hAnsi="Arial" w:cs="Arial"/>
          <w:b/>
          <w:i/>
          <w:iCs/>
          <w:spacing w:val="-4"/>
          <w:sz w:val="22"/>
          <w:lang w:eastAsia="en-US"/>
        </w:rPr>
        <w:t xml:space="preserve"> </w:t>
      </w:r>
      <w:r w:rsidR="002A46C7" w:rsidRPr="002758E7">
        <w:rPr>
          <w:rFonts w:ascii="Arial" w:eastAsia="Calibri" w:hAnsi="Arial" w:cs="Arial"/>
          <w:b/>
          <w:i/>
          <w:iCs/>
          <w:spacing w:val="-4"/>
          <w:sz w:val="22"/>
          <w:lang w:eastAsia="en-US"/>
        </w:rPr>
        <w:t xml:space="preserve">Lo dispuesto en este artículo no se </w:t>
      </w:r>
      <w:r w:rsidR="002A46C7" w:rsidRPr="002758E7">
        <w:rPr>
          <w:rFonts w:ascii="Arial" w:eastAsia="Calibri" w:hAnsi="Arial" w:cs="Arial"/>
          <w:bCs/>
          <w:i/>
          <w:iCs/>
          <w:spacing w:val="-4"/>
          <w:sz w:val="22"/>
          <w:lang w:eastAsia="en-US"/>
        </w:rPr>
        <w:t xml:space="preserve">aplicará cuando en la respectiva Convención Colectiva, Pacto Colectivo, Laudo Arbitral o acuerdo entre las partes, </w:t>
      </w:r>
      <w:r w:rsidR="002A46C7" w:rsidRPr="002758E7">
        <w:rPr>
          <w:rFonts w:ascii="Arial" w:eastAsia="Calibri" w:hAnsi="Arial" w:cs="Arial"/>
          <w:b/>
          <w:i/>
          <w:iCs/>
          <w:spacing w:val="-4"/>
          <w:sz w:val="22"/>
          <w:lang w:eastAsia="en-US"/>
        </w:rPr>
        <w:t>se haya dispuesto expresamente, que las pensiones en ellos reconocidas, no serán compartidas</w:t>
      </w:r>
      <w:r w:rsidR="002A46C7" w:rsidRPr="002758E7">
        <w:rPr>
          <w:rFonts w:ascii="Arial" w:eastAsia="Calibri" w:hAnsi="Arial" w:cs="Arial"/>
          <w:bCs/>
          <w:i/>
          <w:iCs/>
          <w:spacing w:val="-4"/>
          <w:sz w:val="22"/>
          <w:lang w:eastAsia="en-US"/>
        </w:rPr>
        <w:t xml:space="preserve"> con el Instituto de Seguros Sociales.</w:t>
      </w:r>
      <w:r w:rsidR="003B12CD" w:rsidRPr="002758E7">
        <w:rPr>
          <w:rFonts w:ascii="Arial" w:eastAsia="Calibri" w:hAnsi="Arial" w:cs="Arial"/>
          <w:bCs/>
          <w:i/>
          <w:iCs/>
          <w:spacing w:val="-4"/>
          <w:sz w:val="22"/>
          <w:lang w:eastAsia="en-US"/>
        </w:rPr>
        <w:t>”</w:t>
      </w:r>
      <w:r w:rsidR="003B12CD" w:rsidRPr="002758E7">
        <w:rPr>
          <w:rFonts w:ascii="Arial" w:eastAsia="Calibri" w:hAnsi="Arial" w:cs="Arial"/>
          <w:bCs/>
          <w:spacing w:val="-4"/>
          <w:sz w:val="22"/>
          <w:lang w:eastAsia="en-US"/>
        </w:rPr>
        <w:t xml:space="preserve"> (Negrillas de la Sala fuera del texto original).</w:t>
      </w:r>
    </w:p>
    <w:p w:rsidR="00EF6268" w:rsidRPr="002758E7" w:rsidRDefault="00EF6268" w:rsidP="00625077">
      <w:pPr>
        <w:pStyle w:val="Sinespaciado"/>
        <w:spacing w:line="276" w:lineRule="auto"/>
        <w:rPr>
          <w:rFonts w:ascii="Arial" w:hAnsi="Arial" w:cs="Arial"/>
          <w:spacing w:val="-4"/>
          <w:sz w:val="24"/>
          <w:szCs w:val="24"/>
        </w:rPr>
      </w:pPr>
    </w:p>
    <w:p w:rsidR="00EF6268" w:rsidRPr="002758E7" w:rsidRDefault="00C13188" w:rsidP="00625077">
      <w:pPr>
        <w:pStyle w:val="Sinespaciado"/>
        <w:spacing w:line="276" w:lineRule="auto"/>
        <w:jc w:val="both"/>
        <w:rPr>
          <w:rFonts w:ascii="Arial" w:hAnsi="Arial" w:cs="Arial"/>
          <w:spacing w:val="-4"/>
          <w:sz w:val="24"/>
          <w:szCs w:val="24"/>
        </w:rPr>
      </w:pPr>
      <w:r w:rsidRPr="002758E7">
        <w:rPr>
          <w:rFonts w:ascii="Arial" w:hAnsi="Arial" w:cs="Arial"/>
          <w:spacing w:val="-4"/>
          <w:sz w:val="24"/>
          <w:szCs w:val="24"/>
        </w:rPr>
        <w:lastRenderedPageBreak/>
        <w:t xml:space="preserve">Posteriormente, el artículo 5º del Decreto 813 de 1994, modificado por el 2º del Decreto 1160 del mismo año, dispuso que los empleadores reconocerían la pensión de jubilación con base en las normas que se venían aplicando y que </w:t>
      </w:r>
      <w:r w:rsidR="00081FB2" w:rsidRPr="002758E7">
        <w:rPr>
          <w:rFonts w:ascii="Arial" w:hAnsi="Arial" w:cs="Arial"/>
          <w:spacing w:val="-4"/>
          <w:sz w:val="24"/>
          <w:szCs w:val="24"/>
        </w:rPr>
        <w:t>“</w:t>
      </w:r>
      <w:r w:rsidRPr="002758E7">
        <w:rPr>
          <w:rFonts w:ascii="Arial" w:hAnsi="Arial" w:cs="Arial"/>
          <w:i/>
          <w:iCs/>
          <w:spacing w:val="-4"/>
          <w:szCs w:val="24"/>
          <w:u w:val="single"/>
        </w:rPr>
        <w:t>continuaría cotizando al ISS</w:t>
      </w:r>
      <w:r w:rsidRPr="002758E7">
        <w:rPr>
          <w:rFonts w:ascii="Arial" w:hAnsi="Arial" w:cs="Arial"/>
          <w:spacing w:val="-4"/>
          <w:szCs w:val="24"/>
          <w:u w:val="single"/>
        </w:rPr>
        <w:t xml:space="preserve"> </w:t>
      </w:r>
      <w:r w:rsidRPr="002758E7">
        <w:rPr>
          <w:rFonts w:ascii="Arial" w:hAnsi="Arial" w:cs="Arial"/>
          <w:i/>
          <w:spacing w:val="-4"/>
          <w:szCs w:val="24"/>
          <w:u w:val="single"/>
        </w:rPr>
        <w:t>hasta que el trabajador cumpla con los requisitos mínimos exigidos por dicho Instituto para otorgar la pensión de vejez</w:t>
      </w:r>
      <w:r w:rsidRPr="002758E7">
        <w:rPr>
          <w:rFonts w:ascii="Arial" w:hAnsi="Arial" w:cs="Arial"/>
          <w:i/>
          <w:spacing w:val="-4"/>
          <w:szCs w:val="24"/>
        </w:rPr>
        <w:t>...</w:t>
      </w:r>
      <w:r w:rsidRPr="002758E7">
        <w:rPr>
          <w:rFonts w:ascii="Arial" w:hAnsi="Arial" w:cs="Arial"/>
          <w:i/>
          <w:spacing w:val="-4"/>
          <w:sz w:val="24"/>
          <w:szCs w:val="24"/>
        </w:rPr>
        <w:t>”,</w:t>
      </w:r>
      <w:r w:rsidRPr="002758E7">
        <w:rPr>
          <w:rFonts w:ascii="Arial" w:hAnsi="Arial" w:cs="Arial"/>
          <w:spacing w:val="-4"/>
          <w:sz w:val="24"/>
          <w:szCs w:val="24"/>
        </w:rPr>
        <w:t xml:space="preserve"> momento a partir del cual sería a cargo del empleador el mayor valor entre lo que el ISS empezara a pagar y el monto de la pensión de jubilación que él venía pagando</w:t>
      </w:r>
      <w:r w:rsidR="00EF6268" w:rsidRPr="002758E7">
        <w:rPr>
          <w:rFonts w:ascii="Arial" w:hAnsi="Arial" w:cs="Arial"/>
          <w:spacing w:val="-4"/>
          <w:sz w:val="24"/>
          <w:szCs w:val="24"/>
        </w:rPr>
        <w:t xml:space="preserve">. </w:t>
      </w:r>
    </w:p>
    <w:p w:rsidR="00EF6268" w:rsidRPr="002758E7" w:rsidRDefault="00EF6268" w:rsidP="00625077">
      <w:pPr>
        <w:pStyle w:val="Sinespaciado"/>
        <w:spacing w:line="276" w:lineRule="auto"/>
        <w:jc w:val="both"/>
        <w:rPr>
          <w:rFonts w:ascii="Arial" w:hAnsi="Arial" w:cs="Arial"/>
          <w:spacing w:val="-4"/>
          <w:sz w:val="24"/>
          <w:szCs w:val="24"/>
        </w:rPr>
      </w:pPr>
    </w:p>
    <w:p w:rsidR="00EF6268" w:rsidRPr="002758E7" w:rsidRDefault="00C13188" w:rsidP="00625077">
      <w:pPr>
        <w:pStyle w:val="Sinespaciado"/>
        <w:spacing w:line="276" w:lineRule="auto"/>
        <w:jc w:val="both"/>
        <w:rPr>
          <w:rFonts w:ascii="Arial" w:hAnsi="Arial" w:cs="Arial"/>
          <w:i/>
          <w:spacing w:val="-4"/>
          <w:sz w:val="24"/>
          <w:szCs w:val="24"/>
        </w:rPr>
      </w:pPr>
      <w:r w:rsidRPr="002758E7">
        <w:rPr>
          <w:rFonts w:ascii="Arial" w:hAnsi="Arial" w:cs="Arial"/>
          <w:spacing w:val="-4"/>
          <w:sz w:val="24"/>
          <w:szCs w:val="24"/>
        </w:rPr>
        <w:t>El ámbito de aplicación de la citada norma, si bien hace referencia a los empleadores del sector privado</w:t>
      </w:r>
      <w:r w:rsidR="00081FB2" w:rsidRPr="002758E7">
        <w:rPr>
          <w:rFonts w:ascii="Arial" w:hAnsi="Arial" w:cs="Arial"/>
          <w:spacing w:val="-4"/>
          <w:sz w:val="24"/>
          <w:szCs w:val="24"/>
        </w:rPr>
        <w:t xml:space="preserve">, </w:t>
      </w:r>
      <w:r w:rsidRPr="002758E7">
        <w:rPr>
          <w:rFonts w:ascii="Arial" w:hAnsi="Arial" w:cs="Arial"/>
          <w:spacing w:val="-4"/>
          <w:sz w:val="24"/>
          <w:szCs w:val="24"/>
        </w:rPr>
        <w:t xml:space="preserve">fue expresamente ampliado por el artículo 45 del Decreto 1748 de 1995 a empleadores del sector Público afiliados al ISS, en los siguientes términos: </w:t>
      </w:r>
      <w:r w:rsidRPr="002758E7">
        <w:rPr>
          <w:rFonts w:ascii="Arial" w:hAnsi="Arial" w:cs="Arial"/>
          <w:i/>
          <w:spacing w:val="-4"/>
          <w:sz w:val="24"/>
          <w:szCs w:val="24"/>
        </w:rPr>
        <w:t>“</w:t>
      </w:r>
      <w:r w:rsidRPr="002758E7">
        <w:rPr>
          <w:rFonts w:ascii="Arial" w:hAnsi="Arial" w:cs="Arial"/>
          <w:i/>
          <w:spacing w:val="-4"/>
          <w:szCs w:val="24"/>
        </w:rPr>
        <w:t>Los empleadores del sector público afiliados al ISS se asimilan a empleadores del sector privado. Por tanto, les será aplicable el artículo 5º del decreto 813 de 1994 y no habrá lugar a la expedición de bono tipo B</w:t>
      </w:r>
      <w:r w:rsidRPr="002758E7">
        <w:rPr>
          <w:rFonts w:ascii="Arial" w:hAnsi="Arial" w:cs="Arial"/>
          <w:i/>
          <w:spacing w:val="-4"/>
          <w:sz w:val="24"/>
          <w:szCs w:val="24"/>
        </w:rPr>
        <w:t>”</w:t>
      </w:r>
      <w:r w:rsidR="00EF6268" w:rsidRPr="002758E7">
        <w:rPr>
          <w:rFonts w:ascii="Arial" w:hAnsi="Arial" w:cs="Arial"/>
          <w:i/>
          <w:spacing w:val="-4"/>
          <w:sz w:val="24"/>
          <w:szCs w:val="24"/>
        </w:rPr>
        <w:t xml:space="preserve">. </w:t>
      </w:r>
    </w:p>
    <w:p w:rsidR="00EF6268" w:rsidRPr="002758E7" w:rsidRDefault="00EF6268" w:rsidP="00625077">
      <w:pPr>
        <w:pStyle w:val="Sinespaciado"/>
        <w:spacing w:line="276" w:lineRule="auto"/>
        <w:jc w:val="both"/>
        <w:rPr>
          <w:rFonts w:ascii="Arial" w:hAnsi="Arial" w:cs="Arial"/>
          <w:i/>
          <w:spacing w:val="-4"/>
          <w:sz w:val="24"/>
          <w:szCs w:val="24"/>
        </w:rPr>
      </w:pPr>
    </w:p>
    <w:p w:rsidR="00EF6268" w:rsidRPr="002758E7" w:rsidRDefault="00EF6268" w:rsidP="00625077">
      <w:pPr>
        <w:pStyle w:val="Sinespaciado"/>
        <w:spacing w:line="276" w:lineRule="auto"/>
        <w:jc w:val="both"/>
        <w:rPr>
          <w:rFonts w:ascii="Arial" w:hAnsi="Arial" w:cs="Arial"/>
          <w:iCs/>
          <w:spacing w:val="-4"/>
          <w:sz w:val="24"/>
          <w:szCs w:val="24"/>
        </w:rPr>
      </w:pPr>
      <w:r w:rsidRPr="002758E7">
        <w:rPr>
          <w:rFonts w:ascii="Arial" w:hAnsi="Arial" w:cs="Arial"/>
          <w:iCs/>
          <w:spacing w:val="-4"/>
          <w:sz w:val="24"/>
          <w:szCs w:val="24"/>
        </w:rPr>
        <w:t xml:space="preserve">Acorde con las citadas disposiciones normativas, </w:t>
      </w:r>
      <w:r w:rsidR="00325CE0" w:rsidRPr="002758E7">
        <w:rPr>
          <w:rFonts w:ascii="Arial" w:hAnsi="Arial" w:cs="Arial"/>
          <w:bCs/>
          <w:spacing w:val="-4"/>
          <w:sz w:val="24"/>
          <w:szCs w:val="24"/>
        </w:rPr>
        <w:t xml:space="preserve">la pensión compartida busca que el empleador subrogue el pago total o parcial de la pensión convencional que ha reconocido a su extrabajador, </w:t>
      </w:r>
      <w:r w:rsidR="00325CE0" w:rsidRPr="002758E7">
        <w:rPr>
          <w:rFonts w:ascii="Arial" w:hAnsi="Arial" w:cs="Arial"/>
          <w:bCs/>
          <w:spacing w:val="-4"/>
          <w:sz w:val="24"/>
          <w:szCs w:val="24"/>
          <w:u w:val="single"/>
        </w:rPr>
        <w:t>previo</w:t>
      </w:r>
      <w:r w:rsidR="009331BE" w:rsidRPr="002758E7">
        <w:rPr>
          <w:rFonts w:ascii="Arial" w:hAnsi="Arial" w:cs="Arial"/>
          <w:bCs/>
          <w:spacing w:val="-4"/>
          <w:sz w:val="24"/>
          <w:szCs w:val="24"/>
          <w:u w:val="single"/>
        </w:rPr>
        <w:t xml:space="preserve"> </w:t>
      </w:r>
      <w:r w:rsidR="00325CE0" w:rsidRPr="002758E7">
        <w:rPr>
          <w:rFonts w:ascii="Arial" w:hAnsi="Arial" w:cs="Arial"/>
          <w:bCs/>
          <w:spacing w:val="-4"/>
          <w:sz w:val="24"/>
          <w:szCs w:val="24"/>
          <w:u w:val="single"/>
        </w:rPr>
        <w:t>el cumplimiento de los requisitos allí exigidos</w:t>
      </w:r>
      <w:r w:rsidR="00325CE0" w:rsidRPr="002758E7">
        <w:rPr>
          <w:rFonts w:ascii="Arial" w:hAnsi="Arial" w:cs="Arial"/>
          <w:bCs/>
          <w:spacing w:val="-4"/>
          <w:sz w:val="24"/>
          <w:szCs w:val="24"/>
        </w:rPr>
        <w:t xml:space="preserve">, </w:t>
      </w:r>
      <w:r w:rsidR="0028773F" w:rsidRPr="002758E7">
        <w:rPr>
          <w:rFonts w:ascii="Arial" w:hAnsi="Arial" w:cs="Arial"/>
          <w:bCs/>
          <w:spacing w:val="-4"/>
          <w:sz w:val="24"/>
          <w:szCs w:val="24"/>
        </w:rPr>
        <w:t xml:space="preserve">que se contraen a que siga efectuando cotizaciones al sistema general de pensiones hasta que el trabajador reúna los requisitos exigidos para consolidar el derecho a la pensión de vejez, </w:t>
      </w:r>
      <w:r w:rsidR="00325CE0" w:rsidRPr="002758E7">
        <w:rPr>
          <w:rFonts w:ascii="Arial" w:hAnsi="Arial" w:cs="Arial"/>
          <w:bCs/>
          <w:spacing w:val="-4"/>
          <w:sz w:val="24"/>
          <w:szCs w:val="24"/>
        </w:rPr>
        <w:t>sin que su diseño responda a la búsqueda de una doble asignación mensual a favor del pensionado.</w:t>
      </w:r>
    </w:p>
    <w:p w:rsidR="008B6512" w:rsidRPr="002758E7" w:rsidRDefault="008B6512" w:rsidP="00625077">
      <w:pPr>
        <w:pStyle w:val="NormalWeb"/>
        <w:spacing w:before="0" w:beforeAutospacing="0" w:after="0" w:afterAutospacing="0" w:line="276" w:lineRule="auto"/>
        <w:jc w:val="both"/>
        <w:rPr>
          <w:rFonts w:ascii="Arial" w:hAnsi="Arial" w:cs="Arial"/>
          <w:color w:val="000000"/>
          <w:spacing w:val="-4"/>
        </w:rPr>
      </w:pPr>
    </w:p>
    <w:p w:rsidR="00C41C60" w:rsidRPr="002758E7" w:rsidRDefault="008954A7" w:rsidP="00625077">
      <w:pPr>
        <w:pStyle w:val="NormalWeb"/>
        <w:spacing w:before="0" w:beforeAutospacing="0" w:after="0" w:afterAutospacing="0" w:line="276" w:lineRule="auto"/>
        <w:jc w:val="both"/>
        <w:rPr>
          <w:rFonts w:ascii="Arial" w:hAnsi="Arial" w:cs="Arial"/>
          <w:color w:val="000000"/>
          <w:spacing w:val="-4"/>
        </w:rPr>
      </w:pPr>
      <w:r w:rsidRPr="002758E7">
        <w:rPr>
          <w:rFonts w:ascii="Arial" w:hAnsi="Arial" w:cs="Arial"/>
          <w:color w:val="000000" w:themeColor="text1"/>
          <w:spacing w:val="-4"/>
        </w:rPr>
        <w:t xml:space="preserve">Sobre la </w:t>
      </w:r>
      <w:proofErr w:type="spellStart"/>
      <w:r w:rsidRPr="002758E7">
        <w:rPr>
          <w:rFonts w:ascii="Arial" w:hAnsi="Arial" w:cs="Arial"/>
          <w:color w:val="000000" w:themeColor="text1"/>
          <w:spacing w:val="-4"/>
        </w:rPr>
        <w:t>compartibilidad</w:t>
      </w:r>
      <w:proofErr w:type="spellEnd"/>
      <w:r w:rsidRPr="002758E7">
        <w:rPr>
          <w:rFonts w:ascii="Arial" w:hAnsi="Arial" w:cs="Arial"/>
          <w:color w:val="000000" w:themeColor="text1"/>
          <w:spacing w:val="-4"/>
        </w:rPr>
        <w:t xml:space="preserve"> pensional, la Sala de Casación Laboral de la Corte Suprema de Justicia, entre otras, en </w:t>
      </w:r>
      <w:r w:rsidR="00C161C3" w:rsidRPr="002758E7">
        <w:rPr>
          <w:rFonts w:ascii="Arial" w:hAnsi="Arial" w:cs="Arial"/>
          <w:color w:val="000000" w:themeColor="text1"/>
          <w:spacing w:val="-4"/>
        </w:rPr>
        <w:t xml:space="preserve">reciente </w:t>
      </w:r>
      <w:r w:rsidRPr="002758E7">
        <w:rPr>
          <w:rFonts w:ascii="Arial" w:hAnsi="Arial" w:cs="Arial"/>
          <w:color w:val="000000" w:themeColor="text1"/>
          <w:spacing w:val="-4"/>
        </w:rPr>
        <w:t>sentencia SL 2602</w:t>
      </w:r>
      <w:r w:rsidR="00C161C3" w:rsidRPr="002758E7">
        <w:rPr>
          <w:rFonts w:ascii="Arial" w:hAnsi="Arial" w:cs="Arial"/>
          <w:color w:val="000000" w:themeColor="text1"/>
          <w:spacing w:val="-4"/>
        </w:rPr>
        <w:t xml:space="preserve"> del 26 de mayo</w:t>
      </w:r>
      <w:r w:rsidRPr="002758E7">
        <w:rPr>
          <w:rFonts w:ascii="Arial" w:hAnsi="Arial" w:cs="Arial"/>
          <w:color w:val="000000" w:themeColor="text1"/>
          <w:spacing w:val="-4"/>
        </w:rPr>
        <w:t xml:space="preserve"> de 2021, </w:t>
      </w:r>
      <w:r w:rsidR="00C161C3" w:rsidRPr="002758E7">
        <w:rPr>
          <w:rFonts w:ascii="Arial" w:hAnsi="Arial" w:cs="Arial"/>
          <w:color w:val="000000" w:themeColor="text1"/>
          <w:spacing w:val="-4"/>
        </w:rPr>
        <w:t xml:space="preserve">con ponencia del MP Fernando Castillo Cadena, </w:t>
      </w:r>
      <w:r w:rsidRPr="002758E7">
        <w:rPr>
          <w:rFonts w:ascii="Arial" w:hAnsi="Arial" w:cs="Arial"/>
          <w:color w:val="000000" w:themeColor="text1"/>
          <w:spacing w:val="-4"/>
        </w:rPr>
        <w:t>reiteró el criterio sostenido de tiempo atrás, según el cual dicha figura legal pretende:</w:t>
      </w:r>
    </w:p>
    <w:p w:rsidR="68EF2B59" w:rsidRPr="002758E7" w:rsidRDefault="68EF2B59" w:rsidP="00625077">
      <w:pPr>
        <w:pStyle w:val="NormalWeb"/>
        <w:spacing w:before="0" w:beforeAutospacing="0" w:after="0" w:afterAutospacing="0" w:line="276" w:lineRule="auto"/>
        <w:ind w:left="426" w:right="616"/>
        <w:jc w:val="both"/>
        <w:rPr>
          <w:rFonts w:ascii="Arial" w:hAnsi="Arial" w:cs="Arial"/>
          <w:color w:val="000000" w:themeColor="text1"/>
          <w:spacing w:val="-4"/>
        </w:rPr>
      </w:pPr>
    </w:p>
    <w:p w:rsidR="001F32FD" w:rsidRPr="002758E7" w:rsidRDefault="008954A7" w:rsidP="00DD21F6">
      <w:pPr>
        <w:pStyle w:val="NormalWeb"/>
        <w:spacing w:before="0" w:beforeAutospacing="0" w:after="0" w:afterAutospacing="0"/>
        <w:ind w:left="426" w:right="420"/>
        <w:jc w:val="both"/>
        <w:rPr>
          <w:rFonts w:ascii="Arial" w:hAnsi="Arial" w:cs="Arial"/>
          <w:color w:val="000000"/>
          <w:spacing w:val="-4"/>
          <w:sz w:val="22"/>
        </w:rPr>
      </w:pPr>
      <w:r w:rsidRPr="002758E7">
        <w:rPr>
          <w:rFonts w:ascii="Arial" w:hAnsi="Arial" w:cs="Arial"/>
          <w:color w:val="000000"/>
          <w:spacing w:val="-4"/>
          <w:sz w:val="22"/>
        </w:rPr>
        <w:t>“</w:t>
      </w:r>
      <w:r w:rsidRPr="002758E7">
        <w:rPr>
          <w:rFonts w:ascii="Arial" w:hAnsi="Arial" w:cs="Arial"/>
          <w:i/>
          <w:iCs/>
          <w:color w:val="000000" w:themeColor="text1"/>
          <w:spacing w:val="-4"/>
          <w:sz w:val="22"/>
        </w:rPr>
        <w:t>E</w:t>
      </w:r>
      <w:r w:rsidR="001F32FD" w:rsidRPr="002758E7">
        <w:rPr>
          <w:rFonts w:ascii="Arial" w:hAnsi="Arial" w:cs="Arial"/>
          <w:i/>
          <w:iCs/>
          <w:color w:val="000000" w:themeColor="text1"/>
          <w:spacing w:val="-4"/>
          <w:sz w:val="22"/>
        </w:rPr>
        <w:t>vitar que para el cubrimiento de un mismo riesgo surgieran concomitantemente dos prestaciones, una de orden extralegal y otra legal, a menos que de manera expresa las partes pactaran lo contrario; y a efecto de asegurarle al titular de éstas el pago de la de mayor cuantía, estableció que si el valor de la que le cancelaba directamente el empleador era superior a la que le reconocería el ISS, mantendría el disfrute de aquella cifra, para lo cual el empresario quedaba obligado a suministrar solamente la diferencia</w:t>
      </w:r>
      <w:r w:rsidRPr="002758E7">
        <w:rPr>
          <w:rFonts w:ascii="Arial" w:hAnsi="Arial" w:cs="Arial"/>
          <w:i/>
          <w:iCs/>
          <w:color w:val="000000" w:themeColor="text1"/>
          <w:spacing w:val="-4"/>
          <w:sz w:val="22"/>
        </w:rPr>
        <w:t>”</w:t>
      </w:r>
      <w:r w:rsidR="001F32FD" w:rsidRPr="002758E7">
        <w:rPr>
          <w:rFonts w:ascii="Arial" w:hAnsi="Arial" w:cs="Arial"/>
          <w:i/>
          <w:iCs/>
          <w:color w:val="000000" w:themeColor="text1"/>
          <w:spacing w:val="-4"/>
          <w:sz w:val="22"/>
        </w:rPr>
        <w:t>.</w:t>
      </w:r>
    </w:p>
    <w:p w:rsidR="00C41C60" w:rsidRPr="002758E7" w:rsidRDefault="00C41C60" w:rsidP="00625077">
      <w:pPr>
        <w:pStyle w:val="NormalWeb"/>
        <w:spacing w:before="0" w:beforeAutospacing="0" w:after="0" w:afterAutospacing="0" w:line="276" w:lineRule="auto"/>
        <w:jc w:val="both"/>
        <w:rPr>
          <w:rFonts w:ascii="Arial" w:hAnsi="Arial" w:cs="Arial"/>
          <w:color w:val="000000"/>
          <w:spacing w:val="-4"/>
        </w:rPr>
      </w:pP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b/>
          <w:bCs/>
          <w:spacing w:val="-4"/>
          <w:sz w:val="24"/>
          <w:szCs w:val="24"/>
          <w:lang w:eastAsia="es-CO"/>
        </w:rPr>
        <w:t>EL CASO CONCRETO</w:t>
      </w:r>
      <w:r w:rsidRPr="002758E7">
        <w:rPr>
          <w:rFonts w:ascii="Arial" w:eastAsia="Times New Roman" w:hAnsi="Arial" w:cs="Arial"/>
          <w:spacing w:val="-4"/>
          <w:sz w:val="24"/>
          <w:szCs w:val="24"/>
          <w:lang w:eastAsia="es-CO"/>
        </w:rPr>
        <w:t>.</w:t>
      </w:r>
    </w:p>
    <w:p w:rsidR="000326F3" w:rsidRPr="002758E7" w:rsidRDefault="000326F3" w:rsidP="00625077">
      <w:pPr>
        <w:pStyle w:val="Sinespaciado"/>
        <w:spacing w:line="276" w:lineRule="auto"/>
        <w:rPr>
          <w:rFonts w:ascii="Arial" w:hAnsi="Arial" w:cs="Arial"/>
          <w:spacing w:val="-4"/>
          <w:sz w:val="24"/>
          <w:szCs w:val="24"/>
          <w:lang w:eastAsia="es-CO"/>
        </w:rPr>
      </w:pPr>
    </w:p>
    <w:p w:rsidR="002736DB"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Se encuentra </w:t>
      </w:r>
      <w:r w:rsidR="002736DB" w:rsidRPr="002758E7">
        <w:rPr>
          <w:rFonts w:ascii="Arial" w:eastAsia="Times New Roman" w:hAnsi="Arial" w:cs="Arial"/>
          <w:spacing w:val="-4"/>
          <w:sz w:val="24"/>
          <w:szCs w:val="24"/>
          <w:lang w:eastAsia="es-CO"/>
        </w:rPr>
        <w:t xml:space="preserve">demostrado en el proceso con fundamento en la prueba documental y las manifestaciones </w:t>
      </w:r>
      <w:r w:rsidR="00B203CE" w:rsidRPr="002758E7">
        <w:rPr>
          <w:rFonts w:ascii="Arial" w:eastAsia="Times New Roman" w:hAnsi="Arial" w:cs="Arial"/>
          <w:spacing w:val="-4"/>
          <w:sz w:val="24"/>
          <w:szCs w:val="24"/>
          <w:lang w:eastAsia="es-CO"/>
        </w:rPr>
        <w:t xml:space="preserve">de </w:t>
      </w:r>
      <w:r w:rsidR="002736DB" w:rsidRPr="002758E7">
        <w:rPr>
          <w:rFonts w:ascii="Arial" w:eastAsia="Times New Roman" w:hAnsi="Arial" w:cs="Arial"/>
          <w:spacing w:val="-4"/>
          <w:sz w:val="24"/>
          <w:szCs w:val="24"/>
          <w:lang w:eastAsia="es-CO"/>
        </w:rPr>
        <w:t xml:space="preserve">las accionadas al momento de dar contestación a la demanda </w:t>
      </w:r>
      <w:r w:rsidRPr="002758E7">
        <w:rPr>
          <w:rFonts w:ascii="Arial" w:eastAsia="Times New Roman" w:hAnsi="Arial" w:cs="Arial"/>
          <w:spacing w:val="-4"/>
          <w:sz w:val="24"/>
          <w:szCs w:val="24"/>
          <w:lang w:eastAsia="es-CO"/>
        </w:rPr>
        <w:t xml:space="preserve">que </w:t>
      </w:r>
      <w:r w:rsidR="00FC1D27" w:rsidRPr="002758E7">
        <w:rPr>
          <w:rFonts w:ascii="Arial" w:eastAsia="Times New Roman" w:hAnsi="Arial" w:cs="Arial"/>
          <w:spacing w:val="-4"/>
          <w:sz w:val="24"/>
          <w:szCs w:val="24"/>
          <w:lang w:eastAsia="es-CO"/>
        </w:rPr>
        <w:t xml:space="preserve">el </w:t>
      </w:r>
      <w:r w:rsidR="00A57D57" w:rsidRPr="002758E7">
        <w:rPr>
          <w:rFonts w:ascii="Arial" w:eastAsia="Times New Roman" w:hAnsi="Arial" w:cs="Arial"/>
          <w:spacing w:val="-4"/>
          <w:sz w:val="24"/>
          <w:szCs w:val="24"/>
          <w:lang w:eastAsia="es-CO"/>
        </w:rPr>
        <w:t xml:space="preserve">señor </w:t>
      </w:r>
      <w:proofErr w:type="spellStart"/>
      <w:r w:rsidR="00A57D57" w:rsidRPr="002758E7">
        <w:rPr>
          <w:rFonts w:ascii="Arial" w:eastAsia="Times New Roman" w:hAnsi="Arial" w:cs="Arial"/>
          <w:spacing w:val="-4"/>
          <w:sz w:val="24"/>
          <w:szCs w:val="24"/>
          <w:lang w:eastAsia="es-CO"/>
        </w:rPr>
        <w:t>Dumbardo</w:t>
      </w:r>
      <w:proofErr w:type="spellEnd"/>
      <w:r w:rsidR="00A57D57" w:rsidRPr="002758E7">
        <w:rPr>
          <w:rFonts w:ascii="Arial" w:eastAsia="Times New Roman" w:hAnsi="Arial" w:cs="Arial"/>
          <w:spacing w:val="-4"/>
          <w:sz w:val="24"/>
          <w:szCs w:val="24"/>
          <w:lang w:eastAsia="es-CO"/>
        </w:rPr>
        <w:t xml:space="preserve"> Santa Torres</w:t>
      </w:r>
      <w:r w:rsidR="00FC1D27" w:rsidRPr="002758E7">
        <w:rPr>
          <w:rFonts w:ascii="Arial" w:eastAsia="Times New Roman" w:hAnsi="Arial" w:cs="Arial"/>
          <w:spacing w:val="-4"/>
          <w:sz w:val="24"/>
          <w:szCs w:val="24"/>
          <w:lang w:eastAsia="es-CO"/>
        </w:rPr>
        <w:t xml:space="preserve"> </w:t>
      </w:r>
      <w:r w:rsidRPr="002758E7">
        <w:rPr>
          <w:rFonts w:ascii="Arial" w:eastAsia="Times New Roman" w:hAnsi="Arial" w:cs="Arial"/>
          <w:spacing w:val="-4"/>
          <w:sz w:val="24"/>
          <w:szCs w:val="24"/>
          <w:lang w:eastAsia="es-CO"/>
        </w:rPr>
        <w:t xml:space="preserve">nació el </w:t>
      </w:r>
      <w:r w:rsidR="002736DB" w:rsidRPr="002758E7">
        <w:rPr>
          <w:rFonts w:ascii="Arial" w:eastAsia="Times New Roman" w:hAnsi="Arial" w:cs="Arial"/>
          <w:spacing w:val="-4"/>
          <w:sz w:val="24"/>
          <w:szCs w:val="24"/>
          <w:lang w:eastAsia="es-CO"/>
        </w:rPr>
        <w:t xml:space="preserve">9 de mayo de 1953, según se acredita con la copia de su cédula de ciudadanía, (pág.17 archivo 01); prestó sus servicios al Municipio de Pereira </w:t>
      </w:r>
      <w:r w:rsidR="00B51FF3" w:rsidRPr="002758E7">
        <w:rPr>
          <w:rFonts w:ascii="Arial" w:eastAsia="Times New Roman" w:hAnsi="Arial" w:cs="Arial"/>
          <w:spacing w:val="-4"/>
          <w:sz w:val="24"/>
          <w:szCs w:val="24"/>
          <w:lang w:eastAsia="es-CO"/>
        </w:rPr>
        <w:t xml:space="preserve">durante </w:t>
      </w:r>
      <w:r w:rsidR="002736DB" w:rsidRPr="002758E7">
        <w:rPr>
          <w:rFonts w:ascii="Arial" w:eastAsia="Times New Roman" w:hAnsi="Arial" w:cs="Arial"/>
          <w:spacing w:val="-4"/>
          <w:sz w:val="24"/>
          <w:szCs w:val="24"/>
          <w:lang w:eastAsia="es-CO"/>
        </w:rPr>
        <w:t>20 años, motivos por los cuales a través de la Resolución No.477 del 19 de febrero de 2002, el Fondo Territorial de Pensiones de</w:t>
      </w:r>
      <w:r w:rsidR="00A57D57" w:rsidRPr="002758E7">
        <w:rPr>
          <w:rFonts w:ascii="Arial" w:eastAsia="Times New Roman" w:hAnsi="Arial" w:cs="Arial"/>
          <w:spacing w:val="-4"/>
          <w:sz w:val="24"/>
          <w:szCs w:val="24"/>
          <w:lang w:eastAsia="es-CO"/>
        </w:rPr>
        <w:t xml:space="preserve"> dicho ente territorial </w:t>
      </w:r>
      <w:r w:rsidR="002736DB" w:rsidRPr="002758E7">
        <w:rPr>
          <w:rFonts w:ascii="Arial" w:eastAsia="Times New Roman" w:hAnsi="Arial" w:cs="Arial"/>
          <w:spacing w:val="-4"/>
          <w:sz w:val="24"/>
          <w:szCs w:val="24"/>
          <w:lang w:eastAsia="es-CO"/>
        </w:rPr>
        <w:t xml:space="preserve">le reconoció la pensión de jubilación a partir del </w:t>
      </w:r>
      <w:r w:rsidR="00B51FF3" w:rsidRPr="002758E7">
        <w:rPr>
          <w:rFonts w:ascii="Arial" w:eastAsia="Times New Roman" w:hAnsi="Arial" w:cs="Arial"/>
          <w:spacing w:val="-4"/>
          <w:sz w:val="24"/>
          <w:szCs w:val="24"/>
          <w:lang w:eastAsia="es-CO"/>
        </w:rPr>
        <w:t>1 de enero de 2002 y</w:t>
      </w:r>
      <w:r w:rsidR="002736DB" w:rsidRPr="002758E7">
        <w:rPr>
          <w:rFonts w:ascii="Arial" w:eastAsia="Times New Roman" w:hAnsi="Arial" w:cs="Arial"/>
          <w:spacing w:val="-4"/>
          <w:sz w:val="24"/>
          <w:szCs w:val="24"/>
          <w:lang w:eastAsia="es-CO"/>
        </w:rPr>
        <w:t xml:space="preserve"> en cuantía de $1´076.467</w:t>
      </w:r>
      <w:r w:rsidR="00B51FF3" w:rsidRPr="002758E7">
        <w:rPr>
          <w:rFonts w:ascii="Arial" w:eastAsia="Times New Roman" w:hAnsi="Arial" w:cs="Arial"/>
          <w:spacing w:val="-4"/>
          <w:sz w:val="24"/>
          <w:szCs w:val="24"/>
          <w:lang w:eastAsia="es-CO"/>
        </w:rPr>
        <w:t xml:space="preserve">, </w:t>
      </w:r>
      <w:r w:rsidR="00A57D57" w:rsidRPr="002758E7">
        <w:rPr>
          <w:rFonts w:ascii="Arial" w:eastAsia="Times New Roman" w:hAnsi="Arial" w:cs="Arial"/>
          <w:spacing w:val="-4"/>
          <w:sz w:val="24"/>
          <w:szCs w:val="24"/>
          <w:lang w:eastAsia="es-CO"/>
        </w:rPr>
        <w:t xml:space="preserve">con fundamento en el punto 8 de la Convención Colectiva suscrita entre esa entidad y su organización sindical, </w:t>
      </w:r>
      <w:r w:rsidR="00B51FF3" w:rsidRPr="002758E7">
        <w:rPr>
          <w:rFonts w:ascii="Arial" w:eastAsia="Times New Roman" w:hAnsi="Arial" w:cs="Arial"/>
          <w:spacing w:val="-4"/>
          <w:sz w:val="24"/>
          <w:szCs w:val="24"/>
          <w:lang w:eastAsia="es-CO"/>
        </w:rPr>
        <w:t xml:space="preserve">(pág.18 ibidem); el 31 de agosto de 2016 </w:t>
      </w:r>
      <w:r w:rsidR="003979E8" w:rsidRPr="002758E7">
        <w:rPr>
          <w:rFonts w:ascii="Arial" w:eastAsia="Times New Roman" w:hAnsi="Arial" w:cs="Arial"/>
          <w:spacing w:val="-4"/>
          <w:sz w:val="24"/>
          <w:szCs w:val="24"/>
          <w:lang w:eastAsia="es-CO"/>
        </w:rPr>
        <w:t>el demandante presentó a</w:t>
      </w:r>
      <w:r w:rsidR="00B51FF3" w:rsidRPr="002758E7">
        <w:rPr>
          <w:rFonts w:ascii="Arial" w:eastAsia="Times New Roman" w:hAnsi="Arial" w:cs="Arial"/>
          <w:spacing w:val="-4"/>
          <w:sz w:val="24"/>
          <w:szCs w:val="24"/>
          <w:lang w:eastAsia="es-CO"/>
        </w:rPr>
        <w:t xml:space="preserve">nte Colpensiones </w:t>
      </w:r>
      <w:r w:rsidR="003979E8" w:rsidRPr="002758E7">
        <w:rPr>
          <w:rFonts w:ascii="Arial" w:eastAsia="Times New Roman" w:hAnsi="Arial" w:cs="Arial"/>
          <w:spacing w:val="-4"/>
          <w:sz w:val="24"/>
          <w:szCs w:val="24"/>
          <w:lang w:eastAsia="es-CO"/>
        </w:rPr>
        <w:t xml:space="preserve">reclamación administrativa tendiente a obtener </w:t>
      </w:r>
      <w:r w:rsidR="00B51FF3" w:rsidRPr="002758E7">
        <w:rPr>
          <w:rFonts w:ascii="Arial" w:eastAsia="Times New Roman" w:hAnsi="Arial" w:cs="Arial"/>
          <w:spacing w:val="-4"/>
          <w:sz w:val="24"/>
          <w:szCs w:val="24"/>
          <w:lang w:eastAsia="es-CO"/>
        </w:rPr>
        <w:t>la pensión de vejez</w:t>
      </w:r>
      <w:r w:rsidR="003979E8" w:rsidRPr="002758E7">
        <w:rPr>
          <w:rFonts w:ascii="Arial" w:eastAsia="Times New Roman" w:hAnsi="Arial" w:cs="Arial"/>
          <w:spacing w:val="-4"/>
          <w:sz w:val="24"/>
          <w:szCs w:val="24"/>
          <w:lang w:eastAsia="es-CO"/>
        </w:rPr>
        <w:t xml:space="preserve"> con fundamento en la Ley 71 de 1988</w:t>
      </w:r>
      <w:r w:rsidR="00B51FF3" w:rsidRPr="002758E7">
        <w:rPr>
          <w:rFonts w:ascii="Arial" w:eastAsia="Times New Roman" w:hAnsi="Arial" w:cs="Arial"/>
          <w:spacing w:val="-4"/>
          <w:sz w:val="24"/>
          <w:szCs w:val="24"/>
          <w:lang w:eastAsia="es-CO"/>
        </w:rPr>
        <w:t xml:space="preserve">, </w:t>
      </w:r>
      <w:r w:rsidR="003979E8" w:rsidRPr="002758E7">
        <w:rPr>
          <w:rFonts w:ascii="Arial" w:eastAsia="Times New Roman" w:hAnsi="Arial" w:cs="Arial"/>
          <w:spacing w:val="-4"/>
          <w:sz w:val="24"/>
          <w:szCs w:val="24"/>
          <w:lang w:eastAsia="es-CO"/>
        </w:rPr>
        <w:t xml:space="preserve">sin embargo, la </w:t>
      </w:r>
      <w:r w:rsidR="00B51FF3" w:rsidRPr="002758E7">
        <w:rPr>
          <w:rFonts w:ascii="Arial" w:eastAsia="Times New Roman" w:hAnsi="Arial" w:cs="Arial"/>
          <w:spacing w:val="-4"/>
          <w:sz w:val="24"/>
          <w:szCs w:val="24"/>
          <w:lang w:eastAsia="es-CO"/>
        </w:rPr>
        <w:t xml:space="preserve">misma fue resuelta </w:t>
      </w:r>
      <w:r w:rsidR="003979E8" w:rsidRPr="002758E7">
        <w:rPr>
          <w:rFonts w:ascii="Arial" w:eastAsia="Times New Roman" w:hAnsi="Arial" w:cs="Arial"/>
          <w:spacing w:val="-4"/>
          <w:sz w:val="24"/>
          <w:szCs w:val="24"/>
          <w:lang w:eastAsia="es-CO"/>
        </w:rPr>
        <w:t>en forma desfavorable por la entidad</w:t>
      </w:r>
      <w:r w:rsidR="00B51FF3" w:rsidRPr="002758E7">
        <w:rPr>
          <w:rFonts w:ascii="Arial" w:eastAsia="Times New Roman" w:hAnsi="Arial" w:cs="Arial"/>
          <w:spacing w:val="-4"/>
          <w:sz w:val="24"/>
          <w:szCs w:val="24"/>
          <w:lang w:eastAsia="es-CO"/>
        </w:rPr>
        <w:t xml:space="preserve"> mediante Resolución GNR 383267 del 19 de diciembre de 2016, por considerar </w:t>
      </w:r>
      <w:r w:rsidR="00C43A39" w:rsidRPr="002758E7">
        <w:rPr>
          <w:rFonts w:ascii="Arial" w:eastAsia="Times New Roman" w:hAnsi="Arial" w:cs="Arial"/>
          <w:spacing w:val="-4"/>
          <w:sz w:val="24"/>
          <w:szCs w:val="24"/>
          <w:lang w:eastAsia="es-CO"/>
        </w:rPr>
        <w:t>q</w:t>
      </w:r>
      <w:r w:rsidR="00B51FF3" w:rsidRPr="002758E7">
        <w:rPr>
          <w:rFonts w:ascii="Arial" w:eastAsia="Times New Roman" w:hAnsi="Arial" w:cs="Arial"/>
          <w:spacing w:val="-4"/>
          <w:sz w:val="24"/>
          <w:szCs w:val="24"/>
          <w:lang w:eastAsia="es-CO"/>
        </w:rPr>
        <w:t xml:space="preserve">ue la pensión de jubilación </w:t>
      </w:r>
      <w:r w:rsidR="003979E8" w:rsidRPr="002758E7">
        <w:rPr>
          <w:rFonts w:ascii="Arial" w:eastAsia="Times New Roman" w:hAnsi="Arial" w:cs="Arial"/>
          <w:spacing w:val="-4"/>
          <w:sz w:val="24"/>
          <w:szCs w:val="24"/>
          <w:lang w:eastAsia="es-CO"/>
        </w:rPr>
        <w:t>convencional que viene  percibiendo el actor</w:t>
      </w:r>
      <w:r w:rsidR="00C43A39" w:rsidRPr="002758E7">
        <w:rPr>
          <w:rFonts w:ascii="Arial" w:eastAsia="Times New Roman" w:hAnsi="Arial" w:cs="Arial"/>
          <w:spacing w:val="-4"/>
          <w:sz w:val="24"/>
          <w:szCs w:val="24"/>
          <w:lang w:eastAsia="es-CO"/>
        </w:rPr>
        <w:t xml:space="preserve"> es incompatible con la que pudiera reconocérsele dentro del Sistema General de Pensiones </w:t>
      </w:r>
      <w:r w:rsidR="00B51FF3" w:rsidRPr="002758E7">
        <w:rPr>
          <w:rFonts w:ascii="Arial" w:eastAsia="Times New Roman" w:hAnsi="Arial" w:cs="Arial"/>
          <w:spacing w:val="-4"/>
          <w:sz w:val="24"/>
          <w:szCs w:val="24"/>
          <w:lang w:eastAsia="es-CO"/>
        </w:rPr>
        <w:t xml:space="preserve">(pág.21 ibidem). </w:t>
      </w:r>
    </w:p>
    <w:p w:rsidR="0098446B" w:rsidRPr="002758E7" w:rsidRDefault="0098446B" w:rsidP="00625077">
      <w:pPr>
        <w:spacing w:after="0"/>
        <w:jc w:val="both"/>
        <w:textAlignment w:val="baseline"/>
        <w:rPr>
          <w:rFonts w:ascii="Arial" w:eastAsia="Times New Roman" w:hAnsi="Arial" w:cs="Arial"/>
          <w:spacing w:val="-4"/>
          <w:sz w:val="24"/>
          <w:szCs w:val="24"/>
          <w:lang w:eastAsia="es-CO"/>
        </w:rPr>
      </w:pPr>
    </w:p>
    <w:p w:rsidR="00F9279A" w:rsidRPr="002758E7" w:rsidRDefault="00F9279A"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Así las cosas, con el fin de desatar la instancia </w:t>
      </w:r>
      <w:r w:rsidR="0083755E" w:rsidRPr="002758E7">
        <w:rPr>
          <w:rFonts w:ascii="Arial" w:eastAsia="Times New Roman" w:hAnsi="Arial" w:cs="Arial"/>
          <w:spacing w:val="-4"/>
          <w:sz w:val="24"/>
          <w:szCs w:val="24"/>
          <w:lang w:eastAsia="es-CO"/>
        </w:rPr>
        <w:t>corresponde a</w:t>
      </w:r>
      <w:r w:rsidRPr="002758E7">
        <w:rPr>
          <w:rFonts w:ascii="Arial" w:eastAsia="Times New Roman" w:hAnsi="Arial" w:cs="Arial"/>
          <w:spacing w:val="-4"/>
          <w:sz w:val="24"/>
          <w:szCs w:val="24"/>
          <w:lang w:eastAsia="es-CO"/>
        </w:rPr>
        <w:t xml:space="preserve"> la S</w:t>
      </w:r>
      <w:r w:rsidR="00AE519F" w:rsidRPr="002758E7">
        <w:rPr>
          <w:rFonts w:ascii="Arial" w:eastAsia="Times New Roman" w:hAnsi="Arial" w:cs="Arial"/>
          <w:spacing w:val="-4"/>
          <w:sz w:val="24"/>
          <w:szCs w:val="24"/>
          <w:lang w:eastAsia="es-CO"/>
        </w:rPr>
        <w:t xml:space="preserve">ala </w:t>
      </w:r>
      <w:r w:rsidRPr="002758E7">
        <w:rPr>
          <w:rFonts w:ascii="Arial" w:eastAsia="Times New Roman" w:hAnsi="Arial" w:cs="Arial"/>
          <w:spacing w:val="-4"/>
          <w:sz w:val="24"/>
          <w:szCs w:val="24"/>
          <w:lang w:eastAsia="es-CO"/>
        </w:rPr>
        <w:t>determinar</w:t>
      </w:r>
      <w:r w:rsidR="00AE519F" w:rsidRPr="002758E7">
        <w:rPr>
          <w:rFonts w:ascii="Arial" w:eastAsia="Times New Roman" w:hAnsi="Arial" w:cs="Arial"/>
          <w:spacing w:val="-4"/>
          <w:sz w:val="24"/>
          <w:szCs w:val="24"/>
          <w:lang w:eastAsia="es-CO"/>
        </w:rPr>
        <w:t xml:space="preserve"> si</w:t>
      </w:r>
      <w:r w:rsidRPr="002758E7">
        <w:rPr>
          <w:rFonts w:ascii="Arial" w:eastAsia="Times New Roman" w:hAnsi="Arial" w:cs="Arial"/>
          <w:spacing w:val="-4"/>
          <w:sz w:val="24"/>
          <w:szCs w:val="24"/>
          <w:lang w:eastAsia="es-CO"/>
        </w:rPr>
        <w:t xml:space="preserve"> la pensión de jubilación de origen convencional reconocida al actor es compatible o no con la </w:t>
      </w:r>
      <w:r w:rsidR="003D060F" w:rsidRPr="002758E7">
        <w:rPr>
          <w:rFonts w:ascii="Arial" w:eastAsia="Times New Roman" w:hAnsi="Arial" w:cs="Arial"/>
          <w:spacing w:val="-4"/>
          <w:sz w:val="24"/>
          <w:szCs w:val="24"/>
          <w:lang w:eastAsia="es-CO"/>
        </w:rPr>
        <w:t xml:space="preserve">pensión </w:t>
      </w:r>
      <w:r w:rsidRPr="002758E7">
        <w:rPr>
          <w:rFonts w:ascii="Arial" w:eastAsia="Times New Roman" w:hAnsi="Arial" w:cs="Arial"/>
          <w:spacing w:val="-4"/>
          <w:sz w:val="24"/>
          <w:szCs w:val="24"/>
          <w:lang w:eastAsia="es-CO"/>
        </w:rPr>
        <w:t xml:space="preserve">de vejez que solicita </w:t>
      </w:r>
      <w:r w:rsidR="003D060F" w:rsidRPr="002758E7">
        <w:rPr>
          <w:rFonts w:ascii="Arial" w:eastAsia="Times New Roman" w:hAnsi="Arial" w:cs="Arial"/>
          <w:spacing w:val="-4"/>
          <w:sz w:val="24"/>
          <w:szCs w:val="24"/>
          <w:lang w:eastAsia="es-CO"/>
        </w:rPr>
        <w:t xml:space="preserve">a través del presente </w:t>
      </w:r>
      <w:r w:rsidRPr="002758E7">
        <w:rPr>
          <w:rFonts w:ascii="Arial" w:eastAsia="Times New Roman" w:hAnsi="Arial" w:cs="Arial"/>
          <w:spacing w:val="-4"/>
          <w:sz w:val="24"/>
          <w:szCs w:val="24"/>
          <w:lang w:eastAsia="es-CO"/>
        </w:rPr>
        <w:t xml:space="preserve">proceso. </w:t>
      </w:r>
    </w:p>
    <w:p w:rsidR="00AE519F" w:rsidRPr="002758E7" w:rsidRDefault="00AE519F" w:rsidP="00625077">
      <w:pPr>
        <w:spacing w:after="0"/>
        <w:jc w:val="both"/>
        <w:textAlignment w:val="baseline"/>
        <w:rPr>
          <w:rFonts w:ascii="Arial" w:eastAsia="Times New Roman" w:hAnsi="Arial" w:cs="Arial"/>
          <w:spacing w:val="-4"/>
          <w:sz w:val="24"/>
          <w:szCs w:val="24"/>
          <w:lang w:eastAsia="es-CO"/>
        </w:rPr>
      </w:pPr>
    </w:p>
    <w:p w:rsidR="00C22B53" w:rsidRPr="002758E7" w:rsidRDefault="0083755E"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Pues bien, </w:t>
      </w:r>
      <w:r w:rsidR="00C22B53" w:rsidRPr="002758E7">
        <w:rPr>
          <w:rFonts w:ascii="Arial" w:eastAsia="Times New Roman" w:hAnsi="Arial" w:cs="Arial"/>
          <w:spacing w:val="-4"/>
          <w:sz w:val="24"/>
          <w:szCs w:val="24"/>
          <w:lang w:eastAsia="es-CO"/>
        </w:rPr>
        <w:t xml:space="preserve">en atención y aplicación de </w:t>
      </w:r>
      <w:r w:rsidR="003A60E6" w:rsidRPr="002758E7">
        <w:rPr>
          <w:rFonts w:ascii="Arial" w:eastAsia="Times New Roman" w:hAnsi="Arial" w:cs="Arial"/>
          <w:spacing w:val="-4"/>
          <w:sz w:val="24"/>
          <w:szCs w:val="24"/>
          <w:lang w:eastAsia="es-CO"/>
        </w:rPr>
        <w:t>los referentes que</w:t>
      </w:r>
      <w:r w:rsidR="00C22B53" w:rsidRPr="002758E7">
        <w:rPr>
          <w:rFonts w:ascii="Arial" w:eastAsia="Times New Roman" w:hAnsi="Arial" w:cs="Arial"/>
          <w:spacing w:val="-4"/>
          <w:sz w:val="24"/>
          <w:szCs w:val="24"/>
          <w:lang w:eastAsia="es-CO"/>
        </w:rPr>
        <w:t xml:space="preserve"> </w:t>
      </w:r>
      <w:r w:rsidR="003A60E6" w:rsidRPr="002758E7">
        <w:rPr>
          <w:rFonts w:ascii="Arial" w:eastAsia="Times New Roman" w:hAnsi="Arial" w:cs="Arial"/>
          <w:spacing w:val="-4"/>
          <w:sz w:val="24"/>
          <w:szCs w:val="24"/>
          <w:lang w:eastAsia="es-CO"/>
        </w:rPr>
        <w:t xml:space="preserve">el órgano de cierre de esta especialidad laboral </w:t>
      </w:r>
      <w:r w:rsidR="00C22B53" w:rsidRPr="002758E7">
        <w:rPr>
          <w:rFonts w:ascii="Arial" w:eastAsia="Times New Roman" w:hAnsi="Arial" w:cs="Arial"/>
          <w:spacing w:val="-4"/>
          <w:sz w:val="24"/>
          <w:szCs w:val="24"/>
          <w:lang w:eastAsia="es-CO"/>
        </w:rPr>
        <w:t xml:space="preserve">ha establecido a fin de definir la compatibilidad o no </w:t>
      </w:r>
      <w:r w:rsidR="00B770D2" w:rsidRPr="002758E7">
        <w:rPr>
          <w:rFonts w:ascii="Arial" w:eastAsia="Times New Roman" w:hAnsi="Arial" w:cs="Arial"/>
          <w:spacing w:val="-4"/>
          <w:sz w:val="24"/>
          <w:szCs w:val="24"/>
          <w:lang w:eastAsia="es-CO"/>
        </w:rPr>
        <w:t>de las pensiones</w:t>
      </w:r>
      <w:r w:rsidR="00F725EF" w:rsidRPr="002758E7">
        <w:rPr>
          <w:rFonts w:ascii="Arial" w:eastAsia="Times New Roman" w:hAnsi="Arial" w:cs="Arial"/>
          <w:spacing w:val="-4"/>
          <w:sz w:val="24"/>
          <w:szCs w:val="24"/>
          <w:lang w:eastAsia="es-CO"/>
        </w:rPr>
        <w:t xml:space="preserve"> en general,</w:t>
      </w:r>
      <w:r w:rsidRPr="002758E7">
        <w:rPr>
          <w:rFonts w:ascii="Arial" w:eastAsia="Times New Roman" w:hAnsi="Arial" w:cs="Arial"/>
          <w:spacing w:val="-4"/>
          <w:sz w:val="24"/>
          <w:szCs w:val="24"/>
          <w:lang w:eastAsia="es-CO"/>
        </w:rPr>
        <w:t xml:space="preserve"> </w:t>
      </w:r>
      <w:r w:rsidR="00F725EF" w:rsidRPr="002758E7">
        <w:rPr>
          <w:rFonts w:ascii="Arial" w:eastAsia="Times New Roman" w:hAnsi="Arial" w:cs="Arial"/>
          <w:spacing w:val="-4"/>
          <w:sz w:val="24"/>
          <w:szCs w:val="24"/>
          <w:lang w:eastAsia="es-CO"/>
        </w:rPr>
        <w:t xml:space="preserve">encuentra la Sala que en el presente asunto no se satisfacen los presupuestos para el efecto, en consideración a que: </w:t>
      </w:r>
    </w:p>
    <w:p w:rsidR="68EF2B59" w:rsidRPr="002758E7" w:rsidRDefault="68EF2B59" w:rsidP="00625077">
      <w:pPr>
        <w:spacing w:after="0"/>
        <w:jc w:val="both"/>
        <w:rPr>
          <w:rFonts w:ascii="Arial" w:eastAsia="Times New Roman" w:hAnsi="Arial" w:cs="Arial"/>
          <w:spacing w:val="-4"/>
          <w:sz w:val="24"/>
          <w:szCs w:val="24"/>
          <w:lang w:eastAsia="es-CO"/>
        </w:rPr>
      </w:pPr>
    </w:p>
    <w:p w:rsidR="00C22B53" w:rsidRPr="002758E7" w:rsidRDefault="00F725EF" w:rsidP="00625077">
      <w:pPr>
        <w:pStyle w:val="Prrafodelista"/>
        <w:numPr>
          <w:ilvl w:val="0"/>
          <w:numId w:val="5"/>
        </w:num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ambas prestaciones, la de jubilación de origen convencional y la de vejez que eventualmente reconociera el sistema general de pensiones, tienen como propósito amparar el mismo riesgo, esto es, el de vejez;</w:t>
      </w:r>
    </w:p>
    <w:p w:rsidR="00C22B53" w:rsidRPr="002758E7" w:rsidRDefault="00C22B53" w:rsidP="00625077">
      <w:pPr>
        <w:pStyle w:val="Prrafodelista"/>
        <w:spacing w:after="0"/>
        <w:ind w:left="1080"/>
        <w:jc w:val="both"/>
        <w:textAlignment w:val="baseline"/>
        <w:rPr>
          <w:rFonts w:ascii="Arial" w:eastAsia="Times New Roman" w:hAnsi="Arial" w:cs="Arial"/>
          <w:spacing w:val="-4"/>
          <w:sz w:val="24"/>
          <w:szCs w:val="24"/>
          <w:lang w:eastAsia="es-CO"/>
        </w:rPr>
      </w:pPr>
    </w:p>
    <w:p w:rsidR="009331BE" w:rsidRPr="002758E7" w:rsidRDefault="00C22B53" w:rsidP="00625077">
      <w:pPr>
        <w:pStyle w:val="Prrafodelista"/>
        <w:numPr>
          <w:ilvl w:val="0"/>
          <w:numId w:val="5"/>
        </w:num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si bien es cierto que la pensión de jubilación reconocida tiene como fuente </w:t>
      </w:r>
      <w:r w:rsidR="005C3875" w:rsidRPr="002758E7">
        <w:rPr>
          <w:rFonts w:ascii="Arial" w:eastAsia="Times New Roman" w:hAnsi="Arial" w:cs="Arial"/>
          <w:spacing w:val="-4"/>
          <w:sz w:val="24"/>
          <w:szCs w:val="24"/>
          <w:lang w:eastAsia="es-CO"/>
        </w:rPr>
        <w:t xml:space="preserve">reguladora </w:t>
      </w:r>
      <w:r w:rsidRPr="002758E7">
        <w:rPr>
          <w:rFonts w:ascii="Arial" w:eastAsia="Times New Roman" w:hAnsi="Arial" w:cs="Arial"/>
          <w:spacing w:val="-4"/>
          <w:sz w:val="24"/>
          <w:szCs w:val="24"/>
          <w:lang w:eastAsia="es-CO"/>
        </w:rPr>
        <w:t xml:space="preserve">la convención colectiva de trabajo suscrita entre el municipio de Pereira y su organización sindical, al paso que </w:t>
      </w:r>
      <w:r w:rsidR="00A346D1" w:rsidRPr="002758E7">
        <w:rPr>
          <w:rFonts w:ascii="Arial" w:eastAsia="Times New Roman" w:hAnsi="Arial" w:cs="Arial"/>
          <w:spacing w:val="-4"/>
          <w:sz w:val="24"/>
          <w:szCs w:val="24"/>
          <w:lang w:eastAsia="es-CO"/>
        </w:rPr>
        <w:t xml:space="preserve">la pensión de vejez reclamada emerge de las disposiciones contenidas en la Ley 100 de 1993, lo cierto es que no puede pasarse por alto que, </w:t>
      </w:r>
      <w:r w:rsidR="009331BE" w:rsidRPr="002758E7">
        <w:rPr>
          <w:rFonts w:ascii="Arial" w:eastAsia="Times New Roman" w:hAnsi="Arial" w:cs="Arial"/>
          <w:spacing w:val="-4"/>
          <w:sz w:val="24"/>
          <w:szCs w:val="24"/>
          <w:lang w:eastAsia="es-CO"/>
        </w:rPr>
        <w:t xml:space="preserve">desde la expedición del Decreto 2879 de 1985, se estableció la figura de </w:t>
      </w:r>
      <w:proofErr w:type="spellStart"/>
      <w:r w:rsidR="009331BE" w:rsidRPr="002758E7">
        <w:rPr>
          <w:rFonts w:ascii="Arial" w:eastAsia="Times New Roman" w:hAnsi="Arial" w:cs="Arial"/>
          <w:spacing w:val="-4"/>
          <w:sz w:val="24"/>
          <w:szCs w:val="24"/>
          <w:lang w:eastAsia="es-CO"/>
        </w:rPr>
        <w:t>compartibilid</w:t>
      </w:r>
      <w:r w:rsidR="00363E0F" w:rsidRPr="002758E7">
        <w:rPr>
          <w:rFonts w:ascii="Arial" w:eastAsia="Times New Roman" w:hAnsi="Arial" w:cs="Arial"/>
          <w:spacing w:val="-4"/>
          <w:sz w:val="24"/>
          <w:szCs w:val="24"/>
          <w:lang w:eastAsia="es-CO"/>
        </w:rPr>
        <w:t>a</w:t>
      </w:r>
      <w:r w:rsidR="009331BE" w:rsidRPr="002758E7">
        <w:rPr>
          <w:rFonts w:ascii="Arial" w:eastAsia="Times New Roman" w:hAnsi="Arial" w:cs="Arial"/>
          <w:spacing w:val="-4"/>
          <w:sz w:val="24"/>
          <w:szCs w:val="24"/>
          <w:lang w:eastAsia="es-CO"/>
        </w:rPr>
        <w:t>d</w:t>
      </w:r>
      <w:proofErr w:type="spellEnd"/>
      <w:r w:rsidR="009331BE" w:rsidRPr="002758E7">
        <w:rPr>
          <w:rFonts w:ascii="Arial" w:eastAsia="Times New Roman" w:hAnsi="Arial" w:cs="Arial"/>
          <w:spacing w:val="-4"/>
          <w:sz w:val="24"/>
          <w:szCs w:val="24"/>
          <w:lang w:eastAsia="es-CO"/>
        </w:rPr>
        <w:t xml:space="preserve"> entre aquellas prestaciones, lo cual </w:t>
      </w:r>
      <w:r w:rsidR="00363E0F" w:rsidRPr="002758E7">
        <w:rPr>
          <w:rFonts w:ascii="Arial" w:eastAsia="Times New Roman" w:hAnsi="Arial" w:cs="Arial"/>
          <w:spacing w:val="-4"/>
          <w:sz w:val="24"/>
          <w:szCs w:val="24"/>
          <w:lang w:eastAsia="es-CO"/>
        </w:rPr>
        <w:t>implic</w:t>
      </w:r>
      <w:r w:rsidR="00CE79E1" w:rsidRPr="002758E7">
        <w:rPr>
          <w:rFonts w:ascii="Arial" w:eastAsia="Times New Roman" w:hAnsi="Arial" w:cs="Arial"/>
          <w:spacing w:val="-4"/>
          <w:sz w:val="24"/>
          <w:szCs w:val="24"/>
          <w:lang w:eastAsia="es-CO"/>
        </w:rPr>
        <w:t xml:space="preserve">a la imposibilidad de </w:t>
      </w:r>
      <w:r w:rsidR="00363E0F" w:rsidRPr="002758E7">
        <w:rPr>
          <w:rFonts w:ascii="Arial" w:eastAsia="Times New Roman" w:hAnsi="Arial" w:cs="Arial"/>
          <w:spacing w:val="-4"/>
          <w:sz w:val="24"/>
          <w:szCs w:val="24"/>
          <w:lang w:eastAsia="es-CO"/>
        </w:rPr>
        <w:t xml:space="preserve">que </w:t>
      </w:r>
      <w:r w:rsidR="00CE79E1" w:rsidRPr="002758E7">
        <w:rPr>
          <w:rFonts w:ascii="Arial" w:eastAsia="Times New Roman" w:hAnsi="Arial" w:cs="Arial"/>
          <w:spacing w:val="-4"/>
          <w:sz w:val="24"/>
          <w:szCs w:val="24"/>
          <w:lang w:eastAsia="es-CO"/>
        </w:rPr>
        <w:t>pued</w:t>
      </w:r>
      <w:r w:rsidR="00FC0256" w:rsidRPr="002758E7">
        <w:rPr>
          <w:rFonts w:ascii="Arial" w:eastAsia="Times New Roman" w:hAnsi="Arial" w:cs="Arial"/>
          <w:spacing w:val="-4"/>
          <w:sz w:val="24"/>
          <w:szCs w:val="24"/>
          <w:lang w:eastAsia="es-CO"/>
        </w:rPr>
        <w:t>an</w:t>
      </w:r>
      <w:r w:rsidR="00CE79E1" w:rsidRPr="002758E7">
        <w:rPr>
          <w:rFonts w:ascii="Arial" w:eastAsia="Times New Roman" w:hAnsi="Arial" w:cs="Arial"/>
          <w:spacing w:val="-4"/>
          <w:sz w:val="24"/>
          <w:szCs w:val="24"/>
          <w:lang w:eastAsia="es-CO"/>
        </w:rPr>
        <w:t xml:space="preserve"> coexistir en forma simultánea, salvo que exista estipulación expresa en </w:t>
      </w:r>
      <w:r w:rsidR="00FC0256" w:rsidRPr="002758E7">
        <w:rPr>
          <w:rFonts w:ascii="Arial" w:eastAsia="Times New Roman" w:hAnsi="Arial" w:cs="Arial"/>
          <w:spacing w:val="-4"/>
          <w:sz w:val="24"/>
          <w:szCs w:val="24"/>
          <w:lang w:eastAsia="es-CO"/>
        </w:rPr>
        <w:t>torno a que</w:t>
      </w:r>
      <w:r w:rsidR="005C3875" w:rsidRPr="002758E7">
        <w:rPr>
          <w:rFonts w:ascii="Arial" w:eastAsia="Times New Roman" w:hAnsi="Arial" w:cs="Arial"/>
          <w:spacing w:val="-4"/>
          <w:sz w:val="24"/>
          <w:szCs w:val="24"/>
          <w:lang w:eastAsia="es-CO"/>
        </w:rPr>
        <w:t xml:space="preserve"> tendrá la vocación de ser </w:t>
      </w:r>
      <w:r w:rsidR="00FC0256" w:rsidRPr="002758E7">
        <w:rPr>
          <w:rFonts w:ascii="Arial" w:eastAsia="Times New Roman" w:hAnsi="Arial" w:cs="Arial"/>
          <w:spacing w:val="-4"/>
          <w:sz w:val="24"/>
          <w:szCs w:val="24"/>
          <w:lang w:eastAsia="es-CO"/>
        </w:rPr>
        <w:t>compatible con la reconocida por el ISS hoy Colpensiones.</w:t>
      </w:r>
    </w:p>
    <w:p w:rsidR="009331BE" w:rsidRPr="002758E7" w:rsidRDefault="009331BE" w:rsidP="00625077">
      <w:pPr>
        <w:pStyle w:val="Prrafodelista"/>
        <w:rPr>
          <w:rFonts w:ascii="Arial" w:eastAsia="Times New Roman" w:hAnsi="Arial" w:cs="Arial"/>
          <w:spacing w:val="-4"/>
          <w:sz w:val="24"/>
          <w:szCs w:val="24"/>
          <w:lang w:eastAsia="es-CO"/>
        </w:rPr>
      </w:pPr>
    </w:p>
    <w:p w:rsidR="00E66554" w:rsidRPr="002758E7" w:rsidRDefault="00CE79E1" w:rsidP="00625077">
      <w:pPr>
        <w:pStyle w:val="Prrafodelista"/>
        <w:numPr>
          <w:ilvl w:val="0"/>
          <w:numId w:val="5"/>
        </w:num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Verificado el contenido de la convención colectiva de trabajo vigente entre el </w:t>
      </w:r>
      <w:r w:rsidR="00FC0256" w:rsidRPr="002758E7">
        <w:rPr>
          <w:rFonts w:ascii="Arial" w:eastAsia="Times New Roman" w:hAnsi="Arial" w:cs="Arial"/>
          <w:spacing w:val="-4"/>
          <w:sz w:val="24"/>
          <w:szCs w:val="24"/>
          <w:lang w:eastAsia="es-CO"/>
        </w:rPr>
        <w:t>1991 y 1992</w:t>
      </w:r>
      <w:r w:rsidR="00A86DAF" w:rsidRPr="002758E7">
        <w:rPr>
          <w:rFonts w:ascii="Arial" w:eastAsia="Times New Roman" w:hAnsi="Arial" w:cs="Arial"/>
          <w:spacing w:val="-4"/>
          <w:sz w:val="24"/>
          <w:szCs w:val="24"/>
          <w:lang w:eastAsia="es-CO"/>
        </w:rPr>
        <w:t xml:space="preserve">, así como de </w:t>
      </w:r>
      <w:r w:rsidR="00E15ED6" w:rsidRPr="002758E7">
        <w:rPr>
          <w:rFonts w:ascii="Arial" w:eastAsia="Times New Roman" w:hAnsi="Arial" w:cs="Arial"/>
          <w:spacing w:val="-4"/>
          <w:sz w:val="24"/>
          <w:szCs w:val="24"/>
          <w:lang w:eastAsia="es-CO"/>
        </w:rPr>
        <w:t xml:space="preserve">la Resolución No. 477 de 2002, mediante la cual se le reconoció la pensión de jubilación convencional, no se observa que las partes hayan establecido </w:t>
      </w:r>
      <w:r w:rsidR="00E66554" w:rsidRPr="002758E7">
        <w:rPr>
          <w:rFonts w:ascii="Arial" w:eastAsia="Times New Roman" w:hAnsi="Arial" w:cs="Arial"/>
          <w:spacing w:val="-4"/>
          <w:sz w:val="24"/>
          <w:szCs w:val="24"/>
          <w:lang w:eastAsia="es-CO"/>
        </w:rPr>
        <w:t xml:space="preserve">o acordado </w:t>
      </w:r>
      <w:r w:rsidR="00E15ED6" w:rsidRPr="002758E7">
        <w:rPr>
          <w:rFonts w:ascii="Arial" w:eastAsia="Times New Roman" w:hAnsi="Arial" w:cs="Arial"/>
          <w:spacing w:val="-4"/>
          <w:sz w:val="24"/>
          <w:szCs w:val="24"/>
          <w:lang w:eastAsia="es-CO"/>
        </w:rPr>
        <w:t>expresamente que esta prestación</w:t>
      </w:r>
      <w:r w:rsidR="00E66554" w:rsidRPr="002758E7">
        <w:rPr>
          <w:rFonts w:ascii="Arial" w:eastAsia="Times New Roman" w:hAnsi="Arial" w:cs="Arial"/>
          <w:spacing w:val="-4"/>
          <w:sz w:val="24"/>
          <w:szCs w:val="24"/>
          <w:lang w:eastAsia="es-CO"/>
        </w:rPr>
        <w:t xml:space="preserve"> sería compatible con la otorgada por el </w:t>
      </w:r>
      <w:r w:rsidR="00182DAB" w:rsidRPr="002758E7">
        <w:rPr>
          <w:rFonts w:ascii="Arial" w:eastAsia="Times New Roman" w:hAnsi="Arial" w:cs="Arial"/>
          <w:spacing w:val="-4"/>
          <w:sz w:val="24"/>
          <w:szCs w:val="24"/>
          <w:lang w:eastAsia="es-CO"/>
        </w:rPr>
        <w:t>sistema general de pensiones</w:t>
      </w:r>
      <w:r w:rsidR="00E66554" w:rsidRPr="002758E7">
        <w:rPr>
          <w:rFonts w:ascii="Arial" w:eastAsia="Times New Roman" w:hAnsi="Arial" w:cs="Arial"/>
          <w:spacing w:val="-4"/>
          <w:sz w:val="24"/>
          <w:szCs w:val="24"/>
          <w:lang w:eastAsia="es-CO"/>
        </w:rPr>
        <w:t>, de modo que, por ministerio de la Ley</w:t>
      </w:r>
      <w:r w:rsidR="00182DAB" w:rsidRPr="002758E7">
        <w:rPr>
          <w:rFonts w:ascii="Arial" w:eastAsia="Times New Roman" w:hAnsi="Arial" w:cs="Arial"/>
          <w:spacing w:val="-4"/>
          <w:sz w:val="24"/>
          <w:szCs w:val="24"/>
          <w:lang w:eastAsia="es-CO"/>
        </w:rPr>
        <w:t xml:space="preserve">, </w:t>
      </w:r>
      <w:r w:rsidR="00E66554" w:rsidRPr="002758E7">
        <w:rPr>
          <w:rFonts w:ascii="Arial" w:eastAsia="Times New Roman" w:hAnsi="Arial" w:cs="Arial"/>
          <w:spacing w:val="-4"/>
          <w:sz w:val="24"/>
          <w:szCs w:val="24"/>
          <w:lang w:eastAsia="es-CO"/>
        </w:rPr>
        <w:t>tenía la vocación de ser compartida</w:t>
      </w:r>
      <w:r w:rsidR="005C3875" w:rsidRPr="002758E7">
        <w:rPr>
          <w:rFonts w:ascii="Arial" w:eastAsia="Times New Roman" w:hAnsi="Arial" w:cs="Arial"/>
          <w:spacing w:val="-4"/>
          <w:sz w:val="24"/>
          <w:szCs w:val="24"/>
          <w:lang w:eastAsia="es-CO"/>
        </w:rPr>
        <w:t xml:space="preserve"> con la de vejez otorgada por el sistema general de pensiones</w:t>
      </w:r>
      <w:r w:rsidR="009D27CD" w:rsidRPr="002758E7">
        <w:rPr>
          <w:rFonts w:ascii="Arial" w:eastAsia="Times New Roman" w:hAnsi="Arial" w:cs="Arial"/>
          <w:spacing w:val="-4"/>
          <w:sz w:val="24"/>
          <w:szCs w:val="24"/>
          <w:lang w:eastAsia="es-CO"/>
        </w:rPr>
        <w:t xml:space="preserve">, previo el cumplimiento de los requisitos establecidos </w:t>
      </w:r>
      <w:r w:rsidR="00B203CE" w:rsidRPr="002758E7">
        <w:rPr>
          <w:rFonts w:ascii="Arial" w:eastAsia="Times New Roman" w:hAnsi="Arial" w:cs="Arial"/>
          <w:spacing w:val="-4"/>
          <w:sz w:val="24"/>
          <w:szCs w:val="24"/>
          <w:lang w:eastAsia="es-CO"/>
        </w:rPr>
        <w:t>p</w:t>
      </w:r>
      <w:r w:rsidR="009D27CD" w:rsidRPr="002758E7">
        <w:rPr>
          <w:rFonts w:ascii="Arial" w:eastAsia="Times New Roman" w:hAnsi="Arial" w:cs="Arial"/>
          <w:spacing w:val="-4"/>
          <w:sz w:val="24"/>
          <w:szCs w:val="24"/>
          <w:lang w:eastAsia="es-CO"/>
        </w:rPr>
        <w:t>ara ello</w:t>
      </w:r>
      <w:r w:rsidR="00E66554" w:rsidRPr="002758E7">
        <w:rPr>
          <w:rFonts w:ascii="Arial" w:eastAsia="Times New Roman" w:hAnsi="Arial" w:cs="Arial"/>
          <w:spacing w:val="-4"/>
          <w:sz w:val="24"/>
          <w:szCs w:val="24"/>
          <w:lang w:eastAsia="es-CO"/>
        </w:rPr>
        <w:t xml:space="preserve">.  </w:t>
      </w:r>
    </w:p>
    <w:p w:rsidR="00E66554" w:rsidRPr="002758E7" w:rsidRDefault="00E66554" w:rsidP="00625077">
      <w:pPr>
        <w:pStyle w:val="Prrafodelista"/>
        <w:rPr>
          <w:rFonts w:ascii="Arial" w:hAnsi="Arial" w:cs="Arial"/>
          <w:spacing w:val="-4"/>
          <w:sz w:val="24"/>
          <w:szCs w:val="24"/>
        </w:rPr>
      </w:pPr>
    </w:p>
    <w:p w:rsidR="00F33E7B" w:rsidRPr="002758E7" w:rsidRDefault="009D27CD" w:rsidP="00625077">
      <w:pPr>
        <w:pStyle w:val="Prrafodelista"/>
        <w:numPr>
          <w:ilvl w:val="0"/>
          <w:numId w:val="5"/>
        </w:numPr>
        <w:spacing w:after="0"/>
        <w:jc w:val="both"/>
        <w:textAlignment w:val="baseline"/>
        <w:rPr>
          <w:rFonts w:ascii="Arial" w:eastAsia="Times New Roman" w:hAnsi="Arial" w:cs="Arial"/>
          <w:spacing w:val="-4"/>
          <w:sz w:val="24"/>
          <w:szCs w:val="24"/>
          <w:lang w:eastAsia="es-CO"/>
        </w:rPr>
      </w:pPr>
      <w:r w:rsidRPr="002758E7">
        <w:rPr>
          <w:rFonts w:ascii="Arial" w:hAnsi="Arial" w:cs="Arial"/>
          <w:spacing w:val="-4"/>
          <w:sz w:val="24"/>
          <w:szCs w:val="24"/>
        </w:rPr>
        <w:t xml:space="preserve">No puede predicarse </w:t>
      </w:r>
      <w:r w:rsidR="001C0D40" w:rsidRPr="002758E7">
        <w:rPr>
          <w:rFonts w:ascii="Arial" w:hAnsi="Arial" w:cs="Arial"/>
          <w:spacing w:val="-4"/>
          <w:sz w:val="24"/>
          <w:szCs w:val="24"/>
        </w:rPr>
        <w:t xml:space="preserve">tampoco </w:t>
      </w:r>
      <w:r w:rsidR="001076B2" w:rsidRPr="002758E7">
        <w:rPr>
          <w:rFonts w:ascii="Arial" w:hAnsi="Arial" w:cs="Arial"/>
          <w:spacing w:val="-4"/>
          <w:sz w:val="24"/>
          <w:szCs w:val="24"/>
        </w:rPr>
        <w:t>a</w:t>
      </w:r>
      <w:r w:rsidR="00E15ED6" w:rsidRPr="002758E7">
        <w:rPr>
          <w:rFonts w:ascii="Arial" w:hAnsi="Arial" w:cs="Arial"/>
          <w:spacing w:val="-4"/>
          <w:sz w:val="24"/>
          <w:szCs w:val="24"/>
        </w:rPr>
        <w:t>utonomía</w:t>
      </w:r>
      <w:r w:rsidR="0041269F" w:rsidRPr="002758E7">
        <w:rPr>
          <w:rFonts w:ascii="Arial" w:hAnsi="Arial" w:cs="Arial"/>
          <w:spacing w:val="-4"/>
          <w:sz w:val="24"/>
          <w:szCs w:val="24"/>
        </w:rPr>
        <w:t xml:space="preserve"> o diferenciación</w:t>
      </w:r>
      <w:r w:rsidR="00E15ED6" w:rsidRPr="002758E7">
        <w:rPr>
          <w:rFonts w:ascii="Arial" w:hAnsi="Arial" w:cs="Arial"/>
          <w:spacing w:val="-4"/>
          <w:sz w:val="24"/>
          <w:szCs w:val="24"/>
        </w:rPr>
        <w:t xml:space="preserve"> de la fuente de financiación</w:t>
      </w:r>
      <w:r w:rsidR="00322CD9" w:rsidRPr="002758E7">
        <w:rPr>
          <w:rFonts w:ascii="Arial" w:hAnsi="Arial" w:cs="Arial"/>
          <w:spacing w:val="-4"/>
          <w:sz w:val="24"/>
          <w:szCs w:val="24"/>
        </w:rPr>
        <w:t xml:space="preserve">, pues </w:t>
      </w:r>
      <w:r w:rsidR="00611E28" w:rsidRPr="002758E7">
        <w:rPr>
          <w:rFonts w:ascii="Arial" w:hAnsi="Arial" w:cs="Arial"/>
          <w:spacing w:val="-4"/>
          <w:sz w:val="24"/>
          <w:szCs w:val="24"/>
        </w:rPr>
        <w:t xml:space="preserve">el reconocimiento de la prestación </w:t>
      </w:r>
      <w:r w:rsidR="00A52FE8" w:rsidRPr="002758E7">
        <w:rPr>
          <w:rFonts w:ascii="Arial" w:hAnsi="Arial" w:cs="Arial"/>
          <w:spacing w:val="-4"/>
          <w:sz w:val="24"/>
          <w:szCs w:val="24"/>
        </w:rPr>
        <w:t xml:space="preserve">de vejez ante el régimen de prima media </w:t>
      </w:r>
      <w:r w:rsidR="00611E28" w:rsidRPr="002758E7">
        <w:rPr>
          <w:rFonts w:ascii="Arial" w:hAnsi="Arial" w:cs="Arial"/>
          <w:spacing w:val="-4"/>
          <w:sz w:val="24"/>
          <w:szCs w:val="24"/>
        </w:rPr>
        <w:t xml:space="preserve">se haría con base en los mismos tiempos de cotización laborados como servidor </w:t>
      </w:r>
      <w:r w:rsidR="00BD72E2" w:rsidRPr="002758E7">
        <w:rPr>
          <w:rFonts w:ascii="Arial" w:hAnsi="Arial" w:cs="Arial"/>
          <w:spacing w:val="-4"/>
          <w:sz w:val="24"/>
          <w:szCs w:val="24"/>
        </w:rPr>
        <w:t>público</w:t>
      </w:r>
      <w:r w:rsidR="00611E28" w:rsidRPr="002758E7">
        <w:rPr>
          <w:rFonts w:ascii="Arial" w:hAnsi="Arial" w:cs="Arial"/>
          <w:spacing w:val="-4"/>
          <w:sz w:val="24"/>
          <w:szCs w:val="24"/>
        </w:rPr>
        <w:t xml:space="preserve"> del municipio de Pereira</w:t>
      </w:r>
      <w:r w:rsidR="0041269F" w:rsidRPr="002758E7">
        <w:rPr>
          <w:rFonts w:ascii="Arial" w:hAnsi="Arial" w:cs="Arial"/>
          <w:spacing w:val="-4"/>
          <w:sz w:val="24"/>
          <w:szCs w:val="24"/>
        </w:rPr>
        <w:t xml:space="preserve"> entre el 14 de septiembre de 1976 y el 31 de </w:t>
      </w:r>
      <w:r w:rsidR="00A52FE8" w:rsidRPr="002758E7">
        <w:rPr>
          <w:rFonts w:ascii="Arial" w:hAnsi="Arial" w:cs="Arial"/>
          <w:spacing w:val="-4"/>
          <w:sz w:val="24"/>
          <w:szCs w:val="24"/>
        </w:rPr>
        <w:t>diciembre</w:t>
      </w:r>
      <w:r w:rsidR="0041269F" w:rsidRPr="002758E7">
        <w:rPr>
          <w:rFonts w:ascii="Arial" w:hAnsi="Arial" w:cs="Arial"/>
          <w:spacing w:val="-4"/>
          <w:sz w:val="24"/>
          <w:szCs w:val="24"/>
        </w:rPr>
        <w:t xml:space="preserve"> de 2001</w:t>
      </w:r>
      <w:r w:rsidR="00732B21" w:rsidRPr="002758E7">
        <w:rPr>
          <w:rFonts w:ascii="Arial" w:hAnsi="Arial" w:cs="Arial"/>
          <w:spacing w:val="-4"/>
          <w:sz w:val="24"/>
          <w:szCs w:val="24"/>
        </w:rPr>
        <w:t xml:space="preserve">, </w:t>
      </w:r>
      <w:r w:rsidR="001076B2" w:rsidRPr="002758E7">
        <w:rPr>
          <w:rFonts w:ascii="Arial" w:hAnsi="Arial" w:cs="Arial"/>
          <w:spacing w:val="-4"/>
          <w:sz w:val="24"/>
          <w:szCs w:val="24"/>
        </w:rPr>
        <w:t xml:space="preserve">de modo que, la simultaneidad de tiempos </w:t>
      </w:r>
      <w:r w:rsidR="005A4A34" w:rsidRPr="002758E7">
        <w:rPr>
          <w:rFonts w:ascii="Arial" w:hAnsi="Arial" w:cs="Arial"/>
          <w:spacing w:val="-4"/>
          <w:sz w:val="24"/>
          <w:szCs w:val="24"/>
        </w:rPr>
        <w:t xml:space="preserve">para la </w:t>
      </w:r>
      <w:r w:rsidR="003771D0" w:rsidRPr="002758E7">
        <w:rPr>
          <w:rFonts w:ascii="Arial" w:hAnsi="Arial" w:cs="Arial"/>
          <w:spacing w:val="-4"/>
          <w:sz w:val="24"/>
          <w:szCs w:val="24"/>
        </w:rPr>
        <w:t>consolidación</w:t>
      </w:r>
      <w:r w:rsidR="005A4A34" w:rsidRPr="002758E7">
        <w:rPr>
          <w:rFonts w:ascii="Arial" w:hAnsi="Arial" w:cs="Arial"/>
          <w:spacing w:val="-4"/>
          <w:sz w:val="24"/>
          <w:szCs w:val="24"/>
        </w:rPr>
        <w:t xml:space="preserve"> de ambas prestaciones, hace inviable la compatibilidad, máxime que el actor sol</w:t>
      </w:r>
      <w:r w:rsidR="00732B21" w:rsidRPr="002758E7">
        <w:rPr>
          <w:rFonts w:ascii="Arial" w:hAnsi="Arial" w:cs="Arial"/>
          <w:spacing w:val="-4"/>
          <w:sz w:val="24"/>
          <w:szCs w:val="24"/>
        </w:rPr>
        <w:t xml:space="preserve">o cuenta con un total de </w:t>
      </w:r>
      <w:r w:rsidR="002B3625" w:rsidRPr="002758E7">
        <w:rPr>
          <w:rFonts w:ascii="Arial" w:hAnsi="Arial" w:cs="Arial"/>
          <w:spacing w:val="-4"/>
          <w:sz w:val="24"/>
          <w:szCs w:val="24"/>
        </w:rPr>
        <w:t>58.71 semanas cotizadas por tiempos de servicio en el sector p</w:t>
      </w:r>
      <w:r w:rsidR="00F33E7B" w:rsidRPr="002758E7">
        <w:rPr>
          <w:rFonts w:ascii="Arial" w:hAnsi="Arial" w:cs="Arial"/>
          <w:spacing w:val="-4"/>
          <w:sz w:val="24"/>
          <w:szCs w:val="24"/>
        </w:rPr>
        <w:t>rivado, insuficientes para su aspiración en este proceso</w:t>
      </w:r>
      <w:r w:rsidR="005A4A34" w:rsidRPr="002758E7">
        <w:rPr>
          <w:rFonts w:ascii="Arial" w:hAnsi="Arial" w:cs="Arial"/>
          <w:spacing w:val="-4"/>
          <w:sz w:val="24"/>
          <w:szCs w:val="24"/>
        </w:rPr>
        <w:t>, según se colige de la historia laboral aportada (pág.310 archivo 11).</w:t>
      </w:r>
      <w:r w:rsidR="00732B21" w:rsidRPr="002758E7">
        <w:rPr>
          <w:rFonts w:ascii="Arial" w:hAnsi="Arial" w:cs="Arial"/>
          <w:spacing w:val="-4"/>
          <w:sz w:val="24"/>
          <w:szCs w:val="24"/>
        </w:rPr>
        <w:t xml:space="preserve"> </w:t>
      </w:r>
    </w:p>
    <w:p w:rsidR="0045197B" w:rsidRPr="002758E7" w:rsidRDefault="0045197B" w:rsidP="00625077">
      <w:pPr>
        <w:spacing w:after="0"/>
        <w:textAlignment w:val="baseline"/>
        <w:rPr>
          <w:rFonts w:ascii="Arial" w:hAnsi="Arial" w:cs="Arial"/>
          <w:spacing w:val="-4"/>
          <w:sz w:val="24"/>
          <w:szCs w:val="24"/>
          <w:lang w:eastAsia="es-CO"/>
        </w:rPr>
      </w:pPr>
    </w:p>
    <w:p w:rsidR="003D0052" w:rsidRPr="002758E7" w:rsidRDefault="003D0052" w:rsidP="00625077">
      <w:pPr>
        <w:spacing w:after="0"/>
        <w:jc w:val="both"/>
        <w:rPr>
          <w:rFonts w:ascii="Arial" w:hAnsi="Arial" w:cs="Arial"/>
          <w:spacing w:val="-4"/>
          <w:sz w:val="24"/>
          <w:szCs w:val="24"/>
        </w:rPr>
      </w:pPr>
      <w:r w:rsidRPr="002758E7">
        <w:rPr>
          <w:rFonts w:ascii="Arial" w:hAnsi="Arial" w:cs="Arial"/>
          <w:spacing w:val="-4"/>
          <w:sz w:val="24"/>
          <w:szCs w:val="24"/>
        </w:rPr>
        <w:t>Finalmente</w:t>
      </w:r>
      <w:r w:rsidR="000F092D" w:rsidRPr="002758E7">
        <w:rPr>
          <w:rFonts w:ascii="Arial" w:hAnsi="Arial" w:cs="Arial"/>
          <w:spacing w:val="-4"/>
          <w:sz w:val="24"/>
          <w:szCs w:val="24"/>
        </w:rPr>
        <w:t xml:space="preserve">, cabe </w:t>
      </w:r>
      <w:r w:rsidR="009A6B2E" w:rsidRPr="002758E7">
        <w:rPr>
          <w:rFonts w:ascii="Arial" w:hAnsi="Arial" w:cs="Arial"/>
          <w:spacing w:val="-4"/>
          <w:sz w:val="24"/>
          <w:szCs w:val="24"/>
        </w:rPr>
        <w:t>agregar que, s</w:t>
      </w:r>
      <w:r w:rsidR="000B34AD" w:rsidRPr="002758E7">
        <w:rPr>
          <w:rFonts w:ascii="Arial" w:hAnsi="Arial" w:cs="Arial"/>
          <w:spacing w:val="-4"/>
          <w:sz w:val="24"/>
          <w:szCs w:val="24"/>
        </w:rPr>
        <w:t xml:space="preserve">i bien en el presente asunto </w:t>
      </w:r>
      <w:r w:rsidR="00BF6F25" w:rsidRPr="002758E7">
        <w:rPr>
          <w:rFonts w:ascii="Arial" w:hAnsi="Arial" w:cs="Arial"/>
          <w:spacing w:val="-4"/>
          <w:sz w:val="24"/>
          <w:szCs w:val="24"/>
        </w:rPr>
        <w:t xml:space="preserve">el </w:t>
      </w:r>
      <w:r w:rsidR="00504243" w:rsidRPr="002758E7">
        <w:rPr>
          <w:rFonts w:ascii="Arial" w:hAnsi="Arial" w:cs="Arial"/>
          <w:spacing w:val="-4"/>
          <w:sz w:val="24"/>
          <w:szCs w:val="24"/>
        </w:rPr>
        <w:t>empleador</w:t>
      </w:r>
      <w:r w:rsidR="00610CE7" w:rsidRPr="002758E7">
        <w:rPr>
          <w:rFonts w:ascii="Arial" w:hAnsi="Arial" w:cs="Arial"/>
          <w:spacing w:val="-4"/>
          <w:sz w:val="24"/>
          <w:szCs w:val="24"/>
        </w:rPr>
        <w:t xml:space="preserve"> </w:t>
      </w:r>
      <w:r w:rsidR="00841EE8" w:rsidRPr="002758E7">
        <w:rPr>
          <w:rFonts w:ascii="Arial" w:hAnsi="Arial" w:cs="Arial"/>
          <w:spacing w:val="-4"/>
          <w:sz w:val="24"/>
          <w:szCs w:val="24"/>
        </w:rPr>
        <w:t xml:space="preserve">luego de otorgarle al demandante </w:t>
      </w:r>
      <w:r w:rsidR="00610CE7" w:rsidRPr="002758E7">
        <w:rPr>
          <w:rFonts w:ascii="Arial" w:hAnsi="Arial" w:cs="Arial"/>
          <w:spacing w:val="-4"/>
          <w:sz w:val="24"/>
          <w:szCs w:val="24"/>
        </w:rPr>
        <w:t>la pensión de jubilación extralegal</w:t>
      </w:r>
      <w:r w:rsidR="00504243" w:rsidRPr="002758E7">
        <w:rPr>
          <w:rFonts w:ascii="Arial" w:hAnsi="Arial" w:cs="Arial"/>
          <w:spacing w:val="-4"/>
          <w:sz w:val="24"/>
          <w:szCs w:val="24"/>
        </w:rPr>
        <w:t xml:space="preserve"> </w:t>
      </w:r>
      <w:r w:rsidR="00610CE7" w:rsidRPr="002758E7">
        <w:rPr>
          <w:rFonts w:ascii="Arial" w:hAnsi="Arial" w:cs="Arial"/>
          <w:spacing w:val="-4"/>
          <w:sz w:val="24"/>
          <w:szCs w:val="24"/>
        </w:rPr>
        <w:t xml:space="preserve">no continuó </w:t>
      </w:r>
      <w:r w:rsidR="00504243" w:rsidRPr="002758E7">
        <w:rPr>
          <w:rFonts w:ascii="Arial" w:hAnsi="Arial" w:cs="Arial"/>
          <w:spacing w:val="-4"/>
          <w:sz w:val="24"/>
          <w:szCs w:val="24"/>
        </w:rPr>
        <w:t xml:space="preserve">efectuando cotizaciones al sistema pensional </w:t>
      </w:r>
      <w:r w:rsidR="00610CE7" w:rsidRPr="002758E7">
        <w:rPr>
          <w:rFonts w:ascii="Arial" w:hAnsi="Arial" w:cs="Arial"/>
          <w:spacing w:val="-4"/>
          <w:sz w:val="24"/>
          <w:szCs w:val="24"/>
        </w:rPr>
        <w:t xml:space="preserve">hasta que </w:t>
      </w:r>
      <w:r w:rsidR="00841EE8" w:rsidRPr="002758E7">
        <w:rPr>
          <w:rFonts w:ascii="Arial" w:hAnsi="Arial" w:cs="Arial"/>
          <w:spacing w:val="-4"/>
          <w:sz w:val="24"/>
          <w:szCs w:val="24"/>
        </w:rPr>
        <w:t xml:space="preserve">este </w:t>
      </w:r>
      <w:r w:rsidR="00610CE7" w:rsidRPr="002758E7">
        <w:rPr>
          <w:rFonts w:ascii="Arial" w:hAnsi="Arial" w:cs="Arial"/>
          <w:spacing w:val="-4"/>
          <w:sz w:val="24"/>
          <w:szCs w:val="24"/>
        </w:rPr>
        <w:t xml:space="preserve">cumpliera los requisitos para </w:t>
      </w:r>
      <w:r w:rsidR="00841EE8" w:rsidRPr="002758E7">
        <w:rPr>
          <w:rFonts w:ascii="Arial" w:hAnsi="Arial" w:cs="Arial"/>
          <w:spacing w:val="-4"/>
          <w:sz w:val="24"/>
          <w:szCs w:val="24"/>
        </w:rPr>
        <w:t>causar</w:t>
      </w:r>
      <w:r w:rsidR="00610CE7" w:rsidRPr="002758E7">
        <w:rPr>
          <w:rFonts w:ascii="Arial" w:hAnsi="Arial" w:cs="Arial"/>
          <w:spacing w:val="-4"/>
          <w:sz w:val="24"/>
          <w:szCs w:val="24"/>
        </w:rPr>
        <w:t xml:space="preserve"> el derecho a la pensión de vejez derivada del sistema</w:t>
      </w:r>
      <w:r w:rsidR="00841EE8" w:rsidRPr="002758E7">
        <w:rPr>
          <w:rFonts w:ascii="Arial" w:hAnsi="Arial" w:cs="Arial"/>
          <w:spacing w:val="-4"/>
          <w:sz w:val="24"/>
          <w:szCs w:val="24"/>
        </w:rPr>
        <w:t xml:space="preserve"> general</w:t>
      </w:r>
      <w:r w:rsidR="00610CE7" w:rsidRPr="002758E7">
        <w:rPr>
          <w:rFonts w:ascii="Arial" w:hAnsi="Arial" w:cs="Arial"/>
          <w:spacing w:val="-4"/>
          <w:sz w:val="24"/>
          <w:szCs w:val="24"/>
        </w:rPr>
        <w:t xml:space="preserve"> pensional</w:t>
      </w:r>
      <w:r w:rsidR="002577FF" w:rsidRPr="002758E7">
        <w:rPr>
          <w:rFonts w:ascii="Arial" w:hAnsi="Arial" w:cs="Arial"/>
          <w:spacing w:val="-4"/>
          <w:sz w:val="24"/>
          <w:szCs w:val="24"/>
        </w:rPr>
        <w:t>;</w:t>
      </w:r>
      <w:r w:rsidR="00610CE7" w:rsidRPr="002758E7">
        <w:rPr>
          <w:rFonts w:ascii="Arial" w:hAnsi="Arial" w:cs="Arial"/>
          <w:spacing w:val="-4"/>
          <w:sz w:val="24"/>
          <w:szCs w:val="24"/>
        </w:rPr>
        <w:t xml:space="preserve"> lo cierto es que su inobservancia </w:t>
      </w:r>
      <w:r w:rsidR="00841EE8" w:rsidRPr="002758E7">
        <w:rPr>
          <w:rFonts w:ascii="Arial" w:hAnsi="Arial" w:cs="Arial"/>
          <w:spacing w:val="-4"/>
          <w:sz w:val="24"/>
          <w:szCs w:val="24"/>
        </w:rPr>
        <w:t>no trae como consecuencia la compatibilidad</w:t>
      </w:r>
      <w:r w:rsidR="0070077B" w:rsidRPr="002758E7">
        <w:rPr>
          <w:rFonts w:ascii="Arial" w:hAnsi="Arial" w:cs="Arial"/>
          <w:spacing w:val="-4"/>
          <w:sz w:val="24"/>
          <w:szCs w:val="24"/>
        </w:rPr>
        <w:t xml:space="preserve"> que se</w:t>
      </w:r>
      <w:r w:rsidR="00841EE8" w:rsidRPr="002758E7">
        <w:rPr>
          <w:rFonts w:ascii="Arial" w:hAnsi="Arial" w:cs="Arial"/>
          <w:spacing w:val="-4"/>
          <w:sz w:val="24"/>
          <w:szCs w:val="24"/>
        </w:rPr>
        <w:t xml:space="preserve"> anhela</w:t>
      </w:r>
      <w:r w:rsidR="0070077B" w:rsidRPr="002758E7">
        <w:rPr>
          <w:rFonts w:ascii="Arial" w:hAnsi="Arial" w:cs="Arial"/>
          <w:spacing w:val="-4"/>
          <w:sz w:val="24"/>
          <w:szCs w:val="24"/>
        </w:rPr>
        <w:t xml:space="preserve"> en la demanda</w:t>
      </w:r>
      <w:r w:rsidR="00841EE8" w:rsidRPr="002758E7">
        <w:rPr>
          <w:rFonts w:ascii="Arial" w:hAnsi="Arial" w:cs="Arial"/>
          <w:spacing w:val="-4"/>
          <w:sz w:val="24"/>
          <w:szCs w:val="24"/>
        </w:rPr>
        <w:t xml:space="preserve">, </w:t>
      </w:r>
      <w:r w:rsidR="00841EE8" w:rsidRPr="002758E7">
        <w:rPr>
          <w:rFonts w:ascii="Arial" w:hAnsi="Arial" w:cs="Arial"/>
          <w:spacing w:val="-4"/>
          <w:sz w:val="24"/>
          <w:szCs w:val="24"/>
        </w:rPr>
        <w:lastRenderedPageBreak/>
        <w:t>sino</w:t>
      </w:r>
      <w:r w:rsidR="0070077B" w:rsidRPr="002758E7">
        <w:rPr>
          <w:rFonts w:ascii="Arial" w:hAnsi="Arial" w:cs="Arial"/>
          <w:spacing w:val="-4"/>
          <w:sz w:val="24"/>
          <w:szCs w:val="24"/>
        </w:rPr>
        <w:t xml:space="preserve"> </w:t>
      </w:r>
      <w:r w:rsidR="005456C1" w:rsidRPr="002758E7">
        <w:rPr>
          <w:rFonts w:ascii="Arial" w:hAnsi="Arial" w:cs="Arial"/>
          <w:spacing w:val="-4"/>
          <w:sz w:val="24"/>
          <w:szCs w:val="24"/>
        </w:rPr>
        <w:t xml:space="preserve">la </w:t>
      </w:r>
      <w:r w:rsidRPr="002758E7">
        <w:rPr>
          <w:rFonts w:ascii="Arial" w:hAnsi="Arial" w:cs="Arial"/>
          <w:spacing w:val="-4"/>
          <w:sz w:val="24"/>
          <w:szCs w:val="24"/>
        </w:rPr>
        <w:t>NO</w:t>
      </w:r>
      <w:r w:rsidR="005456C1" w:rsidRPr="002758E7">
        <w:rPr>
          <w:rFonts w:ascii="Arial" w:hAnsi="Arial" w:cs="Arial"/>
          <w:spacing w:val="-4"/>
          <w:sz w:val="24"/>
          <w:szCs w:val="24"/>
        </w:rPr>
        <w:t xml:space="preserve"> </w:t>
      </w:r>
      <w:r w:rsidR="0070077B" w:rsidRPr="002758E7">
        <w:rPr>
          <w:rFonts w:ascii="Arial" w:hAnsi="Arial" w:cs="Arial"/>
          <w:spacing w:val="-4"/>
          <w:sz w:val="24"/>
          <w:szCs w:val="24"/>
        </w:rPr>
        <w:t>s</w:t>
      </w:r>
      <w:r w:rsidR="009A4FCD" w:rsidRPr="002758E7">
        <w:rPr>
          <w:rFonts w:ascii="Arial" w:hAnsi="Arial" w:cs="Arial"/>
          <w:spacing w:val="-4"/>
          <w:sz w:val="24"/>
          <w:szCs w:val="24"/>
        </w:rPr>
        <w:t xml:space="preserve">ubrogación </w:t>
      </w:r>
      <w:r w:rsidR="00BF6F25" w:rsidRPr="002758E7">
        <w:rPr>
          <w:rFonts w:ascii="Arial" w:hAnsi="Arial" w:cs="Arial"/>
          <w:spacing w:val="-4"/>
          <w:sz w:val="24"/>
          <w:szCs w:val="24"/>
        </w:rPr>
        <w:t xml:space="preserve">o asunción de </w:t>
      </w:r>
      <w:r w:rsidR="009A4FCD" w:rsidRPr="002758E7">
        <w:rPr>
          <w:rFonts w:ascii="Arial" w:hAnsi="Arial" w:cs="Arial"/>
          <w:spacing w:val="-4"/>
          <w:sz w:val="24"/>
          <w:szCs w:val="24"/>
        </w:rPr>
        <w:t>dicha</w:t>
      </w:r>
      <w:r w:rsidR="00BF6F25" w:rsidRPr="002758E7">
        <w:rPr>
          <w:rFonts w:ascii="Arial" w:hAnsi="Arial" w:cs="Arial"/>
          <w:spacing w:val="-4"/>
          <w:sz w:val="24"/>
          <w:szCs w:val="24"/>
        </w:rPr>
        <w:t xml:space="preserve"> prestación </w:t>
      </w:r>
      <w:r w:rsidR="00011865" w:rsidRPr="002758E7">
        <w:rPr>
          <w:rFonts w:ascii="Arial" w:hAnsi="Arial" w:cs="Arial"/>
          <w:spacing w:val="-4"/>
          <w:sz w:val="24"/>
          <w:szCs w:val="24"/>
        </w:rPr>
        <w:t>por parte de la entidad de seguridad social.</w:t>
      </w:r>
    </w:p>
    <w:p w:rsidR="68EF2B59" w:rsidRPr="002758E7" w:rsidRDefault="68EF2B59" w:rsidP="00625077">
      <w:pPr>
        <w:spacing w:after="0"/>
        <w:jc w:val="both"/>
        <w:rPr>
          <w:rFonts w:ascii="Arial" w:hAnsi="Arial" w:cs="Arial"/>
          <w:spacing w:val="-4"/>
          <w:sz w:val="24"/>
          <w:szCs w:val="24"/>
        </w:rPr>
      </w:pPr>
    </w:p>
    <w:p w:rsidR="00F1745D" w:rsidRPr="002758E7" w:rsidRDefault="005456C1" w:rsidP="00625077">
      <w:pPr>
        <w:spacing w:after="0"/>
        <w:jc w:val="both"/>
        <w:textAlignment w:val="baseline"/>
        <w:rPr>
          <w:rFonts w:ascii="Arial" w:eastAsia="Times New Roman" w:hAnsi="Arial" w:cs="Arial"/>
          <w:spacing w:val="-4"/>
          <w:sz w:val="24"/>
          <w:szCs w:val="24"/>
          <w:lang w:eastAsia="es-CO"/>
        </w:rPr>
      </w:pPr>
      <w:r w:rsidRPr="002758E7">
        <w:rPr>
          <w:rFonts w:ascii="Arial" w:hAnsi="Arial" w:cs="Arial"/>
          <w:spacing w:val="-4"/>
          <w:sz w:val="24"/>
          <w:szCs w:val="24"/>
        </w:rPr>
        <w:t>En ese sentido,</w:t>
      </w:r>
      <w:r w:rsidR="003D0052" w:rsidRPr="002758E7">
        <w:rPr>
          <w:rFonts w:ascii="Arial" w:hAnsi="Arial" w:cs="Arial"/>
          <w:spacing w:val="-4"/>
          <w:sz w:val="24"/>
          <w:szCs w:val="24"/>
        </w:rPr>
        <w:t xml:space="preserve"> lo que correspondería</w:t>
      </w:r>
      <w:r w:rsidRPr="002758E7">
        <w:rPr>
          <w:rFonts w:ascii="Arial" w:hAnsi="Arial" w:cs="Arial"/>
          <w:spacing w:val="-4"/>
          <w:sz w:val="24"/>
          <w:szCs w:val="24"/>
        </w:rPr>
        <w:t xml:space="preserve"> en los términos del </w:t>
      </w:r>
      <w:r w:rsidR="00F1745D" w:rsidRPr="002758E7">
        <w:rPr>
          <w:rFonts w:ascii="Arial" w:hAnsi="Arial" w:cs="Arial"/>
          <w:spacing w:val="-4"/>
          <w:sz w:val="24"/>
          <w:szCs w:val="24"/>
        </w:rPr>
        <w:t xml:space="preserve">artículo 17 de la Ley 549 de 1999 y 2º del Decreto 2527 de 2000, </w:t>
      </w:r>
      <w:r w:rsidR="007B2942" w:rsidRPr="002758E7">
        <w:rPr>
          <w:rFonts w:ascii="Arial" w:hAnsi="Arial" w:cs="Arial"/>
          <w:spacing w:val="-4"/>
          <w:sz w:val="24"/>
          <w:szCs w:val="24"/>
        </w:rPr>
        <w:t>es</w:t>
      </w:r>
      <w:r w:rsidR="003D0052" w:rsidRPr="002758E7">
        <w:rPr>
          <w:rFonts w:ascii="Arial" w:hAnsi="Arial" w:cs="Arial"/>
          <w:spacing w:val="-4"/>
          <w:sz w:val="24"/>
          <w:szCs w:val="24"/>
        </w:rPr>
        <w:t xml:space="preserve"> que</w:t>
      </w:r>
      <w:r w:rsidR="002F26DB" w:rsidRPr="002758E7">
        <w:rPr>
          <w:rFonts w:ascii="Arial" w:hAnsi="Arial" w:cs="Arial"/>
          <w:spacing w:val="-4"/>
          <w:sz w:val="24"/>
          <w:szCs w:val="24"/>
        </w:rPr>
        <w:t xml:space="preserve"> el valor equivalente a</w:t>
      </w:r>
      <w:r w:rsidR="003D0052" w:rsidRPr="002758E7">
        <w:rPr>
          <w:rFonts w:ascii="Arial" w:hAnsi="Arial" w:cs="Arial"/>
          <w:spacing w:val="-4"/>
          <w:sz w:val="24"/>
          <w:szCs w:val="24"/>
        </w:rPr>
        <w:t xml:space="preserve"> los</w:t>
      </w:r>
      <w:r w:rsidR="00843DDB" w:rsidRPr="002758E7">
        <w:rPr>
          <w:rFonts w:ascii="Arial" w:hAnsi="Arial" w:cs="Arial"/>
          <w:spacing w:val="-4"/>
          <w:sz w:val="24"/>
          <w:szCs w:val="24"/>
        </w:rPr>
        <w:t xml:space="preserve"> tiempos laborados </w:t>
      </w:r>
      <w:r w:rsidR="002F26DB" w:rsidRPr="002758E7">
        <w:rPr>
          <w:rFonts w:ascii="Arial" w:hAnsi="Arial" w:cs="Arial"/>
          <w:spacing w:val="-4"/>
          <w:sz w:val="24"/>
          <w:szCs w:val="24"/>
        </w:rPr>
        <w:t>o cotizados al sistema</w:t>
      </w:r>
      <w:r w:rsidR="0045197B" w:rsidRPr="002758E7">
        <w:rPr>
          <w:rFonts w:ascii="Arial" w:hAnsi="Arial" w:cs="Arial"/>
          <w:spacing w:val="-4"/>
          <w:sz w:val="24"/>
          <w:szCs w:val="24"/>
        </w:rPr>
        <w:t xml:space="preserve"> pensional</w:t>
      </w:r>
      <w:r w:rsidR="002F26DB" w:rsidRPr="002758E7">
        <w:rPr>
          <w:rFonts w:ascii="Arial" w:hAnsi="Arial" w:cs="Arial"/>
          <w:spacing w:val="-4"/>
          <w:sz w:val="24"/>
          <w:szCs w:val="24"/>
        </w:rPr>
        <w:t xml:space="preserve">, </w:t>
      </w:r>
      <w:r w:rsidR="005C1F78" w:rsidRPr="002758E7">
        <w:rPr>
          <w:rFonts w:ascii="Arial" w:hAnsi="Arial" w:cs="Arial"/>
          <w:spacing w:val="-4"/>
          <w:sz w:val="24"/>
          <w:szCs w:val="24"/>
        </w:rPr>
        <w:t>que no han sido incluidos p</w:t>
      </w:r>
      <w:r w:rsidR="00F1745D" w:rsidRPr="002758E7">
        <w:rPr>
          <w:rFonts w:ascii="Arial" w:hAnsi="Arial" w:cs="Arial"/>
          <w:spacing w:val="-4"/>
          <w:sz w:val="24"/>
          <w:szCs w:val="24"/>
        </w:rPr>
        <w:t xml:space="preserve">ara efectos del reconocimiento </w:t>
      </w:r>
      <w:r w:rsidR="0045197B" w:rsidRPr="002758E7">
        <w:rPr>
          <w:rFonts w:ascii="Arial" w:hAnsi="Arial" w:cs="Arial"/>
          <w:spacing w:val="-4"/>
          <w:sz w:val="24"/>
          <w:szCs w:val="24"/>
        </w:rPr>
        <w:t>de la prestación por vejez</w:t>
      </w:r>
      <w:r w:rsidR="00F1745D" w:rsidRPr="002758E7">
        <w:rPr>
          <w:rFonts w:ascii="Arial" w:hAnsi="Arial" w:cs="Arial"/>
          <w:spacing w:val="-4"/>
          <w:sz w:val="24"/>
          <w:szCs w:val="24"/>
        </w:rPr>
        <w:t xml:space="preserve"> </w:t>
      </w:r>
      <w:r w:rsidR="005C1F78" w:rsidRPr="002758E7">
        <w:rPr>
          <w:rFonts w:ascii="Arial" w:hAnsi="Arial" w:cs="Arial"/>
          <w:spacing w:val="-4"/>
          <w:sz w:val="24"/>
          <w:szCs w:val="24"/>
        </w:rPr>
        <w:t xml:space="preserve">por cuenta de la </w:t>
      </w:r>
      <w:r w:rsidR="002F26DB" w:rsidRPr="002758E7">
        <w:rPr>
          <w:rFonts w:ascii="Arial" w:hAnsi="Arial" w:cs="Arial"/>
          <w:spacing w:val="-4"/>
          <w:sz w:val="24"/>
          <w:szCs w:val="24"/>
        </w:rPr>
        <w:t>A</w:t>
      </w:r>
      <w:r w:rsidR="005C1F78" w:rsidRPr="002758E7">
        <w:rPr>
          <w:rFonts w:ascii="Arial" w:hAnsi="Arial" w:cs="Arial"/>
          <w:spacing w:val="-4"/>
          <w:sz w:val="24"/>
          <w:szCs w:val="24"/>
        </w:rPr>
        <w:t xml:space="preserve">dministradora </w:t>
      </w:r>
      <w:r w:rsidR="002F26DB" w:rsidRPr="002758E7">
        <w:rPr>
          <w:rFonts w:ascii="Arial" w:hAnsi="Arial" w:cs="Arial"/>
          <w:spacing w:val="-4"/>
          <w:sz w:val="24"/>
          <w:szCs w:val="24"/>
        </w:rPr>
        <w:t xml:space="preserve">Colombiana </w:t>
      </w:r>
      <w:r w:rsidR="005C1F78" w:rsidRPr="002758E7">
        <w:rPr>
          <w:rFonts w:ascii="Arial" w:hAnsi="Arial" w:cs="Arial"/>
          <w:spacing w:val="-4"/>
          <w:sz w:val="24"/>
          <w:szCs w:val="24"/>
        </w:rPr>
        <w:t xml:space="preserve">de pensiones, </w:t>
      </w:r>
      <w:r w:rsidR="0045197B" w:rsidRPr="002758E7">
        <w:rPr>
          <w:rFonts w:ascii="Arial" w:hAnsi="Arial" w:cs="Arial"/>
          <w:spacing w:val="-4"/>
          <w:sz w:val="24"/>
          <w:szCs w:val="24"/>
        </w:rPr>
        <w:t xml:space="preserve">se entreguen </w:t>
      </w:r>
      <w:r w:rsidR="003D0052" w:rsidRPr="002758E7">
        <w:rPr>
          <w:rFonts w:ascii="Arial" w:hAnsi="Arial" w:cs="Arial"/>
          <w:spacing w:val="-4"/>
          <w:sz w:val="24"/>
          <w:szCs w:val="24"/>
        </w:rPr>
        <w:t xml:space="preserve">a quien </w:t>
      </w:r>
      <w:r w:rsidR="0045197B" w:rsidRPr="002758E7">
        <w:rPr>
          <w:rFonts w:ascii="Arial" w:hAnsi="Arial" w:cs="Arial"/>
          <w:spacing w:val="-4"/>
          <w:sz w:val="24"/>
          <w:szCs w:val="24"/>
        </w:rPr>
        <w:t>reconoció en un 100%</w:t>
      </w:r>
      <w:r w:rsidR="002F26DB" w:rsidRPr="002758E7">
        <w:rPr>
          <w:rFonts w:ascii="Arial" w:hAnsi="Arial" w:cs="Arial"/>
          <w:spacing w:val="-4"/>
          <w:sz w:val="24"/>
          <w:szCs w:val="24"/>
        </w:rPr>
        <w:t xml:space="preserve"> la pensión, </w:t>
      </w:r>
      <w:r w:rsidR="003D0052" w:rsidRPr="002758E7">
        <w:rPr>
          <w:rFonts w:ascii="Arial" w:hAnsi="Arial" w:cs="Arial"/>
          <w:spacing w:val="-4"/>
          <w:sz w:val="24"/>
          <w:szCs w:val="24"/>
        </w:rPr>
        <w:t xml:space="preserve"> </w:t>
      </w:r>
      <w:r w:rsidR="005C1F78" w:rsidRPr="002758E7">
        <w:rPr>
          <w:rFonts w:ascii="Arial" w:hAnsi="Arial" w:cs="Arial"/>
          <w:spacing w:val="-4"/>
          <w:sz w:val="24"/>
          <w:szCs w:val="24"/>
        </w:rPr>
        <w:t>en este caso, al empleador</w:t>
      </w:r>
      <w:r w:rsidR="0045197B" w:rsidRPr="002758E7">
        <w:rPr>
          <w:rFonts w:ascii="Arial" w:hAnsi="Arial" w:cs="Arial"/>
          <w:spacing w:val="-4"/>
          <w:sz w:val="24"/>
          <w:szCs w:val="24"/>
        </w:rPr>
        <w:t xml:space="preserve">, previo el trámite que este adelante ante la entidad de seguridad social. </w:t>
      </w:r>
    </w:p>
    <w:p w:rsidR="68EF2B59" w:rsidRPr="002758E7" w:rsidRDefault="68EF2B59" w:rsidP="00625077">
      <w:pPr>
        <w:spacing w:after="0"/>
        <w:jc w:val="both"/>
        <w:rPr>
          <w:rFonts w:ascii="Arial" w:hAnsi="Arial" w:cs="Arial"/>
          <w:spacing w:val="-4"/>
          <w:sz w:val="24"/>
          <w:szCs w:val="24"/>
        </w:rPr>
      </w:pPr>
    </w:p>
    <w:p w:rsidR="00337717" w:rsidRPr="002758E7" w:rsidRDefault="00AE79C9" w:rsidP="00625077">
      <w:pPr>
        <w:pStyle w:val="Sinespaciado"/>
        <w:spacing w:line="276" w:lineRule="auto"/>
        <w:jc w:val="both"/>
        <w:rPr>
          <w:rFonts w:ascii="Arial" w:hAnsi="Arial" w:cs="Arial"/>
          <w:spacing w:val="-4"/>
          <w:sz w:val="24"/>
          <w:szCs w:val="24"/>
        </w:rPr>
      </w:pPr>
      <w:r w:rsidRPr="002758E7">
        <w:rPr>
          <w:rFonts w:ascii="Arial" w:hAnsi="Arial" w:cs="Arial"/>
          <w:spacing w:val="-4"/>
          <w:sz w:val="24"/>
          <w:szCs w:val="24"/>
        </w:rPr>
        <w:t xml:space="preserve">Con base en las argumentaciones expuestas, </w:t>
      </w:r>
      <w:r w:rsidR="00011865" w:rsidRPr="002758E7">
        <w:rPr>
          <w:rFonts w:ascii="Arial" w:hAnsi="Arial" w:cs="Arial"/>
          <w:spacing w:val="-4"/>
          <w:sz w:val="24"/>
          <w:szCs w:val="24"/>
        </w:rPr>
        <w:t>la Sala</w:t>
      </w:r>
      <w:r w:rsidR="007B2942" w:rsidRPr="002758E7">
        <w:rPr>
          <w:rFonts w:ascii="Arial" w:hAnsi="Arial" w:cs="Arial"/>
          <w:spacing w:val="-4"/>
          <w:sz w:val="24"/>
          <w:szCs w:val="24"/>
        </w:rPr>
        <w:t xml:space="preserve"> </w:t>
      </w:r>
      <w:r w:rsidR="00C04C54" w:rsidRPr="002758E7">
        <w:rPr>
          <w:rFonts w:ascii="Arial" w:hAnsi="Arial" w:cs="Arial"/>
          <w:spacing w:val="-4"/>
          <w:sz w:val="24"/>
          <w:szCs w:val="24"/>
        </w:rPr>
        <w:t>al igual que la sentenciadora de primer grado</w:t>
      </w:r>
      <w:r w:rsidR="007B2942" w:rsidRPr="002758E7">
        <w:rPr>
          <w:rFonts w:ascii="Arial" w:hAnsi="Arial" w:cs="Arial"/>
          <w:spacing w:val="-4"/>
          <w:sz w:val="24"/>
          <w:szCs w:val="24"/>
        </w:rPr>
        <w:t xml:space="preserve">, concluye que </w:t>
      </w:r>
      <w:r w:rsidR="00C04C54" w:rsidRPr="002758E7">
        <w:rPr>
          <w:rFonts w:ascii="Arial" w:hAnsi="Arial" w:cs="Arial"/>
          <w:spacing w:val="-4"/>
          <w:sz w:val="24"/>
          <w:szCs w:val="24"/>
        </w:rPr>
        <w:t xml:space="preserve">resulta inviable </w:t>
      </w:r>
      <w:r w:rsidR="00011865" w:rsidRPr="002758E7">
        <w:rPr>
          <w:rFonts w:ascii="Arial" w:hAnsi="Arial" w:cs="Arial"/>
          <w:spacing w:val="-4"/>
          <w:sz w:val="24"/>
          <w:szCs w:val="24"/>
        </w:rPr>
        <w:t xml:space="preserve">la compatibilidad pensional peticionada </w:t>
      </w:r>
      <w:r w:rsidR="003E5C2B" w:rsidRPr="002758E7">
        <w:rPr>
          <w:rFonts w:ascii="Arial" w:hAnsi="Arial" w:cs="Arial"/>
          <w:spacing w:val="-4"/>
          <w:sz w:val="24"/>
          <w:szCs w:val="24"/>
        </w:rPr>
        <w:t>entre la pensión de jubilación extralegal y la de vejez</w:t>
      </w:r>
      <w:r w:rsidR="00C04C54" w:rsidRPr="002758E7">
        <w:rPr>
          <w:rFonts w:ascii="Arial" w:hAnsi="Arial" w:cs="Arial"/>
          <w:spacing w:val="-4"/>
          <w:sz w:val="24"/>
          <w:szCs w:val="24"/>
        </w:rPr>
        <w:t xml:space="preserve"> del sistema general de pensiones,</w:t>
      </w:r>
      <w:r w:rsidR="007B2942" w:rsidRPr="002758E7">
        <w:rPr>
          <w:rFonts w:ascii="Arial" w:hAnsi="Arial" w:cs="Arial"/>
          <w:spacing w:val="-4"/>
          <w:sz w:val="24"/>
          <w:szCs w:val="24"/>
        </w:rPr>
        <w:t xml:space="preserve"> pues</w:t>
      </w:r>
      <w:r w:rsidR="00921E16" w:rsidRPr="002758E7">
        <w:rPr>
          <w:rFonts w:ascii="Arial" w:hAnsi="Arial" w:cs="Arial"/>
          <w:spacing w:val="-4"/>
          <w:sz w:val="24"/>
          <w:szCs w:val="24"/>
        </w:rPr>
        <w:t xml:space="preserve"> estas se</w:t>
      </w:r>
      <w:r w:rsidR="007B2942" w:rsidRPr="002758E7">
        <w:rPr>
          <w:rFonts w:ascii="Arial" w:hAnsi="Arial" w:cs="Arial"/>
          <w:spacing w:val="-4"/>
          <w:sz w:val="24"/>
          <w:szCs w:val="24"/>
        </w:rPr>
        <w:t xml:space="preserve"> tornan incompatibles</w:t>
      </w:r>
      <w:r w:rsidR="00921E16" w:rsidRPr="002758E7">
        <w:rPr>
          <w:rFonts w:ascii="Arial" w:hAnsi="Arial" w:cs="Arial"/>
          <w:spacing w:val="-4"/>
          <w:sz w:val="24"/>
          <w:szCs w:val="24"/>
        </w:rPr>
        <w:t xml:space="preserve">, </w:t>
      </w:r>
      <w:r w:rsidR="00C04C54" w:rsidRPr="002758E7">
        <w:rPr>
          <w:rFonts w:ascii="Arial" w:hAnsi="Arial" w:cs="Arial"/>
          <w:spacing w:val="-4"/>
          <w:sz w:val="24"/>
          <w:szCs w:val="24"/>
        </w:rPr>
        <w:t>dado que amparan el mismo riesgo, toman como base los mismos tiempos de servicios</w:t>
      </w:r>
      <w:r w:rsidR="00CB7ABF" w:rsidRPr="002758E7">
        <w:rPr>
          <w:rFonts w:ascii="Arial" w:hAnsi="Arial" w:cs="Arial"/>
          <w:spacing w:val="-4"/>
          <w:sz w:val="24"/>
          <w:szCs w:val="24"/>
        </w:rPr>
        <w:t xml:space="preserve"> del sector público</w:t>
      </w:r>
      <w:r w:rsidR="00C04C54" w:rsidRPr="002758E7">
        <w:rPr>
          <w:rFonts w:ascii="Arial" w:hAnsi="Arial" w:cs="Arial"/>
          <w:spacing w:val="-4"/>
          <w:sz w:val="24"/>
          <w:szCs w:val="24"/>
        </w:rPr>
        <w:t xml:space="preserve"> y</w:t>
      </w:r>
      <w:r w:rsidR="007B2942" w:rsidRPr="002758E7">
        <w:rPr>
          <w:rFonts w:ascii="Arial" w:hAnsi="Arial" w:cs="Arial"/>
          <w:spacing w:val="-4"/>
          <w:sz w:val="24"/>
          <w:szCs w:val="24"/>
        </w:rPr>
        <w:t>, por disposición legal</w:t>
      </w:r>
      <w:r w:rsidR="00CD2892" w:rsidRPr="002758E7">
        <w:rPr>
          <w:rFonts w:ascii="Arial" w:hAnsi="Arial" w:cs="Arial"/>
          <w:spacing w:val="-4"/>
          <w:sz w:val="24"/>
          <w:szCs w:val="24"/>
        </w:rPr>
        <w:t>,</w:t>
      </w:r>
      <w:r w:rsidR="007B2942" w:rsidRPr="002758E7">
        <w:rPr>
          <w:rFonts w:ascii="Arial" w:hAnsi="Arial" w:cs="Arial"/>
          <w:spacing w:val="-4"/>
          <w:sz w:val="24"/>
          <w:szCs w:val="24"/>
        </w:rPr>
        <w:t xml:space="preserve"> </w:t>
      </w:r>
      <w:r w:rsidR="005A1D77" w:rsidRPr="002758E7">
        <w:rPr>
          <w:rFonts w:ascii="Arial" w:hAnsi="Arial" w:cs="Arial"/>
          <w:spacing w:val="-4"/>
          <w:sz w:val="24"/>
          <w:szCs w:val="24"/>
        </w:rPr>
        <w:t xml:space="preserve">se estableció </w:t>
      </w:r>
      <w:r w:rsidR="00921E16" w:rsidRPr="002758E7">
        <w:rPr>
          <w:rFonts w:ascii="Arial" w:hAnsi="Arial" w:cs="Arial"/>
          <w:spacing w:val="-4"/>
          <w:sz w:val="24"/>
          <w:szCs w:val="24"/>
        </w:rPr>
        <w:t>su</w:t>
      </w:r>
      <w:r w:rsidR="007B2942" w:rsidRPr="002758E7">
        <w:rPr>
          <w:rFonts w:ascii="Arial" w:hAnsi="Arial" w:cs="Arial"/>
          <w:spacing w:val="-4"/>
          <w:sz w:val="24"/>
          <w:szCs w:val="24"/>
        </w:rPr>
        <w:t xml:space="preserve"> vocación de ser compartida</w:t>
      </w:r>
      <w:r w:rsidR="00CB7ABF" w:rsidRPr="002758E7">
        <w:rPr>
          <w:rFonts w:ascii="Arial" w:hAnsi="Arial" w:cs="Arial"/>
          <w:spacing w:val="-4"/>
          <w:sz w:val="24"/>
          <w:szCs w:val="24"/>
        </w:rPr>
        <w:t>s</w:t>
      </w:r>
      <w:r w:rsidR="00921E16" w:rsidRPr="002758E7">
        <w:rPr>
          <w:rFonts w:ascii="Arial" w:hAnsi="Arial" w:cs="Arial"/>
          <w:spacing w:val="-4"/>
          <w:sz w:val="24"/>
          <w:szCs w:val="24"/>
        </w:rPr>
        <w:t xml:space="preserve">. Por lo anterior se confirmará la sentencia de primer grado. </w:t>
      </w:r>
    </w:p>
    <w:p w:rsidR="001F32FD" w:rsidRPr="002758E7" w:rsidRDefault="001F32FD" w:rsidP="00625077">
      <w:pPr>
        <w:spacing w:after="0"/>
        <w:jc w:val="both"/>
        <w:textAlignment w:val="baseline"/>
        <w:rPr>
          <w:rFonts w:ascii="Arial" w:eastAsia="Times New Roman" w:hAnsi="Arial" w:cs="Arial"/>
          <w:spacing w:val="-4"/>
          <w:sz w:val="24"/>
          <w:szCs w:val="24"/>
          <w:lang w:eastAsia="es-CO"/>
        </w:rPr>
      </w:pPr>
    </w:p>
    <w:p w:rsidR="00921E16" w:rsidRPr="002758E7" w:rsidRDefault="00337717" w:rsidP="00625077">
      <w:pPr>
        <w:pStyle w:val="Sinespaciado"/>
        <w:spacing w:line="276" w:lineRule="auto"/>
        <w:jc w:val="both"/>
        <w:rPr>
          <w:rFonts w:ascii="Arial" w:hAnsi="Arial" w:cs="Arial"/>
          <w:spacing w:val="-4"/>
          <w:sz w:val="24"/>
          <w:szCs w:val="24"/>
        </w:rPr>
      </w:pPr>
      <w:r w:rsidRPr="002758E7">
        <w:rPr>
          <w:rFonts w:ascii="Arial" w:eastAsia="Times New Roman" w:hAnsi="Arial" w:cs="Arial"/>
          <w:spacing w:val="-4"/>
          <w:sz w:val="24"/>
          <w:szCs w:val="24"/>
          <w:lang w:eastAsia="es-CO"/>
        </w:rPr>
        <w:t>De esta manera queda resuelto el grado jurisdiccional de consulta dispuesto a favor del demandante.</w:t>
      </w:r>
      <w:r w:rsidR="00921E16" w:rsidRPr="002758E7">
        <w:rPr>
          <w:rFonts w:ascii="Arial" w:eastAsia="Times New Roman" w:hAnsi="Arial" w:cs="Arial"/>
          <w:spacing w:val="-4"/>
          <w:sz w:val="24"/>
          <w:szCs w:val="24"/>
          <w:lang w:eastAsia="es-CO"/>
        </w:rPr>
        <w:t xml:space="preserve"> </w:t>
      </w:r>
    </w:p>
    <w:p w:rsidR="00337717" w:rsidRPr="002758E7" w:rsidRDefault="00337717" w:rsidP="00625077">
      <w:pPr>
        <w:spacing w:after="0"/>
        <w:jc w:val="both"/>
        <w:textAlignment w:val="baseline"/>
        <w:rPr>
          <w:rFonts w:ascii="Arial" w:eastAsia="Times New Roman" w:hAnsi="Arial" w:cs="Arial"/>
          <w:spacing w:val="-4"/>
          <w:sz w:val="24"/>
          <w:szCs w:val="24"/>
          <w:lang w:eastAsia="es-CO"/>
        </w:rPr>
      </w:pPr>
    </w:p>
    <w:p w:rsidR="00337717" w:rsidRPr="002758E7" w:rsidRDefault="00337717"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xml:space="preserve">Sin costas en esta sede. </w:t>
      </w:r>
    </w:p>
    <w:p w:rsidR="00337717" w:rsidRPr="002758E7" w:rsidRDefault="00337717" w:rsidP="00625077">
      <w:pPr>
        <w:spacing w:after="0"/>
        <w:jc w:val="both"/>
        <w:textAlignment w:val="baseline"/>
        <w:rPr>
          <w:rFonts w:ascii="Arial" w:eastAsia="Times New Roman" w:hAnsi="Arial" w:cs="Arial"/>
          <w:spacing w:val="-4"/>
          <w:sz w:val="24"/>
          <w:szCs w:val="24"/>
          <w:lang w:eastAsia="es-CO"/>
        </w:rPr>
      </w:pP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En mérito de lo expuesto, la </w:t>
      </w:r>
      <w:r w:rsidRPr="002758E7">
        <w:rPr>
          <w:rFonts w:ascii="Arial" w:eastAsia="Times New Roman" w:hAnsi="Arial" w:cs="Arial"/>
          <w:b/>
          <w:bCs/>
          <w:spacing w:val="-4"/>
          <w:sz w:val="24"/>
          <w:szCs w:val="24"/>
          <w:lang w:eastAsia="es-CO"/>
        </w:rPr>
        <w:t>Sala de Decisión Laboral del Tribunal Superior de Pereira</w:t>
      </w:r>
      <w:r w:rsidRPr="002758E7">
        <w:rPr>
          <w:rFonts w:ascii="Arial" w:eastAsia="Times New Roman" w:hAnsi="Arial" w:cs="Arial"/>
          <w:spacing w:val="-4"/>
          <w:sz w:val="24"/>
          <w:szCs w:val="24"/>
          <w:lang w:eastAsia="es-CO"/>
        </w:rPr>
        <w:t>, administrando justicia en nombre de la República y por autoridad de la ley, </w:t>
      </w:r>
    </w:p>
    <w:p w:rsidR="000326F3" w:rsidRPr="002758E7" w:rsidRDefault="000326F3" w:rsidP="00625077">
      <w:pPr>
        <w:pStyle w:val="Sinespaciado"/>
        <w:spacing w:line="276" w:lineRule="auto"/>
        <w:rPr>
          <w:rFonts w:ascii="Arial" w:hAnsi="Arial" w:cs="Arial"/>
          <w:spacing w:val="-4"/>
          <w:sz w:val="24"/>
          <w:szCs w:val="24"/>
          <w:lang w:eastAsia="es-CO"/>
        </w:rPr>
      </w:pPr>
      <w:r w:rsidRPr="002758E7">
        <w:rPr>
          <w:rFonts w:ascii="Arial" w:hAnsi="Arial" w:cs="Arial"/>
          <w:spacing w:val="-4"/>
          <w:sz w:val="24"/>
          <w:szCs w:val="24"/>
          <w:lang w:eastAsia="es-CO"/>
        </w:rPr>
        <w:t> </w:t>
      </w:r>
    </w:p>
    <w:p w:rsidR="000326F3" w:rsidRPr="002758E7" w:rsidRDefault="000326F3" w:rsidP="00625077">
      <w:pPr>
        <w:spacing w:after="0"/>
        <w:jc w:val="center"/>
        <w:textAlignment w:val="baseline"/>
        <w:rPr>
          <w:rFonts w:ascii="Arial" w:eastAsia="Times New Roman" w:hAnsi="Arial" w:cs="Arial"/>
          <w:spacing w:val="-4"/>
          <w:sz w:val="24"/>
          <w:szCs w:val="24"/>
          <w:lang w:eastAsia="es-CO"/>
        </w:rPr>
      </w:pPr>
      <w:r w:rsidRPr="002758E7">
        <w:rPr>
          <w:rFonts w:ascii="Arial" w:eastAsia="Times New Roman" w:hAnsi="Arial" w:cs="Arial"/>
          <w:b/>
          <w:bCs/>
          <w:spacing w:val="-4"/>
          <w:sz w:val="24"/>
          <w:szCs w:val="24"/>
          <w:lang w:eastAsia="es-CO"/>
        </w:rPr>
        <w:t>RESUELVE</w:t>
      </w:r>
      <w:r w:rsidRPr="002758E7">
        <w:rPr>
          <w:rFonts w:ascii="Arial" w:eastAsia="Times New Roman" w:hAnsi="Arial" w:cs="Arial"/>
          <w:spacing w:val="-4"/>
          <w:sz w:val="24"/>
          <w:szCs w:val="24"/>
          <w:lang w:eastAsia="es-CO"/>
        </w:rPr>
        <w:t> </w:t>
      </w:r>
    </w:p>
    <w:p w:rsidR="000326F3" w:rsidRPr="002758E7" w:rsidRDefault="000326F3" w:rsidP="00625077">
      <w:pPr>
        <w:spacing w:after="0"/>
        <w:jc w:val="center"/>
        <w:textAlignment w:val="baseline"/>
        <w:rPr>
          <w:rFonts w:ascii="Arial" w:eastAsia="Times New Roman" w:hAnsi="Arial" w:cs="Arial"/>
          <w:spacing w:val="-4"/>
          <w:sz w:val="24"/>
          <w:szCs w:val="24"/>
          <w:lang w:eastAsia="es-CO"/>
        </w:rPr>
      </w:pPr>
      <w:r w:rsidRPr="002758E7">
        <w:rPr>
          <w:rFonts w:ascii="Arial" w:eastAsia="Times New Roman" w:hAnsi="Arial" w:cs="Arial"/>
          <w:spacing w:val="-4"/>
          <w:sz w:val="24"/>
          <w:szCs w:val="24"/>
          <w:lang w:eastAsia="es-CO"/>
        </w:rPr>
        <w:t>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r w:rsidRPr="002758E7">
        <w:rPr>
          <w:rFonts w:ascii="Arial" w:eastAsia="Times New Roman" w:hAnsi="Arial" w:cs="Arial"/>
          <w:b/>
          <w:bCs/>
          <w:spacing w:val="-4"/>
          <w:sz w:val="24"/>
          <w:szCs w:val="24"/>
          <w:lang w:eastAsia="es-CO"/>
        </w:rPr>
        <w:t>PRIMERO. </w:t>
      </w:r>
      <w:r w:rsidR="00337717" w:rsidRPr="002758E7">
        <w:rPr>
          <w:rFonts w:ascii="Arial" w:eastAsia="Times New Roman" w:hAnsi="Arial" w:cs="Arial"/>
          <w:b/>
          <w:bCs/>
          <w:spacing w:val="-4"/>
          <w:sz w:val="24"/>
          <w:szCs w:val="24"/>
          <w:lang w:eastAsia="es-CO"/>
        </w:rPr>
        <w:t xml:space="preserve">CONFIRMAR </w:t>
      </w:r>
      <w:r w:rsidR="00337717" w:rsidRPr="002758E7">
        <w:rPr>
          <w:rFonts w:ascii="Arial" w:eastAsia="Times New Roman" w:hAnsi="Arial" w:cs="Arial"/>
          <w:spacing w:val="-4"/>
          <w:sz w:val="24"/>
          <w:szCs w:val="24"/>
          <w:lang w:eastAsia="es-CO"/>
        </w:rPr>
        <w:t xml:space="preserve">la sentencia que por consulta se ha conocido. </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p>
    <w:p w:rsidR="000326F3" w:rsidRPr="002758E7" w:rsidRDefault="000326F3" w:rsidP="00625077">
      <w:pPr>
        <w:spacing w:after="0"/>
        <w:jc w:val="both"/>
        <w:textAlignment w:val="baseline"/>
        <w:rPr>
          <w:rFonts w:ascii="Arial" w:hAnsi="Arial" w:cs="Arial"/>
          <w:spacing w:val="-4"/>
          <w:sz w:val="24"/>
          <w:szCs w:val="24"/>
        </w:rPr>
      </w:pPr>
      <w:r w:rsidRPr="002758E7">
        <w:rPr>
          <w:rFonts w:ascii="Arial" w:eastAsia="Times New Roman" w:hAnsi="Arial" w:cs="Arial"/>
          <w:b/>
          <w:bCs/>
          <w:spacing w:val="-4"/>
          <w:sz w:val="24"/>
          <w:szCs w:val="24"/>
          <w:lang w:eastAsia="es-CO"/>
        </w:rPr>
        <w:t xml:space="preserve">SEGUNDO. </w:t>
      </w:r>
      <w:r w:rsidRPr="002758E7">
        <w:rPr>
          <w:rFonts w:ascii="Arial" w:eastAsia="Times New Roman" w:hAnsi="Arial" w:cs="Arial"/>
          <w:spacing w:val="-4"/>
          <w:sz w:val="24"/>
          <w:szCs w:val="24"/>
          <w:lang w:eastAsia="es-CO"/>
        </w:rPr>
        <w:t>Sin costas en esta instancia</w:t>
      </w:r>
      <w:r w:rsidRPr="002758E7">
        <w:rPr>
          <w:rFonts w:ascii="Arial" w:eastAsia="Times New Roman" w:hAnsi="Arial" w:cs="Arial"/>
          <w:b/>
          <w:bCs/>
          <w:spacing w:val="-4"/>
          <w:sz w:val="24"/>
          <w:szCs w:val="24"/>
          <w:lang w:eastAsia="es-CO"/>
        </w:rPr>
        <w:t>.</w:t>
      </w:r>
    </w:p>
    <w:p w:rsidR="000326F3" w:rsidRPr="002758E7" w:rsidRDefault="000326F3" w:rsidP="00625077">
      <w:pPr>
        <w:spacing w:after="0"/>
        <w:jc w:val="both"/>
        <w:textAlignment w:val="baseline"/>
        <w:rPr>
          <w:rFonts w:ascii="Arial" w:eastAsia="Times New Roman" w:hAnsi="Arial" w:cs="Arial"/>
          <w:spacing w:val="-4"/>
          <w:sz w:val="24"/>
          <w:szCs w:val="24"/>
          <w:lang w:eastAsia="es-CO"/>
        </w:rPr>
      </w:pPr>
    </w:p>
    <w:p w:rsidR="00A6742F" w:rsidRPr="002758E7" w:rsidRDefault="00A6742F" w:rsidP="00625077">
      <w:pPr>
        <w:widowControl w:val="0"/>
        <w:autoSpaceDE w:val="0"/>
        <w:autoSpaceDN w:val="0"/>
        <w:adjustRightInd w:val="0"/>
        <w:spacing w:after="0"/>
        <w:jc w:val="both"/>
        <w:rPr>
          <w:rFonts w:ascii="Arial" w:hAnsi="Arial" w:cs="Arial"/>
          <w:spacing w:val="-4"/>
          <w:sz w:val="24"/>
          <w:szCs w:val="24"/>
        </w:rPr>
      </w:pPr>
      <w:r w:rsidRPr="002758E7">
        <w:rPr>
          <w:rFonts w:ascii="Arial" w:hAnsi="Arial" w:cs="Arial"/>
          <w:spacing w:val="-4"/>
          <w:sz w:val="24"/>
          <w:szCs w:val="24"/>
        </w:rPr>
        <w:t>Notifíquese por estado y a los correos electrónicos de los apoderados de las partes.</w:t>
      </w:r>
    </w:p>
    <w:p w:rsidR="00A6742F" w:rsidRPr="002758E7" w:rsidRDefault="00A6742F" w:rsidP="00625077">
      <w:pPr>
        <w:widowControl w:val="0"/>
        <w:autoSpaceDE w:val="0"/>
        <w:autoSpaceDN w:val="0"/>
        <w:adjustRightInd w:val="0"/>
        <w:spacing w:after="0"/>
        <w:jc w:val="both"/>
        <w:rPr>
          <w:rFonts w:ascii="Arial" w:hAnsi="Arial" w:cs="Arial"/>
          <w:spacing w:val="-4"/>
          <w:sz w:val="24"/>
          <w:szCs w:val="24"/>
        </w:rPr>
      </w:pPr>
    </w:p>
    <w:p w:rsidR="00625077" w:rsidRPr="002758E7" w:rsidRDefault="00625077" w:rsidP="00625077">
      <w:pPr>
        <w:widowControl w:val="0"/>
        <w:autoSpaceDE w:val="0"/>
        <w:autoSpaceDN w:val="0"/>
        <w:adjustRightInd w:val="0"/>
        <w:spacing w:after="0"/>
        <w:jc w:val="both"/>
        <w:rPr>
          <w:rFonts w:ascii="Arial" w:hAnsi="Arial" w:cs="Arial"/>
          <w:spacing w:val="-4"/>
          <w:sz w:val="24"/>
          <w:szCs w:val="24"/>
        </w:rPr>
      </w:pPr>
      <w:r w:rsidRPr="002758E7">
        <w:rPr>
          <w:rFonts w:ascii="Arial" w:hAnsi="Arial" w:cs="Arial"/>
          <w:spacing w:val="-4"/>
          <w:sz w:val="24"/>
          <w:szCs w:val="24"/>
        </w:rPr>
        <w:t>Quienes integran la Sala,</w:t>
      </w:r>
    </w:p>
    <w:p w:rsidR="00625077" w:rsidRPr="00625077" w:rsidRDefault="00625077" w:rsidP="00625077">
      <w:pPr>
        <w:widowControl w:val="0"/>
        <w:autoSpaceDE w:val="0"/>
        <w:autoSpaceDN w:val="0"/>
        <w:adjustRightInd w:val="0"/>
        <w:spacing w:after="0"/>
        <w:rPr>
          <w:rFonts w:ascii="Arial" w:hAnsi="Arial" w:cs="Arial"/>
          <w:b/>
          <w:sz w:val="24"/>
          <w:szCs w:val="24"/>
        </w:rPr>
      </w:pPr>
    </w:p>
    <w:p w:rsidR="00625077" w:rsidRPr="00625077" w:rsidRDefault="00625077" w:rsidP="00625077">
      <w:pPr>
        <w:widowControl w:val="0"/>
        <w:autoSpaceDE w:val="0"/>
        <w:autoSpaceDN w:val="0"/>
        <w:adjustRightInd w:val="0"/>
        <w:spacing w:after="0"/>
        <w:rPr>
          <w:rFonts w:ascii="Arial" w:hAnsi="Arial" w:cs="Arial"/>
          <w:b/>
          <w:sz w:val="24"/>
          <w:szCs w:val="24"/>
        </w:rPr>
      </w:pPr>
    </w:p>
    <w:p w:rsidR="00625077" w:rsidRPr="00625077" w:rsidRDefault="00625077" w:rsidP="00625077">
      <w:pPr>
        <w:widowControl w:val="0"/>
        <w:autoSpaceDE w:val="0"/>
        <w:autoSpaceDN w:val="0"/>
        <w:adjustRightInd w:val="0"/>
        <w:spacing w:after="0"/>
        <w:rPr>
          <w:rFonts w:ascii="Arial" w:hAnsi="Arial" w:cs="Arial"/>
          <w:b/>
          <w:sz w:val="24"/>
          <w:szCs w:val="24"/>
        </w:rPr>
      </w:pPr>
    </w:p>
    <w:p w:rsidR="00625077" w:rsidRPr="00625077" w:rsidRDefault="00625077" w:rsidP="00625077">
      <w:pPr>
        <w:widowControl w:val="0"/>
        <w:autoSpaceDE w:val="0"/>
        <w:autoSpaceDN w:val="0"/>
        <w:adjustRightInd w:val="0"/>
        <w:spacing w:after="0"/>
        <w:jc w:val="center"/>
        <w:rPr>
          <w:rFonts w:ascii="Arial" w:hAnsi="Arial" w:cs="Arial"/>
          <w:b/>
          <w:bCs/>
          <w:sz w:val="24"/>
          <w:szCs w:val="24"/>
        </w:rPr>
      </w:pPr>
      <w:r w:rsidRPr="00625077">
        <w:rPr>
          <w:rFonts w:ascii="Arial" w:hAnsi="Arial" w:cs="Arial"/>
          <w:b/>
          <w:bCs/>
          <w:sz w:val="24"/>
          <w:szCs w:val="24"/>
        </w:rPr>
        <w:t>JULIO CÉSAR SALAZAR MUÑOZ</w:t>
      </w:r>
    </w:p>
    <w:p w:rsidR="00625077" w:rsidRPr="00625077" w:rsidRDefault="00625077" w:rsidP="00625077">
      <w:pPr>
        <w:widowControl w:val="0"/>
        <w:autoSpaceDE w:val="0"/>
        <w:autoSpaceDN w:val="0"/>
        <w:adjustRightInd w:val="0"/>
        <w:spacing w:after="0"/>
        <w:jc w:val="center"/>
        <w:rPr>
          <w:rFonts w:ascii="Arial" w:hAnsi="Arial" w:cs="Arial"/>
          <w:sz w:val="24"/>
          <w:szCs w:val="24"/>
        </w:rPr>
      </w:pPr>
      <w:r w:rsidRPr="00625077">
        <w:rPr>
          <w:rFonts w:ascii="Arial" w:hAnsi="Arial" w:cs="Arial"/>
          <w:sz w:val="24"/>
          <w:szCs w:val="24"/>
        </w:rPr>
        <w:t>Magistrado Ponente</w:t>
      </w:r>
    </w:p>
    <w:p w:rsidR="00625077" w:rsidRPr="00625077" w:rsidRDefault="00625077" w:rsidP="00625077">
      <w:pPr>
        <w:widowControl w:val="0"/>
        <w:autoSpaceDE w:val="0"/>
        <w:autoSpaceDN w:val="0"/>
        <w:adjustRightInd w:val="0"/>
        <w:spacing w:after="0"/>
        <w:rPr>
          <w:rFonts w:ascii="Arial" w:hAnsi="Arial" w:cs="Arial"/>
          <w:sz w:val="24"/>
          <w:szCs w:val="24"/>
        </w:rPr>
      </w:pPr>
    </w:p>
    <w:p w:rsidR="00625077" w:rsidRPr="00625077" w:rsidRDefault="00625077" w:rsidP="00625077">
      <w:pPr>
        <w:widowControl w:val="0"/>
        <w:autoSpaceDE w:val="0"/>
        <w:autoSpaceDN w:val="0"/>
        <w:adjustRightInd w:val="0"/>
        <w:spacing w:after="0"/>
        <w:rPr>
          <w:rFonts w:ascii="Arial" w:hAnsi="Arial" w:cs="Arial"/>
          <w:sz w:val="24"/>
          <w:szCs w:val="24"/>
        </w:rPr>
      </w:pPr>
    </w:p>
    <w:p w:rsidR="00625077" w:rsidRPr="00625077" w:rsidRDefault="00625077" w:rsidP="00625077">
      <w:pPr>
        <w:widowControl w:val="0"/>
        <w:autoSpaceDE w:val="0"/>
        <w:autoSpaceDN w:val="0"/>
        <w:adjustRightInd w:val="0"/>
        <w:spacing w:after="0"/>
        <w:rPr>
          <w:rFonts w:ascii="Arial" w:hAnsi="Arial" w:cs="Arial"/>
          <w:sz w:val="24"/>
          <w:szCs w:val="24"/>
        </w:rPr>
      </w:pPr>
    </w:p>
    <w:p w:rsidR="00625077" w:rsidRPr="00625077" w:rsidRDefault="00625077" w:rsidP="00625077">
      <w:pPr>
        <w:widowControl w:val="0"/>
        <w:autoSpaceDE w:val="0"/>
        <w:autoSpaceDN w:val="0"/>
        <w:adjustRightInd w:val="0"/>
        <w:spacing w:after="0"/>
        <w:jc w:val="center"/>
        <w:rPr>
          <w:rFonts w:ascii="Arial" w:hAnsi="Arial" w:cs="Arial"/>
          <w:sz w:val="24"/>
          <w:szCs w:val="24"/>
        </w:rPr>
      </w:pPr>
      <w:r w:rsidRPr="00625077">
        <w:rPr>
          <w:rFonts w:ascii="Arial" w:hAnsi="Arial" w:cs="Arial"/>
          <w:b/>
          <w:bCs/>
          <w:sz w:val="24"/>
          <w:szCs w:val="24"/>
        </w:rPr>
        <w:t xml:space="preserve">ANA LUCÍA CAICEDO CALDERON </w:t>
      </w:r>
    </w:p>
    <w:p w:rsidR="00625077" w:rsidRPr="00625077" w:rsidRDefault="00625077" w:rsidP="00625077">
      <w:pPr>
        <w:spacing w:after="0"/>
        <w:jc w:val="center"/>
        <w:rPr>
          <w:rFonts w:ascii="Arial" w:hAnsi="Arial" w:cs="Arial"/>
          <w:bCs/>
          <w:sz w:val="24"/>
          <w:szCs w:val="24"/>
        </w:rPr>
      </w:pPr>
      <w:r w:rsidRPr="00625077">
        <w:rPr>
          <w:rFonts w:ascii="Arial" w:hAnsi="Arial" w:cs="Arial"/>
          <w:bCs/>
          <w:sz w:val="24"/>
          <w:szCs w:val="24"/>
        </w:rPr>
        <w:t>Magistrada</w:t>
      </w:r>
    </w:p>
    <w:p w:rsidR="00625077" w:rsidRPr="00625077" w:rsidRDefault="00625077" w:rsidP="00625077">
      <w:pPr>
        <w:spacing w:after="0"/>
        <w:jc w:val="both"/>
        <w:rPr>
          <w:rFonts w:ascii="Arial" w:hAnsi="Arial" w:cs="Arial"/>
          <w:bCs/>
          <w:sz w:val="24"/>
          <w:szCs w:val="24"/>
        </w:rPr>
      </w:pPr>
    </w:p>
    <w:p w:rsidR="00625077" w:rsidRPr="00625077" w:rsidRDefault="00625077" w:rsidP="00625077">
      <w:pPr>
        <w:spacing w:after="0"/>
        <w:jc w:val="both"/>
        <w:rPr>
          <w:rFonts w:ascii="Arial" w:hAnsi="Arial" w:cs="Arial"/>
          <w:bCs/>
          <w:sz w:val="24"/>
          <w:szCs w:val="24"/>
        </w:rPr>
      </w:pPr>
    </w:p>
    <w:p w:rsidR="00625077" w:rsidRPr="00625077" w:rsidRDefault="00625077" w:rsidP="00625077">
      <w:pPr>
        <w:spacing w:after="0"/>
        <w:jc w:val="both"/>
        <w:rPr>
          <w:rFonts w:ascii="Arial" w:hAnsi="Arial" w:cs="Arial"/>
          <w:bCs/>
          <w:sz w:val="24"/>
          <w:szCs w:val="24"/>
        </w:rPr>
      </w:pPr>
    </w:p>
    <w:p w:rsidR="00625077" w:rsidRPr="00625077" w:rsidRDefault="00625077" w:rsidP="00625077">
      <w:pPr>
        <w:spacing w:after="0"/>
        <w:jc w:val="center"/>
        <w:rPr>
          <w:rFonts w:ascii="Arial" w:hAnsi="Arial" w:cs="Arial"/>
          <w:b/>
          <w:bCs/>
          <w:sz w:val="24"/>
          <w:szCs w:val="24"/>
        </w:rPr>
      </w:pPr>
      <w:r w:rsidRPr="00625077">
        <w:rPr>
          <w:rFonts w:ascii="Arial" w:hAnsi="Arial" w:cs="Arial"/>
          <w:b/>
          <w:bCs/>
          <w:sz w:val="24"/>
          <w:szCs w:val="24"/>
        </w:rPr>
        <w:t>GERMÁN DARÍO GÓEZ VINASCO</w:t>
      </w:r>
    </w:p>
    <w:p w:rsidR="000326F3" w:rsidRPr="00625077" w:rsidRDefault="00625077" w:rsidP="00625077">
      <w:pPr>
        <w:spacing w:after="0"/>
        <w:jc w:val="center"/>
        <w:textAlignment w:val="baseline"/>
        <w:rPr>
          <w:rFonts w:ascii="Arial" w:eastAsia="Times New Roman" w:hAnsi="Arial" w:cs="Arial"/>
          <w:b/>
          <w:spacing w:val="-2"/>
          <w:sz w:val="24"/>
          <w:szCs w:val="24"/>
          <w:lang w:eastAsia="es-ES"/>
        </w:rPr>
      </w:pPr>
      <w:r w:rsidRPr="00625077">
        <w:rPr>
          <w:rFonts w:ascii="Arial" w:eastAsia="Times New Roman" w:hAnsi="Arial" w:cs="Arial"/>
          <w:bCs/>
          <w:sz w:val="24"/>
          <w:szCs w:val="24"/>
          <w:lang w:val="es-ES_tradnl"/>
        </w:rPr>
        <w:t>Magistrado</w:t>
      </w:r>
    </w:p>
    <w:sectPr w:rsidR="000326F3" w:rsidRPr="00625077" w:rsidSect="002758E7">
      <w:headerReference w:type="default" r:id="rId11"/>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A227F5" w16cex:dateUtc="2022-06-28T15:28:07.084Z"/>
  <w16cex:commentExtensible w16cex:durableId="0A961F23" w16cex:dateUtc="2022-07-05T15:07:5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9F6" w:rsidRDefault="00AC59F6" w:rsidP="00A6742F">
      <w:pPr>
        <w:spacing w:after="0" w:line="240" w:lineRule="auto"/>
      </w:pPr>
      <w:r>
        <w:separator/>
      </w:r>
    </w:p>
  </w:endnote>
  <w:endnote w:type="continuationSeparator" w:id="0">
    <w:p w:rsidR="00AC59F6" w:rsidRDefault="00AC59F6" w:rsidP="00A6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9F6" w:rsidRDefault="00AC59F6" w:rsidP="00A6742F">
      <w:pPr>
        <w:spacing w:after="0" w:line="240" w:lineRule="auto"/>
      </w:pPr>
      <w:r>
        <w:separator/>
      </w:r>
    </w:p>
  </w:footnote>
  <w:footnote w:type="continuationSeparator" w:id="0">
    <w:p w:rsidR="00AC59F6" w:rsidRDefault="00AC59F6" w:rsidP="00A6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83" w:rsidRPr="00AF2783" w:rsidRDefault="00A6742F" w:rsidP="00AF2783">
    <w:pPr>
      <w:spacing w:after="0" w:line="240" w:lineRule="auto"/>
      <w:jc w:val="center"/>
      <w:textAlignment w:val="baseline"/>
      <w:rPr>
        <w:rFonts w:ascii="Arial" w:eastAsia="Times New Roman" w:hAnsi="Arial" w:cs="Arial"/>
        <w:sz w:val="18"/>
        <w:szCs w:val="14"/>
        <w:lang w:eastAsia="es-CO"/>
      </w:rPr>
    </w:pPr>
    <w:proofErr w:type="spellStart"/>
    <w:r w:rsidRPr="00AF2783">
      <w:rPr>
        <w:rFonts w:ascii="Arial" w:eastAsia="Times New Roman" w:hAnsi="Arial" w:cs="Arial"/>
        <w:sz w:val="18"/>
        <w:szCs w:val="14"/>
        <w:lang w:eastAsia="es-CO"/>
      </w:rPr>
      <w:t>Dumbardo</w:t>
    </w:r>
    <w:proofErr w:type="spellEnd"/>
    <w:r w:rsidRPr="00AF2783">
      <w:rPr>
        <w:rFonts w:ascii="Arial" w:eastAsia="Times New Roman" w:hAnsi="Arial" w:cs="Arial"/>
        <w:sz w:val="18"/>
        <w:szCs w:val="14"/>
        <w:lang w:eastAsia="es-CO"/>
      </w:rPr>
      <w:t xml:space="preserve"> Santa Torres Vs Colpensiones y otro</w:t>
    </w:r>
  </w:p>
  <w:p w:rsidR="00A6742F" w:rsidRPr="00AF2783" w:rsidRDefault="00AF2783" w:rsidP="00AF2783">
    <w:pPr>
      <w:spacing w:after="0" w:line="240" w:lineRule="auto"/>
      <w:jc w:val="center"/>
      <w:textAlignment w:val="baseline"/>
      <w:rPr>
        <w:rFonts w:ascii="Arial" w:eastAsia="Times New Roman" w:hAnsi="Arial" w:cs="Arial"/>
        <w:sz w:val="18"/>
        <w:szCs w:val="14"/>
        <w:lang w:eastAsia="es-CO"/>
      </w:rPr>
    </w:pPr>
    <w:r w:rsidRPr="00AF2783">
      <w:rPr>
        <w:rFonts w:ascii="Arial" w:eastAsia="Times New Roman" w:hAnsi="Arial" w:cs="Arial"/>
        <w:sz w:val="18"/>
        <w:szCs w:val="14"/>
        <w:lang w:eastAsia="es-CO"/>
      </w:rPr>
      <w:t xml:space="preserve">Rad. </w:t>
    </w:r>
    <w:r w:rsidR="00A6742F" w:rsidRPr="00AF2783">
      <w:rPr>
        <w:rFonts w:ascii="Arial" w:eastAsia="Times New Roman" w:hAnsi="Arial" w:cs="Arial"/>
        <w:sz w:val="18"/>
        <w:szCs w:val="14"/>
        <w:lang w:eastAsia="es-CO"/>
      </w:rPr>
      <w:t>66001310500220180070101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50249B"/>
    <w:multiLevelType w:val="hybridMultilevel"/>
    <w:tmpl w:val="6FBCF1E6"/>
    <w:lvl w:ilvl="0" w:tplc="DE8AFB9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4F4667"/>
    <w:multiLevelType w:val="hybridMultilevel"/>
    <w:tmpl w:val="ECB222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07C2B"/>
    <w:multiLevelType w:val="hybridMultilevel"/>
    <w:tmpl w:val="B52CDC0A"/>
    <w:lvl w:ilvl="0" w:tplc="160294EC">
      <w:start w:val="1"/>
      <w:numFmt w:val="decimal"/>
      <w:lvlText w:val="%1."/>
      <w:lvlJc w:val="left"/>
      <w:pPr>
        <w:ind w:left="4909" w:hanging="372"/>
      </w:pPr>
      <w:rPr>
        <w:rFonts w:hint="default"/>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abstractNum w:abstractNumId="4" w15:restartNumberingAfterBreak="0">
    <w:nsid w:val="70EE2185"/>
    <w:multiLevelType w:val="hybridMultilevel"/>
    <w:tmpl w:val="7174EDFA"/>
    <w:lvl w:ilvl="0" w:tplc="BCCA2B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6F3"/>
    <w:rsid w:val="00011469"/>
    <w:rsid w:val="00011865"/>
    <w:rsid w:val="000326F3"/>
    <w:rsid w:val="0004459E"/>
    <w:rsid w:val="00065364"/>
    <w:rsid w:val="00081FB2"/>
    <w:rsid w:val="00095760"/>
    <w:rsid w:val="000B34AD"/>
    <w:rsid w:val="000C2FCF"/>
    <w:rsid w:val="000F092D"/>
    <w:rsid w:val="001076B2"/>
    <w:rsid w:val="00121E23"/>
    <w:rsid w:val="00182DAB"/>
    <w:rsid w:val="001956B2"/>
    <w:rsid w:val="001C0D40"/>
    <w:rsid w:val="001C25B8"/>
    <w:rsid w:val="001F32FD"/>
    <w:rsid w:val="002519E5"/>
    <w:rsid w:val="002577FF"/>
    <w:rsid w:val="002736DB"/>
    <w:rsid w:val="002758E7"/>
    <w:rsid w:val="0028773F"/>
    <w:rsid w:val="002A1BED"/>
    <w:rsid w:val="002A46C7"/>
    <w:rsid w:val="002B1599"/>
    <w:rsid w:val="002B3625"/>
    <w:rsid w:val="002D36FA"/>
    <w:rsid w:val="002E2063"/>
    <w:rsid w:val="002F26DB"/>
    <w:rsid w:val="002F55A5"/>
    <w:rsid w:val="002F6B8E"/>
    <w:rsid w:val="00315F69"/>
    <w:rsid w:val="00322057"/>
    <w:rsid w:val="00322CD9"/>
    <w:rsid w:val="00325CE0"/>
    <w:rsid w:val="00337717"/>
    <w:rsid w:val="00351F34"/>
    <w:rsid w:val="00363E0F"/>
    <w:rsid w:val="003771D0"/>
    <w:rsid w:val="003906AE"/>
    <w:rsid w:val="003979E8"/>
    <w:rsid w:val="003A0540"/>
    <w:rsid w:val="003A60E6"/>
    <w:rsid w:val="003B12CD"/>
    <w:rsid w:val="003D0052"/>
    <w:rsid w:val="003D060F"/>
    <w:rsid w:val="003D472B"/>
    <w:rsid w:val="003E5C2B"/>
    <w:rsid w:val="003E655A"/>
    <w:rsid w:val="0041269F"/>
    <w:rsid w:val="00444146"/>
    <w:rsid w:val="0045197B"/>
    <w:rsid w:val="00496093"/>
    <w:rsid w:val="004C3855"/>
    <w:rsid w:val="00504243"/>
    <w:rsid w:val="005101AD"/>
    <w:rsid w:val="005343EA"/>
    <w:rsid w:val="00535AAB"/>
    <w:rsid w:val="005456C1"/>
    <w:rsid w:val="00545945"/>
    <w:rsid w:val="00560E11"/>
    <w:rsid w:val="00597E89"/>
    <w:rsid w:val="005A1D77"/>
    <w:rsid w:val="005A4A34"/>
    <w:rsid w:val="005C1F78"/>
    <w:rsid w:val="005C28E3"/>
    <w:rsid w:val="005C3875"/>
    <w:rsid w:val="005E7D47"/>
    <w:rsid w:val="005F4E7A"/>
    <w:rsid w:val="005F72DB"/>
    <w:rsid w:val="00610CE7"/>
    <w:rsid w:val="00611E28"/>
    <w:rsid w:val="00614C75"/>
    <w:rsid w:val="006228D8"/>
    <w:rsid w:val="00625077"/>
    <w:rsid w:val="006A42A6"/>
    <w:rsid w:val="006C06F7"/>
    <w:rsid w:val="006D39FA"/>
    <w:rsid w:val="006E7C46"/>
    <w:rsid w:val="0070077B"/>
    <w:rsid w:val="00713E37"/>
    <w:rsid w:val="00732B21"/>
    <w:rsid w:val="00763C1B"/>
    <w:rsid w:val="007948A0"/>
    <w:rsid w:val="007B2942"/>
    <w:rsid w:val="007C3092"/>
    <w:rsid w:val="007E7B55"/>
    <w:rsid w:val="00832901"/>
    <w:rsid w:val="0083755E"/>
    <w:rsid w:val="00841EE8"/>
    <w:rsid w:val="00843DDB"/>
    <w:rsid w:val="00857686"/>
    <w:rsid w:val="008954A7"/>
    <w:rsid w:val="008B17D2"/>
    <w:rsid w:val="008B424D"/>
    <w:rsid w:val="008B6512"/>
    <w:rsid w:val="008C5549"/>
    <w:rsid w:val="008C70A8"/>
    <w:rsid w:val="008D0DC7"/>
    <w:rsid w:val="00904EAB"/>
    <w:rsid w:val="00921E16"/>
    <w:rsid w:val="009260CB"/>
    <w:rsid w:val="009331BE"/>
    <w:rsid w:val="00953271"/>
    <w:rsid w:val="0095764F"/>
    <w:rsid w:val="0098446B"/>
    <w:rsid w:val="009852DA"/>
    <w:rsid w:val="00986D0D"/>
    <w:rsid w:val="00991038"/>
    <w:rsid w:val="0099150E"/>
    <w:rsid w:val="00991C39"/>
    <w:rsid w:val="009A025D"/>
    <w:rsid w:val="009A3261"/>
    <w:rsid w:val="009A4FCD"/>
    <w:rsid w:val="009A6B2E"/>
    <w:rsid w:val="009B76DA"/>
    <w:rsid w:val="009D27CD"/>
    <w:rsid w:val="00A23A1C"/>
    <w:rsid w:val="00A346D1"/>
    <w:rsid w:val="00A52FE8"/>
    <w:rsid w:val="00A57D57"/>
    <w:rsid w:val="00A6742F"/>
    <w:rsid w:val="00A72465"/>
    <w:rsid w:val="00A75501"/>
    <w:rsid w:val="00A86DAF"/>
    <w:rsid w:val="00AA1A9E"/>
    <w:rsid w:val="00AA379B"/>
    <w:rsid w:val="00AC59F6"/>
    <w:rsid w:val="00AE519F"/>
    <w:rsid w:val="00AE79C9"/>
    <w:rsid w:val="00AF2783"/>
    <w:rsid w:val="00B203CE"/>
    <w:rsid w:val="00B51FF3"/>
    <w:rsid w:val="00B548E8"/>
    <w:rsid w:val="00B75E57"/>
    <w:rsid w:val="00B770D2"/>
    <w:rsid w:val="00BD72E2"/>
    <w:rsid w:val="00BD7DCA"/>
    <w:rsid w:val="00BF6F25"/>
    <w:rsid w:val="00C04C54"/>
    <w:rsid w:val="00C07AED"/>
    <w:rsid w:val="00C13188"/>
    <w:rsid w:val="00C161C3"/>
    <w:rsid w:val="00C22B53"/>
    <w:rsid w:val="00C257E7"/>
    <w:rsid w:val="00C41C60"/>
    <w:rsid w:val="00C43A39"/>
    <w:rsid w:val="00C507DD"/>
    <w:rsid w:val="00CB7ABF"/>
    <w:rsid w:val="00CD2892"/>
    <w:rsid w:val="00CE79E1"/>
    <w:rsid w:val="00D1573B"/>
    <w:rsid w:val="00D44671"/>
    <w:rsid w:val="00D633D1"/>
    <w:rsid w:val="00D9144E"/>
    <w:rsid w:val="00DC06C0"/>
    <w:rsid w:val="00DC2EE7"/>
    <w:rsid w:val="00DD21F6"/>
    <w:rsid w:val="00DE4DE4"/>
    <w:rsid w:val="00DF4A13"/>
    <w:rsid w:val="00E057A0"/>
    <w:rsid w:val="00E15ED6"/>
    <w:rsid w:val="00E26658"/>
    <w:rsid w:val="00E66554"/>
    <w:rsid w:val="00E87C37"/>
    <w:rsid w:val="00EA3988"/>
    <w:rsid w:val="00ED513E"/>
    <w:rsid w:val="00EF6268"/>
    <w:rsid w:val="00F16E35"/>
    <w:rsid w:val="00F1745D"/>
    <w:rsid w:val="00F33E7B"/>
    <w:rsid w:val="00F725EF"/>
    <w:rsid w:val="00F9279A"/>
    <w:rsid w:val="00FC0256"/>
    <w:rsid w:val="00FC1D27"/>
    <w:rsid w:val="00FD03C0"/>
    <w:rsid w:val="00FD59C4"/>
    <w:rsid w:val="0A2AC5BB"/>
    <w:rsid w:val="0ADAC0AF"/>
    <w:rsid w:val="0F7F342F"/>
    <w:rsid w:val="0FAE31D2"/>
    <w:rsid w:val="26F0A99E"/>
    <w:rsid w:val="2BE1A2D9"/>
    <w:rsid w:val="30DB53E3"/>
    <w:rsid w:val="34DF6283"/>
    <w:rsid w:val="34FD367B"/>
    <w:rsid w:val="378C2A74"/>
    <w:rsid w:val="46FA40D0"/>
    <w:rsid w:val="47293E73"/>
    <w:rsid w:val="4CACAA8A"/>
    <w:rsid w:val="4D987FF7"/>
    <w:rsid w:val="4EEC2938"/>
    <w:rsid w:val="4F94D721"/>
    <w:rsid w:val="5A8586E2"/>
    <w:rsid w:val="68EF2B59"/>
    <w:rsid w:val="70FD8D9B"/>
    <w:rsid w:val="7A9F2746"/>
    <w:rsid w:val="7D21A3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AD26"/>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6F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26F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0326F3"/>
  </w:style>
  <w:style w:type="paragraph" w:customStyle="1" w:styleId="paragraph">
    <w:name w:val="paragraph"/>
    <w:basedOn w:val="Normal"/>
    <w:rsid w:val="000326F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0326F3"/>
  </w:style>
  <w:style w:type="paragraph" w:styleId="Prrafodelista">
    <w:name w:val="List Paragraph"/>
    <w:basedOn w:val="Normal"/>
    <w:uiPriority w:val="34"/>
    <w:qFormat/>
    <w:rsid w:val="000326F3"/>
    <w:pPr>
      <w:ind w:left="720"/>
      <w:contextualSpacing/>
    </w:pPr>
  </w:style>
  <w:style w:type="paragraph" w:styleId="Sinespaciado">
    <w:name w:val="No Spacing"/>
    <w:uiPriority w:val="1"/>
    <w:qFormat/>
    <w:rsid w:val="000326F3"/>
    <w:pPr>
      <w:spacing w:after="0" w:line="240" w:lineRule="auto"/>
    </w:pPr>
    <w:rPr>
      <w:rFonts w:ascii="Calibri" w:eastAsia="Calibri" w:hAnsi="Calibri" w:cs="Times New Roman"/>
    </w:rPr>
  </w:style>
  <w:style w:type="paragraph" w:customStyle="1" w:styleId="Style2">
    <w:name w:val="Style2"/>
    <w:basedOn w:val="Normal"/>
    <w:uiPriority w:val="99"/>
    <w:rsid w:val="00DE4DE4"/>
    <w:pPr>
      <w:widowControl w:val="0"/>
      <w:autoSpaceDE w:val="0"/>
      <w:autoSpaceDN w:val="0"/>
      <w:adjustRightInd w:val="0"/>
      <w:spacing w:after="0" w:line="412" w:lineRule="exact"/>
      <w:jc w:val="both"/>
    </w:pPr>
    <w:rPr>
      <w:rFonts w:ascii="Arial Narrow" w:eastAsia="Times New Roman" w:hAnsi="Arial Narrow"/>
      <w:sz w:val="24"/>
      <w:szCs w:val="24"/>
      <w:lang w:eastAsia="es-CO"/>
    </w:rPr>
  </w:style>
  <w:style w:type="paragraph" w:styleId="Textocomentario">
    <w:name w:val="annotation text"/>
    <w:basedOn w:val="Normal"/>
    <w:link w:val="TextocomentarioCar"/>
    <w:uiPriority w:val="99"/>
    <w:semiHidden/>
    <w:unhideWhenUsed/>
    <w:rsid w:val="00C507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07D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507DD"/>
    <w:rPr>
      <w:sz w:val="16"/>
      <w:szCs w:val="16"/>
    </w:rPr>
  </w:style>
  <w:style w:type="paragraph" w:styleId="Textodeglobo">
    <w:name w:val="Balloon Text"/>
    <w:basedOn w:val="Normal"/>
    <w:link w:val="TextodegloboCar"/>
    <w:uiPriority w:val="99"/>
    <w:semiHidden/>
    <w:unhideWhenUsed/>
    <w:rsid w:val="003A0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54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A0540"/>
    <w:rPr>
      <w:b/>
      <w:bCs/>
    </w:rPr>
  </w:style>
  <w:style w:type="character" w:customStyle="1" w:styleId="AsuntodelcomentarioCar">
    <w:name w:val="Asunto del comentario Car"/>
    <w:basedOn w:val="TextocomentarioCar"/>
    <w:link w:val="Asuntodelcomentario"/>
    <w:uiPriority w:val="99"/>
    <w:semiHidden/>
    <w:rsid w:val="003A0540"/>
    <w:rPr>
      <w:rFonts w:ascii="Calibri" w:eastAsia="Calibri" w:hAnsi="Calibri" w:cs="Times New Roman"/>
      <w:b/>
      <w:bCs/>
      <w:sz w:val="20"/>
      <w:szCs w:val="20"/>
    </w:rPr>
  </w:style>
  <w:style w:type="paragraph" w:styleId="Encabezado">
    <w:name w:val="header"/>
    <w:basedOn w:val="Normal"/>
    <w:link w:val="EncabezadoCar"/>
    <w:uiPriority w:val="99"/>
    <w:unhideWhenUsed/>
    <w:rsid w:val="00A674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742F"/>
    <w:rPr>
      <w:rFonts w:ascii="Calibri" w:eastAsia="Calibri" w:hAnsi="Calibri" w:cs="Times New Roman"/>
    </w:rPr>
  </w:style>
  <w:style w:type="paragraph" w:styleId="Piedepgina">
    <w:name w:val="footer"/>
    <w:basedOn w:val="Normal"/>
    <w:link w:val="PiedepginaCar"/>
    <w:uiPriority w:val="99"/>
    <w:unhideWhenUsed/>
    <w:rsid w:val="00A674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74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6715">
      <w:bodyDiv w:val="1"/>
      <w:marLeft w:val="0"/>
      <w:marRight w:val="0"/>
      <w:marTop w:val="0"/>
      <w:marBottom w:val="0"/>
      <w:divBdr>
        <w:top w:val="none" w:sz="0" w:space="0" w:color="auto"/>
        <w:left w:val="none" w:sz="0" w:space="0" w:color="auto"/>
        <w:bottom w:val="none" w:sz="0" w:space="0" w:color="auto"/>
        <w:right w:val="none" w:sz="0" w:space="0" w:color="auto"/>
      </w:divBdr>
      <w:divsChild>
        <w:div w:id="200636181">
          <w:marLeft w:val="0"/>
          <w:marRight w:val="0"/>
          <w:marTop w:val="0"/>
          <w:marBottom w:val="0"/>
          <w:divBdr>
            <w:top w:val="none" w:sz="0" w:space="0" w:color="auto"/>
            <w:left w:val="none" w:sz="0" w:space="0" w:color="auto"/>
            <w:bottom w:val="none" w:sz="0" w:space="0" w:color="auto"/>
            <w:right w:val="none" w:sz="0" w:space="0" w:color="auto"/>
          </w:divBdr>
        </w:div>
        <w:div w:id="2147313026">
          <w:marLeft w:val="0"/>
          <w:marRight w:val="0"/>
          <w:marTop w:val="0"/>
          <w:marBottom w:val="0"/>
          <w:divBdr>
            <w:top w:val="none" w:sz="0" w:space="0" w:color="auto"/>
            <w:left w:val="none" w:sz="0" w:space="0" w:color="auto"/>
            <w:bottom w:val="none" w:sz="0" w:space="0" w:color="auto"/>
            <w:right w:val="none" w:sz="0" w:space="0" w:color="auto"/>
          </w:divBdr>
        </w:div>
        <w:div w:id="1482774575">
          <w:marLeft w:val="0"/>
          <w:marRight w:val="0"/>
          <w:marTop w:val="0"/>
          <w:marBottom w:val="0"/>
          <w:divBdr>
            <w:top w:val="none" w:sz="0" w:space="0" w:color="auto"/>
            <w:left w:val="none" w:sz="0" w:space="0" w:color="auto"/>
            <w:bottom w:val="none" w:sz="0" w:space="0" w:color="auto"/>
            <w:right w:val="none" w:sz="0" w:space="0" w:color="auto"/>
          </w:divBdr>
        </w:div>
        <w:div w:id="834029539">
          <w:marLeft w:val="0"/>
          <w:marRight w:val="0"/>
          <w:marTop w:val="0"/>
          <w:marBottom w:val="0"/>
          <w:divBdr>
            <w:top w:val="none" w:sz="0" w:space="0" w:color="auto"/>
            <w:left w:val="none" w:sz="0" w:space="0" w:color="auto"/>
            <w:bottom w:val="none" w:sz="0" w:space="0" w:color="auto"/>
            <w:right w:val="none" w:sz="0" w:space="0" w:color="auto"/>
          </w:divBdr>
        </w:div>
        <w:div w:id="1829007585">
          <w:marLeft w:val="0"/>
          <w:marRight w:val="0"/>
          <w:marTop w:val="0"/>
          <w:marBottom w:val="0"/>
          <w:divBdr>
            <w:top w:val="none" w:sz="0" w:space="0" w:color="auto"/>
            <w:left w:val="none" w:sz="0" w:space="0" w:color="auto"/>
            <w:bottom w:val="none" w:sz="0" w:space="0" w:color="auto"/>
            <w:right w:val="none" w:sz="0" w:space="0" w:color="auto"/>
          </w:divBdr>
        </w:div>
        <w:div w:id="2119789105">
          <w:marLeft w:val="0"/>
          <w:marRight w:val="0"/>
          <w:marTop w:val="0"/>
          <w:marBottom w:val="0"/>
          <w:divBdr>
            <w:top w:val="none" w:sz="0" w:space="0" w:color="auto"/>
            <w:left w:val="none" w:sz="0" w:space="0" w:color="auto"/>
            <w:bottom w:val="none" w:sz="0" w:space="0" w:color="auto"/>
            <w:right w:val="none" w:sz="0" w:space="0" w:color="auto"/>
          </w:divBdr>
        </w:div>
        <w:div w:id="317421768">
          <w:marLeft w:val="0"/>
          <w:marRight w:val="0"/>
          <w:marTop w:val="0"/>
          <w:marBottom w:val="0"/>
          <w:divBdr>
            <w:top w:val="none" w:sz="0" w:space="0" w:color="auto"/>
            <w:left w:val="none" w:sz="0" w:space="0" w:color="auto"/>
            <w:bottom w:val="none" w:sz="0" w:space="0" w:color="auto"/>
            <w:right w:val="none" w:sz="0" w:space="0" w:color="auto"/>
          </w:divBdr>
        </w:div>
        <w:div w:id="959145071">
          <w:marLeft w:val="0"/>
          <w:marRight w:val="0"/>
          <w:marTop w:val="0"/>
          <w:marBottom w:val="0"/>
          <w:divBdr>
            <w:top w:val="none" w:sz="0" w:space="0" w:color="auto"/>
            <w:left w:val="none" w:sz="0" w:space="0" w:color="auto"/>
            <w:bottom w:val="none" w:sz="0" w:space="0" w:color="auto"/>
            <w:right w:val="none" w:sz="0" w:space="0" w:color="auto"/>
          </w:divBdr>
        </w:div>
        <w:div w:id="303967107">
          <w:marLeft w:val="0"/>
          <w:marRight w:val="0"/>
          <w:marTop w:val="0"/>
          <w:marBottom w:val="0"/>
          <w:divBdr>
            <w:top w:val="none" w:sz="0" w:space="0" w:color="auto"/>
            <w:left w:val="none" w:sz="0" w:space="0" w:color="auto"/>
            <w:bottom w:val="none" w:sz="0" w:space="0" w:color="auto"/>
            <w:right w:val="none" w:sz="0" w:space="0" w:color="auto"/>
          </w:divBdr>
        </w:div>
        <w:div w:id="1671568159">
          <w:marLeft w:val="0"/>
          <w:marRight w:val="0"/>
          <w:marTop w:val="0"/>
          <w:marBottom w:val="0"/>
          <w:divBdr>
            <w:top w:val="none" w:sz="0" w:space="0" w:color="auto"/>
            <w:left w:val="none" w:sz="0" w:space="0" w:color="auto"/>
            <w:bottom w:val="none" w:sz="0" w:space="0" w:color="auto"/>
            <w:right w:val="none" w:sz="0" w:space="0" w:color="auto"/>
          </w:divBdr>
        </w:div>
      </w:divsChild>
    </w:div>
    <w:div w:id="1968312935">
      <w:bodyDiv w:val="1"/>
      <w:marLeft w:val="0"/>
      <w:marRight w:val="0"/>
      <w:marTop w:val="0"/>
      <w:marBottom w:val="0"/>
      <w:divBdr>
        <w:top w:val="none" w:sz="0" w:space="0" w:color="auto"/>
        <w:left w:val="none" w:sz="0" w:space="0" w:color="auto"/>
        <w:bottom w:val="none" w:sz="0" w:space="0" w:color="auto"/>
        <w:right w:val="none" w:sz="0" w:space="0" w:color="auto"/>
      </w:divBdr>
    </w:div>
    <w:div w:id="21010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9dc14551182c4d3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B205-DA10-4AAD-89B0-48FA8DB77402}">
  <ds:schemaRefs>
    <ds:schemaRef ds:uri="http://schemas.microsoft.com/sharepoint/v3/contenttype/forms"/>
  </ds:schemaRefs>
</ds:datastoreItem>
</file>

<file path=customXml/itemProps2.xml><?xml version="1.0" encoding="utf-8"?>
<ds:datastoreItem xmlns:ds="http://schemas.openxmlformats.org/officeDocument/2006/customXml" ds:itemID="{1DEAC205-1ACB-4309-AAA9-2694CAEA2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2EBEA-63F4-4C69-ABF3-57853EA2951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87E0A8B6-C7EA-4725-973A-9B71D742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3310</Words>
  <Characters>18206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14</cp:revision>
  <dcterms:created xsi:type="dcterms:W3CDTF">2022-06-23T21:21:00Z</dcterms:created>
  <dcterms:modified xsi:type="dcterms:W3CDTF">2022-09-01T21:53:00Z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