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E346" w14:textId="77777777" w:rsidR="007141F3" w:rsidRPr="000915B8" w:rsidRDefault="007141F3" w:rsidP="007141F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13870904"/>
      <w:r w:rsidRPr="000915B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1FC25B" w14:textId="77777777" w:rsidR="007141F3" w:rsidRPr="000915B8" w:rsidRDefault="007141F3" w:rsidP="007141F3">
      <w:pPr>
        <w:jc w:val="both"/>
        <w:rPr>
          <w:rFonts w:ascii="Arial" w:hAnsi="Arial" w:cs="Arial"/>
          <w:lang w:val="es-419"/>
        </w:rPr>
      </w:pPr>
    </w:p>
    <w:p w14:paraId="4FC623B4" w14:textId="656281BB" w:rsidR="007141F3" w:rsidRPr="007141F3" w:rsidRDefault="007141F3" w:rsidP="00A94780">
      <w:pPr>
        <w:widowControl w:val="0"/>
        <w:autoSpaceDE w:val="0"/>
        <w:autoSpaceDN w:val="0"/>
        <w:adjustRightInd w:val="0"/>
        <w:jc w:val="both"/>
        <w:rPr>
          <w:rFonts w:ascii="Arial" w:eastAsia="Arial" w:hAnsi="Arial" w:cs="Arial"/>
          <w:color w:val="000000"/>
          <w:lang w:val="es-ES"/>
        </w:rPr>
      </w:pPr>
      <w:bookmarkStart w:id="1" w:name="_Hlk113873261"/>
      <w:r w:rsidRPr="007141F3">
        <w:rPr>
          <w:rFonts w:ascii="Arial" w:eastAsia="Arial" w:hAnsi="Arial" w:cs="Arial"/>
          <w:color w:val="000000"/>
          <w:lang w:val="es-ES"/>
        </w:rPr>
        <w:t>Providencia:</w:t>
      </w:r>
      <w:r>
        <w:rPr>
          <w:rFonts w:ascii="Arial" w:eastAsia="Arial" w:hAnsi="Arial" w:cs="Arial"/>
          <w:color w:val="000000"/>
          <w:lang w:val="es-ES"/>
        </w:rPr>
        <w:tab/>
      </w:r>
      <w:r>
        <w:rPr>
          <w:rFonts w:ascii="Arial" w:eastAsia="Arial" w:hAnsi="Arial" w:cs="Arial"/>
          <w:color w:val="000000"/>
          <w:lang w:val="es-ES"/>
        </w:rPr>
        <w:tab/>
      </w:r>
      <w:r w:rsidRPr="007141F3">
        <w:rPr>
          <w:rFonts w:ascii="Arial" w:eastAsia="Arial" w:hAnsi="Arial" w:cs="Arial"/>
          <w:color w:val="000000"/>
          <w:lang w:val="es-ES"/>
        </w:rPr>
        <w:t xml:space="preserve">Providencia del 24 de agosto de 2022 </w:t>
      </w:r>
    </w:p>
    <w:p w14:paraId="7F549E02" w14:textId="0F17C611" w:rsidR="007141F3" w:rsidRPr="007141F3" w:rsidRDefault="007141F3" w:rsidP="00A94780">
      <w:pPr>
        <w:widowControl w:val="0"/>
        <w:autoSpaceDE w:val="0"/>
        <w:autoSpaceDN w:val="0"/>
        <w:adjustRightInd w:val="0"/>
        <w:jc w:val="both"/>
        <w:rPr>
          <w:rFonts w:ascii="Arial" w:eastAsia="Arial" w:hAnsi="Arial" w:cs="Arial"/>
          <w:color w:val="000000"/>
          <w:lang w:val="es-ES"/>
        </w:rPr>
      </w:pPr>
      <w:r w:rsidRPr="007141F3">
        <w:rPr>
          <w:rFonts w:ascii="Arial" w:eastAsia="Arial" w:hAnsi="Arial" w:cs="Arial"/>
          <w:color w:val="000000"/>
          <w:lang w:val="es-ES"/>
        </w:rPr>
        <w:t>Radicación Nro.:</w:t>
      </w:r>
      <w:r w:rsidRPr="007141F3">
        <w:rPr>
          <w:rFonts w:ascii="Arial" w:eastAsia="Arial" w:hAnsi="Arial" w:cs="Arial"/>
          <w:color w:val="000000"/>
          <w:lang w:val="es-ES"/>
        </w:rPr>
        <w:tab/>
        <w:t>66001-31-05-002-2016-00529-02</w:t>
      </w:r>
    </w:p>
    <w:p w14:paraId="6C3EA8F6" w14:textId="1E163991" w:rsidR="007141F3" w:rsidRPr="007141F3" w:rsidRDefault="007141F3" w:rsidP="00A94780">
      <w:pPr>
        <w:widowControl w:val="0"/>
        <w:autoSpaceDE w:val="0"/>
        <w:autoSpaceDN w:val="0"/>
        <w:adjustRightInd w:val="0"/>
        <w:jc w:val="both"/>
        <w:rPr>
          <w:rFonts w:ascii="Arial" w:eastAsia="Arial" w:hAnsi="Arial" w:cs="Arial"/>
          <w:color w:val="000000"/>
          <w:lang w:val="es-ES"/>
        </w:rPr>
      </w:pPr>
      <w:r w:rsidRPr="007141F3">
        <w:rPr>
          <w:rFonts w:ascii="Arial" w:eastAsia="Arial" w:hAnsi="Arial" w:cs="Arial"/>
          <w:color w:val="000000"/>
          <w:lang w:val="es-ES"/>
        </w:rPr>
        <w:t>Proceso:</w:t>
      </w:r>
      <w:r w:rsidRPr="007141F3">
        <w:rPr>
          <w:rFonts w:ascii="Arial" w:eastAsia="Arial" w:hAnsi="Arial" w:cs="Arial"/>
          <w:color w:val="000000"/>
          <w:lang w:val="es-ES"/>
        </w:rPr>
        <w:tab/>
      </w:r>
      <w:r w:rsidRPr="007141F3">
        <w:rPr>
          <w:rFonts w:ascii="Arial" w:eastAsia="Arial" w:hAnsi="Arial" w:cs="Arial"/>
          <w:color w:val="000000"/>
          <w:lang w:val="es-ES"/>
        </w:rPr>
        <w:tab/>
        <w:t>Ejecutivo</w:t>
      </w:r>
    </w:p>
    <w:p w14:paraId="3AE4D77C" w14:textId="55AB3CC7" w:rsidR="007141F3" w:rsidRPr="007141F3" w:rsidRDefault="007141F3" w:rsidP="00A94780">
      <w:pPr>
        <w:widowControl w:val="0"/>
        <w:autoSpaceDE w:val="0"/>
        <w:autoSpaceDN w:val="0"/>
        <w:adjustRightInd w:val="0"/>
        <w:jc w:val="both"/>
        <w:rPr>
          <w:rFonts w:ascii="Arial" w:eastAsia="Arial" w:hAnsi="Arial" w:cs="Arial"/>
          <w:color w:val="000000"/>
          <w:lang w:val="es-ES"/>
        </w:rPr>
      </w:pPr>
      <w:r w:rsidRPr="007141F3">
        <w:rPr>
          <w:rFonts w:ascii="Arial" w:eastAsia="Arial" w:hAnsi="Arial" w:cs="Arial"/>
          <w:color w:val="000000"/>
          <w:lang w:val="es-ES"/>
        </w:rPr>
        <w:t>Demandante:</w:t>
      </w:r>
      <w:r w:rsidRPr="007141F3">
        <w:rPr>
          <w:rFonts w:ascii="Arial" w:eastAsia="Arial" w:hAnsi="Arial" w:cs="Arial"/>
          <w:color w:val="000000"/>
          <w:lang w:val="es-ES"/>
        </w:rPr>
        <w:tab/>
      </w:r>
      <w:r w:rsidRPr="007141F3">
        <w:rPr>
          <w:rFonts w:ascii="Arial" w:eastAsia="Arial" w:hAnsi="Arial" w:cs="Arial"/>
          <w:color w:val="000000"/>
          <w:lang w:val="es-ES"/>
        </w:rPr>
        <w:tab/>
        <w:t>Huberto Fernández Hernández</w:t>
      </w:r>
    </w:p>
    <w:p w14:paraId="782B7C19" w14:textId="667F67DE" w:rsidR="007141F3" w:rsidRPr="007141F3" w:rsidRDefault="007141F3" w:rsidP="00A94780">
      <w:pPr>
        <w:widowControl w:val="0"/>
        <w:autoSpaceDE w:val="0"/>
        <w:autoSpaceDN w:val="0"/>
        <w:adjustRightInd w:val="0"/>
        <w:jc w:val="both"/>
        <w:rPr>
          <w:rFonts w:ascii="Arial" w:eastAsia="Arial" w:hAnsi="Arial" w:cs="Arial"/>
          <w:color w:val="000000"/>
          <w:lang w:val="es-ES"/>
        </w:rPr>
      </w:pPr>
      <w:r w:rsidRPr="007141F3">
        <w:rPr>
          <w:rFonts w:ascii="Arial" w:eastAsia="Arial" w:hAnsi="Arial" w:cs="Arial"/>
          <w:color w:val="000000"/>
          <w:lang w:val="es-ES"/>
        </w:rPr>
        <w:t>Demandado:</w:t>
      </w:r>
      <w:r>
        <w:rPr>
          <w:rFonts w:ascii="Arial" w:eastAsia="Arial" w:hAnsi="Arial" w:cs="Arial"/>
          <w:color w:val="000000"/>
          <w:lang w:val="es-ES"/>
        </w:rPr>
        <w:tab/>
      </w:r>
      <w:r w:rsidRPr="007141F3">
        <w:rPr>
          <w:rFonts w:ascii="Arial" w:eastAsia="Arial" w:hAnsi="Arial" w:cs="Arial"/>
          <w:color w:val="000000"/>
          <w:lang w:val="es-ES"/>
        </w:rPr>
        <w:tab/>
      </w:r>
      <w:r w:rsidR="002464B4">
        <w:rPr>
          <w:rFonts w:ascii="Arial" w:eastAsia="Arial" w:hAnsi="Arial" w:cs="Arial"/>
          <w:color w:val="000000"/>
          <w:lang w:val="es-ES"/>
        </w:rPr>
        <w:t>Ministerio de Hacienda y Crédito Público</w:t>
      </w:r>
    </w:p>
    <w:p w14:paraId="3744B2EF" w14:textId="6B1388B5" w:rsidR="007141F3" w:rsidRPr="007141F3" w:rsidRDefault="007141F3" w:rsidP="00A94780">
      <w:pPr>
        <w:widowControl w:val="0"/>
        <w:autoSpaceDE w:val="0"/>
        <w:autoSpaceDN w:val="0"/>
        <w:adjustRightInd w:val="0"/>
        <w:jc w:val="both"/>
        <w:rPr>
          <w:rFonts w:ascii="Arial" w:eastAsia="Arial" w:hAnsi="Arial" w:cs="Arial"/>
          <w:color w:val="000000"/>
          <w:lang w:val="es-ES"/>
        </w:rPr>
      </w:pPr>
      <w:r w:rsidRPr="007141F3">
        <w:rPr>
          <w:rFonts w:ascii="Arial" w:eastAsia="Arial" w:hAnsi="Arial" w:cs="Arial"/>
          <w:color w:val="000000"/>
          <w:lang w:val="es-ES"/>
        </w:rPr>
        <w:t>Juzgado de origen:</w:t>
      </w:r>
      <w:r w:rsidRPr="007141F3">
        <w:rPr>
          <w:rFonts w:ascii="Arial" w:eastAsia="Arial" w:hAnsi="Arial" w:cs="Arial"/>
          <w:color w:val="000000"/>
          <w:lang w:val="es-ES"/>
        </w:rPr>
        <w:tab/>
        <w:t xml:space="preserve">Juzgado Segundo Laboral del Circuito </w:t>
      </w:r>
    </w:p>
    <w:p w14:paraId="2B434D7F" w14:textId="67706ABB" w:rsidR="007141F3" w:rsidRDefault="007141F3" w:rsidP="00A94780">
      <w:pPr>
        <w:widowControl w:val="0"/>
        <w:autoSpaceDE w:val="0"/>
        <w:autoSpaceDN w:val="0"/>
        <w:adjustRightInd w:val="0"/>
        <w:jc w:val="both"/>
        <w:rPr>
          <w:rFonts w:ascii="Arial" w:eastAsia="Arial" w:hAnsi="Arial" w:cs="Arial"/>
          <w:color w:val="000000"/>
          <w:lang w:val="es-ES"/>
        </w:rPr>
      </w:pPr>
      <w:r w:rsidRPr="007141F3">
        <w:rPr>
          <w:rFonts w:ascii="Arial" w:eastAsia="Arial" w:hAnsi="Arial" w:cs="Arial"/>
          <w:color w:val="000000"/>
          <w:lang w:val="es-ES"/>
        </w:rPr>
        <w:t>Magistrado Ponente:</w:t>
      </w:r>
      <w:r w:rsidRPr="007141F3">
        <w:rPr>
          <w:rFonts w:ascii="Arial" w:eastAsia="Arial" w:hAnsi="Arial" w:cs="Arial"/>
          <w:color w:val="000000"/>
          <w:lang w:val="es-ES"/>
        </w:rPr>
        <w:tab/>
        <w:t>Julio César Salazar Muñoz</w:t>
      </w:r>
    </w:p>
    <w:bookmarkEnd w:id="1"/>
    <w:p w14:paraId="5000D355" w14:textId="77777777" w:rsidR="007141F3" w:rsidRPr="000915B8" w:rsidRDefault="007141F3" w:rsidP="007141F3">
      <w:pPr>
        <w:widowControl w:val="0"/>
        <w:autoSpaceDE w:val="0"/>
        <w:autoSpaceDN w:val="0"/>
        <w:adjustRightInd w:val="0"/>
        <w:jc w:val="both"/>
        <w:rPr>
          <w:rFonts w:ascii="Arial" w:eastAsia="Arial" w:hAnsi="Arial" w:cs="Arial"/>
          <w:color w:val="000000"/>
          <w:lang w:val="es-ES"/>
        </w:rPr>
      </w:pPr>
    </w:p>
    <w:p w14:paraId="4AB847AF" w14:textId="57714BB6" w:rsidR="007141F3" w:rsidRPr="000915B8" w:rsidRDefault="00833B73" w:rsidP="007141F3">
      <w:pPr>
        <w:jc w:val="both"/>
        <w:rPr>
          <w:rFonts w:ascii="Arial" w:eastAsia="Arial" w:hAnsi="Arial" w:cs="Arial"/>
          <w:color w:val="000000"/>
          <w:lang w:val="es-ES"/>
        </w:rPr>
      </w:pPr>
      <w:r w:rsidRPr="000915B8">
        <w:rPr>
          <w:rFonts w:ascii="Arial" w:eastAsia="Arial" w:hAnsi="Arial" w:cs="Arial"/>
          <w:b/>
          <w:bCs/>
          <w:color w:val="000000"/>
          <w:u w:val="single"/>
          <w:lang w:val="es-419" w:eastAsia="en-US"/>
        </w:rPr>
        <w:t>TEMAS:</w:t>
      </w:r>
      <w:r w:rsidRPr="000915B8">
        <w:rPr>
          <w:rFonts w:ascii="Arial" w:eastAsia="Arial" w:hAnsi="Arial" w:cs="Arial"/>
          <w:b/>
          <w:bCs/>
          <w:color w:val="000000"/>
          <w:lang w:val="es-419" w:eastAsia="en-US"/>
        </w:rPr>
        <w:tab/>
      </w:r>
      <w:r>
        <w:rPr>
          <w:rFonts w:ascii="Arial" w:eastAsia="Arial" w:hAnsi="Arial" w:cs="Arial"/>
          <w:b/>
          <w:bCs/>
          <w:color w:val="000000"/>
          <w:lang w:val="es-419" w:eastAsia="en-US"/>
        </w:rPr>
        <w:t>INTERESES DE MORA / SOBRE EL VALOR DEL BONO PENSIONAL / INDEXACIÓN / DIFERENCIA CON LOS INTERESES MORATORIOS / FÓRMULA QUE DEBE APLICARSE / DECRETO 1748 DE 1995, ARTÍCULO 12.</w:t>
      </w:r>
    </w:p>
    <w:p w14:paraId="1AA2DC51" w14:textId="77777777" w:rsidR="007141F3" w:rsidRPr="000915B8" w:rsidRDefault="007141F3" w:rsidP="007141F3">
      <w:pPr>
        <w:widowControl w:val="0"/>
        <w:autoSpaceDE w:val="0"/>
        <w:autoSpaceDN w:val="0"/>
        <w:adjustRightInd w:val="0"/>
        <w:jc w:val="both"/>
        <w:rPr>
          <w:rFonts w:ascii="Arial" w:eastAsia="Arial" w:hAnsi="Arial" w:cs="Arial"/>
          <w:color w:val="000000"/>
          <w:lang w:val="es-ES"/>
        </w:rPr>
      </w:pPr>
    </w:p>
    <w:p w14:paraId="74EADDCC" w14:textId="2680E78F" w:rsidR="007141F3" w:rsidRDefault="009B0CCB" w:rsidP="007141F3">
      <w:pPr>
        <w:widowControl w:val="0"/>
        <w:autoSpaceDE w:val="0"/>
        <w:autoSpaceDN w:val="0"/>
        <w:adjustRightInd w:val="0"/>
        <w:jc w:val="both"/>
        <w:rPr>
          <w:rFonts w:ascii="Arial" w:eastAsia="Arial" w:hAnsi="Arial" w:cs="Arial"/>
          <w:color w:val="000000"/>
          <w:lang w:val="es-ES"/>
        </w:rPr>
      </w:pPr>
      <w:r w:rsidRPr="009B0CCB">
        <w:rPr>
          <w:rFonts w:ascii="Arial" w:eastAsia="Arial" w:hAnsi="Arial" w:cs="Arial"/>
          <w:color w:val="000000"/>
          <w:lang w:val="es-ES"/>
        </w:rPr>
        <w:t>De conformidad con los artículos 305 y 306 del C.G.P. aplicables por remisión analógica del artículo 145 del C.P.T y de la S.S., una vez la sentencia se encuentre ejecutoriada se podrá adelantar proceso ejecutivo a continuación del ordinario laboral, con el objeto de exigir su cumplimiento.</w:t>
      </w:r>
      <w:r>
        <w:rPr>
          <w:rFonts w:ascii="Arial" w:eastAsia="Arial" w:hAnsi="Arial" w:cs="Arial"/>
          <w:color w:val="000000"/>
          <w:lang w:val="es-ES"/>
        </w:rPr>
        <w:t xml:space="preserve"> (…)</w:t>
      </w:r>
    </w:p>
    <w:p w14:paraId="714BDB29" w14:textId="77777777" w:rsidR="007141F3" w:rsidRDefault="007141F3" w:rsidP="007141F3">
      <w:pPr>
        <w:widowControl w:val="0"/>
        <w:autoSpaceDE w:val="0"/>
        <w:autoSpaceDN w:val="0"/>
        <w:adjustRightInd w:val="0"/>
        <w:jc w:val="both"/>
        <w:rPr>
          <w:rFonts w:ascii="Arial" w:eastAsia="Arial" w:hAnsi="Arial" w:cs="Arial"/>
          <w:color w:val="000000"/>
          <w:lang w:val="es-ES"/>
        </w:rPr>
      </w:pPr>
    </w:p>
    <w:p w14:paraId="06239E12" w14:textId="255451F8" w:rsidR="007141F3" w:rsidRDefault="00B52FDE" w:rsidP="007141F3">
      <w:pPr>
        <w:widowControl w:val="0"/>
        <w:autoSpaceDE w:val="0"/>
        <w:autoSpaceDN w:val="0"/>
        <w:adjustRightInd w:val="0"/>
        <w:jc w:val="both"/>
        <w:rPr>
          <w:rFonts w:ascii="Arial" w:eastAsia="Arial" w:hAnsi="Arial" w:cs="Arial"/>
          <w:color w:val="000000"/>
          <w:lang w:val="es-ES"/>
        </w:rPr>
      </w:pPr>
      <w:r w:rsidRPr="00B52FDE">
        <w:rPr>
          <w:rFonts w:ascii="Arial" w:eastAsia="Arial" w:hAnsi="Arial" w:cs="Arial"/>
          <w:color w:val="000000"/>
          <w:lang w:val="es-ES"/>
        </w:rPr>
        <w:t>El Decreto 1748 de 1995 “Por el cual se dictan normas para la emisión, cálculo, redención y demás condiciones de los bonos pensionales” entre otras disposiciones, establece en su artículo 17 que si el emisor o responsable de cuota parte de un bono no cancela, dentro del plazo establecido, esto es, el mes siguiente tratándose de bonos tipo A, se reconocerán intereses de mora a partir de la fecha límite, a la tasa establecida en el artículo 12 de la misma disposición</w:t>
      </w:r>
      <w:r>
        <w:rPr>
          <w:rFonts w:ascii="Arial" w:eastAsia="Arial" w:hAnsi="Arial" w:cs="Arial"/>
          <w:color w:val="000000"/>
          <w:lang w:val="es-ES"/>
        </w:rPr>
        <w:t>. (…)</w:t>
      </w:r>
    </w:p>
    <w:p w14:paraId="1F73DADA" w14:textId="77777777" w:rsidR="007141F3" w:rsidRDefault="007141F3" w:rsidP="007141F3">
      <w:pPr>
        <w:widowControl w:val="0"/>
        <w:autoSpaceDE w:val="0"/>
        <w:autoSpaceDN w:val="0"/>
        <w:adjustRightInd w:val="0"/>
        <w:jc w:val="both"/>
        <w:rPr>
          <w:rFonts w:ascii="Arial" w:eastAsia="Arial" w:hAnsi="Arial" w:cs="Arial"/>
          <w:color w:val="000000"/>
          <w:lang w:val="es-ES"/>
        </w:rPr>
      </w:pPr>
    </w:p>
    <w:p w14:paraId="3A9FAD85" w14:textId="3D631FBD" w:rsidR="007141F3" w:rsidRDefault="00B52FDE" w:rsidP="007141F3">
      <w:pPr>
        <w:widowControl w:val="0"/>
        <w:autoSpaceDE w:val="0"/>
        <w:autoSpaceDN w:val="0"/>
        <w:adjustRightInd w:val="0"/>
        <w:jc w:val="both"/>
        <w:rPr>
          <w:rFonts w:ascii="Arial" w:eastAsia="Arial" w:hAnsi="Arial" w:cs="Arial"/>
          <w:color w:val="000000"/>
          <w:lang w:val="es-ES"/>
        </w:rPr>
      </w:pPr>
      <w:r w:rsidRPr="00B52FDE">
        <w:rPr>
          <w:rFonts w:ascii="Arial" w:eastAsia="Arial" w:hAnsi="Arial" w:cs="Arial"/>
          <w:color w:val="000000"/>
          <w:lang w:val="es-ES"/>
        </w:rPr>
        <w:t>En el entendido que “el pago efectivo es la prestación de lo que se debe” y atendiendo la realidad inflacionaria de nuestra economía, se acepta como mecanismo directo de cumplimiento real de la obligación debida, la corrección monetaria, de manera tal que se garantice el equilibrio económico de los sujetos que participan en una determinada relación jurídica con contenido obligacional dinerario</w:t>
      </w:r>
      <w:r>
        <w:rPr>
          <w:rFonts w:ascii="Arial" w:eastAsia="Arial" w:hAnsi="Arial" w:cs="Arial"/>
          <w:color w:val="000000"/>
          <w:lang w:val="es-ES"/>
        </w:rPr>
        <w:t>…</w:t>
      </w:r>
    </w:p>
    <w:p w14:paraId="1AD0965E" w14:textId="77777777" w:rsidR="007141F3" w:rsidRDefault="007141F3" w:rsidP="007141F3">
      <w:pPr>
        <w:widowControl w:val="0"/>
        <w:autoSpaceDE w:val="0"/>
        <w:autoSpaceDN w:val="0"/>
        <w:adjustRightInd w:val="0"/>
        <w:jc w:val="both"/>
        <w:rPr>
          <w:rFonts w:ascii="Arial" w:eastAsia="Arial" w:hAnsi="Arial" w:cs="Arial"/>
          <w:color w:val="000000"/>
          <w:lang w:val="es-ES"/>
        </w:rPr>
      </w:pPr>
    </w:p>
    <w:p w14:paraId="4F255FD3" w14:textId="72508F59" w:rsidR="007141F3" w:rsidRDefault="00B52FDE" w:rsidP="007141F3">
      <w:pPr>
        <w:widowControl w:val="0"/>
        <w:autoSpaceDE w:val="0"/>
        <w:autoSpaceDN w:val="0"/>
        <w:adjustRightInd w:val="0"/>
        <w:jc w:val="both"/>
        <w:rPr>
          <w:rFonts w:ascii="Arial" w:eastAsia="Arial" w:hAnsi="Arial" w:cs="Arial"/>
          <w:color w:val="000000"/>
          <w:lang w:val="es-ES"/>
        </w:rPr>
      </w:pPr>
      <w:r w:rsidRPr="00B52FDE">
        <w:rPr>
          <w:rFonts w:ascii="Arial" w:eastAsia="Arial" w:hAnsi="Arial" w:cs="Arial"/>
          <w:color w:val="000000"/>
          <w:lang w:val="es-ES"/>
        </w:rPr>
        <w:t>Pero, otra cosa refleja la figura del interés moratorio, que en sí misma, contiene los ajustes o correcciones monetarias, más el resarcimiento al acreedor por la tardanza en el cumplimiento de la obligación</w:t>
      </w:r>
      <w:r>
        <w:rPr>
          <w:rFonts w:ascii="Arial" w:eastAsia="Arial" w:hAnsi="Arial" w:cs="Arial"/>
          <w:color w:val="000000"/>
          <w:lang w:val="es-ES"/>
        </w:rPr>
        <w:t>…</w:t>
      </w:r>
    </w:p>
    <w:p w14:paraId="67DA0D06" w14:textId="77777777" w:rsidR="007141F3" w:rsidRDefault="007141F3" w:rsidP="007141F3">
      <w:pPr>
        <w:widowControl w:val="0"/>
        <w:autoSpaceDE w:val="0"/>
        <w:autoSpaceDN w:val="0"/>
        <w:adjustRightInd w:val="0"/>
        <w:jc w:val="both"/>
        <w:rPr>
          <w:rFonts w:ascii="Arial" w:eastAsia="Arial" w:hAnsi="Arial" w:cs="Arial"/>
          <w:color w:val="000000"/>
          <w:lang w:val="es-ES"/>
        </w:rPr>
      </w:pPr>
    </w:p>
    <w:p w14:paraId="3332842F" w14:textId="04D13F17" w:rsidR="007141F3" w:rsidRDefault="0040522D" w:rsidP="007141F3">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40522D">
        <w:rPr>
          <w:rFonts w:ascii="Arial" w:eastAsia="Arial" w:hAnsi="Arial" w:cs="Arial"/>
          <w:color w:val="000000"/>
          <w:lang w:val="es-ES"/>
        </w:rPr>
        <w:t>la controversia que se plantea en el presente asunto, se limita a determinar el monto de los intereses ordenados en la sentencia que sirve como título de recaudo, liquidados a la tasa establecida en el artículo 12 del Decreto 1748 de 1995, sobre el valor del bono pensional tipo A en el interregno comprendido entre el 17 de noviembre de 2015 y el 31 de octubre de 2019.</w:t>
      </w:r>
    </w:p>
    <w:p w14:paraId="7AF40D56" w14:textId="4F25B6E1" w:rsidR="0040522D" w:rsidRDefault="0040522D" w:rsidP="007141F3">
      <w:pPr>
        <w:widowControl w:val="0"/>
        <w:autoSpaceDE w:val="0"/>
        <w:autoSpaceDN w:val="0"/>
        <w:adjustRightInd w:val="0"/>
        <w:jc w:val="both"/>
        <w:rPr>
          <w:rFonts w:ascii="Arial" w:eastAsia="Arial" w:hAnsi="Arial" w:cs="Arial"/>
          <w:color w:val="000000"/>
          <w:lang w:val="es-ES"/>
        </w:rPr>
      </w:pPr>
    </w:p>
    <w:p w14:paraId="74E5A383" w14:textId="77777777" w:rsidR="0040522D" w:rsidRDefault="0040522D" w:rsidP="007141F3">
      <w:pPr>
        <w:widowControl w:val="0"/>
        <w:autoSpaceDE w:val="0"/>
        <w:autoSpaceDN w:val="0"/>
        <w:adjustRightInd w:val="0"/>
        <w:jc w:val="both"/>
        <w:rPr>
          <w:rFonts w:ascii="Arial" w:eastAsia="Arial" w:hAnsi="Arial" w:cs="Arial"/>
          <w:color w:val="000000"/>
          <w:lang w:val="es-ES"/>
        </w:rPr>
      </w:pPr>
    </w:p>
    <w:p w14:paraId="77A629B6" w14:textId="0A893258" w:rsidR="32481F87" w:rsidRDefault="32481F87" w:rsidP="32481F87">
      <w:pPr>
        <w:pStyle w:val="Puesto"/>
        <w:jc w:val="both"/>
        <w:rPr>
          <w:rFonts w:ascii="Arial" w:hAnsi="Arial" w:cs="Arial"/>
          <w:b w:val="0"/>
          <w:bCs w:val="0"/>
        </w:rPr>
      </w:pPr>
      <w:bookmarkStart w:id="2" w:name="_Hlk113873204"/>
      <w:bookmarkEnd w:id="0"/>
    </w:p>
    <w:p w14:paraId="1C3BEE41" w14:textId="77777777" w:rsidR="0084300B" w:rsidRPr="002464B4" w:rsidRDefault="0084300B" w:rsidP="002464B4">
      <w:pPr>
        <w:pStyle w:val="Ttulo2"/>
        <w:spacing w:line="276" w:lineRule="auto"/>
        <w:jc w:val="center"/>
        <w:rPr>
          <w:rFonts w:cs="Arial"/>
          <w:szCs w:val="24"/>
        </w:rPr>
      </w:pPr>
      <w:r w:rsidRPr="002464B4">
        <w:rPr>
          <w:rFonts w:cs="Arial"/>
          <w:szCs w:val="24"/>
        </w:rPr>
        <w:t>TRIBUNAL SUPERIOR DEL DISTRITO JUDICIAL</w:t>
      </w:r>
    </w:p>
    <w:p w14:paraId="51A40248" w14:textId="77777777" w:rsidR="0084300B" w:rsidRPr="002464B4" w:rsidRDefault="0084300B" w:rsidP="002464B4">
      <w:pPr>
        <w:spacing w:line="276" w:lineRule="auto"/>
        <w:jc w:val="center"/>
        <w:rPr>
          <w:rFonts w:ascii="Arial" w:hAnsi="Arial" w:cs="Arial"/>
          <w:b/>
          <w:sz w:val="24"/>
          <w:szCs w:val="24"/>
        </w:rPr>
      </w:pPr>
      <w:r w:rsidRPr="002464B4">
        <w:rPr>
          <w:rFonts w:ascii="Arial" w:hAnsi="Arial" w:cs="Arial"/>
          <w:b/>
          <w:sz w:val="24"/>
          <w:szCs w:val="24"/>
        </w:rPr>
        <w:t>SALA LABORAL</w:t>
      </w:r>
    </w:p>
    <w:p w14:paraId="4E77816B" w14:textId="77777777" w:rsidR="0084300B" w:rsidRPr="002464B4" w:rsidRDefault="0084300B" w:rsidP="002464B4">
      <w:pPr>
        <w:spacing w:line="276" w:lineRule="auto"/>
        <w:jc w:val="center"/>
        <w:rPr>
          <w:rFonts w:ascii="Arial" w:hAnsi="Arial" w:cs="Arial"/>
          <w:b/>
          <w:sz w:val="24"/>
          <w:szCs w:val="24"/>
        </w:rPr>
      </w:pPr>
      <w:r w:rsidRPr="002464B4">
        <w:rPr>
          <w:rFonts w:ascii="Arial" w:hAnsi="Arial" w:cs="Arial"/>
          <w:b/>
          <w:sz w:val="24"/>
          <w:szCs w:val="24"/>
        </w:rPr>
        <w:t>MAGISTRADO PONENTE: JULIO CÉSAR SALAZAR MUÑOZ</w:t>
      </w:r>
    </w:p>
    <w:p w14:paraId="0A37501D" w14:textId="77777777" w:rsidR="0084300B" w:rsidRPr="002464B4" w:rsidRDefault="0084300B" w:rsidP="002464B4">
      <w:pPr>
        <w:spacing w:line="276" w:lineRule="auto"/>
        <w:rPr>
          <w:rFonts w:ascii="Arial" w:hAnsi="Arial" w:cs="Arial"/>
          <w:sz w:val="24"/>
          <w:szCs w:val="24"/>
        </w:rPr>
      </w:pPr>
    </w:p>
    <w:p w14:paraId="20023B18" w14:textId="27C9C205" w:rsidR="0084300B" w:rsidRPr="002464B4" w:rsidRDefault="0084300B" w:rsidP="002464B4">
      <w:pPr>
        <w:spacing w:line="276" w:lineRule="auto"/>
        <w:jc w:val="center"/>
        <w:rPr>
          <w:rFonts w:ascii="Arial" w:hAnsi="Arial" w:cs="Arial"/>
          <w:sz w:val="24"/>
          <w:szCs w:val="24"/>
        </w:rPr>
      </w:pPr>
      <w:r w:rsidRPr="002464B4">
        <w:rPr>
          <w:rFonts w:ascii="Arial" w:hAnsi="Arial" w:cs="Arial"/>
          <w:sz w:val="24"/>
          <w:szCs w:val="24"/>
        </w:rPr>
        <w:t xml:space="preserve">Pereira, </w:t>
      </w:r>
      <w:r w:rsidR="00EF1C51" w:rsidRPr="002464B4">
        <w:rPr>
          <w:rFonts w:ascii="Arial" w:hAnsi="Arial" w:cs="Arial"/>
          <w:sz w:val="24"/>
          <w:szCs w:val="24"/>
        </w:rPr>
        <w:t>veinticuatro</w:t>
      </w:r>
      <w:r w:rsidR="00280A3F" w:rsidRPr="002464B4">
        <w:rPr>
          <w:rFonts w:ascii="Arial" w:hAnsi="Arial" w:cs="Arial"/>
          <w:sz w:val="24"/>
          <w:szCs w:val="24"/>
        </w:rPr>
        <w:t xml:space="preserve"> de agosto</w:t>
      </w:r>
      <w:r w:rsidRPr="002464B4">
        <w:rPr>
          <w:rFonts w:ascii="Arial" w:hAnsi="Arial" w:cs="Arial"/>
          <w:sz w:val="24"/>
          <w:szCs w:val="24"/>
        </w:rPr>
        <w:t xml:space="preserve"> de dos mil veintidós</w:t>
      </w:r>
    </w:p>
    <w:bookmarkEnd w:id="2"/>
    <w:p w14:paraId="38CABD6B" w14:textId="32D03281" w:rsidR="0084300B" w:rsidRPr="002464B4" w:rsidRDefault="0084300B" w:rsidP="002464B4">
      <w:pPr>
        <w:tabs>
          <w:tab w:val="center" w:pos="4420"/>
          <w:tab w:val="left" w:pos="7873"/>
        </w:tabs>
        <w:spacing w:line="276" w:lineRule="auto"/>
        <w:jc w:val="center"/>
        <w:rPr>
          <w:rFonts w:ascii="Arial" w:hAnsi="Arial" w:cs="Arial"/>
          <w:sz w:val="24"/>
          <w:szCs w:val="24"/>
        </w:rPr>
      </w:pPr>
      <w:r w:rsidRPr="002464B4">
        <w:rPr>
          <w:rFonts w:ascii="Arial" w:hAnsi="Arial" w:cs="Arial"/>
          <w:sz w:val="24"/>
          <w:szCs w:val="24"/>
        </w:rPr>
        <w:t>Acta de Sala de Discusión No</w:t>
      </w:r>
      <w:r w:rsidR="00EF1C51" w:rsidRPr="002464B4">
        <w:rPr>
          <w:rFonts w:ascii="Arial" w:hAnsi="Arial" w:cs="Arial"/>
          <w:sz w:val="24"/>
          <w:szCs w:val="24"/>
        </w:rPr>
        <w:t xml:space="preserve"> 129 </w:t>
      </w:r>
      <w:r w:rsidRPr="002464B4">
        <w:rPr>
          <w:rFonts w:ascii="Arial" w:hAnsi="Arial" w:cs="Arial"/>
          <w:sz w:val="24"/>
          <w:szCs w:val="24"/>
        </w:rPr>
        <w:t xml:space="preserve">de </w:t>
      </w:r>
      <w:r w:rsidR="00EF1C51" w:rsidRPr="002464B4">
        <w:rPr>
          <w:rFonts w:ascii="Arial" w:hAnsi="Arial" w:cs="Arial"/>
          <w:sz w:val="24"/>
          <w:szCs w:val="24"/>
        </w:rPr>
        <w:t>22</w:t>
      </w:r>
      <w:r w:rsidR="00280A3F" w:rsidRPr="002464B4">
        <w:rPr>
          <w:rFonts w:ascii="Arial" w:hAnsi="Arial" w:cs="Arial"/>
          <w:sz w:val="24"/>
          <w:szCs w:val="24"/>
        </w:rPr>
        <w:t xml:space="preserve"> de agosto</w:t>
      </w:r>
      <w:r w:rsidRPr="002464B4">
        <w:rPr>
          <w:rFonts w:ascii="Arial" w:hAnsi="Arial" w:cs="Arial"/>
          <w:sz w:val="24"/>
          <w:szCs w:val="24"/>
        </w:rPr>
        <w:t xml:space="preserve"> de 2022</w:t>
      </w:r>
    </w:p>
    <w:p w14:paraId="5DAB6C7B" w14:textId="77777777" w:rsidR="0084300B" w:rsidRPr="002464B4" w:rsidRDefault="0084300B" w:rsidP="002464B4">
      <w:pPr>
        <w:pStyle w:val="Textoindependiente25"/>
        <w:spacing w:line="276" w:lineRule="auto"/>
        <w:jc w:val="center"/>
        <w:rPr>
          <w:rFonts w:cs="Arial"/>
          <w:sz w:val="24"/>
          <w:szCs w:val="24"/>
        </w:rPr>
      </w:pPr>
    </w:p>
    <w:p w14:paraId="755F6358" w14:textId="26547FE8" w:rsidR="0084300B" w:rsidRPr="00ED3955" w:rsidRDefault="0084300B" w:rsidP="002464B4">
      <w:pPr>
        <w:spacing w:line="276" w:lineRule="auto"/>
        <w:jc w:val="both"/>
        <w:rPr>
          <w:rFonts w:ascii="Arial" w:hAnsi="Arial" w:cs="Arial"/>
          <w:spacing w:val="-4"/>
          <w:sz w:val="24"/>
          <w:szCs w:val="24"/>
        </w:rPr>
      </w:pPr>
      <w:r w:rsidRPr="00ED3955">
        <w:rPr>
          <w:rFonts w:ascii="Arial" w:hAnsi="Arial" w:cs="Arial"/>
          <w:spacing w:val="-4"/>
          <w:sz w:val="24"/>
          <w:szCs w:val="24"/>
        </w:rPr>
        <w:t xml:space="preserve">En la fecha, la Sala de Decisión Laboral del Tribunal Superior del Distrito Judicial procede a resolver el recurso de apelación presentado por </w:t>
      </w:r>
      <w:r w:rsidRPr="00ED3955">
        <w:rPr>
          <w:rFonts w:ascii="Arial" w:hAnsi="Arial" w:cs="Arial"/>
          <w:b/>
          <w:spacing w:val="-4"/>
          <w:sz w:val="24"/>
          <w:szCs w:val="24"/>
        </w:rPr>
        <w:t>Huberto Fernández Hernández</w:t>
      </w:r>
      <w:r w:rsidRPr="00ED3955">
        <w:rPr>
          <w:rFonts w:ascii="Arial" w:hAnsi="Arial" w:cs="Arial"/>
          <w:spacing w:val="-4"/>
          <w:sz w:val="24"/>
          <w:szCs w:val="24"/>
        </w:rPr>
        <w:t xml:space="preserve"> contra el auto proferido por el Juzgado Segundo</w:t>
      </w:r>
      <w:r w:rsidR="0025118E" w:rsidRPr="00ED3955">
        <w:rPr>
          <w:rFonts w:ascii="Arial" w:hAnsi="Arial" w:cs="Arial"/>
          <w:spacing w:val="-4"/>
          <w:sz w:val="24"/>
          <w:szCs w:val="24"/>
        </w:rPr>
        <w:t xml:space="preserve"> </w:t>
      </w:r>
      <w:r w:rsidRPr="00ED3955">
        <w:rPr>
          <w:rFonts w:ascii="Arial" w:hAnsi="Arial" w:cs="Arial"/>
          <w:spacing w:val="-4"/>
          <w:sz w:val="24"/>
          <w:szCs w:val="24"/>
        </w:rPr>
        <w:t xml:space="preserve">Laboral del Circuito de esta ciudad el día 27 de abril de 2021, que libró el mandamiento de pago, dentro del proceso </w:t>
      </w:r>
      <w:r w:rsidRPr="00ED3955">
        <w:rPr>
          <w:rFonts w:ascii="Arial" w:hAnsi="Arial" w:cs="Arial"/>
          <w:b/>
          <w:spacing w:val="-4"/>
          <w:sz w:val="24"/>
          <w:szCs w:val="24"/>
        </w:rPr>
        <w:t>ejecutivo laboral</w:t>
      </w:r>
      <w:r w:rsidRPr="00ED3955">
        <w:rPr>
          <w:rFonts w:ascii="Arial" w:hAnsi="Arial" w:cs="Arial"/>
          <w:spacing w:val="-4"/>
          <w:sz w:val="24"/>
          <w:szCs w:val="24"/>
        </w:rPr>
        <w:t xml:space="preserve"> que promueve en contra del M</w:t>
      </w:r>
      <w:r w:rsidRPr="00ED3955">
        <w:rPr>
          <w:rFonts w:ascii="Arial" w:hAnsi="Arial" w:cs="Arial"/>
          <w:b/>
          <w:spacing w:val="-4"/>
          <w:sz w:val="24"/>
          <w:szCs w:val="24"/>
        </w:rPr>
        <w:t>inisterio de Hacienda y Crédito Público – Oficina de Bonos Pensionales</w:t>
      </w:r>
      <w:r w:rsidRPr="00ED3955">
        <w:rPr>
          <w:rFonts w:ascii="Arial" w:hAnsi="Arial" w:cs="Arial"/>
          <w:spacing w:val="-4"/>
          <w:sz w:val="24"/>
          <w:szCs w:val="24"/>
        </w:rPr>
        <w:t>, cuya radicación corresponde al número 66001-31-05-002-2016-00529-02.</w:t>
      </w:r>
    </w:p>
    <w:p w14:paraId="02EB378F" w14:textId="77777777" w:rsidR="0084300B" w:rsidRPr="00ED3955" w:rsidRDefault="0084300B" w:rsidP="002464B4">
      <w:pPr>
        <w:spacing w:line="276" w:lineRule="auto"/>
        <w:rPr>
          <w:rFonts w:ascii="Arial" w:hAnsi="Arial" w:cs="Arial"/>
          <w:spacing w:val="-4"/>
          <w:sz w:val="24"/>
          <w:szCs w:val="24"/>
        </w:rPr>
      </w:pPr>
    </w:p>
    <w:p w14:paraId="0F10BAA5" w14:textId="77777777" w:rsidR="0084300B" w:rsidRPr="00ED3955" w:rsidRDefault="0084300B" w:rsidP="002464B4">
      <w:pPr>
        <w:pStyle w:val="Ttulo4"/>
        <w:spacing w:line="276" w:lineRule="auto"/>
        <w:rPr>
          <w:rFonts w:cs="Arial"/>
          <w:b/>
          <w:spacing w:val="-4"/>
          <w:sz w:val="24"/>
          <w:szCs w:val="24"/>
        </w:rPr>
      </w:pPr>
      <w:r w:rsidRPr="00ED3955">
        <w:rPr>
          <w:rFonts w:cs="Arial"/>
          <w:b/>
          <w:spacing w:val="-4"/>
          <w:sz w:val="24"/>
          <w:szCs w:val="24"/>
        </w:rPr>
        <w:t>ANTECEDENTES</w:t>
      </w:r>
    </w:p>
    <w:p w14:paraId="5A39BBE3" w14:textId="77777777" w:rsidR="0084300B" w:rsidRPr="00ED3955" w:rsidRDefault="0084300B" w:rsidP="002464B4">
      <w:pPr>
        <w:spacing w:line="276" w:lineRule="auto"/>
        <w:jc w:val="both"/>
        <w:rPr>
          <w:rFonts w:ascii="Arial" w:hAnsi="Arial" w:cs="Arial"/>
          <w:spacing w:val="-4"/>
          <w:sz w:val="24"/>
          <w:szCs w:val="24"/>
        </w:rPr>
      </w:pPr>
    </w:p>
    <w:p w14:paraId="194BA6AB" w14:textId="0F5108D6" w:rsidR="0084300B" w:rsidRPr="00ED3955" w:rsidRDefault="0084300B" w:rsidP="002464B4">
      <w:pPr>
        <w:spacing w:line="276" w:lineRule="auto"/>
        <w:jc w:val="both"/>
        <w:rPr>
          <w:rFonts w:ascii="Arial" w:hAnsi="Arial" w:cs="Arial"/>
          <w:spacing w:val="-4"/>
          <w:sz w:val="24"/>
          <w:szCs w:val="24"/>
        </w:rPr>
      </w:pPr>
      <w:r w:rsidRPr="00ED3955">
        <w:rPr>
          <w:rFonts w:ascii="Arial" w:hAnsi="Arial" w:cs="Arial"/>
          <w:spacing w:val="-4"/>
          <w:sz w:val="24"/>
          <w:szCs w:val="24"/>
        </w:rPr>
        <w:t xml:space="preserve">En el proceso ordinario laboral de primera instancia adelantado por el señor Humberto Fernández Hernández contra la AFP Colfondos S.A. y la Nación </w:t>
      </w:r>
      <w:r w:rsidR="0025118E" w:rsidRPr="00ED3955">
        <w:rPr>
          <w:rFonts w:ascii="Arial" w:hAnsi="Arial" w:cs="Arial"/>
          <w:spacing w:val="-4"/>
          <w:sz w:val="24"/>
          <w:szCs w:val="24"/>
        </w:rPr>
        <w:t>–</w:t>
      </w:r>
      <w:r w:rsidRPr="00ED3955">
        <w:rPr>
          <w:rFonts w:ascii="Arial" w:hAnsi="Arial" w:cs="Arial"/>
          <w:spacing w:val="-4"/>
          <w:sz w:val="24"/>
          <w:szCs w:val="24"/>
        </w:rPr>
        <w:t xml:space="preserve"> Ministerio de Hacienda y Crédito Público, el cual tramitó el Juzgado Segundo Laboral del Circuito de Pereira, mediante sentencia de fecha 18 de agosto de 2018 fueron acogidas las pretensiones de la </w:t>
      </w:r>
      <w:r w:rsidRPr="00ED3955">
        <w:rPr>
          <w:rFonts w:ascii="Arial" w:hAnsi="Arial" w:cs="Arial"/>
          <w:spacing w:val="-4"/>
          <w:sz w:val="24"/>
          <w:szCs w:val="24"/>
        </w:rPr>
        <w:lastRenderedPageBreak/>
        <w:t>demanda ordenando, en lo que respecta a la Cartera demandada, emitir el bono pensional tipo A, reconociendo a favor del actor, intereses sobre el valor de dicho título a partir del 26 de noviembre de 2016, aplicado a la tasa establecida el artículo 12 del Decreto 1748 de 1995 hasta que se cumpla con dicha obligación. La condena en costas en su contra fue del 80%.</w:t>
      </w:r>
    </w:p>
    <w:p w14:paraId="41C8F396" w14:textId="77777777" w:rsidR="0084300B" w:rsidRPr="00ED3955" w:rsidRDefault="0084300B" w:rsidP="002464B4">
      <w:pPr>
        <w:spacing w:line="276" w:lineRule="auto"/>
        <w:jc w:val="both"/>
        <w:rPr>
          <w:rFonts w:ascii="Arial" w:hAnsi="Arial" w:cs="Arial"/>
          <w:spacing w:val="-4"/>
          <w:sz w:val="24"/>
          <w:szCs w:val="24"/>
        </w:rPr>
      </w:pPr>
    </w:p>
    <w:p w14:paraId="1D6BAEE5" w14:textId="77777777" w:rsidR="0084300B" w:rsidRPr="00ED3955" w:rsidRDefault="0084300B" w:rsidP="002464B4">
      <w:pPr>
        <w:spacing w:line="276" w:lineRule="auto"/>
        <w:jc w:val="both"/>
        <w:rPr>
          <w:rFonts w:ascii="Arial" w:hAnsi="Arial" w:cs="Arial"/>
          <w:spacing w:val="-4"/>
          <w:sz w:val="24"/>
          <w:szCs w:val="24"/>
        </w:rPr>
      </w:pPr>
      <w:r w:rsidRPr="00ED3955">
        <w:rPr>
          <w:rFonts w:ascii="Arial" w:hAnsi="Arial" w:cs="Arial"/>
          <w:spacing w:val="-4"/>
          <w:sz w:val="24"/>
          <w:szCs w:val="24"/>
        </w:rPr>
        <w:t>Ya en esta Sede, la decisión fue modificada para condenar al Ministerio a reconocer y pagar los citados intereses a partir del 17 de noviembre de 2015 hasta que se haga efectivo el pago.  Las costas de segunda instancia se cargaron en un 100% al Ministerio de Hacienda y Crédito Público.</w:t>
      </w:r>
    </w:p>
    <w:p w14:paraId="72A3D3EC" w14:textId="77777777" w:rsidR="0084300B" w:rsidRPr="00ED3955" w:rsidRDefault="0084300B" w:rsidP="002464B4">
      <w:pPr>
        <w:spacing w:line="276" w:lineRule="auto"/>
        <w:jc w:val="both"/>
        <w:rPr>
          <w:rFonts w:ascii="Arial" w:hAnsi="Arial" w:cs="Arial"/>
          <w:spacing w:val="-4"/>
          <w:sz w:val="24"/>
          <w:szCs w:val="24"/>
        </w:rPr>
      </w:pPr>
    </w:p>
    <w:p w14:paraId="180DFB9A" w14:textId="47178384" w:rsidR="0084300B" w:rsidRPr="00ED3955" w:rsidRDefault="0084300B" w:rsidP="002464B4">
      <w:pPr>
        <w:spacing w:line="276" w:lineRule="auto"/>
        <w:jc w:val="both"/>
        <w:rPr>
          <w:rFonts w:ascii="Arial" w:hAnsi="Arial" w:cs="Arial"/>
          <w:spacing w:val="-4"/>
          <w:sz w:val="24"/>
          <w:szCs w:val="24"/>
        </w:rPr>
      </w:pPr>
      <w:r w:rsidRPr="00ED3955">
        <w:rPr>
          <w:rFonts w:ascii="Arial" w:hAnsi="Arial" w:cs="Arial"/>
          <w:spacing w:val="-4"/>
          <w:sz w:val="24"/>
          <w:szCs w:val="24"/>
        </w:rPr>
        <w:t>Ante el incumplimiento de la Cartera demandada, el día 3 de noviembre de 2020, el actor pidió que se librara mandamiento de pago en su contra por los intereses moratorios ($120.055.913), costas procesales a que fue condenada en la actuación de primer grado ($1.821.855) y por los intereses legales y costas que se generen en el proceso ejecutivo, petición que fue acogida mediante auto de 27 de abril de 2021.</w:t>
      </w:r>
    </w:p>
    <w:p w14:paraId="0D0B940D" w14:textId="77777777" w:rsidR="0084300B" w:rsidRPr="00ED3955" w:rsidRDefault="0084300B" w:rsidP="002464B4">
      <w:pPr>
        <w:spacing w:line="276" w:lineRule="auto"/>
        <w:jc w:val="both"/>
        <w:rPr>
          <w:rFonts w:ascii="Arial" w:hAnsi="Arial" w:cs="Arial"/>
          <w:spacing w:val="-4"/>
          <w:sz w:val="24"/>
          <w:szCs w:val="24"/>
        </w:rPr>
      </w:pPr>
    </w:p>
    <w:p w14:paraId="0D89B289" w14:textId="1A081758" w:rsidR="0084300B" w:rsidRPr="00ED3955" w:rsidRDefault="0C7999BD" w:rsidP="002464B4">
      <w:pPr>
        <w:spacing w:line="276" w:lineRule="auto"/>
        <w:jc w:val="both"/>
        <w:rPr>
          <w:rFonts w:ascii="Arial" w:hAnsi="Arial" w:cs="Arial"/>
          <w:spacing w:val="-4"/>
          <w:sz w:val="24"/>
          <w:szCs w:val="24"/>
        </w:rPr>
      </w:pPr>
      <w:r w:rsidRPr="00ED3955">
        <w:rPr>
          <w:rFonts w:ascii="Arial" w:hAnsi="Arial" w:cs="Arial"/>
          <w:spacing w:val="-4"/>
          <w:sz w:val="24"/>
          <w:szCs w:val="24"/>
        </w:rPr>
        <w:t xml:space="preserve">No obstante ello, mediante escrito de fecha 30 de abril de 2021, el ejecutante formuló recurso de reposición y en subsidio el de apelación contra el auto del despacho que libró mandamiento de pago sin determinar el valor de los intereses de mora, solicitando su concreción en la suma de </w:t>
      </w:r>
      <w:r w:rsidRPr="00ED3955">
        <w:rPr>
          <w:rFonts w:ascii="Arial" w:hAnsi="Arial" w:cs="Arial"/>
          <w:b/>
          <w:bCs/>
          <w:spacing w:val="-4"/>
          <w:sz w:val="24"/>
          <w:szCs w:val="24"/>
        </w:rPr>
        <w:t>$159.250.539.59</w:t>
      </w:r>
      <w:r w:rsidR="1793307F" w:rsidRPr="00ED3955">
        <w:rPr>
          <w:rFonts w:ascii="Arial" w:hAnsi="Arial" w:cs="Arial"/>
          <w:spacing w:val="-4"/>
          <w:sz w:val="24"/>
          <w:szCs w:val="24"/>
        </w:rPr>
        <w:t xml:space="preserve"> </w:t>
      </w:r>
      <w:r w:rsidRPr="00ED3955">
        <w:rPr>
          <w:rFonts w:ascii="Arial" w:hAnsi="Arial" w:cs="Arial"/>
          <w:spacing w:val="-4"/>
          <w:sz w:val="24"/>
          <w:szCs w:val="24"/>
        </w:rPr>
        <w:t>por el periodo comprendido entre el 17 de noviembre de 2015 y el 31 de octubre de 2019,</w:t>
      </w:r>
      <w:r w:rsidR="1793307F" w:rsidRPr="00ED3955">
        <w:rPr>
          <w:rFonts w:ascii="Arial" w:hAnsi="Arial" w:cs="Arial"/>
          <w:spacing w:val="-4"/>
          <w:sz w:val="24"/>
          <w:szCs w:val="24"/>
        </w:rPr>
        <w:t xml:space="preserve"> </w:t>
      </w:r>
      <w:r w:rsidRPr="00ED3955">
        <w:rPr>
          <w:rFonts w:ascii="Arial" w:hAnsi="Arial" w:cs="Arial"/>
          <w:spacing w:val="-4"/>
          <w:sz w:val="24"/>
          <w:szCs w:val="24"/>
        </w:rPr>
        <w:t xml:space="preserve">tomando como base para su cálculo la suma de $146.703.000 que, en su criterio es el valor del bono pensional. </w:t>
      </w:r>
      <w:r w:rsidR="0084300B" w:rsidRPr="00ED3955">
        <w:rPr>
          <w:rFonts w:ascii="Arial" w:hAnsi="Arial" w:cs="Arial"/>
          <w:spacing w:val="-4"/>
          <w:sz w:val="24"/>
          <w:szCs w:val="24"/>
        </w:rPr>
        <w:t>Pidió finalmente que la limitación de la medida sea ampliada, dado que la suma ordenada es inferior a la obligación cobrada.</w:t>
      </w:r>
    </w:p>
    <w:p w14:paraId="60061E4C" w14:textId="77777777" w:rsidR="0084300B" w:rsidRPr="00ED3955" w:rsidRDefault="0084300B" w:rsidP="002464B4">
      <w:pPr>
        <w:spacing w:line="276" w:lineRule="auto"/>
        <w:jc w:val="both"/>
        <w:rPr>
          <w:rFonts w:ascii="Arial" w:hAnsi="Arial" w:cs="Arial"/>
          <w:spacing w:val="-4"/>
          <w:sz w:val="24"/>
          <w:szCs w:val="24"/>
        </w:rPr>
      </w:pPr>
    </w:p>
    <w:p w14:paraId="2530FEB9" w14:textId="458E0F39" w:rsidR="0084300B" w:rsidRPr="00ED3955" w:rsidRDefault="0C7999BD" w:rsidP="002464B4">
      <w:pPr>
        <w:spacing w:line="276" w:lineRule="auto"/>
        <w:jc w:val="both"/>
        <w:rPr>
          <w:rFonts w:ascii="Arial" w:hAnsi="Arial" w:cs="Arial"/>
          <w:spacing w:val="-4"/>
          <w:sz w:val="24"/>
          <w:szCs w:val="24"/>
        </w:rPr>
      </w:pPr>
      <w:r w:rsidRPr="00ED3955">
        <w:rPr>
          <w:rFonts w:ascii="Arial" w:hAnsi="Arial" w:cs="Arial"/>
          <w:spacing w:val="-4"/>
          <w:sz w:val="24"/>
          <w:szCs w:val="24"/>
        </w:rPr>
        <w:t>En providencia de fecha de 30 de junio de 2021 el juez de la causa, a pesar de percatarse</w:t>
      </w:r>
      <w:r w:rsidR="0025118E" w:rsidRPr="00ED3955">
        <w:rPr>
          <w:rFonts w:ascii="Arial" w:hAnsi="Arial" w:cs="Arial"/>
          <w:spacing w:val="-4"/>
          <w:sz w:val="24"/>
          <w:szCs w:val="24"/>
        </w:rPr>
        <w:t xml:space="preserve"> </w:t>
      </w:r>
      <w:r w:rsidRPr="00ED3955">
        <w:rPr>
          <w:rFonts w:ascii="Arial" w:hAnsi="Arial" w:cs="Arial"/>
          <w:spacing w:val="-4"/>
          <w:sz w:val="24"/>
          <w:szCs w:val="24"/>
        </w:rPr>
        <w:t>que el monto de intereses moratorios reclamados en el recurso supera el valor anunciado en las pretensiones de la demanda ejecutiva, tasados allí en la suma de $</w:t>
      </w:r>
      <w:r w:rsidRPr="00ED3955">
        <w:rPr>
          <w:rFonts w:ascii="Arial" w:hAnsi="Arial" w:cs="Arial"/>
          <w:b/>
          <w:bCs/>
          <w:spacing w:val="-4"/>
          <w:sz w:val="24"/>
          <w:szCs w:val="24"/>
        </w:rPr>
        <w:t>120.055.913,</w:t>
      </w:r>
      <w:r w:rsidRPr="00ED3955">
        <w:rPr>
          <w:rFonts w:ascii="Arial" w:hAnsi="Arial" w:cs="Arial"/>
          <w:spacing w:val="-4"/>
          <w:sz w:val="24"/>
          <w:szCs w:val="24"/>
        </w:rPr>
        <w:t xml:space="preserve"> repuso el mandamiento de pago, pues consideró que, en efecto, como lo dice el accionante, el capital respecto al cual deben calcularse tales réditos, es del orden de $146.703.000, que representa el valor del bono pensional liquidado por el Ministerio de Hacienda y Crédito Público.</w:t>
      </w:r>
    </w:p>
    <w:p w14:paraId="401ACED9" w14:textId="2ACE6996" w:rsidR="0084300B" w:rsidRPr="00ED3955" w:rsidRDefault="0084300B" w:rsidP="002464B4">
      <w:pPr>
        <w:spacing w:line="276" w:lineRule="auto"/>
        <w:jc w:val="both"/>
        <w:rPr>
          <w:rFonts w:ascii="Arial" w:hAnsi="Arial" w:cs="Arial"/>
          <w:spacing w:val="-4"/>
          <w:sz w:val="24"/>
          <w:szCs w:val="24"/>
        </w:rPr>
      </w:pPr>
    </w:p>
    <w:p w14:paraId="530B3BF7" w14:textId="1B1EEF3A" w:rsidR="0084300B" w:rsidRPr="00ED3955" w:rsidRDefault="0C7999BD" w:rsidP="002464B4">
      <w:pPr>
        <w:spacing w:line="276" w:lineRule="auto"/>
        <w:jc w:val="both"/>
        <w:rPr>
          <w:rFonts w:ascii="Arial" w:hAnsi="Arial" w:cs="Arial"/>
          <w:spacing w:val="-4"/>
          <w:sz w:val="24"/>
          <w:szCs w:val="24"/>
          <w:highlight w:val="yellow"/>
        </w:rPr>
      </w:pPr>
      <w:r w:rsidRPr="00ED3955">
        <w:rPr>
          <w:rFonts w:ascii="Arial" w:hAnsi="Arial" w:cs="Arial"/>
          <w:spacing w:val="-4"/>
          <w:sz w:val="24"/>
          <w:szCs w:val="24"/>
        </w:rPr>
        <w:t>Fue así entonces que procedió a fijar y librar mandamiento de pago por los intereses moratorios en la suma de $144.144.500, en el periodo comprendido entre el 17 de noviembre de 2015 y el 31 de octubre de 2019.</w:t>
      </w:r>
      <w:r w:rsidR="0025118E" w:rsidRPr="00ED3955">
        <w:rPr>
          <w:rFonts w:ascii="Arial" w:hAnsi="Arial" w:cs="Arial"/>
          <w:spacing w:val="-4"/>
          <w:sz w:val="24"/>
          <w:szCs w:val="24"/>
        </w:rPr>
        <w:t xml:space="preserve">  </w:t>
      </w:r>
      <w:r w:rsidRPr="00ED3955">
        <w:rPr>
          <w:rFonts w:ascii="Arial" w:hAnsi="Arial" w:cs="Arial"/>
          <w:spacing w:val="-4"/>
          <w:sz w:val="24"/>
          <w:szCs w:val="24"/>
        </w:rPr>
        <w:t>Consecuente con lo anterior, la limitación de la medida cautelar la estableció en la suma de $170.000.000.</w:t>
      </w:r>
    </w:p>
    <w:p w14:paraId="44EAFD9C" w14:textId="77777777" w:rsidR="0084300B" w:rsidRPr="00ED3955" w:rsidRDefault="0084300B" w:rsidP="002464B4">
      <w:pPr>
        <w:spacing w:line="276" w:lineRule="auto"/>
        <w:jc w:val="both"/>
        <w:rPr>
          <w:rFonts w:ascii="Arial" w:hAnsi="Arial" w:cs="Arial"/>
          <w:spacing w:val="-4"/>
          <w:sz w:val="24"/>
          <w:szCs w:val="24"/>
        </w:rPr>
      </w:pPr>
    </w:p>
    <w:p w14:paraId="233F1F24" w14:textId="2CA22DD4" w:rsidR="0084300B" w:rsidRPr="00ED3955" w:rsidRDefault="0084300B" w:rsidP="002464B4">
      <w:pPr>
        <w:spacing w:line="276" w:lineRule="auto"/>
        <w:jc w:val="both"/>
        <w:rPr>
          <w:rFonts w:ascii="Arial" w:hAnsi="Arial" w:cs="Arial"/>
          <w:spacing w:val="-4"/>
          <w:sz w:val="24"/>
          <w:szCs w:val="24"/>
        </w:rPr>
      </w:pPr>
      <w:r w:rsidRPr="00ED3955">
        <w:rPr>
          <w:rFonts w:ascii="Arial" w:hAnsi="Arial" w:cs="Arial"/>
          <w:spacing w:val="-4"/>
          <w:sz w:val="24"/>
          <w:szCs w:val="24"/>
        </w:rPr>
        <w:t>Ahora, como quiera que el recurso de apelación fue formulado de manera subsidiaria</w:t>
      </w:r>
      <w:r w:rsidR="00280A3F" w:rsidRPr="00ED3955">
        <w:rPr>
          <w:rFonts w:ascii="Arial" w:hAnsi="Arial" w:cs="Arial"/>
          <w:spacing w:val="-4"/>
          <w:sz w:val="24"/>
          <w:szCs w:val="24"/>
        </w:rPr>
        <w:t xml:space="preserve"> y, teniendo en cuenta que el ejecutante pretende que se libre mandamiento a título de intereses moratorios por la suma de $159.250.539, </w:t>
      </w:r>
      <w:r w:rsidR="00722E5C" w:rsidRPr="00ED3955">
        <w:rPr>
          <w:rFonts w:ascii="Arial" w:hAnsi="Arial" w:cs="Arial"/>
          <w:spacing w:val="-4"/>
          <w:sz w:val="24"/>
          <w:szCs w:val="24"/>
        </w:rPr>
        <w:t xml:space="preserve">cifra superior a la establecida por el juzgado, se </w:t>
      </w:r>
      <w:r w:rsidRPr="00ED3955">
        <w:rPr>
          <w:rFonts w:ascii="Arial" w:hAnsi="Arial" w:cs="Arial"/>
          <w:spacing w:val="-4"/>
          <w:sz w:val="24"/>
          <w:szCs w:val="24"/>
        </w:rPr>
        <w:t>concedió la alzada disponiendo la remisión del expediente a esta Superioridad para definir lo pertinente.</w:t>
      </w:r>
    </w:p>
    <w:p w14:paraId="4B94D5A5" w14:textId="77777777" w:rsidR="0084300B" w:rsidRPr="00ED3955" w:rsidRDefault="0084300B" w:rsidP="002464B4">
      <w:pPr>
        <w:spacing w:line="276" w:lineRule="auto"/>
        <w:jc w:val="both"/>
        <w:rPr>
          <w:rFonts w:ascii="Arial" w:hAnsi="Arial" w:cs="Arial"/>
          <w:spacing w:val="-4"/>
          <w:sz w:val="24"/>
          <w:szCs w:val="24"/>
        </w:rPr>
      </w:pPr>
    </w:p>
    <w:p w14:paraId="26DAF0E7" w14:textId="70123AFD" w:rsidR="0084300B" w:rsidRPr="00ED3955" w:rsidRDefault="0084300B" w:rsidP="002464B4">
      <w:pPr>
        <w:spacing w:line="276" w:lineRule="auto"/>
        <w:jc w:val="both"/>
        <w:rPr>
          <w:rFonts w:ascii="Arial" w:hAnsi="Arial" w:cs="Arial"/>
          <w:spacing w:val="-4"/>
          <w:sz w:val="24"/>
          <w:szCs w:val="24"/>
        </w:rPr>
      </w:pPr>
      <w:r w:rsidRPr="00ED3955">
        <w:rPr>
          <w:rFonts w:ascii="Arial" w:hAnsi="Arial" w:cs="Arial"/>
          <w:spacing w:val="-4"/>
          <w:sz w:val="24"/>
          <w:szCs w:val="24"/>
        </w:rPr>
        <w:t>Una vez arribó el proceso, se admitió el recurso formulado y posteriormente se corrió traslado a las partes para formular sus alegatos, el cual trascurrió en silencio.</w:t>
      </w:r>
    </w:p>
    <w:p w14:paraId="3DEEC669" w14:textId="77777777" w:rsidR="00722E5C" w:rsidRPr="00ED3955" w:rsidRDefault="00722E5C" w:rsidP="002464B4">
      <w:pPr>
        <w:spacing w:line="276" w:lineRule="auto"/>
        <w:jc w:val="both"/>
        <w:rPr>
          <w:rFonts w:ascii="Arial" w:hAnsi="Arial" w:cs="Arial"/>
          <w:spacing w:val="-4"/>
          <w:sz w:val="24"/>
          <w:szCs w:val="24"/>
        </w:rPr>
      </w:pPr>
    </w:p>
    <w:p w14:paraId="7F68FFBC" w14:textId="46A2D2AB" w:rsidR="00722E5C" w:rsidRPr="00ED3955" w:rsidRDefault="09DC20F8" w:rsidP="002464B4">
      <w:pPr>
        <w:spacing w:line="276" w:lineRule="auto"/>
        <w:jc w:val="both"/>
        <w:rPr>
          <w:rFonts w:ascii="Arial" w:hAnsi="Arial" w:cs="Arial"/>
          <w:spacing w:val="-4"/>
          <w:sz w:val="24"/>
          <w:szCs w:val="24"/>
        </w:rPr>
      </w:pPr>
      <w:r w:rsidRPr="00ED3955">
        <w:rPr>
          <w:rFonts w:ascii="Arial" w:hAnsi="Arial" w:cs="Arial"/>
          <w:spacing w:val="-4"/>
          <w:sz w:val="24"/>
          <w:szCs w:val="24"/>
        </w:rPr>
        <w:lastRenderedPageBreak/>
        <w:t>Mediante auto de fecha 11 de julio de 2022, advirtiendo la necesidad de determinar el monto real de la obligación a cargo de la Cartera ejecutada, se dispuso oficiar al Ministerio de Hacienda y Crédito Público –Oficina de Bonos Pensionales</w:t>
      </w:r>
      <w:r w:rsidR="009B0CCB" w:rsidRPr="00ED3955">
        <w:rPr>
          <w:rFonts w:ascii="Arial" w:hAnsi="Arial" w:cs="Arial"/>
          <w:spacing w:val="-4"/>
          <w:sz w:val="24"/>
          <w:szCs w:val="24"/>
        </w:rPr>
        <w:t>–</w:t>
      </w:r>
      <w:r w:rsidRPr="00ED3955">
        <w:rPr>
          <w:rFonts w:ascii="Arial" w:hAnsi="Arial" w:cs="Arial"/>
          <w:spacing w:val="-4"/>
          <w:sz w:val="24"/>
          <w:szCs w:val="24"/>
        </w:rPr>
        <w:t xml:space="preserve"> con el fin de que informara el valor del bono pensional A del señor Huberto </w:t>
      </w:r>
      <w:r w:rsidR="0022273D" w:rsidRPr="00ED3955">
        <w:rPr>
          <w:rFonts w:ascii="Arial" w:hAnsi="Arial" w:cs="Arial"/>
          <w:spacing w:val="-4"/>
          <w:sz w:val="24"/>
          <w:szCs w:val="24"/>
        </w:rPr>
        <w:t>Fernández Hernández</w:t>
      </w:r>
      <w:r w:rsidRPr="00ED3955">
        <w:rPr>
          <w:rFonts w:ascii="Arial" w:hAnsi="Arial" w:cs="Arial"/>
          <w:spacing w:val="-4"/>
          <w:sz w:val="24"/>
          <w:szCs w:val="24"/>
        </w:rPr>
        <w:t xml:space="preserve"> a la fecha de redención normal -</w:t>
      </w:r>
      <w:r w:rsidRPr="00ED3955">
        <w:rPr>
          <w:rFonts w:ascii="Arial" w:hAnsi="Arial" w:cs="Arial"/>
          <w:i/>
          <w:iCs/>
          <w:spacing w:val="-4"/>
          <w:sz w:val="24"/>
          <w:szCs w:val="24"/>
        </w:rPr>
        <w:t>17 de octubre de 2015</w:t>
      </w:r>
      <w:r w:rsidRPr="00ED3955">
        <w:rPr>
          <w:rFonts w:ascii="Arial" w:hAnsi="Arial" w:cs="Arial"/>
          <w:spacing w:val="-4"/>
          <w:sz w:val="24"/>
          <w:szCs w:val="24"/>
        </w:rPr>
        <w:t>-, para de ese modo poder establecer el valor de los intereses cobrados.</w:t>
      </w:r>
    </w:p>
    <w:p w14:paraId="3656B9AB" w14:textId="77777777" w:rsidR="00722E5C" w:rsidRPr="00ED3955" w:rsidRDefault="00722E5C" w:rsidP="002464B4">
      <w:pPr>
        <w:spacing w:line="276" w:lineRule="auto"/>
        <w:jc w:val="both"/>
        <w:rPr>
          <w:rFonts w:ascii="Arial" w:hAnsi="Arial" w:cs="Arial"/>
          <w:spacing w:val="-4"/>
          <w:sz w:val="24"/>
          <w:szCs w:val="24"/>
        </w:rPr>
      </w:pPr>
    </w:p>
    <w:p w14:paraId="73905EC6" w14:textId="53149360" w:rsidR="00722E5C" w:rsidRPr="00ED3955" w:rsidRDefault="09DC20F8" w:rsidP="002464B4">
      <w:pPr>
        <w:spacing w:line="276" w:lineRule="auto"/>
        <w:jc w:val="both"/>
        <w:rPr>
          <w:rFonts w:ascii="Arial" w:hAnsi="Arial" w:cs="Arial"/>
          <w:spacing w:val="-4"/>
          <w:sz w:val="24"/>
          <w:szCs w:val="24"/>
        </w:rPr>
      </w:pPr>
      <w:r w:rsidRPr="00ED3955">
        <w:rPr>
          <w:rFonts w:ascii="Arial" w:hAnsi="Arial" w:cs="Arial"/>
          <w:spacing w:val="-4"/>
          <w:sz w:val="24"/>
          <w:szCs w:val="24"/>
        </w:rPr>
        <w:t xml:space="preserve">Mediante escrito de fecha </w:t>
      </w:r>
      <w:r w:rsidR="5588939A" w:rsidRPr="00ED3955">
        <w:rPr>
          <w:rFonts w:ascii="Arial" w:hAnsi="Arial" w:cs="Arial"/>
          <w:spacing w:val="-4"/>
          <w:sz w:val="24"/>
          <w:szCs w:val="24"/>
        </w:rPr>
        <w:t>22 de julio de 2022 la entidad dio respuesta informando que el titulo pensional, a fecha de redención, tenía un valor de $122.742.000</w:t>
      </w:r>
    </w:p>
    <w:p w14:paraId="45FB0818" w14:textId="77777777" w:rsidR="00722E5C" w:rsidRPr="00ED3955" w:rsidRDefault="00722E5C" w:rsidP="002464B4">
      <w:pPr>
        <w:spacing w:line="276" w:lineRule="auto"/>
        <w:jc w:val="both"/>
        <w:rPr>
          <w:rFonts w:ascii="Arial" w:hAnsi="Arial" w:cs="Arial"/>
          <w:spacing w:val="-4"/>
          <w:sz w:val="24"/>
          <w:szCs w:val="24"/>
        </w:rPr>
      </w:pPr>
    </w:p>
    <w:p w14:paraId="2C382976" w14:textId="7BBA986F" w:rsidR="0084300B" w:rsidRPr="00ED3955" w:rsidRDefault="0084300B" w:rsidP="002464B4">
      <w:pPr>
        <w:spacing w:line="276" w:lineRule="auto"/>
        <w:jc w:val="both"/>
        <w:rPr>
          <w:rFonts w:ascii="Arial" w:hAnsi="Arial" w:cs="Arial"/>
          <w:spacing w:val="-4"/>
          <w:sz w:val="24"/>
          <w:szCs w:val="24"/>
        </w:rPr>
      </w:pPr>
      <w:r w:rsidRPr="00ED3955">
        <w:rPr>
          <w:rFonts w:ascii="Arial" w:hAnsi="Arial" w:cs="Arial"/>
          <w:spacing w:val="-4"/>
          <w:sz w:val="24"/>
          <w:szCs w:val="24"/>
        </w:rPr>
        <w:t>Obtenida dicha información, procede entonces la Sala a decidir lo que es materia del recurso y para ello deben tenerse en cuenta las siguientes</w:t>
      </w:r>
    </w:p>
    <w:p w14:paraId="049F31CB" w14:textId="77777777" w:rsidR="0084300B" w:rsidRPr="00ED3955" w:rsidRDefault="0084300B" w:rsidP="002464B4">
      <w:pPr>
        <w:spacing w:line="276" w:lineRule="auto"/>
        <w:jc w:val="both"/>
        <w:rPr>
          <w:rFonts w:ascii="Arial" w:hAnsi="Arial" w:cs="Arial"/>
          <w:spacing w:val="-4"/>
          <w:sz w:val="24"/>
          <w:szCs w:val="24"/>
        </w:rPr>
      </w:pPr>
    </w:p>
    <w:p w14:paraId="35CE8A98" w14:textId="77777777" w:rsidR="0084300B" w:rsidRPr="00ED3955" w:rsidRDefault="0084300B" w:rsidP="002464B4">
      <w:pPr>
        <w:pStyle w:val="Ttulo4"/>
        <w:spacing w:line="276" w:lineRule="auto"/>
        <w:rPr>
          <w:rFonts w:cs="Arial"/>
          <w:b/>
          <w:spacing w:val="-4"/>
          <w:sz w:val="24"/>
          <w:szCs w:val="24"/>
        </w:rPr>
      </w:pPr>
      <w:r w:rsidRPr="00ED3955">
        <w:rPr>
          <w:rFonts w:cs="Arial"/>
          <w:b/>
          <w:spacing w:val="-4"/>
          <w:sz w:val="24"/>
          <w:szCs w:val="24"/>
        </w:rPr>
        <w:t>CONSIDERACIONES:</w:t>
      </w:r>
    </w:p>
    <w:p w14:paraId="53128261" w14:textId="77777777" w:rsidR="0084300B" w:rsidRPr="00ED3955" w:rsidRDefault="0084300B" w:rsidP="002464B4">
      <w:pPr>
        <w:pStyle w:val="Textoindependiente"/>
        <w:spacing w:line="276" w:lineRule="auto"/>
        <w:rPr>
          <w:rFonts w:cs="Arial"/>
          <w:b/>
          <w:bCs/>
          <w:spacing w:val="-4"/>
          <w:sz w:val="24"/>
          <w:szCs w:val="24"/>
        </w:rPr>
      </w:pPr>
    </w:p>
    <w:p w14:paraId="35257AC3" w14:textId="77777777" w:rsidR="0084300B" w:rsidRPr="00ED3955" w:rsidRDefault="0084300B" w:rsidP="002464B4">
      <w:pPr>
        <w:widowControl w:val="0"/>
        <w:autoSpaceDE w:val="0"/>
        <w:autoSpaceDN w:val="0"/>
        <w:adjustRightInd w:val="0"/>
        <w:spacing w:line="276" w:lineRule="auto"/>
        <w:jc w:val="both"/>
        <w:rPr>
          <w:rFonts w:ascii="Arial" w:hAnsi="Arial" w:cs="Arial"/>
          <w:spacing w:val="-4"/>
          <w:sz w:val="24"/>
          <w:szCs w:val="24"/>
        </w:rPr>
      </w:pPr>
      <w:r w:rsidRPr="00ED3955">
        <w:rPr>
          <w:rFonts w:ascii="Arial" w:hAnsi="Arial" w:cs="Arial"/>
          <w:spacing w:val="-4"/>
          <w:sz w:val="24"/>
          <w:szCs w:val="24"/>
          <w:lang w:val="es-ES"/>
        </w:rPr>
        <w:t>El asunto bajo análisis, plantea a la Sala el siguiente</w:t>
      </w:r>
      <w:r w:rsidRPr="00ED3955">
        <w:rPr>
          <w:rFonts w:ascii="Arial" w:hAnsi="Arial" w:cs="Arial"/>
          <w:spacing w:val="-4"/>
          <w:sz w:val="24"/>
          <w:szCs w:val="24"/>
        </w:rPr>
        <w:t>:</w:t>
      </w:r>
    </w:p>
    <w:p w14:paraId="62486C05" w14:textId="77777777" w:rsidR="0084300B" w:rsidRPr="00ED3955" w:rsidRDefault="0084300B" w:rsidP="002464B4">
      <w:pPr>
        <w:widowControl w:val="0"/>
        <w:autoSpaceDE w:val="0"/>
        <w:autoSpaceDN w:val="0"/>
        <w:adjustRightInd w:val="0"/>
        <w:spacing w:line="276" w:lineRule="auto"/>
        <w:jc w:val="both"/>
        <w:rPr>
          <w:rFonts w:ascii="Arial" w:hAnsi="Arial" w:cs="Arial"/>
          <w:spacing w:val="-4"/>
          <w:sz w:val="24"/>
          <w:szCs w:val="24"/>
        </w:rPr>
      </w:pPr>
    </w:p>
    <w:p w14:paraId="4167840F" w14:textId="0C417AFF" w:rsidR="0084300B" w:rsidRPr="00ED3955" w:rsidRDefault="0084300B" w:rsidP="002464B4">
      <w:pPr>
        <w:widowControl w:val="0"/>
        <w:autoSpaceDE w:val="0"/>
        <w:autoSpaceDN w:val="0"/>
        <w:adjustRightInd w:val="0"/>
        <w:spacing w:line="276" w:lineRule="auto"/>
        <w:jc w:val="both"/>
        <w:rPr>
          <w:rFonts w:ascii="Arial" w:hAnsi="Arial" w:cs="Arial"/>
          <w:b/>
          <w:bCs/>
          <w:spacing w:val="-4"/>
          <w:sz w:val="24"/>
          <w:szCs w:val="24"/>
        </w:rPr>
      </w:pPr>
      <w:r w:rsidRPr="00ED3955">
        <w:rPr>
          <w:rFonts w:ascii="Arial" w:hAnsi="Arial" w:cs="Arial"/>
          <w:b/>
          <w:bCs/>
          <w:spacing w:val="-4"/>
          <w:sz w:val="24"/>
          <w:szCs w:val="24"/>
        </w:rPr>
        <w:t>PROBLEMA JURÍDICO</w:t>
      </w:r>
    </w:p>
    <w:p w14:paraId="4101652C" w14:textId="77777777" w:rsidR="0084300B" w:rsidRPr="00ED3955" w:rsidRDefault="0084300B" w:rsidP="002464B4">
      <w:pPr>
        <w:widowControl w:val="0"/>
        <w:autoSpaceDE w:val="0"/>
        <w:autoSpaceDN w:val="0"/>
        <w:adjustRightInd w:val="0"/>
        <w:spacing w:line="276" w:lineRule="auto"/>
        <w:jc w:val="both"/>
        <w:rPr>
          <w:rFonts w:ascii="Arial" w:hAnsi="Arial" w:cs="Arial"/>
          <w:spacing w:val="-4"/>
          <w:sz w:val="24"/>
          <w:szCs w:val="24"/>
        </w:rPr>
      </w:pPr>
    </w:p>
    <w:p w14:paraId="48970CEB" w14:textId="6408C595" w:rsidR="0084300B" w:rsidRPr="00ED3955" w:rsidRDefault="0084300B" w:rsidP="00CB0718">
      <w:pPr>
        <w:spacing w:line="276" w:lineRule="auto"/>
        <w:ind w:left="426" w:right="420"/>
        <w:jc w:val="both"/>
        <w:rPr>
          <w:rFonts w:ascii="Arial" w:hAnsi="Arial" w:cs="Arial"/>
          <w:b/>
          <w:bCs/>
          <w:i/>
          <w:iCs/>
          <w:spacing w:val="-4"/>
          <w:sz w:val="24"/>
          <w:szCs w:val="24"/>
        </w:rPr>
      </w:pPr>
      <w:r w:rsidRPr="00ED3955">
        <w:rPr>
          <w:rFonts w:ascii="Arial" w:hAnsi="Arial" w:cs="Arial"/>
          <w:b/>
          <w:bCs/>
          <w:i/>
          <w:iCs/>
          <w:spacing w:val="-4"/>
          <w:sz w:val="24"/>
          <w:szCs w:val="24"/>
        </w:rPr>
        <w:t>¿Cuál es el valor del capital cobrado a título de intereses de que trata el artículo 12 del Decreto 1748 de 1995, liquidado sobre el valor, a la fecha redención, del bono pensional tipo A del ejecutante?</w:t>
      </w:r>
    </w:p>
    <w:p w14:paraId="1299C43A" w14:textId="77777777" w:rsidR="0084300B" w:rsidRPr="00ED3955" w:rsidRDefault="0084300B" w:rsidP="002464B4">
      <w:pPr>
        <w:widowControl w:val="0"/>
        <w:tabs>
          <w:tab w:val="left" w:pos="2598"/>
        </w:tabs>
        <w:autoSpaceDE w:val="0"/>
        <w:autoSpaceDN w:val="0"/>
        <w:adjustRightInd w:val="0"/>
        <w:spacing w:line="276" w:lineRule="auto"/>
        <w:jc w:val="both"/>
        <w:rPr>
          <w:rFonts w:ascii="Arial" w:hAnsi="Arial" w:cs="Arial"/>
          <w:spacing w:val="-4"/>
          <w:sz w:val="24"/>
          <w:szCs w:val="24"/>
        </w:rPr>
      </w:pPr>
      <w:r w:rsidRPr="00ED3955">
        <w:rPr>
          <w:rFonts w:ascii="Arial" w:hAnsi="Arial" w:cs="Arial"/>
          <w:spacing w:val="-4"/>
          <w:sz w:val="24"/>
          <w:szCs w:val="24"/>
        </w:rPr>
        <w:tab/>
      </w:r>
    </w:p>
    <w:p w14:paraId="1D91C87D" w14:textId="66DE56F0" w:rsidR="0084300B" w:rsidRPr="00ED3955" w:rsidRDefault="0084300B" w:rsidP="002464B4">
      <w:pPr>
        <w:pStyle w:val="Textoindependiente"/>
        <w:spacing w:line="276" w:lineRule="auto"/>
        <w:rPr>
          <w:rFonts w:cs="Arial"/>
          <w:spacing w:val="-4"/>
          <w:sz w:val="24"/>
          <w:szCs w:val="24"/>
        </w:rPr>
      </w:pPr>
      <w:r w:rsidRPr="00ED3955">
        <w:rPr>
          <w:rFonts w:cs="Arial"/>
          <w:spacing w:val="-4"/>
          <w:sz w:val="24"/>
          <w:szCs w:val="24"/>
        </w:rPr>
        <w:t>Para resolver el interrogante planteado, la Sala estima pertinente hacer las siguientes precisiones:</w:t>
      </w:r>
    </w:p>
    <w:p w14:paraId="4DDBEF00" w14:textId="77777777" w:rsidR="0084300B" w:rsidRPr="00ED3955" w:rsidRDefault="0084300B" w:rsidP="002464B4">
      <w:pPr>
        <w:pStyle w:val="Textoindependiente"/>
        <w:spacing w:line="276" w:lineRule="auto"/>
        <w:rPr>
          <w:rFonts w:cs="Arial"/>
          <w:spacing w:val="-4"/>
          <w:sz w:val="24"/>
          <w:szCs w:val="24"/>
        </w:rPr>
      </w:pPr>
    </w:p>
    <w:p w14:paraId="2BB31CCF" w14:textId="77777777" w:rsidR="0084300B" w:rsidRPr="00ED3955" w:rsidRDefault="0084300B" w:rsidP="002464B4">
      <w:pPr>
        <w:numPr>
          <w:ilvl w:val="0"/>
          <w:numId w:val="1"/>
        </w:numPr>
        <w:spacing w:line="276" w:lineRule="auto"/>
        <w:ind w:left="426" w:hanging="426"/>
        <w:jc w:val="both"/>
        <w:rPr>
          <w:rFonts w:ascii="Arial" w:hAnsi="Arial" w:cs="Arial"/>
          <w:b/>
          <w:spacing w:val="-4"/>
          <w:sz w:val="24"/>
          <w:szCs w:val="24"/>
        </w:rPr>
      </w:pPr>
      <w:r w:rsidRPr="00ED3955">
        <w:rPr>
          <w:rFonts w:ascii="Arial" w:hAnsi="Arial" w:cs="Arial"/>
          <w:b/>
          <w:spacing w:val="-4"/>
          <w:sz w:val="24"/>
          <w:szCs w:val="24"/>
        </w:rPr>
        <w:t>DE LA SENTENCIA COMO TÍTULO EJECUTIVO.</w:t>
      </w:r>
    </w:p>
    <w:p w14:paraId="3CF2D8B6" w14:textId="77777777" w:rsidR="0084300B" w:rsidRPr="00ED3955" w:rsidRDefault="0084300B" w:rsidP="002464B4">
      <w:pPr>
        <w:spacing w:line="276" w:lineRule="auto"/>
        <w:jc w:val="both"/>
        <w:rPr>
          <w:rFonts w:ascii="Arial" w:hAnsi="Arial" w:cs="Arial"/>
          <w:spacing w:val="-4"/>
          <w:sz w:val="24"/>
          <w:szCs w:val="24"/>
        </w:rPr>
      </w:pPr>
    </w:p>
    <w:p w14:paraId="22B3C1D4" w14:textId="77777777" w:rsidR="0084300B" w:rsidRPr="00ED3955" w:rsidRDefault="0084300B" w:rsidP="002464B4">
      <w:pPr>
        <w:spacing w:line="276" w:lineRule="auto"/>
        <w:jc w:val="both"/>
        <w:rPr>
          <w:rFonts w:ascii="Arial" w:hAnsi="Arial" w:cs="Arial"/>
          <w:spacing w:val="-4"/>
          <w:sz w:val="24"/>
          <w:szCs w:val="24"/>
          <w:lang w:val="es-ES"/>
        </w:rPr>
      </w:pPr>
      <w:r w:rsidRPr="00ED3955">
        <w:rPr>
          <w:rFonts w:ascii="Arial" w:hAnsi="Arial" w:cs="Arial"/>
          <w:spacing w:val="-4"/>
          <w:sz w:val="24"/>
          <w:szCs w:val="24"/>
        </w:rPr>
        <w:t xml:space="preserve">De conformidad con los artículos 305 y 306 del C.G.P. aplicables por remisión analógica del artículo 145 del C.P.T y de la S.S., </w:t>
      </w:r>
      <w:r w:rsidRPr="00ED3955">
        <w:rPr>
          <w:rFonts w:ascii="Arial" w:hAnsi="Arial" w:cs="Arial"/>
          <w:spacing w:val="-4"/>
          <w:sz w:val="24"/>
          <w:szCs w:val="24"/>
          <w:lang w:val="es-ES"/>
        </w:rPr>
        <w:t>una vez la sentencia se encuentre ejecutoriada</w:t>
      </w:r>
      <w:r w:rsidRPr="00ED3955">
        <w:rPr>
          <w:rFonts w:ascii="Arial" w:hAnsi="Arial" w:cs="Arial"/>
          <w:spacing w:val="-4"/>
          <w:sz w:val="24"/>
          <w:szCs w:val="24"/>
        </w:rPr>
        <w:t xml:space="preserve"> se podrá adelantar proceso </w:t>
      </w:r>
      <w:r w:rsidRPr="00ED3955">
        <w:rPr>
          <w:rFonts w:ascii="Arial" w:hAnsi="Arial" w:cs="Arial"/>
          <w:spacing w:val="-4"/>
          <w:sz w:val="24"/>
          <w:szCs w:val="24"/>
          <w:lang w:val="es-ES"/>
        </w:rPr>
        <w:t xml:space="preserve">ejecutivo a continuación del ordinario laboral, con el objeto de exigir su cumplimiento. </w:t>
      </w:r>
    </w:p>
    <w:p w14:paraId="0FB78278" w14:textId="77777777" w:rsidR="0084300B" w:rsidRPr="00ED3955" w:rsidRDefault="0084300B" w:rsidP="002464B4">
      <w:pPr>
        <w:spacing w:line="276" w:lineRule="auto"/>
        <w:jc w:val="both"/>
        <w:rPr>
          <w:rFonts w:ascii="Arial" w:hAnsi="Arial" w:cs="Arial"/>
          <w:iCs/>
          <w:spacing w:val="-4"/>
          <w:sz w:val="24"/>
          <w:szCs w:val="24"/>
          <w:lang w:val="es-ES"/>
        </w:rPr>
      </w:pPr>
    </w:p>
    <w:p w14:paraId="173C4D67" w14:textId="77777777" w:rsidR="0084300B" w:rsidRPr="00ED3955" w:rsidRDefault="0084300B" w:rsidP="002464B4">
      <w:pPr>
        <w:spacing w:line="276" w:lineRule="auto"/>
        <w:jc w:val="both"/>
        <w:rPr>
          <w:rFonts w:ascii="Arial" w:hAnsi="Arial" w:cs="Arial"/>
          <w:spacing w:val="-4"/>
          <w:sz w:val="24"/>
          <w:szCs w:val="24"/>
          <w:lang w:val="es-ES"/>
        </w:rPr>
      </w:pPr>
      <w:r w:rsidRPr="00ED3955">
        <w:rPr>
          <w:rFonts w:ascii="Arial" w:hAnsi="Arial" w:cs="Arial"/>
          <w:spacing w:val="-4"/>
          <w:sz w:val="24"/>
          <w:szCs w:val="24"/>
          <w:lang w:val="es-ES"/>
        </w:rPr>
        <w:t>En ese sentido, prevén las mencionadas normas que para librarse el mandamiento de pago es preciso que las pretensiones del proceso ejecutivo sean concordantes con lo señalado en la parte resolutiva de la sentencia condenatoria del ordinario laboral.</w:t>
      </w:r>
    </w:p>
    <w:p w14:paraId="1B45C121" w14:textId="3354657F" w:rsidR="0084300B" w:rsidRPr="00ED3955" w:rsidRDefault="0084300B" w:rsidP="002464B4">
      <w:pPr>
        <w:pStyle w:val="Textoindependiente"/>
        <w:spacing w:line="276" w:lineRule="auto"/>
        <w:rPr>
          <w:rFonts w:cs="Arial"/>
          <w:spacing w:val="-4"/>
          <w:sz w:val="24"/>
          <w:szCs w:val="24"/>
        </w:rPr>
      </w:pPr>
    </w:p>
    <w:p w14:paraId="306DD7E9" w14:textId="12591D94" w:rsidR="0084300B" w:rsidRPr="00ED3955" w:rsidRDefault="5B76BF8B" w:rsidP="002464B4">
      <w:pPr>
        <w:spacing w:line="276" w:lineRule="auto"/>
        <w:jc w:val="both"/>
        <w:rPr>
          <w:rFonts w:ascii="Arial" w:hAnsi="Arial" w:cs="Arial"/>
          <w:b/>
          <w:bCs/>
          <w:spacing w:val="-4"/>
          <w:sz w:val="24"/>
          <w:szCs w:val="24"/>
          <w:lang w:val="es-ES"/>
        </w:rPr>
      </w:pPr>
      <w:r w:rsidRPr="00ED3955">
        <w:rPr>
          <w:rFonts w:ascii="Arial" w:eastAsia="Arial" w:hAnsi="Arial" w:cs="Arial"/>
          <w:b/>
          <w:bCs/>
          <w:spacing w:val="-4"/>
          <w:sz w:val="24"/>
          <w:szCs w:val="24"/>
          <w:lang w:val="es-ES"/>
        </w:rPr>
        <w:t>2.</w:t>
      </w:r>
      <w:r w:rsidR="0025118E" w:rsidRPr="00ED3955">
        <w:rPr>
          <w:rFonts w:ascii="Arial" w:eastAsia="Arial" w:hAnsi="Arial" w:cs="Arial"/>
          <w:b/>
          <w:bCs/>
          <w:spacing w:val="-4"/>
          <w:sz w:val="24"/>
          <w:szCs w:val="24"/>
          <w:lang w:val="es-ES"/>
        </w:rPr>
        <w:t xml:space="preserve"> </w:t>
      </w:r>
      <w:r w:rsidRPr="00ED3955">
        <w:rPr>
          <w:rFonts w:ascii="Arial" w:eastAsia="Arial" w:hAnsi="Arial" w:cs="Arial"/>
          <w:b/>
          <w:bCs/>
          <w:spacing w:val="-4"/>
          <w:sz w:val="24"/>
          <w:szCs w:val="24"/>
          <w:lang w:val="es-ES"/>
        </w:rPr>
        <w:t>DE LOS INTERESES POR TARDANZA EN EL PAGO DE BONOS PENSIONALES</w:t>
      </w:r>
    </w:p>
    <w:p w14:paraId="2968F92D" w14:textId="2969E028" w:rsidR="0084300B" w:rsidRPr="00ED3955" w:rsidRDefault="0084300B" w:rsidP="002464B4">
      <w:pPr>
        <w:spacing w:line="276" w:lineRule="auto"/>
        <w:jc w:val="both"/>
        <w:rPr>
          <w:rFonts w:ascii="Arial" w:hAnsi="Arial" w:cs="Arial"/>
          <w:b/>
          <w:bCs/>
          <w:spacing w:val="-4"/>
          <w:sz w:val="24"/>
          <w:szCs w:val="24"/>
          <w:lang w:val="es-ES"/>
        </w:rPr>
      </w:pPr>
    </w:p>
    <w:p w14:paraId="746C042C" w14:textId="4A1BF857" w:rsidR="0084300B" w:rsidRPr="00ED3955" w:rsidRDefault="5B76BF8B" w:rsidP="002464B4">
      <w:pPr>
        <w:spacing w:line="276" w:lineRule="auto"/>
        <w:jc w:val="both"/>
        <w:rPr>
          <w:rFonts w:ascii="Arial" w:eastAsia="Arial" w:hAnsi="Arial" w:cs="Arial"/>
          <w:color w:val="000000" w:themeColor="text1"/>
          <w:spacing w:val="-4"/>
          <w:sz w:val="24"/>
          <w:szCs w:val="24"/>
          <w:lang w:val="es-ES"/>
        </w:rPr>
      </w:pPr>
      <w:r w:rsidRPr="00ED3955">
        <w:rPr>
          <w:rFonts w:ascii="Arial" w:eastAsia="Arial" w:hAnsi="Arial" w:cs="Arial"/>
          <w:spacing w:val="-4"/>
          <w:sz w:val="24"/>
          <w:szCs w:val="24"/>
          <w:lang w:val="es-ES"/>
        </w:rPr>
        <w:t>El Decreto 1748 de 1995 “</w:t>
      </w:r>
      <w:r w:rsidRPr="00ED3955">
        <w:rPr>
          <w:rFonts w:ascii="Arial" w:eastAsia="Arial" w:hAnsi="Arial" w:cs="Arial"/>
          <w:i/>
          <w:iCs/>
          <w:color w:val="000000" w:themeColor="text1"/>
          <w:spacing w:val="-4"/>
          <w:sz w:val="22"/>
          <w:szCs w:val="24"/>
          <w:lang w:val="es-ES"/>
        </w:rPr>
        <w:t>Por el cual se dictan normas para la emisión, cálculo, redención y demás condiciones de los bonos pensionales</w:t>
      </w:r>
      <w:r w:rsidRPr="00ED3955">
        <w:rPr>
          <w:rFonts w:ascii="Arial" w:eastAsia="Arial" w:hAnsi="Arial" w:cs="Arial"/>
          <w:color w:val="000000" w:themeColor="text1"/>
          <w:spacing w:val="-4"/>
          <w:sz w:val="24"/>
          <w:szCs w:val="24"/>
          <w:lang w:val="es-ES"/>
        </w:rPr>
        <w:t>” entre otras disposiciones, establece en su artículo 17 que si el emisor o responsable de cuota parte de un bono no cancela, dentro del plazo establecido, esto es, el mes siguiente tratándose de bonos tipo A, se reconocerán intereses de mora a partir de la fecha límite, a la tasa establecida en el artículo 12 de la misma disposición</w:t>
      </w:r>
      <w:r w:rsidR="00B52FDE" w:rsidRPr="00ED3955">
        <w:rPr>
          <w:rFonts w:ascii="Arial" w:eastAsia="Arial" w:hAnsi="Arial" w:cs="Arial"/>
          <w:color w:val="000000" w:themeColor="text1"/>
          <w:spacing w:val="-4"/>
          <w:sz w:val="24"/>
          <w:szCs w:val="24"/>
          <w:lang w:val="es-ES"/>
        </w:rPr>
        <w:t>.</w:t>
      </w:r>
    </w:p>
    <w:p w14:paraId="6B1E4FD5" w14:textId="705358E0" w:rsidR="0084300B" w:rsidRPr="00ED3955" w:rsidRDefault="0084300B" w:rsidP="002464B4">
      <w:pPr>
        <w:spacing w:line="276" w:lineRule="auto"/>
        <w:jc w:val="both"/>
        <w:rPr>
          <w:rFonts w:ascii="Arial" w:hAnsi="Arial" w:cs="Arial"/>
          <w:color w:val="000000" w:themeColor="text1"/>
          <w:spacing w:val="-4"/>
          <w:sz w:val="24"/>
          <w:szCs w:val="24"/>
          <w:lang w:val="es-ES"/>
        </w:rPr>
      </w:pPr>
    </w:p>
    <w:p w14:paraId="55840D8F" w14:textId="21E7995C" w:rsidR="0084300B" w:rsidRPr="00ED3955" w:rsidRDefault="5B76BF8B" w:rsidP="002464B4">
      <w:pPr>
        <w:spacing w:line="276" w:lineRule="auto"/>
        <w:jc w:val="both"/>
        <w:rPr>
          <w:rFonts w:ascii="Arial" w:hAnsi="Arial" w:cs="Arial"/>
          <w:color w:val="000000" w:themeColor="text1"/>
          <w:spacing w:val="-4"/>
          <w:sz w:val="24"/>
          <w:szCs w:val="24"/>
          <w:lang w:val="es-ES"/>
        </w:rPr>
      </w:pPr>
      <w:r w:rsidRPr="00ED3955">
        <w:rPr>
          <w:rFonts w:ascii="Arial" w:eastAsia="Helvetica" w:hAnsi="Arial" w:cs="Arial"/>
          <w:color w:val="000000" w:themeColor="text1"/>
          <w:spacing w:val="-4"/>
          <w:sz w:val="24"/>
          <w:szCs w:val="24"/>
          <w:lang w:val="es-ES"/>
        </w:rPr>
        <w:t>Ahora esta última disposición establece que:</w:t>
      </w:r>
    </w:p>
    <w:p w14:paraId="0A63612F" w14:textId="00CDE0ED" w:rsidR="0084300B" w:rsidRPr="00ED3955" w:rsidRDefault="0084300B" w:rsidP="002464B4">
      <w:pPr>
        <w:spacing w:line="276" w:lineRule="auto"/>
        <w:ind w:left="630"/>
        <w:jc w:val="both"/>
        <w:rPr>
          <w:rFonts w:ascii="Arial" w:hAnsi="Arial" w:cs="Arial"/>
          <w:color w:val="000000" w:themeColor="text1"/>
          <w:spacing w:val="-4"/>
          <w:sz w:val="24"/>
          <w:szCs w:val="24"/>
          <w:lang w:val="es-ES"/>
        </w:rPr>
      </w:pPr>
    </w:p>
    <w:p w14:paraId="5168F1B1" w14:textId="037BF5AB" w:rsidR="0084300B" w:rsidRPr="00ED3955" w:rsidRDefault="5B76BF8B" w:rsidP="00AC4C88">
      <w:pPr>
        <w:ind w:left="426" w:right="420"/>
        <w:jc w:val="both"/>
        <w:rPr>
          <w:rFonts w:ascii="Arial" w:eastAsia="Arial" w:hAnsi="Arial" w:cs="Arial"/>
          <w:i/>
          <w:iCs/>
          <w:color w:val="000000" w:themeColor="text1"/>
          <w:spacing w:val="-4"/>
          <w:sz w:val="22"/>
          <w:szCs w:val="24"/>
          <w:lang w:val="es-ES"/>
        </w:rPr>
      </w:pPr>
      <w:r w:rsidRPr="00ED3955">
        <w:rPr>
          <w:rFonts w:ascii="Arial" w:eastAsia="Arial" w:hAnsi="Arial" w:cs="Arial"/>
          <w:i/>
          <w:iCs/>
          <w:color w:val="000000" w:themeColor="text1"/>
          <w:spacing w:val="-4"/>
          <w:sz w:val="22"/>
          <w:szCs w:val="24"/>
          <w:lang w:val="es-ES"/>
        </w:rPr>
        <w:lastRenderedPageBreak/>
        <w:t>“Sea F la fecha correspondiente al último día del mes anterior a la fecha límite en que debería haberse pagado el bono o su cuota sin intereses de mora, y sea A la fecha correspondiente a un año antes de F.</w:t>
      </w:r>
    </w:p>
    <w:p w14:paraId="374DC10F" w14:textId="182DAB49" w:rsidR="0084300B" w:rsidRPr="00ED3955" w:rsidRDefault="0084300B" w:rsidP="00AC4C88">
      <w:pPr>
        <w:ind w:left="426" w:right="420"/>
        <w:jc w:val="both"/>
        <w:rPr>
          <w:rFonts w:ascii="Arial" w:eastAsia="Arial" w:hAnsi="Arial" w:cs="Arial"/>
          <w:i/>
          <w:iCs/>
          <w:color w:val="000000" w:themeColor="text1"/>
          <w:spacing w:val="-4"/>
          <w:sz w:val="22"/>
          <w:szCs w:val="24"/>
          <w:lang w:val="es-ES"/>
        </w:rPr>
      </w:pPr>
    </w:p>
    <w:p w14:paraId="02941350" w14:textId="2E9F3B03" w:rsidR="0084300B" w:rsidRPr="00ED3955" w:rsidRDefault="5B76BF8B" w:rsidP="00AC4C88">
      <w:pPr>
        <w:ind w:left="426" w:right="420"/>
        <w:jc w:val="both"/>
        <w:rPr>
          <w:rFonts w:ascii="Arial" w:eastAsia="Arial" w:hAnsi="Arial" w:cs="Arial"/>
          <w:i/>
          <w:iCs/>
          <w:color w:val="000000" w:themeColor="text1"/>
          <w:spacing w:val="-4"/>
          <w:sz w:val="22"/>
          <w:szCs w:val="24"/>
          <w:lang w:val="es-ES"/>
        </w:rPr>
      </w:pPr>
      <w:r w:rsidRPr="00ED3955">
        <w:rPr>
          <w:rFonts w:ascii="Arial" w:eastAsia="Arial" w:hAnsi="Arial" w:cs="Arial"/>
          <w:i/>
          <w:iCs/>
          <w:color w:val="000000" w:themeColor="text1"/>
          <w:spacing w:val="-4"/>
          <w:sz w:val="22"/>
          <w:szCs w:val="24"/>
          <w:lang w:val="es-ES"/>
        </w:rPr>
        <w:t>Se definen:</w:t>
      </w:r>
    </w:p>
    <w:p w14:paraId="3A2E8384" w14:textId="610FCD6E" w:rsidR="0084300B" w:rsidRPr="00ED3955" w:rsidRDefault="0084300B" w:rsidP="00ED3955">
      <w:pPr>
        <w:ind w:left="426" w:right="420"/>
        <w:jc w:val="both"/>
        <w:rPr>
          <w:rFonts w:ascii="Arial" w:hAnsi="Arial" w:cs="Arial"/>
          <w:spacing w:val="-4"/>
          <w:sz w:val="22"/>
          <w:szCs w:val="24"/>
        </w:rPr>
      </w:pPr>
    </w:p>
    <w:p w14:paraId="72393199" w14:textId="6BC0AE15" w:rsidR="0084300B" w:rsidRPr="00ED3955" w:rsidRDefault="5B76BF8B" w:rsidP="00ED3955">
      <w:pPr>
        <w:ind w:left="426" w:right="420"/>
        <w:jc w:val="both"/>
        <w:rPr>
          <w:rFonts w:ascii="Arial" w:eastAsia="Calibri" w:hAnsi="Arial" w:cs="Arial"/>
          <w:color w:val="201F1E"/>
          <w:spacing w:val="-4"/>
          <w:sz w:val="22"/>
          <w:szCs w:val="24"/>
          <w:lang w:val="es-ES"/>
        </w:rPr>
      </w:pPr>
      <w:r w:rsidRPr="00ED3955">
        <w:rPr>
          <w:rFonts w:ascii="Arial" w:hAnsi="Arial" w:cs="Arial"/>
          <w:noProof/>
          <w:spacing w:val="-4"/>
          <w:sz w:val="22"/>
          <w:szCs w:val="24"/>
          <w:lang w:val="en-US" w:eastAsia="en-US"/>
        </w:rPr>
        <w:drawing>
          <wp:inline distT="0" distB="0" distL="0" distR="0" wp14:anchorId="1FE1C36A" wp14:editId="22EDB02C">
            <wp:extent cx="2781300" cy="485775"/>
            <wp:effectExtent l="0" t="0" r="0" b="0"/>
            <wp:docPr id="526869422" name="Imagen 526869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81300" cy="485775"/>
                    </a:xfrm>
                    <a:prstGeom prst="rect">
                      <a:avLst/>
                    </a:prstGeom>
                  </pic:spPr>
                </pic:pic>
              </a:graphicData>
            </a:graphic>
          </wp:inline>
        </w:drawing>
      </w:r>
      <w:r w:rsidRPr="00ED3955">
        <w:rPr>
          <w:rFonts w:ascii="Arial" w:eastAsia="Calibri" w:hAnsi="Arial" w:cs="Arial"/>
          <w:color w:val="201F1E"/>
          <w:spacing w:val="-4"/>
          <w:sz w:val="22"/>
          <w:szCs w:val="24"/>
          <w:lang w:val="es-ES"/>
        </w:rPr>
        <w:t xml:space="preserve"> </w:t>
      </w:r>
    </w:p>
    <w:p w14:paraId="261DDD87" w14:textId="2A6275DB" w:rsidR="0084300B" w:rsidRPr="00ED3955" w:rsidRDefault="0084300B" w:rsidP="00ED3955">
      <w:pPr>
        <w:ind w:left="426" w:right="420"/>
        <w:jc w:val="both"/>
        <w:rPr>
          <w:rFonts w:ascii="Arial" w:hAnsi="Arial" w:cs="Arial"/>
          <w:color w:val="201F1E"/>
          <w:spacing w:val="-4"/>
          <w:sz w:val="22"/>
          <w:szCs w:val="24"/>
          <w:lang w:val="es-ES"/>
        </w:rPr>
      </w:pPr>
    </w:p>
    <w:p w14:paraId="6E3077D9" w14:textId="6A7F0995" w:rsidR="0084300B" w:rsidRPr="00ED3955" w:rsidRDefault="5B76BF8B" w:rsidP="00ED3955">
      <w:pPr>
        <w:ind w:left="426" w:right="420"/>
        <w:jc w:val="both"/>
        <w:rPr>
          <w:rFonts w:ascii="Arial" w:hAnsi="Arial" w:cs="Arial"/>
          <w:spacing w:val="-4"/>
          <w:sz w:val="22"/>
          <w:szCs w:val="24"/>
        </w:rPr>
      </w:pPr>
      <w:r w:rsidRPr="00ED3955">
        <w:rPr>
          <w:rFonts w:ascii="Arial" w:hAnsi="Arial" w:cs="Arial"/>
          <w:noProof/>
          <w:spacing w:val="-4"/>
          <w:sz w:val="22"/>
          <w:szCs w:val="24"/>
          <w:lang w:val="en-US" w:eastAsia="en-US"/>
        </w:rPr>
        <w:drawing>
          <wp:inline distT="0" distB="0" distL="0" distR="0" wp14:anchorId="7A0B5B68" wp14:editId="21ED8A2D">
            <wp:extent cx="3181350" cy="409575"/>
            <wp:effectExtent l="0" t="0" r="0" b="0"/>
            <wp:docPr id="1271750395" name="Imagen 127175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81350" cy="409575"/>
                    </a:xfrm>
                    <a:prstGeom prst="rect">
                      <a:avLst/>
                    </a:prstGeom>
                  </pic:spPr>
                </pic:pic>
              </a:graphicData>
            </a:graphic>
          </wp:inline>
        </w:drawing>
      </w:r>
      <w:r w:rsidRPr="00ED3955">
        <w:rPr>
          <w:rFonts w:ascii="Arial" w:hAnsi="Arial" w:cs="Arial"/>
          <w:noProof/>
          <w:spacing w:val="-4"/>
          <w:sz w:val="22"/>
          <w:szCs w:val="24"/>
          <w:lang w:val="en-US" w:eastAsia="en-US"/>
        </w:rPr>
        <w:drawing>
          <wp:inline distT="0" distB="0" distL="0" distR="0" wp14:anchorId="6038155F" wp14:editId="1A389D16">
            <wp:extent cx="1143000" cy="438150"/>
            <wp:effectExtent l="0" t="0" r="0" b="0"/>
            <wp:docPr id="588818032" name="Imagen 58881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0" cy="438150"/>
                    </a:xfrm>
                    <a:prstGeom prst="rect">
                      <a:avLst/>
                    </a:prstGeom>
                  </pic:spPr>
                </pic:pic>
              </a:graphicData>
            </a:graphic>
          </wp:inline>
        </w:drawing>
      </w:r>
    </w:p>
    <w:p w14:paraId="43021D0A" w14:textId="6F40ACA8" w:rsidR="0084300B" w:rsidRPr="00ED3955" w:rsidRDefault="0084300B" w:rsidP="00ED3955">
      <w:pPr>
        <w:ind w:left="426" w:right="420"/>
        <w:jc w:val="both"/>
        <w:rPr>
          <w:rFonts w:ascii="Arial" w:eastAsia="Helvetica" w:hAnsi="Arial" w:cs="Arial"/>
          <w:i/>
          <w:iCs/>
          <w:color w:val="000000" w:themeColor="text1"/>
          <w:spacing w:val="-4"/>
          <w:sz w:val="22"/>
          <w:szCs w:val="24"/>
          <w:lang w:val="es-ES"/>
        </w:rPr>
      </w:pPr>
    </w:p>
    <w:p w14:paraId="1F495502" w14:textId="4A993E7C" w:rsidR="0084300B" w:rsidRPr="00ED3955" w:rsidRDefault="5B76BF8B" w:rsidP="00AC4C88">
      <w:pPr>
        <w:ind w:left="426" w:right="420"/>
        <w:jc w:val="both"/>
        <w:rPr>
          <w:rFonts w:ascii="Arial" w:eastAsia="Helvetica" w:hAnsi="Arial" w:cs="Arial"/>
          <w:i/>
          <w:iCs/>
          <w:color w:val="000000" w:themeColor="text1"/>
          <w:spacing w:val="-4"/>
          <w:sz w:val="22"/>
          <w:szCs w:val="24"/>
          <w:lang w:val="es-ES"/>
        </w:rPr>
      </w:pPr>
      <w:r w:rsidRPr="00ED3955">
        <w:rPr>
          <w:rFonts w:ascii="Arial" w:eastAsia="Helvetica" w:hAnsi="Arial" w:cs="Arial"/>
          <w:i/>
          <w:iCs/>
          <w:color w:val="000000" w:themeColor="text1"/>
          <w:spacing w:val="-4"/>
          <w:sz w:val="22"/>
          <w:szCs w:val="24"/>
          <w:lang w:val="es-ES"/>
        </w:rPr>
        <w:t>En el sector público, tanto el emisor como el responsable de cuota parte que no pague el bono o su cuota parte en F, reconocerán intereses de mora a la tasa efectiva anual TM1.</w:t>
      </w:r>
    </w:p>
    <w:p w14:paraId="1E9D8B50" w14:textId="1A4B4A9A" w:rsidR="0084300B" w:rsidRPr="00ED3955" w:rsidRDefault="0084300B" w:rsidP="00AC4C88">
      <w:pPr>
        <w:ind w:left="426" w:right="420"/>
        <w:jc w:val="both"/>
        <w:rPr>
          <w:rFonts w:ascii="Arial" w:hAnsi="Arial" w:cs="Arial"/>
          <w:i/>
          <w:iCs/>
          <w:color w:val="000000" w:themeColor="text1"/>
          <w:spacing w:val="-4"/>
          <w:sz w:val="22"/>
          <w:szCs w:val="24"/>
          <w:lang w:val="es-ES"/>
        </w:rPr>
      </w:pPr>
    </w:p>
    <w:p w14:paraId="7CF81622" w14:textId="7E6AF077" w:rsidR="0084300B" w:rsidRPr="00ED3955" w:rsidRDefault="5B76BF8B" w:rsidP="00AC4C88">
      <w:pPr>
        <w:ind w:left="426" w:right="420"/>
        <w:jc w:val="both"/>
        <w:rPr>
          <w:rFonts w:ascii="Arial" w:eastAsia="Helvetica" w:hAnsi="Arial" w:cs="Arial"/>
          <w:i/>
          <w:iCs/>
          <w:color w:val="000000" w:themeColor="text1"/>
          <w:spacing w:val="-4"/>
          <w:sz w:val="22"/>
          <w:szCs w:val="24"/>
          <w:lang w:val="es-ES"/>
        </w:rPr>
      </w:pPr>
      <w:r w:rsidRPr="00ED3955">
        <w:rPr>
          <w:rFonts w:ascii="Arial" w:eastAsia="Helvetica" w:hAnsi="Arial" w:cs="Arial"/>
          <w:i/>
          <w:iCs/>
          <w:color w:val="000000" w:themeColor="text1"/>
          <w:spacing w:val="-4"/>
          <w:sz w:val="22"/>
          <w:szCs w:val="24"/>
          <w:lang w:val="es-ES"/>
        </w:rPr>
        <w:t>En el sector privado, tanto el emisor como el responsable de cuota parte que no pague el bono en F, reconocerán intereses de mora a una tasa efectiva anual igual a la menor entre TM2 y la máxima tasa de interés de mora autorizada en ese momento por la Superintendencia Bancaria”.</w:t>
      </w:r>
    </w:p>
    <w:p w14:paraId="53F3F012" w14:textId="38B19991" w:rsidR="0084300B" w:rsidRPr="00ED3955" w:rsidRDefault="0084300B" w:rsidP="002464B4">
      <w:pPr>
        <w:spacing w:line="276" w:lineRule="auto"/>
        <w:jc w:val="both"/>
        <w:rPr>
          <w:rFonts w:ascii="Arial" w:hAnsi="Arial" w:cs="Arial"/>
          <w:i/>
          <w:iCs/>
          <w:spacing w:val="-4"/>
          <w:sz w:val="24"/>
          <w:szCs w:val="24"/>
        </w:rPr>
      </w:pPr>
    </w:p>
    <w:p w14:paraId="67A510B8" w14:textId="61FE5B35" w:rsidR="0084300B" w:rsidRPr="00ED3955" w:rsidRDefault="5B76BF8B" w:rsidP="002464B4">
      <w:pPr>
        <w:spacing w:line="276" w:lineRule="auto"/>
        <w:jc w:val="both"/>
        <w:rPr>
          <w:rFonts w:ascii="Arial" w:hAnsi="Arial" w:cs="Arial"/>
          <w:spacing w:val="-4"/>
          <w:sz w:val="24"/>
          <w:szCs w:val="24"/>
        </w:rPr>
      </w:pPr>
      <w:r w:rsidRPr="00ED3955">
        <w:rPr>
          <w:rFonts w:ascii="Arial" w:eastAsia="Arial" w:hAnsi="Arial" w:cs="Arial"/>
          <w:b/>
          <w:bCs/>
          <w:spacing w:val="-4"/>
          <w:sz w:val="24"/>
          <w:szCs w:val="24"/>
          <w:lang w:val="es"/>
        </w:rPr>
        <w:t>3. INDEXACIÓN E INTERESES MORATORIOS</w:t>
      </w:r>
      <w:r w:rsidRPr="00ED3955">
        <w:rPr>
          <w:rFonts w:ascii="Arial" w:eastAsia="Arial" w:hAnsi="Arial" w:cs="Arial"/>
          <w:spacing w:val="-4"/>
          <w:sz w:val="24"/>
          <w:szCs w:val="24"/>
          <w:lang w:val="es"/>
        </w:rPr>
        <w:t xml:space="preserve"> </w:t>
      </w:r>
    </w:p>
    <w:p w14:paraId="169D32DF" w14:textId="779DE8E3" w:rsidR="0084300B" w:rsidRPr="00ED3955" w:rsidRDefault="5B76BF8B" w:rsidP="002464B4">
      <w:pPr>
        <w:spacing w:line="276" w:lineRule="auto"/>
        <w:jc w:val="both"/>
        <w:rPr>
          <w:rFonts w:ascii="Arial" w:hAnsi="Arial" w:cs="Arial"/>
          <w:spacing w:val="-4"/>
          <w:sz w:val="24"/>
          <w:szCs w:val="24"/>
        </w:rPr>
      </w:pPr>
      <w:r w:rsidRPr="00ED3955">
        <w:rPr>
          <w:rFonts w:ascii="Arial" w:eastAsia="Arial" w:hAnsi="Arial" w:cs="Arial"/>
          <w:spacing w:val="-4"/>
          <w:sz w:val="24"/>
          <w:szCs w:val="24"/>
          <w:lang w:val="es-ES"/>
        </w:rPr>
        <w:t xml:space="preserve"> </w:t>
      </w:r>
    </w:p>
    <w:p w14:paraId="1122DFB1" w14:textId="218A58C8" w:rsidR="0084300B" w:rsidRPr="00ED3955" w:rsidRDefault="5B76BF8B" w:rsidP="002464B4">
      <w:pPr>
        <w:spacing w:line="276" w:lineRule="auto"/>
        <w:jc w:val="both"/>
        <w:rPr>
          <w:rFonts w:ascii="Arial" w:hAnsi="Arial" w:cs="Arial"/>
          <w:spacing w:val="-4"/>
          <w:sz w:val="24"/>
          <w:szCs w:val="24"/>
        </w:rPr>
      </w:pPr>
      <w:r w:rsidRPr="00ED3955">
        <w:rPr>
          <w:rFonts w:ascii="Arial" w:eastAsia="Arial" w:hAnsi="Arial" w:cs="Arial"/>
          <w:spacing w:val="-4"/>
          <w:sz w:val="24"/>
          <w:szCs w:val="24"/>
          <w:lang w:val="es-ES"/>
        </w:rPr>
        <w:t>En el entendido que “</w:t>
      </w:r>
      <w:r w:rsidRPr="00ED3955">
        <w:rPr>
          <w:rFonts w:ascii="Arial" w:eastAsia="Arial" w:hAnsi="Arial" w:cs="Arial"/>
          <w:i/>
          <w:iCs/>
          <w:spacing w:val="-4"/>
          <w:sz w:val="22"/>
          <w:szCs w:val="24"/>
          <w:lang w:val="es-ES"/>
        </w:rPr>
        <w:t>el pago efectivo es la prestación de lo que se debe</w:t>
      </w:r>
      <w:r w:rsidRPr="00ED3955">
        <w:rPr>
          <w:rFonts w:ascii="Arial" w:eastAsia="Arial" w:hAnsi="Arial" w:cs="Arial"/>
          <w:spacing w:val="-4"/>
          <w:sz w:val="24"/>
          <w:szCs w:val="24"/>
          <w:lang w:val="es-ES"/>
        </w:rPr>
        <w:t xml:space="preserve">” y atendiendo la realidad inflacionaria de nuestra economía, se acepta como mecanismo </w:t>
      </w:r>
      <w:r w:rsidRPr="00ED3955">
        <w:rPr>
          <w:rFonts w:ascii="Arial" w:eastAsia="Arial" w:hAnsi="Arial" w:cs="Arial"/>
          <w:b/>
          <w:bCs/>
          <w:spacing w:val="-4"/>
          <w:sz w:val="24"/>
          <w:szCs w:val="24"/>
          <w:lang w:val="es-ES"/>
        </w:rPr>
        <w:t>directo</w:t>
      </w:r>
      <w:r w:rsidRPr="00ED3955">
        <w:rPr>
          <w:rFonts w:ascii="Arial" w:eastAsia="Arial" w:hAnsi="Arial" w:cs="Arial"/>
          <w:spacing w:val="-4"/>
          <w:sz w:val="24"/>
          <w:szCs w:val="24"/>
          <w:lang w:val="es-ES"/>
        </w:rPr>
        <w:t xml:space="preserve"> de cumplimiento real de la obligación debida, la corrección monetaria, de manera tal que se garantice el equilibrio económico de los sujetos que participan en una determinada relación jurídica con contenido obligacional dinerario.  Se asegura por la doctrina que en estos casos no se está frente a un problema de responsabilidad civil sino de derecho monetario, en el que la indexación se produce en razón de haber perdido la moneda poder adquisitivo.</w:t>
      </w:r>
    </w:p>
    <w:p w14:paraId="0629499A" w14:textId="20F787A2" w:rsidR="0084300B" w:rsidRPr="00ED3955" w:rsidRDefault="5B76BF8B" w:rsidP="002464B4">
      <w:pPr>
        <w:spacing w:line="276" w:lineRule="auto"/>
        <w:jc w:val="both"/>
        <w:rPr>
          <w:rFonts w:ascii="Arial" w:hAnsi="Arial" w:cs="Arial"/>
          <w:spacing w:val="-4"/>
          <w:sz w:val="24"/>
          <w:szCs w:val="24"/>
        </w:rPr>
      </w:pPr>
      <w:r w:rsidRPr="00ED3955">
        <w:rPr>
          <w:rFonts w:ascii="Arial" w:eastAsia="Arial" w:hAnsi="Arial" w:cs="Arial"/>
          <w:spacing w:val="-4"/>
          <w:sz w:val="24"/>
          <w:szCs w:val="24"/>
          <w:lang w:val="es-ES"/>
        </w:rPr>
        <w:t xml:space="preserve"> </w:t>
      </w:r>
    </w:p>
    <w:p w14:paraId="451D2BE5" w14:textId="4C301DD3" w:rsidR="0084300B" w:rsidRPr="00ED3955" w:rsidRDefault="5B76BF8B" w:rsidP="002464B4">
      <w:pPr>
        <w:spacing w:line="276" w:lineRule="auto"/>
        <w:jc w:val="both"/>
        <w:rPr>
          <w:rFonts w:ascii="Arial" w:hAnsi="Arial" w:cs="Arial"/>
          <w:spacing w:val="-4"/>
          <w:sz w:val="24"/>
          <w:szCs w:val="24"/>
        </w:rPr>
      </w:pPr>
      <w:r w:rsidRPr="00ED3955">
        <w:rPr>
          <w:rFonts w:ascii="Arial" w:eastAsia="Arial" w:hAnsi="Arial" w:cs="Arial"/>
          <w:spacing w:val="-4"/>
          <w:sz w:val="24"/>
          <w:szCs w:val="24"/>
          <w:lang w:val="es-ES"/>
        </w:rPr>
        <w:t xml:space="preserve">Pero, otra cosa refleja la figura del interés moratorio, que en </w:t>
      </w:r>
      <w:r w:rsidR="00B52FDE" w:rsidRPr="00ED3955">
        <w:rPr>
          <w:rFonts w:ascii="Arial" w:eastAsia="Arial" w:hAnsi="Arial" w:cs="Arial"/>
          <w:spacing w:val="-4"/>
          <w:sz w:val="24"/>
          <w:szCs w:val="24"/>
          <w:lang w:val="es-ES"/>
        </w:rPr>
        <w:t>sí</w:t>
      </w:r>
      <w:r w:rsidRPr="00ED3955">
        <w:rPr>
          <w:rFonts w:ascii="Arial" w:eastAsia="Arial" w:hAnsi="Arial" w:cs="Arial"/>
          <w:spacing w:val="-4"/>
          <w:sz w:val="24"/>
          <w:szCs w:val="24"/>
          <w:lang w:val="es-ES"/>
        </w:rPr>
        <w:t xml:space="preserve"> misma, contiene los ajustes o correcciones monetarias, más el resarcimiento al acreedor por la tardanza en el cumplimiento de la obligación. En este sentido, en el fallo Nº 216 de 19 de noviembre de 2001, expediente 6494, rememorado en la sentencia de casación civil, magistrada ponente Dra. RUTH MARINA DÍAZ RUEDA, expediente 13001</w:t>
      </w:r>
      <w:r w:rsidR="0090428F" w:rsidRPr="00ED3955">
        <w:rPr>
          <w:rFonts w:ascii="Arial" w:eastAsia="Arial" w:hAnsi="Arial" w:cs="Arial"/>
          <w:spacing w:val="-4"/>
          <w:sz w:val="24"/>
          <w:szCs w:val="24"/>
          <w:lang w:val="es-ES"/>
        </w:rPr>
        <w:t>-</w:t>
      </w:r>
      <w:r w:rsidRPr="00ED3955">
        <w:rPr>
          <w:rFonts w:ascii="Arial" w:eastAsia="Arial" w:hAnsi="Arial" w:cs="Arial"/>
          <w:spacing w:val="-4"/>
          <w:sz w:val="24"/>
          <w:szCs w:val="24"/>
          <w:lang w:val="es-ES"/>
        </w:rPr>
        <w:t>31</w:t>
      </w:r>
      <w:r w:rsidR="0090428F" w:rsidRPr="00ED3955">
        <w:rPr>
          <w:rFonts w:ascii="Arial" w:eastAsia="Arial" w:hAnsi="Arial" w:cs="Arial"/>
          <w:spacing w:val="-4"/>
          <w:sz w:val="24"/>
          <w:szCs w:val="24"/>
          <w:lang w:val="es-ES"/>
        </w:rPr>
        <w:t>-</w:t>
      </w:r>
      <w:r w:rsidRPr="00ED3955">
        <w:rPr>
          <w:rFonts w:ascii="Arial" w:eastAsia="Arial" w:hAnsi="Arial" w:cs="Arial"/>
          <w:spacing w:val="-4"/>
          <w:sz w:val="24"/>
          <w:szCs w:val="24"/>
          <w:lang w:val="es-ES"/>
        </w:rPr>
        <w:t>03</w:t>
      </w:r>
      <w:r w:rsidR="0090428F" w:rsidRPr="00ED3955">
        <w:rPr>
          <w:rFonts w:ascii="Arial" w:eastAsia="Arial" w:hAnsi="Arial" w:cs="Arial"/>
          <w:spacing w:val="-4"/>
          <w:sz w:val="24"/>
          <w:szCs w:val="24"/>
          <w:lang w:val="es-ES"/>
        </w:rPr>
        <w:t>-</w:t>
      </w:r>
      <w:r w:rsidRPr="00ED3955">
        <w:rPr>
          <w:rFonts w:ascii="Arial" w:eastAsia="Arial" w:hAnsi="Arial" w:cs="Arial"/>
          <w:spacing w:val="-4"/>
          <w:sz w:val="24"/>
          <w:szCs w:val="24"/>
          <w:lang w:val="es-ES"/>
        </w:rPr>
        <w:t>005</w:t>
      </w:r>
      <w:r w:rsidR="0090428F" w:rsidRPr="00ED3955">
        <w:rPr>
          <w:rFonts w:ascii="Arial" w:eastAsia="Arial" w:hAnsi="Arial" w:cs="Arial"/>
          <w:spacing w:val="-4"/>
          <w:sz w:val="24"/>
          <w:szCs w:val="24"/>
          <w:lang w:val="es-ES"/>
        </w:rPr>
        <w:t>-</w:t>
      </w:r>
      <w:r w:rsidRPr="00ED3955">
        <w:rPr>
          <w:rFonts w:ascii="Arial" w:eastAsia="Arial" w:hAnsi="Arial" w:cs="Arial"/>
          <w:spacing w:val="-4"/>
          <w:sz w:val="24"/>
          <w:szCs w:val="24"/>
          <w:lang w:val="es-ES"/>
        </w:rPr>
        <w:t>1995-11208-01 de 1º de septiembre de 2009, se explicó:</w:t>
      </w:r>
    </w:p>
    <w:p w14:paraId="4CC4B91E" w14:textId="6A6DA10D" w:rsidR="0084300B" w:rsidRPr="00ED3955" w:rsidRDefault="5B76BF8B" w:rsidP="002464B4">
      <w:pPr>
        <w:spacing w:line="276" w:lineRule="auto"/>
        <w:jc w:val="both"/>
        <w:rPr>
          <w:rFonts w:ascii="Arial" w:hAnsi="Arial" w:cs="Arial"/>
          <w:spacing w:val="-4"/>
          <w:sz w:val="24"/>
          <w:szCs w:val="24"/>
        </w:rPr>
      </w:pPr>
      <w:r w:rsidRPr="00ED3955">
        <w:rPr>
          <w:rFonts w:ascii="Arial" w:eastAsia="Arial" w:hAnsi="Arial" w:cs="Arial"/>
          <w:spacing w:val="-4"/>
          <w:sz w:val="24"/>
          <w:szCs w:val="24"/>
          <w:lang w:val="es-ES"/>
        </w:rPr>
        <w:t xml:space="preserve"> </w:t>
      </w:r>
    </w:p>
    <w:p w14:paraId="61F824CB" w14:textId="497F5AE7" w:rsidR="0084300B" w:rsidRPr="00ED3955" w:rsidRDefault="5B76BF8B" w:rsidP="00AC4C88">
      <w:pPr>
        <w:ind w:left="426" w:right="420" w:hanging="12"/>
        <w:jc w:val="both"/>
        <w:rPr>
          <w:rFonts w:ascii="Arial" w:eastAsia="Arial" w:hAnsi="Arial" w:cs="Arial"/>
          <w:i/>
          <w:iCs/>
          <w:spacing w:val="-4"/>
          <w:sz w:val="22"/>
          <w:szCs w:val="24"/>
          <w:lang w:val="es-ES"/>
        </w:rPr>
      </w:pPr>
      <w:r w:rsidRPr="00ED3955">
        <w:rPr>
          <w:rFonts w:ascii="Arial" w:eastAsia="Arial" w:hAnsi="Arial" w:cs="Arial"/>
          <w:i/>
          <w:iCs/>
          <w:spacing w:val="-4"/>
          <w:sz w:val="22"/>
          <w:szCs w:val="24"/>
          <w:lang w:val="es-ES"/>
        </w:rPr>
        <w:t xml:space="preserve">“Pero al lado de esas formas o mecanismos de ajuste de las obligaciones pecuniarias -conocidos como directos, se itera-, también corre pareja la apellidada indexación indirecta, modalidad que presupone que `la deuda dineraria -por regla- sigue aferrada al principio </w:t>
      </w:r>
      <w:proofErr w:type="spellStart"/>
      <w:r w:rsidRPr="00ED3955">
        <w:rPr>
          <w:rFonts w:ascii="Arial" w:eastAsia="Arial" w:hAnsi="Arial" w:cs="Arial"/>
          <w:i/>
          <w:iCs/>
          <w:spacing w:val="-4"/>
          <w:sz w:val="22"/>
          <w:szCs w:val="24"/>
          <w:lang w:val="es-ES"/>
        </w:rPr>
        <w:t>nominalístico</w:t>
      </w:r>
      <w:proofErr w:type="spellEnd"/>
      <w:r w:rsidRPr="00ED3955">
        <w:rPr>
          <w:rFonts w:ascii="Arial" w:eastAsia="Arial" w:hAnsi="Arial" w:cs="Arial"/>
          <w:i/>
          <w:iCs/>
          <w:spacing w:val="-4"/>
          <w:sz w:val="22"/>
          <w:szCs w:val="24"/>
          <w:lang w:val="es-ES"/>
        </w:rPr>
        <w:t xml:space="preserve">, y los índices de corrección se aplican por vía refleja, en situaciones particulares´, una de cuyas principales expresiones es la tasa de interés que incluye la inflación (componente inflacionario) y que, por ende, `conlleva al reajuste indirecto de la prestación dineraria´, evento en el cual resulta innegable que ella, además de retribuir -y, en el caso de la moratoria, resarcir- al acreedor, cumple con la función de compensarlo por la erosión que, ex ante, haya experimentado la moneda (función típicamente dual). </w:t>
      </w:r>
    </w:p>
    <w:p w14:paraId="073CE991" w14:textId="2C58066C" w:rsidR="0084300B" w:rsidRPr="00ED3955" w:rsidRDefault="5B76BF8B" w:rsidP="00AC4C88">
      <w:pPr>
        <w:ind w:left="426" w:right="420" w:hanging="720"/>
        <w:jc w:val="both"/>
        <w:rPr>
          <w:rFonts w:ascii="Arial" w:hAnsi="Arial" w:cs="Arial"/>
          <w:spacing w:val="-4"/>
          <w:sz w:val="22"/>
          <w:szCs w:val="24"/>
        </w:rPr>
      </w:pPr>
      <w:r w:rsidRPr="00ED3955">
        <w:rPr>
          <w:rFonts w:ascii="Arial" w:eastAsia="Arial" w:hAnsi="Arial" w:cs="Arial"/>
          <w:spacing w:val="-4"/>
          <w:sz w:val="22"/>
          <w:szCs w:val="24"/>
          <w:lang w:val="es-ES"/>
        </w:rPr>
        <w:t xml:space="preserve"> </w:t>
      </w:r>
    </w:p>
    <w:p w14:paraId="24EA3516" w14:textId="2389D5F4" w:rsidR="0084300B" w:rsidRPr="00ED3955" w:rsidRDefault="5B76BF8B" w:rsidP="00AC4C88">
      <w:pPr>
        <w:ind w:left="426" w:right="420" w:hanging="12"/>
        <w:jc w:val="both"/>
        <w:rPr>
          <w:rFonts w:ascii="Arial" w:hAnsi="Arial" w:cs="Arial"/>
          <w:spacing w:val="-4"/>
          <w:sz w:val="22"/>
          <w:szCs w:val="24"/>
        </w:rPr>
      </w:pPr>
      <w:r w:rsidRPr="00ED3955">
        <w:rPr>
          <w:rFonts w:ascii="Arial" w:eastAsia="Arial" w:hAnsi="Arial" w:cs="Arial"/>
          <w:i/>
          <w:iCs/>
          <w:spacing w:val="-4"/>
          <w:sz w:val="22"/>
          <w:szCs w:val="24"/>
          <w:lang w:val="es-ES"/>
        </w:rPr>
        <w:t>“(…) De allí que cuando el pago, a manera de segmento cuantitativo, involucra el reconocimiento de intereses legales comerciales, no pueden los Jueces, con prescindencia de toda consideración especial, ordenar igualmente el ajuste monetario de la suma adeudada, específicamente cuando los réditos que el deudor debe reconocer son de naturaleza comercial, puesto que, sean ellos remuneratorios o moratorios, el interés bancario corriente que sirve de base para su cuantificación (art. 884 C. de Co.), ya comprende, per se, la aludida corrección.</w:t>
      </w:r>
    </w:p>
    <w:p w14:paraId="1DA97FAE" w14:textId="2941EBD4" w:rsidR="0084300B" w:rsidRPr="00ED3955" w:rsidRDefault="5B76BF8B" w:rsidP="00AC4C88">
      <w:pPr>
        <w:ind w:left="426" w:right="420" w:hanging="720"/>
        <w:jc w:val="both"/>
        <w:rPr>
          <w:rFonts w:ascii="Arial" w:hAnsi="Arial" w:cs="Arial"/>
          <w:spacing w:val="-4"/>
          <w:sz w:val="22"/>
          <w:szCs w:val="24"/>
        </w:rPr>
      </w:pPr>
      <w:r w:rsidRPr="00ED3955">
        <w:rPr>
          <w:rFonts w:ascii="Arial" w:eastAsia="Arial" w:hAnsi="Arial" w:cs="Arial"/>
          <w:b/>
          <w:bCs/>
          <w:spacing w:val="-4"/>
          <w:sz w:val="22"/>
          <w:szCs w:val="24"/>
          <w:lang w:val="es-ES"/>
        </w:rPr>
        <w:t xml:space="preserve"> </w:t>
      </w:r>
    </w:p>
    <w:p w14:paraId="4E5D149B" w14:textId="644D6E0C" w:rsidR="0084300B" w:rsidRPr="00ED3955" w:rsidRDefault="5B76BF8B" w:rsidP="00AC4C88">
      <w:pPr>
        <w:ind w:left="426" w:right="420"/>
        <w:jc w:val="both"/>
        <w:rPr>
          <w:rFonts w:ascii="Arial" w:eastAsia="Arial" w:hAnsi="Arial" w:cs="Arial"/>
          <w:spacing w:val="-4"/>
          <w:sz w:val="22"/>
          <w:szCs w:val="24"/>
          <w:lang w:val="es-ES"/>
        </w:rPr>
      </w:pPr>
      <w:r w:rsidRPr="00ED3955">
        <w:rPr>
          <w:rFonts w:ascii="Arial" w:eastAsia="Arial" w:hAnsi="Arial" w:cs="Arial"/>
          <w:spacing w:val="-4"/>
          <w:sz w:val="22"/>
          <w:szCs w:val="24"/>
          <w:lang w:val="es-ES"/>
        </w:rPr>
        <w:t>“(...)”</w:t>
      </w:r>
    </w:p>
    <w:p w14:paraId="1777766C" w14:textId="6EC034EA" w:rsidR="0084300B" w:rsidRPr="00ED3955" w:rsidRDefault="5B76BF8B" w:rsidP="00AC4C88">
      <w:pPr>
        <w:ind w:left="426" w:right="420" w:hanging="720"/>
        <w:jc w:val="both"/>
        <w:rPr>
          <w:rFonts w:ascii="Arial" w:hAnsi="Arial" w:cs="Arial"/>
          <w:spacing w:val="-4"/>
          <w:sz w:val="22"/>
          <w:szCs w:val="24"/>
        </w:rPr>
      </w:pPr>
      <w:r w:rsidRPr="00ED3955">
        <w:rPr>
          <w:rFonts w:ascii="Arial" w:eastAsia="Arial" w:hAnsi="Arial" w:cs="Arial"/>
          <w:b/>
          <w:bCs/>
          <w:spacing w:val="-4"/>
          <w:sz w:val="22"/>
          <w:szCs w:val="24"/>
          <w:lang w:val="es-ES"/>
        </w:rPr>
        <w:lastRenderedPageBreak/>
        <w:t xml:space="preserve"> </w:t>
      </w:r>
    </w:p>
    <w:p w14:paraId="469420F9" w14:textId="6570B312" w:rsidR="0084300B" w:rsidRPr="00ED3955" w:rsidRDefault="5B76BF8B" w:rsidP="00AC4C88">
      <w:pPr>
        <w:ind w:left="426" w:right="420" w:hanging="11"/>
        <w:jc w:val="both"/>
        <w:rPr>
          <w:rFonts w:ascii="Arial" w:eastAsia="Arial" w:hAnsi="Arial" w:cs="Arial"/>
          <w:spacing w:val="-4"/>
          <w:sz w:val="22"/>
          <w:szCs w:val="24"/>
          <w:lang w:val="es-ES"/>
        </w:rPr>
      </w:pPr>
      <w:r w:rsidRPr="00ED3955">
        <w:rPr>
          <w:rFonts w:ascii="Arial" w:eastAsia="Arial" w:hAnsi="Arial" w:cs="Arial"/>
          <w:i/>
          <w:iCs/>
          <w:spacing w:val="-4"/>
          <w:sz w:val="22"/>
          <w:szCs w:val="24"/>
          <w:lang w:val="es-ES"/>
        </w:rPr>
        <w:t>“Obsérvese que, en el fondo, las mismas razones que-inicialmente-conducen a ordenar que el pago retardado incluya el reajuste monetario de la suma adeudada: la equidad; la buena fe-en su dimensión objetiva-; la plenitud del mismo y la necesidad de preservar el equilibrio contractual y de evitar un enriquecimiento injustificado, determinan, a su turno, que el deudor de una obligación de estirpe comercial no pueda ser compelido, por regla, a pagar al acreedor, además del capital y de los intereses convencionales o legales a que hubiere lugar, la corrección monetaria, cuando ésta se encuentra ínsita en la tasa que le sirve de medida a aquellos, pues si así se habilitase, el solvens, aún en el evento de la mora, estaría pagando más de lo debido, sin que exista motivo legal o contractual que justifique un doble reconocimiento de la indexación a favor del accipiens (plus), dado que ello equivaldría a cohonestar un enriquecimiento injusto en cabeza del acreedor, en claro y frontal desmedro del patrimonio del deudor”</w:t>
      </w:r>
      <w:r w:rsidRPr="00ED3955">
        <w:rPr>
          <w:rFonts w:ascii="Arial" w:eastAsia="Arial" w:hAnsi="Arial" w:cs="Arial"/>
          <w:spacing w:val="-4"/>
          <w:sz w:val="22"/>
          <w:szCs w:val="24"/>
          <w:lang w:val="es-ES"/>
        </w:rPr>
        <w:t>.</w:t>
      </w:r>
    </w:p>
    <w:p w14:paraId="3518C76C" w14:textId="378A06EF" w:rsidR="0084300B" w:rsidRPr="00ED3955" w:rsidRDefault="0084300B" w:rsidP="002464B4">
      <w:pPr>
        <w:spacing w:line="276" w:lineRule="auto"/>
        <w:jc w:val="both"/>
        <w:rPr>
          <w:rFonts w:ascii="Arial" w:eastAsia="Arial" w:hAnsi="Arial" w:cs="Arial"/>
          <w:b/>
          <w:bCs/>
          <w:spacing w:val="-4"/>
          <w:sz w:val="24"/>
          <w:szCs w:val="24"/>
          <w:lang w:val="es"/>
        </w:rPr>
      </w:pPr>
    </w:p>
    <w:p w14:paraId="08B98F35" w14:textId="6EF4BCB8" w:rsidR="0084300B" w:rsidRPr="00ED3955" w:rsidRDefault="5B76BF8B" w:rsidP="002464B4">
      <w:pPr>
        <w:spacing w:line="276" w:lineRule="auto"/>
        <w:jc w:val="both"/>
        <w:rPr>
          <w:rFonts w:ascii="Arial" w:hAnsi="Arial" w:cs="Arial"/>
          <w:b/>
          <w:bCs/>
          <w:spacing w:val="-4"/>
          <w:sz w:val="24"/>
          <w:szCs w:val="24"/>
          <w:lang w:val="es-ES"/>
        </w:rPr>
      </w:pPr>
      <w:r w:rsidRPr="00ED3955">
        <w:rPr>
          <w:rFonts w:ascii="Arial" w:eastAsia="Arial" w:hAnsi="Arial" w:cs="Arial"/>
          <w:b/>
          <w:bCs/>
          <w:spacing w:val="-4"/>
          <w:sz w:val="24"/>
          <w:szCs w:val="24"/>
          <w:lang w:val="es-ES"/>
        </w:rPr>
        <w:t>4. DEL CASO CONCRETO</w:t>
      </w:r>
    </w:p>
    <w:p w14:paraId="723A36AC" w14:textId="5C5D8201" w:rsidR="0084300B" w:rsidRPr="00ED3955" w:rsidRDefault="0084300B" w:rsidP="002464B4">
      <w:pPr>
        <w:spacing w:line="276" w:lineRule="auto"/>
        <w:jc w:val="both"/>
        <w:rPr>
          <w:rFonts w:ascii="Arial" w:eastAsia="Arial" w:hAnsi="Arial" w:cs="Arial"/>
          <w:spacing w:val="-4"/>
          <w:sz w:val="24"/>
          <w:szCs w:val="24"/>
          <w:lang w:val="es-ES"/>
        </w:rPr>
      </w:pPr>
    </w:p>
    <w:p w14:paraId="5863F314" w14:textId="3CED2A9A" w:rsidR="0084300B" w:rsidRPr="00ED3955" w:rsidRDefault="5248B45D"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De acuerdo con lo que es materia de recurso, el actor reclama que el Ministerio de Hacienda y Crédito Público -Oficina de Bonos Pensionales- le adeuda a título de intereses moratorios, liquidados entre el 17 de noviembre de 2015 y el 31 de octubre de 2019, la suma de $159.250.539,59, calculada sobre el valor del bono pensional que considera es de $146.703.000.</w:t>
      </w:r>
    </w:p>
    <w:p w14:paraId="67B77114" w14:textId="4036BBCA" w:rsidR="0084300B" w:rsidRPr="00ED3955" w:rsidRDefault="0084300B" w:rsidP="002464B4">
      <w:pPr>
        <w:spacing w:line="276" w:lineRule="auto"/>
        <w:jc w:val="both"/>
        <w:rPr>
          <w:rFonts w:ascii="Arial" w:hAnsi="Arial" w:cs="Arial"/>
          <w:spacing w:val="-4"/>
          <w:sz w:val="24"/>
          <w:szCs w:val="24"/>
          <w:lang w:val="es-ES"/>
        </w:rPr>
      </w:pPr>
    </w:p>
    <w:p w14:paraId="519B9126" w14:textId="1E8989FD" w:rsidR="0084300B" w:rsidRPr="00ED3955" w:rsidRDefault="5248B45D"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Al resolver el recurso de reposición el Juzgado de conocimiento, aceptando el valor de bono pensional anunciado por el demandante, determinó que el monto de la obligación a cargo de la Cartera, por ese concepto era igual a $144.144.500, cifra que, al ser inferior a la pretendida por el ejecutante, llevó a que fuera concedido el recurso de apelación, toda vez que este persistió en el reconocimiento de la diferencia.</w:t>
      </w:r>
    </w:p>
    <w:p w14:paraId="6AC5D976" w14:textId="19D93EFD" w:rsidR="0084300B" w:rsidRPr="00ED3955" w:rsidRDefault="5B76BF8B"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 xml:space="preserve"> </w:t>
      </w:r>
    </w:p>
    <w:p w14:paraId="6AE11C9D" w14:textId="35DDA379" w:rsidR="0084300B" w:rsidRPr="00ED3955" w:rsidRDefault="5248B45D" w:rsidP="002464B4">
      <w:pPr>
        <w:spacing w:line="276" w:lineRule="auto"/>
        <w:jc w:val="both"/>
        <w:rPr>
          <w:rFonts w:ascii="Arial" w:hAnsi="Arial" w:cs="Arial"/>
          <w:spacing w:val="-4"/>
          <w:sz w:val="24"/>
          <w:szCs w:val="24"/>
          <w:lang w:val="es-ES"/>
        </w:rPr>
      </w:pPr>
      <w:r w:rsidRPr="00ED3955">
        <w:rPr>
          <w:rFonts w:ascii="Arial" w:eastAsia="Arial" w:hAnsi="Arial" w:cs="Arial"/>
          <w:spacing w:val="-4"/>
          <w:sz w:val="24"/>
          <w:szCs w:val="24"/>
          <w:lang w:val="es-ES"/>
        </w:rPr>
        <w:t xml:space="preserve">Así las cosas, la controversia que se plantea en el presente asunto, se limita a determinar el monto de los intereses ordenados en la sentencia que sirve como título de recaudo, liquidados a la tasa establecida en el artículo 12 del Decreto 1748 de 1995, sobre el valor del bono pensional tipo A en el interregno comprendido entre el 17 de noviembre de 2015 y el 31 de octubre de 2019. </w:t>
      </w:r>
    </w:p>
    <w:p w14:paraId="63E9C2CC" w14:textId="6DC52EA0" w:rsidR="0084300B" w:rsidRPr="00ED3955" w:rsidRDefault="5B76BF8B" w:rsidP="002464B4">
      <w:pPr>
        <w:spacing w:line="276" w:lineRule="auto"/>
        <w:jc w:val="both"/>
        <w:rPr>
          <w:rFonts w:ascii="Arial" w:hAnsi="Arial" w:cs="Arial"/>
          <w:spacing w:val="-4"/>
          <w:sz w:val="24"/>
          <w:szCs w:val="24"/>
        </w:rPr>
      </w:pPr>
      <w:r w:rsidRPr="00ED3955">
        <w:rPr>
          <w:rFonts w:ascii="Arial" w:eastAsia="Arial" w:hAnsi="Arial" w:cs="Arial"/>
          <w:spacing w:val="-4"/>
          <w:sz w:val="24"/>
          <w:szCs w:val="24"/>
          <w:lang w:val="es-ES"/>
        </w:rPr>
        <w:t xml:space="preserve"> </w:t>
      </w:r>
    </w:p>
    <w:p w14:paraId="634C63F3" w14:textId="4675EFD1" w:rsidR="0084300B" w:rsidRPr="00ED3955" w:rsidRDefault="5248B45D"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 xml:space="preserve">El cálculo de dicha obligación, parte de la siguiente norma, </w:t>
      </w:r>
      <w:r w:rsidR="7B045C61" w:rsidRPr="00ED3955">
        <w:rPr>
          <w:rFonts w:ascii="Arial" w:eastAsia="Arial" w:hAnsi="Arial" w:cs="Arial"/>
          <w:color w:val="000000" w:themeColor="text1"/>
          <w:spacing w:val="-4"/>
          <w:sz w:val="24"/>
          <w:szCs w:val="24"/>
          <w:lang w:val="es-ES"/>
        </w:rPr>
        <w:t>según la cual, en el sector público, tanto el emisor como el responsable de cuota parte que no pague el bono o su cuota parte en F, reconocerán intereses de mora a la tasa efectiva anual TM1.</w:t>
      </w:r>
      <w:r w:rsidR="7B045C61" w:rsidRPr="00ED3955">
        <w:rPr>
          <w:rFonts w:ascii="Arial" w:eastAsia="Arial" w:hAnsi="Arial" w:cs="Arial"/>
          <w:spacing w:val="-4"/>
          <w:sz w:val="24"/>
          <w:szCs w:val="24"/>
          <w:lang w:val="es-ES"/>
        </w:rPr>
        <w:t xml:space="preserve"> </w:t>
      </w:r>
    </w:p>
    <w:p w14:paraId="7921066F" w14:textId="2D8533C7" w:rsidR="0084300B" w:rsidRPr="00ED3955" w:rsidRDefault="0084300B" w:rsidP="00ED3955">
      <w:pPr>
        <w:jc w:val="both"/>
        <w:rPr>
          <w:rFonts w:ascii="Arial" w:hAnsi="Arial" w:cs="Arial"/>
          <w:spacing w:val="-4"/>
          <w:sz w:val="24"/>
          <w:szCs w:val="24"/>
          <w:lang w:val="es-ES"/>
        </w:rPr>
      </w:pPr>
    </w:p>
    <w:p w14:paraId="5855C08D" w14:textId="4D8721DF" w:rsidR="0084300B" w:rsidRPr="00ED3955" w:rsidRDefault="5248B45D" w:rsidP="00ED3955">
      <w:pPr>
        <w:jc w:val="both"/>
        <w:rPr>
          <w:rFonts w:ascii="Arial" w:hAnsi="Arial" w:cs="Arial"/>
          <w:color w:val="201F1E"/>
          <w:spacing w:val="-4"/>
          <w:sz w:val="24"/>
          <w:szCs w:val="24"/>
          <w:lang w:val="es-ES"/>
        </w:rPr>
      </w:pPr>
      <w:r w:rsidRPr="00ED3955">
        <w:rPr>
          <w:rFonts w:ascii="Arial" w:hAnsi="Arial" w:cs="Arial"/>
          <w:noProof/>
          <w:spacing w:val="-4"/>
          <w:sz w:val="24"/>
          <w:szCs w:val="24"/>
          <w:lang w:val="en-US" w:eastAsia="en-US"/>
        </w:rPr>
        <w:drawing>
          <wp:inline distT="0" distB="0" distL="0" distR="0" wp14:anchorId="1C16E6EF" wp14:editId="3DEE1532">
            <wp:extent cx="2781300" cy="485775"/>
            <wp:effectExtent l="0" t="0" r="0" b="0"/>
            <wp:docPr id="1703797282" name="Imagen 1703797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81300" cy="485775"/>
                    </a:xfrm>
                    <a:prstGeom prst="rect">
                      <a:avLst/>
                    </a:prstGeom>
                  </pic:spPr>
                </pic:pic>
              </a:graphicData>
            </a:graphic>
          </wp:inline>
        </w:drawing>
      </w:r>
    </w:p>
    <w:p w14:paraId="5E51465F" w14:textId="3FACDAB9" w:rsidR="0084300B" w:rsidRPr="00ED3955" w:rsidRDefault="0084300B" w:rsidP="00ED3955">
      <w:pPr>
        <w:jc w:val="both"/>
        <w:rPr>
          <w:rFonts w:ascii="Arial" w:eastAsia="Arial" w:hAnsi="Arial" w:cs="Arial"/>
          <w:spacing w:val="-4"/>
          <w:sz w:val="24"/>
          <w:szCs w:val="24"/>
          <w:lang w:val="es-ES"/>
        </w:rPr>
      </w:pPr>
    </w:p>
    <w:p w14:paraId="2A968A70" w14:textId="3FF89E87" w:rsidR="0084300B" w:rsidRPr="00ED3955" w:rsidRDefault="5248B45D"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 xml:space="preserve">Como puede verse el despeje o desarrollo de la fórmula hace necesaria la previa determinación del </w:t>
      </w:r>
      <w:r w:rsidRPr="00ED3955">
        <w:rPr>
          <w:rFonts w:ascii="Arial" w:eastAsia="Arial" w:hAnsi="Arial" w:cs="Arial"/>
          <w:b/>
          <w:bCs/>
          <w:spacing w:val="-4"/>
          <w:sz w:val="24"/>
          <w:szCs w:val="24"/>
          <w:lang w:val="es-ES"/>
        </w:rPr>
        <w:t xml:space="preserve">IPCP </w:t>
      </w:r>
      <w:r w:rsidRPr="00ED3955">
        <w:rPr>
          <w:rFonts w:ascii="Arial" w:eastAsia="Arial" w:hAnsi="Arial" w:cs="Arial"/>
          <w:spacing w:val="-4"/>
          <w:sz w:val="24"/>
          <w:szCs w:val="24"/>
          <w:lang w:val="es-ES"/>
        </w:rPr>
        <w:t>(IPC Pensional) definido en el decreto como:</w:t>
      </w:r>
    </w:p>
    <w:p w14:paraId="361684FA" w14:textId="114105AD" w:rsidR="0084300B" w:rsidRPr="00ED3955" w:rsidRDefault="0025118E" w:rsidP="00ED3955">
      <w:pPr>
        <w:jc w:val="both"/>
        <w:rPr>
          <w:rFonts w:ascii="Arial" w:hAnsi="Arial" w:cs="Arial"/>
          <w:spacing w:val="-4"/>
          <w:sz w:val="24"/>
          <w:szCs w:val="24"/>
        </w:rPr>
      </w:pPr>
      <w:r w:rsidRPr="00ED3955">
        <w:rPr>
          <w:rFonts w:ascii="Arial" w:eastAsia="Arial" w:hAnsi="Arial" w:cs="Arial"/>
          <w:spacing w:val="-4"/>
          <w:sz w:val="24"/>
          <w:szCs w:val="24"/>
          <w:lang w:val="es-ES"/>
        </w:rPr>
        <w:t xml:space="preserve"> </w:t>
      </w:r>
    </w:p>
    <w:p w14:paraId="77EBF9B6" w14:textId="21737E1A" w:rsidR="0084300B" w:rsidRPr="00ED3955" w:rsidRDefault="5248B45D" w:rsidP="00ED3955">
      <w:pPr>
        <w:jc w:val="both"/>
        <w:rPr>
          <w:rFonts w:ascii="Arial" w:eastAsia="Calibri" w:hAnsi="Arial" w:cs="Arial"/>
          <w:color w:val="201F1E"/>
          <w:spacing w:val="-4"/>
          <w:sz w:val="24"/>
          <w:szCs w:val="24"/>
          <w:lang w:val="es-ES"/>
        </w:rPr>
      </w:pPr>
      <w:r w:rsidRPr="00ED3955">
        <w:rPr>
          <w:rFonts w:ascii="Arial" w:eastAsia="Calibri" w:hAnsi="Arial" w:cs="Arial"/>
          <w:color w:val="201F1E"/>
          <w:spacing w:val="-4"/>
          <w:sz w:val="24"/>
          <w:szCs w:val="24"/>
          <w:lang w:val="es-ES"/>
        </w:rPr>
        <w:t xml:space="preserve"> </w:t>
      </w:r>
      <w:r w:rsidRPr="00ED3955">
        <w:rPr>
          <w:rFonts w:ascii="Arial" w:hAnsi="Arial" w:cs="Arial"/>
          <w:noProof/>
          <w:spacing w:val="-4"/>
          <w:sz w:val="24"/>
          <w:szCs w:val="24"/>
          <w:lang w:val="en-US" w:eastAsia="en-US"/>
        </w:rPr>
        <w:drawing>
          <wp:inline distT="0" distB="0" distL="0" distR="0" wp14:anchorId="0AEDDBEB" wp14:editId="51D76F4A">
            <wp:extent cx="2809875" cy="495300"/>
            <wp:effectExtent l="0" t="0" r="0" b="0"/>
            <wp:docPr id="1259086045" name="Imagen 1259086045" descr="https://normativa.colpensiones.gov.co/colpens/graficas/decreto_1748_1995_obj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809875" cy="495300"/>
                    </a:xfrm>
                    <a:prstGeom prst="rect">
                      <a:avLst/>
                    </a:prstGeom>
                  </pic:spPr>
                </pic:pic>
              </a:graphicData>
            </a:graphic>
          </wp:inline>
        </w:drawing>
      </w:r>
    </w:p>
    <w:p w14:paraId="7501F18A" w14:textId="16B73A78" w:rsidR="0084300B" w:rsidRPr="00ED3955" w:rsidRDefault="5248B45D" w:rsidP="00ED3955">
      <w:pPr>
        <w:jc w:val="both"/>
        <w:rPr>
          <w:rFonts w:ascii="Arial" w:hAnsi="Arial" w:cs="Arial"/>
          <w:spacing w:val="-4"/>
          <w:sz w:val="24"/>
          <w:szCs w:val="24"/>
        </w:rPr>
      </w:pPr>
      <w:r w:rsidRPr="00ED3955">
        <w:rPr>
          <w:rFonts w:ascii="Arial" w:eastAsia="Arial Narrow" w:hAnsi="Arial" w:cs="Arial"/>
          <w:color w:val="201F1E"/>
          <w:spacing w:val="-4"/>
          <w:sz w:val="24"/>
          <w:szCs w:val="24"/>
          <w:lang w:val="es-ES"/>
        </w:rPr>
        <w:t xml:space="preserve"> </w:t>
      </w:r>
    </w:p>
    <w:p w14:paraId="07947EDA" w14:textId="7340688F" w:rsidR="7B045C61" w:rsidRPr="00ED3955" w:rsidRDefault="7B045C61" w:rsidP="002464B4">
      <w:pPr>
        <w:spacing w:line="276" w:lineRule="auto"/>
        <w:jc w:val="both"/>
        <w:rPr>
          <w:rFonts w:ascii="Arial" w:eastAsia="Arial" w:hAnsi="Arial" w:cs="Arial"/>
          <w:color w:val="201F1E"/>
          <w:spacing w:val="-4"/>
          <w:sz w:val="24"/>
          <w:szCs w:val="24"/>
          <w:lang w:val="es-ES"/>
        </w:rPr>
      </w:pPr>
      <w:r w:rsidRPr="00ED3955">
        <w:rPr>
          <w:rFonts w:ascii="Arial" w:eastAsia="Arial" w:hAnsi="Arial" w:cs="Arial"/>
          <w:color w:val="201F1E"/>
          <w:spacing w:val="-4"/>
          <w:sz w:val="24"/>
          <w:szCs w:val="24"/>
          <w:lang w:val="es-ES"/>
        </w:rPr>
        <w:t xml:space="preserve">Bajo tales premisas, para obtener la solución de ambas fórmulas se cuenta con los siguientes datos, algunos de los cuales resultan de la manera que se da cuenta en el anexo en </w:t>
      </w:r>
      <w:proofErr w:type="spellStart"/>
      <w:r w:rsidRPr="00ED3955">
        <w:rPr>
          <w:rFonts w:ascii="Arial" w:eastAsia="Arial" w:hAnsi="Arial" w:cs="Arial"/>
          <w:color w:val="201F1E"/>
          <w:spacing w:val="-4"/>
          <w:sz w:val="24"/>
          <w:szCs w:val="24"/>
          <w:lang w:val="es-ES"/>
        </w:rPr>
        <w:t>excel</w:t>
      </w:r>
      <w:proofErr w:type="spellEnd"/>
      <w:r w:rsidRPr="00ED3955">
        <w:rPr>
          <w:rFonts w:ascii="Arial" w:eastAsia="Arial" w:hAnsi="Arial" w:cs="Arial"/>
          <w:color w:val="201F1E"/>
          <w:spacing w:val="-4"/>
          <w:sz w:val="24"/>
          <w:szCs w:val="24"/>
          <w:lang w:val="es-ES"/>
        </w:rPr>
        <w:t xml:space="preserve"> que acompaña a esta providencia. </w:t>
      </w:r>
    </w:p>
    <w:p w14:paraId="01350C15" w14:textId="1311C1BE" w:rsidR="0084300B" w:rsidRPr="00ED3955" w:rsidRDefault="5B76BF8B" w:rsidP="002464B4">
      <w:pPr>
        <w:spacing w:line="276" w:lineRule="auto"/>
        <w:jc w:val="both"/>
        <w:rPr>
          <w:rFonts w:ascii="Arial" w:eastAsia="Arial" w:hAnsi="Arial" w:cs="Arial"/>
          <w:spacing w:val="-4"/>
          <w:sz w:val="24"/>
          <w:szCs w:val="24"/>
          <w:lang w:val="es-ES"/>
        </w:rPr>
      </w:pPr>
      <w:r w:rsidRPr="00ED3955">
        <w:rPr>
          <w:rFonts w:ascii="Arial" w:eastAsia="Arial" w:hAnsi="Arial" w:cs="Arial"/>
          <w:color w:val="201F1E"/>
          <w:spacing w:val="-4"/>
          <w:sz w:val="24"/>
          <w:szCs w:val="24"/>
          <w:lang w:val="es-ES"/>
        </w:rPr>
        <w:t xml:space="preserve"> </w:t>
      </w:r>
    </w:p>
    <w:p w14:paraId="46193108" w14:textId="29C71156" w:rsidR="0084300B" w:rsidRPr="00ED3955" w:rsidRDefault="5B76BF8B" w:rsidP="00ED3955">
      <w:pPr>
        <w:jc w:val="both"/>
        <w:rPr>
          <w:rFonts w:ascii="Arial" w:eastAsia="Arial" w:hAnsi="Arial" w:cs="Arial"/>
          <w:spacing w:val="-4"/>
          <w:sz w:val="24"/>
          <w:szCs w:val="24"/>
          <w:lang w:val="es-ES"/>
        </w:rPr>
      </w:pPr>
      <w:proofErr w:type="spellStart"/>
      <w:r w:rsidRPr="00ED3955">
        <w:rPr>
          <w:rFonts w:ascii="Arial" w:eastAsia="Arial" w:hAnsi="Arial" w:cs="Arial"/>
          <w:spacing w:val="-4"/>
          <w:sz w:val="24"/>
          <w:szCs w:val="24"/>
          <w:lang w:val="es-ES"/>
        </w:rPr>
        <w:t>IPCP</w:t>
      </w:r>
      <w:r w:rsidRPr="00ED3955">
        <w:rPr>
          <w:rFonts w:ascii="Arial" w:eastAsia="Arial" w:hAnsi="Arial" w:cs="Arial"/>
          <w:spacing w:val="-4"/>
          <w:sz w:val="24"/>
          <w:szCs w:val="24"/>
          <w:vertAlign w:val="subscript"/>
          <w:lang w:val="es-ES"/>
        </w:rPr>
        <w:t>f</w:t>
      </w:r>
      <w:proofErr w:type="spellEnd"/>
      <w:r w:rsidRPr="00ED3955">
        <w:rPr>
          <w:rFonts w:ascii="Arial" w:eastAsia="Arial" w:hAnsi="Arial" w:cs="Arial"/>
          <w:spacing w:val="-4"/>
          <w:sz w:val="24"/>
          <w:szCs w:val="24"/>
          <w:lang w:val="es-ES"/>
        </w:rPr>
        <w:t xml:space="preserve"> =</w:t>
      </w:r>
      <w:r w:rsidR="00AC4C88" w:rsidRPr="00ED3955">
        <w:rPr>
          <w:rFonts w:ascii="Arial" w:eastAsia="Arial" w:hAnsi="Arial" w:cs="Arial"/>
          <w:spacing w:val="-4"/>
          <w:sz w:val="24"/>
          <w:szCs w:val="24"/>
          <w:lang w:val="es-ES"/>
        </w:rPr>
        <w:tab/>
      </w:r>
      <w:r w:rsidR="00AC4C88" w:rsidRPr="00ED3955">
        <w:rPr>
          <w:rFonts w:ascii="Arial" w:eastAsia="Arial" w:hAnsi="Arial" w:cs="Arial"/>
          <w:spacing w:val="-4"/>
          <w:sz w:val="24"/>
          <w:szCs w:val="24"/>
          <w:lang w:val="es-ES"/>
        </w:rPr>
        <w:tab/>
      </w:r>
      <w:r w:rsidR="00AC4C88" w:rsidRPr="00ED3955">
        <w:rPr>
          <w:rFonts w:ascii="Arial" w:eastAsia="Arial" w:hAnsi="Arial" w:cs="Arial"/>
          <w:spacing w:val="-4"/>
          <w:sz w:val="24"/>
          <w:szCs w:val="24"/>
          <w:lang w:val="es-ES"/>
        </w:rPr>
        <w:tab/>
      </w:r>
      <w:r w:rsidRPr="00ED3955">
        <w:rPr>
          <w:rFonts w:ascii="Arial" w:eastAsia="Arial" w:hAnsi="Arial" w:cs="Arial"/>
          <w:spacing w:val="-4"/>
          <w:sz w:val="24"/>
          <w:szCs w:val="24"/>
          <w:lang w:val="es-ES"/>
        </w:rPr>
        <w:t>3.228.3845767</w:t>
      </w:r>
    </w:p>
    <w:p w14:paraId="4B119732" w14:textId="0C321DA5" w:rsidR="0084300B" w:rsidRPr="00ED3955" w:rsidRDefault="5B76BF8B" w:rsidP="00ED3955">
      <w:pPr>
        <w:jc w:val="both"/>
        <w:rPr>
          <w:rFonts w:ascii="Arial" w:eastAsia="Arial" w:hAnsi="Arial" w:cs="Arial"/>
          <w:spacing w:val="-4"/>
          <w:sz w:val="24"/>
          <w:szCs w:val="24"/>
          <w:lang w:val="es-ES"/>
        </w:rPr>
      </w:pPr>
      <w:proofErr w:type="spellStart"/>
      <w:r w:rsidRPr="00ED3955">
        <w:rPr>
          <w:rFonts w:ascii="Arial" w:eastAsia="Arial" w:hAnsi="Arial" w:cs="Arial"/>
          <w:spacing w:val="-4"/>
          <w:sz w:val="24"/>
          <w:szCs w:val="24"/>
          <w:lang w:val="es-ES"/>
        </w:rPr>
        <w:lastRenderedPageBreak/>
        <w:t>IPCP</w:t>
      </w:r>
      <w:r w:rsidRPr="00ED3955">
        <w:rPr>
          <w:rFonts w:ascii="Arial" w:eastAsia="Arial" w:hAnsi="Arial" w:cs="Arial"/>
          <w:spacing w:val="-4"/>
          <w:sz w:val="24"/>
          <w:szCs w:val="24"/>
          <w:vertAlign w:val="subscript"/>
          <w:lang w:val="es-ES"/>
        </w:rPr>
        <w:t>a</w:t>
      </w:r>
      <w:proofErr w:type="spellEnd"/>
      <w:r w:rsidRPr="00ED3955">
        <w:rPr>
          <w:rFonts w:ascii="Arial" w:eastAsia="Arial" w:hAnsi="Arial" w:cs="Arial"/>
          <w:spacing w:val="-4"/>
          <w:sz w:val="24"/>
          <w:szCs w:val="24"/>
          <w:lang w:val="es-ES"/>
        </w:rPr>
        <w:t xml:space="preserve"> =</w:t>
      </w:r>
      <w:r w:rsidR="00AC4C88" w:rsidRPr="00ED3955">
        <w:rPr>
          <w:rFonts w:ascii="Arial" w:eastAsia="Arial" w:hAnsi="Arial" w:cs="Arial"/>
          <w:spacing w:val="-4"/>
          <w:sz w:val="24"/>
          <w:szCs w:val="24"/>
          <w:lang w:val="es-ES"/>
        </w:rPr>
        <w:tab/>
      </w:r>
      <w:r w:rsidR="00AC4C88" w:rsidRPr="00ED3955">
        <w:rPr>
          <w:rFonts w:ascii="Arial" w:eastAsia="Arial" w:hAnsi="Arial" w:cs="Arial"/>
          <w:spacing w:val="-4"/>
          <w:sz w:val="24"/>
          <w:szCs w:val="24"/>
          <w:lang w:val="es-ES"/>
        </w:rPr>
        <w:tab/>
      </w:r>
      <w:r w:rsidR="00AC4C88" w:rsidRPr="00ED3955">
        <w:rPr>
          <w:rFonts w:ascii="Arial" w:eastAsia="Arial" w:hAnsi="Arial" w:cs="Arial"/>
          <w:spacing w:val="-4"/>
          <w:sz w:val="24"/>
          <w:szCs w:val="24"/>
          <w:lang w:val="es-ES"/>
        </w:rPr>
        <w:tab/>
      </w:r>
      <w:r w:rsidRPr="00ED3955">
        <w:rPr>
          <w:rFonts w:ascii="Arial" w:eastAsia="Arial" w:hAnsi="Arial" w:cs="Arial"/>
          <w:spacing w:val="-4"/>
          <w:sz w:val="24"/>
          <w:szCs w:val="24"/>
          <w:lang w:val="es-ES"/>
        </w:rPr>
        <w:t>3.048.5626448</w:t>
      </w:r>
    </w:p>
    <w:p w14:paraId="0E5D614B" w14:textId="60E322A8" w:rsidR="0084300B" w:rsidRPr="00ED3955" w:rsidRDefault="5B76BF8B" w:rsidP="00ED3955">
      <w:pPr>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Fecha Inicial=</w:t>
      </w:r>
      <w:r w:rsidR="00AC4C88" w:rsidRPr="00ED3955">
        <w:rPr>
          <w:rFonts w:ascii="Arial" w:eastAsia="Arial" w:hAnsi="Arial" w:cs="Arial"/>
          <w:spacing w:val="-4"/>
          <w:sz w:val="24"/>
          <w:szCs w:val="24"/>
          <w:lang w:val="es-ES"/>
        </w:rPr>
        <w:tab/>
      </w:r>
      <w:r w:rsidR="00AC4C88" w:rsidRPr="00ED3955">
        <w:rPr>
          <w:rFonts w:ascii="Arial" w:eastAsia="Arial" w:hAnsi="Arial" w:cs="Arial"/>
          <w:spacing w:val="-4"/>
          <w:sz w:val="24"/>
          <w:szCs w:val="24"/>
          <w:lang w:val="es-ES"/>
        </w:rPr>
        <w:tab/>
      </w:r>
      <w:r w:rsidR="00ED3955">
        <w:rPr>
          <w:rFonts w:ascii="Arial" w:eastAsia="Arial" w:hAnsi="Arial" w:cs="Arial"/>
          <w:spacing w:val="-4"/>
          <w:sz w:val="24"/>
          <w:szCs w:val="24"/>
          <w:lang w:val="es-ES"/>
        </w:rPr>
        <w:tab/>
      </w:r>
      <w:r w:rsidRPr="00ED3955">
        <w:rPr>
          <w:rFonts w:ascii="Arial" w:eastAsia="Arial" w:hAnsi="Arial" w:cs="Arial"/>
          <w:spacing w:val="-4"/>
          <w:sz w:val="24"/>
          <w:szCs w:val="24"/>
          <w:lang w:val="es-ES"/>
        </w:rPr>
        <w:t>17/11/2015</w:t>
      </w:r>
    </w:p>
    <w:p w14:paraId="6FCF7C3E" w14:textId="4F5A94BE" w:rsidR="0084300B" w:rsidRPr="00ED3955" w:rsidRDefault="5B76BF8B" w:rsidP="00ED3955">
      <w:pPr>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Fecha Final=</w:t>
      </w:r>
      <w:r w:rsidR="00AC4C88" w:rsidRPr="00ED3955">
        <w:rPr>
          <w:rFonts w:ascii="Arial" w:eastAsia="Arial" w:hAnsi="Arial" w:cs="Arial"/>
          <w:spacing w:val="-4"/>
          <w:sz w:val="24"/>
          <w:szCs w:val="24"/>
          <w:lang w:val="es-ES"/>
        </w:rPr>
        <w:tab/>
      </w:r>
      <w:r w:rsidR="00AC4C88" w:rsidRPr="00ED3955">
        <w:rPr>
          <w:rFonts w:ascii="Arial" w:eastAsia="Arial" w:hAnsi="Arial" w:cs="Arial"/>
          <w:spacing w:val="-4"/>
          <w:sz w:val="24"/>
          <w:szCs w:val="24"/>
          <w:lang w:val="es-ES"/>
        </w:rPr>
        <w:tab/>
      </w:r>
      <w:r w:rsidR="00AC4C88" w:rsidRPr="00ED3955">
        <w:rPr>
          <w:rFonts w:ascii="Arial" w:eastAsia="Arial" w:hAnsi="Arial" w:cs="Arial"/>
          <w:spacing w:val="-4"/>
          <w:sz w:val="24"/>
          <w:szCs w:val="24"/>
          <w:lang w:val="es-ES"/>
        </w:rPr>
        <w:tab/>
      </w:r>
      <w:r w:rsidRPr="00ED3955">
        <w:rPr>
          <w:rFonts w:ascii="Arial" w:eastAsia="Arial" w:hAnsi="Arial" w:cs="Arial"/>
          <w:spacing w:val="-4"/>
          <w:sz w:val="24"/>
          <w:szCs w:val="24"/>
          <w:lang w:val="es-ES"/>
        </w:rPr>
        <w:t>31/10/2019</w:t>
      </w:r>
    </w:p>
    <w:p w14:paraId="4836A15D" w14:textId="76427C00" w:rsidR="0084300B" w:rsidRPr="00ED3955" w:rsidRDefault="5B76BF8B" w:rsidP="00ED3955">
      <w:pPr>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Periodo en días=</w:t>
      </w:r>
      <w:r w:rsidR="00AC4C88" w:rsidRPr="00ED3955">
        <w:rPr>
          <w:rFonts w:ascii="Arial" w:eastAsia="Arial" w:hAnsi="Arial" w:cs="Arial"/>
          <w:spacing w:val="-4"/>
          <w:sz w:val="24"/>
          <w:szCs w:val="24"/>
          <w:lang w:val="es-ES"/>
        </w:rPr>
        <w:tab/>
      </w:r>
      <w:r w:rsidR="00AC4C88" w:rsidRPr="00ED3955">
        <w:rPr>
          <w:rFonts w:ascii="Arial" w:eastAsia="Arial" w:hAnsi="Arial" w:cs="Arial"/>
          <w:spacing w:val="-4"/>
          <w:sz w:val="24"/>
          <w:szCs w:val="24"/>
          <w:lang w:val="es-ES"/>
        </w:rPr>
        <w:tab/>
      </w:r>
      <w:r w:rsidRPr="00ED3955">
        <w:rPr>
          <w:rFonts w:ascii="Arial" w:eastAsia="Arial" w:hAnsi="Arial" w:cs="Arial"/>
          <w:spacing w:val="-4"/>
          <w:sz w:val="24"/>
          <w:szCs w:val="24"/>
          <w:lang w:val="es-ES"/>
        </w:rPr>
        <w:t>1444</w:t>
      </w:r>
    </w:p>
    <w:p w14:paraId="593F7FEC" w14:textId="4B2B65A6" w:rsidR="0084300B" w:rsidRPr="00ED3955" w:rsidRDefault="5B76BF8B" w:rsidP="00ED3955">
      <w:pPr>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Periodo en años=</w:t>
      </w:r>
      <w:r w:rsidR="00AC4C88" w:rsidRPr="00ED3955">
        <w:rPr>
          <w:rFonts w:ascii="Arial" w:eastAsia="Arial" w:hAnsi="Arial" w:cs="Arial"/>
          <w:spacing w:val="-4"/>
          <w:sz w:val="24"/>
          <w:szCs w:val="24"/>
          <w:lang w:val="es-ES"/>
        </w:rPr>
        <w:tab/>
      </w:r>
      <w:r w:rsidR="00AC4C88" w:rsidRPr="00ED3955">
        <w:rPr>
          <w:rFonts w:ascii="Arial" w:eastAsia="Arial" w:hAnsi="Arial" w:cs="Arial"/>
          <w:spacing w:val="-4"/>
          <w:sz w:val="24"/>
          <w:szCs w:val="24"/>
          <w:lang w:val="es-ES"/>
        </w:rPr>
        <w:tab/>
      </w:r>
      <w:r w:rsidRPr="00ED3955">
        <w:rPr>
          <w:rFonts w:ascii="Arial" w:eastAsia="Arial" w:hAnsi="Arial" w:cs="Arial"/>
          <w:spacing w:val="-4"/>
          <w:sz w:val="24"/>
          <w:szCs w:val="24"/>
          <w:lang w:val="es-ES"/>
        </w:rPr>
        <w:t>3,96</w:t>
      </w:r>
    </w:p>
    <w:p w14:paraId="2A52B755" w14:textId="18CEA46B" w:rsidR="0084300B" w:rsidRPr="00ED3955" w:rsidRDefault="5B76BF8B"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 xml:space="preserve"> </w:t>
      </w:r>
    </w:p>
    <w:p w14:paraId="107479F2" w14:textId="78214F08" w:rsidR="0084300B" w:rsidRPr="00ED3955" w:rsidRDefault="5248B45D"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Es así entonces como la primera de las fórmulas arroja el siguiente resultado: TM1= 100 * (1,12 * ((3228.3845767/ 3048.5626448) -1)) = 6.606411%.</w:t>
      </w:r>
    </w:p>
    <w:p w14:paraId="4686D286" w14:textId="4AE16B40" w:rsidR="0084300B" w:rsidRPr="00ED3955" w:rsidRDefault="5248B45D"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 xml:space="preserve"> </w:t>
      </w:r>
    </w:p>
    <w:p w14:paraId="51E5CBC4" w14:textId="11DED059" w:rsidR="0084300B" w:rsidRPr="00ED3955" w:rsidRDefault="7B045C61" w:rsidP="002464B4">
      <w:pPr>
        <w:spacing w:line="276" w:lineRule="auto"/>
        <w:jc w:val="both"/>
        <w:rPr>
          <w:rFonts w:ascii="Arial" w:eastAsia="Arial" w:hAnsi="Arial" w:cs="Arial"/>
          <w:color w:val="201F1E"/>
          <w:spacing w:val="-4"/>
          <w:sz w:val="24"/>
          <w:szCs w:val="24"/>
          <w:lang w:val="es-ES"/>
        </w:rPr>
      </w:pPr>
      <w:r w:rsidRPr="00ED3955">
        <w:rPr>
          <w:rFonts w:ascii="Arial" w:eastAsia="Arial" w:hAnsi="Arial" w:cs="Arial"/>
          <w:spacing w:val="-4"/>
          <w:sz w:val="24"/>
          <w:szCs w:val="24"/>
          <w:lang w:val="es-ES"/>
        </w:rPr>
        <w:t>Ahora bien, encontrada la tasa efectiva anual aplicable a los intereses de mora sobre el capital insoluto, corresponde utilizarla por el tiempo en que estos se generaron, esto es, por un periodo de 1.444 días o 3,96 años, lo cual se concreta con el uso de la fórmula financiera TE= {(1+</w:t>
      </w:r>
      <w:r w:rsidRPr="00ED3955">
        <w:rPr>
          <w:rFonts w:ascii="Arial" w:eastAsia="Arial" w:hAnsi="Arial" w:cs="Arial"/>
          <w:i/>
          <w:iCs/>
          <w:spacing w:val="-4"/>
          <w:sz w:val="24"/>
          <w:szCs w:val="24"/>
          <w:lang w:val="es-ES"/>
        </w:rPr>
        <w:t>TEA)</w:t>
      </w:r>
      <w:r w:rsidRPr="00ED3955">
        <w:rPr>
          <w:rFonts w:ascii="Arial" w:eastAsia="Arial" w:hAnsi="Arial" w:cs="Arial"/>
          <w:i/>
          <w:iCs/>
          <w:spacing w:val="-4"/>
          <w:sz w:val="24"/>
          <w:szCs w:val="24"/>
          <w:vertAlign w:val="superscript"/>
          <w:lang w:val="es-ES"/>
        </w:rPr>
        <w:t>3,96</w:t>
      </w:r>
      <w:r w:rsidR="44C976BB" w:rsidRPr="00ED3955">
        <w:rPr>
          <w:rFonts w:ascii="Arial" w:eastAsia="Arial" w:hAnsi="Arial" w:cs="Arial"/>
          <w:spacing w:val="-4"/>
          <w:sz w:val="24"/>
          <w:szCs w:val="24"/>
          <w:lang w:val="es-ES"/>
        </w:rPr>
        <w:t>-1}, desarrollada la cual se obtiene una tasa para el periodo de 28,80% que aplicada al capital arroja un valor de intereses</w:t>
      </w:r>
      <w:r w:rsidR="5248B45D" w:rsidRPr="00ED3955">
        <w:rPr>
          <w:rFonts w:ascii="Arial" w:eastAsia="Arial" w:hAnsi="Arial" w:cs="Arial"/>
          <w:spacing w:val="-4"/>
          <w:sz w:val="24"/>
          <w:szCs w:val="24"/>
          <w:lang w:val="es-ES"/>
        </w:rPr>
        <w:t xml:space="preserve"> del orden de </w:t>
      </w:r>
      <w:r w:rsidR="5248B45D" w:rsidRPr="00ED3955">
        <w:rPr>
          <w:rFonts w:ascii="Arial" w:eastAsia="Arial" w:hAnsi="Arial" w:cs="Arial"/>
          <w:b/>
          <w:bCs/>
          <w:spacing w:val="-4"/>
          <w:sz w:val="24"/>
          <w:szCs w:val="24"/>
          <w:lang w:val="es-ES"/>
        </w:rPr>
        <w:t xml:space="preserve">$35.349.521.68 </w:t>
      </w:r>
      <w:r w:rsidR="5248B45D" w:rsidRPr="00ED3955">
        <w:rPr>
          <w:rFonts w:ascii="Arial" w:eastAsia="Arial" w:hAnsi="Arial" w:cs="Arial"/>
          <w:spacing w:val="-4"/>
          <w:sz w:val="24"/>
          <w:szCs w:val="24"/>
          <w:lang w:val="es-ES"/>
        </w:rPr>
        <w:t>(122’742.000*(((1+6.606411%)^(3.96))-1).</w:t>
      </w:r>
      <w:r w:rsidR="5248B45D" w:rsidRPr="00ED3955">
        <w:rPr>
          <w:rFonts w:ascii="Arial" w:eastAsia="Arial" w:hAnsi="Arial" w:cs="Arial"/>
          <w:color w:val="201F1E"/>
          <w:spacing w:val="-4"/>
          <w:sz w:val="24"/>
          <w:szCs w:val="24"/>
          <w:lang w:val="es-ES"/>
        </w:rPr>
        <w:t xml:space="preserve"> </w:t>
      </w:r>
    </w:p>
    <w:p w14:paraId="43D81BC6" w14:textId="61661C7D" w:rsidR="0084300B" w:rsidRPr="00ED3955" w:rsidRDefault="0084300B" w:rsidP="002464B4">
      <w:pPr>
        <w:spacing w:line="276" w:lineRule="auto"/>
        <w:jc w:val="both"/>
        <w:rPr>
          <w:rFonts w:ascii="Arial" w:eastAsia="Arial" w:hAnsi="Arial" w:cs="Arial"/>
          <w:spacing w:val="-4"/>
          <w:sz w:val="24"/>
          <w:szCs w:val="24"/>
          <w:lang w:val="es-ES"/>
        </w:rPr>
      </w:pPr>
    </w:p>
    <w:p w14:paraId="0BE6ACC5" w14:textId="085ADD81" w:rsidR="7B045C61" w:rsidRPr="00ED3955" w:rsidRDefault="7B045C61"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En consecuencia, a esa fecha la obligación total representada en capital e intereses ascendía a la suma de $158.091.521,68.</w:t>
      </w:r>
    </w:p>
    <w:p w14:paraId="0C6C61C9" w14:textId="3BB9B092" w:rsidR="7B045C61" w:rsidRPr="00ED3955" w:rsidRDefault="7B045C61" w:rsidP="002464B4">
      <w:pPr>
        <w:spacing w:line="276" w:lineRule="auto"/>
        <w:jc w:val="both"/>
        <w:rPr>
          <w:rFonts w:ascii="Arial" w:eastAsia="Arial" w:hAnsi="Arial" w:cs="Arial"/>
          <w:spacing w:val="-4"/>
          <w:sz w:val="24"/>
          <w:szCs w:val="24"/>
          <w:lang w:val="es-ES"/>
        </w:rPr>
      </w:pPr>
      <w:bookmarkStart w:id="3" w:name="_GoBack"/>
      <w:bookmarkEnd w:id="3"/>
    </w:p>
    <w:p w14:paraId="52713673" w14:textId="0F83593A" w:rsidR="0084300B" w:rsidRPr="00ED3955" w:rsidRDefault="5248B45D" w:rsidP="002464B4">
      <w:pPr>
        <w:spacing w:line="276" w:lineRule="auto"/>
        <w:jc w:val="both"/>
        <w:rPr>
          <w:rFonts w:ascii="Arial" w:hAnsi="Arial" w:cs="Arial"/>
          <w:spacing w:val="-4"/>
          <w:sz w:val="24"/>
          <w:szCs w:val="24"/>
          <w:lang w:val="es-ES"/>
        </w:rPr>
      </w:pPr>
      <w:r w:rsidRPr="00ED3955">
        <w:rPr>
          <w:rFonts w:ascii="Arial" w:eastAsia="Arial" w:hAnsi="Arial" w:cs="Arial"/>
          <w:spacing w:val="-4"/>
          <w:sz w:val="24"/>
          <w:szCs w:val="24"/>
          <w:lang w:val="es-ES"/>
        </w:rPr>
        <w:t xml:space="preserve">Como quiera que el Ministerio de Hacienda y Crédito Público -Oficina de Bonos Pensionales- para cubrir la obligación a 31 de octubre de 2019 canceló la cantidad de $146.704.000, correspondientes a $122.742.000 por concepto de bono pensional tipo A </w:t>
      </w:r>
      <w:proofErr w:type="spellStart"/>
      <w:r w:rsidRPr="00ED3955">
        <w:rPr>
          <w:rFonts w:ascii="Arial" w:eastAsia="Arial" w:hAnsi="Arial" w:cs="Arial"/>
          <w:spacing w:val="-4"/>
          <w:sz w:val="24"/>
          <w:szCs w:val="24"/>
          <w:lang w:val="es-ES"/>
        </w:rPr>
        <w:t>a</w:t>
      </w:r>
      <w:proofErr w:type="spellEnd"/>
      <w:r w:rsidRPr="00ED3955">
        <w:rPr>
          <w:rFonts w:ascii="Arial" w:eastAsia="Arial" w:hAnsi="Arial" w:cs="Arial"/>
          <w:spacing w:val="-4"/>
          <w:sz w:val="24"/>
          <w:szCs w:val="24"/>
          <w:lang w:val="es-ES"/>
        </w:rPr>
        <w:t xml:space="preserve"> la fecha de redención -1</w:t>
      </w:r>
      <w:r w:rsidRPr="00ED3955">
        <w:rPr>
          <w:rFonts w:ascii="Arial" w:eastAsia="Arial" w:hAnsi="Arial" w:cs="Arial"/>
          <w:i/>
          <w:iCs/>
          <w:spacing w:val="-4"/>
          <w:sz w:val="24"/>
          <w:szCs w:val="24"/>
          <w:lang w:val="es-ES"/>
        </w:rPr>
        <w:t>7 de octubre de 2015</w:t>
      </w:r>
      <w:r w:rsidRPr="00ED3955">
        <w:rPr>
          <w:rFonts w:ascii="Arial" w:eastAsia="Arial" w:hAnsi="Arial" w:cs="Arial"/>
          <w:spacing w:val="-4"/>
          <w:sz w:val="24"/>
          <w:szCs w:val="24"/>
          <w:lang w:val="es-ES"/>
        </w:rPr>
        <w:t xml:space="preserve">-, más la indexación de esa suma hasta esa fecha de pago </w:t>
      </w:r>
      <w:r w:rsidR="0090428F" w:rsidRPr="00ED3955">
        <w:rPr>
          <w:rFonts w:ascii="Arial" w:eastAsia="Arial" w:hAnsi="Arial" w:cs="Arial"/>
          <w:spacing w:val="-4"/>
          <w:sz w:val="24"/>
          <w:szCs w:val="24"/>
          <w:lang w:val="es-ES"/>
        </w:rPr>
        <w:t>-</w:t>
      </w:r>
      <w:r w:rsidRPr="00ED3955">
        <w:rPr>
          <w:rFonts w:ascii="Arial" w:eastAsia="Arial" w:hAnsi="Arial" w:cs="Arial"/>
          <w:i/>
          <w:iCs/>
          <w:spacing w:val="-4"/>
          <w:sz w:val="24"/>
          <w:szCs w:val="24"/>
          <w:lang w:val="es-ES"/>
        </w:rPr>
        <w:t>31 de octubre de 2019</w:t>
      </w:r>
      <w:r w:rsidRPr="00ED3955">
        <w:rPr>
          <w:rFonts w:ascii="Arial" w:eastAsia="Arial" w:hAnsi="Arial" w:cs="Arial"/>
          <w:spacing w:val="-4"/>
          <w:sz w:val="24"/>
          <w:szCs w:val="24"/>
          <w:lang w:val="es-ES"/>
        </w:rPr>
        <w:t xml:space="preserve">-, por la suma de $23.962.000, se advierte entonces un saldo insoluto, respecto a la orden contenida en la sentencia que sirve de título ejecutivo de </w:t>
      </w:r>
      <w:r w:rsidRPr="00ED3955">
        <w:rPr>
          <w:rFonts w:ascii="Arial" w:eastAsia="Arial" w:hAnsi="Arial" w:cs="Arial"/>
          <w:b/>
          <w:bCs/>
          <w:spacing w:val="-4"/>
          <w:sz w:val="24"/>
          <w:szCs w:val="24"/>
          <w:lang w:val="es-ES"/>
        </w:rPr>
        <w:t>$11.387.521,68</w:t>
      </w:r>
      <w:r w:rsidRPr="00ED3955">
        <w:rPr>
          <w:rFonts w:ascii="Arial" w:eastAsia="Arial" w:hAnsi="Arial" w:cs="Arial"/>
          <w:bCs/>
          <w:spacing w:val="-4"/>
          <w:sz w:val="24"/>
          <w:szCs w:val="24"/>
          <w:lang w:val="es-ES"/>
        </w:rPr>
        <w:t>.</w:t>
      </w:r>
    </w:p>
    <w:p w14:paraId="7F6F9E39" w14:textId="671DB131" w:rsidR="0084300B" w:rsidRPr="00ED3955" w:rsidRDefault="0084300B" w:rsidP="002464B4">
      <w:pPr>
        <w:spacing w:line="276" w:lineRule="auto"/>
        <w:jc w:val="both"/>
        <w:rPr>
          <w:rFonts w:ascii="Arial" w:hAnsi="Arial" w:cs="Arial"/>
          <w:spacing w:val="-4"/>
          <w:sz w:val="24"/>
          <w:szCs w:val="24"/>
          <w:lang w:val="es-ES"/>
        </w:rPr>
      </w:pPr>
    </w:p>
    <w:p w14:paraId="002332F6" w14:textId="292ABC87" w:rsidR="0084300B" w:rsidRPr="00ED3955" w:rsidRDefault="5B76BF8B" w:rsidP="002464B4">
      <w:pPr>
        <w:spacing w:line="276" w:lineRule="auto"/>
        <w:jc w:val="both"/>
        <w:rPr>
          <w:rFonts w:ascii="Arial" w:hAnsi="Arial" w:cs="Arial"/>
          <w:spacing w:val="-4"/>
          <w:sz w:val="24"/>
          <w:szCs w:val="24"/>
          <w:lang w:val="es-ES"/>
        </w:rPr>
      </w:pPr>
      <w:r w:rsidRPr="00ED3955">
        <w:rPr>
          <w:rFonts w:ascii="Arial" w:eastAsia="Arial" w:hAnsi="Arial" w:cs="Arial"/>
          <w:spacing w:val="-4"/>
          <w:sz w:val="24"/>
          <w:szCs w:val="24"/>
          <w:lang w:val="es-ES"/>
        </w:rPr>
        <w:t>Y ello es así porque la sentencia ejecutada ordenó el pago de intereses moratorios respecto a</w:t>
      </w:r>
      <w:r w:rsidR="09DC20F8" w:rsidRPr="00ED3955">
        <w:rPr>
          <w:rFonts w:ascii="Arial" w:hAnsi="Arial" w:cs="Arial"/>
          <w:spacing w:val="-4"/>
          <w:sz w:val="24"/>
          <w:szCs w:val="24"/>
        </w:rPr>
        <w:t>l valor del bono pensional A del señor Huberto Fernández</w:t>
      </w:r>
      <w:r w:rsidR="0025118E" w:rsidRPr="00ED3955">
        <w:rPr>
          <w:rFonts w:ascii="Arial" w:hAnsi="Arial" w:cs="Arial"/>
          <w:spacing w:val="-4"/>
          <w:sz w:val="24"/>
          <w:szCs w:val="24"/>
        </w:rPr>
        <w:t xml:space="preserve"> </w:t>
      </w:r>
      <w:r w:rsidR="09DC20F8" w:rsidRPr="00ED3955">
        <w:rPr>
          <w:rFonts w:ascii="Arial" w:hAnsi="Arial" w:cs="Arial"/>
          <w:spacing w:val="-4"/>
          <w:sz w:val="24"/>
          <w:szCs w:val="24"/>
        </w:rPr>
        <w:t>Hernández</w:t>
      </w:r>
      <w:r w:rsidR="0025118E" w:rsidRPr="00ED3955">
        <w:rPr>
          <w:rFonts w:ascii="Arial" w:hAnsi="Arial" w:cs="Arial"/>
          <w:spacing w:val="-4"/>
          <w:sz w:val="24"/>
          <w:szCs w:val="24"/>
        </w:rPr>
        <w:t xml:space="preserve"> </w:t>
      </w:r>
      <w:r w:rsidR="09DC20F8" w:rsidRPr="00ED3955">
        <w:rPr>
          <w:rFonts w:ascii="Arial" w:hAnsi="Arial" w:cs="Arial"/>
          <w:spacing w:val="-4"/>
          <w:sz w:val="24"/>
          <w:szCs w:val="24"/>
        </w:rPr>
        <w:t>a la fecha de redención normal</w:t>
      </w:r>
      <w:r w:rsidRPr="00ED3955">
        <w:rPr>
          <w:rFonts w:ascii="Arial" w:eastAsia="Arial" w:hAnsi="Arial" w:cs="Arial"/>
          <w:spacing w:val="-4"/>
          <w:sz w:val="24"/>
          <w:szCs w:val="24"/>
          <w:lang w:val="es-ES"/>
        </w:rPr>
        <w:t>, más no la indexación de dicha suma según lo hizo el Ministerio, pero, como se explicó en las consideraciones de esta providencia, los intereses “</w:t>
      </w:r>
      <w:r w:rsidRPr="00ED3955">
        <w:rPr>
          <w:rFonts w:ascii="Arial" w:eastAsia="Arial" w:hAnsi="Arial" w:cs="Arial"/>
          <w:i/>
          <w:iCs/>
          <w:spacing w:val="-4"/>
          <w:sz w:val="22"/>
          <w:szCs w:val="24"/>
          <w:lang w:val="es-ES"/>
        </w:rPr>
        <w:t>sean ellos remuneratorios o moratorios, el interés bancario corriente que sirve de base para su cuantificación (art. 884 C. de Co.), ya comprende, per se, la aludida corrección</w:t>
      </w:r>
      <w:r w:rsidRPr="00ED3955">
        <w:rPr>
          <w:rFonts w:ascii="Arial" w:eastAsia="Arial" w:hAnsi="Arial" w:cs="Arial"/>
          <w:i/>
          <w:iCs/>
          <w:spacing w:val="-4"/>
          <w:sz w:val="24"/>
          <w:szCs w:val="24"/>
          <w:lang w:val="es-ES"/>
        </w:rPr>
        <w:t>.”</w:t>
      </w:r>
      <w:r w:rsidRPr="00ED3955">
        <w:rPr>
          <w:rFonts w:ascii="Arial" w:eastAsia="Arial" w:hAnsi="Arial" w:cs="Arial"/>
          <w:spacing w:val="-4"/>
          <w:sz w:val="24"/>
          <w:szCs w:val="24"/>
          <w:lang w:val="es-ES"/>
        </w:rPr>
        <w:t xml:space="preserve"> razón por la cual no pueden ambos conceptos (interés moratorio - indexación) correr concomitantemente, para -como lo pidió el ejecutante y lo dispuso el a-quo-, terminar aplicando intereses moratorios a una suma que ya había sido indexada.</w:t>
      </w:r>
    </w:p>
    <w:p w14:paraId="36337EF2" w14:textId="7FAC5A7C" w:rsidR="0084300B" w:rsidRPr="00ED3955" w:rsidRDefault="5B76BF8B" w:rsidP="002464B4">
      <w:pPr>
        <w:spacing w:line="276" w:lineRule="auto"/>
        <w:jc w:val="both"/>
        <w:rPr>
          <w:rFonts w:ascii="Arial" w:hAnsi="Arial" w:cs="Arial"/>
          <w:spacing w:val="-4"/>
          <w:sz w:val="24"/>
          <w:szCs w:val="24"/>
          <w:lang w:val="es-ES"/>
        </w:rPr>
      </w:pPr>
      <w:r w:rsidRPr="00ED3955">
        <w:rPr>
          <w:rFonts w:ascii="Arial" w:eastAsia="Arial" w:hAnsi="Arial" w:cs="Arial"/>
          <w:spacing w:val="-4"/>
          <w:sz w:val="24"/>
          <w:szCs w:val="24"/>
          <w:lang w:val="es-ES"/>
        </w:rPr>
        <w:t xml:space="preserve"> </w:t>
      </w:r>
    </w:p>
    <w:p w14:paraId="78E3A734" w14:textId="004E4941" w:rsidR="0084300B" w:rsidRPr="00ED3955" w:rsidRDefault="5B76BF8B"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Lo anterior pone de presente entonces que el juzgado incurrió en una manifiesta equivocación al momento de calcular el valor de los intereses moratorios y librar el mandamiento de pago, motivo por el cual, se modificará el literal A del ordinal primero del auto que libró mandamiento de pago, sin que ello atente contra el principio de la no</w:t>
      </w:r>
      <w:r w:rsidRPr="00ED3955">
        <w:rPr>
          <w:rFonts w:ascii="Arial" w:eastAsia="Arial" w:hAnsi="Arial" w:cs="Arial"/>
          <w:i/>
          <w:iCs/>
          <w:spacing w:val="-4"/>
          <w:sz w:val="24"/>
          <w:szCs w:val="24"/>
          <w:lang w:val="es-ES"/>
        </w:rPr>
        <w:t xml:space="preserve"> </w:t>
      </w:r>
      <w:proofErr w:type="spellStart"/>
      <w:r w:rsidRPr="00ED3955">
        <w:rPr>
          <w:rFonts w:ascii="Arial" w:eastAsia="Arial" w:hAnsi="Arial" w:cs="Arial"/>
          <w:i/>
          <w:iCs/>
          <w:spacing w:val="-4"/>
          <w:sz w:val="24"/>
          <w:szCs w:val="24"/>
          <w:lang w:val="es-ES"/>
        </w:rPr>
        <w:t>reformatio</w:t>
      </w:r>
      <w:proofErr w:type="spellEnd"/>
      <w:r w:rsidRPr="00ED3955">
        <w:rPr>
          <w:rFonts w:ascii="Arial" w:eastAsia="Arial" w:hAnsi="Arial" w:cs="Arial"/>
          <w:i/>
          <w:iCs/>
          <w:spacing w:val="-4"/>
          <w:sz w:val="24"/>
          <w:szCs w:val="24"/>
          <w:lang w:val="es-ES"/>
        </w:rPr>
        <w:t xml:space="preserve"> in </w:t>
      </w:r>
      <w:proofErr w:type="spellStart"/>
      <w:r w:rsidRPr="00ED3955">
        <w:rPr>
          <w:rFonts w:ascii="Arial" w:eastAsia="Arial" w:hAnsi="Arial" w:cs="Arial"/>
          <w:i/>
          <w:iCs/>
          <w:spacing w:val="-4"/>
          <w:sz w:val="24"/>
          <w:szCs w:val="24"/>
          <w:lang w:val="es-ES"/>
        </w:rPr>
        <w:t>pejus</w:t>
      </w:r>
      <w:proofErr w:type="spellEnd"/>
      <w:r w:rsidRPr="00ED3955">
        <w:rPr>
          <w:rFonts w:ascii="Arial" w:eastAsia="Arial" w:hAnsi="Arial" w:cs="Arial"/>
          <w:spacing w:val="-4"/>
          <w:sz w:val="24"/>
          <w:szCs w:val="24"/>
          <w:lang w:val="es-ES"/>
        </w:rPr>
        <w:t xml:space="preserve">, toda vez que, encaminado el recurso de </w:t>
      </w:r>
      <w:r w:rsidR="2F9A1C76" w:rsidRPr="00ED3955">
        <w:rPr>
          <w:rFonts w:ascii="Arial" w:eastAsia="Arial" w:hAnsi="Arial" w:cs="Arial"/>
          <w:spacing w:val="-4"/>
          <w:sz w:val="24"/>
          <w:szCs w:val="24"/>
          <w:lang w:val="es-ES"/>
        </w:rPr>
        <w:t>la parte ejecutante a que la jurisdicción laboral fije el valor total de los intereses moratorios adeudados y que corresponden a la obligación que se cobra por la vía ejecutiva, corresponde a la Sala definir ese monto, para lo cual, ni</w:t>
      </w:r>
      <w:r w:rsidR="0025118E" w:rsidRPr="00ED3955">
        <w:rPr>
          <w:rFonts w:ascii="Arial" w:eastAsia="Arial" w:hAnsi="Arial" w:cs="Arial"/>
          <w:spacing w:val="-4"/>
          <w:sz w:val="24"/>
          <w:szCs w:val="24"/>
          <w:lang w:val="es-ES"/>
        </w:rPr>
        <w:t xml:space="preserve"> </w:t>
      </w:r>
      <w:r w:rsidR="2F9A1C76" w:rsidRPr="00ED3955">
        <w:rPr>
          <w:rFonts w:ascii="Arial" w:eastAsia="Arial" w:hAnsi="Arial" w:cs="Arial"/>
          <w:spacing w:val="-4"/>
          <w:sz w:val="24"/>
          <w:szCs w:val="24"/>
          <w:lang w:val="es-ES"/>
        </w:rPr>
        <w:t>el valor cuantificado por el ejecutante ni los guarismos determinados por el a-quo atan a esta Corporación, por tratarse de un asunto eminentemente aritmético, cuya liquidación está delimitada por el Decreto 1748 de 1995.</w:t>
      </w:r>
    </w:p>
    <w:p w14:paraId="637E2BCF" w14:textId="2E2EA1E9" w:rsidR="0084300B" w:rsidRPr="00ED3955" w:rsidRDefault="0084300B" w:rsidP="002464B4">
      <w:pPr>
        <w:spacing w:line="276" w:lineRule="auto"/>
        <w:jc w:val="both"/>
        <w:rPr>
          <w:rFonts w:ascii="Arial" w:hAnsi="Arial" w:cs="Arial"/>
          <w:spacing w:val="-4"/>
          <w:sz w:val="24"/>
          <w:szCs w:val="24"/>
          <w:lang w:val="es-ES"/>
        </w:rPr>
      </w:pPr>
    </w:p>
    <w:p w14:paraId="2801FE1C" w14:textId="45186B37" w:rsidR="0084300B" w:rsidRPr="00ED3955" w:rsidRDefault="2F9A1C76"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 xml:space="preserve">De otro lado, se tiene precisamente que el Juzgado de conocimiento, de manera desprevenida, sin una revisión cuidadosa del título ejecutivo, realizó una operación básica, </w:t>
      </w:r>
      <w:r w:rsidRPr="00ED3955">
        <w:rPr>
          <w:rFonts w:ascii="Arial" w:eastAsia="Arial" w:hAnsi="Arial" w:cs="Arial"/>
          <w:spacing w:val="-4"/>
          <w:sz w:val="24"/>
          <w:szCs w:val="24"/>
          <w:lang w:val="es-ES"/>
        </w:rPr>
        <w:lastRenderedPageBreak/>
        <w:t>en la que tomó el valor de lo cancelado por la Cartera ejecutada y lo multiplicó por la tasa de interés de mora durante los días en que esta corrió, sin percatarse de la existencia de las fórmulas y el procedimiento establecido en el citado decreto, siendo este de imperiosa observación, en tanto hace parte de la sentencia que sirve de título de recaudo.</w:t>
      </w:r>
    </w:p>
    <w:p w14:paraId="365FE812" w14:textId="1A339407" w:rsidR="0084300B" w:rsidRPr="00ED3955" w:rsidRDefault="0084300B" w:rsidP="002464B4">
      <w:pPr>
        <w:spacing w:line="276" w:lineRule="auto"/>
        <w:jc w:val="both"/>
        <w:rPr>
          <w:rFonts w:ascii="Arial" w:hAnsi="Arial" w:cs="Arial"/>
          <w:spacing w:val="-4"/>
          <w:sz w:val="24"/>
          <w:szCs w:val="24"/>
          <w:lang w:val="es-ES"/>
        </w:rPr>
      </w:pPr>
    </w:p>
    <w:p w14:paraId="07241510" w14:textId="266E005A" w:rsidR="0084300B" w:rsidRPr="00ED3955" w:rsidRDefault="2F9A1C76"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 xml:space="preserve">Tampoco puede pasarse por alto que el monto cancelado por el Ministerio de Hacienda y Crédito Público -Oficina de Bonos Pensionales- estaba integrado por el valor del bono pensional, indexado a la fecha de pago y, como viene de verse, </w:t>
      </w:r>
      <w:r w:rsidR="5B76BF8B" w:rsidRPr="00ED3955">
        <w:rPr>
          <w:rFonts w:ascii="Arial" w:eastAsia="Arial" w:hAnsi="Arial" w:cs="Arial"/>
          <w:spacing w:val="-4"/>
          <w:sz w:val="24"/>
          <w:szCs w:val="24"/>
          <w:lang w:val="es-ES"/>
        </w:rPr>
        <w:t>existe la imposibilidad legal de ordenar un doble reconocimiento a título de corrección monetaria, pues ello implicaría un enriquecimiento sin causa por parte del acreedor.</w:t>
      </w:r>
    </w:p>
    <w:p w14:paraId="1615ECDE" w14:textId="311E023E" w:rsidR="2F9A1C76" w:rsidRPr="00ED3955" w:rsidRDefault="2F9A1C76" w:rsidP="002464B4">
      <w:pPr>
        <w:spacing w:line="276" w:lineRule="auto"/>
        <w:jc w:val="both"/>
        <w:rPr>
          <w:rFonts w:ascii="Arial" w:hAnsi="Arial" w:cs="Arial"/>
          <w:spacing w:val="-4"/>
          <w:sz w:val="24"/>
          <w:szCs w:val="24"/>
          <w:lang w:val="es-ES"/>
        </w:rPr>
      </w:pPr>
    </w:p>
    <w:p w14:paraId="53B81AF7" w14:textId="6426C780" w:rsidR="2F9A1C76" w:rsidRPr="00ED3955" w:rsidRDefault="2F9A1C76"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Finalmente, y no menos importante es el hecho que la Sala no puede mantener una orden ejecutiva por un valor que no corresponde a la deuda real, pues ello iría en detrimento a los recursos del régimen pensional.</w:t>
      </w:r>
    </w:p>
    <w:p w14:paraId="688FF220" w14:textId="5BB72B38" w:rsidR="0084300B" w:rsidRPr="00ED3955" w:rsidRDefault="5B76BF8B"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 xml:space="preserve"> </w:t>
      </w:r>
    </w:p>
    <w:p w14:paraId="2FE434D3" w14:textId="5766428A" w:rsidR="2F9A1C76" w:rsidRPr="00ED3955" w:rsidRDefault="2F9A1C76" w:rsidP="002464B4">
      <w:pPr>
        <w:spacing w:line="276" w:lineRule="auto"/>
        <w:jc w:val="both"/>
        <w:rPr>
          <w:rFonts w:ascii="Arial" w:eastAsia="Arial" w:hAnsi="Arial" w:cs="Arial"/>
          <w:spacing w:val="-4"/>
          <w:sz w:val="24"/>
          <w:szCs w:val="24"/>
          <w:highlight w:val="yellow"/>
          <w:lang w:val="es-ES"/>
        </w:rPr>
      </w:pPr>
      <w:r w:rsidRPr="00ED3955">
        <w:rPr>
          <w:rFonts w:ascii="Arial" w:eastAsia="Arial" w:hAnsi="Arial" w:cs="Arial"/>
          <w:spacing w:val="-4"/>
          <w:sz w:val="24"/>
          <w:szCs w:val="24"/>
          <w:lang w:val="es-ES"/>
        </w:rPr>
        <w:t>De acuerdo con lo anterior, se procederá como se indicó párrafos atrás respecto al auto revisado.</w:t>
      </w:r>
    </w:p>
    <w:p w14:paraId="1FEF738F" w14:textId="428F3785" w:rsidR="2F9A1C76" w:rsidRPr="00ED3955" w:rsidRDefault="2F9A1C76" w:rsidP="002464B4">
      <w:pPr>
        <w:spacing w:line="276" w:lineRule="auto"/>
        <w:jc w:val="both"/>
        <w:rPr>
          <w:rFonts w:ascii="Arial" w:hAnsi="Arial" w:cs="Arial"/>
          <w:spacing w:val="-4"/>
          <w:sz w:val="24"/>
          <w:szCs w:val="24"/>
          <w:lang w:val="es-ES"/>
        </w:rPr>
      </w:pPr>
    </w:p>
    <w:p w14:paraId="5B0CC24D" w14:textId="3F4ECF57" w:rsidR="0084300B" w:rsidRPr="00ED3955" w:rsidRDefault="2F9A1C76" w:rsidP="002464B4">
      <w:pPr>
        <w:spacing w:line="276" w:lineRule="auto"/>
        <w:jc w:val="both"/>
        <w:rPr>
          <w:rFonts w:ascii="Arial" w:eastAsia="Arial" w:hAnsi="Arial" w:cs="Arial"/>
          <w:spacing w:val="-4"/>
          <w:sz w:val="24"/>
          <w:szCs w:val="24"/>
          <w:lang w:val="es-ES"/>
        </w:rPr>
      </w:pPr>
      <w:r w:rsidRPr="00ED3955">
        <w:rPr>
          <w:rFonts w:ascii="Arial" w:eastAsia="Arial" w:hAnsi="Arial" w:cs="Arial"/>
          <w:spacing w:val="-4"/>
          <w:sz w:val="24"/>
          <w:szCs w:val="24"/>
          <w:lang w:val="es-ES"/>
        </w:rPr>
        <w:t>Costas en esta Sede a cargo del recurrente.</w:t>
      </w:r>
    </w:p>
    <w:p w14:paraId="6E8E9068" w14:textId="4F0DA69B" w:rsidR="0084300B" w:rsidRPr="00ED3955" w:rsidRDefault="0084300B" w:rsidP="002464B4">
      <w:pPr>
        <w:pStyle w:val="Textoindependiente"/>
        <w:spacing w:line="276" w:lineRule="auto"/>
        <w:rPr>
          <w:rFonts w:cs="Arial"/>
          <w:spacing w:val="-4"/>
          <w:sz w:val="24"/>
          <w:szCs w:val="24"/>
        </w:rPr>
      </w:pPr>
    </w:p>
    <w:p w14:paraId="60C2F6F9" w14:textId="733E57B8" w:rsidR="0084300B" w:rsidRPr="00ED3955" w:rsidRDefault="0084300B" w:rsidP="002464B4">
      <w:pPr>
        <w:pStyle w:val="Textoindependiente"/>
        <w:spacing w:line="276" w:lineRule="auto"/>
        <w:rPr>
          <w:rFonts w:cs="Arial"/>
          <w:spacing w:val="-4"/>
          <w:sz w:val="24"/>
          <w:szCs w:val="24"/>
        </w:rPr>
      </w:pPr>
      <w:r w:rsidRPr="00ED3955">
        <w:rPr>
          <w:rFonts w:cs="Arial"/>
          <w:spacing w:val="-4"/>
          <w:sz w:val="24"/>
          <w:szCs w:val="24"/>
        </w:rPr>
        <w:t xml:space="preserve">En mérito de lo expuesto, la Sala de Decisión Laboral del Tribunal Superior del Distrito Judicial de Pereira, </w:t>
      </w:r>
    </w:p>
    <w:p w14:paraId="6D98A12B" w14:textId="77777777" w:rsidR="0084300B" w:rsidRPr="00ED3955" w:rsidRDefault="0084300B" w:rsidP="002464B4">
      <w:pPr>
        <w:pStyle w:val="Textoindependiente"/>
        <w:spacing w:line="276" w:lineRule="auto"/>
        <w:jc w:val="center"/>
        <w:rPr>
          <w:rFonts w:cs="Arial"/>
          <w:b/>
          <w:spacing w:val="-4"/>
          <w:sz w:val="24"/>
          <w:szCs w:val="24"/>
        </w:rPr>
      </w:pPr>
    </w:p>
    <w:p w14:paraId="68A3624F" w14:textId="77777777" w:rsidR="0084300B" w:rsidRPr="00ED3955" w:rsidRDefault="0084300B" w:rsidP="002464B4">
      <w:pPr>
        <w:pStyle w:val="Textoindependiente"/>
        <w:spacing w:line="276" w:lineRule="auto"/>
        <w:jc w:val="center"/>
        <w:rPr>
          <w:rFonts w:cs="Arial"/>
          <w:b/>
          <w:spacing w:val="-4"/>
          <w:sz w:val="24"/>
          <w:szCs w:val="24"/>
        </w:rPr>
      </w:pPr>
      <w:r w:rsidRPr="00ED3955">
        <w:rPr>
          <w:rFonts w:cs="Arial"/>
          <w:b/>
          <w:spacing w:val="-4"/>
          <w:sz w:val="24"/>
          <w:szCs w:val="24"/>
        </w:rPr>
        <w:t>RESUELVE</w:t>
      </w:r>
    </w:p>
    <w:p w14:paraId="2946DB82" w14:textId="77777777" w:rsidR="0084300B" w:rsidRPr="00ED3955" w:rsidRDefault="0084300B" w:rsidP="002464B4">
      <w:pPr>
        <w:pStyle w:val="Textoindependiente"/>
        <w:spacing w:line="276" w:lineRule="auto"/>
        <w:rPr>
          <w:rFonts w:cs="Arial"/>
          <w:spacing w:val="-4"/>
          <w:sz w:val="24"/>
          <w:szCs w:val="24"/>
        </w:rPr>
      </w:pPr>
    </w:p>
    <w:p w14:paraId="383A69D5" w14:textId="46E03F4B" w:rsidR="0084300B" w:rsidRPr="00ED3955" w:rsidRDefault="68F5FCC9" w:rsidP="002464B4">
      <w:pPr>
        <w:widowControl w:val="0"/>
        <w:autoSpaceDE w:val="0"/>
        <w:autoSpaceDN w:val="0"/>
        <w:adjustRightInd w:val="0"/>
        <w:spacing w:line="276" w:lineRule="auto"/>
        <w:jc w:val="both"/>
        <w:rPr>
          <w:rFonts w:ascii="Arial" w:hAnsi="Arial" w:cs="Arial"/>
          <w:spacing w:val="-4"/>
          <w:sz w:val="24"/>
          <w:szCs w:val="24"/>
        </w:rPr>
      </w:pPr>
      <w:r w:rsidRPr="00ED3955">
        <w:rPr>
          <w:rFonts w:ascii="Arial" w:hAnsi="Arial" w:cs="Arial"/>
          <w:b/>
          <w:bCs/>
          <w:spacing w:val="-4"/>
          <w:sz w:val="24"/>
          <w:szCs w:val="24"/>
        </w:rPr>
        <w:t xml:space="preserve">PRIMERO: MODIFICAR </w:t>
      </w:r>
      <w:r w:rsidRPr="00ED3955">
        <w:rPr>
          <w:rFonts w:ascii="Arial" w:hAnsi="Arial" w:cs="Arial"/>
          <w:spacing w:val="-4"/>
          <w:sz w:val="24"/>
          <w:szCs w:val="24"/>
        </w:rPr>
        <w:t>el literal A del ordinal primero la providencia proferida por el Juzgado Segundo Laboral del Circuito el día 27 de abril de 2021, el cual quedará así:</w:t>
      </w:r>
    </w:p>
    <w:p w14:paraId="243EF27D" w14:textId="600125B9" w:rsidR="5B76BF8B" w:rsidRPr="00ED3955" w:rsidRDefault="5B76BF8B" w:rsidP="002464B4">
      <w:pPr>
        <w:widowControl w:val="0"/>
        <w:spacing w:line="276" w:lineRule="auto"/>
        <w:jc w:val="both"/>
        <w:rPr>
          <w:rFonts w:ascii="Arial" w:hAnsi="Arial" w:cs="Arial"/>
          <w:spacing w:val="-4"/>
          <w:sz w:val="24"/>
          <w:szCs w:val="24"/>
        </w:rPr>
      </w:pPr>
    </w:p>
    <w:p w14:paraId="09AAF813" w14:textId="2FDEA79E" w:rsidR="5B76BF8B" w:rsidRPr="00ED3955" w:rsidRDefault="5B76BF8B" w:rsidP="002464B4">
      <w:pPr>
        <w:widowControl w:val="0"/>
        <w:spacing w:line="276" w:lineRule="auto"/>
        <w:ind w:left="426" w:right="420"/>
        <w:jc w:val="both"/>
        <w:rPr>
          <w:rFonts w:ascii="Arial" w:eastAsia="Arial" w:hAnsi="Arial" w:cs="Arial"/>
          <w:i/>
          <w:iCs/>
          <w:spacing w:val="-4"/>
          <w:sz w:val="24"/>
          <w:szCs w:val="24"/>
        </w:rPr>
      </w:pPr>
      <w:r w:rsidRPr="00ED3955">
        <w:rPr>
          <w:rFonts w:ascii="Arial" w:eastAsia="Arial" w:hAnsi="Arial" w:cs="Arial"/>
          <w:i/>
          <w:iCs/>
          <w:spacing w:val="-4"/>
          <w:sz w:val="24"/>
          <w:szCs w:val="24"/>
        </w:rPr>
        <w:t xml:space="preserve">“A. Por los intereses moratorios de que trata el artículo 17 del Decreto 1748 de 1995 desde el 17 de noviembre de 1995 y hasta el 31 de octubre de 2019, por valor de </w:t>
      </w:r>
      <w:r w:rsidRPr="00ED3955">
        <w:rPr>
          <w:rFonts w:ascii="Arial" w:eastAsia="Arial" w:hAnsi="Arial" w:cs="Arial"/>
          <w:b/>
          <w:bCs/>
          <w:i/>
          <w:iCs/>
          <w:spacing w:val="-4"/>
          <w:sz w:val="24"/>
          <w:szCs w:val="24"/>
        </w:rPr>
        <w:t>ONCE MILLONES SEISCIENTOS UN MIL CUARTENTA Y UN PESOS MCTE</w:t>
      </w:r>
      <w:r w:rsidRPr="00ED3955">
        <w:rPr>
          <w:rFonts w:ascii="Arial" w:eastAsia="Arial" w:hAnsi="Arial" w:cs="Arial"/>
          <w:i/>
          <w:iCs/>
          <w:spacing w:val="-4"/>
          <w:sz w:val="24"/>
          <w:szCs w:val="24"/>
        </w:rPr>
        <w:t xml:space="preserve"> ($11.601.041)”</w:t>
      </w:r>
    </w:p>
    <w:p w14:paraId="5997CC1D" w14:textId="77777777" w:rsidR="0084300B" w:rsidRPr="00ED3955" w:rsidRDefault="0084300B" w:rsidP="002464B4">
      <w:pPr>
        <w:widowControl w:val="0"/>
        <w:autoSpaceDE w:val="0"/>
        <w:autoSpaceDN w:val="0"/>
        <w:adjustRightInd w:val="0"/>
        <w:spacing w:line="276" w:lineRule="auto"/>
        <w:jc w:val="both"/>
        <w:rPr>
          <w:rFonts w:ascii="Arial" w:hAnsi="Arial" w:cs="Arial"/>
          <w:spacing w:val="-4"/>
          <w:sz w:val="24"/>
          <w:szCs w:val="24"/>
        </w:rPr>
      </w:pPr>
    </w:p>
    <w:p w14:paraId="382F1052" w14:textId="272CFAEC" w:rsidR="0084300B" w:rsidRPr="00ED3955" w:rsidRDefault="0084300B" w:rsidP="002464B4">
      <w:pPr>
        <w:widowControl w:val="0"/>
        <w:spacing w:line="276" w:lineRule="auto"/>
        <w:jc w:val="both"/>
        <w:rPr>
          <w:rFonts w:ascii="Arial" w:hAnsi="Arial" w:cs="Arial"/>
          <w:spacing w:val="-4"/>
          <w:sz w:val="24"/>
          <w:szCs w:val="24"/>
        </w:rPr>
      </w:pPr>
      <w:r w:rsidRPr="00ED3955">
        <w:rPr>
          <w:rFonts w:ascii="Arial" w:hAnsi="Arial" w:cs="Arial"/>
          <w:b/>
          <w:bCs/>
          <w:spacing w:val="-4"/>
          <w:sz w:val="24"/>
          <w:szCs w:val="24"/>
        </w:rPr>
        <w:t>SEGUNDO:</w:t>
      </w:r>
      <w:r w:rsidRPr="00ED3955">
        <w:rPr>
          <w:rFonts w:ascii="Arial" w:hAnsi="Arial" w:cs="Arial"/>
          <w:spacing w:val="-4"/>
          <w:sz w:val="24"/>
          <w:szCs w:val="24"/>
        </w:rPr>
        <w:t xml:space="preserve"> Costas en esta instancia a cargo </w:t>
      </w:r>
      <w:r w:rsidR="5B76BF8B" w:rsidRPr="00ED3955">
        <w:rPr>
          <w:rFonts w:ascii="Arial" w:hAnsi="Arial" w:cs="Arial"/>
          <w:spacing w:val="-4"/>
          <w:sz w:val="24"/>
          <w:szCs w:val="24"/>
        </w:rPr>
        <w:t xml:space="preserve">del señor Huberto </w:t>
      </w:r>
      <w:r w:rsidR="0022273D" w:rsidRPr="00ED3955">
        <w:rPr>
          <w:rFonts w:ascii="Arial" w:hAnsi="Arial" w:cs="Arial"/>
          <w:spacing w:val="-4"/>
          <w:sz w:val="24"/>
          <w:szCs w:val="24"/>
        </w:rPr>
        <w:t>Fernández</w:t>
      </w:r>
      <w:r w:rsidR="5B76BF8B" w:rsidRPr="00ED3955">
        <w:rPr>
          <w:rFonts w:ascii="Arial" w:hAnsi="Arial" w:cs="Arial"/>
          <w:spacing w:val="-4"/>
          <w:sz w:val="24"/>
          <w:szCs w:val="24"/>
        </w:rPr>
        <w:t xml:space="preserve"> Hernández.</w:t>
      </w:r>
    </w:p>
    <w:p w14:paraId="110FFD37" w14:textId="77777777" w:rsidR="0084300B" w:rsidRPr="00ED3955" w:rsidRDefault="0084300B" w:rsidP="002464B4">
      <w:pPr>
        <w:widowControl w:val="0"/>
        <w:autoSpaceDE w:val="0"/>
        <w:autoSpaceDN w:val="0"/>
        <w:adjustRightInd w:val="0"/>
        <w:spacing w:line="276" w:lineRule="auto"/>
        <w:jc w:val="both"/>
        <w:rPr>
          <w:rFonts w:ascii="Arial" w:hAnsi="Arial" w:cs="Arial"/>
          <w:spacing w:val="-4"/>
          <w:sz w:val="24"/>
          <w:szCs w:val="24"/>
        </w:rPr>
      </w:pPr>
    </w:p>
    <w:p w14:paraId="273C010B" w14:textId="77777777" w:rsidR="0084300B" w:rsidRPr="00ED3955" w:rsidRDefault="0084300B" w:rsidP="002464B4">
      <w:pPr>
        <w:widowControl w:val="0"/>
        <w:autoSpaceDE w:val="0"/>
        <w:autoSpaceDN w:val="0"/>
        <w:adjustRightInd w:val="0"/>
        <w:spacing w:line="276" w:lineRule="auto"/>
        <w:jc w:val="both"/>
        <w:rPr>
          <w:rStyle w:val="normaltextrun"/>
          <w:rFonts w:ascii="Arial" w:hAnsi="Arial" w:cs="Arial"/>
          <w:spacing w:val="-4"/>
          <w:sz w:val="24"/>
          <w:szCs w:val="24"/>
        </w:rPr>
      </w:pPr>
      <w:r w:rsidRPr="00ED3955">
        <w:rPr>
          <w:rStyle w:val="normaltextrun"/>
          <w:rFonts w:ascii="Arial" w:hAnsi="Arial" w:cs="Arial"/>
          <w:spacing w:val="-4"/>
          <w:sz w:val="24"/>
          <w:szCs w:val="24"/>
        </w:rPr>
        <w:t>Notifíquese por estado y comuníquese a los correos electrónicos de los apoderados de las partes.</w:t>
      </w:r>
    </w:p>
    <w:p w14:paraId="796AA8D3" w14:textId="1F92E957" w:rsidR="5B76BF8B" w:rsidRPr="002464B4" w:rsidRDefault="5B76BF8B" w:rsidP="002464B4">
      <w:pPr>
        <w:widowControl w:val="0"/>
        <w:spacing w:line="276" w:lineRule="auto"/>
        <w:jc w:val="both"/>
        <w:rPr>
          <w:rStyle w:val="normaltextrun"/>
          <w:rFonts w:ascii="Arial" w:hAnsi="Arial" w:cs="Arial"/>
          <w:sz w:val="24"/>
          <w:szCs w:val="24"/>
        </w:rPr>
      </w:pPr>
    </w:p>
    <w:p w14:paraId="761E62B9" w14:textId="77777777" w:rsidR="002464B4" w:rsidRPr="002464B4" w:rsidRDefault="002464B4" w:rsidP="002464B4">
      <w:pPr>
        <w:widowControl w:val="0"/>
        <w:autoSpaceDE w:val="0"/>
        <w:autoSpaceDN w:val="0"/>
        <w:adjustRightInd w:val="0"/>
        <w:spacing w:line="276" w:lineRule="auto"/>
        <w:jc w:val="both"/>
        <w:rPr>
          <w:rFonts w:ascii="Arial" w:eastAsia="Calibri" w:hAnsi="Arial" w:cs="Arial"/>
          <w:sz w:val="24"/>
          <w:szCs w:val="24"/>
          <w:lang w:val="es-CO" w:eastAsia="en-US"/>
        </w:rPr>
      </w:pPr>
      <w:r w:rsidRPr="002464B4">
        <w:rPr>
          <w:rFonts w:ascii="Arial" w:eastAsia="Calibri" w:hAnsi="Arial" w:cs="Arial"/>
          <w:sz w:val="24"/>
          <w:szCs w:val="24"/>
          <w:lang w:val="es-CO" w:eastAsia="en-US"/>
        </w:rPr>
        <w:t>Quienes integran la Sala,</w:t>
      </w:r>
    </w:p>
    <w:p w14:paraId="4A70E47C" w14:textId="77777777" w:rsidR="002464B4" w:rsidRPr="002464B4" w:rsidRDefault="002464B4" w:rsidP="002464B4">
      <w:pPr>
        <w:widowControl w:val="0"/>
        <w:autoSpaceDE w:val="0"/>
        <w:autoSpaceDN w:val="0"/>
        <w:adjustRightInd w:val="0"/>
        <w:spacing w:line="276" w:lineRule="auto"/>
        <w:rPr>
          <w:rFonts w:ascii="Arial" w:eastAsia="Calibri" w:hAnsi="Arial" w:cs="Arial"/>
          <w:b/>
          <w:sz w:val="24"/>
          <w:szCs w:val="24"/>
          <w:lang w:val="es-CO" w:eastAsia="en-US"/>
        </w:rPr>
      </w:pPr>
    </w:p>
    <w:p w14:paraId="67FA376B" w14:textId="77777777" w:rsidR="002464B4" w:rsidRPr="002464B4" w:rsidRDefault="002464B4" w:rsidP="002464B4">
      <w:pPr>
        <w:widowControl w:val="0"/>
        <w:autoSpaceDE w:val="0"/>
        <w:autoSpaceDN w:val="0"/>
        <w:adjustRightInd w:val="0"/>
        <w:spacing w:line="276" w:lineRule="auto"/>
        <w:rPr>
          <w:rFonts w:ascii="Arial" w:eastAsia="Calibri" w:hAnsi="Arial" w:cs="Arial"/>
          <w:b/>
          <w:sz w:val="24"/>
          <w:szCs w:val="24"/>
          <w:lang w:val="es-CO" w:eastAsia="en-US"/>
        </w:rPr>
      </w:pPr>
    </w:p>
    <w:p w14:paraId="052D03ED" w14:textId="77777777" w:rsidR="002464B4" w:rsidRPr="002464B4" w:rsidRDefault="002464B4" w:rsidP="002464B4">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2464B4">
        <w:rPr>
          <w:rFonts w:ascii="Arial" w:eastAsia="Calibri" w:hAnsi="Arial" w:cs="Arial"/>
          <w:b/>
          <w:bCs/>
          <w:sz w:val="24"/>
          <w:szCs w:val="24"/>
          <w:lang w:val="es-CO" w:eastAsia="en-US"/>
        </w:rPr>
        <w:t>JULIO CÉSAR SALAZAR MUÑOZ</w:t>
      </w:r>
    </w:p>
    <w:p w14:paraId="2AFC5ED6" w14:textId="77777777" w:rsidR="002464B4" w:rsidRPr="002464B4" w:rsidRDefault="002464B4" w:rsidP="002464B4">
      <w:pPr>
        <w:widowControl w:val="0"/>
        <w:autoSpaceDE w:val="0"/>
        <w:autoSpaceDN w:val="0"/>
        <w:adjustRightInd w:val="0"/>
        <w:spacing w:line="276" w:lineRule="auto"/>
        <w:jc w:val="center"/>
        <w:rPr>
          <w:rFonts w:ascii="Arial" w:eastAsia="Calibri" w:hAnsi="Arial" w:cs="Arial"/>
          <w:sz w:val="24"/>
          <w:szCs w:val="24"/>
          <w:lang w:val="es-CO" w:eastAsia="en-US"/>
        </w:rPr>
      </w:pPr>
      <w:r w:rsidRPr="002464B4">
        <w:rPr>
          <w:rFonts w:ascii="Arial" w:eastAsia="Calibri" w:hAnsi="Arial" w:cs="Arial"/>
          <w:sz w:val="24"/>
          <w:szCs w:val="24"/>
          <w:lang w:val="es-CO" w:eastAsia="en-US"/>
        </w:rPr>
        <w:t>Magistrado Ponente</w:t>
      </w:r>
    </w:p>
    <w:p w14:paraId="544D8791" w14:textId="77777777" w:rsidR="002464B4" w:rsidRPr="002464B4" w:rsidRDefault="002464B4" w:rsidP="002464B4">
      <w:pPr>
        <w:widowControl w:val="0"/>
        <w:autoSpaceDE w:val="0"/>
        <w:autoSpaceDN w:val="0"/>
        <w:adjustRightInd w:val="0"/>
        <w:spacing w:line="276" w:lineRule="auto"/>
        <w:rPr>
          <w:rFonts w:ascii="Arial" w:eastAsia="Calibri" w:hAnsi="Arial" w:cs="Arial"/>
          <w:sz w:val="24"/>
          <w:szCs w:val="24"/>
          <w:lang w:val="es-CO" w:eastAsia="en-US"/>
        </w:rPr>
      </w:pPr>
    </w:p>
    <w:p w14:paraId="3D569879" w14:textId="77777777" w:rsidR="002464B4" w:rsidRPr="002464B4" w:rsidRDefault="002464B4" w:rsidP="002464B4">
      <w:pPr>
        <w:widowControl w:val="0"/>
        <w:autoSpaceDE w:val="0"/>
        <w:autoSpaceDN w:val="0"/>
        <w:adjustRightInd w:val="0"/>
        <w:spacing w:line="276" w:lineRule="auto"/>
        <w:rPr>
          <w:rFonts w:ascii="Arial" w:eastAsia="Calibri" w:hAnsi="Arial" w:cs="Arial"/>
          <w:sz w:val="24"/>
          <w:szCs w:val="24"/>
          <w:lang w:val="es-CO" w:eastAsia="en-US"/>
        </w:rPr>
      </w:pPr>
    </w:p>
    <w:p w14:paraId="3E2428C8" w14:textId="77777777" w:rsidR="002464B4" w:rsidRPr="002464B4" w:rsidRDefault="002464B4" w:rsidP="002464B4">
      <w:pPr>
        <w:widowControl w:val="0"/>
        <w:autoSpaceDE w:val="0"/>
        <w:autoSpaceDN w:val="0"/>
        <w:adjustRightInd w:val="0"/>
        <w:spacing w:line="276" w:lineRule="auto"/>
        <w:rPr>
          <w:rFonts w:ascii="Arial" w:eastAsia="Calibri" w:hAnsi="Arial" w:cs="Arial"/>
          <w:sz w:val="24"/>
          <w:szCs w:val="24"/>
          <w:lang w:val="es-CO" w:eastAsia="en-US"/>
        </w:rPr>
      </w:pPr>
      <w:r w:rsidRPr="002464B4">
        <w:rPr>
          <w:rFonts w:ascii="Arial" w:eastAsia="Calibri" w:hAnsi="Arial" w:cs="Arial"/>
          <w:b/>
          <w:bCs/>
          <w:sz w:val="24"/>
          <w:szCs w:val="24"/>
          <w:lang w:val="es-CO" w:eastAsia="en-US"/>
        </w:rPr>
        <w:t>ANA LUCÍA CAICEDO CALDERON</w:t>
      </w:r>
      <w:r w:rsidRPr="002464B4">
        <w:rPr>
          <w:rFonts w:ascii="Arial" w:eastAsia="Calibri" w:hAnsi="Arial" w:cs="Arial"/>
          <w:b/>
          <w:bCs/>
          <w:sz w:val="24"/>
          <w:szCs w:val="24"/>
          <w:lang w:val="es-CO" w:eastAsia="en-US"/>
        </w:rPr>
        <w:tab/>
      </w:r>
      <w:r w:rsidRPr="002464B4">
        <w:rPr>
          <w:rFonts w:ascii="Arial" w:eastAsia="Calibri" w:hAnsi="Arial" w:cs="Arial"/>
          <w:b/>
          <w:bCs/>
          <w:sz w:val="24"/>
          <w:szCs w:val="24"/>
          <w:lang w:val="es-CO" w:eastAsia="en-US"/>
        </w:rPr>
        <w:tab/>
        <w:t xml:space="preserve">   GERMÁN DARÍO GÓEZ VINASCO</w:t>
      </w:r>
    </w:p>
    <w:p w14:paraId="637805D2" w14:textId="0C3D5DCC" w:rsidR="00F603A9" w:rsidRPr="002464B4" w:rsidRDefault="002464B4" w:rsidP="002464B4">
      <w:pPr>
        <w:widowControl w:val="0"/>
        <w:spacing w:line="276" w:lineRule="auto"/>
        <w:jc w:val="both"/>
        <w:rPr>
          <w:rFonts w:ascii="Arial" w:hAnsi="Arial" w:cs="Arial"/>
          <w:sz w:val="24"/>
          <w:szCs w:val="24"/>
        </w:rPr>
      </w:pPr>
      <w:r w:rsidRPr="004B7C69">
        <w:rPr>
          <w:rFonts w:ascii="Arial" w:eastAsia="Calibri" w:hAnsi="Arial" w:cs="Arial"/>
          <w:bCs/>
          <w:sz w:val="24"/>
          <w:szCs w:val="24"/>
          <w:lang w:val="es-CO" w:eastAsia="en-US"/>
        </w:rPr>
        <w:t>Magistrada</w:t>
      </w:r>
      <w:r w:rsidRPr="004B7C69">
        <w:rPr>
          <w:rFonts w:ascii="Arial" w:eastAsia="Calibri" w:hAnsi="Arial" w:cs="Arial"/>
          <w:bCs/>
          <w:sz w:val="24"/>
          <w:szCs w:val="24"/>
          <w:lang w:val="es-CO" w:eastAsia="en-US"/>
        </w:rPr>
        <w:tab/>
      </w:r>
      <w:r w:rsidRPr="004B7C69">
        <w:rPr>
          <w:rFonts w:ascii="Arial" w:eastAsia="Calibri" w:hAnsi="Arial" w:cs="Arial"/>
          <w:bCs/>
          <w:sz w:val="24"/>
          <w:szCs w:val="24"/>
          <w:lang w:val="es-CO" w:eastAsia="en-US"/>
        </w:rPr>
        <w:tab/>
      </w:r>
      <w:r w:rsidRPr="004B7C69">
        <w:rPr>
          <w:rFonts w:ascii="Arial" w:eastAsia="Calibri" w:hAnsi="Arial" w:cs="Arial"/>
          <w:bCs/>
          <w:sz w:val="24"/>
          <w:szCs w:val="24"/>
          <w:lang w:val="es-CO" w:eastAsia="en-US"/>
        </w:rPr>
        <w:tab/>
      </w:r>
      <w:r w:rsidRPr="004B7C69">
        <w:rPr>
          <w:rFonts w:ascii="Arial" w:eastAsia="Calibri" w:hAnsi="Arial" w:cs="Arial"/>
          <w:bCs/>
          <w:sz w:val="24"/>
          <w:szCs w:val="24"/>
          <w:lang w:val="es-CO" w:eastAsia="en-US"/>
        </w:rPr>
        <w:tab/>
      </w:r>
      <w:r w:rsidRPr="004B7C69">
        <w:rPr>
          <w:rFonts w:ascii="Arial" w:eastAsia="Calibri" w:hAnsi="Arial" w:cs="Arial"/>
          <w:bCs/>
          <w:sz w:val="24"/>
          <w:szCs w:val="24"/>
          <w:lang w:val="es-CO" w:eastAsia="en-US"/>
        </w:rPr>
        <w:tab/>
      </w:r>
      <w:r w:rsidRPr="004B7C69">
        <w:rPr>
          <w:rFonts w:ascii="Arial" w:eastAsia="Calibri" w:hAnsi="Arial" w:cs="Arial"/>
          <w:bCs/>
          <w:sz w:val="24"/>
          <w:szCs w:val="24"/>
          <w:lang w:val="es-CO" w:eastAsia="en-US"/>
        </w:rPr>
        <w:tab/>
      </w:r>
      <w:r w:rsidRPr="004B7C69">
        <w:rPr>
          <w:rFonts w:ascii="Arial" w:eastAsia="Calibri" w:hAnsi="Arial" w:cs="Arial"/>
          <w:b/>
          <w:bCs/>
          <w:sz w:val="24"/>
          <w:szCs w:val="24"/>
          <w:lang w:val="es-CO" w:eastAsia="en-US"/>
        </w:rPr>
        <w:t xml:space="preserve">   </w:t>
      </w:r>
      <w:r w:rsidRPr="004B7C69">
        <w:rPr>
          <w:rFonts w:ascii="Arial" w:hAnsi="Arial" w:cs="Arial"/>
          <w:bCs/>
          <w:sz w:val="24"/>
          <w:szCs w:val="24"/>
          <w:lang w:eastAsia="en-US"/>
        </w:rPr>
        <w:t>Magistrado</w:t>
      </w:r>
    </w:p>
    <w:sectPr w:rsidR="00F603A9" w:rsidRPr="002464B4" w:rsidSect="00ED3955">
      <w:headerReference w:type="default" r:id="rId15"/>
      <w:footerReference w:type="default" r:id="rId16"/>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AB109A" w16cex:dateUtc="2022-08-10T15:46:23.467Z"/>
  <w16cex:commentExtensible w16cex:durableId="30582A2F" w16cex:dateUtc="2022-08-23T12:18:33.8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E5787" w14:textId="77777777" w:rsidR="003761FE" w:rsidRDefault="003761FE">
      <w:r>
        <w:separator/>
      </w:r>
    </w:p>
  </w:endnote>
  <w:endnote w:type="continuationSeparator" w:id="0">
    <w:p w14:paraId="64948F80" w14:textId="77777777" w:rsidR="003761FE" w:rsidRDefault="0037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732856"/>
      <w:docPartObj>
        <w:docPartGallery w:val="Page Numbers (Bottom of Page)"/>
        <w:docPartUnique/>
      </w:docPartObj>
    </w:sdtPr>
    <w:sdtEndPr/>
    <w:sdtContent>
      <w:p w14:paraId="65844CEC" w14:textId="346434AF" w:rsidR="00EF1C51" w:rsidRDefault="00EF1C51">
        <w:pPr>
          <w:pStyle w:val="Piedepgina"/>
          <w:jc w:val="right"/>
        </w:pPr>
        <w:r w:rsidRPr="00CB0718">
          <w:rPr>
            <w:rFonts w:ascii="Arial" w:hAnsi="Arial" w:cs="Arial"/>
            <w:sz w:val="18"/>
            <w:szCs w:val="16"/>
          </w:rPr>
          <w:fldChar w:fldCharType="begin"/>
        </w:r>
        <w:r w:rsidRPr="00CB0718">
          <w:rPr>
            <w:rFonts w:ascii="Arial" w:hAnsi="Arial" w:cs="Arial"/>
            <w:sz w:val="18"/>
            <w:szCs w:val="16"/>
          </w:rPr>
          <w:instrText>PAGE   \* MERGEFORMAT</w:instrText>
        </w:r>
        <w:r w:rsidRPr="00CB0718">
          <w:rPr>
            <w:rFonts w:ascii="Arial" w:hAnsi="Arial" w:cs="Arial"/>
            <w:sz w:val="18"/>
            <w:szCs w:val="16"/>
          </w:rPr>
          <w:fldChar w:fldCharType="separate"/>
        </w:r>
        <w:r w:rsidR="00402853" w:rsidRPr="00CB0718">
          <w:rPr>
            <w:rFonts w:ascii="Arial" w:hAnsi="Arial" w:cs="Arial"/>
            <w:sz w:val="18"/>
            <w:szCs w:val="16"/>
          </w:rPr>
          <w:t>12</w:t>
        </w:r>
        <w:r w:rsidRPr="00CB0718">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BEE8B" w14:textId="77777777" w:rsidR="003761FE" w:rsidRDefault="003761FE">
      <w:r>
        <w:separator/>
      </w:r>
    </w:p>
  </w:footnote>
  <w:footnote w:type="continuationSeparator" w:id="0">
    <w:p w14:paraId="0D90B958" w14:textId="77777777" w:rsidR="003761FE" w:rsidRDefault="00376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6860" w14:textId="12395ED5" w:rsidR="00C13468" w:rsidRPr="00CB0718" w:rsidRDefault="00CB0718" w:rsidP="00CB0718">
    <w:pPr>
      <w:pStyle w:val="Encabezado"/>
      <w:jc w:val="center"/>
      <w:rPr>
        <w:rFonts w:ascii="Arial" w:hAnsi="Arial" w:cs="Arial"/>
        <w:sz w:val="18"/>
        <w:szCs w:val="16"/>
      </w:rPr>
    </w:pPr>
    <w:r w:rsidRPr="00CB0718">
      <w:rPr>
        <w:rFonts w:ascii="Arial" w:hAnsi="Arial" w:cs="Arial"/>
        <w:sz w:val="18"/>
        <w:szCs w:val="16"/>
      </w:rPr>
      <w:t>Hubert</w:t>
    </w:r>
    <w:r w:rsidR="00C13468" w:rsidRPr="00CB0718">
      <w:rPr>
        <w:rFonts w:ascii="Arial" w:hAnsi="Arial" w:cs="Arial"/>
        <w:sz w:val="18"/>
        <w:szCs w:val="16"/>
      </w:rPr>
      <w:t>o Fernández Hernández Vs Ministerio de Hacienda y Crédito Público – Oficina de Bonos Pensionales</w:t>
    </w:r>
  </w:p>
  <w:p w14:paraId="2BA51ACD" w14:textId="108345F4" w:rsidR="0E5EF2BF" w:rsidRPr="00CB0718" w:rsidRDefault="00C13468" w:rsidP="00CB0718">
    <w:pPr>
      <w:pStyle w:val="Encabezado"/>
      <w:jc w:val="center"/>
      <w:rPr>
        <w:sz w:val="22"/>
      </w:rPr>
    </w:pPr>
    <w:r w:rsidRPr="00CB0718">
      <w:rPr>
        <w:rFonts w:ascii="Arial" w:hAnsi="Arial" w:cs="Arial"/>
        <w:sz w:val="18"/>
        <w:szCs w:val="16"/>
      </w:rPr>
      <w:t>Rad. 66001-31-05-002-2016-00529-02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0B"/>
    <w:rsid w:val="000E5DDA"/>
    <w:rsid w:val="0019002B"/>
    <w:rsid w:val="001E1460"/>
    <w:rsid w:val="0022273D"/>
    <w:rsid w:val="002464B4"/>
    <w:rsid w:val="0025118E"/>
    <w:rsid w:val="00280A3F"/>
    <w:rsid w:val="002D6716"/>
    <w:rsid w:val="003761FE"/>
    <w:rsid w:val="003A69B0"/>
    <w:rsid w:val="00402853"/>
    <w:rsid w:val="0040522D"/>
    <w:rsid w:val="004866CB"/>
    <w:rsid w:val="005A0AEB"/>
    <w:rsid w:val="006E7FEB"/>
    <w:rsid w:val="007141F3"/>
    <w:rsid w:val="00722E5C"/>
    <w:rsid w:val="007574DD"/>
    <w:rsid w:val="007704E7"/>
    <w:rsid w:val="007D215B"/>
    <w:rsid w:val="007E6E3D"/>
    <w:rsid w:val="00833B73"/>
    <w:rsid w:val="0084300B"/>
    <w:rsid w:val="0090428F"/>
    <w:rsid w:val="009730EB"/>
    <w:rsid w:val="009B0CCB"/>
    <w:rsid w:val="00A25C34"/>
    <w:rsid w:val="00A94780"/>
    <w:rsid w:val="00AC4C88"/>
    <w:rsid w:val="00B52FDE"/>
    <w:rsid w:val="00C10D27"/>
    <w:rsid w:val="00C13468"/>
    <w:rsid w:val="00C80E89"/>
    <w:rsid w:val="00CB0718"/>
    <w:rsid w:val="00ED3955"/>
    <w:rsid w:val="00EF1C51"/>
    <w:rsid w:val="00F603A9"/>
    <w:rsid w:val="00F66166"/>
    <w:rsid w:val="0107D11C"/>
    <w:rsid w:val="010E5716"/>
    <w:rsid w:val="016AC936"/>
    <w:rsid w:val="0211453E"/>
    <w:rsid w:val="023BBA51"/>
    <w:rsid w:val="024F6FBF"/>
    <w:rsid w:val="028452FD"/>
    <w:rsid w:val="02FE6641"/>
    <w:rsid w:val="0302C6F7"/>
    <w:rsid w:val="0338CD0C"/>
    <w:rsid w:val="033DC280"/>
    <w:rsid w:val="0380B921"/>
    <w:rsid w:val="03AD159F"/>
    <w:rsid w:val="041DC57E"/>
    <w:rsid w:val="04D992E1"/>
    <w:rsid w:val="057C53DA"/>
    <w:rsid w:val="057FDB25"/>
    <w:rsid w:val="05B995DF"/>
    <w:rsid w:val="05D48971"/>
    <w:rsid w:val="06370B75"/>
    <w:rsid w:val="06CED261"/>
    <w:rsid w:val="06E4B661"/>
    <w:rsid w:val="0718243B"/>
    <w:rsid w:val="075EC6EE"/>
    <w:rsid w:val="08186740"/>
    <w:rsid w:val="0897D28C"/>
    <w:rsid w:val="08983733"/>
    <w:rsid w:val="08D22B66"/>
    <w:rsid w:val="090C2A33"/>
    <w:rsid w:val="09576B75"/>
    <w:rsid w:val="095B2158"/>
    <w:rsid w:val="095D690D"/>
    <w:rsid w:val="096C4C98"/>
    <w:rsid w:val="098EC745"/>
    <w:rsid w:val="0993FAAB"/>
    <w:rsid w:val="09AA9243"/>
    <w:rsid w:val="09BAE145"/>
    <w:rsid w:val="09DC20F8"/>
    <w:rsid w:val="0A067323"/>
    <w:rsid w:val="0A1EB2D2"/>
    <w:rsid w:val="0A75E94D"/>
    <w:rsid w:val="0B4868BA"/>
    <w:rsid w:val="0BA24384"/>
    <w:rsid w:val="0BD2AD67"/>
    <w:rsid w:val="0BD3FC0E"/>
    <w:rsid w:val="0C58F743"/>
    <w:rsid w:val="0C759F89"/>
    <w:rsid w:val="0C7999BD"/>
    <w:rsid w:val="0CDF5851"/>
    <w:rsid w:val="0D7E6CF8"/>
    <w:rsid w:val="0E5EF2BF"/>
    <w:rsid w:val="0EEFB8AF"/>
    <w:rsid w:val="0EF2425A"/>
    <w:rsid w:val="0F2C3901"/>
    <w:rsid w:val="0F495A70"/>
    <w:rsid w:val="0F89DF3A"/>
    <w:rsid w:val="102F2A21"/>
    <w:rsid w:val="1062568B"/>
    <w:rsid w:val="10E52AD1"/>
    <w:rsid w:val="11685B0C"/>
    <w:rsid w:val="11B2C974"/>
    <w:rsid w:val="1247DABB"/>
    <w:rsid w:val="1295A61A"/>
    <w:rsid w:val="12BFD9CE"/>
    <w:rsid w:val="131AD8F0"/>
    <w:rsid w:val="138DA70F"/>
    <w:rsid w:val="13AA0175"/>
    <w:rsid w:val="13D4861F"/>
    <w:rsid w:val="13D8D8E9"/>
    <w:rsid w:val="14298B6C"/>
    <w:rsid w:val="142DAF82"/>
    <w:rsid w:val="143AE547"/>
    <w:rsid w:val="14640928"/>
    <w:rsid w:val="149709AC"/>
    <w:rsid w:val="14ACB938"/>
    <w:rsid w:val="14FC617E"/>
    <w:rsid w:val="157D8E8A"/>
    <w:rsid w:val="157F7B7D"/>
    <w:rsid w:val="15CA7045"/>
    <w:rsid w:val="1639A460"/>
    <w:rsid w:val="1648CF3F"/>
    <w:rsid w:val="16504EA3"/>
    <w:rsid w:val="16640722"/>
    <w:rsid w:val="16A596AC"/>
    <w:rsid w:val="16C547D1"/>
    <w:rsid w:val="16E1A237"/>
    <w:rsid w:val="1793307F"/>
    <w:rsid w:val="17BD5B5D"/>
    <w:rsid w:val="18A1EDD6"/>
    <w:rsid w:val="18EBBF41"/>
    <w:rsid w:val="19052507"/>
    <w:rsid w:val="195FACEB"/>
    <w:rsid w:val="19B20BFB"/>
    <w:rsid w:val="19FCE893"/>
    <w:rsid w:val="1A4E276D"/>
    <w:rsid w:val="1A788A72"/>
    <w:rsid w:val="1AF0C965"/>
    <w:rsid w:val="1B4DDC5C"/>
    <w:rsid w:val="1B7DC562"/>
    <w:rsid w:val="1BC6B860"/>
    <w:rsid w:val="1BF5CAC6"/>
    <w:rsid w:val="1BFD19D0"/>
    <w:rsid w:val="1C0268CD"/>
    <w:rsid w:val="1C236003"/>
    <w:rsid w:val="1C8C99C6"/>
    <w:rsid w:val="1C8FBD87"/>
    <w:rsid w:val="1C9B3AD5"/>
    <w:rsid w:val="1D94BB51"/>
    <w:rsid w:val="1DEE1FD8"/>
    <w:rsid w:val="1E4E3531"/>
    <w:rsid w:val="1E5C66B6"/>
    <w:rsid w:val="1E8761EB"/>
    <w:rsid w:val="1E96B7F8"/>
    <w:rsid w:val="1ECB6F1D"/>
    <w:rsid w:val="1F087033"/>
    <w:rsid w:val="1F516C93"/>
    <w:rsid w:val="1F6371B3"/>
    <w:rsid w:val="1F79FFFD"/>
    <w:rsid w:val="1F8DF38F"/>
    <w:rsid w:val="1FF0B786"/>
    <w:rsid w:val="20B75BF1"/>
    <w:rsid w:val="20CDA7A9"/>
    <w:rsid w:val="20E2263E"/>
    <w:rsid w:val="213E38CA"/>
    <w:rsid w:val="214D23DE"/>
    <w:rsid w:val="21C48329"/>
    <w:rsid w:val="21F7F2AE"/>
    <w:rsid w:val="22C59451"/>
    <w:rsid w:val="234F1C8D"/>
    <w:rsid w:val="238A249C"/>
    <w:rsid w:val="2393C30F"/>
    <w:rsid w:val="23ACCEF0"/>
    <w:rsid w:val="244CB134"/>
    <w:rsid w:val="253F9B3A"/>
    <w:rsid w:val="25A118CC"/>
    <w:rsid w:val="25BEF2A3"/>
    <w:rsid w:val="266A4E0D"/>
    <w:rsid w:val="26DB6B9B"/>
    <w:rsid w:val="26E90A80"/>
    <w:rsid w:val="2733715E"/>
    <w:rsid w:val="2830AC20"/>
    <w:rsid w:val="28CF41BF"/>
    <w:rsid w:val="28D3CC81"/>
    <w:rsid w:val="29F1DF05"/>
    <w:rsid w:val="2A1AF9E3"/>
    <w:rsid w:val="2A338405"/>
    <w:rsid w:val="2B390378"/>
    <w:rsid w:val="2B3EE5CD"/>
    <w:rsid w:val="2B898B50"/>
    <w:rsid w:val="2B8DAF66"/>
    <w:rsid w:val="2BF95D02"/>
    <w:rsid w:val="2CC02CE1"/>
    <w:rsid w:val="2CF159F6"/>
    <w:rsid w:val="2D529AA5"/>
    <w:rsid w:val="2D660D25"/>
    <w:rsid w:val="2E8EF89D"/>
    <w:rsid w:val="2ED08129"/>
    <w:rsid w:val="2EDAF408"/>
    <w:rsid w:val="2EE28171"/>
    <w:rsid w:val="2F9A1C76"/>
    <w:rsid w:val="308A3B67"/>
    <w:rsid w:val="30E671DD"/>
    <w:rsid w:val="31114E5F"/>
    <w:rsid w:val="313D3752"/>
    <w:rsid w:val="317942DD"/>
    <w:rsid w:val="321A2233"/>
    <w:rsid w:val="32481F87"/>
    <w:rsid w:val="335D19B4"/>
    <w:rsid w:val="3387DD5C"/>
    <w:rsid w:val="338902A7"/>
    <w:rsid w:val="33B5F294"/>
    <w:rsid w:val="340892BD"/>
    <w:rsid w:val="344A954F"/>
    <w:rsid w:val="34E5C813"/>
    <w:rsid w:val="34EC8EFC"/>
    <w:rsid w:val="3517F8E7"/>
    <w:rsid w:val="3551C2F5"/>
    <w:rsid w:val="355DAC8A"/>
    <w:rsid w:val="357CC2B4"/>
    <w:rsid w:val="35C0627F"/>
    <w:rsid w:val="35CF2B3C"/>
    <w:rsid w:val="369637E2"/>
    <w:rsid w:val="373C8B04"/>
    <w:rsid w:val="3770EFEA"/>
    <w:rsid w:val="384F0EFD"/>
    <w:rsid w:val="385B4E7F"/>
    <w:rsid w:val="3914A4B5"/>
    <w:rsid w:val="391D1DC4"/>
    <w:rsid w:val="3930DAA8"/>
    <w:rsid w:val="394A0D9D"/>
    <w:rsid w:val="3974387B"/>
    <w:rsid w:val="39759941"/>
    <w:rsid w:val="39EA976E"/>
    <w:rsid w:val="3A680D8D"/>
    <w:rsid w:val="3AD1F77E"/>
    <w:rsid w:val="3B6E120E"/>
    <w:rsid w:val="3B9A5B61"/>
    <w:rsid w:val="3BABC0B6"/>
    <w:rsid w:val="3BD6B740"/>
    <w:rsid w:val="3C7CE282"/>
    <w:rsid w:val="3CB3D8E2"/>
    <w:rsid w:val="3CD1A49B"/>
    <w:rsid w:val="3D4AAB79"/>
    <w:rsid w:val="3E937142"/>
    <w:rsid w:val="3F366364"/>
    <w:rsid w:val="3FA3EB35"/>
    <w:rsid w:val="3FA4FCF6"/>
    <w:rsid w:val="3FA52A99"/>
    <w:rsid w:val="3FECCCD5"/>
    <w:rsid w:val="4005124F"/>
    <w:rsid w:val="40DF1EE5"/>
    <w:rsid w:val="40E9B8D8"/>
    <w:rsid w:val="40F17E25"/>
    <w:rsid w:val="4110EC19"/>
    <w:rsid w:val="4151DEE9"/>
    <w:rsid w:val="4191D5F9"/>
    <w:rsid w:val="41F0F5EE"/>
    <w:rsid w:val="423C2F92"/>
    <w:rsid w:val="42DB92B8"/>
    <w:rsid w:val="42F515E8"/>
    <w:rsid w:val="436B6D27"/>
    <w:rsid w:val="43831E93"/>
    <w:rsid w:val="44103E7A"/>
    <w:rsid w:val="44202CC5"/>
    <w:rsid w:val="444DD16F"/>
    <w:rsid w:val="44A107A5"/>
    <w:rsid w:val="44C976BB"/>
    <w:rsid w:val="45916710"/>
    <w:rsid w:val="45BD27F9"/>
    <w:rsid w:val="47456F7D"/>
    <w:rsid w:val="4757CD87"/>
    <w:rsid w:val="47D0D0FB"/>
    <w:rsid w:val="48E13FDE"/>
    <w:rsid w:val="4A08A8BE"/>
    <w:rsid w:val="4A16A708"/>
    <w:rsid w:val="4A2E191A"/>
    <w:rsid w:val="4A2E2950"/>
    <w:rsid w:val="4ACD2DC1"/>
    <w:rsid w:val="4ADC286A"/>
    <w:rsid w:val="4B5B7C12"/>
    <w:rsid w:val="4B83599F"/>
    <w:rsid w:val="4B97D834"/>
    <w:rsid w:val="4C18E0A0"/>
    <w:rsid w:val="4C3FBAF7"/>
    <w:rsid w:val="4C77F8CB"/>
    <w:rsid w:val="4C7C4EE9"/>
    <w:rsid w:val="4DA318CA"/>
    <w:rsid w:val="4DDB8B58"/>
    <w:rsid w:val="4DF31C2B"/>
    <w:rsid w:val="4E91934C"/>
    <w:rsid w:val="4E9584C3"/>
    <w:rsid w:val="4F7D68B9"/>
    <w:rsid w:val="4F908ABB"/>
    <w:rsid w:val="4FAF0EE1"/>
    <w:rsid w:val="502756AD"/>
    <w:rsid w:val="502D63AD"/>
    <w:rsid w:val="5119391A"/>
    <w:rsid w:val="5138E7FA"/>
    <w:rsid w:val="51C9340E"/>
    <w:rsid w:val="5213BAA3"/>
    <w:rsid w:val="5248B45D"/>
    <w:rsid w:val="531CE628"/>
    <w:rsid w:val="534B9F75"/>
    <w:rsid w:val="53549B39"/>
    <w:rsid w:val="53ABCB39"/>
    <w:rsid w:val="53CD5C18"/>
    <w:rsid w:val="544ACCDC"/>
    <w:rsid w:val="54FE8D1B"/>
    <w:rsid w:val="550A3A27"/>
    <w:rsid w:val="5586103C"/>
    <w:rsid w:val="5588939A"/>
    <w:rsid w:val="55F02C46"/>
    <w:rsid w:val="56036056"/>
    <w:rsid w:val="56131CF5"/>
    <w:rsid w:val="5618B7BC"/>
    <w:rsid w:val="566488EC"/>
    <w:rsid w:val="56648EB4"/>
    <w:rsid w:val="569A5D7C"/>
    <w:rsid w:val="56CE0369"/>
    <w:rsid w:val="56CED605"/>
    <w:rsid w:val="56DDAB32"/>
    <w:rsid w:val="56DE7E54"/>
    <w:rsid w:val="578A85CF"/>
    <w:rsid w:val="57E0221F"/>
    <w:rsid w:val="57FD3C04"/>
    <w:rsid w:val="5869D3CA"/>
    <w:rsid w:val="58B615BD"/>
    <w:rsid w:val="58C226D3"/>
    <w:rsid w:val="59D1FE3E"/>
    <w:rsid w:val="59E33915"/>
    <w:rsid w:val="5A40A0F2"/>
    <w:rsid w:val="5A7CFED3"/>
    <w:rsid w:val="5A9CB1E6"/>
    <w:rsid w:val="5AAF0893"/>
    <w:rsid w:val="5ABC410F"/>
    <w:rsid w:val="5AC39D69"/>
    <w:rsid w:val="5ACE135E"/>
    <w:rsid w:val="5B76BF8B"/>
    <w:rsid w:val="5BBF45A0"/>
    <w:rsid w:val="5CB6A742"/>
    <w:rsid w:val="5CBAA7DB"/>
    <w:rsid w:val="5D099F00"/>
    <w:rsid w:val="5D1C256D"/>
    <w:rsid w:val="5D590FEB"/>
    <w:rsid w:val="5DBC09B3"/>
    <w:rsid w:val="5E5F7C53"/>
    <w:rsid w:val="5E8B009F"/>
    <w:rsid w:val="5EA56F61"/>
    <w:rsid w:val="5EE57215"/>
    <w:rsid w:val="5EE93760"/>
    <w:rsid w:val="5F13CA25"/>
    <w:rsid w:val="5F233F8F"/>
    <w:rsid w:val="5FA315E7"/>
    <w:rsid w:val="5FAC7DC8"/>
    <w:rsid w:val="605A1514"/>
    <w:rsid w:val="6063E70B"/>
    <w:rsid w:val="6092B6C3"/>
    <w:rsid w:val="6168C790"/>
    <w:rsid w:val="619D9BFD"/>
    <w:rsid w:val="62025AEF"/>
    <w:rsid w:val="620DE8F1"/>
    <w:rsid w:val="6229A65A"/>
    <w:rsid w:val="62C8BB01"/>
    <w:rsid w:val="62CCD8E2"/>
    <w:rsid w:val="637469A3"/>
    <w:rsid w:val="6391B5D6"/>
    <w:rsid w:val="63DDA7C9"/>
    <w:rsid w:val="64763630"/>
    <w:rsid w:val="648154F3"/>
    <w:rsid w:val="652DD50F"/>
    <w:rsid w:val="6579782A"/>
    <w:rsid w:val="65835399"/>
    <w:rsid w:val="6677B7D0"/>
    <w:rsid w:val="66C5AE1D"/>
    <w:rsid w:val="671C7392"/>
    <w:rsid w:val="67D80914"/>
    <w:rsid w:val="67E962EF"/>
    <w:rsid w:val="680EE397"/>
    <w:rsid w:val="6818BA88"/>
    <w:rsid w:val="683AB970"/>
    <w:rsid w:val="6898E7DE"/>
    <w:rsid w:val="689C6F29"/>
    <w:rsid w:val="68DF2A0A"/>
    <w:rsid w:val="68F5FCC9"/>
    <w:rsid w:val="692DF925"/>
    <w:rsid w:val="693DD360"/>
    <w:rsid w:val="6953D36A"/>
    <w:rsid w:val="699573FA"/>
    <w:rsid w:val="69D689D1"/>
    <w:rsid w:val="69E82208"/>
    <w:rsid w:val="69FECC4B"/>
    <w:rsid w:val="6A497687"/>
    <w:rsid w:val="6A6BFBA2"/>
    <w:rsid w:val="6AC8F5CA"/>
    <w:rsid w:val="6B0FA9D6"/>
    <w:rsid w:val="6B7E755A"/>
    <w:rsid w:val="6B9F6ACE"/>
    <w:rsid w:val="6C757422"/>
    <w:rsid w:val="6D38EB27"/>
    <w:rsid w:val="6D6AFE06"/>
    <w:rsid w:val="6DB3A84B"/>
    <w:rsid w:val="6DC488D0"/>
    <w:rsid w:val="6DCD92AF"/>
    <w:rsid w:val="6DD93CAA"/>
    <w:rsid w:val="6E3F01B6"/>
    <w:rsid w:val="6F14F7B2"/>
    <w:rsid w:val="6F15635D"/>
    <w:rsid w:val="706385FB"/>
    <w:rsid w:val="7144848F"/>
    <w:rsid w:val="716676AB"/>
    <w:rsid w:val="718B2933"/>
    <w:rsid w:val="71DDFEE2"/>
    <w:rsid w:val="71E31A2E"/>
    <w:rsid w:val="72239D4D"/>
    <w:rsid w:val="724D041F"/>
    <w:rsid w:val="7269640A"/>
    <w:rsid w:val="72840828"/>
    <w:rsid w:val="72F56253"/>
    <w:rsid w:val="7301BC60"/>
    <w:rsid w:val="73375C20"/>
    <w:rsid w:val="7382E96C"/>
    <w:rsid w:val="7384C12A"/>
    <w:rsid w:val="738F044E"/>
    <w:rsid w:val="73DC4B39"/>
    <w:rsid w:val="7482C741"/>
    <w:rsid w:val="74D7E17B"/>
    <w:rsid w:val="752AC518"/>
    <w:rsid w:val="757448FA"/>
    <w:rsid w:val="757F586C"/>
    <w:rsid w:val="7584A4E1"/>
    <w:rsid w:val="7628168E"/>
    <w:rsid w:val="763A1BAE"/>
    <w:rsid w:val="76BE78D7"/>
    <w:rsid w:val="7720373A"/>
    <w:rsid w:val="77461F70"/>
    <w:rsid w:val="775A53E6"/>
    <w:rsid w:val="77F61A64"/>
    <w:rsid w:val="780FE25A"/>
    <w:rsid w:val="78A255B7"/>
    <w:rsid w:val="78AA6C50"/>
    <w:rsid w:val="78DE1118"/>
    <w:rsid w:val="79B73C33"/>
    <w:rsid w:val="79D01D53"/>
    <w:rsid w:val="7A3C7BE6"/>
    <w:rsid w:val="7A6478E7"/>
    <w:rsid w:val="7A7DC032"/>
    <w:rsid w:val="7AE7DAD6"/>
    <w:rsid w:val="7B045C61"/>
    <w:rsid w:val="7B20FB4D"/>
    <w:rsid w:val="7B47831C"/>
    <w:rsid w:val="7B4BD8F7"/>
    <w:rsid w:val="7C64970A"/>
    <w:rsid w:val="7C6AD347"/>
    <w:rsid w:val="7D2DBA5B"/>
    <w:rsid w:val="7D85AF8C"/>
    <w:rsid w:val="7DD6B653"/>
    <w:rsid w:val="7DE85B9C"/>
    <w:rsid w:val="7E01516B"/>
    <w:rsid w:val="7E29A987"/>
    <w:rsid w:val="7E541E9A"/>
    <w:rsid w:val="7E717F31"/>
    <w:rsid w:val="7EE32367"/>
    <w:rsid w:val="7F53B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1DFC9"/>
  <w15:chartTrackingRefBased/>
  <w15:docId w15:val="{E631CBE9-5A48-4988-AEF8-36DEDB7C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00B"/>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84300B"/>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84300B"/>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4300B"/>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84300B"/>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84300B"/>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84300B"/>
    <w:rPr>
      <w:rFonts w:ascii="Arial" w:eastAsia="Times New Roman" w:hAnsi="Arial" w:cs="Times New Roman"/>
      <w:sz w:val="26"/>
      <w:szCs w:val="20"/>
      <w:lang w:val="es-ES_tradnl" w:eastAsia="es-ES"/>
    </w:rPr>
  </w:style>
  <w:style w:type="paragraph" w:customStyle="1" w:styleId="Textoindependiente25">
    <w:name w:val="Texto independiente 25"/>
    <w:basedOn w:val="Normal"/>
    <w:rsid w:val="0084300B"/>
    <w:pPr>
      <w:spacing w:line="360" w:lineRule="auto"/>
      <w:jc w:val="both"/>
    </w:pPr>
    <w:rPr>
      <w:rFonts w:ascii="Arial" w:hAnsi="Arial"/>
      <w:b/>
      <w:sz w:val="28"/>
    </w:rPr>
  </w:style>
  <w:style w:type="paragraph" w:customStyle="1" w:styleId="Puesto">
    <w:name w:val="Puesto"/>
    <w:basedOn w:val="Normal"/>
    <w:qFormat/>
    <w:rsid w:val="0084300B"/>
    <w:pPr>
      <w:widowControl w:val="0"/>
      <w:autoSpaceDE w:val="0"/>
      <w:autoSpaceDN w:val="0"/>
      <w:adjustRightInd w:val="0"/>
      <w:jc w:val="center"/>
    </w:pPr>
    <w:rPr>
      <w:rFonts w:ascii="Roman 12cpi" w:hAnsi="Roman 12cpi"/>
      <w:b/>
      <w:bCs/>
      <w:lang w:val="es-ES"/>
    </w:rPr>
  </w:style>
  <w:style w:type="character" w:customStyle="1" w:styleId="normaltextrun">
    <w:name w:val="normaltextrun"/>
    <w:rsid w:val="0084300B"/>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p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D21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15B"/>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7D215B"/>
    <w:rPr>
      <w:b/>
      <w:bCs/>
    </w:rPr>
  </w:style>
  <w:style w:type="character" w:customStyle="1" w:styleId="AsuntodelcomentarioCar">
    <w:name w:val="Asunto del comentario Car"/>
    <w:basedOn w:val="TextocomentarioCar"/>
    <w:link w:val="Asuntodelcomentario"/>
    <w:uiPriority w:val="99"/>
    <w:semiHidden/>
    <w:rsid w:val="007D215B"/>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25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43212160a4fe48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D3A5-52E5-4A88-9513-C8854869BD60}">
  <ds:schemaRefs>
    <ds:schemaRef ds:uri="http://schemas.microsoft.com/sharepoint/v3/contenttype/forms"/>
  </ds:schemaRefs>
</ds:datastoreItem>
</file>

<file path=customXml/itemProps2.xml><?xml version="1.0" encoding="utf-8"?>
<ds:datastoreItem xmlns:ds="http://schemas.openxmlformats.org/officeDocument/2006/customXml" ds:itemID="{0E7B85B9-7085-4C68-BA3D-D20504832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1FB43-75C3-4B73-A8B6-7F999E4233E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B865FDDD-3093-43A1-A515-948ADAA2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3124</Words>
  <Characters>17186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Hermides Alonso Gaviria Ocampo</cp:lastModifiedBy>
  <cp:revision>22</cp:revision>
  <dcterms:created xsi:type="dcterms:W3CDTF">2022-08-02T20:09:00Z</dcterms:created>
  <dcterms:modified xsi:type="dcterms:W3CDTF">2022-09-14T16:48:00Z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