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E4DD6" w14:textId="77777777" w:rsidR="000B7817" w:rsidRPr="000B7817" w:rsidRDefault="000B7817" w:rsidP="00497D9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0B781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C0CDE4A" w14:textId="77777777" w:rsidR="000B7817" w:rsidRPr="000B7817" w:rsidRDefault="000B7817" w:rsidP="00497D9E">
      <w:pPr>
        <w:spacing w:after="0" w:line="240" w:lineRule="auto"/>
        <w:jc w:val="both"/>
        <w:rPr>
          <w:rFonts w:ascii="Arial" w:eastAsia="Times New Roman" w:hAnsi="Arial" w:cs="Arial"/>
          <w:sz w:val="20"/>
          <w:szCs w:val="20"/>
          <w:lang w:val="es-419" w:eastAsia="es-ES"/>
        </w:rPr>
      </w:pPr>
    </w:p>
    <w:p w14:paraId="2DB5C4EF" w14:textId="0C9D8350" w:rsidR="00064737" w:rsidRPr="00064737" w:rsidRDefault="00064737" w:rsidP="00497D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64737">
        <w:rPr>
          <w:rFonts w:ascii="Arial" w:eastAsia="Arial" w:hAnsi="Arial" w:cs="Arial"/>
          <w:color w:val="000000"/>
          <w:sz w:val="20"/>
          <w:szCs w:val="20"/>
          <w:lang w:val="es-ES" w:eastAsia="es-ES"/>
        </w:rPr>
        <w:t>Providencia:</w:t>
      </w:r>
      <w:r>
        <w:rPr>
          <w:rFonts w:ascii="Arial" w:eastAsia="Arial" w:hAnsi="Arial" w:cs="Arial"/>
          <w:color w:val="000000"/>
          <w:sz w:val="20"/>
          <w:szCs w:val="20"/>
          <w:lang w:val="es-ES" w:eastAsia="es-ES"/>
        </w:rPr>
        <w:tab/>
      </w:r>
      <w:r w:rsidRPr="00064737">
        <w:rPr>
          <w:rFonts w:ascii="Arial" w:eastAsia="Arial" w:hAnsi="Arial" w:cs="Arial"/>
          <w:color w:val="000000"/>
          <w:sz w:val="20"/>
          <w:szCs w:val="20"/>
          <w:lang w:val="es-ES" w:eastAsia="es-ES"/>
        </w:rPr>
        <w:tab/>
        <w:t>Auto de 3° de agosto de 2022</w:t>
      </w:r>
    </w:p>
    <w:p w14:paraId="3150C2CB" w14:textId="3F656E32" w:rsidR="00064737" w:rsidRPr="00064737" w:rsidRDefault="00064737" w:rsidP="00497D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64737">
        <w:rPr>
          <w:rFonts w:ascii="Arial" w:eastAsia="Arial" w:hAnsi="Arial" w:cs="Arial"/>
          <w:color w:val="000000"/>
          <w:sz w:val="20"/>
          <w:szCs w:val="20"/>
          <w:lang w:val="es-ES" w:eastAsia="es-ES"/>
        </w:rPr>
        <w:t>Radicación Nro.:</w:t>
      </w:r>
      <w:r w:rsidRPr="00064737">
        <w:rPr>
          <w:rFonts w:ascii="Arial" w:eastAsia="Arial" w:hAnsi="Arial" w:cs="Arial"/>
          <w:color w:val="000000"/>
          <w:sz w:val="20"/>
          <w:szCs w:val="20"/>
          <w:lang w:val="es-ES" w:eastAsia="es-ES"/>
        </w:rPr>
        <w:tab/>
        <w:t>66170-31-05-001-2021-00062-01</w:t>
      </w:r>
    </w:p>
    <w:p w14:paraId="024DA18B" w14:textId="31415C04" w:rsidR="00064737" w:rsidRPr="00064737" w:rsidRDefault="00064737" w:rsidP="00497D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64737">
        <w:rPr>
          <w:rFonts w:ascii="Arial" w:eastAsia="Arial" w:hAnsi="Arial" w:cs="Arial"/>
          <w:color w:val="000000"/>
          <w:sz w:val="20"/>
          <w:szCs w:val="20"/>
          <w:lang w:val="es-ES" w:eastAsia="es-ES"/>
        </w:rPr>
        <w:t>Proceso:</w:t>
      </w:r>
      <w:r w:rsidRPr="00064737">
        <w:rPr>
          <w:rFonts w:ascii="Arial" w:eastAsia="Arial" w:hAnsi="Arial" w:cs="Arial"/>
          <w:color w:val="000000"/>
          <w:sz w:val="20"/>
          <w:szCs w:val="20"/>
          <w:lang w:val="es-ES" w:eastAsia="es-ES"/>
        </w:rPr>
        <w:tab/>
      </w:r>
      <w:r w:rsidRPr="00064737">
        <w:rPr>
          <w:rFonts w:ascii="Arial" w:eastAsia="Arial" w:hAnsi="Arial" w:cs="Arial"/>
          <w:color w:val="000000"/>
          <w:sz w:val="20"/>
          <w:szCs w:val="20"/>
          <w:lang w:val="es-ES" w:eastAsia="es-ES"/>
        </w:rPr>
        <w:tab/>
        <w:t xml:space="preserve">Ordinario Laboral  </w:t>
      </w:r>
    </w:p>
    <w:p w14:paraId="773B0305" w14:textId="3373D5DA" w:rsidR="00064737" w:rsidRPr="00064737" w:rsidRDefault="00064737" w:rsidP="00497D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64737">
        <w:rPr>
          <w:rFonts w:ascii="Arial" w:eastAsia="Arial" w:hAnsi="Arial" w:cs="Arial"/>
          <w:color w:val="000000"/>
          <w:sz w:val="20"/>
          <w:szCs w:val="20"/>
          <w:lang w:val="es-ES" w:eastAsia="es-ES"/>
        </w:rPr>
        <w:t>Demandante:</w:t>
      </w:r>
      <w:r w:rsidRPr="00064737">
        <w:rPr>
          <w:rFonts w:ascii="Arial" w:eastAsia="Arial" w:hAnsi="Arial" w:cs="Arial"/>
          <w:color w:val="000000"/>
          <w:sz w:val="20"/>
          <w:szCs w:val="20"/>
          <w:lang w:val="es-ES" w:eastAsia="es-ES"/>
        </w:rPr>
        <w:tab/>
      </w:r>
      <w:r w:rsidRPr="00064737">
        <w:rPr>
          <w:rFonts w:ascii="Arial" w:eastAsia="Arial" w:hAnsi="Arial" w:cs="Arial"/>
          <w:color w:val="000000"/>
          <w:sz w:val="20"/>
          <w:szCs w:val="20"/>
          <w:lang w:val="es-ES" w:eastAsia="es-ES"/>
        </w:rPr>
        <w:tab/>
        <w:t>Marta Gladis Gómez Marín</w:t>
      </w:r>
    </w:p>
    <w:p w14:paraId="2DEFD97F" w14:textId="0F11A2FA" w:rsidR="00064737" w:rsidRPr="00064737" w:rsidRDefault="00064737" w:rsidP="00497D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64737">
        <w:rPr>
          <w:rFonts w:ascii="Arial" w:eastAsia="Arial" w:hAnsi="Arial" w:cs="Arial"/>
          <w:color w:val="000000"/>
          <w:sz w:val="20"/>
          <w:szCs w:val="20"/>
          <w:lang w:val="es-ES" w:eastAsia="es-ES"/>
        </w:rPr>
        <w:t>Demandado:</w:t>
      </w:r>
      <w:r>
        <w:rPr>
          <w:rFonts w:ascii="Arial" w:eastAsia="Arial" w:hAnsi="Arial" w:cs="Arial"/>
          <w:color w:val="000000"/>
          <w:sz w:val="20"/>
          <w:szCs w:val="20"/>
          <w:lang w:val="es-ES" w:eastAsia="es-ES"/>
        </w:rPr>
        <w:tab/>
      </w:r>
      <w:r w:rsidRPr="00064737">
        <w:rPr>
          <w:rFonts w:ascii="Arial" w:eastAsia="Arial" w:hAnsi="Arial" w:cs="Arial"/>
          <w:color w:val="000000"/>
          <w:sz w:val="20"/>
          <w:szCs w:val="20"/>
          <w:lang w:val="es-ES" w:eastAsia="es-ES"/>
        </w:rPr>
        <w:tab/>
      </w:r>
      <w:proofErr w:type="spellStart"/>
      <w:r w:rsidRPr="00064737">
        <w:rPr>
          <w:rFonts w:ascii="Arial" w:eastAsia="Arial" w:hAnsi="Arial" w:cs="Arial"/>
          <w:color w:val="000000"/>
          <w:sz w:val="20"/>
          <w:szCs w:val="20"/>
          <w:lang w:val="es-ES" w:eastAsia="es-ES"/>
        </w:rPr>
        <w:t>Indalpac</w:t>
      </w:r>
      <w:proofErr w:type="spellEnd"/>
      <w:r w:rsidRPr="00064737">
        <w:rPr>
          <w:rFonts w:ascii="Arial" w:eastAsia="Arial" w:hAnsi="Arial" w:cs="Arial"/>
          <w:color w:val="000000"/>
          <w:sz w:val="20"/>
          <w:szCs w:val="20"/>
          <w:lang w:val="es-ES" w:eastAsia="es-ES"/>
        </w:rPr>
        <w:t xml:space="preserve"> S.A.S y otros</w:t>
      </w:r>
    </w:p>
    <w:p w14:paraId="65779F4C" w14:textId="10F61F8A" w:rsidR="00064737" w:rsidRPr="00064737" w:rsidRDefault="00064737" w:rsidP="00497D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64737">
        <w:rPr>
          <w:rFonts w:ascii="Arial" w:eastAsia="Arial" w:hAnsi="Arial" w:cs="Arial"/>
          <w:color w:val="000000"/>
          <w:sz w:val="20"/>
          <w:szCs w:val="20"/>
          <w:lang w:val="es-ES" w:eastAsia="es-ES"/>
        </w:rPr>
        <w:t>Juzgado de origen:</w:t>
      </w:r>
      <w:r w:rsidRPr="00064737">
        <w:rPr>
          <w:rFonts w:ascii="Arial" w:eastAsia="Arial" w:hAnsi="Arial" w:cs="Arial"/>
          <w:color w:val="000000"/>
          <w:sz w:val="20"/>
          <w:szCs w:val="20"/>
          <w:lang w:val="es-ES" w:eastAsia="es-ES"/>
        </w:rPr>
        <w:tab/>
        <w:t>Laboral del Circuito de Dosquebradas</w:t>
      </w:r>
    </w:p>
    <w:p w14:paraId="462A9521" w14:textId="4D24B697" w:rsidR="000B7817" w:rsidRPr="000B7817" w:rsidRDefault="00064737" w:rsidP="00497D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64737">
        <w:rPr>
          <w:rFonts w:ascii="Arial" w:eastAsia="Arial" w:hAnsi="Arial" w:cs="Arial"/>
          <w:color w:val="000000"/>
          <w:sz w:val="20"/>
          <w:szCs w:val="20"/>
          <w:lang w:val="es-ES" w:eastAsia="es-ES"/>
        </w:rPr>
        <w:t>Magistrado Ponente:</w:t>
      </w:r>
      <w:r w:rsidRPr="00064737">
        <w:rPr>
          <w:rFonts w:ascii="Arial" w:eastAsia="Arial" w:hAnsi="Arial" w:cs="Arial"/>
          <w:color w:val="000000"/>
          <w:sz w:val="20"/>
          <w:szCs w:val="20"/>
          <w:lang w:val="es-ES" w:eastAsia="es-ES"/>
        </w:rPr>
        <w:tab/>
        <w:t>Julio César Salazar Muñoz</w:t>
      </w:r>
    </w:p>
    <w:p w14:paraId="6AA7E721" w14:textId="77777777" w:rsidR="000B7817" w:rsidRPr="000B7817" w:rsidRDefault="000B7817" w:rsidP="00497D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65ADC84" w14:textId="1476D698" w:rsidR="000B7817" w:rsidRPr="000B7817" w:rsidRDefault="00A3456E" w:rsidP="00497D9E">
      <w:pPr>
        <w:spacing w:after="0" w:line="240" w:lineRule="auto"/>
        <w:jc w:val="both"/>
        <w:rPr>
          <w:rFonts w:ascii="Arial" w:eastAsia="Arial" w:hAnsi="Arial" w:cs="Arial"/>
          <w:color w:val="000000"/>
          <w:sz w:val="20"/>
          <w:szCs w:val="20"/>
          <w:lang w:val="es-ES" w:eastAsia="es-ES"/>
        </w:rPr>
      </w:pPr>
      <w:r w:rsidRPr="000B7817">
        <w:rPr>
          <w:rFonts w:ascii="Arial" w:eastAsia="Arial" w:hAnsi="Arial" w:cs="Arial"/>
          <w:b/>
          <w:bCs/>
          <w:color w:val="000000"/>
          <w:sz w:val="20"/>
          <w:szCs w:val="20"/>
          <w:u w:val="single"/>
          <w:lang w:val="es-419"/>
        </w:rPr>
        <w:t>TEMAS:</w:t>
      </w:r>
      <w:r w:rsidRPr="000B7817">
        <w:rPr>
          <w:rFonts w:ascii="Arial" w:eastAsia="Arial" w:hAnsi="Arial" w:cs="Arial"/>
          <w:b/>
          <w:bCs/>
          <w:color w:val="000000"/>
          <w:sz w:val="20"/>
          <w:szCs w:val="20"/>
          <w:lang w:val="es-419"/>
        </w:rPr>
        <w:tab/>
      </w:r>
      <w:r>
        <w:rPr>
          <w:rFonts w:ascii="Arial" w:eastAsia="Arial" w:hAnsi="Arial" w:cs="Arial"/>
          <w:b/>
          <w:bCs/>
          <w:color w:val="000000"/>
          <w:sz w:val="20"/>
          <w:szCs w:val="20"/>
          <w:lang w:val="es-419"/>
        </w:rPr>
        <w:t>EXCEPCIONES PREVIAS / FINALIDAD / NO ES TERMINAR EL PROCESO, SALVO EXCEPCIÓN / INEPTA DEMANDA / REQUISITOS DEL LIBELO</w:t>
      </w:r>
      <w:bookmarkStart w:id="0" w:name="_GoBack"/>
      <w:bookmarkEnd w:id="0"/>
      <w:r>
        <w:rPr>
          <w:rFonts w:ascii="Arial" w:eastAsia="Arial" w:hAnsi="Arial" w:cs="Arial"/>
          <w:b/>
          <w:bCs/>
          <w:color w:val="000000"/>
          <w:sz w:val="20"/>
          <w:szCs w:val="20"/>
          <w:lang w:val="es-419"/>
        </w:rPr>
        <w:t xml:space="preserve"> / ARTÍCULO 25 DEL CÓDIGO PROCESAL DEL TRABAJO Y DE LA SEGURIDAD SOCIAL.</w:t>
      </w:r>
    </w:p>
    <w:p w14:paraId="26CA93A3" w14:textId="77777777" w:rsidR="000B7817" w:rsidRPr="000B7817" w:rsidRDefault="000B7817" w:rsidP="00497D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48EAC55" w14:textId="3176502D" w:rsidR="000B7817" w:rsidRPr="000B7817" w:rsidRDefault="00AD7561" w:rsidP="00497D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004624A8" w:rsidRPr="004624A8">
        <w:rPr>
          <w:rFonts w:ascii="Arial" w:eastAsia="Arial" w:hAnsi="Arial" w:cs="Arial"/>
          <w:color w:val="000000"/>
          <w:sz w:val="20"/>
          <w:szCs w:val="20"/>
          <w:lang w:val="es-ES" w:eastAsia="es-ES"/>
        </w:rPr>
        <w:t>el proceso y los procedimientos constituyen el medio que ha previsto el legislador para dar un trámite equitativo y ordenado a las actuaciones que se deben realizar en orden a definir los derechos o situaciones jurídicas que requieren declaración judicial</w:t>
      </w:r>
      <w:r w:rsidR="004624A8">
        <w:rPr>
          <w:rFonts w:ascii="Arial" w:eastAsia="Arial" w:hAnsi="Arial" w:cs="Arial"/>
          <w:color w:val="000000"/>
          <w:sz w:val="20"/>
          <w:szCs w:val="20"/>
          <w:lang w:val="es-ES" w:eastAsia="es-ES"/>
        </w:rPr>
        <w:t>…</w:t>
      </w:r>
    </w:p>
    <w:p w14:paraId="307603BC" w14:textId="77777777" w:rsidR="000B7817" w:rsidRPr="000B7817" w:rsidRDefault="000B7817" w:rsidP="00497D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A7A0862" w14:textId="6688E1C0" w:rsidR="000B7817" w:rsidRPr="000B7817" w:rsidRDefault="00AD7561" w:rsidP="00497D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D7561">
        <w:rPr>
          <w:rFonts w:ascii="Arial" w:eastAsia="Arial" w:hAnsi="Arial" w:cs="Arial"/>
          <w:color w:val="000000"/>
          <w:sz w:val="20"/>
          <w:szCs w:val="20"/>
          <w:lang w:val="es-ES" w:eastAsia="es-ES"/>
        </w:rPr>
        <w:t>Partiendo de tal perspectiva, el artículo 100 del Código General del Proceso, señala -a título de excepciones previas- una serie de situaciones -entre ellas, la indebida acumulación de pretensiones- que, sin tener que ver con el fondo del asunto debatido, pueden llegar a impedir que el proceso que se está iniciando, concluya con una sentencia que legalmente resuelva el asunto planteado a la jurisdicción</w:t>
      </w:r>
      <w:r>
        <w:rPr>
          <w:rFonts w:ascii="Arial" w:eastAsia="Arial" w:hAnsi="Arial" w:cs="Arial"/>
          <w:color w:val="000000"/>
          <w:sz w:val="20"/>
          <w:szCs w:val="20"/>
          <w:lang w:val="es-ES" w:eastAsia="es-ES"/>
        </w:rPr>
        <w:t>…</w:t>
      </w:r>
    </w:p>
    <w:p w14:paraId="76A05D35" w14:textId="77777777" w:rsidR="000B7817" w:rsidRPr="000B7817" w:rsidRDefault="000B7817" w:rsidP="00497D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124B0A5" w14:textId="35A4E0DD" w:rsidR="000B7817" w:rsidRPr="000B7817" w:rsidRDefault="00331AF6" w:rsidP="00497D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331AF6">
        <w:rPr>
          <w:rFonts w:ascii="Arial" w:eastAsia="Arial" w:hAnsi="Arial" w:cs="Arial"/>
          <w:color w:val="000000"/>
          <w:sz w:val="20"/>
          <w:szCs w:val="20"/>
          <w:lang w:val="es-ES" w:eastAsia="es-ES"/>
        </w:rPr>
        <w:t>La disposición no deja dudas respecto a que la terminación del proceso no es la finalidad buscada por las excepciones previas, siendo por el contrario la última de las opciones a utilizar frente a su ocurrencia, pues únicamente opera en la medida en que el motivo anunciado impida continuar con el trámite del proceso o no pueda ser subsanado</w:t>
      </w:r>
      <w:r>
        <w:rPr>
          <w:rFonts w:ascii="Arial" w:eastAsia="Arial" w:hAnsi="Arial" w:cs="Arial"/>
          <w:color w:val="000000"/>
          <w:sz w:val="20"/>
          <w:szCs w:val="20"/>
          <w:lang w:val="es-ES" w:eastAsia="es-ES"/>
        </w:rPr>
        <w:t>…</w:t>
      </w:r>
    </w:p>
    <w:p w14:paraId="77995D1D" w14:textId="77777777" w:rsidR="000B7817" w:rsidRPr="000B7817" w:rsidRDefault="000B7817" w:rsidP="00497D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1962410" w14:textId="1735E50A" w:rsidR="000B7817" w:rsidRPr="000B7817" w:rsidRDefault="000877FA" w:rsidP="00497D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877FA">
        <w:rPr>
          <w:rFonts w:ascii="Arial" w:eastAsia="Arial" w:hAnsi="Arial" w:cs="Arial"/>
          <w:color w:val="000000"/>
          <w:sz w:val="20"/>
          <w:szCs w:val="20"/>
          <w:lang w:val="es-ES" w:eastAsia="es-ES"/>
        </w:rPr>
        <w:t>Establecida en el artículo 100 de C.G.P. como una excepción previa, la inepta demanda por falta de requisitos formales, hace referencia a aquellas acciones frente a los cuales no fueron observados los presupuestos necesarios para su elaboración, mismos que para el caso de la especialidad laboral fueron previstos en el artículo 25 del CPT y SS.</w:t>
      </w:r>
    </w:p>
    <w:p w14:paraId="07F248DE" w14:textId="77777777" w:rsidR="000B7817" w:rsidRPr="000B7817" w:rsidRDefault="000B7817" w:rsidP="00497D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4E211F6" w14:textId="406D7CA5" w:rsidR="000B7817" w:rsidRDefault="000877FA" w:rsidP="00497D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877FA">
        <w:rPr>
          <w:rFonts w:ascii="Arial" w:eastAsia="Arial" w:hAnsi="Arial" w:cs="Arial"/>
          <w:color w:val="000000"/>
          <w:sz w:val="20"/>
          <w:szCs w:val="20"/>
          <w:lang w:val="es-ES" w:eastAsia="es-ES"/>
        </w:rPr>
        <w:t>Dispone</w:t>
      </w:r>
      <w:r w:rsidR="00312005">
        <w:rPr>
          <w:rFonts w:ascii="Arial" w:eastAsia="Arial" w:hAnsi="Arial" w:cs="Arial"/>
          <w:color w:val="000000"/>
          <w:sz w:val="20"/>
          <w:szCs w:val="20"/>
          <w:lang w:val="es-ES" w:eastAsia="es-ES"/>
        </w:rPr>
        <w:t>…</w:t>
      </w:r>
      <w:r w:rsidRPr="000877FA">
        <w:rPr>
          <w:rFonts w:ascii="Arial" w:eastAsia="Arial" w:hAnsi="Arial" w:cs="Arial"/>
          <w:color w:val="000000"/>
          <w:sz w:val="20"/>
          <w:szCs w:val="20"/>
          <w:lang w:val="es-ES" w:eastAsia="es-ES"/>
        </w:rPr>
        <w:t xml:space="preserve"> la forma y el contenido de la demanda, precisando que la misma debe contener: “los hechos y omisiones que sirvan de fundamento a las pretensiones, clasificados y enumerados”.</w:t>
      </w:r>
    </w:p>
    <w:p w14:paraId="60EAD368" w14:textId="2BBD39B0" w:rsidR="000877FA" w:rsidRDefault="000877FA" w:rsidP="00497D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55AE6E9" w14:textId="013C04E2" w:rsidR="000877FA" w:rsidRDefault="00312005" w:rsidP="00497D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312005">
        <w:rPr>
          <w:rFonts w:ascii="Arial" w:eastAsia="Arial" w:hAnsi="Arial" w:cs="Arial"/>
          <w:color w:val="000000"/>
          <w:sz w:val="20"/>
          <w:szCs w:val="20"/>
          <w:lang w:val="es-ES" w:eastAsia="es-ES"/>
        </w:rPr>
        <w:t>El Código General de Proceso, dispone en su artículo 365 modificado por la Ley 1395 de 2010, la condena en costas a la parte vencida en juicio o a quien se le resuelva desfavorablemente el recurso de apelación, súplica, queja, casación</w:t>
      </w:r>
      <w:r w:rsidR="00E54CE1">
        <w:rPr>
          <w:rFonts w:ascii="Arial" w:eastAsia="Arial" w:hAnsi="Arial" w:cs="Arial"/>
          <w:color w:val="000000"/>
          <w:sz w:val="20"/>
          <w:szCs w:val="20"/>
          <w:lang w:val="es-ES" w:eastAsia="es-ES"/>
        </w:rPr>
        <w:t>…</w:t>
      </w:r>
      <w:r w:rsidRPr="00312005">
        <w:rPr>
          <w:rFonts w:ascii="Arial" w:eastAsia="Arial" w:hAnsi="Arial" w:cs="Arial"/>
          <w:color w:val="000000"/>
          <w:sz w:val="20"/>
          <w:szCs w:val="20"/>
          <w:lang w:val="es-ES" w:eastAsia="es-ES"/>
        </w:rPr>
        <w:t>; así como a quien se le resuelva de manera desfavorable un incidente, la formulación de excepciones previas, una solicitud de nulidad o un amparo de pobreza</w:t>
      </w:r>
      <w:r>
        <w:rPr>
          <w:rFonts w:ascii="Arial" w:eastAsia="Arial" w:hAnsi="Arial" w:cs="Arial"/>
          <w:color w:val="000000"/>
          <w:sz w:val="20"/>
          <w:szCs w:val="20"/>
          <w:lang w:val="es-ES" w:eastAsia="es-ES"/>
        </w:rPr>
        <w:t>…</w:t>
      </w:r>
    </w:p>
    <w:p w14:paraId="0B1A839B" w14:textId="77777777" w:rsidR="000877FA" w:rsidRPr="000B7817" w:rsidRDefault="000877FA" w:rsidP="00497D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FD7F5BE" w14:textId="00EA21AB" w:rsidR="000B7817" w:rsidRDefault="000B7817" w:rsidP="00497D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11A444F" w14:textId="77777777" w:rsidR="00312005" w:rsidRPr="000B7817" w:rsidRDefault="00312005" w:rsidP="00497D9E">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C3BEE41" w14:textId="77777777" w:rsidR="008E4E97" w:rsidRPr="00064737" w:rsidRDefault="008E4E97" w:rsidP="00497D9E">
      <w:pPr>
        <w:keepNext/>
        <w:spacing w:after="0"/>
        <w:jc w:val="center"/>
        <w:outlineLvl w:val="2"/>
        <w:rPr>
          <w:rFonts w:ascii="Arial" w:eastAsia="Times New Roman" w:hAnsi="Arial" w:cs="Arial"/>
          <w:b/>
          <w:sz w:val="24"/>
          <w:szCs w:val="24"/>
          <w:lang w:val="es-ES_tradnl" w:eastAsia="es-ES"/>
        </w:rPr>
      </w:pPr>
      <w:r w:rsidRPr="00064737">
        <w:rPr>
          <w:rFonts w:ascii="Arial" w:eastAsia="Times New Roman" w:hAnsi="Arial" w:cs="Arial"/>
          <w:b/>
          <w:sz w:val="24"/>
          <w:szCs w:val="24"/>
          <w:lang w:val="es-ES_tradnl" w:eastAsia="es-ES"/>
        </w:rPr>
        <w:t>TRIBUNAL SUPERIOR DEL DISTRITO JUDICIAL</w:t>
      </w:r>
    </w:p>
    <w:p w14:paraId="51A40248" w14:textId="77777777" w:rsidR="008E4E97" w:rsidRPr="00064737" w:rsidRDefault="008E4E97" w:rsidP="00497D9E">
      <w:pPr>
        <w:spacing w:after="0"/>
        <w:jc w:val="center"/>
        <w:rPr>
          <w:rFonts w:ascii="Arial" w:hAnsi="Arial" w:cs="Arial"/>
          <w:b/>
          <w:sz w:val="24"/>
          <w:szCs w:val="24"/>
        </w:rPr>
      </w:pPr>
      <w:r w:rsidRPr="00064737">
        <w:rPr>
          <w:rFonts w:ascii="Arial" w:hAnsi="Arial" w:cs="Arial"/>
          <w:b/>
          <w:sz w:val="24"/>
          <w:szCs w:val="24"/>
        </w:rPr>
        <w:t>SALA LABORAL</w:t>
      </w:r>
    </w:p>
    <w:p w14:paraId="6E85BB48" w14:textId="77777777" w:rsidR="008E4E97" w:rsidRPr="00064737" w:rsidRDefault="008E4E97" w:rsidP="00497D9E">
      <w:pPr>
        <w:spacing w:after="0"/>
        <w:jc w:val="center"/>
        <w:rPr>
          <w:rFonts w:ascii="Arial" w:eastAsia="Times New Roman" w:hAnsi="Arial" w:cs="Arial"/>
          <w:b/>
          <w:sz w:val="24"/>
          <w:szCs w:val="24"/>
          <w:lang w:val="es-ES_tradnl" w:eastAsia="es-ES"/>
        </w:rPr>
      </w:pPr>
      <w:r w:rsidRPr="00064737">
        <w:rPr>
          <w:rFonts w:ascii="Arial" w:eastAsia="Times New Roman" w:hAnsi="Arial" w:cs="Arial"/>
          <w:b/>
          <w:sz w:val="24"/>
          <w:szCs w:val="24"/>
          <w:lang w:val="es-ES_tradnl" w:eastAsia="es-ES"/>
        </w:rPr>
        <w:t xml:space="preserve">MAGISTRADO PONENTE: JULIO CÉSAR SALAZAR MUÑOZ </w:t>
      </w:r>
    </w:p>
    <w:p w14:paraId="5DAB6C7B" w14:textId="77777777" w:rsidR="008E4E97" w:rsidRPr="00064737" w:rsidRDefault="008E4E97" w:rsidP="00497D9E">
      <w:pPr>
        <w:spacing w:after="0"/>
        <w:rPr>
          <w:rFonts w:ascii="Arial" w:hAnsi="Arial" w:cs="Arial"/>
          <w:sz w:val="24"/>
          <w:szCs w:val="24"/>
        </w:rPr>
      </w:pPr>
    </w:p>
    <w:p w14:paraId="3B3B6217" w14:textId="2010DFF3" w:rsidR="00BC21C5" w:rsidRPr="00064737" w:rsidRDefault="006746F6" w:rsidP="00497D9E">
      <w:pPr>
        <w:spacing w:after="0"/>
        <w:jc w:val="center"/>
        <w:rPr>
          <w:rFonts w:ascii="Arial" w:hAnsi="Arial" w:cs="Arial"/>
          <w:sz w:val="24"/>
          <w:szCs w:val="24"/>
        </w:rPr>
      </w:pPr>
      <w:r w:rsidRPr="00064737">
        <w:rPr>
          <w:rFonts w:ascii="Arial" w:hAnsi="Arial" w:cs="Arial"/>
          <w:sz w:val="24"/>
          <w:szCs w:val="24"/>
        </w:rPr>
        <w:t>Pereira</w:t>
      </w:r>
      <w:r w:rsidR="00B3047F" w:rsidRPr="00064737">
        <w:rPr>
          <w:rFonts w:ascii="Arial" w:hAnsi="Arial" w:cs="Arial"/>
          <w:sz w:val="24"/>
          <w:szCs w:val="24"/>
        </w:rPr>
        <w:t xml:space="preserve">, </w:t>
      </w:r>
      <w:r w:rsidR="006C4830" w:rsidRPr="00064737">
        <w:rPr>
          <w:rFonts w:ascii="Arial" w:hAnsi="Arial" w:cs="Arial"/>
          <w:sz w:val="24"/>
          <w:szCs w:val="24"/>
        </w:rPr>
        <w:t>tres de agosto</w:t>
      </w:r>
      <w:r w:rsidR="00D81984" w:rsidRPr="00064737">
        <w:rPr>
          <w:rFonts w:ascii="Arial" w:hAnsi="Arial" w:cs="Arial"/>
          <w:sz w:val="24"/>
          <w:szCs w:val="24"/>
        </w:rPr>
        <w:t xml:space="preserve"> dos mil </w:t>
      </w:r>
      <w:r w:rsidR="00F417F9" w:rsidRPr="00064737">
        <w:rPr>
          <w:rFonts w:ascii="Arial" w:hAnsi="Arial" w:cs="Arial"/>
          <w:sz w:val="24"/>
          <w:szCs w:val="24"/>
        </w:rPr>
        <w:t>veintidós</w:t>
      </w:r>
    </w:p>
    <w:p w14:paraId="045FA749" w14:textId="7E26C40F" w:rsidR="006746F6" w:rsidRPr="00064737" w:rsidRDefault="006746F6" w:rsidP="00497D9E">
      <w:pPr>
        <w:spacing w:after="0"/>
        <w:jc w:val="center"/>
        <w:rPr>
          <w:rFonts w:ascii="Arial" w:hAnsi="Arial" w:cs="Arial"/>
          <w:sz w:val="24"/>
          <w:szCs w:val="24"/>
        </w:rPr>
      </w:pPr>
      <w:r w:rsidRPr="00064737">
        <w:rPr>
          <w:rFonts w:ascii="Arial" w:hAnsi="Arial" w:cs="Arial"/>
          <w:sz w:val="24"/>
          <w:szCs w:val="24"/>
        </w:rPr>
        <w:t xml:space="preserve">Acta número 115 de </w:t>
      </w:r>
      <w:r w:rsidR="006C4830" w:rsidRPr="00064737">
        <w:rPr>
          <w:rFonts w:ascii="Arial" w:hAnsi="Arial" w:cs="Arial"/>
          <w:sz w:val="24"/>
          <w:szCs w:val="24"/>
        </w:rPr>
        <w:t>1° de agosto</w:t>
      </w:r>
      <w:r w:rsidR="00D81984" w:rsidRPr="00064737">
        <w:rPr>
          <w:rFonts w:ascii="Arial" w:hAnsi="Arial" w:cs="Arial"/>
          <w:sz w:val="24"/>
          <w:szCs w:val="24"/>
        </w:rPr>
        <w:t xml:space="preserve"> de 20</w:t>
      </w:r>
      <w:r w:rsidR="00F417F9" w:rsidRPr="00064737">
        <w:rPr>
          <w:rFonts w:ascii="Arial" w:hAnsi="Arial" w:cs="Arial"/>
          <w:sz w:val="24"/>
          <w:szCs w:val="24"/>
        </w:rPr>
        <w:t>22</w:t>
      </w:r>
    </w:p>
    <w:p w14:paraId="02EB378F" w14:textId="77777777" w:rsidR="006746F6" w:rsidRPr="00064737" w:rsidRDefault="006746F6" w:rsidP="00497D9E">
      <w:pPr>
        <w:spacing w:after="0"/>
        <w:jc w:val="both"/>
        <w:rPr>
          <w:rFonts w:ascii="Arial" w:hAnsi="Arial" w:cs="Arial"/>
          <w:sz w:val="24"/>
          <w:szCs w:val="24"/>
        </w:rPr>
      </w:pPr>
    </w:p>
    <w:p w14:paraId="648FEF1C" w14:textId="130CAC24" w:rsidR="008E4E97" w:rsidRPr="00064737" w:rsidRDefault="006746F6" w:rsidP="00497D9E">
      <w:pPr>
        <w:suppressAutoHyphens/>
        <w:spacing w:after="0"/>
        <w:jc w:val="both"/>
        <w:rPr>
          <w:rFonts w:ascii="Arial" w:hAnsi="Arial" w:cs="Arial"/>
          <w:sz w:val="24"/>
          <w:szCs w:val="24"/>
        </w:rPr>
      </w:pPr>
      <w:r w:rsidRPr="00064737">
        <w:rPr>
          <w:rFonts w:ascii="Arial" w:hAnsi="Arial" w:cs="Arial"/>
          <w:sz w:val="24"/>
          <w:szCs w:val="24"/>
        </w:rPr>
        <w:t xml:space="preserve">En la fecha, </w:t>
      </w:r>
      <w:r w:rsidR="00C64116" w:rsidRPr="00064737">
        <w:rPr>
          <w:rFonts w:ascii="Arial" w:hAnsi="Arial" w:cs="Arial"/>
          <w:sz w:val="24"/>
          <w:szCs w:val="24"/>
        </w:rPr>
        <w:t>procede</w:t>
      </w:r>
      <w:r w:rsidR="008E4E97" w:rsidRPr="00064737">
        <w:rPr>
          <w:rFonts w:ascii="Arial" w:hAnsi="Arial" w:cs="Arial"/>
          <w:sz w:val="24"/>
          <w:szCs w:val="24"/>
        </w:rPr>
        <w:t xml:space="preserve"> </w:t>
      </w:r>
      <w:r w:rsidR="00013744" w:rsidRPr="00064737">
        <w:rPr>
          <w:rFonts w:ascii="Arial" w:hAnsi="Arial" w:cs="Arial"/>
          <w:sz w:val="24"/>
          <w:szCs w:val="24"/>
        </w:rPr>
        <w:t xml:space="preserve">la Sala </w:t>
      </w:r>
      <w:r w:rsidR="00214F01" w:rsidRPr="00064737">
        <w:rPr>
          <w:rFonts w:ascii="Arial" w:hAnsi="Arial" w:cs="Arial"/>
          <w:sz w:val="24"/>
          <w:szCs w:val="24"/>
        </w:rPr>
        <w:t xml:space="preserve">de Decisión Laboral </w:t>
      </w:r>
      <w:r w:rsidR="008E4E97" w:rsidRPr="00064737">
        <w:rPr>
          <w:rFonts w:ascii="Arial" w:hAnsi="Arial" w:cs="Arial"/>
          <w:sz w:val="24"/>
          <w:szCs w:val="24"/>
        </w:rPr>
        <w:t xml:space="preserve">a resolver el recurso de apelación interpuesto </w:t>
      </w:r>
      <w:r w:rsidR="006C4830" w:rsidRPr="00064737">
        <w:rPr>
          <w:rFonts w:ascii="Arial" w:hAnsi="Arial" w:cs="Arial"/>
          <w:sz w:val="24"/>
          <w:szCs w:val="24"/>
        </w:rPr>
        <w:t xml:space="preserve">por </w:t>
      </w:r>
      <w:r w:rsidR="007B1E8B" w:rsidRPr="00064737">
        <w:rPr>
          <w:rFonts w:ascii="Arial" w:hAnsi="Arial" w:cs="Arial"/>
          <w:b/>
          <w:bCs/>
          <w:sz w:val="24"/>
          <w:szCs w:val="24"/>
        </w:rPr>
        <w:t>Jorge Hernando Martínez Saavedra</w:t>
      </w:r>
      <w:r w:rsidR="007B1E8B" w:rsidRPr="00064737">
        <w:rPr>
          <w:rFonts w:ascii="Arial" w:hAnsi="Arial" w:cs="Arial"/>
          <w:sz w:val="24"/>
          <w:szCs w:val="24"/>
        </w:rPr>
        <w:t xml:space="preserve"> </w:t>
      </w:r>
      <w:r w:rsidR="00013744" w:rsidRPr="00064737">
        <w:rPr>
          <w:rFonts w:ascii="Arial" w:hAnsi="Arial" w:cs="Arial"/>
          <w:sz w:val="24"/>
          <w:szCs w:val="24"/>
        </w:rPr>
        <w:t xml:space="preserve">contra el auto de fecha </w:t>
      </w:r>
      <w:r w:rsidR="00FE093D" w:rsidRPr="00064737">
        <w:rPr>
          <w:rFonts w:ascii="Arial" w:hAnsi="Arial" w:cs="Arial"/>
          <w:sz w:val="24"/>
          <w:szCs w:val="24"/>
        </w:rPr>
        <w:t>22</w:t>
      </w:r>
      <w:r w:rsidR="0099211C" w:rsidRPr="00064737">
        <w:rPr>
          <w:rFonts w:ascii="Arial" w:hAnsi="Arial" w:cs="Arial"/>
          <w:sz w:val="24"/>
          <w:szCs w:val="24"/>
        </w:rPr>
        <w:t xml:space="preserve"> de </w:t>
      </w:r>
      <w:r w:rsidR="00FE093D" w:rsidRPr="00064737">
        <w:rPr>
          <w:rFonts w:ascii="Arial" w:hAnsi="Arial" w:cs="Arial"/>
          <w:sz w:val="24"/>
          <w:szCs w:val="24"/>
        </w:rPr>
        <w:t>marzo</w:t>
      </w:r>
      <w:r w:rsidR="006C4830" w:rsidRPr="00064737">
        <w:rPr>
          <w:rFonts w:ascii="Arial" w:hAnsi="Arial" w:cs="Arial"/>
          <w:sz w:val="24"/>
          <w:szCs w:val="24"/>
        </w:rPr>
        <w:t xml:space="preserve"> de 2022</w:t>
      </w:r>
      <w:r w:rsidR="003B31FF" w:rsidRPr="00064737">
        <w:rPr>
          <w:rFonts w:ascii="Arial" w:hAnsi="Arial" w:cs="Arial"/>
          <w:sz w:val="24"/>
          <w:szCs w:val="24"/>
        </w:rPr>
        <w:t xml:space="preserve"> </w:t>
      </w:r>
      <w:r w:rsidR="008E4E97" w:rsidRPr="00064737">
        <w:rPr>
          <w:rFonts w:ascii="Arial" w:hAnsi="Arial" w:cs="Arial"/>
          <w:sz w:val="24"/>
          <w:szCs w:val="24"/>
        </w:rPr>
        <w:t xml:space="preserve">por medio del cual el Juzgado </w:t>
      </w:r>
      <w:r w:rsidR="00FE093D" w:rsidRPr="00064737">
        <w:rPr>
          <w:rFonts w:ascii="Arial" w:hAnsi="Arial" w:cs="Arial"/>
          <w:sz w:val="24"/>
          <w:szCs w:val="24"/>
        </w:rPr>
        <w:t>Laboral del Circuito de Dosquebradas declaró no probada la excepción de falta de legitimación en la causa por pasiva</w:t>
      </w:r>
      <w:r w:rsidR="008E4E97" w:rsidRPr="00064737">
        <w:rPr>
          <w:rFonts w:ascii="Arial" w:hAnsi="Arial" w:cs="Arial"/>
          <w:sz w:val="24"/>
          <w:szCs w:val="24"/>
        </w:rPr>
        <w:t xml:space="preserve"> </w:t>
      </w:r>
      <w:r w:rsidR="003B31FF" w:rsidRPr="00064737">
        <w:rPr>
          <w:rFonts w:ascii="Arial" w:hAnsi="Arial" w:cs="Arial"/>
          <w:sz w:val="24"/>
          <w:szCs w:val="24"/>
        </w:rPr>
        <w:t xml:space="preserve">dentro del proceso </w:t>
      </w:r>
      <w:r w:rsidR="00FE093D" w:rsidRPr="007B1E8B">
        <w:rPr>
          <w:rFonts w:ascii="Arial" w:hAnsi="Arial" w:cs="Arial"/>
          <w:b/>
          <w:sz w:val="24"/>
          <w:szCs w:val="24"/>
        </w:rPr>
        <w:t>especial de acoso laboral</w:t>
      </w:r>
      <w:r w:rsidR="003B31FF" w:rsidRPr="00064737">
        <w:rPr>
          <w:rFonts w:ascii="Arial" w:hAnsi="Arial" w:cs="Arial"/>
          <w:sz w:val="24"/>
          <w:szCs w:val="24"/>
        </w:rPr>
        <w:t xml:space="preserve"> que adelanta </w:t>
      </w:r>
      <w:r w:rsidR="00FE093D" w:rsidRPr="00064737">
        <w:rPr>
          <w:rFonts w:ascii="Arial" w:hAnsi="Arial" w:cs="Arial"/>
          <w:sz w:val="24"/>
          <w:szCs w:val="24"/>
        </w:rPr>
        <w:t xml:space="preserve">la señora </w:t>
      </w:r>
      <w:r w:rsidR="007B1E8B" w:rsidRPr="00064737">
        <w:rPr>
          <w:rFonts w:ascii="Arial" w:hAnsi="Arial" w:cs="Arial"/>
          <w:b/>
          <w:bCs/>
          <w:sz w:val="24"/>
          <w:szCs w:val="24"/>
        </w:rPr>
        <w:t>Marta Gladis Gómez Marín</w:t>
      </w:r>
      <w:r w:rsidR="00F417F9" w:rsidRPr="007B1E8B">
        <w:rPr>
          <w:rFonts w:ascii="Arial" w:hAnsi="Arial" w:cs="Arial"/>
          <w:bCs/>
          <w:sz w:val="24"/>
          <w:szCs w:val="24"/>
        </w:rPr>
        <w:t xml:space="preserve">, </w:t>
      </w:r>
      <w:r w:rsidR="00F417F9" w:rsidRPr="007B1E8B">
        <w:rPr>
          <w:rFonts w:ascii="Arial" w:hAnsi="Arial" w:cs="Arial"/>
          <w:sz w:val="24"/>
          <w:szCs w:val="24"/>
        </w:rPr>
        <w:t>d</w:t>
      </w:r>
      <w:r w:rsidR="00F417F9" w:rsidRPr="00064737">
        <w:rPr>
          <w:rFonts w:ascii="Arial" w:hAnsi="Arial" w:cs="Arial"/>
          <w:sz w:val="24"/>
          <w:szCs w:val="24"/>
        </w:rPr>
        <w:t>onde también fungen como demandad</w:t>
      </w:r>
      <w:r w:rsidR="00FE093D" w:rsidRPr="00064737">
        <w:rPr>
          <w:rFonts w:ascii="Arial" w:hAnsi="Arial" w:cs="Arial"/>
          <w:sz w:val="24"/>
          <w:szCs w:val="24"/>
        </w:rPr>
        <w:t xml:space="preserve">os, </w:t>
      </w:r>
      <w:proofErr w:type="spellStart"/>
      <w:r w:rsidR="00FE093D" w:rsidRPr="00064737">
        <w:rPr>
          <w:rFonts w:ascii="Arial" w:hAnsi="Arial" w:cs="Arial"/>
          <w:sz w:val="24"/>
          <w:szCs w:val="24"/>
        </w:rPr>
        <w:t>Indapalc</w:t>
      </w:r>
      <w:proofErr w:type="spellEnd"/>
      <w:r w:rsidR="00FE093D" w:rsidRPr="00064737">
        <w:rPr>
          <w:rFonts w:ascii="Arial" w:hAnsi="Arial" w:cs="Arial"/>
          <w:sz w:val="24"/>
          <w:szCs w:val="24"/>
        </w:rPr>
        <w:t xml:space="preserve"> S.A.S., Katheryn Martínez Cardona, Adriana Sepúlveda Montoya, Sebastián Loaiza y Carlos Andrés Duque</w:t>
      </w:r>
      <w:r w:rsidR="008E4E97" w:rsidRPr="00064737">
        <w:rPr>
          <w:rFonts w:ascii="Arial" w:hAnsi="Arial" w:cs="Arial"/>
          <w:sz w:val="24"/>
          <w:szCs w:val="24"/>
        </w:rPr>
        <w:t>, cuya radicación corresponde al Nº 66</w:t>
      </w:r>
      <w:r w:rsidR="00FE093D" w:rsidRPr="00064737">
        <w:rPr>
          <w:rFonts w:ascii="Arial" w:hAnsi="Arial" w:cs="Arial"/>
          <w:sz w:val="24"/>
          <w:szCs w:val="24"/>
        </w:rPr>
        <w:t>170-31-05-001-2020-00062-01</w:t>
      </w:r>
      <w:r w:rsidR="008E4E97" w:rsidRPr="00064737">
        <w:rPr>
          <w:rFonts w:ascii="Arial" w:hAnsi="Arial" w:cs="Arial"/>
          <w:sz w:val="24"/>
          <w:szCs w:val="24"/>
        </w:rPr>
        <w:t>.</w:t>
      </w:r>
    </w:p>
    <w:p w14:paraId="6A05A809" w14:textId="77777777" w:rsidR="008E4E97" w:rsidRPr="00064737" w:rsidRDefault="008E4E97" w:rsidP="00497D9E">
      <w:pPr>
        <w:spacing w:after="0"/>
        <w:rPr>
          <w:rFonts w:ascii="Arial" w:hAnsi="Arial" w:cs="Arial"/>
          <w:sz w:val="24"/>
          <w:szCs w:val="24"/>
        </w:rPr>
      </w:pPr>
    </w:p>
    <w:p w14:paraId="0F10BAA5" w14:textId="77777777" w:rsidR="008E4E97" w:rsidRPr="00064737" w:rsidRDefault="008E4E97" w:rsidP="00497D9E">
      <w:pPr>
        <w:spacing w:after="0"/>
        <w:jc w:val="center"/>
        <w:rPr>
          <w:rFonts w:ascii="Arial" w:hAnsi="Arial" w:cs="Arial"/>
          <w:b/>
          <w:sz w:val="24"/>
          <w:szCs w:val="24"/>
        </w:rPr>
      </w:pPr>
      <w:r w:rsidRPr="00064737">
        <w:rPr>
          <w:rFonts w:ascii="Arial" w:hAnsi="Arial" w:cs="Arial"/>
          <w:b/>
          <w:sz w:val="24"/>
          <w:szCs w:val="24"/>
        </w:rPr>
        <w:t>ANTECEDENTES</w:t>
      </w:r>
    </w:p>
    <w:p w14:paraId="5A39BBE3" w14:textId="77777777" w:rsidR="003B31FF" w:rsidRPr="00064737" w:rsidRDefault="003B31FF" w:rsidP="00497D9E">
      <w:pPr>
        <w:pStyle w:val="Textoindependiente"/>
        <w:spacing w:line="276" w:lineRule="auto"/>
        <w:rPr>
          <w:rFonts w:cs="Arial"/>
          <w:sz w:val="24"/>
          <w:szCs w:val="24"/>
        </w:rPr>
      </w:pPr>
    </w:p>
    <w:p w14:paraId="2D8F43C8" w14:textId="77777777" w:rsidR="0069579D" w:rsidRPr="00064737" w:rsidRDefault="00A95483" w:rsidP="00497D9E">
      <w:pPr>
        <w:spacing w:after="0"/>
        <w:jc w:val="both"/>
        <w:rPr>
          <w:rFonts w:ascii="Arial" w:hAnsi="Arial" w:cs="Arial"/>
          <w:sz w:val="24"/>
          <w:szCs w:val="24"/>
        </w:rPr>
      </w:pPr>
      <w:r w:rsidRPr="00064737">
        <w:rPr>
          <w:rFonts w:ascii="Arial" w:hAnsi="Arial" w:cs="Arial"/>
          <w:sz w:val="24"/>
          <w:szCs w:val="24"/>
        </w:rPr>
        <w:t xml:space="preserve">Con el fin de que la justicia laboral declare que es víctima de acoso laboral por parte de </w:t>
      </w:r>
      <w:proofErr w:type="spellStart"/>
      <w:r w:rsidRPr="00064737">
        <w:rPr>
          <w:rFonts w:ascii="Arial" w:hAnsi="Arial" w:cs="Arial"/>
          <w:sz w:val="24"/>
          <w:szCs w:val="24"/>
        </w:rPr>
        <w:t>Indapalc</w:t>
      </w:r>
      <w:proofErr w:type="spellEnd"/>
      <w:r w:rsidRPr="00064737">
        <w:rPr>
          <w:rFonts w:ascii="Arial" w:hAnsi="Arial" w:cs="Arial"/>
          <w:sz w:val="24"/>
          <w:szCs w:val="24"/>
        </w:rPr>
        <w:t xml:space="preserve"> S.A.S., </w:t>
      </w:r>
      <w:r w:rsidR="00570C44" w:rsidRPr="00064737">
        <w:rPr>
          <w:rFonts w:ascii="Arial" w:hAnsi="Arial" w:cs="Arial"/>
          <w:sz w:val="24"/>
          <w:szCs w:val="24"/>
        </w:rPr>
        <w:t xml:space="preserve">Jorge Hernando Martínez Saavedra, </w:t>
      </w:r>
      <w:r w:rsidRPr="00064737">
        <w:rPr>
          <w:rFonts w:ascii="Arial" w:hAnsi="Arial" w:cs="Arial"/>
          <w:sz w:val="24"/>
          <w:szCs w:val="24"/>
        </w:rPr>
        <w:t>Katheryn Martínez Cardona, Adriana Sepúlveda Montoya, Sebastián Loaiza y Carlos Andrés Duque</w:t>
      </w:r>
      <w:r w:rsidR="00570C44" w:rsidRPr="00064737">
        <w:rPr>
          <w:rFonts w:ascii="Arial" w:hAnsi="Arial" w:cs="Arial"/>
          <w:sz w:val="24"/>
          <w:szCs w:val="24"/>
        </w:rPr>
        <w:t>, la señora Mart</w:t>
      </w:r>
      <w:r w:rsidR="0069579D" w:rsidRPr="00064737">
        <w:rPr>
          <w:rFonts w:ascii="Arial" w:hAnsi="Arial" w:cs="Arial"/>
          <w:sz w:val="24"/>
          <w:szCs w:val="24"/>
        </w:rPr>
        <w:t>a Gladis Gómez Marín impetró acción en su contra, la cual correspondió por reparto al Juzgado Laboral del Circuito de Dosquebradas.</w:t>
      </w:r>
    </w:p>
    <w:p w14:paraId="41C8F396" w14:textId="77777777" w:rsidR="0069579D" w:rsidRPr="00064737" w:rsidRDefault="0069579D" w:rsidP="00497D9E">
      <w:pPr>
        <w:spacing w:after="0"/>
        <w:jc w:val="both"/>
        <w:rPr>
          <w:rFonts w:ascii="Arial" w:hAnsi="Arial" w:cs="Arial"/>
          <w:sz w:val="24"/>
          <w:szCs w:val="24"/>
        </w:rPr>
      </w:pPr>
    </w:p>
    <w:p w14:paraId="0C9E8672" w14:textId="0A161AC2" w:rsidR="0069579D" w:rsidRPr="00064737" w:rsidRDefault="0069579D" w:rsidP="00497D9E">
      <w:pPr>
        <w:spacing w:after="0"/>
        <w:jc w:val="both"/>
        <w:rPr>
          <w:rFonts w:ascii="Arial" w:hAnsi="Arial" w:cs="Arial"/>
          <w:sz w:val="24"/>
          <w:szCs w:val="24"/>
        </w:rPr>
      </w:pPr>
      <w:r w:rsidRPr="00064737">
        <w:rPr>
          <w:rFonts w:ascii="Arial" w:hAnsi="Arial" w:cs="Arial"/>
          <w:sz w:val="24"/>
          <w:szCs w:val="24"/>
        </w:rPr>
        <w:t>Dentro de sus pretensiones, busca también</w:t>
      </w:r>
      <w:r w:rsidR="300E6B47" w:rsidRPr="00064737">
        <w:rPr>
          <w:rFonts w:ascii="Arial" w:hAnsi="Arial" w:cs="Arial"/>
          <w:sz w:val="24"/>
          <w:szCs w:val="24"/>
        </w:rPr>
        <w:t xml:space="preserve"> </w:t>
      </w:r>
      <w:r w:rsidRPr="00064737">
        <w:rPr>
          <w:rFonts w:ascii="Arial" w:hAnsi="Arial" w:cs="Arial"/>
          <w:sz w:val="24"/>
          <w:szCs w:val="24"/>
        </w:rPr>
        <w:t>la accionante que se declare que la sanciones que le han sido impuestas son injustas, ilegales e ineficaces y que las funciones</w:t>
      </w:r>
      <w:r w:rsidR="008D6832" w:rsidRPr="00064737">
        <w:rPr>
          <w:rFonts w:ascii="Arial" w:hAnsi="Arial" w:cs="Arial"/>
          <w:sz w:val="24"/>
          <w:szCs w:val="24"/>
        </w:rPr>
        <w:t xml:space="preserve"> asignadas</w:t>
      </w:r>
      <w:r w:rsidRPr="00064737">
        <w:rPr>
          <w:rFonts w:ascii="Arial" w:hAnsi="Arial" w:cs="Arial"/>
          <w:sz w:val="24"/>
          <w:szCs w:val="24"/>
        </w:rPr>
        <w:t xml:space="preserve"> son desproporcionadas </w:t>
      </w:r>
      <w:r w:rsidR="008D6832" w:rsidRPr="00064737">
        <w:rPr>
          <w:rFonts w:ascii="Arial" w:hAnsi="Arial" w:cs="Arial"/>
          <w:sz w:val="24"/>
          <w:szCs w:val="24"/>
        </w:rPr>
        <w:t>en relación</w:t>
      </w:r>
      <w:r w:rsidRPr="00064737">
        <w:rPr>
          <w:rFonts w:ascii="Arial" w:hAnsi="Arial" w:cs="Arial"/>
          <w:sz w:val="24"/>
          <w:szCs w:val="24"/>
        </w:rPr>
        <w:t xml:space="preserve"> con su estado actual de salud.</w:t>
      </w:r>
    </w:p>
    <w:p w14:paraId="72A3D3EC" w14:textId="77777777" w:rsidR="0069579D" w:rsidRPr="00064737" w:rsidRDefault="0069579D" w:rsidP="00497D9E">
      <w:pPr>
        <w:spacing w:after="0"/>
        <w:jc w:val="both"/>
        <w:rPr>
          <w:rFonts w:ascii="Arial" w:hAnsi="Arial" w:cs="Arial"/>
          <w:sz w:val="24"/>
          <w:szCs w:val="24"/>
        </w:rPr>
      </w:pPr>
    </w:p>
    <w:p w14:paraId="52FF751F" w14:textId="77777777" w:rsidR="007A6C68" w:rsidRPr="00064737" w:rsidRDefault="0069579D" w:rsidP="00497D9E">
      <w:pPr>
        <w:spacing w:after="0"/>
        <w:jc w:val="both"/>
        <w:rPr>
          <w:rFonts w:ascii="Arial" w:hAnsi="Arial" w:cs="Arial"/>
          <w:sz w:val="24"/>
          <w:szCs w:val="24"/>
        </w:rPr>
      </w:pPr>
      <w:r w:rsidRPr="00064737">
        <w:rPr>
          <w:rFonts w:ascii="Arial" w:hAnsi="Arial" w:cs="Arial"/>
          <w:sz w:val="24"/>
          <w:szCs w:val="24"/>
        </w:rPr>
        <w:t>Como consecuencia de lo anterior, reclama el pago de la multa prevista en el numeral 3º de artículo 10 de la Ley 1010 de 2006, así como los salarios que han sido descontados por cuenta de las suspensiones laborales producto de las sancione</w:t>
      </w:r>
      <w:r w:rsidR="008D6832" w:rsidRPr="00064737">
        <w:rPr>
          <w:rFonts w:ascii="Arial" w:hAnsi="Arial" w:cs="Arial"/>
          <w:sz w:val="24"/>
          <w:szCs w:val="24"/>
        </w:rPr>
        <w:t>s</w:t>
      </w:r>
      <w:r w:rsidRPr="00064737">
        <w:rPr>
          <w:rFonts w:ascii="Arial" w:hAnsi="Arial" w:cs="Arial"/>
          <w:sz w:val="24"/>
          <w:szCs w:val="24"/>
        </w:rPr>
        <w:t xml:space="preserve"> impuestas.  Por último, reclama que se haga un estudio respecto a sus condiciones de salud, en orden a que se le asigne un puesto de trabajo, con funciones acorde a su estado m</w:t>
      </w:r>
      <w:r w:rsidR="008D6832" w:rsidRPr="00064737">
        <w:rPr>
          <w:rFonts w:ascii="Arial" w:hAnsi="Arial" w:cs="Arial"/>
          <w:sz w:val="24"/>
          <w:szCs w:val="24"/>
        </w:rPr>
        <w:t>édico, entre otras disposiciones.</w:t>
      </w:r>
    </w:p>
    <w:p w14:paraId="0D0B940D" w14:textId="77777777" w:rsidR="007A6C68" w:rsidRPr="00064737" w:rsidRDefault="007A6C68" w:rsidP="00497D9E">
      <w:pPr>
        <w:pStyle w:val="Textoindependiente"/>
        <w:spacing w:line="276" w:lineRule="auto"/>
        <w:rPr>
          <w:rFonts w:cs="Arial"/>
          <w:sz w:val="24"/>
          <w:szCs w:val="24"/>
        </w:rPr>
      </w:pPr>
    </w:p>
    <w:p w14:paraId="18EEEAD8" w14:textId="77777777" w:rsidR="006E702F" w:rsidRPr="00064737" w:rsidRDefault="00407219" w:rsidP="00497D9E">
      <w:pPr>
        <w:pStyle w:val="Textoindependiente"/>
        <w:spacing w:line="276" w:lineRule="auto"/>
        <w:rPr>
          <w:rFonts w:cs="Arial"/>
          <w:sz w:val="24"/>
          <w:szCs w:val="24"/>
        </w:rPr>
      </w:pPr>
      <w:r w:rsidRPr="00064737">
        <w:rPr>
          <w:rFonts w:cs="Arial"/>
          <w:sz w:val="24"/>
          <w:szCs w:val="24"/>
        </w:rPr>
        <w:t>Admitida la dema</w:t>
      </w:r>
      <w:r w:rsidR="00845488" w:rsidRPr="00064737">
        <w:rPr>
          <w:rFonts w:cs="Arial"/>
          <w:sz w:val="24"/>
          <w:szCs w:val="24"/>
        </w:rPr>
        <w:t xml:space="preserve">nda, se </w:t>
      </w:r>
      <w:r w:rsidR="008D6832" w:rsidRPr="00064737">
        <w:rPr>
          <w:rFonts w:cs="Arial"/>
          <w:sz w:val="24"/>
          <w:szCs w:val="24"/>
        </w:rPr>
        <w:t>ordenó</w:t>
      </w:r>
      <w:r w:rsidR="00845488" w:rsidRPr="00064737">
        <w:rPr>
          <w:rFonts w:cs="Arial"/>
          <w:sz w:val="24"/>
          <w:szCs w:val="24"/>
        </w:rPr>
        <w:t xml:space="preserve"> la notificación </w:t>
      </w:r>
      <w:r w:rsidR="006E702F" w:rsidRPr="00064737">
        <w:rPr>
          <w:rFonts w:cs="Arial"/>
          <w:sz w:val="24"/>
          <w:szCs w:val="24"/>
        </w:rPr>
        <w:t>de los demandados, los cuales, luego de surtirse dicho acto procesal comparecieron al proceso a través de apoderado judicial.</w:t>
      </w:r>
    </w:p>
    <w:p w14:paraId="0E27B00A" w14:textId="77777777" w:rsidR="006E702F" w:rsidRPr="00064737" w:rsidRDefault="006E702F" w:rsidP="00497D9E">
      <w:pPr>
        <w:pStyle w:val="Textoindependiente"/>
        <w:spacing w:line="276" w:lineRule="auto"/>
        <w:rPr>
          <w:rFonts w:cs="Arial"/>
          <w:sz w:val="24"/>
          <w:szCs w:val="24"/>
        </w:rPr>
      </w:pPr>
    </w:p>
    <w:p w14:paraId="129AE95F" w14:textId="42196B5B" w:rsidR="006E702F" w:rsidRPr="00064737" w:rsidRDefault="006E702F" w:rsidP="00497D9E">
      <w:pPr>
        <w:pStyle w:val="Textoindependiente"/>
        <w:spacing w:line="276" w:lineRule="auto"/>
        <w:rPr>
          <w:rFonts w:cs="Arial"/>
          <w:sz w:val="24"/>
          <w:szCs w:val="24"/>
        </w:rPr>
      </w:pPr>
      <w:r w:rsidRPr="00064737">
        <w:rPr>
          <w:rFonts w:cs="Arial"/>
          <w:sz w:val="24"/>
          <w:szCs w:val="24"/>
        </w:rPr>
        <w:t xml:space="preserve">Al dar respuesta a la acción por parte del señor Jorge Hernando Martínez Saavedra, éste propuso las excepciones de </w:t>
      </w:r>
      <w:r w:rsidRPr="00064737">
        <w:rPr>
          <w:rFonts w:cs="Arial"/>
          <w:i/>
          <w:iCs/>
          <w:sz w:val="24"/>
          <w:szCs w:val="24"/>
        </w:rPr>
        <w:t xml:space="preserve">“Ineptitud de la demanda por falta de los requisitos formales por no estar debidamente determinados los hechos” </w:t>
      </w:r>
      <w:r w:rsidRPr="00064737">
        <w:rPr>
          <w:rFonts w:cs="Arial"/>
          <w:sz w:val="24"/>
          <w:szCs w:val="24"/>
        </w:rPr>
        <w:t>y</w:t>
      </w:r>
      <w:r w:rsidRPr="00064737">
        <w:rPr>
          <w:rFonts w:cs="Arial"/>
          <w:i/>
          <w:iCs/>
          <w:sz w:val="24"/>
          <w:szCs w:val="24"/>
        </w:rPr>
        <w:t xml:space="preserve"> “Falta de Legitimación en la causa por pasiva</w:t>
      </w:r>
      <w:r w:rsidRPr="00064737">
        <w:rPr>
          <w:rFonts w:cs="Arial"/>
          <w:sz w:val="24"/>
          <w:szCs w:val="24"/>
        </w:rPr>
        <w:t xml:space="preserve">”, soportada la primera en </w:t>
      </w:r>
      <w:r w:rsidR="00057751" w:rsidRPr="00064737">
        <w:rPr>
          <w:rFonts w:cs="Arial"/>
          <w:sz w:val="24"/>
          <w:szCs w:val="24"/>
        </w:rPr>
        <w:t>que</w:t>
      </w:r>
      <w:r w:rsidR="008D6832" w:rsidRPr="00064737">
        <w:rPr>
          <w:rFonts w:cs="Arial"/>
          <w:sz w:val="24"/>
          <w:szCs w:val="24"/>
        </w:rPr>
        <w:t xml:space="preserve"> en el libelo inicial</w:t>
      </w:r>
      <w:r w:rsidR="00057751" w:rsidRPr="00064737">
        <w:rPr>
          <w:rFonts w:cs="Arial"/>
          <w:sz w:val="24"/>
          <w:szCs w:val="24"/>
        </w:rPr>
        <w:t xml:space="preserve"> no existe identidad del demanda</w:t>
      </w:r>
      <w:r w:rsidR="008D6832" w:rsidRPr="00064737">
        <w:rPr>
          <w:rFonts w:cs="Arial"/>
          <w:sz w:val="24"/>
          <w:szCs w:val="24"/>
        </w:rPr>
        <w:t>do;</w:t>
      </w:r>
      <w:r w:rsidR="00057751" w:rsidRPr="00064737">
        <w:rPr>
          <w:rFonts w:cs="Arial"/>
          <w:sz w:val="24"/>
          <w:szCs w:val="24"/>
        </w:rPr>
        <w:t xml:space="preserve"> no se precisa ni se determinan con claridad los hechos en que se fundamenta la acción</w:t>
      </w:r>
      <w:r w:rsidR="008D6832" w:rsidRPr="00064737">
        <w:rPr>
          <w:rFonts w:cs="Arial"/>
          <w:sz w:val="24"/>
          <w:szCs w:val="24"/>
        </w:rPr>
        <w:t>; estos no cuentan con</w:t>
      </w:r>
      <w:r w:rsidR="00057751" w:rsidRPr="00064737">
        <w:rPr>
          <w:rFonts w:cs="Arial"/>
          <w:sz w:val="24"/>
          <w:szCs w:val="24"/>
        </w:rPr>
        <w:t xml:space="preserve"> fundamento legal</w:t>
      </w:r>
      <w:r w:rsidR="008D6832" w:rsidRPr="00064737">
        <w:rPr>
          <w:rFonts w:cs="Arial"/>
          <w:sz w:val="24"/>
          <w:szCs w:val="24"/>
        </w:rPr>
        <w:t xml:space="preserve">; </w:t>
      </w:r>
      <w:r w:rsidR="00057751" w:rsidRPr="00064737">
        <w:rPr>
          <w:rFonts w:cs="Arial"/>
          <w:sz w:val="24"/>
          <w:szCs w:val="24"/>
        </w:rPr>
        <w:t>n</w:t>
      </w:r>
      <w:r w:rsidR="008D6832" w:rsidRPr="00064737">
        <w:rPr>
          <w:rFonts w:cs="Arial"/>
          <w:sz w:val="24"/>
          <w:szCs w:val="24"/>
        </w:rPr>
        <w:t>o</w:t>
      </w:r>
      <w:r w:rsidR="00057751" w:rsidRPr="00064737">
        <w:rPr>
          <w:rFonts w:cs="Arial"/>
          <w:sz w:val="24"/>
          <w:szCs w:val="24"/>
        </w:rPr>
        <w:t xml:space="preserve"> se especifican de manera puntal, detallada y clara; son contradictorios y excluyentes y, además</w:t>
      </w:r>
      <w:r w:rsidR="008D6832" w:rsidRPr="00064737">
        <w:rPr>
          <w:rFonts w:cs="Arial"/>
          <w:sz w:val="24"/>
          <w:szCs w:val="24"/>
        </w:rPr>
        <w:t>,</w:t>
      </w:r>
      <w:r w:rsidR="00057751" w:rsidRPr="00064737">
        <w:rPr>
          <w:rFonts w:cs="Arial"/>
          <w:sz w:val="24"/>
          <w:szCs w:val="24"/>
        </w:rPr>
        <w:t xml:space="preserve"> en algunos supuestos fácticos se precisa que el empleador es el señor Jorge Hernando Martínez Sa</w:t>
      </w:r>
      <w:r w:rsidR="008D6832" w:rsidRPr="00064737">
        <w:rPr>
          <w:rFonts w:cs="Arial"/>
          <w:sz w:val="24"/>
          <w:szCs w:val="24"/>
        </w:rPr>
        <w:t>av</w:t>
      </w:r>
      <w:r w:rsidR="00057751" w:rsidRPr="00064737">
        <w:rPr>
          <w:rFonts w:cs="Arial"/>
          <w:sz w:val="24"/>
          <w:szCs w:val="24"/>
        </w:rPr>
        <w:t>edra y en otros</w:t>
      </w:r>
      <w:r w:rsidR="008D6832" w:rsidRPr="00064737">
        <w:rPr>
          <w:rFonts w:cs="Arial"/>
          <w:sz w:val="24"/>
          <w:szCs w:val="24"/>
        </w:rPr>
        <w:t xml:space="preserve"> se afirma  que quien ostenta tal calidad es la sociedad</w:t>
      </w:r>
      <w:r w:rsidR="00057751" w:rsidRPr="00064737">
        <w:rPr>
          <w:rFonts w:cs="Arial"/>
          <w:sz w:val="24"/>
          <w:szCs w:val="24"/>
        </w:rPr>
        <w:t xml:space="preserve"> </w:t>
      </w:r>
      <w:proofErr w:type="spellStart"/>
      <w:r w:rsidR="00057751" w:rsidRPr="00064737">
        <w:rPr>
          <w:rFonts w:cs="Arial"/>
          <w:sz w:val="24"/>
          <w:szCs w:val="24"/>
        </w:rPr>
        <w:t>Indalpac</w:t>
      </w:r>
      <w:proofErr w:type="spellEnd"/>
      <w:r w:rsidR="00057751" w:rsidRPr="00064737">
        <w:rPr>
          <w:rFonts w:cs="Arial"/>
          <w:sz w:val="24"/>
          <w:szCs w:val="24"/>
        </w:rPr>
        <w:t xml:space="preserve"> S.A.S.</w:t>
      </w:r>
    </w:p>
    <w:p w14:paraId="60061E4C" w14:textId="77777777" w:rsidR="00057751" w:rsidRPr="00064737" w:rsidRDefault="00057751" w:rsidP="00497D9E">
      <w:pPr>
        <w:pStyle w:val="Textoindependiente"/>
        <w:spacing w:line="276" w:lineRule="auto"/>
        <w:rPr>
          <w:rFonts w:cs="Arial"/>
          <w:sz w:val="24"/>
          <w:szCs w:val="24"/>
        </w:rPr>
      </w:pPr>
    </w:p>
    <w:p w14:paraId="46EFA59F" w14:textId="4478CCE0" w:rsidR="0093394E" w:rsidRPr="00064737" w:rsidRDefault="00057751" w:rsidP="00497D9E">
      <w:pPr>
        <w:pStyle w:val="Textoindependiente"/>
        <w:spacing w:line="276" w:lineRule="auto"/>
        <w:rPr>
          <w:rFonts w:cs="Arial"/>
          <w:sz w:val="24"/>
          <w:szCs w:val="24"/>
        </w:rPr>
      </w:pPr>
      <w:r w:rsidRPr="00064737">
        <w:rPr>
          <w:rFonts w:cs="Arial"/>
          <w:sz w:val="24"/>
          <w:szCs w:val="24"/>
        </w:rPr>
        <w:t xml:space="preserve">Finalmente, precisa que los hechos de la demanda no están debidamente determinados, ni clasificados, además que, en algunos, narra situaciones personales de la demandante </w:t>
      </w:r>
      <w:r w:rsidR="008D6832" w:rsidRPr="00064737">
        <w:rPr>
          <w:rFonts w:cs="Arial"/>
          <w:sz w:val="24"/>
          <w:szCs w:val="24"/>
        </w:rPr>
        <w:t>que no encuentran soporte en las pretensiones de la demanda</w:t>
      </w:r>
      <w:r w:rsidR="0093394E" w:rsidRPr="00064737">
        <w:rPr>
          <w:rFonts w:cs="Arial"/>
          <w:sz w:val="24"/>
          <w:szCs w:val="24"/>
        </w:rPr>
        <w:t>, razones que estima suficientes para que prospere la excepción.</w:t>
      </w:r>
    </w:p>
    <w:p w14:paraId="44EAFD9C" w14:textId="77777777" w:rsidR="00193087" w:rsidRPr="00064737" w:rsidRDefault="00193087" w:rsidP="00497D9E">
      <w:pPr>
        <w:pStyle w:val="Textoindependiente"/>
        <w:spacing w:line="276" w:lineRule="auto"/>
        <w:rPr>
          <w:rFonts w:cs="Arial"/>
          <w:sz w:val="24"/>
          <w:szCs w:val="24"/>
        </w:rPr>
      </w:pPr>
    </w:p>
    <w:p w14:paraId="75DAE55F" w14:textId="77777777" w:rsidR="0093394E" w:rsidRPr="00064737" w:rsidRDefault="00193087" w:rsidP="00497D9E">
      <w:pPr>
        <w:pStyle w:val="Textoindependiente"/>
        <w:spacing w:line="276" w:lineRule="auto"/>
        <w:rPr>
          <w:rFonts w:cs="Arial"/>
          <w:sz w:val="24"/>
          <w:szCs w:val="24"/>
        </w:rPr>
      </w:pPr>
      <w:r w:rsidRPr="00064737">
        <w:rPr>
          <w:rFonts w:cs="Arial"/>
          <w:sz w:val="24"/>
          <w:szCs w:val="24"/>
        </w:rPr>
        <w:t xml:space="preserve">Citadas las partes a la audiencia de que trata el artículo </w:t>
      </w:r>
      <w:r w:rsidR="00190E4F" w:rsidRPr="00064737">
        <w:rPr>
          <w:rFonts w:cs="Arial"/>
          <w:sz w:val="24"/>
          <w:szCs w:val="24"/>
        </w:rPr>
        <w:t>13 de la Ley 1010 de 2006</w:t>
      </w:r>
      <w:r w:rsidRPr="00064737">
        <w:rPr>
          <w:rFonts w:cs="Arial"/>
          <w:sz w:val="24"/>
          <w:szCs w:val="24"/>
        </w:rPr>
        <w:t>, la juez de la causa declaró no probada la excepción de “</w:t>
      </w:r>
      <w:r w:rsidRPr="00064737">
        <w:rPr>
          <w:rFonts w:cs="Arial"/>
          <w:i/>
          <w:sz w:val="24"/>
          <w:szCs w:val="24"/>
        </w:rPr>
        <w:t>Ineptitud de la demanda por falta de los requisitos formales por no estar debidamente determinados los hechos</w:t>
      </w:r>
      <w:r w:rsidRPr="00064737">
        <w:rPr>
          <w:rFonts w:cs="Arial"/>
          <w:sz w:val="24"/>
          <w:szCs w:val="24"/>
        </w:rPr>
        <w:t xml:space="preserve">”, y difirió la definición de la excepción </w:t>
      </w:r>
      <w:r w:rsidRPr="00064737">
        <w:rPr>
          <w:rFonts w:cs="Arial"/>
          <w:i/>
          <w:sz w:val="24"/>
          <w:szCs w:val="24"/>
        </w:rPr>
        <w:t>“Falta de Legitimación en la causa por pasiva</w:t>
      </w:r>
      <w:r w:rsidRPr="00064737">
        <w:rPr>
          <w:rFonts w:cs="Arial"/>
          <w:sz w:val="24"/>
          <w:szCs w:val="24"/>
        </w:rPr>
        <w:t>”, al momento de tomar decisión de fondo.</w:t>
      </w:r>
    </w:p>
    <w:p w14:paraId="4B94D5A5" w14:textId="77777777" w:rsidR="00193087" w:rsidRPr="00064737" w:rsidRDefault="00193087" w:rsidP="00497D9E">
      <w:pPr>
        <w:pStyle w:val="Textoindependiente"/>
        <w:spacing w:line="276" w:lineRule="auto"/>
        <w:rPr>
          <w:rFonts w:cs="Arial"/>
          <w:sz w:val="24"/>
          <w:szCs w:val="24"/>
        </w:rPr>
      </w:pPr>
    </w:p>
    <w:p w14:paraId="0B7C2B9F" w14:textId="66261AA0" w:rsidR="006E702F" w:rsidRPr="00064737" w:rsidRDefault="00193087" w:rsidP="00497D9E">
      <w:pPr>
        <w:pStyle w:val="Textoindependiente"/>
        <w:spacing w:line="276" w:lineRule="auto"/>
        <w:rPr>
          <w:rFonts w:cs="Arial"/>
          <w:sz w:val="24"/>
          <w:szCs w:val="24"/>
        </w:rPr>
      </w:pPr>
      <w:r w:rsidRPr="00064737">
        <w:rPr>
          <w:rFonts w:cs="Arial"/>
          <w:sz w:val="24"/>
          <w:szCs w:val="24"/>
        </w:rPr>
        <w:t>Para arribar a dicha conclusi</w:t>
      </w:r>
      <w:r w:rsidR="00E87E75" w:rsidRPr="00064737">
        <w:rPr>
          <w:rFonts w:cs="Arial"/>
          <w:sz w:val="24"/>
          <w:szCs w:val="24"/>
        </w:rPr>
        <w:t xml:space="preserve">ón el juzgado alegó que en los hechos de la demanda está plenamente identificada como empleadora la sociedad </w:t>
      </w:r>
      <w:proofErr w:type="spellStart"/>
      <w:r w:rsidR="00E87E75" w:rsidRPr="00064737">
        <w:rPr>
          <w:rFonts w:cs="Arial"/>
          <w:sz w:val="24"/>
          <w:szCs w:val="24"/>
        </w:rPr>
        <w:t>Indalpac</w:t>
      </w:r>
      <w:proofErr w:type="spellEnd"/>
      <w:r w:rsidR="00E87E75" w:rsidRPr="00064737">
        <w:rPr>
          <w:rFonts w:cs="Arial"/>
          <w:sz w:val="24"/>
          <w:szCs w:val="24"/>
        </w:rPr>
        <w:t xml:space="preserve"> S.A.S y el señor Jorge Hernando Martínez Saavedra como representante legal de la misma.</w:t>
      </w:r>
      <w:r w:rsidR="008D6832" w:rsidRPr="00064737">
        <w:rPr>
          <w:rFonts w:cs="Arial"/>
          <w:sz w:val="24"/>
          <w:szCs w:val="24"/>
        </w:rPr>
        <w:t xml:space="preserve"> </w:t>
      </w:r>
      <w:r w:rsidR="00AA5C80" w:rsidRPr="00064737">
        <w:rPr>
          <w:rFonts w:cs="Arial"/>
          <w:sz w:val="24"/>
          <w:szCs w:val="24"/>
        </w:rPr>
        <w:t>Además</w:t>
      </w:r>
      <w:r w:rsidR="008D6832" w:rsidRPr="00064737">
        <w:rPr>
          <w:rFonts w:cs="Arial"/>
          <w:sz w:val="24"/>
          <w:szCs w:val="24"/>
        </w:rPr>
        <w:t>,</w:t>
      </w:r>
      <w:r w:rsidR="00AA5C80" w:rsidRPr="00064737">
        <w:rPr>
          <w:rFonts w:cs="Arial"/>
          <w:sz w:val="24"/>
          <w:szCs w:val="24"/>
        </w:rPr>
        <w:t xml:space="preserve"> </w:t>
      </w:r>
      <w:r w:rsidR="008D6832" w:rsidRPr="00064737">
        <w:rPr>
          <w:rFonts w:cs="Arial"/>
          <w:sz w:val="24"/>
          <w:szCs w:val="24"/>
        </w:rPr>
        <w:t xml:space="preserve">estimó que </w:t>
      </w:r>
      <w:r w:rsidR="00AA5C80" w:rsidRPr="00064737">
        <w:rPr>
          <w:rFonts w:cs="Arial"/>
          <w:sz w:val="24"/>
          <w:szCs w:val="24"/>
        </w:rPr>
        <w:t xml:space="preserve">de las pretensiones de la demanda se extrae que la declaratoria de acoso laboral en contra de la demandante, se persigue en contra de la sociedad accionada, representada por el </w:t>
      </w:r>
      <w:proofErr w:type="spellStart"/>
      <w:r w:rsidR="00AA5C80" w:rsidRPr="00064737">
        <w:rPr>
          <w:rFonts w:cs="Arial"/>
          <w:sz w:val="24"/>
          <w:szCs w:val="24"/>
        </w:rPr>
        <w:t>excepcionante</w:t>
      </w:r>
      <w:proofErr w:type="spellEnd"/>
      <w:r w:rsidR="00AA5C80" w:rsidRPr="00064737">
        <w:rPr>
          <w:rFonts w:cs="Arial"/>
          <w:sz w:val="24"/>
          <w:szCs w:val="24"/>
        </w:rPr>
        <w:t xml:space="preserve">. </w:t>
      </w:r>
    </w:p>
    <w:p w14:paraId="3DEEC669" w14:textId="77777777" w:rsidR="00552BC8" w:rsidRPr="00064737" w:rsidRDefault="00552BC8" w:rsidP="00497D9E">
      <w:pPr>
        <w:pStyle w:val="Textoindependiente"/>
        <w:spacing w:line="276" w:lineRule="auto"/>
        <w:rPr>
          <w:rFonts w:cs="Arial"/>
          <w:sz w:val="24"/>
          <w:szCs w:val="24"/>
        </w:rPr>
      </w:pPr>
    </w:p>
    <w:p w14:paraId="7A8C5A24" w14:textId="5BA25ECD" w:rsidR="00552BC8" w:rsidRPr="00064737" w:rsidRDefault="00552BC8" w:rsidP="00497D9E">
      <w:pPr>
        <w:pStyle w:val="Textoindependiente"/>
        <w:spacing w:line="276" w:lineRule="auto"/>
        <w:rPr>
          <w:rFonts w:cs="Arial"/>
          <w:sz w:val="24"/>
          <w:szCs w:val="24"/>
        </w:rPr>
      </w:pPr>
      <w:r w:rsidRPr="00064737">
        <w:rPr>
          <w:rFonts w:cs="Arial"/>
          <w:sz w:val="24"/>
          <w:szCs w:val="24"/>
        </w:rPr>
        <w:t>Respecto a las situaciones personales que se encuentran narradas en los hech</w:t>
      </w:r>
      <w:r w:rsidR="008D6832" w:rsidRPr="00064737">
        <w:rPr>
          <w:rFonts w:cs="Arial"/>
          <w:sz w:val="24"/>
          <w:szCs w:val="24"/>
        </w:rPr>
        <w:t xml:space="preserve">os, afirma la primera instancia </w:t>
      </w:r>
      <w:r w:rsidR="007B1E8B" w:rsidRPr="00064737">
        <w:rPr>
          <w:rFonts w:cs="Arial"/>
          <w:sz w:val="24"/>
          <w:szCs w:val="24"/>
        </w:rPr>
        <w:t>que ellas</w:t>
      </w:r>
      <w:r w:rsidRPr="00064737">
        <w:rPr>
          <w:rFonts w:cs="Arial"/>
          <w:sz w:val="24"/>
          <w:szCs w:val="24"/>
        </w:rPr>
        <w:t xml:space="preserve"> son de recibo en la medida en que resultan ser la explicación de </w:t>
      </w:r>
      <w:r w:rsidR="00AA4340" w:rsidRPr="00064737">
        <w:rPr>
          <w:rFonts w:cs="Arial"/>
          <w:sz w:val="24"/>
          <w:szCs w:val="24"/>
        </w:rPr>
        <w:t xml:space="preserve">situaciones que considera que repercutieron en el desempeño de sus funciones y </w:t>
      </w:r>
      <w:r w:rsidR="008D6832" w:rsidRPr="00064737">
        <w:rPr>
          <w:rFonts w:cs="Arial"/>
          <w:sz w:val="24"/>
          <w:szCs w:val="24"/>
        </w:rPr>
        <w:t xml:space="preserve">que generan </w:t>
      </w:r>
      <w:r w:rsidR="00AA4340" w:rsidRPr="00064737">
        <w:rPr>
          <w:rFonts w:cs="Arial"/>
          <w:sz w:val="24"/>
          <w:szCs w:val="24"/>
        </w:rPr>
        <w:t>los actos de acoso que se le endilgan a los demandados.</w:t>
      </w:r>
    </w:p>
    <w:p w14:paraId="3656B9AB" w14:textId="77777777" w:rsidR="00AA4340" w:rsidRPr="00064737" w:rsidRDefault="00AA4340" w:rsidP="00497D9E">
      <w:pPr>
        <w:pStyle w:val="Textoindependiente"/>
        <w:spacing w:line="276" w:lineRule="auto"/>
        <w:rPr>
          <w:rFonts w:cs="Arial"/>
          <w:sz w:val="24"/>
          <w:szCs w:val="24"/>
        </w:rPr>
      </w:pPr>
    </w:p>
    <w:p w14:paraId="78A34744" w14:textId="33FBAA2B" w:rsidR="00E769BB" w:rsidRPr="00064737" w:rsidRDefault="00AA4340" w:rsidP="00497D9E">
      <w:pPr>
        <w:pStyle w:val="Textoindependiente"/>
        <w:spacing w:line="276" w:lineRule="auto"/>
        <w:rPr>
          <w:rFonts w:cs="Arial"/>
          <w:sz w:val="24"/>
          <w:szCs w:val="24"/>
        </w:rPr>
      </w:pPr>
      <w:r w:rsidRPr="00064737">
        <w:rPr>
          <w:rFonts w:cs="Arial"/>
          <w:sz w:val="24"/>
          <w:szCs w:val="24"/>
        </w:rPr>
        <w:t xml:space="preserve">Inconforme con la decisión, </w:t>
      </w:r>
      <w:r w:rsidR="00E169F4" w:rsidRPr="00064737">
        <w:rPr>
          <w:rFonts w:cs="Arial"/>
          <w:sz w:val="24"/>
          <w:szCs w:val="24"/>
        </w:rPr>
        <w:t xml:space="preserve">el señor Martínez Saavedra formuló contra ella los recursos de reposición y en subsidio apelación, insistiendo </w:t>
      </w:r>
      <w:r w:rsidR="00406FA4" w:rsidRPr="00064737">
        <w:rPr>
          <w:rFonts w:cs="Arial"/>
          <w:sz w:val="24"/>
          <w:szCs w:val="24"/>
        </w:rPr>
        <w:t>en los motivos que dieron lugar a formular el medio exceptivo respecto a la demanda inicial</w:t>
      </w:r>
      <w:r w:rsidR="008F3A01" w:rsidRPr="00064737">
        <w:rPr>
          <w:rFonts w:cs="Arial"/>
          <w:sz w:val="24"/>
          <w:szCs w:val="24"/>
        </w:rPr>
        <w:t>.</w:t>
      </w:r>
      <w:r w:rsidR="00406FA4" w:rsidRPr="00064737">
        <w:rPr>
          <w:rFonts w:cs="Arial"/>
          <w:sz w:val="24"/>
          <w:szCs w:val="24"/>
        </w:rPr>
        <w:t xml:space="preserve"> Como quiera que existe ambigüedad en el recurso -pues de manera inicial se dice que la impugnación se hace “</w:t>
      </w:r>
      <w:r w:rsidR="00406FA4" w:rsidRPr="00CE2E3C">
        <w:rPr>
          <w:rFonts w:cs="Arial"/>
          <w:sz w:val="22"/>
          <w:szCs w:val="24"/>
        </w:rPr>
        <w:t>por no dar por probada la excepción de inepta demanda</w:t>
      </w:r>
      <w:r w:rsidR="00406FA4" w:rsidRPr="00064737">
        <w:rPr>
          <w:rFonts w:cs="Arial"/>
          <w:sz w:val="24"/>
          <w:szCs w:val="24"/>
        </w:rPr>
        <w:t>”, al finalizar parece abandonarse tal propósito, para pedir simplemente la exoneración de la condena en costas- efectos del desarrollo de la decisión que corresponde tomar, a continuación se transcribe literalmente su contenido:</w:t>
      </w:r>
    </w:p>
    <w:p w14:paraId="45FB0818" w14:textId="77777777" w:rsidR="008F3A01" w:rsidRPr="00064737" w:rsidRDefault="008F3A01" w:rsidP="00497D9E">
      <w:pPr>
        <w:pStyle w:val="Textoindependiente"/>
        <w:spacing w:line="276" w:lineRule="auto"/>
        <w:rPr>
          <w:rFonts w:cs="Arial"/>
          <w:sz w:val="24"/>
          <w:szCs w:val="24"/>
        </w:rPr>
      </w:pPr>
    </w:p>
    <w:p w14:paraId="08B6F9F7" w14:textId="647A7D42" w:rsidR="6492570A" w:rsidRPr="007B1E8B" w:rsidRDefault="6492570A" w:rsidP="00497D9E">
      <w:pPr>
        <w:spacing w:after="0" w:line="240" w:lineRule="auto"/>
        <w:ind w:left="426" w:right="425"/>
        <w:jc w:val="both"/>
        <w:rPr>
          <w:rFonts w:ascii="Arial" w:hAnsi="Arial" w:cs="Arial"/>
          <w:i/>
          <w:iCs/>
          <w:szCs w:val="24"/>
          <w:lang w:val="es-MX"/>
        </w:rPr>
      </w:pPr>
      <w:r w:rsidRPr="007B1E8B">
        <w:rPr>
          <w:rFonts w:ascii="Arial" w:hAnsi="Arial" w:cs="Arial"/>
          <w:szCs w:val="24"/>
          <w:lang w:val="es-MX"/>
        </w:rPr>
        <w:t>“</w:t>
      </w:r>
      <w:r w:rsidRPr="007B1E8B">
        <w:rPr>
          <w:rFonts w:ascii="Arial" w:hAnsi="Arial" w:cs="Arial"/>
          <w:i/>
          <w:iCs/>
          <w:szCs w:val="24"/>
          <w:lang w:val="es-MX"/>
        </w:rPr>
        <w:t>Me permito interponer el recurso frente a la decisión tomada por este despacho de declarar no probada la excepción de inepta demanda por falta de requisitos formales</w:t>
      </w:r>
    </w:p>
    <w:p w14:paraId="627BD0ED" w14:textId="1E333AFB" w:rsidR="6492570A" w:rsidRPr="007B1E8B" w:rsidRDefault="6492570A" w:rsidP="00497D9E">
      <w:pPr>
        <w:spacing w:after="0" w:line="240" w:lineRule="auto"/>
        <w:ind w:left="426" w:right="425"/>
        <w:jc w:val="both"/>
        <w:rPr>
          <w:rFonts w:ascii="Arial" w:hAnsi="Arial" w:cs="Arial"/>
          <w:i/>
          <w:iCs/>
          <w:szCs w:val="24"/>
          <w:lang w:val="es-MX"/>
        </w:rPr>
      </w:pPr>
      <w:r w:rsidRPr="007B1E8B">
        <w:rPr>
          <w:rFonts w:ascii="Arial" w:hAnsi="Arial" w:cs="Arial"/>
          <w:i/>
          <w:iCs/>
          <w:szCs w:val="24"/>
          <w:lang w:val="es-MX"/>
        </w:rPr>
        <w:t xml:space="preserve"> </w:t>
      </w:r>
    </w:p>
    <w:p w14:paraId="4D977F61" w14:textId="50AE7E62" w:rsidR="6492570A" w:rsidRPr="007B1E8B" w:rsidRDefault="6492570A" w:rsidP="00497D9E">
      <w:pPr>
        <w:spacing w:after="0" w:line="240" w:lineRule="auto"/>
        <w:ind w:left="426" w:right="425"/>
        <w:jc w:val="both"/>
        <w:rPr>
          <w:rFonts w:ascii="Arial" w:hAnsi="Arial" w:cs="Arial"/>
          <w:i/>
          <w:iCs/>
          <w:szCs w:val="24"/>
          <w:lang w:val="es-MX"/>
        </w:rPr>
      </w:pPr>
      <w:r w:rsidRPr="007B1E8B">
        <w:rPr>
          <w:rFonts w:ascii="Arial" w:hAnsi="Arial" w:cs="Arial"/>
          <w:i/>
          <w:iCs/>
          <w:szCs w:val="24"/>
          <w:lang w:val="es-MX"/>
        </w:rPr>
        <w:t xml:space="preserve">Téngase en cuenta en cuenta que alrededor de toda la demanda, inicialmente en el escrito de demanda presentado inicialmente por la parte demandante, se estipulan situaciones personales de la señora Marta Gladis Gómez, hay que leer muy detenidamente el escrito donde ella manifiesta situaciones que no incumben nada, ni tienen que ver con la esfera laboral y ocupacional de la señora Marta Gladis Gómez Marín, situaciones tales como un accidente laboral que tuvo que no está implicado dentro del ámbito laboral, </w:t>
      </w:r>
      <w:proofErr w:type="spellStart"/>
      <w:r w:rsidRPr="007B1E8B">
        <w:rPr>
          <w:rFonts w:ascii="Arial" w:hAnsi="Arial" w:cs="Arial"/>
          <w:i/>
          <w:iCs/>
          <w:szCs w:val="24"/>
          <w:lang w:val="es-MX"/>
        </w:rPr>
        <w:t>posteriomente</w:t>
      </w:r>
      <w:proofErr w:type="spellEnd"/>
      <w:r w:rsidRPr="007B1E8B">
        <w:rPr>
          <w:rFonts w:ascii="Arial" w:hAnsi="Arial" w:cs="Arial"/>
          <w:i/>
          <w:iCs/>
          <w:szCs w:val="24"/>
          <w:lang w:val="es-MX"/>
        </w:rPr>
        <w:t xml:space="preserve">  debe tenerse en cuenta que dentro del escrito de demanda, el escrito inicialmente presentado habla sobre su empleador </w:t>
      </w:r>
      <w:proofErr w:type="spellStart"/>
      <w:r w:rsidRPr="007B1E8B">
        <w:rPr>
          <w:rFonts w:ascii="Arial" w:hAnsi="Arial" w:cs="Arial"/>
          <w:i/>
          <w:iCs/>
          <w:szCs w:val="24"/>
          <w:lang w:val="es-MX"/>
        </w:rPr>
        <w:t>Indalpac</w:t>
      </w:r>
      <w:proofErr w:type="spellEnd"/>
      <w:r w:rsidRPr="007B1E8B">
        <w:rPr>
          <w:rFonts w:ascii="Arial" w:hAnsi="Arial" w:cs="Arial"/>
          <w:i/>
          <w:iCs/>
          <w:szCs w:val="24"/>
          <w:lang w:val="es-MX"/>
        </w:rPr>
        <w:t>, posteriormente, dentro  de este mismo escrito menciona que su empleador es Jorge Hernando Martínez Saavedra.</w:t>
      </w:r>
    </w:p>
    <w:p w14:paraId="0652B22B" w14:textId="2D3E901F" w:rsidR="6492570A" w:rsidRPr="007B1E8B" w:rsidRDefault="6492570A" w:rsidP="00497D9E">
      <w:pPr>
        <w:spacing w:after="0" w:line="240" w:lineRule="auto"/>
        <w:ind w:left="426" w:right="425"/>
        <w:jc w:val="both"/>
        <w:rPr>
          <w:rFonts w:ascii="Arial" w:hAnsi="Arial" w:cs="Arial"/>
          <w:i/>
          <w:iCs/>
          <w:szCs w:val="24"/>
          <w:lang w:val="es-MX"/>
        </w:rPr>
      </w:pPr>
      <w:r w:rsidRPr="007B1E8B">
        <w:rPr>
          <w:rFonts w:ascii="Arial" w:hAnsi="Arial" w:cs="Arial"/>
          <w:i/>
          <w:iCs/>
          <w:szCs w:val="24"/>
          <w:lang w:val="es-MX"/>
        </w:rPr>
        <w:t xml:space="preserve"> </w:t>
      </w:r>
    </w:p>
    <w:p w14:paraId="430CAD02" w14:textId="11D6A256" w:rsidR="6492570A" w:rsidRPr="007B1E8B" w:rsidRDefault="6492570A" w:rsidP="00497D9E">
      <w:pPr>
        <w:spacing w:after="0" w:line="240" w:lineRule="auto"/>
        <w:ind w:left="426" w:right="425"/>
        <w:jc w:val="both"/>
        <w:rPr>
          <w:rFonts w:ascii="Arial" w:hAnsi="Arial" w:cs="Arial"/>
          <w:i/>
          <w:iCs/>
          <w:szCs w:val="24"/>
          <w:lang w:val="es-MX"/>
        </w:rPr>
      </w:pPr>
      <w:r w:rsidRPr="007B1E8B">
        <w:rPr>
          <w:rFonts w:ascii="Arial" w:hAnsi="Arial" w:cs="Arial"/>
          <w:i/>
          <w:iCs/>
          <w:szCs w:val="24"/>
          <w:lang w:val="es-MX"/>
        </w:rPr>
        <w:t>Adicional a eso, no discrimina ni tiene en cuenta todas las pruebas documentales que se obtienen y todas las pruebas que se obtienen donde realmente se identifica que su empleador, verdadero empleador es Jorge Hernando Martínez Saavedra, no INDALPAC SAS.  Todo esto está planteado dentro del escrito inicial, incluso, esa excepción se propuso presentado con el escrito inicial de demanda, posteriormente reformado por la parte demandante que ahí ya corrige todos estos yerros que conlleva a que se subsane lo que estaba presentado dentro de la demanda inicial, por eso señora Juez esta parte no está de acuerdo, toda vez que el motivo de la excepción previa fue propuesta básicamente por lo que le dije inicialmente, el escrito inicial de demanda que posteriormente fue reformado por la parte demandante, teniendo en cuenta que esta reforma incluso fue inadmitida por el juzgado y posteriormente subsanada por la parte demandante.  Entonces son ciertas imprecisiones que se lograron corregir durante el camino y que inicialmente llevo el motivo de esa excepción previa.</w:t>
      </w:r>
    </w:p>
    <w:p w14:paraId="03F405F9" w14:textId="13EAC8E4" w:rsidR="6492570A" w:rsidRPr="007B1E8B" w:rsidRDefault="6492570A" w:rsidP="00497D9E">
      <w:pPr>
        <w:spacing w:after="0" w:line="240" w:lineRule="auto"/>
        <w:ind w:left="426" w:right="425"/>
        <w:rPr>
          <w:rFonts w:ascii="Arial" w:hAnsi="Arial" w:cs="Arial"/>
          <w:i/>
          <w:iCs/>
          <w:szCs w:val="24"/>
          <w:lang w:val="es-MX"/>
        </w:rPr>
      </w:pPr>
    </w:p>
    <w:p w14:paraId="2DABD611" w14:textId="15879C88" w:rsidR="6492570A" w:rsidRPr="007B1E8B" w:rsidRDefault="76A0CC63" w:rsidP="00497D9E">
      <w:pPr>
        <w:spacing w:after="0" w:line="240" w:lineRule="auto"/>
        <w:ind w:left="426" w:right="425"/>
        <w:jc w:val="both"/>
        <w:rPr>
          <w:rFonts w:ascii="Arial" w:hAnsi="Arial" w:cs="Arial"/>
          <w:szCs w:val="24"/>
          <w:lang w:val="es-MX"/>
        </w:rPr>
      </w:pPr>
      <w:r w:rsidRPr="007B1E8B">
        <w:rPr>
          <w:rFonts w:ascii="Arial" w:hAnsi="Arial" w:cs="Arial"/>
          <w:i/>
          <w:iCs/>
          <w:szCs w:val="24"/>
          <w:lang w:val="es-MX"/>
        </w:rPr>
        <w:t>Es así señora juez como dejo legalmente sustentado el recurso de reposición y en subsidio el de apelación, obviamente solicitándole que se exonere de condena en costas a mi poderdante, bajo el sentido de que inicialmente esta excepción previa se presentó motivado por temas de que en el escrito de demanda inicial había ciertas imprecisiones que fueron corregidas posteriormente por la parte demandante</w:t>
      </w:r>
      <w:r w:rsidRPr="007B1E8B">
        <w:rPr>
          <w:rFonts w:ascii="Arial" w:hAnsi="Arial" w:cs="Arial"/>
          <w:szCs w:val="24"/>
          <w:lang w:val="es-MX"/>
        </w:rPr>
        <w:t>”.</w:t>
      </w:r>
    </w:p>
    <w:p w14:paraId="26125D0A" w14:textId="04478E88" w:rsidR="6492570A" w:rsidRPr="00064737" w:rsidRDefault="6492570A" w:rsidP="00497D9E">
      <w:pPr>
        <w:pStyle w:val="Textoindependiente"/>
        <w:spacing w:line="276" w:lineRule="auto"/>
        <w:rPr>
          <w:rFonts w:cs="Arial"/>
          <w:sz w:val="24"/>
          <w:szCs w:val="24"/>
        </w:rPr>
      </w:pPr>
    </w:p>
    <w:p w14:paraId="4147070A" w14:textId="15C82F37" w:rsidR="000E65DA" w:rsidRPr="00064737" w:rsidRDefault="000E65DA" w:rsidP="00497D9E">
      <w:pPr>
        <w:pStyle w:val="Textoindependiente"/>
        <w:spacing w:line="276" w:lineRule="auto"/>
        <w:rPr>
          <w:rFonts w:cs="Arial"/>
          <w:sz w:val="24"/>
          <w:szCs w:val="24"/>
        </w:rPr>
      </w:pPr>
      <w:r w:rsidRPr="00064737">
        <w:rPr>
          <w:rFonts w:cs="Arial"/>
          <w:sz w:val="24"/>
          <w:szCs w:val="24"/>
        </w:rPr>
        <w:t>Por su parte la actora, al correr traslado, señaló que las falencias anotadas fueron corregidas al momento de reformar la demanda y además los hechos personales que afirma contiene la demanda, soportan precisamente el origen del acoso que denuncia</w:t>
      </w:r>
      <w:r w:rsidR="00190E4F" w:rsidRPr="00064737">
        <w:rPr>
          <w:rFonts w:cs="Arial"/>
          <w:sz w:val="24"/>
          <w:szCs w:val="24"/>
        </w:rPr>
        <w:t>do</w:t>
      </w:r>
      <w:r w:rsidRPr="00064737">
        <w:rPr>
          <w:rFonts w:cs="Arial"/>
          <w:sz w:val="24"/>
          <w:szCs w:val="24"/>
        </w:rPr>
        <w:t xml:space="preserve"> en esta oportunidad.</w:t>
      </w:r>
    </w:p>
    <w:p w14:paraId="049F31CB" w14:textId="77777777" w:rsidR="008F3A01" w:rsidRPr="00064737" w:rsidRDefault="008F3A01" w:rsidP="00497D9E">
      <w:pPr>
        <w:pStyle w:val="Textoindependiente"/>
        <w:spacing w:line="276" w:lineRule="auto"/>
        <w:rPr>
          <w:rFonts w:cs="Arial"/>
          <w:sz w:val="24"/>
          <w:szCs w:val="24"/>
        </w:rPr>
      </w:pPr>
    </w:p>
    <w:p w14:paraId="247E7342" w14:textId="09832CDF" w:rsidR="008F3A01" w:rsidRPr="00064737" w:rsidRDefault="007B1E8B" w:rsidP="00497D9E">
      <w:pPr>
        <w:pStyle w:val="Textoindependiente"/>
        <w:spacing w:line="276" w:lineRule="auto"/>
        <w:rPr>
          <w:rFonts w:cs="Arial"/>
          <w:sz w:val="24"/>
          <w:szCs w:val="24"/>
        </w:rPr>
      </w:pPr>
      <w:r w:rsidRPr="00064737">
        <w:rPr>
          <w:rFonts w:cs="Arial"/>
          <w:sz w:val="24"/>
          <w:szCs w:val="24"/>
        </w:rPr>
        <w:lastRenderedPageBreak/>
        <w:t xml:space="preserve">La </w:t>
      </w:r>
      <w:r w:rsidRPr="00064737">
        <w:rPr>
          <w:rFonts w:cs="Arial"/>
          <w:i/>
          <w:iCs/>
          <w:sz w:val="24"/>
          <w:szCs w:val="24"/>
        </w:rPr>
        <w:t>a</w:t>
      </w:r>
      <w:r w:rsidR="008D6832" w:rsidRPr="00064737">
        <w:rPr>
          <w:rFonts w:cs="Arial"/>
          <w:i/>
          <w:iCs/>
          <w:sz w:val="24"/>
          <w:szCs w:val="24"/>
        </w:rPr>
        <w:t xml:space="preserve"> </w:t>
      </w:r>
      <w:r w:rsidRPr="00064737">
        <w:rPr>
          <w:rFonts w:cs="Arial"/>
          <w:i/>
          <w:iCs/>
          <w:sz w:val="24"/>
          <w:szCs w:val="24"/>
        </w:rPr>
        <w:t xml:space="preserve">quo </w:t>
      </w:r>
      <w:r w:rsidRPr="00064737">
        <w:rPr>
          <w:rFonts w:cs="Arial"/>
          <w:sz w:val="24"/>
          <w:szCs w:val="24"/>
        </w:rPr>
        <w:t>se</w:t>
      </w:r>
      <w:r w:rsidR="008F3A01" w:rsidRPr="00064737">
        <w:rPr>
          <w:rFonts w:cs="Arial"/>
          <w:sz w:val="24"/>
          <w:szCs w:val="24"/>
        </w:rPr>
        <w:t xml:space="preserve"> </w:t>
      </w:r>
      <w:r w:rsidR="008D6832" w:rsidRPr="00064737">
        <w:rPr>
          <w:rFonts w:cs="Arial"/>
          <w:sz w:val="24"/>
          <w:szCs w:val="24"/>
        </w:rPr>
        <w:t>mantuvo</w:t>
      </w:r>
      <w:r w:rsidR="008F3A01" w:rsidRPr="00064737">
        <w:rPr>
          <w:rFonts w:cs="Arial"/>
          <w:sz w:val="24"/>
          <w:szCs w:val="24"/>
        </w:rPr>
        <w:t xml:space="preserve"> en la decisión porque los hechos de la demanda no fueron </w:t>
      </w:r>
      <w:r w:rsidR="008D6832" w:rsidRPr="00064737">
        <w:rPr>
          <w:rFonts w:cs="Arial"/>
          <w:sz w:val="24"/>
          <w:szCs w:val="24"/>
        </w:rPr>
        <w:t xml:space="preserve">modificados en la reforma, solo fueron adicionados algunos, frente los cuales hizo el control respectivo; señaló además que, en </w:t>
      </w:r>
      <w:r w:rsidR="00190E4F" w:rsidRPr="00064737">
        <w:rPr>
          <w:rFonts w:cs="Arial"/>
          <w:sz w:val="24"/>
          <w:szCs w:val="24"/>
        </w:rPr>
        <w:t xml:space="preserve">el presente asunto, la actora reconoce como empleador a </w:t>
      </w:r>
      <w:proofErr w:type="spellStart"/>
      <w:r w:rsidR="00190E4F" w:rsidRPr="00064737">
        <w:rPr>
          <w:rFonts w:cs="Arial"/>
          <w:sz w:val="24"/>
          <w:szCs w:val="24"/>
        </w:rPr>
        <w:t>Indalpac</w:t>
      </w:r>
      <w:proofErr w:type="spellEnd"/>
      <w:r w:rsidR="00190E4F" w:rsidRPr="00064737">
        <w:rPr>
          <w:rFonts w:cs="Arial"/>
          <w:sz w:val="24"/>
          <w:szCs w:val="24"/>
        </w:rPr>
        <w:t xml:space="preserve"> S.A.S. y al señor Jorge Hernando Martínez Saavedra como representante legal de dicha sociedad.</w:t>
      </w:r>
    </w:p>
    <w:p w14:paraId="53128261" w14:textId="77777777" w:rsidR="00190E4F" w:rsidRPr="00064737" w:rsidRDefault="00190E4F" w:rsidP="00497D9E">
      <w:pPr>
        <w:pStyle w:val="Textoindependiente"/>
        <w:spacing w:line="276" w:lineRule="auto"/>
        <w:rPr>
          <w:rFonts w:cs="Arial"/>
          <w:sz w:val="24"/>
          <w:szCs w:val="24"/>
        </w:rPr>
      </w:pPr>
    </w:p>
    <w:p w14:paraId="41EFF8F6" w14:textId="028573DB" w:rsidR="008D6832" w:rsidRPr="00064737" w:rsidRDefault="00190E4F" w:rsidP="00497D9E">
      <w:pPr>
        <w:pStyle w:val="Textoindependiente"/>
        <w:spacing w:line="276" w:lineRule="auto"/>
        <w:rPr>
          <w:rFonts w:cs="Arial"/>
          <w:sz w:val="24"/>
          <w:szCs w:val="24"/>
        </w:rPr>
      </w:pPr>
      <w:r w:rsidRPr="00064737">
        <w:rPr>
          <w:rFonts w:cs="Arial"/>
          <w:sz w:val="24"/>
          <w:szCs w:val="24"/>
        </w:rPr>
        <w:t>Frente a los hechos que se denuncian como ajenos a la presente controversia, señala que no son alejados del trámite, en tanto se relacionan con la prestación del servicio de la demandante y las conductas que asumieron los demandados durante la relaci</w:t>
      </w:r>
      <w:r w:rsidR="008D6832" w:rsidRPr="00064737">
        <w:rPr>
          <w:rFonts w:cs="Arial"/>
          <w:sz w:val="24"/>
          <w:szCs w:val="24"/>
        </w:rPr>
        <w:t>ón laboral.</w:t>
      </w:r>
    </w:p>
    <w:p w14:paraId="62486C05" w14:textId="77777777" w:rsidR="008D6832" w:rsidRPr="00064737" w:rsidRDefault="008D6832" w:rsidP="00497D9E">
      <w:pPr>
        <w:pStyle w:val="Textoindependiente"/>
        <w:spacing w:line="276" w:lineRule="auto"/>
        <w:rPr>
          <w:rFonts w:cs="Arial"/>
          <w:sz w:val="24"/>
          <w:szCs w:val="24"/>
        </w:rPr>
      </w:pPr>
    </w:p>
    <w:p w14:paraId="56B55ED9" w14:textId="421EA5EC" w:rsidR="008D6832" w:rsidRPr="00064737" w:rsidRDefault="008D6832" w:rsidP="00497D9E">
      <w:pPr>
        <w:pStyle w:val="Textoindependiente"/>
        <w:spacing w:line="276" w:lineRule="auto"/>
        <w:rPr>
          <w:rFonts w:cs="Arial"/>
          <w:sz w:val="24"/>
          <w:szCs w:val="24"/>
        </w:rPr>
      </w:pPr>
      <w:r w:rsidRPr="00064737">
        <w:rPr>
          <w:rFonts w:cs="Arial"/>
          <w:sz w:val="24"/>
          <w:szCs w:val="24"/>
        </w:rPr>
        <w:t>Por último</w:t>
      </w:r>
      <w:r w:rsidR="004A44ED" w:rsidRPr="00064737">
        <w:rPr>
          <w:rFonts w:cs="Arial"/>
          <w:sz w:val="24"/>
          <w:szCs w:val="24"/>
        </w:rPr>
        <w:t>,</w:t>
      </w:r>
      <w:r w:rsidRPr="00064737">
        <w:rPr>
          <w:rFonts w:cs="Arial"/>
          <w:sz w:val="24"/>
          <w:szCs w:val="24"/>
        </w:rPr>
        <w:t xml:space="preserve"> ratificó la condena en costas, pues a ello obliga lo preceptuado por el artículo 365 del CGP.</w:t>
      </w:r>
    </w:p>
    <w:p w14:paraId="4101652C" w14:textId="77777777" w:rsidR="00AA4340" w:rsidRPr="00064737" w:rsidRDefault="00AA4340" w:rsidP="00497D9E">
      <w:pPr>
        <w:pStyle w:val="Textoindependiente"/>
        <w:spacing w:line="276" w:lineRule="auto"/>
        <w:rPr>
          <w:rFonts w:cs="Arial"/>
          <w:sz w:val="24"/>
          <w:szCs w:val="24"/>
        </w:rPr>
      </w:pPr>
    </w:p>
    <w:p w14:paraId="5DC5B57E" w14:textId="30447501" w:rsidR="00EF45A7" w:rsidRPr="00064737" w:rsidRDefault="002E5961" w:rsidP="00497D9E">
      <w:pPr>
        <w:pStyle w:val="Textoindependiente"/>
        <w:tabs>
          <w:tab w:val="left" w:pos="5103"/>
        </w:tabs>
        <w:spacing w:line="276" w:lineRule="auto"/>
        <w:rPr>
          <w:rFonts w:cs="Arial"/>
          <w:sz w:val="24"/>
          <w:szCs w:val="24"/>
        </w:rPr>
      </w:pPr>
      <w:r w:rsidRPr="00064737">
        <w:rPr>
          <w:rFonts w:cs="Arial"/>
          <w:sz w:val="24"/>
          <w:szCs w:val="24"/>
        </w:rPr>
        <w:t>Teniendo en cuenta la no prosperidad del recurso de reposición, la alzada</w:t>
      </w:r>
      <w:r w:rsidR="00A93F75" w:rsidRPr="00064737">
        <w:rPr>
          <w:rFonts w:cs="Arial"/>
          <w:sz w:val="24"/>
          <w:szCs w:val="24"/>
        </w:rPr>
        <w:t xml:space="preserve"> fue concedid</w:t>
      </w:r>
      <w:r w:rsidRPr="00064737">
        <w:rPr>
          <w:rFonts w:cs="Arial"/>
          <w:sz w:val="24"/>
          <w:szCs w:val="24"/>
        </w:rPr>
        <w:t>a</w:t>
      </w:r>
      <w:r w:rsidR="00A93F75" w:rsidRPr="00064737">
        <w:rPr>
          <w:rFonts w:cs="Arial"/>
          <w:sz w:val="24"/>
          <w:szCs w:val="24"/>
        </w:rPr>
        <w:t xml:space="preserve"> en el efecto suspensivo.</w:t>
      </w:r>
    </w:p>
    <w:p w14:paraId="4B99056E" w14:textId="77777777" w:rsidR="00EF45A7" w:rsidRPr="00064737" w:rsidRDefault="00EF45A7" w:rsidP="00497D9E">
      <w:pPr>
        <w:pStyle w:val="Textoindependiente"/>
        <w:tabs>
          <w:tab w:val="left" w:pos="5103"/>
        </w:tabs>
        <w:spacing w:line="276" w:lineRule="auto"/>
        <w:rPr>
          <w:rFonts w:cs="Arial"/>
          <w:sz w:val="24"/>
          <w:szCs w:val="24"/>
        </w:rPr>
      </w:pPr>
    </w:p>
    <w:p w14:paraId="07313AAE" w14:textId="77777777" w:rsidR="00EF45A7" w:rsidRPr="00064737" w:rsidRDefault="00EF45A7" w:rsidP="00497D9E">
      <w:pPr>
        <w:pStyle w:val="paragraph"/>
        <w:spacing w:before="0" w:beforeAutospacing="0" w:after="0" w:afterAutospacing="0" w:line="276" w:lineRule="auto"/>
        <w:jc w:val="center"/>
        <w:textAlignment w:val="baseline"/>
        <w:rPr>
          <w:rFonts w:ascii="Arial" w:hAnsi="Arial" w:cs="Arial"/>
        </w:rPr>
      </w:pPr>
      <w:r w:rsidRPr="00064737">
        <w:rPr>
          <w:rStyle w:val="normaltextrun"/>
          <w:rFonts w:ascii="Arial" w:hAnsi="Arial" w:cs="Arial"/>
          <w:b/>
          <w:bCs/>
        </w:rPr>
        <w:t>ALEGATOS DE CONCLUSIÓN     </w:t>
      </w:r>
      <w:r w:rsidRPr="00064737">
        <w:rPr>
          <w:rStyle w:val="eop"/>
          <w:rFonts w:ascii="Arial" w:eastAsia="Calibri" w:hAnsi="Arial" w:cs="Arial"/>
        </w:rPr>
        <w:t> </w:t>
      </w:r>
    </w:p>
    <w:p w14:paraId="675C8173" w14:textId="77777777" w:rsidR="00EF45A7" w:rsidRPr="00064737" w:rsidRDefault="00EF45A7" w:rsidP="00497D9E">
      <w:pPr>
        <w:pStyle w:val="paragraph"/>
        <w:spacing w:before="0" w:beforeAutospacing="0" w:after="0" w:afterAutospacing="0" w:line="276" w:lineRule="auto"/>
        <w:textAlignment w:val="baseline"/>
        <w:rPr>
          <w:rStyle w:val="eop"/>
          <w:rFonts w:ascii="Arial" w:eastAsia="Calibri" w:hAnsi="Arial" w:cs="Arial"/>
        </w:rPr>
      </w:pPr>
      <w:r w:rsidRPr="00064737">
        <w:rPr>
          <w:rStyle w:val="normaltextrun"/>
          <w:rFonts w:ascii="Arial" w:hAnsi="Arial" w:cs="Arial"/>
        </w:rPr>
        <w:t> </w:t>
      </w:r>
      <w:r w:rsidRPr="00064737">
        <w:rPr>
          <w:rStyle w:val="eop"/>
          <w:rFonts w:ascii="Arial" w:eastAsia="Calibri" w:hAnsi="Arial" w:cs="Arial"/>
        </w:rPr>
        <w:t>  </w:t>
      </w:r>
    </w:p>
    <w:p w14:paraId="1299C43A" w14:textId="4CDA1959" w:rsidR="00663B49" w:rsidRPr="00064737" w:rsidRDefault="1F82E7B4" w:rsidP="00497D9E">
      <w:pPr>
        <w:pStyle w:val="paragraph"/>
        <w:spacing w:before="0" w:beforeAutospacing="0" w:after="0" w:afterAutospacing="0" w:line="276" w:lineRule="auto"/>
        <w:rPr>
          <w:rStyle w:val="normaltextrun"/>
          <w:rFonts w:ascii="Arial" w:hAnsi="Arial" w:cs="Arial"/>
        </w:rPr>
      </w:pPr>
      <w:r w:rsidRPr="00064737">
        <w:rPr>
          <w:rStyle w:val="normaltextrun"/>
          <w:rFonts w:ascii="Arial" w:hAnsi="Arial" w:cs="Arial"/>
        </w:rPr>
        <w:t>Dentro del término conferido para formular alegatos de conclusión, la parte recurrente presentó escrito en ese sentido, señalando que además de los vicios enrostrados respecto a la demanda inicial, también evidencia que no se cumplió con lo establecido en el numeral 7° del artículo 25 del CPT y SS, dado que los hechos contienen apreciaciones subjetivas y elementos de juicio que no corresponden a supuestos fácticos y por ende, no sirven como fundamento de las pretensiones, siendo claro que lo narrado por la actora hace relación a situaciones que ocurrieron en la esfera del ámbito personal.</w:t>
      </w:r>
    </w:p>
    <w:p w14:paraId="31E0A550" w14:textId="66184875" w:rsidR="1F82E7B4" w:rsidRPr="00064737" w:rsidRDefault="1F82E7B4" w:rsidP="00497D9E">
      <w:pPr>
        <w:pStyle w:val="paragraph"/>
        <w:spacing w:before="0" w:beforeAutospacing="0" w:after="0" w:afterAutospacing="0" w:line="276" w:lineRule="auto"/>
        <w:rPr>
          <w:rStyle w:val="normaltextrun"/>
          <w:rFonts w:ascii="Arial" w:hAnsi="Arial" w:cs="Arial"/>
        </w:rPr>
      </w:pPr>
    </w:p>
    <w:p w14:paraId="5F257B19" w14:textId="123076C7" w:rsidR="1F82E7B4" w:rsidRPr="00064737" w:rsidRDefault="1F82E7B4" w:rsidP="00497D9E">
      <w:pPr>
        <w:pStyle w:val="paragraph"/>
        <w:spacing w:before="0" w:beforeAutospacing="0" w:after="0" w:afterAutospacing="0" w:line="276" w:lineRule="auto"/>
        <w:rPr>
          <w:rStyle w:val="normaltextrun"/>
          <w:rFonts w:ascii="Arial" w:hAnsi="Arial" w:cs="Arial"/>
        </w:rPr>
      </w:pPr>
      <w:r w:rsidRPr="00064737">
        <w:rPr>
          <w:rStyle w:val="normaltextrun"/>
          <w:rFonts w:ascii="Arial" w:hAnsi="Arial" w:cs="Arial"/>
        </w:rPr>
        <w:t>También insiste en que la demanda se contradice frente a quien es su verdadero empleador, pues afirma haber laborado en los establecimientos de comercio CHORINANOS con sede en los municipios de Santa Rosa y Dosquebradas, los cuales son de propiedad del señor Jorge Hernando Martínez Saavedra, pero no tienen relación con IDALPAC SAS.</w:t>
      </w:r>
    </w:p>
    <w:p w14:paraId="2C5A0F5C" w14:textId="2E16F4C3" w:rsidR="1F82E7B4" w:rsidRPr="00064737" w:rsidRDefault="1F82E7B4" w:rsidP="00497D9E">
      <w:pPr>
        <w:pStyle w:val="paragraph"/>
        <w:spacing w:before="0" w:beforeAutospacing="0" w:after="0" w:afterAutospacing="0" w:line="276" w:lineRule="auto"/>
        <w:rPr>
          <w:rStyle w:val="normaltextrun"/>
          <w:rFonts w:ascii="Arial" w:hAnsi="Arial" w:cs="Arial"/>
        </w:rPr>
      </w:pPr>
    </w:p>
    <w:p w14:paraId="0A1A3114" w14:textId="2D479568" w:rsidR="1F82E7B4" w:rsidRPr="00064737" w:rsidRDefault="1F82E7B4" w:rsidP="00497D9E">
      <w:pPr>
        <w:pStyle w:val="paragraph"/>
        <w:spacing w:before="0" w:beforeAutospacing="0" w:after="0" w:afterAutospacing="0" w:line="276" w:lineRule="auto"/>
        <w:rPr>
          <w:rStyle w:val="normaltextrun"/>
          <w:rFonts w:ascii="Arial" w:hAnsi="Arial" w:cs="Arial"/>
        </w:rPr>
      </w:pPr>
      <w:r w:rsidRPr="00064737">
        <w:rPr>
          <w:rStyle w:val="normaltextrun"/>
          <w:rFonts w:ascii="Arial" w:hAnsi="Arial" w:cs="Arial"/>
        </w:rPr>
        <w:t>Por último, señala que existe una indebida acumulación de pretensiones, dado que en el proceso de acoso laboral las mismas deben encaminarse a la demostración de la tipificación de alguna de las modalidades de acoso contempladas en el artículo 2° de la Ley 1010, siendo inviable que se reclame un supuesto despido injusto, se pidan reembolsos por descuentos de nómina o se anulen o declaren ilegales procesos disciplinarios adelantados en contra de la demandante.</w:t>
      </w:r>
    </w:p>
    <w:p w14:paraId="6D0FCDD7" w14:textId="008E9A96" w:rsidR="75ECB053" w:rsidRPr="00064737" w:rsidRDefault="75ECB053" w:rsidP="00497D9E">
      <w:pPr>
        <w:pStyle w:val="paragraph"/>
        <w:spacing w:before="0" w:beforeAutospacing="0" w:after="0" w:afterAutospacing="0" w:line="276" w:lineRule="auto"/>
        <w:rPr>
          <w:rStyle w:val="normaltextrun"/>
          <w:rFonts w:ascii="Arial" w:hAnsi="Arial" w:cs="Arial"/>
        </w:rPr>
      </w:pPr>
    </w:p>
    <w:p w14:paraId="197B4108" w14:textId="5C84FA76" w:rsidR="00EF45A7" w:rsidRPr="00064737" w:rsidRDefault="00EF45A7" w:rsidP="00497D9E">
      <w:pPr>
        <w:pStyle w:val="paragraph"/>
        <w:spacing w:before="0" w:beforeAutospacing="0" w:after="0" w:afterAutospacing="0" w:line="276" w:lineRule="auto"/>
        <w:textAlignment w:val="baseline"/>
        <w:rPr>
          <w:rFonts w:ascii="Arial" w:hAnsi="Arial" w:cs="Arial"/>
        </w:rPr>
      </w:pPr>
      <w:r w:rsidRPr="00064737">
        <w:rPr>
          <w:rStyle w:val="normaltextrun"/>
          <w:rFonts w:ascii="Arial" w:hAnsi="Arial" w:cs="Arial"/>
        </w:rPr>
        <w:t>Reunida la Sala dar solución a los siguientes:</w:t>
      </w:r>
      <w:r w:rsidRPr="00064737">
        <w:rPr>
          <w:rStyle w:val="eop"/>
          <w:rFonts w:ascii="Arial" w:eastAsia="Calibri" w:hAnsi="Arial" w:cs="Arial"/>
        </w:rPr>
        <w:t> </w:t>
      </w:r>
    </w:p>
    <w:p w14:paraId="4DDBEF00" w14:textId="77777777" w:rsidR="00EF45A7" w:rsidRPr="00064737" w:rsidRDefault="00EF45A7" w:rsidP="00497D9E">
      <w:pPr>
        <w:pStyle w:val="Textoindependiente"/>
        <w:spacing w:line="276" w:lineRule="auto"/>
        <w:rPr>
          <w:rFonts w:cs="Arial"/>
          <w:sz w:val="24"/>
          <w:szCs w:val="24"/>
        </w:rPr>
      </w:pPr>
    </w:p>
    <w:p w14:paraId="3461D779" w14:textId="77777777" w:rsidR="00EF45A7" w:rsidRPr="00064737" w:rsidRDefault="00EF45A7" w:rsidP="00497D9E">
      <w:pPr>
        <w:pStyle w:val="paragraph"/>
        <w:spacing w:before="0" w:beforeAutospacing="0" w:after="0" w:afterAutospacing="0" w:line="276" w:lineRule="auto"/>
        <w:textAlignment w:val="baseline"/>
        <w:rPr>
          <w:rFonts w:ascii="Arial" w:hAnsi="Arial" w:cs="Arial"/>
        </w:rPr>
      </w:pPr>
    </w:p>
    <w:p w14:paraId="4650F320" w14:textId="0145A66C" w:rsidR="00EF45A7" w:rsidRPr="00064737" w:rsidRDefault="00EF45A7" w:rsidP="00497D9E">
      <w:pPr>
        <w:pStyle w:val="Textoindependiente"/>
        <w:spacing w:line="276" w:lineRule="auto"/>
        <w:jc w:val="center"/>
        <w:rPr>
          <w:rFonts w:cs="Arial"/>
          <w:b/>
          <w:bCs/>
          <w:sz w:val="24"/>
          <w:szCs w:val="24"/>
        </w:rPr>
      </w:pPr>
      <w:r w:rsidRPr="00064737">
        <w:rPr>
          <w:rStyle w:val="normaltextrun"/>
          <w:rFonts w:cs="Arial"/>
          <w:b/>
          <w:bCs/>
          <w:sz w:val="24"/>
          <w:szCs w:val="24"/>
        </w:rPr>
        <w:t>PROBLEMAS JURÍDICOS</w:t>
      </w:r>
    </w:p>
    <w:p w14:paraId="3CF2D8B6" w14:textId="77777777" w:rsidR="00EF45A7" w:rsidRPr="00064737" w:rsidRDefault="00EF45A7" w:rsidP="00497D9E">
      <w:pPr>
        <w:pStyle w:val="Textoindependiente"/>
        <w:spacing w:line="276" w:lineRule="auto"/>
        <w:ind w:right="335"/>
        <w:rPr>
          <w:rFonts w:cs="Arial"/>
          <w:sz w:val="24"/>
          <w:szCs w:val="24"/>
        </w:rPr>
      </w:pPr>
    </w:p>
    <w:p w14:paraId="0586488D" w14:textId="77777777" w:rsidR="00EF45A7" w:rsidRPr="00064737" w:rsidRDefault="00EF45A7" w:rsidP="00497D9E">
      <w:pPr>
        <w:pStyle w:val="Textoindependiente"/>
        <w:spacing w:line="276" w:lineRule="auto"/>
        <w:ind w:left="426" w:right="335"/>
        <w:rPr>
          <w:rFonts w:cs="Arial"/>
          <w:b/>
          <w:i/>
          <w:sz w:val="24"/>
          <w:szCs w:val="24"/>
        </w:rPr>
      </w:pPr>
      <w:r w:rsidRPr="00064737">
        <w:rPr>
          <w:rFonts w:cs="Arial"/>
          <w:b/>
          <w:i/>
          <w:sz w:val="24"/>
          <w:szCs w:val="24"/>
        </w:rPr>
        <w:t>¿</w:t>
      </w:r>
      <w:r w:rsidR="00663B49" w:rsidRPr="00064737">
        <w:rPr>
          <w:rFonts w:cs="Arial"/>
          <w:b/>
          <w:i/>
          <w:sz w:val="24"/>
          <w:szCs w:val="24"/>
        </w:rPr>
        <w:t>Los hechos que contienen la narración de situaciones de la esfera personal contenidos en la demanda inicial, configuran la excepción de Inepta demanda por falta de requisitos formales</w:t>
      </w:r>
      <w:r w:rsidRPr="00064737">
        <w:rPr>
          <w:rFonts w:cs="Arial"/>
          <w:b/>
          <w:i/>
          <w:sz w:val="24"/>
          <w:szCs w:val="24"/>
        </w:rPr>
        <w:t>?</w:t>
      </w:r>
    </w:p>
    <w:p w14:paraId="0FB78278" w14:textId="77777777" w:rsidR="00663B49" w:rsidRPr="00064737" w:rsidRDefault="00663B49" w:rsidP="00497D9E">
      <w:pPr>
        <w:pStyle w:val="Textoindependiente"/>
        <w:spacing w:line="276" w:lineRule="auto"/>
        <w:ind w:left="426" w:right="335"/>
        <w:rPr>
          <w:rFonts w:cs="Arial"/>
          <w:b/>
          <w:i/>
          <w:sz w:val="24"/>
          <w:szCs w:val="24"/>
        </w:rPr>
      </w:pPr>
    </w:p>
    <w:p w14:paraId="4AD846DD" w14:textId="77777777" w:rsidR="00663B49" w:rsidRPr="00064737" w:rsidRDefault="00663B49" w:rsidP="00497D9E">
      <w:pPr>
        <w:pStyle w:val="Textoindependiente"/>
        <w:spacing w:line="276" w:lineRule="auto"/>
        <w:ind w:left="426" w:right="335"/>
        <w:rPr>
          <w:rFonts w:cs="Arial"/>
          <w:b/>
          <w:i/>
          <w:sz w:val="24"/>
          <w:szCs w:val="24"/>
        </w:rPr>
      </w:pPr>
      <w:r w:rsidRPr="00064737">
        <w:rPr>
          <w:rFonts w:cs="Arial"/>
          <w:b/>
          <w:i/>
          <w:sz w:val="24"/>
          <w:szCs w:val="24"/>
        </w:rPr>
        <w:lastRenderedPageBreak/>
        <w:t>¿Existe incongruencia frente a la persona que se le endilga la calidad de empleador?</w:t>
      </w:r>
    </w:p>
    <w:p w14:paraId="1FC39945" w14:textId="77777777" w:rsidR="00663B49" w:rsidRPr="00064737" w:rsidRDefault="00663B49" w:rsidP="00497D9E">
      <w:pPr>
        <w:pStyle w:val="Textoindependiente"/>
        <w:spacing w:line="276" w:lineRule="auto"/>
        <w:ind w:left="426" w:right="335"/>
        <w:rPr>
          <w:rFonts w:cs="Arial"/>
          <w:b/>
          <w:i/>
          <w:sz w:val="24"/>
          <w:szCs w:val="24"/>
        </w:rPr>
      </w:pPr>
    </w:p>
    <w:p w14:paraId="5103C52A" w14:textId="77777777" w:rsidR="00663B49" w:rsidRPr="00064737" w:rsidRDefault="00663B49" w:rsidP="00497D9E">
      <w:pPr>
        <w:pStyle w:val="Textoindependiente"/>
        <w:spacing w:line="276" w:lineRule="auto"/>
        <w:ind w:left="426" w:right="335"/>
        <w:rPr>
          <w:rFonts w:cs="Arial"/>
          <w:sz w:val="24"/>
          <w:szCs w:val="24"/>
        </w:rPr>
      </w:pPr>
      <w:r w:rsidRPr="00064737">
        <w:rPr>
          <w:rFonts w:cs="Arial"/>
          <w:b/>
          <w:i/>
          <w:sz w:val="24"/>
          <w:szCs w:val="24"/>
        </w:rPr>
        <w:t>¿Se configura alguna causal para no condenar en costas a la parte que formuló la excepción de Inepta demanda?</w:t>
      </w:r>
    </w:p>
    <w:p w14:paraId="0562CB0E" w14:textId="77777777" w:rsidR="00EF45A7" w:rsidRPr="00064737" w:rsidRDefault="00EF45A7" w:rsidP="00497D9E">
      <w:pPr>
        <w:pStyle w:val="Textoindependiente"/>
        <w:spacing w:line="276" w:lineRule="auto"/>
        <w:rPr>
          <w:rFonts w:cs="Arial"/>
          <w:sz w:val="24"/>
          <w:szCs w:val="24"/>
        </w:rPr>
      </w:pPr>
    </w:p>
    <w:p w14:paraId="75D69062" w14:textId="77777777" w:rsidR="00EF45A7" w:rsidRPr="00064737" w:rsidRDefault="00EF45A7" w:rsidP="00497D9E">
      <w:pPr>
        <w:spacing w:after="0"/>
        <w:ind w:right="51"/>
        <w:jc w:val="both"/>
        <w:rPr>
          <w:rFonts w:ascii="Arial" w:hAnsi="Arial" w:cs="Arial"/>
          <w:sz w:val="24"/>
          <w:szCs w:val="24"/>
        </w:rPr>
      </w:pPr>
      <w:r w:rsidRPr="00064737">
        <w:rPr>
          <w:rFonts w:ascii="Arial" w:hAnsi="Arial" w:cs="Arial"/>
          <w:sz w:val="24"/>
          <w:szCs w:val="24"/>
        </w:rPr>
        <w:t xml:space="preserve">Para resolver el interrogante formulado es necesario hacer las siguientes precisiones: </w:t>
      </w:r>
    </w:p>
    <w:p w14:paraId="34CE0A41" w14:textId="77777777" w:rsidR="002014F5" w:rsidRPr="00064737" w:rsidRDefault="002014F5" w:rsidP="00497D9E">
      <w:pPr>
        <w:spacing w:after="0"/>
        <w:jc w:val="both"/>
        <w:rPr>
          <w:rFonts w:ascii="Arial" w:hAnsi="Arial" w:cs="Arial"/>
          <w:b/>
          <w:bCs/>
          <w:sz w:val="24"/>
          <w:szCs w:val="24"/>
        </w:rPr>
      </w:pPr>
    </w:p>
    <w:p w14:paraId="7A83688E" w14:textId="77777777" w:rsidR="00C25377" w:rsidRPr="00064737" w:rsidRDefault="002014F5" w:rsidP="00497D9E">
      <w:pPr>
        <w:spacing w:after="0"/>
        <w:jc w:val="both"/>
        <w:rPr>
          <w:rFonts w:ascii="Arial" w:hAnsi="Arial" w:cs="Arial"/>
          <w:b/>
          <w:bCs/>
          <w:sz w:val="24"/>
          <w:szCs w:val="24"/>
        </w:rPr>
      </w:pPr>
      <w:r w:rsidRPr="00064737">
        <w:rPr>
          <w:rFonts w:ascii="Arial" w:hAnsi="Arial" w:cs="Arial"/>
          <w:b/>
          <w:bCs/>
          <w:sz w:val="24"/>
          <w:szCs w:val="24"/>
        </w:rPr>
        <w:t>1</w:t>
      </w:r>
      <w:r w:rsidR="00C25377" w:rsidRPr="00064737">
        <w:rPr>
          <w:rFonts w:ascii="Arial" w:hAnsi="Arial" w:cs="Arial"/>
          <w:b/>
          <w:bCs/>
          <w:sz w:val="24"/>
          <w:szCs w:val="24"/>
        </w:rPr>
        <w:t>.  LAS EXCEPCIONES PREVIAS. RAZÓN DE SER Y FINALIDAD.</w:t>
      </w:r>
    </w:p>
    <w:p w14:paraId="70B071F3" w14:textId="37C9BBC3" w:rsidR="222C4079" w:rsidRPr="00064737" w:rsidRDefault="222C4079" w:rsidP="00497D9E">
      <w:pPr>
        <w:spacing w:after="0"/>
        <w:jc w:val="both"/>
        <w:rPr>
          <w:rFonts w:ascii="Arial" w:hAnsi="Arial" w:cs="Arial"/>
          <w:b/>
          <w:bCs/>
          <w:sz w:val="24"/>
          <w:szCs w:val="24"/>
        </w:rPr>
      </w:pPr>
    </w:p>
    <w:p w14:paraId="03652B49" w14:textId="77777777" w:rsidR="00C31868" w:rsidRPr="00064737" w:rsidRDefault="00C25377" w:rsidP="00497D9E">
      <w:pPr>
        <w:spacing w:after="0"/>
        <w:jc w:val="both"/>
        <w:rPr>
          <w:rFonts w:ascii="Arial" w:hAnsi="Arial" w:cs="Arial"/>
          <w:color w:val="4B4949"/>
          <w:sz w:val="24"/>
          <w:szCs w:val="24"/>
        </w:rPr>
      </w:pPr>
      <w:r w:rsidRPr="00064737">
        <w:rPr>
          <w:rFonts w:ascii="Arial" w:hAnsi="Arial" w:cs="Arial"/>
          <w:sz w:val="24"/>
          <w:szCs w:val="24"/>
        </w:rPr>
        <w:t>No cabe duda que el proceso y los procedimientos constituyen el medio que ha previsto el legislador para dar un trámite equitativo y ordenado a las actuaciones que se deben realizar en orden a definir los derechos o situaciones jurídicas que requieren declaración judicial. Es por ello que el artículo 11 del Código General del Proceso establece, entre otras cosas que, “</w:t>
      </w:r>
      <w:r w:rsidRPr="00CE2E3C">
        <w:rPr>
          <w:rFonts w:ascii="Arial" w:eastAsia="Arial" w:hAnsi="Arial" w:cs="Arial"/>
          <w:i/>
          <w:iCs/>
          <w:szCs w:val="24"/>
        </w:rPr>
        <w:t>al interpretar la ley procesal el juez deberá tener en cuenta que el objeto de los procedimientos es la efectividad de los derechos reconocidos por la ley sustancial</w:t>
      </w:r>
      <w:r w:rsidRPr="00064737">
        <w:rPr>
          <w:rFonts w:ascii="Arial" w:eastAsia="Arial" w:hAnsi="Arial" w:cs="Arial"/>
          <w:i/>
          <w:iCs/>
          <w:sz w:val="24"/>
          <w:szCs w:val="24"/>
        </w:rPr>
        <w:t>.”</w:t>
      </w:r>
    </w:p>
    <w:p w14:paraId="67A523F2" w14:textId="77777777" w:rsidR="00C31868" w:rsidRPr="00064737" w:rsidRDefault="00C31868" w:rsidP="00497D9E">
      <w:pPr>
        <w:spacing w:after="0"/>
        <w:jc w:val="both"/>
        <w:rPr>
          <w:rFonts w:ascii="Arial" w:hAnsi="Arial" w:cs="Arial"/>
          <w:color w:val="4B4949"/>
          <w:sz w:val="24"/>
          <w:szCs w:val="24"/>
        </w:rPr>
      </w:pPr>
    </w:p>
    <w:p w14:paraId="6AA0B010" w14:textId="2C8439AB" w:rsidR="00C25377" w:rsidRPr="00064737" w:rsidRDefault="00C25377" w:rsidP="00497D9E">
      <w:pPr>
        <w:spacing w:after="0"/>
        <w:jc w:val="both"/>
        <w:rPr>
          <w:rFonts w:ascii="Arial" w:hAnsi="Arial" w:cs="Arial"/>
          <w:color w:val="4B4949"/>
          <w:sz w:val="24"/>
          <w:szCs w:val="24"/>
        </w:rPr>
      </w:pPr>
      <w:r w:rsidRPr="00064737">
        <w:rPr>
          <w:rFonts w:ascii="Arial" w:hAnsi="Arial" w:cs="Arial"/>
          <w:sz w:val="24"/>
          <w:szCs w:val="24"/>
        </w:rPr>
        <w:t xml:space="preserve">Precisamente, ese objeto de los procedimientos, pone en evidencia la necesidad de que las actuaciones judiciales se realicen con total limpieza y coherencia, de manera tal que permitan, al funcionario encargado, definir el asunto de acuerdo a los diferentes aspectos planteados por las partes y sin que, cuestiones simplemente formales –surgidas del trámite mismo- lleguen a entorpecer su labor.  </w:t>
      </w:r>
    </w:p>
    <w:p w14:paraId="2946DB82" w14:textId="77777777" w:rsidR="00C25377" w:rsidRPr="00064737" w:rsidRDefault="00C25377" w:rsidP="00497D9E">
      <w:pPr>
        <w:spacing w:after="0"/>
        <w:jc w:val="both"/>
        <w:rPr>
          <w:rFonts w:ascii="Arial" w:hAnsi="Arial" w:cs="Arial"/>
          <w:sz w:val="24"/>
          <w:szCs w:val="24"/>
        </w:rPr>
      </w:pPr>
    </w:p>
    <w:p w14:paraId="738452B7" w14:textId="4B43011B" w:rsidR="00C25377" w:rsidRPr="00064737" w:rsidRDefault="00C25377" w:rsidP="00497D9E">
      <w:pPr>
        <w:spacing w:after="0"/>
        <w:jc w:val="both"/>
        <w:rPr>
          <w:rFonts w:ascii="Arial" w:hAnsi="Arial" w:cs="Arial"/>
          <w:sz w:val="24"/>
          <w:szCs w:val="24"/>
        </w:rPr>
      </w:pPr>
      <w:r w:rsidRPr="00064737">
        <w:rPr>
          <w:rFonts w:ascii="Arial" w:hAnsi="Arial" w:cs="Arial"/>
          <w:sz w:val="24"/>
          <w:szCs w:val="24"/>
        </w:rPr>
        <w:t xml:space="preserve">Partiendo de tal perspectiva, el artículo 100 del Código General del Proceso, señala -a título de excepciones previas- una serie de situaciones -entre ellas, la indebida acumulación de pretensiones- que, sin tener que ver con el fondo del asunto debatido, pueden llegar a impedir que el proceso que se está iniciando, concluya con una sentencia que legalmente resuelva el asunto planteado a la jurisdicción. Y, para evitar que ello ocurra, el artículo 101 </w:t>
      </w:r>
      <w:r w:rsidR="00C31868" w:rsidRPr="00064737">
        <w:rPr>
          <w:rFonts w:ascii="Arial" w:hAnsi="Arial" w:cs="Arial"/>
          <w:sz w:val="24"/>
          <w:szCs w:val="24"/>
        </w:rPr>
        <w:t>ibídem</w:t>
      </w:r>
      <w:r w:rsidRPr="00064737">
        <w:rPr>
          <w:rFonts w:ascii="Arial" w:hAnsi="Arial" w:cs="Arial"/>
          <w:sz w:val="24"/>
          <w:szCs w:val="24"/>
        </w:rPr>
        <w:t xml:space="preserve"> tiene dispuesto el trámite que permite superar la dificultad que amenaza dar al traste con la finalidad de la actuación.</w:t>
      </w:r>
    </w:p>
    <w:p w14:paraId="5997CC1D" w14:textId="77777777" w:rsidR="00C25377" w:rsidRPr="00064737" w:rsidRDefault="00C25377" w:rsidP="00497D9E">
      <w:pPr>
        <w:spacing w:after="0"/>
        <w:jc w:val="both"/>
        <w:rPr>
          <w:rFonts w:ascii="Arial" w:hAnsi="Arial" w:cs="Arial"/>
          <w:sz w:val="24"/>
          <w:szCs w:val="24"/>
        </w:rPr>
      </w:pPr>
    </w:p>
    <w:p w14:paraId="66C9630E" w14:textId="77777777" w:rsidR="00C25377" w:rsidRPr="00064737" w:rsidRDefault="00C25377" w:rsidP="00497D9E">
      <w:pPr>
        <w:spacing w:after="0"/>
        <w:jc w:val="both"/>
        <w:rPr>
          <w:rFonts w:ascii="Arial" w:hAnsi="Arial" w:cs="Arial"/>
          <w:sz w:val="24"/>
          <w:szCs w:val="24"/>
        </w:rPr>
      </w:pPr>
      <w:r w:rsidRPr="00064737">
        <w:rPr>
          <w:rFonts w:ascii="Arial" w:hAnsi="Arial" w:cs="Arial"/>
          <w:sz w:val="24"/>
          <w:szCs w:val="24"/>
        </w:rPr>
        <w:t>La última norma citada en su numeral 2 establece:</w:t>
      </w:r>
    </w:p>
    <w:p w14:paraId="110FFD37" w14:textId="77777777" w:rsidR="00C25377" w:rsidRPr="00064737" w:rsidRDefault="00C25377" w:rsidP="00497D9E">
      <w:pPr>
        <w:spacing w:after="0"/>
        <w:jc w:val="both"/>
        <w:rPr>
          <w:rFonts w:ascii="Arial" w:hAnsi="Arial" w:cs="Arial"/>
          <w:sz w:val="24"/>
          <w:szCs w:val="24"/>
        </w:rPr>
      </w:pPr>
    </w:p>
    <w:p w14:paraId="2BB7255B" w14:textId="77777777" w:rsidR="00C25377" w:rsidRPr="00497D9E" w:rsidRDefault="00C25377" w:rsidP="00497D9E">
      <w:pPr>
        <w:spacing w:after="0" w:line="240" w:lineRule="auto"/>
        <w:ind w:left="426" w:right="425"/>
        <w:jc w:val="both"/>
        <w:rPr>
          <w:rFonts w:ascii="Arial" w:eastAsia="Arial" w:hAnsi="Arial" w:cs="Arial"/>
          <w:i/>
          <w:iCs/>
          <w:szCs w:val="24"/>
          <w:lang w:val="es-ES"/>
        </w:rPr>
      </w:pPr>
      <w:r w:rsidRPr="00497D9E">
        <w:rPr>
          <w:rFonts w:ascii="Arial" w:eastAsia="Arial" w:hAnsi="Arial" w:cs="Arial"/>
          <w:i/>
          <w:iCs/>
          <w:szCs w:val="24"/>
          <w:lang w:val="es-ES"/>
        </w:rPr>
        <w:t xml:space="preserve">“El juez decidirá sobre las excepciones previas que no requieran la práctica de pruebas, antes de la audiencia inicial, </w:t>
      </w:r>
      <w:r w:rsidRPr="00497D9E">
        <w:rPr>
          <w:rFonts w:ascii="Arial" w:eastAsia="Arial" w:hAnsi="Arial" w:cs="Arial"/>
          <w:b/>
          <w:bCs/>
          <w:i/>
          <w:iCs/>
          <w:szCs w:val="24"/>
          <w:lang w:val="es-ES"/>
        </w:rPr>
        <w:t xml:space="preserve">y si prospera alguna </w:t>
      </w:r>
      <w:r w:rsidRPr="00497D9E">
        <w:rPr>
          <w:rFonts w:ascii="Arial" w:eastAsia="Arial" w:hAnsi="Arial" w:cs="Arial"/>
          <w:b/>
          <w:bCs/>
          <w:i/>
          <w:iCs/>
          <w:szCs w:val="24"/>
          <w:u w:val="single"/>
          <w:lang w:val="es-ES"/>
        </w:rPr>
        <w:t>que impida continuar el trámite del proceso y que no pueda ser subsanada</w:t>
      </w:r>
      <w:r w:rsidRPr="00497D9E">
        <w:rPr>
          <w:rFonts w:ascii="Arial" w:eastAsia="Arial" w:hAnsi="Arial" w:cs="Arial"/>
          <w:b/>
          <w:bCs/>
          <w:i/>
          <w:iCs/>
          <w:szCs w:val="24"/>
          <w:lang w:val="es-ES"/>
        </w:rPr>
        <w:t xml:space="preserve"> o no lo haya sido oportunamente, declarará terminada la actuación</w:t>
      </w:r>
      <w:r w:rsidRPr="00497D9E">
        <w:rPr>
          <w:rFonts w:ascii="Arial" w:eastAsia="Arial" w:hAnsi="Arial" w:cs="Arial"/>
          <w:i/>
          <w:iCs/>
          <w:szCs w:val="24"/>
          <w:lang w:val="es-ES"/>
        </w:rPr>
        <w:t xml:space="preserve"> y ordenará devolver la demanda al demandante.” </w:t>
      </w:r>
      <w:r w:rsidRPr="00497D9E">
        <w:rPr>
          <w:rFonts w:ascii="Arial" w:eastAsia="Arial" w:hAnsi="Arial" w:cs="Arial"/>
          <w:szCs w:val="24"/>
          <w:lang w:val="es-ES"/>
        </w:rPr>
        <w:t>(Negrillas y subrayas fuera del texto)</w:t>
      </w:r>
    </w:p>
    <w:p w14:paraId="6B699379" w14:textId="77777777" w:rsidR="00C25377" w:rsidRPr="00064737" w:rsidRDefault="00C25377" w:rsidP="00497D9E">
      <w:pPr>
        <w:spacing w:after="0"/>
        <w:jc w:val="both"/>
        <w:rPr>
          <w:rFonts w:ascii="Arial" w:hAnsi="Arial" w:cs="Arial"/>
          <w:sz w:val="24"/>
          <w:szCs w:val="24"/>
        </w:rPr>
      </w:pPr>
    </w:p>
    <w:p w14:paraId="770DAADC" w14:textId="77777777" w:rsidR="00C25377" w:rsidRPr="00064737" w:rsidRDefault="00C25377" w:rsidP="00497D9E">
      <w:pPr>
        <w:spacing w:after="0"/>
        <w:jc w:val="both"/>
        <w:rPr>
          <w:rFonts w:ascii="Arial" w:hAnsi="Arial" w:cs="Arial"/>
          <w:sz w:val="24"/>
          <w:szCs w:val="24"/>
        </w:rPr>
      </w:pPr>
      <w:bookmarkStart w:id="1" w:name="_Hlk114039134"/>
      <w:r w:rsidRPr="00064737">
        <w:rPr>
          <w:rFonts w:ascii="Arial" w:hAnsi="Arial" w:cs="Arial"/>
          <w:sz w:val="24"/>
          <w:szCs w:val="24"/>
        </w:rPr>
        <w:t>La disposición no deja dudas respecto a que la terminación del proceso no es la finalidad buscada por las excepciones previas, siendo por el contrario la última de las opciones a utilizar frente a su ocurrencia, pues únicamente opera en la medida en que el motivo anunciado impida continuar con el trámite del proceso o no pueda ser subsanado</w:t>
      </w:r>
      <w:bookmarkEnd w:id="1"/>
      <w:r w:rsidRPr="00064737">
        <w:rPr>
          <w:rFonts w:ascii="Arial" w:hAnsi="Arial" w:cs="Arial"/>
          <w:sz w:val="24"/>
          <w:szCs w:val="24"/>
        </w:rPr>
        <w:t xml:space="preserve">. En realidad, la finalidad de la figura bajo estudio es simplemente subsanar las falencias procesales que puedan impedir, al final del proceso, tomar la decisión que se solicita del juez. </w:t>
      </w:r>
    </w:p>
    <w:p w14:paraId="3FE9F23F" w14:textId="77777777" w:rsidR="002014F5" w:rsidRPr="00064737" w:rsidRDefault="002014F5" w:rsidP="00497D9E">
      <w:pPr>
        <w:spacing w:after="0"/>
        <w:ind w:right="51"/>
        <w:jc w:val="both"/>
        <w:rPr>
          <w:rFonts w:ascii="Arial" w:eastAsia="Times New Roman" w:hAnsi="Arial" w:cs="Arial"/>
          <w:b/>
          <w:sz w:val="24"/>
          <w:szCs w:val="24"/>
          <w:lang w:val="es-ES_tradnl" w:eastAsia="es-ES"/>
        </w:rPr>
      </w:pPr>
    </w:p>
    <w:p w14:paraId="23A3DBBC" w14:textId="77777777" w:rsidR="00C25377" w:rsidRPr="00064737" w:rsidRDefault="002014F5" w:rsidP="00497D9E">
      <w:pPr>
        <w:spacing w:after="0"/>
        <w:ind w:right="51"/>
        <w:jc w:val="both"/>
        <w:rPr>
          <w:rFonts w:ascii="Arial" w:eastAsia="Times New Roman" w:hAnsi="Arial" w:cs="Arial"/>
          <w:b/>
          <w:sz w:val="24"/>
          <w:szCs w:val="24"/>
          <w:lang w:val="es-ES_tradnl" w:eastAsia="es-ES"/>
        </w:rPr>
      </w:pPr>
      <w:r w:rsidRPr="00064737">
        <w:rPr>
          <w:rFonts w:ascii="Arial" w:eastAsia="Times New Roman" w:hAnsi="Arial" w:cs="Arial"/>
          <w:b/>
          <w:sz w:val="24"/>
          <w:szCs w:val="24"/>
          <w:lang w:val="es-ES_tradnl" w:eastAsia="es-ES"/>
        </w:rPr>
        <w:t>2</w:t>
      </w:r>
      <w:r w:rsidR="00C25377" w:rsidRPr="00064737">
        <w:rPr>
          <w:rFonts w:ascii="Arial" w:eastAsia="Times New Roman" w:hAnsi="Arial" w:cs="Arial"/>
          <w:sz w:val="24"/>
          <w:szCs w:val="24"/>
          <w:lang w:val="es-ES_tradnl" w:eastAsia="es-ES"/>
        </w:rPr>
        <w:t xml:space="preserve">. </w:t>
      </w:r>
      <w:r w:rsidR="00C25377" w:rsidRPr="00064737">
        <w:rPr>
          <w:rFonts w:ascii="Arial" w:eastAsia="Times New Roman" w:hAnsi="Arial" w:cs="Arial"/>
          <w:b/>
          <w:sz w:val="24"/>
          <w:szCs w:val="24"/>
          <w:lang w:val="es-ES_tradnl" w:eastAsia="es-ES"/>
        </w:rPr>
        <w:t>INEPTA DEMANDA POR FALTA DE REQUISITOS LEGALES.</w:t>
      </w:r>
    </w:p>
    <w:p w14:paraId="1F72F646" w14:textId="77777777" w:rsidR="00C25377" w:rsidRPr="00064737" w:rsidRDefault="00C25377" w:rsidP="00497D9E">
      <w:pPr>
        <w:spacing w:after="0"/>
        <w:ind w:right="51"/>
        <w:jc w:val="both"/>
        <w:rPr>
          <w:rFonts w:ascii="Arial" w:eastAsia="Times New Roman" w:hAnsi="Arial" w:cs="Arial"/>
          <w:b/>
          <w:sz w:val="24"/>
          <w:szCs w:val="24"/>
          <w:lang w:val="es-ES_tradnl" w:eastAsia="es-ES"/>
        </w:rPr>
      </w:pPr>
    </w:p>
    <w:p w14:paraId="241346D6" w14:textId="4022A794" w:rsidR="00C25377" w:rsidRPr="00064737" w:rsidRDefault="00C25377" w:rsidP="00497D9E">
      <w:pPr>
        <w:spacing w:after="0"/>
        <w:ind w:right="51"/>
        <w:jc w:val="both"/>
        <w:rPr>
          <w:rFonts w:ascii="Arial" w:eastAsia="Times New Roman" w:hAnsi="Arial" w:cs="Arial"/>
          <w:sz w:val="24"/>
          <w:szCs w:val="24"/>
          <w:lang w:val="es-ES_tradnl" w:eastAsia="es-ES"/>
        </w:rPr>
      </w:pPr>
      <w:r w:rsidRPr="00064737">
        <w:rPr>
          <w:rFonts w:ascii="Arial" w:eastAsia="Times New Roman" w:hAnsi="Arial" w:cs="Arial"/>
          <w:sz w:val="24"/>
          <w:szCs w:val="24"/>
          <w:lang w:val="es-ES_tradnl" w:eastAsia="es-ES"/>
        </w:rPr>
        <w:lastRenderedPageBreak/>
        <w:t xml:space="preserve">Establecida en el artículo </w:t>
      </w:r>
      <w:r w:rsidR="002014F5" w:rsidRPr="00064737">
        <w:rPr>
          <w:rFonts w:ascii="Arial" w:eastAsia="Times New Roman" w:hAnsi="Arial" w:cs="Arial"/>
          <w:sz w:val="24"/>
          <w:szCs w:val="24"/>
          <w:lang w:val="es-ES_tradnl" w:eastAsia="es-ES"/>
        </w:rPr>
        <w:t>100</w:t>
      </w:r>
      <w:r w:rsidRPr="00064737">
        <w:rPr>
          <w:rFonts w:ascii="Arial" w:eastAsia="Times New Roman" w:hAnsi="Arial" w:cs="Arial"/>
          <w:sz w:val="24"/>
          <w:szCs w:val="24"/>
          <w:lang w:val="es-ES_tradnl" w:eastAsia="es-ES"/>
        </w:rPr>
        <w:t xml:space="preserve"> de C</w:t>
      </w:r>
      <w:r w:rsidR="002014F5" w:rsidRPr="00064737">
        <w:rPr>
          <w:rFonts w:ascii="Arial" w:eastAsia="Times New Roman" w:hAnsi="Arial" w:cs="Arial"/>
          <w:sz w:val="24"/>
          <w:szCs w:val="24"/>
          <w:lang w:val="es-ES_tradnl" w:eastAsia="es-ES"/>
        </w:rPr>
        <w:t>.G.P</w:t>
      </w:r>
      <w:r w:rsidRPr="00064737">
        <w:rPr>
          <w:rFonts w:ascii="Arial" w:eastAsia="Times New Roman" w:hAnsi="Arial" w:cs="Arial"/>
          <w:sz w:val="24"/>
          <w:szCs w:val="24"/>
          <w:lang w:val="es-ES_tradnl" w:eastAsia="es-ES"/>
        </w:rPr>
        <w:t xml:space="preserve">. como una excepción previa, la inepta demanda por falta de requisitos formales, hace referencia a </w:t>
      </w:r>
      <w:r w:rsidR="000877FA" w:rsidRPr="00064737">
        <w:rPr>
          <w:rFonts w:ascii="Arial" w:eastAsia="Times New Roman" w:hAnsi="Arial" w:cs="Arial"/>
          <w:sz w:val="24"/>
          <w:szCs w:val="24"/>
          <w:lang w:val="es-ES_tradnl" w:eastAsia="es-ES"/>
        </w:rPr>
        <w:t>aquellas</w:t>
      </w:r>
      <w:r w:rsidRPr="00064737">
        <w:rPr>
          <w:rFonts w:ascii="Arial" w:eastAsia="Times New Roman" w:hAnsi="Arial" w:cs="Arial"/>
          <w:sz w:val="24"/>
          <w:szCs w:val="24"/>
          <w:lang w:val="es-ES_tradnl" w:eastAsia="es-ES"/>
        </w:rPr>
        <w:t xml:space="preserve"> acciones frente a los cuales no fueron observados los presupuestos necesarios para su elaboración, mismos que para el caso de la especialidad laboral fueron previstos en el artículo 25 del CPT y SS.</w:t>
      </w:r>
    </w:p>
    <w:p w14:paraId="08CE6F91" w14:textId="77777777" w:rsidR="00C25377" w:rsidRPr="00064737" w:rsidRDefault="00C25377" w:rsidP="00497D9E">
      <w:pPr>
        <w:spacing w:after="0"/>
        <w:ind w:right="51"/>
        <w:jc w:val="both"/>
        <w:rPr>
          <w:rFonts w:ascii="Arial" w:eastAsia="Times New Roman" w:hAnsi="Arial" w:cs="Arial"/>
          <w:sz w:val="24"/>
          <w:szCs w:val="24"/>
          <w:lang w:val="es-ES_tradnl" w:eastAsia="es-ES"/>
        </w:rPr>
      </w:pPr>
    </w:p>
    <w:p w14:paraId="439F1CBC" w14:textId="77777777" w:rsidR="00C25377" w:rsidRPr="00064737" w:rsidRDefault="00C25377" w:rsidP="00497D9E">
      <w:pPr>
        <w:pStyle w:val="Prrafodelista"/>
        <w:numPr>
          <w:ilvl w:val="0"/>
          <w:numId w:val="6"/>
        </w:numPr>
        <w:spacing w:after="0"/>
        <w:ind w:left="567" w:right="284" w:hanging="567"/>
        <w:jc w:val="both"/>
        <w:rPr>
          <w:rFonts w:ascii="Arial" w:eastAsia="Times New Roman" w:hAnsi="Arial" w:cs="Arial"/>
          <w:b/>
          <w:sz w:val="24"/>
          <w:szCs w:val="24"/>
          <w:lang w:val="es-ES_tradnl" w:eastAsia="es-ES"/>
        </w:rPr>
      </w:pPr>
      <w:r w:rsidRPr="00064737">
        <w:rPr>
          <w:rFonts w:ascii="Arial" w:eastAsia="Times New Roman" w:hAnsi="Arial" w:cs="Arial"/>
          <w:b/>
          <w:iCs/>
          <w:sz w:val="24"/>
          <w:szCs w:val="24"/>
          <w:lang w:val="es-ES_tradnl" w:eastAsia="es-ES"/>
        </w:rPr>
        <w:t>REQUISITOS DE LA DEMANDA</w:t>
      </w:r>
    </w:p>
    <w:p w14:paraId="61CDCEAD" w14:textId="77777777" w:rsidR="00C25377" w:rsidRPr="00064737" w:rsidRDefault="00C25377" w:rsidP="00497D9E">
      <w:pPr>
        <w:spacing w:after="0"/>
        <w:ind w:right="51"/>
        <w:jc w:val="both"/>
        <w:rPr>
          <w:rFonts w:ascii="Arial" w:eastAsia="Times New Roman" w:hAnsi="Arial" w:cs="Arial"/>
          <w:sz w:val="24"/>
          <w:szCs w:val="24"/>
          <w:lang w:val="es-ES_tradnl" w:eastAsia="es-ES"/>
        </w:rPr>
      </w:pPr>
    </w:p>
    <w:p w14:paraId="16784D64" w14:textId="77777777" w:rsidR="00C25377" w:rsidRPr="00064737" w:rsidRDefault="00C25377" w:rsidP="00497D9E">
      <w:pPr>
        <w:spacing w:after="0"/>
        <w:ind w:right="51"/>
        <w:jc w:val="both"/>
        <w:rPr>
          <w:rFonts w:ascii="Arial" w:eastAsia="Times New Roman" w:hAnsi="Arial" w:cs="Arial"/>
          <w:sz w:val="24"/>
          <w:szCs w:val="24"/>
          <w:lang w:val="es-ES_tradnl" w:eastAsia="es-ES"/>
        </w:rPr>
      </w:pPr>
      <w:r w:rsidRPr="00064737">
        <w:rPr>
          <w:rFonts w:ascii="Arial" w:eastAsia="Times New Roman" w:hAnsi="Arial" w:cs="Arial"/>
          <w:sz w:val="24"/>
          <w:szCs w:val="24"/>
          <w:lang w:val="es-ES_tradnl" w:eastAsia="es-ES"/>
        </w:rPr>
        <w:t>Dispone el artículo 25 del Código de Procedimiento Laboral la forma y el contenido de la demanda, precisando que la misma debe contener: “</w:t>
      </w:r>
      <w:r w:rsidRPr="00CE2E3C">
        <w:rPr>
          <w:rFonts w:ascii="Arial" w:eastAsia="Times New Roman" w:hAnsi="Arial" w:cs="Arial"/>
          <w:i/>
          <w:szCs w:val="24"/>
          <w:lang w:val="es-ES_tradnl" w:eastAsia="es-ES"/>
        </w:rPr>
        <w:t>los hechos y omisiones que sirvan de fundamento a las pretensiones, clasificados y enumerados</w:t>
      </w:r>
      <w:r w:rsidRPr="00064737">
        <w:rPr>
          <w:rFonts w:ascii="Arial" w:eastAsia="Times New Roman" w:hAnsi="Arial" w:cs="Arial"/>
          <w:i/>
          <w:sz w:val="24"/>
          <w:szCs w:val="24"/>
          <w:lang w:val="es-ES_tradnl" w:eastAsia="es-ES"/>
        </w:rPr>
        <w:t>”</w:t>
      </w:r>
      <w:r w:rsidRPr="00064737">
        <w:rPr>
          <w:rFonts w:ascii="Arial" w:eastAsia="Times New Roman" w:hAnsi="Arial" w:cs="Arial"/>
          <w:sz w:val="24"/>
          <w:szCs w:val="24"/>
          <w:lang w:val="es-ES_tradnl" w:eastAsia="es-ES"/>
        </w:rPr>
        <w:t>.</w:t>
      </w:r>
    </w:p>
    <w:p w14:paraId="6BB9E253" w14:textId="77777777" w:rsidR="00C25377" w:rsidRPr="00064737" w:rsidRDefault="00C25377" w:rsidP="00497D9E">
      <w:pPr>
        <w:spacing w:after="0"/>
        <w:ind w:right="51"/>
        <w:jc w:val="both"/>
        <w:rPr>
          <w:rFonts w:ascii="Arial" w:eastAsia="Times New Roman" w:hAnsi="Arial" w:cs="Arial"/>
          <w:sz w:val="24"/>
          <w:szCs w:val="24"/>
          <w:lang w:val="es-ES_tradnl" w:eastAsia="es-ES"/>
        </w:rPr>
      </w:pPr>
    </w:p>
    <w:p w14:paraId="565096FF" w14:textId="77777777" w:rsidR="00C25377" w:rsidRPr="00064737" w:rsidRDefault="00C25377" w:rsidP="00497D9E">
      <w:pPr>
        <w:spacing w:after="0"/>
        <w:ind w:right="51"/>
        <w:jc w:val="both"/>
        <w:rPr>
          <w:rFonts w:ascii="Arial" w:eastAsia="Times New Roman" w:hAnsi="Arial" w:cs="Arial"/>
          <w:sz w:val="24"/>
          <w:szCs w:val="24"/>
          <w:lang w:val="es-ES_tradnl" w:eastAsia="es-ES"/>
        </w:rPr>
      </w:pPr>
      <w:r w:rsidRPr="00064737">
        <w:rPr>
          <w:rFonts w:ascii="Arial" w:eastAsia="Times New Roman" w:hAnsi="Arial" w:cs="Arial"/>
          <w:sz w:val="24"/>
          <w:szCs w:val="24"/>
          <w:lang w:val="es-ES_tradnl" w:eastAsia="es-ES"/>
        </w:rPr>
        <w:t>El doctor Gerardo Botero Zuluaga, hoy Magistrado de la Sala de Casación Laboral, indicó en su obra “</w:t>
      </w:r>
      <w:r w:rsidRPr="00CE2E3C">
        <w:rPr>
          <w:rFonts w:ascii="Arial" w:eastAsia="Times New Roman" w:hAnsi="Arial" w:cs="Arial"/>
          <w:szCs w:val="24"/>
          <w:lang w:val="es-ES_tradnl" w:eastAsia="es-ES"/>
        </w:rPr>
        <w:t>Guía Teórica y Práctica de Derecho Procesal del Trabajo y de la Seguridad Social</w:t>
      </w:r>
      <w:r w:rsidRPr="00064737">
        <w:rPr>
          <w:rFonts w:ascii="Arial" w:eastAsia="Times New Roman" w:hAnsi="Arial" w:cs="Arial"/>
          <w:sz w:val="24"/>
          <w:szCs w:val="24"/>
          <w:lang w:val="es-ES_tradnl" w:eastAsia="es-ES"/>
        </w:rPr>
        <w:t>”, sobre este punto en concreto, lo siguiente:</w:t>
      </w:r>
    </w:p>
    <w:p w14:paraId="23DE523C" w14:textId="77777777" w:rsidR="00C25377" w:rsidRPr="00064737" w:rsidRDefault="00C25377" w:rsidP="00497D9E">
      <w:pPr>
        <w:spacing w:after="0"/>
        <w:ind w:right="51"/>
        <w:jc w:val="both"/>
        <w:rPr>
          <w:rFonts w:ascii="Arial" w:eastAsia="Times New Roman" w:hAnsi="Arial" w:cs="Arial"/>
          <w:sz w:val="24"/>
          <w:szCs w:val="24"/>
          <w:lang w:val="es-ES_tradnl" w:eastAsia="es-ES"/>
        </w:rPr>
      </w:pPr>
    </w:p>
    <w:p w14:paraId="6C0A8828" w14:textId="77777777" w:rsidR="00C25377" w:rsidRPr="00497D9E" w:rsidRDefault="00C25377" w:rsidP="00497D9E">
      <w:pPr>
        <w:spacing w:after="0" w:line="240" w:lineRule="auto"/>
        <w:ind w:left="426" w:right="425"/>
        <w:jc w:val="both"/>
        <w:rPr>
          <w:rFonts w:ascii="Arial" w:eastAsia="Times New Roman" w:hAnsi="Arial" w:cs="Arial"/>
          <w:szCs w:val="24"/>
          <w:lang w:val="es-ES_tradnl" w:eastAsia="es-ES"/>
        </w:rPr>
      </w:pPr>
      <w:r w:rsidRPr="00497D9E">
        <w:rPr>
          <w:rFonts w:ascii="Arial" w:eastAsia="Times New Roman" w:hAnsi="Arial" w:cs="Arial"/>
          <w:szCs w:val="24"/>
          <w:lang w:val="es-ES_tradnl" w:eastAsia="es-ES"/>
        </w:rPr>
        <w:t>“</w:t>
      </w:r>
      <w:r w:rsidRPr="00497D9E">
        <w:rPr>
          <w:rFonts w:ascii="Arial" w:eastAsia="Times New Roman" w:hAnsi="Arial" w:cs="Arial"/>
          <w:i/>
          <w:szCs w:val="24"/>
          <w:lang w:val="es-ES_tradnl" w:eastAsia="es-ES"/>
        </w:rPr>
        <w:t>Me parece destacar, que si bien es cierto el escrito de demanda debe ser lo más claro, preciso y conciso posible, en cuanto a los hechos y pretensiones se refiere, para de esa forma permitirle al juez una mayor comprensión del querer del accionante, y así ejercer un adecuado control sobre su aspecto formal, cuando se advierta una desproporción exagerada e inconveniente sobre la narración de los fundamentos fácticos y las reclamaciones, esa situación no conduce inexorablemente a su inadmisión y posterior rechazo, pues una cosa es la falta de claridad respecto a los requisitos que son objeto de estudio y otra muy diferente es el estilo del actor sobre la manera de relatar los hechos, lo cual atañe más a una cualidad relacionada con la capacidad de síntesis y a la forma en que el escrito utiliza el lenguaje para trasmitir sus ideas, que es el sello personal y privado de cada ser humano”</w:t>
      </w:r>
      <w:r w:rsidRPr="00497D9E">
        <w:rPr>
          <w:rStyle w:val="Refdenotaalpie"/>
          <w:rFonts w:ascii="Arial" w:eastAsia="Times New Roman" w:hAnsi="Arial" w:cs="Arial"/>
          <w:i/>
          <w:szCs w:val="24"/>
          <w:lang w:val="es-ES_tradnl" w:eastAsia="es-ES"/>
        </w:rPr>
        <w:footnoteReference w:id="1"/>
      </w:r>
      <w:r w:rsidRPr="00497D9E">
        <w:rPr>
          <w:rFonts w:ascii="Arial" w:eastAsia="Times New Roman" w:hAnsi="Arial" w:cs="Arial"/>
          <w:szCs w:val="24"/>
          <w:lang w:val="es-ES_tradnl" w:eastAsia="es-ES"/>
        </w:rPr>
        <w:t>.</w:t>
      </w:r>
    </w:p>
    <w:p w14:paraId="52E56223" w14:textId="77777777" w:rsidR="00C25377" w:rsidRPr="00064737" w:rsidRDefault="00C25377" w:rsidP="00497D9E">
      <w:pPr>
        <w:spacing w:after="0"/>
        <w:ind w:right="51"/>
        <w:jc w:val="both"/>
        <w:rPr>
          <w:rFonts w:ascii="Arial" w:eastAsia="Times New Roman" w:hAnsi="Arial" w:cs="Arial"/>
          <w:sz w:val="24"/>
          <w:szCs w:val="24"/>
          <w:lang w:val="es-ES_tradnl" w:eastAsia="es-ES"/>
        </w:rPr>
      </w:pPr>
    </w:p>
    <w:p w14:paraId="737E06E6" w14:textId="77777777" w:rsidR="00C25377" w:rsidRPr="00064737" w:rsidRDefault="00C25377" w:rsidP="00497D9E">
      <w:pPr>
        <w:spacing w:after="0"/>
        <w:jc w:val="both"/>
        <w:rPr>
          <w:rFonts w:ascii="Arial" w:hAnsi="Arial" w:cs="Arial"/>
          <w:sz w:val="24"/>
          <w:szCs w:val="24"/>
        </w:rPr>
      </w:pPr>
      <w:r w:rsidRPr="00064737">
        <w:rPr>
          <w:rFonts w:ascii="Arial" w:hAnsi="Arial" w:cs="Arial"/>
          <w:sz w:val="24"/>
          <w:szCs w:val="24"/>
        </w:rPr>
        <w:t xml:space="preserve">Como puede observarse la narración de los hechos de la demanda no tiene una fórmula sacramental que deba ser exigida a los litigantes, pues la forma en que estos los redacten, en tanto sea lo bastante clara y coherente con lo que se pretende, no debe merecer ningún reproche del juez de conocimiento. </w:t>
      </w:r>
    </w:p>
    <w:p w14:paraId="07547A01" w14:textId="77777777" w:rsidR="00C25377" w:rsidRPr="00064737" w:rsidRDefault="00C25377" w:rsidP="00497D9E">
      <w:pPr>
        <w:pStyle w:val="NormalWeb"/>
        <w:spacing w:before="0" w:beforeAutospacing="0" w:after="0" w:afterAutospacing="0" w:line="276" w:lineRule="auto"/>
        <w:jc w:val="both"/>
        <w:rPr>
          <w:rFonts w:ascii="Arial" w:hAnsi="Arial" w:cs="Arial"/>
          <w:b/>
          <w:bCs/>
        </w:rPr>
      </w:pPr>
    </w:p>
    <w:p w14:paraId="7BB006A1" w14:textId="77777777" w:rsidR="00C25377" w:rsidRPr="00064737" w:rsidRDefault="002014F5" w:rsidP="00497D9E">
      <w:pPr>
        <w:pStyle w:val="NormalWeb"/>
        <w:numPr>
          <w:ilvl w:val="0"/>
          <w:numId w:val="6"/>
        </w:numPr>
        <w:spacing w:before="0" w:beforeAutospacing="0" w:after="0" w:afterAutospacing="0" w:line="276" w:lineRule="auto"/>
        <w:ind w:left="426" w:hanging="426"/>
        <w:jc w:val="both"/>
        <w:rPr>
          <w:rFonts w:ascii="Arial" w:hAnsi="Arial" w:cs="Arial"/>
          <w:b/>
          <w:bCs/>
        </w:rPr>
      </w:pPr>
      <w:r w:rsidRPr="00064737">
        <w:rPr>
          <w:rFonts w:ascii="Arial" w:hAnsi="Arial" w:cs="Arial"/>
          <w:b/>
          <w:bCs/>
        </w:rPr>
        <w:t>DE LA CONDENA EN COSTAS</w:t>
      </w:r>
    </w:p>
    <w:p w14:paraId="5043CB0F" w14:textId="77777777" w:rsidR="00C25377" w:rsidRPr="00064737" w:rsidRDefault="00C25377" w:rsidP="00497D9E">
      <w:pPr>
        <w:pStyle w:val="Textoindependiente"/>
        <w:spacing w:line="276" w:lineRule="auto"/>
        <w:rPr>
          <w:rFonts w:cs="Arial"/>
          <w:sz w:val="24"/>
          <w:szCs w:val="24"/>
        </w:rPr>
      </w:pPr>
    </w:p>
    <w:p w14:paraId="665E2B47" w14:textId="77777777" w:rsidR="00C25377" w:rsidRPr="00064737" w:rsidRDefault="00C25377" w:rsidP="00497D9E">
      <w:pPr>
        <w:pStyle w:val="Textoindependiente"/>
        <w:spacing w:line="276" w:lineRule="auto"/>
        <w:rPr>
          <w:rFonts w:cs="Arial"/>
          <w:sz w:val="24"/>
          <w:szCs w:val="24"/>
        </w:rPr>
      </w:pPr>
      <w:bookmarkStart w:id="2" w:name="_Hlk114039365"/>
      <w:r w:rsidRPr="00064737">
        <w:rPr>
          <w:rFonts w:cs="Arial"/>
          <w:sz w:val="24"/>
          <w:szCs w:val="24"/>
        </w:rPr>
        <w:t>El Código General de Proceso, dispone en su artículo 365 modificado por la Ley 1395 de 2010, la condena en costas a la parte vencida en juicio o  a quien se le resuelva desfavorablemente el recurso de apelación, súplica, queja, casación, revisión o anulación que haya formulado; así como a quien se le resuelva de manera desfavorable un incidente, la formulación de excepciones previas, una solicitud de nulidad o un amparo de pobreza</w:t>
      </w:r>
      <w:bookmarkEnd w:id="2"/>
      <w:r w:rsidRPr="00064737">
        <w:rPr>
          <w:rFonts w:cs="Arial"/>
          <w:sz w:val="24"/>
          <w:szCs w:val="24"/>
        </w:rPr>
        <w:t>, sin perjuicio de lo dispuesto en relación con la temeridad o mala fe.</w:t>
      </w:r>
    </w:p>
    <w:p w14:paraId="07459315" w14:textId="77777777" w:rsidR="00C25377" w:rsidRPr="00064737" w:rsidRDefault="00C25377" w:rsidP="00497D9E">
      <w:pPr>
        <w:pStyle w:val="Textoindependiente"/>
        <w:spacing w:line="276" w:lineRule="auto"/>
        <w:rPr>
          <w:rFonts w:cs="Arial"/>
          <w:sz w:val="24"/>
          <w:szCs w:val="24"/>
        </w:rPr>
      </w:pPr>
    </w:p>
    <w:p w14:paraId="4810E423" w14:textId="77777777" w:rsidR="00FA0A6F" w:rsidRPr="00064737" w:rsidRDefault="00FA0A6F" w:rsidP="00497D9E">
      <w:pPr>
        <w:spacing w:after="0"/>
        <w:jc w:val="both"/>
        <w:rPr>
          <w:rFonts w:ascii="Arial" w:eastAsia="Times New Roman" w:hAnsi="Arial" w:cs="Arial"/>
          <w:sz w:val="24"/>
          <w:szCs w:val="24"/>
          <w:lang w:val="es-ES" w:eastAsia="es-ES"/>
        </w:rPr>
      </w:pPr>
      <w:r w:rsidRPr="00064737">
        <w:rPr>
          <w:rFonts w:ascii="Arial" w:eastAsia="Arial" w:hAnsi="Arial" w:cs="Arial"/>
          <w:color w:val="000000" w:themeColor="text1"/>
          <w:sz w:val="24"/>
          <w:szCs w:val="24"/>
        </w:rPr>
        <w:t>También es preciso traer a colación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w:t>
      </w:r>
      <w:r w:rsidRPr="00064737">
        <w:rPr>
          <w:rFonts w:ascii="Arial" w:eastAsia="Arial" w:hAnsi="Arial" w:cs="Arial"/>
          <w:color w:val="000000" w:themeColor="text1"/>
          <w:sz w:val="24"/>
          <w:szCs w:val="24"/>
          <w:lang w:val="es-ES"/>
        </w:rPr>
        <w:t> </w:t>
      </w:r>
      <w:r w:rsidRPr="00064737">
        <w:rPr>
          <w:rFonts w:ascii="Arial" w:eastAsia="Times New Roman" w:hAnsi="Arial" w:cs="Arial"/>
          <w:sz w:val="24"/>
          <w:szCs w:val="24"/>
          <w:lang w:val="es-ES" w:eastAsia="es-ES"/>
        </w:rPr>
        <w:t xml:space="preserve"> </w:t>
      </w:r>
    </w:p>
    <w:p w14:paraId="6537F28F" w14:textId="77777777" w:rsidR="00EC1B31" w:rsidRPr="00064737" w:rsidRDefault="00EC1B31" w:rsidP="00497D9E">
      <w:pPr>
        <w:spacing w:after="0"/>
        <w:ind w:right="51"/>
        <w:jc w:val="both"/>
        <w:rPr>
          <w:rFonts w:ascii="Arial" w:eastAsia="Times New Roman" w:hAnsi="Arial" w:cs="Arial"/>
          <w:sz w:val="24"/>
          <w:szCs w:val="24"/>
          <w:lang w:val="es-ES" w:eastAsia="es-ES"/>
        </w:rPr>
      </w:pPr>
    </w:p>
    <w:p w14:paraId="0A3D9743" w14:textId="77777777" w:rsidR="004E5C05" w:rsidRPr="00064737" w:rsidRDefault="004E5C05" w:rsidP="00497D9E">
      <w:pPr>
        <w:pStyle w:val="Textoindependiente"/>
        <w:numPr>
          <w:ilvl w:val="0"/>
          <w:numId w:val="6"/>
        </w:numPr>
        <w:spacing w:line="276" w:lineRule="auto"/>
        <w:ind w:left="426" w:right="284" w:hanging="426"/>
        <w:rPr>
          <w:rFonts w:cs="Arial"/>
          <w:b/>
          <w:iCs/>
          <w:sz w:val="24"/>
          <w:szCs w:val="24"/>
        </w:rPr>
      </w:pPr>
      <w:r w:rsidRPr="00064737">
        <w:rPr>
          <w:rFonts w:cs="Arial"/>
          <w:b/>
          <w:iCs/>
          <w:sz w:val="24"/>
          <w:szCs w:val="24"/>
        </w:rPr>
        <w:t>EL CASO CONCRETO</w:t>
      </w:r>
    </w:p>
    <w:p w14:paraId="6DFB9E20" w14:textId="77777777" w:rsidR="004B65C1" w:rsidRPr="00064737" w:rsidRDefault="004B65C1" w:rsidP="00497D9E">
      <w:pPr>
        <w:spacing w:after="0"/>
        <w:jc w:val="both"/>
        <w:rPr>
          <w:rFonts w:ascii="Arial" w:eastAsia="Times New Roman" w:hAnsi="Arial" w:cs="Arial"/>
          <w:sz w:val="24"/>
          <w:szCs w:val="24"/>
        </w:rPr>
      </w:pPr>
    </w:p>
    <w:p w14:paraId="3CA4DF2C" w14:textId="126ABCC2" w:rsidR="007F1578" w:rsidRPr="00064737" w:rsidRDefault="005B3ADA" w:rsidP="00497D9E">
      <w:pPr>
        <w:pStyle w:val="Textoindependiente"/>
        <w:spacing w:line="276" w:lineRule="auto"/>
        <w:ind w:right="-91"/>
        <w:rPr>
          <w:rFonts w:cs="Arial"/>
          <w:sz w:val="24"/>
          <w:szCs w:val="24"/>
        </w:rPr>
      </w:pPr>
      <w:r w:rsidRPr="00064737">
        <w:rPr>
          <w:rFonts w:cs="Arial"/>
          <w:sz w:val="24"/>
          <w:szCs w:val="24"/>
        </w:rPr>
        <w:t>De acuerdo con lo que es motivo de reproche, se tiene que al proponerse la excepción se señaló que la demanda formulada por la señora Marta Gladis</w:t>
      </w:r>
      <w:r w:rsidR="007F1578" w:rsidRPr="00064737">
        <w:rPr>
          <w:rFonts w:cs="Arial"/>
          <w:sz w:val="24"/>
          <w:szCs w:val="24"/>
        </w:rPr>
        <w:t xml:space="preserve"> Gómez Marín confunde en su relato a la persona que tiene calidad de empleadora, pues en algunos hechos señala que es </w:t>
      </w:r>
      <w:proofErr w:type="spellStart"/>
      <w:r w:rsidR="007F1578" w:rsidRPr="00064737">
        <w:rPr>
          <w:rFonts w:cs="Arial"/>
          <w:sz w:val="24"/>
          <w:szCs w:val="24"/>
        </w:rPr>
        <w:t>Indalpac</w:t>
      </w:r>
      <w:proofErr w:type="spellEnd"/>
      <w:r w:rsidR="007F1578" w:rsidRPr="00064737">
        <w:rPr>
          <w:rFonts w:cs="Arial"/>
          <w:sz w:val="24"/>
          <w:szCs w:val="24"/>
        </w:rPr>
        <w:t xml:space="preserve"> S.A.S y en otros que es el señor Jorge Hernando Martínez Saavedra y que además, se traen a colación supuestos fácticos que son ajenos al proceso y que resultan ser situaciones propias de la esfera personal de la demandante; no obstante, señala el recurrente que tal falencia fue advertida en relación con el libelo inicial y que al ser reformada la demanda fueron subsanadas las irregularidades </w:t>
      </w:r>
      <w:r w:rsidR="008D6832" w:rsidRPr="00064737">
        <w:rPr>
          <w:rFonts w:cs="Arial"/>
          <w:sz w:val="24"/>
          <w:szCs w:val="24"/>
        </w:rPr>
        <w:t>percibidas</w:t>
      </w:r>
      <w:r w:rsidR="007F1578" w:rsidRPr="00064737">
        <w:rPr>
          <w:rFonts w:cs="Arial"/>
          <w:sz w:val="24"/>
          <w:szCs w:val="24"/>
        </w:rPr>
        <w:t>, situación con la que pretende justificar su accionar y en ese sentido ser exonerado de la condena en costas.</w:t>
      </w:r>
    </w:p>
    <w:p w14:paraId="70DF9E56" w14:textId="77777777" w:rsidR="007F1578" w:rsidRPr="00064737" w:rsidRDefault="007F1578" w:rsidP="00497D9E">
      <w:pPr>
        <w:pStyle w:val="Textoindependiente"/>
        <w:spacing w:line="276" w:lineRule="auto"/>
        <w:ind w:right="-91"/>
        <w:rPr>
          <w:rFonts w:cs="Arial"/>
          <w:sz w:val="24"/>
          <w:szCs w:val="24"/>
        </w:rPr>
      </w:pPr>
    </w:p>
    <w:p w14:paraId="50BC4F9A" w14:textId="1026EF66" w:rsidR="002564C9" w:rsidRPr="00064737" w:rsidRDefault="00BB5B16" w:rsidP="00497D9E">
      <w:pPr>
        <w:pStyle w:val="Textoindependiente"/>
        <w:spacing w:line="276" w:lineRule="auto"/>
        <w:ind w:right="-91"/>
        <w:rPr>
          <w:rFonts w:cs="Arial"/>
          <w:sz w:val="24"/>
          <w:szCs w:val="24"/>
        </w:rPr>
      </w:pPr>
      <w:r w:rsidRPr="00064737">
        <w:rPr>
          <w:rFonts w:cs="Arial"/>
          <w:sz w:val="24"/>
          <w:szCs w:val="24"/>
        </w:rPr>
        <w:t xml:space="preserve">Analizada la demanda formulada por la señora Gómez Marín, se tiene que ningún reproche merece la misma respecto a la inconformidad planteada por el recurrente, pues en los hechos de la demanda y en las pretensiones de la acción se hace referencia a que el empleador es </w:t>
      </w:r>
      <w:proofErr w:type="spellStart"/>
      <w:r w:rsidRPr="00064737">
        <w:rPr>
          <w:rFonts w:cs="Arial"/>
          <w:sz w:val="24"/>
          <w:szCs w:val="24"/>
        </w:rPr>
        <w:t>Indalpac</w:t>
      </w:r>
      <w:proofErr w:type="spellEnd"/>
      <w:r w:rsidRPr="00064737">
        <w:rPr>
          <w:rFonts w:cs="Arial"/>
          <w:sz w:val="24"/>
          <w:szCs w:val="24"/>
        </w:rPr>
        <w:t xml:space="preserve"> S.A.S y el señor Martínez Saavedra funge como Representante Legal, ahora, que dicha</w:t>
      </w:r>
      <w:r w:rsidR="00D3545A" w:rsidRPr="00064737">
        <w:rPr>
          <w:rFonts w:cs="Arial"/>
          <w:sz w:val="24"/>
          <w:szCs w:val="24"/>
        </w:rPr>
        <w:t xml:space="preserve"> persona tenga también la condición de demandado en virtud al comportamiento que alega ha desplegado en su contra, constitutivo de acoso laboral, no constituye la configuración de la excepción de Inepta demanda por falta de requisitos formales.</w:t>
      </w:r>
      <w:r w:rsidR="002564C9" w:rsidRPr="00064737">
        <w:rPr>
          <w:rFonts w:cs="Arial"/>
          <w:sz w:val="24"/>
          <w:szCs w:val="24"/>
        </w:rPr>
        <w:t xml:space="preserve">  Tampoco en la reforma a la demanda se evidencia la irregularidad que denuncia la parte recurrente.</w:t>
      </w:r>
    </w:p>
    <w:p w14:paraId="44E871BC" w14:textId="77777777" w:rsidR="002564C9" w:rsidRPr="00064737" w:rsidRDefault="002564C9" w:rsidP="00497D9E">
      <w:pPr>
        <w:pStyle w:val="Textoindependiente"/>
        <w:spacing w:line="276" w:lineRule="auto"/>
        <w:ind w:right="-91"/>
        <w:rPr>
          <w:rFonts w:cs="Arial"/>
          <w:sz w:val="24"/>
          <w:szCs w:val="24"/>
        </w:rPr>
      </w:pPr>
    </w:p>
    <w:p w14:paraId="1D4E5945" w14:textId="77777777" w:rsidR="00295775" w:rsidRPr="00064737" w:rsidRDefault="00360C54" w:rsidP="00497D9E">
      <w:pPr>
        <w:pStyle w:val="Textoindependiente"/>
        <w:spacing w:line="276" w:lineRule="auto"/>
        <w:ind w:right="-91"/>
        <w:rPr>
          <w:rFonts w:cs="Arial"/>
          <w:sz w:val="24"/>
          <w:szCs w:val="24"/>
        </w:rPr>
      </w:pPr>
      <w:r w:rsidRPr="00064737">
        <w:rPr>
          <w:rFonts w:cs="Arial"/>
          <w:sz w:val="24"/>
          <w:szCs w:val="24"/>
        </w:rPr>
        <w:t>En lo que respecta a las situaciones personales que narra la demandante en la demanda, estas son de relevancia en el proceso y no resultan ajenas al debate, pues el</w:t>
      </w:r>
      <w:r w:rsidR="00295775" w:rsidRPr="00064737">
        <w:rPr>
          <w:rFonts w:cs="Arial"/>
          <w:sz w:val="24"/>
          <w:szCs w:val="24"/>
        </w:rPr>
        <w:t>las constituyen el fundamento fá</w:t>
      </w:r>
      <w:r w:rsidRPr="00064737">
        <w:rPr>
          <w:rFonts w:cs="Arial"/>
          <w:sz w:val="24"/>
          <w:szCs w:val="24"/>
        </w:rPr>
        <w:t>ctico</w:t>
      </w:r>
      <w:r w:rsidR="00295775" w:rsidRPr="00064737">
        <w:rPr>
          <w:rFonts w:cs="Arial"/>
          <w:sz w:val="24"/>
          <w:szCs w:val="24"/>
        </w:rPr>
        <w:t xml:space="preserve"> que originó las situaciones que según afirma dieron lugar al comportamiento que desdeña de sus superiores y compañeros de trabajo y que considera </w:t>
      </w:r>
      <w:r w:rsidR="00865273" w:rsidRPr="00064737">
        <w:rPr>
          <w:rFonts w:cs="Arial"/>
          <w:sz w:val="24"/>
          <w:szCs w:val="24"/>
        </w:rPr>
        <w:t>configura el</w:t>
      </w:r>
      <w:r w:rsidR="00295775" w:rsidRPr="00064737">
        <w:rPr>
          <w:rFonts w:cs="Arial"/>
          <w:sz w:val="24"/>
          <w:szCs w:val="24"/>
        </w:rPr>
        <w:t xml:space="preserve"> acoso laboral</w:t>
      </w:r>
      <w:r w:rsidR="00865273" w:rsidRPr="00064737">
        <w:rPr>
          <w:rFonts w:cs="Arial"/>
          <w:sz w:val="24"/>
          <w:szCs w:val="24"/>
        </w:rPr>
        <w:t xml:space="preserve"> que denuncia</w:t>
      </w:r>
      <w:r w:rsidR="00295775" w:rsidRPr="00064737">
        <w:rPr>
          <w:rFonts w:cs="Arial"/>
          <w:sz w:val="24"/>
          <w:szCs w:val="24"/>
        </w:rPr>
        <w:t>.</w:t>
      </w:r>
    </w:p>
    <w:p w14:paraId="144A5D23" w14:textId="77777777" w:rsidR="00295775" w:rsidRPr="00064737" w:rsidRDefault="00295775" w:rsidP="00497D9E">
      <w:pPr>
        <w:pStyle w:val="Textoindependiente"/>
        <w:spacing w:line="276" w:lineRule="auto"/>
        <w:ind w:right="-91"/>
        <w:rPr>
          <w:rFonts w:cs="Arial"/>
          <w:sz w:val="24"/>
          <w:szCs w:val="24"/>
        </w:rPr>
      </w:pPr>
    </w:p>
    <w:p w14:paraId="32870243" w14:textId="143A9957" w:rsidR="00BA43E3" w:rsidRPr="00064737" w:rsidRDefault="00295775" w:rsidP="00497D9E">
      <w:pPr>
        <w:pStyle w:val="Textoindependiente"/>
        <w:spacing w:line="276" w:lineRule="auto"/>
        <w:ind w:right="-91"/>
        <w:rPr>
          <w:rFonts w:cs="Arial"/>
          <w:sz w:val="24"/>
          <w:szCs w:val="24"/>
        </w:rPr>
      </w:pPr>
      <w:r w:rsidRPr="00064737">
        <w:rPr>
          <w:rFonts w:cs="Arial"/>
          <w:sz w:val="24"/>
          <w:szCs w:val="24"/>
        </w:rPr>
        <w:t xml:space="preserve">Así, analizada la demanda, se percibe que los hechos a los que hace referencia la parte recurrente se concretan al accidente de tránsito sufrido por la señora Gómez Marín, las secuelas que dejó en su humanidad tal siniestro, los problemas de salud que se desencadenaron con posterioridad y la </w:t>
      </w:r>
      <w:r w:rsidR="00865273" w:rsidRPr="00064737">
        <w:rPr>
          <w:rFonts w:cs="Arial"/>
          <w:sz w:val="24"/>
          <w:szCs w:val="24"/>
        </w:rPr>
        <w:t>valoración</w:t>
      </w:r>
      <w:r w:rsidRPr="00064737">
        <w:rPr>
          <w:rFonts w:cs="Arial"/>
          <w:sz w:val="24"/>
          <w:szCs w:val="24"/>
        </w:rPr>
        <w:t xml:space="preserve"> efectuada por los órganos encargados de calificar la pérdida de capacidad laboral</w:t>
      </w:r>
      <w:r w:rsidR="00BA43E3" w:rsidRPr="00064737">
        <w:rPr>
          <w:rFonts w:cs="Arial"/>
          <w:sz w:val="24"/>
          <w:szCs w:val="24"/>
        </w:rPr>
        <w:t xml:space="preserve">, hechos todos que afirma desencadenaron la persecución y acoso laboral del cual es víctima. </w:t>
      </w:r>
    </w:p>
    <w:p w14:paraId="738610EB" w14:textId="77777777" w:rsidR="00BA43E3" w:rsidRPr="00064737" w:rsidRDefault="00BA43E3" w:rsidP="00497D9E">
      <w:pPr>
        <w:pStyle w:val="Textoindependiente"/>
        <w:spacing w:line="276" w:lineRule="auto"/>
        <w:ind w:right="-91"/>
        <w:rPr>
          <w:rFonts w:cs="Arial"/>
          <w:sz w:val="24"/>
          <w:szCs w:val="24"/>
        </w:rPr>
      </w:pPr>
    </w:p>
    <w:p w14:paraId="02790450" w14:textId="327EF227" w:rsidR="002F2EFA" w:rsidRPr="00064737" w:rsidRDefault="00BA43E3" w:rsidP="00497D9E">
      <w:pPr>
        <w:pStyle w:val="Textoindependiente"/>
        <w:spacing w:line="276" w:lineRule="auto"/>
        <w:ind w:right="-91"/>
        <w:rPr>
          <w:rFonts w:cs="Arial"/>
          <w:sz w:val="24"/>
          <w:szCs w:val="24"/>
          <w:lang w:val="es-ES" w:eastAsia="es-ES"/>
        </w:rPr>
      </w:pPr>
      <w:r w:rsidRPr="00064737">
        <w:rPr>
          <w:rFonts w:cs="Arial"/>
          <w:sz w:val="24"/>
          <w:szCs w:val="24"/>
        </w:rPr>
        <w:t xml:space="preserve">Ahora, ni en el libelo inicial, ni en la reforma de la demanda observa la Sala las falencias reprochadas en torno al escrito de demanda, por lo que </w:t>
      </w:r>
      <w:r w:rsidR="00865273" w:rsidRPr="00064737">
        <w:rPr>
          <w:rFonts w:cs="Arial"/>
          <w:sz w:val="24"/>
          <w:szCs w:val="24"/>
        </w:rPr>
        <w:t xml:space="preserve">no </w:t>
      </w:r>
      <w:r w:rsidRPr="00064737">
        <w:rPr>
          <w:rFonts w:cs="Arial"/>
          <w:sz w:val="24"/>
          <w:szCs w:val="24"/>
        </w:rPr>
        <w:t>se entiende que el señor Martínez Sa</w:t>
      </w:r>
      <w:r w:rsidR="00865273" w:rsidRPr="00064737">
        <w:rPr>
          <w:rFonts w:cs="Arial"/>
          <w:sz w:val="24"/>
          <w:szCs w:val="24"/>
        </w:rPr>
        <w:t>a</w:t>
      </w:r>
      <w:r w:rsidRPr="00064737">
        <w:rPr>
          <w:rFonts w:cs="Arial"/>
          <w:sz w:val="24"/>
          <w:szCs w:val="24"/>
        </w:rPr>
        <w:t xml:space="preserve">vedra alegue una supuesta subsanación de las falencias anotadas, para justificar la solicitud de exoneración de condena en costas. </w:t>
      </w:r>
    </w:p>
    <w:p w14:paraId="64BEB6FA" w14:textId="13B13D78" w:rsidR="002F2EFA" w:rsidRPr="00064737" w:rsidRDefault="002F2EFA" w:rsidP="00497D9E">
      <w:pPr>
        <w:pStyle w:val="Textoindependiente"/>
        <w:spacing w:line="276" w:lineRule="auto"/>
        <w:ind w:right="-91"/>
        <w:rPr>
          <w:rFonts w:eastAsia="Arial" w:cs="Arial"/>
          <w:sz w:val="24"/>
          <w:szCs w:val="24"/>
        </w:rPr>
      </w:pPr>
    </w:p>
    <w:p w14:paraId="2D556A24" w14:textId="3ABDD1E7" w:rsidR="002F2EFA" w:rsidRPr="00064737" w:rsidRDefault="00BA43E3" w:rsidP="00497D9E">
      <w:pPr>
        <w:pStyle w:val="Textoindependiente"/>
        <w:spacing w:line="276" w:lineRule="auto"/>
        <w:ind w:right="-91"/>
        <w:rPr>
          <w:rFonts w:eastAsia="Arial" w:cs="Arial"/>
          <w:color w:val="000000" w:themeColor="text1"/>
          <w:sz w:val="24"/>
          <w:szCs w:val="24"/>
          <w:lang w:val="es-ES" w:eastAsia="es-ES"/>
        </w:rPr>
      </w:pPr>
      <w:r w:rsidRPr="00064737">
        <w:rPr>
          <w:rFonts w:eastAsia="Arial" w:cs="Arial"/>
          <w:sz w:val="24"/>
          <w:szCs w:val="24"/>
        </w:rPr>
        <w:t>Es que, si en su sentir las falencias que lo llevaron a proponer la excepción previa fueron subsanadas con la reforma a la demanda</w:t>
      </w:r>
      <w:r w:rsidR="00A505DA" w:rsidRPr="00064737">
        <w:rPr>
          <w:rFonts w:eastAsia="Arial" w:cs="Arial"/>
          <w:sz w:val="24"/>
          <w:szCs w:val="24"/>
        </w:rPr>
        <w:t xml:space="preserve">, </w:t>
      </w:r>
      <w:r w:rsidRPr="00064737">
        <w:rPr>
          <w:rFonts w:eastAsia="Arial" w:cs="Arial"/>
          <w:sz w:val="24"/>
          <w:szCs w:val="24"/>
        </w:rPr>
        <w:t>lo que correspond</w:t>
      </w:r>
      <w:r w:rsidR="00A505DA" w:rsidRPr="00064737">
        <w:rPr>
          <w:rFonts w:eastAsia="Arial" w:cs="Arial"/>
          <w:sz w:val="24"/>
          <w:szCs w:val="24"/>
        </w:rPr>
        <w:t xml:space="preserve">ía  era desistir, </w:t>
      </w:r>
      <w:r w:rsidRPr="00064737">
        <w:rPr>
          <w:rFonts w:eastAsia="Arial" w:cs="Arial"/>
          <w:sz w:val="24"/>
          <w:szCs w:val="24"/>
        </w:rPr>
        <w:t>del</w:t>
      </w:r>
      <w:r w:rsidRPr="00064737">
        <w:rPr>
          <w:rFonts w:cs="Arial"/>
          <w:sz w:val="24"/>
          <w:szCs w:val="24"/>
        </w:rPr>
        <w:t xml:space="preserve"> medio exceptivo, antes que el juez le diera trámite y solución, para </w:t>
      </w:r>
      <w:r w:rsidR="00A505DA" w:rsidRPr="00064737">
        <w:rPr>
          <w:rFonts w:cs="Arial"/>
          <w:sz w:val="24"/>
          <w:szCs w:val="24"/>
        </w:rPr>
        <w:t>así evitar la condena en costas que ahora reprocha, que de paso sea dicho, resulta inexorable, pues así lo establece el</w:t>
      </w:r>
      <w:r w:rsidR="002F2EFA" w:rsidRPr="00064737">
        <w:rPr>
          <w:rFonts w:cs="Arial"/>
          <w:sz w:val="24"/>
          <w:szCs w:val="24"/>
        </w:rPr>
        <w:t xml:space="preserve"> inciso segundo del artículo </w:t>
      </w:r>
      <w:r w:rsidR="002F2EFA" w:rsidRPr="00064737">
        <w:rPr>
          <w:rFonts w:eastAsia="Arial" w:cs="Arial"/>
          <w:color w:val="000000" w:themeColor="text1"/>
          <w:sz w:val="24"/>
          <w:szCs w:val="24"/>
        </w:rPr>
        <w:t>365 del CGP - </w:t>
      </w:r>
      <w:r w:rsidR="002F2EFA" w:rsidRPr="00064737">
        <w:rPr>
          <w:rFonts w:eastAsia="Arial" w:cs="Arial"/>
          <w:i/>
          <w:iCs/>
          <w:color w:val="000000" w:themeColor="text1"/>
          <w:sz w:val="24"/>
          <w:szCs w:val="24"/>
        </w:rPr>
        <w:t>“</w:t>
      </w:r>
      <w:r w:rsidR="002F2EFA" w:rsidRPr="00CE2E3C">
        <w:rPr>
          <w:rFonts w:eastAsia="Arial" w:cs="Arial"/>
          <w:i/>
          <w:iCs/>
          <w:color w:val="000000" w:themeColor="text1"/>
          <w:sz w:val="22"/>
          <w:szCs w:val="24"/>
        </w:rPr>
        <w:t>Además se condenará en costas a quien se le resuelva desfavorable (…) la formulación de excepciones previas (…)</w:t>
      </w:r>
      <w:r w:rsidR="002F2EFA" w:rsidRPr="00064737">
        <w:rPr>
          <w:rFonts w:eastAsia="Arial" w:cs="Arial"/>
          <w:i/>
          <w:iCs/>
          <w:color w:val="000000" w:themeColor="text1"/>
          <w:sz w:val="24"/>
          <w:szCs w:val="24"/>
        </w:rPr>
        <w:t>”</w:t>
      </w:r>
      <w:r w:rsidR="008D6832" w:rsidRPr="00064737">
        <w:rPr>
          <w:rFonts w:eastAsia="Arial" w:cs="Arial"/>
          <w:i/>
          <w:iCs/>
          <w:color w:val="000000" w:themeColor="text1"/>
          <w:sz w:val="24"/>
          <w:szCs w:val="24"/>
        </w:rPr>
        <w:t>-.</w:t>
      </w:r>
    </w:p>
    <w:p w14:paraId="43B93281" w14:textId="173C01EF" w:rsidR="75ECB053" w:rsidRPr="00064737" w:rsidRDefault="75ECB053" w:rsidP="00497D9E">
      <w:pPr>
        <w:pStyle w:val="Textoindependiente"/>
        <w:spacing w:line="276" w:lineRule="auto"/>
        <w:ind w:right="-91"/>
        <w:rPr>
          <w:rFonts w:cs="Arial"/>
          <w:i/>
          <w:iCs/>
          <w:color w:val="000000" w:themeColor="text1"/>
          <w:sz w:val="24"/>
          <w:szCs w:val="24"/>
        </w:rPr>
      </w:pPr>
    </w:p>
    <w:p w14:paraId="7560B508" w14:textId="52AC2B7D" w:rsidR="75ECB053" w:rsidRPr="00064737" w:rsidRDefault="75ECB053" w:rsidP="00497D9E">
      <w:pPr>
        <w:pStyle w:val="Textoindependiente"/>
        <w:spacing w:line="276" w:lineRule="auto"/>
        <w:ind w:right="-91"/>
        <w:rPr>
          <w:rFonts w:cs="Arial"/>
          <w:sz w:val="24"/>
          <w:szCs w:val="24"/>
          <w:lang w:val="es-ES"/>
        </w:rPr>
      </w:pPr>
      <w:r w:rsidRPr="00064737">
        <w:rPr>
          <w:rFonts w:eastAsia="Arial" w:cs="Arial"/>
          <w:color w:val="000000" w:themeColor="text1"/>
          <w:sz w:val="24"/>
          <w:szCs w:val="24"/>
        </w:rPr>
        <w:lastRenderedPageBreak/>
        <w:t>Respecto a los fundamentos planteados en los alegados formulados por el señor Jorge Hern</w:t>
      </w:r>
      <w:r w:rsidR="00C31868" w:rsidRPr="00064737">
        <w:rPr>
          <w:rFonts w:eastAsia="Arial" w:cs="Arial"/>
          <w:color w:val="000000" w:themeColor="text1"/>
          <w:sz w:val="24"/>
          <w:szCs w:val="24"/>
        </w:rPr>
        <w:t>a</w:t>
      </w:r>
      <w:r w:rsidRPr="00064737">
        <w:rPr>
          <w:rFonts w:eastAsia="Arial" w:cs="Arial"/>
          <w:color w:val="000000" w:themeColor="text1"/>
          <w:sz w:val="24"/>
          <w:szCs w:val="24"/>
        </w:rPr>
        <w:t xml:space="preserve">ndo Martínez Saavedra, se observan que los mismos resultan novedosos a la controversia, </w:t>
      </w:r>
      <w:r w:rsidRPr="00064737">
        <w:rPr>
          <w:rFonts w:eastAsia="Arial" w:cs="Arial"/>
          <w:sz w:val="24"/>
          <w:szCs w:val="24"/>
          <w:lang w:val="es-CO"/>
        </w:rPr>
        <w:t>y en tal sentido, ninguna manifestación se hará al respecto.</w:t>
      </w:r>
    </w:p>
    <w:p w14:paraId="637805D2" w14:textId="77777777" w:rsidR="002F2EFA" w:rsidRPr="00064737" w:rsidRDefault="002F2EFA" w:rsidP="00497D9E">
      <w:pPr>
        <w:pStyle w:val="Textoindependiente"/>
        <w:spacing w:line="276" w:lineRule="auto"/>
        <w:ind w:right="-91"/>
        <w:rPr>
          <w:rFonts w:cs="Arial"/>
          <w:sz w:val="24"/>
          <w:szCs w:val="24"/>
          <w:lang w:val="es-ES"/>
        </w:rPr>
      </w:pPr>
    </w:p>
    <w:p w14:paraId="375F4FA6" w14:textId="2F2D1C22" w:rsidR="006C7EE7" w:rsidRPr="00064737" w:rsidRDefault="006C7EE7" w:rsidP="00497D9E">
      <w:pPr>
        <w:pStyle w:val="Textoindependiente"/>
        <w:spacing w:line="276" w:lineRule="auto"/>
        <w:ind w:right="-91"/>
        <w:rPr>
          <w:rFonts w:cs="Arial"/>
          <w:sz w:val="24"/>
          <w:szCs w:val="24"/>
        </w:rPr>
      </w:pPr>
      <w:r w:rsidRPr="00064737">
        <w:rPr>
          <w:rFonts w:cs="Arial"/>
          <w:sz w:val="24"/>
          <w:szCs w:val="24"/>
        </w:rPr>
        <w:t>De acuerdo con lo expuesto,</w:t>
      </w:r>
      <w:r w:rsidR="00865273" w:rsidRPr="00064737">
        <w:rPr>
          <w:rFonts w:cs="Arial"/>
          <w:sz w:val="24"/>
          <w:szCs w:val="24"/>
        </w:rPr>
        <w:t xml:space="preserve"> encontrando que no existe mérito para modificar la decisión de primer grado, </w:t>
      </w:r>
      <w:r w:rsidRPr="00064737">
        <w:rPr>
          <w:rFonts w:cs="Arial"/>
          <w:sz w:val="24"/>
          <w:szCs w:val="24"/>
        </w:rPr>
        <w:t xml:space="preserve">la misma habrá de confirmarse. </w:t>
      </w:r>
    </w:p>
    <w:p w14:paraId="463F29E8" w14:textId="77777777" w:rsidR="004E5C05" w:rsidRPr="00064737" w:rsidRDefault="004E5C05" w:rsidP="00497D9E">
      <w:pPr>
        <w:spacing w:after="0"/>
        <w:jc w:val="both"/>
        <w:rPr>
          <w:rFonts w:ascii="Arial" w:hAnsi="Arial" w:cs="Arial"/>
          <w:sz w:val="24"/>
          <w:szCs w:val="24"/>
        </w:rPr>
      </w:pPr>
    </w:p>
    <w:p w14:paraId="41C94ADA" w14:textId="77777777" w:rsidR="004E5C05" w:rsidRPr="00064737" w:rsidRDefault="00850371" w:rsidP="00497D9E">
      <w:pPr>
        <w:spacing w:after="0"/>
        <w:jc w:val="both"/>
        <w:rPr>
          <w:rFonts w:ascii="Arial" w:hAnsi="Arial" w:cs="Arial"/>
          <w:sz w:val="24"/>
          <w:szCs w:val="24"/>
        </w:rPr>
      </w:pPr>
      <w:r w:rsidRPr="00064737">
        <w:rPr>
          <w:rFonts w:ascii="Arial" w:hAnsi="Arial" w:cs="Arial"/>
          <w:sz w:val="24"/>
          <w:szCs w:val="24"/>
        </w:rPr>
        <w:t xml:space="preserve">Costas en esta instancia a cargo </w:t>
      </w:r>
      <w:r w:rsidR="00226F3A" w:rsidRPr="00064737">
        <w:rPr>
          <w:rFonts w:ascii="Arial" w:hAnsi="Arial" w:cs="Arial"/>
          <w:sz w:val="24"/>
          <w:szCs w:val="24"/>
        </w:rPr>
        <w:t>del recurrente</w:t>
      </w:r>
      <w:r w:rsidR="004E5C05" w:rsidRPr="00064737">
        <w:rPr>
          <w:rFonts w:ascii="Arial" w:hAnsi="Arial" w:cs="Arial"/>
          <w:sz w:val="24"/>
          <w:szCs w:val="24"/>
        </w:rPr>
        <w:t>.</w:t>
      </w:r>
    </w:p>
    <w:p w14:paraId="3B7B4B86" w14:textId="77777777" w:rsidR="004E5C05" w:rsidRPr="00064737" w:rsidRDefault="004E5C05" w:rsidP="00497D9E">
      <w:pPr>
        <w:spacing w:after="0"/>
        <w:jc w:val="both"/>
        <w:rPr>
          <w:rFonts w:ascii="Arial" w:hAnsi="Arial" w:cs="Arial"/>
          <w:sz w:val="24"/>
          <w:szCs w:val="24"/>
        </w:rPr>
      </w:pPr>
    </w:p>
    <w:p w14:paraId="460EFD34" w14:textId="77777777" w:rsidR="004E5C05" w:rsidRPr="00064737" w:rsidRDefault="004E5C05" w:rsidP="00497D9E">
      <w:pPr>
        <w:spacing w:after="0"/>
        <w:jc w:val="both"/>
        <w:rPr>
          <w:rFonts w:ascii="Arial" w:hAnsi="Arial" w:cs="Arial"/>
          <w:sz w:val="24"/>
          <w:szCs w:val="24"/>
        </w:rPr>
      </w:pPr>
      <w:r w:rsidRPr="00064737">
        <w:rPr>
          <w:rFonts w:ascii="Arial" w:hAnsi="Arial" w:cs="Arial"/>
          <w:sz w:val="24"/>
          <w:szCs w:val="24"/>
        </w:rPr>
        <w:t xml:space="preserve">En mérito de lo expuesto, la </w:t>
      </w:r>
      <w:r w:rsidRPr="00064737">
        <w:rPr>
          <w:rFonts w:ascii="Arial" w:hAnsi="Arial" w:cs="Arial"/>
          <w:b/>
          <w:sz w:val="24"/>
          <w:szCs w:val="24"/>
        </w:rPr>
        <w:t>Sala de Decisión Laboral del Tribunal Superior de Pereira</w:t>
      </w:r>
      <w:r w:rsidRPr="00064737">
        <w:rPr>
          <w:rFonts w:ascii="Arial" w:hAnsi="Arial" w:cs="Arial"/>
          <w:sz w:val="24"/>
          <w:szCs w:val="24"/>
        </w:rPr>
        <w:t xml:space="preserve">, </w:t>
      </w:r>
    </w:p>
    <w:p w14:paraId="3A0FF5F2" w14:textId="77777777" w:rsidR="00BC21C5" w:rsidRPr="00064737" w:rsidRDefault="00BC21C5" w:rsidP="00497D9E">
      <w:pPr>
        <w:pStyle w:val="Textoindependiente"/>
        <w:spacing w:line="276" w:lineRule="auto"/>
        <w:jc w:val="center"/>
        <w:rPr>
          <w:rFonts w:cs="Arial"/>
          <w:b/>
          <w:sz w:val="24"/>
          <w:szCs w:val="24"/>
        </w:rPr>
      </w:pPr>
    </w:p>
    <w:p w14:paraId="68A3624F" w14:textId="77777777" w:rsidR="004E5C05" w:rsidRPr="00064737" w:rsidRDefault="004E5C05" w:rsidP="00497D9E">
      <w:pPr>
        <w:pStyle w:val="Textoindependiente"/>
        <w:spacing w:line="276" w:lineRule="auto"/>
        <w:jc w:val="center"/>
        <w:rPr>
          <w:rFonts w:cs="Arial"/>
          <w:b/>
          <w:sz w:val="24"/>
          <w:szCs w:val="24"/>
        </w:rPr>
      </w:pPr>
      <w:r w:rsidRPr="00064737">
        <w:rPr>
          <w:rFonts w:cs="Arial"/>
          <w:b/>
          <w:sz w:val="24"/>
          <w:szCs w:val="24"/>
        </w:rPr>
        <w:t>RESUELVE</w:t>
      </w:r>
    </w:p>
    <w:p w14:paraId="5630AD66" w14:textId="77777777" w:rsidR="004E5C05" w:rsidRPr="00064737" w:rsidRDefault="004E5C05" w:rsidP="00497D9E">
      <w:pPr>
        <w:pStyle w:val="Textoindependiente"/>
        <w:spacing w:line="276" w:lineRule="auto"/>
        <w:rPr>
          <w:rFonts w:cs="Arial"/>
          <w:sz w:val="24"/>
          <w:szCs w:val="24"/>
        </w:rPr>
      </w:pPr>
    </w:p>
    <w:p w14:paraId="797E8D17" w14:textId="1831D116" w:rsidR="004E5C05" w:rsidRPr="00064737" w:rsidRDefault="006C7EE7" w:rsidP="00497D9E">
      <w:pPr>
        <w:spacing w:after="0"/>
        <w:ind w:right="20"/>
        <w:jc w:val="both"/>
        <w:rPr>
          <w:rFonts w:ascii="Arial" w:eastAsia="Times New Roman" w:hAnsi="Arial" w:cs="Arial"/>
          <w:sz w:val="24"/>
          <w:szCs w:val="24"/>
          <w:lang w:val="es-ES_tradnl" w:eastAsia="es-ES"/>
        </w:rPr>
      </w:pPr>
      <w:r w:rsidRPr="00064737">
        <w:rPr>
          <w:rFonts w:ascii="Arial" w:eastAsia="Times New Roman" w:hAnsi="Arial" w:cs="Arial"/>
          <w:b/>
          <w:sz w:val="24"/>
          <w:szCs w:val="24"/>
          <w:lang w:val="es-ES_tradnl" w:eastAsia="es-ES"/>
        </w:rPr>
        <w:t xml:space="preserve">PRIMERO: </w:t>
      </w:r>
      <w:r w:rsidR="004E5C05" w:rsidRPr="00064737">
        <w:rPr>
          <w:rFonts w:ascii="Arial" w:eastAsia="Times New Roman" w:hAnsi="Arial" w:cs="Arial"/>
          <w:b/>
          <w:sz w:val="24"/>
          <w:szCs w:val="24"/>
          <w:lang w:val="es-ES_tradnl" w:eastAsia="es-ES"/>
        </w:rPr>
        <w:t xml:space="preserve">CONFIRMAR </w:t>
      </w:r>
      <w:r w:rsidR="000734C5" w:rsidRPr="00064737">
        <w:rPr>
          <w:rFonts w:ascii="Arial" w:eastAsia="Times New Roman" w:hAnsi="Arial" w:cs="Arial"/>
          <w:sz w:val="24"/>
          <w:szCs w:val="24"/>
          <w:lang w:val="es-ES_tradnl" w:eastAsia="es-ES"/>
        </w:rPr>
        <w:t xml:space="preserve">el auto interlocutorio de </w:t>
      </w:r>
      <w:r w:rsidR="008D6832" w:rsidRPr="00064737">
        <w:rPr>
          <w:rFonts w:ascii="Arial" w:eastAsia="Times New Roman" w:hAnsi="Arial" w:cs="Arial"/>
          <w:sz w:val="24"/>
          <w:szCs w:val="24"/>
          <w:lang w:val="es-ES_tradnl" w:eastAsia="es-ES"/>
        </w:rPr>
        <w:t>22 de marzo</w:t>
      </w:r>
      <w:r w:rsidRPr="00064737">
        <w:rPr>
          <w:rFonts w:ascii="Arial" w:eastAsia="Times New Roman" w:hAnsi="Arial" w:cs="Arial"/>
          <w:sz w:val="24"/>
          <w:szCs w:val="24"/>
          <w:lang w:val="es-ES_tradnl" w:eastAsia="es-ES"/>
        </w:rPr>
        <w:t xml:space="preserve"> </w:t>
      </w:r>
      <w:r w:rsidR="004A44ED" w:rsidRPr="00064737">
        <w:rPr>
          <w:rFonts w:ascii="Arial" w:eastAsia="Times New Roman" w:hAnsi="Arial" w:cs="Arial"/>
          <w:sz w:val="24"/>
          <w:szCs w:val="24"/>
          <w:lang w:val="es-ES_tradnl" w:eastAsia="es-ES"/>
        </w:rPr>
        <w:t xml:space="preserve">de 2022 </w:t>
      </w:r>
      <w:r w:rsidR="004E5C05" w:rsidRPr="00064737">
        <w:rPr>
          <w:rFonts w:ascii="Arial" w:eastAsia="Times New Roman" w:hAnsi="Arial" w:cs="Arial"/>
          <w:sz w:val="24"/>
          <w:szCs w:val="24"/>
          <w:lang w:val="es-ES_tradnl" w:eastAsia="es-ES"/>
        </w:rPr>
        <w:t xml:space="preserve">proferido por el Juzgado </w:t>
      </w:r>
      <w:r w:rsidR="008D6832" w:rsidRPr="00064737">
        <w:rPr>
          <w:rFonts w:ascii="Arial" w:eastAsia="Times New Roman" w:hAnsi="Arial" w:cs="Arial"/>
          <w:sz w:val="24"/>
          <w:szCs w:val="24"/>
          <w:lang w:val="es-ES_tradnl" w:eastAsia="es-ES"/>
        </w:rPr>
        <w:t>Laboral del Circuito de Dosquebradas.</w:t>
      </w:r>
    </w:p>
    <w:p w14:paraId="61829076" w14:textId="77777777" w:rsidR="004E5C05" w:rsidRPr="00064737" w:rsidRDefault="004E5C05" w:rsidP="00497D9E">
      <w:pPr>
        <w:widowControl w:val="0"/>
        <w:autoSpaceDE w:val="0"/>
        <w:autoSpaceDN w:val="0"/>
        <w:adjustRightInd w:val="0"/>
        <w:spacing w:after="0"/>
        <w:jc w:val="both"/>
        <w:rPr>
          <w:rFonts w:ascii="Arial" w:eastAsia="Times New Roman" w:hAnsi="Arial" w:cs="Arial"/>
          <w:sz w:val="24"/>
          <w:szCs w:val="24"/>
          <w:lang w:val="es-ES" w:eastAsia="es-ES"/>
        </w:rPr>
      </w:pPr>
    </w:p>
    <w:p w14:paraId="5CCF40C8" w14:textId="77777777" w:rsidR="004E5C05" w:rsidRPr="00064737" w:rsidRDefault="006C7EE7" w:rsidP="00497D9E">
      <w:pPr>
        <w:widowControl w:val="0"/>
        <w:autoSpaceDE w:val="0"/>
        <w:autoSpaceDN w:val="0"/>
        <w:adjustRightInd w:val="0"/>
        <w:spacing w:after="0"/>
        <w:jc w:val="both"/>
        <w:rPr>
          <w:rFonts w:ascii="Arial" w:eastAsia="Times New Roman" w:hAnsi="Arial" w:cs="Arial"/>
          <w:sz w:val="24"/>
          <w:szCs w:val="24"/>
          <w:lang w:val="es-ES_tradnl" w:eastAsia="es-ES"/>
        </w:rPr>
      </w:pPr>
      <w:r w:rsidRPr="00064737">
        <w:rPr>
          <w:rFonts w:ascii="Arial" w:eastAsia="Times New Roman" w:hAnsi="Arial" w:cs="Arial"/>
          <w:b/>
          <w:sz w:val="24"/>
          <w:szCs w:val="24"/>
          <w:lang w:val="es-ES" w:eastAsia="es-ES"/>
        </w:rPr>
        <w:t>SEGUNDO: CONDENAR</w:t>
      </w:r>
      <w:r w:rsidRPr="00064737">
        <w:rPr>
          <w:rFonts w:ascii="Arial" w:eastAsia="Times New Roman" w:hAnsi="Arial" w:cs="Arial"/>
          <w:sz w:val="24"/>
          <w:szCs w:val="24"/>
          <w:lang w:val="es-ES" w:eastAsia="es-ES"/>
        </w:rPr>
        <w:t xml:space="preserve"> en c</w:t>
      </w:r>
      <w:r w:rsidR="00226F3A" w:rsidRPr="00064737">
        <w:rPr>
          <w:rFonts w:ascii="Arial" w:eastAsia="Times New Roman" w:hAnsi="Arial" w:cs="Arial"/>
          <w:sz w:val="24"/>
          <w:szCs w:val="24"/>
          <w:lang w:val="es-ES" w:eastAsia="es-ES"/>
        </w:rPr>
        <w:t>osta</w:t>
      </w:r>
      <w:r w:rsidRPr="00064737">
        <w:rPr>
          <w:rFonts w:ascii="Arial" w:eastAsia="Times New Roman" w:hAnsi="Arial" w:cs="Arial"/>
          <w:sz w:val="24"/>
          <w:szCs w:val="24"/>
          <w:lang w:val="es-ES" w:eastAsia="es-ES"/>
        </w:rPr>
        <w:t>s</w:t>
      </w:r>
      <w:r w:rsidR="00226F3A" w:rsidRPr="00064737">
        <w:rPr>
          <w:rFonts w:ascii="Arial" w:eastAsia="Times New Roman" w:hAnsi="Arial" w:cs="Arial"/>
          <w:sz w:val="24"/>
          <w:szCs w:val="24"/>
          <w:lang w:val="es-ES" w:eastAsia="es-ES"/>
        </w:rPr>
        <w:t xml:space="preserve"> en esta Sede </w:t>
      </w:r>
      <w:r w:rsidR="008D6832" w:rsidRPr="00064737">
        <w:rPr>
          <w:rFonts w:ascii="Arial" w:eastAsia="Times New Roman" w:hAnsi="Arial" w:cs="Arial"/>
          <w:sz w:val="24"/>
          <w:szCs w:val="24"/>
          <w:lang w:val="es-ES" w:eastAsia="es-ES"/>
        </w:rPr>
        <w:t>al señor Jorge Hernando Martínez Saavedra.</w:t>
      </w:r>
    </w:p>
    <w:p w14:paraId="2BA226A1" w14:textId="77777777" w:rsidR="00302660" w:rsidRPr="00064737" w:rsidRDefault="00302660" w:rsidP="00497D9E">
      <w:pPr>
        <w:widowControl w:val="0"/>
        <w:autoSpaceDE w:val="0"/>
        <w:autoSpaceDN w:val="0"/>
        <w:adjustRightInd w:val="0"/>
        <w:spacing w:after="0"/>
        <w:jc w:val="both"/>
        <w:rPr>
          <w:rFonts w:ascii="Arial" w:hAnsi="Arial" w:cs="Arial"/>
          <w:sz w:val="24"/>
          <w:szCs w:val="24"/>
          <w:lang w:val="es-ES_tradnl" w:eastAsia="es-CO"/>
        </w:rPr>
      </w:pPr>
    </w:p>
    <w:p w14:paraId="259FCA14" w14:textId="77777777" w:rsidR="00302660" w:rsidRPr="00064737" w:rsidRDefault="00302660" w:rsidP="00497D9E">
      <w:pPr>
        <w:widowControl w:val="0"/>
        <w:autoSpaceDE w:val="0"/>
        <w:autoSpaceDN w:val="0"/>
        <w:adjustRightInd w:val="0"/>
        <w:spacing w:after="0"/>
        <w:jc w:val="both"/>
        <w:rPr>
          <w:rFonts w:ascii="Arial" w:eastAsia="Arial" w:hAnsi="Arial" w:cs="Arial"/>
          <w:sz w:val="24"/>
          <w:szCs w:val="24"/>
        </w:rPr>
      </w:pPr>
      <w:r w:rsidRPr="00064737">
        <w:rPr>
          <w:rFonts w:ascii="Arial" w:hAnsi="Arial" w:cs="Arial"/>
          <w:sz w:val="24"/>
          <w:szCs w:val="24"/>
          <w:lang w:eastAsia="es-CO"/>
        </w:rPr>
        <w:t>No</w:t>
      </w:r>
      <w:r w:rsidRPr="00064737">
        <w:rPr>
          <w:rFonts w:ascii="Arial" w:eastAsia="Arial" w:hAnsi="Arial" w:cs="Arial"/>
          <w:sz w:val="24"/>
          <w:szCs w:val="24"/>
        </w:rPr>
        <w:t>tifíquese por estado y a los correos electrónicos de los apoderados de las partes.</w:t>
      </w:r>
    </w:p>
    <w:p w14:paraId="17AD93B2" w14:textId="77777777" w:rsidR="00302660" w:rsidRPr="00064737" w:rsidRDefault="00302660" w:rsidP="00497D9E">
      <w:pPr>
        <w:widowControl w:val="0"/>
        <w:autoSpaceDE w:val="0"/>
        <w:autoSpaceDN w:val="0"/>
        <w:adjustRightInd w:val="0"/>
        <w:spacing w:after="0"/>
        <w:jc w:val="both"/>
        <w:rPr>
          <w:rFonts w:ascii="Arial" w:hAnsi="Arial" w:cs="Arial"/>
          <w:sz w:val="24"/>
          <w:szCs w:val="24"/>
        </w:rPr>
      </w:pPr>
    </w:p>
    <w:p w14:paraId="6F748864" w14:textId="77777777" w:rsidR="00064737" w:rsidRPr="00064737" w:rsidRDefault="00064737" w:rsidP="00497D9E">
      <w:pPr>
        <w:widowControl w:val="0"/>
        <w:autoSpaceDE w:val="0"/>
        <w:autoSpaceDN w:val="0"/>
        <w:adjustRightInd w:val="0"/>
        <w:spacing w:after="0"/>
        <w:jc w:val="both"/>
        <w:rPr>
          <w:rFonts w:ascii="Arial" w:hAnsi="Arial" w:cs="Arial"/>
          <w:sz w:val="24"/>
          <w:szCs w:val="24"/>
        </w:rPr>
      </w:pPr>
      <w:r w:rsidRPr="00064737">
        <w:rPr>
          <w:rFonts w:ascii="Arial" w:hAnsi="Arial" w:cs="Arial"/>
          <w:sz w:val="24"/>
          <w:szCs w:val="24"/>
        </w:rPr>
        <w:t>Quienes integran la Sala,</w:t>
      </w:r>
    </w:p>
    <w:p w14:paraId="64A14DFA" w14:textId="77777777" w:rsidR="00064737" w:rsidRPr="00064737" w:rsidRDefault="00064737" w:rsidP="00497D9E">
      <w:pPr>
        <w:widowControl w:val="0"/>
        <w:autoSpaceDE w:val="0"/>
        <w:autoSpaceDN w:val="0"/>
        <w:adjustRightInd w:val="0"/>
        <w:spacing w:after="0"/>
        <w:rPr>
          <w:rFonts w:ascii="Arial" w:hAnsi="Arial" w:cs="Arial"/>
          <w:b/>
          <w:sz w:val="24"/>
          <w:szCs w:val="24"/>
        </w:rPr>
      </w:pPr>
    </w:p>
    <w:p w14:paraId="1B394E28" w14:textId="77777777" w:rsidR="00064737" w:rsidRPr="00064737" w:rsidRDefault="00064737" w:rsidP="00497D9E">
      <w:pPr>
        <w:widowControl w:val="0"/>
        <w:autoSpaceDE w:val="0"/>
        <w:autoSpaceDN w:val="0"/>
        <w:adjustRightInd w:val="0"/>
        <w:spacing w:after="0"/>
        <w:rPr>
          <w:rFonts w:ascii="Arial" w:hAnsi="Arial" w:cs="Arial"/>
          <w:b/>
          <w:sz w:val="24"/>
          <w:szCs w:val="24"/>
        </w:rPr>
      </w:pPr>
    </w:p>
    <w:p w14:paraId="00782250" w14:textId="77777777" w:rsidR="00064737" w:rsidRPr="00064737" w:rsidRDefault="00064737" w:rsidP="00497D9E">
      <w:pPr>
        <w:widowControl w:val="0"/>
        <w:autoSpaceDE w:val="0"/>
        <w:autoSpaceDN w:val="0"/>
        <w:adjustRightInd w:val="0"/>
        <w:spacing w:after="0"/>
        <w:rPr>
          <w:rFonts w:ascii="Arial" w:hAnsi="Arial" w:cs="Arial"/>
          <w:b/>
          <w:sz w:val="24"/>
          <w:szCs w:val="24"/>
        </w:rPr>
      </w:pPr>
    </w:p>
    <w:p w14:paraId="1BC8F902" w14:textId="77777777" w:rsidR="00064737" w:rsidRPr="00064737" w:rsidRDefault="00064737" w:rsidP="00497D9E">
      <w:pPr>
        <w:widowControl w:val="0"/>
        <w:autoSpaceDE w:val="0"/>
        <w:autoSpaceDN w:val="0"/>
        <w:adjustRightInd w:val="0"/>
        <w:spacing w:after="0"/>
        <w:jc w:val="center"/>
        <w:rPr>
          <w:rFonts w:ascii="Arial" w:hAnsi="Arial" w:cs="Arial"/>
          <w:b/>
          <w:bCs/>
          <w:sz w:val="24"/>
          <w:szCs w:val="24"/>
        </w:rPr>
      </w:pPr>
      <w:r w:rsidRPr="00064737">
        <w:rPr>
          <w:rFonts w:ascii="Arial" w:hAnsi="Arial" w:cs="Arial"/>
          <w:b/>
          <w:bCs/>
          <w:sz w:val="24"/>
          <w:szCs w:val="24"/>
        </w:rPr>
        <w:t>JULIO CÉSAR SALAZAR MUÑOZ</w:t>
      </w:r>
    </w:p>
    <w:p w14:paraId="08058012" w14:textId="77777777" w:rsidR="00064737" w:rsidRPr="00064737" w:rsidRDefault="00064737" w:rsidP="00497D9E">
      <w:pPr>
        <w:widowControl w:val="0"/>
        <w:autoSpaceDE w:val="0"/>
        <w:autoSpaceDN w:val="0"/>
        <w:adjustRightInd w:val="0"/>
        <w:spacing w:after="0"/>
        <w:jc w:val="center"/>
        <w:rPr>
          <w:rFonts w:ascii="Arial" w:hAnsi="Arial" w:cs="Arial"/>
          <w:sz w:val="24"/>
          <w:szCs w:val="24"/>
        </w:rPr>
      </w:pPr>
      <w:r w:rsidRPr="00064737">
        <w:rPr>
          <w:rFonts w:ascii="Arial" w:hAnsi="Arial" w:cs="Arial"/>
          <w:sz w:val="24"/>
          <w:szCs w:val="24"/>
        </w:rPr>
        <w:t>Magistrado Ponente</w:t>
      </w:r>
    </w:p>
    <w:p w14:paraId="560EF650" w14:textId="77777777" w:rsidR="00064737" w:rsidRPr="00064737" w:rsidRDefault="00064737" w:rsidP="00497D9E">
      <w:pPr>
        <w:widowControl w:val="0"/>
        <w:autoSpaceDE w:val="0"/>
        <w:autoSpaceDN w:val="0"/>
        <w:adjustRightInd w:val="0"/>
        <w:spacing w:after="0"/>
        <w:rPr>
          <w:rFonts w:ascii="Arial" w:hAnsi="Arial" w:cs="Arial"/>
          <w:sz w:val="24"/>
          <w:szCs w:val="24"/>
        </w:rPr>
      </w:pPr>
    </w:p>
    <w:p w14:paraId="170C2D00" w14:textId="77777777" w:rsidR="00064737" w:rsidRPr="00064737" w:rsidRDefault="00064737" w:rsidP="00497D9E">
      <w:pPr>
        <w:widowControl w:val="0"/>
        <w:autoSpaceDE w:val="0"/>
        <w:autoSpaceDN w:val="0"/>
        <w:adjustRightInd w:val="0"/>
        <w:spacing w:after="0"/>
        <w:rPr>
          <w:rFonts w:ascii="Arial" w:hAnsi="Arial" w:cs="Arial"/>
          <w:sz w:val="24"/>
          <w:szCs w:val="24"/>
        </w:rPr>
      </w:pPr>
    </w:p>
    <w:p w14:paraId="49271132" w14:textId="77777777" w:rsidR="00064737" w:rsidRPr="00064737" w:rsidRDefault="00064737" w:rsidP="00497D9E">
      <w:pPr>
        <w:widowControl w:val="0"/>
        <w:autoSpaceDE w:val="0"/>
        <w:autoSpaceDN w:val="0"/>
        <w:adjustRightInd w:val="0"/>
        <w:spacing w:after="0"/>
        <w:rPr>
          <w:rFonts w:ascii="Arial" w:hAnsi="Arial" w:cs="Arial"/>
          <w:sz w:val="24"/>
          <w:szCs w:val="24"/>
        </w:rPr>
      </w:pPr>
    </w:p>
    <w:p w14:paraId="7ACB8DD7" w14:textId="0AABC12E" w:rsidR="00064737" w:rsidRPr="00064737" w:rsidRDefault="00064737" w:rsidP="00497D9E">
      <w:pPr>
        <w:widowControl w:val="0"/>
        <w:autoSpaceDE w:val="0"/>
        <w:autoSpaceDN w:val="0"/>
        <w:adjustRightInd w:val="0"/>
        <w:spacing w:after="0"/>
        <w:rPr>
          <w:rFonts w:ascii="Arial" w:hAnsi="Arial" w:cs="Arial"/>
          <w:sz w:val="24"/>
          <w:szCs w:val="24"/>
        </w:rPr>
      </w:pPr>
      <w:r w:rsidRPr="00064737">
        <w:rPr>
          <w:rFonts w:ascii="Arial" w:hAnsi="Arial" w:cs="Arial"/>
          <w:b/>
          <w:bCs/>
          <w:sz w:val="24"/>
          <w:szCs w:val="24"/>
        </w:rPr>
        <w:t>ANA LUCÍA CAICEDO CALDERON</w:t>
      </w:r>
      <w:r w:rsidRPr="00064737">
        <w:rPr>
          <w:rFonts w:ascii="Arial" w:hAnsi="Arial" w:cs="Arial"/>
          <w:b/>
          <w:bCs/>
          <w:sz w:val="24"/>
          <w:szCs w:val="24"/>
        </w:rPr>
        <w:tab/>
      </w:r>
      <w:r w:rsidRPr="00064737">
        <w:rPr>
          <w:rFonts w:ascii="Arial" w:hAnsi="Arial" w:cs="Arial"/>
          <w:b/>
          <w:bCs/>
          <w:sz w:val="24"/>
          <w:szCs w:val="24"/>
        </w:rPr>
        <w:tab/>
        <w:t xml:space="preserve">     GERMÁN DARÍO GÓEZ VINASCO</w:t>
      </w:r>
    </w:p>
    <w:p w14:paraId="603D2139" w14:textId="7A1EB436" w:rsidR="007B1E8B" w:rsidRDefault="00064737" w:rsidP="00497D9E">
      <w:pPr>
        <w:spacing w:after="0"/>
        <w:rPr>
          <w:rFonts w:ascii="Arial" w:eastAsia="Times New Roman" w:hAnsi="Arial" w:cs="Arial"/>
          <w:bCs/>
          <w:sz w:val="24"/>
          <w:szCs w:val="24"/>
          <w:lang w:val="es-ES_tradnl"/>
        </w:rPr>
      </w:pPr>
      <w:r w:rsidRPr="00064737">
        <w:rPr>
          <w:rFonts w:ascii="Arial" w:hAnsi="Arial" w:cs="Arial"/>
          <w:bCs/>
          <w:sz w:val="24"/>
          <w:szCs w:val="24"/>
        </w:rPr>
        <w:t>Magistrada</w:t>
      </w:r>
      <w:r w:rsidRPr="00064737">
        <w:rPr>
          <w:rFonts w:ascii="Arial" w:hAnsi="Arial" w:cs="Arial"/>
          <w:bCs/>
          <w:sz w:val="24"/>
          <w:szCs w:val="24"/>
        </w:rPr>
        <w:tab/>
      </w:r>
      <w:r w:rsidRPr="00064737">
        <w:rPr>
          <w:rFonts w:ascii="Arial" w:hAnsi="Arial" w:cs="Arial"/>
          <w:bCs/>
          <w:sz w:val="24"/>
          <w:szCs w:val="24"/>
        </w:rPr>
        <w:tab/>
      </w:r>
      <w:r w:rsidRPr="00064737">
        <w:rPr>
          <w:rFonts w:ascii="Arial" w:hAnsi="Arial" w:cs="Arial"/>
          <w:bCs/>
          <w:sz w:val="24"/>
          <w:szCs w:val="24"/>
        </w:rPr>
        <w:tab/>
      </w:r>
      <w:r w:rsidRPr="00064737">
        <w:rPr>
          <w:rFonts w:ascii="Arial" w:hAnsi="Arial" w:cs="Arial"/>
          <w:bCs/>
          <w:sz w:val="24"/>
          <w:szCs w:val="24"/>
        </w:rPr>
        <w:tab/>
      </w:r>
      <w:r w:rsidRPr="00064737">
        <w:rPr>
          <w:rFonts w:ascii="Arial" w:hAnsi="Arial" w:cs="Arial"/>
          <w:bCs/>
          <w:sz w:val="24"/>
          <w:szCs w:val="24"/>
        </w:rPr>
        <w:tab/>
      </w:r>
      <w:r w:rsidRPr="00064737">
        <w:rPr>
          <w:rFonts w:ascii="Arial" w:hAnsi="Arial" w:cs="Arial"/>
          <w:bCs/>
          <w:sz w:val="24"/>
          <w:szCs w:val="24"/>
        </w:rPr>
        <w:tab/>
      </w:r>
      <w:r w:rsidRPr="00064737">
        <w:rPr>
          <w:rFonts w:ascii="Arial" w:hAnsi="Arial" w:cs="Arial"/>
          <w:b/>
          <w:bCs/>
          <w:sz w:val="24"/>
          <w:szCs w:val="24"/>
        </w:rPr>
        <w:t xml:space="preserve">     </w:t>
      </w:r>
      <w:r w:rsidRPr="00064737">
        <w:rPr>
          <w:rFonts w:ascii="Arial" w:eastAsia="Times New Roman" w:hAnsi="Arial" w:cs="Arial"/>
          <w:bCs/>
          <w:sz w:val="24"/>
          <w:szCs w:val="24"/>
          <w:lang w:val="es-ES_tradnl"/>
        </w:rPr>
        <w:t>Magistrado</w:t>
      </w:r>
    </w:p>
    <w:p w14:paraId="7196D064" w14:textId="4D4963AE" w:rsidR="00705BF7" w:rsidRPr="00152E14" w:rsidRDefault="007B1E8B" w:rsidP="00152E14">
      <w:pPr>
        <w:spacing w:after="0"/>
        <w:ind w:left="4248" w:firstLine="708"/>
        <w:rPr>
          <w:rFonts w:ascii="Arial" w:eastAsia="Times New Roman" w:hAnsi="Arial" w:cs="Arial"/>
          <w:sz w:val="24"/>
          <w:szCs w:val="24"/>
          <w:lang w:val="es-ES_tradnl"/>
        </w:rPr>
      </w:pPr>
      <w:r>
        <w:rPr>
          <w:rFonts w:ascii="Arial" w:hAnsi="Arial" w:cs="Arial"/>
          <w:bCs/>
          <w:sz w:val="24"/>
          <w:szCs w:val="24"/>
        </w:rPr>
        <w:t xml:space="preserve">     </w:t>
      </w:r>
      <w:r w:rsidR="00C31868" w:rsidRPr="00064737">
        <w:rPr>
          <w:rFonts w:ascii="Arial" w:hAnsi="Arial" w:cs="Arial"/>
          <w:bCs/>
          <w:sz w:val="24"/>
          <w:szCs w:val="24"/>
        </w:rPr>
        <w:t>En compensación por Hábeas Corpus</w:t>
      </w:r>
    </w:p>
    <w:sectPr w:rsidR="00705BF7" w:rsidRPr="00152E14" w:rsidSect="00064737">
      <w:headerReference w:type="default" r:id="rId11"/>
      <w:footerReference w:type="default" r:id="rId12"/>
      <w:pgSz w:w="12242" w:h="18722" w:code="258"/>
      <w:pgMar w:top="1871" w:right="1185" w:bottom="1304" w:left="170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F5FBAF" w16cex:dateUtc="2022-07-21T16:03:23.625Z"/>
  <w16cex:commentExtensible w16cex:durableId="6CAB0625" w16cex:dateUtc="2022-07-25T20:31:14.7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0569F" w14:textId="77777777" w:rsidR="000B79FD" w:rsidRDefault="000B79FD">
      <w:pPr>
        <w:spacing w:after="0" w:line="240" w:lineRule="auto"/>
      </w:pPr>
      <w:r>
        <w:separator/>
      </w:r>
    </w:p>
  </w:endnote>
  <w:endnote w:type="continuationSeparator" w:id="0">
    <w:p w14:paraId="2F21AF4C" w14:textId="77777777" w:rsidR="000B79FD" w:rsidRDefault="000B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174CE" w14:textId="7D3254E5" w:rsidR="00521DD3" w:rsidRPr="00497D9E" w:rsidRDefault="00C13EA0" w:rsidP="00497D9E">
    <w:pPr>
      <w:pStyle w:val="Encabezado"/>
      <w:spacing w:after="0" w:line="240" w:lineRule="auto"/>
      <w:jc w:val="right"/>
      <w:rPr>
        <w:rFonts w:ascii="Arial" w:hAnsi="Arial" w:cs="Arial"/>
        <w:sz w:val="18"/>
        <w:szCs w:val="16"/>
      </w:rPr>
    </w:pPr>
    <w:r w:rsidRPr="00497D9E">
      <w:rPr>
        <w:rFonts w:ascii="Arial" w:hAnsi="Arial" w:cs="Arial"/>
        <w:sz w:val="18"/>
        <w:szCs w:val="16"/>
      </w:rPr>
      <w:fldChar w:fldCharType="begin"/>
    </w:r>
    <w:r w:rsidR="0093212E" w:rsidRPr="00497D9E">
      <w:rPr>
        <w:rFonts w:ascii="Arial" w:hAnsi="Arial" w:cs="Arial"/>
        <w:sz w:val="18"/>
        <w:szCs w:val="16"/>
      </w:rPr>
      <w:instrText>PAGE   \* MERGEFORMAT</w:instrText>
    </w:r>
    <w:r w:rsidRPr="00497D9E">
      <w:rPr>
        <w:rFonts w:ascii="Arial" w:hAnsi="Arial" w:cs="Arial"/>
        <w:sz w:val="18"/>
        <w:szCs w:val="16"/>
      </w:rPr>
      <w:fldChar w:fldCharType="separate"/>
    </w:r>
    <w:r w:rsidR="004A44ED" w:rsidRPr="00497D9E">
      <w:rPr>
        <w:rFonts w:ascii="Arial" w:hAnsi="Arial" w:cs="Arial"/>
        <w:sz w:val="18"/>
        <w:szCs w:val="16"/>
      </w:rPr>
      <w:t>2</w:t>
    </w:r>
    <w:r w:rsidRPr="00497D9E">
      <w:rPr>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2A4C1" w14:textId="77777777" w:rsidR="000B79FD" w:rsidRDefault="000B79FD">
      <w:pPr>
        <w:spacing w:after="0" w:line="240" w:lineRule="auto"/>
      </w:pPr>
      <w:r>
        <w:separator/>
      </w:r>
    </w:p>
  </w:footnote>
  <w:footnote w:type="continuationSeparator" w:id="0">
    <w:p w14:paraId="63F6BB73" w14:textId="77777777" w:rsidR="000B79FD" w:rsidRDefault="000B79FD">
      <w:pPr>
        <w:spacing w:after="0" w:line="240" w:lineRule="auto"/>
      </w:pPr>
      <w:r>
        <w:continuationSeparator/>
      </w:r>
    </w:p>
  </w:footnote>
  <w:footnote w:id="1">
    <w:p w14:paraId="202DA6DB" w14:textId="77777777" w:rsidR="00C25377" w:rsidRPr="00F63DC4" w:rsidRDefault="00C25377" w:rsidP="00C25377">
      <w:pPr>
        <w:pStyle w:val="Textonotapie"/>
      </w:pPr>
      <w:r>
        <w:rPr>
          <w:rStyle w:val="Refdenotaalpie"/>
        </w:rPr>
        <w:footnoteRef/>
      </w:r>
      <w:r>
        <w:t xml:space="preserve"> </w:t>
      </w:r>
      <w:proofErr w:type="spellStart"/>
      <w:r w:rsidRPr="00F24585">
        <w:rPr>
          <w:rFonts w:ascii="Arial" w:hAnsi="Arial" w:cs="Arial"/>
          <w:sz w:val="16"/>
          <w:szCs w:val="16"/>
        </w:rPr>
        <w:t>Ibañez</w:t>
      </w:r>
      <w:proofErr w:type="spellEnd"/>
      <w:r w:rsidRPr="00F24585">
        <w:rPr>
          <w:rFonts w:ascii="Arial" w:hAnsi="Arial" w:cs="Arial"/>
          <w:sz w:val="16"/>
          <w:szCs w:val="16"/>
        </w:rPr>
        <w:t>, 5º Edición. Pag 188.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A2A92" w14:textId="77777777" w:rsidR="00497D9E" w:rsidRPr="00497D9E" w:rsidRDefault="0069579D" w:rsidP="00497D9E">
    <w:pPr>
      <w:pStyle w:val="Encabezado"/>
      <w:spacing w:after="0" w:line="240" w:lineRule="auto"/>
      <w:jc w:val="center"/>
      <w:rPr>
        <w:rFonts w:ascii="Arial" w:hAnsi="Arial" w:cs="Arial"/>
        <w:sz w:val="18"/>
        <w:szCs w:val="16"/>
      </w:rPr>
    </w:pPr>
    <w:r w:rsidRPr="00497D9E">
      <w:rPr>
        <w:rFonts w:ascii="Arial" w:hAnsi="Arial" w:cs="Arial"/>
        <w:sz w:val="18"/>
        <w:szCs w:val="16"/>
      </w:rPr>
      <w:t xml:space="preserve">Marta Gladis Gómez Marín Vs </w:t>
    </w:r>
    <w:proofErr w:type="spellStart"/>
    <w:r w:rsidRPr="00497D9E">
      <w:rPr>
        <w:rFonts w:ascii="Arial" w:hAnsi="Arial" w:cs="Arial"/>
        <w:sz w:val="18"/>
        <w:szCs w:val="16"/>
      </w:rPr>
      <w:t>Indalpac</w:t>
    </w:r>
    <w:proofErr w:type="spellEnd"/>
    <w:r w:rsidRPr="00497D9E">
      <w:rPr>
        <w:rFonts w:ascii="Arial" w:hAnsi="Arial" w:cs="Arial"/>
        <w:sz w:val="18"/>
        <w:szCs w:val="16"/>
      </w:rPr>
      <w:t xml:space="preserve"> y otros</w:t>
    </w:r>
  </w:p>
  <w:p w14:paraId="6D072C0D" w14:textId="1A2FD578" w:rsidR="00521DD3" w:rsidRPr="00497D9E" w:rsidRDefault="0069579D" w:rsidP="00497D9E">
    <w:pPr>
      <w:pStyle w:val="Encabezado"/>
      <w:spacing w:after="0" w:line="240" w:lineRule="auto"/>
      <w:jc w:val="center"/>
      <w:rPr>
        <w:rFonts w:ascii="Arial" w:hAnsi="Arial" w:cs="Arial"/>
        <w:sz w:val="18"/>
        <w:szCs w:val="16"/>
      </w:rPr>
    </w:pPr>
    <w:r w:rsidRPr="00497D9E">
      <w:rPr>
        <w:rFonts w:ascii="Arial" w:hAnsi="Arial" w:cs="Arial"/>
        <w:sz w:val="18"/>
        <w:szCs w:val="16"/>
      </w:rPr>
      <w:t xml:space="preserve">Rad. </w:t>
    </w:r>
    <w:r w:rsidRPr="00497D9E">
      <w:rPr>
        <w:rFonts w:ascii="Arial" w:hAnsi="Arial" w:cs="Arial"/>
        <w:bCs/>
        <w:spacing w:val="2"/>
        <w:sz w:val="18"/>
        <w:szCs w:val="16"/>
      </w:rPr>
      <w:t>66170-31-05-001-2021-00062-01</w:t>
    </w:r>
    <w:r w:rsidRPr="00497D9E">
      <w:rPr>
        <w:rFonts w:ascii="Arial" w:hAnsi="Arial" w:cs="Arial"/>
        <w:sz w:val="18"/>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6D7"/>
    <w:multiLevelType w:val="hybridMultilevel"/>
    <w:tmpl w:val="7B84EA0E"/>
    <w:lvl w:ilvl="0" w:tplc="0C0A000F">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216523"/>
    <w:multiLevelType w:val="hybridMultilevel"/>
    <w:tmpl w:val="1AD24B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11E02D5"/>
    <w:multiLevelType w:val="hybridMultilevel"/>
    <w:tmpl w:val="741CBA56"/>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D02C17"/>
    <w:multiLevelType w:val="hybridMultilevel"/>
    <w:tmpl w:val="389639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F6"/>
    <w:rsid w:val="00002B71"/>
    <w:rsid w:val="00004C58"/>
    <w:rsid w:val="00010359"/>
    <w:rsid w:val="00013744"/>
    <w:rsid w:val="000160C3"/>
    <w:rsid w:val="000256DA"/>
    <w:rsid w:val="00032D3B"/>
    <w:rsid w:val="00053499"/>
    <w:rsid w:val="0005558D"/>
    <w:rsid w:val="00057751"/>
    <w:rsid w:val="000618DB"/>
    <w:rsid w:val="0006370E"/>
    <w:rsid w:val="00064737"/>
    <w:rsid w:val="000734C5"/>
    <w:rsid w:val="00074062"/>
    <w:rsid w:val="000750D0"/>
    <w:rsid w:val="0008153B"/>
    <w:rsid w:val="000852F8"/>
    <w:rsid w:val="000877FA"/>
    <w:rsid w:val="000A37EE"/>
    <w:rsid w:val="000A5B47"/>
    <w:rsid w:val="000A6A9A"/>
    <w:rsid w:val="000B2E87"/>
    <w:rsid w:val="000B3CC3"/>
    <w:rsid w:val="000B7817"/>
    <w:rsid w:val="000B79FD"/>
    <w:rsid w:val="000C159B"/>
    <w:rsid w:val="000C1BCF"/>
    <w:rsid w:val="000D04FD"/>
    <w:rsid w:val="000D1343"/>
    <w:rsid w:val="000E0FD9"/>
    <w:rsid w:val="000E65DA"/>
    <w:rsid w:val="000F304F"/>
    <w:rsid w:val="001008DA"/>
    <w:rsid w:val="00100BC3"/>
    <w:rsid w:val="00100BDC"/>
    <w:rsid w:val="00105CCD"/>
    <w:rsid w:val="001108D4"/>
    <w:rsid w:val="0011197B"/>
    <w:rsid w:val="001123F2"/>
    <w:rsid w:val="00112AF2"/>
    <w:rsid w:val="001145E6"/>
    <w:rsid w:val="0011626E"/>
    <w:rsid w:val="00123D02"/>
    <w:rsid w:val="00124003"/>
    <w:rsid w:val="001374B0"/>
    <w:rsid w:val="00147160"/>
    <w:rsid w:val="00152E14"/>
    <w:rsid w:val="001620FC"/>
    <w:rsid w:val="001628F5"/>
    <w:rsid w:val="00163695"/>
    <w:rsid w:val="0017033C"/>
    <w:rsid w:val="00182F04"/>
    <w:rsid w:val="00190E4F"/>
    <w:rsid w:val="001919C2"/>
    <w:rsid w:val="00193087"/>
    <w:rsid w:val="001951E2"/>
    <w:rsid w:val="001952AB"/>
    <w:rsid w:val="0019570E"/>
    <w:rsid w:val="001A2459"/>
    <w:rsid w:val="001A6366"/>
    <w:rsid w:val="001D49D8"/>
    <w:rsid w:val="001D56D6"/>
    <w:rsid w:val="001F772D"/>
    <w:rsid w:val="002014F5"/>
    <w:rsid w:val="0020463E"/>
    <w:rsid w:val="00206747"/>
    <w:rsid w:val="00206FD5"/>
    <w:rsid w:val="00211AF5"/>
    <w:rsid w:val="00213C63"/>
    <w:rsid w:val="00214F01"/>
    <w:rsid w:val="002168CD"/>
    <w:rsid w:val="00220547"/>
    <w:rsid w:val="0022158D"/>
    <w:rsid w:val="002268F4"/>
    <w:rsid w:val="00226F3A"/>
    <w:rsid w:val="002270BA"/>
    <w:rsid w:val="002276CC"/>
    <w:rsid w:val="0023638D"/>
    <w:rsid w:val="0024630A"/>
    <w:rsid w:val="002521BD"/>
    <w:rsid w:val="00252556"/>
    <w:rsid w:val="00255281"/>
    <w:rsid w:val="002564C9"/>
    <w:rsid w:val="00260FFD"/>
    <w:rsid w:val="00264957"/>
    <w:rsid w:val="00264EB6"/>
    <w:rsid w:val="002708C9"/>
    <w:rsid w:val="0028162F"/>
    <w:rsid w:val="002931B7"/>
    <w:rsid w:val="00295775"/>
    <w:rsid w:val="00296D29"/>
    <w:rsid w:val="002A4329"/>
    <w:rsid w:val="002A5F02"/>
    <w:rsid w:val="002B07F9"/>
    <w:rsid w:val="002B0B83"/>
    <w:rsid w:val="002B0FE1"/>
    <w:rsid w:val="002B7909"/>
    <w:rsid w:val="002C33AD"/>
    <w:rsid w:val="002D1B7F"/>
    <w:rsid w:val="002D37AB"/>
    <w:rsid w:val="002E1ACB"/>
    <w:rsid w:val="002E5961"/>
    <w:rsid w:val="002F0B5D"/>
    <w:rsid w:val="002F2EFA"/>
    <w:rsid w:val="002F3436"/>
    <w:rsid w:val="002F39FE"/>
    <w:rsid w:val="002F450A"/>
    <w:rsid w:val="003001D9"/>
    <w:rsid w:val="00302660"/>
    <w:rsid w:val="003077EF"/>
    <w:rsid w:val="00310F50"/>
    <w:rsid w:val="00312005"/>
    <w:rsid w:val="00312344"/>
    <w:rsid w:val="003131A7"/>
    <w:rsid w:val="0031321E"/>
    <w:rsid w:val="00316275"/>
    <w:rsid w:val="00324A20"/>
    <w:rsid w:val="0032668D"/>
    <w:rsid w:val="00331AF6"/>
    <w:rsid w:val="00333465"/>
    <w:rsid w:val="00341CE7"/>
    <w:rsid w:val="00350092"/>
    <w:rsid w:val="00357902"/>
    <w:rsid w:val="00357B44"/>
    <w:rsid w:val="00360C54"/>
    <w:rsid w:val="0036474A"/>
    <w:rsid w:val="00365CE5"/>
    <w:rsid w:val="003745FA"/>
    <w:rsid w:val="0037666A"/>
    <w:rsid w:val="00384A8C"/>
    <w:rsid w:val="0039018C"/>
    <w:rsid w:val="00391E85"/>
    <w:rsid w:val="003962C9"/>
    <w:rsid w:val="00397C74"/>
    <w:rsid w:val="003A5F09"/>
    <w:rsid w:val="003B31FF"/>
    <w:rsid w:val="003D09AC"/>
    <w:rsid w:val="003D547B"/>
    <w:rsid w:val="003D772E"/>
    <w:rsid w:val="003F00D2"/>
    <w:rsid w:val="003F0BEA"/>
    <w:rsid w:val="003F0E42"/>
    <w:rsid w:val="003F1480"/>
    <w:rsid w:val="003F34C5"/>
    <w:rsid w:val="003F5632"/>
    <w:rsid w:val="004066EE"/>
    <w:rsid w:val="00406FA4"/>
    <w:rsid w:val="00407092"/>
    <w:rsid w:val="00407219"/>
    <w:rsid w:val="004128BC"/>
    <w:rsid w:val="00414C18"/>
    <w:rsid w:val="00424368"/>
    <w:rsid w:val="00431E80"/>
    <w:rsid w:val="0043260D"/>
    <w:rsid w:val="00436814"/>
    <w:rsid w:val="00437336"/>
    <w:rsid w:val="00441E20"/>
    <w:rsid w:val="004442DD"/>
    <w:rsid w:val="00446F9B"/>
    <w:rsid w:val="0045149F"/>
    <w:rsid w:val="004521A4"/>
    <w:rsid w:val="00455C72"/>
    <w:rsid w:val="004624A8"/>
    <w:rsid w:val="004713B8"/>
    <w:rsid w:val="00475EC0"/>
    <w:rsid w:val="00482ED1"/>
    <w:rsid w:val="00484DB8"/>
    <w:rsid w:val="004916F5"/>
    <w:rsid w:val="00497D9E"/>
    <w:rsid w:val="004A44ED"/>
    <w:rsid w:val="004A5D60"/>
    <w:rsid w:val="004B2CAA"/>
    <w:rsid w:val="004B65C1"/>
    <w:rsid w:val="004B746F"/>
    <w:rsid w:val="004C03D2"/>
    <w:rsid w:val="004C1778"/>
    <w:rsid w:val="004C4476"/>
    <w:rsid w:val="004C6DB9"/>
    <w:rsid w:val="004D00BB"/>
    <w:rsid w:val="004D3406"/>
    <w:rsid w:val="004E0064"/>
    <w:rsid w:val="004E478A"/>
    <w:rsid w:val="004E5C05"/>
    <w:rsid w:val="004E623B"/>
    <w:rsid w:val="004E7070"/>
    <w:rsid w:val="004F2B26"/>
    <w:rsid w:val="004F5F5B"/>
    <w:rsid w:val="00502E9A"/>
    <w:rsid w:val="00505DFC"/>
    <w:rsid w:val="005124BD"/>
    <w:rsid w:val="00517D0E"/>
    <w:rsid w:val="00520C47"/>
    <w:rsid w:val="00521DD3"/>
    <w:rsid w:val="00524DFE"/>
    <w:rsid w:val="005315D4"/>
    <w:rsid w:val="00552BC8"/>
    <w:rsid w:val="0056442B"/>
    <w:rsid w:val="005648B1"/>
    <w:rsid w:val="00570C44"/>
    <w:rsid w:val="00570E23"/>
    <w:rsid w:val="00571323"/>
    <w:rsid w:val="00584AC6"/>
    <w:rsid w:val="005907F4"/>
    <w:rsid w:val="00592F66"/>
    <w:rsid w:val="005A0220"/>
    <w:rsid w:val="005B2874"/>
    <w:rsid w:val="005B3ADA"/>
    <w:rsid w:val="005B6189"/>
    <w:rsid w:val="005C02D5"/>
    <w:rsid w:val="005C61C2"/>
    <w:rsid w:val="005D26B4"/>
    <w:rsid w:val="005D37B9"/>
    <w:rsid w:val="005D3C71"/>
    <w:rsid w:val="005D4240"/>
    <w:rsid w:val="005D734C"/>
    <w:rsid w:val="005E06EA"/>
    <w:rsid w:val="005F5302"/>
    <w:rsid w:val="006005A0"/>
    <w:rsid w:val="00600EEA"/>
    <w:rsid w:val="0062779A"/>
    <w:rsid w:val="0063485B"/>
    <w:rsid w:val="0063686D"/>
    <w:rsid w:val="00647509"/>
    <w:rsid w:val="0065379D"/>
    <w:rsid w:val="00655915"/>
    <w:rsid w:val="00656351"/>
    <w:rsid w:val="00657D88"/>
    <w:rsid w:val="00662027"/>
    <w:rsid w:val="00663B49"/>
    <w:rsid w:val="00664A93"/>
    <w:rsid w:val="0066763E"/>
    <w:rsid w:val="006746F6"/>
    <w:rsid w:val="0068199E"/>
    <w:rsid w:val="00682E64"/>
    <w:rsid w:val="00685605"/>
    <w:rsid w:val="006877F2"/>
    <w:rsid w:val="0069579D"/>
    <w:rsid w:val="006968E7"/>
    <w:rsid w:val="006A14D0"/>
    <w:rsid w:val="006A3DB5"/>
    <w:rsid w:val="006B5757"/>
    <w:rsid w:val="006B665F"/>
    <w:rsid w:val="006C1B78"/>
    <w:rsid w:val="006C2593"/>
    <w:rsid w:val="006C4830"/>
    <w:rsid w:val="006C7EE7"/>
    <w:rsid w:val="006D60C9"/>
    <w:rsid w:val="006E0764"/>
    <w:rsid w:val="006E233B"/>
    <w:rsid w:val="006E3AC5"/>
    <w:rsid w:val="006E3BB6"/>
    <w:rsid w:val="006E4C0F"/>
    <w:rsid w:val="006E680B"/>
    <w:rsid w:val="006E69AB"/>
    <w:rsid w:val="006E702F"/>
    <w:rsid w:val="006F2C44"/>
    <w:rsid w:val="006F7737"/>
    <w:rsid w:val="007017BD"/>
    <w:rsid w:val="00703AB4"/>
    <w:rsid w:val="00705BF7"/>
    <w:rsid w:val="00712F6E"/>
    <w:rsid w:val="007326F2"/>
    <w:rsid w:val="007411B7"/>
    <w:rsid w:val="00742FCD"/>
    <w:rsid w:val="007447DA"/>
    <w:rsid w:val="007506C8"/>
    <w:rsid w:val="00750C6E"/>
    <w:rsid w:val="007511B0"/>
    <w:rsid w:val="007566C8"/>
    <w:rsid w:val="00761736"/>
    <w:rsid w:val="00761BC1"/>
    <w:rsid w:val="007778EB"/>
    <w:rsid w:val="00786BD6"/>
    <w:rsid w:val="007A16B0"/>
    <w:rsid w:val="007A1C8E"/>
    <w:rsid w:val="007A3528"/>
    <w:rsid w:val="007A6C68"/>
    <w:rsid w:val="007B1E46"/>
    <w:rsid w:val="007B1E8B"/>
    <w:rsid w:val="007C019D"/>
    <w:rsid w:val="007C1DB4"/>
    <w:rsid w:val="007D18F4"/>
    <w:rsid w:val="007D3239"/>
    <w:rsid w:val="007D6EA4"/>
    <w:rsid w:val="007E4D49"/>
    <w:rsid w:val="007F1578"/>
    <w:rsid w:val="00800C41"/>
    <w:rsid w:val="00801554"/>
    <w:rsid w:val="00805DBF"/>
    <w:rsid w:val="00821C13"/>
    <w:rsid w:val="008227E1"/>
    <w:rsid w:val="008242BE"/>
    <w:rsid w:val="00834C70"/>
    <w:rsid w:val="008417EB"/>
    <w:rsid w:val="00845488"/>
    <w:rsid w:val="00846096"/>
    <w:rsid w:val="00850371"/>
    <w:rsid w:val="00853FD7"/>
    <w:rsid w:val="008572DA"/>
    <w:rsid w:val="008613EF"/>
    <w:rsid w:val="00863014"/>
    <w:rsid w:val="00863B46"/>
    <w:rsid w:val="00865273"/>
    <w:rsid w:val="00873644"/>
    <w:rsid w:val="0087414D"/>
    <w:rsid w:val="00875C9F"/>
    <w:rsid w:val="008805D1"/>
    <w:rsid w:val="00882C02"/>
    <w:rsid w:val="008846F6"/>
    <w:rsid w:val="00890E1E"/>
    <w:rsid w:val="00892BB9"/>
    <w:rsid w:val="008939B5"/>
    <w:rsid w:val="008A2B98"/>
    <w:rsid w:val="008A5622"/>
    <w:rsid w:val="008A7BE4"/>
    <w:rsid w:val="008B3B6F"/>
    <w:rsid w:val="008C0C89"/>
    <w:rsid w:val="008C3A5C"/>
    <w:rsid w:val="008D36DB"/>
    <w:rsid w:val="008D6832"/>
    <w:rsid w:val="008D7DF2"/>
    <w:rsid w:val="008E0E07"/>
    <w:rsid w:val="008E4E97"/>
    <w:rsid w:val="008F0307"/>
    <w:rsid w:val="008F2B2C"/>
    <w:rsid w:val="008F3A01"/>
    <w:rsid w:val="0090780A"/>
    <w:rsid w:val="009123C9"/>
    <w:rsid w:val="0092138E"/>
    <w:rsid w:val="0093212E"/>
    <w:rsid w:val="0093394E"/>
    <w:rsid w:val="00935F83"/>
    <w:rsid w:val="00940E5D"/>
    <w:rsid w:val="0094403E"/>
    <w:rsid w:val="009571C8"/>
    <w:rsid w:val="00957BBC"/>
    <w:rsid w:val="00962BFD"/>
    <w:rsid w:val="0096529F"/>
    <w:rsid w:val="009673E1"/>
    <w:rsid w:val="00970DF4"/>
    <w:rsid w:val="009711C4"/>
    <w:rsid w:val="00973B1D"/>
    <w:rsid w:val="0097406D"/>
    <w:rsid w:val="00980149"/>
    <w:rsid w:val="00985DAD"/>
    <w:rsid w:val="009877D7"/>
    <w:rsid w:val="00990481"/>
    <w:rsid w:val="0099211C"/>
    <w:rsid w:val="00997EDA"/>
    <w:rsid w:val="009A1E65"/>
    <w:rsid w:val="009A1FCF"/>
    <w:rsid w:val="009D0BDB"/>
    <w:rsid w:val="009D26FB"/>
    <w:rsid w:val="009D3E45"/>
    <w:rsid w:val="009E26A4"/>
    <w:rsid w:val="009F244D"/>
    <w:rsid w:val="009F3213"/>
    <w:rsid w:val="00A00E34"/>
    <w:rsid w:val="00A01ED0"/>
    <w:rsid w:val="00A06018"/>
    <w:rsid w:val="00A1287D"/>
    <w:rsid w:val="00A233A9"/>
    <w:rsid w:val="00A25004"/>
    <w:rsid w:val="00A27B35"/>
    <w:rsid w:val="00A31A40"/>
    <w:rsid w:val="00A33AE9"/>
    <w:rsid w:val="00A33E56"/>
    <w:rsid w:val="00A3456E"/>
    <w:rsid w:val="00A35123"/>
    <w:rsid w:val="00A353D5"/>
    <w:rsid w:val="00A36F05"/>
    <w:rsid w:val="00A415ED"/>
    <w:rsid w:val="00A4376A"/>
    <w:rsid w:val="00A505DA"/>
    <w:rsid w:val="00A52386"/>
    <w:rsid w:val="00A66CC5"/>
    <w:rsid w:val="00A67F72"/>
    <w:rsid w:val="00A74F7D"/>
    <w:rsid w:val="00A85F59"/>
    <w:rsid w:val="00A86171"/>
    <w:rsid w:val="00A902DA"/>
    <w:rsid w:val="00A93F75"/>
    <w:rsid w:val="00A948A2"/>
    <w:rsid w:val="00A95483"/>
    <w:rsid w:val="00AA4340"/>
    <w:rsid w:val="00AA5C80"/>
    <w:rsid w:val="00AA66B1"/>
    <w:rsid w:val="00AA6A67"/>
    <w:rsid w:val="00AB224C"/>
    <w:rsid w:val="00AB254E"/>
    <w:rsid w:val="00AB61D7"/>
    <w:rsid w:val="00AC66F3"/>
    <w:rsid w:val="00AD19A5"/>
    <w:rsid w:val="00AD7561"/>
    <w:rsid w:val="00AF4C01"/>
    <w:rsid w:val="00B01BC2"/>
    <w:rsid w:val="00B06814"/>
    <w:rsid w:val="00B1183B"/>
    <w:rsid w:val="00B1799D"/>
    <w:rsid w:val="00B23BAD"/>
    <w:rsid w:val="00B25B78"/>
    <w:rsid w:val="00B25D17"/>
    <w:rsid w:val="00B3047F"/>
    <w:rsid w:val="00B3059A"/>
    <w:rsid w:val="00B31433"/>
    <w:rsid w:val="00B321DD"/>
    <w:rsid w:val="00B32786"/>
    <w:rsid w:val="00B32F4C"/>
    <w:rsid w:val="00B35BF3"/>
    <w:rsid w:val="00B51FFC"/>
    <w:rsid w:val="00B57C61"/>
    <w:rsid w:val="00B63C03"/>
    <w:rsid w:val="00B6741B"/>
    <w:rsid w:val="00B73BCE"/>
    <w:rsid w:val="00B85A18"/>
    <w:rsid w:val="00B862C3"/>
    <w:rsid w:val="00B961D8"/>
    <w:rsid w:val="00BA112F"/>
    <w:rsid w:val="00BA43E3"/>
    <w:rsid w:val="00BA57E3"/>
    <w:rsid w:val="00BA7D7B"/>
    <w:rsid w:val="00BB1581"/>
    <w:rsid w:val="00BB5B16"/>
    <w:rsid w:val="00BC0945"/>
    <w:rsid w:val="00BC21C5"/>
    <w:rsid w:val="00BC350D"/>
    <w:rsid w:val="00BD28E4"/>
    <w:rsid w:val="00BD322A"/>
    <w:rsid w:val="00BD35ED"/>
    <w:rsid w:val="00BD3C33"/>
    <w:rsid w:val="00BE1DB3"/>
    <w:rsid w:val="00BE22EF"/>
    <w:rsid w:val="00BE6849"/>
    <w:rsid w:val="00BF40F6"/>
    <w:rsid w:val="00C043F0"/>
    <w:rsid w:val="00C13EA0"/>
    <w:rsid w:val="00C157DF"/>
    <w:rsid w:val="00C25377"/>
    <w:rsid w:val="00C31868"/>
    <w:rsid w:val="00C34287"/>
    <w:rsid w:val="00C64116"/>
    <w:rsid w:val="00C64C20"/>
    <w:rsid w:val="00C734EE"/>
    <w:rsid w:val="00C80CD7"/>
    <w:rsid w:val="00C87178"/>
    <w:rsid w:val="00C8729C"/>
    <w:rsid w:val="00C90A57"/>
    <w:rsid w:val="00C9381A"/>
    <w:rsid w:val="00CA5CE3"/>
    <w:rsid w:val="00CB4864"/>
    <w:rsid w:val="00CD3263"/>
    <w:rsid w:val="00CD4DCC"/>
    <w:rsid w:val="00CE2E3C"/>
    <w:rsid w:val="00CE3865"/>
    <w:rsid w:val="00CE3E80"/>
    <w:rsid w:val="00CF2E2D"/>
    <w:rsid w:val="00D01C6C"/>
    <w:rsid w:val="00D020C2"/>
    <w:rsid w:val="00D10D3E"/>
    <w:rsid w:val="00D16D89"/>
    <w:rsid w:val="00D3545A"/>
    <w:rsid w:val="00D35C91"/>
    <w:rsid w:val="00D35F71"/>
    <w:rsid w:val="00D37FFA"/>
    <w:rsid w:val="00D43E57"/>
    <w:rsid w:val="00D45ED5"/>
    <w:rsid w:val="00D47837"/>
    <w:rsid w:val="00D52191"/>
    <w:rsid w:val="00D6129C"/>
    <w:rsid w:val="00D70406"/>
    <w:rsid w:val="00D774C3"/>
    <w:rsid w:val="00D81984"/>
    <w:rsid w:val="00D834AF"/>
    <w:rsid w:val="00D96F62"/>
    <w:rsid w:val="00DA168B"/>
    <w:rsid w:val="00DA7262"/>
    <w:rsid w:val="00DB45EE"/>
    <w:rsid w:val="00DB7A0C"/>
    <w:rsid w:val="00DC18DC"/>
    <w:rsid w:val="00DC18F6"/>
    <w:rsid w:val="00DE2ADC"/>
    <w:rsid w:val="00DE3FB9"/>
    <w:rsid w:val="00DE3FD3"/>
    <w:rsid w:val="00DE562A"/>
    <w:rsid w:val="00DE6602"/>
    <w:rsid w:val="00DF2E54"/>
    <w:rsid w:val="00DF6487"/>
    <w:rsid w:val="00DF64D7"/>
    <w:rsid w:val="00E01A09"/>
    <w:rsid w:val="00E046AB"/>
    <w:rsid w:val="00E1156C"/>
    <w:rsid w:val="00E169F4"/>
    <w:rsid w:val="00E16AB3"/>
    <w:rsid w:val="00E16E3D"/>
    <w:rsid w:val="00E260CF"/>
    <w:rsid w:val="00E2671D"/>
    <w:rsid w:val="00E26B4C"/>
    <w:rsid w:val="00E271AB"/>
    <w:rsid w:val="00E27DB8"/>
    <w:rsid w:val="00E37C5D"/>
    <w:rsid w:val="00E37DA2"/>
    <w:rsid w:val="00E421DC"/>
    <w:rsid w:val="00E43D12"/>
    <w:rsid w:val="00E525A6"/>
    <w:rsid w:val="00E5458A"/>
    <w:rsid w:val="00E54CE1"/>
    <w:rsid w:val="00E61371"/>
    <w:rsid w:val="00E76127"/>
    <w:rsid w:val="00E769BB"/>
    <w:rsid w:val="00E7764A"/>
    <w:rsid w:val="00E86B32"/>
    <w:rsid w:val="00E87E75"/>
    <w:rsid w:val="00E90D9A"/>
    <w:rsid w:val="00E92617"/>
    <w:rsid w:val="00E956CF"/>
    <w:rsid w:val="00EB4156"/>
    <w:rsid w:val="00EB4EF0"/>
    <w:rsid w:val="00EB711E"/>
    <w:rsid w:val="00EC044C"/>
    <w:rsid w:val="00EC1B31"/>
    <w:rsid w:val="00EC324D"/>
    <w:rsid w:val="00EC3430"/>
    <w:rsid w:val="00ED3703"/>
    <w:rsid w:val="00EE152A"/>
    <w:rsid w:val="00EE19D2"/>
    <w:rsid w:val="00EE4B8E"/>
    <w:rsid w:val="00EF008D"/>
    <w:rsid w:val="00EF45A7"/>
    <w:rsid w:val="00F0101A"/>
    <w:rsid w:val="00F06475"/>
    <w:rsid w:val="00F12B65"/>
    <w:rsid w:val="00F142D8"/>
    <w:rsid w:val="00F165B3"/>
    <w:rsid w:val="00F242AA"/>
    <w:rsid w:val="00F3217D"/>
    <w:rsid w:val="00F3618A"/>
    <w:rsid w:val="00F417F9"/>
    <w:rsid w:val="00F4400A"/>
    <w:rsid w:val="00F46F5D"/>
    <w:rsid w:val="00F471CF"/>
    <w:rsid w:val="00F47A09"/>
    <w:rsid w:val="00F63C81"/>
    <w:rsid w:val="00F63D32"/>
    <w:rsid w:val="00F803FA"/>
    <w:rsid w:val="00F85D49"/>
    <w:rsid w:val="00F919DE"/>
    <w:rsid w:val="00F948BA"/>
    <w:rsid w:val="00FA0A6F"/>
    <w:rsid w:val="00FA0E2A"/>
    <w:rsid w:val="00FA37DC"/>
    <w:rsid w:val="00FA5563"/>
    <w:rsid w:val="00FB66D9"/>
    <w:rsid w:val="00FC3976"/>
    <w:rsid w:val="00FD0A41"/>
    <w:rsid w:val="00FE093D"/>
    <w:rsid w:val="00FE60C0"/>
    <w:rsid w:val="00FF0425"/>
    <w:rsid w:val="027A51A2"/>
    <w:rsid w:val="039FF850"/>
    <w:rsid w:val="04DB3B27"/>
    <w:rsid w:val="04EB470E"/>
    <w:rsid w:val="05B1F264"/>
    <w:rsid w:val="085A4116"/>
    <w:rsid w:val="0910576B"/>
    <w:rsid w:val="0B79267A"/>
    <w:rsid w:val="0B906267"/>
    <w:rsid w:val="0DDB30A2"/>
    <w:rsid w:val="0E60EE6A"/>
    <w:rsid w:val="144A7226"/>
    <w:rsid w:val="14F15EF1"/>
    <w:rsid w:val="15054CCC"/>
    <w:rsid w:val="16A11D2D"/>
    <w:rsid w:val="1726517C"/>
    <w:rsid w:val="17BA0A37"/>
    <w:rsid w:val="183CED8E"/>
    <w:rsid w:val="1855BD12"/>
    <w:rsid w:val="18C221DD"/>
    <w:rsid w:val="1913A630"/>
    <w:rsid w:val="1930FBC2"/>
    <w:rsid w:val="19ABA7B7"/>
    <w:rsid w:val="1A71934B"/>
    <w:rsid w:val="1D4946FE"/>
    <w:rsid w:val="1EE5175F"/>
    <w:rsid w:val="1EE793EA"/>
    <w:rsid w:val="1F82E7B4"/>
    <w:rsid w:val="1FC05C5B"/>
    <w:rsid w:val="1FDB4099"/>
    <w:rsid w:val="205F7793"/>
    <w:rsid w:val="215491EA"/>
    <w:rsid w:val="222C4079"/>
    <w:rsid w:val="2266B490"/>
    <w:rsid w:val="22AA7C8F"/>
    <w:rsid w:val="27DD0432"/>
    <w:rsid w:val="27FDB367"/>
    <w:rsid w:val="2881BC8C"/>
    <w:rsid w:val="298F8283"/>
    <w:rsid w:val="2C383678"/>
    <w:rsid w:val="2D607049"/>
    <w:rsid w:val="2F6FD73A"/>
    <w:rsid w:val="300E6B47"/>
    <w:rsid w:val="32D48E34"/>
    <w:rsid w:val="350933F1"/>
    <w:rsid w:val="353B157D"/>
    <w:rsid w:val="3774A8E1"/>
    <w:rsid w:val="377AE91F"/>
    <w:rsid w:val="38598DE2"/>
    <w:rsid w:val="3A2CB2F9"/>
    <w:rsid w:val="3B1055DF"/>
    <w:rsid w:val="3C6653AF"/>
    <w:rsid w:val="3D2CFF05"/>
    <w:rsid w:val="3DCE5970"/>
    <w:rsid w:val="3EAB0D20"/>
    <w:rsid w:val="4023F0D8"/>
    <w:rsid w:val="409BF47D"/>
    <w:rsid w:val="41593D0A"/>
    <w:rsid w:val="45652887"/>
    <w:rsid w:val="45FD2A0E"/>
    <w:rsid w:val="48ED4AEC"/>
    <w:rsid w:val="497C2FFD"/>
    <w:rsid w:val="4AFD5890"/>
    <w:rsid w:val="516318BC"/>
    <w:rsid w:val="52F12E88"/>
    <w:rsid w:val="5552180D"/>
    <w:rsid w:val="59E424AD"/>
    <w:rsid w:val="5A529F68"/>
    <w:rsid w:val="5E488C30"/>
    <w:rsid w:val="6371DE96"/>
    <w:rsid w:val="63CC6B76"/>
    <w:rsid w:val="6492570A"/>
    <w:rsid w:val="667E3550"/>
    <w:rsid w:val="697C94EC"/>
    <w:rsid w:val="69AEEE0D"/>
    <w:rsid w:val="6B0819CC"/>
    <w:rsid w:val="70F8C1C0"/>
    <w:rsid w:val="71858914"/>
    <w:rsid w:val="72830496"/>
    <w:rsid w:val="72961192"/>
    <w:rsid w:val="75ECB053"/>
    <w:rsid w:val="76A0CC63"/>
    <w:rsid w:val="7700EE85"/>
    <w:rsid w:val="788106D3"/>
    <w:rsid w:val="7B598192"/>
    <w:rsid w:val="7DD74D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063C6"/>
  <w15:docId w15:val="{28171C3C-15E8-43CE-8A97-932018EC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9A5"/>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19A5"/>
    <w:pPr>
      <w:spacing w:after="0" w:line="360" w:lineRule="auto"/>
      <w:jc w:val="both"/>
    </w:pPr>
    <w:rPr>
      <w:rFonts w:ascii="Arial" w:eastAsia="Times New Roman" w:hAnsi="Arial"/>
      <w:sz w:val="26"/>
      <w:szCs w:val="20"/>
      <w:lang w:val="es-ES_tradnl"/>
    </w:rPr>
  </w:style>
  <w:style w:type="paragraph" w:styleId="Ttulo">
    <w:name w:val="Title"/>
    <w:aliases w:val="Puesto"/>
    <w:basedOn w:val="Normal"/>
    <w:qFormat/>
    <w:rsid w:val="00AD19A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AD19A5"/>
    <w:pPr>
      <w:tabs>
        <w:tab w:val="center" w:pos="4419"/>
        <w:tab w:val="right" w:pos="8838"/>
      </w:tabs>
    </w:pPr>
  </w:style>
  <w:style w:type="paragraph" w:styleId="Piedepgina">
    <w:name w:val="footer"/>
    <w:basedOn w:val="Normal"/>
    <w:link w:val="PiedepginaCar"/>
    <w:uiPriority w:val="99"/>
    <w:unhideWhenUsed/>
    <w:rsid w:val="00AD19A5"/>
    <w:pPr>
      <w:tabs>
        <w:tab w:val="center" w:pos="4419"/>
        <w:tab w:val="right" w:pos="8838"/>
      </w:tabs>
    </w:pPr>
  </w:style>
  <w:style w:type="character" w:customStyle="1" w:styleId="CarCar7">
    <w:name w:val="Car Car7"/>
    <w:rsid w:val="00AD19A5"/>
    <w:rPr>
      <w:rFonts w:ascii="Arial" w:hAnsi="Arial"/>
      <w:sz w:val="26"/>
      <w:lang w:val="es-ES_tradnl" w:bidi="ar-SA"/>
    </w:rPr>
  </w:style>
  <w:style w:type="character" w:customStyle="1" w:styleId="CarCar5">
    <w:name w:val="Car Car5"/>
    <w:rsid w:val="00AD19A5"/>
    <w:rPr>
      <w:rFonts w:ascii="Calibri" w:eastAsia="Calibri" w:hAnsi="Calibri"/>
      <w:sz w:val="22"/>
      <w:szCs w:val="22"/>
      <w:lang w:val="es-CO" w:eastAsia="en-US" w:bidi="ar-SA"/>
    </w:rPr>
  </w:style>
  <w:style w:type="paragraph" w:styleId="NormalWeb">
    <w:name w:val="Normal (Web)"/>
    <w:basedOn w:val="Normal"/>
    <w:uiPriority w:val="99"/>
    <w:semiHidden/>
    <w:rsid w:val="00AD19A5"/>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TextoindependienteCar">
    <w:name w:val="Texto independiente Car"/>
    <w:link w:val="Textoindependiente"/>
    <w:rsid w:val="004E5C05"/>
    <w:rPr>
      <w:rFonts w:ascii="Arial" w:hAnsi="Arial"/>
      <w:sz w:val="26"/>
      <w:lang w:val="es-ES_tradnl"/>
    </w:rPr>
  </w:style>
  <w:style w:type="character" w:customStyle="1" w:styleId="apple-converted-space">
    <w:name w:val="apple-converted-space"/>
    <w:rsid w:val="001951E2"/>
  </w:style>
  <w:style w:type="character" w:styleId="Hipervnculo">
    <w:name w:val="Hyperlink"/>
    <w:uiPriority w:val="99"/>
    <w:unhideWhenUsed/>
    <w:rsid w:val="001951E2"/>
    <w:rPr>
      <w:color w:val="0000FF"/>
      <w:u w:val="single"/>
    </w:rPr>
  </w:style>
  <w:style w:type="paragraph" w:styleId="Textonotapie">
    <w:name w:val="footnote text"/>
    <w:basedOn w:val="Normal"/>
    <w:link w:val="TextonotapieCar"/>
    <w:unhideWhenUsed/>
    <w:rsid w:val="00437336"/>
    <w:rPr>
      <w:sz w:val="20"/>
      <w:szCs w:val="20"/>
    </w:rPr>
  </w:style>
  <w:style w:type="character" w:customStyle="1" w:styleId="TextonotapieCar">
    <w:name w:val="Texto nota pie Car"/>
    <w:link w:val="Textonotapie"/>
    <w:rsid w:val="00437336"/>
    <w:rPr>
      <w:rFonts w:ascii="Calibri" w:eastAsia="Calibri" w:hAnsi="Calibri"/>
      <w:lang w:val="es-CO" w:eastAsia="en-US"/>
    </w:rPr>
  </w:style>
  <w:style w:type="character" w:styleId="Refdenotaalpie">
    <w:name w:val="footnote reference"/>
    <w:unhideWhenUsed/>
    <w:rsid w:val="00437336"/>
    <w:rPr>
      <w:vertAlign w:val="superscript"/>
    </w:rPr>
  </w:style>
  <w:style w:type="paragraph" w:customStyle="1" w:styleId="paragraph">
    <w:name w:val="paragraph"/>
    <w:basedOn w:val="Normal"/>
    <w:rsid w:val="00EF45A7"/>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EF45A7"/>
  </w:style>
  <w:style w:type="character" w:customStyle="1" w:styleId="eop">
    <w:name w:val="eop"/>
    <w:basedOn w:val="Fuentedeprrafopredeter"/>
    <w:rsid w:val="00EF45A7"/>
  </w:style>
  <w:style w:type="character" w:styleId="Textoennegrita">
    <w:name w:val="Strong"/>
    <w:basedOn w:val="Fuentedeprrafopredeter"/>
    <w:uiPriority w:val="22"/>
    <w:qFormat/>
    <w:rsid w:val="003F34C5"/>
    <w:rPr>
      <w:b/>
      <w:bCs/>
    </w:rPr>
  </w:style>
  <w:style w:type="character" w:styleId="nfasis">
    <w:name w:val="Emphasis"/>
    <w:basedOn w:val="Fuentedeprrafopredeter"/>
    <w:uiPriority w:val="20"/>
    <w:qFormat/>
    <w:rsid w:val="003F34C5"/>
    <w:rPr>
      <w:i/>
      <w:iCs/>
    </w:rPr>
  </w:style>
  <w:style w:type="paragraph" w:styleId="Prrafodelista">
    <w:name w:val="List Paragraph"/>
    <w:basedOn w:val="Normal"/>
    <w:uiPriority w:val="34"/>
    <w:qFormat/>
    <w:rsid w:val="002014F5"/>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lang w:val="es-CO" w:eastAsia="en-U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7017BD"/>
    <w:rPr>
      <w:b/>
      <w:bCs/>
    </w:rPr>
  </w:style>
  <w:style w:type="character" w:customStyle="1" w:styleId="AsuntodelcomentarioCar">
    <w:name w:val="Asunto del comentario Car"/>
    <w:basedOn w:val="TextocomentarioCar"/>
    <w:link w:val="Asuntodelcomentario"/>
    <w:uiPriority w:val="99"/>
    <w:semiHidden/>
    <w:rsid w:val="007017BD"/>
    <w:rPr>
      <w:rFonts w:ascii="Calibri" w:eastAsia="Calibri" w:hAnsi="Calibri"/>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88346">
      <w:bodyDiv w:val="1"/>
      <w:marLeft w:val="0"/>
      <w:marRight w:val="0"/>
      <w:marTop w:val="0"/>
      <w:marBottom w:val="0"/>
      <w:divBdr>
        <w:top w:val="none" w:sz="0" w:space="0" w:color="auto"/>
        <w:left w:val="none" w:sz="0" w:space="0" w:color="auto"/>
        <w:bottom w:val="none" w:sz="0" w:space="0" w:color="auto"/>
        <w:right w:val="none" w:sz="0" w:space="0" w:color="auto"/>
      </w:divBdr>
    </w:div>
    <w:div w:id="19486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bac924791f7c4217"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16CF8-C93B-4FC5-A71B-0773A622DFA4}">
  <ds:schemaRefs>
    <ds:schemaRef ds:uri="http://schemas.microsoft.com/sharepoint/v3/contenttype/forms"/>
  </ds:schemaRefs>
</ds:datastoreItem>
</file>

<file path=customXml/itemProps2.xml><?xml version="1.0" encoding="utf-8"?>
<ds:datastoreItem xmlns:ds="http://schemas.openxmlformats.org/officeDocument/2006/customXml" ds:itemID="{6B5AC725-98BD-470E-B6C8-797711CB7769}">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D6FF6B10-E672-48FC-A613-8D26023D5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3AB10C-7612-4940-9E15-53EBB5DC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3523</Words>
  <Characters>19377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hmejiau</dc:creator>
  <cp:keywords/>
  <dc:description/>
  <cp:lastModifiedBy>Hermides Alonso Gaviria Ocampo</cp:lastModifiedBy>
  <cp:revision>46</cp:revision>
  <cp:lastPrinted>2019-11-28T13:08:00Z</cp:lastPrinted>
  <dcterms:created xsi:type="dcterms:W3CDTF">2022-07-19T15:34:00Z</dcterms:created>
  <dcterms:modified xsi:type="dcterms:W3CDTF">2022-09-14T14:19:00Z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