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A271" w14:textId="77777777" w:rsidR="00C671A3" w:rsidRPr="00C671A3" w:rsidRDefault="00C671A3" w:rsidP="00C671A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sidRPr="00C671A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71A164" w14:textId="77777777" w:rsidR="00C671A3" w:rsidRPr="00C671A3" w:rsidRDefault="00C671A3" w:rsidP="00C671A3">
      <w:pPr>
        <w:spacing w:after="0" w:line="240" w:lineRule="auto"/>
        <w:jc w:val="both"/>
        <w:rPr>
          <w:rFonts w:ascii="Arial" w:eastAsia="Times New Roman" w:hAnsi="Arial" w:cs="Arial"/>
          <w:sz w:val="20"/>
          <w:szCs w:val="20"/>
          <w:lang w:val="es-419" w:eastAsia="es-ES"/>
        </w:rPr>
      </w:pPr>
    </w:p>
    <w:p w14:paraId="643697B6" w14:textId="5525D385"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Providencia:</w:t>
      </w:r>
      <w:r>
        <w:rPr>
          <w:rFonts w:ascii="Arial" w:eastAsia="Arial" w:hAnsi="Arial" w:cs="Arial"/>
          <w:color w:val="000000"/>
          <w:sz w:val="20"/>
          <w:szCs w:val="20"/>
          <w:lang w:val="es-ES" w:eastAsia="es-ES"/>
        </w:rPr>
        <w:tab/>
      </w:r>
      <w:r w:rsidRPr="00C671A3">
        <w:rPr>
          <w:rFonts w:ascii="Arial" w:eastAsia="Arial" w:hAnsi="Arial" w:cs="Arial"/>
          <w:color w:val="000000"/>
          <w:sz w:val="20"/>
          <w:szCs w:val="20"/>
          <w:lang w:val="es-ES" w:eastAsia="es-ES"/>
        </w:rPr>
        <w:tab/>
        <w:t>Auto de 21 de septiembre de 2022</w:t>
      </w:r>
    </w:p>
    <w:p w14:paraId="1D670EBD" w14:textId="3144A118"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Radicación Nro.:</w:t>
      </w:r>
      <w:r w:rsidRPr="00C671A3">
        <w:rPr>
          <w:rFonts w:ascii="Arial" w:eastAsia="Arial" w:hAnsi="Arial" w:cs="Arial"/>
          <w:color w:val="000000"/>
          <w:sz w:val="20"/>
          <w:szCs w:val="20"/>
          <w:lang w:val="es-ES" w:eastAsia="es-ES"/>
        </w:rPr>
        <w:tab/>
        <w:t>66001-31-05-003-2019-00352-01</w:t>
      </w:r>
    </w:p>
    <w:p w14:paraId="15AD3889" w14:textId="30E4EB70"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Proceso:</w:t>
      </w:r>
      <w:r w:rsidRPr="00C671A3">
        <w:rPr>
          <w:rFonts w:ascii="Arial" w:eastAsia="Arial" w:hAnsi="Arial" w:cs="Arial"/>
          <w:color w:val="000000"/>
          <w:sz w:val="20"/>
          <w:szCs w:val="20"/>
          <w:lang w:val="es-ES" w:eastAsia="es-ES"/>
        </w:rPr>
        <w:tab/>
      </w:r>
      <w:r w:rsidRPr="00C671A3">
        <w:rPr>
          <w:rFonts w:ascii="Arial" w:eastAsia="Arial" w:hAnsi="Arial" w:cs="Arial"/>
          <w:color w:val="000000"/>
          <w:sz w:val="20"/>
          <w:szCs w:val="20"/>
          <w:lang w:val="es-ES" w:eastAsia="es-ES"/>
        </w:rPr>
        <w:tab/>
        <w:t>Ordinario Laboral</w:t>
      </w:r>
    </w:p>
    <w:p w14:paraId="315EAB60" w14:textId="5928F9BC"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Demandante:</w:t>
      </w:r>
      <w:r w:rsidRPr="00C671A3">
        <w:rPr>
          <w:rFonts w:ascii="Arial" w:eastAsia="Arial" w:hAnsi="Arial" w:cs="Arial"/>
          <w:color w:val="000000"/>
          <w:sz w:val="20"/>
          <w:szCs w:val="20"/>
          <w:lang w:val="es-ES" w:eastAsia="es-ES"/>
        </w:rPr>
        <w:tab/>
      </w:r>
      <w:r w:rsidRPr="00C671A3">
        <w:rPr>
          <w:rFonts w:ascii="Arial" w:eastAsia="Arial" w:hAnsi="Arial" w:cs="Arial"/>
          <w:color w:val="000000"/>
          <w:sz w:val="20"/>
          <w:szCs w:val="20"/>
          <w:lang w:val="es-ES" w:eastAsia="es-ES"/>
        </w:rPr>
        <w:tab/>
        <w:t>Jessica Pamela Ojeda Pérez</w:t>
      </w:r>
    </w:p>
    <w:p w14:paraId="17E13FEB" w14:textId="1745663E"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Demandado:</w:t>
      </w:r>
      <w:r>
        <w:rPr>
          <w:rFonts w:ascii="Arial" w:eastAsia="Arial" w:hAnsi="Arial" w:cs="Arial"/>
          <w:color w:val="000000"/>
          <w:sz w:val="20"/>
          <w:szCs w:val="20"/>
          <w:lang w:val="es-ES" w:eastAsia="es-ES"/>
        </w:rPr>
        <w:tab/>
      </w:r>
      <w:r w:rsidRPr="00C671A3">
        <w:rPr>
          <w:rFonts w:ascii="Arial" w:eastAsia="Arial" w:hAnsi="Arial" w:cs="Arial"/>
          <w:color w:val="000000"/>
          <w:sz w:val="20"/>
          <w:szCs w:val="20"/>
          <w:lang w:val="es-ES" w:eastAsia="es-ES"/>
        </w:rPr>
        <w:tab/>
        <w:t>Poma Colombia S.A.S. y otros</w:t>
      </w:r>
    </w:p>
    <w:p w14:paraId="375DDD22" w14:textId="5C702626"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Juzgado de origen:</w:t>
      </w:r>
      <w:r w:rsidRPr="00C671A3">
        <w:rPr>
          <w:rFonts w:ascii="Arial" w:eastAsia="Arial" w:hAnsi="Arial" w:cs="Arial"/>
          <w:color w:val="000000"/>
          <w:sz w:val="20"/>
          <w:szCs w:val="20"/>
          <w:lang w:val="es-ES" w:eastAsia="es-ES"/>
        </w:rPr>
        <w:tab/>
        <w:t>Juzgado Tercero Laboral del Circuito</w:t>
      </w:r>
    </w:p>
    <w:p w14:paraId="33BFDBF2" w14:textId="55746089" w:rsid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71A3">
        <w:rPr>
          <w:rFonts w:ascii="Arial" w:eastAsia="Arial" w:hAnsi="Arial" w:cs="Arial"/>
          <w:color w:val="000000"/>
          <w:sz w:val="20"/>
          <w:szCs w:val="20"/>
          <w:lang w:val="es-ES" w:eastAsia="es-ES"/>
        </w:rPr>
        <w:t>Magistrado Ponente:</w:t>
      </w:r>
      <w:r w:rsidRPr="00C671A3">
        <w:rPr>
          <w:rFonts w:ascii="Arial" w:eastAsia="Arial" w:hAnsi="Arial" w:cs="Arial"/>
          <w:color w:val="000000"/>
          <w:sz w:val="20"/>
          <w:szCs w:val="20"/>
          <w:lang w:val="es-ES" w:eastAsia="es-ES"/>
        </w:rPr>
        <w:tab/>
        <w:t>Julio César Salazar Muñoz</w:t>
      </w:r>
    </w:p>
    <w:p w14:paraId="2A7EB234" w14:textId="77777777"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659E4A" w14:textId="6A9800BA" w:rsidR="00C671A3" w:rsidRPr="00C671A3" w:rsidRDefault="007125E8" w:rsidP="00C671A3">
      <w:pPr>
        <w:spacing w:after="0" w:line="240" w:lineRule="auto"/>
        <w:jc w:val="both"/>
        <w:rPr>
          <w:rFonts w:ascii="Arial" w:eastAsia="Arial" w:hAnsi="Arial" w:cs="Arial"/>
          <w:color w:val="000000"/>
          <w:sz w:val="20"/>
          <w:szCs w:val="20"/>
          <w:lang w:val="es-ES" w:eastAsia="es-ES"/>
        </w:rPr>
      </w:pPr>
      <w:r w:rsidRPr="00C671A3">
        <w:rPr>
          <w:rFonts w:ascii="Arial" w:eastAsia="Arial" w:hAnsi="Arial" w:cs="Arial"/>
          <w:b/>
          <w:bCs/>
          <w:color w:val="000000"/>
          <w:sz w:val="20"/>
          <w:szCs w:val="20"/>
          <w:u w:val="single"/>
          <w:lang w:val="es-419"/>
        </w:rPr>
        <w:t>TEMAS:</w:t>
      </w:r>
      <w:r w:rsidRPr="00C671A3">
        <w:rPr>
          <w:rFonts w:ascii="Arial" w:eastAsia="Arial" w:hAnsi="Arial" w:cs="Arial"/>
          <w:b/>
          <w:bCs/>
          <w:color w:val="000000"/>
          <w:sz w:val="20"/>
          <w:szCs w:val="20"/>
          <w:lang w:val="es-419"/>
        </w:rPr>
        <w:tab/>
        <w:t xml:space="preserve">CONTESTACIÓN A LA DEMANDA / REQUISITOS / </w:t>
      </w:r>
      <w:r>
        <w:rPr>
          <w:rFonts w:ascii="Arial" w:eastAsia="Arial" w:hAnsi="Arial" w:cs="Arial"/>
          <w:b/>
          <w:bCs/>
          <w:color w:val="000000"/>
          <w:sz w:val="20"/>
          <w:szCs w:val="20"/>
          <w:lang w:val="es-419"/>
        </w:rPr>
        <w:t>PODER GENERAL / SE RIGE POR EL ARTÍCULO 74 DEL CÓDIGO GENERAL DEL PROCESO / Y NO POR EL DECRETO 806 DE 2020 / DEBE CONFERIRSE POR ESCRITURA PÚBLICA / PERO PUEDE PROBARSE CON OTROS MEDIOS / COMO UN CERTIFICADO DE CÁMARA DE COMERCIO.</w:t>
      </w:r>
    </w:p>
    <w:p w14:paraId="6F7672BE" w14:textId="77777777"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1CD883" w14:textId="3CBF96FF" w:rsidR="00C671A3" w:rsidRPr="00C671A3" w:rsidRDefault="005D2ECA"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DC644B" w:rsidRPr="00DC644B">
        <w:rPr>
          <w:rFonts w:ascii="Arial" w:eastAsia="Arial" w:hAnsi="Arial" w:cs="Arial"/>
          <w:color w:val="000000"/>
          <w:sz w:val="20"/>
          <w:szCs w:val="20"/>
          <w:lang w:val="es-ES" w:eastAsia="es-ES"/>
        </w:rPr>
        <w:t>en aras de dar continuidad a la prestación del servicio a cargo de la administración de justicia, se expidió el Decreto 806 de 2020, cuyo objeto consiste en “implementar el uso de las tecnologías de la información y las comunicaciones en las actuaciones judiciales y agilizar el trámite de los procesos judiciales ante la jurisdicción ordinaria en las especialidades civil, laboral, familia</w:t>
      </w:r>
      <w:r>
        <w:rPr>
          <w:rFonts w:ascii="Arial" w:eastAsia="Arial" w:hAnsi="Arial" w:cs="Arial"/>
          <w:color w:val="000000"/>
          <w:sz w:val="20"/>
          <w:szCs w:val="20"/>
          <w:lang w:val="es-ES" w:eastAsia="es-ES"/>
        </w:rPr>
        <w:t>…”</w:t>
      </w:r>
    </w:p>
    <w:p w14:paraId="23AAEC3D" w14:textId="77777777"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35A10C" w14:textId="52B275D1" w:rsidR="00C671A3" w:rsidRPr="00C671A3" w:rsidRDefault="005D2ECA"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D2ECA">
        <w:rPr>
          <w:rFonts w:ascii="Arial" w:eastAsia="Arial" w:hAnsi="Arial" w:cs="Arial"/>
          <w:color w:val="000000"/>
          <w:sz w:val="20"/>
          <w:szCs w:val="20"/>
          <w:lang w:val="es-ES" w:eastAsia="es-ES"/>
        </w:rPr>
        <w:t>Una de las medidas implementadas por la referida norma hace relación a los poderes, siendo concretamente el artículo 5°; sin embargo, lo allí regulado sólo hizo alusión a los poderes especiales, lo que indica que el poder general se sigue rigiendo por lo establecido en el artículo 74 del Código General del Proceso que indica que el mismo debe conferirse por escritura pública.</w:t>
      </w:r>
    </w:p>
    <w:p w14:paraId="77702EBC" w14:textId="77777777"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BDD95C" w14:textId="39DE8BDC" w:rsidR="00C671A3" w:rsidRPr="00C671A3" w:rsidRDefault="005D2ECA"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D2ECA">
        <w:rPr>
          <w:rFonts w:ascii="Arial" w:eastAsia="Arial" w:hAnsi="Arial" w:cs="Arial"/>
          <w:color w:val="000000"/>
          <w:sz w:val="20"/>
          <w:szCs w:val="20"/>
          <w:lang w:val="es-ES" w:eastAsia="es-ES"/>
        </w:rPr>
        <w:t>El principio de la prevalencia del derecho sustancial sobre las formalidades del proceso, se encuentra contemplado en el artículo 228 de la Constitución Política</w:t>
      </w:r>
      <w:r>
        <w:rPr>
          <w:rFonts w:ascii="Arial" w:eastAsia="Arial" w:hAnsi="Arial" w:cs="Arial"/>
          <w:color w:val="000000"/>
          <w:sz w:val="20"/>
          <w:szCs w:val="20"/>
          <w:lang w:val="es-ES" w:eastAsia="es-ES"/>
        </w:rPr>
        <w:t>…</w:t>
      </w:r>
    </w:p>
    <w:p w14:paraId="7F486A05" w14:textId="19BFB72B" w:rsid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E2B766" w14:textId="071CDDF7" w:rsidR="00627E73" w:rsidRDefault="00627E7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27E73">
        <w:rPr>
          <w:rFonts w:ascii="Arial" w:eastAsia="Arial" w:hAnsi="Arial" w:cs="Arial"/>
          <w:color w:val="000000"/>
          <w:sz w:val="20"/>
          <w:szCs w:val="20"/>
          <w:lang w:val="es-ES" w:eastAsia="es-ES"/>
        </w:rPr>
        <w:t>Este precepto de rango constitucional, tiene desarrollo legal en el artículo 11º del Código General del Proceso</w:t>
      </w:r>
      <w:r>
        <w:rPr>
          <w:rFonts w:ascii="Arial" w:eastAsia="Arial" w:hAnsi="Arial" w:cs="Arial"/>
          <w:color w:val="000000"/>
          <w:sz w:val="20"/>
          <w:szCs w:val="20"/>
          <w:lang w:val="es-ES" w:eastAsia="es-ES"/>
        </w:rPr>
        <w:t>…</w:t>
      </w:r>
      <w:r w:rsidRPr="00627E73">
        <w:rPr>
          <w:rFonts w:ascii="Arial" w:eastAsia="Arial" w:hAnsi="Arial" w:cs="Arial"/>
          <w:color w:val="000000"/>
          <w:sz w:val="20"/>
          <w:szCs w:val="20"/>
          <w:lang w:val="es-ES" w:eastAsia="es-ES"/>
        </w:rPr>
        <w:t>, en virtud del cual, se establece para el Juez una regla hermenéutica al momento de interpretar las normas de carácter procesal, la cual consiste, en que “… deberá tener en cuenta que el objeto de los procedimientos es la efectividad de los derechos reconocidos por la ley sustancial…”.</w:t>
      </w:r>
    </w:p>
    <w:p w14:paraId="06EECADA" w14:textId="77777777" w:rsidR="00627E73" w:rsidRDefault="00627E7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285992" w14:textId="2DCD66B2" w:rsidR="00627E73" w:rsidRPr="00C671A3" w:rsidRDefault="00627E7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27E73">
        <w:rPr>
          <w:rFonts w:ascii="Arial" w:eastAsia="Arial" w:hAnsi="Arial" w:cs="Arial"/>
          <w:color w:val="000000"/>
          <w:sz w:val="20"/>
          <w:szCs w:val="20"/>
          <w:lang w:val="es-ES" w:eastAsia="es-ES"/>
        </w:rPr>
        <w:t>muy cuidadosos deben ser los jueces al analizar los memoriales y las peticiones que ante ellos formulan los asociados, pues no es dable confundir el respeto a las formas procesales con un desproporcionado formalismo que, en ocasiones ha sido calificado por la Corte Constitucional como verdadera vía de hecho por “exceso ritual manifiesto”</w:t>
      </w:r>
      <w:r>
        <w:rPr>
          <w:rFonts w:ascii="Arial" w:eastAsia="Arial" w:hAnsi="Arial" w:cs="Arial"/>
          <w:color w:val="000000"/>
          <w:sz w:val="20"/>
          <w:szCs w:val="20"/>
          <w:lang w:val="es-ES" w:eastAsia="es-ES"/>
        </w:rPr>
        <w:t xml:space="preserve"> …</w:t>
      </w:r>
    </w:p>
    <w:p w14:paraId="18184C96" w14:textId="0401B3C3" w:rsid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59F663" w14:textId="0B52796D" w:rsidR="002467BD" w:rsidRDefault="002467BD"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2467BD">
        <w:rPr>
          <w:rFonts w:ascii="Arial" w:eastAsia="Arial" w:hAnsi="Arial" w:cs="Arial"/>
          <w:color w:val="000000"/>
          <w:sz w:val="20"/>
          <w:szCs w:val="20"/>
          <w:lang w:val="es-ES" w:eastAsia="es-ES"/>
        </w:rPr>
        <w:t xml:space="preserve"> no le asiste razón al Juzgado de conocimiento en dejar a la recurrente huérfana de todo argumento defensivo y medios probatorios, exigiendo un documento –escritura pública– que si bien exige la Ley como medio por el cual se otorgue un poder general –artículo 74 del Código General del Proceso–, no es el único instrumento por medio del cual puede demostrarse su existencia, pues la misma, bien puede ser acreditada con la certificación que al respecto emane de la Cámara de Comercio</w:t>
      </w:r>
      <w:r>
        <w:rPr>
          <w:rFonts w:ascii="Arial" w:eastAsia="Arial" w:hAnsi="Arial" w:cs="Arial"/>
          <w:color w:val="000000"/>
          <w:sz w:val="20"/>
          <w:szCs w:val="20"/>
          <w:lang w:val="es-ES" w:eastAsia="es-ES"/>
        </w:rPr>
        <w:t>…</w:t>
      </w:r>
    </w:p>
    <w:p w14:paraId="1CCD59FE" w14:textId="0D021C80" w:rsidR="002467BD" w:rsidRDefault="002467BD"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0C08F5" w14:textId="77777777" w:rsidR="002467BD" w:rsidRPr="00C671A3" w:rsidRDefault="002467BD"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3ED940" w14:textId="77777777" w:rsidR="00C671A3" w:rsidRPr="00C671A3" w:rsidRDefault="00C671A3" w:rsidP="00C671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8E4E97" w:rsidRPr="00C671A3" w:rsidRDefault="008E4E97" w:rsidP="00C671A3">
      <w:pPr>
        <w:keepNext/>
        <w:spacing w:after="0"/>
        <w:jc w:val="center"/>
        <w:outlineLvl w:val="2"/>
        <w:rPr>
          <w:rFonts w:ascii="Arial" w:eastAsia="Times New Roman" w:hAnsi="Arial" w:cs="Arial"/>
          <w:b/>
          <w:sz w:val="24"/>
          <w:szCs w:val="24"/>
          <w:lang w:val="es-ES_tradnl" w:eastAsia="es-ES"/>
        </w:rPr>
      </w:pPr>
      <w:r w:rsidRPr="00C671A3">
        <w:rPr>
          <w:rFonts w:ascii="Arial" w:eastAsia="Times New Roman" w:hAnsi="Arial" w:cs="Arial"/>
          <w:b/>
          <w:sz w:val="24"/>
          <w:szCs w:val="24"/>
          <w:lang w:val="es-ES_tradnl" w:eastAsia="es-ES"/>
        </w:rPr>
        <w:t>TRIBUNAL SUPERIOR DEL DISTRITO JUDICIAL</w:t>
      </w:r>
    </w:p>
    <w:p w14:paraId="51A40248" w14:textId="77777777" w:rsidR="008E4E97" w:rsidRPr="00C671A3" w:rsidRDefault="008E4E97" w:rsidP="00C671A3">
      <w:pPr>
        <w:spacing w:after="0"/>
        <w:jc w:val="center"/>
        <w:rPr>
          <w:rFonts w:ascii="Arial" w:hAnsi="Arial" w:cs="Arial"/>
          <w:b/>
          <w:sz w:val="24"/>
          <w:szCs w:val="24"/>
        </w:rPr>
      </w:pPr>
      <w:r w:rsidRPr="00C671A3">
        <w:rPr>
          <w:rFonts w:ascii="Arial" w:hAnsi="Arial" w:cs="Arial"/>
          <w:b/>
          <w:sz w:val="24"/>
          <w:szCs w:val="24"/>
        </w:rPr>
        <w:t>SALA LABORAL</w:t>
      </w:r>
    </w:p>
    <w:p w14:paraId="6E85BB48" w14:textId="77777777" w:rsidR="008E4E97" w:rsidRPr="00C671A3" w:rsidRDefault="008E4E97" w:rsidP="00C671A3">
      <w:pPr>
        <w:spacing w:after="0"/>
        <w:jc w:val="center"/>
        <w:rPr>
          <w:rFonts w:ascii="Arial" w:eastAsia="Times New Roman" w:hAnsi="Arial" w:cs="Arial"/>
          <w:b/>
          <w:sz w:val="24"/>
          <w:szCs w:val="24"/>
          <w:lang w:val="es-ES_tradnl" w:eastAsia="es-ES"/>
        </w:rPr>
      </w:pPr>
      <w:r w:rsidRPr="00C671A3">
        <w:rPr>
          <w:rFonts w:ascii="Arial" w:eastAsia="Times New Roman" w:hAnsi="Arial" w:cs="Arial"/>
          <w:b/>
          <w:sz w:val="24"/>
          <w:szCs w:val="24"/>
          <w:lang w:val="es-ES_tradnl" w:eastAsia="es-ES"/>
        </w:rPr>
        <w:t xml:space="preserve">MAGISTRADO PONENTE: JULIO CÉSAR SALAZAR MUÑOZ </w:t>
      </w:r>
    </w:p>
    <w:p w14:paraId="5DAB6C7B" w14:textId="77777777" w:rsidR="008E4E97" w:rsidRPr="00C671A3" w:rsidRDefault="008E4E97" w:rsidP="00C671A3">
      <w:pPr>
        <w:spacing w:after="0"/>
        <w:rPr>
          <w:rFonts w:ascii="Arial" w:hAnsi="Arial" w:cs="Arial"/>
          <w:sz w:val="24"/>
          <w:szCs w:val="24"/>
        </w:rPr>
      </w:pPr>
    </w:p>
    <w:p w14:paraId="09EDF4B4" w14:textId="77777777" w:rsidR="00BC21C5" w:rsidRPr="00C671A3" w:rsidRDefault="006746F6" w:rsidP="00FF6347">
      <w:pPr>
        <w:spacing w:after="0"/>
        <w:jc w:val="center"/>
        <w:rPr>
          <w:rFonts w:ascii="Arial" w:hAnsi="Arial" w:cs="Arial"/>
          <w:sz w:val="24"/>
          <w:szCs w:val="24"/>
        </w:rPr>
      </w:pPr>
      <w:r w:rsidRPr="00C671A3">
        <w:rPr>
          <w:rFonts w:ascii="Arial" w:hAnsi="Arial" w:cs="Arial"/>
          <w:sz w:val="24"/>
          <w:szCs w:val="24"/>
        </w:rPr>
        <w:t>Pereira</w:t>
      </w:r>
      <w:r w:rsidR="00B3047F" w:rsidRPr="00C671A3">
        <w:rPr>
          <w:rFonts w:ascii="Arial" w:hAnsi="Arial" w:cs="Arial"/>
          <w:sz w:val="24"/>
          <w:szCs w:val="24"/>
        </w:rPr>
        <w:t xml:space="preserve">, </w:t>
      </w:r>
      <w:r w:rsidR="00320209" w:rsidRPr="00C671A3">
        <w:rPr>
          <w:rFonts w:ascii="Arial" w:hAnsi="Arial" w:cs="Arial"/>
          <w:sz w:val="24"/>
          <w:szCs w:val="24"/>
        </w:rPr>
        <w:t>veintiuno de septiembre</w:t>
      </w:r>
      <w:r w:rsidR="00D81984" w:rsidRPr="00C671A3">
        <w:rPr>
          <w:rFonts w:ascii="Arial" w:hAnsi="Arial" w:cs="Arial"/>
          <w:sz w:val="24"/>
          <w:szCs w:val="24"/>
        </w:rPr>
        <w:t xml:space="preserve"> dos mil </w:t>
      </w:r>
      <w:r w:rsidR="00F417F9" w:rsidRPr="00C671A3">
        <w:rPr>
          <w:rFonts w:ascii="Arial" w:hAnsi="Arial" w:cs="Arial"/>
          <w:sz w:val="24"/>
          <w:szCs w:val="24"/>
        </w:rPr>
        <w:t>veintidós</w:t>
      </w:r>
    </w:p>
    <w:p w14:paraId="5755EC76" w14:textId="26C33B89" w:rsidR="006746F6" w:rsidRPr="00C671A3" w:rsidRDefault="006746F6" w:rsidP="00FF6347">
      <w:pPr>
        <w:spacing w:after="0"/>
        <w:jc w:val="center"/>
        <w:rPr>
          <w:rFonts w:ascii="Arial" w:hAnsi="Arial" w:cs="Arial"/>
          <w:sz w:val="24"/>
          <w:szCs w:val="24"/>
        </w:rPr>
      </w:pPr>
      <w:r w:rsidRPr="00C671A3">
        <w:rPr>
          <w:rFonts w:ascii="Arial" w:hAnsi="Arial" w:cs="Arial"/>
          <w:sz w:val="24"/>
          <w:szCs w:val="24"/>
        </w:rPr>
        <w:t>Acta número</w:t>
      </w:r>
      <w:r w:rsidR="00DE5B88" w:rsidRPr="00C671A3">
        <w:rPr>
          <w:rFonts w:ascii="Arial" w:hAnsi="Arial" w:cs="Arial"/>
          <w:sz w:val="24"/>
          <w:szCs w:val="24"/>
        </w:rPr>
        <w:t xml:space="preserve"> 150</w:t>
      </w:r>
      <w:r w:rsidRPr="00C671A3">
        <w:rPr>
          <w:rFonts w:ascii="Arial" w:hAnsi="Arial" w:cs="Arial"/>
          <w:sz w:val="24"/>
          <w:szCs w:val="24"/>
        </w:rPr>
        <w:t xml:space="preserve"> de </w:t>
      </w:r>
      <w:r w:rsidR="00320209" w:rsidRPr="00C671A3">
        <w:rPr>
          <w:rFonts w:ascii="Arial" w:hAnsi="Arial" w:cs="Arial"/>
          <w:sz w:val="24"/>
          <w:szCs w:val="24"/>
        </w:rPr>
        <w:t>21 de septiembre</w:t>
      </w:r>
      <w:r w:rsidR="00D81984" w:rsidRPr="00C671A3">
        <w:rPr>
          <w:rFonts w:ascii="Arial" w:hAnsi="Arial" w:cs="Arial"/>
          <w:sz w:val="24"/>
          <w:szCs w:val="24"/>
        </w:rPr>
        <w:t xml:space="preserve"> de 20</w:t>
      </w:r>
      <w:r w:rsidR="00F417F9" w:rsidRPr="00C671A3">
        <w:rPr>
          <w:rFonts w:ascii="Arial" w:hAnsi="Arial" w:cs="Arial"/>
          <w:sz w:val="24"/>
          <w:szCs w:val="24"/>
        </w:rPr>
        <w:t>22</w:t>
      </w:r>
    </w:p>
    <w:p w14:paraId="02EB378F" w14:textId="3443A57D" w:rsidR="006746F6" w:rsidRDefault="006746F6" w:rsidP="00FF6347">
      <w:pPr>
        <w:spacing w:after="0"/>
        <w:jc w:val="both"/>
        <w:rPr>
          <w:rFonts w:ascii="Arial" w:hAnsi="Arial" w:cs="Arial"/>
          <w:sz w:val="24"/>
          <w:szCs w:val="24"/>
        </w:rPr>
      </w:pPr>
    </w:p>
    <w:p w14:paraId="22308DF8" w14:textId="77777777" w:rsidR="00FF6347" w:rsidRPr="00C671A3" w:rsidRDefault="00FF6347" w:rsidP="00FF6347">
      <w:pPr>
        <w:spacing w:after="0"/>
        <w:jc w:val="both"/>
        <w:rPr>
          <w:rFonts w:ascii="Arial" w:hAnsi="Arial" w:cs="Arial"/>
          <w:sz w:val="24"/>
          <w:szCs w:val="24"/>
        </w:rPr>
      </w:pPr>
    </w:p>
    <w:p w14:paraId="19560340" w14:textId="684267B9" w:rsidR="008E4E97" w:rsidRPr="00C671A3" w:rsidRDefault="006746F6" w:rsidP="00C671A3">
      <w:pPr>
        <w:suppressAutoHyphens/>
        <w:spacing w:after="0"/>
        <w:jc w:val="both"/>
        <w:rPr>
          <w:rFonts w:ascii="Arial" w:hAnsi="Arial" w:cs="Arial"/>
          <w:sz w:val="24"/>
          <w:szCs w:val="24"/>
        </w:rPr>
      </w:pPr>
      <w:r w:rsidRPr="00C671A3">
        <w:rPr>
          <w:rFonts w:ascii="Arial" w:hAnsi="Arial" w:cs="Arial"/>
          <w:sz w:val="24"/>
          <w:szCs w:val="24"/>
        </w:rPr>
        <w:t xml:space="preserve">En la fecha, </w:t>
      </w:r>
      <w:r w:rsidR="00C64116" w:rsidRPr="00C671A3">
        <w:rPr>
          <w:rFonts w:ascii="Arial" w:hAnsi="Arial" w:cs="Arial"/>
          <w:sz w:val="24"/>
          <w:szCs w:val="24"/>
        </w:rPr>
        <w:t>procede</w:t>
      </w:r>
      <w:r w:rsidR="008E4E97" w:rsidRPr="00C671A3">
        <w:rPr>
          <w:rFonts w:ascii="Arial" w:hAnsi="Arial" w:cs="Arial"/>
          <w:sz w:val="24"/>
          <w:szCs w:val="24"/>
        </w:rPr>
        <w:t xml:space="preserve"> </w:t>
      </w:r>
      <w:r w:rsidR="00013744" w:rsidRPr="00C671A3">
        <w:rPr>
          <w:rFonts w:ascii="Arial" w:hAnsi="Arial" w:cs="Arial"/>
          <w:sz w:val="24"/>
          <w:szCs w:val="24"/>
        </w:rPr>
        <w:t xml:space="preserve">la Sala </w:t>
      </w:r>
      <w:r w:rsidR="00214F01" w:rsidRPr="00C671A3">
        <w:rPr>
          <w:rFonts w:ascii="Arial" w:hAnsi="Arial" w:cs="Arial"/>
          <w:sz w:val="24"/>
          <w:szCs w:val="24"/>
        </w:rPr>
        <w:t xml:space="preserve">de Decisión Laboral </w:t>
      </w:r>
      <w:r w:rsidR="008E4E97" w:rsidRPr="00C671A3">
        <w:rPr>
          <w:rFonts w:ascii="Arial" w:hAnsi="Arial" w:cs="Arial"/>
          <w:sz w:val="24"/>
          <w:szCs w:val="24"/>
        </w:rPr>
        <w:t xml:space="preserve">a resolver el recurso de apelación interpuesto </w:t>
      </w:r>
      <w:r w:rsidR="006C4830" w:rsidRPr="00C671A3">
        <w:rPr>
          <w:rFonts w:ascii="Arial" w:hAnsi="Arial" w:cs="Arial"/>
          <w:sz w:val="24"/>
          <w:szCs w:val="24"/>
        </w:rPr>
        <w:t>por</w:t>
      </w:r>
      <w:r w:rsidR="002C3957" w:rsidRPr="00C671A3">
        <w:rPr>
          <w:rFonts w:ascii="Arial" w:hAnsi="Arial" w:cs="Arial"/>
          <w:sz w:val="24"/>
          <w:szCs w:val="24"/>
        </w:rPr>
        <w:t xml:space="preserve"> la </w:t>
      </w:r>
      <w:r w:rsidR="00A02203" w:rsidRPr="00C671A3">
        <w:rPr>
          <w:rFonts w:ascii="Arial" w:hAnsi="Arial" w:cs="Arial"/>
          <w:b/>
          <w:sz w:val="24"/>
          <w:szCs w:val="24"/>
        </w:rPr>
        <w:t xml:space="preserve">Compañía Mundial de Seguros </w:t>
      </w:r>
      <w:r w:rsidR="002C3957" w:rsidRPr="00C671A3">
        <w:rPr>
          <w:rFonts w:ascii="Arial" w:hAnsi="Arial" w:cs="Arial"/>
          <w:b/>
          <w:sz w:val="24"/>
          <w:szCs w:val="24"/>
        </w:rPr>
        <w:t>S.A.</w:t>
      </w:r>
      <w:r w:rsidR="00013744" w:rsidRPr="00C671A3">
        <w:rPr>
          <w:rFonts w:ascii="Arial" w:hAnsi="Arial" w:cs="Arial"/>
          <w:sz w:val="24"/>
          <w:szCs w:val="24"/>
        </w:rPr>
        <w:t xml:space="preserve"> contra el auto de fecha </w:t>
      </w:r>
      <w:r w:rsidR="002C3957" w:rsidRPr="00C671A3">
        <w:rPr>
          <w:rFonts w:ascii="Arial" w:hAnsi="Arial" w:cs="Arial"/>
          <w:sz w:val="24"/>
          <w:szCs w:val="24"/>
        </w:rPr>
        <w:t>8 de julio de 2022</w:t>
      </w:r>
      <w:r w:rsidR="003B31FF" w:rsidRPr="00C671A3">
        <w:rPr>
          <w:rFonts w:ascii="Arial" w:hAnsi="Arial" w:cs="Arial"/>
          <w:sz w:val="24"/>
          <w:szCs w:val="24"/>
        </w:rPr>
        <w:t xml:space="preserve"> </w:t>
      </w:r>
      <w:r w:rsidR="008E4E97" w:rsidRPr="00C671A3">
        <w:rPr>
          <w:rFonts w:ascii="Arial" w:hAnsi="Arial" w:cs="Arial"/>
          <w:sz w:val="24"/>
          <w:szCs w:val="24"/>
        </w:rPr>
        <w:t xml:space="preserve">por medio del cual el Juzgado </w:t>
      </w:r>
      <w:r w:rsidR="002C3957" w:rsidRPr="00C671A3">
        <w:rPr>
          <w:rFonts w:ascii="Arial" w:hAnsi="Arial" w:cs="Arial"/>
          <w:sz w:val="24"/>
          <w:szCs w:val="24"/>
        </w:rPr>
        <w:t>Tercero</w:t>
      </w:r>
      <w:r w:rsidR="00264EB6" w:rsidRPr="00C671A3">
        <w:rPr>
          <w:rFonts w:ascii="Arial" w:hAnsi="Arial" w:cs="Arial"/>
          <w:sz w:val="24"/>
          <w:szCs w:val="24"/>
        </w:rPr>
        <w:t xml:space="preserve"> </w:t>
      </w:r>
      <w:r w:rsidR="008E4E97" w:rsidRPr="00C671A3">
        <w:rPr>
          <w:rFonts w:ascii="Arial" w:hAnsi="Arial" w:cs="Arial"/>
          <w:sz w:val="24"/>
          <w:szCs w:val="24"/>
        </w:rPr>
        <w:t>Laboral del Circuito</w:t>
      </w:r>
      <w:r w:rsidR="002C3957" w:rsidRPr="00C671A3">
        <w:rPr>
          <w:rFonts w:ascii="Arial" w:hAnsi="Arial" w:cs="Arial"/>
          <w:sz w:val="24"/>
          <w:szCs w:val="24"/>
        </w:rPr>
        <w:t xml:space="preserve"> de Pereira</w:t>
      </w:r>
      <w:r w:rsidR="008E4E97" w:rsidRPr="00C671A3">
        <w:rPr>
          <w:rFonts w:ascii="Arial" w:hAnsi="Arial" w:cs="Arial"/>
          <w:sz w:val="24"/>
          <w:szCs w:val="24"/>
        </w:rPr>
        <w:t xml:space="preserve"> </w:t>
      </w:r>
      <w:r w:rsidR="00D81984" w:rsidRPr="00C671A3">
        <w:rPr>
          <w:rFonts w:ascii="Arial" w:hAnsi="Arial" w:cs="Arial"/>
          <w:sz w:val="24"/>
          <w:szCs w:val="24"/>
        </w:rPr>
        <w:t xml:space="preserve">rechazó </w:t>
      </w:r>
      <w:r w:rsidR="003B31FF" w:rsidRPr="00C671A3">
        <w:rPr>
          <w:rFonts w:ascii="Arial" w:hAnsi="Arial" w:cs="Arial"/>
          <w:sz w:val="24"/>
          <w:szCs w:val="24"/>
        </w:rPr>
        <w:t xml:space="preserve">la contestación de la demanda presentada </w:t>
      </w:r>
      <w:r w:rsidR="00E2671D" w:rsidRPr="00C671A3">
        <w:rPr>
          <w:rFonts w:ascii="Arial" w:hAnsi="Arial" w:cs="Arial"/>
          <w:sz w:val="24"/>
          <w:szCs w:val="24"/>
        </w:rPr>
        <w:t>por la recurrente</w:t>
      </w:r>
      <w:r w:rsidR="008E4E97" w:rsidRPr="00C671A3">
        <w:rPr>
          <w:rFonts w:ascii="Arial" w:hAnsi="Arial" w:cs="Arial"/>
          <w:sz w:val="24"/>
          <w:szCs w:val="24"/>
        </w:rPr>
        <w:t xml:space="preserve"> </w:t>
      </w:r>
      <w:r w:rsidR="003B31FF" w:rsidRPr="00C671A3">
        <w:rPr>
          <w:rFonts w:ascii="Arial" w:hAnsi="Arial" w:cs="Arial"/>
          <w:sz w:val="24"/>
          <w:szCs w:val="24"/>
        </w:rPr>
        <w:t xml:space="preserve">dentro del proceso </w:t>
      </w:r>
      <w:r w:rsidR="00A02203" w:rsidRPr="00A02203">
        <w:rPr>
          <w:rFonts w:ascii="Arial" w:hAnsi="Arial" w:cs="Arial"/>
          <w:b/>
          <w:sz w:val="24"/>
          <w:szCs w:val="24"/>
        </w:rPr>
        <w:t>ordinario</w:t>
      </w:r>
      <w:r w:rsidR="00A02203">
        <w:rPr>
          <w:rFonts w:ascii="Arial" w:hAnsi="Arial" w:cs="Arial"/>
          <w:b/>
          <w:sz w:val="24"/>
          <w:szCs w:val="24"/>
        </w:rPr>
        <w:t xml:space="preserve"> laboral</w:t>
      </w:r>
      <w:r w:rsidR="00A02203" w:rsidRPr="00C671A3">
        <w:rPr>
          <w:rFonts w:ascii="Arial" w:hAnsi="Arial" w:cs="Arial"/>
          <w:sz w:val="24"/>
          <w:szCs w:val="24"/>
        </w:rPr>
        <w:t xml:space="preserve"> </w:t>
      </w:r>
      <w:r w:rsidR="003B31FF" w:rsidRPr="00C671A3">
        <w:rPr>
          <w:rFonts w:ascii="Arial" w:hAnsi="Arial" w:cs="Arial"/>
          <w:sz w:val="24"/>
          <w:szCs w:val="24"/>
        </w:rPr>
        <w:t xml:space="preserve">que le adelanta </w:t>
      </w:r>
      <w:r w:rsidR="002C3957" w:rsidRPr="00C671A3">
        <w:rPr>
          <w:rFonts w:ascii="Arial" w:hAnsi="Arial" w:cs="Arial"/>
          <w:sz w:val="24"/>
          <w:szCs w:val="24"/>
        </w:rPr>
        <w:t>la señora</w:t>
      </w:r>
      <w:r w:rsidR="006C4830" w:rsidRPr="00C671A3">
        <w:rPr>
          <w:rFonts w:ascii="Arial" w:hAnsi="Arial" w:cs="Arial"/>
          <w:sz w:val="24"/>
          <w:szCs w:val="24"/>
        </w:rPr>
        <w:t xml:space="preserve"> </w:t>
      </w:r>
      <w:r w:rsidR="00A02203" w:rsidRPr="00C671A3">
        <w:rPr>
          <w:rFonts w:ascii="Arial" w:hAnsi="Arial" w:cs="Arial"/>
          <w:b/>
          <w:sz w:val="24"/>
          <w:szCs w:val="24"/>
        </w:rPr>
        <w:t>Jessica Pamela Ojeda Pérez</w:t>
      </w:r>
      <w:r w:rsidR="00F417F9" w:rsidRPr="00C671A3">
        <w:rPr>
          <w:rFonts w:ascii="Arial" w:hAnsi="Arial" w:cs="Arial"/>
          <w:b/>
          <w:sz w:val="24"/>
          <w:szCs w:val="24"/>
        </w:rPr>
        <w:t xml:space="preserve">, </w:t>
      </w:r>
      <w:r w:rsidR="00F417F9" w:rsidRPr="00C671A3">
        <w:rPr>
          <w:rFonts w:ascii="Arial" w:hAnsi="Arial" w:cs="Arial"/>
          <w:sz w:val="24"/>
          <w:szCs w:val="24"/>
        </w:rPr>
        <w:t>d</w:t>
      </w:r>
      <w:r w:rsidR="002C3957" w:rsidRPr="00C671A3">
        <w:rPr>
          <w:rFonts w:ascii="Arial" w:hAnsi="Arial" w:cs="Arial"/>
          <w:sz w:val="24"/>
          <w:szCs w:val="24"/>
        </w:rPr>
        <w:t xml:space="preserve">onde fungen como demandados </w:t>
      </w:r>
      <w:r w:rsidR="00DC667A" w:rsidRPr="00A02203">
        <w:rPr>
          <w:rFonts w:ascii="Arial" w:hAnsi="Arial" w:cs="Arial"/>
          <w:b/>
          <w:sz w:val="24"/>
          <w:szCs w:val="24"/>
        </w:rPr>
        <w:t xml:space="preserve">Poma Colombia S.A.S., </w:t>
      </w:r>
      <w:r w:rsidR="002C3957" w:rsidRPr="00A02203">
        <w:rPr>
          <w:rFonts w:ascii="Arial" w:hAnsi="Arial" w:cs="Arial"/>
          <w:b/>
          <w:sz w:val="24"/>
          <w:szCs w:val="24"/>
        </w:rPr>
        <w:t>Andrés Fernando Reyes Figueroa, Julián Andrés C</w:t>
      </w:r>
      <w:r w:rsidR="00FC3F3E" w:rsidRPr="00A02203">
        <w:rPr>
          <w:rFonts w:ascii="Arial" w:hAnsi="Arial" w:cs="Arial"/>
          <w:b/>
          <w:sz w:val="24"/>
          <w:szCs w:val="24"/>
        </w:rPr>
        <w:t>ogoll</w:t>
      </w:r>
      <w:r w:rsidR="002C3957" w:rsidRPr="00A02203">
        <w:rPr>
          <w:rFonts w:ascii="Arial" w:hAnsi="Arial" w:cs="Arial"/>
          <w:b/>
          <w:sz w:val="24"/>
          <w:szCs w:val="24"/>
        </w:rPr>
        <w:t xml:space="preserve">o Briceño, </w:t>
      </w:r>
      <w:r w:rsidR="00FC3F3E" w:rsidRPr="00A02203">
        <w:rPr>
          <w:rFonts w:ascii="Arial" w:hAnsi="Arial" w:cs="Arial"/>
          <w:b/>
          <w:sz w:val="24"/>
          <w:szCs w:val="24"/>
        </w:rPr>
        <w:t>Pórticos</w:t>
      </w:r>
      <w:r w:rsidR="002C3957" w:rsidRPr="00A02203">
        <w:rPr>
          <w:rFonts w:ascii="Arial" w:hAnsi="Arial" w:cs="Arial"/>
          <w:b/>
          <w:sz w:val="24"/>
          <w:szCs w:val="24"/>
        </w:rPr>
        <w:t xml:space="preserve"> Ingenieros Civiles S.A.S.</w:t>
      </w:r>
      <w:r w:rsidR="002C3957" w:rsidRPr="00C671A3">
        <w:rPr>
          <w:rFonts w:ascii="Arial" w:hAnsi="Arial" w:cs="Arial"/>
          <w:sz w:val="24"/>
          <w:szCs w:val="24"/>
        </w:rPr>
        <w:t xml:space="preserve"> y el </w:t>
      </w:r>
      <w:r w:rsidR="002C3957" w:rsidRPr="00A02203">
        <w:rPr>
          <w:rFonts w:ascii="Arial" w:hAnsi="Arial" w:cs="Arial"/>
          <w:b/>
          <w:sz w:val="24"/>
          <w:szCs w:val="24"/>
        </w:rPr>
        <w:lastRenderedPageBreak/>
        <w:t>Municipio de Pereira</w:t>
      </w:r>
      <w:r w:rsidR="008E4E97" w:rsidRPr="00C671A3">
        <w:rPr>
          <w:rFonts w:ascii="Arial" w:hAnsi="Arial" w:cs="Arial"/>
          <w:sz w:val="24"/>
          <w:szCs w:val="24"/>
        </w:rPr>
        <w:t>, cuya radicación corresponde al Nº 66001-31-05-</w:t>
      </w:r>
      <w:r w:rsidR="00630792" w:rsidRPr="00C671A3">
        <w:rPr>
          <w:rFonts w:ascii="Arial" w:hAnsi="Arial" w:cs="Arial"/>
          <w:sz w:val="24"/>
          <w:szCs w:val="24"/>
        </w:rPr>
        <w:t>003-2019-00352</w:t>
      </w:r>
      <w:r w:rsidR="008E4E97" w:rsidRPr="00C671A3">
        <w:rPr>
          <w:rFonts w:ascii="Arial" w:hAnsi="Arial" w:cs="Arial"/>
          <w:sz w:val="24"/>
          <w:szCs w:val="24"/>
        </w:rPr>
        <w:t>-0</w:t>
      </w:r>
      <w:r w:rsidR="00D81984" w:rsidRPr="00C671A3">
        <w:rPr>
          <w:rFonts w:ascii="Arial" w:hAnsi="Arial" w:cs="Arial"/>
          <w:sz w:val="24"/>
          <w:szCs w:val="24"/>
        </w:rPr>
        <w:t>1</w:t>
      </w:r>
      <w:r w:rsidR="008E4E97" w:rsidRPr="00C671A3">
        <w:rPr>
          <w:rFonts w:ascii="Arial" w:hAnsi="Arial" w:cs="Arial"/>
          <w:sz w:val="24"/>
          <w:szCs w:val="24"/>
        </w:rPr>
        <w:t>.</w:t>
      </w:r>
    </w:p>
    <w:p w14:paraId="6A05A809" w14:textId="6460DC66" w:rsidR="008E4E97" w:rsidRDefault="008E4E97" w:rsidP="00C671A3">
      <w:pPr>
        <w:spacing w:after="0"/>
        <w:rPr>
          <w:rFonts w:ascii="Arial" w:hAnsi="Arial" w:cs="Arial"/>
          <w:sz w:val="24"/>
          <w:szCs w:val="24"/>
        </w:rPr>
      </w:pPr>
    </w:p>
    <w:p w14:paraId="72F4266B" w14:textId="77777777" w:rsidR="007125E8" w:rsidRPr="00C671A3" w:rsidRDefault="007125E8" w:rsidP="00C671A3">
      <w:pPr>
        <w:spacing w:after="0"/>
        <w:rPr>
          <w:rFonts w:ascii="Arial" w:hAnsi="Arial" w:cs="Arial"/>
          <w:sz w:val="24"/>
          <w:szCs w:val="24"/>
        </w:rPr>
      </w:pPr>
    </w:p>
    <w:p w14:paraId="0F10BAA5" w14:textId="77777777" w:rsidR="008E4E97" w:rsidRPr="00C671A3" w:rsidRDefault="008E4E97" w:rsidP="00C671A3">
      <w:pPr>
        <w:spacing w:after="0"/>
        <w:jc w:val="center"/>
        <w:rPr>
          <w:rFonts w:ascii="Arial" w:hAnsi="Arial" w:cs="Arial"/>
          <w:b/>
          <w:sz w:val="24"/>
          <w:szCs w:val="24"/>
        </w:rPr>
      </w:pPr>
      <w:r w:rsidRPr="00C671A3">
        <w:rPr>
          <w:rFonts w:ascii="Arial" w:hAnsi="Arial" w:cs="Arial"/>
          <w:b/>
          <w:sz w:val="24"/>
          <w:szCs w:val="24"/>
        </w:rPr>
        <w:t>ANTECEDENTES</w:t>
      </w:r>
    </w:p>
    <w:p w14:paraId="5A39BBE3" w14:textId="77777777" w:rsidR="003B31FF" w:rsidRPr="00C671A3" w:rsidRDefault="003B31FF" w:rsidP="00C671A3">
      <w:pPr>
        <w:pStyle w:val="Textoindependiente"/>
        <w:spacing w:line="276" w:lineRule="auto"/>
        <w:rPr>
          <w:rFonts w:cs="Arial"/>
          <w:sz w:val="24"/>
          <w:szCs w:val="24"/>
        </w:rPr>
      </w:pPr>
    </w:p>
    <w:p w14:paraId="01AB2AE2" w14:textId="70DF8350" w:rsidR="007A6C68" w:rsidRPr="00C671A3" w:rsidRDefault="00FC3F3E" w:rsidP="00C671A3">
      <w:pPr>
        <w:spacing w:after="0"/>
        <w:jc w:val="both"/>
        <w:rPr>
          <w:rFonts w:ascii="Arial" w:hAnsi="Arial" w:cs="Arial"/>
          <w:sz w:val="24"/>
          <w:szCs w:val="24"/>
        </w:rPr>
      </w:pPr>
      <w:r w:rsidRPr="00C671A3">
        <w:rPr>
          <w:rFonts w:ascii="Arial" w:hAnsi="Arial" w:cs="Arial"/>
          <w:sz w:val="24"/>
          <w:szCs w:val="24"/>
        </w:rPr>
        <w:t>La señora Jessica Pamela Ojeda Pérez</w:t>
      </w:r>
      <w:r w:rsidR="00B31433" w:rsidRPr="00C671A3">
        <w:rPr>
          <w:rFonts w:ascii="Arial" w:hAnsi="Arial" w:cs="Arial"/>
          <w:sz w:val="24"/>
          <w:szCs w:val="24"/>
        </w:rPr>
        <w:t xml:space="preserve"> inició la presente acción con el fin de </w:t>
      </w:r>
      <w:r w:rsidR="009571C8" w:rsidRPr="00C671A3">
        <w:rPr>
          <w:rFonts w:ascii="Arial" w:hAnsi="Arial" w:cs="Arial"/>
          <w:sz w:val="24"/>
          <w:szCs w:val="24"/>
        </w:rPr>
        <w:t>que</w:t>
      </w:r>
      <w:r w:rsidR="006C24B7" w:rsidRPr="00C671A3">
        <w:rPr>
          <w:rFonts w:ascii="Arial" w:hAnsi="Arial" w:cs="Arial"/>
          <w:sz w:val="24"/>
          <w:szCs w:val="24"/>
        </w:rPr>
        <w:t>,</w:t>
      </w:r>
      <w:r w:rsidR="009571C8" w:rsidRPr="00C671A3">
        <w:rPr>
          <w:rFonts w:ascii="Arial" w:hAnsi="Arial" w:cs="Arial"/>
          <w:sz w:val="24"/>
          <w:szCs w:val="24"/>
        </w:rPr>
        <w:t xml:space="preserve"> previa </w:t>
      </w:r>
      <w:r w:rsidRPr="00C671A3">
        <w:rPr>
          <w:rFonts w:ascii="Arial" w:hAnsi="Arial" w:cs="Arial"/>
          <w:sz w:val="24"/>
          <w:szCs w:val="24"/>
        </w:rPr>
        <w:t>declaración de la existencia de un contrato de trabajo entre ella y los integrantes de la Unión Temporal UT Megacable Pereira (Poma Colombia S.A.S –Sucursal Colombia, Andrés Fernando Reyes Figueroa, Julián Andrés Cogollo Briseño, Pórticos Ingenieros Civiles S.A.S. hoy “</w:t>
      </w:r>
      <w:r w:rsidRPr="00FF6347">
        <w:rPr>
          <w:rFonts w:ascii="Arial" w:hAnsi="Arial" w:cs="Arial"/>
          <w:szCs w:val="24"/>
        </w:rPr>
        <w:t>en reorganización</w:t>
      </w:r>
      <w:r w:rsidRPr="00C671A3">
        <w:rPr>
          <w:rFonts w:ascii="Arial" w:hAnsi="Arial" w:cs="Arial"/>
          <w:sz w:val="24"/>
          <w:szCs w:val="24"/>
        </w:rPr>
        <w:t xml:space="preserve">”), quienes junto con el Municipio de Pereira son solidariamente responsables por </w:t>
      </w:r>
      <w:r w:rsidR="00EB3C14" w:rsidRPr="00C671A3">
        <w:rPr>
          <w:rFonts w:ascii="Arial" w:hAnsi="Arial" w:cs="Arial"/>
          <w:sz w:val="24"/>
          <w:szCs w:val="24"/>
        </w:rPr>
        <w:t>las condena</w:t>
      </w:r>
      <w:r w:rsidR="7FF21174" w:rsidRPr="00C671A3">
        <w:rPr>
          <w:rFonts w:ascii="Arial" w:hAnsi="Arial" w:cs="Arial"/>
          <w:sz w:val="24"/>
          <w:szCs w:val="24"/>
        </w:rPr>
        <w:t>s</w:t>
      </w:r>
      <w:r w:rsidR="00EB3C14" w:rsidRPr="00C671A3">
        <w:rPr>
          <w:rFonts w:ascii="Arial" w:hAnsi="Arial" w:cs="Arial"/>
          <w:sz w:val="24"/>
          <w:szCs w:val="24"/>
        </w:rPr>
        <w:t xml:space="preserve"> que sean impuestas en este litigio, se establezca que fue despedida sin justa causa y en tal virtud </w:t>
      </w:r>
      <w:r w:rsidR="007313AD" w:rsidRPr="00C671A3">
        <w:rPr>
          <w:rFonts w:ascii="Arial" w:hAnsi="Arial" w:cs="Arial"/>
          <w:sz w:val="24"/>
          <w:szCs w:val="24"/>
        </w:rPr>
        <w:t>le adeuda</w:t>
      </w:r>
      <w:r w:rsidR="006C24B7" w:rsidRPr="00C671A3">
        <w:rPr>
          <w:rFonts w:ascii="Arial" w:hAnsi="Arial" w:cs="Arial"/>
          <w:sz w:val="24"/>
          <w:szCs w:val="24"/>
        </w:rPr>
        <w:t>n</w:t>
      </w:r>
      <w:r w:rsidR="007313AD" w:rsidRPr="00C671A3">
        <w:rPr>
          <w:rFonts w:ascii="Arial" w:hAnsi="Arial" w:cs="Arial"/>
          <w:sz w:val="24"/>
          <w:szCs w:val="24"/>
        </w:rPr>
        <w:t xml:space="preserve"> la indemnización prevista en al artículo 64 del Código Sustantivo del Trabajo, entre otras acreencias, tales como las deducciones no autorizadas efectuadas a la liquidación de prestaciones, la reliquidación </w:t>
      </w:r>
      <w:r w:rsidR="00925D20" w:rsidRPr="00C671A3">
        <w:rPr>
          <w:rFonts w:ascii="Arial" w:hAnsi="Arial" w:cs="Arial"/>
          <w:sz w:val="24"/>
          <w:szCs w:val="24"/>
        </w:rPr>
        <w:t>de tales rubros,</w:t>
      </w:r>
      <w:r w:rsidR="007313AD" w:rsidRPr="00C671A3">
        <w:rPr>
          <w:rFonts w:ascii="Arial" w:hAnsi="Arial" w:cs="Arial"/>
          <w:sz w:val="24"/>
          <w:szCs w:val="24"/>
        </w:rPr>
        <w:t xml:space="preserve"> las va</w:t>
      </w:r>
      <w:r w:rsidR="002E14B2" w:rsidRPr="00C671A3">
        <w:rPr>
          <w:rFonts w:ascii="Arial" w:hAnsi="Arial" w:cs="Arial"/>
          <w:sz w:val="24"/>
          <w:szCs w:val="24"/>
        </w:rPr>
        <w:t>caciones y la sanción moratoria.</w:t>
      </w:r>
    </w:p>
    <w:p w14:paraId="41C8F396" w14:textId="77777777" w:rsidR="002E14B2" w:rsidRPr="00C671A3" w:rsidRDefault="002E14B2" w:rsidP="00C671A3">
      <w:pPr>
        <w:spacing w:after="0"/>
        <w:jc w:val="both"/>
        <w:rPr>
          <w:rFonts w:ascii="Arial" w:hAnsi="Arial" w:cs="Arial"/>
          <w:sz w:val="24"/>
          <w:szCs w:val="24"/>
        </w:rPr>
      </w:pPr>
    </w:p>
    <w:p w14:paraId="16B6EFCD" w14:textId="6D7E21FE" w:rsidR="002E14B2" w:rsidRPr="00C671A3" w:rsidRDefault="002E14B2" w:rsidP="00C671A3">
      <w:pPr>
        <w:spacing w:after="0"/>
        <w:jc w:val="both"/>
        <w:rPr>
          <w:rFonts w:ascii="Arial" w:hAnsi="Arial" w:cs="Arial"/>
          <w:sz w:val="24"/>
          <w:szCs w:val="24"/>
        </w:rPr>
      </w:pPr>
      <w:r w:rsidRPr="00C671A3">
        <w:rPr>
          <w:rFonts w:ascii="Arial" w:hAnsi="Arial" w:cs="Arial"/>
          <w:sz w:val="24"/>
          <w:szCs w:val="24"/>
        </w:rPr>
        <w:t>Por último</w:t>
      </w:r>
      <w:r w:rsidR="00AA35B9" w:rsidRPr="00C671A3">
        <w:rPr>
          <w:rFonts w:ascii="Arial" w:hAnsi="Arial" w:cs="Arial"/>
          <w:sz w:val="24"/>
          <w:szCs w:val="24"/>
        </w:rPr>
        <w:t>,</w:t>
      </w:r>
      <w:r w:rsidRPr="00C671A3">
        <w:rPr>
          <w:rFonts w:ascii="Arial" w:hAnsi="Arial" w:cs="Arial"/>
          <w:sz w:val="24"/>
          <w:szCs w:val="24"/>
        </w:rPr>
        <w:t xml:space="preserve"> reclama que se condene a la</w:t>
      </w:r>
      <w:r w:rsidR="1A941239" w:rsidRPr="00C671A3">
        <w:rPr>
          <w:rFonts w:ascii="Arial" w:hAnsi="Arial" w:cs="Arial"/>
          <w:sz w:val="24"/>
          <w:szCs w:val="24"/>
        </w:rPr>
        <w:t xml:space="preserve"> parte pasiva</w:t>
      </w:r>
      <w:r w:rsidRPr="00C671A3">
        <w:rPr>
          <w:rFonts w:ascii="Arial" w:hAnsi="Arial" w:cs="Arial"/>
          <w:sz w:val="24"/>
          <w:szCs w:val="24"/>
        </w:rPr>
        <w:t xml:space="preserve"> a pagar las costas procesales y los demás derechos que resulten probados de acuerdo con las facultadas extra y ultra </w:t>
      </w:r>
      <w:r w:rsidRPr="00C671A3">
        <w:rPr>
          <w:rFonts w:ascii="Arial" w:hAnsi="Arial" w:cs="Arial"/>
          <w:i/>
          <w:iCs/>
          <w:sz w:val="24"/>
          <w:szCs w:val="24"/>
        </w:rPr>
        <w:t>petita.</w:t>
      </w:r>
    </w:p>
    <w:p w14:paraId="72A3D3EC" w14:textId="77777777" w:rsidR="007A6C68" w:rsidRPr="00C671A3" w:rsidRDefault="007A6C68" w:rsidP="00C671A3">
      <w:pPr>
        <w:pStyle w:val="Textoindependiente"/>
        <w:spacing w:line="276" w:lineRule="auto"/>
        <w:rPr>
          <w:rFonts w:cs="Arial"/>
          <w:sz w:val="24"/>
          <w:szCs w:val="24"/>
        </w:rPr>
      </w:pPr>
    </w:p>
    <w:p w14:paraId="48754C1E" w14:textId="2CFBBC19" w:rsidR="00DB7A0C" w:rsidRPr="00C671A3" w:rsidRDefault="00407219" w:rsidP="00C671A3">
      <w:pPr>
        <w:pStyle w:val="Textoindependiente"/>
        <w:spacing w:line="276" w:lineRule="auto"/>
        <w:rPr>
          <w:rFonts w:cs="Arial"/>
          <w:sz w:val="24"/>
          <w:szCs w:val="24"/>
        </w:rPr>
      </w:pPr>
      <w:r w:rsidRPr="00C671A3">
        <w:rPr>
          <w:rFonts w:cs="Arial"/>
          <w:sz w:val="24"/>
          <w:szCs w:val="24"/>
        </w:rPr>
        <w:t>Admitida la dema</w:t>
      </w:r>
      <w:r w:rsidR="00845488" w:rsidRPr="00C671A3">
        <w:rPr>
          <w:rFonts w:cs="Arial"/>
          <w:sz w:val="24"/>
          <w:szCs w:val="24"/>
        </w:rPr>
        <w:t xml:space="preserve">nda, se dispuso la notificación </w:t>
      </w:r>
      <w:r w:rsidR="00AA35B9" w:rsidRPr="00C671A3">
        <w:rPr>
          <w:rFonts w:cs="Arial"/>
          <w:sz w:val="24"/>
          <w:szCs w:val="24"/>
        </w:rPr>
        <w:t>de las demand</w:t>
      </w:r>
      <w:r w:rsidR="00925D20" w:rsidRPr="00C671A3">
        <w:rPr>
          <w:rFonts w:cs="Arial"/>
          <w:sz w:val="24"/>
          <w:szCs w:val="24"/>
        </w:rPr>
        <w:t>ad</w:t>
      </w:r>
      <w:r w:rsidR="00AA35B9" w:rsidRPr="00C671A3">
        <w:rPr>
          <w:rFonts w:cs="Arial"/>
          <w:sz w:val="24"/>
          <w:szCs w:val="24"/>
        </w:rPr>
        <w:t>as, quienes integraron la litis dando repuesta a la demanda. El municipio de Pereira, adicionalmente</w:t>
      </w:r>
      <w:r w:rsidR="00925D20" w:rsidRPr="00C671A3">
        <w:rPr>
          <w:rFonts w:cs="Arial"/>
          <w:sz w:val="24"/>
          <w:szCs w:val="24"/>
        </w:rPr>
        <w:t xml:space="preserve"> a atender el requerimiento del juzgado, </w:t>
      </w:r>
      <w:r w:rsidR="00AA35B9" w:rsidRPr="00C671A3">
        <w:rPr>
          <w:rFonts w:cs="Arial"/>
          <w:sz w:val="24"/>
          <w:szCs w:val="24"/>
        </w:rPr>
        <w:t>llamó en garantía a la Compañía Mundial de Seguros S.A., solicitud que fue admitida por el Juzgado de conocimiento mediante aut</w:t>
      </w:r>
      <w:r w:rsidR="00925D20" w:rsidRPr="00C671A3">
        <w:rPr>
          <w:rFonts w:cs="Arial"/>
          <w:sz w:val="24"/>
          <w:szCs w:val="24"/>
        </w:rPr>
        <w:t>o de fecha 17 de agosto de 2021, procediendo con la notificación de la aseguradora.</w:t>
      </w:r>
    </w:p>
    <w:p w14:paraId="0D0B940D" w14:textId="77777777" w:rsidR="00DB7A0C" w:rsidRPr="00C671A3" w:rsidRDefault="00DB7A0C" w:rsidP="00C671A3">
      <w:pPr>
        <w:pStyle w:val="Textoindependiente"/>
        <w:spacing w:line="276" w:lineRule="auto"/>
        <w:rPr>
          <w:rFonts w:cs="Arial"/>
          <w:sz w:val="24"/>
          <w:szCs w:val="24"/>
        </w:rPr>
      </w:pPr>
    </w:p>
    <w:p w14:paraId="00FD2FB8" w14:textId="491FCFDD" w:rsidR="00C053B0" w:rsidRPr="00C671A3" w:rsidRDefault="006D001C" w:rsidP="00C671A3">
      <w:pPr>
        <w:pStyle w:val="Textoindependiente"/>
        <w:spacing w:line="276" w:lineRule="auto"/>
        <w:rPr>
          <w:rFonts w:cs="Arial"/>
          <w:sz w:val="24"/>
          <w:szCs w:val="24"/>
        </w:rPr>
      </w:pPr>
      <w:r w:rsidRPr="00C671A3">
        <w:rPr>
          <w:rFonts w:cs="Arial"/>
          <w:sz w:val="24"/>
          <w:szCs w:val="24"/>
        </w:rPr>
        <w:t>En providencia adiada 8 de junio de 2022,</w:t>
      </w:r>
      <w:r w:rsidR="00324A20" w:rsidRPr="00C671A3">
        <w:rPr>
          <w:rFonts w:cs="Arial"/>
          <w:sz w:val="24"/>
          <w:szCs w:val="24"/>
        </w:rPr>
        <w:t xml:space="preserve"> el Juzgado de conocimiento inadmitió la contestaci</w:t>
      </w:r>
      <w:r w:rsidRPr="00C671A3">
        <w:rPr>
          <w:rFonts w:cs="Arial"/>
          <w:sz w:val="24"/>
          <w:szCs w:val="24"/>
        </w:rPr>
        <w:t xml:space="preserve">ón </w:t>
      </w:r>
      <w:r w:rsidR="00925D20" w:rsidRPr="00C671A3">
        <w:rPr>
          <w:rFonts w:cs="Arial"/>
          <w:sz w:val="24"/>
          <w:szCs w:val="24"/>
        </w:rPr>
        <w:t>de la demanda y de</w:t>
      </w:r>
      <w:r w:rsidRPr="00C671A3">
        <w:rPr>
          <w:rFonts w:cs="Arial"/>
          <w:sz w:val="24"/>
          <w:szCs w:val="24"/>
        </w:rPr>
        <w:t xml:space="preserve">l llamamiento en garantía al advertir que no fue aportado el poder general conferido a la abogada de la entidad y, además, no </w:t>
      </w:r>
      <w:r w:rsidR="00731908" w:rsidRPr="00C671A3">
        <w:rPr>
          <w:rFonts w:cs="Arial"/>
          <w:sz w:val="24"/>
          <w:szCs w:val="24"/>
        </w:rPr>
        <w:t xml:space="preserve">se </w:t>
      </w:r>
      <w:r w:rsidRPr="00C671A3">
        <w:rPr>
          <w:rFonts w:cs="Arial"/>
          <w:sz w:val="24"/>
          <w:szCs w:val="24"/>
        </w:rPr>
        <w:t>efectúo pronunciamiento sobre el hecho octavo del llamamiento</w:t>
      </w:r>
      <w:r w:rsidR="00731908" w:rsidRPr="00C671A3">
        <w:rPr>
          <w:rFonts w:cs="Arial"/>
          <w:sz w:val="24"/>
          <w:szCs w:val="24"/>
        </w:rPr>
        <w:t xml:space="preserve"> en garantía.</w:t>
      </w:r>
    </w:p>
    <w:p w14:paraId="0E27B00A" w14:textId="77777777" w:rsidR="00C053B0" w:rsidRPr="00C671A3" w:rsidRDefault="00C053B0" w:rsidP="00C671A3">
      <w:pPr>
        <w:pStyle w:val="Textoindependiente"/>
        <w:spacing w:line="276" w:lineRule="auto"/>
        <w:rPr>
          <w:rFonts w:cs="Arial"/>
          <w:sz w:val="24"/>
          <w:szCs w:val="24"/>
        </w:rPr>
      </w:pPr>
    </w:p>
    <w:p w14:paraId="2D86A463" w14:textId="3B3E36B9" w:rsidR="00C053B0" w:rsidRPr="00C671A3" w:rsidRDefault="00C053B0" w:rsidP="00C671A3">
      <w:pPr>
        <w:pStyle w:val="Textoindependiente"/>
        <w:spacing w:line="276" w:lineRule="auto"/>
        <w:rPr>
          <w:rFonts w:cs="Arial"/>
          <w:sz w:val="24"/>
          <w:szCs w:val="24"/>
        </w:rPr>
      </w:pPr>
      <w:r w:rsidRPr="00C671A3">
        <w:rPr>
          <w:rFonts w:cs="Arial"/>
          <w:sz w:val="24"/>
          <w:szCs w:val="24"/>
        </w:rPr>
        <w:t xml:space="preserve">En lo que respecta al llamamiento en garantía que hizo a Seguros Generales Suramericana S.A. refirió la </w:t>
      </w:r>
      <w:r w:rsidRPr="00C671A3">
        <w:rPr>
          <w:rFonts w:cs="Arial"/>
          <w:i/>
          <w:iCs/>
          <w:sz w:val="24"/>
          <w:szCs w:val="24"/>
        </w:rPr>
        <w:t xml:space="preserve">a </w:t>
      </w:r>
      <w:r w:rsidR="00A14D57" w:rsidRPr="00C671A3">
        <w:rPr>
          <w:rFonts w:cs="Arial"/>
          <w:i/>
          <w:iCs/>
          <w:sz w:val="24"/>
          <w:szCs w:val="24"/>
        </w:rPr>
        <w:t>quo que</w:t>
      </w:r>
      <w:r w:rsidRPr="00C671A3">
        <w:rPr>
          <w:rFonts w:cs="Arial"/>
          <w:sz w:val="24"/>
          <w:szCs w:val="24"/>
        </w:rPr>
        <w:t xml:space="preserve"> no acreditó el vínculo contractual alegado entre las aseguradores, toda vez que de las pólizas aporta</w:t>
      </w:r>
      <w:r w:rsidR="14620E8E" w:rsidRPr="00C671A3">
        <w:rPr>
          <w:rFonts w:cs="Arial"/>
          <w:sz w:val="24"/>
          <w:szCs w:val="24"/>
        </w:rPr>
        <w:t>da</w:t>
      </w:r>
      <w:r w:rsidRPr="00C671A3">
        <w:rPr>
          <w:rFonts w:cs="Arial"/>
          <w:sz w:val="24"/>
          <w:szCs w:val="24"/>
        </w:rPr>
        <w:t>s no se colige que ésta sea la coaseguradora.</w:t>
      </w:r>
    </w:p>
    <w:p w14:paraId="60061E4C" w14:textId="77777777" w:rsidR="00C053B0" w:rsidRPr="00C671A3" w:rsidRDefault="00C053B0" w:rsidP="00C671A3">
      <w:pPr>
        <w:pStyle w:val="Textoindependiente"/>
        <w:spacing w:line="276" w:lineRule="auto"/>
        <w:rPr>
          <w:rFonts w:cs="Arial"/>
          <w:sz w:val="24"/>
          <w:szCs w:val="24"/>
        </w:rPr>
      </w:pPr>
    </w:p>
    <w:p w14:paraId="7F6B7FEF" w14:textId="77777777" w:rsidR="00324A20" w:rsidRPr="00C671A3" w:rsidRDefault="00C053B0" w:rsidP="00C671A3">
      <w:pPr>
        <w:pStyle w:val="Textoindependiente"/>
        <w:spacing w:line="276" w:lineRule="auto"/>
        <w:rPr>
          <w:rFonts w:cs="Arial"/>
          <w:sz w:val="24"/>
          <w:szCs w:val="24"/>
        </w:rPr>
      </w:pPr>
      <w:r w:rsidRPr="00C671A3">
        <w:rPr>
          <w:rFonts w:cs="Arial"/>
          <w:sz w:val="24"/>
          <w:szCs w:val="24"/>
        </w:rPr>
        <w:t>P</w:t>
      </w:r>
      <w:r w:rsidR="00B01BC2" w:rsidRPr="00C671A3">
        <w:rPr>
          <w:rFonts w:cs="Arial"/>
          <w:sz w:val="24"/>
          <w:szCs w:val="24"/>
        </w:rPr>
        <w:t xml:space="preserve">or lo </w:t>
      </w:r>
      <w:r w:rsidR="00731908" w:rsidRPr="00C671A3">
        <w:rPr>
          <w:rFonts w:cs="Arial"/>
          <w:sz w:val="24"/>
          <w:szCs w:val="24"/>
        </w:rPr>
        <w:t xml:space="preserve">expuesto, le </w:t>
      </w:r>
      <w:r w:rsidR="00B01BC2" w:rsidRPr="00C671A3">
        <w:rPr>
          <w:rFonts w:cs="Arial"/>
          <w:sz w:val="24"/>
          <w:szCs w:val="24"/>
        </w:rPr>
        <w:t>concedió el término de cinco (5) días para subsanar la</w:t>
      </w:r>
      <w:r w:rsidR="00731908" w:rsidRPr="00C671A3">
        <w:rPr>
          <w:rFonts w:cs="Arial"/>
          <w:sz w:val="24"/>
          <w:szCs w:val="24"/>
        </w:rPr>
        <w:t>s</w:t>
      </w:r>
      <w:r w:rsidR="00B01BC2" w:rsidRPr="00C671A3">
        <w:rPr>
          <w:rFonts w:cs="Arial"/>
          <w:sz w:val="24"/>
          <w:szCs w:val="24"/>
        </w:rPr>
        <w:t xml:space="preserve"> falencia</w:t>
      </w:r>
      <w:r w:rsidR="00731908" w:rsidRPr="00C671A3">
        <w:rPr>
          <w:rFonts w:cs="Arial"/>
          <w:sz w:val="24"/>
          <w:szCs w:val="24"/>
        </w:rPr>
        <w:t>s evidenciadas</w:t>
      </w:r>
      <w:r w:rsidR="00B01BC2" w:rsidRPr="00C671A3">
        <w:rPr>
          <w:rFonts w:cs="Arial"/>
          <w:sz w:val="24"/>
          <w:szCs w:val="24"/>
        </w:rPr>
        <w:t>.</w:t>
      </w:r>
    </w:p>
    <w:p w14:paraId="44EAFD9C" w14:textId="77777777" w:rsidR="00324A20" w:rsidRPr="00C671A3" w:rsidRDefault="00324A20" w:rsidP="00C671A3">
      <w:pPr>
        <w:pStyle w:val="Textoindependiente"/>
        <w:spacing w:line="276" w:lineRule="auto"/>
        <w:rPr>
          <w:rFonts w:cs="Arial"/>
          <w:sz w:val="24"/>
          <w:szCs w:val="24"/>
        </w:rPr>
      </w:pPr>
    </w:p>
    <w:p w14:paraId="490E95A1" w14:textId="6214D82C" w:rsidR="004C619F" w:rsidRPr="00C671A3" w:rsidRDefault="00B01BC2" w:rsidP="00C671A3">
      <w:pPr>
        <w:pStyle w:val="Textoindependiente"/>
        <w:spacing w:line="276" w:lineRule="auto"/>
        <w:rPr>
          <w:rFonts w:cs="Arial"/>
          <w:sz w:val="24"/>
          <w:szCs w:val="24"/>
        </w:rPr>
      </w:pPr>
      <w:r w:rsidRPr="00C671A3">
        <w:rPr>
          <w:rFonts w:cs="Arial"/>
          <w:sz w:val="24"/>
          <w:szCs w:val="24"/>
        </w:rPr>
        <w:t xml:space="preserve">A través de correo electrónico adiado </w:t>
      </w:r>
      <w:r w:rsidR="00832259" w:rsidRPr="00C671A3">
        <w:rPr>
          <w:rFonts w:cs="Arial"/>
          <w:sz w:val="24"/>
          <w:szCs w:val="24"/>
        </w:rPr>
        <w:t>16 de junio de 2022</w:t>
      </w:r>
      <w:r w:rsidRPr="00C671A3">
        <w:rPr>
          <w:rFonts w:cs="Arial"/>
          <w:sz w:val="24"/>
          <w:szCs w:val="24"/>
        </w:rPr>
        <w:t xml:space="preserve"> </w:t>
      </w:r>
      <w:r w:rsidR="00832259" w:rsidRPr="00C671A3">
        <w:rPr>
          <w:rFonts w:cs="Arial"/>
          <w:sz w:val="24"/>
          <w:szCs w:val="24"/>
        </w:rPr>
        <w:t>Mundial de Seguros S.A.</w:t>
      </w:r>
      <w:r w:rsidRPr="00C671A3">
        <w:rPr>
          <w:rFonts w:cs="Arial"/>
          <w:sz w:val="24"/>
          <w:szCs w:val="24"/>
        </w:rPr>
        <w:t xml:space="preserve"> presentó la subsanación </w:t>
      </w:r>
      <w:r w:rsidR="00C053B0" w:rsidRPr="00C671A3">
        <w:rPr>
          <w:rFonts w:cs="Arial"/>
          <w:sz w:val="24"/>
          <w:szCs w:val="24"/>
        </w:rPr>
        <w:t>de las varias actuaciones</w:t>
      </w:r>
      <w:r w:rsidR="00832259" w:rsidRPr="00C671A3">
        <w:rPr>
          <w:rFonts w:cs="Arial"/>
          <w:sz w:val="24"/>
          <w:szCs w:val="24"/>
        </w:rPr>
        <w:t>, pronunciándose sobre el hecho octavo de la llamada en garantía</w:t>
      </w:r>
      <w:r w:rsidR="00C053B0" w:rsidRPr="00C671A3">
        <w:rPr>
          <w:rFonts w:cs="Arial"/>
          <w:sz w:val="24"/>
          <w:szCs w:val="24"/>
        </w:rPr>
        <w:t xml:space="preserve">, acreditando el vínculo contractual con la aseguradora llamada en garantía y </w:t>
      </w:r>
      <w:r w:rsidR="00832259" w:rsidRPr="00C671A3">
        <w:rPr>
          <w:rFonts w:cs="Arial"/>
          <w:sz w:val="24"/>
          <w:szCs w:val="24"/>
        </w:rPr>
        <w:t xml:space="preserve">precisando que el poder general otorgado a la abogada que ahora representa </w:t>
      </w:r>
      <w:r w:rsidR="00731908" w:rsidRPr="00C671A3">
        <w:rPr>
          <w:rFonts w:cs="Arial"/>
          <w:sz w:val="24"/>
          <w:szCs w:val="24"/>
        </w:rPr>
        <w:t>judicialmente</w:t>
      </w:r>
      <w:r w:rsidR="00832259" w:rsidRPr="00C671A3">
        <w:rPr>
          <w:rFonts w:cs="Arial"/>
          <w:sz w:val="24"/>
          <w:szCs w:val="24"/>
        </w:rPr>
        <w:t xml:space="preserve"> a la aseguradora se encuentra inserto en el Cer</w:t>
      </w:r>
      <w:r w:rsidR="004C619F" w:rsidRPr="00C671A3">
        <w:rPr>
          <w:rFonts w:cs="Arial"/>
          <w:sz w:val="24"/>
          <w:szCs w:val="24"/>
        </w:rPr>
        <w:t>tificado de Cámara y Comercio</w:t>
      </w:r>
      <w:r w:rsidR="0E7FAA4C" w:rsidRPr="00C671A3">
        <w:rPr>
          <w:rFonts w:cs="Arial"/>
          <w:sz w:val="24"/>
          <w:szCs w:val="24"/>
        </w:rPr>
        <w:t>.</w:t>
      </w:r>
      <w:r w:rsidR="0006370E" w:rsidRPr="00C671A3">
        <w:rPr>
          <w:rFonts w:cs="Arial"/>
          <w:sz w:val="24"/>
          <w:szCs w:val="24"/>
        </w:rPr>
        <w:t xml:space="preserve"> </w:t>
      </w:r>
      <w:r w:rsidR="1003CD4F" w:rsidRPr="00C671A3">
        <w:rPr>
          <w:rFonts w:cs="Arial"/>
          <w:sz w:val="24"/>
          <w:szCs w:val="24"/>
        </w:rPr>
        <w:t>Ahora bien</w:t>
      </w:r>
      <w:r w:rsidR="0043260D" w:rsidRPr="00C671A3">
        <w:rPr>
          <w:rFonts w:cs="Arial"/>
          <w:sz w:val="24"/>
          <w:szCs w:val="24"/>
        </w:rPr>
        <w:t xml:space="preserve">, mediante auto de fecha </w:t>
      </w:r>
      <w:r w:rsidR="004C619F" w:rsidRPr="00C671A3">
        <w:rPr>
          <w:rFonts w:cs="Arial"/>
          <w:sz w:val="24"/>
          <w:szCs w:val="24"/>
        </w:rPr>
        <w:t>8 de julio del año que avanza</w:t>
      </w:r>
      <w:r w:rsidR="61D92E4D" w:rsidRPr="00C671A3">
        <w:rPr>
          <w:rFonts w:cs="Arial"/>
          <w:sz w:val="24"/>
          <w:szCs w:val="24"/>
        </w:rPr>
        <w:t>,</w:t>
      </w:r>
      <w:r w:rsidR="0043260D" w:rsidRPr="00C671A3">
        <w:rPr>
          <w:rFonts w:cs="Arial"/>
          <w:sz w:val="24"/>
          <w:szCs w:val="24"/>
        </w:rPr>
        <w:t xml:space="preserve"> se </w:t>
      </w:r>
      <w:r w:rsidR="00631BD5" w:rsidRPr="00C671A3">
        <w:rPr>
          <w:rFonts w:cs="Arial"/>
          <w:sz w:val="24"/>
          <w:szCs w:val="24"/>
        </w:rPr>
        <w:t>dio por no contestad</w:t>
      </w:r>
      <w:r w:rsidR="004C4D23" w:rsidRPr="00C671A3">
        <w:rPr>
          <w:rFonts w:cs="Arial"/>
          <w:sz w:val="24"/>
          <w:szCs w:val="24"/>
        </w:rPr>
        <w:t>o</w:t>
      </w:r>
      <w:r w:rsidR="00631BD5" w:rsidRPr="00C671A3">
        <w:rPr>
          <w:rFonts w:cs="Arial"/>
          <w:sz w:val="24"/>
          <w:szCs w:val="24"/>
        </w:rPr>
        <w:t xml:space="preserve"> el llamamiento en garantía</w:t>
      </w:r>
      <w:r w:rsidR="004C4D23" w:rsidRPr="00C671A3">
        <w:rPr>
          <w:rFonts w:cs="Arial"/>
          <w:sz w:val="24"/>
          <w:szCs w:val="24"/>
        </w:rPr>
        <w:t>,</w:t>
      </w:r>
      <w:r w:rsidR="00631BD5" w:rsidRPr="00C671A3">
        <w:rPr>
          <w:rFonts w:cs="Arial"/>
          <w:sz w:val="24"/>
          <w:szCs w:val="24"/>
        </w:rPr>
        <w:t xml:space="preserve"> </w:t>
      </w:r>
      <w:r w:rsidR="212F3B56" w:rsidRPr="00C671A3">
        <w:rPr>
          <w:rFonts w:cs="Arial"/>
          <w:sz w:val="24"/>
          <w:szCs w:val="24"/>
        </w:rPr>
        <w:t xml:space="preserve">se </w:t>
      </w:r>
      <w:r w:rsidR="00631BD5" w:rsidRPr="00C671A3">
        <w:rPr>
          <w:rFonts w:cs="Arial"/>
          <w:sz w:val="24"/>
          <w:szCs w:val="24"/>
        </w:rPr>
        <w:t>aplic</w:t>
      </w:r>
      <w:r w:rsidR="00731908" w:rsidRPr="00C671A3">
        <w:rPr>
          <w:rFonts w:cs="Arial"/>
          <w:sz w:val="24"/>
          <w:szCs w:val="24"/>
        </w:rPr>
        <w:t>aron</w:t>
      </w:r>
      <w:r w:rsidR="00631BD5" w:rsidRPr="00C671A3">
        <w:rPr>
          <w:rFonts w:cs="Arial"/>
          <w:sz w:val="24"/>
          <w:szCs w:val="24"/>
        </w:rPr>
        <w:t xml:space="preserve"> </w:t>
      </w:r>
      <w:r w:rsidR="00631BD5" w:rsidRPr="00C671A3">
        <w:rPr>
          <w:rFonts w:cs="Arial"/>
          <w:sz w:val="24"/>
          <w:szCs w:val="24"/>
        </w:rPr>
        <w:lastRenderedPageBreak/>
        <w:t>las san</w:t>
      </w:r>
      <w:r w:rsidR="006E0193" w:rsidRPr="00C671A3">
        <w:rPr>
          <w:rFonts w:cs="Arial"/>
          <w:sz w:val="24"/>
          <w:szCs w:val="24"/>
        </w:rPr>
        <w:t>ciones previstas en el parágrafo 2 del artículo 31 del Código Procesal del Trabajo y de la Seguridad Social</w:t>
      </w:r>
      <w:r w:rsidR="004C4D23" w:rsidRPr="00C671A3">
        <w:rPr>
          <w:rFonts w:cs="Arial"/>
          <w:sz w:val="24"/>
          <w:szCs w:val="24"/>
        </w:rPr>
        <w:t xml:space="preserve"> y se negó el llamamiento en Garantía efectuado a</w:t>
      </w:r>
      <w:r w:rsidR="00731908" w:rsidRPr="00C671A3">
        <w:rPr>
          <w:rFonts w:cs="Arial"/>
          <w:sz w:val="24"/>
          <w:szCs w:val="24"/>
        </w:rPr>
        <w:t xml:space="preserve"> </w:t>
      </w:r>
      <w:r w:rsidR="004C4D23" w:rsidRPr="00C671A3">
        <w:rPr>
          <w:rFonts w:cs="Arial"/>
          <w:sz w:val="24"/>
          <w:szCs w:val="24"/>
        </w:rPr>
        <w:t xml:space="preserve">la </w:t>
      </w:r>
      <w:proofErr w:type="spellStart"/>
      <w:r w:rsidR="004C4D23" w:rsidRPr="00C671A3">
        <w:rPr>
          <w:rFonts w:cs="Arial"/>
          <w:sz w:val="24"/>
          <w:szCs w:val="24"/>
        </w:rPr>
        <w:t>Cía</w:t>
      </w:r>
      <w:proofErr w:type="spellEnd"/>
      <w:r w:rsidR="004C4D23" w:rsidRPr="00C671A3">
        <w:rPr>
          <w:rFonts w:cs="Arial"/>
          <w:sz w:val="24"/>
          <w:szCs w:val="24"/>
        </w:rPr>
        <w:t xml:space="preserve"> de Seguros Generales Suramericana S.A.</w:t>
      </w:r>
      <w:r w:rsidR="006E0193" w:rsidRPr="00C671A3">
        <w:rPr>
          <w:rFonts w:cs="Arial"/>
          <w:sz w:val="24"/>
          <w:szCs w:val="24"/>
        </w:rPr>
        <w:t xml:space="preserve">, </w:t>
      </w:r>
      <w:r w:rsidR="0043260D" w:rsidRPr="00C671A3">
        <w:rPr>
          <w:rFonts w:cs="Arial"/>
          <w:sz w:val="24"/>
          <w:szCs w:val="24"/>
        </w:rPr>
        <w:t xml:space="preserve"> </w:t>
      </w:r>
      <w:r w:rsidR="00731908" w:rsidRPr="00C671A3">
        <w:rPr>
          <w:rFonts w:cs="Arial"/>
          <w:sz w:val="24"/>
          <w:szCs w:val="24"/>
        </w:rPr>
        <w:t>en consideración</w:t>
      </w:r>
      <w:r w:rsidR="0043260D" w:rsidRPr="00C671A3">
        <w:rPr>
          <w:rFonts w:cs="Arial"/>
          <w:sz w:val="24"/>
          <w:szCs w:val="24"/>
        </w:rPr>
        <w:t xml:space="preserve"> que </w:t>
      </w:r>
      <w:r w:rsidR="004C619F" w:rsidRPr="00C671A3">
        <w:rPr>
          <w:rFonts w:cs="Arial"/>
          <w:sz w:val="24"/>
          <w:szCs w:val="24"/>
        </w:rPr>
        <w:t xml:space="preserve">la aseguradora no atendió el requerimiento relacionado con la </w:t>
      </w:r>
      <w:r w:rsidR="10954202" w:rsidRPr="00C671A3">
        <w:rPr>
          <w:rFonts w:cs="Arial"/>
          <w:sz w:val="24"/>
          <w:szCs w:val="24"/>
        </w:rPr>
        <w:t>presentación</w:t>
      </w:r>
      <w:r w:rsidR="004C619F" w:rsidRPr="00C671A3">
        <w:rPr>
          <w:rFonts w:cs="Arial"/>
          <w:sz w:val="24"/>
          <w:szCs w:val="24"/>
        </w:rPr>
        <w:t xml:space="preserve"> del poder general, toda vez que no aportó la escritura pública No 22.230 de 26 de noviembre de 2018, documento que debió ser a</w:t>
      </w:r>
      <w:r w:rsidR="00731908" w:rsidRPr="00C671A3">
        <w:rPr>
          <w:rFonts w:cs="Arial"/>
          <w:sz w:val="24"/>
          <w:szCs w:val="24"/>
        </w:rPr>
        <w:t>rrimado</w:t>
      </w:r>
      <w:r w:rsidR="004C619F" w:rsidRPr="00C671A3">
        <w:rPr>
          <w:rFonts w:cs="Arial"/>
          <w:sz w:val="24"/>
          <w:szCs w:val="24"/>
        </w:rPr>
        <w:t xml:space="preserve"> con independencia</w:t>
      </w:r>
      <w:r w:rsidR="00B04796" w:rsidRPr="00C671A3">
        <w:rPr>
          <w:rFonts w:cs="Arial"/>
          <w:sz w:val="24"/>
          <w:szCs w:val="24"/>
        </w:rPr>
        <w:t xml:space="preserve"> de que </w:t>
      </w:r>
      <w:r w:rsidR="00731908" w:rsidRPr="00C671A3">
        <w:rPr>
          <w:rFonts w:cs="Arial"/>
          <w:sz w:val="24"/>
          <w:szCs w:val="24"/>
        </w:rPr>
        <w:t xml:space="preserve">en </w:t>
      </w:r>
      <w:r w:rsidR="00B04796" w:rsidRPr="00C671A3">
        <w:rPr>
          <w:rFonts w:cs="Arial"/>
          <w:sz w:val="24"/>
          <w:szCs w:val="24"/>
        </w:rPr>
        <w:t>el certificado de existencia y representación legal de la vinculada se haga mención a él, pues el artículo 74 del Cód</w:t>
      </w:r>
      <w:r w:rsidR="005B5912" w:rsidRPr="00C671A3">
        <w:rPr>
          <w:rFonts w:cs="Arial"/>
          <w:sz w:val="24"/>
          <w:szCs w:val="24"/>
        </w:rPr>
        <w:t xml:space="preserve">igo General del Proceso, señala que el poder general se otorga a través de escritura pública, posición que encontró respaldo en </w:t>
      </w:r>
      <w:r w:rsidR="00631BD5" w:rsidRPr="00C671A3">
        <w:rPr>
          <w:rFonts w:cs="Arial"/>
          <w:sz w:val="24"/>
          <w:szCs w:val="24"/>
        </w:rPr>
        <w:t>la jurisprudencia de la Sala de Casación Civil en la sentencia STC 16368 de 2019.</w:t>
      </w:r>
    </w:p>
    <w:p w14:paraId="4B94D5A5" w14:textId="77777777" w:rsidR="00010359" w:rsidRPr="00C671A3" w:rsidRDefault="00010359" w:rsidP="00C671A3">
      <w:pPr>
        <w:pStyle w:val="Textoindependiente"/>
        <w:spacing w:line="276" w:lineRule="auto"/>
        <w:rPr>
          <w:rFonts w:cs="Arial"/>
          <w:sz w:val="24"/>
          <w:szCs w:val="24"/>
        </w:rPr>
      </w:pPr>
    </w:p>
    <w:p w14:paraId="61E518E5" w14:textId="395E140D" w:rsidR="00151C7B" w:rsidRPr="00C671A3" w:rsidRDefault="00010359" w:rsidP="00C671A3">
      <w:pPr>
        <w:pStyle w:val="Textoindependiente"/>
        <w:spacing w:line="276" w:lineRule="auto"/>
        <w:rPr>
          <w:rFonts w:cs="Arial"/>
          <w:sz w:val="24"/>
          <w:szCs w:val="24"/>
        </w:rPr>
      </w:pPr>
      <w:r w:rsidRPr="00C671A3">
        <w:rPr>
          <w:rFonts w:cs="Arial"/>
          <w:sz w:val="24"/>
          <w:szCs w:val="24"/>
        </w:rPr>
        <w:t xml:space="preserve">Inconforme con la decisión la sociedad aseguradora formuló recurso de </w:t>
      </w:r>
      <w:r w:rsidR="00EE152A" w:rsidRPr="00C671A3">
        <w:rPr>
          <w:rFonts w:cs="Arial"/>
          <w:sz w:val="24"/>
          <w:szCs w:val="24"/>
        </w:rPr>
        <w:t>reposición y en subsidio el de apelaci</w:t>
      </w:r>
      <w:r w:rsidR="006A3DB5" w:rsidRPr="00C671A3">
        <w:rPr>
          <w:rFonts w:cs="Arial"/>
          <w:sz w:val="24"/>
          <w:szCs w:val="24"/>
        </w:rPr>
        <w:t xml:space="preserve">ón, precisando, luego de poner de presente la procedencia de los recursos formulados, que </w:t>
      </w:r>
      <w:r w:rsidR="00151C7B" w:rsidRPr="00C671A3">
        <w:rPr>
          <w:rFonts w:cs="Arial"/>
          <w:sz w:val="24"/>
          <w:szCs w:val="24"/>
        </w:rPr>
        <w:t xml:space="preserve">en ningún aparte del auto que inadmitió la contestación del llamamiento en garantía el juzgado de conocimiento requirió a la entidad para que aportara la escritura pública mediante la cual se confirió el poder, pues de la literalidad del auto de inadmisión se advierte es que no se había aportado poder, de allí que al subsanar </w:t>
      </w:r>
      <w:r w:rsidR="1401A6A0" w:rsidRPr="00C671A3">
        <w:rPr>
          <w:rFonts w:cs="Arial"/>
          <w:sz w:val="24"/>
          <w:szCs w:val="24"/>
        </w:rPr>
        <w:t xml:space="preserve">se limitó a </w:t>
      </w:r>
      <w:r w:rsidR="00151C7B" w:rsidRPr="00C671A3">
        <w:rPr>
          <w:rFonts w:cs="Arial"/>
          <w:sz w:val="24"/>
          <w:szCs w:val="24"/>
        </w:rPr>
        <w:t>informar en qué archivo y folio dig</w:t>
      </w:r>
      <w:r w:rsidR="008C3B32" w:rsidRPr="00C671A3">
        <w:rPr>
          <w:rFonts w:cs="Arial"/>
          <w:sz w:val="24"/>
          <w:szCs w:val="24"/>
        </w:rPr>
        <w:t>ital se había aportado el mismo,</w:t>
      </w:r>
      <w:r w:rsidR="00731908" w:rsidRPr="00C671A3">
        <w:rPr>
          <w:rFonts w:cs="Arial"/>
          <w:sz w:val="24"/>
          <w:szCs w:val="24"/>
        </w:rPr>
        <w:t xml:space="preserve"> lo</w:t>
      </w:r>
      <w:r w:rsidR="008C3B32" w:rsidRPr="00C671A3">
        <w:rPr>
          <w:rFonts w:cs="Arial"/>
          <w:sz w:val="24"/>
          <w:szCs w:val="24"/>
        </w:rPr>
        <w:t xml:space="preserve"> cual resultó insuficiente para el Despacho.</w:t>
      </w:r>
    </w:p>
    <w:p w14:paraId="3DEEC669" w14:textId="77777777" w:rsidR="008C3B32" w:rsidRPr="00C671A3" w:rsidRDefault="008C3B32" w:rsidP="00C671A3">
      <w:pPr>
        <w:pStyle w:val="Textoindependiente"/>
        <w:spacing w:line="276" w:lineRule="auto"/>
        <w:rPr>
          <w:rFonts w:cs="Arial"/>
          <w:sz w:val="24"/>
          <w:szCs w:val="24"/>
        </w:rPr>
      </w:pPr>
    </w:p>
    <w:p w14:paraId="27703162" w14:textId="6949EC5F" w:rsidR="00630792" w:rsidRPr="00C671A3" w:rsidRDefault="008C3B32" w:rsidP="00C671A3">
      <w:pPr>
        <w:pStyle w:val="Textoindependiente"/>
        <w:spacing w:line="276" w:lineRule="auto"/>
        <w:rPr>
          <w:rFonts w:cs="Arial"/>
          <w:sz w:val="24"/>
          <w:szCs w:val="24"/>
        </w:rPr>
      </w:pPr>
      <w:r w:rsidRPr="00C671A3">
        <w:rPr>
          <w:rFonts w:cs="Arial"/>
          <w:sz w:val="24"/>
          <w:szCs w:val="24"/>
        </w:rPr>
        <w:t>Considera que no puede imponerse una consecuencia procesal tal lesiva, cuando se observa que se tenía el interés y la intención de subsanar las falencias advertidas por la</w:t>
      </w:r>
      <w:r w:rsidRPr="00C671A3">
        <w:rPr>
          <w:rFonts w:cs="Arial"/>
          <w:i/>
          <w:iCs/>
          <w:sz w:val="24"/>
          <w:szCs w:val="24"/>
        </w:rPr>
        <w:t xml:space="preserve"> a quo</w:t>
      </w:r>
      <w:r w:rsidR="00DD1976" w:rsidRPr="00C671A3">
        <w:rPr>
          <w:rFonts w:cs="Arial"/>
          <w:i/>
          <w:iCs/>
          <w:sz w:val="24"/>
          <w:szCs w:val="24"/>
        </w:rPr>
        <w:t xml:space="preserve"> </w:t>
      </w:r>
      <w:r w:rsidR="00DD1976" w:rsidRPr="00C671A3">
        <w:rPr>
          <w:rFonts w:cs="Arial"/>
          <w:sz w:val="24"/>
          <w:szCs w:val="24"/>
        </w:rPr>
        <w:t>y, además porque ya</w:t>
      </w:r>
      <w:r w:rsidR="00731908" w:rsidRPr="00C671A3">
        <w:rPr>
          <w:rFonts w:cs="Arial"/>
          <w:sz w:val="24"/>
          <w:szCs w:val="24"/>
        </w:rPr>
        <w:t xml:space="preserve"> ha actuado en el mismo despacho y a través de la misma </w:t>
      </w:r>
      <w:r w:rsidR="00DD1976" w:rsidRPr="00C671A3">
        <w:rPr>
          <w:rFonts w:cs="Arial"/>
          <w:sz w:val="24"/>
          <w:szCs w:val="24"/>
        </w:rPr>
        <w:t>apoderada general, sin ninguna exigencia adicional</w:t>
      </w:r>
      <w:r w:rsidR="00731908" w:rsidRPr="00C671A3">
        <w:rPr>
          <w:rFonts w:cs="Arial"/>
          <w:sz w:val="24"/>
          <w:szCs w:val="24"/>
        </w:rPr>
        <w:t xml:space="preserve">, </w:t>
      </w:r>
      <w:r w:rsidR="00902F65" w:rsidRPr="00C671A3">
        <w:rPr>
          <w:rFonts w:cs="Arial"/>
          <w:sz w:val="24"/>
          <w:szCs w:val="24"/>
        </w:rPr>
        <w:t xml:space="preserve">tal como se observa </w:t>
      </w:r>
      <w:r w:rsidR="00DD1976" w:rsidRPr="00C671A3">
        <w:rPr>
          <w:rFonts w:cs="Arial"/>
          <w:sz w:val="24"/>
          <w:szCs w:val="24"/>
        </w:rPr>
        <w:t xml:space="preserve">dentro del proceso radicado 660013105003201850009000, en el cual fue admitida la contestación aportando únicamente el certificado de cámara </w:t>
      </w:r>
      <w:r w:rsidR="73541938" w:rsidRPr="00C671A3">
        <w:rPr>
          <w:rFonts w:cs="Arial"/>
          <w:sz w:val="24"/>
          <w:szCs w:val="24"/>
        </w:rPr>
        <w:t>de</w:t>
      </w:r>
      <w:r w:rsidR="00DD1976" w:rsidRPr="00C671A3">
        <w:rPr>
          <w:rFonts w:cs="Arial"/>
          <w:sz w:val="24"/>
          <w:szCs w:val="24"/>
        </w:rPr>
        <w:t xml:space="preserve"> comercio</w:t>
      </w:r>
      <w:r w:rsidR="00A64A56" w:rsidRPr="00C671A3">
        <w:rPr>
          <w:rFonts w:cs="Arial"/>
          <w:sz w:val="24"/>
          <w:szCs w:val="24"/>
        </w:rPr>
        <w:t>, documento que</w:t>
      </w:r>
      <w:r w:rsidR="14E1378D" w:rsidRPr="00C671A3">
        <w:rPr>
          <w:rFonts w:cs="Arial"/>
          <w:sz w:val="24"/>
          <w:szCs w:val="24"/>
        </w:rPr>
        <w:t>,</w:t>
      </w:r>
      <w:r w:rsidR="00A64A56" w:rsidRPr="00C671A3">
        <w:rPr>
          <w:rFonts w:cs="Arial"/>
          <w:sz w:val="24"/>
          <w:szCs w:val="24"/>
        </w:rPr>
        <w:t xml:space="preserve"> de paso precisa</w:t>
      </w:r>
      <w:r w:rsidR="423862AE" w:rsidRPr="00C671A3">
        <w:rPr>
          <w:rFonts w:cs="Arial"/>
          <w:sz w:val="24"/>
          <w:szCs w:val="24"/>
        </w:rPr>
        <w:t>,</w:t>
      </w:r>
      <w:r w:rsidR="00A64A56" w:rsidRPr="00C671A3">
        <w:rPr>
          <w:rFonts w:cs="Arial"/>
          <w:sz w:val="24"/>
          <w:szCs w:val="24"/>
        </w:rPr>
        <w:t xml:space="preserve"> es la prueba de representación legal de las personas jurídicas.</w:t>
      </w:r>
      <w:r w:rsidR="00630792" w:rsidRPr="00C671A3">
        <w:rPr>
          <w:rFonts w:cs="Arial"/>
          <w:sz w:val="24"/>
          <w:szCs w:val="24"/>
        </w:rPr>
        <w:t>.</w:t>
      </w:r>
    </w:p>
    <w:p w14:paraId="3656B9AB" w14:textId="77777777" w:rsidR="00630792" w:rsidRPr="00C671A3" w:rsidRDefault="00630792" w:rsidP="00C671A3">
      <w:pPr>
        <w:pStyle w:val="Textoindependiente"/>
        <w:spacing w:line="276" w:lineRule="auto"/>
        <w:rPr>
          <w:rFonts w:cs="Arial"/>
          <w:sz w:val="24"/>
          <w:szCs w:val="24"/>
        </w:rPr>
      </w:pPr>
    </w:p>
    <w:p w14:paraId="15A1DCE0" w14:textId="499C028C" w:rsidR="008C3B32" w:rsidRDefault="00630792" w:rsidP="00C671A3">
      <w:pPr>
        <w:pStyle w:val="Textoindependiente"/>
        <w:spacing w:line="276" w:lineRule="auto"/>
        <w:rPr>
          <w:rFonts w:cs="Arial"/>
          <w:sz w:val="24"/>
          <w:szCs w:val="24"/>
        </w:rPr>
      </w:pPr>
      <w:r w:rsidRPr="00C671A3">
        <w:rPr>
          <w:rFonts w:cs="Arial"/>
          <w:sz w:val="24"/>
          <w:szCs w:val="24"/>
        </w:rPr>
        <w:t xml:space="preserve">Señala también que aunque no cuestiona el cambio de postura del Despacho, estima que debió indicar con toda precisión que lo requerido es la escritura pública mediante la cual se confirió el poder general, toda vez que con anterioridad no había sido </w:t>
      </w:r>
      <w:r w:rsidR="00902F65" w:rsidRPr="00C671A3">
        <w:rPr>
          <w:rFonts w:cs="Arial"/>
          <w:sz w:val="24"/>
          <w:szCs w:val="24"/>
        </w:rPr>
        <w:t>requerido</w:t>
      </w:r>
      <w:r w:rsidRPr="00C671A3">
        <w:rPr>
          <w:rFonts w:cs="Arial"/>
          <w:sz w:val="24"/>
          <w:szCs w:val="24"/>
        </w:rPr>
        <w:t xml:space="preserve"> tal documento y, además, el artículo 74 del CGP exige para el otorgamiento del poder general que sea a través de escritura pública, más no constituye tarifa legal para su prueba, pues </w:t>
      </w:r>
      <w:r w:rsidR="44245D52" w:rsidRPr="00C671A3">
        <w:rPr>
          <w:rFonts w:cs="Arial"/>
          <w:sz w:val="24"/>
          <w:szCs w:val="24"/>
        </w:rPr>
        <w:t>en</w:t>
      </w:r>
      <w:r w:rsidRPr="00C671A3">
        <w:rPr>
          <w:rFonts w:cs="Arial"/>
          <w:sz w:val="24"/>
          <w:szCs w:val="24"/>
        </w:rPr>
        <w:t xml:space="preserve"> el certificado de existencia y representación legal </w:t>
      </w:r>
      <w:r w:rsidR="00BF4A0A" w:rsidRPr="00C671A3">
        <w:rPr>
          <w:rFonts w:cs="Arial"/>
          <w:sz w:val="24"/>
          <w:szCs w:val="24"/>
        </w:rPr>
        <w:t>se encuentra inscrita tal actuaci</w:t>
      </w:r>
      <w:r w:rsidR="009C50AC" w:rsidRPr="00C671A3">
        <w:rPr>
          <w:rFonts w:cs="Arial"/>
          <w:sz w:val="24"/>
          <w:szCs w:val="24"/>
        </w:rPr>
        <w:t>ón e incluso se describen las facultades que le fueron conferida a la abogada de la Compañía</w:t>
      </w:r>
      <w:r w:rsidR="00C17EE8" w:rsidRPr="00C671A3">
        <w:rPr>
          <w:rFonts w:cs="Arial"/>
          <w:sz w:val="24"/>
          <w:szCs w:val="24"/>
        </w:rPr>
        <w:t>, ostentando ésta la doble calidad de representante y  apoderada</w:t>
      </w:r>
      <w:r w:rsidR="009C50AC" w:rsidRPr="00C671A3">
        <w:rPr>
          <w:rFonts w:cs="Arial"/>
          <w:sz w:val="24"/>
          <w:szCs w:val="24"/>
        </w:rPr>
        <w:t>.</w:t>
      </w:r>
    </w:p>
    <w:p w14:paraId="011AA10F" w14:textId="77777777" w:rsidR="00A14D57" w:rsidRPr="00C671A3" w:rsidRDefault="00A14D57" w:rsidP="00C671A3">
      <w:pPr>
        <w:pStyle w:val="Textoindependiente"/>
        <w:spacing w:line="276" w:lineRule="auto"/>
        <w:rPr>
          <w:rFonts w:cs="Arial"/>
          <w:i/>
          <w:iCs/>
          <w:sz w:val="24"/>
          <w:szCs w:val="24"/>
        </w:rPr>
      </w:pPr>
    </w:p>
    <w:p w14:paraId="28E7B1EF" w14:textId="62518272" w:rsidR="009C50AC" w:rsidRPr="00C671A3" w:rsidRDefault="009C50AC" w:rsidP="00C671A3">
      <w:pPr>
        <w:pStyle w:val="Textoindependiente"/>
        <w:spacing w:line="276" w:lineRule="auto"/>
        <w:rPr>
          <w:rFonts w:cs="Arial"/>
          <w:sz w:val="24"/>
          <w:szCs w:val="24"/>
        </w:rPr>
      </w:pPr>
      <w:r w:rsidRPr="00C671A3">
        <w:rPr>
          <w:rFonts w:cs="Arial"/>
          <w:sz w:val="24"/>
          <w:szCs w:val="24"/>
        </w:rPr>
        <w:t>Por otro lado, señala que de conformidad con el artículo 85 del CGP, la Cámara de Comercio de Bogotá certifica que se confirió poder por escritura pública a la abogada que viene actuando en el proceso, por lo que no debe exigirse más docume</w:t>
      </w:r>
      <w:r w:rsidR="00902F65" w:rsidRPr="00C671A3">
        <w:rPr>
          <w:rFonts w:cs="Arial"/>
          <w:sz w:val="24"/>
          <w:szCs w:val="24"/>
        </w:rPr>
        <w:t>ntos que los ya aportado</w:t>
      </w:r>
      <w:r w:rsidRPr="00C671A3">
        <w:rPr>
          <w:rFonts w:cs="Arial"/>
          <w:sz w:val="24"/>
          <w:szCs w:val="24"/>
        </w:rPr>
        <w:t>s, dado que se encuentra probada su representaci</w:t>
      </w:r>
      <w:r w:rsidR="00975BB0" w:rsidRPr="00C671A3">
        <w:rPr>
          <w:rFonts w:cs="Arial"/>
          <w:sz w:val="24"/>
          <w:szCs w:val="24"/>
        </w:rPr>
        <w:t>ón y las facultades conferidas, por lo que considera, de paso, que no debi</w:t>
      </w:r>
      <w:r w:rsidR="7019B179" w:rsidRPr="00C671A3">
        <w:rPr>
          <w:rFonts w:cs="Arial"/>
          <w:sz w:val="24"/>
          <w:szCs w:val="24"/>
        </w:rPr>
        <w:t>eron</w:t>
      </w:r>
      <w:r w:rsidR="00902F65" w:rsidRPr="00C671A3">
        <w:rPr>
          <w:rFonts w:cs="Arial"/>
          <w:sz w:val="24"/>
          <w:szCs w:val="24"/>
        </w:rPr>
        <w:t xml:space="preserve"> inadmitirse, por esa razón, las contestaciones presentadas</w:t>
      </w:r>
      <w:r w:rsidR="00C17EE8" w:rsidRPr="00C671A3">
        <w:rPr>
          <w:rFonts w:cs="Arial"/>
          <w:sz w:val="24"/>
          <w:szCs w:val="24"/>
        </w:rPr>
        <w:t>.</w:t>
      </w:r>
    </w:p>
    <w:p w14:paraId="049F31CB" w14:textId="77777777" w:rsidR="00C17EE8" w:rsidRPr="00C671A3" w:rsidRDefault="00C17EE8" w:rsidP="00C671A3">
      <w:pPr>
        <w:pStyle w:val="Textoindependiente"/>
        <w:spacing w:line="276" w:lineRule="auto"/>
        <w:rPr>
          <w:rFonts w:cs="Arial"/>
          <w:sz w:val="24"/>
          <w:szCs w:val="24"/>
        </w:rPr>
      </w:pPr>
    </w:p>
    <w:p w14:paraId="522893BE" w14:textId="07AB17AC" w:rsidR="00705DD2" w:rsidRPr="00C671A3" w:rsidRDefault="00B37692" w:rsidP="00C671A3">
      <w:pPr>
        <w:pStyle w:val="Textoindependiente"/>
        <w:spacing w:line="276" w:lineRule="auto"/>
        <w:rPr>
          <w:rFonts w:cs="Arial"/>
          <w:sz w:val="24"/>
          <w:szCs w:val="24"/>
        </w:rPr>
      </w:pPr>
      <w:r w:rsidRPr="00C671A3">
        <w:rPr>
          <w:rFonts w:cs="Arial"/>
          <w:sz w:val="24"/>
          <w:szCs w:val="24"/>
        </w:rPr>
        <w:t xml:space="preserve">Por último refiere que la contestación de la demanda y </w:t>
      </w:r>
      <w:r w:rsidR="00902F65" w:rsidRPr="00C671A3">
        <w:rPr>
          <w:rFonts w:cs="Arial"/>
          <w:sz w:val="24"/>
          <w:szCs w:val="24"/>
        </w:rPr>
        <w:t>e</w:t>
      </w:r>
      <w:r w:rsidRPr="00C671A3">
        <w:rPr>
          <w:rFonts w:cs="Arial"/>
          <w:sz w:val="24"/>
          <w:szCs w:val="24"/>
        </w:rPr>
        <w:t>l llamamiento en garantía</w:t>
      </w:r>
      <w:r w:rsidR="35252D0F" w:rsidRPr="00C671A3">
        <w:rPr>
          <w:rFonts w:cs="Arial"/>
          <w:sz w:val="24"/>
          <w:szCs w:val="24"/>
        </w:rPr>
        <w:t xml:space="preserve"> frente</w:t>
      </w:r>
      <w:r w:rsidRPr="00C671A3">
        <w:rPr>
          <w:rFonts w:cs="Arial"/>
          <w:sz w:val="24"/>
          <w:szCs w:val="24"/>
        </w:rPr>
        <w:t xml:space="preserve"> </w:t>
      </w:r>
      <w:r w:rsidR="00902F65" w:rsidRPr="00C671A3">
        <w:rPr>
          <w:rFonts w:cs="Arial"/>
          <w:sz w:val="24"/>
          <w:szCs w:val="24"/>
        </w:rPr>
        <w:t>a</w:t>
      </w:r>
      <w:r w:rsidRPr="00C671A3">
        <w:rPr>
          <w:rFonts w:cs="Arial"/>
          <w:sz w:val="24"/>
          <w:szCs w:val="24"/>
        </w:rPr>
        <w:t>l llamamiento en garantía</w:t>
      </w:r>
      <w:r w:rsidR="4E8C3814" w:rsidRPr="00C671A3">
        <w:rPr>
          <w:rFonts w:cs="Arial"/>
          <w:sz w:val="24"/>
          <w:szCs w:val="24"/>
        </w:rPr>
        <w:t xml:space="preserve"> que hizo</w:t>
      </w:r>
      <w:r w:rsidRPr="00C671A3">
        <w:rPr>
          <w:rFonts w:cs="Arial"/>
          <w:sz w:val="24"/>
          <w:szCs w:val="24"/>
        </w:rPr>
        <w:t xml:space="preserve"> a Seguros Generales Suramericana S.A., son dos actos diferentes que fueron inadmitidos por razones di</w:t>
      </w:r>
      <w:r w:rsidR="00902F65" w:rsidRPr="00C671A3">
        <w:rPr>
          <w:rFonts w:cs="Arial"/>
          <w:sz w:val="24"/>
          <w:szCs w:val="24"/>
        </w:rPr>
        <w:t>versas</w:t>
      </w:r>
      <w:r w:rsidRPr="00C671A3">
        <w:rPr>
          <w:rFonts w:cs="Arial"/>
          <w:sz w:val="24"/>
          <w:szCs w:val="24"/>
        </w:rPr>
        <w:t>, por lo tanto, lo que se resuelva frente a los dos primeros, es independien</w:t>
      </w:r>
      <w:r w:rsidR="709DE39B" w:rsidRPr="00C671A3">
        <w:rPr>
          <w:rFonts w:cs="Arial"/>
          <w:sz w:val="24"/>
          <w:szCs w:val="24"/>
        </w:rPr>
        <w:t>te</w:t>
      </w:r>
      <w:r w:rsidRPr="00C671A3">
        <w:rPr>
          <w:rFonts w:cs="Arial"/>
          <w:sz w:val="24"/>
          <w:szCs w:val="24"/>
        </w:rPr>
        <w:t xml:space="preserve"> a lo que se decida en este </w:t>
      </w:r>
      <w:r w:rsidRPr="00C671A3">
        <w:rPr>
          <w:rFonts w:cs="Arial"/>
          <w:sz w:val="24"/>
          <w:szCs w:val="24"/>
        </w:rPr>
        <w:lastRenderedPageBreak/>
        <w:t xml:space="preserve">último, respecto al cual nada se dijo en torno al poder y solo se hizo referencia a que no se acreditó el vínculo contractual entre las aseguradoras involucradas, </w:t>
      </w:r>
      <w:r w:rsidR="0C5C078D" w:rsidRPr="00C671A3">
        <w:rPr>
          <w:rFonts w:cs="Arial"/>
          <w:sz w:val="24"/>
          <w:szCs w:val="24"/>
        </w:rPr>
        <w:t>pues se subsanó,</w:t>
      </w:r>
      <w:r w:rsidRPr="00C671A3">
        <w:rPr>
          <w:rFonts w:cs="Arial"/>
          <w:sz w:val="24"/>
          <w:szCs w:val="24"/>
        </w:rPr>
        <w:t xml:space="preserve"> a pesar de no estar de acuerdo con la posición del juzgado.</w:t>
      </w:r>
    </w:p>
    <w:p w14:paraId="53128261" w14:textId="77777777" w:rsidR="00705DD2" w:rsidRPr="00C671A3" w:rsidRDefault="00705DD2" w:rsidP="00C671A3">
      <w:pPr>
        <w:pStyle w:val="Textoindependiente"/>
        <w:spacing w:line="276" w:lineRule="auto"/>
        <w:rPr>
          <w:rFonts w:cs="Arial"/>
          <w:sz w:val="24"/>
          <w:szCs w:val="24"/>
        </w:rPr>
      </w:pPr>
    </w:p>
    <w:p w14:paraId="15F408C9" w14:textId="45FE55B0" w:rsidR="00B255A7" w:rsidRPr="00C671A3" w:rsidRDefault="00705DD2" w:rsidP="00C671A3">
      <w:pPr>
        <w:pStyle w:val="Textoindependiente"/>
        <w:spacing w:line="276" w:lineRule="auto"/>
        <w:rPr>
          <w:rFonts w:cs="Arial"/>
          <w:sz w:val="24"/>
          <w:szCs w:val="24"/>
        </w:rPr>
      </w:pPr>
      <w:r w:rsidRPr="00C671A3">
        <w:rPr>
          <w:rFonts w:cs="Arial"/>
          <w:sz w:val="24"/>
          <w:szCs w:val="24"/>
        </w:rPr>
        <w:t>Mediante providencia adiada 10 de agosto de 2022 el juzgado de conocimiento se mantuvo en la decisión, al advertir que no existe ninguna confusión o vacío en el auto que inadmitió la contestación por parte de</w:t>
      </w:r>
      <w:r w:rsidR="7EBD296A" w:rsidRPr="00C671A3">
        <w:rPr>
          <w:rFonts w:cs="Arial"/>
          <w:sz w:val="24"/>
          <w:szCs w:val="24"/>
        </w:rPr>
        <w:t xml:space="preserve"> </w:t>
      </w:r>
      <w:r w:rsidRPr="00C671A3">
        <w:rPr>
          <w:rFonts w:cs="Arial"/>
          <w:sz w:val="24"/>
          <w:szCs w:val="24"/>
        </w:rPr>
        <w:t>la Compañía Mundial de Seguros S.A., en tanto se encuentra amparad</w:t>
      </w:r>
      <w:r w:rsidR="00902F65" w:rsidRPr="00C671A3">
        <w:rPr>
          <w:rFonts w:cs="Arial"/>
          <w:sz w:val="24"/>
          <w:szCs w:val="24"/>
        </w:rPr>
        <w:t xml:space="preserve">o </w:t>
      </w:r>
      <w:r w:rsidRPr="00C671A3">
        <w:rPr>
          <w:rFonts w:cs="Arial"/>
          <w:sz w:val="24"/>
          <w:szCs w:val="24"/>
        </w:rPr>
        <w:t xml:space="preserve"> por la norma que dispone el control de este tipo de actos, es decir el artículo 31 del CPT y SS y</w:t>
      </w:r>
      <w:r w:rsidR="00902F65" w:rsidRPr="00C671A3">
        <w:rPr>
          <w:rFonts w:cs="Arial"/>
          <w:sz w:val="24"/>
          <w:szCs w:val="24"/>
        </w:rPr>
        <w:t>,</w:t>
      </w:r>
      <w:r w:rsidRPr="00C671A3">
        <w:rPr>
          <w:rFonts w:cs="Arial"/>
          <w:sz w:val="24"/>
          <w:szCs w:val="24"/>
        </w:rPr>
        <w:t xml:space="preserve"> además, es claro que</w:t>
      </w:r>
      <w:r w:rsidR="5F657F7F" w:rsidRPr="00C671A3">
        <w:rPr>
          <w:rFonts w:cs="Arial"/>
          <w:sz w:val="24"/>
          <w:szCs w:val="24"/>
        </w:rPr>
        <w:t>,</w:t>
      </w:r>
      <w:r w:rsidRPr="00C671A3">
        <w:rPr>
          <w:rFonts w:cs="Arial"/>
          <w:sz w:val="24"/>
          <w:szCs w:val="24"/>
        </w:rPr>
        <w:t xml:space="preserve"> al </w:t>
      </w:r>
      <w:r w:rsidR="00902F65" w:rsidRPr="00C671A3">
        <w:rPr>
          <w:rFonts w:cs="Arial"/>
          <w:sz w:val="24"/>
          <w:szCs w:val="24"/>
        </w:rPr>
        <w:t xml:space="preserve">percibirse </w:t>
      </w:r>
      <w:r w:rsidRPr="00C671A3">
        <w:rPr>
          <w:rFonts w:cs="Arial"/>
          <w:sz w:val="24"/>
          <w:szCs w:val="24"/>
        </w:rPr>
        <w:t>que no se había allegado poder general, el cual se confiere por medio de escritura</w:t>
      </w:r>
      <w:r w:rsidR="6BAA72B1" w:rsidRPr="00C671A3">
        <w:rPr>
          <w:rFonts w:cs="Arial"/>
          <w:sz w:val="24"/>
          <w:szCs w:val="24"/>
        </w:rPr>
        <w:t xml:space="preserve"> pública</w:t>
      </w:r>
      <w:r w:rsidRPr="00C671A3">
        <w:rPr>
          <w:rFonts w:cs="Arial"/>
          <w:sz w:val="24"/>
          <w:szCs w:val="24"/>
        </w:rPr>
        <w:t xml:space="preserve">, era tal </w:t>
      </w:r>
      <w:r w:rsidR="00B255A7" w:rsidRPr="00C671A3">
        <w:rPr>
          <w:rFonts w:cs="Arial"/>
          <w:sz w:val="24"/>
          <w:szCs w:val="24"/>
        </w:rPr>
        <w:t>documento el que debía aportarse al plenario.</w:t>
      </w:r>
    </w:p>
    <w:p w14:paraId="62486C05" w14:textId="77777777" w:rsidR="00B255A7" w:rsidRPr="00C671A3" w:rsidRDefault="00B255A7" w:rsidP="00C671A3">
      <w:pPr>
        <w:pStyle w:val="Textoindependiente"/>
        <w:spacing w:line="276" w:lineRule="auto"/>
        <w:rPr>
          <w:rFonts w:cs="Arial"/>
          <w:sz w:val="24"/>
          <w:szCs w:val="24"/>
        </w:rPr>
      </w:pPr>
    </w:p>
    <w:p w14:paraId="4BA25CA8" w14:textId="77777777" w:rsidR="00B37692" w:rsidRPr="00C671A3" w:rsidRDefault="00B255A7" w:rsidP="00C671A3">
      <w:pPr>
        <w:pStyle w:val="Textoindependiente"/>
        <w:spacing w:line="276" w:lineRule="auto"/>
        <w:rPr>
          <w:rFonts w:cs="Arial"/>
          <w:sz w:val="24"/>
          <w:szCs w:val="24"/>
        </w:rPr>
      </w:pPr>
      <w:r w:rsidRPr="00C671A3">
        <w:rPr>
          <w:rFonts w:cs="Arial"/>
          <w:sz w:val="24"/>
          <w:szCs w:val="24"/>
        </w:rPr>
        <w:t xml:space="preserve">Precisa el juzgado que no desconoce que al proceso fue aportado el certificado de existencia y representación legal de la compañía demandada y que en el mismo se refrenda la constitución del poder general, especificando el medio por el cual se confirió; sin embargo, aclara que dicho instrumento no tiene la virtualidad de acreditar la existencia del poder para intervenir judicialmente, toda vez que éste solo da cuenta de la existencia de la persona jurídica en particular, sus establecimientos de comercio y quien ostenta la calidad de representante legal y, si bien hace alusión a los poderes otorgados para ser representadas ante las </w:t>
      </w:r>
      <w:r w:rsidR="00AE75E4" w:rsidRPr="00C671A3">
        <w:rPr>
          <w:rFonts w:cs="Arial"/>
          <w:sz w:val="24"/>
          <w:szCs w:val="24"/>
        </w:rPr>
        <w:t>autoridades judiciales, ello no da lugar a que se entienda acreditado el derecho de postulación.</w:t>
      </w:r>
    </w:p>
    <w:p w14:paraId="4101652C" w14:textId="77777777" w:rsidR="00AE75E4" w:rsidRPr="00C671A3" w:rsidRDefault="00AE75E4" w:rsidP="00C671A3">
      <w:pPr>
        <w:pStyle w:val="Textoindependiente"/>
        <w:spacing w:line="276" w:lineRule="auto"/>
        <w:rPr>
          <w:rFonts w:cs="Arial"/>
          <w:sz w:val="24"/>
          <w:szCs w:val="24"/>
        </w:rPr>
      </w:pPr>
    </w:p>
    <w:p w14:paraId="20789F31" w14:textId="515EA822" w:rsidR="00AE75E4" w:rsidRPr="00C671A3" w:rsidRDefault="00AE75E4" w:rsidP="00C671A3">
      <w:pPr>
        <w:pStyle w:val="Textoindependiente"/>
        <w:spacing w:line="276" w:lineRule="auto"/>
        <w:rPr>
          <w:rFonts w:cs="Arial"/>
          <w:sz w:val="24"/>
          <w:szCs w:val="24"/>
        </w:rPr>
      </w:pPr>
      <w:r w:rsidRPr="00C671A3">
        <w:rPr>
          <w:rFonts w:cs="Arial"/>
          <w:sz w:val="24"/>
          <w:szCs w:val="24"/>
        </w:rPr>
        <w:t xml:space="preserve">Indica que </w:t>
      </w:r>
      <w:r w:rsidR="00902F65" w:rsidRPr="00C671A3">
        <w:rPr>
          <w:rFonts w:cs="Arial"/>
          <w:sz w:val="24"/>
          <w:szCs w:val="24"/>
        </w:rPr>
        <w:t>aunque</w:t>
      </w:r>
      <w:r w:rsidRPr="00C671A3">
        <w:rPr>
          <w:rFonts w:cs="Arial"/>
          <w:sz w:val="24"/>
          <w:szCs w:val="24"/>
        </w:rPr>
        <w:t xml:space="preserve"> las partes pueden comparecer al proceso a través de su representante legal o apoderado judicial debidamente inscrito, esta última calidad debe acreditarse a través del poder, documento que exige solemnidades y particularidades que legitiman la intervención del apoderado.</w:t>
      </w:r>
    </w:p>
    <w:p w14:paraId="4B99056E" w14:textId="77777777" w:rsidR="00C17EE8" w:rsidRPr="00C671A3" w:rsidRDefault="00C17EE8" w:rsidP="00C671A3">
      <w:pPr>
        <w:pStyle w:val="Textoindependiente"/>
        <w:spacing w:line="276" w:lineRule="auto"/>
        <w:rPr>
          <w:rFonts w:cs="Arial"/>
          <w:sz w:val="24"/>
          <w:szCs w:val="24"/>
        </w:rPr>
      </w:pPr>
    </w:p>
    <w:p w14:paraId="1299C43A" w14:textId="77777777" w:rsidR="00EF45A7" w:rsidRPr="00C671A3" w:rsidRDefault="00EF45A7" w:rsidP="00C671A3">
      <w:pPr>
        <w:pStyle w:val="Textoindependiente"/>
        <w:tabs>
          <w:tab w:val="left" w:pos="5103"/>
        </w:tabs>
        <w:spacing w:line="276" w:lineRule="auto"/>
        <w:rPr>
          <w:rFonts w:cs="Arial"/>
          <w:sz w:val="24"/>
          <w:szCs w:val="24"/>
        </w:rPr>
      </w:pPr>
    </w:p>
    <w:p w14:paraId="07313AAE" w14:textId="1975A7DA" w:rsidR="00EF45A7" w:rsidRPr="00C671A3" w:rsidRDefault="00EF45A7" w:rsidP="00C671A3">
      <w:pPr>
        <w:pStyle w:val="paragraph"/>
        <w:spacing w:before="0" w:beforeAutospacing="0" w:after="0" w:afterAutospacing="0" w:line="276" w:lineRule="auto"/>
        <w:jc w:val="center"/>
        <w:textAlignment w:val="baseline"/>
        <w:rPr>
          <w:rFonts w:ascii="Arial" w:hAnsi="Arial" w:cs="Arial"/>
        </w:rPr>
      </w:pPr>
      <w:r w:rsidRPr="00C671A3">
        <w:rPr>
          <w:rStyle w:val="normaltextrun"/>
          <w:rFonts w:ascii="Arial" w:hAnsi="Arial" w:cs="Arial"/>
          <w:b/>
          <w:bCs/>
        </w:rPr>
        <w:t>ALEGATOS DE CONCLUSIÓN</w:t>
      </w:r>
    </w:p>
    <w:p w14:paraId="675C8173" w14:textId="77777777" w:rsidR="00EF45A7" w:rsidRPr="00C671A3" w:rsidRDefault="00EF45A7" w:rsidP="00C671A3">
      <w:pPr>
        <w:pStyle w:val="paragraph"/>
        <w:spacing w:before="0" w:beforeAutospacing="0" w:after="0" w:afterAutospacing="0" w:line="276" w:lineRule="auto"/>
        <w:textAlignment w:val="baseline"/>
        <w:rPr>
          <w:rStyle w:val="eop"/>
          <w:rFonts w:ascii="Arial" w:eastAsia="Calibri" w:hAnsi="Arial" w:cs="Arial"/>
        </w:rPr>
      </w:pPr>
      <w:r w:rsidRPr="00C671A3">
        <w:rPr>
          <w:rStyle w:val="normaltextrun"/>
          <w:rFonts w:ascii="Arial" w:hAnsi="Arial" w:cs="Arial"/>
        </w:rPr>
        <w:t> </w:t>
      </w:r>
      <w:r w:rsidRPr="00C671A3">
        <w:rPr>
          <w:rStyle w:val="eop"/>
          <w:rFonts w:ascii="Arial" w:eastAsia="Calibri" w:hAnsi="Arial" w:cs="Arial"/>
        </w:rPr>
        <w:t>  </w:t>
      </w:r>
    </w:p>
    <w:p w14:paraId="067F3913" w14:textId="434C1ABB" w:rsidR="007A385B" w:rsidRPr="00C671A3" w:rsidRDefault="007A385B" w:rsidP="00C671A3">
      <w:pPr>
        <w:spacing w:after="0"/>
        <w:jc w:val="both"/>
        <w:textAlignment w:val="baseline"/>
        <w:rPr>
          <w:rStyle w:val="normaltextrun"/>
          <w:rFonts w:ascii="Arial" w:hAnsi="Arial" w:cs="Arial"/>
          <w:sz w:val="24"/>
          <w:szCs w:val="24"/>
        </w:rPr>
      </w:pPr>
      <w:r w:rsidRPr="00C671A3">
        <w:rPr>
          <w:rFonts w:ascii="Arial" w:eastAsia="Times New Roman" w:hAnsi="Arial" w:cs="Arial"/>
          <w:sz w:val="24"/>
          <w:szCs w:val="24"/>
          <w:lang w:eastAsia="es-CO"/>
        </w:rPr>
        <w:t>Conforme se dejó plasmado en la constancia de la Secretaría de la Corporación, tanto la recurrente remitió</w:t>
      </w:r>
      <w:r w:rsidRPr="00C671A3">
        <w:rPr>
          <w:rStyle w:val="normaltextrun"/>
          <w:rFonts w:ascii="Arial" w:hAnsi="Arial" w:cs="Arial"/>
          <w:sz w:val="24"/>
          <w:szCs w:val="24"/>
        </w:rPr>
        <w:t xml:space="preserve"> en término alegatos de conclusión. </w:t>
      </w:r>
    </w:p>
    <w:p w14:paraId="59BD3A69" w14:textId="77777777" w:rsidR="007A385B" w:rsidRPr="00C671A3" w:rsidRDefault="007A385B" w:rsidP="00C671A3">
      <w:pPr>
        <w:pStyle w:val="Sinespaciado"/>
        <w:spacing w:line="276" w:lineRule="auto"/>
        <w:rPr>
          <w:rFonts w:ascii="Arial" w:hAnsi="Arial" w:cs="Arial"/>
          <w:sz w:val="24"/>
          <w:szCs w:val="24"/>
          <w:lang w:eastAsia="es-CO"/>
        </w:rPr>
      </w:pPr>
    </w:p>
    <w:p w14:paraId="4B76A3F0" w14:textId="74BF8941" w:rsidR="007A385B" w:rsidRPr="00C671A3" w:rsidRDefault="007A385B" w:rsidP="00C671A3">
      <w:pPr>
        <w:spacing w:after="0"/>
        <w:jc w:val="both"/>
        <w:textAlignment w:val="baseline"/>
        <w:rPr>
          <w:rFonts w:ascii="Arial" w:eastAsia="Times New Roman" w:hAnsi="Arial" w:cs="Arial"/>
          <w:sz w:val="24"/>
          <w:szCs w:val="24"/>
          <w:lang w:eastAsia="es-CO"/>
        </w:rPr>
      </w:pPr>
      <w:r w:rsidRPr="00C671A3">
        <w:rPr>
          <w:rFonts w:ascii="Arial" w:eastAsia="Times New Roman" w:hAnsi="Arial" w:cs="Arial"/>
          <w:sz w:val="24"/>
          <w:szCs w:val="24"/>
          <w:lang w:eastAsia="es-CO"/>
        </w:rPr>
        <w:t>En cuanto al contenido de los alegatos de conclusión remitidos, teniendo en cuenta que el artículo 279 del CGP dispone que </w:t>
      </w:r>
      <w:r w:rsidRPr="00C671A3">
        <w:rPr>
          <w:rFonts w:ascii="Arial" w:eastAsia="Times New Roman" w:hAnsi="Arial" w:cs="Arial"/>
          <w:i/>
          <w:iCs/>
          <w:sz w:val="24"/>
          <w:szCs w:val="24"/>
          <w:lang w:eastAsia="es-CO"/>
        </w:rPr>
        <w:t>“</w:t>
      </w:r>
      <w:r w:rsidR="00FF6347">
        <w:rPr>
          <w:rFonts w:ascii="Arial" w:eastAsia="Times New Roman" w:hAnsi="Arial" w:cs="Arial"/>
          <w:i/>
          <w:iCs/>
          <w:szCs w:val="24"/>
          <w:lang w:eastAsia="es-CO"/>
        </w:rPr>
        <w:t>no</w:t>
      </w:r>
      <w:r w:rsidRPr="00FF6347">
        <w:rPr>
          <w:rFonts w:ascii="Arial" w:eastAsia="Times New Roman" w:hAnsi="Arial" w:cs="Arial"/>
          <w:i/>
          <w:iCs/>
          <w:szCs w:val="24"/>
          <w:lang w:eastAsia="es-CO"/>
        </w:rPr>
        <w:t xml:space="preserve"> se podrá hacer transcripciones o reproducciones de actas, decisiones o conceptos que obren en el expediente</w:t>
      </w:r>
      <w:r w:rsidRPr="00C671A3">
        <w:rPr>
          <w:rFonts w:ascii="Arial" w:eastAsia="Times New Roman" w:hAnsi="Arial" w:cs="Arial"/>
          <w:i/>
          <w:iCs/>
          <w:sz w:val="24"/>
          <w:szCs w:val="24"/>
          <w:lang w:eastAsia="es-CO"/>
        </w:rPr>
        <w:t>”, </w:t>
      </w:r>
      <w:r w:rsidRPr="00C671A3">
        <w:rPr>
          <w:rFonts w:ascii="Arial" w:eastAsia="Times New Roman" w:hAnsi="Arial" w:cs="Arial"/>
          <w:sz w:val="24"/>
          <w:szCs w:val="24"/>
          <w:lang w:eastAsia="es-CO"/>
        </w:rPr>
        <w:t xml:space="preserve">baste decir que los argumentos esgrimidos por las recurrentes coinciden con los expuestos en la sustentación de los recursos de apelación.  </w:t>
      </w:r>
    </w:p>
    <w:p w14:paraId="3223C63C" w14:textId="77777777" w:rsidR="007A385B" w:rsidRPr="00C671A3" w:rsidRDefault="007A385B" w:rsidP="00C671A3">
      <w:pPr>
        <w:pStyle w:val="paragraph"/>
        <w:spacing w:before="0" w:beforeAutospacing="0" w:after="0" w:afterAutospacing="0" w:line="276" w:lineRule="auto"/>
        <w:textAlignment w:val="baseline"/>
        <w:rPr>
          <w:rStyle w:val="normaltextrun"/>
          <w:rFonts w:ascii="Arial" w:hAnsi="Arial" w:cs="Arial"/>
        </w:rPr>
      </w:pPr>
    </w:p>
    <w:p w14:paraId="197B4108" w14:textId="47F58CB5" w:rsidR="00EF45A7" w:rsidRPr="00C671A3" w:rsidRDefault="00EF45A7" w:rsidP="00C671A3">
      <w:pPr>
        <w:pStyle w:val="paragraph"/>
        <w:spacing w:before="0" w:beforeAutospacing="0" w:after="0" w:afterAutospacing="0" w:line="276" w:lineRule="auto"/>
        <w:textAlignment w:val="baseline"/>
        <w:rPr>
          <w:rFonts w:ascii="Arial" w:hAnsi="Arial" w:cs="Arial"/>
        </w:rPr>
      </w:pPr>
      <w:r w:rsidRPr="00C671A3">
        <w:rPr>
          <w:rStyle w:val="normaltextrun"/>
          <w:rFonts w:ascii="Arial" w:hAnsi="Arial" w:cs="Arial"/>
        </w:rPr>
        <w:t>Reunida la Sala, lo que corresponde es la solución del siguiente:</w:t>
      </w:r>
      <w:r w:rsidRPr="00C671A3">
        <w:rPr>
          <w:rStyle w:val="eop"/>
          <w:rFonts w:ascii="Arial" w:eastAsia="Calibri" w:hAnsi="Arial" w:cs="Arial"/>
        </w:rPr>
        <w:t> </w:t>
      </w:r>
    </w:p>
    <w:p w14:paraId="3461D779" w14:textId="77777777" w:rsidR="00EF45A7" w:rsidRPr="00C671A3" w:rsidRDefault="00EF45A7" w:rsidP="00C671A3">
      <w:pPr>
        <w:pStyle w:val="paragraph"/>
        <w:spacing w:before="0" w:beforeAutospacing="0" w:after="0" w:afterAutospacing="0" w:line="276" w:lineRule="auto"/>
        <w:textAlignment w:val="baseline"/>
        <w:rPr>
          <w:rFonts w:ascii="Arial" w:hAnsi="Arial" w:cs="Arial"/>
        </w:rPr>
      </w:pPr>
    </w:p>
    <w:p w14:paraId="79778488" w14:textId="77777777" w:rsidR="003B3430" w:rsidRPr="00C671A3" w:rsidRDefault="003B3430" w:rsidP="00C671A3">
      <w:pPr>
        <w:pStyle w:val="Textoindependiente"/>
        <w:spacing w:line="276" w:lineRule="auto"/>
        <w:jc w:val="center"/>
        <w:rPr>
          <w:rStyle w:val="normaltextrun"/>
          <w:rFonts w:cs="Arial"/>
          <w:b/>
          <w:bCs/>
          <w:sz w:val="24"/>
          <w:szCs w:val="24"/>
        </w:rPr>
      </w:pPr>
    </w:p>
    <w:p w14:paraId="4650F320" w14:textId="637E25A8" w:rsidR="00EF45A7" w:rsidRPr="00C671A3" w:rsidRDefault="00EF45A7" w:rsidP="00C671A3">
      <w:pPr>
        <w:pStyle w:val="Textoindependiente"/>
        <w:spacing w:line="276" w:lineRule="auto"/>
        <w:jc w:val="center"/>
        <w:rPr>
          <w:rFonts w:cs="Arial"/>
          <w:b/>
          <w:sz w:val="24"/>
          <w:szCs w:val="24"/>
        </w:rPr>
      </w:pPr>
      <w:r w:rsidRPr="00C671A3">
        <w:rPr>
          <w:rStyle w:val="normaltextrun"/>
          <w:rFonts w:cs="Arial"/>
          <w:b/>
          <w:bCs/>
          <w:sz w:val="24"/>
          <w:szCs w:val="24"/>
        </w:rPr>
        <w:t>PROBLEMA JURÍDICO</w:t>
      </w:r>
    </w:p>
    <w:p w14:paraId="3CF2D8B6" w14:textId="77777777" w:rsidR="00EF45A7" w:rsidRPr="00C671A3" w:rsidRDefault="00EF45A7" w:rsidP="00C671A3">
      <w:pPr>
        <w:pStyle w:val="Textoindependiente"/>
        <w:spacing w:line="276" w:lineRule="auto"/>
        <w:ind w:right="335"/>
        <w:rPr>
          <w:rFonts w:cs="Arial"/>
          <w:sz w:val="24"/>
          <w:szCs w:val="24"/>
        </w:rPr>
      </w:pPr>
    </w:p>
    <w:p w14:paraId="1BFB61B7" w14:textId="77777777" w:rsidR="00EF45A7" w:rsidRPr="00C671A3" w:rsidRDefault="00EF45A7" w:rsidP="00FF6347">
      <w:pPr>
        <w:pStyle w:val="Textoindependiente"/>
        <w:spacing w:line="276" w:lineRule="auto"/>
        <w:ind w:left="426" w:right="420"/>
        <w:rPr>
          <w:rFonts w:cs="Arial"/>
          <w:sz w:val="24"/>
          <w:szCs w:val="24"/>
        </w:rPr>
      </w:pPr>
      <w:r w:rsidRPr="00C671A3">
        <w:rPr>
          <w:rFonts w:cs="Arial"/>
          <w:b/>
          <w:i/>
          <w:sz w:val="24"/>
          <w:szCs w:val="24"/>
        </w:rPr>
        <w:t>¿</w:t>
      </w:r>
      <w:r w:rsidR="00AE75E4" w:rsidRPr="00C671A3">
        <w:rPr>
          <w:rFonts w:cs="Arial"/>
          <w:b/>
          <w:i/>
          <w:sz w:val="24"/>
          <w:szCs w:val="24"/>
        </w:rPr>
        <w:t>Para acreditar la existencia del poder general otorgado por el representante legal de la llamada en garantía a la abogada que dio respuesta a la demanda, debía esta aportar la escritura pública a través del cual fue conferido</w:t>
      </w:r>
      <w:r w:rsidRPr="00C671A3">
        <w:rPr>
          <w:rFonts w:cs="Arial"/>
          <w:b/>
          <w:i/>
          <w:sz w:val="24"/>
          <w:szCs w:val="24"/>
        </w:rPr>
        <w:t>?</w:t>
      </w:r>
    </w:p>
    <w:p w14:paraId="0FB78278" w14:textId="77777777" w:rsidR="00EF45A7" w:rsidRPr="00C671A3" w:rsidRDefault="00EF45A7" w:rsidP="00C671A3">
      <w:pPr>
        <w:pStyle w:val="Textoindependiente"/>
        <w:spacing w:line="276" w:lineRule="auto"/>
        <w:rPr>
          <w:rFonts w:cs="Arial"/>
          <w:sz w:val="24"/>
          <w:szCs w:val="24"/>
        </w:rPr>
      </w:pPr>
    </w:p>
    <w:p w14:paraId="75D69062" w14:textId="77777777" w:rsidR="00EF45A7" w:rsidRPr="00433B8E" w:rsidRDefault="00EF45A7" w:rsidP="00433B8E">
      <w:pPr>
        <w:pStyle w:val="paragraph"/>
        <w:spacing w:before="0" w:beforeAutospacing="0" w:after="0" w:afterAutospacing="0" w:line="276" w:lineRule="auto"/>
        <w:textAlignment w:val="baseline"/>
        <w:rPr>
          <w:rStyle w:val="normaltextrun"/>
          <w:rFonts w:ascii="Arial" w:hAnsi="Arial" w:cs="Arial"/>
        </w:rPr>
      </w:pPr>
      <w:r w:rsidRPr="00433B8E">
        <w:rPr>
          <w:rStyle w:val="normaltextrun"/>
          <w:rFonts w:ascii="Arial" w:hAnsi="Arial" w:cs="Arial"/>
        </w:rPr>
        <w:lastRenderedPageBreak/>
        <w:t xml:space="preserve">Para resolver el interrogante formulado es necesario hacer las siguientes precisiones: </w:t>
      </w:r>
    </w:p>
    <w:p w14:paraId="1FC39945" w14:textId="1B72D042" w:rsidR="004E5C05" w:rsidRDefault="004E5C05" w:rsidP="00C671A3">
      <w:pPr>
        <w:spacing w:after="0"/>
        <w:jc w:val="both"/>
        <w:rPr>
          <w:rFonts w:ascii="Arial" w:hAnsi="Arial" w:cs="Arial"/>
          <w:sz w:val="24"/>
          <w:szCs w:val="24"/>
        </w:rPr>
      </w:pPr>
    </w:p>
    <w:p w14:paraId="1EAC3158" w14:textId="77777777" w:rsidR="007125E8" w:rsidRPr="00C671A3" w:rsidRDefault="007125E8" w:rsidP="00C671A3">
      <w:pPr>
        <w:spacing w:after="0"/>
        <w:jc w:val="both"/>
        <w:rPr>
          <w:rFonts w:ascii="Arial" w:hAnsi="Arial" w:cs="Arial"/>
          <w:sz w:val="24"/>
          <w:szCs w:val="24"/>
        </w:rPr>
      </w:pPr>
    </w:p>
    <w:p w14:paraId="6A9B2B31" w14:textId="77777777" w:rsidR="004E5C05" w:rsidRPr="00C671A3" w:rsidRDefault="003F34C5" w:rsidP="00C671A3">
      <w:pPr>
        <w:numPr>
          <w:ilvl w:val="0"/>
          <w:numId w:val="1"/>
        </w:numPr>
        <w:spacing w:after="0"/>
        <w:ind w:left="426" w:right="284" w:hanging="426"/>
        <w:jc w:val="both"/>
        <w:rPr>
          <w:rFonts w:ascii="Arial" w:eastAsia="Times New Roman" w:hAnsi="Arial" w:cs="Arial"/>
          <w:b/>
          <w:sz w:val="24"/>
          <w:szCs w:val="24"/>
          <w:lang w:val="es-ES_tradnl" w:eastAsia="es-ES"/>
        </w:rPr>
      </w:pPr>
      <w:r w:rsidRPr="00C671A3">
        <w:rPr>
          <w:rFonts w:ascii="Arial" w:eastAsia="Times New Roman" w:hAnsi="Arial" w:cs="Arial"/>
          <w:b/>
          <w:iCs/>
          <w:sz w:val="24"/>
          <w:szCs w:val="24"/>
          <w:lang w:val="es-ES_tradnl" w:eastAsia="es-ES"/>
        </w:rPr>
        <w:t>EL PODER EN VIGENCIA DEL DECRETO 806 DE 2020</w:t>
      </w:r>
    </w:p>
    <w:p w14:paraId="0562CB0E" w14:textId="77777777" w:rsidR="008242BE" w:rsidRPr="00433B8E" w:rsidRDefault="008242BE" w:rsidP="00433B8E">
      <w:pPr>
        <w:pStyle w:val="paragraph"/>
        <w:spacing w:before="0" w:beforeAutospacing="0" w:after="0" w:afterAutospacing="0" w:line="276" w:lineRule="auto"/>
        <w:textAlignment w:val="baseline"/>
        <w:rPr>
          <w:rStyle w:val="normaltextrun"/>
          <w:rFonts w:ascii="Arial" w:hAnsi="Arial" w:cs="Arial"/>
        </w:rPr>
      </w:pPr>
    </w:p>
    <w:p w14:paraId="49118C4C" w14:textId="51B526E4" w:rsidR="001628F5" w:rsidRDefault="0068199E" w:rsidP="00433B8E">
      <w:pPr>
        <w:pStyle w:val="paragraph"/>
        <w:spacing w:before="0" w:beforeAutospacing="0" w:after="0" w:afterAutospacing="0" w:line="276" w:lineRule="auto"/>
        <w:textAlignment w:val="baseline"/>
        <w:rPr>
          <w:rStyle w:val="normaltextrun"/>
          <w:rFonts w:ascii="Arial" w:hAnsi="Arial" w:cs="Arial"/>
        </w:rPr>
      </w:pPr>
      <w:r w:rsidRPr="00433B8E">
        <w:rPr>
          <w:rStyle w:val="normaltextrun"/>
          <w:rFonts w:ascii="Arial" w:hAnsi="Arial" w:cs="Arial"/>
        </w:rPr>
        <w:t xml:space="preserve">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 siendo una de ellas el aislamiento </w:t>
      </w:r>
      <w:r w:rsidR="001628F5" w:rsidRPr="00433B8E">
        <w:rPr>
          <w:rStyle w:val="normaltextrun"/>
          <w:rFonts w:ascii="Arial" w:hAnsi="Arial" w:cs="Arial"/>
        </w:rPr>
        <w:t xml:space="preserve">obligatorio y </w:t>
      </w:r>
      <w:r w:rsidRPr="00433B8E">
        <w:rPr>
          <w:rStyle w:val="normaltextrun"/>
          <w:rFonts w:ascii="Arial" w:hAnsi="Arial" w:cs="Arial"/>
        </w:rPr>
        <w:t>preventivo desde el 25 de marzo de 2020, el cual se prorrogó hasta el 1º de septiembre de igual año, conforme el Decreto 1076 de 28 de julio de 2020</w:t>
      </w:r>
      <w:r w:rsidR="00703AB4" w:rsidRPr="00433B8E">
        <w:rPr>
          <w:rStyle w:val="normaltextrun"/>
          <w:rFonts w:ascii="Arial" w:hAnsi="Arial" w:cs="Arial"/>
        </w:rPr>
        <w:t>.</w:t>
      </w:r>
    </w:p>
    <w:p w14:paraId="2DA1EAB8" w14:textId="77777777" w:rsidR="00FF6347" w:rsidRPr="00433B8E" w:rsidRDefault="00FF6347" w:rsidP="00433B8E">
      <w:pPr>
        <w:pStyle w:val="paragraph"/>
        <w:spacing w:before="0" w:beforeAutospacing="0" w:after="0" w:afterAutospacing="0" w:line="276" w:lineRule="auto"/>
        <w:textAlignment w:val="baseline"/>
        <w:rPr>
          <w:rStyle w:val="normaltextrun"/>
          <w:rFonts w:ascii="Arial" w:hAnsi="Arial" w:cs="Arial"/>
        </w:rPr>
      </w:pPr>
    </w:p>
    <w:p w14:paraId="06B0619D" w14:textId="708D8206" w:rsidR="001628F5" w:rsidRDefault="0068199E" w:rsidP="00433B8E">
      <w:pPr>
        <w:pStyle w:val="paragraph"/>
        <w:spacing w:before="0" w:beforeAutospacing="0" w:after="0" w:afterAutospacing="0" w:line="276" w:lineRule="auto"/>
        <w:textAlignment w:val="baseline"/>
        <w:rPr>
          <w:rStyle w:val="normaltextrun"/>
          <w:rFonts w:ascii="Arial" w:hAnsi="Arial" w:cs="Arial"/>
        </w:rPr>
      </w:pPr>
      <w:r w:rsidRPr="00FF6347">
        <w:rPr>
          <w:rStyle w:val="normaltextrun"/>
          <w:rFonts w:ascii="Arial" w:hAnsi="Arial" w:cs="Arial"/>
        </w:rPr>
        <w:t>Esa así que en aras de dar continuidad a la prestación del servicio a cargo de la administraci</w:t>
      </w:r>
      <w:r w:rsidR="008417EB" w:rsidRPr="00FF6347">
        <w:rPr>
          <w:rStyle w:val="normaltextrun"/>
          <w:rFonts w:ascii="Arial" w:hAnsi="Arial" w:cs="Arial"/>
        </w:rPr>
        <w:t>ón de justicia,</w:t>
      </w:r>
      <w:r w:rsidR="0087414D" w:rsidRPr="00FF6347">
        <w:rPr>
          <w:rStyle w:val="normaltextrun"/>
          <w:rFonts w:ascii="Arial" w:hAnsi="Arial" w:cs="Arial"/>
        </w:rPr>
        <w:t xml:space="preserve"> se expidió el Decreto 806 de 2020</w:t>
      </w:r>
      <w:r w:rsidR="00B85A18" w:rsidRPr="00FF6347">
        <w:rPr>
          <w:rStyle w:val="normaltextrun"/>
          <w:rFonts w:ascii="Arial" w:hAnsi="Arial" w:cs="Arial"/>
        </w:rPr>
        <w:t>, cuyo objeto consiste en “</w:t>
      </w:r>
      <w:r w:rsidR="00B85A18" w:rsidRPr="00A2373A">
        <w:rPr>
          <w:rStyle w:val="normaltextrun"/>
          <w:rFonts w:ascii="Arial" w:hAnsi="Arial" w:cs="Arial"/>
          <w:i/>
          <w:sz w:val="22"/>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00B85A18" w:rsidRPr="00FF6347">
        <w:rPr>
          <w:rStyle w:val="normaltextrun"/>
          <w:rFonts w:ascii="Arial" w:hAnsi="Arial" w:cs="Arial"/>
        </w:rPr>
        <w:t>”.</w:t>
      </w:r>
    </w:p>
    <w:p w14:paraId="7FC226D2" w14:textId="77777777" w:rsidR="00FF6347" w:rsidRPr="00FF6347" w:rsidRDefault="00FF6347" w:rsidP="00433B8E">
      <w:pPr>
        <w:pStyle w:val="paragraph"/>
        <w:spacing w:before="0" w:beforeAutospacing="0" w:after="0" w:afterAutospacing="0" w:line="276" w:lineRule="auto"/>
        <w:textAlignment w:val="baseline"/>
        <w:rPr>
          <w:rStyle w:val="normaltextrun"/>
          <w:rFonts w:ascii="Arial" w:hAnsi="Arial" w:cs="Arial"/>
        </w:rPr>
      </w:pPr>
    </w:p>
    <w:p w14:paraId="523927CD" w14:textId="77777777" w:rsidR="00D35C91" w:rsidRPr="00FF6347" w:rsidRDefault="006F7737" w:rsidP="00433B8E">
      <w:pPr>
        <w:pStyle w:val="paragraph"/>
        <w:spacing w:before="0" w:beforeAutospacing="0" w:after="0" w:afterAutospacing="0" w:line="276" w:lineRule="auto"/>
        <w:textAlignment w:val="baseline"/>
        <w:rPr>
          <w:rStyle w:val="normaltextrun"/>
          <w:rFonts w:ascii="Arial" w:hAnsi="Arial" w:cs="Arial"/>
        </w:rPr>
      </w:pPr>
      <w:r w:rsidRPr="00FF6347">
        <w:rPr>
          <w:rStyle w:val="normaltextrun"/>
          <w:rFonts w:ascii="Arial" w:hAnsi="Arial" w:cs="Arial"/>
        </w:rPr>
        <w:t xml:space="preserve">Una de las medidas implementadas por la referida norma hace relación a los poderes, siendo </w:t>
      </w:r>
      <w:r w:rsidR="006008B7" w:rsidRPr="00FF6347">
        <w:rPr>
          <w:rStyle w:val="normaltextrun"/>
          <w:rFonts w:ascii="Arial" w:hAnsi="Arial" w:cs="Arial"/>
        </w:rPr>
        <w:t xml:space="preserve">concretamente el artículo 5°; sin embargo, lo allí regulado sólo hizo alusión a los poderes especiales, lo que </w:t>
      </w:r>
      <w:r w:rsidR="004959B3" w:rsidRPr="00FF6347">
        <w:rPr>
          <w:rStyle w:val="normaltextrun"/>
          <w:rFonts w:ascii="Arial" w:hAnsi="Arial" w:cs="Arial"/>
        </w:rPr>
        <w:t>indica que el poder general</w:t>
      </w:r>
      <w:r w:rsidR="006008B7" w:rsidRPr="00FF6347">
        <w:rPr>
          <w:rStyle w:val="normaltextrun"/>
          <w:rFonts w:ascii="Arial" w:hAnsi="Arial" w:cs="Arial"/>
        </w:rPr>
        <w:t xml:space="preserve"> se sigue rigiendo por</w:t>
      </w:r>
      <w:r w:rsidR="004959B3" w:rsidRPr="00FF6347">
        <w:rPr>
          <w:rStyle w:val="normaltextrun"/>
          <w:rFonts w:ascii="Arial" w:hAnsi="Arial" w:cs="Arial"/>
        </w:rPr>
        <w:t xml:space="preserve"> lo establecido en el artículo 74 del Código General del Proceso que indica que el mismo debe conferirse por escritura pública.</w:t>
      </w:r>
    </w:p>
    <w:p w14:paraId="34CE0A41" w14:textId="4EEDCDBE" w:rsidR="004959B3" w:rsidRDefault="004959B3" w:rsidP="00FF6347">
      <w:pPr>
        <w:pStyle w:val="paragraph"/>
        <w:spacing w:before="0" w:beforeAutospacing="0" w:after="0" w:afterAutospacing="0" w:line="276" w:lineRule="auto"/>
        <w:textAlignment w:val="baseline"/>
        <w:rPr>
          <w:rStyle w:val="normaltextrun"/>
          <w:rFonts w:ascii="Arial" w:hAnsi="Arial" w:cs="Arial"/>
        </w:rPr>
      </w:pPr>
    </w:p>
    <w:p w14:paraId="13FAC486" w14:textId="77777777" w:rsidR="007125E8" w:rsidRPr="00FF6347" w:rsidRDefault="007125E8" w:rsidP="00FF6347">
      <w:pPr>
        <w:pStyle w:val="paragraph"/>
        <w:spacing w:before="0" w:beforeAutospacing="0" w:after="0" w:afterAutospacing="0" w:line="276" w:lineRule="auto"/>
        <w:textAlignment w:val="baseline"/>
        <w:rPr>
          <w:rStyle w:val="normaltextrun"/>
          <w:rFonts w:ascii="Arial" w:hAnsi="Arial" w:cs="Arial"/>
        </w:rPr>
      </w:pPr>
    </w:p>
    <w:p w14:paraId="7E7CA39A" w14:textId="77777777" w:rsidR="004959B3" w:rsidRPr="00C671A3" w:rsidRDefault="004959B3" w:rsidP="00C671A3">
      <w:pPr>
        <w:numPr>
          <w:ilvl w:val="0"/>
          <w:numId w:val="4"/>
        </w:numPr>
        <w:spacing w:after="0"/>
        <w:ind w:left="426" w:hanging="426"/>
        <w:jc w:val="both"/>
        <w:rPr>
          <w:rFonts w:ascii="Arial" w:hAnsi="Arial" w:cs="Arial"/>
          <w:b/>
          <w:sz w:val="24"/>
          <w:szCs w:val="24"/>
        </w:rPr>
      </w:pPr>
      <w:r w:rsidRPr="00C671A3">
        <w:rPr>
          <w:rFonts w:ascii="Arial" w:hAnsi="Arial" w:cs="Arial"/>
          <w:b/>
          <w:sz w:val="24"/>
          <w:szCs w:val="24"/>
        </w:rPr>
        <w:t>PRINCIPIO DE LA PREVALENCIA DEL DERECHO SUSTANCIAL SOBRE LAS FORMAS DEL JUICIO.</w:t>
      </w:r>
    </w:p>
    <w:p w14:paraId="62EBF3C5" w14:textId="77777777" w:rsidR="004959B3" w:rsidRPr="00C671A3" w:rsidRDefault="004959B3" w:rsidP="00C671A3">
      <w:pPr>
        <w:spacing w:after="0"/>
        <w:ind w:left="426"/>
        <w:jc w:val="both"/>
        <w:rPr>
          <w:rFonts w:ascii="Arial" w:hAnsi="Arial" w:cs="Arial"/>
          <w:b/>
          <w:sz w:val="24"/>
          <w:szCs w:val="24"/>
        </w:rPr>
      </w:pPr>
    </w:p>
    <w:p w14:paraId="314C436A" w14:textId="77777777" w:rsidR="004959B3" w:rsidRPr="00C671A3" w:rsidRDefault="004959B3" w:rsidP="00C671A3">
      <w:pPr>
        <w:spacing w:after="0"/>
        <w:jc w:val="both"/>
        <w:rPr>
          <w:rFonts w:ascii="Arial" w:hAnsi="Arial" w:cs="Arial"/>
          <w:b/>
          <w:sz w:val="24"/>
          <w:szCs w:val="24"/>
        </w:rPr>
      </w:pPr>
      <w:r w:rsidRPr="00C671A3">
        <w:rPr>
          <w:rFonts w:ascii="Arial" w:hAnsi="Arial" w:cs="Arial"/>
          <w:sz w:val="24"/>
          <w:szCs w:val="24"/>
        </w:rPr>
        <w:t>El principio de la prevalencia del derecho sustancial sobre las formalidades del proceso, se encuentra contemplado en el artículo 228 de la Constitución Política, así:</w:t>
      </w:r>
    </w:p>
    <w:p w14:paraId="6D98A12B" w14:textId="77777777" w:rsidR="004959B3" w:rsidRPr="00C671A3" w:rsidRDefault="004959B3" w:rsidP="00C671A3">
      <w:pPr>
        <w:spacing w:after="0"/>
        <w:jc w:val="both"/>
        <w:rPr>
          <w:rFonts w:ascii="Arial" w:hAnsi="Arial" w:cs="Arial"/>
          <w:b/>
          <w:sz w:val="24"/>
          <w:szCs w:val="24"/>
        </w:rPr>
      </w:pPr>
    </w:p>
    <w:p w14:paraId="30D85478" w14:textId="77777777" w:rsidR="004959B3" w:rsidRPr="00A14D57" w:rsidRDefault="004959B3" w:rsidP="00A14D57">
      <w:pPr>
        <w:spacing w:after="0" w:line="240" w:lineRule="auto"/>
        <w:ind w:left="426" w:right="420"/>
        <w:jc w:val="both"/>
        <w:rPr>
          <w:rFonts w:ascii="Arial" w:hAnsi="Arial" w:cs="Arial"/>
          <w:b/>
          <w:szCs w:val="24"/>
        </w:rPr>
      </w:pPr>
      <w:r w:rsidRPr="00A14D57">
        <w:rPr>
          <w:rFonts w:ascii="Arial" w:hAnsi="Arial" w:cs="Arial"/>
          <w:i/>
          <w:iCs/>
          <w:szCs w:val="24"/>
        </w:rPr>
        <w:t xml:space="preserve">“ARTICULO 228. La Administración de Justicia es función pública. Sus decisiones son independientes. Las actuaciones serán públicas y permanentes con las excepciones que establezca la ley y </w:t>
      </w:r>
      <w:r w:rsidRPr="00A14D57">
        <w:rPr>
          <w:rFonts w:ascii="Arial" w:hAnsi="Arial" w:cs="Arial"/>
          <w:b/>
          <w:bCs/>
          <w:i/>
          <w:iCs/>
          <w:szCs w:val="24"/>
        </w:rPr>
        <w:t>en ellas prevalecerá el derecho sustancial</w:t>
      </w:r>
      <w:r w:rsidRPr="00A14D57">
        <w:rPr>
          <w:rFonts w:ascii="Arial" w:hAnsi="Arial" w:cs="Arial"/>
          <w:i/>
          <w:iCs/>
          <w:szCs w:val="24"/>
        </w:rPr>
        <w:t xml:space="preserve">. Los términos procesales se observarán con diligencia y su incumplimiento será sancionado. Su funcionamiento será desconcentrado y autónomo.” </w:t>
      </w:r>
      <w:r w:rsidRPr="00A14D57">
        <w:rPr>
          <w:rFonts w:ascii="Arial" w:hAnsi="Arial" w:cs="Arial"/>
          <w:iCs/>
          <w:szCs w:val="24"/>
        </w:rPr>
        <w:t>(Negrilla propia).</w:t>
      </w:r>
      <w:r w:rsidRPr="00A14D57">
        <w:rPr>
          <w:rFonts w:ascii="Arial" w:hAnsi="Arial" w:cs="Arial"/>
          <w:szCs w:val="24"/>
        </w:rPr>
        <w:t xml:space="preserve"> </w:t>
      </w:r>
    </w:p>
    <w:p w14:paraId="5997CC1D" w14:textId="77777777" w:rsidR="004959B3" w:rsidRPr="00C671A3" w:rsidRDefault="004959B3" w:rsidP="00C671A3">
      <w:pPr>
        <w:spacing w:after="0"/>
        <w:ind w:right="335"/>
        <w:jc w:val="both"/>
        <w:rPr>
          <w:rFonts w:ascii="Arial" w:hAnsi="Arial" w:cs="Arial"/>
          <w:sz w:val="24"/>
          <w:szCs w:val="24"/>
        </w:rPr>
      </w:pPr>
    </w:p>
    <w:p w14:paraId="7420AEC5" w14:textId="68FCB845" w:rsidR="004959B3" w:rsidRPr="00C671A3" w:rsidRDefault="004959B3" w:rsidP="00C671A3">
      <w:pPr>
        <w:spacing w:after="0"/>
        <w:ind w:right="51"/>
        <w:jc w:val="both"/>
        <w:rPr>
          <w:rFonts w:ascii="Arial" w:hAnsi="Arial" w:cs="Arial"/>
          <w:b/>
          <w:sz w:val="24"/>
          <w:szCs w:val="24"/>
        </w:rPr>
      </w:pPr>
      <w:r w:rsidRPr="00C671A3">
        <w:rPr>
          <w:rFonts w:ascii="Arial" w:hAnsi="Arial" w:cs="Arial"/>
          <w:sz w:val="24"/>
          <w:szCs w:val="24"/>
        </w:rPr>
        <w:t>Este precepto de rango constitucional, tiene desarrollo legal en el artículo 11º del Código General del Proceso –norma aplicable al campo laboral por remisión que autoriza el artículo 145 del Código Procesal del Trabajo</w:t>
      </w:r>
      <w:r w:rsidR="005D2ECA">
        <w:rPr>
          <w:rFonts w:ascii="Arial" w:hAnsi="Arial" w:cs="Arial"/>
          <w:sz w:val="24"/>
          <w:szCs w:val="24"/>
        </w:rPr>
        <w:t>–</w:t>
      </w:r>
      <w:r w:rsidRPr="00C671A3">
        <w:rPr>
          <w:rFonts w:ascii="Arial" w:hAnsi="Arial" w:cs="Arial"/>
          <w:sz w:val="24"/>
          <w:szCs w:val="24"/>
        </w:rPr>
        <w:t>, en virtud del cual, se establece para el Juez una regla hermenéutica al momento de interpretar las normas de carácter procesal, la cual consiste, en que “</w:t>
      </w:r>
      <w:r w:rsidRPr="00A2373A">
        <w:rPr>
          <w:rFonts w:ascii="Arial" w:hAnsi="Arial" w:cs="Arial"/>
          <w:szCs w:val="24"/>
        </w:rPr>
        <w:t>…</w:t>
      </w:r>
      <w:r w:rsidR="00A2373A" w:rsidRPr="00A2373A">
        <w:rPr>
          <w:rFonts w:ascii="Arial" w:hAnsi="Arial" w:cs="Arial"/>
          <w:szCs w:val="24"/>
        </w:rPr>
        <w:t xml:space="preserve"> </w:t>
      </w:r>
      <w:r w:rsidRPr="00A2373A">
        <w:rPr>
          <w:rFonts w:ascii="Arial" w:hAnsi="Arial" w:cs="Arial"/>
          <w:bCs/>
          <w:i/>
          <w:iCs/>
          <w:szCs w:val="24"/>
        </w:rPr>
        <w:t>deberá tener en cuenta que el objeto de los procedimientos es la efectividad de los derechos reconocidos por la ley sustancial…</w:t>
      </w:r>
      <w:r w:rsidRPr="00C671A3">
        <w:rPr>
          <w:rFonts w:ascii="Arial" w:hAnsi="Arial" w:cs="Arial"/>
          <w:i/>
          <w:iCs/>
          <w:sz w:val="24"/>
          <w:szCs w:val="24"/>
        </w:rPr>
        <w:t>”</w:t>
      </w:r>
      <w:r w:rsidR="00A2373A">
        <w:rPr>
          <w:rFonts w:ascii="Arial" w:hAnsi="Arial" w:cs="Arial"/>
          <w:i/>
          <w:iCs/>
          <w:sz w:val="24"/>
          <w:szCs w:val="24"/>
        </w:rPr>
        <w:t>.</w:t>
      </w:r>
    </w:p>
    <w:p w14:paraId="110FFD37" w14:textId="77777777" w:rsidR="004959B3" w:rsidRPr="00C671A3" w:rsidRDefault="004959B3" w:rsidP="00C671A3">
      <w:pPr>
        <w:spacing w:after="0"/>
        <w:ind w:right="51"/>
        <w:jc w:val="both"/>
        <w:rPr>
          <w:rFonts w:ascii="Arial" w:hAnsi="Arial" w:cs="Arial"/>
          <w:b/>
          <w:sz w:val="24"/>
          <w:szCs w:val="24"/>
        </w:rPr>
      </w:pPr>
    </w:p>
    <w:p w14:paraId="78CE6FE9" w14:textId="77777777" w:rsidR="004959B3" w:rsidRPr="00433B8E" w:rsidRDefault="004959B3" w:rsidP="00433B8E">
      <w:pPr>
        <w:spacing w:after="0"/>
        <w:jc w:val="both"/>
        <w:rPr>
          <w:rFonts w:ascii="Arial" w:eastAsia="Times New Roman" w:hAnsi="Arial" w:cs="Arial"/>
          <w:sz w:val="24"/>
          <w:szCs w:val="24"/>
        </w:rPr>
      </w:pPr>
      <w:r w:rsidRPr="00433B8E">
        <w:rPr>
          <w:rFonts w:ascii="Arial" w:eastAsia="Times New Roman" w:hAnsi="Arial" w:cs="Arial"/>
          <w:sz w:val="24"/>
          <w:szCs w:val="24"/>
        </w:rPr>
        <w:lastRenderedPageBreak/>
        <w:t xml:space="preserve">Debe entenderse entonces el proceso como el medio de que disponen las partes para reclamar y debatir en presencia del Estado, los derechos que crean tener.  </w:t>
      </w:r>
    </w:p>
    <w:p w14:paraId="6B699379" w14:textId="77777777" w:rsidR="004959B3" w:rsidRPr="00433B8E" w:rsidRDefault="004959B3" w:rsidP="00433B8E">
      <w:pPr>
        <w:spacing w:after="0"/>
        <w:jc w:val="both"/>
        <w:rPr>
          <w:rFonts w:ascii="Arial" w:eastAsia="Times New Roman" w:hAnsi="Arial" w:cs="Arial"/>
          <w:sz w:val="24"/>
          <w:szCs w:val="24"/>
        </w:rPr>
      </w:pPr>
    </w:p>
    <w:p w14:paraId="1A2B9896" w14:textId="451FA454" w:rsidR="004959B3" w:rsidRPr="00433B8E" w:rsidRDefault="004959B3" w:rsidP="00433B8E">
      <w:pPr>
        <w:spacing w:after="0"/>
        <w:jc w:val="both"/>
        <w:rPr>
          <w:rFonts w:ascii="Arial" w:eastAsia="Times New Roman" w:hAnsi="Arial" w:cs="Arial"/>
          <w:sz w:val="24"/>
          <w:szCs w:val="24"/>
        </w:rPr>
      </w:pPr>
      <w:r w:rsidRPr="00433B8E">
        <w:rPr>
          <w:rFonts w:ascii="Arial" w:eastAsia="Times New Roman" w:hAnsi="Arial" w:cs="Arial"/>
          <w:sz w:val="24"/>
          <w:szCs w:val="24"/>
        </w:rPr>
        <w:t>Así lo ha considerado la honorable Corte Constitucional, Corporación que a través de su jurisprudencia ha indicado:</w:t>
      </w:r>
    </w:p>
    <w:p w14:paraId="69EFFF8F" w14:textId="77777777" w:rsidR="00433B8E" w:rsidRPr="00433B8E" w:rsidRDefault="00433B8E" w:rsidP="00433B8E">
      <w:pPr>
        <w:spacing w:after="0"/>
        <w:jc w:val="both"/>
        <w:rPr>
          <w:rFonts w:ascii="Arial" w:eastAsia="Times New Roman" w:hAnsi="Arial" w:cs="Arial"/>
          <w:sz w:val="24"/>
          <w:szCs w:val="24"/>
        </w:rPr>
      </w:pPr>
    </w:p>
    <w:p w14:paraId="20879A3B" w14:textId="0D484EDC" w:rsidR="004959B3" w:rsidRDefault="004959B3" w:rsidP="00A14D57">
      <w:pPr>
        <w:spacing w:after="0" w:line="240" w:lineRule="auto"/>
        <w:ind w:left="426" w:right="420"/>
        <w:jc w:val="both"/>
        <w:rPr>
          <w:rFonts w:ascii="Arial" w:hAnsi="Arial" w:cs="Arial"/>
          <w:i/>
          <w:iCs/>
          <w:szCs w:val="24"/>
        </w:rPr>
      </w:pPr>
      <w:r w:rsidRPr="00A14D57">
        <w:rPr>
          <w:rFonts w:ascii="Arial" w:hAnsi="Arial" w:cs="Arial"/>
          <w:i/>
          <w:iCs/>
          <w:szCs w:val="24"/>
        </w:rPr>
        <w:t>“[L]os jueces deben ser conscientes de la trascendental importancia que tiene el derecho procesal en cuanto a medio garantizador de los derechos materiales dentro del marco de un debido proceso. En consecuencia, el actuar general debe ser guiado por la coexistencia de estas manifestaciones normativas permitiendo que en un marco jurídico preestablecido se solucionen los conflictos de índole material.</w:t>
      </w:r>
    </w:p>
    <w:p w14:paraId="2A060CA3" w14:textId="77777777" w:rsidR="00433B8E" w:rsidRPr="00A14D57" w:rsidRDefault="00433B8E" w:rsidP="00A14D57">
      <w:pPr>
        <w:spacing w:after="0" w:line="240" w:lineRule="auto"/>
        <w:ind w:left="426" w:right="420"/>
        <w:jc w:val="both"/>
        <w:rPr>
          <w:rFonts w:ascii="Arial" w:hAnsi="Arial" w:cs="Arial"/>
          <w:i/>
          <w:iCs/>
          <w:szCs w:val="24"/>
        </w:rPr>
      </w:pPr>
    </w:p>
    <w:p w14:paraId="7B65AD61" w14:textId="77777777" w:rsidR="004959B3" w:rsidRPr="00A14D57" w:rsidRDefault="004959B3" w:rsidP="00A14D57">
      <w:pPr>
        <w:spacing w:after="0" w:line="240" w:lineRule="auto"/>
        <w:ind w:left="426" w:right="420"/>
        <w:jc w:val="both"/>
        <w:rPr>
          <w:rFonts w:ascii="Arial" w:hAnsi="Arial" w:cs="Arial"/>
          <w:i/>
          <w:iCs/>
          <w:szCs w:val="24"/>
        </w:rPr>
      </w:pPr>
      <w:r w:rsidRPr="00A14D57">
        <w:rPr>
          <w:rFonts w:ascii="Arial" w:hAnsi="Arial" w:cs="Arial"/>
          <w:i/>
          <w:iCs/>
          <w:szCs w:val="24"/>
        </w:rPr>
        <w:t>Sin embargo, si el derecho procesal se torna en obstáculo para la efectiva realización de un derecho sustancial reconocido expresamente por el juez, mal haría éste en darle prevalencia a las formas haciendo nugatorio un derecho del cual es titular quien acude a la administración de justicia y desnaturalizando a su vez las normas procesales cuya clara finalidad es ser medio para la efectiva realización del derecho material (art. 228).”</w:t>
      </w:r>
    </w:p>
    <w:p w14:paraId="3FE9F23F" w14:textId="77777777" w:rsidR="00902F65" w:rsidRPr="00433B8E" w:rsidRDefault="00902F65" w:rsidP="00433B8E">
      <w:pPr>
        <w:spacing w:after="0"/>
        <w:jc w:val="both"/>
        <w:rPr>
          <w:rFonts w:ascii="Arial" w:eastAsia="Times New Roman" w:hAnsi="Arial" w:cs="Arial"/>
          <w:sz w:val="24"/>
          <w:szCs w:val="24"/>
        </w:rPr>
      </w:pPr>
    </w:p>
    <w:p w14:paraId="45CFAC44" w14:textId="06D3CCB0" w:rsidR="004959B3" w:rsidRDefault="004959B3" w:rsidP="00433B8E">
      <w:pPr>
        <w:spacing w:after="0"/>
        <w:jc w:val="both"/>
        <w:rPr>
          <w:rFonts w:ascii="Arial" w:eastAsia="Times New Roman" w:hAnsi="Arial" w:cs="Arial"/>
          <w:sz w:val="24"/>
          <w:szCs w:val="24"/>
        </w:rPr>
      </w:pPr>
      <w:r w:rsidRPr="00433B8E">
        <w:rPr>
          <w:rFonts w:ascii="Arial" w:eastAsia="Times New Roman" w:hAnsi="Arial" w:cs="Arial"/>
          <w:sz w:val="24"/>
          <w:szCs w:val="24"/>
        </w:rPr>
        <w:t xml:space="preserve">De lo anterior se deriva que, </w:t>
      </w:r>
      <w:bookmarkStart w:id="1" w:name="_Hlk116384060"/>
      <w:r w:rsidRPr="00433B8E">
        <w:rPr>
          <w:rFonts w:ascii="Arial" w:eastAsia="Times New Roman" w:hAnsi="Arial" w:cs="Arial"/>
          <w:sz w:val="24"/>
          <w:szCs w:val="24"/>
        </w:rPr>
        <w:t>muy cuidadosos deben ser los jueces al analizar los memoriales y las peticiones que ante ellos formulan los asociados, pues no es dable confundir el respeto a las formas procesales con un desproporcionado formalismo que, en ocasiones ha sido calificado por la Corte Constitucional como verdadera vía de hecho por “</w:t>
      </w:r>
      <w:r w:rsidRPr="00A2373A">
        <w:rPr>
          <w:rFonts w:ascii="Arial" w:eastAsia="Times New Roman" w:hAnsi="Arial" w:cs="Arial"/>
          <w:szCs w:val="24"/>
        </w:rPr>
        <w:t>exceso ritual manifiesto</w:t>
      </w:r>
      <w:r w:rsidRPr="00433B8E">
        <w:rPr>
          <w:rFonts w:ascii="Arial" w:eastAsia="Times New Roman" w:hAnsi="Arial" w:cs="Arial"/>
          <w:sz w:val="24"/>
          <w:szCs w:val="24"/>
        </w:rPr>
        <w:t xml:space="preserve">”, </w:t>
      </w:r>
      <w:bookmarkEnd w:id="1"/>
      <w:r w:rsidRPr="00433B8E">
        <w:rPr>
          <w:rFonts w:ascii="Arial" w:eastAsia="Times New Roman" w:hAnsi="Arial" w:cs="Arial"/>
          <w:sz w:val="24"/>
          <w:szCs w:val="24"/>
        </w:rPr>
        <w:t>como se lee a continuación:</w:t>
      </w:r>
    </w:p>
    <w:p w14:paraId="066026CD" w14:textId="77777777" w:rsidR="00433B8E" w:rsidRPr="00433B8E" w:rsidRDefault="00433B8E" w:rsidP="00433B8E">
      <w:pPr>
        <w:spacing w:after="0"/>
        <w:jc w:val="both"/>
        <w:rPr>
          <w:rFonts w:ascii="Arial" w:eastAsia="Times New Roman" w:hAnsi="Arial" w:cs="Arial"/>
          <w:sz w:val="24"/>
          <w:szCs w:val="24"/>
        </w:rPr>
      </w:pPr>
    </w:p>
    <w:p w14:paraId="641A119B" w14:textId="3E551CE6" w:rsidR="004959B3" w:rsidRPr="00C671A3" w:rsidRDefault="004959B3" w:rsidP="00433B8E">
      <w:pPr>
        <w:spacing w:after="0"/>
        <w:ind w:left="426" w:right="709"/>
        <w:jc w:val="both"/>
        <w:rPr>
          <w:rFonts w:ascii="Arial" w:hAnsi="Arial" w:cs="Arial"/>
          <w:i/>
          <w:sz w:val="24"/>
          <w:szCs w:val="24"/>
          <w:lang w:val="es-ES"/>
        </w:rPr>
      </w:pPr>
      <w:r w:rsidRPr="00A14D57">
        <w:rPr>
          <w:rFonts w:ascii="Arial" w:hAnsi="Arial" w:cs="Arial"/>
          <w:i/>
          <w:iCs/>
          <w:szCs w:val="24"/>
        </w:rPr>
        <w:t>“En conclusión, el defecto procedimental por “exceso ritual manifiesto” se presenta cuando el funcionario judicial, por un apego extremo y aplicación mecánica de las formas, renuncia conscientemente a la verdad jurídica objetiva patente en los hechos, derivándose de su actuar una inaplicación de la justicia material y del principio de la prevalencia del derecho</w:t>
      </w:r>
      <w:r w:rsidRPr="00433B8E">
        <w:rPr>
          <w:rFonts w:ascii="Arial" w:hAnsi="Arial" w:cs="Arial"/>
          <w:i/>
          <w:szCs w:val="24"/>
          <w:lang w:val="es-ES"/>
        </w:rPr>
        <w:t xml:space="preserve"> sustancial.”</w:t>
      </w:r>
      <w:r w:rsidRPr="00C671A3">
        <w:rPr>
          <w:rStyle w:val="Refdenotaalpie"/>
          <w:rFonts w:ascii="Arial" w:hAnsi="Arial" w:cs="Arial"/>
          <w:i/>
          <w:sz w:val="24"/>
          <w:szCs w:val="24"/>
          <w:lang w:val="es-ES"/>
        </w:rPr>
        <w:footnoteReference w:id="1"/>
      </w:r>
    </w:p>
    <w:p w14:paraId="1F72F646" w14:textId="1651FBA2" w:rsidR="00EC1B31" w:rsidRDefault="00EC1B31" w:rsidP="00C671A3">
      <w:pPr>
        <w:spacing w:after="0"/>
        <w:ind w:right="51"/>
        <w:jc w:val="both"/>
        <w:rPr>
          <w:rFonts w:ascii="Arial" w:eastAsia="Times New Roman" w:hAnsi="Arial" w:cs="Arial"/>
          <w:sz w:val="24"/>
          <w:szCs w:val="24"/>
          <w:lang w:val="es-ES" w:eastAsia="es-ES"/>
        </w:rPr>
      </w:pPr>
    </w:p>
    <w:p w14:paraId="622F3D1B" w14:textId="77777777" w:rsidR="007125E8" w:rsidRPr="00C671A3" w:rsidRDefault="007125E8" w:rsidP="00C671A3">
      <w:pPr>
        <w:spacing w:after="0"/>
        <w:ind w:right="51"/>
        <w:jc w:val="both"/>
        <w:rPr>
          <w:rFonts w:ascii="Arial" w:eastAsia="Times New Roman" w:hAnsi="Arial" w:cs="Arial"/>
          <w:sz w:val="24"/>
          <w:szCs w:val="24"/>
          <w:lang w:val="es-ES" w:eastAsia="es-ES"/>
        </w:rPr>
      </w:pPr>
    </w:p>
    <w:p w14:paraId="0A3D9743" w14:textId="77777777" w:rsidR="004E5C05" w:rsidRPr="00C671A3" w:rsidRDefault="004E5C05" w:rsidP="00C671A3">
      <w:pPr>
        <w:pStyle w:val="Textoindependiente"/>
        <w:numPr>
          <w:ilvl w:val="0"/>
          <w:numId w:val="3"/>
        </w:numPr>
        <w:spacing w:line="276" w:lineRule="auto"/>
        <w:ind w:left="426" w:right="284" w:hanging="426"/>
        <w:rPr>
          <w:rFonts w:cs="Arial"/>
          <w:b/>
          <w:iCs/>
          <w:sz w:val="24"/>
          <w:szCs w:val="24"/>
        </w:rPr>
      </w:pPr>
      <w:r w:rsidRPr="00C671A3">
        <w:rPr>
          <w:rFonts w:cs="Arial"/>
          <w:b/>
          <w:iCs/>
          <w:sz w:val="24"/>
          <w:szCs w:val="24"/>
        </w:rPr>
        <w:t>EL CASO CONCRETO</w:t>
      </w:r>
    </w:p>
    <w:p w14:paraId="08CE6F91" w14:textId="77777777" w:rsidR="004B65C1" w:rsidRPr="00C671A3" w:rsidRDefault="004B65C1" w:rsidP="00C671A3">
      <w:pPr>
        <w:spacing w:after="0"/>
        <w:jc w:val="both"/>
        <w:rPr>
          <w:rFonts w:ascii="Arial" w:eastAsia="Times New Roman" w:hAnsi="Arial" w:cs="Arial"/>
          <w:sz w:val="24"/>
          <w:szCs w:val="24"/>
        </w:rPr>
      </w:pPr>
    </w:p>
    <w:p w14:paraId="40E25C56" w14:textId="41562335" w:rsidR="00703AB4" w:rsidRPr="00C671A3" w:rsidRDefault="008C0C89" w:rsidP="00C671A3">
      <w:pPr>
        <w:spacing w:after="0"/>
        <w:jc w:val="both"/>
        <w:rPr>
          <w:rFonts w:ascii="Arial" w:hAnsi="Arial" w:cs="Arial"/>
          <w:sz w:val="24"/>
          <w:szCs w:val="24"/>
        </w:rPr>
      </w:pPr>
      <w:r w:rsidRPr="00C671A3">
        <w:rPr>
          <w:rFonts w:ascii="Arial" w:eastAsia="Times New Roman" w:hAnsi="Arial" w:cs="Arial"/>
          <w:sz w:val="24"/>
          <w:szCs w:val="24"/>
        </w:rPr>
        <w:t xml:space="preserve">De acuerdo con el recurso formulado, se tiene que lo </w:t>
      </w:r>
      <w:r w:rsidR="00703AB4" w:rsidRPr="00C671A3">
        <w:rPr>
          <w:rFonts w:ascii="Arial" w:eastAsia="Times New Roman" w:hAnsi="Arial" w:cs="Arial"/>
          <w:sz w:val="24"/>
          <w:szCs w:val="24"/>
        </w:rPr>
        <w:t xml:space="preserve">que es materia de disenso </w:t>
      </w:r>
      <w:r w:rsidRPr="00C671A3">
        <w:rPr>
          <w:rFonts w:ascii="Arial" w:eastAsia="Times New Roman" w:hAnsi="Arial" w:cs="Arial"/>
          <w:sz w:val="24"/>
          <w:szCs w:val="24"/>
        </w:rPr>
        <w:t xml:space="preserve">en este asunto, es que el juzgado de conocimiento </w:t>
      </w:r>
      <w:r w:rsidR="004C4D23" w:rsidRPr="00C671A3">
        <w:rPr>
          <w:rFonts w:ascii="Arial" w:eastAsia="Times New Roman" w:hAnsi="Arial" w:cs="Arial"/>
          <w:sz w:val="24"/>
          <w:szCs w:val="24"/>
        </w:rPr>
        <w:t>tuviera por no contestado el llamamiento en garantía efectuado a la Compañía Mundial de Seguros S.A. y negara que fuera vinculad</w:t>
      </w:r>
      <w:r w:rsidR="00AF43FA" w:rsidRPr="00C671A3">
        <w:rPr>
          <w:rFonts w:ascii="Arial" w:eastAsia="Times New Roman" w:hAnsi="Arial" w:cs="Arial"/>
          <w:sz w:val="24"/>
          <w:szCs w:val="24"/>
        </w:rPr>
        <w:t>a</w:t>
      </w:r>
      <w:r w:rsidR="004C4D23" w:rsidRPr="00C671A3">
        <w:rPr>
          <w:rFonts w:ascii="Arial" w:eastAsia="Times New Roman" w:hAnsi="Arial" w:cs="Arial"/>
          <w:sz w:val="24"/>
          <w:szCs w:val="24"/>
        </w:rPr>
        <w:t xml:space="preserve">, en los mismos términos, la Compañía de </w:t>
      </w:r>
      <w:r w:rsidR="00703AB4" w:rsidRPr="00C671A3">
        <w:rPr>
          <w:rFonts w:ascii="Arial" w:hAnsi="Arial" w:cs="Arial"/>
          <w:sz w:val="24"/>
          <w:szCs w:val="24"/>
        </w:rPr>
        <w:t xml:space="preserve">Seguros de Vida Suramericana S.A., por no </w:t>
      </w:r>
      <w:r w:rsidRPr="00C671A3">
        <w:rPr>
          <w:rFonts w:ascii="Arial" w:hAnsi="Arial" w:cs="Arial"/>
          <w:sz w:val="24"/>
          <w:szCs w:val="24"/>
        </w:rPr>
        <w:t>haber sido aportad</w:t>
      </w:r>
      <w:r w:rsidR="00902F65" w:rsidRPr="00C671A3">
        <w:rPr>
          <w:rFonts w:ascii="Arial" w:hAnsi="Arial" w:cs="Arial"/>
          <w:sz w:val="24"/>
          <w:szCs w:val="24"/>
        </w:rPr>
        <w:t>a</w:t>
      </w:r>
      <w:r w:rsidRPr="00C671A3">
        <w:rPr>
          <w:rFonts w:ascii="Arial" w:hAnsi="Arial" w:cs="Arial"/>
          <w:sz w:val="24"/>
          <w:szCs w:val="24"/>
        </w:rPr>
        <w:t xml:space="preserve"> </w:t>
      </w:r>
      <w:r w:rsidR="004C4D23" w:rsidRPr="00C671A3">
        <w:rPr>
          <w:rFonts w:ascii="Arial" w:hAnsi="Arial" w:cs="Arial"/>
          <w:sz w:val="24"/>
          <w:szCs w:val="24"/>
        </w:rPr>
        <w:t xml:space="preserve">la escritura pública por medio de la cual el representante legal </w:t>
      </w:r>
      <w:r w:rsidR="00AF43FA" w:rsidRPr="00C671A3">
        <w:rPr>
          <w:rFonts w:ascii="Arial" w:hAnsi="Arial" w:cs="Arial"/>
          <w:sz w:val="24"/>
          <w:szCs w:val="24"/>
        </w:rPr>
        <w:t xml:space="preserve">de la entidad </w:t>
      </w:r>
      <w:r w:rsidR="004C4D23" w:rsidRPr="00C671A3">
        <w:rPr>
          <w:rFonts w:ascii="Arial" w:hAnsi="Arial" w:cs="Arial"/>
          <w:sz w:val="24"/>
          <w:szCs w:val="24"/>
        </w:rPr>
        <w:t>confirió poder genera</w:t>
      </w:r>
      <w:r w:rsidR="00AF43FA" w:rsidRPr="00C671A3">
        <w:rPr>
          <w:rFonts w:ascii="Arial" w:hAnsi="Arial" w:cs="Arial"/>
          <w:sz w:val="24"/>
          <w:szCs w:val="24"/>
        </w:rPr>
        <w:t>l</w:t>
      </w:r>
      <w:r w:rsidR="004C4D23" w:rsidRPr="00C671A3">
        <w:rPr>
          <w:rFonts w:ascii="Arial" w:hAnsi="Arial" w:cs="Arial"/>
          <w:sz w:val="24"/>
          <w:szCs w:val="24"/>
        </w:rPr>
        <w:t xml:space="preserve"> a su apoderara judicial, acto que considera la recurrente se acredita con el certificado de cámara </w:t>
      </w:r>
      <w:r w:rsidR="2170CEF7" w:rsidRPr="00C671A3">
        <w:rPr>
          <w:rFonts w:ascii="Arial" w:hAnsi="Arial" w:cs="Arial"/>
          <w:sz w:val="24"/>
          <w:szCs w:val="24"/>
        </w:rPr>
        <w:t>de</w:t>
      </w:r>
      <w:r w:rsidR="004C4D23" w:rsidRPr="00C671A3">
        <w:rPr>
          <w:rFonts w:ascii="Arial" w:hAnsi="Arial" w:cs="Arial"/>
          <w:sz w:val="24"/>
          <w:szCs w:val="24"/>
        </w:rPr>
        <w:t xml:space="preserve"> comercio de la compañía, el cual fue aportado en tiempo.</w:t>
      </w:r>
    </w:p>
    <w:p w14:paraId="61CDCEAD" w14:textId="77777777" w:rsidR="00801554" w:rsidRPr="00C671A3" w:rsidRDefault="00801554" w:rsidP="00C671A3">
      <w:pPr>
        <w:spacing w:after="0"/>
        <w:jc w:val="both"/>
        <w:rPr>
          <w:rFonts w:ascii="Arial" w:hAnsi="Arial" w:cs="Arial"/>
          <w:sz w:val="24"/>
          <w:szCs w:val="24"/>
        </w:rPr>
      </w:pPr>
    </w:p>
    <w:p w14:paraId="658A5492" w14:textId="77777777" w:rsidR="004C4D23" w:rsidRPr="00C671A3" w:rsidRDefault="002F39FE" w:rsidP="00C671A3">
      <w:pPr>
        <w:spacing w:after="0"/>
        <w:jc w:val="both"/>
        <w:rPr>
          <w:rFonts w:ascii="Arial" w:hAnsi="Arial" w:cs="Arial"/>
          <w:sz w:val="24"/>
          <w:szCs w:val="24"/>
        </w:rPr>
      </w:pPr>
      <w:r w:rsidRPr="00C671A3">
        <w:rPr>
          <w:rFonts w:ascii="Arial" w:hAnsi="Arial" w:cs="Arial"/>
          <w:sz w:val="24"/>
          <w:szCs w:val="24"/>
        </w:rPr>
        <w:t xml:space="preserve">Lo primero que </w:t>
      </w:r>
      <w:r w:rsidR="008613EF" w:rsidRPr="00C671A3">
        <w:rPr>
          <w:rFonts w:ascii="Arial" w:hAnsi="Arial" w:cs="Arial"/>
          <w:sz w:val="24"/>
          <w:szCs w:val="24"/>
        </w:rPr>
        <w:t xml:space="preserve">debe </w:t>
      </w:r>
      <w:r w:rsidRPr="00C671A3">
        <w:rPr>
          <w:rFonts w:ascii="Arial" w:hAnsi="Arial" w:cs="Arial"/>
          <w:sz w:val="24"/>
          <w:szCs w:val="24"/>
        </w:rPr>
        <w:t xml:space="preserve">precisarse </w:t>
      </w:r>
      <w:r w:rsidR="004C4D23" w:rsidRPr="00C671A3">
        <w:rPr>
          <w:rFonts w:ascii="Arial" w:hAnsi="Arial" w:cs="Arial"/>
          <w:sz w:val="24"/>
          <w:szCs w:val="24"/>
        </w:rPr>
        <w:t>es que el Juzgado de conocimiento incurre en una serie de incongruencias que es necesario aclarar antes de entrar a definir el problema jurídico planteado.</w:t>
      </w:r>
    </w:p>
    <w:p w14:paraId="6BB9E253" w14:textId="77777777" w:rsidR="004C4D23" w:rsidRPr="00C671A3" w:rsidRDefault="004C4D23" w:rsidP="00C671A3">
      <w:pPr>
        <w:spacing w:after="0"/>
        <w:jc w:val="both"/>
        <w:rPr>
          <w:rFonts w:ascii="Arial" w:hAnsi="Arial" w:cs="Arial"/>
          <w:sz w:val="24"/>
          <w:szCs w:val="24"/>
        </w:rPr>
      </w:pPr>
    </w:p>
    <w:p w14:paraId="50C402B4" w14:textId="53DFC564" w:rsidR="00912184" w:rsidRPr="00C671A3" w:rsidRDefault="004C4D23" w:rsidP="00C671A3">
      <w:pPr>
        <w:spacing w:after="0"/>
        <w:jc w:val="both"/>
        <w:rPr>
          <w:rFonts w:ascii="Arial" w:hAnsi="Arial" w:cs="Arial"/>
          <w:sz w:val="24"/>
          <w:szCs w:val="24"/>
        </w:rPr>
      </w:pPr>
      <w:r w:rsidRPr="00C671A3">
        <w:rPr>
          <w:rFonts w:ascii="Arial" w:hAnsi="Arial" w:cs="Arial"/>
          <w:sz w:val="24"/>
          <w:szCs w:val="24"/>
        </w:rPr>
        <w:t xml:space="preserve">Veamos, en la providencia </w:t>
      </w:r>
      <w:r w:rsidR="00912184" w:rsidRPr="00C671A3">
        <w:rPr>
          <w:rFonts w:ascii="Arial" w:hAnsi="Arial" w:cs="Arial"/>
          <w:sz w:val="24"/>
          <w:szCs w:val="24"/>
        </w:rPr>
        <w:t xml:space="preserve">adiada 8 de junio de 2022, requiere a </w:t>
      </w:r>
      <w:r w:rsidRPr="00C671A3">
        <w:rPr>
          <w:rFonts w:ascii="Arial" w:hAnsi="Arial" w:cs="Arial"/>
          <w:sz w:val="24"/>
          <w:szCs w:val="24"/>
        </w:rPr>
        <w:t xml:space="preserve">Compañía Mundial de Seguros S.A. para </w:t>
      </w:r>
      <w:r w:rsidR="00912184" w:rsidRPr="00C671A3">
        <w:rPr>
          <w:rFonts w:ascii="Arial" w:hAnsi="Arial" w:cs="Arial"/>
          <w:sz w:val="24"/>
          <w:szCs w:val="24"/>
        </w:rPr>
        <w:t xml:space="preserve">que </w:t>
      </w:r>
      <w:r w:rsidRPr="00C671A3">
        <w:rPr>
          <w:rFonts w:ascii="Arial" w:hAnsi="Arial" w:cs="Arial"/>
          <w:sz w:val="24"/>
          <w:szCs w:val="24"/>
        </w:rPr>
        <w:t>subsan</w:t>
      </w:r>
      <w:r w:rsidR="00912184" w:rsidRPr="00C671A3">
        <w:rPr>
          <w:rFonts w:ascii="Arial" w:hAnsi="Arial" w:cs="Arial"/>
          <w:sz w:val="24"/>
          <w:szCs w:val="24"/>
        </w:rPr>
        <w:t>e las falencias encontradas</w:t>
      </w:r>
      <w:r w:rsidR="00AF43FA" w:rsidRPr="00C671A3">
        <w:rPr>
          <w:rFonts w:ascii="Arial" w:hAnsi="Arial" w:cs="Arial"/>
          <w:sz w:val="24"/>
          <w:szCs w:val="24"/>
        </w:rPr>
        <w:t>,</w:t>
      </w:r>
      <w:r w:rsidR="00912184" w:rsidRPr="00C671A3">
        <w:rPr>
          <w:rFonts w:ascii="Arial" w:hAnsi="Arial" w:cs="Arial"/>
          <w:sz w:val="24"/>
          <w:szCs w:val="24"/>
        </w:rPr>
        <w:t xml:space="preserve"> tanto en la respuesta a </w:t>
      </w:r>
      <w:r w:rsidR="00912184" w:rsidRPr="00C671A3">
        <w:rPr>
          <w:rFonts w:ascii="Arial" w:hAnsi="Arial" w:cs="Arial"/>
          <w:sz w:val="24"/>
          <w:szCs w:val="24"/>
        </w:rPr>
        <w:lastRenderedPageBreak/>
        <w:t>la demanda como en la del llamamiento en garantía, yerros que corresponden a la ausencia de poder para actuar y a la omisión respecto al pronunciamiento del hecho o</w:t>
      </w:r>
      <w:r w:rsidR="6E297715" w:rsidRPr="00C671A3">
        <w:rPr>
          <w:rFonts w:ascii="Arial" w:hAnsi="Arial" w:cs="Arial"/>
          <w:sz w:val="24"/>
          <w:szCs w:val="24"/>
        </w:rPr>
        <w:t>ctavo</w:t>
      </w:r>
      <w:r w:rsidR="00912184" w:rsidRPr="00C671A3">
        <w:rPr>
          <w:rFonts w:ascii="Arial" w:hAnsi="Arial" w:cs="Arial"/>
          <w:sz w:val="24"/>
          <w:szCs w:val="24"/>
        </w:rPr>
        <w:t xml:space="preserve"> del llamamiento en garantía.  </w:t>
      </w:r>
    </w:p>
    <w:p w14:paraId="23DE523C" w14:textId="77777777" w:rsidR="00912184" w:rsidRPr="00C671A3" w:rsidRDefault="00912184" w:rsidP="00C671A3">
      <w:pPr>
        <w:spacing w:after="0"/>
        <w:jc w:val="both"/>
        <w:rPr>
          <w:rFonts w:ascii="Arial" w:hAnsi="Arial" w:cs="Arial"/>
          <w:sz w:val="24"/>
          <w:szCs w:val="24"/>
        </w:rPr>
      </w:pPr>
    </w:p>
    <w:p w14:paraId="516E1E48" w14:textId="77777777" w:rsidR="00912184" w:rsidRPr="00C671A3" w:rsidRDefault="00912184" w:rsidP="00C671A3">
      <w:pPr>
        <w:spacing w:after="0"/>
        <w:jc w:val="both"/>
        <w:rPr>
          <w:rFonts w:ascii="Arial" w:hAnsi="Arial" w:cs="Arial"/>
          <w:sz w:val="24"/>
          <w:szCs w:val="24"/>
        </w:rPr>
      </w:pPr>
      <w:r w:rsidRPr="00C671A3">
        <w:rPr>
          <w:rFonts w:ascii="Arial" w:hAnsi="Arial" w:cs="Arial"/>
          <w:sz w:val="24"/>
          <w:szCs w:val="24"/>
        </w:rPr>
        <w:t>Respecto a la vinculación, en esa misma calidad de Seguros Generales Suramericana S.A., señaló que no se probó el vínculo contractual alegad</w:t>
      </w:r>
      <w:r w:rsidR="00AF43FA" w:rsidRPr="00C671A3">
        <w:rPr>
          <w:rFonts w:ascii="Arial" w:hAnsi="Arial" w:cs="Arial"/>
          <w:sz w:val="24"/>
          <w:szCs w:val="24"/>
        </w:rPr>
        <w:t>o</w:t>
      </w:r>
      <w:r w:rsidRPr="00C671A3">
        <w:rPr>
          <w:rFonts w:ascii="Arial" w:hAnsi="Arial" w:cs="Arial"/>
          <w:sz w:val="24"/>
          <w:szCs w:val="24"/>
        </w:rPr>
        <w:t xml:space="preserve"> entre la llamante y el llamado en garantía.</w:t>
      </w:r>
    </w:p>
    <w:p w14:paraId="52E56223" w14:textId="77777777" w:rsidR="00912184" w:rsidRPr="00C671A3" w:rsidRDefault="00912184" w:rsidP="00C671A3">
      <w:pPr>
        <w:spacing w:after="0"/>
        <w:jc w:val="both"/>
        <w:rPr>
          <w:rFonts w:ascii="Arial" w:hAnsi="Arial" w:cs="Arial"/>
          <w:sz w:val="24"/>
          <w:szCs w:val="24"/>
        </w:rPr>
      </w:pPr>
    </w:p>
    <w:p w14:paraId="30B83211" w14:textId="02378171" w:rsidR="004C4D23" w:rsidRPr="00433B8E" w:rsidRDefault="00912184" w:rsidP="00C671A3">
      <w:pPr>
        <w:spacing w:after="0"/>
        <w:jc w:val="both"/>
        <w:rPr>
          <w:rFonts w:ascii="Arial" w:eastAsia="Times New Roman" w:hAnsi="Arial" w:cs="Arial"/>
          <w:sz w:val="24"/>
          <w:szCs w:val="24"/>
        </w:rPr>
      </w:pPr>
      <w:r w:rsidRPr="00C671A3">
        <w:rPr>
          <w:rFonts w:ascii="Arial" w:hAnsi="Arial" w:cs="Arial"/>
          <w:sz w:val="24"/>
          <w:szCs w:val="24"/>
        </w:rPr>
        <w:t xml:space="preserve">Pese a lo anterior, en providencia de 8 de julio de 2022, al no ser aportada la escritura </w:t>
      </w:r>
      <w:bookmarkStart w:id="2" w:name="_GoBack"/>
      <w:bookmarkEnd w:id="2"/>
      <w:r w:rsidRPr="00C671A3">
        <w:rPr>
          <w:rFonts w:ascii="Arial" w:hAnsi="Arial" w:cs="Arial"/>
          <w:sz w:val="24"/>
          <w:szCs w:val="24"/>
        </w:rPr>
        <w:t>pública por medio de la cual fue conferido el poder general a la abogada de la Compañía Aseguradora, dio por no contestado solo el llamamiento en garantía, avalando con ello la respuesta dada por dicha sociedad a la demanda</w:t>
      </w:r>
      <w:r w:rsidR="795F7406" w:rsidRPr="00C671A3">
        <w:rPr>
          <w:rFonts w:ascii="Arial" w:hAnsi="Arial" w:cs="Arial"/>
          <w:sz w:val="24"/>
          <w:szCs w:val="24"/>
        </w:rPr>
        <w:t xml:space="preserve"> inicial</w:t>
      </w:r>
      <w:r w:rsidRPr="00C671A3">
        <w:rPr>
          <w:rFonts w:ascii="Arial" w:hAnsi="Arial" w:cs="Arial"/>
          <w:sz w:val="24"/>
          <w:szCs w:val="24"/>
        </w:rPr>
        <w:t>;</w:t>
      </w:r>
      <w:r w:rsidR="3EF16071" w:rsidRPr="00C671A3">
        <w:rPr>
          <w:rFonts w:ascii="Arial" w:hAnsi="Arial" w:cs="Arial"/>
          <w:sz w:val="24"/>
          <w:szCs w:val="24"/>
        </w:rPr>
        <w:t xml:space="preserve"> </w:t>
      </w:r>
      <w:r w:rsidRPr="00C671A3">
        <w:rPr>
          <w:rFonts w:ascii="Arial" w:hAnsi="Arial" w:cs="Arial"/>
          <w:sz w:val="24"/>
          <w:szCs w:val="24"/>
        </w:rPr>
        <w:t>pero además, rechazó la vinculación de Seguros de</w:t>
      </w:r>
      <w:r w:rsidR="00DB3CCF" w:rsidRPr="00C671A3">
        <w:rPr>
          <w:rFonts w:ascii="Arial" w:hAnsi="Arial" w:cs="Arial"/>
          <w:sz w:val="24"/>
          <w:szCs w:val="24"/>
        </w:rPr>
        <w:t xml:space="preserve"> Generales Suramericana S.A., cuando frente esta actuación ningún requerimiento realizó en torno al poder, lo que </w:t>
      </w:r>
      <w:r w:rsidR="231B9455" w:rsidRPr="00C671A3">
        <w:rPr>
          <w:rFonts w:ascii="Arial" w:hAnsi="Arial" w:cs="Arial"/>
          <w:sz w:val="24"/>
          <w:szCs w:val="24"/>
        </w:rPr>
        <w:t>debe entenderse como</w:t>
      </w:r>
      <w:r w:rsidR="00DB3CCF" w:rsidRPr="00C671A3">
        <w:rPr>
          <w:rFonts w:ascii="Arial" w:hAnsi="Arial" w:cs="Arial"/>
          <w:sz w:val="24"/>
          <w:szCs w:val="24"/>
        </w:rPr>
        <w:t xml:space="preserve"> que</w:t>
      </w:r>
      <w:r w:rsidR="1F0CBB9A" w:rsidRPr="00C671A3">
        <w:rPr>
          <w:rFonts w:ascii="Arial" w:hAnsi="Arial" w:cs="Arial"/>
          <w:sz w:val="24"/>
          <w:szCs w:val="24"/>
        </w:rPr>
        <w:t>,</w:t>
      </w:r>
      <w:r w:rsidR="00DB3CCF" w:rsidRPr="00C671A3">
        <w:rPr>
          <w:rFonts w:ascii="Arial" w:hAnsi="Arial" w:cs="Arial"/>
          <w:sz w:val="24"/>
          <w:szCs w:val="24"/>
        </w:rPr>
        <w:t xml:space="preserve"> se encuentra pendiente de estudiar la subsanación que frente a la ausencia de vínculo contractual entre las aseguradoras advirtió la funcionaria de </w:t>
      </w:r>
      <w:r w:rsidR="00DB3CCF" w:rsidRPr="00433B8E">
        <w:rPr>
          <w:rFonts w:ascii="Arial" w:eastAsia="Times New Roman" w:hAnsi="Arial" w:cs="Arial"/>
          <w:sz w:val="24"/>
          <w:szCs w:val="24"/>
        </w:rPr>
        <w:t>primera instancia.</w:t>
      </w:r>
      <w:r w:rsidRPr="00433B8E">
        <w:rPr>
          <w:rFonts w:ascii="Arial" w:eastAsia="Times New Roman" w:hAnsi="Arial" w:cs="Arial"/>
          <w:sz w:val="24"/>
          <w:szCs w:val="24"/>
        </w:rPr>
        <w:t xml:space="preserve"> </w:t>
      </w:r>
    </w:p>
    <w:p w14:paraId="07547A01" w14:textId="77777777" w:rsidR="00DB3CCF" w:rsidRPr="00C671A3" w:rsidRDefault="00DB3CCF" w:rsidP="00C671A3">
      <w:pPr>
        <w:spacing w:after="0"/>
        <w:jc w:val="both"/>
        <w:rPr>
          <w:rFonts w:ascii="Arial" w:hAnsi="Arial" w:cs="Arial"/>
          <w:sz w:val="24"/>
          <w:szCs w:val="24"/>
        </w:rPr>
      </w:pPr>
    </w:p>
    <w:p w14:paraId="77844940" w14:textId="5D400009" w:rsidR="00DB3CCF" w:rsidRPr="00C671A3" w:rsidRDefault="00DB3CCF" w:rsidP="00C671A3">
      <w:pPr>
        <w:spacing w:after="0"/>
        <w:jc w:val="both"/>
        <w:rPr>
          <w:rFonts w:ascii="Arial" w:hAnsi="Arial" w:cs="Arial"/>
          <w:sz w:val="24"/>
          <w:szCs w:val="24"/>
        </w:rPr>
      </w:pPr>
      <w:r w:rsidRPr="00C671A3">
        <w:rPr>
          <w:rFonts w:ascii="Arial" w:hAnsi="Arial" w:cs="Arial"/>
          <w:sz w:val="24"/>
          <w:szCs w:val="24"/>
        </w:rPr>
        <w:t>L</w:t>
      </w:r>
      <w:r w:rsidR="5BAD78CC" w:rsidRPr="00C671A3">
        <w:rPr>
          <w:rFonts w:ascii="Arial" w:hAnsi="Arial" w:cs="Arial"/>
          <w:sz w:val="24"/>
          <w:szCs w:val="24"/>
        </w:rPr>
        <w:t>a</w:t>
      </w:r>
      <w:r w:rsidRPr="00C671A3">
        <w:rPr>
          <w:rFonts w:ascii="Arial" w:hAnsi="Arial" w:cs="Arial"/>
          <w:sz w:val="24"/>
          <w:szCs w:val="24"/>
        </w:rPr>
        <w:t xml:space="preserve"> anterior </w:t>
      </w:r>
      <w:r w:rsidR="1D393013" w:rsidRPr="00C671A3">
        <w:rPr>
          <w:rFonts w:ascii="Arial" w:hAnsi="Arial" w:cs="Arial"/>
          <w:sz w:val="24"/>
          <w:szCs w:val="24"/>
        </w:rPr>
        <w:t xml:space="preserve">precisión </w:t>
      </w:r>
      <w:r w:rsidRPr="00C671A3">
        <w:rPr>
          <w:rFonts w:ascii="Arial" w:hAnsi="Arial" w:cs="Arial"/>
          <w:sz w:val="24"/>
          <w:szCs w:val="24"/>
        </w:rPr>
        <w:t>era necesari</w:t>
      </w:r>
      <w:r w:rsidR="3113BE12" w:rsidRPr="00C671A3">
        <w:rPr>
          <w:rFonts w:ascii="Arial" w:hAnsi="Arial" w:cs="Arial"/>
          <w:sz w:val="24"/>
          <w:szCs w:val="24"/>
        </w:rPr>
        <w:t>a</w:t>
      </w:r>
      <w:r w:rsidRPr="00C671A3">
        <w:rPr>
          <w:rFonts w:ascii="Arial" w:hAnsi="Arial" w:cs="Arial"/>
          <w:sz w:val="24"/>
          <w:szCs w:val="24"/>
        </w:rPr>
        <w:t xml:space="preserve"> para la Sala establecer el alcance de la decisión y, al respecto debe decirse que</w:t>
      </w:r>
      <w:r w:rsidR="5ABB4A54" w:rsidRPr="00C671A3">
        <w:rPr>
          <w:rFonts w:ascii="Arial" w:hAnsi="Arial" w:cs="Arial"/>
          <w:sz w:val="24"/>
          <w:szCs w:val="24"/>
        </w:rPr>
        <w:t>,</w:t>
      </w:r>
      <w:r w:rsidRPr="00C671A3">
        <w:rPr>
          <w:rFonts w:ascii="Arial" w:hAnsi="Arial" w:cs="Arial"/>
          <w:sz w:val="24"/>
          <w:szCs w:val="24"/>
        </w:rPr>
        <w:t xml:space="preserve"> habiendo sido inadmitido</w:t>
      </w:r>
      <w:r w:rsidR="7C8BA2AB" w:rsidRPr="00C671A3">
        <w:rPr>
          <w:rFonts w:ascii="Arial" w:hAnsi="Arial" w:cs="Arial"/>
          <w:sz w:val="24"/>
          <w:szCs w:val="24"/>
        </w:rPr>
        <w:t>s</w:t>
      </w:r>
      <w:r w:rsidRPr="00C671A3">
        <w:rPr>
          <w:rFonts w:ascii="Arial" w:hAnsi="Arial" w:cs="Arial"/>
          <w:sz w:val="24"/>
          <w:szCs w:val="24"/>
        </w:rPr>
        <w:t xml:space="preserve"> por ausencia de poder general </w:t>
      </w:r>
      <w:r w:rsidR="73969F09" w:rsidRPr="00C671A3">
        <w:rPr>
          <w:rFonts w:ascii="Arial" w:hAnsi="Arial" w:cs="Arial"/>
          <w:sz w:val="24"/>
          <w:szCs w:val="24"/>
        </w:rPr>
        <w:t>-</w:t>
      </w:r>
      <w:r w:rsidRPr="00C671A3">
        <w:rPr>
          <w:rFonts w:ascii="Arial" w:hAnsi="Arial" w:cs="Arial"/>
          <w:sz w:val="24"/>
          <w:szCs w:val="24"/>
        </w:rPr>
        <w:t>la contestación de la demanda y del llamamiento en garantía</w:t>
      </w:r>
      <w:r w:rsidR="3689446E" w:rsidRPr="00C671A3">
        <w:rPr>
          <w:rFonts w:ascii="Arial" w:hAnsi="Arial" w:cs="Arial"/>
          <w:sz w:val="24"/>
          <w:szCs w:val="24"/>
        </w:rPr>
        <w:t>-</w:t>
      </w:r>
      <w:r w:rsidRPr="00C671A3">
        <w:rPr>
          <w:rFonts w:ascii="Arial" w:hAnsi="Arial" w:cs="Arial"/>
          <w:sz w:val="24"/>
          <w:szCs w:val="24"/>
        </w:rPr>
        <w:t xml:space="preserve"> ante la no subsanación de tal falencia, lógicamente serían estos dos </w:t>
      </w:r>
      <w:r w:rsidR="4D5BE6C5" w:rsidRPr="00C671A3">
        <w:rPr>
          <w:rFonts w:ascii="Arial" w:hAnsi="Arial" w:cs="Arial"/>
          <w:sz w:val="24"/>
          <w:szCs w:val="24"/>
        </w:rPr>
        <w:t>ac</w:t>
      </w:r>
      <w:r w:rsidRPr="00C671A3">
        <w:rPr>
          <w:rFonts w:ascii="Arial" w:hAnsi="Arial" w:cs="Arial"/>
          <w:sz w:val="24"/>
          <w:szCs w:val="24"/>
        </w:rPr>
        <w:t>tos procesales lo</w:t>
      </w:r>
      <w:r w:rsidR="78CBB369" w:rsidRPr="00C671A3">
        <w:rPr>
          <w:rFonts w:ascii="Arial" w:hAnsi="Arial" w:cs="Arial"/>
          <w:sz w:val="24"/>
          <w:szCs w:val="24"/>
        </w:rPr>
        <w:t>s</w:t>
      </w:r>
      <w:r w:rsidRPr="00C671A3">
        <w:rPr>
          <w:rFonts w:ascii="Arial" w:hAnsi="Arial" w:cs="Arial"/>
          <w:sz w:val="24"/>
          <w:szCs w:val="24"/>
        </w:rPr>
        <w:t xml:space="preserve"> que se tendrían </w:t>
      </w:r>
      <w:r w:rsidR="655AE262" w:rsidRPr="00C671A3">
        <w:rPr>
          <w:rFonts w:ascii="Arial" w:hAnsi="Arial" w:cs="Arial"/>
          <w:sz w:val="24"/>
          <w:szCs w:val="24"/>
        </w:rPr>
        <w:t xml:space="preserve">que dar </w:t>
      </w:r>
      <w:r w:rsidRPr="00C671A3">
        <w:rPr>
          <w:rFonts w:ascii="Arial" w:hAnsi="Arial" w:cs="Arial"/>
          <w:sz w:val="24"/>
          <w:szCs w:val="24"/>
        </w:rPr>
        <w:t>por no contestados.</w:t>
      </w:r>
    </w:p>
    <w:p w14:paraId="5043CB0F" w14:textId="77777777" w:rsidR="00DB3CCF" w:rsidRPr="00C671A3" w:rsidRDefault="00DB3CCF" w:rsidP="00C671A3">
      <w:pPr>
        <w:spacing w:after="0"/>
        <w:jc w:val="both"/>
        <w:rPr>
          <w:rFonts w:ascii="Arial" w:hAnsi="Arial" w:cs="Arial"/>
          <w:sz w:val="24"/>
          <w:szCs w:val="24"/>
        </w:rPr>
      </w:pPr>
    </w:p>
    <w:p w14:paraId="4E723BF4" w14:textId="40319DA2" w:rsidR="00E45A08" w:rsidRPr="00C671A3" w:rsidRDefault="00DB3CCF" w:rsidP="00C671A3">
      <w:pPr>
        <w:spacing w:after="0"/>
        <w:jc w:val="both"/>
        <w:rPr>
          <w:rFonts w:ascii="Arial" w:hAnsi="Arial" w:cs="Arial"/>
          <w:sz w:val="24"/>
          <w:szCs w:val="24"/>
        </w:rPr>
      </w:pPr>
      <w:r w:rsidRPr="00C671A3">
        <w:rPr>
          <w:rFonts w:ascii="Arial" w:hAnsi="Arial" w:cs="Arial"/>
          <w:sz w:val="24"/>
          <w:szCs w:val="24"/>
        </w:rPr>
        <w:t>Pero más allá de las varias impre</w:t>
      </w:r>
      <w:r w:rsidR="00E3076D" w:rsidRPr="00C671A3">
        <w:rPr>
          <w:rFonts w:ascii="Arial" w:hAnsi="Arial" w:cs="Arial"/>
          <w:sz w:val="24"/>
          <w:szCs w:val="24"/>
        </w:rPr>
        <w:t xml:space="preserve">cisiones y falencias advertidas en el trámite de primer grado, percibe la Sala que no le asiste razón al Juzgado de conocimiento en dejar a la recurrente huérfana de todo argumento </w:t>
      </w:r>
      <w:r w:rsidR="000706D4" w:rsidRPr="00C671A3">
        <w:rPr>
          <w:rFonts w:ascii="Arial" w:hAnsi="Arial" w:cs="Arial"/>
          <w:sz w:val="24"/>
          <w:szCs w:val="24"/>
        </w:rPr>
        <w:t>defensivo y medios probatorios, exi</w:t>
      </w:r>
      <w:r w:rsidR="008A66A6" w:rsidRPr="00C671A3">
        <w:rPr>
          <w:rFonts w:ascii="Arial" w:hAnsi="Arial" w:cs="Arial"/>
          <w:sz w:val="24"/>
          <w:szCs w:val="24"/>
        </w:rPr>
        <w:t>giendo un documento –escritura pública</w:t>
      </w:r>
      <w:r w:rsidR="00433B8E">
        <w:rPr>
          <w:rFonts w:ascii="Arial" w:hAnsi="Arial" w:cs="Arial"/>
          <w:sz w:val="24"/>
          <w:szCs w:val="24"/>
        </w:rPr>
        <w:t>–</w:t>
      </w:r>
      <w:r w:rsidR="00AF43FA" w:rsidRPr="00C671A3">
        <w:rPr>
          <w:rFonts w:ascii="Arial" w:hAnsi="Arial" w:cs="Arial"/>
          <w:sz w:val="24"/>
          <w:szCs w:val="24"/>
        </w:rPr>
        <w:t xml:space="preserve"> </w:t>
      </w:r>
      <w:r w:rsidR="008A66A6" w:rsidRPr="00C671A3">
        <w:rPr>
          <w:rFonts w:ascii="Arial" w:hAnsi="Arial" w:cs="Arial"/>
          <w:sz w:val="24"/>
          <w:szCs w:val="24"/>
        </w:rPr>
        <w:t xml:space="preserve">que si bien exige la Ley </w:t>
      </w:r>
      <w:r w:rsidR="77180713" w:rsidRPr="00C671A3">
        <w:rPr>
          <w:rFonts w:ascii="Arial" w:hAnsi="Arial" w:cs="Arial"/>
          <w:sz w:val="24"/>
          <w:szCs w:val="24"/>
        </w:rPr>
        <w:t>como</w:t>
      </w:r>
      <w:r w:rsidR="008A66A6" w:rsidRPr="00C671A3">
        <w:rPr>
          <w:rFonts w:ascii="Arial" w:hAnsi="Arial" w:cs="Arial"/>
          <w:sz w:val="24"/>
          <w:szCs w:val="24"/>
        </w:rPr>
        <w:t xml:space="preserve"> medio por el cual se otorgue un poder general –</w:t>
      </w:r>
      <w:r w:rsidR="00433B8E" w:rsidRPr="00C671A3">
        <w:rPr>
          <w:rFonts w:ascii="Arial" w:hAnsi="Arial" w:cs="Arial"/>
          <w:sz w:val="24"/>
          <w:szCs w:val="24"/>
        </w:rPr>
        <w:t>artículo</w:t>
      </w:r>
      <w:r w:rsidR="008A66A6" w:rsidRPr="00C671A3">
        <w:rPr>
          <w:rFonts w:ascii="Arial" w:hAnsi="Arial" w:cs="Arial"/>
          <w:sz w:val="24"/>
          <w:szCs w:val="24"/>
        </w:rPr>
        <w:t xml:space="preserve"> 74 del </w:t>
      </w:r>
      <w:r w:rsidR="00433B8E">
        <w:rPr>
          <w:rFonts w:ascii="Arial" w:hAnsi="Arial" w:cs="Arial"/>
          <w:sz w:val="24"/>
          <w:szCs w:val="24"/>
        </w:rPr>
        <w:t>Código General del Proceso–</w:t>
      </w:r>
      <w:r w:rsidR="008A66A6" w:rsidRPr="00C671A3">
        <w:rPr>
          <w:rFonts w:ascii="Arial" w:hAnsi="Arial" w:cs="Arial"/>
          <w:sz w:val="24"/>
          <w:szCs w:val="24"/>
        </w:rPr>
        <w:t xml:space="preserve">, no es el único instrumento por medio del cual puede demostrarse su existencia, </w:t>
      </w:r>
      <w:r w:rsidR="00E45A08" w:rsidRPr="00C671A3">
        <w:rPr>
          <w:rFonts w:ascii="Arial" w:hAnsi="Arial" w:cs="Arial"/>
          <w:sz w:val="24"/>
          <w:szCs w:val="24"/>
        </w:rPr>
        <w:t xml:space="preserve">pues </w:t>
      </w:r>
      <w:r w:rsidR="68C1D56B" w:rsidRPr="00C671A3">
        <w:rPr>
          <w:rFonts w:ascii="Arial" w:hAnsi="Arial" w:cs="Arial"/>
          <w:sz w:val="24"/>
          <w:szCs w:val="24"/>
        </w:rPr>
        <w:t>la misma, bien puede ser acreditada con la certificación que al respecto e</w:t>
      </w:r>
      <w:r w:rsidR="54E174CC" w:rsidRPr="00C671A3">
        <w:rPr>
          <w:rFonts w:ascii="Arial" w:hAnsi="Arial" w:cs="Arial"/>
          <w:sz w:val="24"/>
          <w:szCs w:val="24"/>
        </w:rPr>
        <w:t>mane de</w:t>
      </w:r>
      <w:r w:rsidR="68C1D56B" w:rsidRPr="00C671A3">
        <w:rPr>
          <w:rFonts w:ascii="Arial" w:hAnsi="Arial" w:cs="Arial"/>
          <w:sz w:val="24"/>
          <w:szCs w:val="24"/>
        </w:rPr>
        <w:t xml:space="preserve"> la Cámara de Comercio</w:t>
      </w:r>
      <w:r w:rsidR="2A92E942" w:rsidRPr="00C671A3">
        <w:rPr>
          <w:rFonts w:ascii="Arial" w:hAnsi="Arial" w:cs="Arial"/>
          <w:sz w:val="24"/>
          <w:szCs w:val="24"/>
        </w:rPr>
        <w:t xml:space="preserve"> –en este caso de Bogotá</w:t>
      </w:r>
      <w:r w:rsidR="006360C6">
        <w:rPr>
          <w:rFonts w:ascii="Arial" w:hAnsi="Arial" w:cs="Arial"/>
          <w:sz w:val="24"/>
          <w:szCs w:val="24"/>
        </w:rPr>
        <w:t>–</w:t>
      </w:r>
      <w:r w:rsidR="545D42AA" w:rsidRPr="00C671A3">
        <w:rPr>
          <w:rFonts w:ascii="Arial" w:hAnsi="Arial" w:cs="Arial"/>
          <w:sz w:val="24"/>
          <w:szCs w:val="24"/>
        </w:rPr>
        <w:t xml:space="preserve"> quien, </w:t>
      </w:r>
      <w:r w:rsidR="24B08500" w:rsidRPr="00C671A3">
        <w:rPr>
          <w:rFonts w:ascii="Arial" w:hAnsi="Arial" w:cs="Arial"/>
          <w:sz w:val="24"/>
          <w:szCs w:val="24"/>
        </w:rPr>
        <w:t>para lo que acá interesa,</w:t>
      </w:r>
      <w:r w:rsidR="545D42AA" w:rsidRPr="00C671A3">
        <w:rPr>
          <w:rFonts w:ascii="Arial" w:hAnsi="Arial" w:cs="Arial"/>
          <w:sz w:val="24"/>
          <w:szCs w:val="24"/>
        </w:rPr>
        <w:t xml:space="preserve"> en el</w:t>
      </w:r>
      <w:r w:rsidR="008A66A6" w:rsidRPr="00C671A3">
        <w:rPr>
          <w:rFonts w:ascii="Arial" w:hAnsi="Arial" w:cs="Arial"/>
          <w:sz w:val="24"/>
          <w:szCs w:val="24"/>
        </w:rPr>
        <w:t xml:space="preserve"> Certificado</w:t>
      </w:r>
      <w:r w:rsidR="3433E765" w:rsidRPr="00C671A3">
        <w:rPr>
          <w:rFonts w:ascii="Arial" w:hAnsi="Arial" w:cs="Arial"/>
          <w:sz w:val="24"/>
          <w:szCs w:val="24"/>
        </w:rPr>
        <w:t xml:space="preserve"> de existencia y representación legal de la compañía, certificó</w:t>
      </w:r>
      <w:r w:rsidR="522B3F2F" w:rsidRPr="00C671A3">
        <w:rPr>
          <w:rFonts w:ascii="Arial" w:hAnsi="Arial" w:cs="Arial"/>
          <w:sz w:val="24"/>
          <w:szCs w:val="24"/>
        </w:rPr>
        <w:t xml:space="preserve"> el 28 de abril de 2022</w:t>
      </w:r>
      <w:r w:rsidR="008A66A6" w:rsidRPr="00C671A3">
        <w:rPr>
          <w:rFonts w:ascii="Arial" w:hAnsi="Arial" w:cs="Arial"/>
          <w:sz w:val="24"/>
          <w:szCs w:val="24"/>
        </w:rPr>
        <w:t xml:space="preserve"> que ante esa entidad fue radicado para su registro </w:t>
      </w:r>
      <w:r w:rsidR="63556A31" w:rsidRPr="00C671A3">
        <w:rPr>
          <w:rFonts w:ascii="Arial" w:hAnsi="Arial" w:cs="Arial"/>
          <w:sz w:val="24"/>
          <w:szCs w:val="24"/>
        </w:rPr>
        <w:t xml:space="preserve">la </w:t>
      </w:r>
      <w:r w:rsidR="00E45A08" w:rsidRPr="00C671A3">
        <w:rPr>
          <w:rFonts w:ascii="Arial" w:hAnsi="Arial" w:cs="Arial"/>
          <w:sz w:val="24"/>
          <w:szCs w:val="24"/>
        </w:rPr>
        <w:t xml:space="preserve">Escritura Pública No 22.230 de la Notaría de Bogotá D.C. del 26 de noviembre de 2018, a través de la cual se le confieren amplias facultades de representación de la Compañía a la doctora Carolina Gómez González, </w:t>
      </w:r>
      <w:r w:rsidR="4EF0D770" w:rsidRPr="00C671A3">
        <w:rPr>
          <w:rFonts w:ascii="Arial" w:hAnsi="Arial" w:cs="Arial"/>
          <w:sz w:val="24"/>
          <w:szCs w:val="24"/>
        </w:rPr>
        <w:t>dentro de las que se cuenta</w:t>
      </w:r>
      <w:r w:rsidR="00E45A08" w:rsidRPr="00C671A3">
        <w:rPr>
          <w:rFonts w:ascii="Arial" w:hAnsi="Arial" w:cs="Arial"/>
          <w:sz w:val="24"/>
          <w:szCs w:val="24"/>
        </w:rPr>
        <w:t xml:space="preserve"> “</w:t>
      </w:r>
      <w:r w:rsidR="00E45A08" w:rsidRPr="00A2373A">
        <w:rPr>
          <w:rFonts w:ascii="Arial" w:hAnsi="Arial" w:cs="Arial"/>
          <w:i/>
          <w:iCs/>
          <w:szCs w:val="24"/>
        </w:rPr>
        <w:t>Representar a la sociedad en toda clase de actuaciones y procesos judiciales ante (…) juzgados, tribunales de todo tipo (…)</w:t>
      </w:r>
      <w:r w:rsidR="00AF43FA" w:rsidRPr="00C671A3">
        <w:rPr>
          <w:rFonts w:ascii="Arial" w:hAnsi="Arial" w:cs="Arial"/>
          <w:i/>
          <w:iCs/>
          <w:sz w:val="24"/>
          <w:szCs w:val="24"/>
        </w:rPr>
        <w:t>”</w:t>
      </w:r>
      <w:r w:rsidR="00AD15ED" w:rsidRPr="00C671A3">
        <w:rPr>
          <w:rFonts w:ascii="Arial" w:hAnsi="Arial" w:cs="Arial"/>
          <w:sz w:val="24"/>
          <w:szCs w:val="24"/>
        </w:rPr>
        <w:t xml:space="preserve"> -</w:t>
      </w:r>
      <w:r w:rsidR="00AD15ED" w:rsidRPr="00C671A3">
        <w:rPr>
          <w:rFonts w:ascii="Arial" w:hAnsi="Arial" w:cs="Arial"/>
          <w:i/>
          <w:iCs/>
          <w:sz w:val="24"/>
          <w:szCs w:val="24"/>
        </w:rPr>
        <w:t>hoja 66 del numeral 048 del cuaderno de primera instancia</w:t>
      </w:r>
      <w:r w:rsidR="00AD15ED" w:rsidRPr="00C671A3">
        <w:rPr>
          <w:rFonts w:ascii="Arial" w:hAnsi="Arial" w:cs="Arial"/>
          <w:sz w:val="24"/>
          <w:szCs w:val="24"/>
        </w:rPr>
        <w:t>-</w:t>
      </w:r>
      <w:r w:rsidR="001A7BF7" w:rsidRPr="00C671A3">
        <w:rPr>
          <w:rFonts w:ascii="Arial" w:hAnsi="Arial" w:cs="Arial"/>
          <w:sz w:val="24"/>
          <w:szCs w:val="24"/>
        </w:rPr>
        <w:t>.</w:t>
      </w:r>
    </w:p>
    <w:p w14:paraId="07459315" w14:textId="77777777" w:rsidR="001A7BF7" w:rsidRPr="00C671A3" w:rsidRDefault="001A7BF7" w:rsidP="00C671A3">
      <w:pPr>
        <w:spacing w:after="0"/>
        <w:jc w:val="both"/>
        <w:rPr>
          <w:rFonts w:ascii="Arial" w:hAnsi="Arial" w:cs="Arial"/>
          <w:sz w:val="24"/>
          <w:szCs w:val="24"/>
        </w:rPr>
      </w:pPr>
    </w:p>
    <w:p w14:paraId="266EFA8D" w14:textId="77777777" w:rsidR="004C4D23" w:rsidRPr="00C671A3" w:rsidRDefault="00E45A08" w:rsidP="00C671A3">
      <w:pPr>
        <w:spacing w:after="0"/>
        <w:jc w:val="both"/>
        <w:rPr>
          <w:rFonts w:ascii="Arial" w:hAnsi="Arial" w:cs="Arial"/>
          <w:sz w:val="24"/>
          <w:szCs w:val="24"/>
        </w:rPr>
      </w:pPr>
      <w:r w:rsidRPr="00C671A3">
        <w:rPr>
          <w:rFonts w:ascii="Arial" w:hAnsi="Arial" w:cs="Arial"/>
          <w:sz w:val="24"/>
          <w:szCs w:val="24"/>
        </w:rPr>
        <w:t>Como puede observarse, e</w:t>
      </w:r>
      <w:r w:rsidR="001A7BF7" w:rsidRPr="00C671A3">
        <w:rPr>
          <w:rFonts w:ascii="Arial" w:hAnsi="Arial" w:cs="Arial"/>
          <w:sz w:val="24"/>
          <w:szCs w:val="24"/>
        </w:rPr>
        <w:t>l funcionario encargado de emitir dicha información, con carácter de oficial y ante quien fue</w:t>
      </w:r>
      <w:r w:rsidR="00AF43FA" w:rsidRPr="00C671A3">
        <w:rPr>
          <w:rFonts w:ascii="Arial" w:hAnsi="Arial" w:cs="Arial"/>
          <w:sz w:val="24"/>
          <w:szCs w:val="24"/>
        </w:rPr>
        <w:t>ron</w:t>
      </w:r>
      <w:r w:rsidR="001A7BF7" w:rsidRPr="00C671A3">
        <w:rPr>
          <w:rFonts w:ascii="Arial" w:hAnsi="Arial" w:cs="Arial"/>
          <w:sz w:val="24"/>
          <w:szCs w:val="24"/>
        </w:rPr>
        <w:t xml:space="preserve"> presentado</w:t>
      </w:r>
      <w:r w:rsidR="00AF43FA" w:rsidRPr="00C671A3">
        <w:rPr>
          <w:rFonts w:ascii="Arial" w:hAnsi="Arial" w:cs="Arial"/>
          <w:sz w:val="24"/>
          <w:szCs w:val="24"/>
        </w:rPr>
        <w:t>s</w:t>
      </w:r>
      <w:r w:rsidR="001A7BF7" w:rsidRPr="00C671A3">
        <w:rPr>
          <w:rFonts w:ascii="Arial" w:hAnsi="Arial" w:cs="Arial"/>
          <w:sz w:val="24"/>
          <w:szCs w:val="24"/>
        </w:rPr>
        <w:t xml:space="preserve"> los documentos que constan en el certificado de inscripción de documentos, da fe de la existencia del poder general y el alcance del mismo</w:t>
      </w:r>
      <w:r w:rsidR="00CD0D5D" w:rsidRPr="00C671A3">
        <w:rPr>
          <w:rFonts w:ascii="Arial" w:hAnsi="Arial" w:cs="Arial"/>
          <w:sz w:val="24"/>
          <w:szCs w:val="24"/>
        </w:rPr>
        <w:t xml:space="preserve">, de allí que resulte excesivo pedir a la sociedad accionada que aporte la escritura pública requerida por la </w:t>
      </w:r>
      <w:r w:rsidR="00CD0D5D" w:rsidRPr="00C671A3">
        <w:rPr>
          <w:rFonts w:ascii="Arial" w:hAnsi="Arial" w:cs="Arial"/>
          <w:i/>
          <w:sz w:val="24"/>
          <w:szCs w:val="24"/>
        </w:rPr>
        <w:t xml:space="preserve"> a quo </w:t>
      </w:r>
      <w:r w:rsidR="00CD0D5D" w:rsidRPr="00C671A3">
        <w:rPr>
          <w:rFonts w:ascii="Arial" w:hAnsi="Arial" w:cs="Arial"/>
          <w:sz w:val="24"/>
          <w:szCs w:val="24"/>
        </w:rPr>
        <w:t>cuando la Cámara de Comercio de Bogotá, en el “</w:t>
      </w:r>
      <w:r w:rsidR="00CD0D5D" w:rsidRPr="00A2373A">
        <w:rPr>
          <w:rFonts w:ascii="Arial" w:hAnsi="Arial" w:cs="Arial"/>
          <w:szCs w:val="24"/>
        </w:rPr>
        <w:t>Certificado de Inscripción de Documentos</w:t>
      </w:r>
      <w:r w:rsidR="00CD0D5D" w:rsidRPr="00C671A3">
        <w:rPr>
          <w:rFonts w:ascii="Arial" w:hAnsi="Arial" w:cs="Arial"/>
          <w:sz w:val="24"/>
          <w:szCs w:val="24"/>
        </w:rPr>
        <w:t>” –</w:t>
      </w:r>
      <w:r w:rsidR="00CD0D5D" w:rsidRPr="00C671A3">
        <w:rPr>
          <w:rFonts w:ascii="Arial" w:hAnsi="Arial" w:cs="Arial"/>
          <w:i/>
          <w:sz w:val="24"/>
          <w:szCs w:val="24"/>
        </w:rPr>
        <w:t>hoja 56 a 103 del numeral 048 del cuaderno de primera instancia</w:t>
      </w:r>
      <w:r w:rsidR="00CD0D5D" w:rsidRPr="00C671A3">
        <w:rPr>
          <w:rFonts w:ascii="Arial" w:hAnsi="Arial" w:cs="Arial"/>
          <w:sz w:val="24"/>
          <w:szCs w:val="24"/>
        </w:rPr>
        <w:t xml:space="preserve">-, así lo hizo constar.  </w:t>
      </w:r>
    </w:p>
    <w:p w14:paraId="6537F28F" w14:textId="77777777" w:rsidR="004C4D23" w:rsidRPr="00C671A3" w:rsidRDefault="004C4D23" w:rsidP="00C671A3">
      <w:pPr>
        <w:spacing w:after="0"/>
        <w:jc w:val="both"/>
        <w:rPr>
          <w:rFonts w:ascii="Arial" w:hAnsi="Arial" w:cs="Arial"/>
          <w:sz w:val="24"/>
          <w:szCs w:val="24"/>
        </w:rPr>
      </w:pPr>
    </w:p>
    <w:p w14:paraId="3FFCBF7D" w14:textId="1380ACD4" w:rsidR="006C7EE7" w:rsidRPr="00C671A3" w:rsidRDefault="006C7EE7" w:rsidP="00C671A3">
      <w:pPr>
        <w:spacing w:after="0"/>
        <w:jc w:val="both"/>
        <w:rPr>
          <w:rFonts w:ascii="Arial" w:hAnsi="Arial" w:cs="Arial"/>
          <w:sz w:val="24"/>
          <w:szCs w:val="24"/>
        </w:rPr>
      </w:pPr>
      <w:r w:rsidRPr="00C671A3">
        <w:rPr>
          <w:rFonts w:ascii="Arial" w:hAnsi="Arial" w:cs="Arial"/>
          <w:sz w:val="24"/>
          <w:szCs w:val="24"/>
        </w:rPr>
        <w:lastRenderedPageBreak/>
        <w:t>De acuerdo con lo expuesto,</w:t>
      </w:r>
      <w:r w:rsidR="00AD15ED" w:rsidRPr="00C671A3">
        <w:rPr>
          <w:rFonts w:ascii="Arial" w:hAnsi="Arial" w:cs="Arial"/>
          <w:sz w:val="24"/>
          <w:szCs w:val="24"/>
        </w:rPr>
        <w:t xml:space="preserve"> la Compañía Mundial de Seguros S.A se encuentra válidamente representada judicialmente por la apoderada general que dio respuesta a la demanda y al llamamiento en garantía, </w:t>
      </w:r>
      <w:r w:rsidR="2E434A09" w:rsidRPr="00C671A3">
        <w:rPr>
          <w:rFonts w:ascii="Arial" w:hAnsi="Arial" w:cs="Arial"/>
          <w:sz w:val="24"/>
          <w:szCs w:val="24"/>
        </w:rPr>
        <w:t xml:space="preserve">por lo que </w:t>
      </w:r>
      <w:r w:rsidR="00AD15ED" w:rsidRPr="00C671A3">
        <w:rPr>
          <w:rFonts w:ascii="Arial" w:hAnsi="Arial" w:cs="Arial"/>
          <w:sz w:val="24"/>
          <w:szCs w:val="24"/>
        </w:rPr>
        <w:t xml:space="preserve">se revocará la decisión de primer grado y en su lugar se ordenará al Juzgado de conocimiento que proceda a estudiar la subsanación de las falencias advertidas en providencia de fecha 8 de junio de 2021 que no </w:t>
      </w:r>
      <w:r w:rsidR="55C6367E" w:rsidRPr="00C671A3">
        <w:rPr>
          <w:rFonts w:ascii="Arial" w:hAnsi="Arial" w:cs="Arial"/>
          <w:sz w:val="24"/>
          <w:szCs w:val="24"/>
        </w:rPr>
        <w:t>se</w:t>
      </w:r>
      <w:r w:rsidR="00AD15ED" w:rsidRPr="00C671A3">
        <w:rPr>
          <w:rFonts w:ascii="Arial" w:hAnsi="Arial" w:cs="Arial"/>
          <w:sz w:val="24"/>
          <w:szCs w:val="24"/>
        </w:rPr>
        <w:t xml:space="preserve"> encuentren relacionadas con la ausencia de poder</w:t>
      </w:r>
      <w:r w:rsidR="1BB788F5" w:rsidRPr="00C671A3">
        <w:rPr>
          <w:rFonts w:ascii="Arial" w:hAnsi="Arial" w:cs="Arial"/>
          <w:sz w:val="24"/>
          <w:szCs w:val="24"/>
        </w:rPr>
        <w:t>.</w:t>
      </w:r>
      <w:r w:rsidRPr="00C671A3">
        <w:rPr>
          <w:rFonts w:ascii="Arial" w:hAnsi="Arial" w:cs="Arial"/>
          <w:sz w:val="24"/>
          <w:szCs w:val="24"/>
        </w:rPr>
        <w:t xml:space="preserve"> </w:t>
      </w:r>
    </w:p>
    <w:p w14:paraId="6DFB9E20" w14:textId="77777777" w:rsidR="004E5C05" w:rsidRPr="00C671A3" w:rsidRDefault="004E5C05" w:rsidP="00C671A3">
      <w:pPr>
        <w:spacing w:after="0"/>
        <w:jc w:val="both"/>
        <w:rPr>
          <w:rFonts w:ascii="Arial" w:hAnsi="Arial" w:cs="Arial"/>
          <w:sz w:val="24"/>
          <w:szCs w:val="24"/>
        </w:rPr>
      </w:pPr>
    </w:p>
    <w:p w14:paraId="3E85B1D9" w14:textId="77777777" w:rsidR="004E5C05" w:rsidRPr="00C671A3" w:rsidRDefault="006C24B7" w:rsidP="00C671A3">
      <w:pPr>
        <w:spacing w:after="0"/>
        <w:jc w:val="both"/>
        <w:rPr>
          <w:rFonts w:ascii="Arial" w:hAnsi="Arial" w:cs="Arial"/>
          <w:sz w:val="24"/>
          <w:szCs w:val="24"/>
        </w:rPr>
      </w:pPr>
      <w:r w:rsidRPr="00C671A3">
        <w:rPr>
          <w:rFonts w:ascii="Arial" w:hAnsi="Arial" w:cs="Arial"/>
          <w:sz w:val="24"/>
          <w:szCs w:val="24"/>
        </w:rPr>
        <w:t>Sin costas en esta Sede</w:t>
      </w:r>
    </w:p>
    <w:p w14:paraId="70DF9E56" w14:textId="77777777" w:rsidR="004E5C05" w:rsidRPr="00C671A3" w:rsidRDefault="004E5C05" w:rsidP="00C671A3">
      <w:pPr>
        <w:spacing w:after="0"/>
        <w:jc w:val="both"/>
        <w:rPr>
          <w:rFonts w:ascii="Arial" w:hAnsi="Arial" w:cs="Arial"/>
          <w:sz w:val="24"/>
          <w:szCs w:val="24"/>
        </w:rPr>
      </w:pPr>
    </w:p>
    <w:p w14:paraId="460EFD34" w14:textId="77777777" w:rsidR="004E5C05" w:rsidRPr="00C671A3" w:rsidRDefault="004E5C05" w:rsidP="00C671A3">
      <w:pPr>
        <w:spacing w:after="0"/>
        <w:jc w:val="both"/>
        <w:rPr>
          <w:rFonts w:ascii="Arial" w:hAnsi="Arial" w:cs="Arial"/>
          <w:sz w:val="24"/>
          <w:szCs w:val="24"/>
        </w:rPr>
      </w:pPr>
      <w:r w:rsidRPr="00C671A3">
        <w:rPr>
          <w:rFonts w:ascii="Arial" w:hAnsi="Arial" w:cs="Arial"/>
          <w:sz w:val="24"/>
          <w:szCs w:val="24"/>
        </w:rPr>
        <w:t xml:space="preserve">En mérito de lo expuesto, la </w:t>
      </w:r>
      <w:r w:rsidRPr="00C671A3">
        <w:rPr>
          <w:rFonts w:ascii="Arial" w:hAnsi="Arial" w:cs="Arial"/>
          <w:b/>
          <w:sz w:val="24"/>
          <w:szCs w:val="24"/>
        </w:rPr>
        <w:t>Sala de Decisión Laboral del Tribunal Superior de Pereira</w:t>
      </w:r>
      <w:r w:rsidRPr="00C671A3">
        <w:rPr>
          <w:rFonts w:ascii="Arial" w:hAnsi="Arial" w:cs="Arial"/>
          <w:sz w:val="24"/>
          <w:szCs w:val="24"/>
        </w:rPr>
        <w:t xml:space="preserve">, </w:t>
      </w:r>
    </w:p>
    <w:p w14:paraId="44E871BC" w14:textId="49482B0C" w:rsidR="00BC21C5" w:rsidRDefault="00BC21C5" w:rsidP="007125E8">
      <w:pPr>
        <w:pStyle w:val="Textoindependiente"/>
        <w:spacing w:line="276" w:lineRule="auto"/>
        <w:rPr>
          <w:rFonts w:cs="Arial"/>
          <w:b/>
          <w:sz w:val="24"/>
          <w:szCs w:val="24"/>
        </w:rPr>
      </w:pPr>
    </w:p>
    <w:p w14:paraId="70A836F6" w14:textId="77777777" w:rsidR="007125E8" w:rsidRPr="00C671A3" w:rsidRDefault="007125E8" w:rsidP="007125E8">
      <w:pPr>
        <w:pStyle w:val="Textoindependiente"/>
        <w:spacing w:line="276" w:lineRule="auto"/>
        <w:rPr>
          <w:rFonts w:cs="Arial"/>
          <w:b/>
          <w:sz w:val="24"/>
          <w:szCs w:val="24"/>
        </w:rPr>
      </w:pPr>
    </w:p>
    <w:p w14:paraId="68A3624F" w14:textId="77777777" w:rsidR="004E5C05" w:rsidRPr="00C671A3" w:rsidRDefault="004E5C05" w:rsidP="00C671A3">
      <w:pPr>
        <w:pStyle w:val="Textoindependiente"/>
        <w:spacing w:line="276" w:lineRule="auto"/>
        <w:jc w:val="center"/>
        <w:rPr>
          <w:rFonts w:cs="Arial"/>
          <w:b/>
          <w:sz w:val="24"/>
          <w:szCs w:val="24"/>
        </w:rPr>
      </w:pPr>
      <w:r w:rsidRPr="00C671A3">
        <w:rPr>
          <w:rFonts w:cs="Arial"/>
          <w:b/>
          <w:sz w:val="24"/>
          <w:szCs w:val="24"/>
        </w:rPr>
        <w:t>RESUELVE</w:t>
      </w:r>
    </w:p>
    <w:p w14:paraId="144A5D23" w14:textId="77777777" w:rsidR="004E5C05" w:rsidRPr="00C671A3" w:rsidRDefault="004E5C05" w:rsidP="00C671A3">
      <w:pPr>
        <w:pStyle w:val="Textoindependiente"/>
        <w:spacing w:line="276" w:lineRule="auto"/>
        <w:rPr>
          <w:rFonts w:cs="Arial"/>
          <w:sz w:val="24"/>
          <w:szCs w:val="24"/>
        </w:rPr>
      </w:pPr>
    </w:p>
    <w:p w14:paraId="1F7F81CA" w14:textId="77777777" w:rsidR="004E5C05" w:rsidRPr="00C671A3" w:rsidRDefault="006C7EE7" w:rsidP="00C671A3">
      <w:pPr>
        <w:spacing w:after="0"/>
        <w:ind w:right="20"/>
        <w:jc w:val="both"/>
        <w:rPr>
          <w:rFonts w:ascii="Arial" w:eastAsia="Times New Roman" w:hAnsi="Arial" w:cs="Arial"/>
          <w:sz w:val="24"/>
          <w:szCs w:val="24"/>
          <w:lang w:val="es-ES_tradnl" w:eastAsia="es-ES"/>
        </w:rPr>
      </w:pPr>
      <w:r w:rsidRPr="00C671A3">
        <w:rPr>
          <w:rFonts w:ascii="Arial" w:eastAsia="Times New Roman" w:hAnsi="Arial" w:cs="Arial"/>
          <w:b/>
          <w:sz w:val="24"/>
          <w:szCs w:val="24"/>
          <w:lang w:val="es-ES_tradnl" w:eastAsia="es-ES"/>
        </w:rPr>
        <w:t xml:space="preserve">PRIMERO: </w:t>
      </w:r>
      <w:r w:rsidR="006106A1" w:rsidRPr="00C671A3">
        <w:rPr>
          <w:rFonts w:ascii="Arial" w:eastAsia="Times New Roman" w:hAnsi="Arial" w:cs="Arial"/>
          <w:b/>
          <w:sz w:val="24"/>
          <w:szCs w:val="24"/>
          <w:lang w:val="es-ES_tradnl" w:eastAsia="es-ES"/>
        </w:rPr>
        <w:t>REVOCAR</w:t>
      </w:r>
      <w:r w:rsidR="004E5C05" w:rsidRPr="00C671A3">
        <w:rPr>
          <w:rFonts w:ascii="Arial" w:eastAsia="Times New Roman" w:hAnsi="Arial" w:cs="Arial"/>
          <w:b/>
          <w:sz w:val="24"/>
          <w:szCs w:val="24"/>
          <w:lang w:val="es-ES_tradnl" w:eastAsia="es-ES"/>
        </w:rPr>
        <w:t xml:space="preserve"> </w:t>
      </w:r>
      <w:r w:rsidR="000734C5" w:rsidRPr="00C671A3">
        <w:rPr>
          <w:rFonts w:ascii="Arial" w:eastAsia="Times New Roman" w:hAnsi="Arial" w:cs="Arial"/>
          <w:sz w:val="24"/>
          <w:szCs w:val="24"/>
          <w:lang w:val="es-ES_tradnl" w:eastAsia="es-ES"/>
        </w:rPr>
        <w:t xml:space="preserve">el auto interlocutorio de </w:t>
      </w:r>
      <w:r w:rsidR="006106A1" w:rsidRPr="00C671A3">
        <w:rPr>
          <w:rFonts w:ascii="Arial" w:eastAsia="Times New Roman" w:hAnsi="Arial" w:cs="Arial"/>
          <w:sz w:val="24"/>
          <w:szCs w:val="24"/>
          <w:lang w:val="es-ES_tradnl" w:eastAsia="es-ES"/>
        </w:rPr>
        <w:t>8 de julio</w:t>
      </w:r>
      <w:r w:rsidR="00C338FB" w:rsidRPr="00C671A3">
        <w:rPr>
          <w:rFonts w:ascii="Arial" w:eastAsia="Times New Roman" w:hAnsi="Arial" w:cs="Arial"/>
          <w:sz w:val="24"/>
          <w:szCs w:val="24"/>
          <w:lang w:val="es-ES_tradnl" w:eastAsia="es-ES"/>
        </w:rPr>
        <w:t xml:space="preserve"> de 2022</w:t>
      </w:r>
      <w:r w:rsidR="006106A1" w:rsidRPr="00C671A3">
        <w:rPr>
          <w:rFonts w:ascii="Arial" w:eastAsia="Times New Roman" w:hAnsi="Arial" w:cs="Arial"/>
          <w:sz w:val="24"/>
          <w:szCs w:val="24"/>
          <w:lang w:val="es-ES_tradnl" w:eastAsia="es-ES"/>
        </w:rPr>
        <w:t xml:space="preserve"> </w:t>
      </w:r>
      <w:r w:rsidR="00C338FB" w:rsidRPr="00C671A3">
        <w:rPr>
          <w:rFonts w:ascii="Arial" w:eastAsia="Times New Roman" w:hAnsi="Arial" w:cs="Arial"/>
          <w:sz w:val="24"/>
          <w:szCs w:val="24"/>
          <w:lang w:val="es-ES_tradnl" w:eastAsia="es-ES"/>
        </w:rPr>
        <w:t xml:space="preserve">y en su lugar ordenar al Juzgado Tercero Laboral del Circuito de Pereira, que proceda a estudiar la subsanación de la contestación de la demanda y del llamamiento en garantía, así </w:t>
      </w:r>
      <w:r w:rsidR="006C24B7" w:rsidRPr="00C671A3">
        <w:rPr>
          <w:rFonts w:ascii="Arial" w:eastAsia="Times New Roman" w:hAnsi="Arial" w:cs="Arial"/>
          <w:sz w:val="24"/>
          <w:szCs w:val="24"/>
          <w:lang w:val="es-ES_tradnl" w:eastAsia="es-ES"/>
        </w:rPr>
        <w:t xml:space="preserve">como de </w:t>
      </w:r>
      <w:r w:rsidR="00C338FB" w:rsidRPr="00C671A3">
        <w:rPr>
          <w:rFonts w:ascii="Arial" w:eastAsia="Times New Roman" w:hAnsi="Arial" w:cs="Arial"/>
          <w:sz w:val="24"/>
          <w:szCs w:val="24"/>
          <w:lang w:val="es-ES_tradnl" w:eastAsia="es-ES"/>
        </w:rPr>
        <w:t>la acción por medio de la cual se busca vincular a la litis, en la misma calidad, a la Compañía</w:t>
      </w:r>
      <w:r w:rsidR="006C24B7" w:rsidRPr="00C671A3">
        <w:rPr>
          <w:rFonts w:ascii="Arial" w:eastAsia="Times New Roman" w:hAnsi="Arial" w:cs="Arial"/>
          <w:sz w:val="24"/>
          <w:szCs w:val="24"/>
          <w:lang w:val="es-ES_tradnl" w:eastAsia="es-ES"/>
        </w:rPr>
        <w:t xml:space="preserve"> Seguros Generales Suramericana S.A., en los temas que resultan ajenos a la inexistencia de poder.</w:t>
      </w:r>
    </w:p>
    <w:p w14:paraId="738610EB" w14:textId="77777777" w:rsidR="006C24B7" w:rsidRPr="00C671A3" w:rsidRDefault="006C24B7" w:rsidP="00C671A3">
      <w:pPr>
        <w:widowControl w:val="0"/>
        <w:autoSpaceDE w:val="0"/>
        <w:autoSpaceDN w:val="0"/>
        <w:adjustRightInd w:val="0"/>
        <w:spacing w:after="0"/>
        <w:jc w:val="both"/>
        <w:rPr>
          <w:rFonts w:ascii="Arial" w:eastAsia="Times New Roman" w:hAnsi="Arial" w:cs="Arial"/>
          <w:sz w:val="24"/>
          <w:szCs w:val="24"/>
          <w:lang w:val="es-ES" w:eastAsia="es-ES"/>
        </w:rPr>
      </w:pPr>
    </w:p>
    <w:p w14:paraId="5A42C7E1" w14:textId="77777777" w:rsidR="00302660" w:rsidRPr="00C671A3" w:rsidRDefault="006C24B7" w:rsidP="00C671A3">
      <w:pPr>
        <w:widowControl w:val="0"/>
        <w:autoSpaceDE w:val="0"/>
        <w:autoSpaceDN w:val="0"/>
        <w:adjustRightInd w:val="0"/>
        <w:spacing w:after="0"/>
        <w:jc w:val="both"/>
        <w:rPr>
          <w:rFonts w:ascii="Arial" w:eastAsia="Times New Roman" w:hAnsi="Arial" w:cs="Arial"/>
          <w:sz w:val="24"/>
          <w:szCs w:val="24"/>
          <w:lang w:val="es-ES" w:eastAsia="es-ES"/>
        </w:rPr>
      </w:pPr>
      <w:r w:rsidRPr="00C671A3">
        <w:rPr>
          <w:rFonts w:ascii="Arial" w:eastAsia="Times New Roman" w:hAnsi="Arial" w:cs="Arial"/>
          <w:sz w:val="24"/>
          <w:szCs w:val="24"/>
          <w:lang w:val="es-ES" w:eastAsia="es-ES"/>
        </w:rPr>
        <w:t>Costas en esta Sede no se causaron</w:t>
      </w:r>
    </w:p>
    <w:p w14:paraId="637805D2" w14:textId="77777777" w:rsidR="006C24B7" w:rsidRPr="00C671A3" w:rsidRDefault="006C24B7" w:rsidP="00C671A3">
      <w:pPr>
        <w:widowControl w:val="0"/>
        <w:autoSpaceDE w:val="0"/>
        <w:autoSpaceDN w:val="0"/>
        <w:adjustRightInd w:val="0"/>
        <w:spacing w:after="0"/>
        <w:jc w:val="both"/>
        <w:rPr>
          <w:rFonts w:ascii="Arial" w:hAnsi="Arial" w:cs="Arial"/>
          <w:sz w:val="24"/>
          <w:szCs w:val="24"/>
          <w:lang w:eastAsia="es-CO"/>
        </w:rPr>
      </w:pPr>
    </w:p>
    <w:p w14:paraId="259FCA14" w14:textId="77777777" w:rsidR="00302660" w:rsidRPr="00C671A3" w:rsidRDefault="00302660" w:rsidP="00C671A3">
      <w:pPr>
        <w:widowControl w:val="0"/>
        <w:autoSpaceDE w:val="0"/>
        <w:autoSpaceDN w:val="0"/>
        <w:adjustRightInd w:val="0"/>
        <w:spacing w:after="0"/>
        <w:jc w:val="both"/>
        <w:rPr>
          <w:rFonts w:ascii="Arial" w:eastAsia="Arial" w:hAnsi="Arial" w:cs="Arial"/>
          <w:sz w:val="24"/>
          <w:szCs w:val="24"/>
        </w:rPr>
      </w:pPr>
      <w:r w:rsidRPr="00C671A3">
        <w:rPr>
          <w:rFonts w:ascii="Arial" w:hAnsi="Arial" w:cs="Arial"/>
          <w:sz w:val="24"/>
          <w:szCs w:val="24"/>
          <w:lang w:eastAsia="es-CO"/>
        </w:rPr>
        <w:t>No</w:t>
      </w:r>
      <w:r w:rsidRPr="00C671A3">
        <w:rPr>
          <w:rFonts w:ascii="Arial" w:eastAsia="Arial" w:hAnsi="Arial" w:cs="Arial"/>
          <w:sz w:val="24"/>
          <w:szCs w:val="24"/>
        </w:rPr>
        <w:t>tifíquese por estado y a los correos electrónicos de los apoderados de las partes.</w:t>
      </w:r>
    </w:p>
    <w:p w14:paraId="463F29E8" w14:textId="77777777" w:rsidR="00302660" w:rsidRPr="00C671A3" w:rsidRDefault="00302660" w:rsidP="00C671A3">
      <w:pPr>
        <w:widowControl w:val="0"/>
        <w:autoSpaceDE w:val="0"/>
        <w:autoSpaceDN w:val="0"/>
        <w:adjustRightInd w:val="0"/>
        <w:spacing w:after="0"/>
        <w:jc w:val="both"/>
        <w:rPr>
          <w:rFonts w:ascii="Arial" w:hAnsi="Arial" w:cs="Arial"/>
          <w:sz w:val="24"/>
          <w:szCs w:val="24"/>
        </w:rPr>
      </w:pPr>
    </w:p>
    <w:p w14:paraId="51A41100" w14:textId="77777777" w:rsidR="00302660" w:rsidRPr="00C671A3" w:rsidRDefault="00302660" w:rsidP="00C671A3">
      <w:pPr>
        <w:widowControl w:val="0"/>
        <w:autoSpaceDE w:val="0"/>
        <w:autoSpaceDN w:val="0"/>
        <w:adjustRightInd w:val="0"/>
        <w:spacing w:after="0"/>
        <w:jc w:val="both"/>
        <w:rPr>
          <w:rFonts w:ascii="Arial" w:hAnsi="Arial" w:cs="Arial"/>
          <w:sz w:val="24"/>
          <w:szCs w:val="24"/>
        </w:rPr>
      </w:pPr>
      <w:r w:rsidRPr="00C671A3">
        <w:rPr>
          <w:rFonts w:ascii="Arial" w:hAnsi="Arial" w:cs="Arial"/>
          <w:sz w:val="24"/>
          <w:szCs w:val="24"/>
        </w:rPr>
        <w:t>Quienes integran la Sala,</w:t>
      </w:r>
    </w:p>
    <w:p w14:paraId="3AA6EC99" w14:textId="77777777" w:rsidR="00C671A3" w:rsidRPr="004B7C69" w:rsidRDefault="00C671A3" w:rsidP="00C671A3">
      <w:pPr>
        <w:widowControl w:val="0"/>
        <w:autoSpaceDE w:val="0"/>
        <w:autoSpaceDN w:val="0"/>
        <w:adjustRightInd w:val="0"/>
        <w:spacing w:after="0"/>
        <w:rPr>
          <w:rFonts w:ascii="Arial" w:hAnsi="Arial" w:cs="Arial"/>
          <w:b/>
          <w:sz w:val="24"/>
          <w:szCs w:val="24"/>
        </w:rPr>
      </w:pPr>
    </w:p>
    <w:p w14:paraId="30CF8931" w14:textId="77777777" w:rsidR="00C671A3" w:rsidRPr="004B7C69" w:rsidRDefault="00C671A3" w:rsidP="00C671A3">
      <w:pPr>
        <w:widowControl w:val="0"/>
        <w:autoSpaceDE w:val="0"/>
        <w:autoSpaceDN w:val="0"/>
        <w:adjustRightInd w:val="0"/>
        <w:spacing w:after="0"/>
        <w:rPr>
          <w:rFonts w:ascii="Arial" w:hAnsi="Arial" w:cs="Arial"/>
          <w:b/>
          <w:sz w:val="24"/>
          <w:szCs w:val="24"/>
        </w:rPr>
      </w:pPr>
    </w:p>
    <w:p w14:paraId="24CEEDF3" w14:textId="77777777" w:rsidR="00C671A3" w:rsidRPr="004B7C69" w:rsidRDefault="00C671A3" w:rsidP="00C671A3">
      <w:pPr>
        <w:widowControl w:val="0"/>
        <w:autoSpaceDE w:val="0"/>
        <w:autoSpaceDN w:val="0"/>
        <w:adjustRightInd w:val="0"/>
        <w:spacing w:after="0"/>
        <w:rPr>
          <w:rFonts w:ascii="Arial" w:hAnsi="Arial" w:cs="Arial"/>
          <w:b/>
          <w:sz w:val="24"/>
          <w:szCs w:val="24"/>
        </w:rPr>
      </w:pPr>
    </w:p>
    <w:p w14:paraId="318B5241" w14:textId="77777777" w:rsidR="00C671A3" w:rsidRPr="004B7C69" w:rsidRDefault="00C671A3" w:rsidP="00C671A3">
      <w:pPr>
        <w:widowControl w:val="0"/>
        <w:autoSpaceDE w:val="0"/>
        <w:autoSpaceDN w:val="0"/>
        <w:adjustRightInd w:val="0"/>
        <w:spacing w:after="0"/>
        <w:jc w:val="center"/>
        <w:rPr>
          <w:rFonts w:ascii="Arial" w:hAnsi="Arial" w:cs="Arial"/>
          <w:b/>
          <w:bCs/>
          <w:sz w:val="24"/>
          <w:szCs w:val="24"/>
        </w:rPr>
      </w:pPr>
      <w:r w:rsidRPr="004B7C69">
        <w:rPr>
          <w:rFonts w:ascii="Arial" w:hAnsi="Arial" w:cs="Arial"/>
          <w:b/>
          <w:bCs/>
          <w:sz w:val="24"/>
          <w:szCs w:val="24"/>
        </w:rPr>
        <w:t>JULIO CÉSAR SALAZAR MUÑOZ</w:t>
      </w:r>
    </w:p>
    <w:p w14:paraId="48DF4C53" w14:textId="77777777" w:rsidR="00C671A3" w:rsidRPr="004B7C69" w:rsidRDefault="00C671A3" w:rsidP="00C671A3">
      <w:pPr>
        <w:widowControl w:val="0"/>
        <w:autoSpaceDE w:val="0"/>
        <w:autoSpaceDN w:val="0"/>
        <w:adjustRightInd w:val="0"/>
        <w:spacing w:after="0"/>
        <w:jc w:val="center"/>
        <w:rPr>
          <w:rFonts w:ascii="Arial" w:hAnsi="Arial" w:cs="Arial"/>
          <w:sz w:val="24"/>
          <w:szCs w:val="24"/>
        </w:rPr>
      </w:pPr>
      <w:r w:rsidRPr="004B7C69">
        <w:rPr>
          <w:rFonts w:ascii="Arial" w:hAnsi="Arial" w:cs="Arial"/>
          <w:sz w:val="24"/>
          <w:szCs w:val="24"/>
        </w:rPr>
        <w:t>Magistrado Ponente</w:t>
      </w:r>
    </w:p>
    <w:p w14:paraId="397FD548" w14:textId="77777777" w:rsidR="00C671A3" w:rsidRPr="004B7C69" w:rsidRDefault="00C671A3" w:rsidP="00C671A3">
      <w:pPr>
        <w:widowControl w:val="0"/>
        <w:autoSpaceDE w:val="0"/>
        <w:autoSpaceDN w:val="0"/>
        <w:adjustRightInd w:val="0"/>
        <w:spacing w:after="0"/>
        <w:rPr>
          <w:rFonts w:ascii="Arial" w:hAnsi="Arial" w:cs="Arial"/>
          <w:sz w:val="24"/>
          <w:szCs w:val="24"/>
        </w:rPr>
      </w:pPr>
    </w:p>
    <w:p w14:paraId="78260FC8" w14:textId="77777777" w:rsidR="00C671A3" w:rsidRPr="004B7C69" w:rsidRDefault="00C671A3" w:rsidP="00C671A3">
      <w:pPr>
        <w:widowControl w:val="0"/>
        <w:autoSpaceDE w:val="0"/>
        <w:autoSpaceDN w:val="0"/>
        <w:adjustRightInd w:val="0"/>
        <w:spacing w:after="0"/>
        <w:rPr>
          <w:rFonts w:ascii="Arial" w:hAnsi="Arial" w:cs="Arial"/>
          <w:sz w:val="24"/>
          <w:szCs w:val="24"/>
        </w:rPr>
      </w:pPr>
    </w:p>
    <w:p w14:paraId="673869AF" w14:textId="77777777" w:rsidR="00C671A3" w:rsidRPr="004B7C69" w:rsidRDefault="00C671A3" w:rsidP="00C671A3">
      <w:pPr>
        <w:widowControl w:val="0"/>
        <w:autoSpaceDE w:val="0"/>
        <w:autoSpaceDN w:val="0"/>
        <w:adjustRightInd w:val="0"/>
        <w:spacing w:after="0"/>
        <w:rPr>
          <w:rFonts w:ascii="Arial" w:hAnsi="Arial" w:cs="Arial"/>
          <w:sz w:val="24"/>
          <w:szCs w:val="24"/>
        </w:rPr>
      </w:pPr>
    </w:p>
    <w:p w14:paraId="7A3B4C7E" w14:textId="77777777" w:rsidR="00C671A3" w:rsidRPr="004B7C69" w:rsidRDefault="00C671A3" w:rsidP="00C671A3">
      <w:pPr>
        <w:widowControl w:val="0"/>
        <w:autoSpaceDE w:val="0"/>
        <w:autoSpaceDN w:val="0"/>
        <w:adjustRightInd w:val="0"/>
        <w:spacing w:after="0"/>
        <w:rPr>
          <w:rFonts w:ascii="Arial" w:hAnsi="Arial" w:cs="Arial"/>
          <w:sz w:val="24"/>
          <w:szCs w:val="24"/>
        </w:rPr>
      </w:pPr>
      <w:r w:rsidRPr="004B7C69">
        <w:rPr>
          <w:rFonts w:ascii="Arial" w:hAnsi="Arial" w:cs="Arial"/>
          <w:b/>
          <w:bCs/>
          <w:sz w:val="24"/>
          <w:szCs w:val="24"/>
        </w:rPr>
        <w:t>ANA LUCÍA CAICEDO CALDERON</w:t>
      </w:r>
      <w:r w:rsidRPr="004B7C69">
        <w:rPr>
          <w:rFonts w:ascii="Arial" w:hAnsi="Arial" w:cs="Arial"/>
          <w:b/>
          <w:bCs/>
          <w:sz w:val="24"/>
          <w:szCs w:val="24"/>
        </w:rPr>
        <w:tab/>
      </w:r>
      <w:r w:rsidRPr="004B7C69">
        <w:rPr>
          <w:rFonts w:ascii="Arial" w:hAnsi="Arial" w:cs="Arial"/>
          <w:b/>
          <w:bCs/>
          <w:sz w:val="24"/>
          <w:szCs w:val="24"/>
        </w:rPr>
        <w:tab/>
      </w:r>
      <w:r>
        <w:rPr>
          <w:rFonts w:ascii="Arial" w:hAnsi="Arial" w:cs="Arial"/>
          <w:b/>
          <w:bCs/>
          <w:sz w:val="24"/>
          <w:szCs w:val="24"/>
        </w:rPr>
        <w:t xml:space="preserve">  </w:t>
      </w:r>
      <w:r w:rsidRPr="004B7C69">
        <w:rPr>
          <w:rFonts w:ascii="Arial" w:hAnsi="Arial" w:cs="Arial"/>
          <w:b/>
          <w:bCs/>
          <w:sz w:val="24"/>
          <w:szCs w:val="24"/>
        </w:rPr>
        <w:t xml:space="preserve"> GERMÁN DARÍO GÓEZ VINASCO</w:t>
      </w:r>
    </w:p>
    <w:p w14:paraId="7C1DA2A8" w14:textId="4FF26985" w:rsidR="00302660" w:rsidRPr="00C671A3" w:rsidRDefault="00C671A3" w:rsidP="00C671A3">
      <w:pPr>
        <w:widowControl w:val="0"/>
        <w:autoSpaceDE w:val="0"/>
        <w:autoSpaceDN w:val="0"/>
        <w:adjustRightInd w:val="0"/>
        <w:spacing w:after="0"/>
        <w:jc w:val="both"/>
        <w:rPr>
          <w:rFonts w:ascii="Arial" w:hAnsi="Arial" w:cs="Arial"/>
          <w:sz w:val="24"/>
          <w:szCs w:val="24"/>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Pr>
          <w:rFonts w:ascii="Arial" w:hAnsi="Arial" w:cs="Arial"/>
          <w:b/>
          <w:bCs/>
          <w:sz w:val="24"/>
          <w:szCs w:val="24"/>
        </w:rPr>
        <w:t xml:space="preserve">  </w:t>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p>
    <w:sectPr w:rsidR="00302660" w:rsidRPr="00C671A3" w:rsidSect="0039108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29B07A" w16cex:dateUtc="2022-09-14T20:03:56.044Z"/>
  <w16cex:commentExtensible w16cex:durableId="30F38A7F" w16cex:dateUtc="2022-09-19T15:53:37.6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5F24" w14:textId="77777777" w:rsidR="001B12A4" w:rsidRDefault="001B12A4">
      <w:pPr>
        <w:spacing w:after="0" w:line="240" w:lineRule="auto"/>
      </w:pPr>
      <w:r>
        <w:separator/>
      </w:r>
    </w:p>
  </w:endnote>
  <w:endnote w:type="continuationSeparator" w:id="0">
    <w:p w14:paraId="616136A7" w14:textId="77777777" w:rsidR="001B12A4" w:rsidRDefault="001B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56E7B389" w:rsidR="00902F65" w:rsidRPr="00A14D57" w:rsidRDefault="00902F65" w:rsidP="00A14D57">
    <w:pPr>
      <w:pStyle w:val="Encabezado"/>
      <w:spacing w:after="0" w:line="240" w:lineRule="auto"/>
      <w:jc w:val="right"/>
      <w:rPr>
        <w:rFonts w:ascii="Arial" w:hAnsi="Arial" w:cs="Arial"/>
        <w:sz w:val="18"/>
        <w:szCs w:val="16"/>
      </w:rPr>
    </w:pPr>
    <w:r w:rsidRPr="00A14D57">
      <w:rPr>
        <w:rFonts w:ascii="Arial" w:hAnsi="Arial" w:cs="Arial"/>
        <w:sz w:val="18"/>
        <w:szCs w:val="16"/>
      </w:rPr>
      <w:fldChar w:fldCharType="begin"/>
    </w:r>
    <w:r w:rsidRPr="00A14D57">
      <w:rPr>
        <w:rFonts w:ascii="Arial" w:hAnsi="Arial" w:cs="Arial"/>
        <w:sz w:val="18"/>
        <w:szCs w:val="16"/>
      </w:rPr>
      <w:instrText>PAGE   \* MERGEFORMAT</w:instrText>
    </w:r>
    <w:r w:rsidRPr="00A14D57">
      <w:rPr>
        <w:rFonts w:ascii="Arial" w:hAnsi="Arial" w:cs="Arial"/>
        <w:sz w:val="18"/>
        <w:szCs w:val="16"/>
      </w:rPr>
      <w:fldChar w:fldCharType="separate"/>
    </w:r>
    <w:r w:rsidR="00243A1E" w:rsidRPr="00A14D57">
      <w:rPr>
        <w:rFonts w:ascii="Arial" w:hAnsi="Arial" w:cs="Arial"/>
        <w:sz w:val="18"/>
        <w:szCs w:val="16"/>
      </w:rPr>
      <w:t>10</w:t>
    </w:r>
    <w:r w:rsidRPr="00A14D57">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DED5" w14:textId="77777777" w:rsidR="001B12A4" w:rsidRDefault="001B12A4">
      <w:pPr>
        <w:spacing w:after="0" w:line="240" w:lineRule="auto"/>
      </w:pPr>
      <w:r>
        <w:separator/>
      </w:r>
    </w:p>
  </w:footnote>
  <w:footnote w:type="continuationSeparator" w:id="0">
    <w:p w14:paraId="1E4B7AB1" w14:textId="77777777" w:rsidR="001B12A4" w:rsidRDefault="001B12A4">
      <w:pPr>
        <w:spacing w:after="0" w:line="240" w:lineRule="auto"/>
      </w:pPr>
      <w:r>
        <w:continuationSeparator/>
      </w:r>
    </w:p>
  </w:footnote>
  <w:footnote w:id="1">
    <w:p w14:paraId="4A9615BC" w14:textId="77777777" w:rsidR="00902F65" w:rsidRPr="005C586B" w:rsidRDefault="00902F65" w:rsidP="005C586B">
      <w:pPr>
        <w:pStyle w:val="Textonotapie"/>
        <w:spacing w:after="0" w:line="240" w:lineRule="auto"/>
        <w:jc w:val="both"/>
        <w:rPr>
          <w:rFonts w:ascii="Arial" w:hAnsi="Arial" w:cs="Arial"/>
          <w:sz w:val="18"/>
          <w:szCs w:val="18"/>
          <w:lang w:val="es-MX"/>
        </w:rPr>
      </w:pPr>
      <w:r w:rsidRPr="005C586B">
        <w:rPr>
          <w:rStyle w:val="Refdenotaalpie"/>
          <w:rFonts w:ascii="Arial" w:hAnsi="Arial" w:cs="Arial"/>
          <w:sz w:val="18"/>
          <w:szCs w:val="18"/>
        </w:rPr>
        <w:footnoteRef/>
      </w:r>
      <w:r w:rsidRPr="005C586B">
        <w:rPr>
          <w:rFonts w:ascii="Arial" w:hAnsi="Arial" w:cs="Arial"/>
          <w:sz w:val="18"/>
          <w:szCs w:val="18"/>
        </w:rPr>
        <w:t xml:space="preserve"> </w:t>
      </w:r>
      <w:r w:rsidRPr="005C586B">
        <w:rPr>
          <w:rFonts w:ascii="Arial" w:hAnsi="Arial" w:cs="Arial"/>
          <w:sz w:val="18"/>
          <w:szCs w:val="18"/>
          <w:lang w:val="es-MX"/>
        </w:rPr>
        <w:t xml:space="preserve">Corte Constitucional. Sala Quinta de Revisión. Sentencia T-268 de 19 de abril de </w:t>
      </w:r>
      <w:smartTag w:uri="urn:schemas-microsoft-com:office:smarttags" w:element="metricconverter">
        <w:smartTagPr>
          <w:attr w:name="ProductID" w:val="2010. M"/>
        </w:smartTagPr>
        <w:r w:rsidRPr="005C586B">
          <w:rPr>
            <w:rFonts w:ascii="Arial" w:hAnsi="Arial" w:cs="Arial"/>
            <w:sz w:val="18"/>
            <w:szCs w:val="18"/>
            <w:lang w:val="es-MX"/>
          </w:rPr>
          <w:t>2010. M</w:t>
        </w:r>
      </w:smartTag>
      <w:r w:rsidRPr="005C586B">
        <w:rPr>
          <w:rFonts w:ascii="Arial" w:hAnsi="Arial" w:cs="Arial"/>
          <w:sz w:val="18"/>
          <w:szCs w:val="18"/>
          <w:lang w:val="es-MX"/>
        </w:rPr>
        <w:t xml:space="preserve">.P. Jorge Iván Palacio Palacio.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5A1C" w14:textId="55EE7691" w:rsidR="00A14D57" w:rsidRPr="00A14D57" w:rsidRDefault="00902F65" w:rsidP="00A14D57">
    <w:pPr>
      <w:pStyle w:val="Encabezado"/>
      <w:spacing w:after="0" w:line="240" w:lineRule="auto"/>
      <w:jc w:val="center"/>
      <w:rPr>
        <w:rFonts w:ascii="Arial" w:hAnsi="Arial" w:cs="Arial"/>
        <w:sz w:val="18"/>
        <w:szCs w:val="16"/>
      </w:rPr>
    </w:pPr>
    <w:r w:rsidRPr="00A14D57">
      <w:rPr>
        <w:rFonts w:ascii="Arial" w:hAnsi="Arial" w:cs="Arial"/>
        <w:sz w:val="18"/>
        <w:szCs w:val="16"/>
      </w:rPr>
      <w:t xml:space="preserve">Jessica Pamela Ojeda </w:t>
    </w:r>
    <w:r w:rsidR="00A14D57" w:rsidRPr="00A14D57">
      <w:rPr>
        <w:rFonts w:ascii="Arial" w:hAnsi="Arial" w:cs="Arial"/>
        <w:sz w:val="18"/>
        <w:szCs w:val="16"/>
      </w:rPr>
      <w:t>Perea</w:t>
    </w:r>
    <w:r w:rsidRPr="00A14D57">
      <w:rPr>
        <w:rFonts w:ascii="Arial" w:hAnsi="Arial" w:cs="Arial"/>
        <w:sz w:val="18"/>
        <w:szCs w:val="16"/>
      </w:rPr>
      <w:t xml:space="preserve"> Vs Poma Colombia S.A.S y otros</w:t>
    </w:r>
  </w:p>
  <w:p w14:paraId="769D0D3C" w14:textId="1148B6AC" w:rsidR="00902F65" w:rsidRPr="00A14D57" w:rsidRDefault="00902F65" w:rsidP="00A14D57">
    <w:pPr>
      <w:pStyle w:val="Encabezado"/>
      <w:spacing w:after="0" w:line="240" w:lineRule="auto"/>
      <w:jc w:val="center"/>
      <w:rPr>
        <w:rFonts w:ascii="Arial" w:hAnsi="Arial" w:cs="Arial"/>
        <w:sz w:val="18"/>
        <w:szCs w:val="16"/>
      </w:rPr>
    </w:pPr>
    <w:r w:rsidRPr="00A14D57">
      <w:rPr>
        <w:rFonts w:ascii="Arial" w:hAnsi="Arial" w:cs="Arial"/>
        <w:sz w:val="18"/>
        <w:szCs w:val="16"/>
      </w:rPr>
      <w:t xml:space="preserve">Rad. </w:t>
    </w:r>
    <w:r w:rsidRPr="00A14D57">
      <w:rPr>
        <w:rFonts w:ascii="Arial" w:hAnsi="Arial" w:cs="Arial"/>
        <w:bCs/>
        <w:spacing w:val="2"/>
        <w:sz w:val="18"/>
        <w:szCs w:val="16"/>
      </w:rPr>
      <w:t>66001-31-05-003-2019-00352-01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56DA"/>
    <w:rsid w:val="00032D3B"/>
    <w:rsid w:val="0005317A"/>
    <w:rsid w:val="00053499"/>
    <w:rsid w:val="0005558D"/>
    <w:rsid w:val="000618DB"/>
    <w:rsid w:val="0006370E"/>
    <w:rsid w:val="000706D4"/>
    <w:rsid w:val="000734C5"/>
    <w:rsid w:val="00074062"/>
    <w:rsid w:val="000750D0"/>
    <w:rsid w:val="00076B33"/>
    <w:rsid w:val="0008153B"/>
    <w:rsid w:val="000852F8"/>
    <w:rsid w:val="000A37EE"/>
    <w:rsid w:val="000A5B47"/>
    <w:rsid w:val="000A6A9A"/>
    <w:rsid w:val="000B2E87"/>
    <w:rsid w:val="000B3CC3"/>
    <w:rsid w:val="000C159B"/>
    <w:rsid w:val="000C1BCF"/>
    <w:rsid w:val="000D04FD"/>
    <w:rsid w:val="000D1343"/>
    <w:rsid w:val="000E0FD9"/>
    <w:rsid w:val="000F304F"/>
    <w:rsid w:val="00100BC3"/>
    <w:rsid w:val="00100BDC"/>
    <w:rsid w:val="00105CCD"/>
    <w:rsid w:val="001108D4"/>
    <w:rsid w:val="0011197B"/>
    <w:rsid w:val="001123F2"/>
    <w:rsid w:val="00112AF2"/>
    <w:rsid w:val="001145E6"/>
    <w:rsid w:val="0011626E"/>
    <w:rsid w:val="00123D02"/>
    <w:rsid w:val="00124003"/>
    <w:rsid w:val="001374B0"/>
    <w:rsid w:val="00147160"/>
    <w:rsid w:val="00151C7B"/>
    <w:rsid w:val="001620FC"/>
    <w:rsid w:val="001628F5"/>
    <w:rsid w:val="00163695"/>
    <w:rsid w:val="0017033C"/>
    <w:rsid w:val="00182F04"/>
    <w:rsid w:val="001919C2"/>
    <w:rsid w:val="001951E2"/>
    <w:rsid w:val="001952AB"/>
    <w:rsid w:val="0019570E"/>
    <w:rsid w:val="001A2459"/>
    <w:rsid w:val="001A6366"/>
    <w:rsid w:val="001A7BF7"/>
    <w:rsid w:val="001B12A4"/>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638D"/>
    <w:rsid w:val="00243A1E"/>
    <w:rsid w:val="0024630A"/>
    <w:rsid w:val="002467BD"/>
    <w:rsid w:val="002521BD"/>
    <w:rsid w:val="00252556"/>
    <w:rsid w:val="00255281"/>
    <w:rsid w:val="00260FFD"/>
    <w:rsid w:val="00264957"/>
    <w:rsid w:val="00264EB6"/>
    <w:rsid w:val="002708C9"/>
    <w:rsid w:val="0028162F"/>
    <w:rsid w:val="002931B7"/>
    <w:rsid w:val="00296D29"/>
    <w:rsid w:val="002A4329"/>
    <w:rsid w:val="002A5F02"/>
    <w:rsid w:val="002B07F9"/>
    <w:rsid w:val="002B0B83"/>
    <w:rsid w:val="002B0FE1"/>
    <w:rsid w:val="002B7909"/>
    <w:rsid w:val="002C33AD"/>
    <w:rsid w:val="002C3957"/>
    <w:rsid w:val="002D1B7F"/>
    <w:rsid w:val="002D37AB"/>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4A20"/>
    <w:rsid w:val="0032668D"/>
    <w:rsid w:val="00333465"/>
    <w:rsid w:val="00341CE7"/>
    <w:rsid w:val="00350092"/>
    <w:rsid w:val="00357902"/>
    <w:rsid w:val="00357B44"/>
    <w:rsid w:val="0036474A"/>
    <w:rsid w:val="00365CE5"/>
    <w:rsid w:val="003745FA"/>
    <w:rsid w:val="00384A8C"/>
    <w:rsid w:val="0039018C"/>
    <w:rsid w:val="00391088"/>
    <w:rsid w:val="00391E85"/>
    <w:rsid w:val="003962C9"/>
    <w:rsid w:val="00397C74"/>
    <w:rsid w:val="003A5F09"/>
    <w:rsid w:val="003B31FF"/>
    <w:rsid w:val="003B3430"/>
    <w:rsid w:val="003C4F28"/>
    <w:rsid w:val="003D09AC"/>
    <w:rsid w:val="003D547B"/>
    <w:rsid w:val="003D772E"/>
    <w:rsid w:val="003F00D2"/>
    <w:rsid w:val="003F0BEA"/>
    <w:rsid w:val="003F0E42"/>
    <w:rsid w:val="003F1480"/>
    <w:rsid w:val="003F34C5"/>
    <w:rsid w:val="003F5632"/>
    <w:rsid w:val="004066EE"/>
    <w:rsid w:val="00407092"/>
    <w:rsid w:val="00407219"/>
    <w:rsid w:val="004128BC"/>
    <w:rsid w:val="00414C18"/>
    <w:rsid w:val="00424368"/>
    <w:rsid w:val="00431E80"/>
    <w:rsid w:val="0043260D"/>
    <w:rsid w:val="00433B8E"/>
    <w:rsid w:val="00436814"/>
    <w:rsid w:val="00437336"/>
    <w:rsid w:val="00441E20"/>
    <w:rsid w:val="004442DD"/>
    <w:rsid w:val="0045149F"/>
    <w:rsid w:val="004521A4"/>
    <w:rsid w:val="00455C72"/>
    <w:rsid w:val="004713B8"/>
    <w:rsid w:val="00475EC0"/>
    <w:rsid w:val="00482ED1"/>
    <w:rsid w:val="004908E6"/>
    <w:rsid w:val="004916F5"/>
    <w:rsid w:val="004959B3"/>
    <w:rsid w:val="004A5D60"/>
    <w:rsid w:val="004B2CAA"/>
    <w:rsid w:val="004B65C1"/>
    <w:rsid w:val="004B746F"/>
    <w:rsid w:val="004C03D2"/>
    <w:rsid w:val="004C1778"/>
    <w:rsid w:val="004C4476"/>
    <w:rsid w:val="004C4D23"/>
    <w:rsid w:val="004C619F"/>
    <w:rsid w:val="004C6DB9"/>
    <w:rsid w:val="004D00BB"/>
    <w:rsid w:val="004D3406"/>
    <w:rsid w:val="004E0064"/>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6442B"/>
    <w:rsid w:val="005648B1"/>
    <w:rsid w:val="00570E23"/>
    <w:rsid w:val="00571323"/>
    <w:rsid w:val="00584AC6"/>
    <w:rsid w:val="005907F4"/>
    <w:rsid w:val="00592F66"/>
    <w:rsid w:val="005A0220"/>
    <w:rsid w:val="005B2874"/>
    <w:rsid w:val="005B5912"/>
    <w:rsid w:val="005B6189"/>
    <w:rsid w:val="005C02D5"/>
    <w:rsid w:val="005C586B"/>
    <w:rsid w:val="005C61C2"/>
    <w:rsid w:val="005D26B4"/>
    <w:rsid w:val="005D2ECA"/>
    <w:rsid w:val="005D37B9"/>
    <w:rsid w:val="005D3C71"/>
    <w:rsid w:val="005D4240"/>
    <w:rsid w:val="005D734C"/>
    <w:rsid w:val="005E06EA"/>
    <w:rsid w:val="005F5302"/>
    <w:rsid w:val="006005A0"/>
    <w:rsid w:val="006008B7"/>
    <w:rsid w:val="00600EEA"/>
    <w:rsid w:val="006106A1"/>
    <w:rsid w:val="00627E73"/>
    <w:rsid w:val="00630792"/>
    <w:rsid w:val="00631BD5"/>
    <w:rsid w:val="0063485B"/>
    <w:rsid w:val="006360C6"/>
    <w:rsid w:val="0063686D"/>
    <w:rsid w:val="00647509"/>
    <w:rsid w:val="0065379D"/>
    <w:rsid w:val="00655915"/>
    <w:rsid w:val="00656351"/>
    <w:rsid w:val="00657D88"/>
    <w:rsid w:val="00662027"/>
    <w:rsid w:val="00664A93"/>
    <w:rsid w:val="0066763E"/>
    <w:rsid w:val="006746F6"/>
    <w:rsid w:val="0068199E"/>
    <w:rsid w:val="00682E64"/>
    <w:rsid w:val="00685605"/>
    <w:rsid w:val="006877F2"/>
    <w:rsid w:val="006A14D0"/>
    <w:rsid w:val="006A3DB5"/>
    <w:rsid w:val="006B5757"/>
    <w:rsid w:val="006B665F"/>
    <w:rsid w:val="006C1B78"/>
    <w:rsid w:val="006C24B7"/>
    <w:rsid w:val="006C2593"/>
    <w:rsid w:val="006C4830"/>
    <w:rsid w:val="006C7EE7"/>
    <w:rsid w:val="006D001C"/>
    <w:rsid w:val="006D60C9"/>
    <w:rsid w:val="006E0193"/>
    <w:rsid w:val="006E0764"/>
    <w:rsid w:val="006E233B"/>
    <w:rsid w:val="006E3AC5"/>
    <w:rsid w:val="006E3BB6"/>
    <w:rsid w:val="006E4C0F"/>
    <w:rsid w:val="006E680B"/>
    <w:rsid w:val="006E69AB"/>
    <w:rsid w:val="006F2C44"/>
    <w:rsid w:val="006F7737"/>
    <w:rsid w:val="00703AB4"/>
    <w:rsid w:val="00705BF7"/>
    <w:rsid w:val="00705DD2"/>
    <w:rsid w:val="007125E8"/>
    <w:rsid w:val="00712F6E"/>
    <w:rsid w:val="007313AD"/>
    <w:rsid w:val="00731908"/>
    <w:rsid w:val="007326F2"/>
    <w:rsid w:val="00740D1E"/>
    <w:rsid w:val="007411B7"/>
    <w:rsid w:val="00742C90"/>
    <w:rsid w:val="00742FCD"/>
    <w:rsid w:val="007447DA"/>
    <w:rsid w:val="007506C8"/>
    <w:rsid w:val="00750C6E"/>
    <w:rsid w:val="007511B0"/>
    <w:rsid w:val="007566C8"/>
    <w:rsid w:val="00761736"/>
    <w:rsid w:val="00761BC1"/>
    <w:rsid w:val="007778EB"/>
    <w:rsid w:val="00786BD6"/>
    <w:rsid w:val="007A16B0"/>
    <w:rsid w:val="007A1C8E"/>
    <w:rsid w:val="007A3528"/>
    <w:rsid w:val="007A385B"/>
    <w:rsid w:val="007A6C68"/>
    <w:rsid w:val="007B1E46"/>
    <w:rsid w:val="007C019D"/>
    <w:rsid w:val="007C1DB4"/>
    <w:rsid w:val="007D18F4"/>
    <w:rsid w:val="007D3239"/>
    <w:rsid w:val="007D6EA4"/>
    <w:rsid w:val="007E4D49"/>
    <w:rsid w:val="00800C41"/>
    <w:rsid w:val="00801554"/>
    <w:rsid w:val="00805DBF"/>
    <w:rsid w:val="00821C13"/>
    <w:rsid w:val="008227E1"/>
    <w:rsid w:val="008242BE"/>
    <w:rsid w:val="00832259"/>
    <w:rsid w:val="00834C70"/>
    <w:rsid w:val="008417EB"/>
    <w:rsid w:val="00845488"/>
    <w:rsid w:val="00846096"/>
    <w:rsid w:val="00850371"/>
    <w:rsid w:val="00853FD7"/>
    <w:rsid w:val="008572DA"/>
    <w:rsid w:val="008613EF"/>
    <w:rsid w:val="00863014"/>
    <w:rsid w:val="00863B46"/>
    <w:rsid w:val="00873644"/>
    <w:rsid w:val="0087414D"/>
    <w:rsid w:val="00875C9F"/>
    <w:rsid w:val="00882C02"/>
    <w:rsid w:val="008846F6"/>
    <w:rsid w:val="00890E1E"/>
    <w:rsid w:val="00892BB9"/>
    <w:rsid w:val="008939B5"/>
    <w:rsid w:val="008A2B98"/>
    <w:rsid w:val="008A5622"/>
    <w:rsid w:val="008A66A6"/>
    <w:rsid w:val="008A7BE4"/>
    <w:rsid w:val="008B3B6F"/>
    <w:rsid w:val="008C0C89"/>
    <w:rsid w:val="008C3A5C"/>
    <w:rsid w:val="008C3B32"/>
    <w:rsid w:val="008D36DB"/>
    <w:rsid w:val="008D5037"/>
    <w:rsid w:val="008D7DF2"/>
    <w:rsid w:val="008E0E07"/>
    <w:rsid w:val="008E4E97"/>
    <w:rsid w:val="008F0307"/>
    <w:rsid w:val="008F2B2C"/>
    <w:rsid w:val="00902F65"/>
    <w:rsid w:val="0090780A"/>
    <w:rsid w:val="00912184"/>
    <w:rsid w:val="009123C9"/>
    <w:rsid w:val="0092138E"/>
    <w:rsid w:val="00925D20"/>
    <w:rsid w:val="0093212E"/>
    <w:rsid w:val="00935F83"/>
    <w:rsid w:val="00940E5D"/>
    <w:rsid w:val="0094403E"/>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7EDA"/>
    <w:rsid w:val="009A1E65"/>
    <w:rsid w:val="009A1FCF"/>
    <w:rsid w:val="009C50AC"/>
    <w:rsid w:val="009D0BDB"/>
    <w:rsid w:val="009D26FB"/>
    <w:rsid w:val="009D3E45"/>
    <w:rsid w:val="009E26A4"/>
    <w:rsid w:val="009F244D"/>
    <w:rsid w:val="00A00E34"/>
    <w:rsid w:val="00A02203"/>
    <w:rsid w:val="00A06018"/>
    <w:rsid w:val="00A1287D"/>
    <w:rsid w:val="00A14D57"/>
    <w:rsid w:val="00A233A9"/>
    <w:rsid w:val="00A2373A"/>
    <w:rsid w:val="00A25004"/>
    <w:rsid w:val="00A27B35"/>
    <w:rsid w:val="00A31A40"/>
    <w:rsid w:val="00A33AE9"/>
    <w:rsid w:val="00A33E56"/>
    <w:rsid w:val="00A35123"/>
    <w:rsid w:val="00A353D5"/>
    <w:rsid w:val="00A36F05"/>
    <w:rsid w:val="00A415ED"/>
    <w:rsid w:val="00A4376A"/>
    <w:rsid w:val="00A52386"/>
    <w:rsid w:val="00A64A56"/>
    <w:rsid w:val="00A66CC5"/>
    <w:rsid w:val="00A67F72"/>
    <w:rsid w:val="00A74F7D"/>
    <w:rsid w:val="00A85F59"/>
    <w:rsid w:val="00A86171"/>
    <w:rsid w:val="00A902DA"/>
    <w:rsid w:val="00A93F75"/>
    <w:rsid w:val="00A948A2"/>
    <w:rsid w:val="00AA35B9"/>
    <w:rsid w:val="00AA599D"/>
    <w:rsid w:val="00AA66B1"/>
    <w:rsid w:val="00AA6A67"/>
    <w:rsid w:val="00AB224C"/>
    <w:rsid w:val="00AB254E"/>
    <w:rsid w:val="00AB61D7"/>
    <w:rsid w:val="00AC66F3"/>
    <w:rsid w:val="00AD15ED"/>
    <w:rsid w:val="00AD19A5"/>
    <w:rsid w:val="00AE75E4"/>
    <w:rsid w:val="00AF43FA"/>
    <w:rsid w:val="00B01BC2"/>
    <w:rsid w:val="00B04796"/>
    <w:rsid w:val="00B06814"/>
    <w:rsid w:val="00B1183B"/>
    <w:rsid w:val="00B1799D"/>
    <w:rsid w:val="00B23BAD"/>
    <w:rsid w:val="00B255A7"/>
    <w:rsid w:val="00B25B78"/>
    <w:rsid w:val="00B25D17"/>
    <w:rsid w:val="00B3047F"/>
    <w:rsid w:val="00B3059A"/>
    <w:rsid w:val="00B31433"/>
    <w:rsid w:val="00B321DD"/>
    <w:rsid w:val="00B32786"/>
    <w:rsid w:val="00B32F4C"/>
    <w:rsid w:val="00B35BF3"/>
    <w:rsid w:val="00B37692"/>
    <w:rsid w:val="00B51FFC"/>
    <w:rsid w:val="00B57C61"/>
    <w:rsid w:val="00B63C03"/>
    <w:rsid w:val="00B6741B"/>
    <w:rsid w:val="00B73BCE"/>
    <w:rsid w:val="00B85A18"/>
    <w:rsid w:val="00B862C3"/>
    <w:rsid w:val="00B961D8"/>
    <w:rsid w:val="00BA112F"/>
    <w:rsid w:val="00BA57E3"/>
    <w:rsid w:val="00BA7D7B"/>
    <w:rsid w:val="00BB1581"/>
    <w:rsid w:val="00BC0945"/>
    <w:rsid w:val="00BC21C5"/>
    <w:rsid w:val="00BC350D"/>
    <w:rsid w:val="00BD28E4"/>
    <w:rsid w:val="00BD322A"/>
    <w:rsid w:val="00BD35ED"/>
    <w:rsid w:val="00BD3C33"/>
    <w:rsid w:val="00BE1DB3"/>
    <w:rsid w:val="00BE22EF"/>
    <w:rsid w:val="00BE6849"/>
    <w:rsid w:val="00BF4A0A"/>
    <w:rsid w:val="00C043F0"/>
    <w:rsid w:val="00C053B0"/>
    <w:rsid w:val="00C13EA0"/>
    <w:rsid w:val="00C157DF"/>
    <w:rsid w:val="00C17EE8"/>
    <w:rsid w:val="00C338FB"/>
    <w:rsid w:val="00C34287"/>
    <w:rsid w:val="00C64116"/>
    <w:rsid w:val="00C64C20"/>
    <w:rsid w:val="00C671A3"/>
    <w:rsid w:val="00C734EE"/>
    <w:rsid w:val="00C80CD7"/>
    <w:rsid w:val="00C8729C"/>
    <w:rsid w:val="00C90A57"/>
    <w:rsid w:val="00C9381A"/>
    <w:rsid w:val="00CA5CE3"/>
    <w:rsid w:val="00CB4864"/>
    <w:rsid w:val="00CD0D5D"/>
    <w:rsid w:val="00CD3263"/>
    <w:rsid w:val="00CD4DCC"/>
    <w:rsid w:val="00CE3865"/>
    <w:rsid w:val="00CE3E80"/>
    <w:rsid w:val="00CF2E2D"/>
    <w:rsid w:val="00D01C6C"/>
    <w:rsid w:val="00D020C2"/>
    <w:rsid w:val="00D10D3E"/>
    <w:rsid w:val="00D16D89"/>
    <w:rsid w:val="00D35C91"/>
    <w:rsid w:val="00D35F71"/>
    <w:rsid w:val="00D37FFA"/>
    <w:rsid w:val="00D43E57"/>
    <w:rsid w:val="00D45ED5"/>
    <w:rsid w:val="00D47837"/>
    <w:rsid w:val="00D52191"/>
    <w:rsid w:val="00D6129C"/>
    <w:rsid w:val="00D70406"/>
    <w:rsid w:val="00D774C3"/>
    <w:rsid w:val="00D81984"/>
    <w:rsid w:val="00D834AF"/>
    <w:rsid w:val="00D96F62"/>
    <w:rsid w:val="00DA168B"/>
    <w:rsid w:val="00DA7262"/>
    <w:rsid w:val="00DB3CCF"/>
    <w:rsid w:val="00DB45EE"/>
    <w:rsid w:val="00DB7A0C"/>
    <w:rsid w:val="00DC18DC"/>
    <w:rsid w:val="00DC18F6"/>
    <w:rsid w:val="00DC644B"/>
    <w:rsid w:val="00DC667A"/>
    <w:rsid w:val="00DD1976"/>
    <w:rsid w:val="00DE2ADC"/>
    <w:rsid w:val="00DE3FB9"/>
    <w:rsid w:val="00DE3FD3"/>
    <w:rsid w:val="00DE562A"/>
    <w:rsid w:val="00DE5B88"/>
    <w:rsid w:val="00DE6602"/>
    <w:rsid w:val="00DF2E54"/>
    <w:rsid w:val="00DF6487"/>
    <w:rsid w:val="00DF64D7"/>
    <w:rsid w:val="00E01A09"/>
    <w:rsid w:val="00E046AB"/>
    <w:rsid w:val="00E1156C"/>
    <w:rsid w:val="00E16AB3"/>
    <w:rsid w:val="00E16E3D"/>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76127"/>
    <w:rsid w:val="00E7764A"/>
    <w:rsid w:val="00E86B32"/>
    <w:rsid w:val="00E90D9A"/>
    <w:rsid w:val="00E92617"/>
    <w:rsid w:val="00E956CF"/>
    <w:rsid w:val="00EA4F2F"/>
    <w:rsid w:val="00EB3C14"/>
    <w:rsid w:val="00EB4156"/>
    <w:rsid w:val="00EB4EF0"/>
    <w:rsid w:val="00EB711E"/>
    <w:rsid w:val="00EC044C"/>
    <w:rsid w:val="00EC1B31"/>
    <w:rsid w:val="00EC324D"/>
    <w:rsid w:val="00EC3430"/>
    <w:rsid w:val="00ED3703"/>
    <w:rsid w:val="00EE152A"/>
    <w:rsid w:val="00EE19D2"/>
    <w:rsid w:val="00EE4B8E"/>
    <w:rsid w:val="00EF008D"/>
    <w:rsid w:val="00EF45A7"/>
    <w:rsid w:val="00F0101A"/>
    <w:rsid w:val="00F06475"/>
    <w:rsid w:val="00F12B65"/>
    <w:rsid w:val="00F142D8"/>
    <w:rsid w:val="00F165B3"/>
    <w:rsid w:val="00F242AA"/>
    <w:rsid w:val="00F3618A"/>
    <w:rsid w:val="00F417F9"/>
    <w:rsid w:val="00F4400A"/>
    <w:rsid w:val="00F46F5D"/>
    <w:rsid w:val="00F471CF"/>
    <w:rsid w:val="00F47A09"/>
    <w:rsid w:val="00F63C81"/>
    <w:rsid w:val="00F63D32"/>
    <w:rsid w:val="00F803FA"/>
    <w:rsid w:val="00F85D49"/>
    <w:rsid w:val="00F919DE"/>
    <w:rsid w:val="00F948BA"/>
    <w:rsid w:val="00FA0E2A"/>
    <w:rsid w:val="00FA37DC"/>
    <w:rsid w:val="00FA5563"/>
    <w:rsid w:val="00FB66D9"/>
    <w:rsid w:val="00FC3976"/>
    <w:rsid w:val="00FC3A53"/>
    <w:rsid w:val="00FC3F3E"/>
    <w:rsid w:val="00FD0A41"/>
    <w:rsid w:val="00FE60C0"/>
    <w:rsid w:val="00FF0425"/>
    <w:rsid w:val="00FF6347"/>
    <w:rsid w:val="0133B401"/>
    <w:rsid w:val="02CF8462"/>
    <w:rsid w:val="04C7C7B8"/>
    <w:rsid w:val="053736D2"/>
    <w:rsid w:val="06F2FA91"/>
    <w:rsid w:val="0840EB59"/>
    <w:rsid w:val="086ED794"/>
    <w:rsid w:val="093EC5E6"/>
    <w:rsid w:val="098616EC"/>
    <w:rsid w:val="0BBDDA4B"/>
    <w:rsid w:val="0C5C078D"/>
    <w:rsid w:val="0E7FAA4C"/>
    <w:rsid w:val="1003CD4F"/>
    <w:rsid w:val="107BDF09"/>
    <w:rsid w:val="10954202"/>
    <w:rsid w:val="1401A6A0"/>
    <w:rsid w:val="142D7BD5"/>
    <w:rsid w:val="14620E8E"/>
    <w:rsid w:val="14E1378D"/>
    <w:rsid w:val="1627F532"/>
    <w:rsid w:val="18F42D48"/>
    <w:rsid w:val="1A941239"/>
    <w:rsid w:val="1BB788F5"/>
    <w:rsid w:val="1D393013"/>
    <w:rsid w:val="1F0CBB9A"/>
    <w:rsid w:val="212F3B56"/>
    <w:rsid w:val="2170CEF7"/>
    <w:rsid w:val="2306783A"/>
    <w:rsid w:val="231B9455"/>
    <w:rsid w:val="2489203E"/>
    <w:rsid w:val="24A2489B"/>
    <w:rsid w:val="24B08500"/>
    <w:rsid w:val="2624F09F"/>
    <w:rsid w:val="266982E7"/>
    <w:rsid w:val="26ED89DE"/>
    <w:rsid w:val="2751CF4D"/>
    <w:rsid w:val="28055348"/>
    <w:rsid w:val="2A92E942"/>
    <w:rsid w:val="2AF861C2"/>
    <w:rsid w:val="2CF1227F"/>
    <w:rsid w:val="2E434A09"/>
    <w:rsid w:val="3113BE12"/>
    <w:rsid w:val="31AC44A0"/>
    <w:rsid w:val="3433E765"/>
    <w:rsid w:val="35252D0F"/>
    <w:rsid w:val="3689446E"/>
    <w:rsid w:val="37DED250"/>
    <w:rsid w:val="3A433BF0"/>
    <w:rsid w:val="3EF16071"/>
    <w:rsid w:val="423862AE"/>
    <w:rsid w:val="44245D52"/>
    <w:rsid w:val="4A84896E"/>
    <w:rsid w:val="4D5BE6C5"/>
    <w:rsid w:val="4E8C3814"/>
    <w:rsid w:val="4EF0D770"/>
    <w:rsid w:val="51C3B944"/>
    <w:rsid w:val="522B3F2F"/>
    <w:rsid w:val="545D42AA"/>
    <w:rsid w:val="54E174CC"/>
    <w:rsid w:val="55C6367E"/>
    <w:rsid w:val="5ABB4A54"/>
    <w:rsid w:val="5BAD78CC"/>
    <w:rsid w:val="5BEF6901"/>
    <w:rsid w:val="5C48BF27"/>
    <w:rsid w:val="5F657F7F"/>
    <w:rsid w:val="5FDB935B"/>
    <w:rsid w:val="61D92E4D"/>
    <w:rsid w:val="63556A31"/>
    <w:rsid w:val="64504805"/>
    <w:rsid w:val="655AE262"/>
    <w:rsid w:val="660540C3"/>
    <w:rsid w:val="68C1D56B"/>
    <w:rsid w:val="6BAA72B1"/>
    <w:rsid w:val="6BB6D583"/>
    <w:rsid w:val="6C5B59EA"/>
    <w:rsid w:val="6CAA8F5F"/>
    <w:rsid w:val="6E297715"/>
    <w:rsid w:val="6F92FAAC"/>
    <w:rsid w:val="7019B179"/>
    <w:rsid w:val="709DE39B"/>
    <w:rsid w:val="70A2495C"/>
    <w:rsid w:val="73541938"/>
    <w:rsid w:val="7360BB0C"/>
    <w:rsid w:val="73969F09"/>
    <w:rsid w:val="77180713"/>
    <w:rsid w:val="78CBB369"/>
    <w:rsid w:val="795F7406"/>
    <w:rsid w:val="7ADD9AD9"/>
    <w:rsid w:val="7B90548B"/>
    <w:rsid w:val="7C8BA2AB"/>
    <w:rsid w:val="7EBD296A"/>
    <w:rsid w:val="7F908E8C"/>
    <w:rsid w:val="7FF21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A4DE40"/>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Sinespaciado">
    <w:name w:val="No Spacing"/>
    <w:uiPriority w:val="1"/>
    <w:qFormat/>
    <w:rsid w:val="007A385B"/>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6de6a34fea5d41e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780C-9C29-40E7-A98E-1BEE35FD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2F53D-72BF-4104-893A-7A46C6ED8BB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C93293AD-DBA4-4F2A-A693-65F48A8E833A}">
  <ds:schemaRefs>
    <ds:schemaRef ds:uri="http://schemas.microsoft.com/sharepoint/v3/contenttype/forms"/>
  </ds:schemaRefs>
</ds:datastoreItem>
</file>

<file path=customXml/itemProps4.xml><?xml version="1.0" encoding="utf-8"?>
<ds:datastoreItem xmlns:ds="http://schemas.openxmlformats.org/officeDocument/2006/customXml" ds:itemID="{90E2F028-CB94-4187-A8E6-F9E1EE08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3588</Words>
  <Characters>19738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31</cp:revision>
  <cp:lastPrinted>2019-11-28T13:08:00Z</cp:lastPrinted>
  <dcterms:created xsi:type="dcterms:W3CDTF">2022-09-13T19:54:00Z</dcterms:created>
  <dcterms:modified xsi:type="dcterms:W3CDTF">2022-10-11T17:41:00Z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