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7289F41" w14:textId="77777777" w:rsidR="00D14138" w:rsidRPr="00D14138" w:rsidRDefault="00D14138" w:rsidP="00D14138">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bookmarkStart w:id="0" w:name="_Hlk135735869"/>
      <w:r w:rsidRPr="00D1413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724267" w14:textId="77777777" w:rsidR="00D14138" w:rsidRPr="00D14138" w:rsidRDefault="00D14138" w:rsidP="00D14138">
      <w:pPr>
        <w:widowControl w:val="0"/>
        <w:autoSpaceDE w:val="0"/>
        <w:autoSpaceDN w:val="0"/>
        <w:spacing w:after="0" w:line="240" w:lineRule="auto"/>
        <w:jc w:val="both"/>
        <w:rPr>
          <w:rFonts w:ascii="Arial" w:eastAsia="Times New Roman" w:hAnsi="Arial" w:cs="Arial"/>
          <w:sz w:val="20"/>
          <w:szCs w:val="20"/>
          <w:lang w:val="es-419" w:eastAsia="es-ES"/>
        </w:rPr>
      </w:pPr>
    </w:p>
    <w:p w14:paraId="6614B8E6" w14:textId="79D70A26" w:rsidR="009F6859" w:rsidRPr="00D14138" w:rsidRDefault="009F6859" w:rsidP="009F6859">
      <w:pPr>
        <w:widowControl w:val="0"/>
        <w:autoSpaceDE w:val="0"/>
        <w:autoSpaceDN w:val="0"/>
        <w:spacing w:after="0" w:line="240" w:lineRule="auto"/>
        <w:jc w:val="both"/>
        <w:rPr>
          <w:rFonts w:ascii="Arial" w:eastAsia="Times New Roman" w:hAnsi="Arial" w:cs="Arial"/>
          <w:sz w:val="20"/>
          <w:szCs w:val="20"/>
          <w:lang w:val="es-419" w:eastAsia="es-ES"/>
        </w:rPr>
      </w:pPr>
      <w:r w:rsidRPr="00D14138">
        <w:rPr>
          <w:rFonts w:ascii="Arial" w:eastAsia="Times New Roman" w:hAnsi="Arial" w:cs="Arial"/>
          <w:sz w:val="20"/>
          <w:szCs w:val="20"/>
          <w:lang w:val="es-419" w:eastAsia="es-ES"/>
        </w:rPr>
        <w:t>Radicado:</w:t>
      </w:r>
      <w:r w:rsidRPr="00D14138">
        <w:rPr>
          <w:rFonts w:ascii="Arial" w:eastAsia="Times New Roman" w:hAnsi="Arial" w:cs="Arial"/>
          <w:sz w:val="20"/>
          <w:szCs w:val="20"/>
          <w:lang w:val="es-419" w:eastAsia="es-ES"/>
        </w:rPr>
        <w:tab/>
        <w:t>66001</w:t>
      </w:r>
      <w:r>
        <w:rPr>
          <w:rFonts w:ascii="Arial" w:eastAsia="Times New Roman" w:hAnsi="Arial" w:cs="Arial"/>
          <w:sz w:val="20"/>
          <w:szCs w:val="20"/>
          <w:lang w:val="es-419" w:eastAsia="es-ES"/>
        </w:rPr>
        <w:t>-</w:t>
      </w:r>
      <w:r w:rsidRPr="00D14138">
        <w:rPr>
          <w:rFonts w:ascii="Arial" w:eastAsia="Times New Roman" w:hAnsi="Arial" w:cs="Arial"/>
          <w:sz w:val="20"/>
          <w:szCs w:val="20"/>
          <w:lang w:val="es-419" w:eastAsia="es-ES"/>
        </w:rPr>
        <w:t>31</w:t>
      </w:r>
      <w:r>
        <w:rPr>
          <w:rFonts w:ascii="Arial" w:eastAsia="Times New Roman" w:hAnsi="Arial" w:cs="Arial"/>
          <w:sz w:val="20"/>
          <w:szCs w:val="20"/>
          <w:lang w:val="es-419" w:eastAsia="es-ES"/>
        </w:rPr>
        <w:t>-</w:t>
      </w:r>
      <w:r w:rsidRPr="00D14138">
        <w:rPr>
          <w:rFonts w:ascii="Arial" w:eastAsia="Times New Roman" w:hAnsi="Arial" w:cs="Arial"/>
          <w:sz w:val="20"/>
          <w:szCs w:val="20"/>
          <w:lang w:val="es-419" w:eastAsia="es-ES"/>
        </w:rPr>
        <w:t>03</w:t>
      </w:r>
      <w:r>
        <w:rPr>
          <w:rFonts w:ascii="Arial" w:eastAsia="Times New Roman" w:hAnsi="Arial" w:cs="Arial"/>
          <w:sz w:val="20"/>
          <w:szCs w:val="20"/>
          <w:lang w:val="es-419" w:eastAsia="es-ES"/>
        </w:rPr>
        <w:t>-</w:t>
      </w:r>
      <w:r w:rsidRPr="00D14138">
        <w:rPr>
          <w:rFonts w:ascii="Arial" w:eastAsia="Times New Roman" w:hAnsi="Arial" w:cs="Arial"/>
          <w:sz w:val="20"/>
          <w:szCs w:val="20"/>
          <w:lang w:val="es-419" w:eastAsia="es-ES"/>
        </w:rPr>
        <w:t>005</w:t>
      </w:r>
      <w:r>
        <w:rPr>
          <w:rFonts w:ascii="Arial" w:eastAsia="Times New Roman" w:hAnsi="Arial" w:cs="Arial"/>
          <w:sz w:val="20"/>
          <w:szCs w:val="20"/>
          <w:lang w:val="es-419" w:eastAsia="es-ES"/>
        </w:rPr>
        <w:t>-</w:t>
      </w:r>
      <w:r w:rsidRPr="00D14138">
        <w:rPr>
          <w:rFonts w:ascii="Arial" w:eastAsia="Times New Roman" w:hAnsi="Arial" w:cs="Arial"/>
          <w:sz w:val="20"/>
          <w:szCs w:val="20"/>
          <w:lang w:val="es-419" w:eastAsia="es-ES"/>
        </w:rPr>
        <w:t>2013</w:t>
      </w:r>
      <w:r>
        <w:rPr>
          <w:rFonts w:ascii="Arial" w:eastAsia="Times New Roman" w:hAnsi="Arial" w:cs="Arial"/>
          <w:sz w:val="20"/>
          <w:szCs w:val="20"/>
          <w:lang w:val="es-419" w:eastAsia="es-ES"/>
        </w:rPr>
        <w:t>-</w:t>
      </w:r>
      <w:r w:rsidRPr="00D14138">
        <w:rPr>
          <w:rFonts w:ascii="Arial" w:eastAsia="Times New Roman" w:hAnsi="Arial" w:cs="Arial"/>
          <w:sz w:val="20"/>
          <w:szCs w:val="20"/>
          <w:lang w:val="es-419" w:eastAsia="es-ES"/>
        </w:rPr>
        <w:t>00165</w:t>
      </w:r>
      <w:r>
        <w:rPr>
          <w:rFonts w:ascii="Arial" w:eastAsia="Times New Roman" w:hAnsi="Arial" w:cs="Arial"/>
          <w:sz w:val="20"/>
          <w:szCs w:val="20"/>
          <w:lang w:val="es-419" w:eastAsia="es-ES"/>
        </w:rPr>
        <w:t>-</w:t>
      </w:r>
      <w:r w:rsidRPr="00D14138">
        <w:rPr>
          <w:rFonts w:ascii="Arial" w:eastAsia="Times New Roman" w:hAnsi="Arial" w:cs="Arial"/>
          <w:sz w:val="20"/>
          <w:szCs w:val="20"/>
          <w:lang w:val="es-419" w:eastAsia="es-ES"/>
        </w:rPr>
        <w:t>01</w:t>
      </w:r>
    </w:p>
    <w:p w14:paraId="02CE61CB" w14:textId="77777777" w:rsidR="00D14138" w:rsidRPr="00D14138" w:rsidRDefault="00D14138" w:rsidP="00D14138">
      <w:pPr>
        <w:widowControl w:val="0"/>
        <w:autoSpaceDE w:val="0"/>
        <w:autoSpaceDN w:val="0"/>
        <w:spacing w:after="0" w:line="240" w:lineRule="auto"/>
        <w:jc w:val="both"/>
        <w:rPr>
          <w:rFonts w:ascii="Arial" w:eastAsia="Times New Roman" w:hAnsi="Arial" w:cs="Arial"/>
          <w:sz w:val="20"/>
          <w:szCs w:val="20"/>
          <w:lang w:val="es-419" w:eastAsia="es-ES"/>
        </w:rPr>
      </w:pPr>
      <w:r w:rsidRPr="00D14138">
        <w:rPr>
          <w:rFonts w:ascii="Arial" w:eastAsia="Times New Roman" w:hAnsi="Arial" w:cs="Arial"/>
          <w:sz w:val="20"/>
          <w:szCs w:val="20"/>
          <w:lang w:val="es-419" w:eastAsia="es-ES"/>
        </w:rPr>
        <w:t>Proceso:</w:t>
      </w:r>
      <w:r w:rsidRPr="00D14138">
        <w:rPr>
          <w:rFonts w:ascii="Arial" w:eastAsia="Times New Roman" w:hAnsi="Arial" w:cs="Arial"/>
          <w:sz w:val="20"/>
          <w:szCs w:val="20"/>
          <w:lang w:val="es-419" w:eastAsia="es-ES"/>
        </w:rPr>
        <w:tab/>
        <w:t xml:space="preserve">Verbal – responsabilidad civil   </w:t>
      </w:r>
    </w:p>
    <w:p w14:paraId="428A6716" w14:textId="77777777" w:rsidR="00D14138" w:rsidRPr="00D14138" w:rsidRDefault="00D14138" w:rsidP="00D14138">
      <w:pPr>
        <w:widowControl w:val="0"/>
        <w:autoSpaceDE w:val="0"/>
        <w:autoSpaceDN w:val="0"/>
        <w:spacing w:after="0" w:line="240" w:lineRule="auto"/>
        <w:jc w:val="both"/>
        <w:rPr>
          <w:rFonts w:ascii="Arial" w:eastAsia="Times New Roman" w:hAnsi="Arial" w:cs="Arial"/>
          <w:sz w:val="20"/>
          <w:szCs w:val="20"/>
          <w:lang w:val="es-419" w:eastAsia="es-ES"/>
        </w:rPr>
      </w:pPr>
      <w:r w:rsidRPr="00D14138">
        <w:rPr>
          <w:rFonts w:ascii="Arial" w:eastAsia="Times New Roman" w:hAnsi="Arial" w:cs="Arial"/>
          <w:sz w:val="20"/>
          <w:szCs w:val="20"/>
          <w:lang w:val="es-419" w:eastAsia="es-ES"/>
        </w:rPr>
        <w:t>Demandante:</w:t>
      </w:r>
      <w:r w:rsidRPr="00D14138">
        <w:rPr>
          <w:rFonts w:ascii="Arial" w:eastAsia="Times New Roman" w:hAnsi="Arial" w:cs="Arial"/>
          <w:sz w:val="20"/>
          <w:szCs w:val="20"/>
          <w:lang w:val="es-419" w:eastAsia="es-ES"/>
        </w:rPr>
        <w:tab/>
        <w:t>MA y otros</w:t>
      </w:r>
    </w:p>
    <w:p w14:paraId="52A195A1" w14:textId="77777777" w:rsidR="00D14138" w:rsidRPr="00D14138" w:rsidRDefault="00D14138" w:rsidP="00D14138">
      <w:pPr>
        <w:widowControl w:val="0"/>
        <w:autoSpaceDE w:val="0"/>
        <w:autoSpaceDN w:val="0"/>
        <w:spacing w:after="0" w:line="240" w:lineRule="auto"/>
        <w:jc w:val="both"/>
        <w:rPr>
          <w:rFonts w:ascii="Arial" w:eastAsia="Times New Roman" w:hAnsi="Arial" w:cs="Arial"/>
          <w:sz w:val="20"/>
          <w:szCs w:val="20"/>
          <w:lang w:val="es-419" w:eastAsia="es-ES"/>
        </w:rPr>
      </w:pPr>
      <w:r w:rsidRPr="00D14138">
        <w:rPr>
          <w:rFonts w:ascii="Arial" w:eastAsia="Times New Roman" w:hAnsi="Arial" w:cs="Arial"/>
          <w:sz w:val="20"/>
          <w:szCs w:val="20"/>
          <w:lang w:val="es-419" w:eastAsia="es-ES"/>
        </w:rPr>
        <w:t>Demandado:</w:t>
      </w:r>
      <w:r w:rsidRPr="00D14138">
        <w:rPr>
          <w:rFonts w:ascii="Arial" w:eastAsia="Times New Roman" w:hAnsi="Arial" w:cs="Arial"/>
          <w:sz w:val="20"/>
          <w:szCs w:val="20"/>
          <w:lang w:val="es-419" w:eastAsia="es-ES"/>
        </w:rPr>
        <w:tab/>
        <w:t xml:space="preserve">EPS Humana Vivir y otro </w:t>
      </w:r>
    </w:p>
    <w:p w14:paraId="1584767E" w14:textId="77777777" w:rsidR="00D14138" w:rsidRPr="00D14138" w:rsidRDefault="00D14138" w:rsidP="00D14138">
      <w:pPr>
        <w:widowControl w:val="0"/>
        <w:autoSpaceDE w:val="0"/>
        <w:autoSpaceDN w:val="0"/>
        <w:spacing w:after="0" w:line="240" w:lineRule="auto"/>
        <w:jc w:val="both"/>
        <w:rPr>
          <w:rFonts w:ascii="Arial" w:eastAsia="Times New Roman" w:hAnsi="Arial" w:cs="Arial"/>
          <w:sz w:val="20"/>
          <w:szCs w:val="20"/>
          <w:lang w:val="es-419" w:eastAsia="es-ES"/>
        </w:rPr>
      </w:pPr>
    </w:p>
    <w:p w14:paraId="39C6EF59" w14:textId="0BAB00E4" w:rsidR="00DC0708" w:rsidRPr="00DC0708" w:rsidRDefault="00885179" w:rsidP="00DC0708">
      <w:pPr>
        <w:spacing w:after="0" w:line="240" w:lineRule="auto"/>
        <w:jc w:val="both"/>
        <w:rPr>
          <w:rFonts w:ascii="Arial" w:eastAsia="Times New Roman" w:hAnsi="Arial" w:cs="Arial"/>
          <w:b/>
          <w:bCs/>
          <w:iCs/>
          <w:sz w:val="20"/>
          <w:szCs w:val="20"/>
          <w:lang w:val="es-419" w:eastAsia="fr-FR"/>
        </w:rPr>
      </w:pPr>
      <w:r w:rsidRPr="00DC0708">
        <w:rPr>
          <w:rFonts w:ascii="Arial" w:eastAsia="Times New Roman" w:hAnsi="Arial" w:cs="Arial"/>
          <w:b/>
          <w:bCs/>
          <w:iCs/>
          <w:sz w:val="20"/>
          <w:szCs w:val="20"/>
          <w:u w:val="single"/>
          <w:lang w:val="es-419" w:eastAsia="fr-FR"/>
        </w:rPr>
        <w:t>TEMAS:</w:t>
      </w:r>
      <w:r w:rsidRPr="00DC0708">
        <w:rPr>
          <w:rFonts w:ascii="Arial" w:eastAsia="Times New Roman" w:hAnsi="Arial" w:cs="Arial"/>
          <w:b/>
          <w:bCs/>
          <w:iCs/>
          <w:sz w:val="20"/>
          <w:szCs w:val="20"/>
          <w:lang w:val="es-419" w:eastAsia="fr-FR"/>
        </w:rPr>
        <w:tab/>
        <w:t xml:space="preserve">RESPONSABILIDAD MÉDICA / ELEMENTOS / ACCIÓN U OMISIÓN, DAÑO Y NEXO CAUSAL / OBLIGACIÓN DE MEDIO / RÉGIMEN DE CULPA PROBADA / CARGA DEL DEMANDANTE / </w:t>
      </w:r>
      <w:r>
        <w:rPr>
          <w:rFonts w:ascii="Arial" w:eastAsia="Times New Roman" w:hAnsi="Arial" w:cs="Arial"/>
          <w:b/>
          <w:bCs/>
          <w:iCs/>
          <w:sz w:val="20"/>
          <w:szCs w:val="20"/>
          <w:lang w:val="es-419" w:eastAsia="fr-FR"/>
        </w:rPr>
        <w:t>PÉRDIDA DE OPORTUNIDAD / INCONGRUENCIA CON LA INDEMNIZACIÓN DE PERJUICIOS POR LA MUERTE DE LA PERSONA.</w:t>
      </w:r>
    </w:p>
    <w:p w14:paraId="1FD8EA99" w14:textId="77777777" w:rsidR="00DC0708" w:rsidRPr="00DC0708" w:rsidRDefault="00DC0708" w:rsidP="00DC0708">
      <w:pPr>
        <w:spacing w:after="0" w:line="240" w:lineRule="auto"/>
        <w:jc w:val="both"/>
        <w:rPr>
          <w:rFonts w:ascii="Arial" w:eastAsia="Times New Roman" w:hAnsi="Arial" w:cs="Arial"/>
          <w:sz w:val="20"/>
          <w:szCs w:val="20"/>
          <w:lang w:val="es-419" w:eastAsia="es-ES"/>
        </w:rPr>
      </w:pPr>
    </w:p>
    <w:p w14:paraId="5FACAB13" w14:textId="77777777" w:rsidR="00DC0708" w:rsidRPr="00DC0708" w:rsidRDefault="00DC0708" w:rsidP="00DC0708">
      <w:pPr>
        <w:spacing w:after="0" w:line="240" w:lineRule="auto"/>
        <w:jc w:val="both"/>
        <w:rPr>
          <w:rFonts w:ascii="Arial" w:eastAsia="Times New Roman" w:hAnsi="Arial" w:cs="Arial"/>
          <w:sz w:val="20"/>
          <w:szCs w:val="20"/>
          <w:lang w:val="es-419" w:eastAsia="es-ES"/>
        </w:rPr>
      </w:pPr>
      <w:r w:rsidRPr="00DC0708">
        <w:rPr>
          <w:rFonts w:ascii="Arial" w:eastAsia="Times New Roman" w:hAnsi="Arial" w:cs="Arial"/>
          <w:sz w:val="20"/>
          <w:szCs w:val="20"/>
          <w:lang w:val="es-419" w:eastAsia="es-ES"/>
        </w:rPr>
        <w:t>… la responsabilidad civil médica comporta la concurrencia de varios elementos: la acción o la omisión por parte del galeno en el ejercicio de su profesión; el daño padecido por el paciente o, en general, por las víctimas, la culpa o el dolo y la relación causal entre una y otro; y si ella es contractual, por supuesto, es menester acreditar su fuente. (…)</w:t>
      </w:r>
    </w:p>
    <w:p w14:paraId="7E2BDA48" w14:textId="77777777" w:rsidR="00DC0708" w:rsidRPr="00DC0708" w:rsidRDefault="00DC0708" w:rsidP="00DC0708">
      <w:pPr>
        <w:spacing w:after="0" w:line="240" w:lineRule="auto"/>
        <w:jc w:val="both"/>
        <w:rPr>
          <w:rFonts w:ascii="Arial" w:eastAsia="Times New Roman" w:hAnsi="Arial" w:cs="Arial"/>
          <w:sz w:val="20"/>
          <w:szCs w:val="20"/>
          <w:lang w:val="es-419" w:eastAsia="es-ES"/>
        </w:rPr>
      </w:pPr>
    </w:p>
    <w:p w14:paraId="7361E8F3" w14:textId="77777777" w:rsidR="00DC0708" w:rsidRPr="00DC0708" w:rsidRDefault="00DC0708" w:rsidP="00DC0708">
      <w:pPr>
        <w:spacing w:after="0" w:line="240" w:lineRule="auto"/>
        <w:jc w:val="both"/>
        <w:rPr>
          <w:rFonts w:ascii="Arial" w:eastAsia="Times New Roman" w:hAnsi="Arial" w:cs="Arial"/>
          <w:sz w:val="20"/>
          <w:szCs w:val="20"/>
          <w:lang w:val="es-419" w:eastAsia="es-ES"/>
        </w:rPr>
      </w:pPr>
      <w:r w:rsidRPr="00DC0708">
        <w:rPr>
          <w:rFonts w:ascii="Arial" w:eastAsia="Times New Roman" w:hAnsi="Arial" w:cs="Arial"/>
          <w:sz w:val="20"/>
          <w:szCs w:val="20"/>
          <w:lang w:val="es-419" w:eastAsia="es-ES"/>
        </w:rPr>
        <w:t>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 (…)</w:t>
      </w:r>
    </w:p>
    <w:p w14:paraId="0E32A898" w14:textId="77777777" w:rsidR="00DC0708" w:rsidRPr="00DC0708" w:rsidRDefault="00DC0708" w:rsidP="00DC0708">
      <w:pPr>
        <w:spacing w:after="0" w:line="240" w:lineRule="auto"/>
        <w:jc w:val="both"/>
        <w:rPr>
          <w:rFonts w:ascii="Arial" w:eastAsia="Times New Roman" w:hAnsi="Arial" w:cs="Arial"/>
          <w:sz w:val="20"/>
          <w:szCs w:val="20"/>
          <w:lang w:val="es-419" w:eastAsia="es-ES"/>
        </w:rPr>
      </w:pPr>
    </w:p>
    <w:p w14:paraId="487A7B80" w14:textId="53F13199" w:rsidR="00DC0708" w:rsidRPr="00DC0708" w:rsidRDefault="00DC0708" w:rsidP="00DC0708">
      <w:pPr>
        <w:spacing w:after="0" w:line="240" w:lineRule="auto"/>
        <w:jc w:val="both"/>
        <w:rPr>
          <w:rFonts w:ascii="Arial" w:eastAsia="Times New Roman" w:hAnsi="Arial" w:cs="Arial"/>
          <w:sz w:val="20"/>
          <w:szCs w:val="20"/>
          <w:lang w:val="es-419" w:eastAsia="es-ES"/>
        </w:rPr>
      </w:pPr>
      <w:r w:rsidRPr="00DC0708">
        <w:rPr>
          <w:rFonts w:ascii="Arial" w:eastAsia="Times New Roman" w:hAnsi="Arial" w:cs="Arial"/>
          <w:sz w:val="20"/>
          <w:szCs w:val="20"/>
          <w:lang w:val="es-419" w:eastAsia="es-ES"/>
        </w:rPr>
        <w:t xml:space="preserve">En este punto es preciso </w:t>
      </w:r>
      <w:r w:rsidR="000001D6">
        <w:rPr>
          <w:rFonts w:ascii="Arial" w:eastAsia="Times New Roman" w:hAnsi="Arial" w:cs="Arial"/>
          <w:sz w:val="20"/>
          <w:szCs w:val="20"/>
          <w:lang w:val="es-419" w:eastAsia="es-ES"/>
        </w:rPr>
        <w:t xml:space="preserve">hacer </w:t>
      </w:r>
      <w:r w:rsidRPr="00DC0708">
        <w:rPr>
          <w:rFonts w:ascii="Arial" w:eastAsia="Times New Roman" w:hAnsi="Arial" w:cs="Arial"/>
          <w:sz w:val="20"/>
          <w:szCs w:val="20"/>
          <w:lang w:val="es-419" w:eastAsia="es-ES"/>
        </w:rPr>
        <w:t>memor</w:t>
      </w:r>
      <w:r w:rsidR="000001D6">
        <w:rPr>
          <w:rFonts w:ascii="Arial" w:eastAsia="Times New Roman" w:hAnsi="Arial" w:cs="Arial"/>
          <w:sz w:val="20"/>
          <w:szCs w:val="20"/>
          <w:lang w:val="es-419" w:eastAsia="es-ES"/>
        </w:rPr>
        <w:t>i</w:t>
      </w:r>
      <w:r w:rsidRPr="00DC0708">
        <w:rPr>
          <w:rFonts w:ascii="Arial" w:eastAsia="Times New Roman" w:hAnsi="Arial" w:cs="Arial"/>
          <w:sz w:val="20"/>
          <w:szCs w:val="20"/>
          <w:lang w:val="es-419" w:eastAsia="es-ES"/>
        </w:rPr>
        <w:t>a, como de tiempo atrás se hizo por esta misma Sala y lo ha seguido reiterando, que se han ensayado tesis como las de la carga dinámica de la prueba, o de la distribución de la prueba, cuestión analizada en varias ocasiones por la Corte Suprema; en alguna de sus decisiones se refirió más precisamente, a una regla de aportación o suministro de pruebas, a la luz del artículo 167 del CGP…</w:t>
      </w:r>
    </w:p>
    <w:p w14:paraId="1DE0C4C1" w14:textId="77777777" w:rsidR="00DC0708" w:rsidRPr="00DC0708" w:rsidRDefault="00DC0708" w:rsidP="00DC0708">
      <w:pPr>
        <w:spacing w:after="0" w:line="240" w:lineRule="auto"/>
        <w:jc w:val="both"/>
        <w:rPr>
          <w:rFonts w:ascii="Arial" w:eastAsia="Times New Roman" w:hAnsi="Arial" w:cs="Arial"/>
          <w:sz w:val="20"/>
          <w:szCs w:val="20"/>
          <w:lang w:val="es-419" w:eastAsia="es-ES"/>
        </w:rPr>
      </w:pPr>
    </w:p>
    <w:p w14:paraId="52E8DF21" w14:textId="797D8D76" w:rsidR="00DC0708" w:rsidRPr="00DC0708" w:rsidRDefault="00DC0708" w:rsidP="00DC0708">
      <w:pPr>
        <w:spacing w:after="0" w:line="240" w:lineRule="auto"/>
        <w:jc w:val="both"/>
        <w:rPr>
          <w:rFonts w:ascii="Arial" w:eastAsia="Times New Roman" w:hAnsi="Arial" w:cs="Arial"/>
          <w:sz w:val="20"/>
          <w:szCs w:val="20"/>
          <w:lang w:val="es-419" w:eastAsia="es-ES"/>
        </w:rPr>
      </w:pPr>
      <w:r w:rsidRPr="00DC0708">
        <w:rPr>
          <w:rFonts w:ascii="Arial" w:eastAsia="Times New Roman" w:hAnsi="Arial" w:cs="Arial"/>
          <w:sz w:val="20"/>
          <w:szCs w:val="20"/>
          <w:lang w:val="es-419" w:eastAsia="es-ES"/>
        </w:rPr>
        <w:t>Flexibilización que, para el caso, se torna irrelevante, porque no ocurrió en el momento de decretar las pruebas, ni en otro estadio del proceso, como manda la norma en cita, sino que cada parte arrimó las pruebas sobre las que quiso edificar la teoría del caso que propuso, bien para el reconocimiento de las pretensiones, por activa, ya para su denegación por pasiva…</w:t>
      </w:r>
    </w:p>
    <w:p w14:paraId="4AC4C59C" w14:textId="77777777" w:rsidR="00DC0708" w:rsidRPr="00DC0708" w:rsidRDefault="00DC0708" w:rsidP="00DC0708">
      <w:pPr>
        <w:spacing w:after="0" w:line="240" w:lineRule="auto"/>
        <w:jc w:val="both"/>
        <w:rPr>
          <w:rFonts w:ascii="Arial" w:eastAsia="Times New Roman" w:hAnsi="Arial" w:cs="Arial"/>
          <w:sz w:val="20"/>
          <w:szCs w:val="20"/>
          <w:lang w:val="es-419" w:eastAsia="es-ES"/>
        </w:rPr>
      </w:pPr>
    </w:p>
    <w:p w14:paraId="79DDDC97" w14:textId="77777777" w:rsidR="00DC0708" w:rsidRPr="00DC0708" w:rsidRDefault="00DC0708" w:rsidP="00DC0708">
      <w:pPr>
        <w:spacing w:after="0" w:line="240" w:lineRule="auto"/>
        <w:jc w:val="both"/>
        <w:rPr>
          <w:rFonts w:ascii="Arial" w:eastAsia="Times New Roman" w:hAnsi="Arial" w:cs="Arial"/>
          <w:sz w:val="20"/>
          <w:szCs w:val="20"/>
          <w:lang w:val="es-419" w:eastAsia="es-ES"/>
        </w:rPr>
      </w:pPr>
      <w:r w:rsidRPr="00DC0708">
        <w:rPr>
          <w:rFonts w:ascii="Arial" w:eastAsia="Times New Roman" w:hAnsi="Arial" w:cs="Arial"/>
          <w:sz w:val="20"/>
          <w:szCs w:val="20"/>
          <w:lang w:val="es-419" w:eastAsia="es-ES"/>
        </w:rPr>
        <w:t>… el nexo causal, distinguido como uno de las elementos estructurales de la responsabilidad civil, cualquiera sea su naturaleza, no puede reducirse al concepto de la "causalidad natural" sino, más bien, ubicarse en el de la "causalidad adecuada" o "imputación jurídica", entendiéndose por tal "el razonamiento por medio del cual se atribuye un resultado dañoso a un agente a partir de un marco de sentido jurídico" (…)</w:t>
      </w:r>
    </w:p>
    <w:p w14:paraId="4F6494C6" w14:textId="77777777" w:rsidR="00DC0708" w:rsidRPr="00DC0708" w:rsidRDefault="00DC0708" w:rsidP="00DC0708">
      <w:pPr>
        <w:widowControl w:val="0"/>
        <w:autoSpaceDE w:val="0"/>
        <w:autoSpaceDN w:val="0"/>
        <w:spacing w:after="0" w:line="240" w:lineRule="auto"/>
        <w:jc w:val="both"/>
        <w:rPr>
          <w:rFonts w:ascii="Arial" w:eastAsia="Times New Roman" w:hAnsi="Arial" w:cs="Arial"/>
          <w:sz w:val="20"/>
          <w:szCs w:val="20"/>
          <w:lang w:val="es-ES" w:eastAsia="es-ES"/>
        </w:rPr>
      </w:pPr>
    </w:p>
    <w:p w14:paraId="4F76BB21" w14:textId="3A85AD09" w:rsidR="00DC0708" w:rsidRPr="00DC0708" w:rsidRDefault="000A53F6" w:rsidP="00DC0708">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0A53F6">
        <w:rPr>
          <w:rFonts w:ascii="Arial" w:eastAsia="Times New Roman" w:hAnsi="Arial" w:cs="Arial"/>
          <w:sz w:val="20"/>
          <w:szCs w:val="20"/>
          <w:lang w:val="es-ES" w:eastAsia="es-ES"/>
        </w:rPr>
        <w:t>esta causa es de responsabilidad médica civil extracontractual, en cuanto reclaman unas víctimas de rebote; y que, sea contractual o extracontractual, es de medio y no de resultado, por regla general, así que incumbe a los demandantes probar los elementos que le son propios, incluida la culpa. Eso se traduce, a diferencia de lo que dicen lo impugnantes, en que no se trata de una responsabilidad con culpa presunta.</w:t>
      </w:r>
    </w:p>
    <w:p w14:paraId="18F5CD90" w14:textId="77777777" w:rsidR="00DC0708" w:rsidRPr="00DC0708" w:rsidRDefault="00DC0708" w:rsidP="00DC0708">
      <w:pPr>
        <w:widowControl w:val="0"/>
        <w:autoSpaceDE w:val="0"/>
        <w:autoSpaceDN w:val="0"/>
        <w:spacing w:after="0" w:line="240" w:lineRule="auto"/>
        <w:jc w:val="both"/>
        <w:rPr>
          <w:rFonts w:ascii="Arial" w:eastAsia="Times New Roman" w:hAnsi="Arial" w:cs="Arial"/>
          <w:sz w:val="20"/>
          <w:szCs w:val="20"/>
          <w:lang w:val="es-ES" w:eastAsia="es-ES"/>
        </w:rPr>
      </w:pPr>
    </w:p>
    <w:p w14:paraId="28DBC85C" w14:textId="5B73D693" w:rsidR="00DC0708" w:rsidRDefault="00E53F66" w:rsidP="00DC0708">
      <w:pPr>
        <w:widowControl w:val="0"/>
        <w:autoSpaceDE w:val="0"/>
        <w:autoSpaceDN w:val="0"/>
        <w:spacing w:after="0" w:line="240" w:lineRule="auto"/>
        <w:jc w:val="both"/>
        <w:rPr>
          <w:rFonts w:ascii="Arial" w:eastAsia="Times New Roman" w:hAnsi="Arial" w:cs="Arial"/>
          <w:sz w:val="20"/>
          <w:szCs w:val="20"/>
          <w:lang w:val="es-ES" w:eastAsia="es-ES"/>
        </w:rPr>
      </w:pPr>
      <w:r w:rsidRPr="00E53F66">
        <w:rPr>
          <w:rFonts w:ascii="Arial" w:eastAsia="Times New Roman" w:hAnsi="Arial" w:cs="Arial"/>
          <w:sz w:val="20"/>
          <w:szCs w:val="20"/>
          <w:lang w:val="es-ES" w:eastAsia="es-ES"/>
        </w:rPr>
        <w:t>Queda por elucidar la última queja, que centran los demandantes en que el bien jurídicamente protegido es el derecho al goce de la vida, configurado en la pérdida del chance o la oportunidad de recuperarse de la paciente. Así mismo lo plantearon en la demanda</w:t>
      </w:r>
      <w:r>
        <w:rPr>
          <w:rFonts w:ascii="Arial" w:eastAsia="Times New Roman" w:hAnsi="Arial" w:cs="Arial"/>
          <w:sz w:val="20"/>
          <w:szCs w:val="20"/>
          <w:lang w:val="es-ES" w:eastAsia="es-ES"/>
        </w:rPr>
        <w:t>…</w:t>
      </w:r>
    </w:p>
    <w:p w14:paraId="1C9B9927" w14:textId="184F2105" w:rsidR="00E53F66" w:rsidRDefault="00E53F66" w:rsidP="00DC0708">
      <w:pPr>
        <w:widowControl w:val="0"/>
        <w:autoSpaceDE w:val="0"/>
        <w:autoSpaceDN w:val="0"/>
        <w:spacing w:after="0" w:line="240" w:lineRule="auto"/>
        <w:jc w:val="both"/>
        <w:rPr>
          <w:rFonts w:ascii="Arial" w:eastAsia="Times New Roman" w:hAnsi="Arial" w:cs="Arial"/>
          <w:sz w:val="20"/>
          <w:szCs w:val="20"/>
          <w:lang w:val="es-ES" w:eastAsia="es-ES"/>
        </w:rPr>
      </w:pPr>
    </w:p>
    <w:p w14:paraId="2EB28AF8" w14:textId="3BD70150" w:rsidR="00E53F66" w:rsidRDefault="00AD7DC6" w:rsidP="00DC0708">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EF5845" w:rsidRPr="00EF5845">
        <w:rPr>
          <w:rFonts w:ascii="Arial" w:eastAsia="Times New Roman" w:hAnsi="Arial" w:cs="Arial"/>
          <w:sz w:val="20"/>
          <w:szCs w:val="20"/>
          <w:lang w:val="es-ES" w:eastAsia="es-ES"/>
        </w:rPr>
        <w:t>proceder de manera diferente, es decir, reconociendo los perjuicios derivados de una pérdida de oportunidad (como daño autónomo), cuando lo que se invocó fue el daño derivado de la muerte del paciente, rompería la regla de la congruencia</w:t>
      </w:r>
      <w:r>
        <w:rPr>
          <w:rFonts w:ascii="Arial" w:eastAsia="Times New Roman" w:hAnsi="Arial" w:cs="Arial"/>
          <w:sz w:val="20"/>
          <w:szCs w:val="20"/>
          <w:lang w:val="es-ES" w:eastAsia="es-ES"/>
        </w:rPr>
        <w:t>…</w:t>
      </w:r>
    </w:p>
    <w:p w14:paraId="17242BE2" w14:textId="61B42FFA" w:rsidR="00EF5845" w:rsidRDefault="00EF5845" w:rsidP="00DC0708">
      <w:pPr>
        <w:widowControl w:val="0"/>
        <w:autoSpaceDE w:val="0"/>
        <w:autoSpaceDN w:val="0"/>
        <w:spacing w:after="0" w:line="240" w:lineRule="auto"/>
        <w:jc w:val="both"/>
        <w:rPr>
          <w:rFonts w:ascii="Arial" w:eastAsia="Times New Roman" w:hAnsi="Arial" w:cs="Arial"/>
          <w:sz w:val="20"/>
          <w:szCs w:val="20"/>
          <w:lang w:val="es-ES" w:eastAsia="es-ES"/>
        </w:rPr>
      </w:pPr>
    </w:p>
    <w:p w14:paraId="58A17079" w14:textId="77777777" w:rsidR="00EF5845" w:rsidRDefault="00EF5845" w:rsidP="00DC0708">
      <w:pPr>
        <w:widowControl w:val="0"/>
        <w:autoSpaceDE w:val="0"/>
        <w:autoSpaceDN w:val="0"/>
        <w:spacing w:after="0" w:line="240" w:lineRule="auto"/>
        <w:jc w:val="both"/>
        <w:rPr>
          <w:rFonts w:ascii="Arial" w:eastAsia="Times New Roman" w:hAnsi="Arial" w:cs="Arial"/>
          <w:sz w:val="20"/>
          <w:szCs w:val="20"/>
          <w:lang w:val="es-ES" w:eastAsia="es-ES"/>
        </w:rPr>
      </w:pPr>
    </w:p>
    <w:p w14:paraId="55B657D6" w14:textId="77777777" w:rsidR="00E53F66" w:rsidRPr="00DC0708" w:rsidRDefault="00E53F66" w:rsidP="00DC0708">
      <w:pPr>
        <w:widowControl w:val="0"/>
        <w:autoSpaceDE w:val="0"/>
        <w:autoSpaceDN w:val="0"/>
        <w:spacing w:after="0" w:line="240" w:lineRule="auto"/>
        <w:jc w:val="both"/>
        <w:rPr>
          <w:rFonts w:ascii="Arial" w:eastAsia="Times New Roman" w:hAnsi="Arial" w:cs="Arial"/>
          <w:sz w:val="20"/>
          <w:szCs w:val="20"/>
          <w:lang w:val="es-ES" w:eastAsia="es-ES"/>
        </w:rPr>
      </w:pPr>
    </w:p>
    <w:p w14:paraId="2093D359" w14:textId="77777777" w:rsidR="00D14138" w:rsidRPr="00D14138" w:rsidRDefault="00D14138" w:rsidP="00D14138">
      <w:pPr>
        <w:spacing w:after="0" w:line="240" w:lineRule="auto"/>
        <w:jc w:val="center"/>
        <w:rPr>
          <w:rFonts w:ascii="Bookman Old Style" w:eastAsia="Calibri" w:hAnsi="Bookman Old Style" w:cs="Times New Roman"/>
          <w:b/>
          <w:noProof/>
        </w:rPr>
      </w:pPr>
      <w:r w:rsidRPr="00D14138">
        <w:rPr>
          <w:rFonts w:ascii="Calibri" w:eastAsia="Calibri" w:hAnsi="Calibri" w:cs="Times New Roman"/>
          <w:noProof/>
          <w:lang w:val="en-US"/>
        </w:rPr>
        <w:drawing>
          <wp:inline distT="0" distB="0" distL="0" distR="0" wp14:anchorId="64FF0EA6" wp14:editId="27E1ED84">
            <wp:extent cx="11620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621FBF44" w14:textId="77777777" w:rsidR="00D14138" w:rsidRPr="00D14138" w:rsidRDefault="00D14138" w:rsidP="00D14138">
      <w:pPr>
        <w:tabs>
          <w:tab w:val="center" w:pos="4419"/>
          <w:tab w:val="right" w:pos="8838"/>
        </w:tabs>
        <w:spacing w:after="0" w:line="276" w:lineRule="auto"/>
        <w:jc w:val="center"/>
        <w:rPr>
          <w:rFonts w:ascii="Gadugi" w:eastAsia="Calibri" w:hAnsi="Gadugi" w:cs="Times New Roman"/>
          <w:b/>
          <w:noProof/>
          <w:sz w:val="24"/>
          <w:szCs w:val="24"/>
        </w:rPr>
      </w:pPr>
      <w:r w:rsidRPr="00D14138">
        <w:rPr>
          <w:rFonts w:ascii="Gadugi" w:eastAsia="Calibri" w:hAnsi="Gadugi" w:cs="Times New Roman"/>
          <w:b/>
          <w:noProof/>
          <w:sz w:val="24"/>
          <w:szCs w:val="24"/>
        </w:rPr>
        <w:t>TRIBUNAL SUPERIOR DEL DISTRITO JUDICIAL</w:t>
      </w:r>
    </w:p>
    <w:p w14:paraId="76F98DE8" w14:textId="77777777" w:rsidR="00D14138" w:rsidRPr="00D14138" w:rsidRDefault="00D14138" w:rsidP="00D14138">
      <w:pPr>
        <w:tabs>
          <w:tab w:val="center" w:pos="4419"/>
          <w:tab w:val="right" w:pos="8838"/>
        </w:tabs>
        <w:spacing w:after="0" w:line="276" w:lineRule="auto"/>
        <w:jc w:val="center"/>
        <w:rPr>
          <w:rFonts w:ascii="Gadugi" w:eastAsia="Calibri" w:hAnsi="Gadugi" w:cs="Times New Roman"/>
          <w:b/>
          <w:sz w:val="24"/>
          <w:szCs w:val="24"/>
        </w:rPr>
      </w:pPr>
      <w:r w:rsidRPr="00D14138">
        <w:rPr>
          <w:rFonts w:ascii="Gadugi" w:eastAsia="Calibri" w:hAnsi="Gadugi" w:cs="Times New Roman"/>
          <w:b/>
          <w:sz w:val="24"/>
          <w:szCs w:val="24"/>
        </w:rPr>
        <w:t>PEREIRA</w:t>
      </w:r>
    </w:p>
    <w:p w14:paraId="5EC6074C" w14:textId="77777777" w:rsidR="00D14138" w:rsidRPr="00D14138" w:rsidRDefault="00D14138" w:rsidP="009F6859">
      <w:pPr>
        <w:tabs>
          <w:tab w:val="center" w:pos="4419"/>
          <w:tab w:val="right" w:pos="8838"/>
        </w:tabs>
        <w:spacing w:after="0" w:line="276" w:lineRule="auto"/>
        <w:jc w:val="center"/>
        <w:rPr>
          <w:rFonts w:ascii="Gadugi" w:eastAsia="Calibri" w:hAnsi="Gadugi" w:cs="Times New Roman"/>
          <w:b/>
          <w:sz w:val="24"/>
          <w:szCs w:val="24"/>
        </w:rPr>
      </w:pPr>
      <w:r w:rsidRPr="00D14138">
        <w:rPr>
          <w:rFonts w:ascii="Gadugi" w:eastAsia="Calibri" w:hAnsi="Gadugi" w:cs="Times New Roman"/>
          <w:b/>
          <w:sz w:val="24"/>
          <w:szCs w:val="24"/>
        </w:rPr>
        <w:t>SALA CIVIL-FAMILIA</w:t>
      </w:r>
    </w:p>
    <w:p w14:paraId="6E12DEED" w14:textId="77777777" w:rsidR="00D14138" w:rsidRPr="00D14138" w:rsidRDefault="00D14138" w:rsidP="009F6859">
      <w:pPr>
        <w:tabs>
          <w:tab w:val="center" w:pos="4419"/>
          <w:tab w:val="right" w:pos="8838"/>
        </w:tabs>
        <w:spacing w:after="0" w:line="276" w:lineRule="auto"/>
        <w:rPr>
          <w:rFonts w:ascii="Gadugi" w:eastAsia="Calibri" w:hAnsi="Gadugi" w:cs="Times New Roman"/>
          <w:sz w:val="24"/>
          <w:szCs w:val="24"/>
        </w:rPr>
      </w:pPr>
      <w:bookmarkStart w:id="1" w:name="_GoBack"/>
      <w:bookmarkEnd w:id="1"/>
    </w:p>
    <w:bookmarkEnd w:id="0"/>
    <w:p w14:paraId="36821679" w14:textId="77777777" w:rsidR="000174A3" w:rsidRPr="009F6859" w:rsidRDefault="000174A3" w:rsidP="009F6859">
      <w:pPr>
        <w:spacing w:line="276" w:lineRule="auto"/>
        <w:rPr>
          <w:rFonts w:ascii="Gadugi" w:hAnsi="Gadugi"/>
          <w:noProof/>
          <w:sz w:val="24"/>
          <w:szCs w:val="24"/>
        </w:rPr>
      </w:pPr>
    </w:p>
    <w:p w14:paraId="4DFBE532" w14:textId="77777777" w:rsidR="000174A3" w:rsidRPr="009F6859" w:rsidRDefault="000174A3" w:rsidP="009F6859">
      <w:pPr>
        <w:tabs>
          <w:tab w:val="left" w:pos="3828"/>
          <w:tab w:val="left" w:pos="4536"/>
        </w:tabs>
        <w:spacing w:after="0" w:line="276" w:lineRule="auto"/>
        <w:ind w:left="1134"/>
        <w:jc w:val="both"/>
        <w:rPr>
          <w:rFonts w:ascii="Gadugi" w:eastAsia="Malgun Gothic" w:hAnsi="Gadugi" w:cs="Estrangelo Edessa"/>
          <w:sz w:val="24"/>
          <w:szCs w:val="24"/>
        </w:rPr>
      </w:pPr>
      <w:r w:rsidRPr="009F6859">
        <w:rPr>
          <w:rFonts w:ascii="Gadugi" w:eastAsia="Malgun Gothic" w:hAnsi="Gadugi" w:cs="Estrangelo Edessa"/>
          <w:sz w:val="24"/>
          <w:szCs w:val="24"/>
        </w:rPr>
        <w:t>Magistrado:</w:t>
      </w:r>
      <w:r w:rsidRPr="009F6859">
        <w:rPr>
          <w:rFonts w:ascii="Gadugi" w:eastAsia="Malgun Gothic" w:hAnsi="Gadugi" w:cs="Estrangelo Edessa"/>
          <w:sz w:val="24"/>
          <w:szCs w:val="24"/>
        </w:rPr>
        <w:tab/>
      </w:r>
      <w:r w:rsidRPr="0082671E">
        <w:rPr>
          <w:rFonts w:ascii="Gadugi" w:eastAsia="Malgun Gothic" w:hAnsi="Gadugi" w:cs="Estrangelo Edessa"/>
          <w:b/>
          <w:sz w:val="24"/>
          <w:szCs w:val="24"/>
        </w:rPr>
        <w:t>Jaime Alberto Saraza Naranjo</w:t>
      </w:r>
    </w:p>
    <w:p w14:paraId="5394948B" w14:textId="77777777" w:rsidR="000174A3" w:rsidRPr="009F6859" w:rsidRDefault="000174A3" w:rsidP="009F6859">
      <w:pPr>
        <w:tabs>
          <w:tab w:val="left" w:pos="3828"/>
          <w:tab w:val="left" w:pos="4536"/>
        </w:tabs>
        <w:spacing w:after="0" w:line="276" w:lineRule="auto"/>
        <w:ind w:left="1134"/>
        <w:jc w:val="both"/>
        <w:rPr>
          <w:rFonts w:ascii="Gadugi" w:eastAsia="Malgun Gothic" w:hAnsi="Gadugi" w:cs="Estrangelo Edessa"/>
          <w:sz w:val="24"/>
          <w:szCs w:val="24"/>
        </w:rPr>
      </w:pPr>
      <w:r w:rsidRPr="009F6859">
        <w:rPr>
          <w:rFonts w:ascii="Gadugi" w:eastAsia="Malgun Gothic" w:hAnsi="Gadugi" w:cs="Estrangelo Edessa"/>
          <w:sz w:val="24"/>
          <w:szCs w:val="24"/>
        </w:rPr>
        <w:t>Pereira:</w:t>
      </w:r>
      <w:r w:rsidRPr="009F6859">
        <w:rPr>
          <w:rFonts w:ascii="Gadugi" w:eastAsia="Malgun Gothic" w:hAnsi="Gadugi" w:cs="Estrangelo Edessa"/>
          <w:sz w:val="24"/>
          <w:szCs w:val="24"/>
        </w:rPr>
        <w:tab/>
        <w:t xml:space="preserve">Marzo quince de dos mil veintitrés </w:t>
      </w:r>
    </w:p>
    <w:p w14:paraId="4A9B2989" w14:textId="77777777" w:rsidR="000174A3" w:rsidRPr="009F6859" w:rsidRDefault="000174A3" w:rsidP="009F6859">
      <w:pPr>
        <w:tabs>
          <w:tab w:val="left" w:pos="3828"/>
          <w:tab w:val="left" w:pos="4536"/>
        </w:tabs>
        <w:spacing w:after="0" w:line="276" w:lineRule="auto"/>
        <w:ind w:left="1134"/>
        <w:jc w:val="both"/>
        <w:rPr>
          <w:rFonts w:ascii="Gadugi" w:eastAsia="Malgun Gothic" w:hAnsi="Gadugi" w:cs="Estrangelo Edessa"/>
          <w:sz w:val="24"/>
          <w:szCs w:val="24"/>
        </w:rPr>
      </w:pPr>
      <w:r w:rsidRPr="009F6859">
        <w:rPr>
          <w:rFonts w:ascii="Gadugi" w:eastAsia="Malgun Gothic" w:hAnsi="Gadugi" w:cs="Estrangelo Edessa"/>
          <w:sz w:val="24"/>
          <w:szCs w:val="24"/>
        </w:rPr>
        <w:t>Acta:</w:t>
      </w:r>
      <w:r w:rsidRPr="009F6859">
        <w:rPr>
          <w:rFonts w:ascii="Gadugi" w:eastAsia="Malgun Gothic" w:hAnsi="Gadugi" w:cs="Estrangelo Edessa"/>
          <w:sz w:val="24"/>
          <w:szCs w:val="24"/>
        </w:rPr>
        <w:tab/>
        <w:t>046 del 8 de marzo de 2023</w:t>
      </w:r>
    </w:p>
    <w:p w14:paraId="3D95531F" w14:textId="77777777" w:rsidR="000174A3" w:rsidRPr="009F6859" w:rsidRDefault="000174A3" w:rsidP="009F6859">
      <w:pPr>
        <w:tabs>
          <w:tab w:val="left" w:pos="3828"/>
          <w:tab w:val="left" w:pos="4536"/>
        </w:tabs>
        <w:spacing w:after="0" w:line="276" w:lineRule="auto"/>
        <w:ind w:left="1134"/>
        <w:jc w:val="both"/>
        <w:rPr>
          <w:rFonts w:ascii="Gadugi" w:eastAsia="Malgun Gothic" w:hAnsi="Gadugi" w:cs="Estrangelo Edessa"/>
          <w:sz w:val="24"/>
          <w:szCs w:val="24"/>
        </w:rPr>
      </w:pPr>
      <w:r w:rsidRPr="009F6859">
        <w:rPr>
          <w:rFonts w:ascii="Gadugi" w:eastAsia="Malgun Gothic" w:hAnsi="Gadugi" w:cs="Estrangelo Edessa"/>
          <w:sz w:val="24"/>
          <w:szCs w:val="24"/>
        </w:rPr>
        <w:t xml:space="preserve">Sentencia: </w:t>
      </w:r>
      <w:r w:rsidRPr="009F6859">
        <w:rPr>
          <w:rFonts w:ascii="Gadugi" w:eastAsia="Malgun Gothic" w:hAnsi="Gadugi" w:cs="Estrangelo Edessa"/>
          <w:sz w:val="24"/>
          <w:szCs w:val="24"/>
        </w:rPr>
        <w:tab/>
        <w:t>SC-0009-2023</w:t>
      </w:r>
    </w:p>
    <w:p w14:paraId="483B33DF" w14:textId="77777777" w:rsidR="000174A3" w:rsidRPr="009F6859" w:rsidRDefault="000174A3" w:rsidP="009F6859">
      <w:pPr>
        <w:spacing w:line="276" w:lineRule="auto"/>
        <w:rPr>
          <w:rFonts w:ascii="Gadugi" w:hAnsi="Gadugi"/>
          <w:noProof/>
          <w:sz w:val="24"/>
          <w:szCs w:val="24"/>
        </w:rPr>
      </w:pPr>
    </w:p>
    <w:p w14:paraId="01CC5354" w14:textId="3ACC30B7" w:rsidR="00D24FE1" w:rsidRPr="009F6859" w:rsidRDefault="00D24FE1" w:rsidP="009F6859">
      <w:pPr>
        <w:spacing w:after="0" w:line="276" w:lineRule="auto"/>
        <w:jc w:val="both"/>
        <w:rPr>
          <w:rFonts w:ascii="Gadugi" w:eastAsia="Malgun Gothic" w:hAnsi="Gadugi" w:cs="Estrangelo Edessa"/>
          <w:sz w:val="24"/>
          <w:szCs w:val="24"/>
          <w:lang w:val="es-419"/>
        </w:rPr>
      </w:pPr>
    </w:p>
    <w:p w14:paraId="4EB11255" w14:textId="08CBB418" w:rsidR="00D24FE1" w:rsidRPr="009F6859" w:rsidRDefault="001D200E" w:rsidP="009F6859">
      <w:pPr>
        <w:tabs>
          <w:tab w:val="left" w:pos="567"/>
          <w:tab w:val="left" w:pos="4536"/>
        </w:tabs>
        <w:spacing w:after="0" w:line="276" w:lineRule="auto"/>
        <w:jc w:val="both"/>
        <w:rPr>
          <w:rFonts w:ascii="Gadugi" w:eastAsia="Malgun Gothic" w:hAnsi="Gadugi" w:cs="Estrangelo Edessa"/>
          <w:sz w:val="24"/>
          <w:szCs w:val="24"/>
          <w:lang w:val="es-419"/>
        </w:rPr>
      </w:pPr>
      <w:r w:rsidRPr="009F6859">
        <w:rPr>
          <w:rFonts w:ascii="Gadugi" w:eastAsia="Malgun Gothic" w:hAnsi="Gadugi" w:cs="Estrangelo Edessa"/>
          <w:sz w:val="24"/>
          <w:szCs w:val="24"/>
        </w:rPr>
        <w:t xml:space="preserve">Se procede a resolver el recurso de apelación presentado </w:t>
      </w:r>
      <w:r w:rsidR="00C95548" w:rsidRPr="009F6859">
        <w:rPr>
          <w:rFonts w:ascii="Gadugi" w:eastAsia="Malgun Gothic" w:hAnsi="Gadugi" w:cs="Estrangelo Edessa"/>
          <w:sz w:val="24"/>
          <w:szCs w:val="24"/>
        </w:rPr>
        <w:t xml:space="preserve">por la parte demandante contra la sentencia del </w:t>
      </w:r>
      <w:r w:rsidR="007853F2" w:rsidRPr="009F6859">
        <w:rPr>
          <w:rFonts w:ascii="Gadugi" w:eastAsia="Malgun Gothic" w:hAnsi="Gadugi" w:cs="Estrangelo Edessa"/>
          <w:sz w:val="24"/>
          <w:szCs w:val="24"/>
        </w:rPr>
        <w:t>17</w:t>
      </w:r>
      <w:r w:rsidR="00C95548" w:rsidRPr="009F6859">
        <w:rPr>
          <w:rFonts w:ascii="Gadugi" w:eastAsia="Malgun Gothic" w:hAnsi="Gadugi" w:cs="Estrangelo Edessa"/>
          <w:sz w:val="24"/>
          <w:szCs w:val="24"/>
        </w:rPr>
        <w:t xml:space="preserve"> de </w:t>
      </w:r>
      <w:r w:rsidR="007853F2" w:rsidRPr="009F6859">
        <w:rPr>
          <w:rFonts w:ascii="Gadugi" w:eastAsia="Malgun Gothic" w:hAnsi="Gadugi" w:cs="Estrangelo Edessa"/>
          <w:sz w:val="24"/>
          <w:szCs w:val="24"/>
        </w:rPr>
        <w:t xml:space="preserve">septiembre </w:t>
      </w:r>
      <w:r w:rsidR="00C95548" w:rsidRPr="009F6859">
        <w:rPr>
          <w:rFonts w:ascii="Gadugi" w:eastAsia="Malgun Gothic" w:hAnsi="Gadugi" w:cs="Estrangelo Edessa"/>
          <w:sz w:val="24"/>
          <w:szCs w:val="24"/>
        </w:rPr>
        <w:t>de 20</w:t>
      </w:r>
      <w:r w:rsidR="007853F2" w:rsidRPr="009F6859">
        <w:rPr>
          <w:rFonts w:ascii="Gadugi" w:eastAsia="Malgun Gothic" w:hAnsi="Gadugi" w:cs="Estrangelo Edessa"/>
          <w:sz w:val="24"/>
          <w:szCs w:val="24"/>
        </w:rPr>
        <w:t>20</w:t>
      </w:r>
      <w:r w:rsidR="00C95548" w:rsidRPr="009F6859">
        <w:rPr>
          <w:rFonts w:ascii="Gadugi" w:eastAsia="Malgun Gothic" w:hAnsi="Gadugi" w:cs="Estrangelo Edessa"/>
          <w:sz w:val="24"/>
          <w:szCs w:val="24"/>
        </w:rPr>
        <w:t xml:space="preserve">, proferida por el Juzgado </w:t>
      </w:r>
      <w:r w:rsidR="001E0EBF" w:rsidRPr="009F6859">
        <w:rPr>
          <w:rFonts w:ascii="Gadugi" w:eastAsia="Malgun Gothic" w:hAnsi="Gadugi" w:cs="Estrangelo Edessa"/>
          <w:sz w:val="24"/>
          <w:szCs w:val="24"/>
        </w:rPr>
        <w:t xml:space="preserve">Promiscuo del </w:t>
      </w:r>
      <w:r w:rsidR="00C95548" w:rsidRPr="009F6859">
        <w:rPr>
          <w:rFonts w:ascii="Gadugi" w:eastAsia="Malgun Gothic" w:hAnsi="Gadugi" w:cs="Estrangelo Edessa"/>
          <w:sz w:val="24"/>
          <w:szCs w:val="24"/>
        </w:rPr>
        <w:t xml:space="preserve">Circuito </w:t>
      </w:r>
      <w:r w:rsidR="00467778" w:rsidRPr="009F6859">
        <w:rPr>
          <w:rFonts w:ascii="Gadugi" w:eastAsia="Malgun Gothic" w:hAnsi="Gadugi" w:cs="Estrangelo Edessa"/>
          <w:sz w:val="24"/>
          <w:szCs w:val="24"/>
        </w:rPr>
        <w:t xml:space="preserve">de </w:t>
      </w:r>
      <w:r w:rsidR="001E0EBF" w:rsidRPr="009F6859">
        <w:rPr>
          <w:rFonts w:ascii="Gadugi" w:eastAsia="Malgun Gothic" w:hAnsi="Gadugi" w:cs="Estrangelo Edessa"/>
          <w:sz w:val="24"/>
          <w:szCs w:val="24"/>
        </w:rPr>
        <w:t>Quinchía, Risaralda</w:t>
      </w:r>
      <w:r w:rsidR="00467778" w:rsidRPr="009F6859">
        <w:rPr>
          <w:rFonts w:ascii="Gadugi" w:eastAsia="Malgun Gothic" w:hAnsi="Gadugi" w:cs="Estrangelo Edessa"/>
          <w:sz w:val="24"/>
          <w:szCs w:val="24"/>
        </w:rPr>
        <w:t xml:space="preserve">, </w:t>
      </w:r>
      <w:r w:rsidR="00D24FE1" w:rsidRPr="009F6859">
        <w:rPr>
          <w:rFonts w:ascii="Gadugi" w:eastAsia="Malgun Gothic" w:hAnsi="Gadugi" w:cs="Estrangelo Edessa"/>
          <w:sz w:val="24"/>
          <w:szCs w:val="24"/>
        </w:rPr>
        <w:t xml:space="preserve">en este proceso </w:t>
      </w:r>
      <w:r w:rsidR="00D24FE1" w:rsidRPr="005A5519">
        <w:rPr>
          <w:rFonts w:ascii="Gadugi" w:eastAsia="Malgun Gothic" w:hAnsi="Gadugi" w:cs="Estrangelo Edessa"/>
          <w:b/>
          <w:sz w:val="24"/>
          <w:szCs w:val="24"/>
        </w:rPr>
        <w:t xml:space="preserve">verbal de </w:t>
      </w:r>
      <w:r w:rsidR="00BC6EF7" w:rsidRPr="005A5519">
        <w:rPr>
          <w:rFonts w:ascii="Gadugi" w:eastAsia="Malgun Gothic" w:hAnsi="Gadugi" w:cs="Estrangelo Edessa"/>
          <w:b/>
          <w:sz w:val="24"/>
          <w:szCs w:val="24"/>
        </w:rPr>
        <w:t>r</w:t>
      </w:r>
      <w:r w:rsidR="00ED3EFF" w:rsidRPr="005A5519">
        <w:rPr>
          <w:rFonts w:ascii="Gadugi" w:eastAsia="Malgun Gothic" w:hAnsi="Gadugi" w:cs="Estrangelo Edessa"/>
          <w:b/>
          <w:sz w:val="24"/>
          <w:szCs w:val="24"/>
        </w:rPr>
        <w:t xml:space="preserve">esponsabilidad </w:t>
      </w:r>
      <w:r w:rsidR="004C6BDF" w:rsidRPr="005A5519">
        <w:rPr>
          <w:rFonts w:ascii="Gadugi" w:eastAsia="Malgun Gothic" w:hAnsi="Gadugi" w:cs="Estrangelo Edessa"/>
          <w:b/>
          <w:sz w:val="24"/>
          <w:szCs w:val="24"/>
        </w:rPr>
        <w:t xml:space="preserve">civil </w:t>
      </w:r>
      <w:r w:rsidR="00ED3EFF" w:rsidRPr="005A5519">
        <w:rPr>
          <w:rFonts w:ascii="Gadugi" w:eastAsia="Malgun Gothic" w:hAnsi="Gadugi" w:cs="Estrangelo Edessa"/>
          <w:b/>
          <w:sz w:val="24"/>
          <w:szCs w:val="24"/>
        </w:rPr>
        <w:t>médica</w:t>
      </w:r>
      <w:r w:rsidR="00ED3EFF" w:rsidRPr="009F6859">
        <w:rPr>
          <w:rFonts w:ascii="Gadugi" w:eastAsia="Malgun Gothic" w:hAnsi="Gadugi" w:cs="Estrangelo Edessa"/>
          <w:sz w:val="24"/>
          <w:szCs w:val="24"/>
        </w:rPr>
        <w:t xml:space="preserve"> </w:t>
      </w:r>
      <w:r w:rsidR="00D24FE1" w:rsidRPr="009F6859">
        <w:rPr>
          <w:rFonts w:ascii="Gadugi" w:eastAsia="Malgun Gothic" w:hAnsi="Gadugi" w:cs="Estrangelo Edessa"/>
          <w:sz w:val="24"/>
          <w:szCs w:val="24"/>
        </w:rPr>
        <w:t xml:space="preserve">que </w:t>
      </w:r>
      <w:r w:rsidR="00712192" w:rsidRPr="009F6859">
        <w:rPr>
          <w:rFonts w:ascii="Gadugi" w:eastAsia="Malgun Gothic" w:hAnsi="Gadugi" w:cs="Estrangelo Edessa"/>
          <w:b/>
          <w:sz w:val="24"/>
          <w:szCs w:val="24"/>
          <w:lang w:val="es-419"/>
        </w:rPr>
        <w:t>M</w:t>
      </w:r>
      <w:r w:rsidR="00F41BC0" w:rsidRPr="009F6859">
        <w:rPr>
          <w:rFonts w:ascii="Gadugi" w:eastAsia="Malgun Gothic" w:hAnsi="Gadugi" w:cs="Estrangelo Edessa"/>
          <w:b/>
          <w:sz w:val="24"/>
          <w:szCs w:val="24"/>
          <w:lang w:val="es-419"/>
        </w:rPr>
        <w:t>A, AE, JE, A, LA, y A</w:t>
      </w:r>
      <w:r w:rsidR="00B11C77" w:rsidRPr="009F6859">
        <w:rPr>
          <w:rFonts w:ascii="Gadugi" w:eastAsia="Malgun Gothic" w:hAnsi="Gadugi" w:cs="Estrangelo Edessa"/>
          <w:b/>
          <w:sz w:val="24"/>
          <w:szCs w:val="24"/>
          <w:lang w:val="es-419"/>
        </w:rPr>
        <w:t>l</w:t>
      </w:r>
      <w:r w:rsidR="00712192" w:rsidRPr="009F6859">
        <w:rPr>
          <w:rFonts w:ascii="Gadugi" w:eastAsia="Malgun Gothic" w:hAnsi="Gadugi" w:cs="Estrangelo Edessa"/>
          <w:b/>
          <w:sz w:val="24"/>
          <w:szCs w:val="24"/>
          <w:lang w:val="es-419"/>
        </w:rPr>
        <w:t xml:space="preserve"> </w:t>
      </w:r>
      <w:r w:rsidR="00D24FE1" w:rsidRPr="009F6859">
        <w:rPr>
          <w:rFonts w:ascii="Gadugi" w:eastAsia="Malgun Gothic" w:hAnsi="Gadugi" w:cs="Estrangelo Edessa"/>
          <w:sz w:val="24"/>
          <w:szCs w:val="24"/>
        </w:rPr>
        <w:t>inici</w:t>
      </w:r>
      <w:r w:rsidR="00712192" w:rsidRPr="009F6859">
        <w:rPr>
          <w:rFonts w:ascii="Gadugi" w:eastAsia="Malgun Gothic" w:hAnsi="Gadugi" w:cs="Estrangelo Edessa"/>
          <w:sz w:val="24"/>
          <w:szCs w:val="24"/>
        </w:rPr>
        <w:t>aron</w:t>
      </w:r>
      <w:r w:rsidR="008941F0" w:rsidRPr="009F6859">
        <w:rPr>
          <w:rFonts w:ascii="Gadugi" w:eastAsia="Malgun Gothic" w:hAnsi="Gadugi" w:cs="Estrangelo Edessa"/>
          <w:sz w:val="24"/>
          <w:szCs w:val="24"/>
        </w:rPr>
        <w:t xml:space="preserve"> frente a </w:t>
      </w:r>
      <w:r w:rsidR="003A11EF" w:rsidRPr="009F6859">
        <w:rPr>
          <w:rFonts w:ascii="Gadugi" w:eastAsia="Malgun Gothic" w:hAnsi="Gadugi" w:cs="Estrangelo Edessa"/>
          <w:sz w:val="24"/>
          <w:szCs w:val="24"/>
        </w:rPr>
        <w:t xml:space="preserve">la </w:t>
      </w:r>
      <w:r w:rsidR="00712192" w:rsidRPr="009F6859">
        <w:rPr>
          <w:rFonts w:ascii="Gadugi" w:eastAsia="Malgun Gothic" w:hAnsi="Gadugi" w:cs="Estrangelo Edessa"/>
          <w:b/>
          <w:sz w:val="24"/>
          <w:szCs w:val="24"/>
        </w:rPr>
        <w:t>EPS</w:t>
      </w:r>
      <w:r w:rsidR="00EF259B" w:rsidRPr="009F6859">
        <w:rPr>
          <w:rFonts w:ascii="Gadugi" w:eastAsia="Malgun Gothic" w:hAnsi="Gadugi" w:cs="Estrangelo Edessa"/>
          <w:b/>
          <w:sz w:val="24"/>
          <w:szCs w:val="24"/>
        </w:rPr>
        <w:t>S</w:t>
      </w:r>
      <w:r w:rsidR="00712192" w:rsidRPr="009F6859">
        <w:rPr>
          <w:rFonts w:ascii="Gadugi" w:eastAsia="Malgun Gothic" w:hAnsi="Gadugi" w:cs="Estrangelo Edessa"/>
          <w:b/>
          <w:sz w:val="24"/>
          <w:szCs w:val="24"/>
        </w:rPr>
        <w:t xml:space="preserve"> Humana Vivir </w:t>
      </w:r>
      <w:r w:rsidR="00EF259B" w:rsidRPr="009F6859">
        <w:rPr>
          <w:rFonts w:ascii="Gadugi" w:eastAsia="Malgun Gothic" w:hAnsi="Gadugi" w:cs="Estrangelo Edessa"/>
          <w:b/>
          <w:sz w:val="24"/>
          <w:szCs w:val="24"/>
        </w:rPr>
        <w:t>S.A.</w:t>
      </w:r>
      <w:r w:rsidR="00EF259B" w:rsidRPr="009F6859">
        <w:rPr>
          <w:rStyle w:val="Refdenotaalpie"/>
          <w:rFonts w:ascii="Gadugi" w:eastAsia="Malgun Gothic" w:hAnsi="Gadugi" w:cs="Estrangelo Edessa"/>
          <w:b/>
          <w:sz w:val="24"/>
          <w:szCs w:val="24"/>
        </w:rPr>
        <w:footnoteReference w:id="2"/>
      </w:r>
      <w:r w:rsidR="00EF259B" w:rsidRPr="009F6859">
        <w:rPr>
          <w:rFonts w:ascii="Gadugi" w:eastAsia="Malgun Gothic" w:hAnsi="Gadugi" w:cs="Estrangelo Edessa"/>
          <w:b/>
          <w:sz w:val="24"/>
          <w:szCs w:val="24"/>
        </w:rPr>
        <w:t xml:space="preserve"> </w:t>
      </w:r>
      <w:r w:rsidR="00712192" w:rsidRPr="009F6859">
        <w:rPr>
          <w:rFonts w:ascii="Gadugi" w:eastAsia="Malgun Gothic" w:hAnsi="Gadugi" w:cs="Estrangelo Edessa"/>
          <w:sz w:val="24"/>
          <w:szCs w:val="24"/>
        </w:rPr>
        <w:t>y la</w:t>
      </w:r>
      <w:r w:rsidR="00712192" w:rsidRPr="009F6859">
        <w:rPr>
          <w:rFonts w:ascii="Gadugi" w:eastAsia="Malgun Gothic" w:hAnsi="Gadugi" w:cs="Estrangelo Edessa"/>
          <w:b/>
          <w:sz w:val="24"/>
          <w:szCs w:val="24"/>
        </w:rPr>
        <w:t xml:space="preserve"> Clínica Risaralda</w:t>
      </w:r>
      <w:r w:rsidR="00707625" w:rsidRPr="009F6859">
        <w:rPr>
          <w:rFonts w:ascii="Gadugi" w:eastAsia="Malgun Gothic" w:hAnsi="Gadugi" w:cs="Estrangelo Edessa"/>
          <w:b/>
          <w:sz w:val="24"/>
          <w:szCs w:val="24"/>
        </w:rPr>
        <w:t xml:space="preserve"> S.A.</w:t>
      </w:r>
      <w:r w:rsidR="003A11EF" w:rsidRPr="009F6859">
        <w:rPr>
          <w:rStyle w:val="Refdenotaalpie"/>
          <w:rFonts w:ascii="Gadugi" w:eastAsia="Malgun Gothic" w:hAnsi="Gadugi" w:cs="Estrangelo Edessa"/>
          <w:b/>
          <w:sz w:val="24"/>
          <w:szCs w:val="24"/>
        </w:rPr>
        <w:footnoteReference w:id="3"/>
      </w:r>
      <w:r w:rsidR="003A11EF" w:rsidRPr="009F6859">
        <w:rPr>
          <w:rFonts w:ascii="Gadugi" w:eastAsia="Malgun Gothic" w:hAnsi="Gadugi" w:cs="Estrangelo Edessa"/>
          <w:sz w:val="24"/>
          <w:szCs w:val="24"/>
          <w:lang w:val="es-419"/>
        </w:rPr>
        <w:t xml:space="preserve"> </w:t>
      </w:r>
    </w:p>
    <w:p w14:paraId="09C8BDAF" w14:textId="03939086" w:rsidR="00A86943" w:rsidRPr="009F6859" w:rsidRDefault="00A86943" w:rsidP="009F6859">
      <w:pPr>
        <w:tabs>
          <w:tab w:val="left" w:pos="567"/>
          <w:tab w:val="left" w:pos="4536"/>
        </w:tabs>
        <w:spacing w:after="0" w:line="276" w:lineRule="auto"/>
        <w:jc w:val="both"/>
        <w:rPr>
          <w:rFonts w:ascii="Gadugi" w:eastAsia="Malgun Gothic" w:hAnsi="Gadugi" w:cs="Estrangelo Edessa"/>
          <w:b/>
          <w:sz w:val="24"/>
          <w:szCs w:val="24"/>
          <w:lang w:val="es-419"/>
        </w:rPr>
      </w:pPr>
    </w:p>
    <w:p w14:paraId="026798C3" w14:textId="75714261" w:rsidR="00A86943" w:rsidRPr="009F6859" w:rsidRDefault="00A86943" w:rsidP="009F6859">
      <w:pPr>
        <w:tabs>
          <w:tab w:val="left" w:pos="567"/>
          <w:tab w:val="left" w:pos="4536"/>
        </w:tabs>
        <w:spacing w:after="0" w:line="276" w:lineRule="auto"/>
        <w:jc w:val="both"/>
        <w:rPr>
          <w:rFonts w:ascii="Gadugi" w:eastAsia="Malgun Gothic" w:hAnsi="Gadugi" w:cs="Estrangelo Edessa"/>
          <w:sz w:val="24"/>
          <w:szCs w:val="24"/>
        </w:rPr>
      </w:pPr>
      <w:r w:rsidRPr="009F6859">
        <w:rPr>
          <w:rFonts w:ascii="Gadugi" w:eastAsia="Malgun Gothic" w:hAnsi="Gadugi" w:cs="Estrangelo Edessa"/>
          <w:sz w:val="24"/>
          <w:szCs w:val="24"/>
        </w:rPr>
        <w:t xml:space="preserve">Como quiera que en el caso de ahora se adentra la Sala en datos sensibles extraídos de la historia clínica de la víctima directa, para garantizar el derecho a la intimidad suyo y de quienes demandan, de esta providencia habrá dos ejemplares. Uno que contendrá los nombres y que irá al expediente, y este, con la supresión de los mismos y de otros datos que puedan revelar su identidad, que será publicado. </w:t>
      </w:r>
    </w:p>
    <w:p w14:paraId="7A191E9E" w14:textId="77777777" w:rsidR="00D24FE1" w:rsidRPr="009F6859" w:rsidRDefault="00D24FE1" w:rsidP="009F6859">
      <w:pPr>
        <w:tabs>
          <w:tab w:val="left" w:pos="567"/>
          <w:tab w:val="left" w:pos="4536"/>
        </w:tabs>
        <w:spacing w:after="0" w:line="276" w:lineRule="auto"/>
        <w:jc w:val="both"/>
        <w:rPr>
          <w:rFonts w:ascii="Gadugi" w:eastAsia="Malgun Gothic" w:hAnsi="Gadugi" w:cs="Estrangelo Edessa"/>
          <w:sz w:val="24"/>
          <w:szCs w:val="24"/>
        </w:rPr>
      </w:pPr>
    </w:p>
    <w:p w14:paraId="30B88823" w14:textId="77777777" w:rsidR="00D24FE1" w:rsidRPr="009F6859" w:rsidRDefault="00D24FE1" w:rsidP="009F6859">
      <w:pPr>
        <w:pStyle w:val="Prrafodelista"/>
        <w:numPr>
          <w:ilvl w:val="0"/>
          <w:numId w:val="1"/>
        </w:numPr>
        <w:tabs>
          <w:tab w:val="left" w:pos="426"/>
          <w:tab w:val="left" w:pos="1985"/>
          <w:tab w:val="left" w:pos="4253"/>
        </w:tabs>
        <w:spacing w:after="0" w:line="276" w:lineRule="auto"/>
        <w:ind w:left="0" w:firstLine="0"/>
        <w:jc w:val="both"/>
        <w:rPr>
          <w:rFonts w:ascii="Gadugi" w:eastAsia="Malgun Gothic" w:hAnsi="Gadugi" w:cs="Estrangelo Edessa"/>
          <w:b/>
          <w:sz w:val="24"/>
          <w:szCs w:val="24"/>
        </w:rPr>
      </w:pPr>
      <w:r w:rsidRPr="009F6859">
        <w:rPr>
          <w:rFonts w:ascii="Gadugi" w:eastAsia="Malgun Gothic" w:hAnsi="Gadugi" w:cs="Estrangelo Edessa"/>
          <w:b/>
          <w:sz w:val="24"/>
          <w:szCs w:val="24"/>
        </w:rPr>
        <w:t>ANTECEDENTES</w:t>
      </w:r>
    </w:p>
    <w:p w14:paraId="1AC71A55" w14:textId="77777777" w:rsidR="008125D9" w:rsidRPr="009F6859" w:rsidRDefault="008125D9" w:rsidP="009F6859">
      <w:pPr>
        <w:pStyle w:val="Prrafodelista"/>
        <w:tabs>
          <w:tab w:val="left" w:pos="567"/>
          <w:tab w:val="left" w:pos="4253"/>
        </w:tabs>
        <w:spacing w:after="0" w:line="276" w:lineRule="auto"/>
        <w:ind w:left="2977"/>
        <w:jc w:val="both"/>
        <w:rPr>
          <w:rFonts w:ascii="Gadugi" w:eastAsia="Malgun Gothic" w:hAnsi="Gadugi" w:cs="Estrangelo Edessa"/>
          <w:b/>
          <w:sz w:val="24"/>
          <w:szCs w:val="24"/>
        </w:rPr>
      </w:pPr>
    </w:p>
    <w:p w14:paraId="324B808E" w14:textId="6ADC248E" w:rsidR="00D24FE1" w:rsidRPr="009F6859" w:rsidRDefault="00D24FE1" w:rsidP="009F6859">
      <w:pPr>
        <w:pStyle w:val="Prrafodelista"/>
        <w:numPr>
          <w:ilvl w:val="1"/>
          <w:numId w:val="1"/>
        </w:numPr>
        <w:tabs>
          <w:tab w:val="left" w:pos="567"/>
          <w:tab w:val="left" w:pos="2268"/>
        </w:tabs>
        <w:spacing w:after="0" w:line="276" w:lineRule="auto"/>
        <w:ind w:left="0" w:firstLine="0"/>
        <w:jc w:val="both"/>
        <w:rPr>
          <w:rStyle w:val="normaltextrun"/>
          <w:rFonts w:ascii="Gadugi" w:eastAsia="Malgun Gothic" w:hAnsi="Gadugi" w:cs="Estrangelo Edessa"/>
          <w:b/>
          <w:sz w:val="24"/>
          <w:szCs w:val="24"/>
        </w:rPr>
      </w:pPr>
      <w:r w:rsidRPr="009F6859">
        <w:rPr>
          <w:rFonts w:ascii="Gadugi" w:eastAsia="Malgun Gothic" w:hAnsi="Gadugi" w:cs="Estrangelo Edessa"/>
          <w:b/>
          <w:sz w:val="24"/>
          <w:szCs w:val="24"/>
        </w:rPr>
        <w:t xml:space="preserve">Hechos </w:t>
      </w:r>
    </w:p>
    <w:p w14:paraId="158F9943" w14:textId="77777777" w:rsidR="00E5733F" w:rsidRPr="009F6859" w:rsidRDefault="00E5733F" w:rsidP="009F6859">
      <w:pPr>
        <w:pStyle w:val="Prrafodelista"/>
        <w:tabs>
          <w:tab w:val="left" w:pos="567"/>
          <w:tab w:val="left" w:pos="3402"/>
        </w:tabs>
        <w:spacing w:after="0" w:line="276" w:lineRule="auto"/>
        <w:ind w:left="2835"/>
        <w:jc w:val="both"/>
        <w:rPr>
          <w:rStyle w:val="normaltextrun"/>
          <w:rFonts w:ascii="Gadugi" w:eastAsia="Malgun Gothic" w:hAnsi="Gadugi" w:cs="Estrangelo Edessa"/>
          <w:b/>
          <w:sz w:val="24"/>
          <w:szCs w:val="24"/>
        </w:rPr>
      </w:pPr>
    </w:p>
    <w:p w14:paraId="4FDE6590" w14:textId="44EC1DAF" w:rsidR="00114101" w:rsidRPr="009F6859" w:rsidRDefault="00E5733F" w:rsidP="009F6859">
      <w:pPr>
        <w:tabs>
          <w:tab w:val="left" w:pos="567"/>
          <w:tab w:val="left" w:pos="3261"/>
        </w:tabs>
        <w:spacing w:after="0" w:line="276" w:lineRule="auto"/>
        <w:jc w:val="both"/>
        <w:rPr>
          <w:rFonts w:ascii="Gadugi" w:eastAsia="Calibri" w:hAnsi="Gadugi" w:cs="Times New Roman"/>
          <w:sz w:val="24"/>
          <w:szCs w:val="24"/>
        </w:rPr>
      </w:pPr>
      <w:r w:rsidRPr="009F6859">
        <w:rPr>
          <w:rFonts w:ascii="Gadugi" w:eastAsia="Malgun Gothic" w:hAnsi="Gadugi" w:cs="Estrangelo Edessa"/>
          <w:sz w:val="24"/>
          <w:szCs w:val="24"/>
        </w:rPr>
        <w:t>Narra</w:t>
      </w:r>
      <w:r w:rsidR="00BC6EF7" w:rsidRPr="009F6859">
        <w:rPr>
          <w:rFonts w:ascii="Gadugi" w:eastAsia="Malgun Gothic" w:hAnsi="Gadugi" w:cs="Estrangelo Edessa"/>
          <w:sz w:val="24"/>
          <w:szCs w:val="24"/>
        </w:rPr>
        <w:t>ron</w:t>
      </w:r>
      <w:r w:rsidRPr="009F6859">
        <w:rPr>
          <w:rFonts w:ascii="Gadugi" w:eastAsia="Malgun Gothic" w:hAnsi="Gadugi" w:cs="Estrangelo Edessa"/>
          <w:sz w:val="24"/>
          <w:szCs w:val="24"/>
        </w:rPr>
        <w:t xml:space="preserve"> l</w:t>
      </w:r>
      <w:r w:rsidR="00B57936" w:rsidRPr="009F6859">
        <w:rPr>
          <w:rFonts w:ascii="Gadugi" w:eastAsia="Malgun Gothic" w:hAnsi="Gadugi" w:cs="Estrangelo Edessa"/>
          <w:sz w:val="24"/>
          <w:szCs w:val="24"/>
        </w:rPr>
        <w:t>os</w:t>
      </w:r>
      <w:r w:rsidR="00AC1B2C" w:rsidRPr="009F6859">
        <w:rPr>
          <w:rFonts w:ascii="Gadugi" w:eastAsia="Malgun Gothic" w:hAnsi="Gadugi" w:cs="Estrangelo Edessa"/>
          <w:sz w:val="24"/>
          <w:szCs w:val="24"/>
        </w:rPr>
        <w:t xml:space="preserve"> demanda</w:t>
      </w:r>
      <w:r w:rsidR="00866362" w:rsidRPr="009F6859">
        <w:rPr>
          <w:rFonts w:ascii="Gadugi" w:eastAsia="Malgun Gothic" w:hAnsi="Gadugi" w:cs="Estrangelo Edessa"/>
          <w:sz w:val="24"/>
          <w:szCs w:val="24"/>
        </w:rPr>
        <w:t>n</w:t>
      </w:r>
      <w:r w:rsidR="00AC1B2C" w:rsidRPr="009F6859">
        <w:rPr>
          <w:rFonts w:ascii="Gadugi" w:eastAsia="Malgun Gothic" w:hAnsi="Gadugi" w:cs="Estrangelo Edessa"/>
          <w:sz w:val="24"/>
          <w:szCs w:val="24"/>
        </w:rPr>
        <w:t>te</w:t>
      </w:r>
      <w:r w:rsidR="00B57936" w:rsidRPr="009F6859">
        <w:rPr>
          <w:rFonts w:ascii="Gadugi" w:eastAsia="Malgun Gothic" w:hAnsi="Gadugi" w:cs="Estrangelo Edessa"/>
          <w:sz w:val="24"/>
          <w:szCs w:val="24"/>
        </w:rPr>
        <w:t>s</w:t>
      </w:r>
      <w:r w:rsidR="00963779" w:rsidRPr="009F6859">
        <w:rPr>
          <w:rStyle w:val="Refdenotaalpie"/>
          <w:rFonts w:ascii="Gadugi" w:eastAsia="Malgun Gothic" w:hAnsi="Gadugi" w:cs="Estrangelo Edessa"/>
          <w:sz w:val="24"/>
          <w:szCs w:val="24"/>
        </w:rPr>
        <w:footnoteReference w:id="4"/>
      </w:r>
      <w:r w:rsidRPr="009F6859">
        <w:rPr>
          <w:rFonts w:ascii="Gadugi" w:eastAsia="Malgun Gothic" w:hAnsi="Gadugi" w:cs="Estrangelo Edessa"/>
          <w:sz w:val="24"/>
          <w:szCs w:val="24"/>
        </w:rPr>
        <w:t xml:space="preserve"> </w:t>
      </w:r>
      <w:r w:rsidRPr="009F6859">
        <w:rPr>
          <w:rFonts w:ascii="Gadugi" w:eastAsia="Calibri" w:hAnsi="Gadugi" w:cs="Times New Roman"/>
          <w:sz w:val="24"/>
          <w:szCs w:val="24"/>
        </w:rPr>
        <w:t xml:space="preserve">que </w:t>
      </w:r>
      <w:r w:rsidR="00B57936" w:rsidRPr="009F6859">
        <w:rPr>
          <w:rFonts w:ascii="Gadugi" w:eastAsia="Calibri" w:hAnsi="Gadugi" w:cs="Times New Roman"/>
          <w:sz w:val="24"/>
          <w:szCs w:val="24"/>
        </w:rPr>
        <w:t xml:space="preserve">la señora </w:t>
      </w:r>
      <w:r w:rsidR="00F41BC0" w:rsidRPr="009F6859">
        <w:rPr>
          <w:rFonts w:ascii="Gadugi" w:eastAsia="Calibri" w:hAnsi="Gadugi" w:cs="Times New Roman"/>
          <w:sz w:val="24"/>
          <w:szCs w:val="24"/>
        </w:rPr>
        <w:t>ME</w:t>
      </w:r>
      <w:r w:rsidR="00B57936" w:rsidRPr="009F6859">
        <w:rPr>
          <w:rFonts w:ascii="Gadugi" w:eastAsia="Calibri" w:hAnsi="Gadugi" w:cs="Times New Roman"/>
          <w:sz w:val="24"/>
          <w:szCs w:val="24"/>
        </w:rPr>
        <w:t xml:space="preserve">, </w:t>
      </w:r>
      <w:r w:rsidR="00963779" w:rsidRPr="009F6859">
        <w:rPr>
          <w:rFonts w:ascii="Gadugi" w:eastAsia="Calibri" w:hAnsi="Gadugi" w:cs="Times New Roman"/>
          <w:sz w:val="24"/>
          <w:szCs w:val="24"/>
        </w:rPr>
        <w:t>estaba</w:t>
      </w:r>
      <w:r w:rsidR="0059143C" w:rsidRPr="009F6859">
        <w:rPr>
          <w:rFonts w:ascii="Gadugi" w:eastAsia="Calibri" w:hAnsi="Gadugi" w:cs="Times New Roman"/>
          <w:sz w:val="24"/>
          <w:szCs w:val="24"/>
        </w:rPr>
        <w:t xml:space="preserve"> afiliada </w:t>
      </w:r>
      <w:r w:rsidR="00963779" w:rsidRPr="009F6859">
        <w:rPr>
          <w:rFonts w:ascii="Gadugi" w:eastAsia="Calibri" w:hAnsi="Gadugi" w:cs="Times New Roman"/>
          <w:sz w:val="24"/>
          <w:szCs w:val="24"/>
        </w:rPr>
        <w:t xml:space="preserve">a la </w:t>
      </w:r>
      <w:r w:rsidR="0059143C" w:rsidRPr="009F6859">
        <w:rPr>
          <w:rFonts w:ascii="Gadugi" w:eastAsia="Calibri" w:hAnsi="Gadugi" w:cs="Times New Roman"/>
          <w:sz w:val="24"/>
          <w:szCs w:val="24"/>
        </w:rPr>
        <w:t xml:space="preserve">EPS Humana Vivir en calidad de beneficiaria; </w:t>
      </w:r>
      <w:r w:rsidR="00B57936" w:rsidRPr="009F6859">
        <w:rPr>
          <w:rFonts w:ascii="Gadugi" w:eastAsia="Calibri" w:hAnsi="Gadugi" w:cs="Times New Roman"/>
          <w:sz w:val="24"/>
          <w:szCs w:val="24"/>
        </w:rPr>
        <w:t>convivía en unión libre con M</w:t>
      </w:r>
      <w:r w:rsidR="00F41BC0" w:rsidRPr="009F6859">
        <w:rPr>
          <w:rFonts w:ascii="Gadugi" w:eastAsia="Calibri" w:hAnsi="Gadugi" w:cs="Times New Roman"/>
          <w:sz w:val="24"/>
          <w:szCs w:val="24"/>
        </w:rPr>
        <w:t>A</w:t>
      </w:r>
      <w:r w:rsidR="00963779" w:rsidRPr="009F6859">
        <w:rPr>
          <w:rFonts w:ascii="Gadugi" w:eastAsia="Calibri" w:hAnsi="Gadugi" w:cs="Times New Roman"/>
          <w:sz w:val="24"/>
          <w:szCs w:val="24"/>
        </w:rPr>
        <w:t xml:space="preserve"> y la </w:t>
      </w:r>
      <w:r w:rsidR="00114101" w:rsidRPr="009F6859">
        <w:rPr>
          <w:rFonts w:ascii="Gadugi" w:eastAsia="Calibri" w:hAnsi="Gadugi" w:cs="Times New Roman"/>
          <w:sz w:val="24"/>
          <w:szCs w:val="24"/>
        </w:rPr>
        <w:t xml:space="preserve">relación </w:t>
      </w:r>
      <w:r w:rsidR="00963779" w:rsidRPr="009F6859">
        <w:rPr>
          <w:rFonts w:ascii="Gadugi" w:eastAsia="Calibri" w:hAnsi="Gadugi" w:cs="Times New Roman"/>
          <w:sz w:val="24"/>
          <w:szCs w:val="24"/>
        </w:rPr>
        <w:t xml:space="preserve">se </w:t>
      </w:r>
      <w:r w:rsidR="00114101" w:rsidRPr="009F6859">
        <w:rPr>
          <w:rFonts w:ascii="Gadugi" w:eastAsia="Calibri" w:hAnsi="Gadugi" w:cs="Times New Roman"/>
          <w:sz w:val="24"/>
          <w:szCs w:val="24"/>
        </w:rPr>
        <w:t>basada en el amor, respeto, fidelidad, solidaridad, comprensión y apoyo mutuo</w:t>
      </w:r>
      <w:r w:rsidR="00963779" w:rsidRPr="009F6859">
        <w:rPr>
          <w:rFonts w:ascii="Gadugi" w:eastAsia="Calibri" w:hAnsi="Gadugi" w:cs="Times New Roman"/>
          <w:sz w:val="24"/>
          <w:szCs w:val="24"/>
        </w:rPr>
        <w:t xml:space="preserve">. Ese </w:t>
      </w:r>
      <w:r w:rsidR="0059143C" w:rsidRPr="009F6859">
        <w:rPr>
          <w:rFonts w:ascii="Gadugi" w:eastAsia="Calibri" w:hAnsi="Gadugi" w:cs="Times New Roman"/>
          <w:sz w:val="24"/>
          <w:szCs w:val="24"/>
        </w:rPr>
        <w:t>la</w:t>
      </w:r>
      <w:r w:rsidR="00963779" w:rsidRPr="009F6859">
        <w:rPr>
          <w:rFonts w:ascii="Gadugi" w:eastAsia="Calibri" w:hAnsi="Gadugi" w:cs="Times New Roman"/>
          <w:sz w:val="24"/>
          <w:szCs w:val="24"/>
        </w:rPr>
        <w:t>z</w:t>
      </w:r>
      <w:r w:rsidR="0059143C" w:rsidRPr="009F6859">
        <w:rPr>
          <w:rFonts w:ascii="Gadugi" w:eastAsia="Calibri" w:hAnsi="Gadugi" w:cs="Times New Roman"/>
          <w:sz w:val="24"/>
          <w:szCs w:val="24"/>
        </w:rPr>
        <w:t xml:space="preserve">o familiar se extendió a </w:t>
      </w:r>
      <w:r w:rsidR="00F41BC0" w:rsidRPr="009F6859">
        <w:rPr>
          <w:rFonts w:ascii="Gadugi" w:eastAsia="Calibri" w:hAnsi="Gadugi" w:cs="Times New Roman"/>
          <w:sz w:val="24"/>
          <w:szCs w:val="24"/>
        </w:rPr>
        <w:t xml:space="preserve">AE, </w:t>
      </w:r>
      <w:r w:rsidR="0059143C" w:rsidRPr="009F6859">
        <w:rPr>
          <w:rFonts w:ascii="Gadugi" w:eastAsia="Calibri" w:hAnsi="Gadugi" w:cs="Times New Roman"/>
          <w:sz w:val="24"/>
          <w:szCs w:val="24"/>
        </w:rPr>
        <w:t>hija del señor S, con quien se creó un fuerte vínculo maternal</w:t>
      </w:r>
      <w:r w:rsidR="00F41BC0" w:rsidRPr="009F6859">
        <w:rPr>
          <w:rFonts w:ascii="Gadugi" w:eastAsia="Calibri" w:hAnsi="Gadugi" w:cs="Times New Roman"/>
          <w:sz w:val="24"/>
          <w:szCs w:val="24"/>
        </w:rPr>
        <w:t xml:space="preserve">, </w:t>
      </w:r>
      <w:r w:rsidR="0059143C" w:rsidRPr="009F6859">
        <w:rPr>
          <w:rFonts w:ascii="Gadugi" w:eastAsia="Calibri" w:hAnsi="Gadugi" w:cs="Times New Roman"/>
          <w:sz w:val="24"/>
          <w:szCs w:val="24"/>
        </w:rPr>
        <w:t>a pesar de no ser la madre biológica.</w:t>
      </w:r>
    </w:p>
    <w:p w14:paraId="0D34C0D8" w14:textId="66846826" w:rsidR="0059143C" w:rsidRPr="009F6859" w:rsidRDefault="0059143C" w:rsidP="009F6859">
      <w:pPr>
        <w:tabs>
          <w:tab w:val="left" w:pos="567"/>
          <w:tab w:val="left" w:pos="3261"/>
        </w:tabs>
        <w:spacing w:after="0" w:line="276" w:lineRule="auto"/>
        <w:jc w:val="both"/>
        <w:rPr>
          <w:rFonts w:ascii="Gadugi" w:eastAsia="Calibri" w:hAnsi="Gadugi" w:cs="Times New Roman"/>
          <w:sz w:val="24"/>
          <w:szCs w:val="24"/>
        </w:rPr>
      </w:pPr>
    </w:p>
    <w:p w14:paraId="38D8BC19" w14:textId="15B80CF8" w:rsidR="00D52A02" w:rsidRPr="009F6859" w:rsidRDefault="00F41BC0" w:rsidP="009F6859">
      <w:pPr>
        <w:tabs>
          <w:tab w:val="left" w:pos="567"/>
          <w:tab w:val="left" w:pos="3261"/>
        </w:tabs>
        <w:spacing w:after="0" w:line="276" w:lineRule="auto"/>
        <w:jc w:val="both"/>
        <w:rPr>
          <w:rFonts w:ascii="Gadugi" w:eastAsia="Calibri" w:hAnsi="Gadugi" w:cs="Times New Roman"/>
          <w:sz w:val="24"/>
          <w:szCs w:val="24"/>
        </w:rPr>
      </w:pPr>
      <w:r w:rsidRPr="009F6859">
        <w:rPr>
          <w:rFonts w:ascii="Gadugi" w:eastAsia="Calibri" w:hAnsi="Gadugi" w:cs="Times New Roman"/>
          <w:sz w:val="24"/>
          <w:szCs w:val="24"/>
        </w:rPr>
        <w:t>ME</w:t>
      </w:r>
      <w:r w:rsidR="00355FDB" w:rsidRPr="009F6859">
        <w:rPr>
          <w:rFonts w:ascii="Gadugi" w:eastAsia="Calibri" w:hAnsi="Gadugi" w:cs="Times New Roman"/>
          <w:sz w:val="24"/>
          <w:szCs w:val="24"/>
        </w:rPr>
        <w:t xml:space="preserve"> t</w:t>
      </w:r>
      <w:r w:rsidR="00963779" w:rsidRPr="009F6859">
        <w:rPr>
          <w:rFonts w:ascii="Gadugi" w:eastAsia="Calibri" w:hAnsi="Gadugi" w:cs="Times New Roman"/>
          <w:sz w:val="24"/>
          <w:szCs w:val="24"/>
        </w:rPr>
        <w:t>uvo</w:t>
      </w:r>
      <w:r w:rsidR="00355FDB" w:rsidRPr="009F6859">
        <w:rPr>
          <w:rFonts w:ascii="Gadugi" w:eastAsia="Calibri" w:hAnsi="Gadugi" w:cs="Times New Roman"/>
          <w:sz w:val="24"/>
          <w:szCs w:val="24"/>
        </w:rPr>
        <w:t xml:space="preserve"> una urgencia vital por sangrado digestivo gástrico, para lo cual el médico tratante dispuso ligadura con trompas elásticas de v</w:t>
      </w:r>
      <w:r w:rsidR="004F0415" w:rsidRPr="009F6859">
        <w:rPr>
          <w:rFonts w:ascii="Gadugi" w:eastAsia="Calibri" w:hAnsi="Gadugi" w:cs="Times New Roman"/>
          <w:sz w:val="24"/>
          <w:szCs w:val="24"/>
        </w:rPr>
        <w:t>á</w:t>
      </w:r>
      <w:r w:rsidR="00355FDB" w:rsidRPr="009F6859">
        <w:rPr>
          <w:rFonts w:ascii="Gadugi" w:eastAsia="Calibri" w:hAnsi="Gadugi" w:cs="Times New Roman"/>
          <w:sz w:val="24"/>
          <w:szCs w:val="24"/>
        </w:rPr>
        <w:t xml:space="preserve">rices sangrantes en esófago, </w:t>
      </w:r>
      <w:r w:rsidR="008D7666" w:rsidRPr="009F6859">
        <w:rPr>
          <w:rFonts w:ascii="Gadugi" w:eastAsia="Calibri" w:hAnsi="Gadugi" w:cs="Times New Roman"/>
          <w:sz w:val="24"/>
          <w:szCs w:val="24"/>
        </w:rPr>
        <w:t xml:space="preserve">pero se le negó </w:t>
      </w:r>
      <w:r w:rsidR="00355FDB" w:rsidRPr="009F6859">
        <w:rPr>
          <w:rFonts w:ascii="Gadugi" w:eastAsia="Calibri" w:hAnsi="Gadugi" w:cs="Times New Roman"/>
          <w:sz w:val="24"/>
          <w:szCs w:val="24"/>
        </w:rPr>
        <w:t>por estar excluido del POS</w:t>
      </w:r>
      <w:r w:rsidR="004F0415" w:rsidRPr="009F6859">
        <w:rPr>
          <w:rFonts w:ascii="Gadugi" w:eastAsia="Calibri" w:hAnsi="Gadugi" w:cs="Times New Roman"/>
          <w:sz w:val="24"/>
          <w:szCs w:val="24"/>
        </w:rPr>
        <w:t>; así que</w:t>
      </w:r>
      <w:r w:rsidR="008C735C" w:rsidRPr="009F6859">
        <w:rPr>
          <w:rFonts w:ascii="Gadugi" w:eastAsia="Calibri" w:hAnsi="Gadugi" w:cs="Times New Roman"/>
          <w:sz w:val="24"/>
          <w:szCs w:val="24"/>
        </w:rPr>
        <w:t xml:space="preserve"> </w:t>
      </w:r>
      <w:r w:rsidR="008D7666" w:rsidRPr="009F6859">
        <w:rPr>
          <w:rFonts w:ascii="Gadugi" w:eastAsia="Calibri" w:hAnsi="Gadugi" w:cs="Times New Roman"/>
          <w:sz w:val="24"/>
          <w:szCs w:val="24"/>
        </w:rPr>
        <w:t>e</w:t>
      </w:r>
      <w:r w:rsidR="00B425DC" w:rsidRPr="009F6859">
        <w:rPr>
          <w:rFonts w:ascii="Gadugi" w:eastAsia="Calibri" w:hAnsi="Gadugi" w:cs="Times New Roman"/>
          <w:sz w:val="24"/>
          <w:szCs w:val="24"/>
        </w:rPr>
        <w:t>l Juzgado P</w:t>
      </w:r>
      <w:r w:rsidRPr="009F6859">
        <w:rPr>
          <w:rFonts w:ascii="Gadugi" w:eastAsia="Calibri" w:hAnsi="Gadugi" w:cs="Times New Roman"/>
          <w:sz w:val="24"/>
          <w:szCs w:val="24"/>
        </w:rPr>
        <w:t xml:space="preserve">rimero </w:t>
      </w:r>
      <w:r w:rsidR="00B425DC" w:rsidRPr="009F6859">
        <w:rPr>
          <w:rFonts w:ascii="Gadugi" w:eastAsia="Calibri" w:hAnsi="Gadugi" w:cs="Times New Roman"/>
          <w:sz w:val="24"/>
          <w:szCs w:val="24"/>
        </w:rPr>
        <w:t>Penal Municipal con Funciones de Conocimiento, el 14 de agosto de 2007</w:t>
      </w:r>
      <w:r w:rsidR="000C28EB" w:rsidRPr="009F6859">
        <w:rPr>
          <w:rFonts w:ascii="Gadugi" w:eastAsia="Calibri" w:hAnsi="Gadugi" w:cs="Times New Roman"/>
          <w:sz w:val="24"/>
          <w:szCs w:val="24"/>
        </w:rPr>
        <w:t>,</w:t>
      </w:r>
      <w:r w:rsidR="00B425DC" w:rsidRPr="009F6859">
        <w:rPr>
          <w:rFonts w:ascii="Gadugi" w:eastAsia="Calibri" w:hAnsi="Gadugi" w:cs="Times New Roman"/>
          <w:sz w:val="24"/>
          <w:szCs w:val="24"/>
        </w:rPr>
        <w:t xml:space="preserve"> emitió una sentencia de tutela, </w:t>
      </w:r>
      <w:r w:rsidR="00272B47" w:rsidRPr="009F6859">
        <w:rPr>
          <w:rFonts w:ascii="Gadugi" w:eastAsia="Calibri" w:hAnsi="Gadugi" w:cs="Times New Roman"/>
          <w:sz w:val="24"/>
          <w:szCs w:val="24"/>
        </w:rPr>
        <w:t xml:space="preserve">confirmada </w:t>
      </w:r>
      <w:r w:rsidR="00B425DC" w:rsidRPr="009F6859">
        <w:rPr>
          <w:rFonts w:ascii="Gadugi" w:eastAsia="Calibri" w:hAnsi="Gadugi" w:cs="Times New Roman"/>
          <w:sz w:val="24"/>
          <w:szCs w:val="24"/>
        </w:rPr>
        <w:t>el 18 de septiembre de 2007 por el Juzgado Sexto Penal del Circuito de Pereira</w:t>
      </w:r>
      <w:r w:rsidR="008C735C" w:rsidRPr="009F6859">
        <w:rPr>
          <w:rFonts w:ascii="Gadugi" w:eastAsia="Calibri" w:hAnsi="Gadugi" w:cs="Times New Roman"/>
          <w:sz w:val="24"/>
          <w:szCs w:val="24"/>
        </w:rPr>
        <w:t xml:space="preserve">, en la que se ordenó ese </w:t>
      </w:r>
      <w:r w:rsidR="00D52A02" w:rsidRPr="009F6859">
        <w:rPr>
          <w:rFonts w:ascii="Gadugi" w:eastAsia="Calibri" w:hAnsi="Gadugi" w:cs="Times New Roman"/>
          <w:sz w:val="24"/>
          <w:szCs w:val="24"/>
        </w:rPr>
        <w:t>procedimiento y el tratamiento integral</w:t>
      </w:r>
      <w:r w:rsidR="000C28EB" w:rsidRPr="009F6859">
        <w:rPr>
          <w:rFonts w:ascii="Gadugi" w:eastAsia="Calibri" w:hAnsi="Gadugi" w:cs="Times New Roman"/>
          <w:sz w:val="24"/>
          <w:szCs w:val="24"/>
        </w:rPr>
        <w:t>,</w:t>
      </w:r>
      <w:r w:rsidR="008D7666" w:rsidRPr="009F6859">
        <w:rPr>
          <w:rFonts w:ascii="Gadugi" w:eastAsia="Calibri" w:hAnsi="Gadugi" w:cs="Times New Roman"/>
          <w:sz w:val="24"/>
          <w:szCs w:val="24"/>
        </w:rPr>
        <w:t xml:space="preserve"> para que recibiera </w:t>
      </w:r>
      <w:r w:rsidR="00D52A02" w:rsidRPr="009F6859">
        <w:rPr>
          <w:rFonts w:ascii="Gadugi" w:eastAsia="Calibri" w:hAnsi="Gadugi" w:cs="Times New Roman"/>
          <w:sz w:val="24"/>
          <w:szCs w:val="24"/>
        </w:rPr>
        <w:t>todos los servicios de salud, así se encontraran por fuera del POS.</w:t>
      </w:r>
    </w:p>
    <w:p w14:paraId="50D0171F" w14:textId="77777777" w:rsidR="00D52A02" w:rsidRPr="009F6859" w:rsidRDefault="00D52A02" w:rsidP="009F6859">
      <w:pPr>
        <w:tabs>
          <w:tab w:val="left" w:pos="567"/>
          <w:tab w:val="left" w:pos="3261"/>
        </w:tabs>
        <w:spacing w:after="0" w:line="276" w:lineRule="auto"/>
        <w:jc w:val="both"/>
        <w:rPr>
          <w:rFonts w:ascii="Gadugi" w:eastAsia="Calibri" w:hAnsi="Gadugi" w:cs="Times New Roman"/>
          <w:sz w:val="24"/>
          <w:szCs w:val="24"/>
        </w:rPr>
      </w:pPr>
    </w:p>
    <w:p w14:paraId="3BED7AD4" w14:textId="1FA390EC" w:rsidR="0059143C" w:rsidRPr="009F6859" w:rsidRDefault="008C735C" w:rsidP="009F6859">
      <w:pPr>
        <w:tabs>
          <w:tab w:val="left" w:pos="567"/>
          <w:tab w:val="left" w:pos="3261"/>
        </w:tabs>
        <w:spacing w:after="0" w:line="276" w:lineRule="auto"/>
        <w:jc w:val="both"/>
        <w:rPr>
          <w:rFonts w:ascii="Gadugi" w:eastAsia="Calibri" w:hAnsi="Gadugi" w:cs="Times New Roman"/>
          <w:sz w:val="24"/>
          <w:szCs w:val="24"/>
        </w:rPr>
      </w:pPr>
      <w:r w:rsidRPr="009F6859">
        <w:rPr>
          <w:rFonts w:ascii="Gadugi" w:eastAsia="Calibri" w:hAnsi="Gadugi" w:cs="Times New Roman"/>
          <w:sz w:val="24"/>
          <w:szCs w:val="24"/>
        </w:rPr>
        <w:lastRenderedPageBreak/>
        <w:t>E</w:t>
      </w:r>
      <w:r w:rsidR="00D52A02" w:rsidRPr="009F6859">
        <w:rPr>
          <w:rFonts w:ascii="Gadugi" w:eastAsia="Calibri" w:hAnsi="Gadugi" w:cs="Times New Roman"/>
          <w:sz w:val="24"/>
          <w:szCs w:val="24"/>
        </w:rPr>
        <w:t>l 21 de diciembre de 2008</w:t>
      </w:r>
      <w:r w:rsidR="00902B13" w:rsidRPr="009F6859">
        <w:rPr>
          <w:rFonts w:ascii="Gadugi" w:eastAsia="Calibri" w:hAnsi="Gadugi" w:cs="Times New Roman"/>
          <w:sz w:val="24"/>
          <w:szCs w:val="24"/>
        </w:rPr>
        <w:t xml:space="preserve">, </w:t>
      </w:r>
      <w:r w:rsidRPr="009F6859">
        <w:rPr>
          <w:rFonts w:ascii="Gadugi" w:eastAsia="Calibri" w:hAnsi="Gadugi" w:cs="Times New Roman"/>
          <w:sz w:val="24"/>
          <w:szCs w:val="24"/>
        </w:rPr>
        <w:t xml:space="preserve">nuevamente </w:t>
      </w:r>
      <w:r w:rsidR="005E5F50" w:rsidRPr="009F6859">
        <w:rPr>
          <w:rFonts w:ascii="Gadugi" w:eastAsia="Calibri" w:hAnsi="Gadugi" w:cs="Times New Roman"/>
          <w:sz w:val="24"/>
          <w:szCs w:val="24"/>
        </w:rPr>
        <w:t xml:space="preserve">acudió a </w:t>
      </w:r>
      <w:r w:rsidR="006E1283" w:rsidRPr="009F6859">
        <w:rPr>
          <w:rFonts w:ascii="Gadugi" w:eastAsia="Calibri" w:hAnsi="Gadugi" w:cs="Times New Roman"/>
          <w:sz w:val="24"/>
          <w:szCs w:val="24"/>
        </w:rPr>
        <w:t xml:space="preserve">urgencias de </w:t>
      </w:r>
      <w:r w:rsidR="005E5F50" w:rsidRPr="009F6859">
        <w:rPr>
          <w:rFonts w:ascii="Gadugi" w:eastAsia="Calibri" w:hAnsi="Gadugi" w:cs="Times New Roman"/>
          <w:sz w:val="24"/>
          <w:szCs w:val="24"/>
        </w:rPr>
        <w:t xml:space="preserve">la Clínica Risaralda, IPS </w:t>
      </w:r>
      <w:r w:rsidR="006E1283" w:rsidRPr="009F6859">
        <w:rPr>
          <w:rFonts w:ascii="Gadugi" w:eastAsia="Calibri" w:hAnsi="Gadugi" w:cs="Times New Roman"/>
          <w:sz w:val="24"/>
          <w:szCs w:val="24"/>
        </w:rPr>
        <w:t>que le prestaba los servicios a la EPS Humana Vivir</w:t>
      </w:r>
      <w:r w:rsidR="00D22229" w:rsidRPr="009F6859">
        <w:rPr>
          <w:rFonts w:ascii="Gadugi" w:eastAsia="Calibri" w:hAnsi="Gadugi" w:cs="Times New Roman"/>
          <w:sz w:val="24"/>
          <w:szCs w:val="24"/>
        </w:rPr>
        <w:t>;</w:t>
      </w:r>
      <w:r w:rsidR="00220F04" w:rsidRPr="009F6859">
        <w:rPr>
          <w:rFonts w:ascii="Gadugi" w:eastAsia="Calibri" w:hAnsi="Gadugi" w:cs="Times New Roman"/>
          <w:sz w:val="24"/>
          <w:szCs w:val="24"/>
        </w:rPr>
        <w:t xml:space="preserve"> de su historia clínica se </w:t>
      </w:r>
      <w:r w:rsidR="000C28EB" w:rsidRPr="009F6859">
        <w:rPr>
          <w:rFonts w:ascii="Gadugi" w:eastAsia="Calibri" w:hAnsi="Gadugi" w:cs="Times New Roman"/>
          <w:sz w:val="24"/>
          <w:szCs w:val="24"/>
        </w:rPr>
        <w:t>resalta</w:t>
      </w:r>
      <w:r w:rsidR="00220F04" w:rsidRPr="009F6859">
        <w:rPr>
          <w:rFonts w:ascii="Gadugi" w:eastAsia="Calibri" w:hAnsi="Gadugi" w:cs="Times New Roman"/>
          <w:sz w:val="24"/>
          <w:szCs w:val="24"/>
        </w:rPr>
        <w:t xml:space="preserve">, entre otras cosas, </w:t>
      </w:r>
      <w:r w:rsidR="002D0F73" w:rsidRPr="009F6859">
        <w:rPr>
          <w:rFonts w:ascii="Gadugi" w:eastAsia="Calibri" w:hAnsi="Gadugi" w:cs="Times New Roman"/>
          <w:sz w:val="24"/>
          <w:szCs w:val="24"/>
        </w:rPr>
        <w:t xml:space="preserve">que la paciente consultó por </w:t>
      </w:r>
      <w:r w:rsidR="00F24867" w:rsidRPr="009F6859">
        <w:rPr>
          <w:rFonts w:ascii="Gadugi" w:eastAsia="Calibri" w:hAnsi="Gadugi" w:cs="Times New Roman"/>
          <w:sz w:val="24"/>
          <w:szCs w:val="24"/>
        </w:rPr>
        <w:t>cefalea</w:t>
      </w:r>
      <w:r w:rsidR="00AD39FD" w:rsidRPr="009F6859">
        <w:rPr>
          <w:rFonts w:ascii="Gadugi" w:eastAsia="Calibri" w:hAnsi="Gadugi" w:cs="Times New Roman"/>
          <w:sz w:val="24"/>
          <w:szCs w:val="24"/>
        </w:rPr>
        <w:t>,</w:t>
      </w:r>
      <w:r w:rsidR="00F24867" w:rsidRPr="009F6859">
        <w:rPr>
          <w:rFonts w:ascii="Gadugi" w:eastAsia="Calibri" w:hAnsi="Gadugi" w:cs="Times New Roman"/>
          <w:sz w:val="24"/>
          <w:szCs w:val="24"/>
        </w:rPr>
        <w:t xml:space="preserve"> cirrosis</w:t>
      </w:r>
      <w:r w:rsidR="00AD39FD" w:rsidRPr="009F6859">
        <w:rPr>
          <w:rFonts w:ascii="Gadugi" w:eastAsia="Calibri" w:hAnsi="Gadugi" w:cs="Times New Roman"/>
          <w:sz w:val="24"/>
          <w:szCs w:val="24"/>
        </w:rPr>
        <w:t xml:space="preserve"> y v</w:t>
      </w:r>
      <w:r w:rsidR="00823EC4" w:rsidRPr="009F6859">
        <w:rPr>
          <w:rFonts w:ascii="Gadugi" w:eastAsia="Calibri" w:hAnsi="Gadugi" w:cs="Times New Roman"/>
          <w:sz w:val="24"/>
          <w:szCs w:val="24"/>
        </w:rPr>
        <w:t>ó</w:t>
      </w:r>
      <w:r w:rsidR="00AD39FD" w:rsidRPr="009F6859">
        <w:rPr>
          <w:rFonts w:ascii="Gadugi" w:eastAsia="Calibri" w:hAnsi="Gadugi" w:cs="Times New Roman"/>
          <w:sz w:val="24"/>
          <w:szCs w:val="24"/>
        </w:rPr>
        <w:t>mito con sangre</w:t>
      </w:r>
      <w:r w:rsidR="00F24867" w:rsidRPr="009F6859">
        <w:rPr>
          <w:rFonts w:ascii="Gadugi" w:eastAsia="Calibri" w:hAnsi="Gadugi" w:cs="Times New Roman"/>
          <w:sz w:val="24"/>
          <w:szCs w:val="24"/>
        </w:rPr>
        <w:t>,</w:t>
      </w:r>
      <w:r w:rsidR="00AD39FD" w:rsidRPr="009F6859">
        <w:rPr>
          <w:rFonts w:ascii="Gadugi" w:eastAsia="Calibri" w:hAnsi="Gadugi" w:cs="Times New Roman"/>
          <w:sz w:val="24"/>
          <w:szCs w:val="24"/>
        </w:rPr>
        <w:t xml:space="preserve"> continuó hospitalizada </w:t>
      </w:r>
      <w:r w:rsidR="004F7207" w:rsidRPr="009F6859">
        <w:rPr>
          <w:rFonts w:ascii="Gadugi" w:eastAsia="Calibri" w:hAnsi="Gadugi" w:cs="Times New Roman"/>
          <w:sz w:val="24"/>
          <w:szCs w:val="24"/>
        </w:rPr>
        <w:t xml:space="preserve">con </w:t>
      </w:r>
      <w:r w:rsidR="008826A9" w:rsidRPr="009F6859">
        <w:rPr>
          <w:rFonts w:ascii="Gadugi" w:eastAsia="Calibri" w:hAnsi="Gadugi" w:cs="Times New Roman"/>
          <w:sz w:val="24"/>
          <w:szCs w:val="24"/>
        </w:rPr>
        <w:t xml:space="preserve">diagnósticos de </w:t>
      </w:r>
      <w:r w:rsidR="004F7207" w:rsidRPr="009F6859">
        <w:rPr>
          <w:rFonts w:ascii="Gadugi" w:eastAsia="Calibri" w:hAnsi="Gadugi" w:cs="Times New Roman"/>
          <w:sz w:val="24"/>
          <w:szCs w:val="24"/>
        </w:rPr>
        <w:t>hemorragia digestiva alta</w:t>
      </w:r>
      <w:r w:rsidR="008826A9" w:rsidRPr="009F6859">
        <w:rPr>
          <w:rFonts w:ascii="Gadugi" w:eastAsia="Calibri" w:hAnsi="Gadugi" w:cs="Times New Roman"/>
          <w:sz w:val="24"/>
          <w:szCs w:val="24"/>
        </w:rPr>
        <w:t xml:space="preserve"> y</w:t>
      </w:r>
      <w:r w:rsidR="004F7207" w:rsidRPr="009F6859">
        <w:rPr>
          <w:rFonts w:ascii="Gadugi" w:eastAsia="Calibri" w:hAnsi="Gadugi" w:cs="Times New Roman"/>
          <w:sz w:val="24"/>
          <w:szCs w:val="24"/>
        </w:rPr>
        <w:t xml:space="preserve"> varices esofágicas</w:t>
      </w:r>
      <w:r w:rsidR="002D0F73" w:rsidRPr="009F6859">
        <w:rPr>
          <w:rFonts w:ascii="Gadugi" w:eastAsia="Calibri" w:hAnsi="Gadugi" w:cs="Times New Roman"/>
          <w:sz w:val="24"/>
          <w:szCs w:val="24"/>
        </w:rPr>
        <w:t>;</w:t>
      </w:r>
      <w:r w:rsidR="008826A9" w:rsidRPr="009F6859">
        <w:rPr>
          <w:rFonts w:ascii="Gadugi" w:eastAsia="Calibri" w:hAnsi="Gadugi" w:cs="Times New Roman"/>
          <w:sz w:val="24"/>
          <w:szCs w:val="24"/>
        </w:rPr>
        <w:t xml:space="preserve"> </w:t>
      </w:r>
      <w:r w:rsidR="002D0F73" w:rsidRPr="009F6859">
        <w:rPr>
          <w:rFonts w:ascii="Gadugi" w:eastAsia="Calibri" w:hAnsi="Gadugi" w:cs="Times New Roman"/>
          <w:sz w:val="24"/>
          <w:szCs w:val="24"/>
        </w:rPr>
        <w:t xml:space="preserve">como tratamiento se dispuso </w:t>
      </w:r>
      <w:r w:rsidR="008826A9" w:rsidRPr="009F6859">
        <w:rPr>
          <w:rFonts w:ascii="Gadugi" w:eastAsia="Calibri" w:hAnsi="Gadugi" w:cs="Times New Roman"/>
          <w:sz w:val="24"/>
          <w:szCs w:val="24"/>
        </w:rPr>
        <w:t>kit para ligadura de varices esofágicas</w:t>
      </w:r>
      <w:r w:rsidR="00D22229" w:rsidRPr="009F6859">
        <w:rPr>
          <w:rFonts w:ascii="Gadugi" w:eastAsia="Calibri" w:hAnsi="Gadugi" w:cs="Times New Roman"/>
          <w:sz w:val="24"/>
          <w:szCs w:val="24"/>
        </w:rPr>
        <w:t>; el 23 siguiente ingresó a UCI</w:t>
      </w:r>
      <w:r w:rsidR="002D0F73" w:rsidRPr="009F6859">
        <w:rPr>
          <w:rFonts w:ascii="Gadugi" w:eastAsia="Calibri" w:hAnsi="Gadugi" w:cs="Times New Roman"/>
          <w:sz w:val="24"/>
          <w:szCs w:val="24"/>
        </w:rPr>
        <w:t xml:space="preserve"> </w:t>
      </w:r>
      <w:r w:rsidR="00E75515" w:rsidRPr="009F6859">
        <w:rPr>
          <w:rFonts w:ascii="Gadugi" w:eastAsia="Calibri" w:hAnsi="Gadugi" w:cs="Times New Roman"/>
          <w:sz w:val="24"/>
          <w:szCs w:val="24"/>
        </w:rPr>
        <w:t xml:space="preserve">y el 24 de diciembre falleció. </w:t>
      </w:r>
    </w:p>
    <w:p w14:paraId="70C4C76C" w14:textId="4AE26F9A" w:rsidR="00B14971" w:rsidRPr="009F6859" w:rsidRDefault="00B14971" w:rsidP="009F6859">
      <w:pPr>
        <w:tabs>
          <w:tab w:val="left" w:pos="567"/>
          <w:tab w:val="left" w:pos="3261"/>
        </w:tabs>
        <w:spacing w:after="0" w:line="276" w:lineRule="auto"/>
        <w:jc w:val="both"/>
        <w:rPr>
          <w:rStyle w:val="normaltextrun"/>
          <w:rFonts w:ascii="Gadugi" w:eastAsia="Calibri" w:hAnsi="Gadugi" w:cs="Times New Roman"/>
          <w:sz w:val="24"/>
          <w:szCs w:val="24"/>
        </w:rPr>
      </w:pPr>
    </w:p>
    <w:p w14:paraId="6BE034A5" w14:textId="71756D2B" w:rsidR="00BE3B65" w:rsidRPr="009F6859" w:rsidRDefault="000939B9" w:rsidP="009F6859">
      <w:pPr>
        <w:tabs>
          <w:tab w:val="left" w:pos="567"/>
          <w:tab w:val="left" w:pos="3261"/>
        </w:tabs>
        <w:spacing w:after="0" w:line="276" w:lineRule="auto"/>
        <w:jc w:val="both"/>
        <w:rPr>
          <w:rStyle w:val="normaltextrun"/>
          <w:rFonts w:ascii="Gadugi" w:eastAsia="Calibri" w:hAnsi="Gadugi" w:cs="Times New Roman"/>
          <w:sz w:val="24"/>
          <w:szCs w:val="24"/>
        </w:rPr>
      </w:pPr>
      <w:r w:rsidRPr="009F6859">
        <w:rPr>
          <w:rStyle w:val="normaltextrun"/>
          <w:rFonts w:ascii="Gadugi" w:eastAsia="Calibri" w:hAnsi="Gadugi" w:cs="Times New Roman"/>
          <w:sz w:val="24"/>
          <w:szCs w:val="24"/>
        </w:rPr>
        <w:t>Sostienen que, por las patologías y los síntomas de la paciente resultaba más apropiado el uso de acetaminofén, en vez de AINES</w:t>
      </w:r>
      <w:r w:rsidR="00CE63C0" w:rsidRPr="009F6859">
        <w:rPr>
          <w:rStyle w:val="normaltextrun"/>
          <w:rFonts w:ascii="Gadugi" w:eastAsia="Calibri" w:hAnsi="Gadugi" w:cs="Times New Roman"/>
          <w:sz w:val="24"/>
          <w:szCs w:val="24"/>
        </w:rPr>
        <w:t>,</w:t>
      </w:r>
      <w:r w:rsidRPr="009F6859">
        <w:rPr>
          <w:rStyle w:val="normaltextrun"/>
          <w:rFonts w:ascii="Gadugi" w:eastAsia="Calibri" w:hAnsi="Gadugi" w:cs="Times New Roman"/>
          <w:sz w:val="24"/>
          <w:szCs w:val="24"/>
        </w:rPr>
        <w:t xml:space="preserve"> </w:t>
      </w:r>
      <w:r w:rsidR="00220F04" w:rsidRPr="009F6859">
        <w:rPr>
          <w:rStyle w:val="normaltextrun"/>
          <w:rFonts w:ascii="Gadugi" w:eastAsia="Calibri" w:hAnsi="Gadugi" w:cs="Times New Roman"/>
          <w:sz w:val="24"/>
          <w:szCs w:val="24"/>
        </w:rPr>
        <w:t xml:space="preserve">porque éste </w:t>
      </w:r>
      <w:r w:rsidRPr="009F6859">
        <w:rPr>
          <w:rStyle w:val="normaltextrun"/>
          <w:rFonts w:ascii="Gadugi" w:eastAsia="Calibri" w:hAnsi="Gadugi" w:cs="Times New Roman"/>
          <w:sz w:val="24"/>
          <w:szCs w:val="24"/>
        </w:rPr>
        <w:t>puede generar sangrado digestivo alto</w:t>
      </w:r>
      <w:r w:rsidR="00CE63C0" w:rsidRPr="009F6859">
        <w:rPr>
          <w:rStyle w:val="normaltextrun"/>
          <w:rFonts w:ascii="Gadugi" w:eastAsia="Calibri" w:hAnsi="Gadugi" w:cs="Times New Roman"/>
          <w:sz w:val="24"/>
          <w:szCs w:val="24"/>
        </w:rPr>
        <w:t xml:space="preserve">; </w:t>
      </w:r>
      <w:r w:rsidR="00220F04" w:rsidRPr="009F6859">
        <w:rPr>
          <w:rStyle w:val="normaltextrun"/>
          <w:rFonts w:ascii="Gadugi" w:eastAsia="Calibri" w:hAnsi="Gadugi" w:cs="Times New Roman"/>
          <w:sz w:val="24"/>
          <w:szCs w:val="24"/>
        </w:rPr>
        <w:t xml:space="preserve">y arguyen que </w:t>
      </w:r>
      <w:r w:rsidR="00CE63C0" w:rsidRPr="009F6859">
        <w:rPr>
          <w:rStyle w:val="normaltextrun"/>
          <w:rFonts w:ascii="Gadugi" w:eastAsia="Calibri" w:hAnsi="Gadugi" w:cs="Times New Roman"/>
          <w:sz w:val="24"/>
          <w:szCs w:val="24"/>
        </w:rPr>
        <w:t xml:space="preserve">hubo manejo incompleto por falta de valoración </w:t>
      </w:r>
      <w:r w:rsidR="00220F04" w:rsidRPr="009F6859">
        <w:rPr>
          <w:rStyle w:val="normaltextrun"/>
          <w:rFonts w:ascii="Gadugi" w:eastAsia="Calibri" w:hAnsi="Gadugi" w:cs="Times New Roman"/>
          <w:sz w:val="24"/>
          <w:szCs w:val="24"/>
        </w:rPr>
        <w:t xml:space="preserve">por gastroenterología </w:t>
      </w:r>
      <w:r w:rsidR="00CE63C0" w:rsidRPr="009F6859">
        <w:rPr>
          <w:rStyle w:val="normaltextrun"/>
          <w:rFonts w:ascii="Gadugi" w:eastAsia="Calibri" w:hAnsi="Gadugi" w:cs="Times New Roman"/>
          <w:sz w:val="24"/>
          <w:szCs w:val="24"/>
        </w:rPr>
        <w:t>desde el ingreso</w:t>
      </w:r>
      <w:r w:rsidR="00220F04" w:rsidRPr="009F6859">
        <w:rPr>
          <w:rStyle w:val="normaltextrun"/>
          <w:rFonts w:ascii="Gadugi" w:eastAsia="Calibri" w:hAnsi="Gadugi" w:cs="Times New Roman"/>
          <w:sz w:val="24"/>
          <w:szCs w:val="24"/>
        </w:rPr>
        <w:t xml:space="preserve"> a la clínica</w:t>
      </w:r>
      <w:r w:rsidR="00CE63C0" w:rsidRPr="009F6859">
        <w:rPr>
          <w:rStyle w:val="normaltextrun"/>
          <w:rFonts w:ascii="Gadugi" w:eastAsia="Calibri" w:hAnsi="Gadugi" w:cs="Times New Roman"/>
          <w:sz w:val="24"/>
          <w:szCs w:val="24"/>
        </w:rPr>
        <w:t xml:space="preserve">; </w:t>
      </w:r>
      <w:r w:rsidR="00220F04" w:rsidRPr="009F6859">
        <w:rPr>
          <w:rStyle w:val="normaltextrun"/>
          <w:rFonts w:ascii="Gadugi" w:eastAsia="Calibri" w:hAnsi="Gadugi" w:cs="Times New Roman"/>
          <w:sz w:val="24"/>
          <w:szCs w:val="24"/>
        </w:rPr>
        <w:t xml:space="preserve">razón por la cual, consideran que </w:t>
      </w:r>
      <w:r w:rsidR="00CE63C0" w:rsidRPr="009F6859">
        <w:rPr>
          <w:rStyle w:val="normaltextrun"/>
          <w:rFonts w:ascii="Gadugi" w:eastAsia="Calibri" w:hAnsi="Gadugi" w:cs="Times New Roman"/>
          <w:sz w:val="24"/>
          <w:szCs w:val="24"/>
        </w:rPr>
        <w:t>la IPS y la EPS faltaron a su deber de atención</w:t>
      </w:r>
      <w:r w:rsidR="00AD4E70" w:rsidRPr="009F6859">
        <w:rPr>
          <w:rStyle w:val="normaltextrun"/>
          <w:rFonts w:ascii="Gadugi" w:eastAsia="Calibri" w:hAnsi="Gadugi" w:cs="Times New Roman"/>
          <w:sz w:val="24"/>
          <w:szCs w:val="24"/>
        </w:rPr>
        <w:t xml:space="preserve">. </w:t>
      </w:r>
    </w:p>
    <w:p w14:paraId="11125337" w14:textId="070F17EF" w:rsidR="00AD4E70" w:rsidRPr="009F6859" w:rsidRDefault="00AD4E70" w:rsidP="009F6859">
      <w:pPr>
        <w:tabs>
          <w:tab w:val="left" w:pos="567"/>
          <w:tab w:val="left" w:pos="3261"/>
        </w:tabs>
        <w:spacing w:after="0" w:line="276" w:lineRule="auto"/>
        <w:jc w:val="both"/>
        <w:rPr>
          <w:rStyle w:val="normaltextrun"/>
          <w:rFonts w:ascii="Gadugi" w:eastAsia="Calibri" w:hAnsi="Gadugi" w:cs="Times New Roman"/>
          <w:sz w:val="24"/>
          <w:szCs w:val="24"/>
        </w:rPr>
      </w:pPr>
    </w:p>
    <w:p w14:paraId="6915F314" w14:textId="1B245147" w:rsidR="00AD4E70" w:rsidRPr="009F6859" w:rsidRDefault="00AD4E70" w:rsidP="009F6859">
      <w:pPr>
        <w:tabs>
          <w:tab w:val="left" w:pos="567"/>
          <w:tab w:val="left" w:pos="3261"/>
        </w:tabs>
        <w:spacing w:after="0" w:line="276" w:lineRule="auto"/>
        <w:jc w:val="both"/>
        <w:rPr>
          <w:rStyle w:val="normaltextrun"/>
          <w:rFonts w:ascii="Gadugi" w:eastAsia="Calibri" w:hAnsi="Gadugi" w:cs="Times New Roman"/>
          <w:sz w:val="24"/>
          <w:szCs w:val="24"/>
        </w:rPr>
      </w:pPr>
      <w:r w:rsidRPr="009F6859">
        <w:rPr>
          <w:rStyle w:val="normaltextrun"/>
          <w:rFonts w:ascii="Gadugi" w:eastAsia="Calibri" w:hAnsi="Gadugi" w:cs="Times New Roman"/>
          <w:sz w:val="24"/>
          <w:szCs w:val="24"/>
        </w:rPr>
        <w:t xml:space="preserve">Aseguran que la paciente requería de manera urgente un kit para ligadura de varices esofágicas </w:t>
      </w:r>
      <w:r w:rsidR="007D316E" w:rsidRPr="009F6859">
        <w:rPr>
          <w:rStyle w:val="normaltextrun"/>
          <w:rFonts w:ascii="Gadugi" w:eastAsia="Calibri" w:hAnsi="Gadugi" w:cs="Times New Roman"/>
          <w:sz w:val="24"/>
          <w:szCs w:val="24"/>
        </w:rPr>
        <w:t xml:space="preserve">y </w:t>
      </w:r>
      <w:r w:rsidR="00C762DB" w:rsidRPr="009F6859">
        <w:rPr>
          <w:rStyle w:val="normaltextrun"/>
          <w:rFonts w:ascii="Gadugi" w:eastAsia="Calibri" w:hAnsi="Gadugi" w:cs="Times New Roman"/>
          <w:sz w:val="24"/>
          <w:szCs w:val="24"/>
        </w:rPr>
        <w:t xml:space="preserve">que </w:t>
      </w:r>
      <w:r w:rsidR="007D316E" w:rsidRPr="009F6859">
        <w:rPr>
          <w:rStyle w:val="normaltextrun"/>
          <w:rFonts w:ascii="Gadugi" w:eastAsia="Calibri" w:hAnsi="Gadugi" w:cs="Times New Roman"/>
          <w:sz w:val="24"/>
          <w:szCs w:val="24"/>
        </w:rPr>
        <w:t xml:space="preserve">la falta </w:t>
      </w:r>
      <w:r w:rsidR="000C28EB" w:rsidRPr="009F6859">
        <w:rPr>
          <w:rStyle w:val="normaltextrun"/>
          <w:rFonts w:ascii="Gadugi" w:eastAsia="Calibri" w:hAnsi="Gadugi" w:cs="Times New Roman"/>
          <w:sz w:val="24"/>
          <w:szCs w:val="24"/>
        </w:rPr>
        <w:t xml:space="preserve">de suministro </w:t>
      </w:r>
      <w:r w:rsidR="007D316E" w:rsidRPr="009F6859">
        <w:rPr>
          <w:rStyle w:val="normaltextrun"/>
          <w:rFonts w:ascii="Gadugi" w:eastAsia="Calibri" w:hAnsi="Gadugi" w:cs="Times New Roman"/>
          <w:sz w:val="24"/>
          <w:szCs w:val="24"/>
        </w:rPr>
        <w:t xml:space="preserve">generó su muerte, </w:t>
      </w:r>
      <w:r w:rsidR="00C762DB" w:rsidRPr="009F6859">
        <w:rPr>
          <w:rStyle w:val="normaltextrun"/>
          <w:rFonts w:ascii="Gadugi" w:eastAsia="Calibri" w:hAnsi="Gadugi" w:cs="Times New Roman"/>
          <w:sz w:val="24"/>
          <w:szCs w:val="24"/>
        </w:rPr>
        <w:t xml:space="preserve">lo que los lleva a pensar que </w:t>
      </w:r>
      <w:r w:rsidR="007D316E" w:rsidRPr="009F6859">
        <w:rPr>
          <w:rStyle w:val="normaltextrun"/>
          <w:rFonts w:ascii="Gadugi" w:eastAsia="Calibri" w:hAnsi="Gadugi" w:cs="Times New Roman"/>
          <w:sz w:val="24"/>
          <w:szCs w:val="24"/>
        </w:rPr>
        <w:t xml:space="preserve">las demandadas se encontraban frente a una urgencia </w:t>
      </w:r>
      <w:r w:rsidR="00C762DB" w:rsidRPr="009F6859">
        <w:rPr>
          <w:rStyle w:val="normaltextrun"/>
          <w:rFonts w:ascii="Gadugi" w:eastAsia="Calibri" w:hAnsi="Gadugi" w:cs="Times New Roman"/>
          <w:sz w:val="24"/>
          <w:szCs w:val="24"/>
        </w:rPr>
        <w:t xml:space="preserve">que </w:t>
      </w:r>
      <w:r w:rsidR="007D316E" w:rsidRPr="009F6859">
        <w:rPr>
          <w:rStyle w:val="normaltextrun"/>
          <w:rFonts w:ascii="Gadugi" w:eastAsia="Calibri" w:hAnsi="Gadugi" w:cs="Times New Roman"/>
          <w:sz w:val="24"/>
          <w:szCs w:val="24"/>
        </w:rPr>
        <w:t>no fue atendida de manera integral y continua</w:t>
      </w:r>
      <w:r w:rsidR="008A5D6C" w:rsidRPr="009F6859">
        <w:rPr>
          <w:rStyle w:val="normaltextrun"/>
          <w:rFonts w:ascii="Gadugi" w:eastAsia="Calibri" w:hAnsi="Gadugi" w:cs="Times New Roman"/>
          <w:sz w:val="24"/>
          <w:szCs w:val="24"/>
        </w:rPr>
        <w:t>d</w:t>
      </w:r>
      <w:r w:rsidR="007D316E" w:rsidRPr="009F6859">
        <w:rPr>
          <w:rStyle w:val="normaltextrun"/>
          <w:rFonts w:ascii="Gadugi" w:eastAsia="Calibri" w:hAnsi="Gadugi" w:cs="Times New Roman"/>
          <w:sz w:val="24"/>
          <w:szCs w:val="24"/>
        </w:rPr>
        <w:t>a, no obraron con diligencia y cuidado, violando su derecho a la vida</w:t>
      </w:r>
      <w:r w:rsidR="00C762DB" w:rsidRPr="009F6859">
        <w:rPr>
          <w:rStyle w:val="normaltextrun"/>
          <w:rFonts w:ascii="Gadugi" w:eastAsia="Calibri" w:hAnsi="Gadugi" w:cs="Times New Roman"/>
          <w:sz w:val="24"/>
          <w:szCs w:val="24"/>
        </w:rPr>
        <w:t xml:space="preserve"> y</w:t>
      </w:r>
      <w:r w:rsidR="007D316E" w:rsidRPr="009F6859">
        <w:rPr>
          <w:rStyle w:val="normaltextrun"/>
          <w:rFonts w:ascii="Gadugi" w:eastAsia="Calibri" w:hAnsi="Gadugi" w:cs="Times New Roman"/>
          <w:sz w:val="24"/>
          <w:szCs w:val="24"/>
        </w:rPr>
        <w:t xml:space="preserve"> pérdida de la oportunidad de sanar</w:t>
      </w:r>
      <w:r w:rsidR="002B4710" w:rsidRPr="009F6859">
        <w:rPr>
          <w:rStyle w:val="normaltextrun"/>
          <w:rFonts w:ascii="Gadugi" w:eastAsia="Calibri" w:hAnsi="Gadugi" w:cs="Times New Roman"/>
          <w:sz w:val="24"/>
          <w:szCs w:val="24"/>
        </w:rPr>
        <w:t>,</w:t>
      </w:r>
      <w:r w:rsidR="00C762DB" w:rsidRPr="009F6859">
        <w:rPr>
          <w:rStyle w:val="normaltextrun"/>
          <w:rFonts w:ascii="Gadugi" w:eastAsia="Calibri" w:hAnsi="Gadugi" w:cs="Times New Roman"/>
          <w:sz w:val="24"/>
          <w:szCs w:val="24"/>
        </w:rPr>
        <w:t xml:space="preserve"> que les produjo </w:t>
      </w:r>
      <w:r w:rsidR="002B4710" w:rsidRPr="009F6859">
        <w:rPr>
          <w:rStyle w:val="normaltextrun"/>
          <w:rFonts w:ascii="Gadugi" w:eastAsia="Calibri" w:hAnsi="Gadugi" w:cs="Times New Roman"/>
          <w:sz w:val="24"/>
          <w:szCs w:val="24"/>
        </w:rPr>
        <w:t xml:space="preserve">perjuicios morales y económicos a los demandantes. </w:t>
      </w:r>
      <w:r w:rsidR="007D316E" w:rsidRPr="009F6859">
        <w:rPr>
          <w:rStyle w:val="normaltextrun"/>
          <w:rFonts w:ascii="Gadugi" w:eastAsia="Calibri" w:hAnsi="Gadugi" w:cs="Times New Roman"/>
          <w:sz w:val="24"/>
          <w:szCs w:val="24"/>
        </w:rPr>
        <w:t xml:space="preserve"> </w:t>
      </w:r>
    </w:p>
    <w:p w14:paraId="1323CD68" w14:textId="77777777" w:rsidR="00BE3B65" w:rsidRPr="009F6859" w:rsidRDefault="00BE3B65" w:rsidP="009F6859">
      <w:pPr>
        <w:tabs>
          <w:tab w:val="left" w:pos="3261"/>
        </w:tabs>
        <w:spacing w:after="0" w:line="276" w:lineRule="auto"/>
        <w:ind w:firstLine="1276"/>
        <w:jc w:val="both"/>
        <w:rPr>
          <w:rStyle w:val="normaltextrun"/>
          <w:rFonts w:ascii="Gadugi" w:eastAsia="Calibri" w:hAnsi="Gadugi" w:cs="Times New Roman"/>
          <w:sz w:val="24"/>
          <w:szCs w:val="24"/>
        </w:rPr>
      </w:pPr>
    </w:p>
    <w:p w14:paraId="3A1DBBD2" w14:textId="09F70A8F" w:rsidR="00D24FE1" w:rsidRPr="009F6859" w:rsidRDefault="00D24FE1" w:rsidP="009F6859">
      <w:pPr>
        <w:pStyle w:val="Prrafodelista"/>
        <w:numPr>
          <w:ilvl w:val="1"/>
          <w:numId w:val="1"/>
        </w:numPr>
        <w:tabs>
          <w:tab w:val="left" w:pos="567"/>
          <w:tab w:val="left" w:pos="2268"/>
        </w:tabs>
        <w:spacing w:after="0" w:line="276" w:lineRule="auto"/>
        <w:ind w:left="0" w:firstLine="0"/>
        <w:jc w:val="both"/>
        <w:rPr>
          <w:rStyle w:val="normaltextrun"/>
          <w:rFonts w:ascii="Gadugi" w:eastAsia="Malgun Gothic" w:hAnsi="Gadugi" w:cs="Estrangelo Edessa"/>
          <w:b/>
          <w:sz w:val="24"/>
          <w:szCs w:val="24"/>
          <w:lang w:val="en-US"/>
        </w:rPr>
      </w:pPr>
      <w:r w:rsidRPr="009F6859">
        <w:rPr>
          <w:rFonts w:ascii="Gadugi" w:eastAsia="Calibri" w:hAnsi="Gadugi" w:cs="Times New Roman"/>
          <w:b/>
          <w:sz w:val="24"/>
          <w:szCs w:val="24"/>
        </w:rPr>
        <w:t>Pretensiones</w:t>
      </w:r>
      <w:r w:rsidR="00977E60" w:rsidRPr="009F6859">
        <w:rPr>
          <w:rStyle w:val="Refdenotaalpie"/>
          <w:rFonts w:ascii="Gadugi" w:eastAsia="Calibri" w:hAnsi="Gadugi" w:cs="Times New Roman"/>
          <w:b/>
          <w:sz w:val="24"/>
          <w:szCs w:val="24"/>
        </w:rPr>
        <w:footnoteReference w:id="5"/>
      </w:r>
      <w:r w:rsidRPr="009F6859">
        <w:rPr>
          <w:rFonts w:ascii="Gadugi" w:eastAsia="Calibri" w:hAnsi="Gadugi" w:cs="Times New Roman"/>
          <w:b/>
          <w:sz w:val="24"/>
          <w:szCs w:val="24"/>
        </w:rPr>
        <w:t xml:space="preserve">. </w:t>
      </w:r>
    </w:p>
    <w:p w14:paraId="21BB4CD2" w14:textId="77777777" w:rsidR="00390F13" w:rsidRPr="009F6859" w:rsidRDefault="00390F13" w:rsidP="009F6859">
      <w:pPr>
        <w:tabs>
          <w:tab w:val="left" w:pos="567"/>
          <w:tab w:val="left" w:pos="3402"/>
        </w:tabs>
        <w:spacing w:after="0" w:line="276" w:lineRule="auto"/>
        <w:jc w:val="both"/>
        <w:rPr>
          <w:rStyle w:val="normaltextrun"/>
          <w:rFonts w:ascii="Gadugi" w:eastAsia="Malgun Gothic" w:hAnsi="Gadugi" w:cs="Estrangelo Edessa"/>
          <w:b/>
          <w:sz w:val="24"/>
          <w:szCs w:val="24"/>
          <w:lang w:val="en-US"/>
        </w:rPr>
      </w:pPr>
    </w:p>
    <w:p w14:paraId="2D5E9B35" w14:textId="467AC576" w:rsidR="00461B18" w:rsidRPr="009F6859" w:rsidRDefault="00390F13" w:rsidP="009F6859">
      <w:pPr>
        <w:pStyle w:val="paragraph"/>
        <w:tabs>
          <w:tab w:val="left" w:pos="567"/>
        </w:tabs>
        <w:spacing w:before="0" w:beforeAutospacing="0" w:after="0" w:afterAutospacing="0" w:line="276" w:lineRule="auto"/>
        <w:jc w:val="both"/>
        <w:textAlignment w:val="baseline"/>
        <w:rPr>
          <w:rFonts w:ascii="Gadugi" w:eastAsia="Calibri" w:hAnsi="Gadugi"/>
        </w:rPr>
      </w:pPr>
      <w:r w:rsidRPr="009F6859">
        <w:rPr>
          <w:rFonts w:ascii="Gadugi" w:eastAsia="Calibri" w:hAnsi="Gadugi"/>
        </w:rPr>
        <w:t>Con base en lo relatado,</w:t>
      </w:r>
      <w:r w:rsidR="00DB5B9D" w:rsidRPr="009F6859">
        <w:rPr>
          <w:rFonts w:ascii="Gadugi" w:eastAsia="Calibri" w:hAnsi="Gadugi"/>
        </w:rPr>
        <w:t xml:space="preserve"> pidi</w:t>
      </w:r>
      <w:r w:rsidR="008B30C3" w:rsidRPr="009F6859">
        <w:rPr>
          <w:rFonts w:ascii="Gadugi" w:eastAsia="Calibri" w:hAnsi="Gadugi"/>
        </w:rPr>
        <w:t xml:space="preserve">eron </w:t>
      </w:r>
      <w:r w:rsidRPr="009F6859">
        <w:rPr>
          <w:rFonts w:ascii="Gadugi" w:eastAsia="Calibri" w:hAnsi="Gadugi"/>
        </w:rPr>
        <w:t xml:space="preserve">que se declarara </w:t>
      </w:r>
      <w:r w:rsidR="008B30C3" w:rsidRPr="009F6859">
        <w:rPr>
          <w:rFonts w:ascii="Gadugi" w:eastAsia="Calibri" w:hAnsi="Gadugi"/>
        </w:rPr>
        <w:t xml:space="preserve">que los padecimientos, agravación y posterior muerte de la señora </w:t>
      </w:r>
      <w:r w:rsidR="00F41BC0" w:rsidRPr="009F6859">
        <w:rPr>
          <w:rFonts w:ascii="Gadugi" w:eastAsia="Calibri" w:hAnsi="Gadugi"/>
        </w:rPr>
        <w:t>ME</w:t>
      </w:r>
      <w:r w:rsidR="008B30C3" w:rsidRPr="009F6859">
        <w:rPr>
          <w:rFonts w:ascii="Gadugi" w:eastAsia="Calibri" w:hAnsi="Gadugi"/>
        </w:rPr>
        <w:t xml:space="preserve"> fue</w:t>
      </w:r>
      <w:r w:rsidR="00DC76BE" w:rsidRPr="009F6859">
        <w:rPr>
          <w:rFonts w:ascii="Gadugi" w:eastAsia="Calibri" w:hAnsi="Gadugi"/>
        </w:rPr>
        <w:t>ron</w:t>
      </w:r>
      <w:r w:rsidR="008B30C3" w:rsidRPr="009F6859">
        <w:rPr>
          <w:rFonts w:ascii="Gadugi" w:eastAsia="Calibri" w:hAnsi="Gadugi"/>
        </w:rPr>
        <w:t xml:space="preserve"> causad</w:t>
      </w:r>
      <w:r w:rsidR="00DC76BE" w:rsidRPr="009F6859">
        <w:rPr>
          <w:rFonts w:ascii="Gadugi" w:eastAsia="Calibri" w:hAnsi="Gadugi"/>
        </w:rPr>
        <w:t>os</w:t>
      </w:r>
      <w:r w:rsidR="008B30C3" w:rsidRPr="009F6859">
        <w:rPr>
          <w:rFonts w:ascii="Gadugi" w:eastAsia="Calibri" w:hAnsi="Gadugi"/>
        </w:rPr>
        <w:t xml:space="preserve"> por negligencia y omisión administrativa en el cumplimiento de las obligaciones reglamentarias de la seguridad social en salud por parte de la EPS-S Humana Vivir y la Clínica Risaralda. </w:t>
      </w:r>
    </w:p>
    <w:p w14:paraId="2320CBC8" w14:textId="77777777" w:rsidR="00461B18" w:rsidRPr="009F6859" w:rsidRDefault="00461B18" w:rsidP="009F6859">
      <w:pPr>
        <w:pStyle w:val="paragraph"/>
        <w:tabs>
          <w:tab w:val="left" w:pos="567"/>
        </w:tabs>
        <w:spacing w:before="0" w:beforeAutospacing="0" w:after="0" w:afterAutospacing="0" w:line="276" w:lineRule="auto"/>
        <w:jc w:val="both"/>
        <w:textAlignment w:val="baseline"/>
        <w:rPr>
          <w:rFonts w:ascii="Gadugi" w:eastAsia="Calibri" w:hAnsi="Gadugi"/>
        </w:rPr>
      </w:pPr>
    </w:p>
    <w:p w14:paraId="6789A42F" w14:textId="583622FB" w:rsidR="008B30C3" w:rsidRPr="009F6859" w:rsidRDefault="00DC76BE" w:rsidP="009F6859">
      <w:pPr>
        <w:pStyle w:val="paragraph"/>
        <w:tabs>
          <w:tab w:val="left" w:pos="567"/>
        </w:tabs>
        <w:spacing w:before="0" w:beforeAutospacing="0" w:after="0" w:afterAutospacing="0" w:line="276" w:lineRule="auto"/>
        <w:jc w:val="both"/>
        <w:textAlignment w:val="baseline"/>
        <w:rPr>
          <w:rFonts w:ascii="Gadugi" w:eastAsia="Calibri" w:hAnsi="Gadugi"/>
        </w:rPr>
      </w:pPr>
      <w:r w:rsidRPr="009F6859">
        <w:rPr>
          <w:rFonts w:ascii="Gadugi" w:eastAsia="Calibri" w:hAnsi="Gadugi"/>
        </w:rPr>
        <w:t xml:space="preserve">En consecuencia, que se </w:t>
      </w:r>
      <w:r w:rsidR="00FD4158" w:rsidRPr="009F6859">
        <w:rPr>
          <w:rFonts w:ascii="Gadugi" w:eastAsia="Calibri" w:hAnsi="Gadugi"/>
        </w:rPr>
        <w:t xml:space="preserve">les condenara a pagar a los demandantes los perjuicios derivados del daño material (lucro cesante pasado y futuro), y extrapatrimonial (daño moral y a la vida de relación), que discriminaron. Además, </w:t>
      </w:r>
      <w:r w:rsidR="00DE1854" w:rsidRPr="009F6859">
        <w:rPr>
          <w:rFonts w:ascii="Gadugi" w:eastAsia="Calibri" w:hAnsi="Gadugi"/>
        </w:rPr>
        <w:t>que se h</w:t>
      </w:r>
      <w:r w:rsidR="000C28EB" w:rsidRPr="009F6859">
        <w:rPr>
          <w:rFonts w:ascii="Gadugi" w:eastAsia="Calibri" w:hAnsi="Gadugi"/>
        </w:rPr>
        <w:t xml:space="preserve">iciera </w:t>
      </w:r>
      <w:r w:rsidR="00DE1854" w:rsidRPr="009F6859">
        <w:rPr>
          <w:rFonts w:ascii="Gadugi" w:eastAsia="Calibri" w:hAnsi="Gadugi"/>
        </w:rPr>
        <w:t>publicidad de la parte resolutiva de la sentencia y se ofre</w:t>
      </w:r>
      <w:r w:rsidR="000C28EB" w:rsidRPr="009F6859">
        <w:rPr>
          <w:rFonts w:ascii="Gadugi" w:eastAsia="Calibri" w:hAnsi="Gadugi"/>
        </w:rPr>
        <w:t>cieran</w:t>
      </w:r>
      <w:r w:rsidR="00DE1854" w:rsidRPr="009F6859">
        <w:rPr>
          <w:rFonts w:ascii="Gadugi" w:eastAsia="Calibri" w:hAnsi="Gadugi"/>
        </w:rPr>
        <w:t xml:space="preserve"> disculpas públicas, incluyendo el reconocimiento de los hechos y la aceptación de responsabilidad. Finalmente, pidi</w:t>
      </w:r>
      <w:r w:rsidR="00FD4158" w:rsidRPr="009F6859">
        <w:rPr>
          <w:rFonts w:ascii="Gadugi" w:eastAsia="Calibri" w:hAnsi="Gadugi"/>
        </w:rPr>
        <w:t xml:space="preserve">eron </w:t>
      </w:r>
      <w:r w:rsidR="00DE1854" w:rsidRPr="009F6859">
        <w:rPr>
          <w:rFonts w:ascii="Gadugi" w:eastAsia="Calibri" w:hAnsi="Gadugi"/>
        </w:rPr>
        <w:t xml:space="preserve">que </w:t>
      </w:r>
      <w:r w:rsidR="00B63976" w:rsidRPr="009F6859">
        <w:rPr>
          <w:rFonts w:ascii="Gadugi" w:eastAsia="Calibri" w:hAnsi="Gadugi"/>
        </w:rPr>
        <w:t xml:space="preserve">se </w:t>
      </w:r>
      <w:proofErr w:type="spellStart"/>
      <w:r w:rsidR="00B63976" w:rsidRPr="009F6859">
        <w:rPr>
          <w:rFonts w:ascii="Gadugi" w:eastAsia="Calibri" w:hAnsi="Gadugi"/>
        </w:rPr>
        <w:t>actualizaran</w:t>
      </w:r>
      <w:proofErr w:type="spellEnd"/>
      <w:r w:rsidR="00B63976" w:rsidRPr="009F6859">
        <w:rPr>
          <w:rFonts w:ascii="Gadugi" w:eastAsia="Calibri" w:hAnsi="Gadugi"/>
        </w:rPr>
        <w:t xml:space="preserve"> </w:t>
      </w:r>
      <w:r w:rsidR="00DE1854" w:rsidRPr="009F6859">
        <w:rPr>
          <w:rFonts w:ascii="Gadugi" w:eastAsia="Calibri" w:hAnsi="Gadugi"/>
        </w:rPr>
        <w:t xml:space="preserve">las sumas reconocidas y se </w:t>
      </w:r>
      <w:r w:rsidR="00FD4158" w:rsidRPr="009F6859">
        <w:rPr>
          <w:rFonts w:ascii="Gadugi" w:eastAsia="Calibri" w:hAnsi="Gadugi"/>
        </w:rPr>
        <w:t xml:space="preserve">les impusieran las </w:t>
      </w:r>
      <w:r w:rsidR="00DE1854" w:rsidRPr="009F6859">
        <w:rPr>
          <w:rFonts w:ascii="Gadugi" w:eastAsia="Calibri" w:hAnsi="Gadugi"/>
        </w:rPr>
        <w:t>costas</w:t>
      </w:r>
      <w:r w:rsidR="00B63976" w:rsidRPr="009F6859">
        <w:rPr>
          <w:rFonts w:ascii="Gadugi" w:eastAsia="Calibri" w:hAnsi="Gadugi"/>
        </w:rPr>
        <w:t xml:space="preserve"> a las demandadas. </w:t>
      </w:r>
      <w:r w:rsidR="00DE1854" w:rsidRPr="009F6859">
        <w:rPr>
          <w:rFonts w:ascii="Gadugi" w:eastAsia="Calibri" w:hAnsi="Gadugi"/>
        </w:rPr>
        <w:t xml:space="preserve">  </w:t>
      </w:r>
    </w:p>
    <w:p w14:paraId="411F5A2D" w14:textId="477B7D7B" w:rsidR="008B30C3" w:rsidRPr="009F6859" w:rsidRDefault="008B30C3" w:rsidP="009F6859">
      <w:pPr>
        <w:pStyle w:val="paragraph"/>
        <w:tabs>
          <w:tab w:val="left" w:pos="567"/>
        </w:tabs>
        <w:spacing w:before="0" w:beforeAutospacing="0" w:after="0" w:afterAutospacing="0" w:line="276" w:lineRule="auto"/>
        <w:jc w:val="both"/>
        <w:textAlignment w:val="baseline"/>
        <w:rPr>
          <w:rFonts w:ascii="Gadugi" w:eastAsia="Calibri" w:hAnsi="Gadugi"/>
        </w:rPr>
      </w:pPr>
      <w:r w:rsidRPr="009F6859">
        <w:rPr>
          <w:rFonts w:ascii="Gadugi" w:eastAsia="Calibri" w:hAnsi="Gadugi"/>
        </w:rPr>
        <w:t xml:space="preserve"> </w:t>
      </w:r>
    </w:p>
    <w:p w14:paraId="16C811AE" w14:textId="78D0CE7D" w:rsidR="00D24FE1" w:rsidRPr="009F6859" w:rsidRDefault="00D24FE1" w:rsidP="009F6859">
      <w:pPr>
        <w:pStyle w:val="Prrafodelista"/>
        <w:numPr>
          <w:ilvl w:val="1"/>
          <w:numId w:val="1"/>
        </w:numPr>
        <w:tabs>
          <w:tab w:val="left" w:pos="567"/>
          <w:tab w:val="left" w:pos="2268"/>
        </w:tabs>
        <w:spacing w:after="0" w:line="276" w:lineRule="auto"/>
        <w:ind w:left="0" w:firstLine="0"/>
        <w:jc w:val="both"/>
        <w:rPr>
          <w:rFonts w:ascii="Gadugi" w:eastAsia="Calibri" w:hAnsi="Gadugi" w:cs="Times New Roman"/>
          <w:b/>
          <w:sz w:val="24"/>
          <w:szCs w:val="24"/>
        </w:rPr>
      </w:pPr>
      <w:r w:rsidRPr="009F6859">
        <w:rPr>
          <w:rFonts w:ascii="Gadugi" w:eastAsia="Calibri" w:hAnsi="Gadugi" w:cs="Times New Roman"/>
          <w:b/>
          <w:sz w:val="24"/>
          <w:szCs w:val="24"/>
        </w:rPr>
        <w:t>Trámite.</w:t>
      </w:r>
    </w:p>
    <w:p w14:paraId="145AEDD8" w14:textId="77777777" w:rsidR="00D24FE1" w:rsidRPr="009F6859" w:rsidRDefault="00D24FE1" w:rsidP="009F6859">
      <w:pPr>
        <w:tabs>
          <w:tab w:val="left" w:pos="567"/>
        </w:tabs>
        <w:spacing w:after="0" w:line="276" w:lineRule="auto"/>
        <w:jc w:val="both"/>
        <w:rPr>
          <w:rFonts w:ascii="Gadugi" w:eastAsia="Calibri" w:hAnsi="Gadugi" w:cs="Times New Roman"/>
          <w:sz w:val="24"/>
          <w:szCs w:val="24"/>
        </w:rPr>
      </w:pPr>
    </w:p>
    <w:p w14:paraId="3597ABA7" w14:textId="1FA7962F" w:rsidR="003066E7" w:rsidRPr="009F6859" w:rsidRDefault="00D24FE1" w:rsidP="009F6859">
      <w:pPr>
        <w:tabs>
          <w:tab w:val="left" w:pos="567"/>
        </w:tabs>
        <w:spacing w:after="0" w:line="276" w:lineRule="auto"/>
        <w:jc w:val="both"/>
        <w:rPr>
          <w:rFonts w:ascii="Gadugi" w:eastAsia="Calibri" w:hAnsi="Gadugi" w:cs="Times New Roman"/>
          <w:sz w:val="24"/>
          <w:szCs w:val="24"/>
        </w:rPr>
      </w:pPr>
      <w:r w:rsidRPr="009F6859">
        <w:rPr>
          <w:rFonts w:ascii="Gadugi" w:eastAsia="Calibri" w:hAnsi="Gadugi" w:cs="Times New Roman"/>
          <w:sz w:val="24"/>
          <w:szCs w:val="24"/>
        </w:rPr>
        <w:t xml:space="preserve">La demanda fue admitida por el Juzgado </w:t>
      </w:r>
      <w:r w:rsidR="00A3689B" w:rsidRPr="009F6859">
        <w:rPr>
          <w:rFonts w:ascii="Gadugi" w:eastAsia="Calibri" w:hAnsi="Gadugi" w:cs="Times New Roman"/>
          <w:sz w:val="24"/>
          <w:szCs w:val="24"/>
        </w:rPr>
        <w:t>Cuarto Laboral del Circuito</w:t>
      </w:r>
      <w:r w:rsidR="00D74FBC" w:rsidRPr="009F6859">
        <w:rPr>
          <w:rFonts w:ascii="Gadugi" w:eastAsia="Calibri" w:hAnsi="Gadugi" w:cs="Times New Roman"/>
          <w:sz w:val="24"/>
          <w:szCs w:val="24"/>
        </w:rPr>
        <w:t xml:space="preserve"> de Pereira</w:t>
      </w:r>
      <w:r w:rsidR="00A3689B" w:rsidRPr="009F6859">
        <w:rPr>
          <w:rFonts w:ascii="Gadugi" w:eastAsia="Calibri" w:hAnsi="Gadugi" w:cs="Times New Roman"/>
          <w:sz w:val="24"/>
          <w:szCs w:val="24"/>
        </w:rPr>
        <w:t xml:space="preserve">, </w:t>
      </w:r>
      <w:r w:rsidR="00B14971" w:rsidRPr="009F6859">
        <w:rPr>
          <w:rFonts w:ascii="Gadugi" w:eastAsia="Calibri" w:hAnsi="Gadugi" w:cs="Times New Roman"/>
          <w:sz w:val="24"/>
          <w:szCs w:val="24"/>
        </w:rPr>
        <w:t xml:space="preserve">con </w:t>
      </w:r>
      <w:r w:rsidR="00A3689B" w:rsidRPr="009F6859">
        <w:rPr>
          <w:rFonts w:ascii="Gadugi" w:eastAsia="Calibri" w:hAnsi="Gadugi" w:cs="Times New Roman"/>
          <w:sz w:val="24"/>
          <w:szCs w:val="24"/>
        </w:rPr>
        <w:t xml:space="preserve">auto del </w:t>
      </w:r>
      <w:r w:rsidR="00BE36A3" w:rsidRPr="009F6859">
        <w:rPr>
          <w:rFonts w:ascii="Gadugi" w:eastAsia="Calibri" w:hAnsi="Gadugi" w:cs="Times New Roman"/>
          <w:sz w:val="24"/>
          <w:szCs w:val="24"/>
        </w:rPr>
        <w:t>12</w:t>
      </w:r>
      <w:r w:rsidR="00A3689B" w:rsidRPr="009F6859">
        <w:rPr>
          <w:rFonts w:ascii="Gadugi" w:eastAsia="Calibri" w:hAnsi="Gadugi" w:cs="Times New Roman"/>
          <w:sz w:val="24"/>
          <w:szCs w:val="24"/>
        </w:rPr>
        <w:t xml:space="preserve"> de </w:t>
      </w:r>
      <w:r w:rsidR="00BE36A3" w:rsidRPr="009F6859">
        <w:rPr>
          <w:rFonts w:ascii="Gadugi" w:eastAsia="Calibri" w:hAnsi="Gadugi" w:cs="Times New Roman"/>
          <w:sz w:val="24"/>
          <w:szCs w:val="24"/>
        </w:rPr>
        <w:t xml:space="preserve">junio </w:t>
      </w:r>
      <w:r w:rsidR="00A3689B" w:rsidRPr="009F6859">
        <w:rPr>
          <w:rFonts w:ascii="Gadugi" w:eastAsia="Calibri" w:hAnsi="Gadugi" w:cs="Times New Roman"/>
          <w:sz w:val="24"/>
          <w:szCs w:val="24"/>
        </w:rPr>
        <w:t>de 2011</w:t>
      </w:r>
      <w:r w:rsidR="000761B5" w:rsidRPr="009F6859">
        <w:rPr>
          <w:rStyle w:val="Refdenotaalpie"/>
          <w:rFonts w:ascii="Gadugi" w:eastAsia="Calibri" w:hAnsi="Gadugi" w:cs="Times New Roman"/>
          <w:sz w:val="24"/>
          <w:szCs w:val="24"/>
        </w:rPr>
        <w:footnoteReference w:id="6"/>
      </w:r>
      <w:r w:rsidR="003066E7" w:rsidRPr="009F6859">
        <w:rPr>
          <w:rFonts w:ascii="Gadugi" w:eastAsia="Calibri" w:hAnsi="Gadugi" w:cs="Times New Roman"/>
          <w:sz w:val="24"/>
          <w:szCs w:val="24"/>
        </w:rPr>
        <w:t>.</w:t>
      </w:r>
    </w:p>
    <w:p w14:paraId="718DB69B" w14:textId="77777777" w:rsidR="00D74FBC" w:rsidRPr="009F6859" w:rsidRDefault="00D74FBC" w:rsidP="009F6859">
      <w:pPr>
        <w:tabs>
          <w:tab w:val="left" w:pos="567"/>
        </w:tabs>
        <w:spacing w:after="0" w:line="276" w:lineRule="auto"/>
        <w:jc w:val="both"/>
        <w:rPr>
          <w:rFonts w:ascii="Gadugi" w:eastAsia="Calibri" w:hAnsi="Gadugi" w:cs="Times New Roman"/>
          <w:sz w:val="24"/>
          <w:szCs w:val="24"/>
        </w:rPr>
      </w:pPr>
    </w:p>
    <w:p w14:paraId="49490B6C" w14:textId="14934A15" w:rsidR="006D3432" w:rsidRPr="009F6859" w:rsidRDefault="006D3432" w:rsidP="009F6859">
      <w:pPr>
        <w:tabs>
          <w:tab w:val="left" w:pos="567"/>
        </w:tabs>
        <w:spacing w:after="0" w:line="276" w:lineRule="auto"/>
        <w:jc w:val="both"/>
        <w:rPr>
          <w:rFonts w:ascii="Gadugi" w:eastAsia="Calibri" w:hAnsi="Gadugi" w:cs="Times New Roman"/>
          <w:sz w:val="24"/>
          <w:szCs w:val="24"/>
        </w:rPr>
      </w:pPr>
      <w:r w:rsidRPr="009F6859">
        <w:rPr>
          <w:rFonts w:ascii="Gadugi" w:eastAsia="Calibri" w:hAnsi="Gadugi" w:cs="Times New Roman"/>
          <w:sz w:val="24"/>
          <w:szCs w:val="24"/>
        </w:rPr>
        <w:lastRenderedPageBreak/>
        <w:t>Notificadas las entidades demandadas</w:t>
      </w:r>
      <w:r w:rsidRPr="009F6859">
        <w:rPr>
          <w:rStyle w:val="Refdenotaalpie"/>
          <w:rFonts w:ascii="Gadugi" w:eastAsia="Calibri" w:hAnsi="Gadugi" w:cs="Times New Roman"/>
          <w:sz w:val="24"/>
          <w:szCs w:val="24"/>
        </w:rPr>
        <w:footnoteReference w:id="7"/>
      </w:r>
      <w:r w:rsidRPr="009F6859">
        <w:rPr>
          <w:rFonts w:ascii="Gadugi" w:eastAsia="Calibri" w:hAnsi="Gadugi" w:cs="Times New Roman"/>
          <w:sz w:val="24"/>
          <w:szCs w:val="24"/>
        </w:rPr>
        <w:t xml:space="preserve">, </w:t>
      </w:r>
      <w:r w:rsidR="00A25313" w:rsidRPr="009F6859">
        <w:rPr>
          <w:rFonts w:ascii="Gadugi" w:eastAsia="Calibri" w:hAnsi="Gadugi" w:cs="Times New Roman"/>
          <w:sz w:val="24"/>
          <w:szCs w:val="24"/>
        </w:rPr>
        <w:t xml:space="preserve">el libelo se tuvo por no contestado, porque </w:t>
      </w:r>
      <w:r w:rsidRPr="009F6859">
        <w:rPr>
          <w:rFonts w:ascii="Gadugi" w:eastAsia="Calibri" w:hAnsi="Gadugi" w:cs="Times New Roman"/>
          <w:sz w:val="24"/>
          <w:szCs w:val="24"/>
        </w:rPr>
        <w:t xml:space="preserve">la </w:t>
      </w:r>
      <w:r w:rsidR="00A25313" w:rsidRPr="009F6859">
        <w:rPr>
          <w:rFonts w:ascii="Gadugi" w:eastAsia="Calibri" w:hAnsi="Gadugi" w:cs="Times New Roman"/>
          <w:sz w:val="24"/>
          <w:szCs w:val="24"/>
        </w:rPr>
        <w:t xml:space="preserve">respuesta de </w:t>
      </w:r>
      <w:r w:rsidRPr="009F6859">
        <w:rPr>
          <w:rFonts w:ascii="Gadugi" w:eastAsia="Calibri" w:hAnsi="Gadugi" w:cs="Times New Roman"/>
          <w:sz w:val="24"/>
          <w:szCs w:val="24"/>
        </w:rPr>
        <w:t xml:space="preserve">la Clínica Risaralda se inadmitió y no </w:t>
      </w:r>
      <w:r w:rsidR="005A7A05" w:rsidRPr="009F6859">
        <w:rPr>
          <w:rFonts w:ascii="Gadugi" w:eastAsia="Calibri" w:hAnsi="Gadugi" w:cs="Times New Roman"/>
          <w:sz w:val="24"/>
          <w:szCs w:val="24"/>
        </w:rPr>
        <w:t>fue corregida</w:t>
      </w:r>
      <w:r w:rsidR="00A25313" w:rsidRPr="009F6859">
        <w:rPr>
          <w:rStyle w:val="Refdenotaalpie"/>
          <w:rFonts w:ascii="Gadugi" w:eastAsia="Calibri" w:hAnsi="Gadugi" w:cs="Times New Roman"/>
          <w:sz w:val="24"/>
          <w:szCs w:val="24"/>
        </w:rPr>
        <w:footnoteReference w:id="8"/>
      </w:r>
      <w:r w:rsidRPr="009F6859">
        <w:rPr>
          <w:rFonts w:ascii="Gadugi" w:eastAsia="Calibri" w:hAnsi="Gadugi" w:cs="Times New Roman"/>
          <w:sz w:val="24"/>
          <w:szCs w:val="24"/>
        </w:rPr>
        <w:t xml:space="preserve"> </w:t>
      </w:r>
      <w:r w:rsidR="00A25313" w:rsidRPr="009F6859">
        <w:rPr>
          <w:rFonts w:ascii="Gadugi" w:eastAsia="Calibri" w:hAnsi="Gadugi" w:cs="Times New Roman"/>
          <w:sz w:val="24"/>
          <w:szCs w:val="24"/>
        </w:rPr>
        <w:t>y la de EPSS Humana Vivir se presentó extemporánea</w:t>
      </w:r>
      <w:r w:rsidR="00D74FBC" w:rsidRPr="009F6859">
        <w:rPr>
          <w:rFonts w:ascii="Gadugi" w:eastAsia="Calibri" w:hAnsi="Gadugi" w:cs="Times New Roman"/>
          <w:sz w:val="24"/>
          <w:szCs w:val="24"/>
        </w:rPr>
        <w:t>mente</w:t>
      </w:r>
      <w:r w:rsidR="00151752" w:rsidRPr="009F6859">
        <w:rPr>
          <w:rStyle w:val="Refdenotaalpie"/>
          <w:rFonts w:ascii="Gadugi" w:eastAsia="Calibri" w:hAnsi="Gadugi" w:cs="Times New Roman"/>
          <w:sz w:val="24"/>
          <w:szCs w:val="24"/>
        </w:rPr>
        <w:footnoteReference w:id="9"/>
      </w:r>
      <w:r w:rsidR="00151752" w:rsidRPr="009F6859">
        <w:rPr>
          <w:rFonts w:ascii="Gadugi" w:eastAsia="Calibri" w:hAnsi="Gadugi" w:cs="Times New Roman"/>
          <w:sz w:val="24"/>
          <w:szCs w:val="24"/>
        </w:rPr>
        <w:t xml:space="preserve">. </w:t>
      </w:r>
    </w:p>
    <w:p w14:paraId="6D967396" w14:textId="3FDD4434" w:rsidR="005F65D1" w:rsidRPr="009F6859" w:rsidRDefault="005F65D1" w:rsidP="009F6859">
      <w:pPr>
        <w:tabs>
          <w:tab w:val="left" w:pos="567"/>
        </w:tabs>
        <w:spacing w:after="0" w:line="276" w:lineRule="auto"/>
        <w:jc w:val="both"/>
        <w:rPr>
          <w:rFonts w:ascii="Gadugi" w:eastAsia="Calibri" w:hAnsi="Gadugi" w:cs="Times New Roman"/>
          <w:sz w:val="24"/>
          <w:szCs w:val="24"/>
        </w:rPr>
      </w:pPr>
    </w:p>
    <w:p w14:paraId="268E671E" w14:textId="305638BC" w:rsidR="005F65D1" w:rsidRPr="009F6859" w:rsidRDefault="00F92871" w:rsidP="009F6859">
      <w:pPr>
        <w:tabs>
          <w:tab w:val="left" w:pos="567"/>
        </w:tabs>
        <w:spacing w:after="0" w:line="276" w:lineRule="auto"/>
        <w:jc w:val="both"/>
        <w:rPr>
          <w:rFonts w:ascii="Gadugi" w:eastAsia="Calibri" w:hAnsi="Gadugi" w:cs="Times New Roman"/>
          <w:sz w:val="24"/>
          <w:szCs w:val="24"/>
        </w:rPr>
      </w:pPr>
      <w:r w:rsidRPr="009F6859">
        <w:rPr>
          <w:rFonts w:ascii="Gadugi" w:eastAsia="Calibri" w:hAnsi="Gadugi" w:cs="Times New Roman"/>
          <w:sz w:val="24"/>
          <w:szCs w:val="24"/>
        </w:rPr>
        <w:t>El 24 de enero de 2012 s</w:t>
      </w:r>
      <w:r w:rsidR="005F65D1" w:rsidRPr="009F6859">
        <w:rPr>
          <w:rFonts w:ascii="Gadugi" w:eastAsia="Calibri" w:hAnsi="Gadugi" w:cs="Times New Roman"/>
          <w:sz w:val="24"/>
          <w:szCs w:val="24"/>
        </w:rPr>
        <w:t xml:space="preserve">e celebró </w:t>
      </w:r>
      <w:r w:rsidRPr="009F6859">
        <w:rPr>
          <w:rFonts w:ascii="Gadugi" w:eastAsia="Calibri" w:hAnsi="Gadugi" w:cs="Times New Roman"/>
          <w:sz w:val="24"/>
          <w:szCs w:val="24"/>
        </w:rPr>
        <w:t>la audiencia prevista en el artículo 77 del Código Procesal del Trabajo y la Seguridad Social</w:t>
      </w:r>
      <w:r w:rsidR="00D74FBC" w:rsidRPr="009F6859">
        <w:rPr>
          <w:rFonts w:ascii="Gadugi" w:eastAsia="Calibri" w:hAnsi="Gadugi" w:cs="Times New Roman"/>
          <w:sz w:val="24"/>
          <w:szCs w:val="24"/>
        </w:rPr>
        <w:t xml:space="preserve">. Se dejó constancia de la asistencia del liquidador de la Clínica Risaralda, y de la </w:t>
      </w:r>
      <w:r w:rsidR="00055ABD" w:rsidRPr="009F6859">
        <w:rPr>
          <w:rFonts w:ascii="Gadugi" w:eastAsia="Calibri" w:hAnsi="Gadugi" w:cs="Times New Roman"/>
          <w:sz w:val="24"/>
          <w:szCs w:val="24"/>
        </w:rPr>
        <w:t>inasist</w:t>
      </w:r>
      <w:r w:rsidR="00D74FBC" w:rsidRPr="009F6859">
        <w:rPr>
          <w:rFonts w:ascii="Gadugi" w:eastAsia="Calibri" w:hAnsi="Gadugi" w:cs="Times New Roman"/>
          <w:sz w:val="24"/>
          <w:szCs w:val="24"/>
        </w:rPr>
        <w:t xml:space="preserve">encia de los </w:t>
      </w:r>
      <w:r w:rsidR="00055ABD" w:rsidRPr="009F6859">
        <w:rPr>
          <w:rFonts w:ascii="Gadugi" w:eastAsia="Calibri" w:hAnsi="Gadugi" w:cs="Times New Roman"/>
          <w:sz w:val="24"/>
          <w:szCs w:val="24"/>
        </w:rPr>
        <w:t>demandantes y el representante legal de Humana Vivir EPS</w:t>
      </w:r>
      <w:r w:rsidR="000700E2" w:rsidRPr="009F6859">
        <w:rPr>
          <w:rStyle w:val="Refdenotaalpie"/>
          <w:rFonts w:ascii="Gadugi" w:eastAsia="Calibri" w:hAnsi="Gadugi" w:cs="Times New Roman"/>
          <w:sz w:val="24"/>
          <w:szCs w:val="24"/>
        </w:rPr>
        <w:footnoteReference w:id="10"/>
      </w:r>
      <w:r w:rsidR="000700E2" w:rsidRPr="009F6859">
        <w:rPr>
          <w:rFonts w:ascii="Gadugi" w:eastAsia="Calibri" w:hAnsi="Gadugi" w:cs="Times New Roman"/>
          <w:sz w:val="24"/>
          <w:szCs w:val="24"/>
        </w:rPr>
        <w:t xml:space="preserve">.   </w:t>
      </w:r>
    </w:p>
    <w:p w14:paraId="7419D15E" w14:textId="77777777" w:rsidR="00FD4158" w:rsidRPr="009F6859" w:rsidRDefault="00FD4158" w:rsidP="009F6859">
      <w:pPr>
        <w:tabs>
          <w:tab w:val="left" w:pos="567"/>
        </w:tabs>
        <w:spacing w:after="0" w:line="276" w:lineRule="auto"/>
        <w:jc w:val="both"/>
        <w:rPr>
          <w:rFonts w:ascii="Gadugi" w:eastAsia="Calibri" w:hAnsi="Gadugi" w:cs="Times New Roman"/>
          <w:sz w:val="24"/>
          <w:szCs w:val="24"/>
        </w:rPr>
      </w:pPr>
    </w:p>
    <w:p w14:paraId="263980BD" w14:textId="4F8924C4" w:rsidR="006C41CE" w:rsidRPr="009F6859" w:rsidRDefault="006C41CE" w:rsidP="009F6859">
      <w:pPr>
        <w:tabs>
          <w:tab w:val="left" w:pos="567"/>
        </w:tabs>
        <w:spacing w:after="0" w:line="276" w:lineRule="auto"/>
        <w:jc w:val="both"/>
        <w:rPr>
          <w:rFonts w:ascii="Gadugi" w:eastAsia="Calibri" w:hAnsi="Gadugi" w:cs="Times New Roman"/>
          <w:sz w:val="24"/>
          <w:szCs w:val="24"/>
        </w:rPr>
      </w:pPr>
      <w:r w:rsidRPr="009F6859">
        <w:rPr>
          <w:rFonts w:ascii="Gadugi" w:eastAsia="Calibri" w:hAnsi="Gadugi" w:cs="Times New Roman"/>
          <w:sz w:val="24"/>
          <w:szCs w:val="24"/>
        </w:rPr>
        <w:t>Mediante providencia del 2 de marzo de 2012, el</w:t>
      </w:r>
      <w:r w:rsidR="00785610" w:rsidRPr="009F6859">
        <w:rPr>
          <w:rFonts w:ascii="Gadugi" w:eastAsia="Calibri" w:hAnsi="Gadugi" w:cs="Times New Roman"/>
          <w:sz w:val="24"/>
          <w:szCs w:val="24"/>
        </w:rPr>
        <w:t xml:space="preserve"> Juzgado Laboral Adjunto No. 1</w:t>
      </w:r>
      <w:r w:rsidRPr="009F6859">
        <w:rPr>
          <w:rFonts w:ascii="Gadugi" w:eastAsia="Calibri" w:hAnsi="Gadugi" w:cs="Times New Roman"/>
          <w:sz w:val="24"/>
          <w:szCs w:val="24"/>
        </w:rPr>
        <w:t>, ante la inasistencia injustificada de los demandados en vista pública</w:t>
      </w:r>
      <w:r w:rsidR="00436EAB" w:rsidRPr="009F6859">
        <w:rPr>
          <w:rFonts w:ascii="Gadugi" w:eastAsia="Calibri" w:hAnsi="Gadugi" w:cs="Times New Roman"/>
          <w:sz w:val="24"/>
          <w:szCs w:val="24"/>
        </w:rPr>
        <w:t xml:space="preserve"> anterior, </w:t>
      </w:r>
      <w:r w:rsidR="00C3736E" w:rsidRPr="009F6859">
        <w:rPr>
          <w:rFonts w:ascii="Gadugi" w:eastAsia="Calibri" w:hAnsi="Gadugi" w:cs="Times New Roman"/>
          <w:sz w:val="24"/>
          <w:szCs w:val="24"/>
        </w:rPr>
        <w:t xml:space="preserve">tuvo por cierto </w:t>
      </w:r>
      <w:r w:rsidR="00436EAB" w:rsidRPr="009F6859">
        <w:rPr>
          <w:rFonts w:ascii="Gadugi" w:eastAsia="Calibri" w:hAnsi="Gadugi" w:cs="Times New Roman"/>
          <w:sz w:val="24"/>
          <w:szCs w:val="24"/>
        </w:rPr>
        <w:t xml:space="preserve">unos hechos </w:t>
      </w:r>
      <w:r w:rsidR="00C3736E" w:rsidRPr="009F6859">
        <w:rPr>
          <w:rFonts w:ascii="Gadugi" w:eastAsia="Calibri" w:hAnsi="Gadugi" w:cs="Times New Roman"/>
          <w:sz w:val="24"/>
          <w:szCs w:val="24"/>
        </w:rPr>
        <w:t xml:space="preserve">contenidos en </w:t>
      </w:r>
      <w:r w:rsidR="00436EAB" w:rsidRPr="009F6859">
        <w:rPr>
          <w:rFonts w:ascii="Gadugi" w:eastAsia="Calibri" w:hAnsi="Gadugi" w:cs="Times New Roman"/>
          <w:sz w:val="24"/>
          <w:szCs w:val="24"/>
        </w:rPr>
        <w:t xml:space="preserve">la demanda y fijó nueva fecha para llevar a cabo </w:t>
      </w:r>
      <w:r w:rsidR="00DF3631" w:rsidRPr="009F6859">
        <w:rPr>
          <w:rFonts w:ascii="Gadugi" w:eastAsia="Calibri" w:hAnsi="Gadugi" w:cs="Times New Roman"/>
          <w:sz w:val="24"/>
          <w:szCs w:val="24"/>
        </w:rPr>
        <w:t xml:space="preserve">la </w:t>
      </w:r>
      <w:r w:rsidR="00436EAB" w:rsidRPr="009F6859">
        <w:rPr>
          <w:rFonts w:ascii="Gadugi" w:eastAsia="Calibri" w:hAnsi="Gadugi" w:cs="Times New Roman"/>
          <w:sz w:val="24"/>
          <w:szCs w:val="24"/>
        </w:rPr>
        <w:t>tercera audiencia de trámite</w:t>
      </w:r>
      <w:r w:rsidR="00436EAB" w:rsidRPr="009F6859">
        <w:rPr>
          <w:rStyle w:val="Refdenotaalpie"/>
          <w:rFonts w:ascii="Gadugi" w:eastAsia="Calibri" w:hAnsi="Gadugi" w:cs="Times New Roman"/>
          <w:sz w:val="24"/>
          <w:szCs w:val="24"/>
        </w:rPr>
        <w:footnoteReference w:id="11"/>
      </w:r>
      <w:r w:rsidR="00BF7B27" w:rsidRPr="009F6859">
        <w:rPr>
          <w:rFonts w:ascii="Gadugi" w:eastAsia="Calibri" w:hAnsi="Gadugi" w:cs="Times New Roman"/>
          <w:sz w:val="24"/>
          <w:szCs w:val="24"/>
        </w:rPr>
        <w:t xml:space="preserve">, en la que </w:t>
      </w:r>
      <w:r w:rsidR="00DF3631" w:rsidRPr="009F6859">
        <w:rPr>
          <w:rFonts w:ascii="Gadugi" w:eastAsia="Calibri" w:hAnsi="Gadugi" w:cs="Times New Roman"/>
          <w:sz w:val="24"/>
          <w:szCs w:val="24"/>
        </w:rPr>
        <w:t>fueron recibid</w:t>
      </w:r>
      <w:r w:rsidR="002305CF" w:rsidRPr="009F6859">
        <w:rPr>
          <w:rFonts w:ascii="Gadugi" w:eastAsia="Calibri" w:hAnsi="Gadugi" w:cs="Times New Roman"/>
          <w:sz w:val="24"/>
          <w:szCs w:val="24"/>
        </w:rPr>
        <w:t>os unos testimonios</w:t>
      </w:r>
      <w:r w:rsidR="00180CDD" w:rsidRPr="009F6859">
        <w:rPr>
          <w:rStyle w:val="Refdenotaalpie"/>
          <w:rFonts w:ascii="Gadugi" w:eastAsia="Calibri" w:hAnsi="Gadugi" w:cs="Times New Roman"/>
          <w:sz w:val="24"/>
          <w:szCs w:val="24"/>
        </w:rPr>
        <w:footnoteReference w:id="12"/>
      </w:r>
      <w:r w:rsidR="00436EAB" w:rsidRPr="009F6859">
        <w:rPr>
          <w:rFonts w:ascii="Gadugi" w:eastAsia="Calibri" w:hAnsi="Gadugi" w:cs="Times New Roman"/>
          <w:sz w:val="24"/>
          <w:szCs w:val="24"/>
        </w:rPr>
        <w:t>.</w:t>
      </w:r>
      <w:r w:rsidR="00BC62A3" w:rsidRPr="009F6859">
        <w:rPr>
          <w:rFonts w:ascii="Gadugi" w:eastAsia="Calibri" w:hAnsi="Gadugi" w:cs="Times New Roman"/>
          <w:sz w:val="24"/>
          <w:szCs w:val="24"/>
        </w:rPr>
        <w:t xml:space="preserve"> </w:t>
      </w:r>
      <w:r w:rsidRPr="009F6859">
        <w:rPr>
          <w:rFonts w:ascii="Gadugi" w:eastAsia="Calibri" w:hAnsi="Gadugi" w:cs="Times New Roman"/>
          <w:sz w:val="24"/>
          <w:szCs w:val="24"/>
        </w:rPr>
        <w:t xml:space="preserve">     </w:t>
      </w:r>
    </w:p>
    <w:p w14:paraId="66A78D41" w14:textId="13CE3423" w:rsidR="006C41CE" w:rsidRPr="009F6859" w:rsidRDefault="006C41CE" w:rsidP="009F6859">
      <w:pPr>
        <w:tabs>
          <w:tab w:val="left" w:pos="567"/>
        </w:tabs>
        <w:spacing w:after="0" w:line="276" w:lineRule="auto"/>
        <w:jc w:val="both"/>
        <w:rPr>
          <w:rFonts w:ascii="Gadugi" w:eastAsia="Calibri" w:hAnsi="Gadugi" w:cs="Times New Roman"/>
          <w:sz w:val="24"/>
          <w:szCs w:val="24"/>
        </w:rPr>
      </w:pPr>
    </w:p>
    <w:p w14:paraId="736A1203" w14:textId="212D3194" w:rsidR="00220CD1" w:rsidRPr="009F6859" w:rsidRDefault="00390E27" w:rsidP="009F6859">
      <w:pPr>
        <w:tabs>
          <w:tab w:val="left" w:pos="567"/>
        </w:tabs>
        <w:spacing w:after="0" w:line="276" w:lineRule="auto"/>
        <w:jc w:val="both"/>
        <w:rPr>
          <w:rFonts w:ascii="Gadugi" w:eastAsia="Calibri" w:hAnsi="Gadugi" w:cs="Times New Roman"/>
          <w:sz w:val="24"/>
          <w:szCs w:val="24"/>
        </w:rPr>
      </w:pPr>
      <w:r w:rsidRPr="009F6859">
        <w:rPr>
          <w:rFonts w:ascii="Gadugi" w:eastAsia="Calibri" w:hAnsi="Gadugi" w:cs="Times New Roman"/>
          <w:sz w:val="24"/>
          <w:szCs w:val="24"/>
        </w:rPr>
        <w:t xml:space="preserve">El 30 de julio de 2012, por cuenta del tránsito de legislación ante la </w:t>
      </w:r>
      <w:r w:rsidR="00DF3631" w:rsidRPr="009F6859">
        <w:rPr>
          <w:rFonts w:ascii="Gadugi" w:eastAsia="Calibri" w:hAnsi="Gadugi" w:cs="Times New Roman"/>
          <w:sz w:val="24"/>
          <w:szCs w:val="24"/>
        </w:rPr>
        <w:t>entrada en vig</w:t>
      </w:r>
      <w:r w:rsidR="00BF7B27" w:rsidRPr="009F6859">
        <w:rPr>
          <w:rFonts w:ascii="Gadugi" w:eastAsia="Calibri" w:hAnsi="Gadugi" w:cs="Times New Roman"/>
          <w:sz w:val="24"/>
          <w:szCs w:val="24"/>
        </w:rPr>
        <w:t>encia</w:t>
      </w:r>
      <w:r w:rsidRPr="009F6859">
        <w:rPr>
          <w:rFonts w:ascii="Gadugi" w:eastAsia="Calibri" w:hAnsi="Gadugi" w:cs="Times New Roman"/>
          <w:sz w:val="24"/>
          <w:szCs w:val="24"/>
        </w:rPr>
        <w:t xml:space="preserve"> del Código General del Proceso, </w:t>
      </w:r>
      <w:r w:rsidR="00BF7B27" w:rsidRPr="009F6859">
        <w:rPr>
          <w:rFonts w:ascii="Gadugi" w:eastAsia="Calibri" w:hAnsi="Gadugi" w:cs="Times New Roman"/>
          <w:sz w:val="24"/>
          <w:szCs w:val="24"/>
        </w:rPr>
        <w:t xml:space="preserve">el </w:t>
      </w:r>
      <w:r w:rsidRPr="009F6859">
        <w:rPr>
          <w:rFonts w:ascii="Gadugi" w:eastAsia="Calibri" w:hAnsi="Gadugi" w:cs="Times New Roman"/>
          <w:sz w:val="24"/>
          <w:szCs w:val="24"/>
        </w:rPr>
        <w:t>Juz</w:t>
      </w:r>
      <w:r w:rsidR="00BF7B27" w:rsidRPr="009F6859">
        <w:rPr>
          <w:rFonts w:ascii="Gadugi" w:eastAsia="Calibri" w:hAnsi="Gadugi" w:cs="Times New Roman"/>
          <w:sz w:val="24"/>
          <w:szCs w:val="24"/>
        </w:rPr>
        <w:t xml:space="preserve">gado Laboral remitió la actuación por </w:t>
      </w:r>
      <w:r w:rsidRPr="009F6859">
        <w:rPr>
          <w:rFonts w:ascii="Gadugi" w:eastAsia="Calibri" w:hAnsi="Gadugi" w:cs="Times New Roman"/>
          <w:sz w:val="24"/>
          <w:szCs w:val="24"/>
        </w:rPr>
        <w:t>competencia</w:t>
      </w:r>
      <w:r w:rsidR="00E65F51" w:rsidRPr="009F6859">
        <w:rPr>
          <w:rStyle w:val="Refdenotaalpie"/>
          <w:rFonts w:ascii="Gadugi" w:eastAsia="Calibri" w:hAnsi="Gadugi" w:cs="Times New Roman"/>
          <w:sz w:val="24"/>
          <w:szCs w:val="24"/>
        </w:rPr>
        <w:footnoteReference w:id="13"/>
      </w:r>
      <w:r w:rsidR="00BF7B27" w:rsidRPr="009F6859">
        <w:rPr>
          <w:rFonts w:ascii="Gadugi" w:eastAsia="Calibri" w:hAnsi="Gadugi" w:cs="Times New Roman"/>
          <w:sz w:val="24"/>
          <w:szCs w:val="24"/>
        </w:rPr>
        <w:t>.</w:t>
      </w:r>
      <w:r w:rsidR="00727E11" w:rsidRPr="009F6859">
        <w:rPr>
          <w:rFonts w:ascii="Gadugi" w:eastAsia="Calibri" w:hAnsi="Gadugi" w:cs="Times New Roman"/>
          <w:sz w:val="24"/>
          <w:szCs w:val="24"/>
        </w:rPr>
        <w:t xml:space="preserve"> </w:t>
      </w:r>
      <w:r w:rsidR="00BF7B27" w:rsidRPr="009F6859">
        <w:rPr>
          <w:rFonts w:ascii="Gadugi" w:eastAsia="Calibri" w:hAnsi="Gadugi" w:cs="Times New Roman"/>
          <w:sz w:val="24"/>
          <w:szCs w:val="24"/>
        </w:rPr>
        <w:t xml:space="preserve">Atendiendo el </w:t>
      </w:r>
      <w:r w:rsidR="0099536E" w:rsidRPr="009F6859">
        <w:rPr>
          <w:rFonts w:ascii="Gadugi" w:eastAsia="Calibri" w:hAnsi="Gadugi" w:cs="Times New Roman"/>
          <w:sz w:val="24"/>
          <w:szCs w:val="24"/>
        </w:rPr>
        <w:t>Acuerdo CSJRIA17-738 del 2 de noviembre de 2017, el Juzgado Primero Civil del Circuito de Pereira a</w:t>
      </w:r>
      <w:r w:rsidR="00BF7B27" w:rsidRPr="009F6859">
        <w:rPr>
          <w:rFonts w:ascii="Gadugi" w:eastAsia="Calibri" w:hAnsi="Gadugi" w:cs="Times New Roman"/>
          <w:sz w:val="24"/>
          <w:szCs w:val="24"/>
        </w:rPr>
        <w:t>sumió el conocimiento</w:t>
      </w:r>
      <w:r w:rsidR="002B4B09" w:rsidRPr="009F6859">
        <w:rPr>
          <w:rStyle w:val="Refdenotaalpie"/>
          <w:rFonts w:ascii="Gadugi" w:eastAsia="Calibri" w:hAnsi="Gadugi" w:cs="Times New Roman"/>
          <w:sz w:val="24"/>
          <w:szCs w:val="24"/>
        </w:rPr>
        <w:footnoteReference w:id="14"/>
      </w:r>
      <w:r w:rsidR="00BF7B27" w:rsidRPr="009F6859">
        <w:rPr>
          <w:rFonts w:ascii="Gadugi" w:eastAsia="Calibri" w:hAnsi="Gadugi" w:cs="Times New Roman"/>
          <w:sz w:val="24"/>
          <w:szCs w:val="24"/>
        </w:rPr>
        <w:t>;</w:t>
      </w:r>
      <w:r w:rsidR="0099536E" w:rsidRPr="009F6859">
        <w:rPr>
          <w:rFonts w:ascii="Gadugi" w:eastAsia="Calibri" w:hAnsi="Gadugi" w:cs="Times New Roman"/>
          <w:sz w:val="24"/>
          <w:szCs w:val="24"/>
        </w:rPr>
        <w:t xml:space="preserve"> </w:t>
      </w:r>
      <w:r w:rsidR="008464AA" w:rsidRPr="009F6859">
        <w:rPr>
          <w:rFonts w:ascii="Gadugi" w:eastAsia="Calibri" w:hAnsi="Gadugi" w:cs="Times New Roman"/>
          <w:sz w:val="24"/>
          <w:szCs w:val="24"/>
        </w:rPr>
        <w:t xml:space="preserve">posteriormente, por Acuerdo CSJRIA19-21 del 29 de marzo de 2019, el proceso fue redistribuido </w:t>
      </w:r>
      <w:r w:rsidR="00DF3631" w:rsidRPr="009F6859">
        <w:rPr>
          <w:rFonts w:ascii="Gadugi" w:eastAsia="Calibri" w:hAnsi="Gadugi" w:cs="Times New Roman"/>
          <w:sz w:val="24"/>
          <w:szCs w:val="24"/>
        </w:rPr>
        <w:t xml:space="preserve">nuevamente </w:t>
      </w:r>
      <w:r w:rsidR="008464AA" w:rsidRPr="009F6859">
        <w:rPr>
          <w:rFonts w:ascii="Gadugi" w:eastAsia="Calibri" w:hAnsi="Gadugi" w:cs="Times New Roman"/>
          <w:sz w:val="24"/>
          <w:szCs w:val="24"/>
        </w:rPr>
        <w:t>y su conocimiento contin</w:t>
      </w:r>
      <w:r w:rsidR="00BF7B27" w:rsidRPr="009F6859">
        <w:rPr>
          <w:rFonts w:ascii="Gadugi" w:eastAsia="Calibri" w:hAnsi="Gadugi" w:cs="Times New Roman"/>
          <w:sz w:val="24"/>
          <w:szCs w:val="24"/>
        </w:rPr>
        <w:t>uó</w:t>
      </w:r>
      <w:r w:rsidR="008464AA" w:rsidRPr="009F6859">
        <w:rPr>
          <w:rFonts w:ascii="Gadugi" w:eastAsia="Calibri" w:hAnsi="Gadugi" w:cs="Times New Roman"/>
          <w:sz w:val="24"/>
          <w:szCs w:val="24"/>
        </w:rPr>
        <w:t xml:space="preserve"> a cargo del Juzgado Promiscuo del Circuito de Quinchía, Risaralda</w:t>
      </w:r>
      <w:r w:rsidR="002B4B09" w:rsidRPr="009F6859">
        <w:rPr>
          <w:rStyle w:val="Refdenotaalpie"/>
          <w:rFonts w:ascii="Gadugi" w:eastAsia="Calibri" w:hAnsi="Gadugi" w:cs="Times New Roman"/>
          <w:sz w:val="24"/>
          <w:szCs w:val="24"/>
        </w:rPr>
        <w:footnoteReference w:id="15"/>
      </w:r>
      <w:r w:rsidR="008464AA" w:rsidRPr="009F6859">
        <w:rPr>
          <w:rFonts w:ascii="Gadugi" w:eastAsia="Calibri" w:hAnsi="Gadugi" w:cs="Times New Roman"/>
          <w:sz w:val="24"/>
          <w:szCs w:val="24"/>
        </w:rPr>
        <w:t xml:space="preserve">. </w:t>
      </w:r>
    </w:p>
    <w:p w14:paraId="5DD3C2EC" w14:textId="77777777" w:rsidR="008A5D6C" w:rsidRPr="009F6859" w:rsidRDefault="008A5D6C" w:rsidP="009F6859">
      <w:pPr>
        <w:tabs>
          <w:tab w:val="left" w:pos="567"/>
        </w:tabs>
        <w:spacing w:after="0" w:line="276" w:lineRule="auto"/>
        <w:jc w:val="both"/>
        <w:rPr>
          <w:rFonts w:ascii="Gadugi" w:eastAsia="Calibri" w:hAnsi="Gadugi" w:cs="Times New Roman"/>
          <w:sz w:val="24"/>
          <w:szCs w:val="24"/>
        </w:rPr>
      </w:pPr>
    </w:p>
    <w:p w14:paraId="41BEA8B8" w14:textId="674C34AA" w:rsidR="00E519DA" w:rsidRPr="009F6859" w:rsidRDefault="00DF3631" w:rsidP="009F6859">
      <w:pPr>
        <w:tabs>
          <w:tab w:val="left" w:pos="567"/>
        </w:tabs>
        <w:spacing w:after="0" w:line="276" w:lineRule="auto"/>
        <w:jc w:val="both"/>
        <w:rPr>
          <w:rFonts w:ascii="Gadugi" w:eastAsia="Calibri" w:hAnsi="Gadugi" w:cs="Times New Roman"/>
          <w:sz w:val="24"/>
          <w:szCs w:val="24"/>
        </w:rPr>
      </w:pPr>
      <w:r w:rsidRPr="009F6859">
        <w:rPr>
          <w:rFonts w:ascii="Gadugi" w:eastAsia="Calibri" w:hAnsi="Gadugi" w:cs="Times New Roman"/>
          <w:sz w:val="24"/>
          <w:szCs w:val="24"/>
        </w:rPr>
        <w:t>La audiencia señalada</w:t>
      </w:r>
      <w:r w:rsidR="00BF7B27" w:rsidRPr="009F6859">
        <w:rPr>
          <w:rFonts w:ascii="Gadugi" w:eastAsia="Calibri" w:hAnsi="Gadugi" w:cs="Times New Roman"/>
          <w:sz w:val="24"/>
          <w:szCs w:val="24"/>
        </w:rPr>
        <w:t xml:space="preserve">, que </w:t>
      </w:r>
      <w:r w:rsidRPr="009F6859">
        <w:rPr>
          <w:rFonts w:ascii="Gadugi" w:eastAsia="Calibri" w:hAnsi="Gadugi" w:cs="Times New Roman"/>
          <w:sz w:val="24"/>
          <w:szCs w:val="24"/>
        </w:rPr>
        <w:t>tuvo lugar el 17 de septiembre de 2020</w:t>
      </w:r>
      <w:r w:rsidR="002B4B09" w:rsidRPr="009F6859">
        <w:rPr>
          <w:rFonts w:ascii="Gadugi" w:eastAsia="Calibri" w:hAnsi="Gadugi" w:cs="Times New Roman"/>
          <w:sz w:val="24"/>
          <w:szCs w:val="24"/>
        </w:rPr>
        <w:t>,</w:t>
      </w:r>
      <w:r w:rsidRPr="009F6859">
        <w:rPr>
          <w:rFonts w:ascii="Gadugi" w:eastAsia="Calibri" w:hAnsi="Gadugi" w:cs="Times New Roman"/>
          <w:sz w:val="24"/>
          <w:szCs w:val="24"/>
        </w:rPr>
        <w:t xml:space="preserve"> terminó con sentencia </w:t>
      </w:r>
      <w:r w:rsidR="00BF7B27" w:rsidRPr="009F6859">
        <w:rPr>
          <w:rFonts w:ascii="Gadugi" w:eastAsia="Calibri" w:hAnsi="Gadugi" w:cs="Times New Roman"/>
          <w:sz w:val="24"/>
          <w:szCs w:val="24"/>
        </w:rPr>
        <w:t xml:space="preserve">desfavorable a </w:t>
      </w:r>
      <w:r w:rsidRPr="009F6859">
        <w:rPr>
          <w:rFonts w:ascii="Gadugi" w:eastAsia="Calibri" w:hAnsi="Gadugi" w:cs="Times New Roman"/>
          <w:sz w:val="24"/>
          <w:szCs w:val="24"/>
        </w:rPr>
        <w:t>las pretensiones</w:t>
      </w:r>
      <w:r w:rsidR="002B4B09" w:rsidRPr="009F6859">
        <w:rPr>
          <w:rStyle w:val="Refdenotaalpie"/>
          <w:rFonts w:ascii="Gadugi" w:eastAsia="Calibri" w:hAnsi="Gadugi" w:cs="Times New Roman"/>
          <w:sz w:val="24"/>
          <w:szCs w:val="24"/>
        </w:rPr>
        <w:footnoteReference w:id="16"/>
      </w:r>
      <w:r w:rsidR="00E519DA" w:rsidRPr="009F6859">
        <w:rPr>
          <w:rFonts w:ascii="Gadugi" w:eastAsia="Calibri" w:hAnsi="Gadugi" w:cs="Times New Roman"/>
          <w:sz w:val="24"/>
          <w:szCs w:val="24"/>
        </w:rPr>
        <w:t>. Apelada, se remitió el expediente a esta sede y con providencia del 13 de abril de 2021</w:t>
      </w:r>
    </w:p>
    <w:p w14:paraId="4AE1139A" w14:textId="7DC86417" w:rsidR="007D0D48" w:rsidRPr="009F6859" w:rsidRDefault="00B00ABF" w:rsidP="009F6859">
      <w:pPr>
        <w:tabs>
          <w:tab w:val="left" w:pos="567"/>
        </w:tabs>
        <w:spacing w:after="0" w:line="276" w:lineRule="auto"/>
        <w:jc w:val="both"/>
        <w:rPr>
          <w:rFonts w:ascii="Gadugi" w:eastAsia="Calibri" w:hAnsi="Gadugi" w:cs="Times New Roman"/>
          <w:sz w:val="24"/>
          <w:szCs w:val="24"/>
        </w:rPr>
      </w:pPr>
      <w:r w:rsidRPr="009F6859">
        <w:rPr>
          <w:rFonts w:ascii="Gadugi" w:eastAsia="Calibri" w:hAnsi="Gadugi" w:cs="Times New Roman"/>
          <w:sz w:val="24"/>
          <w:szCs w:val="24"/>
        </w:rPr>
        <w:t xml:space="preserve">la </w:t>
      </w:r>
      <w:r w:rsidR="00785610" w:rsidRPr="009F6859">
        <w:rPr>
          <w:rFonts w:ascii="Gadugi" w:eastAsia="Calibri" w:hAnsi="Gadugi" w:cs="Times New Roman"/>
          <w:sz w:val="24"/>
          <w:szCs w:val="24"/>
        </w:rPr>
        <w:t xml:space="preserve">alzada </w:t>
      </w:r>
      <w:r w:rsidRPr="009F6859">
        <w:rPr>
          <w:rFonts w:ascii="Gadugi" w:eastAsia="Calibri" w:hAnsi="Gadugi" w:cs="Times New Roman"/>
          <w:sz w:val="24"/>
          <w:szCs w:val="24"/>
        </w:rPr>
        <w:t>se declaró desierta</w:t>
      </w:r>
      <w:r w:rsidR="007D0D48" w:rsidRPr="009F6859">
        <w:rPr>
          <w:rStyle w:val="Refdenotaalpie"/>
          <w:rFonts w:ascii="Gadugi" w:eastAsia="Calibri" w:hAnsi="Gadugi" w:cs="Times New Roman"/>
          <w:sz w:val="24"/>
          <w:szCs w:val="24"/>
        </w:rPr>
        <w:footnoteReference w:id="17"/>
      </w:r>
      <w:r w:rsidR="00662CDC" w:rsidRPr="009F6859">
        <w:rPr>
          <w:rFonts w:ascii="Gadugi" w:eastAsia="Calibri" w:hAnsi="Gadugi" w:cs="Times New Roman"/>
          <w:sz w:val="24"/>
          <w:szCs w:val="24"/>
        </w:rPr>
        <w:t xml:space="preserve">. </w:t>
      </w:r>
      <w:r w:rsidR="00835F79" w:rsidRPr="009F6859">
        <w:rPr>
          <w:rFonts w:ascii="Gadugi" w:eastAsia="Calibri" w:hAnsi="Gadugi" w:cs="Times New Roman"/>
          <w:sz w:val="24"/>
          <w:szCs w:val="24"/>
        </w:rPr>
        <w:t xml:space="preserve">Posteriormente, </w:t>
      </w:r>
      <w:r w:rsidR="007D0D48" w:rsidRPr="009F6859">
        <w:rPr>
          <w:rFonts w:ascii="Gadugi" w:eastAsia="Calibri" w:hAnsi="Gadugi" w:cs="Times New Roman"/>
          <w:sz w:val="24"/>
          <w:szCs w:val="24"/>
        </w:rPr>
        <w:t xml:space="preserve">esta Sala </w:t>
      </w:r>
      <w:r w:rsidR="00662CDC" w:rsidRPr="009F6859">
        <w:rPr>
          <w:rFonts w:ascii="Gadugi" w:eastAsia="Calibri" w:hAnsi="Gadugi" w:cs="Times New Roman"/>
          <w:sz w:val="24"/>
          <w:szCs w:val="24"/>
        </w:rPr>
        <w:t>fue</w:t>
      </w:r>
      <w:r w:rsidR="007D0D48" w:rsidRPr="009F6859">
        <w:rPr>
          <w:rFonts w:ascii="Gadugi" w:eastAsia="Calibri" w:hAnsi="Gadugi" w:cs="Times New Roman"/>
          <w:sz w:val="24"/>
          <w:szCs w:val="24"/>
        </w:rPr>
        <w:t xml:space="preserve"> notificada de la sentencia STC17217-2021, fechada del 15 de diciembre de 2021, proferida por la Sala de Casación Civil de la Corte Suprema de Justicia</w:t>
      </w:r>
      <w:r w:rsidR="007D0D48" w:rsidRPr="009F6859">
        <w:rPr>
          <w:rStyle w:val="Refdenotaalpie"/>
          <w:rFonts w:ascii="Gadugi" w:eastAsia="Calibri" w:hAnsi="Gadugi" w:cs="Times New Roman"/>
          <w:sz w:val="24"/>
          <w:szCs w:val="24"/>
        </w:rPr>
        <w:footnoteReference w:id="18"/>
      </w:r>
      <w:r w:rsidR="007D0D48" w:rsidRPr="009F6859">
        <w:rPr>
          <w:rFonts w:ascii="Gadugi" w:eastAsia="Calibri" w:hAnsi="Gadugi" w:cs="Times New Roman"/>
          <w:sz w:val="24"/>
          <w:szCs w:val="24"/>
        </w:rPr>
        <w:t xml:space="preserve">, </w:t>
      </w:r>
      <w:r w:rsidR="00835F79" w:rsidRPr="009F6859">
        <w:rPr>
          <w:rFonts w:ascii="Gadugi" w:eastAsia="Calibri" w:hAnsi="Gadugi" w:cs="Times New Roman"/>
          <w:sz w:val="24"/>
          <w:szCs w:val="24"/>
        </w:rPr>
        <w:t xml:space="preserve">en la que </w:t>
      </w:r>
      <w:r w:rsidR="00924512" w:rsidRPr="009F6859">
        <w:rPr>
          <w:rFonts w:ascii="Gadugi" w:eastAsia="Calibri" w:hAnsi="Gadugi" w:cs="Times New Roman"/>
          <w:sz w:val="24"/>
          <w:szCs w:val="24"/>
        </w:rPr>
        <w:t>ordenó resolver nuevamente</w:t>
      </w:r>
      <w:r w:rsidR="00835F79" w:rsidRPr="009F6859">
        <w:rPr>
          <w:rFonts w:ascii="Gadugi" w:eastAsia="Calibri" w:hAnsi="Gadugi" w:cs="Times New Roman"/>
          <w:sz w:val="24"/>
          <w:szCs w:val="24"/>
        </w:rPr>
        <w:t xml:space="preserve"> la reposición presentada contra </w:t>
      </w:r>
      <w:r w:rsidR="00662CDC" w:rsidRPr="009F6859">
        <w:rPr>
          <w:rFonts w:ascii="Gadugi" w:eastAsia="Calibri" w:hAnsi="Gadugi" w:cs="Times New Roman"/>
          <w:sz w:val="24"/>
          <w:szCs w:val="24"/>
        </w:rPr>
        <w:t>el auto citado.</w:t>
      </w:r>
      <w:r w:rsidR="00835F79" w:rsidRPr="009F6859">
        <w:rPr>
          <w:rFonts w:ascii="Gadugi" w:eastAsia="Calibri" w:hAnsi="Gadugi" w:cs="Times New Roman"/>
          <w:sz w:val="24"/>
          <w:szCs w:val="24"/>
        </w:rPr>
        <w:t xml:space="preserve"> </w:t>
      </w:r>
    </w:p>
    <w:p w14:paraId="4315DD79" w14:textId="77777777" w:rsidR="00C1010C" w:rsidRPr="009F6859" w:rsidRDefault="00C1010C" w:rsidP="009F6859">
      <w:pPr>
        <w:tabs>
          <w:tab w:val="left" w:pos="567"/>
        </w:tabs>
        <w:spacing w:after="0" w:line="276" w:lineRule="auto"/>
        <w:jc w:val="both"/>
        <w:rPr>
          <w:rFonts w:ascii="Gadugi" w:eastAsia="Calibri" w:hAnsi="Gadugi" w:cs="Times New Roman"/>
          <w:sz w:val="24"/>
          <w:szCs w:val="24"/>
        </w:rPr>
      </w:pPr>
    </w:p>
    <w:p w14:paraId="506F116E" w14:textId="0A035C36" w:rsidR="00C1010C" w:rsidRPr="009F6859" w:rsidRDefault="00835F79" w:rsidP="009F6859">
      <w:pPr>
        <w:tabs>
          <w:tab w:val="left" w:pos="567"/>
        </w:tabs>
        <w:spacing w:after="0" w:line="276" w:lineRule="auto"/>
        <w:jc w:val="both"/>
        <w:rPr>
          <w:rFonts w:ascii="Gadugi" w:eastAsia="Calibri" w:hAnsi="Gadugi" w:cs="Times New Roman"/>
          <w:sz w:val="24"/>
          <w:szCs w:val="24"/>
        </w:rPr>
      </w:pPr>
      <w:r w:rsidRPr="009F6859">
        <w:rPr>
          <w:rFonts w:ascii="Gadugi" w:eastAsia="Calibri" w:hAnsi="Gadugi" w:cs="Times New Roman"/>
          <w:sz w:val="24"/>
          <w:szCs w:val="24"/>
        </w:rPr>
        <w:t>Con fundamento en es</w:t>
      </w:r>
      <w:r w:rsidR="00662CDC" w:rsidRPr="009F6859">
        <w:rPr>
          <w:rFonts w:ascii="Gadugi" w:eastAsia="Calibri" w:hAnsi="Gadugi" w:cs="Times New Roman"/>
          <w:sz w:val="24"/>
          <w:szCs w:val="24"/>
        </w:rPr>
        <w:t>a</w:t>
      </w:r>
      <w:r w:rsidRPr="009F6859">
        <w:rPr>
          <w:rFonts w:ascii="Gadugi" w:eastAsia="Calibri" w:hAnsi="Gadugi" w:cs="Times New Roman"/>
          <w:sz w:val="24"/>
          <w:szCs w:val="24"/>
        </w:rPr>
        <w:t xml:space="preserve"> decisión, por auto del </w:t>
      </w:r>
      <w:r w:rsidR="00C1010C" w:rsidRPr="009F6859">
        <w:rPr>
          <w:rFonts w:ascii="Gadugi" w:eastAsia="Calibri" w:hAnsi="Gadugi" w:cs="Times New Roman"/>
          <w:sz w:val="24"/>
          <w:szCs w:val="24"/>
        </w:rPr>
        <w:t>9 de febrero del presente año</w:t>
      </w:r>
      <w:r w:rsidRPr="009F6859">
        <w:rPr>
          <w:rFonts w:ascii="Gadugi" w:eastAsia="Calibri" w:hAnsi="Gadugi" w:cs="Times New Roman"/>
          <w:sz w:val="24"/>
          <w:szCs w:val="24"/>
        </w:rPr>
        <w:t xml:space="preserve">, se </w:t>
      </w:r>
      <w:r w:rsidR="00C1010C" w:rsidRPr="009F6859">
        <w:rPr>
          <w:rFonts w:ascii="Gadugi" w:eastAsia="Calibri" w:hAnsi="Gadugi" w:cs="Times New Roman"/>
          <w:sz w:val="24"/>
          <w:szCs w:val="24"/>
        </w:rPr>
        <w:t>repuso la decisión tutelada</w:t>
      </w:r>
      <w:r w:rsidR="00662CDC" w:rsidRPr="009F6859">
        <w:rPr>
          <w:rFonts w:ascii="Gadugi" w:eastAsia="Calibri" w:hAnsi="Gadugi" w:cs="Times New Roman"/>
          <w:sz w:val="24"/>
          <w:szCs w:val="24"/>
        </w:rPr>
        <w:t xml:space="preserve"> y se continu</w:t>
      </w:r>
      <w:r w:rsidR="002305CF" w:rsidRPr="009F6859">
        <w:rPr>
          <w:rFonts w:ascii="Gadugi" w:eastAsia="Calibri" w:hAnsi="Gadugi" w:cs="Times New Roman"/>
          <w:sz w:val="24"/>
          <w:szCs w:val="24"/>
        </w:rPr>
        <w:t>ó</w:t>
      </w:r>
      <w:r w:rsidR="00662CDC" w:rsidRPr="009F6859">
        <w:rPr>
          <w:rFonts w:ascii="Gadugi" w:eastAsia="Calibri" w:hAnsi="Gadugi" w:cs="Times New Roman"/>
          <w:sz w:val="24"/>
          <w:szCs w:val="24"/>
        </w:rPr>
        <w:t xml:space="preserve"> con el trámite de la apelación</w:t>
      </w:r>
      <w:r w:rsidR="00C1010C" w:rsidRPr="009F6859">
        <w:rPr>
          <w:rStyle w:val="Refdenotaalpie"/>
          <w:rFonts w:ascii="Gadugi" w:eastAsia="Calibri" w:hAnsi="Gadugi" w:cs="Times New Roman"/>
          <w:sz w:val="24"/>
          <w:szCs w:val="24"/>
        </w:rPr>
        <w:footnoteReference w:id="19"/>
      </w:r>
      <w:r w:rsidR="00C1010C" w:rsidRPr="009F6859">
        <w:rPr>
          <w:rFonts w:ascii="Gadugi" w:eastAsia="Calibri" w:hAnsi="Gadugi" w:cs="Times New Roman"/>
          <w:sz w:val="24"/>
          <w:szCs w:val="24"/>
        </w:rPr>
        <w:t xml:space="preserve">. </w:t>
      </w:r>
    </w:p>
    <w:p w14:paraId="72F6ABD5" w14:textId="77777777" w:rsidR="00C1010C" w:rsidRPr="009F6859" w:rsidRDefault="00C1010C" w:rsidP="009F6859">
      <w:pPr>
        <w:tabs>
          <w:tab w:val="left" w:pos="567"/>
        </w:tabs>
        <w:spacing w:after="0" w:line="276" w:lineRule="auto"/>
        <w:jc w:val="both"/>
        <w:rPr>
          <w:rFonts w:ascii="Gadugi" w:eastAsia="Calibri" w:hAnsi="Gadugi" w:cs="Times New Roman"/>
          <w:sz w:val="24"/>
          <w:szCs w:val="24"/>
        </w:rPr>
      </w:pPr>
    </w:p>
    <w:p w14:paraId="694C135D" w14:textId="0D4634B2" w:rsidR="00C1010C" w:rsidRPr="009F6859" w:rsidRDefault="00C1010C" w:rsidP="009F6859">
      <w:pPr>
        <w:pStyle w:val="Prrafodelista"/>
        <w:numPr>
          <w:ilvl w:val="1"/>
          <w:numId w:val="1"/>
        </w:numPr>
        <w:tabs>
          <w:tab w:val="left" w:pos="567"/>
        </w:tabs>
        <w:spacing w:after="0" w:line="276" w:lineRule="auto"/>
        <w:ind w:left="0" w:firstLine="0"/>
        <w:rPr>
          <w:rFonts w:ascii="Gadugi" w:eastAsia="Calibri" w:hAnsi="Gadugi" w:cs="Times New Roman"/>
          <w:b/>
          <w:bCs/>
          <w:sz w:val="24"/>
          <w:szCs w:val="24"/>
        </w:rPr>
      </w:pPr>
      <w:r w:rsidRPr="009F6859">
        <w:rPr>
          <w:rFonts w:ascii="Gadugi" w:eastAsia="Calibri" w:hAnsi="Gadugi" w:cs="Times New Roman"/>
          <w:b/>
          <w:bCs/>
          <w:sz w:val="24"/>
          <w:szCs w:val="24"/>
        </w:rPr>
        <w:lastRenderedPageBreak/>
        <w:t>La sentencia de primera instancia</w:t>
      </w:r>
      <w:r w:rsidRPr="009F6859">
        <w:rPr>
          <w:rStyle w:val="Refdenotaalpie"/>
          <w:rFonts w:ascii="Gadugi" w:eastAsia="Calibri" w:hAnsi="Gadugi" w:cs="Times New Roman"/>
          <w:b/>
          <w:bCs/>
          <w:sz w:val="24"/>
          <w:szCs w:val="24"/>
        </w:rPr>
        <w:footnoteReference w:id="20"/>
      </w:r>
    </w:p>
    <w:p w14:paraId="172E2B50" w14:textId="5F60A0E7" w:rsidR="00C1010C" w:rsidRPr="009F6859" w:rsidRDefault="00C1010C" w:rsidP="009F6859">
      <w:pPr>
        <w:tabs>
          <w:tab w:val="left" w:pos="567"/>
        </w:tabs>
        <w:spacing w:after="0" w:line="276" w:lineRule="auto"/>
        <w:jc w:val="both"/>
        <w:rPr>
          <w:rFonts w:ascii="Gadugi" w:eastAsia="Calibri" w:hAnsi="Gadugi" w:cs="Times New Roman"/>
          <w:sz w:val="24"/>
          <w:szCs w:val="24"/>
        </w:rPr>
      </w:pPr>
    </w:p>
    <w:p w14:paraId="36DC783A" w14:textId="58BC5749" w:rsidR="00C1010C" w:rsidRPr="009F6859" w:rsidRDefault="00C1010C" w:rsidP="009F6859">
      <w:pPr>
        <w:spacing w:line="276" w:lineRule="auto"/>
        <w:contextualSpacing/>
        <w:jc w:val="both"/>
        <w:rPr>
          <w:rFonts w:ascii="Gadugi" w:eastAsia="Calibri" w:hAnsi="Gadugi" w:cs="Times New Roman"/>
          <w:sz w:val="24"/>
          <w:szCs w:val="24"/>
        </w:rPr>
      </w:pPr>
      <w:r w:rsidRPr="009F6859">
        <w:rPr>
          <w:rFonts w:ascii="Gadugi" w:eastAsia="Calibri" w:hAnsi="Gadugi" w:cs="Times New Roman"/>
          <w:sz w:val="24"/>
          <w:szCs w:val="24"/>
        </w:rPr>
        <w:t xml:space="preserve">Desestimó </w:t>
      </w:r>
      <w:r w:rsidRPr="009F6859">
        <w:rPr>
          <w:rFonts w:ascii="Gadugi" w:hAnsi="Gadugi"/>
          <w:bCs/>
          <w:sz w:val="24"/>
          <w:szCs w:val="24"/>
        </w:rPr>
        <w:t xml:space="preserve">las súplicas, por cuanto la parte actora no cumplió con la carga de demostrar la negligencia o impericia imputados a la EPSS Humana Vivir S.A. y </w:t>
      </w:r>
      <w:r w:rsidR="00662CDC" w:rsidRPr="009F6859">
        <w:rPr>
          <w:rFonts w:ascii="Gadugi" w:hAnsi="Gadugi"/>
          <w:bCs/>
          <w:sz w:val="24"/>
          <w:szCs w:val="24"/>
        </w:rPr>
        <w:t>l</w:t>
      </w:r>
      <w:r w:rsidRPr="009F6859">
        <w:rPr>
          <w:rFonts w:ascii="Gadugi" w:hAnsi="Gadugi"/>
          <w:bCs/>
          <w:sz w:val="24"/>
          <w:szCs w:val="24"/>
        </w:rPr>
        <w:t xml:space="preserve">a Clínica Risaralda, </w:t>
      </w:r>
      <w:r w:rsidR="00662CDC" w:rsidRPr="009F6859">
        <w:rPr>
          <w:rFonts w:ascii="Gadugi" w:hAnsi="Gadugi"/>
          <w:bCs/>
          <w:sz w:val="24"/>
          <w:szCs w:val="24"/>
        </w:rPr>
        <w:t>ni</w:t>
      </w:r>
      <w:r w:rsidRPr="009F6859">
        <w:rPr>
          <w:rFonts w:ascii="Gadugi" w:hAnsi="Gadugi"/>
          <w:bCs/>
          <w:sz w:val="24"/>
          <w:szCs w:val="24"/>
        </w:rPr>
        <w:t xml:space="preserve"> el nexo de causalidad </w:t>
      </w:r>
      <w:r w:rsidR="00662CDC" w:rsidRPr="009F6859">
        <w:rPr>
          <w:rFonts w:ascii="Gadugi" w:hAnsi="Gadugi"/>
          <w:bCs/>
          <w:sz w:val="24"/>
          <w:szCs w:val="24"/>
        </w:rPr>
        <w:t xml:space="preserve">entre la presunta </w:t>
      </w:r>
      <w:r w:rsidRPr="009F6859">
        <w:rPr>
          <w:rFonts w:ascii="Gadugi" w:hAnsi="Gadugi"/>
          <w:bCs/>
          <w:sz w:val="24"/>
          <w:szCs w:val="24"/>
        </w:rPr>
        <w:t xml:space="preserve">falta de atención médica </w:t>
      </w:r>
      <w:r w:rsidR="00662CDC" w:rsidRPr="009F6859">
        <w:rPr>
          <w:rFonts w:ascii="Gadugi" w:hAnsi="Gadugi"/>
          <w:bCs/>
          <w:sz w:val="24"/>
          <w:szCs w:val="24"/>
        </w:rPr>
        <w:t xml:space="preserve">y </w:t>
      </w:r>
      <w:r w:rsidR="007F4E72" w:rsidRPr="009F6859">
        <w:rPr>
          <w:rFonts w:ascii="Gadugi" w:hAnsi="Gadugi"/>
          <w:bCs/>
          <w:sz w:val="24"/>
          <w:szCs w:val="24"/>
        </w:rPr>
        <w:t>el deceso de la señora M</w:t>
      </w:r>
      <w:r w:rsidR="00F41BC0" w:rsidRPr="009F6859">
        <w:rPr>
          <w:rFonts w:ascii="Gadugi" w:hAnsi="Gadugi"/>
          <w:bCs/>
          <w:sz w:val="24"/>
          <w:szCs w:val="24"/>
        </w:rPr>
        <w:t>E</w:t>
      </w:r>
      <w:r w:rsidRPr="009F6859">
        <w:rPr>
          <w:rFonts w:ascii="Gadugi" w:hAnsi="Gadugi"/>
          <w:bCs/>
          <w:sz w:val="24"/>
          <w:szCs w:val="24"/>
        </w:rPr>
        <w:t xml:space="preserve">. </w:t>
      </w:r>
    </w:p>
    <w:p w14:paraId="42FD07B6" w14:textId="77777777" w:rsidR="00C1010C" w:rsidRPr="009F6859" w:rsidRDefault="00C1010C" w:rsidP="009F6859">
      <w:pPr>
        <w:spacing w:line="276" w:lineRule="auto"/>
        <w:contextualSpacing/>
        <w:jc w:val="both"/>
        <w:rPr>
          <w:rFonts w:ascii="Gadugi" w:hAnsi="Gadugi"/>
          <w:sz w:val="24"/>
          <w:szCs w:val="24"/>
        </w:rPr>
      </w:pPr>
    </w:p>
    <w:p w14:paraId="243DF930" w14:textId="1A329446" w:rsidR="007F4E72" w:rsidRPr="009F6859" w:rsidRDefault="007F4E72" w:rsidP="009F6859">
      <w:pPr>
        <w:spacing w:after="0" w:line="276" w:lineRule="auto"/>
        <w:jc w:val="both"/>
        <w:rPr>
          <w:rFonts w:ascii="Gadugi" w:eastAsia="Calibri" w:hAnsi="Gadugi" w:cs="Times New Roman"/>
          <w:b/>
          <w:bCs/>
          <w:sz w:val="24"/>
          <w:szCs w:val="24"/>
        </w:rPr>
      </w:pPr>
      <w:r w:rsidRPr="009F6859">
        <w:rPr>
          <w:rFonts w:ascii="Gadugi" w:eastAsia="Calibri" w:hAnsi="Gadugi" w:cs="Times New Roman"/>
          <w:b/>
          <w:bCs/>
          <w:sz w:val="24"/>
          <w:szCs w:val="24"/>
        </w:rPr>
        <w:t>1.5. Reparos y sustentación</w:t>
      </w:r>
      <w:r w:rsidRPr="009F6859">
        <w:rPr>
          <w:rStyle w:val="Refdenotaalpie"/>
          <w:rFonts w:ascii="Gadugi" w:eastAsia="Calibri" w:hAnsi="Gadugi" w:cs="Times New Roman"/>
          <w:b/>
          <w:bCs/>
          <w:sz w:val="24"/>
          <w:szCs w:val="24"/>
        </w:rPr>
        <w:footnoteReference w:id="21"/>
      </w:r>
    </w:p>
    <w:p w14:paraId="65D607C0" w14:textId="7ADA500D" w:rsidR="007F4E72" w:rsidRPr="009F6859" w:rsidRDefault="007F4E72" w:rsidP="009F6859">
      <w:pPr>
        <w:spacing w:after="0" w:line="276" w:lineRule="auto"/>
        <w:jc w:val="both"/>
        <w:rPr>
          <w:rFonts w:ascii="Gadugi" w:eastAsia="Calibri" w:hAnsi="Gadugi" w:cs="Times New Roman"/>
          <w:b/>
          <w:bCs/>
          <w:sz w:val="24"/>
          <w:szCs w:val="24"/>
        </w:rPr>
      </w:pPr>
      <w:r w:rsidRPr="009F6859">
        <w:rPr>
          <w:rFonts w:ascii="Gadugi" w:eastAsia="Calibri" w:hAnsi="Gadugi" w:cs="Times New Roman"/>
          <w:b/>
          <w:bCs/>
          <w:sz w:val="24"/>
          <w:szCs w:val="24"/>
        </w:rPr>
        <w:t xml:space="preserve"> </w:t>
      </w:r>
    </w:p>
    <w:p w14:paraId="6ADE1352" w14:textId="080C8A3A" w:rsidR="006B6B0D" w:rsidRDefault="006B6B0D" w:rsidP="009F6859">
      <w:pPr>
        <w:spacing w:after="0" w:line="276" w:lineRule="auto"/>
        <w:jc w:val="both"/>
        <w:rPr>
          <w:rFonts w:ascii="Gadugi" w:eastAsia="Calibri" w:hAnsi="Gadugi" w:cs="Times New Roman"/>
          <w:sz w:val="24"/>
          <w:szCs w:val="24"/>
        </w:rPr>
      </w:pPr>
      <w:r w:rsidRPr="009F6859">
        <w:rPr>
          <w:rFonts w:ascii="Gadugi" w:eastAsia="Calibri" w:hAnsi="Gadugi" w:cs="Times New Roman"/>
          <w:sz w:val="24"/>
          <w:szCs w:val="24"/>
        </w:rPr>
        <w:t xml:space="preserve">Apelaron los demandantes, porque, a su juicio, estaban demostrados todos los elementos de la responsabilidad. Sus reparos fueron formulados y desarrollados en primera instancia y </w:t>
      </w:r>
      <w:r w:rsidR="00C5647E" w:rsidRPr="009F6859">
        <w:rPr>
          <w:rFonts w:ascii="Gadugi" w:eastAsia="Calibri" w:hAnsi="Gadugi" w:cs="Times New Roman"/>
          <w:sz w:val="24"/>
          <w:szCs w:val="24"/>
        </w:rPr>
        <w:t xml:space="preserve">a ellos se aludirá más </w:t>
      </w:r>
      <w:r w:rsidRPr="009F6859">
        <w:rPr>
          <w:rFonts w:ascii="Gadugi" w:eastAsia="Calibri" w:hAnsi="Gadugi" w:cs="Times New Roman"/>
          <w:sz w:val="24"/>
          <w:szCs w:val="24"/>
        </w:rPr>
        <w:t>adelante</w:t>
      </w:r>
      <w:r w:rsidR="00C5647E" w:rsidRPr="009F6859">
        <w:rPr>
          <w:rStyle w:val="Refdenotaalpie"/>
          <w:rFonts w:ascii="Gadugi" w:hAnsi="Gadugi" w:cs="Segoe UI"/>
          <w:sz w:val="24"/>
          <w:szCs w:val="24"/>
        </w:rPr>
        <w:footnoteReference w:id="22"/>
      </w:r>
      <w:r w:rsidRPr="009F6859">
        <w:rPr>
          <w:rFonts w:ascii="Gadugi" w:eastAsia="Calibri" w:hAnsi="Gadugi" w:cs="Times New Roman"/>
          <w:sz w:val="24"/>
          <w:szCs w:val="24"/>
        </w:rPr>
        <w:t xml:space="preserve">. </w:t>
      </w:r>
    </w:p>
    <w:p w14:paraId="641F91B5" w14:textId="77777777" w:rsidR="0007699D" w:rsidRPr="009F6859" w:rsidRDefault="0007699D" w:rsidP="009F6859">
      <w:pPr>
        <w:spacing w:after="0" w:line="276" w:lineRule="auto"/>
        <w:jc w:val="both"/>
        <w:rPr>
          <w:rFonts w:ascii="Gadugi" w:eastAsia="Calibri" w:hAnsi="Gadugi" w:cs="Times New Roman"/>
          <w:sz w:val="24"/>
          <w:szCs w:val="24"/>
        </w:rPr>
      </w:pPr>
    </w:p>
    <w:p w14:paraId="0493F12F" w14:textId="7519CE72" w:rsidR="001703FA" w:rsidRPr="009F6859" w:rsidRDefault="001703FA" w:rsidP="009F6859">
      <w:pPr>
        <w:pStyle w:val="Prrafodelista"/>
        <w:numPr>
          <w:ilvl w:val="0"/>
          <w:numId w:val="1"/>
        </w:numPr>
        <w:tabs>
          <w:tab w:val="left" w:pos="426"/>
        </w:tabs>
        <w:spacing w:after="0" w:line="276" w:lineRule="auto"/>
        <w:ind w:left="0" w:firstLine="0"/>
        <w:jc w:val="both"/>
        <w:rPr>
          <w:rFonts w:ascii="Gadugi" w:eastAsia="Calibri" w:hAnsi="Gadugi" w:cs="Times New Roman"/>
          <w:b/>
          <w:sz w:val="24"/>
          <w:szCs w:val="24"/>
          <w:lang w:val="es-419"/>
        </w:rPr>
      </w:pPr>
      <w:r w:rsidRPr="009F6859">
        <w:rPr>
          <w:rFonts w:ascii="Gadugi" w:eastAsia="Calibri" w:hAnsi="Gadugi" w:cs="Times New Roman"/>
          <w:b/>
          <w:sz w:val="24"/>
          <w:szCs w:val="24"/>
          <w:lang w:val="es-419"/>
        </w:rPr>
        <w:t>CONSIDERACIONES</w:t>
      </w:r>
    </w:p>
    <w:p w14:paraId="3A985DAF" w14:textId="77777777" w:rsidR="001703FA" w:rsidRPr="009F6859" w:rsidRDefault="001703FA" w:rsidP="009F6859">
      <w:pPr>
        <w:spacing w:after="0" w:line="276" w:lineRule="auto"/>
        <w:jc w:val="both"/>
        <w:rPr>
          <w:rFonts w:ascii="Gadugi" w:eastAsia="Calibri" w:hAnsi="Gadugi" w:cs="Times New Roman"/>
          <w:sz w:val="24"/>
          <w:szCs w:val="24"/>
          <w:lang w:val="es-419"/>
        </w:rPr>
      </w:pPr>
    </w:p>
    <w:p w14:paraId="024ED29A" w14:textId="436F71B5" w:rsidR="001703FA" w:rsidRPr="009F6859" w:rsidRDefault="00833AA2" w:rsidP="009F6859">
      <w:pPr>
        <w:pStyle w:val="Prrafodelista"/>
        <w:numPr>
          <w:ilvl w:val="1"/>
          <w:numId w:val="1"/>
        </w:numPr>
        <w:tabs>
          <w:tab w:val="left" w:pos="567"/>
          <w:tab w:val="left" w:pos="2268"/>
        </w:tabs>
        <w:spacing w:after="0" w:line="276" w:lineRule="auto"/>
        <w:ind w:left="0" w:firstLine="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Concurren l</w:t>
      </w:r>
      <w:r w:rsidR="001703FA" w:rsidRPr="009F6859">
        <w:rPr>
          <w:rFonts w:ascii="Gadugi" w:eastAsia="Calibri" w:hAnsi="Gadugi" w:cs="Times New Roman"/>
          <w:sz w:val="24"/>
          <w:szCs w:val="24"/>
          <w:lang w:val="es-419"/>
        </w:rPr>
        <w:t xml:space="preserve">os presupuestos procesales y no se advierte irregularidad alguna que pueda invalidar la actuación. </w:t>
      </w:r>
    </w:p>
    <w:p w14:paraId="0356F9AA" w14:textId="2B0CB515" w:rsidR="00C30B31" w:rsidRPr="009F6859" w:rsidRDefault="00C30B31" w:rsidP="009F6859">
      <w:pPr>
        <w:spacing w:after="0" w:line="276" w:lineRule="auto"/>
        <w:ind w:left="142"/>
        <w:jc w:val="both"/>
        <w:rPr>
          <w:rFonts w:ascii="Gadugi" w:eastAsia="Calibri" w:hAnsi="Gadugi" w:cs="Times New Roman"/>
          <w:sz w:val="24"/>
          <w:szCs w:val="24"/>
          <w:lang w:val="es-419"/>
        </w:rPr>
      </w:pPr>
    </w:p>
    <w:p w14:paraId="6461A709" w14:textId="3B164928" w:rsidR="00663180" w:rsidRPr="009F6859" w:rsidRDefault="00663180" w:rsidP="009F6859">
      <w:pPr>
        <w:pStyle w:val="Prrafodelista"/>
        <w:numPr>
          <w:ilvl w:val="1"/>
          <w:numId w:val="1"/>
        </w:numPr>
        <w:spacing w:after="0" w:line="276" w:lineRule="auto"/>
        <w:ind w:left="0" w:firstLine="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Como lo señaló el Juez de primer grado, el asunto comporta una responsabilidad ex</w:t>
      </w:r>
      <w:r w:rsidR="00835F79" w:rsidRPr="009F6859">
        <w:rPr>
          <w:rFonts w:ascii="Gadugi" w:eastAsia="Calibri" w:hAnsi="Gadugi" w:cs="Times New Roman"/>
          <w:sz w:val="24"/>
          <w:szCs w:val="24"/>
          <w:lang w:val="es-419"/>
        </w:rPr>
        <w:t>tracontractual, puesto que el ví</w:t>
      </w:r>
      <w:r w:rsidRPr="009F6859">
        <w:rPr>
          <w:rFonts w:ascii="Gadugi" w:eastAsia="Calibri" w:hAnsi="Gadugi" w:cs="Times New Roman"/>
          <w:sz w:val="24"/>
          <w:szCs w:val="24"/>
          <w:lang w:val="es-419"/>
        </w:rPr>
        <w:t xml:space="preserve">nculo contractual lo tenía la señora </w:t>
      </w:r>
      <w:r w:rsidR="00F41BC0" w:rsidRPr="009F6859">
        <w:rPr>
          <w:rFonts w:ascii="Gadugi" w:eastAsia="Calibri" w:hAnsi="Gadugi" w:cs="Times New Roman"/>
          <w:sz w:val="24"/>
          <w:szCs w:val="24"/>
          <w:lang w:val="es-419"/>
        </w:rPr>
        <w:t>ME</w:t>
      </w:r>
      <w:r w:rsidRPr="009F6859">
        <w:rPr>
          <w:rFonts w:ascii="Gadugi" w:eastAsia="Calibri" w:hAnsi="Gadugi" w:cs="Times New Roman"/>
          <w:sz w:val="24"/>
          <w:szCs w:val="24"/>
          <w:lang w:val="es-419"/>
        </w:rPr>
        <w:t xml:space="preserve"> con la EPSS Humana Vivir S.A., </w:t>
      </w:r>
      <w:r w:rsidR="006735C2" w:rsidRPr="009F6859">
        <w:rPr>
          <w:rFonts w:ascii="Gadugi" w:eastAsia="Calibri" w:hAnsi="Gadugi" w:cs="Times New Roman"/>
          <w:sz w:val="24"/>
          <w:szCs w:val="24"/>
          <w:lang w:val="es-419"/>
        </w:rPr>
        <w:t>lo cual se encuentra debidamente soportado en el expediente con el carné de afiliación</w:t>
      </w:r>
      <w:r w:rsidR="006735C2" w:rsidRPr="009F6859">
        <w:rPr>
          <w:rStyle w:val="Refdenotaalpie"/>
          <w:rFonts w:ascii="Gadugi" w:eastAsia="Calibri" w:hAnsi="Gadugi" w:cs="Times New Roman"/>
          <w:sz w:val="24"/>
          <w:szCs w:val="24"/>
          <w:lang w:val="es-419"/>
        </w:rPr>
        <w:footnoteReference w:id="23"/>
      </w:r>
      <w:r w:rsidR="00240B03" w:rsidRPr="009F6859">
        <w:rPr>
          <w:rFonts w:ascii="Gadugi" w:eastAsia="Calibri" w:hAnsi="Gadugi" w:cs="Times New Roman"/>
          <w:sz w:val="24"/>
          <w:szCs w:val="24"/>
          <w:lang w:val="es-419"/>
        </w:rPr>
        <w:t xml:space="preserve">, y ante su </w:t>
      </w:r>
      <w:r w:rsidR="00065AEA" w:rsidRPr="009F6859">
        <w:rPr>
          <w:rFonts w:ascii="Gadugi" w:eastAsia="Calibri" w:hAnsi="Gadugi" w:cs="Times New Roman"/>
          <w:sz w:val="24"/>
          <w:szCs w:val="24"/>
          <w:lang w:val="es-419"/>
        </w:rPr>
        <w:t>deceso</w:t>
      </w:r>
      <w:r w:rsidR="00065AEA" w:rsidRPr="009F6859">
        <w:rPr>
          <w:rStyle w:val="Refdenotaalpie"/>
          <w:rFonts w:ascii="Gadugi" w:eastAsia="Calibri" w:hAnsi="Gadugi" w:cs="Times New Roman"/>
          <w:sz w:val="24"/>
          <w:szCs w:val="24"/>
          <w:lang w:val="es-419"/>
        </w:rPr>
        <w:footnoteReference w:id="24"/>
      </w:r>
      <w:r w:rsidR="00065AEA" w:rsidRPr="009F6859">
        <w:rPr>
          <w:rFonts w:ascii="Gadugi" w:eastAsia="Calibri" w:hAnsi="Gadugi" w:cs="Times New Roman"/>
          <w:sz w:val="24"/>
          <w:szCs w:val="24"/>
          <w:lang w:val="es-419"/>
        </w:rPr>
        <w:t xml:space="preserve">, </w:t>
      </w:r>
      <w:r w:rsidR="00DC3394" w:rsidRPr="009F6859">
        <w:rPr>
          <w:rFonts w:ascii="Gadugi" w:eastAsia="Calibri" w:hAnsi="Gadugi" w:cs="Times New Roman"/>
          <w:sz w:val="24"/>
          <w:szCs w:val="24"/>
          <w:lang w:val="es-419"/>
        </w:rPr>
        <w:t xml:space="preserve">quienes dicen ser sus </w:t>
      </w:r>
      <w:r w:rsidR="00240B03" w:rsidRPr="009F6859">
        <w:rPr>
          <w:rFonts w:ascii="Gadugi" w:eastAsia="Calibri" w:hAnsi="Gadugi" w:cs="Times New Roman"/>
          <w:sz w:val="24"/>
          <w:szCs w:val="24"/>
          <w:lang w:val="es-419"/>
        </w:rPr>
        <w:t>familiares</w:t>
      </w:r>
      <w:r w:rsidR="00065AEA" w:rsidRPr="009F6859">
        <w:rPr>
          <w:rFonts w:ascii="Gadugi" w:eastAsia="Calibri" w:hAnsi="Gadugi" w:cs="Times New Roman"/>
          <w:sz w:val="24"/>
          <w:szCs w:val="24"/>
          <w:lang w:val="es-419"/>
        </w:rPr>
        <w:t>,</w:t>
      </w:r>
      <w:r w:rsidR="00240B03" w:rsidRPr="009F6859">
        <w:rPr>
          <w:rFonts w:ascii="Gadugi" w:eastAsia="Calibri" w:hAnsi="Gadugi" w:cs="Times New Roman"/>
          <w:sz w:val="24"/>
          <w:szCs w:val="24"/>
          <w:lang w:val="es-419"/>
        </w:rPr>
        <w:t xml:space="preserve"> </w:t>
      </w:r>
      <w:r w:rsidR="00DF1D8B" w:rsidRPr="009F6859">
        <w:rPr>
          <w:rFonts w:ascii="Gadugi" w:eastAsia="Calibri" w:hAnsi="Gadugi" w:cs="Times New Roman"/>
          <w:sz w:val="24"/>
          <w:szCs w:val="24"/>
          <w:lang w:val="es-419"/>
        </w:rPr>
        <w:t>como víctimas de rebote</w:t>
      </w:r>
      <w:r w:rsidR="00065AEA" w:rsidRPr="009F6859">
        <w:rPr>
          <w:rFonts w:ascii="Gadugi" w:eastAsia="Calibri" w:hAnsi="Gadugi" w:cs="Times New Roman"/>
          <w:sz w:val="24"/>
          <w:szCs w:val="24"/>
          <w:lang w:val="es-419"/>
        </w:rPr>
        <w:t xml:space="preserve">, </w:t>
      </w:r>
      <w:r w:rsidR="00240B03" w:rsidRPr="009F6859">
        <w:rPr>
          <w:rFonts w:ascii="Gadugi" w:eastAsia="Calibri" w:hAnsi="Gadugi" w:cs="Times New Roman"/>
          <w:sz w:val="24"/>
          <w:szCs w:val="24"/>
          <w:lang w:val="es-419"/>
        </w:rPr>
        <w:t xml:space="preserve">reclaman </w:t>
      </w:r>
      <w:r w:rsidR="00065AEA" w:rsidRPr="009F6859">
        <w:rPr>
          <w:rFonts w:ascii="Gadugi" w:eastAsia="Calibri" w:hAnsi="Gadugi" w:cs="Times New Roman"/>
          <w:sz w:val="24"/>
          <w:szCs w:val="24"/>
          <w:lang w:val="es-419"/>
        </w:rPr>
        <w:t xml:space="preserve">la indemnización de los </w:t>
      </w:r>
      <w:r w:rsidR="00240B03" w:rsidRPr="009F6859">
        <w:rPr>
          <w:rFonts w:ascii="Gadugi" w:eastAsia="Calibri" w:hAnsi="Gadugi" w:cs="Times New Roman"/>
          <w:sz w:val="24"/>
          <w:szCs w:val="24"/>
          <w:lang w:val="es-419"/>
        </w:rPr>
        <w:t>perjuicios causados</w:t>
      </w:r>
      <w:r w:rsidR="00065AEA" w:rsidRPr="009F6859">
        <w:rPr>
          <w:rFonts w:ascii="Gadugi" w:eastAsia="Calibri" w:hAnsi="Gadugi" w:cs="Times New Roman"/>
          <w:sz w:val="24"/>
          <w:szCs w:val="24"/>
          <w:lang w:val="es-419"/>
        </w:rPr>
        <w:t xml:space="preserve">. </w:t>
      </w:r>
    </w:p>
    <w:p w14:paraId="00F6A06D" w14:textId="77777777" w:rsidR="002305CF" w:rsidRPr="009F6859" w:rsidRDefault="002305CF" w:rsidP="009F6859">
      <w:pPr>
        <w:pStyle w:val="Prrafodelista"/>
        <w:spacing w:after="0" w:line="276" w:lineRule="auto"/>
        <w:ind w:left="0"/>
        <w:jc w:val="both"/>
        <w:rPr>
          <w:rFonts w:ascii="Gadugi" w:eastAsia="Calibri" w:hAnsi="Gadugi" w:cs="Times New Roman"/>
          <w:sz w:val="24"/>
          <w:szCs w:val="24"/>
          <w:lang w:val="es-419"/>
        </w:rPr>
      </w:pPr>
    </w:p>
    <w:p w14:paraId="00469268" w14:textId="22D0C891" w:rsidR="00736C51" w:rsidRPr="009F6859" w:rsidRDefault="00DC3394" w:rsidP="009F6859">
      <w:pPr>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Lo primero por analizar, entonces, es la legitimación en la causa, aspecto que es revisable de oficio. Por activa, concurren </w:t>
      </w:r>
      <w:r w:rsidR="000D1762" w:rsidRPr="009F6859">
        <w:rPr>
          <w:rFonts w:ascii="Gadugi" w:eastAsia="Calibri" w:hAnsi="Gadugi" w:cs="Times New Roman"/>
          <w:sz w:val="24"/>
          <w:szCs w:val="24"/>
          <w:lang w:val="es-419"/>
        </w:rPr>
        <w:t>M</w:t>
      </w:r>
      <w:r w:rsidR="00F41BC0" w:rsidRPr="009F6859">
        <w:rPr>
          <w:rFonts w:ascii="Gadugi" w:eastAsia="Calibri" w:hAnsi="Gadugi" w:cs="Times New Roman"/>
          <w:sz w:val="24"/>
          <w:szCs w:val="24"/>
          <w:lang w:val="es-419"/>
        </w:rPr>
        <w:t>A</w:t>
      </w:r>
      <w:r w:rsidR="00B12A69" w:rsidRPr="009F6859">
        <w:rPr>
          <w:rStyle w:val="Refdenotaalpie"/>
          <w:rFonts w:ascii="Gadugi" w:eastAsia="Calibri" w:hAnsi="Gadugi" w:cs="Times New Roman"/>
          <w:sz w:val="24"/>
          <w:szCs w:val="24"/>
          <w:lang w:val="es-419"/>
        </w:rPr>
        <w:footnoteReference w:id="25"/>
      </w:r>
      <w:r w:rsidR="000D1762" w:rsidRPr="009F6859">
        <w:rPr>
          <w:rFonts w:ascii="Gadugi" w:eastAsia="Calibri" w:hAnsi="Gadugi" w:cs="Times New Roman"/>
          <w:sz w:val="24"/>
          <w:szCs w:val="24"/>
          <w:lang w:val="es-419"/>
        </w:rPr>
        <w:t xml:space="preserve">, </w:t>
      </w:r>
      <w:r w:rsidRPr="009F6859">
        <w:rPr>
          <w:rFonts w:ascii="Gadugi" w:eastAsia="Calibri" w:hAnsi="Gadugi" w:cs="Times New Roman"/>
          <w:sz w:val="24"/>
          <w:szCs w:val="24"/>
          <w:lang w:val="es-419"/>
        </w:rPr>
        <w:t xml:space="preserve">como compañero </w:t>
      </w:r>
      <w:r w:rsidR="00065AEA" w:rsidRPr="009F6859">
        <w:rPr>
          <w:rFonts w:ascii="Gadugi" w:eastAsia="Calibri" w:hAnsi="Gadugi" w:cs="Times New Roman"/>
          <w:sz w:val="24"/>
          <w:szCs w:val="24"/>
          <w:lang w:val="es-419"/>
        </w:rPr>
        <w:t>permanente</w:t>
      </w:r>
      <w:r w:rsidRPr="009F6859">
        <w:rPr>
          <w:rFonts w:ascii="Gadugi" w:eastAsia="Calibri" w:hAnsi="Gadugi" w:cs="Times New Roman"/>
          <w:sz w:val="24"/>
          <w:szCs w:val="24"/>
          <w:lang w:val="es-419"/>
        </w:rPr>
        <w:t xml:space="preserve"> y para acreditarlo se trajeron </w:t>
      </w:r>
      <w:r w:rsidR="00FC1156" w:rsidRPr="009F6859">
        <w:rPr>
          <w:rFonts w:ascii="Gadugi" w:eastAsia="Calibri" w:hAnsi="Gadugi" w:cs="Times New Roman"/>
          <w:sz w:val="24"/>
          <w:szCs w:val="24"/>
          <w:lang w:val="es-419"/>
        </w:rPr>
        <w:t xml:space="preserve">declaraciones </w:t>
      </w:r>
      <w:r w:rsidR="00065AEA" w:rsidRPr="009F6859">
        <w:rPr>
          <w:rFonts w:ascii="Gadugi" w:eastAsia="Calibri" w:hAnsi="Gadugi" w:cs="Times New Roman"/>
          <w:sz w:val="24"/>
          <w:szCs w:val="24"/>
          <w:lang w:val="es-419"/>
        </w:rPr>
        <w:t>extra</w:t>
      </w:r>
      <w:r w:rsidR="00FC1156" w:rsidRPr="009F6859">
        <w:rPr>
          <w:rFonts w:ascii="Gadugi" w:eastAsia="Calibri" w:hAnsi="Gadugi" w:cs="Times New Roman"/>
          <w:sz w:val="24"/>
          <w:szCs w:val="24"/>
          <w:lang w:val="es-419"/>
        </w:rPr>
        <w:t xml:space="preserve"> </w:t>
      </w:r>
      <w:r w:rsidR="00065AEA" w:rsidRPr="009F6859">
        <w:rPr>
          <w:rFonts w:ascii="Gadugi" w:eastAsia="Calibri" w:hAnsi="Gadugi" w:cs="Times New Roman"/>
          <w:sz w:val="24"/>
          <w:szCs w:val="24"/>
          <w:lang w:val="es-419"/>
        </w:rPr>
        <w:t>proceso de GJ y H</w:t>
      </w:r>
      <w:r w:rsidR="00F41BC0" w:rsidRPr="009F6859">
        <w:rPr>
          <w:rFonts w:ascii="Gadugi" w:eastAsia="Calibri" w:hAnsi="Gadugi" w:cs="Times New Roman"/>
          <w:sz w:val="24"/>
          <w:szCs w:val="24"/>
          <w:lang w:val="es-419"/>
        </w:rPr>
        <w:t>F</w:t>
      </w:r>
      <w:r w:rsidR="00065AEA" w:rsidRPr="009F6859">
        <w:rPr>
          <w:rFonts w:ascii="Gadugi" w:eastAsia="Calibri" w:hAnsi="Gadugi" w:cs="Times New Roman"/>
          <w:sz w:val="24"/>
          <w:szCs w:val="24"/>
          <w:lang w:val="es-419"/>
        </w:rPr>
        <w:t>, que dieron cuenta de esa relación, no discutida por las demandadas</w:t>
      </w:r>
      <w:r w:rsidRPr="009F6859">
        <w:rPr>
          <w:rFonts w:ascii="Gadugi" w:eastAsia="Calibri" w:hAnsi="Gadugi" w:cs="Times New Roman"/>
          <w:sz w:val="24"/>
          <w:szCs w:val="24"/>
          <w:lang w:val="es-419"/>
        </w:rPr>
        <w:t>; además, el primero de ellos rindió declaración dentro del proceso</w:t>
      </w:r>
      <w:r w:rsidRPr="009F6859">
        <w:rPr>
          <w:rStyle w:val="Refdenotaalpie"/>
          <w:rFonts w:ascii="Gadugi" w:eastAsia="Calibri" w:hAnsi="Gadugi" w:cs="Times New Roman"/>
          <w:sz w:val="24"/>
          <w:szCs w:val="24"/>
          <w:lang w:val="es-419"/>
        </w:rPr>
        <w:footnoteReference w:id="26"/>
      </w:r>
      <w:r w:rsidRPr="009F6859">
        <w:rPr>
          <w:rFonts w:ascii="Gadugi" w:eastAsia="Calibri" w:hAnsi="Gadugi" w:cs="Times New Roman"/>
          <w:sz w:val="24"/>
          <w:szCs w:val="24"/>
          <w:lang w:val="es-419"/>
        </w:rPr>
        <w:t xml:space="preserve"> y </w:t>
      </w:r>
      <w:r w:rsidR="00736C51" w:rsidRPr="009F6859">
        <w:rPr>
          <w:rFonts w:ascii="Gadugi" w:eastAsia="Calibri" w:hAnsi="Gadugi" w:cs="Times New Roman"/>
          <w:sz w:val="24"/>
          <w:szCs w:val="24"/>
          <w:lang w:val="es-419"/>
        </w:rPr>
        <w:t xml:space="preserve">reiteró la aludida convivencia, junto con </w:t>
      </w:r>
      <w:r w:rsidR="00B50E94" w:rsidRPr="009F6859">
        <w:rPr>
          <w:rFonts w:ascii="Gadugi" w:eastAsia="Calibri" w:hAnsi="Gadugi" w:cs="Times New Roman"/>
          <w:sz w:val="24"/>
          <w:szCs w:val="24"/>
          <w:lang w:val="es-419"/>
        </w:rPr>
        <w:t>A</w:t>
      </w:r>
      <w:r w:rsidR="00F41BC0" w:rsidRPr="009F6859">
        <w:rPr>
          <w:rFonts w:ascii="Gadugi" w:eastAsia="Calibri" w:hAnsi="Gadugi" w:cs="Times New Roman"/>
          <w:sz w:val="24"/>
          <w:szCs w:val="24"/>
          <w:lang w:val="es-419"/>
        </w:rPr>
        <w:t>E</w:t>
      </w:r>
      <w:r w:rsidR="00C5647E" w:rsidRPr="009F6859">
        <w:rPr>
          <w:rFonts w:ascii="Gadugi" w:eastAsia="Calibri" w:hAnsi="Gadugi" w:cs="Times New Roman"/>
          <w:sz w:val="24"/>
          <w:szCs w:val="24"/>
          <w:lang w:val="es-419"/>
        </w:rPr>
        <w:t>, hija de M</w:t>
      </w:r>
      <w:r w:rsidR="00F41BC0" w:rsidRPr="009F6859">
        <w:rPr>
          <w:rFonts w:ascii="Gadugi" w:eastAsia="Calibri" w:hAnsi="Gadugi" w:cs="Times New Roman"/>
          <w:sz w:val="24"/>
          <w:szCs w:val="24"/>
          <w:lang w:val="es-419"/>
        </w:rPr>
        <w:t>A</w:t>
      </w:r>
      <w:r w:rsidR="00736C51" w:rsidRPr="009F6859">
        <w:rPr>
          <w:rFonts w:ascii="Gadugi" w:eastAsia="Calibri" w:hAnsi="Gadugi" w:cs="Times New Roman"/>
          <w:sz w:val="24"/>
          <w:szCs w:val="24"/>
          <w:lang w:val="es-419"/>
        </w:rPr>
        <w:t xml:space="preserve">, según el </w:t>
      </w:r>
      <w:r w:rsidR="00C5647E" w:rsidRPr="009F6859">
        <w:rPr>
          <w:rFonts w:ascii="Gadugi" w:eastAsia="Calibri" w:hAnsi="Gadugi" w:cs="Times New Roman"/>
          <w:sz w:val="24"/>
          <w:szCs w:val="24"/>
          <w:lang w:val="es-419"/>
        </w:rPr>
        <w:t>registro respectivo</w:t>
      </w:r>
      <w:r w:rsidR="007B164B" w:rsidRPr="009F6859">
        <w:rPr>
          <w:rStyle w:val="Refdenotaalpie"/>
          <w:rFonts w:ascii="Gadugi" w:eastAsia="Calibri" w:hAnsi="Gadugi" w:cs="Times New Roman"/>
          <w:sz w:val="24"/>
          <w:szCs w:val="24"/>
          <w:lang w:val="es-419"/>
        </w:rPr>
        <w:footnoteReference w:id="27"/>
      </w:r>
      <w:r w:rsidR="00C5647E" w:rsidRPr="009F6859">
        <w:rPr>
          <w:rFonts w:ascii="Gadugi" w:eastAsia="Calibri" w:hAnsi="Gadugi" w:cs="Times New Roman"/>
          <w:sz w:val="24"/>
          <w:szCs w:val="24"/>
          <w:lang w:val="es-419"/>
        </w:rPr>
        <w:t xml:space="preserve"> e hijastra de M</w:t>
      </w:r>
      <w:r w:rsidR="00F41BC0" w:rsidRPr="009F6859">
        <w:rPr>
          <w:rFonts w:ascii="Gadugi" w:eastAsia="Calibri" w:hAnsi="Gadugi" w:cs="Times New Roman"/>
          <w:sz w:val="24"/>
          <w:szCs w:val="24"/>
          <w:lang w:val="es-419"/>
        </w:rPr>
        <w:t>E.</w:t>
      </w:r>
      <w:r w:rsidR="00736C51" w:rsidRPr="009F6859">
        <w:rPr>
          <w:rFonts w:ascii="Gadugi" w:eastAsia="Calibri" w:hAnsi="Gadugi" w:cs="Times New Roman"/>
          <w:sz w:val="24"/>
          <w:szCs w:val="24"/>
          <w:lang w:val="es-419"/>
        </w:rPr>
        <w:t xml:space="preserve"> </w:t>
      </w:r>
    </w:p>
    <w:p w14:paraId="632FC1A3" w14:textId="77777777" w:rsidR="00736C51" w:rsidRPr="009F6859" w:rsidRDefault="00736C51" w:rsidP="009F6859">
      <w:pPr>
        <w:spacing w:after="0" w:line="276" w:lineRule="auto"/>
        <w:jc w:val="both"/>
        <w:rPr>
          <w:rFonts w:ascii="Gadugi" w:eastAsia="Calibri" w:hAnsi="Gadugi" w:cs="Times New Roman"/>
          <w:sz w:val="24"/>
          <w:szCs w:val="24"/>
          <w:lang w:val="es-419"/>
        </w:rPr>
      </w:pPr>
    </w:p>
    <w:p w14:paraId="0412984E" w14:textId="66DF9E95" w:rsidR="008729C5" w:rsidRPr="009F6859" w:rsidRDefault="00736C51" w:rsidP="009F6859">
      <w:pPr>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Hasta allí no surge inconveniente con la legitimación. Pero, sí lo hay en lo que atañe a J</w:t>
      </w:r>
      <w:r w:rsidR="00F41BC0" w:rsidRPr="009F6859">
        <w:rPr>
          <w:rFonts w:ascii="Gadugi" w:eastAsia="Calibri" w:hAnsi="Gadugi" w:cs="Times New Roman"/>
          <w:sz w:val="24"/>
          <w:szCs w:val="24"/>
          <w:lang w:val="es-419"/>
        </w:rPr>
        <w:t>E</w:t>
      </w:r>
      <w:r w:rsidR="00B50E94" w:rsidRPr="009F6859">
        <w:rPr>
          <w:rFonts w:ascii="Gadugi" w:eastAsia="Calibri" w:hAnsi="Gadugi" w:cs="Times New Roman"/>
          <w:sz w:val="24"/>
          <w:szCs w:val="24"/>
          <w:lang w:val="es-419"/>
        </w:rPr>
        <w:t>, A, L</w:t>
      </w:r>
      <w:r w:rsidR="00F41BC0" w:rsidRPr="009F6859">
        <w:rPr>
          <w:rFonts w:ascii="Gadugi" w:eastAsia="Calibri" w:hAnsi="Gadugi" w:cs="Times New Roman"/>
          <w:sz w:val="24"/>
          <w:szCs w:val="24"/>
          <w:lang w:val="es-419"/>
        </w:rPr>
        <w:t>A</w:t>
      </w:r>
      <w:r w:rsidR="00B50E94" w:rsidRPr="009F6859">
        <w:rPr>
          <w:rFonts w:ascii="Gadugi" w:eastAsia="Calibri" w:hAnsi="Gadugi" w:cs="Times New Roman"/>
          <w:sz w:val="24"/>
          <w:szCs w:val="24"/>
          <w:lang w:val="es-419"/>
        </w:rPr>
        <w:t xml:space="preserve"> y Al</w:t>
      </w:r>
      <w:r w:rsidR="00BB1E88" w:rsidRPr="009F6859">
        <w:rPr>
          <w:rFonts w:ascii="Gadugi" w:eastAsia="Calibri" w:hAnsi="Gadugi" w:cs="Times New Roman"/>
          <w:sz w:val="24"/>
          <w:szCs w:val="24"/>
          <w:lang w:val="es-419"/>
        </w:rPr>
        <w:t xml:space="preserve">, </w:t>
      </w:r>
      <w:r w:rsidRPr="009F6859">
        <w:rPr>
          <w:rFonts w:ascii="Gadugi" w:eastAsia="Calibri" w:hAnsi="Gadugi" w:cs="Times New Roman"/>
          <w:sz w:val="24"/>
          <w:szCs w:val="24"/>
          <w:lang w:val="es-419"/>
        </w:rPr>
        <w:t>porque es claro que acuden a reclamar en calidad de hermanos de M</w:t>
      </w:r>
      <w:r w:rsidR="00F41BC0" w:rsidRPr="009F6859">
        <w:rPr>
          <w:rFonts w:ascii="Gadugi" w:eastAsia="Calibri" w:hAnsi="Gadugi" w:cs="Times New Roman"/>
          <w:sz w:val="24"/>
          <w:szCs w:val="24"/>
          <w:lang w:val="es-419"/>
        </w:rPr>
        <w:t>E</w:t>
      </w:r>
      <w:r w:rsidRPr="009F6859">
        <w:rPr>
          <w:rFonts w:ascii="Gadugi" w:eastAsia="Calibri" w:hAnsi="Gadugi" w:cs="Times New Roman"/>
          <w:sz w:val="24"/>
          <w:szCs w:val="24"/>
          <w:lang w:val="es-419"/>
        </w:rPr>
        <w:t xml:space="preserve"> los dos primeros, y de sobrinas las últimas. Y para acreditar tales condiciones aportaron </w:t>
      </w:r>
      <w:r w:rsidRPr="009F6859">
        <w:rPr>
          <w:rFonts w:ascii="Gadugi" w:eastAsia="Calibri" w:hAnsi="Gadugi" w:cs="Times New Roman"/>
          <w:sz w:val="24"/>
          <w:szCs w:val="24"/>
          <w:lang w:val="es-419"/>
        </w:rPr>
        <w:lastRenderedPageBreak/>
        <w:t>sendos registros civiles de nacimiento de cada uno de ellos</w:t>
      </w:r>
      <w:r w:rsidRPr="009F6859">
        <w:rPr>
          <w:rStyle w:val="Refdenotaalpie"/>
          <w:rFonts w:ascii="Gadugi" w:eastAsia="Calibri" w:hAnsi="Gadugi" w:cs="Times New Roman"/>
          <w:sz w:val="24"/>
          <w:szCs w:val="24"/>
          <w:lang w:val="es-419"/>
        </w:rPr>
        <w:footnoteReference w:id="28"/>
      </w:r>
      <w:r w:rsidRPr="009F6859">
        <w:rPr>
          <w:rFonts w:ascii="Gadugi" w:eastAsia="Calibri" w:hAnsi="Gadugi" w:cs="Times New Roman"/>
          <w:sz w:val="24"/>
          <w:szCs w:val="24"/>
          <w:vertAlign w:val="superscript"/>
          <w:lang w:val="es-419"/>
        </w:rPr>
        <w:t>-</w:t>
      </w:r>
      <w:r w:rsidRPr="009F6859">
        <w:rPr>
          <w:rStyle w:val="Refdenotaalpie"/>
          <w:rFonts w:ascii="Gadugi" w:eastAsia="Calibri" w:hAnsi="Gadugi" w:cs="Times New Roman"/>
          <w:sz w:val="24"/>
          <w:szCs w:val="24"/>
          <w:lang w:val="es-419"/>
        </w:rPr>
        <w:footnoteReference w:id="29"/>
      </w:r>
      <w:r w:rsidRPr="009F6859">
        <w:rPr>
          <w:rFonts w:ascii="Gadugi" w:eastAsia="Calibri" w:hAnsi="Gadugi" w:cs="Times New Roman"/>
          <w:sz w:val="24"/>
          <w:szCs w:val="24"/>
          <w:vertAlign w:val="superscript"/>
          <w:lang w:val="es-419"/>
        </w:rPr>
        <w:t>-</w:t>
      </w:r>
      <w:r w:rsidRPr="009F6859">
        <w:rPr>
          <w:rStyle w:val="Refdenotaalpie"/>
          <w:rFonts w:ascii="Gadugi" w:eastAsia="Calibri" w:hAnsi="Gadugi" w:cs="Times New Roman"/>
          <w:sz w:val="24"/>
          <w:szCs w:val="24"/>
          <w:lang w:val="es-419"/>
        </w:rPr>
        <w:footnoteReference w:id="30"/>
      </w:r>
      <w:r w:rsidRPr="009F6859">
        <w:rPr>
          <w:rFonts w:ascii="Gadugi" w:eastAsia="Calibri" w:hAnsi="Gadugi" w:cs="Times New Roman"/>
          <w:sz w:val="24"/>
          <w:szCs w:val="24"/>
          <w:vertAlign w:val="superscript"/>
          <w:lang w:val="es-419"/>
        </w:rPr>
        <w:t>-</w:t>
      </w:r>
      <w:r w:rsidRPr="009F6859">
        <w:rPr>
          <w:rStyle w:val="Refdenotaalpie"/>
          <w:rFonts w:ascii="Gadugi" w:eastAsia="Calibri" w:hAnsi="Gadugi" w:cs="Times New Roman"/>
          <w:sz w:val="24"/>
          <w:szCs w:val="24"/>
          <w:lang w:val="es-419"/>
        </w:rPr>
        <w:footnoteReference w:id="31"/>
      </w:r>
      <w:r w:rsidRPr="009F6859">
        <w:rPr>
          <w:rFonts w:ascii="Gadugi" w:eastAsia="Calibri" w:hAnsi="Gadugi" w:cs="Times New Roman"/>
          <w:sz w:val="24"/>
          <w:szCs w:val="24"/>
          <w:lang w:val="es-419"/>
        </w:rPr>
        <w:t xml:space="preserve">. Mas ese medio demostrativo quedó </w:t>
      </w:r>
      <w:r w:rsidR="008729C5" w:rsidRPr="009F6859">
        <w:rPr>
          <w:rFonts w:ascii="Gadugi" w:eastAsia="Calibri" w:hAnsi="Gadugi" w:cs="Times New Roman"/>
          <w:sz w:val="24"/>
          <w:szCs w:val="24"/>
          <w:lang w:val="es-419"/>
        </w:rPr>
        <w:t xml:space="preserve">a medias, porque del conjunto de tales registros surge que JE y A son hermanos; y que LA y Al son hijas de A, por tanto, sobrinas de J. Pero ninguno apunta a demostrar el parentesco con la víctima directa. Para establecerlo, era menester allegar también su registro civil de nacimiento, que brilla por su ausencia. </w:t>
      </w:r>
    </w:p>
    <w:p w14:paraId="5F0845DF" w14:textId="5B6D6BA7" w:rsidR="008729C5" w:rsidRPr="009F6859" w:rsidRDefault="008729C5" w:rsidP="009F6859">
      <w:pPr>
        <w:spacing w:after="0" w:line="276" w:lineRule="auto"/>
        <w:jc w:val="both"/>
        <w:rPr>
          <w:rFonts w:ascii="Gadugi" w:eastAsia="Calibri" w:hAnsi="Gadugi" w:cs="Times New Roman"/>
          <w:sz w:val="24"/>
          <w:szCs w:val="24"/>
          <w:lang w:val="es-419"/>
        </w:rPr>
      </w:pPr>
    </w:p>
    <w:p w14:paraId="2408E99D" w14:textId="2BD3B204" w:rsidR="008729C5" w:rsidRPr="009F6859" w:rsidRDefault="008729C5" w:rsidP="009F6859">
      <w:pPr>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Tal falencia, se dirá, podría haberse remediado, incluso en esta instancia, con el decreto de una prueba de oficio. Sin embargo, por el resultado final que, de una vez, se anuncia que será acorde con lo resuelto en primera instancia, se torna intrascendente el acopio de ese documento. </w:t>
      </w:r>
    </w:p>
    <w:p w14:paraId="561F6DEB" w14:textId="77777777" w:rsidR="008729C5" w:rsidRPr="009F6859" w:rsidRDefault="008729C5" w:rsidP="009F6859">
      <w:pPr>
        <w:spacing w:after="0" w:line="276" w:lineRule="auto"/>
        <w:jc w:val="both"/>
        <w:rPr>
          <w:rFonts w:ascii="Gadugi" w:eastAsia="Calibri" w:hAnsi="Gadugi" w:cs="Times New Roman"/>
          <w:sz w:val="24"/>
          <w:szCs w:val="24"/>
          <w:lang w:val="es-419"/>
        </w:rPr>
      </w:pPr>
    </w:p>
    <w:p w14:paraId="0FC7D83D" w14:textId="7AA7687F" w:rsidR="008729C5" w:rsidRPr="009F6859" w:rsidRDefault="008729C5" w:rsidP="009F6859">
      <w:pPr>
        <w:spacing w:after="0" w:line="276" w:lineRule="auto"/>
        <w:jc w:val="both"/>
        <w:rPr>
          <w:rFonts w:ascii="Gadugi" w:eastAsia="Calibri" w:hAnsi="Gadugi" w:cs="Times New Roman"/>
          <w:sz w:val="24"/>
          <w:szCs w:val="24"/>
          <w:highlight w:val="yellow"/>
          <w:lang w:val="es-419"/>
        </w:rPr>
      </w:pPr>
      <w:r w:rsidRPr="009F6859">
        <w:rPr>
          <w:rFonts w:ascii="Gadugi" w:eastAsia="Calibri" w:hAnsi="Gadugi" w:cs="Times New Roman"/>
          <w:sz w:val="24"/>
          <w:szCs w:val="24"/>
          <w:lang w:val="es-419"/>
        </w:rPr>
        <w:t xml:space="preserve">Así que, como no se logró establecer el parentesco del cual se deriva la indemnización reclamada, por falta de legitimación en la causa de estos demandantes tendría que absolverse. Y, en todo caso, se reitera, por las razones aducidas en primera instancia.  </w:t>
      </w:r>
    </w:p>
    <w:p w14:paraId="4C5B8A35" w14:textId="0360BE36" w:rsidR="00C5647E" w:rsidRPr="009F6859" w:rsidRDefault="00C5647E" w:rsidP="009F6859">
      <w:pPr>
        <w:spacing w:after="0" w:line="276" w:lineRule="auto"/>
        <w:jc w:val="both"/>
        <w:rPr>
          <w:rFonts w:ascii="Gadugi" w:eastAsia="Calibri" w:hAnsi="Gadugi" w:cs="Times New Roman"/>
          <w:sz w:val="24"/>
          <w:szCs w:val="24"/>
          <w:lang w:val="es-419"/>
        </w:rPr>
      </w:pPr>
    </w:p>
    <w:p w14:paraId="3D59F244" w14:textId="27778E04" w:rsidR="00DF1D8B" w:rsidRPr="009F6859" w:rsidRDefault="008729C5" w:rsidP="009F6859">
      <w:pPr>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Por pasiva, la legitimación no se remite a duda. C</w:t>
      </w:r>
      <w:r w:rsidR="0086603F" w:rsidRPr="009F6859">
        <w:rPr>
          <w:rFonts w:ascii="Gadugi" w:eastAsia="Calibri" w:hAnsi="Gadugi" w:cs="Times New Roman"/>
          <w:sz w:val="24"/>
          <w:szCs w:val="24"/>
          <w:lang w:val="es-419"/>
        </w:rPr>
        <w:t xml:space="preserve">oncurren las sociedades Humana </w:t>
      </w:r>
      <w:r w:rsidR="007C6C2D" w:rsidRPr="009F6859">
        <w:rPr>
          <w:rFonts w:ascii="Gadugi" w:eastAsia="Calibri" w:hAnsi="Gadugi" w:cs="Times New Roman"/>
          <w:sz w:val="24"/>
          <w:szCs w:val="24"/>
          <w:lang w:val="es-419"/>
        </w:rPr>
        <w:t xml:space="preserve">Vivir </w:t>
      </w:r>
      <w:r w:rsidR="0086603F" w:rsidRPr="009F6859">
        <w:rPr>
          <w:rFonts w:ascii="Gadugi" w:eastAsia="Calibri" w:hAnsi="Gadugi" w:cs="Times New Roman"/>
          <w:sz w:val="24"/>
          <w:szCs w:val="24"/>
          <w:lang w:val="es-419"/>
        </w:rPr>
        <w:t>S.A.</w:t>
      </w:r>
      <w:r w:rsidR="007C6C2D" w:rsidRPr="009F6859">
        <w:rPr>
          <w:rFonts w:ascii="Gadugi" w:eastAsia="Calibri" w:hAnsi="Gadugi" w:cs="Times New Roman"/>
          <w:sz w:val="24"/>
          <w:szCs w:val="24"/>
          <w:lang w:val="es-419"/>
        </w:rPr>
        <w:t xml:space="preserve"> EPS-S, como afiliadora</w:t>
      </w:r>
      <w:r w:rsidR="00387E7A" w:rsidRPr="009F6859">
        <w:rPr>
          <w:rStyle w:val="Refdenotaalpie"/>
          <w:rFonts w:ascii="Gadugi" w:eastAsia="Calibri" w:hAnsi="Gadugi" w:cs="Times New Roman"/>
          <w:sz w:val="24"/>
          <w:szCs w:val="24"/>
          <w:lang w:val="es-419"/>
        </w:rPr>
        <w:footnoteReference w:id="32"/>
      </w:r>
      <w:r w:rsidR="007C6C2D" w:rsidRPr="009F6859">
        <w:rPr>
          <w:rFonts w:ascii="Gadugi" w:eastAsia="Calibri" w:hAnsi="Gadugi" w:cs="Times New Roman"/>
          <w:sz w:val="24"/>
          <w:szCs w:val="24"/>
          <w:lang w:val="es-419"/>
        </w:rPr>
        <w:t xml:space="preserve"> y </w:t>
      </w:r>
      <w:r w:rsidRPr="009F6859">
        <w:rPr>
          <w:rFonts w:ascii="Gadugi" w:eastAsia="Calibri" w:hAnsi="Gadugi" w:cs="Times New Roman"/>
          <w:sz w:val="24"/>
          <w:szCs w:val="24"/>
          <w:lang w:val="es-419"/>
        </w:rPr>
        <w:t xml:space="preserve">la </w:t>
      </w:r>
      <w:r w:rsidR="007C6C2D" w:rsidRPr="009F6859">
        <w:rPr>
          <w:rFonts w:ascii="Gadugi" w:eastAsia="Calibri" w:hAnsi="Gadugi" w:cs="Times New Roman"/>
          <w:sz w:val="24"/>
          <w:szCs w:val="24"/>
          <w:lang w:val="es-419"/>
        </w:rPr>
        <w:t xml:space="preserve">Clínica Risaralda S.A. en liquidación, donde fue atendida la paciente y ocurrió su deceso, según </w:t>
      </w:r>
      <w:r w:rsidR="00F212C9" w:rsidRPr="009F6859">
        <w:rPr>
          <w:rFonts w:ascii="Gadugi" w:eastAsia="Calibri" w:hAnsi="Gadugi" w:cs="Times New Roman"/>
          <w:sz w:val="24"/>
          <w:szCs w:val="24"/>
          <w:lang w:val="es-419"/>
        </w:rPr>
        <w:t xml:space="preserve">consta en </w:t>
      </w:r>
      <w:r w:rsidR="007C6C2D" w:rsidRPr="009F6859">
        <w:rPr>
          <w:rFonts w:ascii="Gadugi" w:eastAsia="Calibri" w:hAnsi="Gadugi" w:cs="Times New Roman"/>
          <w:sz w:val="24"/>
          <w:szCs w:val="24"/>
          <w:lang w:val="es-419"/>
        </w:rPr>
        <w:t>historia clínica que reposa en el libelo</w:t>
      </w:r>
      <w:r w:rsidR="007C6C2D" w:rsidRPr="009F6859">
        <w:rPr>
          <w:rStyle w:val="Refdenotaalpie"/>
          <w:rFonts w:ascii="Gadugi" w:eastAsia="Calibri" w:hAnsi="Gadugi" w:cs="Times New Roman"/>
          <w:sz w:val="24"/>
          <w:szCs w:val="24"/>
          <w:lang w:val="es-419"/>
        </w:rPr>
        <w:footnoteReference w:id="33"/>
      </w:r>
      <w:r w:rsidR="00F212C9" w:rsidRPr="009F6859">
        <w:rPr>
          <w:rFonts w:ascii="Gadugi" w:eastAsia="Calibri" w:hAnsi="Gadugi" w:cs="Times New Roman"/>
          <w:sz w:val="24"/>
          <w:szCs w:val="24"/>
          <w:lang w:val="es-419"/>
        </w:rPr>
        <w:t>.</w:t>
      </w:r>
    </w:p>
    <w:p w14:paraId="308FFA02" w14:textId="1E76EE4E" w:rsidR="00387E7A" w:rsidRPr="009F6859" w:rsidRDefault="00387E7A" w:rsidP="009F6859">
      <w:pPr>
        <w:spacing w:after="0" w:line="276" w:lineRule="auto"/>
        <w:jc w:val="both"/>
        <w:rPr>
          <w:rFonts w:ascii="Gadugi" w:eastAsia="Calibri" w:hAnsi="Gadugi" w:cs="Times New Roman"/>
          <w:sz w:val="24"/>
          <w:szCs w:val="24"/>
          <w:lang w:val="es-419"/>
        </w:rPr>
      </w:pPr>
    </w:p>
    <w:p w14:paraId="5BDE1203" w14:textId="203492BC" w:rsidR="00574E84" w:rsidRPr="009F6859" w:rsidRDefault="001703FA" w:rsidP="009F6859">
      <w:pPr>
        <w:tabs>
          <w:tab w:val="left" w:pos="0"/>
          <w:tab w:val="left" w:pos="567"/>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2.</w:t>
      </w:r>
      <w:r w:rsidR="00C30B31" w:rsidRPr="009F6859">
        <w:rPr>
          <w:rFonts w:ascii="Gadugi" w:eastAsia="Calibri" w:hAnsi="Gadugi" w:cs="Times New Roman"/>
          <w:sz w:val="24"/>
          <w:szCs w:val="24"/>
        </w:rPr>
        <w:t>3</w:t>
      </w:r>
      <w:r w:rsidR="00B6142D" w:rsidRPr="009F6859">
        <w:rPr>
          <w:rFonts w:ascii="Gadugi" w:eastAsia="Calibri" w:hAnsi="Gadugi" w:cs="Times New Roman"/>
          <w:sz w:val="24"/>
          <w:szCs w:val="24"/>
        </w:rPr>
        <w:t>.</w:t>
      </w:r>
      <w:r w:rsidRPr="009F6859">
        <w:rPr>
          <w:rFonts w:ascii="Gadugi" w:eastAsia="Calibri" w:hAnsi="Gadugi" w:cs="Times New Roman"/>
          <w:sz w:val="24"/>
          <w:szCs w:val="24"/>
          <w:lang w:val="es-419"/>
        </w:rPr>
        <w:tab/>
      </w:r>
      <w:r w:rsidR="00574E84" w:rsidRPr="009F6859">
        <w:rPr>
          <w:rFonts w:ascii="Gadugi" w:eastAsia="Calibri" w:hAnsi="Gadugi" w:cs="Times New Roman"/>
          <w:sz w:val="24"/>
          <w:szCs w:val="24"/>
          <w:lang w:val="es-419"/>
        </w:rPr>
        <w:t>Se contrae el asunto a definir si la</w:t>
      </w:r>
      <w:r w:rsidR="00BE6F6A" w:rsidRPr="009F6859">
        <w:rPr>
          <w:rFonts w:ascii="Gadugi" w:eastAsia="Calibri" w:hAnsi="Gadugi" w:cs="Times New Roman"/>
          <w:sz w:val="24"/>
          <w:szCs w:val="24"/>
          <w:lang w:val="es-419"/>
        </w:rPr>
        <w:t>s</w:t>
      </w:r>
      <w:r w:rsidR="00574E84" w:rsidRPr="009F6859">
        <w:rPr>
          <w:rFonts w:ascii="Gadugi" w:eastAsia="Calibri" w:hAnsi="Gadugi" w:cs="Times New Roman"/>
          <w:sz w:val="24"/>
          <w:szCs w:val="24"/>
          <w:lang w:val="es-419"/>
        </w:rPr>
        <w:t xml:space="preserve"> demandada</w:t>
      </w:r>
      <w:r w:rsidR="00BE6F6A" w:rsidRPr="009F6859">
        <w:rPr>
          <w:rFonts w:ascii="Gadugi" w:eastAsia="Calibri" w:hAnsi="Gadugi" w:cs="Times New Roman"/>
          <w:sz w:val="24"/>
          <w:szCs w:val="24"/>
          <w:lang w:val="es-419"/>
        </w:rPr>
        <w:t>s</w:t>
      </w:r>
      <w:r w:rsidR="00574E84" w:rsidRPr="009F6859">
        <w:rPr>
          <w:rFonts w:ascii="Gadugi" w:eastAsia="Calibri" w:hAnsi="Gadugi" w:cs="Times New Roman"/>
          <w:sz w:val="24"/>
          <w:szCs w:val="24"/>
          <w:lang w:val="es-419"/>
        </w:rPr>
        <w:t xml:space="preserve"> </w:t>
      </w:r>
      <w:r w:rsidR="006B233E" w:rsidRPr="009F6859">
        <w:rPr>
          <w:rFonts w:ascii="Gadugi" w:eastAsia="Calibri" w:hAnsi="Gadugi" w:cs="Times New Roman"/>
          <w:sz w:val="24"/>
          <w:szCs w:val="24"/>
          <w:lang w:val="es-419"/>
        </w:rPr>
        <w:t>s</w:t>
      </w:r>
      <w:r w:rsidR="00BE6F6A" w:rsidRPr="009F6859">
        <w:rPr>
          <w:rFonts w:ascii="Gadugi" w:eastAsia="Calibri" w:hAnsi="Gadugi" w:cs="Times New Roman"/>
          <w:sz w:val="24"/>
          <w:szCs w:val="24"/>
          <w:lang w:val="es-419"/>
        </w:rPr>
        <w:t>on</w:t>
      </w:r>
      <w:r w:rsidR="00574E84" w:rsidRPr="009F6859">
        <w:rPr>
          <w:rFonts w:ascii="Gadugi" w:eastAsia="Calibri" w:hAnsi="Gadugi" w:cs="Times New Roman"/>
          <w:sz w:val="24"/>
          <w:szCs w:val="24"/>
          <w:lang w:val="es-419"/>
        </w:rPr>
        <w:t xml:space="preserve"> civilmente responsable</w:t>
      </w:r>
      <w:r w:rsidR="00BE6F6A" w:rsidRPr="009F6859">
        <w:rPr>
          <w:rFonts w:ascii="Gadugi" w:eastAsia="Calibri" w:hAnsi="Gadugi" w:cs="Times New Roman"/>
          <w:sz w:val="24"/>
          <w:szCs w:val="24"/>
          <w:lang w:val="es-419"/>
        </w:rPr>
        <w:t>s</w:t>
      </w:r>
      <w:r w:rsidR="00574E84" w:rsidRPr="009F6859">
        <w:rPr>
          <w:rFonts w:ascii="Gadugi" w:eastAsia="Calibri" w:hAnsi="Gadugi" w:cs="Times New Roman"/>
          <w:sz w:val="24"/>
          <w:szCs w:val="24"/>
          <w:lang w:val="es-419"/>
        </w:rPr>
        <w:t xml:space="preserve"> frente a l</w:t>
      </w:r>
      <w:r w:rsidR="00BE6F6A" w:rsidRPr="009F6859">
        <w:rPr>
          <w:rFonts w:ascii="Gadugi" w:eastAsia="Calibri" w:hAnsi="Gadugi" w:cs="Times New Roman"/>
          <w:sz w:val="24"/>
          <w:szCs w:val="24"/>
          <w:lang w:val="es-419"/>
        </w:rPr>
        <w:t>os</w:t>
      </w:r>
      <w:r w:rsidR="00574E84" w:rsidRPr="009F6859">
        <w:rPr>
          <w:rFonts w:ascii="Gadugi" w:eastAsia="Calibri" w:hAnsi="Gadugi" w:cs="Times New Roman"/>
          <w:sz w:val="24"/>
          <w:szCs w:val="24"/>
          <w:lang w:val="es-419"/>
        </w:rPr>
        <w:t xml:space="preserve"> demandante</w:t>
      </w:r>
      <w:r w:rsidR="00BE6F6A" w:rsidRPr="009F6859">
        <w:rPr>
          <w:rFonts w:ascii="Gadugi" w:eastAsia="Calibri" w:hAnsi="Gadugi" w:cs="Times New Roman"/>
          <w:sz w:val="24"/>
          <w:szCs w:val="24"/>
          <w:lang w:val="es-419"/>
        </w:rPr>
        <w:t>s</w:t>
      </w:r>
      <w:r w:rsidR="00574E84" w:rsidRPr="009F6859">
        <w:rPr>
          <w:rFonts w:ascii="Gadugi" w:eastAsia="Calibri" w:hAnsi="Gadugi" w:cs="Times New Roman"/>
          <w:sz w:val="24"/>
          <w:szCs w:val="24"/>
          <w:lang w:val="es-419"/>
        </w:rPr>
        <w:t xml:space="preserve"> y, en consecuencia, debe</w:t>
      </w:r>
      <w:r w:rsidR="00387E7A" w:rsidRPr="009F6859">
        <w:rPr>
          <w:rFonts w:ascii="Gadugi" w:eastAsia="Calibri" w:hAnsi="Gadugi" w:cs="Times New Roman"/>
          <w:sz w:val="24"/>
          <w:szCs w:val="24"/>
          <w:lang w:val="es-419"/>
        </w:rPr>
        <w:t>n</w:t>
      </w:r>
      <w:r w:rsidR="00574E84" w:rsidRPr="009F6859">
        <w:rPr>
          <w:rFonts w:ascii="Gadugi" w:eastAsia="Calibri" w:hAnsi="Gadugi" w:cs="Times New Roman"/>
          <w:sz w:val="24"/>
          <w:szCs w:val="24"/>
          <w:lang w:val="es-419"/>
        </w:rPr>
        <w:t xml:space="preserve"> resarcirle</w:t>
      </w:r>
      <w:r w:rsidR="00BE6F6A" w:rsidRPr="009F6859">
        <w:rPr>
          <w:rFonts w:ascii="Gadugi" w:eastAsia="Calibri" w:hAnsi="Gadugi" w:cs="Times New Roman"/>
          <w:sz w:val="24"/>
          <w:szCs w:val="24"/>
          <w:lang w:val="es-419"/>
        </w:rPr>
        <w:t>s</w:t>
      </w:r>
      <w:r w:rsidR="00574E84" w:rsidRPr="009F6859">
        <w:rPr>
          <w:rFonts w:ascii="Gadugi" w:eastAsia="Calibri" w:hAnsi="Gadugi" w:cs="Times New Roman"/>
          <w:sz w:val="24"/>
          <w:szCs w:val="24"/>
          <w:lang w:val="es-419"/>
        </w:rPr>
        <w:t xml:space="preserve"> los daños impetrado</w:t>
      </w:r>
      <w:r w:rsidR="002902D7" w:rsidRPr="009F6859">
        <w:rPr>
          <w:rFonts w:ascii="Gadugi" w:eastAsia="Calibri" w:hAnsi="Gadugi" w:cs="Times New Roman"/>
          <w:sz w:val="24"/>
          <w:szCs w:val="24"/>
          <w:lang w:val="es-419"/>
        </w:rPr>
        <w:t>s</w:t>
      </w:r>
      <w:r w:rsidR="00574E84" w:rsidRPr="009F6859">
        <w:rPr>
          <w:rFonts w:ascii="Gadugi" w:eastAsia="Calibri" w:hAnsi="Gadugi" w:cs="Times New Roman"/>
          <w:sz w:val="24"/>
          <w:szCs w:val="24"/>
          <w:lang w:val="es-419"/>
        </w:rPr>
        <w:t xml:space="preserve"> por causa de las deficiencias en la atención </w:t>
      </w:r>
      <w:r w:rsidR="00EF2FD9" w:rsidRPr="009F6859">
        <w:rPr>
          <w:rFonts w:ascii="Gadugi" w:eastAsia="Calibri" w:hAnsi="Gadugi" w:cs="Times New Roman"/>
          <w:sz w:val="24"/>
          <w:szCs w:val="24"/>
          <w:lang w:val="es-419"/>
        </w:rPr>
        <w:t xml:space="preserve">en salud </w:t>
      </w:r>
      <w:r w:rsidR="00574E84" w:rsidRPr="009F6859">
        <w:rPr>
          <w:rFonts w:ascii="Gadugi" w:eastAsia="Calibri" w:hAnsi="Gadugi" w:cs="Times New Roman"/>
          <w:sz w:val="24"/>
          <w:szCs w:val="24"/>
          <w:lang w:val="es-419"/>
        </w:rPr>
        <w:t>a</w:t>
      </w:r>
      <w:r w:rsidR="00BE6F6A" w:rsidRPr="009F6859">
        <w:rPr>
          <w:rFonts w:ascii="Gadugi" w:eastAsia="Calibri" w:hAnsi="Gadugi" w:cs="Times New Roman"/>
          <w:sz w:val="24"/>
          <w:szCs w:val="24"/>
          <w:lang w:val="es-419"/>
        </w:rPr>
        <w:t xml:space="preserve"> </w:t>
      </w:r>
      <w:r w:rsidR="00024B51" w:rsidRPr="009F6859">
        <w:rPr>
          <w:rFonts w:ascii="Gadugi" w:eastAsia="Calibri" w:hAnsi="Gadugi" w:cs="Times New Roman"/>
          <w:sz w:val="24"/>
          <w:szCs w:val="24"/>
          <w:lang w:val="es-419"/>
        </w:rPr>
        <w:t>l</w:t>
      </w:r>
      <w:r w:rsidR="00BE6F6A" w:rsidRPr="009F6859">
        <w:rPr>
          <w:rFonts w:ascii="Gadugi" w:eastAsia="Calibri" w:hAnsi="Gadugi" w:cs="Times New Roman"/>
          <w:sz w:val="24"/>
          <w:szCs w:val="24"/>
          <w:lang w:val="es-419"/>
        </w:rPr>
        <w:t>a</w:t>
      </w:r>
      <w:r w:rsidR="00024B51" w:rsidRPr="009F6859">
        <w:rPr>
          <w:rFonts w:ascii="Gadugi" w:eastAsia="Calibri" w:hAnsi="Gadugi" w:cs="Times New Roman"/>
          <w:sz w:val="24"/>
          <w:szCs w:val="24"/>
          <w:lang w:val="es-419"/>
        </w:rPr>
        <w:t xml:space="preserve"> señor</w:t>
      </w:r>
      <w:r w:rsidR="00BE6F6A" w:rsidRPr="009F6859">
        <w:rPr>
          <w:rFonts w:ascii="Gadugi" w:eastAsia="Calibri" w:hAnsi="Gadugi" w:cs="Times New Roman"/>
          <w:sz w:val="24"/>
          <w:szCs w:val="24"/>
          <w:lang w:val="es-419"/>
        </w:rPr>
        <w:t>a M</w:t>
      </w:r>
      <w:r w:rsidR="00F41BC0" w:rsidRPr="009F6859">
        <w:rPr>
          <w:rFonts w:ascii="Gadugi" w:eastAsia="Calibri" w:hAnsi="Gadugi" w:cs="Times New Roman"/>
          <w:sz w:val="24"/>
          <w:szCs w:val="24"/>
          <w:lang w:val="es-419"/>
        </w:rPr>
        <w:t>E</w:t>
      </w:r>
      <w:r w:rsidR="006B233E" w:rsidRPr="009F6859">
        <w:rPr>
          <w:rFonts w:ascii="Gadugi" w:eastAsia="Calibri" w:hAnsi="Gadugi" w:cs="Times New Roman"/>
          <w:sz w:val="24"/>
          <w:szCs w:val="24"/>
          <w:lang w:val="es-419"/>
        </w:rPr>
        <w:t xml:space="preserve">, que ocasionaron </w:t>
      </w:r>
      <w:r w:rsidR="00463DAC" w:rsidRPr="009F6859">
        <w:rPr>
          <w:rFonts w:ascii="Gadugi" w:eastAsia="Calibri" w:hAnsi="Gadugi" w:cs="Times New Roman"/>
          <w:sz w:val="24"/>
          <w:szCs w:val="24"/>
          <w:lang w:val="es-419"/>
        </w:rPr>
        <w:t>su muerte</w:t>
      </w:r>
      <w:r w:rsidR="00574E84" w:rsidRPr="009F6859">
        <w:rPr>
          <w:rFonts w:ascii="Gadugi" w:eastAsia="Calibri" w:hAnsi="Gadugi" w:cs="Times New Roman"/>
          <w:sz w:val="24"/>
          <w:szCs w:val="24"/>
          <w:lang w:val="es-419"/>
        </w:rPr>
        <w:t>, como aduce</w:t>
      </w:r>
      <w:r w:rsidR="00BE6F6A" w:rsidRPr="009F6859">
        <w:rPr>
          <w:rFonts w:ascii="Gadugi" w:eastAsia="Calibri" w:hAnsi="Gadugi" w:cs="Times New Roman"/>
          <w:sz w:val="24"/>
          <w:szCs w:val="24"/>
          <w:lang w:val="es-419"/>
        </w:rPr>
        <w:t>n</w:t>
      </w:r>
      <w:r w:rsidR="00574E84" w:rsidRPr="009F6859">
        <w:rPr>
          <w:rFonts w:ascii="Gadugi" w:eastAsia="Calibri" w:hAnsi="Gadugi" w:cs="Times New Roman"/>
          <w:sz w:val="24"/>
          <w:szCs w:val="24"/>
          <w:lang w:val="es-419"/>
        </w:rPr>
        <w:t xml:space="preserve"> l</w:t>
      </w:r>
      <w:r w:rsidR="00BE6F6A" w:rsidRPr="009F6859">
        <w:rPr>
          <w:rFonts w:ascii="Gadugi" w:eastAsia="Calibri" w:hAnsi="Gadugi" w:cs="Times New Roman"/>
          <w:sz w:val="24"/>
          <w:szCs w:val="24"/>
          <w:lang w:val="es-419"/>
        </w:rPr>
        <w:t>os</w:t>
      </w:r>
      <w:r w:rsidR="00574E84" w:rsidRPr="009F6859">
        <w:rPr>
          <w:rFonts w:ascii="Gadugi" w:eastAsia="Calibri" w:hAnsi="Gadugi" w:cs="Times New Roman"/>
          <w:sz w:val="24"/>
          <w:szCs w:val="24"/>
          <w:lang w:val="es-419"/>
        </w:rPr>
        <w:t xml:space="preserve"> recurrente</w:t>
      </w:r>
      <w:r w:rsidR="00BE6F6A" w:rsidRPr="009F6859">
        <w:rPr>
          <w:rFonts w:ascii="Gadugi" w:eastAsia="Calibri" w:hAnsi="Gadugi" w:cs="Times New Roman"/>
          <w:sz w:val="24"/>
          <w:szCs w:val="24"/>
          <w:lang w:val="es-419"/>
        </w:rPr>
        <w:t>s</w:t>
      </w:r>
      <w:r w:rsidR="00574E84" w:rsidRPr="009F6859">
        <w:rPr>
          <w:rFonts w:ascii="Gadugi" w:eastAsia="Calibri" w:hAnsi="Gadugi" w:cs="Times New Roman"/>
          <w:sz w:val="24"/>
          <w:szCs w:val="24"/>
          <w:lang w:val="es-419"/>
        </w:rPr>
        <w:t>, o si la decisión del Juzgado debe confirmarse, ante la ausencia de los elementos propios de este tipo de responsabilidad.</w:t>
      </w:r>
    </w:p>
    <w:p w14:paraId="7BEEA012" w14:textId="0C7FC6E8" w:rsidR="001913B7" w:rsidRPr="009F6859" w:rsidRDefault="001913B7" w:rsidP="009F6859">
      <w:pPr>
        <w:spacing w:after="0" w:line="276" w:lineRule="auto"/>
        <w:jc w:val="both"/>
        <w:rPr>
          <w:rFonts w:ascii="Gadugi" w:eastAsia="Calibri" w:hAnsi="Gadugi" w:cs="Times New Roman"/>
          <w:sz w:val="24"/>
          <w:szCs w:val="24"/>
          <w:lang w:val="es-419"/>
        </w:rPr>
      </w:pPr>
    </w:p>
    <w:p w14:paraId="78E63450" w14:textId="2CAB8E16" w:rsidR="00A876A5" w:rsidRPr="009F6859" w:rsidRDefault="00B46434" w:rsidP="009F6859">
      <w:pPr>
        <w:pStyle w:val="Textoindependiente"/>
        <w:tabs>
          <w:tab w:val="left" w:pos="2268"/>
        </w:tabs>
        <w:spacing w:before="1" w:line="276" w:lineRule="auto"/>
        <w:ind w:right="49"/>
        <w:contextualSpacing/>
        <w:jc w:val="both"/>
        <w:rPr>
          <w:sz w:val="24"/>
          <w:szCs w:val="24"/>
        </w:rPr>
      </w:pPr>
      <w:r w:rsidRPr="009F6859">
        <w:rPr>
          <w:rFonts w:eastAsia="Calibri" w:cs="Times New Roman"/>
          <w:sz w:val="24"/>
          <w:szCs w:val="24"/>
          <w:lang w:val="es-419"/>
        </w:rPr>
        <w:t>2.5</w:t>
      </w:r>
      <w:r w:rsidR="00050DC6" w:rsidRPr="009F6859">
        <w:rPr>
          <w:rFonts w:eastAsia="Calibri" w:cs="Times New Roman"/>
          <w:sz w:val="24"/>
          <w:szCs w:val="24"/>
          <w:lang w:val="es-419"/>
        </w:rPr>
        <w:t xml:space="preserve">. </w:t>
      </w:r>
      <w:r w:rsidR="002305CF" w:rsidRPr="009F6859">
        <w:rPr>
          <w:rFonts w:eastAsia="Calibri" w:cs="Times New Roman"/>
          <w:sz w:val="24"/>
          <w:szCs w:val="24"/>
          <w:lang w:val="es-419"/>
        </w:rPr>
        <w:t xml:space="preserve">Antes de </w:t>
      </w:r>
      <w:r w:rsidR="00A876A5" w:rsidRPr="009F6859">
        <w:rPr>
          <w:sz w:val="24"/>
          <w:szCs w:val="24"/>
        </w:rPr>
        <w:t>abordar lo que es motivo de disenso, se recuerda, previamente, que producto de la redacción del artículo 328 del CGP, el sendero</w:t>
      </w:r>
      <w:r w:rsidR="00A876A5" w:rsidRPr="009F6859">
        <w:rPr>
          <w:spacing w:val="1"/>
          <w:sz w:val="24"/>
          <w:szCs w:val="24"/>
        </w:rPr>
        <w:t xml:space="preserve"> </w:t>
      </w:r>
      <w:r w:rsidR="00A876A5" w:rsidRPr="009F6859">
        <w:rPr>
          <w:sz w:val="24"/>
          <w:szCs w:val="24"/>
        </w:rPr>
        <w:t>que</w:t>
      </w:r>
      <w:r w:rsidR="00A876A5" w:rsidRPr="009F6859">
        <w:rPr>
          <w:spacing w:val="-10"/>
          <w:sz w:val="24"/>
          <w:szCs w:val="24"/>
        </w:rPr>
        <w:t xml:space="preserve"> </w:t>
      </w:r>
      <w:r w:rsidR="00A876A5" w:rsidRPr="009F6859">
        <w:rPr>
          <w:sz w:val="24"/>
          <w:szCs w:val="24"/>
        </w:rPr>
        <w:t>traza</w:t>
      </w:r>
      <w:r w:rsidR="00A876A5" w:rsidRPr="009F6859">
        <w:rPr>
          <w:spacing w:val="-10"/>
          <w:sz w:val="24"/>
          <w:szCs w:val="24"/>
        </w:rPr>
        <w:t xml:space="preserve"> </w:t>
      </w:r>
      <w:r w:rsidR="00A876A5" w:rsidRPr="009F6859">
        <w:rPr>
          <w:sz w:val="24"/>
          <w:szCs w:val="24"/>
        </w:rPr>
        <w:t>la</w:t>
      </w:r>
      <w:r w:rsidR="00A876A5" w:rsidRPr="009F6859">
        <w:rPr>
          <w:spacing w:val="-8"/>
          <w:sz w:val="24"/>
          <w:szCs w:val="24"/>
        </w:rPr>
        <w:t xml:space="preserve"> </w:t>
      </w:r>
      <w:r w:rsidR="00A876A5" w:rsidRPr="009F6859">
        <w:rPr>
          <w:sz w:val="24"/>
          <w:szCs w:val="24"/>
        </w:rPr>
        <w:t>competencia</w:t>
      </w:r>
      <w:r w:rsidR="00A876A5" w:rsidRPr="009F6859">
        <w:rPr>
          <w:spacing w:val="-9"/>
          <w:sz w:val="24"/>
          <w:szCs w:val="24"/>
        </w:rPr>
        <w:t xml:space="preserve"> </w:t>
      </w:r>
      <w:r w:rsidR="00A876A5" w:rsidRPr="009F6859">
        <w:rPr>
          <w:sz w:val="24"/>
          <w:szCs w:val="24"/>
        </w:rPr>
        <w:t>del</w:t>
      </w:r>
      <w:r w:rsidR="00A876A5" w:rsidRPr="009F6859">
        <w:rPr>
          <w:spacing w:val="-9"/>
          <w:sz w:val="24"/>
          <w:szCs w:val="24"/>
        </w:rPr>
        <w:t xml:space="preserve"> </w:t>
      </w:r>
      <w:r w:rsidR="00A876A5" w:rsidRPr="009F6859">
        <w:rPr>
          <w:sz w:val="24"/>
          <w:szCs w:val="24"/>
        </w:rPr>
        <w:t>superior</w:t>
      </w:r>
      <w:r w:rsidR="00A876A5" w:rsidRPr="009F6859">
        <w:rPr>
          <w:spacing w:val="-7"/>
          <w:sz w:val="24"/>
          <w:szCs w:val="24"/>
        </w:rPr>
        <w:t xml:space="preserve"> </w:t>
      </w:r>
      <w:r w:rsidR="00A876A5" w:rsidRPr="009F6859">
        <w:rPr>
          <w:sz w:val="24"/>
          <w:szCs w:val="24"/>
        </w:rPr>
        <w:t>está</w:t>
      </w:r>
      <w:r w:rsidR="00A876A5" w:rsidRPr="009F6859">
        <w:rPr>
          <w:spacing w:val="-9"/>
          <w:sz w:val="24"/>
          <w:szCs w:val="24"/>
        </w:rPr>
        <w:t xml:space="preserve"> </w:t>
      </w:r>
      <w:r w:rsidR="00A876A5" w:rsidRPr="009F6859">
        <w:rPr>
          <w:sz w:val="24"/>
          <w:szCs w:val="24"/>
        </w:rPr>
        <w:t>dado</w:t>
      </w:r>
      <w:r w:rsidR="00A876A5" w:rsidRPr="009F6859">
        <w:rPr>
          <w:spacing w:val="-10"/>
          <w:sz w:val="24"/>
          <w:szCs w:val="24"/>
        </w:rPr>
        <w:t xml:space="preserve"> </w:t>
      </w:r>
      <w:r w:rsidR="00A876A5" w:rsidRPr="009F6859">
        <w:rPr>
          <w:sz w:val="24"/>
          <w:szCs w:val="24"/>
        </w:rPr>
        <w:t>por</w:t>
      </w:r>
      <w:r w:rsidR="00A876A5" w:rsidRPr="009F6859">
        <w:rPr>
          <w:spacing w:val="-9"/>
          <w:sz w:val="24"/>
          <w:szCs w:val="24"/>
        </w:rPr>
        <w:t xml:space="preserve"> </w:t>
      </w:r>
      <w:r w:rsidR="00A876A5" w:rsidRPr="009F6859">
        <w:rPr>
          <w:sz w:val="24"/>
          <w:szCs w:val="24"/>
        </w:rPr>
        <w:t>aquellos</w:t>
      </w:r>
      <w:r w:rsidR="00A876A5" w:rsidRPr="009F6859">
        <w:rPr>
          <w:spacing w:val="-8"/>
          <w:sz w:val="24"/>
          <w:szCs w:val="24"/>
        </w:rPr>
        <w:t xml:space="preserve"> </w:t>
      </w:r>
      <w:r w:rsidR="00A876A5" w:rsidRPr="009F6859">
        <w:rPr>
          <w:sz w:val="24"/>
          <w:szCs w:val="24"/>
        </w:rPr>
        <w:t>aspectos</w:t>
      </w:r>
      <w:r w:rsidR="00A876A5" w:rsidRPr="009F6859">
        <w:rPr>
          <w:spacing w:val="-9"/>
          <w:sz w:val="24"/>
          <w:szCs w:val="24"/>
        </w:rPr>
        <w:t xml:space="preserve"> </w:t>
      </w:r>
      <w:r w:rsidR="00A876A5" w:rsidRPr="009F6859">
        <w:rPr>
          <w:sz w:val="24"/>
          <w:szCs w:val="24"/>
        </w:rPr>
        <w:t xml:space="preserve">que </w:t>
      </w:r>
      <w:r w:rsidR="00A876A5" w:rsidRPr="009F6859">
        <w:rPr>
          <w:spacing w:val="-69"/>
          <w:sz w:val="24"/>
          <w:szCs w:val="24"/>
        </w:rPr>
        <w:t>f</w:t>
      </w:r>
      <w:r w:rsidR="00A876A5" w:rsidRPr="009F6859">
        <w:rPr>
          <w:sz w:val="24"/>
          <w:szCs w:val="24"/>
        </w:rPr>
        <w:t>ueron objeto</w:t>
      </w:r>
      <w:r w:rsidR="00A876A5" w:rsidRPr="009F6859">
        <w:rPr>
          <w:spacing w:val="-3"/>
          <w:sz w:val="24"/>
          <w:szCs w:val="24"/>
        </w:rPr>
        <w:t xml:space="preserve"> </w:t>
      </w:r>
      <w:r w:rsidR="00A876A5" w:rsidRPr="009F6859">
        <w:rPr>
          <w:sz w:val="24"/>
          <w:szCs w:val="24"/>
        </w:rPr>
        <w:t>de</w:t>
      </w:r>
      <w:r w:rsidR="00A876A5" w:rsidRPr="009F6859">
        <w:rPr>
          <w:spacing w:val="-6"/>
          <w:sz w:val="24"/>
          <w:szCs w:val="24"/>
        </w:rPr>
        <w:t xml:space="preserve"> </w:t>
      </w:r>
      <w:r w:rsidR="00A876A5" w:rsidRPr="009F6859">
        <w:rPr>
          <w:sz w:val="24"/>
          <w:szCs w:val="24"/>
        </w:rPr>
        <w:t>impugnación,</w:t>
      </w:r>
      <w:r w:rsidR="00A876A5" w:rsidRPr="009F6859">
        <w:rPr>
          <w:spacing w:val="-3"/>
          <w:sz w:val="24"/>
          <w:szCs w:val="24"/>
        </w:rPr>
        <w:t xml:space="preserve"> </w:t>
      </w:r>
      <w:r w:rsidR="00A876A5" w:rsidRPr="009F6859">
        <w:rPr>
          <w:sz w:val="24"/>
          <w:szCs w:val="24"/>
        </w:rPr>
        <w:t>sin</w:t>
      </w:r>
      <w:r w:rsidR="00A876A5" w:rsidRPr="009F6859">
        <w:rPr>
          <w:spacing w:val="-5"/>
          <w:sz w:val="24"/>
          <w:szCs w:val="24"/>
        </w:rPr>
        <w:t xml:space="preserve"> </w:t>
      </w:r>
      <w:r w:rsidR="00A876A5" w:rsidRPr="009F6859">
        <w:rPr>
          <w:sz w:val="24"/>
          <w:szCs w:val="24"/>
        </w:rPr>
        <w:t>perjuicio</w:t>
      </w:r>
      <w:r w:rsidR="00A876A5" w:rsidRPr="009F6859">
        <w:rPr>
          <w:spacing w:val="-3"/>
          <w:sz w:val="24"/>
          <w:szCs w:val="24"/>
        </w:rPr>
        <w:t xml:space="preserve"> </w:t>
      </w:r>
      <w:r w:rsidR="00A876A5" w:rsidRPr="009F6859">
        <w:rPr>
          <w:sz w:val="24"/>
          <w:szCs w:val="24"/>
        </w:rPr>
        <w:t>de</w:t>
      </w:r>
      <w:r w:rsidR="00A876A5" w:rsidRPr="009F6859">
        <w:rPr>
          <w:spacing w:val="-4"/>
          <w:sz w:val="24"/>
          <w:szCs w:val="24"/>
        </w:rPr>
        <w:t xml:space="preserve"> </w:t>
      </w:r>
      <w:r w:rsidR="00A876A5" w:rsidRPr="009F6859">
        <w:rPr>
          <w:sz w:val="24"/>
          <w:szCs w:val="24"/>
        </w:rPr>
        <w:t>algunas</w:t>
      </w:r>
      <w:r w:rsidR="00A876A5" w:rsidRPr="009F6859">
        <w:rPr>
          <w:spacing w:val="-3"/>
          <w:sz w:val="24"/>
          <w:szCs w:val="24"/>
        </w:rPr>
        <w:t xml:space="preserve"> </w:t>
      </w:r>
      <w:r w:rsidR="00A876A5" w:rsidRPr="009F6859">
        <w:rPr>
          <w:sz w:val="24"/>
          <w:szCs w:val="24"/>
        </w:rPr>
        <w:t>situaciones</w:t>
      </w:r>
      <w:r w:rsidR="00A876A5" w:rsidRPr="009F6859">
        <w:rPr>
          <w:spacing w:val="-4"/>
          <w:sz w:val="24"/>
          <w:szCs w:val="24"/>
        </w:rPr>
        <w:t xml:space="preserve"> </w:t>
      </w:r>
      <w:r w:rsidR="00A876A5" w:rsidRPr="009F6859">
        <w:rPr>
          <w:sz w:val="24"/>
          <w:szCs w:val="24"/>
        </w:rPr>
        <w:t>que permiten decidir de oficio (legitimación en la causa, prestaciones mutuas,</w:t>
      </w:r>
      <w:r w:rsidR="00A876A5" w:rsidRPr="009F6859">
        <w:rPr>
          <w:spacing w:val="1"/>
          <w:sz w:val="24"/>
          <w:szCs w:val="24"/>
        </w:rPr>
        <w:t xml:space="preserve"> </w:t>
      </w:r>
      <w:r w:rsidR="00A876A5" w:rsidRPr="009F6859">
        <w:rPr>
          <w:sz w:val="24"/>
          <w:szCs w:val="24"/>
        </w:rPr>
        <w:t>asuntos relacionados con la familia, las costas procesales, por ejemplo). Es lo</w:t>
      </w:r>
      <w:r w:rsidR="00A876A5" w:rsidRPr="009F6859">
        <w:rPr>
          <w:spacing w:val="-2"/>
          <w:sz w:val="24"/>
          <w:szCs w:val="24"/>
        </w:rPr>
        <w:t xml:space="preserve"> </w:t>
      </w:r>
      <w:r w:rsidR="00A876A5" w:rsidRPr="009F6859">
        <w:rPr>
          <w:sz w:val="24"/>
          <w:szCs w:val="24"/>
        </w:rPr>
        <w:t>que</w:t>
      </w:r>
      <w:r w:rsidR="00A876A5" w:rsidRPr="009F6859">
        <w:rPr>
          <w:spacing w:val="-4"/>
          <w:sz w:val="24"/>
          <w:szCs w:val="24"/>
        </w:rPr>
        <w:t xml:space="preserve"> </w:t>
      </w:r>
      <w:r w:rsidR="00A876A5" w:rsidRPr="009F6859">
        <w:rPr>
          <w:sz w:val="24"/>
          <w:szCs w:val="24"/>
        </w:rPr>
        <w:t>se</w:t>
      </w:r>
      <w:r w:rsidR="00A876A5" w:rsidRPr="009F6859">
        <w:rPr>
          <w:spacing w:val="-4"/>
          <w:sz w:val="24"/>
          <w:szCs w:val="24"/>
        </w:rPr>
        <w:t xml:space="preserve"> </w:t>
      </w:r>
      <w:r w:rsidR="00A876A5" w:rsidRPr="009F6859">
        <w:rPr>
          <w:sz w:val="24"/>
          <w:szCs w:val="24"/>
        </w:rPr>
        <w:t>ha</w:t>
      </w:r>
      <w:r w:rsidR="00A876A5" w:rsidRPr="009F6859">
        <w:rPr>
          <w:spacing w:val="-6"/>
          <w:sz w:val="24"/>
          <w:szCs w:val="24"/>
        </w:rPr>
        <w:t xml:space="preserve"> </w:t>
      </w:r>
      <w:r w:rsidR="00A876A5" w:rsidRPr="009F6859">
        <w:rPr>
          <w:sz w:val="24"/>
          <w:szCs w:val="24"/>
        </w:rPr>
        <w:t>dado</w:t>
      </w:r>
      <w:r w:rsidR="00A876A5" w:rsidRPr="009F6859">
        <w:rPr>
          <w:spacing w:val="-4"/>
          <w:sz w:val="24"/>
          <w:szCs w:val="24"/>
        </w:rPr>
        <w:t xml:space="preserve"> </w:t>
      </w:r>
      <w:r w:rsidR="00A876A5" w:rsidRPr="009F6859">
        <w:rPr>
          <w:sz w:val="24"/>
          <w:szCs w:val="24"/>
        </w:rPr>
        <w:t>en</w:t>
      </w:r>
      <w:r w:rsidR="00A876A5" w:rsidRPr="009F6859">
        <w:rPr>
          <w:spacing w:val="-4"/>
          <w:sz w:val="24"/>
          <w:szCs w:val="24"/>
        </w:rPr>
        <w:t xml:space="preserve"> </w:t>
      </w:r>
      <w:r w:rsidR="00A876A5" w:rsidRPr="009F6859">
        <w:rPr>
          <w:sz w:val="24"/>
          <w:szCs w:val="24"/>
        </w:rPr>
        <w:t>denominar</w:t>
      </w:r>
      <w:r w:rsidR="00A876A5" w:rsidRPr="009F6859">
        <w:rPr>
          <w:spacing w:val="-3"/>
          <w:sz w:val="24"/>
          <w:szCs w:val="24"/>
        </w:rPr>
        <w:t xml:space="preserve"> </w:t>
      </w:r>
      <w:r w:rsidR="00A876A5" w:rsidRPr="009F6859">
        <w:rPr>
          <w:sz w:val="24"/>
          <w:szCs w:val="24"/>
        </w:rPr>
        <w:t>la</w:t>
      </w:r>
      <w:r w:rsidR="00A876A5" w:rsidRPr="009F6859">
        <w:rPr>
          <w:spacing w:val="-4"/>
          <w:sz w:val="24"/>
          <w:szCs w:val="24"/>
        </w:rPr>
        <w:t xml:space="preserve"> </w:t>
      </w:r>
      <w:r w:rsidR="00A876A5" w:rsidRPr="009F6859">
        <w:rPr>
          <w:sz w:val="24"/>
          <w:szCs w:val="24"/>
        </w:rPr>
        <w:t>pretensión</w:t>
      </w:r>
      <w:r w:rsidR="00A876A5" w:rsidRPr="009F6859">
        <w:rPr>
          <w:spacing w:val="-1"/>
          <w:sz w:val="24"/>
          <w:szCs w:val="24"/>
        </w:rPr>
        <w:t xml:space="preserve"> </w:t>
      </w:r>
      <w:r w:rsidR="00A876A5" w:rsidRPr="009F6859">
        <w:rPr>
          <w:sz w:val="24"/>
          <w:szCs w:val="24"/>
        </w:rPr>
        <w:t>impugnaticia,</w:t>
      </w:r>
      <w:r w:rsidR="00A876A5" w:rsidRPr="009F6859">
        <w:rPr>
          <w:spacing w:val="-1"/>
          <w:sz w:val="24"/>
          <w:szCs w:val="24"/>
        </w:rPr>
        <w:t xml:space="preserve"> </w:t>
      </w:r>
      <w:r w:rsidR="00A876A5" w:rsidRPr="009F6859">
        <w:rPr>
          <w:sz w:val="24"/>
          <w:szCs w:val="24"/>
        </w:rPr>
        <w:t>como</w:t>
      </w:r>
      <w:r w:rsidR="00A876A5" w:rsidRPr="009F6859">
        <w:rPr>
          <w:spacing w:val="-4"/>
          <w:sz w:val="24"/>
          <w:szCs w:val="24"/>
        </w:rPr>
        <w:t xml:space="preserve"> </w:t>
      </w:r>
      <w:r w:rsidR="00A876A5" w:rsidRPr="009F6859">
        <w:rPr>
          <w:sz w:val="24"/>
          <w:szCs w:val="24"/>
        </w:rPr>
        <w:t>ha</w:t>
      </w:r>
      <w:r w:rsidR="00A876A5" w:rsidRPr="009F6859">
        <w:rPr>
          <w:spacing w:val="-5"/>
          <w:sz w:val="24"/>
          <w:szCs w:val="24"/>
        </w:rPr>
        <w:t xml:space="preserve"> </w:t>
      </w:r>
      <w:r w:rsidR="00A876A5" w:rsidRPr="009F6859">
        <w:rPr>
          <w:sz w:val="24"/>
          <w:szCs w:val="24"/>
        </w:rPr>
        <w:t>sido reconocido por esta Sala de tiempo atrás</w:t>
      </w:r>
      <w:r w:rsidR="00A876A5" w:rsidRPr="009F6859">
        <w:rPr>
          <w:sz w:val="24"/>
          <w:szCs w:val="24"/>
          <w:vertAlign w:val="superscript"/>
        </w:rPr>
        <w:footnoteReference w:id="34"/>
      </w:r>
      <w:r w:rsidR="00A876A5" w:rsidRPr="009F6859">
        <w:rPr>
          <w:spacing w:val="1"/>
          <w:position w:val="9"/>
          <w:sz w:val="24"/>
          <w:szCs w:val="24"/>
        </w:rPr>
        <w:t xml:space="preserve"> </w:t>
      </w:r>
      <w:r w:rsidR="00A876A5" w:rsidRPr="009F6859">
        <w:rPr>
          <w:sz w:val="24"/>
          <w:szCs w:val="24"/>
        </w:rPr>
        <w:t>y lo han reiterado otras</w:t>
      </w:r>
      <w:r w:rsidR="00A876A5" w:rsidRPr="009F6859">
        <w:rPr>
          <w:sz w:val="24"/>
          <w:szCs w:val="24"/>
          <w:vertAlign w:val="superscript"/>
        </w:rPr>
        <w:footnoteReference w:id="35"/>
      </w:r>
      <w:r w:rsidR="00A876A5" w:rsidRPr="009F6859">
        <w:rPr>
          <w:sz w:val="24"/>
          <w:szCs w:val="24"/>
        </w:rPr>
        <w:t>, con</w:t>
      </w:r>
      <w:r w:rsidR="00A876A5" w:rsidRPr="009F6859">
        <w:rPr>
          <w:spacing w:val="1"/>
          <w:sz w:val="24"/>
          <w:szCs w:val="24"/>
        </w:rPr>
        <w:t xml:space="preserve"> </w:t>
      </w:r>
      <w:r w:rsidR="00A876A5" w:rsidRPr="009F6859">
        <w:rPr>
          <w:sz w:val="24"/>
          <w:szCs w:val="24"/>
        </w:rPr>
        <w:t>soporte en decisiones de la Corte, unas de tutela</w:t>
      </w:r>
      <w:r w:rsidR="00A876A5" w:rsidRPr="009F6859">
        <w:rPr>
          <w:sz w:val="24"/>
          <w:szCs w:val="24"/>
          <w:vertAlign w:val="superscript"/>
        </w:rPr>
        <w:footnoteReference w:id="36"/>
      </w:r>
      <w:r w:rsidR="00A876A5" w:rsidRPr="009F6859">
        <w:rPr>
          <w:sz w:val="24"/>
          <w:szCs w:val="24"/>
        </w:rPr>
        <w:t>, que se acogen como</w:t>
      </w:r>
      <w:r w:rsidR="00A876A5" w:rsidRPr="009F6859">
        <w:rPr>
          <w:spacing w:val="1"/>
          <w:sz w:val="24"/>
          <w:szCs w:val="24"/>
        </w:rPr>
        <w:t xml:space="preserve"> </w:t>
      </w:r>
      <w:r w:rsidR="00A876A5" w:rsidRPr="009F6859">
        <w:rPr>
          <w:sz w:val="24"/>
          <w:szCs w:val="24"/>
        </w:rPr>
        <w:t>criterio</w:t>
      </w:r>
      <w:r w:rsidR="00A876A5" w:rsidRPr="009F6859">
        <w:rPr>
          <w:spacing w:val="-1"/>
          <w:sz w:val="24"/>
          <w:szCs w:val="24"/>
        </w:rPr>
        <w:t xml:space="preserve"> </w:t>
      </w:r>
      <w:r w:rsidR="00A876A5" w:rsidRPr="009F6859">
        <w:rPr>
          <w:sz w:val="24"/>
          <w:szCs w:val="24"/>
        </w:rPr>
        <w:t>auxiliar,</w:t>
      </w:r>
      <w:r w:rsidR="00A876A5" w:rsidRPr="009F6859">
        <w:rPr>
          <w:spacing w:val="1"/>
          <w:sz w:val="24"/>
          <w:szCs w:val="24"/>
        </w:rPr>
        <w:t xml:space="preserve"> </w:t>
      </w:r>
      <w:r w:rsidR="00A876A5" w:rsidRPr="009F6859">
        <w:rPr>
          <w:sz w:val="24"/>
          <w:szCs w:val="24"/>
        </w:rPr>
        <w:t>y</w:t>
      </w:r>
      <w:r w:rsidR="00A876A5" w:rsidRPr="009F6859">
        <w:rPr>
          <w:spacing w:val="-2"/>
          <w:sz w:val="24"/>
          <w:szCs w:val="24"/>
        </w:rPr>
        <w:t xml:space="preserve"> </w:t>
      </w:r>
      <w:r w:rsidR="00A876A5" w:rsidRPr="009F6859">
        <w:rPr>
          <w:sz w:val="24"/>
          <w:szCs w:val="24"/>
        </w:rPr>
        <w:t>otras de casación</w:t>
      </w:r>
      <w:r w:rsidR="00A876A5" w:rsidRPr="009F6859">
        <w:rPr>
          <w:sz w:val="24"/>
          <w:szCs w:val="24"/>
          <w:vertAlign w:val="superscript"/>
        </w:rPr>
        <w:footnoteReference w:id="37"/>
      </w:r>
      <w:r w:rsidR="00A876A5" w:rsidRPr="009F6859">
        <w:rPr>
          <w:sz w:val="24"/>
          <w:szCs w:val="24"/>
        </w:rPr>
        <w:t>.</w:t>
      </w:r>
    </w:p>
    <w:p w14:paraId="26F511A7" w14:textId="77777777" w:rsidR="00A876A5" w:rsidRPr="009F6859" w:rsidRDefault="00A876A5" w:rsidP="009F6859">
      <w:pPr>
        <w:spacing w:after="0" w:line="276" w:lineRule="auto"/>
        <w:jc w:val="both"/>
        <w:rPr>
          <w:rFonts w:ascii="Gadugi" w:eastAsia="Calibri" w:hAnsi="Gadugi" w:cs="Times New Roman"/>
          <w:sz w:val="24"/>
          <w:szCs w:val="24"/>
          <w:lang w:val="es-419"/>
        </w:rPr>
      </w:pPr>
    </w:p>
    <w:p w14:paraId="2CA1E954" w14:textId="25DC9A52" w:rsidR="00EB6D03" w:rsidRPr="009F6859" w:rsidRDefault="00EB6D03" w:rsidP="009F6859">
      <w:pPr>
        <w:tabs>
          <w:tab w:val="left" w:pos="0"/>
          <w:tab w:val="left" w:pos="567"/>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2.</w:t>
      </w:r>
      <w:r w:rsidR="001D0071" w:rsidRPr="009F6859">
        <w:rPr>
          <w:rFonts w:ascii="Gadugi" w:eastAsia="Calibri" w:hAnsi="Gadugi" w:cs="Times New Roman"/>
          <w:sz w:val="24"/>
          <w:szCs w:val="24"/>
          <w:lang w:val="es-419"/>
        </w:rPr>
        <w:t>6</w:t>
      </w:r>
      <w:r w:rsidRPr="009F6859">
        <w:rPr>
          <w:rFonts w:ascii="Gadugi" w:eastAsia="Calibri" w:hAnsi="Gadugi" w:cs="Times New Roman"/>
          <w:sz w:val="24"/>
          <w:szCs w:val="24"/>
          <w:lang w:val="es-419"/>
        </w:rPr>
        <w:t>.</w:t>
      </w:r>
      <w:r w:rsidRPr="009F6859">
        <w:rPr>
          <w:rFonts w:ascii="Gadugi" w:eastAsia="Calibri" w:hAnsi="Gadugi" w:cs="Times New Roman"/>
          <w:sz w:val="24"/>
          <w:szCs w:val="24"/>
          <w:lang w:val="es-419"/>
        </w:rPr>
        <w:tab/>
      </w:r>
      <w:r w:rsidR="00590C0C" w:rsidRPr="009F6859">
        <w:rPr>
          <w:rFonts w:ascii="Gadugi" w:eastAsia="Calibri" w:hAnsi="Gadugi" w:cs="Times New Roman"/>
          <w:sz w:val="24"/>
          <w:szCs w:val="24"/>
          <w:lang w:val="es-419"/>
        </w:rPr>
        <w:t>Para acometer el análisis de estas reclamaciones, b</w:t>
      </w:r>
      <w:r w:rsidRPr="009F6859">
        <w:rPr>
          <w:rFonts w:ascii="Gadugi" w:eastAsia="Calibri" w:hAnsi="Gadugi" w:cs="Times New Roman"/>
          <w:sz w:val="24"/>
          <w:szCs w:val="24"/>
          <w:lang w:val="es-419"/>
        </w:rPr>
        <w:t xml:space="preserve">revemente se </w:t>
      </w:r>
      <w:r w:rsidR="0015618C" w:rsidRPr="009F6859">
        <w:rPr>
          <w:rFonts w:ascii="Gadugi" w:eastAsia="Calibri" w:hAnsi="Gadugi" w:cs="Times New Roman"/>
          <w:sz w:val="24"/>
          <w:szCs w:val="24"/>
          <w:lang w:val="es-419"/>
        </w:rPr>
        <w:t xml:space="preserve">memora </w:t>
      </w:r>
      <w:r w:rsidRPr="009F6859">
        <w:rPr>
          <w:rFonts w:ascii="Gadugi" w:eastAsia="Calibri" w:hAnsi="Gadugi" w:cs="Times New Roman"/>
          <w:sz w:val="24"/>
          <w:szCs w:val="24"/>
          <w:lang w:val="es-419"/>
        </w:rPr>
        <w:t>que esta Corporación ha sostenido</w:t>
      </w:r>
      <w:r w:rsidR="009C27C0" w:rsidRPr="009F6859">
        <w:rPr>
          <w:rStyle w:val="Refdenotaalpie"/>
          <w:rFonts w:ascii="Gadugi" w:hAnsi="Gadugi"/>
          <w:sz w:val="24"/>
          <w:szCs w:val="24"/>
        </w:rPr>
        <w:footnoteReference w:id="38"/>
      </w:r>
      <w:r w:rsidRPr="009F6859">
        <w:rPr>
          <w:rFonts w:ascii="Gadugi" w:eastAsia="Calibri" w:hAnsi="Gadugi" w:cs="Times New Roman"/>
          <w:sz w:val="24"/>
          <w:szCs w:val="24"/>
          <w:lang w:val="es-419"/>
        </w:rPr>
        <w:t xml:space="preserve"> que la responsabilidad civil médica comporta la concurrencia de varios elementos: la acción o la omisión por parte del galeno en el ejercicio de su profesión; el daño padecido por el paciente o, en general, por las víctimas, la culpa o el dolo y la relación causal entre el hecho y el daño; y si ella es contractual, por supuesto, es menester acreditar su fuente.</w:t>
      </w:r>
    </w:p>
    <w:p w14:paraId="72C00B4E" w14:textId="77777777" w:rsidR="0058478B" w:rsidRPr="009F6859" w:rsidRDefault="0058478B" w:rsidP="009F6859">
      <w:pPr>
        <w:spacing w:after="0" w:line="276" w:lineRule="auto"/>
        <w:jc w:val="both"/>
        <w:rPr>
          <w:rFonts w:ascii="Gadugi" w:eastAsia="Calibri" w:hAnsi="Gadugi" w:cs="Times New Roman"/>
          <w:sz w:val="24"/>
          <w:szCs w:val="24"/>
          <w:lang w:val="es-419"/>
        </w:rPr>
      </w:pPr>
    </w:p>
    <w:p w14:paraId="21F55A13" w14:textId="67D63441" w:rsidR="00EB6D03" w:rsidRPr="009F6859" w:rsidRDefault="00EB6D03" w:rsidP="009F6859">
      <w:pPr>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Y que, por regla general, al médico se le atribuye un compromiso frente a la comunidad y a sus pacientes, en tanto se le confían derechos personalísimos como la salud y la vida, por lo que su quehacer debe cumplirlo con esmero y cuidado, ya que </w:t>
      </w:r>
      <w:r w:rsidRPr="009F6859">
        <w:rPr>
          <w:rFonts w:ascii="Gadugi" w:eastAsia="Calibri" w:hAnsi="Gadugi" w:cs="Times New Roman"/>
          <w:i/>
          <w:iCs/>
          <w:sz w:val="24"/>
          <w:szCs w:val="24"/>
          <w:lang w:val="es-419"/>
        </w:rPr>
        <w:t>“</w:t>
      </w:r>
      <w:r w:rsidRPr="003B7DE1">
        <w:rPr>
          <w:rFonts w:ascii="Gadugi" w:eastAsia="Calibri" w:hAnsi="Gadugi" w:cs="Times New Roman"/>
          <w:i/>
          <w:iCs/>
          <w:szCs w:val="24"/>
          <w:lang w:val="es-419"/>
        </w:rPr>
        <w:t>La medicina es una profesión que tiene como fin cuidar la salud del hombre y propender por la prevención de las enfermedades, el perfeccionamiento de la especie humana y el mejoramiento de los patrones de vida de la colectividad, sin distingos de nacionalidad, no de orden económico-social, racial, político y religioso. El respeto por la vida y los fueros de la persona humana constituyen su esencia espiritual. Por consiguiente, el ejercicio de la medicina tiene implicaciones humanísticas que le son inherentes</w:t>
      </w:r>
      <w:r w:rsidRPr="009F6859">
        <w:rPr>
          <w:rFonts w:ascii="Gadugi" w:eastAsia="Calibri" w:hAnsi="Gadugi" w:cs="Times New Roman"/>
          <w:i/>
          <w:iCs/>
          <w:sz w:val="24"/>
          <w:szCs w:val="24"/>
          <w:lang w:val="es-419"/>
        </w:rPr>
        <w:t>”</w:t>
      </w:r>
      <w:r w:rsidRPr="009F6859">
        <w:rPr>
          <w:rFonts w:ascii="Gadugi" w:eastAsia="Calibri" w:hAnsi="Gadugi" w:cs="Times New Roman"/>
          <w:sz w:val="24"/>
          <w:szCs w:val="24"/>
          <w:lang w:val="es-419"/>
        </w:rPr>
        <w:t xml:space="preserve">. (art. 1°, Ley 23 de 1981). En virtud de ello, un </w:t>
      </w:r>
      <w:r w:rsidR="00D46433" w:rsidRPr="009F6859">
        <w:rPr>
          <w:rFonts w:ascii="Gadugi" w:eastAsia="Calibri" w:hAnsi="Gadugi" w:cs="Times New Roman"/>
          <w:sz w:val="24"/>
          <w:szCs w:val="24"/>
          <w:lang w:val="es-419"/>
        </w:rPr>
        <w:t>compromiso</w:t>
      </w:r>
      <w:r w:rsidRPr="009F6859">
        <w:rPr>
          <w:rFonts w:ascii="Gadugi" w:eastAsia="Calibri" w:hAnsi="Gadugi" w:cs="Times New Roman"/>
          <w:sz w:val="24"/>
          <w:szCs w:val="24"/>
          <w:lang w:val="es-419"/>
        </w:rPr>
        <w:t xml:space="preserve"> esencial del galeno es poner al servicio del paciente todos sus conocimientos con el fin de preservar esos elementales derechos.</w:t>
      </w:r>
    </w:p>
    <w:p w14:paraId="5C8D450C" w14:textId="77777777" w:rsidR="00EB6D03" w:rsidRPr="009F6859" w:rsidRDefault="00EB6D03" w:rsidP="009F6859">
      <w:pPr>
        <w:spacing w:after="0" w:line="276" w:lineRule="auto"/>
        <w:jc w:val="both"/>
        <w:rPr>
          <w:rFonts w:ascii="Gadugi" w:eastAsia="Calibri" w:hAnsi="Gadugi" w:cs="Times New Roman"/>
          <w:sz w:val="24"/>
          <w:szCs w:val="24"/>
          <w:lang w:val="es-419"/>
        </w:rPr>
      </w:pPr>
    </w:p>
    <w:p w14:paraId="19261D8B" w14:textId="4FCD8FAD" w:rsidR="00EB6D03" w:rsidRPr="009F6859" w:rsidRDefault="00EB6D03" w:rsidP="009F6859">
      <w:pPr>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w:t>
      </w:r>
    </w:p>
    <w:p w14:paraId="1C0DC06F" w14:textId="569C1AF8" w:rsidR="00BD132C" w:rsidRPr="009F6859" w:rsidRDefault="00BD132C" w:rsidP="009F6859">
      <w:pPr>
        <w:spacing w:after="0" w:line="276" w:lineRule="auto"/>
        <w:jc w:val="both"/>
        <w:rPr>
          <w:rFonts w:ascii="Gadugi" w:eastAsia="Calibri" w:hAnsi="Gadugi" w:cs="Times New Roman"/>
          <w:sz w:val="24"/>
          <w:szCs w:val="24"/>
          <w:lang w:val="es-419"/>
        </w:rPr>
      </w:pPr>
    </w:p>
    <w:p w14:paraId="1631D5EB" w14:textId="77777777" w:rsidR="00BD132C" w:rsidRPr="009F6859" w:rsidRDefault="00BD132C" w:rsidP="009F6859">
      <w:pPr>
        <w:pStyle w:val="Textoindependiente"/>
        <w:spacing w:before="1" w:line="276" w:lineRule="auto"/>
        <w:ind w:right="49"/>
        <w:contextualSpacing/>
        <w:jc w:val="both"/>
        <w:rPr>
          <w:sz w:val="24"/>
          <w:szCs w:val="24"/>
        </w:rPr>
      </w:pPr>
      <w:r w:rsidRPr="009F6859">
        <w:rPr>
          <w:sz w:val="24"/>
          <w:szCs w:val="24"/>
        </w:rPr>
        <w:t xml:space="preserve">Así lo tiene señalado de tiempo atrás el órgano de cierre de la jurisdicción ordinaria (sentencia de 17 de noviembre de 2011, Referencia: 11001-3103-018-1999-00533-01, M.P. William </w:t>
      </w:r>
      <w:proofErr w:type="spellStart"/>
      <w:r w:rsidRPr="009F6859">
        <w:rPr>
          <w:sz w:val="24"/>
          <w:szCs w:val="24"/>
        </w:rPr>
        <w:t>Namén</w:t>
      </w:r>
      <w:proofErr w:type="spellEnd"/>
      <w:r w:rsidRPr="009F6859">
        <w:rPr>
          <w:sz w:val="24"/>
          <w:szCs w:val="24"/>
        </w:rPr>
        <w:t xml:space="preserve"> Vargas), y lo ha reiterado recientemente (sentencia SC917-2020, del 14 de septiembre de 2020, radicado 76001-31-03-010-2012-00509-01, M.P. Luis Armando Tolosa Villabona), providencias en las que se ha dicho que: </w:t>
      </w:r>
    </w:p>
    <w:p w14:paraId="3DC38239" w14:textId="4CB02D72" w:rsidR="00BD132C" w:rsidRPr="009F6859" w:rsidRDefault="00BD132C" w:rsidP="009F6859">
      <w:pPr>
        <w:spacing w:after="0" w:line="276" w:lineRule="auto"/>
        <w:jc w:val="both"/>
        <w:rPr>
          <w:rFonts w:ascii="Gadugi" w:eastAsia="Calibri" w:hAnsi="Gadugi" w:cs="Times New Roman"/>
          <w:sz w:val="24"/>
          <w:szCs w:val="24"/>
          <w:lang w:val="es-419"/>
        </w:rPr>
      </w:pPr>
    </w:p>
    <w:p w14:paraId="0BE26A12" w14:textId="77777777" w:rsidR="00BD132C" w:rsidRPr="0082671E" w:rsidRDefault="00BD132C" w:rsidP="0082671E">
      <w:pPr>
        <w:pStyle w:val="Textoindependiente"/>
        <w:ind w:left="426" w:right="418"/>
        <w:contextualSpacing/>
        <w:jc w:val="both"/>
        <w:rPr>
          <w:sz w:val="22"/>
          <w:szCs w:val="24"/>
        </w:rPr>
      </w:pPr>
      <w:r w:rsidRPr="0082671E">
        <w:rPr>
          <w:sz w:val="22"/>
          <w:szCs w:val="24"/>
        </w:rPr>
        <w:t>“La atención sistémica e integral de la salud, sin embargo, no es ajena a los errores, sean excusables e inexcusables. En el ámbito de estos últimos, con repercusiones jurídicas, aparecen los groseros, los culposos, los faltos de diligencia y cuidado, ergo, al ser injustificados, son susceptibles de ser reparados integralmente “in natura” o por equivalente, no así los primeros.</w:t>
      </w:r>
    </w:p>
    <w:p w14:paraId="080BFC06" w14:textId="77777777" w:rsidR="00BD132C" w:rsidRPr="0082671E" w:rsidRDefault="00BD132C" w:rsidP="0082671E">
      <w:pPr>
        <w:pStyle w:val="Textoindependiente"/>
        <w:ind w:left="426" w:right="418"/>
        <w:contextualSpacing/>
        <w:jc w:val="both"/>
        <w:rPr>
          <w:sz w:val="22"/>
          <w:szCs w:val="24"/>
        </w:rPr>
      </w:pPr>
    </w:p>
    <w:p w14:paraId="4ED03098" w14:textId="77777777" w:rsidR="00BD132C" w:rsidRPr="0082671E" w:rsidRDefault="00BD132C" w:rsidP="0082671E">
      <w:pPr>
        <w:pStyle w:val="Textoindependiente"/>
        <w:spacing w:before="1"/>
        <w:ind w:left="426" w:right="418"/>
        <w:contextualSpacing/>
        <w:jc w:val="both"/>
        <w:rPr>
          <w:sz w:val="22"/>
          <w:szCs w:val="24"/>
        </w:rPr>
      </w:pPr>
      <w:r w:rsidRPr="0082671E">
        <w:rPr>
          <w:sz w:val="22"/>
          <w:szCs w:val="24"/>
        </w:rPr>
        <w:t xml:space="preserve">Por esto, causada una lesión o menoscabo en la salud, con ese propósito, el afectado debe demostrar como elementos axiológicos integradores de la responsabilidad </w:t>
      </w:r>
      <w:r w:rsidRPr="0082671E">
        <w:rPr>
          <w:sz w:val="22"/>
          <w:szCs w:val="24"/>
        </w:rPr>
        <w:lastRenderedPageBreak/>
        <w:t>médica la conducta antijurídica, el daño y la relación de causalidad entre éste y aquélla, así como la culpabilidad, según la naturaleza de la responsabilidad (subjetiva u objetiva) o de la modalidad de las obligaciones de que se trata (de medio o de resultado). En el campo dicho, porque el artículo 26 de la Ley 1164 de 2007, alusiva al talento humano en salud, con la modificación introducida por el canon 104 de la Ley 1438 de 2011, establece que la relación médico-paciente “genera una obligación de medio” sobre la base de una competencia profesional, en clara distinción con las de resultado, estas últimas, en virtud de “estipulaciones especiales de las partes” (artículo 1604, in fine, del Código Civil).”</w:t>
      </w:r>
    </w:p>
    <w:p w14:paraId="1DCC4974" w14:textId="77777777" w:rsidR="00BD132C" w:rsidRPr="009F6859" w:rsidRDefault="00BD132C" w:rsidP="009F6859">
      <w:pPr>
        <w:spacing w:after="0" w:line="276" w:lineRule="auto"/>
        <w:jc w:val="both"/>
        <w:rPr>
          <w:rFonts w:ascii="Gadugi" w:eastAsia="Calibri" w:hAnsi="Gadugi" w:cs="Times New Roman"/>
          <w:sz w:val="24"/>
          <w:szCs w:val="24"/>
          <w:lang w:val="es-419"/>
        </w:rPr>
      </w:pPr>
    </w:p>
    <w:p w14:paraId="3F51F5D3" w14:textId="7AED0232" w:rsidR="00FC1244" w:rsidRPr="009F6859" w:rsidRDefault="00FC1244" w:rsidP="009F6859">
      <w:pPr>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En síntesis, trátese de responsabilidad médica contractual o extracontractual, las obligaciones son de medio, salvo, claro está, que ocurran casos excepcionales. </w:t>
      </w:r>
    </w:p>
    <w:p w14:paraId="0CFA571F" w14:textId="77777777" w:rsidR="00FC1244" w:rsidRPr="009F6859" w:rsidRDefault="00FC1244" w:rsidP="009F6859">
      <w:pPr>
        <w:spacing w:after="0" w:line="276" w:lineRule="auto"/>
        <w:jc w:val="both"/>
        <w:rPr>
          <w:rFonts w:ascii="Gadugi" w:eastAsia="Calibri" w:hAnsi="Gadugi" w:cs="Times New Roman"/>
          <w:sz w:val="24"/>
          <w:szCs w:val="24"/>
          <w:lang w:val="es-419"/>
        </w:rPr>
      </w:pPr>
    </w:p>
    <w:p w14:paraId="7869337A" w14:textId="70EC1CCE" w:rsidR="00EB6D03" w:rsidRPr="009F6859" w:rsidRDefault="00EB6D03" w:rsidP="009F6859">
      <w:pPr>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En este punto es preciso </w:t>
      </w:r>
      <w:r w:rsidR="00CE173F" w:rsidRPr="009F6859">
        <w:rPr>
          <w:rFonts w:ascii="Gadugi" w:eastAsia="Calibri" w:hAnsi="Gadugi" w:cs="Times New Roman"/>
          <w:sz w:val="24"/>
          <w:szCs w:val="24"/>
          <w:lang w:val="es-419"/>
        </w:rPr>
        <w:t>hacer memoria</w:t>
      </w:r>
      <w:r w:rsidRPr="009F6859">
        <w:rPr>
          <w:rFonts w:ascii="Gadugi" w:eastAsia="Calibri" w:hAnsi="Gadugi" w:cs="Times New Roman"/>
          <w:sz w:val="24"/>
          <w:szCs w:val="24"/>
          <w:lang w:val="es-419"/>
        </w:rPr>
        <w:t xml:space="preserve">, como de tiempo atrás se hizo por esta misma Sala y lo ha seguido reiterando, que se han ensayado tesis como las de la carga dinámica de la prueba, o de la distribución de la prueba, cuestión analizada en varias ocasiones por la Corte Suprema; en alguna de sus decisiones se refirió más precisamente, a una regla de aportación o suministro de pruebas, a la luz del artículo 167 del CGP, y señaló que </w:t>
      </w:r>
      <w:r w:rsidRPr="009F6859">
        <w:rPr>
          <w:rFonts w:ascii="Gadugi" w:eastAsia="Calibri" w:hAnsi="Gadugi" w:cs="Times New Roman"/>
          <w:i/>
          <w:iCs/>
          <w:sz w:val="24"/>
          <w:szCs w:val="24"/>
          <w:lang w:val="es-419"/>
        </w:rPr>
        <w:t>“</w:t>
      </w:r>
      <w:r w:rsidRPr="00C55E9E">
        <w:rPr>
          <w:rFonts w:ascii="Gadugi" w:eastAsia="Calibri" w:hAnsi="Gadugi" w:cs="Times New Roman"/>
          <w:i/>
          <w:iCs/>
          <w:szCs w:val="24"/>
          <w:lang w:val="es-419"/>
        </w:rPr>
        <w:t>Aunque en algunas oportunidades esta Sala ha aludido tangencialmente a una supuesta “distribución judicial de la carga de la prueba”, lo cierto es que tal conjetura jamás ha sido aplicada para la solución de un caso concreto; y, finalmente, las sentencias en las que se la ha mencionado se han resuelto –como todas las demás–, dependiendo de si en el proceso quedaron o no demostrados todos los supuestos de hecho que exigen las normas sustanciales en que se sustentaron los respectivos litigios… La distinción funcional de los institutos de ‘la carga de la prueba’ y del ‘deber-obligación de aportar pruebas’ permite comprender la razón de ser de cada uno de ellos en el proceso, evitando confusiones innecesarias; y, sobre todo, cumpliendo el objetivo deseado de imponer deberes probatorios a la parte que está en mejores posibilidades materiales de hacerlo, sin afectar en lo más mínimo el principio de legalidad al que sirve la regla inamovible de la carga de la prueba</w:t>
      </w:r>
      <w:r w:rsidRPr="009F6859">
        <w:rPr>
          <w:rFonts w:ascii="Gadugi" w:eastAsia="Calibri" w:hAnsi="Gadugi" w:cs="Times New Roman"/>
          <w:i/>
          <w:iCs/>
          <w:sz w:val="24"/>
          <w:szCs w:val="24"/>
          <w:lang w:val="es-419"/>
        </w:rPr>
        <w:t>”.</w:t>
      </w:r>
      <w:r w:rsidRPr="009F6859">
        <w:rPr>
          <w:rFonts w:ascii="Gadugi" w:eastAsia="Calibri" w:hAnsi="Gadugi" w:cs="Times New Roman"/>
          <w:sz w:val="24"/>
          <w:szCs w:val="24"/>
          <w:lang w:val="es-419"/>
        </w:rPr>
        <w:t xml:space="preserve"> (Sentencia SC9193-2017, de junio 28 de 2017, M.P. Ariel Salazar Ramírez).</w:t>
      </w:r>
    </w:p>
    <w:p w14:paraId="76E8BD76" w14:textId="77777777" w:rsidR="00EB6D03" w:rsidRPr="009F6859" w:rsidRDefault="00EB6D03" w:rsidP="009F6859">
      <w:pPr>
        <w:spacing w:after="0" w:line="276" w:lineRule="auto"/>
        <w:jc w:val="both"/>
        <w:rPr>
          <w:rFonts w:ascii="Gadugi" w:eastAsia="Calibri" w:hAnsi="Gadugi" w:cs="Times New Roman"/>
          <w:sz w:val="24"/>
          <w:szCs w:val="24"/>
          <w:lang w:val="es-419"/>
        </w:rPr>
      </w:pPr>
    </w:p>
    <w:p w14:paraId="59B958AB" w14:textId="120A106A" w:rsidR="00EB6D03" w:rsidRPr="009F6859" w:rsidRDefault="00EB6D03" w:rsidP="009F6859">
      <w:pPr>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Flexibilización que, para el caso, se torna irrelevante, porque no ocurrió en el momento de decretar las pruebas, ni en otro estadio del proceso, como manda la norma en cita, sino que cada parte arrimó las pruebas sobre las que quiso edificar la teoría del caso que propuso, bien para el reconocimiento de las pretensiones, por activa, ya para su denegación por pasiva, y es sobre ellas que la Sala construirá la argumentación para definir la alzada, </w:t>
      </w:r>
      <w:r w:rsidR="00D21886" w:rsidRPr="009F6859">
        <w:rPr>
          <w:rFonts w:ascii="Gadugi" w:eastAsia="Calibri" w:hAnsi="Gadugi" w:cs="Times New Roman"/>
          <w:sz w:val="24"/>
          <w:szCs w:val="24"/>
          <w:lang w:val="es-419"/>
        </w:rPr>
        <w:t xml:space="preserve">en apoyo de las decretadas de oficio por el A quo, </w:t>
      </w:r>
      <w:r w:rsidRPr="009F6859">
        <w:rPr>
          <w:rFonts w:ascii="Gadugi" w:eastAsia="Calibri" w:hAnsi="Gadugi" w:cs="Times New Roman"/>
          <w:sz w:val="24"/>
          <w:szCs w:val="24"/>
          <w:lang w:val="es-419"/>
        </w:rPr>
        <w:t xml:space="preserve">pues, como lo recordó también la alta Corporación en la última providencia anunciada, </w:t>
      </w:r>
      <w:r w:rsidRPr="009F6859">
        <w:rPr>
          <w:rFonts w:ascii="Gadugi" w:eastAsia="Calibri" w:hAnsi="Gadugi" w:cs="Times New Roman"/>
          <w:i/>
          <w:iCs/>
          <w:sz w:val="24"/>
          <w:szCs w:val="24"/>
          <w:lang w:val="es-419"/>
        </w:rPr>
        <w:t>“</w:t>
      </w:r>
      <w:r w:rsidRPr="00C55E9E">
        <w:rPr>
          <w:rFonts w:ascii="Gadugi" w:eastAsia="Calibri" w:hAnsi="Gadugi" w:cs="Times New Roman"/>
          <w:i/>
          <w:iCs/>
          <w:szCs w:val="24"/>
          <w:lang w:val="es-419"/>
        </w:rPr>
        <w:t xml:space="preserve">Para la aplicación de la regla de cierre de la carga de la prueba no importa que el interesado haya sido diligente en el suministro de las pruebas o que haya estado inactivo; o que el juez haya impuesto a una u otra parte el deber de aportar pruebas, dado que la única posibilidad que la ley ofrece al sentenciador al momento de proferir su decisión, se enmarca en una lógica bivalente según la cual una vez probados los supuestos de hecho tiene que declarar la consecuencia jurídica, y ante la ausencia de tal prueba tiene que negar dichos efectos de </w:t>
      </w:r>
      <w:r w:rsidRPr="00C55E9E">
        <w:rPr>
          <w:rFonts w:ascii="Gadugi" w:eastAsia="Calibri" w:hAnsi="Gadugi" w:cs="Times New Roman"/>
          <w:i/>
          <w:iCs/>
          <w:szCs w:val="24"/>
          <w:lang w:val="es-419"/>
        </w:rPr>
        <w:lastRenderedPageBreak/>
        <w:t xml:space="preserve">manera necesaria, sin que pueda darse una tercera opción o término medio entre los argumentos de esa alternativa: </w:t>
      </w:r>
      <w:proofErr w:type="spellStart"/>
      <w:r w:rsidRPr="00C55E9E">
        <w:rPr>
          <w:rFonts w:ascii="Gadugi" w:eastAsia="Calibri" w:hAnsi="Gadugi" w:cs="Times New Roman"/>
          <w:i/>
          <w:iCs/>
          <w:szCs w:val="24"/>
          <w:lang w:val="es-419"/>
        </w:rPr>
        <w:t>tertium</w:t>
      </w:r>
      <w:proofErr w:type="spellEnd"/>
      <w:r w:rsidRPr="00C55E9E">
        <w:rPr>
          <w:rFonts w:ascii="Gadugi" w:eastAsia="Calibri" w:hAnsi="Gadugi" w:cs="Times New Roman"/>
          <w:i/>
          <w:iCs/>
          <w:szCs w:val="24"/>
          <w:lang w:val="es-419"/>
        </w:rPr>
        <w:t xml:space="preserve"> non </w:t>
      </w:r>
      <w:proofErr w:type="spellStart"/>
      <w:r w:rsidRPr="00C55E9E">
        <w:rPr>
          <w:rFonts w:ascii="Gadugi" w:eastAsia="Calibri" w:hAnsi="Gadugi" w:cs="Times New Roman"/>
          <w:i/>
          <w:iCs/>
          <w:szCs w:val="24"/>
          <w:lang w:val="es-419"/>
        </w:rPr>
        <w:t>datur</w:t>
      </w:r>
      <w:proofErr w:type="spellEnd"/>
      <w:r w:rsidRPr="009F6859">
        <w:rPr>
          <w:rFonts w:ascii="Gadugi" w:eastAsia="Calibri" w:hAnsi="Gadugi" w:cs="Times New Roman"/>
          <w:i/>
          <w:iCs/>
          <w:sz w:val="24"/>
          <w:szCs w:val="24"/>
          <w:lang w:val="es-419"/>
        </w:rPr>
        <w:t>.”</w:t>
      </w:r>
    </w:p>
    <w:p w14:paraId="368B7B41" w14:textId="77777777" w:rsidR="00EB6D03" w:rsidRPr="009F6859" w:rsidRDefault="00EB6D03" w:rsidP="009F6859">
      <w:pPr>
        <w:spacing w:after="0" w:line="276" w:lineRule="auto"/>
        <w:jc w:val="both"/>
        <w:rPr>
          <w:rFonts w:ascii="Gadugi" w:eastAsia="Calibri" w:hAnsi="Gadugi" w:cs="Times New Roman"/>
          <w:sz w:val="24"/>
          <w:szCs w:val="24"/>
          <w:lang w:val="es-419"/>
        </w:rPr>
      </w:pPr>
    </w:p>
    <w:p w14:paraId="20042C01" w14:textId="3894678D" w:rsidR="00EB6D03" w:rsidRPr="009F6859" w:rsidRDefault="00EB6D03" w:rsidP="009F6859">
      <w:pPr>
        <w:tabs>
          <w:tab w:val="left" w:pos="567"/>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2.</w:t>
      </w:r>
      <w:r w:rsidR="00D21886" w:rsidRPr="009F6859">
        <w:rPr>
          <w:rFonts w:ascii="Gadugi" w:eastAsia="Calibri" w:hAnsi="Gadugi" w:cs="Times New Roman"/>
          <w:sz w:val="24"/>
          <w:szCs w:val="24"/>
          <w:lang w:val="es-419"/>
        </w:rPr>
        <w:t>9</w:t>
      </w:r>
      <w:r w:rsidRPr="009F6859">
        <w:rPr>
          <w:rFonts w:ascii="Gadugi" w:eastAsia="Calibri" w:hAnsi="Gadugi" w:cs="Times New Roman"/>
          <w:sz w:val="24"/>
          <w:szCs w:val="24"/>
          <w:lang w:val="es-419"/>
        </w:rPr>
        <w:t>.</w:t>
      </w:r>
      <w:r w:rsidR="00590C0C" w:rsidRPr="009F6859">
        <w:rPr>
          <w:rFonts w:ascii="Gadugi" w:eastAsia="Calibri" w:hAnsi="Gadugi" w:cs="Times New Roman"/>
          <w:sz w:val="24"/>
          <w:szCs w:val="24"/>
          <w:lang w:val="es-419"/>
        </w:rPr>
        <w:t xml:space="preserve"> </w:t>
      </w:r>
      <w:r w:rsidR="00590C0C" w:rsidRPr="009F6859">
        <w:rPr>
          <w:rFonts w:ascii="Gadugi" w:eastAsia="Calibri" w:hAnsi="Gadugi" w:cs="Times New Roman"/>
          <w:sz w:val="24"/>
          <w:szCs w:val="24"/>
          <w:lang w:val="es-419"/>
        </w:rPr>
        <w:tab/>
      </w:r>
      <w:r w:rsidRPr="009F6859">
        <w:rPr>
          <w:rFonts w:ascii="Gadugi" w:eastAsia="Calibri" w:hAnsi="Gadugi" w:cs="Times New Roman"/>
          <w:sz w:val="24"/>
          <w:szCs w:val="24"/>
          <w:lang w:val="es-419"/>
        </w:rPr>
        <w:t>También se relieva que</w:t>
      </w:r>
      <w:r w:rsidR="00387E7A" w:rsidRPr="009F6859">
        <w:rPr>
          <w:rFonts w:ascii="Gadugi" w:eastAsia="Calibri" w:hAnsi="Gadugi" w:cs="Times New Roman"/>
          <w:sz w:val="24"/>
          <w:szCs w:val="24"/>
          <w:lang w:val="es-419"/>
        </w:rPr>
        <w:t>,</w:t>
      </w:r>
      <w:r w:rsidRPr="009F6859">
        <w:rPr>
          <w:rFonts w:ascii="Gadugi" w:eastAsia="Calibri" w:hAnsi="Gadugi" w:cs="Times New Roman"/>
          <w:sz w:val="24"/>
          <w:szCs w:val="24"/>
          <w:lang w:val="es-419"/>
        </w:rPr>
        <w:t xml:space="preserve"> en casos como el de ahora, en los que se debate una responsabilidad médica o institucional por la deficiente prestación de un servicio, la prueba técnica, sin ser única y determinante, le permite al juez aproximarse al conocimiento que requiere para definir la litis, pues con ella se puede descubrir el comportamiento, tanto del galeno, como de las instituciones que contribuyen a la prestación de un servicio de salud y concluir si se cumplieron las reglas que aconseja la ciencia médica.</w:t>
      </w:r>
    </w:p>
    <w:p w14:paraId="5B18EF77" w14:textId="77777777" w:rsidR="00EB6D03" w:rsidRPr="009F6859" w:rsidRDefault="00EB6D03" w:rsidP="009F6859">
      <w:pPr>
        <w:spacing w:after="0" w:line="276" w:lineRule="auto"/>
        <w:jc w:val="both"/>
        <w:rPr>
          <w:rFonts w:ascii="Gadugi" w:eastAsia="Calibri" w:hAnsi="Gadugi" w:cs="Times New Roman"/>
          <w:sz w:val="24"/>
          <w:szCs w:val="24"/>
          <w:lang w:val="es-419"/>
        </w:rPr>
      </w:pPr>
    </w:p>
    <w:p w14:paraId="66A77E8C" w14:textId="599F3576" w:rsidR="00EB6D03" w:rsidRPr="009F6859" w:rsidRDefault="00EB6D03" w:rsidP="009F6859">
      <w:pPr>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Así se ha dicho por esta Corporación, por ejemplo</w:t>
      </w:r>
      <w:r w:rsidR="00D21886" w:rsidRPr="009F6859">
        <w:rPr>
          <w:rFonts w:ascii="Gadugi" w:eastAsia="Calibri" w:hAnsi="Gadugi" w:cs="Times New Roman"/>
          <w:sz w:val="24"/>
          <w:szCs w:val="24"/>
          <w:lang w:val="es-419"/>
        </w:rPr>
        <w:t>,</w:t>
      </w:r>
      <w:r w:rsidRPr="009F6859">
        <w:rPr>
          <w:rFonts w:ascii="Gadugi" w:eastAsia="Calibri" w:hAnsi="Gadugi" w:cs="Times New Roman"/>
          <w:sz w:val="24"/>
          <w:szCs w:val="24"/>
          <w:lang w:val="es-419"/>
        </w:rPr>
        <w:t xml:space="preserve"> en sentencia del 30 de julio de 2018</w:t>
      </w:r>
      <w:r w:rsidR="00A4352A" w:rsidRPr="009F6859">
        <w:rPr>
          <w:rStyle w:val="Refdenotaalpie"/>
          <w:rFonts w:ascii="Gadugi" w:hAnsi="Gadugi"/>
          <w:sz w:val="24"/>
          <w:szCs w:val="24"/>
        </w:rPr>
        <w:footnoteReference w:id="39"/>
      </w:r>
      <w:r w:rsidRPr="009F6859">
        <w:rPr>
          <w:rFonts w:ascii="Gadugi" w:eastAsia="Calibri" w:hAnsi="Gadugi" w:cs="Times New Roman"/>
          <w:sz w:val="24"/>
          <w:szCs w:val="24"/>
          <w:lang w:val="es-419"/>
        </w:rPr>
        <w:t>, en la que se citó la sentencia SC-2506-16 de la Sala de Casación Civil de la Corte.  Incluso desde antes, la propia Corte, en sentencia del 14 de diciembre de 2012, radicado 2002-00188-01, con ponencia del Magistrado Arial Salazar Ramírez, en la que abordó otra providencia del 26 de septiembre de 2002, expediente 6878, señaló que:</w:t>
      </w:r>
    </w:p>
    <w:p w14:paraId="42AEA44A" w14:textId="77777777" w:rsidR="00EB6D03" w:rsidRPr="009F6859" w:rsidRDefault="00EB6D03" w:rsidP="009F6859">
      <w:pPr>
        <w:spacing w:after="0" w:line="276" w:lineRule="auto"/>
        <w:jc w:val="both"/>
        <w:rPr>
          <w:rFonts w:ascii="Gadugi" w:eastAsia="Calibri" w:hAnsi="Gadugi" w:cs="Times New Roman"/>
          <w:sz w:val="24"/>
          <w:szCs w:val="24"/>
          <w:lang w:val="es-419"/>
        </w:rPr>
      </w:pPr>
    </w:p>
    <w:p w14:paraId="40E18625" w14:textId="48D5980B" w:rsidR="00EB6D03" w:rsidRPr="00C55E9E" w:rsidRDefault="005B3CCF" w:rsidP="00C55E9E">
      <w:pPr>
        <w:spacing w:after="0" w:line="240" w:lineRule="auto"/>
        <w:ind w:left="426" w:right="420"/>
        <w:jc w:val="both"/>
        <w:rPr>
          <w:rFonts w:ascii="Gadugi" w:eastAsia="Calibri" w:hAnsi="Gadugi" w:cs="Times New Roman"/>
          <w:iCs/>
          <w:szCs w:val="24"/>
          <w:lang w:val="es-419"/>
        </w:rPr>
      </w:pPr>
      <w:r w:rsidRPr="00C55E9E">
        <w:rPr>
          <w:rFonts w:ascii="Gadugi" w:eastAsia="Calibri" w:hAnsi="Gadugi" w:cs="Times New Roman"/>
          <w:iCs/>
          <w:szCs w:val="24"/>
          <w:lang w:val="es-419"/>
        </w:rPr>
        <w:t>“</w:t>
      </w:r>
      <w:r w:rsidR="00EB6D03" w:rsidRPr="00C55E9E">
        <w:rPr>
          <w:rFonts w:ascii="Gadugi" w:eastAsia="Calibri" w:hAnsi="Gadugi" w:cs="Times New Roman"/>
          <w:iCs/>
          <w:szCs w:val="24"/>
          <w:lang w:val="es-419"/>
        </w:rPr>
        <w:t>Sin embargo –ha sostenido esta Corte– “cuando de asuntos técnicos se trata, no es el sentido común o las reglas de la vida los criterios que exclusivamente deben orientar la labor de búsqueda de la causa jurídica adecuada,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aquéllos que la practican– y que a fin de cuentas dan, con carácter general las pautas que ha de tener en cuenta el juez para atribuir a un antecedente la categoría jurídica de causa. En otras palabras, un dictamen pericial, un documento técnico científico o un testimonio de la misma índole, entre otras pruebas, podrán ilustrar al juez sobre las reglas técnicas que la ciencia de que se trate tenga decantadas en relación con la causa probable o cierta de la producción del daño que se investiga. Así, con base en la información suministrada, podrá el juez, ahora sí aplicando las reglas de la experiencia común y las propias de la ciencia, dilucidar con mayor margen de certeza si uno o varios antecedentes son causas o, como decían los escolásticos, meras condiciones que coadyuvan pero no ocasionan…”.</w:t>
      </w:r>
    </w:p>
    <w:p w14:paraId="26E41C6C" w14:textId="77777777" w:rsidR="00EB6D03" w:rsidRPr="009F6859" w:rsidRDefault="00EB6D03" w:rsidP="009F6859">
      <w:pPr>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 </w:t>
      </w:r>
    </w:p>
    <w:p w14:paraId="1823330E" w14:textId="29C08526" w:rsidR="00EB6D03" w:rsidRPr="009F6859" w:rsidRDefault="000C0F81" w:rsidP="009F6859">
      <w:pPr>
        <w:tabs>
          <w:tab w:val="left" w:pos="426"/>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2.10</w:t>
      </w:r>
      <w:r w:rsidR="00590C0C" w:rsidRPr="009F6859">
        <w:rPr>
          <w:rFonts w:ascii="Gadugi" w:eastAsia="Calibri" w:hAnsi="Gadugi" w:cs="Times New Roman"/>
          <w:sz w:val="24"/>
          <w:szCs w:val="24"/>
          <w:lang w:val="es-419"/>
        </w:rPr>
        <w:t>.</w:t>
      </w:r>
      <w:r w:rsidR="00EB6D03" w:rsidRPr="009F6859">
        <w:rPr>
          <w:rFonts w:ascii="Gadugi" w:eastAsia="Calibri" w:hAnsi="Gadugi" w:cs="Times New Roman"/>
          <w:sz w:val="24"/>
          <w:szCs w:val="24"/>
          <w:lang w:val="es-419"/>
        </w:rPr>
        <w:tab/>
        <w:t>De igual manera, se ha sostenido</w:t>
      </w:r>
      <w:r w:rsidR="00387E7A" w:rsidRPr="009F6859">
        <w:rPr>
          <w:rFonts w:ascii="Gadugi" w:eastAsia="Calibri" w:hAnsi="Gadugi" w:cs="Times New Roman"/>
          <w:sz w:val="24"/>
          <w:szCs w:val="24"/>
          <w:lang w:val="es-419"/>
        </w:rPr>
        <w:t xml:space="preserve"> de tiempo atrás</w:t>
      </w:r>
      <w:r w:rsidR="00A4352A" w:rsidRPr="009F6859">
        <w:rPr>
          <w:rStyle w:val="Refdenotaalpie"/>
          <w:rFonts w:ascii="Gadugi" w:hAnsi="Gadugi"/>
          <w:sz w:val="24"/>
          <w:szCs w:val="24"/>
        </w:rPr>
        <w:footnoteReference w:id="40"/>
      </w:r>
      <w:r w:rsidR="00EB6D03" w:rsidRPr="009F6859">
        <w:rPr>
          <w:rFonts w:ascii="Gadugi" w:eastAsia="Calibri" w:hAnsi="Gadugi" w:cs="Times New Roman"/>
          <w:sz w:val="24"/>
          <w:szCs w:val="24"/>
          <w:lang w:val="es-419"/>
        </w:rPr>
        <w:t xml:space="preserve"> que ni siquiera</w:t>
      </w:r>
      <w:r w:rsidR="00387E7A" w:rsidRPr="009F6859">
        <w:rPr>
          <w:rFonts w:ascii="Gadugi" w:eastAsia="Calibri" w:hAnsi="Gadugi" w:cs="Times New Roman"/>
          <w:sz w:val="24"/>
          <w:szCs w:val="24"/>
          <w:lang w:val="es-419"/>
        </w:rPr>
        <w:t xml:space="preserve">, </w:t>
      </w:r>
      <w:r w:rsidR="00EB6D03" w:rsidRPr="009F6859">
        <w:rPr>
          <w:rFonts w:ascii="Gadugi" w:eastAsia="Calibri" w:hAnsi="Gadugi" w:cs="Times New Roman"/>
          <w:sz w:val="24"/>
          <w:szCs w:val="24"/>
          <w:lang w:val="es-419"/>
        </w:rPr>
        <w:t>por regla general, la historia clínica es suficiente para acreditar la mala praxis del médico</w:t>
      </w:r>
      <w:r w:rsidR="00E34455" w:rsidRPr="009F6859">
        <w:rPr>
          <w:rFonts w:ascii="Gadugi" w:eastAsia="Calibri" w:hAnsi="Gadugi" w:cs="Times New Roman"/>
          <w:sz w:val="24"/>
          <w:szCs w:val="24"/>
          <w:lang w:val="es-419"/>
        </w:rPr>
        <w:t xml:space="preserve"> o la institución</w:t>
      </w:r>
      <w:r w:rsidR="00EB6D03" w:rsidRPr="009F6859">
        <w:rPr>
          <w:rFonts w:ascii="Gadugi" w:eastAsia="Calibri" w:hAnsi="Gadugi" w:cs="Times New Roman"/>
          <w:sz w:val="24"/>
          <w:szCs w:val="24"/>
          <w:lang w:val="es-419"/>
        </w:rPr>
        <w:t>; se necesita más que eso para establecer que lo que allí se consigna es contrario a lo que aconseja el devenir clínico para un caso concreto. Por ello, retomando la importancia de la prueba técnica, y haciendo alusión a la historia clínica, dijo también la máxima Corporación, en la sentencia SC003-2018, del 12 de enero de ese año, con ponencia del Magistrado Luis Armando Tolosa Villabona, que:</w:t>
      </w:r>
    </w:p>
    <w:p w14:paraId="196A4F12" w14:textId="77777777" w:rsidR="00EB6D03" w:rsidRPr="009F6859" w:rsidRDefault="00EB6D03" w:rsidP="009F6859">
      <w:pPr>
        <w:spacing w:after="0" w:line="276" w:lineRule="auto"/>
        <w:jc w:val="both"/>
        <w:rPr>
          <w:rFonts w:ascii="Gadugi" w:eastAsia="Calibri" w:hAnsi="Gadugi" w:cs="Times New Roman"/>
          <w:sz w:val="24"/>
          <w:szCs w:val="24"/>
          <w:lang w:val="es-419"/>
        </w:rPr>
      </w:pPr>
    </w:p>
    <w:p w14:paraId="2DFB5D47" w14:textId="77777777" w:rsidR="00BD132C" w:rsidRPr="0082671E" w:rsidRDefault="005B3CCF" w:rsidP="0082671E">
      <w:pPr>
        <w:spacing w:after="0" w:line="240" w:lineRule="auto"/>
        <w:ind w:left="426" w:right="420"/>
        <w:jc w:val="both"/>
        <w:rPr>
          <w:rFonts w:ascii="Gadugi" w:eastAsia="Calibri" w:hAnsi="Gadugi" w:cs="Times New Roman"/>
          <w:szCs w:val="24"/>
          <w:lang w:val="es-419"/>
        </w:rPr>
      </w:pPr>
      <w:r w:rsidRPr="0082671E">
        <w:rPr>
          <w:rFonts w:ascii="Gadugi" w:eastAsia="Calibri" w:hAnsi="Gadugi" w:cs="Times New Roman"/>
          <w:szCs w:val="24"/>
          <w:lang w:val="es-419"/>
        </w:rPr>
        <w:t>“</w:t>
      </w:r>
      <w:r w:rsidR="00EB6D03" w:rsidRPr="0082671E">
        <w:rPr>
          <w:rFonts w:ascii="Gadugi" w:eastAsia="Calibri" w:hAnsi="Gadugi" w:cs="Times New Roman"/>
          <w:szCs w:val="24"/>
          <w:lang w:val="es-419"/>
        </w:rPr>
        <w:t>No obstante, denunciándose mal apreciada la prueba documental, únicamente, contentiva de las historias clínicas, de las fórmulas médicas y de la guía de manejo de eventos de cefalea, debe seguirse, a tono con lo señalado por el ad-</w:t>
      </w:r>
      <w:proofErr w:type="spellStart"/>
      <w:r w:rsidR="00EB6D03" w:rsidRPr="0082671E">
        <w:rPr>
          <w:rFonts w:ascii="Gadugi" w:eastAsia="Calibri" w:hAnsi="Gadugi" w:cs="Times New Roman"/>
          <w:szCs w:val="24"/>
          <w:lang w:val="es-419"/>
        </w:rPr>
        <w:t>quem</w:t>
      </w:r>
      <w:proofErr w:type="spellEnd"/>
      <w:r w:rsidR="00EB6D03" w:rsidRPr="0082671E">
        <w:rPr>
          <w:rFonts w:ascii="Gadugi" w:eastAsia="Calibri" w:hAnsi="Gadugi" w:cs="Times New Roman"/>
          <w:szCs w:val="24"/>
          <w:lang w:val="es-419"/>
        </w:rPr>
        <w:t>, que en el proceso efectivamente no existía ningún medio distinto, dirigido a determinar si la atención médica brindada a la señora Blanca Margarita Rojas Carreño, durante su paso por las entidades demandadas, el 21 y 22 de mayo de 2003, estuvo conforme a la lex artis.</w:t>
      </w:r>
    </w:p>
    <w:p w14:paraId="7FD34B6F" w14:textId="77777777" w:rsidR="00BD132C" w:rsidRPr="0082671E" w:rsidRDefault="00BD132C" w:rsidP="0082671E">
      <w:pPr>
        <w:spacing w:after="0" w:line="240" w:lineRule="auto"/>
        <w:ind w:left="426" w:right="420"/>
        <w:jc w:val="both"/>
        <w:rPr>
          <w:rFonts w:ascii="Gadugi" w:eastAsia="Calibri" w:hAnsi="Gadugi" w:cs="Times New Roman"/>
          <w:szCs w:val="24"/>
          <w:lang w:val="es-419"/>
        </w:rPr>
      </w:pPr>
    </w:p>
    <w:p w14:paraId="1D444282" w14:textId="77777777" w:rsidR="00BD132C" w:rsidRPr="0082671E" w:rsidRDefault="00BD132C" w:rsidP="0082671E">
      <w:pPr>
        <w:pStyle w:val="Textoindependiente"/>
        <w:ind w:left="426" w:right="418"/>
        <w:contextualSpacing/>
        <w:jc w:val="both"/>
        <w:rPr>
          <w:sz w:val="22"/>
          <w:szCs w:val="24"/>
          <w:lang w:val="es-CO"/>
        </w:rPr>
      </w:pPr>
      <w:r w:rsidRPr="0082671E">
        <w:rPr>
          <w:sz w:val="22"/>
          <w:szCs w:val="24"/>
          <w:lang w:val="es-CO"/>
        </w:rPr>
        <w:t xml:space="preserve">En otras palabras, la historia clínica, en sí misma, no revela los errores médicos imputados a los demandados. Esto, desde luego, no significa la postulación de una tarifa probatoria en materia de responsabilidad médica o de cualquier otra disciplina objeto de juzgamiento. Tratándose de asuntos médicos, cuyos conocimientos son especializados, se requiere esencialmente que las pruebas de esa modalidad demuestren la mala </w:t>
      </w:r>
      <w:r w:rsidRPr="0082671E">
        <w:rPr>
          <w:i/>
          <w:sz w:val="22"/>
          <w:szCs w:val="24"/>
          <w:lang w:val="es-CO"/>
        </w:rPr>
        <w:t>praxis</w:t>
      </w:r>
      <w:r w:rsidRPr="0082671E">
        <w:rPr>
          <w:sz w:val="22"/>
          <w:szCs w:val="24"/>
          <w:lang w:val="es-CO"/>
        </w:rPr>
        <w:t>.</w:t>
      </w:r>
    </w:p>
    <w:p w14:paraId="5EB840E7" w14:textId="77777777" w:rsidR="00BD132C" w:rsidRPr="0082671E" w:rsidRDefault="00BD132C" w:rsidP="0082671E">
      <w:pPr>
        <w:pStyle w:val="Textoindependiente"/>
        <w:ind w:left="426" w:right="418"/>
        <w:contextualSpacing/>
        <w:jc w:val="both"/>
        <w:rPr>
          <w:sz w:val="22"/>
          <w:szCs w:val="24"/>
          <w:lang w:val="es-CO"/>
        </w:rPr>
      </w:pPr>
    </w:p>
    <w:p w14:paraId="5D9EC94A" w14:textId="77777777" w:rsidR="00BD132C" w:rsidRPr="0082671E" w:rsidRDefault="00BD132C" w:rsidP="0082671E">
      <w:pPr>
        <w:pStyle w:val="Textoindependiente"/>
        <w:ind w:left="426" w:right="418"/>
        <w:contextualSpacing/>
        <w:jc w:val="both"/>
        <w:rPr>
          <w:sz w:val="22"/>
          <w:szCs w:val="24"/>
          <w:lang w:val="es-CO"/>
        </w:rPr>
      </w:pPr>
      <w:r w:rsidRPr="0082671E">
        <w:rPr>
          <w:sz w:val="22"/>
          <w:szCs w:val="24"/>
          <w:lang w:val="es-CO"/>
        </w:rPr>
        <w:t>Existiendo en la materia libertad probatoria, al ser el juez ajeno al conocimiento médico, la Corte tiene sentado que “</w:t>
      </w:r>
      <w:r w:rsidRPr="0082671E">
        <w:rPr>
          <w:i/>
          <w:sz w:val="22"/>
          <w:szCs w:val="24"/>
          <w:lang w:val="es-CO"/>
        </w:rPr>
        <w:t>(…) un dictamen pericial, un documento técnico científico o un testimonio de la misma índole, entre otras pruebas, podrán ilustrar (…) sobre las reglas (…) que la ciencia de que se trate tenga decantadas en relación con la causa probable o cierta de la producción del daño que se investiga (…)</w:t>
      </w:r>
      <w:r w:rsidRPr="0082671E">
        <w:rPr>
          <w:sz w:val="22"/>
          <w:szCs w:val="24"/>
          <w:lang w:val="es-CO"/>
        </w:rPr>
        <w:t>” (CSJ. Civil. Sentencia 183 de 26 de septiembre de 2002, expediente 6878).</w:t>
      </w:r>
    </w:p>
    <w:p w14:paraId="2F9D00E3" w14:textId="77777777" w:rsidR="00BD132C" w:rsidRPr="0082671E" w:rsidRDefault="00BD132C" w:rsidP="0082671E">
      <w:pPr>
        <w:pStyle w:val="Textoindependiente"/>
        <w:spacing w:before="1"/>
        <w:ind w:left="426" w:right="418"/>
        <w:contextualSpacing/>
        <w:jc w:val="both"/>
        <w:rPr>
          <w:sz w:val="22"/>
          <w:szCs w:val="24"/>
          <w:lang w:val="es-CO"/>
        </w:rPr>
      </w:pPr>
    </w:p>
    <w:p w14:paraId="1E6814BF" w14:textId="3537D89C" w:rsidR="00EB6D03" w:rsidRPr="0082671E" w:rsidRDefault="00BD132C" w:rsidP="0082671E">
      <w:pPr>
        <w:pStyle w:val="Textoindependiente"/>
        <w:ind w:left="426" w:right="418"/>
        <w:contextualSpacing/>
        <w:jc w:val="both"/>
        <w:rPr>
          <w:i/>
          <w:sz w:val="22"/>
          <w:szCs w:val="24"/>
          <w:lang w:val="es-CO"/>
        </w:rPr>
      </w:pPr>
      <w:r w:rsidRPr="0082671E">
        <w:rPr>
          <w:iCs/>
          <w:sz w:val="22"/>
          <w:szCs w:val="24"/>
          <w:lang w:val="es-CO"/>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en orden a determinar, según se explicó en el mismo antecedente inmediatamente citado,</w:t>
      </w:r>
      <w:r w:rsidRPr="0082671E">
        <w:rPr>
          <w:i/>
          <w:sz w:val="22"/>
          <w:szCs w:val="24"/>
          <w:lang w:val="es-CO"/>
        </w:rPr>
        <w:t xml:space="preserve"> “(…) si lo que se estaba haciendo en la clínica era o no un tratamiento adecuado y pertinente según las reglas del arte (…)</w:t>
      </w:r>
      <w:r w:rsidR="005B3CCF" w:rsidRPr="0082671E">
        <w:rPr>
          <w:i/>
          <w:sz w:val="22"/>
          <w:szCs w:val="24"/>
          <w:lang w:val="es-CO"/>
        </w:rPr>
        <w:t>”</w:t>
      </w:r>
    </w:p>
    <w:p w14:paraId="19F0A780" w14:textId="77777777" w:rsidR="00EB6D03" w:rsidRPr="009F6859" w:rsidRDefault="00EB6D03" w:rsidP="009F6859">
      <w:pPr>
        <w:pStyle w:val="Textoindependiente"/>
        <w:spacing w:line="276" w:lineRule="auto"/>
        <w:ind w:left="426" w:right="418"/>
        <w:contextualSpacing/>
        <w:jc w:val="both"/>
        <w:rPr>
          <w:i/>
          <w:sz w:val="24"/>
          <w:szCs w:val="24"/>
          <w:lang w:val="es-CO"/>
        </w:rPr>
      </w:pPr>
    </w:p>
    <w:p w14:paraId="2452B58A" w14:textId="3FED65B7" w:rsidR="00EB6D03" w:rsidRPr="009F6859" w:rsidRDefault="00EB6D03" w:rsidP="009F6859">
      <w:pPr>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Así estaba </w:t>
      </w:r>
      <w:r w:rsidR="008A6F46" w:rsidRPr="009F6859">
        <w:rPr>
          <w:rFonts w:ascii="Gadugi" w:eastAsia="Calibri" w:hAnsi="Gadugi" w:cs="Times New Roman"/>
          <w:sz w:val="24"/>
          <w:szCs w:val="24"/>
          <w:lang w:val="es-419"/>
        </w:rPr>
        <w:t>sentado</w:t>
      </w:r>
      <w:r w:rsidRPr="009F6859">
        <w:rPr>
          <w:rFonts w:ascii="Gadugi" w:eastAsia="Calibri" w:hAnsi="Gadugi" w:cs="Times New Roman"/>
          <w:sz w:val="24"/>
          <w:szCs w:val="24"/>
          <w:lang w:val="es-419"/>
        </w:rPr>
        <w:t xml:space="preserve"> ya en otras ocasiones, como en las sentencias SC-2506-2016 y SC21828 de 2017.</w:t>
      </w:r>
    </w:p>
    <w:p w14:paraId="140B4467" w14:textId="77777777" w:rsidR="00EB6D03" w:rsidRPr="009F6859" w:rsidRDefault="00EB6D03" w:rsidP="009F6859">
      <w:pPr>
        <w:spacing w:after="0" w:line="276" w:lineRule="auto"/>
        <w:jc w:val="both"/>
        <w:rPr>
          <w:rFonts w:ascii="Gadugi" w:eastAsia="Calibri" w:hAnsi="Gadugi" w:cs="Times New Roman"/>
          <w:sz w:val="24"/>
          <w:szCs w:val="24"/>
          <w:lang w:val="es-419"/>
        </w:rPr>
      </w:pPr>
    </w:p>
    <w:p w14:paraId="7B591421" w14:textId="24035780" w:rsidR="007D708D" w:rsidRPr="009F6859" w:rsidRDefault="000C0F81" w:rsidP="009F6859">
      <w:pPr>
        <w:spacing w:after="0" w:line="276" w:lineRule="auto"/>
        <w:jc w:val="both"/>
        <w:rPr>
          <w:rFonts w:ascii="Gadugi" w:hAnsi="Gadugi"/>
          <w:i/>
          <w:iCs/>
          <w:sz w:val="24"/>
          <w:szCs w:val="24"/>
        </w:rPr>
      </w:pPr>
      <w:r w:rsidRPr="009F6859">
        <w:rPr>
          <w:rFonts w:ascii="Gadugi" w:eastAsia="Calibri" w:hAnsi="Gadugi" w:cs="Times New Roman"/>
          <w:sz w:val="24"/>
          <w:szCs w:val="24"/>
          <w:lang w:val="es-419"/>
        </w:rPr>
        <w:t>2.11</w:t>
      </w:r>
      <w:r w:rsidR="00590C0C" w:rsidRPr="009F6859">
        <w:rPr>
          <w:rFonts w:ascii="Gadugi" w:eastAsia="Calibri" w:hAnsi="Gadugi" w:cs="Times New Roman"/>
          <w:sz w:val="24"/>
          <w:szCs w:val="24"/>
          <w:lang w:val="es-419"/>
        </w:rPr>
        <w:t>.</w:t>
      </w:r>
      <w:r w:rsidRPr="009F6859">
        <w:rPr>
          <w:rFonts w:ascii="Gadugi" w:hAnsi="Gadugi"/>
          <w:sz w:val="24"/>
          <w:szCs w:val="24"/>
        </w:rPr>
        <w:tab/>
      </w:r>
      <w:r w:rsidR="00E72E72" w:rsidRPr="009F6859">
        <w:rPr>
          <w:rFonts w:ascii="Gadugi" w:hAnsi="Gadugi"/>
          <w:sz w:val="24"/>
          <w:szCs w:val="24"/>
        </w:rPr>
        <w:t>Descendiendo al asunto que nos atañe, se recuerda brevemente que el Juzgado adujo, como eje central de su decisión, que “</w:t>
      </w:r>
      <w:r w:rsidR="007D708D" w:rsidRPr="00C55E9E">
        <w:rPr>
          <w:rFonts w:ascii="Gadugi" w:hAnsi="Gadugi"/>
          <w:i/>
          <w:iCs/>
          <w:szCs w:val="24"/>
        </w:rPr>
        <w:t>no se probó la conducta culposa del personal médico de la Clínica Risaralda</w:t>
      </w:r>
      <w:r w:rsidR="005F18BD" w:rsidRPr="00C55E9E">
        <w:rPr>
          <w:rFonts w:ascii="Gadugi" w:hAnsi="Gadugi"/>
          <w:i/>
          <w:iCs/>
          <w:szCs w:val="24"/>
        </w:rPr>
        <w:t xml:space="preserve"> (…) cuando el asunto requiere de conocimientos científicos o técnicos hay que acudirse a las reglas particulares de la disciplina y en el caso de estudio no aparece prueba de que el procedimiento adelantado por el personal de la IPS Clínica Risaralda no fuera el protocolo que debía seguirse para este tipo de pacientes, p</w:t>
      </w:r>
      <w:r w:rsidR="00136E7C" w:rsidRPr="00C55E9E">
        <w:rPr>
          <w:rFonts w:ascii="Gadugi" w:hAnsi="Gadugi"/>
          <w:i/>
          <w:iCs/>
          <w:szCs w:val="24"/>
        </w:rPr>
        <w:t>e</w:t>
      </w:r>
      <w:r w:rsidR="005F18BD" w:rsidRPr="00C55E9E">
        <w:rPr>
          <w:rFonts w:ascii="Gadugi" w:hAnsi="Gadugi"/>
          <w:i/>
          <w:iCs/>
          <w:szCs w:val="24"/>
        </w:rPr>
        <w:t>r</w:t>
      </w:r>
      <w:r w:rsidR="00136E7C" w:rsidRPr="00C55E9E">
        <w:rPr>
          <w:rFonts w:ascii="Gadugi" w:hAnsi="Gadugi"/>
          <w:i/>
          <w:iCs/>
          <w:szCs w:val="24"/>
        </w:rPr>
        <w:t>o</w:t>
      </w:r>
      <w:r w:rsidR="005F18BD" w:rsidRPr="00C55E9E">
        <w:rPr>
          <w:rFonts w:ascii="Gadugi" w:hAnsi="Gadugi"/>
          <w:i/>
          <w:iCs/>
          <w:szCs w:val="24"/>
        </w:rPr>
        <w:t xml:space="preserve"> el expediente adolece de testimonios técnicos</w:t>
      </w:r>
      <w:r w:rsidR="00136E7C" w:rsidRPr="00C55E9E">
        <w:rPr>
          <w:rFonts w:ascii="Gadugi" w:hAnsi="Gadugi"/>
          <w:i/>
          <w:iCs/>
          <w:szCs w:val="24"/>
        </w:rPr>
        <w:t>,</w:t>
      </w:r>
      <w:r w:rsidR="005F18BD" w:rsidRPr="00C55E9E">
        <w:rPr>
          <w:rFonts w:ascii="Gadugi" w:hAnsi="Gadugi"/>
          <w:i/>
          <w:iCs/>
          <w:szCs w:val="24"/>
        </w:rPr>
        <w:t xml:space="preserve"> de dictámenes periciales y en materia científica esas son pruebas determinantes y se acuden a ella para que un tercero imparcial ilustre al juez sobre las condiciones y determine el procedimiento correcto que debió realizarse, que determine si la atención brindada a la paciente fue errada, negligente, inoportuna y descomedida y que por ello se desencadenó el fallecimiento de M</w:t>
      </w:r>
      <w:r w:rsidR="00B11C77" w:rsidRPr="00C55E9E">
        <w:rPr>
          <w:rFonts w:ascii="Gadugi" w:hAnsi="Gadugi"/>
          <w:i/>
          <w:iCs/>
          <w:szCs w:val="24"/>
        </w:rPr>
        <w:t>E</w:t>
      </w:r>
      <w:r w:rsidR="00405446" w:rsidRPr="00C55E9E">
        <w:rPr>
          <w:rFonts w:ascii="Gadugi" w:hAnsi="Gadugi"/>
          <w:i/>
          <w:iCs/>
          <w:sz w:val="24"/>
          <w:szCs w:val="24"/>
        </w:rPr>
        <w:t>”</w:t>
      </w:r>
      <w:r w:rsidR="00387E7A" w:rsidRPr="00C55E9E">
        <w:rPr>
          <w:rFonts w:ascii="Gadugi" w:hAnsi="Gadugi"/>
          <w:i/>
          <w:iCs/>
          <w:sz w:val="24"/>
          <w:szCs w:val="24"/>
        </w:rPr>
        <w:t xml:space="preserve">. </w:t>
      </w:r>
      <w:r w:rsidR="00387E7A" w:rsidRPr="00C55E9E">
        <w:rPr>
          <w:rFonts w:ascii="Gadugi" w:hAnsi="Gadugi"/>
          <w:iCs/>
          <w:sz w:val="24"/>
          <w:szCs w:val="24"/>
        </w:rPr>
        <w:t xml:space="preserve">Luego sostuvo que </w:t>
      </w:r>
      <w:r w:rsidR="00C62FFF" w:rsidRPr="00C55E9E">
        <w:rPr>
          <w:rFonts w:ascii="Gadugi" w:hAnsi="Gadugi"/>
          <w:i/>
          <w:iCs/>
          <w:sz w:val="24"/>
          <w:szCs w:val="24"/>
        </w:rPr>
        <w:t>“</w:t>
      </w:r>
      <w:r w:rsidR="00C62FFF" w:rsidRPr="00C55E9E">
        <w:rPr>
          <w:rFonts w:ascii="Gadugi" w:hAnsi="Gadugi"/>
          <w:i/>
          <w:iCs/>
          <w:szCs w:val="24"/>
        </w:rPr>
        <w:t>con tan escaso material probatorio</w:t>
      </w:r>
      <w:r w:rsidR="00136E7C" w:rsidRPr="00C55E9E">
        <w:rPr>
          <w:rFonts w:ascii="Gadugi" w:hAnsi="Gadugi"/>
          <w:i/>
          <w:iCs/>
          <w:szCs w:val="24"/>
        </w:rPr>
        <w:t>,</w:t>
      </w:r>
      <w:r w:rsidR="00C62FFF" w:rsidRPr="00C55E9E">
        <w:rPr>
          <w:rFonts w:ascii="Gadugi" w:hAnsi="Gadugi"/>
          <w:i/>
          <w:iCs/>
          <w:szCs w:val="24"/>
        </w:rPr>
        <w:t xml:space="preserve"> que solo se cuente con historia clínica, prueba que result</w:t>
      </w:r>
      <w:r w:rsidR="00136E7C" w:rsidRPr="00C55E9E">
        <w:rPr>
          <w:rFonts w:ascii="Gadugi" w:hAnsi="Gadugi"/>
          <w:i/>
          <w:iCs/>
          <w:szCs w:val="24"/>
        </w:rPr>
        <w:t>a</w:t>
      </w:r>
      <w:r w:rsidR="00C62FFF" w:rsidRPr="00C55E9E">
        <w:rPr>
          <w:rFonts w:ascii="Gadugi" w:hAnsi="Gadugi"/>
          <w:i/>
          <w:iCs/>
          <w:szCs w:val="24"/>
        </w:rPr>
        <w:t xml:space="preserve"> insuficiente para determinar la responsabilidad de los demandados</w:t>
      </w:r>
      <w:r w:rsidR="00136E7C" w:rsidRPr="00C55E9E">
        <w:rPr>
          <w:rFonts w:ascii="Gadugi" w:hAnsi="Gadugi"/>
          <w:i/>
          <w:iCs/>
          <w:szCs w:val="24"/>
        </w:rPr>
        <w:t>,</w:t>
      </w:r>
      <w:r w:rsidR="00C62FFF" w:rsidRPr="00C55E9E">
        <w:rPr>
          <w:rFonts w:ascii="Gadugi" w:hAnsi="Gadugi"/>
          <w:i/>
          <w:iCs/>
          <w:szCs w:val="24"/>
        </w:rPr>
        <w:t xml:space="preserve"> de ella se extrae que la paciente requería de un kit ligador de </w:t>
      </w:r>
      <w:r w:rsidR="001A7D57" w:rsidRPr="00C55E9E">
        <w:rPr>
          <w:rFonts w:ascii="Gadugi" w:hAnsi="Gadugi"/>
          <w:i/>
          <w:iCs/>
          <w:szCs w:val="24"/>
        </w:rPr>
        <w:t xml:space="preserve">varices </w:t>
      </w:r>
      <w:r w:rsidR="00C62FFF" w:rsidRPr="00C55E9E">
        <w:rPr>
          <w:rFonts w:ascii="Gadugi" w:hAnsi="Gadugi"/>
          <w:i/>
          <w:iCs/>
          <w:szCs w:val="24"/>
        </w:rPr>
        <w:t>elásticas que al momento de su fallecimiento no le había sido suministrado</w:t>
      </w:r>
      <w:r w:rsidR="001A7D57" w:rsidRPr="00C55E9E">
        <w:rPr>
          <w:rFonts w:ascii="Gadugi" w:hAnsi="Gadugi"/>
          <w:i/>
          <w:iCs/>
          <w:szCs w:val="24"/>
        </w:rPr>
        <w:t>,</w:t>
      </w:r>
      <w:r w:rsidR="00C62FFF" w:rsidRPr="00C55E9E">
        <w:rPr>
          <w:rFonts w:ascii="Gadugi" w:hAnsi="Gadugi"/>
          <w:i/>
          <w:iCs/>
          <w:szCs w:val="24"/>
        </w:rPr>
        <w:t xml:space="preserve"> pero además se requiere el conocimiento del experto en tal materia que indique al suscrito juzgador si era vital el suministro del kit</w:t>
      </w:r>
      <w:r w:rsidR="00136E7C" w:rsidRPr="00C55E9E">
        <w:rPr>
          <w:rFonts w:ascii="Gadugi" w:hAnsi="Gadugi"/>
          <w:i/>
          <w:iCs/>
          <w:szCs w:val="24"/>
        </w:rPr>
        <w:t>,</w:t>
      </w:r>
      <w:r w:rsidR="00C62FFF" w:rsidRPr="00C55E9E">
        <w:rPr>
          <w:rFonts w:ascii="Gadugi" w:hAnsi="Gadugi"/>
          <w:i/>
          <w:iCs/>
          <w:szCs w:val="24"/>
        </w:rPr>
        <w:t xml:space="preserve"> si el mismo pudo ser remplazado por otro</w:t>
      </w:r>
      <w:r w:rsidR="00136E7C" w:rsidRPr="00C55E9E">
        <w:rPr>
          <w:rFonts w:ascii="Gadugi" w:hAnsi="Gadugi"/>
          <w:i/>
          <w:iCs/>
          <w:szCs w:val="24"/>
        </w:rPr>
        <w:t>,</w:t>
      </w:r>
      <w:r w:rsidR="00C62FFF" w:rsidRPr="00C55E9E">
        <w:rPr>
          <w:rFonts w:ascii="Gadugi" w:hAnsi="Gadugi"/>
          <w:i/>
          <w:iCs/>
          <w:szCs w:val="24"/>
        </w:rPr>
        <w:t xml:space="preserve"> </w:t>
      </w:r>
      <w:r w:rsidR="00C62FFF" w:rsidRPr="00C55E9E">
        <w:rPr>
          <w:rFonts w:ascii="Gadugi" w:hAnsi="Gadugi"/>
          <w:i/>
          <w:iCs/>
          <w:szCs w:val="24"/>
        </w:rPr>
        <w:lastRenderedPageBreak/>
        <w:t>cual ha debido ser su atención</w:t>
      </w:r>
      <w:r w:rsidR="00136E7C" w:rsidRPr="00C55E9E">
        <w:rPr>
          <w:rFonts w:ascii="Gadugi" w:hAnsi="Gadugi"/>
          <w:i/>
          <w:iCs/>
          <w:szCs w:val="24"/>
        </w:rPr>
        <w:t>,</w:t>
      </w:r>
      <w:r w:rsidR="00C62FFF" w:rsidRPr="00C55E9E">
        <w:rPr>
          <w:rFonts w:ascii="Gadugi" w:hAnsi="Gadugi"/>
          <w:i/>
          <w:iCs/>
          <w:szCs w:val="24"/>
        </w:rPr>
        <w:t xml:space="preserve"> si existió mora o negligencia</w:t>
      </w:r>
      <w:r w:rsidR="00136E7C" w:rsidRPr="00C55E9E">
        <w:rPr>
          <w:rFonts w:ascii="Gadugi" w:hAnsi="Gadugi"/>
          <w:i/>
          <w:iCs/>
          <w:szCs w:val="24"/>
        </w:rPr>
        <w:t>,</w:t>
      </w:r>
      <w:r w:rsidR="00C62FFF" w:rsidRPr="00C55E9E">
        <w:rPr>
          <w:rFonts w:ascii="Gadugi" w:hAnsi="Gadugi"/>
          <w:i/>
          <w:iCs/>
          <w:szCs w:val="24"/>
        </w:rPr>
        <w:t xml:space="preserve"> para así tener el juez el conocimiento necesario para determinar si el personal médico incurrió en una mala práctica</w:t>
      </w:r>
      <w:r w:rsidR="00136E7C" w:rsidRPr="00C55E9E">
        <w:rPr>
          <w:rFonts w:ascii="Gadugi" w:hAnsi="Gadugi"/>
          <w:i/>
          <w:iCs/>
          <w:szCs w:val="24"/>
        </w:rPr>
        <w:t>,</w:t>
      </w:r>
      <w:r w:rsidR="00C62FFF" w:rsidRPr="00C55E9E">
        <w:rPr>
          <w:rFonts w:ascii="Gadugi" w:hAnsi="Gadugi"/>
          <w:i/>
          <w:iCs/>
          <w:szCs w:val="24"/>
        </w:rPr>
        <w:t xml:space="preserve"> cual ha de haber sido el protocolo a seguir</w:t>
      </w:r>
      <w:r w:rsidR="00136E7C" w:rsidRPr="00C55E9E">
        <w:rPr>
          <w:rFonts w:ascii="Gadugi" w:hAnsi="Gadugi"/>
          <w:i/>
          <w:iCs/>
          <w:szCs w:val="24"/>
        </w:rPr>
        <w:t>,</w:t>
      </w:r>
      <w:r w:rsidR="00C62FFF" w:rsidRPr="00C55E9E">
        <w:rPr>
          <w:rFonts w:ascii="Gadugi" w:hAnsi="Gadugi"/>
          <w:i/>
          <w:iCs/>
          <w:szCs w:val="24"/>
        </w:rPr>
        <w:t xml:space="preserve"> si el no suministro del kit fue la causa del fallecimiento de </w:t>
      </w:r>
      <w:r w:rsidR="001A7D57" w:rsidRPr="00C55E9E">
        <w:rPr>
          <w:rFonts w:ascii="Gadugi" w:hAnsi="Gadugi"/>
          <w:i/>
          <w:iCs/>
          <w:szCs w:val="24"/>
        </w:rPr>
        <w:t>M</w:t>
      </w:r>
      <w:r w:rsidR="00B11C77" w:rsidRPr="00C55E9E">
        <w:rPr>
          <w:rFonts w:ascii="Gadugi" w:hAnsi="Gadugi"/>
          <w:i/>
          <w:iCs/>
          <w:szCs w:val="24"/>
        </w:rPr>
        <w:t>E</w:t>
      </w:r>
      <w:r w:rsidR="00BF38EA" w:rsidRPr="00C55E9E">
        <w:rPr>
          <w:rFonts w:ascii="Gadugi" w:hAnsi="Gadugi"/>
          <w:i/>
          <w:iCs/>
          <w:szCs w:val="24"/>
        </w:rPr>
        <w:t xml:space="preserve"> (…) el fallador no tiene las bases técnicas ni científicas para dilucidar sin temor a equivocación la existencia o no de responsabilidad del personal médico que atendió a la señora H</w:t>
      </w:r>
      <w:r w:rsidR="00B11C77" w:rsidRPr="00C55E9E">
        <w:rPr>
          <w:rFonts w:ascii="Gadugi" w:hAnsi="Gadugi"/>
          <w:i/>
          <w:iCs/>
          <w:szCs w:val="24"/>
        </w:rPr>
        <w:t>S</w:t>
      </w:r>
      <w:r w:rsidR="00C62FFF" w:rsidRPr="009F6859">
        <w:rPr>
          <w:rFonts w:ascii="Gadugi" w:hAnsi="Gadugi"/>
          <w:i/>
          <w:iCs/>
          <w:sz w:val="24"/>
          <w:szCs w:val="24"/>
        </w:rPr>
        <w:t>”</w:t>
      </w:r>
      <w:r w:rsidR="00C55E9E">
        <w:rPr>
          <w:rFonts w:ascii="Gadugi" w:hAnsi="Gadugi"/>
          <w:i/>
          <w:iCs/>
          <w:sz w:val="24"/>
          <w:szCs w:val="24"/>
        </w:rPr>
        <w:t>.</w:t>
      </w:r>
    </w:p>
    <w:p w14:paraId="5C9F4308" w14:textId="5BC7EA36" w:rsidR="005F18BD" w:rsidRPr="009F6859" w:rsidRDefault="005F18BD" w:rsidP="009F6859">
      <w:pPr>
        <w:tabs>
          <w:tab w:val="left" w:pos="2410"/>
        </w:tabs>
        <w:spacing w:after="0" w:line="276" w:lineRule="auto"/>
        <w:jc w:val="both"/>
        <w:rPr>
          <w:rFonts w:ascii="Gadugi" w:hAnsi="Gadugi"/>
          <w:sz w:val="24"/>
          <w:szCs w:val="24"/>
        </w:rPr>
      </w:pPr>
    </w:p>
    <w:p w14:paraId="77F1B582" w14:textId="7109210F" w:rsidR="000B400A" w:rsidRPr="009F6859" w:rsidRDefault="00755983" w:rsidP="009F6859">
      <w:pPr>
        <w:tabs>
          <w:tab w:val="left" w:pos="2410"/>
        </w:tabs>
        <w:spacing w:after="0" w:line="276" w:lineRule="auto"/>
        <w:jc w:val="both"/>
        <w:rPr>
          <w:rFonts w:ascii="Gadugi" w:hAnsi="Gadugi"/>
          <w:sz w:val="24"/>
          <w:szCs w:val="24"/>
        </w:rPr>
      </w:pPr>
      <w:r w:rsidRPr="009F6859">
        <w:rPr>
          <w:rFonts w:ascii="Gadugi" w:hAnsi="Gadugi"/>
          <w:sz w:val="24"/>
          <w:szCs w:val="24"/>
        </w:rPr>
        <w:t xml:space="preserve">2.12. </w:t>
      </w:r>
      <w:r w:rsidR="000B400A" w:rsidRPr="009F6859">
        <w:rPr>
          <w:rFonts w:ascii="Gadugi" w:hAnsi="Gadugi"/>
          <w:sz w:val="24"/>
          <w:szCs w:val="24"/>
        </w:rPr>
        <w:t>Como puede observarse, comenzó hablando del elemento subjetivo (culpa) que no lo halló acreditado</w:t>
      </w:r>
      <w:r w:rsidR="00CC6AC8" w:rsidRPr="009F6859">
        <w:rPr>
          <w:rFonts w:ascii="Gadugi" w:hAnsi="Gadugi"/>
          <w:sz w:val="24"/>
          <w:szCs w:val="24"/>
        </w:rPr>
        <w:t>,</w:t>
      </w:r>
      <w:r w:rsidR="000B400A" w:rsidRPr="009F6859">
        <w:rPr>
          <w:rFonts w:ascii="Gadugi" w:hAnsi="Gadugi"/>
          <w:sz w:val="24"/>
          <w:szCs w:val="24"/>
        </w:rPr>
        <w:t xml:space="preserve"> para terminar</w:t>
      </w:r>
      <w:r w:rsidR="0061545D" w:rsidRPr="009F6859">
        <w:rPr>
          <w:rFonts w:ascii="Gadugi" w:hAnsi="Gadugi"/>
          <w:sz w:val="24"/>
          <w:szCs w:val="24"/>
        </w:rPr>
        <w:t xml:space="preserve"> </w:t>
      </w:r>
      <w:r w:rsidR="000B400A" w:rsidRPr="009F6859">
        <w:rPr>
          <w:rFonts w:ascii="Gadugi" w:hAnsi="Gadugi"/>
          <w:sz w:val="24"/>
          <w:szCs w:val="24"/>
        </w:rPr>
        <w:t xml:space="preserve">diciendo que </w:t>
      </w:r>
      <w:r w:rsidRPr="009F6859">
        <w:rPr>
          <w:rFonts w:ascii="Gadugi" w:hAnsi="Gadugi"/>
          <w:sz w:val="24"/>
          <w:szCs w:val="24"/>
        </w:rPr>
        <w:t>a</w:t>
      </w:r>
      <w:r w:rsidR="000B400A" w:rsidRPr="009F6859">
        <w:rPr>
          <w:rFonts w:ascii="Gadugi" w:hAnsi="Gadugi"/>
          <w:sz w:val="24"/>
          <w:szCs w:val="24"/>
        </w:rPr>
        <w:t xml:space="preserve">unque la historia clínica enseña que la paciente requería un kit ligador, se requería de conocimientos técnicos para establecer si su suministro era vital, si se pudo reemplazar por otro elemento y, en últimas, si la falta de ese suministro fue la causa del fallecimiento de ME, es decir, que descendió al elemento causal. </w:t>
      </w:r>
    </w:p>
    <w:p w14:paraId="23AC0DBA" w14:textId="1A976FDD" w:rsidR="000B400A" w:rsidRPr="009F6859" w:rsidRDefault="000B400A" w:rsidP="009F6859">
      <w:pPr>
        <w:tabs>
          <w:tab w:val="left" w:pos="2410"/>
        </w:tabs>
        <w:spacing w:after="0" w:line="276" w:lineRule="auto"/>
        <w:jc w:val="both"/>
        <w:rPr>
          <w:rFonts w:ascii="Gadugi" w:hAnsi="Gadugi"/>
          <w:sz w:val="24"/>
          <w:szCs w:val="24"/>
        </w:rPr>
      </w:pPr>
    </w:p>
    <w:p w14:paraId="49B31404" w14:textId="7903E000" w:rsidR="00755983" w:rsidRPr="009F6859" w:rsidRDefault="0061545D" w:rsidP="009F6859">
      <w:pPr>
        <w:tabs>
          <w:tab w:val="left" w:pos="2410"/>
        </w:tabs>
        <w:spacing w:after="0" w:line="276" w:lineRule="auto"/>
        <w:jc w:val="both"/>
        <w:rPr>
          <w:rFonts w:ascii="Gadugi" w:hAnsi="Gadugi"/>
          <w:sz w:val="24"/>
          <w:szCs w:val="24"/>
        </w:rPr>
      </w:pPr>
      <w:r w:rsidRPr="009F6859">
        <w:rPr>
          <w:rFonts w:ascii="Gadugi" w:hAnsi="Gadugi"/>
          <w:sz w:val="24"/>
          <w:szCs w:val="24"/>
        </w:rPr>
        <w:t>A</w:t>
      </w:r>
      <w:r w:rsidR="000B400A" w:rsidRPr="009F6859">
        <w:rPr>
          <w:rFonts w:ascii="Gadugi" w:hAnsi="Gadugi"/>
          <w:sz w:val="24"/>
          <w:szCs w:val="24"/>
        </w:rPr>
        <w:t xml:space="preserve"> decir verdad, e</w:t>
      </w:r>
      <w:r w:rsidR="00536EF5" w:rsidRPr="009F6859">
        <w:rPr>
          <w:rFonts w:ascii="Gadugi" w:hAnsi="Gadugi"/>
          <w:sz w:val="24"/>
          <w:szCs w:val="24"/>
        </w:rPr>
        <w:t>s por</w:t>
      </w:r>
      <w:r w:rsidR="001E6856" w:rsidRPr="009F6859">
        <w:rPr>
          <w:rFonts w:ascii="Gadugi" w:hAnsi="Gadugi"/>
          <w:sz w:val="24"/>
          <w:szCs w:val="24"/>
        </w:rPr>
        <w:t xml:space="preserve"> esto último que ha debido emprender </w:t>
      </w:r>
      <w:r w:rsidR="00536EF5" w:rsidRPr="009F6859">
        <w:rPr>
          <w:rFonts w:ascii="Gadugi" w:hAnsi="Gadugi"/>
          <w:sz w:val="24"/>
          <w:szCs w:val="24"/>
        </w:rPr>
        <w:t xml:space="preserve">su análisis, dado que la muerte de la paciente estaba acreditada y de ella es que se hacen derivar los perjuicios reclamados. Establecido el daño, sigue el análisis del nexo causal entre la conducta y el daño, y solo si se halla esa relación, se </w:t>
      </w:r>
      <w:r w:rsidR="0038379E" w:rsidRPr="009F6859">
        <w:rPr>
          <w:rFonts w:ascii="Gadugi" w:hAnsi="Gadugi"/>
          <w:sz w:val="24"/>
          <w:szCs w:val="24"/>
        </w:rPr>
        <w:t>valora la culpa</w:t>
      </w:r>
      <w:r w:rsidR="00755983" w:rsidRPr="009F6859">
        <w:rPr>
          <w:rFonts w:ascii="Gadugi" w:hAnsi="Gadugi"/>
          <w:sz w:val="24"/>
          <w:szCs w:val="24"/>
        </w:rPr>
        <w:t xml:space="preserve">. </w:t>
      </w:r>
    </w:p>
    <w:p w14:paraId="6C8E33E0" w14:textId="77777777" w:rsidR="00755983" w:rsidRPr="009F6859" w:rsidRDefault="00755983" w:rsidP="009F6859">
      <w:pPr>
        <w:tabs>
          <w:tab w:val="left" w:pos="2410"/>
        </w:tabs>
        <w:spacing w:after="0" w:line="276" w:lineRule="auto"/>
        <w:jc w:val="center"/>
        <w:rPr>
          <w:rFonts w:ascii="Gadugi" w:hAnsi="Gadugi"/>
          <w:sz w:val="24"/>
          <w:szCs w:val="24"/>
        </w:rPr>
      </w:pPr>
    </w:p>
    <w:p w14:paraId="340E0724" w14:textId="0D034799" w:rsidR="00536EF5" w:rsidRPr="009F6859" w:rsidRDefault="00755983" w:rsidP="009F6859">
      <w:pPr>
        <w:tabs>
          <w:tab w:val="left" w:pos="2410"/>
        </w:tabs>
        <w:spacing w:after="0" w:line="276" w:lineRule="auto"/>
        <w:jc w:val="both"/>
        <w:rPr>
          <w:rFonts w:ascii="Gadugi" w:hAnsi="Gadugi"/>
          <w:sz w:val="24"/>
          <w:szCs w:val="24"/>
        </w:rPr>
      </w:pPr>
      <w:r w:rsidRPr="009F6859">
        <w:rPr>
          <w:rFonts w:ascii="Gadugi" w:hAnsi="Gadugi"/>
          <w:sz w:val="24"/>
          <w:szCs w:val="24"/>
        </w:rPr>
        <w:t>Sobre este aspecto, y en vista de que también los reparos formulados al fallo, como se verá, refieren indistintamente a los dos elementos: la culpa y el nexo causal, bueno es reiterar lo dicho insistentemente por esta Sala, incluso en reciente providencia</w:t>
      </w:r>
      <w:r w:rsidRPr="009F6859">
        <w:rPr>
          <w:rStyle w:val="Refdenotaalpie"/>
          <w:rFonts w:ascii="Gadugi" w:hAnsi="Gadugi"/>
          <w:sz w:val="24"/>
          <w:szCs w:val="24"/>
        </w:rPr>
        <w:footnoteReference w:id="41"/>
      </w:r>
      <w:r w:rsidR="001E6856" w:rsidRPr="009F6859">
        <w:rPr>
          <w:rFonts w:ascii="Gadugi" w:hAnsi="Gadugi"/>
          <w:sz w:val="24"/>
          <w:szCs w:val="24"/>
        </w:rPr>
        <w:t xml:space="preserve"> </w:t>
      </w:r>
      <w:r w:rsidRPr="009F6859">
        <w:rPr>
          <w:rFonts w:ascii="Gadugi" w:hAnsi="Gadugi"/>
          <w:sz w:val="24"/>
          <w:szCs w:val="24"/>
        </w:rPr>
        <w:t xml:space="preserve">en el sentido de que: </w:t>
      </w:r>
    </w:p>
    <w:p w14:paraId="51DE77AC" w14:textId="77777777" w:rsidR="00741A77" w:rsidRPr="009F6859" w:rsidRDefault="00741A77" w:rsidP="009F6859">
      <w:pPr>
        <w:tabs>
          <w:tab w:val="left" w:pos="2410"/>
        </w:tabs>
        <w:spacing w:after="0" w:line="276" w:lineRule="auto"/>
        <w:jc w:val="both"/>
        <w:rPr>
          <w:rFonts w:ascii="Gadugi" w:hAnsi="Gadugi"/>
          <w:sz w:val="24"/>
          <w:szCs w:val="24"/>
        </w:rPr>
      </w:pPr>
    </w:p>
    <w:p w14:paraId="65C0695E" w14:textId="09AE78FC" w:rsidR="00755983" w:rsidRPr="00925029" w:rsidRDefault="00755983" w:rsidP="00925029">
      <w:pPr>
        <w:pStyle w:val="paragraph"/>
        <w:spacing w:before="0" w:beforeAutospacing="0" w:after="0" w:afterAutospacing="0"/>
        <w:ind w:left="567" w:right="420"/>
        <w:jc w:val="both"/>
        <w:textAlignment w:val="baseline"/>
        <w:rPr>
          <w:rFonts w:ascii="Gadugi" w:hAnsi="Gadugi" w:cs="Segoe UI"/>
          <w:sz w:val="22"/>
        </w:rPr>
      </w:pPr>
      <w:r w:rsidRPr="00925029">
        <w:rPr>
          <w:rStyle w:val="normaltextrun"/>
          <w:rFonts w:ascii="Gadugi" w:eastAsia="Courier New" w:hAnsi="Gadugi" w:cs="Segoe UI"/>
          <w:sz w:val="22"/>
        </w:rPr>
        <w:t>“…</w:t>
      </w:r>
      <w:r w:rsidR="00925029" w:rsidRPr="00925029">
        <w:rPr>
          <w:rStyle w:val="normaltextrun"/>
          <w:rFonts w:ascii="Gadugi" w:eastAsia="Courier New" w:hAnsi="Gadugi" w:cs="Segoe UI"/>
          <w:sz w:val="22"/>
        </w:rPr>
        <w:t xml:space="preserve"> </w:t>
      </w:r>
      <w:r w:rsidRPr="00925029">
        <w:rPr>
          <w:rStyle w:val="normaltextrun"/>
          <w:rFonts w:ascii="Gadugi" w:eastAsia="Courier New" w:hAnsi="Gadugi" w:cs="Segoe UI"/>
          <w:sz w:val="22"/>
        </w:rPr>
        <w:t>esta Colegiatura los ha diferenciado, al señalar</w:t>
      </w:r>
      <w:r w:rsidRPr="00925029">
        <w:rPr>
          <w:rStyle w:val="Refdenotaalpie"/>
          <w:rFonts w:ascii="Gadugi" w:eastAsia="Courier New" w:hAnsi="Gadugi" w:cs="Segoe UI"/>
          <w:sz w:val="22"/>
        </w:rPr>
        <w:footnoteReference w:id="42"/>
      </w:r>
      <w:r w:rsidRPr="00925029">
        <w:rPr>
          <w:rStyle w:val="normaltextrun"/>
          <w:rFonts w:ascii="Gadugi" w:eastAsia="Courier New" w:hAnsi="Gadugi" w:cs="Segoe UI"/>
          <w:sz w:val="22"/>
        </w:rPr>
        <w:t xml:space="preserve"> con asiento en jurisprudencia patria, en doctrina y en sus propias decisiones, que: </w:t>
      </w:r>
      <w:r w:rsidRPr="00925029">
        <w:rPr>
          <w:rStyle w:val="eop"/>
          <w:rFonts w:ascii="Gadugi" w:eastAsia="Courier New" w:hAnsi="Gadugi" w:cs="Segoe UI"/>
          <w:sz w:val="22"/>
        </w:rPr>
        <w:t> </w:t>
      </w:r>
    </w:p>
    <w:p w14:paraId="16BD9C78" w14:textId="77777777" w:rsidR="00741A77" w:rsidRPr="00925029" w:rsidRDefault="00741A77" w:rsidP="00925029">
      <w:pPr>
        <w:tabs>
          <w:tab w:val="left" w:pos="1695"/>
        </w:tabs>
        <w:spacing w:after="0" w:line="240" w:lineRule="auto"/>
        <w:ind w:left="567" w:right="420"/>
        <w:jc w:val="both"/>
        <w:rPr>
          <w:rStyle w:val="normaltextrun"/>
          <w:rFonts w:ascii="Gadugi" w:eastAsia="Courier New" w:hAnsi="Gadugi" w:cs="Segoe UI"/>
          <w:szCs w:val="24"/>
        </w:rPr>
      </w:pPr>
    </w:p>
    <w:p w14:paraId="413D03D5" w14:textId="6926F623" w:rsidR="00755983" w:rsidRPr="00925029" w:rsidRDefault="00755983" w:rsidP="00925029">
      <w:pPr>
        <w:tabs>
          <w:tab w:val="left" w:pos="1695"/>
        </w:tabs>
        <w:spacing w:after="0" w:line="240" w:lineRule="auto"/>
        <w:ind w:left="567" w:right="420"/>
        <w:jc w:val="both"/>
        <w:rPr>
          <w:rFonts w:ascii="Gadugi" w:eastAsia="Gadugi" w:hAnsi="Gadugi" w:cs="Gadugi"/>
          <w:szCs w:val="24"/>
        </w:rPr>
      </w:pPr>
      <w:r w:rsidRPr="00925029">
        <w:rPr>
          <w:rStyle w:val="normaltextrun"/>
          <w:rFonts w:ascii="Gadugi" w:eastAsia="Courier New" w:hAnsi="Gadugi" w:cs="Segoe UI"/>
          <w:szCs w:val="24"/>
        </w:rPr>
        <w:t>… en torno al examen de los elementos axiales, importa señalar que la culpa</w:t>
      </w:r>
      <w:r w:rsidRPr="00925029">
        <w:rPr>
          <w:rStyle w:val="Refdenotaalpie"/>
          <w:rFonts w:ascii="Gadugi" w:eastAsia="Courier New" w:hAnsi="Gadugi" w:cs="Segoe UI"/>
          <w:szCs w:val="24"/>
        </w:rPr>
        <w:footnoteReference w:id="43"/>
      </w:r>
      <w:r w:rsidRPr="00925029">
        <w:rPr>
          <w:rStyle w:val="normaltextrun"/>
          <w:rFonts w:ascii="Gadugi" w:eastAsia="Courier New" w:hAnsi="Gadugi" w:cs="Segoe UI"/>
          <w:szCs w:val="24"/>
        </w:rPr>
        <w:t xml:space="preserve"> es la valoración subjetiva de una conducta</w:t>
      </w:r>
      <w:r w:rsidRPr="00925029">
        <w:rPr>
          <w:rStyle w:val="Refdenotaalpie"/>
          <w:rFonts w:ascii="Gadugi" w:eastAsia="Courier New" w:hAnsi="Gadugi" w:cs="Segoe UI"/>
          <w:szCs w:val="24"/>
        </w:rPr>
        <w:footnoteReference w:id="44"/>
      </w:r>
      <w:r w:rsidRPr="00925029">
        <w:rPr>
          <w:rStyle w:val="normaltextrun"/>
          <w:rFonts w:ascii="Gadugi" w:eastAsia="Courier New" w:hAnsi="Gadugi" w:cs="Segoe UI"/>
          <w:szCs w:val="24"/>
          <w:vertAlign w:val="superscript"/>
        </w:rPr>
        <w:t>-</w:t>
      </w:r>
      <w:r w:rsidRPr="00925029">
        <w:rPr>
          <w:rStyle w:val="Refdenotaalpie"/>
          <w:rFonts w:ascii="Gadugi" w:eastAsia="Courier New" w:hAnsi="Gadugi" w:cs="Segoe UI"/>
          <w:szCs w:val="24"/>
        </w:rPr>
        <w:footnoteReference w:id="45"/>
      </w:r>
      <w:r w:rsidRPr="00925029">
        <w:rPr>
          <w:rStyle w:val="normaltextrun"/>
          <w:rFonts w:ascii="Gadugi" w:eastAsia="Courier New" w:hAnsi="Gadugi" w:cs="Segoe UI"/>
          <w:szCs w:val="24"/>
        </w:rPr>
        <w:t>, mientras que la causalidad</w:t>
      </w:r>
      <w:r w:rsidRPr="00925029">
        <w:rPr>
          <w:rStyle w:val="normaltextrun"/>
          <w:rFonts w:ascii="Arial" w:eastAsia="Courier New" w:hAnsi="Arial" w:cs="Arial"/>
          <w:szCs w:val="24"/>
        </w:rPr>
        <w:t> </w:t>
      </w:r>
      <w:r w:rsidRPr="00925029">
        <w:rPr>
          <w:rStyle w:val="normaltextrun"/>
          <w:rFonts w:ascii="Gadugi" w:eastAsia="Courier New" w:hAnsi="Gadugi" w:cs="Segoe UI"/>
          <w:szCs w:val="24"/>
        </w:rPr>
        <w:t>no solo es la constatación objetiva de una relación natural</w:t>
      </w:r>
      <w:r w:rsidRPr="00925029">
        <w:rPr>
          <w:rStyle w:val="normaltextrun"/>
          <w:rFonts w:ascii="Arial" w:eastAsia="Courier New" w:hAnsi="Arial" w:cs="Arial"/>
          <w:szCs w:val="24"/>
        </w:rPr>
        <w:t> </w:t>
      </w:r>
      <w:r w:rsidRPr="00925029">
        <w:rPr>
          <w:rStyle w:val="normaltextrun"/>
          <w:rFonts w:ascii="Gadugi" w:eastAsia="Courier New" w:hAnsi="Gadugi" w:cs="Segoe UI"/>
          <w:szCs w:val="24"/>
        </w:rPr>
        <w:t>o fenoménica</w:t>
      </w:r>
      <w:r w:rsidRPr="00925029">
        <w:rPr>
          <w:rStyle w:val="normaltextrun"/>
          <w:rFonts w:ascii="Arial" w:eastAsia="Courier New" w:hAnsi="Arial" w:cs="Arial"/>
          <w:szCs w:val="24"/>
        </w:rPr>
        <w:t> </w:t>
      </w:r>
      <w:r w:rsidRPr="00925029">
        <w:rPr>
          <w:rStyle w:val="normaltextrun"/>
          <w:rFonts w:ascii="Gadugi" w:eastAsia="Courier New" w:hAnsi="Gadugi" w:cs="Segoe UI"/>
          <w:szCs w:val="24"/>
        </w:rPr>
        <w:t xml:space="preserve">de causa-efecto, en palabras del maestro Adriano De </w:t>
      </w:r>
      <w:proofErr w:type="spellStart"/>
      <w:r w:rsidRPr="00925029">
        <w:rPr>
          <w:rStyle w:val="normaltextrun"/>
          <w:rFonts w:ascii="Gadugi" w:eastAsia="Courier New" w:hAnsi="Gadugi" w:cs="Segoe UI"/>
          <w:szCs w:val="24"/>
        </w:rPr>
        <w:t>Cupis</w:t>
      </w:r>
      <w:proofErr w:type="spellEnd"/>
      <w:r w:rsidRPr="00925029">
        <w:rPr>
          <w:rStyle w:val="Refdenotaalpie"/>
          <w:rFonts w:ascii="Gadugi" w:eastAsia="Courier New" w:hAnsi="Gadugi" w:cs="Segoe UI"/>
          <w:szCs w:val="24"/>
        </w:rPr>
        <w:footnoteReference w:id="46"/>
      </w:r>
      <w:r w:rsidRPr="00925029">
        <w:rPr>
          <w:rStyle w:val="normaltextrun"/>
          <w:rFonts w:ascii="Gadugi" w:eastAsia="Courier New" w:hAnsi="Gadugi" w:cs="Segoe UI"/>
          <w:szCs w:val="24"/>
        </w:rPr>
        <w:t xml:space="preserve">: </w:t>
      </w:r>
      <w:r w:rsidRPr="00925029">
        <w:rPr>
          <w:rFonts w:ascii="Gadugi" w:eastAsia="Gadugi" w:hAnsi="Gadugi" w:cs="Gadugi"/>
          <w:i/>
          <w:iCs/>
          <w:szCs w:val="24"/>
          <w:lang w:val="es-ES"/>
        </w:rPr>
        <w:t>“(…) es el nexo etiológico material (es decir, objetivo o externo) que liga un fenómeno a otro, que en cuanto concierne al daño, constituye el factor de su imputación material al sujeto humano (…)”</w:t>
      </w:r>
      <w:r w:rsidRPr="00925029">
        <w:rPr>
          <w:rFonts w:ascii="Gadugi" w:eastAsia="Gadugi" w:hAnsi="Gadugi" w:cs="Gadugi"/>
          <w:szCs w:val="24"/>
          <w:lang w:val="es-ES"/>
        </w:rPr>
        <w:t>, sino también un juicio jurídico o normativo.  </w:t>
      </w:r>
      <w:r w:rsidRPr="00925029">
        <w:rPr>
          <w:rFonts w:ascii="Gadugi" w:eastAsia="Gadugi" w:hAnsi="Gadugi" w:cs="Gadugi"/>
          <w:szCs w:val="24"/>
        </w:rPr>
        <w:t> </w:t>
      </w:r>
    </w:p>
    <w:p w14:paraId="5CC8EA01" w14:textId="77777777" w:rsidR="00755983" w:rsidRPr="00925029" w:rsidRDefault="00755983" w:rsidP="00925029">
      <w:pPr>
        <w:tabs>
          <w:tab w:val="left" w:pos="1695"/>
        </w:tabs>
        <w:spacing w:after="0" w:line="240" w:lineRule="auto"/>
        <w:ind w:left="567" w:right="420"/>
        <w:jc w:val="both"/>
        <w:rPr>
          <w:rFonts w:ascii="Gadugi" w:eastAsia="Gadugi" w:hAnsi="Gadugi" w:cs="Gadugi"/>
          <w:szCs w:val="24"/>
        </w:rPr>
      </w:pPr>
      <w:r w:rsidRPr="00925029">
        <w:rPr>
          <w:rFonts w:ascii="Gadugi" w:eastAsia="Gadugi" w:hAnsi="Gadugi" w:cs="Gadugi"/>
          <w:szCs w:val="24"/>
        </w:rPr>
        <w:t> </w:t>
      </w:r>
    </w:p>
    <w:p w14:paraId="22C60A39" w14:textId="77777777" w:rsidR="00755983" w:rsidRPr="00925029" w:rsidRDefault="00755983" w:rsidP="00925029">
      <w:pPr>
        <w:tabs>
          <w:tab w:val="left" w:pos="1695"/>
        </w:tabs>
        <w:spacing w:after="0" w:line="240" w:lineRule="auto"/>
        <w:ind w:left="567" w:right="420"/>
        <w:jc w:val="both"/>
        <w:rPr>
          <w:rFonts w:ascii="Gadugi" w:eastAsia="Gadugi" w:hAnsi="Gadugi" w:cs="Gadugi"/>
          <w:szCs w:val="24"/>
        </w:rPr>
      </w:pPr>
      <w:r w:rsidRPr="00925029">
        <w:rPr>
          <w:rFonts w:ascii="Gadugi" w:eastAsia="Gadugi" w:hAnsi="Gadugi" w:cs="Gadugi"/>
          <w:szCs w:val="24"/>
          <w:lang w:val="es-ES"/>
        </w:rPr>
        <w:lastRenderedPageBreak/>
        <w:t>La causalidad ha sido de los temas más complejos de estudiar en la responsabilidad patrimonial, como enseña la literatura especializada (2020)</w:t>
      </w:r>
      <w:r w:rsidRPr="00925029">
        <w:rPr>
          <w:rFonts w:ascii="Gadugi" w:eastAsia="Gadugi" w:hAnsi="Gadugi" w:cs="Gadugi"/>
          <w:szCs w:val="24"/>
          <w:vertAlign w:val="superscript"/>
          <w:lang w:val="es-ES"/>
        </w:rPr>
        <w:footnoteReference w:id="47"/>
      </w:r>
      <w:r w:rsidRPr="00925029">
        <w:rPr>
          <w:rFonts w:ascii="Gadugi" w:eastAsia="Gadugi" w:hAnsi="Gadugi" w:cs="Gadugi"/>
          <w:szCs w:val="24"/>
          <w:lang w:val="es-ES"/>
        </w:rPr>
        <w:t>,tanto</w:t>
      </w:r>
      <w:r w:rsidRPr="00925029">
        <w:rPr>
          <w:rFonts w:ascii="Arial" w:eastAsia="Gadugi" w:hAnsi="Arial" w:cs="Arial"/>
          <w:szCs w:val="24"/>
          <w:lang w:val="es-ES"/>
        </w:rPr>
        <w:t> </w:t>
      </w:r>
      <w:r w:rsidRPr="00925029">
        <w:rPr>
          <w:rFonts w:ascii="Gadugi" w:eastAsia="Gadugi" w:hAnsi="Gadugi" w:cs="Gadugi"/>
          <w:szCs w:val="24"/>
          <w:lang w:val="es-ES"/>
        </w:rPr>
        <w:t xml:space="preserve">en los sistemas del </w:t>
      </w:r>
      <w:proofErr w:type="spellStart"/>
      <w:r w:rsidRPr="00925029">
        <w:rPr>
          <w:rFonts w:ascii="Gadugi" w:eastAsia="Gadugi" w:hAnsi="Gadugi" w:cs="Gadugi"/>
          <w:i/>
          <w:iCs/>
          <w:szCs w:val="24"/>
          <w:lang w:val="es-ES"/>
        </w:rPr>
        <w:t>common</w:t>
      </w:r>
      <w:proofErr w:type="spellEnd"/>
      <w:r w:rsidRPr="00925029">
        <w:rPr>
          <w:rFonts w:ascii="Gadugi" w:eastAsia="Gadugi" w:hAnsi="Gadugi" w:cs="Gadugi"/>
          <w:i/>
          <w:iCs/>
          <w:szCs w:val="24"/>
          <w:lang w:val="es-ES"/>
        </w:rPr>
        <w:t xml:space="preserve"> </w:t>
      </w:r>
      <w:proofErr w:type="spellStart"/>
      <w:r w:rsidRPr="00925029">
        <w:rPr>
          <w:rFonts w:ascii="Gadugi" w:eastAsia="Gadugi" w:hAnsi="Gadugi" w:cs="Gadugi"/>
          <w:i/>
          <w:iCs/>
          <w:szCs w:val="24"/>
          <w:lang w:val="es-ES"/>
        </w:rPr>
        <w:t>law</w:t>
      </w:r>
      <w:proofErr w:type="spellEnd"/>
      <w:r w:rsidRPr="00925029">
        <w:rPr>
          <w:rFonts w:ascii="Gadugi" w:eastAsia="Gadugi" w:hAnsi="Gadugi" w:cs="Gadugi"/>
          <w:i/>
          <w:iCs/>
          <w:szCs w:val="24"/>
          <w:lang w:val="es-ES"/>
        </w:rPr>
        <w:t xml:space="preserve"> </w:t>
      </w:r>
      <w:r w:rsidRPr="00925029">
        <w:rPr>
          <w:rFonts w:ascii="Gadugi" w:eastAsia="Gadugi" w:hAnsi="Gadugi" w:cs="Gadugi"/>
          <w:szCs w:val="24"/>
          <w:lang w:val="es-ES"/>
        </w:rPr>
        <w:t>y</w:t>
      </w:r>
      <w:r w:rsidRPr="00925029">
        <w:rPr>
          <w:rFonts w:ascii="Arial" w:eastAsia="Gadugi" w:hAnsi="Arial" w:cs="Arial"/>
          <w:szCs w:val="24"/>
          <w:lang w:val="es-ES"/>
        </w:rPr>
        <w:t> </w:t>
      </w:r>
      <w:r w:rsidRPr="00925029">
        <w:rPr>
          <w:rFonts w:ascii="Gadugi" w:eastAsia="Gadugi" w:hAnsi="Gadugi" w:cs="Gadugi"/>
          <w:szCs w:val="24"/>
          <w:lang w:val="es-ES"/>
        </w:rPr>
        <w:t>como de</w:t>
      </w:r>
      <w:r w:rsidRPr="00925029">
        <w:rPr>
          <w:rFonts w:ascii="Arial" w:eastAsia="Gadugi" w:hAnsi="Arial" w:cs="Arial"/>
          <w:szCs w:val="24"/>
          <w:lang w:val="es-ES"/>
        </w:rPr>
        <w:t> </w:t>
      </w:r>
      <w:r w:rsidRPr="00925029">
        <w:rPr>
          <w:rFonts w:ascii="Gadugi" w:eastAsia="Gadugi" w:hAnsi="Gadugi" w:cs="Gadugi"/>
          <w:i/>
          <w:iCs/>
          <w:szCs w:val="24"/>
          <w:lang w:val="es-ES"/>
        </w:rPr>
        <w:t xml:space="preserve">civil </w:t>
      </w:r>
      <w:proofErr w:type="spellStart"/>
      <w:r w:rsidRPr="00925029">
        <w:rPr>
          <w:rFonts w:ascii="Gadugi" w:eastAsia="Gadugi" w:hAnsi="Gadugi" w:cs="Gadugi"/>
          <w:i/>
          <w:iCs/>
          <w:szCs w:val="24"/>
          <w:lang w:val="es-ES"/>
        </w:rPr>
        <w:t>law</w:t>
      </w:r>
      <w:proofErr w:type="spellEnd"/>
      <w:r w:rsidRPr="00925029">
        <w:rPr>
          <w:rFonts w:ascii="Gadugi" w:eastAsia="Gadugi" w:hAnsi="Gadugi" w:cs="Gadugi"/>
          <w:i/>
          <w:iCs/>
          <w:szCs w:val="24"/>
          <w:lang w:val="es-ES"/>
        </w:rPr>
        <w:t xml:space="preserve"> </w:t>
      </w:r>
      <w:r w:rsidRPr="00925029">
        <w:rPr>
          <w:rFonts w:ascii="Gadugi" w:eastAsia="Gadugi" w:hAnsi="Gadugi" w:cs="Gadugi"/>
          <w:szCs w:val="24"/>
          <w:lang w:val="es-ES"/>
        </w:rPr>
        <w:t>(2021)</w:t>
      </w:r>
      <w:r w:rsidRPr="00925029">
        <w:rPr>
          <w:rFonts w:ascii="Gadugi" w:eastAsia="Gadugi" w:hAnsi="Gadugi" w:cs="Gadugi"/>
          <w:szCs w:val="24"/>
          <w:vertAlign w:val="superscript"/>
          <w:lang w:val="es-ES"/>
        </w:rPr>
        <w:footnoteReference w:id="48"/>
      </w:r>
      <w:r w:rsidRPr="00925029">
        <w:rPr>
          <w:rFonts w:ascii="Gadugi" w:eastAsia="Gadugi" w:hAnsi="Gadugi" w:cs="Gadugi"/>
          <w:szCs w:val="24"/>
          <w:lang w:val="es-ES"/>
        </w:rPr>
        <w:t>.</w:t>
      </w:r>
      <w:r w:rsidRPr="00925029">
        <w:rPr>
          <w:rFonts w:ascii="Gadugi" w:eastAsia="Gadugi" w:hAnsi="Gadugi" w:cs="Gadugi"/>
          <w:szCs w:val="24"/>
        </w:rPr>
        <w:t> </w:t>
      </w:r>
    </w:p>
    <w:p w14:paraId="2282E8BA" w14:textId="77777777" w:rsidR="00755983" w:rsidRPr="00925029" w:rsidRDefault="00755983" w:rsidP="00925029">
      <w:pPr>
        <w:tabs>
          <w:tab w:val="left" w:pos="1695"/>
        </w:tabs>
        <w:spacing w:after="0" w:line="240" w:lineRule="auto"/>
        <w:ind w:left="567" w:right="420"/>
        <w:jc w:val="both"/>
        <w:rPr>
          <w:rFonts w:ascii="Gadugi" w:eastAsia="Gadugi" w:hAnsi="Gadugi" w:cs="Gadugi"/>
          <w:szCs w:val="24"/>
          <w:lang w:val="es-ES"/>
        </w:rPr>
      </w:pPr>
    </w:p>
    <w:p w14:paraId="1326EE02" w14:textId="77777777" w:rsidR="00755983" w:rsidRPr="00925029" w:rsidRDefault="00755983" w:rsidP="00925029">
      <w:pPr>
        <w:tabs>
          <w:tab w:val="left" w:pos="1695"/>
        </w:tabs>
        <w:spacing w:after="0" w:line="240" w:lineRule="auto"/>
        <w:ind w:left="567" w:right="420"/>
        <w:jc w:val="both"/>
        <w:rPr>
          <w:rFonts w:ascii="Gadugi" w:eastAsia="Gadugi" w:hAnsi="Gadugi" w:cs="Gadugi"/>
          <w:szCs w:val="24"/>
        </w:rPr>
      </w:pPr>
      <w:r w:rsidRPr="00925029">
        <w:rPr>
          <w:rFonts w:ascii="Gadugi" w:eastAsia="Gadugi" w:hAnsi="Gadugi" w:cs="Gadugi"/>
          <w:szCs w:val="24"/>
          <w:lang w:val="es-ES"/>
        </w:rPr>
        <w:t>El elemento causal</w:t>
      </w:r>
      <w:r w:rsidRPr="00925029">
        <w:rPr>
          <w:rFonts w:ascii="Arial" w:eastAsia="Gadugi" w:hAnsi="Arial" w:cs="Arial"/>
          <w:szCs w:val="24"/>
          <w:lang w:val="es-ES"/>
        </w:rPr>
        <w:t> </w:t>
      </w:r>
      <w:r w:rsidRPr="00925029">
        <w:rPr>
          <w:rFonts w:ascii="Gadugi" w:eastAsia="Gadugi" w:hAnsi="Gadugi" w:cs="Gadugi"/>
          <w:szCs w:val="24"/>
          <w:lang w:val="es-ES"/>
        </w:rPr>
        <w:t>no admite presunciones y siempre debe probarse</w:t>
      </w:r>
      <w:r w:rsidRPr="00925029">
        <w:rPr>
          <w:rFonts w:ascii="Gadugi" w:eastAsia="Gadugi" w:hAnsi="Gadugi" w:cs="Gadugi"/>
          <w:szCs w:val="24"/>
          <w:vertAlign w:val="superscript"/>
          <w:lang w:val="es-ES"/>
        </w:rPr>
        <w:t>68</w:t>
      </w:r>
      <w:r w:rsidRPr="00925029">
        <w:rPr>
          <w:rFonts w:ascii="Gadugi" w:eastAsia="Gadugi" w:hAnsi="Gadugi" w:cs="Gadugi"/>
          <w:szCs w:val="24"/>
          <w:lang w:val="es-ES"/>
        </w:rPr>
        <w:t>, sea en el régimen contractual o extracontractual, de culpa probada o presunta;</w:t>
      </w:r>
      <w:r w:rsidRPr="00925029">
        <w:rPr>
          <w:rFonts w:ascii="Arial" w:eastAsia="Gadugi" w:hAnsi="Arial" w:cs="Arial"/>
          <w:szCs w:val="24"/>
          <w:lang w:val="es-ES"/>
        </w:rPr>
        <w:t> </w:t>
      </w:r>
      <w:r w:rsidRPr="00925029">
        <w:rPr>
          <w:rFonts w:ascii="Gadugi" w:eastAsia="Gadugi" w:hAnsi="Gadugi" w:cs="Gadugi"/>
          <w:szCs w:val="24"/>
          <w:lang w:val="es-ES"/>
        </w:rPr>
        <w:t>por su parte la culpabilidad sí las tiene y desde luego relevan de su acreditación (Art.2353 y 2356, CC, 982 y 1003, CCo, entre otras). </w:t>
      </w:r>
      <w:r w:rsidRPr="00925029">
        <w:rPr>
          <w:rFonts w:ascii="Gadugi" w:eastAsia="Gadugi" w:hAnsi="Gadugi" w:cs="Gadugi"/>
          <w:szCs w:val="24"/>
        </w:rPr>
        <w:t> </w:t>
      </w:r>
    </w:p>
    <w:p w14:paraId="57856C50" w14:textId="77777777" w:rsidR="00755983" w:rsidRPr="00925029" w:rsidRDefault="00755983" w:rsidP="00925029">
      <w:pPr>
        <w:tabs>
          <w:tab w:val="left" w:pos="1695"/>
        </w:tabs>
        <w:spacing w:after="0" w:line="240" w:lineRule="auto"/>
        <w:ind w:left="567" w:right="420"/>
        <w:jc w:val="both"/>
        <w:rPr>
          <w:rFonts w:ascii="Gadugi" w:eastAsia="Gadugi" w:hAnsi="Gadugi" w:cs="Gadugi"/>
          <w:szCs w:val="24"/>
        </w:rPr>
      </w:pPr>
      <w:r w:rsidRPr="00925029">
        <w:rPr>
          <w:rFonts w:ascii="Gadugi" w:eastAsia="Gadugi" w:hAnsi="Gadugi" w:cs="Gadugi"/>
          <w:szCs w:val="24"/>
        </w:rPr>
        <w:t> </w:t>
      </w:r>
    </w:p>
    <w:p w14:paraId="34990BA2" w14:textId="77777777" w:rsidR="00755983" w:rsidRPr="00925029" w:rsidRDefault="00755983" w:rsidP="00925029">
      <w:pPr>
        <w:tabs>
          <w:tab w:val="left" w:pos="1695"/>
        </w:tabs>
        <w:spacing w:after="0" w:line="240" w:lineRule="auto"/>
        <w:ind w:left="567" w:right="420"/>
        <w:jc w:val="both"/>
        <w:rPr>
          <w:rFonts w:ascii="Gadugi" w:eastAsia="Gadugi" w:hAnsi="Gadugi" w:cs="Gadugi"/>
          <w:szCs w:val="24"/>
        </w:rPr>
      </w:pPr>
      <w:r w:rsidRPr="00925029">
        <w:rPr>
          <w:rFonts w:ascii="Gadugi" w:eastAsia="Gadugi" w:hAnsi="Gadugi" w:cs="Gadugi"/>
          <w:szCs w:val="24"/>
          <w:lang w:val="es-ES"/>
        </w:rPr>
        <w:t>Mal pueden refundirse en un solo concepto estos factores, para estructurar la responsabilidad, o derivar el uno del otro. Afirma el citado tratadista italiano</w:t>
      </w:r>
      <w:r w:rsidRPr="00925029">
        <w:rPr>
          <w:rFonts w:ascii="Gadugi" w:eastAsia="Gadugi" w:hAnsi="Gadugi" w:cs="Gadugi"/>
          <w:szCs w:val="24"/>
          <w:vertAlign w:val="superscript"/>
          <w:lang w:val="es-ES"/>
        </w:rPr>
        <w:footnoteReference w:id="49"/>
      </w:r>
      <w:r w:rsidRPr="00925029">
        <w:rPr>
          <w:rFonts w:ascii="Gadugi" w:eastAsia="Gadugi" w:hAnsi="Gadugi" w:cs="Gadugi"/>
          <w:szCs w:val="24"/>
          <w:lang w:val="es-ES"/>
        </w:rPr>
        <w:t>: “</w:t>
      </w:r>
      <w:r w:rsidRPr="00925029">
        <w:rPr>
          <w:rFonts w:ascii="Gadugi" w:eastAsia="Gadugi" w:hAnsi="Gadugi" w:cs="Gadugi"/>
          <w:i/>
          <w:iCs/>
          <w:szCs w:val="24"/>
          <w:lang w:val="es-ES"/>
        </w:rPr>
        <w:t>(…) la relación de causalidad no puede confundirse con la culpa. (…)</w:t>
      </w:r>
      <w:r w:rsidRPr="00925029">
        <w:rPr>
          <w:rFonts w:ascii="Gadugi" w:eastAsia="Gadugi" w:hAnsi="Gadugi" w:cs="Gadugi"/>
          <w:szCs w:val="24"/>
          <w:lang w:val="es-ES"/>
        </w:rPr>
        <w:t>”.</w:t>
      </w:r>
      <w:r w:rsidRPr="00925029">
        <w:rPr>
          <w:rFonts w:ascii="Arial" w:eastAsia="Gadugi" w:hAnsi="Arial" w:cs="Arial"/>
          <w:szCs w:val="24"/>
          <w:lang w:val="es-ES"/>
        </w:rPr>
        <w:t>  </w:t>
      </w:r>
      <w:r w:rsidRPr="00925029">
        <w:rPr>
          <w:rFonts w:ascii="Gadugi" w:eastAsia="Gadugi" w:hAnsi="Gadugi" w:cs="Gadugi"/>
          <w:szCs w:val="24"/>
          <w:lang w:val="es-ES"/>
        </w:rPr>
        <w:t>Y, en el escenario patrio, acota Velásquez G.: “</w:t>
      </w:r>
      <w:r w:rsidRPr="00925029">
        <w:rPr>
          <w:rFonts w:ascii="Gadugi" w:eastAsia="Gadugi" w:hAnsi="Gadugi" w:cs="Gadugi"/>
          <w:i/>
          <w:iCs/>
          <w:szCs w:val="24"/>
          <w:lang w:val="es-ES"/>
        </w:rPr>
        <w:t xml:space="preserve">Hemos de partir de que el vínculo de causalidad constituye un elemento de la responsabilidad civil, completamente distinto de la culpa.”. </w:t>
      </w:r>
      <w:r w:rsidRPr="00925029">
        <w:rPr>
          <w:rFonts w:ascii="Gadugi" w:eastAsia="Gadugi" w:hAnsi="Gadugi" w:cs="Gadugi"/>
          <w:szCs w:val="24"/>
          <w:lang w:val="es-ES"/>
        </w:rPr>
        <w:t>Colofón: son distintos y se revisan en estadios diferentes.</w:t>
      </w:r>
      <w:r w:rsidRPr="00925029">
        <w:rPr>
          <w:rFonts w:ascii="Gadugi" w:eastAsia="Gadugi" w:hAnsi="Gadugi" w:cs="Gadugi"/>
          <w:szCs w:val="24"/>
        </w:rPr>
        <w:t> </w:t>
      </w:r>
    </w:p>
    <w:p w14:paraId="6E602622" w14:textId="77777777" w:rsidR="00755983" w:rsidRPr="00925029" w:rsidRDefault="00755983" w:rsidP="00925029">
      <w:pPr>
        <w:tabs>
          <w:tab w:val="left" w:pos="1695"/>
        </w:tabs>
        <w:spacing w:after="0" w:line="240" w:lineRule="auto"/>
        <w:ind w:left="567" w:right="420"/>
        <w:jc w:val="both"/>
        <w:rPr>
          <w:rFonts w:ascii="Gadugi" w:eastAsia="Gadugi" w:hAnsi="Gadugi" w:cs="Gadugi"/>
          <w:szCs w:val="24"/>
        </w:rPr>
      </w:pPr>
      <w:r w:rsidRPr="00925029">
        <w:rPr>
          <w:rFonts w:ascii="Gadugi" w:eastAsia="Gadugi" w:hAnsi="Gadugi" w:cs="Gadugi"/>
          <w:szCs w:val="24"/>
        </w:rPr>
        <w:t> </w:t>
      </w:r>
    </w:p>
    <w:p w14:paraId="79A3CFD9" w14:textId="1FE890AE" w:rsidR="00755983" w:rsidRPr="00925029" w:rsidRDefault="00755983" w:rsidP="00925029">
      <w:pPr>
        <w:tabs>
          <w:tab w:val="left" w:pos="1695"/>
        </w:tabs>
        <w:spacing w:after="0" w:line="240" w:lineRule="auto"/>
        <w:ind w:left="567" w:right="420"/>
        <w:jc w:val="both"/>
        <w:rPr>
          <w:rFonts w:ascii="Gadugi" w:eastAsia="Gadugi" w:hAnsi="Gadugi" w:cs="Gadugi"/>
          <w:szCs w:val="24"/>
        </w:rPr>
      </w:pPr>
      <w:r w:rsidRPr="00925029">
        <w:rPr>
          <w:rFonts w:ascii="Gadugi" w:eastAsia="Gadugi" w:hAnsi="Gadugi" w:cs="Gadugi"/>
          <w:szCs w:val="24"/>
          <w:lang w:val="es-ES"/>
        </w:rPr>
        <w:t>Y este proceder fue precisado por la misma CSJ en 2009</w:t>
      </w:r>
      <w:r w:rsidRPr="00925029">
        <w:rPr>
          <w:rFonts w:ascii="Gadugi" w:eastAsia="Gadugi" w:hAnsi="Gadugi" w:cs="Gadugi"/>
          <w:szCs w:val="24"/>
          <w:vertAlign w:val="superscript"/>
          <w:lang w:val="es-ES"/>
        </w:rPr>
        <w:footnoteReference w:id="50"/>
      </w:r>
      <w:r w:rsidRPr="00925029">
        <w:rPr>
          <w:rFonts w:ascii="Gadugi" w:eastAsia="Gadugi" w:hAnsi="Gadugi" w:cs="Gadugi"/>
          <w:szCs w:val="24"/>
          <w:lang w:val="es-ES"/>
        </w:rPr>
        <w:t xml:space="preserve"> en los siguientes términos: </w:t>
      </w:r>
      <w:r w:rsidRPr="00925029">
        <w:rPr>
          <w:rFonts w:ascii="Gadugi" w:eastAsia="Gadugi" w:hAnsi="Gadugi" w:cs="Gadugi"/>
          <w:i/>
          <w:iCs/>
          <w:szCs w:val="24"/>
          <w:lang w:val="es-ES"/>
        </w:rPr>
        <w:t>“Establecida ex ante la realidad o certeza del daño, debe determinarse su causa e imputarse al sujeto, de donde, la relación, nexo o vínculo de causalidad, es el segundo elemento constante de la responsabilidad y consiste en precisar al autor del detrimento, mediante la imputación fáctica, física, material o causal del menoscabo a su conducta, sea por acción, sea por omisión. (…)”.</w:t>
      </w:r>
      <w:r w:rsidRPr="00925029">
        <w:rPr>
          <w:rFonts w:ascii="Gadugi" w:eastAsia="Gadugi" w:hAnsi="Gadugi" w:cs="Gadugi"/>
          <w:szCs w:val="24"/>
          <w:lang w:val="es-ES"/>
        </w:rPr>
        <w:t xml:space="preserve"> Y ha sido reiterado (2021)</w:t>
      </w:r>
      <w:r w:rsidRPr="00925029">
        <w:rPr>
          <w:rFonts w:ascii="Gadugi" w:eastAsia="Gadugi" w:hAnsi="Gadugi" w:cs="Gadugi"/>
          <w:szCs w:val="24"/>
          <w:vertAlign w:val="superscript"/>
          <w:lang w:val="es-ES"/>
        </w:rPr>
        <w:footnoteReference w:id="51"/>
      </w:r>
      <w:r w:rsidRPr="00925029">
        <w:rPr>
          <w:rFonts w:ascii="Gadugi" w:eastAsia="Gadugi" w:hAnsi="Gadugi" w:cs="Gadugi"/>
          <w:szCs w:val="24"/>
          <w:lang w:val="es-ES"/>
        </w:rPr>
        <w:t>.</w:t>
      </w:r>
      <w:r w:rsidRPr="00925029">
        <w:rPr>
          <w:rFonts w:ascii="Gadugi" w:eastAsia="Gadugi" w:hAnsi="Gadugi" w:cs="Gadugi"/>
          <w:szCs w:val="24"/>
        </w:rPr>
        <w:t> </w:t>
      </w:r>
    </w:p>
    <w:p w14:paraId="25E33A15" w14:textId="77777777" w:rsidR="0061545D" w:rsidRPr="00925029" w:rsidRDefault="0061545D" w:rsidP="00925029">
      <w:pPr>
        <w:tabs>
          <w:tab w:val="left" w:pos="1695"/>
        </w:tabs>
        <w:spacing w:after="0" w:line="240" w:lineRule="auto"/>
        <w:ind w:left="567" w:right="420"/>
        <w:jc w:val="both"/>
        <w:rPr>
          <w:rFonts w:ascii="Gadugi" w:eastAsia="Gadugi" w:hAnsi="Gadugi" w:cs="Gadugi"/>
          <w:szCs w:val="24"/>
        </w:rPr>
      </w:pPr>
    </w:p>
    <w:p w14:paraId="1D561393" w14:textId="08B5961D" w:rsidR="00755983" w:rsidRPr="00925029" w:rsidRDefault="00755983" w:rsidP="00925029">
      <w:pPr>
        <w:tabs>
          <w:tab w:val="left" w:pos="1695"/>
        </w:tabs>
        <w:spacing w:after="0" w:line="240" w:lineRule="auto"/>
        <w:ind w:left="567" w:right="420"/>
        <w:jc w:val="both"/>
        <w:rPr>
          <w:rFonts w:ascii="Gadugi" w:eastAsia="Gadugi" w:hAnsi="Gadugi" w:cs="Gadugi"/>
          <w:szCs w:val="24"/>
        </w:rPr>
      </w:pPr>
      <w:r w:rsidRPr="00925029">
        <w:rPr>
          <w:rFonts w:ascii="Gadugi" w:eastAsia="Gadugi" w:hAnsi="Gadugi" w:cs="Gadugi"/>
          <w:szCs w:val="24"/>
        </w:rPr>
        <w:t>Ahora, frente al nexo causal, en ocasiones anteriores, esta Sala</w:t>
      </w:r>
      <w:r w:rsidRPr="00925029">
        <w:rPr>
          <w:rFonts w:ascii="Gadugi" w:eastAsia="Gadugi" w:hAnsi="Gadugi" w:cs="Gadugi"/>
          <w:szCs w:val="24"/>
          <w:vertAlign w:val="superscript"/>
        </w:rPr>
        <w:footnoteReference w:id="52"/>
      </w:r>
      <w:r w:rsidRPr="00925029">
        <w:rPr>
          <w:rFonts w:ascii="Gadugi" w:eastAsia="Gadugi" w:hAnsi="Gadugi" w:cs="Gadugi"/>
          <w:szCs w:val="24"/>
        </w:rPr>
        <w:t xml:space="preserve"> recordó lo dicho por la Sala de Casación Civil de la Corte</w:t>
      </w:r>
      <w:r w:rsidRPr="00925029">
        <w:rPr>
          <w:rFonts w:ascii="Gadugi" w:eastAsia="Gadugi" w:hAnsi="Gadugi" w:cs="Gadugi"/>
          <w:szCs w:val="24"/>
          <w:vertAlign w:val="superscript"/>
        </w:rPr>
        <w:footnoteReference w:id="53"/>
      </w:r>
      <w:r w:rsidRPr="00925029">
        <w:rPr>
          <w:rFonts w:ascii="Gadugi" w:eastAsia="Gadugi" w:hAnsi="Gadugi" w:cs="Gadugi"/>
          <w:szCs w:val="24"/>
        </w:rPr>
        <w:t xml:space="preserve">, acerca de que: </w:t>
      </w:r>
    </w:p>
    <w:p w14:paraId="394C8990" w14:textId="77777777" w:rsidR="00CC6AC8" w:rsidRPr="00925029" w:rsidRDefault="00CC6AC8" w:rsidP="00925029">
      <w:pPr>
        <w:tabs>
          <w:tab w:val="left" w:pos="1695"/>
        </w:tabs>
        <w:spacing w:after="0" w:line="240" w:lineRule="auto"/>
        <w:ind w:left="567" w:right="420"/>
        <w:jc w:val="both"/>
        <w:rPr>
          <w:rFonts w:ascii="Gadugi" w:eastAsia="Gadugi" w:hAnsi="Gadugi" w:cs="Gadugi"/>
          <w:szCs w:val="24"/>
        </w:rPr>
      </w:pPr>
    </w:p>
    <w:p w14:paraId="5F8E2BB6" w14:textId="77777777" w:rsidR="00755983" w:rsidRPr="00925029" w:rsidRDefault="00755983" w:rsidP="00925029">
      <w:pPr>
        <w:tabs>
          <w:tab w:val="left" w:pos="1695"/>
        </w:tabs>
        <w:spacing w:after="0" w:line="240" w:lineRule="auto"/>
        <w:ind w:left="567" w:right="420"/>
        <w:jc w:val="both"/>
        <w:rPr>
          <w:rFonts w:ascii="Gadugi" w:eastAsia="Gadugi" w:hAnsi="Gadugi" w:cs="Gadugi"/>
          <w:szCs w:val="24"/>
        </w:rPr>
      </w:pPr>
      <w:r w:rsidRPr="00925029">
        <w:rPr>
          <w:rFonts w:ascii="Gadugi" w:eastAsia="Gadugi" w:hAnsi="Gadugi" w:cs="Gadugi"/>
          <w:szCs w:val="24"/>
        </w:rPr>
        <w:t xml:space="preserve">Como de un tiempo a esta parte lo viene predicando la Corte, el nexo causal, distinguido coma uno de las elementos estructurales de la responsabilidad civil, cualquiera sea su naturaleza, no puede reducirse al concepto de la </w:t>
      </w:r>
      <w:r w:rsidRPr="00925029">
        <w:rPr>
          <w:rFonts w:ascii="Gadugi" w:eastAsia="Gadugi" w:hAnsi="Gadugi" w:cs="Gadugi"/>
          <w:i/>
          <w:iCs/>
          <w:szCs w:val="24"/>
        </w:rPr>
        <w:t>"causalidad natural"</w:t>
      </w:r>
      <w:r w:rsidRPr="00925029">
        <w:rPr>
          <w:rFonts w:ascii="Gadugi" w:eastAsia="Gadugi" w:hAnsi="Gadugi" w:cs="Gadugi"/>
          <w:szCs w:val="24"/>
        </w:rPr>
        <w:t xml:space="preserve"> sino, más bien, ubicarse en el de la </w:t>
      </w:r>
      <w:r w:rsidRPr="00925029">
        <w:rPr>
          <w:rFonts w:ascii="Gadugi" w:eastAsia="Gadugi" w:hAnsi="Gadugi" w:cs="Gadugi"/>
          <w:i/>
          <w:iCs/>
          <w:szCs w:val="24"/>
        </w:rPr>
        <w:t>"causalidad adecuada"</w:t>
      </w:r>
      <w:r w:rsidRPr="00925029">
        <w:rPr>
          <w:rFonts w:ascii="Gadugi" w:eastAsia="Gadugi" w:hAnsi="Gadugi" w:cs="Gadugi"/>
          <w:szCs w:val="24"/>
        </w:rPr>
        <w:t xml:space="preserve"> o </w:t>
      </w:r>
      <w:r w:rsidRPr="00925029">
        <w:rPr>
          <w:rFonts w:ascii="Gadugi" w:eastAsia="Gadugi" w:hAnsi="Gadugi" w:cs="Gadugi"/>
          <w:i/>
          <w:iCs/>
          <w:szCs w:val="24"/>
        </w:rPr>
        <w:t>"imputación jurídica"</w:t>
      </w:r>
      <w:r w:rsidRPr="00925029">
        <w:rPr>
          <w:rFonts w:ascii="Gadugi" w:eastAsia="Gadugi" w:hAnsi="Gadugi" w:cs="Gadugi"/>
          <w:szCs w:val="24"/>
        </w:rPr>
        <w:t>, entendiéndose por tal "</w:t>
      </w:r>
      <w:r w:rsidRPr="00925029">
        <w:rPr>
          <w:rFonts w:ascii="Gadugi" w:eastAsia="Gadugi" w:hAnsi="Gadugi" w:cs="Gadugi"/>
          <w:i/>
          <w:iCs/>
          <w:szCs w:val="24"/>
        </w:rPr>
        <w:t>el razonamiento por medio del cual se atribuye un resultado dañoso a un agente a partir de un marco de sentido jurídico"</w:t>
      </w:r>
      <w:r w:rsidRPr="00925029">
        <w:rPr>
          <w:rFonts w:ascii="Gadugi" w:eastAsia="Gadugi" w:hAnsi="Gadugi" w:cs="Gadugi"/>
          <w:szCs w:val="24"/>
        </w:rPr>
        <w:t xml:space="preserve"> (CSJ, SC 13925 del 30 de septiembre de 2016, Rad. </w:t>
      </w:r>
      <w:proofErr w:type="spellStart"/>
      <w:r w:rsidRPr="00925029">
        <w:rPr>
          <w:rFonts w:ascii="Gadugi" w:eastAsia="Gadugi" w:hAnsi="Gadugi" w:cs="Gadugi"/>
          <w:szCs w:val="24"/>
        </w:rPr>
        <w:t>n.°</w:t>
      </w:r>
      <w:proofErr w:type="spellEnd"/>
      <w:r w:rsidRPr="00925029">
        <w:rPr>
          <w:rFonts w:ascii="Gadugi" w:eastAsia="Gadugi" w:hAnsi="Gadugi" w:cs="Gadugi"/>
          <w:szCs w:val="24"/>
        </w:rPr>
        <w:t xml:space="preserve"> 2005- 00174-01) </w:t>
      </w:r>
    </w:p>
    <w:p w14:paraId="6C2FCE04" w14:textId="77777777" w:rsidR="00755983" w:rsidRPr="00925029" w:rsidRDefault="00755983" w:rsidP="00925029">
      <w:pPr>
        <w:tabs>
          <w:tab w:val="left" w:pos="1695"/>
        </w:tabs>
        <w:spacing w:after="0" w:line="240" w:lineRule="auto"/>
        <w:ind w:left="567" w:right="420"/>
        <w:jc w:val="both"/>
        <w:rPr>
          <w:rFonts w:ascii="Gadugi" w:eastAsia="Gadugi" w:hAnsi="Gadugi" w:cs="Gadugi"/>
          <w:szCs w:val="24"/>
        </w:rPr>
      </w:pPr>
    </w:p>
    <w:p w14:paraId="00FF54AF" w14:textId="77777777" w:rsidR="00755983" w:rsidRPr="00925029" w:rsidRDefault="00755983" w:rsidP="00925029">
      <w:pPr>
        <w:tabs>
          <w:tab w:val="left" w:pos="1695"/>
        </w:tabs>
        <w:spacing w:after="0" w:line="240" w:lineRule="auto"/>
        <w:ind w:left="567" w:right="420"/>
        <w:jc w:val="both"/>
        <w:rPr>
          <w:rFonts w:ascii="Gadugi" w:eastAsia="Gadugi" w:hAnsi="Gadugi" w:cs="Gadugi"/>
          <w:szCs w:val="24"/>
        </w:rPr>
      </w:pPr>
      <w:r w:rsidRPr="00925029">
        <w:rPr>
          <w:rFonts w:ascii="Gadugi" w:eastAsia="Gadugi" w:hAnsi="Gadugi" w:cs="Gadugi"/>
          <w:szCs w:val="24"/>
        </w:rPr>
        <w:t>Es que como en ese mismo fallo se analizó, "</w:t>
      </w:r>
      <w:r w:rsidRPr="00925029">
        <w:rPr>
          <w:rFonts w:ascii="Gadugi" w:eastAsia="Gadugi" w:hAnsi="Gadugi" w:cs="Gadugi"/>
          <w:i/>
          <w:iCs/>
          <w:szCs w:val="24"/>
        </w:rPr>
        <w:t xml:space="preserve">el objeto de la imputación -el hecho que se atribuye a un agente generalmente no se prueba </w:t>
      </w:r>
      <w:proofErr w:type="gramStart"/>
      <w:r w:rsidRPr="00925029">
        <w:rPr>
          <w:rFonts w:ascii="Gadugi" w:eastAsia="Gadugi" w:hAnsi="Gadugi" w:cs="Gadugi"/>
          <w:i/>
          <w:iCs/>
          <w:szCs w:val="24"/>
        </w:rPr>
        <w:t>directamente[</w:t>
      </w:r>
      <w:proofErr w:type="gramEnd"/>
      <w:r w:rsidRPr="00925029">
        <w:rPr>
          <w:rFonts w:ascii="Gadugi" w:eastAsia="Gadugi" w:hAnsi="Gadugi" w:cs="Gadugi"/>
          <w:i/>
          <w:iCs/>
          <w:szCs w:val="24"/>
        </w:rPr>
        <w:t xml:space="preserve">,] sino que requiere la elaboración de hipótesis inferenciales con base en probabilidades. De ahí que con cierta frecuencia se nieguen demandas de responsabilidad civil por no acreditarse en el proceso un 'nexo causal' que es difícil de demostrar porque no existe como hecho de la naturaleza, dado que la atribución de un hecho a un agente se determina a partir de la identificación de las funciones sociales y profesionales que el ordenamiento impone a las personas, sobre todo cuando se trata de probar omisiones o 'causación por medio de otro'; lo que a menudo se traduce en una exigencia de prueba diabólica que no logra solucionarse con la imposición a una de las partes de la obligación de aportación de pruebas, pues el problema no es solo </w:t>
      </w:r>
      <w:r w:rsidRPr="00925029">
        <w:rPr>
          <w:rFonts w:ascii="Gadugi" w:eastAsia="Gadugi" w:hAnsi="Gadugi" w:cs="Gadugi"/>
          <w:i/>
          <w:iCs/>
          <w:szCs w:val="24"/>
        </w:rPr>
        <w:lastRenderedPageBreak/>
        <w:t>de aducción de pruebas sino, principalmente, de falta de comprensión sobre cómo se debe probar la imputación y la culpabilidad" (ibidem, se subraya).</w:t>
      </w:r>
      <w:r w:rsidRPr="00925029">
        <w:rPr>
          <w:rFonts w:ascii="Gadugi" w:eastAsia="Gadugi" w:hAnsi="Gadugi" w:cs="Gadugi"/>
          <w:szCs w:val="24"/>
        </w:rPr>
        <w:t xml:space="preserve"> </w:t>
      </w:r>
    </w:p>
    <w:p w14:paraId="5E608055" w14:textId="77777777" w:rsidR="00755983" w:rsidRPr="00925029" w:rsidRDefault="00755983" w:rsidP="00925029">
      <w:pPr>
        <w:tabs>
          <w:tab w:val="left" w:pos="1695"/>
        </w:tabs>
        <w:spacing w:after="0" w:line="240" w:lineRule="auto"/>
        <w:ind w:left="567" w:right="420"/>
        <w:jc w:val="both"/>
        <w:rPr>
          <w:rFonts w:ascii="Gadugi" w:eastAsia="Gadugi" w:hAnsi="Gadugi" w:cs="Gadugi"/>
          <w:szCs w:val="24"/>
        </w:rPr>
      </w:pPr>
    </w:p>
    <w:p w14:paraId="37283704" w14:textId="77777777" w:rsidR="00755983" w:rsidRPr="00925029" w:rsidRDefault="00755983" w:rsidP="00925029">
      <w:pPr>
        <w:tabs>
          <w:tab w:val="left" w:pos="1695"/>
        </w:tabs>
        <w:spacing w:after="0" w:line="240" w:lineRule="auto"/>
        <w:ind w:left="567" w:right="420"/>
        <w:jc w:val="both"/>
        <w:rPr>
          <w:rFonts w:ascii="Gadugi" w:eastAsia="Gadugi" w:hAnsi="Gadugi" w:cs="Gadugi"/>
          <w:i/>
          <w:iCs/>
          <w:szCs w:val="24"/>
        </w:rPr>
      </w:pPr>
      <w:r w:rsidRPr="00925029">
        <w:rPr>
          <w:rFonts w:ascii="Gadugi" w:eastAsia="Gadugi" w:hAnsi="Gadugi" w:cs="Gadugi"/>
          <w:i/>
          <w:iCs/>
          <w:szCs w:val="24"/>
        </w:rPr>
        <w:t>No se trata, pues, de prescindir por completo de la causalidad física o natural, sino de no reducir a ella la atribución de un resultado a su autor, en tanto que la apreciación del elemento que se comenta es mucho más compleja. Como de forma muy reciente tuvo oportunidad de explicarlo la Sala:</w:t>
      </w:r>
    </w:p>
    <w:p w14:paraId="1CD3563E" w14:textId="77777777" w:rsidR="00755983" w:rsidRPr="00925029" w:rsidRDefault="00755983" w:rsidP="00925029">
      <w:pPr>
        <w:tabs>
          <w:tab w:val="left" w:pos="1695"/>
        </w:tabs>
        <w:spacing w:after="0" w:line="240" w:lineRule="auto"/>
        <w:ind w:left="567" w:right="420"/>
        <w:jc w:val="both"/>
        <w:rPr>
          <w:rFonts w:ascii="Gadugi" w:eastAsia="Gadugi" w:hAnsi="Gadugi" w:cs="Gadugi"/>
          <w:i/>
          <w:iCs/>
          <w:szCs w:val="24"/>
        </w:rPr>
      </w:pPr>
    </w:p>
    <w:p w14:paraId="72A04E6E" w14:textId="77777777" w:rsidR="00755983" w:rsidRPr="00925029" w:rsidRDefault="00755983" w:rsidP="00925029">
      <w:pPr>
        <w:tabs>
          <w:tab w:val="left" w:pos="1695"/>
        </w:tabs>
        <w:spacing w:after="0" w:line="240" w:lineRule="auto"/>
        <w:ind w:left="567" w:right="420"/>
        <w:jc w:val="both"/>
        <w:rPr>
          <w:rFonts w:ascii="Gadugi" w:eastAsia="Gadugi" w:hAnsi="Gadugi" w:cs="Gadugi"/>
          <w:i/>
          <w:iCs/>
          <w:szCs w:val="24"/>
        </w:rPr>
      </w:pPr>
      <w:r w:rsidRPr="00925029">
        <w:rPr>
          <w:rFonts w:ascii="Gadugi" w:eastAsia="Gadugi" w:hAnsi="Gadugi" w:cs="Gadugi"/>
          <w:i/>
          <w:iCs/>
          <w:szCs w:val="24"/>
        </w:rPr>
        <w:t xml:space="preserve">Al respecto, conviene precisar que el vínculo causal es una condición necesaria para la configuración de la responsabilidad, el cual solo puede ser develado a partir de las reglas de la vida, el sentido común y la lógica de lo razonable, pues estos criterios permiten particularizar, de los antecedentes y condiciones que confluyen en la producción de un resultado, cuál de ellos tiene la categoría de causa. </w:t>
      </w:r>
    </w:p>
    <w:p w14:paraId="0AEDBDDC" w14:textId="77777777" w:rsidR="00755983" w:rsidRPr="00925029" w:rsidRDefault="00755983" w:rsidP="00925029">
      <w:pPr>
        <w:tabs>
          <w:tab w:val="left" w:pos="1695"/>
        </w:tabs>
        <w:spacing w:after="0" w:line="240" w:lineRule="auto"/>
        <w:ind w:left="567" w:right="420"/>
        <w:jc w:val="both"/>
        <w:rPr>
          <w:rFonts w:ascii="Gadugi" w:eastAsia="Gadugi" w:hAnsi="Gadugi" w:cs="Gadugi"/>
          <w:i/>
          <w:iCs/>
          <w:szCs w:val="24"/>
        </w:rPr>
      </w:pPr>
    </w:p>
    <w:p w14:paraId="5D9969FA" w14:textId="77777777" w:rsidR="00755983" w:rsidRPr="00925029" w:rsidRDefault="00755983" w:rsidP="00925029">
      <w:pPr>
        <w:tabs>
          <w:tab w:val="left" w:pos="1695"/>
        </w:tabs>
        <w:spacing w:after="0" w:line="240" w:lineRule="auto"/>
        <w:ind w:left="567" w:right="420"/>
        <w:jc w:val="both"/>
        <w:rPr>
          <w:rFonts w:ascii="Gadugi" w:eastAsia="Gadugi" w:hAnsi="Gadugi" w:cs="Gadugi"/>
          <w:i/>
          <w:iCs/>
          <w:szCs w:val="24"/>
        </w:rPr>
      </w:pPr>
      <w:r w:rsidRPr="00925029">
        <w:rPr>
          <w:rFonts w:ascii="Gadugi" w:eastAsia="Gadugi" w:hAnsi="Gadugi" w:cs="Gadugi"/>
          <w:i/>
          <w:iCs/>
          <w:szCs w:val="24"/>
        </w:rPr>
        <w:t xml:space="preserve">Para tal fin, 'debe realizarse una prognosis que dé cuenta de los varios antecedentes que hipotéticamente son causas, de modo que con la aplicación de las reglas de la experiencia y del sentido de razonabilidad a que se aludió, se excluyan aquellos antecedentes que solo coadyuvan al resultado porque no son idóneos per se para producirlo, y se detecte aquél o aquellos que tienen esa aptitud' (SC, 15 en. 2008, rad. 2000-673-00-01; en el mismo sentido SC, 6 de sep. 2011, rad. 2002-00445-01). </w:t>
      </w:r>
    </w:p>
    <w:p w14:paraId="6183797B" w14:textId="77777777" w:rsidR="00755983" w:rsidRPr="00925029" w:rsidRDefault="00755983" w:rsidP="00925029">
      <w:pPr>
        <w:tabs>
          <w:tab w:val="left" w:pos="1695"/>
        </w:tabs>
        <w:spacing w:after="0" w:line="240" w:lineRule="auto"/>
        <w:ind w:left="567" w:right="420"/>
        <w:jc w:val="both"/>
        <w:rPr>
          <w:rFonts w:ascii="Gadugi" w:eastAsia="Gadugi" w:hAnsi="Gadugi" w:cs="Gadugi"/>
          <w:i/>
          <w:iCs/>
          <w:szCs w:val="24"/>
        </w:rPr>
      </w:pPr>
    </w:p>
    <w:p w14:paraId="0BD83F79" w14:textId="77777777" w:rsidR="00755983" w:rsidRPr="00925029" w:rsidRDefault="00755983" w:rsidP="00925029">
      <w:pPr>
        <w:tabs>
          <w:tab w:val="left" w:pos="1695"/>
        </w:tabs>
        <w:spacing w:after="0" w:line="240" w:lineRule="auto"/>
        <w:ind w:left="567" w:right="420"/>
        <w:jc w:val="both"/>
        <w:rPr>
          <w:rFonts w:ascii="Gadugi" w:eastAsia="Gadugi" w:hAnsi="Gadugi" w:cs="Gadugi"/>
          <w:i/>
          <w:iCs/>
          <w:szCs w:val="24"/>
        </w:rPr>
      </w:pPr>
      <w:r w:rsidRPr="00925029">
        <w:rPr>
          <w:rFonts w:ascii="Gadugi" w:eastAsia="Gadugi" w:hAnsi="Gadugi" w:cs="Gadugi"/>
          <w:i/>
          <w:iCs/>
          <w:szCs w:val="24"/>
        </w:rPr>
        <w:t xml:space="preserve">Así las cosas, en el establecimiento del nexo causal concurren elementos facticos y jurídicos, siendo indispensable la prueba -directa o inferencial- del primero de ellos, para lograr una condena indemnizatoria. </w:t>
      </w:r>
    </w:p>
    <w:p w14:paraId="0207CBFE" w14:textId="77777777" w:rsidR="00755983" w:rsidRPr="00925029" w:rsidRDefault="00755983" w:rsidP="00925029">
      <w:pPr>
        <w:tabs>
          <w:tab w:val="left" w:pos="1695"/>
        </w:tabs>
        <w:spacing w:after="0" w:line="240" w:lineRule="auto"/>
        <w:ind w:left="567" w:right="420"/>
        <w:jc w:val="both"/>
        <w:rPr>
          <w:rFonts w:ascii="Gadugi" w:eastAsia="Gadugi" w:hAnsi="Gadugi" w:cs="Gadugi"/>
          <w:i/>
          <w:iCs/>
          <w:szCs w:val="24"/>
        </w:rPr>
      </w:pPr>
    </w:p>
    <w:p w14:paraId="00298A3F" w14:textId="77777777" w:rsidR="00755983" w:rsidRPr="00925029" w:rsidRDefault="00755983" w:rsidP="00925029">
      <w:pPr>
        <w:tabs>
          <w:tab w:val="left" w:pos="1695"/>
        </w:tabs>
        <w:spacing w:after="0" w:line="240" w:lineRule="auto"/>
        <w:ind w:left="567" w:right="420"/>
        <w:jc w:val="both"/>
        <w:rPr>
          <w:rFonts w:ascii="Gadugi" w:eastAsia="Gadugi" w:hAnsi="Gadugi" w:cs="Gadugi"/>
          <w:i/>
          <w:iCs/>
          <w:szCs w:val="24"/>
        </w:rPr>
      </w:pPr>
      <w:r w:rsidRPr="00925029">
        <w:rPr>
          <w:rFonts w:ascii="Gadugi" w:eastAsia="Gadugi" w:hAnsi="Gadugi" w:cs="Gadugi"/>
          <w:i/>
          <w:iCs/>
          <w:szCs w:val="24"/>
        </w:rPr>
        <w:t>El aspecto material se conoce como el juicio sine qua non y su objetivo es determinar las hechos o actuaciones que probablemente tuvieron injerencia en la producción del daño, por cuanto de faltar no sería posible su materialización. Para estos fines, se revisa el contexto material del suceso, analizado de forma retrospectiva, para establecer las causas y excluir aquellos que no guardan conexión, en términos de razonabilidad. Con posterioridad se hace la evaluación jurídica, con el fin de atribuir sentido legal a cada gestión, a partir de un actuar propio o ajeno, donde se hará la ponderación del tipo de conexión y su cercanía (CSJ, SC 3348 del 14 de septiembre de 2020, Rad. 2008-00337-01).</w:t>
      </w:r>
    </w:p>
    <w:p w14:paraId="5AF99680" w14:textId="77777777" w:rsidR="0038379E" w:rsidRPr="009F6859" w:rsidRDefault="0038379E" w:rsidP="009F6859">
      <w:pPr>
        <w:tabs>
          <w:tab w:val="left" w:pos="2410"/>
        </w:tabs>
        <w:spacing w:after="0" w:line="276" w:lineRule="auto"/>
        <w:ind w:left="567" w:right="618"/>
        <w:jc w:val="both"/>
        <w:rPr>
          <w:rFonts w:ascii="Gadugi" w:hAnsi="Gadugi"/>
          <w:sz w:val="24"/>
          <w:szCs w:val="24"/>
        </w:rPr>
      </w:pPr>
    </w:p>
    <w:p w14:paraId="3593E350" w14:textId="66D48CC6" w:rsidR="002445E6" w:rsidRPr="009F6859" w:rsidRDefault="00741A77" w:rsidP="009F6859">
      <w:pPr>
        <w:tabs>
          <w:tab w:val="left" w:pos="2410"/>
        </w:tabs>
        <w:spacing w:after="0" w:line="276" w:lineRule="auto"/>
        <w:jc w:val="both"/>
        <w:rPr>
          <w:rFonts w:ascii="Gadugi" w:eastAsia="Calibri" w:hAnsi="Gadugi" w:cs="Times New Roman"/>
          <w:sz w:val="24"/>
          <w:szCs w:val="24"/>
          <w:lang w:val="es-ES"/>
        </w:rPr>
      </w:pPr>
      <w:r w:rsidRPr="009F6859">
        <w:rPr>
          <w:rFonts w:ascii="Gadugi" w:hAnsi="Gadugi"/>
          <w:sz w:val="24"/>
          <w:szCs w:val="24"/>
        </w:rPr>
        <w:t xml:space="preserve">2.13. </w:t>
      </w:r>
      <w:r w:rsidR="00BF38EA" w:rsidRPr="009F6859">
        <w:rPr>
          <w:rFonts w:ascii="Gadugi" w:eastAsia="Calibri" w:hAnsi="Gadugi" w:cs="Times New Roman"/>
          <w:sz w:val="24"/>
          <w:szCs w:val="24"/>
          <w:lang w:val="es-ES"/>
        </w:rPr>
        <w:t>Los reparos a la resolución</w:t>
      </w:r>
      <w:r w:rsidR="00B14A38" w:rsidRPr="009F6859">
        <w:rPr>
          <w:rFonts w:ascii="Gadugi" w:eastAsia="Calibri" w:hAnsi="Gadugi" w:cs="Times New Roman"/>
          <w:sz w:val="24"/>
          <w:szCs w:val="24"/>
          <w:lang w:val="es-ES"/>
        </w:rPr>
        <w:t xml:space="preserve"> son de variada índole</w:t>
      </w:r>
      <w:r w:rsidR="00BF38EA" w:rsidRPr="009F6859">
        <w:rPr>
          <w:rFonts w:ascii="Gadugi" w:eastAsia="Calibri" w:hAnsi="Gadugi" w:cs="Times New Roman"/>
          <w:sz w:val="24"/>
          <w:szCs w:val="24"/>
          <w:vertAlign w:val="superscript"/>
          <w:lang w:val="es-ES"/>
        </w:rPr>
        <w:footnoteReference w:id="54"/>
      </w:r>
      <w:r w:rsidR="002445E6" w:rsidRPr="009F6859">
        <w:rPr>
          <w:rFonts w:ascii="Gadugi" w:eastAsia="Calibri" w:hAnsi="Gadugi" w:cs="Times New Roman"/>
          <w:sz w:val="24"/>
          <w:szCs w:val="24"/>
          <w:lang w:val="es-ES"/>
        </w:rPr>
        <w:t xml:space="preserve">. Primero, presentan los recurrentes un </w:t>
      </w:r>
      <w:r w:rsidR="00575FC0" w:rsidRPr="009F6859">
        <w:rPr>
          <w:rFonts w:ascii="Gadugi" w:eastAsia="Calibri" w:hAnsi="Gadugi" w:cs="Times New Roman"/>
          <w:sz w:val="24"/>
          <w:szCs w:val="24"/>
          <w:lang w:val="es-ES"/>
        </w:rPr>
        <w:t>elenco</w:t>
      </w:r>
      <w:r w:rsidR="002445E6" w:rsidRPr="009F6859">
        <w:rPr>
          <w:rFonts w:ascii="Gadugi" w:eastAsia="Calibri" w:hAnsi="Gadugi" w:cs="Times New Roman"/>
          <w:sz w:val="24"/>
          <w:szCs w:val="24"/>
          <w:lang w:val="es-ES"/>
        </w:rPr>
        <w:t xml:space="preserve"> de seis réplicas, que dicen que: </w:t>
      </w:r>
    </w:p>
    <w:p w14:paraId="3BD934B1" w14:textId="77777777" w:rsidR="002445E6" w:rsidRPr="009F6859" w:rsidRDefault="002445E6" w:rsidP="009F6859">
      <w:pPr>
        <w:tabs>
          <w:tab w:val="left" w:pos="709"/>
        </w:tabs>
        <w:spacing w:after="0" w:line="276" w:lineRule="auto"/>
        <w:jc w:val="both"/>
        <w:rPr>
          <w:rFonts w:ascii="Gadugi" w:eastAsia="Calibri" w:hAnsi="Gadugi" w:cs="Times New Roman"/>
          <w:sz w:val="24"/>
          <w:szCs w:val="24"/>
          <w:lang w:val="es-ES"/>
        </w:rPr>
      </w:pPr>
    </w:p>
    <w:p w14:paraId="5028BA02" w14:textId="77777777" w:rsidR="002445E6" w:rsidRPr="009F6859" w:rsidRDefault="002445E6" w:rsidP="009F6859">
      <w:pPr>
        <w:pStyle w:val="Prrafodelista"/>
        <w:numPr>
          <w:ilvl w:val="0"/>
          <w:numId w:val="8"/>
        </w:numPr>
        <w:tabs>
          <w:tab w:val="left" w:pos="567"/>
          <w:tab w:val="left" w:pos="2410"/>
        </w:tabs>
        <w:spacing w:after="0" w:line="276" w:lineRule="auto"/>
        <w:ind w:left="0" w:firstLine="0"/>
        <w:jc w:val="both"/>
        <w:rPr>
          <w:rFonts w:ascii="Gadugi" w:eastAsia="Calibri" w:hAnsi="Gadugi" w:cs="Times New Roman"/>
          <w:sz w:val="24"/>
          <w:szCs w:val="24"/>
          <w:lang w:val="es-419"/>
        </w:rPr>
      </w:pPr>
      <w:r w:rsidRPr="009F6859">
        <w:rPr>
          <w:rFonts w:ascii="Gadugi" w:eastAsia="Calibri" w:hAnsi="Gadugi" w:cs="Times New Roman"/>
          <w:color w:val="000000" w:themeColor="text1"/>
          <w:sz w:val="24"/>
          <w:szCs w:val="24"/>
        </w:rPr>
        <w:t xml:space="preserve">Estando probados todos los elementos </w:t>
      </w:r>
      <w:r w:rsidRPr="009F6859">
        <w:rPr>
          <w:rFonts w:ascii="Gadugi" w:eastAsia="Calibri" w:hAnsi="Gadugi" w:cs="Times New Roman"/>
          <w:sz w:val="24"/>
          <w:szCs w:val="24"/>
        </w:rPr>
        <w:t xml:space="preserve">de la responsabilidad civil, no se dieron por establecidos. </w:t>
      </w:r>
    </w:p>
    <w:p w14:paraId="4574B711" w14:textId="77777777" w:rsidR="002445E6" w:rsidRPr="009F6859" w:rsidRDefault="002445E6" w:rsidP="009F6859">
      <w:pPr>
        <w:tabs>
          <w:tab w:val="left" w:pos="567"/>
          <w:tab w:val="left" w:pos="2410"/>
        </w:tabs>
        <w:spacing w:after="0" w:line="276" w:lineRule="auto"/>
        <w:jc w:val="both"/>
        <w:rPr>
          <w:rFonts w:ascii="Gadugi" w:eastAsia="Calibri" w:hAnsi="Gadugi" w:cs="Times New Roman"/>
          <w:sz w:val="24"/>
          <w:szCs w:val="24"/>
          <w:lang w:val="es-419"/>
        </w:rPr>
      </w:pPr>
    </w:p>
    <w:p w14:paraId="299FE6F0" w14:textId="77777777" w:rsidR="002445E6" w:rsidRPr="009F6859" w:rsidRDefault="002445E6" w:rsidP="009F6859">
      <w:pPr>
        <w:pStyle w:val="Prrafodelista"/>
        <w:numPr>
          <w:ilvl w:val="0"/>
          <w:numId w:val="8"/>
        </w:numPr>
        <w:tabs>
          <w:tab w:val="left" w:pos="567"/>
          <w:tab w:val="left" w:pos="2410"/>
        </w:tabs>
        <w:spacing w:after="0" w:line="276" w:lineRule="auto"/>
        <w:ind w:left="0" w:firstLine="0"/>
        <w:jc w:val="both"/>
        <w:rPr>
          <w:rFonts w:ascii="Gadugi" w:eastAsia="Calibri" w:hAnsi="Gadugi" w:cs="Times New Roman"/>
          <w:sz w:val="24"/>
          <w:szCs w:val="24"/>
          <w:lang w:val="es-419"/>
        </w:rPr>
      </w:pPr>
      <w:r w:rsidRPr="009F6859">
        <w:rPr>
          <w:rFonts w:ascii="Gadugi" w:eastAsia="Calibri" w:hAnsi="Gadugi" w:cs="Times New Roman"/>
          <w:sz w:val="24"/>
          <w:szCs w:val="24"/>
        </w:rPr>
        <w:t xml:space="preserve">Las pruebas del proceso demuestran la falla institucional y la relación de causalidad entre el fallecimiento de la paciente y los perjuicios irrogados a los demandantes. </w:t>
      </w:r>
    </w:p>
    <w:p w14:paraId="766B3DE8" w14:textId="77777777" w:rsidR="002445E6" w:rsidRPr="009F6859" w:rsidRDefault="002445E6" w:rsidP="009F6859">
      <w:pPr>
        <w:pStyle w:val="Prrafodelista"/>
        <w:tabs>
          <w:tab w:val="left" w:pos="567"/>
        </w:tabs>
        <w:spacing w:after="0" w:line="276" w:lineRule="auto"/>
        <w:rPr>
          <w:rFonts w:ascii="Gadugi" w:eastAsia="Calibri" w:hAnsi="Gadugi" w:cs="Times New Roman"/>
          <w:sz w:val="24"/>
          <w:szCs w:val="24"/>
        </w:rPr>
      </w:pPr>
    </w:p>
    <w:p w14:paraId="0B32DA61" w14:textId="7AB374B1" w:rsidR="002445E6" w:rsidRPr="009F6859" w:rsidRDefault="002445E6" w:rsidP="009F6859">
      <w:pPr>
        <w:pStyle w:val="Prrafodelista"/>
        <w:numPr>
          <w:ilvl w:val="0"/>
          <w:numId w:val="8"/>
        </w:numPr>
        <w:tabs>
          <w:tab w:val="left" w:pos="284"/>
          <w:tab w:val="left" w:pos="567"/>
        </w:tabs>
        <w:spacing w:after="0" w:line="276" w:lineRule="auto"/>
        <w:ind w:left="0" w:firstLine="0"/>
        <w:jc w:val="both"/>
        <w:rPr>
          <w:rFonts w:ascii="Gadugi" w:eastAsia="Calibri" w:hAnsi="Gadugi" w:cs="Times New Roman"/>
          <w:sz w:val="24"/>
          <w:szCs w:val="24"/>
          <w:lang w:val="es-419"/>
        </w:rPr>
      </w:pPr>
      <w:r w:rsidRPr="009F6859">
        <w:rPr>
          <w:rFonts w:ascii="Gadugi" w:eastAsia="Calibri" w:hAnsi="Gadugi" w:cs="Times New Roman"/>
          <w:sz w:val="24"/>
          <w:szCs w:val="24"/>
        </w:rPr>
        <w:t xml:space="preserve">Se desconoció que trata la demanda de una responsabilidad institucional. </w:t>
      </w:r>
    </w:p>
    <w:p w14:paraId="38F080B3" w14:textId="77777777" w:rsidR="002445E6" w:rsidRPr="009F6859" w:rsidRDefault="002445E6" w:rsidP="009F6859">
      <w:pPr>
        <w:pStyle w:val="Prrafodelista"/>
        <w:tabs>
          <w:tab w:val="left" w:pos="567"/>
        </w:tabs>
        <w:spacing w:after="0" w:line="276" w:lineRule="auto"/>
        <w:rPr>
          <w:rFonts w:ascii="Gadugi" w:eastAsia="Calibri" w:hAnsi="Gadugi" w:cs="Times New Roman"/>
          <w:sz w:val="24"/>
          <w:szCs w:val="24"/>
        </w:rPr>
      </w:pPr>
    </w:p>
    <w:p w14:paraId="7D86151C" w14:textId="77777777" w:rsidR="002445E6" w:rsidRPr="009F6859" w:rsidRDefault="002445E6" w:rsidP="009F6859">
      <w:pPr>
        <w:pStyle w:val="Prrafodelista"/>
        <w:numPr>
          <w:ilvl w:val="0"/>
          <w:numId w:val="8"/>
        </w:numPr>
        <w:tabs>
          <w:tab w:val="left" w:pos="567"/>
        </w:tabs>
        <w:spacing w:after="0" w:line="276" w:lineRule="auto"/>
        <w:ind w:left="0" w:firstLine="0"/>
        <w:jc w:val="both"/>
        <w:rPr>
          <w:rFonts w:ascii="Gadugi" w:eastAsia="Calibri" w:hAnsi="Gadugi" w:cs="Times New Roman"/>
          <w:sz w:val="24"/>
          <w:szCs w:val="24"/>
          <w:lang w:val="es-419"/>
        </w:rPr>
      </w:pPr>
      <w:r w:rsidRPr="009F6859">
        <w:rPr>
          <w:rFonts w:ascii="Gadugi" w:eastAsia="Calibri" w:hAnsi="Gadugi" w:cs="Times New Roman"/>
          <w:sz w:val="24"/>
          <w:szCs w:val="24"/>
        </w:rPr>
        <w:t>Se omitió que el presente asunto se regula por lo establecido en el inciso 3° del artículo 1604 del Código Civil, es decir, “</w:t>
      </w:r>
      <w:r w:rsidRPr="00C55E9E">
        <w:rPr>
          <w:rFonts w:ascii="Gadugi" w:eastAsia="Calibri" w:hAnsi="Gadugi" w:cs="Times New Roman"/>
          <w:szCs w:val="24"/>
        </w:rPr>
        <w:t>La prueba de la diligencia y cuidado incumbe al que ha debido emplearlo; la prueba del caso fortuito al que lo alega</w:t>
      </w:r>
      <w:r w:rsidRPr="009F6859">
        <w:rPr>
          <w:rFonts w:ascii="Gadugi" w:eastAsia="Calibri" w:hAnsi="Gadugi" w:cs="Times New Roman"/>
          <w:sz w:val="24"/>
          <w:szCs w:val="24"/>
        </w:rPr>
        <w:t>”.</w:t>
      </w:r>
    </w:p>
    <w:p w14:paraId="1BE4DB52" w14:textId="77777777" w:rsidR="002445E6" w:rsidRPr="009F6859" w:rsidRDefault="002445E6" w:rsidP="009F6859">
      <w:pPr>
        <w:pStyle w:val="Prrafodelista"/>
        <w:tabs>
          <w:tab w:val="left" w:pos="567"/>
        </w:tabs>
        <w:spacing w:after="0" w:line="276" w:lineRule="auto"/>
        <w:rPr>
          <w:rFonts w:ascii="Gadugi" w:eastAsia="Calibri" w:hAnsi="Gadugi" w:cs="Times New Roman"/>
          <w:sz w:val="24"/>
          <w:szCs w:val="24"/>
          <w:lang w:val="es-419"/>
        </w:rPr>
      </w:pPr>
    </w:p>
    <w:p w14:paraId="35BE8DEA" w14:textId="77777777" w:rsidR="002445E6" w:rsidRPr="009F6859" w:rsidRDefault="002445E6" w:rsidP="009F6859">
      <w:pPr>
        <w:pStyle w:val="Prrafodelista"/>
        <w:numPr>
          <w:ilvl w:val="0"/>
          <w:numId w:val="8"/>
        </w:numPr>
        <w:tabs>
          <w:tab w:val="left" w:pos="567"/>
          <w:tab w:val="left" w:pos="2410"/>
        </w:tabs>
        <w:spacing w:after="0" w:line="276" w:lineRule="auto"/>
        <w:ind w:left="0" w:firstLine="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Se prescindió de los efectos que produce frente a los demandados el hecho de que no hayan contestado la demanda y no haber asistido a la audiencia de conciliación. </w:t>
      </w:r>
    </w:p>
    <w:p w14:paraId="6A571B87" w14:textId="77777777" w:rsidR="002445E6" w:rsidRPr="009F6859" w:rsidRDefault="002445E6" w:rsidP="009F6859">
      <w:pPr>
        <w:pStyle w:val="Prrafodelista"/>
        <w:tabs>
          <w:tab w:val="left" w:pos="567"/>
        </w:tabs>
        <w:spacing w:after="0" w:line="276" w:lineRule="auto"/>
        <w:rPr>
          <w:rFonts w:ascii="Gadugi" w:eastAsia="Calibri" w:hAnsi="Gadugi" w:cs="Times New Roman"/>
          <w:sz w:val="24"/>
          <w:szCs w:val="24"/>
          <w:lang w:val="es-419"/>
        </w:rPr>
      </w:pPr>
    </w:p>
    <w:p w14:paraId="2AC7FBDC" w14:textId="5126F1AB" w:rsidR="002445E6" w:rsidRPr="009F6859" w:rsidRDefault="002445E6" w:rsidP="009F6859">
      <w:pPr>
        <w:pStyle w:val="Prrafodelista"/>
        <w:numPr>
          <w:ilvl w:val="0"/>
          <w:numId w:val="8"/>
        </w:numPr>
        <w:tabs>
          <w:tab w:val="left" w:pos="567"/>
        </w:tabs>
        <w:spacing w:after="0" w:line="276" w:lineRule="auto"/>
        <w:ind w:left="0" w:firstLine="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Se descartó por parte del fallador decretar prueba de oficio para establecer la imputación en cabeza de los demandados. </w:t>
      </w:r>
    </w:p>
    <w:p w14:paraId="759BF1C9" w14:textId="77777777" w:rsidR="00741A77" w:rsidRPr="009F6859" w:rsidRDefault="00741A77" w:rsidP="009F6859">
      <w:pPr>
        <w:pStyle w:val="Prrafodelista"/>
        <w:spacing w:line="276" w:lineRule="auto"/>
        <w:rPr>
          <w:rFonts w:ascii="Gadugi" w:eastAsia="Calibri" w:hAnsi="Gadugi" w:cs="Times New Roman"/>
          <w:sz w:val="24"/>
          <w:szCs w:val="24"/>
          <w:lang w:val="es-419"/>
        </w:rPr>
      </w:pPr>
    </w:p>
    <w:p w14:paraId="78F4AFE9" w14:textId="38AE7622" w:rsidR="00C77F33" w:rsidRPr="009F6859" w:rsidRDefault="002445E6" w:rsidP="009F6859">
      <w:pPr>
        <w:pStyle w:val="Prrafodelista"/>
        <w:tabs>
          <w:tab w:val="left" w:pos="567"/>
        </w:tabs>
        <w:spacing w:after="0" w:line="276" w:lineRule="auto"/>
        <w:ind w:left="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Pero, enseguida, emprenden su desarrollo y tras insistir en la responsabilidad institucional, en la aplicación del artículo 1604 del C. Civil, y en las consecuencias de las omisiones procesales de las demandadas, agregan otra serie de situaciones</w:t>
      </w:r>
      <w:r w:rsidR="00C77F33" w:rsidRPr="009F6859">
        <w:rPr>
          <w:rFonts w:ascii="Gadugi" w:eastAsia="Calibri" w:hAnsi="Gadugi" w:cs="Times New Roman"/>
          <w:sz w:val="24"/>
          <w:szCs w:val="24"/>
          <w:lang w:val="es-419"/>
        </w:rPr>
        <w:t xml:space="preserve"> que se refieren a que: </w:t>
      </w:r>
    </w:p>
    <w:p w14:paraId="17F6BB37" w14:textId="6F78DDAE" w:rsidR="00C77F33" w:rsidRPr="009F6859" w:rsidRDefault="00C77F33" w:rsidP="009F6859">
      <w:pPr>
        <w:pStyle w:val="Prrafodelista"/>
        <w:tabs>
          <w:tab w:val="left" w:pos="567"/>
        </w:tabs>
        <w:spacing w:after="0" w:line="276" w:lineRule="auto"/>
        <w:ind w:left="0"/>
        <w:jc w:val="both"/>
        <w:rPr>
          <w:rFonts w:ascii="Gadugi" w:eastAsia="Calibri" w:hAnsi="Gadugi" w:cs="Times New Roman"/>
          <w:sz w:val="24"/>
          <w:szCs w:val="24"/>
          <w:lang w:val="es-419"/>
        </w:rPr>
      </w:pPr>
    </w:p>
    <w:p w14:paraId="0AE9CA7A" w14:textId="340F9F71" w:rsidR="00C77F33" w:rsidRPr="009F6859" w:rsidRDefault="00C2551A" w:rsidP="009F6859">
      <w:pPr>
        <w:pStyle w:val="Prrafodelista"/>
        <w:tabs>
          <w:tab w:val="left" w:pos="567"/>
        </w:tabs>
        <w:spacing w:after="0" w:line="276" w:lineRule="auto"/>
        <w:ind w:left="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w:t>
      </w:r>
      <w:r w:rsidR="00C77F33" w:rsidRPr="009F6859">
        <w:rPr>
          <w:rFonts w:ascii="Gadugi" w:eastAsia="Calibri" w:hAnsi="Gadugi" w:cs="Times New Roman"/>
          <w:sz w:val="24"/>
          <w:szCs w:val="24"/>
          <w:lang w:val="es-419"/>
        </w:rPr>
        <w:t xml:space="preserve">vii) </w:t>
      </w:r>
      <w:r w:rsidRPr="009F6859">
        <w:rPr>
          <w:rFonts w:ascii="Gadugi" w:eastAsia="Calibri" w:hAnsi="Gadugi" w:cs="Times New Roman"/>
          <w:sz w:val="24"/>
          <w:szCs w:val="24"/>
          <w:lang w:val="es-419"/>
        </w:rPr>
        <w:t>S</w:t>
      </w:r>
      <w:r w:rsidR="00C77F33" w:rsidRPr="009F6859">
        <w:rPr>
          <w:rFonts w:ascii="Gadugi" w:eastAsia="Calibri" w:hAnsi="Gadugi" w:cs="Times New Roman"/>
          <w:sz w:val="24"/>
          <w:szCs w:val="24"/>
          <w:lang w:val="es-419"/>
        </w:rPr>
        <w:t xml:space="preserve">e probó el nexo causal, pero del juzgado lo dio por no establecido, a pesar de que la historia clínica, los testimonios y los indicios graves y la confesión que pesan contra las demandadas daban cuenta de ello. En efecto, dicen, quedó probado con la prueba documental que a la paciente se le negó una atención integral y continuada, producto de lo cual hubo de presentarse acciones de tutela; </w:t>
      </w:r>
    </w:p>
    <w:p w14:paraId="71827FB7" w14:textId="77777777" w:rsidR="00C77F33" w:rsidRPr="009F6859" w:rsidRDefault="00C77F33" w:rsidP="009F6859">
      <w:pPr>
        <w:pStyle w:val="Prrafodelista"/>
        <w:tabs>
          <w:tab w:val="left" w:pos="567"/>
        </w:tabs>
        <w:spacing w:after="0" w:line="276" w:lineRule="auto"/>
        <w:ind w:left="0"/>
        <w:jc w:val="both"/>
        <w:rPr>
          <w:rFonts w:ascii="Gadugi" w:eastAsia="Calibri" w:hAnsi="Gadugi" w:cs="Times New Roman"/>
          <w:sz w:val="24"/>
          <w:szCs w:val="24"/>
          <w:lang w:val="es-419"/>
        </w:rPr>
      </w:pPr>
    </w:p>
    <w:p w14:paraId="2939096D" w14:textId="5D2E0BDE" w:rsidR="00C2551A" w:rsidRPr="009F6859" w:rsidRDefault="00C2551A" w:rsidP="009F6859">
      <w:pPr>
        <w:pStyle w:val="Prrafodelista"/>
        <w:numPr>
          <w:ilvl w:val="0"/>
          <w:numId w:val="11"/>
        </w:numPr>
        <w:tabs>
          <w:tab w:val="left" w:pos="567"/>
        </w:tabs>
        <w:spacing w:after="0" w:line="276" w:lineRule="auto"/>
        <w:ind w:left="0" w:firstLine="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P</w:t>
      </w:r>
      <w:r w:rsidR="00C77F33" w:rsidRPr="009F6859">
        <w:rPr>
          <w:rFonts w:ascii="Gadugi" w:eastAsia="Calibri" w:hAnsi="Gadugi" w:cs="Times New Roman"/>
          <w:sz w:val="24"/>
          <w:szCs w:val="24"/>
          <w:lang w:val="es-419"/>
        </w:rPr>
        <w:t>resentaba una urgencia vital por sangrado digestivo que pretendió controlarse con unas ligaduras de trompas elástica, dispositivo que no se le suministró por estar excluido del POS;</w:t>
      </w:r>
    </w:p>
    <w:p w14:paraId="415FC100" w14:textId="3DE8DB7C" w:rsidR="00C77F33" w:rsidRPr="009F6859" w:rsidRDefault="00C77F33" w:rsidP="009F6859">
      <w:pPr>
        <w:pStyle w:val="Prrafodelista"/>
        <w:tabs>
          <w:tab w:val="left" w:pos="567"/>
        </w:tabs>
        <w:spacing w:after="0" w:line="276" w:lineRule="auto"/>
        <w:ind w:left="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 </w:t>
      </w:r>
    </w:p>
    <w:p w14:paraId="78BD2E43" w14:textId="6DAE77DE" w:rsidR="00C2551A" w:rsidRPr="009F6859" w:rsidRDefault="00C2551A" w:rsidP="009F6859">
      <w:pPr>
        <w:pStyle w:val="Prrafodelista"/>
        <w:numPr>
          <w:ilvl w:val="0"/>
          <w:numId w:val="11"/>
        </w:numPr>
        <w:tabs>
          <w:tab w:val="left" w:pos="567"/>
        </w:tabs>
        <w:spacing w:after="0" w:line="276" w:lineRule="auto"/>
        <w:ind w:left="0" w:firstLine="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E</w:t>
      </w:r>
      <w:r w:rsidR="00C77F33" w:rsidRPr="009F6859">
        <w:rPr>
          <w:rFonts w:ascii="Gadugi" w:eastAsia="Calibri" w:hAnsi="Gadugi" w:cs="Times New Roman"/>
          <w:sz w:val="24"/>
          <w:szCs w:val="24"/>
          <w:lang w:val="es-419"/>
        </w:rPr>
        <w:t>ra más adecuado para su tratamiento el uso de Acetaminof</w:t>
      </w:r>
      <w:r w:rsidRPr="009F6859">
        <w:rPr>
          <w:rFonts w:ascii="Gadugi" w:eastAsia="Calibri" w:hAnsi="Gadugi" w:cs="Times New Roman"/>
          <w:sz w:val="24"/>
          <w:szCs w:val="24"/>
          <w:lang w:val="es-419"/>
        </w:rPr>
        <w:t>é</w:t>
      </w:r>
      <w:r w:rsidR="00C77F33" w:rsidRPr="009F6859">
        <w:rPr>
          <w:rFonts w:ascii="Gadugi" w:eastAsia="Calibri" w:hAnsi="Gadugi" w:cs="Times New Roman"/>
          <w:sz w:val="24"/>
          <w:szCs w:val="24"/>
          <w:lang w:val="es-419"/>
        </w:rPr>
        <w:t xml:space="preserve">n que de AINES, que podían generarle sangrado alto; </w:t>
      </w:r>
    </w:p>
    <w:p w14:paraId="0ADD5EF7" w14:textId="0C2B6B39" w:rsidR="00C77F33" w:rsidRPr="009F6859" w:rsidRDefault="00C77F33" w:rsidP="009F6859">
      <w:pPr>
        <w:pStyle w:val="Prrafodelista"/>
        <w:tabs>
          <w:tab w:val="left" w:pos="567"/>
        </w:tabs>
        <w:spacing w:after="0" w:line="276" w:lineRule="auto"/>
        <w:ind w:left="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  </w:t>
      </w:r>
    </w:p>
    <w:p w14:paraId="5A9CD494" w14:textId="0DFEBF1D" w:rsidR="00C77F33" w:rsidRPr="009F6859" w:rsidRDefault="00C2551A" w:rsidP="009F6859">
      <w:pPr>
        <w:pStyle w:val="Prrafodelista"/>
        <w:numPr>
          <w:ilvl w:val="0"/>
          <w:numId w:val="11"/>
        </w:numPr>
        <w:tabs>
          <w:tab w:val="left" w:pos="567"/>
        </w:tabs>
        <w:spacing w:after="0" w:line="276" w:lineRule="auto"/>
        <w:ind w:left="0" w:firstLine="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N</w:t>
      </w:r>
      <w:r w:rsidR="00C77F33" w:rsidRPr="009F6859">
        <w:rPr>
          <w:rFonts w:ascii="Gadugi" w:eastAsia="Calibri" w:hAnsi="Gadugi" w:cs="Times New Roman"/>
          <w:sz w:val="24"/>
          <w:szCs w:val="24"/>
          <w:lang w:val="es-419"/>
        </w:rPr>
        <w:t>o fue valorada por gastroenterólogo</w:t>
      </w:r>
      <w:r w:rsidRPr="009F6859">
        <w:rPr>
          <w:rFonts w:ascii="Gadugi" w:eastAsia="Calibri" w:hAnsi="Gadugi" w:cs="Times New Roman"/>
          <w:sz w:val="24"/>
          <w:szCs w:val="24"/>
          <w:lang w:val="es-419"/>
        </w:rPr>
        <w:t>;</w:t>
      </w:r>
    </w:p>
    <w:p w14:paraId="2FBE7248" w14:textId="77777777" w:rsidR="00C2551A" w:rsidRPr="009F6859" w:rsidRDefault="00C2551A" w:rsidP="009F6859">
      <w:pPr>
        <w:pStyle w:val="Prrafodelista"/>
        <w:tabs>
          <w:tab w:val="left" w:pos="567"/>
        </w:tabs>
        <w:spacing w:after="0" w:line="276" w:lineRule="auto"/>
        <w:rPr>
          <w:rFonts w:ascii="Gadugi" w:eastAsia="Calibri" w:hAnsi="Gadugi" w:cs="Times New Roman"/>
          <w:sz w:val="24"/>
          <w:szCs w:val="24"/>
          <w:lang w:val="es-419"/>
        </w:rPr>
      </w:pPr>
    </w:p>
    <w:p w14:paraId="2BDFDA14" w14:textId="1B0183DD" w:rsidR="00DF4A0D" w:rsidRPr="009F6859" w:rsidRDefault="00C77F33" w:rsidP="009F6859">
      <w:pPr>
        <w:pStyle w:val="Prrafodelista"/>
        <w:numPr>
          <w:ilvl w:val="0"/>
          <w:numId w:val="11"/>
        </w:numPr>
        <w:tabs>
          <w:tab w:val="left" w:pos="567"/>
          <w:tab w:val="left" w:pos="709"/>
        </w:tabs>
        <w:spacing w:after="0" w:line="276" w:lineRule="auto"/>
        <w:ind w:left="0" w:firstLine="0"/>
        <w:jc w:val="both"/>
        <w:rPr>
          <w:rFonts w:ascii="Gadugi" w:eastAsia="Calibri" w:hAnsi="Gadugi" w:cs="Times New Roman"/>
          <w:sz w:val="24"/>
          <w:szCs w:val="24"/>
          <w:lang w:val="es-ES"/>
        </w:rPr>
      </w:pPr>
      <w:r w:rsidRPr="009F6859">
        <w:rPr>
          <w:rFonts w:ascii="Gadugi" w:eastAsia="Calibri" w:hAnsi="Gadugi" w:cs="Times New Roman"/>
          <w:sz w:val="24"/>
          <w:szCs w:val="24"/>
          <w:lang w:val="es-419"/>
        </w:rPr>
        <w:t xml:space="preserve">El bien </w:t>
      </w:r>
      <w:r w:rsidR="00EE44F9" w:rsidRPr="009F6859">
        <w:rPr>
          <w:rFonts w:ascii="Gadugi" w:eastAsia="Calibri" w:hAnsi="Gadugi" w:cs="Times New Roman"/>
          <w:sz w:val="24"/>
          <w:szCs w:val="24"/>
          <w:lang w:val="es-ES"/>
        </w:rPr>
        <w:t>jurídicamente protegido es el derecho al goce de la vida, configurado en la pérdida del chance o la oportunidad de recuperarse de la paciente</w:t>
      </w:r>
      <w:r w:rsidR="00E87CB0" w:rsidRPr="009F6859">
        <w:rPr>
          <w:rFonts w:ascii="Gadugi" w:eastAsia="Calibri" w:hAnsi="Gadugi" w:cs="Times New Roman"/>
          <w:sz w:val="24"/>
          <w:szCs w:val="24"/>
          <w:lang w:val="es-ES"/>
        </w:rPr>
        <w:t>.</w:t>
      </w:r>
      <w:r w:rsidR="00DF4A0D" w:rsidRPr="009F6859">
        <w:rPr>
          <w:rFonts w:ascii="Gadugi" w:eastAsia="Calibri" w:hAnsi="Gadugi" w:cs="Times New Roman"/>
          <w:sz w:val="24"/>
          <w:szCs w:val="24"/>
          <w:lang w:val="es-ES"/>
        </w:rPr>
        <w:t xml:space="preserve"> </w:t>
      </w:r>
    </w:p>
    <w:p w14:paraId="1EF5A7CC" w14:textId="5132F29C" w:rsidR="00C2551A" w:rsidRPr="009F6859" w:rsidRDefault="00C2551A" w:rsidP="009F6859">
      <w:pPr>
        <w:pStyle w:val="Prrafodelista"/>
        <w:tabs>
          <w:tab w:val="left" w:pos="567"/>
          <w:tab w:val="left" w:pos="709"/>
        </w:tabs>
        <w:spacing w:after="0" w:line="276" w:lineRule="auto"/>
        <w:ind w:left="0"/>
        <w:jc w:val="both"/>
        <w:rPr>
          <w:rFonts w:ascii="Gadugi" w:eastAsia="Calibri" w:hAnsi="Gadugi" w:cs="Times New Roman"/>
          <w:i/>
          <w:sz w:val="24"/>
          <w:szCs w:val="24"/>
          <w:lang w:val="es-ES"/>
        </w:rPr>
      </w:pPr>
    </w:p>
    <w:p w14:paraId="46F040C0" w14:textId="6E70FCF9" w:rsidR="008D0508" w:rsidRPr="009F6859" w:rsidRDefault="00741A77"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2.14. Ninguno de tales embates sale avante. </w:t>
      </w:r>
    </w:p>
    <w:p w14:paraId="7FA5E13A" w14:textId="19BE692E" w:rsidR="00741A77" w:rsidRPr="009F6859" w:rsidRDefault="00741A77" w:rsidP="009F6859">
      <w:pPr>
        <w:tabs>
          <w:tab w:val="left" w:pos="2410"/>
        </w:tabs>
        <w:spacing w:after="0" w:line="276" w:lineRule="auto"/>
        <w:jc w:val="both"/>
        <w:rPr>
          <w:rFonts w:ascii="Gadugi" w:eastAsia="Calibri" w:hAnsi="Gadugi" w:cs="Times New Roman"/>
          <w:sz w:val="24"/>
          <w:szCs w:val="24"/>
          <w:lang w:val="es-419"/>
        </w:rPr>
      </w:pPr>
    </w:p>
    <w:p w14:paraId="7371411C" w14:textId="6B38AEE3" w:rsidR="00E34ADD" w:rsidRPr="009F6859" w:rsidRDefault="00CE5B9C"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2.14.1. </w:t>
      </w:r>
      <w:r w:rsidR="00741A77" w:rsidRPr="009F6859">
        <w:rPr>
          <w:rFonts w:ascii="Gadugi" w:eastAsia="Calibri" w:hAnsi="Gadugi" w:cs="Times New Roman"/>
          <w:sz w:val="24"/>
          <w:szCs w:val="24"/>
          <w:lang w:val="es-419"/>
        </w:rPr>
        <w:t>Para arribar a esta conclusión basta</w:t>
      </w:r>
      <w:r w:rsidR="00575FC0" w:rsidRPr="009F6859">
        <w:rPr>
          <w:rFonts w:ascii="Gadugi" w:eastAsia="Calibri" w:hAnsi="Gadugi" w:cs="Times New Roman"/>
          <w:sz w:val="24"/>
          <w:szCs w:val="24"/>
          <w:lang w:val="es-419"/>
        </w:rPr>
        <w:t>ría decir que ellos guardan relación con la causalidad fáctica mencionada, pero nada refieren de la causalidad jurídica. Todo</w:t>
      </w:r>
      <w:r w:rsidR="00E34ADD" w:rsidRPr="009F6859">
        <w:rPr>
          <w:rFonts w:ascii="Gadugi" w:eastAsia="Calibri" w:hAnsi="Gadugi" w:cs="Times New Roman"/>
          <w:sz w:val="24"/>
          <w:szCs w:val="24"/>
          <w:lang w:val="es-419"/>
        </w:rPr>
        <w:t xml:space="preserve"> el disentimiento gira en torno a la omisión de las instituciones demandadas de suministrar un kit de ligaduras, la impericia de los médicos tratantes por dejar de utilizar Acetaminofén, y de las demandadas por la falta de valoración de un especialista en gastroenterología. </w:t>
      </w:r>
    </w:p>
    <w:p w14:paraId="1DFFCD2F" w14:textId="10FDBDD5" w:rsidR="007E39D0" w:rsidRPr="009F6859" w:rsidRDefault="007E39D0" w:rsidP="009F6859">
      <w:pPr>
        <w:tabs>
          <w:tab w:val="left" w:pos="2410"/>
        </w:tabs>
        <w:spacing w:after="0" w:line="276" w:lineRule="auto"/>
        <w:jc w:val="both"/>
        <w:rPr>
          <w:rFonts w:ascii="Gadugi" w:eastAsia="Calibri" w:hAnsi="Gadugi" w:cs="Times New Roman"/>
          <w:sz w:val="24"/>
          <w:szCs w:val="24"/>
          <w:lang w:val="es-419"/>
        </w:rPr>
      </w:pPr>
    </w:p>
    <w:p w14:paraId="330EC820" w14:textId="112D6472" w:rsidR="007E39D0" w:rsidRPr="009F6859" w:rsidRDefault="007E39D0"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Estas últimas afirmaciones no pasan de ser una simple apreciación de los demandantes sin ningún respaldo científico en el proceso, en cuanto señalan que indicado era el uso de Acetaminofén; aquí no se citó siquiera a los médicos tratantes, y como se verá, el dictamen pericial, en el que tanto insistió el juzgado, a la postre se frustró, porque ninguna de las partes contribuyó eficazmente a su realización. O una falacia, como cuando se afirma que la paciente no fue atendida por gastroenterólogo, pues, contrario a ello, el 23-12-2008, se verificó que la paciente continuaba con hemorragia digestiva y melenas abundantes y fétidas, como plan de tratamiento se indicó la necesidad de valoración por gastroenterología para definir escleroterapia y continuar con </w:t>
      </w:r>
      <w:proofErr w:type="spellStart"/>
      <w:r w:rsidRPr="009F6859">
        <w:rPr>
          <w:rFonts w:ascii="Gadugi" w:eastAsia="Calibri" w:hAnsi="Gadugi" w:cs="Times New Roman"/>
          <w:sz w:val="24"/>
          <w:szCs w:val="24"/>
          <w:lang w:val="es-419"/>
        </w:rPr>
        <w:t>hemotransfusión</w:t>
      </w:r>
      <w:proofErr w:type="spellEnd"/>
      <w:r w:rsidRPr="009F6859">
        <w:rPr>
          <w:rStyle w:val="Refdenotaalpie"/>
          <w:rFonts w:ascii="Gadugi" w:eastAsia="Calibri" w:hAnsi="Gadugi" w:cs="Times New Roman"/>
          <w:sz w:val="24"/>
          <w:szCs w:val="24"/>
          <w:lang w:val="es-419"/>
        </w:rPr>
        <w:footnoteReference w:id="55"/>
      </w:r>
      <w:r w:rsidRPr="009F6859">
        <w:rPr>
          <w:rFonts w:ascii="Gadugi" w:eastAsia="Calibri" w:hAnsi="Gadugi" w:cs="Times New Roman"/>
          <w:sz w:val="24"/>
          <w:szCs w:val="24"/>
          <w:lang w:val="es-419"/>
        </w:rPr>
        <w:t xml:space="preserve">. Para esa fecha, a las 17:30 horas, la paciente fue vista por el especialista en gastroenterología quien indicó el suministro LEV (líquidos endovenosos), transfundir GR (glóbulos rojos), iniciar </w:t>
      </w:r>
      <w:proofErr w:type="spellStart"/>
      <w:r w:rsidRPr="009F6859">
        <w:rPr>
          <w:rFonts w:ascii="Gadugi" w:eastAsia="Calibri" w:hAnsi="Gadugi" w:cs="Times New Roman"/>
          <w:sz w:val="24"/>
          <w:szCs w:val="24"/>
          <w:lang w:val="es-419"/>
        </w:rPr>
        <w:t>octeotride</w:t>
      </w:r>
      <w:proofErr w:type="spellEnd"/>
      <w:r w:rsidRPr="009F6859">
        <w:rPr>
          <w:rFonts w:ascii="Gadugi" w:eastAsia="Calibri" w:hAnsi="Gadugi" w:cs="Times New Roman"/>
          <w:sz w:val="24"/>
          <w:szCs w:val="24"/>
          <w:lang w:val="es-419"/>
        </w:rPr>
        <w:t xml:space="preserve"> (</w:t>
      </w:r>
      <w:r w:rsidR="00CC6AC8" w:rsidRPr="009F6859">
        <w:rPr>
          <w:rFonts w:ascii="Gadugi" w:eastAsia="Calibri" w:hAnsi="Gadugi" w:cs="Times New Roman"/>
          <w:sz w:val="24"/>
          <w:szCs w:val="24"/>
          <w:lang w:val="es-419"/>
        </w:rPr>
        <w:t>s</w:t>
      </w:r>
      <w:r w:rsidRPr="009F6859">
        <w:rPr>
          <w:rFonts w:ascii="Gadugi" w:eastAsia="Calibri" w:hAnsi="Gadugi" w:cs="Times New Roman"/>
          <w:sz w:val="24"/>
          <w:szCs w:val="24"/>
          <w:lang w:val="es-419"/>
        </w:rPr>
        <w:t>ic) y dejó pendiente endoscopia para ligadura de varices esofágicas y conseguir kit ligadura de bandas elásticas</w:t>
      </w:r>
      <w:r w:rsidRPr="009F6859">
        <w:rPr>
          <w:rStyle w:val="Refdenotaalpie"/>
          <w:rFonts w:ascii="Gadugi" w:eastAsia="Calibri" w:hAnsi="Gadugi" w:cs="Times New Roman"/>
          <w:sz w:val="24"/>
          <w:szCs w:val="24"/>
          <w:lang w:val="es-419"/>
        </w:rPr>
        <w:footnoteReference w:id="56"/>
      </w:r>
      <w:r w:rsidRPr="009F6859">
        <w:rPr>
          <w:rFonts w:ascii="Gadugi" w:eastAsia="Calibri" w:hAnsi="Gadugi" w:cs="Times New Roman"/>
          <w:sz w:val="24"/>
          <w:szCs w:val="24"/>
          <w:lang w:val="es-419"/>
        </w:rPr>
        <w:t xml:space="preserve">. </w:t>
      </w:r>
    </w:p>
    <w:p w14:paraId="1BD0C47E" w14:textId="6D98B971" w:rsidR="007E39D0" w:rsidRPr="009F6859" w:rsidRDefault="007E39D0" w:rsidP="009F6859">
      <w:pPr>
        <w:tabs>
          <w:tab w:val="left" w:pos="2410"/>
        </w:tabs>
        <w:spacing w:after="0" w:line="276" w:lineRule="auto"/>
        <w:jc w:val="both"/>
        <w:rPr>
          <w:rFonts w:ascii="Gadugi" w:eastAsia="Calibri" w:hAnsi="Gadugi" w:cs="Times New Roman"/>
          <w:sz w:val="24"/>
          <w:szCs w:val="24"/>
          <w:lang w:val="es-419"/>
        </w:rPr>
      </w:pPr>
    </w:p>
    <w:p w14:paraId="16E9F88A" w14:textId="5ABE1150" w:rsidR="00CF4E57" w:rsidRPr="009F6859" w:rsidRDefault="007E39D0"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Ahora, sobre la primera de estas manifestaciones, en cuanto concierne a la falta de suministro de un dispositivo, </w:t>
      </w:r>
      <w:r w:rsidR="00CF4E57" w:rsidRPr="009F6859">
        <w:rPr>
          <w:rFonts w:ascii="Gadugi" w:eastAsia="Calibri" w:hAnsi="Gadugi" w:cs="Times New Roman"/>
          <w:sz w:val="24"/>
          <w:szCs w:val="24"/>
          <w:lang w:val="es-419"/>
        </w:rPr>
        <w:t>h</w:t>
      </w:r>
      <w:r w:rsidR="00741A77" w:rsidRPr="009F6859">
        <w:rPr>
          <w:rFonts w:ascii="Gadugi" w:eastAsia="Calibri" w:hAnsi="Gadugi" w:cs="Times New Roman"/>
          <w:sz w:val="24"/>
          <w:szCs w:val="24"/>
          <w:lang w:val="es-419"/>
        </w:rPr>
        <w:t xml:space="preserve">echa la distinción entre la causalidad fáctica y la jurídica, es claro para la Sala que los recurrentes se quedan en la primera fase, pues reiteran la </w:t>
      </w:r>
      <w:r w:rsidR="00CF4E57" w:rsidRPr="009F6859">
        <w:rPr>
          <w:rFonts w:ascii="Gadugi" w:eastAsia="Calibri" w:hAnsi="Gadugi" w:cs="Times New Roman"/>
          <w:sz w:val="24"/>
          <w:szCs w:val="24"/>
          <w:lang w:val="es-419"/>
        </w:rPr>
        <w:t xml:space="preserve">grave </w:t>
      </w:r>
      <w:r w:rsidR="00741A77" w:rsidRPr="009F6859">
        <w:rPr>
          <w:rFonts w:ascii="Gadugi" w:eastAsia="Calibri" w:hAnsi="Gadugi" w:cs="Times New Roman"/>
          <w:sz w:val="24"/>
          <w:szCs w:val="24"/>
          <w:lang w:val="es-419"/>
        </w:rPr>
        <w:t>patología que presentaba la paciente, de la que da cuenta clara la historia clínica</w:t>
      </w:r>
      <w:r w:rsidRPr="009F6859">
        <w:rPr>
          <w:rFonts w:ascii="Gadugi" w:eastAsia="Calibri" w:hAnsi="Gadugi" w:cs="Times New Roman"/>
          <w:sz w:val="24"/>
          <w:szCs w:val="24"/>
          <w:lang w:val="es-419"/>
        </w:rPr>
        <w:t xml:space="preserve"> mencionada</w:t>
      </w:r>
      <w:r w:rsidR="00741A77" w:rsidRPr="009F6859">
        <w:rPr>
          <w:rFonts w:ascii="Gadugi" w:eastAsia="Calibri" w:hAnsi="Gadugi" w:cs="Times New Roman"/>
          <w:sz w:val="24"/>
          <w:szCs w:val="24"/>
          <w:lang w:val="es-419"/>
        </w:rPr>
        <w:t>, la orden del médico tratante de un kit de ligaduras para controlar su hemorragia, y la negación de</w:t>
      </w:r>
      <w:r w:rsidR="00CF4E57" w:rsidRPr="009F6859">
        <w:rPr>
          <w:rFonts w:ascii="Gadugi" w:eastAsia="Calibri" w:hAnsi="Gadugi" w:cs="Times New Roman"/>
          <w:sz w:val="24"/>
          <w:szCs w:val="24"/>
          <w:lang w:val="es-419"/>
        </w:rPr>
        <w:t xml:space="preserve"> este</w:t>
      </w:r>
      <w:r w:rsidR="00741A77" w:rsidRPr="009F6859">
        <w:rPr>
          <w:rFonts w:ascii="Gadugi" w:eastAsia="Calibri" w:hAnsi="Gadugi" w:cs="Times New Roman"/>
          <w:sz w:val="24"/>
          <w:szCs w:val="24"/>
          <w:lang w:val="es-419"/>
        </w:rPr>
        <w:t xml:space="preserve"> servicio por parte de la EPS demandada. Esos son aspectos que no se discuten</w:t>
      </w:r>
      <w:r w:rsidR="005A4395" w:rsidRPr="009F6859">
        <w:rPr>
          <w:rFonts w:ascii="Gadugi" w:eastAsia="Calibri" w:hAnsi="Gadugi" w:cs="Times New Roman"/>
          <w:sz w:val="24"/>
          <w:szCs w:val="24"/>
          <w:lang w:val="es-419"/>
        </w:rPr>
        <w:t xml:space="preserve">, </w:t>
      </w:r>
      <w:r w:rsidR="00CF4E57" w:rsidRPr="009F6859">
        <w:rPr>
          <w:rFonts w:ascii="Gadugi" w:eastAsia="Calibri" w:hAnsi="Gadugi" w:cs="Times New Roman"/>
          <w:sz w:val="24"/>
          <w:szCs w:val="24"/>
          <w:lang w:val="es-419"/>
        </w:rPr>
        <w:t xml:space="preserve">por lo que inane resulta volver sobre las pruebas para establecer hechos que surgen palmarios de la misma historia. </w:t>
      </w:r>
    </w:p>
    <w:p w14:paraId="2D8466B1" w14:textId="77777777" w:rsidR="00CF4E57" w:rsidRPr="009F6859" w:rsidRDefault="00CF4E57" w:rsidP="009F6859">
      <w:pPr>
        <w:tabs>
          <w:tab w:val="left" w:pos="2410"/>
        </w:tabs>
        <w:spacing w:after="0" w:line="276" w:lineRule="auto"/>
        <w:jc w:val="both"/>
        <w:rPr>
          <w:rFonts w:ascii="Gadugi" w:eastAsia="Calibri" w:hAnsi="Gadugi" w:cs="Times New Roman"/>
          <w:sz w:val="24"/>
          <w:szCs w:val="24"/>
          <w:lang w:val="es-419"/>
        </w:rPr>
      </w:pPr>
    </w:p>
    <w:p w14:paraId="307FCA71" w14:textId="5310A4D9" w:rsidR="00BE478F" w:rsidRPr="009F6859" w:rsidRDefault="007E39D0"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Pero de allí no se sigue que el nexo causal esté demostrado, porque faltaría para ello la valoración de la causalidad jurídica, es decir, establecer si, dicha omisión fue la que condujo inexorablemente a la muerte de la paciente. Es decir, para un caso como este, era menester acreditar también si </w:t>
      </w:r>
      <w:r w:rsidR="00BE478F" w:rsidRPr="009F6859">
        <w:rPr>
          <w:rFonts w:ascii="Gadugi" w:eastAsia="Calibri" w:hAnsi="Gadugi" w:cs="Times New Roman"/>
          <w:sz w:val="24"/>
          <w:szCs w:val="24"/>
          <w:lang w:val="es-419"/>
        </w:rPr>
        <w:t xml:space="preserve">la muerte tuvo génesis en la ausencia del kit ordenado, o si pudo haber otras causas para ello, sobre todo porque la historia clínica enseña el estado crítico en que se hallaba ella de tiempo atrás. </w:t>
      </w:r>
    </w:p>
    <w:p w14:paraId="2EAE3E40" w14:textId="77777777" w:rsidR="007F4CEF" w:rsidRPr="009F6859" w:rsidRDefault="007F4CEF" w:rsidP="009F6859">
      <w:pPr>
        <w:tabs>
          <w:tab w:val="left" w:pos="2410"/>
        </w:tabs>
        <w:spacing w:after="0" w:line="276" w:lineRule="auto"/>
        <w:jc w:val="both"/>
        <w:rPr>
          <w:rFonts w:ascii="Gadugi" w:eastAsia="Calibri" w:hAnsi="Gadugi" w:cs="Times New Roman"/>
          <w:sz w:val="24"/>
          <w:szCs w:val="24"/>
          <w:lang w:val="es-419"/>
        </w:rPr>
      </w:pPr>
    </w:p>
    <w:p w14:paraId="005F5E94" w14:textId="5EA7C9F5" w:rsidR="00BE478F" w:rsidRPr="009F6859" w:rsidRDefault="00BE478F"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Y era ahí donde la prueba técnica hubiera podido contribuir a darle claridad al juez acerca de si el deceso fue producto de la tórpida evolución de su enfermedad, o si lo fue por la hemorragia que presentaba y si la única manera de poderla controlar era el kit de ligadura, o si, a pesar de la negación del mismo, lo que venían haciendo los médicos correspondía con el protocolo debido a la cirrosis padecida. </w:t>
      </w:r>
    </w:p>
    <w:p w14:paraId="31830919" w14:textId="7F48D5CB" w:rsidR="001C44D3" w:rsidRPr="009F6859" w:rsidRDefault="001C44D3" w:rsidP="009F6859">
      <w:pPr>
        <w:tabs>
          <w:tab w:val="left" w:pos="2410"/>
        </w:tabs>
        <w:spacing w:after="0" w:line="276" w:lineRule="auto"/>
        <w:jc w:val="both"/>
        <w:rPr>
          <w:rFonts w:ascii="Gadugi" w:eastAsia="Calibri" w:hAnsi="Gadugi" w:cs="Times New Roman"/>
          <w:sz w:val="24"/>
          <w:szCs w:val="24"/>
          <w:lang w:val="es-419"/>
        </w:rPr>
      </w:pPr>
    </w:p>
    <w:p w14:paraId="283EC768" w14:textId="6B15031E" w:rsidR="00BE478F" w:rsidRPr="009F6859" w:rsidRDefault="00175DE2"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Ma</w:t>
      </w:r>
      <w:r w:rsidR="00BE478F" w:rsidRPr="009F6859">
        <w:rPr>
          <w:rFonts w:ascii="Gadugi" w:eastAsia="Calibri" w:hAnsi="Gadugi" w:cs="Times New Roman"/>
          <w:sz w:val="24"/>
          <w:szCs w:val="24"/>
          <w:lang w:val="es-419"/>
        </w:rPr>
        <w:t xml:space="preserve">s, como destacó el funcionario de primer grado, después de mucho insistir en la práctica del dictamen ordenado desde los albores del proceso, las partes omitieron la </w:t>
      </w:r>
      <w:r w:rsidR="00BE478F" w:rsidRPr="009F6859">
        <w:rPr>
          <w:rFonts w:ascii="Gadugi" w:eastAsia="Calibri" w:hAnsi="Gadugi" w:cs="Times New Roman"/>
          <w:sz w:val="24"/>
          <w:szCs w:val="24"/>
          <w:lang w:val="es-419"/>
        </w:rPr>
        <w:lastRenderedPageBreak/>
        <w:t>carga que se les impuso y prefirieron dejar que el proceso llegara al final sin el estudio de un experto. A lo que se suma que tampoco se trajeron testigos técnicos, ni otros medios de prueba</w:t>
      </w:r>
      <w:r w:rsidR="00CE5B9C" w:rsidRPr="009F6859">
        <w:rPr>
          <w:rFonts w:ascii="Gadugi" w:eastAsia="Calibri" w:hAnsi="Gadugi" w:cs="Times New Roman"/>
          <w:sz w:val="24"/>
          <w:szCs w:val="24"/>
          <w:lang w:val="es-419"/>
        </w:rPr>
        <w:t>, distintos a la historia</w:t>
      </w:r>
      <w:r w:rsidR="00BE478F" w:rsidRPr="009F6859">
        <w:rPr>
          <w:rFonts w:ascii="Gadugi" w:eastAsia="Calibri" w:hAnsi="Gadugi" w:cs="Times New Roman"/>
          <w:sz w:val="24"/>
          <w:szCs w:val="24"/>
          <w:lang w:val="es-419"/>
        </w:rPr>
        <w:t xml:space="preserve"> que pudieran dar luces acerca de cuál fue, al final de todo, la real causa de la muerte de M</w:t>
      </w:r>
      <w:r w:rsidR="00B11C77" w:rsidRPr="009F6859">
        <w:rPr>
          <w:rFonts w:ascii="Gadugi" w:eastAsia="Calibri" w:hAnsi="Gadugi" w:cs="Times New Roman"/>
          <w:sz w:val="24"/>
          <w:szCs w:val="24"/>
          <w:lang w:val="es-419"/>
        </w:rPr>
        <w:t>E</w:t>
      </w:r>
      <w:r w:rsidR="00BE478F" w:rsidRPr="009F6859">
        <w:rPr>
          <w:rFonts w:ascii="Gadugi" w:eastAsia="Calibri" w:hAnsi="Gadugi" w:cs="Times New Roman"/>
          <w:sz w:val="24"/>
          <w:szCs w:val="24"/>
          <w:lang w:val="es-419"/>
        </w:rPr>
        <w:t xml:space="preserve">. </w:t>
      </w:r>
      <w:r w:rsidR="00CE5B9C" w:rsidRPr="009F6859">
        <w:rPr>
          <w:rFonts w:ascii="Gadugi" w:eastAsia="Calibri" w:hAnsi="Gadugi" w:cs="Times New Roman"/>
          <w:sz w:val="24"/>
          <w:szCs w:val="24"/>
          <w:lang w:val="es-419"/>
        </w:rPr>
        <w:t xml:space="preserve">Y como está dicho, la historia clínica, por sí sola, es insuficiente, en general, para deducir un nexo causal. </w:t>
      </w:r>
    </w:p>
    <w:p w14:paraId="3B4C637A" w14:textId="7C911B8E" w:rsidR="00F9636C" w:rsidRPr="009F6859" w:rsidRDefault="00F9636C" w:rsidP="009F6859">
      <w:pPr>
        <w:tabs>
          <w:tab w:val="left" w:pos="2410"/>
        </w:tabs>
        <w:spacing w:after="0" w:line="276" w:lineRule="auto"/>
        <w:jc w:val="both"/>
        <w:rPr>
          <w:rFonts w:ascii="Gadugi" w:eastAsia="Calibri" w:hAnsi="Gadugi" w:cs="Times New Roman"/>
          <w:sz w:val="24"/>
          <w:szCs w:val="24"/>
          <w:lang w:val="es-419"/>
        </w:rPr>
      </w:pPr>
    </w:p>
    <w:p w14:paraId="65DB076D" w14:textId="56F4C29F" w:rsidR="00F9636C" w:rsidRPr="009F6859" w:rsidRDefault="00F9636C"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Por lo demás, los testimonios </w:t>
      </w:r>
      <w:r w:rsidR="00FC6BAE" w:rsidRPr="009F6859">
        <w:rPr>
          <w:rFonts w:ascii="Gadugi" w:eastAsia="Calibri" w:hAnsi="Gadugi" w:cs="Times New Roman"/>
          <w:sz w:val="24"/>
          <w:szCs w:val="24"/>
          <w:lang w:val="es-419"/>
        </w:rPr>
        <w:t>recaudados de LM</w:t>
      </w:r>
      <w:r w:rsidR="00B11C77" w:rsidRPr="009F6859">
        <w:rPr>
          <w:rFonts w:ascii="Gadugi" w:eastAsia="Calibri" w:hAnsi="Gadugi" w:cs="Times New Roman"/>
          <w:sz w:val="24"/>
          <w:szCs w:val="24"/>
          <w:lang w:val="es-419"/>
        </w:rPr>
        <w:t>VL</w:t>
      </w:r>
      <w:r w:rsidR="00FC6BAE" w:rsidRPr="009F6859">
        <w:rPr>
          <w:rStyle w:val="Refdenotaalpie"/>
          <w:rFonts w:ascii="Gadugi" w:eastAsia="Calibri" w:hAnsi="Gadugi" w:cs="Times New Roman"/>
          <w:sz w:val="24"/>
          <w:szCs w:val="24"/>
          <w:lang w:val="es-419"/>
        </w:rPr>
        <w:footnoteReference w:id="57"/>
      </w:r>
      <w:r w:rsidR="00FC6BAE" w:rsidRPr="009F6859">
        <w:rPr>
          <w:rFonts w:ascii="Gadugi" w:eastAsia="Calibri" w:hAnsi="Gadugi" w:cs="Times New Roman"/>
          <w:sz w:val="24"/>
          <w:szCs w:val="24"/>
          <w:lang w:val="es-419"/>
        </w:rPr>
        <w:t>, GG</w:t>
      </w:r>
      <w:r w:rsidR="00B11C77" w:rsidRPr="009F6859">
        <w:rPr>
          <w:rFonts w:ascii="Gadugi" w:eastAsia="Calibri" w:hAnsi="Gadugi" w:cs="Times New Roman"/>
          <w:sz w:val="24"/>
          <w:szCs w:val="24"/>
          <w:lang w:val="es-419"/>
        </w:rPr>
        <w:t>E</w:t>
      </w:r>
      <w:r w:rsidR="00FC6BAE" w:rsidRPr="009F6859">
        <w:rPr>
          <w:rStyle w:val="Refdenotaalpie"/>
          <w:rFonts w:ascii="Gadugi" w:eastAsia="Calibri" w:hAnsi="Gadugi" w:cs="Times New Roman"/>
          <w:sz w:val="24"/>
          <w:szCs w:val="24"/>
          <w:lang w:val="es-419"/>
        </w:rPr>
        <w:footnoteReference w:id="58"/>
      </w:r>
      <w:r w:rsidR="00FC6BAE" w:rsidRPr="009F6859">
        <w:rPr>
          <w:rFonts w:ascii="Gadugi" w:eastAsia="Calibri" w:hAnsi="Gadugi" w:cs="Times New Roman"/>
          <w:sz w:val="24"/>
          <w:szCs w:val="24"/>
          <w:lang w:val="es-419"/>
        </w:rPr>
        <w:t>, M</w:t>
      </w:r>
      <w:r w:rsidR="00B11C77" w:rsidRPr="009F6859">
        <w:rPr>
          <w:rFonts w:ascii="Gadugi" w:eastAsia="Calibri" w:hAnsi="Gadugi" w:cs="Times New Roman"/>
          <w:sz w:val="24"/>
          <w:szCs w:val="24"/>
          <w:lang w:val="es-419"/>
        </w:rPr>
        <w:t>JGE</w:t>
      </w:r>
      <w:r w:rsidR="00FC6BAE" w:rsidRPr="009F6859">
        <w:rPr>
          <w:rStyle w:val="Refdenotaalpie"/>
          <w:rFonts w:ascii="Gadugi" w:eastAsia="Calibri" w:hAnsi="Gadugi" w:cs="Times New Roman"/>
          <w:sz w:val="24"/>
          <w:szCs w:val="24"/>
          <w:lang w:val="es-419"/>
        </w:rPr>
        <w:footnoteReference w:id="59"/>
      </w:r>
      <w:r w:rsidR="00FC6BAE" w:rsidRPr="009F6859">
        <w:rPr>
          <w:rFonts w:ascii="Gadugi" w:eastAsia="Calibri" w:hAnsi="Gadugi" w:cs="Times New Roman"/>
          <w:sz w:val="24"/>
          <w:szCs w:val="24"/>
          <w:lang w:val="es-419"/>
        </w:rPr>
        <w:t>, M</w:t>
      </w:r>
      <w:r w:rsidR="00B11C77" w:rsidRPr="009F6859">
        <w:rPr>
          <w:rFonts w:ascii="Gadugi" w:eastAsia="Calibri" w:hAnsi="Gadugi" w:cs="Times New Roman"/>
          <w:sz w:val="24"/>
          <w:szCs w:val="24"/>
          <w:lang w:val="es-419"/>
        </w:rPr>
        <w:t>LGO</w:t>
      </w:r>
      <w:r w:rsidR="00FC6BAE" w:rsidRPr="009F6859">
        <w:rPr>
          <w:rStyle w:val="Refdenotaalpie"/>
          <w:rFonts w:ascii="Gadugi" w:eastAsia="Calibri" w:hAnsi="Gadugi" w:cs="Times New Roman"/>
          <w:sz w:val="24"/>
          <w:szCs w:val="24"/>
          <w:lang w:val="es-419"/>
        </w:rPr>
        <w:footnoteReference w:id="60"/>
      </w:r>
      <w:r w:rsidR="00FC6BAE" w:rsidRPr="009F6859">
        <w:rPr>
          <w:rFonts w:ascii="Gadugi" w:eastAsia="Calibri" w:hAnsi="Gadugi" w:cs="Times New Roman"/>
          <w:sz w:val="24"/>
          <w:szCs w:val="24"/>
          <w:lang w:val="es-419"/>
        </w:rPr>
        <w:t xml:space="preserve"> y GJLT</w:t>
      </w:r>
      <w:r w:rsidR="00FC6BAE" w:rsidRPr="009F6859">
        <w:rPr>
          <w:rStyle w:val="Refdenotaalpie"/>
          <w:rFonts w:ascii="Gadugi" w:eastAsia="Calibri" w:hAnsi="Gadugi" w:cs="Times New Roman"/>
          <w:sz w:val="24"/>
          <w:szCs w:val="24"/>
          <w:lang w:val="es-419"/>
        </w:rPr>
        <w:footnoteReference w:id="61"/>
      </w:r>
      <w:r w:rsidR="000F424D" w:rsidRPr="009F6859">
        <w:rPr>
          <w:rFonts w:ascii="Gadugi" w:eastAsia="Calibri" w:hAnsi="Gadugi" w:cs="Times New Roman"/>
          <w:sz w:val="24"/>
          <w:szCs w:val="24"/>
          <w:lang w:val="es-419"/>
        </w:rPr>
        <w:t xml:space="preserve">, </w:t>
      </w:r>
      <w:r w:rsidRPr="009F6859">
        <w:rPr>
          <w:rFonts w:ascii="Gadugi" w:eastAsia="Calibri" w:hAnsi="Gadugi" w:cs="Times New Roman"/>
          <w:sz w:val="24"/>
          <w:szCs w:val="24"/>
          <w:lang w:val="es-419"/>
        </w:rPr>
        <w:t>son de personas allegadas a la</w:t>
      </w:r>
      <w:r w:rsidR="000F424D" w:rsidRPr="009F6859">
        <w:rPr>
          <w:rFonts w:ascii="Gadugi" w:eastAsia="Calibri" w:hAnsi="Gadugi" w:cs="Times New Roman"/>
          <w:sz w:val="24"/>
          <w:szCs w:val="24"/>
          <w:lang w:val="es-419"/>
        </w:rPr>
        <w:t>s</w:t>
      </w:r>
      <w:r w:rsidRPr="009F6859">
        <w:rPr>
          <w:rFonts w:ascii="Gadugi" w:eastAsia="Calibri" w:hAnsi="Gadugi" w:cs="Times New Roman"/>
          <w:sz w:val="24"/>
          <w:szCs w:val="24"/>
          <w:lang w:val="es-419"/>
        </w:rPr>
        <w:t xml:space="preserve"> víctima</w:t>
      </w:r>
      <w:r w:rsidR="000F424D" w:rsidRPr="009F6859">
        <w:rPr>
          <w:rFonts w:ascii="Gadugi" w:eastAsia="Calibri" w:hAnsi="Gadugi" w:cs="Times New Roman"/>
          <w:sz w:val="24"/>
          <w:szCs w:val="24"/>
          <w:lang w:val="es-419"/>
        </w:rPr>
        <w:t>s,</w:t>
      </w:r>
      <w:r w:rsidRPr="009F6859">
        <w:rPr>
          <w:rFonts w:ascii="Gadugi" w:eastAsia="Calibri" w:hAnsi="Gadugi" w:cs="Times New Roman"/>
          <w:sz w:val="24"/>
          <w:szCs w:val="24"/>
          <w:lang w:val="es-419"/>
        </w:rPr>
        <w:t xml:space="preserve"> que dieron cuenta de situaciones diversas al nexo causal que se echa de menos, por lo que nada aportan para definir la responsabilidad misma. </w:t>
      </w:r>
    </w:p>
    <w:p w14:paraId="4B62B690" w14:textId="250296F1" w:rsidR="00CE5B9C" w:rsidRPr="009F6859" w:rsidRDefault="00CE5B9C" w:rsidP="009F6859">
      <w:pPr>
        <w:tabs>
          <w:tab w:val="left" w:pos="2410"/>
        </w:tabs>
        <w:spacing w:after="0" w:line="276" w:lineRule="auto"/>
        <w:jc w:val="both"/>
        <w:rPr>
          <w:rFonts w:ascii="Gadugi" w:eastAsia="Calibri" w:hAnsi="Gadugi" w:cs="Times New Roman"/>
          <w:sz w:val="24"/>
          <w:szCs w:val="24"/>
          <w:lang w:val="es-419"/>
        </w:rPr>
      </w:pPr>
    </w:p>
    <w:p w14:paraId="34A3502C" w14:textId="77777777" w:rsidR="00A94F92" w:rsidRPr="009F6859" w:rsidRDefault="00CE5B9C"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2.14.2. Emerge de lo anterior que la</w:t>
      </w:r>
      <w:r w:rsidR="00A94F92" w:rsidRPr="009F6859">
        <w:rPr>
          <w:rFonts w:ascii="Gadugi" w:eastAsia="Calibri" w:hAnsi="Gadugi" w:cs="Times New Roman"/>
          <w:sz w:val="24"/>
          <w:szCs w:val="24"/>
          <w:lang w:val="es-419"/>
        </w:rPr>
        <w:t xml:space="preserve"> primera réplica no tiene solidez, en cuanto dice que se probaron todos los elementos de la responsabilidad civil, cuando es claro que el nexo causal no se alcanza a vislumbrar. </w:t>
      </w:r>
    </w:p>
    <w:p w14:paraId="6B6EA043" w14:textId="77777777" w:rsidR="00A94F92" w:rsidRPr="009F6859" w:rsidRDefault="00A94F92" w:rsidP="009F6859">
      <w:pPr>
        <w:tabs>
          <w:tab w:val="left" w:pos="2410"/>
        </w:tabs>
        <w:spacing w:after="0" w:line="276" w:lineRule="auto"/>
        <w:jc w:val="both"/>
        <w:rPr>
          <w:rFonts w:ascii="Gadugi" w:eastAsia="Calibri" w:hAnsi="Gadugi" w:cs="Times New Roman"/>
          <w:sz w:val="24"/>
          <w:szCs w:val="24"/>
          <w:lang w:val="es-419"/>
        </w:rPr>
      </w:pPr>
    </w:p>
    <w:p w14:paraId="045C2049" w14:textId="34ECF88C" w:rsidR="00A94F92" w:rsidRPr="009F6859" w:rsidRDefault="00FE54E5"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2.14.3. </w:t>
      </w:r>
      <w:r w:rsidR="00A94F92" w:rsidRPr="009F6859">
        <w:rPr>
          <w:rFonts w:ascii="Gadugi" w:eastAsia="Calibri" w:hAnsi="Gadugi" w:cs="Times New Roman"/>
          <w:sz w:val="24"/>
          <w:szCs w:val="24"/>
          <w:lang w:val="es-419"/>
        </w:rPr>
        <w:t xml:space="preserve">La segunda se viene a menos, porque, a pesar de que se acreditó una omisión por parte de la EPS, relacionada en la misma historia clínica, por la falta el suministro del kit, de esa sola circunstancia, como viene de decirse, no emerge la causalidad jurídica necesaria para establecer que la muerte provino de esa específica circunstancia, que pudo haberlo sido de la evolución normal de su grave enfermedad, o de otras circunstancias que, por falta de una prueba científica, se quedaron sin dilucidar. </w:t>
      </w:r>
    </w:p>
    <w:p w14:paraId="68BA0C77" w14:textId="447D11E3" w:rsidR="00A94F92" w:rsidRPr="009F6859" w:rsidRDefault="00A94F92" w:rsidP="009F6859">
      <w:pPr>
        <w:tabs>
          <w:tab w:val="left" w:pos="2410"/>
        </w:tabs>
        <w:spacing w:after="0" w:line="276" w:lineRule="auto"/>
        <w:jc w:val="both"/>
        <w:rPr>
          <w:rFonts w:ascii="Gadugi" w:eastAsia="Calibri" w:hAnsi="Gadugi" w:cs="Times New Roman"/>
          <w:sz w:val="24"/>
          <w:szCs w:val="24"/>
          <w:lang w:val="es-419"/>
        </w:rPr>
      </w:pPr>
    </w:p>
    <w:p w14:paraId="0D241772" w14:textId="18D88310" w:rsidR="00A94F92" w:rsidRPr="009F6859" w:rsidRDefault="00FE54E5"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2.14.4. </w:t>
      </w:r>
      <w:r w:rsidR="00A94F92" w:rsidRPr="009F6859">
        <w:rPr>
          <w:rFonts w:ascii="Gadugi" w:eastAsia="Calibri" w:hAnsi="Gadugi" w:cs="Times New Roman"/>
          <w:sz w:val="24"/>
          <w:szCs w:val="24"/>
          <w:lang w:val="es-419"/>
        </w:rPr>
        <w:t xml:space="preserve">La tercera </w:t>
      </w:r>
      <w:r w:rsidRPr="009F6859">
        <w:rPr>
          <w:rFonts w:ascii="Gadugi" w:eastAsia="Calibri" w:hAnsi="Gadugi" w:cs="Times New Roman"/>
          <w:sz w:val="24"/>
          <w:szCs w:val="24"/>
          <w:lang w:val="es-419"/>
        </w:rPr>
        <w:t xml:space="preserve">y la cuarta </w:t>
      </w:r>
      <w:r w:rsidR="00A94F92" w:rsidRPr="009F6859">
        <w:rPr>
          <w:rFonts w:ascii="Gadugi" w:eastAsia="Calibri" w:hAnsi="Gadugi" w:cs="Times New Roman"/>
          <w:sz w:val="24"/>
          <w:szCs w:val="24"/>
          <w:lang w:val="es-419"/>
        </w:rPr>
        <w:t>tampoco tiene</w:t>
      </w:r>
      <w:r w:rsidRPr="009F6859">
        <w:rPr>
          <w:rFonts w:ascii="Gadugi" w:eastAsia="Calibri" w:hAnsi="Gadugi" w:cs="Times New Roman"/>
          <w:sz w:val="24"/>
          <w:szCs w:val="24"/>
          <w:lang w:val="es-419"/>
        </w:rPr>
        <w:t>n</w:t>
      </w:r>
      <w:r w:rsidR="00A94F92" w:rsidRPr="009F6859">
        <w:rPr>
          <w:rFonts w:ascii="Gadugi" w:eastAsia="Calibri" w:hAnsi="Gadugi" w:cs="Times New Roman"/>
          <w:sz w:val="24"/>
          <w:szCs w:val="24"/>
          <w:lang w:val="es-419"/>
        </w:rPr>
        <w:t xml:space="preserve"> visos de prosperidad, porque, a pesar de que el juzgado hizo énfasis en que los galenos se comportaron adecuadamente durante la atención que le brindaron a la paciente, también señaló que lo que faltó probar fue si la omisión de la EPS o de la IPS en el suministro del kit fue la causa adecuada del suceso final, que fue la muerte. P</w:t>
      </w:r>
      <w:r w:rsidRPr="009F6859">
        <w:rPr>
          <w:rFonts w:ascii="Gadugi" w:eastAsia="Calibri" w:hAnsi="Gadugi" w:cs="Times New Roman"/>
          <w:sz w:val="24"/>
          <w:szCs w:val="24"/>
          <w:lang w:val="es-419"/>
        </w:rPr>
        <w:t>e</w:t>
      </w:r>
      <w:r w:rsidR="00A94F92" w:rsidRPr="009F6859">
        <w:rPr>
          <w:rFonts w:ascii="Gadugi" w:eastAsia="Calibri" w:hAnsi="Gadugi" w:cs="Times New Roman"/>
          <w:sz w:val="24"/>
          <w:szCs w:val="24"/>
          <w:lang w:val="es-419"/>
        </w:rPr>
        <w:t xml:space="preserve">ro, adicionalmente, lo que advierte la Sala es que ello va ligado a la cuarta crítica que alude a la aplicación para estos casos del inciso 3° del artículo 1604 del C. Civil, según el cual, la prueba de la diligencia y cuidado incumbe al que ha debido emplearlo, y la del caso fortuito a quien la alega. </w:t>
      </w:r>
    </w:p>
    <w:p w14:paraId="12FA2574" w14:textId="217B8977" w:rsidR="00A94F92" w:rsidRPr="009F6859" w:rsidRDefault="00A94F92" w:rsidP="009F6859">
      <w:pPr>
        <w:tabs>
          <w:tab w:val="left" w:pos="2410"/>
        </w:tabs>
        <w:spacing w:after="0" w:line="276" w:lineRule="auto"/>
        <w:jc w:val="both"/>
        <w:rPr>
          <w:rFonts w:ascii="Gadugi" w:eastAsia="Calibri" w:hAnsi="Gadugi" w:cs="Times New Roman"/>
          <w:sz w:val="24"/>
          <w:szCs w:val="24"/>
          <w:lang w:val="es-419"/>
        </w:rPr>
      </w:pPr>
    </w:p>
    <w:p w14:paraId="5DA54C34" w14:textId="5104F4B7" w:rsidR="001E6404" w:rsidRPr="009F6859" w:rsidRDefault="00A94F92"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También en ese aspecto carecen de razón. Recuérdese que se dijo al comienzo que esta causa es de responsabilidad médica civil extracontractual, en cuanto reclaman unas víctimas de rebote; y que</w:t>
      </w:r>
      <w:r w:rsidR="00FE54E5" w:rsidRPr="009F6859">
        <w:rPr>
          <w:rFonts w:ascii="Gadugi" w:eastAsia="Calibri" w:hAnsi="Gadugi" w:cs="Times New Roman"/>
          <w:sz w:val="24"/>
          <w:szCs w:val="24"/>
          <w:lang w:val="es-419"/>
        </w:rPr>
        <w:t>,</w:t>
      </w:r>
      <w:r w:rsidRPr="009F6859">
        <w:rPr>
          <w:rFonts w:ascii="Gadugi" w:eastAsia="Calibri" w:hAnsi="Gadugi" w:cs="Times New Roman"/>
          <w:sz w:val="24"/>
          <w:szCs w:val="24"/>
          <w:lang w:val="es-419"/>
        </w:rPr>
        <w:t xml:space="preserve"> sea contractual o extracontractual, </w:t>
      </w:r>
      <w:r w:rsidR="001E6404" w:rsidRPr="009F6859">
        <w:rPr>
          <w:rFonts w:ascii="Gadugi" w:eastAsia="Calibri" w:hAnsi="Gadugi" w:cs="Times New Roman"/>
          <w:sz w:val="24"/>
          <w:szCs w:val="24"/>
          <w:lang w:val="es-419"/>
        </w:rPr>
        <w:t xml:space="preserve">es de medio y no de resultado, </w:t>
      </w:r>
      <w:r w:rsidR="00FE54E5" w:rsidRPr="009F6859">
        <w:rPr>
          <w:rFonts w:ascii="Gadugi" w:eastAsia="Calibri" w:hAnsi="Gadugi" w:cs="Times New Roman"/>
          <w:sz w:val="24"/>
          <w:szCs w:val="24"/>
          <w:lang w:val="es-419"/>
        </w:rPr>
        <w:t xml:space="preserve">por regla general, así </w:t>
      </w:r>
      <w:r w:rsidR="001E6404" w:rsidRPr="009F6859">
        <w:rPr>
          <w:rFonts w:ascii="Gadugi" w:eastAsia="Calibri" w:hAnsi="Gadugi" w:cs="Times New Roman"/>
          <w:sz w:val="24"/>
          <w:szCs w:val="24"/>
          <w:lang w:val="es-419"/>
        </w:rPr>
        <w:t>que incumbe a los demandantes probar los elementos que le son propios, incluida la culpa. Eso se traduce, a diferencia de lo que dicen lo impugnantes, e</w:t>
      </w:r>
      <w:r w:rsidR="00FE54E5" w:rsidRPr="009F6859">
        <w:rPr>
          <w:rFonts w:ascii="Gadugi" w:eastAsia="Calibri" w:hAnsi="Gadugi" w:cs="Times New Roman"/>
          <w:sz w:val="24"/>
          <w:szCs w:val="24"/>
          <w:lang w:val="es-419"/>
        </w:rPr>
        <w:t>n</w:t>
      </w:r>
      <w:r w:rsidR="001E6404" w:rsidRPr="009F6859">
        <w:rPr>
          <w:rFonts w:ascii="Gadugi" w:eastAsia="Calibri" w:hAnsi="Gadugi" w:cs="Times New Roman"/>
          <w:sz w:val="24"/>
          <w:szCs w:val="24"/>
          <w:lang w:val="es-419"/>
        </w:rPr>
        <w:t xml:space="preserve"> que </w:t>
      </w:r>
      <w:r w:rsidR="00FE54E5" w:rsidRPr="009F6859">
        <w:rPr>
          <w:rFonts w:ascii="Gadugi" w:eastAsia="Calibri" w:hAnsi="Gadugi" w:cs="Times New Roman"/>
          <w:sz w:val="24"/>
          <w:szCs w:val="24"/>
          <w:lang w:val="es-419"/>
        </w:rPr>
        <w:t>no</w:t>
      </w:r>
      <w:r w:rsidR="001E6404" w:rsidRPr="009F6859">
        <w:rPr>
          <w:rFonts w:ascii="Gadugi" w:eastAsia="Calibri" w:hAnsi="Gadugi" w:cs="Times New Roman"/>
          <w:sz w:val="24"/>
          <w:szCs w:val="24"/>
          <w:lang w:val="es-419"/>
        </w:rPr>
        <w:t xml:space="preserve"> se trata de una responsabilidad con culpa presunta. </w:t>
      </w:r>
    </w:p>
    <w:p w14:paraId="490CD344" w14:textId="77777777" w:rsidR="001E6404" w:rsidRPr="009F6859" w:rsidRDefault="001E6404" w:rsidP="009F6859">
      <w:pPr>
        <w:tabs>
          <w:tab w:val="left" w:pos="2410"/>
        </w:tabs>
        <w:spacing w:after="0" w:line="276" w:lineRule="auto"/>
        <w:jc w:val="both"/>
        <w:rPr>
          <w:rFonts w:ascii="Gadugi" w:eastAsia="Calibri" w:hAnsi="Gadugi" w:cs="Times New Roman"/>
          <w:sz w:val="24"/>
          <w:szCs w:val="24"/>
          <w:lang w:val="es-419"/>
        </w:rPr>
      </w:pPr>
    </w:p>
    <w:p w14:paraId="3855F68D" w14:textId="28060D8F" w:rsidR="001E6404" w:rsidRPr="009F6859" w:rsidRDefault="001E6404"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lastRenderedPageBreak/>
        <w:t xml:space="preserve">Sobre el particular, ya esta Colegiatura se ha pronunciado y, en respecto por ese precedente, ya que ningún motivo hay para apartarse de él, se recuerda lo dicho en la sentencia SC-0030-2022 de este </w:t>
      </w:r>
      <w:r w:rsidR="00175DE2" w:rsidRPr="009F6859">
        <w:rPr>
          <w:rFonts w:ascii="Gadugi" w:eastAsia="Calibri" w:hAnsi="Gadugi" w:cs="Times New Roman"/>
          <w:sz w:val="24"/>
          <w:szCs w:val="24"/>
          <w:lang w:val="es-419"/>
        </w:rPr>
        <w:t>Tribunal</w:t>
      </w:r>
      <w:r w:rsidRPr="009F6859">
        <w:rPr>
          <w:rFonts w:ascii="Gadugi" w:eastAsia="Calibri" w:hAnsi="Gadugi" w:cs="Times New Roman"/>
          <w:sz w:val="24"/>
          <w:szCs w:val="24"/>
          <w:lang w:val="es-419"/>
        </w:rPr>
        <w:t xml:space="preserve">, acerca de que: </w:t>
      </w:r>
    </w:p>
    <w:p w14:paraId="118CB6AF" w14:textId="5E4915C3" w:rsidR="001E6404" w:rsidRPr="009F6859" w:rsidRDefault="001E6404" w:rsidP="009F6859">
      <w:pPr>
        <w:tabs>
          <w:tab w:val="left" w:pos="2410"/>
        </w:tabs>
        <w:spacing w:after="0" w:line="276" w:lineRule="auto"/>
        <w:jc w:val="both"/>
        <w:rPr>
          <w:rFonts w:ascii="Gadugi" w:eastAsia="Calibri" w:hAnsi="Gadugi" w:cs="Times New Roman"/>
          <w:sz w:val="24"/>
          <w:szCs w:val="24"/>
          <w:lang w:val="es-419"/>
        </w:rPr>
      </w:pPr>
    </w:p>
    <w:p w14:paraId="635EF972" w14:textId="77777777" w:rsidR="001E6404" w:rsidRPr="00925029" w:rsidRDefault="001E6404" w:rsidP="00925029">
      <w:pPr>
        <w:pStyle w:val="Prrafodelista"/>
        <w:spacing w:line="240" w:lineRule="auto"/>
        <w:ind w:left="426" w:right="420"/>
        <w:jc w:val="both"/>
        <w:rPr>
          <w:rFonts w:ascii="Gadugi" w:hAnsi="Gadugi" w:cs="Arial"/>
          <w:szCs w:val="24"/>
        </w:rPr>
      </w:pPr>
      <w:r w:rsidRPr="00925029">
        <w:rPr>
          <w:rFonts w:ascii="Gadugi" w:hAnsi="Gadugi" w:cs="Arial"/>
          <w:szCs w:val="24"/>
        </w:rPr>
        <w:t>El artículo 1604, inciso 3°, CC, es inaplicable para esta responsabilidad, la regla general es que la asistencia médica es una obligación de medio, de forma excepcional se catalogan algunas de resultado; para las primeras la culpa es probada, mientras que es presunta para las segundas. Este criterio, es doctrina probable (Art.4º, L 169/1896 y C-537-2010) de nuestra CSJ, órgano de cierre de la especialidad, como se expuso con profusión en el acápite 6.4.4. de esta decisión, vigente para estos días y aceptado pacíficamente por la doctrina nacional especializada</w:t>
      </w:r>
      <w:r w:rsidRPr="00925029">
        <w:rPr>
          <w:rStyle w:val="Refdenotaalpie"/>
          <w:rFonts w:ascii="Gadugi" w:hAnsi="Gadugi"/>
          <w:szCs w:val="24"/>
        </w:rPr>
        <w:footnoteReference w:id="62"/>
      </w:r>
      <w:r w:rsidRPr="00925029">
        <w:rPr>
          <w:rFonts w:ascii="Gadugi" w:hAnsi="Gadugi" w:cs="Arial"/>
          <w:szCs w:val="24"/>
        </w:rPr>
        <w:t>.</w:t>
      </w:r>
    </w:p>
    <w:p w14:paraId="4D9467D9" w14:textId="77777777" w:rsidR="001E6404" w:rsidRPr="00925029" w:rsidRDefault="001E6404" w:rsidP="00925029">
      <w:pPr>
        <w:pStyle w:val="Prrafodelista"/>
        <w:spacing w:line="240" w:lineRule="auto"/>
        <w:ind w:left="426" w:right="420"/>
        <w:jc w:val="both"/>
        <w:rPr>
          <w:rFonts w:ascii="Gadugi" w:hAnsi="Gadugi" w:cs="Arial"/>
          <w:szCs w:val="24"/>
        </w:rPr>
      </w:pPr>
    </w:p>
    <w:p w14:paraId="5160DD14" w14:textId="77777777" w:rsidR="001E6404" w:rsidRPr="00925029" w:rsidRDefault="001E6404" w:rsidP="00925029">
      <w:pPr>
        <w:pStyle w:val="Prrafodelista"/>
        <w:spacing w:line="240" w:lineRule="auto"/>
        <w:ind w:left="426" w:right="420"/>
        <w:jc w:val="both"/>
        <w:rPr>
          <w:rFonts w:ascii="Gadugi" w:hAnsi="Gadugi" w:cs="Arial"/>
          <w:szCs w:val="24"/>
        </w:rPr>
      </w:pPr>
      <w:r w:rsidRPr="00925029">
        <w:rPr>
          <w:rFonts w:ascii="Gadugi" w:hAnsi="Gadugi" w:cs="Arial"/>
          <w:szCs w:val="24"/>
        </w:rPr>
        <w:t>Específicamente la CSJ en la decisión de 2001</w:t>
      </w:r>
      <w:r w:rsidRPr="00925029">
        <w:rPr>
          <w:rStyle w:val="Refdenotaalpie"/>
          <w:rFonts w:ascii="Gadugi" w:hAnsi="Gadugi"/>
          <w:szCs w:val="24"/>
        </w:rPr>
        <w:footnoteReference w:id="63"/>
      </w:r>
      <w:r w:rsidRPr="00925029">
        <w:rPr>
          <w:rFonts w:ascii="Gadugi" w:hAnsi="Gadugi" w:cs="Arial"/>
          <w:szCs w:val="24"/>
        </w:rPr>
        <w:t>, hito para el asunto, refutó la aplicación del citado canon, de esta manera:</w:t>
      </w:r>
    </w:p>
    <w:p w14:paraId="0C0E1BAA" w14:textId="77777777" w:rsidR="001E6404" w:rsidRPr="00925029" w:rsidRDefault="001E6404" w:rsidP="00925029">
      <w:pPr>
        <w:pStyle w:val="Prrafodelista"/>
        <w:spacing w:line="240" w:lineRule="auto"/>
        <w:ind w:left="426" w:right="420"/>
        <w:jc w:val="both"/>
        <w:rPr>
          <w:rFonts w:ascii="Gadugi" w:hAnsi="Gadugi" w:cs="Arial"/>
          <w:szCs w:val="24"/>
        </w:rPr>
      </w:pPr>
    </w:p>
    <w:p w14:paraId="044C5EA0" w14:textId="0886E53D" w:rsidR="00562572" w:rsidRPr="00925029" w:rsidRDefault="001E6404" w:rsidP="003B7DE1">
      <w:pPr>
        <w:pStyle w:val="Prrafodelista"/>
        <w:spacing w:after="0" w:line="240" w:lineRule="auto"/>
        <w:ind w:left="426" w:right="420"/>
        <w:jc w:val="both"/>
        <w:rPr>
          <w:rFonts w:ascii="Gadugi" w:hAnsi="Gadugi"/>
          <w:szCs w:val="24"/>
        </w:rPr>
      </w:pPr>
      <w:r w:rsidRPr="00925029">
        <w:rPr>
          <w:rFonts w:ascii="Gadugi" w:hAnsi="Gadugi"/>
          <w:szCs w:val="24"/>
        </w:rPr>
        <w:t xml:space="preserve">Aunque la Corte en otras ocasiones, tal como se observa en la reseña jurisprudencial, ha partido de la distinción entre obligaciones de medio y de resultado, para definir la distribución de la carga de la prueba en la responsabilidad contractual del médico, lo cierto es que sin desconocer la importancia de la sistematización y denominación de las obligaciones </w:t>
      </w:r>
      <w:r w:rsidRPr="00925029">
        <w:rPr>
          <w:rFonts w:ascii="Gadugi" w:hAnsi="Gadugi"/>
          <w:i/>
          <w:szCs w:val="24"/>
        </w:rPr>
        <w:t xml:space="preserve">”de </w:t>
      </w:r>
      <w:proofErr w:type="spellStart"/>
      <w:r w:rsidRPr="00925029">
        <w:rPr>
          <w:rFonts w:ascii="Gadugi" w:hAnsi="Gadugi"/>
          <w:i/>
          <w:szCs w:val="24"/>
        </w:rPr>
        <w:t>moyens</w:t>
      </w:r>
      <w:proofErr w:type="spellEnd"/>
      <w:r w:rsidRPr="00925029">
        <w:rPr>
          <w:rFonts w:ascii="Gadugi" w:hAnsi="Gadugi"/>
          <w:i/>
          <w:szCs w:val="24"/>
        </w:rPr>
        <w:t>”</w:t>
      </w:r>
      <w:r w:rsidRPr="00925029">
        <w:rPr>
          <w:rFonts w:ascii="Gadugi" w:hAnsi="Gadugi"/>
          <w:szCs w:val="24"/>
        </w:rPr>
        <w:t xml:space="preserve"> y </w:t>
      </w:r>
      <w:r w:rsidRPr="00925029">
        <w:rPr>
          <w:rFonts w:ascii="Gadugi" w:hAnsi="Gadugi"/>
          <w:i/>
          <w:szCs w:val="24"/>
        </w:rPr>
        <w:t xml:space="preserve">“de </w:t>
      </w:r>
      <w:proofErr w:type="spellStart"/>
      <w:r w:rsidRPr="00925029">
        <w:rPr>
          <w:rFonts w:ascii="Gadugi" w:hAnsi="Gadugi"/>
          <w:i/>
          <w:szCs w:val="24"/>
        </w:rPr>
        <w:t>résultat</w:t>
      </w:r>
      <w:proofErr w:type="spellEnd"/>
      <w:r w:rsidRPr="00925029">
        <w:rPr>
          <w:rFonts w:ascii="Gadugi" w:hAnsi="Gadugi"/>
          <w:i/>
          <w:szCs w:val="24"/>
        </w:rPr>
        <w:t>”</w:t>
      </w:r>
      <w:r w:rsidRPr="00925029">
        <w:rPr>
          <w:rFonts w:ascii="Gadugi" w:hAnsi="Gadugi"/>
          <w:szCs w:val="24"/>
        </w:rPr>
        <w:t xml:space="preserve">, atribuida a René </w:t>
      </w:r>
      <w:proofErr w:type="spellStart"/>
      <w:r w:rsidRPr="00925029">
        <w:rPr>
          <w:rFonts w:ascii="Gadugi" w:hAnsi="Gadugi"/>
          <w:szCs w:val="24"/>
        </w:rPr>
        <w:t>Demogue</w:t>
      </w:r>
      <w:proofErr w:type="spellEnd"/>
      <w:r w:rsidRPr="00925029">
        <w:rPr>
          <w:rFonts w:ascii="Gadugi" w:hAnsi="Gadugi"/>
          <w:szCs w:val="24"/>
        </w:rPr>
        <w:t xml:space="preserve">, que sin duda alguna juegan rol importante para efectos de determinar el comportamiento que debe asumirse, </w:t>
      </w:r>
      <w:r w:rsidRPr="00925029">
        <w:rPr>
          <w:rFonts w:ascii="Gadugi" w:hAnsi="Gadugi"/>
          <w:szCs w:val="24"/>
          <w:u w:val="single"/>
        </w:rPr>
        <w:t>lo fundamental está en identificar el contenido y alcance del contrato de prestación de servicios médicos celebrado en el caso concreto, porque es este contrato específico el que va a indicar los deberes jurídicos que hubo de asumir el médico, y por contera el comportamiento de la carga de la prueba en torno a los elementos que configuran su responsabilidad y particularmente de la culpa</w:t>
      </w:r>
      <w:r w:rsidRPr="00925029">
        <w:rPr>
          <w:rFonts w:ascii="Gadugi" w:hAnsi="Gadugi"/>
          <w:szCs w:val="24"/>
        </w:rPr>
        <w:t>, porque bien puede suceder, como en efecto ocurre, que el régimen jurídico específico excepcione el general de los primeros incisos del artículo 1604 del Código Civil, conforme lo autoriza el inciso final de la norma.</w:t>
      </w:r>
    </w:p>
    <w:p w14:paraId="56E5C565" w14:textId="77777777" w:rsidR="00562572" w:rsidRPr="003B7DE1" w:rsidRDefault="00562572" w:rsidP="003B7DE1">
      <w:pPr>
        <w:tabs>
          <w:tab w:val="left" w:pos="2410"/>
        </w:tabs>
        <w:spacing w:after="0" w:line="276" w:lineRule="auto"/>
        <w:jc w:val="both"/>
        <w:rPr>
          <w:rFonts w:ascii="Gadugi" w:eastAsia="Calibri" w:hAnsi="Gadugi" w:cs="Times New Roman"/>
          <w:sz w:val="24"/>
          <w:szCs w:val="24"/>
          <w:lang w:val="es-419"/>
        </w:rPr>
      </w:pPr>
    </w:p>
    <w:p w14:paraId="2931F58B" w14:textId="5F790325" w:rsidR="00562572" w:rsidRPr="009F6859" w:rsidRDefault="00562572"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Lo dicho hasta aquí sirve igualmente para responder a los reparos séptimo a décimo, de los que se enlistaron, </w:t>
      </w:r>
      <w:r w:rsidR="00E87CB0" w:rsidRPr="009F6859">
        <w:rPr>
          <w:rFonts w:ascii="Gadugi" w:eastAsia="Calibri" w:hAnsi="Gadugi" w:cs="Times New Roman"/>
          <w:sz w:val="24"/>
          <w:szCs w:val="24"/>
          <w:lang w:val="es-419"/>
        </w:rPr>
        <w:t xml:space="preserve">que recaen en </w:t>
      </w:r>
      <w:r w:rsidRPr="009F6859">
        <w:rPr>
          <w:rFonts w:ascii="Gadugi" w:eastAsia="Calibri" w:hAnsi="Gadugi" w:cs="Times New Roman"/>
          <w:sz w:val="24"/>
          <w:szCs w:val="24"/>
          <w:lang w:val="es-419"/>
        </w:rPr>
        <w:t xml:space="preserve">la atención brindada a la paciente. </w:t>
      </w:r>
    </w:p>
    <w:p w14:paraId="7A0AF602" w14:textId="77777777" w:rsidR="00562572" w:rsidRPr="009F6859" w:rsidRDefault="00562572" w:rsidP="009F6859">
      <w:pPr>
        <w:tabs>
          <w:tab w:val="left" w:pos="2410"/>
        </w:tabs>
        <w:spacing w:after="0" w:line="276" w:lineRule="auto"/>
        <w:jc w:val="both"/>
        <w:rPr>
          <w:rFonts w:ascii="Gadugi" w:eastAsia="Calibri" w:hAnsi="Gadugi" w:cs="Times New Roman"/>
          <w:sz w:val="24"/>
          <w:szCs w:val="24"/>
          <w:lang w:val="es-419"/>
        </w:rPr>
      </w:pPr>
    </w:p>
    <w:p w14:paraId="34D4D0E7" w14:textId="7CA5A72A" w:rsidR="001E6404" w:rsidRPr="009F6859" w:rsidRDefault="00F9636C"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2.14.5. La </w:t>
      </w:r>
      <w:r w:rsidR="000F424D" w:rsidRPr="009F6859">
        <w:rPr>
          <w:rFonts w:ascii="Gadugi" w:eastAsia="Calibri" w:hAnsi="Gadugi" w:cs="Times New Roman"/>
          <w:sz w:val="24"/>
          <w:szCs w:val="24"/>
          <w:lang w:val="es-419"/>
        </w:rPr>
        <w:t xml:space="preserve">quinta protesta, relacionada con los efectos de la falta de contestación de la demanda y la inasistencia de los representantes legales a la audiencia de interrogatorios, tampoco trasciende. Por una parte, el Juzgado </w:t>
      </w:r>
      <w:r w:rsidR="00377713" w:rsidRPr="009F6859">
        <w:rPr>
          <w:rFonts w:ascii="Gadugi" w:eastAsia="Calibri" w:hAnsi="Gadugi" w:cs="Times New Roman"/>
          <w:sz w:val="24"/>
          <w:szCs w:val="24"/>
          <w:lang w:val="es-419"/>
        </w:rPr>
        <w:t>definió con antelación las consecuencias de esas conductas. Respecto de la Clínica Risaralda, dijo que se tendría en cuenta como un indicio grave el no subsanar la contestación</w:t>
      </w:r>
      <w:r w:rsidR="00377713" w:rsidRPr="009F6859">
        <w:rPr>
          <w:rStyle w:val="Refdenotaalpie"/>
          <w:rFonts w:ascii="Gadugi" w:eastAsia="Calibri" w:hAnsi="Gadugi" w:cs="Times New Roman"/>
          <w:sz w:val="24"/>
          <w:szCs w:val="24"/>
          <w:lang w:val="es-419"/>
        </w:rPr>
        <w:footnoteReference w:id="64"/>
      </w:r>
      <w:r w:rsidR="00377713" w:rsidRPr="009F6859">
        <w:rPr>
          <w:rFonts w:ascii="Gadugi" w:eastAsia="Calibri" w:hAnsi="Gadugi" w:cs="Times New Roman"/>
          <w:sz w:val="24"/>
          <w:szCs w:val="24"/>
          <w:lang w:val="es-419"/>
        </w:rPr>
        <w:t>; y sobre Humana Vivir EPS, señaló que se tendrían como ciertos los hechos 4, 6 y 9, relacionados con la vinculación de la víctima directa con la entidad y de esta con la IPS, pero, de manera concreta, dijo que los demás hechos no admitían prueba de confesión</w:t>
      </w:r>
      <w:r w:rsidR="00377713" w:rsidRPr="009F6859">
        <w:rPr>
          <w:rStyle w:val="Refdenotaalpie"/>
          <w:rFonts w:ascii="Gadugi" w:eastAsia="Calibri" w:hAnsi="Gadugi" w:cs="Times New Roman"/>
          <w:sz w:val="24"/>
          <w:szCs w:val="24"/>
          <w:lang w:val="es-419"/>
        </w:rPr>
        <w:footnoteReference w:id="65"/>
      </w:r>
      <w:r w:rsidR="00377713" w:rsidRPr="009F6859">
        <w:rPr>
          <w:rFonts w:ascii="Gadugi" w:eastAsia="Calibri" w:hAnsi="Gadugi" w:cs="Times New Roman"/>
          <w:sz w:val="24"/>
          <w:szCs w:val="24"/>
          <w:lang w:val="es-419"/>
        </w:rPr>
        <w:t xml:space="preserve">. Ninguna de esas providencias fue recurrida por las partes, de manera que es </w:t>
      </w:r>
      <w:r w:rsidR="00377713" w:rsidRPr="009F6859">
        <w:rPr>
          <w:rFonts w:ascii="Gadugi" w:eastAsia="Calibri" w:hAnsi="Gadugi" w:cs="Times New Roman"/>
          <w:sz w:val="24"/>
          <w:szCs w:val="24"/>
          <w:lang w:val="es-419"/>
        </w:rPr>
        <w:lastRenderedPageBreak/>
        <w:t xml:space="preserve">desafortunado proponer un dislate de esa naturaleza en las postrimerías del proceso, cuando se había estado conforme con lo resuelto. </w:t>
      </w:r>
    </w:p>
    <w:p w14:paraId="3E704631" w14:textId="755B5720" w:rsidR="00377713" w:rsidRPr="009F6859" w:rsidRDefault="00377713" w:rsidP="009F6859">
      <w:pPr>
        <w:tabs>
          <w:tab w:val="left" w:pos="2410"/>
        </w:tabs>
        <w:spacing w:after="0" w:line="276" w:lineRule="auto"/>
        <w:jc w:val="both"/>
        <w:rPr>
          <w:rFonts w:ascii="Gadugi" w:eastAsia="Calibri" w:hAnsi="Gadugi" w:cs="Times New Roman"/>
          <w:sz w:val="24"/>
          <w:szCs w:val="24"/>
          <w:lang w:val="es-419"/>
        </w:rPr>
      </w:pPr>
    </w:p>
    <w:p w14:paraId="50A9CECC" w14:textId="1D36ED25" w:rsidR="00562572" w:rsidRPr="009F6859" w:rsidRDefault="00562572"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Más aún. En la audiencia del artículo 373, el juzgado reiteró que el debate estaría centrado en establecer la culpa de las demandadas, luego el nexo causal entre su conducta y el daño y, si ello salía avante, el resarcimiento de los perjuicios. Con ello estuvo de acuerdo el apoderado de los demandantes, lo que indica que el nexo causal no estaba probado hasta ese momento</w:t>
      </w:r>
      <w:r w:rsidR="0021525C" w:rsidRPr="009F6859">
        <w:rPr>
          <w:rFonts w:ascii="Gadugi" w:eastAsia="Calibri" w:hAnsi="Gadugi" w:cs="Times New Roman"/>
          <w:sz w:val="24"/>
          <w:szCs w:val="24"/>
          <w:lang w:val="es-419"/>
        </w:rPr>
        <w:t xml:space="preserve">, ni lo fue después. </w:t>
      </w:r>
    </w:p>
    <w:p w14:paraId="103015BA" w14:textId="77777777" w:rsidR="00C60391" w:rsidRPr="009F6859" w:rsidRDefault="00C60391" w:rsidP="009F6859">
      <w:pPr>
        <w:tabs>
          <w:tab w:val="left" w:pos="2410"/>
        </w:tabs>
        <w:spacing w:after="0" w:line="276" w:lineRule="auto"/>
        <w:jc w:val="both"/>
        <w:rPr>
          <w:rFonts w:ascii="Gadugi" w:eastAsia="Calibri" w:hAnsi="Gadugi" w:cs="Times New Roman"/>
          <w:sz w:val="24"/>
          <w:szCs w:val="24"/>
          <w:lang w:val="es-419"/>
        </w:rPr>
      </w:pPr>
    </w:p>
    <w:p w14:paraId="1473A9CE" w14:textId="59DA0E74" w:rsidR="00377713" w:rsidRPr="009F6859" w:rsidRDefault="0021525C"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Y es que, e</w:t>
      </w:r>
      <w:r w:rsidR="00377713" w:rsidRPr="009F6859">
        <w:rPr>
          <w:rFonts w:ascii="Gadugi" w:eastAsia="Calibri" w:hAnsi="Gadugi" w:cs="Times New Roman"/>
          <w:sz w:val="24"/>
          <w:szCs w:val="24"/>
          <w:lang w:val="es-419"/>
        </w:rPr>
        <w:t xml:space="preserve">n cualquier caso, aun si se le diera la razón, </w:t>
      </w:r>
      <w:r w:rsidR="00FC491E" w:rsidRPr="009F6859">
        <w:rPr>
          <w:rFonts w:ascii="Gadugi" w:eastAsia="Calibri" w:hAnsi="Gadugi" w:cs="Times New Roman"/>
          <w:sz w:val="24"/>
          <w:szCs w:val="24"/>
          <w:lang w:val="es-419"/>
        </w:rPr>
        <w:t xml:space="preserve">la confesión no podría ir más allá de lo que dicen los hechos de la demanda, esto es, que a la paciente se le negó el suministro de un kit de ligadura. </w:t>
      </w:r>
      <w:r w:rsidR="00175DE2" w:rsidRPr="009F6859">
        <w:rPr>
          <w:rFonts w:ascii="Gadugi" w:eastAsia="Calibri" w:hAnsi="Gadugi" w:cs="Times New Roman"/>
          <w:sz w:val="24"/>
          <w:szCs w:val="24"/>
          <w:lang w:val="es-419"/>
        </w:rPr>
        <w:t xml:space="preserve">Sin embargo, </w:t>
      </w:r>
      <w:r w:rsidR="00FC491E" w:rsidRPr="009F6859">
        <w:rPr>
          <w:rFonts w:ascii="Gadugi" w:eastAsia="Calibri" w:hAnsi="Gadugi" w:cs="Times New Roman"/>
          <w:sz w:val="24"/>
          <w:szCs w:val="24"/>
          <w:lang w:val="es-419"/>
        </w:rPr>
        <w:t xml:space="preserve">se insiste en ello, el problema </w:t>
      </w:r>
      <w:r w:rsidR="00175DE2" w:rsidRPr="009F6859">
        <w:rPr>
          <w:rFonts w:ascii="Gadugi" w:eastAsia="Calibri" w:hAnsi="Gadugi" w:cs="Times New Roman"/>
          <w:sz w:val="24"/>
          <w:szCs w:val="24"/>
          <w:lang w:val="es-419"/>
        </w:rPr>
        <w:t>es otro, el de la</w:t>
      </w:r>
      <w:r w:rsidR="00FC491E" w:rsidRPr="009F6859">
        <w:rPr>
          <w:rFonts w:ascii="Gadugi" w:eastAsia="Calibri" w:hAnsi="Gadugi" w:cs="Times New Roman"/>
          <w:sz w:val="24"/>
          <w:szCs w:val="24"/>
          <w:lang w:val="es-419"/>
        </w:rPr>
        <w:t xml:space="preserve"> causalidad que, por supuesto, </w:t>
      </w:r>
      <w:r w:rsidR="5A03A944" w:rsidRPr="009F6859">
        <w:rPr>
          <w:rFonts w:ascii="Gadugi" w:eastAsia="Calibri" w:hAnsi="Gadugi" w:cs="Times New Roman"/>
          <w:sz w:val="24"/>
          <w:szCs w:val="24"/>
          <w:lang w:val="es-419"/>
        </w:rPr>
        <w:t>no s</w:t>
      </w:r>
      <w:r w:rsidR="00FC491E" w:rsidRPr="009F6859">
        <w:rPr>
          <w:rFonts w:ascii="Gadugi" w:eastAsia="Calibri" w:hAnsi="Gadugi" w:cs="Times New Roman"/>
          <w:sz w:val="24"/>
          <w:szCs w:val="24"/>
          <w:lang w:val="es-419"/>
        </w:rPr>
        <w:t xml:space="preserve">e desprende de esa inasistencia de los representantes legales de las demandadas a la audiencia en la que se les iba a interrogar. </w:t>
      </w:r>
    </w:p>
    <w:p w14:paraId="4F68B40D" w14:textId="06333588" w:rsidR="00FC491E" w:rsidRPr="009F6859" w:rsidRDefault="00FC491E" w:rsidP="009F6859">
      <w:pPr>
        <w:tabs>
          <w:tab w:val="left" w:pos="2410"/>
        </w:tabs>
        <w:spacing w:after="0" w:line="276" w:lineRule="auto"/>
        <w:jc w:val="both"/>
        <w:rPr>
          <w:rFonts w:ascii="Gadugi" w:eastAsia="Calibri" w:hAnsi="Gadugi" w:cs="Times New Roman"/>
          <w:sz w:val="24"/>
          <w:szCs w:val="24"/>
          <w:lang w:val="es-419"/>
        </w:rPr>
      </w:pPr>
    </w:p>
    <w:p w14:paraId="69E4B6CB" w14:textId="78C869DC" w:rsidR="00CE5B9C" w:rsidRPr="009F6859" w:rsidRDefault="00937227" w:rsidP="009F6859">
      <w:pPr>
        <w:tabs>
          <w:tab w:val="left" w:pos="2410"/>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2.14.6. Sobre la sexta réplica, poco hay por decir. Basta revisar la actuación de los jueces que conocieron de la causa para ver cómo insistieron en la práctica del dictamen pericial, que era la prueba técnica que hubiera podido despejar las inquietudes en este asunto. Pero al final, el silencio de las partes, a quienes se les requirió el pago de los gastos solicitados, impidió su práctica. Venir ahora con el argumento de que ha debido decretarse de oficio, no hace más que poner al descubierto la incuria de los litigantes en este proceso. </w:t>
      </w:r>
    </w:p>
    <w:p w14:paraId="3B9217F4" w14:textId="77777777" w:rsidR="00562572" w:rsidRPr="009F6859" w:rsidRDefault="00562572" w:rsidP="009F6859">
      <w:pPr>
        <w:tabs>
          <w:tab w:val="left" w:pos="2410"/>
        </w:tabs>
        <w:spacing w:after="0" w:line="276" w:lineRule="auto"/>
        <w:jc w:val="both"/>
        <w:rPr>
          <w:rFonts w:ascii="Gadugi" w:eastAsia="Calibri" w:hAnsi="Gadugi" w:cs="Times New Roman"/>
          <w:sz w:val="24"/>
          <w:szCs w:val="24"/>
          <w:lang w:val="es-419"/>
        </w:rPr>
      </w:pPr>
    </w:p>
    <w:p w14:paraId="6B5A197B" w14:textId="752B5911" w:rsidR="00562572" w:rsidRPr="009F6859" w:rsidRDefault="00562572" w:rsidP="009F6859">
      <w:pPr>
        <w:pStyle w:val="Prrafodelista"/>
        <w:numPr>
          <w:ilvl w:val="2"/>
          <w:numId w:val="12"/>
        </w:numPr>
        <w:tabs>
          <w:tab w:val="left" w:pos="567"/>
          <w:tab w:val="left" w:pos="993"/>
          <w:tab w:val="left" w:pos="2410"/>
        </w:tabs>
        <w:spacing w:after="0" w:line="276" w:lineRule="auto"/>
        <w:ind w:left="0" w:firstLine="0"/>
        <w:jc w:val="both"/>
        <w:rPr>
          <w:rFonts w:ascii="Gadugi" w:eastAsia="Calibri" w:hAnsi="Gadugi" w:cs="Times New Roman"/>
          <w:sz w:val="24"/>
          <w:szCs w:val="24"/>
          <w:lang w:val="es-419"/>
        </w:rPr>
      </w:pPr>
      <w:bookmarkStart w:id="2" w:name="_Hlk135848388"/>
      <w:r w:rsidRPr="009F6859">
        <w:rPr>
          <w:rFonts w:ascii="Gadugi" w:eastAsia="Calibri" w:hAnsi="Gadugi" w:cs="Times New Roman"/>
          <w:sz w:val="24"/>
          <w:szCs w:val="24"/>
          <w:lang w:val="es-419"/>
        </w:rPr>
        <w:t>Queda por elucidar la última queja</w:t>
      </w:r>
      <w:r w:rsidR="00FE2EAE" w:rsidRPr="009F6859">
        <w:rPr>
          <w:rFonts w:ascii="Gadugi" w:eastAsia="Calibri" w:hAnsi="Gadugi" w:cs="Times New Roman"/>
          <w:sz w:val="24"/>
          <w:szCs w:val="24"/>
          <w:lang w:val="es-419"/>
        </w:rPr>
        <w:t>,</w:t>
      </w:r>
      <w:r w:rsidRPr="009F6859">
        <w:rPr>
          <w:rFonts w:ascii="Gadugi" w:eastAsia="Calibri" w:hAnsi="Gadugi" w:cs="Times New Roman"/>
          <w:sz w:val="24"/>
          <w:szCs w:val="24"/>
          <w:lang w:val="es-419"/>
        </w:rPr>
        <w:t xml:space="preserve"> que centran los demandantes en que el </w:t>
      </w:r>
      <w:r w:rsidR="00CE5B9C" w:rsidRPr="009F6859">
        <w:rPr>
          <w:rFonts w:ascii="Gadugi" w:eastAsia="Calibri" w:hAnsi="Gadugi" w:cs="Times New Roman"/>
          <w:sz w:val="24"/>
          <w:szCs w:val="24"/>
          <w:lang w:val="es-419"/>
        </w:rPr>
        <w:t xml:space="preserve">bien </w:t>
      </w:r>
      <w:r w:rsidR="00CE5B9C" w:rsidRPr="009F6859">
        <w:rPr>
          <w:rFonts w:ascii="Gadugi" w:eastAsia="Calibri" w:hAnsi="Gadugi" w:cs="Times New Roman"/>
          <w:sz w:val="24"/>
          <w:szCs w:val="24"/>
          <w:lang w:val="es-ES"/>
        </w:rPr>
        <w:t>jurídicamente protegido es el derecho al goce de la vida, configurado en la pérdida del chance o la oportunidad de recuperarse de la paciente</w:t>
      </w:r>
      <w:r w:rsidRPr="009F6859">
        <w:rPr>
          <w:rFonts w:ascii="Gadugi" w:eastAsia="Calibri" w:hAnsi="Gadugi" w:cs="Times New Roman"/>
          <w:sz w:val="24"/>
          <w:szCs w:val="24"/>
          <w:lang w:val="es-ES"/>
        </w:rPr>
        <w:t xml:space="preserve">. </w:t>
      </w:r>
      <w:r w:rsidR="00FE2EAE" w:rsidRPr="009F6859">
        <w:rPr>
          <w:rFonts w:ascii="Gadugi" w:eastAsia="Calibri" w:hAnsi="Gadugi" w:cs="Times New Roman"/>
          <w:sz w:val="24"/>
          <w:szCs w:val="24"/>
          <w:lang w:val="es-ES"/>
        </w:rPr>
        <w:t>Así mismo lo plantearon en la demanda</w:t>
      </w:r>
      <w:bookmarkEnd w:id="2"/>
      <w:r w:rsidR="00FE2EAE" w:rsidRPr="009F6859">
        <w:rPr>
          <w:rStyle w:val="Refdenotaalpie"/>
          <w:rFonts w:ascii="Gadugi" w:eastAsia="Calibri" w:hAnsi="Gadugi" w:cs="Times New Roman"/>
          <w:sz w:val="24"/>
          <w:szCs w:val="24"/>
          <w:lang w:val="es-ES"/>
        </w:rPr>
        <w:footnoteReference w:id="66"/>
      </w:r>
      <w:r w:rsidR="00FE2EAE" w:rsidRPr="009F6859">
        <w:rPr>
          <w:rFonts w:ascii="Gadugi" w:eastAsia="Calibri" w:hAnsi="Gadugi" w:cs="Times New Roman"/>
          <w:sz w:val="24"/>
          <w:szCs w:val="24"/>
          <w:lang w:val="es-ES"/>
        </w:rPr>
        <w:t>. L</w:t>
      </w:r>
      <w:r w:rsidR="00E87CB0" w:rsidRPr="009F6859">
        <w:rPr>
          <w:rFonts w:ascii="Gadugi" w:eastAsia="Calibri" w:hAnsi="Gadugi" w:cs="Times New Roman"/>
          <w:sz w:val="24"/>
          <w:szCs w:val="24"/>
          <w:lang w:val="es-ES"/>
        </w:rPr>
        <w:t xml:space="preserve">uego de </w:t>
      </w:r>
      <w:r w:rsidR="00FE2EAE" w:rsidRPr="009F6859">
        <w:rPr>
          <w:rFonts w:ascii="Gadugi" w:eastAsia="Calibri" w:hAnsi="Gadugi" w:cs="Times New Roman"/>
          <w:sz w:val="24"/>
          <w:szCs w:val="24"/>
          <w:lang w:val="es-ES"/>
        </w:rPr>
        <w:t xml:space="preserve">apoyar esa tesis en jurisprudencia del Consejo de Estado, </w:t>
      </w:r>
      <w:r w:rsidR="00E87CB0" w:rsidRPr="009F6859">
        <w:rPr>
          <w:rFonts w:ascii="Gadugi" w:eastAsia="Calibri" w:hAnsi="Gadugi" w:cs="Times New Roman"/>
          <w:sz w:val="24"/>
          <w:szCs w:val="24"/>
          <w:lang w:val="es-ES"/>
        </w:rPr>
        <w:t xml:space="preserve">sostienen que en ninguna de las actuaciones realizadas por las instituciones demandadas </w:t>
      </w:r>
      <w:r w:rsidR="00E87CB0" w:rsidRPr="009F6859">
        <w:rPr>
          <w:rFonts w:ascii="Gadugi" w:eastAsia="Calibri" w:hAnsi="Gadugi" w:cs="Times New Roman"/>
          <w:i/>
          <w:iCs/>
          <w:sz w:val="24"/>
          <w:szCs w:val="24"/>
          <w:lang w:val="es-ES"/>
        </w:rPr>
        <w:t>“</w:t>
      </w:r>
      <w:r w:rsidR="00E87CB0" w:rsidRPr="00C55E9E">
        <w:rPr>
          <w:rFonts w:ascii="Gadugi" w:eastAsia="Calibri" w:hAnsi="Gadugi" w:cs="Times New Roman"/>
          <w:i/>
          <w:iCs/>
          <w:szCs w:val="24"/>
          <w:lang w:val="es-ES"/>
        </w:rPr>
        <w:t>se dejó ver el mínimo asomo de diligencia y cuidado por parte de sus representantes legales, es más, no obra absolutamente ninguna actuación de estos, violando flagrantemente la posición de garantes que les asistía respecto a la paciente, vulnerándole clara y directamente su derecho a la vida -pérdida de la oportunidad de sanar- pues eran los encargados funcional y materialmente de dar las autorizaciones respectivas</w:t>
      </w:r>
      <w:r w:rsidR="00FE2EAE" w:rsidRPr="009F6859">
        <w:rPr>
          <w:rFonts w:ascii="Gadugi" w:eastAsia="Calibri" w:hAnsi="Gadugi" w:cs="Times New Roman"/>
          <w:i/>
          <w:iCs/>
          <w:sz w:val="24"/>
          <w:szCs w:val="24"/>
          <w:lang w:val="es-ES"/>
        </w:rPr>
        <w:t>”</w:t>
      </w:r>
      <w:r w:rsidR="00E87CB0" w:rsidRPr="009F6859">
        <w:rPr>
          <w:rFonts w:ascii="Gadugi" w:eastAsia="Calibri" w:hAnsi="Gadugi" w:cs="Times New Roman"/>
          <w:sz w:val="24"/>
          <w:szCs w:val="24"/>
          <w:lang w:val="es-ES"/>
        </w:rPr>
        <w:t>.</w:t>
      </w:r>
    </w:p>
    <w:p w14:paraId="1B04C8A8" w14:textId="219282AA" w:rsidR="00FE2EAE" w:rsidRPr="009F6859" w:rsidRDefault="00FE2EAE" w:rsidP="009F6859">
      <w:pPr>
        <w:pStyle w:val="Prrafodelista"/>
        <w:tabs>
          <w:tab w:val="left" w:pos="567"/>
          <w:tab w:val="left" w:pos="993"/>
          <w:tab w:val="left" w:pos="2410"/>
        </w:tabs>
        <w:spacing w:after="0" w:line="276" w:lineRule="auto"/>
        <w:ind w:left="0"/>
        <w:jc w:val="both"/>
        <w:rPr>
          <w:rFonts w:ascii="Gadugi" w:eastAsia="Calibri" w:hAnsi="Gadugi" w:cs="Times New Roman"/>
          <w:sz w:val="24"/>
          <w:szCs w:val="24"/>
          <w:lang w:val="es-ES"/>
        </w:rPr>
      </w:pPr>
    </w:p>
    <w:p w14:paraId="5A3F9E53" w14:textId="0F7B193A" w:rsidR="00C60391" w:rsidRPr="009F6859" w:rsidRDefault="0021525C" w:rsidP="009F6859">
      <w:pPr>
        <w:tabs>
          <w:tab w:val="left" w:pos="2410"/>
        </w:tabs>
        <w:spacing w:after="0" w:line="276" w:lineRule="auto"/>
        <w:jc w:val="both"/>
        <w:rPr>
          <w:rFonts w:ascii="Gadugi" w:eastAsia="Calibri" w:hAnsi="Gadugi" w:cs="Times New Roman"/>
          <w:sz w:val="24"/>
          <w:szCs w:val="24"/>
          <w:lang w:val="es-ES"/>
        </w:rPr>
      </w:pPr>
      <w:r w:rsidRPr="009F6859">
        <w:rPr>
          <w:rFonts w:ascii="Gadugi" w:eastAsia="Calibri" w:hAnsi="Gadugi" w:cs="Times New Roman"/>
          <w:sz w:val="24"/>
          <w:szCs w:val="24"/>
          <w:lang w:val="es-419"/>
        </w:rPr>
        <w:t>La teoría de la pérdida del chace o de una oportunidad ha sido expuesta desde diversas perspectivas</w:t>
      </w:r>
      <w:r w:rsidR="00C60391" w:rsidRPr="009F6859">
        <w:rPr>
          <w:rFonts w:ascii="Gadugi" w:eastAsia="Calibri" w:hAnsi="Gadugi" w:cs="Times New Roman"/>
          <w:sz w:val="24"/>
          <w:szCs w:val="24"/>
          <w:lang w:val="es-419"/>
        </w:rPr>
        <w:t xml:space="preserve">. Unos la ven </w:t>
      </w:r>
      <w:r w:rsidR="00C60391" w:rsidRPr="009F6859">
        <w:rPr>
          <w:rFonts w:ascii="Gadugi" w:eastAsia="Calibri" w:hAnsi="Gadugi" w:cs="Times New Roman"/>
          <w:sz w:val="24"/>
          <w:szCs w:val="24"/>
          <w:lang w:val="es-ES"/>
        </w:rPr>
        <w:t>como daño autónomo; otros la analizan como un tipo de perjuicio material; unos más la califican como uno de tipo extrapatrimonial; o la mantienen en el plano de la causalidad, según explica la doctrina</w:t>
      </w:r>
      <w:r w:rsidR="00C60391" w:rsidRPr="009F6859">
        <w:rPr>
          <w:rStyle w:val="Refdenotaalpie"/>
          <w:rFonts w:ascii="Gadugi" w:eastAsia="Calibri" w:hAnsi="Gadugi" w:cs="Times New Roman"/>
          <w:sz w:val="24"/>
          <w:szCs w:val="24"/>
          <w:lang w:val="es-ES"/>
        </w:rPr>
        <w:footnoteReference w:id="67"/>
      </w:r>
      <w:r w:rsidR="00C60391" w:rsidRPr="009F6859">
        <w:rPr>
          <w:rFonts w:ascii="Gadugi" w:eastAsia="Calibri" w:hAnsi="Gadugi" w:cs="Times New Roman"/>
          <w:sz w:val="24"/>
          <w:szCs w:val="24"/>
          <w:vertAlign w:val="superscript"/>
          <w:lang w:val="es-ES"/>
        </w:rPr>
        <w:t>-</w:t>
      </w:r>
      <w:r w:rsidR="00C60391" w:rsidRPr="009F6859">
        <w:rPr>
          <w:rStyle w:val="Refdenotaalpie"/>
          <w:rFonts w:ascii="Gadugi" w:eastAsia="Calibri" w:hAnsi="Gadugi" w:cs="Times New Roman"/>
          <w:sz w:val="24"/>
          <w:szCs w:val="24"/>
          <w:lang w:val="es-ES"/>
        </w:rPr>
        <w:footnoteReference w:id="68"/>
      </w:r>
      <w:r w:rsidR="00C60391" w:rsidRPr="009F6859">
        <w:rPr>
          <w:rFonts w:ascii="Gadugi" w:eastAsia="Calibri" w:hAnsi="Gadugi" w:cs="Times New Roman"/>
          <w:sz w:val="24"/>
          <w:szCs w:val="24"/>
          <w:lang w:val="es-ES"/>
        </w:rPr>
        <w:t xml:space="preserve">. </w:t>
      </w:r>
    </w:p>
    <w:p w14:paraId="01AD6B53" w14:textId="77777777" w:rsidR="00C60391" w:rsidRPr="009F6859" w:rsidRDefault="00C60391" w:rsidP="009F6859">
      <w:pPr>
        <w:tabs>
          <w:tab w:val="left" w:pos="2410"/>
        </w:tabs>
        <w:spacing w:after="0" w:line="276" w:lineRule="auto"/>
        <w:jc w:val="both"/>
        <w:rPr>
          <w:rFonts w:ascii="Gadugi" w:eastAsia="Calibri" w:hAnsi="Gadugi" w:cs="Times New Roman"/>
          <w:sz w:val="24"/>
          <w:szCs w:val="24"/>
          <w:lang w:val="es-ES"/>
        </w:rPr>
      </w:pPr>
    </w:p>
    <w:p w14:paraId="1A0B6BC9" w14:textId="08425FEC" w:rsidR="00C60391" w:rsidRPr="009F6859" w:rsidRDefault="00C60391" w:rsidP="009F6859">
      <w:pPr>
        <w:tabs>
          <w:tab w:val="left" w:pos="2410"/>
        </w:tabs>
        <w:spacing w:after="0" w:line="276" w:lineRule="auto"/>
        <w:jc w:val="both"/>
        <w:rPr>
          <w:rFonts w:ascii="Gadugi" w:eastAsia="Calibri" w:hAnsi="Gadugi" w:cs="Times New Roman"/>
          <w:sz w:val="24"/>
          <w:szCs w:val="24"/>
          <w:lang w:val="es-ES"/>
        </w:rPr>
      </w:pPr>
      <w:r w:rsidRPr="009F6859">
        <w:rPr>
          <w:rFonts w:ascii="Gadugi" w:eastAsia="Calibri" w:hAnsi="Gadugi" w:cs="Times New Roman"/>
          <w:sz w:val="24"/>
          <w:szCs w:val="24"/>
          <w:lang w:val="es-ES"/>
        </w:rPr>
        <w:lastRenderedPageBreak/>
        <w:t xml:space="preserve">La cuestión es que, en el seno de la jurisdicción ordinaria, la Sala de Casación Civil de la Corte Suprema de Justicia le ha dado, en general, el primer tratamiento, esto es, como un daño autónomo, en una serie de providencias que alcanzan a erigirse en doctrina probable, a la luz del artículo </w:t>
      </w:r>
      <w:r w:rsidR="00FE4CA3" w:rsidRPr="009F6859">
        <w:rPr>
          <w:rFonts w:ascii="Gadugi" w:eastAsia="Calibri" w:hAnsi="Gadugi" w:cs="Times New Roman"/>
          <w:sz w:val="24"/>
          <w:szCs w:val="24"/>
          <w:lang w:val="es-ES"/>
        </w:rPr>
        <w:t>4</w:t>
      </w:r>
      <w:r w:rsidRPr="009F6859">
        <w:rPr>
          <w:rFonts w:ascii="Gadugi" w:eastAsia="Calibri" w:hAnsi="Gadugi" w:cs="Times New Roman"/>
          <w:sz w:val="24"/>
          <w:szCs w:val="24"/>
          <w:lang w:val="es-ES"/>
        </w:rPr>
        <w:t xml:space="preserve">° de la Ley </w:t>
      </w:r>
      <w:r w:rsidR="00FE4CA3" w:rsidRPr="009F6859">
        <w:rPr>
          <w:rFonts w:ascii="Gadugi" w:eastAsia="Calibri" w:hAnsi="Gadugi" w:cs="Times New Roman"/>
          <w:sz w:val="24"/>
          <w:szCs w:val="24"/>
          <w:lang w:val="es-ES"/>
        </w:rPr>
        <w:t>169 de 1896, que incumbe al juez respetar, salvo que con fundamentos jurídicos claros y razonables se separe del mismo</w:t>
      </w:r>
      <w:r w:rsidR="00FE4CA3" w:rsidRPr="009F6859">
        <w:rPr>
          <w:rStyle w:val="Refdenotaalpie"/>
          <w:rFonts w:ascii="Gadugi" w:eastAsia="Calibri" w:hAnsi="Gadugi" w:cs="Times New Roman"/>
          <w:sz w:val="24"/>
          <w:szCs w:val="24"/>
          <w:lang w:val="es-ES"/>
        </w:rPr>
        <w:footnoteReference w:id="69"/>
      </w:r>
      <w:r w:rsidR="00FE4CA3" w:rsidRPr="009F6859">
        <w:rPr>
          <w:rFonts w:ascii="Gadugi" w:eastAsia="Calibri" w:hAnsi="Gadugi" w:cs="Times New Roman"/>
          <w:sz w:val="24"/>
          <w:szCs w:val="24"/>
          <w:lang w:val="es-ES"/>
        </w:rPr>
        <w:t>.</w:t>
      </w:r>
      <w:r w:rsidR="003E580C" w:rsidRPr="009F6859">
        <w:rPr>
          <w:rFonts w:ascii="Gadugi" w:eastAsia="Calibri" w:hAnsi="Gadugi" w:cs="Times New Roman"/>
          <w:sz w:val="24"/>
          <w:szCs w:val="24"/>
          <w:lang w:val="es-ES"/>
        </w:rPr>
        <w:t xml:space="preserve"> Así ha sido acogido por este Tribunal</w:t>
      </w:r>
      <w:r w:rsidR="003E580C" w:rsidRPr="009F6859">
        <w:rPr>
          <w:rStyle w:val="Refdenotaalpie"/>
          <w:rFonts w:ascii="Gadugi" w:eastAsia="Calibri" w:hAnsi="Gadugi" w:cs="Times New Roman"/>
          <w:sz w:val="24"/>
          <w:szCs w:val="24"/>
          <w:lang w:val="es-ES"/>
        </w:rPr>
        <w:footnoteReference w:id="70"/>
      </w:r>
      <w:r w:rsidR="003E580C" w:rsidRPr="009F6859">
        <w:rPr>
          <w:rFonts w:ascii="Gadugi" w:eastAsia="Calibri" w:hAnsi="Gadugi" w:cs="Times New Roman"/>
          <w:sz w:val="24"/>
          <w:szCs w:val="24"/>
          <w:lang w:val="es-ES"/>
        </w:rPr>
        <w:t>.</w:t>
      </w:r>
      <w:r w:rsidR="00FE4CA3" w:rsidRPr="009F6859">
        <w:rPr>
          <w:rFonts w:ascii="Gadugi" w:eastAsia="Calibri" w:hAnsi="Gadugi" w:cs="Times New Roman"/>
          <w:sz w:val="24"/>
          <w:szCs w:val="24"/>
          <w:lang w:val="es-ES"/>
        </w:rPr>
        <w:t xml:space="preserve"> </w:t>
      </w:r>
    </w:p>
    <w:p w14:paraId="73150362" w14:textId="082FB3B3" w:rsidR="00FE4CA3" w:rsidRPr="009F6859" w:rsidRDefault="00FE4CA3" w:rsidP="009F6859">
      <w:pPr>
        <w:tabs>
          <w:tab w:val="left" w:pos="2410"/>
        </w:tabs>
        <w:spacing w:after="0" w:line="276" w:lineRule="auto"/>
        <w:jc w:val="both"/>
        <w:rPr>
          <w:rFonts w:ascii="Gadugi" w:eastAsia="Calibri" w:hAnsi="Gadugi" w:cs="Times New Roman"/>
          <w:sz w:val="24"/>
          <w:szCs w:val="24"/>
          <w:lang w:val="es-ES"/>
        </w:rPr>
      </w:pPr>
    </w:p>
    <w:p w14:paraId="521CCE41" w14:textId="50D6B450" w:rsidR="00FE4CA3" w:rsidRPr="009F6859" w:rsidRDefault="00FD0784" w:rsidP="009F6859">
      <w:pPr>
        <w:pStyle w:val="NormalCSJ"/>
        <w:spacing w:line="276" w:lineRule="auto"/>
        <w:ind w:firstLine="0"/>
        <w:rPr>
          <w:rFonts w:ascii="Gadugi" w:hAnsi="Gadugi"/>
          <w:sz w:val="24"/>
          <w:szCs w:val="24"/>
        </w:rPr>
      </w:pPr>
      <w:r w:rsidRPr="009F6859">
        <w:rPr>
          <w:rFonts w:ascii="Gadugi" w:hAnsi="Gadugi"/>
          <w:sz w:val="24"/>
          <w:szCs w:val="24"/>
        </w:rPr>
        <w:t xml:space="preserve">Tal tesis viene siendo sostenida en sentencias como las del 24 de junio de 2008, radicado 2000-01141, M.P. Octavio Munar Cadena; del 9 de septiembre de 2010, radicado 2005-00103-10, M.P. William </w:t>
      </w:r>
      <w:proofErr w:type="spellStart"/>
      <w:r w:rsidRPr="009F6859">
        <w:rPr>
          <w:rFonts w:ascii="Gadugi" w:hAnsi="Gadugi"/>
          <w:sz w:val="24"/>
          <w:szCs w:val="24"/>
        </w:rPr>
        <w:t>Namén</w:t>
      </w:r>
      <w:proofErr w:type="spellEnd"/>
      <w:r w:rsidRPr="009F6859">
        <w:rPr>
          <w:rFonts w:ascii="Gadugi" w:hAnsi="Gadugi"/>
          <w:sz w:val="24"/>
          <w:szCs w:val="24"/>
        </w:rPr>
        <w:t xml:space="preserve"> Vargas; del 1 de noviembre de 2013, expediente 26639, M.P. Arturo Solarte R.; y más recientes, la </w:t>
      </w:r>
      <w:r w:rsidR="00FE4CA3" w:rsidRPr="009F6859">
        <w:rPr>
          <w:rFonts w:ascii="Gadugi" w:hAnsi="Gadugi"/>
          <w:sz w:val="24"/>
          <w:szCs w:val="24"/>
        </w:rPr>
        <w:t>SC-10261-2014</w:t>
      </w:r>
      <w:r w:rsidRPr="009F6859">
        <w:rPr>
          <w:rFonts w:ascii="Gadugi" w:hAnsi="Gadugi"/>
          <w:sz w:val="24"/>
          <w:szCs w:val="24"/>
        </w:rPr>
        <w:t>,</w:t>
      </w:r>
      <w:r w:rsidR="00FE4CA3" w:rsidRPr="009F6859">
        <w:rPr>
          <w:rFonts w:ascii="Gadugi" w:hAnsi="Gadugi"/>
          <w:sz w:val="24"/>
          <w:szCs w:val="24"/>
        </w:rPr>
        <w:t xml:space="preserve"> SC-7220-2015; SC-78</w:t>
      </w:r>
      <w:r w:rsidRPr="009F6859">
        <w:rPr>
          <w:rFonts w:ascii="Gadugi" w:hAnsi="Gadugi"/>
          <w:sz w:val="24"/>
          <w:szCs w:val="24"/>
        </w:rPr>
        <w:t>24</w:t>
      </w:r>
      <w:r w:rsidR="00FE4CA3" w:rsidRPr="009F6859">
        <w:rPr>
          <w:rFonts w:ascii="Gadugi" w:hAnsi="Gadugi"/>
          <w:sz w:val="24"/>
          <w:szCs w:val="24"/>
        </w:rPr>
        <w:t>-2016; SC-5474-2017; SC-5686-2018;</w:t>
      </w:r>
      <w:r w:rsidR="00770C35" w:rsidRPr="009F6859">
        <w:rPr>
          <w:rFonts w:ascii="Gadugi" w:hAnsi="Gadugi"/>
          <w:sz w:val="24"/>
          <w:szCs w:val="24"/>
        </w:rPr>
        <w:t xml:space="preserve"> </w:t>
      </w:r>
      <w:r w:rsidRPr="009F6859">
        <w:rPr>
          <w:rFonts w:ascii="Gadugi" w:hAnsi="Gadugi" w:cs="Bookman Old Style"/>
          <w:kern w:val="28"/>
          <w:sz w:val="24"/>
          <w:szCs w:val="24"/>
          <w:lang w:eastAsia="es-CO"/>
        </w:rPr>
        <w:t xml:space="preserve">AC520-2020; y </w:t>
      </w:r>
      <w:r w:rsidR="00FE4CA3" w:rsidRPr="009F6859">
        <w:rPr>
          <w:rFonts w:ascii="Gadugi" w:hAnsi="Gadugi"/>
          <w:sz w:val="24"/>
          <w:szCs w:val="24"/>
        </w:rPr>
        <w:t>SC-3375-2021.</w:t>
      </w:r>
      <w:r w:rsidR="00770C35" w:rsidRPr="009F6859">
        <w:rPr>
          <w:rFonts w:ascii="Gadugi" w:hAnsi="Gadugi"/>
          <w:sz w:val="24"/>
          <w:szCs w:val="24"/>
        </w:rPr>
        <w:t xml:space="preserve"> Solo, de manera aislada y sin desarrollo posterior, en la sentencia SC562-2020 se le dio el alcance de un método </w:t>
      </w:r>
      <w:r w:rsidR="00175DE2" w:rsidRPr="009F6859">
        <w:rPr>
          <w:rFonts w:ascii="Gadugi" w:hAnsi="Gadugi"/>
          <w:sz w:val="24"/>
          <w:szCs w:val="24"/>
        </w:rPr>
        <w:t>“</w:t>
      </w:r>
      <w:r w:rsidR="00175DE2" w:rsidRPr="00C55E9E">
        <w:rPr>
          <w:rFonts w:ascii="Gadugi" w:hAnsi="Gadugi"/>
          <w:i/>
          <w:sz w:val="22"/>
          <w:szCs w:val="24"/>
        </w:rPr>
        <w:t>de valoración</w:t>
      </w:r>
      <w:r w:rsidR="00175DE2" w:rsidRPr="00C55E9E">
        <w:rPr>
          <w:rFonts w:ascii="Gadugi" w:hAnsi="Gadugi"/>
          <w:sz w:val="22"/>
          <w:szCs w:val="24"/>
        </w:rPr>
        <w:t xml:space="preserve"> </w:t>
      </w:r>
      <w:r w:rsidR="00175DE2" w:rsidRPr="00C55E9E">
        <w:rPr>
          <w:rFonts w:ascii="Gadugi" w:hAnsi="Gadugi"/>
          <w:i/>
          <w:sz w:val="22"/>
          <w:szCs w:val="24"/>
        </w:rPr>
        <w:t>probatoria</w:t>
      </w:r>
      <w:r w:rsidR="00653093" w:rsidRPr="009F6859">
        <w:rPr>
          <w:rFonts w:ascii="Gadugi" w:hAnsi="Gadugi"/>
          <w:i/>
          <w:sz w:val="24"/>
          <w:szCs w:val="24"/>
        </w:rPr>
        <w:t>”</w:t>
      </w:r>
      <w:r w:rsidR="00770C35" w:rsidRPr="009F6859">
        <w:rPr>
          <w:rFonts w:ascii="Gadugi" w:hAnsi="Gadugi"/>
          <w:sz w:val="24"/>
          <w:szCs w:val="24"/>
        </w:rPr>
        <w:t xml:space="preserve">. </w:t>
      </w:r>
    </w:p>
    <w:p w14:paraId="7EA33EB9" w14:textId="57AA440E" w:rsidR="00770C35" w:rsidRPr="009F6859" w:rsidRDefault="00770C35" w:rsidP="009F6859">
      <w:pPr>
        <w:pStyle w:val="NormalCSJ"/>
        <w:spacing w:line="276" w:lineRule="auto"/>
        <w:ind w:firstLine="0"/>
        <w:rPr>
          <w:rFonts w:ascii="Gadugi" w:hAnsi="Gadugi"/>
          <w:sz w:val="24"/>
          <w:szCs w:val="24"/>
        </w:rPr>
      </w:pPr>
    </w:p>
    <w:p w14:paraId="73E1729B" w14:textId="03CDE3DF" w:rsidR="00770C35" w:rsidRPr="009F6859" w:rsidRDefault="00770C35" w:rsidP="009F6859">
      <w:pPr>
        <w:pStyle w:val="NormalCSJ"/>
        <w:spacing w:line="276" w:lineRule="auto"/>
        <w:ind w:firstLine="0"/>
        <w:rPr>
          <w:rFonts w:ascii="Gadugi" w:hAnsi="Gadugi"/>
          <w:sz w:val="24"/>
          <w:szCs w:val="24"/>
        </w:rPr>
      </w:pPr>
      <w:r w:rsidRPr="009F6859">
        <w:rPr>
          <w:rFonts w:ascii="Gadugi" w:hAnsi="Gadugi"/>
          <w:sz w:val="24"/>
          <w:szCs w:val="24"/>
        </w:rPr>
        <w:t>Sentado por la alta Corporación que se trata de un daño autónomo, es como tal que debe reclamarse en la demanda, pues una cosa es invocar el resarcimiento de perjuicios derivados de la muerte, como en este caso, que es un daño cierto, conocido, probado, y otra, diferente, pedir por la mera probabilidad de un hecho favorable, de obtener una ganancia o beneficio, o de evitar un evento adverso</w:t>
      </w:r>
      <w:r w:rsidR="00F37CD0" w:rsidRPr="009F6859">
        <w:rPr>
          <w:rStyle w:val="Refdenotaalpie"/>
          <w:rFonts w:ascii="Gadugi" w:hAnsi="Gadugi"/>
          <w:sz w:val="24"/>
          <w:szCs w:val="24"/>
        </w:rPr>
        <w:footnoteReference w:id="71"/>
      </w:r>
      <w:r w:rsidRPr="009F6859">
        <w:rPr>
          <w:rFonts w:ascii="Gadugi" w:hAnsi="Gadugi"/>
          <w:sz w:val="24"/>
          <w:szCs w:val="24"/>
        </w:rPr>
        <w:t xml:space="preserve">. </w:t>
      </w:r>
    </w:p>
    <w:p w14:paraId="53400544" w14:textId="77777777" w:rsidR="00770C35" w:rsidRPr="009F6859" w:rsidRDefault="00770C35" w:rsidP="009F6859">
      <w:pPr>
        <w:pStyle w:val="NormalCSJ"/>
        <w:spacing w:line="276" w:lineRule="auto"/>
        <w:ind w:firstLine="0"/>
        <w:rPr>
          <w:rFonts w:ascii="Gadugi" w:hAnsi="Gadugi"/>
          <w:sz w:val="24"/>
          <w:szCs w:val="24"/>
        </w:rPr>
      </w:pPr>
    </w:p>
    <w:p w14:paraId="76B7F4E2" w14:textId="17C8EDBC" w:rsidR="00C60391" w:rsidRPr="009F6859" w:rsidRDefault="00770C35" w:rsidP="009F6859">
      <w:pPr>
        <w:pStyle w:val="NormalCSJ"/>
        <w:spacing w:line="276" w:lineRule="auto"/>
        <w:ind w:firstLine="0"/>
        <w:rPr>
          <w:rFonts w:ascii="Gadugi" w:hAnsi="Gadugi"/>
          <w:sz w:val="24"/>
          <w:szCs w:val="24"/>
        </w:rPr>
      </w:pPr>
      <w:r w:rsidRPr="009F6859">
        <w:rPr>
          <w:rFonts w:ascii="Gadugi" w:hAnsi="Gadugi"/>
          <w:sz w:val="24"/>
          <w:szCs w:val="24"/>
        </w:rPr>
        <w:t xml:space="preserve">Por ello, resulta relevante resaltar unos apartes de las últimas providencias citadas. En la </w:t>
      </w:r>
      <w:r w:rsidR="00697362" w:rsidRPr="009F6859">
        <w:rPr>
          <w:rFonts w:ascii="Gadugi" w:hAnsi="Gadugi"/>
          <w:sz w:val="24"/>
          <w:szCs w:val="24"/>
        </w:rPr>
        <w:t>sentencia SC3375-2021, dijo la Corte que:</w:t>
      </w:r>
    </w:p>
    <w:p w14:paraId="12551673" w14:textId="654AF964" w:rsidR="00697362" w:rsidRPr="009F6859" w:rsidRDefault="00697362" w:rsidP="009F6859">
      <w:pPr>
        <w:pStyle w:val="NormalCSJ"/>
        <w:spacing w:line="276" w:lineRule="auto"/>
        <w:ind w:firstLine="0"/>
        <w:rPr>
          <w:rFonts w:ascii="Gadugi" w:hAnsi="Gadugi"/>
          <w:color w:val="FF0000"/>
          <w:sz w:val="24"/>
          <w:szCs w:val="24"/>
        </w:rPr>
      </w:pPr>
    </w:p>
    <w:p w14:paraId="124C7B1E" w14:textId="77777777" w:rsidR="000B400A" w:rsidRPr="003B7DE1" w:rsidRDefault="000B400A" w:rsidP="003B7DE1">
      <w:pPr>
        <w:pStyle w:val="Textoindependiente"/>
        <w:ind w:left="426" w:right="420"/>
        <w:contextualSpacing/>
        <w:jc w:val="both"/>
        <w:rPr>
          <w:sz w:val="22"/>
          <w:szCs w:val="24"/>
        </w:rPr>
      </w:pPr>
      <w:r w:rsidRPr="003B7DE1">
        <w:rPr>
          <w:sz w:val="22"/>
          <w:szCs w:val="24"/>
        </w:rPr>
        <w:t xml:space="preserve">Sin embargo, la lectura del libelo genitor del litigio deja al descubierto que, contrariamente a lo argüido por el juzgador </w:t>
      </w:r>
      <w:r w:rsidRPr="003B7DE1">
        <w:rPr>
          <w:i/>
          <w:sz w:val="22"/>
          <w:szCs w:val="24"/>
        </w:rPr>
        <w:t>a-quo</w:t>
      </w:r>
      <w:r w:rsidRPr="003B7DE1">
        <w:rPr>
          <w:sz w:val="22"/>
          <w:szCs w:val="24"/>
        </w:rPr>
        <w:t>, la promotora sí deprecó el pago de las ganancias que dejó de percibir a consecuencia de la terminación de los contratos que había celebrado con sus clientes, mas no de los que podría celebrar.</w:t>
      </w:r>
    </w:p>
    <w:p w14:paraId="1B1BF6CE" w14:textId="77777777" w:rsidR="000B400A" w:rsidRPr="003B7DE1" w:rsidRDefault="000B400A" w:rsidP="003B7DE1">
      <w:pPr>
        <w:pStyle w:val="Textoindependiente"/>
        <w:ind w:left="426" w:right="420"/>
        <w:contextualSpacing/>
        <w:jc w:val="both"/>
        <w:rPr>
          <w:sz w:val="22"/>
          <w:szCs w:val="24"/>
        </w:rPr>
      </w:pPr>
    </w:p>
    <w:p w14:paraId="1AD80C90" w14:textId="76D12FC0" w:rsidR="000B400A" w:rsidRPr="003B7DE1" w:rsidRDefault="000B400A" w:rsidP="003B7DE1">
      <w:pPr>
        <w:pStyle w:val="Textoindependiente"/>
        <w:ind w:left="426" w:right="420"/>
        <w:contextualSpacing/>
        <w:jc w:val="both"/>
        <w:rPr>
          <w:sz w:val="22"/>
          <w:szCs w:val="24"/>
        </w:rPr>
      </w:pPr>
      <w:r w:rsidRPr="003B7DE1">
        <w:rPr>
          <w:sz w:val="22"/>
          <w:szCs w:val="24"/>
        </w:rPr>
        <w:t>En efecto, en los hechos 36 y 37 de la demanda, pilares de las pretensiones de condena incoadas, la reclamante anotó que «</w:t>
      </w:r>
      <w:r w:rsidRPr="003B7DE1">
        <w:rPr>
          <w:i/>
          <w:sz w:val="22"/>
          <w:szCs w:val="24"/>
        </w:rPr>
        <w:t>36. Como secuela de las violaciones contractuales relatadas, los clientes de</w:t>
      </w:r>
      <w:r w:rsidR="00697362" w:rsidRPr="003B7DE1">
        <w:rPr>
          <w:i/>
          <w:sz w:val="22"/>
          <w:szCs w:val="24"/>
        </w:rPr>
        <w:t xml:space="preserve"> P…</w:t>
      </w:r>
      <w:r w:rsidRPr="003B7DE1">
        <w:rPr>
          <w:i/>
          <w:sz w:val="22"/>
          <w:szCs w:val="24"/>
        </w:rPr>
        <w:t xml:space="preserve">, cancelaron los dieciséis (16) contratos referidos en el hecho 20. Tampoco se pudieron renovar los contratos anteriores. Como corolario surgió la paralización total y permanente de la sociedad demandante. 37. Con base en el número de contratos a que se refiere el hecho número 20; al igual que al valor de cada uno de ellos, lo mismo que su término; y el valor de las ventas indicado en el hecho 21; mediante </w:t>
      </w:r>
      <w:proofErr w:type="spellStart"/>
      <w:r w:rsidRPr="003B7DE1">
        <w:rPr>
          <w:i/>
          <w:sz w:val="22"/>
          <w:szCs w:val="24"/>
        </w:rPr>
        <w:t>experiticio</w:t>
      </w:r>
      <w:proofErr w:type="spellEnd"/>
      <w:r w:rsidRPr="003B7DE1">
        <w:rPr>
          <w:i/>
          <w:sz w:val="22"/>
          <w:szCs w:val="24"/>
        </w:rPr>
        <w:t xml:space="preserve"> </w:t>
      </w:r>
      <w:r w:rsidRPr="003B7DE1">
        <w:rPr>
          <w:sz w:val="22"/>
          <w:szCs w:val="24"/>
        </w:rPr>
        <w:t>(sic)</w:t>
      </w:r>
      <w:r w:rsidRPr="003B7DE1">
        <w:rPr>
          <w:i/>
          <w:sz w:val="22"/>
          <w:szCs w:val="24"/>
        </w:rPr>
        <w:t xml:space="preserve"> obtenido en virtud del empleo de las correspondientes proyecciones; se puede deducir técnicamente, el valor de las ventas que podían producirse en los diecisiete (17) años de vida jurídica de P</w:t>
      </w:r>
      <w:r w:rsidR="00697362" w:rsidRPr="003B7DE1">
        <w:rPr>
          <w:i/>
          <w:sz w:val="22"/>
          <w:szCs w:val="24"/>
        </w:rPr>
        <w:t>…</w:t>
      </w:r>
      <w:r w:rsidRPr="003B7DE1">
        <w:rPr>
          <w:sz w:val="22"/>
          <w:szCs w:val="24"/>
        </w:rPr>
        <w:t>» (Folio 7, cuaderno 1).</w:t>
      </w:r>
    </w:p>
    <w:p w14:paraId="6D66ADFA" w14:textId="77777777" w:rsidR="000B400A" w:rsidRPr="003B7DE1" w:rsidRDefault="000B400A" w:rsidP="003B7DE1">
      <w:pPr>
        <w:pStyle w:val="Textoindependiente"/>
        <w:ind w:left="426" w:right="420"/>
        <w:contextualSpacing/>
        <w:jc w:val="both"/>
        <w:rPr>
          <w:sz w:val="22"/>
          <w:szCs w:val="24"/>
        </w:rPr>
      </w:pPr>
    </w:p>
    <w:p w14:paraId="172D3C78" w14:textId="3D3B760C" w:rsidR="000B400A" w:rsidRPr="003B7DE1" w:rsidRDefault="000B400A" w:rsidP="003B7DE1">
      <w:pPr>
        <w:pStyle w:val="Textoindependiente"/>
        <w:ind w:left="426" w:right="420"/>
        <w:contextualSpacing/>
        <w:jc w:val="both"/>
        <w:rPr>
          <w:sz w:val="22"/>
          <w:szCs w:val="24"/>
        </w:rPr>
      </w:pPr>
      <w:r w:rsidRPr="003B7DE1">
        <w:rPr>
          <w:sz w:val="22"/>
          <w:szCs w:val="24"/>
        </w:rPr>
        <w:t>Y con base en tal fundamento fáctico, la convocante deprecó se declare «</w:t>
      </w:r>
      <w:r w:rsidRPr="003B7DE1">
        <w:rPr>
          <w:i/>
          <w:sz w:val="22"/>
          <w:szCs w:val="24"/>
        </w:rPr>
        <w:t>que P</w:t>
      </w:r>
      <w:r w:rsidR="00697362" w:rsidRPr="003B7DE1">
        <w:rPr>
          <w:i/>
          <w:sz w:val="22"/>
          <w:szCs w:val="24"/>
        </w:rPr>
        <w:t>…</w:t>
      </w:r>
      <w:r w:rsidRPr="003B7DE1">
        <w:rPr>
          <w:i/>
          <w:sz w:val="22"/>
          <w:szCs w:val="24"/>
        </w:rPr>
        <w:t xml:space="preserve">, ha </w:t>
      </w:r>
      <w:r w:rsidRPr="003B7DE1">
        <w:rPr>
          <w:i/>
          <w:sz w:val="22"/>
          <w:szCs w:val="24"/>
        </w:rPr>
        <w:lastRenderedPageBreak/>
        <w:t>sufrido lucro cesante por las violaciones contractuales causadas por C</w:t>
      </w:r>
      <w:r w:rsidR="00697362" w:rsidRPr="003B7DE1">
        <w:rPr>
          <w:i/>
          <w:sz w:val="22"/>
          <w:szCs w:val="24"/>
        </w:rPr>
        <w:t>…</w:t>
      </w:r>
      <w:r w:rsidRPr="003B7DE1">
        <w:rPr>
          <w:i/>
          <w:sz w:val="22"/>
          <w:szCs w:val="24"/>
        </w:rPr>
        <w:t xml:space="preserve"> que en el </w:t>
      </w:r>
      <w:proofErr w:type="spellStart"/>
      <w:r w:rsidRPr="003B7DE1">
        <w:rPr>
          <w:i/>
          <w:sz w:val="22"/>
          <w:szCs w:val="24"/>
        </w:rPr>
        <w:t>experticio</w:t>
      </w:r>
      <w:proofErr w:type="spellEnd"/>
      <w:r w:rsidRPr="003B7DE1">
        <w:rPr>
          <w:i/>
          <w:sz w:val="22"/>
          <w:szCs w:val="24"/>
        </w:rPr>
        <w:t xml:space="preserve"> </w:t>
      </w:r>
      <w:r w:rsidRPr="003B7DE1">
        <w:rPr>
          <w:sz w:val="22"/>
          <w:szCs w:val="24"/>
        </w:rPr>
        <w:t>(sic)</w:t>
      </w:r>
      <w:r w:rsidRPr="003B7DE1">
        <w:rPr>
          <w:i/>
          <w:sz w:val="22"/>
          <w:szCs w:val="24"/>
        </w:rPr>
        <w:t xml:space="preserve"> que se ha presentado como prueba se estima en la suma de </w:t>
      </w:r>
      <w:r w:rsidR="00697362" w:rsidRPr="003B7DE1">
        <w:rPr>
          <w:i/>
          <w:sz w:val="22"/>
          <w:szCs w:val="24"/>
        </w:rPr>
        <w:t>…</w:t>
      </w:r>
      <w:r w:rsidRPr="003B7DE1">
        <w:rPr>
          <w:sz w:val="22"/>
          <w:szCs w:val="24"/>
        </w:rPr>
        <w:t>suma que pidió fuera reconocida a su favor (folios 14 y 15, cuaderno 1, pretensiones 7ª y 10ª.)</w:t>
      </w:r>
    </w:p>
    <w:p w14:paraId="3D7589C2" w14:textId="77777777" w:rsidR="000B400A" w:rsidRPr="003B7DE1" w:rsidRDefault="000B400A" w:rsidP="003B7DE1">
      <w:pPr>
        <w:pStyle w:val="Textoindependiente"/>
        <w:ind w:left="426" w:right="420"/>
        <w:contextualSpacing/>
        <w:jc w:val="both"/>
        <w:rPr>
          <w:sz w:val="22"/>
          <w:szCs w:val="24"/>
        </w:rPr>
      </w:pPr>
    </w:p>
    <w:p w14:paraId="613299DD" w14:textId="073535AF" w:rsidR="000B400A" w:rsidRPr="003B7DE1" w:rsidRDefault="000B400A" w:rsidP="003B7DE1">
      <w:pPr>
        <w:pStyle w:val="Textoindependiente"/>
        <w:ind w:left="426" w:right="420"/>
        <w:contextualSpacing/>
        <w:jc w:val="both"/>
        <w:rPr>
          <w:sz w:val="22"/>
          <w:szCs w:val="24"/>
        </w:rPr>
      </w:pPr>
      <w:r w:rsidRPr="003B7DE1">
        <w:rPr>
          <w:sz w:val="22"/>
          <w:szCs w:val="24"/>
        </w:rPr>
        <w:t>Así las cosas, abruptamente se evidencia el desacierto del juzgado de primer grado y que, como lo alegó la demandada, incurrió en el vicio de incongruencia, en razón a que interpretó que la demandante deprecó el pago de perjuicios a título de pérdida de oportunidad fincada en los contratos que a su alcance habría podido celebrar durante el término de existencia previsto en sus estatutos sociales, no obstante que esto no fue lo pedido por P</w:t>
      </w:r>
      <w:r w:rsidR="00697362" w:rsidRPr="003B7DE1">
        <w:rPr>
          <w:sz w:val="22"/>
          <w:szCs w:val="24"/>
        </w:rPr>
        <w:t>…</w:t>
      </w:r>
      <w:r w:rsidRPr="003B7DE1">
        <w:rPr>
          <w:sz w:val="22"/>
          <w:szCs w:val="24"/>
        </w:rPr>
        <w:t>, pues demandó el pago del lucro cesante, esto es, las ganancias que dejó de percibir, como consecuencia de la imposibilidad de renovar los pactos que ya había celebrado con diversos clientes así como la terminación de otros que estaban en curso, culminación derivada de la imposibilidad de seguirles prestando el servicio acordado tras la infracción de C</w:t>
      </w:r>
      <w:r w:rsidR="00697362" w:rsidRPr="003B7DE1">
        <w:rPr>
          <w:sz w:val="22"/>
          <w:szCs w:val="24"/>
        </w:rPr>
        <w:t>…</w:t>
      </w:r>
    </w:p>
    <w:p w14:paraId="6D458A93" w14:textId="77777777" w:rsidR="000B400A" w:rsidRPr="003B7DE1" w:rsidRDefault="000B400A" w:rsidP="003B7DE1">
      <w:pPr>
        <w:pStyle w:val="Textoindependiente"/>
        <w:ind w:left="426" w:right="420"/>
        <w:contextualSpacing/>
        <w:jc w:val="both"/>
        <w:rPr>
          <w:sz w:val="22"/>
          <w:szCs w:val="24"/>
        </w:rPr>
      </w:pPr>
    </w:p>
    <w:p w14:paraId="586D141D" w14:textId="77777777" w:rsidR="00697362" w:rsidRPr="003B7DE1" w:rsidRDefault="000B400A" w:rsidP="003B7DE1">
      <w:pPr>
        <w:pStyle w:val="Textoindependiente"/>
        <w:ind w:left="426" w:right="420"/>
        <w:contextualSpacing/>
        <w:jc w:val="both"/>
        <w:rPr>
          <w:rFonts w:cs="Arial"/>
          <w:sz w:val="22"/>
          <w:szCs w:val="24"/>
        </w:rPr>
      </w:pPr>
      <w:r w:rsidRPr="003B7DE1">
        <w:rPr>
          <w:rFonts w:cs="Arial"/>
          <w:sz w:val="22"/>
          <w:szCs w:val="24"/>
        </w:rPr>
        <w:t>Tal situación denota, a simple vista, que en lo que respecta al perjuicio reconocido por concepto de pérdida de oportunidad el juzgador inicial expidió una sentencia de condena foránea al litigio, comoquiera que la accionante no solicitó dicho reconocimiento.</w:t>
      </w:r>
    </w:p>
    <w:p w14:paraId="6031C6E8" w14:textId="77777777" w:rsidR="00697362" w:rsidRPr="009F6859" w:rsidRDefault="00697362" w:rsidP="009F6859">
      <w:pPr>
        <w:pStyle w:val="Textoindependiente"/>
        <w:spacing w:line="276" w:lineRule="auto"/>
        <w:ind w:left="567" w:right="618"/>
        <w:contextualSpacing/>
        <w:jc w:val="both"/>
        <w:rPr>
          <w:rFonts w:cs="Arial"/>
          <w:sz w:val="24"/>
          <w:szCs w:val="24"/>
        </w:rPr>
      </w:pPr>
    </w:p>
    <w:p w14:paraId="7ACD1644" w14:textId="7D06BDE8" w:rsidR="00697362" w:rsidRPr="009F6859" w:rsidRDefault="00697362" w:rsidP="009F6859">
      <w:pPr>
        <w:pStyle w:val="Textoindependiente"/>
        <w:spacing w:line="276" w:lineRule="auto"/>
        <w:ind w:right="51"/>
        <w:contextualSpacing/>
        <w:jc w:val="both"/>
        <w:rPr>
          <w:rFonts w:cs="Arial"/>
          <w:bCs/>
          <w:sz w:val="24"/>
          <w:szCs w:val="24"/>
        </w:rPr>
      </w:pPr>
      <w:r w:rsidRPr="009F6859">
        <w:rPr>
          <w:rFonts w:eastAsia="Calibri" w:cs="Times New Roman"/>
          <w:sz w:val="24"/>
          <w:szCs w:val="24"/>
        </w:rPr>
        <w:t xml:space="preserve">En el auto </w:t>
      </w:r>
      <w:r w:rsidRPr="009F6859">
        <w:rPr>
          <w:rFonts w:cs="Bookman Old Style"/>
          <w:bCs/>
          <w:kern w:val="28"/>
          <w:sz w:val="24"/>
          <w:szCs w:val="24"/>
          <w:lang w:eastAsia="es-CO"/>
        </w:rPr>
        <w:t xml:space="preserve">AC520-2020, ya había dicho la Colegiatura que: </w:t>
      </w:r>
    </w:p>
    <w:p w14:paraId="28DC30DB" w14:textId="77777777" w:rsidR="00697362" w:rsidRPr="009F6859" w:rsidRDefault="00697362" w:rsidP="009F6859">
      <w:pPr>
        <w:tabs>
          <w:tab w:val="left" w:pos="2410"/>
        </w:tabs>
        <w:spacing w:after="0" w:line="276" w:lineRule="auto"/>
        <w:jc w:val="both"/>
        <w:rPr>
          <w:rFonts w:ascii="Gadugi" w:eastAsia="Calibri" w:hAnsi="Gadugi" w:cs="Times New Roman"/>
          <w:color w:val="FF0000"/>
          <w:sz w:val="24"/>
          <w:szCs w:val="24"/>
          <w:lang w:val="es-ES"/>
        </w:rPr>
      </w:pPr>
    </w:p>
    <w:p w14:paraId="33984A0F" w14:textId="77777777" w:rsidR="00697362" w:rsidRPr="003B7DE1" w:rsidRDefault="00697362" w:rsidP="003B7DE1">
      <w:pPr>
        <w:pStyle w:val="NormalCSJ"/>
        <w:spacing w:line="240" w:lineRule="auto"/>
        <w:ind w:left="426" w:right="420" w:firstLine="0"/>
        <w:rPr>
          <w:rFonts w:ascii="Gadugi" w:hAnsi="Gadugi"/>
          <w:sz w:val="22"/>
          <w:szCs w:val="24"/>
        </w:rPr>
      </w:pPr>
      <w:r w:rsidRPr="003B7DE1">
        <w:rPr>
          <w:rFonts w:ascii="Gadugi" w:hAnsi="Gadugi"/>
          <w:sz w:val="22"/>
          <w:szCs w:val="24"/>
        </w:rPr>
        <w:t xml:space="preserve">Dicho de otro modo, en el desarrollo del cargo debió acreditarse la existencia de una oportunidad seria de recuperación del menor de edad, de haberse auscultado permanentemente por el médico especialista, o de haberse remitido con más prontitud a la UCI pediátrica, lo que no se hizo; ello en tanto que, en palabras de la Sala, </w:t>
      </w:r>
    </w:p>
    <w:p w14:paraId="745DF54B" w14:textId="77777777" w:rsidR="00697362" w:rsidRPr="003B7DE1" w:rsidRDefault="00697362" w:rsidP="003B7DE1">
      <w:pPr>
        <w:pStyle w:val="NormalCSJ"/>
        <w:spacing w:line="240" w:lineRule="auto"/>
        <w:ind w:left="426" w:right="420" w:firstLine="0"/>
        <w:rPr>
          <w:rFonts w:ascii="Gadugi" w:hAnsi="Gadugi"/>
          <w:bCs/>
          <w:i/>
          <w:iCs/>
          <w:sz w:val="22"/>
          <w:szCs w:val="24"/>
        </w:rPr>
      </w:pPr>
    </w:p>
    <w:p w14:paraId="539821E6" w14:textId="77777777" w:rsidR="00697362" w:rsidRPr="003B7DE1" w:rsidRDefault="00697362" w:rsidP="003B7DE1">
      <w:pPr>
        <w:pStyle w:val="NormalCSJ"/>
        <w:spacing w:line="240" w:lineRule="auto"/>
        <w:ind w:left="426" w:right="420" w:firstLine="0"/>
        <w:rPr>
          <w:rFonts w:ascii="Gadugi" w:hAnsi="Gadugi"/>
          <w:bCs/>
          <w:iCs/>
          <w:sz w:val="22"/>
          <w:szCs w:val="24"/>
        </w:rPr>
      </w:pPr>
      <w:r w:rsidRPr="003B7DE1">
        <w:rPr>
          <w:rFonts w:ascii="Gadugi" w:hAnsi="Gadugi"/>
          <w:bCs/>
          <w:iCs/>
          <w:sz w:val="22"/>
          <w:szCs w:val="24"/>
        </w:rPr>
        <w:t>«</w:t>
      </w:r>
      <w:r w:rsidRPr="003B7DE1">
        <w:rPr>
          <w:rFonts w:ascii="Gadugi" w:hAnsi="Gadugi"/>
          <w:bCs/>
          <w:i/>
          <w:iCs/>
          <w:sz w:val="22"/>
          <w:szCs w:val="24"/>
        </w:rPr>
        <w:t>la pérdida de cualquier oportunidad, expectativa o posibilidad no configura el daño que en el plano de la responsabilidad civil, ya sea contractual, ora extracontractual, es indemnizable. Cuando se trata de oportunidades débiles, incipientes, lejanas o frágiles, mal puede admitirse que, incluso, de continuar el normal desarrollo de los acontecimientos, su frustración necesariamente vaya a desembocar en la afectación negativa del patrimonio o de otro tipo de intereses lícitos de la persona que contó con ellas</w:t>
      </w:r>
      <w:r w:rsidRPr="003B7DE1">
        <w:rPr>
          <w:rFonts w:ascii="Gadugi" w:hAnsi="Gadugi"/>
          <w:bCs/>
          <w:iCs/>
          <w:sz w:val="22"/>
          <w:szCs w:val="24"/>
        </w:rPr>
        <w:t xml:space="preserve"> (…). </w:t>
      </w:r>
      <w:r w:rsidRPr="003B7DE1">
        <w:rPr>
          <w:rFonts w:ascii="Gadugi" w:hAnsi="Gadugi"/>
          <w:bCs/>
          <w:i/>
          <w:iCs/>
          <w:sz w:val="22"/>
          <w:szCs w:val="24"/>
        </w:rPr>
        <w:t>La oportunidad debe existir para el momento en el que se realiza la conducta antijurídica que se imputa al demandado</w:t>
      </w:r>
      <w:r w:rsidRPr="003B7DE1">
        <w:rPr>
          <w:rFonts w:ascii="Gadugi" w:hAnsi="Gadugi"/>
          <w:bCs/>
          <w:iCs/>
          <w:sz w:val="22"/>
          <w:szCs w:val="24"/>
        </w:rPr>
        <w:t>”, lo que explica que “</w:t>
      </w:r>
      <w:r w:rsidRPr="003B7DE1">
        <w:rPr>
          <w:rFonts w:ascii="Gadugi" w:hAnsi="Gadugi"/>
          <w:b/>
          <w:bCs/>
          <w:i/>
          <w:iCs/>
          <w:sz w:val="22"/>
          <w:szCs w:val="24"/>
        </w:rPr>
        <w:t>el demandante ‘</w:t>
      </w:r>
      <w:proofErr w:type="spellStart"/>
      <w:r w:rsidRPr="003B7DE1">
        <w:rPr>
          <w:rFonts w:ascii="Gadugi" w:hAnsi="Gadugi"/>
          <w:b/>
          <w:bCs/>
          <w:i/>
          <w:iCs/>
          <w:sz w:val="22"/>
          <w:szCs w:val="24"/>
        </w:rPr>
        <w:t>deb</w:t>
      </w:r>
      <w:proofErr w:type="spellEnd"/>
      <w:r w:rsidRPr="003B7DE1">
        <w:rPr>
          <w:rFonts w:ascii="Gadugi" w:hAnsi="Gadugi"/>
          <w:b/>
          <w:bCs/>
          <w:i/>
          <w:iCs/>
          <w:sz w:val="22"/>
          <w:szCs w:val="24"/>
        </w:rPr>
        <w:t>[a], para obtener reparación del daño, demostrar que en dicho momento estaba en capacidad de aprovechar la oportunidad o estar a punto de poder lograrlo</w:t>
      </w:r>
      <w:r w:rsidRPr="003B7DE1">
        <w:rPr>
          <w:rFonts w:ascii="Gadugi" w:hAnsi="Gadugi"/>
          <w:bCs/>
          <w:i/>
          <w:iCs/>
          <w:sz w:val="22"/>
          <w:szCs w:val="24"/>
        </w:rPr>
        <w:t xml:space="preserve">. Esta directiva permite </w:t>
      </w:r>
      <w:r w:rsidRPr="003B7DE1">
        <w:rPr>
          <w:rFonts w:ascii="Gadugi" w:hAnsi="Gadugi"/>
          <w:b/>
          <w:bCs/>
          <w:i/>
          <w:iCs/>
          <w:sz w:val="22"/>
          <w:szCs w:val="24"/>
        </w:rPr>
        <w:t>excluir la reparación de esperanzas puramente eventuales</w:t>
      </w:r>
      <w:r w:rsidRPr="003B7DE1">
        <w:rPr>
          <w:rFonts w:ascii="Gadugi" w:hAnsi="Gadugi"/>
          <w:bCs/>
          <w:i/>
          <w:iCs/>
          <w:sz w:val="22"/>
          <w:szCs w:val="24"/>
        </w:rPr>
        <w:t xml:space="preserve"> que no están sustentadas en hechos acaecidos al momento de advenimiento del hecho dañino imputable al demandado (…). </w:t>
      </w:r>
      <w:r w:rsidRPr="003B7DE1">
        <w:rPr>
          <w:rFonts w:ascii="Gadugi" w:hAnsi="Gadugi"/>
          <w:b/>
          <w:bCs/>
          <w:i/>
          <w:iCs/>
          <w:sz w:val="22"/>
          <w:szCs w:val="24"/>
        </w:rPr>
        <w:t>La exigencia del carácter real y serio de la oportunidad perdida constituye un correctivo eficaz contra los abusos eventuales de la teoría</w:t>
      </w:r>
      <w:r w:rsidRPr="003B7DE1">
        <w:rPr>
          <w:rFonts w:ascii="Gadugi" w:hAnsi="Gadugi"/>
          <w:bCs/>
          <w:i/>
          <w:iCs/>
          <w:sz w:val="22"/>
          <w:szCs w:val="24"/>
        </w:rPr>
        <w:t>’ (</w:t>
      </w:r>
      <w:proofErr w:type="spellStart"/>
      <w:r w:rsidRPr="003B7DE1">
        <w:rPr>
          <w:rFonts w:ascii="Gadugi" w:hAnsi="Gadugi"/>
          <w:bCs/>
          <w:i/>
          <w:iCs/>
          <w:sz w:val="22"/>
          <w:szCs w:val="24"/>
        </w:rPr>
        <w:t>Viney</w:t>
      </w:r>
      <w:proofErr w:type="spellEnd"/>
      <w:r w:rsidRPr="003B7DE1">
        <w:rPr>
          <w:rFonts w:ascii="Gadugi" w:hAnsi="Gadugi"/>
          <w:bCs/>
          <w:i/>
          <w:iCs/>
          <w:sz w:val="22"/>
          <w:szCs w:val="24"/>
        </w:rPr>
        <w:t xml:space="preserve">, </w:t>
      </w:r>
      <w:proofErr w:type="spellStart"/>
      <w:r w:rsidRPr="003B7DE1">
        <w:rPr>
          <w:rFonts w:ascii="Gadugi" w:hAnsi="Gadugi"/>
          <w:bCs/>
          <w:i/>
          <w:iCs/>
          <w:sz w:val="22"/>
          <w:szCs w:val="24"/>
        </w:rPr>
        <w:t>Geneviève</w:t>
      </w:r>
      <w:proofErr w:type="spellEnd"/>
      <w:r w:rsidRPr="003B7DE1">
        <w:rPr>
          <w:rFonts w:ascii="Gadugi" w:hAnsi="Gadugi"/>
          <w:bCs/>
          <w:i/>
          <w:iCs/>
          <w:sz w:val="22"/>
          <w:szCs w:val="24"/>
        </w:rPr>
        <w:t xml:space="preserve"> y </w:t>
      </w:r>
      <w:proofErr w:type="spellStart"/>
      <w:r w:rsidRPr="003B7DE1">
        <w:rPr>
          <w:rFonts w:ascii="Gadugi" w:hAnsi="Gadugi"/>
          <w:bCs/>
          <w:i/>
          <w:iCs/>
          <w:sz w:val="22"/>
          <w:szCs w:val="24"/>
        </w:rPr>
        <w:t>Jourdain</w:t>
      </w:r>
      <w:proofErr w:type="spellEnd"/>
      <w:r w:rsidRPr="003B7DE1">
        <w:rPr>
          <w:rFonts w:ascii="Gadugi" w:hAnsi="Gadugi"/>
          <w:bCs/>
          <w:i/>
          <w:iCs/>
          <w:sz w:val="22"/>
          <w:szCs w:val="24"/>
        </w:rPr>
        <w:t xml:space="preserve">, Patrice. Les </w:t>
      </w:r>
      <w:proofErr w:type="spellStart"/>
      <w:r w:rsidRPr="003B7DE1">
        <w:rPr>
          <w:rFonts w:ascii="Gadugi" w:hAnsi="Gadugi"/>
          <w:bCs/>
          <w:i/>
          <w:iCs/>
          <w:sz w:val="22"/>
          <w:szCs w:val="24"/>
        </w:rPr>
        <w:t>conditions</w:t>
      </w:r>
      <w:proofErr w:type="spellEnd"/>
      <w:r w:rsidRPr="003B7DE1">
        <w:rPr>
          <w:rFonts w:ascii="Gadugi" w:hAnsi="Gadugi"/>
          <w:bCs/>
          <w:i/>
          <w:iCs/>
          <w:sz w:val="22"/>
          <w:szCs w:val="24"/>
        </w:rPr>
        <w:t xml:space="preserve"> de la </w:t>
      </w:r>
      <w:proofErr w:type="spellStart"/>
      <w:r w:rsidRPr="003B7DE1">
        <w:rPr>
          <w:rFonts w:ascii="Gadugi" w:hAnsi="Gadugi"/>
          <w:bCs/>
          <w:i/>
          <w:iCs/>
          <w:sz w:val="22"/>
          <w:szCs w:val="24"/>
        </w:rPr>
        <w:t>responsabilité</w:t>
      </w:r>
      <w:proofErr w:type="spellEnd"/>
      <w:r w:rsidRPr="003B7DE1">
        <w:rPr>
          <w:rFonts w:ascii="Gadugi" w:hAnsi="Gadugi"/>
          <w:bCs/>
          <w:i/>
          <w:iCs/>
          <w:sz w:val="22"/>
          <w:szCs w:val="24"/>
        </w:rPr>
        <w:t xml:space="preserve">, L.G.D.J., 3ª edición, París, 2006, </w:t>
      </w:r>
      <w:proofErr w:type="spellStart"/>
      <w:r w:rsidRPr="003B7DE1">
        <w:rPr>
          <w:rFonts w:ascii="Gadugi" w:hAnsi="Gadugi"/>
          <w:bCs/>
          <w:i/>
          <w:iCs/>
          <w:sz w:val="22"/>
          <w:szCs w:val="24"/>
        </w:rPr>
        <w:t>ps</w:t>
      </w:r>
      <w:proofErr w:type="spellEnd"/>
      <w:r w:rsidRPr="003B7DE1">
        <w:rPr>
          <w:rFonts w:ascii="Gadugi" w:hAnsi="Gadugi"/>
          <w:bCs/>
          <w:i/>
          <w:iCs/>
          <w:sz w:val="22"/>
          <w:szCs w:val="24"/>
        </w:rPr>
        <w:t>. 101 y 102)</w:t>
      </w:r>
      <w:r w:rsidRPr="003B7DE1">
        <w:rPr>
          <w:rFonts w:ascii="Gadugi" w:hAnsi="Gadugi"/>
          <w:bCs/>
          <w:iCs/>
          <w:sz w:val="22"/>
          <w:szCs w:val="24"/>
        </w:rPr>
        <w:t>”» (CSJ SC, 1 nov. 2013, rad. 1994-26630-01).</w:t>
      </w:r>
    </w:p>
    <w:p w14:paraId="0E5964E0" w14:textId="77777777" w:rsidR="00697362" w:rsidRPr="009F6859" w:rsidRDefault="00697362" w:rsidP="009F6859">
      <w:pPr>
        <w:pStyle w:val="NormalCSJ"/>
        <w:spacing w:line="276" w:lineRule="auto"/>
        <w:ind w:left="567" w:right="618" w:firstLine="0"/>
        <w:rPr>
          <w:rFonts w:ascii="Gadugi" w:hAnsi="Gadugi"/>
          <w:sz w:val="24"/>
          <w:szCs w:val="24"/>
        </w:rPr>
      </w:pPr>
    </w:p>
    <w:p w14:paraId="1309517F" w14:textId="090E2F62" w:rsidR="000B400A" w:rsidRPr="009F6859" w:rsidRDefault="008D2EC3" w:rsidP="009F6859">
      <w:pPr>
        <w:tabs>
          <w:tab w:val="left" w:pos="2410"/>
        </w:tabs>
        <w:spacing w:after="0" w:line="276" w:lineRule="auto"/>
        <w:jc w:val="both"/>
        <w:rPr>
          <w:rFonts w:ascii="Gadugi" w:eastAsia="Calibri" w:hAnsi="Gadugi" w:cs="Times New Roman"/>
          <w:color w:val="FF0000"/>
          <w:sz w:val="24"/>
          <w:szCs w:val="24"/>
          <w:lang w:val="es-ES"/>
        </w:rPr>
      </w:pPr>
      <w:r w:rsidRPr="009F6859">
        <w:rPr>
          <w:rFonts w:ascii="Gadugi" w:eastAsia="Calibri" w:hAnsi="Gadugi" w:cs="Times New Roman"/>
          <w:sz w:val="24"/>
          <w:szCs w:val="24"/>
          <w:lang w:val="es-ES"/>
        </w:rPr>
        <w:t xml:space="preserve">Y antes, en la sentencia </w:t>
      </w:r>
      <w:r w:rsidR="000B400A" w:rsidRPr="009F6859">
        <w:rPr>
          <w:rFonts w:ascii="Gadugi" w:eastAsia="Calibri" w:hAnsi="Gadugi" w:cs="Times New Roman"/>
          <w:sz w:val="24"/>
          <w:szCs w:val="24"/>
          <w:lang w:val="es-ES"/>
        </w:rPr>
        <w:t>SC7824-2016</w:t>
      </w:r>
      <w:r w:rsidRPr="009F6859">
        <w:rPr>
          <w:rFonts w:ascii="Gadugi" w:eastAsia="Calibri" w:hAnsi="Gadugi" w:cs="Times New Roman"/>
          <w:sz w:val="24"/>
          <w:szCs w:val="24"/>
          <w:lang w:val="es-ES"/>
        </w:rPr>
        <w:t>, había planteado que:</w:t>
      </w:r>
    </w:p>
    <w:p w14:paraId="25FEE91C" w14:textId="77777777" w:rsidR="000B400A" w:rsidRPr="009F6859" w:rsidRDefault="000B400A" w:rsidP="009F6859">
      <w:pPr>
        <w:pStyle w:val="Textoindependiente"/>
        <w:spacing w:line="276" w:lineRule="auto"/>
        <w:rPr>
          <w:rFonts w:cs="Arial"/>
          <w:sz w:val="24"/>
          <w:szCs w:val="24"/>
          <w:highlight w:val="cyan"/>
        </w:rPr>
      </w:pPr>
    </w:p>
    <w:p w14:paraId="3F41B01D" w14:textId="44E719E0" w:rsidR="000B400A" w:rsidRPr="003B7DE1" w:rsidRDefault="000B400A" w:rsidP="003B7DE1">
      <w:pPr>
        <w:pStyle w:val="Textoindependiente"/>
        <w:ind w:left="426" w:right="420"/>
        <w:jc w:val="both"/>
        <w:rPr>
          <w:rFonts w:cs="Arial"/>
          <w:sz w:val="22"/>
          <w:szCs w:val="24"/>
        </w:rPr>
      </w:pPr>
      <w:r w:rsidRPr="003B7DE1">
        <w:rPr>
          <w:rFonts w:cs="Arial"/>
          <w:sz w:val="22"/>
          <w:szCs w:val="24"/>
        </w:rPr>
        <w:t xml:space="preserve">Fijados esos derroteros, emergen, de manera nítida, dos inferencias: de un lado, las pretensiones del impugnante respecto a la situación de la demandante y su reclamo </w:t>
      </w:r>
      <w:r w:rsidRPr="003B7DE1">
        <w:rPr>
          <w:rFonts w:cs="Arial"/>
          <w:sz w:val="22"/>
          <w:szCs w:val="24"/>
        </w:rPr>
        <w:lastRenderedPageBreak/>
        <w:t>por la reducción de ingresos ante un nuevo empleo, no pueden referir a la modalidad dañina de lucro cesante; de otro, de darse las circunstancias necesarias para estructurar un perjuicio, lo sería bajo la modalidad ‘pérdida de oportunidad’, empero, para ello, como se dejó visto, al damnificado le correspondía acreditar la presencia de los requisitos que la doctrina ha enlistado para tornar viable tal súplica, asunto que no aparece, siquiera, reclamado por esa senda.</w:t>
      </w:r>
    </w:p>
    <w:p w14:paraId="560E1350" w14:textId="08393D84" w:rsidR="000B400A" w:rsidRPr="009F6859" w:rsidRDefault="000B400A" w:rsidP="009F6859">
      <w:pPr>
        <w:tabs>
          <w:tab w:val="left" w:pos="2410"/>
        </w:tabs>
        <w:spacing w:after="0" w:line="276" w:lineRule="auto"/>
        <w:jc w:val="both"/>
        <w:rPr>
          <w:rFonts w:ascii="Gadugi" w:eastAsia="Calibri" w:hAnsi="Gadugi" w:cs="Times New Roman"/>
          <w:color w:val="FF0000"/>
          <w:sz w:val="24"/>
          <w:szCs w:val="24"/>
          <w:lang w:val="es-ES"/>
        </w:rPr>
      </w:pPr>
    </w:p>
    <w:p w14:paraId="68F512A9" w14:textId="233F7CC3" w:rsidR="00653093" w:rsidRPr="009F6859" w:rsidRDefault="00F37CD0" w:rsidP="009F6859">
      <w:pPr>
        <w:tabs>
          <w:tab w:val="left" w:pos="2410"/>
        </w:tabs>
        <w:spacing w:after="0" w:line="276" w:lineRule="auto"/>
        <w:jc w:val="both"/>
        <w:rPr>
          <w:rFonts w:ascii="Gadugi" w:eastAsia="Calibri" w:hAnsi="Gadugi" w:cs="Times New Roman"/>
          <w:sz w:val="24"/>
          <w:szCs w:val="24"/>
          <w:lang w:val="es-ES"/>
        </w:rPr>
      </w:pPr>
      <w:r w:rsidRPr="009F6859">
        <w:rPr>
          <w:rFonts w:ascii="Gadugi" w:eastAsia="Calibri" w:hAnsi="Gadugi" w:cs="Times New Roman"/>
          <w:sz w:val="24"/>
          <w:szCs w:val="24"/>
          <w:lang w:val="es-ES"/>
        </w:rPr>
        <w:t>En el caso de ahora, se repite, la indemnización que se reclama está fundada en el lucro cesante, el perjuicio por el daño moral y a la vida de relación que derivaron de la muerte de. Como bien dicen los recurrentes, su reclamación proviene de la lesión a un bien protegido, que es la vida</w:t>
      </w:r>
      <w:r w:rsidR="00413EB6" w:rsidRPr="009F6859">
        <w:rPr>
          <w:rFonts w:ascii="Gadugi" w:eastAsia="Calibri" w:hAnsi="Gadugi" w:cs="Times New Roman"/>
          <w:sz w:val="24"/>
          <w:szCs w:val="24"/>
          <w:lang w:val="es-ES"/>
        </w:rPr>
        <w:t>, es decir, un resultado final</w:t>
      </w:r>
      <w:r w:rsidRPr="009F6859">
        <w:rPr>
          <w:rFonts w:ascii="Gadugi" w:eastAsia="Calibri" w:hAnsi="Gadugi" w:cs="Times New Roman"/>
          <w:sz w:val="24"/>
          <w:szCs w:val="24"/>
          <w:lang w:val="es-ES"/>
        </w:rPr>
        <w:t>. No se invocó</w:t>
      </w:r>
      <w:r w:rsidR="00413EB6" w:rsidRPr="009F6859">
        <w:rPr>
          <w:rFonts w:ascii="Gadugi" w:eastAsia="Calibri" w:hAnsi="Gadugi" w:cs="Times New Roman"/>
          <w:sz w:val="24"/>
          <w:szCs w:val="24"/>
          <w:lang w:val="es-ES"/>
        </w:rPr>
        <w:t xml:space="preserve">, </w:t>
      </w:r>
      <w:r w:rsidRPr="009F6859">
        <w:rPr>
          <w:rFonts w:ascii="Gadugi" w:eastAsia="Calibri" w:hAnsi="Gadugi" w:cs="Times New Roman"/>
          <w:sz w:val="24"/>
          <w:szCs w:val="24"/>
          <w:lang w:val="es-ES"/>
        </w:rPr>
        <w:t>como interés protegido</w:t>
      </w:r>
      <w:r w:rsidR="00413EB6" w:rsidRPr="009F6859">
        <w:rPr>
          <w:rFonts w:ascii="Gadugi" w:eastAsia="Calibri" w:hAnsi="Gadugi" w:cs="Times New Roman"/>
          <w:sz w:val="24"/>
          <w:szCs w:val="24"/>
          <w:lang w:val="es-ES"/>
        </w:rPr>
        <w:t>,</w:t>
      </w:r>
      <w:r w:rsidRPr="009F6859">
        <w:rPr>
          <w:rFonts w:ascii="Gadugi" w:eastAsia="Calibri" w:hAnsi="Gadugi" w:cs="Times New Roman"/>
          <w:sz w:val="24"/>
          <w:szCs w:val="24"/>
          <w:lang w:val="es-ES"/>
        </w:rPr>
        <w:t xml:space="preserve"> la probabilidad que pudiera haber tenido M</w:t>
      </w:r>
      <w:r w:rsidR="00B11C77" w:rsidRPr="009F6859">
        <w:rPr>
          <w:rFonts w:ascii="Gadugi" w:eastAsia="Calibri" w:hAnsi="Gadugi" w:cs="Times New Roman"/>
          <w:sz w:val="24"/>
          <w:szCs w:val="24"/>
          <w:lang w:val="es-ES"/>
        </w:rPr>
        <w:t>E</w:t>
      </w:r>
      <w:r w:rsidRPr="009F6859">
        <w:rPr>
          <w:rFonts w:ascii="Gadugi" w:eastAsia="Calibri" w:hAnsi="Gadugi" w:cs="Times New Roman"/>
          <w:sz w:val="24"/>
          <w:szCs w:val="24"/>
          <w:lang w:val="es-ES"/>
        </w:rPr>
        <w:t xml:space="preserve"> de sobrevivir, caso en el cual la valoración sería diferente, pues </w:t>
      </w:r>
      <w:r w:rsidR="00413EB6" w:rsidRPr="009F6859">
        <w:rPr>
          <w:rFonts w:ascii="Gadugi" w:eastAsia="Calibri" w:hAnsi="Gadugi" w:cs="Times New Roman"/>
          <w:sz w:val="24"/>
          <w:szCs w:val="24"/>
          <w:lang w:val="es-ES"/>
        </w:rPr>
        <w:t xml:space="preserve">es </w:t>
      </w:r>
      <w:r w:rsidRPr="009F6859">
        <w:rPr>
          <w:rFonts w:ascii="Gadugi" w:eastAsia="Calibri" w:hAnsi="Gadugi" w:cs="Times New Roman"/>
          <w:sz w:val="24"/>
          <w:szCs w:val="24"/>
          <w:lang w:val="es-ES"/>
        </w:rPr>
        <w:t xml:space="preserve">eso, la </w:t>
      </w:r>
      <w:r w:rsidR="00B278E4" w:rsidRPr="009F6859">
        <w:rPr>
          <w:rFonts w:ascii="Gadugi" w:eastAsia="Calibri" w:hAnsi="Gadugi" w:cs="Times New Roman"/>
          <w:sz w:val="24"/>
          <w:szCs w:val="24"/>
          <w:lang w:val="es-ES"/>
        </w:rPr>
        <w:t>ventaja esperada o la desventaja experimentada, al decir de la Corte</w:t>
      </w:r>
      <w:r w:rsidR="00B278E4" w:rsidRPr="009F6859">
        <w:rPr>
          <w:rStyle w:val="Refdenotaalpie"/>
          <w:rFonts w:ascii="Gadugi" w:eastAsia="Calibri" w:hAnsi="Gadugi" w:cs="Times New Roman"/>
          <w:sz w:val="24"/>
          <w:szCs w:val="24"/>
          <w:lang w:val="es-ES"/>
        </w:rPr>
        <w:footnoteReference w:id="72"/>
      </w:r>
      <w:r w:rsidR="00B278E4" w:rsidRPr="009F6859">
        <w:rPr>
          <w:rFonts w:ascii="Gadugi" w:eastAsia="Calibri" w:hAnsi="Gadugi" w:cs="Times New Roman"/>
          <w:sz w:val="24"/>
          <w:szCs w:val="24"/>
          <w:lang w:val="es-ES"/>
        </w:rPr>
        <w:t xml:space="preserve">, </w:t>
      </w:r>
      <w:r w:rsidRPr="009F6859">
        <w:rPr>
          <w:rFonts w:ascii="Gadugi" w:eastAsia="Calibri" w:hAnsi="Gadugi" w:cs="Times New Roman"/>
          <w:sz w:val="24"/>
          <w:szCs w:val="24"/>
          <w:lang w:val="es-ES"/>
        </w:rPr>
        <w:t>y nada más que eso, lo que se resarce.</w:t>
      </w:r>
    </w:p>
    <w:p w14:paraId="684E7F58" w14:textId="77777777" w:rsidR="00653093" w:rsidRPr="009F6859" w:rsidRDefault="00653093" w:rsidP="009F6859">
      <w:pPr>
        <w:tabs>
          <w:tab w:val="left" w:pos="2410"/>
        </w:tabs>
        <w:spacing w:after="0" w:line="276" w:lineRule="auto"/>
        <w:jc w:val="both"/>
        <w:rPr>
          <w:rFonts w:ascii="Gadugi" w:eastAsia="Calibri" w:hAnsi="Gadugi" w:cs="Times New Roman"/>
          <w:sz w:val="24"/>
          <w:szCs w:val="24"/>
          <w:lang w:val="es-ES"/>
        </w:rPr>
      </w:pPr>
    </w:p>
    <w:p w14:paraId="0F16EF3C" w14:textId="4E930545" w:rsidR="00CC2FFE" w:rsidRPr="009F6859" w:rsidRDefault="00CC2FFE" w:rsidP="009F6859">
      <w:pPr>
        <w:tabs>
          <w:tab w:val="left" w:pos="2410"/>
        </w:tabs>
        <w:spacing w:after="0" w:line="276" w:lineRule="auto"/>
        <w:jc w:val="both"/>
        <w:rPr>
          <w:rFonts w:ascii="Gadugi" w:eastAsia="Calibri" w:hAnsi="Gadugi" w:cs="Times New Roman"/>
          <w:sz w:val="24"/>
          <w:szCs w:val="24"/>
          <w:lang w:val="es-ES"/>
        </w:rPr>
      </w:pPr>
      <w:r w:rsidRPr="009F6859">
        <w:rPr>
          <w:rFonts w:ascii="Gadugi" w:eastAsia="Calibri" w:hAnsi="Gadugi" w:cs="Times New Roman"/>
          <w:sz w:val="24"/>
          <w:szCs w:val="24"/>
          <w:lang w:val="es-ES"/>
        </w:rPr>
        <w:t>C</w:t>
      </w:r>
      <w:r w:rsidR="00653093" w:rsidRPr="009F6859">
        <w:rPr>
          <w:rFonts w:ascii="Gadugi" w:eastAsia="Calibri" w:hAnsi="Gadugi" w:cs="Times New Roman"/>
          <w:sz w:val="24"/>
          <w:szCs w:val="24"/>
          <w:lang w:val="es-ES"/>
        </w:rPr>
        <w:t>omo viene de verse en las decisiones de la Corte</w:t>
      </w:r>
      <w:r w:rsidR="004E3813" w:rsidRPr="009F6859">
        <w:rPr>
          <w:rFonts w:ascii="Gadugi" w:eastAsia="Calibri" w:hAnsi="Gadugi" w:cs="Times New Roman"/>
          <w:sz w:val="24"/>
          <w:szCs w:val="24"/>
          <w:lang w:val="es-ES"/>
        </w:rPr>
        <w:t>, de este Tribunal</w:t>
      </w:r>
      <w:r w:rsidR="004E3813" w:rsidRPr="009F6859">
        <w:rPr>
          <w:rStyle w:val="Refdenotaalpie"/>
          <w:rFonts w:ascii="Gadugi" w:eastAsia="Calibri" w:hAnsi="Gadugi" w:cs="Times New Roman"/>
          <w:sz w:val="24"/>
          <w:szCs w:val="24"/>
          <w:lang w:val="es-ES"/>
        </w:rPr>
        <w:footnoteReference w:id="73"/>
      </w:r>
      <w:r w:rsidR="00653093" w:rsidRPr="009F6859">
        <w:rPr>
          <w:rFonts w:ascii="Gadugi" w:eastAsia="Calibri" w:hAnsi="Gadugi" w:cs="Times New Roman"/>
          <w:sz w:val="24"/>
          <w:szCs w:val="24"/>
          <w:lang w:val="es-ES"/>
        </w:rPr>
        <w:t xml:space="preserve"> y lo considera también la doctrina</w:t>
      </w:r>
      <w:r w:rsidRPr="009F6859">
        <w:rPr>
          <w:rFonts w:ascii="Gadugi" w:eastAsia="Calibri" w:hAnsi="Gadugi" w:cs="Times New Roman"/>
          <w:sz w:val="24"/>
          <w:szCs w:val="24"/>
          <w:lang w:val="es-ES"/>
        </w:rPr>
        <w:t xml:space="preserve"> que comulga con su tesis</w:t>
      </w:r>
      <w:r w:rsidR="00653093" w:rsidRPr="009F6859">
        <w:rPr>
          <w:rStyle w:val="Refdenotaalpie"/>
          <w:rFonts w:ascii="Gadugi" w:eastAsia="Calibri" w:hAnsi="Gadugi" w:cs="Times New Roman"/>
          <w:sz w:val="24"/>
          <w:szCs w:val="24"/>
          <w:lang w:val="es-ES"/>
        </w:rPr>
        <w:footnoteReference w:id="74"/>
      </w:r>
      <w:r w:rsidR="00653093" w:rsidRPr="009F6859">
        <w:rPr>
          <w:rFonts w:ascii="Gadugi" w:eastAsia="Calibri" w:hAnsi="Gadugi" w:cs="Times New Roman"/>
          <w:sz w:val="24"/>
          <w:szCs w:val="24"/>
          <w:lang w:val="es-ES"/>
        </w:rPr>
        <w:t xml:space="preserve">, </w:t>
      </w:r>
      <w:r w:rsidRPr="009F6859">
        <w:rPr>
          <w:rFonts w:ascii="Gadugi" w:eastAsia="Calibri" w:hAnsi="Gadugi" w:cs="Times New Roman"/>
          <w:sz w:val="24"/>
          <w:szCs w:val="24"/>
          <w:lang w:val="es-ES"/>
        </w:rPr>
        <w:t xml:space="preserve">proceder de manera diferente, es decir, reconociendo los perjuicios derivados de una pérdida de oportunidad (como daño autónomo), cuando lo que se invocó fue el daño derivado de la muerte del paciente, rompería </w:t>
      </w:r>
      <w:r w:rsidR="00653093" w:rsidRPr="009F6859">
        <w:rPr>
          <w:rFonts w:ascii="Gadugi" w:eastAsia="Calibri" w:hAnsi="Gadugi" w:cs="Times New Roman"/>
          <w:sz w:val="24"/>
          <w:szCs w:val="24"/>
          <w:lang w:val="es-ES"/>
        </w:rPr>
        <w:t>la regla de la congruencia</w:t>
      </w:r>
      <w:r w:rsidRPr="009F6859">
        <w:rPr>
          <w:rFonts w:ascii="Gadugi" w:eastAsia="Calibri" w:hAnsi="Gadugi" w:cs="Times New Roman"/>
          <w:sz w:val="24"/>
          <w:szCs w:val="24"/>
          <w:lang w:val="es-ES"/>
        </w:rPr>
        <w:t xml:space="preserve">, prevista hoy en el artículo 281 del CGP, a la luz de la cual, la sentencia debe ser armónica con los hechos y las pretensiones de la demanda y las excepciones que aparezcan probadas y hubieren sido alegadas si así lo exige la ley. </w:t>
      </w:r>
    </w:p>
    <w:p w14:paraId="42518780" w14:textId="77777777" w:rsidR="00CC2FFE" w:rsidRPr="009F6859" w:rsidRDefault="00CC2FFE" w:rsidP="009F6859">
      <w:pPr>
        <w:tabs>
          <w:tab w:val="left" w:pos="2410"/>
        </w:tabs>
        <w:spacing w:after="0" w:line="276" w:lineRule="auto"/>
        <w:jc w:val="both"/>
        <w:rPr>
          <w:rFonts w:ascii="Gadugi" w:eastAsia="Calibri" w:hAnsi="Gadugi" w:cs="Times New Roman"/>
          <w:sz w:val="24"/>
          <w:szCs w:val="24"/>
          <w:lang w:val="es-ES"/>
        </w:rPr>
      </w:pPr>
    </w:p>
    <w:p w14:paraId="1024255C" w14:textId="16BC2A48" w:rsidR="00B278E4" w:rsidRPr="009F6859" w:rsidRDefault="008A5D0A" w:rsidP="009F6859">
      <w:pPr>
        <w:tabs>
          <w:tab w:val="left" w:pos="2410"/>
        </w:tabs>
        <w:spacing w:after="0" w:line="276" w:lineRule="auto"/>
        <w:jc w:val="both"/>
        <w:rPr>
          <w:rFonts w:ascii="Gadugi" w:eastAsia="Calibri" w:hAnsi="Gadugi" w:cs="Times New Roman"/>
          <w:sz w:val="24"/>
          <w:szCs w:val="24"/>
          <w:lang w:val="es-ES"/>
        </w:rPr>
      </w:pPr>
      <w:r w:rsidRPr="009F6859">
        <w:rPr>
          <w:rFonts w:ascii="Gadugi" w:eastAsia="Calibri" w:hAnsi="Gadugi" w:cs="Times New Roman"/>
          <w:sz w:val="24"/>
          <w:szCs w:val="24"/>
          <w:lang w:val="es-ES"/>
        </w:rPr>
        <w:t>Esto sería suficiente para desechar los argumentos que blanden los recurrentes. Mas, si se quisiera</w:t>
      </w:r>
      <w:r w:rsidR="00B278E4" w:rsidRPr="009F6859">
        <w:rPr>
          <w:rFonts w:ascii="Gadugi" w:eastAsia="Calibri" w:hAnsi="Gadugi" w:cs="Times New Roman"/>
          <w:sz w:val="24"/>
          <w:szCs w:val="24"/>
          <w:lang w:val="es-ES"/>
        </w:rPr>
        <w:t xml:space="preserve"> ahondar, </w:t>
      </w:r>
      <w:r w:rsidRPr="009F6859">
        <w:rPr>
          <w:rFonts w:ascii="Gadugi" w:eastAsia="Calibri" w:hAnsi="Gadugi" w:cs="Times New Roman"/>
          <w:sz w:val="24"/>
          <w:szCs w:val="24"/>
          <w:lang w:val="es-ES"/>
        </w:rPr>
        <w:t xml:space="preserve">para llegar a un reconocimiento de esa naturaleza, </w:t>
      </w:r>
      <w:r w:rsidR="00B278E4" w:rsidRPr="009F6859">
        <w:rPr>
          <w:rFonts w:ascii="Gadugi" w:eastAsia="Calibri" w:hAnsi="Gadugi" w:cs="Times New Roman"/>
          <w:sz w:val="24"/>
          <w:szCs w:val="24"/>
          <w:lang w:val="es-ES"/>
        </w:rPr>
        <w:t xml:space="preserve">siguiendo la misma línea de la Corte, en particular en la sentencia del 28 de junio de 2010, es imprescindible que: </w:t>
      </w:r>
    </w:p>
    <w:p w14:paraId="1B688F93" w14:textId="1558BBE5" w:rsidR="00B278E4" w:rsidRPr="009F6859" w:rsidRDefault="00B278E4" w:rsidP="009F6859">
      <w:pPr>
        <w:tabs>
          <w:tab w:val="left" w:pos="2410"/>
        </w:tabs>
        <w:spacing w:after="0" w:line="276" w:lineRule="auto"/>
        <w:jc w:val="both"/>
        <w:rPr>
          <w:rFonts w:ascii="Gadugi" w:eastAsia="Calibri" w:hAnsi="Gadugi" w:cs="Times New Roman"/>
          <w:color w:val="FF0000"/>
          <w:sz w:val="24"/>
          <w:szCs w:val="24"/>
          <w:lang w:val="es-ES"/>
        </w:rPr>
      </w:pPr>
    </w:p>
    <w:p w14:paraId="38F866D1" w14:textId="7823F0ED" w:rsidR="00B278E4" w:rsidRPr="003B7DE1" w:rsidRDefault="008A5D0A" w:rsidP="003B7DE1">
      <w:pPr>
        <w:pStyle w:val="Textoindependiente"/>
        <w:ind w:left="426" w:right="420"/>
        <w:jc w:val="both"/>
        <w:rPr>
          <w:rFonts w:cs="Arial"/>
          <w:sz w:val="22"/>
          <w:szCs w:val="24"/>
        </w:rPr>
      </w:pPr>
      <w:r w:rsidRPr="003B7DE1">
        <w:rPr>
          <w:rFonts w:cs="Arial"/>
          <w:sz w:val="22"/>
          <w:szCs w:val="24"/>
        </w:rPr>
        <w:t>…</w:t>
      </w:r>
      <w:r w:rsidR="003B7DE1">
        <w:rPr>
          <w:rFonts w:cs="Arial"/>
          <w:sz w:val="22"/>
          <w:szCs w:val="24"/>
        </w:rPr>
        <w:t xml:space="preserve"> </w:t>
      </w:r>
      <w:r w:rsidR="00B278E4" w:rsidRPr="003B7DE1">
        <w:rPr>
          <w:rFonts w:cs="Arial"/>
          <w:sz w:val="22"/>
          <w:szCs w:val="24"/>
        </w:rPr>
        <w:t xml:space="preserve">los elementos probatorios lleven al juzgador a la seria, fundada e íntima convicción a propósito de la razonable probabilidad de concreción futura del resultado útil, por lo cual, a diferencia del lucro cesante, o sea, la “ganancia o provecho que deja de reportarse” (artículo 1614 del Código Civil), en ella no se tiene la utilidad, tampoco se extingue, y el interés protegido es la razonable probabilidad de obtenerla o de evitar una pérdida (cas. </w:t>
      </w:r>
      <w:proofErr w:type="spellStart"/>
      <w:r w:rsidR="00B278E4" w:rsidRPr="003B7DE1">
        <w:rPr>
          <w:rFonts w:cs="Arial"/>
          <w:sz w:val="22"/>
          <w:szCs w:val="24"/>
        </w:rPr>
        <w:t>civ</w:t>
      </w:r>
      <w:proofErr w:type="spellEnd"/>
      <w:r w:rsidR="00B278E4" w:rsidRPr="003B7DE1">
        <w:rPr>
          <w:rFonts w:cs="Arial"/>
          <w:sz w:val="22"/>
          <w:szCs w:val="24"/>
        </w:rPr>
        <w:t xml:space="preserve">. sentencia de 24 de junio de 2008 [S-055-2008], </w:t>
      </w:r>
      <w:proofErr w:type="spellStart"/>
      <w:r w:rsidR="00B278E4" w:rsidRPr="003B7DE1">
        <w:rPr>
          <w:rFonts w:cs="Arial"/>
          <w:sz w:val="22"/>
          <w:szCs w:val="24"/>
        </w:rPr>
        <w:t>exp</w:t>
      </w:r>
      <w:proofErr w:type="spellEnd"/>
      <w:r w:rsidR="00B278E4" w:rsidRPr="003B7DE1">
        <w:rPr>
          <w:rFonts w:cs="Arial"/>
          <w:sz w:val="22"/>
          <w:szCs w:val="24"/>
        </w:rPr>
        <w:t>. 11001-3103-038-2000-01141-01).</w:t>
      </w:r>
    </w:p>
    <w:p w14:paraId="084BD4C9" w14:textId="55B9E56E" w:rsidR="00B278E4" w:rsidRPr="009F6859" w:rsidRDefault="00F37CD0" w:rsidP="009F6859">
      <w:pPr>
        <w:tabs>
          <w:tab w:val="left" w:pos="2410"/>
        </w:tabs>
        <w:spacing w:after="0" w:line="276" w:lineRule="auto"/>
        <w:jc w:val="both"/>
        <w:rPr>
          <w:rFonts w:ascii="Gadugi" w:eastAsia="Calibri" w:hAnsi="Gadugi" w:cs="Times New Roman"/>
          <w:color w:val="FF0000"/>
          <w:sz w:val="24"/>
          <w:szCs w:val="24"/>
          <w:lang w:val="es-ES"/>
        </w:rPr>
      </w:pPr>
      <w:r w:rsidRPr="009F6859">
        <w:rPr>
          <w:rFonts w:ascii="Gadugi" w:eastAsia="Calibri" w:hAnsi="Gadugi" w:cs="Times New Roman"/>
          <w:color w:val="FF0000"/>
          <w:sz w:val="24"/>
          <w:szCs w:val="24"/>
          <w:lang w:val="es-ES"/>
        </w:rPr>
        <w:t xml:space="preserve"> </w:t>
      </w:r>
    </w:p>
    <w:p w14:paraId="7507C88A" w14:textId="01242495" w:rsidR="000B400A" w:rsidRPr="009F6859" w:rsidRDefault="008A5D0A" w:rsidP="009F6859">
      <w:pPr>
        <w:tabs>
          <w:tab w:val="left" w:pos="2410"/>
        </w:tabs>
        <w:spacing w:after="0" w:line="276" w:lineRule="auto"/>
        <w:jc w:val="both"/>
        <w:rPr>
          <w:rFonts w:ascii="Gadugi" w:eastAsia="Calibri" w:hAnsi="Gadugi" w:cs="Times New Roman"/>
          <w:sz w:val="24"/>
          <w:szCs w:val="24"/>
          <w:lang w:val="es-ES"/>
        </w:rPr>
      </w:pPr>
      <w:r w:rsidRPr="009F6859">
        <w:rPr>
          <w:rFonts w:ascii="Gadugi" w:eastAsia="Calibri" w:hAnsi="Gadugi" w:cs="Times New Roman"/>
          <w:sz w:val="24"/>
          <w:szCs w:val="24"/>
          <w:lang w:val="es-ES"/>
        </w:rPr>
        <w:t xml:space="preserve">Por supuesto que la ausencia de pruebas técnicas, ya resaltada, impide llegar a una conclusión como la que se tendría que dar en el caso de la pérdida de una oportunidad, porque se desconoce a estas alturas la probabilidad de que, con el uso del kit de ligaduras, hubiera logrado la paciente su recuperación, máxime cuando, se insiste en ello, se trataba de una paciente con una patología severa y avanzada. </w:t>
      </w:r>
    </w:p>
    <w:p w14:paraId="629C0E6A" w14:textId="17E1F1BF" w:rsidR="008A5D0A" w:rsidRPr="009F6859" w:rsidRDefault="008A5D0A" w:rsidP="009F6859">
      <w:pPr>
        <w:tabs>
          <w:tab w:val="left" w:pos="2410"/>
        </w:tabs>
        <w:spacing w:after="0" w:line="276" w:lineRule="auto"/>
        <w:jc w:val="both"/>
        <w:rPr>
          <w:rFonts w:ascii="Gadugi" w:eastAsia="Calibri" w:hAnsi="Gadugi" w:cs="Times New Roman"/>
          <w:sz w:val="24"/>
          <w:szCs w:val="24"/>
          <w:lang w:val="es-ES"/>
        </w:rPr>
      </w:pPr>
    </w:p>
    <w:p w14:paraId="5203E748" w14:textId="2803D1AB" w:rsidR="008A5D0A" w:rsidRPr="009F6859" w:rsidRDefault="008A5D0A" w:rsidP="009F6859">
      <w:pPr>
        <w:tabs>
          <w:tab w:val="left" w:pos="2410"/>
        </w:tabs>
        <w:spacing w:after="0" w:line="276" w:lineRule="auto"/>
        <w:jc w:val="both"/>
        <w:rPr>
          <w:rFonts w:ascii="Gadugi" w:eastAsia="Calibri" w:hAnsi="Gadugi" w:cs="Times New Roman"/>
          <w:sz w:val="24"/>
          <w:szCs w:val="24"/>
          <w:lang w:val="es-ES"/>
        </w:rPr>
      </w:pPr>
      <w:r w:rsidRPr="009F6859">
        <w:rPr>
          <w:rFonts w:ascii="Gadugi" w:eastAsia="Calibri" w:hAnsi="Gadugi" w:cs="Times New Roman"/>
          <w:sz w:val="24"/>
          <w:szCs w:val="24"/>
          <w:lang w:val="es-ES"/>
        </w:rPr>
        <w:t xml:space="preserve">De manera que tampoco esta réplica puede prosperar. </w:t>
      </w:r>
    </w:p>
    <w:p w14:paraId="358F604B" w14:textId="77777777" w:rsidR="008A5D0A" w:rsidRPr="009F6859" w:rsidRDefault="008A5D0A" w:rsidP="009F6859">
      <w:pPr>
        <w:tabs>
          <w:tab w:val="left" w:pos="2410"/>
        </w:tabs>
        <w:spacing w:after="0" w:line="276" w:lineRule="auto"/>
        <w:jc w:val="both"/>
        <w:rPr>
          <w:rFonts w:ascii="Gadugi" w:eastAsia="Calibri" w:hAnsi="Gadugi" w:cs="Times New Roman"/>
          <w:sz w:val="24"/>
          <w:szCs w:val="24"/>
          <w:lang w:val="es-ES"/>
        </w:rPr>
      </w:pPr>
    </w:p>
    <w:p w14:paraId="7E47CFAC" w14:textId="77777777" w:rsidR="00C91F09" w:rsidRPr="009F6859" w:rsidRDefault="00002954" w:rsidP="009F6859">
      <w:pPr>
        <w:pStyle w:val="Prrafodelista"/>
        <w:numPr>
          <w:ilvl w:val="1"/>
          <w:numId w:val="12"/>
        </w:numPr>
        <w:tabs>
          <w:tab w:val="left" w:pos="851"/>
        </w:tabs>
        <w:spacing w:after="0" w:line="276" w:lineRule="auto"/>
        <w:ind w:left="0" w:firstLine="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Viene de lo dicho</w:t>
      </w:r>
      <w:r w:rsidR="00F21E87" w:rsidRPr="009F6859">
        <w:rPr>
          <w:rFonts w:ascii="Gadugi" w:eastAsia="Calibri" w:hAnsi="Gadugi" w:cs="Times New Roman"/>
          <w:sz w:val="24"/>
          <w:szCs w:val="24"/>
          <w:lang w:val="es-419"/>
        </w:rPr>
        <w:t xml:space="preserve"> que</w:t>
      </w:r>
      <w:r w:rsidRPr="009F6859">
        <w:rPr>
          <w:rFonts w:ascii="Gadugi" w:eastAsia="Calibri" w:hAnsi="Gadugi" w:cs="Times New Roman"/>
          <w:sz w:val="24"/>
          <w:szCs w:val="24"/>
          <w:lang w:val="es-419"/>
        </w:rPr>
        <w:t xml:space="preserve"> </w:t>
      </w:r>
      <w:r w:rsidR="00465501" w:rsidRPr="009F6859">
        <w:rPr>
          <w:rFonts w:ascii="Gadugi" w:eastAsia="Calibri" w:hAnsi="Gadugi" w:cs="Times New Roman"/>
          <w:sz w:val="24"/>
          <w:szCs w:val="24"/>
          <w:lang w:val="es-419"/>
        </w:rPr>
        <w:t xml:space="preserve">la apelación presentada no </w:t>
      </w:r>
      <w:r w:rsidRPr="009F6859">
        <w:rPr>
          <w:rFonts w:ascii="Gadugi" w:eastAsia="Calibri" w:hAnsi="Gadugi" w:cs="Times New Roman"/>
          <w:sz w:val="24"/>
          <w:szCs w:val="24"/>
          <w:lang w:val="es-419"/>
        </w:rPr>
        <w:t xml:space="preserve">tiene la virtud para quebrar el fallo de primer grado, con lo que será prohijado. </w:t>
      </w:r>
    </w:p>
    <w:p w14:paraId="7FC82069" w14:textId="77777777" w:rsidR="00C91F09" w:rsidRPr="009F6859" w:rsidRDefault="00C91F09" w:rsidP="009F6859">
      <w:pPr>
        <w:pStyle w:val="Prrafodelista"/>
        <w:tabs>
          <w:tab w:val="left" w:pos="851"/>
        </w:tabs>
        <w:spacing w:after="0" w:line="276" w:lineRule="auto"/>
        <w:ind w:left="0"/>
        <w:jc w:val="both"/>
        <w:rPr>
          <w:rFonts w:ascii="Gadugi" w:eastAsia="Calibri" w:hAnsi="Gadugi" w:cs="Times New Roman"/>
          <w:sz w:val="24"/>
          <w:szCs w:val="24"/>
          <w:lang w:val="es-419"/>
        </w:rPr>
      </w:pPr>
    </w:p>
    <w:p w14:paraId="42AE0258" w14:textId="77777777" w:rsidR="00C91F09" w:rsidRPr="009F6859" w:rsidRDefault="00C91F09" w:rsidP="009F6859">
      <w:pPr>
        <w:pStyle w:val="Prrafodelista"/>
        <w:tabs>
          <w:tab w:val="left" w:pos="851"/>
        </w:tabs>
        <w:spacing w:after="0" w:line="276" w:lineRule="auto"/>
        <w:ind w:left="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No habrá condena en costas en esta sede, por cuanto los demandantes fueron beneficiados con amparo de pobreza</w:t>
      </w:r>
      <w:r w:rsidRPr="009F6859">
        <w:rPr>
          <w:rStyle w:val="Refdenotaalpie"/>
          <w:rFonts w:ascii="Gadugi" w:eastAsia="Calibri" w:hAnsi="Gadugi" w:cs="Times New Roman"/>
          <w:sz w:val="24"/>
          <w:szCs w:val="24"/>
          <w:lang w:val="es-419"/>
        </w:rPr>
        <w:footnoteReference w:id="75"/>
      </w:r>
      <w:r w:rsidRPr="009F6859">
        <w:rPr>
          <w:rFonts w:ascii="Gadugi" w:eastAsia="Calibri" w:hAnsi="Gadugi" w:cs="Times New Roman"/>
          <w:sz w:val="24"/>
          <w:szCs w:val="24"/>
          <w:lang w:val="es-419"/>
        </w:rPr>
        <w:t xml:space="preserve">. Esto, de acuerdo con lo previsto por el artículo 154 del CGP. </w:t>
      </w:r>
    </w:p>
    <w:p w14:paraId="206155C3" w14:textId="77777777" w:rsidR="00C91F09" w:rsidRPr="009F6859" w:rsidRDefault="00C91F09" w:rsidP="009F6859">
      <w:pPr>
        <w:pStyle w:val="Prrafodelista"/>
        <w:tabs>
          <w:tab w:val="left" w:pos="851"/>
        </w:tabs>
        <w:spacing w:after="0" w:line="276" w:lineRule="auto"/>
        <w:ind w:left="0"/>
        <w:jc w:val="both"/>
        <w:rPr>
          <w:rFonts w:ascii="Gadugi" w:eastAsia="Calibri" w:hAnsi="Gadugi" w:cs="Times New Roman"/>
          <w:sz w:val="24"/>
          <w:szCs w:val="24"/>
          <w:lang w:val="es-419"/>
        </w:rPr>
      </w:pPr>
    </w:p>
    <w:p w14:paraId="336F6880" w14:textId="77777777" w:rsidR="00C91F09" w:rsidRPr="009F6859" w:rsidRDefault="001703FA" w:rsidP="009F6859">
      <w:pPr>
        <w:pStyle w:val="Prrafodelista"/>
        <w:numPr>
          <w:ilvl w:val="0"/>
          <w:numId w:val="12"/>
        </w:numPr>
        <w:tabs>
          <w:tab w:val="left" w:pos="851"/>
        </w:tabs>
        <w:spacing w:after="0" w:line="276" w:lineRule="auto"/>
        <w:jc w:val="both"/>
        <w:rPr>
          <w:rFonts w:ascii="Gadugi" w:eastAsia="Calibri" w:hAnsi="Gadugi" w:cs="Times New Roman"/>
          <w:sz w:val="24"/>
          <w:szCs w:val="24"/>
          <w:lang w:val="es-419"/>
        </w:rPr>
      </w:pPr>
      <w:r w:rsidRPr="009F6859">
        <w:rPr>
          <w:rFonts w:ascii="Gadugi" w:eastAsia="Calibri" w:hAnsi="Gadugi" w:cs="Times New Roman"/>
          <w:b/>
          <w:sz w:val="24"/>
          <w:szCs w:val="24"/>
          <w:lang w:val="es-419"/>
        </w:rPr>
        <w:t>DECISIÓN</w:t>
      </w:r>
    </w:p>
    <w:p w14:paraId="0555F499" w14:textId="77777777" w:rsidR="00C91F09" w:rsidRPr="009F6859" w:rsidRDefault="00C91F09" w:rsidP="009F6859">
      <w:pPr>
        <w:pStyle w:val="Prrafodelista"/>
        <w:spacing w:after="0" w:line="276" w:lineRule="auto"/>
        <w:ind w:left="0"/>
        <w:jc w:val="both"/>
        <w:rPr>
          <w:rFonts w:ascii="Gadugi" w:eastAsia="Calibri" w:hAnsi="Gadugi" w:cs="Times New Roman"/>
          <w:sz w:val="24"/>
          <w:szCs w:val="24"/>
          <w:lang w:val="es-419"/>
        </w:rPr>
      </w:pPr>
    </w:p>
    <w:p w14:paraId="2399714C" w14:textId="779B558A" w:rsidR="00C91F09" w:rsidRPr="009F6859" w:rsidRDefault="001703FA" w:rsidP="009F6859">
      <w:pPr>
        <w:pStyle w:val="Prrafodelista"/>
        <w:spacing w:after="0" w:line="276" w:lineRule="auto"/>
        <w:ind w:left="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En armonía con lo dicho, esta Sala de Decisión Civil-Familia del Tribunal Superior de Pereira, </w:t>
      </w:r>
      <w:r w:rsidRPr="009F6859">
        <w:rPr>
          <w:rFonts w:ascii="Gadugi" w:eastAsia="Calibri" w:hAnsi="Gadugi" w:cs="Times New Roman"/>
          <w:b/>
          <w:sz w:val="24"/>
          <w:szCs w:val="24"/>
          <w:lang w:val="es-419"/>
        </w:rPr>
        <w:t xml:space="preserve">CONFIRMA </w:t>
      </w:r>
      <w:r w:rsidRPr="009F6859">
        <w:rPr>
          <w:rFonts w:ascii="Gadugi" w:eastAsia="Calibri" w:hAnsi="Gadugi" w:cs="Times New Roman"/>
          <w:sz w:val="24"/>
          <w:szCs w:val="24"/>
          <w:lang w:val="es-419"/>
        </w:rPr>
        <w:t xml:space="preserve">la sentencia del </w:t>
      </w:r>
      <w:r w:rsidR="005C7D59" w:rsidRPr="009F6859">
        <w:rPr>
          <w:rFonts w:ascii="Gadugi" w:eastAsia="Malgun Gothic" w:hAnsi="Gadugi" w:cs="Estrangelo Edessa"/>
          <w:sz w:val="24"/>
          <w:szCs w:val="24"/>
        </w:rPr>
        <w:t>17 de septiembre de 2020, proferida por el Juzgado Promiscuo del Circuito de Quinchía, Risaralda</w:t>
      </w:r>
      <w:r w:rsidRPr="009F6859">
        <w:rPr>
          <w:rFonts w:ascii="Gadugi" w:eastAsia="Calibri" w:hAnsi="Gadugi" w:cs="Times New Roman"/>
          <w:sz w:val="24"/>
          <w:szCs w:val="24"/>
          <w:lang w:val="es-419"/>
        </w:rPr>
        <w:t xml:space="preserve">, en este proceso </w:t>
      </w:r>
      <w:r w:rsidR="00F21E87" w:rsidRPr="009F6859">
        <w:rPr>
          <w:rFonts w:ascii="Gadugi" w:eastAsia="Calibri" w:hAnsi="Gadugi" w:cs="Times New Roman"/>
          <w:sz w:val="24"/>
          <w:szCs w:val="24"/>
          <w:lang w:val="es-419"/>
        </w:rPr>
        <w:t xml:space="preserve">ordinario </w:t>
      </w:r>
      <w:r w:rsidRPr="009F6859">
        <w:rPr>
          <w:rFonts w:ascii="Gadugi" w:eastAsia="Calibri" w:hAnsi="Gadugi" w:cs="Times New Roman"/>
          <w:sz w:val="24"/>
          <w:szCs w:val="24"/>
          <w:lang w:val="es-419"/>
        </w:rPr>
        <w:t xml:space="preserve">de responsabilidad civil que inició </w:t>
      </w:r>
      <w:r w:rsidR="00B11C77" w:rsidRPr="009F6859">
        <w:rPr>
          <w:rFonts w:ascii="Gadugi" w:eastAsia="Malgun Gothic" w:hAnsi="Gadugi" w:cs="Estrangelo Edessa"/>
          <w:b/>
          <w:sz w:val="24"/>
          <w:szCs w:val="24"/>
          <w:lang w:val="es-419"/>
        </w:rPr>
        <w:t xml:space="preserve">MA, AE, JE, A, LA, y Al </w:t>
      </w:r>
      <w:r w:rsidR="005C7D59" w:rsidRPr="009F6859">
        <w:rPr>
          <w:rFonts w:ascii="Gadugi" w:eastAsia="Malgun Gothic" w:hAnsi="Gadugi" w:cs="Estrangelo Edessa"/>
          <w:sz w:val="24"/>
          <w:szCs w:val="24"/>
        </w:rPr>
        <w:t xml:space="preserve">iniciaron frente a la </w:t>
      </w:r>
      <w:r w:rsidR="005C7D59" w:rsidRPr="009F6859">
        <w:rPr>
          <w:rFonts w:ascii="Gadugi" w:eastAsia="Malgun Gothic" w:hAnsi="Gadugi" w:cs="Estrangelo Edessa"/>
          <w:b/>
          <w:sz w:val="24"/>
          <w:szCs w:val="24"/>
        </w:rPr>
        <w:t>E.P.S.S. Humana Vivir S.A. y la Clínica Risaralda S.A.</w:t>
      </w:r>
      <w:r w:rsidR="007512A2" w:rsidRPr="009F6859">
        <w:rPr>
          <w:rFonts w:ascii="Gadugi" w:eastAsia="Calibri" w:hAnsi="Gadugi" w:cs="Times New Roman"/>
          <w:sz w:val="24"/>
          <w:szCs w:val="24"/>
          <w:lang w:val="es-419"/>
        </w:rPr>
        <w:t xml:space="preserve"> </w:t>
      </w:r>
    </w:p>
    <w:p w14:paraId="1655481A" w14:textId="77777777" w:rsidR="00C91F09" w:rsidRPr="009F6859" w:rsidRDefault="00C91F09" w:rsidP="009F6859">
      <w:pPr>
        <w:pStyle w:val="Prrafodelista"/>
        <w:spacing w:after="0" w:line="276" w:lineRule="auto"/>
        <w:ind w:left="0"/>
        <w:jc w:val="both"/>
        <w:rPr>
          <w:rFonts w:ascii="Gadugi" w:eastAsia="Calibri" w:hAnsi="Gadugi" w:cs="Times New Roman"/>
          <w:sz w:val="24"/>
          <w:szCs w:val="24"/>
          <w:lang w:val="es-419"/>
        </w:rPr>
      </w:pPr>
    </w:p>
    <w:p w14:paraId="618513DC" w14:textId="77777777" w:rsidR="00C91F09" w:rsidRPr="009F6859" w:rsidRDefault="00C91F09" w:rsidP="009F6859">
      <w:pPr>
        <w:pStyle w:val="Prrafodelista"/>
        <w:spacing w:after="0" w:line="276" w:lineRule="auto"/>
        <w:ind w:left="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 xml:space="preserve">Sin costas en esta sede. </w:t>
      </w:r>
    </w:p>
    <w:p w14:paraId="4A1AABAD" w14:textId="77777777" w:rsidR="00C91F09" w:rsidRPr="009F6859" w:rsidRDefault="00C91F09" w:rsidP="009F6859">
      <w:pPr>
        <w:pStyle w:val="Prrafodelista"/>
        <w:spacing w:after="0" w:line="276" w:lineRule="auto"/>
        <w:ind w:left="0"/>
        <w:jc w:val="both"/>
        <w:rPr>
          <w:rFonts w:ascii="Gadugi" w:eastAsia="Calibri" w:hAnsi="Gadugi" w:cs="Times New Roman"/>
          <w:sz w:val="24"/>
          <w:szCs w:val="24"/>
          <w:lang w:val="es-419"/>
        </w:rPr>
      </w:pPr>
    </w:p>
    <w:p w14:paraId="7A154138" w14:textId="4957D888" w:rsidR="001703FA" w:rsidRPr="009F6859" w:rsidRDefault="00F21E87" w:rsidP="009F6859">
      <w:pPr>
        <w:pStyle w:val="Prrafodelista"/>
        <w:spacing w:after="0" w:line="276" w:lineRule="auto"/>
        <w:ind w:left="0"/>
        <w:jc w:val="both"/>
        <w:rPr>
          <w:rFonts w:ascii="Gadugi" w:eastAsia="Calibri" w:hAnsi="Gadugi" w:cs="Times New Roman"/>
          <w:sz w:val="24"/>
          <w:szCs w:val="24"/>
          <w:lang w:val="es-419"/>
        </w:rPr>
      </w:pPr>
      <w:r w:rsidRPr="009F6859">
        <w:rPr>
          <w:rFonts w:ascii="Gadugi" w:eastAsia="Calibri" w:hAnsi="Gadugi" w:cs="Times New Roman"/>
          <w:sz w:val="24"/>
          <w:szCs w:val="24"/>
          <w:lang w:val="es-419"/>
        </w:rPr>
        <w:t>Notifíquese</w:t>
      </w:r>
      <w:r w:rsidR="001703FA" w:rsidRPr="009F6859">
        <w:rPr>
          <w:rFonts w:ascii="Gadugi" w:eastAsia="Calibri" w:hAnsi="Gadugi" w:cs="Times New Roman"/>
          <w:sz w:val="24"/>
          <w:szCs w:val="24"/>
          <w:lang w:val="es-419"/>
        </w:rPr>
        <w:t>.</w:t>
      </w:r>
    </w:p>
    <w:p w14:paraId="23119F0D" w14:textId="77777777" w:rsidR="009F6859" w:rsidRPr="009F6859" w:rsidRDefault="009F6859" w:rsidP="009F6859">
      <w:pPr>
        <w:tabs>
          <w:tab w:val="left" w:pos="1701"/>
          <w:tab w:val="left" w:pos="2127"/>
          <w:tab w:val="left" w:pos="2977"/>
        </w:tabs>
        <w:spacing w:after="0" w:line="276" w:lineRule="auto"/>
        <w:jc w:val="both"/>
        <w:rPr>
          <w:rFonts w:ascii="Gadugi" w:eastAsia="Malgun Gothic" w:hAnsi="Gadugi" w:cs="Estrangelo Edessa"/>
          <w:sz w:val="24"/>
          <w:szCs w:val="24"/>
        </w:rPr>
      </w:pPr>
    </w:p>
    <w:p w14:paraId="760F6BE5" w14:textId="77777777" w:rsidR="009F6859" w:rsidRPr="009F6859" w:rsidRDefault="009F6859" w:rsidP="009F6859">
      <w:pPr>
        <w:tabs>
          <w:tab w:val="left" w:pos="1701"/>
          <w:tab w:val="left" w:pos="2127"/>
          <w:tab w:val="left" w:pos="2977"/>
        </w:tabs>
        <w:spacing w:after="0" w:line="276" w:lineRule="auto"/>
        <w:jc w:val="both"/>
        <w:rPr>
          <w:rFonts w:ascii="Gadugi" w:eastAsia="Malgun Gothic" w:hAnsi="Gadugi" w:cs="Estrangelo Edessa"/>
          <w:sz w:val="24"/>
          <w:szCs w:val="24"/>
        </w:rPr>
      </w:pPr>
      <w:r w:rsidRPr="009F6859">
        <w:rPr>
          <w:rFonts w:ascii="Gadugi" w:eastAsia="Malgun Gothic" w:hAnsi="Gadugi" w:cs="Estrangelo Edessa"/>
          <w:sz w:val="24"/>
          <w:szCs w:val="24"/>
        </w:rPr>
        <w:tab/>
        <w:t xml:space="preserve">Los Magistrados, </w:t>
      </w:r>
    </w:p>
    <w:p w14:paraId="48AB168B" w14:textId="77777777" w:rsidR="009F6859" w:rsidRPr="009F6859" w:rsidRDefault="009F6859" w:rsidP="009F6859">
      <w:pPr>
        <w:tabs>
          <w:tab w:val="left" w:pos="1701"/>
          <w:tab w:val="left" w:pos="2127"/>
          <w:tab w:val="left" w:pos="2977"/>
        </w:tabs>
        <w:spacing w:after="0" w:line="276" w:lineRule="auto"/>
        <w:jc w:val="both"/>
        <w:rPr>
          <w:rFonts w:ascii="Gadugi" w:eastAsia="Malgun Gothic" w:hAnsi="Gadugi" w:cs="Estrangelo Edessa"/>
          <w:sz w:val="24"/>
          <w:szCs w:val="24"/>
        </w:rPr>
      </w:pPr>
    </w:p>
    <w:p w14:paraId="668CB121" w14:textId="77777777" w:rsidR="009F6859" w:rsidRPr="009F6859" w:rsidRDefault="009F6859" w:rsidP="009F6859">
      <w:pPr>
        <w:tabs>
          <w:tab w:val="left" w:pos="1701"/>
          <w:tab w:val="left" w:pos="2127"/>
          <w:tab w:val="left" w:pos="2977"/>
        </w:tabs>
        <w:spacing w:after="0" w:line="276" w:lineRule="auto"/>
        <w:jc w:val="both"/>
        <w:rPr>
          <w:rFonts w:ascii="Gadugi" w:eastAsia="Malgun Gothic" w:hAnsi="Gadugi" w:cs="Estrangelo Edessa"/>
          <w:b/>
          <w:sz w:val="24"/>
          <w:szCs w:val="24"/>
        </w:rPr>
      </w:pPr>
    </w:p>
    <w:p w14:paraId="3E7428A3" w14:textId="77777777" w:rsidR="009F6859" w:rsidRPr="009F6859" w:rsidRDefault="009F6859" w:rsidP="009F6859">
      <w:pPr>
        <w:spacing w:after="0" w:line="276" w:lineRule="auto"/>
        <w:ind w:left="993" w:firstLine="708"/>
        <w:jc w:val="both"/>
        <w:rPr>
          <w:rFonts w:ascii="Gadugi" w:eastAsia="Malgun Gothic" w:hAnsi="Gadugi" w:cs="Estrangelo Edessa"/>
          <w:b/>
          <w:bCs/>
          <w:sz w:val="24"/>
          <w:szCs w:val="24"/>
        </w:rPr>
      </w:pPr>
      <w:r w:rsidRPr="009F6859">
        <w:rPr>
          <w:rFonts w:ascii="Gadugi" w:eastAsia="Malgun Gothic" w:hAnsi="Gadugi" w:cs="Estrangelo Edessa"/>
          <w:b/>
          <w:bCs/>
          <w:sz w:val="24"/>
          <w:szCs w:val="24"/>
        </w:rPr>
        <w:t>JAIME ALBERTO SARAZA NARANJO</w:t>
      </w:r>
    </w:p>
    <w:p w14:paraId="0947D367" w14:textId="77777777" w:rsidR="009F6859" w:rsidRPr="009F6859" w:rsidRDefault="009F6859" w:rsidP="009F6859">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2385D642" w14:textId="77777777" w:rsidR="009F6859" w:rsidRPr="009F6859" w:rsidRDefault="009F6859" w:rsidP="009F6859">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60797286" w14:textId="77777777" w:rsidR="009F6859" w:rsidRPr="009F6859" w:rsidRDefault="009F6859" w:rsidP="009F6859">
      <w:pPr>
        <w:spacing w:after="0" w:line="276" w:lineRule="auto"/>
        <w:ind w:left="993" w:firstLine="708"/>
        <w:jc w:val="both"/>
        <w:rPr>
          <w:rFonts w:ascii="Gadugi" w:eastAsia="Malgun Gothic" w:hAnsi="Gadugi" w:cs="Estrangelo Edessa"/>
          <w:b/>
          <w:bCs/>
          <w:sz w:val="24"/>
          <w:szCs w:val="24"/>
        </w:rPr>
      </w:pPr>
      <w:r w:rsidRPr="009F6859">
        <w:rPr>
          <w:rFonts w:ascii="Gadugi" w:eastAsia="Malgun Gothic" w:hAnsi="Gadugi" w:cs="Estrangelo Edessa"/>
          <w:b/>
          <w:bCs/>
          <w:sz w:val="24"/>
          <w:szCs w:val="24"/>
        </w:rPr>
        <w:t>CARLOS MAURICIO GARCÍA BARAJAS</w:t>
      </w:r>
    </w:p>
    <w:p w14:paraId="2E2B62A3" w14:textId="77777777" w:rsidR="009F6859" w:rsidRPr="009F6859" w:rsidRDefault="009F6859" w:rsidP="009F6859">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5173C687" w14:textId="77777777" w:rsidR="009F6859" w:rsidRPr="009F6859" w:rsidRDefault="009F6859" w:rsidP="009F6859">
      <w:pPr>
        <w:tabs>
          <w:tab w:val="left" w:pos="1701"/>
          <w:tab w:val="left" w:pos="2127"/>
          <w:tab w:val="left" w:pos="2977"/>
        </w:tabs>
        <w:spacing w:after="0" w:line="276" w:lineRule="auto"/>
        <w:ind w:firstLine="1701"/>
        <w:jc w:val="both"/>
        <w:rPr>
          <w:rFonts w:ascii="Gadugi" w:eastAsia="Malgun Gothic" w:hAnsi="Gadugi" w:cs="Estrangelo Edessa"/>
          <w:b/>
          <w:sz w:val="24"/>
          <w:szCs w:val="24"/>
        </w:rPr>
      </w:pPr>
    </w:p>
    <w:p w14:paraId="37AE22C7" w14:textId="090B2993" w:rsidR="006654F9" w:rsidRPr="009F6859" w:rsidRDefault="009F6859" w:rsidP="009F6859">
      <w:pPr>
        <w:spacing w:after="0" w:line="276" w:lineRule="auto"/>
        <w:ind w:left="993" w:firstLine="708"/>
        <w:jc w:val="both"/>
        <w:rPr>
          <w:rFonts w:ascii="Gadugi" w:eastAsia="Malgun Gothic" w:hAnsi="Gadugi" w:cs="Estrangelo Edessa"/>
          <w:bCs/>
          <w:sz w:val="24"/>
          <w:szCs w:val="24"/>
        </w:rPr>
      </w:pPr>
      <w:r w:rsidRPr="009F6859">
        <w:rPr>
          <w:rFonts w:ascii="Gadugi" w:eastAsia="Malgun Gothic" w:hAnsi="Gadugi" w:cs="Estrangelo Edessa"/>
          <w:b/>
          <w:bCs/>
          <w:sz w:val="24"/>
          <w:szCs w:val="24"/>
        </w:rPr>
        <w:t>DUBERNEY GRISALES HERRERA</w:t>
      </w:r>
    </w:p>
    <w:sectPr w:rsidR="006654F9" w:rsidRPr="009F6859" w:rsidSect="000174A3">
      <w:headerReference w:type="default" r:id="rId12"/>
      <w:footerReference w:type="default" r:id="rId13"/>
      <w:headerReference w:type="first" r:id="rId14"/>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9F3334" w16cex:dateUtc="2023-03-01T19:02:08.612Z"/>
  <w16cex:commentExtensible w16cex:durableId="76BE4E8A" w16cex:dateUtc="2023-03-01T19:04:05.045Z"/>
  <w16cex:commentExtensible w16cex:durableId="7F071A41" w16cex:dateUtc="2023-03-01T19:06:18.059Z"/>
  <w16cex:commentExtensible w16cex:durableId="3358DC9B" w16cex:dateUtc="2023-03-01T19:10:20.674Z"/>
  <w16cex:commentExtensible w16cex:durableId="2FFECE9A" w16cex:dateUtc="2023-03-01T19:11:33.525Z"/>
  <w16cex:commentExtensible w16cex:durableId="2C906C00" w16cex:dateUtc="2023-03-01T19:13:42.047Z"/>
  <w16cex:commentExtensible w16cex:durableId="25EB44A8" w16cex:dateUtc="2023-03-01T19:14:24.605Z"/>
  <w16cex:commentExtensible w16cex:durableId="5E4AFF32" w16cex:dateUtc="2023-03-01T19:15:22.83Z"/>
  <w16cex:commentExtensible w16cex:durableId="1E6FA8B4" w16cex:dateUtc="2023-03-06T20:18:23.552Z"/>
  <w16cex:commentExtensible w16cex:durableId="7E7B83D3" w16cex:dateUtc="2023-03-06T20:20:56.285Z"/>
  <w16cex:commentExtensible w16cex:durableId="043527FA" w16cex:dateUtc="2023-03-06T20:21:52.393Z"/>
  <w16cex:commentExtensible w16cex:durableId="5ACF78B3" w16cex:dateUtc="2023-03-06T20:22:31.732Z"/>
  <w16cex:commentExtensible w16cex:durableId="34747BFB" w16cex:dateUtc="2023-03-13T19:52:12.873Z"/>
  <w16cex:commentExtensible w16cex:durableId="2EAFF1DD" w16cex:dateUtc="2023-03-13T20:51:42.735Z"/>
  <w16cex:commentExtensible w16cex:durableId="62B94CB7" w16cex:dateUtc="2023-03-14T13:38:52.755Z"/>
  <w16cex:commentExtensible w16cex:durableId="78B0289F" w16cex:dateUtc="2023-03-14T13:40:32.674Z"/>
  <w16cex:commentExtensible w16cex:durableId="230A56B2" w16cex:dateUtc="2023-03-14T13:42:04.7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F098" w14:textId="77777777" w:rsidR="000005D0" w:rsidRDefault="000005D0" w:rsidP="00C94C56">
      <w:pPr>
        <w:spacing w:after="0" w:line="240" w:lineRule="auto"/>
      </w:pPr>
      <w:r>
        <w:separator/>
      </w:r>
    </w:p>
  </w:endnote>
  <w:endnote w:type="continuationSeparator" w:id="0">
    <w:p w14:paraId="5F28D6A3" w14:textId="77777777" w:rsidR="000005D0" w:rsidRDefault="000005D0" w:rsidP="00C94C56">
      <w:pPr>
        <w:spacing w:after="0" w:line="240" w:lineRule="auto"/>
      </w:pPr>
      <w:r>
        <w:continuationSeparator/>
      </w:r>
    </w:p>
  </w:endnote>
  <w:endnote w:type="continuationNotice" w:id="1">
    <w:p w14:paraId="06CD204A" w14:textId="77777777" w:rsidR="000005D0" w:rsidRDefault="00000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66854"/>
      <w:docPartObj>
        <w:docPartGallery w:val="Page Numbers (Bottom of Page)"/>
        <w:docPartUnique/>
      </w:docPartObj>
    </w:sdtPr>
    <w:sdtEndPr>
      <w:rPr>
        <w:rFonts w:ascii="Arial" w:hAnsi="Arial" w:cs="Arial"/>
        <w:sz w:val="18"/>
        <w:szCs w:val="18"/>
      </w:rPr>
    </w:sdtEndPr>
    <w:sdtContent>
      <w:p w14:paraId="34DFF744" w14:textId="36523638" w:rsidR="00DF4A0D" w:rsidRPr="00D76B60" w:rsidRDefault="00DF4A0D">
        <w:pPr>
          <w:pStyle w:val="Piedepgina"/>
          <w:jc w:val="right"/>
          <w:rPr>
            <w:rFonts w:ascii="Arial" w:hAnsi="Arial" w:cs="Arial"/>
            <w:sz w:val="18"/>
            <w:szCs w:val="18"/>
          </w:rPr>
        </w:pPr>
        <w:r w:rsidRPr="00D76B60">
          <w:rPr>
            <w:rFonts w:ascii="Arial" w:hAnsi="Arial" w:cs="Arial"/>
            <w:sz w:val="18"/>
            <w:szCs w:val="18"/>
          </w:rPr>
          <w:fldChar w:fldCharType="begin"/>
        </w:r>
        <w:r w:rsidRPr="00D76B60">
          <w:rPr>
            <w:rFonts w:ascii="Arial" w:hAnsi="Arial" w:cs="Arial"/>
            <w:sz w:val="18"/>
            <w:szCs w:val="18"/>
          </w:rPr>
          <w:instrText>PAGE   \* MERGEFORMAT</w:instrText>
        </w:r>
        <w:r w:rsidRPr="00D76B60">
          <w:rPr>
            <w:rFonts w:ascii="Arial" w:hAnsi="Arial" w:cs="Arial"/>
            <w:sz w:val="18"/>
            <w:szCs w:val="18"/>
          </w:rPr>
          <w:fldChar w:fldCharType="separate"/>
        </w:r>
        <w:r w:rsidRPr="00D76B60">
          <w:rPr>
            <w:rFonts w:ascii="Arial" w:hAnsi="Arial" w:cs="Arial"/>
            <w:noProof/>
            <w:sz w:val="18"/>
            <w:szCs w:val="18"/>
            <w:lang w:val="es-ES"/>
          </w:rPr>
          <w:t>7</w:t>
        </w:r>
        <w:r w:rsidRPr="00D76B60">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C0210" w14:textId="77777777" w:rsidR="000005D0" w:rsidRDefault="000005D0" w:rsidP="00C94C56">
      <w:pPr>
        <w:spacing w:after="0" w:line="240" w:lineRule="auto"/>
      </w:pPr>
      <w:r>
        <w:separator/>
      </w:r>
    </w:p>
  </w:footnote>
  <w:footnote w:type="continuationSeparator" w:id="0">
    <w:p w14:paraId="6661CFDE" w14:textId="77777777" w:rsidR="000005D0" w:rsidRDefault="000005D0" w:rsidP="00C94C56">
      <w:pPr>
        <w:spacing w:after="0" w:line="240" w:lineRule="auto"/>
      </w:pPr>
      <w:r>
        <w:continuationSeparator/>
      </w:r>
    </w:p>
  </w:footnote>
  <w:footnote w:type="continuationNotice" w:id="1">
    <w:p w14:paraId="60CCEDB9" w14:textId="77777777" w:rsidR="000005D0" w:rsidRDefault="000005D0">
      <w:pPr>
        <w:spacing w:after="0" w:line="240" w:lineRule="auto"/>
      </w:pPr>
    </w:p>
  </w:footnote>
  <w:footnote w:id="2">
    <w:p w14:paraId="3EBB4B47" w14:textId="444A0C36" w:rsidR="00DF4A0D" w:rsidRPr="003B7DE1" w:rsidRDefault="00DF4A0D" w:rsidP="003B7DE1">
      <w:pPr>
        <w:pStyle w:val="Textonotapie"/>
        <w:jc w:val="both"/>
        <w:rPr>
          <w:rFonts w:ascii="Arial" w:hAnsi="Arial" w:cs="Arial"/>
          <w:sz w:val="18"/>
          <w:szCs w:val="18"/>
        </w:rPr>
      </w:pPr>
      <w:r w:rsidRPr="003B7DE1">
        <w:rPr>
          <w:rFonts w:ascii="Arial" w:hAnsi="Arial" w:cs="Arial"/>
          <w:sz w:val="18"/>
          <w:szCs w:val="18"/>
          <w:vertAlign w:val="superscript"/>
        </w:rPr>
        <w:footnoteRef/>
      </w:r>
      <w:r w:rsidRPr="003B7DE1">
        <w:rPr>
          <w:rFonts w:ascii="Arial" w:hAnsi="Arial" w:cs="Arial"/>
          <w:sz w:val="18"/>
          <w:szCs w:val="18"/>
          <w:vertAlign w:val="superscript"/>
        </w:rPr>
        <w:t xml:space="preserve"> </w:t>
      </w:r>
      <w:r w:rsidRPr="003B7DE1">
        <w:rPr>
          <w:rFonts w:ascii="Arial" w:hAnsi="Arial" w:cs="Arial"/>
          <w:sz w:val="18"/>
          <w:szCs w:val="18"/>
        </w:rPr>
        <w:t xml:space="preserve">01CuadernoPrincipal…Folio 1-244, </w:t>
      </w:r>
      <w:proofErr w:type="spellStart"/>
      <w:r w:rsidRPr="003B7DE1">
        <w:rPr>
          <w:rFonts w:ascii="Arial" w:hAnsi="Arial" w:cs="Arial"/>
          <w:sz w:val="18"/>
          <w:szCs w:val="18"/>
        </w:rPr>
        <w:t>arch</w:t>
      </w:r>
      <w:proofErr w:type="spellEnd"/>
      <w:r w:rsidRPr="003B7DE1">
        <w:rPr>
          <w:rFonts w:ascii="Arial" w:hAnsi="Arial" w:cs="Arial"/>
          <w:sz w:val="18"/>
          <w:szCs w:val="18"/>
        </w:rPr>
        <w:t xml:space="preserve">. 02, p. 18 a 25 </w:t>
      </w:r>
    </w:p>
  </w:footnote>
  <w:footnote w:id="3">
    <w:p w14:paraId="5D21796E" w14:textId="77B9BF94"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Ib., p. 114 a 120</w:t>
      </w:r>
    </w:p>
  </w:footnote>
  <w:footnote w:id="4">
    <w:p w14:paraId="5519B733" w14:textId="699FA830"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Ib., </w:t>
      </w:r>
      <w:proofErr w:type="spellStart"/>
      <w:r w:rsidRPr="003B7DE1">
        <w:rPr>
          <w:rFonts w:ascii="Arial" w:hAnsi="Arial" w:cs="Arial"/>
          <w:sz w:val="18"/>
          <w:szCs w:val="18"/>
        </w:rPr>
        <w:t>arch</w:t>
      </w:r>
      <w:proofErr w:type="spellEnd"/>
      <w:r w:rsidRPr="003B7DE1">
        <w:rPr>
          <w:rFonts w:ascii="Arial" w:hAnsi="Arial" w:cs="Arial"/>
          <w:sz w:val="18"/>
          <w:szCs w:val="18"/>
        </w:rPr>
        <w:t xml:space="preserve">. 01, p. 8 a 20. </w:t>
      </w:r>
    </w:p>
  </w:footnote>
  <w:footnote w:id="5">
    <w:p w14:paraId="655CD0AF" w14:textId="65F9BDBE"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Ib., p. 3 a 6.</w:t>
      </w:r>
    </w:p>
  </w:footnote>
  <w:footnote w:id="6">
    <w:p w14:paraId="3C1199CF" w14:textId="79DFD5D9"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Ib., </w:t>
      </w:r>
      <w:proofErr w:type="spellStart"/>
      <w:r w:rsidRPr="003B7DE1">
        <w:rPr>
          <w:rFonts w:ascii="Arial" w:hAnsi="Arial" w:cs="Arial"/>
          <w:sz w:val="18"/>
          <w:szCs w:val="18"/>
        </w:rPr>
        <w:t>arch</w:t>
      </w:r>
      <w:proofErr w:type="spellEnd"/>
      <w:r w:rsidRPr="003B7DE1">
        <w:rPr>
          <w:rFonts w:ascii="Arial" w:hAnsi="Arial" w:cs="Arial"/>
          <w:sz w:val="18"/>
          <w:szCs w:val="18"/>
        </w:rPr>
        <w:t>. 07</w:t>
      </w:r>
    </w:p>
  </w:footnote>
  <w:footnote w:id="7">
    <w:p w14:paraId="6D665C9F" w14:textId="19A2655E"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Ib., </w:t>
      </w:r>
      <w:proofErr w:type="spellStart"/>
      <w:r w:rsidRPr="003B7DE1">
        <w:rPr>
          <w:rFonts w:ascii="Arial" w:hAnsi="Arial" w:cs="Arial"/>
          <w:sz w:val="18"/>
          <w:szCs w:val="18"/>
        </w:rPr>
        <w:t>arch</w:t>
      </w:r>
      <w:proofErr w:type="spellEnd"/>
      <w:r w:rsidRPr="003B7DE1">
        <w:rPr>
          <w:rFonts w:ascii="Arial" w:hAnsi="Arial" w:cs="Arial"/>
          <w:sz w:val="18"/>
          <w:szCs w:val="18"/>
        </w:rPr>
        <w:t xml:space="preserve">. 09 y 15 </w:t>
      </w:r>
    </w:p>
  </w:footnote>
  <w:footnote w:id="8">
    <w:p w14:paraId="223CDC73" w14:textId="5234AAD7" w:rsidR="00DF4A0D" w:rsidRPr="003B7DE1" w:rsidRDefault="00DF4A0D" w:rsidP="003B7DE1">
      <w:pPr>
        <w:pStyle w:val="Textonotapie"/>
        <w:jc w:val="both"/>
        <w:rPr>
          <w:rFonts w:ascii="Arial" w:hAnsi="Arial" w:cs="Arial"/>
          <w:sz w:val="18"/>
          <w:szCs w:val="18"/>
          <w:lang w:val="en-US"/>
        </w:rPr>
      </w:pPr>
      <w:r w:rsidRPr="003B7DE1">
        <w:rPr>
          <w:rStyle w:val="Refdenotaalpie"/>
          <w:rFonts w:ascii="Arial" w:hAnsi="Arial" w:cs="Arial"/>
          <w:sz w:val="18"/>
          <w:szCs w:val="18"/>
        </w:rPr>
        <w:footnoteRef/>
      </w:r>
      <w:r w:rsidRPr="003B7DE1">
        <w:rPr>
          <w:rFonts w:ascii="Arial" w:hAnsi="Arial" w:cs="Arial"/>
          <w:sz w:val="18"/>
          <w:szCs w:val="18"/>
          <w:lang w:val="en-US"/>
        </w:rPr>
        <w:t xml:space="preserve"> Ib., arch, 14</w:t>
      </w:r>
    </w:p>
  </w:footnote>
  <w:footnote w:id="9">
    <w:p w14:paraId="61B988FA" w14:textId="031F2D0D" w:rsidR="00DF4A0D" w:rsidRPr="003B7DE1" w:rsidRDefault="00DF4A0D" w:rsidP="003B7DE1">
      <w:pPr>
        <w:pStyle w:val="Textonotapie"/>
        <w:jc w:val="both"/>
        <w:rPr>
          <w:rFonts w:ascii="Arial" w:hAnsi="Arial" w:cs="Arial"/>
          <w:sz w:val="18"/>
          <w:szCs w:val="18"/>
          <w:lang w:val="es-ES"/>
        </w:rPr>
      </w:pPr>
      <w:r w:rsidRPr="003B7DE1">
        <w:rPr>
          <w:rStyle w:val="Refdenotaalpie"/>
          <w:rFonts w:ascii="Arial" w:hAnsi="Arial" w:cs="Arial"/>
          <w:sz w:val="18"/>
          <w:szCs w:val="18"/>
        </w:rPr>
        <w:footnoteRef/>
      </w:r>
      <w:r w:rsidRPr="003B7DE1">
        <w:rPr>
          <w:rFonts w:ascii="Arial" w:hAnsi="Arial" w:cs="Arial"/>
          <w:sz w:val="18"/>
          <w:szCs w:val="18"/>
        </w:rPr>
        <w:t xml:space="preserve"> Ib., </w:t>
      </w:r>
      <w:proofErr w:type="spellStart"/>
      <w:r w:rsidRPr="003B7DE1">
        <w:rPr>
          <w:rFonts w:ascii="Arial" w:hAnsi="Arial" w:cs="Arial"/>
          <w:sz w:val="18"/>
          <w:szCs w:val="18"/>
        </w:rPr>
        <w:t>arch</w:t>
      </w:r>
      <w:proofErr w:type="spellEnd"/>
      <w:r w:rsidRPr="003B7DE1">
        <w:rPr>
          <w:rFonts w:ascii="Arial" w:hAnsi="Arial" w:cs="Arial"/>
          <w:sz w:val="18"/>
          <w:szCs w:val="18"/>
        </w:rPr>
        <w:t xml:space="preserve">. 16 </w:t>
      </w:r>
    </w:p>
  </w:footnote>
  <w:footnote w:id="10">
    <w:p w14:paraId="0BE451EB" w14:textId="68BF9ACC"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01CuadernoPrincipal…Folios245-446, </w:t>
      </w:r>
      <w:proofErr w:type="spellStart"/>
      <w:r w:rsidRPr="003B7DE1">
        <w:rPr>
          <w:rFonts w:ascii="Arial" w:hAnsi="Arial" w:cs="Arial"/>
          <w:sz w:val="18"/>
          <w:szCs w:val="18"/>
        </w:rPr>
        <w:t>arch</w:t>
      </w:r>
      <w:proofErr w:type="spellEnd"/>
      <w:r w:rsidRPr="003B7DE1">
        <w:rPr>
          <w:rFonts w:ascii="Arial" w:hAnsi="Arial" w:cs="Arial"/>
          <w:sz w:val="18"/>
          <w:szCs w:val="18"/>
        </w:rPr>
        <w:t>. 04</w:t>
      </w:r>
    </w:p>
  </w:footnote>
  <w:footnote w:id="11">
    <w:p w14:paraId="02FE0C61" w14:textId="3920E2D9"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Ib., </w:t>
      </w:r>
      <w:proofErr w:type="spellStart"/>
      <w:r w:rsidRPr="003B7DE1">
        <w:rPr>
          <w:rFonts w:ascii="Arial" w:hAnsi="Arial" w:cs="Arial"/>
          <w:sz w:val="18"/>
          <w:szCs w:val="18"/>
        </w:rPr>
        <w:t>arch</w:t>
      </w:r>
      <w:proofErr w:type="spellEnd"/>
      <w:r w:rsidRPr="003B7DE1">
        <w:rPr>
          <w:rFonts w:ascii="Arial" w:hAnsi="Arial" w:cs="Arial"/>
          <w:sz w:val="18"/>
          <w:szCs w:val="18"/>
        </w:rPr>
        <w:t>. 16</w:t>
      </w:r>
    </w:p>
  </w:footnote>
  <w:footnote w:id="12">
    <w:p w14:paraId="4906DF81" w14:textId="3A58D69E" w:rsidR="00DF4A0D" w:rsidRPr="003B7DE1" w:rsidRDefault="00DF4A0D" w:rsidP="003B7DE1">
      <w:pPr>
        <w:pStyle w:val="Textonotapie"/>
        <w:jc w:val="both"/>
        <w:rPr>
          <w:rFonts w:ascii="Arial" w:hAnsi="Arial" w:cs="Arial"/>
          <w:sz w:val="18"/>
          <w:szCs w:val="18"/>
          <w:lang w:val="es-ES"/>
        </w:rPr>
      </w:pPr>
      <w:r w:rsidRPr="003B7DE1">
        <w:rPr>
          <w:rStyle w:val="Refdenotaalpie"/>
          <w:rFonts w:ascii="Arial" w:hAnsi="Arial" w:cs="Arial"/>
          <w:sz w:val="18"/>
          <w:szCs w:val="18"/>
        </w:rPr>
        <w:footnoteRef/>
      </w:r>
      <w:r w:rsidRPr="003B7DE1">
        <w:rPr>
          <w:rFonts w:ascii="Arial" w:hAnsi="Arial" w:cs="Arial"/>
          <w:sz w:val="18"/>
          <w:szCs w:val="18"/>
        </w:rPr>
        <w:t xml:space="preserve"> Ib., </w:t>
      </w:r>
      <w:proofErr w:type="spellStart"/>
      <w:r w:rsidRPr="003B7DE1">
        <w:rPr>
          <w:rFonts w:ascii="Arial" w:hAnsi="Arial" w:cs="Arial"/>
          <w:sz w:val="18"/>
          <w:szCs w:val="18"/>
        </w:rPr>
        <w:t>arch</w:t>
      </w:r>
      <w:proofErr w:type="spellEnd"/>
      <w:r w:rsidRPr="003B7DE1">
        <w:rPr>
          <w:rFonts w:ascii="Arial" w:hAnsi="Arial" w:cs="Arial"/>
          <w:sz w:val="18"/>
          <w:szCs w:val="18"/>
        </w:rPr>
        <w:t>. 17</w:t>
      </w:r>
    </w:p>
  </w:footnote>
  <w:footnote w:id="13">
    <w:p w14:paraId="6418CD5E" w14:textId="2993D8A7"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Ib., </w:t>
      </w:r>
      <w:proofErr w:type="spellStart"/>
      <w:r w:rsidRPr="003B7DE1">
        <w:rPr>
          <w:rFonts w:ascii="Arial" w:hAnsi="Arial" w:cs="Arial"/>
          <w:sz w:val="18"/>
          <w:szCs w:val="18"/>
        </w:rPr>
        <w:t>arch</w:t>
      </w:r>
      <w:proofErr w:type="spellEnd"/>
      <w:r w:rsidRPr="003B7DE1">
        <w:rPr>
          <w:rFonts w:ascii="Arial" w:hAnsi="Arial" w:cs="Arial"/>
          <w:sz w:val="18"/>
          <w:szCs w:val="18"/>
        </w:rPr>
        <w:t>. 27</w:t>
      </w:r>
    </w:p>
  </w:footnote>
  <w:footnote w:id="14">
    <w:p w14:paraId="38F5475B" w14:textId="3BA8488B" w:rsidR="00DF4A0D" w:rsidRPr="003B7DE1" w:rsidRDefault="00DF4A0D" w:rsidP="003B7DE1">
      <w:pPr>
        <w:pStyle w:val="Textonotapie"/>
        <w:jc w:val="both"/>
        <w:rPr>
          <w:rFonts w:ascii="Arial" w:hAnsi="Arial" w:cs="Arial"/>
          <w:sz w:val="18"/>
          <w:szCs w:val="18"/>
          <w:lang w:val="es-ES"/>
        </w:rPr>
      </w:pPr>
      <w:r w:rsidRPr="003B7DE1">
        <w:rPr>
          <w:rStyle w:val="Refdenotaalpie"/>
          <w:rFonts w:ascii="Arial" w:hAnsi="Arial" w:cs="Arial"/>
          <w:sz w:val="18"/>
          <w:szCs w:val="18"/>
        </w:rPr>
        <w:footnoteRef/>
      </w:r>
      <w:r w:rsidRPr="003B7DE1">
        <w:rPr>
          <w:rFonts w:ascii="Arial" w:hAnsi="Arial" w:cs="Arial"/>
          <w:sz w:val="18"/>
          <w:szCs w:val="18"/>
        </w:rPr>
        <w:t xml:space="preserve"> 01PrimeraInstancia… Folios447-619, </w:t>
      </w:r>
      <w:proofErr w:type="spellStart"/>
      <w:r w:rsidRPr="003B7DE1">
        <w:rPr>
          <w:rFonts w:ascii="Arial" w:hAnsi="Arial" w:cs="Arial"/>
          <w:sz w:val="18"/>
          <w:szCs w:val="18"/>
        </w:rPr>
        <w:t>arch</w:t>
      </w:r>
      <w:proofErr w:type="spellEnd"/>
      <w:r w:rsidRPr="003B7DE1">
        <w:rPr>
          <w:rFonts w:ascii="Arial" w:hAnsi="Arial" w:cs="Arial"/>
          <w:sz w:val="18"/>
          <w:szCs w:val="18"/>
        </w:rPr>
        <w:t>. 60</w:t>
      </w:r>
    </w:p>
  </w:footnote>
  <w:footnote w:id="15">
    <w:p w14:paraId="6A8BF65F" w14:textId="7B88135A" w:rsidR="00DF4A0D" w:rsidRPr="003B7DE1" w:rsidRDefault="00DF4A0D" w:rsidP="003B7DE1">
      <w:pPr>
        <w:pStyle w:val="Textonotapie"/>
        <w:jc w:val="both"/>
        <w:rPr>
          <w:rFonts w:ascii="Arial" w:hAnsi="Arial" w:cs="Arial"/>
          <w:sz w:val="18"/>
          <w:szCs w:val="18"/>
          <w:lang w:val="es-ES"/>
        </w:rPr>
      </w:pPr>
      <w:r w:rsidRPr="003B7DE1">
        <w:rPr>
          <w:rStyle w:val="Refdenotaalpie"/>
          <w:rFonts w:ascii="Arial" w:hAnsi="Arial" w:cs="Arial"/>
          <w:sz w:val="18"/>
          <w:szCs w:val="18"/>
        </w:rPr>
        <w:footnoteRef/>
      </w:r>
      <w:r w:rsidRPr="003B7DE1">
        <w:rPr>
          <w:rFonts w:ascii="Arial" w:hAnsi="Arial" w:cs="Arial"/>
          <w:sz w:val="18"/>
          <w:szCs w:val="18"/>
        </w:rPr>
        <w:t xml:space="preserve"> Ib., </w:t>
      </w:r>
      <w:proofErr w:type="spellStart"/>
      <w:r w:rsidRPr="003B7DE1">
        <w:rPr>
          <w:rFonts w:ascii="Arial" w:hAnsi="Arial" w:cs="Arial"/>
          <w:sz w:val="18"/>
          <w:szCs w:val="18"/>
        </w:rPr>
        <w:t>arch</w:t>
      </w:r>
      <w:proofErr w:type="spellEnd"/>
      <w:r w:rsidRPr="003B7DE1">
        <w:rPr>
          <w:rFonts w:ascii="Arial" w:hAnsi="Arial" w:cs="Arial"/>
          <w:sz w:val="18"/>
          <w:szCs w:val="18"/>
        </w:rPr>
        <w:t>. 65</w:t>
      </w:r>
    </w:p>
  </w:footnote>
  <w:footnote w:id="16">
    <w:p w14:paraId="52DDA868" w14:textId="33C2FE4D" w:rsidR="00DF4A0D" w:rsidRPr="003B7DE1" w:rsidRDefault="00DF4A0D" w:rsidP="003B7DE1">
      <w:pPr>
        <w:pStyle w:val="Textonotapie"/>
        <w:jc w:val="both"/>
        <w:rPr>
          <w:rFonts w:ascii="Arial" w:hAnsi="Arial" w:cs="Arial"/>
          <w:sz w:val="18"/>
          <w:szCs w:val="18"/>
          <w:lang w:val="es-ES"/>
        </w:rPr>
      </w:pPr>
      <w:r w:rsidRPr="003B7DE1">
        <w:rPr>
          <w:rStyle w:val="Refdenotaalpie"/>
          <w:rFonts w:ascii="Arial" w:hAnsi="Arial" w:cs="Arial"/>
          <w:sz w:val="18"/>
          <w:szCs w:val="18"/>
        </w:rPr>
        <w:footnoteRef/>
      </w:r>
      <w:r w:rsidRPr="003B7DE1">
        <w:rPr>
          <w:rFonts w:ascii="Arial" w:hAnsi="Arial" w:cs="Arial"/>
          <w:sz w:val="18"/>
          <w:szCs w:val="18"/>
        </w:rPr>
        <w:t xml:space="preserve"> Ib., </w:t>
      </w:r>
      <w:proofErr w:type="spellStart"/>
      <w:r w:rsidRPr="003B7DE1">
        <w:rPr>
          <w:rFonts w:ascii="Arial" w:hAnsi="Arial" w:cs="Arial"/>
          <w:sz w:val="18"/>
          <w:szCs w:val="18"/>
        </w:rPr>
        <w:t>arch</w:t>
      </w:r>
      <w:proofErr w:type="spellEnd"/>
      <w:r w:rsidRPr="003B7DE1">
        <w:rPr>
          <w:rFonts w:ascii="Arial" w:hAnsi="Arial" w:cs="Arial"/>
          <w:sz w:val="18"/>
          <w:szCs w:val="18"/>
        </w:rPr>
        <w:t>. 74</w:t>
      </w:r>
    </w:p>
  </w:footnote>
  <w:footnote w:id="17">
    <w:p w14:paraId="58DE7876" w14:textId="4A5653FB" w:rsidR="00DF4A0D" w:rsidRPr="003B7DE1" w:rsidRDefault="00DF4A0D" w:rsidP="003B7DE1">
      <w:pPr>
        <w:pStyle w:val="Textonotapie"/>
        <w:jc w:val="both"/>
        <w:rPr>
          <w:rFonts w:ascii="Arial" w:hAnsi="Arial" w:cs="Arial"/>
          <w:sz w:val="18"/>
          <w:szCs w:val="18"/>
          <w:lang w:val="es-ES"/>
        </w:rPr>
      </w:pPr>
      <w:r w:rsidRPr="003B7DE1">
        <w:rPr>
          <w:rStyle w:val="Refdenotaalpie"/>
          <w:rFonts w:ascii="Arial" w:hAnsi="Arial" w:cs="Arial"/>
          <w:sz w:val="18"/>
          <w:szCs w:val="18"/>
        </w:rPr>
        <w:footnoteRef/>
      </w:r>
      <w:r w:rsidRPr="003B7DE1">
        <w:rPr>
          <w:rFonts w:ascii="Arial" w:hAnsi="Arial" w:cs="Arial"/>
          <w:sz w:val="18"/>
          <w:szCs w:val="18"/>
        </w:rPr>
        <w:t xml:space="preserve"> 02SehgundaInstancia, </w:t>
      </w:r>
      <w:proofErr w:type="spellStart"/>
      <w:r w:rsidRPr="003B7DE1">
        <w:rPr>
          <w:rFonts w:ascii="Arial" w:hAnsi="Arial" w:cs="Arial"/>
          <w:sz w:val="18"/>
          <w:szCs w:val="18"/>
        </w:rPr>
        <w:t>arch</w:t>
      </w:r>
      <w:proofErr w:type="spellEnd"/>
      <w:r w:rsidRPr="003B7DE1">
        <w:rPr>
          <w:rFonts w:ascii="Arial" w:hAnsi="Arial" w:cs="Arial"/>
          <w:sz w:val="18"/>
          <w:szCs w:val="18"/>
        </w:rPr>
        <w:t>. 10</w:t>
      </w:r>
    </w:p>
  </w:footnote>
  <w:footnote w:id="18">
    <w:p w14:paraId="601335BC" w14:textId="1A39CBF6" w:rsidR="00DF4A0D" w:rsidRPr="003B7DE1" w:rsidRDefault="00DF4A0D" w:rsidP="003B7DE1">
      <w:pPr>
        <w:pStyle w:val="Textonotapie"/>
        <w:jc w:val="both"/>
        <w:rPr>
          <w:rFonts w:ascii="Arial" w:hAnsi="Arial" w:cs="Arial"/>
          <w:sz w:val="18"/>
          <w:szCs w:val="18"/>
          <w:lang w:val="es-ES"/>
        </w:rPr>
      </w:pPr>
      <w:r w:rsidRPr="003B7DE1">
        <w:rPr>
          <w:rStyle w:val="Refdenotaalpie"/>
          <w:rFonts w:ascii="Arial" w:hAnsi="Arial" w:cs="Arial"/>
          <w:sz w:val="18"/>
          <w:szCs w:val="18"/>
        </w:rPr>
        <w:footnoteRef/>
      </w:r>
      <w:r w:rsidRPr="003B7DE1">
        <w:rPr>
          <w:rFonts w:ascii="Arial" w:hAnsi="Arial" w:cs="Arial"/>
          <w:sz w:val="18"/>
          <w:szCs w:val="18"/>
        </w:rPr>
        <w:t xml:space="preserve"> Ib., </w:t>
      </w:r>
      <w:proofErr w:type="spellStart"/>
      <w:r w:rsidRPr="003B7DE1">
        <w:rPr>
          <w:rFonts w:ascii="Arial" w:hAnsi="Arial" w:cs="Arial"/>
          <w:sz w:val="18"/>
          <w:szCs w:val="18"/>
        </w:rPr>
        <w:t>arch</w:t>
      </w:r>
      <w:proofErr w:type="spellEnd"/>
      <w:r w:rsidRPr="003B7DE1">
        <w:rPr>
          <w:rFonts w:ascii="Arial" w:hAnsi="Arial" w:cs="Arial"/>
          <w:sz w:val="18"/>
          <w:szCs w:val="18"/>
        </w:rPr>
        <w:t>. 22</w:t>
      </w:r>
    </w:p>
  </w:footnote>
  <w:footnote w:id="19">
    <w:p w14:paraId="4FFC8679" w14:textId="263900B6" w:rsidR="00DF4A0D" w:rsidRPr="003B7DE1" w:rsidRDefault="00DF4A0D" w:rsidP="003B7DE1">
      <w:pPr>
        <w:pStyle w:val="Textonotapie"/>
        <w:jc w:val="both"/>
        <w:rPr>
          <w:rFonts w:ascii="Arial" w:hAnsi="Arial" w:cs="Arial"/>
          <w:sz w:val="18"/>
          <w:szCs w:val="18"/>
          <w:lang w:val="es-ES"/>
        </w:rPr>
      </w:pPr>
      <w:r w:rsidRPr="003B7DE1">
        <w:rPr>
          <w:rStyle w:val="Refdenotaalpie"/>
          <w:rFonts w:ascii="Arial" w:hAnsi="Arial" w:cs="Arial"/>
          <w:sz w:val="18"/>
          <w:szCs w:val="18"/>
        </w:rPr>
        <w:footnoteRef/>
      </w:r>
      <w:r w:rsidRPr="003B7DE1">
        <w:rPr>
          <w:rFonts w:ascii="Arial" w:hAnsi="Arial" w:cs="Arial"/>
          <w:sz w:val="18"/>
          <w:szCs w:val="18"/>
        </w:rPr>
        <w:t xml:space="preserve"> Ib., </w:t>
      </w:r>
      <w:proofErr w:type="spellStart"/>
      <w:r w:rsidRPr="003B7DE1">
        <w:rPr>
          <w:rFonts w:ascii="Arial" w:hAnsi="Arial" w:cs="Arial"/>
          <w:sz w:val="18"/>
          <w:szCs w:val="18"/>
        </w:rPr>
        <w:t>arch</w:t>
      </w:r>
      <w:proofErr w:type="spellEnd"/>
      <w:r w:rsidRPr="003B7DE1">
        <w:rPr>
          <w:rFonts w:ascii="Arial" w:hAnsi="Arial" w:cs="Arial"/>
          <w:sz w:val="18"/>
          <w:szCs w:val="18"/>
        </w:rPr>
        <w:t>. 28</w:t>
      </w:r>
    </w:p>
  </w:footnote>
  <w:footnote w:id="20">
    <w:p w14:paraId="70ABC783" w14:textId="6ECD1292"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01.PrimeraInstancia… Folios 447-619, </w:t>
      </w:r>
      <w:proofErr w:type="spellStart"/>
      <w:r w:rsidRPr="003B7DE1">
        <w:rPr>
          <w:rFonts w:ascii="Arial" w:hAnsi="Arial" w:cs="Arial"/>
          <w:sz w:val="18"/>
          <w:szCs w:val="18"/>
        </w:rPr>
        <w:t>arch</w:t>
      </w:r>
      <w:proofErr w:type="spellEnd"/>
      <w:r w:rsidRPr="003B7DE1">
        <w:rPr>
          <w:rFonts w:ascii="Arial" w:hAnsi="Arial" w:cs="Arial"/>
          <w:sz w:val="18"/>
          <w:szCs w:val="18"/>
        </w:rPr>
        <w:t>. 73, 74</w:t>
      </w:r>
    </w:p>
  </w:footnote>
  <w:footnote w:id="21">
    <w:p w14:paraId="216EF429" w14:textId="10AACDFA" w:rsidR="00DF4A0D" w:rsidRPr="003B7DE1" w:rsidRDefault="00DF4A0D" w:rsidP="003B7DE1">
      <w:pPr>
        <w:pStyle w:val="Textonotapie"/>
        <w:jc w:val="both"/>
        <w:rPr>
          <w:rFonts w:ascii="Arial" w:eastAsia="Gadugi"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Se tuvo sustentada de acuerdo con lo manifestado en el escrito de reparos.  </w:t>
      </w:r>
    </w:p>
  </w:footnote>
  <w:footnote w:id="22">
    <w:p w14:paraId="5D6F2435" w14:textId="77777777" w:rsidR="00DF4A0D" w:rsidRPr="003B7DE1" w:rsidRDefault="00DF4A0D" w:rsidP="003B7DE1">
      <w:pPr>
        <w:pStyle w:val="Textonotapie"/>
        <w:jc w:val="both"/>
        <w:rPr>
          <w:rFonts w:ascii="Arial" w:eastAsia="Gadugi"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01PrimeraInstancia, C. ppal., Tomo III, archivo 75. </w:t>
      </w:r>
    </w:p>
  </w:footnote>
  <w:footnote w:id="23">
    <w:p w14:paraId="4ECABD6E" w14:textId="57177561" w:rsidR="00DF4A0D" w:rsidRPr="003B7DE1" w:rsidRDefault="00DF4A0D" w:rsidP="003B7DE1">
      <w:pPr>
        <w:pStyle w:val="Textonotapie"/>
        <w:jc w:val="both"/>
        <w:rPr>
          <w:rFonts w:ascii="Arial" w:eastAsia="Gadugi"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01PrimeraInstancia, C. ppal., Tomo I, archivo 02, página 1. </w:t>
      </w:r>
    </w:p>
  </w:footnote>
  <w:footnote w:id="24">
    <w:p w14:paraId="4D187FEE" w14:textId="5B27A6D3" w:rsidR="00DF4A0D" w:rsidRPr="003B7DE1" w:rsidRDefault="00DF4A0D" w:rsidP="003B7DE1">
      <w:pPr>
        <w:pStyle w:val="Textonotapie"/>
        <w:jc w:val="both"/>
        <w:rPr>
          <w:rFonts w:ascii="Arial" w:hAnsi="Arial" w:cs="Arial"/>
          <w:sz w:val="18"/>
          <w:szCs w:val="18"/>
          <w:lang w:val="es-MX"/>
        </w:rPr>
      </w:pPr>
      <w:r w:rsidRPr="003B7DE1">
        <w:rPr>
          <w:rStyle w:val="Refdenotaalpie"/>
          <w:rFonts w:ascii="Arial" w:hAnsi="Arial" w:cs="Arial"/>
          <w:sz w:val="18"/>
          <w:szCs w:val="18"/>
        </w:rPr>
        <w:footnoteRef/>
      </w:r>
      <w:r w:rsidRPr="003B7DE1">
        <w:rPr>
          <w:rFonts w:ascii="Arial" w:hAnsi="Arial" w:cs="Arial"/>
          <w:sz w:val="18"/>
          <w:szCs w:val="18"/>
        </w:rPr>
        <w:t xml:space="preserve"> 01CuadernoPrincipal…Folio 1-244, </w:t>
      </w:r>
      <w:proofErr w:type="spellStart"/>
      <w:r w:rsidRPr="003B7DE1">
        <w:rPr>
          <w:rFonts w:ascii="Arial" w:hAnsi="Arial" w:cs="Arial"/>
          <w:sz w:val="18"/>
          <w:szCs w:val="18"/>
        </w:rPr>
        <w:t>arch</w:t>
      </w:r>
      <w:proofErr w:type="spellEnd"/>
      <w:r w:rsidRPr="003B7DE1">
        <w:rPr>
          <w:rFonts w:ascii="Arial" w:hAnsi="Arial" w:cs="Arial"/>
          <w:sz w:val="18"/>
          <w:szCs w:val="18"/>
        </w:rPr>
        <w:t>. 02, p. 5</w:t>
      </w:r>
    </w:p>
  </w:footnote>
  <w:footnote w:id="25">
    <w:p w14:paraId="6E459586" w14:textId="1D7E2F3A" w:rsidR="00DF4A0D" w:rsidRPr="003B7DE1" w:rsidRDefault="00DF4A0D" w:rsidP="003B7DE1">
      <w:pPr>
        <w:pStyle w:val="Textonotapie"/>
        <w:jc w:val="both"/>
        <w:rPr>
          <w:rFonts w:ascii="Arial" w:hAnsi="Arial" w:cs="Arial"/>
          <w:sz w:val="18"/>
          <w:szCs w:val="18"/>
          <w:lang w:val="es-ES"/>
        </w:rPr>
      </w:pPr>
      <w:r w:rsidRPr="003B7DE1">
        <w:rPr>
          <w:rStyle w:val="Refdenotaalpie"/>
          <w:rFonts w:ascii="Arial" w:hAnsi="Arial" w:cs="Arial"/>
          <w:sz w:val="18"/>
          <w:szCs w:val="18"/>
        </w:rPr>
        <w:footnoteRef/>
      </w:r>
      <w:r w:rsidRPr="003B7DE1">
        <w:rPr>
          <w:rFonts w:ascii="Arial" w:hAnsi="Arial" w:cs="Arial"/>
          <w:sz w:val="18"/>
          <w:szCs w:val="18"/>
        </w:rPr>
        <w:t xml:space="preserve"> 01Primera Instancia… Folio 1-244, </w:t>
      </w:r>
      <w:proofErr w:type="spellStart"/>
      <w:r w:rsidRPr="003B7DE1">
        <w:rPr>
          <w:rFonts w:ascii="Arial" w:hAnsi="Arial" w:cs="Arial"/>
          <w:sz w:val="18"/>
          <w:szCs w:val="18"/>
        </w:rPr>
        <w:t>arch</w:t>
      </w:r>
      <w:proofErr w:type="spellEnd"/>
      <w:r w:rsidRPr="003B7DE1">
        <w:rPr>
          <w:rFonts w:ascii="Arial" w:hAnsi="Arial" w:cs="Arial"/>
          <w:sz w:val="18"/>
          <w:szCs w:val="18"/>
        </w:rPr>
        <w:t xml:space="preserve">. 02, p. 2. </w:t>
      </w:r>
    </w:p>
  </w:footnote>
  <w:footnote w:id="26">
    <w:p w14:paraId="4B2518A0" w14:textId="3AF65F10" w:rsidR="00DF4A0D" w:rsidRPr="003B7DE1" w:rsidRDefault="00DF4A0D" w:rsidP="003B7DE1">
      <w:pPr>
        <w:pStyle w:val="Textonotapie"/>
        <w:jc w:val="both"/>
        <w:rPr>
          <w:rFonts w:ascii="Arial" w:hAnsi="Arial" w:cs="Arial"/>
          <w:sz w:val="18"/>
          <w:szCs w:val="18"/>
          <w:lang w:val="es-MX"/>
        </w:rPr>
      </w:pPr>
      <w:r w:rsidRPr="003B7DE1">
        <w:rPr>
          <w:rStyle w:val="Refdenotaalpie"/>
          <w:rFonts w:ascii="Arial" w:hAnsi="Arial" w:cs="Arial"/>
          <w:sz w:val="18"/>
          <w:szCs w:val="18"/>
        </w:rPr>
        <w:footnoteRef/>
      </w:r>
      <w:r w:rsidRPr="003B7DE1">
        <w:rPr>
          <w:rFonts w:ascii="Arial" w:hAnsi="Arial" w:cs="Arial"/>
          <w:sz w:val="18"/>
          <w:szCs w:val="18"/>
        </w:rPr>
        <w:t xml:space="preserve"> 01Primera Instancia… Folio 1-</w:t>
      </w:r>
      <w:proofErr w:type="gramStart"/>
      <w:r w:rsidRPr="003B7DE1">
        <w:rPr>
          <w:rFonts w:ascii="Arial" w:hAnsi="Arial" w:cs="Arial"/>
          <w:sz w:val="18"/>
          <w:szCs w:val="18"/>
        </w:rPr>
        <w:t>244,,</w:t>
      </w:r>
      <w:proofErr w:type="gramEnd"/>
      <w:r w:rsidRPr="003B7DE1">
        <w:rPr>
          <w:rFonts w:ascii="Arial" w:hAnsi="Arial" w:cs="Arial"/>
          <w:sz w:val="18"/>
          <w:szCs w:val="18"/>
        </w:rPr>
        <w:t xml:space="preserve"> </w:t>
      </w:r>
      <w:proofErr w:type="spellStart"/>
      <w:r w:rsidRPr="003B7DE1">
        <w:rPr>
          <w:rFonts w:ascii="Arial" w:hAnsi="Arial" w:cs="Arial"/>
          <w:sz w:val="18"/>
          <w:szCs w:val="18"/>
        </w:rPr>
        <w:t>arch</w:t>
      </w:r>
      <w:proofErr w:type="spellEnd"/>
      <w:r w:rsidRPr="003B7DE1">
        <w:rPr>
          <w:rFonts w:ascii="Arial" w:hAnsi="Arial" w:cs="Arial"/>
          <w:sz w:val="18"/>
          <w:szCs w:val="18"/>
        </w:rPr>
        <w:t>. 74, 00:06´58” a 00:18´58</w:t>
      </w:r>
    </w:p>
  </w:footnote>
  <w:footnote w:id="27">
    <w:p w14:paraId="7401B1B5" w14:textId="6A78481C"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Pág. 14 ibidem, registro civil de nacimiento, indicativo serial 29332435, NUIP 991108. </w:t>
      </w:r>
    </w:p>
  </w:footnote>
  <w:footnote w:id="28">
    <w:p w14:paraId="7011CF24" w14:textId="77777777"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Pág. 13 ídem, registro civil de nacimiento, nro. 531. </w:t>
      </w:r>
    </w:p>
  </w:footnote>
  <w:footnote w:id="29">
    <w:p w14:paraId="14096732" w14:textId="77777777"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Pág. 9 ibidem, registro civil de nacimiento, nro. 338. </w:t>
      </w:r>
    </w:p>
  </w:footnote>
  <w:footnote w:id="30">
    <w:p w14:paraId="57C5C29A" w14:textId="77777777"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Pág. 7 ibidem, registro civil de nacimiento. </w:t>
      </w:r>
    </w:p>
  </w:footnote>
  <w:footnote w:id="31">
    <w:p w14:paraId="086B43D0" w14:textId="77777777"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Pág. 11 ibidem, registro civil de nacimiento. </w:t>
      </w:r>
    </w:p>
  </w:footnote>
  <w:footnote w:id="32">
    <w:p w14:paraId="36DDE91D" w14:textId="468AD03A" w:rsidR="00DF4A0D" w:rsidRPr="003B7DE1" w:rsidRDefault="00DF4A0D" w:rsidP="003B7DE1">
      <w:pPr>
        <w:pStyle w:val="Textonotapie"/>
        <w:jc w:val="both"/>
        <w:rPr>
          <w:rFonts w:ascii="Arial" w:hAnsi="Arial" w:cs="Arial"/>
          <w:sz w:val="18"/>
          <w:szCs w:val="18"/>
          <w:lang w:val="es-MX"/>
        </w:rPr>
      </w:pPr>
      <w:r w:rsidRPr="003B7DE1">
        <w:rPr>
          <w:rStyle w:val="Refdenotaalpie"/>
          <w:rFonts w:ascii="Arial" w:hAnsi="Arial" w:cs="Arial"/>
          <w:sz w:val="18"/>
          <w:szCs w:val="18"/>
        </w:rPr>
        <w:footnoteRef/>
      </w:r>
      <w:r w:rsidRPr="003B7DE1">
        <w:rPr>
          <w:rFonts w:ascii="Arial" w:hAnsi="Arial" w:cs="Arial"/>
          <w:sz w:val="18"/>
          <w:szCs w:val="18"/>
        </w:rPr>
        <w:t xml:space="preserve"> 01Primera Instancia… Folio 1-</w:t>
      </w:r>
      <w:proofErr w:type="gramStart"/>
      <w:r w:rsidRPr="003B7DE1">
        <w:rPr>
          <w:rFonts w:ascii="Arial" w:hAnsi="Arial" w:cs="Arial"/>
          <w:sz w:val="18"/>
          <w:szCs w:val="18"/>
        </w:rPr>
        <w:t>244,,</w:t>
      </w:r>
      <w:proofErr w:type="gramEnd"/>
      <w:r w:rsidRPr="003B7DE1">
        <w:rPr>
          <w:rFonts w:ascii="Arial" w:hAnsi="Arial" w:cs="Arial"/>
          <w:sz w:val="18"/>
          <w:szCs w:val="18"/>
        </w:rPr>
        <w:t xml:space="preserve"> </w:t>
      </w:r>
      <w:proofErr w:type="spellStart"/>
      <w:r w:rsidRPr="003B7DE1">
        <w:rPr>
          <w:rFonts w:ascii="Arial" w:hAnsi="Arial" w:cs="Arial"/>
          <w:sz w:val="18"/>
          <w:szCs w:val="18"/>
        </w:rPr>
        <w:t>arch</w:t>
      </w:r>
      <w:proofErr w:type="spellEnd"/>
      <w:r w:rsidRPr="003B7DE1">
        <w:rPr>
          <w:rFonts w:ascii="Arial" w:hAnsi="Arial" w:cs="Arial"/>
          <w:sz w:val="18"/>
          <w:szCs w:val="18"/>
        </w:rPr>
        <w:t>. 02, p. 1</w:t>
      </w:r>
    </w:p>
  </w:footnote>
  <w:footnote w:id="33">
    <w:p w14:paraId="5941C57E" w14:textId="34B8CBEA" w:rsidR="00DF4A0D" w:rsidRPr="003B7DE1" w:rsidRDefault="00DF4A0D"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Ib., p. 30 a 99 </w:t>
      </w:r>
    </w:p>
  </w:footnote>
  <w:footnote w:id="34">
    <w:p w14:paraId="52A2C47E" w14:textId="77777777" w:rsidR="00DF4A0D" w:rsidRPr="003B7DE1" w:rsidRDefault="00DF4A0D"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Fonts w:ascii="Arial" w:hAnsi="Arial" w:cs="Arial"/>
          <w:spacing w:val="2"/>
          <w:w w:val="86"/>
          <w:sz w:val="18"/>
          <w:szCs w:val="18"/>
        </w:rPr>
        <w:t>S</w:t>
      </w:r>
      <w:r w:rsidRPr="003B7DE1">
        <w:rPr>
          <w:rFonts w:ascii="Arial" w:hAnsi="Arial" w:cs="Arial"/>
          <w:spacing w:val="1"/>
          <w:w w:val="68"/>
          <w:sz w:val="18"/>
          <w:szCs w:val="18"/>
        </w:rPr>
        <w:t>e</w:t>
      </w:r>
      <w:r w:rsidRPr="003B7DE1">
        <w:rPr>
          <w:rFonts w:ascii="Arial" w:hAnsi="Arial" w:cs="Arial"/>
          <w:spacing w:val="-2"/>
          <w:w w:val="69"/>
          <w:sz w:val="18"/>
          <w:szCs w:val="18"/>
        </w:rPr>
        <w:t>n</w:t>
      </w:r>
      <w:r w:rsidRPr="003B7DE1">
        <w:rPr>
          <w:rFonts w:ascii="Arial" w:hAnsi="Arial" w:cs="Arial"/>
          <w:spacing w:val="1"/>
          <w:w w:val="63"/>
          <w:sz w:val="18"/>
          <w:szCs w:val="18"/>
        </w:rPr>
        <w:t>t</w:t>
      </w:r>
      <w:r w:rsidRPr="003B7DE1">
        <w:rPr>
          <w:rFonts w:ascii="Arial" w:hAnsi="Arial" w:cs="Arial"/>
          <w:spacing w:val="-1"/>
          <w:w w:val="68"/>
          <w:sz w:val="18"/>
          <w:szCs w:val="18"/>
        </w:rPr>
        <w:t>e</w:t>
      </w:r>
      <w:r w:rsidRPr="003B7DE1">
        <w:rPr>
          <w:rFonts w:ascii="Arial" w:hAnsi="Arial" w:cs="Arial"/>
          <w:spacing w:val="-3"/>
          <w:w w:val="68"/>
          <w:sz w:val="18"/>
          <w:szCs w:val="18"/>
        </w:rPr>
        <w:t>n</w:t>
      </w:r>
      <w:r w:rsidRPr="003B7DE1">
        <w:rPr>
          <w:rFonts w:ascii="Arial" w:hAnsi="Arial" w:cs="Arial"/>
          <w:spacing w:val="2"/>
          <w:w w:val="74"/>
          <w:sz w:val="18"/>
          <w:szCs w:val="18"/>
        </w:rPr>
        <w:t>c</w:t>
      </w:r>
      <w:r w:rsidRPr="003B7DE1">
        <w:rPr>
          <w:rFonts w:ascii="Arial" w:hAnsi="Arial" w:cs="Arial"/>
          <w:spacing w:val="-2"/>
          <w:w w:val="62"/>
          <w:sz w:val="18"/>
          <w:szCs w:val="18"/>
        </w:rPr>
        <w:t>i</w:t>
      </w:r>
      <w:r w:rsidRPr="003B7DE1">
        <w:rPr>
          <w:rFonts w:ascii="Arial" w:hAnsi="Arial" w:cs="Arial"/>
          <w:w w:val="71"/>
          <w:sz w:val="18"/>
          <w:szCs w:val="18"/>
        </w:rPr>
        <w:t>a</w:t>
      </w:r>
      <w:r w:rsidRPr="003B7DE1">
        <w:rPr>
          <w:rFonts w:ascii="Arial" w:hAnsi="Arial" w:cs="Arial"/>
          <w:spacing w:val="-24"/>
          <w:sz w:val="18"/>
          <w:szCs w:val="18"/>
        </w:rPr>
        <w:t xml:space="preserve"> </w:t>
      </w:r>
      <w:r w:rsidRPr="003B7DE1">
        <w:rPr>
          <w:rFonts w:ascii="Arial" w:hAnsi="Arial" w:cs="Arial"/>
          <w:w w:val="67"/>
          <w:sz w:val="18"/>
          <w:szCs w:val="18"/>
        </w:rPr>
        <w:t>d</w:t>
      </w:r>
      <w:r w:rsidRPr="003B7DE1">
        <w:rPr>
          <w:rFonts w:ascii="Arial" w:hAnsi="Arial" w:cs="Arial"/>
          <w:spacing w:val="2"/>
          <w:w w:val="67"/>
          <w:sz w:val="18"/>
          <w:szCs w:val="18"/>
        </w:rPr>
        <w:t>e</w:t>
      </w:r>
      <w:r w:rsidRPr="003B7DE1">
        <w:rPr>
          <w:rFonts w:ascii="Arial" w:hAnsi="Arial" w:cs="Arial"/>
          <w:w w:val="60"/>
          <w:sz w:val="18"/>
          <w:szCs w:val="18"/>
        </w:rPr>
        <w:t>l</w:t>
      </w:r>
      <w:r w:rsidRPr="003B7DE1">
        <w:rPr>
          <w:rFonts w:ascii="Arial" w:hAnsi="Arial" w:cs="Arial"/>
          <w:spacing w:val="-27"/>
          <w:sz w:val="18"/>
          <w:szCs w:val="18"/>
        </w:rPr>
        <w:t xml:space="preserve"> </w:t>
      </w:r>
      <w:r w:rsidRPr="003B7DE1">
        <w:rPr>
          <w:rFonts w:ascii="Arial" w:hAnsi="Arial" w:cs="Arial"/>
          <w:spacing w:val="-1"/>
          <w:w w:val="59"/>
          <w:sz w:val="18"/>
          <w:szCs w:val="18"/>
        </w:rPr>
        <w:t>1</w:t>
      </w:r>
      <w:r w:rsidRPr="003B7DE1">
        <w:rPr>
          <w:rFonts w:ascii="Arial" w:hAnsi="Arial" w:cs="Arial"/>
          <w:w w:val="59"/>
          <w:sz w:val="18"/>
          <w:szCs w:val="18"/>
        </w:rPr>
        <w:t>9</w:t>
      </w:r>
      <w:r w:rsidRPr="003B7DE1">
        <w:rPr>
          <w:rFonts w:ascii="Arial" w:hAnsi="Arial" w:cs="Arial"/>
          <w:spacing w:val="-27"/>
          <w:sz w:val="18"/>
          <w:szCs w:val="18"/>
        </w:rPr>
        <w:t xml:space="preserve"> </w:t>
      </w:r>
      <w:r w:rsidRPr="003B7DE1">
        <w:rPr>
          <w:rFonts w:ascii="Arial" w:hAnsi="Arial" w:cs="Arial"/>
          <w:w w:val="67"/>
          <w:sz w:val="18"/>
          <w:szCs w:val="18"/>
        </w:rPr>
        <w:t>de</w:t>
      </w:r>
      <w:r w:rsidRPr="003B7DE1">
        <w:rPr>
          <w:rFonts w:ascii="Arial" w:hAnsi="Arial" w:cs="Arial"/>
          <w:spacing w:val="-25"/>
          <w:sz w:val="18"/>
          <w:szCs w:val="18"/>
        </w:rPr>
        <w:t xml:space="preserve"> </w:t>
      </w:r>
      <w:r w:rsidRPr="003B7DE1">
        <w:rPr>
          <w:rFonts w:ascii="Arial" w:hAnsi="Arial" w:cs="Arial"/>
          <w:spacing w:val="-2"/>
          <w:w w:val="48"/>
          <w:sz w:val="18"/>
          <w:szCs w:val="18"/>
        </w:rPr>
        <w:t>j</w:t>
      </w:r>
      <w:r w:rsidRPr="003B7DE1">
        <w:rPr>
          <w:rFonts w:ascii="Arial" w:hAnsi="Arial" w:cs="Arial"/>
          <w:w w:val="69"/>
          <w:sz w:val="18"/>
          <w:szCs w:val="18"/>
        </w:rPr>
        <w:t>un</w:t>
      </w:r>
      <w:r w:rsidRPr="003B7DE1">
        <w:rPr>
          <w:rFonts w:ascii="Arial" w:hAnsi="Arial" w:cs="Arial"/>
          <w:spacing w:val="-2"/>
          <w:w w:val="62"/>
          <w:sz w:val="18"/>
          <w:szCs w:val="18"/>
        </w:rPr>
        <w:t>i</w:t>
      </w:r>
      <w:r w:rsidRPr="003B7DE1">
        <w:rPr>
          <w:rFonts w:ascii="Arial" w:hAnsi="Arial" w:cs="Arial"/>
          <w:w w:val="70"/>
          <w:sz w:val="18"/>
          <w:szCs w:val="18"/>
        </w:rPr>
        <w:t>o</w:t>
      </w:r>
      <w:r w:rsidRPr="003B7DE1">
        <w:rPr>
          <w:rFonts w:ascii="Arial" w:hAnsi="Arial" w:cs="Arial"/>
          <w:spacing w:val="-25"/>
          <w:sz w:val="18"/>
          <w:szCs w:val="18"/>
        </w:rPr>
        <w:t xml:space="preserve"> </w:t>
      </w:r>
      <w:r w:rsidRPr="003B7DE1">
        <w:rPr>
          <w:rFonts w:ascii="Arial" w:hAnsi="Arial" w:cs="Arial"/>
          <w:w w:val="67"/>
          <w:sz w:val="18"/>
          <w:szCs w:val="18"/>
        </w:rPr>
        <w:t>de</w:t>
      </w:r>
      <w:r w:rsidRPr="003B7DE1">
        <w:rPr>
          <w:rFonts w:ascii="Arial" w:hAnsi="Arial" w:cs="Arial"/>
          <w:spacing w:val="-25"/>
          <w:sz w:val="18"/>
          <w:szCs w:val="18"/>
        </w:rPr>
        <w:t xml:space="preserve"> </w:t>
      </w:r>
      <w:r w:rsidRPr="003B7DE1">
        <w:rPr>
          <w:rFonts w:ascii="Arial" w:hAnsi="Arial" w:cs="Arial"/>
          <w:spacing w:val="2"/>
          <w:w w:val="74"/>
          <w:sz w:val="18"/>
          <w:szCs w:val="18"/>
        </w:rPr>
        <w:t>2</w:t>
      </w:r>
      <w:r w:rsidRPr="003B7DE1">
        <w:rPr>
          <w:rFonts w:ascii="Arial" w:hAnsi="Arial" w:cs="Arial"/>
          <w:spacing w:val="-1"/>
          <w:w w:val="82"/>
          <w:sz w:val="18"/>
          <w:szCs w:val="18"/>
        </w:rPr>
        <w:t>0</w:t>
      </w:r>
      <w:r w:rsidRPr="003B7DE1">
        <w:rPr>
          <w:rFonts w:ascii="Arial" w:hAnsi="Arial" w:cs="Arial"/>
          <w:spacing w:val="-1"/>
          <w:w w:val="60"/>
          <w:sz w:val="18"/>
          <w:szCs w:val="18"/>
        </w:rPr>
        <w:t>18</w:t>
      </w:r>
      <w:r w:rsidRPr="003B7DE1">
        <w:rPr>
          <w:rFonts w:ascii="Arial" w:hAnsi="Arial" w:cs="Arial"/>
          <w:w w:val="45"/>
          <w:sz w:val="18"/>
          <w:szCs w:val="18"/>
        </w:rPr>
        <w:t>,</w:t>
      </w:r>
      <w:r w:rsidRPr="003B7DE1">
        <w:rPr>
          <w:rFonts w:ascii="Arial" w:hAnsi="Arial" w:cs="Arial"/>
          <w:spacing w:val="-24"/>
          <w:sz w:val="18"/>
          <w:szCs w:val="18"/>
        </w:rPr>
        <w:t xml:space="preserve"> </w:t>
      </w:r>
      <w:r w:rsidRPr="003B7DE1">
        <w:rPr>
          <w:rFonts w:ascii="Arial" w:hAnsi="Arial" w:cs="Arial"/>
          <w:spacing w:val="-1"/>
          <w:w w:val="77"/>
          <w:sz w:val="18"/>
          <w:szCs w:val="18"/>
        </w:rPr>
        <w:t>r</w:t>
      </w:r>
      <w:r w:rsidRPr="003B7DE1">
        <w:rPr>
          <w:rFonts w:ascii="Arial" w:hAnsi="Arial" w:cs="Arial"/>
          <w:w w:val="77"/>
          <w:sz w:val="18"/>
          <w:szCs w:val="18"/>
        </w:rPr>
        <w:t>a</w:t>
      </w:r>
      <w:r w:rsidRPr="003B7DE1">
        <w:rPr>
          <w:rFonts w:ascii="Arial" w:hAnsi="Arial" w:cs="Arial"/>
          <w:w w:val="65"/>
          <w:sz w:val="18"/>
          <w:szCs w:val="18"/>
        </w:rPr>
        <w:t>d</w:t>
      </w:r>
      <w:r w:rsidRPr="003B7DE1">
        <w:rPr>
          <w:rFonts w:ascii="Arial" w:hAnsi="Arial" w:cs="Arial"/>
          <w:spacing w:val="-2"/>
          <w:w w:val="65"/>
          <w:sz w:val="18"/>
          <w:szCs w:val="18"/>
        </w:rPr>
        <w:t>i</w:t>
      </w:r>
      <w:r w:rsidRPr="003B7DE1">
        <w:rPr>
          <w:rFonts w:ascii="Arial" w:hAnsi="Arial" w:cs="Arial"/>
          <w:spacing w:val="-1"/>
          <w:w w:val="72"/>
          <w:sz w:val="18"/>
          <w:szCs w:val="18"/>
        </w:rPr>
        <w:t>c</w:t>
      </w:r>
      <w:r w:rsidRPr="003B7DE1">
        <w:rPr>
          <w:rFonts w:ascii="Arial" w:hAnsi="Arial" w:cs="Arial"/>
          <w:spacing w:val="1"/>
          <w:w w:val="72"/>
          <w:sz w:val="18"/>
          <w:szCs w:val="18"/>
        </w:rPr>
        <w:t>a</w:t>
      </w:r>
      <w:r w:rsidRPr="003B7DE1">
        <w:rPr>
          <w:rFonts w:ascii="Arial" w:hAnsi="Arial" w:cs="Arial"/>
          <w:w w:val="68"/>
          <w:sz w:val="18"/>
          <w:szCs w:val="18"/>
        </w:rPr>
        <w:t>do</w:t>
      </w:r>
      <w:r w:rsidRPr="003B7DE1">
        <w:rPr>
          <w:rFonts w:ascii="Arial" w:hAnsi="Arial" w:cs="Arial"/>
          <w:spacing w:val="-27"/>
          <w:sz w:val="18"/>
          <w:szCs w:val="18"/>
        </w:rPr>
        <w:t xml:space="preserve"> </w:t>
      </w:r>
      <w:r w:rsidRPr="003B7DE1">
        <w:rPr>
          <w:rFonts w:ascii="Arial" w:hAnsi="Arial" w:cs="Arial"/>
          <w:spacing w:val="2"/>
          <w:w w:val="74"/>
          <w:sz w:val="18"/>
          <w:szCs w:val="18"/>
        </w:rPr>
        <w:t>2</w:t>
      </w:r>
      <w:r w:rsidRPr="003B7DE1">
        <w:rPr>
          <w:rFonts w:ascii="Arial" w:hAnsi="Arial" w:cs="Arial"/>
          <w:spacing w:val="-1"/>
          <w:w w:val="82"/>
          <w:sz w:val="18"/>
          <w:szCs w:val="18"/>
        </w:rPr>
        <w:t>0</w:t>
      </w:r>
      <w:r w:rsidRPr="003B7DE1">
        <w:rPr>
          <w:rFonts w:ascii="Arial" w:hAnsi="Arial" w:cs="Arial"/>
          <w:spacing w:val="-1"/>
          <w:w w:val="38"/>
          <w:sz w:val="18"/>
          <w:szCs w:val="18"/>
        </w:rPr>
        <w:t>1</w:t>
      </w:r>
      <w:r w:rsidRPr="003B7DE1">
        <w:rPr>
          <w:rFonts w:ascii="Arial" w:hAnsi="Arial" w:cs="Arial"/>
          <w:spacing w:val="3"/>
          <w:w w:val="38"/>
          <w:sz w:val="18"/>
          <w:szCs w:val="18"/>
        </w:rPr>
        <w:t>1</w:t>
      </w:r>
      <w:r w:rsidRPr="003B7DE1">
        <w:rPr>
          <w:rFonts w:ascii="Arial" w:hAnsi="Arial" w:cs="Arial"/>
          <w:spacing w:val="1"/>
          <w:w w:val="80"/>
          <w:sz w:val="18"/>
          <w:szCs w:val="18"/>
        </w:rPr>
        <w:t>-</w:t>
      </w:r>
      <w:r w:rsidRPr="003B7DE1">
        <w:rPr>
          <w:rFonts w:ascii="Arial" w:hAnsi="Arial" w:cs="Arial"/>
          <w:spacing w:val="-1"/>
          <w:w w:val="82"/>
          <w:sz w:val="18"/>
          <w:szCs w:val="18"/>
        </w:rPr>
        <w:t>00</w:t>
      </w:r>
      <w:r w:rsidRPr="003B7DE1">
        <w:rPr>
          <w:rFonts w:ascii="Arial" w:hAnsi="Arial" w:cs="Arial"/>
          <w:spacing w:val="-1"/>
          <w:w w:val="59"/>
          <w:sz w:val="18"/>
          <w:szCs w:val="18"/>
        </w:rPr>
        <w:t>1</w:t>
      </w:r>
      <w:r w:rsidRPr="003B7DE1">
        <w:rPr>
          <w:rFonts w:ascii="Arial" w:hAnsi="Arial" w:cs="Arial"/>
          <w:w w:val="59"/>
          <w:sz w:val="18"/>
          <w:szCs w:val="18"/>
        </w:rPr>
        <w:t>9</w:t>
      </w:r>
      <w:r w:rsidRPr="003B7DE1">
        <w:rPr>
          <w:rFonts w:ascii="Arial" w:hAnsi="Arial" w:cs="Arial"/>
          <w:spacing w:val="2"/>
          <w:w w:val="80"/>
          <w:sz w:val="18"/>
          <w:szCs w:val="18"/>
        </w:rPr>
        <w:t>3</w:t>
      </w:r>
      <w:r w:rsidRPr="003B7DE1">
        <w:rPr>
          <w:rFonts w:ascii="Arial" w:hAnsi="Arial" w:cs="Arial"/>
          <w:spacing w:val="1"/>
          <w:w w:val="80"/>
          <w:sz w:val="18"/>
          <w:szCs w:val="18"/>
        </w:rPr>
        <w:t>-</w:t>
      </w:r>
      <w:r w:rsidRPr="003B7DE1">
        <w:rPr>
          <w:rFonts w:ascii="Arial" w:hAnsi="Arial" w:cs="Arial"/>
          <w:spacing w:val="-1"/>
          <w:w w:val="82"/>
          <w:sz w:val="18"/>
          <w:szCs w:val="18"/>
        </w:rPr>
        <w:t>0</w:t>
      </w:r>
      <w:r w:rsidRPr="003B7DE1">
        <w:rPr>
          <w:rFonts w:ascii="Arial" w:hAnsi="Arial" w:cs="Arial"/>
          <w:spacing w:val="-1"/>
          <w:w w:val="41"/>
          <w:sz w:val="18"/>
          <w:szCs w:val="18"/>
        </w:rPr>
        <w:t>1.</w:t>
      </w:r>
    </w:p>
  </w:footnote>
  <w:footnote w:id="35">
    <w:p w14:paraId="4958E8A5" w14:textId="77777777" w:rsidR="00DF4A0D" w:rsidRPr="003B7DE1" w:rsidRDefault="00DF4A0D"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Fonts w:ascii="Arial" w:hAnsi="Arial" w:cs="Arial"/>
          <w:spacing w:val="-1"/>
          <w:w w:val="70"/>
          <w:sz w:val="18"/>
          <w:szCs w:val="18"/>
        </w:rPr>
        <w:t>Sentencia</w:t>
      </w:r>
      <w:r w:rsidRPr="003B7DE1">
        <w:rPr>
          <w:rFonts w:ascii="Arial" w:hAnsi="Arial" w:cs="Arial"/>
          <w:spacing w:val="-2"/>
          <w:w w:val="70"/>
          <w:sz w:val="18"/>
          <w:szCs w:val="18"/>
        </w:rPr>
        <w:t xml:space="preserve"> </w:t>
      </w:r>
      <w:r w:rsidRPr="003B7DE1">
        <w:rPr>
          <w:rFonts w:ascii="Arial" w:hAnsi="Arial" w:cs="Arial"/>
          <w:w w:val="70"/>
          <w:sz w:val="18"/>
          <w:szCs w:val="18"/>
        </w:rPr>
        <w:t>del</w:t>
      </w:r>
      <w:r w:rsidRPr="003B7DE1">
        <w:rPr>
          <w:rFonts w:ascii="Arial" w:hAnsi="Arial" w:cs="Arial"/>
          <w:spacing w:val="-5"/>
          <w:w w:val="70"/>
          <w:sz w:val="18"/>
          <w:szCs w:val="18"/>
        </w:rPr>
        <w:t xml:space="preserve"> </w:t>
      </w:r>
      <w:r w:rsidRPr="003B7DE1">
        <w:rPr>
          <w:rFonts w:ascii="Arial" w:hAnsi="Arial" w:cs="Arial"/>
          <w:w w:val="70"/>
          <w:sz w:val="18"/>
          <w:szCs w:val="18"/>
        </w:rPr>
        <w:t>19</w:t>
      </w:r>
      <w:r w:rsidRPr="003B7DE1">
        <w:rPr>
          <w:rFonts w:ascii="Arial" w:hAnsi="Arial" w:cs="Arial"/>
          <w:spacing w:val="-5"/>
          <w:w w:val="70"/>
          <w:sz w:val="18"/>
          <w:szCs w:val="18"/>
        </w:rPr>
        <w:t xml:space="preserve"> </w:t>
      </w:r>
      <w:r w:rsidRPr="003B7DE1">
        <w:rPr>
          <w:rFonts w:ascii="Arial" w:hAnsi="Arial" w:cs="Arial"/>
          <w:w w:val="70"/>
          <w:sz w:val="18"/>
          <w:szCs w:val="18"/>
        </w:rPr>
        <w:t>de</w:t>
      </w:r>
      <w:r w:rsidRPr="003B7DE1">
        <w:rPr>
          <w:rFonts w:ascii="Arial" w:hAnsi="Arial" w:cs="Arial"/>
          <w:spacing w:val="-3"/>
          <w:w w:val="70"/>
          <w:sz w:val="18"/>
          <w:szCs w:val="18"/>
        </w:rPr>
        <w:t xml:space="preserve"> </w:t>
      </w:r>
      <w:r w:rsidRPr="003B7DE1">
        <w:rPr>
          <w:rFonts w:ascii="Arial" w:hAnsi="Arial" w:cs="Arial"/>
          <w:w w:val="70"/>
          <w:sz w:val="18"/>
          <w:szCs w:val="18"/>
        </w:rPr>
        <w:t>junio</w:t>
      </w:r>
      <w:r w:rsidRPr="003B7DE1">
        <w:rPr>
          <w:rFonts w:ascii="Arial" w:hAnsi="Arial" w:cs="Arial"/>
          <w:spacing w:val="-3"/>
          <w:w w:val="70"/>
          <w:sz w:val="18"/>
          <w:szCs w:val="18"/>
        </w:rPr>
        <w:t xml:space="preserve"> </w:t>
      </w:r>
      <w:r w:rsidRPr="003B7DE1">
        <w:rPr>
          <w:rFonts w:ascii="Arial" w:hAnsi="Arial" w:cs="Arial"/>
          <w:w w:val="70"/>
          <w:sz w:val="18"/>
          <w:szCs w:val="18"/>
        </w:rPr>
        <w:t>de</w:t>
      </w:r>
      <w:r w:rsidRPr="003B7DE1">
        <w:rPr>
          <w:rFonts w:ascii="Arial" w:hAnsi="Arial" w:cs="Arial"/>
          <w:spacing w:val="-3"/>
          <w:w w:val="70"/>
          <w:sz w:val="18"/>
          <w:szCs w:val="18"/>
        </w:rPr>
        <w:t xml:space="preserve"> </w:t>
      </w:r>
      <w:r w:rsidRPr="003B7DE1">
        <w:rPr>
          <w:rFonts w:ascii="Arial" w:hAnsi="Arial" w:cs="Arial"/>
          <w:w w:val="70"/>
          <w:sz w:val="18"/>
          <w:szCs w:val="18"/>
        </w:rPr>
        <w:t>2020,</w:t>
      </w:r>
      <w:r w:rsidRPr="003B7DE1">
        <w:rPr>
          <w:rFonts w:ascii="Arial" w:hAnsi="Arial" w:cs="Arial"/>
          <w:spacing w:val="-5"/>
          <w:w w:val="70"/>
          <w:sz w:val="18"/>
          <w:szCs w:val="18"/>
        </w:rPr>
        <w:t xml:space="preserve"> </w:t>
      </w:r>
      <w:r w:rsidRPr="003B7DE1">
        <w:rPr>
          <w:rFonts w:ascii="Arial" w:hAnsi="Arial" w:cs="Arial"/>
          <w:w w:val="70"/>
          <w:sz w:val="18"/>
          <w:szCs w:val="18"/>
        </w:rPr>
        <w:t>radicado</w:t>
      </w:r>
      <w:r w:rsidRPr="003B7DE1">
        <w:rPr>
          <w:rFonts w:ascii="Arial" w:hAnsi="Arial" w:cs="Arial"/>
          <w:spacing w:val="-5"/>
          <w:w w:val="70"/>
          <w:sz w:val="18"/>
          <w:szCs w:val="18"/>
        </w:rPr>
        <w:t xml:space="preserve"> </w:t>
      </w:r>
      <w:r w:rsidRPr="003B7DE1">
        <w:rPr>
          <w:rFonts w:ascii="Arial" w:hAnsi="Arial" w:cs="Arial"/>
          <w:w w:val="70"/>
          <w:sz w:val="18"/>
          <w:szCs w:val="18"/>
        </w:rPr>
        <w:t>2019-00046-01,</w:t>
      </w:r>
      <w:r w:rsidRPr="003B7DE1">
        <w:rPr>
          <w:rFonts w:ascii="Arial" w:hAnsi="Arial" w:cs="Arial"/>
          <w:spacing w:val="-3"/>
          <w:w w:val="70"/>
          <w:sz w:val="18"/>
          <w:szCs w:val="18"/>
        </w:rPr>
        <w:t xml:space="preserve"> </w:t>
      </w:r>
      <w:r w:rsidRPr="003B7DE1">
        <w:rPr>
          <w:rFonts w:ascii="Arial" w:hAnsi="Arial" w:cs="Arial"/>
          <w:w w:val="70"/>
          <w:sz w:val="18"/>
          <w:szCs w:val="18"/>
        </w:rPr>
        <w:t>M.P.</w:t>
      </w:r>
      <w:r w:rsidRPr="003B7DE1">
        <w:rPr>
          <w:rFonts w:ascii="Arial" w:hAnsi="Arial" w:cs="Arial"/>
          <w:spacing w:val="-5"/>
          <w:w w:val="70"/>
          <w:sz w:val="18"/>
          <w:szCs w:val="18"/>
        </w:rPr>
        <w:t xml:space="preserve"> </w:t>
      </w:r>
      <w:proofErr w:type="spellStart"/>
      <w:r w:rsidRPr="003B7DE1">
        <w:rPr>
          <w:rFonts w:ascii="Arial" w:hAnsi="Arial" w:cs="Arial"/>
          <w:w w:val="70"/>
          <w:sz w:val="18"/>
          <w:szCs w:val="18"/>
        </w:rPr>
        <w:t>Duberney</w:t>
      </w:r>
      <w:proofErr w:type="spellEnd"/>
      <w:r w:rsidRPr="003B7DE1">
        <w:rPr>
          <w:rFonts w:ascii="Arial" w:hAnsi="Arial" w:cs="Arial"/>
          <w:spacing w:val="-2"/>
          <w:w w:val="70"/>
          <w:sz w:val="18"/>
          <w:szCs w:val="18"/>
        </w:rPr>
        <w:t xml:space="preserve"> </w:t>
      </w:r>
      <w:r w:rsidRPr="003B7DE1">
        <w:rPr>
          <w:rFonts w:ascii="Arial" w:hAnsi="Arial" w:cs="Arial"/>
          <w:w w:val="70"/>
          <w:sz w:val="18"/>
          <w:szCs w:val="18"/>
        </w:rPr>
        <w:t>Grisales</w:t>
      </w:r>
      <w:r w:rsidRPr="003B7DE1">
        <w:rPr>
          <w:rFonts w:ascii="Arial" w:hAnsi="Arial" w:cs="Arial"/>
          <w:spacing w:val="-1"/>
          <w:w w:val="70"/>
          <w:sz w:val="18"/>
          <w:szCs w:val="18"/>
        </w:rPr>
        <w:t xml:space="preserve"> </w:t>
      </w:r>
      <w:r w:rsidRPr="003B7DE1">
        <w:rPr>
          <w:rFonts w:ascii="Arial" w:hAnsi="Arial" w:cs="Arial"/>
          <w:w w:val="70"/>
          <w:sz w:val="18"/>
          <w:szCs w:val="18"/>
        </w:rPr>
        <w:t>Herrera.</w:t>
      </w:r>
    </w:p>
  </w:footnote>
  <w:footnote w:id="36">
    <w:p w14:paraId="72E1D7BB" w14:textId="77777777" w:rsidR="00DF4A0D" w:rsidRPr="003B7DE1" w:rsidRDefault="00DF4A0D"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Fonts w:ascii="Arial" w:hAnsi="Arial" w:cs="Arial"/>
          <w:spacing w:val="5"/>
          <w:w w:val="86"/>
          <w:sz w:val="18"/>
          <w:szCs w:val="18"/>
        </w:rPr>
        <w:t>S</w:t>
      </w:r>
      <w:r w:rsidRPr="003B7DE1">
        <w:rPr>
          <w:rFonts w:ascii="Arial" w:hAnsi="Arial" w:cs="Arial"/>
          <w:spacing w:val="-8"/>
          <w:w w:val="58"/>
          <w:sz w:val="18"/>
          <w:szCs w:val="18"/>
        </w:rPr>
        <w:t>T</w:t>
      </w:r>
      <w:r w:rsidRPr="003B7DE1">
        <w:rPr>
          <w:rFonts w:ascii="Arial" w:hAnsi="Arial" w:cs="Arial"/>
          <w:spacing w:val="1"/>
          <w:w w:val="70"/>
          <w:sz w:val="18"/>
          <w:szCs w:val="18"/>
        </w:rPr>
        <w:t>C</w:t>
      </w:r>
      <w:r w:rsidRPr="003B7DE1">
        <w:rPr>
          <w:rFonts w:ascii="Arial" w:hAnsi="Arial" w:cs="Arial"/>
          <w:spacing w:val="1"/>
          <w:w w:val="80"/>
          <w:sz w:val="18"/>
          <w:szCs w:val="18"/>
        </w:rPr>
        <w:t>9</w:t>
      </w:r>
      <w:r w:rsidRPr="003B7DE1">
        <w:rPr>
          <w:rFonts w:ascii="Arial" w:hAnsi="Arial" w:cs="Arial"/>
          <w:spacing w:val="4"/>
          <w:w w:val="78"/>
          <w:sz w:val="18"/>
          <w:szCs w:val="18"/>
        </w:rPr>
        <w:t>5</w:t>
      </w:r>
      <w:r w:rsidRPr="003B7DE1">
        <w:rPr>
          <w:rFonts w:ascii="Arial" w:hAnsi="Arial" w:cs="Arial"/>
          <w:spacing w:val="-1"/>
          <w:w w:val="75"/>
          <w:sz w:val="18"/>
          <w:szCs w:val="18"/>
        </w:rPr>
        <w:t>87</w:t>
      </w:r>
      <w:r w:rsidRPr="003B7DE1">
        <w:rPr>
          <w:rFonts w:ascii="Arial" w:hAnsi="Arial" w:cs="Arial"/>
          <w:spacing w:val="-2"/>
          <w:w w:val="80"/>
          <w:sz w:val="18"/>
          <w:szCs w:val="18"/>
        </w:rPr>
        <w:t>-</w:t>
      </w:r>
      <w:r w:rsidRPr="003B7DE1">
        <w:rPr>
          <w:rFonts w:ascii="Arial" w:hAnsi="Arial" w:cs="Arial"/>
          <w:spacing w:val="2"/>
          <w:w w:val="74"/>
          <w:sz w:val="18"/>
          <w:szCs w:val="18"/>
        </w:rPr>
        <w:t>2</w:t>
      </w:r>
      <w:r w:rsidRPr="003B7DE1">
        <w:rPr>
          <w:rFonts w:ascii="Arial" w:hAnsi="Arial" w:cs="Arial"/>
          <w:spacing w:val="-1"/>
          <w:w w:val="82"/>
          <w:sz w:val="18"/>
          <w:szCs w:val="18"/>
        </w:rPr>
        <w:t>0</w:t>
      </w:r>
      <w:r w:rsidRPr="003B7DE1">
        <w:rPr>
          <w:rFonts w:ascii="Arial" w:hAnsi="Arial" w:cs="Arial"/>
          <w:spacing w:val="-1"/>
          <w:w w:val="53"/>
          <w:sz w:val="18"/>
          <w:szCs w:val="18"/>
        </w:rPr>
        <w:t>1</w:t>
      </w:r>
      <w:r w:rsidRPr="003B7DE1">
        <w:rPr>
          <w:rFonts w:ascii="Arial" w:hAnsi="Arial" w:cs="Arial"/>
          <w:w w:val="53"/>
          <w:sz w:val="18"/>
          <w:szCs w:val="18"/>
        </w:rPr>
        <w:t>7</w:t>
      </w:r>
      <w:r w:rsidRPr="003B7DE1">
        <w:rPr>
          <w:rFonts w:ascii="Arial" w:hAnsi="Arial" w:cs="Arial"/>
          <w:w w:val="45"/>
          <w:sz w:val="18"/>
          <w:szCs w:val="18"/>
        </w:rPr>
        <w:t>,</w:t>
      </w:r>
      <w:r w:rsidRPr="003B7DE1">
        <w:rPr>
          <w:rFonts w:ascii="Arial" w:hAnsi="Arial" w:cs="Arial"/>
          <w:spacing w:val="-27"/>
          <w:sz w:val="18"/>
          <w:szCs w:val="18"/>
        </w:rPr>
        <w:t xml:space="preserve"> </w:t>
      </w:r>
      <w:r w:rsidRPr="003B7DE1">
        <w:rPr>
          <w:rFonts w:ascii="Arial" w:hAnsi="Arial" w:cs="Arial"/>
          <w:spacing w:val="5"/>
          <w:w w:val="86"/>
          <w:sz w:val="18"/>
          <w:szCs w:val="18"/>
        </w:rPr>
        <w:t>S</w:t>
      </w:r>
      <w:r w:rsidRPr="003B7DE1">
        <w:rPr>
          <w:rFonts w:ascii="Arial" w:hAnsi="Arial" w:cs="Arial"/>
          <w:spacing w:val="-8"/>
          <w:w w:val="58"/>
          <w:sz w:val="18"/>
          <w:szCs w:val="18"/>
        </w:rPr>
        <w:t>T</w:t>
      </w:r>
      <w:r w:rsidRPr="003B7DE1">
        <w:rPr>
          <w:rFonts w:ascii="Arial" w:hAnsi="Arial" w:cs="Arial"/>
          <w:spacing w:val="1"/>
          <w:w w:val="70"/>
          <w:sz w:val="18"/>
          <w:szCs w:val="18"/>
        </w:rPr>
        <w:t>C</w:t>
      </w:r>
      <w:r w:rsidRPr="003B7DE1">
        <w:rPr>
          <w:rFonts w:ascii="Arial" w:hAnsi="Arial" w:cs="Arial"/>
          <w:spacing w:val="-1"/>
          <w:w w:val="58"/>
          <w:sz w:val="18"/>
          <w:szCs w:val="18"/>
        </w:rPr>
        <w:t>1</w:t>
      </w:r>
      <w:r w:rsidRPr="003B7DE1">
        <w:rPr>
          <w:rFonts w:ascii="Arial" w:hAnsi="Arial" w:cs="Arial"/>
          <w:spacing w:val="1"/>
          <w:w w:val="58"/>
          <w:sz w:val="18"/>
          <w:szCs w:val="18"/>
        </w:rPr>
        <w:t>5</w:t>
      </w:r>
      <w:r w:rsidRPr="003B7DE1">
        <w:rPr>
          <w:rFonts w:ascii="Arial" w:hAnsi="Arial" w:cs="Arial"/>
          <w:spacing w:val="-1"/>
          <w:w w:val="71"/>
          <w:sz w:val="18"/>
          <w:szCs w:val="18"/>
        </w:rPr>
        <w:t>2</w:t>
      </w:r>
      <w:r w:rsidRPr="003B7DE1">
        <w:rPr>
          <w:rFonts w:ascii="Arial" w:hAnsi="Arial" w:cs="Arial"/>
          <w:spacing w:val="1"/>
          <w:w w:val="71"/>
          <w:sz w:val="18"/>
          <w:szCs w:val="18"/>
        </w:rPr>
        <w:t>7</w:t>
      </w:r>
      <w:r w:rsidRPr="003B7DE1">
        <w:rPr>
          <w:rFonts w:ascii="Arial" w:hAnsi="Arial" w:cs="Arial"/>
          <w:spacing w:val="1"/>
          <w:w w:val="80"/>
          <w:sz w:val="18"/>
          <w:szCs w:val="18"/>
        </w:rPr>
        <w:t>3</w:t>
      </w:r>
      <w:r w:rsidRPr="003B7DE1">
        <w:rPr>
          <w:rFonts w:ascii="Arial" w:hAnsi="Arial" w:cs="Arial"/>
          <w:spacing w:val="-2"/>
          <w:w w:val="80"/>
          <w:sz w:val="18"/>
          <w:szCs w:val="18"/>
        </w:rPr>
        <w:t>-</w:t>
      </w:r>
      <w:r w:rsidRPr="003B7DE1">
        <w:rPr>
          <w:rFonts w:ascii="Arial" w:hAnsi="Arial" w:cs="Arial"/>
          <w:spacing w:val="2"/>
          <w:w w:val="74"/>
          <w:sz w:val="18"/>
          <w:szCs w:val="18"/>
        </w:rPr>
        <w:t>2</w:t>
      </w:r>
      <w:r w:rsidRPr="003B7DE1">
        <w:rPr>
          <w:rFonts w:ascii="Arial" w:hAnsi="Arial" w:cs="Arial"/>
          <w:spacing w:val="-1"/>
          <w:w w:val="82"/>
          <w:sz w:val="18"/>
          <w:szCs w:val="18"/>
        </w:rPr>
        <w:t>0</w:t>
      </w:r>
      <w:r w:rsidRPr="003B7DE1">
        <w:rPr>
          <w:rFonts w:ascii="Arial" w:hAnsi="Arial" w:cs="Arial"/>
          <w:spacing w:val="-1"/>
          <w:w w:val="59"/>
          <w:sz w:val="18"/>
          <w:szCs w:val="18"/>
        </w:rPr>
        <w:t>1</w:t>
      </w:r>
      <w:r w:rsidRPr="003B7DE1">
        <w:rPr>
          <w:rFonts w:ascii="Arial" w:hAnsi="Arial" w:cs="Arial"/>
          <w:w w:val="59"/>
          <w:sz w:val="18"/>
          <w:szCs w:val="18"/>
        </w:rPr>
        <w:t>9</w:t>
      </w:r>
      <w:r w:rsidRPr="003B7DE1">
        <w:rPr>
          <w:rFonts w:ascii="Arial" w:hAnsi="Arial" w:cs="Arial"/>
          <w:w w:val="45"/>
          <w:sz w:val="18"/>
          <w:szCs w:val="18"/>
        </w:rPr>
        <w:t>,</w:t>
      </w:r>
      <w:r w:rsidRPr="003B7DE1">
        <w:rPr>
          <w:rFonts w:ascii="Arial" w:hAnsi="Arial" w:cs="Arial"/>
          <w:spacing w:val="-27"/>
          <w:sz w:val="18"/>
          <w:szCs w:val="18"/>
        </w:rPr>
        <w:t xml:space="preserve"> </w:t>
      </w:r>
      <w:r w:rsidRPr="003B7DE1">
        <w:rPr>
          <w:rFonts w:ascii="Arial" w:hAnsi="Arial" w:cs="Arial"/>
          <w:spacing w:val="5"/>
          <w:w w:val="86"/>
          <w:sz w:val="18"/>
          <w:szCs w:val="18"/>
        </w:rPr>
        <w:t>S</w:t>
      </w:r>
      <w:r w:rsidRPr="003B7DE1">
        <w:rPr>
          <w:rFonts w:ascii="Arial" w:hAnsi="Arial" w:cs="Arial"/>
          <w:spacing w:val="-8"/>
          <w:w w:val="58"/>
          <w:sz w:val="18"/>
          <w:szCs w:val="18"/>
        </w:rPr>
        <w:t>T</w:t>
      </w:r>
      <w:r w:rsidRPr="003B7DE1">
        <w:rPr>
          <w:rFonts w:ascii="Arial" w:hAnsi="Arial" w:cs="Arial"/>
          <w:spacing w:val="1"/>
          <w:w w:val="70"/>
          <w:sz w:val="18"/>
          <w:szCs w:val="18"/>
        </w:rPr>
        <w:t>C</w:t>
      </w:r>
      <w:r w:rsidRPr="003B7DE1">
        <w:rPr>
          <w:rFonts w:ascii="Arial" w:hAnsi="Arial" w:cs="Arial"/>
          <w:spacing w:val="-1"/>
          <w:w w:val="38"/>
          <w:sz w:val="18"/>
          <w:szCs w:val="18"/>
        </w:rPr>
        <w:t>1</w:t>
      </w:r>
      <w:r w:rsidRPr="003B7DE1">
        <w:rPr>
          <w:rFonts w:ascii="Arial" w:hAnsi="Arial" w:cs="Arial"/>
          <w:spacing w:val="-2"/>
          <w:w w:val="38"/>
          <w:sz w:val="18"/>
          <w:szCs w:val="18"/>
        </w:rPr>
        <w:t>1</w:t>
      </w:r>
      <w:r w:rsidRPr="003B7DE1">
        <w:rPr>
          <w:rFonts w:ascii="Arial" w:hAnsi="Arial" w:cs="Arial"/>
          <w:spacing w:val="1"/>
          <w:w w:val="80"/>
          <w:sz w:val="18"/>
          <w:szCs w:val="18"/>
        </w:rPr>
        <w:t>3</w:t>
      </w:r>
      <w:r w:rsidRPr="003B7DE1">
        <w:rPr>
          <w:rFonts w:ascii="Arial" w:hAnsi="Arial" w:cs="Arial"/>
          <w:spacing w:val="2"/>
          <w:w w:val="74"/>
          <w:sz w:val="18"/>
          <w:szCs w:val="18"/>
        </w:rPr>
        <w:t>2</w:t>
      </w:r>
      <w:r w:rsidRPr="003B7DE1">
        <w:rPr>
          <w:rFonts w:ascii="Arial" w:hAnsi="Arial" w:cs="Arial"/>
          <w:spacing w:val="1"/>
          <w:w w:val="82"/>
          <w:sz w:val="18"/>
          <w:szCs w:val="18"/>
        </w:rPr>
        <w:t>8</w:t>
      </w:r>
      <w:r w:rsidRPr="003B7DE1">
        <w:rPr>
          <w:rFonts w:ascii="Arial" w:hAnsi="Arial" w:cs="Arial"/>
          <w:spacing w:val="1"/>
          <w:w w:val="80"/>
          <w:sz w:val="18"/>
          <w:szCs w:val="18"/>
        </w:rPr>
        <w:t>-</w:t>
      </w:r>
      <w:r w:rsidRPr="003B7DE1">
        <w:rPr>
          <w:rFonts w:ascii="Arial" w:hAnsi="Arial" w:cs="Arial"/>
          <w:spacing w:val="2"/>
          <w:w w:val="74"/>
          <w:sz w:val="18"/>
          <w:szCs w:val="18"/>
        </w:rPr>
        <w:t>2</w:t>
      </w:r>
      <w:r w:rsidRPr="003B7DE1">
        <w:rPr>
          <w:rFonts w:ascii="Arial" w:hAnsi="Arial" w:cs="Arial"/>
          <w:spacing w:val="-1"/>
          <w:w w:val="82"/>
          <w:sz w:val="18"/>
          <w:szCs w:val="18"/>
        </w:rPr>
        <w:t>0</w:t>
      </w:r>
      <w:r w:rsidRPr="003B7DE1">
        <w:rPr>
          <w:rFonts w:ascii="Arial" w:hAnsi="Arial" w:cs="Arial"/>
          <w:spacing w:val="-1"/>
          <w:w w:val="59"/>
          <w:sz w:val="18"/>
          <w:szCs w:val="18"/>
        </w:rPr>
        <w:t>1</w:t>
      </w:r>
      <w:r w:rsidRPr="003B7DE1">
        <w:rPr>
          <w:rFonts w:ascii="Arial" w:hAnsi="Arial" w:cs="Arial"/>
          <w:w w:val="59"/>
          <w:sz w:val="18"/>
          <w:szCs w:val="18"/>
        </w:rPr>
        <w:t>9</w:t>
      </w:r>
      <w:r w:rsidRPr="003B7DE1">
        <w:rPr>
          <w:rFonts w:ascii="Arial" w:hAnsi="Arial" w:cs="Arial"/>
          <w:spacing w:val="-27"/>
          <w:sz w:val="18"/>
          <w:szCs w:val="18"/>
        </w:rPr>
        <w:t xml:space="preserve"> </w:t>
      </w:r>
      <w:r w:rsidRPr="003B7DE1">
        <w:rPr>
          <w:rFonts w:ascii="Arial" w:hAnsi="Arial" w:cs="Arial"/>
          <w:w w:val="70"/>
          <w:sz w:val="18"/>
          <w:szCs w:val="18"/>
        </w:rPr>
        <w:t>y</w:t>
      </w:r>
      <w:r w:rsidRPr="003B7DE1">
        <w:rPr>
          <w:rFonts w:ascii="Arial" w:hAnsi="Arial" w:cs="Arial"/>
          <w:spacing w:val="-27"/>
          <w:sz w:val="18"/>
          <w:szCs w:val="18"/>
        </w:rPr>
        <w:t xml:space="preserve"> </w:t>
      </w:r>
      <w:r w:rsidRPr="003B7DE1">
        <w:rPr>
          <w:rFonts w:ascii="Arial" w:hAnsi="Arial" w:cs="Arial"/>
          <w:spacing w:val="5"/>
          <w:w w:val="86"/>
          <w:sz w:val="18"/>
          <w:szCs w:val="18"/>
        </w:rPr>
        <w:t>S</w:t>
      </w:r>
      <w:r w:rsidRPr="003B7DE1">
        <w:rPr>
          <w:rFonts w:ascii="Arial" w:hAnsi="Arial" w:cs="Arial"/>
          <w:spacing w:val="-8"/>
          <w:w w:val="58"/>
          <w:sz w:val="18"/>
          <w:szCs w:val="18"/>
        </w:rPr>
        <w:t>T</w:t>
      </w:r>
      <w:r w:rsidRPr="003B7DE1">
        <w:rPr>
          <w:rFonts w:ascii="Arial" w:hAnsi="Arial" w:cs="Arial"/>
          <w:spacing w:val="1"/>
          <w:w w:val="70"/>
          <w:sz w:val="18"/>
          <w:szCs w:val="18"/>
        </w:rPr>
        <w:t>C</w:t>
      </w:r>
      <w:r w:rsidRPr="003B7DE1">
        <w:rPr>
          <w:rFonts w:ascii="Arial" w:hAnsi="Arial" w:cs="Arial"/>
          <w:spacing w:val="-1"/>
          <w:w w:val="60"/>
          <w:sz w:val="18"/>
          <w:szCs w:val="18"/>
        </w:rPr>
        <w:t>1</w:t>
      </w:r>
      <w:r w:rsidRPr="003B7DE1">
        <w:rPr>
          <w:rFonts w:ascii="Arial" w:hAnsi="Arial" w:cs="Arial"/>
          <w:w w:val="60"/>
          <w:sz w:val="18"/>
          <w:szCs w:val="18"/>
        </w:rPr>
        <w:t>0</w:t>
      </w:r>
      <w:r w:rsidRPr="003B7DE1">
        <w:rPr>
          <w:rFonts w:ascii="Arial" w:hAnsi="Arial" w:cs="Arial"/>
          <w:w w:val="82"/>
          <w:sz w:val="18"/>
          <w:szCs w:val="18"/>
        </w:rPr>
        <w:t>0</w:t>
      </w:r>
      <w:r w:rsidRPr="003B7DE1">
        <w:rPr>
          <w:rFonts w:ascii="Arial" w:hAnsi="Arial" w:cs="Arial"/>
          <w:spacing w:val="1"/>
          <w:w w:val="80"/>
          <w:sz w:val="18"/>
          <w:szCs w:val="18"/>
        </w:rPr>
        <w:t>-</w:t>
      </w:r>
      <w:r w:rsidRPr="003B7DE1">
        <w:rPr>
          <w:rFonts w:ascii="Arial" w:hAnsi="Arial" w:cs="Arial"/>
          <w:spacing w:val="2"/>
          <w:w w:val="74"/>
          <w:sz w:val="18"/>
          <w:szCs w:val="18"/>
        </w:rPr>
        <w:t>2</w:t>
      </w:r>
      <w:r w:rsidRPr="003B7DE1">
        <w:rPr>
          <w:rFonts w:ascii="Arial" w:hAnsi="Arial" w:cs="Arial"/>
          <w:spacing w:val="-1"/>
          <w:w w:val="82"/>
          <w:sz w:val="18"/>
          <w:szCs w:val="18"/>
        </w:rPr>
        <w:t>0</w:t>
      </w:r>
      <w:r w:rsidRPr="003B7DE1">
        <w:rPr>
          <w:rFonts w:ascii="Arial" w:hAnsi="Arial" w:cs="Arial"/>
          <w:spacing w:val="-1"/>
          <w:w w:val="59"/>
          <w:sz w:val="18"/>
          <w:szCs w:val="18"/>
        </w:rPr>
        <w:t>1</w:t>
      </w:r>
      <w:r w:rsidRPr="003B7DE1">
        <w:rPr>
          <w:rFonts w:ascii="Arial" w:hAnsi="Arial" w:cs="Arial"/>
          <w:w w:val="59"/>
          <w:sz w:val="18"/>
          <w:szCs w:val="18"/>
        </w:rPr>
        <w:t>9</w:t>
      </w:r>
    </w:p>
  </w:footnote>
  <w:footnote w:id="37">
    <w:p w14:paraId="5D1E204F" w14:textId="77777777" w:rsidR="00DF4A0D" w:rsidRPr="003B7DE1" w:rsidRDefault="00DF4A0D"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Fonts w:ascii="Arial" w:hAnsi="Arial" w:cs="Arial"/>
          <w:spacing w:val="2"/>
          <w:w w:val="86"/>
          <w:sz w:val="18"/>
          <w:szCs w:val="18"/>
        </w:rPr>
        <w:t>S</w:t>
      </w:r>
      <w:r w:rsidRPr="003B7DE1">
        <w:rPr>
          <w:rFonts w:ascii="Arial" w:hAnsi="Arial" w:cs="Arial"/>
          <w:spacing w:val="-2"/>
          <w:w w:val="70"/>
          <w:sz w:val="18"/>
          <w:szCs w:val="18"/>
        </w:rPr>
        <w:t>C</w:t>
      </w:r>
      <w:r w:rsidRPr="003B7DE1">
        <w:rPr>
          <w:rFonts w:ascii="Arial" w:hAnsi="Arial" w:cs="Arial"/>
          <w:spacing w:val="-1"/>
          <w:w w:val="77"/>
          <w:sz w:val="18"/>
          <w:szCs w:val="18"/>
        </w:rPr>
        <w:t>23</w:t>
      </w:r>
      <w:r w:rsidRPr="003B7DE1">
        <w:rPr>
          <w:rFonts w:ascii="Arial" w:hAnsi="Arial" w:cs="Arial"/>
          <w:spacing w:val="3"/>
          <w:w w:val="77"/>
          <w:sz w:val="18"/>
          <w:szCs w:val="18"/>
        </w:rPr>
        <w:t>5</w:t>
      </w:r>
      <w:r w:rsidRPr="003B7DE1">
        <w:rPr>
          <w:rFonts w:ascii="Arial" w:hAnsi="Arial" w:cs="Arial"/>
          <w:spacing w:val="-3"/>
          <w:w w:val="38"/>
          <w:sz w:val="18"/>
          <w:szCs w:val="18"/>
        </w:rPr>
        <w:t>1</w:t>
      </w:r>
      <w:r w:rsidRPr="003B7DE1">
        <w:rPr>
          <w:rFonts w:ascii="Arial" w:hAnsi="Arial" w:cs="Arial"/>
          <w:spacing w:val="1"/>
          <w:w w:val="80"/>
          <w:sz w:val="18"/>
          <w:szCs w:val="18"/>
        </w:rPr>
        <w:t>-</w:t>
      </w:r>
      <w:r w:rsidRPr="003B7DE1">
        <w:rPr>
          <w:rFonts w:ascii="Arial" w:hAnsi="Arial" w:cs="Arial"/>
          <w:spacing w:val="2"/>
          <w:w w:val="74"/>
          <w:sz w:val="18"/>
          <w:szCs w:val="18"/>
        </w:rPr>
        <w:t>2</w:t>
      </w:r>
      <w:r w:rsidRPr="003B7DE1">
        <w:rPr>
          <w:rFonts w:ascii="Arial" w:hAnsi="Arial" w:cs="Arial"/>
          <w:spacing w:val="-1"/>
          <w:w w:val="82"/>
          <w:sz w:val="18"/>
          <w:szCs w:val="18"/>
        </w:rPr>
        <w:t>0</w:t>
      </w:r>
      <w:r w:rsidRPr="003B7DE1">
        <w:rPr>
          <w:rFonts w:ascii="Arial" w:hAnsi="Arial" w:cs="Arial"/>
          <w:spacing w:val="-1"/>
          <w:w w:val="59"/>
          <w:sz w:val="18"/>
          <w:szCs w:val="18"/>
        </w:rPr>
        <w:t>1</w:t>
      </w:r>
      <w:r w:rsidRPr="003B7DE1">
        <w:rPr>
          <w:rFonts w:ascii="Arial" w:hAnsi="Arial" w:cs="Arial"/>
          <w:spacing w:val="-2"/>
          <w:w w:val="59"/>
          <w:sz w:val="18"/>
          <w:szCs w:val="18"/>
        </w:rPr>
        <w:t>9</w:t>
      </w:r>
      <w:r w:rsidRPr="003B7DE1">
        <w:rPr>
          <w:rFonts w:ascii="Arial" w:hAnsi="Arial" w:cs="Arial"/>
          <w:w w:val="45"/>
          <w:sz w:val="18"/>
          <w:szCs w:val="18"/>
        </w:rPr>
        <w:t>.</w:t>
      </w:r>
    </w:p>
  </w:footnote>
  <w:footnote w:id="38">
    <w:p w14:paraId="5933B804" w14:textId="7EF1AE03" w:rsidR="00DF4A0D" w:rsidRPr="003B7DE1" w:rsidRDefault="00DF4A0D"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Fonts w:ascii="Arial" w:hAnsi="Arial" w:cs="Arial"/>
          <w:w w:val="76"/>
          <w:sz w:val="18"/>
          <w:szCs w:val="18"/>
        </w:rPr>
        <w:t>S</w:t>
      </w:r>
      <w:r w:rsidRPr="003B7DE1">
        <w:rPr>
          <w:rFonts w:ascii="Arial" w:hAnsi="Arial" w:cs="Arial"/>
          <w:spacing w:val="1"/>
          <w:w w:val="76"/>
          <w:sz w:val="18"/>
          <w:szCs w:val="18"/>
        </w:rPr>
        <w:t>e</w:t>
      </w:r>
      <w:r w:rsidRPr="003B7DE1">
        <w:rPr>
          <w:rFonts w:ascii="Arial" w:hAnsi="Arial" w:cs="Arial"/>
          <w:spacing w:val="-2"/>
          <w:w w:val="69"/>
          <w:sz w:val="18"/>
          <w:szCs w:val="18"/>
        </w:rPr>
        <w:t>n</w:t>
      </w:r>
      <w:r w:rsidRPr="003B7DE1">
        <w:rPr>
          <w:rFonts w:ascii="Arial" w:hAnsi="Arial" w:cs="Arial"/>
          <w:spacing w:val="1"/>
          <w:w w:val="63"/>
          <w:sz w:val="18"/>
          <w:szCs w:val="18"/>
        </w:rPr>
        <w:t>t</w:t>
      </w:r>
      <w:r w:rsidRPr="003B7DE1">
        <w:rPr>
          <w:rFonts w:ascii="Arial" w:hAnsi="Arial" w:cs="Arial"/>
          <w:spacing w:val="-1"/>
          <w:w w:val="68"/>
          <w:sz w:val="18"/>
          <w:szCs w:val="18"/>
        </w:rPr>
        <w:t>e</w:t>
      </w:r>
      <w:r w:rsidRPr="003B7DE1">
        <w:rPr>
          <w:rFonts w:ascii="Arial" w:hAnsi="Arial" w:cs="Arial"/>
          <w:spacing w:val="-3"/>
          <w:w w:val="68"/>
          <w:sz w:val="18"/>
          <w:szCs w:val="18"/>
        </w:rPr>
        <w:t>n</w:t>
      </w:r>
      <w:r w:rsidRPr="003B7DE1">
        <w:rPr>
          <w:rFonts w:ascii="Arial" w:hAnsi="Arial" w:cs="Arial"/>
          <w:spacing w:val="2"/>
          <w:w w:val="74"/>
          <w:sz w:val="18"/>
          <w:szCs w:val="18"/>
        </w:rPr>
        <w:t>c</w:t>
      </w:r>
      <w:r w:rsidRPr="003B7DE1">
        <w:rPr>
          <w:rFonts w:ascii="Arial" w:hAnsi="Arial" w:cs="Arial"/>
          <w:spacing w:val="-2"/>
          <w:w w:val="62"/>
          <w:sz w:val="18"/>
          <w:szCs w:val="18"/>
        </w:rPr>
        <w:t>i</w:t>
      </w:r>
      <w:r w:rsidRPr="003B7DE1">
        <w:rPr>
          <w:rFonts w:ascii="Arial" w:hAnsi="Arial" w:cs="Arial"/>
          <w:spacing w:val="-2"/>
          <w:w w:val="71"/>
          <w:sz w:val="18"/>
          <w:szCs w:val="18"/>
        </w:rPr>
        <w:t>a</w:t>
      </w:r>
      <w:r w:rsidRPr="003B7DE1">
        <w:rPr>
          <w:rFonts w:ascii="Arial" w:hAnsi="Arial" w:cs="Arial"/>
          <w:w w:val="88"/>
          <w:sz w:val="18"/>
          <w:szCs w:val="18"/>
        </w:rPr>
        <w:t>s</w:t>
      </w:r>
      <w:r w:rsidRPr="003B7DE1">
        <w:rPr>
          <w:rFonts w:ascii="Arial" w:hAnsi="Arial" w:cs="Arial"/>
          <w:spacing w:val="-30"/>
          <w:sz w:val="18"/>
          <w:szCs w:val="18"/>
        </w:rPr>
        <w:t xml:space="preserve"> </w:t>
      </w:r>
      <w:r w:rsidRPr="003B7DE1">
        <w:rPr>
          <w:rFonts w:ascii="Arial" w:hAnsi="Arial" w:cs="Arial"/>
          <w:w w:val="67"/>
          <w:sz w:val="18"/>
          <w:szCs w:val="18"/>
        </w:rPr>
        <w:t>de</w:t>
      </w:r>
      <w:r w:rsidRPr="003B7DE1">
        <w:rPr>
          <w:rFonts w:ascii="Arial" w:hAnsi="Arial" w:cs="Arial"/>
          <w:spacing w:val="-32"/>
          <w:sz w:val="18"/>
          <w:szCs w:val="18"/>
        </w:rPr>
        <w:t xml:space="preserve"> </w:t>
      </w:r>
      <w:r w:rsidRPr="003B7DE1">
        <w:rPr>
          <w:rFonts w:ascii="Arial" w:hAnsi="Arial" w:cs="Arial"/>
          <w:spacing w:val="-1"/>
          <w:w w:val="82"/>
          <w:sz w:val="18"/>
          <w:szCs w:val="18"/>
        </w:rPr>
        <w:t>01</w:t>
      </w:r>
      <w:r w:rsidRPr="003B7DE1">
        <w:rPr>
          <w:rFonts w:ascii="Arial" w:hAnsi="Arial" w:cs="Arial"/>
          <w:spacing w:val="1"/>
          <w:w w:val="80"/>
          <w:sz w:val="18"/>
          <w:szCs w:val="18"/>
        </w:rPr>
        <w:t>-</w:t>
      </w:r>
      <w:r w:rsidRPr="003B7DE1">
        <w:rPr>
          <w:rFonts w:ascii="Arial" w:hAnsi="Arial" w:cs="Arial"/>
          <w:spacing w:val="-1"/>
          <w:w w:val="81"/>
          <w:sz w:val="18"/>
          <w:szCs w:val="18"/>
        </w:rPr>
        <w:t>0</w:t>
      </w:r>
      <w:r w:rsidRPr="003B7DE1">
        <w:rPr>
          <w:rFonts w:ascii="Arial" w:hAnsi="Arial" w:cs="Arial"/>
          <w:spacing w:val="1"/>
          <w:w w:val="81"/>
          <w:sz w:val="18"/>
          <w:szCs w:val="18"/>
        </w:rPr>
        <w:t>9</w:t>
      </w:r>
      <w:r w:rsidRPr="003B7DE1">
        <w:rPr>
          <w:rFonts w:ascii="Arial" w:hAnsi="Arial" w:cs="Arial"/>
          <w:spacing w:val="-2"/>
          <w:w w:val="80"/>
          <w:sz w:val="18"/>
          <w:szCs w:val="18"/>
        </w:rPr>
        <w:t>-</w:t>
      </w:r>
      <w:r w:rsidRPr="003B7DE1">
        <w:rPr>
          <w:rFonts w:ascii="Arial" w:hAnsi="Arial" w:cs="Arial"/>
          <w:spacing w:val="2"/>
          <w:w w:val="74"/>
          <w:sz w:val="18"/>
          <w:szCs w:val="18"/>
        </w:rPr>
        <w:t>2</w:t>
      </w:r>
      <w:r w:rsidRPr="003B7DE1">
        <w:rPr>
          <w:rFonts w:ascii="Arial" w:hAnsi="Arial" w:cs="Arial"/>
          <w:spacing w:val="-1"/>
          <w:w w:val="82"/>
          <w:sz w:val="18"/>
          <w:szCs w:val="18"/>
        </w:rPr>
        <w:t>01</w:t>
      </w:r>
      <w:r w:rsidRPr="003B7DE1">
        <w:rPr>
          <w:rFonts w:ascii="Arial" w:hAnsi="Arial" w:cs="Arial"/>
          <w:spacing w:val="4"/>
          <w:w w:val="78"/>
          <w:sz w:val="18"/>
          <w:szCs w:val="18"/>
        </w:rPr>
        <w:t>5</w:t>
      </w:r>
      <w:r w:rsidRPr="003B7DE1">
        <w:rPr>
          <w:rFonts w:ascii="Arial" w:hAnsi="Arial" w:cs="Arial"/>
          <w:w w:val="45"/>
          <w:sz w:val="18"/>
          <w:szCs w:val="18"/>
        </w:rPr>
        <w:t>,</w:t>
      </w:r>
      <w:r w:rsidRPr="003B7DE1">
        <w:rPr>
          <w:rFonts w:ascii="Arial" w:hAnsi="Arial" w:cs="Arial"/>
          <w:spacing w:val="-34"/>
          <w:sz w:val="18"/>
          <w:szCs w:val="18"/>
        </w:rPr>
        <w:t xml:space="preserve"> </w:t>
      </w:r>
      <w:r w:rsidRPr="003B7DE1">
        <w:rPr>
          <w:rFonts w:ascii="Arial" w:hAnsi="Arial" w:cs="Arial"/>
          <w:spacing w:val="1"/>
          <w:w w:val="85"/>
          <w:sz w:val="18"/>
          <w:szCs w:val="18"/>
        </w:rPr>
        <w:t>r</w:t>
      </w:r>
      <w:r w:rsidRPr="003B7DE1">
        <w:rPr>
          <w:rFonts w:ascii="Arial" w:hAnsi="Arial" w:cs="Arial"/>
          <w:spacing w:val="-2"/>
          <w:w w:val="71"/>
          <w:sz w:val="18"/>
          <w:szCs w:val="18"/>
        </w:rPr>
        <w:t>a</w:t>
      </w:r>
      <w:r w:rsidRPr="003B7DE1">
        <w:rPr>
          <w:rFonts w:ascii="Arial" w:hAnsi="Arial" w:cs="Arial"/>
          <w:w w:val="65"/>
          <w:sz w:val="18"/>
          <w:szCs w:val="18"/>
        </w:rPr>
        <w:t>d</w:t>
      </w:r>
      <w:r w:rsidRPr="003B7DE1">
        <w:rPr>
          <w:rFonts w:ascii="Arial" w:hAnsi="Arial" w:cs="Arial"/>
          <w:spacing w:val="-2"/>
          <w:w w:val="65"/>
          <w:sz w:val="18"/>
          <w:szCs w:val="18"/>
        </w:rPr>
        <w:t>i</w:t>
      </w:r>
      <w:r w:rsidRPr="003B7DE1">
        <w:rPr>
          <w:rFonts w:ascii="Arial" w:hAnsi="Arial" w:cs="Arial"/>
          <w:spacing w:val="-1"/>
          <w:w w:val="72"/>
          <w:sz w:val="18"/>
          <w:szCs w:val="18"/>
        </w:rPr>
        <w:t>c</w:t>
      </w:r>
      <w:r w:rsidRPr="003B7DE1">
        <w:rPr>
          <w:rFonts w:ascii="Arial" w:hAnsi="Arial" w:cs="Arial"/>
          <w:spacing w:val="1"/>
          <w:w w:val="72"/>
          <w:sz w:val="18"/>
          <w:szCs w:val="18"/>
        </w:rPr>
        <w:t>a</w:t>
      </w:r>
      <w:r w:rsidRPr="003B7DE1">
        <w:rPr>
          <w:rFonts w:ascii="Arial" w:hAnsi="Arial" w:cs="Arial"/>
          <w:w w:val="68"/>
          <w:sz w:val="18"/>
          <w:szCs w:val="18"/>
        </w:rPr>
        <w:t>do</w:t>
      </w:r>
      <w:r w:rsidRPr="003B7DE1">
        <w:rPr>
          <w:rFonts w:ascii="Arial" w:hAnsi="Arial" w:cs="Arial"/>
          <w:spacing w:val="-34"/>
          <w:sz w:val="18"/>
          <w:szCs w:val="18"/>
        </w:rPr>
        <w:t xml:space="preserve"> </w:t>
      </w:r>
      <w:r w:rsidRPr="003B7DE1">
        <w:rPr>
          <w:rFonts w:ascii="Arial" w:hAnsi="Arial" w:cs="Arial"/>
          <w:spacing w:val="2"/>
          <w:w w:val="74"/>
          <w:sz w:val="18"/>
          <w:szCs w:val="18"/>
        </w:rPr>
        <w:t>2</w:t>
      </w:r>
      <w:r w:rsidRPr="003B7DE1">
        <w:rPr>
          <w:rFonts w:ascii="Arial" w:hAnsi="Arial" w:cs="Arial"/>
          <w:spacing w:val="-1"/>
          <w:w w:val="82"/>
          <w:sz w:val="18"/>
          <w:szCs w:val="18"/>
        </w:rPr>
        <w:t>0</w:t>
      </w:r>
      <w:r w:rsidRPr="003B7DE1">
        <w:rPr>
          <w:rFonts w:ascii="Arial" w:hAnsi="Arial" w:cs="Arial"/>
          <w:spacing w:val="-1"/>
          <w:w w:val="56"/>
          <w:sz w:val="18"/>
          <w:szCs w:val="18"/>
        </w:rPr>
        <w:t>1</w:t>
      </w:r>
      <w:r w:rsidRPr="003B7DE1">
        <w:rPr>
          <w:rFonts w:ascii="Arial" w:hAnsi="Arial" w:cs="Arial"/>
          <w:spacing w:val="3"/>
          <w:w w:val="56"/>
          <w:sz w:val="18"/>
          <w:szCs w:val="18"/>
        </w:rPr>
        <w:t>2</w:t>
      </w:r>
      <w:r w:rsidRPr="003B7DE1">
        <w:rPr>
          <w:rFonts w:ascii="Arial" w:hAnsi="Arial" w:cs="Arial"/>
          <w:spacing w:val="1"/>
          <w:w w:val="80"/>
          <w:sz w:val="18"/>
          <w:szCs w:val="18"/>
        </w:rPr>
        <w:t>-</w:t>
      </w:r>
      <w:r w:rsidRPr="003B7DE1">
        <w:rPr>
          <w:rFonts w:ascii="Arial" w:hAnsi="Arial" w:cs="Arial"/>
          <w:spacing w:val="-1"/>
          <w:w w:val="82"/>
          <w:sz w:val="18"/>
          <w:szCs w:val="18"/>
        </w:rPr>
        <w:t>00</w:t>
      </w:r>
      <w:r w:rsidRPr="003B7DE1">
        <w:rPr>
          <w:rFonts w:ascii="Arial" w:hAnsi="Arial" w:cs="Arial"/>
          <w:spacing w:val="-1"/>
          <w:w w:val="71"/>
          <w:sz w:val="18"/>
          <w:szCs w:val="18"/>
        </w:rPr>
        <w:t>2</w:t>
      </w:r>
      <w:r w:rsidRPr="003B7DE1">
        <w:rPr>
          <w:rFonts w:ascii="Arial" w:hAnsi="Arial" w:cs="Arial"/>
          <w:spacing w:val="1"/>
          <w:w w:val="71"/>
          <w:sz w:val="18"/>
          <w:szCs w:val="18"/>
        </w:rPr>
        <w:t>7</w:t>
      </w:r>
      <w:r w:rsidRPr="003B7DE1">
        <w:rPr>
          <w:rFonts w:ascii="Arial" w:hAnsi="Arial" w:cs="Arial"/>
          <w:w w:val="82"/>
          <w:sz w:val="18"/>
          <w:szCs w:val="18"/>
        </w:rPr>
        <w:t>8</w:t>
      </w:r>
      <w:r w:rsidRPr="003B7DE1">
        <w:rPr>
          <w:rFonts w:ascii="Arial" w:hAnsi="Arial" w:cs="Arial"/>
          <w:spacing w:val="1"/>
          <w:w w:val="80"/>
          <w:sz w:val="18"/>
          <w:szCs w:val="18"/>
        </w:rPr>
        <w:t>-</w:t>
      </w:r>
      <w:r w:rsidRPr="003B7DE1">
        <w:rPr>
          <w:rFonts w:ascii="Arial" w:hAnsi="Arial" w:cs="Arial"/>
          <w:spacing w:val="-1"/>
          <w:w w:val="82"/>
          <w:sz w:val="18"/>
          <w:szCs w:val="18"/>
        </w:rPr>
        <w:t>01</w:t>
      </w:r>
      <w:r w:rsidRPr="003B7DE1">
        <w:rPr>
          <w:rFonts w:ascii="Arial" w:hAnsi="Arial" w:cs="Arial"/>
          <w:w w:val="41"/>
          <w:sz w:val="18"/>
          <w:szCs w:val="18"/>
        </w:rPr>
        <w:t>;</w:t>
      </w:r>
      <w:r w:rsidRPr="003B7DE1">
        <w:rPr>
          <w:rFonts w:ascii="Arial" w:hAnsi="Arial" w:cs="Arial"/>
          <w:spacing w:val="-32"/>
          <w:sz w:val="18"/>
          <w:szCs w:val="18"/>
        </w:rPr>
        <w:t xml:space="preserve"> </w:t>
      </w:r>
      <w:r w:rsidRPr="003B7DE1">
        <w:rPr>
          <w:rFonts w:ascii="Arial" w:hAnsi="Arial" w:cs="Arial"/>
          <w:spacing w:val="-1"/>
          <w:w w:val="59"/>
          <w:sz w:val="18"/>
          <w:szCs w:val="18"/>
        </w:rPr>
        <w:t>1</w:t>
      </w:r>
      <w:r w:rsidRPr="003B7DE1">
        <w:rPr>
          <w:rFonts w:ascii="Arial" w:hAnsi="Arial" w:cs="Arial"/>
          <w:spacing w:val="-2"/>
          <w:w w:val="59"/>
          <w:sz w:val="18"/>
          <w:szCs w:val="18"/>
        </w:rPr>
        <w:t>9</w:t>
      </w:r>
      <w:r w:rsidRPr="003B7DE1">
        <w:rPr>
          <w:rFonts w:ascii="Arial" w:hAnsi="Arial" w:cs="Arial"/>
          <w:spacing w:val="1"/>
          <w:w w:val="80"/>
          <w:sz w:val="18"/>
          <w:szCs w:val="18"/>
        </w:rPr>
        <w:t>-</w:t>
      </w:r>
      <w:r w:rsidRPr="003B7DE1">
        <w:rPr>
          <w:rFonts w:ascii="Arial" w:hAnsi="Arial" w:cs="Arial"/>
          <w:spacing w:val="-1"/>
          <w:w w:val="77"/>
          <w:sz w:val="18"/>
          <w:szCs w:val="18"/>
        </w:rPr>
        <w:t>04</w:t>
      </w:r>
      <w:r w:rsidRPr="003B7DE1">
        <w:rPr>
          <w:rFonts w:ascii="Arial" w:hAnsi="Arial" w:cs="Arial"/>
          <w:spacing w:val="1"/>
          <w:w w:val="80"/>
          <w:sz w:val="18"/>
          <w:szCs w:val="18"/>
        </w:rPr>
        <w:t>-</w:t>
      </w:r>
      <w:r w:rsidRPr="003B7DE1">
        <w:rPr>
          <w:rFonts w:ascii="Arial" w:hAnsi="Arial" w:cs="Arial"/>
          <w:spacing w:val="2"/>
          <w:w w:val="74"/>
          <w:sz w:val="18"/>
          <w:szCs w:val="18"/>
        </w:rPr>
        <w:t>2</w:t>
      </w:r>
      <w:r w:rsidRPr="003B7DE1">
        <w:rPr>
          <w:rFonts w:ascii="Arial" w:hAnsi="Arial" w:cs="Arial"/>
          <w:spacing w:val="-1"/>
          <w:w w:val="82"/>
          <w:sz w:val="18"/>
          <w:szCs w:val="18"/>
        </w:rPr>
        <w:t>0</w:t>
      </w:r>
      <w:r w:rsidRPr="003B7DE1">
        <w:rPr>
          <w:rFonts w:ascii="Arial" w:hAnsi="Arial" w:cs="Arial"/>
          <w:spacing w:val="-1"/>
          <w:w w:val="59"/>
          <w:sz w:val="18"/>
          <w:szCs w:val="18"/>
        </w:rPr>
        <w:t>1</w:t>
      </w:r>
      <w:r w:rsidRPr="003B7DE1">
        <w:rPr>
          <w:rFonts w:ascii="Arial" w:hAnsi="Arial" w:cs="Arial"/>
          <w:w w:val="59"/>
          <w:sz w:val="18"/>
          <w:szCs w:val="18"/>
        </w:rPr>
        <w:t>6</w:t>
      </w:r>
      <w:r w:rsidRPr="003B7DE1">
        <w:rPr>
          <w:rFonts w:ascii="Arial" w:hAnsi="Arial" w:cs="Arial"/>
          <w:w w:val="45"/>
          <w:sz w:val="18"/>
          <w:szCs w:val="18"/>
        </w:rPr>
        <w:t>,</w:t>
      </w:r>
      <w:r w:rsidRPr="003B7DE1">
        <w:rPr>
          <w:rFonts w:ascii="Arial" w:hAnsi="Arial" w:cs="Arial"/>
          <w:spacing w:val="-36"/>
          <w:sz w:val="18"/>
          <w:szCs w:val="18"/>
        </w:rPr>
        <w:t xml:space="preserve"> </w:t>
      </w:r>
      <w:r w:rsidRPr="003B7DE1">
        <w:rPr>
          <w:rFonts w:ascii="Arial" w:hAnsi="Arial" w:cs="Arial"/>
          <w:spacing w:val="1"/>
          <w:w w:val="85"/>
          <w:sz w:val="18"/>
          <w:szCs w:val="18"/>
        </w:rPr>
        <w:t>r</w:t>
      </w:r>
      <w:r w:rsidRPr="003B7DE1">
        <w:rPr>
          <w:rFonts w:ascii="Arial" w:hAnsi="Arial" w:cs="Arial"/>
          <w:spacing w:val="-2"/>
          <w:w w:val="71"/>
          <w:sz w:val="18"/>
          <w:szCs w:val="18"/>
        </w:rPr>
        <w:t>a</w:t>
      </w:r>
      <w:r w:rsidRPr="003B7DE1">
        <w:rPr>
          <w:rFonts w:ascii="Arial" w:hAnsi="Arial" w:cs="Arial"/>
          <w:w w:val="65"/>
          <w:sz w:val="18"/>
          <w:szCs w:val="18"/>
        </w:rPr>
        <w:t>d</w:t>
      </w:r>
      <w:r w:rsidRPr="003B7DE1">
        <w:rPr>
          <w:rFonts w:ascii="Arial" w:hAnsi="Arial" w:cs="Arial"/>
          <w:spacing w:val="-2"/>
          <w:w w:val="65"/>
          <w:sz w:val="18"/>
          <w:szCs w:val="18"/>
        </w:rPr>
        <w:t>i</w:t>
      </w:r>
      <w:r w:rsidRPr="003B7DE1">
        <w:rPr>
          <w:rFonts w:ascii="Arial" w:hAnsi="Arial" w:cs="Arial"/>
          <w:spacing w:val="2"/>
          <w:w w:val="74"/>
          <w:sz w:val="18"/>
          <w:szCs w:val="18"/>
        </w:rPr>
        <w:t>c</w:t>
      </w:r>
      <w:r w:rsidRPr="003B7DE1">
        <w:rPr>
          <w:rFonts w:ascii="Arial" w:hAnsi="Arial" w:cs="Arial"/>
          <w:w w:val="71"/>
          <w:sz w:val="18"/>
          <w:szCs w:val="18"/>
        </w:rPr>
        <w:t>a</w:t>
      </w:r>
      <w:r w:rsidRPr="003B7DE1">
        <w:rPr>
          <w:rFonts w:ascii="Arial" w:hAnsi="Arial" w:cs="Arial"/>
          <w:w w:val="68"/>
          <w:sz w:val="18"/>
          <w:szCs w:val="18"/>
        </w:rPr>
        <w:t>do</w:t>
      </w:r>
      <w:r w:rsidRPr="003B7DE1">
        <w:rPr>
          <w:rFonts w:ascii="Arial" w:hAnsi="Arial" w:cs="Arial"/>
          <w:spacing w:val="-36"/>
          <w:sz w:val="18"/>
          <w:szCs w:val="18"/>
        </w:rPr>
        <w:t xml:space="preserve"> </w:t>
      </w:r>
      <w:r w:rsidRPr="003B7DE1">
        <w:rPr>
          <w:rFonts w:ascii="Arial" w:hAnsi="Arial" w:cs="Arial"/>
          <w:spacing w:val="2"/>
          <w:w w:val="74"/>
          <w:sz w:val="18"/>
          <w:szCs w:val="18"/>
        </w:rPr>
        <w:t>2</w:t>
      </w:r>
      <w:r w:rsidRPr="003B7DE1">
        <w:rPr>
          <w:rFonts w:ascii="Arial" w:hAnsi="Arial" w:cs="Arial"/>
          <w:spacing w:val="-1"/>
          <w:w w:val="82"/>
          <w:sz w:val="18"/>
          <w:szCs w:val="18"/>
        </w:rPr>
        <w:t>0</w:t>
      </w:r>
      <w:r w:rsidRPr="003B7DE1">
        <w:rPr>
          <w:rFonts w:ascii="Arial" w:hAnsi="Arial" w:cs="Arial"/>
          <w:spacing w:val="-1"/>
          <w:w w:val="56"/>
          <w:sz w:val="18"/>
          <w:szCs w:val="18"/>
        </w:rPr>
        <w:t>1</w:t>
      </w:r>
      <w:r w:rsidRPr="003B7DE1">
        <w:rPr>
          <w:rFonts w:ascii="Arial" w:hAnsi="Arial" w:cs="Arial"/>
          <w:spacing w:val="3"/>
          <w:w w:val="56"/>
          <w:sz w:val="18"/>
          <w:szCs w:val="18"/>
        </w:rPr>
        <w:t>2</w:t>
      </w:r>
      <w:r w:rsidRPr="003B7DE1">
        <w:rPr>
          <w:rFonts w:ascii="Arial" w:hAnsi="Arial" w:cs="Arial"/>
          <w:spacing w:val="1"/>
          <w:w w:val="80"/>
          <w:sz w:val="18"/>
          <w:szCs w:val="18"/>
        </w:rPr>
        <w:t>-</w:t>
      </w:r>
      <w:r w:rsidRPr="003B7DE1">
        <w:rPr>
          <w:rFonts w:ascii="Arial" w:hAnsi="Arial" w:cs="Arial"/>
          <w:spacing w:val="-1"/>
          <w:w w:val="82"/>
          <w:sz w:val="18"/>
          <w:szCs w:val="18"/>
        </w:rPr>
        <w:t>00</w:t>
      </w:r>
      <w:r w:rsidRPr="003B7DE1">
        <w:rPr>
          <w:rFonts w:ascii="Arial" w:hAnsi="Arial" w:cs="Arial"/>
          <w:spacing w:val="-1"/>
          <w:w w:val="77"/>
          <w:sz w:val="18"/>
          <w:szCs w:val="18"/>
        </w:rPr>
        <w:t>2</w:t>
      </w:r>
      <w:r w:rsidRPr="003B7DE1">
        <w:rPr>
          <w:rFonts w:ascii="Arial" w:hAnsi="Arial" w:cs="Arial"/>
          <w:spacing w:val="1"/>
          <w:w w:val="77"/>
          <w:sz w:val="18"/>
          <w:szCs w:val="18"/>
        </w:rPr>
        <w:t>9</w:t>
      </w:r>
      <w:r w:rsidRPr="003B7DE1">
        <w:rPr>
          <w:rFonts w:ascii="Arial" w:hAnsi="Arial" w:cs="Arial"/>
          <w:w w:val="82"/>
          <w:sz w:val="18"/>
          <w:szCs w:val="18"/>
        </w:rPr>
        <w:t>8</w:t>
      </w:r>
      <w:r w:rsidRPr="003B7DE1">
        <w:rPr>
          <w:rFonts w:ascii="Arial" w:hAnsi="Arial" w:cs="Arial"/>
          <w:spacing w:val="1"/>
          <w:w w:val="80"/>
          <w:sz w:val="18"/>
          <w:szCs w:val="18"/>
        </w:rPr>
        <w:t>-</w:t>
      </w:r>
      <w:r w:rsidRPr="003B7DE1">
        <w:rPr>
          <w:rFonts w:ascii="Arial" w:hAnsi="Arial" w:cs="Arial"/>
          <w:spacing w:val="-1"/>
          <w:w w:val="82"/>
          <w:sz w:val="18"/>
          <w:szCs w:val="18"/>
        </w:rPr>
        <w:t>0</w:t>
      </w:r>
      <w:r w:rsidRPr="003B7DE1">
        <w:rPr>
          <w:rFonts w:ascii="Arial" w:hAnsi="Arial" w:cs="Arial"/>
          <w:spacing w:val="-1"/>
          <w:w w:val="62"/>
          <w:sz w:val="18"/>
          <w:szCs w:val="18"/>
        </w:rPr>
        <w:t>2</w:t>
      </w:r>
      <w:r w:rsidRPr="003B7DE1">
        <w:rPr>
          <w:rFonts w:ascii="Arial" w:hAnsi="Arial" w:cs="Arial"/>
          <w:w w:val="62"/>
          <w:sz w:val="18"/>
          <w:szCs w:val="18"/>
        </w:rPr>
        <w:t>;</w:t>
      </w:r>
      <w:r w:rsidRPr="003B7DE1">
        <w:rPr>
          <w:rFonts w:ascii="Arial" w:hAnsi="Arial" w:cs="Arial"/>
          <w:spacing w:val="-34"/>
          <w:sz w:val="18"/>
          <w:szCs w:val="18"/>
        </w:rPr>
        <w:t xml:space="preserve"> </w:t>
      </w:r>
      <w:r w:rsidRPr="003B7DE1">
        <w:rPr>
          <w:rFonts w:ascii="Arial" w:hAnsi="Arial" w:cs="Arial"/>
          <w:spacing w:val="2"/>
          <w:w w:val="74"/>
          <w:sz w:val="18"/>
          <w:szCs w:val="18"/>
        </w:rPr>
        <w:t>2</w:t>
      </w:r>
      <w:r w:rsidRPr="003B7DE1">
        <w:rPr>
          <w:rFonts w:ascii="Arial" w:hAnsi="Arial" w:cs="Arial"/>
          <w:spacing w:val="-1"/>
          <w:w w:val="82"/>
          <w:sz w:val="18"/>
          <w:szCs w:val="18"/>
        </w:rPr>
        <w:t>0</w:t>
      </w:r>
      <w:r w:rsidRPr="003B7DE1">
        <w:rPr>
          <w:rFonts w:ascii="Arial" w:hAnsi="Arial" w:cs="Arial"/>
          <w:spacing w:val="1"/>
          <w:w w:val="80"/>
          <w:sz w:val="18"/>
          <w:szCs w:val="18"/>
        </w:rPr>
        <w:t>-</w:t>
      </w:r>
      <w:r w:rsidRPr="003B7DE1">
        <w:rPr>
          <w:rFonts w:ascii="Arial" w:hAnsi="Arial" w:cs="Arial"/>
          <w:spacing w:val="-1"/>
          <w:w w:val="81"/>
          <w:sz w:val="18"/>
          <w:szCs w:val="18"/>
        </w:rPr>
        <w:t>09</w:t>
      </w:r>
      <w:r w:rsidRPr="003B7DE1">
        <w:rPr>
          <w:rFonts w:ascii="Arial" w:hAnsi="Arial" w:cs="Arial"/>
          <w:spacing w:val="1"/>
          <w:w w:val="80"/>
          <w:sz w:val="18"/>
          <w:szCs w:val="18"/>
        </w:rPr>
        <w:t>-</w:t>
      </w:r>
      <w:r w:rsidRPr="003B7DE1">
        <w:rPr>
          <w:rFonts w:ascii="Arial" w:hAnsi="Arial" w:cs="Arial"/>
          <w:spacing w:val="2"/>
          <w:w w:val="74"/>
          <w:sz w:val="18"/>
          <w:szCs w:val="18"/>
        </w:rPr>
        <w:t>2</w:t>
      </w:r>
      <w:r w:rsidRPr="003B7DE1">
        <w:rPr>
          <w:rFonts w:ascii="Arial" w:hAnsi="Arial" w:cs="Arial"/>
          <w:spacing w:val="-1"/>
          <w:w w:val="82"/>
          <w:sz w:val="18"/>
          <w:szCs w:val="18"/>
        </w:rPr>
        <w:t>01</w:t>
      </w:r>
      <w:r w:rsidRPr="003B7DE1">
        <w:rPr>
          <w:rFonts w:ascii="Arial" w:hAnsi="Arial" w:cs="Arial"/>
          <w:spacing w:val="-2"/>
          <w:w w:val="53"/>
          <w:sz w:val="18"/>
          <w:szCs w:val="18"/>
        </w:rPr>
        <w:t>7</w:t>
      </w:r>
      <w:r w:rsidRPr="003B7DE1">
        <w:rPr>
          <w:rFonts w:ascii="Arial" w:hAnsi="Arial" w:cs="Arial"/>
          <w:w w:val="45"/>
          <w:sz w:val="18"/>
          <w:szCs w:val="18"/>
        </w:rPr>
        <w:t>,</w:t>
      </w:r>
      <w:r w:rsidRPr="003B7DE1">
        <w:rPr>
          <w:rFonts w:ascii="Arial" w:hAnsi="Arial" w:cs="Arial"/>
          <w:spacing w:val="-34"/>
          <w:sz w:val="18"/>
          <w:szCs w:val="18"/>
        </w:rPr>
        <w:t xml:space="preserve"> </w:t>
      </w:r>
      <w:r w:rsidRPr="003B7DE1">
        <w:rPr>
          <w:rFonts w:ascii="Arial" w:hAnsi="Arial" w:cs="Arial"/>
          <w:spacing w:val="1"/>
          <w:w w:val="85"/>
          <w:sz w:val="18"/>
          <w:szCs w:val="18"/>
        </w:rPr>
        <w:t>r</w:t>
      </w:r>
      <w:r w:rsidRPr="003B7DE1">
        <w:rPr>
          <w:rFonts w:ascii="Arial" w:hAnsi="Arial" w:cs="Arial"/>
          <w:w w:val="71"/>
          <w:sz w:val="18"/>
          <w:szCs w:val="18"/>
        </w:rPr>
        <w:t>a</w:t>
      </w:r>
      <w:r w:rsidRPr="003B7DE1">
        <w:rPr>
          <w:rFonts w:ascii="Arial" w:hAnsi="Arial" w:cs="Arial"/>
          <w:w w:val="65"/>
          <w:sz w:val="18"/>
          <w:szCs w:val="18"/>
        </w:rPr>
        <w:t>d</w:t>
      </w:r>
      <w:r w:rsidRPr="003B7DE1">
        <w:rPr>
          <w:rFonts w:ascii="Arial" w:hAnsi="Arial" w:cs="Arial"/>
          <w:spacing w:val="-4"/>
          <w:w w:val="65"/>
          <w:sz w:val="18"/>
          <w:szCs w:val="18"/>
        </w:rPr>
        <w:t>i</w:t>
      </w:r>
      <w:r w:rsidRPr="003B7DE1">
        <w:rPr>
          <w:rFonts w:ascii="Arial" w:hAnsi="Arial" w:cs="Arial"/>
          <w:spacing w:val="2"/>
          <w:w w:val="74"/>
          <w:sz w:val="18"/>
          <w:szCs w:val="18"/>
        </w:rPr>
        <w:t>c</w:t>
      </w:r>
      <w:r w:rsidRPr="003B7DE1">
        <w:rPr>
          <w:rFonts w:ascii="Arial" w:hAnsi="Arial" w:cs="Arial"/>
          <w:w w:val="71"/>
          <w:sz w:val="18"/>
          <w:szCs w:val="18"/>
        </w:rPr>
        <w:t>a</w:t>
      </w:r>
      <w:r w:rsidRPr="003B7DE1">
        <w:rPr>
          <w:rFonts w:ascii="Arial" w:hAnsi="Arial" w:cs="Arial"/>
          <w:w w:val="68"/>
          <w:sz w:val="18"/>
          <w:szCs w:val="18"/>
        </w:rPr>
        <w:t xml:space="preserve">do </w:t>
      </w:r>
      <w:r w:rsidRPr="003B7DE1">
        <w:rPr>
          <w:rFonts w:ascii="Arial" w:hAnsi="Arial" w:cs="Arial"/>
          <w:spacing w:val="2"/>
          <w:w w:val="74"/>
          <w:sz w:val="18"/>
          <w:szCs w:val="18"/>
        </w:rPr>
        <w:t>2</w:t>
      </w:r>
      <w:r w:rsidRPr="003B7DE1">
        <w:rPr>
          <w:rFonts w:ascii="Arial" w:hAnsi="Arial" w:cs="Arial"/>
          <w:spacing w:val="-1"/>
          <w:w w:val="82"/>
          <w:sz w:val="18"/>
          <w:szCs w:val="18"/>
        </w:rPr>
        <w:t>0</w:t>
      </w:r>
      <w:r w:rsidRPr="003B7DE1">
        <w:rPr>
          <w:rFonts w:ascii="Arial" w:hAnsi="Arial" w:cs="Arial"/>
          <w:spacing w:val="-1"/>
          <w:w w:val="56"/>
          <w:sz w:val="18"/>
          <w:szCs w:val="18"/>
        </w:rPr>
        <w:t>1</w:t>
      </w:r>
      <w:r w:rsidRPr="003B7DE1">
        <w:rPr>
          <w:rFonts w:ascii="Arial" w:hAnsi="Arial" w:cs="Arial"/>
          <w:spacing w:val="1"/>
          <w:w w:val="56"/>
          <w:sz w:val="18"/>
          <w:szCs w:val="18"/>
        </w:rPr>
        <w:t>2</w:t>
      </w:r>
      <w:r w:rsidRPr="003B7DE1">
        <w:rPr>
          <w:rFonts w:ascii="Arial" w:hAnsi="Arial" w:cs="Arial"/>
          <w:spacing w:val="1"/>
          <w:w w:val="80"/>
          <w:sz w:val="18"/>
          <w:szCs w:val="18"/>
        </w:rPr>
        <w:t>-</w:t>
      </w:r>
      <w:r w:rsidRPr="003B7DE1">
        <w:rPr>
          <w:rFonts w:ascii="Arial" w:hAnsi="Arial" w:cs="Arial"/>
          <w:spacing w:val="-1"/>
          <w:w w:val="82"/>
          <w:sz w:val="18"/>
          <w:szCs w:val="18"/>
        </w:rPr>
        <w:t>00</w:t>
      </w:r>
      <w:r w:rsidRPr="003B7DE1">
        <w:rPr>
          <w:rFonts w:ascii="Arial" w:hAnsi="Arial" w:cs="Arial"/>
          <w:w w:val="77"/>
          <w:sz w:val="18"/>
          <w:szCs w:val="18"/>
        </w:rPr>
        <w:t>3</w:t>
      </w:r>
      <w:r w:rsidRPr="003B7DE1">
        <w:rPr>
          <w:rFonts w:ascii="Arial" w:hAnsi="Arial" w:cs="Arial"/>
          <w:spacing w:val="1"/>
          <w:w w:val="77"/>
          <w:sz w:val="18"/>
          <w:szCs w:val="18"/>
        </w:rPr>
        <w:t>2</w:t>
      </w:r>
      <w:r w:rsidRPr="003B7DE1">
        <w:rPr>
          <w:rFonts w:ascii="Arial" w:hAnsi="Arial" w:cs="Arial"/>
          <w:spacing w:val="-1"/>
          <w:w w:val="82"/>
          <w:sz w:val="18"/>
          <w:szCs w:val="18"/>
        </w:rPr>
        <w:t>0</w:t>
      </w:r>
      <w:r w:rsidRPr="003B7DE1">
        <w:rPr>
          <w:rFonts w:ascii="Arial" w:hAnsi="Arial" w:cs="Arial"/>
          <w:spacing w:val="1"/>
          <w:w w:val="80"/>
          <w:sz w:val="18"/>
          <w:szCs w:val="18"/>
        </w:rPr>
        <w:t>-</w:t>
      </w:r>
      <w:r w:rsidRPr="003B7DE1">
        <w:rPr>
          <w:rFonts w:ascii="Arial" w:hAnsi="Arial" w:cs="Arial"/>
          <w:spacing w:val="-1"/>
          <w:w w:val="82"/>
          <w:sz w:val="18"/>
          <w:szCs w:val="18"/>
        </w:rPr>
        <w:t>01</w:t>
      </w:r>
      <w:r w:rsidRPr="003B7DE1">
        <w:rPr>
          <w:rFonts w:ascii="Arial" w:hAnsi="Arial" w:cs="Arial"/>
          <w:w w:val="41"/>
          <w:sz w:val="18"/>
          <w:szCs w:val="18"/>
        </w:rPr>
        <w:t>;</w:t>
      </w:r>
      <w:r w:rsidRPr="003B7DE1">
        <w:rPr>
          <w:rFonts w:ascii="Arial" w:hAnsi="Arial" w:cs="Arial"/>
          <w:spacing w:val="13"/>
          <w:sz w:val="18"/>
          <w:szCs w:val="18"/>
        </w:rPr>
        <w:t xml:space="preserve"> 1</w:t>
      </w:r>
      <w:r w:rsidRPr="003B7DE1">
        <w:rPr>
          <w:rFonts w:ascii="Arial" w:hAnsi="Arial" w:cs="Arial"/>
          <w:spacing w:val="1"/>
          <w:w w:val="53"/>
          <w:sz w:val="18"/>
          <w:szCs w:val="18"/>
        </w:rPr>
        <w:t>7</w:t>
      </w:r>
      <w:r w:rsidRPr="003B7DE1">
        <w:rPr>
          <w:rFonts w:ascii="Arial" w:hAnsi="Arial" w:cs="Arial"/>
          <w:spacing w:val="1"/>
          <w:w w:val="80"/>
          <w:sz w:val="18"/>
          <w:szCs w:val="18"/>
        </w:rPr>
        <w:t>-</w:t>
      </w:r>
      <w:r w:rsidRPr="003B7DE1">
        <w:rPr>
          <w:rFonts w:ascii="Arial" w:hAnsi="Arial" w:cs="Arial"/>
          <w:spacing w:val="-4"/>
          <w:w w:val="80"/>
          <w:sz w:val="18"/>
          <w:szCs w:val="18"/>
        </w:rPr>
        <w:t>0</w:t>
      </w:r>
      <w:r w:rsidRPr="003B7DE1">
        <w:rPr>
          <w:rFonts w:ascii="Arial" w:hAnsi="Arial" w:cs="Arial"/>
          <w:spacing w:val="2"/>
          <w:w w:val="80"/>
          <w:sz w:val="18"/>
          <w:szCs w:val="18"/>
        </w:rPr>
        <w:t>5</w:t>
      </w:r>
      <w:r w:rsidRPr="003B7DE1">
        <w:rPr>
          <w:rFonts w:ascii="Arial" w:hAnsi="Arial" w:cs="Arial"/>
          <w:spacing w:val="1"/>
          <w:w w:val="80"/>
          <w:sz w:val="18"/>
          <w:szCs w:val="18"/>
        </w:rPr>
        <w:t>-</w:t>
      </w:r>
      <w:r w:rsidRPr="003B7DE1">
        <w:rPr>
          <w:rFonts w:ascii="Arial" w:hAnsi="Arial" w:cs="Arial"/>
          <w:spacing w:val="-1"/>
          <w:w w:val="60"/>
          <w:sz w:val="18"/>
          <w:szCs w:val="18"/>
        </w:rPr>
        <w:t>18</w:t>
      </w:r>
      <w:r w:rsidRPr="003B7DE1">
        <w:rPr>
          <w:rFonts w:ascii="Arial" w:hAnsi="Arial" w:cs="Arial"/>
          <w:w w:val="45"/>
          <w:sz w:val="18"/>
          <w:szCs w:val="18"/>
        </w:rPr>
        <w:t>,</w:t>
      </w:r>
      <w:r w:rsidRPr="003B7DE1">
        <w:rPr>
          <w:rFonts w:ascii="Arial" w:hAnsi="Arial" w:cs="Arial"/>
          <w:spacing w:val="12"/>
          <w:sz w:val="18"/>
          <w:szCs w:val="18"/>
        </w:rPr>
        <w:t xml:space="preserve"> </w:t>
      </w:r>
      <w:r w:rsidRPr="003B7DE1">
        <w:rPr>
          <w:rFonts w:ascii="Arial" w:hAnsi="Arial" w:cs="Arial"/>
          <w:spacing w:val="1"/>
          <w:w w:val="85"/>
          <w:sz w:val="18"/>
          <w:szCs w:val="18"/>
        </w:rPr>
        <w:t>r</w:t>
      </w:r>
      <w:r w:rsidRPr="003B7DE1">
        <w:rPr>
          <w:rFonts w:ascii="Arial" w:hAnsi="Arial" w:cs="Arial"/>
          <w:spacing w:val="-2"/>
          <w:w w:val="71"/>
          <w:sz w:val="18"/>
          <w:szCs w:val="18"/>
        </w:rPr>
        <w:t>a</w:t>
      </w:r>
      <w:r w:rsidRPr="003B7DE1">
        <w:rPr>
          <w:rFonts w:ascii="Arial" w:hAnsi="Arial" w:cs="Arial"/>
          <w:w w:val="65"/>
          <w:sz w:val="18"/>
          <w:szCs w:val="18"/>
        </w:rPr>
        <w:t>d</w:t>
      </w:r>
      <w:r w:rsidRPr="003B7DE1">
        <w:rPr>
          <w:rFonts w:ascii="Arial" w:hAnsi="Arial" w:cs="Arial"/>
          <w:spacing w:val="-2"/>
          <w:w w:val="65"/>
          <w:sz w:val="18"/>
          <w:szCs w:val="18"/>
        </w:rPr>
        <w:t>i</w:t>
      </w:r>
      <w:r w:rsidRPr="003B7DE1">
        <w:rPr>
          <w:rFonts w:ascii="Arial" w:hAnsi="Arial" w:cs="Arial"/>
          <w:spacing w:val="-1"/>
          <w:w w:val="72"/>
          <w:sz w:val="18"/>
          <w:szCs w:val="18"/>
        </w:rPr>
        <w:t>c</w:t>
      </w:r>
      <w:r w:rsidRPr="003B7DE1">
        <w:rPr>
          <w:rFonts w:ascii="Arial" w:hAnsi="Arial" w:cs="Arial"/>
          <w:spacing w:val="1"/>
          <w:w w:val="72"/>
          <w:sz w:val="18"/>
          <w:szCs w:val="18"/>
        </w:rPr>
        <w:t>a</w:t>
      </w:r>
      <w:r w:rsidRPr="003B7DE1">
        <w:rPr>
          <w:rFonts w:ascii="Arial" w:hAnsi="Arial" w:cs="Arial"/>
          <w:w w:val="68"/>
          <w:sz w:val="18"/>
          <w:szCs w:val="18"/>
        </w:rPr>
        <w:t>do</w:t>
      </w:r>
      <w:r w:rsidRPr="003B7DE1">
        <w:rPr>
          <w:rFonts w:ascii="Arial" w:hAnsi="Arial" w:cs="Arial"/>
          <w:spacing w:val="12"/>
          <w:sz w:val="18"/>
          <w:szCs w:val="18"/>
        </w:rPr>
        <w:t xml:space="preserve"> </w:t>
      </w:r>
      <w:r w:rsidRPr="003B7DE1">
        <w:rPr>
          <w:rFonts w:ascii="Arial" w:hAnsi="Arial" w:cs="Arial"/>
          <w:spacing w:val="2"/>
          <w:w w:val="74"/>
          <w:sz w:val="18"/>
          <w:szCs w:val="18"/>
        </w:rPr>
        <w:t>2</w:t>
      </w:r>
      <w:r w:rsidRPr="003B7DE1">
        <w:rPr>
          <w:rFonts w:ascii="Arial" w:hAnsi="Arial" w:cs="Arial"/>
          <w:spacing w:val="-1"/>
          <w:w w:val="82"/>
          <w:sz w:val="18"/>
          <w:szCs w:val="18"/>
        </w:rPr>
        <w:t>01</w:t>
      </w:r>
      <w:r w:rsidRPr="003B7DE1">
        <w:rPr>
          <w:rFonts w:ascii="Arial" w:hAnsi="Arial" w:cs="Arial"/>
          <w:spacing w:val="3"/>
          <w:w w:val="56"/>
          <w:sz w:val="18"/>
          <w:szCs w:val="18"/>
        </w:rPr>
        <w:t>2</w:t>
      </w:r>
      <w:r w:rsidRPr="003B7DE1">
        <w:rPr>
          <w:rFonts w:ascii="Arial" w:hAnsi="Arial" w:cs="Arial"/>
          <w:spacing w:val="1"/>
          <w:w w:val="80"/>
          <w:sz w:val="18"/>
          <w:szCs w:val="18"/>
        </w:rPr>
        <w:t>-</w:t>
      </w:r>
      <w:r w:rsidRPr="003B7DE1">
        <w:rPr>
          <w:rFonts w:ascii="Arial" w:hAnsi="Arial" w:cs="Arial"/>
          <w:spacing w:val="-1"/>
          <w:w w:val="82"/>
          <w:sz w:val="18"/>
          <w:szCs w:val="18"/>
        </w:rPr>
        <w:t>00</w:t>
      </w:r>
      <w:r w:rsidRPr="003B7DE1">
        <w:rPr>
          <w:rFonts w:ascii="Arial" w:hAnsi="Arial" w:cs="Arial"/>
          <w:spacing w:val="-1"/>
          <w:w w:val="77"/>
          <w:sz w:val="18"/>
          <w:szCs w:val="18"/>
        </w:rPr>
        <w:t>2</w:t>
      </w:r>
      <w:r w:rsidRPr="003B7DE1">
        <w:rPr>
          <w:rFonts w:ascii="Arial" w:hAnsi="Arial" w:cs="Arial"/>
          <w:spacing w:val="1"/>
          <w:w w:val="77"/>
          <w:sz w:val="18"/>
          <w:szCs w:val="18"/>
        </w:rPr>
        <w:t>9</w:t>
      </w:r>
      <w:r w:rsidRPr="003B7DE1">
        <w:rPr>
          <w:rFonts w:ascii="Arial" w:hAnsi="Arial" w:cs="Arial"/>
          <w:spacing w:val="-1"/>
          <w:w w:val="72"/>
          <w:sz w:val="18"/>
          <w:szCs w:val="18"/>
        </w:rPr>
        <w:t>4</w:t>
      </w:r>
      <w:r w:rsidRPr="003B7DE1">
        <w:rPr>
          <w:rFonts w:ascii="Arial" w:hAnsi="Arial" w:cs="Arial"/>
          <w:spacing w:val="1"/>
          <w:w w:val="80"/>
          <w:sz w:val="18"/>
          <w:szCs w:val="18"/>
        </w:rPr>
        <w:t>-</w:t>
      </w:r>
      <w:r w:rsidRPr="003B7DE1">
        <w:rPr>
          <w:rFonts w:ascii="Arial" w:hAnsi="Arial" w:cs="Arial"/>
          <w:spacing w:val="-1"/>
          <w:w w:val="82"/>
          <w:sz w:val="18"/>
          <w:szCs w:val="18"/>
        </w:rPr>
        <w:t>0</w:t>
      </w:r>
      <w:r w:rsidRPr="003B7DE1">
        <w:rPr>
          <w:rFonts w:ascii="Arial" w:hAnsi="Arial" w:cs="Arial"/>
          <w:spacing w:val="-1"/>
          <w:w w:val="62"/>
          <w:sz w:val="18"/>
          <w:szCs w:val="18"/>
        </w:rPr>
        <w:t>2</w:t>
      </w:r>
      <w:r w:rsidRPr="003B7DE1">
        <w:rPr>
          <w:rFonts w:ascii="Arial" w:hAnsi="Arial" w:cs="Arial"/>
          <w:w w:val="62"/>
          <w:sz w:val="18"/>
          <w:szCs w:val="18"/>
        </w:rPr>
        <w:t>;</w:t>
      </w:r>
      <w:r w:rsidRPr="003B7DE1">
        <w:rPr>
          <w:rFonts w:ascii="Arial" w:hAnsi="Arial" w:cs="Arial"/>
          <w:spacing w:val="14"/>
          <w:sz w:val="18"/>
          <w:szCs w:val="18"/>
        </w:rPr>
        <w:t xml:space="preserve"> </w:t>
      </w:r>
      <w:r w:rsidRPr="003B7DE1">
        <w:rPr>
          <w:rFonts w:ascii="Arial" w:hAnsi="Arial" w:cs="Arial"/>
          <w:spacing w:val="-1"/>
          <w:w w:val="60"/>
          <w:sz w:val="18"/>
          <w:szCs w:val="18"/>
        </w:rPr>
        <w:t>18</w:t>
      </w:r>
      <w:r w:rsidRPr="003B7DE1">
        <w:rPr>
          <w:rFonts w:ascii="Arial" w:hAnsi="Arial" w:cs="Arial"/>
          <w:spacing w:val="1"/>
          <w:w w:val="80"/>
          <w:sz w:val="18"/>
          <w:szCs w:val="18"/>
        </w:rPr>
        <w:t>-</w:t>
      </w:r>
      <w:r w:rsidRPr="003B7DE1">
        <w:rPr>
          <w:rFonts w:ascii="Arial" w:hAnsi="Arial" w:cs="Arial"/>
          <w:spacing w:val="-1"/>
          <w:w w:val="81"/>
          <w:sz w:val="18"/>
          <w:szCs w:val="18"/>
        </w:rPr>
        <w:t>0</w:t>
      </w:r>
      <w:r w:rsidRPr="003B7DE1">
        <w:rPr>
          <w:rFonts w:ascii="Arial" w:hAnsi="Arial" w:cs="Arial"/>
          <w:spacing w:val="1"/>
          <w:w w:val="81"/>
          <w:sz w:val="18"/>
          <w:szCs w:val="18"/>
        </w:rPr>
        <w:t>9</w:t>
      </w:r>
      <w:r w:rsidRPr="003B7DE1">
        <w:rPr>
          <w:rFonts w:ascii="Arial" w:hAnsi="Arial" w:cs="Arial"/>
          <w:spacing w:val="1"/>
          <w:w w:val="80"/>
          <w:sz w:val="18"/>
          <w:szCs w:val="18"/>
        </w:rPr>
        <w:t>-</w:t>
      </w:r>
      <w:r w:rsidRPr="003B7DE1">
        <w:rPr>
          <w:rFonts w:ascii="Arial" w:hAnsi="Arial" w:cs="Arial"/>
          <w:spacing w:val="-1"/>
          <w:w w:val="60"/>
          <w:sz w:val="18"/>
          <w:szCs w:val="18"/>
        </w:rPr>
        <w:t>18</w:t>
      </w:r>
      <w:r w:rsidRPr="003B7DE1">
        <w:rPr>
          <w:rFonts w:ascii="Arial" w:hAnsi="Arial" w:cs="Arial"/>
          <w:w w:val="45"/>
          <w:sz w:val="18"/>
          <w:szCs w:val="18"/>
        </w:rPr>
        <w:t>,</w:t>
      </w:r>
      <w:r w:rsidRPr="003B7DE1">
        <w:rPr>
          <w:rFonts w:ascii="Arial" w:hAnsi="Arial" w:cs="Arial"/>
          <w:spacing w:val="12"/>
          <w:sz w:val="18"/>
          <w:szCs w:val="18"/>
        </w:rPr>
        <w:t xml:space="preserve"> </w:t>
      </w:r>
      <w:r w:rsidRPr="003B7DE1">
        <w:rPr>
          <w:rFonts w:ascii="Arial" w:hAnsi="Arial" w:cs="Arial"/>
          <w:spacing w:val="1"/>
          <w:w w:val="85"/>
          <w:sz w:val="18"/>
          <w:szCs w:val="18"/>
        </w:rPr>
        <w:t>r</w:t>
      </w:r>
      <w:r w:rsidRPr="003B7DE1">
        <w:rPr>
          <w:rFonts w:ascii="Arial" w:hAnsi="Arial" w:cs="Arial"/>
          <w:spacing w:val="-2"/>
          <w:w w:val="71"/>
          <w:sz w:val="18"/>
          <w:szCs w:val="18"/>
        </w:rPr>
        <w:t>a</w:t>
      </w:r>
      <w:r w:rsidRPr="003B7DE1">
        <w:rPr>
          <w:rFonts w:ascii="Arial" w:hAnsi="Arial" w:cs="Arial"/>
          <w:w w:val="65"/>
          <w:sz w:val="18"/>
          <w:szCs w:val="18"/>
        </w:rPr>
        <w:t>d</w:t>
      </w:r>
      <w:r w:rsidRPr="003B7DE1">
        <w:rPr>
          <w:rFonts w:ascii="Arial" w:hAnsi="Arial" w:cs="Arial"/>
          <w:spacing w:val="-2"/>
          <w:w w:val="65"/>
          <w:sz w:val="18"/>
          <w:szCs w:val="18"/>
        </w:rPr>
        <w:t>i</w:t>
      </w:r>
      <w:r w:rsidRPr="003B7DE1">
        <w:rPr>
          <w:rFonts w:ascii="Arial" w:hAnsi="Arial" w:cs="Arial"/>
          <w:spacing w:val="2"/>
          <w:w w:val="74"/>
          <w:sz w:val="18"/>
          <w:szCs w:val="18"/>
        </w:rPr>
        <w:t>c</w:t>
      </w:r>
      <w:r w:rsidRPr="003B7DE1">
        <w:rPr>
          <w:rFonts w:ascii="Arial" w:hAnsi="Arial" w:cs="Arial"/>
          <w:w w:val="71"/>
          <w:sz w:val="18"/>
          <w:szCs w:val="18"/>
        </w:rPr>
        <w:t>a</w:t>
      </w:r>
      <w:r w:rsidRPr="003B7DE1">
        <w:rPr>
          <w:rFonts w:ascii="Arial" w:hAnsi="Arial" w:cs="Arial"/>
          <w:w w:val="68"/>
          <w:sz w:val="18"/>
          <w:szCs w:val="18"/>
        </w:rPr>
        <w:t>do</w:t>
      </w:r>
      <w:r w:rsidRPr="003B7DE1">
        <w:rPr>
          <w:rFonts w:ascii="Arial" w:hAnsi="Arial" w:cs="Arial"/>
          <w:spacing w:val="12"/>
          <w:sz w:val="18"/>
          <w:szCs w:val="18"/>
        </w:rPr>
        <w:t xml:space="preserve"> </w:t>
      </w:r>
      <w:r w:rsidRPr="003B7DE1">
        <w:rPr>
          <w:rFonts w:ascii="Arial" w:hAnsi="Arial" w:cs="Arial"/>
          <w:spacing w:val="2"/>
          <w:w w:val="74"/>
          <w:sz w:val="18"/>
          <w:szCs w:val="18"/>
        </w:rPr>
        <w:t>2</w:t>
      </w:r>
      <w:r w:rsidRPr="003B7DE1">
        <w:rPr>
          <w:rFonts w:ascii="Arial" w:hAnsi="Arial" w:cs="Arial"/>
          <w:spacing w:val="-1"/>
          <w:w w:val="82"/>
          <w:sz w:val="18"/>
          <w:szCs w:val="18"/>
        </w:rPr>
        <w:t>01</w:t>
      </w:r>
      <w:r w:rsidRPr="003B7DE1">
        <w:rPr>
          <w:rFonts w:ascii="Arial" w:hAnsi="Arial" w:cs="Arial"/>
          <w:spacing w:val="4"/>
          <w:w w:val="78"/>
          <w:sz w:val="18"/>
          <w:szCs w:val="18"/>
        </w:rPr>
        <w:t>5</w:t>
      </w:r>
      <w:r w:rsidRPr="003B7DE1">
        <w:rPr>
          <w:rFonts w:ascii="Arial" w:hAnsi="Arial" w:cs="Arial"/>
          <w:spacing w:val="1"/>
          <w:w w:val="80"/>
          <w:sz w:val="18"/>
          <w:szCs w:val="18"/>
        </w:rPr>
        <w:t>-</w:t>
      </w:r>
      <w:r w:rsidRPr="003B7DE1">
        <w:rPr>
          <w:rFonts w:ascii="Arial" w:hAnsi="Arial" w:cs="Arial"/>
          <w:spacing w:val="-1"/>
          <w:w w:val="82"/>
          <w:sz w:val="18"/>
          <w:szCs w:val="18"/>
        </w:rPr>
        <w:t>00</w:t>
      </w:r>
      <w:r w:rsidRPr="003B7DE1">
        <w:rPr>
          <w:rFonts w:ascii="Arial" w:hAnsi="Arial" w:cs="Arial"/>
          <w:spacing w:val="1"/>
          <w:w w:val="80"/>
          <w:sz w:val="18"/>
          <w:szCs w:val="18"/>
        </w:rPr>
        <w:t>6</w:t>
      </w:r>
      <w:r w:rsidRPr="003B7DE1">
        <w:rPr>
          <w:rFonts w:ascii="Arial" w:hAnsi="Arial" w:cs="Arial"/>
          <w:spacing w:val="-1"/>
          <w:w w:val="81"/>
          <w:sz w:val="18"/>
          <w:szCs w:val="18"/>
        </w:rPr>
        <w:t>8</w:t>
      </w:r>
      <w:r w:rsidRPr="003B7DE1">
        <w:rPr>
          <w:rFonts w:ascii="Arial" w:hAnsi="Arial" w:cs="Arial"/>
          <w:spacing w:val="1"/>
          <w:w w:val="81"/>
          <w:sz w:val="18"/>
          <w:szCs w:val="18"/>
        </w:rPr>
        <w:t>9</w:t>
      </w:r>
      <w:r w:rsidRPr="003B7DE1">
        <w:rPr>
          <w:rFonts w:ascii="Arial" w:hAnsi="Arial" w:cs="Arial"/>
          <w:spacing w:val="1"/>
          <w:w w:val="80"/>
          <w:sz w:val="18"/>
          <w:szCs w:val="18"/>
        </w:rPr>
        <w:t>-</w:t>
      </w:r>
      <w:r w:rsidRPr="003B7DE1">
        <w:rPr>
          <w:rFonts w:ascii="Arial" w:hAnsi="Arial" w:cs="Arial"/>
          <w:spacing w:val="-1"/>
          <w:w w:val="82"/>
          <w:sz w:val="18"/>
          <w:szCs w:val="18"/>
        </w:rPr>
        <w:t>01</w:t>
      </w:r>
      <w:r w:rsidRPr="003B7DE1">
        <w:rPr>
          <w:rFonts w:ascii="Arial" w:hAnsi="Arial" w:cs="Arial"/>
          <w:w w:val="41"/>
          <w:sz w:val="18"/>
          <w:szCs w:val="18"/>
        </w:rPr>
        <w:t>;</w:t>
      </w:r>
      <w:r w:rsidRPr="003B7DE1">
        <w:rPr>
          <w:rFonts w:ascii="Arial" w:hAnsi="Arial" w:cs="Arial"/>
          <w:spacing w:val="13"/>
          <w:sz w:val="18"/>
          <w:szCs w:val="18"/>
        </w:rPr>
        <w:t xml:space="preserve"> </w:t>
      </w:r>
      <w:r w:rsidRPr="003B7DE1">
        <w:rPr>
          <w:rFonts w:ascii="Arial" w:hAnsi="Arial" w:cs="Arial"/>
          <w:spacing w:val="-1"/>
          <w:w w:val="60"/>
          <w:sz w:val="18"/>
          <w:szCs w:val="18"/>
        </w:rPr>
        <w:t>18</w:t>
      </w:r>
      <w:r w:rsidRPr="003B7DE1">
        <w:rPr>
          <w:rFonts w:ascii="Arial" w:hAnsi="Arial" w:cs="Arial"/>
          <w:spacing w:val="1"/>
          <w:w w:val="80"/>
          <w:sz w:val="18"/>
          <w:szCs w:val="18"/>
        </w:rPr>
        <w:t>-</w:t>
      </w:r>
      <w:r w:rsidRPr="003B7DE1">
        <w:rPr>
          <w:rFonts w:ascii="Arial" w:hAnsi="Arial" w:cs="Arial"/>
          <w:spacing w:val="-1"/>
          <w:w w:val="56"/>
          <w:sz w:val="18"/>
          <w:szCs w:val="18"/>
        </w:rPr>
        <w:t>1</w:t>
      </w:r>
      <w:r w:rsidRPr="003B7DE1">
        <w:rPr>
          <w:rFonts w:ascii="Arial" w:hAnsi="Arial" w:cs="Arial"/>
          <w:w w:val="56"/>
          <w:sz w:val="18"/>
          <w:szCs w:val="18"/>
        </w:rPr>
        <w:t>2</w:t>
      </w:r>
      <w:r w:rsidRPr="003B7DE1">
        <w:rPr>
          <w:rFonts w:ascii="Arial" w:hAnsi="Arial" w:cs="Arial"/>
          <w:spacing w:val="1"/>
          <w:w w:val="80"/>
          <w:sz w:val="18"/>
          <w:szCs w:val="18"/>
        </w:rPr>
        <w:t>-</w:t>
      </w:r>
      <w:r w:rsidRPr="003B7DE1">
        <w:rPr>
          <w:rFonts w:ascii="Arial" w:hAnsi="Arial" w:cs="Arial"/>
          <w:spacing w:val="2"/>
          <w:w w:val="74"/>
          <w:sz w:val="18"/>
          <w:szCs w:val="18"/>
        </w:rPr>
        <w:t>2</w:t>
      </w:r>
      <w:r w:rsidRPr="003B7DE1">
        <w:rPr>
          <w:rFonts w:ascii="Arial" w:hAnsi="Arial" w:cs="Arial"/>
          <w:spacing w:val="-4"/>
          <w:w w:val="82"/>
          <w:sz w:val="18"/>
          <w:szCs w:val="18"/>
        </w:rPr>
        <w:t>0</w:t>
      </w:r>
      <w:r w:rsidRPr="003B7DE1">
        <w:rPr>
          <w:rFonts w:ascii="Arial" w:hAnsi="Arial" w:cs="Arial"/>
          <w:spacing w:val="2"/>
          <w:w w:val="74"/>
          <w:sz w:val="18"/>
          <w:szCs w:val="18"/>
        </w:rPr>
        <w:t>2</w:t>
      </w:r>
      <w:r w:rsidRPr="003B7DE1">
        <w:rPr>
          <w:rFonts w:ascii="Arial" w:hAnsi="Arial" w:cs="Arial"/>
          <w:spacing w:val="-1"/>
          <w:w w:val="82"/>
          <w:sz w:val="18"/>
          <w:szCs w:val="18"/>
        </w:rPr>
        <w:t>0</w:t>
      </w:r>
      <w:r w:rsidRPr="003B7DE1">
        <w:rPr>
          <w:rFonts w:ascii="Arial" w:hAnsi="Arial" w:cs="Arial"/>
          <w:w w:val="45"/>
          <w:sz w:val="18"/>
          <w:szCs w:val="18"/>
        </w:rPr>
        <w:t>,</w:t>
      </w:r>
      <w:r w:rsidRPr="003B7DE1">
        <w:rPr>
          <w:rFonts w:ascii="Arial" w:hAnsi="Arial" w:cs="Arial"/>
          <w:spacing w:val="12"/>
          <w:sz w:val="18"/>
          <w:szCs w:val="18"/>
        </w:rPr>
        <w:t xml:space="preserve"> </w:t>
      </w:r>
      <w:r w:rsidRPr="003B7DE1">
        <w:rPr>
          <w:rFonts w:ascii="Arial" w:hAnsi="Arial" w:cs="Arial"/>
          <w:spacing w:val="1"/>
          <w:w w:val="85"/>
          <w:sz w:val="18"/>
          <w:szCs w:val="18"/>
        </w:rPr>
        <w:t>r</w:t>
      </w:r>
      <w:r w:rsidRPr="003B7DE1">
        <w:rPr>
          <w:rFonts w:ascii="Arial" w:hAnsi="Arial" w:cs="Arial"/>
          <w:w w:val="71"/>
          <w:sz w:val="18"/>
          <w:szCs w:val="18"/>
        </w:rPr>
        <w:t>a</w:t>
      </w:r>
      <w:r w:rsidRPr="003B7DE1">
        <w:rPr>
          <w:rFonts w:ascii="Arial" w:hAnsi="Arial" w:cs="Arial"/>
          <w:w w:val="65"/>
          <w:sz w:val="18"/>
          <w:szCs w:val="18"/>
        </w:rPr>
        <w:t>d</w:t>
      </w:r>
      <w:r w:rsidRPr="003B7DE1">
        <w:rPr>
          <w:rFonts w:ascii="Arial" w:hAnsi="Arial" w:cs="Arial"/>
          <w:spacing w:val="-2"/>
          <w:w w:val="65"/>
          <w:sz w:val="18"/>
          <w:szCs w:val="18"/>
        </w:rPr>
        <w:t>i</w:t>
      </w:r>
      <w:r w:rsidRPr="003B7DE1">
        <w:rPr>
          <w:rFonts w:ascii="Arial" w:hAnsi="Arial" w:cs="Arial"/>
          <w:spacing w:val="-1"/>
          <w:w w:val="72"/>
          <w:sz w:val="18"/>
          <w:szCs w:val="18"/>
        </w:rPr>
        <w:t>c</w:t>
      </w:r>
      <w:r w:rsidRPr="003B7DE1">
        <w:rPr>
          <w:rFonts w:ascii="Arial" w:hAnsi="Arial" w:cs="Arial"/>
          <w:spacing w:val="1"/>
          <w:w w:val="72"/>
          <w:sz w:val="18"/>
          <w:szCs w:val="18"/>
        </w:rPr>
        <w:t>a</w:t>
      </w:r>
      <w:r w:rsidRPr="003B7DE1">
        <w:rPr>
          <w:rFonts w:ascii="Arial" w:hAnsi="Arial" w:cs="Arial"/>
          <w:w w:val="68"/>
          <w:sz w:val="18"/>
          <w:szCs w:val="18"/>
        </w:rPr>
        <w:t xml:space="preserve">do </w:t>
      </w:r>
      <w:r w:rsidRPr="003B7DE1">
        <w:rPr>
          <w:rFonts w:ascii="Arial" w:hAnsi="Arial" w:cs="Arial"/>
          <w:w w:val="70"/>
          <w:sz w:val="18"/>
          <w:szCs w:val="18"/>
        </w:rPr>
        <w:t>2012-00241-04; TSP.SC-0029-2021,</w:t>
      </w:r>
      <w:r w:rsidRPr="003B7DE1">
        <w:rPr>
          <w:rFonts w:ascii="Arial" w:hAnsi="Arial" w:cs="Arial"/>
          <w:spacing w:val="-3"/>
          <w:w w:val="70"/>
          <w:sz w:val="18"/>
          <w:szCs w:val="18"/>
        </w:rPr>
        <w:t xml:space="preserve"> 11-08-2021, radicado 2013-00180-01, </w:t>
      </w:r>
      <w:r w:rsidRPr="003B7DE1">
        <w:rPr>
          <w:rFonts w:ascii="Arial" w:hAnsi="Arial" w:cs="Arial"/>
          <w:w w:val="70"/>
          <w:sz w:val="18"/>
          <w:szCs w:val="18"/>
        </w:rPr>
        <w:t>entre</w:t>
      </w:r>
      <w:r w:rsidRPr="003B7DE1">
        <w:rPr>
          <w:rFonts w:ascii="Arial" w:hAnsi="Arial" w:cs="Arial"/>
          <w:spacing w:val="1"/>
          <w:w w:val="70"/>
          <w:sz w:val="18"/>
          <w:szCs w:val="18"/>
        </w:rPr>
        <w:t xml:space="preserve"> </w:t>
      </w:r>
      <w:r w:rsidRPr="003B7DE1">
        <w:rPr>
          <w:rFonts w:ascii="Arial" w:hAnsi="Arial" w:cs="Arial"/>
          <w:w w:val="70"/>
          <w:sz w:val="18"/>
          <w:szCs w:val="18"/>
        </w:rPr>
        <w:t>otras.</w:t>
      </w:r>
    </w:p>
  </w:footnote>
  <w:footnote w:id="39">
    <w:p w14:paraId="7050F3D9" w14:textId="10CFAAAE" w:rsidR="00DF4A0D" w:rsidRPr="003B7DE1" w:rsidRDefault="00DF4A0D"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0038379E" w:rsidRPr="003B7DE1">
        <w:rPr>
          <w:rFonts w:ascii="Arial" w:hAnsi="Arial" w:cs="Arial"/>
          <w:sz w:val="18"/>
          <w:szCs w:val="18"/>
        </w:rPr>
        <w:t xml:space="preserve"> Radicado 2016</w:t>
      </w:r>
      <w:r w:rsidR="0038379E" w:rsidRPr="003B7DE1">
        <w:rPr>
          <w:rFonts w:ascii="Arial" w:eastAsia="Calibri" w:hAnsi="Arial" w:cs="Arial"/>
          <w:sz w:val="18"/>
          <w:szCs w:val="18"/>
          <w:lang w:val="es-419"/>
        </w:rPr>
        <w:t xml:space="preserve">-00149-01. M.P. </w:t>
      </w:r>
      <w:proofErr w:type="spellStart"/>
      <w:r w:rsidR="0038379E" w:rsidRPr="003B7DE1">
        <w:rPr>
          <w:rFonts w:ascii="Arial" w:eastAsia="Calibri" w:hAnsi="Arial" w:cs="Arial"/>
          <w:sz w:val="18"/>
          <w:szCs w:val="18"/>
          <w:lang w:val="es-419"/>
        </w:rPr>
        <w:t>Duberney</w:t>
      </w:r>
      <w:proofErr w:type="spellEnd"/>
      <w:r w:rsidR="0038379E" w:rsidRPr="003B7DE1">
        <w:rPr>
          <w:rFonts w:ascii="Arial" w:eastAsia="Calibri" w:hAnsi="Arial" w:cs="Arial"/>
          <w:sz w:val="18"/>
          <w:szCs w:val="18"/>
          <w:lang w:val="es-419"/>
        </w:rPr>
        <w:t xml:space="preserve"> Grisales Herrera. También se señaló así en la sentencia del 18 de diciembre de 2020, radicado 2012-00241-04 y en la TSP-SC0029-2021, para citar las más recientes. </w:t>
      </w:r>
    </w:p>
  </w:footnote>
  <w:footnote w:id="40">
    <w:p w14:paraId="13D81D24" w14:textId="77777777" w:rsidR="00DF4A0D" w:rsidRPr="003B7DE1" w:rsidRDefault="00DF4A0D"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Fonts w:ascii="Arial" w:hAnsi="Arial" w:cs="Arial"/>
          <w:w w:val="75"/>
          <w:sz w:val="18"/>
          <w:szCs w:val="18"/>
        </w:rPr>
        <w:t>Tribunal</w:t>
      </w:r>
      <w:r w:rsidRPr="003B7DE1">
        <w:rPr>
          <w:rFonts w:ascii="Arial" w:hAnsi="Arial" w:cs="Arial"/>
          <w:spacing w:val="1"/>
          <w:w w:val="75"/>
          <w:sz w:val="18"/>
          <w:szCs w:val="18"/>
        </w:rPr>
        <w:t xml:space="preserve"> </w:t>
      </w:r>
      <w:r w:rsidRPr="003B7DE1">
        <w:rPr>
          <w:rFonts w:ascii="Arial" w:hAnsi="Arial" w:cs="Arial"/>
          <w:w w:val="75"/>
          <w:sz w:val="18"/>
          <w:szCs w:val="18"/>
        </w:rPr>
        <w:t>Superior</w:t>
      </w:r>
      <w:r w:rsidRPr="003B7DE1">
        <w:rPr>
          <w:rFonts w:ascii="Arial" w:hAnsi="Arial" w:cs="Arial"/>
          <w:spacing w:val="1"/>
          <w:w w:val="75"/>
          <w:sz w:val="18"/>
          <w:szCs w:val="18"/>
        </w:rPr>
        <w:t xml:space="preserve"> </w:t>
      </w:r>
      <w:r w:rsidRPr="003B7DE1">
        <w:rPr>
          <w:rFonts w:ascii="Arial" w:hAnsi="Arial" w:cs="Arial"/>
          <w:w w:val="75"/>
          <w:sz w:val="18"/>
          <w:szCs w:val="18"/>
        </w:rPr>
        <w:t>de</w:t>
      </w:r>
      <w:r w:rsidRPr="003B7DE1">
        <w:rPr>
          <w:rFonts w:ascii="Arial" w:hAnsi="Arial" w:cs="Arial"/>
          <w:spacing w:val="1"/>
          <w:w w:val="75"/>
          <w:sz w:val="18"/>
          <w:szCs w:val="18"/>
        </w:rPr>
        <w:t xml:space="preserve"> </w:t>
      </w:r>
      <w:r w:rsidRPr="003B7DE1">
        <w:rPr>
          <w:rFonts w:ascii="Arial" w:hAnsi="Arial" w:cs="Arial"/>
          <w:w w:val="75"/>
          <w:sz w:val="18"/>
          <w:szCs w:val="18"/>
        </w:rPr>
        <w:t>Pereira,</w:t>
      </w:r>
      <w:r w:rsidRPr="003B7DE1">
        <w:rPr>
          <w:rFonts w:ascii="Arial" w:hAnsi="Arial" w:cs="Arial"/>
          <w:spacing w:val="1"/>
          <w:w w:val="75"/>
          <w:sz w:val="18"/>
          <w:szCs w:val="18"/>
        </w:rPr>
        <w:t xml:space="preserve"> </w:t>
      </w:r>
      <w:r w:rsidRPr="003B7DE1">
        <w:rPr>
          <w:rFonts w:ascii="Arial" w:hAnsi="Arial" w:cs="Arial"/>
          <w:w w:val="75"/>
          <w:sz w:val="18"/>
          <w:szCs w:val="18"/>
        </w:rPr>
        <w:t>Sala</w:t>
      </w:r>
      <w:r w:rsidRPr="003B7DE1">
        <w:rPr>
          <w:rFonts w:ascii="Arial" w:hAnsi="Arial" w:cs="Arial"/>
          <w:spacing w:val="1"/>
          <w:w w:val="75"/>
          <w:sz w:val="18"/>
          <w:szCs w:val="18"/>
        </w:rPr>
        <w:t xml:space="preserve"> </w:t>
      </w:r>
      <w:r w:rsidRPr="003B7DE1">
        <w:rPr>
          <w:rFonts w:ascii="Arial" w:hAnsi="Arial" w:cs="Arial"/>
          <w:w w:val="75"/>
          <w:sz w:val="18"/>
          <w:szCs w:val="18"/>
        </w:rPr>
        <w:t>Civil-Familia,</w:t>
      </w:r>
      <w:r w:rsidRPr="003B7DE1">
        <w:rPr>
          <w:rFonts w:ascii="Arial" w:hAnsi="Arial" w:cs="Arial"/>
          <w:spacing w:val="1"/>
          <w:w w:val="75"/>
          <w:sz w:val="18"/>
          <w:szCs w:val="18"/>
        </w:rPr>
        <w:t xml:space="preserve"> </w:t>
      </w:r>
      <w:r w:rsidRPr="003B7DE1">
        <w:rPr>
          <w:rFonts w:ascii="Arial" w:hAnsi="Arial" w:cs="Arial"/>
          <w:w w:val="75"/>
          <w:sz w:val="18"/>
          <w:szCs w:val="18"/>
        </w:rPr>
        <w:t>sentencia</w:t>
      </w:r>
      <w:r w:rsidRPr="003B7DE1">
        <w:rPr>
          <w:rFonts w:ascii="Arial" w:hAnsi="Arial" w:cs="Arial"/>
          <w:spacing w:val="1"/>
          <w:w w:val="75"/>
          <w:sz w:val="18"/>
          <w:szCs w:val="18"/>
        </w:rPr>
        <w:t xml:space="preserve"> </w:t>
      </w:r>
      <w:r w:rsidRPr="003B7DE1">
        <w:rPr>
          <w:rFonts w:ascii="Arial" w:hAnsi="Arial" w:cs="Arial"/>
          <w:w w:val="75"/>
          <w:sz w:val="18"/>
          <w:szCs w:val="18"/>
        </w:rPr>
        <w:t>del</w:t>
      </w:r>
      <w:r w:rsidRPr="003B7DE1">
        <w:rPr>
          <w:rFonts w:ascii="Arial" w:hAnsi="Arial" w:cs="Arial"/>
          <w:spacing w:val="1"/>
          <w:w w:val="75"/>
          <w:sz w:val="18"/>
          <w:szCs w:val="18"/>
        </w:rPr>
        <w:t xml:space="preserve"> </w:t>
      </w:r>
      <w:r w:rsidRPr="003B7DE1">
        <w:rPr>
          <w:rFonts w:ascii="Arial" w:hAnsi="Arial" w:cs="Arial"/>
          <w:w w:val="75"/>
          <w:sz w:val="18"/>
          <w:szCs w:val="18"/>
        </w:rPr>
        <w:t>13</w:t>
      </w:r>
      <w:r w:rsidRPr="003B7DE1">
        <w:rPr>
          <w:rFonts w:ascii="Arial" w:hAnsi="Arial" w:cs="Arial"/>
          <w:spacing w:val="1"/>
          <w:w w:val="75"/>
          <w:sz w:val="18"/>
          <w:szCs w:val="18"/>
        </w:rPr>
        <w:t xml:space="preserve"> </w:t>
      </w:r>
      <w:r w:rsidRPr="003B7DE1">
        <w:rPr>
          <w:rFonts w:ascii="Arial" w:hAnsi="Arial" w:cs="Arial"/>
          <w:w w:val="75"/>
          <w:sz w:val="18"/>
          <w:szCs w:val="18"/>
        </w:rPr>
        <w:t>de</w:t>
      </w:r>
      <w:r w:rsidRPr="003B7DE1">
        <w:rPr>
          <w:rFonts w:ascii="Arial" w:hAnsi="Arial" w:cs="Arial"/>
          <w:spacing w:val="1"/>
          <w:w w:val="75"/>
          <w:sz w:val="18"/>
          <w:szCs w:val="18"/>
        </w:rPr>
        <w:t xml:space="preserve"> </w:t>
      </w:r>
      <w:r w:rsidRPr="003B7DE1">
        <w:rPr>
          <w:rFonts w:ascii="Arial" w:hAnsi="Arial" w:cs="Arial"/>
          <w:w w:val="75"/>
          <w:sz w:val="18"/>
          <w:szCs w:val="18"/>
        </w:rPr>
        <w:t>marzo</w:t>
      </w:r>
      <w:r w:rsidRPr="003B7DE1">
        <w:rPr>
          <w:rFonts w:ascii="Arial" w:hAnsi="Arial" w:cs="Arial"/>
          <w:spacing w:val="1"/>
          <w:w w:val="75"/>
          <w:sz w:val="18"/>
          <w:szCs w:val="18"/>
        </w:rPr>
        <w:t xml:space="preserve"> </w:t>
      </w:r>
      <w:r w:rsidRPr="003B7DE1">
        <w:rPr>
          <w:rFonts w:ascii="Arial" w:hAnsi="Arial" w:cs="Arial"/>
          <w:w w:val="75"/>
          <w:sz w:val="18"/>
          <w:szCs w:val="18"/>
        </w:rPr>
        <w:t>de</w:t>
      </w:r>
      <w:r w:rsidRPr="003B7DE1">
        <w:rPr>
          <w:rFonts w:ascii="Arial" w:hAnsi="Arial" w:cs="Arial"/>
          <w:spacing w:val="1"/>
          <w:w w:val="75"/>
          <w:sz w:val="18"/>
          <w:szCs w:val="18"/>
        </w:rPr>
        <w:t xml:space="preserve"> </w:t>
      </w:r>
      <w:r w:rsidRPr="003B7DE1">
        <w:rPr>
          <w:rFonts w:ascii="Arial" w:hAnsi="Arial" w:cs="Arial"/>
          <w:w w:val="75"/>
          <w:sz w:val="18"/>
          <w:szCs w:val="18"/>
        </w:rPr>
        <w:t>2019,</w:t>
      </w:r>
      <w:r w:rsidRPr="003B7DE1">
        <w:rPr>
          <w:rFonts w:ascii="Arial" w:hAnsi="Arial" w:cs="Arial"/>
          <w:spacing w:val="1"/>
          <w:w w:val="75"/>
          <w:sz w:val="18"/>
          <w:szCs w:val="18"/>
        </w:rPr>
        <w:t xml:space="preserve"> </w:t>
      </w:r>
      <w:r w:rsidRPr="003B7DE1">
        <w:rPr>
          <w:rFonts w:ascii="Arial" w:hAnsi="Arial" w:cs="Arial"/>
          <w:w w:val="75"/>
          <w:sz w:val="18"/>
          <w:szCs w:val="18"/>
        </w:rPr>
        <w:t>radicado</w:t>
      </w:r>
      <w:r w:rsidRPr="003B7DE1">
        <w:rPr>
          <w:rFonts w:ascii="Arial" w:hAnsi="Arial" w:cs="Arial"/>
          <w:spacing w:val="-52"/>
          <w:w w:val="75"/>
          <w:sz w:val="18"/>
          <w:szCs w:val="18"/>
        </w:rPr>
        <w:t xml:space="preserve"> </w:t>
      </w:r>
      <w:r w:rsidRPr="003B7DE1">
        <w:rPr>
          <w:rFonts w:ascii="Arial" w:hAnsi="Arial" w:cs="Arial"/>
          <w:w w:val="70"/>
          <w:sz w:val="18"/>
          <w:szCs w:val="18"/>
        </w:rPr>
        <w:t>66001310300420170006301,</w:t>
      </w:r>
      <w:r w:rsidRPr="003B7DE1">
        <w:rPr>
          <w:rFonts w:ascii="Arial" w:hAnsi="Arial" w:cs="Arial"/>
          <w:spacing w:val="-5"/>
          <w:w w:val="70"/>
          <w:sz w:val="18"/>
          <w:szCs w:val="18"/>
        </w:rPr>
        <w:t xml:space="preserve"> </w:t>
      </w:r>
      <w:r w:rsidRPr="003B7DE1">
        <w:rPr>
          <w:rFonts w:ascii="Arial" w:hAnsi="Arial" w:cs="Arial"/>
          <w:w w:val="70"/>
          <w:sz w:val="18"/>
          <w:szCs w:val="18"/>
        </w:rPr>
        <w:t>M.P.</w:t>
      </w:r>
      <w:r w:rsidRPr="003B7DE1">
        <w:rPr>
          <w:rFonts w:ascii="Arial" w:hAnsi="Arial" w:cs="Arial"/>
          <w:spacing w:val="-5"/>
          <w:w w:val="70"/>
          <w:sz w:val="18"/>
          <w:szCs w:val="18"/>
        </w:rPr>
        <w:t xml:space="preserve"> </w:t>
      </w:r>
      <w:r w:rsidRPr="003B7DE1">
        <w:rPr>
          <w:rFonts w:ascii="Arial" w:hAnsi="Arial" w:cs="Arial"/>
          <w:w w:val="70"/>
          <w:sz w:val="18"/>
          <w:szCs w:val="18"/>
        </w:rPr>
        <w:t>Jaime</w:t>
      </w:r>
      <w:r w:rsidRPr="003B7DE1">
        <w:rPr>
          <w:rFonts w:ascii="Arial" w:hAnsi="Arial" w:cs="Arial"/>
          <w:spacing w:val="-8"/>
          <w:w w:val="70"/>
          <w:sz w:val="18"/>
          <w:szCs w:val="18"/>
        </w:rPr>
        <w:t xml:space="preserve"> </w:t>
      </w:r>
      <w:r w:rsidRPr="003B7DE1">
        <w:rPr>
          <w:rFonts w:ascii="Arial" w:hAnsi="Arial" w:cs="Arial"/>
          <w:w w:val="70"/>
          <w:sz w:val="18"/>
          <w:szCs w:val="18"/>
        </w:rPr>
        <w:t>Alberto</w:t>
      </w:r>
      <w:r w:rsidRPr="003B7DE1">
        <w:rPr>
          <w:rFonts w:ascii="Arial" w:hAnsi="Arial" w:cs="Arial"/>
          <w:spacing w:val="-4"/>
          <w:w w:val="70"/>
          <w:sz w:val="18"/>
          <w:szCs w:val="18"/>
        </w:rPr>
        <w:t xml:space="preserve"> </w:t>
      </w:r>
      <w:r w:rsidRPr="003B7DE1">
        <w:rPr>
          <w:rFonts w:ascii="Arial" w:hAnsi="Arial" w:cs="Arial"/>
          <w:w w:val="70"/>
          <w:sz w:val="18"/>
          <w:szCs w:val="18"/>
        </w:rPr>
        <w:t>Saraza</w:t>
      </w:r>
      <w:r w:rsidRPr="003B7DE1">
        <w:rPr>
          <w:rFonts w:ascii="Arial" w:hAnsi="Arial" w:cs="Arial"/>
          <w:spacing w:val="-4"/>
          <w:w w:val="70"/>
          <w:sz w:val="18"/>
          <w:szCs w:val="18"/>
        </w:rPr>
        <w:t xml:space="preserve"> </w:t>
      </w:r>
      <w:r w:rsidRPr="003B7DE1">
        <w:rPr>
          <w:rFonts w:ascii="Arial" w:hAnsi="Arial" w:cs="Arial"/>
          <w:w w:val="70"/>
          <w:sz w:val="18"/>
          <w:szCs w:val="18"/>
        </w:rPr>
        <w:t>Naranjo y en la citada TSP.SC-0029-2021,</w:t>
      </w:r>
    </w:p>
  </w:footnote>
  <w:footnote w:id="41">
    <w:p w14:paraId="0FC3FB5B" w14:textId="2B658DF5" w:rsidR="00755983" w:rsidRPr="003B7DE1" w:rsidRDefault="00755983"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TSP-SC0004-2023</w:t>
      </w:r>
    </w:p>
  </w:footnote>
  <w:footnote w:id="42">
    <w:p w14:paraId="54A9447E" w14:textId="77777777" w:rsidR="00755983" w:rsidRPr="003B7DE1" w:rsidRDefault="00755983"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Fonts w:ascii="Arial" w:hAnsi="Arial" w:cs="Arial"/>
          <w:sz w:val="18"/>
          <w:szCs w:val="18"/>
          <w:lang w:val="es-419"/>
        </w:rPr>
        <w:t>TSP-SC-0022-2022</w:t>
      </w:r>
    </w:p>
  </w:footnote>
  <w:footnote w:id="43">
    <w:p w14:paraId="7CB569AF" w14:textId="77777777" w:rsidR="00755983" w:rsidRPr="003B7DE1" w:rsidRDefault="00755983"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Style w:val="PiedepginaCar"/>
          <w:rFonts w:ascii="Arial" w:hAnsi="Arial" w:cs="Arial"/>
          <w:color w:val="000000"/>
          <w:sz w:val="18"/>
          <w:szCs w:val="18"/>
          <w:shd w:val="clear" w:color="auto" w:fill="FFFFFF"/>
        </w:rPr>
        <w:t>PRÉVOT, Juan M. La obligación de seguridad, 2ª edición, Bogotá DC, Temis, 2012, p.84.</w:t>
      </w:r>
    </w:p>
  </w:footnote>
  <w:footnote w:id="44">
    <w:p w14:paraId="56A45F4D" w14:textId="77777777" w:rsidR="00755983" w:rsidRPr="003B7DE1" w:rsidRDefault="00755983"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Style w:val="PiedepginaCar"/>
          <w:rFonts w:ascii="Arial" w:hAnsi="Arial" w:cs="Arial"/>
          <w:color w:val="000000"/>
          <w:sz w:val="18"/>
          <w:szCs w:val="18"/>
          <w:bdr w:val="none" w:sz="0" w:space="0" w:color="auto" w:frame="1"/>
        </w:rPr>
        <w:t>SANTOS B., Jorge. Ob. cit. p.423.</w:t>
      </w:r>
    </w:p>
  </w:footnote>
  <w:footnote w:id="45">
    <w:p w14:paraId="7AE8E935" w14:textId="77777777" w:rsidR="00755983" w:rsidRPr="003B7DE1" w:rsidRDefault="00755983"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Style w:val="PiedepginaCar"/>
          <w:rFonts w:ascii="Arial" w:hAnsi="Arial" w:cs="Arial"/>
          <w:color w:val="000000"/>
          <w:sz w:val="18"/>
          <w:szCs w:val="18"/>
          <w:shd w:val="clear" w:color="auto" w:fill="FFFFFF"/>
        </w:rPr>
        <w:t xml:space="preserve">PATIÑO, Héctor. Las causales </w:t>
      </w:r>
      <w:proofErr w:type="spellStart"/>
      <w:r w:rsidRPr="003B7DE1">
        <w:rPr>
          <w:rStyle w:val="PiedepginaCar"/>
          <w:rFonts w:ascii="Arial" w:hAnsi="Arial" w:cs="Arial"/>
          <w:color w:val="000000"/>
          <w:sz w:val="18"/>
          <w:szCs w:val="18"/>
          <w:shd w:val="clear" w:color="auto" w:fill="FFFFFF"/>
        </w:rPr>
        <w:t>exonerativas</w:t>
      </w:r>
      <w:proofErr w:type="spellEnd"/>
      <w:r w:rsidRPr="003B7DE1">
        <w:rPr>
          <w:rStyle w:val="PiedepginaCar"/>
          <w:rFonts w:ascii="Arial" w:hAnsi="Arial" w:cs="Arial"/>
          <w:color w:val="000000"/>
          <w:sz w:val="18"/>
          <w:szCs w:val="18"/>
          <w:shd w:val="clear" w:color="auto" w:fill="FFFFFF"/>
        </w:rPr>
        <w:t xml:space="preserve"> de la responsabilidad extracontractual, Revista de la Universidad Externado de Colombia, No.20, Colombia [En línea]. 2011 [Visitado el 2019-05-28]. Disponible en internet: www.revistas.uexternado.edu.co › Inicio › Núm. 20 (2011) › Patiño </w:t>
      </w:r>
      <w:r w:rsidRPr="003B7DE1">
        <w:rPr>
          <w:rFonts w:ascii="Arial" w:hAnsi="Arial" w:cs="Arial"/>
          <w:color w:val="000000"/>
          <w:sz w:val="18"/>
          <w:szCs w:val="18"/>
          <w:shd w:val="clear" w:color="auto" w:fill="FFFFFF"/>
        </w:rPr>
        <w:t> </w:t>
      </w:r>
    </w:p>
  </w:footnote>
  <w:footnote w:id="46">
    <w:p w14:paraId="54478718" w14:textId="77777777" w:rsidR="00755983" w:rsidRPr="003B7DE1" w:rsidRDefault="00755983"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D</w:t>
      </w:r>
      <w:r w:rsidRPr="003B7DE1">
        <w:rPr>
          <w:rStyle w:val="PiedepginaCar"/>
          <w:rFonts w:ascii="Arial" w:hAnsi="Arial" w:cs="Arial"/>
          <w:color w:val="000000"/>
          <w:sz w:val="18"/>
          <w:szCs w:val="18"/>
          <w:shd w:val="clear" w:color="auto" w:fill="FFFFFF"/>
        </w:rPr>
        <w:t>E CUPIS, Adriano. El daño, teoría general de la responsabilidad civil, casa editorial Bosh, Barcelona, España, 2ª traducción del italiano, 1970, p.247.</w:t>
      </w:r>
      <w:r w:rsidRPr="003B7DE1">
        <w:rPr>
          <w:rFonts w:ascii="Arial" w:hAnsi="Arial" w:cs="Arial"/>
          <w:color w:val="000000"/>
          <w:sz w:val="18"/>
          <w:szCs w:val="18"/>
          <w:shd w:val="clear" w:color="auto" w:fill="FFFFFF"/>
        </w:rPr>
        <w:t> </w:t>
      </w:r>
    </w:p>
  </w:footnote>
  <w:footnote w:id="47">
    <w:p w14:paraId="571692D6" w14:textId="77777777" w:rsidR="00755983" w:rsidRPr="003B7DE1" w:rsidRDefault="00755983"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Style w:val="PiedepginaCar"/>
          <w:rFonts w:ascii="Arial" w:hAnsi="Arial" w:cs="Arial"/>
          <w:color w:val="000000"/>
          <w:sz w:val="18"/>
          <w:szCs w:val="18"/>
          <w:shd w:val="clear" w:color="auto" w:fill="FFFFFF"/>
        </w:rPr>
        <w:t>KEMELMAJER de C. Aida y JARAMILLO J. Carlos E. El criterio de la razonabilidad en el derecho privado, editorial Ibáñez y otras, 2020, p.470.</w:t>
      </w:r>
      <w:r w:rsidRPr="003B7DE1">
        <w:rPr>
          <w:rFonts w:ascii="Arial" w:hAnsi="Arial" w:cs="Arial"/>
          <w:color w:val="000000"/>
          <w:sz w:val="18"/>
          <w:szCs w:val="18"/>
          <w:shd w:val="clear" w:color="auto" w:fill="FFFFFF"/>
        </w:rPr>
        <w:t> </w:t>
      </w:r>
    </w:p>
  </w:footnote>
  <w:footnote w:id="48">
    <w:p w14:paraId="180C03E5" w14:textId="77777777" w:rsidR="00755983" w:rsidRPr="003B7DE1" w:rsidRDefault="00755983"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Style w:val="PiedepginaCar"/>
          <w:rFonts w:ascii="Arial" w:hAnsi="Arial" w:cs="Arial"/>
          <w:color w:val="000000"/>
          <w:sz w:val="18"/>
          <w:szCs w:val="18"/>
          <w:shd w:val="clear" w:color="auto" w:fill="FFFFFF"/>
        </w:rPr>
        <w:t xml:space="preserve">BAENA A., Felisa. La causalidad en la responsabilidad civil, Tirant lo </w:t>
      </w:r>
      <w:proofErr w:type="spellStart"/>
      <w:r w:rsidRPr="003B7DE1">
        <w:rPr>
          <w:rStyle w:val="PiedepginaCar"/>
          <w:rFonts w:ascii="Arial" w:hAnsi="Arial" w:cs="Arial"/>
          <w:color w:val="000000"/>
          <w:sz w:val="18"/>
          <w:szCs w:val="18"/>
          <w:shd w:val="clear" w:color="auto" w:fill="FFFFFF"/>
        </w:rPr>
        <w:t>blanch</w:t>
      </w:r>
      <w:proofErr w:type="spellEnd"/>
      <w:r w:rsidRPr="003B7DE1">
        <w:rPr>
          <w:rStyle w:val="PiedepginaCar"/>
          <w:rFonts w:ascii="Arial" w:hAnsi="Arial" w:cs="Arial"/>
          <w:color w:val="000000"/>
          <w:sz w:val="18"/>
          <w:szCs w:val="18"/>
          <w:shd w:val="clear" w:color="auto" w:fill="FFFFFF"/>
        </w:rPr>
        <w:t>, Bogotá DC, 2021, p.11.</w:t>
      </w:r>
      <w:r w:rsidRPr="003B7DE1">
        <w:rPr>
          <w:rFonts w:ascii="Arial" w:hAnsi="Arial" w:cs="Arial"/>
          <w:color w:val="000000"/>
          <w:sz w:val="18"/>
          <w:szCs w:val="18"/>
          <w:shd w:val="clear" w:color="auto" w:fill="FFFFFF"/>
        </w:rPr>
        <w:t> </w:t>
      </w:r>
    </w:p>
  </w:footnote>
  <w:footnote w:id="49">
    <w:p w14:paraId="1FFE2E1A" w14:textId="77777777" w:rsidR="00755983" w:rsidRPr="003B7DE1" w:rsidRDefault="00755983"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Style w:val="PiedepginaCar"/>
          <w:rFonts w:ascii="Arial" w:hAnsi="Arial" w:cs="Arial"/>
          <w:color w:val="000000"/>
          <w:sz w:val="18"/>
          <w:szCs w:val="18"/>
          <w:shd w:val="clear" w:color="auto" w:fill="FFFFFF"/>
        </w:rPr>
        <w:t>DE CUPIS, Adriano. Ob. cit., p.247.</w:t>
      </w:r>
      <w:r w:rsidRPr="003B7DE1">
        <w:rPr>
          <w:rFonts w:ascii="Arial" w:hAnsi="Arial" w:cs="Arial"/>
          <w:color w:val="000000"/>
          <w:sz w:val="18"/>
          <w:szCs w:val="18"/>
          <w:shd w:val="clear" w:color="auto" w:fill="FFFFFF"/>
        </w:rPr>
        <w:t> </w:t>
      </w:r>
    </w:p>
  </w:footnote>
  <w:footnote w:id="50">
    <w:p w14:paraId="753B60FA" w14:textId="77777777" w:rsidR="00755983" w:rsidRPr="003B7DE1" w:rsidRDefault="00755983"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Style w:val="PiedepginaCar"/>
          <w:rFonts w:ascii="Arial" w:hAnsi="Arial" w:cs="Arial"/>
          <w:color w:val="000000"/>
          <w:sz w:val="18"/>
          <w:szCs w:val="18"/>
          <w:shd w:val="clear" w:color="auto" w:fill="FFFFFF"/>
        </w:rPr>
        <w:t xml:space="preserve">CSJ. Sentencia del 24-08-2009; MP: </w:t>
      </w:r>
      <w:proofErr w:type="spellStart"/>
      <w:r w:rsidRPr="003B7DE1">
        <w:rPr>
          <w:rStyle w:val="PiedepginaCar"/>
          <w:rFonts w:ascii="Arial" w:hAnsi="Arial" w:cs="Arial"/>
          <w:color w:val="000000"/>
          <w:sz w:val="18"/>
          <w:szCs w:val="18"/>
          <w:shd w:val="clear" w:color="auto" w:fill="FFFFFF"/>
        </w:rPr>
        <w:t>Namén</w:t>
      </w:r>
      <w:proofErr w:type="spellEnd"/>
      <w:r w:rsidRPr="003B7DE1">
        <w:rPr>
          <w:rStyle w:val="PiedepginaCar"/>
          <w:rFonts w:ascii="Arial" w:hAnsi="Arial" w:cs="Arial"/>
          <w:color w:val="000000"/>
          <w:sz w:val="18"/>
          <w:szCs w:val="18"/>
          <w:shd w:val="clear" w:color="auto" w:fill="FFFFFF"/>
        </w:rPr>
        <w:t xml:space="preserve"> V., No.2001-01054-01.</w:t>
      </w:r>
    </w:p>
  </w:footnote>
  <w:footnote w:id="51">
    <w:p w14:paraId="0204463E" w14:textId="125FCFAE" w:rsidR="00755983" w:rsidRPr="003B7DE1" w:rsidRDefault="00755983"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Style w:val="PiedepginaCar"/>
          <w:rFonts w:ascii="Arial" w:hAnsi="Arial" w:cs="Arial"/>
          <w:color w:val="000000"/>
          <w:sz w:val="18"/>
          <w:szCs w:val="18"/>
          <w:bdr w:val="none" w:sz="0" w:space="0" w:color="auto" w:frame="1"/>
        </w:rPr>
        <w:t>CSJ. SC-3604-2021</w:t>
      </w:r>
      <w:r w:rsidR="0061545D" w:rsidRPr="003B7DE1">
        <w:rPr>
          <w:rStyle w:val="PiedepginaCar"/>
          <w:rFonts w:ascii="Arial" w:hAnsi="Arial" w:cs="Arial"/>
          <w:color w:val="000000"/>
          <w:sz w:val="18"/>
          <w:szCs w:val="18"/>
          <w:bdr w:val="none" w:sz="0" w:space="0" w:color="auto" w:frame="1"/>
        </w:rPr>
        <w:t>.</w:t>
      </w:r>
    </w:p>
  </w:footnote>
  <w:footnote w:id="52">
    <w:p w14:paraId="79076FE4" w14:textId="77777777" w:rsidR="00755983" w:rsidRPr="003B7DE1" w:rsidRDefault="00755983"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TSP.SC-0063-2021, ver también TPS-SC-0005-2022…</w:t>
      </w:r>
    </w:p>
  </w:footnote>
  <w:footnote w:id="53">
    <w:p w14:paraId="2D5C86F3" w14:textId="77777777" w:rsidR="00755983" w:rsidRPr="003B7DE1" w:rsidRDefault="00755983"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Sentencia SC2348-2021</w:t>
      </w:r>
    </w:p>
  </w:footnote>
  <w:footnote w:id="54">
    <w:p w14:paraId="59F27B0F" w14:textId="5BC2023C" w:rsidR="00DF4A0D" w:rsidRPr="003B7DE1" w:rsidRDefault="00DF4A0D"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Pr="003B7DE1">
        <w:rPr>
          <w:rFonts w:ascii="Arial" w:hAnsi="Arial" w:cs="Arial"/>
          <w:sz w:val="18"/>
          <w:szCs w:val="18"/>
        </w:rPr>
        <w:t xml:space="preserve"> 01Primera Instancia… Folios447-619, </w:t>
      </w:r>
      <w:proofErr w:type="spellStart"/>
      <w:r w:rsidRPr="003B7DE1">
        <w:rPr>
          <w:rFonts w:ascii="Arial" w:hAnsi="Arial" w:cs="Arial"/>
          <w:sz w:val="18"/>
          <w:szCs w:val="18"/>
        </w:rPr>
        <w:t>arch</w:t>
      </w:r>
      <w:proofErr w:type="spellEnd"/>
      <w:r w:rsidRPr="003B7DE1">
        <w:rPr>
          <w:rFonts w:ascii="Arial" w:hAnsi="Arial" w:cs="Arial"/>
          <w:sz w:val="18"/>
          <w:szCs w:val="18"/>
        </w:rPr>
        <w:t xml:space="preserve">. 75, 01. Primera Instancia, c. ppal., tomo III, los reparos se tuvieron sustentados con los argumentos plasmados el mismo escrito de censura, según sentencia de tutela STC17217-2021 de la Sala Civil de la CSJ. </w:t>
      </w:r>
    </w:p>
  </w:footnote>
  <w:footnote w:id="55">
    <w:p w14:paraId="59204FDC" w14:textId="77777777" w:rsidR="007E39D0" w:rsidRPr="003B7DE1" w:rsidRDefault="007E39D0" w:rsidP="003B7DE1">
      <w:pPr>
        <w:pStyle w:val="Textonotapie"/>
        <w:jc w:val="both"/>
        <w:rPr>
          <w:rFonts w:ascii="Arial" w:hAnsi="Arial" w:cs="Arial"/>
          <w:sz w:val="18"/>
          <w:szCs w:val="18"/>
          <w:lang w:val="es-ES"/>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Fonts w:ascii="Arial" w:hAnsi="Arial" w:cs="Arial"/>
          <w:sz w:val="18"/>
          <w:szCs w:val="18"/>
          <w:lang w:val="es-419"/>
        </w:rPr>
        <w:t>Pág. 37 ib.</w:t>
      </w:r>
    </w:p>
  </w:footnote>
  <w:footnote w:id="56">
    <w:p w14:paraId="47A49BC4" w14:textId="77777777" w:rsidR="007E39D0" w:rsidRPr="003B7DE1" w:rsidRDefault="007E39D0" w:rsidP="003B7DE1">
      <w:pPr>
        <w:pStyle w:val="Textonotapie"/>
        <w:jc w:val="both"/>
        <w:rPr>
          <w:rFonts w:ascii="Arial" w:hAnsi="Arial" w:cs="Arial"/>
          <w:sz w:val="18"/>
          <w:szCs w:val="18"/>
          <w:lang w:val="es-ES"/>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Fonts w:ascii="Arial" w:hAnsi="Arial" w:cs="Arial"/>
          <w:sz w:val="18"/>
          <w:szCs w:val="18"/>
          <w:lang w:val="es-419"/>
        </w:rPr>
        <w:t>Pág. 38 y 39 ib.</w:t>
      </w:r>
    </w:p>
  </w:footnote>
  <w:footnote w:id="57">
    <w:p w14:paraId="2F9FD16C" w14:textId="5B6120F1" w:rsidR="00FC6BAE" w:rsidRPr="003B7DE1" w:rsidRDefault="00FC6BAE" w:rsidP="003B7DE1">
      <w:pPr>
        <w:pStyle w:val="Textonotapie"/>
        <w:jc w:val="both"/>
        <w:rPr>
          <w:rFonts w:ascii="Arial" w:hAnsi="Arial" w:cs="Arial"/>
          <w:sz w:val="18"/>
          <w:szCs w:val="18"/>
          <w:lang w:val="es-ES"/>
        </w:rPr>
      </w:pPr>
      <w:r w:rsidRPr="003B7DE1">
        <w:rPr>
          <w:rStyle w:val="Refdenotaalpie"/>
          <w:rFonts w:ascii="Arial" w:hAnsi="Arial" w:cs="Arial"/>
          <w:sz w:val="18"/>
          <w:szCs w:val="18"/>
        </w:rPr>
        <w:footnoteRef/>
      </w:r>
      <w:r w:rsidRPr="003B7DE1">
        <w:rPr>
          <w:rFonts w:ascii="Arial" w:hAnsi="Arial" w:cs="Arial"/>
          <w:sz w:val="18"/>
          <w:szCs w:val="18"/>
        </w:rPr>
        <w:t xml:space="preserve"> 01CuadernoPrincipal, …Folio 245-446, </w:t>
      </w:r>
      <w:proofErr w:type="spellStart"/>
      <w:r w:rsidR="000F424D" w:rsidRPr="003B7DE1">
        <w:rPr>
          <w:rFonts w:ascii="Arial" w:hAnsi="Arial" w:cs="Arial"/>
          <w:sz w:val="18"/>
          <w:szCs w:val="18"/>
        </w:rPr>
        <w:t>Arch</w:t>
      </w:r>
      <w:proofErr w:type="spellEnd"/>
      <w:r w:rsidR="000F424D" w:rsidRPr="003B7DE1">
        <w:rPr>
          <w:rFonts w:ascii="Arial" w:hAnsi="Arial" w:cs="Arial"/>
          <w:sz w:val="18"/>
          <w:szCs w:val="18"/>
        </w:rPr>
        <w:t xml:space="preserve">. 17, </w:t>
      </w:r>
      <w:r w:rsidRPr="003B7DE1">
        <w:rPr>
          <w:rFonts w:ascii="Arial" w:hAnsi="Arial" w:cs="Arial"/>
          <w:sz w:val="18"/>
          <w:szCs w:val="18"/>
        </w:rPr>
        <w:t>p. 1</w:t>
      </w:r>
      <w:r w:rsidRPr="003B7DE1">
        <w:rPr>
          <w:rFonts w:ascii="Arial" w:hAnsi="Arial" w:cs="Arial"/>
          <w:sz w:val="18"/>
          <w:szCs w:val="18"/>
          <w:lang w:val="es-419"/>
        </w:rPr>
        <w:t xml:space="preserve"> </w:t>
      </w:r>
    </w:p>
  </w:footnote>
  <w:footnote w:id="58">
    <w:p w14:paraId="2131EEE2" w14:textId="21BC1628" w:rsidR="00FC6BAE" w:rsidRPr="003B7DE1" w:rsidRDefault="00FC6BAE"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Ib., p. 3</w:t>
      </w:r>
      <w:r w:rsidRPr="003B7DE1">
        <w:rPr>
          <w:rFonts w:ascii="Arial" w:hAnsi="Arial" w:cs="Arial"/>
          <w:sz w:val="18"/>
          <w:szCs w:val="18"/>
          <w:lang w:val="es-419"/>
        </w:rPr>
        <w:t xml:space="preserve"> </w:t>
      </w:r>
    </w:p>
  </w:footnote>
  <w:footnote w:id="59">
    <w:p w14:paraId="13A614FE" w14:textId="7459A418" w:rsidR="00FC6BAE" w:rsidRPr="003B7DE1" w:rsidRDefault="00FC6BAE"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Ib., p. 4</w:t>
      </w:r>
      <w:r w:rsidRPr="003B7DE1">
        <w:rPr>
          <w:rFonts w:ascii="Arial" w:hAnsi="Arial" w:cs="Arial"/>
          <w:sz w:val="18"/>
          <w:szCs w:val="18"/>
          <w:lang w:val="es-419"/>
        </w:rPr>
        <w:t xml:space="preserve"> </w:t>
      </w:r>
    </w:p>
  </w:footnote>
  <w:footnote w:id="60">
    <w:p w14:paraId="65801349" w14:textId="07C470CA" w:rsidR="00FC6BAE" w:rsidRPr="003B7DE1" w:rsidRDefault="00FC6BAE"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Ib., p. 5</w:t>
      </w:r>
    </w:p>
  </w:footnote>
  <w:footnote w:id="61">
    <w:p w14:paraId="7D70CE81" w14:textId="6A6AD184" w:rsidR="00FC6BAE" w:rsidRPr="003B7DE1" w:rsidRDefault="00FC6BAE"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w:t>
      </w:r>
      <w:r w:rsidR="000F424D" w:rsidRPr="003B7DE1">
        <w:rPr>
          <w:rFonts w:ascii="Arial" w:hAnsi="Arial" w:cs="Arial"/>
          <w:sz w:val="18"/>
          <w:szCs w:val="18"/>
        </w:rPr>
        <w:t>01</w:t>
      </w:r>
      <w:proofErr w:type="gramStart"/>
      <w:r w:rsidR="000F424D" w:rsidRPr="003B7DE1">
        <w:rPr>
          <w:rFonts w:ascii="Arial" w:hAnsi="Arial" w:cs="Arial"/>
          <w:sz w:val="18"/>
          <w:szCs w:val="18"/>
        </w:rPr>
        <w:t>PrimeraInstancia,…</w:t>
      </w:r>
      <w:proofErr w:type="gramEnd"/>
      <w:r w:rsidR="000F424D" w:rsidRPr="003B7DE1">
        <w:rPr>
          <w:rFonts w:ascii="Arial" w:hAnsi="Arial" w:cs="Arial"/>
          <w:sz w:val="18"/>
          <w:szCs w:val="18"/>
        </w:rPr>
        <w:t xml:space="preserve"> Folio447-616, </w:t>
      </w:r>
      <w:proofErr w:type="spellStart"/>
      <w:r w:rsidR="000F424D" w:rsidRPr="003B7DE1">
        <w:rPr>
          <w:rFonts w:ascii="Arial" w:hAnsi="Arial" w:cs="Arial"/>
          <w:sz w:val="18"/>
          <w:szCs w:val="18"/>
        </w:rPr>
        <w:t>arch</w:t>
      </w:r>
      <w:proofErr w:type="spellEnd"/>
      <w:r w:rsidR="000F424D" w:rsidRPr="003B7DE1">
        <w:rPr>
          <w:rFonts w:ascii="Arial" w:hAnsi="Arial" w:cs="Arial"/>
          <w:sz w:val="18"/>
          <w:szCs w:val="18"/>
        </w:rPr>
        <w:t xml:space="preserve">. </w:t>
      </w:r>
      <w:r w:rsidRPr="003B7DE1">
        <w:rPr>
          <w:rFonts w:ascii="Arial" w:hAnsi="Arial" w:cs="Arial"/>
          <w:sz w:val="18"/>
          <w:szCs w:val="18"/>
          <w:lang w:val="es-419"/>
        </w:rPr>
        <w:t xml:space="preserve">74, audiencia 373 CGP, </w:t>
      </w:r>
      <w:r w:rsidR="000F424D" w:rsidRPr="003B7DE1">
        <w:rPr>
          <w:rFonts w:ascii="Arial" w:hAnsi="Arial" w:cs="Arial"/>
          <w:sz w:val="18"/>
          <w:szCs w:val="18"/>
          <w:lang w:val="es-419"/>
        </w:rPr>
        <w:t>00:07:00</w:t>
      </w:r>
      <w:r w:rsidRPr="003B7DE1">
        <w:rPr>
          <w:rFonts w:ascii="Arial" w:hAnsi="Arial" w:cs="Arial"/>
          <w:sz w:val="18"/>
          <w:szCs w:val="18"/>
          <w:lang w:val="es-419"/>
        </w:rPr>
        <w:t xml:space="preserve"> </w:t>
      </w:r>
    </w:p>
  </w:footnote>
  <w:footnote w:id="62">
    <w:p w14:paraId="2998B07A" w14:textId="77777777" w:rsidR="001E6404" w:rsidRPr="003B7DE1" w:rsidRDefault="001E6404"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FERNÁNDEZ M., Mónica L. Ob. cit., pág.41.</w:t>
      </w:r>
    </w:p>
  </w:footnote>
  <w:footnote w:id="63">
    <w:p w14:paraId="61B70CB0" w14:textId="77777777" w:rsidR="001E6404" w:rsidRPr="003B7DE1" w:rsidRDefault="001E6404"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CSJ, Civil. Sentencia del 30-01-2001, MP: Ramírez G., No.5507.</w:t>
      </w:r>
    </w:p>
  </w:footnote>
  <w:footnote w:id="64">
    <w:p w14:paraId="3AC5F6A5" w14:textId="47FC4830" w:rsidR="00377713" w:rsidRPr="003B7DE1" w:rsidRDefault="00377713"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Fonts w:ascii="Arial" w:eastAsia="Calibri" w:hAnsi="Arial" w:cs="Arial"/>
          <w:sz w:val="18"/>
          <w:szCs w:val="18"/>
          <w:lang w:val="es-419"/>
        </w:rPr>
        <w:t xml:space="preserve">01CuadernoPrincipal… Folios 1-244. arch14 y 01CuadernoPrincipal… Folios 245-446 </w:t>
      </w:r>
      <w:proofErr w:type="spellStart"/>
      <w:r w:rsidRPr="003B7DE1">
        <w:rPr>
          <w:rFonts w:ascii="Arial" w:eastAsia="Calibri" w:hAnsi="Arial" w:cs="Arial"/>
          <w:sz w:val="18"/>
          <w:szCs w:val="18"/>
          <w:lang w:val="es-419"/>
        </w:rPr>
        <w:t>Arch</w:t>
      </w:r>
      <w:proofErr w:type="spellEnd"/>
      <w:r w:rsidRPr="003B7DE1">
        <w:rPr>
          <w:rFonts w:ascii="Arial" w:eastAsia="Calibri" w:hAnsi="Arial" w:cs="Arial"/>
          <w:sz w:val="18"/>
          <w:szCs w:val="18"/>
          <w:lang w:val="es-419"/>
        </w:rPr>
        <w:t>. 16</w:t>
      </w:r>
    </w:p>
  </w:footnote>
  <w:footnote w:id="65">
    <w:p w14:paraId="2991819B" w14:textId="77777777" w:rsidR="00377713" w:rsidRPr="003B7DE1" w:rsidRDefault="00377713" w:rsidP="003B7DE1">
      <w:pPr>
        <w:pStyle w:val="Textonotapie"/>
        <w:jc w:val="both"/>
        <w:rPr>
          <w:rFonts w:ascii="Arial" w:hAnsi="Arial" w:cs="Arial"/>
          <w:sz w:val="18"/>
          <w:szCs w:val="18"/>
          <w:lang w:val="es-419"/>
        </w:rPr>
      </w:pPr>
      <w:r w:rsidRPr="003B7DE1">
        <w:rPr>
          <w:rStyle w:val="Refdenotaalpie"/>
          <w:rFonts w:ascii="Arial" w:hAnsi="Arial" w:cs="Arial"/>
          <w:sz w:val="18"/>
          <w:szCs w:val="18"/>
        </w:rPr>
        <w:footnoteRef/>
      </w:r>
      <w:r w:rsidRPr="003B7DE1">
        <w:rPr>
          <w:rFonts w:ascii="Arial" w:hAnsi="Arial" w:cs="Arial"/>
          <w:sz w:val="18"/>
          <w:szCs w:val="18"/>
        </w:rPr>
        <w:t xml:space="preserve"> </w:t>
      </w:r>
      <w:r w:rsidRPr="003B7DE1">
        <w:rPr>
          <w:rFonts w:ascii="Arial" w:eastAsia="Calibri" w:hAnsi="Arial" w:cs="Arial"/>
          <w:sz w:val="18"/>
          <w:szCs w:val="18"/>
          <w:lang w:val="es-419"/>
        </w:rPr>
        <w:t xml:space="preserve">01CuadernoPrincipal… Folios 245-446 </w:t>
      </w:r>
      <w:proofErr w:type="spellStart"/>
      <w:r w:rsidRPr="003B7DE1">
        <w:rPr>
          <w:rFonts w:ascii="Arial" w:eastAsia="Calibri" w:hAnsi="Arial" w:cs="Arial"/>
          <w:sz w:val="18"/>
          <w:szCs w:val="18"/>
          <w:lang w:val="es-419"/>
        </w:rPr>
        <w:t>Arch</w:t>
      </w:r>
      <w:proofErr w:type="spellEnd"/>
      <w:r w:rsidRPr="003B7DE1">
        <w:rPr>
          <w:rFonts w:ascii="Arial" w:eastAsia="Calibri" w:hAnsi="Arial" w:cs="Arial"/>
          <w:sz w:val="18"/>
          <w:szCs w:val="18"/>
          <w:lang w:val="es-419"/>
        </w:rPr>
        <w:t>. 16</w:t>
      </w:r>
    </w:p>
    <w:p w14:paraId="3C89473A" w14:textId="4E25E229" w:rsidR="00377713" w:rsidRPr="003B7DE1" w:rsidRDefault="00377713" w:rsidP="003B7DE1">
      <w:pPr>
        <w:pStyle w:val="Textonotapie"/>
        <w:jc w:val="both"/>
        <w:rPr>
          <w:rFonts w:ascii="Arial" w:hAnsi="Arial" w:cs="Arial"/>
          <w:sz w:val="18"/>
          <w:szCs w:val="18"/>
          <w:lang w:val="es-419"/>
        </w:rPr>
      </w:pPr>
    </w:p>
  </w:footnote>
  <w:footnote w:id="66">
    <w:p w14:paraId="2F580913" w14:textId="557AD500" w:rsidR="00FE2EAE" w:rsidRPr="003B7DE1" w:rsidRDefault="00FE2EAE"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01PrimeraInstancia… Folios 1-244, </w:t>
      </w:r>
      <w:proofErr w:type="spellStart"/>
      <w:r w:rsidRPr="003B7DE1">
        <w:rPr>
          <w:rFonts w:ascii="Arial" w:hAnsi="Arial" w:cs="Arial"/>
          <w:sz w:val="18"/>
          <w:szCs w:val="18"/>
        </w:rPr>
        <w:t>arch</w:t>
      </w:r>
      <w:proofErr w:type="spellEnd"/>
      <w:r w:rsidRPr="003B7DE1">
        <w:rPr>
          <w:rFonts w:ascii="Arial" w:hAnsi="Arial" w:cs="Arial"/>
          <w:sz w:val="18"/>
          <w:szCs w:val="18"/>
        </w:rPr>
        <w:t>. 01, p. 23</w:t>
      </w:r>
    </w:p>
  </w:footnote>
  <w:footnote w:id="67">
    <w:p w14:paraId="008C08C3" w14:textId="77777777" w:rsidR="00C60391" w:rsidRPr="003B7DE1" w:rsidRDefault="00C60391" w:rsidP="003B7DE1">
      <w:pPr>
        <w:pStyle w:val="Textonotapie"/>
        <w:jc w:val="both"/>
        <w:rPr>
          <w:rFonts w:ascii="Arial" w:hAnsi="Arial" w:cs="Arial"/>
          <w:sz w:val="18"/>
          <w:szCs w:val="18"/>
          <w:lang w:val="es-MX"/>
        </w:rPr>
      </w:pPr>
      <w:r w:rsidRPr="003B7DE1">
        <w:rPr>
          <w:rStyle w:val="Refdenotaalpie"/>
          <w:rFonts w:ascii="Arial" w:hAnsi="Arial" w:cs="Arial"/>
          <w:sz w:val="18"/>
          <w:szCs w:val="18"/>
        </w:rPr>
        <w:footnoteRef/>
      </w:r>
      <w:r w:rsidRPr="003B7DE1">
        <w:rPr>
          <w:rFonts w:ascii="Arial" w:hAnsi="Arial" w:cs="Arial"/>
          <w:sz w:val="18"/>
          <w:szCs w:val="18"/>
        </w:rPr>
        <w:t xml:space="preserve"> Plata Prince, Luis Carlos. La pérdida de oportunidad en el derecho de daños. Ibáñez, Bogotá D.C., 2019, p. 166</w:t>
      </w:r>
    </w:p>
  </w:footnote>
  <w:footnote w:id="68">
    <w:p w14:paraId="1738C8B4" w14:textId="77777777" w:rsidR="00C60391" w:rsidRPr="003B7DE1" w:rsidRDefault="00C60391" w:rsidP="003B7DE1">
      <w:pPr>
        <w:pStyle w:val="Textonotapie"/>
        <w:jc w:val="both"/>
        <w:rPr>
          <w:rFonts w:ascii="Arial" w:hAnsi="Arial" w:cs="Arial"/>
          <w:sz w:val="18"/>
          <w:szCs w:val="18"/>
          <w:lang w:val="es-MX"/>
        </w:rPr>
      </w:pPr>
      <w:r w:rsidRPr="003B7DE1">
        <w:rPr>
          <w:rStyle w:val="Refdenotaalpie"/>
          <w:rFonts w:ascii="Arial" w:hAnsi="Arial" w:cs="Arial"/>
          <w:sz w:val="18"/>
          <w:szCs w:val="18"/>
        </w:rPr>
        <w:footnoteRef/>
      </w:r>
      <w:r w:rsidRPr="003B7DE1">
        <w:rPr>
          <w:rFonts w:ascii="Arial" w:hAnsi="Arial" w:cs="Arial"/>
          <w:sz w:val="18"/>
          <w:szCs w:val="18"/>
        </w:rPr>
        <w:t xml:space="preserve"> Tamayo Jaramillo, Javier, Tratado de responsabilidad civil, T. I, Legis, Bogotá, 2007, p. 287; y T. II, p. 357</w:t>
      </w:r>
    </w:p>
  </w:footnote>
  <w:footnote w:id="69">
    <w:p w14:paraId="6A69A738" w14:textId="72FAD195" w:rsidR="00FE4CA3" w:rsidRPr="003B7DE1" w:rsidRDefault="00FE4CA3"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Sentencia C-836-2001, art. 7° CGP</w:t>
      </w:r>
    </w:p>
  </w:footnote>
  <w:footnote w:id="70">
    <w:p w14:paraId="733CE144" w14:textId="2012B1F9" w:rsidR="003E580C" w:rsidRPr="003B7DE1" w:rsidRDefault="003E580C" w:rsidP="003B7DE1">
      <w:pPr>
        <w:pStyle w:val="Textonotapie"/>
        <w:jc w:val="both"/>
        <w:rPr>
          <w:rFonts w:ascii="Arial" w:hAnsi="Arial" w:cs="Arial"/>
          <w:sz w:val="18"/>
          <w:szCs w:val="18"/>
          <w:lang w:val="es-MX"/>
        </w:rPr>
      </w:pPr>
      <w:r w:rsidRPr="003B7DE1">
        <w:rPr>
          <w:rStyle w:val="Refdenotaalpie"/>
          <w:rFonts w:ascii="Arial" w:hAnsi="Arial" w:cs="Arial"/>
          <w:sz w:val="18"/>
          <w:szCs w:val="18"/>
        </w:rPr>
        <w:footnoteRef/>
      </w:r>
      <w:r w:rsidRPr="003B7DE1">
        <w:rPr>
          <w:rFonts w:ascii="Arial" w:hAnsi="Arial" w:cs="Arial"/>
          <w:sz w:val="18"/>
          <w:szCs w:val="18"/>
        </w:rPr>
        <w:t xml:space="preserve"> </w:t>
      </w:r>
      <w:r w:rsidR="001B7E83" w:rsidRPr="003B7DE1">
        <w:rPr>
          <w:rFonts w:ascii="Arial" w:hAnsi="Arial" w:cs="Arial"/>
          <w:sz w:val="18"/>
          <w:szCs w:val="18"/>
          <w:lang w:val="es-MX"/>
        </w:rPr>
        <w:t xml:space="preserve">Tribunal Superior de Pereira, Sala Civil-Familia, sentencia del 22 de octubre de 2019, radicado </w:t>
      </w:r>
      <w:r w:rsidR="00B831FB" w:rsidRPr="003B7DE1">
        <w:rPr>
          <w:rFonts w:ascii="Arial" w:hAnsi="Arial" w:cs="Arial"/>
          <w:smallCaps/>
          <w:sz w:val="18"/>
          <w:szCs w:val="18"/>
        </w:rPr>
        <w:t>05001-31-03-017-2011-00496-01</w:t>
      </w:r>
      <w:r w:rsidR="001B7E83" w:rsidRPr="003B7DE1">
        <w:rPr>
          <w:rFonts w:ascii="Arial" w:hAnsi="Arial" w:cs="Arial"/>
          <w:sz w:val="18"/>
          <w:szCs w:val="18"/>
          <w:lang w:val="es-MX"/>
        </w:rPr>
        <w:t xml:space="preserve">, M.P. </w:t>
      </w:r>
      <w:proofErr w:type="spellStart"/>
      <w:r w:rsidR="001B7E83" w:rsidRPr="003B7DE1">
        <w:rPr>
          <w:rFonts w:ascii="Arial" w:hAnsi="Arial" w:cs="Arial"/>
          <w:sz w:val="18"/>
          <w:szCs w:val="18"/>
          <w:lang w:val="es-MX"/>
        </w:rPr>
        <w:t>Duberney</w:t>
      </w:r>
      <w:proofErr w:type="spellEnd"/>
      <w:r w:rsidR="001B7E83" w:rsidRPr="003B7DE1">
        <w:rPr>
          <w:rFonts w:ascii="Arial" w:hAnsi="Arial" w:cs="Arial"/>
          <w:sz w:val="18"/>
          <w:szCs w:val="18"/>
          <w:lang w:val="es-MX"/>
        </w:rPr>
        <w:t xml:space="preserve"> Grisales Herrera. </w:t>
      </w:r>
    </w:p>
  </w:footnote>
  <w:footnote w:id="71">
    <w:p w14:paraId="0CAB980A" w14:textId="36D0EDA2" w:rsidR="00F37CD0" w:rsidRPr="003B7DE1" w:rsidRDefault="00F37CD0"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Así se analizó en la citada sentencia del 9 de septiembre de 2010, en la que se mencionó aquella del 24 de junio de 2008, S-055-2008, radicado 2000-01141</w:t>
      </w:r>
    </w:p>
  </w:footnote>
  <w:footnote w:id="72">
    <w:p w14:paraId="36C1F1DF" w14:textId="4E447CF3" w:rsidR="00B278E4" w:rsidRPr="003B7DE1" w:rsidRDefault="00B278E4" w:rsidP="003B7DE1">
      <w:pPr>
        <w:pStyle w:val="Textonotapie"/>
        <w:jc w:val="both"/>
        <w:rPr>
          <w:rFonts w:ascii="Arial" w:hAnsi="Arial" w:cs="Arial"/>
          <w:sz w:val="18"/>
          <w:szCs w:val="18"/>
        </w:rPr>
      </w:pPr>
      <w:r w:rsidRPr="003B7DE1">
        <w:rPr>
          <w:rStyle w:val="Refdenotaalpie"/>
          <w:rFonts w:ascii="Arial" w:hAnsi="Arial" w:cs="Arial"/>
          <w:sz w:val="18"/>
          <w:szCs w:val="18"/>
        </w:rPr>
        <w:footnoteRef/>
      </w:r>
      <w:r w:rsidRPr="003B7DE1">
        <w:rPr>
          <w:rFonts w:ascii="Arial" w:hAnsi="Arial" w:cs="Arial"/>
          <w:sz w:val="18"/>
          <w:szCs w:val="18"/>
        </w:rPr>
        <w:t xml:space="preserve"> También en la sentencia del 9 de septiembre de 2010.</w:t>
      </w:r>
    </w:p>
  </w:footnote>
  <w:footnote w:id="73">
    <w:p w14:paraId="793E0307" w14:textId="1F460E51" w:rsidR="004E3813" w:rsidRPr="003B7DE1" w:rsidRDefault="004E3813" w:rsidP="003B7DE1">
      <w:pPr>
        <w:pStyle w:val="Textonotapie"/>
        <w:jc w:val="both"/>
        <w:rPr>
          <w:rFonts w:ascii="Arial" w:hAnsi="Arial" w:cs="Arial"/>
          <w:sz w:val="18"/>
          <w:szCs w:val="18"/>
          <w:lang w:val="es-MX"/>
        </w:rPr>
      </w:pPr>
      <w:r w:rsidRPr="003B7DE1">
        <w:rPr>
          <w:rStyle w:val="Refdenotaalpie"/>
          <w:rFonts w:ascii="Arial" w:hAnsi="Arial" w:cs="Arial"/>
          <w:sz w:val="18"/>
          <w:szCs w:val="18"/>
        </w:rPr>
        <w:footnoteRef/>
      </w:r>
      <w:r w:rsidRPr="003B7DE1">
        <w:rPr>
          <w:rFonts w:ascii="Arial" w:hAnsi="Arial" w:cs="Arial"/>
          <w:sz w:val="18"/>
          <w:szCs w:val="18"/>
        </w:rPr>
        <w:t xml:space="preserve"> En la </w:t>
      </w:r>
      <w:r w:rsidRPr="003B7DE1">
        <w:rPr>
          <w:rFonts w:ascii="Arial" w:hAnsi="Arial" w:cs="Arial"/>
          <w:sz w:val="18"/>
          <w:szCs w:val="18"/>
          <w:lang w:val="es-MX"/>
        </w:rPr>
        <w:t>sentencia del 22 de octubre de 2019 citada</w:t>
      </w:r>
    </w:p>
  </w:footnote>
  <w:footnote w:id="74">
    <w:p w14:paraId="1A877907" w14:textId="77EDCFF8" w:rsidR="00653093" w:rsidRPr="003B7DE1" w:rsidRDefault="00653093" w:rsidP="003B7DE1">
      <w:pPr>
        <w:pStyle w:val="Textonotapie"/>
        <w:jc w:val="both"/>
        <w:rPr>
          <w:rFonts w:ascii="Arial" w:hAnsi="Arial" w:cs="Arial"/>
          <w:sz w:val="18"/>
          <w:szCs w:val="18"/>
          <w:lang w:val="es-MX"/>
        </w:rPr>
      </w:pPr>
      <w:r w:rsidRPr="003B7DE1">
        <w:rPr>
          <w:rStyle w:val="Refdenotaalpie"/>
          <w:rFonts w:ascii="Arial" w:hAnsi="Arial" w:cs="Arial"/>
          <w:sz w:val="18"/>
          <w:szCs w:val="18"/>
        </w:rPr>
        <w:footnoteRef/>
      </w:r>
      <w:r w:rsidRPr="003B7DE1">
        <w:rPr>
          <w:rFonts w:ascii="Arial" w:hAnsi="Arial" w:cs="Arial"/>
          <w:sz w:val="18"/>
          <w:szCs w:val="18"/>
        </w:rPr>
        <w:t xml:space="preserve"> Giraldo Gómez, Luis Felipe. La pérdida de la oportunidad en la responsabilidad civil. Universidad Externado de Colombia, </w:t>
      </w:r>
      <w:r w:rsidR="00CC2FFE" w:rsidRPr="003B7DE1">
        <w:rPr>
          <w:rFonts w:ascii="Arial" w:hAnsi="Arial" w:cs="Arial"/>
          <w:sz w:val="18"/>
          <w:szCs w:val="18"/>
        </w:rPr>
        <w:t xml:space="preserve">Bogotá, </w:t>
      </w:r>
      <w:r w:rsidR="00EF5845" w:rsidRPr="003B7DE1">
        <w:rPr>
          <w:rFonts w:ascii="Arial" w:hAnsi="Arial" w:cs="Arial"/>
          <w:sz w:val="18"/>
          <w:szCs w:val="18"/>
        </w:rPr>
        <w:t>2018, p.</w:t>
      </w:r>
      <w:r w:rsidR="00CC2FFE" w:rsidRPr="003B7DE1">
        <w:rPr>
          <w:rFonts w:ascii="Arial" w:hAnsi="Arial" w:cs="Arial"/>
          <w:sz w:val="18"/>
          <w:szCs w:val="18"/>
        </w:rPr>
        <w:t xml:space="preserve"> 380</w:t>
      </w:r>
    </w:p>
  </w:footnote>
  <w:footnote w:id="75">
    <w:p w14:paraId="46CA5BA8" w14:textId="6B1A682F" w:rsidR="00C91F09" w:rsidRDefault="00C91F09" w:rsidP="003B7DE1">
      <w:pPr>
        <w:pStyle w:val="Textonotapie"/>
        <w:jc w:val="both"/>
      </w:pPr>
      <w:r w:rsidRPr="003B7DE1">
        <w:rPr>
          <w:rStyle w:val="Refdenotaalpie"/>
          <w:rFonts w:ascii="Arial" w:hAnsi="Arial" w:cs="Arial"/>
          <w:sz w:val="18"/>
          <w:szCs w:val="18"/>
        </w:rPr>
        <w:footnoteRef/>
      </w:r>
      <w:r w:rsidRPr="003B7DE1">
        <w:rPr>
          <w:rFonts w:ascii="Arial" w:hAnsi="Arial" w:cs="Arial"/>
          <w:sz w:val="18"/>
          <w:szCs w:val="18"/>
        </w:rPr>
        <w:t xml:space="preserve"> 01.PRIMERA INSTANCIA, 01CuadernoPriuncipal… Folios447-619, </w:t>
      </w:r>
      <w:proofErr w:type="spellStart"/>
      <w:r w:rsidRPr="003B7DE1">
        <w:rPr>
          <w:rFonts w:ascii="Arial" w:hAnsi="Arial" w:cs="Arial"/>
          <w:sz w:val="18"/>
          <w:szCs w:val="18"/>
        </w:rPr>
        <w:t>arch</w:t>
      </w:r>
      <w:proofErr w:type="spellEnd"/>
      <w:r w:rsidRPr="003B7DE1">
        <w:rPr>
          <w:rFonts w:ascii="Arial" w:hAnsi="Arial" w:cs="Arial"/>
          <w:sz w:val="18"/>
          <w:szCs w:val="18"/>
        </w:rPr>
        <w:t>.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446E" w14:textId="77777777" w:rsidR="004E3813" w:rsidRDefault="004E3813" w:rsidP="00AF3F8A">
    <w:pPr>
      <w:pStyle w:val="Encabezado"/>
      <w:jc w:val="center"/>
      <w:rPr>
        <w:rFonts w:ascii="Georgia" w:eastAsia="Malgun Gothic" w:hAnsi="Georgia" w:cs="Estrangelo Edessa"/>
        <w:sz w:val="28"/>
        <w:szCs w:val="28"/>
        <w:lang w:val="es-419"/>
      </w:rPr>
    </w:pPr>
  </w:p>
  <w:p w14:paraId="6CD5DFCF" w14:textId="77777777" w:rsidR="004E3813" w:rsidRDefault="004E3813" w:rsidP="00AF3F8A">
    <w:pPr>
      <w:pStyle w:val="Encabezado"/>
      <w:jc w:val="center"/>
      <w:rPr>
        <w:rFonts w:ascii="Georgia" w:eastAsia="Malgun Gothic" w:hAnsi="Georgia" w:cs="Estrangelo Edessa"/>
        <w:sz w:val="28"/>
        <w:szCs w:val="28"/>
        <w:lang w:val="es-419"/>
      </w:rPr>
    </w:pPr>
  </w:p>
  <w:p w14:paraId="3B843EE4" w14:textId="77777777" w:rsidR="004E3813" w:rsidRDefault="004E3813" w:rsidP="00AF3F8A">
    <w:pPr>
      <w:pStyle w:val="Encabezado"/>
      <w:jc w:val="center"/>
      <w:rPr>
        <w:rFonts w:ascii="Georgia" w:eastAsia="Malgun Gothic" w:hAnsi="Georgia" w:cs="Estrangelo Edessa"/>
        <w:sz w:val="28"/>
        <w:szCs w:val="28"/>
        <w:lang w:val="es-419"/>
      </w:rPr>
    </w:pPr>
  </w:p>
  <w:p w14:paraId="4EFC9D46" w14:textId="470C93D5" w:rsidR="00DF4A0D" w:rsidRPr="004E3813" w:rsidRDefault="004E3813" w:rsidP="00AF3F8A">
    <w:pPr>
      <w:pStyle w:val="Encabezado"/>
      <w:jc w:val="center"/>
      <w:rPr>
        <w:sz w:val="20"/>
        <w:szCs w:val="20"/>
      </w:rPr>
    </w:pPr>
    <w:r>
      <w:rPr>
        <w:rFonts w:ascii="Georgia" w:eastAsia="Malgun Gothic" w:hAnsi="Georgia" w:cs="Estrangelo Edessa"/>
        <w:sz w:val="28"/>
        <w:szCs w:val="28"/>
        <w:lang w:val="es-419"/>
      </w:rPr>
      <w:tab/>
    </w:r>
    <w:r>
      <w:rPr>
        <w:rFonts w:ascii="Georgia" w:eastAsia="Malgun Gothic" w:hAnsi="Georgia" w:cs="Estrangelo Edessa"/>
        <w:sz w:val="28"/>
        <w:szCs w:val="28"/>
        <w:lang w:val="es-419"/>
      </w:rPr>
      <w:tab/>
    </w:r>
    <w:r w:rsidRPr="00D14138">
      <w:rPr>
        <w:rFonts w:ascii="Georgia" w:eastAsia="Malgun Gothic" w:hAnsi="Georgia" w:cs="Estrangelo Edessa"/>
        <w:color w:val="767171"/>
        <w:sz w:val="20"/>
        <w:szCs w:val="20"/>
        <w:lang w:val="es-419"/>
      </w:rPr>
      <w:t>Rad. 66001310300520130016501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3E25" w14:textId="77777777" w:rsidR="004E3813" w:rsidRDefault="004E3813" w:rsidP="004E3813">
    <w:pPr>
      <w:pStyle w:val="Encabezado"/>
      <w:jc w:val="right"/>
      <w:rPr>
        <w:rFonts w:ascii="Georgia" w:eastAsia="Malgun Gothic" w:hAnsi="Georgia" w:cs="Estrangelo Edessa"/>
        <w:sz w:val="28"/>
        <w:szCs w:val="28"/>
        <w:lang w:val="es-419"/>
      </w:rPr>
    </w:pPr>
  </w:p>
  <w:p w14:paraId="79975C3F" w14:textId="77777777" w:rsidR="004E3813" w:rsidRDefault="004E3813" w:rsidP="004E3813">
    <w:pPr>
      <w:pStyle w:val="Encabezado"/>
      <w:jc w:val="right"/>
      <w:rPr>
        <w:rFonts w:ascii="Georgia" w:eastAsia="Malgun Gothic" w:hAnsi="Georgia" w:cs="Estrangelo Edessa"/>
        <w:sz w:val="28"/>
        <w:szCs w:val="28"/>
        <w:lang w:val="es-419"/>
      </w:rPr>
    </w:pPr>
  </w:p>
  <w:p w14:paraId="11A74620" w14:textId="77777777" w:rsidR="004E3813" w:rsidRPr="00D14138" w:rsidRDefault="004E3813" w:rsidP="004E3813">
    <w:pPr>
      <w:pStyle w:val="Encabezado"/>
      <w:jc w:val="right"/>
      <w:rPr>
        <w:rFonts w:ascii="Georgia" w:eastAsia="Malgun Gothic" w:hAnsi="Georgia" w:cs="Estrangelo Edessa"/>
        <w:color w:val="767171"/>
        <w:sz w:val="20"/>
        <w:szCs w:val="20"/>
        <w:lang w:val="es-419"/>
      </w:rPr>
    </w:pPr>
  </w:p>
  <w:p w14:paraId="1F4F645A" w14:textId="77777777" w:rsidR="004E3813" w:rsidRPr="00D14138" w:rsidRDefault="004E3813" w:rsidP="004E3813">
    <w:pPr>
      <w:pStyle w:val="Encabezado"/>
      <w:jc w:val="right"/>
      <w:rPr>
        <w:rFonts w:ascii="Georgia" w:eastAsia="Malgun Gothic" w:hAnsi="Georgia" w:cs="Estrangelo Edessa"/>
        <w:color w:val="767171"/>
        <w:sz w:val="20"/>
        <w:szCs w:val="20"/>
        <w:lang w:val="es-419"/>
      </w:rPr>
    </w:pPr>
  </w:p>
  <w:p w14:paraId="4A49FE85" w14:textId="5939F3EB" w:rsidR="004E3813" w:rsidRPr="00D14138" w:rsidRDefault="004E3813" w:rsidP="004E3813">
    <w:pPr>
      <w:pStyle w:val="Encabezado"/>
      <w:jc w:val="right"/>
      <w:rPr>
        <w:color w:val="767171"/>
        <w:sz w:val="20"/>
        <w:szCs w:val="20"/>
      </w:rPr>
    </w:pPr>
    <w:r w:rsidRPr="00D14138">
      <w:rPr>
        <w:rFonts w:ascii="Georgia" w:eastAsia="Malgun Gothic" w:hAnsi="Georgia" w:cs="Estrangelo Edessa"/>
        <w:color w:val="767171"/>
        <w:sz w:val="20"/>
        <w:szCs w:val="20"/>
        <w:lang w:val="es-419"/>
      </w:rPr>
      <w:t>Rad. 66001310300520130016501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37F8"/>
    <w:multiLevelType w:val="hybridMultilevel"/>
    <w:tmpl w:val="6D4EDE10"/>
    <w:lvl w:ilvl="0" w:tplc="B7D890E0">
      <w:start w:val="8"/>
      <w:numFmt w:val="lowerRoman"/>
      <w:lvlText w:val="(%1)"/>
      <w:lvlJc w:val="left"/>
      <w:pPr>
        <w:ind w:left="2781" w:hanging="1080"/>
      </w:pPr>
      <w:rPr>
        <w:rFonts w:hint="default"/>
      </w:rPr>
    </w:lvl>
    <w:lvl w:ilvl="1" w:tplc="580A0019" w:tentative="1">
      <w:start w:val="1"/>
      <w:numFmt w:val="lowerLetter"/>
      <w:lvlText w:val="%2."/>
      <w:lvlJc w:val="left"/>
      <w:pPr>
        <w:ind w:left="2781" w:hanging="360"/>
      </w:pPr>
    </w:lvl>
    <w:lvl w:ilvl="2" w:tplc="580A001B" w:tentative="1">
      <w:start w:val="1"/>
      <w:numFmt w:val="lowerRoman"/>
      <w:lvlText w:val="%3."/>
      <w:lvlJc w:val="right"/>
      <w:pPr>
        <w:ind w:left="3501" w:hanging="180"/>
      </w:pPr>
    </w:lvl>
    <w:lvl w:ilvl="3" w:tplc="580A000F" w:tentative="1">
      <w:start w:val="1"/>
      <w:numFmt w:val="decimal"/>
      <w:lvlText w:val="%4."/>
      <w:lvlJc w:val="left"/>
      <w:pPr>
        <w:ind w:left="4221" w:hanging="360"/>
      </w:pPr>
    </w:lvl>
    <w:lvl w:ilvl="4" w:tplc="580A0019" w:tentative="1">
      <w:start w:val="1"/>
      <w:numFmt w:val="lowerLetter"/>
      <w:lvlText w:val="%5."/>
      <w:lvlJc w:val="left"/>
      <w:pPr>
        <w:ind w:left="4941" w:hanging="360"/>
      </w:pPr>
    </w:lvl>
    <w:lvl w:ilvl="5" w:tplc="580A001B" w:tentative="1">
      <w:start w:val="1"/>
      <w:numFmt w:val="lowerRoman"/>
      <w:lvlText w:val="%6."/>
      <w:lvlJc w:val="right"/>
      <w:pPr>
        <w:ind w:left="5661" w:hanging="180"/>
      </w:pPr>
    </w:lvl>
    <w:lvl w:ilvl="6" w:tplc="580A000F" w:tentative="1">
      <w:start w:val="1"/>
      <w:numFmt w:val="decimal"/>
      <w:lvlText w:val="%7."/>
      <w:lvlJc w:val="left"/>
      <w:pPr>
        <w:ind w:left="6381" w:hanging="360"/>
      </w:pPr>
    </w:lvl>
    <w:lvl w:ilvl="7" w:tplc="580A0019" w:tentative="1">
      <w:start w:val="1"/>
      <w:numFmt w:val="lowerLetter"/>
      <w:lvlText w:val="%8."/>
      <w:lvlJc w:val="left"/>
      <w:pPr>
        <w:ind w:left="7101" w:hanging="360"/>
      </w:pPr>
    </w:lvl>
    <w:lvl w:ilvl="8" w:tplc="580A001B" w:tentative="1">
      <w:start w:val="1"/>
      <w:numFmt w:val="lowerRoman"/>
      <w:lvlText w:val="%9."/>
      <w:lvlJc w:val="right"/>
      <w:pPr>
        <w:ind w:left="7821" w:hanging="180"/>
      </w:pPr>
    </w:lvl>
  </w:abstractNum>
  <w:abstractNum w:abstractNumId="1" w15:restartNumberingAfterBreak="0">
    <w:nsid w:val="25DA4E5E"/>
    <w:multiLevelType w:val="hybridMultilevel"/>
    <w:tmpl w:val="5082DBEC"/>
    <w:lvl w:ilvl="0" w:tplc="B2BC5C88">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 w15:restartNumberingAfterBreak="0">
    <w:nsid w:val="34EA34E0"/>
    <w:multiLevelType w:val="hybridMultilevel"/>
    <w:tmpl w:val="BE3445FE"/>
    <w:lvl w:ilvl="0" w:tplc="6E0054DA">
      <w:start w:val="1"/>
      <w:numFmt w:val="low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38DE666A"/>
    <w:multiLevelType w:val="hybridMultilevel"/>
    <w:tmpl w:val="0442BC6E"/>
    <w:lvl w:ilvl="0" w:tplc="E46819B8">
      <w:start w:val="1"/>
      <w:numFmt w:val="lowerRoman"/>
      <w:lvlText w:val="(%1)"/>
      <w:lvlJc w:val="left"/>
      <w:pPr>
        <w:ind w:left="5257" w:hanging="720"/>
      </w:pPr>
      <w:rPr>
        <w:rFonts w:hint="default"/>
      </w:rPr>
    </w:lvl>
    <w:lvl w:ilvl="1" w:tplc="240A0019">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4" w15:restartNumberingAfterBreak="0">
    <w:nsid w:val="39D274CF"/>
    <w:multiLevelType w:val="multilevel"/>
    <w:tmpl w:val="E224444C"/>
    <w:lvl w:ilvl="0">
      <w:start w:val="2"/>
      <w:numFmt w:val="decimal"/>
      <w:lvlText w:val="%1."/>
      <w:lvlJc w:val="left"/>
      <w:pPr>
        <w:ind w:left="825" w:hanging="825"/>
      </w:pPr>
      <w:rPr>
        <w:rFonts w:hint="default"/>
      </w:rPr>
    </w:lvl>
    <w:lvl w:ilvl="1">
      <w:start w:val="14"/>
      <w:numFmt w:val="decimal"/>
      <w:lvlText w:val="%1.%2."/>
      <w:lvlJc w:val="left"/>
      <w:pPr>
        <w:ind w:left="1675" w:hanging="825"/>
      </w:pPr>
      <w:rPr>
        <w:rFonts w:hint="default"/>
      </w:rPr>
    </w:lvl>
    <w:lvl w:ilvl="2">
      <w:start w:val="7"/>
      <w:numFmt w:val="decimal"/>
      <w:lvlText w:val="%1.%2.%3."/>
      <w:lvlJc w:val="left"/>
      <w:pPr>
        <w:ind w:left="2780" w:hanging="108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6050" w:hanging="180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9320" w:hanging="2520"/>
      </w:pPr>
      <w:rPr>
        <w:rFonts w:hint="default"/>
      </w:rPr>
    </w:lvl>
  </w:abstractNum>
  <w:abstractNum w:abstractNumId="5" w15:restartNumberingAfterBreak="0">
    <w:nsid w:val="3B52010B"/>
    <w:multiLevelType w:val="multilevel"/>
    <w:tmpl w:val="987A291C"/>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eorgia" w:hAnsi="Georgia" w:hint="default"/>
        <w:i w:val="0"/>
        <w:color w:val="auto"/>
        <w:sz w:val="28"/>
        <w:szCs w:val="28"/>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6" w15:restartNumberingAfterBreak="0">
    <w:nsid w:val="42D06ACA"/>
    <w:multiLevelType w:val="hybridMultilevel"/>
    <w:tmpl w:val="22C44624"/>
    <w:lvl w:ilvl="0" w:tplc="26D4D8FE">
      <w:start w:val="4"/>
      <w:numFmt w:val="decimal"/>
      <w:lvlText w:val="%1."/>
      <w:lvlJc w:val="left"/>
      <w:pPr>
        <w:ind w:left="720" w:hanging="360"/>
      </w:pPr>
      <w:rPr>
        <w:rFonts w:cs="Courier New"/>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7" w15:restartNumberingAfterBreak="0">
    <w:nsid w:val="44E263D4"/>
    <w:multiLevelType w:val="hybridMultilevel"/>
    <w:tmpl w:val="BEE61084"/>
    <w:lvl w:ilvl="0" w:tplc="F528C77E">
      <w:start w:val="7"/>
      <w:numFmt w:val="lowerRoman"/>
      <w:lvlText w:val="%1)"/>
      <w:lvlJc w:val="left"/>
      <w:pPr>
        <w:ind w:left="3141" w:hanging="720"/>
      </w:pPr>
      <w:rPr>
        <w:rFonts w:hint="default"/>
      </w:rPr>
    </w:lvl>
    <w:lvl w:ilvl="1" w:tplc="580A0019" w:tentative="1">
      <w:start w:val="1"/>
      <w:numFmt w:val="lowerLetter"/>
      <w:lvlText w:val="%2."/>
      <w:lvlJc w:val="left"/>
      <w:pPr>
        <w:ind w:left="3501" w:hanging="360"/>
      </w:pPr>
    </w:lvl>
    <w:lvl w:ilvl="2" w:tplc="580A001B" w:tentative="1">
      <w:start w:val="1"/>
      <w:numFmt w:val="lowerRoman"/>
      <w:lvlText w:val="%3."/>
      <w:lvlJc w:val="right"/>
      <w:pPr>
        <w:ind w:left="4221" w:hanging="180"/>
      </w:pPr>
    </w:lvl>
    <w:lvl w:ilvl="3" w:tplc="580A000F" w:tentative="1">
      <w:start w:val="1"/>
      <w:numFmt w:val="decimal"/>
      <w:lvlText w:val="%4."/>
      <w:lvlJc w:val="left"/>
      <w:pPr>
        <w:ind w:left="4941" w:hanging="360"/>
      </w:pPr>
    </w:lvl>
    <w:lvl w:ilvl="4" w:tplc="580A0019" w:tentative="1">
      <w:start w:val="1"/>
      <w:numFmt w:val="lowerLetter"/>
      <w:lvlText w:val="%5."/>
      <w:lvlJc w:val="left"/>
      <w:pPr>
        <w:ind w:left="5661" w:hanging="360"/>
      </w:pPr>
    </w:lvl>
    <w:lvl w:ilvl="5" w:tplc="580A001B" w:tentative="1">
      <w:start w:val="1"/>
      <w:numFmt w:val="lowerRoman"/>
      <w:lvlText w:val="%6."/>
      <w:lvlJc w:val="right"/>
      <w:pPr>
        <w:ind w:left="6381" w:hanging="180"/>
      </w:pPr>
    </w:lvl>
    <w:lvl w:ilvl="6" w:tplc="580A000F" w:tentative="1">
      <w:start w:val="1"/>
      <w:numFmt w:val="decimal"/>
      <w:lvlText w:val="%7."/>
      <w:lvlJc w:val="left"/>
      <w:pPr>
        <w:ind w:left="7101" w:hanging="360"/>
      </w:pPr>
    </w:lvl>
    <w:lvl w:ilvl="7" w:tplc="580A0019" w:tentative="1">
      <w:start w:val="1"/>
      <w:numFmt w:val="lowerLetter"/>
      <w:lvlText w:val="%8."/>
      <w:lvlJc w:val="left"/>
      <w:pPr>
        <w:ind w:left="7821" w:hanging="360"/>
      </w:pPr>
    </w:lvl>
    <w:lvl w:ilvl="8" w:tplc="580A001B" w:tentative="1">
      <w:start w:val="1"/>
      <w:numFmt w:val="lowerRoman"/>
      <w:lvlText w:val="%9."/>
      <w:lvlJc w:val="right"/>
      <w:pPr>
        <w:ind w:left="8541" w:hanging="180"/>
      </w:pPr>
    </w:lvl>
  </w:abstractNum>
  <w:abstractNum w:abstractNumId="8" w15:restartNumberingAfterBreak="0">
    <w:nsid w:val="61CF0771"/>
    <w:multiLevelType w:val="hybridMultilevel"/>
    <w:tmpl w:val="E042EFA4"/>
    <w:lvl w:ilvl="0" w:tplc="1A7200D8">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9" w15:restartNumberingAfterBreak="0">
    <w:nsid w:val="63B44CB2"/>
    <w:multiLevelType w:val="multilevel"/>
    <w:tmpl w:val="1EA02EBA"/>
    <w:lvl w:ilvl="0">
      <w:start w:val="2"/>
      <w:numFmt w:val="decimal"/>
      <w:lvlText w:val="%1."/>
      <w:lvlJc w:val="left"/>
      <w:pPr>
        <w:ind w:left="570" w:hanging="570"/>
      </w:pPr>
      <w:rPr>
        <w:rFonts w:hint="default"/>
      </w:rPr>
    </w:lvl>
    <w:lvl w:ilvl="1">
      <w:start w:val="13"/>
      <w:numFmt w:val="decimal"/>
      <w:lvlText w:val="%1.%2."/>
      <w:lvlJc w:val="left"/>
      <w:pPr>
        <w:ind w:left="313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4067" w:hanging="2160"/>
      </w:pPr>
      <w:rPr>
        <w:rFonts w:hint="default"/>
      </w:rPr>
    </w:lvl>
    <w:lvl w:ilvl="8">
      <w:start w:val="1"/>
      <w:numFmt w:val="decimal"/>
      <w:lvlText w:val="%1.%2.%3.%4.%5.%6.%7.%8.%9."/>
      <w:lvlJc w:val="left"/>
      <w:pPr>
        <w:ind w:left="15768" w:hanging="2160"/>
      </w:pPr>
      <w:rPr>
        <w:rFonts w:hint="default"/>
      </w:rPr>
    </w:lvl>
  </w:abstractNum>
  <w:abstractNum w:abstractNumId="10" w15:restartNumberingAfterBreak="0">
    <w:nsid w:val="70B81563"/>
    <w:multiLevelType w:val="hybridMultilevel"/>
    <w:tmpl w:val="5000896E"/>
    <w:lvl w:ilvl="0" w:tplc="DD2A4ADC">
      <w:numFmt w:val="bullet"/>
      <w:lvlText w:val="-"/>
      <w:lvlJc w:val="left"/>
      <w:pPr>
        <w:ind w:left="720" w:hanging="360"/>
      </w:pPr>
      <w:rPr>
        <w:rFonts w:ascii="Gadugi" w:eastAsiaTheme="minorHAnsi" w:hAnsi="Gadug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3387B67"/>
    <w:multiLevelType w:val="hybridMultilevel"/>
    <w:tmpl w:val="D91C93FA"/>
    <w:lvl w:ilvl="0" w:tplc="3B4084F2">
      <w:start w:val="2"/>
      <w:numFmt w:val="bullet"/>
      <w:lvlText w:val="-"/>
      <w:lvlJc w:val="left"/>
      <w:pPr>
        <w:ind w:left="2061" w:hanging="360"/>
      </w:pPr>
      <w:rPr>
        <w:rFonts w:ascii="Gadugi" w:eastAsia="Calibri" w:hAnsi="Gadugi" w:cs="Times New Roman" w:hint="default"/>
      </w:rPr>
    </w:lvl>
    <w:lvl w:ilvl="1" w:tplc="240A0003" w:tentative="1">
      <w:start w:val="1"/>
      <w:numFmt w:val="bullet"/>
      <w:lvlText w:val="o"/>
      <w:lvlJc w:val="left"/>
      <w:pPr>
        <w:ind w:left="2781" w:hanging="360"/>
      </w:pPr>
      <w:rPr>
        <w:rFonts w:ascii="Courier New" w:hAnsi="Courier New" w:cs="Courier New" w:hint="default"/>
      </w:rPr>
    </w:lvl>
    <w:lvl w:ilvl="2" w:tplc="240A0005" w:tentative="1">
      <w:start w:val="1"/>
      <w:numFmt w:val="bullet"/>
      <w:lvlText w:val=""/>
      <w:lvlJc w:val="left"/>
      <w:pPr>
        <w:ind w:left="3501" w:hanging="360"/>
      </w:pPr>
      <w:rPr>
        <w:rFonts w:ascii="Wingdings" w:hAnsi="Wingdings" w:hint="default"/>
      </w:rPr>
    </w:lvl>
    <w:lvl w:ilvl="3" w:tplc="240A0001" w:tentative="1">
      <w:start w:val="1"/>
      <w:numFmt w:val="bullet"/>
      <w:lvlText w:val=""/>
      <w:lvlJc w:val="left"/>
      <w:pPr>
        <w:ind w:left="4221" w:hanging="360"/>
      </w:pPr>
      <w:rPr>
        <w:rFonts w:ascii="Symbol" w:hAnsi="Symbol" w:hint="default"/>
      </w:rPr>
    </w:lvl>
    <w:lvl w:ilvl="4" w:tplc="240A0003" w:tentative="1">
      <w:start w:val="1"/>
      <w:numFmt w:val="bullet"/>
      <w:lvlText w:val="o"/>
      <w:lvlJc w:val="left"/>
      <w:pPr>
        <w:ind w:left="4941" w:hanging="360"/>
      </w:pPr>
      <w:rPr>
        <w:rFonts w:ascii="Courier New" w:hAnsi="Courier New" w:cs="Courier New" w:hint="default"/>
      </w:rPr>
    </w:lvl>
    <w:lvl w:ilvl="5" w:tplc="240A0005" w:tentative="1">
      <w:start w:val="1"/>
      <w:numFmt w:val="bullet"/>
      <w:lvlText w:val=""/>
      <w:lvlJc w:val="left"/>
      <w:pPr>
        <w:ind w:left="5661" w:hanging="360"/>
      </w:pPr>
      <w:rPr>
        <w:rFonts w:ascii="Wingdings" w:hAnsi="Wingdings" w:hint="default"/>
      </w:rPr>
    </w:lvl>
    <w:lvl w:ilvl="6" w:tplc="240A0001" w:tentative="1">
      <w:start w:val="1"/>
      <w:numFmt w:val="bullet"/>
      <w:lvlText w:val=""/>
      <w:lvlJc w:val="left"/>
      <w:pPr>
        <w:ind w:left="6381" w:hanging="360"/>
      </w:pPr>
      <w:rPr>
        <w:rFonts w:ascii="Symbol" w:hAnsi="Symbol" w:hint="default"/>
      </w:rPr>
    </w:lvl>
    <w:lvl w:ilvl="7" w:tplc="240A0003" w:tentative="1">
      <w:start w:val="1"/>
      <w:numFmt w:val="bullet"/>
      <w:lvlText w:val="o"/>
      <w:lvlJc w:val="left"/>
      <w:pPr>
        <w:ind w:left="7101" w:hanging="360"/>
      </w:pPr>
      <w:rPr>
        <w:rFonts w:ascii="Courier New" w:hAnsi="Courier New" w:cs="Courier New" w:hint="default"/>
      </w:rPr>
    </w:lvl>
    <w:lvl w:ilvl="8" w:tplc="240A0005" w:tentative="1">
      <w:start w:val="1"/>
      <w:numFmt w:val="bullet"/>
      <w:lvlText w:val=""/>
      <w:lvlJc w:val="left"/>
      <w:pPr>
        <w:ind w:left="7821" w:hanging="360"/>
      </w:pPr>
      <w:rPr>
        <w:rFonts w:ascii="Wingdings" w:hAnsi="Wingdings" w:hint="default"/>
      </w:rPr>
    </w:lvl>
  </w:abstractNum>
  <w:num w:numId="1">
    <w:abstractNumId w:val="5"/>
  </w:num>
  <w:num w:numId="2">
    <w:abstractNumId w:val="10"/>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9"/>
  </w:num>
  <w:num w:numId="7">
    <w:abstractNumId w:val="11"/>
  </w:num>
  <w:num w:numId="8">
    <w:abstractNumId w:val="3"/>
  </w:num>
  <w:num w:numId="9">
    <w:abstractNumId w:val="2"/>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F0"/>
    <w:rsid w:val="000001D6"/>
    <w:rsid w:val="000005D0"/>
    <w:rsid w:val="0000222F"/>
    <w:rsid w:val="000027EF"/>
    <w:rsid w:val="00002954"/>
    <w:rsid w:val="0000465B"/>
    <w:rsid w:val="000174A3"/>
    <w:rsid w:val="000201A5"/>
    <w:rsid w:val="00022B21"/>
    <w:rsid w:val="00024985"/>
    <w:rsid w:val="00024B51"/>
    <w:rsid w:val="00030486"/>
    <w:rsid w:val="000307BE"/>
    <w:rsid w:val="00030962"/>
    <w:rsid w:val="000312BE"/>
    <w:rsid w:val="00031B97"/>
    <w:rsid w:val="000360F4"/>
    <w:rsid w:val="00037E3A"/>
    <w:rsid w:val="00041671"/>
    <w:rsid w:val="00043136"/>
    <w:rsid w:val="00045A17"/>
    <w:rsid w:val="000465A4"/>
    <w:rsid w:val="00046873"/>
    <w:rsid w:val="00050DC6"/>
    <w:rsid w:val="00053AB5"/>
    <w:rsid w:val="000544D3"/>
    <w:rsid w:val="000547E0"/>
    <w:rsid w:val="00055ABD"/>
    <w:rsid w:val="000629CB"/>
    <w:rsid w:val="00065AEA"/>
    <w:rsid w:val="00065FF7"/>
    <w:rsid w:val="000700E2"/>
    <w:rsid w:val="0007018A"/>
    <w:rsid w:val="00074571"/>
    <w:rsid w:val="000761B5"/>
    <w:rsid w:val="00076875"/>
    <w:rsid w:val="0007699D"/>
    <w:rsid w:val="0008064D"/>
    <w:rsid w:val="000813C4"/>
    <w:rsid w:val="000822E5"/>
    <w:rsid w:val="00084660"/>
    <w:rsid w:val="00084A9A"/>
    <w:rsid w:val="0008653B"/>
    <w:rsid w:val="00092D90"/>
    <w:rsid w:val="000939B9"/>
    <w:rsid w:val="00093CA4"/>
    <w:rsid w:val="0009615E"/>
    <w:rsid w:val="000A53F6"/>
    <w:rsid w:val="000A5A44"/>
    <w:rsid w:val="000B400A"/>
    <w:rsid w:val="000B779F"/>
    <w:rsid w:val="000C03AD"/>
    <w:rsid w:val="000C0650"/>
    <w:rsid w:val="000C0F81"/>
    <w:rsid w:val="000C28EB"/>
    <w:rsid w:val="000C58B6"/>
    <w:rsid w:val="000D1762"/>
    <w:rsid w:val="000D3CF3"/>
    <w:rsid w:val="000D7983"/>
    <w:rsid w:val="000E0F34"/>
    <w:rsid w:val="000E3202"/>
    <w:rsid w:val="000E5DCF"/>
    <w:rsid w:val="000E5E95"/>
    <w:rsid w:val="000F0372"/>
    <w:rsid w:val="000F424D"/>
    <w:rsid w:val="000F607D"/>
    <w:rsid w:val="000F76DD"/>
    <w:rsid w:val="00103050"/>
    <w:rsid w:val="00103D0D"/>
    <w:rsid w:val="00105307"/>
    <w:rsid w:val="00105976"/>
    <w:rsid w:val="00107F66"/>
    <w:rsid w:val="00111F82"/>
    <w:rsid w:val="00111F87"/>
    <w:rsid w:val="00112F75"/>
    <w:rsid w:val="00114101"/>
    <w:rsid w:val="001144C5"/>
    <w:rsid w:val="00115D95"/>
    <w:rsid w:val="00117455"/>
    <w:rsid w:val="0012397D"/>
    <w:rsid w:val="00127048"/>
    <w:rsid w:val="00130C76"/>
    <w:rsid w:val="00130C7F"/>
    <w:rsid w:val="001340C2"/>
    <w:rsid w:val="00136E7C"/>
    <w:rsid w:val="0014293D"/>
    <w:rsid w:val="0014631B"/>
    <w:rsid w:val="00151752"/>
    <w:rsid w:val="00153444"/>
    <w:rsid w:val="0015618C"/>
    <w:rsid w:val="00157119"/>
    <w:rsid w:val="001615B5"/>
    <w:rsid w:val="00166FE4"/>
    <w:rsid w:val="001703FA"/>
    <w:rsid w:val="00175DE2"/>
    <w:rsid w:val="00180970"/>
    <w:rsid w:val="00180CDD"/>
    <w:rsid w:val="0018116D"/>
    <w:rsid w:val="0018241C"/>
    <w:rsid w:val="00183143"/>
    <w:rsid w:val="001836D1"/>
    <w:rsid w:val="0018744B"/>
    <w:rsid w:val="001913B7"/>
    <w:rsid w:val="0019364D"/>
    <w:rsid w:val="001A02AE"/>
    <w:rsid w:val="001A127F"/>
    <w:rsid w:val="001A5853"/>
    <w:rsid w:val="001A7545"/>
    <w:rsid w:val="001A7D57"/>
    <w:rsid w:val="001B18AD"/>
    <w:rsid w:val="001B1B4C"/>
    <w:rsid w:val="001B388E"/>
    <w:rsid w:val="001B45AC"/>
    <w:rsid w:val="001B7E83"/>
    <w:rsid w:val="001C44D3"/>
    <w:rsid w:val="001C5990"/>
    <w:rsid w:val="001D0071"/>
    <w:rsid w:val="001D200E"/>
    <w:rsid w:val="001D36B9"/>
    <w:rsid w:val="001E0EBF"/>
    <w:rsid w:val="001E240F"/>
    <w:rsid w:val="001E2D3B"/>
    <w:rsid w:val="001E4BB2"/>
    <w:rsid w:val="001E6404"/>
    <w:rsid w:val="001E6856"/>
    <w:rsid w:val="001E6881"/>
    <w:rsid w:val="001E6ECB"/>
    <w:rsid w:val="001F01E3"/>
    <w:rsid w:val="001F0B45"/>
    <w:rsid w:val="001F463C"/>
    <w:rsid w:val="001F67CF"/>
    <w:rsid w:val="001F72CE"/>
    <w:rsid w:val="00201316"/>
    <w:rsid w:val="00207E0E"/>
    <w:rsid w:val="00214033"/>
    <w:rsid w:val="0021525C"/>
    <w:rsid w:val="00216016"/>
    <w:rsid w:val="002179D9"/>
    <w:rsid w:val="00220CD1"/>
    <w:rsid w:val="00220F04"/>
    <w:rsid w:val="00223C03"/>
    <w:rsid w:val="00227A4A"/>
    <w:rsid w:val="002305CF"/>
    <w:rsid w:val="002325C5"/>
    <w:rsid w:val="00232AE6"/>
    <w:rsid w:val="00235C0D"/>
    <w:rsid w:val="00240134"/>
    <w:rsid w:val="00240B03"/>
    <w:rsid w:val="002445E6"/>
    <w:rsid w:val="002449D6"/>
    <w:rsid w:val="002521BB"/>
    <w:rsid w:val="00264C8F"/>
    <w:rsid w:val="00265C64"/>
    <w:rsid w:val="00267412"/>
    <w:rsid w:val="0027031D"/>
    <w:rsid w:val="0027147B"/>
    <w:rsid w:val="00272B47"/>
    <w:rsid w:val="00272B6F"/>
    <w:rsid w:val="0027450B"/>
    <w:rsid w:val="00277ED7"/>
    <w:rsid w:val="00282774"/>
    <w:rsid w:val="002849B3"/>
    <w:rsid w:val="00285137"/>
    <w:rsid w:val="002902D7"/>
    <w:rsid w:val="00290C46"/>
    <w:rsid w:val="00291B9C"/>
    <w:rsid w:val="002A0B7D"/>
    <w:rsid w:val="002A47FD"/>
    <w:rsid w:val="002B2521"/>
    <w:rsid w:val="002B4710"/>
    <w:rsid w:val="002B4B09"/>
    <w:rsid w:val="002B68F3"/>
    <w:rsid w:val="002C07C8"/>
    <w:rsid w:val="002C453D"/>
    <w:rsid w:val="002C69D6"/>
    <w:rsid w:val="002C7211"/>
    <w:rsid w:val="002D0F73"/>
    <w:rsid w:val="002D149D"/>
    <w:rsid w:val="002D442F"/>
    <w:rsid w:val="002D6883"/>
    <w:rsid w:val="002E05C8"/>
    <w:rsid w:val="002E2CE5"/>
    <w:rsid w:val="002F0746"/>
    <w:rsid w:val="002F0777"/>
    <w:rsid w:val="002F1A98"/>
    <w:rsid w:val="002F2FE1"/>
    <w:rsid w:val="002F4A46"/>
    <w:rsid w:val="002F67B3"/>
    <w:rsid w:val="002F7E1E"/>
    <w:rsid w:val="003066E7"/>
    <w:rsid w:val="00310F7C"/>
    <w:rsid w:val="003252CD"/>
    <w:rsid w:val="0033096E"/>
    <w:rsid w:val="00330DA2"/>
    <w:rsid w:val="003356A3"/>
    <w:rsid w:val="00337517"/>
    <w:rsid w:val="0034061A"/>
    <w:rsid w:val="00342EE6"/>
    <w:rsid w:val="003513A3"/>
    <w:rsid w:val="00351E7E"/>
    <w:rsid w:val="003521BE"/>
    <w:rsid w:val="00353872"/>
    <w:rsid w:val="00355FDB"/>
    <w:rsid w:val="003617F3"/>
    <w:rsid w:val="00361FC0"/>
    <w:rsid w:val="00362F97"/>
    <w:rsid w:val="003636AB"/>
    <w:rsid w:val="00363B16"/>
    <w:rsid w:val="00364EB7"/>
    <w:rsid w:val="00367A06"/>
    <w:rsid w:val="00367CA2"/>
    <w:rsid w:val="00377713"/>
    <w:rsid w:val="00380718"/>
    <w:rsid w:val="0038379E"/>
    <w:rsid w:val="003846AC"/>
    <w:rsid w:val="003869B8"/>
    <w:rsid w:val="00387E7A"/>
    <w:rsid w:val="003907E1"/>
    <w:rsid w:val="00390E27"/>
    <w:rsid w:val="00390F13"/>
    <w:rsid w:val="003A11EF"/>
    <w:rsid w:val="003A2784"/>
    <w:rsid w:val="003A719D"/>
    <w:rsid w:val="003B0B51"/>
    <w:rsid w:val="003B3B1F"/>
    <w:rsid w:val="003B5517"/>
    <w:rsid w:val="003B7DE1"/>
    <w:rsid w:val="003C151F"/>
    <w:rsid w:val="003C2500"/>
    <w:rsid w:val="003C26DE"/>
    <w:rsid w:val="003D4180"/>
    <w:rsid w:val="003D470D"/>
    <w:rsid w:val="003E107C"/>
    <w:rsid w:val="003E2C6A"/>
    <w:rsid w:val="003E3647"/>
    <w:rsid w:val="003E5676"/>
    <w:rsid w:val="003E580C"/>
    <w:rsid w:val="003E6374"/>
    <w:rsid w:val="00401328"/>
    <w:rsid w:val="004016AD"/>
    <w:rsid w:val="0040356F"/>
    <w:rsid w:val="004035BE"/>
    <w:rsid w:val="00405446"/>
    <w:rsid w:val="004111DE"/>
    <w:rsid w:val="00412CCB"/>
    <w:rsid w:val="00413EB6"/>
    <w:rsid w:val="004168CD"/>
    <w:rsid w:val="00427017"/>
    <w:rsid w:val="00433D93"/>
    <w:rsid w:val="00434750"/>
    <w:rsid w:val="00436EAB"/>
    <w:rsid w:val="00437E4F"/>
    <w:rsid w:val="00442048"/>
    <w:rsid w:val="00443793"/>
    <w:rsid w:val="00461B18"/>
    <w:rsid w:val="00463DAC"/>
    <w:rsid w:val="00465501"/>
    <w:rsid w:val="00467778"/>
    <w:rsid w:val="0047103F"/>
    <w:rsid w:val="0047488C"/>
    <w:rsid w:val="0047692A"/>
    <w:rsid w:val="00486D3C"/>
    <w:rsid w:val="00486E09"/>
    <w:rsid w:val="0049304C"/>
    <w:rsid w:val="004951B8"/>
    <w:rsid w:val="004A26C1"/>
    <w:rsid w:val="004A55F7"/>
    <w:rsid w:val="004A7470"/>
    <w:rsid w:val="004A74A3"/>
    <w:rsid w:val="004B2EBC"/>
    <w:rsid w:val="004B4504"/>
    <w:rsid w:val="004B6EDA"/>
    <w:rsid w:val="004C2914"/>
    <w:rsid w:val="004C558E"/>
    <w:rsid w:val="004C6BDF"/>
    <w:rsid w:val="004D377C"/>
    <w:rsid w:val="004D5C7E"/>
    <w:rsid w:val="004D5E1E"/>
    <w:rsid w:val="004D6625"/>
    <w:rsid w:val="004E3525"/>
    <w:rsid w:val="004E3813"/>
    <w:rsid w:val="004E6ECA"/>
    <w:rsid w:val="004F0214"/>
    <w:rsid w:val="004F0415"/>
    <w:rsid w:val="004F0BF1"/>
    <w:rsid w:val="004F7207"/>
    <w:rsid w:val="00500602"/>
    <w:rsid w:val="00500AE3"/>
    <w:rsid w:val="00504FA7"/>
    <w:rsid w:val="00505E84"/>
    <w:rsid w:val="00510CCC"/>
    <w:rsid w:val="00512AAA"/>
    <w:rsid w:val="00513EDA"/>
    <w:rsid w:val="00514A7F"/>
    <w:rsid w:val="00514DD0"/>
    <w:rsid w:val="00523309"/>
    <w:rsid w:val="005264AC"/>
    <w:rsid w:val="00526937"/>
    <w:rsid w:val="00534FC1"/>
    <w:rsid w:val="00536EF5"/>
    <w:rsid w:val="00542CD2"/>
    <w:rsid w:val="005475E9"/>
    <w:rsid w:val="005518ED"/>
    <w:rsid w:val="005542E7"/>
    <w:rsid w:val="00556FBA"/>
    <w:rsid w:val="00562572"/>
    <w:rsid w:val="00566BFF"/>
    <w:rsid w:val="005717A2"/>
    <w:rsid w:val="00572528"/>
    <w:rsid w:val="005738C9"/>
    <w:rsid w:val="00574E84"/>
    <w:rsid w:val="00575FC0"/>
    <w:rsid w:val="00580A3B"/>
    <w:rsid w:val="00583F0A"/>
    <w:rsid w:val="0058478B"/>
    <w:rsid w:val="00584F83"/>
    <w:rsid w:val="00586AE1"/>
    <w:rsid w:val="00590504"/>
    <w:rsid w:val="00590C0C"/>
    <w:rsid w:val="0059143C"/>
    <w:rsid w:val="00593272"/>
    <w:rsid w:val="005A4395"/>
    <w:rsid w:val="005A4D36"/>
    <w:rsid w:val="005A5519"/>
    <w:rsid w:val="005A69CC"/>
    <w:rsid w:val="005A7A05"/>
    <w:rsid w:val="005B1DC4"/>
    <w:rsid w:val="005B2358"/>
    <w:rsid w:val="005B3CCF"/>
    <w:rsid w:val="005B738C"/>
    <w:rsid w:val="005C1519"/>
    <w:rsid w:val="005C2A64"/>
    <w:rsid w:val="005C4CB1"/>
    <w:rsid w:val="005C7C94"/>
    <w:rsid w:val="005C7D59"/>
    <w:rsid w:val="005D3ECE"/>
    <w:rsid w:val="005E2789"/>
    <w:rsid w:val="005E3BB9"/>
    <w:rsid w:val="005E5A28"/>
    <w:rsid w:val="005E5F50"/>
    <w:rsid w:val="005F18BD"/>
    <w:rsid w:val="005F65D1"/>
    <w:rsid w:val="005F71FF"/>
    <w:rsid w:val="00600551"/>
    <w:rsid w:val="0060525C"/>
    <w:rsid w:val="00605418"/>
    <w:rsid w:val="00610531"/>
    <w:rsid w:val="00610D88"/>
    <w:rsid w:val="00611305"/>
    <w:rsid w:val="00613E50"/>
    <w:rsid w:val="0061545D"/>
    <w:rsid w:val="00620646"/>
    <w:rsid w:val="00624CDE"/>
    <w:rsid w:val="0062777F"/>
    <w:rsid w:val="00632F41"/>
    <w:rsid w:val="00634879"/>
    <w:rsid w:val="00635AE2"/>
    <w:rsid w:val="00637672"/>
    <w:rsid w:val="0063779F"/>
    <w:rsid w:val="00637D3B"/>
    <w:rsid w:val="006439D5"/>
    <w:rsid w:val="00644888"/>
    <w:rsid w:val="0065019B"/>
    <w:rsid w:val="006506BA"/>
    <w:rsid w:val="00650912"/>
    <w:rsid w:val="00653093"/>
    <w:rsid w:val="006547C1"/>
    <w:rsid w:val="00657D4B"/>
    <w:rsid w:val="00662CDC"/>
    <w:rsid w:val="00663180"/>
    <w:rsid w:val="00663E12"/>
    <w:rsid w:val="00664010"/>
    <w:rsid w:val="006654F9"/>
    <w:rsid w:val="00665DC0"/>
    <w:rsid w:val="0067071B"/>
    <w:rsid w:val="00671B73"/>
    <w:rsid w:val="006735C2"/>
    <w:rsid w:val="00675571"/>
    <w:rsid w:val="006827CE"/>
    <w:rsid w:val="00683BFA"/>
    <w:rsid w:val="00687415"/>
    <w:rsid w:val="0069438E"/>
    <w:rsid w:val="006957EA"/>
    <w:rsid w:val="00697362"/>
    <w:rsid w:val="006B233E"/>
    <w:rsid w:val="006B284F"/>
    <w:rsid w:val="006B56D8"/>
    <w:rsid w:val="006B6B0D"/>
    <w:rsid w:val="006B6CBA"/>
    <w:rsid w:val="006B72EF"/>
    <w:rsid w:val="006B74BE"/>
    <w:rsid w:val="006C21E8"/>
    <w:rsid w:val="006C41CE"/>
    <w:rsid w:val="006C62F7"/>
    <w:rsid w:val="006C7374"/>
    <w:rsid w:val="006D233A"/>
    <w:rsid w:val="006D25C5"/>
    <w:rsid w:val="006D3432"/>
    <w:rsid w:val="006E1283"/>
    <w:rsid w:val="006E7171"/>
    <w:rsid w:val="006E746E"/>
    <w:rsid w:val="006F25EC"/>
    <w:rsid w:val="006F2BB8"/>
    <w:rsid w:val="00700ABE"/>
    <w:rsid w:val="00707625"/>
    <w:rsid w:val="0071040A"/>
    <w:rsid w:val="00712192"/>
    <w:rsid w:val="007177E1"/>
    <w:rsid w:val="00720630"/>
    <w:rsid w:val="007240F9"/>
    <w:rsid w:val="00726433"/>
    <w:rsid w:val="00727E11"/>
    <w:rsid w:val="00732237"/>
    <w:rsid w:val="0073306A"/>
    <w:rsid w:val="0073325E"/>
    <w:rsid w:val="00736C51"/>
    <w:rsid w:val="0074084C"/>
    <w:rsid w:val="00740EE4"/>
    <w:rsid w:val="00741A77"/>
    <w:rsid w:val="00742DAF"/>
    <w:rsid w:val="00745A8E"/>
    <w:rsid w:val="007467DF"/>
    <w:rsid w:val="00746FC2"/>
    <w:rsid w:val="007512A2"/>
    <w:rsid w:val="00755983"/>
    <w:rsid w:val="007640D1"/>
    <w:rsid w:val="00767EB5"/>
    <w:rsid w:val="00770C35"/>
    <w:rsid w:val="00770C3F"/>
    <w:rsid w:val="00771B4E"/>
    <w:rsid w:val="0077650A"/>
    <w:rsid w:val="00777A7A"/>
    <w:rsid w:val="0078259E"/>
    <w:rsid w:val="00784086"/>
    <w:rsid w:val="007851C7"/>
    <w:rsid w:val="007853F2"/>
    <w:rsid w:val="00785610"/>
    <w:rsid w:val="007918C7"/>
    <w:rsid w:val="0079215A"/>
    <w:rsid w:val="00794C08"/>
    <w:rsid w:val="007A1609"/>
    <w:rsid w:val="007A445F"/>
    <w:rsid w:val="007B05AE"/>
    <w:rsid w:val="007B0EBC"/>
    <w:rsid w:val="007B164B"/>
    <w:rsid w:val="007B2EE7"/>
    <w:rsid w:val="007C30EC"/>
    <w:rsid w:val="007C6C2D"/>
    <w:rsid w:val="007D0D48"/>
    <w:rsid w:val="007D18E0"/>
    <w:rsid w:val="007D1CE2"/>
    <w:rsid w:val="007D316E"/>
    <w:rsid w:val="007D45F1"/>
    <w:rsid w:val="007D60F5"/>
    <w:rsid w:val="007D708D"/>
    <w:rsid w:val="007D70EA"/>
    <w:rsid w:val="007E04F1"/>
    <w:rsid w:val="007E39D0"/>
    <w:rsid w:val="007F4223"/>
    <w:rsid w:val="007F4CEF"/>
    <w:rsid w:val="007F4E72"/>
    <w:rsid w:val="007F72E5"/>
    <w:rsid w:val="007F7DD3"/>
    <w:rsid w:val="00810AA8"/>
    <w:rsid w:val="00810F4A"/>
    <w:rsid w:val="008125D9"/>
    <w:rsid w:val="00814B7F"/>
    <w:rsid w:val="00815583"/>
    <w:rsid w:val="008156CE"/>
    <w:rsid w:val="00817731"/>
    <w:rsid w:val="00823ABA"/>
    <w:rsid w:val="00823EC4"/>
    <w:rsid w:val="00826228"/>
    <w:rsid w:val="0082671E"/>
    <w:rsid w:val="00832A5A"/>
    <w:rsid w:val="00833AA2"/>
    <w:rsid w:val="00835E22"/>
    <w:rsid w:val="00835F79"/>
    <w:rsid w:val="008360D6"/>
    <w:rsid w:val="00836D51"/>
    <w:rsid w:val="0083773C"/>
    <w:rsid w:val="008464AA"/>
    <w:rsid w:val="00850D85"/>
    <w:rsid w:val="008539E3"/>
    <w:rsid w:val="00857452"/>
    <w:rsid w:val="0085762C"/>
    <w:rsid w:val="008627A2"/>
    <w:rsid w:val="00863377"/>
    <w:rsid w:val="00863863"/>
    <w:rsid w:val="0086603F"/>
    <w:rsid w:val="00866362"/>
    <w:rsid w:val="008729C5"/>
    <w:rsid w:val="008773A7"/>
    <w:rsid w:val="0088011B"/>
    <w:rsid w:val="008826A9"/>
    <w:rsid w:val="00883805"/>
    <w:rsid w:val="00885179"/>
    <w:rsid w:val="0088563D"/>
    <w:rsid w:val="008901D6"/>
    <w:rsid w:val="00891CAD"/>
    <w:rsid w:val="008941F0"/>
    <w:rsid w:val="00895A1F"/>
    <w:rsid w:val="008A0B25"/>
    <w:rsid w:val="008A5D0A"/>
    <w:rsid w:val="008A5D6C"/>
    <w:rsid w:val="008A6954"/>
    <w:rsid w:val="008A6F46"/>
    <w:rsid w:val="008B1AEB"/>
    <w:rsid w:val="008B29B0"/>
    <w:rsid w:val="008B30C3"/>
    <w:rsid w:val="008B368B"/>
    <w:rsid w:val="008B7D1D"/>
    <w:rsid w:val="008C735C"/>
    <w:rsid w:val="008D0508"/>
    <w:rsid w:val="008D2EC3"/>
    <w:rsid w:val="008D7666"/>
    <w:rsid w:val="008E39CA"/>
    <w:rsid w:val="008F2633"/>
    <w:rsid w:val="008F59C4"/>
    <w:rsid w:val="008F6202"/>
    <w:rsid w:val="009018B0"/>
    <w:rsid w:val="00902B13"/>
    <w:rsid w:val="00902D04"/>
    <w:rsid w:val="00904248"/>
    <w:rsid w:val="00910C0D"/>
    <w:rsid w:val="00916C75"/>
    <w:rsid w:val="009208B8"/>
    <w:rsid w:val="00922835"/>
    <w:rsid w:val="00924512"/>
    <w:rsid w:val="00925029"/>
    <w:rsid w:val="00931D1A"/>
    <w:rsid w:val="0093584F"/>
    <w:rsid w:val="00937227"/>
    <w:rsid w:val="00943868"/>
    <w:rsid w:val="00944198"/>
    <w:rsid w:val="00953774"/>
    <w:rsid w:val="00955477"/>
    <w:rsid w:val="00956F2E"/>
    <w:rsid w:val="00963779"/>
    <w:rsid w:val="00963F43"/>
    <w:rsid w:val="0096527C"/>
    <w:rsid w:val="00965F5A"/>
    <w:rsid w:val="00971B42"/>
    <w:rsid w:val="0097470A"/>
    <w:rsid w:val="00975785"/>
    <w:rsid w:val="00976560"/>
    <w:rsid w:val="00977E60"/>
    <w:rsid w:val="0098184A"/>
    <w:rsid w:val="00983822"/>
    <w:rsid w:val="009849BA"/>
    <w:rsid w:val="00993259"/>
    <w:rsid w:val="009939F4"/>
    <w:rsid w:val="00993FEE"/>
    <w:rsid w:val="0099536E"/>
    <w:rsid w:val="0099656D"/>
    <w:rsid w:val="00997BBE"/>
    <w:rsid w:val="009A3D04"/>
    <w:rsid w:val="009A6A50"/>
    <w:rsid w:val="009A71B2"/>
    <w:rsid w:val="009B26DA"/>
    <w:rsid w:val="009B4ED7"/>
    <w:rsid w:val="009B70B6"/>
    <w:rsid w:val="009B7980"/>
    <w:rsid w:val="009B7EB9"/>
    <w:rsid w:val="009C0C1A"/>
    <w:rsid w:val="009C27C0"/>
    <w:rsid w:val="009C4FF1"/>
    <w:rsid w:val="009C58B9"/>
    <w:rsid w:val="009C5AF8"/>
    <w:rsid w:val="009D1541"/>
    <w:rsid w:val="009D281A"/>
    <w:rsid w:val="009D3638"/>
    <w:rsid w:val="009D5096"/>
    <w:rsid w:val="009D51CC"/>
    <w:rsid w:val="009D61F3"/>
    <w:rsid w:val="009D6DD4"/>
    <w:rsid w:val="009E0B53"/>
    <w:rsid w:val="009E3163"/>
    <w:rsid w:val="009F08A5"/>
    <w:rsid w:val="009F1AC6"/>
    <w:rsid w:val="009F46C7"/>
    <w:rsid w:val="009F4E43"/>
    <w:rsid w:val="009F6859"/>
    <w:rsid w:val="00A123F6"/>
    <w:rsid w:val="00A14695"/>
    <w:rsid w:val="00A15F7E"/>
    <w:rsid w:val="00A17373"/>
    <w:rsid w:val="00A25313"/>
    <w:rsid w:val="00A257ED"/>
    <w:rsid w:val="00A25D46"/>
    <w:rsid w:val="00A352D0"/>
    <w:rsid w:val="00A3689B"/>
    <w:rsid w:val="00A4074B"/>
    <w:rsid w:val="00A4352A"/>
    <w:rsid w:val="00A44626"/>
    <w:rsid w:val="00A44C12"/>
    <w:rsid w:val="00A47053"/>
    <w:rsid w:val="00A479FE"/>
    <w:rsid w:val="00A51FEE"/>
    <w:rsid w:val="00A63859"/>
    <w:rsid w:val="00A65EC2"/>
    <w:rsid w:val="00A66D9E"/>
    <w:rsid w:val="00A703B0"/>
    <w:rsid w:val="00A72F7C"/>
    <w:rsid w:val="00A764F8"/>
    <w:rsid w:val="00A80E2D"/>
    <w:rsid w:val="00A80FBD"/>
    <w:rsid w:val="00A824BA"/>
    <w:rsid w:val="00A84152"/>
    <w:rsid w:val="00A8582E"/>
    <w:rsid w:val="00A86943"/>
    <w:rsid w:val="00A876A5"/>
    <w:rsid w:val="00A907AE"/>
    <w:rsid w:val="00A90D46"/>
    <w:rsid w:val="00A91169"/>
    <w:rsid w:val="00A93EC4"/>
    <w:rsid w:val="00A947FF"/>
    <w:rsid w:val="00A94F92"/>
    <w:rsid w:val="00A96371"/>
    <w:rsid w:val="00A964EA"/>
    <w:rsid w:val="00AA0F25"/>
    <w:rsid w:val="00AA5E10"/>
    <w:rsid w:val="00AB0036"/>
    <w:rsid w:val="00AB024C"/>
    <w:rsid w:val="00AC034D"/>
    <w:rsid w:val="00AC1B2C"/>
    <w:rsid w:val="00AC5325"/>
    <w:rsid w:val="00AC5AC9"/>
    <w:rsid w:val="00AC750A"/>
    <w:rsid w:val="00AD23E3"/>
    <w:rsid w:val="00AD39FD"/>
    <w:rsid w:val="00AD3DB1"/>
    <w:rsid w:val="00AD4E70"/>
    <w:rsid w:val="00AD5235"/>
    <w:rsid w:val="00AD7DC6"/>
    <w:rsid w:val="00AE02EA"/>
    <w:rsid w:val="00AE5D3F"/>
    <w:rsid w:val="00AE7248"/>
    <w:rsid w:val="00AE7E80"/>
    <w:rsid w:val="00AF053C"/>
    <w:rsid w:val="00AF34DC"/>
    <w:rsid w:val="00AF3F8A"/>
    <w:rsid w:val="00AF446E"/>
    <w:rsid w:val="00AF56B3"/>
    <w:rsid w:val="00AF771D"/>
    <w:rsid w:val="00B00ABF"/>
    <w:rsid w:val="00B00E28"/>
    <w:rsid w:val="00B11C77"/>
    <w:rsid w:val="00B11EE3"/>
    <w:rsid w:val="00B12A69"/>
    <w:rsid w:val="00B148BB"/>
    <w:rsid w:val="00B14971"/>
    <w:rsid w:val="00B14A38"/>
    <w:rsid w:val="00B15C0E"/>
    <w:rsid w:val="00B24E5E"/>
    <w:rsid w:val="00B278E4"/>
    <w:rsid w:val="00B32570"/>
    <w:rsid w:val="00B33848"/>
    <w:rsid w:val="00B35198"/>
    <w:rsid w:val="00B36311"/>
    <w:rsid w:val="00B37112"/>
    <w:rsid w:val="00B425DC"/>
    <w:rsid w:val="00B4470B"/>
    <w:rsid w:val="00B4478C"/>
    <w:rsid w:val="00B450CE"/>
    <w:rsid w:val="00B46434"/>
    <w:rsid w:val="00B505B3"/>
    <w:rsid w:val="00B50E94"/>
    <w:rsid w:val="00B515CA"/>
    <w:rsid w:val="00B57936"/>
    <w:rsid w:val="00B60782"/>
    <w:rsid w:val="00B6142D"/>
    <w:rsid w:val="00B617D5"/>
    <w:rsid w:val="00B62AAA"/>
    <w:rsid w:val="00B63976"/>
    <w:rsid w:val="00B64829"/>
    <w:rsid w:val="00B70B1D"/>
    <w:rsid w:val="00B71510"/>
    <w:rsid w:val="00B71B54"/>
    <w:rsid w:val="00B761B8"/>
    <w:rsid w:val="00B831FB"/>
    <w:rsid w:val="00B836DB"/>
    <w:rsid w:val="00B841E8"/>
    <w:rsid w:val="00B84D8B"/>
    <w:rsid w:val="00B9348A"/>
    <w:rsid w:val="00B9413D"/>
    <w:rsid w:val="00B94163"/>
    <w:rsid w:val="00B95B62"/>
    <w:rsid w:val="00B962F0"/>
    <w:rsid w:val="00BA725A"/>
    <w:rsid w:val="00BB1CE0"/>
    <w:rsid w:val="00BB1E88"/>
    <w:rsid w:val="00BB50AA"/>
    <w:rsid w:val="00BB6740"/>
    <w:rsid w:val="00BB70F0"/>
    <w:rsid w:val="00BC15B7"/>
    <w:rsid w:val="00BC396D"/>
    <w:rsid w:val="00BC62A3"/>
    <w:rsid w:val="00BC63FE"/>
    <w:rsid w:val="00BC6EF7"/>
    <w:rsid w:val="00BD132C"/>
    <w:rsid w:val="00BD4CFA"/>
    <w:rsid w:val="00BD7B36"/>
    <w:rsid w:val="00BE36A3"/>
    <w:rsid w:val="00BE3B65"/>
    <w:rsid w:val="00BE478F"/>
    <w:rsid w:val="00BE517A"/>
    <w:rsid w:val="00BE6436"/>
    <w:rsid w:val="00BE6F6A"/>
    <w:rsid w:val="00BF38EA"/>
    <w:rsid w:val="00BF54E4"/>
    <w:rsid w:val="00BF7B27"/>
    <w:rsid w:val="00C1010C"/>
    <w:rsid w:val="00C13AD1"/>
    <w:rsid w:val="00C16CF9"/>
    <w:rsid w:val="00C254F9"/>
    <w:rsid w:val="00C2551A"/>
    <w:rsid w:val="00C30B31"/>
    <w:rsid w:val="00C336CC"/>
    <w:rsid w:val="00C36EFE"/>
    <w:rsid w:val="00C3736E"/>
    <w:rsid w:val="00C447EB"/>
    <w:rsid w:val="00C475A4"/>
    <w:rsid w:val="00C53907"/>
    <w:rsid w:val="00C54D1B"/>
    <w:rsid w:val="00C55E9E"/>
    <w:rsid w:val="00C5647E"/>
    <w:rsid w:val="00C573E8"/>
    <w:rsid w:val="00C60391"/>
    <w:rsid w:val="00C606A8"/>
    <w:rsid w:val="00C62FFF"/>
    <w:rsid w:val="00C6772F"/>
    <w:rsid w:val="00C73D52"/>
    <w:rsid w:val="00C73ECA"/>
    <w:rsid w:val="00C762DB"/>
    <w:rsid w:val="00C7651D"/>
    <w:rsid w:val="00C77F33"/>
    <w:rsid w:val="00C91B7D"/>
    <w:rsid w:val="00C91F09"/>
    <w:rsid w:val="00C94C56"/>
    <w:rsid w:val="00C95493"/>
    <w:rsid w:val="00C95548"/>
    <w:rsid w:val="00CA1784"/>
    <w:rsid w:val="00CA6498"/>
    <w:rsid w:val="00CA78B0"/>
    <w:rsid w:val="00CA7C0F"/>
    <w:rsid w:val="00CB14F3"/>
    <w:rsid w:val="00CB540B"/>
    <w:rsid w:val="00CB5D52"/>
    <w:rsid w:val="00CC0BAF"/>
    <w:rsid w:val="00CC19C3"/>
    <w:rsid w:val="00CC287D"/>
    <w:rsid w:val="00CC2FFE"/>
    <w:rsid w:val="00CC6AC8"/>
    <w:rsid w:val="00CD1D57"/>
    <w:rsid w:val="00CD3EAE"/>
    <w:rsid w:val="00CD6209"/>
    <w:rsid w:val="00CD7995"/>
    <w:rsid w:val="00CE173F"/>
    <w:rsid w:val="00CE528A"/>
    <w:rsid w:val="00CE5B9C"/>
    <w:rsid w:val="00CE5CA7"/>
    <w:rsid w:val="00CE63C0"/>
    <w:rsid w:val="00CE68C3"/>
    <w:rsid w:val="00CE7108"/>
    <w:rsid w:val="00CF2D98"/>
    <w:rsid w:val="00CF3087"/>
    <w:rsid w:val="00CF3FB4"/>
    <w:rsid w:val="00CF4E57"/>
    <w:rsid w:val="00CF5C5D"/>
    <w:rsid w:val="00D03234"/>
    <w:rsid w:val="00D113C9"/>
    <w:rsid w:val="00D14138"/>
    <w:rsid w:val="00D15EEC"/>
    <w:rsid w:val="00D20C9A"/>
    <w:rsid w:val="00D21886"/>
    <w:rsid w:val="00D22229"/>
    <w:rsid w:val="00D24DF1"/>
    <w:rsid w:val="00D24FE1"/>
    <w:rsid w:val="00D26CE6"/>
    <w:rsid w:val="00D27114"/>
    <w:rsid w:val="00D271A6"/>
    <w:rsid w:val="00D328C7"/>
    <w:rsid w:val="00D33191"/>
    <w:rsid w:val="00D4168A"/>
    <w:rsid w:val="00D419F3"/>
    <w:rsid w:val="00D45256"/>
    <w:rsid w:val="00D46433"/>
    <w:rsid w:val="00D51708"/>
    <w:rsid w:val="00D52A02"/>
    <w:rsid w:val="00D52D6A"/>
    <w:rsid w:val="00D707B0"/>
    <w:rsid w:val="00D71DDD"/>
    <w:rsid w:val="00D72268"/>
    <w:rsid w:val="00D73B1E"/>
    <w:rsid w:val="00D74FBC"/>
    <w:rsid w:val="00D768D3"/>
    <w:rsid w:val="00D76B60"/>
    <w:rsid w:val="00D76CAD"/>
    <w:rsid w:val="00D82B9E"/>
    <w:rsid w:val="00D831D3"/>
    <w:rsid w:val="00D90202"/>
    <w:rsid w:val="00D9057C"/>
    <w:rsid w:val="00D92AAF"/>
    <w:rsid w:val="00DA1136"/>
    <w:rsid w:val="00DA17AB"/>
    <w:rsid w:val="00DA3F9E"/>
    <w:rsid w:val="00DA7231"/>
    <w:rsid w:val="00DB3309"/>
    <w:rsid w:val="00DB5B9D"/>
    <w:rsid w:val="00DC0708"/>
    <w:rsid w:val="00DC3394"/>
    <w:rsid w:val="00DC76BE"/>
    <w:rsid w:val="00DC7812"/>
    <w:rsid w:val="00DD2B28"/>
    <w:rsid w:val="00DD5A00"/>
    <w:rsid w:val="00DD61B2"/>
    <w:rsid w:val="00DD622D"/>
    <w:rsid w:val="00DE0544"/>
    <w:rsid w:val="00DE1854"/>
    <w:rsid w:val="00DE347C"/>
    <w:rsid w:val="00DE3B5F"/>
    <w:rsid w:val="00DE5579"/>
    <w:rsid w:val="00DE77AB"/>
    <w:rsid w:val="00DF1BCD"/>
    <w:rsid w:val="00DF1D8B"/>
    <w:rsid w:val="00DF2063"/>
    <w:rsid w:val="00DF27C2"/>
    <w:rsid w:val="00DF3631"/>
    <w:rsid w:val="00DF4A0D"/>
    <w:rsid w:val="00DF7E94"/>
    <w:rsid w:val="00E043A4"/>
    <w:rsid w:val="00E05736"/>
    <w:rsid w:val="00E061AC"/>
    <w:rsid w:val="00E11A16"/>
    <w:rsid w:val="00E12249"/>
    <w:rsid w:val="00E16D5B"/>
    <w:rsid w:val="00E17AB3"/>
    <w:rsid w:val="00E2142F"/>
    <w:rsid w:val="00E2167A"/>
    <w:rsid w:val="00E253B6"/>
    <w:rsid w:val="00E3209C"/>
    <w:rsid w:val="00E32310"/>
    <w:rsid w:val="00E327BF"/>
    <w:rsid w:val="00E330DE"/>
    <w:rsid w:val="00E34455"/>
    <w:rsid w:val="00E34ADD"/>
    <w:rsid w:val="00E35DD2"/>
    <w:rsid w:val="00E36003"/>
    <w:rsid w:val="00E519DA"/>
    <w:rsid w:val="00E53F66"/>
    <w:rsid w:val="00E54A14"/>
    <w:rsid w:val="00E56B8C"/>
    <w:rsid w:val="00E5733F"/>
    <w:rsid w:val="00E57735"/>
    <w:rsid w:val="00E60786"/>
    <w:rsid w:val="00E60AEA"/>
    <w:rsid w:val="00E6501D"/>
    <w:rsid w:val="00E65F51"/>
    <w:rsid w:val="00E66D20"/>
    <w:rsid w:val="00E70286"/>
    <w:rsid w:val="00E7210C"/>
    <w:rsid w:val="00E72E72"/>
    <w:rsid w:val="00E75515"/>
    <w:rsid w:val="00E82C95"/>
    <w:rsid w:val="00E83268"/>
    <w:rsid w:val="00E84FF7"/>
    <w:rsid w:val="00E87CB0"/>
    <w:rsid w:val="00EA1C34"/>
    <w:rsid w:val="00EA45F0"/>
    <w:rsid w:val="00EB10AE"/>
    <w:rsid w:val="00EB5EEF"/>
    <w:rsid w:val="00EB6D03"/>
    <w:rsid w:val="00EB72CE"/>
    <w:rsid w:val="00EB7FC1"/>
    <w:rsid w:val="00EC6A44"/>
    <w:rsid w:val="00ED0EA4"/>
    <w:rsid w:val="00ED0ECE"/>
    <w:rsid w:val="00ED32EE"/>
    <w:rsid w:val="00ED3EA4"/>
    <w:rsid w:val="00ED3EFF"/>
    <w:rsid w:val="00ED7AEA"/>
    <w:rsid w:val="00EE44F9"/>
    <w:rsid w:val="00EF0F95"/>
    <w:rsid w:val="00EF259B"/>
    <w:rsid w:val="00EF2FD9"/>
    <w:rsid w:val="00EF5845"/>
    <w:rsid w:val="00F03BE6"/>
    <w:rsid w:val="00F137B3"/>
    <w:rsid w:val="00F139F2"/>
    <w:rsid w:val="00F163FD"/>
    <w:rsid w:val="00F211E2"/>
    <w:rsid w:val="00F212C9"/>
    <w:rsid w:val="00F21E87"/>
    <w:rsid w:val="00F24867"/>
    <w:rsid w:val="00F248AB"/>
    <w:rsid w:val="00F35539"/>
    <w:rsid w:val="00F35F45"/>
    <w:rsid w:val="00F37C83"/>
    <w:rsid w:val="00F37CD0"/>
    <w:rsid w:val="00F41BC0"/>
    <w:rsid w:val="00F43881"/>
    <w:rsid w:val="00F46DCE"/>
    <w:rsid w:val="00F5071C"/>
    <w:rsid w:val="00F55CD0"/>
    <w:rsid w:val="00F56A98"/>
    <w:rsid w:val="00F62083"/>
    <w:rsid w:val="00F64B46"/>
    <w:rsid w:val="00F677B5"/>
    <w:rsid w:val="00F7099F"/>
    <w:rsid w:val="00F737E7"/>
    <w:rsid w:val="00F73900"/>
    <w:rsid w:val="00F73DB4"/>
    <w:rsid w:val="00F77018"/>
    <w:rsid w:val="00F800C5"/>
    <w:rsid w:val="00F81765"/>
    <w:rsid w:val="00F820E7"/>
    <w:rsid w:val="00F8588F"/>
    <w:rsid w:val="00F92871"/>
    <w:rsid w:val="00F94D3F"/>
    <w:rsid w:val="00F9636C"/>
    <w:rsid w:val="00F96D8D"/>
    <w:rsid w:val="00FA2177"/>
    <w:rsid w:val="00FA5EF6"/>
    <w:rsid w:val="00FA647F"/>
    <w:rsid w:val="00FB3A70"/>
    <w:rsid w:val="00FC0A6A"/>
    <w:rsid w:val="00FC1156"/>
    <w:rsid w:val="00FC1244"/>
    <w:rsid w:val="00FC491E"/>
    <w:rsid w:val="00FC6BAE"/>
    <w:rsid w:val="00FD038F"/>
    <w:rsid w:val="00FD0784"/>
    <w:rsid w:val="00FD4158"/>
    <w:rsid w:val="00FD64D6"/>
    <w:rsid w:val="00FE28F8"/>
    <w:rsid w:val="00FE2EAE"/>
    <w:rsid w:val="00FE375F"/>
    <w:rsid w:val="00FE4CA3"/>
    <w:rsid w:val="00FE54E5"/>
    <w:rsid w:val="00FE6892"/>
    <w:rsid w:val="00FE6CEA"/>
    <w:rsid w:val="00FF27D8"/>
    <w:rsid w:val="081F2A66"/>
    <w:rsid w:val="0B215950"/>
    <w:rsid w:val="0DBA1449"/>
    <w:rsid w:val="0E0C9D51"/>
    <w:rsid w:val="1922B82F"/>
    <w:rsid w:val="1BC3702C"/>
    <w:rsid w:val="1CD9416F"/>
    <w:rsid w:val="2740050E"/>
    <w:rsid w:val="29F500B1"/>
    <w:rsid w:val="2A8DA679"/>
    <w:rsid w:val="2B37754D"/>
    <w:rsid w:val="2D7133BB"/>
    <w:rsid w:val="2EC871D4"/>
    <w:rsid w:val="2F0D041C"/>
    <w:rsid w:val="2FA8074F"/>
    <w:rsid w:val="30E28440"/>
    <w:rsid w:val="3244A4DE"/>
    <w:rsid w:val="36BCB93C"/>
    <w:rsid w:val="3D322237"/>
    <w:rsid w:val="3D6124ED"/>
    <w:rsid w:val="3F5A5903"/>
    <w:rsid w:val="407771FB"/>
    <w:rsid w:val="40F5B60B"/>
    <w:rsid w:val="413ECDE9"/>
    <w:rsid w:val="41575E75"/>
    <w:rsid w:val="470D24E3"/>
    <w:rsid w:val="4716DF9D"/>
    <w:rsid w:val="48AFB1E6"/>
    <w:rsid w:val="4989B427"/>
    <w:rsid w:val="4BA88429"/>
    <w:rsid w:val="4D44548A"/>
    <w:rsid w:val="50ACE445"/>
    <w:rsid w:val="50F96318"/>
    <w:rsid w:val="56468308"/>
    <w:rsid w:val="597E23CA"/>
    <w:rsid w:val="5A03A944"/>
    <w:rsid w:val="5DDCAB7D"/>
    <w:rsid w:val="5E962735"/>
    <w:rsid w:val="60B3D26C"/>
    <w:rsid w:val="6269C2E9"/>
    <w:rsid w:val="627CF8A2"/>
    <w:rsid w:val="641B56C8"/>
    <w:rsid w:val="67DBF530"/>
    <w:rsid w:val="68EC3A26"/>
    <w:rsid w:val="70E0818E"/>
    <w:rsid w:val="7409847E"/>
    <w:rsid w:val="759910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9E3A2"/>
  <w15:docId w15:val="{95CA264F-4866-45B0-AFA7-E1EB5EC8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6D8"/>
  </w:style>
  <w:style w:type="paragraph" w:styleId="Ttulo1">
    <w:name w:val="heading 1"/>
    <w:basedOn w:val="Normal"/>
    <w:next w:val="Normal"/>
    <w:link w:val="Ttulo1Car"/>
    <w:qFormat/>
    <w:rsid w:val="003907E1"/>
    <w:pPr>
      <w:keepNext/>
      <w:spacing w:after="0" w:line="360" w:lineRule="auto"/>
      <w:jc w:val="center"/>
      <w:outlineLvl w:val="0"/>
    </w:pPr>
    <w:rPr>
      <w:rFonts w:ascii="Arial" w:eastAsia="Times New Roman" w:hAnsi="Arial" w:cs="Times New Roman"/>
      <w:b/>
      <w:sz w:val="28"/>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FE1"/>
    <w:pPr>
      <w:ind w:left="720"/>
      <w:contextualSpacing/>
    </w:pPr>
  </w:style>
  <w:style w:type="character" w:customStyle="1" w:styleId="normaltextrun">
    <w:name w:val="normaltextrun"/>
    <w:basedOn w:val="Fuentedeprrafopredeter"/>
    <w:rsid w:val="00D24FE1"/>
  </w:style>
  <w:style w:type="character" w:customStyle="1" w:styleId="eop">
    <w:name w:val="eop"/>
    <w:basedOn w:val="Fuentedeprrafopredeter"/>
    <w:rsid w:val="00390F13"/>
  </w:style>
  <w:style w:type="paragraph" w:customStyle="1" w:styleId="paragraph">
    <w:name w:val="paragraph"/>
    <w:basedOn w:val="Normal"/>
    <w:rsid w:val="00390F1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iPriority w:val="99"/>
    <w:unhideWhenUsed/>
    <w:qFormat/>
    <w:rsid w:val="00C94C56"/>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rsid w:val="00C94C56"/>
    <w:rPr>
      <w:sz w:val="20"/>
      <w:szCs w:val="20"/>
    </w:r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link w:val="Refdenotaalpie2"/>
    <w:uiPriority w:val="99"/>
    <w:unhideWhenUsed/>
    <w:qFormat/>
    <w:rsid w:val="00C94C56"/>
    <w:rPr>
      <w:vertAlign w:val="superscript"/>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902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02D7"/>
    <w:rPr>
      <w:rFonts w:ascii="Segoe UI" w:hAnsi="Segoe UI" w:cs="Segoe UI"/>
      <w:sz w:val="18"/>
      <w:szCs w:val="18"/>
    </w:rPr>
  </w:style>
  <w:style w:type="paragraph" w:styleId="Encabezado">
    <w:name w:val="header"/>
    <w:basedOn w:val="Normal"/>
    <w:link w:val="EncabezadoCar"/>
    <w:unhideWhenUsed/>
    <w:rsid w:val="00A858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82E"/>
  </w:style>
  <w:style w:type="paragraph" w:styleId="Piedepgina">
    <w:name w:val="footer"/>
    <w:basedOn w:val="Normal"/>
    <w:link w:val="PiedepginaCar"/>
    <w:uiPriority w:val="99"/>
    <w:unhideWhenUsed/>
    <w:rsid w:val="00A858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82E"/>
  </w:style>
  <w:style w:type="paragraph" w:styleId="Asuntodelcomentario">
    <w:name w:val="annotation subject"/>
    <w:basedOn w:val="Textocomentario"/>
    <w:next w:val="Textocomentario"/>
    <w:link w:val="AsuntodelcomentarioCar"/>
    <w:uiPriority w:val="99"/>
    <w:semiHidden/>
    <w:unhideWhenUsed/>
    <w:rsid w:val="00E05736"/>
    <w:rPr>
      <w:b/>
      <w:bCs/>
    </w:rPr>
  </w:style>
  <w:style w:type="character" w:customStyle="1" w:styleId="AsuntodelcomentarioCar">
    <w:name w:val="Asunto del comentario Car"/>
    <w:basedOn w:val="TextocomentarioCar"/>
    <w:link w:val="Asuntodelcomentario"/>
    <w:uiPriority w:val="99"/>
    <w:semiHidden/>
    <w:rsid w:val="00E05736"/>
    <w:rPr>
      <w:b/>
      <w:bCs/>
      <w:sz w:val="20"/>
      <w:szCs w:val="20"/>
    </w:rPr>
  </w:style>
  <w:style w:type="paragraph" w:styleId="Textoindependiente">
    <w:name w:val="Body Text"/>
    <w:basedOn w:val="Normal"/>
    <w:link w:val="TextoindependienteCar"/>
    <w:uiPriority w:val="1"/>
    <w:unhideWhenUsed/>
    <w:qFormat/>
    <w:rsid w:val="00A876A5"/>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1"/>
    <w:rsid w:val="00A876A5"/>
    <w:rPr>
      <w:rFonts w:ascii="Gadugi" w:eastAsia="Gadugi" w:hAnsi="Gadugi" w:cs="Gadugi"/>
      <w:sz w:val="26"/>
      <w:szCs w:val="26"/>
      <w:lang w:val="es-ES"/>
    </w:rPr>
  </w:style>
  <w:style w:type="character" w:styleId="Hipervnculo">
    <w:name w:val="Hyperlink"/>
    <w:basedOn w:val="Fuentedeprrafopredeter"/>
    <w:uiPriority w:val="99"/>
    <w:unhideWhenUsed/>
    <w:rsid w:val="0079215A"/>
    <w:rPr>
      <w:color w:val="0563C1" w:themeColor="hyperlink"/>
      <w:u w:val="single"/>
    </w:rPr>
  </w:style>
  <w:style w:type="character" w:customStyle="1" w:styleId="Mencinsinresolver1">
    <w:name w:val="Mención sin resolver1"/>
    <w:basedOn w:val="Fuentedeprrafopredeter"/>
    <w:uiPriority w:val="99"/>
    <w:semiHidden/>
    <w:unhideWhenUsed/>
    <w:rsid w:val="0079215A"/>
    <w:rPr>
      <w:color w:val="605E5C"/>
      <w:shd w:val="clear" w:color="auto" w:fill="E1DFDD"/>
    </w:rPr>
  </w:style>
  <w:style w:type="table" w:styleId="Tablaconcuadrcula">
    <w:name w:val="Table Grid"/>
    <w:basedOn w:val="Tablanormal"/>
    <w:uiPriority w:val="39"/>
    <w:rsid w:val="00E1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907E1"/>
    <w:rPr>
      <w:rFonts w:ascii="Arial" w:eastAsia="Times New Roman" w:hAnsi="Arial" w:cs="Times New Roman"/>
      <w:b/>
      <w:sz w:val="28"/>
      <w:szCs w:val="20"/>
      <w:u w:val="single"/>
      <w:lang w:val="es-ES" w:eastAsia="es-ES"/>
    </w:rPr>
  </w:style>
  <w:style w:type="character" w:styleId="nfasis">
    <w:name w:val="Emphasis"/>
    <w:uiPriority w:val="20"/>
    <w:qFormat/>
    <w:rsid w:val="00265C64"/>
    <w:rPr>
      <w:b/>
      <w:bCs/>
      <w:i w:val="0"/>
      <w:iCs w:val="0"/>
    </w:rPr>
  </w:style>
  <w:style w:type="paragraph" w:styleId="Textoindependiente2">
    <w:name w:val="Body Text 2"/>
    <w:basedOn w:val="Normal"/>
    <w:link w:val="Textoindependiente2Car"/>
    <w:rsid w:val="00265C64"/>
    <w:pPr>
      <w:spacing w:after="120" w:line="480" w:lineRule="auto"/>
    </w:pPr>
    <w:rPr>
      <w:rFonts w:ascii="Arial" w:eastAsia="Times New Roman" w:hAnsi="Arial" w:cs="Arial"/>
      <w:bCs/>
      <w:w w:val="110"/>
      <w:sz w:val="28"/>
      <w:szCs w:val="24"/>
      <w:lang w:val="es-ES" w:eastAsia="es-ES"/>
    </w:rPr>
  </w:style>
  <w:style w:type="character" w:customStyle="1" w:styleId="Textoindependiente2Car">
    <w:name w:val="Texto independiente 2 Car"/>
    <w:basedOn w:val="Fuentedeprrafopredeter"/>
    <w:link w:val="Textoindependiente2"/>
    <w:rsid w:val="00265C64"/>
    <w:rPr>
      <w:rFonts w:ascii="Arial" w:eastAsia="Times New Roman" w:hAnsi="Arial" w:cs="Arial"/>
      <w:bCs/>
      <w:w w:val="110"/>
      <w:sz w:val="28"/>
      <w:szCs w:val="24"/>
      <w:lang w:val="es-ES" w:eastAsia="es-ES"/>
    </w:rPr>
  </w:style>
  <w:style w:type="paragraph" w:customStyle="1" w:styleId="NormalCSJ">
    <w:name w:val="Normal CSJ"/>
    <w:basedOn w:val="Normal"/>
    <w:link w:val="NormalCSJCar"/>
    <w:qFormat/>
    <w:rsid w:val="008B29B0"/>
    <w:pPr>
      <w:spacing w:after="0" w:line="360" w:lineRule="auto"/>
      <w:ind w:firstLine="709"/>
      <w:jc w:val="both"/>
    </w:pPr>
    <w:rPr>
      <w:rFonts w:ascii="Bookman Old Style" w:eastAsia="Calibri" w:hAnsi="Bookman Old Style" w:cs="Times New Roman"/>
      <w:sz w:val="28"/>
      <w:szCs w:val="28"/>
      <w:lang w:val="es-ES" w:eastAsia="es-ES"/>
    </w:rPr>
  </w:style>
  <w:style w:type="character" w:customStyle="1" w:styleId="NormalCSJCar">
    <w:name w:val="Normal CSJ Car"/>
    <w:link w:val="NormalCSJ"/>
    <w:rsid w:val="008B29B0"/>
    <w:rPr>
      <w:rFonts w:ascii="Bookman Old Style" w:eastAsia="Calibri" w:hAnsi="Bookman Old Style" w:cs="Times New Roman"/>
      <w:sz w:val="28"/>
      <w:szCs w:val="28"/>
      <w:lang w:val="es-ES" w:eastAsia="es-ES"/>
    </w:rPr>
  </w:style>
  <w:style w:type="paragraph" w:styleId="NormalWeb">
    <w:name w:val="Normal (Web)"/>
    <w:basedOn w:val="Normal"/>
    <w:uiPriority w:val="99"/>
    <w:semiHidden/>
    <w:rsid w:val="005B1DC4"/>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Refdenotaalpie2">
    <w:name w:val="Ref. de nota al pie2"/>
    <w:aliases w:val="Nota de pie,Pie de pagina"/>
    <w:basedOn w:val="Normal"/>
    <w:link w:val="Refdenotaalpie"/>
    <w:uiPriority w:val="99"/>
    <w:rsid w:val="00755983"/>
    <w:pPr>
      <w:spacing w:line="240" w:lineRule="exact"/>
    </w:pPr>
    <w:rPr>
      <w:vertAlign w:val="superscript"/>
    </w:rPr>
  </w:style>
  <w:style w:type="character" w:customStyle="1" w:styleId="PrrafodelistaCar">
    <w:name w:val="Párrafo de lista Car"/>
    <w:link w:val="Prrafodelista"/>
    <w:uiPriority w:val="34"/>
    <w:locked/>
    <w:rsid w:val="001E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5263">
      <w:bodyDiv w:val="1"/>
      <w:marLeft w:val="0"/>
      <w:marRight w:val="0"/>
      <w:marTop w:val="0"/>
      <w:marBottom w:val="0"/>
      <w:divBdr>
        <w:top w:val="none" w:sz="0" w:space="0" w:color="auto"/>
        <w:left w:val="none" w:sz="0" w:space="0" w:color="auto"/>
        <w:bottom w:val="none" w:sz="0" w:space="0" w:color="auto"/>
        <w:right w:val="none" w:sz="0" w:space="0" w:color="auto"/>
      </w:divBdr>
      <w:divsChild>
        <w:div w:id="493422349">
          <w:marLeft w:val="0"/>
          <w:marRight w:val="0"/>
          <w:marTop w:val="0"/>
          <w:marBottom w:val="120"/>
          <w:divBdr>
            <w:top w:val="none" w:sz="0" w:space="0" w:color="auto"/>
            <w:left w:val="none" w:sz="0" w:space="0" w:color="auto"/>
            <w:bottom w:val="none" w:sz="0" w:space="0" w:color="auto"/>
            <w:right w:val="none" w:sz="0" w:space="0" w:color="auto"/>
          </w:divBdr>
          <w:divsChild>
            <w:div w:id="1682849994">
              <w:marLeft w:val="0"/>
              <w:marRight w:val="0"/>
              <w:marTop w:val="0"/>
              <w:marBottom w:val="0"/>
              <w:divBdr>
                <w:top w:val="none" w:sz="0" w:space="0" w:color="auto"/>
                <w:left w:val="none" w:sz="0" w:space="0" w:color="auto"/>
                <w:bottom w:val="none" w:sz="0" w:space="0" w:color="auto"/>
                <w:right w:val="none" w:sz="0" w:space="0" w:color="auto"/>
              </w:divBdr>
            </w:div>
          </w:divsChild>
        </w:div>
        <w:div w:id="846019420">
          <w:marLeft w:val="0"/>
          <w:marRight w:val="0"/>
          <w:marTop w:val="0"/>
          <w:marBottom w:val="120"/>
          <w:divBdr>
            <w:top w:val="none" w:sz="0" w:space="0" w:color="auto"/>
            <w:left w:val="none" w:sz="0" w:space="0" w:color="auto"/>
            <w:bottom w:val="none" w:sz="0" w:space="0" w:color="auto"/>
            <w:right w:val="none" w:sz="0" w:space="0" w:color="auto"/>
          </w:divBdr>
          <w:divsChild>
            <w:div w:id="19298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79888">
      <w:bodyDiv w:val="1"/>
      <w:marLeft w:val="0"/>
      <w:marRight w:val="0"/>
      <w:marTop w:val="0"/>
      <w:marBottom w:val="0"/>
      <w:divBdr>
        <w:top w:val="none" w:sz="0" w:space="0" w:color="auto"/>
        <w:left w:val="none" w:sz="0" w:space="0" w:color="auto"/>
        <w:bottom w:val="none" w:sz="0" w:space="0" w:color="auto"/>
        <w:right w:val="none" w:sz="0" w:space="0" w:color="auto"/>
      </w:divBdr>
    </w:div>
    <w:div w:id="590429894">
      <w:bodyDiv w:val="1"/>
      <w:marLeft w:val="0"/>
      <w:marRight w:val="0"/>
      <w:marTop w:val="0"/>
      <w:marBottom w:val="0"/>
      <w:divBdr>
        <w:top w:val="none" w:sz="0" w:space="0" w:color="auto"/>
        <w:left w:val="none" w:sz="0" w:space="0" w:color="auto"/>
        <w:bottom w:val="none" w:sz="0" w:space="0" w:color="auto"/>
        <w:right w:val="none" w:sz="0" w:space="0" w:color="auto"/>
      </w:divBdr>
    </w:div>
    <w:div w:id="596140439">
      <w:bodyDiv w:val="1"/>
      <w:marLeft w:val="0"/>
      <w:marRight w:val="0"/>
      <w:marTop w:val="0"/>
      <w:marBottom w:val="0"/>
      <w:divBdr>
        <w:top w:val="none" w:sz="0" w:space="0" w:color="auto"/>
        <w:left w:val="none" w:sz="0" w:space="0" w:color="auto"/>
        <w:bottom w:val="none" w:sz="0" w:space="0" w:color="auto"/>
        <w:right w:val="none" w:sz="0" w:space="0" w:color="auto"/>
      </w:divBdr>
    </w:div>
    <w:div w:id="646016781">
      <w:bodyDiv w:val="1"/>
      <w:marLeft w:val="0"/>
      <w:marRight w:val="0"/>
      <w:marTop w:val="0"/>
      <w:marBottom w:val="0"/>
      <w:divBdr>
        <w:top w:val="none" w:sz="0" w:space="0" w:color="auto"/>
        <w:left w:val="none" w:sz="0" w:space="0" w:color="auto"/>
        <w:bottom w:val="none" w:sz="0" w:space="0" w:color="auto"/>
        <w:right w:val="none" w:sz="0" w:space="0" w:color="auto"/>
      </w:divBdr>
    </w:div>
    <w:div w:id="1024135131">
      <w:bodyDiv w:val="1"/>
      <w:marLeft w:val="0"/>
      <w:marRight w:val="0"/>
      <w:marTop w:val="0"/>
      <w:marBottom w:val="0"/>
      <w:divBdr>
        <w:top w:val="none" w:sz="0" w:space="0" w:color="auto"/>
        <w:left w:val="none" w:sz="0" w:space="0" w:color="auto"/>
        <w:bottom w:val="none" w:sz="0" w:space="0" w:color="auto"/>
        <w:right w:val="none" w:sz="0" w:space="0" w:color="auto"/>
      </w:divBdr>
    </w:div>
    <w:div w:id="1140919749">
      <w:bodyDiv w:val="1"/>
      <w:marLeft w:val="0"/>
      <w:marRight w:val="0"/>
      <w:marTop w:val="0"/>
      <w:marBottom w:val="0"/>
      <w:divBdr>
        <w:top w:val="none" w:sz="0" w:space="0" w:color="auto"/>
        <w:left w:val="none" w:sz="0" w:space="0" w:color="auto"/>
        <w:bottom w:val="none" w:sz="0" w:space="0" w:color="auto"/>
        <w:right w:val="none" w:sz="0" w:space="0" w:color="auto"/>
      </w:divBdr>
    </w:div>
    <w:div w:id="1234395080">
      <w:bodyDiv w:val="1"/>
      <w:marLeft w:val="0"/>
      <w:marRight w:val="0"/>
      <w:marTop w:val="0"/>
      <w:marBottom w:val="0"/>
      <w:divBdr>
        <w:top w:val="none" w:sz="0" w:space="0" w:color="auto"/>
        <w:left w:val="none" w:sz="0" w:space="0" w:color="auto"/>
        <w:bottom w:val="none" w:sz="0" w:space="0" w:color="auto"/>
        <w:right w:val="none" w:sz="0" w:space="0" w:color="auto"/>
      </w:divBdr>
    </w:div>
    <w:div w:id="1265725870">
      <w:bodyDiv w:val="1"/>
      <w:marLeft w:val="0"/>
      <w:marRight w:val="0"/>
      <w:marTop w:val="0"/>
      <w:marBottom w:val="0"/>
      <w:divBdr>
        <w:top w:val="none" w:sz="0" w:space="0" w:color="auto"/>
        <w:left w:val="none" w:sz="0" w:space="0" w:color="auto"/>
        <w:bottom w:val="none" w:sz="0" w:space="0" w:color="auto"/>
        <w:right w:val="none" w:sz="0" w:space="0" w:color="auto"/>
      </w:divBdr>
    </w:div>
    <w:div w:id="1369331654">
      <w:bodyDiv w:val="1"/>
      <w:marLeft w:val="0"/>
      <w:marRight w:val="0"/>
      <w:marTop w:val="0"/>
      <w:marBottom w:val="0"/>
      <w:divBdr>
        <w:top w:val="none" w:sz="0" w:space="0" w:color="auto"/>
        <w:left w:val="none" w:sz="0" w:space="0" w:color="auto"/>
        <w:bottom w:val="none" w:sz="0" w:space="0" w:color="auto"/>
        <w:right w:val="none" w:sz="0" w:space="0" w:color="auto"/>
      </w:divBdr>
    </w:div>
    <w:div w:id="1374965723">
      <w:bodyDiv w:val="1"/>
      <w:marLeft w:val="0"/>
      <w:marRight w:val="0"/>
      <w:marTop w:val="0"/>
      <w:marBottom w:val="0"/>
      <w:divBdr>
        <w:top w:val="none" w:sz="0" w:space="0" w:color="auto"/>
        <w:left w:val="none" w:sz="0" w:space="0" w:color="auto"/>
        <w:bottom w:val="none" w:sz="0" w:space="0" w:color="auto"/>
        <w:right w:val="none" w:sz="0" w:space="0" w:color="auto"/>
      </w:divBdr>
    </w:div>
    <w:div w:id="1575552577">
      <w:bodyDiv w:val="1"/>
      <w:marLeft w:val="0"/>
      <w:marRight w:val="0"/>
      <w:marTop w:val="0"/>
      <w:marBottom w:val="0"/>
      <w:divBdr>
        <w:top w:val="none" w:sz="0" w:space="0" w:color="auto"/>
        <w:left w:val="none" w:sz="0" w:space="0" w:color="auto"/>
        <w:bottom w:val="none" w:sz="0" w:space="0" w:color="auto"/>
        <w:right w:val="none" w:sz="0" w:space="0" w:color="auto"/>
      </w:divBdr>
    </w:div>
    <w:div w:id="1780299838">
      <w:bodyDiv w:val="1"/>
      <w:marLeft w:val="0"/>
      <w:marRight w:val="0"/>
      <w:marTop w:val="0"/>
      <w:marBottom w:val="0"/>
      <w:divBdr>
        <w:top w:val="none" w:sz="0" w:space="0" w:color="auto"/>
        <w:left w:val="none" w:sz="0" w:space="0" w:color="auto"/>
        <w:bottom w:val="none" w:sz="0" w:space="0" w:color="auto"/>
        <w:right w:val="none" w:sz="0" w:space="0" w:color="auto"/>
      </w:divBdr>
    </w:div>
    <w:div w:id="1879663568">
      <w:bodyDiv w:val="1"/>
      <w:marLeft w:val="0"/>
      <w:marRight w:val="0"/>
      <w:marTop w:val="0"/>
      <w:marBottom w:val="0"/>
      <w:divBdr>
        <w:top w:val="none" w:sz="0" w:space="0" w:color="auto"/>
        <w:left w:val="none" w:sz="0" w:space="0" w:color="auto"/>
        <w:bottom w:val="none" w:sz="0" w:space="0" w:color="auto"/>
        <w:right w:val="none" w:sz="0" w:space="0" w:color="auto"/>
      </w:divBdr>
    </w:div>
    <w:div w:id="1991858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cde09bf7f31e4ad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34D71-B921-4AF7-B56B-52299382401E}">
  <ds:schemaRefs>
    <ds:schemaRef ds:uri="http://schemas.microsoft.com/sharepoint/v3/contenttype/forms"/>
  </ds:schemaRefs>
</ds:datastoreItem>
</file>

<file path=customXml/itemProps2.xml><?xml version="1.0" encoding="utf-8"?>
<ds:datastoreItem xmlns:ds="http://schemas.openxmlformats.org/officeDocument/2006/customXml" ds:itemID="{58ACABAF-0BFA-4AB0-B37D-B6C8171BE634}">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8130DAD8-96EE-4762-9210-1A6A3734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E4C77-E7F1-4730-81AC-A8BF68FD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8971</Words>
  <Characters>49346</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suaza</dc:creator>
  <cp:keywords/>
  <dc:description/>
  <cp:lastModifiedBy>Hermides Alonso Gaviria Ocampo</cp:lastModifiedBy>
  <cp:revision>6</cp:revision>
  <cp:lastPrinted>2021-12-07T20:44:00Z</cp:lastPrinted>
  <dcterms:created xsi:type="dcterms:W3CDTF">2023-03-15T16:27:00Z</dcterms:created>
  <dcterms:modified xsi:type="dcterms:W3CDTF">2023-05-25T00:25:00Z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