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DA0A" w14:textId="77777777" w:rsidR="0090293F" w:rsidRPr="0090293F" w:rsidRDefault="0090293F" w:rsidP="0090293F">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textAlignment w:val="auto"/>
        <w:rPr>
          <w:rFonts w:ascii="Arial" w:hAnsi="Arial" w:cs="Arial"/>
          <w:color w:val="FF0000"/>
          <w:spacing w:val="-4"/>
          <w:sz w:val="18"/>
          <w:szCs w:val="18"/>
          <w:lang w:val="es-419" w:eastAsia="fr-FR"/>
        </w:rPr>
      </w:pPr>
      <w:bookmarkStart w:id="0" w:name="_Hlk135725360"/>
      <w:r w:rsidRPr="0090293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D473A5" w14:textId="77777777" w:rsidR="0090293F" w:rsidRPr="0090293F" w:rsidRDefault="0090293F" w:rsidP="0090293F">
      <w:pPr>
        <w:widowControl w:val="0"/>
        <w:overflowPunct/>
        <w:adjustRightInd/>
        <w:jc w:val="both"/>
        <w:textAlignment w:val="auto"/>
        <w:rPr>
          <w:rFonts w:ascii="Arial" w:hAnsi="Arial" w:cs="Arial"/>
          <w:lang w:val="es-419"/>
        </w:rPr>
      </w:pPr>
    </w:p>
    <w:p w14:paraId="01655BC3" w14:textId="19D48249" w:rsidR="0090293F" w:rsidRPr="0090293F" w:rsidRDefault="0090293F" w:rsidP="0090293F">
      <w:pPr>
        <w:widowControl w:val="0"/>
        <w:overflowPunct/>
        <w:adjustRightInd/>
        <w:jc w:val="both"/>
        <w:textAlignment w:val="auto"/>
        <w:rPr>
          <w:rFonts w:ascii="Arial" w:hAnsi="Arial" w:cs="Arial"/>
          <w:lang w:val="es-419"/>
        </w:rPr>
      </w:pPr>
      <w:r w:rsidRPr="0090293F">
        <w:rPr>
          <w:rFonts w:ascii="Arial" w:hAnsi="Arial" w:cs="Arial"/>
          <w:lang w:val="es-419"/>
        </w:rPr>
        <w:t xml:space="preserve">Expediente: </w:t>
      </w:r>
      <w:r w:rsidRPr="0090293F">
        <w:rPr>
          <w:rFonts w:ascii="Arial" w:hAnsi="Arial" w:cs="Arial"/>
          <w:lang w:val="es-419"/>
        </w:rPr>
        <w:tab/>
        <w:t>66001</w:t>
      </w:r>
      <w:r>
        <w:rPr>
          <w:rFonts w:ascii="Arial" w:hAnsi="Arial" w:cs="Arial"/>
          <w:lang w:val="es-419"/>
        </w:rPr>
        <w:t xml:space="preserve">- </w:t>
      </w:r>
      <w:r w:rsidRPr="0090293F">
        <w:rPr>
          <w:rFonts w:ascii="Arial" w:hAnsi="Arial" w:cs="Arial"/>
          <w:lang w:val="es-419"/>
        </w:rPr>
        <w:t>31</w:t>
      </w:r>
      <w:r>
        <w:rPr>
          <w:rFonts w:ascii="Arial" w:hAnsi="Arial" w:cs="Arial"/>
          <w:lang w:val="es-419"/>
        </w:rPr>
        <w:t>-</w:t>
      </w:r>
      <w:r w:rsidRPr="0090293F">
        <w:rPr>
          <w:rFonts w:ascii="Arial" w:hAnsi="Arial" w:cs="Arial"/>
          <w:lang w:val="es-419"/>
        </w:rPr>
        <w:t>03</w:t>
      </w:r>
      <w:r>
        <w:rPr>
          <w:rFonts w:ascii="Arial" w:hAnsi="Arial" w:cs="Arial"/>
          <w:lang w:val="es-419"/>
        </w:rPr>
        <w:t>-</w:t>
      </w:r>
      <w:r w:rsidRPr="0090293F">
        <w:rPr>
          <w:rFonts w:ascii="Arial" w:hAnsi="Arial" w:cs="Arial"/>
          <w:lang w:val="es-419"/>
        </w:rPr>
        <w:t>003</w:t>
      </w:r>
      <w:r>
        <w:rPr>
          <w:rFonts w:ascii="Arial" w:hAnsi="Arial" w:cs="Arial"/>
          <w:lang w:val="es-419"/>
        </w:rPr>
        <w:t>-</w:t>
      </w:r>
      <w:r w:rsidRPr="0090293F">
        <w:rPr>
          <w:rFonts w:ascii="Arial" w:hAnsi="Arial" w:cs="Arial"/>
          <w:lang w:val="es-419"/>
        </w:rPr>
        <w:t>2022</w:t>
      </w:r>
      <w:r>
        <w:rPr>
          <w:rFonts w:ascii="Arial" w:hAnsi="Arial" w:cs="Arial"/>
          <w:lang w:val="es-419"/>
        </w:rPr>
        <w:t>-</w:t>
      </w:r>
      <w:r w:rsidRPr="0090293F">
        <w:rPr>
          <w:rFonts w:ascii="Arial" w:hAnsi="Arial" w:cs="Arial"/>
          <w:lang w:val="es-419"/>
        </w:rPr>
        <w:t>00520</w:t>
      </w:r>
      <w:r>
        <w:rPr>
          <w:rFonts w:ascii="Arial" w:hAnsi="Arial" w:cs="Arial"/>
          <w:lang w:val="es-419"/>
        </w:rPr>
        <w:t>-</w:t>
      </w:r>
      <w:r w:rsidRPr="0090293F">
        <w:rPr>
          <w:rFonts w:ascii="Arial" w:hAnsi="Arial" w:cs="Arial"/>
          <w:lang w:val="es-419"/>
        </w:rPr>
        <w:t>01</w:t>
      </w:r>
    </w:p>
    <w:p w14:paraId="287DF1A7" w14:textId="4FBD558F" w:rsidR="0090293F" w:rsidRPr="0090293F" w:rsidRDefault="0090293F" w:rsidP="0090293F">
      <w:pPr>
        <w:widowControl w:val="0"/>
        <w:overflowPunct/>
        <w:adjustRightInd/>
        <w:jc w:val="both"/>
        <w:textAlignment w:val="auto"/>
        <w:rPr>
          <w:rFonts w:ascii="Arial" w:hAnsi="Arial" w:cs="Arial"/>
          <w:lang w:val="es-419"/>
        </w:rPr>
      </w:pPr>
      <w:r w:rsidRPr="0090293F">
        <w:rPr>
          <w:rFonts w:ascii="Arial" w:hAnsi="Arial" w:cs="Arial"/>
          <w:lang w:val="es-419"/>
        </w:rPr>
        <w:t>Proceso:</w:t>
      </w:r>
      <w:r w:rsidRPr="0090293F">
        <w:rPr>
          <w:rFonts w:ascii="Arial" w:hAnsi="Arial" w:cs="Arial"/>
          <w:lang w:val="es-419"/>
        </w:rPr>
        <w:tab/>
      </w:r>
      <w:r>
        <w:rPr>
          <w:rFonts w:ascii="Arial" w:hAnsi="Arial" w:cs="Arial"/>
          <w:lang w:val="es-419"/>
        </w:rPr>
        <w:t>Acción de tutela</w:t>
      </w:r>
    </w:p>
    <w:p w14:paraId="02AC54C9" w14:textId="06D0BC8D" w:rsidR="0090293F" w:rsidRPr="0090293F" w:rsidRDefault="0090293F" w:rsidP="0090293F">
      <w:pPr>
        <w:widowControl w:val="0"/>
        <w:overflowPunct/>
        <w:adjustRightInd/>
        <w:jc w:val="both"/>
        <w:textAlignment w:val="auto"/>
        <w:rPr>
          <w:rFonts w:ascii="Arial" w:hAnsi="Arial" w:cs="Arial"/>
          <w:lang w:val="es-419"/>
        </w:rPr>
      </w:pPr>
      <w:r w:rsidRPr="0090293F">
        <w:rPr>
          <w:rFonts w:ascii="Arial" w:hAnsi="Arial" w:cs="Arial"/>
          <w:lang w:val="es-419"/>
        </w:rPr>
        <w:t>Demandante:</w:t>
      </w:r>
      <w:r w:rsidRPr="0090293F">
        <w:rPr>
          <w:rFonts w:ascii="Arial" w:hAnsi="Arial" w:cs="Arial"/>
          <w:lang w:val="es-419"/>
        </w:rPr>
        <w:tab/>
        <w:t>C</w:t>
      </w:r>
      <w:r w:rsidR="00492650">
        <w:rPr>
          <w:rFonts w:ascii="Arial" w:hAnsi="Arial" w:cs="Arial"/>
          <w:lang w:val="es-419"/>
        </w:rPr>
        <w:t>onjunto Residencial Portal de la 14 – P.H.</w:t>
      </w:r>
    </w:p>
    <w:p w14:paraId="283D5C14" w14:textId="7878128D" w:rsidR="0090293F" w:rsidRPr="0090293F" w:rsidRDefault="0090293F" w:rsidP="0090293F">
      <w:pPr>
        <w:widowControl w:val="0"/>
        <w:overflowPunct/>
        <w:adjustRightInd/>
        <w:jc w:val="both"/>
        <w:textAlignment w:val="auto"/>
        <w:rPr>
          <w:rFonts w:ascii="Arial" w:hAnsi="Arial" w:cs="Arial"/>
          <w:lang w:val="es-419"/>
        </w:rPr>
      </w:pPr>
      <w:r w:rsidRPr="0090293F">
        <w:rPr>
          <w:rFonts w:ascii="Arial" w:hAnsi="Arial" w:cs="Arial"/>
          <w:lang w:val="es-419"/>
        </w:rPr>
        <w:t xml:space="preserve">Demandado: </w:t>
      </w:r>
      <w:r w:rsidRPr="0090293F">
        <w:rPr>
          <w:rFonts w:ascii="Arial" w:hAnsi="Arial" w:cs="Arial"/>
          <w:lang w:val="es-419"/>
        </w:rPr>
        <w:tab/>
      </w:r>
      <w:r w:rsidR="00492650">
        <w:rPr>
          <w:rFonts w:ascii="Arial" w:hAnsi="Arial" w:cs="Arial"/>
          <w:lang w:val="es-419"/>
        </w:rPr>
        <w:t>Juzgado Octavo Civil Municipal de Pereira</w:t>
      </w:r>
    </w:p>
    <w:p w14:paraId="55023E2D" w14:textId="77777777" w:rsidR="0090293F" w:rsidRPr="0090293F" w:rsidRDefault="0090293F" w:rsidP="0090293F">
      <w:pPr>
        <w:widowControl w:val="0"/>
        <w:overflowPunct/>
        <w:adjustRightInd/>
        <w:jc w:val="both"/>
        <w:textAlignment w:val="auto"/>
        <w:rPr>
          <w:rFonts w:ascii="Arial" w:hAnsi="Arial" w:cs="Arial"/>
          <w:lang w:val="es-419"/>
        </w:rPr>
      </w:pPr>
    </w:p>
    <w:p w14:paraId="52182172" w14:textId="1FA10B8D" w:rsidR="0090293F" w:rsidRPr="0090293F" w:rsidRDefault="0090293F" w:rsidP="0090293F">
      <w:pPr>
        <w:widowControl w:val="0"/>
        <w:overflowPunct/>
        <w:adjustRightInd/>
        <w:jc w:val="both"/>
        <w:textAlignment w:val="auto"/>
        <w:rPr>
          <w:rFonts w:ascii="Arial" w:hAnsi="Arial" w:cs="Arial"/>
          <w:lang w:val="es-419"/>
        </w:rPr>
      </w:pPr>
      <w:r w:rsidRPr="0090293F">
        <w:rPr>
          <w:rFonts w:ascii="Arial" w:hAnsi="Arial" w:cs="Arial"/>
          <w:b/>
          <w:bCs/>
          <w:iCs/>
          <w:u w:val="single"/>
          <w:lang w:val="es-419" w:eastAsia="fr-FR"/>
        </w:rPr>
        <w:t>TEMAS:</w:t>
      </w:r>
      <w:r w:rsidRPr="0090293F">
        <w:rPr>
          <w:rFonts w:ascii="Arial" w:hAnsi="Arial" w:cs="Arial"/>
          <w:b/>
          <w:bCs/>
          <w:iCs/>
          <w:lang w:val="es-419" w:eastAsia="fr-FR"/>
        </w:rPr>
        <w:tab/>
      </w:r>
      <w:r w:rsidR="00492650">
        <w:rPr>
          <w:rFonts w:ascii="Arial" w:hAnsi="Arial" w:cs="Arial"/>
          <w:b/>
          <w:bCs/>
          <w:iCs/>
          <w:lang w:val="es-419" w:eastAsia="fr-FR"/>
        </w:rPr>
        <w:t>DEBIDO PROCESO</w:t>
      </w:r>
      <w:r w:rsidR="009B40AB">
        <w:rPr>
          <w:rFonts w:ascii="Arial" w:hAnsi="Arial" w:cs="Arial"/>
          <w:b/>
          <w:bCs/>
          <w:iCs/>
          <w:lang w:val="es-419" w:eastAsia="fr-FR"/>
        </w:rPr>
        <w:t xml:space="preserve"> / TUTELA CONTRA DECISIÓN JUDICIAL / PROCEDENCIA / REQUISITOS GENERALES Y ESPECÍFICOS DE PROCEDIBILIDAD / DEFECTO FÁCTICO / DEFINICIÓN.</w:t>
      </w:r>
    </w:p>
    <w:p w14:paraId="02C7F386" w14:textId="77777777" w:rsidR="0090293F" w:rsidRPr="0090293F" w:rsidRDefault="0090293F" w:rsidP="0090293F">
      <w:pPr>
        <w:widowControl w:val="0"/>
        <w:overflowPunct/>
        <w:adjustRightInd/>
        <w:jc w:val="both"/>
        <w:textAlignment w:val="auto"/>
        <w:rPr>
          <w:rFonts w:ascii="Arial" w:hAnsi="Arial" w:cs="Arial"/>
        </w:rPr>
      </w:pPr>
    </w:p>
    <w:p w14:paraId="5D70371A" w14:textId="77777777" w:rsidR="00D579D9" w:rsidRDefault="00C34270" w:rsidP="0090293F">
      <w:pPr>
        <w:widowControl w:val="0"/>
        <w:overflowPunct/>
        <w:adjustRightInd/>
        <w:jc w:val="both"/>
        <w:textAlignment w:val="auto"/>
        <w:rPr>
          <w:rFonts w:ascii="Arial" w:hAnsi="Arial" w:cs="Arial"/>
        </w:rPr>
      </w:pPr>
      <w:r w:rsidRPr="00C34270">
        <w:rPr>
          <w:rFonts w:ascii="Arial" w:hAnsi="Arial" w:cs="Arial"/>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w:t>
      </w:r>
      <w:r w:rsidR="00D579D9" w:rsidRPr="00D579D9">
        <w:rPr>
          <w:rFonts w:ascii="Arial" w:hAnsi="Arial" w:cs="Arial"/>
        </w:rPr>
        <w:t>, en que solo cabe un amparo de esta naturaleza en la medida en que concurra alguna de las causales generales o específicas, delineadas por la Corte Constitucional en múltiples ocasiones.</w:t>
      </w:r>
    </w:p>
    <w:p w14:paraId="2F22C751" w14:textId="77777777" w:rsidR="00D579D9" w:rsidRDefault="00D579D9" w:rsidP="0090293F">
      <w:pPr>
        <w:widowControl w:val="0"/>
        <w:overflowPunct/>
        <w:adjustRightInd/>
        <w:jc w:val="both"/>
        <w:textAlignment w:val="auto"/>
        <w:rPr>
          <w:rFonts w:ascii="Arial" w:hAnsi="Arial" w:cs="Arial"/>
        </w:rPr>
      </w:pPr>
    </w:p>
    <w:p w14:paraId="4BD61EBD" w14:textId="06613CEA" w:rsidR="0090293F" w:rsidRPr="0090293F" w:rsidRDefault="00C34270" w:rsidP="0090293F">
      <w:pPr>
        <w:widowControl w:val="0"/>
        <w:overflowPunct/>
        <w:adjustRightInd/>
        <w:jc w:val="both"/>
        <w:textAlignment w:val="auto"/>
        <w:rPr>
          <w:rFonts w:ascii="Arial" w:hAnsi="Arial" w:cs="Arial"/>
        </w:rPr>
      </w:pPr>
      <w:r>
        <w:rPr>
          <w:rFonts w:ascii="Arial" w:hAnsi="Arial" w:cs="Arial"/>
        </w:rPr>
        <w:t>…</w:t>
      </w:r>
      <w:r w:rsidR="006A5410">
        <w:rPr>
          <w:rFonts w:ascii="Arial" w:hAnsi="Arial" w:cs="Arial"/>
        </w:rPr>
        <w:t xml:space="preserve"> </w:t>
      </w:r>
      <w:bookmarkStart w:id="1" w:name="_GoBack"/>
      <w:bookmarkEnd w:id="1"/>
      <w:r w:rsidR="00D579D9" w:rsidRPr="00D579D9">
        <w:rPr>
          <w:rFonts w:ascii="Arial" w:hAnsi="Arial" w:cs="Arial"/>
        </w:rPr>
        <w:t>las primeras obedecen a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w:t>
      </w:r>
      <w:r w:rsidR="00D579D9">
        <w:rPr>
          <w:rFonts w:ascii="Arial" w:hAnsi="Arial" w:cs="Arial"/>
        </w:rPr>
        <w:t xml:space="preserve">… </w:t>
      </w:r>
      <w:r w:rsidR="00D579D9" w:rsidRPr="00D579D9">
        <w:rPr>
          <w:rFonts w:ascii="Arial" w:hAnsi="Arial" w:cs="Arial"/>
        </w:rPr>
        <w:t>Y en cuanto a las segundas, es decir, las causales específicas, se compendian en los defectos (i) orgánico, (ii) sustantivo, (iii) procedimental o fáctico; (iv) error inducido; (v) decisión sin motivación</w:t>
      </w:r>
      <w:r w:rsidR="00D579D9">
        <w:rPr>
          <w:rFonts w:ascii="Arial" w:hAnsi="Arial" w:cs="Arial"/>
        </w:rPr>
        <w:t>…</w:t>
      </w:r>
    </w:p>
    <w:p w14:paraId="7066284E" w14:textId="77777777" w:rsidR="0090293F" w:rsidRPr="0090293F" w:rsidRDefault="0090293F" w:rsidP="0090293F">
      <w:pPr>
        <w:widowControl w:val="0"/>
        <w:overflowPunct/>
        <w:adjustRightInd/>
        <w:jc w:val="both"/>
        <w:textAlignment w:val="auto"/>
        <w:rPr>
          <w:rFonts w:ascii="Arial" w:hAnsi="Arial" w:cs="Arial"/>
        </w:rPr>
      </w:pPr>
    </w:p>
    <w:p w14:paraId="1A251B8B" w14:textId="79F08700" w:rsidR="0090293F" w:rsidRPr="0090293F" w:rsidRDefault="00D75563" w:rsidP="0090293F">
      <w:pPr>
        <w:widowControl w:val="0"/>
        <w:overflowPunct/>
        <w:adjustRightInd/>
        <w:jc w:val="both"/>
        <w:textAlignment w:val="auto"/>
        <w:rPr>
          <w:rFonts w:ascii="Arial" w:hAnsi="Arial" w:cs="Arial"/>
        </w:rPr>
      </w:pPr>
      <w:r>
        <w:rPr>
          <w:rFonts w:ascii="Arial" w:hAnsi="Arial" w:cs="Arial"/>
        </w:rPr>
        <w:t xml:space="preserve">… </w:t>
      </w:r>
      <w:r w:rsidRPr="00D75563">
        <w:rPr>
          <w:rFonts w:ascii="Arial" w:hAnsi="Arial" w:cs="Arial"/>
        </w:rPr>
        <w:t>defecto fáctico, el cual “Se erige sobre la malinterpretación de los hechos expuestos en un proceso, la cual deviene de una inapropiada valoración probatoria, bien porque el juez no contaba con pruebas para sustentar sus afirmaciones, ora porque al estimar su valor demostrativo fue arbitrario; La Corte ha dicho que tal arbitrariedad debe ser de tal magnitud que pueda advertirse de manera evidente y flagrante</w:t>
      </w:r>
      <w:r>
        <w:rPr>
          <w:rFonts w:ascii="Arial" w:hAnsi="Arial" w:cs="Arial"/>
        </w:rPr>
        <w:t>…”</w:t>
      </w:r>
    </w:p>
    <w:p w14:paraId="1C9E69DB" w14:textId="77777777" w:rsidR="0090293F" w:rsidRPr="0090293F" w:rsidRDefault="0090293F" w:rsidP="0090293F">
      <w:pPr>
        <w:widowControl w:val="0"/>
        <w:overflowPunct/>
        <w:adjustRightInd/>
        <w:jc w:val="both"/>
        <w:textAlignment w:val="auto"/>
        <w:rPr>
          <w:rFonts w:ascii="Arial" w:hAnsi="Arial" w:cs="Arial"/>
        </w:rPr>
      </w:pPr>
    </w:p>
    <w:p w14:paraId="044FBF8B" w14:textId="77777777" w:rsidR="0090293F" w:rsidRPr="0090293F" w:rsidRDefault="0090293F" w:rsidP="0090293F">
      <w:pPr>
        <w:widowControl w:val="0"/>
        <w:overflowPunct/>
        <w:adjustRightInd/>
        <w:jc w:val="both"/>
        <w:textAlignment w:val="auto"/>
        <w:rPr>
          <w:rFonts w:ascii="Arial" w:hAnsi="Arial" w:cs="Arial"/>
        </w:rPr>
      </w:pPr>
    </w:p>
    <w:p w14:paraId="3EB948F3" w14:textId="77777777" w:rsidR="0090293F" w:rsidRPr="0090293F" w:rsidRDefault="0090293F" w:rsidP="0090293F">
      <w:pPr>
        <w:widowControl w:val="0"/>
        <w:overflowPunct/>
        <w:adjustRightInd/>
        <w:jc w:val="both"/>
        <w:textAlignment w:val="auto"/>
        <w:rPr>
          <w:rFonts w:ascii="Arial" w:hAnsi="Arial" w:cs="Arial"/>
        </w:rPr>
      </w:pPr>
    </w:p>
    <w:p w14:paraId="653075DB" w14:textId="77777777" w:rsidR="0090293F" w:rsidRPr="0090293F" w:rsidRDefault="0090293F" w:rsidP="0090293F">
      <w:pPr>
        <w:overflowPunct/>
        <w:autoSpaceDE/>
        <w:autoSpaceDN/>
        <w:adjustRightInd/>
        <w:jc w:val="center"/>
        <w:textAlignment w:val="auto"/>
        <w:rPr>
          <w:rFonts w:ascii="Bookman Old Style" w:eastAsiaTheme="minorHAnsi" w:hAnsi="Bookman Old Style" w:cstheme="minorBidi"/>
          <w:b/>
          <w:noProof/>
          <w:sz w:val="22"/>
          <w:szCs w:val="22"/>
          <w:lang w:val="es-CO" w:eastAsia="en-US"/>
        </w:rPr>
      </w:pPr>
      <w:r w:rsidRPr="0090293F">
        <w:rPr>
          <w:rFonts w:asciiTheme="minorHAnsi" w:eastAsiaTheme="minorHAnsi" w:hAnsiTheme="minorHAnsi" w:cstheme="minorBidi"/>
          <w:noProof/>
          <w:sz w:val="22"/>
          <w:szCs w:val="22"/>
          <w:lang w:val="en-US" w:eastAsia="en-US"/>
        </w:rPr>
        <w:drawing>
          <wp:inline distT="0" distB="0" distL="0" distR="0" wp14:anchorId="79858B40" wp14:editId="133C1DF3">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0F263BC3" w14:textId="77777777" w:rsidR="0090293F" w:rsidRPr="0090293F" w:rsidRDefault="0090293F" w:rsidP="0090293F">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noProof/>
          <w:sz w:val="24"/>
          <w:szCs w:val="24"/>
          <w:lang w:val="es-CO" w:eastAsia="en-US"/>
        </w:rPr>
      </w:pPr>
      <w:r w:rsidRPr="0090293F">
        <w:rPr>
          <w:rFonts w:ascii="Gadugi" w:eastAsiaTheme="minorHAnsi" w:hAnsi="Gadugi" w:cstheme="minorBidi"/>
          <w:b/>
          <w:noProof/>
          <w:sz w:val="24"/>
          <w:szCs w:val="24"/>
          <w:lang w:val="es-CO" w:eastAsia="en-US"/>
        </w:rPr>
        <w:t>TRIBUNAL SUPERIOR DEL DISTRITO JUDICIAL</w:t>
      </w:r>
    </w:p>
    <w:p w14:paraId="48CF5C37" w14:textId="77777777" w:rsidR="0090293F" w:rsidRPr="0090293F" w:rsidRDefault="0090293F" w:rsidP="0090293F">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sz w:val="24"/>
          <w:szCs w:val="24"/>
          <w:lang w:val="es-CO" w:eastAsia="en-US"/>
        </w:rPr>
      </w:pPr>
      <w:r w:rsidRPr="0090293F">
        <w:rPr>
          <w:rFonts w:ascii="Gadugi" w:eastAsiaTheme="minorHAnsi" w:hAnsi="Gadugi" w:cstheme="minorBidi"/>
          <w:b/>
          <w:sz w:val="24"/>
          <w:szCs w:val="24"/>
          <w:lang w:val="es-CO" w:eastAsia="en-US"/>
        </w:rPr>
        <w:t>PEREIRA</w:t>
      </w:r>
    </w:p>
    <w:p w14:paraId="5611828B" w14:textId="77777777" w:rsidR="0090293F" w:rsidRPr="0090293F" w:rsidRDefault="0090293F" w:rsidP="0090293F">
      <w:pPr>
        <w:tabs>
          <w:tab w:val="center" w:pos="4419"/>
          <w:tab w:val="right" w:pos="8838"/>
        </w:tabs>
        <w:overflowPunct/>
        <w:autoSpaceDE/>
        <w:autoSpaceDN/>
        <w:adjustRightInd/>
        <w:spacing w:line="276" w:lineRule="auto"/>
        <w:jc w:val="center"/>
        <w:textAlignment w:val="auto"/>
        <w:rPr>
          <w:rFonts w:ascii="Gadugi" w:eastAsiaTheme="minorHAnsi" w:hAnsi="Gadugi" w:cstheme="minorBidi"/>
          <w:b/>
          <w:sz w:val="24"/>
          <w:szCs w:val="24"/>
          <w:lang w:val="es-CO" w:eastAsia="en-US"/>
        </w:rPr>
      </w:pPr>
      <w:r w:rsidRPr="0090293F">
        <w:rPr>
          <w:rFonts w:ascii="Gadugi" w:eastAsiaTheme="minorHAnsi" w:hAnsi="Gadugi" w:cstheme="minorBidi"/>
          <w:b/>
          <w:sz w:val="24"/>
          <w:szCs w:val="24"/>
          <w:lang w:val="es-CO" w:eastAsia="en-US"/>
        </w:rPr>
        <w:t>SALA CIVIL-FAMILIA</w:t>
      </w:r>
    </w:p>
    <w:p w14:paraId="78CA0328" w14:textId="77777777" w:rsidR="0090293F" w:rsidRPr="0090293F" w:rsidRDefault="0090293F" w:rsidP="0090293F">
      <w:pPr>
        <w:tabs>
          <w:tab w:val="center" w:pos="4419"/>
          <w:tab w:val="right" w:pos="8838"/>
        </w:tabs>
        <w:overflowPunct/>
        <w:autoSpaceDE/>
        <w:autoSpaceDN/>
        <w:adjustRightInd/>
        <w:spacing w:line="276" w:lineRule="auto"/>
        <w:textAlignment w:val="auto"/>
        <w:rPr>
          <w:rFonts w:ascii="Gadugi" w:eastAsiaTheme="minorHAnsi" w:hAnsi="Gadugi" w:cstheme="minorBidi"/>
          <w:sz w:val="24"/>
          <w:szCs w:val="24"/>
          <w:lang w:val="es-CO" w:eastAsia="en-US"/>
        </w:rPr>
      </w:pPr>
    </w:p>
    <w:bookmarkEnd w:id="0"/>
    <w:p w14:paraId="68BF6C5A" w14:textId="7A7D5B0D" w:rsidR="0006783A" w:rsidRPr="0090293F" w:rsidRDefault="0006783A" w:rsidP="0090293F">
      <w:pPr>
        <w:spacing w:line="276" w:lineRule="auto"/>
        <w:jc w:val="both"/>
        <w:rPr>
          <w:rFonts w:ascii="Gadugi" w:hAnsi="Gadugi" w:cs="Arial"/>
          <w:sz w:val="24"/>
          <w:szCs w:val="24"/>
        </w:rPr>
      </w:pPr>
      <w:r w:rsidRPr="0090293F">
        <w:rPr>
          <w:rFonts w:ascii="Gadugi" w:hAnsi="Gadugi" w:cs="Arial"/>
          <w:sz w:val="24"/>
          <w:szCs w:val="24"/>
        </w:rPr>
        <w:tab/>
      </w:r>
      <w:r w:rsidRPr="0090293F">
        <w:rPr>
          <w:rFonts w:ascii="Gadugi" w:hAnsi="Gadugi" w:cs="Arial"/>
          <w:sz w:val="24"/>
          <w:szCs w:val="24"/>
        </w:rPr>
        <w:tab/>
        <w:t xml:space="preserve">Magistrado: </w:t>
      </w:r>
      <w:r w:rsidRPr="0090293F">
        <w:rPr>
          <w:rFonts w:ascii="Gadugi" w:hAnsi="Gadugi" w:cs="Arial"/>
          <w:b/>
          <w:sz w:val="24"/>
          <w:szCs w:val="24"/>
        </w:rPr>
        <w:t>Jaime Alberto Saraza Naranjo</w:t>
      </w:r>
    </w:p>
    <w:p w14:paraId="12ACB0F5" w14:textId="0B0FFB72" w:rsidR="0006783A" w:rsidRPr="0090293F" w:rsidRDefault="0006783A" w:rsidP="0090293F">
      <w:pPr>
        <w:spacing w:line="276" w:lineRule="auto"/>
        <w:jc w:val="both"/>
        <w:rPr>
          <w:rFonts w:ascii="Gadugi" w:hAnsi="Gadugi" w:cs="Arial"/>
          <w:sz w:val="24"/>
          <w:szCs w:val="24"/>
        </w:rPr>
      </w:pPr>
      <w:r w:rsidRPr="0090293F">
        <w:rPr>
          <w:rFonts w:ascii="Gadugi" w:hAnsi="Gadugi" w:cs="Arial"/>
          <w:sz w:val="24"/>
          <w:szCs w:val="24"/>
        </w:rPr>
        <w:tab/>
      </w:r>
      <w:r w:rsidRPr="0090293F">
        <w:rPr>
          <w:rFonts w:ascii="Gadugi" w:hAnsi="Gadugi" w:cs="Arial"/>
          <w:sz w:val="24"/>
          <w:szCs w:val="24"/>
        </w:rPr>
        <w:tab/>
      </w:r>
      <w:r w:rsidR="009E0EF1" w:rsidRPr="0090293F">
        <w:rPr>
          <w:rFonts w:ascii="Gadugi" w:hAnsi="Gadugi" w:cs="Arial"/>
          <w:sz w:val="24"/>
          <w:szCs w:val="24"/>
        </w:rPr>
        <w:t xml:space="preserve">Pereira, </w:t>
      </w:r>
      <w:r w:rsidR="005408D6" w:rsidRPr="0090293F">
        <w:rPr>
          <w:rFonts w:ascii="Gadugi" w:hAnsi="Gadugi" w:cs="Arial"/>
          <w:sz w:val="24"/>
          <w:szCs w:val="24"/>
        </w:rPr>
        <w:t>marzo veintitrés de dos mil veintitrés</w:t>
      </w:r>
    </w:p>
    <w:p w14:paraId="170855EE" w14:textId="2140FADD" w:rsidR="0006783A" w:rsidRPr="0090293F" w:rsidRDefault="0006783A" w:rsidP="0090293F">
      <w:pPr>
        <w:spacing w:line="276" w:lineRule="auto"/>
        <w:jc w:val="both"/>
        <w:rPr>
          <w:rFonts w:ascii="Gadugi" w:hAnsi="Gadugi" w:cs="Arial"/>
          <w:sz w:val="24"/>
          <w:szCs w:val="24"/>
        </w:rPr>
      </w:pPr>
      <w:r w:rsidRPr="0090293F">
        <w:rPr>
          <w:rFonts w:ascii="Gadugi" w:hAnsi="Gadugi" w:cs="Arial"/>
          <w:sz w:val="24"/>
          <w:szCs w:val="24"/>
        </w:rPr>
        <w:tab/>
      </w:r>
      <w:r w:rsidRPr="0090293F">
        <w:rPr>
          <w:rFonts w:ascii="Gadugi" w:hAnsi="Gadugi" w:cs="Arial"/>
          <w:sz w:val="24"/>
          <w:szCs w:val="24"/>
        </w:rPr>
        <w:tab/>
        <w:t xml:space="preserve">Acta. </w:t>
      </w:r>
      <w:r w:rsidR="005408D6" w:rsidRPr="0090293F">
        <w:rPr>
          <w:rFonts w:ascii="Gadugi" w:hAnsi="Gadugi" w:cs="Arial"/>
          <w:sz w:val="24"/>
          <w:szCs w:val="24"/>
        </w:rPr>
        <w:t>142 del 23 de marzo 2023</w:t>
      </w:r>
    </w:p>
    <w:p w14:paraId="35D54635" w14:textId="638B1783" w:rsidR="0006783A" w:rsidRPr="0090293F" w:rsidRDefault="0006783A" w:rsidP="0090293F">
      <w:pPr>
        <w:spacing w:line="276" w:lineRule="auto"/>
        <w:jc w:val="both"/>
        <w:rPr>
          <w:rFonts w:ascii="Gadugi" w:hAnsi="Gadugi" w:cs="Arial"/>
          <w:sz w:val="24"/>
          <w:szCs w:val="24"/>
        </w:rPr>
      </w:pPr>
      <w:r w:rsidRPr="0090293F">
        <w:rPr>
          <w:rFonts w:ascii="Gadugi" w:hAnsi="Gadugi" w:cs="Arial"/>
          <w:sz w:val="24"/>
          <w:szCs w:val="24"/>
        </w:rPr>
        <w:tab/>
      </w:r>
      <w:r w:rsidRPr="0090293F">
        <w:rPr>
          <w:rFonts w:ascii="Gadugi" w:hAnsi="Gadugi" w:cs="Arial"/>
          <w:sz w:val="24"/>
          <w:szCs w:val="24"/>
        </w:rPr>
        <w:tab/>
        <w:t>Sentencia.</w:t>
      </w:r>
      <w:r w:rsidR="005408D6" w:rsidRPr="0090293F">
        <w:rPr>
          <w:rFonts w:ascii="Gadugi" w:hAnsi="Gadugi" w:cs="Arial"/>
          <w:sz w:val="24"/>
          <w:szCs w:val="24"/>
        </w:rPr>
        <w:t xml:space="preserve"> ST2-0085-2023</w:t>
      </w:r>
    </w:p>
    <w:p w14:paraId="71DF6EF9" w14:textId="44C08C08" w:rsidR="00C562AD" w:rsidRDefault="00C562AD" w:rsidP="006E373A">
      <w:pPr>
        <w:tabs>
          <w:tab w:val="left" w:pos="3108"/>
        </w:tabs>
        <w:spacing w:line="276" w:lineRule="auto"/>
        <w:jc w:val="both"/>
        <w:rPr>
          <w:rFonts w:ascii="Gadugi" w:hAnsi="Gadugi"/>
          <w:sz w:val="24"/>
          <w:szCs w:val="24"/>
        </w:rPr>
      </w:pPr>
    </w:p>
    <w:p w14:paraId="29C8FA0E" w14:textId="77777777" w:rsidR="006E373A" w:rsidRPr="0090293F" w:rsidRDefault="006E373A" w:rsidP="006E373A">
      <w:pPr>
        <w:tabs>
          <w:tab w:val="left" w:pos="3108"/>
        </w:tabs>
        <w:spacing w:line="276" w:lineRule="auto"/>
        <w:jc w:val="both"/>
        <w:rPr>
          <w:rFonts w:ascii="Gadugi" w:hAnsi="Gadugi"/>
          <w:sz w:val="24"/>
          <w:szCs w:val="24"/>
        </w:rPr>
      </w:pPr>
    </w:p>
    <w:p w14:paraId="61F907E8" w14:textId="1D1F0709" w:rsidR="008A0779" w:rsidRPr="00EA1E24" w:rsidRDefault="00C562AD" w:rsidP="0090293F">
      <w:pPr>
        <w:tabs>
          <w:tab w:val="left" w:pos="3108"/>
        </w:tabs>
        <w:spacing w:line="276" w:lineRule="auto"/>
        <w:jc w:val="both"/>
        <w:rPr>
          <w:rFonts w:ascii="Gadugi" w:hAnsi="Gadugi"/>
          <w:b/>
          <w:sz w:val="24"/>
          <w:szCs w:val="24"/>
        </w:rPr>
      </w:pPr>
      <w:r w:rsidRPr="0090293F">
        <w:rPr>
          <w:rFonts w:ascii="Gadugi" w:hAnsi="Gadugi"/>
          <w:sz w:val="24"/>
          <w:szCs w:val="24"/>
        </w:rPr>
        <w:t>Decide la Sala la impugnaci</w:t>
      </w:r>
      <w:r w:rsidR="007E7118" w:rsidRPr="0090293F">
        <w:rPr>
          <w:rFonts w:ascii="Gadugi" w:hAnsi="Gadugi"/>
          <w:sz w:val="24"/>
          <w:szCs w:val="24"/>
        </w:rPr>
        <w:t>ón</w:t>
      </w:r>
      <w:r w:rsidRPr="0090293F">
        <w:rPr>
          <w:rFonts w:ascii="Gadugi" w:hAnsi="Gadugi"/>
          <w:sz w:val="24"/>
          <w:szCs w:val="24"/>
        </w:rPr>
        <w:t xml:space="preserve"> propuesta </w:t>
      </w:r>
      <w:r w:rsidR="002327F3" w:rsidRPr="0090293F">
        <w:rPr>
          <w:rFonts w:ascii="Gadugi" w:hAnsi="Gadugi"/>
          <w:sz w:val="24"/>
          <w:szCs w:val="24"/>
        </w:rPr>
        <w:t xml:space="preserve">contra la </w:t>
      </w:r>
      <w:r w:rsidR="00366C33" w:rsidRPr="0090293F">
        <w:rPr>
          <w:rFonts w:ascii="Gadugi" w:hAnsi="Gadugi"/>
          <w:sz w:val="24"/>
          <w:szCs w:val="24"/>
        </w:rPr>
        <w:t xml:space="preserve">sentencia del </w:t>
      </w:r>
      <w:r w:rsidR="008A0779" w:rsidRPr="0090293F">
        <w:rPr>
          <w:rFonts w:ascii="Gadugi" w:hAnsi="Gadugi"/>
          <w:sz w:val="24"/>
          <w:szCs w:val="24"/>
        </w:rPr>
        <w:t>19</w:t>
      </w:r>
      <w:r w:rsidR="00590A5C" w:rsidRPr="0090293F">
        <w:rPr>
          <w:rFonts w:ascii="Gadugi" w:hAnsi="Gadugi"/>
          <w:sz w:val="24"/>
          <w:szCs w:val="24"/>
        </w:rPr>
        <w:t xml:space="preserve"> de </w:t>
      </w:r>
      <w:r w:rsidR="008A0779" w:rsidRPr="0090293F">
        <w:rPr>
          <w:rFonts w:ascii="Gadugi" w:hAnsi="Gadugi"/>
          <w:sz w:val="24"/>
          <w:szCs w:val="24"/>
        </w:rPr>
        <w:t>enero</w:t>
      </w:r>
      <w:r w:rsidR="00C07680" w:rsidRPr="0090293F">
        <w:rPr>
          <w:rFonts w:ascii="Gadugi" w:hAnsi="Gadugi"/>
          <w:sz w:val="24"/>
          <w:szCs w:val="24"/>
        </w:rPr>
        <w:t xml:space="preserve"> </w:t>
      </w:r>
      <w:r w:rsidR="00E7303F" w:rsidRPr="0090293F">
        <w:rPr>
          <w:rFonts w:ascii="Gadugi" w:hAnsi="Gadugi"/>
          <w:sz w:val="24"/>
          <w:szCs w:val="24"/>
        </w:rPr>
        <w:t>de 202</w:t>
      </w:r>
      <w:r w:rsidR="008A0779" w:rsidRPr="0090293F">
        <w:rPr>
          <w:rFonts w:ascii="Gadugi" w:hAnsi="Gadugi"/>
          <w:sz w:val="24"/>
          <w:szCs w:val="24"/>
        </w:rPr>
        <w:t>3</w:t>
      </w:r>
      <w:r w:rsidR="000649B3" w:rsidRPr="0090293F">
        <w:rPr>
          <w:rFonts w:ascii="Gadugi" w:hAnsi="Gadugi"/>
          <w:sz w:val="24"/>
          <w:szCs w:val="24"/>
        </w:rPr>
        <w:t>,</w:t>
      </w:r>
      <w:r w:rsidR="00366C33" w:rsidRPr="0090293F">
        <w:rPr>
          <w:rFonts w:ascii="Gadugi" w:hAnsi="Gadugi"/>
          <w:sz w:val="24"/>
          <w:szCs w:val="24"/>
        </w:rPr>
        <w:t xml:space="preserve"> proferida por el Juzgado </w:t>
      </w:r>
      <w:r w:rsidR="008A0779" w:rsidRPr="0090293F">
        <w:rPr>
          <w:rFonts w:ascii="Gadugi" w:hAnsi="Gadugi"/>
          <w:sz w:val="24"/>
          <w:szCs w:val="24"/>
        </w:rPr>
        <w:t>Tercero Civil del Circuito de Pereira</w:t>
      </w:r>
      <w:r w:rsidR="00D007C6" w:rsidRPr="0090293F">
        <w:rPr>
          <w:rFonts w:ascii="Gadugi" w:hAnsi="Gadugi"/>
          <w:sz w:val="24"/>
          <w:szCs w:val="24"/>
        </w:rPr>
        <w:t xml:space="preserve">, en esta </w:t>
      </w:r>
      <w:r w:rsidR="00D007C6" w:rsidRPr="0090293F">
        <w:rPr>
          <w:rFonts w:ascii="Gadugi" w:hAnsi="Gadugi"/>
          <w:b/>
          <w:sz w:val="24"/>
          <w:szCs w:val="24"/>
        </w:rPr>
        <w:t>acción de tutela</w:t>
      </w:r>
      <w:r w:rsidR="00D007C6" w:rsidRPr="0090293F">
        <w:rPr>
          <w:rFonts w:ascii="Gadugi" w:hAnsi="Gadugi"/>
          <w:sz w:val="24"/>
          <w:szCs w:val="24"/>
        </w:rPr>
        <w:t xml:space="preserve"> </w:t>
      </w:r>
      <w:r w:rsidR="008F3B81" w:rsidRPr="0090293F">
        <w:rPr>
          <w:rFonts w:ascii="Gadugi" w:hAnsi="Gadugi"/>
          <w:sz w:val="24"/>
          <w:szCs w:val="24"/>
        </w:rPr>
        <w:t>formulada</w:t>
      </w:r>
      <w:r w:rsidR="002A3FE9" w:rsidRPr="0090293F">
        <w:rPr>
          <w:rFonts w:ascii="Gadugi" w:hAnsi="Gadugi"/>
          <w:sz w:val="24"/>
          <w:szCs w:val="24"/>
        </w:rPr>
        <w:t xml:space="preserve"> </w:t>
      </w:r>
      <w:r w:rsidR="008F3B81" w:rsidRPr="0090293F">
        <w:rPr>
          <w:rFonts w:ascii="Gadugi" w:hAnsi="Gadugi"/>
          <w:sz w:val="24"/>
          <w:szCs w:val="24"/>
        </w:rPr>
        <w:t>por</w:t>
      </w:r>
      <w:r w:rsidR="008A0779" w:rsidRPr="0090293F">
        <w:rPr>
          <w:rFonts w:ascii="Gadugi" w:hAnsi="Gadugi"/>
          <w:sz w:val="24"/>
          <w:szCs w:val="24"/>
        </w:rPr>
        <w:t xml:space="preserve"> el</w:t>
      </w:r>
      <w:r w:rsidR="00DB2118" w:rsidRPr="0090293F">
        <w:rPr>
          <w:rFonts w:ascii="Gadugi" w:hAnsi="Gadugi"/>
          <w:sz w:val="24"/>
          <w:szCs w:val="24"/>
        </w:rPr>
        <w:t xml:space="preserve"> </w:t>
      </w:r>
      <w:r w:rsidR="008A0779" w:rsidRPr="0090293F">
        <w:rPr>
          <w:rFonts w:ascii="Gadugi" w:hAnsi="Gadugi"/>
          <w:b/>
          <w:sz w:val="24"/>
          <w:szCs w:val="24"/>
        </w:rPr>
        <w:t>Conjunto Residencial Portal de la 14 - P.H.</w:t>
      </w:r>
      <w:r w:rsidR="00982C7B" w:rsidRPr="0090293F">
        <w:rPr>
          <w:rFonts w:ascii="Gadugi" w:hAnsi="Gadugi"/>
          <w:b/>
          <w:sz w:val="24"/>
          <w:szCs w:val="24"/>
        </w:rPr>
        <w:t xml:space="preserve"> </w:t>
      </w:r>
      <w:r w:rsidR="00DB2118" w:rsidRPr="0090293F">
        <w:rPr>
          <w:rFonts w:ascii="Gadugi" w:hAnsi="Gadugi"/>
          <w:sz w:val="24"/>
          <w:szCs w:val="24"/>
        </w:rPr>
        <w:t xml:space="preserve">contra el </w:t>
      </w:r>
      <w:r w:rsidR="000F7815" w:rsidRPr="0090293F">
        <w:rPr>
          <w:rFonts w:ascii="Gadugi" w:hAnsi="Gadugi"/>
          <w:b/>
          <w:sz w:val="24"/>
          <w:szCs w:val="24"/>
        </w:rPr>
        <w:t xml:space="preserve">Juzgado </w:t>
      </w:r>
      <w:r w:rsidR="008A0779" w:rsidRPr="0090293F">
        <w:rPr>
          <w:rFonts w:ascii="Gadugi" w:hAnsi="Gadugi"/>
          <w:b/>
          <w:sz w:val="24"/>
          <w:szCs w:val="24"/>
        </w:rPr>
        <w:t>Octavo Civil Municipal de Pereira</w:t>
      </w:r>
      <w:r w:rsidR="00DB2118" w:rsidRPr="0090293F">
        <w:rPr>
          <w:rFonts w:ascii="Gadugi" w:hAnsi="Gadugi"/>
          <w:sz w:val="24"/>
          <w:szCs w:val="24"/>
        </w:rPr>
        <w:t xml:space="preserve"> y a la que fue</w:t>
      </w:r>
      <w:r w:rsidR="0006783A" w:rsidRPr="0090293F">
        <w:rPr>
          <w:rFonts w:ascii="Gadugi" w:hAnsi="Gadugi"/>
          <w:sz w:val="24"/>
          <w:szCs w:val="24"/>
        </w:rPr>
        <w:t xml:space="preserve"> vinculad</w:t>
      </w:r>
      <w:r w:rsidR="008A0779" w:rsidRPr="0090293F">
        <w:rPr>
          <w:rFonts w:ascii="Gadugi" w:hAnsi="Gadugi"/>
          <w:sz w:val="24"/>
          <w:szCs w:val="24"/>
        </w:rPr>
        <w:t xml:space="preserve">a la sociedad </w:t>
      </w:r>
      <w:proofErr w:type="spellStart"/>
      <w:r w:rsidR="008A0779" w:rsidRPr="00EA1E24">
        <w:rPr>
          <w:rFonts w:ascii="Gadugi" w:hAnsi="Gadugi"/>
          <w:b/>
          <w:sz w:val="24"/>
          <w:szCs w:val="24"/>
        </w:rPr>
        <w:t>Innovateck</w:t>
      </w:r>
      <w:proofErr w:type="spellEnd"/>
      <w:r w:rsidR="008A0779" w:rsidRPr="00EA1E24">
        <w:rPr>
          <w:rFonts w:ascii="Gadugi" w:hAnsi="Gadugi"/>
          <w:b/>
          <w:sz w:val="24"/>
          <w:szCs w:val="24"/>
        </w:rPr>
        <w:t xml:space="preserve"> S.A.S.</w:t>
      </w:r>
    </w:p>
    <w:p w14:paraId="1E9224F3" w14:textId="44405B7C" w:rsidR="001313B3" w:rsidRPr="0090293F" w:rsidRDefault="001313B3" w:rsidP="0090293F">
      <w:pPr>
        <w:tabs>
          <w:tab w:val="left" w:pos="2835"/>
        </w:tabs>
        <w:spacing w:line="276" w:lineRule="auto"/>
        <w:jc w:val="both"/>
        <w:rPr>
          <w:rFonts w:ascii="Gadugi" w:hAnsi="Gadugi"/>
          <w:sz w:val="24"/>
          <w:szCs w:val="24"/>
          <w:lang w:val="es-MX"/>
        </w:rPr>
      </w:pPr>
    </w:p>
    <w:p w14:paraId="1E58425D" w14:textId="60879675" w:rsidR="00CD73E5" w:rsidRPr="0090293F" w:rsidRDefault="00590A5C" w:rsidP="0090293F">
      <w:pPr>
        <w:pStyle w:val="Ttulo4"/>
        <w:tabs>
          <w:tab w:val="left" w:pos="3108"/>
        </w:tabs>
        <w:spacing w:line="276" w:lineRule="auto"/>
        <w:ind w:firstLine="0"/>
        <w:rPr>
          <w:rFonts w:ascii="Gadugi" w:hAnsi="Gadugi"/>
          <w:b/>
          <w:sz w:val="24"/>
          <w:szCs w:val="24"/>
        </w:rPr>
      </w:pPr>
      <w:r w:rsidRPr="0090293F">
        <w:rPr>
          <w:rFonts w:ascii="Gadugi" w:hAnsi="Gadugi"/>
          <w:b/>
          <w:sz w:val="24"/>
          <w:szCs w:val="24"/>
        </w:rPr>
        <w:t>1</w:t>
      </w:r>
      <w:r w:rsidR="005F599A" w:rsidRPr="0090293F">
        <w:rPr>
          <w:rFonts w:ascii="Gadugi" w:hAnsi="Gadugi"/>
          <w:b/>
          <w:sz w:val="24"/>
          <w:szCs w:val="24"/>
        </w:rPr>
        <w:t xml:space="preserve">. </w:t>
      </w:r>
      <w:r w:rsidR="00CD73E5" w:rsidRPr="0090293F">
        <w:rPr>
          <w:rFonts w:ascii="Gadugi" w:hAnsi="Gadugi"/>
          <w:b/>
          <w:sz w:val="24"/>
          <w:szCs w:val="24"/>
        </w:rPr>
        <w:t>ANTECEDENTES</w:t>
      </w:r>
    </w:p>
    <w:p w14:paraId="4605BF3F" w14:textId="5B72DA95" w:rsidR="00D90C3B" w:rsidRPr="0090293F" w:rsidRDefault="00D90C3B" w:rsidP="0090293F">
      <w:pPr>
        <w:tabs>
          <w:tab w:val="left" w:pos="2835"/>
          <w:tab w:val="left" w:pos="7695"/>
        </w:tabs>
        <w:spacing w:line="276" w:lineRule="auto"/>
        <w:jc w:val="both"/>
        <w:rPr>
          <w:rFonts w:ascii="Gadugi" w:hAnsi="Gadugi" w:cs="Century Gothic"/>
          <w:b/>
          <w:bCs/>
          <w:sz w:val="24"/>
          <w:szCs w:val="24"/>
        </w:rPr>
      </w:pPr>
    </w:p>
    <w:p w14:paraId="484494EB" w14:textId="0C054C21" w:rsidR="002E6C2E" w:rsidRPr="0090293F" w:rsidRDefault="00991D7F"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bCs/>
          <w:sz w:val="24"/>
          <w:szCs w:val="24"/>
        </w:rPr>
        <w:lastRenderedPageBreak/>
        <w:t>1.1.</w:t>
      </w:r>
      <w:r w:rsidR="008A0779" w:rsidRPr="0090293F">
        <w:rPr>
          <w:rFonts w:ascii="Gadugi" w:hAnsi="Gadugi" w:cs="Century Gothic"/>
          <w:bCs/>
          <w:sz w:val="24"/>
          <w:szCs w:val="24"/>
        </w:rPr>
        <w:t xml:space="preserve"> Explicó la parte actora que fue demandada ejecutivamente por la sociedad </w:t>
      </w:r>
      <w:proofErr w:type="spellStart"/>
      <w:r w:rsidR="008A0779" w:rsidRPr="0090293F">
        <w:rPr>
          <w:rFonts w:ascii="Gadugi" w:hAnsi="Gadugi" w:cs="Century Gothic"/>
          <w:bCs/>
          <w:sz w:val="24"/>
          <w:szCs w:val="24"/>
        </w:rPr>
        <w:t>Innovateck</w:t>
      </w:r>
      <w:proofErr w:type="spellEnd"/>
      <w:r w:rsidR="008A0779" w:rsidRPr="0090293F">
        <w:rPr>
          <w:rFonts w:ascii="Gadugi" w:hAnsi="Gadugi" w:cs="Century Gothic"/>
          <w:bCs/>
          <w:sz w:val="24"/>
          <w:szCs w:val="24"/>
        </w:rPr>
        <w:t xml:space="preserve"> S.A.S., juicio </w:t>
      </w:r>
      <w:r w:rsidR="00EB4D3B" w:rsidRPr="0090293F">
        <w:rPr>
          <w:rFonts w:ascii="Gadugi" w:hAnsi="Gadugi" w:cs="Century Gothic"/>
          <w:bCs/>
          <w:sz w:val="24"/>
          <w:szCs w:val="24"/>
        </w:rPr>
        <w:t xml:space="preserve">que </w:t>
      </w:r>
      <w:r w:rsidR="008A0779" w:rsidRPr="0090293F">
        <w:rPr>
          <w:rFonts w:ascii="Gadugi" w:hAnsi="Gadugi" w:cs="Century Gothic"/>
          <w:bCs/>
          <w:sz w:val="24"/>
          <w:szCs w:val="24"/>
        </w:rPr>
        <w:t xml:space="preserve">le correspondió al Juzgado Octavo Civil Municipal de Pereira y </w:t>
      </w:r>
      <w:r w:rsidR="00EB4D3B" w:rsidRPr="0090293F">
        <w:rPr>
          <w:rFonts w:ascii="Gadugi" w:hAnsi="Gadugi" w:cs="Century Gothic"/>
          <w:bCs/>
          <w:sz w:val="24"/>
          <w:szCs w:val="24"/>
        </w:rPr>
        <w:t>al que se</w:t>
      </w:r>
      <w:r w:rsidR="008A0779" w:rsidRPr="0090293F">
        <w:rPr>
          <w:rFonts w:ascii="Gadugi" w:hAnsi="Gadugi" w:cs="Century Gothic"/>
          <w:bCs/>
          <w:sz w:val="24"/>
          <w:szCs w:val="24"/>
        </w:rPr>
        <w:t xml:space="preserve"> le asignó el radicado </w:t>
      </w:r>
      <w:r w:rsidR="008A0779" w:rsidRPr="0090293F">
        <w:rPr>
          <w:rFonts w:ascii="Gadugi" w:hAnsi="Gadugi" w:cs="Century Gothic"/>
          <w:b/>
          <w:bCs/>
          <w:sz w:val="24"/>
          <w:szCs w:val="24"/>
        </w:rPr>
        <w:t>2021-00554-00</w:t>
      </w:r>
      <w:r w:rsidR="002E6C2E" w:rsidRPr="0090293F">
        <w:rPr>
          <w:rFonts w:ascii="Gadugi" w:hAnsi="Gadugi" w:cs="Century Gothic"/>
          <w:bCs/>
          <w:sz w:val="24"/>
          <w:szCs w:val="24"/>
        </w:rPr>
        <w:t>;</w:t>
      </w:r>
      <w:r w:rsidR="008A0779" w:rsidRPr="0090293F">
        <w:rPr>
          <w:rFonts w:ascii="Gadugi" w:hAnsi="Gadugi" w:cs="Century Gothic"/>
          <w:bCs/>
          <w:sz w:val="24"/>
          <w:szCs w:val="24"/>
        </w:rPr>
        <w:t xml:space="preserve"> </w:t>
      </w:r>
      <w:r w:rsidR="002E6C2E" w:rsidRPr="0090293F">
        <w:rPr>
          <w:rFonts w:ascii="Gadugi" w:hAnsi="Gadugi" w:cs="Century Gothic"/>
          <w:bCs/>
          <w:sz w:val="24"/>
          <w:szCs w:val="24"/>
        </w:rPr>
        <w:t>q</w:t>
      </w:r>
      <w:r w:rsidR="008A0779" w:rsidRPr="0090293F">
        <w:rPr>
          <w:rFonts w:ascii="Gadugi" w:hAnsi="Gadugi" w:cs="Century Gothic"/>
          <w:sz w:val="24"/>
          <w:szCs w:val="24"/>
        </w:rPr>
        <w:t xml:space="preserve">ue </w:t>
      </w:r>
      <w:r w:rsidR="002E6C2E" w:rsidRPr="0090293F">
        <w:rPr>
          <w:rFonts w:ascii="Gadugi" w:hAnsi="Gadugi" w:cs="Century Gothic"/>
          <w:sz w:val="24"/>
          <w:szCs w:val="24"/>
        </w:rPr>
        <w:t>la demanda se originó por un contrato de obra suscrito entre las partes para la puesta en funcionamiento de un sistema automatizado de puertas para el ingreso y la salida peatonal y vehicular.</w:t>
      </w:r>
    </w:p>
    <w:p w14:paraId="6BDC4B61" w14:textId="77777777" w:rsidR="002E6C2E" w:rsidRPr="0090293F" w:rsidRDefault="002E6C2E" w:rsidP="0090293F">
      <w:pPr>
        <w:tabs>
          <w:tab w:val="left" w:pos="2835"/>
          <w:tab w:val="left" w:pos="7695"/>
        </w:tabs>
        <w:spacing w:line="276" w:lineRule="auto"/>
        <w:jc w:val="both"/>
        <w:rPr>
          <w:rFonts w:ascii="Gadugi" w:hAnsi="Gadugi" w:cs="Century Gothic"/>
          <w:sz w:val="24"/>
          <w:szCs w:val="24"/>
        </w:rPr>
      </w:pPr>
    </w:p>
    <w:p w14:paraId="46B216F2" w14:textId="2EAB7423" w:rsidR="002E6C2E" w:rsidRPr="0090293F" w:rsidRDefault="002E6C2E"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Con base en una factura de compraventa, se libró mandamiento de pago el 27 de julio de 2021 por $6.110.872,</w:t>
      </w:r>
      <w:r w:rsidR="00D32E34">
        <w:rPr>
          <w:rFonts w:ascii="Gadugi" w:hAnsi="Gadugi" w:cs="Century Gothic"/>
          <w:sz w:val="24"/>
          <w:szCs w:val="24"/>
        </w:rPr>
        <w:t>00</w:t>
      </w:r>
      <w:r w:rsidR="00BF6D13" w:rsidRPr="0090293F">
        <w:rPr>
          <w:rFonts w:ascii="Gadugi" w:hAnsi="Gadugi" w:cs="Century Gothic"/>
          <w:sz w:val="24"/>
          <w:szCs w:val="24"/>
        </w:rPr>
        <w:t>. L</w:t>
      </w:r>
      <w:r w:rsidR="001E14B0" w:rsidRPr="0090293F">
        <w:rPr>
          <w:rFonts w:ascii="Gadugi" w:hAnsi="Gadugi" w:cs="Century Gothic"/>
          <w:sz w:val="24"/>
          <w:szCs w:val="24"/>
        </w:rPr>
        <w:t xml:space="preserve">a demanda fue contestada oportunamente </w:t>
      </w:r>
      <w:r w:rsidR="001E14B0" w:rsidRPr="0090293F">
        <w:rPr>
          <w:rFonts w:ascii="Gadugi" w:hAnsi="Gadugi" w:cs="Century Gothic"/>
          <w:i/>
          <w:sz w:val="24"/>
          <w:szCs w:val="24"/>
        </w:rPr>
        <w:t>“</w:t>
      </w:r>
      <w:r w:rsidR="001E14B0" w:rsidRPr="004A6609">
        <w:rPr>
          <w:rFonts w:ascii="Gadugi" w:hAnsi="Gadugi" w:cs="Century Gothic"/>
          <w:i/>
          <w:sz w:val="22"/>
          <w:szCs w:val="24"/>
        </w:rPr>
        <w:t>(…) alegándose la falta de cumplimiento de un contrato civil y de obra por parte del ejecutante, como negocio jurídico adyacente, que dio origen a la creación del título, teniendo en cuenta que el demandante no entrego, ni instalada, ni en completo funcionamiento, ni con garantía la obra, ni mucho menos con acta de entrega, como el contrato escrito de obra lo estableció y se le exigía</w:t>
      </w:r>
      <w:r w:rsidR="001E14B0" w:rsidRPr="0090293F">
        <w:rPr>
          <w:rFonts w:ascii="Gadugi" w:hAnsi="Gadugi" w:cs="Century Gothic"/>
          <w:i/>
          <w:sz w:val="24"/>
          <w:szCs w:val="24"/>
        </w:rPr>
        <w:t xml:space="preserve">”. </w:t>
      </w:r>
      <w:r w:rsidR="001E14B0" w:rsidRPr="0090293F">
        <w:rPr>
          <w:rFonts w:ascii="Gadugi" w:hAnsi="Gadugi" w:cs="Century Gothic"/>
          <w:sz w:val="24"/>
          <w:szCs w:val="24"/>
        </w:rPr>
        <w:t>(Sic).</w:t>
      </w:r>
      <w:r w:rsidR="001E14B0" w:rsidRPr="0090293F">
        <w:rPr>
          <w:rFonts w:ascii="Gadugi" w:hAnsi="Gadugi" w:cs="Century Gothic"/>
          <w:i/>
          <w:sz w:val="24"/>
          <w:szCs w:val="24"/>
        </w:rPr>
        <w:cr/>
      </w:r>
    </w:p>
    <w:p w14:paraId="27815F8A" w14:textId="153A7FEE" w:rsidR="001E14B0" w:rsidRPr="0090293F" w:rsidRDefault="001E14B0"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El 14 de junio de 2022 se llevó a cabo la audiencia prevista en el artículo 372 del CGP, </w:t>
      </w:r>
      <w:r w:rsidR="00BF6D13" w:rsidRPr="0090293F">
        <w:rPr>
          <w:rFonts w:ascii="Gadugi" w:hAnsi="Gadugi" w:cs="Century Gothic"/>
          <w:sz w:val="24"/>
          <w:szCs w:val="24"/>
        </w:rPr>
        <w:t xml:space="preserve">se practicaron las pruebas del caso y se anunció el sentido del fallo, informándose que la sentencia se dictaría dentro de los 10 días siguientes. </w:t>
      </w:r>
    </w:p>
    <w:p w14:paraId="004A8C1B" w14:textId="46ED9597" w:rsidR="00BF6D13" w:rsidRPr="0090293F" w:rsidRDefault="00BF6D13" w:rsidP="0090293F">
      <w:pPr>
        <w:tabs>
          <w:tab w:val="left" w:pos="2835"/>
          <w:tab w:val="left" w:pos="7695"/>
        </w:tabs>
        <w:spacing w:line="276" w:lineRule="auto"/>
        <w:jc w:val="both"/>
        <w:rPr>
          <w:rFonts w:ascii="Gadugi" w:hAnsi="Gadugi" w:cs="Century Gothic"/>
          <w:sz w:val="24"/>
          <w:szCs w:val="24"/>
        </w:rPr>
      </w:pPr>
    </w:p>
    <w:p w14:paraId="23909B06" w14:textId="1245D6CF" w:rsidR="00BF6D13" w:rsidRPr="0090293F" w:rsidRDefault="00BF6D13"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El fallo fue proferido vencidos esos 10 días, el 1° de julio de 2022, y allí se ordenó seguir adelante con la ejecución, </w:t>
      </w:r>
      <w:r w:rsidRPr="0090293F">
        <w:rPr>
          <w:rFonts w:ascii="Gadugi" w:hAnsi="Gadugi" w:cs="Century Gothic"/>
          <w:i/>
          <w:sz w:val="24"/>
          <w:szCs w:val="24"/>
        </w:rPr>
        <w:t>“</w:t>
      </w:r>
      <w:r w:rsidRPr="004A6609">
        <w:rPr>
          <w:rFonts w:ascii="Gadugi" w:hAnsi="Gadugi" w:cs="Century Gothic"/>
          <w:i/>
          <w:sz w:val="22"/>
          <w:szCs w:val="24"/>
        </w:rPr>
        <w:t>(…) sin tener en cuenta las pruebas de las excepciones propuestas como medios de defensa de la parte ejecutada, sin expresar el mínimo de argumentación con el cual se indicara por qué ni siquiera se mencionaban, ni tampoco claro, ni se valoraban, o asignaba merito a elementos de prueba presentados por la ejecutada, y con los cuales se demostraba la falta de cumplimiento del contrato de obra celebrado con el ejecutante, su falta de terminación, y ausencia de entrega de la misma</w:t>
      </w:r>
      <w:r w:rsidRPr="0090293F">
        <w:rPr>
          <w:rFonts w:ascii="Gadugi" w:hAnsi="Gadugi" w:cs="Century Gothic"/>
          <w:i/>
          <w:sz w:val="24"/>
          <w:szCs w:val="24"/>
        </w:rPr>
        <w:t>”.</w:t>
      </w:r>
    </w:p>
    <w:p w14:paraId="6BDBEA5A" w14:textId="09671E85" w:rsidR="00BF6D13" w:rsidRPr="0090293F" w:rsidRDefault="00BF6D13" w:rsidP="0090293F">
      <w:pPr>
        <w:tabs>
          <w:tab w:val="left" w:pos="2835"/>
          <w:tab w:val="left" w:pos="7695"/>
        </w:tabs>
        <w:spacing w:line="276" w:lineRule="auto"/>
        <w:jc w:val="both"/>
        <w:rPr>
          <w:rFonts w:ascii="Gadugi" w:hAnsi="Gadugi" w:cs="Century Gothic"/>
          <w:color w:val="FF0000"/>
          <w:sz w:val="24"/>
          <w:szCs w:val="24"/>
        </w:rPr>
      </w:pPr>
    </w:p>
    <w:p w14:paraId="540A7E0D" w14:textId="4C6A79E6" w:rsidR="00BF6D13" w:rsidRPr="0090293F" w:rsidRDefault="00BF6D13"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Frente a esa decisión se presentó una solicitud de aclaración haciéndole ver al juzgado las falencias anunciadas, pero </w:t>
      </w:r>
      <w:r w:rsidR="00D83311" w:rsidRPr="0090293F">
        <w:rPr>
          <w:rFonts w:ascii="Gadugi" w:hAnsi="Gadugi" w:cs="Century Gothic"/>
          <w:sz w:val="24"/>
          <w:szCs w:val="24"/>
        </w:rPr>
        <w:t>no ha sido resuelta.</w:t>
      </w:r>
    </w:p>
    <w:p w14:paraId="034433A6" w14:textId="25B88165" w:rsidR="00BF6D13" w:rsidRPr="0090293F" w:rsidRDefault="00BF6D13" w:rsidP="0090293F">
      <w:pPr>
        <w:tabs>
          <w:tab w:val="left" w:pos="2835"/>
          <w:tab w:val="left" w:pos="7695"/>
        </w:tabs>
        <w:spacing w:line="276" w:lineRule="auto"/>
        <w:jc w:val="both"/>
        <w:rPr>
          <w:rFonts w:ascii="Gadugi" w:hAnsi="Gadugi" w:cs="Century Gothic"/>
          <w:color w:val="FF0000"/>
          <w:sz w:val="24"/>
          <w:szCs w:val="24"/>
        </w:rPr>
      </w:pPr>
    </w:p>
    <w:p w14:paraId="0987D099" w14:textId="7622344A" w:rsidR="00BF6D13" w:rsidRPr="0090293F" w:rsidRDefault="00BF6D13" w:rsidP="0090293F">
      <w:pPr>
        <w:tabs>
          <w:tab w:val="left" w:pos="2835"/>
          <w:tab w:val="left" w:pos="7695"/>
        </w:tabs>
        <w:spacing w:line="276" w:lineRule="auto"/>
        <w:jc w:val="both"/>
        <w:rPr>
          <w:rFonts w:ascii="Gadugi" w:hAnsi="Gadugi" w:cs="Century Gothic"/>
          <w:color w:val="FF0000"/>
          <w:sz w:val="24"/>
          <w:szCs w:val="24"/>
        </w:rPr>
      </w:pPr>
      <w:r w:rsidRPr="0090293F">
        <w:rPr>
          <w:rFonts w:ascii="Gadugi" w:hAnsi="Gadugi" w:cs="Century Gothic"/>
          <w:sz w:val="24"/>
          <w:szCs w:val="24"/>
        </w:rPr>
        <w:t xml:space="preserve">Hasta aquí </w:t>
      </w:r>
      <w:r w:rsidR="00CC626F" w:rsidRPr="0090293F">
        <w:rPr>
          <w:rFonts w:ascii="Gadugi" w:hAnsi="Gadugi" w:cs="Century Gothic"/>
          <w:sz w:val="24"/>
          <w:szCs w:val="24"/>
        </w:rPr>
        <w:t>las quejas contra el</w:t>
      </w:r>
      <w:r w:rsidRPr="0090293F">
        <w:rPr>
          <w:rFonts w:ascii="Gadugi" w:hAnsi="Gadugi" w:cs="Century Gothic"/>
          <w:sz w:val="24"/>
          <w:szCs w:val="24"/>
        </w:rPr>
        <w:t xml:space="preserve"> fallo proferido en ese juicio, </w:t>
      </w:r>
      <w:r w:rsidR="00CC626F" w:rsidRPr="0090293F">
        <w:rPr>
          <w:rFonts w:ascii="Gadugi" w:hAnsi="Gadugi" w:cs="Century Gothic"/>
          <w:sz w:val="24"/>
          <w:szCs w:val="24"/>
        </w:rPr>
        <w:t xml:space="preserve">pero, por otra parte, la parte actora también reprochó lo sucedido con una medida cautelar decretada a la par con el mandamiento de pago, en la que se embargó </w:t>
      </w:r>
      <w:r w:rsidRPr="0090293F">
        <w:rPr>
          <w:rFonts w:ascii="Gadugi" w:hAnsi="Gadugi" w:cs="Century Gothic"/>
          <w:sz w:val="24"/>
          <w:szCs w:val="24"/>
        </w:rPr>
        <w:t>la cuenta de ahorros de la P.H. del Banco Colpatria y la retención de dineros hasta la suma de $9.200.000,</w:t>
      </w:r>
      <w:r w:rsidR="009F1425">
        <w:rPr>
          <w:rFonts w:ascii="Gadugi" w:hAnsi="Gadugi" w:cs="Century Gothic"/>
          <w:sz w:val="24"/>
          <w:szCs w:val="24"/>
        </w:rPr>
        <w:t>00</w:t>
      </w:r>
      <w:r w:rsidR="007F61A1" w:rsidRPr="0090293F">
        <w:rPr>
          <w:rFonts w:ascii="Gadugi" w:hAnsi="Gadugi" w:cs="Century Gothic"/>
          <w:sz w:val="24"/>
          <w:szCs w:val="24"/>
        </w:rPr>
        <w:t xml:space="preserve">, esa cautela surtió efectos, y el Banco Colpatria remitió ese dinero a la cuenta del Juzgado del Banco Agrario. </w:t>
      </w:r>
    </w:p>
    <w:p w14:paraId="0240C30F" w14:textId="77777777" w:rsidR="00BF6D13" w:rsidRPr="0090293F" w:rsidRDefault="00BF6D13" w:rsidP="0090293F">
      <w:pPr>
        <w:tabs>
          <w:tab w:val="left" w:pos="2835"/>
          <w:tab w:val="left" w:pos="7695"/>
        </w:tabs>
        <w:spacing w:line="276" w:lineRule="auto"/>
        <w:jc w:val="both"/>
        <w:rPr>
          <w:rFonts w:ascii="Gadugi" w:hAnsi="Gadugi" w:cs="Century Gothic"/>
          <w:sz w:val="24"/>
          <w:szCs w:val="24"/>
        </w:rPr>
      </w:pPr>
    </w:p>
    <w:p w14:paraId="0547C06D" w14:textId="379F1506" w:rsidR="002E6C2E" w:rsidRPr="0090293F" w:rsidRDefault="00CC626F"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En relación con ello, </w:t>
      </w:r>
      <w:r w:rsidR="004C5905" w:rsidRPr="0090293F">
        <w:rPr>
          <w:rFonts w:ascii="Gadugi" w:hAnsi="Gadugi" w:cs="Century Gothic"/>
          <w:sz w:val="24"/>
          <w:szCs w:val="24"/>
        </w:rPr>
        <w:t xml:space="preserve">se le solicitó al juzgado </w:t>
      </w:r>
      <w:r w:rsidR="00D83F33" w:rsidRPr="0090293F">
        <w:rPr>
          <w:rFonts w:ascii="Gadugi" w:hAnsi="Gadugi" w:cs="Century Gothic"/>
          <w:sz w:val="24"/>
          <w:szCs w:val="24"/>
        </w:rPr>
        <w:t>exigirle a la parte demandante constituir una póliza de conformidad con lo dispuesto en el numeral 5° del artículo 599 del CGP, a lo cual el juzgado accedió con auto del 28 de octubre de 2021</w:t>
      </w:r>
      <w:r w:rsidR="007F61A1" w:rsidRPr="0090293F">
        <w:rPr>
          <w:rFonts w:ascii="Gadugi" w:hAnsi="Gadugi" w:cs="Century Gothic"/>
          <w:sz w:val="24"/>
          <w:szCs w:val="24"/>
        </w:rPr>
        <w:t xml:space="preserve">, so pena de levantar la cautela. </w:t>
      </w:r>
    </w:p>
    <w:p w14:paraId="6FB0C88A" w14:textId="6C0A391C" w:rsidR="007F61A1" w:rsidRPr="0090293F" w:rsidRDefault="007F61A1" w:rsidP="0090293F">
      <w:pPr>
        <w:tabs>
          <w:tab w:val="left" w:pos="2835"/>
          <w:tab w:val="left" w:pos="7695"/>
        </w:tabs>
        <w:spacing w:line="276" w:lineRule="auto"/>
        <w:jc w:val="both"/>
        <w:rPr>
          <w:rFonts w:ascii="Gadugi" w:hAnsi="Gadugi" w:cs="Century Gothic"/>
          <w:sz w:val="24"/>
          <w:szCs w:val="24"/>
        </w:rPr>
      </w:pPr>
    </w:p>
    <w:p w14:paraId="5F3DE56D" w14:textId="5BB5041B" w:rsidR="007F61A1" w:rsidRPr="0090293F" w:rsidRDefault="007F61A1"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lastRenderedPageBreak/>
        <w:t xml:space="preserve">La parte demandante incumplió lo requerido y entonces, con proveído del 16 de marzo de 2022, el despacho ordenó el levantamiento </w:t>
      </w:r>
      <w:r w:rsidR="00A21294" w:rsidRPr="0090293F">
        <w:rPr>
          <w:rFonts w:ascii="Gadugi" w:hAnsi="Gadugi" w:cs="Century Gothic"/>
          <w:sz w:val="24"/>
          <w:szCs w:val="24"/>
        </w:rPr>
        <w:t>del embargo</w:t>
      </w:r>
      <w:r w:rsidRPr="0090293F">
        <w:rPr>
          <w:rFonts w:ascii="Gadugi" w:hAnsi="Gadugi" w:cs="Century Gothic"/>
          <w:sz w:val="24"/>
          <w:szCs w:val="24"/>
        </w:rPr>
        <w:t xml:space="preserve">, no obstante, </w:t>
      </w:r>
      <w:r w:rsidR="00A21294" w:rsidRPr="0090293F">
        <w:rPr>
          <w:rFonts w:ascii="Gadugi" w:hAnsi="Gadugi" w:cs="Century Gothic"/>
          <w:sz w:val="24"/>
          <w:szCs w:val="24"/>
        </w:rPr>
        <w:t>omitió liberar</w:t>
      </w:r>
      <w:r w:rsidR="00D83311" w:rsidRPr="0090293F">
        <w:rPr>
          <w:rFonts w:ascii="Gadugi" w:hAnsi="Gadugi" w:cs="Century Gothic"/>
          <w:sz w:val="24"/>
          <w:szCs w:val="24"/>
        </w:rPr>
        <w:t xml:space="preserve"> el dinero que ya había sido trasladado a la cuenta del Banco Agrario del juzgado. </w:t>
      </w:r>
    </w:p>
    <w:p w14:paraId="338CFA72" w14:textId="4270B26B" w:rsidR="00D83311" w:rsidRPr="0090293F" w:rsidRDefault="00D83311" w:rsidP="0090293F">
      <w:pPr>
        <w:tabs>
          <w:tab w:val="left" w:pos="2835"/>
          <w:tab w:val="left" w:pos="7695"/>
        </w:tabs>
        <w:spacing w:line="276" w:lineRule="auto"/>
        <w:jc w:val="both"/>
        <w:rPr>
          <w:rFonts w:ascii="Gadugi" w:hAnsi="Gadugi" w:cs="Century Gothic"/>
          <w:sz w:val="24"/>
          <w:szCs w:val="24"/>
        </w:rPr>
      </w:pPr>
    </w:p>
    <w:p w14:paraId="787985E3" w14:textId="16DA78DE" w:rsidR="00D83311" w:rsidRPr="0090293F" w:rsidRDefault="00D83311"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Por eso, el 17 de junio de 2022 se le pidió al despacho el levantamiento completo de las medidas, esto es, cancelar la retención del dinero que le había sido trasladado, esa solicitud se reiteró el 8 de julio siguiente, y fue negada el 5 de agosto por el juzgado aduciendo que </w:t>
      </w:r>
      <w:r w:rsidRPr="0090293F">
        <w:rPr>
          <w:rFonts w:ascii="Gadugi" w:hAnsi="Gadugi" w:cs="Century Gothic"/>
          <w:i/>
          <w:sz w:val="24"/>
          <w:szCs w:val="24"/>
        </w:rPr>
        <w:t>“</w:t>
      </w:r>
      <w:r w:rsidRPr="004A6609">
        <w:rPr>
          <w:rFonts w:ascii="Gadugi" w:hAnsi="Gadugi" w:cs="Century Gothic"/>
          <w:i/>
          <w:sz w:val="22"/>
          <w:szCs w:val="24"/>
        </w:rPr>
        <w:t>(…) la petición de levantamiento de esas medidas, había sido resuelta mediante auto del día 16 de marzo de 2022, y que frente a dicha decisión ninguna manifestación</w:t>
      </w:r>
      <w:r w:rsidRPr="0090293F">
        <w:rPr>
          <w:rFonts w:ascii="Gadugi" w:hAnsi="Gadugi" w:cs="Century Gothic"/>
          <w:i/>
          <w:sz w:val="24"/>
          <w:szCs w:val="24"/>
        </w:rPr>
        <w:t>”.</w:t>
      </w:r>
    </w:p>
    <w:p w14:paraId="2F318D7A" w14:textId="565BA82D" w:rsidR="00D83F33" w:rsidRPr="0090293F" w:rsidRDefault="00D83F33" w:rsidP="0090293F">
      <w:pPr>
        <w:tabs>
          <w:tab w:val="left" w:pos="2835"/>
          <w:tab w:val="left" w:pos="7695"/>
        </w:tabs>
        <w:spacing w:line="276" w:lineRule="auto"/>
        <w:jc w:val="both"/>
        <w:rPr>
          <w:rFonts w:ascii="Gadugi" w:hAnsi="Gadugi" w:cs="Century Gothic"/>
          <w:sz w:val="24"/>
          <w:szCs w:val="24"/>
        </w:rPr>
      </w:pPr>
    </w:p>
    <w:p w14:paraId="154FA3C9" w14:textId="79ED0388" w:rsidR="00D83311" w:rsidRPr="0090293F" w:rsidRDefault="00837E8A"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Por la inconformidad frente a esa decisión,</w:t>
      </w:r>
      <w:r w:rsidR="00D83311" w:rsidRPr="0090293F">
        <w:rPr>
          <w:rFonts w:ascii="Gadugi" w:hAnsi="Gadugi" w:cs="Century Gothic"/>
          <w:sz w:val="24"/>
          <w:szCs w:val="24"/>
        </w:rPr>
        <w:t xml:space="preserve"> se formularon </w:t>
      </w:r>
      <w:r w:rsidRPr="0090293F">
        <w:rPr>
          <w:rFonts w:ascii="Gadugi" w:hAnsi="Gadugi" w:cs="Century Gothic"/>
          <w:sz w:val="24"/>
          <w:szCs w:val="24"/>
        </w:rPr>
        <w:t>sendos</w:t>
      </w:r>
      <w:r w:rsidR="00D83311" w:rsidRPr="0090293F">
        <w:rPr>
          <w:rFonts w:ascii="Gadugi" w:hAnsi="Gadugi" w:cs="Century Gothic"/>
          <w:sz w:val="24"/>
          <w:szCs w:val="24"/>
        </w:rPr>
        <w:t xml:space="preserve"> recursos de reposición y apelación, pero no han sido resueltos</w:t>
      </w:r>
      <w:r w:rsidRPr="0090293F">
        <w:rPr>
          <w:rFonts w:ascii="Gadugi" w:hAnsi="Gadugi" w:cs="Century Gothic"/>
          <w:sz w:val="24"/>
          <w:szCs w:val="24"/>
        </w:rPr>
        <w:t>, además se elevó un derecho de petición que fue despachado desfavorablemente con auto del 5 de agosto de 2022.</w:t>
      </w:r>
      <w:r w:rsidR="00D83311" w:rsidRPr="0090293F">
        <w:rPr>
          <w:rFonts w:ascii="Gadugi" w:hAnsi="Gadugi" w:cs="Century Gothic"/>
          <w:sz w:val="24"/>
          <w:szCs w:val="24"/>
        </w:rPr>
        <w:t xml:space="preserve"> </w:t>
      </w:r>
    </w:p>
    <w:p w14:paraId="4323F5CA" w14:textId="01BFD9E1" w:rsidR="008E7C9F" w:rsidRPr="0090293F" w:rsidRDefault="008E7C9F" w:rsidP="0090293F">
      <w:pPr>
        <w:tabs>
          <w:tab w:val="left" w:pos="2835"/>
          <w:tab w:val="left" w:pos="7695"/>
        </w:tabs>
        <w:spacing w:line="276" w:lineRule="auto"/>
        <w:jc w:val="both"/>
        <w:rPr>
          <w:rFonts w:ascii="Gadugi" w:hAnsi="Gadugi" w:cs="Century Gothic"/>
          <w:sz w:val="24"/>
          <w:szCs w:val="24"/>
        </w:rPr>
      </w:pPr>
    </w:p>
    <w:p w14:paraId="38163760" w14:textId="48B31249" w:rsidR="00D83311" w:rsidRPr="0090293F" w:rsidRDefault="00D83311"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Se solicitó, entonces, </w:t>
      </w:r>
      <w:r w:rsidR="00160247" w:rsidRPr="0090293F">
        <w:rPr>
          <w:rFonts w:ascii="Gadugi" w:hAnsi="Gadugi" w:cs="Century Gothic"/>
          <w:i/>
          <w:sz w:val="24"/>
          <w:szCs w:val="24"/>
        </w:rPr>
        <w:t>“</w:t>
      </w:r>
      <w:r w:rsidR="00160247" w:rsidRPr="004A6609">
        <w:rPr>
          <w:rFonts w:ascii="Gadugi" w:hAnsi="Gadugi" w:cs="Century Gothic"/>
          <w:i/>
          <w:sz w:val="22"/>
          <w:szCs w:val="24"/>
        </w:rPr>
        <w:t>(…) que se declare la nulidad de la sentencia dictada por la autoridad accionada y de las actuaciones que la precedieron (…)</w:t>
      </w:r>
      <w:r w:rsidR="00160247" w:rsidRPr="0090293F">
        <w:rPr>
          <w:rFonts w:ascii="Gadugi" w:hAnsi="Gadugi" w:cs="Century Gothic"/>
          <w:i/>
          <w:sz w:val="24"/>
          <w:szCs w:val="24"/>
        </w:rPr>
        <w:t xml:space="preserve">”, </w:t>
      </w:r>
      <w:r w:rsidR="00160247" w:rsidRPr="0090293F">
        <w:rPr>
          <w:rFonts w:ascii="Gadugi" w:hAnsi="Gadugi" w:cs="Century Gothic"/>
          <w:sz w:val="24"/>
          <w:szCs w:val="24"/>
        </w:rPr>
        <w:t xml:space="preserve">cuestionando que no se le hubiera dado solución oportuna a la petición de aclaración que se formuló contra el fallo y a los recursos de reposición y apelación que se presentaron contra </w:t>
      </w:r>
      <w:r w:rsidR="00CE0057" w:rsidRPr="0090293F">
        <w:rPr>
          <w:rFonts w:ascii="Gadugi" w:hAnsi="Gadugi" w:cs="Century Gothic"/>
          <w:sz w:val="24"/>
          <w:szCs w:val="24"/>
        </w:rPr>
        <w:t>el auto del 5 de agosto de 2022.</w:t>
      </w:r>
      <w:r w:rsidR="00E113FB" w:rsidRPr="0090293F">
        <w:rPr>
          <w:rStyle w:val="Refdenotaalpie"/>
          <w:rFonts w:ascii="Gadugi" w:hAnsi="Gadugi"/>
          <w:sz w:val="24"/>
          <w:szCs w:val="24"/>
        </w:rPr>
        <w:footnoteReference w:id="1"/>
      </w:r>
    </w:p>
    <w:p w14:paraId="21BCDB91" w14:textId="654000E5" w:rsidR="00D83F33" w:rsidRPr="0090293F" w:rsidRDefault="00D83F33" w:rsidP="0090293F">
      <w:pPr>
        <w:tabs>
          <w:tab w:val="left" w:pos="2835"/>
          <w:tab w:val="left" w:pos="7695"/>
        </w:tabs>
        <w:spacing w:line="276" w:lineRule="auto"/>
        <w:jc w:val="both"/>
        <w:rPr>
          <w:rFonts w:ascii="Gadugi" w:hAnsi="Gadugi" w:cs="Century Gothic"/>
          <w:sz w:val="24"/>
          <w:szCs w:val="24"/>
        </w:rPr>
      </w:pPr>
    </w:p>
    <w:p w14:paraId="636F4C5F" w14:textId="60032DC3" w:rsidR="00D83F33" w:rsidRPr="0090293F" w:rsidRDefault="00CE0057"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1.2. Tras una inadmisión</w:t>
      </w:r>
      <w:r w:rsidR="006D2647" w:rsidRPr="0090293F">
        <w:rPr>
          <w:rStyle w:val="Refdenotaalpie"/>
          <w:rFonts w:ascii="Gadugi" w:hAnsi="Gadugi"/>
          <w:sz w:val="24"/>
          <w:szCs w:val="24"/>
        </w:rPr>
        <w:footnoteReference w:id="2"/>
      </w:r>
      <w:r w:rsidRPr="0090293F">
        <w:rPr>
          <w:rFonts w:ascii="Gadugi" w:hAnsi="Gadugi" w:cs="Century Gothic"/>
          <w:sz w:val="24"/>
          <w:szCs w:val="24"/>
        </w:rPr>
        <w:t>, a la tutela se le dio impuso en primera instancia con auto del 14 de diciembre de 2022</w:t>
      </w:r>
      <w:r w:rsidR="006D2647" w:rsidRPr="0090293F">
        <w:rPr>
          <w:rStyle w:val="Refdenotaalpie"/>
          <w:rFonts w:ascii="Gadugi" w:hAnsi="Gadugi"/>
          <w:sz w:val="24"/>
          <w:szCs w:val="24"/>
        </w:rPr>
        <w:footnoteReference w:id="3"/>
      </w:r>
      <w:r w:rsidRPr="0090293F">
        <w:rPr>
          <w:rFonts w:ascii="Gadugi" w:hAnsi="Gadugi" w:cs="Century Gothic"/>
          <w:sz w:val="24"/>
          <w:szCs w:val="24"/>
        </w:rPr>
        <w:t>.</w:t>
      </w:r>
    </w:p>
    <w:p w14:paraId="03D9C16F" w14:textId="53DE6B9B" w:rsidR="00CE0057" w:rsidRPr="0090293F" w:rsidRDefault="00CE0057" w:rsidP="0090293F">
      <w:pPr>
        <w:tabs>
          <w:tab w:val="left" w:pos="2835"/>
          <w:tab w:val="left" w:pos="7695"/>
        </w:tabs>
        <w:spacing w:line="276" w:lineRule="auto"/>
        <w:jc w:val="both"/>
        <w:rPr>
          <w:rFonts w:ascii="Gadugi" w:hAnsi="Gadugi" w:cs="Century Gothic"/>
          <w:sz w:val="24"/>
          <w:szCs w:val="24"/>
        </w:rPr>
      </w:pPr>
    </w:p>
    <w:p w14:paraId="4A9159F8" w14:textId="36DE1197" w:rsidR="00837E8A" w:rsidRPr="0090293F" w:rsidRDefault="00CE0057"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1.3. El juez acusado</w:t>
      </w:r>
      <w:r w:rsidR="006D2647" w:rsidRPr="0090293F">
        <w:rPr>
          <w:rFonts w:ascii="Gadugi" w:hAnsi="Gadugi" w:cs="Century Gothic"/>
          <w:sz w:val="24"/>
          <w:szCs w:val="24"/>
        </w:rPr>
        <w:t xml:space="preserve"> remitió el enlace para acceder al proceso referido en la demanda</w:t>
      </w:r>
      <w:r w:rsidR="006D2647" w:rsidRPr="0090293F">
        <w:rPr>
          <w:rStyle w:val="Refdenotaalpie"/>
          <w:rFonts w:ascii="Gadugi" w:hAnsi="Gadugi"/>
          <w:sz w:val="24"/>
          <w:szCs w:val="24"/>
        </w:rPr>
        <w:footnoteReference w:id="4"/>
      </w:r>
      <w:r w:rsidR="006D2647" w:rsidRPr="0090293F">
        <w:rPr>
          <w:rFonts w:ascii="Gadugi" w:hAnsi="Gadugi" w:cs="Century Gothic"/>
          <w:sz w:val="24"/>
          <w:szCs w:val="24"/>
        </w:rPr>
        <w:t xml:space="preserve"> y</w:t>
      </w:r>
      <w:r w:rsidRPr="0090293F">
        <w:rPr>
          <w:rFonts w:ascii="Gadugi" w:hAnsi="Gadugi" w:cs="Century Gothic"/>
          <w:sz w:val="24"/>
          <w:szCs w:val="24"/>
        </w:rPr>
        <w:t xml:space="preserve"> explicó que</w:t>
      </w:r>
      <w:r w:rsidR="00837E8A" w:rsidRPr="0090293F">
        <w:rPr>
          <w:rFonts w:ascii="Gadugi" w:hAnsi="Gadugi" w:cs="Century Gothic"/>
          <w:sz w:val="24"/>
          <w:szCs w:val="24"/>
        </w:rPr>
        <w:t>:</w:t>
      </w:r>
    </w:p>
    <w:p w14:paraId="16D30090" w14:textId="460D8E05" w:rsidR="00CE0057" w:rsidRPr="0090293F" w:rsidRDefault="00CE0057"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 </w:t>
      </w:r>
    </w:p>
    <w:p w14:paraId="40F4ED1C" w14:textId="3E04CA13" w:rsidR="00DC5280" w:rsidRPr="006E373A" w:rsidRDefault="00DC5280" w:rsidP="006E373A">
      <w:pPr>
        <w:tabs>
          <w:tab w:val="left" w:pos="2835"/>
        </w:tabs>
        <w:ind w:left="426" w:right="420"/>
        <w:jc w:val="both"/>
        <w:rPr>
          <w:rFonts w:ascii="Gadugi" w:hAnsi="Gadugi" w:cs="Century Gothic"/>
          <w:sz w:val="22"/>
          <w:szCs w:val="24"/>
        </w:rPr>
      </w:pPr>
      <w:r w:rsidRPr="006E373A">
        <w:rPr>
          <w:rFonts w:ascii="Gadugi" w:hAnsi="Gadugi" w:cs="Century Gothic"/>
          <w:sz w:val="22"/>
          <w:szCs w:val="24"/>
        </w:rPr>
        <w:t>Alude la accionante a indebida valoración probatoria en la sentencia que resolvió en su contra el litigio, además a que no se le ha dado respuesta a un derecho de petición que elevó al interior de la actuación, una solicitud de aclaración a la sentencia proferida y no se ha resu</w:t>
      </w:r>
      <w:r w:rsidR="000B636F" w:rsidRPr="006E373A">
        <w:rPr>
          <w:rFonts w:ascii="Gadugi" w:hAnsi="Gadugi" w:cs="Century Gothic"/>
          <w:sz w:val="22"/>
          <w:szCs w:val="24"/>
        </w:rPr>
        <w:t>e</w:t>
      </w:r>
      <w:r w:rsidRPr="006E373A">
        <w:rPr>
          <w:rFonts w:ascii="Gadugi" w:hAnsi="Gadugi" w:cs="Century Gothic"/>
          <w:sz w:val="22"/>
          <w:szCs w:val="24"/>
        </w:rPr>
        <w:t>lto recurso de reposición formulado frente al no levantamiento de medida sobre dineros que obran depositados en la cuenta del Juzgado a favor del proceso.</w:t>
      </w:r>
    </w:p>
    <w:p w14:paraId="4146ED93" w14:textId="77777777" w:rsidR="00DC5280" w:rsidRPr="006E373A" w:rsidRDefault="00DC5280" w:rsidP="006E373A">
      <w:pPr>
        <w:tabs>
          <w:tab w:val="left" w:pos="2835"/>
        </w:tabs>
        <w:ind w:left="426" w:right="420"/>
        <w:jc w:val="both"/>
        <w:rPr>
          <w:rFonts w:ascii="Gadugi" w:hAnsi="Gadugi" w:cs="Century Gothic"/>
          <w:sz w:val="22"/>
          <w:szCs w:val="24"/>
        </w:rPr>
      </w:pPr>
    </w:p>
    <w:p w14:paraId="110E3CEC" w14:textId="400A766F" w:rsidR="00DC5280" w:rsidRPr="006E373A" w:rsidRDefault="00872A52" w:rsidP="006E373A">
      <w:pPr>
        <w:tabs>
          <w:tab w:val="left" w:pos="2835"/>
        </w:tabs>
        <w:ind w:left="426" w:right="420"/>
        <w:jc w:val="both"/>
        <w:rPr>
          <w:rFonts w:ascii="Gadugi" w:hAnsi="Gadugi" w:cs="Century Gothic"/>
          <w:sz w:val="22"/>
          <w:szCs w:val="24"/>
        </w:rPr>
      </w:pPr>
      <w:r w:rsidRPr="006E373A">
        <w:rPr>
          <w:rFonts w:ascii="Gadugi" w:hAnsi="Gadugi" w:cs="Century Gothic"/>
          <w:sz w:val="22"/>
          <w:szCs w:val="24"/>
        </w:rPr>
        <w:t>(…)</w:t>
      </w:r>
      <w:r w:rsidR="00DC5280" w:rsidRPr="006E373A">
        <w:rPr>
          <w:rFonts w:ascii="Gadugi" w:hAnsi="Gadugi" w:cs="Century Gothic"/>
          <w:sz w:val="22"/>
          <w:szCs w:val="24"/>
        </w:rPr>
        <w:t xml:space="preserve"> frente al derecho de petición no es cierto que no se le haya brindado respuesta, pues en el plenario se puede observar que sí se emitió y notificó, aunque no en el sentido requerido por la usuaria, lo cual no entraña vulneración al derecho de petición; frente a la solicitud de aclaración de sentencia, también obra pronunciamiento en el expediente, y frente al recurso, es pertinente mencionar que ha sido resuelto por auto de la fecha (15-12-2022).</w:t>
      </w:r>
    </w:p>
    <w:p w14:paraId="6A71E56F" w14:textId="2E7BCEF5" w:rsidR="00D83F33" w:rsidRPr="0090293F" w:rsidRDefault="00D83F33" w:rsidP="0090293F">
      <w:pPr>
        <w:tabs>
          <w:tab w:val="left" w:pos="2835"/>
          <w:tab w:val="left" w:pos="7695"/>
        </w:tabs>
        <w:spacing w:line="276" w:lineRule="auto"/>
        <w:jc w:val="both"/>
        <w:rPr>
          <w:rFonts w:ascii="Gadugi" w:hAnsi="Gadugi" w:cs="Century Gothic"/>
          <w:sz w:val="24"/>
          <w:szCs w:val="24"/>
        </w:rPr>
      </w:pPr>
    </w:p>
    <w:p w14:paraId="5EBF5B9A" w14:textId="66352E7C" w:rsidR="00D83F33" w:rsidRPr="0090293F" w:rsidRDefault="00DC5280"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lastRenderedPageBreak/>
        <w:t xml:space="preserve">Y </w:t>
      </w:r>
      <w:r w:rsidRPr="0090293F">
        <w:rPr>
          <w:rFonts w:ascii="Gadugi" w:hAnsi="Gadugi" w:cs="Century Gothic"/>
          <w:i/>
          <w:sz w:val="24"/>
          <w:szCs w:val="24"/>
        </w:rPr>
        <w:t>“</w:t>
      </w:r>
      <w:r w:rsidRPr="004A6609">
        <w:rPr>
          <w:rFonts w:ascii="Gadugi" w:hAnsi="Gadugi" w:cs="Century Gothic"/>
          <w:i/>
          <w:sz w:val="22"/>
          <w:szCs w:val="24"/>
        </w:rPr>
        <w:t>(…) en cuanto al análisis probatorio que se hace en algunos hechos, el despacho se estará a lo ya decidido al interior del proceso ejecutivo, pues se considera que no es la tutela el escenario para cuestionar la decisión que ajustada a derecho y con base en el análisis del material probatorio recaudado, se tomó por el suscrito en única instancia</w:t>
      </w:r>
      <w:r w:rsidRPr="0090293F">
        <w:rPr>
          <w:rFonts w:ascii="Gadugi" w:hAnsi="Gadugi" w:cs="Century Gothic"/>
          <w:i/>
          <w:sz w:val="24"/>
          <w:szCs w:val="24"/>
        </w:rPr>
        <w:t>.”</w:t>
      </w:r>
      <w:r w:rsidR="006D2647" w:rsidRPr="0090293F">
        <w:rPr>
          <w:rStyle w:val="Refdenotaalpie"/>
          <w:rFonts w:ascii="Gadugi" w:hAnsi="Gadugi"/>
          <w:sz w:val="24"/>
          <w:szCs w:val="24"/>
        </w:rPr>
        <w:t xml:space="preserve"> </w:t>
      </w:r>
      <w:r w:rsidR="006D2647" w:rsidRPr="0090293F">
        <w:rPr>
          <w:rStyle w:val="Refdenotaalpie"/>
          <w:rFonts w:ascii="Gadugi" w:hAnsi="Gadugi"/>
          <w:sz w:val="24"/>
          <w:szCs w:val="24"/>
        </w:rPr>
        <w:footnoteReference w:id="5"/>
      </w:r>
    </w:p>
    <w:p w14:paraId="5EEFB8DE" w14:textId="77777777" w:rsidR="00D83F33" w:rsidRPr="0090293F" w:rsidRDefault="00D83F33" w:rsidP="0090293F">
      <w:pPr>
        <w:tabs>
          <w:tab w:val="left" w:pos="2835"/>
          <w:tab w:val="left" w:pos="7695"/>
        </w:tabs>
        <w:spacing w:line="276" w:lineRule="auto"/>
        <w:jc w:val="both"/>
        <w:rPr>
          <w:rFonts w:ascii="Gadugi" w:hAnsi="Gadugi" w:cs="Century Gothic"/>
          <w:sz w:val="24"/>
          <w:szCs w:val="24"/>
        </w:rPr>
      </w:pPr>
    </w:p>
    <w:p w14:paraId="74281DD8" w14:textId="21452616" w:rsidR="002E6C2E" w:rsidRPr="0090293F" w:rsidRDefault="00DC5280"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1.4. Quien se presentó como </w:t>
      </w:r>
      <w:r w:rsidRPr="0090293F">
        <w:rPr>
          <w:rFonts w:ascii="Gadugi" w:hAnsi="Gadugi" w:cs="Century Gothic"/>
          <w:i/>
          <w:sz w:val="24"/>
          <w:szCs w:val="24"/>
        </w:rPr>
        <w:t>“</w:t>
      </w:r>
      <w:r w:rsidRPr="004A6609">
        <w:rPr>
          <w:rFonts w:ascii="Gadugi" w:hAnsi="Gadugi" w:cs="Century Gothic"/>
          <w:i/>
          <w:sz w:val="22"/>
          <w:szCs w:val="24"/>
        </w:rPr>
        <w:t>apoderada de la parte demandante dentro del proceso ejecutivo de mínima cuantía con radicado 2021-00554</w:t>
      </w:r>
      <w:r w:rsidRPr="0090293F">
        <w:rPr>
          <w:rFonts w:ascii="Gadugi" w:hAnsi="Gadugi" w:cs="Century Gothic"/>
          <w:i/>
          <w:sz w:val="24"/>
          <w:szCs w:val="24"/>
        </w:rPr>
        <w:t>”</w:t>
      </w:r>
      <w:r w:rsidRPr="0090293F">
        <w:rPr>
          <w:rFonts w:ascii="Gadugi" w:hAnsi="Gadugi" w:cs="Century Gothic"/>
          <w:sz w:val="24"/>
          <w:szCs w:val="24"/>
        </w:rPr>
        <w:t xml:space="preserve">, presentó un escrito que no será tenido en cuenta dado que </w:t>
      </w:r>
      <w:r w:rsidR="00872A52" w:rsidRPr="0090293F">
        <w:rPr>
          <w:rFonts w:ascii="Gadugi" w:hAnsi="Gadugi" w:cs="Century Gothic"/>
          <w:sz w:val="24"/>
          <w:szCs w:val="24"/>
        </w:rPr>
        <w:t>se omitió acompañarlo</w:t>
      </w:r>
      <w:r w:rsidRPr="0090293F">
        <w:rPr>
          <w:rFonts w:ascii="Gadugi" w:hAnsi="Gadugi" w:cs="Century Gothic"/>
          <w:sz w:val="24"/>
          <w:szCs w:val="24"/>
        </w:rPr>
        <w:t xml:space="preserve"> del poder especial que la faculta para representar a la sociedad </w:t>
      </w:r>
      <w:proofErr w:type="spellStart"/>
      <w:r w:rsidRPr="0090293F">
        <w:rPr>
          <w:rFonts w:ascii="Gadugi" w:hAnsi="Gadugi" w:cs="Century Gothic"/>
          <w:sz w:val="24"/>
          <w:szCs w:val="24"/>
        </w:rPr>
        <w:t>Innovateck</w:t>
      </w:r>
      <w:proofErr w:type="spellEnd"/>
      <w:r w:rsidRPr="0090293F">
        <w:rPr>
          <w:rFonts w:ascii="Gadugi" w:hAnsi="Gadugi" w:cs="Century Gothic"/>
          <w:sz w:val="24"/>
          <w:szCs w:val="24"/>
        </w:rPr>
        <w:t xml:space="preserve"> S.A.S., en este específico asunto.</w:t>
      </w:r>
      <w:r w:rsidR="006D2647" w:rsidRPr="0090293F">
        <w:rPr>
          <w:rStyle w:val="Refdenotaalpie"/>
          <w:rFonts w:ascii="Gadugi" w:hAnsi="Gadugi"/>
          <w:sz w:val="24"/>
          <w:szCs w:val="24"/>
        </w:rPr>
        <w:footnoteReference w:id="6"/>
      </w:r>
      <w:r w:rsidRPr="0090293F">
        <w:rPr>
          <w:rFonts w:ascii="Gadugi" w:hAnsi="Gadugi" w:cs="Century Gothic"/>
          <w:sz w:val="24"/>
          <w:szCs w:val="24"/>
        </w:rPr>
        <w:t xml:space="preserve"> </w:t>
      </w:r>
    </w:p>
    <w:p w14:paraId="5D6F63CF" w14:textId="605FFBE8" w:rsidR="002E6C2E" w:rsidRPr="0090293F" w:rsidRDefault="002E6C2E" w:rsidP="0090293F">
      <w:pPr>
        <w:tabs>
          <w:tab w:val="left" w:pos="2835"/>
          <w:tab w:val="left" w:pos="7695"/>
        </w:tabs>
        <w:spacing w:line="276" w:lineRule="auto"/>
        <w:jc w:val="both"/>
        <w:rPr>
          <w:rFonts w:ascii="Gadugi" w:hAnsi="Gadugi" w:cs="Century Gothic"/>
          <w:sz w:val="24"/>
          <w:szCs w:val="24"/>
        </w:rPr>
      </w:pPr>
    </w:p>
    <w:p w14:paraId="4D1B00B9" w14:textId="6F19E72A" w:rsidR="00DC5280" w:rsidRPr="0090293F" w:rsidRDefault="00DC5280"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1.5. </w:t>
      </w:r>
      <w:r w:rsidR="00AF6E70" w:rsidRPr="0090293F">
        <w:rPr>
          <w:rFonts w:ascii="Gadugi" w:hAnsi="Gadugi" w:cs="Century Gothic"/>
          <w:sz w:val="24"/>
          <w:szCs w:val="24"/>
        </w:rPr>
        <w:t xml:space="preserve"> Sobrevino el fallo de primera instancia que negó la protección</w:t>
      </w:r>
      <w:r w:rsidRPr="0090293F">
        <w:rPr>
          <w:rFonts w:ascii="Gadugi" w:hAnsi="Gadugi" w:cs="Century Gothic"/>
          <w:sz w:val="24"/>
          <w:szCs w:val="24"/>
        </w:rPr>
        <w:t xml:space="preserve"> luego de concluir</w:t>
      </w:r>
      <w:r w:rsidR="00892683" w:rsidRPr="0090293F">
        <w:rPr>
          <w:rFonts w:ascii="Gadugi" w:hAnsi="Gadugi" w:cs="Century Gothic"/>
          <w:sz w:val="24"/>
          <w:szCs w:val="24"/>
        </w:rPr>
        <w:t xml:space="preserve"> que</w:t>
      </w:r>
      <w:r w:rsidRPr="0090293F">
        <w:rPr>
          <w:rFonts w:ascii="Gadugi" w:hAnsi="Gadugi" w:cs="Century Gothic"/>
          <w:sz w:val="24"/>
          <w:szCs w:val="24"/>
        </w:rPr>
        <w:t xml:space="preserve"> </w:t>
      </w:r>
      <w:r w:rsidRPr="0090293F">
        <w:rPr>
          <w:rFonts w:ascii="Gadugi" w:hAnsi="Gadugi" w:cs="Century Gothic"/>
          <w:i/>
          <w:sz w:val="24"/>
          <w:szCs w:val="24"/>
        </w:rPr>
        <w:t>“</w:t>
      </w:r>
      <w:r w:rsidRPr="004A6609">
        <w:rPr>
          <w:rFonts w:ascii="Gadugi" w:hAnsi="Gadugi" w:cs="Century Gothic"/>
          <w:i/>
          <w:sz w:val="22"/>
          <w:szCs w:val="24"/>
        </w:rPr>
        <w:t>(…) el proceso Ejecutivo Singular fue notificado adecuadamente a la ejecutada, quien presentó excepciones mismas que fueron resueltas por el Juez de conocimiento, las peticiones fueron resueltas y ante varias de ellas guardo silencio la ejecutada y aquí accionante</w:t>
      </w:r>
      <w:r w:rsidRPr="0090293F">
        <w:rPr>
          <w:rFonts w:ascii="Gadugi" w:hAnsi="Gadugi" w:cs="Century Gothic"/>
          <w:i/>
          <w:sz w:val="24"/>
          <w:szCs w:val="24"/>
        </w:rPr>
        <w:t>.”</w:t>
      </w:r>
      <w:r w:rsidR="006D2647" w:rsidRPr="0090293F">
        <w:rPr>
          <w:rStyle w:val="Refdenotaalpie"/>
          <w:rFonts w:ascii="Gadugi" w:hAnsi="Gadugi"/>
          <w:i/>
          <w:sz w:val="24"/>
          <w:szCs w:val="24"/>
        </w:rPr>
        <w:footnoteReference w:id="7"/>
      </w:r>
    </w:p>
    <w:p w14:paraId="782A2105" w14:textId="77777777" w:rsidR="00DC5280" w:rsidRPr="0090293F" w:rsidRDefault="00DC5280" w:rsidP="0090293F">
      <w:pPr>
        <w:tabs>
          <w:tab w:val="left" w:pos="2835"/>
          <w:tab w:val="left" w:pos="7695"/>
        </w:tabs>
        <w:spacing w:line="276" w:lineRule="auto"/>
        <w:jc w:val="both"/>
        <w:rPr>
          <w:rFonts w:ascii="Gadugi" w:hAnsi="Gadugi" w:cs="Century Gothic"/>
          <w:sz w:val="24"/>
          <w:szCs w:val="24"/>
        </w:rPr>
      </w:pPr>
    </w:p>
    <w:p w14:paraId="0A063120" w14:textId="1570C207" w:rsidR="00DC5280" w:rsidRPr="0090293F" w:rsidRDefault="00DC5280" w:rsidP="0090293F">
      <w:pPr>
        <w:tabs>
          <w:tab w:val="left" w:pos="2835"/>
          <w:tab w:val="left" w:pos="7695"/>
        </w:tabs>
        <w:spacing w:line="276" w:lineRule="auto"/>
        <w:jc w:val="both"/>
        <w:rPr>
          <w:rFonts w:ascii="Gadugi" w:hAnsi="Gadugi" w:cs="Century Gothic"/>
          <w:sz w:val="24"/>
          <w:szCs w:val="24"/>
        </w:rPr>
      </w:pPr>
      <w:r w:rsidRPr="0090293F">
        <w:rPr>
          <w:rFonts w:ascii="Gadugi" w:hAnsi="Gadugi" w:cs="Century Gothic"/>
          <w:sz w:val="24"/>
          <w:szCs w:val="24"/>
        </w:rPr>
        <w:t xml:space="preserve">1.6. </w:t>
      </w:r>
      <w:r w:rsidR="00892683" w:rsidRPr="0090293F">
        <w:rPr>
          <w:rFonts w:ascii="Gadugi" w:hAnsi="Gadugi" w:cs="Century Gothic"/>
          <w:sz w:val="24"/>
          <w:szCs w:val="24"/>
        </w:rPr>
        <w:t xml:space="preserve">Impugnó la parte demandante, insistiendo en los argumentos plasmados en la acción de tutela, y reprochando el fallo porque </w:t>
      </w:r>
      <w:r w:rsidR="00892683" w:rsidRPr="0090293F">
        <w:rPr>
          <w:rFonts w:ascii="Gadugi" w:hAnsi="Gadugi" w:cs="Century Gothic"/>
          <w:i/>
          <w:sz w:val="24"/>
          <w:szCs w:val="24"/>
        </w:rPr>
        <w:t>“</w:t>
      </w:r>
      <w:r w:rsidR="00892683" w:rsidRPr="004A6609">
        <w:rPr>
          <w:rFonts w:ascii="Gadugi" w:hAnsi="Gadugi" w:cs="Century Gothic"/>
          <w:i/>
          <w:sz w:val="22"/>
          <w:szCs w:val="24"/>
        </w:rPr>
        <w:t>(…) no se abordaron en su decisión, la totalidad de los hechos informados, como tampoco se hizo ningún pronunciamiento en relación con las normas legales y procedimentales, que fueron inaplicadas (…)</w:t>
      </w:r>
      <w:r w:rsidR="00892683" w:rsidRPr="0090293F">
        <w:rPr>
          <w:rFonts w:ascii="Gadugi" w:hAnsi="Gadugi" w:cs="Century Gothic"/>
          <w:i/>
          <w:sz w:val="24"/>
          <w:szCs w:val="24"/>
        </w:rPr>
        <w:t>”.</w:t>
      </w:r>
      <w:r w:rsidR="006D2647" w:rsidRPr="0090293F">
        <w:rPr>
          <w:rStyle w:val="Refdenotaalpie"/>
          <w:rFonts w:ascii="Gadugi" w:hAnsi="Gadugi"/>
          <w:i/>
          <w:sz w:val="24"/>
          <w:szCs w:val="24"/>
        </w:rPr>
        <w:footnoteReference w:id="8"/>
      </w:r>
      <w:r w:rsidR="00892683" w:rsidRPr="0090293F">
        <w:rPr>
          <w:rFonts w:ascii="Gadugi" w:hAnsi="Gadugi" w:cs="Century Gothic"/>
          <w:sz w:val="24"/>
          <w:szCs w:val="24"/>
        </w:rPr>
        <w:t xml:space="preserve"> </w:t>
      </w:r>
    </w:p>
    <w:p w14:paraId="5BCFB796" w14:textId="77777777" w:rsidR="00F306A3" w:rsidRPr="0090293F" w:rsidRDefault="00F306A3" w:rsidP="0090293F">
      <w:pPr>
        <w:tabs>
          <w:tab w:val="left" w:pos="3108"/>
        </w:tabs>
        <w:spacing w:line="276" w:lineRule="auto"/>
        <w:jc w:val="both"/>
        <w:rPr>
          <w:rFonts w:ascii="Gadugi" w:hAnsi="Gadugi" w:cs="Arial"/>
          <w:b/>
          <w:sz w:val="24"/>
          <w:szCs w:val="24"/>
        </w:rPr>
      </w:pPr>
    </w:p>
    <w:p w14:paraId="3E084F27" w14:textId="329CE687" w:rsidR="00CD73E5" w:rsidRPr="0090293F" w:rsidRDefault="005F599A" w:rsidP="0090293F">
      <w:pPr>
        <w:tabs>
          <w:tab w:val="left" w:pos="3108"/>
        </w:tabs>
        <w:spacing w:line="276" w:lineRule="auto"/>
        <w:jc w:val="both"/>
        <w:rPr>
          <w:rFonts w:ascii="Gadugi" w:hAnsi="Gadugi" w:cs="Arial"/>
          <w:b/>
          <w:sz w:val="24"/>
          <w:szCs w:val="24"/>
        </w:rPr>
      </w:pPr>
      <w:r w:rsidRPr="0090293F">
        <w:rPr>
          <w:rFonts w:ascii="Gadugi" w:hAnsi="Gadugi" w:cs="Arial"/>
          <w:b/>
          <w:sz w:val="24"/>
          <w:szCs w:val="24"/>
        </w:rPr>
        <w:t xml:space="preserve">2. </w:t>
      </w:r>
      <w:r w:rsidR="00CD73E5" w:rsidRPr="0090293F">
        <w:rPr>
          <w:rFonts w:ascii="Gadugi" w:hAnsi="Gadugi" w:cs="Arial"/>
          <w:b/>
          <w:sz w:val="24"/>
          <w:szCs w:val="24"/>
        </w:rPr>
        <w:t>CONSIDERACIONES</w:t>
      </w:r>
    </w:p>
    <w:p w14:paraId="64659FF8" w14:textId="77777777" w:rsidR="00AC20A1" w:rsidRPr="0090293F" w:rsidRDefault="00AC20A1" w:rsidP="0090293F">
      <w:pPr>
        <w:pStyle w:val="Textoindependiente21"/>
        <w:tabs>
          <w:tab w:val="left" w:pos="3108"/>
        </w:tabs>
        <w:spacing w:line="276" w:lineRule="auto"/>
        <w:ind w:firstLine="0"/>
        <w:rPr>
          <w:rFonts w:ascii="Gadugi" w:hAnsi="Gadugi"/>
          <w:szCs w:val="24"/>
        </w:rPr>
      </w:pPr>
    </w:p>
    <w:p w14:paraId="3E681443" w14:textId="6C0CEA2E" w:rsidR="00CD73E5" w:rsidRPr="0090293F" w:rsidRDefault="005F599A" w:rsidP="0090293F">
      <w:pPr>
        <w:pStyle w:val="Textoindependiente21"/>
        <w:tabs>
          <w:tab w:val="left" w:pos="3108"/>
        </w:tabs>
        <w:spacing w:line="276" w:lineRule="auto"/>
        <w:ind w:firstLine="0"/>
        <w:rPr>
          <w:rFonts w:ascii="Gadugi" w:hAnsi="Gadugi"/>
          <w:szCs w:val="24"/>
        </w:rPr>
      </w:pPr>
      <w:r w:rsidRPr="0090293F">
        <w:rPr>
          <w:rFonts w:ascii="Gadugi" w:hAnsi="Gadugi"/>
          <w:szCs w:val="24"/>
        </w:rPr>
        <w:t xml:space="preserve">2.1. </w:t>
      </w:r>
      <w:r w:rsidR="009E0FD8" w:rsidRPr="0090293F">
        <w:rPr>
          <w:rFonts w:ascii="Gadugi" w:hAnsi="Gadugi"/>
          <w:szCs w:val="24"/>
        </w:rPr>
        <w:t>L</w:t>
      </w:r>
      <w:r w:rsidR="00F66464" w:rsidRPr="0090293F">
        <w:rPr>
          <w:rFonts w:ascii="Gadugi" w:hAnsi="Gadugi"/>
          <w:szCs w:val="24"/>
        </w:rPr>
        <w:t>a acción de</w:t>
      </w:r>
      <w:r w:rsidR="00CD73E5" w:rsidRPr="0090293F">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3EFB3BB3" w:rsidR="00CD73E5" w:rsidRPr="0090293F" w:rsidRDefault="00CD73E5" w:rsidP="0090293F">
      <w:pPr>
        <w:tabs>
          <w:tab w:val="left" w:pos="2835"/>
        </w:tabs>
        <w:spacing w:line="276" w:lineRule="auto"/>
        <w:jc w:val="both"/>
        <w:rPr>
          <w:rFonts w:ascii="Gadugi" w:hAnsi="Gadugi"/>
          <w:sz w:val="24"/>
          <w:szCs w:val="24"/>
        </w:rPr>
      </w:pPr>
    </w:p>
    <w:p w14:paraId="358EE7D1" w14:textId="1DD4BB63" w:rsidR="001C1FCE" w:rsidRPr="0090293F" w:rsidRDefault="0009125F" w:rsidP="0090293F">
      <w:pPr>
        <w:tabs>
          <w:tab w:val="left" w:pos="3108"/>
        </w:tabs>
        <w:spacing w:line="276" w:lineRule="auto"/>
        <w:jc w:val="both"/>
        <w:rPr>
          <w:rFonts w:ascii="Gadugi" w:hAnsi="Gadugi" w:cs="Arial"/>
          <w:sz w:val="24"/>
          <w:szCs w:val="24"/>
        </w:rPr>
      </w:pPr>
      <w:r w:rsidRPr="0090293F">
        <w:rPr>
          <w:rFonts w:ascii="Gadugi" w:hAnsi="Gadugi"/>
          <w:sz w:val="24"/>
          <w:szCs w:val="24"/>
        </w:rPr>
        <w:t>En uso de tal prerrogativa, a</w:t>
      </w:r>
      <w:r w:rsidR="009022F5" w:rsidRPr="0090293F">
        <w:rPr>
          <w:rFonts w:ascii="Gadugi" w:hAnsi="Gadugi"/>
          <w:sz w:val="24"/>
          <w:szCs w:val="24"/>
        </w:rPr>
        <w:t>cude</w:t>
      </w:r>
      <w:r w:rsidR="004B211F" w:rsidRPr="0090293F">
        <w:rPr>
          <w:rFonts w:ascii="Gadugi" w:hAnsi="Gadugi"/>
          <w:sz w:val="24"/>
          <w:szCs w:val="24"/>
        </w:rPr>
        <w:t xml:space="preserve"> </w:t>
      </w:r>
      <w:r w:rsidR="001C1FCE" w:rsidRPr="0090293F">
        <w:rPr>
          <w:rFonts w:ascii="Gadugi" w:hAnsi="Gadugi"/>
          <w:sz w:val="24"/>
          <w:szCs w:val="24"/>
        </w:rPr>
        <w:t>la P.H. accionante</w:t>
      </w:r>
      <w:r w:rsidR="00772B7E" w:rsidRPr="0090293F">
        <w:rPr>
          <w:rFonts w:ascii="Gadugi" w:hAnsi="Gadugi"/>
          <w:sz w:val="24"/>
          <w:szCs w:val="24"/>
        </w:rPr>
        <w:t xml:space="preserve"> </w:t>
      </w:r>
      <w:r w:rsidR="00CD73E5" w:rsidRPr="0090293F">
        <w:rPr>
          <w:rFonts w:ascii="Gadugi" w:hAnsi="Gadugi" w:cs="Arial"/>
          <w:sz w:val="24"/>
          <w:szCs w:val="24"/>
        </w:rPr>
        <w:t>en procura de la protección de</w:t>
      </w:r>
      <w:r w:rsidR="009601E6" w:rsidRPr="0090293F">
        <w:rPr>
          <w:rFonts w:ascii="Gadugi" w:hAnsi="Gadugi" w:cs="Arial"/>
          <w:sz w:val="24"/>
          <w:szCs w:val="24"/>
        </w:rPr>
        <w:t xml:space="preserve"> su</w:t>
      </w:r>
      <w:r w:rsidR="00D97D5E" w:rsidRPr="0090293F">
        <w:rPr>
          <w:rFonts w:ascii="Gadugi" w:hAnsi="Gadugi" w:cs="Arial"/>
          <w:sz w:val="24"/>
          <w:szCs w:val="24"/>
        </w:rPr>
        <w:t xml:space="preserve"> </w:t>
      </w:r>
      <w:r w:rsidR="00642E81" w:rsidRPr="0090293F">
        <w:rPr>
          <w:rFonts w:ascii="Gadugi" w:hAnsi="Gadugi" w:cs="Arial"/>
          <w:sz w:val="24"/>
          <w:szCs w:val="24"/>
        </w:rPr>
        <w:t xml:space="preserve">derecho </w:t>
      </w:r>
      <w:r w:rsidR="009601E6" w:rsidRPr="0090293F">
        <w:rPr>
          <w:rFonts w:ascii="Gadugi" w:hAnsi="Gadugi" w:cs="Arial"/>
          <w:sz w:val="24"/>
          <w:szCs w:val="24"/>
        </w:rPr>
        <w:t xml:space="preserve">fundamental </w:t>
      </w:r>
      <w:r w:rsidR="00642E81" w:rsidRPr="0090293F">
        <w:rPr>
          <w:rFonts w:ascii="Gadugi" w:hAnsi="Gadugi" w:cs="Arial"/>
          <w:sz w:val="24"/>
          <w:szCs w:val="24"/>
        </w:rPr>
        <w:t>al debido proceso</w:t>
      </w:r>
      <w:r w:rsidR="00A93BD7" w:rsidRPr="0090293F">
        <w:rPr>
          <w:rFonts w:ascii="Gadugi" w:hAnsi="Gadugi" w:cs="Arial"/>
          <w:sz w:val="24"/>
          <w:szCs w:val="24"/>
        </w:rPr>
        <w:t xml:space="preserve">, </w:t>
      </w:r>
      <w:r w:rsidR="00E5703C" w:rsidRPr="0090293F">
        <w:rPr>
          <w:rFonts w:ascii="Gadugi" w:hAnsi="Gadugi" w:cs="Arial"/>
          <w:sz w:val="24"/>
          <w:szCs w:val="24"/>
        </w:rPr>
        <w:t xml:space="preserve">presuntamente vulnerado por el juzgado accionado </w:t>
      </w:r>
      <w:r w:rsidR="009601E6" w:rsidRPr="0090293F">
        <w:rPr>
          <w:rFonts w:ascii="Gadugi" w:hAnsi="Gadugi" w:cs="Arial"/>
          <w:sz w:val="24"/>
          <w:szCs w:val="24"/>
        </w:rPr>
        <w:t>que</w:t>
      </w:r>
      <w:r w:rsidR="001C1FCE" w:rsidRPr="0090293F">
        <w:rPr>
          <w:rFonts w:ascii="Gadugi" w:hAnsi="Gadugi" w:cs="Arial"/>
          <w:sz w:val="24"/>
          <w:szCs w:val="24"/>
        </w:rPr>
        <w:t xml:space="preserve">, al proferir sentencia, valoró indebidamente las pruebas aportadas al proceso ejecutivo de marras y, además, es renuente para levantar una medida cautelar decretada en ese juico. </w:t>
      </w:r>
    </w:p>
    <w:p w14:paraId="770D345B" w14:textId="77777777" w:rsidR="00A214D1" w:rsidRPr="0090293F" w:rsidRDefault="00A214D1" w:rsidP="0090293F">
      <w:pPr>
        <w:spacing w:line="276" w:lineRule="auto"/>
        <w:jc w:val="both"/>
        <w:rPr>
          <w:rFonts w:ascii="Gadugi" w:hAnsi="Gadugi"/>
          <w:sz w:val="24"/>
          <w:szCs w:val="24"/>
        </w:rPr>
      </w:pPr>
    </w:p>
    <w:p w14:paraId="430FBA61" w14:textId="0A01830D" w:rsidR="00FF03BC" w:rsidRPr="0090293F" w:rsidRDefault="00FF03BC" w:rsidP="0090293F">
      <w:pPr>
        <w:spacing w:line="276" w:lineRule="auto"/>
        <w:jc w:val="both"/>
        <w:rPr>
          <w:rFonts w:ascii="Gadugi" w:hAnsi="Gadugi" w:cs="Arial"/>
          <w:sz w:val="24"/>
          <w:szCs w:val="24"/>
        </w:rPr>
      </w:pPr>
      <w:r w:rsidRPr="0090293F">
        <w:rPr>
          <w:rFonts w:ascii="Gadugi" w:hAnsi="Gadugi"/>
          <w:sz w:val="24"/>
          <w:szCs w:val="24"/>
        </w:rPr>
        <w:t xml:space="preserve">2.2. </w:t>
      </w:r>
      <w:r w:rsidRPr="0090293F">
        <w:rPr>
          <w:rFonts w:ascii="Gadugi" w:hAnsi="Gadugi" w:cs="Century Gothic"/>
          <w:sz w:val="24"/>
          <w:szCs w:val="24"/>
          <w:lang w:val="es-CO"/>
        </w:rPr>
        <w:t>Reiteradamente</w:t>
      </w:r>
      <w:r w:rsidRPr="0090293F">
        <w:rPr>
          <w:rFonts w:ascii="Gadugi" w:hAnsi="Gadugi" w:cs="Arial"/>
          <w:sz w:val="24"/>
          <w:szCs w:val="24"/>
        </w:rPr>
        <w:t xml:space="preserve"> se ha expuesto que </w:t>
      </w:r>
      <w:r w:rsidRPr="0090293F">
        <w:rPr>
          <w:rFonts w:ascii="Gadugi" w:hAnsi="Gadugi"/>
          <w:sz w:val="24"/>
          <w:szCs w:val="24"/>
        </w:rPr>
        <w:t>a pesar de la inexequibilidad de las normas que en el Decreto 2591 de 1991 preveían la acción de tutela contra providencias judiciales</w:t>
      </w:r>
      <w:r w:rsidRPr="0090293F">
        <w:rPr>
          <w:rStyle w:val="Refdenotaalpie"/>
          <w:rFonts w:ascii="Gadugi" w:hAnsi="Gadugi"/>
          <w:sz w:val="24"/>
          <w:szCs w:val="24"/>
        </w:rPr>
        <w:footnoteReference w:id="9"/>
      </w:r>
      <w:r w:rsidRPr="0090293F">
        <w:rPr>
          <w:rFonts w:ascii="Gadugi" w:hAnsi="Gadugi"/>
          <w:sz w:val="24"/>
          <w:szCs w:val="24"/>
        </w:rPr>
        <w:t>, tal mecanismo se abre paso en aquellos eventos en los que se incurra en una vía de hecho, o como se denominan hoy, criterios de procedibilidad de la acción de tutela contra decisiones de los jueces</w:t>
      </w:r>
      <w:bookmarkStart w:id="2" w:name="_Hlk135837963"/>
      <w:r w:rsidRPr="0090293F">
        <w:rPr>
          <w:rFonts w:ascii="Gadugi" w:hAnsi="Gadugi"/>
          <w:sz w:val="24"/>
          <w:szCs w:val="24"/>
        </w:rPr>
        <w:t xml:space="preserve">, en que solo cabe un amparo de esta naturaleza en la </w:t>
      </w:r>
      <w:r w:rsidRPr="0090293F">
        <w:rPr>
          <w:rFonts w:ascii="Gadugi" w:hAnsi="Gadugi"/>
          <w:sz w:val="24"/>
          <w:szCs w:val="24"/>
        </w:rPr>
        <w:lastRenderedPageBreak/>
        <w:t>medida en que concurra alguna de las causales generales o específicas, delineadas por la Corte Constitucional</w:t>
      </w:r>
      <w:r w:rsidRPr="0090293F">
        <w:rPr>
          <w:rFonts w:ascii="Gadugi" w:hAnsi="Gadugi" w:cs="Arial"/>
          <w:sz w:val="24"/>
          <w:szCs w:val="24"/>
        </w:rPr>
        <w:t xml:space="preserve"> en múltiples ocasiones. </w:t>
      </w:r>
    </w:p>
    <w:bookmarkEnd w:id="2"/>
    <w:p w14:paraId="4D6DEE42" w14:textId="0978475C" w:rsidR="00FF03BC" w:rsidRPr="0090293F" w:rsidRDefault="00FF03BC" w:rsidP="0090293F">
      <w:pPr>
        <w:spacing w:line="276" w:lineRule="auto"/>
        <w:jc w:val="both"/>
        <w:rPr>
          <w:rFonts w:ascii="Gadugi" w:hAnsi="Gadugi" w:cs="Arial"/>
          <w:sz w:val="24"/>
          <w:szCs w:val="24"/>
        </w:rPr>
      </w:pPr>
    </w:p>
    <w:p w14:paraId="0D5A3DB6" w14:textId="700F3264" w:rsidR="00FF03BC" w:rsidRPr="0090293F" w:rsidRDefault="00FF03BC" w:rsidP="0090293F">
      <w:pPr>
        <w:spacing w:line="276" w:lineRule="auto"/>
        <w:jc w:val="both"/>
        <w:rPr>
          <w:rFonts w:ascii="Gadugi" w:hAnsi="Gadugi"/>
          <w:sz w:val="24"/>
          <w:szCs w:val="24"/>
        </w:rPr>
      </w:pPr>
      <w:r w:rsidRPr="0090293F">
        <w:rPr>
          <w:rFonts w:ascii="Gadugi" w:hAnsi="Gadugi" w:cs="Arial"/>
          <w:sz w:val="24"/>
          <w:szCs w:val="24"/>
        </w:rPr>
        <w:t xml:space="preserve">Sobre ellas, en las sentencias SU-222/16, SU573/17, SU-004/18, </w:t>
      </w:r>
      <w:r w:rsidRPr="0090293F">
        <w:rPr>
          <w:rFonts w:ascii="Gadugi" w:hAnsi="Gadugi" w:cs="Arial"/>
          <w:sz w:val="24"/>
          <w:szCs w:val="24"/>
          <w:lang w:val="es-419"/>
        </w:rPr>
        <w:t xml:space="preserve">reiteradas en las sentencias T-075/19, </w:t>
      </w:r>
      <w:r w:rsidRPr="0090293F">
        <w:rPr>
          <w:rFonts w:ascii="Gadugi" w:hAnsi="Gadugi" w:cs="Arial"/>
          <w:sz w:val="24"/>
          <w:szCs w:val="24"/>
        </w:rPr>
        <w:t>T-053/20, SU128/21,</w:t>
      </w:r>
      <w:r w:rsidRPr="0090293F">
        <w:rPr>
          <w:rFonts w:ascii="Gadugi" w:hAnsi="Gadugi"/>
          <w:sz w:val="24"/>
          <w:szCs w:val="24"/>
        </w:rPr>
        <w:t xml:space="preserve"> y más recientemente en la </w:t>
      </w:r>
      <w:r w:rsidRPr="0090293F">
        <w:rPr>
          <w:rFonts w:ascii="Gadugi" w:hAnsi="Gadugi" w:cs="Arial"/>
          <w:sz w:val="24"/>
          <w:szCs w:val="24"/>
        </w:rPr>
        <w:t xml:space="preserve">T-001/22 todas aludiendo a la C-590 de 2005, recordó que las primeras obedecen a </w:t>
      </w:r>
      <w:r w:rsidRPr="0090293F">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0293F">
        <w:rPr>
          <w:rFonts w:ascii="Gadugi" w:hAnsi="Gadugi"/>
          <w:sz w:val="24"/>
          <w:szCs w:val="24"/>
        </w:rPr>
        <w:t xml:space="preserve"> </w:t>
      </w:r>
      <w:bookmarkStart w:id="3" w:name="_Hlk135838047"/>
      <w:r w:rsidRPr="0090293F">
        <w:rPr>
          <w:rFonts w:ascii="Gadugi" w:hAnsi="Gadugi" w:cs="Arial"/>
          <w:sz w:val="24"/>
          <w:szCs w:val="24"/>
        </w:rPr>
        <w:t>Y en cuanto a las segundas, es decir, las causales específicas, se compendian en los defectos</w:t>
      </w:r>
      <w:r w:rsidRPr="0090293F">
        <w:rPr>
          <w:rFonts w:ascii="Gadugi" w:hAnsi="Gadugi"/>
          <w:sz w:val="24"/>
          <w:szCs w:val="24"/>
          <w:bdr w:val="none" w:sz="0" w:space="0" w:color="auto" w:frame="1"/>
          <w:lang w:val="es-CO"/>
        </w:rPr>
        <w:t xml:space="preserve"> (i) orgánico, (ii) sustantivo, (iii) procedimental o fáctico; (iv) error inducido; (v) decisión sin motivación</w:t>
      </w:r>
      <w:bookmarkEnd w:id="3"/>
      <w:r w:rsidRPr="0090293F">
        <w:rPr>
          <w:rFonts w:ascii="Gadugi" w:hAnsi="Gadugi"/>
          <w:sz w:val="24"/>
          <w:szCs w:val="24"/>
          <w:bdr w:val="none" w:sz="0" w:space="0" w:color="auto" w:frame="1"/>
          <w:lang w:val="es-CO"/>
        </w:rPr>
        <w:t>; (vi) desconocimiento del precedente constitucional; y (vii) violación directa a la constitución.</w:t>
      </w:r>
      <w:r w:rsidRPr="0090293F">
        <w:rPr>
          <w:rFonts w:ascii="Gadugi" w:hAnsi="Gadugi"/>
          <w:sz w:val="24"/>
          <w:szCs w:val="24"/>
        </w:rPr>
        <w:t xml:space="preserve"> </w:t>
      </w:r>
    </w:p>
    <w:p w14:paraId="429D931C" w14:textId="77777777" w:rsidR="0006783A" w:rsidRPr="0090293F" w:rsidRDefault="0006783A" w:rsidP="0090293F">
      <w:pPr>
        <w:tabs>
          <w:tab w:val="left" w:pos="3108"/>
        </w:tabs>
        <w:spacing w:line="276" w:lineRule="auto"/>
        <w:jc w:val="both"/>
        <w:rPr>
          <w:rFonts w:ascii="Gadugi" w:hAnsi="Gadugi"/>
          <w:sz w:val="24"/>
          <w:szCs w:val="24"/>
        </w:rPr>
      </w:pPr>
    </w:p>
    <w:p w14:paraId="220F3D9E" w14:textId="7AD2D6D9" w:rsidR="00B52C50" w:rsidRPr="0090293F" w:rsidRDefault="00BF25A3" w:rsidP="0090293F">
      <w:pPr>
        <w:tabs>
          <w:tab w:val="left" w:pos="3108"/>
        </w:tabs>
        <w:spacing w:line="276" w:lineRule="auto"/>
        <w:jc w:val="both"/>
        <w:rPr>
          <w:rFonts w:ascii="Gadugi" w:hAnsi="Gadugi"/>
          <w:sz w:val="24"/>
          <w:szCs w:val="24"/>
        </w:rPr>
      </w:pPr>
      <w:r w:rsidRPr="0090293F">
        <w:rPr>
          <w:rFonts w:ascii="Gadugi" w:hAnsi="Gadugi"/>
          <w:sz w:val="24"/>
          <w:szCs w:val="24"/>
        </w:rPr>
        <w:t>2.</w:t>
      </w:r>
      <w:r w:rsidR="004B211F" w:rsidRPr="0090293F">
        <w:rPr>
          <w:rFonts w:ascii="Gadugi" w:hAnsi="Gadugi"/>
          <w:sz w:val="24"/>
          <w:szCs w:val="24"/>
        </w:rPr>
        <w:t>3</w:t>
      </w:r>
      <w:r w:rsidRPr="0090293F">
        <w:rPr>
          <w:rFonts w:ascii="Gadugi" w:hAnsi="Gadugi"/>
          <w:sz w:val="24"/>
          <w:szCs w:val="24"/>
        </w:rPr>
        <w:t xml:space="preserve">. </w:t>
      </w:r>
      <w:r w:rsidR="004B211F" w:rsidRPr="0090293F">
        <w:rPr>
          <w:rFonts w:ascii="Gadugi" w:hAnsi="Gadugi"/>
          <w:sz w:val="24"/>
          <w:szCs w:val="24"/>
        </w:rPr>
        <w:t>S</w:t>
      </w:r>
      <w:r w:rsidR="00B87E7F" w:rsidRPr="0090293F">
        <w:rPr>
          <w:rFonts w:ascii="Gadugi" w:hAnsi="Gadugi" w:cs="Arial"/>
          <w:sz w:val="24"/>
          <w:szCs w:val="24"/>
        </w:rPr>
        <w:t xml:space="preserve">obre </w:t>
      </w:r>
      <w:r w:rsidR="00B74B86" w:rsidRPr="0090293F">
        <w:rPr>
          <w:rFonts w:ascii="Gadugi" w:hAnsi="Gadugi" w:cs="Arial"/>
          <w:sz w:val="24"/>
          <w:szCs w:val="24"/>
        </w:rPr>
        <w:t xml:space="preserve">los </w:t>
      </w:r>
      <w:r w:rsidR="004B211F" w:rsidRPr="0090293F">
        <w:rPr>
          <w:rFonts w:ascii="Gadugi" w:hAnsi="Gadugi" w:cs="Arial"/>
          <w:sz w:val="24"/>
          <w:szCs w:val="24"/>
        </w:rPr>
        <w:t xml:space="preserve">requisitos de procedencia </w:t>
      </w:r>
      <w:r w:rsidR="00FF03BC" w:rsidRPr="0090293F">
        <w:rPr>
          <w:rFonts w:ascii="Gadugi" w:hAnsi="Gadugi" w:cs="Arial"/>
          <w:sz w:val="24"/>
          <w:szCs w:val="24"/>
        </w:rPr>
        <w:t>de la acción de tutela</w:t>
      </w:r>
      <w:r w:rsidR="004B211F" w:rsidRPr="0090293F">
        <w:rPr>
          <w:rFonts w:ascii="Gadugi" w:hAnsi="Gadugi" w:cs="Arial"/>
          <w:sz w:val="24"/>
          <w:szCs w:val="24"/>
        </w:rPr>
        <w:t xml:space="preserve">, se tiene lo </w:t>
      </w:r>
      <w:r w:rsidR="00275D52" w:rsidRPr="0090293F">
        <w:rPr>
          <w:rFonts w:ascii="Gadugi" w:hAnsi="Gadugi" w:cs="Arial"/>
          <w:sz w:val="24"/>
          <w:szCs w:val="24"/>
        </w:rPr>
        <w:t>siguiente</w:t>
      </w:r>
      <w:r w:rsidR="00CA6CBC" w:rsidRPr="0090293F">
        <w:rPr>
          <w:rFonts w:ascii="Gadugi" w:hAnsi="Gadugi" w:cs="Arial"/>
          <w:sz w:val="24"/>
          <w:szCs w:val="24"/>
        </w:rPr>
        <w:t>:</w:t>
      </w:r>
      <w:r w:rsidR="00FF03BC" w:rsidRPr="0090293F">
        <w:rPr>
          <w:rFonts w:ascii="Gadugi" w:hAnsi="Gadugi" w:cs="Arial"/>
          <w:sz w:val="24"/>
          <w:szCs w:val="24"/>
        </w:rPr>
        <w:t xml:space="preserve"> </w:t>
      </w:r>
      <w:r w:rsidRPr="0090293F">
        <w:rPr>
          <w:rFonts w:ascii="Gadugi" w:hAnsi="Gadugi" w:cs="Arial"/>
          <w:sz w:val="24"/>
          <w:szCs w:val="24"/>
        </w:rPr>
        <w:t xml:space="preserve"> </w:t>
      </w:r>
    </w:p>
    <w:p w14:paraId="362CAFB6" w14:textId="78A9A26E" w:rsidR="00B52C50" w:rsidRPr="0090293F" w:rsidRDefault="00B52C50" w:rsidP="0090293F">
      <w:pPr>
        <w:spacing w:line="276" w:lineRule="auto"/>
        <w:jc w:val="both"/>
        <w:rPr>
          <w:rFonts w:ascii="Gadugi" w:hAnsi="Gadugi"/>
          <w:sz w:val="24"/>
          <w:szCs w:val="24"/>
        </w:rPr>
      </w:pPr>
    </w:p>
    <w:p w14:paraId="644F0CF3" w14:textId="45AFF48E" w:rsidR="00B52C50" w:rsidRPr="0090293F" w:rsidRDefault="00B52C50" w:rsidP="0090293F">
      <w:pPr>
        <w:spacing w:line="276" w:lineRule="auto"/>
        <w:jc w:val="both"/>
        <w:rPr>
          <w:rFonts w:ascii="Gadugi" w:hAnsi="Gadugi"/>
          <w:sz w:val="24"/>
          <w:szCs w:val="24"/>
        </w:rPr>
      </w:pPr>
      <w:r w:rsidRPr="0090293F">
        <w:rPr>
          <w:rFonts w:ascii="Gadugi" w:hAnsi="Gadugi"/>
          <w:sz w:val="24"/>
          <w:szCs w:val="24"/>
        </w:rPr>
        <w:t xml:space="preserve">Se cumple con la legitimación por activa, porque </w:t>
      </w:r>
      <w:r w:rsidR="001C1FCE" w:rsidRPr="0090293F">
        <w:rPr>
          <w:rFonts w:ascii="Gadugi" w:hAnsi="Gadugi"/>
          <w:sz w:val="24"/>
          <w:szCs w:val="24"/>
        </w:rPr>
        <w:t>la P.H. accionante, que actúa mediante su representante legal,</w:t>
      </w:r>
      <w:r w:rsidR="00424D4A" w:rsidRPr="0090293F">
        <w:rPr>
          <w:rFonts w:ascii="Gadugi" w:hAnsi="Gadugi"/>
          <w:sz w:val="24"/>
          <w:szCs w:val="24"/>
        </w:rPr>
        <w:t xml:space="preserve"> </w:t>
      </w:r>
      <w:r w:rsidR="001C1FCE" w:rsidRPr="0090293F">
        <w:rPr>
          <w:rFonts w:ascii="Gadugi" w:hAnsi="Gadugi"/>
          <w:sz w:val="24"/>
          <w:szCs w:val="24"/>
        </w:rPr>
        <w:t>es demandada</w:t>
      </w:r>
      <w:r w:rsidR="00A214D1" w:rsidRPr="0090293F">
        <w:rPr>
          <w:rFonts w:ascii="Gadugi" w:hAnsi="Gadugi"/>
          <w:sz w:val="24"/>
          <w:szCs w:val="24"/>
        </w:rPr>
        <w:t xml:space="preserve"> </w:t>
      </w:r>
      <w:r w:rsidR="00A4429C" w:rsidRPr="0090293F">
        <w:rPr>
          <w:rFonts w:ascii="Gadugi" w:hAnsi="Gadugi"/>
          <w:sz w:val="24"/>
          <w:szCs w:val="24"/>
        </w:rPr>
        <w:t xml:space="preserve">en </w:t>
      </w:r>
      <w:r w:rsidR="001C1FCE" w:rsidRPr="0090293F">
        <w:rPr>
          <w:rFonts w:ascii="Gadugi" w:hAnsi="Gadugi"/>
          <w:sz w:val="24"/>
          <w:szCs w:val="24"/>
        </w:rPr>
        <w:t>la ejecución que cuestiona</w:t>
      </w:r>
      <w:r w:rsidR="00CB229A" w:rsidRPr="0090293F">
        <w:rPr>
          <w:rFonts w:ascii="Gadugi" w:hAnsi="Gadugi"/>
          <w:sz w:val="24"/>
          <w:szCs w:val="24"/>
        </w:rPr>
        <w:t>,</w:t>
      </w:r>
      <w:r w:rsidRPr="0090293F">
        <w:rPr>
          <w:rFonts w:ascii="Gadugi" w:hAnsi="Gadugi"/>
          <w:sz w:val="24"/>
          <w:szCs w:val="24"/>
        </w:rPr>
        <w:t xml:space="preserve"> </w:t>
      </w:r>
      <w:r w:rsidR="00A214D1" w:rsidRPr="0090293F">
        <w:rPr>
          <w:rFonts w:ascii="Gadugi" w:hAnsi="Gadugi"/>
          <w:sz w:val="24"/>
          <w:szCs w:val="24"/>
        </w:rPr>
        <w:t>sucede lo mismo</w:t>
      </w:r>
      <w:r w:rsidRPr="0090293F">
        <w:rPr>
          <w:rFonts w:ascii="Gadugi" w:hAnsi="Gadugi"/>
          <w:sz w:val="24"/>
          <w:szCs w:val="24"/>
        </w:rPr>
        <w:t xml:space="preserve"> por pasiva porque el juzgado </w:t>
      </w:r>
      <w:r w:rsidR="00A4429C" w:rsidRPr="0090293F">
        <w:rPr>
          <w:rFonts w:ascii="Gadugi" w:hAnsi="Gadugi"/>
          <w:sz w:val="24"/>
          <w:szCs w:val="24"/>
        </w:rPr>
        <w:t>encausado</w:t>
      </w:r>
      <w:r w:rsidRPr="0090293F">
        <w:rPr>
          <w:rFonts w:ascii="Gadugi" w:hAnsi="Gadugi"/>
          <w:sz w:val="24"/>
          <w:szCs w:val="24"/>
        </w:rPr>
        <w:t xml:space="preserve"> </w:t>
      </w:r>
      <w:r w:rsidR="00A214D1" w:rsidRPr="0090293F">
        <w:rPr>
          <w:rFonts w:ascii="Gadugi" w:hAnsi="Gadugi"/>
          <w:sz w:val="24"/>
          <w:szCs w:val="24"/>
        </w:rPr>
        <w:t xml:space="preserve">conoce de </w:t>
      </w:r>
      <w:r w:rsidR="00CB229A" w:rsidRPr="0090293F">
        <w:rPr>
          <w:rFonts w:ascii="Gadugi" w:hAnsi="Gadugi"/>
          <w:sz w:val="24"/>
          <w:szCs w:val="24"/>
        </w:rPr>
        <w:t>ese</w:t>
      </w:r>
      <w:r w:rsidR="00A214D1" w:rsidRPr="0090293F">
        <w:rPr>
          <w:rFonts w:ascii="Gadugi" w:hAnsi="Gadugi"/>
          <w:sz w:val="24"/>
          <w:szCs w:val="24"/>
        </w:rPr>
        <w:t xml:space="preserve"> caso</w:t>
      </w:r>
      <w:r w:rsidR="00CB229A" w:rsidRPr="0090293F">
        <w:rPr>
          <w:rFonts w:ascii="Gadugi" w:hAnsi="Gadugi"/>
          <w:sz w:val="24"/>
          <w:szCs w:val="24"/>
        </w:rPr>
        <w:t xml:space="preserve">; y puede comparecer la sociedad vinculada porque interviene como demandante en ese juicio. </w:t>
      </w:r>
    </w:p>
    <w:p w14:paraId="3B033A1F" w14:textId="77777777" w:rsidR="00B52C50" w:rsidRPr="0090293F" w:rsidRDefault="00B52C50" w:rsidP="0090293F">
      <w:pPr>
        <w:spacing w:line="276" w:lineRule="auto"/>
        <w:jc w:val="both"/>
        <w:rPr>
          <w:rFonts w:ascii="Gadugi" w:hAnsi="Gadugi"/>
          <w:sz w:val="24"/>
          <w:szCs w:val="24"/>
        </w:rPr>
      </w:pPr>
    </w:p>
    <w:p w14:paraId="26DB857E" w14:textId="6576CAD9" w:rsidR="00CB229A" w:rsidRPr="0090293F" w:rsidRDefault="00424D4A" w:rsidP="0090293F">
      <w:pPr>
        <w:spacing w:line="276" w:lineRule="auto"/>
        <w:jc w:val="both"/>
        <w:rPr>
          <w:rFonts w:ascii="Gadugi" w:hAnsi="Gadugi"/>
          <w:sz w:val="24"/>
          <w:szCs w:val="24"/>
        </w:rPr>
      </w:pPr>
      <w:r w:rsidRPr="0090293F">
        <w:rPr>
          <w:rFonts w:ascii="Gadugi" w:hAnsi="Gadugi"/>
          <w:sz w:val="24"/>
          <w:szCs w:val="24"/>
        </w:rPr>
        <w:t>S</w:t>
      </w:r>
      <w:r w:rsidR="00B52C50" w:rsidRPr="0090293F">
        <w:rPr>
          <w:rFonts w:ascii="Gadugi" w:hAnsi="Gadugi"/>
          <w:sz w:val="24"/>
          <w:szCs w:val="24"/>
        </w:rPr>
        <w:t>e supera la inmediatez porque</w:t>
      </w:r>
      <w:r w:rsidRPr="0090293F">
        <w:rPr>
          <w:rFonts w:ascii="Gadugi" w:hAnsi="Gadugi"/>
          <w:sz w:val="24"/>
          <w:szCs w:val="24"/>
        </w:rPr>
        <w:t xml:space="preserve"> </w:t>
      </w:r>
      <w:r w:rsidR="00A214D1" w:rsidRPr="0090293F">
        <w:rPr>
          <w:rFonts w:ascii="Gadugi" w:hAnsi="Gadugi"/>
          <w:sz w:val="24"/>
          <w:szCs w:val="24"/>
        </w:rPr>
        <w:t>la</w:t>
      </w:r>
      <w:r w:rsidR="00CB229A" w:rsidRPr="0090293F">
        <w:rPr>
          <w:rFonts w:ascii="Gadugi" w:hAnsi="Gadugi"/>
          <w:sz w:val="24"/>
          <w:szCs w:val="24"/>
        </w:rPr>
        <w:t xml:space="preserve"> sentencia que se reprocha data del 30 de junio de 2022</w:t>
      </w:r>
      <w:r w:rsidR="006D2647" w:rsidRPr="0090293F">
        <w:rPr>
          <w:rStyle w:val="Refdenotaalpie"/>
          <w:rFonts w:ascii="Gadugi" w:hAnsi="Gadugi"/>
          <w:sz w:val="24"/>
          <w:szCs w:val="24"/>
        </w:rPr>
        <w:footnoteReference w:id="10"/>
      </w:r>
      <w:r w:rsidR="00CB229A" w:rsidRPr="0090293F">
        <w:rPr>
          <w:rFonts w:ascii="Gadugi" w:hAnsi="Gadugi"/>
          <w:sz w:val="24"/>
          <w:szCs w:val="24"/>
        </w:rPr>
        <w:t>, y esta demanda se radicó el 12 de diciembre de 2022</w:t>
      </w:r>
      <w:r w:rsidR="006D2647" w:rsidRPr="0090293F">
        <w:rPr>
          <w:rStyle w:val="Refdenotaalpie"/>
          <w:rFonts w:ascii="Gadugi" w:hAnsi="Gadugi"/>
          <w:sz w:val="24"/>
          <w:szCs w:val="24"/>
        </w:rPr>
        <w:footnoteReference w:id="11"/>
      </w:r>
      <w:r w:rsidR="00CB229A" w:rsidRPr="0090293F">
        <w:rPr>
          <w:rFonts w:ascii="Gadugi" w:hAnsi="Gadugi"/>
          <w:sz w:val="24"/>
          <w:szCs w:val="24"/>
        </w:rPr>
        <w:t>, esto es, en un término oportuno e inferior a 6 meses. Además, los recursos que se denuncian incontestados, fueron radicados el 10 de agosto de 2022</w:t>
      </w:r>
      <w:r w:rsidR="006D2647" w:rsidRPr="0090293F">
        <w:rPr>
          <w:rStyle w:val="Refdenotaalpie"/>
          <w:rFonts w:ascii="Gadugi" w:hAnsi="Gadugi"/>
          <w:sz w:val="24"/>
          <w:szCs w:val="24"/>
        </w:rPr>
        <w:footnoteReference w:id="12"/>
      </w:r>
      <w:r w:rsidR="00C829A4" w:rsidRPr="0090293F">
        <w:rPr>
          <w:rFonts w:ascii="Gadugi" w:hAnsi="Gadugi"/>
          <w:sz w:val="24"/>
          <w:szCs w:val="24"/>
        </w:rPr>
        <w:t>, y al ver que no se les daba solución perentoria, se radicó esta tutela, oportunamente, el 12 de diciembre siguiente</w:t>
      </w:r>
      <w:r w:rsidR="00CD39A9" w:rsidRPr="0090293F">
        <w:rPr>
          <w:rStyle w:val="Refdenotaalpie"/>
          <w:rFonts w:ascii="Gadugi" w:hAnsi="Gadugi"/>
          <w:sz w:val="24"/>
          <w:szCs w:val="24"/>
        </w:rPr>
        <w:footnoteReference w:id="13"/>
      </w:r>
      <w:r w:rsidR="00C829A4" w:rsidRPr="0090293F">
        <w:rPr>
          <w:rFonts w:ascii="Gadugi" w:hAnsi="Gadugi"/>
          <w:sz w:val="24"/>
          <w:szCs w:val="24"/>
        </w:rPr>
        <w:t xml:space="preserve">.  </w:t>
      </w:r>
      <w:r w:rsidR="00CB229A" w:rsidRPr="0090293F">
        <w:rPr>
          <w:rFonts w:ascii="Gadugi" w:hAnsi="Gadugi"/>
          <w:sz w:val="24"/>
          <w:szCs w:val="24"/>
        </w:rPr>
        <w:t xml:space="preserve"> </w:t>
      </w:r>
    </w:p>
    <w:p w14:paraId="50748B3E" w14:textId="432C0433" w:rsidR="00423875" w:rsidRPr="0090293F" w:rsidRDefault="00423875" w:rsidP="0090293F">
      <w:pPr>
        <w:spacing w:line="276" w:lineRule="auto"/>
        <w:jc w:val="both"/>
        <w:rPr>
          <w:rFonts w:ascii="Gadugi" w:hAnsi="Gadugi"/>
          <w:sz w:val="24"/>
          <w:szCs w:val="24"/>
        </w:rPr>
      </w:pPr>
    </w:p>
    <w:p w14:paraId="0AA9DFCA" w14:textId="34C1BE83" w:rsidR="00C829A4" w:rsidRPr="0090293F" w:rsidRDefault="00C829A4" w:rsidP="0090293F">
      <w:pPr>
        <w:spacing w:line="276" w:lineRule="auto"/>
        <w:jc w:val="both"/>
        <w:rPr>
          <w:rFonts w:ascii="Gadugi" w:hAnsi="Gadugi"/>
          <w:sz w:val="24"/>
          <w:szCs w:val="24"/>
        </w:rPr>
      </w:pPr>
      <w:r w:rsidRPr="0090293F">
        <w:rPr>
          <w:rFonts w:ascii="Gadugi" w:hAnsi="Gadugi"/>
          <w:sz w:val="24"/>
          <w:szCs w:val="24"/>
        </w:rPr>
        <w:t xml:space="preserve">2.4. Ahora bien, como en esencia se discute, por un lado, lo relacionado con el fallo, y por otro, lo ateniente con el embargo y retención de dineros de la cuenta de ahorros de la P.H., la Sala dividirá el estudio del caso en dos, empezando por lo último mencionado. </w:t>
      </w:r>
    </w:p>
    <w:p w14:paraId="423F13B1" w14:textId="07B675BE" w:rsidR="00C829A4" w:rsidRPr="0090293F" w:rsidRDefault="00C829A4" w:rsidP="0090293F">
      <w:pPr>
        <w:spacing w:line="276" w:lineRule="auto"/>
        <w:jc w:val="both"/>
        <w:rPr>
          <w:rFonts w:ascii="Gadugi" w:hAnsi="Gadugi"/>
          <w:sz w:val="24"/>
          <w:szCs w:val="24"/>
        </w:rPr>
      </w:pPr>
    </w:p>
    <w:p w14:paraId="05EAA7D7" w14:textId="77777777" w:rsidR="00602843" w:rsidRPr="0090293F" w:rsidRDefault="00C829A4" w:rsidP="0090293F">
      <w:pPr>
        <w:spacing w:line="276" w:lineRule="auto"/>
        <w:jc w:val="both"/>
        <w:rPr>
          <w:rFonts w:ascii="Gadugi" w:hAnsi="Gadugi"/>
          <w:sz w:val="24"/>
          <w:szCs w:val="24"/>
        </w:rPr>
      </w:pPr>
      <w:r w:rsidRPr="0090293F">
        <w:rPr>
          <w:rFonts w:ascii="Gadugi" w:hAnsi="Gadugi"/>
          <w:sz w:val="24"/>
          <w:szCs w:val="24"/>
        </w:rPr>
        <w:t>2.4.1. Al respecto, rápido se advierte que</w:t>
      </w:r>
      <w:r w:rsidR="00602843" w:rsidRPr="0090293F">
        <w:rPr>
          <w:rFonts w:ascii="Gadugi" w:hAnsi="Gadugi"/>
          <w:sz w:val="24"/>
          <w:szCs w:val="24"/>
        </w:rPr>
        <w:t>, por prematura,</w:t>
      </w:r>
      <w:r w:rsidRPr="0090293F">
        <w:rPr>
          <w:rFonts w:ascii="Gadugi" w:hAnsi="Gadugi"/>
          <w:sz w:val="24"/>
          <w:szCs w:val="24"/>
        </w:rPr>
        <w:t xml:space="preserve"> la tutela se queda en el umbral de la subsidiariedad</w:t>
      </w:r>
      <w:r w:rsidR="00602843" w:rsidRPr="0090293F">
        <w:rPr>
          <w:rFonts w:ascii="Gadugi" w:hAnsi="Gadugi"/>
          <w:sz w:val="24"/>
          <w:szCs w:val="24"/>
        </w:rPr>
        <w:t>.</w:t>
      </w:r>
    </w:p>
    <w:p w14:paraId="1E9FBDAB" w14:textId="77777777" w:rsidR="00602843" w:rsidRPr="0090293F" w:rsidRDefault="00602843" w:rsidP="0090293F">
      <w:pPr>
        <w:spacing w:line="276" w:lineRule="auto"/>
        <w:jc w:val="both"/>
        <w:rPr>
          <w:rFonts w:ascii="Gadugi" w:hAnsi="Gadugi"/>
          <w:sz w:val="24"/>
          <w:szCs w:val="24"/>
        </w:rPr>
      </w:pPr>
    </w:p>
    <w:p w14:paraId="70A0B682" w14:textId="61267E0D" w:rsidR="00E7737C" w:rsidRPr="0090293F" w:rsidRDefault="00602843" w:rsidP="0090293F">
      <w:pPr>
        <w:spacing w:line="276" w:lineRule="auto"/>
        <w:jc w:val="both"/>
        <w:rPr>
          <w:rFonts w:ascii="Gadugi" w:hAnsi="Gadugi"/>
          <w:i/>
          <w:sz w:val="24"/>
          <w:szCs w:val="24"/>
        </w:rPr>
      </w:pPr>
      <w:r w:rsidRPr="0090293F">
        <w:rPr>
          <w:rFonts w:ascii="Gadugi" w:hAnsi="Gadugi"/>
          <w:sz w:val="24"/>
          <w:szCs w:val="24"/>
        </w:rPr>
        <w:t xml:space="preserve">En efecto, </w:t>
      </w:r>
      <w:r w:rsidR="00E7737C" w:rsidRPr="0090293F">
        <w:rPr>
          <w:rFonts w:ascii="Gadugi" w:hAnsi="Gadugi"/>
          <w:sz w:val="24"/>
          <w:szCs w:val="24"/>
        </w:rPr>
        <w:t xml:space="preserve">para cuando se presentó esta tutela, la controversia sobre la medida cautelar iba en que, con memorial radicado el 17 de junio de 2022, la parte ejecutada solicitó </w:t>
      </w:r>
      <w:r w:rsidR="00E7737C" w:rsidRPr="0090293F">
        <w:rPr>
          <w:rFonts w:ascii="Gadugi" w:hAnsi="Gadugi"/>
          <w:i/>
          <w:sz w:val="24"/>
          <w:szCs w:val="24"/>
        </w:rPr>
        <w:t>“</w:t>
      </w:r>
      <w:r w:rsidR="00E7737C" w:rsidRPr="004A6609">
        <w:rPr>
          <w:rFonts w:ascii="Gadugi" w:hAnsi="Gadugi"/>
          <w:i/>
          <w:sz w:val="22"/>
          <w:szCs w:val="24"/>
        </w:rPr>
        <w:t xml:space="preserve">(…) la entrega al demandado del título de depósito judicial representativo o contentivo del dinero de $ 9.200.000.oo, retenido en la cuenta de ahorros de la parte ejecutada, teniendo en cuenta que de manera previa solo se dispuso, en cumplimiento de dicha decisión del Juzgado, el levantamiento de la orden de embargo sobre la cuenta de ahorros, </w:t>
      </w:r>
      <w:r w:rsidR="00E7737C" w:rsidRPr="004A6609">
        <w:rPr>
          <w:rFonts w:ascii="Gadugi" w:hAnsi="Gadugi"/>
          <w:i/>
          <w:sz w:val="22"/>
          <w:szCs w:val="24"/>
          <w:u w:val="single"/>
        </w:rPr>
        <w:t>pero sin incluir la devolución o entrega del dinero que con aquella medida se obtuvo</w:t>
      </w:r>
      <w:r w:rsidR="00E7737C" w:rsidRPr="004A6609">
        <w:rPr>
          <w:rFonts w:ascii="Gadugi" w:hAnsi="Gadugi"/>
          <w:i/>
          <w:sz w:val="22"/>
          <w:szCs w:val="24"/>
        </w:rPr>
        <w:t xml:space="preserve"> (…)</w:t>
      </w:r>
      <w:r w:rsidR="00E7737C" w:rsidRPr="0090293F">
        <w:rPr>
          <w:rFonts w:ascii="Gadugi" w:hAnsi="Gadugi"/>
          <w:i/>
          <w:sz w:val="24"/>
          <w:szCs w:val="24"/>
        </w:rPr>
        <w:t>”.</w:t>
      </w:r>
      <w:r w:rsidR="00CD39A9" w:rsidRPr="0090293F">
        <w:rPr>
          <w:rStyle w:val="Refdenotaalpie"/>
          <w:rFonts w:ascii="Gadugi" w:hAnsi="Gadugi"/>
          <w:i/>
          <w:sz w:val="24"/>
          <w:szCs w:val="24"/>
        </w:rPr>
        <w:footnoteReference w:id="14"/>
      </w:r>
      <w:r w:rsidR="00E7737C" w:rsidRPr="0090293F">
        <w:rPr>
          <w:rFonts w:ascii="Gadugi" w:hAnsi="Gadugi"/>
          <w:i/>
          <w:sz w:val="24"/>
          <w:szCs w:val="24"/>
        </w:rPr>
        <w:t xml:space="preserve"> </w:t>
      </w:r>
    </w:p>
    <w:p w14:paraId="4EF7C58F" w14:textId="7D1C1461" w:rsidR="00E7737C" w:rsidRPr="0090293F" w:rsidRDefault="00E7737C" w:rsidP="0090293F">
      <w:pPr>
        <w:spacing w:line="276" w:lineRule="auto"/>
        <w:jc w:val="both"/>
        <w:rPr>
          <w:rFonts w:ascii="Gadugi" w:hAnsi="Gadugi"/>
          <w:sz w:val="24"/>
          <w:szCs w:val="24"/>
        </w:rPr>
      </w:pPr>
    </w:p>
    <w:p w14:paraId="3946C9C5" w14:textId="5F9D9F5B" w:rsidR="00E7737C" w:rsidRPr="0090293F" w:rsidRDefault="00E7737C" w:rsidP="0090293F">
      <w:pPr>
        <w:spacing w:line="276" w:lineRule="auto"/>
        <w:jc w:val="both"/>
        <w:rPr>
          <w:rFonts w:ascii="Gadugi" w:hAnsi="Gadugi"/>
          <w:sz w:val="24"/>
          <w:szCs w:val="24"/>
        </w:rPr>
      </w:pPr>
      <w:r w:rsidRPr="0090293F">
        <w:rPr>
          <w:rFonts w:ascii="Gadugi" w:hAnsi="Gadugi"/>
          <w:sz w:val="24"/>
          <w:szCs w:val="24"/>
        </w:rPr>
        <w:t>Frente a lo cual, con auto del 4 de agosto de 2022, el despacho dispuso</w:t>
      </w:r>
      <w:r w:rsidR="00CD39A9" w:rsidRPr="0090293F">
        <w:rPr>
          <w:rStyle w:val="Refdenotaalpie"/>
          <w:rFonts w:ascii="Gadugi" w:hAnsi="Gadugi"/>
          <w:sz w:val="24"/>
          <w:szCs w:val="24"/>
        </w:rPr>
        <w:footnoteReference w:id="15"/>
      </w:r>
      <w:r w:rsidRPr="0090293F">
        <w:rPr>
          <w:rFonts w:ascii="Gadugi" w:hAnsi="Gadugi"/>
          <w:sz w:val="24"/>
          <w:szCs w:val="24"/>
        </w:rPr>
        <w:t>:</w:t>
      </w:r>
    </w:p>
    <w:p w14:paraId="7C4B6F52" w14:textId="77777777" w:rsidR="00602843" w:rsidRPr="0090293F" w:rsidRDefault="00602843" w:rsidP="0090293F">
      <w:pPr>
        <w:spacing w:line="276" w:lineRule="auto"/>
        <w:ind w:left="567" w:right="618"/>
        <w:jc w:val="both"/>
        <w:rPr>
          <w:rFonts w:ascii="Gadugi" w:hAnsi="Gadugi"/>
          <w:sz w:val="24"/>
          <w:szCs w:val="24"/>
        </w:rPr>
      </w:pPr>
    </w:p>
    <w:p w14:paraId="7DCFBECE" w14:textId="3ECE08EA" w:rsidR="00C829A4" w:rsidRPr="004A6609" w:rsidRDefault="00602843" w:rsidP="00267CA1">
      <w:pPr>
        <w:ind w:left="426" w:right="420"/>
        <w:jc w:val="both"/>
        <w:rPr>
          <w:rFonts w:ascii="Gadugi" w:hAnsi="Gadugi"/>
          <w:sz w:val="22"/>
          <w:szCs w:val="24"/>
        </w:rPr>
      </w:pPr>
      <w:r w:rsidRPr="004A6609">
        <w:rPr>
          <w:rFonts w:ascii="Gadugi" w:hAnsi="Gadugi"/>
          <w:sz w:val="22"/>
          <w:szCs w:val="24"/>
        </w:rPr>
        <w:t xml:space="preserve">“(…) Encuentra el Despacho que la solicitud de levantamiento de la medida de embargo se resolvió mediante auto de fecha 16 de marzo de 2022, mismo que fue notificado a las partes por estado, encontrándose en firme, sin que dentro del término de ejecutoria el togado hubiera realizado alguna manifestación; </w:t>
      </w:r>
      <w:r w:rsidRPr="004A6609">
        <w:rPr>
          <w:rFonts w:ascii="Gadugi" w:hAnsi="Gadugi"/>
          <w:sz w:val="22"/>
          <w:szCs w:val="24"/>
          <w:u w:val="single"/>
        </w:rPr>
        <w:t>no pudiendo ahora el Despacho ordenar la devolución de los dineros retenidos, por cuanto a la fecha existe[] sentencia en firme, la cual ordenó seguir adelante con la ejecución; por tanto, los dineros retenidos se imputarán en la liquidación de crédito en el momento procesal oportuno</w:t>
      </w:r>
      <w:r w:rsidRPr="004A6609">
        <w:rPr>
          <w:rFonts w:ascii="Gadugi" w:hAnsi="Gadugi"/>
          <w:sz w:val="22"/>
          <w:szCs w:val="24"/>
        </w:rPr>
        <w:t>.”</w:t>
      </w:r>
    </w:p>
    <w:p w14:paraId="11C2A68A" w14:textId="77777777" w:rsidR="00C829A4" w:rsidRPr="0090293F" w:rsidRDefault="00C829A4" w:rsidP="0090293F">
      <w:pPr>
        <w:spacing w:line="276" w:lineRule="auto"/>
        <w:jc w:val="both"/>
        <w:rPr>
          <w:rFonts w:ascii="Gadugi" w:hAnsi="Gadugi"/>
          <w:sz w:val="24"/>
          <w:szCs w:val="24"/>
        </w:rPr>
      </w:pPr>
    </w:p>
    <w:p w14:paraId="7E27426B" w14:textId="2F006120" w:rsidR="00C829A4" w:rsidRPr="0090293F" w:rsidRDefault="00E7737C" w:rsidP="0090293F">
      <w:pPr>
        <w:spacing w:line="276" w:lineRule="auto"/>
        <w:jc w:val="both"/>
        <w:rPr>
          <w:rFonts w:ascii="Gadugi" w:hAnsi="Gadugi"/>
          <w:sz w:val="24"/>
          <w:szCs w:val="24"/>
        </w:rPr>
      </w:pPr>
      <w:r w:rsidRPr="0090293F">
        <w:rPr>
          <w:rFonts w:ascii="Gadugi" w:hAnsi="Gadugi"/>
          <w:sz w:val="24"/>
          <w:szCs w:val="24"/>
        </w:rPr>
        <w:t>Debido a lo anterior</w:t>
      </w:r>
      <w:r w:rsidR="00396DD5" w:rsidRPr="0090293F">
        <w:rPr>
          <w:rFonts w:ascii="Gadugi" w:hAnsi="Gadugi"/>
          <w:sz w:val="24"/>
          <w:szCs w:val="24"/>
        </w:rPr>
        <w:t>, el 10 de agosto de 2022</w:t>
      </w:r>
      <w:r w:rsidR="00602843" w:rsidRPr="0090293F">
        <w:rPr>
          <w:rFonts w:ascii="Gadugi" w:hAnsi="Gadugi"/>
          <w:sz w:val="24"/>
          <w:szCs w:val="24"/>
        </w:rPr>
        <w:t xml:space="preserve"> </w:t>
      </w:r>
      <w:r w:rsidRPr="0090293F">
        <w:rPr>
          <w:rFonts w:ascii="Gadugi" w:hAnsi="Gadugi"/>
          <w:sz w:val="24"/>
          <w:szCs w:val="24"/>
        </w:rPr>
        <w:t>la ejecutada</w:t>
      </w:r>
      <w:r w:rsidR="00602843" w:rsidRPr="0090293F">
        <w:rPr>
          <w:rFonts w:ascii="Gadugi" w:hAnsi="Gadugi"/>
          <w:sz w:val="24"/>
          <w:szCs w:val="24"/>
        </w:rPr>
        <w:t xml:space="preserve"> elev</w:t>
      </w:r>
      <w:r w:rsidRPr="0090293F">
        <w:rPr>
          <w:rFonts w:ascii="Gadugi" w:hAnsi="Gadugi"/>
          <w:sz w:val="24"/>
          <w:szCs w:val="24"/>
        </w:rPr>
        <w:t>ó</w:t>
      </w:r>
      <w:r w:rsidR="00602843" w:rsidRPr="0090293F">
        <w:rPr>
          <w:rFonts w:ascii="Gadugi" w:hAnsi="Gadugi"/>
          <w:sz w:val="24"/>
          <w:szCs w:val="24"/>
        </w:rPr>
        <w:t xml:space="preserve"> </w:t>
      </w:r>
      <w:r w:rsidRPr="0090293F">
        <w:rPr>
          <w:rFonts w:ascii="Gadugi" w:hAnsi="Gadugi"/>
          <w:sz w:val="24"/>
          <w:szCs w:val="24"/>
        </w:rPr>
        <w:t xml:space="preserve">sendos </w:t>
      </w:r>
      <w:r w:rsidR="00602843" w:rsidRPr="0090293F">
        <w:rPr>
          <w:rFonts w:ascii="Gadugi" w:hAnsi="Gadugi"/>
          <w:sz w:val="24"/>
          <w:szCs w:val="24"/>
        </w:rPr>
        <w:t xml:space="preserve">recursos de reposición y en subsidio apelación, argumentando que, si ya la medida cautelar se había levantado </w:t>
      </w:r>
      <w:r w:rsidR="00DE0A45" w:rsidRPr="0090293F">
        <w:rPr>
          <w:rFonts w:ascii="Gadugi" w:hAnsi="Gadugi"/>
          <w:sz w:val="24"/>
          <w:szCs w:val="24"/>
        </w:rPr>
        <w:t>desde el 16 de marzo de 2022, lo pertinente era</w:t>
      </w:r>
      <w:r w:rsidR="00602843" w:rsidRPr="0090293F">
        <w:rPr>
          <w:rFonts w:ascii="Gadugi" w:hAnsi="Gadugi"/>
          <w:sz w:val="24"/>
          <w:szCs w:val="24"/>
        </w:rPr>
        <w:t xml:space="preserve"> </w:t>
      </w:r>
      <w:r w:rsidR="00DE0A45" w:rsidRPr="0090293F">
        <w:rPr>
          <w:rFonts w:ascii="Gadugi" w:hAnsi="Gadugi"/>
          <w:i/>
          <w:iCs/>
          <w:sz w:val="24"/>
          <w:szCs w:val="24"/>
        </w:rPr>
        <w:t>“</w:t>
      </w:r>
      <w:r w:rsidR="00DE0A45" w:rsidRPr="004A6609">
        <w:rPr>
          <w:rFonts w:ascii="Gadugi" w:hAnsi="Gadugi"/>
          <w:i/>
          <w:iCs/>
          <w:sz w:val="22"/>
          <w:szCs w:val="24"/>
        </w:rPr>
        <w:t>incluir la devolución o entrega del dinero retenido, para que así se cumpla íntegramente</w:t>
      </w:r>
      <w:r w:rsidR="00DE0A45" w:rsidRPr="0090293F">
        <w:rPr>
          <w:rFonts w:ascii="Gadugi" w:hAnsi="Gadugi"/>
          <w:i/>
          <w:iCs/>
          <w:sz w:val="24"/>
          <w:szCs w:val="24"/>
        </w:rPr>
        <w:t>”</w:t>
      </w:r>
      <w:r w:rsidR="00DE0A45" w:rsidRPr="0090293F">
        <w:rPr>
          <w:rFonts w:ascii="Gadugi" w:hAnsi="Gadugi"/>
          <w:sz w:val="24"/>
          <w:szCs w:val="24"/>
        </w:rPr>
        <w:t xml:space="preserve"> lo reglado en el artículo 599 del CGP</w:t>
      </w:r>
      <w:r w:rsidR="00CD39A9" w:rsidRPr="0090293F">
        <w:rPr>
          <w:rStyle w:val="Refdenotaalpie"/>
          <w:rFonts w:ascii="Gadugi" w:hAnsi="Gadugi"/>
          <w:sz w:val="24"/>
          <w:szCs w:val="24"/>
        </w:rPr>
        <w:footnoteReference w:id="16"/>
      </w:r>
      <w:r w:rsidR="00DE0A45" w:rsidRPr="0090293F">
        <w:rPr>
          <w:rFonts w:ascii="Gadugi" w:hAnsi="Gadugi"/>
          <w:sz w:val="24"/>
          <w:szCs w:val="24"/>
        </w:rPr>
        <w:t xml:space="preserve">. </w:t>
      </w:r>
    </w:p>
    <w:p w14:paraId="2A13443B" w14:textId="2BFC4666" w:rsidR="54A6898F" w:rsidRPr="0090293F" w:rsidRDefault="54A6898F" w:rsidP="0090293F">
      <w:pPr>
        <w:spacing w:line="276" w:lineRule="auto"/>
        <w:jc w:val="both"/>
        <w:rPr>
          <w:rFonts w:ascii="Gadugi" w:hAnsi="Gadugi"/>
          <w:sz w:val="24"/>
          <w:szCs w:val="24"/>
        </w:rPr>
      </w:pPr>
    </w:p>
    <w:p w14:paraId="501CA234" w14:textId="2DA073A1" w:rsidR="00DE0A45" w:rsidRPr="0090293F" w:rsidRDefault="00E7737C" w:rsidP="0090293F">
      <w:pPr>
        <w:spacing w:line="276" w:lineRule="auto"/>
        <w:jc w:val="both"/>
        <w:rPr>
          <w:rFonts w:ascii="Gadugi" w:hAnsi="Gadugi"/>
          <w:sz w:val="24"/>
          <w:szCs w:val="24"/>
        </w:rPr>
      </w:pPr>
      <w:r w:rsidRPr="0090293F">
        <w:rPr>
          <w:rFonts w:ascii="Gadugi" w:hAnsi="Gadugi"/>
          <w:sz w:val="24"/>
          <w:szCs w:val="24"/>
        </w:rPr>
        <w:t>No obstante, para cuando se radicó esta tutela, esos recursos no habían sido resueltos.</w:t>
      </w:r>
    </w:p>
    <w:p w14:paraId="7F80B69C" w14:textId="07EA77AF" w:rsidR="00E7737C" w:rsidRPr="0090293F" w:rsidRDefault="00E7737C" w:rsidP="0090293F">
      <w:pPr>
        <w:spacing w:line="276" w:lineRule="auto"/>
        <w:jc w:val="both"/>
        <w:rPr>
          <w:rFonts w:ascii="Gadugi" w:hAnsi="Gadugi"/>
          <w:sz w:val="24"/>
          <w:szCs w:val="24"/>
        </w:rPr>
      </w:pPr>
    </w:p>
    <w:p w14:paraId="48FE3589" w14:textId="75CD620E" w:rsidR="00E7737C" w:rsidRPr="0090293F" w:rsidRDefault="00E7737C" w:rsidP="0090293F">
      <w:pPr>
        <w:spacing w:line="276" w:lineRule="auto"/>
        <w:jc w:val="both"/>
        <w:rPr>
          <w:rFonts w:ascii="Gadugi" w:hAnsi="Gadugi"/>
          <w:sz w:val="24"/>
          <w:szCs w:val="24"/>
        </w:rPr>
      </w:pPr>
      <w:r w:rsidRPr="0090293F">
        <w:rPr>
          <w:rFonts w:ascii="Gadugi" w:hAnsi="Gadugi"/>
          <w:sz w:val="24"/>
          <w:szCs w:val="24"/>
        </w:rPr>
        <w:t xml:space="preserve">En ese orden de ideas, es patente que sería impertinente, por anticipado, un pronunciamiento del juez de tutela en un asunto que </w:t>
      </w:r>
      <w:r w:rsidR="008B5103" w:rsidRPr="0090293F">
        <w:rPr>
          <w:rFonts w:ascii="Gadugi" w:hAnsi="Gadugi"/>
          <w:sz w:val="24"/>
          <w:szCs w:val="24"/>
          <w:u w:val="single"/>
        </w:rPr>
        <w:t>se encontraba</w:t>
      </w:r>
      <w:r w:rsidRPr="0090293F">
        <w:rPr>
          <w:rFonts w:ascii="Gadugi" w:hAnsi="Gadugi"/>
          <w:sz w:val="24"/>
          <w:szCs w:val="24"/>
          <w:u w:val="single"/>
        </w:rPr>
        <w:t xml:space="preserve"> trámite</w:t>
      </w:r>
      <w:r w:rsidRPr="0090293F">
        <w:rPr>
          <w:rFonts w:ascii="Gadugi" w:hAnsi="Gadugi"/>
          <w:sz w:val="24"/>
          <w:szCs w:val="24"/>
        </w:rPr>
        <w:t xml:space="preserve"> en el decurso ordinario de la ejecución</w:t>
      </w:r>
      <w:r w:rsidR="008B5103" w:rsidRPr="0090293F">
        <w:rPr>
          <w:rFonts w:ascii="Gadugi" w:hAnsi="Gadugi"/>
          <w:sz w:val="24"/>
          <w:szCs w:val="24"/>
        </w:rPr>
        <w:t xml:space="preserve">, y que estaba a la espera de una definitiva resolución por parte del juez que conoce de la causa. </w:t>
      </w:r>
    </w:p>
    <w:p w14:paraId="63379F95" w14:textId="67F1F191" w:rsidR="008B5103" w:rsidRPr="0090293F" w:rsidRDefault="008B5103" w:rsidP="0090293F">
      <w:pPr>
        <w:spacing w:line="276" w:lineRule="auto"/>
        <w:jc w:val="both"/>
        <w:rPr>
          <w:rFonts w:ascii="Gadugi" w:hAnsi="Gadugi"/>
          <w:sz w:val="24"/>
          <w:szCs w:val="24"/>
        </w:rPr>
      </w:pPr>
    </w:p>
    <w:p w14:paraId="47CD2ABB" w14:textId="46AC9E8F" w:rsidR="008B5103" w:rsidRPr="0090293F" w:rsidRDefault="008B5103" w:rsidP="0090293F">
      <w:pPr>
        <w:spacing w:line="276" w:lineRule="auto"/>
        <w:jc w:val="both"/>
        <w:rPr>
          <w:rFonts w:ascii="Gadugi" w:hAnsi="Gadugi"/>
          <w:sz w:val="24"/>
          <w:szCs w:val="24"/>
        </w:rPr>
      </w:pPr>
      <w:r w:rsidRPr="0090293F">
        <w:rPr>
          <w:rFonts w:ascii="Gadugi" w:hAnsi="Gadugi"/>
          <w:sz w:val="24"/>
          <w:szCs w:val="24"/>
        </w:rPr>
        <w:t xml:space="preserve">Ahora bien, en lo que sí podría interferir el juez constitucional es en la posible vulneración al debido proceso de la parte accionante, ocasionada por la demora judicial dada la inoportuna solución a los recursos que se presentaron contra el auto del 4 de agosto de 2022, frente a lo cual baste decir que, si bien es cierto que se excedió el término previsto en el artículo 120 del CGP, también lo es que en la actualidad sería inane emitir alguna orden contra el juez acusado, habida cuenta de que, con proveído del 15 de diciembre de 2022, ya resolvió lo pertinente. </w:t>
      </w:r>
      <w:r w:rsidR="008F52C9" w:rsidRPr="0090293F">
        <w:rPr>
          <w:rFonts w:ascii="Gadugi" w:hAnsi="Gadugi"/>
          <w:sz w:val="24"/>
          <w:szCs w:val="24"/>
        </w:rPr>
        <w:t>Inclusive, en ese caso ya se decretó la terminación del proceso por pago total de la obligación el 30 d</w:t>
      </w:r>
      <w:r w:rsidR="006C57AC" w:rsidRPr="0090293F">
        <w:rPr>
          <w:rFonts w:ascii="Gadugi" w:hAnsi="Gadugi"/>
          <w:sz w:val="24"/>
          <w:szCs w:val="24"/>
        </w:rPr>
        <w:t>e</w:t>
      </w:r>
      <w:r w:rsidR="008F52C9" w:rsidRPr="0090293F">
        <w:rPr>
          <w:rFonts w:ascii="Gadugi" w:hAnsi="Gadugi"/>
          <w:sz w:val="24"/>
          <w:szCs w:val="24"/>
        </w:rPr>
        <w:t xml:space="preserve"> enero de 2023.</w:t>
      </w:r>
      <w:r w:rsidR="008F52C9" w:rsidRPr="0090293F">
        <w:rPr>
          <w:rStyle w:val="Refdenotaalpie"/>
          <w:rFonts w:ascii="Gadugi" w:hAnsi="Gadugi"/>
          <w:sz w:val="24"/>
          <w:szCs w:val="24"/>
        </w:rPr>
        <w:footnoteReference w:id="17"/>
      </w:r>
      <w:r w:rsidR="008F52C9" w:rsidRPr="0090293F">
        <w:rPr>
          <w:rFonts w:ascii="Gadugi" w:hAnsi="Gadugi"/>
          <w:sz w:val="24"/>
          <w:szCs w:val="24"/>
        </w:rPr>
        <w:t xml:space="preserve"> </w:t>
      </w:r>
    </w:p>
    <w:p w14:paraId="5A20B70F" w14:textId="341B9A49" w:rsidR="008B5103" w:rsidRPr="0090293F" w:rsidRDefault="008B5103" w:rsidP="0090293F">
      <w:pPr>
        <w:spacing w:line="276" w:lineRule="auto"/>
        <w:jc w:val="both"/>
        <w:rPr>
          <w:rFonts w:ascii="Gadugi" w:hAnsi="Gadugi"/>
          <w:sz w:val="24"/>
          <w:szCs w:val="24"/>
        </w:rPr>
      </w:pPr>
    </w:p>
    <w:p w14:paraId="4717D9E7" w14:textId="4A5A15B0" w:rsidR="00506140" w:rsidRPr="0090293F" w:rsidRDefault="005E72CC" w:rsidP="0090293F">
      <w:pPr>
        <w:spacing w:line="276" w:lineRule="auto"/>
        <w:jc w:val="both"/>
        <w:rPr>
          <w:rFonts w:ascii="Gadugi" w:hAnsi="Gadugi"/>
          <w:sz w:val="24"/>
          <w:szCs w:val="24"/>
        </w:rPr>
      </w:pPr>
      <w:r w:rsidRPr="0090293F">
        <w:rPr>
          <w:rFonts w:ascii="Gadugi" w:hAnsi="Gadugi"/>
          <w:sz w:val="24"/>
          <w:szCs w:val="24"/>
        </w:rPr>
        <w:t xml:space="preserve">2.4.2. Por </w:t>
      </w:r>
      <w:r w:rsidR="005408D6" w:rsidRPr="0090293F">
        <w:rPr>
          <w:rFonts w:ascii="Gadugi" w:hAnsi="Gadugi"/>
          <w:sz w:val="24"/>
          <w:szCs w:val="24"/>
        </w:rPr>
        <w:t>otro lado</w:t>
      </w:r>
      <w:r w:rsidRPr="0090293F">
        <w:rPr>
          <w:rFonts w:ascii="Gadugi" w:hAnsi="Gadugi"/>
          <w:sz w:val="24"/>
          <w:szCs w:val="24"/>
        </w:rPr>
        <w:t>, está el fallo proferido en la ejecución</w:t>
      </w:r>
      <w:r w:rsidR="00506140" w:rsidRPr="0090293F">
        <w:rPr>
          <w:rFonts w:ascii="Gadugi" w:hAnsi="Gadugi"/>
          <w:sz w:val="24"/>
          <w:szCs w:val="24"/>
        </w:rPr>
        <w:t xml:space="preserve">. En este punto si se supera la subsidiariedad porque contra el fallo confutado es improcedente algún recurso, por ser un asunto de única instancia. </w:t>
      </w:r>
    </w:p>
    <w:p w14:paraId="2623EBDD" w14:textId="77777777" w:rsidR="005408D6" w:rsidRPr="0090293F" w:rsidRDefault="005408D6" w:rsidP="0090293F">
      <w:pPr>
        <w:spacing w:line="276" w:lineRule="auto"/>
        <w:jc w:val="both"/>
        <w:rPr>
          <w:rFonts w:ascii="Gadugi" w:hAnsi="Gadugi"/>
          <w:sz w:val="24"/>
          <w:szCs w:val="24"/>
        </w:rPr>
      </w:pPr>
    </w:p>
    <w:p w14:paraId="73327CA5" w14:textId="10172935" w:rsidR="00035A5C" w:rsidRPr="0090293F" w:rsidRDefault="006C57AC" w:rsidP="0090293F">
      <w:pPr>
        <w:spacing w:line="276" w:lineRule="auto"/>
        <w:jc w:val="both"/>
        <w:rPr>
          <w:rFonts w:ascii="Gadugi" w:hAnsi="Gadugi"/>
          <w:sz w:val="24"/>
          <w:szCs w:val="24"/>
        </w:rPr>
      </w:pPr>
      <w:r w:rsidRPr="0090293F">
        <w:rPr>
          <w:rFonts w:ascii="Gadugi" w:hAnsi="Gadugi"/>
          <w:sz w:val="24"/>
          <w:szCs w:val="24"/>
        </w:rPr>
        <w:t xml:space="preserve">A esa decisión se le endilga un </w:t>
      </w:r>
      <w:bookmarkStart w:id="4" w:name="_Hlk135838142"/>
      <w:r w:rsidRPr="0090293F">
        <w:rPr>
          <w:rFonts w:ascii="Gadugi" w:hAnsi="Gadugi"/>
          <w:sz w:val="24"/>
          <w:szCs w:val="24"/>
        </w:rPr>
        <w:t>defecto fáctico, el cual</w:t>
      </w:r>
      <w:r w:rsidR="00035A5C" w:rsidRPr="0090293F">
        <w:rPr>
          <w:rFonts w:ascii="Gadugi" w:hAnsi="Gadugi"/>
          <w:sz w:val="24"/>
          <w:szCs w:val="24"/>
        </w:rPr>
        <w:t xml:space="preserve"> </w:t>
      </w:r>
      <w:r w:rsidR="00035A5C" w:rsidRPr="0090293F">
        <w:rPr>
          <w:rFonts w:ascii="Gadugi" w:hAnsi="Gadugi"/>
          <w:i/>
          <w:iCs/>
          <w:sz w:val="24"/>
          <w:szCs w:val="24"/>
        </w:rPr>
        <w:t>“</w:t>
      </w:r>
      <w:r w:rsidR="00035A5C" w:rsidRPr="004A6609">
        <w:rPr>
          <w:rFonts w:ascii="Gadugi" w:hAnsi="Gadugi"/>
          <w:i/>
          <w:iCs/>
          <w:sz w:val="22"/>
          <w:szCs w:val="24"/>
          <w:lang w:val="es-CO" w:eastAsia="es-CO"/>
        </w:rPr>
        <w:t xml:space="preserve">Se erige sobre la malinterpretación de los hechos expuestos en un proceso, </w:t>
      </w:r>
      <w:r w:rsidR="00035A5C" w:rsidRPr="004A6609">
        <w:rPr>
          <w:rFonts w:ascii="Gadugi" w:hAnsi="Gadugi"/>
          <w:b/>
          <w:bCs/>
          <w:i/>
          <w:iCs/>
          <w:sz w:val="22"/>
          <w:szCs w:val="24"/>
          <w:lang w:val="es-CO" w:eastAsia="es-CO"/>
        </w:rPr>
        <w:t>la cual deviene de una inapropiada valoración probatoria, bien porque el juez no contaba con pruebas para sustentar sus afirmaciones, ora porque al estimar su valor demostrativo fue arbitrario</w:t>
      </w:r>
      <w:r w:rsidR="00035A5C" w:rsidRPr="004A6609">
        <w:rPr>
          <w:rStyle w:val="Refdenotaalpie"/>
          <w:rFonts w:ascii="Gadugi" w:hAnsi="Gadugi"/>
          <w:i/>
          <w:iCs/>
          <w:sz w:val="22"/>
          <w:szCs w:val="24"/>
          <w:lang w:val="es-CO" w:eastAsia="es-CO"/>
        </w:rPr>
        <w:footnoteReference w:id="18"/>
      </w:r>
      <w:r w:rsidR="00035A5C" w:rsidRPr="004A6609">
        <w:rPr>
          <w:rFonts w:ascii="Gadugi" w:hAnsi="Gadugi"/>
          <w:i/>
          <w:iCs/>
          <w:sz w:val="22"/>
          <w:szCs w:val="24"/>
          <w:lang w:val="es-CO" w:eastAsia="es-CO"/>
        </w:rPr>
        <w:t xml:space="preserve">; La Corte ha dicho que tal arbitrariedad debe ser </w:t>
      </w:r>
      <w:r w:rsidR="00035A5C" w:rsidRPr="004A6609">
        <w:rPr>
          <w:rFonts w:ascii="Gadugi" w:hAnsi="Gadugi"/>
          <w:i/>
          <w:iCs/>
          <w:sz w:val="22"/>
          <w:szCs w:val="24"/>
          <w:shd w:val="clear" w:color="auto" w:fill="FFFFFF"/>
          <w:lang w:val="es-CO" w:eastAsia="es-CO"/>
        </w:rPr>
        <w:t>de tal magnitud que pueda advertirse de manera evidente y flagrante</w:t>
      </w:r>
      <w:bookmarkEnd w:id="4"/>
      <w:r w:rsidR="00035A5C" w:rsidRPr="004A6609">
        <w:rPr>
          <w:rFonts w:ascii="Gadugi" w:hAnsi="Gadugi"/>
          <w:i/>
          <w:iCs/>
          <w:sz w:val="22"/>
          <w:szCs w:val="24"/>
          <w:shd w:val="clear" w:color="auto" w:fill="FFFFFF"/>
          <w:lang w:val="es-CO" w:eastAsia="es-CO"/>
        </w:rPr>
        <w:t>, sin que quepa margen de objetividad alguno que permita explicar razonablemente la conclusión a la cual llegó el juez</w:t>
      </w:r>
      <w:r w:rsidR="00035A5C" w:rsidRPr="004A6609">
        <w:rPr>
          <w:rStyle w:val="Refdenotaalpie"/>
          <w:rFonts w:ascii="Gadugi" w:hAnsi="Gadugi"/>
          <w:i/>
          <w:iCs/>
          <w:sz w:val="22"/>
          <w:szCs w:val="24"/>
          <w:shd w:val="clear" w:color="auto" w:fill="FFFFFF"/>
          <w:lang w:val="es-CO" w:eastAsia="es-CO"/>
        </w:rPr>
        <w:footnoteReference w:id="19"/>
      </w:r>
      <w:r w:rsidR="00035A5C" w:rsidRPr="004A6609">
        <w:rPr>
          <w:rFonts w:ascii="Gadugi" w:hAnsi="Gadugi"/>
          <w:i/>
          <w:iCs/>
          <w:sz w:val="22"/>
          <w:szCs w:val="24"/>
          <w:shd w:val="clear" w:color="auto" w:fill="FFFFFF"/>
          <w:lang w:val="es-CO" w:eastAsia="es-CO"/>
        </w:rPr>
        <w:t>.</w:t>
      </w:r>
      <w:r w:rsidR="00035A5C" w:rsidRPr="004A6609">
        <w:rPr>
          <w:rFonts w:ascii="Gadugi" w:hAnsi="Gadugi"/>
          <w:i/>
          <w:iCs/>
          <w:sz w:val="22"/>
          <w:szCs w:val="24"/>
          <w:lang w:val="es-CO" w:eastAsia="es-CO"/>
        </w:rPr>
        <w:t> </w:t>
      </w:r>
      <w:r w:rsidR="00035A5C" w:rsidRPr="004A6609">
        <w:rPr>
          <w:rFonts w:ascii="Gadugi" w:hAnsi="Gadugi"/>
          <w:i/>
          <w:iCs/>
          <w:sz w:val="22"/>
          <w:szCs w:val="24"/>
          <w:shd w:val="clear" w:color="auto" w:fill="FFFFFF"/>
          <w:lang w:val="es-CO" w:eastAsia="es-CO"/>
        </w:rPr>
        <w:t>En igual sentido, es imprescindible que tal yerro tenga una trascendencia fundamental en el sentido del fallo, de manera que</w:t>
      </w:r>
      <w:r w:rsidR="00951BAD" w:rsidRPr="004A6609">
        <w:rPr>
          <w:rFonts w:ascii="Gadugi" w:hAnsi="Gadugi"/>
          <w:i/>
          <w:iCs/>
          <w:sz w:val="22"/>
          <w:szCs w:val="24"/>
          <w:shd w:val="clear" w:color="auto" w:fill="FFFFFF"/>
          <w:lang w:val="es-CO" w:eastAsia="es-CO"/>
        </w:rPr>
        <w:t>,</w:t>
      </w:r>
      <w:r w:rsidR="00035A5C" w:rsidRPr="004A6609">
        <w:rPr>
          <w:rFonts w:ascii="Gadugi" w:hAnsi="Gadugi"/>
          <w:i/>
          <w:iCs/>
          <w:sz w:val="22"/>
          <w:szCs w:val="24"/>
          <w:shd w:val="clear" w:color="auto" w:fill="FFFFFF"/>
          <w:lang w:val="es-CO" w:eastAsia="es-CO"/>
        </w:rPr>
        <w:t xml:space="preserve"> si no se hubiera incurrido en él, el funcionario judicial hubiera adoptado una decisión completamente opuesta</w:t>
      </w:r>
      <w:r w:rsidR="00035A5C" w:rsidRPr="0090293F">
        <w:rPr>
          <w:rFonts w:ascii="Gadugi" w:hAnsi="Gadugi"/>
          <w:i/>
          <w:iCs/>
          <w:sz w:val="24"/>
          <w:szCs w:val="24"/>
          <w:shd w:val="clear" w:color="auto" w:fill="FFFFFF"/>
          <w:lang w:val="es-CO" w:eastAsia="es-CO"/>
        </w:rPr>
        <w:t>”.</w:t>
      </w:r>
      <w:r w:rsidR="00035A5C" w:rsidRPr="0090293F">
        <w:rPr>
          <w:rStyle w:val="Refdenotaalpie"/>
          <w:rFonts w:ascii="Gadugi" w:hAnsi="Gadugi"/>
          <w:i/>
          <w:iCs/>
          <w:sz w:val="24"/>
          <w:szCs w:val="24"/>
          <w:shd w:val="clear" w:color="auto" w:fill="FFFFFF"/>
          <w:lang w:val="es-CO" w:eastAsia="es-CO"/>
        </w:rPr>
        <w:t xml:space="preserve"> </w:t>
      </w:r>
      <w:r w:rsidR="00035A5C" w:rsidRPr="0090293F">
        <w:rPr>
          <w:rStyle w:val="Refdenotaalpie"/>
          <w:rFonts w:ascii="Gadugi" w:hAnsi="Gadugi"/>
          <w:sz w:val="24"/>
          <w:szCs w:val="24"/>
          <w:shd w:val="clear" w:color="auto" w:fill="FFFFFF"/>
          <w:lang w:val="es-CO" w:eastAsia="es-CO"/>
        </w:rPr>
        <w:footnoteReference w:id="20"/>
      </w:r>
    </w:p>
    <w:p w14:paraId="3F565498" w14:textId="1F708A21" w:rsidR="004F38D1" w:rsidRPr="0090293F" w:rsidRDefault="004F38D1" w:rsidP="0090293F">
      <w:pPr>
        <w:spacing w:line="276" w:lineRule="auto"/>
        <w:jc w:val="both"/>
        <w:rPr>
          <w:rFonts w:ascii="Gadugi" w:hAnsi="Gadugi"/>
          <w:sz w:val="24"/>
          <w:szCs w:val="24"/>
        </w:rPr>
      </w:pPr>
    </w:p>
    <w:p w14:paraId="114AEEBC" w14:textId="7D82884F" w:rsidR="00525531" w:rsidRPr="0090293F" w:rsidRDefault="00525531" w:rsidP="0090293F">
      <w:pPr>
        <w:spacing w:line="276" w:lineRule="auto"/>
        <w:jc w:val="both"/>
        <w:rPr>
          <w:rFonts w:ascii="Gadugi" w:hAnsi="Gadugi"/>
          <w:sz w:val="24"/>
          <w:szCs w:val="24"/>
        </w:rPr>
      </w:pPr>
      <w:r w:rsidRPr="0090293F">
        <w:rPr>
          <w:rFonts w:ascii="Gadugi" w:hAnsi="Gadugi"/>
          <w:sz w:val="24"/>
          <w:szCs w:val="24"/>
        </w:rPr>
        <w:t>Descendiendo al</w:t>
      </w:r>
      <w:r w:rsidR="00951BAD" w:rsidRPr="0090293F">
        <w:rPr>
          <w:rFonts w:ascii="Gadugi" w:hAnsi="Gadugi"/>
          <w:sz w:val="24"/>
          <w:szCs w:val="24"/>
        </w:rPr>
        <w:t xml:space="preserve"> </w:t>
      </w:r>
      <w:r w:rsidR="00951BAD" w:rsidRPr="0090293F">
        <w:rPr>
          <w:rFonts w:ascii="Gadugi" w:hAnsi="Gadugi"/>
          <w:sz w:val="24"/>
          <w:szCs w:val="24"/>
          <w:u w:val="single"/>
        </w:rPr>
        <w:t>caso concreto</w:t>
      </w:r>
      <w:r w:rsidR="00951BAD" w:rsidRPr="0090293F">
        <w:rPr>
          <w:rFonts w:ascii="Gadugi" w:hAnsi="Gadugi"/>
          <w:sz w:val="24"/>
          <w:szCs w:val="24"/>
        </w:rPr>
        <w:t>, en el ejecutivo de marras se profirió sentencia el 30 de junio de 2022</w:t>
      </w:r>
      <w:r w:rsidR="00CD39A9" w:rsidRPr="0090293F">
        <w:rPr>
          <w:rStyle w:val="Refdenotaalpie"/>
          <w:rFonts w:ascii="Gadugi" w:hAnsi="Gadugi"/>
          <w:sz w:val="24"/>
          <w:szCs w:val="24"/>
        </w:rPr>
        <w:footnoteReference w:id="21"/>
      </w:r>
      <w:r w:rsidR="00951BAD" w:rsidRPr="0090293F">
        <w:rPr>
          <w:rFonts w:ascii="Gadugi" w:hAnsi="Gadugi"/>
          <w:sz w:val="24"/>
          <w:szCs w:val="24"/>
        </w:rPr>
        <w:t>, y allí se ordenó seguir adelante con la ejecución, después de analizar con exhaustividad los interrogatorios de</w:t>
      </w:r>
      <w:r w:rsidR="00A05E53" w:rsidRPr="0090293F">
        <w:rPr>
          <w:rFonts w:ascii="Gadugi" w:hAnsi="Gadugi"/>
          <w:sz w:val="24"/>
          <w:szCs w:val="24"/>
        </w:rPr>
        <w:t xml:space="preserve">l representante legal de </w:t>
      </w:r>
      <w:proofErr w:type="spellStart"/>
      <w:r w:rsidR="00A05E53" w:rsidRPr="0090293F">
        <w:rPr>
          <w:rFonts w:ascii="Gadugi" w:hAnsi="Gadugi"/>
          <w:sz w:val="24"/>
          <w:szCs w:val="24"/>
        </w:rPr>
        <w:t>Innovateck</w:t>
      </w:r>
      <w:proofErr w:type="spellEnd"/>
      <w:r w:rsidR="00A05E53" w:rsidRPr="0090293F">
        <w:rPr>
          <w:rFonts w:ascii="Gadugi" w:hAnsi="Gadugi"/>
          <w:sz w:val="24"/>
          <w:szCs w:val="24"/>
        </w:rPr>
        <w:t xml:space="preserve"> S.A.S.</w:t>
      </w:r>
      <w:r w:rsidR="00CE62BF" w:rsidRPr="0090293F">
        <w:rPr>
          <w:rFonts w:ascii="Gadugi" w:hAnsi="Gadugi"/>
          <w:sz w:val="24"/>
          <w:szCs w:val="24"/>
        </w:rPr>
        <w:t>,</w:t>
      </w:r>
      <w:r w:rsidR="00951BAD" w:rsidRPr="0090293F">
        <w:rPr>
          <w:rFonts w:ascii="Gadugi" w:hAnsi="Gadugi"/>
          <w:sz w:val="24"/>
          <w:szCs w:val="24"/>
        </w:rPr>
        <w:t xml:space="preserve"> </w:t>
      </w:r>
      <w:r w:rsidR="00A05E53" w:rsidRPr="0090293F">
        <w:rPr>
          <w:rFonts w:ascii="Gadugi" w:hAnsi="Gadugi"/>
          <w:sz w:val="24"/>
          <w:szCs w:val="24"/>
        </w:rPr>
        <w:t xml:space="preserve">y de la </w:t>
      </w:r>
      <w:r w:rsidR="00951BAD" w:rsidRPr="0090293F">
        <w:rPr>
          <w:rFonts w:ascii="Gadugi" w:hAnsi="Gadugi"/>
          <w:sz w:val="24"/>
          <w:szCs w:val="24"/>
        </w:rPr>
        <w:t xml:space="preserve">representante legal </w:t>
      </w:r>
      <w:r w:rsidR="00CE62BF" w:rsidRPr="0090293F">
        <w:rPr>
          <w:rFonts w:ascii="Gadugi" w:hAnsi="Gadugi"/>
          <w:sz w:val="24"/>
          <w:szCs w:val="24"/>
        </w:rPr>
        <w:t xml:space="preserve">del </w:t>
      </w:r>
      <w:r w:rsidR="00A05E53" w:rsidRPr="0090293F">
        <w:rPr>
          <w:rFonts w:ascii="Gadugi" w:hAnsi="Gadugi"/>
          <w:sz w:val="24"/>
          <w:szCs w:val="24"/>
        </w:rPr>
        <w:t xml:space="preserve">Conjunto Residencial Portal </w:t>
      </w:r>
      <w:r w:rsidR="00CE62BF" w:rsidRPr="0090293F">
        <w:rPr>
          <w:rFonts w:ascii="Gadugi" w:hAnsi="Gadugi"/>
          <w:sz w:val="24"/>
          <w:szCs w:val="24"/>
        </w:rPr>
        <w:t>d</w:t>
      </w:r>
      <w:r w:rsidR="00A05E53" w:rsidRPr="0090293F">
        <w:rPr>
          <w:rFonts w:ascii="Gadugi" w:hAnsi="Gadugi"/>
          <w:sz w:val="24"/>
          <w:szCs w:val="24"/>
        </w:rPr>
        <w:t xml:space="preserve">e </w:t>
      </w:r>
      <w:r w:rsidR="00CE62BF" w:rsidRPr="0090293F">
        <w:rPr>
          <w:rFonts w:ascii="Gadugi" w:hAnsi="Gadugi"/>
          <w:sz w:val="24"/>
          <w:szCs w:val="24"/>
        </w:rPr>
        <w:t>l</w:t>
      </w:r>
      <w:r w:rsidR="00A05E53" w:rsidRPr="0090293F">
        <w:rPr>
          <w:rFonts w:ascii="Gadugi" w:hAnsi="Gadugi"/>
          <w:sz w:val="24"/>
          <w:szCs w:val="24"/>
        </w:rPr>
        <w:t>a 14 P.H., así como los testimonios de un celador y un residente de la P.H.</w:t>
      </w:r>
      <w:r w:rsidR="00CE62BF" w:rsidRPr="0090293F">
        <w:rPr>
          <w:rFonts w:ascii="Gadugi" w:hAnsi="Gadugi"/>
          <w:sz w:val="24"/>
          <w:szCs w:val="24"/>
        </w:rPr>
        <w:t>; para finalmente desestimar las excepciones</w:t>
      </w:r>
      <w:r w:rsidRPr="0090293F">
        <w:rPr>
          <w:rFonts w:ascii="Gadugi" w:hAnsi="Gadugi"/>
          <w:sz w:val="24"/>
          <w:szCs w:val="24"/>
        </w:rPr>
        <w:t>.</w:t>
      </w:r>
    </w:p>
    <w:p w14:paraId="040F82EE" w14:textId="77777777" w:rsidR="00525531" w:rsidRPr="0090293F" w:rsidRDefault="00525531" w:rsidP="0090293F">
      <w:pPr>
        <w:spacing w:line="276" w:lineRule="auto"/>
        <w:jc w:val="both"/>
        <w:rPr>
          <w:rFonts w:ascii="Gadugi" w:hAnsi="Gadugi"/>
          <w:sz w:val="24"/>
          <w:szCs w:val="24"/>
        </w:rPr>
      </w:pPr>
    </w:p>
    <w:p w14:paraId="73DAAF6B" w14:textId="13CA77A3" w:rsidR="00357F89" w:rsidRPr="0090293F" w:rsidRDefault="00525531" w:rsidP="0090293F">
      <w:pPr>
        <w:spacing w:line="276" w:lineRule="auto"/>
        <w:jc w:val="both"/>
        <w:rPr>
          <w:rFonts w:ascii="Gadugi" w:hAnsi="Gadugi"/>
          <w:sz w:val="24"/>
          <w:szCs w:val="24"/>
        </w:rPr>
      </w:pPr>
      <w:r w:rsidRPr="0090293F">
        <w:rPr>
          <w:rFonts w:ascii="Gadugi" w:hAnsi="Gadugi"/>
          <w:sz w:val="24"/>
          <w:szCs w:val="24"/>
        </w:rPr>
        <w:t>Para así decidir</w:t>
      </w:r>
      <w:r w:rsidR="00CE62BF" w:rsidRPr="0090293F">
        <w:rPr>
          <w:rFonts w:ascii="Gadugi" w:hAnsi="Gadugi"/>
          <w:sz w:val="24"/>
          <w:szCs w:val="24"/>
        </w:rPr>
        <w:t xml:space="preserve">, </w:t>
      </w:r>
      <w:r w:rsidRPr="0090293F">
        <w:rPr>
          <w:rFonts w:ascii="Gadugi" w:hAnsi="Gadugi"/>
          <w:sz w:val="24"/>
          <w:szCs w:val="24"/>
        </w:rPr>
        <w:t>explicó el juzgado que</w:t>
      </w:r>
      <w:r w:rsidR="005E7F54" w:rsidRPr="0090293F">
        <w:rPr>
          <w:rFonts w:ascii="Gadugi" w:hAnsi="Gadugi"/>
          <w:sz w:val="24"/>
          <w:szCs w:val="24"/>
        </w:rPr>
        <w:t xml:space="preserve"> no encontró probado el incumplimiento al contrato de obra suscrito por las partes y del cual se derivó la factura adeudada, </w:t>
      </w:r>
      <w:r w:rsidR="00576675" w:rsidRPr="0090293F">
        <w:rPr>
          <w:rFonts w:ascii="Gadugi" w:hAnsi="Gadugi"/>
          <w:sz w:val="24"/>
          <w:szCs w:val="24"/>
        </w:rPr>
        <w:t xml:space="preserve">al respecto mencionó que </w:t>
      </w:r>
      <w:r w:rsidR="00576675" w:rsidRPr="0090293F">
        <w:rPr>
          <w:rFonts w:ascii="Gadugi" w:hAnsi="Gadugi"/>
          <w:i/>
          <w:sz w:val="24"/>
          <w:szCs w:val="24"/>
        </w:rPr>
        <w:t>“</w:t>
      </w:r>
      <w:r w:rsidR="00576675" w:rsidRPr="00A0442F">
        <w:rPr>
          <w:rFonts w:ascii="Gadugi" w:hAnsi="Gadugi"/>
          <w:i/>
          <w:sz w:val="22"/>
          <w:szCs w:val="24"/>
        </w:rPr>
        <w:t>(…) no existen actas de entrega y seguimiento de obra, como para poder entrar a distinguir en forma precisa si existió o no incumplimiento, y en qué consistió el mismo, en caso afirmativo bajo una experticia o dictamen técnico especializado; las meras expresiones de los testigos y de quien rindió interrogatorio de parte no alcanzan a persuadir acerca del pregonado incumplimiento, que en caso concreto debe ser concreto, creíble y plenamente demostrado (…)</w:t>
      </w:r>
      <w:r w:rsidR="00576675" w:rsidRPr="0090293F">
        <w:rPr>
          <w:rFonts w:ascii="Gadugi" w:hAnsi="Gadugi"/>
          <w:i/>
          <w:sz w:val="24"/>
          <w:szCs w:val="24"/>
        </w:rPr>
        <w:t>”.</w:t>
      </w:r>
    </w:p>
    <w:p w14:paraId="3DFB00AF" w14:textId="6B3FFABA" w:rsidR="00357F89" w:rsidRPr="0090293F" w:rsidRDefault="00357F89" w:rsidP="0090293F">
      <w:pPr>
        <w:spacing w:line="276" w:lineRule="auto"/>
        <w:jc w:val="both"/>
        <w:rPr>
          <w:rFonts w:ascii="Gadugi" w:hAnsi="Gadugi"/>
          <w:sz w:val="24"/>
          <w:szCs w:val="24"/>
        </w:rPr>
      </w:pPr>
    </w:p>
    <w:p w14:paraId="1082B00D" w14:textId="639495B7" w:rsidR="00576675" w:rsidRPr="0090293F" w:rsidRDefault="00576675" w:rsidP="0090293F">
      <w:pPr>
        <w:spacing w:line="276" w:lineRule="auto"/>
        <w:jc w:val="both"/>
        <w:rPr>
          <w:rFonts w:ascii="Gadugi" w:hAnsi="Gadugi"/>
          <w:sz w:val="24"/>
          <w:szCs w:val="24"/>
        </w:rPr>
      </w:pPr>
      <w:r w:rsidRPr="0090293F">
        <w:rPr>
          <w:rFonts w:ascii="Gadugi" w:hAnsi="Gadugi"/>
          <w:sz w:val="24"/>
          <w:szCs w:val="24"/>
        </w:rPr>
        <w:t xml:space="preserve">Agregando que, en todo caso, en el mismo contrato se establecen las alternativas para solucionar las controversias sobre su presunto incumplimiento, </w:t>
      </w:r>
      <w:r w:rsidR="00CC6A7F" w:rsidRPr="0090293F">
        <w:rPr>
          <w:rFonts w:ascii="Gadugi" w:hAnsi="Gadugi"/>
          <w:sz w:val="24"/>
          <w:szCs w:val="24"/>
        </w:rPr>
        <w:t xml:space="preserve">como la vía arbitral o las pólizas </w:t>
      </w:r>
      <w:r w:rsidR="00506140" w:rsidRPr="0090293F">
        <w:rPr>
          <w:rFonts w:ascii="Gadugi" w:hAnsi="Gadugi"/>
          <w:sz w:val="24"/>
          <w:szCs w:val="24"/>
        </w:rPr>
        <w:t>que podrían hacerse val</w:t>
      </w:r>
      <w:r w:rsidR="005408D6" w:rsidRPr="0090293F">
        <w:rPr>
          <w:rFonts w:ascii="Gadugi" w:hAnsi="Gadugi"/>
          <w:sz w:val="24"/>
          <w:szCs w:val="24"/>
        </w:rPr>
        <w:t>e</w:t>
      </w:r>
      <w:r w:rsidR="00506140" w:rsidRPr="0090293F">
        <w:rPr>
          <w:rFonts w:ascii="Gadugi" w:hAnsi="Gadugi"/>
          <w:sz w:val="24"/>
          <w:szCs w:val="24"/>
        </w:rPr>
        <w:t xml:space="preserve">r, por </w:t>
      </w:r>
      <w:r w:rsidR="005408D6" w:rsidRPr="0090293F">
        <w:rPr>
          <w:rFonts w:ascii="Gadugi" w:hAnsi="Gadugi"/>
          <w:sz w:val="24"/>
          <w:szCs w:val="24"/>
        </w:rPr>
        <w:t xml:space="preserve">lo que </w:t>
      </w:r>
      <w:r w:rsidR="00506140" w:rsidRPr="0090293F">
        <w:rPr>
          <w:rFonts w:ascii="Gadugi" w:hAnsi="Gadugi"/>
          <w:sz w:val="24"/>
          <w:szCs w:val="24"/>
        </w:rPr>
        <w:t xml:space="preserve">ese supuesto incumplimiento </w:t>
      </w:r>
      <w:r w:rsidR="00506140" w:rsidRPr="0090293F">
        <w:rPr>
          <w:rFonts w:ascii="Gadugi" w:hAnsi="Gadugi"/>
          <w:i/>
          <w:iCs/>
          <w:sz w:val="24"/>
          <w:szCs w:val="24"/>
        </w:rPr>
        <w:t>“</w:t>
      </w:r>
      <w:r w:rsidR="00506140" w:rsidRPr="00A0442F">
        <w:rPr>
          <w:rFonts w:ascii="Gadugi" w:hAnsi="Gadugi"/>
          <w:i/>
          <w:iCs/>
          <w:sz w:val="22"/>
          <w:szCs w:val="24"/>
        </w:rPr>
        <w:t>(…) en la escena del rito de ejecución no resulta admisible ni procedente</w:t>
      </w:r>
      <w:r w:rsidR="00506140" w:rsidRPr="0090293F">
        <w:rPr>
          <w:rFonts w:ascii="Gadugi" w:hAnsi="Gadugi"/>
          <w:i/>
          <w:iCs/>
          <w:sz w:val="24"/>
          <w:szCs w:val="24"/>
        </w:rPr>
        <w:t xml:space="preserve">”, </w:t>
      </w:r>
      <w:r w:rsidR="00506140" w:rsidRPr="0090293F">
        <w:rPr>
          <w:rFonts w:ascii="Gadugi" w:hAnsi="Gadugi"/>
          <w:sz w:val="24"/>
          <w:szCs w:val="24"/>
        </w:rPr>
        <w:t>habida cuenta de que el asunto puesto bajo su consideración se trata, solamente, del cobro de una factura que contiene una obligación clara, expresa y exigible.</w:t>
      </w:r>
    </w:p>
    <w:p w14:paraId="7A7A1166" w14:textId="77777777" w:rsidR="00A21294" w:rsidRPr="0090293F" w:rsidRDefault="00A21294" w:rsidP="0090293F">
      <w:pPr>
        <w:spacing w:line="276" w:lineRule="auto"/>
        <w:jc w:val="both"/>
        <w:rPr>
          <w:rFonts w:ascii="Gadugi" w:hAnsi="Gadugi"/>
          <w:sz w:val="24"/>
          <w:szCs w:val="24"/>
        </w:rPr>
      </w:pPr>
    </w:p>
    <w:p w14:paraId="4C76F31D" w14:textId="1BD08748" w:rsidR="00A21294" w:rsidRPr="0090293F" w:rsidRDefault="00525531" w:rsidP="0090293F">
      <w:pPr>
        <w:spacing w:line="276" w:lineRule="auto"/>
        <w:jc w:val="both"/>
        <w:rPr>
          <w:rFonts w:ascii="Gadugi" w:hAnsi="Gadugi"/>
          <w:i/>
          <w:sz w:val="24"/>
          <w:szCs w:val="24"/>
        </w:rPr>
      </w:pPr>
      <w:r w:rsidRPr="0090293F">
        <w:rPr>
          <w:rFonts w:ascii="Gadugi" w:hAnsi="Gadugi"/>
          <w:sz w:val="24"/>
          <w:szCs w:val="24"/>
        </w:rPr>
        <w:t>De ahí lo impróspero de la</w:t>
      </w:r>
      <w:r w:rsidR="00A21294" w:rsidRPr="0090293F">
        <w:rPr>
          <w:rFonts w:ascii="Gadugi" w:hAnsi="Gadugi"/>
          <w:sz w:val="24"/>
          <w:szCs w:val="24"/>
        </w:rPr>
        <w:t>s</w:t>
      </w:r>
      <w:r w:rsidRPr="0090293F">
        <w:rPr>
          <w:rFonts w:ascii="Gadugi" w:hAnsi="Gadugi"/>
          <w:sz w:val="24"/>
          <w:szCs w:val="24"/>
        </w:rPr>
        <w:t xml:space="preserve"> excepci</w:t>
      </w:r>
      <w:r w:rsidR="00A21294" w:rsidRPr="0090293F">
        <w:rPr>
          <w:rFonts w:ascii="Gadugi" w:hAnsi="Gadugi"/>
          <w:sz w:val="24"/>
          <w:szCs w:val="24"/>
        </w:rPr>
        <w:t>ones</w:t>
      </w:r>
      <w:r w:rsidRPr="0090293F">
        <w:rPr>
          <w:rFonts w:ascii="Gadugi" w:hAnsi="Gadugi"/>
          <w:sz w:val="24"/>
          <w:szCs w:val="24"/>
        </w:rPr>
        <w:t xml:space="preserve"> de </w:t>
      </w:r>
      <w:r w:rsidRPr="0090293F">
        <w:rPr>
          <w:rFonts w:ascii="Gadugi" w:hAnsi="Gadugi"/>
          <w:i/>
          <w:sz w:val="24"/>
          <w:szCs w:val="24"/>
        </w:rPr>
        <w:t>“</w:t>
      </w:r>
      <w:r w:rsidRPr="00A0442F">
        <w:rPr>
          <w:rFonts w:ascii="Gadugi" w:hAnsi="Gadugi"/>
          <w:i/>
          <w:sz w:val="22"/>
          <w:szCs w:val="24"/>
        </w:rPr>
        <w:t>contrato no cumplido</w:t>
      </w:r>
      <w:r w:rsidRPr="0090293F">
        <w:rPr>
          <w:rFonts w:ascii="Gadugi" w:hAnsi="Gadugi"/>
          <w:i/>
          <w:sz w:val="24"/>
          <w:szCs w:val="24"/>
        </w:rPr>
        <w:t>”</w:t>
      </w:r>
      <w:r w:rsidR="00A21294" w:rsidRPr="0090293F">
        <w:rPr>
          <w:rFonts w:ascii="Gadugi" w:hAnsi="Gadugi"/>
          <w:sz w:val="24"/>
          <w:szCs w:val="24"/>
        </w:rPr>
        <w:t xml:space="preserve"> y </w:t>
      </w:r>
      <w:r w:rsidR="00A21294" w:rsidRPr="0090293F">
        <w:rPr>
          <w:rFonts w:ascii="Gadugi" w:hAnsi="Gadugi"/>
          <w:i/>
          <w:sz w:val="24"/>
          <w:szCs w:val="24"/>
        </w:rPr>
        <w:t>“</w:t>
      </w:r>
      <w:r w:rsidR="00A21294" w:rsidRPr="00A0442F">
        <w:rPr>
          <w:rFonts w:ascii="Gadugi" w:hAnsi="Gadugi"/>
          <w:i/>
          <w:sz w:val="22"/>
          <w:szCs w:val="24"/>
        </w:rPr>
        <w:t>falta de cumplimiento de los requisitos del título</w:t>
      </w:r>
      <w:r w:rsidR="00A21294" w:rsidRPr="0090293F">
        <w:rPr>
          <w:rFonts w:ascii="Gadugi" w:hAnsi="Gadugi"/>
          <w:i/>
          <w:sz w:val="24"/>
          <w:szCs w:val="24"/>
        </w:rPr>
        <w:t>”</w:t>
      </w:r>
      <w:r w:rsidR="00A21294" w:rsidRPr="0090293F">
        <w:rPr>
          <w:rFonts w:ascii="Gadugi" w:hAnsi="Gadugi"/>
          <w:sz w:val="24"/>
          <w:szCs w:val="24"/>
        </w:rPr>
        <w:t xml:space="preserve">, y también de la denominada </w:t>
      </w:r>
      <w:r w:rsidR="00A21294" w:rsidRPr="0090293F">
        <w:rPr>
          <w:rFonts w:ascii="Gadugi" w:hAnsi="Gadugi"/>
          <w:i/>
          <w:sz w:val="24"/>
          <w:szCs w:val="24"/>
        </w:rPr>
        <w:t>“</w:t>
      </w:r>
      <w:r w:rsidR="00A21294" w:rsidRPr="00A0442F">
        <w:rPr>
          <w:rFonts w:ascii="Gadugi" w:hAnsi="Gadugi"/>
          <w:i/>
          <w:sz w:val="22"/>
          <w:szCs w:val="24"/>
        </w:rPr>
        <w:t xml:space="preserve">cobro de lo no </w:t>
      </w:r>
      <w:r w:rsidR="00A21294" w:rsidRPr="00A0442F">
        <w:rPr>
          <w:rFonts w:ascii="Gadugi" w:hAnsi="Gadugi"/>
          <w:i/>
          <w:sz w:val="22"/>
          <w:szCs w:val="24"/>
        </w:rPr>
        <w:lastRenderedPageBreak/>
        <w:t>debido</w:t>
      </w:r>
      <w:r w:rsidR="00A21294" w:rsidRPr="0090293F">
        <w:rPr>
          <w:rFonts w:ascii="Gadugi" w:hAnsi="Gadugi"/>
          <w:i/>
          <w:sz w:val="24"/>
          <w:szCs w:val="24"/>
        </w:rPr>
        <w:t>”</w:t>
      </w:r>
      <w:r w:rsidR="00A21294" w:rsidRPr="0090293F">
        <w:rPr>
          <w:rFonts w:ascii="Gadugi" w:hAnsi="Gadugi"/>
          <w:sz w:val="24"/>
          <w:szCs w:val="24"/>
        </w:rPr>
        <w:t xml:space="preserve">, porque </w:t>
      </w:r>
      <w:r w:rsidR="00A21294" w:rsidRPr="0090293F">
        <w:rPr>
          <w:rFonts w:ascii="Gadugi" w:hAnsi="Gadugi"/>
          <w:i/>
          <w:sz w:val="24"/>
          <w:szCs w:val="24"/>
        </w:rPr>
        <w:t>“</w:t>
      </w:r>
      <w:r w:rsidR="00A21294" w:rsidRPr="00A0442F">
        <w:rPr>
          <w:rFonts w:ascii="Gadugi" w:hAnsi="Gadugi"/>
          <w:i/>
          <w:sz w:val="22"/>
          <w:szCs w:val="24"/>
        </w:rPr>
        <w:t>no milita en el plenario prueba alguna que soporte que el saldo pendiente de la factura objeto de recaudo ya fue cancelado a la parte ejecutante</w:t>
      </w:r>
      <w:r w:rsidR="00A21294" w:rsidRPr="0090293F">
        <w:rPr>
          <w:rFonts w:ascii="Gadugi" w:hAnsi="Gadugi"/>
          <w:i/>
          <w:sz w:val="24"/>
          <w:szCs w:val="24"/>
        </w:rPr>
        <w:t>”.</w:t>
      </w:r>
    </w:p>
    <w:p w14:paraId="29E2869C" w14:textId="77777777" w:rsidR="00A21294" w:rsidRPr="0090293F" w:rsidRDefault="00A21294" w:rsidP="0090293F">
      <w:pPr>
        <w:spacing w:line="276" w:lineRule="auto"/>
        <w:jc w:val="both"/>
        <w:rPr>
          <w:rFonts w:ascii="Gadugi" w:hAnsi="Gadugi"/>
          <w:sz w:val="24"/>
          <w:szCs w:val="24"/>
        </w:rPr>
      </w:pPr>
    </w:p>
    <w:p w14:paraId="57A08622" w14:textId="2023A095" w:rsidR="00013441" w:rsidRPr="0090293F" w:rsidRDefault="00013441" w:rsidP="0090293F">
      <w:pPr>
        <w:tabs>
          <w:tab w:val="left" w:pos="3108"/>
        </w:tabs>
        <w:spacing w:line="276" w:lineRule="auto"/>
        <w:jc w:val="both"/>
        <w:rPr>
          <w:rFonts w:ascii="Gadugi" w:hAnsi="Gadugi"/>
          <w:sz w:val="24"/>
          <w:szCs w:val="24"/>
        </w:rPr>
      </w:pPr>
      <w:r w:rsidRPr="0090293F">
        <w:rPr>
          <w:rFonts w:ascii="Gadugi" w:hAnsi="Gadugi"/>
          <w:sz w:val="24"/>
          <w:szCs w:val="24"/>
        </w:rPr>
        <w:t>En suma, lo que se plantea en la acción de tutela no es más que un disenso de la parte actora, frente a la decisión del despacho acusado, la cual, como se vio, se encuentra dentro de un margen de interpretación razonable,</w:t>
      </w:r>
      <w:r w:rsidR="007F14A7" w:rsidRPr="0090293F">
        <w:rPr>
          <w:rFonts w:ascii="Gadugi" w:hAnsi="Gadugi"/>
          <w:sz w:val="24"/>
          <w:szCs w:val="24"/>
        </w:rPr>
        <w:t xml:space="preserve"> </w:t>
      </w:r>
      <w:r w:rsidR="007F14A7" w:rsidRPr="0090293F">
        <w:rPr>
          <w:rFonts w:ascii="Gadugi" w:hAnsi="Gadugi"/>
          <w:sz w:val="24"/>
          <w:szCs w:val="24"/>
          <w:u w:val="single"/>
        </w:rPr>
        <w:t>con la cual se puede estar de acuerdo o no</w:t>
      </w:r>
      <w:r w:rsidR="007F14A7" w:rsidRPr="0090293F">
        <w:rPr>
          <w:rFonts w:ascii="Gadugi" w:hAnsi="Gadugi"/>
          <w:sz w:val="24"/>
          <w:szCs w:val="24"/>
        </w:rPr>
        <w:t>, pero que no</w:t>
      </w:r>
      <w:r w:rsidRPr="0090293F">
        <w:rPr>
          <w:rFonts w:ascii="Gadugi" w:hAnsi="Gadugi"/>
          <w:sz w:val="24"/>
          <w:szCs w:val="24"/>
        </w:rPr>
        <w:t xml:space="preserve"> puede ser descalificada pues si así se hiciera, se usurparía la función misma del juicio ordinario y </w:t>
      </w:r>
      <w:r w:rsidRPr="0090293F">
        <w:rPr>
          <w:rFonts w:ascii="Gadugi" w:hAnsi="Gadugi"/>
          <w:i/>
          <w:sz w:val="24"/>
          <w:szCs w:val="24"/>
        </w:rPr>
        <w:t>“</w:t>
      </w:r>
      <w:r w:rsidRPr="00A0442F">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Pr="0090293F">
        <w:rPr>
          <w:rFonts w:ascii="Gadugi" w:hAnsi="Gadugi"/>
          <w:i/>
          <w:sz w:val="24"/>
          <w:szCs w:val="24"/>
        </w:rPr>
        <w:t>.”</w:t>
      </w:r>
      <w:r w:rsidR="00A0442F">
        <w:rPr>
          <w:rFonts w:ascii="Gadugi" w:hAnsi="Gadugi"/>
          <w:i/>
          <w:sz w:val="24"/>
          <w:szCs w:val="24"/>
        </w:rPr>
        <w:t xml:space="preserve"> </w:t>
      </w:r>
      <w:r w:rsidRPr="0090293F">
        <w:rPr>
          <w:rStyle w:val="Refdenotaalpie"/>
          <w:rFonts w:ascii="Gadugi" w:hAnsi="Gadugi"/>
          <w:sz w:val="24"/>
          <w:szCs w:val="24"/>
        </w:rPr>
        <w:footnoteReference w:id="22"/>
      </w:r>
    </w:p>
    <w:p w14:paraId="4446B3D2" w14:textId="77777777" w:rsidR="00013441" w:rsidRPr="0090293F" w:rsidRDefault="00013441" w:rsidP="0090293F">
      <w:pPr>
        <w:spacing w:line="276" w:lineRule="auto"/>
        <w:jc w:val="both"/>
        <w:rPr>
          <w:rFonts w:ascii="Gadugi" w:hAnsi="Gadugi"/>
          <w:sz w:val="24"/>
          <w:szCs w:val="24"/>
        </w:rPr>
      </w:pPr>
    </w:p>
    <w:p w14:paraId="676D6796" w14:textId="1C1AB7C3" w:rsidR="00013441" w:rsidRPr="0090293F" w:rsidRDefault="00013441" w:rsidP="0090293F">
      <w:pPr>
        <w:spacing w:line="276" w:lineRule="auto"/>
        <w:jc w:val="both"/>
        <w:rPr>
          <w:rFonts w:ascii="Gadugi" w:hAnsi="Gadugi"/>
          <w:sz w:val="24"/>
          <w:szCs w:val="24"/>
        </w:rPr>
      </w:pPr>
      <w:r w:rsidRPr="0090293F">
        <w:rPr>
          <w:rFonts w:ascii="Gadugi" w:hAnsi="Gadugi"/>
          <w:sz w:val="24"/>
          <w:szCs w:val="24"/>
        </w:rPr>
        <w:t xml:space="preserve">Entonces, sobran adicionales consideraciones para confirmar el fallo impugnado que </w:t>
      </w:r>
      <w:r w:rsidR="00CD39A9" w:rsidRPr="0090293F">
        <w:rPr>
          <w:rFonts w:ascii="Gadugi" w:hAnsi="Gadugi"/>
          <w:sz w:val="24"/>
          <w:szCs w:val="24"/>
        </w:rPr>
        <w:t xml:space="preserve">despachó desfavorablemente la tutela. </w:t>
      </w:r>
    </w:p>
    <w:p w14:paraId="15F298E0" w14:textId="5CA92DBB" w:rsidR="0006783A" w:rsidRPr="0090293F" w:rsidRDefault="0006783A" w:rsidP="0090293F">
      <w:pPr>
        <w:spacing w:line="276" w:lineRule="auto"/>
        <w:jc w:val="both"/>
        <w:rPr>
          <w:rFonts w:ascii="Gadugi" w:hAnsi="Gadugi"/>
          <w:sz w:val="24"/>
          <w:szCs w:val="24"/>
        </w:rPr>
      </w:pPr>
    </w:p>
    <w:p w14:paraId="6C076540" w14:textId="47835F7A" w:rsidR="002B141D" w:rsidRPr="0090293F" w:rsidRDefault="00CE69E6" w:rsidP="0090293F">
      <w:pPr>
        <w:spacing w:line="276" w:lineRule="auto"/>
        <w:jc w:val="both"/>
        <w:rPr>
          <w:rFonts w:ascii="Gadugi" w:hAnsi="Gadugi"/>
          <w:sz w:val="24"/>
          <w:szCs w:val="24"/>
        </w:rPr>
      </w:pPr>
      <w:r w:rsidRPr="0090293F">
        <w:rPr>
          <w:rFonts w:ascii="Gadugi" w:hAnsi="Gadugi"/>
          <w:b/>
          <w:sz w:val="24"/>
          <w:szCs w:val="24"/>
          <w:lang w:val="es-419"/>
        </w:rPr>
        <w:t xml:space="preserve">3. </w:t>
      </w:r>
      <w:r w:rsidR="001C2EC0" w:rsidRPr="0090293F">
        <w:rPr>
          <w:rFonts w:ascii="Gadugi" w:hAnsi="Gadugi"/>
          <w:b/>
          <w:sz w:val="24"/>
          <w:szCs w:val="24"/>
          <w:lang w:val="es-419"/>
        </w:rPr>
        <w:t>D</w:t>
      </w:r>
      <w:r w:rsidR="002B141D" w:rsidRPr="0090293F">
        <w:rPr>
          <w:rFonts w:ascii="Gadugi" w:hAnsi="Gadugi"/>
          <w:b/>
          <w:sz w:val="24"/>
          <w:szCs w:val="24"/>
        </w:rPr>
        <w:t>ECISIÓN</w:t>
      </w:r>
    </w:p>
    <w:p w14:paraId="16C2A900" w14:textId="77777777" w:rsidR="0006783A" w:rsidRPr="0090293F" w:rsidRDefault="0006783A" w:rsidP="0090293F">
      <w:pPr>
        <w:tabs>
          <w:tab w:val="left" w:pos="3108"/>
        </w:tabs>
        <w:spacing w:line="276" w:lineRule="auto"/>
        <w:jc w:val="both"/>
        <w:rPr>
          <w:rFonts w:ascii="Gadugi" w:hAnsi="Gadugi" w:cs="Century Gothic"/>
          <w:sz w:val="24"/>
          <w:szCs w:val="24"/>
        </w:rPr>
      </w:pPr>
    </w:p>
    <w:p w14:paraId="6B2D5BB9" w14:textId="0BF6E5FA" w:rsidR="00ED0B9E" w:rsidRPr="0090293F" w:rsidRDefault="002B141D" w:rsidP="0090293F">
      <w:pPr>
        <w:tabs>
          <w:tab w:val="left" w:pos="3108"/>
        </w:tabs>
        <w:spacing w:line="276" w:lineRule="auto"/>
        <w:jc w:val="both"/>
        <w:rPr>
          <w:rFonts w:ascii="Gadugi" w:hAnsi="Gadugi" w:cs="Century Gothic"/>
          <w:sz w:val="24"/>
          <w:szCs w:val="24"/>
        </w:rPr>
      </w:pPr>
      <w:r w:rsidRPr="0090293F">
        <w:rPr>
          <w:rFonts w:ascii="Gadugi" w:hAnsi="Gadugi" w:cs="Century Gothic"/>
          <w:sz w:val="24"/>
          <w:szCs w:val="24"/>
        </w:rPr>
        <w:t xml:space="preserve">En mérito de lo expuesto la </w:t>
      </w:r>
      <w:r w:rsidRPr="0090293F">
        <w:rPr>
          <w:rFonts w:ascii="Gadugi" w:hAnsi="Gadugi" w:cs="Century Gothic"/>
          <w:b/>
          <w:bCs/>
          <w:sz w:val="24"/>
          <w:szCs w:val="24"/>
        </w:rPr>
        <w:t>Sala de Decisión Civil Familia del Tribunal Superior del Distrito Judicial de Pereira</w:t>
      </w:r>
      <w:r w:rsidRPr="0090293F">
        <w:rPr>
          <w:rFonts w:ascii="Gadugi" w:hAnsi="Gadugi" w:cs="Century Gothic"/>
          <w:sz w:val="24"/>
          <w:szCs w:val="24"/>
        </w:rPr>
        <w:t>, administrando justicia en nombre de la República y por autoridad de la Ley</w:t>
      </w:r>
      <w:r w:rsidR="00D00EF1" w:rsidRPr="0090293F">
        <w:rPr>
          <w:rFonts w:ascii="Gadugi" w:hAnsi="Gadugi" w:cs="Century Gothic"/>
          <w:sz w:val="24"/>
          <w:szCs w:val="24"/>
        </w:rPr>
        <w:t>,</w:t>
      </w:r>
      <w:r w:rsidR="00ED0B9E" w:rsidRPr="0090293F">
        <w:rPr>
          <w:rFonts w:ascii="Gadugi" w:hAnsi="Gadugi" w:cs="Century Gothic"/>
          <w:sz w:val="24"/>
          <w:szCs w:val="24"/>
        </w:rPr>
        <w:t xml:space="preserve"> </w:t>
      </w:r>
      <w:r w:rsidR="00BC7859" w:rsidRPr="0090293F">
        <w:rPr>
          <w:rFonts w:ascii="Gadugi" w:hAnsi="Gadugi" w:cs="Century Gothic"/>
          <w:b/>
          <w:sz w:val="24"/>
          <w:szCs w:val="24"/>
        </w:rPr>
        <w:t>CONFIRMA</w:t>
      </w:r>
      <w:r w:rsidR="00ED0B9E" w:rsidRPr="0090293F">
        <w:rPr>
          <w:rFonts w:ascii="Gadugi" w:hAnsi="Gadugi" w:cs="Century Gothic"/>
          <w:sz w:val="24"/>
          <w:szCs w:val="24"/>
        </w:rPr>
        <w:t xml:space="preserve"> el fallo de primera instancia </w:t>
      </w:r>
      <w:r w:rsidR="000B02CC" w:rsidRPr="0090293F">
        <w:rPr>
          <w:rFonts w:ascii="Gadugi" w:hAnsi="Gadugi" w:cs="Century Gothic"/>
          <w:sz w:val="24"/>
          <w:szCs w:val="24"/>
        </w:rPr>
        <w:t xml:space="preserve">proferido </w:t>
      </w:r>
      <w:r w:rsidR="00ED0B9E" w:rsidRPr="0090293F">
        <w:rPr>
          <w:rFonts w:ascii="Gadugi" w:hAnsi="Gadugi" w:cs="Century Gothic"/>
          <w:sz w:val="24"/>
          <w:szCs w:val="24"/>
        </w:rPr>
        <w:t>en esta acción de tutela</w:t>
      </w:r>
      <w:r w:rsidR="00BC7859" w:rsidRPr="0090293F">
        <w:rPr>
          <w:rFonts w:ascii="Gadugi" w:hAnsi="Gadugi" w:cs="Century Gothic"/>
          <w:sz w:val="24"/>
          <w:szCs w:val="24"/>
        </w:rPr>
        <w:t xml:space="preserve">. </w:t>
      </w:r>
    </w:p>
    <w:p w14:paraId="18918067" w14:textId="24293A2A" w:rsidR="00075935" w:rsidRPr="0090293F" w:rsidRDefault="00075935" w:rsidP="0090293F">
      <w:pPr>
        <w:spacing w:line="276" w:lineRule="auto"/>
        <w:jc w:val="both"/>
        <w:rPr>
          <w:rFonts w:ascii="Gadugi" w:hAnsi="Gadugi" w:cs="Arial"/>
          <w:b/>
          <w:sz w:val="24"/>
          <w:szCs w:val="24"/>
        </w:rPr>
      </w:pPr>
    </w:p>
    <w:p w14:paraId="5608D06B" w14:textId="1A49D826" w:rsidR="00205ABE" w:rsidRPr="0090293F" w:rsidRDefault="002B141D" w:rsidP="0090293F">
      <w:pPr>
        <w:pStyle w:val="Textoindependiente2"/>
        <w:spacing w:after="0" w:line="276" w:lineRule="auto"/>
        <w:jc w:val="both"/>
        <w:rPr>
          <w:rFonts w:ascii="Gadugi" w:hAnsi="Gadugi"/>
          <w:sz w:val="24"/>
          <w:szCs w:val="24"/>
          <w:lang w:val="es-419"/>
        </w:rPr>
      </w:pPr>
      <w:r w:rsidRPr="0090293F">
        <w:rPr>
          <w:rFonts w:ascii="Gadugi" w:hAnsi="Gadugi"/>
          <w:sz w:val="24"/>
          <w:szCs w:val="24"/>
        </w:rPr>
        <w:t>Notifíquese esta decisión a las partes en la forma prevista en el artículo 5º del Decreto 306 de 1992</w:t>
      </w:r>
      <w:r w:rsidRPr="0090293F">
        <w:rPr>
          <w:rFonts w:ascii="Gadugi" w:hAnsi="Gadugi"/>
          <w:sz w:val="24"/>
          <w:szCs w:val="24"/>
          <w:lang w:val="es-419"/>
        </w:rPr>
        <w:t xml:space="preserve">. </w:t>
      </w:r>
    </w:p>
    <w:p w14:paraId="7DD59477" w14:textId="10F4B3D6" w:rsidR="00205ABE" w:rsidRPr="0090293F" w:rsidRDefault="00205ABE" w:rsidP="0090293F">
      <w:pPr>
        <w:pStyle w:val="Textoindependiente2"/>
        <w:spacing w:after="0" w:line="276" w:lineRule="auto"/>
        <w:jc w:val="both"/>
        <w:rPr>
          <w:rFonts w:ascii="Gadugi" w:hAnsi="Gadugi"/>
          <w:sz w:val="24"/>
          <w:szCs w:val="24"/>
          <w:lang w:val="es-419"/>
        </w:rPr>
      </w:pPr>
    </w:p>
    <w:p w14:paraId="378B8E78" w14:textId="05E4DD01" w:rsidR="00205ABE" w:rsidRPr="0090293F" w:rsidRDefault="00CD39A9" w:rsidP="0090293F">
      <w:pPr>
        <w:pStyle w:val="Textoindependiente2"/>
        <w:spacing w:after="0" w:line="276" w:lineRule="auto"/>
        <w:jc w:val="both"/>
        <w:rPr>
          <w:rFonts w:ascii="Gadugi" w:hAnsi="Gadugi"/>
          <w:sz w:val="24"/>
          <w:szCs w:val="24"/>
        </w:rPr>
      </w:pPr>
      <w:r w:rsidRPr="0090293F">
        <w:rPr>
          <w:rFonts w:ascii="Gadugi" w:hAnsi="Gadugi"/>
          <w:sz w:val="24"/>
          <w:szCs w:val="24"/>
          <w:lang w:val="es-419"/>
        </w:rPr>
        <w:t>Oportunamente</w:t>
      </w:r>
      <w:r w:rsidR="002B141D" w:rsidRPr="0090293F">
        <w:rPr>
          <w:rFonts w:ascii="Gadugi" w:hAnsi="Gadugi"/>
          <w:sz w:val="24"/>
          <w:szCs w:val="24"/>
        </w:rPr>
        <w:t xml:space="preserve"> remítase el expediente a la Corte Constitucional para su eventual revisión.</w:t>
      </w:r>
      <w:r w:rsidR="0080796E" w:rsidRPr="0090293F">
        <w:rPr>
          <w:rFonts w:ascii="Gadugi" w:hAnsi="Gadugi"/>
          <w:sz w:val="24"/>
          <w:szCs w:val="24"/>
        </w:rPr>
        <w:t xml:space="preserve"> </w:t>
      </w:r>
    </w:p>
    <w:p w14:paraId="5D59B3DD" w14:textId="77777777" w:rsidR="0006783A" w:rsidRPr="0090293F" w:rsidRDefault="0006783A" w:rsidP="0090293F">
      <w:pPr>
        <w:pStyle w:val="Textoindependiente2"/>
        <w:spacing w:after="0" w:line="276" w:lineRule="auto"/>
        <w:jc w:val="both"/>
        <w:rPr>
          <w:rFonts w:ascii="Gadugi" w:hAnsi="Gadugi"/>
          <w:sz w:val="24"/>
          <w:szCs w:val="24"/>
        </w:rPr>
      </w:pPr>
    </w:p>
    <w:p w14:paraId="7964C4E3" w14:textId="75CD3AE7" w:rsidR="002B141D" w:rsidRPr="0090293F" w:rsidRDefault="0080796E" w:rsidP="0090293F">
      <w:pPr>
        <w:pStyle w:val="Textoindependiente2"/>
        <w:spacing w:after="0" w:line="276" w:lineRule="auto"/>
        <w:jc w:val="both"/>
        <w:rPr>
          <w:rFonts w:ascii="Gadugi" w:hAnsi="Gadugi"/>
          <w:sz w:val="24"/>
          <w:szCs w:val="24"/>
        </w:rPr>
      </w:pPr>
      <w:r w:rsidRPr="0090293F">
        <w:rPr>
          <w:rFonts w:ascii="Gadugi" w:hAnsi="Gadugi"/>
          <w:sz w:val="24"/>
          <w:szCs w:val="24"/>
        </w:rPr>
        <w:t>A su regreso, archívese.</w:t>
      </w:r>
    </w:p>
    <w:p w14:paraId="41A6D2C6" w14:textId="77777777" w:rsidR="006E373A" w:rsidRPr="006E373A" w:rsidRDefault="006E373A" w:rsidP="006E373A">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37F0C415" w14:textId="77777777" w:rsidR="006E373A" w:rsidRPr="006E373A" w:rsidRDefault="006E373A" w:rsidP="006E373A">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r w:rsidRPr="006E373A">
        <w:rPr>
          <w:rFonts w:ascii="Gadugi" w:eastAsia="Malgun Gothic" w:hAnsi="Gadugi" w:cs="Estrangelo Edessa"/>
          <w:sz w:val="24"/>
          <w:szCs w:val="24"/>
          <w:lang w:val="es-CO" w:eastAsia="en-US"/>
        </w:rPr>
        <w:tab/>
        <w:t xml:space="preserve">Los Magistrados, </w:t>
      </w:r>
    </w:p>
    <w:p w14:paraId="2A9F1E6A" w14:textId="77777777" w:rsidR="006E373A" w:rsidRPr="006E373A" w:rsidRDefault="006E373A" w:rsidP="006E373A">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sz w:val="24"/>
          <w:szCs w:val="24"/>
          <w:lang w:val="es-CO" w:eastAsia="en-US"/>
        </w:rPr>
      </w:pPr>
    </w:p>
    <w:p w14:paraId="355E989B" w14:textId="77777777" w:rsidR="006E373A" w:rsidRPr="006E373A" w:rsidRDefault="006E373A" w:rsidP="006E373A">
      <w:pPr>
        <w:tabs>
          <w:tab w:val="left" w:pos="1701"/>
          <w:tab w:val="left" w:pos="2127"/>
          <w:tab w:val="left" w:pos="2977"/>
        </w:tabs>
        <w:overflowPunct/>
        <w:autoSpaceDE/>
        <w:autoSpaceDN/>
        <w:adjustRightInd/>
        <w:spacing w:line="276" w:lineRule="auto"/>
        <w:jc w:val="both"/>
        <w:textAlignment w:val="auto"/>
        <w:rPr>
          <w:rFonts w:ascii="Gadugi" w:eastAsia="Malgun Gothic" w:hAnsi="Gadugi" w:cs="Estrangelo Edessa"/>
          <w:b/>
          <w:sz w:val="24"/>
          <w:szCs w:val="24"/>
          <w:lang w:val="es-CO" w:eastAsia="en-US"/>
        </w:rPr>
      </w:pPr>
    </w:p>
    <w:p w14:paraId="091152D2" w14:textId="77777777" w:rsidR="006E373A" w:rsidRPr="006E373A" w:rsidRDefault="006E373A" w:rsidP="006E373A">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6E373A">
        <w:rPr>
          <w:rFonts w:ascii="Gadugi" w:eastAsia="Malgun Gothic" w:hAnsi="Gadugi" w:cs="Estrangelo Edessa"/>
          <w:b/>
          <w:bCs/>
          <w:sz w:val="24"/>
          <w:szCs w:val="24"/>
          <w:lang w:val="es-CO" w:eastAsia="en-US"/>
        </w:rPr>
        <w:t>JAIME ALBERTO SARAZA NARANJO</w:t>
      </w:r>
    </w:p>
    <w:p w14:paraId="78A2F3F7" w14:textId="77777777" w:rsidR="006E373A" w:rsidRPr="006E373A" w:rsidRDefault="006E373A" w:rsidP="006E373A">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1E7634FB" w14:textId="77777777" w:rsidR="006E373A" w:rsidRPr="006E373A" w:rsidRDefault="006E373A" w:rsidP="006E373A">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37DB4A8A" w14:textId="77777777" w:rsidR="006E373A" w:rsidRPr="006E373A" w:rsidRDefault="006E373A" w:rsidP="006E373A">
      <w:pPr>
        <w:overflowPunct/>
        <w:autoSpaceDE/>
        <w:autoSpaceDN/>
        <w:adjustRightInd/>
        <w:spacing w:line="276" w:lineRule="auto"/>
        <w:ind w:left="993" w:firstLine="708"/>
        <w:jc w:val="both"/>
        <w:textAlignment w:val="auto"/>
        <w:rPr>
          <w:rFonts w:ascii="Gadugi" w:eastAsia="Malgun Gothic" w:hAnsi="Gadugi" w:cs="Estrangelo Edessa"/>
          <w:b/>
          <w:bCs/>
          <w:sz w:val="24"/>
          <w:szCs w:val="24"/>
          <w:lang w:val="es-CO" w:eastAsia="en-US"/>
        </w:rPr>
      </w:pPr>
      <w:r w:rsidRPr="006E373A">
        <w:rPr>
          <w:rFonts w:ascii="Gadugi" w:eastAsia="Malgun Gothic" w:hAnsi="Gadugi" w:cs="Estrangelo Edessa"/>
          <w:b/>
          <w:bCs/>
          <w:sz w:val="24"/>
          <w:szCs w:val="24"/>
          <w:lang w:val="es-CO" w:eastAsia="en-US"/>
        </w:rPr>
        <w:t>CARLOS MAURICIO GARCÍA BARAJAS</w:t>
      </w:r>
    </w:p>
    <w:p w14:paraId="72C7634D" w14:textId="77777777" w:rsidR="006E373A" w:rsidRPr="006E373A" w:rsidRDefault="006E373A" w:rsidP="006E373A">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663972A3" w14:textId="77777777" w:rsidR="006E373A" w:rsidRPr="006E373A" w:rsidRDefault="006E373A" w:rsidP="006E373A">
      <w:pPr>
        <w:tabs>
          <w:tab w:val="left" w:pos="1701"/>
          <w:tab w:val="left" w:pos="2127"/>
          <w:tab w:val="left" w:pos="2977"/>
        </w:tabs>
        <w:overflowPunct/>
        <w:autoSpaceDE/>
        <w:autoSpaceDN/>
        <w:adjustRightInd/>
        <w:spacing w:line="276" w:lineRule="auto"/>
        <w:ind w:firstLine="1701"/>
        <w:jc w:val="both"/>
        <w:textAlignment w:val="auto"/>
        <w:rPr>
          <w:rFonts w:ascii="Gadugi" w:eastAsia="Malgun Gothic" w:hAnsi="Gadugi" w:cs="Estrangelo Edessa"/>
          <w:b/>
          <w:sz w:val="24"/>
          <w:szCs w:val="24"/>
          <w:lang w:val="es-CO" w:eastAsia="en-US"/>
        </w:rPr>
      </w:pPr>
    </w:p>
    <w:p w14:paraId="03C6058F" w14:textId="3D92D34A" w:rsidR="00272AF7" w:rsidRPr="006E373A" w:rsidRDefault="006E373A" w:rsidP="006E373A">
      <w:pPr>
        <w:overflowPunct/>
        <w:autoSpaceDE/>
        <w:autoSpaceDN/>
        <w:adjustRightInd/>
        <w:spacing w:line="276" w:lineRule="auto"/>
        <w:ind w:left="993" w:firstLine="708"/>
        <w:jc w:val="both"/>
        <w:textAlignment w:val="auto"/>
        <w:rPr>
          <w:rFonts w:ascii="Gadugi" w:eastAsia="Malgun Gothic" w:hAnsi="Gadugi" w:cs="Estrangelo Edessa"/>
          <w:bCs/>
          <w:sz w:val="24"/>
          <w:szCs w:val="24"/>
          <w:lang w:val="es-CO" w:eastAsia="en-US"/>
        </w:rPr>
      </w:pPr>
      <w:r w:rsidRPr="006E373A">
        <w:rPr>
          <w:rFonts w:ascii="Gadugi" w:eastAsia="Malgun Gothic" w:hAnsi="Gadugi" w:cs="Estrangelo Edessa"/>
          <w:b/>
          <w:bCs/>
          <w:sz w:val="24"/>
          <w:szCs w:val="24"/>
          <w:lang w:val="es-CO" w:eastAsia="en-US"/>
        </w:rPr>
        <w:t>DUBERNEY GRISALES HERRERA</w:t>
      </w:r>
    </w:p>
    <w:sectPr w:rsidR="00272AF7" w:rsidRPr="006E373A" w:rsidSect="00267CA1">
      <w:headerReference w:type="default" r:id="rId12"/>
      <w:footerReference w:type="default" r:id="rId13"/>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C4E110" w16cex:dateUtc="2022-12-14T18:16:02.294Z"/>
  <w16cex:commentExtensible w16cex:durableId="56C232D1" w16cex:dateUtc="2022-12-14T19:13:34.624Z"/>
  <w16cex:commentExtensible w16cex:durableId="3AB1DCCB" w16cex:dateUtc="2022-12-14T19:21:18.318Z"/>
  <w16cex:commentExtensible w16cex:durableId="3D7CA258" w16cex:dateUtc="2022-12-14T19:22:06.161Z"/>
  <w16cex:commentExtensible w16cex:durableId="3F2A882E" w16cex:dateUtc="2023-03-23T15:20:45.408Z"/>
  <w16cex:commentExtensible w16cex:durableId="14243459" w16cex:dateUtc="2023-03-23T15:21:25.839Z"/>
  <w16cex:commentExtensible w16cex:durableId="3FB484A1" w16cex:dateUtc="2023-03-23T15:22:04.869Z"/>
  <w16cex:commentExtensible w16cex:durableId="05BF5DF6" w16cex:dateUtc="2023-03-23T15:48:31.727Z"/>
  <w16cex:commentExtensible w16cex:durableId="1A5FE8E8" w16cex:dateUtc="2023-03-23T15:49:18.559Z"/>
  <w16cex:commentExtensible w16cex:durableId="3AF2AC76" w16cex:dateUtc="2023-03-23T18:41:55.973Z"/>
  <w16cex:commentExtensible w16cex:durableId="6D1E18E1" w16cex:dateUtc="2023-03-23T20:12:02.3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74A9" w14:textId="77777777" w:rsidR="00931FC7" w:rsidRDefault="00931FC7" w:rsidP="00CD73E5">
      <w:r>
        <w:separator/>
      </w:r>
    </w:p>
  </w:endnote>
  <w:endnote w:type="continuationSeparator" w:id="0">
    <w:p w14:paraId="2C5F3406" w14:textId="77777777" w:rsidR="00931FC7" w:rsidRDefault="00931FC7"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A05E53" w:rsidRPr="009B40AB" w:rsidRDefault="00A05E53" w:rsidP="009F1425">
    <w:pPr>
      <w:pStyle w:val="Piedepgina"/>
      <w:framePr w:wrap="auto" w:vAnchor="text" w:hAnchor="margin" w:xAlign="right" w:y="1"/>
      <w:rPr>
        <w:rStyle w:val="Nmerodepgina"/>
        <w:rFonts w:ascii="Arial" w:hAnsi="Arial" w:cs="Arial"/>
        <w:sz w:val="18"/>
      </w:rPr>
    </w:pPr>
    <w:r w:rsidRPr="009B40AB">
      <w:rPr>
        <w:rStyle w:val="Nmerodepgina"/>
        <w:rFonts w:ascii="Arial" w:hAnsi="Arial" w:cs="Arial"/>
        <w:sz w:val="18"/>
      </w:rPr>
      <w:fldChar w:fldCharType="begin"/>
    </w:r>
    <w:r w:rsidRPr="009B40AB">
      <w:rPr>
        <w:rStyle w:val="Nmerodepgina"/>
        <w:rFonts w:ascii="Arial" w:hAnsi="Arial" w:cs="Arial"/>
        <w:sz w:val="18"/>
      </w:rPr>
      <w:instrText xml:space="preserve">PAGE  </w:instrText>
    </w:r>
    <w:r w:rsidRPr="009B40AB">
      <w:rPr>
        <w:rStyle w:val="Nmerodepgina"/>
        <w:rFonts w:ascii="Arial" w:hAnsi="Arial" w:cs="Arial"/>
        <w:sz w:val="18"/>
      </w:rPr>
      <w:fldChar w:fldCharType="separate"/>
    </w:r>
    <w:r w:rsidR="000B636F" w:rsidRPr="009B40AB">
      <w:rPr>
        <w:rStyle w:val="Nmerodepgina"/>
        <w:rFonts w:ascii="Arial" w:hAnsi="Arial" w:cs="Arial"/>
        <w:noProof/>
        <w:sz w:val="18"/>
      </w:rPr>
      <w:t>12</w:t>
    </w:r>
    <w:r w:rsidRPr="009B40AB">
      <w:rPr>
        <w:rStyle w:val="Nmerodepgina"/>
        <w:rFonts w:ascii="Arial" w:hAnsi="Arial" w:cs="Arial"/>
        <w:sz w:val="18"/>
      </w:rPr>
      <w:fldChar w:fldCharType="end"/>
    </w:r>
  </w:p>
  <w:p w14:paraId="39499B75" w14:textId="77777777" w:rsidR="00A05E53" w:rsidRPr="009F1425" w:rsidRDefault="00A05E53" w:rsidP="009F1425">
    <w:pPr>
      <w:pStyle w:val="Piedepgin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EA10" w14:textId="77777777" w:rsidR="00931FC7" w:rsidRDefault="00931FC7" w:rsidP="00CD73E5">
      <w:r>
        <w:separator/>
      </w:r>
    </w:p>
  </w:footnote>
  <w:footnote w:type="continuationSeparator" w:id="0">
    <w:p w14:paraId="5EB166E9" w14:textId="77777777" w:rsidR="00931FC7" w:rsidRDefault="00931FC7" w:rsidP="00CD73E5">
      <w:r>
        <w:continuationSeparator/>
      </w:r>
    </w:p>
  </w:footnote>
  <w:footnote w:id="1">
    <w:p w14:paraId="18D14CA5" w14:textId="21AFAE8D" w:rsidR="00E113FB" w:rsidRPr="009B40AB" w:rsidRDefault="00E113FB"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 xml:space="preserve">Documento </w:t>
      </w:r>
      <w:r w:rsidR="006D2647" w:rsidRPr="009B40AB">
        <w:rPr>
          <w:rFonts w:ascii="Arial" w:hAnsi="Arial" w:cs="Arial"/>
          <w:sz w:val="18"/>
          <w:lang w:val="es-CO"/>
        </w:rPr>
        <w:t>02., C. 1.</w:t>
      </w:r>
    </w:p>
  </w:footnote>
  <w:footnote w:id="2">
    <w:p w14:paraId="17C2C2DD" w14:textId="110AA25B"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04., C. 1.</w:t>
      </w:r>
    </w:p>
  </w:footnote>
  <w:footnote w:id="3">
    <w:p w14:paraId="74FF6E39" w14:textId="3CBF4FE9"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07., C. 1.</w:t>
      </w:r>
    </w:p>
  </w:footnote>
  <w:footnote w:id="4">
    <w:p w14:paraId="34DFEE07" w14:textId="49A571E3"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10., C. 1.</w:t>
      </w:r>
    </w:p>
  </w:footnote>
  <w:footnote w:id="5">
    <w:p w14:paraId="6EB6645D" w14:textId="77777777"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11., C. 1.</w:t>
      </w:r>
    </w:p>
  </w:footnote>
  <w:footnote w:id="6">
    <w:p w14:paraId="74D2E811" w14:textId="5C136516"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12., C. 1.</w:t>
      </w:r>
    </w:p>
  </w:footnote>
  <w:footnote w:id="7">
    <w:p w14:paraId="4FC61EDB" w14:textId="61FBD6EA"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13., C. 1.</w:t>
      </w:r>
    </w:p>
  </w:footnote>
  <w:footnote w:id="8">
    <w:p w14:paraId="21D0330D" w14:textId="7006F93E"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17., C. 1.</w:t>
      </w:r>
    </w:p>
  </w:footnote>
  <w:footnote w:id="9">
    <w:p w14:paraId="59FE1986" w14:textId="77777777" w:rsidR="00A05E53" w:rsidRPr="009B40AB" w:rsidRDefault="00A05E53" w:rsidP="009B40AB">
      <w:pPr>
        <w:pStyle w:val="Textonotapie"/>
        <w:tabs>
          <w:tab w:val="left" w:pos="426"/>
        </w:tabs>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vertAlign w:val="superscript"/>
        </w:rPr>
        <w:t xml:space="preserve"> </w:t>
      </w:r>
      <w:r w:rsidRPr="009B40AB">
        <w:rPr>
          <w:rFonts w:ascii="Arial" w:hAnsi="Arial" w:cs="Arial"/>
          <w:sz w:val="18"/>
        </w:rPr>
        <w:t>Sentencia C-543-92</w:t>
      </w:r>
    </w:p>
  </w:footnote>
  <w:footnote w:id="10">
    <w:p w14:paraId="2208113E" w14:textId="46340CC1"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35, C.1</w:t>
      </w:r>
      <w:r w:rsidR="00CD39A9" w:rsidRPr="009B40AB">
        <w:rPr>
          <w:rFonts w:ascii="Arial" w:hAnsi="Arial" w:cs="Arial"/>
          <w:sz w:val="18"/>
          <w:lang w:val="es-CO"/>
        </w:rPr>
        <w:t>. E</w:t>
      </w:r>
      <w:r w:rsidRPr="009B40AB">
        <w:rPr>
          <w:rFonts w:ascii="Arial" w:hAnsi="Arial" w:cs="Arial"/>
          <w:sz w:val="18"/>
          <w:lang w:val="es-CO"/>
        </w:rPr>
        <w:t xml:space="preserve">xpediente ejecutivo. </w:t>
      </w:r>
    </w:p>
  </w:footnote>
  <w:footnote w:id="11">
    <w:p w14:paraId="589B48B6" w14:textId="468295D7"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03., C. 1.</w:t>
      </w:r>
    </w:p>
  </w:footnote>
  <w:footnote w:id="12">
    <w:p w14:paraId="19E08820" w14:textId="3730C809" w:rsidR="006D2647" w:rsidRPr="009B40AB" w:rsidRDefault="006D2647"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00CD39A9" w:rsidRPr="009B40AB">
        <w:rPr>
          <w:rFonts w:ascii="Arial" w:hAnsi="Arial" w:cs="Arial"/>
          <w:sz w:val="18"/>
          <w:lang w:val="es-CO"/>
        </w:rPr>
        <w:t>Documento 14, C.2. Expediente ejecutivo.</w:t>
      </w:r>
    </w:p>
  </w:footnote>
  <w:footnote w:id="13">
    <w:p w14:paraId="1950CEE9" w14:textId="776A4C76" w:rsidR="00CD39A9" w:rsidRPr="009B40AB" w:rsidRDefault="00CD39A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03., C. 1.</w:t>
      </w:r>
    </w:p>
  </w:footnote>
  <w:footnote w:id="14">
    <w:p w14:paraId="1CBEB508" w14:textId="09048FDA" w:rsidR="00CD39A9" w:rsidRPr="009B40AB" w:rsidRDefault="00CD39A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10, C.2. Expediente ejecutivo</w:t>
      </w:r>
    </w:p>
  </w:footnote>
  <w:footnote w:id="15">
    <w:p w14:paraId="3CF75BD9" w14:textId="64D7345B" w:rsidR="00CD39A9" w:rsidRPr="009B40AB" w:rsidRDefault="00CD39A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13, C.2. Expediente ejecutivo</w:t>
      </w:r>
    </w:p>
  </w:footnote>
  <w:footnote w:id="16">
    <w:p w14:paraId="3C9AC8D7" w14:textId="7D0E210A" w:rsidR="00CD39A9" w:rsidRPr="009B40AB" w:rsidRDefault="00CD39A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w:t>
      </w:r>
      <w:r w:rsidRPr="009B40AB">
        <w:rPr>
          <w:rFonts w:ascii="Arial" w:hAnsi="Arial" w:cs="Arial"/>
          <w:sz w:val="18"/>
          <w:lang w:val="es-CO"/>
        </w:rPr>
        <w:t>Documento 14, C.2. Expediente ejecutivo</w:t>
      </w:r>
    </w:p>
  </w:footnote>
  <w:footnote w:id="17">
    <w:p w14:paraId="50F6F2A8" w14:textId="1E997794" w:rsidR="008F52C9" w:rsidRPr="009B40AB" w:rsidRDefault="008F52C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Documento 41, C. 1., expediente ejecutivo. </w:t>
      </w:r>
    </w:p>
  </w:footnote>
  <w:footnote w:id="18">
    <w:p w14:paraId="72E4CCF6" w14:textId="77777777" w:rsidR="00A05E53" w:rsidRPr="009B40AB" w:rsidRDefault="00A05E53"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SU-632 de 2017 basándose en las SU-195 de 2012, T-143 de 2011, T-456 de 2010 y T-567 de 1998, y reiterada en la Sentencia SU-072/18.</w:t>
      </w:r>
    </w:p>
  </w:footnote>
  <w:footnote w:id="19">
    <w:p w14:paraId="4E97DF7E" w14:textId="77777777" w:rsidR="00A05E53" w:rsidRPr="009B40AB" w:rsidRDefault="00A05E53"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Sentencia T-456 de 2010. Recapitulada en la SU-632 de 2017.</w:t>
      </w:r>
    </w:p>
  </w:footnote>
  <w:footnote w:id="20">
    <w:p w14:paraId="3365D4CB" w14:textId="77777777" w:rsidR="00A05E53" w:rsidRPr="009B40AB" w:rsidRDefault="00A05E53"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Sentencia T-311 de 2009. Recapitulada en la SU-632 de 2017.</w:t>
      </w:r>
    </w:p>
  </w:footnote>
  <w:footnote w:id="21">
    <w:p w14:paraId="13B43D1B" w14:textId="4F985F8F" w:rsidR="00CD39A9" w:rsidRPr="009B40AB" w:rsidRDefault="00CD39A9" w:rsidP="009B40AB">
      <w:pPr>
        <w:pStyle w:val="Textonotapie"/>
        <w:jc w:val="both"/>
        <w:rPr>
          <w:rFonts w:ascii="Arial" w:hAnsi="Arial" w:cs="Arial"/>
          <w:sz w:val="18"/>
          <w:lang w:val="es-CO"/>
        </w:rPr>
      </w:pPr>
      <w:r w:rsidRPr="009B40AB">
        <w:rPr>
          <w:rStyle w:val="Refdenotaalpie"/>
          <w:rFonts w:ascii="Arial" w:hAnsi="Arial" w:cs="Arial"/>
          <w:sz w:val="18"/>
        </w:rPr>
        <w:footnoteRef/>
      </w:r>
      <w:r w:rsidRPr="009B40AB">
        <w:rPr>
          <w:rFonts w:ascii="Arial" w:hAnsi="Arial" w:cs="Arial"/>
          <w:sz w:val="18"/>
        </w:rPr>
        <w:t xml:space="preserve"> Documento 35., C.1. Expediente ejecutivo. </w:t>
      </w:r>
    </w:p>
  </w:footnote>
  <w:footnote w:id="22">
    <w:p w14:paraId="6B2BDFB3" w14:textId="77777777" w:rsidR="00A05E53" w:rsidRPr="008F52C9" w:rsidRDefault="00A05E53" w:rsidP="009B40AB">
      <w:pPr>
        <w:pStyle w:val="Textonotapie"/>
        <w:jc w:val="both"/>
        <w:rPr>
          <w:rFonts w:ascii="Georgia" w:hAnsi="Georgia"/>
          <w:lang w:val="es-CO"/>
        </w:rPr>
      </w:pPr>
      <w:r w:rsidRPr="009B40AB">
        <w:rPr>
          <w:rStyle w:val="Refdenotaalpie"/>
          <w:rFonts w:ascii="Arial" w:hAnsi="Arial" w:cs="Arial"/>
          <w:sz w:val="18"/>
        </w:rPr>
        <w:footnoteRef/>
      </w:r>
      <w:r w:rsidRPr="009B40AB">
        <w:rPr>
          <w:rFonts w:ascii="Arial" w:hAnsi="Arial" w:cs="Arial"/>
          <w:sz w:val="18"/>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A05E53" w:rsidRDefault="00A05E53"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0BC"/>
    <w:multiLevelType w:val="multilevel"/>
    <w:tmpl w:val="C7160EAC"/>
    <w:lvl w:ilvl="0">
      <w:start w:val="1"/>
      <w:numFmt w:val="decimal"/>
      <w:lvlText w:val="%1."/>
      <w:lvlJc w:val="left"/>
      <w:pPr>
        <w:ind w:left="465" w:hanging="465"/>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810" w:hanging="180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840" w:hanging="2160"/>
      </w:pPr>
      <w:rPr>
        <w:rFonts w:hint="default"/>
      </w:rPr>
    </w:lvl>
  </w:abstractNum>
  <w:abstractNum w:abstractNumId="1" w15:restartNumberingAfterBreak="0">
    <w:nsid w:val="28201DB1"/>
    <w:multiLevelType w:val="hybridMultilevel"/>
    <w:tmpl w:val="6C00CE54"/>
    <w:lvl w:ilvl="0" w:tplc="BE3442F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2"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0205"/>
    <w:rsid w:val="00000F34"/>
    <w:rsid w:val="000125AA"/>
    <w:rsid w:val="00012E80"/>
    <w:rsid w:val="00013441"/>
    <w:rsid w:val="00013A8B"/>
    <w:rsid w:val="00017B90"/>
    <w:rsid w:val="00023EB7"/>
    <w:rsid w:val="00025DE3"/>
    <w:rsid w:val="00031AE1"/>
    <w:rsid w:val="00032C87"/>
    <w:rsid w:val="00035A5C"/>
    <w:rsid w:val="00036916"/>
    <w:rsid w:val="00036DEF"/>
    <w:rsid w:val="00042088"/>
    <w:rsid w:val="00042810"/>
    <w:rsid w:val="00042E46"/>
    <w:rsid w:val="00044F41"/>
    <w:rsid w:val="00046077"/>
    <w:rsid w:val="00050536"/>
    <w:rsid w:val="000561F5"/>
    <w:rsid w:val="00056C97"/>
    <w:rsid w:val="00057937"/>
    <w:rsid w:val="00057B30"/>
    <w:rsid w:val="00057FEF"/>
    <w:rsid w:val="0006073D"/>
    <w:rsid w:val="000649B3"/>
    <w:rsid w:val="00064D81"/>
    <w:rsid w:val="0006783A"/>
    <w:rsid w:val="00070E22"/>
    <w:rsid w:val="00072FD4"/>
    <w:rsid w:val="00075935"/>
    <w:rsid w:val="00082447"/>
    <w:rsid w:val="00083C12"/>
    <w:rsid w:val="00084A35"/>
    <w:rsid w:val="000868CA"/>
    <w:rsid w:val="0008760C"/>
    <w:rsid w:val="000909EC"/>
    <w:rsid w:val="0009125F"/>
    <w:rsid w:val="00091629"/>
    <w:rsid w:val="00094111"/>
    <w:rsid w:val="00094A61"/>
    <w:rsid w:val="00095C04"/>
    <w:rsid w:val="000973E6"/>
    <w:rsid w:val="00097C54"/>
    <w:rsid w:val="000A14CD"/>
    <w:rsid w:val="000A451B"/>
    <w:rsid w:val="000A5254"/>
    <w:rsid w:val="000A7920"/>
    <w:rsid w:val="000B02CC"/>
    <w:rsid w:val="000B12AA"/>
    <w:rsid w:val="000B4BDC"/>
    <w:rsid w:val="000B553A"/>
    <w:rsid w:val="000B636F"/>
    <w:rsid w:val="000C44EF"/>
    <w:rsid w:val="000C48EF"/>
    <w:rsid w:val="000D7583"/>
    <w:rsid w:val="000E00D1"/>
    <w:rsid w:val="000E3800"/>
    <w:rsid w:val="000E3DED"/>
    <w:rsid w:val="000E4C05"/>
    <w:rsid w:val="000E4D5F"/>
    <w:rsid w:val="000F189F"/>
    <w:rsid w:val="000F443B"/>
    <w:rsid w:val="000F67BE"/>
    <w:rsid w:val="000F7815"/>
    <w:rsid w:val="00101747"/>
    <w:rsid w:val="00102CDF"/>
    <w:rsid w:val="00106445"/>
    <w:rsid w:val="0010676D"/>
    <w:rsid w:val="00106AA4"/>
    <w:rsid w:val="001078C7"/>
    <w:rsid w:val="00107C1F"/>
    <w:rsid w:val="001101C9"/>
    <w:rsid w:val="00123442"/>
    <w:rsid w:val="001247B9"/>
    <w:rsid w:val="00124BAD"/>
    <w:rsid w:val="001250E9"/>
    <w:rsid w:val="00127C1F"/>
    <w:rsid w:val="001313B3"/>
    <w:rsid w:val="001355B9"/>
    <w:rsid w:val="0013682D"/>
    <w:rsid w:val="00137D12"/>
    <w:rsid w:val="00140756"/>
    <w:rsid w:val="00144607"/>
    <w:rsid w:val="00146C88"/>
    <w:rsid w:val="00154319"/>
    <w:rsid w:val="001547A5"/>
    <w:rsid w:val="00154BFB"/>
    <w:rsid w:val="00160247"/>
    <w:rsid w:val="0017328F"/>
    <w:rsid w:val="0017505B"/>
    <w:rsid w:val="00175F18"/>
    <w:rsid w:val="00176968"/>
    <w:rsid w:val="0018035F"/>
    <w:rsid w:val="001827E0"/>
    <w:rsid w:val="00187887"/>
    <w:rsid w:val="00190B6D"/>
    <w:rsid w:val="001920FD"/>
    <w:rsid w:val="001924A5"/>
    <w:rsid w:val="00192B43"/>
    <w:rsid w:val="00195C35"/>
    <w:rsid w:val="001A1201"/>
    <w:rsid w:val="001A1E4F"/>
    <w:rsid w:val="001A46A3"/>
    <w:rsid w:val="001A5055"/>
    <w:rsid w:val="001A61D8"/>
    <w:rsid w:val="001A6E73"/>
    <w:rsid w:val="001B3C49"/>
    <w:rsid w:val="001B5A80"/>
    <w:rsid w:val="001B682B"/>
    <w:rsid w:val="001C1144"/>
    <w:rsid w:val="001C1FCE"/>
    <w:rsid w:val="001C2703"/>
    <w:rsid w:val="001C2EC0"/>
    <w:rsid w:val="001C401E"/>
    <w:rsid w:val="001C4FAC"/>
    <w:rsid w:val="001C62C3"/>
    <w:rsid w:val="001E0739"/>
    <w:rsid w:val="001E0A0C"/>
    <w:rsid w:val="001E14B0"/>
    <w:rsid w:val="001E63A6"/>
    <w:rsid w:val="001E74AE"/>
    <w:rsid w:val="001F3466"/>
    <w:rsid w:val="00200310"/>
    <w:rsid w:val="002005E0"/>
    <w:rsid w:val="00201A69"/>
    <w:rsid w:val="00205ABE"/>
    <w:rsid w:val="0021043D"/>
    <w:rsid w:val="002110FF"/>
    <w:rsid w:val="00211529"/>
    <w:rsid w:val="00213BBB"/>
    <w:rsid w:val="00220E00"/>
    <w:rsid w:val="00227E21"/>
    <w:rsid w:val="00230E42"/>
    <w:rsid w:val="00232125"/>
    <w:rsid w:val="002327F3"/>
    <w:rsid w:val="00232BF9"/>
    <w:rsid w:val="00236441"/>
    <w:rsid w:val="00240BA3"/>
    <w:rsid w:val="002446B5"/>
    <w:rsid w:val="002452B5"/>
    <w:rsid w:val="00254364"/>
    <w:rsid w:val="00254CA3"/>
    <w:rsid w:val="00254ECB"/>
    <w:rsid w:val="00263654"/>
    <w:rsid w:val="002640CA"/>
    <w:rsid w:val="0026485D"/>
    <w:rsid w:val="00264ECC"/>
    <w:rsid w:val="002663F0"/>
    <w:rsid w:val="00267716"/>
    <w:rsid w:val="00267CA1"/>
    <w:rsid w:val="00271C9E"/>
    <w:rsid w:val="0027217B"/>
    <w:rsid w:val="00272AF7"/>
    <w:rsid w:val="002731F9"/>
    <w:rsid w:val="00274710"/>
    <w:rsid w:val="00274C38"/>
    <w:rsid w:val="00275D52"/>
    <w:rsid w:val="0027704D"/>
    <w:rsid w:val="00277318"/>
    <w:rsid w:val="00277B7A"/>
    <w:rsid w:val="00280C0A"/>
    <w:rsid w:val="00281B9C"/>
    <w:rsid w:val="00282189"/>
    <w:rsid w:val="00283F7E"/>
    <w:rsid w:val="00290F75"/>
    <w:rsid w:val="002925AA"/>
    <w:rsid w:val="00294CE2"/>
    <w:rsid w:val="00295489"/>
    <w:rsid w:val="0029673C"/>
    <w:rsid w:val="002967C9"/>
    <w:rsid w:val="00296CB4"/>
    <w:rsid w:val="002A13BB"/>
    <w:rsid w:val="002A1830"/>
    <w:rsid w:val="002A1CAA"/>
    <w:rsid w:val="002A1F1E"/>
    <w:rsid w:val="002A3FE9"/>
    <w:rsid w:val="002A5AFA"/>
    <w:rsid w:val="002A64FA"/>
    <w:rsid w:val="002A668D"/>
    <w:rsid w:val="002A77BA"/>
    <w:rsid w:val="002B141D"/>
    <w:rsid w:val="002B2D36"/>
    <w:rsid w:val="002B49D8"/>
    <w:rsid w:val="002C0735"/>
    <w:rsid w:val="002C458A"/>
    <w:rsid w:val="002C4C8A"/>
    <w:rsid w:val="002C5337"/>
    <w:rsid w:val="002C5B1C"/>
    <w:rsid w:val="002D14C2"/>
    <w:rsid w:val="002D2530"/>
    <w:rsid w:val="002D2DB6"/>
    <w:rsid w:val="002D708D"/>
    <w:rsid w:val="002E0AE1"/>
    <w:rsid w:val="002E0E95"/>
    <w:rsid w:val="002E138B"/>
    <w:rsid w:val="002E6C2E"/>
    <w:rsid w:val="002F273F"/>
    <w:rsid w:val="002F5423"/>
    <w:rsid w:val="002F6B03"/>
    <w:rsid w:val="002F72EB"/>
    <w:rsid w:val="00300E4C"/>
    <w:rsid w:val="0030149B"/>
    <w:rsid w:val="003049BB"/>
    <w:rsid w:val="00311978"/>
    <w:rsid w:val="003127B8"/>
    <w:rsid w:val="00312F26"/>
    <w:rsid w:val="003213A7"/>
    <w:rsid w:val="00322465"/>
    <w:rsid w:val="003254B6"/>
    <w:rsid w:val="003261C7"/>
    <w:rsid w:val="00327AEE"/>
    <w:rsid w:val="00327BAC"/>
    <w:rsid w:val="00340743"/>
    <w:rsid w:val="00340B65"/>
    <w:rsid w:val="0034370E"/>
    <w:rsid w:val="003461C7"/>
    <w:rsid w:val="0034751F"/>
    <w:rsid w:val="003508B8"/>
    <w:rsid w:val="0035091E"/>
    <w:rsid w:val="00350B72"/>
    <w:rsid w:val="00350C07"/>
    <w:rsid w:val="00351342"/>
    <w:rsid w:val="00352EAF"/>
    <w:rsid w:val="003545B5"/>
    <w:rsid w:val="003565EA"/>
    <w:rsid w:val="00356C7F"/>
    <w:rsid w:val="00357F89"/>
    <w:rsid w:val="00363BDD"/>
    <w:rsid w:val="00363FC2"/>
    <w:rsid w:val="0036517B"/>
    <w:rsid w:val="0036690B"/>
    <w:rsid w:val="00366C33"/>
    <w:rsid w:val="00370924"/>
    <w:rsid w:val="003738B7"/>
    <w:rsid w:val="00373DC4"/>
    <w:rsid w:val="00382321"/>
    <w:rsid w:val="00382605"/>
    <w:rsid w:val="0038716C"/>
    <w:rsid w:val="003871C0"/>
    <w:rsid w:val="003953FF"/>
    <w:rsid w:val="003969EA"/>
    <w:rsid w:val="00396DD5"/>
    <w:rsid w:val="00397994"/>
    <w:rsid w:val="003A1683"/>
    <w:rsid w:val="003A62D6"/>
    <w:rsid w:val="003A6403"/>
    <w:rsid w:val="003B00E8"/>
    <w:rsid w:val="003B0861"/>
    <w:rsid w:val="003B0CAE"/>
    <w:rsid w:val="003B7519"/>
    <w:rsid w:val="003B7D88"/>
    <w:rsid w:val="003B7EA3"/>
    <w:rsid w:val="003C1AB7"/>
    <w:rsid w:val="003C2840"/>
    <w:rsid w:val="003C351A"/>
    <w:rsid w:val="003C422B"/>
    <w:rsid w:val="003D091D"/>
    <w:rsid w:val="003D13FD"/>
    <w:rsid w:val="003D3C37"/>
    <w:rsid w:val="003D6A44"/>
    <w:rsid w:val="003E256E"/>
    <w:rsid w:val="003E324F"/>
    <w:rsid w:val="003E3870"/>
    <w:rsid w:val="003E5B22"/>
    <w:rsid w:val="003E7EB2"/>
    <w:rsid w:val="003F059A"/>
    <w:rsid w:val="003F27B1"/>
    <w:rsid w:val="0040103F"/>
    <w:rsid w:val="00407722"/>
    <w:rsid w:val="00412245"/>
    <w:rsid w:val="00414BF5"/>
    <w:rsid w:val="00416259"/>
    <w:rsid w:val="0041771D"/>
    <w:rsid w:val="00423875"/>
    <w:rsid w:val="00423C01"/>
    <w:rsid w:val="00424BF8"/>
    <w:rsid w:val="00424D4A"/>
    <w:rsid w:val="004273F8"/>
    <w:rsid w:val="00427560"/>
    <w:rsid w:val="00431634"/>
    <w:rsid w:val="004316F4"/>
    <w:rsid w:val="004317E7"/>
    <w:rsid w:val="004336CB"/>
    <w:rsid w:val="00433F4E"/>
    <w:rsid w:val="00436A51"/>
    <w:rsid w:val="0045635C"/>
    <w:rsid w:val="0046194B"/>
    <w:rsid w:val="004659D1"/>
    <w:rsid w:val="00467ED1"/>
    <w:rsid w:val="00476416"/>
    <w:rsid w:val="00482A42"/>
    <w:rsid w:val="00482FEF"/>
    <w:rsid w:val="0048348E"/>
    <w:rsid w:val="004837A2"/>
    <w:rsid w:val="004859C1"/>
    <w:rsid w:val="00490FE4"/>
    <w:rsid w:val="00492465"/>
    <w:rsid w:val="00492650"/>
    <w:rsid w:val="00493C21"/>
    <w:rsid w:val="00495EC8"/>
    <w:rsid w:val="00496418"/>
    <w:rsid w:val="00496CF1"/>
    <w:rsid w:val="00497CF6"/>
    <w:rsid w:val="004A351F"/>
    <w:rsid w:val="004A6609"/>
    <w:rsid w:val="004A6EA8"/>
    <w:rsid w:val="004A7085"/>
    <w:rsid w:val="004B165A"/>
    <w:rsid w:val="004B211F"/>
    <w:rsid w:val="004B4B0E"/>
    <w:rsid w:val="004B7A1A"/>
    <w:rsid w:val="004C5905"/>
    <w:rsid w:val="004C75B0"/>
    <w:rsid w:val="004D23DE"/>
    <w:rsid w:val="004D2CD4"/>
    <w:rsid w:val="004E2EB5"/>
    <w:rsid w:val="004E35A9"/>
    <w:rsid w:val="004E7FE3"/>
    <w:rsid w:val="004F15A0"/>
    <w:rsid w:val="004F1998"/>
    <w:rsid w:val="004F38D1"/>
    <w:rsid w:val="004F7B5F"/>
    <w:rsid w:val="0050283B"/>
    <w:rsid w:val="00504EF7"/>
    <w:rsid w:val="00506140"/>
    <w:rsid w:val="0051298D"/>
    <w:rsid w:val="0051464F"/>
    <w:rsid w:val="0051586B"/>
    <w:rsid w:val="00517172"/>
    <w:rsid w:val="00523370"/>
    <w:rsid w:val="00525143"/>
    <w:rsid w:val="00525531"/>
    <w:rsid w:val="005263EF"/>
    <w:rsid w:val="00526F23"/>
    <w:rsid w:val="00527A58"/>
    <w:rsid w:val="00531D7B"/>
    <w:rsid w:val="00532C45"/>
    <w:rsid w:val="00534AA4"/>
    <w:rsid w:val="00534DAC"/>
    <w:rsid w:val="005408D6"/>
    <w:rsid w:val="00543CA1"/>
    <w:rsid w:val="00547184"/>
    <w:rsid w:val="00550199"/>
    <w:rsid w:val="00550582"/>
    <w:rsid w:val="00550939"/>
    <w:rsid w:val="0055337E"/>
    <w:rsid w:val="0055477F"/>
    <w:rsid w:val="005547B1"/>
    <w:rsid w:val="00556759"/>
    <w:rsid w:val="00561211"/>
    <w:rsid w:val="00564A2E"/>
    <w:rsid w:val="00567061"/>
    <w:rsid w:val="005676EF"/>
    <w:rsid w:val="005729AD"/>
    <w:rsid w:val="00576675"/>
    <w:rsid w:val="00576E34"/>
    <w:rsid w:val="00577905"/>
    <w:rsid w:val="00580719"/>
    <w:rsid w:val="0058485D"/>
    <w:rsid w:val="00586506"/>
    <w:rsid w:val="00587D46"/>
    <w:rsid w:val="00590319"/>
    <w:rsid w:val="00590A5C"/>
    <w:rsid w:val="00592D84"/>
    <w:rsid w:val="005930DD"/>
    <w:rsid w:val="00594E5D"/>
    <w:rsid w:val="005A1133"/>
    <w:rsid w:val="005A2CC0"/>
    <w:rsid w:val="005A3C2A"/>
    <w:rsid w:val="005A5434"/>
    <w:rsid w:val="005A7048"/>
    <w:rsid w:val="005B0422"/>
    <w:rsid w:val="005B1112"/>
    <w:rsid w:val="005B1452"/>
    <w:rsid w:val="005B2E4E"/>
    <w:rsid w:val="005B3A46"/>
    <w:rsid w:val="005B4682"/>
    <w:rsid w:val="005B4AFA"/>
    <w:rsid w:val="005C2A87"/>
    <w:rsid w:val="005C36F3"/>
    <w:rsid w:val="005C43B2"/>
    <w:rsid w:val="005C4755"/>
    <w:rsid w:val="005D327A"/>
    <w:rsid w:val="005D5EFC"/>
    <w:rsid w:val="005D5FC7"/>
    <w:rsid w:val="005D6060"/>
    <w:rsid w:val="005D7779"/>
    <w:rsid w:val="005E2FF2"/>
    <w:rsid w:val="005E49F8"/>
    <w:rsid w:val="005E61BB"/>
    <w:rsid w:val="005E72CC"/>
    <w:rsid w:val="005E7F54"/>
    <w:rsid w:val="005F0CDC"/>
    <w:rsid w:val="005F33AC"/>
    <w:rsid w:val="005F599A"/>
    <w:rsid w:val="005F74CF"/>
    <w:rsid w:val="005F78C1"/>
    <w:rsid w:val="00602843"/>
    <w:rsid w:val="00603195"/>
    <w:rsid w:val="006039FA"/>
    <w:rsid w:val="006042C0"/>
    <w:rsid w:val="006109B0"/>
    <w:rsid w:val="00610AC1"/>
    <w:rsid w:val="006143D6"/>
    <w:rsid w:val="006241B8"/>
    <w:rsid w:val="006247CB"/>
    <w:rsid w:val="006264E5"/>
    <w:rsid w:val="00626EE6"/>
    <w:rsid w:val="00633326"/>
    <w:rsid w:val="006363D3"/>
    <w:rsid w:val="00642E81"/>
    <w:rsid w:val="00646CEC"/>
    <w:rsid w:val="006522D0"/>
    <w:rsid w:val="00656A92"/>
    <w:rsid w:val="00666956"/>
    <w:rsid w:val="00666BDA"/>
    <w:rsid w:val="00667D78"/>
    <w:rsid w:val="00667F06"/>
    <w:rsid w:val="006707F2"/>
    <w:rsid w:val="00671CAF"/>
    <w:rsid w:val="00675B31"/>
    <w:rsid w:val="00677E25"/>
    <w:rsid w:val="00680EE6"/>
    <w:rsid w:val="0068187D"/>
    <w:rsid w:val="00682FC9"/>
    <w:rsid w:val="00685278"/>
    <w:rsid w:val="00685A3D"/>
    <w:rsid w:val="00692CA8"/>
    <w:rsid w:val="00694240"/>
    <w:rsid w:val="00695701"/>
    <w:rsid w:val="006967CA"/>
    <w:rsid w:val="006A1906"/>
    <w:rsid w:val="006A212D"/>
    <w:rsid w:val="006A4D86"/>
    <w:rsid w:val="006A5410"/>
    <w:rsid w:val="006A5B0C"/>
    <w:rsid w:val="006A689A"/>
    <w:rsid w:val="006A76F6"/>
    <w:rsid w:val="006B15DD"/>
    <w:rsid w:val="006B16B9"/>
    <w:rsid w:val="006B2C99"/>
    <w:rsid w:val="006B53F5"/>
    <w:rsid w:val="006C57AC"/>
    <w:rsid w:val="006D2647"/>
    <w:rsid w:val="006D368B"/>
    <w:rsid w:val="006D59A0"/>
    <w:rsid w:val="006D5DC1"/>
    <w:rsid w:val="006E373A"/>
    <w:rsid w:val="006E4430"/>
    <w:rsid w:val="006E58AF"/>
    <w:rsid w:val="006F3A88"/>
    <w:rsid w:val="006F44D3"/>
    <w:rsid w:val="006F5747"/>
    <w:rsid w:val="006F7900"/>
    <w:rsid w:val="00700022"/>
    <w:rsid w:val="0070573D"/>
    <w:rsid w:val="00707B73"/>
    <w:rsid w:val="00710A37"/>
    <w:rsid w:val="00712F9E"/>
    <w:rsid w:val="00713293"/>
    <w:rsid w:val="0071350F"/>
    <w:rsid w:val="007164D1"/>
    <w:rsid w:val="007227F4"/>
    <w:rsid w:val="00732643"/>
    <w:rsid w:val="007340B1"/>
    <w:rsid w:val="00734E9B"/>
    <w:rsid w:val="00743C91"/>
    <w:rsid w:val="007448F9"/>
    <w:rsid w:val="00744D08"/>
    <w:rsid w:val="007453B3"/>
    <w:rsid w:val="007511AD"/>
    <w:rsid w:val="00753806"/>
    <w:rsid w:val="00767D9E"/>
    <w:rsid w:val="0077017D"/>
    <w:rsid w:val="00772119"/>
    <w:rsid w:val="007728A7"/>
    <w:rsid w:val="00772B7E"/>
    <w:rsid w:val="00772C2C"/>
    <w:rsid w:val="007750AC"/>
    <w:rsid w:val="00776941"/>
    <w:rsid w:val="0078658B"/>
    <w:rsid w:val="00786D69"/>
    <w:rsid w:val="00786ECF"/>
    <w:rsid w:val="0079179A"/>
    <w:rsid w:val="0079675F"/>
    <w:rsid w:val="00797043"/>
    <w:rsid w:val="00797EEE"/>
    <w:rsid w:val="007A0C7C"/>
    <w:rsid w:val="007A1BFF"/>
    <w:rsid w:val="007A2EA2"/>
    <w:rsid w:val="007A3840"/>
    <w:rsid w:val="007A3EF2"/>
    <w:rsid w:val="007A7C94"/>
    <w:rsid w:val="007B067E"/>
    <w:rsid w:val="007B0E3F"/>
    <w:rsid w:val="007C053C"/>
    <w:rsid w:val="007C7774"/>
    <w:rsid w:val="007C7861"/>
    <w:rsid w:val="007C7ADD"/>
    <w:rsid w:val="007D0DB4"/>
    <w:rsid w:val="007D4B68"/>
    <w:rsid w:val="007D4BC3"/>
    <w:rsid w:val="007E190D"/>
    <w:rsid w:val="007E28C4"/>
    <w:rsid w:val="007E7118"/>
    <w:rsid w:val="007F14A7"/>
    <w:rsid w:val="007F3C3C"/>
    <w:rsid w:val="007F61A1"/>
    <w:rsid w:val="007F70FC"/>
    <w:rsid w:val="0080796E"/>
    <w:rsid w:val="00807C39"/>
    <w:rsid w:val="008121C6"/>
    <w:rsid w:val="00816F65"/>
    <w:rsid w:val="0082129F"/>
    <w:rsid w:val="008213D4"/>
    <w:rsid w:val="008223C8"/>
    <w:rsid w:val="00822AF0"/>
    <w:rsid w:val="00826C01"/>
    <w:rsid w:val="00827D36"/>
    <w:rsid w:val="008341B1"/>
    <w:rsid w:val="0083426B"/>
    <w:rsid w:val="00834773"/>
    <w:rsid w:val="008370CE"/>
    <w:rsid w:val="008378E3"/>
    <w:rsid w:val="00837E8A"/>
    <w:rsid w:val="008408FA"/>
    <w:rsid w:val="00843683"/>
    <w:rsid w:val="008468DC"/>
    <w:rsid w:val="00850350"/>
    <w:rsid w:val="008507A1"/>
    <w:rsid w:val="00850B1A"/>
    <w:rsid w:val="0085158B"/>
    <w:rsid w:val="00853990"/>
    <w:rsid w:val="00861E10"/>
    <w:rsid w:val="00864C42"/>
    <w:rsid w:val="00865106"/>
    <w:rsid w:val="00870B55"/>
    <w:rsid w:val="008718AA"/>
    <w:rsid w:val="008724F1"/>
    <w:rsid w:val="00872A52"/>
    <w:rsid w:val="00873F11"/>
    <w:rsid w:val="00877544"/>
    <w:rsid w:val="00881119"/>
    <w:rsid w:val="008840E8"/>
    <w:rsid w:val="00885C69"/>
    <w:rsid w:val="00892683"/>
    <w:rsid w:val="00893330"/>
    <w:rsid w:val="00896121"/>
    <w:rsid w:val="0089683B"/>
    <w:rsid w:val="00897990"/>
    <w:rsid w:val="00897CFC"/>
    <w:rsid w:val="008A0096"/>
    <w:rsid w:val="008A0779"/>
    <w:rsid w:val="008A2799"/>
    <w:rsid w:val="008A365C"/>
    <w:rsid w:val="008A3886"/>
    <w:rsid w:val="008A498C"/>
    <w:rsid w:val="008A5A60"/>
    <w:rsid w:val="008A6593"/>
    <w:rsid w:val="008B2D3E"/>
    <w:rsid w:val="008B2F28"/>
    <w:rsid w:val="008B5103"/>
    <w:rsid w:val="008B6883"/>
    <w:rsid w:val="008C10CA"/>
    <w:rsid w:val="008C1BBF"/>
    <w:rsid w:val="008C2D90"/>
    <w:rsid w:val="008C3725"/>
    <w:rsid w:val="008C3C26"/>
    <w:rsid w:val="008C4378"/>
    <w:rsid w:val="008C590D"/>
    <w:rsid w:val="008D0874"/>
    <w:rsid w:val="008D2433"/>
    <w:rsid w:val="008D29C5"/>
    <w:rsid w:val="008D2C52"/>
    <w:rsid w:val="008D41EE"/>
    <w:rsid w:val="008D443B"/>
    <w:rsid w:val="008D4D2A"/>
    <w:rsid w:val="008E15AB"/>
    <w:rsid w:val="008E7C9F"/>
    <w:rsid w:val="008F2E68"/>
    <w:rsid w:val="008F3B81"/>
    <w:rsid w:val="008F4BC3"/>
    <w:rsid w:val="008F52C9"/>
    <w:rsid w:val="008F6ED1"/>
    <w:rsid w:val="009022F5"/>
    <w:rsid w:val="0090293F"/>
    <w:rsid w:val="0090384B"/>
    <w:rsid w:val="0090780E"/>
    <w:rsid w:val="00915650"/>
    <w:rsid w:val="0092190D"/>
    <w:rsid w:val="0092217E"/>
    <w:rsid w:val="0092598C"/>
    <w:rsid w:val="00925A9D"/>
    <w:rsid w:val="00925DA2"/>
    <w:rsid w:val="00927789"/>
    <w:rsid w:val="00927EF5"/>
    <w:rsid w:val="00931FC7"/>
    <w:rsid w:val="00936435"/>
    <w:rsid w:val="009417A8"/>
    <w:rsid w:val="00942846"/>
    <w:rsid w:val="00943090"/>
    <w:rsid w:val="00943FF1"/>
    <w:rsid w:val="00950379"/>
    <w:rsid w:val="009507A2"/>
    <w:rsid w:val="00950B06"/>
    <w:rsid w:val="009518A8"/>
    <w:rsid w:val="00951BAD"/>
    <w:rsid w:val="009578B8"/>
    <w:rsid w:val="009601E6"/>
    <w:rsid w:val="00962585"/>
    <w:rsid w:val="0096332A"/>
    <w:rsid w:val="00965768"/>
    <w:rsid w:val="00966586"/>
    <w:rsid w:val="00972ED3"/>
    <w:rsid w:val="0097305F"/>
    <w:rsid w:val="00977984"/>
    <w:rsid w:val="009806DA"/>
    <w:rsid w:val="009821FE"/>
    <w:rsid w:val="009822BE"/>
    <w:rsid w:val="00982C7B"/>
    <w:rsid w:val="00985280"/>
    <w:rsid w:val="00985AB9"/>
    <w:rsid w:val="009878F9"/>
    <w:rsid w:val="00991D7F"/>
    <w:rsid w:val="00993C82"/>
    <w:rsid w:val="009A0169"/>
    <w:rsid w:val="009A2618"/>
    <w:rsid w:val="009B40AB"/>
    <w:rsid w:val="009B4360"/>
    <w:rsid w:val="009C00B4"/>
    <w:rsid w:val="009C0451"/>
    <w:rsid w:val="009D02B5"/>
    <w:rsid w:val="009D0F3B"/>
    <w:rsid w:val="009D485B"/>
    <w:rsid w:val="009D4AE4"/>
    <w:rsid w:val="009D4C7B"/>
    <w:rsid w:val="009D5349"/>
    <w:rsid w:val="009D6A38"/>
    <w:rsid w:val="009D7747"/>
    <w:rsid w:val="009E0471"/>
    <w:rsid w:val="009E0EF1"/>
    <w:rsid w:val="009E0FD8"/>
    <w:rsid w:val="009E336D"/>
    <w:rsid w:val="009E4741"/>
    <w:rsid w:val="009E72C7"/>
    <w:rsid w:val="009E788E"/>
    <w:rsid w:val="009F1425"/>
    <w:rsid w:val="009F1755"/>
    <w:rsid w:val="009F5D3B"/>
    <w:rsid w:val="00A006BB"/>
    <w:rsid w:val="00A018A5"/>
    <w:rsid w:val="00A01DEF"/>
    <w:rsid w:val="00A0360C"/>
    <w:rsid w:val="00A0378E"/>
    <w:rsid w:val="00A0442F"/>
    <w:rsid w:val="00A05E53"/>
    <w:rsid w:val="00A10881"/>
    <w:rsid w:val="00A13402"/>
    <w:rsid w:val="00A15563"/>
    <w:rsid w:val="00A16252"/>
    <w:rsid w:val="00A200FA"/>
    <w:rsid w:val="00A21294"/>
    <w:rsid w:val="00A214D1"/>
    <w:rsid w:val="00A227DA"/>
    <w:rsid w:val="00A248E6"/>
    <w:rsid w:val="00A26868"/>
    <w:rsid w:val="00A27193"/>
    <w:rsid w:val="00A35114"/>
    <w:rsid w:val="00A3656A"/>
    <w:rsid w:val="00A37894"/>
    <w:rsid w:val="00A4037B"/>
    <w:rsid w:val="00A42D85"/>
    <w:rsid w:val="00A43B6A"/>
    <w:rsid w:val="00A4429C"/>
    <w:rsid w:val="00A46198"/>
    <w:rsid w:val="00A47D04"/>
    <w:rsid w:val="00A5120F"/>
    <w:rsid w:val="00A52863"/>
    <w:rsid w:val="00A53551"/>
    <w:rsid w:val="00A5375E"/>
    <w:rsid w:val="00A54986"/>
    <w:rsid w:val="00A55724"/>
    <w:rsid w:val="00A57AE0"/>
    <w:rsid w:val="00A619BC"/>
    <w:rsid w:val="00A61D5C"/>
    <w:rsid w:val="00A6292F"/>
    <w:rsid w:val="00A63866"/>
    <w:rsid w:val="00A7344B"/>
    <w:rsid w:val="00A76D84"/>
    <w:rsid w:val="00A80E46"/>
    <w:rsid w:val="00A82227"/>
    <w:rsid w:val="00A8365D"/>
    <w:rsid w:val="00A853FF"/>
    <w:rsid w:val="00A875BB"/>
    <w:rsid w:val="00A90E67"/>
    <w:rsid w:val="00A9331F"/>
    <w:rsid w:val="00A93BD7"/>
    <w:rsid w:val="00AA09D4"/>
    <w:rsid w:val="00AA12DD"/>
    <w:rsid w:val="00AA5A91"/>
    <w:rsid w:val="00AC20A1"/>
    <w:rsid w:val="00AC4AEE"/>
    <w:rsid w:val="00AC5562"/>
    <w:rsid w:val="00AC642D"/>
    <w:rsid w:val="00AC7344"/>
    <w:rsid w:val="00AD1020"/>
    <w:rsid w:val="00AD192C"/>
    <w:rsid w:val="00AD4645"/>
    <w:rsid w:val="00AD4B00"/>
    <w:rsid w:val="00AD5A79"/>
    <w:rsid w:val="00AD741E"/>
    <w:rsid w:val="00AE01EF"/>
    <w:rsid w:val="00AE4490"/>
    <w:rsid w:val="00AE5D91"/>
    <w:rsid w:val="00AE6090"/>
    <w:rsid w:val="00AE6E43"/>
    <w:rsid w:val="00AF4AD3"/>
    <w:rsid w:val="00AF6E70"/>
    <w:rsid w:val="00AF7AC9"/>
    <w:rsid w:val="00B00139"/>
    <w:rsid w:val="00B02AD0"/>
    <w:rsid w:val="00B02BE9"/>
    <w:rsid w:val="00B052B7"/>
    <w:rsid w:val="00B10E71"/>
    <w:rsid w:val="00B13265"/>
    <w:rsid w:val="00B13C66"/>
    <w:rsid w:val="00B1618B"/>
    <w:rsid w:val="00B17C95"/>
    <w:rsid w:val="00B20B7B"/>
    <w:rsid w:val="00B27E2B"/>
    <w:rsid w:val="00B30CAA"/>
    <w:rsid w:val="00B33A1F"/>
    <w:rsid w:val="00B34201"/>
    <w:rsid w:val="00B35AD1"/>
    <w:rsid w:val="00B36F01"/>
    <w:rsid w:val="00B408E6"/>
    <w:rsid w:val="00B40BCA"/>
    <w:rsid w:val="00B4578C"/>
    <w:rsid w:val="00B5179A"/>
    <w:rsid w:val="00B52C50"/>
    <w:rsid w:val="00B5315A"/>
    <w:rsid w:val="00B56442"/>
    <w:rsid w:val="00B576AD"/>
    <w:rsid w:val="00B623E8"/>
    <w:rsid w:val="00B6253B"/>
    <w:rsid w:val="00B6585B"/>
    <w:rsid w:val="00B67EF7"/>
    <w:rsid w:val="00B735EC"/>
    <w:rsid w:val="00B745EC"/>
    <w:rsid w:val="00B74B86"/>
    <w:rsid w:val="00B76082"/>
    <w:rsid w:val="00B80881"/>
    <w:rsid w:val="00B8105F"/>
    <w:rsid w:val="00B85F73"/>
    <w:rsid w:val="00B86E8E"/>
    <w:rsid w:val="00B87E7F"/>
    <w:rsid w:val="00B93D03"/>
    <w:rsid w:val="00B94403"/>
    <w:rsid w:val="00B973B6"/>
    <w:rsid w:val="00BA1A8F"/>
    <w:rsid w:val="00BA2E5F"/>
    <w:rsid w:val="00BA4750"/>
    <w:rsid w:val="00BA6F81"/>
    <w:rsid w:val="00BA7CC3"/>
    <w:rsid w:val="00BB319B"/>
    <w:rsid w:val="00BB45BA"/>
    <w:rsid w:val="00BB68AA"/>
    <w:rsid w:val="00BB7778"/>
    <w:rsid w:val="00BC2DFF"/>
    <w:rsid w:val="00BC56C9"/>
    <w:rsid w:val="00BC7859"/>
    <w:rsid w:val="00BD2349"/>
    <w:rsid w:val="00BD3838"/>
    <w:rsid w:val="00BD39CF"/>
    <w:rsid w:val="00BD601B"/>
    <w:rsid w:val="00BE16F9"/>
    <w:rsid w:val="00BE3D4C"/>
    <w:rsid w:val="00BE3FA4"/>
    <w:rsid w:val="00BF254D"/>
    <w:rsid w:val="00BF25A3"/>
    <w:rsid w:val="00BF426C"/>
    <w:rsid w:val="00BF46E3"/>
    <w:rsid w:val="00BF508F"/>
    <w:rsid w:val="00BF58EB"/>
    <w:rsid w:val="00BF5A0B"/>
    <w:rsid w:val="00BF6D13"/>
    <w:rsid w:val="00BF7228"/>
    <w:rsid w:val="00C04154"/>
    <w:rsid w:val="00C04BA8"/>
    <w:rsid w:val="00C07680"/>
    <w:rsid w:val="00C07B86"/>
    <w:rsid w:val="00C23659"/>
    <w:rsid w:val="00C3113A"/>
    <w:rsid w:val="00C313F5"/>
    <w:rsid w:val="00C34084"/>
    <w:rsid w:val="00C34270"/>
    <w:rsid w:val="00C459CD"/>
    <w:rsid w:val="00C54BA0"/>
    <w:rsid w:val="00C55B70"/>
    <w:rsid w:val="00C562AD"/>
    <w:rsid w:val="00C63F50"/>
    <w:rsid w:val="00C6417B"/>
    <w:rsid w:val="00C660AE"/>
    <w:rsid w:val="00C71976"/>
    <w:rsid w:val="00C71F28"/>
    <w:rsid w:val="00C73A6D"/>
    <w:rsid w:val="00C75795"/>
    <w:rsid w:val="00C76842"/>
    <w:rsid w:val="00C805F6"/>
    <w:rsid w:val="00C82097"/>
    <w:rsid w:val="00C829A4"/>
    <w:rsid w:val="00C83175"/>
    <w:rsid w:val="00C933E5"/>
    <w:rsid w:val="00CA06C3"/>
    <w:rsid w:val="00CA13BC"/>
    <w:rsid w:val="00CA24F8"/>
    <w:rsid w:val="00CA5E9D"/>
    <w:rsid w:val="00CA67BA"/>
    <w:rsid w:val="00CA6CBC"/>
    <w:rsid w:val="00CB0E88"/>
    <w:rsid w:val="00CB229A"/>
    <w:rsid w:val="00CB50CE"/>
    <w:rsid w:val="00CB5998"/>
    <w:rsid w:val="00CB75FF"/>
    <w:rsid w:val="00CB7C32"/>
    <w:rsid w:val="00CB7F71"/>
    <w:rsid w:val="00CC07C1"/>
    <w:rsid w:val="00CC3339"/>
    <w:rsid w:val="00CC626F"/>
    <w:rsid w:val="00CC6A50"/>
    <w:rsid w:val="00CC6A7F"/>
    <w:rsid w:val="00CD1E8A"/>
    <w:rsid w:val="00CD34E9"/>
    <w:rsid w:val="00CD39A9"/>
    <w:rsid w:val="00CD47D0"/>
    <w:rsid w:val="00CD595B"/>
    <w:rsid w:val="00CD73E5"/>
    <w:rsid w:val="00CD7727"/>
    <w:rsid w:val="00CE0057"/>
    <w:rsid w:val="00CE1C2E"/>
    <w:rsid w:val="00CE3390"/>
    <w:rsid w:val="00CE62BF"/>
    <w:rsid w:val="00CE69D3"/>
    <w:rsid w:val="00CE69E6"/>
    <w:rsid w:val="00CF0E46"/>
    <w:rsid w:val="00CF380C"/>
    <w:rsid w:val="00D007C6"/>
    <w:rsid w:val="00D00EF1"/>
    <w:rsid w:val="00D016CA"/>
    <w:rsid w:val="00D03C17"/>
    <w:rsid w:val="00D04829"/>
    <w:rsid w:val="00D06F8D"/>
    <w:rsid w:val="00D1112B"/>
    <w:rsid w:val="00D13775"/>
    <w:rsid w:val="00D14203"/>
    <w:rsid w:val="00D14991"/>
    <w:rsid w:val="00D216D9"/>
    <w:rsid w:val="00D2245F"/>
    <w:rsid w:val="00D22B11"/>
    <w:rsid w:val="00D2390F"/>
    <w:rsid w:val="00D24D8A"/>
    <w:rsid w:val="00D25BC0"/>
    <w:rsid w:val="00D3180D"/>
    <w:rsid w:val="00D32E34"/>
    <w:rsid w:val="00D33331"/>
    <w:rsid w:val="00D349B4"/>
    <w:rsid w:val="00D362C4"/>
    <w:rsid w:val="00D40309"/>
    <w:rsid w:val="00D41840"/>
    <w:rsid w:val="00D41FBD"/>
    <w:rsid w:val="00D43414"/>
    <w:rsid w:val="00D43DAA"/>
    <w:rsid w:val="00D43E7C"/>
    <w:rsid w:val="00D46456"/>
    <w:rsid w:val="00D521F8"/>
    <w:rsid w:val="00D53C02"/>
    <w:rsid w:val="00D579D9"/>
    <w:rsid w:val="00D6501E"/>
    <w:rsid w:val="00D700BD"/>
    <w:rsid w:val="00D7333C"/>
    <w:rsid w:val="00D75563"/>
    <w:rsid w:val="00D75D89"/>
    <w:rsid w:val="00D76D07"/>
    <w:rsid w:val="00D80543"/>
    <w:rsid w:val="00D806BB"/>
    <w:rsid w:val="00D80945"/>
    <w:rsid w:val="00D8186A"/>
    <w:rsid w:val="00D82AC5"/>
    <w:rsid w:val="00D83311"/>
    <w:rsid w:val="00D83415"/>
    <w:rsid w:val="00D83F33"/>
    <w:rsid w:val="00D8517B"/>
    <w:rsid w:val="00D85287"/>
    <w:rsid w:val="00D8626E"/>
    <w:rsid w:val="00D90C3B"/>
    <w:rsid w:val="00D90D68"/>
    <w:rsid w:val="00D946BC"/>
    <w:rsid w:val="00D97AA3"/>
    <w:rsid w:val="00D97D5E"/>
    <w:rsid w:val="00DA007F"/>
    <w:rsid w:val="00DA2460"/>
    <w:rsid w:val="00DA3C2D"/>
    <w:rsid w:val="00DA741A"/>
    <w:rsid w:val="00DB0318"/>
    <w:rsid w:val="00DB2118"/>
    <w:rsid w:val="00DB2A9D"/>
    <w:rsid w:val="00DB2B97"/>
    <w:rsid w:val="00DB4B23"/>
    <w:rsid w:val="00DC2FAE"/>
    <w:rsid w:val="00DC3C13"/>
    <w:rsid w:val="00DC5280"/>
    <w:rsid w:val="00DC767B"/>
    <w:rsid w:val="00DC7AA7"/>
    <w:rsid w:val="00DD1C5A"/>
    <w:rsid w:val="00DD34BB"/>
    <w:rsid w:val="00DD7802"/>
    <w:rsid w:val="00DE0A45"/>
    <w:rsid w:val="00DE2C57"/>
    <w:rsid w:val="00DE6D0D"/>
    <w:rsid w:val="00DE700F"/>
    <w:rsid w:val="00DF13E7"/>
    <w:rsid w:val="00DF6B46"/>
    <w:rsid w:val="00DF6E32"/>
    <w:rsid w:val="00DF749F"/>
    <w:rsid w:val="00E00E45"/>
    <w:rsid w:val="00E02A74"/>
    <w:rsid w:val="00E03443"/>
    <w:rsid w:val="00E040C3"/>
    <w:rsid w:val="00E07EF3"/>
    <w:rsid w:val="00E10B79"/>
    <w:rsid w:val="00E113FB"/>
    <w:rsid w:val="00E13FBC"/>
    <w:rsid w:val="00E170E0"/>
    <w:rsid w:val="00E21E93"/>
    <w:rsid w:val="00E278BC"/>
    <w:rsid w:val="00E3052D"/>
    <w:rsid w:val="00E31BED"/>
    <w:rsid w:val="00E362AF"/>
    <w:rsid w:val="00E36F49"/>
    <w:rsid w:val="00E37ACD"/>
    <w:rsid w:val="00E460C4"/>
    <w:rsid w:val="00E50518"/>
    <w:rsid w:val="00E514CA"/>
    <w:rsid w:val="00E569AC"/>
    <w:rsid w:val="00E56CDE"/>
    <w:rsid w:val="00E5703C"/>
    <w:rsid w:val="00E57973"/>
    <w:rsid w:val="00E6002C"/>
    <w:rsid w:val="00E64DA0"/>
    <w:rsid w:val="00E64FFE"/>
    <w:rsid w:val="00E7138C"/>
    <w:rsid w:val="00E7303F"/>
    <w:rsid w:val="00E73BF3"/>
    <w:rsid w:val="00E750C2"/>
    <w:rsid w:val="00E76C67"/>
    <w:rsid w:val="00E7737C"/>
    <w:rsid w:val="00E77DF6"/>
    <w:rsid w:val="00E8166A"/>
    <w:rsid w:val="00E82C56"/>
    <w:rsid w:val="00E84683"/>
    <w:rsid w:val="00E943FF"/>
    <w:rsid w:val="00E95B31"/>
    <w:rsid w:val="00EA1D7B"/>
    <w:rsid w:val="00EA1E24"/>
    <w:rsid w:val="00EA4566"/>
    <w:rsid w:val="00EA722D"/>
    <w:rsid w:val="00EB052E"/>
    <w:rsid w:val="00EB2EF4"/>
    <w:rsid w:val="00EB37BA"/>
    <w:rsid w:val="00EB4D3B"/>
    <w:rsid w:val="00EB6AB6"/>
    <w:rsid w:val="00EC0FD3"/>
    <w:rsid w:val="00EC276F"/>
    <w:rsid w:val="00EC5912"/>
    <w:rsid w:val="00EC6702"/>
    <w:rsid w:val="00ED0B9E"/>
    <w:rsid w:val="00ED2244"/>
    <w:rsid w:val="00ED5862"/>
    <w:rsid w:val="00EE4976"/>
    <w:rsid w:val="00EE6163"/>
    <w:rsid w:val="00EE7D70"/>
    <w:rsid w:val="00EF4542"/>
    <w:rsid w:val="00F05CB7"/>
    <w:rsid w:val="00F111E5"/>
    <w:rsid w:val="00F12178"/>
    <w:rsid w:val="00F12786"/>
    <w:rsid w:val="00F12A78"/>
    <w:rsid w:val="00F14E38"/>
    <w:rsid w:val="00F1637D"/>
    <w:rsid w:val="00F16C74"/>
    <w:rsid w:val="00F171EE"/>
    <w:rsid w:val="00F20A47"/>
    <w:rsid w:val="00F20FBD"/>
    <w:rsid w:val="00F27981"/>
    <w:rsid w:val="00F30120"/>
    <w:rsid w:val="00F306A1"/>
    <w:rsid w:val="00F306A3"/>
    <w:rsid w:val="00F318DC"/>
    <w:rsid w:val="00F32113"/>
    <w:rsid w:val="00F34452"/>
    <w:rsid w:val="00F405C7"/>
    <w:rsid w:val="00F40D9F"/>
    <w:rsid w:val="00F415DA"/>
    <w:rsid w:val="00F42D5B"/>
    <w:rsid w:val="00F464E3"/>
    <w:rsid w:val="00F5185E"/>
    <w:rsid w:val="00F51A7F"/>
    <w:rsid w:val="00F52C02"/>
    <w:rsid w:val="00F62567"/>
    <w:rsid w:val="00F63C1A"/>
    <w:rsid w:val="00F63E94"/>
    <w:rsid w:val="00F66464"/>
    <w:rsid w:val="00F70756"/>
    <w:rsid w:val="00F73412"/>
    <w:rsid w:val="00F736AA"/>
    <w:rsid w:val="00F90CD5"/>
    <w:rsid w:val="00F93C69"/>
    <w:rsid w:val="00F93FFB"/>
    <w:rsid w:val="00F972BD"/>
    <w:rsid w:val="00F974FE"/>
    <w:rsid w:val="00FA13BD"/>
    <w:rsid w:val="00FA1958"/>
    <w:rsid w:val="00FA203C"/>
    <w:rsid w:val="00FB20FC"/>
    <w:rsid w:val="00FB4A32"/>
    <w:rsid w:val="00FB5A98"/>
    <w:rsid w:val="00FB6F3A"/>
    <w:rsid w:val="00FB7EC4"/>
    <w:rsid w:val="00FB7F2B"/>
    <w:rsid w:val="00FC74B2"/>
    <w:rsid w:val="00FD1696"/>
    <w:rsid w:val="00FD2398"/>
    <w:rsid w:val="00FD48DE"/>
    <w:rsid w:val="00FD6F14"/>
    <w:rsid w:val="00FE02BF"/>
    <w:rsid w:val="00FE44AA"/>
    <w:rsid w:val="00FE5D7C"/>
    <w:rsid w:val="00FF03BC"/>
    <w:rsid w:val="00FF0520"/>
    <w:rsid w:val="00FF1776"/>
    <w:rsid w:val="00FF570A"/>
    <w:rsid w:val="00FF6AB9"/>
    <w:rsid w:val="01C59002"/>
    <w:rsid w:val="021857BF"/>
    <w:rsid w:val="02C8868E"/>
    <w:rsid w:val="03876C6A"/>
    <w:rsid w:val="05C66CCD"/>
    <w:rsid w:val="0914191F"/>
    <w:rsid w:val="0AC5427F"/>
    <w:rsid w:val="0B007CA8"/>
    <w:rsid w:val="0C64CBB4"/>
    <w:rsid w:val="0C8C8CE4"/>
    <w:rsid w:val="0E677235"/>
    <w:rsid w:val="0E8960D1"/>
    <w:rsid w:val="0EE43F84"/>
    <w:rsid w:val="0F462170"/>
    <w:rsid w:val="10019EF6"/>
    <w:rsid w:val="11AFFF23"/>
    <w:rsid w:val="12CE8E11"/>
    <w:rsid w:val="143BDE1C"/>
    <w:rsid w:val="171D421D"/>
    <w:rsid w:val="19060331"/>
    <w:rsid w:val="1A87A1DD"/>
    <w:rsid w:val="1B82E5DD"/>
    <w:rsid w:val="1DAB76ED"/>
    <w:rsid w:val="1DC2405D"/>
    <w:rsid w:val="1E52B3DF"/>
    <w:rsid w:val="20DB82BA"/>
    <w:rsid w:val="25D66FC5"/>
    <w:rsid w:val="26FF0D15"/>
    <w:rsid w:val="273B1066"/>
    <w:rsid w:val="2844ED36"/>
    <w:rsid w:val="28F1C962"/>
    <w:rsid w:val="2972CA90"/>
    <w:rsid w:val="2B32F3D9"/>
    <w:rsid w:val="2C1AD6AD"/>
    <w:rsid w:val="2C78A3E1"/>
    <w:rsid w:val="2EFF56EF"/>
    <w:rsid w:val="2F89EA4A"/>
    <w:rsid w:val="3486350B"/>
    <w:rsid w:val="37DF6029"/>
    <w:rsid w:val="38213DA9"/>
    <w:rsid w:val="38765184"/>
    <w:rsid w:val="394ED3F3"/>
    <w:rsid w:val="3A022239"/>
    <w:rsid w:val="3C1DCF33"/>
    <w:rsid w:val="3FA34B9D"/>
    <w:rsid w:val="3FEA70FF"/>
    <w:rsid w:val="400EE209"/>
    <w:rsid w:val="40B62EB2"/>
    <w:rsid w:val="42562CE4"/>
    <w:rsid w:val="48BBD412"/>
    <w:rsid w:val="4ABBA12E"/>
    <w:rsid w:val="4C2C624D"/>
    <w:rsid w:val="4C69BF63"/>
    <w:rsid w:val="4EEF2A61"/>
    <w:rsid w:val="4F66A586"/>
    <w:rsid w:val="50433F3B"/>
    <w:rsid w:val="51F48B0B"/>
    <w:rsid w:val="54A6898F"/>
    <w:rsid w:val="54F53CBA"/>
    <w:rsid w:val="5524CC3C"/>
    <w:rsid w:val="569620E0"/>
    <w:rsid w:val="57A17949"/>
    <w:rsid w:val="57CFD47A"/>
    <w:rsid w:val="59C6F68B"/>
    <w:rsid w:val="5B691314"/>
    <w:rsid w:val="5DAAF3D5"/>
    <w:rsid w:val="5DC2A22E"/>
    <w:rsid w:val="5E2AB527"/>
    <w:rsid w:val="5EA6D57D"/>
    <w:rsid w:val="5FBD17F5"/>
    <w:rsid w:val="60C36E8E"/>
    <w:rsid w:val="60CF4AA2"/>
    <w:rsid w:val="60E1ED65"/>
    <w:rsid w:val="611AEFE1"/>
    <w:rsid w:val="6220C0CD"/>
    <w:rsid w:val="62428FBC"/>
    <w:rsid w:val="6249446D"/>
    <w:rsid w:val="633B306A"/>
    <w:rsid w:val="6608BE8B"/>
    <w:rsid w:val="66306A4B"/>
    <w:rsid w:val="68D5D625"/>
    <w:rsid w:val="6D11A040"/>
    <w:rsid w:val="7203249C"/>
    <w:rsid w:val="72DDAD96"/>
    <w:rsid w:val="7719801B"/>
    <w:rsid w:val="776A3A9E"/>
    <w:rsid w:val="7A210CF3"/>
    <w:rsid w:val="7B502501"/>
    <w:rsid w:val="7C7B748E"/>
    <w:rsid w:val="7DB0E89A"/>
    <w:rsid w:val="7DBC2B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213D4"/>
    <w:pPr>
      <w:overflowPunct/>
      <w:autoSpaceDE/>
      <w:autoSpaceDN/>
      <w:adjustRightInd/>
      <w:textAlignment w:val="auto"/>
    </w:pPr>
    <w:rPr>
      <w:rFonts w:ascii="Calibri" w:eastAsia="Calibri" w:hAnsi="Calibri"/>
      <w:vertAlign w:val="superscript"/>
      <w:lang w:val="es-CO" w:eastAsia="es-CO"/>
    </w:rPr>
  </w:style>
  <w:style w:type="paragraph" w:styleId="Asuntodelcomentario">
    <w:name w:val="annotation subject"/>
    <w:basedOn w:val="Textocomentario"/>
    <w:next w:val="Textocomentario"/>
    <w:link w:val="AsuntodelcomentarioCar"/>
    <w:uiPriority w:val="99"/>
    <w:semiHidden/>
    <w:unhideWhenUsed/>
    <w:rsid w:val="006D5DC1"/>
    <w:rPr>
      <w:b/>
      <w:bCs/>
    </w:rPr>
  </w:style>
  <w:style w:type="character" w:customStyle="1" w:styleId="AsuntodelcomentarioCar">
    <w:name w:val="Asunto del comentario Car"/>
    <w:basedOn w:val="TextocomentarioCar"/>
    <w:link w:val="Asuntodelcomentario"/>
    <w:uiPriority w:val="99"/>
    <w:semiHidden/>
    <w:rsid w:val="006D5DC1"/>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339547167">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7544044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2470405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78ed38421f3e490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2.xml><?xml version="1.0" encoding="utf-8"?>
<ds:datastoreItem xmlns:ds="http://schemas.openxmlformats.org/officeDocument/2006/customXml" ds:itemID="{3453D187-9AEE-4156-8482-F7989CF9B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56CA73F5-8523-4311-9370-5A3B7606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3084</Words>
  <Characters>16967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6</cp:revision>
  <cp:lastPrinted>2019-05-03T12:17:00Z</cp:lastPrinted>
  <dcterms:created xsi:type="dcterms:W3CDTF">2023-03-23T20:21:00Z</dcterms:created>
  <dcterms:modified xsi:type="dcterms:W3CDTF">2023-05-25T14:15:00Z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