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E07BF" w14:textId="77777777" w:rsidR="0031731E" w:rsidRPr="0031731E" w:rsidRDefault="0031731E" w:rsidP="0031731E">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line="240" w:lineRule="auto"/>
        <w:jc w:val="both"/>
        <w:rPr>
          <w:rFonts w:eastAsia="Times New Roman"/>
          <w:color w:val="FF0000"/>
          <w:spacing w:val="-4"/>
          <w:sz w:val="18"/>
          <w:szCs w:val="18"/>
          <w:lang w:val="es-419" w:eastAsia="fr-FR"/>
        </w:rPr>
      </w:pPr>
      <w:bookmarkStart w:id="0" w:name="_heading=h.gjdgxs" w:colFirst="0" w:colLast="0"/>
      <w:bookmarkEnd w:id="0"/>
      <w:r w:rsidRPr="0031731E">
        <w:rPr>
          <w:rFonts w:eastAsia="Times New Roman"/>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C5BE01C" w14:textId="77777777" w:rsidR="0031731E" w:rsidRPr="0031731E" w:rsidRDefault="0031731E" w:rsidP="0031731E">
      <w:pPr>
        <w:widowControl w:val="0"/>
        <w:autoSpaceDE w:val="0"/>
        <w:autoSpaceDN w:val="0"/>
        <w:spacing w:line="240" w:lineRule="auto"/>
        <w:jc w:val="both"/>
        <w:rPr>
          <w:rFonts w:eastAsia="Times New Roman"/>
          <w:sz w:val="20"/>
          <w:szCs w:val="20"/>
          <w:lang w:val="es-419" w:eastAsia="es-ES"/>
        </w:rPr>
      </w:pPr>
    </w:p>
    <w:p w14:paraId="1BB17515" w14:textId="6BBDB70C" w:rsidR="0031731E" w:rsidRPr="0031731E" w:rsidRDefault="000A1993" w:rsidP="0031731E">
      <w:pPr>
        <w:widowControl w:val="0"/>
        <w:autoSpaceDE w:val="0"/>
        <w:autoSpaceDN w:val="0"/>
        <w:spacing w:line="240" w:lineRule="auto"/>
        <w:jc w:val="both"/>
        <w:rPr>
          <w:rFonts w:eastAsia="Times New Roman"/>
          <w:sz w:val="20"/>
          <w:szCs w:val="20"/>
          <w:lang w:val="es-419" w:eastAsia="es-ES"/>
        </w:rPr>
      </w:pPr>
      <w:r w:rsidRPr="0031731E">
        <w:rPr>
          <w:rFonts w:eastAsia="Times New Roman"/>
          <w:b/>
          <w:bCs/>
          <w:iCs/>
          <w:sz w:val="20"/>
          <w:szCs w:val="20"/>
          <w:u w:val="single"/>
          <w:lang w:val="es-419" w:eastAsia="fr-FR"/>
        </w:rPr>
        <w:t>TEMAS:</w:t>
      </w:r>
      <w:r w:rsidRPr="0031731E">
        <w:rPr>
          <w:rFonts w:eastAsia="Times New Roman"/>
          <w:b/>
          <w:bCs/>
          <w:iCs/>
          <w:sz w:val="20"/>
          <w:szCs w:val="20"/>
          <w:lang w:val="es-419" w:eastAsia="fr-FR"/>
        </w:rPr>
        <w:tab/>
      </w:r>
      <w:r>
        <w:rPr>
          <w:rFonts w:eastAsia="Times New Roman"/>
          <w:b/>
          <w:bCs/>
          <w:iCs/>
          <w:sz w:val="20"/>
          <w:szCs w:val="20"/>
          <w:lang w:val="es-419" w:eastAsia="fr-FR"/>
        </w:rPr>
        <w:t>IMPUGNACIÓN ACTOS DE ASAMBLEA / COEFICIENTES DE COPROPIEDAD / MÓDULOS DE CONTRIBUCIÓN / DEFINICIÓN Y DIFERENCIAS / LOS SEGUNDOS NO APLICAN EN PROPIEDADES HORIZONTALES NETAMENTE RESIDENCIALES.</w:t>
      </w:r>
      <w:r w:rsidR="0031731E" w:rsidRPr="0031731E">
        <w:rPr>
          <w:rFonts w:eastAsia="Times New Roman"/>
          <w:b/>
          <w:bCs/>
          <w:iCs/>
          <w:sz w:val="20"/>
          <w:szCs w:val="20"/>
          <w:lang w:val="es-419" w:eastAsia="fr-FR"/>
        </w:rPr>
        <w:t xml:space="preserve"> </w:t>
      </w:r>
    </w:p>
    <w:p w14:paraId="01E56832" w14:textId="77777777" w:rsidR="0031731E" w:rsidRPr="00D20882" w:rsidRDefault="0031731E" w:rsidP="0031731E">
      <w:pPr>
        <w:widowControl w:val="0"/>
        <w:autoSpaceDE w:val="0"/>
        <w:autoSpaceDN w:val="0"/>
        <w:spacing w:line="240" w:lineRule="auto"/>
        <w:jc w:val="both"/>
        <w:rPr>
          <w:rFonts w:eastAsia="Times New Roman"/>
          <w:sz w:val="20"/>
          <w:szCs w:val="20"/>
          <w:lang w:val="es-419" w:eastAsia="es-ES"/>
        </w:rPr>
      </w:pPr>
    </w:p>
    <w:p w14:paraId="4D19ACBA" w14:textId="30F475A6" w:rsidR="0016050B" w:rsidRPr="0016050B" w:rsidRDefault="0016050B" w:rsidP="0016050B">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r>
        <w:rPr>
          <w:rFonts w:eastAsia="Times New Roman"/>
          <w:sz w:val="20"/>
          <w:szCs w:val="20"/>
          <w:lang w:val="es-ES" w:eastAsia="es-ES"/>
        </w:rPr>
        <w:t xml:space="preserve">… </w:t>
      </w:r>
      <w:r w:rsidRPr="0016050B">
        <w:rPr>
          <w:rFonts w:eastAsia="Times New Roman"/>
          <w:sz w:val="20"/>
          <w:szCs w:val="20"/>
          <w:lang w:val="es-ES" w:eastAsia="es-ES"/>
        </w:rPr>
        <w:t xml:space="preserve">en cuanto concierne a las expensas comunes, es preciso acudir a las definiciones que trae la Ley 675 de 2001 en su artículo 3 sobre coeficientes de copropiedad y módulos de contribución. </w:t>
      </w:r>
    </w:p>
    <w:p w14:paraId="6D042872" w14:textId="77777777" w:rsidR="0016050B" w:rsidRPr="0016050B" w:rsidRDefault="0016050B" w:rsidP="0016050B">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p>
    <w:p w14:paraId="53908530" w14:textId="77777777" w:rsidR="0016050B" w:rsidRPr="0016050B" w:rsidRDefault="0016050B" w:rsidP="0016050B">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r w:rsidRPr="0016050B">
        <w:rPr>
          <w:rFonts w:eastAsia="Times New Roman"/>
          <w:sz w:val="20"/>
          <w:szCs w:val="20"/>
          <w:lang w:val="es-ES" w:eastAsia="es-ES"/>
        </w:rPr>
        <w:t xml:space="preserve">Dice la norma que los coeficientes de copropiedad son </w:t>
      </w:r>
    </w:p>
    <w:p w14:paraId="6A52724E" w14:textId="77777777" w:rsidR="0016050B" w:rsidRPr="0016050B" w:rsidRDefault="0016050B" w:rsidP="0016050B">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p>
    <w:p w14:paraId="77F7FB71" w14:textId="77777777" w:rsidR="0016050B" w:rsidRPr="0016050B" w:rsidRDefault="0016050B" w:rsidP="0016050B">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r w:rsidRPr="0016050B">
        <w:rPr>
          <w:rFonts w:eastAsia="Times New Roman"/>
          <w:sz w:val="20"/>
          <w:szCs w:val="20"/>
          <w:lang w:val="es-ES" w:eastAsia="es-ES"/>
        </w:rPr>
        <w:t xml:space="preserve">“Índices que establecen la participación porcentual de cada uno de los propietarios de bienes de dominio particular en los bienes comunes del edificio o conjunto sometido al régimen de propiedad horizontal. Definen además su participación en la asamblea de propietarios y la proporción con que cada uno contribuirá en las expensas comunes del edificio o conjunto, sin perjuicio de las que se determinen por módulos de contribución, en edificios o conjuntos de uso comercial o mixto. </w:t>
      </w:r>
    </w:p>
    <w:p w14:paraId="7F760779" w14:textId="77777777" w:rsidR="0016050B" w:rsidRPr="0016050B" w:rsidRDefault="0016050B" w:rsidP="0016050B">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p>
    <w:p w14:paraId="6E099CAC" w14:textId="77777777" w:rsidR="0016050B" w:rsidRPr="0016050B" w:rsidRDefault="0016050B" w:rsidP="0016050B">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r w:rsidRPr="0016050B">
        <w:rPr>
          <w:rFonts w:eastAsia="Times New Roman"/>
          <w:sz w:val="20"/>
          <w:szCs w:val="20"/>
          <w:lang w:val="es-ES" w:eastAsia="es-ES"/>
        </w:rPr>
        <w:t xml:space="preserve">En tanto que, por módulos de contribución entienden los: </w:t>
      </w:r>
    </w:p>
    <w:p w14:paraId="01CC6C19" w14:textId="77777777" w:rsidR="0016050B" w:rsidRPr="0016050B" w:rsidRDefault="0016050B" w:rsidP="0016050B">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p>
    <w:p w14:paraId="1A5BA711" w14:textId="77777777" w:rsidR="0016050B" w:rsidRPr="0016050B" w:rsidRDefault="0016050B" w:rsidP="0016050B">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r w:rsidRPr="0016050B">
        <w:rPr>
          <w:rFonts w:eastAsia="Times New Roman"/>
          <w:sz w:val="20"/>
          <w:szCs w:val="20"/>
          <w:lang w:val="es-ES" w:eastAsia="es-ES"/>
        </w:rPr>
        <w:t>“Índices que establecen la participación porcentual de los propietarios de bienes de dominio particular, en las expensas causadas en relación con los bienes y servicios comunes cuyo uso y goce corresponda a una parte o sector determinado del edificio o conjunto de uso comercial o mixto.”</w:t>
      </w:r>
    </w:p>
    <w:p w14:paraId="4925028E" w14:textId="77777777" w:rsidR="0016050B" w:rsidRPr="0016050B" w:rsidRDefault="0016050B" w:rsidP="0016050B">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p>
    <w:p w14:paraId="58DAF72A" w14:textId="7A76EDCE" w:rsidR="0031731E" w:rsidRPr="0031731E" w:rsidRDefault="0016050B" w:rsidP="0016050B">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r w:rsidRPr="0016050B">
        <w:rPr>
          <w:rFonts w:eastAsia="Times New Roman"/>
          <w:sz w:val="20"/>
          <w:szCs w:val="20"/>
          <w:lang w:val="es-ES" w:eastAsia="es-ES"/>
        </w:rPr>
        <w:t>Se observa que estos módulos de contribución tienen cabida en propiedades horizontales mixtas (residenciales y comerciales) o en las comerciales, pero no en las netamente residenciales</w:t>
      </w:r>
      <w:r>
        <w:rPr>
          <w:rFonts w:eastAsia="Times New Roman"/>
          <w:sz w:val="20"/>
          <w:szCs w:val="20"/>
          <w:lang w:val="es-ES" w:eastAsia="es-ES"/>
        </w:rPr>
        <w:t>…</w:t>
      </w:r>
    </w:p>
    <w:p w14:paraId="6037272C" w14:textId="77777777" w:rsidR="0031731E" w:rsidRPr="0031731E" w:rsidRDefault="0031731E" w:rsidP="0031731E">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p>
    <w:p w14:paraId="3EE6A2BE" w14:textId="77777777" w:rsidR="0031731E" w:rsidRPr="0031731E" w:rsidRDefault="0031731E" w:rsidP="0031731E">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p>
    <w:p w14:paraId="30FE321C" w14:textId="77777777" w:rsidR="0031731E" w:rsidRPr="0031731E" w:rsidRDefault="0031731E" w:rsidP="0031731E">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p>
    <w:p w14:paraId="5BCAF494" w14:textId="77777777" w:rsidR="00A75620" w:rsidRPr="0031731E" w:rsidRDefault="00957861" w:rsidP="0031731E">
      <w:pPr>
        <w:tabs>
          <w:tab w:val="center" w:pos="4419"/>
          <w:tab w:val="right" w:pos="8838"/>
        </w:tabs>
        <w:jc w:val="center"/>
        <w:rPr>
          <w:rFonts w:ascii="Gadugi" w:eastAsia="Bookman Old Style" w:hAnsi="Gadugi" w:cs="Bookman Old Style"/>
          <w:b/>
          <w:sz w:val="24"/>
          <w:szCs w:val="24"/>
        </w:rPr>
      </w:pPr>
      <w:r w:rsidRPr="0031731E">
        <w:rPr>
          <w:rFonts w:ascii="Gadugi" w:eastAsia="Calibri" w:hAnsi="Gadugi" w:cs="Calibri"/>
          <w:noProof/>
          <w:sz w:val="24"/>
          <w:szCs w:val="24"/>
          <w:lang w:val="en-US" w:eastAsia="en-US"/>
        </w:rPr>
        <w:drawing>
          <wp:inline distT="0" distB="0" distL="0" distR="0" wp14:anchorId="1A89EB78" wp14:editId="381B1B8F">
            <wp:extent cx="1162050" cy="59055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162050" cy="590550"/>
                    </a:xfrm>
                    <a:prstGeom prst="rect">
                      <a:avLst/>
                    </a:prstGeom>
                    <a:ln/>
                  </pic:spPr>
                </pic:pic>
              </a:graphicData>
            </a:graphic>
          </wp:inline>
        </w:drawing>
      </w:r>
    </w:p>
    <w:p w14:paraId="1415AF47" w14:textId="77777777" w:rsidR="00A75620" w:rsidRPr="0031731E" w:rsidRDefault="00957861" w:rsidP="0031731E">
      <w:pPr>
        <w:tabs>
          <w:tab w:val="center" w:pos="4419"/>
          <w:tab w:val="right" w:pos="8838"/>
        </w:tabs>
        <w:jc w:val="center"/>
        <w:rPr>
          <w:rFonts w:ascii="Gadugi" w:eastAsia="Bookman Old Style" w:hAnsi="Gadugi" w:cs="Bookman Old Style"/>
          <w:b/>
          <w:sz w:val="24"/>
          <w:szCs w:val="24"/>
        </w:rPr>
      </w:pPr>
      <w:r w:rsidRPr="0031731E">
        <w:rPr>
          <w:rFonts w:ascii="Gadugi" w:eastAsia="Bookman Old Style" w:hAnsi="Gadugi" w:cs="Bookman Old Style"/>
          <w:b/>
          <w:sz w:val="24"/>
          <w:szCs w:val="24"/>
        </w:rPr>
        <w:t>TRIBUNAL SUPERIOR DEL DISTRITO JUDICIAL</w:t>
      </w:r>
    </w:p>
    <w:p w14:paraId="1EF204A5" w14:textId="77777777" w:rsidR="00A75620" w:rsidRPr="0031731E" w:rsidRDefault="00957861" w:rsidP="0031731E">
      <w:pPr>
        <w:tabs>
          <w:tab w:val="center" w:pos="4419"/>
          <w:tab w:val="right" w:pos="8838"/>
        </w:tabs>
        <w:jc w:val="center"/>
        <w:rPr>
          <w:rFonts w:ascii="Gadugi" w:eastAsia="Bookman Old Style" w:hAnsi="Gadugi" w:cs="Bookman Old Style"/>
          <w:b/>
          <w:sz w:val="24"/>
          <w:szCs w:val="24"/>
        </w:rPr>
      </w:pPr>
      <w:r w:rsidRPr="0031731E">
        <w:rPr>
          <w:rFonts w:ascii="Gadugi" w:eastAsia="Bookman Old Style" w:hAnsi="Gadugi" w:cs="Bookman Old Style"/>
          <w:b/>
          <w:sz w:val="24"/>
          <w:szCs w:val="24"/>
        </w:rPr>
        <w:t>PEREIRA</w:t>
      </w:r>
    </w:p>
    <w:p w14:paraId="45A8FD37" w14:textId="77777777" w:rsidR="00A75620" w:rsidRPr="0031731E" w:rsidRDefault="00957861" w:rsidP="0031731E">
      <w:pPr>
        <w:tabs>
          <w:tab w:val="center" w:pos="4419"/>
          <w:tab w:val="right" w:pos="8838"/>
        </w:tabs>
        <w:jc w:val="center"/>
        <w:rPr>
          <w:rFonts w:ascii="Gadugi" w:eastAsia="Georgia" w:hAnsi="Gadugi" w:cs="Georgia"/>
          <w:b/>
          <w:sz w:val="24"/>
          <w:szCs w:val="24"/>
        </w:rPr>
      </w:pPr>
      <w:r w:rsidRPr="0031731E">
        <w:rPr>
          <w:rFonts w:ascii="Gadugi" w:eastAsia="Bookman Old Style" w:hAnsi="Gadugi" w:cs="Bookman Old Style"/>
          <w:b/>
          <w:sz w:val="24"/>
          <w:szCs w:val="24"/>
        </w:rPr>
        <w:t>SALA CIVIL-FAMILIA</w:t>
      </w:r>
    </w:p>
    <w:p w14:paraId="7F07078F" w14:textId="77777777" w:rsidR="00A75620" w:rsidRPr="0031731E" w:rsidRDefault="00A75620" w:rsidP="0031731E">
      <w:pPr>
        <w:keepNext/>
        <w:pBdr>
          <w:top w:val="nil"/>
          <w:left w:val="nil"/>
          <w:bottom w:val="nil"/>
          <w:right w:val="nil"/>
          <w:between w:val="nil"/>
        </w:pBdr>
        <w:tabs>
          <w:tab w:val="left" w:pos="3261"/>
        </w:tabs>
        <w:ind w:firstLine="1701"/>
        <w:rPr>
          <w:rFonts w:ascii="Gadugi" w:eastAsia="Georgia" w:hAnsi="Gadugi" w:cs="Georgia"/>
          <w:b/>
          <w:color w:val="000000"/>
          <w:sz w:val="24"/>
          <w:szCs w:val="24"/>
        </w:rPr>
      </w:pPr>
    </w:p>
    <w:p w14:paraId="395E75EB" w14:textId="18354F18" w:rsidR="00A75620" w:rsidRPr="0031731E" w:rsidRDefault="00F70FB5" w:rsidP="0031731E">
      <w:pPr>
        <w:tabs>
          <w:tab w:val="left" w:pos="3261"/>
        </w:tabs>
        <w:jc w:val="center"/>
        <w:rPr>
          <w:rFonts w:ascii="Gadugi" w:eastAsia="Georgia" w:hAnsi="Gadugi" w:cs="Georgia"/>
          <w:b/>
          <w:sz w:val="24"/>
          <w:szCs w:val="24"/>
        </w:rPr>
      </w:pPr>
      <w:bookmarkStart w:id="1" w:name="_GoBack"/>
      <w:r w:rsidRPr="0031731E">
        <w:rPr>
          <w:rFonts w:ascii="Gadugi" w:eastAsia="Georgia" w:hAnsi="Gadugi" w:cs="Georgia"/>
          <w:b/>
          <w:sz w:val="24"/>
          <w:szCs w:val="24"/>
        </w:rPr>
        <w:t>SC-</w:t>
      </w:r>
      <w:r w:rsidR="007E6802" w:rsidRPr="0031731E">
        <w:rPr>
          <w:rFonts w:ascii="Gadugi" w:eastAsia="Georgia" w:hAnsi="Gadugi" w:cs="Georgia"/>
          <w:b/>
          <w:sz w:val="24"/>
          <w:szCs w:val="24"/>
        </w:rPr>
        <w:t>0025-</w:t>
      </w:r>
      <w:r w:rsidRPr="0031731E">
        <w:rPr>
          <w:rFonts w:ascii="Gadugi" w:eastAsia="Georgia" w:hAnsi="Gadugi" w:cs="Georgia"/>
          <w:b/>
          <w:sz w:val="24"/>
          <w:szCs w:val="24"/>
        </w:rPr>
        <w:t>2023</w:t>
      </w:r>
    </w:p>
    <w:bookmarkEnd w:id="1"/>
    <w:p w14:paraId="609E4A29" w14:textId="77777777" w:rsidR="00F70FB5" w:rsidRPr="0031731E" w:rsidRDefault="00F70FB5" w:rsidP="0031731E">
      <w:pPr>
        <w:tabs>
          <w:tab w:val="left" w:pos="3686"/>
          <w:tab w:val="left" w:pos="4536"/>
        </w:tabs>
        <w:ind w:firstLine="1701"/>
        <w:jc w:val="both"/>
        <w:rPr>
          <w:rFonts w:ascii="Gadugi" w:eastAsia="Georgia" w:hAnsi="Gadugi" w:cs="Georgia"/>
          <w:sz w:val="24"/>
          <w:szCs w:val="24"/>
        </w:rPr>
      </w:pPr>
    </w:p>
    <w:p w14:paraId="77DE81F3" w14:textId="607E1952" w:rsidR="00A75620" w:rsidRPr="0031731E" w:rsidRDefault="00957861" w:rsidP="0031731E">
      <w:pPr>
        <w:tabs>
          <w:tab w:val="left" w:pos="3686"/>
          <w:tab w:val="left" w:pos="4536"/>
        </w:tabs>
        <w:spacing w:line="240" w:lineRule="auto"/>
        <w:ind w:firstLine="1701"/>
        <w:jc w:val="both"/>
        <w:rPr>
          <w:rFonts w:ascii="Gadugi" w:eastAsia="Georgia" w:hAnsi="Gadugi" w:cs="Georgia"/>
          <w:sz w:val="24"/>
          <w:szCs w:val="24"/>
        </w:rPr>
      </w:pPr>
      <w:r w:rsidRPr="0031731E">
        <w:rPr>
          <w:rFonts w:ascii="Gadugi" w:eastAsia="Georgia" w:hAnsi="Gadugi" w:cs="Georgia"/>
          <w:sz w:val="24"/>
          <w:szCs w:val="24"/>
        </w:rPr>
        <w:t xml:space="preserve">Magistrado: </w:t>
      </w:r>
      <w:r w:rsidRPr="0031731E">
        <w:rPr>
          <w:rFonts w:ascii="Gadugi" w:eastAsia="Georgia" w:hAnsi="Gadugi" w:cs="Georgia"/>
          <w:sz w:val="24"/>
          <w:szCs w:val="24"/>
        </w:rPr>
        <w:tab/>
        <w:t>Jaime Alberto Saraza Naranjo</w:t>
      </w:r>
    </w:p>
    <w:p w14:paraId="2E2C2F5B" w14:textId="6F20408F" w:rsidR="00A75620" w:rsidRPr="0031731E" w:rsidRDefault="00957861" w:rsidP="0031731E">
      <w:pPr>
        <w:tabs>
          <w:tab w:val="left" w:pos="3686"/>
          <w:tab w:val="left" w:pos="4536"/>
        </w:tabs>
        <w:spacing w:line="240" w:lineRule="auto"/>
        <w:ind w:firstLine="1701"/>
        <w:jc w:val="both"/>
        <w:rPr>
          <w:rFonts w:ascii="Gadugi" w:eastAsia="Georgia" w:hAnsi="Gadugi" w:cs="Georgia"/>
          <w:sz w:val="24"/>
          <w:szCs w:val="24"/>
        </w:rPr>
      </w:pPr>
      <w:r w:rsidRPr="0031731E">
        <w:rPr>
          <w:rFonts w:ascii="Gadugi" w:eastAsia="Georgia" w:hAnsi="Gadugi" w:cs="Georgia"/>
          <w:sz w:val="24"/>
          <w:szCs w:val="24"/>
        </w:rPr>
        <w:t xml:space="preserve">Pereira, </w:t>
      </w:r>
      <w:r w:rsidRPr="0031731E">
        <w:rPr>
          <w:rFonts w:ascii="Gadugi" w:eastAsia="Georgia" w:hAnsi="Gadugi" w:cs="Georgia"/>
          <w:sz w:val="24"/>
          <w:szCs w:val="24"/>
        </w:rPr>
        <w:tab/>
      </w:r>
      <w:r w:rsidR="007E6802" w:rsidRPr="0031731E">
        <w:rPr>
          <w:rFonts w:ascii="Gadugi" w:eastAsia="Georgia" w:hAnsi="Gadugi" w:cs="Georgia"/>
          <w:sz w:val="24"/>
          <w:szCs w:val="24"/>
        </w:rPr>
        <w:t xml:space="preserve">junio catorce de dos mil veintitrés </w:t>
      </w:r>
    </w:p>
    <w:p w14:paraId="70217512" w14:textId="33BA4721" w:rsidR="00A75620" w:rsidRPr="0031731E" w:rsidRDefault="00957861" w:rsidP="0031731E">
      <w:pPr>
        <w:tabs>
          <w:tab w:val="left" w:pos="3686"/>
          <w:tab w:val="left" w:pos="4536"/>
        </w:tabs>
        <w:spacing w:line="240" w:lineRule="auto"/>
        <w:ind w:firstLine="1701"/>
        <w:jc w:val="both"/>
        <w:rPr>
          <w:rFonts w:ascii="Gadugi" w:eastAsia="Georgia" w:hAnsi="Gadugi" w:cs="Georgia"/>
          <w:sz w:val="24"/>
          <w:szCs w:val="24"/>
        </w:rPr>
      </w:pPr>
      <w:r w:rsidRPr="0031731E">
        <w:rPr>
          <w:rFonts w:ascii="Gadugi" w:eastAsia="Georgia" w:hAnsi="Gadugi" w:cs="Georgia"/>
          <w:sz w:val="24"/>
          <w:szCs w:val="24"/>
        </w:rPr>
        <w:t xml:space="preserve">Expediente:  </w:t>
      </w:r>
      <w:r w:rsidRPr="0031731E">
        <w:rPr>
          <w:rFonts w:ascii="Gadugi" w:eastAsia="Georgia" w:hAnsi="Gadugi" w:cs="Georgia"/>
          <w:sz w:val="24"/>
          <w:szCs w:val="24"/>
        </w:rPr>
        <w:tab/>
      </w:r>
      <w:r w:rsidRPr="0031731E">
        <w:rPr>
          <w:rFonts w:ascii="Gadugi" w:eastAsia="Georgia" w:hAnsi="Gadugi" w:cs="Georgia"/>
          <w:sz w:val="24"/>
          <w:szCs w:val="24"/>
          <w:highlight w:val="white"/>
        </w:rPr>
        <w:t>66001310300220200022101</w:t>
      </w:r>
    </w:p>
    <w:p w14:paraId="4E952A86" w14:textId="2A725BBC" w:rsidR="00A75620" w:rsidRPr="0031731E" w:rsidRDefault="00957861" w:rsidP="0031731E">
      <w:pPr>
        <w:tabs>
          <w:tab w:val="left" w:pos="3686"/>
          <w:tab w:val="left" w:pos="4536"/>
        </w:tabs>
        <w:spacing w:line="240" w:lineRule="auto"/>
        <w:ind w:firstLine="1701"/>
        <w:jc w:val="both"/>
        <w:rPr>
          <w:rFonts w:ascii="Gadugi" w:eastAsia="Georgia" w:hAnsi="Gadugi" w:cs="Georgia"/>
          <w:sz w:val="24"/>
          <w:szCs w:val="24"/>
        </w:rPr>
      </w:pPr>
      <w:r w:rsidRPr="0031731E">
        <w:rPr>
          <w:rFonts w:ascii="Gadugi" w:eastAsia="Georgia" w:hAnsi="Gadugi" w:cs="Georgia"/>
          <w:sz w:val="24"/>
          <w:szCs w:val="24"/>
        </w:rPr>
        <w:t xml:space="preserve">Proceso: </w:t>
      </w:r>
      <w:r w:rsidRPr="0031731E">
        <w:rPr>
          <w:rFonts w:ascii="Gadugi" w:eastAsia="Georgia" w:hAnsi="Gadugi" w:cs="Georgia"/>
          <w:sz w:val="24"/>
          <w:szCs w:val="24"/>
        </w:rPr>
        <w:tab/>
      </w:r>
      <w:r w:rsidRPr="0031731E">
        <w:rPr>
          <w:rFonts w:ascii="Gadugi" w:eastAsia="Georgia" w:hAnsi="Gadugi" w:cs="Georgia"/>
          <w:sz w:val="24"/>
          <w:szCs w:val="24"/>
          <w:highlight w:val="white"/>
        </w:rPr>
        <w:t xml:space="preserve">Impugnación </w:t>
      </w:r>
      <w:r w:rsidR="00F70FB5" w:rsidRPr="0031731E">
        <w:rPr>
          <w:rFonts w:ascii="Gadugi" w:eastAsia="Georgia" w:hAnsi="Gadugi" w:cs="Georgia"/>
          <w:sz w:val="24"/>
          <w:szCs w:val="24"/>
          <w:highlight w:val="white"/>
        </w:rPr>
        <w:t>actas de asamblea</w:t>
      </w:r>
    </w:p>
    <w:p w14:paraId="4B8D419A" w14:textId="3813380F" w:rsidR="00A75620" w:rsidRPr="0031731E" w:rsidRDefault="00957861" w:rsidP="0031731E">
      <w:pPr>
        <w:tabs>
          <w:tab w:val="left" w:pos="3686"/>
          <w:tab w:val="left" w:pos="4536"/>
        </w:tabs>
        <w:spacing w:line="240" w:lineRule="auto"/>
        <w:ind w:firstLine="1701"/>
        <w:rPr>
          <w:rFonts w:ascii="Gadugi" w:eastAsia="Georgia" w:hAnsi="Gadugi" w:cs="Georgia"/>
          <w:sz w:val="24"/>
          <w:szCs w:val="24"/>
        </w:rPr>
      </w:pPr>
      <w:r w:rsidRPr="0031731E">
        <w:rPr>
          <w:rFonts w:ascii="Gadugi" w:eastAsia="Georgia" w:hAnsi="Gadugi" w:cs="Georgia"/>
          <w:sz w:val="24"/>
          <w:szCs w:val="24"/>
        </w:rPr>
        <w:t>Demandante:</w:t>
      </w:r>
      <w:r w:rsidRPr="0031731E">
        <w:rPr>
          <w:rFonts w:ascii="Gadugi" w:eastAsia="Georgia" w:hAnsi="Gadugi" w:cs="Georgia"/>
          <w:sz w:val="24"/>
          <w:szCs w:val="24"/>
        </w:rPr>
        <w:tab/>
      </w:r>
      <w:r w:rsidRPr="0031731E">
        <w:rPr>
          <w:rFonts w:ascii="Gadugi" w:eastAsia="Georgia" w:hAnsi="Gadugi" w:cs="Georgia"/>
          <w:sz w:val="24"/>
          <w:szCs w:val="24"/>
          <w:highlight w:val="white"/>
        </w:rPr>
        <w:t>Francisco Montes y Lida Rivera</w:t>
      </w:r>
    </w:p>
    <w:p w14:paraId="051A9282" w14:textId="77777777" w:rsidR="00A75620" w:rsidRPr="0031731E" w:rsidRDefault="00957861" w:rsidP="0031731E">
      <w:pPr>
        <w:tabs>
          <w:tab w:val="left" w:pos="3686"/>
          <w:tab w:val="left" w:pos="4536"/>
        </w:tabs>
        <w:spacing w:line="240" w:lineRule="auto"/>
        <w:ind w:firstLine="1701"/>
        <w:jc w:val="both"/>
        <w:rPr>
          <w:rFonts w:ascii="Gadugi" w:eastAsia="Georgia" w:hAnsi="Gadugi" w:cs="Georgia"/>
          <w:sz w:val="24"/>
          <w:szCs w:val="24"/>
        </w:rPr>
      </w:pPr>
      <w:r w:rsidRPr="0031731E">
        <w:rPr>
          <w:rFonts w:ascii="Gadugi" w:eastAsia="Georgia" w:hAnsi="Gadugi" w:cs="Georgia"/>
          <w:sz w:val="24"/>
          <w:szCs w:val="24"/>
        </w:rPr>
        <w:t>Demandado:</w:t>
      </w:r>
      <w:r w:rsidRPr="0031731E">
        <w:rPr>
          <w:rFonts w:ascii="Gadugi" w:eastAsia="Georgia" w:hAnsi="Gadugi" w:cs="Georgia"/>
          <w:sz w:val="24"/>
          <w:szCs w:val="24"/>
        </w:rPr>
        <w:tab/>
      </w:r>
      <w:r w:rsidRPr="0031731E">
        <w:rPr>
          <w:rFonts w:ascii="Gadugi" w:eastAsia="Georgia" w:hAnsi="Gadugi" w:cs="Georgia"/>
          <w:sz w:val="24"/>
          <w:szCs w:val="24"/>
          <w:highlight w:val="white"/>
        </w:rPr>
        <w:t>Conjunto Residencial Primavera P.H.</w:t>
      </w:r>
    </w:p>
    <w:p w14:paraId="6773255E" w14:textId="3A6AD4F2" w:rsidR="00A75620" w:rsidRPr="0031731E" w:rsidRDefault="00957861" w:rsidP="0031731E">
      <w:pPr>
        <w:tabs>
          <w:tab w:val="left" w:pos="3686"/>
          <w:tab w:val="left" w:pos="4536"/>
        </w:tabs>
        <w:spacing w:line="240" w:lineRule="auto"/>
        <w:ind w:firstLine="1701"/>
        <w:jc w:val="both"/>
        <w:rPr>
          <w:rFonts w:ascii="Gadugi" w:eastAsia="Georgia" w:hAnsi="Gadugi" w:cs="Georgia"/>
          <w:sz w:val="24"/>
          <w:szCs w:val="24"/>
        </w:rPr>
      </w:pPr>
      <w:r w:rsidRPr="0031731E">
        <w:rPr>
          <w:rFonts w:ascii="Gadugi" w:eastAsia="Georgia" w:hAnsi="Gadugi" w:cs="Georgia"/>
          <w:sz w:val="24"/>
          <w:szCs w:val="24"/>
        </w:rPr>
        <w:t xml:space="preserve">Acta Nro. </w:t>
      </w:r>
      <w:r w:rsidRPr="0031731E">
        <w:rPr>
          <w:rFonts w:ascii="Gadugi" w:eastAsia="Georgia" w:hAnsi="Gadugi" w:cs="Georgia"/>
          <w:sz w:val="24"/>
          <w:szCs w:val="24"/>
        </w:rPr>
        <w:tab/>
      </w:r>
      <w:r w:rsidR="007E6802" w:rsidRPr="0031731E">
        <w:rPr>
          <w:rFonts w:ascii="Gadugi" w:eastAsia="Georgia" w:hAnsi="Gadugi" w:cs="Georgia"/>
          <w:sz w:val="24"/>
          <w:szCs w:val="24"/>
        </w:rPr>
        <w:t>287 del 13 de junio de 2023</w:t>
      </w:r>
      <w:r w:rsidRPr="0031731E">
        <w:rPr>
          <w:rFonts w:ascii="Gadugi" w:eastAsia="Georgia" w:hAnsi="Gadugi" w:cs="Georgia"/>
          <w:sz w:val="24"/>
          <w:szCs w:val="24"/>
        </w:rPr>
        <w:tab/>
      </w:r>
    </w:p>
    <w:p w14:paraId="4F7E3E69" w14:textId="77777777" w:rsidR="00A75620" w:rsidRPr="0031731E" w:rsidRDefault="00A75620" w:rsidP="0031731E">
      <w:pPr>
        <w:tabs>
          <w:tab w:val="left" w:pos="3686"/>
          <w:tab w:val="left" w:pos="4536"/>
        </w:tabs>
        <w:ind w:firstLine="1701"/>
        <w:jc w:val="both"/>
        <w:rPr>
          <w:rFonts w:ascii="Gadugi" w:eastAsia="Georgia" w:hAnsi="Gadugi" w:cs="Georgia"/>
          <w:sz w:val="24"/>
          <w:szCs w:val="24"/>
        </w:rPr>
      </w:pPr>
    </w:p>
    <w:p w14:paraId="07F435CA" w14:textId="0DA38374" w:rsidR="00A75620" w:rsidRPr="00D20882" w:rsidRDefault="00957861" w:rsidP="0031731E">
      <w:pPr>
        <w:tabs>
          <w:tab w:val="left" w:pos="3686"/>
          <w:tab w:val="left" w:pos="4536"/>
        </w:tabs>
        <w:jc w:val="both"/>
        <w:rPr>
          <w:rFonts w:ascii="Gadugi" w:eastAsia="Georgia" w:hAnsi="Gadugi" w:cs="Georgia"/>
          <w:b/>
          <w:spacing w:val="-4"/>
          <w:sz w:val="24"/>
          <w:szCs w:val="24"/>
        </w:rPr>
      </w:pPr>
      <w:r w:rsidRPr="00D20882">
        <w:rPr>
          <w:rFonts w:ascii="Gadugi" w:eastAsia="Georgia" w:hAnsi="Gadugi" w:cs="Georgia"/>
          <w:spacing w:val="-4"/>
          <w:sz w:val="24"/>
          <w:szCs w:val="24"/>
        </w:rPr>
        <w:t>Resuelve la Sala el recurso de apelación interpuesto co</w:t>
      </w:r>
      <w:r w:rsidR="00125D46" w:rsidRPr="00D20882">
        <w:rPr>
          <w:rFonts w:ascii="Gadugi" w:eastAsia="Georgia" w:hAnsi="Gadugi" w:cs="Georgia"/>
          <w:spacing w:val="-4"/>
          <w:sz w:val="24"/>
          <w:szCs w:val="24"/>
        </w:rPr>
        <w:t xml:space="preserve">ntra la sentencia proferida </w:t>
      </w:r>
      <w:r w:rsidRPr="00D20882">
        <w:rPr>
          <w:rFonts w:ascii="Gadugi" w:eastAsia="Georgia" w:hAnsi="Gadugi" w:cs="Georgia"/>
          <w:spacing w:val="-4"/>
          <w:sz w:val="24"/>
          <w:szCs w:val="24"/>
        </w:rPr>
        <w:t>el</w:t>
      </w:r>
      <w:r w:rsidR="0054241F" w:rsidRPr="00D20882">
        <w:rPr>
          <w:rFonts w:ascii="Gadugi" w:eastAsia="Georgia" w:hAnsi="Gadugi" w:cs="Georgia"/>
          <w:spacing w:val="-4"/>
          <w:sz w:val="24"/>
          <w:szCs w:val="24"/>
        </w:rPr>
        <w:t xml:space="preserve"> 21 de enero de 2022 por el </w:t>
      </w:r>
      <w:r w:rsidRPr="00D20882">
        <w:rPr>
          <w:rFonts w:ascii="Gadugi" w:eastAsia="Georgia" w:hAnsi="Gadugi" w:cs="Georgia"/>
          <w:spacing w:val="-4"/>
          <w:sz w:val="24"/>
          <w:szCs w:val="24"/>
        </w:rPr>
        <w:t xml:space="preserve">Juzgado </w:t>
      </w:r>
      <w:r w:rsidR="0054241F" w:rsidRPr="00D20882">
        <w:rPr>
          <w:rFonts w:ascii="Gadugi" w:eastAsia="Georgia" w:hAnsi="Gadugi" w:cs="Georgia"/>
          <w:spacing w:val="-4"/>
          <w:sz w:val="24"/>
          <w:szCs w:val="24"/>
        </w:rPr>
        <w:t>S</w:t>
      </w:r>
      <w:r w:rsidRPr="00D20882">
        <w:rPr>
          <w:rFonts w:ascii="Gadugi" w:eastAsia="Georgia" w:hAnsi="Gadugi" w:cs="Georgia"/>
          <w:spacing w:val="-4"/>
          <w:sz w:val="24"/>
          <w:szCs w:val="24"/>
        </w:rPr>
        <w:t xml:space="preserve">egundo del </w:t>
      </w:r>
      <w:r w:rsidR="0054241F" w:rsidRPr="00D20882">
        <w:rPr>
          <w:rFonts w:ascii="Gadugi" w:eastAsia="Georgia" w:hAnsi="Gadugi" w:cs="Georgia"/>
          <w:spacing w:val="-4"/>
          <w:sz w:val="24"/>
          <w:szCs w:val="24"/>
        </w:rPr>
        <w:t>C</w:t>
      </w:r>
      <w:r w:rsidRPr="00D20882">
        <w:rPr>
          <w:rFonts w:ascii="Gadugi" w:eastAsia="Georgia" w:hAnsi="Gadugi" w:cs="Georgia"/>
          <w:spacing w:val="-4"/>
          <w:sz w:val="24"/>
          <w:szCs w:val="24"/>
        </w:rPr>
        <w:t>ircuito de Pereira - Risaralda, en este proc</w:t>
      </w:r>
      <w:r w:rsidR="00F70FB5" w:rsidRPr="00D20882">
        <w:rPr>
          <w:rFonts w:ascii="Gadugi" w:eastAsia="Georgia" w:hAnsi="Gadugi" w:cs="Georgia"/>
          <w:spacing w:val="-4"/>
          <w:sz w:val="24"/>
          <w:szCs w:val="24"/>
        </w:rPr>
        <w:t>eso verbal de</w:t>
      </w:r>
      <w:r w:rsidR="00F70FB5" w:rsidRPr="00D20882">
        <w:rPr>
          <w:rFonts w:ascii="Gadugi" w:eastAsia="Georgia" w:hAnsi="Gadugi" w:cs="Georgia"/>
          <w:b/>
          <w:spacing w:val="-4"/>
          <w:sz w:val="24"/>
          <w:szCs w:val="24"/>
        </w:rPr>
        <w:t xml:space="preserve"> i</w:t>
      </w:r>
      <w:r w:rsidRPr="00D20882">
        <w:rPr>
          <w:rFonts w:ascii="Gadugi" w:eastAsia="Georgia" w:hAnsi="Gadugi" w:cs="Georgia"/>
          <w:b/>
          <w:spacing w:val="-4"/>
          <w:sz w:val="24"/>
          <w:szCs w:val="24"/>
        </w:rPr>
        <w:t xml:space="preserve">mpugnación </w:t>
      </w:r>
      <w:r w:rsidR="00F70FB5" w:rsidRPr="00D20882">
        <w:rPr>
          <w:rFonts w:ascii="Gadugi" w:eastAsia="Georgia" w:hAnsi="Gadugi" w:cs="Georgia"/>
          <w:b/>
          <w:spacing w:val="-4"/>
          <w:sz w:val="24"/>
          <w:szCs w:val="24"/>
        </w:rPr>
        <w:t xml:space="preserve">de </w:t>
      </w:r>
      <w:r w:rsidRPr="00D20882">
        <w:rPr>
          <w:rFonts w:ascii="Gadugi" w:eastAsia="Georgia" w:hAnsi="Gadugi" w:cs="Georgia"/>
          <w:b/>
          <w:spacing w:val="-4"/>
          <w:sz w:val="24"/>
          <w:szCs w:val="24"/>
        </w:rPr>
        <w:t>act</w:t>
      </w:r>
      <w:r w:rsidR="00E674E0" w:rsidRPr="00D20882">
        <w:rPr>
          <w:rFonts w:ascii="Gadugi" w:eastAsia="Georgia" w:hAnsi="Gadugi" w:cs="Georgia"/>
          <w:b/>
          <w:spacing w:val="-4"/>
          <w:sz w:val="24"/>
          <w:szCs w:val="24"/>
        </w:rPr>
        <w:t>o</w:t>
      </w:r>
      <w:r w:rsidRPr="00D20882">
        <w:rPr>
          <w:rFonts w:ascii="Gadugi" w:eastAsia="Georgia" w:hAnsi="Gadugi" w:cs="Georgia"/>
          <w:b/>
          <w:spacing w:val="-4"/>
          <w:sz w:val="24"/>
          <w:szCs w:val="24"/>
        </w:rPr>
        <w:t xml:space="preserve">s de </w:t>
      </w:r>
      <w:r w:rsidR="00F70FB5" w:rsidRPr="00D20882">
        <w:rPr>
          <w:rFonts w:ascii="Gadugi" w:eastAsia="Georgia" w:hAnsi="Gadugi" w:cs="Georgia"/>
          <w:b/>
          <w:spacing w:val="-4"/>
          <w:sz w:val="24"/>
          <w:szCs w:val="24"/>
        </w:rPr>
        <w:t>a</w:t>
      </w:r>
      <w:r w:rsidRPr="00D20882">
        <w:rPr>
          <w:rFonts w:ascii="Gadugi" w:eastAsia="Georgia" w:hAnsi="Gadugi" w:cs="Georgia"/>
          <w:b/>
          <w:spacing w:val="-4"/>
          <w:sz w:val="24"/>
          <w:szCs w:val="24"/>
        </w:rPr>
        <w:t>samblea</w:t>
      </w:r>
      <w:r w:rsidR="00427739" w:rsidRPr="00D20882">
        <w:rPr>
          <w:rFonts w:ascii="Gadugi" w:eastAsia="Georgia" w:hAnsi="Gadugi" w:cs="Georgia"/>
          <w:spacing w:val="-4"/>
          <w:sz w:val="24"/>
          <w:szCs w:val="24"/>
        </w:rPr>
        <w:t>,</w:t>
      </w:r>
      <w:r w:rsidRPr="00D20882">
        <w:rPr>
          <w:rFonts w:ascii="Gadugi" w:eastAsia="Georgia" w:hAnsi="Gadugi" w:cs="Georgia"/>
          <w:spacing w:val="-4"/>
          <w:sz w:val="24"/>
          <w:szCs w:val="24"/>
        </w:rPr>
        <w:t xml:space="preserve"> </w:t>
      </w:r>
      <w:r w:rsidR="0054241F" w:rsidRPr="00D20882">
        <w:rPr>
          <w:rFonts w:ascii="Gadugi" w:eastAsia="Georgia" w:hAnsi="Gadugi" w:cs="Georgia"/>
          <w:spacing w:val="-4"/>
          <w:sz w:val="24"/>
          <w:szCs w:val="24"/>
        </w:rPr>
        <w:t xml:space="preserve">adelantado </w:t>
      </w:r>
      <w:r w:rsidRPr="00D20882">
        <w:rPr>
          <w:rFonts w:ascii="Gadugi" w:eastAsia="Georgia" w:hAnsi="Gadugi" w:cs="Georgia"/>
          <w:spacing w:val="-4"/>
          <w:sz w:val="24"/>
          <w:szCs w:val="24"/>
        </w:rPr>
        <w:t xml:space="preserve">por </w:t>
      </w:r>
      <w:r w:rsidRPr="00D20882">
        <w:rPr>
          <w:rFonts w:ascii="Gadugi" w:eastAsia="Georgia" w:hAnsi="Gadugi" w:cs="Georgia"/>
          <w:b/>
          <w:spacing w:val="-4"/>
          <w:sz w:val="24"/>
          <w:szCs w:val="24"/>
          <w:highlight w:val="white"/>
        </w:rPr>
        <w:t xml:space="preserve">Francisco </w:t>
      </w:r>
      <w:r w:rsidR="0054241F" w:rsidRPr="00D20882">
        <w:rPr>
          <w:rFonts w:ascii="Gadugi" w:eastAsia="Georgia" w:hAnsi="Gadugi" w:cs="Georgia"/>
          <w:b/>
          <w:spacing w:val="-4"/>
          <w:sz w:val="24"/>
          <w:szCs w:val="24"/>
          <w:highlight w:val="white"/>
        </w:rPr>
        <w:t xml:space="preserve">Andrés </w:t>
      </w:r>
      <w:r w:rsidRPr="00D20882">
        <w:rPr>
          <w:rFonts w:ascii="Gadugi" w:eastAsia="Georgia" w:hAnsi="Gadugi" w:cs="Georgia"/>
          <w:b/>
          <w:spacing w:val="-4"/>
          <w:sz w:val="24"/>
          <w:szCs w:val="24"/>
          <w:highlight w:val="white"/>
        </w:rPr>
        <w:t>Montes</w:t>
      </w:r>
      <w:r w:rsidR="0054241F" w:rsidRPr="00D20882">
        <w:rPr>
          <w:rFonts w:ascii="Gadugi" w:eastAsia="Georgia" w:hAnsi="Gadugi" w:cs="Georgia"/>
          <w:b/>
          <w:spacing w:val="-4"/>
          <w:sz w:val="24"/>
          <w:szCs w:val="24"/>
          <w:highlight w:val="white"/>
        </w:rPr>
        <w:t xml:space="preserve"> Giraldo </w:t>
      </w:r>
      <w:r w:rsidR="00F70FB5" w:rsidRPr="00D20882">
        <w:rPr>
          <w:rFonts w:ascii="Gadugi" w:eastAsia="Georgia" w:hAnsi="Gadugi" w:cs="Georgia"/>
          <w:spacing w:val="-4"/>
          <w:sz w:val="24"/>
          <w:szCs w:val="24"/>
          <w:highlight w:val="white"/>
        </w:rPr>
        <w:t xml:space="preserve">y </w:t>
      </w:r>
      <w:r w:rsidRPr="00D20882">
        <w:rPr>
          <w:rFonts w:ascii="Gadugi" w:eastAsia="Georgia" w:hAnsi="Gadugi" w:cs="Georgia"/>
          <w:b/>
          <w:spacing w:val="-4"/>
          <w:sz w:val="24"/>
          <w:szCs w:val="24"/>
          <w:highlight w:val="white"/>
        </w:rPr>
        <w:t xml:space="preserve">Lida </w:t>
      </w:r>
      <w:r w:rsidR="0054241F" w:rsidRPr="00D20882">
        <w:rPr>
          <w:rFonts w:ascii="Gadugi" w:eastAsia="Georgia" w:hAnsi="Gadugi" w:cs="Georgia"/>
          <w:b/>
          <w:spacing w:val="-4"/>
          <w:sz w:val="24"/>
          <w:szCs w:val="24"/>
          <w:highlight w:val="white"/>
        </w:rPr>
        <w:t xml:space="preserve">Salazar </w:t>
      </w:r>
      <w:r w:rsidRPr="00D20882">
        <w:rPr>
          <w:rFonts w:ascii="Gadugi" w:eastAsia="Georgia" w:hAnsi="Gadugi" w:cs="Georgia"/>
          <w:b/>
          <w:spacing w:val="-4"/>
          <w:sz w:val="24"/>
          <w:szCs w:val="24"/>
          <w:highlight w:val="white"/>
        </w:rPr>
        <w:t>Rivera</w:t>
      </w:r>
      <w:r w:rsidRPr="00D20882">
        <w:rPr>
          <w:rFonts w:ascii="Gadugi" w:eastAsia="Georgia" w:hAnsi="Gadugi" w:cs="Georgia"/>
          <w:b/>
          <w:spacing w:val="-4"/>
          <w:sz w:val="24"/>
          <w:szCs w:val="24"/>
        </w:rPr>
        <w:t xml:space="preserve"> </w:t>
      </w:r>
      <w:r w:rsidRPr="00D20882">
        <w:rPr>
          <w:rFonts w:ascii="Gadugi" w:eastAsia="Georgia" w:hAnsi="Gadugi" w:cs="Georgia"/>
          <w:spacing w:val="-4"/>
          <w:sz w:val="24"/>
          <w:szCs w:val="24"/>
        </w:rPr>
        <w:t>frente a</w:t>
      </w:r>
      <w:r w:rsidR="00F70FB5" w:rsidRPr="00D20882">
        <w:rPr>
          <w:rFonts w:ascii="Gadugi" w:eastAsia="Georgia" w:hAnsi="Gadugi" w:cs="Georgia"/>
          <w:spacing w:val="-4"/>
          <w:sz w:val="24"/>
          <w:szCs w:val="24"/>
        </w:rPr>
        <w:t>l</w:t>
      </w:r>
      <w:r w:rsidRPr="00D20882">
        <w:rPr>
          <w:rFonts w:ascii="Gadugi" w:eastAsia="Georgia" w:hAnsi="Gadugi" w:cs="Georgia"/>
          <w:spacing w:val="-4"/>
          <w:sz w:val="24"/>
          <w:szCs w:val="24"/>
        </w:rPr>
        <w:t xml:space="preserve"> </w:t>
      </w:r>
      <w:r w:rsidRPr="00D20882">
        <w:rPr>
          <w:rFonts w:ascii="Gadugi" w:eastAsia="Georgia" w:hAnsi="Gadugi" w:cs="Georgia"/>
          <w:b/>
          <w:spacing w:val="-4"/>
          <w:sz w:val="24"/>
          <w:szCs w:val="24"/>
          <w:highlight w:val="white"/>
        </w:rPr>
        <w:t>Conjunto Residencial Primavera P.H.</w:t>
      </w:r>
    </w:p>
    <w:p w14:paraId="3EC029F9" w14:textId="77777777" w:rsidR="00A75620" w:rsidRPr="00D20882" w:rsidRDefault="00A75620" w:rsidP="0031731E">
      <w:pPr>
        <w:tabs>
          <w:tab w:val="left" w:pos="3686"/>
          <w:tab w:val="left" w:pos="4536"/>
        </w:tabs>
        <w:jc w:val="both"/>
        <w:rPr>
          <w:rFonts w:ascii="Gadugi" w:eastAsia="Georgia" w:hAnsi="Gadugi" w:cs="Georgia"/>
          <w:spacing w:val="-4"/>
          <w:sz w:val="24"/>
          <w:szCs w:val="24"/>
        </w:rPr>
      </w:pPr>
    </w:p>
    <w:p w14:paraId="0243D1FD" w14:textId="77777777" w:rsidR="00A75620" w:rsidRPr="00D20882" w:rsidRDefault="00957861" w:rsidP="0031731E">
      <w:pPr>
        <w:numPr>
          <w:ilvl w:val="0"/>
          <w:numId w:val="1"/>
        </w:numPr>
        <w:pBdr>
          <w:top w:val="nil"/>
          <w:left w:val="nil"/>
          <w:bottom w:val="nil"/>
          <w:right w:val="nil"/>
          <w:between w:val="nil"/>
        </w:pBdr>
        <w:tabs>
          <w:tab w:val="left" w:pos="3686"/>
          <w:tab w:val="left" w:pos="4536"/>
        </w:tabs>
        <w:ind w:left="426" w:hanging="426"/>
        <w:rPr>
          <w:rFonts w:ascii="Gadugi" w:eastAsia="Georgia" w:hAnsi="Gadugi" w:cs="Georgia"/>
          <w:b/>
          <w:color w:val="000000"/>
          <w:spacing w:val="-4"/>
          <w:sz w:val="24"/>
          <w:szCs w:val="24"/>
        </w:rPr>
      </w:pPr>
      <w:r w:rsidRPr="00D20882">
        <w:rPr>
          <w:rFonts w:ascii="Gadugi" w:eastAsia="Georgia" w:hAnsi="Gadugi" w:cs="Georgia"/>
          <w:b/>
          <w:color w:val="000000"/>
          <w:spacing w:val="-4"/>
          <w:sz w:val="24"/>
          <w:szCs w:val="24"/>
        </w:rPr>
        <w:t>ANTECEDENTES</w:t>
      </w:r>
    </w:p>
    <w:p w14:paraId="7EDB94F3" w14:textId="77777777" w:rsidR="00A75620" w:rsidRPr="00D20882" w:rsidRDefault="00A75620" w:rsidP="0031731E">
      <w:pPr>
        <w:tabs>
          <w:tab w:val="left" w:pos="3686"/>
          <w:tab w:val="left" w:pos="4536"/>
        </w:tabs>
        <w:ind w:left="360"/>
        <w:rPr>
          <w:rFonts w:ascii="Gadugi" w:eastAsia="Georgia" w:hAnsi="Gadugi" w:cs="Georgia"/>
          <w:b/>
          <w:spacing w:val="-4"/>
          <w:sz w:val="24"/>
          <w:szCs w:val="24"/>
        </w:rPr>
      </w:pPr>
    </w:p>
    <w:p w14:paraId="5CA7EC6B" w14:textId="77777777" w:rsidR="00A75620" w:rsidRPr="00D20882" w:rsidRDefault="00957861" w:rsidP="0031731E">
      <w:pPr>
        <w:pBdr>
          <w:top w:val="nil"/>
          <w:left w:val="nil"/>
          <w:bottom w:val="nil"/>
          <w:right w:val="nil"/>
          <w:between w:val="nil"/>
        </w:pBdr>
        <w:tabs>
          <w:tab w:val="left" w:pos="3686"/>
          <w:tab w:val="left" w:pos="4536"/>
        </w:tabs>
        <w:rPr>
          <w:rFonts w:ascii="Gadugi" w:eastAsia="Georgia" w:hAnsi="Gadugi" w:cs="Georgia"/>
          <w:b/>
          <w:spacing w:val="-4"/>
          <w:sz w:val="24"/>
          <w:szCs w:val="24"/>
          <w:u w:val="single"/>
        </w:rPr>
      </w:pPr>
      <w:r w:rsidRPr="00D20882">
        <w:rPr>
          <w:rFonts w:ascii="Gadugi" w:eastAsia="Georgia" w:hAnsi="Gadugi" w:cs="Georgia"/>
          <w:b/>
          <w:spacing w:val="-4"/>
          <w:sz w:val="24"/>
          <w:szCs w:val="24"/>
        </w:rPr>
        <w:lastRenderedPageBreak/>
        <w:t xml:space="preserve">1.1. </w:t>
      </w:r>
      <w:r w:rsidRPr="00D20882">
        <w:rPr>
          <w:rFonts w:ascii="Gadugi" w:eastAsia="Georgia" w:hAnsi="Gadugi" w:cs="Georgia"/>
          <w:b/>
          <w:color w:val="000000"/>
          <w:spacing w:val="-4"/>
          <w:sz w:val="24"/>
          <w:szCs w:val="24"/>
        </w:rPr>
        <w:t xml:space="preserve"> Hechos</w:t>
      </w:r>
      <w:r w:rsidRPr="00D20882">
        <w:rPr>
          <w:rFonts w:ascii="Gadugi" w:eastAsia="Georgia" w:hAnsi="Gadugi" w:cs="Georgia"/>
          <w:b/>
          <w:color w:val="000000"/>
          <w:spacing w:val="-4"/>
          <w:sz w:val="24"/>
          <w:szCs w:val="24"/>
          <w:vertAlign w:val="superscript"/>
        </w:rPr>
        <w:footnoteReference w:id="2"/>
      </w:r>
    </w:p>
    <w:p w14:paraId="3125B9FC" w14:textId="77777777" w:rsidR="00A75620" w:rsidRPr="00D20882" w:rsidRDefault="00A75620" w:rsidP="0031731E">
      <w:pPr>
        <w:pBdr>
          <w:top w:val="nil"/>
          <w:left w:val="nil"/>
          <w:bottom w:val="nil"/>
          <w:right w:val="nil"/>
          <w:between w:val="nil"/>
        </w:pBdr>
        <w:tabs>
          <w:tab w:val="left" w:pos="3686"/>
          <w:tab w:val="left" w:pos="4536"/>
        </w:tabs>
        <w:rPr>
          <w:rFonts w:ascii="Gadugi" w:eastAsia="Georgia" w:hAnsi="Gadugi" w:cs="Georgia"/>
          <w:spacing w:val="-4"/>
          <w:sz w:val="24"/>
          <w:szCs w:val="24"/>
        </w:rPr>
      </w:pPr>
    </w:p>
    <w:p w14:paraId="6E617A71" w14:textId="6CEE67EB" w:rsidR="00F279BA" w:rsidRPr="00D20882" w:rsidRDefault="0054241F" w:rsidP="0031731E">
      <w:pPr>
        <w:pBdr>
          <w:top w:val="nil"/>
          <w:left w:val="nil"/>
          <w:bottom w:val="nil"/>
          <w:right w:val="nil"/>
          <w:between w:val="nil"/>
        </w:pBdr>
        <w:tabs>
          <w:tab w:val="left" w:pos="3686"/>
          <w:tab w:val="left" w:pos="4536"/>
        </w:tabs>
        <w:jc w:val="both"/>
        <w:rPr>
          <w:rFonts w:ascii="Gadugi" w:eastAsia="Georgia" w:hAnsi="Gadugi" w:cs="Georgia"/>
          <w:spacing w:val="-4"/>
          <w:sz w:val="24"/>
          <w:szCs w:val="24"/>
          <w:lang w:val="es-CO"/>
        </w:rPr>
      </w:pPr>
      <w:r w:rsidRPr="00D20882">
        <w:rPr>
          <w:rFonts w:ascii="Gadugi" w:eastAsia="Georgia" w:hAnsi="Gadugi" w:cs="Georgia"/>
          <w:spacing w:val="-4"/>
          <w:sz w:val="24"/>
          <w:szCs w:val="24"/>
          <w:lang w:val="es-CO"/>
        </w:rPr>
        <w:t>Narra</w:t>
      </w:r>
      <w:r w:rsidR="002C238F" w:rsidRPr="00D20882">
        <w:rPr>
          <w:rFonts w:ascii="Gadugi" w:eastAsia="Georgia" w:hAnsi="Gadugi" w:cs="Georgia"/>
          <w:spacing w:val="-4"/>
          <w:sz w:val="24"/>
          <w:szCs w:val="24"/>
          <w:lang w:val="es-CO"/>
        </w:rPr>
        <w:t>n</w:t>
      </w:r>
      <w:r w:rsidRPr="00D20882">
        <w:rPr>
          <w:rFonts w:ascii="Gadugi" w:eastAsia="Georgia" w:hAnsi="Gadugi" w:cs="Georgia"/>
          <w:spacing w:val="-4"/>
          <w:sz w:val="24"/>
          <w:szCs w:val="24"/>
          <w:lang w:val="es-CO"/>
        </w:rPr>
        <w:t xml:space="preserve"> l</w:t>
      </w:r>
      <w:r w:rsidR="002C238F" w:rsidRPr="00D20882">
        <w:rPr>
          <w:rFonts w:ascii="Gadugi" w:eastAsia="Georgia" w:hAnsi="Gadugi" w:cs="Georgia"/>
          <w:spacing w:val="-4"/>
          <w:sz w:val="24"/>
          <w:szCs w:val="24"/>
          <w:lang w:val="es-CO"/>
        </w:rPr>
        <w:t>os</w:t>
      </w:r>
      <w:r w:rsidRPr="00D20882">
        <w:rPr>
          <w:rFonts w:ascii="Gadugi" w:eastAsia="Georgia" w:hAnsi="Gadugi" w:cs="Georgia"/>
          <w:spacing w:val="-4"/>
          <w:sz w:val="24"/>
          <w:szCs w:val="24"/>
          <w:lang w:val="es-CO"/>
        </w:rPr>
        <w:t xml:space="preserve"> demandante</w:t>
      </w:r>
      <w:r w:rsidR="002C238F" w:rsidRPr="00D20882">
        <w:rPr>
          <w:rFonts w:ascii="Gadugi" w:eastAsia="Georgia" w:hAnsi="Gadugi" w:cs="Georgia"/>
          <w:spacing w:val="-4"/>
          <w:sz w:val="24"/>
          <w:szCs w:val="24"/>
          <w:lang w:val="es-CO"/>
        </w:rPr>
        <w:t>s</w:t>
      </w:r>
      <w:r w:rsidRPr="00D20882">
        <w:rPr>
          <w:rFonts w:ascii="Gadugi" w:eastAsia="Georgia" w:hAnsi="Gadugi" w:cs="Georgia"/>
          <w:spacing w:val="-4"/>
          <w:sz w:val="24"/>
          <w:szCs w:val="24"/>
          <w:lang w:val="es-CO"/>
        </w:rPr>
        <w:t xml:space="preserve"> que el </w:t>
      </w:r>
      <w:r w:rsidR="00227748" w:rsidRPr="00D20882">
        <w:rPr>
          <w:rFonts w:ascii="Gadugi" w:eastAsia="Georgia" w:hAnsi="Gadugi" w:cs="Georgia"/>
          <w:spacing w:val="-4"/>
          <w:sz w:val="24"/>
          <w:szCs w:val="24"/>
          <w:lang w:val="es-CO"/>
        </w:rPr>
        <w:t xml:space="preserve">17 </w:t>
      </w:r>
      <w:r w:rsidRPr="00D20882">
        <w:rPr>
          <w:rFonts w:ascii="Gadugi" w:eastAsia="Georgia" w:hAnsi="Gadugi" w:cs="Georgia"/>
          <w:spacing w:val="-4"/>
          <w:sz w:val="24"/>
          <w:szCs w:val="24"/>
          <w:lang w:val="es-CO"/>
        </w:rPr>
        <w:t xml:space="preserve">de </w:t>
      </w:r>
      <w:r w:rsidR="00227748" w:rsidRPr="00D20882">
        <w:rPr>
          <w:rFonts w:ascii="Gadugi" w:eastAsia="Georgia" w:hAnsi="Gadugi" w:cs="Georgia"/>
          <w:spacing w:val="-4"/>
          <w:sz w:val="24"/>
          <w:szCs w:val="24"/>
          <w:lang w:val="es-CO"/>
        </w:rPr>
        <w:t xml:space="preserve">octubre </w:t>
      </w:r>
      <w:r w:rsidRPr="00D20882">
        <w:rPr>
          <w:rFonts w:ascii="Gadugi" w:eastAsia="Georgia" w:hAnsi="Gadugi" w:cs="Georgia"/>
          <w:spacing w:val="-4"/>
          <w:sz w:val="24"/>
          <w:szCs w:val="24"/>
          <w:lang w:val="es-CO"/>
        </w:rPr>
        <w:t>de 20</w:t>
      </w:r>
      <w:r w:rsidR="00227748" w:rsidRPr="00D20882">
        <w:rPr>
          <w:rFonts w:ascii="Gadugi" w:eastAsia="Georgia" w:hAnsi="Gadugi" w:cs="Georgia"/>
          <w:spacing w:val="-4"/>
          <w:sz w:val="24"/>
          <w:szCs w:val="24"/>
          <w:lang w:val="es-CO"/>
        </w:rPr>
        <w:t>20</w:t>
      </w:r>
      <w:r w:rsidRPr="00D20882">
        <w:rPr>
          <w:rFonts w:ascii="Gadugi" w:eastAsia="Georgia" w:hAnsi="Gadugi" w:cs="Georgia"/>
          <w:spacing w:val="-4"/>
          <w:sz w:val="24"/>
          <w:szCs w:val="24"/>
          <w:lang w:val="es-CO"/>
        </w:rPr>
        <w:t xml:space="preserve">, se constituyó </w:t>
      </w:r>
      <w:r w:rsidR="00AC2C40" w:rsidRPr="00D20882">
        <w:rPr>
          <w:rFonts w:ascii="Gadugi" w:eastAsia="Georgia" w:hAnsi="Gadugi" w:cs="Georgia"/>
          <w:spacing w:val="-4"/>
          <w:sz w:val="24"/>
          <w:szCs w:val="24"/>
          <w:lang w:val="es-CO"/>
        </w:rPr>
        <w:t xml:space="preserve">la </w:t>
      </w:r>
      <w:r w:rsidR="00F70FB5" w:rsidRPr="00D20882">
        <w:rPr>
          <w:rFonts w:ascii="Gadugi" w:eastAsia="Georgia" w:hAnsi="Gadugi" w:cs="Georgia"/>
          <w:spacing w:val="-4"/>
          <w:sz w:val="24"/>
          <w:szCs w:val="24"/>
          <w:lang w:val="es-CO"/>
        </w:rPr>
        <w:t xml:space="preserve">asamblea general ordinaria de propietarios del </w:t>
      </w:r>
      <w:r w:rsidR="002C238F" w:rsidRPr="00D20882">
        <w:rPr>
          <w:rFonts w:ascii="Gadugi" w:eastAsia="Georgia" w:hAnsi="Gadugi" w:cs="Georgia"/>
          <w:spacing w:val="-4"/>
          <w:sz w:val="24"/>
          <w:szCs w:val="24"/>
          <w:lang w:val="es-CO"/>
        </w:rPr>
        <w:t>Conjunto Residencial Primavera P.H.</w:t>
      </w:r>
      <w:r w:rsidR="00F70FB5" w:rsidRPr="00D20882">
        <w:rPr>
          <w:rFonts w:ascii="Gadugi" w:eastAsia="Georgia" w:hAnsi="Gadugi" w:cs="Georgia"/>
          <w:spacing w:val="-4"/>
          <w:sz w:val="24"/>
          <w:szCs w:val="24"/>
          <w:lang w:val="es-CO"/>
        </w:rPr>
        <w:t>; tr</w:t>
      </w:r>
      <w:r w:rsidR="003C7071" w:rsidRPr="00D20882">
        <w:rPr>
          <w:rFonts w:ascii="Gadugi" w:eastAsia="Georgia" w:hAnsi="Gadugi" w:cs="Georgia"/>
          <w:spacing w:val="-4"/>
          <w:sz w:val="24"/>
          <w:szCs w:val="24"/>
          <w:lang w:val="es-CO"/>
        </w:rPr>
        <w:t>a</w:t>
      </w:r>
      <w:r w:rsidR="00F70FB5" w:rsidRPr="00D20882">
        <w:rPr>
          <w:rFonts w:ascii="Gadugi" w:eastAsia="Georgia" w:hAnsi="Gadugi" w:cs="Georgia"/>
          <w:spacing w:val="-4"/>
          <w:sz w:val="24"/>
          <w:szCs w:val="24"/>
          <w:lang w:val="es-CO"/>
        </w:rPr>
        <w:t xml:space="preserve">nscribieron </w:t>
      </w:r>
      <w:r w:rsidR="002C238F" w:rsidRPr="00D20882">
        <w:rPr>
          <w:rFonts w:ascii="Gadugi" w:eastAsia="Georgia" w:hAnsi="Gadugi" w:cs="Georgia"/>
          <w:spacing w:val="-4"/>
          <w:sz w:val="24"/>
          <w:szCs w:val="24"/>
          <w:lang w:val="es-CO"/>
        </w:rPr>
        <w:t>parte del acta que contiene unas pr</w:t>
      </w:r>
      <w:r w:rsidR="003C7071" w:rsidRPr="00D20882">
        <w:rPr>
          <w:rFonts w:ascii="Gadugi" w:eastAsia="Georgia" w:hAnsi="Gadugi" w:cs="Georgia"/>
          <w:spacing w:val="-4"/>
          <w:sz w:val="24"/>
          <w:szCs w:val="24"/>
          <w:lang w:val="es-CO"/>
        </w:rPr>
        <w:t>o</w:t>
      </w:r>
      <w:r w:rsidR="002C238F" w:rsidRPr="00D20882">
        <w:rPr>
          <w:rFonts w:ascii="Gadugi" w:eastAsia="Georgia" w:hAnsi="Gadugi" w:cs="Georgia"/>
          <w:spacing w:val="-4"/>
          <w:sz w:val="24"/>
          <w:szCs w:val="24"/>
          <w:lang w:val="es-CO"/>
        </w:rPr>
        <w:t>posiciones aprobadas</w:t>
      </w:r>
      <w:r w:rsidR="00F70FB5" w:rsidRPr="00D20882">
        <w:rPr>
          <w:rFonts w:ascii="Gadugi" w:eastAsia="Georgia" w:hAnsi="Gadugi" w:cs="Georgia"/>
          <w:spacing w:val="-4"/>
          <w:sz w:val="24"/>
          <w:szCs w:val="24"/>
          <w:lang w:val="es-CO"/>
        </w:rPr>
        <w:t>,</w:t>
      </w:r>
      <w:r w:rsidR="002C238F" w:rsidRPr="00D20882">
        <w:rPr>
          <w:rFonts w:ascii="Gadugi" w:eastAsia="Georgia" w:hAnsi="Gadugi" w:cs="Georgia"/>
          <w:spacing w:val="-4"/>
          <w:sz w:val="24"/>
          <w:szCs w:val="24"/>
          <w:lang w:val="es-CO"/>
        </w:rPr>
        <w:t xml:space="preserve"> consistentes en el aumento de las cuotas de administración del año 2020 y las cuotas extraordinarias de pintura y seguro de áreas comunes. </w:t>
      </w:r>
    </w:p>
    <w:p w14:paraId="0A3CB821" w14:textId="77777777" w:rsidR="00F279BA" w:rsidRPr="00D20882" w:rsidRDefault="00F279BA" w:rsidP="0031731E">
      <w:pPr>
        <w:pBdr>
          <w:top w:val="nil"/>
          <w:left w:val="nil"/>
          <w:bottom w:val="nil"/>
          <w:right w:val="nil"/>
          <w:between w:val="nil"/>
        </w:pBdr>
        <w:tabs>
          <w:tab w:val="left" w:pos="3686"/>
          <w:tab w:val="left" w:pos="4536"/>
        </w:tabs>
        <w:jc w:val="both"/>
        <w:rPr>
          <w:rFonts w:ascii="Gadugi" w:eastAsia="Georgia" w:hAnsi="Gadugi" w:cs="Georgia"/>
          <w:spacing w:val="-4"/>
          <w:sz w:val="24"/>
          <w:szCs w:val="24"/>
          <w:lang w:val="es-CO"/>
        </w:rPr>
      </w:pPr>
    </w:p>
    <w:p w14:paraId="12B33C71" w14:textId="11BCB79D" w:rsidR="00F279BA" w:rsidRPr="00D20882" w:rsidRDefault="00F70FB5" w:rsidP="0031731E">
      <w:pPr>
        <w:pBdr>
          <w:top w:val="nil"/>
          <w:left w:val="nil"/>
          <w:bottom w:val="nil"/>
          <w:right w:val="nil"/>
          <w:between w:val="nil"/>
        </w:pBdr>
        <w:tabs>
          <w:tab w:val="left" w:pos="3686"/>
          <w:tab w:val="left" w:pos="4536"/>
        </w:tabs>
        <w:jc w:val="both"/>
        <w:rPr>
          <w:rFonts w:ascii="Gadugi" w:eastAsia="Georgia" w:hAnsi="Gadugi" w:cs="Georgia"/>
          <w:spacing w:val="-4"/>
          <w:sz w:val="24"/>
          <w:szCs w:val="24"/>
          <w:lang w:val="es-CO"/>
        </w:rPr>
      </w:pPr>
      <w:r w:rsidRPr="00D20882">
        <w:rPr>
          <w:rFonts w:ascii="Gadugi" w:eastAsia="Georgia" w:hAnsi="Gadugi" w:cs="Georgia"/>
          <w:spacing w:val="-4"/>
          <w:sz w:val="24"/>
          <w:szCs w:val="24"/>
          <w:lang w:val="es-CO"/>
        </w:rPr>
        <w:t>Esa</w:t>
      </w:r>
      <w:r w:rsidR="004209BB" w:rsidRPr="00D20882">
        <w:rPr>
          <w:rFonts w:ascii="Gadugi" w:eastAsia="Georgia" w:hAnsi="Gadugi" w:cs="Georgia"/>
          <w:spacing w:val="-4"/>
          <w:sz w:val="24"/>
          <w:szCs w:val="24"/>
          <w:lang w:val="es-CO"/>
        </w:rPr>
        <w:t>s</w:t>
      </w:r>
      <w:r w:rsidRPr="00D20882">
        <w:rPr>
          <w:rFonts w:ascii="Gadugi" w:eastAsia="Georgia" w:hAnsi="Gadugi" w:cs="Georgia"/>
          <w:spacing w:val="-4"/>
          <w:sz w:val="24"/>
          <w:szCs w:val="24"/>
          <w:lang w:val="es-CO"/>
        </w:rPr>
        <w:t xml:space="preserve"> decisi</w:t>
      </w:r>
      <w:r w:rsidR="004209BB" w:rsidRPr="00D20882">
        <w:rPr>
          <w:rFonts w:ascii="Gadugi" w:eastAsia="Georgia" w:hAnsi="Gadugi" w:cs="Georgia"/>
          <w:spacing w:val="-4"/>
          <w:sz w:val="24"/>
          <w:szCs w:val="24"/>
          <w:lang w:val="es-CO"/>
        </w:rPr>
        <w:t>ones</w:t>
      </w:r>
      <w:r w:rsidRPr="00D20882">
        <w:rPr>
          <w:rFonts w:ascii="Gadugi" w:eastAsia="Georgia" w:hAnsi="Gadugi" w:cs="Georgia"/>
          <w:spacing w:val="-4"/>
          <w:sz w:val="24"/>
          <w:szCs w:val="24"/>
          <w:lang w:val="es-CO"/>
        </w:rPr>
        <w:t xml:space="preserve">, dicen, </w:t>
      </w:r>
      <w:r w:rsidR="00F279BA" w:rsidRPr="00D20882">
        <w:rPr>
          <w:rFonts w:ascii="Gadugi" w:eastAsia="Georgia" w:hAnsi="Gadugi" w:cs="Georgia"/>
          <w:spacing w:val="-4"/>
          <w:sz w:val="24"/>
          <w:szCs w:val="24"/>
          <w:lang w:val="es-CO"/>
        </w:rPr>
        <w:t>no cumple</w:t>
      </w:r>
      <w:r w:rsidR="004209BB" w:rsidRPr="00D20882">
        <w:rPr>
          <w:rFonts w:ascii="Gadugi" w:eastAsia="Georgia" w:hAnsi="Gadugi" w:cs="Georgia"/>
          <w:spacing w:val="-4"/>
          <w:sz w:val="24"/>
          <w:szCs w:val="24"/>
          <w:lang w:val="es-CO"/>
        </w:rPr>
        <w:t>n</w:t>
      </w:r>
      <w:r w:rsidR="00F279BA" w:rsidRPr="00D20882">
        <w:rPr>
          <w:rFonts w:ascii="Gadugi" w:eastAsia="Georgia" w:hAnsi="Gadugi" w:cs="Georgia"/>
          <w:spacing w:val="-4"/>
          <w:sz w:val="24"/>
          <w:szCs w:val="24"/>
          <w:lang w:val="es-CO"/>
        </w:rPr>
        <w:t xml:space="preserve"> con lo dispuesto en el reglamento de propiedad horizontal </w:t>
      </w:r>
      <w:r w:rsidR="000522E0" w:rsidRPr="00D20882">
        <w:rPr>
          <w:rFonts w:ascii="Gadugi" w:eastAsia="Georgia" w:hAnsi="Gadugi" w:cs="Georgia"/>
          <w:spacing w:val="-4"/>
          <w:sz w:val="24"/>
          <w:szCs w:val="24"/>
          <w:lang w:val="es-CO"/>
        </w:rPr>
        <w:t xml:space="preserve">del Conjunto Residencial </w:t>
      </w:r>
      <w:r w:rsidR="00F279BA" w:rsidRPr="00D20882">
        <w:rPr>
          <w:rFonts w:ascii="Gadugi" w:eastAsia="Georgia" w:hAnsi="Gadugi" w:cs="Georgia"/>
          <w:spacing w:val="-4"/>
          <w:sz w:val="24"/>
          <w:szCs w:val="24"/>
          <w:lang w:val="es-CO"/>
        </w:rPr>
        <w:t xml:space="preserve">y la ley. </w:t>
      </w:r>
    </w:p>
    <w:p w14:paraId="205609F6" w14:textId="77777777" w:rsidR="00F279BA" w:rsidRPr="00D20882" w:rsidRDefault="00F279BA" w:rsidP="0031731E">
      <w:pPr>
        <w:pBdr>
          <w:top w:val="nil"/>
          <w:left w:val="nil"/>
          <w:bottom w:val="nil"/>
          <w:right w:val="nil"/>
          <w:between w:val="nil"/>
        </w:pBdr>
        <w:tabs>
          <w:tab w:val="left" w:pos="3686"/>
          <w:tab w:val="left" w:pos="4536"/>
        </w:tabs>
        <w:jc w:val="both"/>
        <w:rPr>
          <w:rFonts w:ascii="Gadugi" w:eastAsia="Georgia" w:hAnsi="Gadugi" w:cs="Georgia"/>
          <w:spacing w:val="-4"/>
          <w:sz w:val="24"/>
          <w:szCs w:val="24"/>
          <w:lang w:val="es-CO"/>
        </w:rPr>
      </w:pPr>
    </w:p>
    <w:p w14:paraId="50DDE66E" w14:textId="039B19AA" w:rsidR="002C238F" w:rsidRPr="00D20882" w:rsidRDefault="00F279BA" w:rsidP="0031731E">
      <w:pPr>
        <w:pBdr>
          <w:top w:val="nil"/>
          <w:left w:val="nil"/>
          <w:bottom w:val="nil"/>
          <w:right w:val="nil"/>
          <w:between w:val="nil"/>
        </w:pBdr>
        <w:tabs>
          <w:tab w:val="left" w:pos="3686"/>
          <w:tab w:val="left" w:pos="4536"/>
        </w:tabs>
        <w:jc w:val="both"/>
        <w:rPr>
          <w:rFonts w:ascii="Gadugi" w:eastAsia="Georgia" w:hAnsi="Gadugi" w:cs="Georgia"/>
          <w:spacing w:val="-4"/>
          <w:sz w:val="24"/>
          <w:szCs w:val="24"/>
          <w:lang w:val="es-CO"/>
        </w:rPr>
      </w:pPr>
      <w:r w:rsidRPr="00D20882">
        <w:rPr>
          <w:rFonts w:ascii="Gadugi" w:eastAsia="Georgia" w:hAnsi="Gadugi" w:cs="Georgia"/>
          <w:spacing w:val="-4"/>
          <w:sz w:val="24"/>
          <w:szCs w:val="24"/>
          <w:lang w:val="es-CO"/>
        </w:rPr>
        <w:t xml:space="preserve">Concretamente, </w:t>
      </w:r>
      <w:r w:rsidR="000522E0" w:rsidRPr="00D20882">
        <w:rPr>
          <w:rFonts w:ascii="Gadugi" w:eastAsia="Georgia" w:hAnsi="Gadugi" w:cs="Georgia"/>
          <w:spacing w:val="-4"/>
          <w:sz w:val="24"/>
          <w:szCs w:val="24"/>
          <w:lang w:val="es-CO"/>
        </w:rPr>
        <w:t>respecto de la “</w:t>
      </w:r>
      <w:r w:rsidR="000522E0" w:rsidRPr="00D20882">
        <w:rPr>
          <w:rFonts w:ascii="Gadugi" w:eastAsia="Georgia" w:hAnsi="Gadugi" w:cs="Georgia"/>
          <w:i/>
          <w:spacing w:val="-4"/>
          <w:sz w:val="24"/>
          <w:szCs w:val="24"/>
          <w:lang w:val="es-CO"/>
        </w:rPr>
        <w:t>Propuesta Cuota Extraordinaria Pintura”</w:t>
      </w:r>
      <w:r w:rsidR="000522E0" w:rsidRPr="00D20882">
        <w:rPr>
          <w:rFonts w:ascii="Gadugi" w:eastAsia="Georgia" w:hAnsi="Gadugi" w:cs="Georgia"/>
          <w:spacing w:val="-4"/>
          <w:sz w:val="24"/>
          <w:szCs w:val="24"/>
          <w:lang w:val="es-CO"/>
        </w:rPr>
        <w:t xml:space="preserve"> y “</w:t>
      </w:r>
      <w:r w:rsidR="000522E0" w:rsidRPr="00D20882">
        <w:rPr>
          <w:rFonts w:ascii="Gadugi" w:eastAsia="Georgia" w:hAnsi="Gadugi" w:cs="Georgia"/>
          <w:i/>
          <w:spacing w:val="-4"/>
          <w:sz w:val="24"/>
          <w:szCs w:val="24"/>
          <w:lang w:val="es-CO"/>
        </w:rPr>
        <w:t>Cuotas de administración 2020</w:t>
      </w:r>
      <w:r w:rsidR="000522E0" w:rsidRPr="00D20882">
        <w:rPr>
          <w:rFonts w:ascii="Gadugi" w:eastAsia="Georgia" w:hAnsi="Gadugi" w:cs="Georgia"/>
          <w:spacing w:val="-4"/>
          <w:sz w:val="24"/>
          <w:szCs w:val="24"/>
          <w:lang w:val="es-CO"/>
        </w:rPr>
        <w:t xml:space="preserve">” </w:t>
      </w:r>
      <w:r w:rsidRPr="00D20882">
        <w:rPr>
          <w:rFonts w:ascii="Gadugi" w:eastAsia="Georgia" w:hAnsi="Gadugi" w:cs="Georgia"/>
          <w:spacing w:val="-4"/>
          <w:sz w:val="24"/>
          <w:szCs w:val="24"/>
          <w:lang w:val="es-CO"/>
        </w:rPr>
        <w:t>señala</w:t>
      </w:r>
      <w:r w:rsidR="00F70FB5" w:rsidRPr="00D20882">
        <w:rPr>
          <w:rFonts w:ascii="Gadugi" w:eastAsia="Georgia" w:hAnsi="Gadugi" w:cs="Georgia"/>
          <w:spacing w:val="-4"/>
          <w:sz w:val="24"/>
          <w:szCs w:val="24"/>
          <w:lang w:val="es-CO"/>
        </w:rPr>
        <w:t>n</w:t>
      </w:r>
      <w:r w:rsidRPr="00D20882">
        <w:rPr>
          <w:rFonts w:ascii="Gadugi" w:eastAsia="Georgia" w:hAnsi="Gadugi" w:cs="Georgia"/>
          <w:spacing w:val="-4"/>
          <w:sz w:val="24"/>
          <w:szCs w:val="24"/>
          <w:lang w:val="es-CO"/>
        </w:rPr>
        <w:t xml:space="preserve"> que</w:t>
      </w:r>
      <w:r w:rsidR="000522E0" w:rsidRPr="00D20882">
        <w:rPr>
          <w:rFonts w:ascii="Gadugi" w:eastAsia="Georgia" w:hAnsi="Gadugi" w:cs="Georgia"/>
          <w:spacing w:val="-4"/>
          <w:sz w:val="24"/>
          <w:szCs w:val="24"/>
          <w:lang w:val="es-CO"/>
        </w:rPr>
        <w:t>,</w:t>
      </w:r>
      <w:r w:rsidRPr="00D20882">
        <w:rPr>
          <w:rFonts w:ascii="Gadugi" w:eastAsia="Georgia" w:hAnsi="Gadugi" w:cs="Georgia"/>
          <w:spacing w:val="-4"/>
          <w:sz w:val="24"/>
          <w:szCs w:val="24"/>
          <w:lang w:val="es-CO"/>
        </w:rPr>
        <w:t xml:space="preserve"> no figura </w:t>
      </w:r>
      <w:r w:rsidR="00F70FB5" w:rsidRPr="00D20882">
        <w:rPr>
          <w:rFonts w:ascii="Gadugi" w:eastAsia="Georgia" w:hAnsi="Gadugi" w:cs="Georgia"/>
          <w:spacing w:val="-4"/>
          <w:sz w:val="24"/>
          <w:szCs w:val="24"/>
          <w:lang w:val="es-CO"/>
        </w:rPr>
        <w:t>“</w:t>
      </w:r>
      <w:r w:rsidRPr="00D20882">
        <w:rPr>
          <w:rFonts w:ascii="Gadugi" w:eastAsia="Georgia" w:hAnsi="Gadugi" w:cs="Georgia"/>
          <w:i/>
          <w:iCs/>
          <w:spacing w:val="-4"/>
          <w:sz w:val="24"/>
          <w:szCs w:val="24"/>
          <w:lang w:val="es-CO"/>
        </w:rPr>
        <w:t>la aprobación de las cuotas para atender las expensas ordinarias o extraordinarias que le corresponde a cada inmueble</w:t>
      </w:r>
      <w:r w:rsidR="00F70FB5" w:rsidRPr="00D20882">
        <w:rPr>
          <w:rFonts w:ascii="Gadugi" w:eastAsia="Georgia" w:hAnsi="Gadugi" w:cs="Georgia"/>
          <w:i/>
          <w:iCs/>
          <w:spacing w:val="-4"/>
          <w:sz w:val="24"/>
          <w:szCs w:val="24"/>
          <w:lang w:val="es-CO"/>
        </w:rPr>
        <w:t>”</w:t>
      </w:r>
      <w:r w:rsidRPr="00D20882">
        <w:rPr>
          <w:rFonts w:ascii="Gadugi" w:eastAsia="Georgia" w:hAnsi="Gadugi" w:cs="Georgia"/>
          <w:i/>
          <w:iCs/>
          <w:spacing w:val="-4"/>
          <w:sz w:val="24"/>
          <w:szCs w:val="24"/>
          <w:lang w:val="es-CO"/>
        </w:rPr>
        <w:t>.</w:t>
      </w:r>
      <w:r w:rsidR="000522E0" w:rsidRPr="00D20882">
        <w:rPr>
          <w:rFonts w:ascii="Gadugi" w:eastAsia="Georgia" w:hAnsi="Gadugi" w:cs="Georgia"/>
          <w:spacing w:val="-4"/>
          <w:sz w:val="24"/>
          <w:szCs w:val="24"/>
          <w:lang w:val="es-CO"/>
        </w:rPr>
        <w:t xml:space="preserve"> Con relación al </w:t>
      </w:r>
      <w:r w:rsidR="000522E0" w:rsidRPr="00D20882">
        <w:rPr>
          <w:rFonts w:ascii="Gadugi" w:eastAsia="Georgia" w:hAnsi="Gadugi" w:cs="Georgia"/>
          <w:i/>
          <w:spacing w:val="-4"/>
          <w:sz w:val="24"/>
          <w:szCs w:val="24"/>
          <w:lang w:val="es-CO"/>
        </w:rPr>
        <w:t>“</w:t>
      </w:r>
      <w:r w:rsidR="000522E0" w:rsidRPr="00D20882">
        <w:rPr>
          <w:rFonts w:ascii="Gadugi" w:eastAsia="Georgia" w:hAnsi="Gadugi" w:cs="Georgia"/>
          <w:bCs/>
          <w:i/>
          <w:spacing w:val="-4"/>
          <w:sz w:val="24"/>
          <w:szCs w:val="24"/>
          <w:lang w:val="es-CO"/>
        </w:rPr>
        <w:t>Seguro de áreas comunes”</w:t>
      </w:r>
      <w:r w:rsidR="000522E0" w:rsidRPr="00D20882">
        <w:rPr>
          <w:rFonts w:ascii="Gadugi" w:eastAsia="Georgia" w:hAnsi="Gadugi" w:cs="Georgia"/>
          <w:i/>
          <w:spacing w:val="-4"/>
          <w:sz w:val="24"/>
          <w:szCs w:val="24"/>
          <w:lang w:val="es-CO"/>
        </w:rPr>
        <w:t>,</w:t>
      </w:r>
      <w:r w:rsidR="000522E0" w:rsidRPr="00D20882">
        <w:rPr>
          <w:rFonts w:ascii="Gadugi" w:eastAsia="Georgia" w:hAnsi="Gadugi" w:cs="Georgia"/>
          <w:spacing w:val="-4"/>
          <w:sz w:val="24"/>
          <w:szCs w:val="24"/>
          <w:lang w:val="es-CO"/>
        </w:rPr>
        <w:t xml:space="preserve"> </w:t>
      </w:r>
      <w:r w:rsidR="00F70FB5" w:rsidRPr="00D20882">
        <w:rPr>
          <w:rFonts w:ascii="Gadugi" w:eastAsia="Georgia" w:hAnsi="Gadugi" w:cs="Georgia"/>
          <w:spacing w:val="-4"/>
          <w:sz w:val="24"/>
          <w:szCs w:val="24"/>
          <w:lang w:val="es-CO"/>
        </w:rPr>
        <w:t>mencionan</w:t>
      </w:r>
      <w:r w:rsidR="000522E0" w:rsidRPr="00D20882">
        <w:rPr>
          <w:rFonts w:ascii="Gadugi" w:eastAsia="Georgia" w:hAnsi="Gadugi" w:cs="Georgia"/>
          <w:spacing w:val="-4"/>
          <w:sz w:val="24"/>
          <w:szCs w:val="24"/>
          <w:lang w:val="es-CO"/>
        </w:rPr>
        <w:t xml:space="preserve"> que no se encuentra incluido dentro del presupuesto anual </w:t>
      </w:r>
      <w:r w:rsidR="00F70FB5" w:rsidRPr="00D20882">
        <w:rPr>
          <w:rFonts w:ascii="Gadugi" w:eastAsia="Georgia" w:hAnsi="Gadugi" w:cs="Georgia"/>
          <w:spacing w:val="-4"/>
          <w:sz w:val="24"/>
          <w:szCs w:val="24"/>
          <w:lang w:val="es-CO"/>
        </w:rPr>
        <w:t xml:space="preserve">ni </w:t>
      </w:r>
      <w:r w:rsidR="000522E0" w:rsidRPr="00D20882">
        <w:rPr>
          <w:rFonts w:ascii="Gadugi" w:eastAsia="Georgia" w:hAnsi="Gadugi" w:cs="Georgia"/>
          <w:spacing w:val="-4"/>
          <w:sz w:val="24"/>
          <w:szCs w:val="24"/>
          <w:lang w:val="es-CO"/>
        </w:rPr>
        <w:t xml:space="preserve">define la cuota que le corresponde a cada inmueble con base en los módulos de contribución </w:t>
      </w:r>
      <w:r w:rsidR="00F70FB5" w:rsidRPr="00D20882">
        <w:rPr>
          <w:rFonts w:ascii="Gadugi" w:eastAsia="Georgia" w:hAnsi="Gadugi" w:cs="Georgia"/>
          <w:spacing w:val="-4"/>
          <w:sz w:val="24"/>
          <w:szCs w:val="24"/>
          <w:lang w:val="es-CO"/>
        </w:rPr>
        <w:t xml:space="preserve">establecidos en el </w:t>
      </w:r>
      <w:r w:rsidR="000522E0" w:rsidRPr="00D20882">
        <w:rPr>
          <w:rFonts w:ascii="Gadugi" w:eastAsia="Georgia" w:hAnsi="Gadugi" w:cs="Georgia"/>
          <w:spacing w:val="-4"/>
          <w:sz w:val="24"/>
          <w:szCs w:val="24"/>
          <w:lang w:val="es-CO"/>
        </w:rPr>
        <w:t xml:space="preserve">mencionado </w:t>
      </w:r>
      <w:r w:rsidR="00F70FB5" w:rsidRPr="00D20882">
        <w:rPr>
          <w:rFonts w:ascii="Gadugi" w:eastAsia="Georgia" w:hAnsi="Gadugi" w:cs="Georgia"/>
          <w:spacing w:val="-4"/>
          <w:sz w:val="24"/>
          <w:szCs w:val="24"/>
          <w:lang w:val="es-CO"/>
        </w:rPr>
        <w:t>r</w:t>
      </w:r>
      <w:r w:rsidR="000522E0" w:rsidRPr="00D20882">
        <w:rPr>
          <w:rFonts w:ascii="Gadugi" w:eastAsia="Georgia" w:hAnsi="Gadugi" w:cs="Georgia"/>
          <w:spacing w:val="-4"/>
          <w:sz w:val="24"/>
          <w:szCs w:val="24"/>
          <w:lang w:val="es-CO"/>
        </w:rPr>
        <w:t xml:space="preserve">eglamento.  </w:t>
      </w:r>
      <w:r w:rsidR="00CF0B60" w:rsidRPr="00D20882">
        <w:rPr>
          <w:rFonts w:ascii="Gadugi" w:eastAsia="Georgia" w:hAnsi="Gadugi" w:cs="Georgia"/>
          <w:spacing w:val="-4"/>
          <w:sz w:val="24"/>
          <w:szCs w:val="24"/>
          <w:lang w:val="es-CO"/>
        </w:rPr>
        <w:t xml:space="preserve">Y </w:t>
      </w:r>
      <w:r w:rsidR="00011F0D" w:rsidRPr="00D20882">
        <w:rPr>
          <w:rFonts w:ascii="Gadugi" w:eastAsia="Georgia" w:hAnsi="Gadugi" w:cs="Georgia"/>
          <w:spacing w:val="-4"/>
          <w:sz w:val="24"/>
          <w:szCs w:val="24"/>
          <w:lang w:val="es-CO"/>
        </w:rPr>
        <w:t>luego señalan que las expensas comunes del conjunto</w:t>
      </w:r>
      <w:r w:rsidR="000B5816" w:rsidRPr="00D20882">
        <w:rPr>
          <w:rFonts w:ascii="Gadugi" w:eastAsia="Georgia" w:hAnsi="Gadugi" w:cs="Georgia"/>
          <w:spacing w:val="-4"/>
          <w:sz w:val="24"/>
          <w:szCs w:val="24"/>
          <w:lang w:val="es-CO"/>
        </w:rPr>
        <w:t>, de acuerdo con la Ley 675 de 2001 y el reglamento</w:t>
      </w:r>
      <w:r w:rsidR="00E04103" w:rsidRPr="00D20882">
        <w:rPr>
          <w:rFonts w:ascii="Gadugi" w:eastAsia="Georgia" w:hAnsi="Gadugi" w:cs="Georgia"/>
          <w:spacing w:val="-4"/>
          <w:sz w:val="24"/>
          <w:szCs w:val="24"/>
          <w:lang w:val="es-CO"/>
        </w:rPr>
        <w:t xml:space="preserve">, se calculan con base en los módulos de contribución allí definidos. </w:t>
      </w:r>
    </w:p>
    <w:p w14:paraId="386B8EF6" w14:textId="77777777" w:rsidR="00A75620" w:rsidRPr="00D20882" w:rsidRDefault="00A75620" w:rsidP="0031731E">
      <w:pPr>
        <w:pBdr>
          <w:top w:val="nil"/>
          <w:left w:val="nil"/>
          <w:bottom w:val="nil"/>
          <w:right w:val="nil"/>
          <w:between w:val="nil"/>
        </w:pBdr>
        <w:tabs>
          <w:tab w:val="left" w:pos="3686"/>
          <w:tab w:val="left" w:pos="4536"/>
        </w:tabs>
        <w:jc w:val="both"/>
        <w:rPr>
          <w:rFonts w:ascii="Gadugi" w:eastAsia="Georgia" w:hAnsi="Gadugi" w:cs="Georgia"/>
          <w:spacing w:val="-4"/>
          <w:sz w:val="24"/>
          <w:szCs w:val="24"/>
        </w:rPr>
      </w:pPr>
    </w:p>
    <w:p w14:paraId="1158559A" w14:textId="77777777" w:rsidR="00A75620" w:rsidRPr="00D20882" w:rsidRDefault="00957861" w:rsidP="0031731E">
      <w:pPr>
        <w:pBdr>
          <w:top w:val="nil"/>
          <w:left w:val="nil"/>
          <w:bottom w:val="nil"/>
          <w:right w:val="nil"/>
          <w:between w:val="nil"/>
        </w:pBdr>
        <w:tabs>
          <w:tab w:val="left" w:pos="3686"/>
          <w:tab w:val="left" w:pos="4536"/>
        </w:tabs>
        <w:rPr>
          <w:rFonts w:ascii="Gadugi" w:eastAsia="Georgia" w:hAnsi="Gadugi" w:cs="Georgia"/>
          <w:b/>
          <w:color w:val="000000"/>
          <w:spacing w:val="-4"/>
          <w:sz w:val="24"/>
          <w:szCs w:val="24"/>
          <w:vertAlign w:val="superscript"/>
        </w:rPr>
      </w:pPr>
      <w:r w:rsidRPr="00D20882">
        <w:rPr>
          <w:rFonts w:ascii="Gadugi" w:eastAsia="Georgia" w:hAnsi="Gadugi" w:cs="Georgia"/>
          <w:b/>
          <w:spacing w:val="-4"/>
          <w:sz w:val="24"/>
          <w:szCs w:val="24"/>
        </w:rPr>
        <w:t xml:space="preserve">1.2.  </w:t>
      </w:r>
      <w:r w:rsidRPr="00D20882">
        <w:rPr>
          <w:rFonts w:ascii="Gadugi" w:eastAsia="Georgia" w:hAnsi="Gadugi" w:cs="Georgia"/>
          <w:b/>
          <w:color w:val="000000"/>
          <w:spacing w:val="-4"/>
          <w:sz w:val="24"/>
          <w:szCs w:val="24"/>
        </w:rPr>
        <w:t>Pretensiones</w:t>
      </w:r>
      <w:r w:rsidRPr="00D20882">
        <w:rPr>
          <w:rFonts w:ascii="Gadugi" w:eastAsia="Georgia" w:hAnsi="Gadugi" w:cs="Georgia"/>
          <w:b/>
          <w:color w:val="000000"/>
          <w:spacing w:val="-4"/>
          <w:sz w:val="24"/>
          <w:szCs w:val="24"/>
          <w:vertAlign w:val="superscript"/>
        </w:rPr>
        <w:footnoteReference w:id="3"/>
      </w:r>
    </w:p>
    <w:p w14:paraId="04D8AD72" w14:textId="77777777" w:rsidR="00A75620" w:rsidRPr="00D20882" w:rsidRDefault="00A75620" w:rsidP="0031731E">
      <w:pPr>
        <w:pBdr>
          <w:top w:val="nil"/>
          <w:left w:val="nil"/>
          <w:bottom w:val="nil"/>
          <w:right w:val="nil"/>
          <w:between w:val="nil"/>
        </w:pBdr>
        <w:tabs>
          <w:tab w:val="left" w:pos="3686"/>
          <w:tab w:val="left" w:pos="4536"/>
        </w:tabs>
        <w:rPr>
          <w:rFonts w:ascii="Gadugi" w:eastAsia="Georgia" w:hAnsi="Gadugi" w:cs="Georgia"/>
          <w:b/>
          <w:spacing w:val="-4"/>
          <w:sz w:val="24"/>
          <w:szCs w:val="24"/>
          <w:vertAlign w:val="superscript"/>
        </w:rPr>
      </w:pPr>
    </w:p>
    <w:p w14:paraId="394A3C59" w14:textId="0780B5E8" w:rsidR="00A75620" w:rsidRPr="00D20882" w:rsidRDefault="00264780" w:rsidP="0031731E">
      <w:pPr>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Con </w:t>
      </w:r>
      <w:r w:rsidR="00E04103" w:rsidRPr="00D20882">
        <w:rPr>
          <w:rFonts w:ascii="Gadugi" w:eastAsia="Georgia" w:hAnsi="Gadugi" w:cs="Georgia"/>
          <w:spacing w:val="-4"/>
          <w:sz w:val="24"/>
          <w:szCs w:val="24"/>
        </w:rPr>
        <w:t xml:space="preserve">apoyo en </w:t>
      </w:r>
      <w:r w:rsidRPr="00D20882">
        <w:rPr>
          <w:rFonts w:ascii="Gadugi" w:eastAsia="Georgia" w:hAnsi="Gadugi" w:cs="Georgia"/>
          <w:spacing w:val="-4"/>
          <w:sz w:val="24"/>
          <w:szCs w:val="24"/>
        </w:rPr>
        <w:t>lo relatado, pidi</w:t>
      </w:r>
      <w:r w:rsidR="00F70FB5" w:rsidRPr="00D20882">
        <w:rPr>
          <w:rFonts w:ascii="Gadugi" w:eastAsia="Georgia" w:hAnsi="Gadugi" w:cs="Georgia"/>
          <w:spacing w:val="-4"/>
          <w:sz w:val="24"/>
          <w:szCs w:val="24"/>
        </w:rPr>
        <w:t>eron</w:t>
      </w:r>
      <w:r w:rsidRPr="00D20882">
        <w:rPr>
          <w:rFonts w:ascii="Gadugi" w:eastAsia="Georgia" w:hAnsi="Gadugi" w:cs="Georgia"/>
          <w:spacing w:val="-4"/>
          <w:sz w:val="24"/>
          <w:szCs w:val="24"/>
        </w:rPr>
        <w:t xml:space="preserve"> que </w:t>
      </w:r>
      <w:r w:rsidR="00F70FB5" w:rsidRPr="00D20882">
        <w:rPr>
          <w:rFonts w:ascii="Gadugi" w:eastAsia="Georgia" w:hAnsi="Gadugi" w:cs="Georgia"/>
          <w:spacing w:val="-4"/>
          <w:sz w:val="24"/>
          <w:szCs w:val="24"/>
        </w:rPr>
        <w:t xml:space="preserve">(i) </w:t>
      </w:r>
      <w:r w:rsidRPr="00D20882">
        <w:rPr>
          <w:rFonts w:ascii="Gadugi" w:eastAsia="Georgia" w:hAnsi="Gadugi" w:cs="Georgia"/>
          <w:spacing w:val="-4"/>
          <w:sz w:val="24"/>
          <w:szCs w:val="24"/>
        </w:rPr>
        <w:t>se declar</w:t>
      </w:r>
      <w:r w:rsidR="00F70FB5" w:rsidRPr="00D20882">
        <w:rPr>
          <w:rFonts w:ascii="Gadugi" w:eastAsia="Georgia" w:hAnsi="Gadugi" w:cs="Georgia"/>
          <w:spacing w:val="-4"/>
          <w:sz w:val="24"/>
          <w:szCs w:val="24"/>
        </w:rPr>
        <w:t>ara</w:t>
      </w:r>
      <w:r w:rsidRPr="00D20882">
        <w:rPr>
          <w:rFonts w:ascii="Gadugi" w:eastAsia="Georgia" w:hAnsi="Gadugi" w:cs="Georgia"/>
          <w:spacing w:val="-4"/>
          <w:sz w:val="24"/>
          <w:szCs w:val="24"/>
        </w:rPr>
        <w:t xml:space="preserve"> </w:t>
      </w:r>
      <w:r w:rsidR="00957861" w:rsidRPr="00D20882">
        <w:rPr>
          <w:rFonts w:ascii="Gadugi" w:eastAsia="Georgia" w:hAnsi="Gadugi" w:cs="Georgia"/>
          <w:spacing w:val="-4"/>
          <w:sz w:val="24"/>
          <w:szCs w:val="24"/>
        </w:rPr>
        <w:t xml:space="preserve">ineficaz el acta de </w:t>
      </w:r>
      <w:r w:rsidR="00F70FB5" w:rsidRPr="00D20882">
        <w:rPr>
          <w:rFonts w:ascii="Gadugi" w:eastAsia="Georgia" w:hAnsi="Gadugi" w:cs="Georgia"/>
          <w:spacing w:val="-4"/>
          <w:sz w:val="24"/>
          <w:szCs w:val="24"/>
        </w:rPr>
        <w:t>la asamblea general de p</w:t>
      </w:r>
      <w:r w:rsidR="00957861" w:rsidRPr="00D20882">
        <w:rPr>
          <w:rFonts w:ascii="Gadugi" w:eastAsia="Georgia" w:hAnsi="Gadugi" w:cs="Georgia"/>
          <w:spacing w:val="-4"/>
          <w:sz w:val="24"/>
          <w:szCs w:val="24"/>
        </w:rPr>
        <w:t xml:space="preserve">ropietarios del </w:t>
      </w:r>
      <w:r w:rsidRPr="00D20882">
        <w:rPr>
          <w:rFonts w:ascii="Gadugi" w:eastAsia="Georgia" w:hAnsi="Gadugi" w:cs="Georgia"/>
          <w:spacing w:val="-4"/>
          <w:sz w:val="24"/>
          <w:szCs w:val="24"/>
        </w:rPr>
        <w:t>C</w:t>
      </w:r>
      <w:r w:rsidR="00957861" w:rsidRPr="00D20882">
        <w:rPr>
          <w:rFonts w:ascii="Gadugi" w:eastAsia="Georgia" w:hAnsi="Gadugi" w:cs="Georgia"/>
          <w:spacing w:val="-4"/>
          <w:sz w:val="24"/>
          <w:szCs w:val="24"/>
        </w:rPr>
        <w:t xml:space="preserve">onjunto Primavera P.H </w:t>
      </w:r>
      <w:r w:rsidRPr="00D20882">
        <w:rPr>
          <w:rFonts w:ascii="Gadugi" w:eastAsia="Georgia" w:hAnsi="Gadugi" w:cs="Georgia"/>
          <w:spacing w:val="-4"/>
          <w:sz w:val="24"/>
          <w:szCs w:val="24"/>
        </w:rPr>
        <w:t xml:space="preserve">del </w:t>
      </w:r>
      <w:r w:rsidR="00957861" w:rsidRPr="00D20882">
        <w:rPr>
          <w:rFonts w:ascii="Gadugi" w:eastAsia="Georgia" w:hAnsi="Gadugi" w:cs="Georgia"/>
          <w:spacing w:val="-4"/>
          <w:sz w:val="24"/>
          <w:szCs w:val="24"/>
        </w:rPr>
        <w:t>17 de octubre 2020</w:t>
      </w:r>
      <w:r w:rsidR="00F70FB5" w:rsidRPr="00D20882">
        <w:rPr>
          <w:rFonts w:ascii="Gadugi" w:eastAsia="Georgia" w:hAnsi="Gadugi" w:cs="Georgia"/>
          <w:spacing w:val="-4"/>
          <w:sz w:val="24"/>
          <w:szCs w:val="24"/>
        </w:rPr>
        <w:t>; (ii)</w:t>
      </w:r>
      <w:r w:rsidRPr="00D20882">
        <w:rPr>
          <w:rFonts w:ascii="Gadugi" w:eastAsia="Georgia" w:hAnsi="Gadugi" w:cs="Georgia"/>
          <w:spacing w:val="-4"/>
          <w:sz w:val="24"/>
          <w:szCs w:val="24"/>
        </w:rPr>
        <w:t xml:space="preserve"> que se dej</w:t>
      </w:r>
      <w:r w:rsidR="00F70FB5" w:rsidRPr="00D20882">
        <w:rPr>
          <w:rFonts w:ascii="Gadugi" w:eastAsia="Georgia" w:hAnsi="Gadugi" w:cs="Georgia"/>
          <w:spacing w:val="-4"/>
          <w:sz w:val="24"/>
          <w:szCs w:val="24"/>
        </w:rPr>
        <w:t>aran</w:t>
      </w:r>
      <w:r w:rsidRPr="00D20882">
        <w:rPr>
          <w:rFonts w:ascii="Gadugi" w:eastAsia="Georgia" w:hAnsi="Gadugi" w:cs="Georgia"/>
          <w:spacing w:val="-4"/>
          <w:sz w:val="24"/>
          <w:szCs w:val="24"/>
        </w:rPr>
        <w:t xml:space="preserve"> sin efecto</w:t>
      </w:r>
      <w:r w:rsidR="00F70FB5" w:rsidRPr="00D20882">
        <w:rPr>
          <w:rFonts w:ascii="Gadugi" w:eastAsia="Georgia" w:hAnsi="Gadugi" w:cs="Georgia"/>
          <w:spacing w:val="-4"/>
          <w:sz w:val="24"/>
          <w:szCs w:val="24"/>
        </w:rPr>
        <w:t xml:space="preserve"> </w:t>
      </w:r>
      <w:r w:rsidRPr="00D20882">
        <w:rPr>
          <w:rFonts w:ascii="Gadugi" w:eastAsia="Georgia" w:hAnsi="Gadugi" w:cs="Georgia"/>
          <w:spacing w:val="-4"/>
          <w:sz w:val="24"/>
          <w:szCs w:val="24"/>
        </w:rPr>
        <w:t>el nombramiento y conformación del consejo de administración y el comité de convivencia</w:t>
      </w:r>
      <w:r w:rsidR="00514BD1" w:rsidRPr="00D20882">
        <w:rPr>
          <w:rFonts w:ascii="Gadugi" w:eastAsia="Georgia" w:hAnsi="Gadugi" w:cs="Georgia"/>
          <w:spacing w:val="-4"/>
          <w:sz w:val="24"/>
          <w:szCs w:val="24"/>
        </w:rPr>
        <w:t xml:space="preserve">, así como la </w:t>
      </w:r>
      <w:r w:rsidR="00FC362B" w:rsidRPr="00D20882">
        <w:rPr>
          <w:rFonts w:ascii="Gadugi" w:eastAsia="Georgia" w:hAnsi="Gadugi" w:cs="Georgia"/>
          <w:spacing w:val="-4"/>
          <w:sz w:val="24"/>
          <w:szCs w:val="24"/>
        </w:rPr>
        <w:t xml:space="preserve">fijación de </w:t>
      </w:r>
      <w:r w:rsidR="00E36ABC" w:rsidRPr="00D20882">
        <w:rPr>
          <w:rFonts w:ascii="Gadugi" w:eastAsia="Georgia" w:hAnsi="Gadugi" w:cs="Georgia"/>
          <w:spacing w:val="-4"/>
          <w:sz w:val="24"/>
          <w:szCs w:val="24"/>
        </w:rPr>
        <w:t>las cuotas de administración 2020, la cuota extraordinaria de pintura y</w:t>
      </w:r>
      <w:r w:rsidR="00F70FB5" w:rsidRPr="00D20882">
        <w:rPr>
          <w:rFonts w:ascii="Gadugi" w:eastAsia="Georgia" w:hAnsi="Gadugi" w:cs="Georgia"/>
          <w:spacing w:val="-4"/>
          <w:sz w:val="24"/>
          <w:szCs w:val="24"/>
        </w:rPr>
        <w:t xml:space="preserve"> </w:t>
      </w:r>
      <w:r w:rsidR="00E36ABC" w:rsidRPr="00D20882">
        <w:rPr>
          <w:rFonts w:ascii="Gadugi" w:eastAsia="Georgia" w:hAnsi="Gadugi" w:cs="Georgia"/>
          <w:spacing w:val="-4"/>
          <w:sz w:val="24"/>
          <w:szCs w:val="24"/>
        </w:rPr>
        <w:t>el seguro de áreas comunes</w:t>
      </w:r>
      <w:r w:rsidR="00F70FB5" w:rsidRPr="00D20882">
        <w:rPr>
          <w:rFonts w:ascii="Gadugi" w:eastAsia="Georgia" w:hAnsi="Gadugi" w:cs="Georgia"/>
          <w:spacing w:val="-4"/>
          <w:sz w:val="24"/>
          <w:szCs w:val="24"/>
        </w:rPr>
        <w:t xml:space="preserve">; (iii) se </w:t>
      </w:r>
      <w:r w:rsidR="00E36ABC" w:rsidRPr="00D20882">
        <w:rPr>
          <w:rFonts w:ascii="Gadugi" w:eastAsia="Georgia" w:hAnsi="Gadugi" w:cs="Georgia"/>
          <w:spacing w:val="-4"/>
          <w:sz w:val="24"/>
          <w:szCs w:val="24"/>
        </w:rPr>
        <w:t>devol</w:t>
      </w:r>
      <w:r w:rsidR="00F70FB5" w:rsidRPr="00D20882">
        <w:rPr>
          <w:rFonts w:ascii="Gadugi" w:eastAsia="Georgia" w:hAnsi="Gadugi" w:cs="Georgia"/>
          <w:spacing w:val="-4"/>
          <w:sz w:val="24"/>
          <w:szCs w:val="24"/>
        </w:rPr>
        <w:t xml:space="preserve">vieran </w:t>
      </w:r>
      <w:r w:rsidR="00E36ABC" w:rsidRPr="00D20882">
        <w:rPr>
          <w:rFonts w:ascii="Gadugi" w:eastAsia="Georgia" w:hAnsi="Gadugi" w:cs="Georgia"/>
          <w:spacing w:val="-4"/>
          <w:sz w:val="24"/>
          <w:szCs w:val="24"/>
        </w:rPr>
        <w:t>los dineros cobrados a quienes resultaron afectados con la decisión</w:t>
      </w:r>
      <w:r w:rsidR="00F70FB5" w:rsidRPr="00D20882">
        <w:rPr>
          <w:rFonts w:ascii="Gadugi" w:eastAsia="Georgia" w:hAnsi="Gadugi" w:cs="Georgia"/>
          <w:spacing w:val="-4"/>
          <w:sz w:val="24"/>
          <w:szCs w:val="24"/>
        </w:rPr>
        <w:t xml:space="preserve">, y (iv) se </w:t>
      </w:r>
      <w:r w:rsidR="00E36ABC" w:rsidRPr="00D20882">
        <w:rPr>
          <w:rFonts w:ascii="Gadugi" w:eastAsia="Georgia" w:hAnsi="Gadugi" w:cs="Georgia"/>
          <w:spacing w:val="-4"/>
          <w:sz w:val="24"/>
          <w:szCs w:val="24"/>
        </w:rPr>
        <w:t>condena</w:t>
      </w:r>
      <w:r w:rsidR="00F70FB5" w:rsidRPr="00D20882">
        <w:rPr>
          <w:rFonts w:ascii="Gadugi" w:eastAsia="Georgia" w:hAnsi="Gadugi" w:cs="Georgia"/>
          <w:spacing w:val="-4"/>
          <w:sz w:val="24"/>
          <w:szCs w:val="24"/>
        </w:rPr>
        <w:t>ra</w:t>
      </w:r>
      <w:r w:rsidR="00E36ABC" w:rsidRPr="00D20882">
        <w:rPr>
          <w:rFonts w:ascii="Gadugi" w:eastAsia="Georgia" w:hAnsi="Gadugi" w:cs="Georgia"/>
          <w:spacing w:val="-4"/>
          <w:sz w:val="24"/>
          <w:szCs w:val="24"/>
        </w:rPr>
        <w:t xml:space="preserve"> en costas para la demandada. </w:t>
      </w:r>
    </w:p>
    <w:p w14:paraId="5C68EB86" w14:textId="77777777" w:rsidR="009B6B24" w:rsidRPr="00D20882" w:rsidRDefault="009B6B24" w:rsidP="0031731E">
      <w:pPr>
        <w:jc w:val="both"/>
        <w:rPr>
          <w:rFonts w:ascii="Gadugi" w:eastAsia="Georgia" w:hAnsi="Gadugi" w:cs="Georgia"/>
          <w:spacing w:val="-4"/>
          <w:sz w:val="24"/>
          <w:szCs w:val="24"/>
        </w:rPr>
      </w:pPr>
    </w:p>
    <w:p w14:paraId="6FF9E34B" w14:textId="358CC45B" w:rsidR="00A75620" w:rsidRPr="00D20882" w:rsidRDefault="00957861" w:rsidP="0031731E">
      <w:pPr>
        <w:rPr>
          <w:rFonts w:ascii="Gadugi" w:eastAsia="Georgia" w:hAnsi="Gadugi" w:cs="Georgia"/>
          <w:b/>
          <w:spacing w:val="-4"/>
          <w:sz w:val="24"/>
          <w:szCs w:val="24"/>
        </w:rPr>
      </w:pPr>
      <w:r w:rsidRPr="00D20882">
        <w:rPr>
          <w:rFonts w:ascii="Gadugi" w:eastAsia="Georgia" w:hAnsi="Gadugi" w:cs="Georgia"/>
          <w:b/>
          <w:spacing w:val="-4"/>
          <w:sz w:val="24"/>
          <w:szCs w:val="24"/>
        </w:rPr>
        <w:t>1.3.    Trámite</w:t>
      </w:r>
    </w:p>
    <w:p w14:paraId="3E4C4F5B" w14:textId="77777777" w:rsidR="00E36ABC" w:rsidRPr="00D20882" w:rsidRDefault="00E36ABC" w:rsidP="0031731E">
      <w:pPr>
        <w:rPr>
          <w:rFonts w:ascii="Gadugi" w:eastAsia="Georgia" w:hAnsi="Gadugi" w:cs="Georgia"/>
          <w:b/>
          <w:spacing w:val="-4"/>
          <w:sz w:val="24"/>
          <w:szCs w:val="24"/>
          <w:vertAlign w:val="superscript"/>
        </w:rPr>
      </w:pPr>
    </w:p>
    <w:p w14:paraId="56E30BC6" w14:textId="62F473D9" w:rsidR="00E36ABC" w:rsidRPr="00D20882" w:rsidRDefault="00E36ABC" w:rsidP="0031731E">
      <w:pPr>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La demanda fue admitida por el Juzgado Segundo Civil del Circuito de Pereira </w:t>
      </w:r>
      <w:r w:rsidR="00125D46" w:rsidRPr="00D20882">
        <w:rPr>
          <w:rFonts w:ascii="Gadugi" w:eastAsia="Georgia" w:hAnsi="Gadugi" w:cs="Georgia"/>
          <w:spacing w:val="-4"/>
          <w:sz w:val="24"/>
          <w:szCs w:val="24"/>
        </w:rPr>
        <w:t xml:space="preserve">mediante decisión </w:t>
      </w:r>
      <w:r w:rsidRPr="00D20882">
        <w:rPr>
          <w:rFonts w:ascii="Gadugi" w:eastAsia="Georgia" w:hAnsi="Gadugi" w:cs="Georgia"/>
          <w:spacing w:val="-4"/>
          <w:sz w:val="24"/>
          <w:szCs w:val="24"/>
        </w:rPr>
        <w:t>del 1</w:t>
      </w:r>
      <w:r w:rsidR="00125D46" w:rsidRPr="00D20882">
        <w:rPr>
          <w:rFonts w:ascii="Gadugi" w:eastAsia="Georgia" w:hAnsi="Gadugi" w:cs="Georgia"/>
          <w:spacing w:val="-4"/>
          <w:sz w:val="24"/>
          <w:szCs w:val="24"/>
        </w:rPr>
        <w:t>º</w:t>
      </w:r>
      <w:r w:rsidRPr="00D20882">
        <w:rPr>
          <w:rFonts w:ascii="Gadugi" w:eastAsia="Georgia" w:hAnsi="Gadugi" w:cs="Georgia"/>
          <w:spacing w:val="-4"/>
          <w:sz w:val="24"/>
          <w:szCs w:val="24"/>
        </w:rPr>
        <w:t xml:space="preserve"> de diciembre de 2020</w:t>
      </w:r>
      <w:r w:rsidRPr="00D20882">
        <w:rPr>
          <w:rStyle w:val="Refdenotaalpie"/>
          <w:rFonts w:ascii="Gadugi" w:eastAsia="Georgia" w:hAnsi="Gadugi" w:cs="Georgia"/>
          <w:spacing w:val="-4"/>
          <w:sz w:val="24"/>
          <w:szCs w:val="24"/>
        </w:rPr>
        <w:footnoteReference w:id="4"/>
      </w:r>
      <w:r w:rsidR="00384A4C" w:rsidRPr="00D20882">
        <w:rPr>
          <w:rFonts w:ascii="Gadugi" w:eastAsia="Georgia" w:hAnsi="Gadugi" w:cs="Georgia"/>
          <w:spacing w:val="-4"/>
          <w:sz w:val="24"/>
          <w:szCs w:val="24"/>
        </w:rPr>
        <w:t xml:space="preserve">, providencia que se repuso </w:t>
      </w:r>
      <w:r w:rsidR="00125D46" w:rsidRPr="00D20882">
        <w:rPr>
          <w:rFonts w:ascii="Gadugi" w:eastAsia="Georgia" w:hAnsi="Gadugi" w:cs="Georgia"/>
          <w:spacing w:val="-4"/>
          <w:sz w:val="24"/>
          <w:szCs w:val="24"/>
        </w:rPr>
        <w:t>por auto d</w:t>
      </w:r>
      <w:r w:rsidR="00384A4C" w:rsidRPr="00D20882">
        <w:rPr>
          <w:rFonts w:ascii="Gadugi" w:eastAsia="Georgia" w:hAnsi="Gadugi" w:cs="Georgia"/>
          <w:spacing w:val="-4"/>
          <w:sz w:val="24"/>
          <w:szCs w:val="24"/>
        </w:rPr>
        <w:t xml:space="preserve">el 16 de junio de 2021, </w:t>
      </w:r>
      <w:r w:rsidR="00125D46" w:rsidRPr="00D20882">
        <w:rPr>
          <w:rFonts w:ascii="Gadugi" w:eastAsia="Georgia" w:hAnsi="Gadugi" w:cs="Georgia"/>
          <w:spacing w:val="-4"/>
          <w:sz w:val="24"/>
          <w:szCs w:val="24"/>
        </w:rPr>
        <w:t>con el fin de encau</w:t>
      </w:r>
      <w:r w:rsidR="00A544AC" w:rsidRPr="00D20882">
        <w:rPr>
          <w:rFonts w:ascii="Gadugi" w:eastAsia="Georgia" w:hAnsi="Gadugi" w:cs="Georgia"/>
          <w:spacing w:val="-4"/>
          <w:sz w:val="24"/>
          <w:szCs w:val="24"/>
        </w:rPr>
        <w:t>z</w:t>
      </w:r>
      <w:r w:rsidR="00125D46" w:rsidRPr="00D20882">
        <w:rPr>
          <w:rFonts w:ascii="Gadugi" w:eastAsia="Georgia" w:hAnsi="Gadugi" w:cs="Georgia"/>
          <w:spacing w:val="-4"/>
          <w:sz w:val="24"/>
          <w:szCs w:val="24"/>
        </w:rPr>
        <w:t>ar</w:t>
      </w:r>
      <w:r w:rsidR="00384A4C" w:rsidRPr="00D20882">
        <w:rPr>
          <w:rFonts w:ascii="Gadugi" w:eastAsia="Georgia" w:hAnsi="Gadugi" w:cs="Georgia"/>
          <w:spacing w:val="-4"/>
          <w:sz w:val="24"/>
          <w:szCs w:val="24"/>
        </w:rPr>
        <w:t xml:space="preserve"> el trámite y </w:t>
      </w:r>
      <w:r w:rsidR="008D740F" w:rsidRPr="00D20882">
        <w:rPr>
          <w:rFonts w:ascii="Gadugi" w:eastAsia="Georgia" w:hAnsi="Gadugi" w:cs="Georgia"/>
          <w:spacing w:val="-4"/>
          <w:sz w:val="24"/>
          <w:szCs w:val="24"/>
        </w:rPr>
        <w:t xml:space="preserve">volver a dar </w:t>
      </w:r>
      <w:r w:rsidR="00384A4C" w:rsidRPr="00D20882">
        <w:rPr>
          <w:rFonts w:ascii="Gadugi" w:eastAsia="Georgia" w:hAnsi="Gadugi" w:cs="Georgia"/>
          <w:spacing w:val="-4"/>
          <w:sz w:val="24"/>
          <w:szCs w:val="24"/>
        </w:rPr>
        <w:t>término de traslado</w:t>
      </w:r>
      <w:r w:rsidR="002C1E76" w:rsidRPr="00D20882">
        <w:rPr>
          <w:rStyle w:val="Refdenotaalpie"/>
          <w:rFonts w:ascii="Gadugi" w:eastAsia="Georgia" w:hAnsi="Gadugi" w:cs="Georgia"/>
          <w:spacing w:val="-4"/>
          <w:sz w:val="24"/>
          <w:szCs w:val="24"/>
        </w:rPr>
        <w:footnoteReference w:id="5"/>
      </w:r>
      <w:r w:rsidR="002C1E76" w:rsidRPr="00D20882">
        <w:rPr>
          <w:rFonts w:ascii="Gadugi" w:eastAsia="Georgia" w:hAnsi="Gadugi" w:cs="Georgia"/>
          <w:spacing w:val="-4"/>
          <w:sz w:val="24"/>
          <w:szCs w:val="24"/>
        </w:rPr>
        <w:t>, el cual transcurrió en silencio</w:t>
      </w:r>
      <w:r w:rsidR="00384A4C" w:rsidRPr="00D20882">
        <w:rPr>
          <w:rFonts w:ascii="Gadugi" w:eastAsia="Georgia" w:hAnsi="Gadugi" w:cs="Georgia"/>
          <w:spacing w:val="-4"/>
          <w:sz w:val="24"/>
          <w:szCs w:val="24"/>
        </w:rPr>
        <w:t>.</w:t>
      </w:r>
      <w:r w:rsidR="00384A4C" w:rsidRPr="00D20882">
        <w:rPr>
          <w:rStyle w:val="Refdenotaalpie"/>
          <w:rFonts w:ascii="Gadugi" w:eastAsia="Georgia" w:hAnsi="Gadugi" w:cs="Georgia"/>
          <w:spacing w:val="-4"/>
          <w:sz w:val="24"/>
          <w:szCs w:val="24"/>
        </w:rPr>
        <w:footnoteReference w:id="6"/>
      </w:r>
      <w:r w:rsidR="00384A4C" w:rsidRPr="00D20882">
        <w:rPr>
          <w:rFonts w:ascii="Gadugi" w:eastAsia="Georgia" w:hAnsi="Gadugi" w:cs="Georgia"/>
          <w:spacing w:val="-4"/>
          <w:sz w:val="24"/>
          <w:szCs w:val="24"/>
        </w:rPr>
        <w:t xml:space="preserve"> </w:t>
      </w:r>
    </w:p>
    <w:p w14:paraId="34073AA8" w14:textId="77777777" w:rsidR="00E36ABC" w:rsidRPr="00D20882" w:rsidRDefault="00E36ABC" w:rsidP="0031731E">
      <w:pPr>
        <w:jc w:val="both"/>
        <w:rPr>
          <w:rFonts w:ascii="Gadugi" w:eastAsia="Georgia" w:hAnsi="Gadugi" w:cs="Georgia"/>
          <w:spacing w:val="-4"/>
          <w:sz w:val="24"/>
          <w:szCs w:val="24"/>
        </w:rPr>
      </w:pPr>
    </w:p>
    <w:p w14:paraId="2FD9D273" w14:textId="63E0E912" w:rsidR="0084628E" w:rsidRPr="00D20882" w:rsidRDefault="0084628E" w:rsidP="0031731E">
      <w:pPr>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Luego de calificar suficiente una póliza aportada por los demandantes, se decretó la suspensión provisional de las decisiones adoptadas el 17 de octubre de 2020 mediante la </w:t>
      </w:r>
      <w:r w:rsidRPr="00D20882">
        <w:rPr>
          <w:rFonts w:ascii="Gadugi" w:eastAsia="Georgia" w:hAnsi="Gadugi" w:cs="Georgia"/>
          <w:spacing w:val="-4"/>
          <w:sz w:val="24"/>
          <w:szCs w:val="24"/>
        </w:rPr>
        <w:lastRenderedPageBreak/>
        <w:t>Asamblea General de Propietarios del Conjunto Residencial Primavera P.H.</w:t>
      </w:r>
      <w:r w:rsidRPr="00D20882">
        <w:rPr>
          <w:rStyle w:val="Refdenotaalpie"/>
          <w:rFonts w:ascii="Gadugi" w:eastAsia="Georgia" w:hAnsi="Gadugi" w:cs="Georgia"/>
          <w:spacing w:val="-4"/>
          <w:sz w:val="24"/>
          <w:szCs w:val="24"/>
        </w:rPr>
        <w:footnoteReference w:id="7"/>
      </w:r>
      <w:r w:rsidR="00AC2F73" w:rsidRPr="00D20882">
        <w:rPr>
          <w:rFonts w:ascii="Gadugi" w:eastAsia="Georgia" w:hAnsi="Gadugi" w:cs="Georgia"/>
          <w:spacing w:val="-4"/>
          <w:sz w:val="24"/>
          <w:szCs w:val="24"/>
        </w:rPr>
        <w:t xml:space="preserve"> </w:t>
      </w:r>
      <w:r w:rsidR="00F76864" w:rsidRPr="00D20882">
        <w:rPr>
          <w:rFonts w:ascii="Gadugi" w:eastAsia="Georgia" w:hAnsi="Gadugi" w:cs="Georgia"/>
          <w:spacing w:val="-4"/>
          <w:sz w:val="24"/>
          <w:szCs w:val="24"/>
        </w:rPr>
        <w:t xml:space="preserve">orden que fue aclarada </w:t>
      </w:r>
      <w:r w:rsidR="00AC2F73" w:rsidRPr="00D20882">
        <w:rPr>
          <w:rFonts w:ascii="Gadugi" w:eastAsia="Georgia" w:hAnsi="Gadugi" w:cs="Georgia"/>
          <w:spacing w:val="-4"/>
          <w:sz w:val="24"/>
          <w:szCs w:val="24"/>
        </w:rPr>
        <w:t>por auto del 28 de octubre de 2021.</w:t>
      </w:r>
      <w:r w:rsidR="00AC2F73" w:rsidRPr="00D20882">
        <w:rPr>
          <w:rStyle w:val="Refdenotaalpie"/>
          <w:rFonts w:ascii="Gadugi" w:eastAsia="Georgia" w:hAnsi="Gadugi" w:cs="Georgia"/>
          <w:spacing w:val="-4"/>
          <w:sz w:val="24"/>
          <w:szCs w:val="24"/>
        </w:rPr>
        <w:footnoteReference w:id="8"/>
      </w:r>
    </w:p>
    <w:p w14:paraId="79B37F6D" w14:textId="77777777" w:rsidR="0084628E" w:rsidRPr="00D20882" w:rsidRDefault="0084628E" w:rsidP="0031731E">
      <w:pPr>
        <w:jc w:val="both"/>
        <w:rPr>
          <w:rFonts w:ascii="Gadugi" w:eastAsia="Georgia" w:hAnsi="Gadugi" w:cs="Georgia"/>
          <w:spacing w:val="-4"/>
          <w:sz w:val="24"/>
          <w:szCs w:val="24"/>
        </w:rPr>
      </w:pPr>
    </w:p>
    <w:p w14:paraId="6FCE07D2" w14:textId="7F3B8A7C" w:rsidR="00AC2F73" w:rsidRPr="00D20882" w:rsidRDefault="0084628E" w:rsidP="0031731E">
      <w:pPr>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Las pruebas del proceso se decretaron </w:t>
      </w:r>
      <w:r w:rsidR="00EE421B" w:rsidRPr="00D20882">
        <w:rPr>
          <w:rFonts w:ascii="Gadugi" w:eastAsia="Georgia" w:hAnsi="Gadugi" w:cs="Georgia"/>
          <w:spacing w:val="-4"/>
          <w:sz w:val="24"/>
          <w:szCs w:val="24"/>
        </w:rPr>
        <w:t xml:space="preserve">en audiencia </w:t>
      </w:r>
      <w:r w:rsidRPr="00D20882">
        <w:rPr>
          <w:rFonts w:ascii="Gadugi" w:eastAsia="Georgia" w:hAnsi="Gadugi" w:cs="Georgia"/>
          <w:spacing w:val="-4"/>
          <w:sz w:val="24"/>
          <w:szCs w:val="24"/>
        </w:rPr>
        <w:t>del 23 de agosto de 2021</w:t>
      </w:r>
      <w:r w:rsidR="00392956" w:rsidRPr="00D20882">
        <w:rPr>
          <w:rStyle w:val="Refdenotaalpie"/>
          <w:rFonts w:ascii="Gadugi" w:eastAsia="Georgia" w:hAnsi="Gadugi" w:cs="Georgia"/>
          <w:spacing w:val="-4"/>
          <w:sz w:val="24"/>
          <w:szCs w:val="24"/>
        </w:rPr>
        <w:footnoteReference w:id="9"/>
      </w:r>
      <w:r w:rsidR="00AC2F73" w:rsidRPr="00D20882">
        <w:rPr>
          <w:rFonts w:ascii="Gadugi" w:eastAsia="Georgia" w:hAnsi="Gadugi" w:cs="Georgia"/>
          <w:spacing w:val="-4"/>
          <w:sz w:val="24"/>
          <w:szCs w:val="24"/>
        </w:rPr>
        <w:t>. El 18 de noviembre de 2021 se llevó a cabo la audiencia inicial</w:t>
      </w:r>
      <w:r w:rsidR="00392956" w:rsidRPr="00D20882">
        <w:rPr>
          <w:rStyle w:val="Refdenotaalpie"/>
          <w:rFonts w:ascii="Gadugi" w:eastAsia="Georgia" w:hAnsi="Gadugi" w:cs="Georgia"/>
          <w:spacing w:val="-4"/>
          <w:sz w:val="24"/>
          <w:szCs w:val="24"/>
        </w:rPr>
        <w:footnoteReference w:id="10"/>
      </w:r>
      <w:r w:rsidR="00AC2F73" w:rsidRPr="00D20882">
        <w:rPr>
          <w:rFonts w:ascii="Gadugi" w:eastAsia="Georgia" w:hAnsi="Gadugi" w:cs="Georgia"/>
          <w:spacing w:val="-4"/>
          <w:sz w:val="24"/>
          <w:szCs w:val="24"/>
        </w:rPr>
        <w:t xml:space="preserve"> y el 21 de enero de 2022 se escucharon los alegatos definitivos y se emitió la sentencia</w:t>
      </w:r>
      <w:r w:rsidR="00210E26" w:rsidRPr="00D20882">
        <w:rPr>
          <w:rFonts w:ascii="Gadugi" w:eastAsia="Georgia" w:hAnsi="Gadugi" w:cs="Georgia"/>
          <w:spacing w:val="-4"/>
          <w:sz w:val="24"/>
          <w:szCs w:val="24"/>
        </w:rPr>
        <w:t>.</w:t>
      </w:r>
      <w:r w:rsidR="00AC2F73" w:rsidRPr="00D20882">
        <w:rPr>
          <w:rFonts w:ascii="Gadugi" w:eastAsia="Georgia" w:hAnsi="Gadugi" w:cs="Georgia"/>
          <w:spacing w:val="-4"/>
          <w:sz w:val="24"/>
          <w:szCs w:val="24"/>
        </w:rPr>
        <w:t xml:space="preserve"> </w:t>
      </w:r>
    </w:p>
    <w:p w14:paraId="2D56F4F1" w14:textId="77777777" w:rsidR="00AC2F73" w:rsidRPr="00D20882" w:rsidRDefault="00AC2F73" w:rsidP="0031731E">
      <w:pPr>
        <w:jc w:val="both"/>
        <w:rPr>
          <w:rFonts w:ascii="Gadugi" w:eastAsia="Georgia" w:hAnsi="Gadugi" w:cs="Georgia"/>
          <w:spacing w:val="-4"/>
          <w:sz w:val="24"/>
          <w:szCs w:val="24"/>
        </w:rPr>
      </w:pPr>
    </w:p>
    <w:p w14:paraId="1F5667E6" w14:textId="5A5C8E2B" w:rsidR="00A75620" w:rsidRPr="00D20882" w:rsidRDefault="00957861" w:rsidP="0031731E">
      <w:pPr>
        <w:rPr>
          <w:rFonts w:ascii="Gadugi" w:eastAsia="Georgia" w:hAnsi="Gadugi" w:cs="Georgia"/>
          <w:b/>
          <w:spacing w:val="-4"/>
          <w:sz w:val="24"/>
          <w:szCs w:val="24"/>
        </w:rPr>
      </w:pPr>
      <w:r w:rsidRPr="00D20882">
        <w:rPr>
          <w:rFonts w:ascii="Gadugi" w:eastAsia="Georgia" w:hAnsi="Gadugi" w:cs="Georgia"/>
          <w:b/>
          <w:spacing w:val="-4"/>
          <w:sz w:val="24"/>
          <w:szCs w:val="24"/>
        </w:rPr>
        <w:t xml:space="preserve">1.4.   Sentencia de </w:t>
      </w:r>
      <w:r w:rsidR="00210E26" w:rsidRPr="00D20882">
        <w:rPr>
          <w:rFonts w:ascii="Gadugi" w:eastAsia="Georgia" w:hAnsi="Gadugi" w:cs="Georgia"/>
          <w:b/>
          <w:spacing w:val="-4"/>
          <w:sz w:val="24"/>
          <w:szCs w:val="24"/>
        </w:rPr>
        <w:t>p</w:t>
      </w:r>
      <w:r w:rsidRPr="00D20882">
        <w:rPr>
          <w:rFonts w:ascii="Gadugi" w:eastAsia="Georgia" w:hAnsi="Gadugi" w:cs="Georgia"/>
          <w:b/>
          <w:spacing w:val="-4"/>
          <w:sz w:val="24"/>
          <w:szCs w:val="24"/>
        </w:rPr>
        <w:t xml:space="preserve">rimera </w:t>
      </w:r>
      <w:r w:rsidR="00210E26" w:rsidRPr="00D20882">
        <w:rPr>
          <w:rFonts w:ascii="Gadugi" w:eastAsia="Georgia" w:hAnsi="Gadugi" w:cs="Georgia"/>
          <w:b/>
          <w:spacing w:val="-4"/>
          <w:sz w:val="24"/>
          <w:szCs w:val="24"/>
        </w:rPr>
        <w:t>i</w:t>
      </w:r>
      <w:r w:rsidRPr="00D20882">
        <w:rPr>
          <w:rFonts w:ascii="Gadugi" w:eastAsia="Georgia" w:hAnsi="Gadugi" w:cs="Georgia"/>
          <w:b/>
          <w:spacing w:val="-4"/>
          <w:sz w:val="24"/>
          <w:szCs w:val="24"/>
        </w:rPr>
        <w:t>nstancia</w:t>
      </w:r>
      <w:r w:rsidR="00F13C90" w:rsidRPr="00D20882">
        <w:rPr>
          <w:rFonts w:ascii="Gadugi" w:eastAsia="Georgia" w:hAnsi="Gadugi" w:cs="Georgia"/>
          <w:b/>
          <w:spacing w:val="-4"/>
          <w:sz w:val="24"/>
          <w:szCs w:val="24"/>
        </w:rPr>
        <w:t>.</w:t>
      </w:r>
      <w:r w:rsidR="00F13C90" w:rsidRPr="00D20882">
        <w:rPr>
          <w:rStyle w:val="Refdenotaalpie"/>
          <w:rFonts w:ascii="Gadugi" w:eastAsia="Georgia" w:hAnsi="Gadugi" w:cs="Georgia"/>
          <w:b/>
          <w:spacing w:val="-4"/>
          <w:sz w:val="24"/>
          <w:szCs w:val="24"/>
        </w:rPr>
        <w:footnoteReference w:id="11"/>
      </w:r>
      <w:r w:rsidR="00231D11" w:rsidRPr="00D20882">
        <w:rPr>
          <w:rFonts w:ascii="Gadugi" w:eastAsia="Georgia" w:hAnsi="Gadugi" w:cs="Georgia"/>
          <w:b/>
          <w:spacing w:val="-4"/>
          <w:sz w:val="24"/>
          <w:szCs w:val="24"/>
        </w:rPr>
        <w:t xml:space="preserve"> </w:t>
      </w:r>
    </w:p>
    <w:p w14:paraId="717358CE" w14:textId="77777777" w:rsidR="002A4D7E" w:rsidRPr="00D20882" w:rsidRDefault="002A4D7E" w:rsidP="0031731E">
      <w:pPr>
        <w:jc w:val="both"/>
        <w:rPr>
          <w:rFonts w:ascii="Gadugi" w:eastAsia="Georgia" w:hAnsi="Gadugi" w:cs="Georgia"/>
          <w:spacing w:val="-4"/>
          <w:sz w:val="24"/>
          <w:szCs w:val="24"/>
        </w:rPr>
      </w:pPr>
    </w:p>
    <w:p w14:paraId="5EBEDEA2" w14:textId="64EE0721" w:rsidR="00AF35C0" w:rsidRPr="00D20882" w:rsidRDefault="002113C2" w:rsidP="0031731E">
      <w:pPr>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El Juzgado declaró la ineficacia de las decisiones que se tomaron el 17 de octubre de 2020 en la Asamblea General de Copropietarios del Conjunto Residencial Primavera P.H., respecto de la cuota de administración para el año 2020, </w:t>
      </w:r>
      <w:r w:rsidR="006C3B35" w:rsidRPr="00D20882">
        <w:rPr>
          <w:rFonts w:ascii="Gadugi" w:eastAsia="Georgia" w:hAnsi="Gadugi" w:cs="Georgia"/>
          <w:spacing w:val="-4"/>
          <w:sz w:val="24"/>
          <w:szCs w:val="24"/>
        </w:rPr>
        <w:t xml:space="preserve">la </w:t>
      </w:r>
      <w:r w:rsidRPr="00D20882">
        <w:rPr>
          <w:rFonts w:ascii="Gadugi" w:eastAsia="Georgia" w:hAnsi="Gadugi" w:cs="Georgia"/>
          <w:spacing w:val="-4"/>
          <w:sz w:val="24"/>
          <w:szCs w:val="24"/>
        </w:rPr>
        <w:t xml:space="preserve">cuota extraordinaria para pintura y el seguro de áreas comunes. Ordenó </w:t>
      </w:r>
      <w:r w:rsidR="00FD6EC3" w:rsidRPr="00D20882">
        <w:rPr>
          <w:rFonts w:ascii="Gadugi" w:eastAsia="Georgia" w:hAnsi="Gadugi" w:cs="Georgia"/>
          <w:spacing w:val="-4"/>
          <w:sz w:val="24"/>
          <w:szCs w:val="24"/>
        </w:rPr>
        <w:t xml:space="preserve">la realización de </w:t>
      </w:r>
      <w:r w:rsidRPr="00D20882">
        <w:rPr>
          <w:rFonts w:ascii="Gadugi" w:eastAsia="Georgia" w:hAnsi="Gadugi" w:cs="Georgia"/>
          <w:spacing w:val="-4"/>
          <w:sz w:val="24"/>
          <w:szCs w:val="24"/>
        </w:rPr>
        <w:t xml:space="preserve">otra </w:t>
      </w:r>
      <w:r w:rsidR="00FD6EC3" w:rsidRPr="00D20882">
        <w:rPr>
          <w:rFonts w:ascii="Gadugi" w:eastAsia="Georgia" w:hAnsi="Gadugi" w:cs="Georgia"/>
          <w:spacing w:val="-4"/>
          <w:sz w:val="24"/>
          <w:szCs w:val="24"/>
        </w:rPr>
        <w:t>asamblea</w:t>
      </w:r>
      <w:r w:rsidRPr="00D20882">
        <w:rPr>
          <w:rFonts w:ascii="Gadugi" w:eastAsia="Georgia" w:hAnsi="Gadugi" w:cs="Georgia"/>
          <w:spacing w:val="-4"/>
          <w:sz w:val="24"/>
          <w:szCs w:val="24"/>
        </w:rPr>
        <w:t xml:space="preserve"> para definir la cuota de administración del año 2020 </w:t>
      </w:r>
      <w:r w:rsidR="00F13C90" w:rsidRPr="00D20882">
        <w:rPr>
          <w:rFonts w:ascii="Gadugi" w:eastAsia="Georgia" w:hAnsi="Gadugi" w:cs="Georgia"/>
          <w:spacing w:val="-4"/>
          <w:sz w:val="24"/>
          <w:szCs w:val="24"/>
        </w:rPr>
        <w:t>cumpli</w:t>
      </w:r>
      <w:r w:rsidR="00224D0A" w:rsidRPr="00D20882">
        <w:rPr>
          <w:rFonts w:ascii="Gadugi" w:eastAsia="Georgia" w:hAnsi="Gadugi" w:cs="Georgia"/>
          <w:spacing w:val="-4"/>
          <w:sz w:val="24"/>
          <w:szCs w:val="24"/>
        </w:rPr>
        <w:t>endo</w:t>
      </w:r>
      <w:r w:rsidR="00F13C90" w:rsidRPr="00D20882">
        <w:rPr>
          <w:rFonts w:ascii="Gadugi" w:eastAsia="Georgia" w:hAnsi="Gadugi" w:cs="Georgia"/>
          <w:spacing w:val="-4"/>
          <w:sz w:val="24"/>
          <w:szCs w:val="24"/>
        </w:rPr>
        <w:t xml:space="preserve"> la norma</w:t>
      </w:r>
      <w:r w:rsidR="00224D0A" w:rsidRPr="00D20882">
        <w:rPr>
          <w:rFonts w:ascii="Gadugi" w:eastAsia="Georgia" w:hAnsi="Gadugi" w:cs="Georgia"/>
          <w:spacing w:val="-4"/>
          <w:sz w:val="24"/>
          <w:szCs w:val="24"/>
        </w:rPr>
        <w:t xml:space="preserve">, así como la devolución de los saldos a que </w:t>
      </w:r>
      <w:r w:rsidR="00F13C90" w:rsidRPr="00D20882">
        <w:rPr>
          <w:rFonts w:ascii="Gadugi" w:eastAsia="Georgia" w:hAnsi="Gadugi" w:cs="Georgia"/>
          <w:spacing w:val="-4"/>
          <w:sz w:val="24"/>
          <w:szCs w:val="24"/>
        </w:rPr>
        <w:t>h</w:t>
      </w:r>
      <w:r w:rsidR="00FD6EC3" w:rsidRPr="00D20882">
        <w:rPr>
          <w:rFonts w:ascii="Gadugi" w:eastAsia="Georgia" w:hAnsi="Gadugi" w:cs="Georgia"/>
          <w:spacing w:val="-4"/>
          <w:sz w:val="24"/>
          <w:szCs w:val="24"/>
        </w:rPr>
        <w:t>ubiere</w:t>
      </w:r>
      <w:r w:rsidR="00F13C90" w:rsidRPr="00D20882">
        <w:rPr>
          <w:rFonts w:ascii="Gadugi" w:eastAsia="Georgia" w:hAnsi="Gadugi" w:cs="Georgia"/>
          <w:spacing w:val="-4"/>
          <w:sz w:val="24"/>
          <w:szCs w:val="24"/>
        </w:rPr>
        <w:t xml:space="preserve"> lugar. </w:t>
      </w:r>
    </w:p>
    <w:p w14:paraId="6C932A09" w14:textId="77777777" w:rsidR="00AF35C0" w:rsidRPr="00D20882" w:rsidRDefault="00AF35C0" w:rsidP="0031731E">
      <w:pPr>
        <w:jc w:val="both"/>
        <w:rPr>
          <w:rFonts w:ascii="Gadugi" w:eastAsia="Georgia" w:hAnsi="Gadugi" w:cs="Georgia"/>
          <w:spacing w:val="-4"/>
          <w:sz w:val="24"/>
          <w:szCs w:val="24"/>
        </w:rPr>
      </w:pPr>
    </w:p>
    <w:p w14:paraId="2C9B75E1" w14:textId="049CCDB6" w:rsidR="00F13C90" w:rsidRPr="00D20882" w:rsidRDefault="00F13C90" w:rsidP="0031731E">
      <w:pPr>
        <w:jc w:val="both"/>
        <w:rPr>
          <w:rFonts w:ascii="Gadugi" w:eastAsia="Georgia" w:hAnsi="Gadugi" w:cs="Georgia"/>
          <w:b/>
          <w:bCs/>
          <w:spacing w:val="-4"/>
          <w:sz w:val="24"/>
          <w:szCs w:val="24"/>
        </w:rPr>
      </w:pPr>
      <w:r w:rsidRPr="00D20882">
        <w:rPr>
          <w:rFonts w:ascii="Gadugi" w:eastAsia="Georgia" w:hAnsi="Gadugi" w:cs="Georgia"/>
          <w:b/>
          <w:bCs/>
          <w:spacing w:val="-4"/>
          <w:sz w:val="24"/>
          <w:szCs w:val="24"/>
        </w:rPr>
        <w:t>1.5. Apelación.</w:t>
      </w:r>
    </w:p>
    <w:p w14:paraId="6809ECF6" w14:textId="77777777" w:rsidR="0089666A" w:rsidRPr="00D20882" w:rsidRDefault="0089666A" w:rsidP="0031731E">
      <w:pPr>
        <w:jc w:val="both"/>
        <w:rPr>
          <w:rFonts w:ascii="Gadugi" w:eastAsia="Georgia" w:hAnsi="Gadugi" w:cs="Georgia"/>
          <w:b/>
          <w:bCs/>
          <w:spacing w:val="-4"/>
          <w:sz w:val="24"/>
          <w:szCs w:val="24"/>
        </w:rPr>
      </w:pPr>
    </w:p>
    <w:p w14:paraId="50C612B5" w14:textId="2FB4D73D" w:rsidR="0089666A" w:rsidRPr="00D20882" w:rsidRDefault="0095708A" w:rsidP="0031731E">
      <w:pPr>
        <w:jc w:val="both"/>
        <w:rPr>
          <w:rFonts w:ascii="Gadugi" w:eastAsia="Georgia" w:hAnsi="Gadugi" w:cs="Georgia"/>
          <w:spacing w:val="-4"/>
          <w:sz w:val="24"/>
          <w:szCs w:val="24"/>
        </w:rPr>
      </w:pPr>
      <w:r w:rsidRPr="00D20882">
        <w:rPr>
          <w:rFonts w:ascii="Gadugi" w:eastAsia="Georgia" w:hAnsi="Gadugi" w:cs="Georgia"/>
          <w:spacing w:val="-4"/>
          <w:sz w:val="24"/>
          <w:szCs w:val="24"/>
        </w:rPr>
        <w:t>Recurrió la demandada</w:t>
      </w:r>
      <w:r w:rsidR="00A71FED" w:rsidRPr="00D20882">
        <w:rPr>
          <w:rFonts w:ascii="Gadugi" w:eastAsia="Georgia" w:hAnsi="Gadugi" w:cs="Georgia"/>
          <w:spacing w:val="-4"/>
          <w:sz w:val="24"/>
          <w:szCs w:val="24"/>
        </w:rPr>
        <w:t xml:space="preserve"> durante </w:t>
      </w:r>
      <w:r w:rsidR="00A728B6" w:rsidRPr="00D20882">
        <w:rPr>
          <w:rFonts w:ascii="Gadugi" w:eastAsia="Georgia" w:hAnsi="Gadugi" w:cs="Georgia"/>
          <w:spacing w:val="-4"/>
          <w:sz w:val="24"/>
          <w:szCs w:val="24"/>
        </w:rPr>
        <w:t>la audiencia y oportunamente present</w:t>
      </w:r>
      <w:r w:rsidR="00A71FED" w:rsidRPr="00D20882">
        <w:rPr>
          <w:rFonts w:ascii="Gadugi" w:eastAsia="Georgia" w:hAnsi="Gadugi" w:cs="Georgia"/>
          <w:spacing w:val="-4"/>
          <w:sz w:val="24"/>
          <w:szCs w:val="24"/>
        </w:rPr>
        <w:t>ó</w:t>
      </w:r>
      <w:r w:rsidR="00A728B6" w:rsidRPr="00D20882">
        <w:rPr>
          <w:rFonts w:ascii="Gadugi" w:eastAsia="Georgia" w:hAnsi="Gadugi" w:cs="Georgia"/>
          <w:spacing w:val="-4"/>
          <w:sz w:val="24"/>
          <w:szCs w:val="24"/>
        </w:rPr>
        <w:t xml:space="preserve"> los reparos</w:t>
      </w:r>
      <w:r w:rsidR="00A728B6" w:rsidRPr="00D20882">
        <w:rPr>
          <w:rStyle w:val="Refdenotaalpie"/>
          <w:rFonts w:ascii="Gadugi" w:eastAsia="Georgia" w:hAnsi="Gadugi" w:cs="Georgia"/>
          <w:spacing w:val="-4"/>
          <w:sz w:val="24"/>
          <w:szCs w:val="24"/>
        </w:rPr>
        <w:footnoteReference w:id="12"/>
      </w:r>
      <w:r w:rsidR="004D32BD" w:rsidRPr="00D20882">
        <w:rPr>
          <w:rFonts w:ascii="Gadugi" w:eastAsia="Georgia" w:hAnsi="Gadugi" w:cs="Georgia"/>
          <w:spacing w:val="-4"/>
          <w:sz w:val="24"/>
          <w:szCs w:val="24"/>
        </w:rPr>
        <w:t xml:space="preserve">. </w:t>
      </w:r>
      <w:r w:rsidR="0089666A" w:rsidRPr="00D20882">
        <w:rPr>
          <w:rFonts w:ascii="Gadugi" w:eastAsia="Georgia" w:hAnsi="Gadugi" w:cs="Georgia"/>
          <w:spacing w:val="-4"/>
          <w:sz w:val="24"/>
          <w:szCs w:val="24"/>
        </w:rPr>
        <w:t>S</w:t>
      </w:r>
      <w:r w:rsidR="00670305" w:rsidRPr="00D20882">
        <w:rPr>
          <w:rFonts w:ascii="Gadugi" w:eastAsia="Georgia" w:hAnsi="Gadugi" w:cs="Georgia"/>
          <w:spacing w:val="-4"/>
          <w:sz w:val="24"/>
          <w:szCs w:val="24"/>
        </w:rPr>
        <w:t>olicita</w:t>
      </w:r>
      <w:r w:rsidR="0089666A" w:rsidRPr="00D20882">
        <w:rPr>
          <w:rFonts w:ascii="Gadugi" w:eastAsia="Georgia" w:hAnsi="Gadugi" w:cs="Georgia"/>
          <w:spacing w:val="-4"/>
          <w:sz w:val="24"/>
          <w:szCs w:val="24"/>
        </w:rPr>
        <w:t xml:space="preserve"> </w:t>
      </w:r>
      <w:r w:rsidR="00A71FED" w:rsidRPr="00D20882">
        <w:rPr>
          <w:rFonts w:ascii="Gadugi" w:eastAsia="Georgia" w:hAnsi="Gadugi" w:cs="Georgia"/>
          <w:spacing w:val="-4"/>
          <w:sz w:val="24"/>
          <w:szCs w:val="24"/>
        </w:rPr>
        <w:t xml:space="preserve">la </w:t>
      </w:r>
      <w:r w:rsidR="00E21B9C" w:rsidRPr="00D20882">
        <w:rPr>
          <w:rFonts w:ascii="Gadugi" w:eastAsia="Georgia" w:hAnsi="Gadugi" w:cs="Georgia"/>
          <w:spacing w:val="-4"/>
          <w:sz w:val="24"/>
          <w:szCs w:val="24"/>
        </w:rPr>
        <w:t xml:space="preserve">revocatoria </w:t>
      </w:r>
      <w:r w:rsidR="00A71FED" w:rsidRPr="00D20882">
        <w:rPr>
          <w:rFonts w:ascii="Gadugi" w:eastAsia="Georgia" w:hAnsi="Gadugi" w:cs="Georgia"/>
          <w:spacing w:val="-4"/>
          <w:sz w:val="24"/>
          <w:szCs w:val="24"/>
        </w:rPr>
        <w:t xml:space="preserve">de la sentencia </w:t>
      </w:r>
      <w:r w:rsidR="00670305" w:rsidRPr="00D20882">
        <w:rPr>
          <w:rFonts w:ascii="Gadugi" w:eastAsia="Georgia" w:hAnsi="Gadugi" w:cs="Georgia"/>
          <w:spacing w:val="-4"/>
          <w:sz w:val="24"/>
          <w:szCs w:val="24"/>
        </w:rPr>
        <w:t>por ser contraria a la ley y por afectar los derechos de los copropietarios. Subsidiariamente, pid</w:t>
      </w:r>
      <w:r w:rsidR="00A71FED" w:rsidRPr="00D20882">
        <w:rPr>
          <w:rFonts w:ascii="Gadugi" w:eastAsia="Georgia" w:hAnsi="Gadugi" w:cs="Georgia"/>
          <w:spacing w:val="-4"/>
          <w:sz w:val="24"/>
          <w:szCs w:val="24"/>
        </w:rPr>
        <w:t xml:space="preserve">ió </w:t>
      </w:r>
      <w:r w:rsidR="00670305" w:rsidRPr="00D20882">
        <w:rPr>
          <w:rFonts w:ascii="Gadugi" w:eastAsia="Georgia" w:hAnsi="Gadugi" w:cs="Georgia"/>
          <w:spacing w:val="-4"/>
          <w:sz w:val="24"/>
          <w:szCs w:val="24"/>
        </w:rPr>
        <w:t xml:space="preserve">que se modifique la decisión para especificar a qué módulos de contribución, regidos por el reglamento de propiedad horizontal vigente, se debe aplicar en el caso concreto y que los costos adicionales que surjan para </w:t>
      </w:r>
      <w:r w:rsidR="0089666A" w:rsidRPr="00D20882">
        <w:rPr>
          <w:rFonts w:ascii="Gadugi" w:eastAsia="Georgia" w:hAnsi="Gadugi" w:cs="Georgia"/>
          <w:spacing w:val="-4"/>
          <w:sz w:val="24"/>
          <w:szCs w:val="24"/>
        </w:rPr>
        <w:t>ese fin sean asumidos totalmente por los demandantes</w:t>
      </w:r>
      <w:r w:rsidR="00670305" w:rsidRPr="00D20882">
        <w:rPr>
          <w:rFonts w:ascii="Gadugi" w:eastAsia="Georgia" w:hAnsi="Gadugi" w:cs="Georgia"/>
          <w:spacing w:val="-4"/>
          <w:sz w:val="24"/>
          <w:szCs w:val="24"/>
        </w:rPr>
        <w:t>.</w:t>
      </w:r>
    </w:p>
    <w:p w14:paraId="1350C2A7" w14:textId="77777777" w:rsidR="006E028F" w:rsidRPr="00D20882" w:rsidRDefault="006E028F" w:rsidP="0031731E">
      <w:pPr>
        <w:jc w:val="both"/>
        <w:rPr>
          <w:rFonts w:ascii="Gadugi" w:eastAsia="Georgia" w:hAnsi="Gadugi" w:cs="Georgia"/>
          <w:spacing w:val="-4"/>
          <w:sz w:val="24"/>
          <w:szCs w:val="24"/>
        </w:rPr>
      </w:pPr>
    </w:p>
    <w:p w14:paraId="082EC09B" w14:textId="681F8357" w:rsidR="0089666A" w:rsidRPr="00D20882" w:rsidRDefault="0089666A" w:rsidP="0031731E">
      <w:pPr>
        <w:jc w:val="both"/>
        <w:rPr>
          <w:rFonts w:ascii="Gadugi" w:eastAsia="Georgia" w:hAnsi="Gadugi" w:cs="Georgia"/>
          <w:b/>
          <w:bCs/>
          <w:spacing w:val="-4"/>
          <w:sz w:val="24"/>
          <w:szCs w:val="24"/>
        </w:rPr>
      </w:pPr>
      <w:r w:rsidRPr="00D20882">
        <w:rPr>
          <w:rFonts w:ascii="Gadugi" w:eastAsia="Georgia" w:hAnsi="Gadugi" w:cs="Georgia"/>
          <w:b/>
          <w:bCs/>
          <w:spacing w:val="-4"/>
          <w:sz w:val="24"/>
          <w:szCs w:val="24"/>
        </w:rPr>
        <w:t xml:space="preserve">2. </w:t>
      </w:r>
      <w:r w:rsidR="00571536" w:rsidRPr="00D20882">
        <w:rPr>
          <w:rFonts w:ascii="Gadugi" w:eastAsia="Georgia" w:hAnsi="Gadugi" w:cs="Georgia"/>
          <w:b/>
          <w:bCs/>
          <w:spacing w:val="-4"/>
          <w:sz w:val="24"/>
          <w:szCs w:val="24"/>
        </w:rPr>
        <w:t>CONSIDERACIONES</w:t>
      </w:r>
    </w:p>
    <w:p w14:paraId="4E249300" w14:textId="77777777" w:rsidR="00E21B9C" w:rsidRPr="00D20882" w:rsidRDefault="00E21B9C" w:rsidP="0031731E">
      <w:pPr>
        <w:jc w:val="both"/>
        <w:rPr>
          <w:rFonts w:ascii="Gadugi" w:eastAsia="Georgia" w:hAnsi="Gadugi" w:cs="Georgia"/>
          <w:spacing w:val="-4"/>
          <w:sz w:val="24"/>
          <w:szCs w:val="24"/>
        </w:rPr>
      </w:pPr>
    </w:p>
    <w:p w14:paraId="2F27B786" w14:textId="7122D264" w:rsidR="0089666A" w:rsidRPr="00D20882" w:rsidRDefault="0089666A" w:rsidP="0031731E">
      <w:pPr>
        <w:jc w:val="both"/>
        <w:rPr>
          <w:rFonts w:ascii="Gadugi" w:eastAsia="Georgia" w:hAnsi="Gadugi" w:cs="Georgia"/>
          <w:spacing w:val="-4"/>
          <w:sz w:val="24"/>
          <w:szCs w:val="24"/>
        </w:rPr>
      </w:pPr>
      <w:r w:rsidRPr="00D20882">
        <w:rPr>
          <w:rFonts w:ascii="Gadugi" w:eastAsia="Georgia" w:hAnsi="Gadugi" w:cs="Georgia"/>
          <w:spacing w:val="-4"/>
          <w:sz w:val="24"/>
          <w:szCs w:val="24"/>
        </w:rPr>
        <w:t>2.1.</w:t>
      </w:r>
      <w:r w:rsidRPr="00D20882">
        <w:rPr>
          <w:rFonts w:ascii="Gadugi" w:eastAsia="Georgia" w:hAnsi="Gadugi" w:cs="Georgia"/>
          <w:spacing w:val="-4"/>
          <w:sz w:val="24"/>
          <w:szCs w:val="24"/>
        </w:rPr>
        <w:tab/>
        <w:t xml:space="preserve">Ningún reparo cabe en relación con los presupuestos necesarios para </w:t>
      </w:r>
      <w:r w:rsidR="00580657" w:rsidRPr="00D20882">
        <w:rPr>
          <w:rFonts w:ascii="Gadugi" w:eastAsia="Georgia" w:hAnsi="Gadugi" w:cs="Georgia"/>
          <w:spacing w:val="-4"/>
          <w:sz w:val="24"/>
          <w:szCs w:val="24"/>
        </w:rPr>
        <w:t>dictar sentencia de fondo</w:t>
      </w:r>
      <w:r w:rsidRPr="00D20882">
        <w:rPr>
          <w:rFonts w:ascii="Gadugi" w:eastAsia="Georgia" w:hAnsi="Gadugi" w:cs="Georgia"/>
          <w:spacing w:val="-4"/>
          <w:sz w:val="24"/>
          <w:szCs w:val="24"/>
        </w:rPr>
        <w:t xml:space="preserve">; como tampoco se advierte la incursión en causales de nulidad que puedan dar al traste con lo actuado. </w:t>
      </w:r>
    </w:p>
    <w:p w14:paraId="5FEE3465" w14:textId="77777777" w:rsidR="002A4D7E" w:rsidRPr="00D20882" w:rsidRDefault="002A4D7E" w:rsidP="0031731E">
      <w:pPr>
        <w:jc w:val="both"/>
        <w:rPr>
          <w:rFonts w:ascii="Gadugi" w:eastAsia="Georgia" w:hAnsi="Gadugi" w:cs="Georgia"/>
          <w:spacing w:val="-4"/>
          <w:sz w:val="24"/>
          <w:szCs w:val="24"/>
        </w:rPr>
      </w:pPr>
    </w:p>
    <w:p w14:paraId="25603CF1" w14:textId="1462BB92" w:rsidR="00A4654D" w:rsidRPr="00D20882" w:rsidRDefault="00580657" w:rsidP="0031731E">
      <w:pPr>
        <w:jc w:val="both"/>
        <w:rPr>
          <w:rFonts w:ascii="Gadugi" w:eastAsia="Georgia" w:hAnsi="Gadugi" w:cs="Georgia"/>
          <w:spacing w:val="-4"/>
          <w:sz w:val="24"/>
          <w:szCs w:val="24"/>
        </w:rPr>
      </w:pPr>
      <w:r w:rsidRPr="00D20882">
        <w:rPr>
          <w:rFonts w:ascii="Gadugi" w:eastAsia="Georgia" w:hAnsi="Gadugi" w:cs="Georgia"/>
          <w:spacing w:val="-4"/>
          <w:sz w:val="24"/>
          <w:szCs w:val="24"/>
        </w:rPr>
        <w:t>2.</w:t>
      </w:r>
      <w:r w:rsidR="0089666A" w:rsidRPr="00D20882">
        <w:rPr>
          <w:rFonts w:ascii="Gadugi" w:eastAsia="Georgia" w:hAnsi="Gadugi" w:cs="Georgia"/>
          <w:spacing w:val="-4"/>
          <w:sz w:val="24"/>
          <w:szCs w:val="24"/>
        </w:rPr>
        <w:t>2.</w:t>
      </w:r>
      <w:r w:rsidR="0089666A" w:rsidRPr="00D20882">
        <w:rPr>
          <w:rFonts w:ascii="Gadugi" w:eastAsia="Georgia" w:hAnsi="Gadugi" w:cs="Georgia"/>
          <w:spacing w:val="-4"/>
          <w:sz w:val="24"/>
          <w:szCs w:val="24"/>
        </w:rPr>
        <w:tab/>
        <w:t>La legitimación en la causa tampoco admite discusión, pues por activa</w:t>
      </w:r>
      <w:r w:rsidR="006B707F" w:rsidRPr="00D20882">
        <w:rPr>
          <w:rFonts w:ascii="Gadugi" w:eastAsia="Georgia" w:hAnsi="Gadugi" w:cs="Georgia"/>
          <w:spacing w:val="-4"/>
          <w:sz w:val="24"/>
          <w:szCs w:val="24"/>
        </w:rPr>
        <w:t>,</w:t>
      </w:r>
      <w:r w:rsidR="0089666A" w:rsidRPr="00D20882">
        <w:rPr>
          <w:rFonts w:ascii="Gadugi" w:eastAsia="Georgia" w:hAnsi="Gadugi" w:cs="Georgia"/>
          <w:spacing w:val="-4"/>
          <w:sz w:val="24"/>
          <w:szCs w:val="24"/>
        </w:rPr>
        <w:t xml:space="preserve"> de conformidad con lo que establece el artículo 49 de la Ley 675 de 2001</w:t>
      </w:r>
      <w:r w:rsidR="00266A6D" w:rsidRPr="00D20882">
        <w:rPr>
          <w:rFonts w:ascii="Gadugi" w:eastAsia="Georgia" w:hAnsi="Gadugi" w:cs="Georgia"/>
          <w:spacing w:val="-4"/>
          <w:sz w:val="24"/>
          <w:szCs w:val="24"/>
        </w:rPr>
        <w:t>,</w:t>
      </w:r>
      <w:r w:rsidR="0089666A" w:rsidRPr="00D20882">
        <w:rPr>
          <w:rFonts w:ascii="Gadugi" w:eastAsia="Georgia" w:hAnsi="Gadugi" w:cs="Georgia"/>
          <w:spacing w:val="-4"/>
          <w:sz w:val="24"/>
          <w:szCs w:val="24"/>
        </w:rPr>
        <w:t xml:space="preserve"> la facultad de impugnar las decisiones de la asamblea general de propietarios de bienes privados cuando no se ajusten a las prescripciones legales o al reglamento de la propiedad horizontal recae en “</w:t>
      </w:r>
      <w:r w:rsidR="0089666A" w:rsidRPr="00D20882">
        <w:rPr>
          <w:rFonts w:ascii="Gadugi" w:eastAsia="Georgia" w:hAnsi="Gadugi" w:cs="Georgia"/>
          <w:i/>
          <w:iCs/>
          <w:spacing w:val="-4"/>
          <w:sz w:val="24"/>
          <w:szCs w:val="24"/>
        </w:rPr>
        <w:t>el administrador, el Revisor Fiscal y los propietarios de bienes privados</w:t>
      </w:r>
      <w:r w:rsidR="0089666A" w:rsidRPr="00D20882">
        <w:rPr>
          <w:rFonts w:ascii="Gadugi" w:eastAsia="Georgia" w:hAnsi="Gadugi" w:cs="Georgia"/>
          <w:spacing w:val="-4"/>
          <w:sz w:val="24"/>
          <w:szCs w:val="24"/>
        </w:rPr>
        <w:t>”</w:t>
      </w:r>
      <w:r w:rsidR="00266A6D" w:rsidRPr="00D20882">
        <w:rPr>
          <w:rFonts w:ascii="Gadugi" w:eastAsia="Georgia" w:hAnsi="Gadugi" w:cs="Georgia"/>
          <w:spacing w:val="-4"/>
          <w:sz w:val="24"/>
          <w:szCs w:val="24"/>
        </w:rPr>
        <w:t>. Y</w:t>
      </w:r>
      <w:r w:rsidR="0089666A" w:rsidRPr="00D20882">
        <w:rPr>
          <w:rFonts w:ascii="Gadugi" w:eastAsia="Georgia" w:hAnsi="Gadugi" w:cs="Georgia"/>
          <w:spacing w:val="-4"/>
          <w:sz w:val="24"/>
          <w:szCs w:val="24"/>
        </w:rPr>
        <w:t xml:space="preserve"> en el caso de</w:t>
      </w:r>
      <w:r w:rsidR="00970937" w:rsidRPr="00D20882">
        <w:rPr>
          <w:rFonts w:ascii="Gadugi" w:eastAsia="Georgia" w:hAnsi="Gadugi" w:cs="Georgia"/>
          <w:spacing w:val="-4"/>
          <w:sz w:val="24"/>
          <w:szCs w:val="24"/>
        </w:rPr>
        <w:t xml:space="preserve"> los demandantes</w:t>
      </w:r>
      <w:r w:rsidR="00070CEC" w:rsidRPr="00D20882">
        <w:rPr>
          <w:rFonts w:ascii="Gadugi" w:eastAsia="Georgia" w:hAnsi="Gadugi" w:cs="Georgia"/>
          <w:spacing w:val="-4"/>
          <w:sz w:val="24"/>
          <w:szCs w:val="24"/>
        </w:rPr>
        <w:t xml:space="preserve"> Francisco Andrés Montes Giraldo y Lida Salazar Rivera, son propietarios de </w:t>
      </w:r>
      <w:r w:rsidR="00070CEC" w:rsidRPr="00D20882">
        <w:rPr>
          <w:rFonts w:ascii="Gadugi" w:eastAsia="Georgia" w:hAnsi="Gadugi" w:cs="Georgia"/>
          <w:spacing w:val="-4"/>
          <w:sz w:val="24"/>
          <w:szCs w:val="24"/>
        </w:rPr>
        <w:lastRenderedPageBreak/>
        <w:t xml:space="preserve">las casas 18 y </w:t>
      </w:r>
      <w:r w:rsidR="00C66DEF" w:rsidRPr="00D20882">
        <w:rPr>
          <w:rFonts w:ascii="Gadugi" w:eastAsia="Georgia" w:hAnsi="Gadugi" w:cs="Georgia"/>
          <w:spacing w:val="-4"/>
          <w:sz w:val="24"/>
          <w:szCs w:val="24"/>
        </w:rPr>
        <w:t xml:space="preserve">11, </w:t>
      </w:r>
      <w:r w:rsidRPr="00D20882">
        <w:rPr>
          <w:rFonts w:ascii="Gadugi" w:eastAsia="Georgia" w:hAnsi="Gadugi" w:cs="Georgia"/>
          <w:spacing w:val="-4"/>
          <w:sz w:val="24"/>
          <w:szCs w:val="24"/>
        </w:rPr>
        <w:t>de</w:t>
      </w:r>
      <w:r w:rsidR="00510F98" w:rsidRPr="00D20882">
        <w:rPr>
          <w:rFonts w:ascii="Gadugi" w:eastAsia="Georgia" w:hAnsi="Gadugi" w:cs="Georgia"/>
          <w:spacing w:val="-4"/>
          <w:sz w:val="24"/>
          <w:szCs w:val="24"/>
        </w:rPr>
        <w:t xml:space="preserve">l Conjunto Residencial </w:t>
      </w:r>
      <w:r w:rsidR="00664434" w:rsidRPr="00D20882">
        <w:rPr>
          <w:rFonts w:ascii="Gadugi" w:eastAsia="Georgia" w:hAnsi="Gadugi" w:cs="Georgia"/>
          <w:spacing w:val="-4"/>
          <w:sz w:val="24"/>
          <w:szCs w:val="24"/>
        </w:rPr>
        <w:t>Primavera PH</w:t>
      </w:r>
      <w:r w:rsidR="00CB6462" w:rsidRPr="00D20882">
        <w:rPr>
          <w:rFonts w:ascii="Gadugi" w:eastAsia="Georgia" w:hAnsi="Gadugi" w:cs="Georgia"/>
          <w:spacing w:val="-4"/>
          <w:sz w:val="24"/>
          <w:szCs w:val="24"/>
        </w:rPr>
        <w:t>, según</w:t>
      </w:r>
      <w:r w:rsidRPr="00D20882">
        <w:rPr>
          <w:rFonts w:ascii="Gadugi" w:eastAsia="Georgia" w:hAnsi="Gadugi" w:cs="Georgia"/>
          <w:spacing w:val="-4"/>
          <w:sz w:val="24"/>
          <w:szCs w:val="24"/>
        </w:rPr>
        <w:t xml:space="preserve"> aparece en </w:t>
      </w:r>
      <w:r w:rsidR="00C66DEF" w:rsidRPr="00D20882">
        <w:rPr>
          <w:rFonts w:ascii="Gadugi" w:eastAsia="Georgia" w:hAnsi="Gadugi" w:cs="Georgia"/>
          <w:spacing w:val="-4"/>
          <w:sz w:val="24"/>
          <w:szCs w:val="24"/>
        </w:rPr>
        <w:t xml:space="preserve">los </w:t>
      </w:r>
      <w:r w:rsidR="00542288" w:rsidRPr="00D20882">
        <w:rPr>
          <w:rFonts w:ascii="Gadugi" w:eastAsia="Georgia" w:hAnsi="Gadugi" w:cs="Georgia"/>
          <w:spacing w:val="-4"/>
          <w:sz w:val="24"/>
          <w:szCs w:val="24"/>
        </w:rPr>
        <w:t>certificados aportados</w:t>
      </w:r>
      <w:r w:rsidRPr="00D20882">
        <w:rPr>
          <w:rStyle w:val="Refdenotaalpie"/>
          <w:rFonts w:ascii="Gadugi" w:eastAsia="Georgia" w:hAnsi="Gadugi" w:cs="Georgia"/>
          <w:spacing w:val="-4"/>
          <w:sz w:val="24"/>
          <w:szCs w:val="24"/>
        </w:rPr>
        <w:footnoteReference w:id="13"/>
      </w:r>
      <w:r w:rsidR="00484BDA" w:rsidRPr="00D20882">
        <w:rPr>
          <w:rFonts w:ascii="Gadugi" w:eastAsia="Georgia" w:hAnsi="Gadugi" w:cs="Georgia"/>
          <w:spacing w:val="-4"/>
          <w:sz w:val="24"/>
          <w:szCs w:val="24"/>
          <w:vertAlign w:val="superscript"/>
        </w:rPr>
        <w:t>-</w:t>
      </w:r>
      <w:r w:rsidR="006A67B2" w:rsidRPr="00D20882">
        <w:rPr>
          <w:rStyle w:val="Refdenotaalpie"/>
          <w:rFonts w:ascii="Gadugi" w:eastAsia="Georgia" w:hAnsi="Gadugi" w:cs="Georgia"/>
          <w:spacing w:val="-4"/>
          <w:sz w:val="24"/>
          <w:szCs w:val="24"/>
        </w:rPr>
        <w:footnoteReference w:id="14"/>
      </w:r>
      <w:r w:rsidR="00A4654D" w:rsidRPr="00D20882">
        <w:rPr>
          <w:rFonts w:ascii="Gadugi" w:eastAsia="Georgia" w:hAnsi="Gadugi" w:cs="Georgia"/>
          <w:spacing w:val="-4"/>
          <w:sz w:val="24"/>
          <w:szCs w:val="24"/>
        </w:rPr>
        <w:t>.</w:t>
      </w:r>
    </w:p>
    <w:p w14:paraId="64012355" w14:textId="77777777" w:rsidR="00A4654D" w:rsidRPr="00D20882" w:rsidRDefault="00A4654D" w:rsidP="0031731E">
      <w:pPr>
        <w:jc w:val="both"/>
        <w:rPr>
          <w:rFonts w:ascii="Gadugi" w:eastAsia="Georgia" w:hAnsi="Gadugi" w:cs="Georgia"/>
          <w:spacing w:val="-4"/>
          <w:sz w:val="24"/>
          <w:szCs w:val="24"/>
        </w:rPr>
      </w:pPr>
    </w:p>
    <w:p w14:paraId="688146B5" w14:textId="2B2D3CC9" w:rsidR="00F17139" w:rsidRPr="00D20882" w:rsidRDefault="00A4654D" w:rsidP="0031731E">
      <w:pPr>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Y por </w:t>
      </w:r>
      <w:r w:rsidR="006A67B2" w:rsidRPr="00D20882">
        <w:rPr>
          <w:rFonts w:ascii="Gadugi" w:eastAsia="Georgia" w:hAnsi="Gadugi" w:cs="Georgia"/>
          <w:spacing w:val="-4"/>
          <w:sz w:val="24"/>
          <w:szCs w:val="24"/>
        </w:rPr>
        <w:t xml:space="preserve">pasiva </w:t>
      </w:r>
      <w:r w:rsidRPr="00D20882">
        <w:rPr>
          <w:rFonts w:ascii="Gadugi" w:eastAsia="Georgia" w:hAnsi="Gadugi" w:cs="Georgia"/>
          <w:spacing w:val="-4"/>
          <w:sz w:val="24"/>
          <w:szCs w:val="24"/>
        </w:rPr>
        <w:t xml:space="preserve">concurre el </w:t>
      </w:r>
      <w:r w:rsidR="0037103C" w:rsidRPr="00D20882">
        <w:rPr>
          <w:rFonts w:ascii="Gadugi" w:eastAsia="Georgia" w:hAnsi="Gadugi" w:cs="Georgia"/>
          <w:spacing w:val="-4"/>
          <w:sz w:val="24"/>
          <w:szCs w:val="24"/>
        </w:rPr>
        <w:t xml:space="preserve">aludido conjunto, </w:t>
      </w:r>
      <w:r w:rsidR="0092266B" w:rsidRPr="00D20882">
        <w:rPr>
          <w:rFonts w:ascii="Gadugi" w:eastAsia="Georgia" w:hAnsi="Gadugi" w:cs="Georgia"/>
          <w:spacing w:val="-4"/>
          <w:sz w:val="24"/>
          <w:szCs w:val="24"/>
        </w:rPr>
        <w:t xml:space="preserve">cuya decisión en </w:t>
      </w:r>
      <w:r w:rsidR="00FC362B" w:rsidRPr="00D20882">
        <w:rPr>
          <w:rFonts w:ascii="Gadugi" w:eastAsia="Georgia" w:hAnsi="Gadugi" w:cs="Georgia"/>
          <w:spacing w:val="-4"/>
          <w:sz w:val="24"/>
          <w:szCs w:val="24"/>
        </w:rPr>
        <w:t xml:space="preserve">asamblea general de propietarios </w:t>
      </w:r>
      <w:r w:rsidR="0092266B" w:rsidRPr="00D20882">
        <w:rPr>
          <w:rFonts w:ascii="Gadugi" w:eastAsia="Georgia" w:hAnsi="Gadugi" w:cs="Georgia"/>
          <w:spacing w:val="-4"/>
          <w:sz w:val="24"/>
          <w:szCs w:val="24"/>
        </w:rPr>
        <w:t>del 17 de octubre de 2020</w:t>
      </w:r>
      <w:r w:rsidR="001849B2" w:rsidRPr="00D20882">
        <w:rPr>
          <w:rStyle w:val="Refdenotaalpie"/>
          <w:rFonts w:ascii="Gadugi" w:eastAsia="Georgia" w:hAnsi="Gadugi" w:cs="Georgia"/>
          <w:spacing w:val="-4"/>
          <w:sz w:val="24"/>
          <w:szCs w:val="24"/>
        </w:rPr>
        <w:footnoteReference w:id="15"/>
      </w:r>
      <w:r w:rsidR="00C154F0" w:rsidRPr="00D20882">
        <w:rPr>
          <w:rFonts w:ascii="Gadugi" w:eastAsia="Georgia" w:hAnsi="Gadugi" w:cs="Georgia"/>
          <w:spacing w:val="-4"/>
          <w:sz w:val="24"/>
          <w:szCs w:val="24"/>
        </w:rPr>
        <w:t xml:space="preserve"> se controvierte</w:t>
      </w:r>
      <w:r w:rsidR="0092266B" w:rsidRPr="00D20882">
        <w:rPr>
          <w:rFonts w:ascii="Gadugi" w:eastAsia="Georgia" w:hAnsi="Gadugi" w:cs="Georgia"/>
          <w:spacing w:val="-4"/>
          <w:sz w:val="24"/>
          <w:szCs w:val="24"/>
        </w:rPr>
        <w:t>.</w:t>
      </w:r>
    </w:p>
    <w:p w14:paraId="1E1D990D" w14:textId="77777777" w:rsidR="0037103C" w:rsidRPr="00D20882" w:rsidRDefault="0037103C" w:rsidP="0031731E">
      <w:pPr>
        <w:jc w:val="both"/>
        <w:rPr>
          <w:rFonts w:ascii="Gadugi" w:eastAsia="Georgia" w:hAnsi="Gadugi" w:cs="Georgia"/>
          <w:color w:val="FF0000"/>
          <w:spacing w:val="-4"/>
          <w:sz w:val="24"/>
          <w:szCs w:val="24"/>
        </w:rPr>
      </w:pPr>
    </w:p>
    <w:p w14:paraId="75DF5B77" w14:textId="77777777" w:rsidR="007700A2" w:rsidRPr="00D20882" w:rsidRDefault="0066186F" w:rsidP="0031731E">
      <w:pPr>
        <w:pStyle w:val="Prrafodelista"/>
        <w:numPr>
          <w:ilvl w:val="1"/>
          <w:numId w:val="3"/>
        </w:numPr>
        <w:tabs>
          <w:tab w:val="left" w:pos="426"/>
        </w:tabs>
        <w:ind w:left="0" w:firstLine="0"/>
        <w:jc w:val="both"/>
        <w:rPr>
          <w:rFonts w:ascii="Gadugi" w:eastAsia="Georgia" w:hAnsi="Gadugi" w:cs="Georgia"/>
          <w:spacing w:val="-4"/>
          <w:sz w:val="24"/>
          <w:szCs w:val="24"/>
        </w:rPr>
      </w:pPr>
      <w:r w:rsidRPr="00D20882">
        <w:rPr>
          <w:rFonts w:ascii="Gadugi" w:eastAsia="Georgia" w:hAnsi="Gadugi" w:cs="Georgia"/>
          <w:color w:val="000000" w:themeColor="text1"/>
          <w:spacing w:val="-4"/>
          <w:sz w:val="24"/>
          <w:szCs w:val="24"/>
        </w:rPr>
        <w:t xml:space="preserve">Corresponde a la Sala decidir si </w:t>
      </w:r>
      <w:r w:rsidR="00FC362B" w:rsidRPr="00D20882">
        <w:rPr>
          <w:rFonts w:ascii="Gadugi" w:eastAsia="Georgia" w:hAnsi="Gadugi" w:cs="Georgia"/>
          <w:color w:val="000000" w:themeColor="text1"/>
          <w:spacing w:val="-4"/>
          <w:sz w:val="24"/>
          <w:szCs w:val="24"/>
        </w:rPr>
        <w:t xml:space="preserve">confirma la sentencia atendiendo la tesis del Juzgado acerca de que </w:t>
      </w:r>
      <w:r w:rsidRPr="00D20882">
        <w:rPr>
          <w:rFonts w:ascii="Gadugi" w:eastAsia="Georgia" w:hAnsi="Gadugi" w:cs="Georgia"/>
          <w:color w:val="000000" w:themeColor="text1"/>
          <w:spacing w:val="-4"/>
          <w:sz w:val="24"/>
          <w:szCs w:val="24"/>
        </w:rPr>
        <w:t xml:space="preserve">el procedimiento utilizado por la </w:t>
      </w:r>
      <w:r w:rsidR="00FC362B" w:rsidRPr="00D20882">
        <w:rPr>
          <w:rFonts w:ascii="Gadugi" w:eastAsia="Georgia" w:hAnsi="Gadugi" w:cs="Georgia"/>
          <w:color w:val="000000" w:themeColor="text1"/>
          <w:spacing w:val="-4"/>
          <w:sz w:val="24"/>
          <w:szCs w:val="24"/>
        </w:rPr>
        <w:t>asamblea gen</w:t>
      </w:r>
      <w:r w:rsidR="00FC362B" w:rsidRPr="00D20882">
        <w:rPr>
          <w:rFonts w:ascii="Gadugi" w:eastAsia="Georgia" w:hAnsi="Gadugi" w:cs="Georgia"/>
          <w:spacing w:val="-4"/>
          <w:sz w:val="24"/>
          <w:szCs w:val="24"/>
        </w:rPr>
        <w:t xml:space="preserve">eral de propietarios del </w:t>
      </w:r>
      <w:r w:rsidR="00D96060" w:rsidRPr="00D20882">
        <w:rPr>
          <w:rFonts w:ascii="Gadugi" w:eastAsia="Georgia" w:hAnsi="Gadugi" w:cs="Georgia"/>
          <w:spacing w:val="-4"/>
          <w:sz w:val="24"/>
          <w:szCs w:val="24"/>
        </w:rPr>
        <w:t xml:space="preserve">Conjunto Residencial Primavera PH, </w:t>
      </w:r>
      <w:r w:rsidRPr="00D20882">
        <w:rPr>
          <w:rFonts w:ascii="Gadugi" w:eastAsia="Georgia" w:hAnsi="Gadugi" w:cs="Georgia"/>
          <w:spacing w:val="-4"/>
          <w:sz w:val="24"/>
          <w:szCs w:val="24"/>
        </w:rPr>
        <w:t>el 17 de octubre de 20</w:t>
      </w:r>
      <w:r w:rsidR="00FC362B" w:rsidRPr="00D20882">
        <w:rPr>
          <w:rFonts w:ascii="Gadugi" w:eastAsia="Georgia" w:hAnsi="Gadugi" w:cs="Georgia"/>
          <w:spacing w:val="-4"/>
          <w:sz w:val="24"/>
          <w:szCs w:val="24"/>
        </w:rPr>
        <w:t>20</w:t>
      </w:r>
      <w:r w:rsidR="00D96060" w:rsidRPr="00D20882">
        <w:rPr>
          <w:rFonts w:ascii="Gadugi" w:eastAsia="Georgia" w:hAnsi="Gadugi" w:cs="Georgia"/>
          <w:spacing w:val="-4"/>
          <w:sz w:val="24"/>
          <w:szCs w:val="24"/>
        </w:rPr>
        <w:t>,</w:t>
      </w:r>
      <w:r w:rsidRPr="00D20882">
        <w:rPr>
          <w:rFonts w:ascii="Gadugi" w:eastAsia="Georgia" w:hAnsi="Gadugi" w:cs="Georgia"/>
          <w:spacing w:val="-4"/>
          <w:sz w:val="24"/>
          <w:szCs w:val="24"/>
        </w:rPr>
        <w:t xml:space="preserve"> para fijar la cuota de administración para el año 2020, así como </w:t>
      </w:r>
      <w:r w:rsidR="00FC362B" w:rsidRPr="00D20882">
        <w:rPr>
          <w:rFonts w:ascii="Gadugi" w:eastAsia="Georgia" w:hAnsi="Gadugi" w:cs="Georgia"/>
          <w:spacing w:val="-4"/>
          <w:sz w:val="24"/>
          <w:szCs w:val="24"/>
        </w:rPr>
        <w:t xml:space="preserve">una </w:t>
      </w:r>
      <w:r w:rsidRPr="00D20882">
        <w:rPr>
          <w:rFonts w:ascii="Gadugi" w:eastAsia="Georgia" w:hAnsi="Gadugi" w:cs="Georgia"/>
          <w:spacing w:val="-4"/>
          <w:sz w:val="24"/>
          <w:szCs w:val="24"/>
        </w:rPr>
        <w:t xml:space="preserve">cuota extraordinaria </w:t>
      </w:r>
      <w:r w:rsidR="00FC362B" w:rsidRPr="00D20882">
        <w:rPr>
          <w:rFonts w:ascii="Gadugi" w:eastAsia="Georgia" w:hAnsi="Gadugi" w:cs="Georgia"/>
          <w:spacing w:val="-4"/>
          <w:sz w:val="24"/>
          <w:szCs w:val="24"/>
        </w:rPr>
        <w:t xml:space="preserve">para pintura </w:t>
      </w:r>
      <w:r w:rsidRPr="00D20882">
        <w:rPr>
          <w:rFonts w:ascii="Gadugi" w:eastAsia="Georgia" w:hAnsi="Gadugi" w:cs="Georgia"/>
          <w:spacing w:val="-4"/>
          <w:sz w:val="24"/>
          <w:szCs w:val="24"/>
        </w:rPr>
        <w:t xml:space="preserve">y el seguro de áreas comunes, </w:t>
      </w:r>
      <w:r w:rsidR="00FC362B" w:rsidRPr="00D20882">
        <w:rPr>
          <w:rFonts w:ascii="Gadugi" w:eastAsia="Georgia" w:hAnsi="Gadugi" w:cs="Georgia"/>
          <w:spacing w:val="-4"/>
          <w:sz w:val="24"/>
          <w:szCs w:val="24"/>
        </w:rPr>
        <w:t>fue contraria a la ley; o si se revoca, como quiere la impugnante, porque se cumplieron los estatutos y la norma.</w:t>
      </w:r>
    </w:p>
    <w:p w14:paraId="6087C78D" w14:textId="77777777" w:rsidR="007700A2" w:rsidRPr="00D20882" w:rsidRDefault="007700A2" w:rsidP="0031731E">
      <w:pPr>
        <w:pStyle w:val="Prrafodelista"/>
        <w:tabs>
          <w:tab w:val="left" w:pos="426"/>
        </w:tabs>
        <w:ind w:left="0"/>
        <w:jc w:val="both"/>
        <w:rPr>
          <w:rFonts w:ascii="Gadugi" w:eastAsia="Georgia" w:hAnsi="Gadugi" w:cs="Georgia"/>
          <w:color w:val="000000" w:themeColor="text1"/>
          <w:spacing w:val="-4"/>
          <w:sz w:val="24"/>
          <w:szCs w:val="24"/>
        </w:rPr>
      </w:pPr>
    </w:p>
    <w:p w14:paraId="411CBF2B" w14:textId="111AB730" w:rsidR="00427739" w:rsidRPr="00D20882" w:rsidRDefault="007700A2" w:rsidP="0031731E">
      <w:pPr>
        <w:pStyle w:val="Prrafodelista"/>
        <w:numPr>
          <w:ilvl w:val="1"/>
          <w:numId w:val="3"/>
        </w:numPr>
        <w:tabs>
          <w:tab w:val="left" w:pos="426"/>
        </w:tabs>
        <w:ind w:left="0" w:firstLine="0"/>
        <w:jc w:val="both"/>
        <w:rPr>
          <w:rFonts w:ascii="Gadugi" w:eastAsia="Georgia" w:hAnsi="Gadugi" w:cs="Georgia"/>
          <w:bCs/>
          <w:spacing w:val="-4"/>
          <w:sz w:val="24"/>
          <w:szCs w:val="24"/>
          <w:lang w:val="es-CO"/>
        </w:rPr>
      </w:pPr>
      <w:r w:rsidRPr="00D20882">
        <w:rPr>
          <w:rFonts w:ascii="Gadugi" w:eastAsia="Georgia" w:hAnsi="Gadugi" w:cs="Georgia"/>
          <w:spacing w:val="-4"/>
          <w:sz w:val="24"/>
          <w:szCs w:val="24"/>
        </w:rPr>
        <w:t>Con ese propósito se memora que</w:t>
      </w:r>
      <w:r w:rsidRPr="00D20882">
        <w:rPr>
          <w:rFonts w:ascii="Gadugi" w:eastAsia="Georgia" w:hAnsi="Gadugi" w:cs="Georgia"/>
          <w:bCs/>
          <w:spacing w:val="-4"/>
          <w:sz w:val="24"/>
          <w:szCs w:val="24"/>
          <w:lang w:val="es-CO"/>
        </w:rPr>
        <w:t xml:space="preserve">, producto de la redacción del artículo 328 del CGP, </w:t>
      </w:r>
      <w:r w:rsidR="00427739" w:rsidRPr="00D20882">
        <w:rPr>
          <w:rFonts w:ascii="Gadugi" w:eastAsia="Georgia" w:hAnsi="Gadugi" w:cs="Georgia"/>
          <w:bCs/>
          <w:spacing w:val="-4"/>
          <w:sz w:val="24"/>
          <w:szCs w:val="24"/>
          <w:lang w:val="es-CO"/>
        </w:rPr>
        <w:t>el sendero que traza la competencia del Superior está dado por aquellos aspectos que fueron objeto de impugnación, sin perjuicio de algunas situaciones que permiten decidir de oficio (legitimación en la causa -como aquí ocurrió-, prestaciones mutuas, asuntos relacionados con la familia, las costas procesales, por ejemplo). Es lo que se ha dado en denominar la pretensión impugnaticia, como ha sido reconocido por esta Sala de tiempo atrás</w:t>
      </w:r>
      <w:r w:rsidR="00427739" w:rsidRPr="00D20882">
        <w:rPr>
          <w:rFonts w:ascii="Gadugi" w:eastAsia="Georgia" w:hAnsi="Gadugi" w:cs="Georgia"/>
          <w:bCs/>
          <w:spacing w:val="-4"/>
          <w:sz w:val="24"/>
          <w:szCs w:val="24"/>
          <w:vertAlign w:val="superscript"/>
          <w:lang w:val="es-CO"/>
        </w:rPr>
        <w:footnoteReference w:id="16"/>
      </w:r>
      <w:r w:rsidR="00427739" w:rsidRPr="00D20882">
        <w:rPr>
          <w:rFonts w:ascii="Gadugi" w:eastAsia="Georgia" w:hAnsi="Gadugi" w:cs="Georgia"/>
          <w:bCs/>
          <w:spacing w:val="-4"/>
          <w:sz w:val="24"/>
          <w:szCs w:val="24"/>
          <w:lang w:val="es-CO"/>
        </w:rPr>
        <w:t xml:space="preserve"> y lo han reiterado otras</w:t>
      </w:r>
      <w:r w:rsidR="00427739" w:rsidRPr="00D20882">
        <w:rPr>
          <w:rFonts w:ascii="Gadugi" w:eastAsia="Georgia" w:hAnsi="Gadugi" w:cs="Georgia"/>
          <w:bCs/>
          <w:spacing w:val="-4"/>
          <w:sz w:val="24"/>
          <w:szCs w:val="24"/>
          <w:vertAlign w:val="superscript"/>
          <w:lang w:val="es-CO"/>
        </w:rPr>
        <w:footnoteReference w:id="17"/>
      </w:r>
      <w:r w:rsidR="00427739" w:rsidRPr="00D20882">
        <w:rPr>
          <w:rFonts w:ascii="Gadugi" w:eastAsia="Georgia" w:hAnsi="Gadugi" w:cs="Georgia"/>
          <w:bCs/>
          <w:spacing w:val="-4"/>
          <w:sz w:val="24"/>
          <w:szCs w:val="24"/>
          <w:lang w:val="es-CO"/>
        </w:rPr>
        <w:t>, con soporte en decisiones de la Corte, unas de tutela</w:t>
      </w:r>
      <w:r w:rsidR="00427739" w:rsidRPr="00D20882">
        <w:rPr>
          <w:rFonts w:ascii="Gadugi" w:eastAsia="Georgia" w:hAnsi="Gadugi" w:cs="Georgia"/>
          <w:bCs/>
          <w:spacing w:val="-4"/>
          <w:sz w:val="24"/>
          <w:szCs w:val="24"/>
          <w:vertAlign w:val="superscript"/>
          <w:lang w:val="es-CO"/>
        </w:rPr>
        <w:footnoteReference w:id="18"/>
      </w:r>
      <w:r w:rsidR="00427739" w:rsidRPr="00D20882">
        <w:rPr>
          <w:rFonts w:ascii="Gadugi" w:eastAsia="Georgia" w:hAnsi="Gadugi" w:cs="Georgia"/>
          <w:bCs/>
          <w:spacing w:val="-4"/>
          <w:sz w:val="24"/>
          <w:szCs w:val="24"/>
          <w:lang w:val="es-CO"/>
        </w:rPr>
        <w:t>, que se acogen como criterio auxiliar, y otras de casación</w:t>
      </w:r>
      <w:r w:rsidR="00427739" w:rsidRPr="00D20882">
        <w:rPr>
          <w:rFonts w:ascii="Gadugi" w:eastAsia="Georgia" w:hAnsi="Gadugi" w:cs="Georgia"/>
          <w:bCs/>
          <w:spacing w:val="-4"/>
          <w:sz w:val="24"/>
          <w:szCs w:val="24"/>
          <w:vertAlign w:val="superscript"/>
          <w:lang w:val="es-CO"/>
        </w:rPr>
        <w:footnoteReference w:id="19"/>
      </w:r>
      <w:r w:rsidR="00427739" w:rsidRPr="00D20882">
        <w:rPr>
          <w:rFonts w:ascii="Gadugi" w:eastAsia="Georgia" w:hAnsi="Gadugi" w:cs="Georgia"/>
          <w:bCs/>
          <w:spacing w:val="-4"/>
          <w:sz w:val="24"/>
          <w:szCs w:val="24"/>
          <w:lang w:val="es-CO"/>
        </w:rPr>
        <w:t xml:space="preserve">. </w:t>
      </w:r>
    </w:p>
    <w:p w14:paraId="68849388" w14:textId="77777777" w:rsidR="00427739" w:rsidRPr="00D20882" w:rsidRDefault="00427739" w:rsidP="0031731E">
      <w:pPr>
        <w:pStyle w:val="Prrafodelista"/>
        <w:tabs>
          <w:tab w:val="left" w:pos="426"/>
        </w:tabs>
        <w:ind w:left="0"/>
        <w:jc w:val="both"/>
        <w:rPr>
          <w:rFonts w:ascii="Gadugi" w:eastAsia="Georgia" w:hAnsi="Gadugi" w:cs="Georgia"/>
          <w:bCs/>
          <w:spacing w:val="-4"/>
          <w:sz w:val="24"/>
          <w:szCs w:val="24"/>
          <w:lang w:val="es-CO"/>
        </w:rPr>
      </w:pPr>
    </w:p>
    <w:p w14:paraId="7C8D7F1A" w14:textId="7E654C05" w:rsidR="00E0262A" w:rsidRPr="00D20882" w:rsidRDefault="007700A2" w:rsidP="0031731E">
      <w:pPr>
        <w:tabs>
          <w:tab w:val="left" w:pos="426"/>
        </w:tabs>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En este caso es relevante señalarlo, porque </w:t>
      </w:r>
      <w:r w:rsidR="002F29F9" w:rsidRPr="00D20882">
        <w:rPr>
          <w:rFonts w:ascii="Gadugi" w:eastAsia="Georgia" w:hAnsi="Gadugi" w:cs="Georgia"/>
          <w:spacing w:val="-4"/>
          <w:sz w:val="24"/>
          <w:szCs w:val="24"/>
        </w:rPr>
        <w:t>en la demanda</w:t>
      </w:r>
      <w:r w:rsidR="002F29F9" w:rsidRPr="00D20882">
        <w:rPr>
          <w:rStyle w:val="Refdenotaalpie"/>
          <w:rFonts w:ascii="Gadugi" w:eastAsia="Georgia" w:hAnsi="Gadugi" w:cs="Georgia"/>
          <w:spacing w:val="-4"/>
          <w:sz w:val="24"/>
          <w:szCs w:val="24"/>
        </w:rPr>
        <w:footnoteReference w:id="20"/>
      </w:r>
      <w:r w:rsidR="00E0262A" w:rsidRPr="00D20882">
        <w:rPr>
          <w:rFonts w:ascii="Gadugi" w:eastAsia="Georgia" w:hAnsi="Gadugi" w:cs="Georgia"/>
          <w:spacing w:val="-4"/>
          <w:sz w:val="24"/>
          <w:szCs w:val="24"/>
        </w:rPr>
        <w:t xml:space="preserve"> se reclamó que se declarara la ineficacia de las decisiones adoptadas en la asamblea del 17 de octubre de 2020 y, en consecuencia, se dejaran sin efecto (i) el nombramiento y conformación del consejo de administración y el comité de convivencia; y (ii) las proposiciones de cuotas de administración 2020, de cuota extraordinaria pintura, y de seguro de áreas comunes; así como (iii) ordenar la devolución de los dineros cobrados a quienes resultaron afectados con esa decisión. </w:t>
      </w:r>
    </w:p>
    <w:p w14:paraId="76E305E0" w14:textId="0F226085" w:rsidR="00E0262A" w:rsidRPr="00D20882" w:rsidRDefault="00E0262A" w:rsidP="0031731E">
      <w:pPr>
        <w:tabs>
          <w:tab w:val="left" w:pos="426"/>
        </w:tabs>
        <w:jc w:val="both"/>
        <w:rPr>
          <w:rFonts w:ascii="Gadugi" w:eastAsia="Georgia" w:hAnsi="Gadugi" w:cs="Georgia"/>
          <w:spacing w:val="-4"/>
          <w:sz w:val="24"/>
          <w:szCs w:val="24"/>
        </w:rPr>
      </w:pPr>
    </w:p>
    <w:p w14:paraId="41A2A100" w14:textId="357EE675" w:rsidR="007700A2" w:rsidRPr="00D20882" w:rsidRDefault="00E0262A" w:rsidP="0031731E">
      <w:pPr>
        <w:tabs>
          <w:tab w:val="left" w:pos="426"/>
        </w:tabs>
        <w:jc w:val="both"/>
        <w:rPr>
          <w:rFonts w:ascii="Gadugi" w:eastAsia="Georgia" w:hAnsi="Gadugi" w:cs="Georgia"/>
          <w:b/>
          <w:spacing w:val="-4"/>
          <w:sz w:val="24"/>
          <w:szCs w:val="24"/>
        </w:rPr>
      </w:pPr>
      <w:r w:rsidRPr="00D20882">
        <w:rPr>
          <w:rFonts w:ascii="Gadugi" w:eastAsia="Georgia" w:hAnsi="Gadugi" w:cs="Georgia"/>
          <w:spacing w:val="-4"/>
          <w:sz w:val="24"/>
          <w:szCs w:val="24"/>
        </w:rPr>
        <w:t xml:space="preserve">El Juzgado en su fallo, a pesar de que en la motiva se refirió al primer punto, esto es, el nombramiento y conformación del consejo y el comité, nada dijo en la </w:t>
      </w:r>
      <w:r w:rsidR="00D05D66" w:rsidRPr="00D20882">
        <w:rPr>
          <w:rFonts w:ascii="Gadugi" w:eastAsia="Georgia" w:hAnsi="Gadugi" w:cs="Georgia"/>
          <w:spacing w:val="-4"/>
          <w:sz w:val="24"/>
          <w:szCs w:val="24"/>
        </w:rPr>
        <w:t>resolutiva</w:t>
      </w:r>
      <w:r w:rsidRPr="00D20882">
        <w:rPr>
          <w:rFonts w:ascii="Gadugi" w:eastAsia="Georgia" w:hAnsi="Gadugi" w:cs="Georgia"/>
          <w:spacing w:val="-4"/>
          <w:sz w:val="24"/>
          <w:szCs w:val="24"/>
        </w:rPr>
        <w:t>, p</w:t>
      </w:r>
      <w:r w:rsidR="00D05D66" w:rsidRPr="00D20882">
        <w:rPr>
          <w:rFonts w:ascii="Gadugi" w:eastAsia="Georgia" w:hAnsi="Gadugi" w:cs="Georgia"/>
          <w:spacing w:val="-4"/>
          <w:sz w:val="24"/>
          <w:szCs w:val="24"/>
        </w:rPr>
        <w:t>u</w:t>
      </w:r>
      <w:r w:rsidRPr="00D20882">
        <w:rPr>
          <w:rFonts w:ascii="Gadugi" w:eastAsia="Georgia" w:hAnsi="Gadugi" w:cs="Georgia"/>
          <w:spacing w:val="-4"/>
          <w:sz w:val="24"/>
          <w:szCs w:val="24"/>
        </w:rPr>
        <w:t>es allí, con claridad, declaró “</w:t>
      </w:r>
      <w:r w:rsidR="007700A2" w:rsidRPr="00D20882">
        <w:rPr>
          <w:rFonts w:ascii="Gadugi" w:eastAsia="Georgia" w:hAnsi="Gadugi" w:cs="Georgia"/>
          <w:i/>
          <w:spacing w:val="-4"/>
          <w:sz w:val="24"/>
          <w:szCs w:val="24"/>
        </w:rPr>
        <w:t xml:space="preserve">la ineficacia de las decisiones tomada por la asamblea general de copropietarios del Conjunto residencial Primavera Propiedad horizontal el 17 de octubre de 2020 respecto a la fijación de la cuota de administración para el año 2020, cuota extraordinaria para Pintura y seguros de áreas comunes. Así mismo, se declara que la Asamblea general de copropietarios deberá reunirse nuevamente para fijar la cuota de </w:t>
      </w:r>
      <w:r w:rsidR="007700A2" w:rsidRPr="00D20882">
        <w:rPr>
          <w:rFonts w:ascii="Gadugi" w:eastAsia="Georgia" w:hAnsi="Gadugi" w:cs="Georgia"/>
          <w:i/>
          <w:spacing w:val="-4"/>
          <w:sz w:val="24"/>
          <w:szCs w:val="24"/>
        </w:rPr>
        <w:lastRenderedPageBreak/>
        <w:t>administración para el año 2020 siguiendo los parámetros legales y los términos de esta sentencia, y una vez definido deberá la administración del conjunto residencial cruzar las cuentas y devolver a los copropietarios los dineros que tengan a favor</w:t>
      </w:r>
      <w:r w:rsidRPr="00D20882">
        <w:rPr>
          <w:rFonts w:ascii="Gadugi" w:eastAsia="Georgia" w:hAnsi="Gadugi" w:cs="Georgia"/>
          <w:i/>
          <w:spacing w:val="-4"/>
          <w:sz w:val="24"/>
          <w:szCs w:val="24"/>
        </w:rPr>
        <w:t>”</w:t>
      </w:r>
      <w:r w:rsidR="007700A2" w:rsidRPr="00D20882">
        <w:rPr>
          <w:rFonts w:ascii="Gadugi" w:eastAsia="Georgia" w:hAnsi="Gadugi" w:cs="Georgia"/>
          <w:i/>
          <w:spacing w:val="-4"/>
          <w:sz w:val="24"/>
          <w:szCs w:val="24"/>
        </w:rPr>
        <w:t>.</w:t>
      </w:r>
      <w:r w:rsidR="007700A2" w:rsidRPr="00D20882">
        <w:rPr>
          <w:rFonts w:ascii="Gadugi" w:eastAsia="Georgia" w:hAnsi="Gadugi" w:cs="Georgia"/>
          <w:b/>
          <w:spacing w:val="-4"/>
          <w:sz w:val="24"/>
          <w:szCs w:val="24"/>
        </w:rPr>
        <w:t xml:space="preserve"> </w:t>
      </w:r>
    </w:p>
    <w:p w14:paraId="1BFA7A18" w14:textId="732AA7DC" w:rsidR="00E0262A" w:rsidRPr="00D20882" w:rsidRDefault="00E0262A" w:rsidP="0031731E">
      <w:pPr>
        <w:tabs>
          <w:tab w:val="left" w:pos="426"/>
        </w:tabs>
        <w:jc w:val="both"/>
        <w:rPr>
          <w:rFonts w:ascii="Gadugi" w:eastAsia="Georgia" w:hAnsi="Gadugi" w:cs="Georgia"/>
          <w:b/>
          <w:spacing w:val="-4"/>
          <w:sz w:val="24"/>
          <w:szCs w:val="24"/>
        </w:rPr>
      </w:pPr>
    </w:p>
    <w:p w14:paraId="1901C747" w14:textId="15E943C6" w:rsidR="00E0262A" w:rsidRPr="00D20882" w:rsidRDefault="00E0262A" w:rsidP="0031731E">
      <w:pPr>
        <w:tabs>
          <w:tab w:val="left" w:pos="426"/>
        </w:tabs>
        <w:jc w:val="both"/>
        <w:rPr>
          <w:rFonts w:ascii="Gadugi" w:eastAsia="Georgia" w:hAnsi="Gadugi" w:cs="Georgia"/>
          <w:spacing w:val="-4"/>
          <w:sz w:val="24"/>
          <w:szCs w:val="24"/>
        </w:rPr>
      </w:pPr>
      <w:r w:rsidRPr="00D20882">
        <w:rPr>
          <w:rFonts w:ascii="Gadugi" w:eastAsia="Georgia" w:hAnsi="Gadugi" w:cs="Georgia"/>
          <w:spacing w:val="-4"/>
          <w:sz w:val="24"/>
          <w:szCs w:val="24"/>
        </w:rPr>
        <w:t>Sobre ese aspecto las partes guardaron silencio; n</w:t>
      </w:r>
      <w:r w:rsidR="0006504E" w:rsidRPr="00D20882">
        <w:rPr>
          <w:rFonts w:ascii="Gadugi" w:eastAsia="Georgia" w:hAnsi="Gadugi" w:cs="Georgia"/>
          <w:spacing w:val="-4"/>
          <w:sz w:val="24"/>
          <w:szCs w:val="24"/>
        </w:rPr>
        <w:t>o</w:t>
      </w:r>
      <w:r w:rsidRPr="00D20882">
        <w:rPr>
          <w:rFonts w:ascii="Gadugi" w:eastAsia="Georgia" w:hAnsi="Gadugi" w:cs="Georgia"/>
          <w:spacing w:val="-4"/>
          <w:sz w:val="24"/>
          <w:szCs w:val="24"/>
        </w:rPr>
        <w:t xml:space="preserve"> pidieron complementación, ni recurrieron por </w:t>
      </w:r>
      <w:r w:rsidR="0006504E" w:rsidRPr="00D20882">
        <w:rPr>
          <w:rFonts w:ascii="Gadugi" w:eastAsia="Georgia" w:hAnsi="Gadugi" w:cs="Georgia"/>
          <w:spacing w:val="-4"/>
          <w:sz w:val="24"/>
          <w:szCs w:val="24"/>
        </w:rPr>
        <w:t>tal</w:t>
      </w:r>
      <w:r w:rsidRPr="00D20882">
        <w:rPr>
          <w:rFonts w:ascii="Gadugi" w:eastAsia="Georgia" w:hAnsi="Gadugi" w:cs="Georgia"/>
          <w:spacing w:val="-4"/>
          <w:sz w:val="24"/>
          <w:szCs w:val="24"/>
        </w:rPr>
        <w:t xml:space="preserve"> omisión, así que para esta Sala está vedado pronunciarse sobre ello.</w:t>
      </w:r>
    </w:p>
    <w:p w14:paraId="587AD851" w14:textId="7BC99255" w:rsidR="00E0262A" w:rsidRPr="00D20882" w:rsidRDefault="00E0262A" w:rsidP="0031731E">
      <w:pPr>
        <w:tabs>
          <w:tab w:val="left" w:pos="426"/>
        </w:tabs>
        <w:jc w:val="both"/>
        <w:rPr>
          <w:rFonts w:ascii="Gadugi" w:eastAsia="Georgia" w:hAnsi="Gadugi" w:cs="Georgia"/>
          <w:spacing w:val="-4"/>
          <w:sz w:val="24"/>
          <w:szCs w:val="24"/>
        </w:rPr>
      </w:pPr>
    </w:p>
    <w:p w14:paraId="5768FCD5" w14:textId="0E5A1502" w:rsidR="00611758" w:rsidRPr="00D20882" w:rsidRDefault="00E0262A" w:rsidP="0031731E">
      <w:pPr>
        <w:pStyle w:val="Prrafodelista"/>
        <w:numPr>
          <w:ilvl w:val="1"/>
          <w:numId w:val="3"/>
        </w:numPr>
        <w:ind w:left="0" w:firstLine="0"/>
        <w:jc w:val="both"/>
        <w:rPr>
          <w:rFonts w:ascii="Gadugi" w:eastAsia="Georgia" w:hAnsi="Gadugi" w:cs="Georgia"/>
          <w:i/>
          <w:spacing w:val="-4"/>
          <w:sz w:val="24"/>
          <w:szCs w:val="24"/>
        </w:rPr>
      </w:pPr>
      <w:r w:rsidRPr="00D20882">
        <w:rPr>
          <w:rFonts w:ascii="Gadugi" w:eastAsia="Georgia" w:hAnsi="Gadugi" w:cs="Georgia"/>
          <w:spacing w:val="-4"/>
          <w:sz w:val="24"/>
          <w:szCs w:val="24"/>
        </w:rPr>
        <w:t>Ahora bien, las decisiones de primera instancia</w:t>
      </w:r>
      <w:r w:rsidR="00611758" w:rsidRPr="00D20882">
        <w:rPr>
          <w:rStyle w:val="Refdenotaalpie"/>
          <w:rFonts w:ascii="Gadugi" w:eastAsia="Georgia" w:hAnsi="Gadugi" w:cs="Georgia"/>
          <w:spacing w:val="-4"/>
          <w:sz w:val="24"/>
          <w:szCs w:val="24"/>
        </w:rPr>
        <w:footnoteReference w:id="21"/>
      </w:r>
      <w:r w:rsidRPr="00D20882">
        <w:rPr>
          <w:rFonts w:ascii="Gadugi" w:eastAsia="Georgia" w:hAnsi="Gadugi" w:cs="Georgia"/>
          <w:spacing w:val="-4"/>
          <w:sz w:val="24"/>
          <w:szCs w:val="24"/>
        </w:rPr>
        <w:t xml:space="preserve"> vienen soportadas en </w:t>
      </w:r>
      <w:r w:rsidR="00611758" w:rsidRPr="00D20882">
        <w:rPr>
          <w:rFonts w:ascii="Gadugi" w:eastAsia="Georgia" w:hAnsi="Gadugi" w:cs="Georgia"/>
          <w:spacing w:val="-4"/>
          <w:sz w:val="24"/>
          <w:szCs w:val="24"/>
        </w:rPr>
        <w:t xml:space="preserve">que, a pesar de que el sistema de fijación de cuotas por módulos de contribución está diseñado en la ley para copropiedades de tipo comercial o con una destinación específica, dentro de la autonomía de la voluntad propia de la asamblea, nada se opone a que se haya </w:t>
      </w:r>
      <w:r w:rsidR="00611758" w:rsidRPr="00D20882">
        <w:rPr>
          <w:rFonts w:ascii="Gadugi" w:eastAsia="Georgia" w:hAnsi="Gadugi" w:cs="Georgia"/>
          <w:i/>
          <w:spacing w:val="-4"/>
          <w:sz w:val="24"/>
          <w:szCs w:val="24"/>
        </w:rPr>
        <w:t>“</w:t>
      </w:r>
      <w:r w:rsidR="00611758" w:rsidRPr="00D20882">
        <w:rPr>
          <w:rFonts w:ascii="Gadugi" w:eastAsia="Georgia" w:hAnsi="Gadugi" w:cs="Georgia"/>
          <w:i/>
          <w:spacing w:val="-4"/>
          <w:szCs w:val="24"/>
        </w:rPr>
        <w:t>decidido que el pago de las expensas comunes y extraordinarias se decida con base en módulos de contribución definida en el reglamento de copropiedad horizontal del conjunto residencial en el artículo sexto de la escritura pública número 987 del 10 de junio de 2010</w:t>
      </w:r>
      <w:r w:rsidR="00CF2E4D" w:rsidRPr="00D20882">
        <w:rPr>
          <w:rFonts w:ascii="Gadugi" w:eastAsia="Georgia" w:hAnsi="Gadugi" w:cs="Georgia"/>
          <w:i/>
          <w:spacing w:val="-4"/>
          <w:szCs w:val="24"/>
        </w:rPr>
        <w:t>,</w:t>
      </w:r>
      <w:r w:rsidR="00611758" w:rsidRPr="00D20882">
        <w:rPr>
          <w:rFonts w:ascii="Gadugi" w:eastAsia="Georgia" w:hAnsi="Gadugi" w:cs="Georgia"/>
          <w:i/>
          <w:spacing w:val="-4"/>
          <w:szCs w:val="24"/>
        </w:rPr>
        <w:t xml:space="preserve"> otorgada en la </w:t>
      </w:r>
      <w:r w:rsidR="00CF2E4D" w:rsidRPr="00D20882">
        <w:rPr>
          <w:rFonts w:ascii="Gadugi" w:eastAsia="Georgia" w:hAnsi="Gadugi" w:cs="Georgia"/>
          <w:i/>
          <w:spacing w:val="-4"/>
          <w:szCs w:val="24"/>
        </w:rPr>
        <w:t xml:space="preserve">Notaría Sexta del Círculo de </w:t>
      </w:r>
      <w:r w:rsidR="00611758" w:rsidRPr="00D20882">
        <w:rPr>
          <w:rFonts w:ascii="Gadugi" w:eastAsia="Georgia" w:hAnsi="Gadugi" w:cs="Georgia"/>
          <w:i/>
          <w:spacing w:val="-4"/>
          <w:szCs w:val="24"/>
        </w:rPr>
        <w:t xml:space="preserve">Pereira, que modifico a su vez los artículos 19 y 23 del numeral cuarto de la escritura de constitución número 3003 del 14 de noviembre de 2007, el artículo 5 y 6 del acto y contenido en la misma escritura y que modifica los artículos 7 y 8 de la escritura pública 2088 del 6 de agosto de 2008, otorgada en la </w:t>
      </w:r>
      <w:r w:rsidR="00CF2E4D" w:rsidRPr="00D20882">
        <w:rPr>
          <w:rFonts w:ascii="Gadugi" w:eastAsia="Georgia" w:hAnsi="Gadugi" w:cs="Georgia"/>
          <w:i/>
          <w:spacing w:val="-4"/>
          <w:szCs w:val="24"/>
        </w:rPr>
        <w:t xml:space="preserve">Notaría Sexta del Círculo de </w:t>
      </w:r>
      <w:r w:rsidR="00611758" w:rsidRPr="00D20882">
        <w:rPr>
          <w:rFonts w:ascii="Gadugi" w:eastAsia="Georgia" w:hAnsi="Gadugi" w:cs="Georgia"/>
          <w:i/>
          <w:spacing w:val="-4"/>
          <w:szCs w:val="24"/>
        </w:rPr>
        <w:t>Pereira</w:t>
      </w:r>
      <w:r w:rsidR="00CF2E4D" w:rsidRPr="00D20882">
        <w:rPr>
          <w:rFonts w:ascii="Gadugi" w:eastAsia="Georgia" w:hAnsi="Gadugi" w:cs="Georgia"/>
          <w:i/>
          <w:spacing w:val="-4"/>
          <w:szCs w:val="24"/>
        </w:rPr>
        <w:t>,</w:t>
      </w:r>
      <w:r w:rsidR="00611758" w:rsidRPr="00D20882">
        <w:rPr>
          <w:rFonts w:ascii="Gadugi" w:eastAsia="Georgia" w:hAnsi="Gadugi" w:cs="Georgia"/>
          <w:i/>
          <w:spacing w:val="-4"/>
          <w:szCs w:val="24"/>
        </w:rPr>
        <w:t xml:space="preserve"> previamente registrada</w:t>
      </w:r>
      <w:r w:rsidR="00CF2E4D" w:rsidRPr="00D20882">
        <w:rPr>
          <w:rFonts w:ascii="Gadugi" w:eastAsia="Georgia" w:hAnsi="Gadugi" w:cs="Georgia"/>
          <w:i/>
          <w:spacing w:val="-4"/>
          <w:sz w:val="24"/>
          <w:szCs w:val="24"/>
        </w:rPr>
        <w:t xml:space="preserve">”, </w:t>
      </w:r>
      <w:r w:rsidR="00CF2E4D" w:rsidRPr="00D20882">
        <w:rPr>
          <w:rFonts w:ascii="Gadugi" w:eastAsia="Georgia" w:hAnsi="Gadugi" w:cs="Georgia"/>
          <w:spacing w:val="-4"/>
          <w:sz w:val="24"/>
          <w:szCs w:val="24"/>
        </w:rPr>
        <w:t>y señala que “</w:t>
      </w:r>
      <w:r w:rsidR="00611758" w:rsidRPr="00D20882">
        <w:rPr>
          <w:rFonts w:ascii="Gadugi" w:eastAsia="Georgia" w:hAnsi="Gadugi" w:cs="Georgia"/>
          <w:i/>
          <w:spacing w:val="-4"/>
          <w:szCs w:val="24"/>
        </w:rPr>
        <w:t>si la copropiedad en estos momentos y desde hace varios años está interesada en cambiar la forma de tomar los módulos de contribución y pasarse o volver a los coeficientes de copropiedad esa es la manera de hacerlo a través de una modificación a los estatutos o reglamento de propiedad horizontal</w:t>
      </w:r>
      <w:r w:rsidR="00CF2E4D" w:rsidRPr="00D20882">
        <w:rPr>
          <w:rFonts w:ascii="Gadugi" w:eastAsia="Georgia" w:hAnsi="Gadugi" w:cs="Georgia"/>
          <w:i/>
          <w:spacing w:val="-4"/>
          <w:sz w:val="24"/>
          <w:szCs w:val="24"/>
        </w:rPr>
        <w:t>”</w:t>
      </w:r>
    </w:p>
    <w:p w14:paraId="05EEE19C" w14:textId="529DEB13" w:rsidR="00CF2E4D" w:rsidRPr="00D20882" w:rsidRDefault="00CF2E4D" w:rsidP="0031731E">
      <w:pPr>
        <w:jc w:val="both"/>
        <w:rPr>
          <w:rFonts w:ascii="Gadugi" w:eastAsia="Georgia" w:hAnsi="Gadugi" w:cs="Georgia"/>
          <w:spacing w:val="-4"/>
          <w:sz w:val="24"/>
          <w:szCs w:val="24"/>
        </w:rPr>
      </w:pPr>
    </w:p>
    <w:p w14:paraId="03FECA68" w14:textId="77777777" w:rsidR="009E5CA4" w:rsidRPr="00D20882" w:rsidRDefault="00CF2E4D" w:rsidP="0031731E">
      <w:pPr>
        <w:jc w:val="both"/>
        <w:rPr>
          <w:rFonts w:ascii="Gadugi" w:eastAsia="Georgia" w:hAnsi="Gadugi" w:cs="Georgia"/>
          <w:spacing w:val="-4"/>
          <w:sz w:val="24"/>
          <w:szCs w:val="24"/>
        </w:rPr>
      </w:pPr>
      <w:r w:rsidRPr="00D20882">
        <w:rPr>
          <w:rFonts w:ascii="Gadugi" w:eastAsia="Georgia" w:hAnsi="Gadugi" w:cs="Georgia"/>
          <w:spacing w:val="-4"/>
          <w:sz w:val="24"/>
          <w:szCs w:val="24"/>
        </w:rPr>
        <w:t>En tanto que los embates contra el fallo</w:t>
      </w:r>
      <w:r w:rsidRPr="00D20882">
        <w:rPr>
          <w:rStyle w:val="Refdenotaalpie"/>
          <w:rFonts w:ascii="Gadugi" w:eastAsia="Georgia" w:hAnsi="Gadugi" w:cs="Georgia"/>
          <w:spacing w:val="-4"/>
          <w:sz w:val="24"/>
          <w:szCs w:val="24"/>
        </w:rPr>
        <w:footnoteReference w:id="22"/>
      </w:r>
      <w:r w:rsidRPr="00D20882">
        <w:rPr>
          <w:rFonts w:ascii="Gadugi" w:eastAsia="Georgia" w:hAnsi="Gadugi" w:cs="Georgia"/>
          <w:spacing w:val="-4"/>
          <w:sz w:val="24"/>
          <w:szCs w:val="24"/>
        </w:rPr>
        <w:t xml:space="preserve"> se hacen consistir en que: (i) la Ley 675 </w:t>
      </w:r>
      <w:r w:rsidR="004A4167" w:rsidRPr="00D20882">
        <w:rPr>
          <w:rFonts w:ascii="Gadugi" w:eastAsia="Georgia" w:hAnsi="Gadugi" w:cs="Georgia"/>
          <w:spacing w:val="-4"/>
          <w:sz w:val="24"/>
          <w:szCs w:val="24"/>
        </w:rPr>
        <w:t xml:space="preserve">de 2001 </w:t>
      </w:r>
      <w:r w:rsidRPr="00D20882">
        <w:rPr>
          <w:rFonts w:ascii="Gadugi" w:eastAsia="Georgia" w:hAnsi="Gadugi" w:cs="Georgia"/>
          <w:spacing w:val="-4"/>
          <w:sz w:val="24"/>
          <w:szCs w:val="24"/>
        </w:rPr>
        <w:t xml:space="preserve">prevalece sobre el reglamento y la sentencia lo desconoce, pues los módulos de contribución aplican para </w:t>
      </w:r>
      <w:r w:rsidR="004A4167" w:rsidRPr="00D20882">
        <w:rPr>
          <w:rFonts w:ascii="Gadugi" w:eastAsia="Georgia" w:hAnsi="Gadugi" w:cs="Georgia"/>
          <w:spacing w:val="-4"/>
          <w:sz w:val="24"/>
          <w:szCs w:val="24"/>
        </w:rPr>
        <w:t xml:space="preserve">propiedades horizontales comerciales o mixtas; esas reglas son imperativas y de obligatorio cumplimiento, por lo que, al tenor del parágrafo 1° del artículo 5, ninguna disposición del reglamento puede vulnerar las normas imperativas contenidas en la ley; (ii) de tiempo atrás la asamblea de copropietarios ha fijado las cuotas de administración por coeficientes de copropiedad, incluso en la </w:t>
      </w:r>
      <w:r w:rsidR="00252090" w:rsidRPr="00D20882">
        <w:rPr>
          <w:rFonts w:ascii="Gadugi" w:eastAsia="Georgia" w:hAnsi="Gadugi" w:cs="Georgia"/>
          <w:spacing w:val="-4"/>
          <w:sz w:val="24"/>
          <w:szCs w:val="24"/>
        </w:rPr>
        <w:t>que se realizó el 4 de diciembre de 2021, luego de conocer el fallo del Juzgado 8° Civil Municipal sobre la interpretación del reglamento, se fijaron las cuotas por coeficiente, con la participación de los ahora demandantes</w:t>
      </w:r>
      <w:r w:rsidR="002548FF" w:rsidRPr="00D20882">
        <w:rPr>
          <w:rFonts w:ascii="Gadugi" w:eastAsia="Georgia" w:hAnsi="Gadugi" w:cs="Georgia"/>
          <w:spacing w:val="-4"/>
          <w:sz w:val="24"/>
          <w:szCs w:val="24"/>
        </w:rPr>
        <w:t xml:space="preserve">; y (iii) en caso de no acogerse estas </w:t>
      </w:r>
      <w:r w:rsidR="009E5CA4" w:rsidRPr="00D20882">
        <w:rPr>
          <w:rFonts w:ascii="Gadugi" w:eastAsia="Georgia" w:hAnsi="Gadugi" w:cs="Georgia"/>
          <w:spacing w:val="-4"/>
          <w:sz w:val="24"/>
          <w:szCs w:val="24"/>
        </w:rPr>
        <w:t xml:space="preserve">críticas, es necesario ajustar el fallo para definir a qué, concretamente, se le deben aplicar los módulos de contribución. </w:t>
      </w:r>
    </w:p>
    <w:p w14:paraId="0F501C03" w14:textId="60A7ADE1" w:rsidR="00CF2E4D" w:rsidRPr="00D20882" w:rsidRDefault="00252090" w:rsidP="0031731E">
      <w:pPr>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 </w:t>
      </w:r>
      <w:r w:rsidR="004A4167" w:rsidRPr="00D20882">
        <w:rPr>
          <w:rFonts w:ascii="Gadugi" w:eastAsia="Georgia" w:hAnsi="Gadugi" w:cs="Georgia"/>
          <w:spacing w:val="-4"/>
          <w:sz w:val="24"/>
          <w:szCs w:val="24"/>
        </w:rPr>
        <w:t xml:space="preserve"> </w:t>
      </w:r>
      <w:r w:rsidR="00CF2E4D" w:rsidRPr="00D20882">
        <w:rPr>
          <w:rFonts w:ascii="Gadugi" w:eastAsia="Georgia" w:hAnsi="Gadugi" w:cs="Georgia"/>
          <w:spacing w:val="-4"/>
          <w:sz w:val="24"/>
          <w:szCs w:val="24"/>
        </w:rPr>
        <w:t xml:space="preserve"> </w:t>
      </w:r>
    </w:p>
    <w:p w14:paraId="200FFCE4" w14:textId="3DF4DC8F" w:rsidR="0040375F" w:rsidRPr="00D20882" w:rsidRDefault="0006504E" w:rsidP="0031731E">
      <w:pPr>
        <w:pStyle w:val="Prrafodelista"/>
        <w:numPr>
          <w:ilvl w:val="1"/>
          <w:numId w:val="3"/>
        </w:numPr>
        <w:tabs>
          <w:tab w:val="left" w:pos="426"/>
        </w:tabs>
        <w:ind w:left="0" w:firstLine="0"/>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Se anticipa que la sentencia será </w:t>
      </w:r>
      <w:r w:rsidR="00403D5F" w:rsidRPr="00D20882">
        <w:rPr>
          <w:rFonts w:ascii="Gadugi" w:eastAsia="Georgia" w:hAnsi="Gadugi" w:cs="Georgia"/>
          <w:spacing w:val="-4"/>
          <w:sz w:val="24"/>
          <w:szCs w:val="24"/>
        </w:rPr>
        <w:t>revocada, por cuanto</w:t>
      </w:r>
      <w:r w:rsidR="00D00692" w:rsidRPr="00D20882">
        <w:rPr>
          <w:rFonts w:ascii="Gadugi" w:eastAsia="Georgia" w:hAnsi="Gadugi" w:cs="Georgia"/>
          <w:spacing w:val="-4"/>
          <w:sz w:val="24"/>
          <w:szCs w:val="24"/>
        </w:rPr>
        <w:t xml:space="preserve">, </w:t>
      </w:r>
      <w:r w:rsidR="00970876" w:rsidRPr="00D20882">
        <w:rPr>
          <w:rFonts w:ascii="Gadugi" w:eastAsia="Georgia" w:hAnsi="Gadugi" w:cs="Georgia"/>
          <w:spacing w:val="-4"/>
          <w:sz w:val="24"/>
          <w:szCs w:val="24"/>
        </w:rPr>
        <w:t>los supuestos sobre los que se estructura la demanda son inexistentes</w:t>
      </w:r>
      <w:r w:rsidR="0040375F" w:rsidRPr="00D20882">
        <w:rPr>
          <w:rFonts w:ascii="Gadugi" w:eastAsia="Georgia" w:hAnsi="Gadugi" w:cs="Georgia"/>
          <w:spacing w:val="-4"/>
          <w:sz w:val="24"/>
          <w:szCs w:val="24"/>
        </w:rPr>
        <w:t>, en el caso de las cuotas extraordinarias y esa es cuestión que toca, necesariamente, con la legalidad o no de la decisión</w:t>
      </w:r>
      <w:r w:rsidR="00026D05" w:rsidRPr="00D20882">
        <w:rPr>
          <w:rFonts w:ascii="Gadugi" w:eastAsia="Georgia" w:hAnsi="Gadugi" w:cs="Georgia"/>
          <w:spacing w:val="-4"/>
          <w:sz w:val="24"/>
          <w:szCs w:val="24"/>
        </w:rPr>
        <w:t>;</w:t>
      </w:r>
      <w:r w:rsidR="004D2EBD" w:rsidRPr="00D20882">
        <w:rPr>
          <w:rFonts w:ascii="Gadugi" w:eastAsia="Georgia" w:hAnsi="Gadugi" w:cs="Georgia"/>
          <w:spacing w:val="-4"/>
          <w:sz w:val="24"/>
          <w:szCs w:val="24"/>
        </w:rPr>
        <w:t xml:space="preserve"> o están por fuera del marco legal</w:t>
      </w:r>
      <w:r w:rsidR="00314FF5" w:rsidRPr="00D20882">
        <w:rPr>
          <w:rFonts w:ascii="Gadugi" w:eastAsia="Georgia" w:hAnsi="Gadugi" w:cs="Georgia"/>
          <w:spacing w:val="-4"/>
          <w:sz w:val="24"/>
          <w:szCs w:val="24"/>
        </w:rPr>
        <w:t>, como lo aduce la recurrente</w:t>
      </w:r>
      <w:r w:rsidR="0040375F" w:rsidRPr="00D20882">
        <w:rPr>
          <w:rFonts w:ascii="Gadugi" w:eastAsia="Georgia" w:hAnsi="Gadugi" w:cs="Georgia"/>
          <w:spacing w:val="-4"/>
          <w:sz w:val="24"/>
          <w:szCs w:val="24"/>
        </w:rPr>
        <w:t>, en el caso de las ordinarias</w:t>
      </w:r>
      <w:r w:rsidR="004D2EBD" w:rsidRPr="00D20882">
        <w:rPr>
          <w:rFonts w:ascii="Gadugi" w:eastAsia="Georgia" w:hAnsi="Gadugi" w:cs="Georgia"/>
          <w:spacing w:val="-4"/>
          <w:sz w:val="24"/>
          <w:szCs w:val="24"/>
        </w:rPr>
        <w:t xml:space="preserve">. </w:t>
      </w:r>
    </w:p>
    <w:p w14:paraId="72E1C7FF" w14:textId="77777777" w:rsidR="0040375F" w:rsidRPr="00D20882" w:rsidRDefault="0040375F" w:rsidP="0031731E">
      <w:pPr>
        <w:pStyle w:val="Prrafodelista"/>
        <w:tabs>
          <w:tab w:val="left" w:pos="426"/>
        </w:tabs>
        <w:ind w:left="0"/>
        <w:jc w:val="both"/>
        <w:rPr>
          <w:rFonts w:ascii="Gadugi" w:eastAsia="Georgia" w:hAnsi="Gadugi" w:cs="Georgia"/>
          <w:spacing w:val="-4"/>
          <w:sz w:val="24"/>
          <w:szCs w:val="24"/>
        </w:rPr>
      </w:pPr>
    </w:p>
    <w:p w14:paraId="288B5F91" w14:textId="20658D13" w:rsidR="00F82255" w:rsidRPr="00D20882" w:rsidRDefault="004D2EBD" w:rsidP="0031731E">
      <w:pPr>
        <w:pStyle w:val="Prrafodelista"/>
        <w:tabs>
          <w:tab w:val="left" w:pos="426"/>
        </w:tabs>
        <w:ind w:left="0"/>
        <w:jc w:val="both"/>
        <w:rPr>
          <w:rFonts w:ascii="Gadugi" w:eastAsia="Georgia" w:hAnsi="Gadugi" w:cs="Georgia"/>
          <w:spacing w:val="-4"/>
          <w:sz w:val="24"/>
          <w:szCs w:val="24"/>
        </w:rPr>
      </w:pPr>
      <w:r w:rsidRPr="00D20882">
        <w:rPr>
          <w:rFonts w:ascii="Gadugi" w:eastAsia="Georgia" w:hAnsi="Gadugi" w:cs="Georgia"/>
          <w:spacing w:val="-4"/>
          <w:sz w:val="24"/>
          <w:szCs w:val="24"/>
        </w:rPr>
        <w:lastRenderedPageBreak/>
        <w:t xml:space="preserve">Esto, al margen de lo que se dirá en relación </w:t>
      </w:r>
      <w:r w:rsidR="0044149F" w:rsidRPr="00D20882">
        <w:rPr>
          <w:rFonts w:ascii="Gadugi" w:eastAsia="Georgia" w:hAnsi="Gadugi" w:cs="Georgia"/>
          <w:spacing w:val="-4"/>
          <w:sz w:val="24"/>
          <w:szCs w:val="24"/>
        </w:rPr>
        <w:t xml:space="preserve">con la sentencia proferida por el Juzgado Octavo Civil Municipal de esta ciudad en el proceso tendiente a la </w:t>
      </w:r>
      <w:r w:rsidR="00F82255" w:rsidRPr="00D20882">
        <w:rPr>
          <w:rFonts w:ascii="Gadugi" w:eastAsia="Georgia" w:hAnsi="Gadugi" w:cs="Georgia"/>
          <w:spacing w:val="-4"/>
          <w:sz w:val="24"/>
          <w:szCs w:val="24"/>
        </w:rPr>
        <w:t xml:space="preserve">interpretación de los estatutos de la propiedad horizontal. </w:t>
      </w:r>
    </w:p>
    <w:p w14:paraId="358F5A21" w14:textId="77777777" w:rsidR="00F82255" w:rsidRPr="00D20882" w:rsidRDefault="00F82255" w:rsidP="0031731E">
      <w:pPr>
        <w:pStyle w:val="Prrafodelista"/>
        <w:tabs>
          <w:tab w:val="left" w:pos="426"/>
        </w:tabs>
        <w:ind w:left="0"/>
        <w:jc w:val="both"/>
        <w:rPr>
          <w:rFonts w:ascii="Gadugi" w:eastAsia="Georgia" w:hAnsi="Gadugi" w:cs="Georgia"/>
          <w:spacing w:val="-4"/>
          <w:sz w:val="24"/>
          <w:szCs w:val="24"/>
        </w:rPr>
      </w:pPr>
    </w:p>
    <w:p w14:paraId="26F5EEEA" w14:textId="193C2074" w:rsidR="007414A8" w:rsidRPr="00D20882" w:rsidRDefault="0006504E" w:rsidP="00553938">
      <w:pPr>
        <w:pStyle w:val="Prrafodelista"/>
        <w:numPr>
          <w:ilvl w:val="1"/>
          <w:numId w:val="3"/>
        </w:numPr>
        <w:tabs>
          <w:tab w:val="left" w:pos="426"/>
        </w:tabs>
        <w:ind w:left="0" w:firstLine="0"/>
        <w:jc w:val="both"/>
        <w:rPr>
          <w:rFonts w:ascii="Gadugi" w:eastAsia="Georgia" w:hAnsi="Gadugi" w:cs="Georgia"/>
          <w:spacing w:val="-4"/>
          <w:sz w:val="24"/>
          <w:szCs w:val="24"/>
        </w:rPr>
      </w:pPr>
      <w:r w:rsidRPr="00D20882">
        <w:rPr>
          <w:rFonts w:ascii="Gadugi" w:eastAsia="Georgia" w:hAnsi="Gadugi" w:cs="Georgia"/>
          <w:spacing w:val="-4"/>
          <w:sz w:val="24"/>
          <w:szCs w:val="24"/>
        </w:rPr>
        <w:t>Para concluirlo así, es bueno aludir a que en el acta de la</w:t>
      </w:r>
      <w:r w:rsidR="007414A8" w:rsidRPr="00D20882">
        <w:rPr>
          <w:rFonts w:ascii="Gadugi" w:eastAsia="Georgia" w:hAnsi="Gadugi" w:cs="Georgia"/>
          <w:spacing w:val="-4"/>
          <w:sz w:val="24"/>
          <w:szCs w:val="24"/>
        </w:rPr>
        <w:t xml:space="preserve"> Asamblea General Ordinaria de Propietarios de Primavera P.H. realizada el 17 de octubre de 2020</w:t>
      </w:r>
      <w:r w:rsidR="00885E3C" w:rsidRPr="00D20882">
        <w:rPr>
          <w:rStyle w:val="Refdenotaalpie"/>
          <w:rFonts w:ascii="Gadugi" w:eastAsia="Georgia" w:hAnsi="Gadugi" w:cs="Georgia"/>
          <w:spacing w:val="-4"/>
          <w:sz w:val="24"/>
          <w:szCs w:val="24"/>
        </w:rPr>
        <w:footnoteReference w:id="23"/>
      </w:r>
      <w:r w:rsidR="007414A8" w:rsidRPr="00D20882">
        <w:rPr>
          <w:rFonts w:ascii="Gadugi" w:eastAsia="Georgia" w:hAnsi="Gadugi" w:cs="Georgia"/>
          <w:spacing w:val="-4"/>
          <w:sz w:val="24"/>
          <w:szCs w:val="24"/>
        </w:rPr>
        <w:t xml:space="preserve">, </w:t>
      </w:r>
      <w:r w:rsidRPr="00D20882">
        <w:rPr>
          <w:rFonts w:ascii="Gadugi" w:eastAsia="Georgia" w:hAnsi="Gadugi" w:cs="Georgia"/>
          <w:spacing w:val="-4"/>
          <w:sz w:val="24"/>
          <w:szCs w:val="24"/>
        </w:rPr>
        <w:t>consta que se dispuso, entre otras cosas</w:t>
      </w:r>
      <w:r w:rsidR="007414A8" w:rsidRPr="00D20882">
        <w:rPr>
          <w:rFonts w:ascii="Gadugi" w:eastAsia="Georgia" w:hAnsi="Gadugi" w:cs="Georgia"/>
          <w:spacing w:val="-4"/>
          <w:sz w:val="24"/>
          <w:szCs w:val="24"/>
        </w:rPr>
        <w:t>, lo siguiente:</w:t>
      </w:r>
    </w:p>
    <w:p w14:paraId="32B5B82A" w14:textId="77777777" w:rsidR="00553938" w:rsidRPr="00D20882" w:rsidRDefault="00553938" w:rsidP="00553938">
      <w:pPr>
        <w:pStyle w:val="Prrafodelista"/>
        <w:tabs>
          <w:tab w:val="left" w:pos="426"/>
        </w:tabs>
        <w:ind w:left="0"/>
        <w:jc w:val="both"/>
        <w:rPr>
          <w:rFonts w:ascii="Gadugi" w:eastAsia="Georgia" w:hAnsi="Gadugi" w:cs="Georgia"/>
          <w:spacing w:val="-4"/>
          <w:sz w:val="24"/>
          <w:szCs w:val="24"/>
        </w:rPr>
      </w:pPr>
    </w:p>
    <w:p w14:paraId="43DB565B" w14:textId="7AFB7ED6" w:rsidR="007414A8" w:rsidRPr="00D20882" w:rsidRDefault="007414A8" w:rsidP="00553938">
      <w:pPr>
        <w:spacing w:line="240" w:lineRule="auto"/>
        <w:ind w:left="426" w:right="420"/>
        <w:jc w:val="both"/>
        <w:rPr>
          <w:rFonts w:ascii="Gadugi" w:eastAsia="Georgia" w:hAnsi="Gadugi" w:cs="Georgia"/>
          <w:iCs/>
          <w:spacing w:val="-4"/>
          <w:szCs w:val="24"/>
        </w:rPr>
      </w:pPr>
      <w:r w:rsidRPr="00D20882">
        <w:rPr>
          <w:rFonts w:ascii="Gadugi" w:eastAsia="Georgia" w:hAnsi="Gadugi" w:cs="Georgia"/>
          <w:iCs/>
          <w:spacing w:val="-4"/>
          <w:szCs w:val="24"/>
        </w:rPr>
        <w:t xml:space="preserve">“Después de analizar sobre el costo de la inversión para el mantenimiento y las canales y debido a que no se puede aprobar una cuota extraordinaria que sobrepase las 4 expensas mensuales de administración por propietario, la Asamblea fija cobrar una cuota extraordinaria de $100.000.000, para empezar a cobrarlos a partir del 1 de febrero de 2021 y diferido a 10 cuotas. Esta propuesta es votada y aprobada por unanimidad. </w:t>
      </w:r>
    </w:p>
    <w:p w14:paraId="1D3DD9AC" w14:textId="77777777" w:rsidR="00553938" w:rsidRPr="00D20882" w:rsidRDefault="00553938" w:rsidP="00553938">
      <w:pPr>
        <w:spacing w:line="240" w:lineRule="auto"/>
        <w:ind w:left="426" w:right="420"/>
        <w:jc w:val="both"/>
        <w:rPr>
          <w:rFonts w:ascii="Gadugi" w:eastAsia="Georgia" w:hAnsi="Gadugi" w:cs="Georgia"/>
          <w:iCs/>
          <w:spacing w:val="-4"/>
          <w:szCs w:val="24"/>
        </w:rPr>
      </w:pPr>
    </w:p>
    <w:p w14:paraId="508CC89C" w14:textId="77777777" w:rsidR="007414A8" w:rsidRPr="00D20882" w:rsidRDefault="007414A8" w:rsidP="00553938">
      <w:pPr>
        <w:spacing w:line="240" w:lineRule="auto"/>
        <w:ind w:left="426" w:right="420"/>
        <w:jc w:val="both"/>
        <w:rPr>
          <w:rFonts w:ascii="Gadugi" w:eastAsia="Georgia" w:hAnsi="Gadugi" w:cs="Georgia"/>
          <w:iCs/>
          <w:spacing w:val="-4"/>
          <w:szCs w:val="24"/>
        </w:rPr>
      </w:pPr>
      <w:r w:rsidRPr="00D20882">
        <w:rPr>
          <w:rFonts w:ascii="Gadugi" w:eastAsia="Georgia" w:hAnsi="Gadugi" w:cs="Georgia"/>
          <w:iCs/>
          <w:spacing w:val="-4"/>
          <w:szCs w:val="24"/>
        </w:rPr>
        <w:t>(…)</w:t>
      </w:r>
    </w:p>
    <w:p w14:paraId="43F8E38F" w14:textId="77777777" w:rsidR="007414A8" w:rsidRPr="00D20882" w:rsidRDefault="007414A8" w:rsidP="00553938">
      <w:pPr>
        <w:spacing w:line="240" w:lineRule="auto"/>
        <w:ind w:left="426" w:right="420"/>
        <w:jc w:val="both"/>
        <w:rPr>
          <w:rFonts w:ascii="Gadugi" w:eastAsia="Georgia" w:hAnsi="Gadugi" w:cs="Georgia"/>
          <w:iCs/>
          <w:spacing w:val="-4"/>
          <w:szCs w:val="24"/>
        </w:rPr>
      </w:pPr>
      <w:r w:rsidRPr="00D20882">
        <w:rPr>
          <w:rFonts w:ascii="Gadugi" w:eastAsia="Georgia" w:hAnsi="Gadugi" w:cs="Georgia"/>
          <w:iCs/>
          <w:spacing w:val="-4"/>
          <w:szCs w:val="24"/>
        </w:rPr>
        <w:t xml:space="preserve">El señor Jairo Largo informa que fueron recibidas las diferentes cotizaciones para la renovación del seguro de áreas comunes, donde se decidió renovar con LA PREVISORA, vigencia octubre 2020 a octubre 2021 y se deja en consideración de la asamblea la forma (tiempo) que se dé para el pago de la cuota extraordinaria por parte de los copropietarios. La Asamblea aprueba unánimemente que esta sea cancelada en 3 cuotas y que quien pueda hacerlo en menos lo haga. </w:t>
      </w:r>
    </w:p>
    <w:p w14:paraId="207D1097" w14:textId="77777777" w:rsidR="00553938" w:rsidRPr="00D20882" w:rsidRDefault="00553938" w:rsidP="00553938">
      <w:pPr>
        <w:spacing w:line="240" w:lineRule="auto"/>
        <w:ind w:left="426" w:right="420"/>
        <w:jc w:val="both"/>
        <w:rPr>
          <w:rFonts w:ascii="Gadugi" w:eastAsia="Georgia" w:hAnsi="Gadugi" w:cs="Georgia"/>
          <w:iCs/>
          <w:spacing w:val="-4"/>
          <w:szCs w:val="24"/>
        </w:rPr>
      </w:pPr>
    </w:p>
    <w:p w14:paraId="3E3ECB74" w14:textId="6CFC2750" w:rsidR="007414A8" w:rsidRPr="00D20882" w:rsidRDefault="007414A8" w:rsidP="00553938">
      <w:pPr>
        <w:spacing w:line="240" w:lineRule="auto"/>
        <w:ind w:left="426" w:right="420"/>
        <w:jc w:val="both"/>
        <w:rPr>
          <w:rFonts w:ascii="Gadugi" w:eastAsia="Georgia" w:hAnsi="Gadugi" w:cs="Georgia"/>
          <w:iCs/>
          <w:spacing w:val="-4"/>
          <w:szCs w:val="24"/>
        </w:rPr>
      </w:pPr>
      <w:r w:rsidRPr="00D20882">
        <w:rPr>
          <w:rFonts w:ascii="Gadugi" w:eastAsia="Georgia" w:hAnsi="Gadugi" w:cs="Georgia"/>
          <w:iCs/>
          <w:spacing w:val="-4"/>
          <w:szCs w:val="24"/>
        </w:rPr>
        <w:t>(…)</w:t>
      </w:r>
    </w:p>
    <w:p w14:paraId="0A0FE734" w14:textId="77777777" w:rsidR="007414A8" w:rsidRPr="00D20882" w:rsidRDefault="007414A8" w:rsidP="00553938">
      <w:pPr>
        <w:spacing w:line="240" w:lineRule="auto"/>
        <w:ind w:left="426" w:right="420"/>
        <w:jc w:val="both"/>
        <w:rPr>
          <w:rFonts w:ascii="Gadugi" w:eastAsia="Georgia" w:hAnsi="Gadugi" w:cs="Georgia"/>
          <w:iCs/>
          <w:spacing w:val="-4"/>
          <w:szCs w:val="24"/>
        </w:rPr>
      </w:pPr>
      <w:r w:rsidRPr="00D20882">
        <w:rPr>
          <w:rFonts w:ascii="Gadugi" w:eastAsia="Georgia" w:hAnsi="Gadugi" w:cs="Georgia"/>
          <w:iCs/>
          <w:spacing w:val="-4"/>
          <w:szCs w:val="24"/>
        </w:rPr>
        <w:t xml:space="preserve">La contadora presenta el presupuesto de ingresos para el año 2020, y explica que este se deriva del incremento que el gobierno fija cada año para el salario mínimo y que se aplica a las cuotas de administración existentes según su coeficiente de copropiedad. Se deja a consideración y aprobación de la Asamblea los presupuestos de ingresos y egresos para el año 2020. Es aprobado por unanimidad.”    </w:t>
      </w:r>
    </w:p>
    <w:p w14:paraId="3F95BD26" w14:textId="77777777" w:rsidR="00DB1F8C" w:rsidRPr="00D20882" w:rsidRDefault="00DB1F8C" w:rsidP="00D20882">
      <w:pPr>
        <w:spacing w:line="264" w:lineRule="auto"/>
        <w:jc w:val="both"/>
        <w:rPr>
          <w:rFonts w:ascii="Gadugi" w:eastAsia="Georgia" w:hAnsi="Gadugi" w:cs="Georgia"/>
          <w:spacing w:val="-4"/>
          <w:sz w:val="24"/>
          <w:szCs w:val="24"/>
        </w:rPr>
      </w:pPr>
    </w:p>
    <w:p w14:paraId="66DC9087" w14:textId="77777777" w:rsidR="006738B5" w:rsidRPr="00D20882" w:rsidRDefault="00DB1F8C" w:rsidP="00D20882">
      <w:pPr>
        <w:spacing w:line="264" w:lineRule="auto"/>
        <w:jc w:val="both"/>
        <w:rPr>
          <w:rFonts w:ascii="Gadugi" w:eastAsia="Georgia" w:hAnsi="Gadugi" w:cs="Georgia"/>
          <w:spacing w:val="-4"/>
          <w:sz w:val="24"/>
          <w:szCs w:val="24"/>
        </w:rPr>
      </w:pPr>
      <w:r w:rsidRPr="00D20882">
        <w:rPr>
          <w:rFonts w:ascii="Gadugi" w:eastAsia="Georgia" w:hAnsi="Gadugi" w:cs="Georgia"/>
          <w:spacing w:val="-4"/>
          <w:sz w:val="24"/>
          <w:szCs w:val="24"/>
        </w:rPr>
        <w:t>Repasado lo anterior, es fácil ver que allí</w:t>
      </w:r>
      <w:r w:rsidR="00692483" w:rsidRPr="00D20882">
        <w:rPr>
          <w:rFonts w:ascii="Gadugi" w:eastAsia="Georgia" w:hAnsi="Gadugi" w:cs="Georgia"/>
          <w:spacing w:val="-4"/>
          <w:sz w:val="24"/>
          <w:szCs w:val="24"/>
        </w:rPr>
        <w:t>, solo respecto del aumento de la cuota de administración se hizo alusión a</w:t>
      </w:r>
      <w:r w:rsidR="00696FB7" w:rsidRPr="00D20882">
        <w:rPr>
          <w:rFonts w:ascii="Gadugi" w:eastAsia="Georgia" w:hAnsi="Gadugi" w:cs="Georgia"/>
          <w:spacing w:val="-4"/>
          <w:sz w:val="24"/>
          <w:szCs w:val="24"/>
        </w:rPr>
        <w:t>l coeficiente de copropiedad, lo que no ocurrió con la cuota extraordinaria para pintu</w:t>
      </w:r>
      <w:r w:rsidR="006738B5" w:rsidRPr="00D20882">
        <w:rPr>
          <w:rFonts w:ascii="Gadugi" w:eastAsia="Georgia" w:hAnsi="Gadugi" w:cs="Georgia"/>
          <w:spacing w:val="-4"/>
          <w:sz w:val="24"/>
          <w:szCs w:val="24"/>
        </w:rPr>
        <w:t>r</w:t>
      </w:r>
      <w:r w:rsidR="00696FB7" w:rsidRPr="00D20882">
        <w:rPr>
          <w:rFonts w:ascii="Gadugi" w:eastAsia="Georgia" w:hAnsi="Gadugi" w:cs="Georgia"/>
          <w:spacing w:val="-4"/>
          <w:sz w:val="24"/>
          <w:szCs w:val="24"/>
        </w:rPr>
        <w:t xml:space="preserve">a y el valor del seguro aprobado. En estos dos casos, no dice el acta que su aplicación se hiciera con coeficiente de copropiedad o con módulos de </w:t>
      </w:r>
      <w:r w:rsidR="006738B5" w:rsidRPr="00D20882">
        <w:rPr>
          <w:rFonts w:ascii="Gadugi" w:eastAsia="Georgia" w:hAnsi="Gadugi" w:cs="Georgia"/>
          <w:spacing w:val="-4"/>
          <w:sz w:val="24"/>
          <w:szCs w:val="24"/>
        </w:rPr>
        <w:t xml:space="preserve">contribución. </w:t>
      </w:r>
    </w:p>
    <w:p w14:paraId="6C6538B5" w14:textId="77777777" w:rsidR="006738B5" w:rsidRPr="00D20882" w:rsidRDefault="006738B5" w:rsidP="00D20882">
      <w:pPr>
        <w:spacing w:line="264" w:lineRule="auto"/>
        <w:jc w:val="both"/>
        <w:rPr>
          <w:rFonts w:ascii="Gadugi" w:eastAsia="Georgia" w:hAnsi="Gadugi" w:cs="Georgia"/>
          <w:spacing w:val="-4"/>
          <w:sz w:val="24"/>
          <w:szCs w:val="24"/>
        </w:rPr>
      </w:pPr>
    </w:p>
    <w:p w14:paraId="578C60CC" w14:textId="77777777" w:rsidR="00894101" w:rsidRPr="00D20882" w:rsidRDefault="006738B5" w:rsidP="00D20882">
      <w:pPr>
        <w:spacing w:line="264" w:lineRule="auto"/>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Si ello es así, imposible resulta concluir que </w:t>
      </w:r>
      <w:r w:rsidR="006C3442" w:rsidRPr="00D20882">
        <w:rPr>
          <w:rFonts w:ascii="Gadugi" w:eastAsia="Georgia" w:hAnsi="Gadugi" w:cs="Georgia"/>
          <w:spacing w:val="-4"/>
          <w:sz w:val="24"/>
          <w:szCs w:val="24"/>
        </w:rPr>
        <w:t xml:space="preserve">la asamblea desconoció la ley o los estatutos por no aplicar este segundo sistema, que es en el que insiste la parte demandante. </w:t>
      </w:r>
      <w:r w:rsidR="00A73794" w:rsidRPr="00D20882">
        <w:rPr>
          <w:rFonts w:ascii="Gadugi" w:eastAsia="Georgia" w:hAnsi="Gadugi" w:cs="Georgia"/>
          <w:spacing w:val="-4"/>
          <w:sz w:val="24"/>
          <w:szCs w:val="24"/>
        </w:rPr>
        <w:t xml:space="preserve">No fue allí donde se adoptó esa decisión, y si, en la práctica, al concretar la cuantía con la que cada propietario debe contribuir para ese efecto se tomó partido por </w:t>
      </w:r>
      <w:r w:rsidR="00894101" w:rsidRPr="00D20882">
        <w:rPr>
          <w:rFonts w:ascii="Gadugi" w:eastAsia="Georgia" w:hAnsi="Gadugi" w:cs="Georgia"/>
          <w:spacing w:val="-4"/>
          <w:sz w:val="24"/>
          <w:szCs w:val="24"/>
        </w:rPr>
        <w:t xml:space="preserve">el coeficiente de copropiedad, no es ese un asunto que deba debatirse por la vía de la impugnación de las decisiones adoptadas, que, se reitera, nada dijeron sobre el particular. </w:t>
      </w:r>
    </w:p>
    <w:p w14:paraId="6F9990C9" w14:textId="77777777" w:rsidR="00894101" w:rsidRPr="00D20882" w:rsidRDefault="00894101" w:rsidP="00D20882">
      <w:pPr>
        <w:spacing w:line="264" w:lineRule="auto"/>
        <w:jc w:val="both"/>
        <w:rPr>
          <w:rFonts w:ascii="Gadugi" w:eastAsia="Georgia" w:hAnsi="Gadugi" w:cs="Georgia"/>
          <w:spacing w:val="-4"/>
          <w:sz w:val="24"/>
          <w:szCs w:val="24"/>
        </w:rPr>
      </w:pPr>
    </w:p>
    <w:p w14:paraId="67046520" w14:textId="753F3892" w:rsidR="00981677" w:rsidRPr="00D20882" w:rsidRDefault="00894101" w:rsidP="00D20882">
      <w:pPr>
        <w:spacing w:line="264" w:lineRule="auto"/>
        <w:jc w:val="both"/>
        <w:rPr>
          <w:rFonts w:ascii="Gadugi" w:eastAsia="Georgia" w:hAnsi="Gadugi" w:cs="Georgia"/>
          <w:spacing w:val="-4"/>
          <w:sz w:val="24"/>
          <w:szCs w:val="24"/>
        </w:rPr>
      </w:pPr>
      <w:r w:rsidRPr="00D20882">
        <w:rPr>
          <w:rFonts w:ascii="Gadugi" w:eastAsia="Georgia" w:hAnsi="Gadugi" w:cs="Georgia"/>
          <w:spacing w:val="-4"/>
          <w:sz w:val="24"/>
          <w:szCs w:val="24"/>
        </w:rPr>
        <w:t>Cuando más, podría sostenerse que hubo una específica alusión a ello en lo que al aumento de las cu</w:t>
      </w:r>
      <w:r w:rsidR="00FF7CF7" w:rsidRPr="00D20882">
        <w:rPr>
          <w:rFonts w:ascii="Gadugi" w:eastAsia="Georgia" w:hAnsi="Gadugi" w:cs="Georgia"/>
          <w:spacing w:val="-4"/>
          <w:sz w:val="24"/>
          <w:szCs w:val="24"/>
        </w:rPr>
        <w:t>o</w:t>
      </w:r>
      <w:r w:rsidRPr="00D20882">
        <w:rPr>
          <w:rFonts w:ascii="Gadugi" w:eastAsia="Georgia" w:hAnsi="Gadugi" w:cs="Georgia"/>
          <w:spacing w:val="-4"/>
          <w:sz w:val="24"/>
          <w:szCs w:val="24"/>
        </w:rPr>
        <w:t>tas de administración se refiere, porque allí sí se dijo</w:t>
      </w:r>
      <w:r w:rsidR="00742024" w:rsidRPr="00D20882">
        <w:rPr>
          <w:rFonts w:ascii="Gadugi" w:eastAsia="Georgia" w:hAnsi="Gadugi" w:cs="Georgia"/>
          <w:spacing w:val="-4"/>
          <w:sz w:val="24"/>
          <w:szCs w:val="24"/>
        </w:rPr>
        <w:t xml:space="preserve">, por parte de la contadora, que </w:t>
      </w:r>
      <w:r w:rsidR="00FF7CF7" w:rsidRPr="00D20882">
        <w:rPr>
          <w:rFonts w:ascii="Gadugi" w:eastAsia="Georgia" w:hAnsi="Gadugi" w:cs="Georgia"/>
          <w:spacing w:val="-4"/>
          <w:sz w:val="24"/>
          <w:szCs w:val="24"/>
        </w:rPr>
        <w:t xml:space="preserve">aplicaría </w:t>
      </w:r>
      <w:r w:rsidR="00981677" w:rsidRPr="00D20882">
        <w:rPr>
          <w:rFonts w:ascii="Gadugi" w:eastAsia="Georgia" w:hAnsi="Gadugi" w:cs="Georgia"/>
          <w:spacing w:val="-4"/>
          <w:sz w:val="24"/>
          <w:szCs w:val="24"/>
        </w:rPr>
        <w:t xml:space="preserve">según el coeficiente de copropiedad. </w:t>
      </w:r>
    </w:p>
    <w:p w14:paraId="103FA8E6" w14:textId="77777777" w:rsidR="00981677" w:rsidRPr="00D20882" w:rsidRDefault="00981677" w:rsidP="00D20882">
      <w:pPr>
        <w:spacing w:line="264" w:lineRule="auto"/>
        <w:jc w:val="both"/>
        <w:rPr>
          <w:rFonts w:ascii="Gadugi" w:eastAsia="Georgia" w:hAnsi="Gadugi" w:cs="Georgia"/>
          <w:spacing w:val="-4"/>
          <w:sz w:val="24"/>
          <w:szCs w:val="24"/>
        </w:rPr>
      </w:pPr>
    </w:p>
    <w:p w14:paraId="28732211" w14:textId="7FC70788" w:rsidR="00981677" w:rsidRPr="00D20882" w:rsidRDefault="00882F91" w:rsidP="00D20882">
      <w:pPr>
        <w:spacing w:line="264" w:lineRule="auto"/>
        <w:jc w:val="both"/>
        <w:rPr>
          <w:rFonts w:ascii="Gadugi" w:eastAsia="Georgia" w:hAnsi="Gadugi" w:cs="Georgia"/>
          <w:spacing w:val="-4"/>
          <w:sz w:val="24"/>
          <w:szCs w:val="24"/>
        </w:rPr>
      </w:pPr>
      <w:r w:rsidRPr="00D20882">
        <w:rPr>
          <w:rFonts w:ascii="Gadugi" w:eastAsia="Georgia" w:hAnsi="Gadugi" w:cs="Georgia"/>
          <w:spacing w:val="-4"/>
          <w:sz w:val="24"/>
          <w:szCs w:val="24"/>
        </w:rPr>
        <w:lastRenderedPageBreak/>
        <w:t xml:space="preserve">Se descarta, en consecuencia, que por los primeros aspectos se pueda sostener que en la asamblea hubo una </w:t>
      </w:r>
      <w:r w:rsidR="00652520" w:rsidRPr="00D20882">
        <w:rPr>
          <w:rFonts w:ascii="Gadugi" w:eastAsia="Georgia" w:hAnsi="Gadugi" w:cs="Georgia"/>
          <w:spacing w:val="-4"/>
          <w:sz w:val="24"/>
          <w:szCs w:val="24"/>
        </w:rPr>
        <w:t>de</w:t>
      </w:r>
      <w:r w:rsidR="00D91EFE" w:rsidRPr="00D20882">
        <w:rPr>
          <w:rFonts w:ascii="Gadugi" w:eastAsia="Georgia" w:hAnsi="Gadugi" w:cs="Georgia"/>
          <w:spacing w:val="-4"/>
          <w:sz w:val="24"/>
          <w:szCs w:val="24"/>
        </w:rPr>
        <w:t xml:space="preserve">sviación de los estatutos o de la ley y, por ende, la forma de aplicar tales rubros, era objeto de un pronunciamiento distinto al presente, como en efecto ocurrió, según se analizará </w:t>
      </w:r>
      <w:r w:rsidR="00FD7545" w:rsidRPr="00D20882">
        <w:rPr>
          <w:rFonts w:ascii="Gadugi" w:eastAsia="Georgia" w:hAnsi="Gadugi" w:cs="Georgia"/>
          <w:spacing w:val="-4"/>
          <w:sz w:val="24"/>
          <w:szCs w:val="24"/>
        </w:rPr>
        <w:t xml:space="preserve">más adelante. </w:t>
      </w:r>
    </w:p>
    <w:p w14:paraId="63D2942E" w14:textId="77777777" w:rsidR="00FD7545" w:rsidRPr="00D20882" w:rsidRDefault="00FD7545" w:rsidP="00D20882">
      <w:pPr>
        <w:spacing w:line="264" w:lineRule="auto"/>
        <w:jc w:val="both"/>
        <w:rPr>
          <w:rFonts w:ascii="Gadugi" w:eastAsia="Georgia" w:hAnsi="Gadugi" w:cs="Georgia"/>
          <w:spacing w:val="-4"/>
          <w:sz w:val="24"/>
          <w:szCs w:val="24"/>
        </w:rPr>
      </w:pPr>
    </w:p>
    <w:p w14:paraId="2632A955" w14:textId="21F2CE0C" w:rsidR="00FD7545" w:rsidRPr="00D20882" w:rsidRDefault="00FD7545" w:rsidP="00D20882">
      <w:pPr>
        <w:pStyle w:val="Prrafodelista"/>
        <w:numPr>
          <w:ilvl w:val="1"/>
          <w:numId w:val="3"/>
        </w:numPr>
        <w:spacing w:line="264" w:lineRule="auto"/>
        <w:ind w:left="0" w:firstLine="0"/>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Ahora, en cuanto concierne a las expensas comunes, </w:t>
      </w:r>
      <w:r w:rsidR="00B74AEA" w:rsidRPr="00D20882">
        <w:rPr>
          <w:rFonts w:ascii="Gadugi" w:eastAsia="Georgia" w:hAnsi="Gadugi" w:cs="Georgia"/>
          <w:spacing w:val="-4"/>
          <w:sz w:val="24"/>
          <w:szCs w:val="24"/>
        </w:rPr>
        <w:t xml:space="preserve">es preciso acudir a </w:t>
      </w:r>
      <w:r w:rsidR="0068627C" w:rsidRPr="00D20882">
        <w:rPr>
          <w:rFonts w:ascii="Gadugi" w:eastAsia="Georgia" w:hAnsi="Gadugi" w:cs="Georgia"/>
          <w:spacing w:val="-4"/>
          <w:sz w:val="24"/>
          <w:szCs w:val="24"/>
        </w:rPr>
        <w:t>las defi</w:t>
      </w:r>
      <w:r w:rsidR="003C5583" w:rsidRPr="00D20882">
        <w:rPr>
          <w:rFonts w:ascii="Gadugi" w:eastAsia="Georgia" w:hAnsi="Gadugi" w:cs="Georgia"/>
          <w:spacing w:val="-4"/>
          <w:sz w:val="24"/>
          <w:szCs w:val="24"/>
        </w:rPr>
        <w:t xml:space="preserve">niciones que trae la Ley </w:t>
      </w:r>
      <w:r w:rsidR="2B1740F0" w:rsidRPr="00D20882">
        <w:rPr>
          <w:rFonts w:ascii="Gadugi" w:eastAsia="Georgia" w:hAnsi="Gadugi" w:cs="Georgia"/>
          <w:spacing w:val="-4"/>
          <w:sz w:val="24"/>
          <w:szCs w:val="24"/>
        </w:rPr>
        <w:t>675</w:t>
      </w:r>
      <w:r w:rsidR="003C5583" w:rsidRPr="00D20882">
        <w:rPr>
          <w:rFonts w:ascii="Gadugi" w:eastAsia="Georgia" w:hAnsi="Gadugi" w:cs="Georgia"/>
          <w:spacing w:val="-4"/>
          <w:sz w:val="24"/>
          <w:szCs w:val="24"/>
        </w:rPr>
        <w:t xml:space="preserve"> de 2001 en su artículo 3 sobre coeficientes de copropiedad y módulos de contribución. </w:t>
      </w:r>
    </w:p>
    <w:p w14:paraId="7AD766C4" w14:textId="77777777" w:rsidR="009A5D56" w:rsidRPr="00D20882" w:rsidRDefault="009A5D56" w:rsidP="00D20882">
      <w:pPr>
        <w:pStyle w:val="Prrafodelista"/>
        <w:spacing w:line="264" w:lineRule="auto"/>
        <w:ind w:left="0"/>
        <w:jc w:val="both"/>
        <w:rPr>
          <w:rFonts w:ascii="Gadugi" w:eastAsia="Georgia" w:hAnsi="Gadugi" w:cs="Georgia"/>
          <w:spacing w:val="-4"/>
          <w:sz w:val="24"/>
          <w:szCs w:val="24"/>
        </w:rPr>
      </w:pPr>
    </w:p>
    <w:p w14:paraId="49BC5F6B" w14:textId="77777777" w:rsidR="00EE67AC" w:rsidRPr="00D20882" w:rsidRDefault="003C5583" w:rsidP="00D20882">
      <w:pPr>
        <w:spacing w:line="264" w:lineRule="auto"/>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Dice la </w:t>
      </w:r>
      <w:r w:rsidR="00AA7599" w:rsidRPr="00D20882">
        <w:rPr>
          <w:rFonts w:ascii="Gadugi" w:eastAsia="Georgia" w:hAnsi="Gadugi" w:cs="Georgia"/>
          <w:spacing w:val="-4"/>
          <w:sz w:val="24"/>
          <w:szCs w:val="24"/>
        </w:rPr>
        <w:t xml:space="preserve">norma que los </w:t>
      </w:r>
      <w:r w:rsidR="00EE67AC" w:rsidRPr="00D20882">
        <w:rPr>
          <w:rFonts w:ascii="Gadugi" w:eastAsia="Georgia" w:hAnsi="Gadugi" w:cs="Georgia"/>
          <w:spacing w:val="-4"/>
          <w:sz w:val="24"/>
          <w:szCs w:val="24"/>
        </w:rPr>
        <w:t xml:space="preserve">coeficientes de copropiedad son </w:t>
      </w:r>
    </w:p>
    <w:p w14:paraId="18F089A0" w14:textId="77777777" w:rsidR="00EE67AC" w:rsidRPr="00D20882" w:rsidRDefault="00EE67AC" w:rsidP="0031731E">
      <w:pPr>
        <w:jc w:val="both"/>
        <w:rPr>
          <w:rFonts w:ascii="Gadugi" w:eastAsia="Georgia" w:hAnsi="Gadugi" w:cs="Georgia"/>
          <w:spacing w:val="-4"/>
          <w:sz w:val="24"/>
          <w:szCs w:val="24"/>
        </w:rPr>
      </w:pPr>
    </w:p>
    <w:p w14:paraId="70688739" w14:textId="5AA577C4" w:rsidR="00B74AEA" w:rsidRPr="00D20882" w:rsidRDefault="00EE67AC" w:rsidP="00553938">
      <w:pPr>
        <w:spacing w:line="240" w:lineRule="auto"/>
        <w:ind w:left="426" w:right="420"/>
        <w:jc w:val="both"/>
        <w:rPr>
          <w:rFonts w:ascii="Gadugi" w:eastAsia="Georgia" w:hAnsi="Gadugi" w:cs="Georgia"/>
          <w:i/>
          <w:iCs/>
          <w:spacing w:val="-4"/>
          <w:szCs w:val="24"/>
        </w:rPr>
      </w:pPr>
      <w:r w:rsidRPr="00D20882">
        <w:rPr>
          <w:rFonts w:ascii="Gadugi" w:eastAsia="Georgia" w:hAnsi="Gadugi" w:cs="Georgia"/>
          <w:spacing w:val="-4"/>
          <w:szCs w:val="24"/>
        </w:rPr>
        <w:t>“</w:t>
      </w:r>
      <w:r w:rsidR="00B74AEA" w:rsidRPr="00D20882">
        <w:rPr>
          <w:rFonts w:ascii="Gadugi" w:eastAsia="Georgia" w:hAnsi="Gadugi" w:cs="Georgia"/>
          <w:i/>
          <w:iCs/>
          <w:spacing w:val="-4"/>
          <w:szCs w:val="24"/>
        </w:rPr>
        <w:t xml:space="preserve">Índices que establecen la participación porcentual de cada uno de los propietarios de bienes de dominio particular en los bienes comunes del edificio o conjunto sometido al régimen de propiedad horizontal. Definen además su participación en la asamblea de propietarios y la proporción con que cada uno contribuirá en las expensas comunes del edificio o conjunto, sin perjuicio de las que se determinen por módulos de contribución, en edificios o conjuntos de uso comercial o mixto. </w:t>
      </w:r>
    </w:p>
    <w:p w14:paraId="4AB7E905" w14:textId="77777777" w:rsidR="00EE67AC" w:rsidRPr="00D20882" w:rsidRDefault="00EE67AC" w:rsidP="0031731E">
      <w:pPr>
        <w:jc w:val="both"/>
        <w:rPr>
          <w:rFonts w:ascii="Gadugi" w:eastAsia="Georgia" w:hAnsi="Gadugi" w:cs="Georgia"/>
          <w:i/>
          <w:iCs/>
          <w:spacing w:val="-4"/>
          <w:sz w:val="24"/>
          <w:szCs w:val="24"/>
        </w:rPr>
      </w:pPr>
    </w:p>
    <w:p w14:paraId="46F9859F" w14:textId="77777777" w:rsidR="00C67288" w:rsidRPr="00D20882" w:rsidRDefault="00EE67AC" w:rsidP="0031731E">
      <w:pPr>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En tanto que, </w:t>
      </w:r>
      <w:r w:rsidR="00D377B3" w:rsidRPr="00D20882">
        <w:rPr>
          <w:rFonts w:ascii="Gadugi" w:eastAsia="Georgia" w:hAnsi="Gadugi" w:cs="Georgia"/>
          <w:spacing w:val="-4"/>
          <w:sz w:val="24"/>
          <w:szCs w:val="24"/>
        </w:rPr>
        <w:t>por módulos de contribución entiende</w:t>
      </w:r>
      <w:r w:rsidR="00C67288" w:rsidRPr="00D20882">
        <w:rPr>
          <w:rFonts w:ascii="Gadugi" w:eastAsia="Georgia" w:hAnsi="Gadugi" w:cs="Georgia"/>
          <w:spacing w:val="-4"/>
          <w:sz w:val="24"/>
          <w:szCs w:val="24"/>
        </w:rPr>
        <w:t>n</w:t>
      </w:r>
      <w:r w:rsidR="00D377B3" w:rsidRPr="00D20882">
        <w:rPr>
          <w:rFonts w:ascii="Gadugi" w:eastAsia="Georgia" w:hAnsi="Gadugi" w:cs="Georgia"/>
          <w:spacing w:val="-4"/>
          <w:sz w:val="24"/>
          <w:szCs w:val="24"/>
        </w:rPr>
        <w:t xml:space="preserve"> los</w:t>
      </w:r>
      <w:r w:rsidR="00C67288" w:rsidRPr="00D20882">
        <w:rPr>
          <w:rFonts w:ascii="Gadugi" w:eastAsia="Georgia" w:hAnsi="Gadugi" w:cs="Georgia"/>
          <w:spacing w:val="-4"/>
          <w:sz w:val="24"/>
          <w:szCs w:val="24"/>
        </w:rPr>
        <w:t>:</w:t>
      </w:r>
      <w:r w:rsidR="00D377B3" w:rsidRPr="00D20882">
        <w:rPr>
          <w:rFonts w:ascii="Gadugi" w:eastAsia="Georgia" w:hAnsi="Gadugi" w:cs="Georgia"/>
          <w:spacing w:val="-4"/>
          <w:sz w:val="24"/>
          <w:szCs w:val="24"/>
        </w:rPr>
        <w:t xml:space="preserve"> </w:t>
      </w:r>
    </w:p>
    <w:p w14:paraId="163F001C" w14:textId="77777777" w:rsidR="00C67288" w:rsidRPr="00D20882" w:rsidRDefault="00C67288" w:rsidP="0031731E">
      <w:pPr>
        <w:jc w:val="both"/>
        <w:rPr>
          <w:rFonts w:ascii="Gadugi" w:eastAsia="Georgia" w:hAnsi="Gadugi" w:cs="Georgia"/>
          <w:spacing w:val="-4"/>
          <w:sz w:val="24"/>
          <w:szCs w:val="24"/>
        </w:rPr>
      </w:pPr>
    </w:p>
    <w:p w14:paraId="75188B1E" w14:textId="6D880544" w:rsidR="00B74AEA" w:rsidRPr="00D20882" w:rsidRDefault="00D377B3" w:rsidP="00553938">
      <w:pPr>
        <w:spacing w:line="240" w:lineRule="auto"/>
        <w:ind w:left="426" w:right="420"/>
        <w:jc w:val="both"/>
        <w:rPr>
          <w:rFonts w:ascii="Gadugi" w:eastAsia="Georgia" w:hAnsi="Gadugi" w:cs="Georgia"/>
          <w:spacing w:val="-4"/>
          <w:szCs w:val="24"/>
        </w:rPr>
      </w:pPr>
      <w:r w:rsidRPr="00D20882">
        <w:rPr>
          <w:rFonts w:ascii="Gadugi" w:eastAsia="Georgia" w:hAnsi="Gadugi" w:cs="Georgia"/>
          <w:spacing w:val="-4"/>
          <w:szCs w:val="24"/>
        </w:rPr>
        <w:t>“</w:t>
      </w:r>
      <w:r w:rsidR="00B74AEA" w:rsidRPr="00D20882">
        <w:rPr>
          <w:rFonts w:ascii="Gadugi" w:eastAsia="Georgia" w:hAnsi="Gadugi" w:cs="Georgia"/>
          <w:spacing w:val="-4"/>
          <w:szCs w:val="24"/>
        </w:rPr>
        <w:t>Índices que establecen la participación porcentual de los propietarios de bienes de dominio particular, en las expensas causadas en relación con los bienes y servicios comunes cuyo uso y goce corresponda a una parte o sector determinado del edificio o conjunto de uso comercial o mixto.”</w:t>
      </w:r>
    </w:p>
    <w:p w14:paraId="3ED9533C" w14:textId="77777777" w:rsidR="00D377B3" w:rsidRPr="00D20882" w:rsidRDefault="00D377B3" w:rsidP="0031731E">
      <w:pPr>
        <w:jc w:val="both"/>
        <w:rPr>
          <w:rFonts w:ascii="Gadugi" w:eastAsia="Georgia" w:hAnsi="Gadugi" w:cs="Georgia"/>
          <w:spacing w:val="-4"/>
          <w:sz w:val="24"/>
          <w:szCs w:val="24"/>
        </w:rPr>
      </w:pPr>
    </w:p>
    <w:p w14:paraId="70AA55B4" w14:textId="21717DB7" w:rsidR="00322345" w:rsidRPr="00D20882" w:rsidRDefault="00D70995" w:rsidP="0031731E">
      <w:pPr>
        <w:jc w:val="both"/>
        <w:rPr>
          <w:rFonts w:ascii="Gadugi" w:eastAsia="Georgia" w:hAnsi="Gadugi" w:cs="Georgia"/>
          <w:spacing w:val="-4"/>
          <w:sz w:val="24"/>
          <w:szCs w:val="24"/>
        </w:rPr>
      </w:pPr>
      <w:r w:rsidRPr="00D20882">
        <w:rPr>
          <w:rFonts w:ascii="Gadugi" w:eastAsia="Georgia" w:hAnsi="Gadugi" w:cs="Georgia"/>
          <w:spacing w:val="-4"/>
          <w:sz w:val="24"/>
          <w:szCs w:val="24"/>
        </w:rPr>
        <w:t>Se observa que</w:t>
      </w:r>
      <w:r w:rsidR="000A40B3" w:rsidRPr="00D20882">
        <w:rPr>
          <w:rFonts w:ascii="Gadugi" w:eastAsia="Georgia" w:hAnsi="Gadugi" w:cs="Georgia"/>
          <w:spacing w:val="-4"/>
          <w:sz w:val="24"/>
          <w:szCs w:val="24"/>
        </w:rPr>
        <w:t xml:space="preserve"> estos módulos de contribución tienen cabida en propiedades horizontales mixtas (residenciales y comerciales) o en las comerciales</w:t>
      </w:r>
      <w:r w:rsidR="00322345" w:rsidRPr="00D20882">
        <w:rPr>
          <w:rFonts w:ascii="Gadugi" w:eastAsia="Georgia" w:hAnsi="Gadugi" w:cs="Georgia"/>
          <w:spacing w:val="-4"/>
          <w:sz w:val="24"/>
          <w:szCs w:val="24"/>
        </w:rPr>
        <w:t>, pero no en las netamente residenciales, sobre lo cual explica la doctrina</w:t>
      </w:r>
      <w:r w:rsidR="00774EC3" w:rsidRPr="00D20882">
        <w:rPr>
          <w:rStyle w:val="Refdenotaalpie"/>
          <w:rFonts w:ascii="Gadugi" w:eastAsia="Georgia" w:hAnsi="Gadugi" w:cs="Georgia"/>
          <w:spacing w:val="-4"/>
          <w:sz w:val="24"/>
          <w:szCs w:val="24"/>
        </w:rPr>
        <w:footnoteReference w:id="24"/>
      </w:r>
      <w:r w:rsidR="00322345" w:rsidRPr="00D20882">
        <w:rPr>
          <w:rFonts w:ascii="Gadugi" w:eastAsia="Georgia" w:hAnsi="Gadugi" w:cs="Georgia"/>
          <w:spacing w:val="-4"/>
          <w:sz w:val="24"/>
          <w:szCs w:val="24"/>
        </w:rPr>
        <w:t xml:space="preserve"> que:</w:t>
      </w:r>
    </w:p>
    <w:p w14:paraId="0517B945" w14:textId="77777777" w:rsidR="00322345" w:rsidRPr="00D20882" w:rsidRDefault="00322345" w:rsidP="0031731E">
      <w:pPr>
        <w:jc w:val="both"/>
        <w:rPr>
          <w:rFonts w:ascii="Gadugi" w:eastAsia="Georgia" w:hAnsi="Gadugi" w:cs="Georgia"/>
          <w:spacing w:val="-4"/>
          <w:sz w:val="24"/>
          <w:szCs w:val="24"/>
        </w:rPr>
      </w:pPr>
    </w:p>
    <w:p w14:paraId="5EAB86CD" w14:textId="4B309283" w:rsidR="00BC1FAA" w:rsidRPr="00D20882" w:rsidRDefault="00322345" w:rsidP="00553938">
      <w:pPr>
        <w:spacing w:line="240" w:lineRule="auto"/>
        <w:ind w:left="426" w:right="420"/>
        <w:jc w:val="both"/>
        <w:rPr>
          <w:rFonts w:ascii="Gadugi" w:eastAsia="Georgia" w:hAnsi="Gadugi" w:cs="Georgia"/>
          <w:spacing w:val="-4"/>
          <w:szCs w:val="24"/>
        </w:rPr>
      </w:pPr>
      <w:r w:rsidRPr="00D20882">
        <w:rPr>
          <w:rFonts w:ascii="Gadugi" w:eastAsia="Georgia" w:hAnsi="Gadugi" w:cs="Georgia"/>
          <w:spacing w:val="-4"/>
          <w:szCs w:val="24"/>
        </w:rPr>
        <w:t xml:space="preserve">Tal y como </w:t>
      </w:r>
      <w:r w:rsidR="002D7BC2" w:rsidRPr="00D20882">
        <w:rPr>
          <w:rFonts w:ascii="Gadugi" w:eastAsia="Georgia" w:hAnsi="Gadugi" w:cs="Georgia"/>
          <w:spacing w:val="-4"/>
          <w:szCs w:val="24"/>
        </w:rPr>
        <w:t>argumentamos, la norma permite que los sectores y módulos de contribución, sean aplicables tan solo a la</w:t>
      </w:r>
      <w:r w:rsidR="005C7F24" w:rsidRPr="00D20882">
        <w:rPr>
          <w:rFonts w:ascii="Gadugi" w:eastAsia="Georgia" w:hAnsi="Gadugi" w:cs="Georgia"/>
          <w:spacing w:val="-4"/>
          <w:szCs w:val="24"/>
        </w:rPr>
        <w:t xml:space="preserve">s </w:t>
      </w:r>
      <w:r w:rsidR="002D7BC2" w:rsidRPr="00D20882">
        <w:rPr>
          <w:rFonts w:ascii="Gadugi" w:eastAsia="Georgia" w:hAnsi="Gadugi" w:cs="Georgia"/>
          <w:spacing w:val="-4"/>
          <w:szCs w:val="24"/>
        </w:rPr>
        <w:t>propiedades horizontale</w:t>
      </w:r>
      <w:r w:rsidR="001D21B3" w:rsidRPr="00D20882">
        <w:rPr>
          <w:rFonts w:ascii="Gadugi" w:eastAsia="Georgia" w:hAnsi="Gadugi" w:cs="Georgia"/>
          <w:spacing w:val="-4"/>
          <w:szCs w:val="24"/>
        </w:rPr>
        <w:t xml:space="preserve">s de </w:t>
      </w:r>
      <w:r w:rsidR="005C7F24" w:rsidRPr="00D20882">
        <w:rPr>
          <w:rFonts w:ascii="Gadugi" w:eastAsia="Georgia" w:hAnsi="Gadugi" w:cs="Georgia"/>
          <w:spacing w:val="-4"/>
          <w:szCs w:val="24"/>
        </w:rPr>
        <w:t>n</w:t>
      </w:r>
      <w:r w:rsidR="001D21B3" w:rsidRPr="00D20882">
        <w:rPr>
          <w:rFonts w:ascii="Gadugi" w:eastAsia="Georgia" w:hAnsi="Gadugi" w:cs="Georgia"/>
          <w:spacing w:val="-4"/>
          <w:szCs w:val="24"/>
        </w:rPr>
        <w:t xml:space="preserve">aturaleza </w:t>
      </w:r>
      <w:r w:rsidR="007D2387" w:rsidRPr="00D20882">
        <w:rPr>
          <w:rFonts w:ascii="Gadugi" w:eastAsia="Georgia" w:hAnsi="Gadugi" w:cs="Georgia"/>
          <w:spacing w:val="-4"/>
          <w:szCs w:val="24"/>
        </w:rPr>
        <w:t>comercial y mixta, excluyendo así a las residenciales</w:t>
      </w:r>
      <w:r w:rsidR="006E450C" w:rsidRPr="00D20882">
        <w:rPr>
          <w:rFonts w:ascii="Gadugi" w:eastAsia="Georgia" w:hAnsi="Gadugi" w:cs="Georgia"/>
          <w:spacing w:val="-4"/>
          <w:szCs w:val="24"/>
        </w:rPr>
        <w:t>, pues en un edificio o conjunto de esta naturaleza, todos los bienes y servicios comunales son de uso y disfrute de todos los propietarios. Por lo tanto</w:t>
      </w:r>
      <w:r w:rsidR="00F7487C" w:rsidRPr="00D20882">
        <w:rPr>
          <w:rFonts w:ascii="Gadugi" w:eastAsia="Georgia" w:hAnsi="Gadugi" w:cs="Georgia"/>
          <w:spacing w:val="-4"/>
          <w:szCs w:val="24"/>
        </w:rPr>
        <w:t>, para el pago</w:t>
      </w:r>
      <w:r w:rsidR="00BC1FAA" w:rsidRPr="00D20882">
        <w:rPr>
          <w:rFonts w:ascii="Gadugi" w:eastAsia="Georgia" w:hAnsi="Gadugi" w:cs="Georgia"/>
          <w:spacing w:val="-4"/>
          <w:szCs w:val="24"/>
        </w:rPr>
        <w:t xml:space="preserve"> </w:t>
      </w:r>
      <w:r w:rsidR="00F7487C" w:rsidRPr="00D20882">
        <w:rPr>
          <w:rFonts w:ascii="Gadugi" w:eastAsia="Georgia" w:hAnsi="Gadugi" w:cs="Georgia"/>
          <w:spacing w:val="-4"/>
          <w:szCs w:val="24"/>
        </w:rPr>
        <w:t>de las expensas comunes necesarias, deberán ser aplicados los coeficientes de cop</w:t>
      </w:r>
      <w:r w:rsidR="00BC1FAA" w:rsidRPr="00D20882">
        <w:rPr>
          <w:rFonts w:ascii="Gadugi" w:eastAsia="Georgia" w:hAnsi="Gadugi" w:cs="Georgia"/>
          <w:spacing w:val="-4"/>
          <w:szCs w:val="24"/>
        </w:rPr>
        <w:t>rop</w:t>
      </w:r>
      <w:r w:rsidR="00F7487C" w:rsidRPr="00D20882">
        <w:rPr>
          <w:rFonts w:ascii="Gadugi" w:eastAsia="Georgia" w:hAnsi="Gadugi" w:cs="Georgia"/>
          <w:spacing w:val="-4"/>
          <w:szCs w:val="24"/>
        </w:rPr>
        <w:t>iedad, en concordancia con e</w:t>
      </w:r>
      <w:r w:rsidR="00BC1FAA" w:rsidRPr="00D20882">
        <w:rPr>
          <w:rFonts w:ascii="Gadugi" w:eastAsia="Georgia" w:hAnsi="Gadugi" w:cs="Georgia"/>
          <w:spacing w:val="-4"/>
          <w:szCs w:val="24"/>
        </w:rPr>
        <w:t>l</w:t>
      </w:r>
      <w:r w:rsidR="00F7487C" w:rsidRPr="00D20882">
        <w:rPr>
          <w:rFonts w:ascii="Gadugi" w:eastAsia="Georgia" w:hAnsi="Gadugi" w:cs="Georgia"/>
          <w:spacing w:val="-4"/>
          <w:szCs w:val="24"/>
        </w:rPr>
        <w:t xml:space="preserve"> numeral 3 del artículo 25 de la ley 675</w:t>
      </w:r>
      <w:r w:rsidR="00BC1FAA" w:rsidRPr="00D20882">
        <w:rPr>
          <w:rFonts w:ascii="Gadugi" w:eastAsia="Georgia" w:hAnsi="Gadugi" w:cs="Georgia"/>
          <w:spacing w:val="-4"/>
          <w:szCs w:val="24"/>
        </w:rPr>
        <w:t>/2001, sin olvidar la excepción sobre los sectores en los primeros pisos para el cobro de las expensas comunes en edificios residenciales y oficinas…</w:t>
      </w:r>
    </w:p>
    <w:p w14:paraId="62A049D1" w14:textId="77777777" w:rsidR="00BC1FAA" w:rsidRPr="00D20882" w:rsidRDefault="00BC1FAA" w:rsidP="00D20882">
      <w:pPr>
        <w:spacing w:line="264" w:lineRule="auto"/>
        <w:jc w:val="both"/>
        <w:rPr>
          <w:rFonts w:ascii="Gadugi" w:eastAsia="Georgia" w:hAnsi="Gadugi" w:cs="Georgia"/>
          <w:spacing w:val="-4"/>
          <w:sz w:val="24"/>
          <w:szCs w:val="24"/>
        </w:rPr>
      </w:pPr>
    </w:p>
    <w:p w14:paraId="288DDA2E" w14:textId="77777777" w:rsidR="001919DC" w:rsidRPr="00D20882" w:rsidRDefault="009B03F9" w:rsidP="00D20882">
      <w:pPr>
        <w:spacing w:line="264" w:lineRule="auto"/>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Justamente, </w:t>
      </w:r>
      <w:r w:rsidR="00923292" w:rsidRPr="00D20882">
        <w:rPr>
          <w:rFonts w:ascii="Gadugi" w:eastAsia="Georgia" w:hAnsi="Gadugi" w:cs="Georgia"/>
          <w:spacing w:val="-4"/>
          <w:sz w:val="24"/>
          <w:szCs w:val="24"/>
        </w:rPr>
        <w:t xml:space="preserve">el artículo 25 de la misma Ley </w:t>
      </w:r>
      <w:r w:rsidR="00D04F61" w:rsidRPr="00D20882">
        <w:rPr>
          <w:rFonts w:ascii="Gadugi" w:eastAsia="Georgia" w:hAnsi="Gadugi" w:cs="Georgia"/>
          <w:spacing w:val="-4"/>
          <w:sz w:val="24"/>
          <w:szCs w:val="24"/>
        </w:rPr>
        <w:t xml:space="preserve">señala que el coeficiente de copropiedad </w:t>
      </w:r>
      <w:r w:rsidR="00197086" w:rsidRPr="00D20882">
        <w:rPr>
          <w:rFonts w:ascii="Gadugi" w:eastAsia="Georgia" w:hAnsi="Gadugi" w:cs="Georgia"/>
          <w:spacing w:val="-4"/>
          <w:sz w:val="24"/>
          <w:szCs w:val="24"/>
        </w:rPr>
        <w:t xml:space="preserve">determina, entre otras cosas, </w:t>
      </w:r>
      <w:r w:rsidR="00154AF2" w:rsidRPr="00D20882">
        <w:rPr>
          <w:rFonts w:ascii="Gadugi" w:eastAsia="Georgia" w:hAnsi="Gadugi" w:cs="Georgia"/>
          <w:spacing w:val="-4"/>
          <w:sz w:val="24"/>
          <w:szCs w:val="24"/>
        </w:rPr>
        <w:t xml:space="preserve">el índice de participación con que cada uno de los propietarios de bienes </w:t>
      </w:r>
      <w:r w:rsidR="004D075F" w:rsidRPr="00D20882">
        <w:rPr>
          <w:rFonts w:ascii="Gadugi" w:eastAsia="Georgia" w:hAnsi="Gadugi" w:cs="Georgia"/>
          <w:spacing w:val="-4"/>
          <w:sz w:val="24"/>
          <w:szCs w:val="24"/>
        </w:rPr>
        <w:t>privados ha de contribuir a las expensas comunes del edificio o conjunto</w:t>
      </w:r>
      <w:r w:rsidR="001E676C" w:rsidRPr="00D20882">
        <w:rPr>
          <w:rFonts w:ascii="Gadugi" w:eastAsia="Georgia" w:hAnsi="Gadugi" w:cs="Georgia"/>
          <w:spacing w:val="-4"/>
          <w:sz w:val="24"/>
          <w:szCs w:val="24"/>
        </w:rPr>
        <w:t xml:space="preserve"> </w:t>
      </w:r>
      <w:r w:rsidR="00B74AEA" w:rsidRPr="00D20882">
        <w:rPr>
          <w:rFonts w:ascii="Gadugi" w:eastAsia="Georgia" w:hAnsi="Gadugi" w:cs="Georgia"/>
          <w:spacing w:val="-4"/>
          <w:sz w:val="24"/>
          <w:szCs w:val="24"/>
        </w:rPr>
        <w:t>la proporción en la que cada propietario contribuirá a las expensas comunes de</w:t>
      </w:r>
      <w:r w:rsidR="00403D2B" w:rsidRPr="00D20882">
        <w:rPr>
          <w:rFonts w:ascii="Gadugi" w:eastAsia="Georgia" w:hAnsi="Gadugi" w:cs="Georgia"/>
          <w:spacing w:val="-4"/>
          <w:sz w:val="24"/>
          <w:szCs w:val="24"/>
        </w:rPr>
        <w:t>l edificio o conjunto, mediante el pago de cuotas ordinarias o extraordinarias</w:t>
      </w:r>
      <w:r w:rsidR="00667E1A" w:rsidRPr="00D20882">
        <w:rPr>
          <w:rFonts w:ascii="Gadugi" w:eastAsia="Georgia" w:hAnsi="Gadugi" w:cs="Georgia"/>
          <w:spacing w:val="-4"/>
          <w:sz w:val="24"/>
          <w:szCs w:val="24"/>
        </w:rPr>
        <w:t xml:space="preserve"> de administración, salvo que ellas se determinen de acuerdo con los módulos de </w:t>
      </w:r>
      <w:r w:rsidR="00960367" w:rsidRPr="00D20882">
        <w:rPr>
          <w:rFonts w:ascii="Gadugi" w:eastAsia="Georgia" w:hAnsi="Gadugi" w:cs="Georgia"/>
          <w:spacing w:val="-4"/>
          <w:sz w:val="24"/>
          <w:szCs w:val="24"/>
        </w:rPr>
        <w:t>contribución en la forma señalada en el reglamento. Pero, visto está, que los módulos de contribución so</w:t>
      </w:r>
      <w:r w:rsidR="001919DC" w:rsidRPr="00D20882">
        <w:rPr>
          <w:rFonts w:ascii="Gadugi" w:eastAsia="Georgia" w:hAnsi="Gadugi" w:cs="Georgia"/>
          <w:spacing w:val="-4"/>
          <w:sz w:val="24"/>
          <w:szCs w:val="24"/>
        </w:rPr>
        <w:t xml:space="preserve">n propios de complejos mixtos o comerciales. </w:t>
      </w:r>
    </w:p>
    <w:p w14:paraId="138708EB" w14:textId="77777777" w:rsidR="001919DC" w:rsidRPr="00D20882" w:rsidRDefault="001919DC" w:rsidP="00D20882">
      <w:pPr>
        <w:spacing w:line="264" w:lineRule="auto"/>
        <w:jc w:val="both"/>
        <w:rPr>
          <w:rFonts w:ascii="Gadugi" w:eastAsia="Georgia" w:hAnsi="Gadugi" w:cs="Georgia"/>
          <w:spacing w:val="-4"/>
          <w:sz w:val="24"/>
          <w:szCs w:val="24"/>
        </w:rPr>
      </w:pPr>
    </w:p>
    <w:p w14:paraId="4B0D9581" w14:textId="1AE29D27" w:rsidR="00B74AEA" w:rsidRPr="00D20882" w:rsidRDefault="00976486" w:rsidP="00D20882">
      <w:pPr>
        <w:spacing w:line="264" w:lineRule="auto"/>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Por su lado, el artículo </w:t>
      </w:r>
      <w:r w:rsidR="00A32416" w:rsidRPr="00D20882">
        <w:rPr>
          <w:rFonts w:ascii="Gadugi" w:eastAsia="Georgia" w:hAnsi="Gadugi" w:cs="Georgia"/>
          <w:spacing w:val="-4"/>
          <w:sz w:val="24"/>
          <w:szCs w:val="24"/>
        </w:rPr>
        <w:t xml:space="preserve">31 </w:t>
      </w:r>
      <w:r w:rsidR="003B65BB" w:rsidRPr="00D20882">
        <w:rPr>
          <w:rFonts w:ascii="Gadugi" w:eastAsia="Georgia" w:hAnsi="Gadugi" w:cs="Georgia"/>
          <w:spacing w:val="-4"/>
          <w:sz w:val="24"/>
          <w:szCs w:val="24"/>
        </w:rPr>
        <w:t xml:space="preserve">se refiere a los </w:t>
      </w:r>
      <w:r w:rsidR="00B74AEA" w:rsidRPr="00D20882">
        <w:rPr>
          <w:rFonts w:ascii="Gadugi" w:eastAsia="Georgia" w:hAnsi="Gadugi" w:cs="Georgia"/>
          <w:spacing w:val="-4"/>
          <w:sz w:val="24"/>
          <w:szCs w:val="24"/>
        </w:rPr>
        <w:t>índices utilizados en el régimen de propiedad horizontal para determinar la participación porcentual de los propietarios de bienes de dominio particular en las expensas causadas en relación con los bienes y servicios comunes cuyo uso y goce corresponda a una parte o sector determinado del edificio o conjunto de uso comercial o mixto.</w:t>
      </w:r>
    </w:p>
    <w:p w14:paraId="6B891F97" w14:textId="77777777" w:rsidR="008E00A1" w:rsidRPr="00D20882" w:rsidRDefault="008E00A1" w:rsidP="00D20882">
      <w:pPr>
        <w:spacing w:line="264" w:lineRule="auto"/>
        <w:jc w:val="both"/>
        <w:rPr>
          <w:rFonts w:ascii="Gadugi" w:eastAsia="Georgia" w:hAnsi="Gadugi" w:cs="Georgia"/>
          <w:spacing w:val="-4"/>
          <w:sz w:val="24"/>
          <w:szCs w:val="24"/>
        </w:rPr>
      </w:pPr>
    </w:p>
    <w:p w14:paraId="02CF5D41" w14:textId="7859A5E3" w:rsidR="004F5B1D" w:rsidRPr="00D20882" w:rsidRDefault="0091457D" w:rsidP="00D20882">
      <w:pPr>
        <w:spacing w:line="264" w:lineRule="auto"/>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En el caso de ahora, la propiedad horizontal es residencial, por tanto, </w:t>
      </w:r>
      <w:r w:rsidR="00054414" w:rsidRPr="00D20882">
        <w:rPr>
          <w:rFonts w:ascii="Gadugi" w:eastAsia="Georgia" w:hAnsi="Gadugi" w:cs="Georgia"/>
          <w:spacing w:val="-4"/>
          <w:sz w:val="24"/>
          <w:szCs w:val="24"/>
        </w:rPr>
        <w:t>la contribución que se fija por coeficientes de copropiedad consulta el espíritu de la Ley</w:t>
      </w:r>
      <w:r w:rsidR="00995126" w:rsidRPr="00D20882">
        <w:rPr>
          <w:rFonts w:ascii="Gadugi" w:eastAsia="Georgia" w:hAnsi="Gadugi" w:cs="Georgia"/>
          <w:spacing w:val="-4"/>
          <w:sz w:val="24"/>
          <w:szCs w:val="24"/>
        </w:rPr>
        <w:t xml:space="preserve">, e incluso del reglamento contenido en las escrituras </w:t>
      </w:r>
      <w:r w:rsidR="00B74AEA" w:rsidRPr="00D20882">
        <w:rPr>
          <w:rFonts w:ascii="Gadugi" w:eastAsia="Georgia" w:hAnsi="Gadugi" w:cs="Georgia"/>
          <w:spacing w:val="-4"/>
          <w:sz w:val="24"/>
          <w:szCs w:val="24"/>
        </w:rPr>
        <w:t>3003 del 14 de noviembre de 2007 de la Notaría Sexta de Pereira,</w:t>
      </w:r>
      <w:r w:rsidR="00FB6AAF" w:rsidRPr="00D20882">
        <w:rPr>
          <w:rFonts w:ascii="Gadugi" w:eastAsia="Georgia" w:hAnsi="Gadugi" w:cs="Georgia"/>
          <w:spacing w:val="-4"/>
          <w:sz w:val="24"/>
          <w:szCs w:val="24"/>
        </w:rPr>
        <w:t xml:space="preserve"> aportada </w:t>
      </w:r>
      <w:r w:rsidR="00AA2CCA" w:rsidRPr="00D20882">
        <w:rPr>
          <w:rFonts w:ascii="Gadugi" w:eastAsia="Georgia" w:hAnsi="Gadugi" w:cs="Georgia"/>
          <w:spacing w:val="-4"/>
          <w:sz w:val="24"/>
          <w:szCs w:val="24"/>
        </w:rPr>
        <w:t>incompleta</w:t>
      </w:r>
      <w:r w:rsidR="00AA2CCA" w:rsidRPr="00D20882">
        <w:rPr>
          <w:rStyle w:val="Refdenotaalpie"/>
          <w:rFonts w:ascii="Gadugi" w:eastAsia="Georgia" w:hAnsi="Gadugi" w:cs="Georgia"/>
          <w:spacing w:val="-4"/>
          <w:sz w:val="24"/>
          <w:szCs w:val="24"/>
        </w:rPr>
        <w:footnoteReference w:id="25"/>
      </w:r>
      <w:r w:rsidR="004F4223" w:rsidRPr="00D20882">
        <w:rPr>
          <w:rFonts w:ascii="Gadugi" w:eastAsia="Georgia" w:hAnsi="Gadugi" w:cs="Georgia"/>
          <w:spacing w:val="-4"/>
          <w:sz w:val="24"/>
          <w:szCs w:val="24"/>
        </w:rPr>
        <w:t xml:space="preserve">, y sus reformas mediante las escrituras </w:t>
      </w:r>
      <w:r w:rsidR="00C0735E" w:rsidRPr="00D20882">
        <w:rPr>
          <w:rFonts w:ascii="Gadugi" w:eastAsia="Georgia" w:hAnsi="Gadugi" w:cs="Georgia"/>
          <w:spacing w:val="-4"/>
          <w:sz w:val="24"/>
          <w:szCs w:val="24"/>
        </w:rPr>
        <w:t>p</w:t>
      </w:r>
      <w:r w:rsidR="004F4223" w:rsidRPr="00D20882">
        <w:rPr>
          <w:rFonts w:ascii="Gadugi" w:eastAsia="Georgia" w:hAnsi="Gadugi" w:cs="Georgia"/>
          <w:spacing w:val="-4"/>
          <w:sz w:val="24"/>
          <w:szCs w:val="24"/>
        </w:rPr>
        <w:t>úblicas 2088 del 06</w:t>
      </w:r>
      <w:r w:rsidR="0087158D" w:rsidRPr="00D20882">
        <w:rPr>
          <w:rFonts w:ascii="Gadugi" w:eastAsia="Georgia" w:hAnsi="Gadugi" w:cs="Georgia"/>
          <w:spacing w:val="-4"/>
          <w:sz w:val="24"/>
          <w:szCs w:val="24"/>
        </w:rPr>
        <w:t xml:space="preserve"> de agosto de </w:t>
      </w:r>
      <w:r w:rsidR="004F4223" w:rsidRPr="00D20882">
        <w:rPr>
          <w:rFonts w:ascii="Gadugi" w:eastAsia="Georgia" w:hAnsi="Gadugi" w:cs="Georgia"/>
          <w:spacing w:val="-4"/>
          <w:sz w:val="24"/>
          <w:szCs w:val="24"/>
        </w:rPr>
        <w:t>2008</w:t>
      </w:r>
      <w:r w:rsidR="004F4223" w:rsidRPr="00D20882">
        <w:rPr>
          <w:rStyle w:val="Refdenotaalpie"/>
          <w:rFonts w:ascii="Gadugi" w:eastAsia="Georgia" w:hAnsi="Gadugi" w:cs="Georgia"/>
          <w:spacing w:val="-4"/>
          <w:sz w:val="24"/>
          <w:szCs w:val="24"/>
        </w:rPr>
        <w:footnoteReference w:id="26"/>
      </w:r>
      <w:r w:rsidR="004F4223" w:rsidRPr="00D20882">
        <w:rPr>
          <w:rFonts w:ascii="Gadugi" w:eastAsia="Georgia" w:hAnsi="Gadugi" w:cs="Georgia"/>
          <w:spacing w:val="-4"/>
          <w:sz w:val="24"/>
          <w:szCs w:val="24"/>
        </w:rPr>
        <w:t xml:space="preserve"> y 0987 del 10</w:t>
      </w:r>
      <w:r w:rsidR="002A0A1D" w:rsidRPr="00D20882">
        <w:rPr>
          <w:rFonts w:ascii="Gadugi" w:eastAsia="Georgia" w:hAnsi="Gadugi" w:cs="Georgia"/>
          <w:spacing w:val="-4"/>
          <w:sz w:val="24"/>
          <w:szCs w:val="24"/>
        </w:rPr>
        <w:t xml:space="preserve"> de junio de 2010</w:t>
      </w:r>
      <w:r w:rsidR="004F4223" w:rsidRPr="00D20882">
        <w:rPr>
          <w:rStyle w:val="Refdenotaalpie"/>
          <w:rFonts w:ascii="Gadugi" w:eastAsia="Georgia" w:hAnsi="Gadugi" w:cs="Georgia"/>
          <w:spacing w:val="-4"/>
          <w:sz w:val="24"/>
          <w:szCs w:val="24"/>
        </w:rPr>
        <w:footnoteReference w:id="27"/>
      </w:r>
      <w:r w:rsidR="004F5B1D" w:rsidRPr="00D20882">
        <w:rPr>
          <w:rFonts w:ascii="Gadugi" w:eastAsia="Georgia" w:hAnsi="Gadugi" w:cs="Georgia"/>
          <w:spacing w:val="-4"/>
          <w:sz w:val="24"/>
          <w:szCs w:val="24"/>
        </w:rPr>
        <w:t xml:space="preserve">. </w:t>
      </w:r>
    </w:p>
    <w:p w14:paraId="78FA448E" w14:textId="77777777" w:rsidR="004F5B1D" w:rsidRPr="00D20882" w:rsidRDefault="004F5B1D" w:rsidP="00D20882">
      <w:pPr>
        <w:spacing w:line="264" w:lineRule="auto"/>
        <w:jc w:val="both"/>
        <w:rPr>
          <w:rFonts w:ascii="Gadugi" w:eastAsia="Georgia" w:hAnsi="Gadugi" w:cs="Georgia"/>
          <w:spacing w:val="-4"/>
          <w:sz w:val="24"/>
          <w:szCs w:val="24"/>
        </w:rPr>
      </w:pPr>
    </w:p>
    <w:p w14:paraId="7E0D43FD" w14:textId="06761EC6" w:rsidR="008908D9" w:rsidRPr="00D20882" w:rsidRDefault="00EF012C" w:rsidP="00D20882">
      <w:pPr>
        <w:spacing w:line="264" w:lineRule="auto"/>
        <w:jc w:val="both"/>
        <w:rPr>
          <w:rFonts w:ascii="Gadugi" w:eastAsia="Georgia" w:hAnsi="Gadugi" w:cs="Georgia"/>
          <w:spacing w:val="-4"/>
          <w:sz w:val="24"/>
          <w:szCs w:val="24"/>
        </w:rPr>
      </w:pPr>
      <w:r w:rsidRPr="00D20882">
        <w:rPr>
          <w:rFonts w:ascii="Gadugi" w:eastAsia="Georgia" w:hAnsi="Gadugi" w:cs="Georgia"/>
          <w:spacing w:val="-4"/>
          <w:sz w:val="24"/>
          <w:szCs w:val="24"/>
        </w:rPr>
        <w:t>Más bien lo que ocurre es que</w:t>
      </w:r>
      <w:r w:rsidR="004F5B1D" w:rsidRPr="00D20882">
        <w:rPr>
          <w:rFonts w:ascii="Gadugi" w:eastAsia="Georgia" w:hAnsi="Gadugi" w:cs="Georgia"/>
          <w:spacing w:val="-4"/>
          <w:sz w:val="24"/>
          <w:szCs w:val="24"/>
        </w:rPr>
        <w:t xml:space="preserve"> </w:t>
      </w:r>
      <w:r w:rsidR="00C0735E" w:rsidRPr="00D20882">
        <w:rPr>
          <w:rFonts w:ascii="Gadugi" w:eastAsia="Georgia" w:hAnsi="Gadugi" w:cs="Georgia"/>
          <w:spacing w:val="-4"/>
          <w:sz w:val="24"/>
          <w:szCs w:val="24"/>
        </w:rPr>
        <w:t>tales instrumentos</w:t>
      </w:r>
      <w:r w:rsidR="0032118A" w:rsidRPr="00D20882">
        <w:rPr>
          <w:rFonts w:ascii="Gadugi" w:eastAsia="Georgia" w:hAnsi="Gadugi" w:cs="Georgia"/>
          <w:spacing w:val="-4"/>
          <w:sz w:val="24"/>
          <w:szCs w:val="24"/>
        </w:rPr>
        <w:t xml:space="preserve"> </w:t>
      </w:r>
      <w:r w:rsidR="00DF421F" w:rsidRPr="00D20882">
        <w:rPr>
          <w:rFonts w:ascii="Gadugi" w:eastAsia="Georgia" w:hAnsi="Gadugi" w:cs="Georgia"/>
          <w:spacing w:val="-4"/>
          <w:sz w:val="24"/>
          <w:szCs w:val="24"/>
        </w:rPr>
        <w:t xml:space="preserve">generan confusión en torno a los coeficientes de copropiedad y los módulos de contribución, porque, si se mira el artículo 19 de la primera escritura, </w:t>
      </w:r>
      <w:r w:rsidR="00A852ED" w:rsidRPr="00D20882">
        <w:rPr>
          <w:rFonts w:ascii="Gadugi" w:eastAsia="Georgia" w:hAnsi="Gadugi" w:cs="Georgia"/>
          <w:spacing w:val="-4"/>
          <w:sz w:val="24"/>
          <w:szCs w:val="24"/>
        </w:rPr>
        <w:t xml:space="preserve">al determinar </w:t>
      </w:r>
      <w:r w:rsidR="00A26A44" w:rsidRPr="00D20882">
        <w:rPr>
          <w:rFonts w:ascii="Gadugi" w:eastAsia="Georgia" w:hAnsi="Gadugi" w:cs="Georgia"/>
          <w:spacing w:val="-4"/>
          <w:sz w:val="24"/>
          <w:szCs w:val="24"/>
        </w:rPr>
        <w:t xml:space="preserve">aquellos coeficientes, se encabezan como módulos de contribución, sin tener en cuenta que más adelante se establecen </w:t>
      </w:r>
      <w:r w:rsidR="00FD5DC2" w:rsidRPr="00D20882">
        <w:rPr>
          <w:rFonts w:ascii="Gadugi" w:eastAsia="Georgia" w:hAnsi="Gadugi" w:cs="Georgia"/>
          <w:spacing w:val="-4"/>
          <w:sz w:val="24"/>
          <w:szCs w:val="24"/>
        </w:rPr>
        <w:t xml:space="preserve">los valores por los módulos de contribución (art. </w:t>
      </w:r>
      <w:r w:rsidR="00483CD1" w:rsidRPr="00D20882">
        <w:rPr>
          <w:rFonts w:ascii="Gadugi" w:eastAsia="Georgia" w:hAnsi="Gadugi" w:cs="Georgia"/>
          <w:spacing w:val="-4"/>
          <w:sz w:val="24"/>
          <w:szCs w:val="24"/>
        </w:rPr>
        <w:t xml:space="preserve">22), y se distribuye el conjunto por sectores (casas, apartamentos y </w:t>
      </w:r>
      <w:r w:rsidR="00AC3286" w:rsidRPr="00D20882">
        <w:rPr>
          <w:rFonts w:ascii="Gadugi" w:eastAsia="Georgia" w:hAnsi="Gadugi" w:cs="Georgia"/>
          <w:spacing w:val="-4"/>
          <w:sz w:val="24"/>
          <w:szCs w:val="24"/>
        </w:rPr>
        <w:t>parqueaderos</w:t>
      </w:r>
      <w:r w:rsidR="00CC5D41" w:rsidRPr="00D20882">
        <w:rPr>
          <w:rFonts w:ascii="Gadugi" w:eastAsia="Georgia" w:hAnsi="Gadugi" w:cs="Georgia"/>
          <w:spacing w:val="-4"/>
          <w:sz w:val="24"/>
          <w:szCs w:val="24"/>
        </w:rPr>
        <w:t>)</w:t>
      </w:r>
      <w:r w:rsidR="00AC3286" w:rsidRPr="00D20882">
        <w:rPr>
          <w:rFonts w:ascii="Gadugi" w:eastAsia="Georgia" w:hAnsi="Gadugi" w:cs="Georgia"/>
          <w:spacing w:val="-4"/>
          <w:sz w:val="24"/>
          <w:szCs w:val="24"/>
        </w:rPr>
        <w:t xml:space="preserve">. </w:t>
      </w:r>
      <w:r w:rsidR="00B8077E" w:rsidRPr="00D20882">
        <w:rPr>
          <w:rFonts w:ascii="Gadugi" w:eastAsia="Georgia" w:hAnsi="Gadugi" w:cs="Georgia"/>
          <w:spacing w:val="-4"/>
          <w:sz w:val="24"/>
          <w:szCs w:val="24"/>
        </w:rPr>
        <w:t xml:space="preserve">En </w:t>
      </w:r>
      <w:r w:rsidR="002A0A1D" w:rsidRPr="00D20882">
        <w:rPr>
          <w:rFonts w:ascii="Gadugi" w:eastAsia="Georgia" w:hAnsi="Gadugi" w:cs="Georgia"/>
          <w:spacing w:val="-4"/>
          <w:sz w:val="24"/>
          <w:szCs w:val="24"/>
        </w:rPr>
        <w:t xml:space="preserve">los artículos </w:t>
      </w:r>
      <w:r w:rsidR="005D3662" w:rsidRPr="00D20882">
        <w:rPr>
          <w:rFonts w:ascii="Gadugi" w:eastAsia="Georgia" w:hAnsi="Gadugi" w:cs="Georgia"/>
          <w:spacing w:val="-4"/>
          <w:sz w:val="24"/>
          <w:szCs w:val="24"/>
        </w:rPr>
        <w:t>7</w:t>
      </w:r>
      <w:r w:rsidR="002A0A1D" w:rsidRPr="00D20882">
        <w:rPr>
          <w:rFonts w:ascii="Gadugi" w:eastAsia="Georgia" w:hAnsi="Gadugi" w:cs="Georgia"/>
          <w:spacing w:val="-4"/>
          <w:sz w:val="24"/>
          <w:szCs w:val="24"/>
        </w:rPr>
        <w:t xml:space="preserve"> y </w:t>
      </w:r>
      <w:proofErr w:type="gramStart"/>
      <w:r w:rsidR="002A0A1D" w:rsidRPr="00D20882">
        <w:rPr>
          <w:rFonts w:ascii="Gadugi" w:eastAsia="Georgia" w:hAnsi="Gadugi" w:cs="Georgia"/>
          <w:spacing w:val="-4"/>
          <w:sz w:val="24"/>
          <w:szCs w:val="24"/>
        </w:rPr>
        <w:t xml:space="preserve">8 </w:t>
      </w:r>
      <w:r w:rsidR="005D3662" w:rsidRPr="00D20882">
        <w:rPr>
          <w:rFonts w:ascii="Gadugi" w:eastAsia="Georgia" w:hAnsi="Gadugi" w:cs="Georgia"/>
          <w:spacing w:val="-4"/>
          <w:sz w:val="24"/>
          <w:szCs w:val="24"/>
        </w:rPr>
        <w:t xml:space="preserve"> de</w:t>
      </w:r>
      <w:proofErr w:type="gramEnd"/>
      <w:r w:rsidR="005D3662" w:rsidRPr="00D20882">
        <w:rPr>
          <w:rFonts w:ascii="Gadugi" w:eastAsia="Georgia" w:hAnsi="Gadugi" w:cs="Georgia"/>
          <w:spacing w:val="-4"/>
          <w:sz w:val="24"/>
          <w:szCs w:val="24"/>
        </w:rPr>
        <w:t xml:space="preserve"> la segunda escritura citada </w:t>
      </w:r>
      <w:r w:rsidR="002A0A1D" w:rsidRPr="00D20882">
        <w:rPr>
          <w:rFonts w:ascii="Gadugi" w:eastAsia="Georgia" w:hAnsi="Gadugi" w:cs="Georgia"/>
          <w:spacing w:val="-4"/>
          <w:sz w:val="24"/>
          <w:szCs w:val="24"/>
        </w:rPr>
        <w:t>se hace lo mismo</w:t>
      </w:r>
      <w:r w:rsidR="00CD6558" w:rsidRPr="00D20882">
        <w:rPr>
          <w:rFonts w:ascii="Gadugi" w:eastAsia="Georgia" w:hAnsi="Gadugi" w:cs="Georgia"/>
          <w:spacing w:val="-4"/>
          <w:sz w:val="24"/>
          <w:szCs w:val="24"/>
        </w:rPr>
        <w:t>, sin que, en pa</w:t>
      </w:r>
      <w:r w:rsidR="00CC5D41" w:rsidRPr="00D20882">
        <w:rPr>
          <w:rFonts w:ascii="Gadugi" w:eastAsia="Georgia" w:hAnsi="Gadugi" w:cs="Georgia"/>
          <w:spacing w:val="-4"/>
          <w:sz w:val="24"/>
          <w:szCs w:val="24"/>
        </w:rPr>
        <w:t>r</w:t>
      </w:r>
      <w:r w:rsidR="00CD6558" w:rsidRPr="00D20882">
        <w:rPr>
          <w:rFonts w:ascii="Gadugi" w:eastAsia="Georgia" w:hAnsi="Gadugi" w:cs="Georgia"/>
          <w:spacing w:val="-4"/>
          <w:sz w:val="24"/>
          <w:szCs w:val="24"/>
        </w:rPr>
        <w:t xml:space="preserve">te alguna, se aluda a que se trate de una propiedad horizontal mixta o comercial. </w:t>
      </w:r>
    </w:p>
    <w:p w14:paraId="4309CB18" w14:textId="77777777" w:rsidR="00CD6558" w:rsidRPr="00D20882" w:rsidRDefault="00CD6558" w:rsidP="00D20882">
      <w:pPr>
        <w:spacing w:line="264" w:lineRule="auto"/>
        <w:jc w:val="both"/>
        <w:rPr>
          <w:rFonts w:ascii="Gadugi" w:eastAsia="Georgia" w:hAnsi="Gadugi" w:cs="Georgia"/>
          <w:spacing w:val="-4"/>
          <w:sz w:val="24"/>
          <w:szCs w:val="24"/>
        </w:rPr>
      </w:pPr>
    </w:p>
    <w:p w14:paraId="30E52BA9" w14:textId="63768E09" w:rsidR="00CD6558" w:rsidRPr="00D20882" w:rsidRDefault="008E51CD" w:rsidP="00D20882">
      <w:pPr>
        <w:spacing w:line="264" w:lineRule="auto"/>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Si ello es así, esto es, si </w:t>
      </w:r>
      <w:r w:rsidR="003C482E" w:rsidRPr="00D20882">
        <w:rPr>
          <w:rFonts w:ascii="Gadugi" w:eastAsia="Georgia" w:hAnsi="Gadugi" w:cs="Georgia"/>
          <w:spacing w:val="-4"/>
          <w:sz w:val="24"/>
          <w:szCs w:val="24"/>
        </w:rPr>
        <w:t>en los conjuntos residenciales es el coeficiente de copropiedad el que determina el p</w:t>
      </w:r>
      <w:r w:rsidR="00C37B06" w:rsidRPr="00D20882">
        <w:rPr>
          <w:rFonts w:ascii="Gadugi" w:eastAsia="Georgia" w:hAnsi="Gadugi" w:cs="Georgia"/>
          <w:spacing w:val="-4"/>
          <w:sz w:val="24"/>
          <w:szCs w:val="24"/>
        </w:rPr>
        <w:t>o</w:t>
      </w:r>
      <w:r w:rsidR="003C482E" w:rsidRPr="00D20882">
        <w:rPr>
          <w:rFonts w:ascii="Gadugi" w:eastAsia="Georgia" w:hAnsi="Gadugi" w:cs="Georgia"/>
          <w:spacing w:val="-4"/>
          <w:sz w:val="24"/>
          <w:szCs w:val="24"/>
        </w:rPr>
        <w:t xml:space="preserve">rcentaje de contribución de cada propietario, </w:t>
      </w:r>
      <w:r w:rsidR="00541F0B" w:rsidRPr="00D20882">
        <w:rPr>
          <w:rFonts w:ascii="Gadugi" w:eastAsia="Georgia" w:hAnsi="Gadugi" w:cs="Georgia"/>
          <w:spacing w:val="-4"/>
          <w:sz w:val="24"/>
          <w:szCs w:val="24"/>
        </w:rPr>
        <w:t>y si en la asamblea realizada el 17 de octubre de 2020</w:t>
      </w:r>
      <w:r w:rsidR="00990A5B" w:rsidRPr="00D20882">
        <w:rPr>
          <w:rFonts w:ascii="Gadugi" w:eastAsia="Georgia" w:hAnsi="Gadugi" w:cs="Georgia"/>
          <w:spacing w:val="-4"/>
          <w:sz w:val="24"/>
          <w:szCs w:val="24"/>
        </w:rPr>
        <w:t xml:space="preserve">, al menos en lo que tiene que ver con la cuota extraordinaria y el pago del seguro nada se dijo de la modalidad a la que se acudiría (coeficientes de copropiedad o módulos de contribución), </w:t>
      </w:r>
      <w:r w:rsidR="00422A84" w:rsidRPr="00D20882">
        <w:rPr>
          <w:rFonts w:ascii="Gadugi" w:eastAsia="Georgia" w:hAnsi="Gadugi" w:cs="Georgia"/>
          <w:spacing w:val="-4"/>
          <w:sz w:val="24"/>
          <w:szCs w:val="24"/>
        </w:rPr>
        <w:t>no advierte la Sala de qu</w:t>
      </w:r>
      <w:r w:rsidR="00F75CA2" w:rsidRPr="00D20882">
        <w:rPr>
          <w:rFonts w:ascii="Gadugi" w:eastAsia="Georgia" w:hAnsi="Gadugi" w:cs="Georgia"/>
          <w:spacing w:val="-4"/>
          <w:sz w:val="24"/>
          <w:szCs w:val="24"/>
        </w:rPr>
        <w:t>é</w:t>
      </w:r>
      <w:r w:rsidR="00422A84" w:rsidRPr="00D20882">
        <w:rPr>
          <w:rFonts w:ascii="Gadugi" w:eastAsia="Georgia" w:hAnsi="Gadugi" w:cs="Georgia"/>
          <w:spacing w:val="-4"/>
          <w:sz w:val="24"/>
          <w:szCs w:val="24"/>
        </w:rPr>
        <w:t xml:space="preserve"> modo se pudo infringir la ley o el reglamento. </w:t>
      </w:r>
    </w:p>
    <w:p w14:paraId="49A3C648" w14:textId="77777777" w:rsidR="00422A84" w:rsidRPr="00D20882" w:rsidRDefault="00422A84" w:rsidP="00D20882">
      <w:pPr>
        <w:spacing w:line="264" w:lineRule="auto"/>
        <w:jc w:val="both"/>
        <w:rPr>
          <w:rFonts w:ascii="Gadugi" w:eastAsia="Georgia" w:hAnsi="Gadugi" w:cs="Georgia"/>
          <w:spacing w:val="-4"/>
          <w:sz w:val="24"/>
          <w:szCs w:val="24"/>
        </w:rPr>
      </w:pPr>
    </w:p>
    <w:p w14:paraId="2155CA09" w14:textId="0CB8C813" w:rsidR="00527725" w:rsidRPr="00D20882" w:rsidRDefault="00422A84" w:rsidP="00D20882">
      <w:pPr>
        <w:spacing w:line="264" w:lineRule="auto"/>
        <w:jc w:val="both"/>
        <w:rPr>
          <w:rFonts w:ascii="Gadugi" w:eastAsia="Georgia" w:hAnsi="Gadugi" w:cs="Georgia"/>
          <w:i/>
          <w:iCs/>
          <w:spacing w:val="-4"/>
          <w:sz w:val="24"/>
          <w:szCs w:val="24"/>
        </w:rPr>
      </w:pPr>
      <w:r w:rsidRPr="00D20882">
        <w:rPr>
          <w:rFonts w:ascii="Gadugi" w:eastAsia="Georgia" w:hAnsi="Gadugi" w:cs="Georgia"/>
          <w:spacing w:val="-4"/>
          <w:sz w:val="24"/>
          <w:szCs w:val="24"/>
        </w:rPr>
        <w:t>El problema, si así se quiere ver, radica en la interpretación que de ello hacen l</w:t>
      </w:r>
      <w:r w:rsidR="004855C5" w:rsidRPr="00D20882">
        <w:rPr>
          <w:rFonts w:ascii="Gadugi" w:eastAsia="Georgia" w:hAnsi="Gadugi" w:cs="Georgia"/>
          <w:spacing w:val="-4"/>
          <w:sz w:val="24"/>
          <w:szCs w:val="24"/>
        </w:rPr>
        <w:t>os órganos de dirección y algunos copropietarios, que difieren en que debe ser, para aquellos, por coeficientes, y para estos, por módulos. Pero,</w:t>
      </w:r>
      <w:r w:rsidR="00747CB3" w:rsidRPr="00D20882">
        <w:rPr>
          <w:rFonts w:ascii="Gadugi" w:eastAsia="Georgia" w:hAnsi="Gadugi" w:cs="Georgia"/>
          <w:spacing w:val="-4"/>
          <w:sz w:val="24"/>
          <w:szCs w:val="24"/>
        </w:rPr>
        <w:t xml:space="preserve"> para un caso tal, el remedio está diseñado en la ley, en cuanto </w:t>
      </w:r>
      <w:r w:rsidR="00C43F51" w:rsidRPr="00D20882">
        <w:rPr>
          <w:rFonts w:ascii="Gadugi" w:eastAsia="Georgia" w:hAnsi="Gadugi" w:cs="Georgia"/>
          <w:spacing w:val="-4"/>
          <w:sz w:val="24"/>
          <w:szCs w:val="24"/>
        </w:rPr>
        <w:t xml:space="preserve">el </w:t>
      </w:r>
      <w:r w:rsidR="009425CE" w:rsidRPr="00D20882">
        <w:rPr>
          <w:rFonts w:ascii="Gadugi" w:eastAsia="Georgia" w:hAnsi="Gadugi" w:cs="Georgia"/>
          <w:spacing w:val="-4"/>
          <w:sz w:val="24"/>
          <w:szCs w:val="24"/>
        </w:rPr>
        <w:t>artículo 18 de la Ley 675 de 2001, se refiere a las obligaciones de los propietarios respecto de los bienes de dominio particular o privado, y el 58</w:t>
      </w:r>
      <w:r w:rsidR="005A05CD" w:rsidRPr="00D20882">
        <w:rPr>
          <w:rFonts w:ascii="Gadugi" w:eastAsia="Georgia" w:hAnsi="Gadugi" w:cs="Georgia"/>
          <w:spacing w:val="-4"/>
          <w:sz w:val="24"/>
          <w:szCs w:val="24"/>
        </w:rPr>
        <w:t xml:space="preserve"> a la sol</w:t>
      </w:r>
      <w:r w:rsidR="007763DF" w:rsidRPr="00D20882">
        <w:rPr>
          <w:rFonts w:ascii="Gadugi" w:eastAsia="Georgia" w:hAnsi="Gadugi" w:cs="Georgia"/>
          <w:spacing w:val="-4"/>
          <w:sz w:val="24"/>
          <w:szCs w:val="24"/>
        </w:rPr>
        <w:t>u</w:t>
      </w:r>
      <w:r w:rsidR="005A05CD" w:rsidRPr="00D20882">
        <w:rPr>
          <w:rFonts w:ascii="Gadugi" w:eastAsia="Georgia" w:hAnsi="Gadugi" w:cs="Georgia"/>
          <w:spacing w:val="-4"/>
          <w:sz w:val="24"/>
          <w:szCs w:val="24"/>
        </w:rPr>
        <w:t xml:space="preserve">ción de conflictos </w:t>
      </w:r>
      <w:r w:rsidR="00C40518" w:rsidRPr="00D20882">
        <w:rPr>
          <w:rFonts w:ascii="Gadugi" w:eastAsia="Georgia" w:hAnsi="Gadugi" w:cs="Georgia"/>
          <w:i/>
          <w:iCs/>
          <w:spacing w:val="-4"/>
          <w:sz w:val="24"/>
          <w:szCs w:val="24"/>
        </w:rPr>
        <w:t>“</w:t>
      </w:r>
      <w:r w:rsidR="00C40518" w:rsidRPr="00D20882">
        <w:rPr>
          <w:rFonts w:ascii="Gadugi" w:eastAsia="Georgia" w:hAnsi="Gadugi" w:cs="Georgia"/>
          <w:i/>
          <w:iCs/>
          <w:spacing w:val="-4"/>
          <w:szCs w:val="24"/>
        </w:rPr>
        <w:t>en razón de la aplicación o interpretación de esta ley y del reglamento de propiedad horizontal</w:t>
      </w:r>
      <w:r w:rsidR="009A405A" w:rsidRPr="00D20882">
        <w:rPr>
          <w:rFonts w:ascii="Gadugi" w:eastAsia="Georgia" w:hAnsi="Gadugi" w:cs="Georgia"/>
          <w:i/>
          <w:iCs/>
          <w:spacing w:val="-4"/>
          <w:sz w:val="24"/>
          <w:szCs w:val="24"/>
        </w:rPr>
        <w:t xml:space="preserve">” </w:t>
      </w:r>
      <w:r w:rsidR="00A027F0" w:rsidRPr="00D20882">
        <w:rPr>
          <w:rFonts w:ascii="Gadugi" w:eastAsia="Georgia" w:hAnsi="Gadugi" w:cs="Georgia"/>
          <w:spacing w:val="-4"/>
          <w:sz w:val="24"/>
          <w:szCs w:val="24"/>
        </w:rPr>
        <w:t>que puede darse por vía jurisdiccional, como lo prevé actualmente el art</w:t>
      </w:r>
      <w:r w:rsidR="00936854" w:rsidRPr="00D20882">
        <w:rPr>
          <w:rFonts w:ascii="Gadugi" w:eastAsia="Georgia" w:hAnsi="Gadugi" w:cs="Georgia"/>
          <w:spacing w:val="-4"/>
          <w:sz w:val="24"/>
          <w:szCs w:val="24"/>
        </w:rPr>
        <w:t>íc</w:t>
      </w:r>
      <w:r w:rsidR="00A027F0" w:rsidRPr="00D20882">
        <w:rPr>
          <w:rFonts w:ascii="Gadugi" w:eastAsia="Georgia" w:hAnsi="Gadugi" w:cs="Georgia"/>
          <w:spacing w:val="-4"/>
          <w:sz w:val="24"/>
          <w:szCs w:val="24"/>
        </w:rPr>
        <w:t>ulo 390 del CG</w:t>
      </w:r>
      <w:r w:rsidR="006A5609" w:rsidRPr="00D20882">
        <w:rPr>
          <w:rFonts w:ascii="Gadugi" w:eastAsia="Georgia" w:hAnsi="Gadugi" w:cs="Georgia"/>
          <w:spacing w:val="-4"/>
          <w:sz w:val="24"/>
          <w:szCs w:val="24"/>
        </w:rPr>
        <w:t xml:space="preserve">P, cuyo numeral 1 establece que </w:t>
      </w:r>
      <w:r w:rsidR="00DA1E26" w:rsidRPr="00D20882">
        <w:rPr>
          <w:rFonts w:ascii="Gadugi" w:eastAsia="Georgia" w:hAnsi="Gadugi" w:cs="Georgia"/>
          <w:spacing w:val="-4"/>
          <w:sz w:val="24"/>
          <w:szCs w:val="24"/>
        </w:rPr>
        <w:t xml:space="preserve">se tramitan por el procedimiento verbal sumario las </w:t>
      </w:r>
      <w:r w:rsidR="00DA1E26" w:rsidRPr="00D20882">
        <w:rPr>
          <w:rFonts w:ascii="Gadugi" w:eastAsia="Georgia" w:hAnsi="Gadugi" w:cs="Georgia"/>
          <w:i/>
          <w:iCs/>
          <w:spacing w:val="-4"/>
          <w:sz w:val="24"/>
          <w:szCs w:val="24"/>
        </w:rPr>
        <w:t>“</w:t>
      </w:r>
      <w:r w:rsidR="00DA1E26" w:rsidRPr="00D20882">
        <w:rPr>
          <w:rFonts w:ascii="Gadugi" w:eastAsia="Georgia" w:hAnsi="Gadugi" w:cs="Georgia"/>
          <w:i/>
          <w:iCs/>
          <w:spacing w:val="-4"/>
          <w:szCs w:val="24"/>
        </w:rPr>
        <w:t>Controversias sobre propiedad horizontal</w:t>
      </w:r>
      <w:r w:rsidR="00516EF2" w:rsidRPr="00D20882">
        <w:rPr>
          <w:rFonts w:ascii="Gadugi" w:eastAsia="Georgia" w:hAnsi="Gadugi" w:cs="Georgia"/>
          <w:i/>
          <w:iCs/>
          <w:spacing w:val="-4"/>
          <w:szCs w:val="24"/>
        </w:rPr>
        <w:t xml:space="preserve"> de qu</w:t>
      </w:r>
      <w:r w:rsidR="00936854" w:rsidRPr="00D20882">
        <w:rPr>
          <w:rFonts w:ascii="Gadugi" w:eastAsia="Georgia" w:hAnsi="Gadugi" w:cs="Georgia"/>
          <w:i/>
          <w:iCs/>
          <w:spacing w:val="-4"/>
          <w:szCs w:val="24"/>
        </w:rPr>
        <w:t>e</w:t>
      </w:r>
      <w:r w:rsidR="00516EF2" w:rsidRPr="00D20882">
        <w:rPr>
          <w:rFonts w:ascii="Gadugi" w:eastAsia="Georgia" w:hAnsi="Gadugi" w:cs="Georgia"/>
          <w:i/>
          <w:iCs/>
          <w:spacing w:val="-4"/>
          <w:szCs w:val="24"/>
        </w:rPr>
        <w:t xml:space="preserve"> tratan los artículos 18 y 58 de la Ley 675 de 2001</w:t>
      </w:r>
      <w:r w:rsidR="00516EF2" w:rsidRPr="00D20882">
        <w:rPr>
          <w:rFonts w:ascii="Gadugi" w:eastAsia="Georgia" w:hAnsi="Gadugi" w:cs="Georgia"/>
          <w:i/>
          <w:iCs/>
          <w:spacing w:val="-4"/>
          <w:sz w:val="24"/>
          <w:szCs w:val="24"/>
        </w:rPr>
        <w:t xml:space="preserve">”. </w:t>
      </w:r>
    </w:p>
    <w:p w14:paraId="421B526C" w14:textId="77777777" w:rsidR="00527725" w:rsidRPr="00D20882" w:rsidRDefault="00527725" w:rsidP="00D20882">
      <w:pPr>
        <w:spacing w:line="264" w:lineRule="auto"/>
        <w:jc w:val="both"/>
        <w:rPr>
          <w:rFonts w:ascii="Gadugi" w:eastAsia="Georgia" w:hAnsi="Gadugi" w:cs="Georgia"/>
          <w:i/>
          <w:iCs/>
          <w:color w:val="FF0000"/>
          <w:spacing w:val="-4"/>
          <w:sz w:val="24"/>
          <w:szCs w:val="24"/>
        </w:rPr>
      </w:pPr>
    </w:p>
    <w:p w14:paraId="3EBF84F9" w14:textId="0D9EC52A" w:rsidR="007414A8" w:rsidRPr="00D20882" w:rsidRDefault="00211E7D" w:rsidP="00D20882">
      <w:pPr>
        <w:spacing w:line="264" w:lineRule="auto"/>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En el caso particular, a la par con este proceso, se tramitaba </w:t>
      </w:r>
      <w:r w:rsidR="00A11EBC" w:rsidRPr="00D20882">
        <w:rPr>
          <w:rFonts w:ascii="Gadugi" w:eastAsia="Georgia" w:hAnsi="Gadugi" w:cs="Georgia"/>
          <w:spacing w:val="-4"/>
          <w:sz w:val="24"/>
          <w:szCs w:val="24"/>
        </w:rPr>
        <w:t xml:space="preserve">aquel en el que uno de los ahora demandantes procuraba que se </w:t>
      </w:r>
      <w:r w:rsidR="00C644FB" w:rsidRPr="00D20882">
        <w:rPr>
          <w:rFonts w:ascii="Gadugi" w:eastAsia="Georgia" w:hAnsi="Gadugi" w:cs="Georgia"/>
          <w:spacing w:val="-4"/>
          <w:sz w:val="24"/>
          <w:szCs w:val="24"/>
        </w:rPr>
        <w:t>interpretara la cuest</w:t>
      </w:r>
      <w:r w:rsidR="005924A4" w:rsidRPr="00D20882">
        <w:rPr>
          <w:rFonts w:ascii="Gadugi" w:eastAsia="Georgia" w:hAnsi="Gadugi" w:cs="Georgia"/>
          <w:spacing w:val="-4"/>
          <w:sz w:val="24"/>
          <w:szCs w:val="24"/>
        </w:rPr>
        <w:t>i</w:t>
      </w:r>
      <w:r w:rsidR="00C644FB" w:rsidRPr="00D20882">
        <w:rPr>
          <w:rFonts w:ascii="Gadugi" w:eastAsia="Georgia" w:hAnsi="Gadugi" w:cs="Georgia"/>
          <w:spacing w:val="-4"/>
          <w:sz w:val="24"/>
          <w:szCs w:val="24"/>
        </w:rPr>
        <w:t xml:space="preserve">ón, a la luz del reglamento de la propiedad horizontal. Y obtuvo esa respuesta </w:t>
      </w:r>
      <w:r w:rsidR="007414A8" w:rsidRPr="00D20882">
        <w:rPr>
          <w:rFonts w:ascii="Gadugi" w:eastAsia="Georgia" w:hAnsi="Gadugi" w:cs="Georgia"/>
          <w:spacing w:val="-4"/>
          <w:sz w:val="24"/>
          <w:szCs w:val="24"/>
        </w:rPr>
        <w:t xml:space="preserve">mediante sentencia proferida el 1 de </w:t>
      </w:r>
      <w:r w:rsidR="007414A8" w:rsidRPr="00D20882">
        <w:rPr>
          <w:rFonts w:ascii="Gadugi" w:eastAsia="Georgia" w:hAnsi="Gadugi" w:cs="Georgia"/>
          <w:spacing w:val="-4"/>
          <w:sz w:val="24"/>
          <w:szCs w:val="24"/>
        </w:rPr>
        <w:lastRenderedPageBreak/>
        <w:t>diciembre de 2020 por el Juzgado Octavo Civil Municipal de Pereira</w:t>
      </w:r>
      <w:r w:rsidR="00C6048A" w:rsidRPr="00D20882">
        <w:rPr>
          <w:rFonts w:ascii="Gadugi" w:eastAsia="Georgia" w:hAnsi="Gadugi" w:cs="Georgia"/>
          <w:spacing w:val="-4"/>
          <w:sz w:val="24"/>
          <w:szCs w:val="24"/>
        </w:rPr>
        <w:t>,</w:t>
      </w:r>
      <w:r w:rsidR="007414A8" w:rsidRPr="00D20882">
        <w:rPr>
          <w:rStyle w:val="Refdenotaalpie"/>
          <w:rFonts w:ascii="Gadugi" w:eastAsia="Georgia" w:hAnsi="Gadugi" w:cs="Georgia"/>
          <w:spacing w:val="-4"/>
          <w:sz w:val="24"/>
          <w:szCs w:val="24"/>
        </w:rPr>
        <w:footnoteReference w:id="28"/>
      </w:r>
      <w:r w:rsidR="007414A8" w:rsidRPr="00D20882">
        <w:rPr>
          <w:rFonts w:ascii="Gadugi" w:eastAsia="Georgia" w:hAnsi="Gadugi" w:cs="Georgia"/>
          <w:spacing w:val="-4"/>
          <w:sz w:val="24"/>
          <w:szCs w:val="24"/>
        </w:rPr>
        <w:t xml:space="preserve"> </w:t>
      </w:r>
      <w:r w:rsidR="00C6048A" w:rsidRPr="00D20882">
        <w:rPr>
          <w:rFonts w:ascii="Gadugi" w:eastAsia="Georgia" w:hAnsi="Gadugi" w:cs="Georgia"/>
          <w:spacing w:val="-4"/>
          <w:sz w:val="24"/>
          <w:szCs w:val="24"/>
        </w:rPr>
        <w:t xml:space="preserve">en la que se concluyó que </w:t>
      </w:r>
      <w:r w:rsidR="007414A8" w:rsidRPr="00D20882">
        <w:rPr>
          <w:rFonts w:ascii="Gadugi" w:eastAsia="Georgia" w:hAnsi="Gadugi" w:cs="Georgia"/>
          <w:spacing w:val="-4"/>
          <w:sz w:val="24"/>
          <w:szCs w:val="24"/>
        </w:rPr>
        <w:t>son los módulos de contribución los que se toman como referente y no l</w:t>
      </w:r>
      <w:r w:rsidR="00D24500" w:rsidRPr="00D20882">
        <w:rPr>
          <w:rFonts w:ascii="Gadugi" w:eastAsia="Georgia" w:hAnsi="Gadugi" w:cs="Georgia"/>
          <w:spacing w:val="-4"/>
          <w:sz w:val="24"/>
          <w:szCs w:val="24"/>
        </w:rPr>
        <w:t>o</w:t>
      </w:r>
      <w:r w:rsidR="007414A8" w:rsidRPr="00D20882">
        <w:rPr>
          <w:rFonts w:ascii="Gadugi" w:eastAsia="Georgia" w:hAnsi="Gadugi" w:cs="Georgia"/>
          <w:spacing w:val="-4"/>
          <w:sz w:val="24"/>
          <w:szCs w:val="24"/>
        </w:rPr>
        <w:t>s coeficientes de copropiedad.</w:t>
      </w:r>
    </w:p>
    <w:p w14:paraId="25F71252" w14:textId="77777777" w:rsidR="00D24500" w:rsidRPr="00D20882" w:rsidRDefault="00D24500" w:rsidP="00D20882">
      <w:pPr>
        <w:spacing w:line="264" w:lineRule="auto"/>
        <w:jc w:val="both"/>
        <w:rPr>
          <w:rFonts w:ascii="Gadugi" w:eastAsia="Georgia" w:hAnsi="Gadugi" w:cs="Georgia"/>
          <w:spacing w:val="-4"/>
          <w:sz w:val="24"/>
          <w:szCs w:val="24"/>
        </w:rPr>
      </w:pPr>
    </w:p>
    <w:p w14:paraId="545D1933" w14:textId="2C653E3C" w:rsidR="007414A8" w:rsidRPr="00D20882" w:rsidRDefault="00A201DA" w:rsidP="00D20882">
      <w:pPr>
        <w:tabs>
          <w:tab w:val="left" w:pos="426"/>
        </w:tabs>
        <w:spacing w:line="264" w:lineRule="auto"/>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Dicho fallo fue </w:t>
      </w:r>
      <w:r w:rsidR="007414A8" w:rsidRPr="00D20882">
        <w:rPr>
          <w:rFonts w:ascii="Gadugi" w:eastAsia="Georgia" w:hAnsi="Gadugi" w:cs="Georgia"/>
          <w:spacing w:val="-4"/>
          <w:sz w:val="24"/>
          <w:szCs w:val="24"/>
        </w:rPr>
        <w:t xml:space="preserve">incluido como prueba </w:t>
      </w:r>
      <w:r w:rsidRPr="00D20882">
        <w:rPr>
          <w:rFonts w:ascii="Gadugi" w:eastAsia="Georgia" w:hAnsi="Gadugi" w:cs="Georgia"/>
          <w:spacing w:val="-4"/>
          <w:sz w:val="24"/>
          <w:szCs w:val="24"/>
        </w:rPr>
        <w:t xml:space="preserve">en este proceso, </w:t>
      </w:r>
      <w:r w:rsidR="007414A8" w:rsidRPr="00D20882">
        <w:rPr>
          <w:rFonts w:ascii="Gadugi" w:eastAsia="Georgia" w:hAnsi="Gadugi" w:cs="Georgia"/>
          <w:spacing w:val="-4"/>
          <w:sz w:val="24"/>
          <w:szCs w:val="24"/>
        </w:rPr>
        <w:t>por decreto oficioso del juez</w:t>
      </w:r>
      <w:r w:rsidRPr="00D20882">
        <w:rPr>
          <w:rFonts w:ascii="Gadugi" w:eastAsia="Georgia" w:hAnsi="Gadugi" w:cs="Georgia"/>
          <w:spacing w:val="-4"/>
          <w:sz w:val="24"/>
          <w:szCs w:val="24"/>
        </w:rPr>
        <w:t xml:space="preserve">, el </w:t>
      </w:r>
      <w:r w:rsidR="007414A8" w:rsidRPr="00D20882">
        <w:rPr>
          <w:rFonts w:ascii="Gadugi" w:eastAsia="Georgia" w:hAnsi="Gadugi" w:cs="Georgia"/>
          <w:spacing w:val="-4"/>
          <w:sz w:val="24"/>
          <w:szCs w:val="24"/>
        </w:rPr>
        <w:t>18 de noviembre de 2021</w:t>
      </w:r>
      <w:r w:rsidR="007414A8" w:rsidRPr="00D20882">
        <w:rPr>
          <w:rStyle w:val="Refdenotaalpie"/>
          <w:rFonts w:ascii="Gadugi" w:eastAsia="Georgia" w:hAnsi="Gadugi" w:cs="Georgia"/>
          <w:spacing w:val="-4"/>
          <w:sz w:val="24"/>
          <w:szCs w:val="24"/>
        </w:rPr>
        <w:footnoteReference w:id="29"/>
      </w:r>
      <w:r w:rsidR="00E1471B" w:rsidRPr="00D20882">
        <w:rPr>
          <w:rFonts w:ascii="Gadugi" w:eastAsia="Georgia" w:hAnsi="Gadugi" w:cs="Georgia"/>
          <w:spacing w:val="-4"/>
          <w:sz w:val="24"/>
          <w:szCs w:val="24"/>
        </w:rPr>
        <w:t xml:space="preserve">, y en </w:t>
      </w:r>
      <w:proofErr w:type="spellStart"/>
      <w:r w:rsidR="00E1471B" w:rsidRPr="00D20882">
        <w:rPr>
          <w:rFonts w:ascii="Gadugi" w:eastAsia="Georgia" w:hAnsi="Gadugi" w:cs="Georgia"/>
          <w:spacing w:val="-4"/>
          <w:sz w:val="24"/>
          <w:szCs w:val="24"/>
        </w:rPr>
        <w:t>el</w:t>
      </w:r>
      <w:proofErr w:type="spellEnd"/>
      <w:r w:rsidR="00E1471B" w:rsidRPr="00D20882">
        <w:rPr>
          <w:rFonts w:ascii="Gadugi" w:eastAsia="Georgia" w:hAnsi="Gadugi" w:cs="Georgia"/>
          <w:spacing w:val="-4"/>
          <w:sz w:val="24"/>
          <w:szCs w:val="24"/>
        </w:rPr>
        <w:t xml:space="preserve"> se dispuso, </w:t>
      </w:r>
      <w:r w:rsidR="007414A8" w:rsidRPr="00D20882">
        <w:rPr>
          <w:rFonts w:ascii="Gadugi" w:eastAsia="Georgia" w:hAnsi="Gadugi" w:cs="Georgia"/>
          <w:spacing w:val="-4"/>
          <w:sz w:val="24"/>
          <w:szCs w:val="24"/>
        </w:rPr>
        <w:t>entre otras cosas, lo siguiente:</w:t>
      </w:r>
    </w:p>
    <w:p w14:paraId="4311529F" w14:textId="77777777" w:rsidR="00553938" w:rsidRPr="00D20882" w:rsidRDefault="00553938" w:rsidP="00D20882">
      <w:pPr>
        <w:tabs>
          <w:tab w:val="left" w:pos="426"/>
        </w:tabs>
        <w:spacing w:line="264" w:lineRule="auto"/>
        <w:jc w:val="both"/>
        <w:rPr>
          <w:rFonts w:ascii="Gadugi" w:eastAsia="Georgia" w:hAnsi="Gadugi" w:cs="Georgia"/>
          <w:spacing w:val="-4"/>
          <w:sz w:val="24"/>
          <w:szCs w:val="24"/>
        </w:rPr>
      </w:pPr>
    </w:p>
    <w:p w14:paraId="129CA414" w14:textId="7A696B47" w:rsidR="007414A8" w:rsidRPr="00D20882" w:rsidRDefault="007414A8" w:rsidP="00553938">
      <w:pPr>
        <w:spacing w:line="240" w:lineRule="auto"/>
        <w:ind w:left="426" w:right="420"/>
        <w:jc w:val="both"/>
        <w:rPr>
          <w:rFonts w:ascii="Gadugi" w:eastAsia="Georgia" w:hAnsi="Gadugi" w:cs="Georgia"/>
          <w:spacing w:val="-4"/>
          <w:szCs w:val="24"/>
        </w:rPr>
      </w:pPr>
      <w:r w:rsidRPr="00D20882">
        <w:rPr>
          <w:rFonts w:ascii="Gadugi" w:eastAsia="Georgia" w:hAnsi="Gadugi" w:cs="Georgia"/>
          <w:spacing w:val="-4"/>
          <w:szCs w:val="24"/>
        </w:rPr>
        <w:t>Primero. Dispone que las peticiones o pretensiones que plantea la parte actora están llamadas a salir avante, y en ese orden de ideas, se deberá disponer de que la persona jurídica Conjunto Residencial Primavera P.H., identificada con NIT 900.246.483-5 a través de su Consejo de Administración atienda cabalmente y aplique lo dispuesto en la Ley 675 de 2001 y en el reglamento de propiedad horizontal contenido en la escritura pública 987 del 10 de junio de 2010.</w:t>
      </w:r>
    </w:p>
    <w:p w14:paraId="6419E0D3" w14:textId="77777777" w:rsidR="00553938" w:rsidRPr="00D20882" w:rsidRDefault="00553938" w:rsidP="00553938">
      <w:pPr>
        <w:spacing w:line="240" w:lineRule="auto"/>
        <w:ind w:left="426" w:right="420"/>
        <w:jc w:val="both"/>
        <w:rPr>
          <w:rFonts w:ascii="Gadugi" w:eastAsia="Georgia" w:hAnsi="Gadugi" w:cs="Georgia"/>
          <w:spacing w:val="-4"/>
          <w:szCs w:val="24"/>
        </w:rPr>
      </w:pPr>
    </w:p>
    <w:p w14:paraId="1E4F51FC" w14:textId="650AA2F1" w:rsidR="007414A8" w:rsidRPr="00D20882" w:rsidRDefault="007414A8" w:rsidP="00553938">
      <w:pPr>
        <w:spacing w:line="240" w:lineRule="auto"/>
        <w:ind w:left="426" w:right="420"/>
        <w:jc w:val="both"/>
        <w:rPr>
          <w:rFonts w:ascii="Gadugi" w:eastAsia="Georgia" w:hAnsi="Gadugi" w:cs="Georgia"/>
          <w:spacing w:val="-4"/>
          <w:szCs w:val="24"/>
        </w:rPr>
      </w:pPr>
      <w:r w:rsidRPr="00D20882">
        <w:rPr>
          <w:rFonts w:ascii="Gadugi" w:eastAsia="Georgia" w:hAnsi="Gadugi" w:cs="Georgia"/>
          <w:spacing w:val="-4"/>
          <w:szCs w:val="24"/>
        </w:rPr>
        <w:t>Segundo.</w:t>
      </w:r>
      <w:r w:rsidR="007215AC" w:rsidRPr="00D20882">
        <w:rPr>
          <w:rFonts w:ascii="Gadugi" w:eastAsia="Georgia" w:hAnsi="Gadugi" w:cs="Georgia"/>
          <w:spacing w:val="-4"/>
          <w:szCs w:val="24"/>
        </w:rPr>
        <w:t xml:space="preserve"> </w:t>
      </w:r>
      <w:r w:rsidRPr="00D20882">
        <w:rPr>
          <w:rFonts w:ascii="Gadugi" w:eastAsia="Georgia" w:hAnsi="Gadugi" w:cs="Georgia"/>
          <w:spacing w:val="-4"/>
          <w:szCs w:val="24"/>
        </w:rPr>
        <w:t>Se ordena también a este mismo Consejo de Administración que en lo sucesivo el presupuesto de gastos y egresos se allane a los módulos de contribución tal como reza el reglamento de propiedad horizontal.</w:t>
      </w:r>
    </w:p>
    <w:p w14:paraId="70205AD4" w14:textId="77777777" w:rsidR="00553938" w:rsidRPr="00D20882" w:rsidRDefault="00553938" w:rsidP="00553938">
      <w:pPr>
        <w:spacing w:line="240" w:lineRule="auto"/>
        <w:ind w:left="426" w:right="420"/>
        <w:jc w:val="both"/>
        <w:rPr>
          <w:rFonts w:ascii="Gadugi" w:eastAsia="Georgia" w:hAnsi="Gadugi" w:cs="Georgia"/>
          <w:spacing w:val="-4"/>
          <w:szCs w:val="24"/>
        </w:rPr>
      </w:pPr>
    </w:p>
    <w:p w14:paraId="6408E54B" w14:textId="774A154E" w:rsidR="007414A8" w:rsidRPr="00D20882" w:rsidRDefault="007414A8" w:rsidP="00553938">
      <w:pPr>
        <w:spacing w:line="240" w:lineRule="auto"/>
        <w:ind w:left="426" w:right="420"/>
        <w:jc w:val="both"/>
        <w:rPr>
          <w:rFonts w:ascii="Gadugi" w:eastAsia="Georgia" w:hAnsi="Gadugi" w:cs="Georgia"/>
          <w:spacing w:val="-4"/>
          <w:sz w:val="24"/>
          <w:szCs w:val="24"/>
          <w:lang w:val="es-CO"/>
        </w:rPr>
      </w:pPr>
      <w:r w:rsidRPr="00D20882">
        <w:rPr>
          <w:rFonts w:ascii="Gadugi" w:eastAsia="Georgia" w:hAnsi="Gadugi" w:cs="Georgia"/>
          <w:spacing w:val="-4"/>
          <w:szCs w:val="24"/>
        </w:rPr>
        <w:t>Tercero. Deberá igualmente ese estamento de administración permanente, consejo de administración de la entidad demandada, hacer claridad respecto a que en el presupuesto anual se tenga en cuenta la cuota que cada copropietario debe asumir como expensa común, atendiendo también</w:t>
      </w:r>
      <w:r w:rsidRPr="00D20882">
        <w:rPr>
          <w:rFonts w:ascii="Gadugi" w:eastAsia="Georgia" w:hAnsi="Gadugi" w:cs="Georgia"/>
          <w:spacing w:val="-4"/>
          <w:sz w:val="24"/>
          <w:szCs w:val="24"/>
          <w:lang w:val="es-CO"/>
        </w:rPr>
        <w:t xml:space="preserve"> </w:t>
      </w:r>
      <w:r w:rsidRPr="00D20882">
        <w:rPr>
          <w:rFonts w:ascii="Gadugi" w:eastAsia="Georgia" w:hAnsi="Gadugi" w:cs="Georgia"/>
          <w:spacing w:val="-4"/>
          <w:szCs w:val="24"/>
        </w:rPr>
        <w:t>los respectivos módulos de contribución.”</w:t>
      </w:r>
      <w:r w:rsidRPr="00D20882">
        <w:rPr>
          <w:rStyle w:val="Refdenotaalpie"/>
          <w:rFonts w:ascii="Gadugi" w:eastAsia="Georgia" w:hAnsi="Gadugi" w:cs="Georgia"/>
          <w:spacing w:val="-4"/>
          <w:sz w:val="24"/>
          <w:szCs w:val="24"/>
          <w:lang w:val="es-CO"/>
        </w:rPr>
        <w:footnoteReference w:id="30"/>
      </w:r>
      <w:r w:rsidRPr="00D20882">
        <w:rPr>
          <w:rFonts w:ascii="Gadugi" w:eastAsia="Georgia" w:hAnsi="Gadugi" w:cs="Georgia"/>
          <w:spacing w:val="-4"/>
          <w:sz w:val="24"/>
          <w:szCs w:val="24"/>
          <w:lang w:val="es-CO"/>
        </w:rPr>
        <w:t xml:space="preserve"> </w:t>
      </w:r>
    </w:p>
    <w:p w14:paraId="394CCF3D" w14:textId="77777777" w:rsidR="007215AC" w:rsidRPr="00D20882" w:rsidRDefault="007215AC" w:rsidP="00D20882">
      <w:pPr>
        <w:tabs>
          <w:tab w:val="left" w:pos="426"/>
        </w:tabs>
        <w:spacing w:line="264" w:lineRule="auto"/>
        <w:jc w:val="both"/>
        <w:rPr>
          <w:rFonts w:ascii="Gadugi" w:eastAsia="Georgia" w:hAnsi="Gadugi" w:cs="Georgia"/>
          <w:spacing w:val="-4"/>
          <w:sz w:val="24"/>
          <w:szCs w:val="24"/>
        </w:rPr>
      </w:pPr>
    </w:p>
    <w:p w14:paraId="024F0BBB" w14:textId="3CEA8599" w:rsidR="007414A8" w:rsidRPr="00D20882" w:rsidRDefault="001A7AB5" w:rsidP="00D20882">
      <w:pPr>
        <w:tabs>
          <w:tab w:val="left" w:pos="426"/>
        </w:tabs>
        <w:spacing w:line="264" w:lineRule="auto"/>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Es decir, que </w:t>
      </w:r>
      <w:r w:rsidR="00A70496" w:rsidRPr="00D20882">
        <w:rPr>
          <w:rFonts w:ascii="Gadugi" w:eastAsia="Georgia" w:hAnsi="Gadugi" w:cs="Georgia"/>
          <w:spacing w:val="-4"/>
          <w:sz w:val="24"/>
          <w:szCs w:val="24"/>
        </w:rPr>
        <w:t xml:space="preserve">fue allí donde, con </w:t>
      </w:r>
      <w:r w:rsidR="00F13217" w:rsidRPr="00D20882">
        <w:rPr>
          <w:rFonts w:ascii="Gadugi" w:eastAsia="Georgia" w:hAnsi="Gadugi" w:cs="Georgia"/>
          <w:spacing w:val="-4"/>
          <w:sz w:val="24"/>
          <w:szCs w:val="24"/>
        </w:rPr>
        <w:t xml:space="preserve">la competencia que le brinda la ley, el funcionario dejó dicho que </w:t>
      </w:r>
      <w:r w:rsidR="007414A8" w:rsidRPr="00D20882">
        <w:rPr>
          <w:rFonts w:ascii="Gadugi" w:eastAsia="Georgia" w:hAnsi="Gadugi" w:cs="Georgia"/>
          <w:spacing w:val="-4"/>
          <w:sz w:val="24"/>
          <w:szCs w:val="24"/>
        </w:rPr>
        <w:t>el referente para aplicar en las decisiones de la asamblea respecto a las cuotas de administración, gastos y egresos son los módulos de contribución y no los coeficientes de copropiedad</w:t>
      </w:r>
      <w:r w:rsidR="005F2C4E" w:rsidRPr="00D20882">
        <w:rPr>
          <w:rFonts w:ascii="Gadugi" w:eastAsia="Georgia" w:hAnsi="Gadugi" w:cs="Georgia"/>
          <w:spacing w:val="-4"/>
          <w:sz w:val="24"/>
          <w:szCs w:val="24"/>
        </w:rPr>
        <w:t xml:space="preserve">, luego de señalar que </w:t>
      </w:r>
      <w:r w:rsidR="007414A8" w:rsidRPr="00D20882">
        <w:rPr>
          <w:rFonts w:ascii="Gadugi" w:eastAsia="Georgia" w:hAnsi="Gadugi" w:cs="Georgia"/>
          <w:spacing w:val="-4"/>
          <w:sz w:val="24"/>
          <w:szCs w:val="24"/>
        </w:rPr>
        <w:t xml:space="preserve">el manejo operativo, financiero y administrativo que </w:t>
      </w:r>
      <w:r w:rsidR="005F2C4E" w:rsidRPr="00D20882">
        <w:rPr>
          <w:rFonts w:ascii="Gadugi" w:eastAsia="Georgia" w:hAnsi="Gadugi" w:cs="Georgia"/>
          <w:spacing w:val="-4"/>
          <w:sz w:val="24"/>
          <w:szCs w:val="24"/>
        </w:rPr>
        <w:t xml:space="preserve">se le </w:t>
      </w:r>
      <w:r w:rsidR="007414A8" w:rsidRPr="00D20882">
        <w:rPr>
          <w:rFonts w:ascii="Gadugi" w:eastAsia="Georgia" w:hAnsi="Gadugi" w:cs="Georgia"/>
          <w:spacing w:val="-4"/>
          <w:sz w:val="24"/>
          <w:szCs w:val="24"/>
        </w:rPr>
        <w:t>está dando a la copropiedad</w:t>
      </w:r>
      <w:r w:rsidR="004727C5" w:rsidRPr="00D20882">
        <w:rPr>
          <w:rFonts w:ascii="Gadugi" w:eastAsia="Georgia" w:hAnsi="Gadugi" w:cs="Georgia"/>
          <w:spacing w:val="-4"/>
          <w:sz w:val="24"/>
          <w:szCs w:val="24"/>
        </w:rPr>
        <w:t xml:space="preserve"> de tiempo atrás</w:t>
      </w:r>
      <w:r w:rsidR="00472433" w:rsidRPr="00D20882">
        <w:rPr>
          <w:rFonts w:ascii="Gadugi" w:eastAsia="Georgia" w:hAnsi="Gadugi" w:cs="Georgia"/>
          <w:spacing w:val="-4"/>
          <w:sz w:val="24"/>
          <w:szCs w:val="24"/>
        </w:rPr>
        <w:t>,</w:t>
      </w:r>
      <w:r w:rsidR="007414A8" w:rsidRPr="00D20882">
        <w:rPr>
          <w:rFonts w:ascii="Gadugi" w:eastAsia="Georgia" w:hAnsi="Gadugi" w:cs="Georgia"/>
          <w:spacing w:val="-4"/>
          <w:sz w:val="24"/>
          <w:szCs w:val="24"/>
        </w:rPr>
        <w:t xml:space="preserve"> no compagina con lo que reza el reglamento</w:t>
      </w:r>
      <w:r w:rsidR="00472433" w:rsidRPr="00D20882">
        <w:rPr>
          <w:rFonts w:ascii="Gadugi" w:eastAsia="Georgia" w:hAnsi="Gadugi" w:cs="Georgia"/>
          <w:spacing w:val="-4"/>
          <w:sz w:val="24"/>
          <w:szCs w:val="24"/>
        </w:rPr>
        <w:t>.</w:t>
      </w:r>
    </w:p>
    <w:p w14:paraId="766D61C5" w14:textId="77777777" w:rsidR="00472433" w:rsidRPr="00D20882" w:rsidRDefault="00472433" w:rsidP="00D20882">
      <w:pPr>
        <w:tabs>
          <w:tab w:val="left" w:pos="426"/>
        </w:tabs>
        <w:spacing w:line="264" w:lineRule="auto"/>
        <w:jc w:val="both"/>
        <w:rPr>
          <w:rFonts w:ascii="Gadugi" w:eastAsia="Georgia" w:hAnsi="Gadugi" w:cs="Georgia"/>
          <w:spacing w:val="-4"/>
          <w:sz w:val="24"/>
          <w:szCs w:val="24"/>
        </w:rPr>
      </w:pPr>
    </w:p>
    <w:p w14:paraId="6D726133" w14:textId="7D2B6AA7" w:rsidR="007069E7" w:rsidRPr="00D20882" w:rsidRDefault="00472433" w:rsidP="00D20882">
      <w:pPr>
        <w:tabs>
          <w:tab w:val="left" w:pos="426"/>
        </w:tabs>
        <w:spacing w:line="264" w:lineRule="auto"/>
        <w:jc w:val="both"/>
        <w:rPr>
          <w:rFonts w:ascii="Gadugi" w:eastAsia="Georgia" w:hAnsi="Gadugi" w:cs="Georgia"/>
          <w:spacing w:val="-4"/>
          <w:sz w:val="24"/>
          <w:szCs w:val="24"/>
        </w:rPr>
      </w:pPr>
      <w:r w:rsidRPr="00D20882">
        <w:rPr>
          <w:rFonts w:ascii="Gadugi" w:eastAsia="Georgia" w:hAnsi="Gadugi" w:cs="Georgia"/>
          <w:spacing w:val="-4"/>
          <w:sz w:val="24"/>
          <w:szCs w:val="24"/>
        </w:rPr>
        <w:t>Salta a la vista que</w:t>
      </w:r>
      <w:r w:rsidR="00E36617" w:rsidRPr="00D20882">
        <w:rPr>
          <w:rFonts w:ascii="Gadugi" w:eastAsia="Georgia" w:hAnsi="Gadugi" w:cs="Georgia"/>
          <w:spacing w:val="-4"/>
          <w:sz w:val="24"/>
          <w:szCs w:val="24"/>
        </w:rPr>
        <w:t xml:space="preserve"> los únicos copropietarios que han interpretado que debe acudirse a los módulos de contribución señalados en el reglamento y no a los coeficientes de copropiedad, son los ahora demandantes, y por ello fue necesario que </w:t>
      </w:r>
      <w:r w:rsidR="00835BD5" w:rsidRPr="00D20882">
        <w:rPr>
          <w:rFonts w:ascii="Gadugi" w:eastAsia="Georgia" w:hAnsi="Gadugi" w:cs="Georgia"/>
          <w:spacing w:val="-4"/>
          <w:sz w:val="24"/>
          <w:szCs w:val="24"/>
        </w:rPr>
        <w:t xml:space="preserve">se acudiera a dilucidar la cuestión ante el juez competente, que lo hizo, solo que con posterioridad a la realización de la asamblea que se realizó el 17 de octubre de 2020 y en la cual, según quedó visto, </w:t>
      </w:r>
      <w:r w:rsidR="00D85CA7" w:rsidRPr="00D20882">
        <w:rPr>
          <w:rFonts w:ascii="Gadugi" w:eastAsia="Georgia" w:hAnsi="Gadugi" w:cs="Georgia"/>
          <w:spacing w:val="-4"/>
          <w:sz w:val="24"/>
          <w:szCs w:val="24"/>
        </w:rPr>
        <w:t xml:space="preserve">únicamente </w:t>
      </w:r>
      <w:r w:rsidR="003F2D3D" w:rsidRPr="00D20882">
        <w:rPr>
          <w:rFonts w:ascii="Gadugi" w:eastAsia="Georgia" w:hAnsi="Gadugi" w:cs="Georgia"/>
          <w:spacing w:val="-4"/>
          <w:sz w:val="24"/>
          <w:szCs w:val="24"/>
        </w:rPr>
        <w:t xml:space="preserve">se aludió a los coeficientes de copropiedad en relación con las cuotas </w:t>
      </w:r>
      <w:r w:rsidR="0000339C" w:rsidRPr="00D20882">
        <w:rPr>
          <w:rFonts w:ascii="Gadugi" w:eastAsia="Georgia" w:hAnsi="Gadugi" w:cs="Georgia"/>
          <w:spacing w:val="-4"/>
          <w:sz w:val="24"/>
          <w:szCs w:val="24"/>
        </w:rPr>
        <w:t>ordinarias</w:t>
      </w:r>
      <w:r w:rsidR="007069E7" w:rsidRPr="00D20882">
        <w:rPr>
          <w:rFonts w:ascii="Gadugi" w:eastAsia="Georgia" w:hAnsi="Gadugi" w:cs="Georgia"/>
          <w:spacing w:val="-4"/>
          <w:sz w:val="24"/>
          <w:szCs w:val="24"/>
        </w:rPr>
        <w:t xml:space="preserve">, como lo establece con claridad la Ley 675. </w:t>
      </w:r>
    </w:p>
    <w:p w14:paraId="42F5351A" w14:textId="77777777" w:rsidR="00D85CA7" w:rsidRPr="00D20882" w:rsidRDefault="00D85CA7" w:rsidP="00D20882">
      <w:pPr>
        <w:tabs>
          <w:tab w:val="left" w:pos="426"/>
        </w:tabs>
        <w:spacing w:line="264" w:lineRule="auto"/>
        <w:jc w:val="both"/>
        <w:rPr>
          <w:rFonts w:ascii="Gadugi" w:eastAsia="Georgia" w:hAnsi="Gadugi" w:cs="Georgia"/>
          <w:spacing w:val="-4"/>
          <w:sz w:val="24"/>
          <w:szCs w:val="24"/>
        </w:rPr>
      </w:pPr>
    </w:p>
    <w:p w14:paraId="4E880C29" w14:textId="1DF43B07" w:rsidR="00CB2701" w:rsidRPr="00D20882" w:rsidRDefault="0051308F" w:rsidP="00D20882">
      <w:pPr>
        <w:spacing w:line="264" w:lineRule="auto"/>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Por supuesto que, en el estado actual de cosas, las partes deben ajustar sus actos a </w:t>
      </w:r>
      <w:r w:rsidR="006D58AD" w:rsidRPr="00D20882">
        <w:rPr>
          <w:rFonts w:ascii="Gadugi" w:eastAsia="Georgia" w:hAnsi="Gadugi" w:cs="Georgia"/>
          <w:spacing w:val="-4"/>
          <w:sz w:val="24"/>
          <w:szCs w:val="24"/>
        </w:rPr>
        <w:t xml:space="preserve">lo resuelto por </w:t>
      </w:r>
      <w:r w:rsidRPr="00D20882">
        <w:rPr>
          <w:rFonts w:ascii="Gadugi" w:eastAsia="Georgia" w:hAnsi="Gadugi" w:cs="Georgia"/>
          <w:spacing w:val="-4"/>
          <w:sz w:val="24"/>
          <w:szCs w:val="24"/>
        </w:rPr>
        <w:t xml:space="preserve">el Juzgado 8° Civil Municipal, </w:t>
      </w:r>
      <w:r w:rsidR="006D58AD" w:rsidRPr="00D20882">
        <w:rPr>
          <w:rFonts w:ascii="Gadugi" w:eastAsia="Georgia" w:hAnsi="Gadugi" w:cs="Georgia"/>
          <w:spacing w:val="-4"/>
          <w:sz w:val="24"/>
          <w:szCs w:val="24"/>
        </w:rPr>
        <w:t xml:space="preserve">al menos mientras acude a la asamblea general para </w:t>
      </w:r>
      <w:r w:rsidR="00B96593" w:rsidRPr="00D20882">
        <w:rPr>
          <w:rFonts w:ascii="Gadugi" w:eastAsia="Georgia" w:hAnsi="Gadugi" w:cs="Georgia"/>
          <w:spacing w:val="-4"/>
          <w:sz w:val="24"/>
          <w:szCs w:val="24"/>
        </w:rPr>
        <w:t xml:space="preserve">someter a votación el ajuste que corresponda a su reglamento, como le fue sugerido en ese fallo, </w:t>
      </w:r>
      <w:r w:rsidRPr="00D20882">
        <w:rPr>
          <w:rFonts w:ascii="Gadugi" w:eastAsia="Georgia" w:hAnsi="Gadugi" w:cs="Georgia"/>
          <w:spacing w:val="-4"/>
          <w:sz w:val="24"/>
          <w:szCs w:val="24"/>
        </w:rPr>
        <w:t xml:space="preserve">que, no sobra decirlo, causó ejecutoria y obliga a los litigantes. </w:t>
      </w:r>
      <w:r w:rsidR="003258DE" w:rsidRPr="00D20882">
        <w:rPr>
          <w:rFonts w:ascii="Gadugi" w:eastAsia="Georgia" w:hAnsi="Gadugi" w:cs="Georgia"/>
          <w:spacing w:val="-4"/>
          <w:sz w:val="24"/>
          <w:szCs w:val="24"/>
        </w:rPr>
        <w:t xml:space="preserve">Ello, no está en contravía de lo que aquí se aduce, porque el objeto de este proceso no está enmarcado en </w:t>
      </w:r>
      <w:r w:rsidR="003258DE" w:rsidRPr="00D20882">
        <w:rPr>
          <w:rFonts w:ascii="Gadugi" w:eastAsia="Georgia" w:hAnsi="Gadugi" w:cs="Georgia"/>
          <w:spacing w:val="-4"/>
          <w:sz w:val="24"/>
          <w:szCs w:val="24"/>
        </w:rPr>
        <w:lastRenderedPageBreak/>
        <w:t>la interpretación del reglamento, como sí ocurrió allí, sino</w:t>
      </w:r>
      <w:r w:rsidR="00B96593" w:rsidRPr="00D20882">
        <w:rPr>
          <w:rFonts w:ascii="Gadugi" w:eastAsia="Georgia" w:hAnsi="Gadugi" w:cs="Georgia"/>
          <w:spacing w:val="-4"/>
          <w:sz w:val="24"/>
          <w:szCs w:val="24"/>
        </w:rPr>
        <w:t>, se insiste en ello, en la ilegalidad de las decisiones adoptadas en aquella asamblea</w:t>
      </w:r>
      <w:r w:rsidR="00AD2BE1" w:rsidRPr="00D20882">
        <w:rPr>
          <w:rFonts w:ascii="Gadugi" w:eastAsia="Georgia" w:hAnsi="Gadugi" w:cs="Georgia"/>
          <w:spacing w:val="-4"/>
          <w:sz w:val="24"/>
          <w:szCs w:val="24"/>
        </w:rPr>
        <w:t xml:space="preserve"> que, </w:t>
      </w:r>
      <w:r w:rsidR="003258DE" w:rsidRPr="00D20882">
        <w:rPr>
          <w:rFonts w:ascii="Gadugi" w:eastAsia="Georgia" w:hAnsi="Gadugi" w:cs="Georgia"/>
          <w:spacing w:val="-4"/>
          <w:sz w:val="24"/>
          <w:szCs w:val="24"/>
        </w:rPr>
        <w:t xml:space="preserve">con lo dicho hasta ahora se estima inexistente. </w:t>
      </w:r>
    </w:p>
    <w:p w14:paraId="5137070B" w14:textId="77777777" w:rsidR="00CB2701" w:rsidRPr="00D20882" w:rsidRDefault="00CB2701" w:rsidP="00D20882">
      <w:pPr>
        <w:tabs>
          <w:tab w:val="left" w:pos="426"/>
        </w:tabs>
        <w:spacing w:line="264" w:lineRule="auto"/>
        <w:jc w:val="both"/>
        <w:rPr>
          <w:rFonts w:ascii="Gadugi" w:eastAsia="Georgia" w:hAnsi="Gadugi" w:cs="Georgia"/>
          <w:spacing w:val="-4"/>
          <w:sz w:val="24"/>
          <w:szCs w:val="24"/>
        </w:rPr>
      </w:pPr>
    </w:p>
    <w:p w14:paraId="491615F8" w14:textId="781A0297" w:rsidR="007414A8" w:rsidRPr="00D20882" w:rsidRDefault="003258DE" w:rsidP="00D20882">
      <w:pPr>
        <w:tabs>
          <w:tab w:val="left" w:pos="426"/>
        </w:tabs>
        <w:spacing w:line="264" w:lineRule="auto"/>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Ahora, </w:t>
      </w:r>
      <w:r w:rsidR="00CB2701" w:rsidRPr="00D20882">
        <w:rPr>
          <w:rFonts w:ascii="Gadugi" w:eastAsia="Georgia" w:hAnsi="Gadugi" w:cs="Georgia"/>
          <w:spacing w:val="-4"/>
          <w:sz w:val="24"/>
          <w:szCs w:val="24"/>
        </w:rPr>
        <w:t xml:space="preserve">si es que </w:t>
      </w:r>
      <w:r w:rsidR="00B52D08" w:rsidRPr="00D20882">
        <w:rPr>
          <w:rFonts w:ascii="Gadugi" w:eastAsia="Georgia" w:hAnsi="Gadugi" w:cs="Georgia"/>
          <w:spacing w:val="-4"/>
          <w:sz w:val="24"/>
          <w:szCs w:val="24"/>
        </w:rPr>
        <w:t xml:space="preserve">la administración ha omitido hacerlo, </w:t>
      </w:r>
      <w:r w:rsidR="00CB2701" w:rsidRPr="00D20882">
        <w:rPr>
          <w:rFonts w:ascii="Gadugi" w:eastAsia="Georgia" w:hAnsi="Gadugi" w:cs="Georgia"/>
          <w:spacing w:val="-4"/>
          <w:sz w:val="24"/>
          <w:szCs w:val="24"/>
        </w:rPr>
        <w:t>la situación no se resuelve con la declaratoria de ilegalidad que aquí se pretende</w:t>
      </w:r>
      <w:r w:rsidR="00C52BDB" w:rsidRPr="00D20882">
        <w:rPr>
          <w:rFonts w:ascii="Gadugi" w:eastAsia="Georgia" w:hAnsi="Gadugi" w:cs="Georgia"/>
          <w:spacing w:val="-4"/>
          <w:sz w:val="24"/>
          <w:szCs w:val="24"/>
        </w:rPr>
        <w:t xml:space="preserve">, sino que los afectados tendrían que buscar el resarcimiento de sus perjuicios por otra vía procesal, pues la de ahora está restringida a esa específica </w:t>
      </w:r>
      <w:r w:rsidR="00E529D4" w:rsidRPr="00D20882">
        <w:rPr>
          <w:rFonts w:ascii="Gadugi" w:eastAsia="Georgia" w:hAnsi="Gadugi" w:cs="Georgia"/>
          <w:spacing w:val="-4"/>
          <w:sz w:val="24"/>
          <w:szCs w:val="24"/>
        </w:rPr>
        <w:t>pretensión</w:t>
      </w:r>
      <w:r w:rsidR="00C52BDB" w:rsidRPr="00D20882">
        <w:rPr>
          <w:rFonts w:ascii="Gadugi" w:eastAsia="Georgia" w:hAnsi="Gadugi" w:cs="Georgia"/>
          <w:spacing w:val="-4"/>
          <w:sz w:val="24"/>
          <w:szCs w:val="24"/>
        </w:rPr>
        <w:t>.</w:t>
      </w:r>
    </w:p>
    <w:p w14:paraId="077077CD" w14:textId="77777777" w:rsidR="00AF27E6" w:rsidRPr="00D20882" w:rsidRDefault="00AF27E6" w:rsidP="00D20882">
      <w:pPr>
        <w:tabs>
          <w:tab w:val="left" w:pos="426"/>
        </w:tabs>
        <w:spacing w:line="264" w:lineRule="auto"/>
        <w:jc w:val="both"/>
        <w:rPr>
          <w:rFonts w:ascii="Gadugi" w:eastAsia="Georgia" w:hAnsi="Gadugi" w:cs="Georgia"/>
          <w:spacing w:val="-4"/>
          <w:sz w:val="24"/>
          <w:szCs w:val="24"/>
        </w:rPr>
      </w:pPr>
    </w:p>
    <w:p w14:paraId="1329F3A7" w14:textId="6482DF17" w:rsidR="00AF27E6" w:rsidRPr="00D20882" w:rsidRDefault="00826E72" w:rsidP="00D20882">
      <w:pPr>
        <w:pStyle w:val="Prrafodelista"/>
        <w:numPr>
          <w:ilvl w:val="1"/>
          <w:numId w:val="3"/>
        </w:numPr>
        <w:tabs>
          <w:tab w:val="left" w:pos="426"/>
        </w:tabs>
        <w:spacing w:line="264" w:lineRule="auto"/>
        <w:ind w:left="0" w:firstLine="0"/>
        <w:jc w:val="both"/>
        <w:rPr>
          <w:rFonts w:ascii="Gadugi" w:eastAsia="Georgia" w:hAnsi="Gadugi" w:cs="Georgia"/>
          <w:spacing w:val="-4"/>
          <w:sz w:val="24"/>
          <w:szCs w:val="24"/>
        </w:rPr>
      </w:pPr>
      <w:r w:rsidRPr="00D20882">
        <w:rPr>
          <w:rFonts w:ascii="Gadugi" w:eastAsia="Georgia" w:hAnsi="Gadugi" w:cs="Georgia"/>
          <w:spacing w:val="-4"/>
          <w:sz w:val="24"/>
          <w:szCs w:val="24"/>
        </w:rPr>
        <w:t xml:space="preserve">De lo anterior se desprende que la sentencia de primer grado será revocada. En su lugar, se negarán las pretensiones. </w:t>
      </w:r>
    </w:p>
    <w:p w14:paraId="4794ACDA" w14:textId="77777777" w:rsidR="00826E72" w:rsidRPr="00D20882" w:rsidRDefault="00826E72" w:rsidP="00D20882">
      <w:pPr>
        <w:tabs>
          <w:tab w:val="left" w:pos="426"/>
        </w:tabs>
        <w:spacing w:line="264" w:lineRule="auto"/>
        <w:jc w:val="both"/>
        <w:rPr>
          <w:rFonts w:ascii="Gadugi" w:eastAsia="Georgia" w:hAnsi="Gadugi" w:cs="Georgia"/>
          <w:spacing w:val="-4"/>
          <w:sz w:val="24"/>
          <w:szCs w:val="24"/>
        </w:rPr>
      </w:pPr>
    </w:p>
    <w:p w14:paraId="185DEFE9" w14:textId="75AB3D39" w:rsidR="00770655" w:rsidRPr="00D20882" w:rsidRDefault="00826E72" w:rsidP="00D20882">
      <w:pPr>
        <w:tabs>
          <w:tab w:val="left" w:pos="426"/>
        </w:tabs>
        <w:spacing w:line="264" w:lineRule="auto"/>
        <w:jc w:val="both"/>
        <w:rPr>
          <w:rFonts w:ascii="Gadugi" w:eastAsia="Georgia" w:hAnsi="Gadugi" w:cs="Georgia"/>
          <w:spacing w:val="-4"/>
          <w:sz w:val="24"/>
          <w:szCs w:val="24"/>
          <w:lang w:val="es-CO"/>
        </w:rPr>
      </w:pPr>
      <w:r w:rsidRPr="00D20882">
        <w:rPr>
          <w:rFonts w:ascii="Gadugi" w:eastAsia="Georgia" w:hAnsi="Gadugi" w:cs="Georgia"/>
          <w:spacing w:val="-4"/>
          <w:sz w:val="24"/>
          <w:szCs w:val="24"/>
        </w:rPr>
        <w:t xml:space="preserve">Las costas de </w:t>
      </w:r>
      <w:r w:rsidR="003117EA" w:rsidRPr="00D20882">
        <w:rPr>
          <w:rFonts w:ascii="Gadugi" w:eastAsia="Georgia" w:hAnsi="Gadugi" w:cs="Georgia"/>
          <w:spacing w:val="-4"/>
          <w:sz w:val="24"/>
          <w:szCs w:val="24"/>
        </w:rPr>
        <w:t xml:space="preserve">ambas instancias serán a cargo de la parte demandante y a favor de la demandada, como mandan los numerales 1 y </w:t>
      </w:r>
      <w:r w:rsidR="00C00A74" w:rsidRPr="00D20882">
        <w:rPr>
          <w:rFonts w:ascii="Gadugi" w:eastAsia="Georgia" w:hAnsi="Gadugi" w:cs="Georgia"/>
          <w:spacing w:val="-4"/>
          <w:sz w:val="24"/>
          <w:szCs w:val="24"/>
        </w:rPr>
        <w:t xml:space="preserve">4 del CGP. </w:t>
      </w:r>
      <w:r w:rsidR="007414A8" w:rsidRPr="00D20882">
        <w:rPr>
          <w:rFonts w:ascii="Gadugi" w:eastAsia="Georgia" w:hAnsi="Gadugi" w:cs="Georgia"/>
          <w:spacing w:val="-4"/>
          <w:sz w:val="24"/>
          <w:szCs w:val="24"/>
          <w:lang w:val="es-CO"/>
        </w:rPr>
        <w:t>Ellas se liquidarán en el juzgado de primera instancia, siguiendo las pautas del artículo 366 ibidem. Para tal fin, en auto separado, se fijarán las agencias en derecho.</w:t>
      </w:r>
    </w:p>
    <w:p w14:paraId="45589F87" w14:textId="77777777" w:rsidR="0031731E" w:rsidRPr="00D20882" w:rsidRDefault="0031731E" w:rsidP="00D20882">
      <w:pPr>
        <w:tabs>
          <w:tab w:val="left" w:pos="426"/>
        </w:tabs>
        <w:spacing w:line="264" w:lineRule="auto"/>
        <w:jc w:val="both"/>
        <w:rPr>
          <w:rFonts w:ascii="Gadugi" w:eastAsia="Georgia" w:hAnsi="Gadugi" w:cs="Georgia"/>
          <w:spacing w:val="-4"/>
          <w:sz w:val="24"/>
          <w:szCs w:val="24"/>
          <w:lang w:val="es-CO"/>
        </w:rPr>
      </w:pPr>
    </w:p>
    <w:p w14:paraId="14D87AE6" w14:textId="527B1226" w:rsidR="00770655" w:rsidRPr="00D20882" w:rsidRDefault="007414A8" w:rsidP="00D20882">
      <w:pPr>
        <w:pStyle w:val="Prrafodelista"/>
        <w:numPr>
          <w:ilvl w:val="0"/>
          <w:numId w:val="3"/>
        </w:numPr>
        <w:tabs>
          <w:tab w:val="left" w:pos="426"/>
        </w:tabs>
        <w:spacing w:line="264" w:lineRule="auto"/>
        <w:jc w:val="both"/>
        <w:rPr>
          <w:rFonts w:ascii="Gadugi" w:eastAsia="Georgia" w:hAnsi="Gadugi" w:cs="Georgia"/>
          <w:b/>
          <w:spacing w:val="-4"/>
          <w:sz w:val="24"/>
          <w:szCs w:val="24"/>
        </w:rPr>
      </w:pPr>
      <w:r w:rsidRPr="00D20882">
        <w:rPr>
          <w:rFonts w:ascii="Gadugi" w:eastAsia="Georgia" w:hAnsi="Gadugi" w:cs="Georgia"/>
          <w:b/>
          <w:spacing w:val="-4"/>
          <w:sz w:val="24"/>
          <w:szCs w:val="24"/>
          <w:lang w:val="es-CO"/>
        </w:rPr>
        <w:t>DECISIÓN.</w:t>
      </w:r>
    </w:p>
    <w:p w14:paraId="55351BEF" w14:textId="77777777" w:rsidR="00770655" w:rsidRPr="00D20882" w:rsidRDefault="00770655" w:rsidP="00D20882">
      <w:pPr>
        <w:pStyle w:val="Prrafodelista"/>
        <w:tabs>
          <w:tab w:val="left" w:pos="426"/>
        </w:tabs>
        <w:spacing w:line="264" w:lineRule="auto"/>
        <w:ind w:left="480"/>
        <w:jc w:val="both"/>
        <w:rPr>
          <w:rFonts w:ascii="Gadugi" w:eastAsia="Georgia" w:hAnsi="Gadugi" w:cs="Georgia"/>
          <w:spacing w:val="-4"/>
          <w:sz w:val="24"/>
          <w:szCs w:val="24"/>
          <w:lang w:val="es-CO"/>
        </w:rPr>
      </w:pPr>
    </w:p>
    <w:p w14:paraId="564D1B96" w14:textId="4E0D19B0" w:rsidR="007414A8" w:rsidRPr="00D20882" w:rsidRDefault="007414A8" w:rsidP="00D20882">
      <w:pPr>
        <w:tabs>
          <w:tab w:val="left" w:pos="426"/>
        </w:tabs>
        <w:spacing w:line="264" w:lineRule="auto"/>
        <w:jc w:val="both"/>
        <w:rPr>
          <w:rFonts w:ascii="Gadugi" w:eastAsia="Georgia" w:hAnsi="Gadugi" w:cs="Georgia"/>
          <w:b/>
          <w:spacing w:val="-4"/>
          <w:sz w:val="24"/>
          <w:szCs w:val="24"/>
        </w:rPr>
      </w:pPr>
      <w:r w:rsidRPr="00D20882">
        <w:rPr>
          <w:rFonts w:ascii="Gadugi" w:eastAsia="Georgia" w:hAnsi="Gadugi" w:cs="Georgia"/>
          <w:spacing w:val="-4"/>
          <w:sz w:val="24"/>
          <w:szCs w:val="24"/>
          <w:lang w:val="es-CO"/>
        </w:rPr>
        <w:t xml:space="preserve">En armonía con lo dicho, esta Sala de Decisión Civil-Familia del Tribunal Superior de Pereira, administrando justicia en nombre de la República y por autoridad de la Ley, </w:t>
      </w:r>
      <w:r w:rsidR="00770655" w:rsidRPr="00D20882">
        <w:rPr>
          <w:rFonts w:ascii="Gadugi" w:eastAsia="Georgia" w:hAnsi="Gadugi" w:cs="Georgia"/>
          <w:b/>
          <w:spacing w:val="-4"/>
          <w:sz w:val="24"/>
          <w:szCs w:val="24"/>
          <w:lang w:val="es-CO"/>
        </w:rPr>
        <w:t>REVOCA</w:t>
      </w:r>
      <w:r w:rsidRPr="00D20882">
        <w:rPr>
          <w:rFonts w:ascii="Gadugi" w:eastAsia="Georgia" w:hAnsi="Gadugi" w:cs="Georgia"/>
          <w:b/>
          <w:spacing w:val="-4"/>
          <w:sz w:val="24"/>
          <w:szCs w:val="24"/>
          <w:lang w:val="es-CO"/>
        </w:rPr>
        <w:t xml:space="preserve"> </w:t>
      </w:r>
      <w:r w:rsidRPr="00D20882">
        <w:rPr>
          <w:rFonts w:ascii="Gadugi" w:eastAsia="Georgia" w:hAnsi="Gadugi" w:cs="Georgia"/>
          <w:spacing w:val="-4"/>
          <w:sz w:val="24"/>
          <w:szCs w:val="24"/>
          <w:lang w:val="es-CO"/>
        </w:rPr>
        <w:t xml:space="preserve">la sentencia del </w:t>
      </w:r>
      <w:r w:rsidRPr="00D20882">
        <w:rPr>
          <w:rFonts w:ascii="Gadugi" w:eastAsia="Georgia" w:hAnsi="Gadugi" w:cs="Georgia"/>
          <w:spacing w:val="-4"/>
          <w:sz w:val="24"/>
          <w:szCs w:val="24"/>
        </w:rPr>
        <w:t xml:space="preserve">21 de enero de 2022 emitida por el Juzgado Segundo del Circuito de Pereira - Risaralda, en este proceso de Impugnación actas de Asamblea adelantado por </w:t>
      </w:r>
      <w:r w:rsidRPr="00D20882">
        <w:rPr>
          <w:rFonts w:ascii="Gadugi" w:eastAsia="Georgia" w:hAnsi="Gadugi" w:cs="Georgia"/>
          <w:b/>
          <w:spacing w:val="-4"/>
          <w:sz w:val="24"/>
          <w:szCs w:val="24"/>
        </w:rPr>
        <w:t xml:space="preserve">Francisco Andrés Montes Giraldo y Lida Salazar Rivera </w:t>
      </w:r>
      <w:r w:rsidRPr="00D20882">
        <w:rPr>
          <w:rFonts w:ascii="Gadugi" w:eastAsia="Georgia" w:hAnsi="Gadugi" w:cs="Georgia"/>
          <w:spacing w:val="-4"/>
          <w:sz w:val="24"/>
          <w:szCs w:val="24"/>
        </w:rPr>
        <w:t>frente a</w:t>
      </w:r>
      <w:r w:rsidR="00A91F70" w:rsidRPr="00D20882">
        <w:rPr>
          <w:rFonts w:ascii="Gadugi" w:eastAsia="Georgia" w:hAnsi="Gadugi" w:cs="Georgia"/>
          <w:spacing w:val="-4"/>
          <w:sz w:val="24"/>
          <w:szCs w:val="24"/>
        </w:rPr>
        <w:t>l</w:t>
      </w:r>
      <w:r w:rsidRPr="00D20882">
        <w:rPr>
          <w:rFonts w:ascii="Gadugi" w:eastAsia="Georgia" w:hAnsi="Gadugi" w:cs="Georgia"/>
          <w:spacing w:val="-4"/>
          <w:sz w:val="24"/>
          <w:szCs w:val="24"/>
        </w:rPr>
        <w:t xml:space="preserve"> </w:t>
      </w:r>
      <w:r w:rsidRPr="00D20882">
        <w:rPr>
          <w:rFonts w:ascii="Gadugi" w:eastAsia="Georgia" w:hAnsi="Gadugi" w:cs="Georgia"/>
          <w:b/>
          <w:spacing w:val="-4"/>
          <w:sz w:val="24"/>
          <w:szCs w:val="24"/>
        </w:rPr>
        <w:t>Conjunto Residencial Primavera P.H.</w:t>
      </w:r>
    </w:p>
    <w:p w14:paraId="7AC30212" w14:textId="77777777" w:rsidR="00770655" w:rsidRPr="00D20882" w:rsidRDefault="00770655" w:rsidP="00D20882">
      <w:pPr>
        <w:tabs>
          <w:tab w:val="left" w:pos="426"/>
        </w:tabs>
        <w:spacing w:line="264" w:lineRule="auto"/>
        <w:jc w:val="both"/>
        <w:rPr>
          <w:rFonts w:ascii="Gadugi" w:eastAsia="Georgia" w:hAnsi="Gadugi" w:cs="Georgia"/>
          <w:bCs/>
          <w:spacing w:val="-4"/>
          <w:sz w:val="24"/>
          <w:szCs w:val="24"/>
        </w:rPr>
      </w:pPr>
    </w:p>
    <w:p w14:paraId="1D05109A" w14:textId="773ABAFE" w:rsidR="00770655" w:rsidRPr="00D20882" w:rsidRDefault="00770655" w:rsidP="00D20882">
      <w:pPr>
        <w:tabs>
          <w:tab w:val="left" w:pos="426"/>
        </w:tabs>
        <w:spacing w:line="264" w:lineRule="auto"/>
        <w:jc w:val="both"/>
        <w:rPr>
          <w:rFonts w:ascii="Gadugi" w:eastAsia="Georgia" w:hAnsi="Gadugi" w:cs="Georgia"/>
          <w:bCs/>
          <w:spacing w:val="-4"/>
          <w:sz w:val="24"/>
          <w:szCs w:val="24"/>
        </w:rPr>
      </w:pPr>
      <w:r w:rsidRPr="00D20882">
        <w:rPr>
          <w:rFonts w:ascii="Gadugi" w:eastAsia="Georgia" w:hAnsi="Gadugi" w:cs="Georgia"/>
          <w:bCs/>
          <w:spacing w:val="-4"/>
          <w:sz w:val="24"/>
          <w:szCs w:val="24"/>
        </w:rPr>
        <w:t>En su lugar, se niegan las pretensiones.</w:t>
      </w:r>
    </w:p>
    <w:p w14:paraId="4F6E7495" w14:textId="77777777" w:rsidR="00207878" w:rsidRPr="00D20882" w:rsidRDefault="00207878" w:rsidP="00D20882">
      <w:pPr>
        <w:tabs>
          <w:tab w:val="left" w:pos="426"/>
        </w:tabs>
        <w:spacing w:line="264" w:lineRule="auto"/>
        <w:jc w:val="both"/>
        <w:rPr>
          <w:rFonts w:ascii="Gadugi" w:eastAsia="Georgia" w:hAnsi="Gadugi" w:cs="Georgia"/>
          <w:bCs/>
          <w:spacing w:val="-4"/>
          <w:sz w:val="24"/>
          <w:szCs w:val="24"/>
        </w:rPr>
      </w:pPr>
    </w:p>
    <w:p w14:paraId="4AC93DC1" w14:textId="77777777" w:rsidR="00AA7DD3" w:rsidRPr="00D20882" w:rsidRDefault="00207878" w:rsidP="00D20882">
      <w:pPr>
        <w:tabs>
          <w:tab w:val="left" w:pos="426"/>
        </w:tabs>
        <w:spacing w:line="264" w:lineRule="auto"/>
        <w:jc w:val="both"/>
        <w:rPr>
          <w:rFonts w:ascii="Gadugi" w:eastAsia="Georgia" w:hAnsi="Gadugi" w:cs="Georgia"/>
          <w:bCs/>
          <w:spacing w:val="-4"/>
          <w:sz w:val="24"/>
          <w:szCs w:val="24"/>
        </w:rPr>
      </w:pPr>
      <w:r w:rsidRPr="00D20882">
        <w:rPr>
          <w:rFonts w:ascii="Gadugi" w:eastAsia="Georgia" w:hAnsi="Gadugi" w:cs="Georgia"/>
          <w:bCs/>
          <w:spacing w:val="-4"/>
          <w:sz w:val="24"/>
          <w:szCs w:val="24"/>
        </w:rPr>
        <w:t>Costas de ambas instancias a cargo de los demandantes y recurrentes, y a favor de la demandada.</w:t>
      </w:r>
    </w:p>
    <w:p w14:paraId="774193DB" w14:textId="77777777" w:rsidR="00AA7DD3" w:rsidRPr="0031731E" w:rsidRDefault="00AA7DD3" w:rsidP="00D20882">
      <w:pPr>
        <w:tabs>
          <w:tab w:val="left" w:pos="426"/>
        </w:tabs>
        <w:spacing w:line="264" w:lineRule="auto"/>
        <w:jc w:val="both"/>
        <w:rPr>
          <w:rFonts w:ascii="Gadugi" w:eastAsia="Georgia" w:hAnsi="Gadugi" w:cs="Georgia"/>
          <w:bCs/>
          <w:sz w:val="24"/>
          <w:szCs w:val="24"/>
        </w:rPr>
      </w:pPr>
    </w:p>
    <w:p w14:paraId="0EA91035" w14:textId="2552DEFF" w:rsidR="007414A8" w:rsidRPr="0031731E" w:rsidRDefault="007414A8" w:rsidP="00D20882">
      <w:pPr>
        <w:tabs>
          <w:tab w:val="left" w:pos="426"/>
        </w:tabs>
        <w:spacing w:line="264" w:lineRule="auto"/>
        <w:jc w:val="both"/>
        <w:rPr>
          <w:rFonts w:ascii="Gadugi" w:eastAsia="Georgia" w:hAnsi="Gadugi" w:cs="Georgia"/>
          <w:bCs/>
          <w:sz w:val="24"/>
          <w:szCs w:val="24"/>
        </w:rPr>
      </w:pPr>
      <w:r w:rsidRPr="0031731E">
        <w:rPr>
          <w:rFonts w:ascii="Gadugi" w:eastAsia="Georgia" w:hAnsi="Gadugi" w:cs="Georgia"/>
          <w:sz w:val="24"/>
          <w:szCs w:val="24"/>
          <w:lang w:val="es-CO"/>
        </w:rPr>
        <w:t>Notifíquese.</w:t>
      </w:r>
    </w:p>
    <w:p w14:paraId="4E9290C3" w14:textId="77777777" w:rsidR="0031731E" w:rsidRPr="00B61717" w:rsidRDefault="0031731E" w:rsidP="00D20882">
      <w:pPr>
        <w:tabs>
          <w:tab w:val="left" w:pos="1701"/>
          <w:tab w:val="left" w:pos="2127"/>
          <w:tab w:val="left" w:pos="2977"/>
        </w:tabs>
        <w:spacing w:line="264" w:lineRule="auto"/>
        <w:jc w:val="both"/>
        <w:rPr>
          <w:rFonts w:ascii="Gadugi" w:eastAsia="Malgun Gothic" w:hAnsi="Gadugi" w:cs="Estrangelo Edessa"/>
          <w:sz w:val="24"/>
          <w:szCs w:val="24"/>
          <w:lang w:val="es-CO" w:eastAsia="en-US"/>
        </w:rPr>
      </w:pPr>
    </w:p>
    <w:p w14:paraId="67C87363" w14:textId="77777777" w:rsidR="0031731E" w:rsidRPr="00B61717" w:rsidRDefault="0031731E" w:rsidP="00D20882">
      <w:pPr>
        <w:tabs>
          <w:tab w:val="left" w:pos="1701"/>
          <w:tab w:val="left" w:pos="2127"/>
          <w:tab w:val="left" w:pos="2977"/>
        </w:tabs>
        <w:spacing w:line="264" w:lineRule="auto"/>
        <w:jc w:val="both"/>
        <w:rPr>
          <w:rFonts w:ascii="Gadugi" w:eastAsia="Malgun Gothic" w:hAnsi="Gadugi" w:cs="Estrangelo Edessa"/>
          <w:sz w:val="24"/>
          <w:szCs w:val="24"/>
          <w:lang w:val="es-CO" w:eastAsia="en-US"/>
        </w:rPr>
      </w:pPr>
      <w:r w:rsidRPr="00B61717">
        <w:rPr>
          <w:rFonts w:ascii="Gadugi" w:eastAsia="Malgun Gothic" w:hAnsi="Gadugi" w:cs="Estrangelo Edessa"/>
          <w:sz w:val="24"/>
          <w:szCs w:val="24"/>
          <w:lang w:val="es-CO" w:eastAsia="en-US"/>
        </w:rPr>
        <w:t xml:space="preserve">Los Magistrados, </w:t>
      </w:r>
    </w:p>
    <w:p w14:paraId="0FFF820C" w14:textId="77777777" w:rsidR="0031731E" w:rsidRPr="00B61717" w:rsidRDefault="0031731E" w:rsidP="00D20882">
      <w:pPr>
        <w:tabs>
          <w:tab w:val="left" w:pos="1701"/>
          <w:tab w:val="left" w:pos="2127"/>
          <w:tab w:val="left" w:pos="2977"/>
        </w:tabs>
        <w:spacing w:line="264" w:lineRule="auto"/>
        <w:jc w:val="both"/>
        <w:rPr>
          <w:rFonts w:ascii="Gadugi" w:eastAsia="Malgun Gothic" w:hAnsi="Gadugi" w:cs="Estrangelo Edessa"/>
          <w:sz w:val="24"/>
          <w:szCs w:val="24"/>
          <w:lang w:val="es-CO" w:eastAsia="en-US"/>
        </w:rPr>
      </w:pPr>
    </w:p>
    <w:p w14:paraId="582CBB1C" w14:textId="77777777" w:rsidR="0031731E" w:rsidRPr="00B61717" w:rsidRDefault="0031731E" w:rsidP="00D20882">
      <w:pPr>
        <w:tabs>
          <w:tab w:val="left" w:pos="1701"/>
          <w:tab w:val="left" w:pos="2127"/>
          <w:tab w:val="left" w:pos="2977"/>
        </w:tabs>
        <w:spacing w:line="264" w:lineRule="auto"/>
        <w:jc w:val="both"/>
        <w:rPr>
          <w:rFonts w:ascii="Gadugi" w:eastAsia="Malgun Gothic" w:hAnsi="Gadugi" w:cs="Estrangelo Edessa"/>
          <w:b/>
          <w:sz w:val="24"/>
          <w:szCs w:val="24"/>
          <w:lang w:val="es-CO" w:eastAsia="en-US"/>
        </w:rPr>
      </w:pPr>
    </w:p>
    <w:p w14:paraId="4712F637" w14:textId="77777777" w:rsidR="0031731E" w:rsidRPr="00B61717" w:rsidRDefault="0031731E" w:rsidP="00D20882">
      <w:pPr>
        <w:spacing w:line="264" w:lineRule="auto"/>
        <w:ind w:left="993" w:firstLine="708"/>
        <w:jc w:val="both"/>
        <w:rPr>
          <w:rFonts w:ascii="Gadugi" w:eastAsia="Malgun Gothic" w:hAnsi="Gadugi" w:cs="Estrangelo Edessa"/>
          <w:b/>
          <w:bCs/>
          <w:sz w:val="24"/>
          <w:szCs w:val="24"/>
          <w:lang w:val="es-CO" w:eastAsia="en-US"/>
        </w:rPr>
      </w:pPr>
      <w:r w:rsidRPr="00B61717">
        <w:rPr>
          <w:rFonts w:ascii="Gadugi" w:eastAsia="Malgun Gothic" w:hAnsi="Gadugi" w:cs="Estrangelo Edessa"/>
          <w:b/>
          <w:bCs/>
          <w:sz w:val="24"/>
          <w:szCs w:val="24"/>
          <w:lang w:val="es-CO" w:eastAsia="en-US"/>
        </w:rPr>
        <w:t>JAIME ALBERTO SARAZA NARANJO</w:t>
      </w:r>
    </w:p>
    <w:p w14:paraId="3D7C7C0A" w14:textId="77777777" w:rsidR="0031731E" w:rsidRPr="00B61717" w:rsidRDefault="0031731E" w:rsidP="00D20882">
      <w:pPr>
        <w:tabs>
          <w:tab w:val="left" w:pos="1701"/>
          <w:tab w:val="left" w:pos="2127"/>
          <w:tab w:val="left" w:pos="2977"/>
        </w:tabs>
        <w:spacing w:line="264" w:lineRule="auto"/>
        <w:ind w:firstLine="1701"/>
        <w:jc w:val="both"/>
        <w:rPr>
          <w:rFonts w:ascii="Gadugi" w:eastAsia="Malgun Gothic" w:hAnsi="Gadugi" w:cs="Estrangelo Edessa"/>
          <w:b/>
          <w:sz w:val="24"/>
          <w:szCs w:val="24"/>
          <w:lang w:val="es-CO" w:eastAsia="en-US"/>
        </w:rPr>
      </w:pPr>
    </w:p>
    <w:p w14:paraId="6BAF6039" w14:textId="77777777" w:rsidR="0031731E" w:rsidRPr="00B61717" w:rsidRDefault="0031731E" w:rsidP="00D20882">
      <w:pPr>
        <w:tabs>
          <w:tab w:val="left" w:pos="1701"/>
          <w:tab w:val="left" w:pos="2127"/>
          <w:tab w:val="left" w:pos="2977"/>
        </w:tabs>
        <w:spacing w:line="264" w:lineRule="auto"/>
        <w:ind w:firstLine="1701"/>
        <w:jc w:val="both"/>
        <w:rPr>
          <w:rFonts w:ascii="Gadugi" w:eastAsia="Malgun Gothic" w:hAnsi="Gadugi" w:cs="Estrangelo Edessa"/>
          <w:b/>
          <w:sz w:val="24"/>
          <w:szCs w:val="24"/>
          <w:lang w:val="es-CO" w:eastAsia="en-US"/>
        </w:rPr>
      </w:pPr>
    </w:p>
    <w:p w14:paraId="420B6DAF" w14:textId="77777777" w:rsidR="0031731E" w:rsidRPr="00B61717" w:rsidRDefault="0031731E" w:rsidP="00D20882">
      <w:pPr>
        <w:spacing w:line="264" w:lineRule="auto"/>
        <w:ind w:left="993" w:firstLine="708"/>
        <w:jc w:val="both"/>
        <w:rPr>
          <w:rFonts w:ascii="Gadugi" w:eastAsia="Malgun Gothic" w:hAnsi="Gadugi" w:cs="Estrangelo Edessa"/>
          <w:b/>
          <w:bCs/>
          <w:sz w:val="24"/>
          <w:szCs w:val="24"/>
          <w:lang w:val="es-CO" w:eastAsia="en-US"/>
        </w:rPr>
      </w:pPr>
      <w:r w:rsidRPr="00B61717">
        <w:rPr>
          <w:rFonts w:ascii="Gadugi" w:eastAsia="Malgun Gothic" w:hAnsi="Gadugi" w:cs="Estrangelo Edessa"/>
          <w:b/>
          <w:bCs/>
          <w:sz w:val="24"/>
          <w:szCs w:val="24"/>
          <w:lang w:val="es-CO" w:eastAsia="en-US"/>
        </w:rPr>
        <w:t>CARLOS MAURICIO GARCÍA BARAJAS</w:t>
      </w:r>
    </w:p>
    <w:p w14:paraId="4B7B9988" w14:textId="77777777" w:rsidR="0031731E" w:rsidRPr="00B61717" w:rsidRDefault="0031731E" w:rsidP="00D20882">
      <w:pPr>
        <w:tabs>
          <w:tab w:val="left" w:pos="1701"/>
          <w:tab w:val="left" w:pos="2127"/>
          <w:tab w:val="left" w:pos="2977"/>
        </w:tabs>
        <w:spacing w:line="264" w:lineRule="auto"/>
        <w:ind w:firstLine="1701"/>
        <w:jc w:val="both"/>
        <w:rPr>
          <w:rFonts w:ascii="Gadugi" w:eastAsia="Malgun Gothic" w:hAnsi="Gadugi" w:cs="Estrangelo Edessa"/>
          <w:b/>
          <w:sz w:val="24"/>
          <w:szCs w:val="24"/>
          <w:lang w:val="es-CO" w:eastAsia="en-US"/>
        </w:rPr>
      </w:pPr>
    </w:p>
    <w:p w14:paraId="5FBDD0C5" w14:textId="77777777" w:rsidR="0031731E" w:rsidRPr="00B61717" w:rsidRDefault="0031731E" w:rsidP="00D20882">
      <w:pPr>
        <w:tabs>
          <w:tab w:val="left" w:pos="1701"/>
          <w:tab w:val="left" w:pos="2127"/>
          <w:tab w:val="left" w:pos="2977"/>
        </w:tabs>
        <w:spacing w:line="264" w:lineRule="auto"/>
        <w:ind w:firstLine="1701"/>
        <w:jc w:val="both"/>
        <w:rPr>
          <w:rFonts w:ascii="Gadugi" w:eastAsia="Malgun Gothic" w:hAnsi="Gadugi" w:cs="Estrangelo Edessa"/>
          <w:b/>
          <w:sz w:val="24"/>
          <w:szCs w:val="24"/>
          <w:lang w:val="es-CO" w:eastAsia="en-US"/>
        </w:rPr>
      </w:pPr>
    </w:p>
    <w:p w14:paraId="0AE1FBEA" w14:textId="354575DA" w:rsidR="00A75620" w:rsidRPr="0031731E" w:rsidRDefault="0031731E" w:rsidP="00D20882">
      <w:pPr>
        <w:spacing w:line="264" w:lineRule="auto"/>
        <w:ind w:left="993" w:firstLine="708"/>
        <w:jc w:val="both"/>
        <w:rPr>
          <w:rFonts w:ascii="Gadugi" w:eastAsia="Malgun Gothic" w:hAnsi="Gadugi" w:cs="Estrangelo Edessa"/>
          <w:bCs/>
          <w:sz w:val="24"/>
          <w:szCs w:val="24"/>
          <w:lang w:val="es-CO" w:eastAsia="en-US"/>
        </w:rPr>
      </w:pPr>
      <w:r w:rsidRPr="00B61717">
        <w:rPr>
          <w:rFonts w:ascii="Gadugi" w:eastAsia="Malgun Gothic" w:hAnsi="Gadugi" w:cs="Estrangelo Edessa"/>
          <w:b/>
          <w:bCs/>
          <w:sz w:val="24"/>
          <w:szCs w:val="24"/>
          <w:lang w:val="es-CO" w:eastAsia="en-US"/>
        </w:rPr>
        <w:t>DUBERNEY GRISALES HERRERA</w:t>
      </w:r>
    </w:p>
    <w:sectPr w:rsidR="00A75620" w:rsidRPr="0031731E" w:rsidSect="00D20882">
      <w:footerReference w:type="default" r:id="rId13"/>
      <w:pgSz w:w="12242" w:h="18722" w:code="258"/>
      <w:pgMar w:top="1758" w:right="1191" w:bottom="1191" w:left="1758" w:header="567" w:footer="567" w:gutter="0"/>
      <w:pgNumType w:start="1"/>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A45539" w16cex:dateUtc="2023-06-05T19:42:36.989Z"/>
  <w16cex:commentExtensible w16cex:durableId="50226F0E" w16cex:dateUtc="2023-06-08T15:24:56.133Z"/>
  <w16cex:commentExtensible w16cex:durableId="4CF86A05" w16cex:dateUtc="2023-06-08T15:25:25.332Z"/>
  <w16cex:commentExtensible w16cex:durableId="3E4C01B2" w16cex:dateUtc="2023-06-08T19:54:50.88Z"/>
  <w16cex:commentExtensible w16cex:durableId="09341AC1" w16cex:dateUtc="2023-06-13T18:56:56.651Z"/>
  <w16cex:commentExtensible w16cex:durableId="1C5D5F63" w16cex:dateUtc="2023-06-13T19:43:04.192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B1A2B" w14:textId="77777777" w:rsidR="009A2E35" w:rsidRDefault="009A2E35">
      <w:pPr>
        <w:spacing w:line="240" w:lineRule="auto"/>
      </w:pPr>
      <w:r>
        <w:separator/>
      </w:r>
    </w:p>
  </w:endnote>
  <w:endnote w:type="continuationSeparator" w:id="0">
    <w:p w14:paraId="061D629E" w14:textId="77777777" w:rsidR="009A2E35" w:rsidRDefault="009A2E35">
      <w:pPr>
        <w:spacing w:line="240" w:lineRule="auto"/>
      </w:pPr>
      <w:r>
        <w:continuationSeparator/>
      </w:r>
    </w:p>
  </w:endnote>
  <w:endnote w:type="continuationNotice" w:id="1">
    <w:p w14:paraId="78146BEF" w14:textId="77777777" w:rsidR="009A2E35" w:rsidRDefault="009A2E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53101"/>
      <w:docPartObj>
        <w:docPartGallery w:val="Page Numbers (Bottom of Page)"/>
        <w:docPartUnique/>
      </w:docPartObj>
    </w:sdtPr>
    <w:sdtEndPr>
      <w:rPr>
        <w:sz w:val="18"/>
      </w:rPr>
    </w:sdtEndPr>
    <w:sdtContent>
      <w:p w14:paraId="1FB4CDB4" w14:textId="617708D2" w:rsidR="005924A4" w:rsidRPr="00093184" w:rsidRDefault="005924A4">
        <w:pPr>
          <w:pStyle w:val="Piedepgina"/>
          <w:jc w:val="right"/>
          <w:rPr>
            <w:sz w:val="18"/>
          </w:rPr>
        </w:pPr>
        <w:r w:rsidRPr="00093184">
          <w:rPr>
            <w:sz w:val="18"/>
          </w:rPr>
          <w:fldChar w:fldCharType="begin"/>
        </w:r>
        <w:r w:rsidRPr="00093184">
          <w:rPr>
            <w:sz w:val="18"/>
          </w:rPr>
          <w:instrText>PAGE   \* MERGEFORMAT</w:instrText>
        </w:r>
        <w:r w:rsidRPr="00093184">
          <w:rPr>
            <w:sz w:val="18"/>
          </w:rPr>
          <w:fldChar w:fldCharType="separate"/>
        </w:r>
        <w:r w:rsidR="006A016F" w:rsidRPr="006A016F">
          <w:rPr>
            <w:noProof/>
            <w:sz w:val="18"/>
            <w:lang w:val="es-ES"/>
          </w:rPr>
          <w:t>2</w:t>
        </w:r>
        <w:r w:rsidRPr="00093184">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6FCA1" w14:textId="77777777" w:rsidR="009A2E35" w:rsidRDefault="009A2E35">
      <w:pPr>
        <w:spacing w:line="240" w:lineRule="auto"/>
      </w:pPr>
      <w:r>
        <w:separator/>
      </w:r>
    </w:p>
  </w:footnote>
  <w:footnote w:type="continuationSeparator" w:id="0">
    <w:p w14:paraId="60CC1009" w14:textId="77777777" w:rsidR="009A2E35" w:rsidRDefault="009A2E35">
      <w:pPr>
        <w:spacing w:line="240" w:lineRule="auto"/>
      </w:pPr>
      <w:r>
        <w:continuationSeparator/>
      </w:r>
    </w:p>
  </w:footnote>
  <w:footnote w:type="continuationNotice" w:id="1">
    <w:p w14:paraId="248BE70F" w14:textId="77777777" w:rsidR="009A2E35" w:rsidRDefault="009A2E35">
      <w:pPr>
        <w:spacing w:line="240" w:lineRule="auto"/>
      </w:pPr>
    </w:p>
  </w:footnote>
  <w:footnote w:id="2">
    <w:p w14:paraId="7767E1FB" w14:textId="2C4E9F61" w:rsidR="00A75620" w:rsidRPr="0031731E" w:rsidRDefault="00957861" w:rsidP="0031731E">
      <w:pPr>
        <w:pBdr>
          <w:top w:val="nil"/>
          <w:left w:val="nil"/>
          <w:bottom w:val="nil"/>
          <w:right w:val="nil"/>
          <w:between w:val="nil"/>
        </w:pBdr>
        <w:spacing w:line="240" w:lineRule="auto"/>
        <w:jc w:val="both"/>
        <w:rPr>
          <w:rFonts w:eastAsia="Georgia"/>
          <w:color w:val="000000"/>
          <w:sz w:val="18"/>
          <w:szCs w:val="18"/>
        </w:rPr>
      </w:pPr>
      <w:r w:rsidRPr="0031731E">
        <w:rPr>
          <w:sz w:val="18"/>
          <w:szCs w:val="18"/>
          <w:vertAlign w:val="superscript"/>
        </w:rPr>
        <w:footnoteRef/>
      </w:r>
      <w:r w:rsidRPr="0031731E">
        <w:rPr>
          <w:rFonts w:eastAsia="Georgia"/>
          <w:color w:val="000000"/>
          <w:sz w:val="18"/>
          <w:szCs w:val="18"/>
        </w:rPr>
        <w:t xml:space="preserve"> </w:t>
      </w:r>
      <w:r w:rsidR="00264780" w:rsidRPr="0031731E">
        <w:rPr>
          <w:rFonts w:eastAsia="Georgia"/>
          <w:color w:val="000000"/>
          <w:sz w:val="18"/>
          <w:szCs w:val="18"/>
        </w:rPr>
        <w:t xml:space="preserve">01Primera Instancia, Archivo 02, págs. </w:t>
      </w:r>
      <w:r w:rsidRPr="0031731E">
        <w:rPr>
          <w:rFonts w:eastAsia="Georgia"/>
          <w:sz w:val="18"/>
          <w:szCs w:val="18"/>
        </w:rPr>
        <w:t>1</w:t>
      </w:r>
      <w:r w:rsidRPr="0031731E">
        <w:rPr>
          <w:rFonts w:eastAsia="Georgia"/>
          <w:color w:val="000000"/>
          <w:sz w:val="18"/>
          <w:szCs w:val="18"/>
        </w:rPr>
        <w:t xml:space="preserve"> a </w:t>
      </w:r>
      <w:r w:rsidRPr="0031731E">
        <w:rPr>
          <w:rFonts w:eastAsia="Georgia"/>
          <w:sz w:val="18"/>
          <w:szCs w:val="18"/>
        </w:rPr>
        <w:t xml:space="preserve">10. </w:t>
      </w:r>
    </w:p>
  </w:footnote>
  <w:footnote w:id="3">
    <w:p w14:paraId="67554B40" w14:textId="69689F4B" w:rsidR="00A75620" w:rsidRPr="0031731E" w:rsidRDefault="00957861" w:rsidP="0031731E">
      <w:pPr>
        <w:pBdr>
          <w:top w:val="nil"/>
          <w:left w:val="nil"/>
          <w:bottom w:val="nil"/>
          <w:right w:val="nil"/>
          <w:between w:val="nil"/>
        </w:pBdr>
        <w:spacing w:line="240" w:lineRule="auto"/>
        <w:jc w:val="both"/>
        <w:rPr>
          <w:rFonts w:eastAsia="Georgia"/>
          <w:color w:val="000000"/>
          <w:sz w:val="18"/>
          <w:szCs w:val="18"/>
        </w:rPr>
      </w:pPr>
      <w:r w:rsidRPr="0031731E">
        <w:rPr>
          <w:rFonts w:eastAsia="Georgia"/>
          <w:color w:val="000000"/>
          <w:sz w:val="18"/>
          <w:szCs w:val="18"/>
          <w:vertAlign w:val="superscript"/>
        </w:rPr>
        <w:footnoteRef/>
      </w:r>
      <w:r w:rsidRPr="0031731E">
        <w:rPr>
          <w:rFonts w:eastAsia="Georgia"/>
          <w:color w:val="000000"/>
          <w:sz w:val="18"/>
          <w:szCs w:val="18"/>
        </w:rPr>
        <w:t xml:space="preserve"> </w:t>
      </w:r>
      <w:r w:rsidR="00264780" w:rsidRPr="0031731E">
        <w:rPr>
          <w:rFonts w:eastAsia="Georgia"/>
          <w:color w:val="000000"/>
          <w:sz w:val="18"/>
          <w:szCs w:val="18"/>
        </w:rPr>
        <w:t>01Primera Instancia, Archivo 02, págs. 10 y 11.</w:t>
      </w:r>
    </w:p>
  </w:footnote>
  <w:footnote w:id="4">
    <w:p w14:paraId="3D078972" w14:textId="0117AA35" w:rsidR="00E36ABC" w:rsidRPr="0031731E" w:rsidRDefault="00E36ABC" w:rsidP="0031731E">
      <w:pPr>
        <w:pBdr>
          <w:top w:val="nil"/>
          <w:left w:val="nil"/>
          <w:bottom w:val="nil"/>
          <w:right w:val="nil"/>
          <w:between w:val="nil"/>
        </w:pBdr>
        <w:spacing w:line="240" w:lineRule="auto"/>
        <w:jc w:val="both"/>
        <w:rPr>
          <w:rFonts w:eastAsia="Georgia"/>
          <w:color w:val="000000"/>
          <w:sz w:val="18"/>
          <w:szCs w:val="18"/>
        </w:rPr>
      </w:pPr>
      <w:r w:rsidRPr="0031731E">
        <w:rPr>
          <w:rFonts w:eastAsia="Georgia"/>
          <w:color w:val="000000"/>
          <w:sz w:val="18"/>
          <w:szCs w:val="18"/>
          <w:vertAlign w:val="superscript"/>
        </w:rPr>
        <w:footnoteRef/>
      </w:r>
      <w:r w:rsidRPr="0031731E">
        <w:rPr>
          <w:rFonts w:eastAsia="Georgia"/>
          <w:color w:val="000000"/>
          <w:sz w:val="18"/>
          <w:szCs w:val="18"/>
        </w:rPr>
        <w:t xml:space="preserve"> Archivo 05, ibidem. </w:t>
      </w:r>
    </w:p>
  </w:footnote>
  <w:footnote w:id="5">
    <w:p w14:paraId="5E017E1E" w14:textId="77777777" w:rsidR="002C1E76" w:rsidRPr="0031731E" w:rsidRDefault="002C1E76" w:rsidP="0031731E">
      <w:pPr>
        <w:pBdr>
          <w:top w:val="nil"/>
          <w:left w:val="nil"/>
          <w:bottom w:val="nil"/>
          <w:right w:val="nil"/>
          <w:between w:val="nil"/>
        </w:pBdr>
        <w:spacing w:line="240" w:lineRule="auto"/>
        <w:jc w:val="both"/>
        <w:rPr>
          <w:rFonts w:eastAsia="Georgia"/>
          <w:color w:val="000000"/>
          <w:sz w:val="18"/>
          <w:szCs w:val="18"/>
        </w:rPr>
      </w:pPr>
      <w:r w:rsidRPr="0031731E">
        <w:rPr>
          <w:rFonts w:eastAsia="Georgia"/>
          <w:color w:val="000000"/>
          <w:sz w:val="18"/>
          <w:szCs w:val="18"/>
          <w:vertAlign w:val="superscript"/>
        </w:rPr>
        <w:footnoteRef/>
      </w:r>
      <w:r w:rsidRPr="0031731E">
        <w:rPr>
          <w:rFonts w:eastAsia="Georgia"/>
          <w:color w:val="000000"/>
          <w:sz w:val="18"/>
          <w:szCs w:val="18"/>
        </w:rPr>
        <w:t xml:space="preserve"> Archivo 12, ibidem. </w:t>
      </w:r>
    </w:p>
  </w:footnote>
  <w:footnote w:id="6">
    <w:p w14:paraId="18FC6F0C" w14:textId="71362D9E" w:rsidR="00384A4C" w:rsidRPr="0031731E" w:rsidRDefault="00384A4C" w:rsidP="0031731E">
      <w:pPr>
        <w:pBdr>
          <w:top w:val="nil"/>
          <w:left w:val="nil"/>
          <w:bottom w:val="nil"/>
          <w:right w:val="nil"/>
          <w:between w:val="nil"/>
        </w:pBdr>
        <w:spacing w:line="240" w:lineRule="auto"/>
        <w:jc w:val="both"/>
        <w:rPr>
          <w:rFonts w:eastAsia="Georgia"/>
          <w:color w:val="000000"/>
          <w:sz w:val="18"/>
          <w:szCs w:val="18"/>
        </w:rPr>
      </w:pPr>
      <w:r w:rsidRPr="0031731E">
        <w:rPr>
          <w:rFonts w:eastAsia="Georgia"/>
          <w:color w:val="000000"/>
          <w:sz w:val="18"/>
          <w:szCs w:val="18"/>
          <w:vertAlign w:val="superscript"/>
        </w:rPr>
        <w:footnoteRef/>
      </w:r>
      <w:r w:rsidRPr="0031731E">
        <w:rPr>
          <w:rFonts w:eastAsia="Georgia"/>
          <w:color w:val="000000"/>
          <w:sz w:val="18"/>
          <w:szCs w:val="18"/>
        </w:rPr>
        <w:t xml:space="preserve"> Archivo 1</w:t>
      </w:r>
      <w:r w:rsidR="002C1E76" w:rsidRPr="0031731E">
        <w:rPr>
          <w:rFonts w:eastAsia="Georgia"/>
          <w:color w:val="000000"/>
          <w:sz w:val="18"/>
          <w:szCs w:val="18"/>
        </w:rPr>
        <w:t>5</w:t>
      </w:r>
      <w:r w:rsidRPr="0031731E">
        <w:rPr>
          <w:rFonts w:eastAsia="Georgia"/>
          <w:color w:val="000000"/>
          <w:sz w:val="18"/>
          <w:szCs w:val="18"/>
        </w:rPr>
        <w:t xml:space="preserve">, ibidem. </w:t>
      </w:r>
    </w:p>
  </w:footnote>
  <w:footnote w:id="7">
    <w:p w14:paraId="58E85CBD" w14:textId="694D4FF1" w:rsidR="0084628E" w:rsidRPr="0031731E" w:rsidRDefault="0084628E" w:rsidP="0031731E">
      <w:pPr>
        <w:pBdr>
          <w:top w:val="nil"/>
          <w:left w:val="nil"/>
          <w:bottom w:val="nil"/>
          <w:right w:val="nil"/>
          <w:between w:val="nil"/>
        </w:pBdr>
        <w:spacing w:line="240" w:lineRule="auto"/>
        <w:jc w:val="both"/>
        <w:rPr>
          <w:rFonts w:eastAsia="Georgia"/>
          <w:color w:val="000000"/>
          <w:sz w:val="18"/>
          <w:szCs w:val="18"/>
        </w:rPr>
      </w:pPr>
      <w:r w:rsidRPr="0031731E">
        <w:rPr>
          <w:rFonts w:eastAsia="Georgia"/>
          <w:color w:val="000000"/>
          <w:sz w:val="18"/>
          <w:szCs w:val="18"/>
          <w:vertAlign w:val="superscript"/>
        </w:rPr>
        <w:footnoteRef/>
      </w:r>
      <w:r w:rsidRPr="0031731E">
        <w:rPr>
          <w:rFonts w:eastAsia="Georgia"/>
          <w:color w:val="000000"/>
          <w:sz w:val="18"/>
          <w:szCs w:val="18"/>
        </w:rPr>
        <w:t xml:space="preserve"> Archivo 15, ibidem. </w:t>
      </w:r>
    </w:p>
  </w:footnote>
  <w:footnote w:id="8">
    <w:p w14:paraId="3B33FDCC" w14:textId="14240D21" w:rsidR="00AC2F73" w:rsidRPr="0031731E" w:rsidRDefault="00AC2F73" w:rsidP="0031731E">
      <w:pPr>
        <w:pBdr>
          <w:top w:val="nil"/>
          <w:left w:val="nil"/>
          <w:bottom w:val="nil"/>
          <w:right w:val="nil"/>
          <w:between w:val="nil"/>
        </w:pBdr>
        <w:spacing w:line="240" w:lineRule="auto"/>
        <w:jc w:val="both"/>
        <w:rPr>
          <w:rFonts w:eastAsia="Georgia"/>
          <w:color w:val="000000"/>
          <w:sz w:val="18"/>
          <w:szCs w:val="18"/>
        </w:rPr>
      </w:pPr>
      <w:r w:rsidRPr="0031731E">
        <w:rPr>
          <w:rFonts w:eastAsia="Georgia"/>
          <w:color w:val="000000"/>
          <w:sz w:val="18"/>
          <w:szCs w:val="18"/>
          <w:vertAlign w:val="superscript"/>
        </w:rPr>
        <w:footnoteRef/>
      </w:r>
      <w:r w:rsidRPr="0031731E">
        <w:rPr>
          <w:rFonts w:eastAsia="Georgia"/>
          <w:color w:val="000000"/>
          <w:sz w:val="18"/>
          <w:szCs w:val="18"/>
        </w:rPr>
        <w:t xml:space="preserve"> Archivo 20, ibidem. </w:t>
      </w:r>
      <w:r w:rsidR="00093184">
        <w:rPr>
          <w:rFonts w:eastAsia="Georgia"/>
          <w:color w:val="000000"/>
          <w:sz w:val="18"/>
          <w:szCs w:val="18"/>
        </w:rPr>
        <w:t>|</w:t>
      </w:r>
    </w:p>
  </w:footnote>
  <w:footnote w:id="9">
    <w:p w14:paraId="3E9A3207" w14:textId="45F2144C" w:rsidR="00A82437" w:rsidRPr="0031731E" w:rsidRDefault="00392956" w:rsidP="0031731E">
      <w:pPr>
        <w:pStyle w:val="Textonotapie"/>
        <w:jc w:val="both"/>
        <w:rPr>
          <w:sz w:val="18"/>
          <w:szCs w:val="18"/>
          <w:lang w:val="es-ES"/>
        </w:rPr>
      </w:pPr>
      <w:r w:rsidRPr="0031731E">
        <w:rPr>
          <w:rStyle w:val="Refdenotaalpie"/>
          <w:sz w:val="18"/>
          <w:szCs w:val="18"/>
        </w:rPr>
        <w:footnoteRef/>
      </w:r>
      <w:r w:rsidRPr="0031731E">
        <w:rPr>
          <w:sz w:val="18"/>
          <w:szCs w:val="18"/>
        </w:rPr>
        <w:t xml:space="preserve"> </w:t>
      </w:r>
      <w:r w:rsidRPr="0031731E">
        <w:rPr>
          <w:sz w:val="18"/>
          <w:szCs w:val="18"/>
          <w:lang w:val="es-ES"/>
        </w:rPr>
        <w:t>Archivo 31</w:t>
      </w:r>
    </w:p>
  </w:footnote>
  <w:footnote w:id="10">
    <w:p w14:paraId="59F89A05" w14:textId="6C349680" w:rsidR="00392956" w:rsidRPr="0031731E" w:rsidRDefault="00392956" w:rsidP="0031731E">
      <w:pPr>
        <w:pStyle w:val="Textonotapie"/>
        <w:jc w:val="both"/>
        <w:rPr>
          <w:sz w:val="18"/>
          <w:szCs w:val="18"/>
          <w:lang w:val="es-ES"/>
        </w:rPr>
      </w:pPr>
      <w:r w:rsidRPr="0031731E">
        <w:rPr>
          <w:rStyle w:val="Refdenotaalpie"/>
          <w:sz w:val="18"/>
          <w:szCs w:val="18"/>
        </w:rPr>
        <w:footnoteRef/>
      </w:r>
      <w:r w:rsidRPr="0031731E">
        <w:rPr>
          <w:sz w:val="18"/>
          <w:szCs w:val="18"/>
        </w:rPr>
        <w:t xml:space="preserve"> </w:t>
      </w:r>
      <w:r w:rsidRPr="0031731E">
        <w:rPr>
          <w:sz w:val="18"/>
          <w:szCs w:val="18"/>
          <w:lang w:val="es-ES"/>
        </w:rPr>
        <w:t>Ibídem., archivo 31</w:t>
      </w:r>
    </w:p>
  </w:footnote>
  <w:footnote w:id="11">
    <w:p w14:paraId="514E3823" w14:textId="67E73BDA" w:rsidR="00F13C90" w:rsidRPr="0031731E" w:rsidRDefault="00F13C90" w:rsidP="0031731E">
      <w:pPr>
        <w:pBdr>
          <w:top w:val="nil"/>
          <w:left w:val="nil"/>
          <w:bottom w:val="nil"/>
          <w:right w:val="nil"/>
          <w:between w:val="nil"/>
        </w:pBdr>
        <w:spacing w:line="240" w:lineRule="auto"/>
        <w:jc w:val="both"/>
        <w:rPr>
          <w:rFonts w:eastAsia="Georgia"/>
          <w:color w:val="000000"/>
          <w:sz w:val="18"/>
          <w:szCs w:val="18"/>
        </w:rPr>
      </w:pPr>
      <w:r w:rsidRPr="0031731E">
        <w:rPr>
          <w:rFonts w:eastAsia="Georgia"/>
          <w:color w:val="000000"/>
          <w:sz w:val="18"/>
          <w:szCs w:val="18"/>
          <w:vertAlign w:val="superscript"/>
        </w:rPr>
        <w:footnoteRef/>
      </w:r>
      <w:r w:rsidRPr="0031731E">
        <w:rPr>
          <w:rFonts w:eastAsia="Georgia"/>
          <w:color w:val="000000"/>
          <w:sz w:val="18"/>
          <w:szCs w:val="18"/>
          <w:vertAlign w:val="superscript"/>
        </w:rPr>
        <w:t xml:space="preserve"> </w:t>
      </w:r>
      <w:r w:rsidRPr="0031731E">
        <w:rPr>
          <w:rFonts w:eastAsia="Georgia"/>
          <w:color w:val="000000"/>
          <w:sz w:val="18"/>
          <w:szCs w:val="18"/>
        </w:rPr>
        <w:t>C-01Primera Instancia, Archivo 40.</w:t>
      </w:r>
    </w:p>
  </w:footnote>
  <w:footnote w:id="12">
    <w:p w14:paraId="651A7EFB" w14:textId="4474B386" w:rsidR="00A728B6" w:rsidRPr="0031731E" w:rsidRDefault="00A728B6" w:rsidP="0031731E">
      <w:pPr>
        <w:pBdr>
          <w:top w:val="nil"/>
          <w:left w:val="nil"/>
          <w:bottom w:val="nil"/>
          <w:right w:val="nil"/>
          <w:between w:val="nil"/>
        </w:pBdr>
        <w:spacing w:line="240" w:lineRule="auto"/>
        <w:jc w:val="both"/>
        <w:rPr>
          <w:rFonts w:eastAsia="Georgia"/>
          <w:color w:val="000000"/>
          <w:sz w:val="18"/>
          <w:szCs w:val="18"/>
        </w:rPr>
      </w:pPr>
      <w:r w:rsidRPr="0031731E">
        <w:rPr>
          <w:rFonts w:eastAsia="Georgia"/>
          <w:color w:val="000000"/>
          <w:sz w:val="18"/>
          <w:szCs w:val="18"/>
          <w:vertAlign w:val="superscript"/>
        </w:rPr>
        <w:footnoteRef/>
      </w:r>
      <w:r w:rsidRPr="0031731E">
        <w:rPr>
          <w:rFonts w:eastAsia="Georgia"/>
          <w:color w:val="000000"/>
          <w:sz w:val="18"/>
          <w:szCs w:val="18"/>
          <w:vertAlign w:val="superscript"/>
        </w:rPr>
        <w:t xml:space="preserve"> </w:t>
      </w:r>
      <w:r w:rsidRPr="0031731E">
        <w:rPr>
          <w:rFonts w:eastAsia="Georgia"/>
          <w:color w:val="000000"/>
          <w:sz w:val="18"/>
          <w:szCs w:val="18"/>
        </w:rPr>
        <w:t xml:space="preserve">Archivo 41, ibidem. </w:t>
      </w:r>
    </w:p>
  </w:footnote>
  <w:footnote w:id="13">
    <w:p w14:paraId="18495D63" w14:textId="262FBDAF" w:rsidR="00580657" w:rsidRPr="0031731E" w:rsidRDefault="00580657" w:rsidP="0031731E">
      <w:pPr>
        <w:pBdr>
          <w:top w:val="nil"/>
          <w:left w:val="nil"/>
          <w:bottom w:val="nil"/>
          <w:right w:val="nil"/>
          <w:between w:val="nil"/>
        </w:pBdr>
        <w:spacing w:line="240" w:lineRule="auto"/>
        <w:jc w:val="both"/>
        <w:rPr>
          <w:rFonts w:eastAsia="Georgia"/>
          <w:color w:val="000000"/>
          <w:sz w:val="18"/>
          <w:szCs w:val="18"/>
        </w:rPr>
      </w:pPr>
      <w:r w:rsidRPr="0031731E">
        <w:rPr>
          <w:rStyle w:val="Refdenotaalpie"/>
          <w:sz w:val="18"/>
          <w:szCs w:val="18"/>
        </w:rPr>
        <w:footnoteRef/>
      </w:r>
      <w:r w:rsidRPr="0031731E">
        <w:rPr>
          <w:sz w:val="18"/>
          <w:szCs w:val="18"/>
        </w:rPr>
        <w:t xml:space="preserve"> </w:t>
      </w:r>
      <w:r w:rsidRPr="0031731E">
        <w:rPr>
          <w:rFonts w:eastAsia="Georgia"/>
          <w:color w:val="000000"/>
          <w:sz w:val="18"/>
          <w:szCs w:val="18"/>
        </w:rPr>
        <w:t>01Primera Instancia, Archivo 01, págs. 8 a 13.</w:t>
      </w:r>
    </w:p>
  </w:footnote>
  <w:footnote w:id="14">
    <w:p w14:paraId="440FF1D7" w14:textId="0665A11C" w:rsidR="006A67B2" w:rsidRPr="0031731E" w:rsidRDefault="006A67B2" w:rsidP="0031731E">
      <w:pPr>
        <w:pBdr>
          <w:top w:val="nil"/>
          <w:left w:val="nil"/>
          <w:bottom w:val="nil"/>
          <w:right w:val="nil"/>
          <w:between w:val="nil"/>
        </w:pBdr>
        <w:spacing w:line="240" w:lineRule="auto"/>
        <w:jc w:val="both"/>
        <w:rPr>
          <w:rFonts w:eastAsia="Georgia"/>
          <w:color w:val="000000"/>
          <w:sz w:val="18"/>
          <w:szCs w:val="18"/>
        </w:rPr>
      </w:pPr>
      <w:r w:rsidRPr="0031731E">
        <w:rPr>
          <w:rFonts w:eastAsia="Georgia"/>
          <w:color w:val="000000"/>
          <w:sz w:val="18"/>
          <w:szCs w:val="18"/>
          <w:vertAlign w:val="superscript"/>
        </w:rPr>
        <w:footnoteRef/>
      </w:r>
      <w:r w:rsidRPr="0031731E">
        <w:rPr>
          <w:rFonts w:eastAsia="Georgia"/>
          <w:color w:val="000000"/>
          <w:sz w:val="18"/>
          <w:szCs w:val="18"/>
        </w:rPr>
        <w:t xml:space="preserve"> Págs. 3 a 7, ibidem.  </w:t>
      </w:r>
    </w:p>
  </w:footnote>
  <w:footnote w:id="15">
    <w:p w14:paraId="410BE223" w14:textId="0A561955" w:rsidR="001849B2" w:rsidRPr="0031731E" w:rsidRDefault="001849B2" w:rsidP="0031731E">
      <w:pPr>
        <w:pStyle w:val="Textonotapie"/>
        <w:jc w:val="both"/>
        <w:rPr>
          <w:sz w:val="18"/>
          <w:szCs w:val="18"/>
          <w:lang w:val="es-CO"/>
        </w:rPr>
      </w:pPr>
      <w:r w:rsidRPr="0031731E">
        <w:rPr>
          <w:rStyle w:val="Refdenotaalpie"/>
          <w:sz w:val="18"/>
          <w:szCs w:val="18"/>
        </w:rPr>
        <w:footnoteRef/>
      </w:r>
      <w:r w:rsidRPr="0031731E">
        <w:rPr>
          <w:sz w:val="18"/>
          <w:szCs w:val="18"/>
        </w:rPr>
        <w:t xml:space="preserve"> </w:t>
      </w:r>
      <w:r w:rsidRPr="0031731E">
        <w:rPr>
          <w:sz w:val="18"/>
          <w:szCs w:val="18"/>
          <w:lang w:val="es-CO"/>
        </w:rPr>
        <w:t>Archivo 18</w:t>
      </w:r>
      <w:r w:rsidR="000C1F16" w:rsidRPr="0031731E">
        <w:rPr>
          <w:sz w:val="18"/>
          <w:szCs w:val="18"/>
          <w:lang w:val="es-CO"/>
        </w:rPr>
        <w:t>, ibidem.</w:t>
      </w:r>
    </w:p>
  </w:footnote>
  <w:footnote w:id="16">
    <w:p w14:paraId="06DEAAA5" w14:textId="77777777" w:rsidR="00427739" w:rsidRPr="0031731E" w:rsidRDefault="00427739" w:rsidP="0031731E">
      <w:pPr>
        <w:pBdr>
          <w:top w:val="nil"/>
          <w:left w:val="nil"/>
          <w:bottom w:val="nil"/>
          <w:right w:val="nil"/>
          <w:between w:val="nil"/>
        </w:pBdr>
        <w:spacing w:line="240" w:lineRule="auto"/>
        <w:jc w:val="both"/>
        <w:rPr>
          <w:rFonts w:eastAsia="Georgia"/>
          <w:color w:val="000000"/>
          <w:sz w:val="18"/>
          <w:szCs w:val="18"/>
        </w:rPr>
      </w:pPr>
      <w:r w:rsidRPr="0031731E">
        <w:rPr>
          <w:rFonts w:eastAsia="Georgia"/>
          <w:color w:val="000000"/>
          <w:sz w:val="18"/>
          <w:szCs w:val="18"/>
        </w:rPr>
        <w:footnoteRef/>
      </w:r>
      <w:r w:rsidRPr="0031731E">
        <w:rPr>
          <w:rFonts w:eastAsia="Georgia"/>
          <w:color w:val="000000"/>
          <w:sz w:val="18"/>
          <w:szCs w:val="18"/>
        </w:rPr>
        <w:t xml:space="preserve"> Sentencia del 19 de junio de 2018, radicado 2011-00193-01,</w:t>
      </w:r>
    </w:p>
  </w:footnote>
  <w:footnote w:id="17">
    <w:p w14:paraId="27451D23" w14:textId="77777777" w:rsidR="00427739" w:rsidRPr="0031731E" w:rsidRDefault="00427739" w:rsidP="0031731E">
      <w:pPr>
        <w:pBdr>
          <w:top w:val="nil"/>
          <w:left w:val="nil"/>
          <w:bottom w:val="nil"/>
          <w:right w:val="nil"/>
          <w:between w:val="nil"/>
        </w:pBdr>
        <w:spacing w:line="240" w:lineRule="auto"/>
        <w:jc w:val="both"/>
        <w:rPr>
          <w:rFonts w:eastAsia="Georgia"/>
          <w:color w:val="000000"/>
          <w:sz w:val="18"/>
          <w:szCs w:val="18"/>
        </w:rPr>
      </w:pPr>
      <w:r w:rsidRPr="0031731E">
        <w:rPr>
          <w:rFonts w:eastAsia="Georgia"/>
          <w:color w:val="000000"/>
          <w:sz w:val="18"/>
          <w:szCs w:val="18"/>
        </w:rPr>
        <w:footnoteRef/>
      </w:r>
      <w:r w:rsidRPr="0031731E">
        <w:rPr>
          <w:rFonts w:eastAsia="Georgia"/>
          <w:color w:val="000000"/>
          <w:sz w:val="18"/>
          <w:szCs w:val="18"/>
        </w:rPr>
        <w:t xml:space="preserve"> Sentencia del 19 de junio de 2020, radicado 2019-00046-01, M.P. </w:t>
      </w:r>
      <w:proofErr w:type="spellStart"/>
      <w:r w:rsidRPr="0031731E">
        <w:rPr>
          <w:rFonts w:eastAsia="Georgia"/>
          <w:color w:val="000000"/>
          <w:sz w:val="18"/>
          <w:szCs w:val="18"/>
        </w:rPr>
        <w:t>Duberney</w:t>
      </w:r>
      <w:proofErr w:type="spellEnd"/>
      <w:r w:rsidRPr="0031731E">
        <w:rPr>
          <w:rFonts w:eastAsia="Georgia"/>
          <w:color w:val="000000"/>
          <w:sz w:val="18"/>
          <w:szCs w:val="18"/>
        </w:rPr>
        <w:t xml:space="preserve"> Grisales Herrera.</w:t>
      </w:r>
    </w:p>
  </w:footnote>
  <w:footnote w:id="18">
    <w:p w14:paraId="217B8D1A" w14:textId="77777777" w:rsidR="00427739" w:rsidRPr="0031731E" w:rsidRDefault="00427739" w:rsidP="0031731E">
      <w:pPr>
        <w:pBdr>
          <w:top w:val="nil"/>
          <w:left w:val="nil"/>
          <w:bottom w:val="nil"/>
          <w:right w:val="nil"/>
          <w:between w:val="nil"/>
        </w:pBdr>
        <w:spacing w:line="240" w:lineRule="auto"/>
        <w:jc w:val="both"/>
        <w:rPr>
          <w:rFonts w:eastAsia="Georgia"/>
          <w:color w:val="000000"/>
          <w:sz w:val="18"/>
          <w:szCs w:val="18"/>
        </w:rPr>
      </w:pPr>
      <w:r w:rsidRPr="0031731E">
        <w:rPr>
          <w:rFonts w:eastAsia="Georgia"/>
          <w:color w:val="000000"/>
          <w:sz w:val="18"/>
          <w:szCs w:val="18"/>
        </w:rPr>
        <w:footnoteRef/>
      </w:r>
      <w:r w:rsidRPr="0031731E">
        <w:rPr>
          <w:rFonts w:eastAsia="Georgia"/>
          <w:color w:val="000000"/>
          <w:sz w:val="18"/>
          <w:szCs w:val="18"/>
        </w:rPr>
        <w:t xml:space="preserve"> STC9587-2017, STC15273-2019, STC11328-2019 y STC100-2019</w:t>
      </w:r>
    </w:p>
  </w:footnote>
  <w:footnote w:id="19">
    <w:p w14:paraId="1BE0D991" w14:textId="77777777" w:rsidR="00427739" w:rsidRPr="0031731E" w:rsidRDefault="00427739" w:rsidP="0031731E">
      <w:pPr>
        <w:pBdr>
          <w:top w:val="nil"/>
          <w:left w:val="nil"/>
          <w:bottom w:val="nil"/>
          <w:right w:val="nil"/>
          <w:between w:val="nil"/>
        </w:pBdr>
        <w:spacing w:line="240" w:lineRule="auto"/>
        <w:jc w:val="both"/>
        <w:rPr>
          <w:rFonts w:eastAsia="Georgia"/>
          <w:color w:val="000000"/>
          <w:sz w:val="18"/>
          <w:szCs w:val="18"/>
        </w:rPr>
      </w:pPr>
      <w:r w:rsidRPr="0031731E">
        <w:rPr>
          <w:rFonts w:eastAsia="Georgia"/>
          <w:color w:val="000000"/>
          <w:sz w:val="18"/>
          <w:szCs w:val="18"/>
        </w:rPr>
        <w:footnoteRef/>
      </w:r>
      <w:r w:rsidRPr="0031731E">
        <w:rPr>
          <w:rFonts w:eastAsia="Georgia"/>
          <w:color w:val="000000"/>
          <w:sz w:val="18"/>
          <w:szCs w:val="18"/>
        </w:rPr>
        <w:t xml:space="preserve"> SC2351-2019.</w:t>
      </w:r>
    </w:p>
  </w:footnote>
  <w:footnote w:id="20">
    <w:p w14:paraId="463FED91" w14:textId="780FA419" w:rsidR="002F29F9" w:rsidRPr="0031731E" w:rsidRDefault="002F29F9" w:rsidP="0031731E">
      <w:pPr>
        <w:pStyle w:val="Prrafodelista"/>
        <w:tabs>
          <w:tab w:val="left" w:pos="426"/>
        </w:tabs>
        <w:spacing w:line="240" w:lineRule="auto"/>
        <w:ind w:left="0"/>
        <w:jc w:val="both"/>
        <w:rPr>
          <w:rFonts w:eastAsia="Georgia"/>
          <w:sz w:val="18"/>
          <w:szCs w:val="18"/>
        </w:rPr>
      </w:pPr>
      <w:r w:rsidRPr="0031731E">
        <w:rPr>
          <w:rStyle w:val="Refdenotaalpie"/>
          <w:sz w:val="18"/>
          <w:szCs w:val="18"/>
        </w:rPr>
        <w:footnoteRef/>
      </w:r>
      <w:r w:rsidRPr="0031731E">
        <w:rPr>
          <w:sz w:val="18"/>
          <w:szCs w:val="18"/>
        </w:rPr>
        <w:t xml:space="preserve"> </w:t>
      </w:r>
      <w:r w:rsidRPr="0031731E">
        <w:rPr>
          <w:rFonts w:eastAsia="Georgia"/>
          <w:sz w:val="18"/>
          <w:szCs w:val="18"/>
        </w:rPr>
        <w:t>01PrimeraInstancia</w:t>
      </w:r>
      <w:r w:rsidR="00611758" w:rsidRPr="0031731E">
        <w:rPr>
          <w:rFonts w:eastAsia="Georgia"/>
          <w:sz w:val="18"/>
          <w:szCs w:val="18"/>
        </w:rPr>
        <w:t xml:space="preserve">, </w:t>
      </w:r>
      <w:r w:rsidRPr="0031731E">
        <w:rPr>
          <w:rFonts w:eastAsia="Georgia"/>
          <w:sz w:val="18"/>
          <w:szCs w:val="18"/>
        </w:rPr>
        <w:t>02EscritoDemandaImpugnacion, p. 10</w:t>
      </w:r>
    </w:p>
    <w:p w14:paraId="4D535D3D" w14:textId="58DE5390" w:rsidR="002F29F9" w:rsidRPr="0031731E" w:rsidRDefault="002F29F9" w:rsidP="0031731E">
      <w:pPr>
        <w:pStyle w:val="Textonotapie"/>
        <w:jc w:val="both"/>
        <w:rPr>
          <w:sz w:val="18"/>
          <w:szCs w:val="18"/>
          <w:lang w:val="es-MX"/>
        </w:rPr>
      </w:pPr>
    </w:p>
  </w:footnote>
  <w:footnote w:id="21">
    <w:p w14:paraId="421DAAB6" w14:textId="57D0888F" w:rsidR="00611758" w:rsidRPr="0031731E" w:rsidRDefault="00611758" w:rsidP="0031731E">
      <w:pPr>
        <w:pStyle w:val="Textonotapie"/>
        <w:jc w:val="both"/>
        <w:rPr>
          <w:sz w:val="18"/>
          <w:szCs w:val="18"/>
          <w:lang w:val="es-MX"/>
        </w:rPr>
      </w:pPr>
      <w:r w:rsidRPr="0031731E">
        <w:rPr>
          <w:rStyle w:val="Refdenotaalpie"/>
          <w:sz w:val="18"/>
          <w:szCs w:val="18"/>
        </w:rPr>
        <w:footnoteRef/>
      </w:r>
      <w:r w:rsidRPr="0031731E">
        <w:rPr>
          <w:sz w:val="18"/>
          <w:szCs w:val="18"/>
        </w:rPr>
        <w:t xml:space="preserve"> 01PrimeraInstancia, </w:t>
      </w:r>
      <w:r w:rsidR="00CF2E4D" w:rsidRPr="0031731E">
        <w:rPr>
          <w:sz w:val="18"/>
          <w:szCs w:val="18"/>
        </w:rPr>
        <w:t>40ActaAudiencia, p. 2, segundo enlace suministrado</w:t>
      </w:r>
    </w:p>
  </w:footnote>
  <w:footnote w:id="22">
    <w:p w14:paraId="4A43AF87" w14:textId="755DB965" w:rsidR="00CF2E4D" w:rsidRPr="0031731E" w:rsidRDefault="00CF2E4D" w:rsidP="0031731E">
      <w:pPr>
        <w:pStyle w:val="Textonotapie"/>
        <w:jc w:val="both"/>
        <w:rPr>
          <w:sz w:val="18"/>
          <w:szCs w:val="18"/>
          <w:lang w:val="es-MX"/>
        </w:rPr>
      </w:pPr>
      <w:r w:rsidRPr="0031731E">
        <w:rPr>
          <w:rStyle w:val="Refdenotaalpie"/>
          <w:sz w:val="18"/>
          <w:szCs w:val="18"/>
        </w:rPr>
        <w:footnoteRef/>
      </w:r>
      <w:r w:rsidRPr="0031731E">
        <w:rPr>
          <w:sz w:val="18"/>
          <w:szCs w:val="18"/>
        </w:rPr>
        <w:t xml:space="preserve"> </w:t>
      </w:r>
      <w:r w:rsidRPr="0031731E">
        <w:rPr>
          <w:sz w:val="18"/>
          <w:szCs w:val="18"/>
          <w:lang w:val="es-MX"/>
        </w:rPr>
        <w:t>01PrimeraInstancia, 41ArgumentosApelación, p. 5</w:t>
      </w:r>
    </w:p>
  </w:footnote>
  <w:footnote w:id="23">
    <w:p w14:paraId="24CDECEB" w14:textId="7EECC08C" w:rsidR="00885E3C" w:rsidRPr="0031731E" w:rsidRDefault="00885E3C" w:rsidP="0031731E">
      <w:pPr>
        <w:pStyle w:val="Textonotapie"/>
        <w:jc w:val="both"/>
        <w:rPr>
          <w:sz w:val="18"/>
          <w:szCs w:val="18"/>
          <w:lang w:val="es-MX"/>
        </w:rPr>
      </w:pPr>
      <w:r w:rsidRPr="0031731E">
        <w:rPr>
          <w:rStyle w:val="Refdenotaalpie"/>
          <w:sz w:val="18"/>
          <w:szCs w:val="18"/>
        </w:rPr>
        <w:footnoteRef/>
      </w:r>
      <w:r w:rsidRPr="0031731E">
        <w:rPr>
          <w:sz w:val="18"/>
          <w:szCs w:val="18"/>
        </w:rPr>
        <w:t xml:space="preserve"> </w:t>
      </w:r>
      <w:r w:rsidRPr="0031731E">
        <w:rPr>
          <w:sz w:val="18"/>
          <w:szCs w:val="18"/>
          <w:lang w:val="es-MX"/>
        </w:rPr>
        <w:t>01PrimeraInstancia, 18</w:t>
      </w:r>
      <w:r w:rsidR="001C4FBB" w:rsidRPr="0031731E">
        <w:rPr>
          <w:sz w:val="18"/>
          <w:szCs w:val="18"/>
          <w:lang w:val="es-MX"/>
        </w:rPr>
        <w:t>RespondeAutoYaportaActaAsamblea, p. 6</w:t>
      </w:r>
    </w:p>
  </w:footnote>
  <w:footnote w:id="24">
    <w:p w14:paraId="19F08BF5" w14:textId="37096717" w:rsidR="00774EC3" w:rsidRPr="0031731E" w:rsidRDefault="00774EC3" w:rsidP="0031731E">
      <w:pPr>
        <w:pStyle w:val="Textonotapie"/>
        <w:jc w:val="both"/>
        <w:rPr>
          <w:sz w:val="18"/>
          <w:szCs w:val="18"/>
          <w:lang w:val="es-ES"/>
        </w:rPr>
      </w:pPr>
      <w:r w:rsidRPr="0031731E">
        <w:rPr>
          <w:rStyle w:val="Refdenotaalpie"/>
          <w:sz w:val="18"/>
          <w:szCs w:val="18"/>
        </w:rPr>
        <w:footnoteRef/>
      </w:r>
      <w:r w:rsidRPr="0031731E">
        <w:rPr>
          <w:sz w:val="18"/>
          <w:szCs w:val="18"/>
        </w:rPr>
        <w:t xml:space="preserve"> </w:t>
      </w:r>
      <w:r w:rsidRPr="0031731E">
        <w:rPr>
          <w:sz w:val="18"/>
          <w:szCs w:val="18"/>
          <w:lang w:val="es-ES"/>
        </w:rPr>
        <w:t xml:space="preserve">Monsalve Caballero, Luis Carlos, El régimen de la propiedad horizontal en Colombia, </w:t>
      </w:r>
      <w:proofErr w:type="spellStart"/>
      <w:r w:rsidRPr="0031731E">
        <w:rPr>
          <w:sz w:val="18"/>
          <w:szCs w:val="18"/>
          <w:lang w:val="es-ES"/>
        </w:rPr>
        <w:t>Ibañez</w:t>
      </w:r>
      <w:proofErr w:type="spellEnd"/>
      <w:r w:rsidRPr="0031731E">
        <w:rPr>
          <w:sz w:val="18"/>
          <w:szCs w:val="18"/>
          <w:lang w:val="es-ES"/>
        </w:rPr>
        <w:t xml:space="preserve">, </w:t>
      </w:r>
      <w:r w:rsidR="006F7AE1" w:rsidRPr="0031731E">
        <w:rPr>
          <w:sz w:val="18"/>
          <w:szCs w:val="18"/>
          <w:lang w:val="es-ES"/>
        </w:rPr>
        <w:t xml:space="preserve">2016, p. </w:t>
      </w:r>
      <w:r w:rsidR="00D1044C" w:rsidRPr="0031731E">
        <w:rPr>
          <w:sz w:val="18"/>
          <w:szCs w:val="18"/>
          <w:lang w:val="es-ES"/>
        </w:rPr>
        <w:t>236</w:t>
      </w:r>
    </w:p>
  </w:footnote>
  <w:footnote w:id="25">
    <w:p w14:paraId="40AF827E" w14:textId="5F761F63" w:rsidR="00AA2CCA" w:rsidRPr="0031731E" w:rsidRDefault="00AA2CCA" w:rsidP="0031731E">
      <w:pPr>
        <w:pStyle w:val="Textonotapie"/>
        <w:jc w:val="both"/>
        <w:rPr>
          <w:sz w:val="18"/>
          <w:szCs w:val="18"/>
          <w:lang w:val="es-ES"/>
        </w:rPr>
      </w:pPr>
      <w:r w:rsidRPr="0031731E">
        <w:rPr>
          <w:rStyle w:val="Refdenotaalpie"/>
          <w:sz w:val="18"/>
          <w:szCs w:val="18"/>
        </w:rPr>
        <w:footnoteRef/>
      </w:r>
      <w:r w:rsidRPr="0031731E">
        <w:rPr>
          <w:sz w:val="18"/>
          <w:szCs w:val="18"/>
        </w:rPr>
        <w:t xml:space="preserve"> </w:t>
      </w:r>
      <w:r w:rsidRPr="0031731E">
        <w:rPr>
          <w:sz w:val="18"/>
          <w:szCs w:val="18"/>
          <w:lang w:val="es-MX"/>
        </w:rPr>
        <w:t xml:space="preserve">01PrimeraInstancia, </w:t>
      </w:r>
      <w:r w:rsidR="00542E36" w:rsidRPr="0031731E">
        <w:rPr>
          <w:sz w:val="18"/>
          <w:szCs w:val="18"/>
          <w:lang w:val="es-MX"/>
        </w:rPr>
        <w:t>01AnexosDemanda</w:t>
      </w:r>
      <w:r w:rsidR="00783585" w:rsidRPr="0031731E">
        <w:rPr>
          <w:sz w:val="18"/>
          <w:szCs w:val="18"/>
          <w:lang w:val="es-MX"/>
        </w:rPr>
        <w:t>, p. 15</w:t>
      </w:r>
    </w:p>
  </w:footnote>
  <w:footnote w:id="26">
    <w:p w14:paraId="139E27FE" w14:textId="5141A568" w:rsidR="004F4223" w:rsidRPr="0031731E" w:rsidRDefault="004F4223" w:rsidP="0031731E">
      <w:pPr>
        <w:pStyle w:val="Textonotapie"/>
        <w:jc w:val="both"/>
        <w:rPr>
          <w:sz w:val="18"/>
          <w:szCs w:val="18"/>
          <w:lang w:val="es-ES"/>
        </w:rPr>
      </w:pPr>
      <w:r w:rsidRPr="0031731E">
        <w:rPr>
          <w:rStyle w:val="Refdenotaalpie"/>
          <w:sz w:val="18"/>
          <w:szCs w:val="18"/>
        </w:rPr>
        <w:footnoteRef/>
      </w:r>
      <w:r w:rsidRPr="0031731E">
        <w:rPr>
          <w:sz w:val="18"/>
          <w:szCs w:val="18"/>
        </w:rPr>
        <w:t xml:space="preserve"> </w:t>
      </w:r>
      <w:r w:rsidRPr="0031731E">
        <w:rPr>
          <w:sz w:val="18"/>
          <w:szCs w:val="18"/>
          <w:lang w:val="es-ES"/>
        </w:rPr>
        <w:t xml:space="preserve">C-1 Primera Instancia, </w:t>
      </w:r>
      <w:r w:rsidR="009A0587" w:rsidRPr="0031731E">
        <w:rPr>
          <w:sz w:val="18"/>
          <w:szCs w:val="18"/>
          <w:lang w:val="es-MX"/>
        </w:rPr>
        <w:t>01AnexosDemanda</w:t>
      </w:r>
      <w:r w:rsidRPr="0031731E">
        <w:rPr>
          <w:sz w:val="18"/>
          <w:szCs w:val="18"/>
          <w:lang w:val="es-ES"/>
        </w:rPr>
        <w:t>, págs. 102 a 134</w:t>
      </w:r>
    </w:p>
  </w:footnote>
  <w:footnote w:id="27">
    <w:p w14:paraId="3570E6F5" w14:textId="77777777" w:rsidR="004F4223" w:rsidRPr="0031731E" w:rsidRDefault="004F4223" w:rsidP="0031731E">
      <w:pPr>
        <w:pStyle w:val="Textonotapie"/>
        <w:jc w:val="both"/>
        <w:rPr>
          <w:sz w:val="18"/>
          <w:szCs w:val="18"/>
          <w:lang w:val="es-ES"/>
        </w:rPr>
      </w:pPr>
      <w:r w:rsidRPr="0031731E">
        <w:rPr>
          <w:rStyle w:val="Refdenotaalpie"/>
          <w:sz w:val="18"/>
          <w:szCs w:val="18"/>
        </w:rPr>
        <w:footnoteRef/>
      </w:r>
      <w:r w:rsidRPr="0031731E">
        <w:rPr>
          <w:sz w:val="18"/>
          <w:szCs w:val="18"/>
        </w:rPr>
        <w:t xml:space="preserve"> </w:t>
      </w:r>
      <w:r w:rsidRPr="0031731E">
        <w:rPr>
          <w:sz w:val="18"/>
          <w:szCs w:val="18"/>
          <w:lang w:val="es-ES"/>
        </w:rPr>
        <w:t xml:space="preserve">Págs. 136 a 179, ibidem. </w:t>
      </w:r>
    </w:p>
  </w:footnote>
  <w:footnote w:id="28">
    <w:p w14:paraId="3F3D27A1" w14:textId="77777777" w:rsidR="007414A8" w:rsidRPr="0031731E" w:rsidRDefault="007414A8" w:rsidP="0031731E">
      <w:pPr>
        <w:pStyle w:val="Textonotapie"/>
        <w:jc w:val="both"/>
        <w:rPr>
          <w:sz w:val="18"/>
          <w:szCs w:val="18"/>
          <w:lang w:val="es-ES"/>
        </w:rPr>
      </w:pPr>
      <w:r w:rsidRPr="0031731E">
        <w:rPr>
          <w:rStyle w:val="Refdenotaalpie"/>
          <w:sz w:val="18"/>
          <w:szCs w:val="18"/>
        </w:rPr>
        <w:footnoteRef/>
      </w:r>
      <w:r w:rsidRPr="0031731E">
        <w:rPr>
          <w:sz w:val="18"/>
          <w:szCs w:val="18"/>
        </w:rPr>
        <w:t xml:space="preserve"> </w:t>
      </w:r>
      <w:r w:rsidRPr="0031731E">
        <w:rPr>
          <w:sz w:val="18"/>
          <w:szCs w:val="18"/>
          <w:lang w:val="es-ES"/>
        </w:rPr>
        <w:t xml:space="preserve">C-1 Primera Instancia, archivo 38 expediente digital 66001400300820180129700, C-1, VIDEOGRABACIONES, archivo 03, continuación audiencia 373 C.G.P. (01-12-2020) tipo MP4. </w:t>
      </w:r>
    </w:p>
  </w:footnote>
  <w:footnote w:id="29">
    <w:p w14:paraId="28261E10" w14:textId="77777777" w:rsidR="007414A8" w:rsidRPr="0031731E" w:rsidRDefault="007414A8" w:rsidP="0031731E">
      <w:pPr>
        <w:pStyle w:val="Textonotapie"/>
        <w:jc w:val="both"/>
        <w:rPr>
          <w:sz w:val="18"/>
          <w:szCs w:val="18"/>
          <w:lang w:val="es-ES"/>
        </w:rPr>
      </w:pPr>
      <w:r w:rsidRPr="0031731E">
        <w:rPr>
          <w:rStyle w:val="Refdenotaalpie"/>
          <w:sz w:val="18"/>
          <w:szCs w:val="18"/>
        </w:rPr>
        <w:footnoteRef/>
      </w:r>
      <w:r w:rsidRPr="0031731E">
        <w:rPr>
          <w:sz w:val="18"/>
          <w:szCs w:val="18"/>
        </w:rPr>
        <w:t xml:space="preserve"> </w:t>
      </w:r>
      <w:r w:rsidRPr="0031731E">
        <w:rPr>
          <w:sz w:val="18"/>
          <w:szCs w:val="18"/>
          <w:lang w:val="es-ES"/>
        </w:rPr>
        <w:t xml:space="preserve">Archivo 31 ibidem. </w:t>
      </w:r>
    </w:p>
  </w:footnote>
  <w:footnote w:id="30">
    <w:p w14:paraId="595C05BB" w14:textId="77777777" w:rsidR="007414A8" w:rsidRPr="0031731E" w:rsidRDefault="007414A8" w:rsidP="0031731E">
      <w:pPr>
        <w:pStyle w:val="Textonotapie"/>
        <w:jc w:val="both"/>
        <w:rPr>
          <w:sz w:val="18"/>
          <w:szCs w:val="18"/>
          <w:lang w:val="es-ES"/>
        </w:rPr>
      </w:pPr>
      <w:r w:rsidRPr="0031731E">
        <w:rPr>
          <w:rStyle w:val="Refdenotaalpie"/>
          <w:sz w:val="18"/>
          <w:szCs w:val="18"/>
        </w:rPr>
        <w:footnoteRef/>
      </w:r>
      <w:r w:rsidRPr="0031731E">
        <w:rPr>
          <w:sz w:val="18"/>
          <w:szCs w:val="18"/>
        </w:rPr>
        <w:t xml:space="preserve"> </w:t>
      </w:r>
      <w:r w:rsidRPr="0031731E">
        <w:rPr>
          <w:sz w:val="18"/>
          <w:szCs w:val="18"/>
          <w:lang w:val="es-ES"/>
        </w:rPr>
        <w:t xml:space="preserve">C-1 Primera Instancia, archivo 38 expediente digital 66001400300820180129700, C-1, VIDEOGRABACIONES, archivo 03, continuación audiencia 373 C.G.P. (01-12-2020) tipo MP4, tiempo 2:20:22.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A32E8"/>
    <w:multiLevelType w:val="multilevel"/>
    <w:tmpl w:val="067E78A4"/>
    <w:lvl w:ilvl="0">
      <w:start w:val="1"/>
      <w:numFmt w:val="decimal"/>
      <w:lvlText w:val="%1."/>
      <w:lvlJc w:val="left"/>
      <w:pPr>
        <w:ind w:left="1200" w:hanging="840"/>
      </w:pPr>
      <w:rPr>
        <w:rFonts w:ascii="Georgia" w:hAnsi="Georgia"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52010B"/>
    <w:multiLevelType w:val="multilevel"/>
    <w:tmpl w:val="D046BC3E"/>
    <w:lvl w:ilvl="0">
      <w:start w:val="1"/>
      <w:numFmt w:val="decimal"/>
      <w:lvlText w:val="%1."/>
      <w:lvlJc w:val="left"/>
      <w:pPr>
        <w:ind w:left="3195" w:hanging="360"/>
      </w:pPr>
    </w:lvl>
    <w:lvl w:ilvl="1">
      <w:start w:val="1"/>
      <w:numFmt w:val="decimal"/>
      <w:isLgl/>
      <w:lvlText w:val="%1.%2."/>
      <w:lvlJc w:val="left"/>
      <w:pPr>
        <w:ind w:left="4406" w:hanging="720"/>
      </w:pPr>
      <w:rPr>
        <w:rFonts w:ascii="Gadugi" w:hAnsi="Gadugi" w:hint="default"/>
        <w:i w:val="0"/>
        <w:color w:val="auto"/>
        <w:sz w:val="28"/>
        <w:szCs w:val="28"/>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2" w15:restartNumberingAfterBreak="0">
    <w:nsid w:val="55F735C4"/>
    <w:multiLevelType w:val="multilevel"/>
    <w:tmpl w:val="EFBE0874"/>
    <w:lvl w:ilvl="0">
      <w:start w:val="2"/>
      <w:numFmt w:val="decimal"/>
      <w:lvlText w:val="%1."/>
      <w:lvlJc w:val="left"/>
      <w:pPr>
        <w:ind w:left="480" w:hanging="480"/>
      </w:pPr>
      <w:rPr>
        <w:rFonts w:hint="default"/>
        <w:color w:val="000000" w:themeColor="text1"/>
      </w:rPr>
    </w:lvl>
    <w:lvl w:ilvl="1">
      <w:start w:val="3"/>
      <w:numFmt w:val="decimal"/>
      <w:lvlText w:val="%1.%2."/>
      <w:lvlJc w:val="left"/>
      <w:pPr>
        <w:ind w:left="1080" w:hanging="720"/>
      </w:pPr>
      <w:rPr>
        <w:rFonts w:hint="default"/>
        <w:i w:val="0"/>
        <w:color w:val="000000" w:themeColor="text1"/>
      </w:rPr>
    </w:lvl>
    <w:lvl w:ilvl="2">
      <w:start w:val="1"/>
      <w:numFmt w:val="decimal"/>
      <w:lvlText w:val="%1.%2.%3."/>
      <w:lvlJc w:val="left"/>
      <w:pPr>
        <w:ind w:left="1800" w:hanging="1080"/>
      </w:pPr>
      <w:rPr>
        <w:rFonts w:hint="default"/>
        <w:color w:val="000000" w:themeColor="text1"/>
      </w:rPr>
    </w:lvl>
    <w:lvl w:ilvl="3">
      <w:start w:val="1"/>
      <w:numFmt w:val="decimal"/>
      <w:lvlText w:val="%1.%2.%3.%4."/>
      <w:lvlJc w:val="left"/>
      <w:pPr>
        <w:ind w:left="2160" w:hanging="1080"/>
      </w:pPr>
      <w:rPr>
        <w:rFonts w:hint="default"/>
        <w:color w:val="000000" w:themeColor="text1"/>
      </w:rPr>
    </w:lvl>
    <w:lvl w:ilvl="4">
      <w:start w:val="1"/>
      <w:numFmt w:val="decimal"/>
      <w:lvlText w:val="%1.%2.%3.%4.%5."/>
      <w:lvlJc w:val="left"/>
      <w:pPr>
        <w:ind w:left="2880" w:hanging="1440"/>
      </w:pPr>
      <w:rPr>
        <w:rFonts w:hint="default"/>
        <w:color w:val="000000" w:themeColor="text1"/>
      </w:rPr>
    </w:lvl>
    <w:lvl w:ilvl="5">
      <w:start w:val="1"/>
      <w:numFmt w:val="decimal"/>
      <w:lvlText w:val="%1.%2.%3.%4.%5.%6."/>
      <w:lvlJc w:val="left"/>
      <w:pPr>
        <w:ind w:left="3600" w:hanging="1800"/>
      </w:pPr>
      <w:rPr>
        <w:rFonts w:hint="default"/>
        <w:color w:val="000000" w:themeColor="text1"/>
      </w:rPr>
    </w:lvl>
    <w:lvl w:ilvl="6">
      <w:start w:val="1"/>
      <w:numFmt w:val="decimal"/>
      <w:lvlText w:val="%1.%2.%3.%4.%5.%6.%7."/>
      <w:lvlJc w:val="left"/>
      <w:pPr>
        <w:ind w:left="3960" w:hanging="1800"/>
      </w:pPr>
      <w:rPr>
        <w:rFonts w:hint="default"/>
        <w:color w:val="000000" w:themeColor="text1"/>
      </w:rPr>
    </w:lvl>
    <w:lvl w:ilvl="7">
      <w:start w:val="1"/>
      <w:numFmt w:val="decimal"/>
      <w:lvlText w:val="%1.%2.%3.%4.%5.%6.%7.%8."/>
      <w:lvlJc w:val="left"/>
      <w:pPr>
        <w:ind w:left="4680" w:hanging="2160"/>
      </w:pPr>
      <w:rPr>
        <w:rFonts w:hint="default"/>
        <w:color w:val="000000" w:themeColor="text1"/>
      </w:rPr>
    </w:lvl>
    <w:lvl w:ilvl="8">
      <w:start w:val="1"/>
      <w:numFmt w:val="decimal"/>
      <w:lvlText w:val="%1.%2.%3.%4.%5.%6.%7.%8.%9."/>
      <w:lvlJc w:val="left"/>
      <w:pPr>
        <w:ind w:left="5400" w:hanging="2520"/>
      </w:pPr>
      <w:rPr>
        <w:rFonts w:hint="default"/>
        <w:color w:val="000000" w:themeColor="text1"/>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20"/>
    <w:rsid w:val="0000339C"/>
    <w:rsid w:val="00011F0D"/>
    <w:rsid w:val="00026D05"/>
    <w:rsid w:val="000410AF"/>
    <w:rsid w:val="00043FF2"/>
    <w:rsid w:val="00046754"/>
    <w:rsid w:val="0005123A"/>
    <w:rsid w:val="000522E0"/>
    <w:rsid w:val="00054414"/>
    <w:rsid w:val="0006504E"/>
    <w:rsid w:val="0006610C"/>
    <w:rsid w:val="00070CEC"/>
    <w:rsid w:val="00093184"/>
    <w:rsid w:val="000A1993"/>
    <w:rsid w:val="000A40B3"/>
    <w:rsid w:val="000A6187"/>
    <w:rsid w:val="000B5816"/>
    <w:rsid w:val="000C1F16"/>
    <w:rsid w:val="000C2D72"/>
    <w:rsid w:val="000E0EFF"/>
    <w:rsid w:val="000E500C"/>
    <w:rsid w:val="00125D46"/>
    <w:rsid w:val="00154AF2"/>
    <w:rsid w:val="0016050B"/>
    <w:rsid w:val="001849B2"/>
    <w:rsid w:val="001879AE"/>
    <w:rsid w:val="0019052E"/>
    <w:rsid w:val="001919DC"/>
    <w:rsid w:val="00197086"/>
    <w:rsid w:val="001A7AB5"/>
    <w:rsid w:val="001B50C5"/>
    <w:rsid w:val="001C4FBB"/>
    <w:rsid w:val="001C749D"/>
    <w:rsid w:val="001D21B3"/>
    <w:rsid w:val="001D737B"/>
    <w:rsid w:val="001E676C"/>
    <w:rsid w:val="001E7B71"/>
    <w:rsid w:val="00207878"/>
    <w:rsid w:val="00210E26"/>
    <w:rsid w:val="002113C2"/>
    <w:rsid w:val="00211E7D"/>
    <w:rsid w:val="00217AD9"/>
    <w:rsid w:val="00224D0A"/>
    <w:rsid w:val="00227748"/>
    <w:rsid w:val="00231D11"/>
    <w:rsid w:val="00252090"/>
    <w:rsid w:val="002548FF"/>
    <w:rsid w:val="002576DB"/>
    <w:rsid w:val="00264780"/>
    <w:rsid w:val="00266A6D"/>
    <w:rsid w:val="0028051E"/>
    <w:rsid w:val="002A0A1D"/>
    <w:rsid w:val="002A4D7E"/>
    <w:rsid w:val="002C1E76"/>
    <w:rsid w:val="002C238F"/>
    <w:rsid w:val="002D7BC2"/>
    <w:rsid w:val="002F29F9"/>
    <w:rsid w:val="003117EA"/>
    <w:rsid w:val="00314FF5"/>
    <w:rsid w:val="0031731E"/>
    <w:rsid w:val="0032118A"/>
    <w:rsid w:val="00322345"/>
    <w:rsid w:val="003258DE"/>
    <w:rsid w:val="0035057F"/>
    <w:rsid w:val="00352D54"/>
    <w:rsid w:val="00371039"/>
    <w:rsid w:val="0037103C"/>
    <w:rsid w:val="00384A4C"/>
    <w:rsid w:val="00384D57"/>
    <w:rsid w:val="00392956"/>
    <w:rsid w:val="003A1031"/>
    <w:rsid w:val="003A3695"/>
    <w:rsid w:val="003A518B"/>
    <w:rsid w:val="003B1716"/>
    <w:rsid w:val="003B65BB"/>
    <w:rsid w:val="003C482E"/>
    <w:rsid w:val="003C5583"/>
    <w:rsid w:val="003C7071"/>
    <w:rsid w:val="003D5355"/>
    <w:rsid w:val="003E2229"/>
    <w:rsid w:val="003E6C50"/>
    <w:rsid w:val="003F2D3D"/>
    <w:rsid w:val="0040375F"/>
    <w:rsid w:val="00403D2B"/>
    <w:rsid w:val="00403D5F"/>
    <w:rsid w:val="004209BB"/>
    <w:rsid w:val="00422A84"/>
    <w:rsid w:val="00427739"/>
    <w:rsid w:val="00430FEC"/>
    <w:rsid w:val="00434913"/>
    <w:rsid w:val="004356A2"/>
    <w:rsid w:val="0044149F"/>
    <w:rsid w:val="00461FD5"/>
    <w:rsid w:val="00472433"/>
    <w:rsid w:val="004727C5"/>
    <w:rsid w:val="0047332F"/>
    <w:rsid w:val="00483CD1"/>
    <w:rsid w:val="004847C9"/>
    <w:rsid w:val="00484BDA"/>
    <w:rsid w:val="004855C5"/>
    <w:rsid w:val="004A4167"/>
    <w:rsid w:val="004C57AA"/>
    <w:rsid w:val="004D075F"/>
    <w:rsid w:val="004D2EBD"/>
    <w:rsid w:val="004D32BD"/>
    <w:rsid w:val="004E3731"/>
    <w:rsid w:val="004F4223"/>
    <w:rsid w:val="004F5B1D"/>
    <w:rsid w:val="00510F98"/>
    <w:rsid w:val="005128D0"/>
    <w:rsid w:val="0051308F"/>
    <w:rsid w:val="00514BD1"/>
    <w:rsid w:val="00516EF2"/>
    <w:rsid w:val="00527725"/>
    <w:rsid w:val="00541F0B"/>
    <w:rsid w:val="00542288"/>
    <w:rsid w:val="0054241F"/>
    <w:rsid w:val="00542E36"/>
    <w:rsid w:val="005431DE"/>
    <w:rsid w:val="00553938"/>
    <w:rsid w:val="0056264F"/>
    <w:rsid w:val="00562F4E"/>
    <w:rsid w:val="00565032"/>
    <w:rsid w:val="00571536"/>
    <w:rsid w:val="00580657"/>
    <w:rsid w:val="005924A4"/>
    <w:rsid w:val="005A00AF"/>
    <w:rsid w:val="005A05CD"/>
    <w:rsid w:val="005B3833"/>
    <w:rsid w:val="005C7F24"/>
    <w:rsid w:val="005D2E5D"/>
    <w:rsid w:val="005D3662"/>
    <w:rsid w:val="005D71A5"/>
    <w:rsid w:val="005E1FC1"/>
    <w:rsid w:val="005F2C4E"/>
    <w:rsid w:val="005F5680"/>
    <w:rsid w:val="00611758"/>
    <w:rsid w:val="006308F9"/>
    <w:rsid w:val="00640F63"/>
    <w:rsid w:val="0064605F"/>
    <w:rsid w:val="00652520"/>
    <w:rsid w:val="00656B8F"/>
    <w:rsid w:val="0066186F"/>
    <w:rsid w:val="00664434"/>
    <w:rsid w:val="00667E1A"/>
    <w:rsid w:val="00670305"/>
    <w:rsid w:val="006738B5"/>
    <w:rsid w:val="0068627C"/>
    <w:rsid w:val="00692483"/>
    <w:rsid w:val="00696FB7"/>
    <w:rsid w:val="006A016F"/>
    <w:rsid w:val="006A5609"/>
    <w:rsid w:val="006A67B2"/>
    <w:rsid w:val="006B707F"/>
    <w:rsid w:val="006C3442"/>
    <w:rsid w:val="006C3B35"/>
    <w:rsid w:val="006D58AD"/>
    <w:rsid w:val="006E028F"/>
    <w:rsid w:val="006E0F79"/>
    <w:rsid w:val="006E450C"/>
    <w:rsid w:val="006F1570"/>
    <w:rsid w:val="006F4003"/>
    <w:rsid w:val="006F7AE1"/>
    <w:rsid w:val="007030CC"/>
    <w:rsid w:val="007069E7"/>
    <w:rsid w:val="007112A0"/>
    <w:rsid w:val="007215AC"/>
    <w:rsid w:val="00731E6A"/>
    <w:rsid w:val="00737C37"/>
    <w:rsid w:val="007414A8"/>
    <w:rsid w:val="00742024"/>
    <w:rsid w:val="00745F0F"/>
    <w:rsid w:val="00747CB3"/>
    <w:rsid w:val="007546E5"/>
    <w:rsid w:val="00764215"/>
    <w:rsid w:val="007700A2"/>
    <w:rsid w:val="00770655"/>
    <w:rsid w:val="007743E1"/>
    <w:rsid w:val="00774EC3"/>
    <w:rsid w:val="00776310"/>
    <w:rsid w:val="007763DF"/>
    <w:rsid w:val="00783585"/>
    <w:rsid w:val="00784758"/>
    <w:rsid w:val="0079348A"/>
    <w:rsid w:val="00794D81"/>
    <w:rsid w:val="007A3F13"/>
    <w:rsid w:val="007C331A"/>
    <w:rsid w:val="007D2387"/>
    <w:rsid w:val="007D246D"/>
    <w:rsid w:val="007D2BCE"/>
    <w:rsid w:val="007E6802"/>
    <w:rsid w:val="00826E72"/>
    <w:rsid w:val="00835850"/>
    <w:rsid w:val="00835BD5"/>
    <w:rsid w:val="0084628E"/>
    <w:rsid w:val="0087158D"/>
    <w:rsid w:val="00882938"/>
    <w:rsid w:val="00882F91"/>
    <w:rsid w:val="00885E3C"/>
    <w:rsid w:val="008908D9"/>
    <w:rsid w:val="00894101"/>
    <w:rsid w:val="0089666A"/>
    <w:rsid w:val="008A6D6D"/>
    <w:rsid w:val="008B2423"/>
    <w:rsid w:val="008C5C65"/>
    <w:rsid w:val="008D740F"/>
    <w:rsid w:val="008E00A1"/>
    <w:rsid w:val="008E51CD"/>
    <w:rsid w:val="0091457D"/>
    <w:rsid w:val="0092266B"/>
    <w:rsid w:val="00923292"/>
    <w:rsid w:val="009303E9"/>
    <w:rsid w:val="00933861"/>
    <w:rsid w:val="00936854"/>
    <w:rsid w:val="009418F0"/>
    <w:rsid w:val="009425CE"/>
    <w:rsid w:val="00943665"/>
    <w:rsid w:val="00956768"/>
    <w:rsid w:val="0095708A"/>
    <w:rsid w:val="00957861"/>
    <w:rsid w:val="00960367"/>
    <w:rsid w:val="00970876"/>
    <w:rsid w:val="00970937"/>
    <w:rsid w:val="00976486"/>
    <w:rsid w:val="00981677"/>
    <w:rsid w:val="00990A5B"/>
    <w:rsid w:val="00995126"/>
    <w:rsid w:val="0099776D"/>
    <w:rsid w:val="009A0587"/>
    <w:rsid w:val="009A2E35"/>
    <w:rsid w:val="009A405A"/>
    <w:rsid w:val="009A5D56"/>
    <w:rsid w:val="009A7F88"/>
    <w:rsid w:val="009B03F9"/>
    <w:rsid w:val="009B6B24"/>
    <w:rsid w:val="009C6202"/>
    <w:rsid w:val="009C77A1"/>
    <w:rsid w:val="009D0F42"/>
    <w:rsid w:val="009D1B2E"/>
    <w:rsid w:val="009E5CA4"/>
    <w:rsid w:val="009F3BC4"/>
    <w:rsid w:val="00A027F0"/>
    <w:rsid w:val="00A11EBC"/>
    <w:rsid w:val="00A201DA"/>
    <w:rsid w:val="00A26A44"/>
    <w:rsid w:val="00A32416"/>
    <w:rsid w:val="00A32CF4"/>
    <w:rsid w:val="00A4654D"/>
    <w:rsid w:val="00A544AC"/>
    <w:rsid w:val="00A6286F"/>
    <w:rsid w:val="00A70496"/>
    <w:rsid w:val="00A71C2B"/>
    <w:rsid w:val="00A71FED"/>
    <w:rsid w:val="00A728B6"/>
    <w:rsid w:val="00A73181"/>
    <w:rsid w:val="00A73794"/>
    <w:rsid w:val="00A75620"/>
    <w:rsid w:val="00A82437"/>
    <w:rsid w:val="00A852ED"/>
    <w:rsid w:val="00A91F70"/>
    <w:rsid w:val="00A961A6"/>
    <w:rsid w:val="00AA2CCA"/>
    <w:rsid w:val="00AA4D1B"/>
    <w:rsid w:val="00AA7599"/>
    <w:rsid w:val="00AA7DD3"/>
    <w:rsid w:val="00AC2C40"/>
    <w:rsid w:val="00AC2F73"/>
    <w:rsid w:val="00AC3286"/>
    <w:rsid w:val="00AD1D6E"/>
    <w:rsid w:val="00AD2BE1"/>
    <w:rsid w:val="00AD4B0B"/>
    <w:rsid w:val="00AE4AE1"/>
    <w:rsid w:val="00AE6300"/>
    <w:rsid w:val="00AF27E6"/>
    <w:rsid w:val="00AF35C0"/>
    <w:rsid w:val="00B03E3A"/>
    <w:rsid w:val="00B42DAC"/>
    <w:rsid w:val="00B52D08"/>
    <w:rsid w:val="00B53E1D"/>
    <w:rsid w:val="00B549FF"/>
    <w:rsid w:val="00B74AEA"/>
    <w:rsid w:val="00B76E68"/>
    <w:rsid w:val="00B8077E"/>
    <w:rsid w:val="00B82760"/>
    <w:rsid w:val="00B96593"/>
    <w:rsid w:val="00BB260A"/>
    <w:rsid w:val="00BC1FAA"/>
    <w:rsid w:val="00BD25DC"/>
    <w:rsid w:val="00BD7256"/>
    <w:rsid w:val="00BE64AB"/>
    <w:rsid w:val="00C00A74"/>
    <w:rsid w:val="00C02780"/>
    <w:rsid w:val="00C0735E"/>
    <w:rsid w:val="00C154F0"/>
    <w:rsid w:val="00C15ED5"/>
    <w:rsid w:val="00C2077A"/>
    <w:rsid w:val="00C346E5"/>
    <w:rsid w:val="00C37B06"/>
    <w:rsid w:val="00C40518"/>
    <w:rsid w:val="00C43F51"/>
    <w:rsid w:val="00C52BDB"/>
    <w:rsid w:val="00C54266"/>
    <w:rsid w:val="00C55E45"/>
    <w:rsid w:val="00C6048A"/>
    <w:rsid w:val="00C644FB"/>
    <w:rsid w:val="00C66DEF"/>
    <w:rsid w:val="00C67288"/>
    <w:rsid w:val="00C67D8D"/>
    <w:rsid w:val="00C84638"/>
    <w:rsid w:val="00C97D04"/>
    <w:rsid w:val="00CA1A62"/>
    <w:rsid w:val="00CB2701"/>
    <w:rsid w:val="00CB6462"/>
    <w:rsid w:val="00CC5D41"/>
    <w:rsid w:val="00CC7953"/>
    <w:rsid w:val="00CD3F0D"/>
    <w:rsid w:val="00CD4E9F"/>
    <w:rsid w:val="00CD6558"/>
    <w:rsid w:val="00CE7636"/>
    <w:rsid w:val="00CF0B60"/>
    <w:rsid w:val="00CF1225"/>
    <w:rsid w:val="00CF2E4D"/>
    <w:rsid w:val="00D00692"/>
    <w:rsid w:val="00D04F61"/>
    <w:rsid w:val="00D05C43"/>
    <w:rsid w:val="00D05D66"/>
    <w:rsid w:val="00D1044C"/>
    <w:rsid w:val="00D20882"/>
    <w:rsid w:val="00D233EB"/>
    <w:rsid w:val="00D24500"/>
    <w:rsid w:val="00D377B3"/>
    <w:rsid w:val="00D70995"/>
    <w:rsid w:val="00D831B5"/>
    <w:rsid w:val="00D85CA7"/>
    <w:rsid w:val="00D91EFE"/>
    <w:rsid w:val="00D96060"/>
    <w:rsid w:val="00DA1E26"/>
    <w:rsid w:val="00DA478E"/>
    <w:rsid w:val="00DB1F8C"/>
    <w:rsid w:val="00DB4BBE"/>
    <w:rsid w:val="00DD25B3"/>
    <w:rsid w:val="00DD52F8"/>
    <w:rsid w:val="00DD55A0"/>
    <w:rsid w:val="00DF421F"/>
    <w:rsid w:val="00E0262A"/>
    <w:rsid w:val="00E04103"/>
    <w:rsid w:val="00E1471B"/>
    <w:rsid w:val="00E21B9C"/>
    <w:rsid w:val="00E2358C"/>
    <w:rsid w:val="00E36617"/>
    <w:rsid w:val="00E36ABC"/>
    <w:rsid w:val="00E41683"/>
    <w:rsid w:val="00E529D4"/>
    <w:rsid w:val="00E5777A"/>
    <w:rsid w:val="00E62755"/>
    <w:rsid w:val="00E674E0"/>
    <w:rsid w:val="00E70B06"/>
    <w:rsid w:val="00E81722"/>
    <w:rsid w:val="00E81744"/>
    <w:rsid w:val="00E82216"/>
    <w:rsid w:val="00EA7174"/>
    <w:rsid w:val="00EB11D4"/>
    <w:rsid w:val="00EE421B"/>
    <w:rsid w:val="00EE67AC"/>
    <w:rsid w:val="00EF012C"/>
    <w:rsid w:val="00EF75C3"/>
    <w:rsid w:val="00F13217"/>
    <w:rsid w:val="00F13C90"/>
    <w:rsid w:val="00F17139"/>
    <w:rsid w:val="00F25EE7"/>
    <w:rsid w:val="00F26CB4"/>
    <w:rsid w:val="00F279BA"/>
    <w:rsid w:val="00F32FE0"/>
    <w:rsid w:val="00F359FF"/>
    <w:rsid w:val="00F70FB5"/>
    <w:rsid w:val="00F71F34"/>
    <w:rsid w:val="00F7487C"/>
    <w:rsid w:val="00F74F16"/>
    <w:rsid w:val="00F75CA2"/>
    <w:rsid w:val="00F76864"/>
    <w:rsid w:val="00F820DB"/>
    <w:rsid w:val="00F82255"/>
    <w:rsid w:val="00F87C94"/>
    <w:rsid w:val="00FA7A94"/>
    <w:rsid w:val="00FB6AAF"/>
    <w:rsid w:val="00FC362B"/>
    <w:rsid w:val="00FD5DC2"/>
    <w:rsid w:val="00FD6EC3"/>
    <w:rsid w:val="00FD7545"/>
    <w:rsid w:val="00FE17AE"/>
    <w:rsid w:val="00FF7CF7"/>
    <w:rsid w:val="056667CD"/>
    <w:rsid w:val="07D6BA36"/>
    <w:rsid w:val="0B092A8A"/>
    <w:rsid w:val="140769EC"/>
    <w:rsid w:val="17E2EAA7"/>
    <w:rsid w:val="22CBD51B"/>
    <w:rsid w:val="28FE42F6"/>
    <w:rsid w:val="2B1740F0"/>
    <w:rsid w:val="482B5CE6"/>
    <w:rsid w:val="7708E0C2"/>
    <w:rsid w:val="77EFFFC7"/>
    <w:rsid w:val="7927F6AF"/>
    <w:rsid w:val="7C8C4C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62ED"/>
  <w15:docId w15:val="{1CA2101F-6AEE-481C-806C-CA372200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6D0C08"/>
    <w:pPr>
      <w:spacing w:line="240" w:lineRule="auto"/>
    </w:pPr>
    <w:rPr>
      <w:sz w:val="20"/>
      <w:szCs w:val="20"/>
    </w:rPr>
  </w:style>
  <w:style w:type="character" w:customStyle="1" w:styleId="TextonotapieCar">
    <w:name w:val="Texto nota pie Car"/>
    <w:basedOn w:val="Fuentedeprrafopredeter"/>
    <w:link w:val="Textonotapie"/>
    <w:uiPriority w:val="99"/>
    <w:semiHidden/>
    <w:rsid w:val="006D0C08"/>
    <w:rPr>
      <w:sz w:val="20"/>
      <w:szCs w:val="20"/>
    </w:rPr>
  </w:style>
  <w:style w:type="character" w:styleId="Refdenotaalpie">
    <w:name w:val="footnote reference"/>
    <w:basedOn w:val="Fuentedeprrafopredeter"/>
    <w:uiPriority w:val="99"/>
    <w:semiHidden/>
    <w:unhideWhenUsed/>
    <w:rsid w:val="006D0C08"/>
    <w:rPr>
      <w:vertAlign w:val="superscript"/>
    </w:rPr>
  </w:style>
  <w:style w:type="paragraph" w:styleId="Prrafodelista">
    <w:name w:val="List Paragraph"/>
    <w:basedOn w:val="Normal"/>
    <w:uiPriority w:val="34"/>
    <w:qFormat/>
    <w:rsid w:val="00694AF9"/>
    <w:pPr>
      <w:ind w:left="720"/>
      <w:contextualSpacing/>
    </w:pPr>
  </w:style>
  <w:style w:type="paragraph" w:styleId="Encabezado">
    <w:name w:val="header"/>
    <w:basedOn w:val="Normal"/>
    <w:link w:val="EncabezadoCar"/>
    <w:uiPriority w:val="99"/>
    <w:unhideWhenUsed/>
    <w:rsid w:val="005924A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924A4"/>
  </w:style>
  <w:style w:type="paragraph" w:styleId="Piedepgina">
    <w:name w:val="footer"/>
    <w:basedOn w:val="Normal"/>
    <w:link w:val="PiedepginaCar"/>
    <w:uiPriority w:val="99"/>
    <w:unhideWhenUsed/>
    <w:rsid w:val="005924A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924A4"/>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E0EF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0EFF"/>
    <w:rPr>
      <w:rFonts w:ascii="Segoe UI" w:hAnsi="Segoe UI" w:cs="Segoe UI"/>
      <w:sz w:val="18"/>
      <w:szCs w:val="18"/>
    </w:rPr>
  </w:style>
  <w:style w:type="table" w:customStyle="1" w:styleId="NormalTable1">
    <w:name w:val="Normal Table1"/>
    <w:rsid w:val="005E1FC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6076">
      <w:bodyDiv w:val="1"/>
      <w:marLeft w:val="0"/>
      <w:marRight w:val="0"/>
      <w:marTop w:val="0"/>
      <w:marBottom w:val="0"/>
      <w:divBdr>
        <w:top w:val="none" w:sz="0" w:space="0" w:color="auto"/>
        <w:left w:val="none" w:sz="0" w:space="0" w:color="auto"/>
        <w:bottom w:val="none" w:sz="0" w:space="0" w:color="auto"/>
        <w:right w:val="none" w:sz="0" w:space="0" w:color="auto"/>
      </w:divBdr>
    </w:div>
    <w:div w:id="103816985">
      <w:bodyDiv w:val="1"/>
      <w:marLeft w:val="0"/>
      <w:marRight w:val="0"/>
      <w:marTop w:val="0"/>
      <w:marBottom w:val="0"/>
      <w:divBdr>
        <w:top w:val="none" w:sz="0" w:space="0" w:color="auto"/>
        <w:left w:val="none" w:sz="0" w:space="0" w:color="auto"/>
        <w:bottom w:val="none" w:sz="0" w:space="0" w:color="auto"/>
        <w:right w:val="none" w:sz="0" w:space="0" w:color="auto"/>
      </w:divBdr>
    </w:div>
    <w:div w:id="143358494">
      <w:bodyDiv w:val="1"/>
      <w:marLeft w:val="0"/>
      <w:marRight w:val="0"/>
      <w:marTop w:val="0"/>
      <w:marBottom w:val="0"/>
      <w:divBdr>
        <w:top w:val="none" w:sz="0" w:space="0" w:color="auto"/>
        <w:left w:val="none" w:sz="0" w:space="0" w:color="auto"/>
        <w:bottom w:val="none" w:sz="0" w:space="0" w:color="auto"/>
        <w:right w:val="none" w:sz="0" w:space="0" w:color="auto"/>
      </w:divBdr>
    </w:div>
    <w:div w:id="354423822">
      <w:bodyDiv w:val="1"/>
      <w:marLeft w:val="0"/>
      <w:marRight w:val="0"/>
      <w:marTop w:val="0"/>
      <w:marBottom w:val="0"/>
      <w:divBdr>
        <w:top w:val="none" w:sz="0" w:space="0" w:color="auto"/>
        <w:left w:val="none" w:sz="0" w:space="0" w:color="auto"/>
        <w:bottom w:val="none" w:sz="0" w:space="0" w:color="auto"/>
        <w:right w:val="none" w:sz="0" w:space="0" w:color="auto"/>
      </w:divBdr>
    </w:div>
    <w:div w:id="430321425">
      <w:bodyDiv w:val="1"/>
      <w:marLeft w:val="0"/>
      <w:marRight w:val="0"/>
      <w:marTop w:val="0"/>
      <w:marBottom w:val="0"/>
      <w:divBdr>
        <w:top w:val="none" w:sz="0" w:space="0" w:color="auto"/>
        <w:left w:val="none" w:sz="0" w:space="0" w:color="auto"/>
        <w:bottom w:val="none" w:sz="0" w:space="0" w:color="auto"/>
        <w:right w:val="none" w:sz="0" w:space="0" w:color="auto"/>
      </w:divBdr>
    </w:div>
    <w:div w:id="665520276">
      <w:bodyDiv w:val="1"/>
      <w:marLeft w:val="0"/>
      <w:marRight w:val="0"/>
      <w:marTop w:val="0"/>
      <w:marBottom w:val="0"/>
      <w:divBdr>
        <w:top w:val="none" w:sz="0" w:space="0" w:color="auto"/>
        <w:left w:val="none" w:sz="0" w:space="0" w:color="auto"/>
        <w:bottom w:val="none" w:sz="0" w:space="0" w:color="auto"/>
        <w:right w:val="none" w:sz="0" w:space="0" w:color="auto"/>
      </w:divBdr>
    </w:div>
    <w:div w:id="680935810">
      <w:bodyDiv w:val="1"/>
      <w:marLeft w:val="0"/>
      <w:marRight w:val="0"/>
      <w:marTop w:val="0"/>
      <w:marBottom w:val="0"/>
      <w:divBdr>
        <w:top w:val="none" w:sz="0" w:space="0" w:color="auto"/>
        <w:left w:val="none" w:sz="0" w:space="0" w:color="auto"/>
        <w:bottom w:val="none" w:sz="0" w:space="0" w:color="auto"/>
        <w:right w:val="none" w:sz="0" w:space="0" w:color="auto"/>
      </w:divBdr>
    </w:div>
    <w:div w:id="925071872">
      <w:bodyDiv w:val="1"/>
      <w:marLeft w:val="0"/>
      <w:marRight w:val="0"/>
      <w:marTop w:val="0"/>
      <w:marBottom w:val="0"/>
      <w:divBdr>
        <w:top w:val="none" w:sz="0" w:space="0" w:color="auto"/>
        <w:left w:val="none" w:sz="0" w:space="0" w:color="auto"/>
        <w:bottom w:val="none" w:sz="0" w:space="0" w:color="auto"/>
        <w:right w:val="none" w:sz="0" w:space="0" w:color="auto"/>
      </w:divBdr>
    </w:div>
    <w:div w:id="1003976877">
      <w:bodyDiv w:val="1"/>
      <w:marLeft w:val="0"/>
      <w:marRight w:val="0"/>
      <w:marTop w:val="0"/>
      <w:marBottom w:val="0"/>
      <w:divBdr>
        <w:top w:val="none" w:sz="0" w:space="0" w:color="auto"/>
        <w:left w:val="none" w:sz="0" w:space="0" w:color="auto"/>
        <w:bottom w:val="none" w:sz="0" w:space="0" w:color="auto"/>
        <w:right w:val="none" w:sz="0" w:space="0" w:color="auto"/>
      </w:divBdr>
    </w:div>
    <w:div w:id="1016269638">
      <w:bodyDiv w:val="1"/>
      <w:marLeft w:val="0"/>
      <w:marRight w:val="0"/>
      <w:marTop w:val="0"/>
      <w:marBottom w:val="0"/>
      <w:divBdr>
        <w:top w:val="none" w:sz="0" w:space="0" w:color="auto"/>
        <w:left w:val="none" w:sz="0" w:space="0" w:color="auto"/>
        <w:bottom w:val="none" w:sz="0" w:space="0" w:color="auto"/>
        <w:right w:val="none" w:sz="0" w:space="0" w:color="auto"/>
      </w:divBdr>
    </w:div>
    <w:div w:id="1059136942">
      <w:bodyDiv w:val="1"/>
      <w:marLeft w:val="0"/>
      <w:marRight w:val="0"/>
      <w:marTop w:val="0"/>
      <w:marBottom w:val="0"/>
      <w:divBdr>
        <w:top w:val="none" w:sz="0" w:space="0" w:color="auto"/>
        <w:left w:val="none" w:sz="0" w:space="0" w:color="auto"/>
        <w:bottom w:val="none" w:sz="0" w:space="0" w:color="auto"/>
        <w:right w:val="none" w:sz="0" w:space="0" w:color="auto"/>
      </w:divBdr>
    </w:div>
    <w:div w:id="1282566034">
      <w:bodyDiv w:val="1"/>
      <w:marLeft w:val="0"/>
      <w:marRight w:val="0"/>
      <w:marTop w:val="0"/>
      <w:marBottom w:val="0"/>
      <w:divBdr>
        <w:top w:val="none" w:sz="0" w:space="0" w:color="auto"/>
        <w:left w:val="none" w:sz="0" w:space="0" w:color="auto"/>
        <w:bottom w:val="none" w:sz="0" w:space="0" w:color="auto"/>
        <w:right w:val="none" w:sz="0" w:space="0" w:color="auto"/>
      </w:divBdr>
    </w:div>
    <w:div w:id="1721057334">
      <w:bodyDiv w:val="1"/>
      <w:marLeft w:val="0"/>
      <w:marRight w:val="0"/>
      <w:marTop w:val="0"/>
      <w:marBottom w:val="0"/>
      <w:divBdr>
        <w:top w:val="none" w:sz="0" w:space="0" w:color="auto"/>
        <w:left w:val="none" w:sz="0" w:space="0" w:color="auto"/>
        <w:bottom w:val="none" w:sz="0" w:space="0" w:color="auto"/>
        <w:right w:val="none" w:sz="0" w:space="0" w:color="auto"/>
      </w:divBdr>
    </w:div>
    <w:div w:id="1830779493">
      <w:bodyDiv w:val="1"/>
      <w:marLeft w:val="0"/>
      <w:marRight w:val="0"/>
      <w:marTop w:val="0"/>
      <w:marBottom w:val="0"/>
      <w:divBdr>
        <w:top w:val="none" w:sz="0" w:space="0" w:color="auto"/>
        <w:left w:val="none" w:sz="0" w:space="0" w:color="auto"/>
        <w:bottom w:val="none" w:sz="0" w:space="0" w:color="auto"/>
        <w:right w:val="none" w:sz="0" w:space="0" w:color="auto"/>
      </w:divBdr>
    </w:div>
    <w:div w:id="1848711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a0cfd4336131439c"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RW58XliHjuQ4Ei+cSps79xpB5Q==">AMUW2mVt004Phn/aBnJJ/XhpFWyaOnS5Yw5HTWE15Vx+sJZvNqp541KoPJkp+yMcpUsQ1VshtM5ij2+QG3vrW8zg6QIpHrB5+HK/ztKoAeujp6BodjbNgqHaITyEp82S34Oa3CluyK9z</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BF26-AF79-490E-B9DC-073FBA87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9DED4-81AD-4BE3-AEC7-D3708740AAB5}">
  <ds:schemaRefs>
    <ds:schemaRef ds:uri="http://schemas.microsoft.com/sharepoint/v3/contenttype/forms"/>
  </ds:schemaRefs>
</ds:datastoreItem>
</file>

<file path=customXml/itemProps3.xml><?xml version="1.0" encoding="utf-8"?>
<ds:datastoreItem xmlns:ds="http://schemas.openxmlformats.org/officeDocument/2006/customXml" ds:itemID="{DB23FF25-32B9-4B84-AD38-1160AE405A46}">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4881D67-CB58-46A0-AB50-72D6741D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3854</Words>
  <Characters>21969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7</cp:revision>
  <dcterms:created xsi:type="dcterms:W3CDTF">2023-06-14T14:56:00Z</dcterms:created>
  <dcterms:modified xsi:type="dcterms:W3CDTF">2023-09-14T21:01:00Z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d3c756ed4875f54ad5fdd8c9cc6c4dff50f2fe6f45c3076b6a987a6c0559daab</vt:lpwstr>
  </property>
  <property fmtid="{D5CDD505-2E9C-101B-9397-08002B2CF9AE}" pid="3" name="ContentTypeId">
    <vt:lpwstr>0x010100CCD5AFAD2AB8B04697BA6D3B76A92F30</vt:lpwstr>
  </property>
  <property fmtid="{D5CDD505-2E9C-101B-9397-08002B2CF9AE}" pid="4" name="MediaServiceImageTags">
    <vt:lpwstr/>
  </property>
</Properties>
</file>