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A13B3" w14:textId="77777777" w:rsidR="00285E2E" w:rsidRPr="00285E2E" w:rsidRDefault="00285E2E" w:rsidP="00285E2E">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line="240" w:lineRule="auto"/>
        <w:jc w:val="both"/>
        <w:rPr>
          <w:rFonts w:eastAsia="Times New Roman"/>
          <w:color w:val="FF0000"/>
          <w:spacing w:val="-4"/>
          <w:sz w:val="18"/>
          <w:szCs w:val="18"/>
          <w:lang w:val="es-419" w:eastAsia="fr-FR"/>
        </w:rPr>
      </w:pPr>
      <w:r w:rsidRPr="00285E2E">
        <w:rPr>
          <w:rFonts w:eastAsia="Times New Roman"/>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C72ABB1" w14:textId="77777777" w:rsidR="00285E2E" w:rsidRPr="00285E2E" w:rsidRDefault="00285E2E" w:rsidP="00285E2E">
      <w:pPr>
        <w:widowControl w:val="0"/>
        <w:autoSpaceDE w:val="0"/>
        <w:autoSpaceDN w:val="0"/>
        <w:spacing w:line="240" w:lineRule="auto"/>
        <w:jc w:val="both"/>
        <w:rPr>
          <w:rFonts w:eastAsia="Times New Roman"/>
          <w:sz w:val="20"/>
          <w:szCs w:val="20"/>
          <w:lang w:val="es-419" w:eastAsia="es-ES"/>
        </w:rPr>
      </w:pPr>
    </w:p>
    <w:p w14:paraId="06319446" w14:textId="50CB6A96" w:rsidR="00285E2E" w:rsidRPr="00285E2E" w:rsidRDefault="00E85876" w:rsidP="00285E2E">
      <w:pPr>
        <w:widowControl w:val="0"/>
        <w:autoSpaceDE w:val="0"/>
        <w:autoSpaceDN w:val="0"/>
        <w:spacing w:line="240" w:lineRule="auto"/>
        <w:jc w:val="both"/>
        <w:rPr>
          <w:rFonts w:eastAsia="Times New Roman"/>
          <w:sz w:val="20"/>
          <w:szCs w:val="20"/>
          <w:lang w:val="es-419" w:eastAsia="es-ES"/>
        </w:rPr>
      </w:pPr>
      <w:r w:rsidRPr="00285E2E">
        <w:rPr>
          <w:rFonts w:eastAsia="Times New Roman"/>
          <w:b/>
          <w:bCs/>
          <w:iCs/>
          <w:sz w:val="20"/>
          <w:szCs w:val="20"/>
          <w:u w:val="single"/>
          <w:lang w:val="es-419" w:eastAsia="fr-FR"/>
        </w:rPr>
        <w:t>TEMAS:</w:t>
      </w:r>
      <w:r w:rsidRPr="00285E2E">
        <w:rPr>
          <w:rFonts w:eastAsia="Times New Roman"/>
          <w:b/>
          <w:bCs/>
          <w:iCs/>
          <w:sz w:val="20"/>
          <w:szCs w:val="20"/>
          <w:lang w:val="es-419" w:eastAsia="fr-FR"/>
        </w:rPr>
        <w:tab/>
      </w:r>
      <w:r>
        <w:rPr>
          <w:rFonts w:eastAsia="Times New Roman"/>
          <w:b/>
          <w:bCs/>
          <w:iCs/>
          <w:sz w:val="20"/>
          <w:szCs w:val="20"/>
          <w:lang w:val="es-419" w:eastAsia="fr-FR"/>
        </w:rPr>
        <w:t>NULIDAD DE TESTAMENTO / MODALIDADES DE TESTAMENTO / CERRADO Y ANTE CINCO TESTIGOS / ÉSTOS NO PUEDE TENER PARENTESCO ENTRE SÍ / INCUMPLIMIENTO DEL REQUISITO GENERA LA NULIDAD DEL ACTO.</w:t>
      </w:r>
    </w:p>
    <w:p w14:paraId="3711F55B" w14:textId="77777777" w:rsidR="00285E2E" w:rsidRPr="00285E2E" w:rsidRDefault="00285E2E" w:rsidP="00285E2E">
      <w:pPr>
        <w:widowControl w:val="0"/>
        <w:autoSpaceDE w:val="0"/>
        <w:autoSpaceDN w:val="0"/>
        <w:spacing w:line="240" w:lineRule="auto"/>
        <w:jc w:val="both"/>
        <w:rPr>
          <w:rFonts w:eastAsia="Times New Roman"/>
          <w:sz w:val="20"/>
          <w:szCs w:val="20"/>
          <w:lang w:val="es-ES" w:eastAsia="es-ES"/>
        </w:rPr>
      </w:pPr>
    </w:p>
    <w:p w14:paraId="46FE792D" w14:textId="60917AC7" w:rsidR="00285E2E" w:rsidRPr="00285E2E" w:rsidRDefault="006A6A8A" w:rsidP="00285E2E">
      <w:pPr>
        <w:tabs>
          <w:tab w:val="left" w:pos="2175"/>
          <w:tab w:val="center" w:pos="4420"/>
          <w:tab w:val="right" w:pos="8838"/>
        </w:tabs>
        <w:overflowPunct w:val="0"/>
        <w:autoSpaceDE w:val="0"/>
        <w:autoSpaceDN w:val="0"/>
        <w:adjustRightInd w:val="0"/>
        <w:spacing w:line="240" w:lineRule="auto"/>
        <w:jc w:val="both"/>
        <w:textAlignment w:val="baseline"/>
        <w:rPr>
          <w:rFonts w:eastAsia="Times New Roman"/>
          <w:sz w:val="20"/>
          <w:szCs w:val="20"/>
          <w:lang w:val="es-ES" w:eastAsia="es-ES"/>
        </w:rPr>
      </w:pPr>
      <w:r w:rsidRPr="006A6A8A">
        <w:rPr>
          <w:rFonts w:eastAsia="Times New Roman"/>
          <w:sz w:val="20"/>
          <w:szCs w:val="20"/>
          <w:lang w:val="es-ES" w:eastAsia="es-ES"/>
        </w:rPr>
        <w:t xml:space="preserve">El asunto se contrae, como se anunció, a la invalidez del testamento que contiene la escritura pública número 022 del 29 de enero de 2020 de la Notaría Única de </w:t>
      </w:r>
      <w:proofErr w:type="spellStart"/>
      <w:r w:rsidRPr="006A6A8A">
        <w:rPr>
          <w:rFonts w:eastAsia="Times New Roman"/>
          <w:sz w:val="20"/>
          <w:szCs w:val="20"/>
          <w:lang w:val="es-ES" w:eastAsia="es-ES"/>
        </w:rPr>
        <w:t>Quinchía</w:t>
      </w:r>
      <w:proofErr w:type="spellEnd"/>
      <w:r>
        <w:rPr>
          <w:rFonts w:eastAsia="Times New Roman"/>
          <w:sz w:val="20"/>
          <w:szCs w:val="20"/>
          <w:lang w:val="es-ES" w:eastAsia="es-ES"/>
        </w:rPr>
        <w:t>…</w:t>
      </w:r>
      <w:r w:rsidRPr="006A6A8A">
        <w:rPr>
          <w:rFonts w:eastAsia="Times New Roman"/>
          <w:sz w:val="20"/>
          <w:szCs w:val="20"/>
          <w:lang w:val="es-ES" w:eastAsia="es-ES"/>
        </w:rPr>
        <w:t xml:space="preserve"> porque se incurrió en la prohibición prevista en el numeral 15 del a</w:t>
      </w:r>
      <w:r>
        <w:rPr>
          <w:rFonts w:eastAsia="Times New Roman"/>
          <w:sz w:val="20"/>
          <w:szCs w:val="20"/>
          <w:lang w:val="es-ES" w:eastAsia="es-ES"/>
        </w:rPr>
        <w:t>rtículo 1068 del Código Civil.</w:t>
      </w:r>
    </w:p>
    <w:p w14:paraId="2B7B9A60" w14:textId="77777777" w:rsidR="00285E2E" w:rsidRPr="00285E2E" w:rsidRDefault="00285E2E" w:rsidP="00285E2E">
      <w:pPr>
        <w:tabs>
          <w:tab w:val="left" w:pos="2175"/>
          <w:tab w:val="center" w:pos="4420"/>
          <w:tab w:val="right" w:pos="8838"/>
        </w:tabs>
        <w:overflowPunct w:val="0"/>
        <w:autoSpaceDE w:val="0"/>
        <w:autoSpaceDN w:val="0"/>
        <w:adjustRightInd w:val="0"/>
        <w:spacing w:line="240" w:lineRule="auto"/>
        <w:jc w:val="both"/>
        <w:textAlignment w:val="baseline"/>
        <w:rPr>
          <w:rFonts w:eastAsia="Times New Roman"/>
          <w:sz w:val="20"/>
          <w:szCs w:val="20"/>
          <w:lang w:val="es-ES" w:eastAsia="es-ES"/>
        </w:rPr>
      </w:pPr>
    </w:p>
    <w:p w14:paraId="3FDE2559" w14:textId="27A77DCA" w:rsidR="00285E2E" w:rsidRPr="00285E2E" w:rsidRDefault="006A6A8A" w:rsidP="00285E2E">
      <w:pPr>
        <w:tabs>
          <w:tab w:val="left" w:pos="2175"/>
          <w:tab w:val="center" w:pos="4420"/>
          <w:tab w:val="right" w:pos="8838"/>
        </w:tabs>
        <w:overflowPunct w:val="0"/>
        <w:autoSpaceDE w:val="0"/>
        <w:autoSpaceDN w:val="0"/>
        <w:adjustRightInd w:val="0"/>
        <w:spacing w:line="240" w:lineRule="auto"/>
        <w:jc w:val="both"/>
        <w:textAlignment w:val="baseline"/>
        <w:rPr>
          <w:rFonts w:eastAsia="Times New Roman"/>
          <w:sz w:val="20"/>
          <w:szCs w:val="20"/>
          <w:lang w:val="es-ES" w:eastAsia="es-ES"/>
        </w:rPr>
      </w:pPr>
      <w:r>
        <w:rPr>
          <w:rFonts w:eastAsia="Times New Roman"/>
          <w:sz w:val="20"/>
          <w:szCs w:val="20"/>
          <w:lang w:val="es-ES" w:eastAsia="es-ES"/>
        </w:rPr>
        <w:t xml:space="preserve">… </w:t>
      </w:r>
      <w:r w:rsidRPr="006A6A8A">
        <w:rPr>
          <w:rFonts w:eastAsia="Times New Roman"/>
          <w:sz w:val="20"/>
          <w:szCs w:val="20"/>
          <w:lang w:val="es-ES" w:eastAsia="es-ES"/>
        </w:rPr>
        <w:t>un testamento contiene la expresión de la voluntad de una persona para que se haga valer después de su muerte; para que tenga “pleno efecto”, dice la norma (art. 1055 C.C.), al terminar sus días. Esa manifestación, desarrolla aquella potestad del propietario de disponer de sus bienes a su arbitrio, siempre que con ello no afecte derechos ajenos</w:t>
      </w:r>
      <w:r>
        <w:rPr>
          <w:rFonts w:eastAsia="Times New Roman"/>
          <w:sz w:val="20"/>
          <w:szCs w:val="20"/>
          <w:lang w:val="es-ES" w:eastAsia="es-ES"/>
        </w:rPr>
        <w:t>…</w:t>
      </w:r>
    </w:p>
    <w:p w14:paraId="484BA451" w14:textId="77777777" w:rsidR="00285E2E" w:rsidRPr="00285E2E" w:rsidRDefault="00285E2E" w:rsidP="00285E2E">
      <w:pPr>
        <w:tabs>
          <w:tab w:val="left" w:pos="2175"/>
          <w:tab w:val="center" w:pos="4420"/>
          <w:tab w:val="right" w:pos="8838"/>
        </w:tabs>
        <w:overflowPunct w:val="0"/>
        <w:autoSpaceDE w:val="0"/>
        <w:autoSpaceDN w:val="0"/>
        <w:adjustRightInd w:val="0"/>
        <w:spacing w:line="240" w:lineRule="auto"/>
        <w:jc w:val="both"/>
        <w:textAlignment w:val="baseline"/>
        <w:rPr>
          <w:rFonts w:eastAsia="Times New Roman"/>
          <w:sz w:val="20"/>
          <w:szCs w:val="20"/>
          <w:lang w:val="es-ES" w:eastAsia="es-ES"/>
        </w:rPr>
      </w:pPr>
    </w:p>
    <w:p w14:paraId="18EBA13A" w14:textId="78C90DCD" w:rsidR="00285E2E" w:rsidRPr="00347AC5" w:rsidRDefault="00347AC5" w:rsidP="00347AC5">
      <w:pPr>
        <w:tabs>
          <w:tab w:val="left" w:pos="2175"/>
          <w:tab w:val="center" w:pos="4420"/>
          <w:tab w:val="right" w:pos="8838"/>
        </w:tabs>
        <w:overflowPunct w:val="0"/>
        <w:autoSpaceDE w:val="0"/>
        <w:autoSpaceDN w:val="0"/>
        <w:adjustRightInd w:val="0"/>
        <w:spacing w:line="240" w:lineRule="auto"/>
        <w:jc w:val="both"/>
        <w:textAlignment w:val="baseline"/>
        <w:rPr>
          <w:rFonts w:eastAsia="Times New Roman"/>
          <w:sz w:val="20"/>
          <w:szCs w:val="20"/>
          <w:lang w:val="es-ES" w:eastAsia="es-ES"/>
        </w:rPr>
      </w:pPr>
      <w:r w:rsidRPr="00347AC5">
        <w:rPr>
          <w:rFonts w:eastAsia="Times New Roman"/>
          <w:sz w:val="20"/>
          <w:szCs w:val="20"/>
          <w:lang w:val="es-ES" w:eastAsia="es-ES"/>
        </w:rPr>
        <w:t>Esas mismas circunstancias hacen que la ley tenga el acto de testar como más o menos solemne, según las condiciones en que se halle el otorgante. Entre las modalidades de testamento solemne está el cerrado que se otorga ante notario y en presencia de cinco testigos (Art. 1078 C.C.), quienes no podrán tener, con otro de los testigos, parentesco dentro del tercer grado de consanguinidad o segundo de afinidad (Núm. 12 y 15, Art. 1068 C.C.).</w:t>
      </w:r>
    </w:p>
    <w:p w14:paraId="2294F3D5" w14:textId="6176E75D" w:rsidR="00285E2E" w:rsidRDefault="00285E2E" w:rsidP="00285E2E">
      <w:pPr>
        <w:tabs>
          <w:tab w:val="left" w:pos="2175"/>
          <w:tab w:val="center" w:pos="4420"/>
          <w:tab w:val="right" w:pos="8838"/>
        </w:tabs>
        <w:overflowPunct w:val="0"/>
        <w:autoSpaceDE w:val="0"/>
        <w:autoSpaceDN w:val="0"/>
        <w:adjustRightInd w:val="0"/>
        <w:spacing w:line="240" w:lineRule="auto"/>
        <w:jc w:val="both"/>
        <w:textAlignment w:val="baseline"/>
        <w:rPr>
          <w:rFonts w:eastAsia="Times New Roman"/>
          <w:sz w:val="20"/>
          <w:szCs w:val="20"/>
          <w:lang w:val="es-ES" w:eastAsia="es-ES"/>
        </w:rPr>
      </w:pPr>
    </w:p>
    <w:p w14:paraId="3632DCA8" w14:textId="46DF0C11" w:rsidR="00F93CED" w:rsidRPr="00F93CED" w:rsidRDefault="00F93CED" w:rsidP="00F93CED">
      <w:pPr>
        <w:tabs>
          <w:tab w:val="left" w:pos="2175"/>
          <w:tab w:val="center" w:pos="4420"/>
          <w:tab w:val="right" w:pos="8838"/>
        </w:tabs>
        <w:overflowPunct w:val="0"/>
        <w:autoSpaceDE w:val="0"/>
        <w:autoSpaceDN w:val="0"/>
        <w:adjustRightInd w:val="0"/>
        <w:spacing w:line="240" w:lineRule="auto"/>
        <w:jc w:val="both"/>
        <w:textAlignment w:val="baseline"/>
        <w:rPr>
          <w:rFonts w:eastAsia="Times New Roman"/>
          <w:sz w:val="20"/>
          <w:szCs w:val="20"/>
          <w:lang w:val="es-ES" w:eastAsia="es-ES"/>
        </w:rPr>
      </w:pPr>
      <w:r w:rsidRPr="00F93CED">
        <w:rPr>
          <w:rFonts w:eastAsia="Times New Roman"/>
          <w:sz w:val="20"/>
          <w:szCs w:val="20"/>
          <w:lang w:val="es-ES" w:eastAsia="es-ES"/>
        </w:rPr>
        <w:t>En el caso concreto, los testigos que presenciaron y suscribieron la escritura que contiene el testamento de marras, son todos familiares con la consanguinidad y la afinidad que los inhabilita para cumplir ese rol</w:t>
      </w:r>
      <w:r>
        <w:rPr>
          <w:rFonts w:eastAsia="Times New Roman"/>
          <w:sz w:val="20"/>
          <w:szCs w:val="20"/>
          <w:lang w:val="es-ES" w:eastAsia="es-ES"/>
        </w:rPr>
        <w:t>…</w:t>
      </w:r>
      <w:r w:rsidRPr="00F93CED">
        <w:rPr>
          <w:rFonts w:eastAsia="Times New Roman"/>
          <w:sz w:val="20"/>
          <w:szCs w:val="20"/>
          <w:lang w:val="es-ES" w:eastAsia="es-ES"/>
        </w:rPr>
        <w:t xml:space="preserve"> </w:t>
      </w:r>
    </w:p>
    <w:p w14:paraId="5847EE4C" w14:textId="77777777" w:rsidR="00F93CED" w:rsidRPr="00F93CED" w:rsidRDefault="00F93CED" w:rsidP="00F93CED">
      <w:pPr>
        <w:tabs>
          <w:tab w:val="left" w:pos="2175"/>
          <w:tab w:val="center" w:pos="4420"/>
          <w:tab w:val="right" w:pos="8838"/>
        </w:tabs>
        <w:overflowPunct w:val="0"/>
        <w:autoSpaceDE w:val="0"/>
        <w:autoSpaceDN w:val="0"/>
        <w:adjustRightInd w:val="0"/>
        <w:spacing w:line="240" w:lineRule="auto"/>
        <w:jc w:val="both"/>
        <w:textAlignment w:val="baseline"/>
        <w:rPr>
          <w:rFonts w:eastAsia="Times New Roman"/>
          <w:sz w:val="20"/>
          <w:szCs w:val="20"/>
          <w:lang w:val="es-ES" w:eastAsia="es-ES"/>
        </w:rPr>
      </w:pPr>
    </w:p>
    <w:p w14:paraId="2996B813" w14:textId="41D4AE47" w:rsidR="00347AC5" w:rsidRDefault="00F93CED" w:rsidP="00F93CED">
      <w:pPr>
        <w:tabs>
          <w:tab w:val="left" w:pos="2175"/>
          <w:tab w:val="center" w:pos="4420"/>
          <w:tab w:val="right" w:pos="8838"/>
        </w:tabs>
        <w:overflowPunct w:val="0"/>
        <w:autoSpaceDE w:val="0"/>
        <w:autoSpaceDN w:val="0"/>
        <w:adjustRightInd w:val="0"/>
        <w:spacing w:line="240" w:lineRule="auto"/>
        <w:jc w:val="both"/>
        <w:textAlignment w:val="baseline"/>
        <w:rPr>
          <w:rFonts w:eastAsia="Times New Roman"/>
          <w:sz w:val="20"/>
          <w:szCs w:val="20"/>
          <w:lang w:val="es-ES" w:eastAsia="es-ES"/>
        </w:rPr>
      </w:pPr>
      <w:r w:rsidRPr="00F93CED">
        <w:rPr>
          <w:rFonts w:eastAsia="Times New Roman"/>
          <w:sz w:val="20"/>
          <w:szCs w:val="20"/>
          <w:lang w:val="es-ES" w:eastAsia="es-ES"/>
        </w:rPr>
        <w:t>El parentesco está debidamente acreditado</w:t>
      </w:r>
      <w:r w:rsidR="00E85876">
        <w:rPr>
          <w:rFonts w:eastAsia="Times New Roman"/>
          <w:sz w:val="20"/>
          <w:szCs w:val="20"/>
          <w:lang w:val="es-ES" w:eastAsia="es-ES"/>
        </w:rPr>
        <w:t>…</w:t>
      </w:r>
      <w:r w:rsidRPr="00F93CED">
        <w:rPr>
          <w:rFonts w:eastAsia="Times New Roman"/>
          <w:sz w:val="20"/>
          <w:szCs w:val="20"/>
          <w:lang w:val="es-ES" w:eastAsia="es-ES"/>
        </w:rPr>
        <w:t xml:space="preserve"> En consecuencia, refulgen la nulidad invocada en la demanda, consagrada en el artículo 11 de la Ley 95 de 1890</w:t>
      </w:r>
      <w:r>
        <w:rPr>
          <w:rFonts w:eastAsia="Times New Roman"/>
          <w:sz w:val="20"/>
          <w:szCs w:val="20"/>
          <w:lang w:val="es-ES" w:eastAsia="es-ES"/>
        </w:rPr>
        <w:t>…</w:t>
      </w:r>
    </w:p>
    <w:p w14:paraId="7FB406C1" w14:textId="3874117A" w:rsidR="00347AC5" w:rsidRDefault="00347AC5" w:rsidP="00285E2E">
      <w:pPr>
        <w:tabs>
          <w:tab w:val="left" w:pos="2175"/>
          <w:tab w:val="center" w:pos="4420"/>
          <w:tab w:val="right" w:pos="8838"/>
        </w:tabs>
        <w:overflowPunct w:val="0"/>
        <w:autoSpaceDE w:val="0"/>
        <w:autoSpaceDN w:val="0"/>
        <w:adjustRightInd w:val="0"/>
        <w:spacing w:line="240" w:lineRule="auto"/>
        <w:jc w:val="both"/>
        <w:textAlignment w:val="baseline"/>
        <w:rPr>
          <w:rFonts w:eastAsia="Times New Roman"/>
          <w:sz w:val="20"/>
          <w:szCs w:val="20"/>
          <w:lang w:val="es-ES" w:eastAsia="es-ES"/>
        </w:rPr>
      </w:pPr>
    </w:p>
    <w:p w14:paraId="57CF366F" w14:textId="77777777" w:rsidR="00347AC5" w:rsidRPr="00285E2E" w:rsidRDefault="00347AC5" w:rsidP="00285E2E">
      <w:pPr>
        <w:tabs>
          <w:tab w:val="left" w:pos="2175"/>
          <w:tab w:val="center" w:pos="4420"/>
          <w:tab w:val="right" w:pos="8838"/>
        </w:tabs>
        <w:overflowPunct w:val="0"/>
        <w:autoSpaceDE w:val="0"/>
        <w:autoSpaceDN w:val="0"/>
        <w:adjustRightInd w:val="0"/>
        <w:spacing w:line="240" w:lineRule="auto"/>
        <w:jc w:val="both"/>
        <w:textAlignment w:val="baseline"/>
        <w:rPr>
          <w:rFonts w:eastAsia="Times New Roman"/>
          <w:sz w:val="20"/>
          <w:szCs w:val="20"/>
          <w:lang w:val="es-ES" w:eastAsia="es-ES"/>
        </w:rPr>
      </w:pPr>
    </w:p>
    <w:p w14:paraId="475AE9FA" w14:textId="77777777" w:rsidR="00285E2E" w:rsidRPr="00285E2E" w:rsidRDefault="00285E2E" w:rsidP="00285E2E">
      <w:pPr>
        <w:tabs>
          <w:tab w:val="left" w:pos="2175"/>
          <w:tab w:val="center" w:pos="4420"/>
          <w:tab w:val="right" w:pos="8838"/>
        </w:tabs>
        <w:overflowPunct w:val="0"/>
        <w:autoSpaceDE w:val="0"/>
        <w:autoSpaceDN w:val="0"/>
        <w:adjustRightInd w:val="0"/>
        <w:spacing w:line="240" w:lineRule="auto"/>
        <w:jc w:val="both"/>
        <w:textAlignment w:val="baseline"/>
        <w:rPr>
          <w:rFonts w:eastAsia="Times New Roman"/>
          <w:sz w:val="20"/>
          <w:szCs w:val="20"/>
          <w:lang w:val="es-ES" w:eastAsia="es-ES"/>
        </w:rPr>
      </w:pPr>
    </w:p>
    <w:p w14:paraId="3759B8F8" w14:textId="2385248B" w:rsidR="007D1DA7" w:rsidRPr="00285E2E" w:rsidRDefault="00314809" w:rsidP="00285E2E">
      <w:pPr>
        <w:tabs>
          <w:tab w:val="center" w:pos="4419"/>
          <w:tab w:val="right" w:pos="8838"/>
        </w:tabs>
        <w:jc w:val="center"/>
        <w:rPr>
          <w:rFonts w:ascii="Gadugi" w:eastAsia="Bookman Old Style" w:hAnsi="Gadugi" w:cs="Bookman Old Style"/>
          <w:b/>
          <w:sz w:val="24"/>
          <w:szCs w:val="24"/>
        </w:rPr>
      </w:pPr>
      <w:r w:rsidRPr="00285E2E">
        <w:rPr>
          <w:rFonts w:ascii="Gadugi" w:eastAsia="Calibri" w:hAnsi="Gadugi" w:cs="Calibri"/>
          <w:noProof/>
          <w:sz w:val="24"/>
          <w:szCs w:val="24"/>
          <w:lang w:val="en-US" w:eastAsia="en-US"/>
        </w:rPr>
        <w:drawing>
          <wp:inline distT="0" distB="0" distL="0" distR="0" wp14:anchorId="6CEF819F" wp14:editId="3B4C9C49">
            <wp:extent cx="1162050" cy="5905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162050" cy="590550"/>
                    </a:xfrm>
                    <a:prstGeom prst="rect">
                      <a:avLst/>
                    </a:prstGeom>
                    <a:ln/>
                  </pic:spPr>
                </pic:pic>
              </a:graphicData>
            </a:graphic>
          </wp:inline>
        </w:drawing>
      </w:r>
    </w:p>
    <w:p w14:paraId="0819E0A8" w14:textId="77777777" w:rsidR="007D1DA7" w:rsidRPr="00285E2E" w:rsidRDefault="00314809" w:rsidP="00285E2E">
      <w:pPr>
        <w:tabs>
          <w:tab w:val="center" w:pos="4419"/>
          <w:tab w:val="right" w:pos="8838"/>
        </w:tabs>
        <w:jc w:val="center"/>
        <w:rPr>
          <w:rFonts w:ascii="Gadugi" w:eastAsia="Bookman Old Style" w:hAnsi="Gadugi" w:cs="Bookman Old Style"/>
          <w:b/>
          <w:sz w:val="24"/>
          <w:szCs w:val="24"/>
        </w:rPr>
      </w:pPr>
      <w:r w:rsidRPr="00285E2E">
        <w:rPr>
          <w:rFonts w:ascii="Gadugi" w:eastAsia="Bookman Old Style" w:hAnsi="Gadugi" w:cs="Bookman Old Style"/>
          <w:b/>
          <w:sz w:val="24"/>
          <w:szCs w:val="24"/>
        </w:rPr>
        <w:t>TRIBUNAL SUPERIOR DEL DISTRITO JUDICIAL</w:t>
      </w:r>
    </w:p>
    <w:p w14:paraId="63CC4959" w14:textId="77777777" w:rsidR="007D1DA7" w:rsidRPr="00285E2E" w:rsidRDefault="00314809" w:rsidP="00285E2E">
      <w:pPr>
        <w:tabs>
          <w:tab w:val="center" w:pos="4419"/>
          <w:tab w:val="right" w:pos="8838"/>
        </w:tabs>
        <w:jc w:val="center"/>
        <w:rPr>
          <w:rFonts w:ascii="Gadugi" w:eastAsia="Bookman Old Style" w:hAnsi="Gadugi" w:cs="Bookman Old Style"/>
          <w:b/>
          <w:sz w:val="24"/>
          <w:szCs w:val="24"/>
        </w:rPr>
      </w:pPr>
      <w:r w:rsidRPr="00285E2E">
        <w:rPr>
          <w:rFonts w:ascii="Gadugi" w:eastAsia="Bookman Old Style" w:hAnsi="Gadugi" w:cs="Bookman Old Style"/>
          <w:b/>
          <w:sz w:val="24"/>
          <w:szCs w:val="24"/>
        </w:rPr>
        <w:t>PEREIRA</w:t>
      </w:r>
    </w:p>
    <w:p w14:paraId="2F26BDA4" w14:textId="77777777" w:rsidR="007D1DA7" w:rsidRPr="00285E2E" w:rsidRDefault="00314809" w:rsidP="00285E2E">
      <w:pPr>
        <w:tabs>
          <w:tab w:val="center" w:pos="4419"/>
          <w:tab w:val="right" w:pos="8838"/>
        </w:tabs>
        <w:jc w:val="center"/>
        <w:rPr>
          <w:rFonts w:ascii="Gadugi" w:eastAsia="Georgia" w:hAnsi="Gadugi" w:cs="Georgia"/>
          <w:b/>
          <w:sz w:val="24"/>
          <w:szCs w:val="24"/>
        </w:rPr>
      </w:pPr>
      <w:r w:rsidRPr="00285E2E">
        <w:rPr>
          <w:rFonts w:ascii="Gadugi" w:eastAsia="Bookman Old Style" w:hAnsi="Gadugi" w:cs="Bookman Old Style"/>
          <w:b/>
          <w:sz w:val="24"/>
          <w:szCs w:val="24"/>
        </w:rPr>
        <w:t>SALA CIVIL-FAMILIA</w:t>
      </w:r>
    </w:p>
    <w:p w14:paraId="576C8C85" w14:textId="74099135" w:rsidR="007D1DA7" w:rsidRPr="00285E2E" w:rsidRDefault="007D1DA7" w:rsidP="00285E2E">
      <w:pPr>
        <w:tabs>
          <w:tab w:val="left" w:pos="3261"/>
        </w:tabs>
        <w:ind w:firstLine="1701"/>
        <w:jc w:val="both"/>
        <w:rPr>
          <w:rFonts w:ascii="Gadugi" w:eastAsia="Georgia" w:hAnsi="Gadugi" w:cs="Georgia"/>
          <w:b/>
          <w:sz w:val="24"/>
          <w:szCs w:val="24"/>
        </w:rPr>
      </w:pPr>
    </w:p>
    <w:p w14:paraId="2E148C40" w14:textId="4E4836E5" w:rsidR="00881083" w:rsidRPr="00285E2E" w:rsidRDefault="003237DD" w:rsidP="00285E2E">
      <w:pPr>
        <w:tabs>
          <w:tab w:val="left" w:pos="3261"/>
        </w:tabs>
        <w:jc w:val="center"/>
        <w:rPr>
          <w:rFonts w:ascii="Gadugi" w:eastAsia="Georgia" w:hAnsi="Gadugi" w:cs="Georgia"/>
          <w:b/>
          <w:sz w:val="24"/>
          <w:szCs w:val="24"/>
        </w:rPr>
      </w:pPr>
      <w:r w:rsidRPr="00285E2E">
        <w:rPr>
          <w:rFonts w:ascii="Gadugi" w:eastAsia="Georgia" w:hAnsi="Gadugi" w:cs="Georgia"/>
          <w:b/>
          <w:sz w:val="24"/>
          <w:szCs w:val="24"/>
        </w:rPr>
        <w:t>SF-</w:t>
      </w:r>
      <w:r w:rsidR="00BF6154" w:rsidRPr="00285E2E">
        <w:rPr>
          <w:rFonts w:ascii="Gadugi" w:eastAsia="Georgia" w:hAnsi="Gadugi" w:cs="Georgia"/>
          <w:b/>
          <w:sz w:val="24"/>
          <w:szCs w:val="24"/>
        </w:rPr>
        <w:t>0010-2023</w:t>
      </w:r>
    </w:p>
    <w:p w14:paraId="2239D2A2" w14:textId="77777777" w:rsidR="003237DD" w:rsidRPr="00285E2E" w:rsidRDefault="003237DD" w:rsidP="00285E2E">
      <w:pPr>
        <w:tabs>
          <w:tab w:val="left" w:pos="3686"/>
          <w:tab w:val="left" w:pos="4536"/>
        </w:tabs>
        <w:ind w:right="-142" w:firstLine="1701"/>
        <w:jc w:val="both"/>
        <w:rPr>
          <w:rFonts w:ascii="Gadugi" w:eastAsia="Georgia" w:hAnsi="Gadugi" w:cs="Georgia"/>
          <w:sz w:val="24"/>
          <w:szCs w:val="24"/>
        </w:rPr>
      </w:pPr>
    </w:p>
    <w:p w14:paraId="7A57BC0E" w14:textId="6E96975E" w:rsidR="007D1DA7" w:rsidRPr="00285E2E" w:rsidRDefault="00314809" w:rsidP="00285E2E">
      <w:pPr>
        <w:tabs>
          <w:tab w:val="left" w:pos="3686"/>
          <w:tab w:val="left" w:pos="4536"/>
        </w:tabs>
        <w:spacing w:line="240" w:lineRule="auto"/>
        <w:ind w:right="-142" w:firstLine="1701"/>
        <w:jc w:val="both"/>
        <w:rPr>
          <w:rFonts w:ascii="Gadugi" w:eastAsia="Georgia" w:hAnsi="Gadugi" w:cs="Georgia"/>
          <w:sz w:val="24"/>
          <w:szCs w:val="24"/>
        </w:rPr>
      </w:pPr>
      <w:r w:rsidRPr="00285E2E">
        <w:rPr>
          <w:rFonts w:ascii="Gadugi" w:eastAsia="Georgia" w:hAnsi="Gadugi" w:cs="Georgia"/>
          <w:sz w:val="24"/>
          <w:szCs w:val="24"/>
        </w:rPr>
        <w:t xml:space="preserve">Magistrado: </w:t>
      </w:r>
      <w:r w:rsidRPr="00285E2E">
        <w:rPr>
          <w:rFonts w:ascii="Gadugi" w:eastAsia="Georgia" w:hAnsi="Gadugi" w:cs="Georgia"/>
          <w:sz w:val="24"/>
          <w:szCs w:val="24"/>
        </w:rPr>
        <w:tab/>
        <w:t>Jaime Alberto Saraza Naranjo</w:t>
      </w:r>
    </w:p>
    <w:p w14:paraId="12D65AF4" w14:textId="20511493" w:rsidR="007D1DA7" w:rsidRPr="00285E2E" w:rsidRDefault="00314809" w:rsidP="00285E2E">
      <w:pPr>
        <w:tabs>
          <w:tab w:val="left" w:pos="3686"/>
          <w:tab w:val="left" w:pos="4536"/>
        </w:tabs>
        <w:spacing w:line="240" w:lineRule="auto"/>
        <w:ind w:right="-142" w:firstLine="1701"/>
        <w:jc w:val="both"/>
        <w:rPr>
          <w:rFonts w:ascii="Gadugi" w:eastAsia="Georgia" w:hAnsi="Gadugi" w:cs="Georgia"/>
          <w:sz w:val="24"/>
          <w:szCs w:val="24"/>
        </w:rPr>
      </w:pPr>
      <w:r w:rsidRPr="00285E2E">
        <w:rPr>
          <w:rFonts w:ascii="Gadugi" w:eastAsia="Georgia" w:hAnsi="Gadugi" w:cs="Georgia"/>
          <w:sz w:val="24"/>
          <w:szCs w:val="24"/>
        </w:rPr>
        <w:t xml:space="preserve">Pereira, </w:t>
      </w:r>
      <w:r w:rsidRPr="00285E2E">
        <w:rPr>
          <w:rFonts w:ascii="Gadugi" w:eastAsia="Georgia" w:hAnsi="Gadugi" w:cs="Georgia"/>
          <w:sz w:val="24"/>
          <w:szCs w:val="24"/>
        </w:rPr>
        <w:tab/>
      </w:r>
      <w:r w:rsidR="00BF6154" w:rsidRPr="00285E2E">
        <w:rPr>
          <w:rFonts w:ascii="Gadugi" w:eastAsia="Georgia" w:hAnsi="Gadugi" w:cs="Georgia"/>
          <w:sz w:val="24"/>
          <w:szCs w:val="24"/>
        </w:rPr>
        <w:t xml:space="preserve">junio dieciséis de dos mil veintitrés </w:t>
      </w:r>
      <w:r w:rsidR="00881083" w:rsidRPr="00285E2E">
        <w:rPr>
          <w:rFonts w:ascii="Gadugi" w:eastAsia="Georgia" w:hAnsi="Gadugi" w:cs="Georgia"/>
          <w:sz w:val="24"/>
          <w:szCs w:val="24"/>
        </w:rPr>
        <w:t xml:space="preserve"> </w:t>
      </w:r>
      <w:r w:rsidR="004E3918" w:rsidRPr="00285E2E">
        <w:rPr>
          <w:rFonts w:ascii="Gadugi" w:eastAsia="Georgia" w:hAnsi="Gadugi" w:cs="Georgia"/>
          <w:sz w:val="24"/>
          <w:szCs w:val="24"/>
        </w:rPr>
        <w:t xml:space="preserve"> </w:t>
      </w:r>
    </w:p>
    <w:p w14:paraId="446BEB7A" w14:textId="4BEFA299" w:rsidR="007D1DA7" w:rsidRPr="00285E2E" w:rsidRDefault="00314809" w:rsidP="00285E2E">
      <w:pPr>
        <w:tabs>
          <w:tab w:val="left" w:pos="3686"/>
          <w:tab w:val="left" w:pos="4536"/>
        </w:tabs>
        <w:spacing w:line="240" w:lineRule="auto"/>
        <w:ind w:right="-142" w:firstLine="1701"/>
        <w:jc w:val="both"/>
        <w:rPr>
          <w:rFonts w:ascii="Gadugi" w:eastAsia="Georgia" w:hAnsi="Gadugi" w:cs="Georgia"/>
          <w:sz w:val="24"/>
          <w:szCs w:val="24"/>
        </w:rPr>
      </w:pPr>
      <w:r w:rsidRPr="00285E2E">
        <w:rPr>
          <w:rFonts w:ascii="Gadugi" w:eastAsia="Georgia" w:hAnsi="Gadugi" w:cs="Georgia"/>
          <w:sz w:val="24"/>
          <w:szCs w:val="24"/>
        </w:rPr>
        <w:t xml:space="preserve">Expediente:  </w:t>
      </w:r>
      <w:r w:rsidRPr="00285E2E">
        <w:rPr>
          <w:rFonts w:ascii="Gadugi" w:eastAsia="Georgia" w:hAnsi="Gadugi" w:cs="Georgia"/>
          <w:sz w:val="24"/>
          <w:szCs w:val="24"/>
        </w:rPr>
        <w:tab/>
      </w:r>
      <w:r w:rsidR="00086193" w:rsidRPr="00285E2E">
        <w:rPr>
          <w:rFonts w:ascii="Gadugi" w:eastAsia="Georgia" w:hAnsi="Gadugi" w:cs="Georgia"/>
          <w:sz w:val="24"/>
          <w:szCs w:val="24"/>
        </w:rPr>
        <w:t>66594318900120210003101</w:t>
      </w:r>
    </w:p>
    <w:p w14:paraId="7B3580EE" w14:textId="71F19D93" w:rsidR="007D1DA7" w:rsidRPr="00285E2E" w:rsidRDefault="00314809" w:rsidP="00285E2E">
      <w:pPr>
        <w:tabs>
          <w:tab w:val="left" w:pos="3686"/>
          <w:tab w:val="left" w:pos="4536"/>
        </w:tabs>
        <w:spacing w:line="240" w:lineRule="auto"/>
        <w:ind w:right="-142" w:firstLine="1701"/>
        <w:jc w:val="both"/>
        <w:rPr>
          <w:rFonts w:ascii="Gadugi" w:eastAsia="Georgia" w:hAnsi="Gadugi" w:cs="Georgia"/>
          <w:sz w:val="24"/>
          <w:szCs w:val="24"/>
        </w:rPr>
      </w:pPr>
      <w:r w:rsidRPr="00285E2E">
        <w:rPr>
          <w:rFonts w:ascii="Gadugi" w:eastAsia="Georgia" w:hAnsi="Gadugi" w:cs="Georgia"/>
          <w:sz w:val="24"/>
          <w:szCs w:val="24"/>
        </w:rPr>
        <w:t xml:space="preserve">Proceso: </w:t>
      </w:r>
      <w:r w:rsidRPr="00285E2E">
        <w:rPr>
          <w:rFonts w:ascii="Gadugi" w:eastAsia="Georgia" w:hAnsi="Gadugi" w:cs="Georgia"/>
          <w:sz w:val="24"/>
          <w:szCs w:val="24"/>
        </w:rPr>
        <w:tab/>
      </w:r>
      <w:r w:rsidR="00881083" w:rsidRPr="00285E2E">
        <w:rPr>
          <w:rFonts w:ascii="Gadugi" w:eastAsia="Georgia" w:hAnsi="Gadugi" w:cs="Georgia"/>
          <w:sz w:val="24"/>
          <w:szCs w:val="24"/>
        </w:rPr>
        <w:t xml:space="preserve">Nulidad de testamento </w:t>
      </w:r>
    </w:p>
    <w:p w14:paraId="35F8F246" w14:textId="5743E3E2" w:rsidR="00DD587A" w:rsidRPr="00285E2E" w:rsidRDefault="00DD587A" w:rsidP="00285E2E">
      <w:pPr>
        <w:tabs>
          <w:tab w:val="left" w:pos="3686"/>
          <w:tab w:val="left" w:pos="4536"/>
        </w:tabs>
        <w:spacing w:line="240" w:lineRule="auto"/>
        <w:ind w:right="-142" w:firstLine="1701"/>
        <w:rPr>
          <w:rFonts w:ascii="Gadugi" w:eastAsia="Georgia" w:hAnsi="Gadugi" w:cs="Georgia"/>
          <w:sz w:val="24"/>
          <w:szCs w:val="24"/>
        </w:rPr>
      </w:pPr>
      <w:r w:rsidRPr="00285E2E">
        <w:rPr>
          <w:rFonts w:ascii="Gadugi" w:eastAsia="Georgia" w:hAnsi="Gadugi" w:cs="Georgia"/>
          <w:sz w:val="24"/>
          <w:szCs w:val="24"/>
        </w:rPr>
        <w:t>Tema:</w:t>
      </w:r>
      <w:r w:rsidRPr="00285E2E">
        <w:rPr>
          <w:rFonts w:ascii="Gadugi" w:eastAsia="Georgia" w:hAnsi="Gadugi" w:cs="Georgia"/>
          <w:sz w:val="24"/>
          <w:szCs w:val="24"/>
        </w:rPr>
        <w:tab/>
        <w:t>Testigos - parentesco</w:t>
      </w:r>
    </w:p>
    <w:p w14:paraId="213793BA" w14:textId="1841F8F8" w:rsidR="00086193" w:rsidRPr="00285E2E" w:rsidRDefault="00314809" w:rsidP="00285E2E">
      <w:pPr>
        <w:tabs>
          <w:tab w:val="left" w:pos="3686"/>
          <w:tab w:val="left" w:pos="4536"/>
        </w:tabs>
        <w:spacing w:line="240" w:lineRule="auto"/>
        <w:ind w:right="-142" w:firstLine="1701"/>
        <w:rPr>
          <w:rFonts w:ascii="Gadugi" w:eastAsia="Georgia" w:hAnsi="Gadugi" w:cs="Georgia"/>
          <w:sz w:val="24"/>
          <w:szCs w:val="24"/>
        </w:rPr>
      </w:pPr>
      <w:r w:rsidRPr="00285E2E">
        <w:rPr>
          <w:rFonts w:ascii="Gadugi" w:eastAsia="Georgia" w:hAnsi="Gadugi" w:cs="Georgia"/>
          <w:sz w:val="24"/>
          <w:szCs w:val="24"/>
        </w:rPr>
        <w:t>Demandante:</w:t>
      </w:r>
      <w:r w:rsidRPr="00285E2E">
        <w:rPr>
          <w:rFonts w:ascii="Gadugi" w:eastAsia="Georgia" w:hAnsi="Gadugi" w:cs="Georgia"/>
          <w:sz w:val="24"/>
          <w:szCs w:val="24"/>
        </w:rPr>
        <w:tab/>
      </w:r>
      <w:r w:rsidR="00086193" w:rsidRPr="00285E2E">
        <w:rPr>
          <w:rFonts w:ascii="Gadugi" w:eastAsia="Georgia" w:hAnsi="Gadugi" w:cs="Georgia"/>
          <w:sz w:val="24"/>
          <w:szCs w:val="24"/>
        </w:rPr>
        <w:t xml:space="preserve">Jaime Antonio Valencia Corrales </w:t>
      </w:r>
    </w:p>
    <w:p w14:paraId="72F5FD77" w14:textId="04090E5B" w:rsidR="007D1DA7" w:rsidRPr="00285E2E" w:rsidRDefault="00314809" w:rsidP="00285E2E">
      <w:pPr>
        <w:tabs>
          <w:tab w:val="left" w:pos="3686"/>
          <w:tab w:val="left" w:pos="4536"/>
        </w:tabs>
        <w:spacing w:line="240" w:lineRule="auto"/>
        <w:ind w:right="-142" w:firstLine="1701"/>
        <w:jc w:val="both"/>
        <w:rPr>
          <w:rFonts w:ascii="Gadugi" w:eastAsia="Georgia" w:hAnsi="Gadugi" w:cs="Georgia"/>
          <w:sz w:val="24"/>
          <w:szCs w:val="24"/>
        </w:rPr>
      </w:pPr>
      <w:r w:rsidRPr="00285E2E">
        <w:rPr>
          <w:rFonts w:ascii="Gadugi" w:eastAsia="Georgia" w:hAnsi="Gadugi" w:cs="Georgia"/>
          <w:sz w:val="24"/>
          <w:szCs w:val="24"/>
        </w:rPr>
        <w:t>Demandado:</w:t>
      </w:r>
      <w:r w:rsidRPr="00285E2E">
        <w:rPr>
          <w:rFonts w:ascii="Gadugi" w:eastAsia="Georgia" w:hAnsi="Gadugi" w:cs="Georgia"/>
          <w:sz w:val="24"/>
          <w:szCs w:val="24"/>
        </w:rPr>
        <w:tab/>
      </w:r>
      <w:r w:rsidR="00086193" w:rsidRPr="00285E2E">
        <w:rPr>
          <w:rFonts w:ascii="Gadugi" w:eastAsia="Georgia" w:hAnsi="Gadugi" w:cs="Georgia"/>
          <w:sz w:val="24"/>
          <w:szCs w:val="24"/>
        </w:rPr>
        <w:t>Debian Yohany Guevara Morales</w:t>
      </w:r>
    </w:p>
    <w:p w14:paraId="6209B8A9" w14:textId="7537058D" w:rsidR="007D1DA7" w:rsidRPr="00285E2E" w:rsidRDefault="00314809" w:rsidP="00285E2E">
      <w:pPr>
        <w:tabs>
          <w:tab w:val="left" w:pos="3686"/>
          <w:tab w:val="left" w:pos="4536"/>
        </w:tabs>
        <w:spacing w:line="240" w:lineRule="auto"/>
        <w:ind w:right="-142" w:firstLine="1701"/>
        <w:jc w:val="both"/>
        <w:rPr>
          <w:rFonts w:ascii="Gadugi" w:eastAsia="Georgia" w:hAnsi="Gadugi" w:cs="Georgia"/>
          <w:sz w:val="24"/>
          <w:szCs w:val="24"/>
        </w:rPr>
      </w:pPr>
      <w:r w:rsidRPr="00285E2E">
        <w:rPr>
          <w:rFonts w:ascii="Gadugi" w:eastAsia="Georgia" w:hAnsi="Gadugi" w:cs="Georgia"/>
          <w:sz w:val="24"/>
          <w:szCs w:val="24"/>
        </w:rPr>
        <w:t xml:space="preserve">Acta Nro. </w:t>
      </w:r>
      <w:r w:rsidRPr="00285E2E">
        <w:rPr>
          <w:rFonts w:ascii="Gadugi" w:eastAsia="Georgia" w:hAnsi="Gadugi" w:cs="Georgia"/>
          <w:sz w:val="24"/>
          <w:szCs w:val="24"/>
        </w:rPr>
        <w:tab/>
      </w:r>
      <w:r w:rsidR="00BF6154" w:rsidRPr="00285E2E">
        <w:rPr>
          <w:rFonts w:ascii="Gadugi" w:eastAsia="Georgia" w:hAnsi="Gadugi" w:cs="Georgia"/>
          <w:sz w:val="24"/>
          <w:szCs w:val="24"/>
        </w:rPr>
        <w:t>292 del 15 de junio de 2023</w:t>
      </w:r>
      <w:r w:rsidR="00086193" w:rsidRPr="00285E2E">
        <w:rPr>
          <w:rFonts w:ascii="Gadugi" w:eastAsia="Georgia" w:hAnsi="Gadugi" w:cs="Georgia"/>
          <w:sz w:val="24"/>
          <w:szCs w:val="24"/>
        </w:rPr>
        <w:t xml:space="preserve"> </w:t>
      </w:r>
      <w:r w:rsidRPr="00285E2E">
        <w:rPr>
          <w:rFonts w:ascii="Gadugi" w:eastAsia="Georgia" w:hAnsi="Gadugi" w:cs="Georgia"/>
          <w:sz w:val="24"/>
          <w:szCs w:val="24"/>
        </w:rPr>
        <w:tab/>
      </w:r>
    </w:p>
    <w:p w14:paraId="63B363D3" w14:textId="77777777" w:rsidR="00881083" w:rsidRPr="00285E2E" w:rsidRDefault="00881083" w:rsidP="00285E2E">
      <w:pPr>
        <w:tabs>
          <w:tab w:val="left" w:pos="3686"/>
          <w:tab w:val="left" w:pos="4536"/>
        </w:tabs>
        <w:ind w:firstLine="1701"/>
        <w:jc w:val="both"/>
        <w:rPr>
          <w:rFonts w:ascii="Gadugi" w:eastAsia="Georgia" w:hAnsi="Gadugi" w:cs="Georgia"/>
          <w:sz w:val="24"/>
          <w:szCs w:val="24"/>
        </w:rPr>
      </w:pPr>
    </w:p>
    <w:p w14:paraId="2C1AF604" w14:textId="77777777" w:rsidR="003237DD" w:rsidRPr="00285E2E" w:rsidRDefault="003237DD" w:rsidP="00285E2E">
      <w:pPr>
        <w:tabs>
          <w:tab w:val="left" w:pos="3686"/>
          <w:tab w:val="left" w:pos="4536"/>
        </w:tabs>
        <w:ind w:firstLine="1701"/>
        <w:jc w:val="both"/>
        <w:rPr>
          <w:rFonts w:ascii="Gadugi" w:eastAsia="Georgia" w:hAnsi="Gadugi" w:cs="Georgia"/>
          <w:sz w:val="24"/>
          <w:szCs w:val="24"/>
        </w:rPr>
      </w:pPr>
    </w:p>
    <w:p w14:paraId="2D2C54B6" w14:textId="6A333B9B" w:rsidR="007D1DA7" w:rsidRPr="00285E2E" w:rsidRDefault="00314809" w:rsidP="00285E2E">
      <w:pPr>
        <w:tabs>
          <w:tab w:val="left" w:pos="3686"/>
          <w:tab w:val="left" w:pos="4536"/>
        </w:tabs>
        <w:jc w:val="both"/>
        <w:rPr>
          <w:rFonts w:ascii="Gadugi" w:eastAsia="Georgia" w:hAnsi="Gadugi" w:cs="Georgia"/>
          <w:b/>
          <w:sz w:val="24"/>
          <w:szCs w:val="24"/>
        </w:rPr>
      </w:pPr>
      <w:r w:rsidRPr="00285E2E">
        <w:rPr>
          <w:rFonts w:ascii="Gadugi" w:eastAsia="Georgia" w:hAnsi="Gadugi" w:cs="Georgia"/>
          <w:sz w:val="24"/>
          <w:szCs w:val="24"/>
        </w:rPr>
        <w:t xml:space="preserve">Resuelve la Sala el recurso de apelación interpuesto contra la sentencia proferida </w:t>
      </w:r>
      <w:r w:rsidR="00884C61" w:rsidRPr="00285E2E">
        <w:rPr>
          <w:rFonts w:ascii="Gadugi" w:eastAsia="Georgia" w:hAnsi="Gadugi" w:cs="Georgia"/>
          <w:sz w:val="24"/>
          <w:szCs w:val="24"/>
        </w:rPr>
        <w:t xml:space="preserve">el </w:t>
      </w:r>
      <w:r w:rsidR="00086193" w:rsidRPr="00285E2E">
        <w:rPr>
          <w:rFonts w:ascii="Gadugi" w:eastAsia="Georgia" w:hAnsi="Gadugi" w:cs="Georgia"/>
          <w:sz w:val="24"/>
          <w:szCs w:val="24"/>
        </w:rPr>
        <w:t>3</w:t>
      </w:r>
      <w:r w:rsidR="00884C61" w:rsidRPr="00285E2E">
        <w:rPr>
          <w:rFonts w:ascii="Gadugi" w:eastAsia="Georgia" w:hAnsi="Gadugi" w:cs="Georgia"/>
          <w:sz w:val="24"/>
          <w:szCs w:val="24"/>
        </w:rPr>
        <w:t xml:space="preserve"> de </w:t>
      </w:r>
      <w:r w:rsidR="00086193" w:rsidRPr="00285E2E">
        <w:rPr>
          <w:rFonts w:ascii="Gadugi" w:eastAsia="Georgia" w:hAnsi="Gadugi" w:cs="Georgia"/>
          <w:sz w:val="24"/>
          <w:szCs w:val="24"/>
        </w:rPr>
        <w:t>febrero</w:t>
      </w:r>
      <w:r w:rsidR="00884C61" w:rsidRPr="00285E2E">
        <w:rPr>
          <w:rFonts w:ascii="Gadugi" w:eastAsia="Georgia" w:hAnsi="Gadugi" w:cs="Georgia"/>
          <w:sz w:val="24"/>
          <w:szCs w:val="24"/>
        </w:rPr>
        <w:t xml:space="preserve"> de 2022</w:t>
      </w:r>
      <w:r w:rsidR="00F32FB6" w:rsidRPr="00285E2E">
        <w:rPr>
          <w:rFonts w:ascii="Gadugi" w:eastAsia="Georgia" w:hAnsi="Gadugi" w:cs="Georgia"/>
          <w:sz w:val="24"/>
          <w:szCs w:val="24"/>
        </w:rPr>
        <w:t>,</w:t>
      </w:r>
      <w:r w:rsidR="00884C61" w:rsidRPr="00285E2E">
        <w:rPr>
          <w:rFonts w:ascii="Gadugi" w:eastAsia="Georgia" w:hAnsi="Gadugi" w:cs="Georgia"/>
          <w:sz w:val="24"/>
          <w:szCs w:val="24"/>
        </w:rPr>
        <w:t xml:space="preserve"> </w:t>
      </w:r>
      <w:r w:rsidRPr="00285E2E">
        <w:rPr>
          <w:rFonts w:ascii="Gadugi" w:eastAsia="Georgia" w:hAnsi="Gadugi" w:cs="Georgia"/>
          <w:sz w:val="24"/>
          <w:szCs w:val="24"/>
        </w:rPr>
        <w:t xml:space="preserve">por el Juzgado </w:t>
      </w:r>
      <w:r w:rsidR="00086193" w:rsidRPr="00285E2E">
        <w:rPr>
          <w:rFonts w:ascii="Gadugi" w:eastAsia="Georgia" w:hAnsi="Gadugi" w:cs="Georgia"/>
          <w:sz w:val="24"/>
          <w:szCs w:val="24"/>
        </w:rPr>
        <w:t>Promiscuo del Circuito de Quinchía</w:t>
      </w:r>
      <w:r w:rsidRPr="00285E2E">
        <w:rPr>
          <w:rFonts w:ascii="Gadugi" w:eastAsia="Georgia" w:hAnsi="Gadugi" w:cs="Georgia"/>
          <w:sz w:val="24"/>
          <w:szCs w:val="24"/>
        </w:rPr>
        <w:t xml:space="preserve">, en este proceso de </w:t>
      </w:r>
      <w:r w:rsidR="00086193" w:rsidRPr="00285E2E">
        <w:rPr>
          <w:rFonts w:ascii="Gadugi" w:eastAsia="Georgia" w:hAnsi="Gadugi" w:cs="Georgia"/>
          <w:b/>
          <w:sz w:val="24"/>
          <w:szCs w:val="24"/>
        </w:rPr>
        <w:t>nulidad de testamento</w:t>
      </w:r>
      <w:r w:rsidRPr="00285E2E">
        <w:rPr>
          <w:rFonts w:ascii="Gadugi" w:eastAsia="Georgia" w:hAnsi="Gadugi" w:cs="Georgia"/>
          <w:sz w:val="24"/>
          <w:szCs w:val="24"/>
        </w:rPr>
        <w:t xml:space="preserve"> </w:t>
      </w:r>
      <w:r w:rsidR="00884C61" w:rsidRPr="00285E2E">
        <w:rPr>
          <w:rFonts w:ascii="Gadugi" w:eastAsia="Georgia" w:hAnsi="Gadugi" w:cs="Georgia"/>
          <w:sz w:val="24"/>
          <w:szCs w:val="24"/>
        </w:rPr>
        <w:t xml:space="preserve">presentado </w:t>
      </w:r>
      <w:r w:rsidRPr="00285E2E">
        <w:rPr>
          <w:rFonts w:ascii="Gadugi" w:eastAsia="Georgia" w:hAnsi="Gadugi" w:cs="Georgia"/>
          <w:sz w:val="24"/>
          <w:szCs w:val="24"/>
        </w:rPr>
        <w:t xml:space="preserve">por </w:t>
      </w:r>
      <w:r w:rsidR="00086193" w:rsidRPr="00285E2E">
        <w:rPr>
          <w:rFonts w:ascii="Gadugi" w:eastAsia="Georgia" w:hAnsi="Gadugi" w:cs="Georgia"/>
          <w:b/>
          <w:sz w:val="24"/>
          <w:szCs w:val="24"/>
        </w:rPr>
        <w:t>Jaime Antonio Valencia Corrales</w:t>
      </w:r>
      <w:r w:rsidR="00884C61" w:rsidRPr="00285E2E">
        <w:rPr>
          <w:rFonts w:ascii="Gadugi" w:eastAsia="Georgia" w:hAnsi="Gadugi" w:cs="Georgia"/>
          <w:b/>
          <w:sz w:val="24"/>
          <w:szCs w:val="24"/>
        </w:rPr>
        <w:t xml:space="preserve"> </w:t>
      </w:r>
      <w:r w:rsidRPr="00285E2E">
        <w:rPr>
          <w:rFonts w:ascii="Gadugi" w:eastAsia="Georgia" w:hAnsi="Gadugi" w:cs="Georgia"/>
          <w:sz w:val="24"/>
          <w:szCs w:val="24"/>
        </w:rPr>
        <w:t xml:space="preserve">frente a </w:t>
      </w:r>
      <w:r w:rsidR="00086193" w:rsidRPr="00285E2E">
        <w:rPr>
          <w:rFonts w:ascii="Gadugi" w:eastAsia="Georgia" w:hAnsi="Gadugi" w:cs="Georgia"/>
          <w:b/>
          <w:sz w:val="24"/>
          <w:szCs w:val="24"/>
        </w:rPr>
        <w:t>Debian Yohani Guevara Morales.</w:t>
      </w:r>
    </w:p>
    <w:p w14:paraId="25CC24F3" w14:textId="77777777" w:rsidR="000131C8" w:rsidRPr="00285E2E" w:rsidRDefault="000131C8" w:rsidP="00285E2E">
      <w:pPr>
        <w:tabs>
          <w:tab w:val="left" w:pos="3686"/>
          <w:tab w:val="left" w:pos="4536"/>
        </w:tabs>
        <w:jc w:val="both"/>
        <w:rPr>
          <w:rFonts w:ascii="Gadugi" w:eastAsia="Georgia" w:hAnsi="Gadugi" w:cs="Georgia"/>
          <w:sz w:val="24"/>
          <w:szCs w:val="24"/>
        </w:rPr>
      </w:pPr>
      <w:bookmarkStart w:id="0" w:name="_GoBack"/>
      <w:bookmarkEnd w:id="0"/>
    </w:p>
    <w:p w14:paraId="3A9396D8" w14:textId="77777777" w:rsidR="007D1DA7" w:rsidRPr="00285E2E" w:rsidRDefault="00314809" w:rsidP="00285E2E">
      <w:pPr>
        <w:pStyle w:val="Prrafodelista"/>
        <w:numPr>
          <w:ilvl w:val="0"/>
          <w:numId w:val="7"/>
        </w:numPr>
        <w:pBdr>
          <w:top w:val="nil"/>
          <w:left w:val="nil"/>
          <w:bottom w:val="nil"/>
          <w:right w:val="nil"/>
          <w:between w:val="nil"/>
        </w:pBdr>
        <w:tabs>
          <w:tab w:val="left" w:pos="284"/>
          <w:tab w:val="left" w:pos="4536"/>
        </w:tabs>
        <w:ind w:left="0" w:firstLine="0"/>
        <w:rPr>
          <w:rFonts w:ascii="Gadugi" w:eastAsia="Georgia" w:hAnsi="Gadugi" w:cs="Georgia"/>
          <w:b/>
          <w:sz w:val="24"/>
          <w:szCs w:val="24"/>
        </w:rPr>
      </w:pPr>
      <w:r w:rsidRPr="00285E2E">
        <w:rPr>
          <w:rFonts w:ascii="Gadugi" w:eastAsia="Georgia" w:hAnsi="Gadugi" w:cs="Georgia"/>
          <w:b/>
          <w:sz w:val="24"/>
          <w:szCs w:val="24"/>
        </w:rPr>
        <w:lastRenderedPageBreak/>
        <w:t>ANTECEDENTES</w:t>
      </w:r>
    </w:p>
    <w:p w14:paraId="4B0EA320" w14:textId="77777777" w:rsidR="007D1DA7" w:rsidRPr="00285E2E" w:rsidRDefault="007D1DA7" w:rsidP="00285E2E">
      <w:pPr>
        <w:tabs>
          <w:tab w:val="left" w:pos="3686"/>
          <w:tab w:val="left" w:pos="4536"/>
        </w:tabs>
        <w:ind w:left="360"/>
        <w:rPr>
          <w:rFonts w:ascii="Gadugi" w:eastAsia="Georgia" w:hAnsi="Gadugi" w:cs="Georgia"/>
          <w:b/>
          <w:sz w:val="24"/>
          <w:szCs w:val="24"/>
        </w:rPr>
      </w:pPr>
    </w:p>
    <w:p w14:paraId="76B14F3B" w14:textId="7F6391BC" w:rsidR="007D1DA7" w:rsidRPr="00285E2E" w:rsidRDefault="00884C61" w:rsidP="00285E2E">
      <w:pPr>
        <w:pBdr>
          <w:top w:val="nil"/>
          <w:left w:val="nil"/>
          <w:bottom w:val="nil"/>
          <w:right w:val="nil"/>
          <w:between w:val="nil"/>
        </w:pBdr>
        <w:tabs>
          <w:tab w:val="left" w:pos="3686"/>
          <w:tab w:val="left" w:pos="4536"/>
        </w:tabs>
        <w:rPr>
          <w:rFonts w:ascii="Gadugi" w:eastAsia="Georgia" w:hAnsi="Gadugi" w:cs="Georgia"/>
          <w:b/>
          <w:sz w:val="24"/>
          <w:szCs w:val="24"/>
          <w:u w:val="single"/>
        </w:rPr>
      </w:pPr>
      <w:r w:rsidRPr="00285E2E">
        <w:rPr>
          <w:rFonts w:ascii="Gadugi" w:eastAsia="Georgia" w:hAnsi="Gadugi" w:cs="Georgia"/>
          <w:b/>
          <w:sz w:val="24"/>
          <w:szCs w:val="24"/>
        </w:rPr>
        <w:t>1.1 Hechos</w:t>
      </w:r>
    </w:p>
    <w:p w14:paraId="0B398FBC" w14:textId="77777777" w:rsidR="007D1DA7" w:rsidRPr="00285E2E" w:rsidRDefault="007D1DA7" w:rsidP="00285E2E">
      <w:pPr>
        <w:tabs>
          <w:tab w:val="left" w:pos="3686"/>
          <w:tab w:val="left" w:pos="4536"/>
        </w:tabs>
        <w:rPr>
          <w:rFonts w:ascii="Gadugi" w:eastAsia="Georgia" w:hAnsi="Gadugi" w:cs="Georgia"/>
          <w:b/>
          <w:sz w:val="24"/>
          <w:szCs w:val="24"/>
          <w:u w:val="single"/>
        </w:rPr>
      </w:pPr>
    </w:p>
    <w:p w14:paraId="09C96E88" w14:textId="1E51C61B" w:rsidR="0094382C" w:rsidRPr="00285E2E" w:rsidRDefault="006864D5" w:rsidP="00285E2E">
      <w:pPr>
        <w:tabs>
          <w:tab w:val="left" w:pos="3686"/>
          <w:tab w:val="left" w:pos="4536"/>
        </w:tabs>
        <w:jc w:val="both"/>
        <w:rPr>
          <w:rFonts w:ascii="Gadugi" w:eastAsia="Georgia" w:hAnsi="Gadugi" w:cs="Georgia"/>
          <w:sz w:val="24"/>
          <w:szCs w:val="24"/>
        </w:rPr>
      </w:pPr>
      <w:r w:rsidRPr="00285E2E">
        <w:rPr>
          <w:rFonts w:ascii="Gadugi" w:eastAsia="Georgia" w:hAnsi="Gadugi" w:cs="Georgia"/>
          <w:sz w:val="24"/>
          <w:szCs w:val="24"/>
        </w:rPr>
        <w:t>Flor de María Valencia Corrales, sin hijos, con sus padres fallecidos y viuda con sociedad conyugal liquidada desde el 2017, protocolizó su testamento en noviembre de 2018 ante la Notaría Única de Quinchía, sin embargo, el 28 de enero de 2020 revocó ese acto, y al día siguiente, ante la misma notaría, otorgó nuevamente testamento cerrado en presencia de 5 testigos</w:t>
      </w:r>
      <w:r w:rsidR="00776842" w:rsidRPr="00285E2E">
        <w:rPr>
          <w:rFonts w:ascii="Gadugi" w:eastAsia="Georgia" w:hAnsi="Gadugi" w:cs="Georgia"/>
          <w:sz w:val="24"/>
          <w:szCs w:val="24"/>
        </w:rPr>
        <w:t>,</w:t>
      </w:r>
      <w:r w:rsidRPr="00285E2E">
        <w:rPr>
          <w:rFonts w:ascii="Gadugi" w:eastAsia="Georgia" w:hAnsi="Gadugi" w:cs="Georgia"/>
          <w:sz w:val="24"/>
          <w:szCs w:val="24"/>
        </w:rPr>
        <w:t xml:space="preserve"> </w:t>
      </w:r>
      <w:r w:rsidR="00776842" w:rsidRPr="00285E2E">
        <w:rPr>
          <w:rFonts w:ascii="Gadugi" w:eastAsia="Georgia" w:hAnsi="Gadugi" w:cs="Georgia"/>
          <w:sz w:val="24"/>
          <w:szCs w:val="24"/>
        </w:rPr>
        <w:t>n</w:t>
      </w:r>
      <w:r w:rsidRPr="00285E2E">
        <w:rPr>
          <w:rFonts w:ascii="Gadugi" w:eastAsia="Georgia" w:hAnsi="Gadugi" w:cs="Georgia"/>
          <w:sz w:val="24"/>
          <w:szCs w:val="24"/>
        </w:rPr>
        <w:t xml:space="preserve">o obstante, </w:t>
      </w:r>
      <w:r w:rsidR="00776842" w:rsidRPr="00285E2E">
        <w:rPr>
          <w:rFonts w:ascii="Gadugi" w:eastAsia="Georgia" w:hAnsi="Gadugi" w:cs="Georgia"/>
          <w:sz w:val="24"/>
          <w:szCs w:val="24"/>
        </w:rPr>
        <w:t>esas 5</w:t>
      </w:r>
      <w:r w:rsidRPr="00285E2E">
        <w:rPr>
          <w:rFonts w:ascii="Gadugi" w:eastAsia="Georgia" w:hAnsi="Gadugi" w:cs="Georgia"/>
          <w:sz w:val="24"/>
          <w:szCs w:val="24"/>
        </w:rPr>
        <w:t xml:space="preserve"> personas</w:t>
      </w:r>
      <w:r w:rsidR="00776842" w:rsidRPr="00285E2E">
        <w:rPr>
          <w:rFonts w:ascii="Gadugi" w:eastAsia="Georgia" w:hAnsi="Gadugi" w:cs="Georgia"/>
          <w:sz w:val="24"/>
          <w:szCs w:val="24"/>
        </w:rPr>
        <w:t>,</w:t>
      </w:r>
      <w:r w:rsidRPr="00285E2E">
        <w:rPr>
          <w:rFonts w:ascii="Gadugi" w:eastAsia="Georgia" w:hAnsi="Gadugi" w:cs="Georgia"/>
          <w:sz w:val="24"/>
          <w:szCs w:val="24"/>
        </w:rPr>
        <w:t xml:space="preserve"> </w:t>
      </w:r>
      <w:r w:rsidR="00776842" w:rsidRPr="00285E2E">
        <w:rPr>
          <w:rFonts w:ascii="Gadugi" w:eastAsia="Georgia" w:hAnsi="Gadugi" w:cs="Georgia"/>
          <w:sz w:val="24"/>
          <w:szCs w:val="24"/>
        </w:rPr>
        <w:t>eran todas parientes entre sí</w:t>
      </w:r>
      <w:r w:rsidR="00EC1506" w:rsidRPr="00285E2E">
        <w:rPr>
          <w:rFonts w:ascii="Gadugi" w:eastAsia="Georgia" w:hAnsi="Gadugi" w:cs="Georgia"/>
          <w:sz w:val="24"/>
          <w:szCs w:val="24"/>
        </w:rPr>
        <w:t xml:space="preserve">. </w:t>
      </w:r>
      <w:r w:rsidR="0094382C" w:rsidRPr="00285E2E">
        <w:rPr>
          <w:rFonts w:ascii="Gadugi" w:eastAsia="Georgia" w:hAnsi="Gadugi" w:cs="Georgia"/>
          <w:sz w:val="24"/>
          <w:szCs w:val="24"/>
        </w:rPr>
        <w:t xml:space="preserve">El numeral 15 del artículo 1068 del Código Civil indica que no podrán ser testigos de dicho acto quien sea familiar de otro testigo. </w:t>
      </w:r>
    </w:p>
    <w:p w14:paraId="386F9B71" w14:textId="33E293EF" w:rsidR="0094382C" w:rsidRPr="00285E2E" w:rsidRDefault="0094382C" w:rsidP="00285E2E">
      <w:pPr>
        <w:tabs>
          <w:tab w:val="left" w:pos="3686"/>
          <w:tab w:val="left" w:pos="4536"/>
        </w:tabs>
        <w:jc w:val="both"/>
        <w:rPr>
          <w:rFonts w:ascii="Gadugi" w:eastAsia="Georgia" w:hAnsi="Gadugi" w:cs="Georgia"/>
          <w:sz w:val="24"/>
          <w:szCs w:val="24"/>
        </w:rPr>
      </w:pPr>
    </w:p>
    <w:p w14:paraId="1651F7E4" w14:textId="7C269E2A" w:rsidR="00EC1506" w:rsidRPr="00285E2E" w:rsidRDefault="00EC1506" w:rsidP="00285E2E">
      <w:pPr>
        <w:tabs>
          <w:tab w:val="left" w:pos="3686"/>
          <w:tab w:val="left" w:pos="4536"/>
        </w:tabs>
        <w:jc w:val="both"/>
        <w:rPr>
          <w:rFonts w:ascii="Gadugi" w:eastAsia="Georgia" w:hAnsi="Gadugi" w:cs="Georgia"/>
          <w:sz w:val="24"/>
          <w:szCs w:val="24"/>
        </w:rPr>
      </w:pPr>
      <w:r w:rsidRPr="00285E2E">
        <w:rPr>
          <w:rFonts w:ascii="Gadugi" w:eastAsia="Georgia" w:hAnsi="Gadugi" w:cs="Georgia"/>
          <w:sz w:val="24"/>
          <w:szCs w:val="24"/>
        </w:rPr>
        <w:t>La señora Valencia Corrales falleció el 7 de enero de 2021.</w:t>
      </w:r>
    </w:p>
    <w:p w14:paraId="55C9A598" w14:textId="77777777" w:rsidR="00EC1506" w:rsidRPr="00285E2E" w:rsidRDefault="00EC1506" w:rsidP="00285E2E">
      <w:pPr>
        <w:tabs>
          <w:tab w:val="left" w:pos="3686"/>
          <w:tab w:val="left" w:pos="4536"/>
        </w:tabs>
        <w:jc w:val="both"/>
        <w:rPr>
          <w:rFonts w:ascii="Gadugi" w:eastAsia="Georgia" w:hAnsi="Gadugi" w:cs="Georgia"/>
          <w:sz w:val="24"/>
          <w:szCs w:val="24"/>
        </w:rPr>
      </w:pPr>
    </w:p>
    <w:p w14:paraId="67471ACF" w14:textId="777C632B" w:rsidR="006864D5" w:rsidRPr="00285E2E" w:rsidRDefault="0094382C" w:rsidP="00285E2E">
      <w:pPr>
        <w:tabs>
          <w:tab w:val="left" w:pos="3686"/>
          <w:tab w:val="left" w:pos="4536"/>
        </w:tabs>
        <w:jc w:val="both"/>
        <w:rPr>
          <w:rFonts w:ascii="Gadugi" w:eastAsia="Georgia" w:hAnsi="Gadugi" w:cs="Georgia"/>
          <w:sz w:val="24"/>
          <w:szCs w:val="24"/>
          <w:lang w:val="es-CO"/>
        </w:rPr>
      </w:pPr>
      <w:r w:rsidRPr="00285E2E">
        <w:rPr>
          <w:rFonts w:ascii="Gadugi" w:eastAsia="Georgia" w:hAnsi="Gadugi" w:cs="Georgia"/>
          <w:sz w:val="24"/>
          <w:szCs w:val="24"/>
        </w:rPr>
        <w:t>El 8 de febrero de ese año se dio apertura al testamento, descubriéndose que la otorgante le dejó todas sus pertenencias a Debian Yohany Guevara Morales, aquí demandado</w:t>
      </w:r>
      <w:r w:rsidR="00EC1506" w:rsidRPr="00285E2E">
        <w:rPr>
          <w:rFonts w:ascii="Gadugi" w:eastAsia="Georgia" w:hAnsi="Gadugi" w:cs="Georgia"/>
          <w:sz w:val="24"/>
          <w:szCs w:val="24"/>
        </w:rPr>
        <w:t xml:space="preserve">, y familiar cercano de quienes sirvieron de testigos </w:t>
      </w:r>
      <w:r w:rsidR="00A74BE7" w:rsidRPr="00285E2E">
        <w:rPr>
          <w:rFonts w:ascii="Gadugi" w:eastAsia="Georgia" w:hAnsi="Gadugi" w:cs="Georgia"/>
          <w:sz w:val="24"/>
          <w:szCs w:val="24"/>
        </w:rPr>
        <w:t>en el aludido acto.</w:t>
      </w:r>
      <w:r w:rsidR="00460244" w:rsidRPr="00285E2E">
        <w:rPr>
          <w:rStyle w:val="Refdenotaalpie"/>
          <w:rFonts w:ascii="Gadugi" w:eastAsia="Georgia" w:hAnsi="Gadugi" w:cs="Georgia"/>
          <w:sz w:val="24"/>
          <w:szCs w:val="24"/>
        </w:rPr>
        <w:footnoteReference w:id="2"/>
      </w:r>
      <w:r w:rsidR="00A74BE7" w:rsidRPr="00285E2E">
        <w:rPr>
          <w:rFonts w:ascii="Gadugi" w:eastAsia="Georgia" w:hAnsi="Gadugi" w:cs="Georgia"/>
          <w:sz w:val="24"/>
          <w:szCs w:val="24"/>
        </w:rPr>
        <w:t xml:space="preserve"> </w:t>
      </w:r>
    </w:p>
    <w:p w14:paraId="7FE6EA50" w14:textId="77777777" w:rsidR="0094382C" w:rsidRPr="00285E2E" w:rsidRDefault="006864D5" w:rsidP="00285E2E">
      <w:pPr>
        <w:tabs>
          <w:tab w:val="left" w:pos="3686"/>
          <w:tab w:val="left" w:pos="4536"/>
        </w:tabs>
        <w:jc w:val="both"/>
        <w:rPr>
          <w:rFonts w:ascii="Gadugi" w:eastAsia="Georgia" w:hAnsi="Gadugi" w:cs="Georgia"/>
          <w:sz w:val="24"/>
          <w:szCs w:val="24"/>
        </w:rPr>
      </w:pPr>
      <w:r w:rsidRPr="00285E2E">
        <w:rPr>
          <w:rFonts w:ascii="Gadugi" w:eastAsia="Georgia" w:hAnsi="Gadugi" w:cs="Georgia"/>
          <w:sz w:val="24"/>
          <w:szCs w:val="24"/>
        </w:rPr>
        <w:t xml:space="preserve"> </w:t>
      </w:r>
    </w:p>
    <w:p w14:paraId="39810077" w14:textId="324443F9" w:rsidR="007D1DA7" w:rsidRPr="00285E2E" w:rsidRDefault="00314809" w:rsidP="00285E2E">
      <w:pPr>
        <w:tabs>
          <w:tab w:val="left" w:pos="3686"/>
          <w:tab w:val="left" w:pos="4536"/>
        </w:tabs>
        <w:jc w:val="both"/>
        <w:rPr>
          <w:rFonts w:ascii="Gadugi" w:eastAsia="Georgia" w:hAnsi="Gadugi" w:cs="Georgia"/>
          <w:b/>
          <w:sz w:val="24"/>
          <w:szCs w:val="24"/>
        </w:rPr>
      </w:pPr>
      <w:r w:rsidRPr="00285E2E">
        <w:rPr>
          <w:rFonts w:ascii="Gadugi" w:eastAsia="Georgia" w:hAnsi="Gadugi" w:cs="Georgia"/>
          <w:b/>
          <w:sz w:val="24"/>
          <w:szCs w:val="24"/>
        </w:rPr>
        <w:t>Pretensiones</w:t>
      </w:r>
    </w:p>
    <w:p w14:paraId="53369761" w14:textId="718BC7C5" w:rsidR="00DD3893" w:rsidRPr="00285E2E" w:rsidRDefault="00DD3893" w:rsidP="00285E2E">
      <w:pPr>
        <w:pBdr>
          <w:top w:val="nil"/>
          <w:left w:val="nil"/>
          <w:bottom w:val="nil"/>
          <w:right w:val="nil"/>
          <w:between w:val="nil"/>
        </w:pBdr>
        <w:tabs>
          <w:tab w:val="left" w:pos="3686"/>
          <w:tab w:val="left" w:pos="4536"/>
        </w:tabs>
        <w:rPr>
          <w:rFonts w:ascii="Gadugi" w:eastAsia="Georgia" w:hAnsi="Gadugi" w:cs="Georgia"/>
          <w:b/>
          <w:sz w:val="24"/>
          <w:szCs w:val="24"/>
        </w:rPr>
      </w:pPr>
    </w:p>
    <w:p w14:paraId="1A7BD394" w14:textId="628A27F8" w:rsidR="0094382C" w:rsidRPr="00285E2E" w:rsidRDefault="0094382C" w:rsidP="00285E2E">
      <w:pPr>
        <w:pBdr>
          <w:top w:val="nil"/>
          <w:left w:val="nil"/>
          <w:bottom w:val="nil"/>
          <w:right w:val="nil"/>
          <w:between w:val="nil"/>
        </w:pBdr>
        <w:tabs>
          <w:tab w:val="left" w:pos="3686"/>
          <w:tab w:val="left" w:pos="4536"/>
        </w:tabs>
        <w:jc w:val="both"/>
        <w:rPr>
          <w:rFonts w:ascii="Gadugi" w:eastAsia="Georgia" w:hAnsi="Gadugi" w:cs="Georgia"/>
          <w:sz w:val="24"/>
          <w:szCs w:val="24"/>
        </w:rPr>
      </w:pPr>
      <w:r w:rsidRPr="00285E2E">
        <w:rPr>
          <w:rFonts w:ascii="Gadugi" w:eastAsia="Georgia" w:hAnsi="Gadugi" w:cs="Georgia"/>
          <w:sz w:val="24"/>
          <w:szCs w:val="24"/>
        </w:rPr>
        <w:t xml:space="preserve">Que se declare la nulidad absoluta del acto testamentario contenido en la escritura pública 022 del 29 de enero de 2020 de la Notaría Única de Quinchía otorgado por Flor de María Valencia Corrales y, en consecuencia, que la sucesión de la causante es intestada. </w:t>
      </w:r>
      <w:r w:rsidR="008B42BE" w:rsidRPr="00285E2E">
        <w:rPr>
          <w:rFonts w:ascii="Gadugi" w:eastAsia="Georgia" w:hAnsi="Gadugi" w:cs="Georgia"/>
          <w:sz w:val="24"/>
          <w:szCs w:val="24"/>
        </w:rPr>
        <w:t>También se solicitó la condena en costas para el demandado.</w:t>
      </w:r>
      <w:r w:rsidR="00460244" w:rsidRPr="00285E2E">
        <w:rPr>
          <w:rStyle w:val="Refdenotaalpie"/>
          <w:rFonts w:ascii="Gadugi" w:eastAsia="Georgia" w:hAnsi="Gadugi" w:cs="Georgia"/>
          <w:sz w:val="24"/>
          <w:szCs w:val="24"/>
        </w:rPr>
        <w:footnoteReference w:id="3"/>
      </w:r>
      <w:r w:rsidR="008B42BE" w:rsidRPr="00285E2E">
        <w:rPr>
          <w:rFonts w:ascii="Gadugi" w:eastAsia="Georgia" w:hAnsi="Gadugi" w:cs="Georgia"/>
          <w:sz w:val="24"/>
          <w:szCs w:val="24"/>
        </w:rPr>
        <w:t xml:space="preserve"> </w:t>
      </w:r>
    </w:p>
    <w:p w14:paraId="618724C0" w14:textId="77777777" w:rsidR="00D43E18" w:rsidRPr="00285E2E" w:rsidRDefault="00D43E18" w:rsidP="00285E2E">
      <w:pPr>
        <w:jc w:val="both"/>
        <w:rPr>
          <w:rFonts w:ascii="Gadugi" w:eastAsia="Georgia" w:hAnsi="Gadugi" w:cs="Georgia"/>
          <w:sz w:val="24"/>
          <w:szCs w:val="24"/>
        </w:rPr>
      </w:pPr>
    </w:p>
    <w:p w14:paraId="39E052F4" w14:textId="77777777" w:rsidR="0010573D" w:rsidRPr="00285E2E" w:rsidRDefault="00314809" w:rsidP="00285E2E">
      <w:pPr>
        <w:rPr>
          <w:rFonts w:ascii="Gadugi" w:eastAsia="Georgia" w:hAnsi="Gadugi" w:cs="Georgia"/>
          <w:b/>
          <w:sz w:val="24"/>
          <w:szCs w:val="24"/>
        </w:rPr>
      </w:pPr>
      <w:r w:rsidRPr="00285E2E">
        <w:rPr>
          <w:rFonts w:ascii="Gadugi" w:eastAsia="Georgia" w:hAnsi="Gadugi" w:cs="Georgia"/>
          <w:b/>
          <w:sz w:val="24"/>
          <w:szCs w:val="24"/>
        </w:rPr>
        <w:t>1.</w:t>
      </w:r>
      <w:r w:rsidR="00D43E18" w:rsidRPr="00285E2E">
        <w:rPr>
          <w:rFonts w:ascii="Gadugi" w:eastAsia="Georgia" w:hAnsi="Gadugi" w:cs="Georgia"/>
          <w:b/>
          <w:sz w:val="24"/>
          <w:szCs w:val="24"/>
        </w:rPr>
        <w:t>2</w:t>
      </w:r>
      <w:r w:rsidRPr="00285E2E">
        <w:rPr>
          <w:rFonts w:ascii="Gadugi" w:eastAsia="Georgia" w:hAnsi="Gadugi" w:cs="Georgia"/>
          <w:b/>
          <w:sz w:val="24"/>
          <w:szCs w:val="24"/>
        </w:rPr>
        <w:t>.    Trámite</w:t>
      </w:r>
    </w:p>
    <w:p w14:paraId="0C42B253" w14:textId="77777777" w:rsidR="0010573D" w:rsidRPr="00285E2E" w:rsidRDefault="0010573D" w:rsidP="00285E2E">
      <w:pPr>
        <w:rPr>
          <w:rFonts w:ascii="Gadugi" w:eastAsia="Georgia" w:hAnsi="Gadugi" w:cs="Georgia"/>
          <w:sz w:val="24"/>
          <w:szCs w:val="24"/>
        </w:rPr>
      </w:pPr>
    </w:p>
    <w:p w14:paraId="25009ECF" w14:textId="7A658DFB" w:rsidR="003431EA" w:rsidRPr="00285E2E" w:rsidRDefault="00370AB3" w:rsidP="00285E2E">
      <w:pPr>
        <w:jc w:val="both"/>
        <w:rPr>
          <w:rFonts w:ascii="Gadugi" w:eastAsia="Georgia" w:hAnsi="Gadugi" w:cs="Georgia"/>
          <w:sz w:val="24"/>
          <w:szCs w:val="24"/>
        </w:rPr>
      </w:pPr>
      <w:r w:rsidRPr="00285E2E">
        <w:rPr>
          <w:rFonts w:ascii="Gadugi" w:eastAsia="Georgia" w:hAnsi="Gadugi" w:cs="Georgia"/>
          <w:sz w:val="24"/>
          <w:szCs w:val="24"/>
        </w:rPr>
        <w:t>En primera instancia se admitió la demanda con auto del 12 de marzo de 2021.</w:t>
      </w:r>
      <w:r w:rsidR="00460244" w:rsidRPr="00285E2E">
        <w:rPr>
          <w:rStyle w:val="Refdenotaalpie"/>
          <w:rFonts w:ascii="Gadugi" w:eastAsia="Georgia" w:hAnsi="Gadugi" w:cs="Georgia"/>
          <w:sz w:val="24"/>
          <w:szCs w:val="24"/>
        </w:rPr>
        <w:footnoteReference w:id="4"/>
      </w:r>
    </w:p>
    <w:p w14:paraId="34EAA1BB" w14:textId="77777777" w:rsidR="0010573D" w:rsidRPr="00285E2E" w:rsidRDefault="0010573D" w:rsidP="00285E2E">
      <w:pPr>
        <w:jc w:val="both"/>
        <w:rPr>
          <w:rFonts w:ascii="Gadugi" w:eastAsia="Georgia" w:hAnsi="Gadugi" w:cs="Georgia"/>
          <w:sz w:val="24"/>
          <w:szCs w:val="24"/>
        </w:rPr>
      </w:pPr>
    </w:p>
    <w:p w14:paraId="70CC45D4" w14:textId="130E0435" w:rsidR="00370AB3" w:rsidRPr="00285E2E" w:rsidRDefault="003431EA" w:rsidP="00285E2E">
      <w:pPr>
        <w:jc w:val="both"/>
        <w:rPr>
          <w:rFonts w:ascii="Gadugi" w:eastAsia="Georgia" w:hAnsi="Gadugi" w:cs="Georgia"/>
          <w:sz w:val="24"/>
          <w:szCs w:val="24"/>
        </w:rPr>
      </w:pPr>
      <w:r w:rsidRPr="00285E2E">
        <w:rPr>
          <w:rFonts w:ascii="Gadugi" w:eastAsia="Georgia" w:hAnsi="Gadugi" w:cs="Georgia"/>
          <w:sz w:val="24"/>
          <w:szCs w:val="24"/>
        </w:rPr>
        <w:t>Por conducto de abogado</w:t>
      </w:r>
      <w:r w:rsidR="00370AB3" w:rsidRPr="00285E2E">
        <w:rPr>
          <w:rFonts w:ascii="Gadugi" w:eastAsia="Georgia" w:hAnsi="Gadugi" w:cs="Georgia"/>
          <w:sz w:val="24"/>
          <w:szCs w:val="24"/>
        </w:rPr>
        <w:t xml:space="preserve"> el demandado contestó la demanda y formuló como excepciones (i) voluntad, (ii) buena fe, (iii) libre disposición y (iv) prescripción. </w:t>
      </w:r>
      <w:r w:rsidR="00FA158A" w:rsidRPr="00285E2E">
        <w:rPr>
          <w:rFonts w:ascii="Gadugi" w:eastAsia="Georgia" w:hAnsi="Gadugi" w:cs="Georgia"/>
          <w:sz w:val="24"/>
          <w:szCs w:val="24"/>
        </w:rPr>
        <w:t>Se aseguró que la voluntad de la señora Valencia Corrales fue beneficiar Debian Yohany Guevara Morales y que los testigos actuaron de buena fe.</w:t>
      </w:r>
      <w:r w:rsidR="00460244" w:rsidRPr="00285E2E">
        <w:rPr>
          <w:rStyle w:val="Refdenotaalpie"/>
          <w:rFonts w:ascii="Gadugi" w:eastAsia="Georgia" w:hAnsi="Gadugi" w:cs="Georgia"/>
          <w:sz w:val="24"/>
          <w:szCs w:val="24"/>
        </w:rPr>
        <w:footnoteReference w:id="5"/>
      </w:r>
      <w:r w:rsidR="00FA158A" w:rsidRPr="00285E2E">
        <w:rPr>
          <w:rFonts w:ascii="Gadugi" w:eastAsia="Georgia" w:hAnsi="Gadugi" w:cs="Georgia"/>
          <w:sz w:val="24"/>
          <w:szCs w:val="24"/>
        </w:rPr>
        <w:t xml:space="preserve"> </w:t>
      </w:r>
    </w:p>
    <w:p w14:paraId="752C236B" w14:textId="77777777" w:rsidR="00A7505C" w:rsidRPr="00285E2E" w:rsidRDefault="00A7505C" w:rsidP="00285E2E">
      <w:pPr>
        <w:jc w:val="both"/>
        <w:rPr>
          <w:rFonts w:ascii="Gadugi" w:eastAsia="Georgia" w:hAnsi="Gadugi" w:cs="Georgia"/>
          <w:sz w:val="24"/>
          <w:szCs w:val="24"/>
        </w:rPr>
      </w:pPr>
    </w:p>
    <w:p w14:paraId="2C880465" w14:textId="458370AA" w:rsidR="007D1DA7" w:rsidRPr="00285E2E" w:rsidRDefault="00314809" w:rsidP="00285E2E">
      <w:pPr>
        <w:rPr>
          <w:rFonts w:ascii="Gadugi" w:eastAsia="Georgia" w:hAnsi="Gadugi" w:cs="Georgia"/>
          <w:b/>
          <w:sz w:val="24"/>
          <w:szCs w:val="24"/>
        </w:rPr>
      </w:pPr>
      <w:r w:rsidRPr="00285E2E">
        <w:rPr>
          <w:rFonts w:ascii="Gadugi" w:eastAsia="Georgia" w:hAnsi="Gadugi" w:cs="Georgia"/>
          <w:b/>
          <w:sz w:val="24"/>
          <w:szCs w:val="24"/>
        </w:rPr>
        <w:t xml:space="preserve">1.4.   Sentencia de </w:t>
      </w:r>
      <w:r w:rsidR="007B7D74" w:rsidRPr="00285E2E">
        <w:rPr>
          <w:rFonts w:ascii="Gadugi" w:eastAsia="Georgia" w:hAnsi="Gadugi" w:cs="Georgia"/>
          <w:b/>
          <w:sz w:val="24"/>
          <w:szCs w:val="24"/>
        </w:rPr>
        <w:t>primera i</w:t>
      </w:r>
      <w:r w:rsidRPr="00285E2E">
        <w:rPr>
          <w:rFonts w:ascii="Gadugi" w:eastAsia="Georgia" w:hAnsi="Gadugi" w:cs="Georgia"/>
          <w:b/>
          <w:sz w:val="24"/>
          <w:szCs w:val="24"/>
        </w:rPr>
        <w:t>nstancia</w:t>
      </w:r>
    </w:p>
    <w:p w14:paraId="73BE89AF" w14:textId="1AA3F1CD" w:rsidR="00A7505C" w:rsidRPr="00285E2E" w:rsidRDefault="00A7505C" w:rsidP="00285E2E">
      <w:pPr>
        <w:jc w:val="both"/>
        <w:rPr>
          <w:rFonts w:ascii="Gadugi" w:eastAsia="Georgia" w:hAnsi="Gadugi" w:cs="Georgia"/>
          <w:sz w:val="24"/>
          <w:szCs w:val="24"/>
        </w:rPr>
      </w:pPr>
    </w:p>
    <w:p w14:paraId="1E801832" w14:textId="227222DF" w:rsidR="00FA158A" w:rsidRPr="00285E2E" w:rsidRDefault="00FA158A" w:rsidP="00285E2E">
      <w:pPr>
        <w:jc w:val="both"/>
        <w:rPr>
          <w:rFonts w:ascii="Gadugi" w:eastAsia="Georgia" w:hAnsi="Gadugi" w:cs="Georgia"/>
          <w:sz w:val="24"/>
          <w:szCs w:val="24"/>
        </w:rPr>
      </w:pPr>
      <w:r w:rsidRPr="00285E2E">
        <w:rPr>
          <w:rFonts w:ascii="Gadugi" w:eastAsia="Georgia" w:hAnsi="Gadugi" w:cs="Georgia"/>
          <w:sz w:val="24"/>
          <w:szCs w:val="24"/>
        </w:rPr>
        <w:t xml:space="preserve">Se declaró la </w:t>
      </w:r>
      <w:r w:rsidR="00986B8C" w:rsidRPr="00285E2E">
        <w:rPr>
          <w:rFonts w:ascii="Gadugi" w:eastAsia="Georgia" w:hAnsi="Gadugi" w:cs="Georgia"/>
          <w:sz w:val="24"/>
          <w:szCs w:val="24"/>
        </w:rPr>
        <w:t>nulidad del testamento habida cuenta de que</w:t>
      </w:r>
      <w:r w:rsidR="00572D29" w:rsidRPr="00285E2E">
        <w:rPr>
          <w:rFonts w:ascii="Gadugi" w:eastAsia="Georgia" w:hAnsi="Gadugi" w:cs="Georgia"/>
          <w:sz w:val="24"/>
          <w:szCs w:val="24"/>
        </w:rPr>
        <w:t>,</w:t>
      </w:r>
      <w:r w:rsidR="00986B8C" w:rsidRPr="00285E2E">
        <w:rPr>
          <w:rFonts w:ascii="Gadugi" w:eastAsia="Georgia" w:hAnsi="Gadugi" w:cs="Georgia"/>
          <w:sz w:val="24"/>
          <w:szCs w:val="24"/>
        </w:rPr>
        <w:t xml:space="preserve"> quienes sirvieron </w:t>
      </w:r>
      <w:r w:rsidR="00572D29" w:rsidRPr="00285E2E">
        <w:rPr>
          <w:rFonts w:ascii="Gadugi" w:eastAsia="Georgia" w:hAnsi="Gadugi" w:cs="Georgia"/>
          <w:sz w:val="24"/>
          <w:szCs w:val="24"/>
        </w:rPr>
        <w:t>como</w:t>
      </w:r>
      <w:r w:rsidR="00986B8C" w:rsidRPr="00285E2E">
        <w:rPr>
          <w:rFonts w:ascii="Gadugi" w:eastAsia="Georgia" w:hAnsi="Gadugi" w:cs="Georgia"/>
          <w:sz w:val="24"/>
          <w:szCs w:val="24"/>
        </w:rPr>
        <w:t xml:space="preserve"> testigos para el acto solemne</w:t>
      </w:r>
      <w:r w:rsidR="734E67E3" w:rsidRPr="00285E2E">
        <w:rPr>
          <w:rFonts w:ascii="Gadugi" w:eastAsia="Georgia" w:hAnsi="Gadugi" w:cs="Georgia"/>
          <w:sz w:val="24"/>
          <w:szCs w:val="24"/>
        </w:rPr>
        <w:t>,</w:t>
      </w:r>
      <w:r w:rsidR="00572D29" w:rsidRPr="00285E2E">
        <w:rPr>
          <w:rFonts w:ascii="Gadugi" w:eastAsia="Georgia" w:hAnsi="Gadugi" w:cs="Georgia"/>
          <w:sz w:val="24"/>
          <w:szCs w:val="24"/>
        </w:rPr>
        <w:t xml:space="preserve"> </w:t>
      </w:r>
      <w:r w:rsidR="00986B8C" w:rsidRPr="00285E2E">
        <w:rPr>
          <w:rFonts w:ascii="Gadugi" w:eastAsia="Georgia" w:hAnsi="Gadugi" w:cs="Georgia"/>
          <w:sz w:val="24"/>
          <w:szCs w:val="24"/>
        </w:rPr>
        <w:t>estaban inhabilitados para fungir como tal</w:t>
      </w:r>
      <w:r w:rsidR="6A07B3FB" w:rsidRPr="00285E2E">
        <w:rPr>
          <w:rFonts w:ascii="Gadugi" w:eastAsia="Georgia" w:hAnsi="Gadugi" w:cs="Georgia"/>
          <w:sz w:val="24"/>
          <w:szCs w:val="24"/>
        </w:rPr>
        <w:t>es</w:t>
      </w:r>
      <w:r w:rsidR="00460244" w:rsidRPr="00285E2E">
        <w:rPr>
          <w:rFonts w:ascii="Gadugi" w:eastAsia="Georgia" w:hAnsi="Gadugi" w:cs="Georgia"/>
          <w:sz w:val="24"/>
          <w:szCs w:val="24"/>
        </w:rPr>
        <w:t>,</w:t>
      </w:r>
      <w:r w:rsidR="00986B8C" w:rsidRPr="00285E2E">
        <w:rPr>
          <w:rFonts w:ascii="Gadugi" w:eastAsia="Georgia" w:hAnsi="Gadugi" w:cs="Georgia"/>
          <w:sz w:val="24"/>
          <w:szCs w:val="24"/>
        </w:rPr>
        <w:t xml:space="preserve"> de </w:t>
      </w:r>
      <w:r w:rsidR="00986B8C" w:rsidRPr="00285E2E">
        <w:rPr>
          <w:rFonts w:ascii="Gadugi" w:eastAsia="Georgia" w:hAnsi="Gadugi" w:cs="Georgia"/>
          <w:sz w:val="24"/>
          <w:szCs w:val="24"/>
        </w:rPr>
        <w:lastRenderedPageBreak/>
        <w:t>conformidad con el numeral 15 del artículo 1068 del Código Civil, en consecuencia, se declaró intestada la sucesión de Flor de María Valencia Corrales.</w:t>
      </w:r>
      <w:r w:rsidR="00460244" w:rsidRPr="00285E2E">
        <w:rPr>
          <w:rStyle w:val="Refdenotaalpie"/>
          <w:rFonts w:ascii="Gadugi" w:eastAsia="Georgia" w:hAnsi="Gadugi" w:cs="Georgia"/>
          <w:sz w:val="24"/>
          <w:szCs w:val="24"/>
        </w:rPr>
        <w:footnoteReference w:id="6"/>
      </w:r>
      <w:r w:rsidR="00986B8C" w:rsidRPr="00285E2E">
        <w:rPr>
          <w:rFonts w:ascii="Gadugi" w:eastAsia="Georgia" w:hAnsi="Gadugi" w:cs="Georgia"/>
          <w:sz w:val="24"/>
          <w:szCs w:val="24"/>
        </w:rPr>
        <w:t xml:space="preserve"> </w:t>
      </w:r>
    </w:p>
    <w:p w14:paraId="52575609" w14:textId="77777777" w:rsidR="00986B8C" w:rsidRPr="00285E2E" w:rsidRDefault="00986B8C" w:rsidP="00285E2E">
      <w:pPr>
        <w:jc w:val="both"/>
        <w:rPr>
          <w:rFonts w:ascii="Gadugi" w:eastAsia="Georgia" w:hAnsi="Gadugi" w:cs="Georgia"/>
          <w:b/>
          <w:sz w:val="24"/>
          <w:szCs w:val="24"/>
        </w:rPr>
      </w:pPr>
    </w:p>
    <w:p w14:paraId="5FE57AE2" w14:textId="0FB082FB" w:rsidR="007D1DA7" w:rsidRPr="00285E2E" w:rsidRDefault="00314809" w:rsidP="00285E2E">
      <w:pPr>
        <w:jc w:val="both"/>
        <w:rPr>
          <w:rFonts w:ascii="Gadugi" w:eastAsia="Georgia" w:hAnsi="Gadugi" w:cs="Georgia"/>
          <w:b/>
          <w:sz w:val="24"/>
          <w:szCs w:val="24"/>
        </w:rPr>
      </w:pPr>
      <w:r w:rsidRPr="00285E2E">
        <w:rPr>
          <w:rFonts w:ascii="Gadugi" w:eastAsia="Georgia" w:hAnsi="Gadugi" w:cs="Georgia"/>
          <w:b/>
          <w:sz w:val="24"/>
          <w:szCs w:val="24"/>
        </w:rPr>
        <w:t xml:space="preserve">1.5. </w:t>
      </w:r>
      <w:r w:rsidR="00572D29" w:rsidRPr="00285E2E">
        <w:rPr>
          <w:rFonts w:ascii="Gadugi" w:eastAsia="Georgia" w:hAnsi="Gadugi" w:cs="Georgia"/>
          <w:b/>
          <w:sz w:val="24"/>
          <w:szCs w:val="24"/>
        </w:rPr>
        <w:tab/>
      </w:r>
      <w:r w:rsidR="002A3EE7" w:rsidRPr="00285E2E">
        <w:rPr>
          <w:rFonts w:ascii="Gadugi" w:eastAsia="Georgia" w:hAnsi="Gadugi" w:cs="Georgia"/>
          <w:b/>
          <w:sz w:val="24"/>
          <w:szCs w:val="24"/>
        </w:rPr>
        <w:t>Apelación</w:t>
      </w:r>
    </w:p>
    <w:p w14:paraId="2D92AE54" w14:textId="77777777" w:rsidR="00986B8C" w:rsidRPr="00285E2E" w:rsidRDefault="00986B8C" w:rsidP="00285E2E">
      <w:pPr>
        <w:jc w:val="both"/>
        <w:rPr>
          <w:rFonts w:ascii="Gadugi" w:eastAsia="Georgia" w:hAnsi="Gadugi" w:cs="Georgia"/>
          <w:b/>
          <w:sz w:val="24"/>
          <w:szCs w:val="24"/>
          <w:vertAlign w:val="superscript"/>
        </w:rPr>
      </w:pPr>
    </w:p>
    <w:p w14:paraId="6990618E" w14:textId="6CB2BF35" w:rsidR="00986B8C" w:rsidRPr="00285E2E" w:rsidRDefault="00986B8C" w:rsidP="00285E2E">
      <w:pPr>
        <w:jc w:val="both"/>
        <w:rPr>
          <w:rFonts w:ascii="Gadugi" w:eastAsia="Georgia" w:hAnsi="Gadugi" w:cs="Georgia"/>
          <w:sz w:val="24"/>
          <w:szCs w:val="24"/>
        </w:rPr>
      </w:pPr>
      <w:r w:rsidRPr="00285E2E">
        <w:rPr>
          <w:rFonts w:ascii="Gadugi" w:eastAsia="Georgia" w:hAnsi="Gadugi" w:cs="Georgia"/>
          <w:sz w:val="24"/>
          <w:szCs w:val="24"/>
        </w:rPr>
        <w:t>Apeló el demandado quien se mostró inconforme</w:t>
      </w:r>
      <w:r w:rsidR="00551C1B" w:rsidRPr="00285E2E">
        <w:rPr>
          <w:rFonts w:ascii="Gadugi" w:eastAsia="Georgia" w:hAnsi="Gadugi" w:cs="Georgia"/>
          <w:sz w:val="24"/>
          <w:szCs w:val="24"/>
        </w:rPr>
        <w:t>,</w:t>
      </w:r>
      <w:r w:rsidRPr="00285E2E">
        <w:rPr>
          <w:rFonts w:ascii="Gadugi" w:eastAsia="Georgia" w:hAnsi="Gadugi" w:cs="Georgia"/>
          <w:sz w:val="24"/>
          <w:szCs w:val="24"/>
        </w:rPr>
        <w:t xml:space="preserve"> porque se demeritó la voluntad de la otorgante y la buena fe con la que actuaron ella y los testigos; dijo que él </w:t>
      </w:r>
      <w:r w:rsidRPr="00285E2E">
        <w:rPr>
          <w:rFonts w:ascii="Gadugi" w:eastAsia="Georgia" w:hAnsi="Gadugi" w:cs="Georgia"/>
          <w:i/>
          <w:sz w:val="24"/>
          <w:szCs w:val="24"/>
        </w:rPr>
        <w:t>“</w:t>
      </w:r>
      <w:r w:rsidRPr="00285E2E">
        <w:rPr>
          <w:rFonts w:ascii="Gadugi" w:eastAsia="Georgia" w:hAnsi="Gadugi" w:cs="Georgia"/>
          <w:i/>
          <w:szCs w:val="24"/>
        </w:rPr>
        <w:t>(…) no es el llamado a responder por las negligencias acontecidas de la Notaría, quienes son los encargados de permear de legalidad mediante diferentes procesos exhaustivos todos los actos jurídicos que a diario tramitan</w:t>
      </w:r>
      <w:r w:rsidRPr="00285E2E">
        <w:rPr>
          <w:rFonts w:ascii="Gadugi" w:eastAsia="Georgia" w:hAnsi="Gadugi" w:cs="Georgia"/>
          <w:i/>
          <w:sz w:val="24"/>
          <w:szCs w:val="24"/>
        </w:rPr>
        <w:t>”</w:t>
      </w:r>
      <w:r w:rsidR="00460244" w:rsidRPr="00285E2E">
        <w:rPr>
          <w:rFonts w:ascii="Gadugi" w:eastAsia="Georgia" w:hAnsi="Gadugi" w:cs="Georgia"/>
          <w:i/>
          <w:sz w:val="24"/>
          <w:szCs w:val="24"/>
        </w:rPr>
        <w:t>.</w:t>
      </w:r>
      <w:r w:rsidR="00460244" w:rsidRPr="00285E2E">
        <w:rPr>
          <w:rStyle w:val="Refdenotaalpie"/>
          <w:rFonts w:ascii="Gadugi" w:eastAsia="Georgia" w:hAnsi="Gadugi" w:cs="Georgia"/>
          <w:i/>
          <w:sz w:val="24"/>
          <w:szCs w:val="24"/>
        </w:rPr>
        <w:footnoteReference w:id="7"/>
      </w:r>
    </w:p>
    <w:p w14:paraId="37417758" w14:textId="673A77AA" w:rsidR="006A4CCB" w:rsidRPr="00285E2E" w:rsidRDefault="006A4CCB" w:rsidP="00285E2E">
      <w:pPr>
        <w:pStyle w:val="Prrafodelista"/>
        <w:tabs>
          <w:tab w:val="left" w:pos="426"/>
        </w:tabs>
        <w:ind w:left="0"/>
        <w:jc w:val="both"/>
        <w:rPr>
          <w:rFonts w:ascii="Gadugi" w:eastAsia="Georgia" w:hAnsi="Gadugi" w:cs="Georgia"/>
          <w:sz w:val="24"/>
          <w:szCs w:val="24"/>
        </w:rPr>
      </w:pPr>
    </w:p>
    <w:p w14:paraId="4453E24D" w14:textId="6D889F4E" w:rsidR="006A5733" w:rsidRPr="00285E2E" w:rsidRDefault="00EC1506" w:rsidP="00285E2E">
      <w:pPr>
        <w:pStyle w:val="Prrafodelista"/>
        <w:tabs>
          <w:tab w:val="left" w:pos="426"/>
        </w:tabs>
        <w:ind w:left="0"/>
        <w:jc w:val="both"/>
        <w:rPr>
          <w:rFonts w:ascii="Gadugi" w:eastAsia="Georgia" w:hAnsi="Gadugi" w:cs="Georgia"/>
          <w:sz w:val="24"/>
          <w:szCs w:val="24"/>
        </w:rPr>
      </w:pPr>
      <w:r w:rsidRPr="00285E2E">
        <w:rPr>
          <w:rFonts w:ascii="Gadugi" w:eastAsia="Georgia" w:hAnsi="Gadugi" w:cs="Georgia"/>
          <w:sz w:val="24"/>
          <w:szCs w:val="24"/>
        </w:rPr>
        <w:t>Esos argumentos fueron reiterados en la sustentación presentada en esta instancia</w:t>
      </w:r>
      <w:r w:rsidR="00460244" w:rsidRPr="00285E2E">
        <w:rPr>
          <w:rStyle w:val="Refdenotaalpie"/>
          <w:rFonts w:ascii="Gadugi" w:eastAsia="Georgia" w:hAnsi="Gadugi" w:cs="Georgia"/>
          <w:sz w:val="24"/>
          <w:szCs w:val="24"/>
        </w:rPr>
        <w:footnoteReference w:id="8"/>
      </w:r>
      <w:r w:rsidR="19CCCDC8" w:rsidRPr="00285E2E">
        <w:rPr>
          <w:rFonts w:ascii="Gadugi" w:eastAsia="Georgia" w:hAnsi="Gadugi" w:cs="Georgia"/>
          <w:sz w:val="24"/>
          <w:szCs w:val="24"/>
        </w:rPr>
        <w:t xml:space="preserve"> que replicó </w:t>
      </w:r>
      <w:r w:rsidR="006A5733" w:rsidRPr="00285E2E">
        <w:rPr>
          <w:rFonts w:ascii="Gadugi" w:eastAsia="Georgia" w:hAnsi="Gadugi" w:cs="Georgia"/>
          <w:sz w:val="24"/>
          <w:szCs w:val="24"/>
        </w:rPr>
        <w:t>el demandante</w:t>
      </w:r>
      <w:r w:rsidR="00A74BE7" w:rsidRPr="00285E2E">
        <w:rPr>
          <w:rFonts w:ascii="Gadugi" w:eastAsia="Georgia" w:hAnsi="Gadugi" w:cs="Georgia"/>
          <w:sz w:val="24"/>
          <w:szCs w:val="24"/>
        </w:rPr>
        <w:t xml:space="preserve">, quien puso en duda que la verdadera voluntad de </w:t>
      </w:r>
      <w:r w:rsidR="006A5733" w:rsidRPr="00285E2E">
        <w:rPr>
          <w:rFonts w:ascii="Gadugi" w:eastAsia="Georgia" w:hAnsi="Gadugi" w:cs="Georgia"/>
          <w:sz w:val="24"/>
          <w:szCs w:val="24"/>
        </w:rPr>
        <w:t>su hermana</w:t>
      </w:r>
      <w:r w:rsidR="00A74BE7" w:rsidRPr="00285E2E">
        <w:rPr>
          <w:rFonts w:ascii="Gadugi" w:eastAsia="Georgia" w:hAnsi="Gadugi" w:cs="Georgia"/>
          <w:sz w:val="24"/>
          <w:szCs w:val="24"/>
        </w:rPr>
        <w:t xml:space="preserve"> hubiera sido dejarle todos sus bienes al demandado, si bien, ella ya había hecho un testamento con anterioridad</w:t>
      </w:r>
      <w:r w:rsidR="006A5733" w:rsidRPr="00285E2E">
        <w:rPr>
          <w:rFonts w:ascii="Gadugi" w:eastAsia="Georgia" w:hAnsi="Gadugi" w:cs="Georgia"/>
          <w:sz w:val="24"/>
          <w:szCs w:val="24"/>
        </w:rPr>
        <w:t xml:space="preserve"> en el que pudo haberle dejado sus pertenencias a sus familiares</w:t>
      </w:r>
      <w:r w:rsidR="00A74BE7" w:rsidRPr="00285E2E">
        <w:rPr>
          <w:rFonts w:ascii="Gadugi" w:eastAsia="Georgia" w:hAnsi="Gadugi" w:cs="Georgia"/>
          <w:sz w:val="24"/>
          <w:szCs w:val="24"/>
        </w:rPr>
        <w:t xml:space="preserve"> y</w:t>
      </w:r>
      <w:r w:rsidR="00551C1B" w:rsidRPr="00285E2E">
        <w:rPr>
          <w:rFonts w:ascii="Gadugi" w:eastAsia="Georgia" w:hAnsi="Gadugi" w:cs="Georgia"/>
          <w:sz w:val="24"/>
          <w:szCs w:val="24"/>
        </w:rPr>
        <w:t>,</w:t>
      </w:r>
      <w:r w:rsidR="00A74BE7" w:rsidRPr="00285E2E">
        <w:rPr>
          <w:rFonts w:ascii="Gadugi" w:eastAsia="Georgia" w:hAnsi="Gadugi" w:cs="Georgia"/>
          <w:sz w:val="24"/>
          <w:szCs w:val="24"/>
        </w:rPr>
        <w:t xml:space="preserve"> </w:t>
      </w:r>
      <w:r w:rsidR="006A5733" w:rsidRPr="00285E2E">
        <w:rPr>
          <w:rFonts w:ascii="Gadugi" w:eastAsia="Georgia" w:hAnsi="Gadugi" w:cs="Georgia"/>
          <w:sz w:val="24"/>
          <w:szCs w:val="24"/>
        </w:rPr>
        <w:t>con afán, terminó por cambiarlo</w:t>
      </w:r>
      <w:r w:rsidR="00A74BE7" w:rsidRPr="00285E2E">
        <w:rPr>
          <w:rFonts w:ascii="Gadugi" w:eastAsia="Georgia" w:hAnsi="Gadugi" w:cs="Georgia"/>
          <w:sz w:val="24"/>
          <w:szCs w:val="24"/>
        </w:rPr>
        <w:t xml:space="preserve"> en el 2020</w:t>
      </w:r>
      <w:r w:rsidR="006A5733" w:rsidRPr="00285E2E">
        <w:rPr>
          <w:rFonts w:ascii="Gadugi" w:eastAsia="Georgia" w:hAnsi="Gadugi" w:cs="Georgia"/>
          <w:sz w:val="24"/>
          <w:szCs w:val="24"/>
        </w:rPr>
        <w:t xml:space="preserve"> para beneficiar a una persona que, a propósito, era familiar cercano de los testigos que colaboraron para la protocolización del acto</w:t>
      </w:r>
      <w:r w:rsidR="00460244" w:rsidRPr="00285E2E">
        <w:rPr>
          <w:rStyle w:val="Refdenotaalpie"/>
          <w:rFonts w:ascii="Gadugi" w:eastAsia="Georgia" w:hAnsi="Gadugi" w:cs="Georgia"/>
          <w:sz w:val="24"/>
          <w:szCs w:val="24"/>
        </w:rPr>
        <w:footnoteReference w:id="9"/>
      </w:r>
      <w:r w:rsidR="006A5733" w:rsidRPr="00285E2E">
        <w:rPr>
          <w:rFonts w:ascii="Gadugi" w:eastAsia="Georgia" w:hAnsi="Gadugi" w:cs="Georgia"/>
          <w:sz w:val="24"/>
          <w:szCs w:val="24"/>
        </w:rPr>
        <w:t xml:space="preserve">. </w:t>
      </w:r>
    </w:p>
    <w:p w14:paraId="1EE2AAA7" w14:textId="77777777" w:rsidR="006A5733" w:rsidRPr="00285E2E" w:rsidRDefault="006A5733" w:rsidP="00285E2E">
      <w:pPr>
        <w:pStyle w:val="Prrafodelista"/>
        <w:tabs>
          <w:tab w:val="left" w:pos="426"/>
        </w:tabs>
        <w:ind w:left="0"/>
        <w:jc w:val="both"/>
        <w:rPr>
          <w:rFonts w:ascii="Gadugi" w:eastAsia="Georgia" w:hAnsi="Gadugi" w:cs="Georgia"/>
          <w:b/>
          <w:bCs/>
          <w:sz w:val="24"/>
          <w:szCs w:val="24"/>
        </w:rPr>
      </w:pPr>
    </w:p>
    <w:p w14:paraId="6054A4B2" w14:textId="2D545545" w:rsidR="00056A64" w:rsidRPr="00285E2E" w:rsidRDefault="006A4CCB" w:rsidP="00285E2E">
      <w:pPr>
        <w:pStyle w:val="Prrafodelista"/>
        <w:tabs>
          <w:tab w:val="left" w:pos="426"/>
        </w:tabs>
        <w:ind w:left="0"/>
        <w:jc w:val="both"/>
        <w:rPr>
          <w:rFonts w:ascii="Gadugi" w:eastAsia="Georgia" w:hAnsi="Gadugi" w:cs="Georgia"/>
          <w:b/>
          <w:bCs/>
          <w:sz w:val="24"/>
          <w:szCs w:val="24"/>
        </w:rPr>
      </w:pPr>
      <w:r w:rsidRPr="00285E2E">
        <w:rPr>
          <w:rFonts w:ascii="Gadugi" w:eastAsia="Georgia" w:hAnsi="Gadugi" w:cs="Georgia"/>
          <w:b/>
          <w:bCs/>
          <w:sz w:val="24"/>
          <w:szCs w:val="24"/>
        </w:rPr>
        <w:t xml:space="preserve">2. </w:t>
      </w:r>
      <w:r w:rsidR="00551C1B" w:rsidRPr="00285E2E">
        <w:rPr>
          <w:rFonts w:ascii="Gadugi" w:eastAsia="Georgia" w:hAnsi="Gadugi" w:cs="Georgia"/>
          <w:b/>
          <w:bCs/>
          <w:sz w:val="24"/>
          <w:szCs w:val="24"/>
        </w:rPr>
        <w:tab/>
      </w:r>
      <w:r w:rsidR="00056A64" w:rsidRPr="00285E2E">
        <w:rPr>
          <w:rFonts w:ascii="Gadugi" w:eastAsia="Georgia" w:hAnsi="Gadugi" w:cs="Georgia"/>
          <w:b/>
          <w:bCs/>
          <w:sz w:val="24"/>
          <w:szCs w:val="24"/>
        </w:rPr>
        <w:t>CONSIDERACIONES</w:t>
      </w:r>
    </w:p>
    <w:p w14:paraId="20B3DA77" w14:textId="2ED0BBC2" w:rsidR="00056A64" w:rsidRPr="00285E2E" w:rsidRDefault="00056A64" w:rsidP="00285E2E">
      <w:pPr>
        <w:jc w:val="both"/>
        <w:rPr>
          <w:rFonts w:ascii="Gadugi" w:eastAsia="Georgia" w:hAnsi="Gadugi" w:cs="Georgia"/>
          <w:b/>
          <w:bCs/>
          <w:sz w:val="24"/>
          <w:szCs w:val="24"/>
        </w:rPr>
      </w:pPr>
    </w:p>
    <w:p w14:paraId="36F55B90" w14:textId="4EE0E4CA" w:rsidR="002A3EE7" w:rsidRPr="00285E2E" w:rsidRDefault="006A4CCB" w:rsidP="00285E2E">
      <w:pPr>
        <w:jc w:val="both"/>
        <w:rPr>
          <w:rFonts w:ascii="Gadugi" w:eastAsia="Georgia" w:hAnsi="Gadugi" w:cs="Georgia"/>
          <w:sz w:val="24"/>
          <w:szCs w:val="24"/>
          <w:lang w:val="es-ES"/>
        </w:rPr>
      </w:pPr>
      <w:r w:rsidRPr="00285E2E">
        <w:rPr>
          <w:rFonts w:ascii="Gadugi" w:eastAsia="Georgia" w:hAnsi="Gadugi" w:cs="Georgia"/>
          <w:sz w:val="24"/>
          <w:szCs w:val="24"/>
          <w:lang w:val="es-ES"/>
        </w:rPr>
        <w:t>2.1.</w:t>
      </w:r>
      <w:r w:rsidR="00056A64" w:rsidRPr="00285E2E">
        <w:rPr>
          <w:rFonts w:ascii="Gadugi" w:eastAsia="Georgia" w:hAnsi="Gadugi" w:cs="Georgia"/>
          <w:sz w:val="24"/>
          <w:szCs w:val="24"/>
          <w:lang w:val="es-ES"/>
        </w:rPr>
        <w:t xml:space="preserve"> Es viable resolver de fondo el asunto por encontrarse reunidos los requisitos procesales para ello</w:t>
      </w:r>
      <w:r w:rsidR="002A3EE7" w:rsidRPr="00285E2E">
        <w:rPr>
          <w:rFonts w:ascii="Gadugi" w:eastAsia="Georgia" w:hAnsi="Gadugi" w:cs="Georgia"/>
          <w:sz w:val="24"/>
          <w:szCs w:val="24"/>
          <w:lang w:val="es-ES"/>
        </w:rPr>
        <w:t xml:space="preserve"> y no adv</w:t>
      </w:r>
      <w:r w:rsidR="00551C1B" w:rsidRPr="00285E2E">
        <w:rPr>
          <w:rFonts w:ascii="Gadugi" w:eastAsia="Georgia" w:hAnsi="Gadugi" w:cs="Georgia"/>
          <w:sz w:val="24"/>
          <w:szCs w:val="24"/>
          <w:lang w:val="es-ES"/>
        </w:rPr>
        <w:t>ertirse</w:t>
      </w:r>
      <w:r w:rsidR="002A3EE7" w:rsidRPr="00285E2E">
        <w:rPr>
          <w:rFonts w:ascii="Gadugi" w:eastAsia="Georgia" w:hAnsi="Gadugi" w:cs="Georgia"/>
          <w:sz w:val="24"/>
          <w:szCs w:val="24"/>
          <w:lang w:val="es-ES"/>
        </w:rPr>
        <w:t xml:space="preserve"> causal de nulidad que pueda dar al traste con lo actuado. </w:t>
      </w:r>
    </w:p>
    <w:p w14:paraId="68C652E6" w14:textId="77777777" w:rsidR="00B3228A" w:rsidRPr="00285E2E" w:rsidRDefault="00B3228A" w:rsidP="00285E2E">
      <w:pPr>
        <w:jc w:val="both"/>
        <w:rPr>
          <w:rFonts w:ascii="Gadugi" w:eastAsia="Georgia" w:hAnsi="Gadugi" w:cs="Georgia"/>
          <w:sz w:val="24"/>
          <w:szCs w:val="24"/>
          <w:lang w:val="es-ES"/>
        </w:rPr>
      </w:pPr>
    </w:p>
    <w:p w14:paraId="4A860875" w14:textId="59A485A0" w:rsidR="00ED0D10" w:rsidRPr="00285E2E" w:rsidRDefault="00B3228A" w:rsidP="00285E2E">
      <w:pPr>
        <w:jc w:val="both"/>
        <w:rPr>
          <w:rFonts w:ascii="Gadugi" w:eastAsia="Georgia" w:hAnsi="Gadugi" w:cs="Georgia"/>
          <w:sz w:val="24"/>
          <w:szCs w:val="24"/>
          <w:lang w:val="es-ES"/>
        </w:rPr>
      </w:pPr>
      <w:r w:rsidRPr="00285E2E">
        <w:rPr>
          <w:rFonts w:ascii="Gadugi" w:eastAsia="Georgia" w:hAnsi="Gadugi" w:cs="Georgia"/>
          <w:sz w:val="24"/>
          <w:szCs w:val="24"/>
          <w:lang w:val="es-ES"/>
        </w:rPr>
        <w:t xml:space="preserve">De otro lado, la legitimación de las partes, por activa y por pasiva, es clara: </w:t>
      </w:r>
      <w:r w:rsidR="006A4CCB" w:rsidRPr="00285E2E">
        <w:rPr>
          <w:rFonts w:ascii="Gadugi" w:eastAsia="Georgia" w:hAnsi="Gadugi" w:cs="Georgia"/>
          <w:sz w:val="24"/>
          <w:szCs w:val="24"/>
          <w:lang w:val="es-ES"/>
        </w:rPr>
        <w:t>el</w:t>
      </w:r>
      <w:r w:rsidRPr="00285E2E">
        <w:rPr>
          <w:rFonts w:ascii="Gadugi" w:eastAsia="Georgia" w:hAnsi="Gadugi" w:cs="Georgia"/>
          <w:sz w:val="24"/>
          <w:szCs w:val="24"/>
          <w:lang w:val="es-ES"/>
        </w:rPr>
        <w:t xml:space="preserve"> demandante, en calidad de herman</w:t>
      </w:r>
      <w:r w:rsidR="006A4CCB" w:rsidRPr="00285E2E">
        <w:rPr>
          <w:rFonts w:ascii="Gadugi" w:eastAsia="Georgia" w:hAnsi="Gadugi" w:cs="Georgia"/>
          <w:sz w:val="24"/>
          <w:szCs w:val="24"/>
          <w:lang w:val="es-ES"/>
        </w:rPr>
        <w:t>o</w:t>
      </w:r>
      <w:r w:rsidRPr="00285E2E">
        <w:rPr>
          <w:rFonts w:ascii="Gadugi" w:eastAsia="Georgia" w:hAnsi="Gadugi" w:cs="Georgia"/>
          <w:sz w:val="24"/>
          <w:szCs w:val="24"/>
          <w:lang w:val="es-ES"/>
        </w:rPr>
        <w:t xml:space="preserve">, que lo fue de </w:t>
      </w:r>
      <w:r w:rsidR="006A4CCB" w:rsidRPr="00285E2E">
        <w:rPr>
          <w:rFonts w:ascii="Gadugi" w:eastAsia="Georgia" w:hAnsi="Gadugi" w:cs="Georgia"/>
          <w:sz w:val="24"/>
          <w:szCs w:val="24"/>
          <w:lang w:val="es-ES"/>
        </w:rPr>
        <w:t>Flor de María Valencia Corrales</w:t>
      </w:r>
      <w:r w:rsidRPr="00285E2E">
        <w:rPr>
          <w:rFonts w:ascii="Gadugi" w:eastAsia="Georgia" w:hAnsi="Gadugi" w:cs="Georgia"/>
          <w:sz w:val="24"/>
          <w:szCs w:val="24"/>
          <w:lang w:val="es-ES"/>
        </w:rPr>
        <w:t>, esto es, con interés en que se declare la nulidad del testamento que ella otorgó; y el demandado, como asignatario a título universal de los bienes de la causante en ese instrumento.</w:t>
      </w:r>
    </w:p>
    <w:p w14:paraId="5EFA1332" w14:textId="61ABED2C" w:rsidR="00B3228A" w:rsidRPr="00285E2E" w:rsidRDefault="00B3228A" w:rsidP="00285E2E">
      <w:pPr>
        <w:jc w:val="both"/>
        <w:rPr>
          <w:rFonts w:ascii="Gadugi" w:eastAsia="Georgia" w:hAnsi="Gadugi" w:cs="Georgia"/>
          <w:sz w:val="24"/>
          <w:szCs w:val="24"/>
          <w:lang w:val="es-ES"/>
        </w:rPr>
      </w:pPr>
    </w:p>
    <w:p w14:paraId="5BC0C3F8" w14:textId="2DDFBD29" w:rsidR="006A4CCB" w:rsidRPr="00285E2E" w:rsidRDefault="006A4CCB" w:rsidP="00285E2E">
      <w:pPr>
        <w:jc w:val="both"/>
        <w:rPr>
          <w:rFonts w:ascii="Gadugi" w:eastAsia="Georgia" w:hAnsi="Gadugi" w:cs="Georgia"/>
          <w:sz w:val="24"/>
          <w:szCs w:val="24"/>
          <w:lang w:val="es-ES"/>
        </w:rPr>
      </w:pPr>
      <w:r w:rsidRPr="00285E2E">
        <w:rPr>
          <w:rFonts w:ascii="Gadugi" w:eastAsia="Georgia" w:hAnsi="Gadugi" w:cs="Georgia"/>
          <w:sz w:val="24"/>
          <w:szCs w:val="24"/>
          <w:lang w:val="es-ES"/>
        </w:rPr>
        <w:t xml:space="preserve">2.2. </w:t>
      </w:r>
      <w:r w:rsidR="00327841" w:rsidRPr="00285E2E">
        <w:rPr>
          <w:rFonts w:ascii="Gadugi" w:eastAsia="Georgia" w:hAnsi="Gadugi" w:cs="Georgia"/>
          <w:sz w:val="24"/>
          <w:szCs w:val="24"/>
          <w:lang w:val="es-ES"/>
        </w:rPr>
        <w:t xml:space="preserve">El asunto </w:t>
      </w:r>
      <w:r w:rsidRPr="00285E2E">
        <w:rPr>
          <w:rFonts w:ascii="Gadugi" w:eastAsia="Georgia" w:hAnsi="Gadugi" w:cs="Georgia"/>
          <w:sz w:val="24"/>
          <w:szCs w:val="24"/>
          <w:lang w:val="es-ES"/>
        </w:rPr>
        <w:t xml:space="preserve">se contrae, como se anunció, a la invalidez del testamento que contiene la escritura pública número 022 del 29 de enero de 2020 de la Notaría Única de Quinchía otorgado por Flor de María Valencia Corrales, en la que instituyó como heredero universal </w:t>
      </w:r>
      <w:r w:rsidR="00433E7F" w:rsidRPr="00285E2E">
        <w:rPr>
          <w:rFonts w:ascii="Gadugi" w:eastAsia="Georgia" w:hAnsi="Gadugi" w:cs="Georgia"/>
          <w:sz w:val="24"/>
          <w:szCs w:val="24"/>
          <w:lang w:val="es-ES"/>
        </w:rPr>
        <w:t xml:space="preserve">de sus bienes </w:t>
      </w:r>
      <w:r w:rsidRPr="00285E2E">
        <w:rPr>
          <w:rFonts w:ascii="Gadugi" w:eastAsia="Georgia" w:hAnsi="Gadugi" w:cs="Georgia"/>
          <w:sz w:val="24"/>
          <w:szCs w:val="24"/>
          <w:lang w:val="es-ES"/>
        </w:rPr>
        <w:t>a Debian Yohany Guevara Morales</w:t>
      </w:r>
      <w:r w:rsidR="00460244" w:rsidRPr="00285E2E">
        <w:rPr>
          <w:rStyle w:val="Refdenotaalpie"/>
          <w:rFonts w:ascii="Gadugi" w:eastAsia="Georgia" w:hAnsi="Gadugi" w:cs="Georgia"/>
          <w:sz w:val="24"/>
          <w:szCs w:val="24"/>
          <w:lang w:val="es-ES"/>
        </w:rPr>
        <w:footnoteReference w:id="10"/>
      </w:r>
      <w:r w:rsidRPr="00285E2E">
        <w:rPr>
          <w:rFonts w:ascii="Gadugi" w:eastAsia="Georgia" w:hAnsi="Gadugi" w:cs="Georgia"/>
          <w:sz w:val="24"/>
          <w:szCs w:val="24"/>
          <w:lang w:val="es-ES"/>
        </w:rPr>
        <w:t xml:space="preserve">; nulidad que se impetró porque se </w:t>
      </w:r>
      <w:r w:rsidR="00433E7F" w:rsidRPr="00285E2E">
        <w:rPr>
          <w:rFonts w:ascii="Gadugi" w:eastAsia="Georgia" w:hAnsi="Gadugi" w:cs="Georgia"/>
          <w:sz w:val="24"/>
          <w:szCs w:val="24"/>
          <w:lang w:val="es-ES"/>
        </w:rPr>
        <w:t xml:space="preserve">incurrió en la prohibición prevista en el numeral 15 del artículo 1068 del Código Civil. </w:t>
      </w:r>
      <w:r w:rsidRPr="00285E2E">
        <w:rPr>
          <w:rFonts w:ascii="Gadugi" w:eastAsia="Georgia" w:hAnsi="Gadugi" w:cs="Georgia"/>
          <w:sz w:val="24"/>
          <w:szCs w:val="24"/>
          <w:lang w:val="es-ES"/>
        </w:rPr>
        <w:t xml:space="preserve"> </w:t>
      </w:r>
    </w:p>
    <w:p w14:paraId="3F96BA93" w14:textId="028D2762" w:rsidR="006A4CCB" w:rsidRPr="00285E2E" w:rsidRDefault="006A4CCB" w:rsidP="00285E2E">
      <w:pPr>
        <w:jc w:val="both"/>
        <w:rPr>
          <w:rFonts w:ascii="Gadugi" w:eastAsia="Georgia" w:hAnsi="Gadugi" w:cs="Georgia"/>
          <w:sz w:val="24"/>
          <w:szCs w:val="24"/>
          <w:lang w:val="es-ES"/>
        </w:rPr>
      </w:pPr>
    </w:p>
    <w:p w14:paraId="1F710854" w14:textId="33673318" w:rsidR="002D702D" w:rsidRPr="00285E2E" w:rsidRDefault="002D702D" w:rsidP="00285E2E">
      <w:pPr>
        <w:jc w:val="both"/>
        <w:rPr>
          <w:rFonts w:ascii="Gadugi" w:eastAsia="Georgia" w:hAnsi="Gadugi" w:cs="Georgia"/>
          <w:sz w:val="24"/>
          <w:szCs w:val="24"/>
          <w:lang w:val="es-ES"/>
        </w:rPr>
      </w:pPr>
      <w:r w:rsidRPr="00285E2E">
        <w:rPr>
          <w:rFonts w:ascii="Gadugi" w:eastAsia="Georgia" w:hAnsi="Gadugi" w:cs="Georgia"/>
          <w:sz w:val="24"/>
          <w:szCs w:val="24"/>
          <w:lang w:val="es-ES"/>
        </w:rPr>
        <w:lastRenderedPageBreak/>
        <w:t xml:space="preserve">Pues bien, un testamento contiene la expresión de la voluntad de una persona para que se haga valer después de su muerte; para que tenga </w:t>
      </w:r>
      <w:r w:rsidRPr="00285E2E">
        <w:rPr>
          <w:rFonts w:ascii="Gadugi" w:eastAsia="Georgia" w:hAnsi="Gadugi" w:cs="Georgia"/>
          <w:i/>
          <w:sz w:val="24"/>
          <w:szCs w:val="24"/>
          <w:lang w:val="es-ES"/>
        </w:rPr>
        <w:t>“pleno efecto”</w:t>
      </w:r>
      <w:r w:rsidRPr="00285E2E">
        <w:rPr>
          <w:rFonts w:ascii="Gadugi" w:eastAsia="Georgia" w:hAnsi="Gadugi" w:cs="Georgia"/>
          <w:sz w:val="24"/>
          <w:szCs w:val="24"/>
          <w:lang w:val="es-ES"/>
        </w:rPr>
        <w:t>, dice la norma (art. 1055 C.C.)</w:t>
      </w:r>
      <w:r w:rsidR="00D56470" w:rsidRPr="00285E2E">
        <w:rPr>
          <w:rFonts w:ascii="Gadugi" w:eastAsia="Georgia" w:hAnsi="Gadugi" w:cs="Georgia"/>
          <w:sz w:val="24"/>
          <w:szCs w:val="24"/>
          <w:lang w:val="es-ES"/>
        </w:rPr>
        <w:t>,</w:t>
      </w:r>
      <w:r w:rsidRPr="00285E2E">
        <w:rPr>
          <w:rFonts w:ascii="Gadugi" w:eastAsia="Georgia" w:hAnsi="Gadugi" w:cs="Georgia"/>
          <w:sz w:val="24"/>
          <w:szCs w:val="24"/>
          <w:lang w:val="es-ES"/>
        </w:rPr>
        <w:t xml:space="preserve"> al terminar sus días. Esa manifestación, desarrolla aquella potestad del propietario de disponer de sus bienes a su arbitrio, siempre que con ello no afecte derechos ajenos, pero además el principio de la autonomía privada que, como tal, debe ser aceptada irrestrictamente por todo el mundo, en garantía de la seguridad jurídica que debe ofrecer y debe ser digna, por tanto, de la protección judicial. </w:t>
      </w:r>
    </w:p>
    <w:p w14:paraId="4E594938" w14:textId="77777777" w:rsidR="002D702D" w:rsidRPr="00285E2E" w:rsidRDefault="002D702D" w:rsidP="00285E2E">
      <w:pPr>
        <w:jc w:val="both"/>
        <w:rPr>
          <w:rFonts w:ascii="Gadugi" w:eastAsia="Georgia" w:hAnsi="Gadugi" w:cs="Georgia"/>
          <w:sz w:val="24"/>
          <w:szCs w:val="24"/>
          <w:lang w:val="es-ES"/>
        </w:rPr>
      </w:pPr>
    </w:p>
    <w:p w14:paraId="49291715" w14:textId="564794E8" w:rsidR="00D56470" w:rsidRPr="00285E2E" w:rsidRDefault="002D702D" w:rsidP="00285E2E">
      <w:pPr>
        <w:jc w:val="both"/>
        <w:rPr>
          <w:rFonts w:ascii="Gadugi" w:eastAsia="Georgia" w:hAnsi="Gadugi" w:cs="Georgia"/>
          <w:sz w:val="24"/>
          <w:szCs w:val="24"/>
          <w:lang w:val="es-ES"/>
        </w:rPr>
      </w:pPr>
      <w:r w:rsidRPr="00285E2E">
        <w:rPr>
          <w:rFonts w:ascii="Gadugi" w:eastAsia="Georgia" w:hAnsi="Gadugi" w:cs="Georgia"/>
          <w:sz w:val="24"/>
          <w:szCs w:val="24"/>
          <w:lang w:val="es-ES"/>
        </w:rPr>
        <w:t xml:space="preserve">Esas mismas circunstancias hacen que la ley tenga el acto de testar como más o menos solemne, según las condiciones en que se halle el otorgante. Entre las modalidades de testamento solemne está el </w:t>
      </w:r>
      <w:r w:rsidR="00D56470" w:rsidRPr="00285E2E">
        <w:rPr>
          <w:rFonts w:ascii="Gadugi" w:eastAsia="Georgia" w:hAnsi="Gadugi" w:cs="Georgia"/>
          <w:sz w:val="24"/>
          <w:szCs w:val="24"/>
          <w:lang w:val="es-ES"/>
        </w:rPr>
        <w:t>cerrado</w:t>
      </w:r>
      <w:r w:rsidRPr="00285E2E">
        <w:rPr>
          <w:rFonts w:ascii="Gadugi" w:eastAsia="Georgia" w:hAnsi="Gadugi" w:cs="Georgia"/>
          <w:sz w:val="24"/>
          <w:szCs w:val="24"/>
          <w:lang w:val="es-ES"/>
        </w:rPr>
        <w:t xml:space="preserve"> que se otorga ante notario y</w:t>
      </w:r>
      <w:r w:rsidR="00A370DD" w:rsidRPr="00285E2E">
        <w:rPr>
          <w:rFonts w:ascii="Gadugi" w:eastAsia="Georgia" w:hAnsi="Gadugi" w:cs="Georgia"/>
          <w:sz w:val="24"/>
          <w:szCs w:val="24"/>
          <w:lang w:val="es-ES"/>
        </w:rPr>
        <w:t xml:space="preserve"> en presencia de</w:t>
      </w:r>
      <w:r w:rsidRPr="00285E2E">
        <w:rPr>
          <w:rFonts w:ascii="Gadugi" w:eastAsia="Georgia" w:hAnsi="Gadugi" w:cs="Georgia"/>
          <w:sz w:val="24"/>
          <w:szCs w:val="24"/>
          <w:lang w:val="es-ES"/>
        </w:rPr>
        <w:t xml:space="preserve"> </w:t>
      </w:r>
      <w:r w:rsidR="00D56470" w:rsidRPr="00285E2E">
        <w:rPr>
          <w:rFonts w:ascii="Gadugi" w:eastAsia="Georgia" w:hAnsi="Gadugi" w:cs="Georgia"/>
          <w:sz w:val="24"/>
          <w:szCs w:val="24"/>
          <w:lang w:val="es-ES"/>
        </w:rPr>
        <w:t>cinco</w:t>
      </w:r>
      <w:r w:rsidRPr="00285E2E">
        <w:rPr>
          <w:rFonts w:ascii="Gadugi" w:eastAsia="Georgia" w:hAnsi="Gadugi" w:cs="Georgia"/>
          <w:sz w:val="24"/>
          <w:szCs w:val="24"/>
          <w:lang w:val="es-ES"/>
        </w:rPr>
        <w:t xml:space="preserve"> testigos</w:t>
      </w:r>
      <w:r w:rsidR="00D56470" w:rsidRPr="00285E2E">
        <w:rPr>
          <w:rFonts w:ascii="Gadugi" w:eastAsia="Georgia" w:hAnsi="Gadugi" w:cs="Georgia"/>
          <w:sz w:val="24"/>
          <w:szCs w:val="24"/>
          <w:lang w:val="es-ES"/>
        </w:rPr>
        <w:t xml:space="preserve"> (Art. 1078 C.C.)</w:t>
      </w:r>
      <w:r w:rsidR="00A370DD" w:rsidRPr="00285E2E">
        <w:rPr>
          <w:rFonts w:ascii="Gadugi" w:eastAsia="Georgia" w:hAnsi="Gadugi" w:cs="Georgia"/>
          <w:sz w:val="24"/>
          <w:szCs w:val="24"/>
          <w:lang w:val="es-ES"/>
        </w:rPr>
        <w:t xml:space="preserve">, quienes no podrán tener, con otro de los testigos, parentesco dentro del tercer grado de consanguinidad o segundo de afinidad (Núm. 12 y 15, Art. 1068 C.C.). </w:t>
      </w:r>
    </w:p>
    <w:p w14:paraId="14DD94CD" w14:textId="2657C83A" w:rsidR="00D56470" w:rsidRPr="00285E2E" w:rsidRDefault="00D56470" w:rsidP="00285E2E">
      <w:pPr>
        <w:jc w:val="both"/>
        <w:rPr>
          <w:rFonts w:ascii="Gadugi" w:eastAsia="Georgia" w:hAnsi="Gadugi" w:cs="Georgia"/>
          <w:sz w:val="24"/>
          <w:szCs w:val="24"/>
          <w:lang w:val="es-ES"/>
        </w:rPr>
      </w:pPr>
    </w:p>
    <w:p w14:paraId="10A92A12" w14:textId="084E1795" w:rsidR="00790C45" w:rsidRPr="00285E2E" w:rsidRDefault="00EE5107" w:rsidP="00285E2E">
      <w:pPr>
        <w:jc w:val="both"/>
        <w:rPr>
          <w:rFonts w:ascii="Gadugi" w:eastAsia="Georgia" w:hAnsi="Gadugi" w:cs="Georgia"/>
          <w:sz w:val="24"/>
          <w:szCs w:val="24"/>
          <w:lang w:val="es-ES"/>
        </w:rPr>
      </w:pPr>
      <w:r w:rsidRPr="00285E2E">
        <w:rPr>
          <w:rFonts w:ascii="Gadugi" w:eastAsia="Georgia" w:hAnsi="Gadugi" w:cs="Georgia"/>
          <w:sz w:val="24"/>
          <w:szCs w:val="24"/>
          <w:lang w:val="es-ES"/>
        </w:rPr>
        <w:t>Sobre</w:t>
      </w:r>
      <w:r w:rsidR="00760DE4" w:rsidRPr="00285E2E">
        <w:rPr>
          <w:rFonts w:ascii="Gadugi" w:eastAsia="Georgia" w:hAnsi="Gadugi" w:cs="Georgia"/>
          <w:sz w:val="24"/>
          <w:szCs w:val="24"/>
          <w:lang w:val="es-ES"/>
        </w:rPr>
        <w:t xml:space="preserve"> el cumplimiento de las solemnidades </w:t>
      </w:r>
      <w:r w:rsidRPr="00285E2E">
        <w:rPr>
          <w:rFonts w:ascii="Gadugi" w:eastAsia="Georgia" w:hAnsi="Gadugi" w:cs="Georgia"/>
          <w:sz w:val="24"/>
          <w:szCs w:val="24"/>
          <w:lang w:val="es-ES"/>
        </w:rPr>
        <w:t>en</w:t>
      </w:r>
      <w:r w:rsidR="00760DE4" w:rsidRPr="00285E2E">
        <w:rPr>
          <w:rFonts w:ascii="Gadugi" w:eastAsia="Georgia" w:hAnsi="Gadugi" w:cs="Georgia"/>
          <w:sz w:val="24"/>
          <w:szCs w:val="24"/>
          <w:lang w:val="es-ES"/>
        </w:rPr>
        <w:t xml:space="preserve"> los testamentos, vale la pena recordar lo explicado por la Sala de Casación Civil de la Corte Suprema de Justicia, en un asunto de </w:t>
      </w:r>
      <w:r w:rsidR="00EC1506" w:rsidRPr="00285E2E">
        <w:rPr>
          <w:rFonts w:ascii="Gadugi" w:eastAsia="Georgia" w:hAnsi="Gadugi" w:cs="Georgia"/>
          <w:sz w:val="24"/>
          <w:szCs w:val="24"/>
          <w:lang w:val="es-ES"/>
        </w:rPr>
        <w:t>similares</w:t>
      </w:r>
      <w:r w:rsidR="00760DE4" w:rsidRPr="00285E2E">
        <w:rPr>
          <w:rFonts w:ascii="Gadugi" w:eastAsia="Georgia" w:hAnsi="Gadugi" w:cs="Georgia"/>
          <w:sz w:val="24"/>
          <w:szCs w:val="24"/>
          <w:lang w:val="es-ES"/>
        </w:rPr>
        <w:t xml:space="preserve"> contornos</w:t>
      </w:r>
      <w:r w:rsidRPr="00285E2E">
        <w:rPr>
          <w:rFonts w:ascii="Gadugi" w:eastAsia="Georgia" w:hAnsi="Gadugi" w:cs="Georgia"/>
          <w:sz w:val="24"/>
          <w:szCs w:val="24"/>
          <w:lang w:val="es-ES"/>
        </w:rPr>
        <w:t>, en el que también se debatía el contenido del numeral 15 del artículo 1068 del Código Civil</w:t>
      </w:r>
      <w:r w:rsidR="00DA77CB" w:rsidRPr="00285E2E">
        <w:rPr>
          <w:rStyle w:val="Refdenotaalpie"/>
          <w:rFonts w:ascii="Gadugi" w:eastAsia="Georgia" w:hAnsi="Gadugi" w:cs="Georgia"/>
          <w:sz w:val="24"/>
          <w:szCs w:val="24"/>
          <w:lang w:val="es-ES"/>
        </w:rPr>
        <w:footnoteReference w:id="11"/>
      </w:r>
      <w:r w:rsidR="00760DE4" w:rsidRPr="00285E2E">
        <w:rPr>
          <w:rFonts w:ascii="Gadugi" w:eastAsia="Georgia" w:hAnsi="Gadugi" w:cs="Georgia"/>
          <w:sz w:val="24"/>
          <w:szCs w:val="24"/>
          <w:lang w:val="es-ES"/>
        </w:rPr>
        <w:t xml:space="preserve">: </w:t>
      </w:r>
    </w:p>
    <w:p w14:paraId="1100DD26" w14:textId="77777777" w:rsidR="00A370DD" w:rsidRPr="00285E2E" w:rsidRDefault="00A370DD" w:rsidP="00285E2E">
      <w:pPr>
        <w:ind w:left="567" w:right="850"/>
        <w:jc w:val="both"/>
        <w:rPr>
          <w:rFonts w:ascii="Gadugi" w:eastAsia="Georgia" w:hAnsi="Gadugi" w:cs="Georgia"/>
          <w:sz w:val="24"/>
          <w:szCs w:val="24"/>
          <w:lang w:val="es-ES"/>
        </w:rPr>
      </w:pPr>
    </w:p>
    <w:p w14:paraId="344E1B48" w14:textId="77777777" w:rsidR="00760DE4" w:rsidRPr="00285E2E" w:rsidRDefault="00760DE4" w:rsidP="00285E2E">
      <w:pPr>
        <w:widowControl w:val="0"/>
        <w:spacing w:line="240" w:lineRule="auto"/>
        <w:ind w:left="426" w:right="420"/>
        <w:contextualSpacing/>
        <w:jc w:val="both"/>
        <w:outlineLvl w:val="2"/>
        <w:rPr>
          <w:rFonts w:ascii="Gadugi" w:eastAsia="Times New Roman" w:hAnsi="Gadugi" w:cs="Times New Roman"/>
          <w:iCs/>
          <w:szCs w:val="24"/>
          <w:lang w:val="es-CO" w:eastAsia="es-ES"/>
        </w:rPr>
      </w:pPr>
      <w:r w:rsidRPr="00285E2E">
        <w:rPr>
          <w:rFonts w:ascii="Gadugi" w:eastAsia="Times New Roman" w:hAnsi="Gadugi" w:cs="Times New Roman"/>
          <w:iCs/>
          <w:szCs w:val="24"/>
          <w:lang w:val="es-CO" w:eastAsia="es-ES"/>
        </w:rPr>
        <w:t>3.- Respecto del cumplimiento de las formalidades de la memoria testamentaria esta Corporación ha indicado, que dichas normas «</w:t>
      </w:r>
      <w:r w:rsidRPr="00285E2E">
        <w:rPr>
          <w:rFonts w:ascii="Gadugi" w:eastAsia="Times New Roman" w:hAnsi="Gadugi" w:cs="Times New Roman"/>
          <w:i/>
          <w:iCs/>
          <w:szCs w:val="24"/>
          <w:lang w:val="es-CO" w:eastAsia="es-ES"/>
        </w:rPr>
        <w:t xml:space="preserve">reflejan el rigor con que el legislador quiso rodear la expresión de la última voluntad del testador, para garantizar de ese modo, la pureza del acto y evitar deformaciones de esa voluntad, hasta el punto de disponer que el ‘testamento solemne, abierto o cerrado, en que se omitiere cualquiera de las formalidades a que debe respectivamente sujetarse, según los artículos precedentes, </w:t>
      </w:r>
      <w:r w:rsidRPr="00285E2E">
        <w:rPr>
          <w:rFonts w:ascii="Gadugi" w:eastAsia="Times New Roman" w:hAnsi="Gadugi" w:cs="Times New Roman"/>
          <w:b/>
          <w:i/>
          <w:iCs/>
          <w:szCs w:val="24"/>
          <w:lang w:val="es-CO" w:eastAsia="es-ES"/>
        </w:rPr>
        <w:t>no tendrá valor alguno</w:t>
      </w:r>
      <w:r w:rsidRPr="00285E2E">
        <w:rPr>
          <w:rFonts w:ascii="Gadugi" w:eastAsia="Times New Roman" w:hAnsi="Gadugi" w:cs="Times New Roman"/>
          <w:i/>
          <w:iCs/>
          <w:szCs w:val="24"/>
          <w:lang w:val="es-CO" w:eastAsia="es-ES"/>
        </w:rPr>
        <w:t>’»</w:t>
      </w:r>
      <w:r w:rsidRPr="00285E2E">
        <w:rPr>
          <w:rFonts w:ascii="Gadugi" w:eastAsia="Times New Roman" w:hAnsi="Gadugi" w:cs="Times New Roman"/>
          <w:iCs/>
          <w:szCs w:val="24"/>
          <w:lang w:val="es-CO" w:eastAsia="es-ES"/>
        </w:rPr>
        <w:t xml:space="preserve"> (CSJ SC de 20 de may. de 1997, exp. 4856). </w:t>
      </w:r>
    </w:p>
    <w:p w14:paraId="337978C4" w14:textId="77777777" w:rsidR="00760DE4" w:rsidRPr="00285E2E" w:rsidRDefault="00760DE4" w:rsidP="00285E2E">
      <w:pPr>
        <w:widowControl w:val="0"/>
        <w:spacing w:line="240" w:lineRule="auto"/>
        <w:ind w:left="426" w:right="420" w:firstLine="709"/>
        <w:contextualSpacing/>
        <w:jc w:val="both"/>
        <w:outlineLvl w:val="2"/>
        <w:rPr>
          <w:rFonts w:ascii="Gadugi" w:eastAsia="Times New Roman" w:hAnsi="Gadugi" w:cs="Times New Roman"/>
          <w:iCs/>
          <w:szCs w:val="24"/>
          <w:lang w:val="es-CO" w:eastAsia="es-ES"/>
        </w:rPr>
      </w:pPr>
    </w:p>
    <w:p w14:paraId="561AC859" w14:textId="77777777" w:rsidR="00760DE4" w:rsidRPr="00285E2E" w:rsidRDefault="00760DE4" w:rsidP="00285E2E">
      <w:pPr>
        <w:widowControl w:val="0"/>
        <w:spacing w:line="240" w:lineRule="auto"/>
        <w:ind w:left="426" w:right="420"/>
        <w:contextualSpacing/>
        <w:jc w:val="both"/>
        <w:outlineLvl w:val="2"/>
        <w:rPr>
          <w:rFonts w:ascii="Gadugi" w:eastAsia="Times New Roman" w:hAnsi="Gadugi" w:cs="Times New Roman"/>
          <w:iCs/>
          <w:szCs w:val="24"/>
          <w:lang w:val="es-CO" w:eastAsia="es-ES"/>
        </w:rPr>
      </w:pPr>
      <w:r w:rsidRPr="00285E2E">
        <w:rPr>
          <w:rFonts w:ascii="Gadugi" w:eastAsia="Times New Roman" w:hAnsi="Gadugi" w:cs="Times New Roman"/>
          <w:iCs/>
          <w:szCs w:val="24"/>
          <w:lang w:val="es-CO" w:eastAsia="es-ES"/>
        </w:rPr>
        <w:t>Exigencias que, si bien han merecido algún relajamiento en su manejo por parte de la jurisprudencia, no pueden ser en modo alguno desconocidas, dado el carácter de acto solemne que tiene dicha manifestación de voluntad, a capa de afectar la validez sustancial del acto, como ha indicado la Corte, precisando en relación al tema que:</w:t>
      </w:r>
    </w:p>
    <w:p w14:paraId="5C84F3AB" w14:textId="77777777" w:rsidR="00760DE4" w:rsidRPr="00285E2E" w:rsidRDefault="00760DE4" w:rsidP="00285E2E">
      <w:pPr>
        <w:widowControl w:val="0"/>
        <w:spacing w:line="240" w:lineRule="auto"/>
        <w:ind w:left="426" w:right="420" w:firstLine="709"/>
        <w:contextualSpacing/>
        <w:jc w:val="both"/>
        <w:outlineLvl w:val="2"/>
        <w:rPr>
          <w:rFonts w:ascii="Gadugi" w:eastAsia="Times New Roman" w:hAnsi="Gadugi" w:cs="Times New Roman"/>
          <w:iCs/>
          <w:szCs w:val="24"/>
          <w:lang w:val="es-CO" w:eastAsia="es-ES"/>
        </w:rPr>
      </w:pPr>
    </w:p>
    <w:p w14:paraId="7384D231" w14:textId="77F11D60" w:rsidR="00760DE4" w:rsidRPr="00285E2E" w:rsidRDefault="00760DE4" w:rsidP="00285E2E">
      <w:pPr>
        <w:widowControl w:val="0"/>
        <w:spacing w:line="240" w:lineRule="auto"/>
        <w:ind w:left="426" w:right="420"/>
        <w:contextualSpacing/>
        <w:jc w:val="both"/>
        <w:outlineLvl w:val="2"/>
        <w:rPr>
          <w:rFonts w:ascii="Gadugi" w:eastAsia="Times New Roman" w:hAnsi="Gadugi" w:cs="Times New Roman"/>
          <w:i/>
          <w:iCs/>
          <w:szCs w:val="24"/>
          <w:lang w:val="es-CO" w:eastAsia="es-ES"/>
        </w:rPr>
      </w:pPr>
      <w:r w:rsidRPr="00285E2E">
        <w:rPr>
          <w:rFonts w:ascii="Gadugi" w:eastAsia="Times New Roman" w:hAnsi="Gadugi" w:cs="Times New Roman"/>
          <w:i/>
          <w:iCs/>
          <w:szCs w:val="24"/>
          <w:lang w:val="es-CO" w:eastAsia="es-ES"/>
        </w:rPr>
        <w:t>"…</w:t>
      </w:r>
      <w:r w:rsidR="00285E2E">
        <w:rPr>
          <w:rFonts w:ascii="Gadugi" w:eastAsia="Times New Roman" w:hAnsi="Gadugi" w:cs="Times New Roman"/>
          <w:i/>
          <w:iCs/>
          <w:szCs w:val="24"/>
          <w:lang w:val="es-CO" w:eastAsia="es-ES"/>
        </w:rPr>
        <w:t xml:space="preserve"> </w:t>
      </w:r>
      <w:r w:rsidRPr="00285E2E">
        <w:rPr>
          <w:rFonts w:ascii="Gadugi" w:eastAsia="Times New Roman" w:hAnsi="Gadugi" w:cs="Times New Roman"/>
          <w:i/>
          <w:iCs/>
          <w:szCs w:val="24"/>
          <w:lang w:val="es-CO" w:eastAsia="es-ES"/>
        </w:rPr>
        <w:t>en materia de nulidades, y especialmente en las referentes a los testamentos, el criterio debe ser siempre restricto y jamás de ampliación, por lo grave que es dejar, sin fundamentos muy sólidos y sin razones muy evidentes, ineficaz e inoperante la última voluntad del testador". (G.J. t. LIV bis, pág. 157; LXXXIV, pág. 366 y CXIII, pág. 108).</w:t>
      </w:r>
    </w:p>
    <w:p w14:paraId="4980914B" w14:textId="77777777" w:rsidR="00760DE4" w:rsidRPr="00285E2E" w:rsidRDefault="00760DE4" w:rsidP="00285E2E">
      <w:pPr>
        <w:widowControl w:val="0"/>
        <w:spacing w:line="240" w:lineRule="auto"/>
        <w:ind w:left="426" w:right="420" w:firstLine="709"/>
        <w:contextualSpacing/>
        <w:jc w:val="both"/>
        <w:rPr>
          <w:rFonts w:ascii="Gadugi" w:eastAsia="Times New Roman" w:hAnsi="Gadugi"/>
          <w:i/>
          <w:szCs w:val="24"/>
          <w:lang w:val="es-EC" w:eastAsia="es-ES"/>
        </w:rPr>
      </w:pPr>
    </w:p>
    <w:p w14:paraId="6452CEDF" w14:textId="77777777" w:rsidR="00760DE4" w:rsidRPr="00285E2E" w:rsidRDefault="00760DE4" w:rsidP="00285E2E">
      <w:pPr>
        <w:widowControl w:val="0"/>
        <w:spacing w:line="240" w:lineRule="auto"/>
        <w:ind w:left="426" w:right="420"/>
        <w:contextualSpacing/>
        <w:jc w:val="both"/>
        <w:outlineLvl w:val="2"/>
        <w:rPr>
          <w:rFonts w:ascii="Gadugi" w:eastAsia="Times New Roman" w:hAnsi="Gadugi" w:cs="Times New Roman"/>
          <w:iCs/>
          <w:spacing w:val="-2"/>
          <w:szCs w:val="24"/>
          <w:lang w:val="es-CO" w:eastAsia="es-ES"/>
        </w:rPr>
      </w:pPr>
      <w:r w:rsidRPr="00285E2E">
        <w:rPr>
          <w:rFonts w:ascii="Gadugi" w:eastAsia="Times New Roman" w:hAnsi="Gadugi" w:cs="Times New Roman"/>
          <w:i/>
          <w:iCs/>
          <w:szCs w:val="24"/>
          <w:lang w:val="es-CO" w:eastAsia="es-ES"/>
        </w:rPr>
        <w:t xml:space="preserve">Surge evidente, entonces, que el propósito del legislador ha sido el de propender por la estabilidad, firmeza y cumplida ejecución de la última voluntad de quien decide disponer de sus bienes mediante alguna de las formas testamentarias preestablecidas; </w:t>
      </w:r>
      <w:r w:rsidRPr="00285E2E">
        <w:rPr>
          <w:rFonts w:ascii="Gadugi" w:eastAsia="Times New Roman" w:hAnsi="Gadugi" w:cs="Times New Roman"/>
          <w:i/>
          <w:iCs/>
          <w:szCs w:val="24"/>
          <w:u w:val="single"/>
          <w:lang w:val="es-CO" w:eastAsia="es-ES"/>
        </w:rPr>
        <w:t xml:space="preserve">por esa razón, únicamente son susceptibles de invalidar los actos solemnes de aquella especie respecto de los cuales se demuestre en forma fehaciente la existencia de errores en su otorgamiento que, sin resquicio de duda, estructuren alguna de las precisas y concretas causales de nulidad consagradas en el ordenamiento positivo, y </w:t>
      </w:r>
      <w:r w:rsidRPr="00285E2E">
        <w:rPr>
          <w:rFonts w:ascii="Gadugi" w:eastAsia="Times New Roman" w:hAnsi="Gadugi" w:cs="Times New Roman"/>
          <w:i/>
          <w:iCs/>
          <w:szCs w:val="24"/>
          <w:u w:val="single"/>
          <w:lang w:val="es-CO" w:eastAsia="es-ES"/>
        </w:rPr>
        <w:lastRenderedPageBreak/>
        <w:t>no cualquier otro vicio o irregularidad.</w:t>
      </w:r>
      <w:r w:rsidRPr="00285E2E">
        <w:rPr>
          <w:rFonts w:ascii="Gadugi" w:eastAsia="Times New Roman" w:hAnsi="Gadugi" w:cs="Times New Roman"/>
          <w:iCs/>
          <w:szCs w:val="24"/>
          <w:lang w:val="es-CO" w:eastAsia="es-ES"/>
        </w:rPr>
        <w:t xml:space="preserve"> (CSJ SC 13 de oct. de 2006). (Resalta la Corte). </w:t>
      </w:r>
    </w:p>
    <w:p w14:paraId="57D73F0A" w14:textId="77777777" w:rsidR="00760DE4" w:rsidRPr="00285E2E" w:rsidRDefault="00760DE4" w:rsidP="00285E2E">
      <w:pPr>
        <w:widowControl w:val="0"/>
        <w:spacing w:line="240" w:lineRule="auto"/>
        <w:ind w:left="426" w:right="420" w:firstLine="709"/>
        <w:contextualSpacing/>
        <w:jc w:val="both"/>
        <w:outlineLvl w:val="2"/>
        <w:rPr>
          <w:rFonts w:ascii="Gadugi" w:eastAsia="Times New Roman" w:hAnsi="Gadugi" w:cs="Times New Roman"/>
          <w:iCs/>
          <w:szCs w:val="24"/>
          <w:lang w:val="es-CO" w:eastAsia="es-ES"/>
        </w:rPr>
      </w:pPr>
    </w:p>
    <w:p w14:paraId="779A5066" w14:textId="77777777" w:rsidR="00760DE4" w:rsidRPr="00285E2E" w:rsidRDefault="00760DE4" w:rsidP="00285E2E">
      <w:pPr>
        <w:widowControl w:val="0"/>
        <w:spacing w:line="240" w:lineRule="auto"/>
        <w:ind w:left="426" w:right="420"/>
        <w:contextualSpacing/>
        <w:jc w:val="both"/>
        <w:rPr>
          <w:rFonts w:ascii="Gadugi" w:eastAsia="Times New Roman" w:hAnsi="Gadugi" w:cs="Times New Roman"/>
          <w:szCs w:val="24"/>
          <w:lang w:val="es-CO" w:eastAsia="es-ES"/>
        </w:rPr>
      </w:pPr>
      <w:r w:rsidRPr="00285E2E">
        <w:rPr>
          <w:rFonts w:ascii="Gadugi" w:eastAsia="Times New Roman" w:hAnsi="Gadugi" w:cs="Times New Roman"/>
          <w:szCs w:val="24"/>
          <w:lang w:val="es-ES" w:eastAsia="es-ES"/>
        </w:rPr>
        <w:t xml:space="preserve">Atendiendo esa naturaleza unilateral del acto testamentario, que está llamado a tener efecto después de la muerte, para que pueda cumplir dicho cometido tiene que sujetarse a todas las formalidades que prevé el ordenamiento, las cuales deberán satisfacerse al momento de su otorgamiento, so pena de </w:t>
      </w:r>
      <w:r w:rsidRPr="00285E2E">
        <w:rPr>
          <w:rFonts w:ascii="Gadugi" w:eastAsia="Times New Roman" w:hAnsi="Gadugi" w:cs="Times New Roman"/>
          <w:b/>
          <w:i/>
          <w:szCs w:val="24"/>
          <w:lang w:val="es-ES" w:eastAsia="es-ES"/>
        </w:rPr>
        <w:t>no tener valor alguno</w:t>
      </w:r>
      <w:r w:rsidRPr="00285E2E">
        <w:rPr>
          <w:rFonts w:ascii="Gadugi" w:eastAsia="Times New Roman" w:hAnsi="Gadugi" w:cs="Times New Roman"/>
          <w:szCs w:val="24"/>
          <w:lang w:val="es-ES" w:eastAsia="es-ES"/>
        </w:rPr>
        <w:t>, como expresamente lo contempla el art. 11 de la ley 95 de 1890, que a la letra enseña: «</w:t>
      </w:r>
      <w:r w:rsidRPr="00285E2E">
        <w:rPr>
          <w:rFonts w:ascii="Gadugi" w:eastAsia="Times New Roman" w:hAnsi="Gadugi" w:cs="Times New Roman"/>
          <w:i/>
          <w:szCs w:val="24"/>
          <w:lang w:val="es-ES" w:eastAsia="es-ES"/>
        </w:rPr>
        <w:t>El testamento solemne, abierto o cerrado, en que se omitiere cualquiera de las formalidades a que debe, respectivamente, sujetarse, según los artículos precedentes, no tendrá valor alguno</w:t>
      </w:r>
      <w:r w:rsidRPr="00285E2E">
        <w:rPr>
          <w:rFonts w:ascii="Gadugi" w:eastAsia="Times New Roman" w:hAnsi="Gadugi" w:cs="Times New Roman"/>
          <w:szCs w:val="24"/>
          <w:lang w:val="es-ES" w:eastAsia="es-ES"/>
        </w:rPr>
        <w:t>…». Invalidez que la misma normativa indica no tendrá lugar «</w:t>
      </w:r>
      <w:r w:rsidRPr="00285E2E">
        <w:rPr>
          <w:rFonts w:ascii="Gadugi" w:eastAsia="Times New Roman" w:hAnsi="Gadugi" w:cs="Times New Roman"/>
          <w:i/>
          <w:szCs w:val="24"/>
          <w:lang w:val="es-ES" w:eastAsia="es-ES"/>
        </w:rPr>
        <w:t>cuando se omitiere una o más de las designaciones prescritas en el artículo 1073, en el inciso 4 del 1080 y en el inciso 2 del 1081, no será por eso nulo el testamento, siempre que no haya duda acerca de la identidad personal del testador notario o testigo»</w:t>
      </w:r>
      <w:r w:rsidRPr="00285E2E">
        <w:rPr>
          <w:rFonts w:ascii="Gadugi" w:eastAsia="Times New Roman" w:hAnsi="Gadugi" w:cs="Times New Roman"/>
          <w:i/>
          <w:szCs w:val="24"/>
          <w:lang w:val="es-CO" w:eastAsia="es-ES"/>
        </w:rPr>
        <w:t xml:space="preserve">, </w:t>
      </w:r>
      <w:r w:rsidRPr="00285E2E">
        <w:rPr>
          <w:rFonts w:ascii="Gadugi" w:eastAsia="Times New Roman" w:hAnsi="Gadugi" w:cs="Times New Roman"/>
          <w:szCs w:val="24"/>
          <w:lang w:val="es-CO" w:eastAsia="es-ES"/>
        </w:rPr>
        <w:t xml:space="preserve">advirtiéndose de esta forma la ineludible consecuencia que apareja la desatención de las formalidades esenciales que la ley impone para materializar sin alteración o deformación el inequívoco querer del testador. </w:t>
      </w:r>
    </w:p>
    <w:p w14:paraId="541B60A6" w14:textId="77777777" w:rsidR="00D56470" w:rsidRPr="00285E2E" w:rsidRDefault="00D56470" w:rsidP="00285E2E">
      <w:pPr>
        <w:jc w:val="both"/>
        <w:rPr>
          <w:rFonts w:ascii="Gadugi" w:eastAsia="Georgia" w:hAnsi="Gadugi" w:cs="Georgia"/>
          <w:sz w:val="24"/>
          <w:szCs w:val="24"/>
          <w:lang w:val="es-ES"/>
        </w:rPr>
      </w:pPr>
    </w:p>
    <w:p w14:paraId="6DF2014F" w14:textId="27F6921E" w:rsidR="00DA77CB" w:rsidRPr="00285E2E" w:rsidRDefault="00DA77CB" w:rsidP="00285E2E">
      <w:pPr>
        <w:jc w:val="both"/>
        <w:rPr>
          <w:rFonts w:ascii="Gadugi" w:eastAsia="Georgia" w:hAnsi="Gadugi" w:cs="Georgia"/>
          <w:sz w:val="24"/>
          <w:szCs w:val="24"/>
          <w:lang w:val="es-ES"/>
        </w:rPr>
      </w:pPr>
      <w:r w:rsidRPr="00285E2E">
        <w:rPr>
          <w:rFonts w:ascii="Gadugi" w:eastAsia="Georgia" w:hAnsi="Gadugi" w:cs="Georgia"/>
          <w:sz w:val="24"/>
          <w:szCs w:val="24"/>
          <w:lang w:val="es-ES"/>
        </w:rPr>
        <w:t xml:space="preserve">2.3. En el caso concreto, los testigos que presenciaron y suscribieron la escritura que contiene el testamento de marras, son </w:t>
      </w:r>
      <w:r w:rsidR="00EF1352" w:rsidRPr="00285E2E">
        <w:rPr>
          <w:rFonts w:ascii="Gadugi" w:eastAsia="Georgia" w:hAnsi="Gadugi" w:cs="Georgia"/>
          <w:sz w:val="24"/>
          <w:szCs w:val="24"/>
          <w:lang w:val="es-ES"/>
        </w:rPr>
        <w:t xml:space="preserve">todos </w:t>
      </w:r>
      <w:r w:rsidRPr="00285E2E">
        <w:rPr>
          <w:rFonts w:ascii="Gadugi" w:eastAsia="Georgia" w:hAnsi="Gadugi" w:cs="Georgia"/>
          <w:sz w:val="24"/>
          <w:szCs w:val="24"/>
          <w:lang w:val="es-ES"/>
        </w:rPr>
        <w:t xml:space="preserve">familiares </w:t>
      </w:r>
      <w:r w:rsidR="00EE5107" w:rsidRPr="00285E2E">
        <w:rPr>
          <w:rFonts w:ascii="Gadugi" w:eastAsia="Georgia" w:hAnsi="Gadugi" w:cs="Georgia"/>
          <w:sz w:val="24"/>
          <w:szCs w:val="24"/>
          <w:lang w:val="es-ES"/>
        </w:rPr>
        <w:t>con la consanguinidad y la afinidad que los inhabilita para cumplir ese rol</w:t>
      </w:r>
      <w:r w:rsidR="00E61EEE" w:rsidRPr="00285E2E">
        <w:rPr>
          <w:rFonts w:ascii="Gadugi" w:eastAsia="Georgia" w:hAnsi="Gadugi" w:cs="Georgia"/>
          <w:sz w:val="24"/>
          <w:szCs w:val="24"/>
          <w:lang w:val="es-ES"/>
        </w:rPr>
        <w:t>. E</w:t>
      </w:r>
      <w:r w:rsidRPr="00285E2E">
        <w:rPr>
          <w:rFonts w:ascii="Gadugi" w:eastAsia="Georgia" w:hAnsi="Gadugi" w:cs="Georgia"/>
          <w:sz w:val="24"/>
          <w:szCs w:val="24"/>
          <w:lang w:val="es-ES"/>
        </w:rPr>
        <w:t>n efecto, ellos son</w:t>
      </w:r>
      <w:r w:rsidR="00EE5107" w:rsidRPr="00285E2E">
        <w:rPr>
          <w:rFonts w:ascii="Gadugi" w:eastAsia="Georgia" w:hAnsi="Gadugi" w:cs="Georgia"/>
          <w:sz w:val="24"/>
          <w:szCs w:val="24"/>
          <w:lang w:val="es-ES"/>
        </w:rPr>
        <w:t>:</w:t>
      </w:r>
      <w:r w:rsidRPr="00285E2E">
        <w:rPr>
          <w:rFonts w:ascii="Gadugi" w:eastAsia="Georgia" w:hAnsi="Gadugi" w:cs="Georgia"/>
          <w:sz w:val="24"/>
          <w:szCs w:val="24"/>
          <w:lang w:val="es-ES"/>
        </w:rPr>
        <w:t xml:space="preserve"> los esposo</w:t>
      </w:r>
      <w:r w:rsidR="00EF1352" w:rsidRPr="00285E2E">
        <w:rPr>
          <w:rFonts w:ascii="Gadugi" w:eastAsia="Georgia" w:hAnsi="Gadugi" w:cs="Georgia"/>
          <w:sz w:val="24"/>
          <w:szCs w:val="24"/>
          <w:lang w:val="es-ES"/>
        </w:rPr>
        <w:t>s</w:t>
      </w:r>
      <w:r w:rsidRPr="00285E2E">
        <w:rPr>
          <w:rFonts w:ascii="Gadugi" w:eastAsia="Georgia" w:hAnsi="Gadugi" w:cs="Georgia"/>
          <w:sz w:val="24"/>
          <w:szCs w:val="24"/>
          <w:lang w:val="es-ES"/>
        </w:rPr>
        <w:t xml:space="preserve"> Benjamín Antonio Guevara Trejos y Luz Marina Morales Franco</w:t>
      </w:r>
      <w:r w:rsidR="00EF1352" w:rsidRPr="00285E2E">
        <w:rPr>
          <w:rFonts w:ascii="Gadugi" w:eastAsia="Georgia" w:hAnsi="Gadugi" w:cs="Georgia"/>
          <w:sz w:val="24"/>
          <w:szCs w:val="24"/>
          <w:lang w:val="es-ES"/>
        </w:rPr>
        <w:t xml:space="preserve">, sus hijos </w:t>
      </w:r>
      <w:r w:rsidRPr="00285E2E">
        <w:rPr>
          <w:rFonts w:ascii="Gadugi" w:eastAsia="Georgia" w:hAnsi="Gadugi" w:cs="Georgia"/>
          <w:sz w:val="24"/>
          <w:szCs w:val="24"/>
          <w:lang w:val="es-ES"/>
        </w:rPr>
        <w:t>Aldair Antonio Guevara Morales</w:t>
      </w:r>
      <w:r w:rsidR="00EF1352" w:rsidRPr="00285E2E">
        <w:rPr>
          <w:rFonts w:ascii="Gadugi" w:eastAsia="Georgia" w:hAnsi="Gadugi" w:cs="Georgia"/>
          <w:sz w:val="24"/>
          <w:szCs w:val="24"/>
          <w:lang w:val="es-ES"/>
        </w:rPr>
        <w:t xml:space="preserve"> y </w:t>
      </w:r>
      <w:r w:rsidRPr="00285E2E">
        <w:rPr>
          <w:rFonts w:ascii="Gadugi" w:eastAsia="Georgia" w:hAnsi="Gadugi" w:cs="Georgia"/>
          <w:sz w:val="24"/>
          <w:szCs w:val="24"/>
          <w:lang w:val="es-ES"/>
        </w:rPr>
        <w:t>Adolfo de Jesús Guevara Morales</w:t>
      </w:r>
      <w:r w:rsidR="00EF1352" w:rsidRPr="00285E2E">
        <w:rPr>
          <w:rFonts w:ascii="Gadugi" w:eastAsia="Georgia" w:hAnsi="Gadugi" w:cs="Georgia"/>
          <w:sz w:val="24"/>
          <w:szCs w:val="24"/>
          <w:lang w:val="es-ES"/>
        </w:rPr>
        <w:t>,</w:t>
      </w:r>
      <w:r w:rsidRPr="00285E2E">
        <w:rPr>
          <w:rFonts w:ascii="Gadugi" w:eastAsia="Georgia" w:hAnsi="Gadugi" w:cs="Georgia"/>
          <w:sz w:val="24"/>
          <w:szCs w:val="24"/>
          <w:lang w:val="es-ES"/>
        </w:rPr>
        <w:t xml:space="preserve"> </w:t>
      </w:r>
      <w:r w:rsidR="001C0FA2" w:rsidRPr="00285E2E">
        <w:rPr>
          <w:rFonts w:ascii="Gadugi" w:eastAsia="Georgia" w:hAnsi="Gadugi" w:cs="Georgia"/>
          <w:sz w:val="24"/>
          <w:szCs w:val="24"/>
          <w:lang w:val="es-ES"/>
        </w:rPr>
        <w:t>así como la</w:t>
      </w:r>
      <w:r w:rsidR="00EF1352" w:rsidRPr="00285E2E">
        <w:rPr>
          <w:rFonts w:ascii="Gadugi" w:eastAsia="Georgia" w:hAnsi="Gadugi" w:cs="Georgia"/>
          <w:sz w:val="24"/>
          <w:szCs w:val="24"/>
          <w:lang w:val="es-ES"/>
        </w:rPr>
        <w:t xml:space="preserve"> esposa de este último</w:t>
      </w:r>
      <w:r w:rsidRPr="00285E2E">
        <w:rPr>
          <w:rFonts w:ascii="Gadugi" w:eastAsia="Georgia" w:hAnsi="Gadugi" w:cs="Georgia"/>
          <w:sz w:val="24"/>
          <w:szCs w:val="24"/>
          <w:lang w:val="es-ES"/>
        </w:rPr>
        <w:t xml:space="preserve"> Leidy Johana Franco Guevara. </w:t>
      </w:r>
    </w:p>
    <w:p w14:paraId="5BE4C2D7" w14:textId="6100A492" w:rsidR="00DA77CB" w:rsidRPr="00285E2E" w:rsidRDefault="00DA77CB" w:rsidP="00285E2E">
      <w:pPr>
        <w:jc w:val="both"/>
        <w:rPr>
          <w:rFonts w:ascii="Gadugi" w:eastAsia="Georgia" w:hAnsi="Gadugi" w:cs="Georgia"/>
          <w:sz w:val="24"/>
          <w:szCs w:val="24"/>
          <w:lang w:val="es-ES"/>
        </w:rPr>
      </w:pPr>
    </w:p>
    <w:p w14:paraId="4B5AF626" w14:textId="44AA6FCD" w:rsidR="00EF1352" w:rsidRPr="00285E2E" w:rsidRDefault="00EF1352" w:rsidP="00285E2E">
      <w:pPr>
        <w:jc w:val="both"/>
        <w:rPr>
          <w:rFonts w:ascii="Gadugi" w:eastAsia="Georgia" w:hAnsi="Gadugi" w:cs="Georgia"/>
          <w:sz w:val="24"/>
          <w:szCs w:val="24"/>
          <w:lang w:val="es-ES"/>
        </w:rPr>
      </w:pPr>
      <w:r w:rsidRPr="00285E2E">
        <w:rPr>
          <w:rFonts w:ascii="Gadugi" w:eastAsia="Georgia" w:hAnsi="Gadugi" w:cs="Georgia"/>
          <w:sz w:val="24"/>
          <w:szCs w:val="24"/>
          <w:lang w:val="es-ES"/>
        </w:rPr>
        <w:t>El parentesco está debidamente</w:t>
      </w:r>
      <w:r w:rsidR="009D6D13" w:rsidRPr="00285E2E">
        <w:rPr>
          <w:rFonts w:ascii="Gadugi" w:eastAsia="Georgia" w:hAnsi="Gadugi" w:cs="Georgia"/>
          <w:sz w:val="24"/>
          <w:szCs w:val="24"/>
          <w:lang w:val="es-ES"/>
        </w:rPr>
        <w:t xml:space="preserve"> </w:t>
      </w:r>
      <w:r w:rsidR="003B50C3" w:rsidRPr="00285E2E">
        <w:rPr>
          <w:rFonts w:ascii="Gadugi" w:eastAsia="Georgia" w:hAnsi="Gadugi" w:cs="Georgia"/>
          <w:sz w:val="24"/>
          <w:szCs w:val="24"/>
          <w:lang w:val="es-ES"/>
        </w:rPr>
        <w:t>acreditado</w:t>
      </w:r>
      <w:r w:rsidR="009D6D13" w:rsidRPr="00285E2E">
        <w:rPr>
          <w:rFonts w:ascii="Gadugi" w:eastAsia="Georgia" w:hAnsi="Gadugi" w:cs="Georgia"/>
          <w:sz w:val="24"/>
          <w:szCs w:val="24"/>
          <w:lang w:val="es-ES"/>
        </w:rPr>
        <w:t xml:space="preserve">, con los documentos aportados </w:t>
      </w:r>
      <w:r w:rsidR="00165C89" w:rsidRPr="00285E2E">
        <w:rPr>
          <w:rFonts w:ascii="Gadugi" w:eastAsia="Georgia" w:hAnsi="Gadugi" w:cs="Georgia"/>
          <w:sz w:val="24"/>
          <w:szCs w:val="24"/>
          <w:lang w:val="es-ES"/>
        </w:rPr>
        <w:t>desde el</w:t>
      </w:r>
      <w:r w:rsidR="00B079B0" w:rsidRPr="00285E2E">
        <w:rPr>
          <w:rFonts w:ascii="Gadugi" w:eastAsia="Georgia" w:hAnsi="Gadugi" w:cs="Georgia"/>
          <w:sz w:val="24"/>
          <w:szCs w:val="24"/>
          <w:lang w:val="es-ES"/>
        </w:rPr>
        <w:t xml:space="preserve"> libelo introductor</w:t>
      </w:r>
      <w:r w:rsidR="00EE5107" w:rsidRPr="00285E2E">
        <w:rPr>
          <w:rStyle w:val="Refdenotaalpie"/>
          <w:rFonts w:ascii="Gadugi" w:eastAsia="Georgia" w:hAnsi="Gadugi" w:cs="Georgia"/>
          <w:sz w:val="24"/>
          <w:szCs w:val="24"/>
          <w:lang w:val="es-ES"/>
        </w:rPr>
        <w:footnoteReference w:id="12"/>
      </w:r>
      <w:r w:rsidRPr="00285E2E">
        <w:rPr>
          <w:rFonts w:ascii="Gadugi" w:eastAsia="Georgia" w:hAnsi="Gadugi" w:cs="Georgia"/>
          <w:sz w:val="24"/>
          <w:szCs w:val="24"/>
          <w:lang w:val="es-ES"/>
        </w:rPr>
        <w:t xml:space="preserve">. </w:t>
      </w:r>
      <w:r w:rsidR="001C0FA2" w:rsidRPr="00285E2E">
        <w:rPr>
          <w:rFonts w:ascii="Gadugi" w:eastAsia="Georgia" w:hAnsi="Gadugi" w:cs="Georgia"/>
          <w:sz w:val="24"/>
          <w:szCs w:val="24"/>
          <w:lang w:val="es-ES"/>
        </w:rPr>
        <w:t>En consecuencia</w:t>
      </w:r>
      <w:r w:rsidR="0071620E" w:rsidRPr="00285E2E">
        <w:rPr>
          <w:rFonts w:ascii="Gadugi" w:eastAsia="Georgia" w:hAnsi="Gadugi" w:cs="Georgia"/>
          <w:sz w:val="24"/>
          <w:szCs w:val="24"/>
          <w:lang w:val="es-ES"/>
        </w:rPr>
        <w:t>, refulge</w:t>
      </w:r>
      <w:r w:rsidR="00165C89" w:rsidRPr="00285E2E">
        <w:rPr>
          <w:rFonts w:ascii="Gadugi" w:eastAsia="Georgia" w:hAnsi="Gadugi" w:cs="Georgia"/>
          <w:sz w:val="24"/>
          <w:szCs w:val="24"/>
          <w:lang w:val="es-ES"/>
        </w:rPr>
        <w:t>n</w:t>
      </w:r>
      <w:r w:rsidR="0071620E" w:rsidRPr="00285E2E">
        <w:rPr>
          <w:rFonts w:ascii="Gadugi" w:eastAsia="Georgia" w:hAnsi="Gadugi" w:cs="Georgia"/>
          <w:sz w:val="24"/>
          <w:szCs w:val="24"/>
          <w:lang w:val="es-ES"/>
        </w:rPr>
        <w:t xml:space="preserve"> la nulidad invocada en la demanda</w:t>
      </w:r>
      <w:r w:rsidR="00B079B0" w:rsidRPr="00285E2E">
        <w:rPr>
          <w:rFonts w:ascii="Gadugi" w:eastAsia="Georgia" w:hAnsi="Gadugi" w:cs="Georgia"/>
          <w:sz w:val="24"/>
          <w:szCs w:val="24"/>
          <w:lang w:val="es-ES"/>
        </w:rPr>
        <w:t>, consagrada en el artículo 11 de la Ley 95 de 1890</w:t>
      </w:r>
      <w:r w:rsidR="00EC1506" w:rsidRPr="00285E2E">
        <w:rPr>
          <w:rFonts w:ascii="Gadugi" w:eastAsia="Georgia" w:hAnsi="Gadugi" w:cs="Georgia"/>
          <w:sz w:val="24"/>
          <w:szCs w:val="24"/>
          <w:lang w:val="es-ES"/>
        </w:rPr>
        <w:t xml:space="preserve">, y el acierto del fallo de primera instancia que la declaró y dispuso que la sucesión de la causante fuera intestada. </w:t>
      </w:r>
    </w:p>
    <w:p w14:paraId="341701CF" w14:textId="317D6EE8" w:rsidR="0071620E" w:rsidRPr="00285E2E" w:rsidRDefault="0071620E" w:rsidP="00285E2E">
      <w:pPr>
        <w:jc w:val="both"/>
        <w:rPr>
          <w:rFonts w:ascii="Gadugi" w:eastAsia="Georgia" w:hAnsi="Gadugi" w:cs="Georgia"/>
          <w:sz w:val="24"/>
          <w:szCs w:val="24"/>
          <w:lang w:val="es-ES"/>
        </w:rPr>
      </w:pPr>
    </w:p>
    <w:p w14:paraId="341478B3" w14:textId="637F2F99" w:rsidR="00F46443" w:rsidRPr="00285E2E" w:rsidRDefault="00F46443" w:rsidP="00285E2E">
      <w:pPr>
        <w:jc w:val="both"/>
        <w:rPr>
          <w:rFonts w:ascii="Gadugi" w:eastAsia="Georgia" w:hAnsi="Gadugi" w:cs="Georgia"/>
          <w:sz w:val="24"/>
          <w:szCs w:val="24"/>
          <w:lang w:val="es-ES"/>
        </w:rPr>
      </w:pPr>
      <w:r w:rsidRPr="00285E2E">
        <w:rPr>
          <w:rFonts w:ascii="Gadugi" w:eastAsia="Georgia" w:hAnsi="Gadugi" w:cs="Georgia"/>
          <w:sz w:val="24"/>
          <w:szCs w:val="24"/>
          <w:lang w:val="es-ES"/>
        </w:rPr>
        <w:t>Pero</w:t>
      </w:r>
      <w:r w:rsidR="00E54B98" w:rsidRPr="00285E2E">
        <w:rPr>
          <w:rFonts w:ascii="Gadugi" w:eastAsia="Georgia" w:hAnsi="Gadugi" w:cs="Georgia"/>
          <w:sz w:val="24"/>
          <w:szCs w:val="24"/>
          <w:lang w:val="es-ES"/>
        </w:rPr>
        <w:t>,</w:t>
      </w:r>
      <w:r w:rsidRPr="00285E2E">
        <w:rPr>
          <w:rFonts w:ascii="Gadugi" w:eastAsia="Georgia" w:hAnsi="Gadugi" w:cs="Georgia"/>
          <w:sz w:val="24"/>
          <w:szCs w:val="24"/>
          <w:lang w:val="es-ES"/>
        </w:rPr>
        <w:t xml:space="preserve"> aunque </w:t>
      </w:r>
      <w:r w:rsidR="00EE5107" w:rsidRPr="00285E2E">
        <w:rPr>
          <w:rFonts w:ascii="Gadugi" w:eastAsia="Georgia" w:hAnsi="Gadugi" w:cs="Georgia"/>
          <w:sz w:val="24"/>
          <w:szCs w:val="24"/>
          <w:lang w:val="es-ES"/>
        </w:rPr>
        <w:t>sobre ello hay consenso</w:t>
      </w:r>
      <w:r w:rsidRPr="00285E2E">
        <w:rPr>
          <w:rFonts w:ascii="Gadugi" w:eastAsia="Georgia" w:hAnsi="Gadugi" w:cs="Georgia"/>
          <w:sz w:val="24"/>
          <w:szCs w:val="24"/>
          <w:lang w:val="es-ES"/>
        </w:rPr>
        <w:t xml:space="preserve">, la parte demandante insiste en que </w:t>
      </w:r>
      <w:r w:rsidR="00475028" w:rsidRPr="00285E2E">
        <w:rPr>
          <w:rFonts w:ascii="Gadugi" w:eastAsia="Georgia" w:hAnsi="Gadugi" w:cs="Georgia"/>
          <w:sz w:val="24"/>
          <w:szCs w:val="24"/>
          <w:lang w:val="es-ES"/>
        </w:rPr>
        <w:t xml:space="preserve">ese vicio en la protocolización del acto jurídico, debe ceder ante la </w:t>
      </w:r>
      <w:r w:rsidRPr="00285E2E">
        <w:rPr>
          <w:rFonts w:ascii="Gadugi" w:eastAsia="Georgia" w:hAnsi="Gadugi" w:cs="Georgia"/>
          <w:sz w:val="24"/>
          <w:szCs w:val="24"/>
          <w:lang w:val="es-ES"/>
        </w:rPr>
        <w:t xml:space="preserve">voluntad de la </w:t>
      </w:r>
      <w:r w:rsidR="00E54B98" w:rsidRPr="00285E2E">
        <w:rPr>
          <w:rFonts w:ascii="Gadugi" w:eastAsia="Georgia" w:hAnsi="Gadugi" w:cs="Georgia"/>
          <w:sz w:val="24"/>
          <w:szCs w:val="24"/>
          <w:lang w:val="es-ES"/>
        </w:rPr>
        <w:t>testadora</w:t>
      </w:r>
      <w:r w:rsidR="0055439C" w:rsidRPr="00285E2E">
        <w:rPr>
          <w:rFonts w:ascii="Gadugi" w:eastAsia="Georgia" w:hAnsi="Gadugi" w:cs="Georgia"/>
          <w:sz w:val="24"/>
          <w:szCs w:val="24"/>
          <w:lang w:val="es-ES"/>
        </w:rPr>
        <w:t xml:space="preserve">, </w:t>
      </w:r>
      <w:r w:rsidR="00475028" w:rsidRPr="00285E2E">
        <w:rPr>
          <w:rFonts w:ascii="Gadugi" w:eastAsia="Georgia" w:hAnsi="Gadugi" w:cs="Georgia"/>
          <w:sz w:val="24"/>
          <w:szCs w:val="24"/>
          <w:lang w:val="es-ES"/>
        </w:rPr>
        <w:t xml:space="preserve">la cual se encuentra plasmada de manera expresa en el testamento, máxime porque los testigos cumplieron su </w:t>
      </w:r>
      <w:r w:rsidR="00EE5107" w:rsidRPr="00285E2E">
        <w:rPr>
          <w:rFonts w:ascii="Gadugi" w:eastAsia="Georgia" w:hAnsi="Gadugi" w:cs="Georgia"/>
          <w:sz w:val="24"/>
          <w:szCs w:val="24"/>
          <w:lang w:val="es-ES"/>
        </w:rPr>
        <w:t xml:space="preserve">función </w:t>
      </w:r>
      <w:r w:rsidR="00475028" w:rsidRPr="00285E2E">
        <w:rPr>
          <w:rFonts w:ascii="Gadugi" w:eastAsia="Georgia" w:hAnsi="Gadugi" w:cs="Georgia"/>
          <w:sz w:val="24"/>
          <w:szCs w:val="24"/>
          <w:lang w:val="es-ES"/>
        </w:rPr>
        <w:t xml:space="preserve">de </w:t>
      </w:r>
      <w:r w:rsidR="00475028" w:rsidRPr="00285E2E">
        <w:rPr>
          <w:rFonts w:ascii="Gadugi" w:eastAsia="Georgia" w:hAnsi="Gadugi" w:cs="Georgia"/>
          <w:sz w:val="24"/>
          <w:szCs w:val="24"/>
          <w:u w:val="single"/>
          <w:lang w:val="es-ES"/>
        </w:rPr>
        <w:t>buena fe</w:t>
      </w:r>
      <w:r w:rsidR="00475028" w:rsidRPr="00285E2E">
        <w:rPr>
          <w:rFonts w:ascii="Gadugi" w:eastAsia="Georgia" w:hAnsi="Gadugi" w:cs="Georgia"/>
          <w:sz w:val="24"/>
          <w:szCs w:val="24"/>
          <w:lang w:val="es-ES"/>
        </w:rPr>
        <w:t xml:space="preserve">. </w:t>
      </w:r>
    </w:p>
    <w:p w14:paraId="0EF5A631" w14:textId="6D763C61" w:rsidR="000360DD" w:rsidRPr="00285E2E" w:rsidRDefault="000360DD" w:rsidP="00285E2E">
      <w:pPr>
        <w:jc w:val="both"/>
        <w:rPr>
          <w:rFonts w:ascii="Gadugi" w:eastAsia="Georgia" w:hAnsi="Gadugi" w:cs="Georgia"/>
          <w:sz w:val="24"/>
          <w:szCs w:val="24"/>
          <w:lang w:val="es-ES"/>
        </w:rPr>
      </w:pPr>
    </w:p>
    <w:p w14:paraId="6BF737C4" w14:textId="507C90BE" w:rsidR="00B31A12" w:rsidRPr="00285E2E" w:rsidRDefault="00B31A12" w:rsidP="00285E2E">
      <w:pPr>
        <w:jc w:val="both"/>
        <w:rPr>
          <w:rFonts w:ascii="Gadugi" w:eastAsia="Georgia" w:hAnsi="Gadugi" w:cs="Georgia"/>
          <w:sz w:val="24"/>
          <w:szCs w:val="24"/>
          <w:lang w:val="es-ES"/>
        </w:rPr>
      </w:pPr>
      <w:r w:rsidRPr="00285E2E">
        <w:rPr>
          <w:rFonts w:ascii="Gadugi" w:eastAsia="Georgia" w:hAnsi="Gadugi" w:cs="Georgia"/>
          <w:sz w:val="24"/>
          <w:szCs w:val="24"/>
          <w:lang w:val="es-ES"/>
        </w:rPr>
        <w:t xml:space="preserve">No obstante, ese argumento </w:t>
      </w:r>
      <w:r w:rsidR="00255CA6" w:rsidRPr="00285E2E">
        <w:rPr>
          <w:rFonts w:ascii="Gadugi" w:eastAsia="Georgia" w:hAnsi="Gadugi" w:cs="Georgia"/>
          <w:sz w:val="24"/>
          <w:szCs w:val="24"/>
          <w:lang w:val="es-ES"/>
        </w:rPr>
        <w:t xml:space="preserve">se viene a menos al estudiar las razones </w:t>
      </w:r>
      <w:r w:rsidR="00934D84" w:rsidRPr="00285E2E">
        <w:rPr>
          <w:rFonts w:ascii="Gadugi" w:eastAsia="Georgia" w:hAnsi="Gadugi" w:cs="Georgia"/>
          <w:sz w:val="24"/>
          <w:szCs w:val="24"/>
          <w:lang w:val="es-ES"/>
        </w:rPr>
        <w:t xml:space="preserve">expuestas en la sentencia C-1029 de 2004, </w:t>
      </w:r>
      <w:r w:rsidR="007A3756" w:rsidRPr="00285E2E">
        <w:rPr>
          <w:rFonts w:ascii="Gadugi" w:eastAsia="Georgia" w:hAnsi="Gadugi" w:cs="Georgia"/>
          <w:sz w:val="24"/>
          <w:szCs w:val="24"/>
          <w:lang w:val="es-ES"/>
        </w:rPr>
        <w:t xml:space="preserve">en la que se </w:t>
      </w:r>
      <w:r w:rsidR="00255CA6" w:rsidRPr="00285E2E">
        <w:rPr>
          <w:rFonts w:ascii="Gadugi" w:eastAsia="Georgia" w:hAnsi="Gadugi" w:cs="Georgia"/>
          <w:sz w:val="24"/>
          <w:szCs w:val="24"/>
          <w:lang w:val="es-ES"/>
        </w:rPr>
        <w:t xml:space="preserve">declaró la constitucionalidad del numeral 15 del </w:t>
      </w:r>
      <w:r w:rsidR="007A3756" w:rsidRPr="00285E2E">
        <w:rPr>
          <w:rFonts w:ascii="Gadugi" w:eastAsia="Georgia" w:hAnsi="Gadugi" w:cs="Georgia"/>
          <w:sz w:val="24"/>
          <w:szCs w:val="24"/>
          <w:lang w:val="es-ES"/>
        </w:rPr>
        <w:t>artículo</w:t>
      </w:r>
      <w:r w:rsidR="00255CA6" w:rsidRPr="00285E2E">
        <w:rPr>
          <w:rFonts w:ascii="Gadugi" w:eastAsia="Georgia" w:hAnsi="Gadugi" w:cs="Georgia"/>
          <w:sz w:val="24"/>
          <w:szCs w:val="24"/>
          <w:lang w:val="es-ES"/>
        </w:rPr>
        <w:t xml:space="preserve"> 1068 </w:t>
      </w:r>
      <w:r w:rsidR="007A3756" w:rsidRPr="00285E2E">
        <w:rPr>
          <w:rFonts w:ascii="Gadugi" w:eastAsia="Georgia" w:hAnsi="Gadugi" w:cs="Georgia"/>
          <w:sz w:val="24"/>
          <w:szCs w:val="24"/>
          <w:lang w:val="es-ES"/>
        </w:rPr>
        <w:t>del Código Civil</w:t>
      </w:r>
      <w:r w:rsidR="00934D84" w:rsidRPr="00285E2E">
        <w:rPr>
          <w:rFonts w:ascii="Gadugi" w:eastAsia="Georgia" w:hAnsi="Gadugi" w:cs="Georgia"/>
          <w:sz w:val="24"/>
          <w:szCs w:val="24"/>
          <w:lang w:val="es-ES"/>
        </w:rPr>
        <w:t xml:space="preserve">, las cuales se transcriben a continuación. </w:t>
      </w:r>
    </w:p>
    <w:p w14:paraId="212BFC81" w14:textId="1D0485D4" w:rsidR="00255CA6" w:rsidRPr="00285E2E" w:rsidRDefault="00255CA6" w:rsidP="00285E2E">
      <w:pPr>
        <w:shd w:val="clear" w:color="auto" w:fill="FFFFFF"/>
        <w:spacing w:line="240" w:lineRule="auto"/>
        <w:ind w:left="426" w:right="420"/>
        <w:jc w:val="both"/>
        <w:rPr>
          <w:rFonts w:ascii="Gadugi" w:eastAsia="Times New Roman" w:hAnsi="Gadugi" w:cs="Times New Roman"/>
          <w:szCs w:val="24"/>
          <w:lang w:val="es-CO"/>
        </w:rPr>
      </w:pPr>
      <w:r w:rsidRPr="00285E2E">
        <w:rPr>
          <w:rFonts w:ascii="Gadugi" w:eastAsia="Times New Roman" w:hAnsi="Gadugi" w:cs="Times New Roman"/>
          <w:b/>
          <w:bCs/>
          <w:sz w:val="24"/>
          <w:szCs w:val="24"/>
          <w:lang w:val="es-CO"/>
        </w:rPr>
        <w:br/>
      </w:r>
      <w:r w:rsidRPr="00285E2E">
        <w:rPr>
          <w:rFonts w:ascii="Gadugi" w:eastAsia="Times New Roman" w:hAnsi="Gadugi" w:cs="Times New Roman"/>
          <w:szCs w:val="24"/>
          <w:lang w:val="es-CO"/>
        </w:rPr>
        <w:t>3.1.  El artículo 1068, numeral 15, del  Código Civil, establece que no pueden ser testigos de un testamento solmene </w:t>
      </w:r>
      <w:r w:rsidRPr="00285E2E">
        <w:rPr>
          <w:rFonts w:ascii="Gadugi" w:eastAsia="Times New Roman" w:hAnsi="Gadugi" w:cs="Times New Roman"/>
          <w:i/>
          <w:iCs/>
          <w:szCs w:val="24"/>
          <w:lang w:val="es-CO"/>
        </w:rPr>
        <w:t>“[L]os que tengan con otro de los testigos el parentesco o las relaciones de que se habla en los números 12 y 14”</w:t>
      </w:r>
      <w:r w:rsidRPr="00285E2E">
        <w:rPr>
          <w:rFonts w:ascii="Gadugi" w:eastAsia="Times New Roman" w:hAnsi="Gadugi" w:cs="Times New Roman"/>
          <w:szCs w:val="24"/>
          <w:lang w:val="es-CO"/>
        </w:rPr>
        <w:t>, numerales éstos que se refieren a los ascendientes, descendientes, parientes dentro del tercer grado de consanguinidad o segundo de afinidad; o, que sean dependientes o domésticos del testador, de su consorte, del funcionario que autorice el testamento, de los herederos y legatarios, y en general </w:t>
      </w:r>
      <w:r w:rsidRPr="00285E2E">
        <w:rPr>
          <w:rFonts w:ascii="Gadugi" w:eastAsia="Times New Roman" w:hAnsi="Gadugi" w:cs="Times New Roman"/>
          <w:i/>
          <w:iCs/>
          <w:szCs w:val="24"/>
          <w:lang w:val="es-CO"/>
        </w:rPr>
        <w:t>“[t]odos aquellos a quienes resulte un provecho del testamento”.</w:t>
      </w:r>
    </w:p>
    <w:p w14:paraId="2F82A679" w14:textId="77777777" w:rsidR="00255CA6" w:rsidRPr="00285E2E" w:rsidRDefault="00255CA6" w:rsidP="00285E2E">
      <w:pPr>
        <w:shd w:val="clear" w:color="auto" w:fill="FFFFFF"/>
        <w:spacing w:line="240" w:lineRule="auto"/>
        <w:ind w:left="426" w:right="420"/>
        <w:jc w:val="both"/>
        <w:rPr>
          <w:rFonts w:ascii="Gadugi" w:eastAsia="Times New Roman" w:hAnsi="Gadugi" w:cs="Times New Roman"/>
          <w:szCs w:val="24"/>
          <w:lang w:val="es-CO"/>
        </w:rPr>
      </w:pPr>
      <w:r w:rsidRPr="00285E2E">
        <w:rPr>
          <w:rFonts w:ascii="Gadugi" w:eastAsia="Times New Roman" w:hAnsi="Gadugi" w:cs="Times New Roman"/>
          <w:szCs w:val="24"/>
          <w:lang w:val="es-CO"/>
        </w:rPr>
        <w:lastRenderedPageBreak/>
        <w:t> </w:t>
      </w:r>
    </w:p>
    <w:p w14:paraId="42393FFB" w14:textId="77777777" w:rsidR="00255CA6" w:rsidRPr="00285E2E" w:rsidRDefault="00255CA6" w:rsidP="00285E2E">
      <w:pPr>
        <w:shd w:val="clear" w:color="auto" w:fill="FFFFFF"/>
        <w:spacing w:line="240" w:lineRule="auto"/>
        <w:ind w:left="426" w:right="420"/>
        <w:jc w:val="both"/>
        <w:rPr>
          <w:rFonts w:ascii="Gadugi" w:eastAsia="Times New Roman" w:hAnsi="Gadugi" w:cs="Times New Roman"/>
          <w:szCs w:val="24"/>
          <w:lang w:val="es-CO"/>
        </w:rPr>
      </w:pPr>
      <w:r w:rsidRPr="00285E2E">
        <w:rPr>
          <w:rFonts w:ascii="Gadugi" w:eastAsia="Times New Roman" w:hAnsi="Gadugi" w:cs="Times New Roman"/>
          <w:szCs w:val="24"/>
          <w:lang w:val="es-CO"/>
        </w:rPr>
        <w:t xml:space="preserve">A juicio del demandante la norma acusada contraviene el principio de la </w:t>
      </w:r>
      <w:r w:rsidRPr="00285E2E">
        <w:rPr>
          <w:rFonts w:ascii="Gadugi" w:eastAsia="Times New Roman" w:hAnsi="Gadugi" w:cs="Times New Roman"/>
          <w:b/>
          <w:szCs w:val="24"/>
          <w:lang w:val="es-CO"/>
        </w:rPr>
        <w:t>buena fe</w:t>
      </w:r>
      <w:r w:rsidRPr="00285E2E">
        <w:rPr>
          <w:rFonts w:ascii="Gadugi" w:eastAsia="Times New Roman" w:hAnsi="Gadugi" w:cs="Times New Roman"/>
          <w:szCs w:val="24"/>
          <w:lang w:val="es-CO"/>
        </w:rPr>
        <w:t xml:space="preserve"> consagrado en el artículo 83 de la Constitución Política, conforme al cual las actuaciones de los particulares y de las autoridades públicas deberán ceñirse a los postulados de la buena fe que se presume en todas las gestiones que aquellos adelanten ante ésta.</w:t>
      </w:r>
    </w:p>
    <w:p w14:paraId="160A0206" w14:textId="518EE2AB" w:rsidR="00255CA6" w:rsidRPr="00285E2E" w:rsidRDefault="00255CA6" w:rsidP="00285E2E">
      <w:pPr>
        <w:shd w:val="clear" w:color="auto" w:fill="FFFFFF"/>
        <w:spacing w:line="240" w:lineRule="auto"/>
        <w:ind w:left="426" w:right="420"/>
        <w:jc w:val="both"/>
        <w:rPr>
          <w:rFonts w:ascii="Gadugi" w:eastAsia="Times New Roman" w:hAnsi="Gadugi" w:cs="Times New Roman"/>
          <w:szCs w:val="24"/>
          <w:lang w:val="es-CO"/>
        </w:rPr>
      </w:pPr>
      <w:r w:rsidRPr="00285E2E">
        <w:rPr>
          <w:rFonts w:ascii="Gadugi" w:eastAsia="Times New Roman" w:hAnsi="Gadugi" w:cs="Times New Roman"/>
          <w:szCs w:val="24"/>
          <w:lang w:val="es-CO"/>
        </w:rPr>
        <w:t>  </w:t>
      </w:r>
    </w:p>
    <w:p w14:paraId="4EB8B634" w14:textId="1A12CC77" w:rsidR="00255CA6" w:rsidRPr="00285E2E" w:rsidRDefault="007A3756" w:rsidP="00285E2E">
      <w:pPr>
        <w:shd w:val="clear" w:color="auto" w:fill="FFFFFF"/>
        <w:spacing w:line="240" w:lineRule="auto"/>
        <w:ind w:left="426" w:right="420"/>
        <w:jc w:val="both"/>
        <w:rPr>
          <w:rFonts w:ascii="Gadugi" w:eastAsia="Times New Roman" w:hAnsi="Gadugi" w:cs="Times New Roman"/>
          <w:szCs w:val="24"/>
          <w:lang w:val="es-CO"/>
        </w:rPr>
      </w:pPr>
      <w:r w:rsidRPr="00285E2E">
        <w:rPr>
          <w:rFonts w:ascii="Gadugi" w:eastAsia="Times New Roman" w:hAnsi="Gadugi" w:cs="Times New Roman"/>
          <w:szCs w:val="24"/>
          <w:lang w:val="es-CO"/>
        </w:rPr>
        <w:t>(…)</w:t>
      </w:r>
    </w:p>
    <w:p w14:paraId="1F32DB02" w14:textId="77777777" w:rsidR="00255CA6" w:rsidRPr="00285E2E" w:rsidRDefault="00255CA6" w:rsidP="00285E2E">
      <w:pPr>
        <w:shd w:val="clear" w:color="auto" w:fill="FFFFFF"/>
        <w:spacing w:line="240" w:lineRule="auto"/>
        <w:ind w:left="426" w:right="420"/>
        <w:jc w:val="both"/>
        <w:rPr>
          <w:rFonts w:ascii="Gadugi" w:eastAsia="Times New Roman" w:hAnsi="Gadugi" w:cs="Times New Roman"/>
          <w:szCs w:val="24"/>
          <w:lang w:val="es-CO"/>
        </w:rPr>
      </w:pPr>
      <w:r w:rsidRPr="00285E2E">
        <w:rPr>
          <w:rFonts w:ascii="Gadugi" w:eastAsia="Times New Roman" w:hAnsi="Gadugi" w:cs="Times New Roman"/>
          <w:szCs w:val="24"/>
          <w:lang w:val="es-CO"/>
        </w:rPr>
        <w:t> </w:t>
      </w:r>
    </w:p>
    <w:p w14:paraId="7D08A7B3" w14:textId="31E8C297" w:rsidR="00255CA6" w:rsidRPr="00285E2E" w:rsidRDefault="00255CA6" w:rsidP="00285E2E">
      <w:pPr>
        <w:shd w:val="clear" w:color="auto" w:fill="FFFFFF"/>
        <w:spacing w:line="240" w:lineRule="auto"/>
        <w:ind w:left="426" w:right="420"/>
        <w:jc w:val="both"/>
        <w:rPr>
          <w:rFonts w:ascii="Gadugi" w:eastAsia="Times New Roman" w:hAnsi="Gadugi" w:cs="Times New Roman"/>
          <w:b/>
          <w:szCs w:val="24"/>
          <w:lang w:val="es-CO"/>
        </w:rPr>
      </w:pPr>
      <w:r w:rsidRPr="00285E2E">
        <w:rPr>
          <w:rFonts w:ascii="Gadugi" w:eastAsia="Times New Roman" w:hAnsi="Gadugi" w:cs="Times New Roman"/>
          <w:szCs w:val="24"/>
          <w:lang w:val="es-CO"/>
        </w:rPr>
        <w:t xml:space="preserve">La buena fe, no obstante tratarse el principio general y de una presunción que irradia todas las relaciones jurídicas tanto entre particulares como entre estos y el Estado,  </w:t>
      </w:r>
      <w:r w:rsidRPr="00285E2E">
        <w:rPr>
          <w:rFonts w:ascii="Gadugi" w:eastAsia="Times New Roman" w:hAnsi="Gadugi" w:cs="Times New Roman"/>
          <w:b/>
          <w:szCs w:val="24"/>
          <w:lang w:val="es-CO"/>
        </w:rPr>
        <w:t xml:space="preserve">no significa que no pueda ser objeto de limitaciones, </w:t>
      </w:r>
      <w:r w:rsidRPr="00285E2E">
        <w:rPr>
          <w:rFonts w:ascii="Gadugi" w:eastAsia="Times New Roman" w:hAnsi="Gadugi" w:cs="Times New Roman"/>
          <w:szCs w:val="24"/>
          <w:lang w:val="es-CO"/>
        </w:rPr>
        <w:t>pues como lo ha sostenido este Tribunal Constitucional, no se puede afirmar que con su consagración constitucional se pretenda garantizar un principio absoluto ajeno a limitaciones y precisiones, o que su aplicación no deba ser contrastada con otros derechos igualmente importantes para la organización social</w:t>
      </w:r>
      <w:r w:rsidR="00934D84" w:rsidRPr="00285E2E">
        <w:rPr>
          <w:rStyle w:val="Refdenotaalpie"/>
          <w:rFonts w:ascii="Gadugi" w:eastAsia="Times New Roman" w:hAnsi="Gadugi" w:cs="Times New Roman"/>
          <w:szCs w:val="24"/>
          <w:lang w:val="es-CO"/>
        </w:rPr>
        <w:footnoteReference w:id="13"/>
      </w:r>
      <w:r w:rsidRPr="00285E2E">
        <w:rPr>
          <w:rFonts w:ascii="Gadugi" w:eastAsia="Times New Roman" w:hAnsi="Gadugi" w:cs="Times New Roman"/>
          <w:szCs w:val="24"/>
          <w:lang w:val="es-CO"/>
        </w:rPr>
        <w:t>. En el asunto </w:t>
      </w:r>
      <w:r w:rsidRPr="00285E2E">
        <w:rPr>
          <w:rFonts w:ascii="Gadugi" w:eastAsia="Times New Roman" w:hAnsi="Gadugi" w:cs="Times New Roman"/>
          <w:i/>
          <w:iCs/>
          <w:szCs w:val="24"/>
          <w:lang w:val="es-CO"/>
        </w:rPr>
        <w:t>sub examine</w:t>
      </w:r>
      <w:r w:rsidRPr="00285E2E">
        <w:rPr>
          <w:rFonts w:ascii="Gadugi" w:eastAsia="Times New Roman" w:hAnsi="Gadugi" w:cs="Times New Roman"/>
          <w:szCs w:val="24"/>
          <w:lang w:val="es-CO"/>
        </w:rPr>
        <w:t xml:space="preserve">, el legislador al establecer ciertas inhabilidades para ser testigo de un testamento solemne, concretamente las que se refieren en el numeral 15 del artículo 1068 del Código Civil acusado en este proceso, </w:t>
      </w:r>
      <w:r w:rsidRPr="00285E2E">
        <w:rPr>
          <w:rFonts w:ascii="Gadugi" w:eastAsia="Times New Roman" w:hAnsi="Gadugi" w:cs="Times New Roman"/>
          <w:b/>
          <w:szCs w:val="24"/>
          <w:lang w:val="es-CO"/>
        </w:rPr>
        <w:t>no está presumiendo la mala fe de los testigos que se encuentren en las situaciones a las que se refiere el precepto cuestionado, pues ello chocaría en forma abierta con el artículo 83 de la Constitución Política. Se trata de una elemental precaución concebida en defensa del testador a fin de garantizar su autonomía e independencia al momento de disponer de sus bienes, así como garantizar que el testigo testamentario actúe con la mayor imparcialidad.</w:t>
      </w:r>
    </w:p>
    <w:p w14:paraId="497DEC74" w14:textId="77777777" w:rsidR="00285E2E" w:rsidRPr="00285E2E" w:rsidRDefault="00285E2E" w:rsidP="00285E2E">
      <w:pPr>
        <w:shd w:val="clear" w:color="auto" w:fill="FFFFFF"/>
        <w:spacing w:line="240" w:lineRule="auto"/>
        <w:ind w:left="426" w:right="420"/>
        <w:jc w:val="both"/>
        <w:rPr>
          <w:rFonts w:ascii="Gadugi" w:eastAsia="Times New Roman" w:hAnsi="Gadugi" w:cs="Times New Roman"/>
          <w:b/>
          <w:szCs w:val="24"/>
          <w:lang w:val="es-CO"/>
        </w:rPr>
      </w:pPr>
    </w:p>
    <w:p w14:paraId="0B03A307" w14:textId="21D7ABD2" w:rsidR="00255CA6" w:rsidRPr="00285E2E" w:rsidRDefault="00255CA6" w:rsidP="00285E2E">
      <w:pPr>
        <w:shd w:val="clear" w:color="auto" w:fill="FFFFFF"/>
        <w:spacing w:line="240" w:lineRule="auto"/>
        <w:ind w:left="426" w:right="420"/>
        <w:jc w:val="both"/>
        <w:rPr>
          <w:rFonts w:ascii="Gadugi" w:eastAsia="Times New Roman" w:hAnsi="Gadugi" w:cs="Times New Roman"/>
          <w:szCs w:val="24"/>
          <w:lang w:val="es-CO"/>
        </w:rPr>
      </w:pPr>
      <w:r w:rsidRPr="00285E2E">
        <w:rPr>
          <w:rFonts w:ascii="Gadugi" w:eastAsia="Times New Roman" w:hAnsi="Gadugi" w:cs="Times New Roman"/>
          <w:szCs w:val="24"/>
          <w:lang w:val="es-CO"/>
        </w:rPr>
        <w:t xml:space="preserve"> El legislador desde antaño ha tenido especial preocupación en la separación de intereses desde el punto de vista patrimonial, para lo cual ha excluido como testigos de un testamento solemne no solo a los que se refiere la disposición demandada, sino al sacerdote que haya sido confesor habitual del testador y a su cónyuge, </w:t>
      </w:r>
      <w:r w:rsidRPr="00285E2E">
        <w:rPr>
          <w:rFonts w:ascii="Gadugi" w:eastAsia="Times New Roman" w:hAnsi="Gadugi" w:cs="Times New Roman"/>
          <w:b/>
          <w:szCs w:val="24"/>
          <w:lang w:val="es-CO"/>
        </w:rPr>
        <w:t>y en general a todos aquellos a quienes puede resultar un provecho directo del testamento</w:t>
      </w:r>
      <w:r w:rsidRPr="00285E2E">
        <w:rPr>
          <w:rFonts w:ascii="Gadugi" w:eastAsia="Times New Roman" w:hAnsi="Gadugi" w:cs="Times New Roman"/>
          <w:szCs w:val="24"/>
          <w:lang w:val="es-CO"/>
        </w:rPr>
        <w:t>, sin que por ello se viole el artículo 83 superior, pues se trata de previsiones del legislador dirigidas a salvaguardar los derechos de quien en ejercicio de las garantías constitucionales (autonomía de la voluntad y derecho de propiedad), dispone de sus bienes en vida para que tengan efecto después de su muerte. </w:t>
      </w:r>
    </w:p>
    <w:p w14:paraId="2591F9CB" w14:textId="77777777" w:rsidR="00255CA6" w:rsidRPr="00285E2E" w:rsidRDefault="00255CA6" w:rsidP="00285E2E">
      <w:pPr>
        <w:shd w:val="clear" w:color="auto" w:fill="FFFFFF"/>
        <w:spacing w:line="240" w:lineRule="auto"/>
        <w:ind w:left="426" w:right="420"/>
        <w:jc w:val="both"/>
        <w:rPr>
          <w:rFonts w:ascii="Gadugi" w:eastAsia="Times New Roman" w:hAnsi="Gadugi" w:cs="Times New Roman"/>
          <w:szCs w:val="24"/>
          <w:lang w:val="es-CO"/>
        </w:rPr>
      </w:pPr>
      <w:r w:rsidRPr="00285E2E">
        <w:rPr>
          <w:rFonts w:ascii="Gadugi" w:eastAsia="Times New Roman" w:hAnsi="Gadugi" w:cs="Times New Roman"/>
          <w:szCs w:val="24"/>
          <w:lang w:val="es-CO"/>
        </w:rPr>
        <w:t> </w:t>
      </w:r>
    </w:p>
    <w:p w14:paraId="6C28A7B3" w14:textId="43FBABA5" w:rsidR="00255CA6" w:rsidRPr="00285E2E" w:rsidRDefault="00276E7F" w:rsidP="00285E2E">
      <w:pPr>
        <w:shd w:val="clear" w:color="auto" w:fill="FFFFFF"/>
        <w:spacing w:line="240" w:lineRule="auto"/>
        <w:ind w:left="426" w:right="420"/>
        <w:jc w:val="both"/>
        <w:rPr>
          <w:rFonts w:ascii="Gadugi" w:eastAsia="Times New Roman" w:hAnsi="Gadugi" w:cs="Times New Roman"/>
          <w:szCs w:val="24"/>
          <w:lang w:val="es-CO"/>
        </w:rPr>
      </w:pPr>
      <w:r w:rsidRPr="00285E2E">
        <w:rPr>
          <w:rFonts w:ascii="Gadugi" w:eastAsia="Times New Roman" w:hAnsi="Gadugi" w:cs="Times New Roman"/>
          <w:szCs w:val="24"/>
          <w:lang w:val="es-CO"/>
        </w:rPr>
        <w:t>(…)</w:t>
      </w:r>
    </w:p>
    <w:p w14:paraId="6EB67EC0" w14:textId="77777777" w:rsidR="00255CA6" w:rsidRPr="00285E2E" w:rsidRDefault="00255CA6" w:rsidP="00285E2E">
      <w:pPr>
        <w:shd w:val="clear" w:color="auto" w:fill="FFFFFF"/>
        <w:spacing w:line="240" w:lineRule="auto"/>
        <w:ind w:left="426" w:right="420"/>
        <w:jc w:val="both"/>
        <w:rPr>
          <w:rFonts w:ascii="Gadugi" w:eastAsia="Times New Roman" w:hAnsi="Gadugi" w:cs="Times New Roman"/>
          <w:szCs w:val="24"/>
          <w:lang w:val="es-CO"/>
        </w:rPr>
      </w:pPr>
      <w:r w:rsidRPr="00285E2E">
        <w:rPr>
          <w:rFonts w:ascii="Gadugi" w:eastAsia="Times New Roman" w:hAnsi="Gadugi" w:cs="Times New Roman"/>
          <w:szCs w:val="24"/>
          <w:lang w:val="es-CO"/>
        </w:rPr>
        <w:t> </w:t>
      </w:r>
    </w:p>
    <w:p w14:paraId="6A298E59" w14:textId="1C778C66" w:rsidR="00255CA6" w:rsidRPr="00285E2E" w:rsidRDefault="00255CA6" w:rsidP="00285E2E">
      <w:pPr>
        <w:shd w:val="clear" w:color="auto" w:fill="FFFFFF"/>
        <w:spacing w:line="240" w:lineRule="auto"/>
        <w:ind w:left="426" w:right="420"/>
        <w:jc w:val="both"/>
        <w:rPr>
          <w:rFonts w:ascii="Gadugi" w:eastAsia="Times New Roman" w:hAnsi="Gadugi" w:cs="Times New Roman"/>
          <w:szCs w:val="24"/>
          <w:lang w:val="es-CO"/>
        </w:rPr>
      </w:pPr>
      <w:r w:rsidRPr="00285E2E">
        <w:rPr>
          <w:rFonts w:ascii="Gadugi" w:eastAsia="Times New Roman" w:hAnsi="Gadugi" w:cs="Times New Roman"/>
          <w:szCs w:val="24"/>
          <w:lang w:val="es-CO"/>
        </w:rPr>
        <w:t>Entre los argumentos expuestos por la Corte para arribar a la conclusión aludida, se adujo que la finalidad buscada por el legislador para establecer inhabilidades cuando se trata del otorgamiento de un testamento solmene no resultan contrarias a la Constitución Política, </w:t>
      </w:r>
      <w:r w:rsidRPr="00285E2E">
        <w:rPr>
          <w:rFonts w:ascii="Gadugi" w:eastAsia="Times New Roman" w:hAnsi="Gadugi" w:cs="Times New Roman"/>
          <w:i/>
          <w:iCs/>
          <w:szCs w:val="24"/>
          <w:lang w:val="es-CO"/>
        </w:rPr>
        <w:t xml:space="preserve">“[p]or cuanto el fin buscado por el legislador fue garantizar la autonomía e independencia del testador a fin de que pueda actuar libre de todo apremio, así como buscar que el testigo testamentario pudiera actuar con plena imparcialidad, desprovisto de cualquier interés en el contenido del acto a cuyo perfeccionamiento contribuye. No se trata de una presunción de mala fe, como lo afirma el demandante, sino de una elemental precaución tenida en cuenta por el legislador en procura de </w:t>
      </w:r>
      <w:r w:rsidRPr="00285E2E">
        <w:rPr>
          <w:rFonts w:ascii="Gadugi" w:eastAsia="Times New Roman" w:hAnsi="Gadugi" w:cs="Times New Roman"/>
          <w:b/>
          <w:i/>
          <w:iCs/>
          <w:szCs w:val="24"/>
          <w:lang w:val="es-CO"/>
        </w:rPr>
        <w:t>proteger la voluntad de quien está disponiendo de sus bienes en forma total o parcial, y de despojar el acto de cualquier sombra de duda sobre la autonomía e independencia del testador</w:t>
      </w:r>
      <w:r w:rsidRPr="00285E2E">
        <w:rPr>
          <w:rFonts w:ascii="Gadugi" w:eastAsia="Times New Roman" w:hAnsi="Gadugi" w:cs="Times New Roman"/>
          <w:i/>
          <w:iCs/>
          <w:szCs w:val="24"/>
          <w:lang w:val="es-CO"/>
        </w:rPr>
        <w:t>”.</w:t>
      </w:r>
      <w:r w:rsidR="00934D84" w:rsidRPr="00285E2E">
        <w:rPr>
          <w:rStyle w:val="Refdenotaalpie"/>
          <w:rFonts w:ascii="Gadugi" w:eastAsia="Times New Roman" w:hAnsi="Gadugi" w:cs="Times New Roman"/>
          <w:i/>
          <w:iCs/>
          <w:szCs w:val="24"/>
          <w:lang w:val="es-CO"/>
        </w:rPr>
        <w:footnoteReference w:id="14"/>
      </w:r>
      <w:r w:rsidR="00934D84" w:rsidRPr="00285E2E">
        <w:rPr>
          <w:rFonts w:ascii="Gadugi" w:eastAsia="Times New Roman" w:hAnsi="Gadugi" w:cs="Times New Roman"/>
          <w:szCs w:val="24"/>
          <w:lang w:val="es-CO"/>
        </w:rPr>
        <w:t xml:space="preserve"> </w:t>
      </w:r>
    </w:p>
    <w:p w14:paraId="3151E45F" w14:textId="77777777" w:rsidR="001C0FA2" w:rsidRPr="00285E2E" w:rsidRDefault="001C0FA2" w:rsidP="00285E2E">
      <w:pPr>
        <w:shd w:val="clear" w:color="auto" w:fill="FFFFFF"/>
        <w:spacing w:line="240" w:lineRule="auto"/>
        <w:ind w:left="426" w:right="420"/>
        <w:jc w:val="both"/>
        <w:rPr>
          <w:rFonts w:ascii="Gadugi" w:eastAsia="Times New Roman" w:hAnsi="Gadugi" w:cs="Times New Roman"/>
          <w:szCs w:val="24"/>
          <w:lang w:val="es-CO"/>
        </w:rPr>
      </w:pPr>
    </w:p>
    <w:p w14:paraId="23E26E24" w14:textId="1CCDC126" w:rsidR="00255CA6" w:rsidRPr="00285E2E" w:rsidRDefault="001C0FA2" w:rsidP="00285E2E">
      <w:pPr>
        <w:shd w:val="clear" w:color="auto" w:fill="FFFFFF"/>
        <w:spacing w:line="240" w:lineRule="auto"/>
        <w:ind w:left="426" w:right="420"/>
        <w:jc w:val="both"/>
        <w:rPr>
          <w:rFonts w:ascii="Gadugi" w:eastAsia="Times New Roman" w:hAnsi="Gadugi" w:cs="Times New Roman"/>
          <w:szCs w:val="24"/>
          <w:lang w:val="es-CO"/>
        </w:rPr>
      </w:pPr>
      <w:r w:rsidRPr="00285E2E">
        <w:rPr>
          <w:rFonts w:ascii="Gadugi" w:eastAsia="Times New Roman" w:hAnsi="Gadugi" w:cs="Times New Roman"/>
          <w:szCs w:val="24"/>
          <w:lang w:val="es-CO"/>
        </w:rPr>
        <w:lastRenderedPageBreak/>
        <w:t>(…)</w:t>
      </w:r>
      <w:r w:rsidR="00255CA6" w:rsidRPr="00285E2E">
        <w:rPr>
          <w:rFonts w:ascii="Gadugi" w:eastAsia="Times New Roman" w:hAnsi="Gadugi" w:cs="Times New Roman"/>
          <w:szCs w:val="24"/>
          <w:lang w:val="es-CO"/>
        </w:rPr>
        <w:t> </w:t>
      </w:r>
    </w:p>
    <w:p w14:paraId="40A81AFE" w14:textId="77777777" w:rsidR="00255CA6" w:rsidRPr="00285E2E" w:rsidRDefault="00255CA6" w:rsidP="00285E2E">
      <w:pPr>
        <w:shd w:val="clear" w:color="auto" w:fill="FFFFFF"/>
        <w:spacing w:line="240" w:lineRule="auto"/>
        <w:ind w:left="426" w:right="420"/>
        <w:jc w:val="both"/>
        <w:rPr>
          <w:rFonts w:ascii="Gadugi" w:eastAsia="Times New Roman" w:hAnsi="Gadugi" w:cs="Times New Roman"/>
          <w:szCs w:val="24"/>
          <w:lang w:val="es-CO"/>
        </w:rPr>
      </w:pPr>
      <w:r w:rsidRPr="00285E2E">
        <w:rPr>
          <w:rFonts w:ascii="Gadugi" w:eastAsia="Times New Roman" w:hAnsi="Gadugi" w:cs="Times New Roman"/>
          <w:szCs w:val="24"/>
          <w:lang w:val="es-CO"/>
        </w:rPr>
        <w:t> </w:t>
      </w:r>
    </w:p>
    <w:p w14:paraId="2F5A7609" w14:textId="25286736" w:rsidR="00255CA6" w:rsidRPr="00285E2E" w:rsidRDefault="00255CA6" w:rsidP="00285E2E">
      <w:pPr>
        <w:shd w:val="clear" w:color="auto" w:fill="FFFFFF"/>
        <w:spacing w:line="240" w:lineRule="auto"/>
        <w:ind w:left="426" w:right="420"/>
        <w:jc w:val="both"/>
        <w:rPr>
          <w:rFonts w:ascii="Gadugi" w:eastAsia="Times New Roman" w:hAnsi="Gadugi" w:cs="Times New Roman"/>
          <w:szCs w:val="24"/>
          <w:lang w:val="es-CO"/>
        </w:rPr>
      </w:pPr>
      <w:r w:rsidRPr="00285E2E">
        <w:rPr>
          <w:rFonts w:ascii="Gadugi" w:eastAsia="Times New Roman" w:hAnsi="Gadugi" w:cs="Times New Roman"/>
          <w:szCs w:val="24"/>
          <w:lang w:val="es-CO"/>
        </w:rPr>
        <w:t>En ese orden de ideas, el numeral 15 del artículo 1068 del Código Civil, no viola el Ordenamiento Superior, sino que contrario a lo afirmado por el</w:t>
      </w:r>
      <w:r w:rsidR="00934D84" w:rsidRPr="00285E2E">
        <w:rPr>
          <w:rFonts w:ascii="Gadugi" w:eastAsia="Times New Roman" w:hAnsi="Gadugi" w:cs="Times New Roman"/>
          <w:szCs w:val="24"/>
          <w:lang w:val="es-CO"/>
        </w:rPr>
        <w:t xml:space="preserve"> </w:t>
      </w:r>
      <w:r w:rsidRPr="00285E2E">
        <w:rPr>
          <w:rFonts w:ascii="Gadugi" w:eastAsia="Times New Roman" w:hAnsi="Gadugi" w:cs="Times New Roman"/>
          <w:szCs w:val="24"/>
          <w:lang w:val="es-CO"/>
        </w:rPr>
        <w:t xml:space="preserve">demandante, con esa prohibición se busca garantizar una finalidad constitucionalmente admisible, como es la autonomía de su voluntad, con las restricciones que al efecto consagra la ley. </w:t>
      </w:r>
      <w:r w:rsidR="001C0FA2" w:rsidRPr="00285E2E">
        <w:rPr>
          <w:rFonts w:ascii="Gadugi" w:eastAsia="Times New Roman" w:hAnsi="Gadugi" w:cs="Times New Roman"/>
          <w:szCs w:val="24"/>
          <w:lang w:val="es-CO"/>
        </w:rPr>
        <w:t>(…)”</w:t>
      </w:r>
    </w:p>
    <w:p w14:paraId="41A4A092" w14:textId="76A1CBB2" w:rsidR="0055439C" w:rsidRPr="00285E2E" w:rsidRDefault="0055439C" w:rsidP="00285E2E">
      <w:pPr>
        <w:ind w:left="567" w:right="567"/>
        <w:jc w:val="both"/>
        <w:rPr>
          <w:rFonts w:ascii="Gadugi" w:eastAsia="Georgia" w:hAnsi="Gadugi" w:cs="Georgia"/>
          <w:sz w:val="24"/>
          <w:szCs w:val="24"/>
          <w:lang w:val="es-ES"/>
        </w:rPr>
      </w:pPr>
    </w:p>
    <w:p w14:paraId="381056BD" w14:textId="171AECA9" w:rsidR="0055439C" w:rsidRPr="00285E2E" w:rsidRDefault="00D43E33" w:rsidP="00285E2E">
      <w:pPr>
        <w:jc w:val="both"/>
        <w:rPr>
          <w:rFonts w:ascii="Gadugi" w:eastAsia="Georgia" w:hAnsi="Gadugi" w:cs="Georgia"/>
          <w:sz w:val="24"/>
          <w:szCs w:val="24"/>
          <w:lang w:val="es-ES"/>
        </w:rPr>
      </w:pPr>
      <w:r w:rsidRPr="00285E2E">
        <w:rPr>
          <w:rFonts w:ascii="Gadugi" w:eastAsia="Georgia" w:hAnsi="Gadugi" w:cs="Georgia"/>
          <w:sz w:val="24"/>
          <w:szCs w:val="24"/>
          <w:lang w:val="es-ES"/>
        </w:rPr>
        <w:t>Como se ve, las formalidades previstas por el legislador para testar no se oponen al principio de buena fe, más bien, fueron establecidas para proteger el libre albedrío de quien</w:t>
      </w:r>
      <w:r w:rsidR="007B4A64" w:rsidRPr="00285E2E">
        <w:rPr>
          <w:rFonts w:ascii="Gadugi" w:eastAsia="Georgia" w:hAnsi="Gadugi" w:cs="Georgia"/>
          <w:sz w:val="24"/>
          <w:szCs w:val="24"/>
          <w:lang w:val="es-ES"/>
        </w:rPr>
        <w:t>,</w:t>
      </w:r>
      <w:r w:rsidRPr="00285E2E">
        <w:rPr>
          <w:rFonts w:ascii="Gadugi" w:eastAsia="Georgia" w:hAnsi="Gadugi" w:cs="Georgia"/>
          <w:sz w:val="24"/>
          <w:szCs w:val="24"/>
          <w:lang w:val="es-ES"/>
        </w:rPr>
        <w:t xml:space="preserve"> en vida, dispone de </w:t>
      </w:r>
      <w:r w:rsidR="00460244" w:rsidRPr="00285E2E">
        <w:rPr>
          <w:rFonts w:ascii="Gadugi" w:eastAsia="Georgia" w:hAnsi="Gadugi" w:cs="Georgia"/>
          <w:sz w:val="24"/>
          <w:szCs w:val="24"/>
          <w:lang w:val="es-ES"/>
        </w:rPr>
        <w:t xml:space="preserve">la suerte de </w:t>
      </w:r>
      <w:r w:rsidRPr="00285E2E">
        <w:rPr>
          <w:rFonts w:ascii="Gadugi" w:eastAsia="Georgia" w:hAnsi="Gadugi" w:cs="Georgia"/>
          <w:sz w:val="24"/>
          <w:szCs w:val="24"/>
          <w:lang w:val="es-ES"/>
        </w:rPr>
        <w:t xml:space="preserve">sus bienes luego de </w:t>
      </w:r>
      <w:r w:rsidR="00460244" w:rsidRPr="00285E2E">
        <w:rPr>
          <w:rFonts w:ascii="Gadugi" w:eastAsia="Georgia" w:hAnsi="Gadugi" w:cs="Georgia"/>
          <w:sz w:val="24"/>
          <w:szCs w:val="24"/>
          <w:lang w:val="es-ES"/>
        </w:rPr>
        <w:t>que ocurra</w:t>
      </w:r>
      <w:r w:rsidRPr="00285E2E">
        <w:rPr>
          <w:rFonts w:ascii="Gadugi" w:eastAsia="Georgia" w:hAnsi="Gadugi" w:cs="Georgia"/>
          <w:sz w:val="24"/>
          <w:szCs w:val="24"/>
          <w:lang w:val="es-ES"/>
        </w:rPr>
        <w:t xml:space="preserve"> su muerte, y, en todo caso, sirven para </w:t>
      </w:r>
      <w:r w:rsidRPr="00285E2E">
        <w:rPr>
          <w:rFonts w:ascii="Gadugi" w:eastAsia="Georgia" w:hAnsi="Gadugi" w:cs="Georgia"/>
          <w:i/>
          <w:sz w:val="24"/>
          <w:szCs w:val="24"/>
          <w:lang w:val="es-ES"/>
        </w:rPr>
        <w:t>“</w:t>
      </w:r>
      <w:r w:rsidRPr="00285E2E">
        <w:rPr>
          <w:rFonts w:ascii="Gadugi" w:eastAsia="Georgia" w:hAnsi="Gadugi" w:cs="Georgia"/>
          <w:i/>
          <w:szCs w:val="24"/>
          <w:lang w:val="es-ES"/>
        </w:rPr>
        <w:t>despojar el acto de cualquier sombra de duda sobre la autonomía e independencia del testador</w:t>
      </w:r>
      <w:r w:rsidRPr="00285E2E">
        <w:rPr>
          <w:rFonts w:ascii="Gadugi" w:eastAsia="Georgia" w:hAnsi="Gadugi" w:cs="Georgia"/>
          <w:i/>
          <w:sz w:val="24"/>
          <w:szCs w:val="24"/>
          <w:lang w:val="es-ES"/>
        </w:rPr>
        <w:t>”</w:t>
      </w:r>
      <w:r w:rsidRPr="00285E2E">
        <w:rPr>
          <w:rFonts w:ascii="Gadugi" w:eastAsia="Georgia" w:hAnsi="Gadugi" w:cs="Georgia"/>
          <w:sz w:val="24"/>
          <w:szCs w:val="24"/>
          <w:lang w:val="es-ES"/>
        </w:rPr>
        <w:t xml:space="preserve">, de ahí </w:t>
      </w:r>
      <w:r w:rsidR="007B4A64" w:rsidRPr="00285E2E">
        <w:rPr>
          <w:rFonts w:ascii="Gadugi" w:eastAsia="Georgia" w:hAnsi="Gadugi" w:cs="Georgia"/>
          <w:sz w:val="24"/>
          <w:szCs w:val="24"/>
          <w:lang w:val="es-ES"/>
        </w:rPr>
        <w:t>la importancia de que sean acatadas</w:t>
      </w:r>
      <w:r w:rsidR="00276E7F" w:rsidRPr="00285E2E">
        <w:rPr>
          <w:rFonts w:ascii="Gadugi" w:eastAsia="Georgia" w:hAnsi="Gadugi" w:cs="Georgia"/>
          <w:sz w:val="24"/>
          <w:szCs w:val="24"/>
          <w:lang w:val="es-ES"/>
        </w:rPr>
        <w:t>.</w:t>
      </w:r>
    </w:p>
    <w:p w14:paraId="36138D3E" w14:textId="77777777" w:rsidR="00276E7F" w:rsidRPr="00285E2E" w:rsidRDefault="00276E7F" w:rsidP="00285E2E">
      <w:pPr>
        <w:jc w:val="both"/>
        <w:rPr>
          <w:rFonts w:ascii="Gadugi" w:eastAsia="Georgia" w:hAnsi="Gadugi" w:cs="Georgia"/>
          <w:sz w:val="24"/>
          <w:szCs w:val="24"/>
          <w:lang w:val="es-ES"/>
        </w:rPr>
      </w:pPr>
    </w:p>
    <w:p w14:paraId="77B191F6" w14:textId="37F561D2" w:rsidR="003F189E" w:rsidRPr="00285E2E" w:rsidRDefault="00056A64" w:rsidP="00285E2E">
      <w:pPr>
        <w:jc w:val="both"/>
        <w:rPr>
          <w:rFonts w:ascii="Gadugi" w:eastAsia="Georgia" w:hAnsi="Gadugi" w:cs="Georgia"/>
          <w:sz w:val="24"/>
          <w:szCs w:val="24"/>
          <w:lang w:val="es-419"/>
        </w:rPr>
      </w:pPr>
      <w:r w:rsidRPr="00285E2E">
        <w:rPr>
          <w:rFonts w:ascii="Gadugi" w:eastAsia="Georgia" w:hAnsi="Gadugi" w:cs="Georgia"/>
          <w:sz w:val="24"/>
          <w:szCs w:val="24"/>
          <w:lang w:val="es-ES"/>
        </w:rPr>
        <w:t>2.</w:t>
      </w:r>
      <w:r w:rsidR="00460244" w:rsidRPr="00285E2E">
        <w:rPr>
          <w:rFonts w:ascii="Gadugi" w:eastAsia="Georgia" w:hAnsi="Gadugi" w:cs="Georgia"/>
          <w:sz w:val="24"/>
          <w:szCs w:val="24"/>
          <w:lang w:val="es-ES"/>
        </w:rPr>
        <w:t>4</w:t>
      </w:r>
      <w:r w:rsidRPr="00285E2E">
        <w:rPr>
          <w:rFonts w:ascii="Gadugi" w:eastAsia="Georgia" w:hAnsi="Gadugi" w:cs="Georgia"/>
          <w:sz w:val="24"/>
          <w:szCs w:val="24"/>
          <w:lang w:val="es-ES"/>
        </w:rPr>
        <w:t xml:space="preserve">. </w:t>
      </w:r>
      <w:r w:rsidR="00460244" w:rsidRPr="00285E2E">
        <w:rPr>
          <w:rFonts w:ascii="Gadugi" w:eastAsia="Georgia" w:hAnsi="Gadugi" w:cs="Georgia"/>
          <w:sz w:val="24"/>
          <w:szCs w:val="24"/>
          <w:lang w:val="es-ES"/>
        </w:rPr>
        <w:t xml:space="preserve">Sobran adicionales consideraciones para confirmar la sentencia apelada como en efecto sucederá. </w:t>
      </w:r>
      <w:r w:rsidR="00F3331C" w:rsidRPr="00285E2E">
        <w:rPr>
          <w:rFonts w:ascii="Gadugi" w:eastAsia="Georgia" w:hAnsi="Gadugi" w:cs="Georgia"/>
          <w:sz w:val="24"/>
          <w:szCs w:val="24"/>
          <w:lang w:val="es-419"/>
        </w:rPr>
        <w:t xml:space="preserve">Las costas en esta </w:t>
      </w:r>
      <w:r w:rsidR="00F3331C" w:rsidRPr="00285E2E">
        <w:rPr>
          <w:rFonts w:ascii="Gadugi" w:eastAsia="Georgia" w:hAnsi="Gadugi" w:cs="Georgia"/>
          <w:sz w:val="24"/>
          <w:szCs w:val="24"/>
          <w:lang w:val="es-MX"/>
        </w:rPr>
        <w:t xml:space="preserve">esta </w:t>
      </w:r>
      <w:r w:rsidR="003F189E" w:rsidRPr="00285E2E">
        <w:rPr>
          <w:rFonts w:ascii="Gadugi" w:eastAsia="Georgia" w:hAnsi="Gadugi" w:cs="Georgia"/>
          <w:sz w:val="24"/>
          <w:szCs w:val="24"/>
          <w:lang w:val="es-MX"/>
        </w:rPr>
        <w:t>sede</w:t>
      </w:r>
      <w:r w:rsidR="00F3331C" w:rsidRPr="00285E2E">
        <w:rPr>
          <w:rFonts w:ascii="Gadugi" w:eastAsia="Georgia" w:hAnsi="Gadugi" w:cs="Georgia"/>
          <w:sz w:val="24"/>
          <w:szCs w:val="24"/>
          <w:lang w:val="es-MX"/>
        </w:rPr>
        <w:t xml:space="preserve"> </w:t>
      </w:r>
      <w:r w:rsidR="00F3331C" w:rsidRPr="00285E2E">
        <w:rPr>
          <w:rFonts w:ascii="Gadugi" w:eastAsia="Georgia" w:hAnsi="Gadugi" w:cs="Georgia"/>
          <w:sz w:val="24"/>
          <w:szCs w:val="24"/>
          <w:lang w:val="es-419"/>
        </w:rPr>
        <w:t xml:space="preserve">serán a cargo de la </w:t>
      </w:r>
      <w:r w:rsidR="00F3331C" w:rsidRPr="00285E2E">
        <w:rPr>
          <w:rFonts w:ascii="Gadugi" w:eastAsia="Georgia" w:hAnsi="Gadugi" w:cs="Georgia"/>
          <w:sz w:val="24"/>
          <w:szCs w:val="24"/>
          <w:lang w:val="es-MX"/>
        </w:rPr>
        <w:t xml:space="preserve">parte </w:t>
      </w:r>
      <w:r w:rsidR="00460244" w:rsidRPr="00285E2E">
        <w:rPr>
          <w:rFonts w:ascii="Gadugi" w:eastAsia="Georgia" w:hAnsi="Gadugi" w:cs="Georgia"/>
          <w:sz w:val="24"/>
          <w:szCs w:val="24"/>
          <w:lang w:val="es-MX"/>
        </w:rPr>
        <w:t>demandada</w:t>
      </w:r>
      <w:r w:rsidR="00F3331C" w:rsidRPr="00285E2E">
        <w:rPr>
          <w:rFonts w:ascii="Gadugi" w:eastAsia="Georgia" w:hAnsi="Gadugi" w:cs="Georgia"/>
          <w:sz w:val="24"/>
          <w:szCs w:val="24"/>
          <w:lang w:val="es-MX"/>
        </w:rPr>
        <w:t xml:space="preserve"> y en favor de</w:t>
      </w:r>
      <w:r w:rsidR="003F189E" w:rsidRPr="00285E2E">
        <w:rPr>
          <w:rFonts w:ascii="Gadugi" w:eastAsia="Georgia" w:hAnsi="Gadugi" w:cs="Georgia"/>
          <w:sz w:val="24"/>
          <w:szCs w:val="24"/>
          <w:lang w:val="es-MX"/>
        </w:rPr>
        <w:t xml:space="preserve"> la</w:t>
      </w:r>
      <w:r w:rsidR="00F3331C" w:rsidRPr="00285E2E">
        <w:rPr>
          <w:rFonts w:ascii="Gadugi" w:eastAsia="Georgia" w:hAnsi="Gadugi" w:cs="Georgia"/>
          <w:sz w:val="24"/>
          <w:szCs w:val="24"/>
          <w:lang w:val="es-MX"/>
        </w:rPr>
        <w:t xml:space="preserve"> demanda</w:t>
      </w:r>
      <w:r w:rsidR="00460244" w:rsidRPr="00285E2E">
        <w:rPr>
          <w:rFonts w:ascii="Gadugi" w:eastAsia="Georgia" w:hAnsi="Gadugi" w:cs="Georgia"/>
          <w:sz w:val="24"/>
          <w:szCs w:val="24"/>
          <w:lang w:val="es-MX"/>
        </w:rPr>
        <w:t>nte</w:t>
      </w:r>
      <w:r w:rsidR="00165C89" w:rsidRPr="00285E2E">
        <w:rPr>
          <w:rFonts w:ascii="Gadugi" w:eastAsia="Georgia" w:hAnsi="Gadugi" w:cs="Georgia"/>
          <w:sz w:val="24"/>
          <w:szCs w:val="24"/>
          <w:lang w:val="es-MX"/>
        </w:rPr>
        <w:t>, ya que fracasa el recurso</w:t>
      </w:r>
      <w:r w:rsidR="00F3331C" w:rsidRPr="00285E2E">
        <w:rPr>
          <w:rFonts w:ascii="Gadugi" w:eastAsia="Georgia" w:hAnsi="Gadugi" w:cs="Georgia"/>
          <w:sz w:val="24"/>
          <w:szCs w:val="24"/>
          <w:lang w:val="es-MX"/>
        </w:rPr>
        <w:t xml:space="preserve"> (numeral 1 del artículo 365 del CGP)</w:t>
      </w:r>
      <w:r w:rsidR="001C76B8" w:rsidRPr="00285E2E">
        <w:rPr>
          <w:rFonts w:ascii="Gadugi" w:eastAsia="Georgia" w:hAnsi="Gadugi" w:cs="Georgia"/>
          <w:sz w:val="24"/>
          <w:szCs w:val="24"/>
          <w:lang w:val="es-MX"/>
        </w:rPr>
        <w:t xml:space="preserve">. </w:t>
      </w:r>
      <w:r w:rsidR="00460244" w:rsidRPr="00285E2E">
        <w:rPr>
          <w:rFonts w:ascii="Gadugi" w:eastAsia="Georgia" w:hAnsi="Gadugi" w:cs="Georgia"/>
          <w:sz w:val="24"/>
          <w:szCs w:val="24"/>
          <w:lang w:val="es-MX"/>
        </w:rPr>
        <w:t>Serán</w:t>
      </w:r>
      <w:r w:rsidR="00F3331C" w:rsidRPr="00285E2E">
        <w:rPr>
          <w:rFonts w:ascii="Gadugi" w:eastAsia="Georgia" w:hAnsi="Gadugi" w:cs="Georgia"/>
          <w:sz w:val="24"/>
          <w:szCs w:val="24"/>
          <w:lang w:val="es-419"/>
        </w:rPr>
        <w:t xml:space="preserve"> liquidadas </w:t>
      </w:r>
      <w:r w:rsidR="00F3331C" w:rsidRPr="00285E2E">
        <w:rPr>
          <w:rFonts w:ascii="Gadugi" w:eastAsia="Georgia" w:hAnsi="Gadugi" w:cs="Georgia"/>
          <w:sz w:val="24"/>
          <w:szCs w:val="24"/>
          <w:lang w:val="es-MX"/>
        </w:rPr>
        <w:t xml:space="preserve">en la forma y términos señalados en el artículo 366 del </w:t>
      </w:r>
      <w:r w:rsidR="00460244" w:rsidRPr="00285E2E">
        <w:rPr>
          <w:rFonts w:ascii="Gadugi" w:eastAsia="Georgia" w:hAnsi="Gadugi" w:cs="Georgia"/>
          <w:sz w:val="24"/>
          <w:szCs w:val="24"/>
          <w:lang w:val="es-MX"/>
        </w:rPr>
        <w:t>CGP</w:t>
      </w:r>
      <w:r w:rsidR="00F3331C" w:rsidRPr="00285E2E">
        <w:rPr>
          <w:rFonts w:ascii="Gadugi" w:eastAsia="Georgia" w:hAnsi="Gadugi" w:cs="Georgia"/>
          <w:sz w:val="24"/>
          <w:szCs w:val="24"/>
          <w:lang w:val="es-419"/>
        </w:rPr>
        <w:t>. Las agencias en derecho se fijarán en proveído separado.</w:t>
      </w:r>
    </w:p>
    <w:p w14:paraId="58D5A10E" w14:textId="28B75519" w:rsidR="00F3331C" w:rsidRPr="00285E2E" w:rsidRDefault="00F3331C" w:rsidP="00285E2E">
      <w:pPr>
        <w:jc w:val="both"/>
        <w:rPr>
          <w:rFonts w:ascii="Gadugi" w:eastAsia="Georgia" w:hAnsi="Gadugi" w:cs="Georgia"/>
          <w:sz w:val="24"/>
          <w:szCs w:val="24"/>
          <w:lang w:val="es-CO"/>
        </w:rPr>
      </w:pPr>
    </w:p>
    <w:p w14:paraId="1E89BC8B" w14:textId="28F48522" w:rsidR="00056A64" w:rsidRPr="00285E2E" w:rsidRDefault="00056A64" w:rsidP="00285E2E">
      <w:pPr>
        <w:pStyle w:val="Prrafodelista"/>
        <w:numPr>
          <w:ilvl w:val="0"/>
          <w:numId w:val="7"/>
        </w:numPr>
        <w:tabs>
          <w:tab w:val="left" w:pos="426"/>
        </w:tabs>
        <w:ind w:left="0" w:firstLine="0"/>
        <w:jc w:val="both"/>
        <w:rPr>
          <w:rFonts w:ascii="Gadugi" w:eastAsia="Georgia" w:hAnsi="Gadugi" w:cs="Georgia"/>
          <w:b/>
          <w:sz w:val="24"/>
          <w:szCs w:val="24"/>
          <w:lang w:val="es-ES"/>
        </w:rPr>
      </w:pPr>
      <w:r w:rsidRPr="00285E2E">
        <w:rPr>
          <w:rFonts w:ascii="Gadugi" w:eastAsia="Georgia" w:hAnsi="Gadugi" w:cs="Georgia"/>
          <w:b/>
          <w:sz w:val="24"/>
          <w:szCs w:val="24"/>
          <w:lang w:val="es-ES"/>
        </w:rPr>
        <w:t>DECISIÓN</w:t>
      </w:r>
    </w:p>
    <w:p w14:paraId="611DE950" w14:textId="28A38F01" w:rsidR="00056A64" w:rsidRPr="00285E2E" w:rsidRDefault="00056A64" w:rsidP="00285E2E">
      <w:pPr>
        <w:jc w:val="both"/>
        <w:rPr>
          <w:rFonts w:ascii="Gadugi" w:eastAsia="Georgia" w:hAnsi="Gadugi" w:cs="Georgia"/>
          <w:sz w:val="24"/>
          <w:szCs w:val="24"/>
          <w:lang w:val="es-ES"/>
        </w:rPr>
      </w:pPr>
    </w:p>
    <w:p w14:paraId="72D52A35" w14:textId="5EAC17FC" w:rsidR="00056A64" w:rsidRPr="00285E2E" w:rsidRDefault="00056A64" w:rsidP="00285E2E">
      <w:pPr>
        <w:jc w:val="both"/>
        <w:rPr>
          <w:rFonts w:ascii="Gadugi" w:eastAsia="Georgia" w:hAnsi="Gadugi" w:cs="Georgia"/>
          <w:b/>
          <w:sz w:val="24"/>
          <w:szCs w:val="24"/>
        </w:rPr>
      </w:pPr>
      <w:r w:rsidRPr="00285E2E">
        <w:rPr>
          <w:rFonts w:ascii="Gadugi" w:eastAsia="Georgia" w:hAnsi="Gadugi" w:cs="Georgia"/>
          <w:sz w:val="24"/>
          <w:szCs w:val="24"/>
          <w:lang w:val="es-ES"/>
        </w:rPr>
        <w:t>En armonía con lo dicho, la Sala Civil Familia del Tribunal Superior del Distrito Judicial de Pereira, administrando justicia en nombre de la República y por autoridad de la Ley,</w:t>
      </w:r>
      <w:r w:rsidR="001C76B8" w:rsidRPr="00285E2E">
        <w:rPr>
          <w:rFonts w:ascii="Gadugi" w:eastAsia="Georgia" w:hAnsi="Gadugi" w:cs="Georgia"/>
          <w:sz w:val="24"/>
          <w:szCs w:val="24"/>
          <w:lang w:val="es-ES"/>
        </w:rPr>
        <w:t xml:space="preserve"> </w:t>
      </w:r>
      <w:r w:rsidR="00F3331C" w:rsidRPr="00285E2E">
        <w:rPr>
          <w:rFonts w:ascii="Gadugi" w:eastAsia="Georgia" w:hAnsi="Gadugi" w:cs="Georgia"/>
          <w:b/>
          <w:sz w:val="24"/>
          <w:szCs w:val="24"/>
          <w:lang w:val="es-ES"/>
        </w:rPr>
        <w:t xml:space="preserve">CONFIRMA </w:t>
      </w:r>
      <w:r w:rsidR="00F3331C" w:rsidRPr="00285E2E">
        <w:rPr>
          <w:rFonts w:ascii="Gadugi" w:eastAsia="Georgia" w:hAnsi="Gadugi" w:cs="Georgia"/>
          <w:sz w:val="24"/>
          <w:szCs w:val="24"/>
        </w:rPr>
        <w:t xml:space="preserve">la sentencia </w:t>
      </w:r>
      <w:r w:rsidR="00460244" w:rsidRPr="00285E2E">
        <w:rPr>
          <w:rFonts w:ascii="Gadugi" w:eastAsia="Georgia" w:hAnsi="Gadugi" w:cs="Georgia"/>
          <w:sz w:val="24"/>
          <w:szCs w:val="24"/>
        </w:rPr>
        <w:t xml:space="preserve">apelada. </w:t>
      </w:r>
    </w:p>
    <w:p w14:paraId="78971381" w14:textId="77777777" w:rsidR="00CF6E01" w:rsidRPr="00285E2E" w:rsidRDefault="00CF6E01" w:rsidP="00285E2E">
      <w:pPr>
        <w:tabs>
          <w:tab w:val="left" w:pos="3686"/>
          <w:tab w:val="left" w:pos="4536"/>
        </w:tabs>
        <w:jc w:val="both"/>
        <w:rPr>
          <w:rFonts w:ascii="Gadugi" w:eastAsia="Georgia" w:hAnsi="Gadugi" w:cs="Georgia"/>
          <w:b/>
          <w:sz w:val="24"/>
          <w:szCs w:val="24"/>
        </w:rPr>
      </w:pPr>
    </w:p>
    <w:p w14:paraId="4FD4B0C5" w14:textId="072A293B" w:rsidR="00A90C49" w:rsidRPr="00285E2E" w:rsidRDefault="00F3331C" w:rsidP="00285E2E">
      <w:pPr>
        <w:jc w:val="both"/>
        <w:rPr>
          <w:rFonts w:ascii="Gadugi" w:eastAsia="Georgia" w:hAnsi="Gadugi" w:cs="Georgia"/>
          <w:sz w:val="24"/>
          <w:szCs w:val="24"/>
          <w:lang w:val="es-ES"/>
        </w:rPr>
      </w:pPr>
      <w:r w:rsidRPr="00285E2E">
        <w:rPr>
          <w:rFonts w:ascii="Gadugi" w:eastAsia="Georgia" w:hAnsi="Gadugi" w:cs="Georgia"/>
          <w:sz w:val="24"/>
          <w:szCs w:val="24"/>
          <w:lang w:val="es-ES"/>
        </w:rPr>
        <w:t xml:space="preserve">Costas en esta instancia a cargo de la parte </w:t>
      </w:r>
      <w:r w:rsidR="00460244" w:rsidRPr="00285E2E">
        <w:rPr>
          <w:rFonts w:ascii="Gadugi" w:eastAsia="Georgia" w:hAnsi="Gadugi" w:cs="Georgia"/>
          <w:sz w:val="24"/>
          <w:szCs w:val="24"/>
          <w:lang w:val="es-ES"/>
        </w:rPr>
        <w:t>demandada</w:t>
      </w:r>
      <w:r w:rsidRPr="00285E2E">
        <w:rPr>
          <w:rFonts w:ascii="Gadugi" w:eastAsia="Georgia" w:hAnsi="Gadugi" w:cs="Georgia"/>
          <w:sz w:val="24"/>
          <w:szCs w:val="24"/>
          <w:lang w:val="es-ES"/>
        </w:rPr>
        <w:t xml:space="preserve"> y en favor de</w:t>
      </w:r>
      <w:r w:rsidR="00A90C49" w:rsidRPr="00285E2E">
        <w:rPr>
          <w:rFonts w:ascii="Gadugi" w:eastAsia="Georgia" w:hAnsi="Gadugi" w:cs="Georgia"/>
          <w:sz w:val="24"/>
          <w:szCs w:val="24"/>
          <w:lang w:val="es-ES"/>
        </w:rPr>
        <w:t xml:space="preserve"> la </w:t>
      </w:r>
      <w:r w:rsidRPr="00285E2E">
        <w:rPr>
          <w:rFonts w:ascii="Gadugi" w:eastAsia="Georgia" w:hAnsi="Gadugi" w:cs="Georgia"/>
          <w:sz w:val="24"/>
          <w:szCs w:val="24"/>
          <w:lang w:val="es-ES"/>
        </w:rPr>
        <w:t>demanda</w:t>
      </w:r>
      <w:r w:rsidR="00460244" w:rsidRPr="00285E2E">
        <w:rPr>
          <w:rFonts w:ascii="Gadugi" w:eastAsia="Georgia" w:hAnsi="Gadugi" w:cs="Georgia"/>
          <w:sz w:val="24"/>
          <w:szCs w:val="24"/>
          <w:lang w:val="es-ES"/>
        </w:rPr>
        <w:t xml:space="preserve">nte. </w:t>
      </w:r>
    </w:p>
    <w:p w14:paraId="443D5B6C" w14:textId="5DC453EE" w:rsidR="00CF6E01" w:rsidRPr="00285E2E" w:rsidRDefault="00F3331C" w:rsidP="00285E2E">
      <w:pPr>
        <w:jc w:val="both"/>
        <w:rPr>
          <w:rFonts w:ascii="Gadugi" w:eastAsia="Georgia" w:hAnsi="Gadugi" w:cs="Georgia"/>
          <w:sz w:val="24"/>
          <w:szCs w:val="24"/>
          <w:lang w:val="es-ES"/>
        </w:rPr>
      </w:pPr>
      <w:r w:rsidRPr="00285E2E">
        <w:rPr>
          <w:rFonts w:ascii="Gadugi" w:eastAsia="Georgia" w:hAnsi="Gadugi" w:cs="Georgia"/>
          <w:sz w:val="24"/>
          <w:szCs w:val="24"/>
          <w:lang w:val="es-ES"/>
        </w:rPr>
        <w:t xml:space="preserve"> </w:t>
      </w:r>
    </w:p>
    <w:p w14:paraId="66CDDA69" w14:textId="562FB0FC" w:rsidR="00056A64" w:rsidRPr="00285E2E" w:rsidRDefault="00056A64" w:rsidP="00285E2E">
      <w:pPr>
        <w:jc w:val="both"/>
        <w:rPr>
          <w:rFonts w:ascii="Gadugi" w:eastAsia="Georgia" w:hAnsi="Gadugi" w:cs="Georgia"/>
          <w:sz w:val="24"/>
          <w:szCs w:val="24"/>
          <w:lang w:val="es-ES"/>
        </w:rPr>
      </w:pPr>
      <w:r w:rsidRPr="00285E2E">
        <w:rPr>
          <w:rFonts w:ascii="Gadugi" w:eastAsia="Georgia" w:hAnsi="Gadugi" w:cs="Georgia"/>
          <w:sz w:val="24"/>
          <w:szCs w:val="24"/>
          <w:lang w:val="es-ES"/>
        </w:rPr>
        <w:t>Dev</w:t>
      </w:r>
      <w:r w:rsidR="00A90C49" w:rsidRPr="00285E2E">
        <w:rPr>
          <w:rFonts w:ascii="Gadugi" w:eastAsia="Georgia" w:hAnsi="Gadugi" w:cs="Georgia"/>
          <w:sz w:val="24"/>
          <w:szCs w:val="24"/>
          <w:lang w:val="es-ES"/>
        </w:rPr>
        <w:t xml:space="preserve">uélvase el expediente al juzgado de </w:t>
      </w:r>
      <w:r w:rsidRPr="00285E2E">
        <w:rPr>
          <w:rFonts w:ascii="Gadugi" w:eastAsia="Georgia" w:hAnsi="Gadugi" w:cs="Georgia"/>
          <w:sz w:val="24"/>
          <w:szCs w:val="24"/>
          <w:lang w:val="es-ES"/>
        </w:rPr>
        <w:t>origen.</w:t>
      </w:r>
    </w:p>
    <w:p w14:paraId="2C269977" w14:textId="77777777" w:rsidR="00285E2E" w:rsidRPr="00E37B99" w:rsidRDefault="00285E2E" w:rsidP="00285E2E">
      <w:pPr>
        <w:jc w:val="both"/>
        <w:rPr>
          <w:rFonts w:ascii="Gadugi" w:eastAsia="Georgia" w:hAnsi="Gadugi" w:cs="Georgia"/>
          <w:bCs/>
          <w:sz w:val="24"/>
          <w:szCs w:val="24"/>
          <w:lang w:val="es-CO"/>
        </w:rPr>
      </w:pPr>
    </w:p>
    <w:p w14:paraId="5FDA3E00" w14:textId="77777777" w:rsidR="00285E2E" w:rsidRPr="00E37B99" w:rsidRDefault="00285E2E" w:rsidP="00285E2E">
      <w:pPr>
        <w:jc w:val="both"/>
        <w:rPr>
          <w:rFonts w:ascii="Gadugi" w:eastAsia="Georgia" w:hAnsi="Gadugi" w:cs="Georgia"/>
          <w:bCs/>
          <w:sz w:val="24"/>
          <w:szCs w:val="24"/>
          <w:lang w:val="es-CO"/>
        </w:rPr>
      </w:pPr>
      <w:r w:rsidRPr="00E37B99">
        <w:rPr>
          <w:rFonts w:ascii="Gadugi" w:eastAsia="Georgia" w:hAnsi="Gadugi" w:cs="Georgia"/>
          <w:bCs/>
          <w:sz w:val="24"/>
          <w:szCs w:val="24"/>
          <w:lang w:val="es-CO"/>
        </w:rPr>
        <w:t>Notifíquese,</w:t>
      </w:r>
    </w:p>
    <w:p w14:paraId="528962AF" w14:textId="77777777" w:rsidR="00285E2E" w:rsidRPr="00B61717" w:rsidRDefault="00285E2E" w:rsidP="00285E2E">
      <w:pPr>
        <w:tabs>
          <w:tab w:val="left" w:pos="1701"/>
          <w:tab w:val="left" w:pos="2127"/>
          <w:tab w:val="left" w:pos="2977"/>
        </w:tabs>
        <w:jc w:val="both"/>
        <w:rPr>
          <w:rFonts w:ascii="Gadugi" w:eastAsia="Malgun Gothic" w:hAnsi="Gadugi" w:cs="Estrangelo Edessa"/>
          <w:sz w:val="24"/>
          <w:szCs w:val="24"/>
          <w:lang w:val="es-CO" w:eastAsia="en-US"/>
        </w:rPr>
      </w:pPr>
    </w:p>
    <w:p w14:paraId="7B9BC7DC" w14:textId="77777777" w:rsidR="00285E2E" w:rsidRPr="00B61717" w:rsidRDefault="00285E2E" w:rsidP="00285E2E">
      <w:pPr>
        <w:tabs>
          <w:tab w:val="left" w:pos="1701"/>
          <w:tab w:val="left" w:pos="2127"/>
          <w:tab w:val="left" w:pos="2977"/>
        </w:tabs>
        <w:jc w:val="both"/>
        <w:rPr>
          <w:rFonts w:ascii="Gadugi" w:eastAsia="Malgun Gothic" w:hAnsi="Gadugi" w:cs="Estrangelo Edessa"/>
          <w:sz w:val="24"/>
          <w:szCs w:val="24"/>
          <w:lang w:val="es-CO" w:eastAsia="en-US"/>
        </w:rPr>
      </w:pPr>
      <w:r w:rsidRPr="00B61717">
        <w:rPr>
          <w:rFonts w:ascii="Gadugi" w:eastAsia="Malgun Gothic" w:hAnsi="Gadugi" w:cs="Estrangelo Edessa"/>
          <w:sz w:val="24"/>
          <w:szCs w:val="24"/>
          <w:lang w:val="es-CO" w:eastAsia="en-US"/>
        </w:rPr>
        <w:t xml:space="preserve">Los Magistrados, </w:t>
      </w:r>
    </w:p>
    <w:p w14:paraId="224F3F88" w14:textId="77777777" w:rsidR="00285E2E" w:rsidRPr="00B61717" w:rsidRDefault="00285E2E" w:rsidP="00285E2E">
      <w:pPr>
        <w:tabs>
          <w:tab w:val="left" w:pos="1701"/>
          <w:tab w:val="left" w:pos="2127"/>
          <w:tab w:val="left" w:pos="2977"/>
        </w:tabs>
        <w:jc w:val="both"/>
        <w:rPr>
          <w:rFonts w:ascii="Gadugi" w:eastAsia="Malgun Gothic" w:hAnsi="Gadugi" w:cs="Estrangelo Edessa"/>
          <w:sz w:val="24"/>
          <w:szCs w:val="24"/>
          <w:lang w:val="es-CO" w:eastAsia="en-US"/>
        </w:rPr>
      </w:pPr>
    </w:p>
    <w:p w14:paraId="5544FA94" w14:textId="77777777" w:rsidR="00285E2E" w:rsidRPr="00B61717" w:rsidRDefault="00285E2E" w:rsidP="00285E2E">
      <w:pPr>
        <w:tabs>
          <w:tab w:val="left" w:pos="1701"/>
          <w:tab w:val="left" w:pos="2127"/>
          <w:tab w:val="left" w:pos="2977"/>
        </w:tabs>
        <w:jc w:val="both"/>
        <w:rPr>
          <w:rFonts w:ascii="Gadugi" w:eastAsia="Malgun Gothic" w:hAnsi="Gadugi" w:cs="Estrangelo Edessa"/>
          <w:b/>
          <w:sz w:val="24"/>
          <w:szCs w:val="24"/>
          <w:lang w:val="es-CO" w:eastAsia="en-US"/>
        </w:rPr>
      </w:pPr>
    </w:p>
    <w:p w14:paraId="524DE61E" w14:textId="77777777" w:rsidR="00285E2E" w:rsidRPr="00B61717" w:rsidRDefault="00285E2E" w:rsidP="00285E2E">
      <w:pPr>
        <w:ind w:left="993" w:firstLine="708"/>
        <w:jc w:val="both"/>
        <w:rPr>
          <w:rFonts w:ascii="Gadugi" w:eastAsia="Malgun Gothic" w:hAnsi="Gadugi" w:cs="Estrangelo Edessa"/>
          <w:b/>
          <w:bCs/>
          <w:sz w:val="24"/>
          <w:szCs w:val="24"/>
          <w:lang w:val="es-CO" w:eastAsia="en-US"/>
        </w:rPr>
      </w:pPr>
      <w:r w:rsidRPr="00B61717">
        <w:rPr>
          <w:rFonts w:ascii="Gadugi" w:eastAsia="Malgun Gothic" w:hAnsi="Gadugi" w:cs="Estrangelo Edessa"/>
          <w:b/>
          <w:bCs/>
          <w:sz w:val="24"/>
          <w:szCs w:val="24"/>
          <w:lang w:val="es-CO" w:eastAsia="en-US"/>
        </w:rPr>
        <w:t>JAIME ALBERTO SARAZA NARANJO</w:t>
      </w:r>
    </w:p>
    <w:p w14:paraId="1181EB63" w14:textId="77777777" w:rsidR="00285E2E" w:rsidRPr="00B61717" w:rsidRDefault="00285E2E" w:rsidP="00285E2E">
      <w:pPr>
        <w:tabs>
          <w:tab w:val="left" w:pos="1701"/>
          <w:tab w:val="left" w:pos="2127"/>
          <w:tab w:val="left" w:pos="2977"/>
        </w:tabs>
        <w:ind w:firstLine="1701"/>
        <w:jc w:val="both"/>
        <w:rPr>
          <w:rFonts w:ascii="Gadugi" w:eastAsia="Malgun Gothic" w:hAnsi="Gadugi" w:cs="Estrangelo Edessa"/>
          <w:b/>
          <w:sz w:val="24"/>
          <w:szCs w:val="24"/>
          <w:lang w:val="es-CO" w:eastAsia="en-US"/>
        </w:rPr>
      </w:pPr>
    </w:p>
    <w:p w14:paraId="402FEA50" w14:textId="77777777" w:rsidR="00285E2E" w:rsidRPr="00B61717" w:rsidRDefault="00285E2E" w:rsidP="00285E2E">
      <w:pPr>
        <w:tabs>
          <w:tab w:val="left" w:pos="1701"/>
          <w:tab w:val="left" w:pos="2127"/>
          <w:tab w:val="left" w:pos="2977"/>
        </w:tabs>
        <w:ind w:firstLine="1701"/>
        <w:jc w:val="both"/>
        <w:rPr>
          <w:rFonts w:ascii="Gadugi" w:eastAsia="Malgun Gothic" w:hAnsi="Gadugi" w:cs="Estrangelo Edessa"/>
          <w:b/>
          <w:sz w:val="24"/>
          <w:szCs w:val="24"/>
          <w:lang w:val="es-CO" w:eastAsia="en-US"/>
        </w:rPr>
      </w:pPr>
    </w:p>
    <w:p w14:paraId="093CE57E" w14:textId="77777777" w:rsidR="00285E2E" w:rsidRPr="00B61717" w:rsidRDefault="00285E2E" w:rsidP="00285E2E">
      <w:pPr>
        <w:ind w:left="993" w:firstLine="708"/>
        <w:jc w:val="both"/>
        <w:rPr>
          <w:rFonts w:ascii="Gadugi" w:eastAsia="Malgun Gothic" w:hAnsi="Gadugi" w:cs="Estrangelo Edessa"/>
          <w:b/>
          <w:bCs/>
          <w:sz w:val="24"/>
          <w:szCs w:val="24"/>
          <w:lang w:val="es-CO" w:eastAsia="en-US"/>
        </w:rPr>
      </w:pPr>
      <w:r w:rsidRPr="00B61717">
        <w:rPr>
          <w:rFonts w:ascii="Gadugi" w:eastAsia="Malgun Gothic" w:hAnsi="Gadugi" w:cs="Estrangelo Edessa"/>
          <w:b/>
          <w:bCs/>
          <w:sz w:val="24"/>
          <w:szCs w:val="24"/>
          <w:lang w:val="es-CO" w:eastAsia="en-US"/>
        </w:rPr>
        <w:t>CARLOS MAURICIO GARCÍA BARAJAS</w:t>
      </w:r>
    </w:p>
    <w:p w14:paraId="003CD1DE" w14:textId="77777777" w:rsidR="00285E2E" w:rsidRPr="00B61717" w:rsidRDefault="00285E2E" w:rsidP="00285E2E">
      <w:pPr>
        <w:tabs>
          <w:tab w:val="left" w:pos="1701"/>
          <w:tab w:val="left" w:pos="2127"/>
          <w:tab w:val="left" w:pos="2977"/>
        </w:tabs>
        <w:ind w:firstLine="1701"/>
        <w:jc w:val="both"/>
        <w:rPr>
          <w:rFonts w:ascii="Gadugi" w:eastAsia="Malgun Gothic" w:hAnsi="Gadugi" w:cs="Estrangelo Edessa"/>
          <w:b/>
          <w:sz w:val="24"/>
          <w:szCs w:val="24"/>
          <w:lang w:val="es-CO" w:eastAsia="en-US"/>
        </w:rPr>
      </w:pPr>
    </w:p>
    <w:p w14:paraId="384BE2E1" w14:textId="77777777" w:rsidR="00285E2E" w:rsidRPr="00B61717" w:rsidRDefault="00285E2E" w:rsidP="00285E2E">
      <w:pPr>
        <w:tabs>
          <w:tab w:val="left" w:pos="1701"/>
          <w:tab w:val="left" w:pos="2127"/>
          <w:tab w:val="left" w:pos="2977"/>
        </w:tabs>
        <w:ind w:firstLine="1701"/>
        <w:jc w:val="both"/>
        <w:rPr>
          <w:rFonts w:ascii="Gadugi" w:eastAsia="Malgun Gothic" w:hAnsi="Gadugi" w:cs="Estrangelo Edessa"/>
          <w:b/>
          <w:sz w:val="24"/>
          <w:szCs w:val="24"/>
          <w:lang w:val="es-CO" w:eastAsia="en-US"/>
        </w:rPr>
      </w:pPr>
    </w:p>
    <w:p w14:paraId="406A9D5D" w14:textId="14FEC950" w:rsidR="00056A64" w:rsidRPr="00285E2E" w:rsidRDefault="00285E2E" w:rsidP="00285E2E">
      <w:pPr>
        <w:ind w:left="993" w:firstLine="708"/>
        <w:jc w:val="both"/>
        <w:rPr>
          <w:rFonts w:ascii="Gadugi" w:eastAsia="Malgun Gothic" w:hAnsi="Gadugi" w:cs="Estrangelo Edessa"/>
          <w:bCs/>
          <w:sz w:val="24"/>
          <w:szCs w:val="24"/>
          <w:lang w:val="es-CO" w:eastAsia="en-US"/>
        </w:rPr>
      </w:pPr>
      <w:r w:rsidRPr="00B61717">
        <w:rPr>
          <w:rFonts w:ascii="Gadugi" w:eastAsia="Malgun Gothic" w:hAnsi="Gadugi" w:cs="Estrangelo Edessa"/>
          <w:b/>
          <w:bCs/>
          <w:sz w:val="24"/>
          <w:szCs w:val="24"/>
          <w:lang w:val="es-CO" w:eastAsia="en-US"/>
        </w:rPr>
        <w:t>DUBERNEY GRISALES HERRERA</w:t>
      </w:r>
    </w:p>
    <w:sectPr w:rsidR="00056A64" w:rsidRPr="00285E2E" w:rsidSect="00285E2E">
      <w:footerReference w:type="default" r:id="rId13"/>
      <w:pgSz w:w="12242" w:h="18722" w:code="258"/>
      <w:pgMar w:top="1871" w:right="1304" w:bottom="1304" w:left="1871" w:header="567" w:footer="567" w:gutter="0"/>
      <w:pgNumType w:start="1"/>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974118" w16cex:dateUtc="2023-03-21T15:49:42.104Z"/>
  <w16cex:commentExtensible w16cex:durableId="49B45355" w16cex:dateUtc="2023-03-22T17:38:51.828Z"/>
  <w16cex:commentExtensible w16cex:durableId="2D6CDA2A" w16cex:dateUtc="2023-05-29T15:11:43.98Z"/>
  <w16cex:commentExtensible w16cex:durableId="78FE7A1D" w16cex:dateUtc="2023-06-06T19:04:02.587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51E10" w14:textId="77777777" w:rsidR="00E86687" w:rsidRDefault="00E86687">
      <w:pPr>
        <w:spacing w:line="240" w:lineRule="auto"/>
      </w:pPr>
      <w:r>
        <w:separator/>
      </w:r>
    </w:p>
  </w:endnote>
  <w:endnote w:type="continuationSeparator" w:id="0">
    <w:p w14:paraId="4A132B39" w14:textId="77777777" w:rsidR="00E86687" w:rsidRDefault="00E86687">
      <w:pPr>
        <w:spacing w:line="240" w:lineRule="auto"/>
      </w:pPr>
      <w:r>
        <w:continuationSeparator/>
      </w:r>
    </w:p>
  </w:endnote>
  <w:endnote w:type="continuationNotice" w:id="1">
    <w:p w14:paraId="044E5ABE" w14:textId="77777777" w:rsidR="00E86687" w:rsidRDefault="00E866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319754"/>
      <w:docPartObj>
        <w:docPartGallery w:val="Page Numbers (Bottom of Page)"/>
        <w:docPartUnique/>
      </w:docPartObj>
    </w:sdtPr>
    <w:sdtEndPr/>
    <w:sdtContent>
      <w:p w14:paraId="0881CE55" w14:textId="3947010F" w:rsidR="00255CA6" w:rsidRDefault="00255CA6" w:rsidP="00285E2E">
        <w:pPr>
          <w:pStyle w:val="Piedepgina"/>
          <w:jc w:val="right"/>
        </w:pPr>
        <w:r w:rsidRPr="00285E2E">
          <w:rPr>
            <w:sz w:val="18"/>
          </w:rPr>
          <w:fldChar w:fldCharType="begin"/>
        </w:r>
        <w:r w:rsidRPr="00285E2E">
          <w:rPr>
            <w:sz w:val="18"/>
          </w:rPr>
          <w:instrText>PAGE   \* MERGEFORMAT</w:instrText>
        </w:r>
        <w:r w:rsidRPr="00285E2E">
          <w:rPr>
            <w:sz w:val="18"/>
          </w:rPr>
          <w:fldChar w:fldCharType="separate"/>
        </w:r>
        <w:r w:rsidR="0065385D" w:rsidRPr="0065385D">
          <w:rPr>
            <w:noProof/>
            <w:sz w:val="18"/>
            <w:lang w:val="es-ES"/>
          </w:rPr>
          <w:t>7</w:t>
        </w:r>
        <w:r w:rsidRPr="00285E2E">
          <w:rPr>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E3ABA" w14:textId="77777777" w:rsidR="00E86687" w:rsidRDefault="00E86687">
      <w:pPr>
        <w:spacing w:line="240" w:lineRule="auto"/>
      </w:pPr>
      <w:r>
        <w:separator/>
      </w:r>
    </w:p>
  </w:footnote>
  <w:footnote w:type="continuationSeparator" w:id="0">
    <w:p w14:paraId="18341E18" w14:textId="77777777" w:rsidR="00E86687" w:rsidRDefault="00E86687">
      <w:pPr>
        <w:spacing w:line="240" w:lineRule="auto"/>
      </w:pPr>
      <w:r>
        <w:continuationSeparator/>
      </w:r>
    </w:p>
  </w:footnote>
  <w:footnote w:type="continuationNotice" w:id="1">
    <w:p w14:paraId="37E0BF45" w14:textId="77777777" w:rsidR="00E86687" w:rsidRDefault="00E86687">
      <w:pPr>
        <w:spacing w:line="240" w:lineRule="auto"/>
      </w:pPr>
    </w:p>
  </w:footnote>
  <w:footnote w:id="2">
    <w:p w14:paraId="79F5654C" w14:textId="19CCB402" w:rsidR="00460244" w:rsidRPr="00285E2E" w:rsidRDefault="00460244" w:rsidP="00285E2E">
      <w:pPr>
        <w:pStyle w:val="Textonotapie"/>
        <w:jc w:val="both"/>
        <w:rPr>
          <w:sz w:val="18"/>
          <w:lang w:val="es-CO"/>
        </w:rPr>
      </w:pPr>
      <w:r w:rsidRPr="00285E2E">
        <w:rPr>
          <w:rStyle w:val="Refdenotaalpie"/>
          <w:sz w:val="18"/>
        </w:rPr>
        <w:footnoteRef/>
      </w:r>
      <w:r w:rsidRPr="00285E2E">
        <w:rPr>
          <w:sz w:val="18"/>
        </w:rPr>
        <w:t xml:space="preserve"> </w:t>
      </w:r>
      <w:r w:rsidRPr="00285E2E">
        <w:rPr>
          <w:sz w:val="18"/>
          <w:lang w:val="es-CO"/>
        </w:rPr>
        <w:t>Documento 01., C. 1.</w:t>
      </w:r>
    </w:p>
  </w:footnote>
  <w:footnote w:id="3">
    <w:p w14:paraId="2C8D4A2A" w14:textId="48D3A4C9" w:rsidR="00460244" w:rsidRPr="00285E2E" w:rsidRDefault="00460244" w:rsidP="00285E2E">
      <w:pPr>
        <w:pStyle w:val="Textonotapie"/>
        <w:jc w:val="both"/>
        <w:rPr>
          <w:sz w:val="18"/>
          <w:lang w:val="es-CO"/>
        </w:rPr>
      </w:pPr>
      <w:r w:rsidRPr="00285E2E">
        <w:rPr>
          <w:rStyle w:val="Refdenotaalpie"/>
          <w:sz w:val="18"/>
        </w:rPr>
        <w:footnoteRef/>
      </w:r>
      <w:r w:rsidRPr="00285E2E">
        <w:rPr>
          <w:sz w:val="18"/>
        </w:rPr>
        <w:t xml:space="preserve"> </w:t>
      </w:r>
      <w:r w:rsidRPr="00285E2E">
        <w:rPr>
          <w:sz w:val="18"/>
          <w:lang w:val="es-CO"/>
        </w:rPr>
        <w:t>Documento 01., C. 1.</w:t>
      </w:r>
    </w:p>
  </w:footnote>
  <w:footnote w:id="4">
    <w:p w14:paraId="2504C3A8" w14:textId="5D54A36A" w:rsidR="00460244" w:rsidRPr="00285E2E" w:rsidRDefault="00460244" w:rsidP="00285E2E">
      <w:pPr>
        <w:pStyle w:val="Textonotapie"/>
        <w:jc w:val="both"/>
        <w:rPr>
          <w:sz w:val="18"/>
          <w:lang w:val="es-CO"/>
        </w:rPr>
      </w:pPr>
      <w:r w:rsidRPr="00285E2E">
        <w:rPr>
          <w:rStyle w:val="Refdenotaalpie"/>
          <w:sz w:val="18"/>
        </w:rPr>
        <w:footnoteRef/>
      </w:r>
      <w:r w:rsidRPr="00285E2E">
        <w:rPr>
          <w:sz w:val="18"/>
        </w:rPr>
        <w:t xml:space="preserve"> </w:t>
      </w:r>
      <w:r w:rsidRPr="00285E2E">
        <w:rPr>
          <w:sz w:val="18"/>
          <w:lang w:val="es-CO"/>
        </w:rPr>
        <w:t>Documento 05., C. 1.</w:t>
      </w:r>
    </w:p>
  </w:footnote>
  <w:footnote w:id="5">
    <w:p w14:paraId="1BC431E8" w14:textId="79BADFE8" w:rsidR="00460244" w:rsidRPr="00285E2E" w:rsidRDefault="00460244" w:rsidP="00285E2E">
      <w:pPr>
        <w:pStyle w:val="Textonotapie"/>
        <w:jc w:val="both"/>
        <w:rPr>
          <w:sz w:val="18"/>
          <w:lang w:val="es-CO"/>
        </w:rPr>
      </w:pPr>
      <w:r w:rsidRPr="00285E2E">
        <w:rPr>
          <w:rStyle w:val="Refdenotaalpie"/>
          <w:sz w:val="18"/>
        </w:rPr>
        <w:footnoteRef/>
      </w:r>
      <w:r w:rsidRPr="00285E2E">
        <w:rPr>
          <w:sz w:val="18"/>
        </w:rPr>
        <w:t xml:space="preserve"> </w:t>
      </w:r>
      <w:r w:rsidRPr="00285E2E">
        <w:rPr>
          <w:sz w:val="18"/>
          <w:lang w:val="es-CO"/>
        </w:rPr>
        <w:t>Documento 24., C. 1.</w:t>
      </w:r>
    </w:p>
  </w:footnote>
  <w:footnote w:id="6">
    <w:p w14:paraId="5437BC05" w14:textId="31C6D1C0" w:rsidR="00460244" w:rsidRPr="00285E2E" w:rsidRDefault="00460244" w:rsidP="00285E2E">
      <w:pPr>
        <w:pStyle w:val="Textonotapie"/>
        <w:jc w:val="both"/>
        <w:rPr>
          <w:sz w:val="18"/>
          <w:lang w:val="es-CO"/>
        </w:rPr>
      </w:pPr>
      <w:r w:rsidRPr="00285E2E">
        <w:rPr>
          <w:rStyle w:val="Refdenotaalpie"/>
          <w:sz w:val="18"/>
        </w:rPr>
        <w:footnoteRef/>
      </w:r>
      <w:r w:rsidRPr="00285E2E">
        <w:rPr>
          <w:sz w:val="18"/>
        </w:rPr>
        <w:t xml:space="preserve"> </w:t>
      </w:r>
      <w:r w:rsidRPr="00285E2E">
        <w:rPr>
          <w:sz w:val="18"/>
          <w:lang w:val="es-CO"/>
        </w:rPr>
        <w:t>Documentos 69 y 70., C. 1.</w:t>
      </w:r>
    </w:p>
  </w:footnote>
  <w:footnote w:id="7">
    <w:p w14:paraId="7660A379" w14:textId="3B7A60F2" w:rsidR="00460244" w:rsidRPr="00285E2E" w:rsidRDefault="00460244" w:rsidP="00285E2E">
      <w:pPr>
        <w:pStyle w:val="Textonotapie"/>
        <w:jc w:val="both"/>
        <w:rPr>
          <w:sz w:val="18"/>
          <w:lang w:val="es-CO"/>
        </w:rPr>
      </w:pPr>
      <w:r w:rsidRPr="00285E2E">
        <w:rPr>
          <w:rStyle w:val="Refdenotaalpie"/>
          <w:sz w:val="18"/>
        </w:rPr>
        <w:footnoteRef/>
      </w:r>
      <w:r w:rsidRPr="00285E2E">
        <w:rPr>
          <w:sz w:val="18"/>
        </w:rPr>
        <w:t xml:space="preserve"> </w:t>
      </w:r>
      <w:r w:rsidRPr="00285E2E">
        <w:rPr>
          <w:sz w:val="18"/>
          <w:lang w:val="es-CO"/>
        </w:rPr>
        <w:t>Documento 74., C. 1.</w:t>
      </w:r>
    </w:p>
  </w:footnote>
  <w:footnote w:id="8">
    <w:p w14:paraId="6EC6AF01" w14:textId="7BD48D7D" w:rsidR="00460244" w:rsidRPr="00285E2E" w:rsidRDefault="00460244" w:rsidP="00285E2E">
      <w:pPr>
        <w:pStyle w:val="Textonotapie"/>
        <w:jc w:val="both"/>
        <w:rPr>
          <w:sz w:val="18"/>
          <w:lang w:val="es-CO"/>
        </w:rPr>
      </w:pPr>
      <w:r w:rsidRPr="00285E2E">
        <w:rPr>
          <w:rStyle w:val="Refdenotaalpie"/>
          <w:sz w:val="18"/>
        </w:rPr>
        <w:footnoteRef/>
      </w:r>
      <w:r w:rsidRPr="00285E2E">
        <w:rPr>
          <w:sz w:val="18"/>
        </w:rPr>
        <w:t xml:space="preserve"> </w:t>
      </w:r>
      <w:r w:rsidRPr="00285E2E">
        <w:rPr>
          <w:sz w:val="18"/>
          <w:lang w:val="es-CO"/>
        </w:rPr>
        <w:t>Documento 08., C. 2.</w:t>
      </w:r>
    </w:p>
  </w:footnote>
  <w:footnote w:id="9">
    <w:p w14:paraId="03328AC1" w14:textId="736F6467" w:rsidR="00460244" w:rsidRPr="00285E2E" w:rsidRDefault="00460244" w:rsidP="00285E2E">
      <w:pPr>
        <w:pStyle w:val="Textonotapie"/>
        <w:jc w:val="both"/>
        <w:rPr>
          <w:sz w:val="18"/>
          <w:lang w:val="es-CO"/>
        </w:rPr>
      </w:pPr>
      <w:r w:rsidRPr="00285E2E">
        <w:rPr>
          <w:rStyle w:val="Refdenotaalpie"/>
          <w:sz w:val="18"/>
        </w:rPr>
        <w:footnoteRef/>
      </w:r>
      <w:r w:rsidRPr="00285E2E">
        <w:rPr>
          <w:sz w:val="18"/>
        </w:rPr>
        <w:t xml:space="preserve"> </w:t>
      </w:r>
      <w:r w:rsidRPr="00285E2E">
        <w:rPr>
          <w:sz w:val="18"/>
          <w:lang w:val="es-CO"/>
        </w:rPr>
        <w:t>Documento 13., C. 1.</w:t>
      </w:r>
    </w:p>
  </w:footnote>
  <w:footnote w:id="10">
    <w:p w14:paraId="25CF9872" w14:textId="187F15E7" w:rsidR="00460244" w:rsidRPr="00285E2E" w:rsidRDefault="00460244" w:rsidP="00285E2E">
      <w:pPr>
        <w:pStyle w:val="Textonotapie"/>
        <w:jc w:val="both"/>
        <w:rPr>
          <w:sz w:val="18"/>
          <w:lang w:val="es-CO"/>
        </w:rPr>
      </w:pPr>
      <w:r w:rsidRPr="00285E2E">
        <w:rPr>
          <w:rStyle w:val="Refdenotaalpie"/>
          <w:sz w:val="18"/>
        </w:rPr>
        <w:footnoteRef/>
      </w:r>
      <w:r w:rsidRPr="00285E2E">
        <w:rPr>
          <w:sz w:val="18"/>
        </w:rPr>
        <w:t xml:space="preserve"> </w:t>
      </w:r>
      <w:r w:rsidRPr="00285E2E">
        <w:rPr>
          <w:sz w:val="18"/>
          <w:lang w:val="es-CO"/>
        </w:rPr>
        <w:t>La copia de la es</w:t>
      </w:r>
      <w:r w:rsidR="00EE5107" w:rsidRPr="00285E2E">
        <w:rPr>
          <w:sz w:val="18"/>
          <w:lang w:val="es-CO"/>
        </w:rPr>
        <w:t>critura está en la pág. 10, Documento 02., C. 1.</w:t>
      </w:r>
    </w:p>
  </w:footnote>
  <w:footnote w:id="11">
    <w:p w14:paraId="5CD74386" w14:textId="78F5D07D" w:rsidR="00255CA6" w:rsidRPr="00285E2E" w:rsidRDefault="00255CA6" w:rsidP="00285E2E">
      <w:pPr>
        <w:pStyle w:val="Textonotapie"/>
        <w:jc w:val="both"/>
        <w:rPr>
          <w:sz w:val="18"/>
          <w:lang w:val="es-CO"/>
        </w:rPr>
      </w:pPr>
      <w:r w:rsidRPr="00285E2E">
        <w:rPr>
          <w:rStyle w:val="Refdenotaalpie"/>
          <w:sz w:val="18"/>
        </w:rPr>
        <w:footnoteRef/>
      </w:r>
      <w:r w:rsidRPr="00285E2E">
        <w:rPr>
          <w:sz w:val="18"/>
        </w:rPr>
        <w:t xml:space="preserve"> Sentencia SC418-2018</w:t>
      </w:r>
    </w:p>
  </w:footnote>
  <w:footnote w:id="12">
    <w:p w14:paraId="2137BB53" w14:textId="569F3107" w:rsidR="00EE5107" w:rsidRPr="00285E2E" w:rsidRDefault="00EE5107" w:rsidP="00285E2E">
      <w:pPr>
        <w:pStyle w:val="Textonotapie"/>
        <w:jc w:val="both"/>
        <w:rPr>
          <w:sz w:val="18"/>
          <w:lang w:val="es-CO"/>
        </w:rPr>
      </w:pPr>
      <w:r w:rsidRPr="00285E2E">
        <w:rPr>
          <w:rStyle w:val="Refdenotaalpie"/>
          <w:sz w:val="18"/>
        </w:rPr>
        <w:footnoteRef/>
      </w:r>
      <w:r w:rsidRPr="00285E2E">
        <w:rPr>
          <w:sz w:val="18"/>
        </w:rPr>
        <w:t xml:space="preserve"> </w:t>
      </w:r>
      <w:r w:rsidRPr="00285E2E">
        <w:rPr>
          <w:sz w:val="18"/>
          <w:lang w:val="es-CO"/>
        </w:rPr>
        <w:t>Págs. 13 a 19., Documento 02.</w:t>
      </w:r>
    </w:p>
  </w:footnote>
  <w:footnote w:id="13">
    <w:p w14:paraId="04F773D7" w14:textId="0C409273" w:rsidR="00934D84" w:rsidRPr="00285E2E" w:rsidRDefault="00934D84" w:rsidP="00285E2E">
      <w:pPr>
        <w:pStyle w:val="Textonotapie"/>
        <w:jc w:val="both"/>
        <w:rPr>
          <w:sz w:val="18"/>
          <w:lang w:val="es-CO"/>
        </w:rPr>
      </w:pPr>
      <w:r w:rsidRPr="00285E2E">
        <w:rPr>
          <w:rStyle w:val="Refdenotaalpie"/>
          <w:sz w:val="18"/>
        </w:rPr>
        <w:footnoteRef/>
      </w:r>
      <w:r w:rsidRPr="00285E2E">
        <w:rPr>
          <w:sz w:val="18"/>
        </w:rPr>
        <w:t xml:space="preserve"> </w:t>
      </w:r>
      <w:proofErr w:type="spellStart"/>
      <w:r w:rsidRPr="00285E2E">
        <w:rPr>
          <w:sz w:val="18"/>
        </w:rPr>
        <w:t>Sent</w:t>
      </w:r>
      <w:proofErr w:type="spellEnd"/>
      <w:r w:rsidRPr="00285E2E">
        <w:rPr>
          <w:sz w:val="18"/>
        </w:rPr>
        <w:t>. C-963/99 M.P. Carlos Gaviria Díaz</w:t>
      </w:r>
    </w:p>
  </w:footnote>
  <w:footnote w:id="14">
    <w:p w14:paraId="7D21252B" w14:textId="72054371" w:rsidR="00934D84" w:rsidRPr="00285E2E" w:rsidRDefault="00934D84" w:rsidP="00285E2E">
      <w:pPr>
        <w:pStyle w:val="Textonotapie"/>
        <w:jc w:val="both"/>
        <w:rPr>
          <w:sz w:val="18"/>
          <w:lang w:val="es-CO"/>
        </w:rPr>
      </w:pPr>
      <w:r w:rsidRPr="00285E2E">
        <w:rPr>
          <w:rStyle w:val="Refdenotaalpie"/>
          <w:sz w:val="18"/>
        </w:rPr>
        <w:footnoteRef/>
      </w:r>
      <w:r w:rsidRPr="00285E2E">
        <w:rPr>
          <w:sz w:val="18"/>
        </w:rPr>
        <w:t xml:space="preserve"> Sent. C-065/03 M.P. Alfredo Beltrán Sierra. En esa oportunidad se encontró exequible el numeral 13 del artículo 1068 del Código Civil.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CC5"/>
    <w:multiLevelType w:val="multilevel"/>
    <w:tmpl w:val="EDFA39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 w15:restartNumberingAfterBreak="0">
    <w:nsid w:val="09425C80"/>
    <w:multiLevelType w:val="multilevel"/>
    <w:tmpl w:val="C3DA2238"/>
    <w:lvl w:ilvl="0">
      <w:start w:val="2"/>
      <w:numFmt w:val="decimal"/>
      <w:lvlText w:val="%1."/>
      <w:lvlJc w:val="left"/>
      <w:pPr>
        <w:ind w:left="420" w:hanging="420"/>
      </w:pPr>
    </w:lvl>
    <w:lvl w:ilvl="1">
      <w:start w:val="7"/>
      <w:numFmt w:val="decimal"/>
      <w:lvlText w:val="%1.%2."/>
      <w:lvlJc w:val="left"/>
      <w:pPr>
        <w:ind w:left="2421" w:hanging="720"/>
      </w:pPr>
    </w:lvl>
    <w:lvl w:ilvl="2">
      <w:start w:val="1"/>
      <w:numFmt w:val="decimal"/>
      <w:lvlText w:val="%1.%2.%3."/>
      <w:lvlJc w:val="left"/>
      <w:pPr>
        <w:ind w:left="4122" w:hanging="720"/>
      </w:pPr>
    </w:lvl>
    <w:lvl w:ilvl="3">
      <w:start w:val="1"/>
      <w:numFmt w:val="decimalZero"/>
      <w:lvlText w:val="%1.%2.%3.%4."/>
      <w:lvlJc w:val="left"/>
      <w:pPr>
        <w:ind w:left="6183" w:hanging="1080"/>
      </w:pPr>
    </w:lvl>
    <w:lvl w:ilvl="4">
      <w:start w:val="1"/>
      <w:numFmt w:val="decimalZero"/>
      <w:lvlText w:val="%1.%2.%3.%4.%5."/>
      <w:lvlJc w:val="left"/>
      <w:pPr>
        <w:ind w:left="8244" w:hanging="1440"/>
      </w:pPr>
    </w:lvl>
    <w:lvl w:ilvl="5">
      <w:start w:val="1"/>
      <w:numFmt w:val="decimal"/>
      <w:lvlText w:val="%1.%2.%3.%4.%5.%6."/>
      <w:lvlJc w:val="left"/>
      <w:pPr>
        <w:ind w:left="9945" w:hanging="1440"/>
      </w:pPr>
    </w:lvl>
    <w:lvl w:ilvl="6">
      <w:start w:val="1"/>
      <w:numFmt w:val="decimalZero"/>
      <w:lvlText w:val="%1.%2.%3.%4.%5.%6.%7."/>
      <w:lvlJc w:val="left"/>
      <w:pPr>
        <w:ind w:left="12006" w:hanging="1800"/>
      </w:pPr>
    </w:lvl>
    <w:lvl w:ilvl="7">
      <w:start w:val="1"/>
      <w:numFmt w:val="decimal"/>
      <w:lvlText w:val="%1.%2.%3.%4.%5.%6.%7.%8."/>
      <w:lvlJc w:val="left"/>
      <w:pPr>
        <w:ind w:left="14067" w:hanging="2160"/>
      </w:pPr>
    </w:lvl>
    <w:lvl w:ilvl="8">
      <w:start w:val="1"/>
      <w:numFmt w:val="decimal"/>
      <w:lvlText w:val="%1.%2.%3.%4.%5.%6.%7.%8.%9."/>
      <w:lvlJc w:val="left"/>
      <w:pPr>
        <w:ind w:left="15768" w:hanging="2160"/>
      </w:pPr>
    </w:lvl>
  </w:abstractNum>
  <w:abstractNum w:abstractNumId="2" w15:restartNumberingAfterBreak="0">
    <w:nsid w:val="29D05249"/>
    <w:multiLevelType w:val="multilevel"/>
    <w:tmpl w:val="0824C1D8"/>
    <w:lvl w:ilvl="0">
      <w:start w:val="1"/>
      <w:numFmt w:val="decimal"/>
      <w:lvlText w:val="%1."/>
      <w:lvlJc w:val="left"/>
      <w:pPr>
        <w:ind w:left="2061" w:hanging="360"/>
      </w:pPr>
    </w:lvl>
    <w:lvl w:ilvl="1">
      <w:start w:val="7"/>
      <w:numFmt w:val="decimal"/>
      <w:isLgl/>
      <w:lvlText w:val="%1.%2"/>
      <w:lvlJc w:val="left"/>
      <w:pPr>
        <w:ind w:left="2308" w:hanging="465"/>
      </w:pPr>
    </w:lvl>
    <w:lvl w:ilvl="2">
      <w:start w:val="1"/>
      <w:numFmt w:val="decimal"/>
      <w:isLgl/>
      <w:lvlText w:val="%1.%2.%3"/>
      <w:lvlJc w:val="left"/>
      <w:pPr>
        <w:ind w:left="2705" w:hanging="720"/>
      </w:pPr>
    </w:lvl>
    <w:lvl w:ilvl="3">
      <w:start w:val="1"/>
      <w:numFmt w:val="decimal"/>
      <w:isLgl/>
      <w:lvlText w:val="%1.%2.%3.%4"/>
      <w:lvlJc w:val="left"/>
      <w:pPr>
        <w:ind w:left="3207" w:hanging="1080"/>
      </w:pPr>
    </w:lvl>
    <w:lvl w:ilvl="4">
      <w:start w:val="1"/>
      <w:numFmt w:val="decimal"/>
      <w:isLgl/>
      <w:lvlText w:val="%1.%2.%3.%4.%5"/>
      <w:lvlJc w:val="left"/>
      <w:pPr>
        <w:ind w:left="3349" w:hanging="1080"/>
      </w:pPr>
    </w:lvl>
    <w:lvl w:ilvl="5">
      <w:start w:val="1"/>
      <w:numFmt w:val="decimal"/>
      <w:isLgl/>
      <w:lvlText w:val="%1.%2.%3.%4.%5.%6"/>
      <w:lvlJc w:val="left"/>
      <w:pPr>
        <w:ind w:left="3851" w:hanging="1440"/>
      </w:pPr>
    </w:lvl>
    <w:lvl w:ilvl="6">
      <w:start w:val="1"/>
      <w:numFmt w:val="decimal"/>
      <w:isLgl/>
      <w:lvlText w:val="%1.%2.%3.%4.%5.%6.%7"/>
      <w:lvlJc w:val="left"/>
      <w:pPr>
        <w:ind w:left="3993" w:hanging="1440"/>
      </w:pPr>
    </w:lvl>
    <w:lvl w:ilvl="7">
      <w:start w:val="1"/>
      <w:numFmt w:val="decimal"/>
      <w:isLgl/>
      <w:lvlText w:val="%1.%2.%3.%4.%5.%6.%7.%8"/>
      <w:lvlJc w:val="left"/>
      <w:pPr>
        <w:ind w:left="4495" w:hanging="1800"/>
      </w:pPr>
    </w:lvl>
    <w:lvl w:ilvl="8">
      <w:start w:val="1"/>
      <w:numFmt w:val="decimal"/>
      <w:isLgl/>
      <w:lvlText w:val="%1.%2.%3.%4.%5.%6.%7.%8.%9"/>
      <w:lvlJc w:val="left"/>
      <w:pPr>
        <w:ind w:left="4637" w:hanging="1800"/>
      </w:pPr>
    </w:lvl>
  </w:abstractNum>
  <w:abstractNum w:abstractNumId="3" w15:restartNumberingAfterBreak="0">
    <w:nsid w:val="2A7517B7"/>
    <w:multiLevelType w:val="multilevel"/>
    <w:tmpl w:val="E82A4198"/>
    <w:lvl w:ilvl="0">
      <w:start w:val="2"/>
      <w:numFmt w:val="decimal"/>
      <w:lvlText w:val="%1."/>
      <w:lvlJc w:val="left"/>
      <w:pPr>
        <w:ind w:left="420" w:hanging="420"/>
      </w:pPr>
    </w:lvl>
    <w:lvl w:ilvl="1">
      <w:start w:val="9"/>
      <w:numFmt w:val="decimal"/>
      <w:lvlText w:val="%1.%2."/>
      <w:lvlJc w:val="left"/>
      <w:pPr>
        <w:ind w:left="2421" w:hanging="720"/>
      </w:pPr>
    </w:lvl>
    <w:lvl w:ilvl="2">
      <w:start w:val="1"/>
      <w:numFmt w:val="decimal"/>
      <w:lvlText w:val="%1.%2.%3."/>
      <w:lvlJc w:val="left"/>
      <w:pPr>
        <w:ind w:left="4122" w:hanging="720"/>
      </w:pPr>
    </w:lvl>
    <w:lvl w:ilvl="3">
      <w:start w:val="1"/>
      <w:numFmt w:val="decimal"/>
      <w:lvlText w:val="%1.%2.%3.%4."/>
      <w:lvlJc w:val="left"/>
      <w:pPr>
        <w:ind w:left="6183" w:hanging="1080"/>
      </w:pPr>
    </w:lvl>
    <w:lvl w:ilvl="4">
      <w:start w:val="1"/>
      <w:numFmt w:val="decimal"/>
      <w:lvlText w:val="%1.%2.%3.%4.%5."/>
      <w:lvlJc w:val="left"/>
      <w:pPr>
        <w:ind w:left="8244" w:hanging="1440"/>
      </w:pPr>
    </w:lvl>
    <w:lvl w:ilvl="5">
      <w:start w:val="1"/>
      <w:numFmt w:val="decimal"/>
      <w:lvlText w:val="%1.%2.%3.%4.%5.%6."/>
      <w:lvlJc w:val="left"/>
      <w:pPr>
        <w:ind w:left="9945" w:hanging="1440"/>
      </w:pPr>
    </w:lvl>
    <w:lvl w:ilvl="6">
      <w:start w:val="1"/>
      <w:numFmt w:val="decimal"/>
      <w:lvlText w:val="%1.%2.%3.%4.%5.%6.%7."/>
      <w:lvlJc w:val="left"/>
      <w:pPr>
        <w:ind w:left="12006" w:hanging="1800"/>
      </w:pPr>
    </w:lvl>
    <w:lvl w:ilvl="7">
      <w:start w:val="1"/>
      <w:numFmt w:val="decimal"/>
      <w:lvlText w:val="%1.%2.%3.%4.%5.%6.%7.%8."/>
      <w:lvlJc w:val="left"/>
      <w:pPr>
        <w:ind w:left="14067" w:hanging="2160"/>
      </w:pPr>
    </w:lvl>
    <w:lvl w:ilvl="8">
      <w:start w:val="1"/>
      <w:numFmt w:val="decimal"/>
      <w:lvlText w:val="%1.%2.%3.%4.%5.%6.%7.%8.%9."/>
      <w:lvlJc w:val="left"/>
      <w:pPr>
        <w:ind w:left="15768" w:hanging="2160"/>
      </w:pPr>
    </w:lvl>
  </w:abstractNum>
  <w:abstractNum w:abstractNumId="4" w15:restartNumberingAfterBreak="0">
    <w:nsid w:val="3687187B"/>
    <w:multiLevelType w:val="hybridMultilevel"/>
    <w:tmpl w:val="42EA9336"/>
    <w:lvl w:ilvl="0" w:tplc="30E2AFE4">
      <w:start w:val="1"/>
      <w:numFmt w:val="decimal"/>
      <w:lvlText w:val="%1."/>
      <w:lvlJc w:val="left"/>
      <w:pPr>
        <w:ind w:left="2061" w:hanging="360"/>
      </w:pPr>
      <w:rPr>
        <w:rFonts w:eastAsia="Times New Roman" w:cs="Times New Roman"/>
        <w:b w:val="0"/>
      </w:rPr>
    </w:lvl>
    <w:lvl w:ilvl="1" w:tplc="0C0A0019">
      <w:start w:val="1"/>
      <w:numFmt w:val="lowerLetter"/>
      <w:lvlText w:val="%2."/>
      <w:lvlJc w:val="left"/>
      <w:pPr>
        <w:ind w:left="2781" w:hanging="360"/>
      </w:pPr>
    </w:lvl>
    <w:lvl w:ilvl="2" w:tplc="0C0A001B">
      <w:start w:val="1"/>
      <w:numFmt w:val="lowerRoman"/>
      <w:lvlText w:val="%3."/>
      <w:lvlJc w:val="right"/>
      <w:pPr>
        <w:ind w:left="3501" w:hanging="180"/>
      </w:pPr>
    </w:lvl>
    <w:lvl w:ilvl="3" w:tplc="0C0A000F">
      <w:start w:val="1"/>
      <w:numFmt w:val="decimal"/>
      <w:lvlText w:val="%4."/>
      <w:lvlJc w:val="left"/>
      <w:pPr>
        <w:ind w:left="4221" w:hanging="360"/>
      </w:pPr>
    </w:lvl>
    <w:lvl w:ilvl="4" w:tplc="0C0A0019">
      <w:start w:val="1"/>
      <w:numFmt w:val="lowerLetter"/>
      <w:lvlText w:val="%5."/>
      <w:lvlJc w:val="left"/>
      <w:pPr>
        <w:ind w:left="4941" w:hanging="360"/>
      </w:pPr>
    </w:lvl>
    <w:lvl w:ilvl="5" w:tplc="0C0A001B">
      <w:start w:val="1"/>
      <w:numFmt w:val="lowerRoman"/>
      <w:lvlText w:val="%6."/>
      <w:lvlJc w:val="right"/>
      <w:pPr>
        <w:ind w:left="5661" w:hanging="180"/>
      </w:pPr>
    </w:lvl>
    <w:lvl w:ilvl="6" w:tplc="0C0A000F">
      <w:start w:val="1"/>
      <w:numFmt w:val="decimal"/>
      <w:lvlText w:val="%7."/>
      <w:lvlJc w:val="left"/>
      <w:pPr>
        <w:ind w:left="6381" w:hanging="360"/>
      </w:pPr>
    </w:lvl>
    <w:lvl w:ilvl="7" w:tplc="0C0A0019">
      <w:start w:val="1"/>
      <w:numFmt w:val="lowerLetter"/>
      <w:lvlText w:val="%8."/>
      <w:lvlJc w:val="left"/>
      <w:pPr>
        <w:ind w:left="7101" w:hanging="360"/>
      </w:pPr>
    </w:lvl>
    <w:lvl w:ilvl="8" w:tplc="0C0A001B">
      <w:start w:val="1"/>
      <w:numFmt w:val="lowerRoman"/>
      <w:lvlText w:val="%9."/>
      <w:lvlJc w:val="right"/>
      <w:pPr>
        <w:ind w:left="7821" w:hanging="180"/>
      </w:pPr>
    </w:lvl>
  </w:abstractNum>
  <w:abstractNum w:abstractNumId="5" w15:restartNumberingAfterBreak="0">
    <w:nsid w:val="56A00E85"/>
    <w:multiLevelType w:val="multilevel"/>
    <w:tmpl w:val="66761B1E"/>
    <w:lvl w:ilvl="0">
      <w:start w:val="1"/>
      <w:numFmt w:val="decimal"/>
      <w:lvlText w:val="%1."/>
      <w:lvlJc w:val="left"/>
      <w:pPr>
        <w:ind w:left="1200" w:hanging="84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CBD28DC"/>
    <w:multiLevelType w:val="multilevel"/>
    <w:tmpl w:val="850A6C0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num w:numId="1">
    <w:abstractNumId w:val="6"/>
  </w:num>
  <w:num w:numId="2">
    <w:abstractNumId w:val="5"/>
  </w:num>
  <w:num w:numId="3">
    <w:abstractNumId w:val="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A7"/>
    <w:rsid w:val="000002C0"/>
    <w:rsid w:val="000131C8"/>
    <w:rsid w:val="000321FD"/>
    <w:rsid w:val="000360DD"/>
    <w:rsid w:val="000364B5"/>
    <w:rsid w:val="00056A64"/>
    <w:rsid w:val="00060A06"/>
    <w:rsid w:val="0006286E"/>
    <w:rsid w:val="00063D25"/>
    <w:rsid w:val="00086193"/>
    <w:rsid w:val="0009211B"/>
    <w:rsid w:val="0009503B"/>
    <w:rsid w:val="000A0833"/>
    <w:rsid w:val="000A307E"/>
    <w:rsid w:val="000C06A0"/>
    <w:rsid w:val="000C63F6"/>
    <w:rsid w:val="000F4377"/>
    <w:rsid w:val="000F6EDB"/>
    <w:rsid w:val="001001AD"/>
    <w:rsid w:val="00100337"/>
    <w:rsid w:val="0010573D"/>
    <w:rsid w:val="0016009F"/>
    <w:rsid w:val="00162996"/>
    <w:rsid w:val="00163346"/>
    <w:rsid w:val="00165C89"/>
    <w:rsid w:val="00174B80"/>
    <w:rsid w:val="00176B75"/>
    <w:rsid w:val="00183F4F"/>
    <w:rsid w:val="00197605"/>
    <w:rsid w:val="001A1540"/>
    <w:rsid w:val="001C0FA2"/>
    <w:rsid w:val="001C3823"/>
    <w:rsid w:val="001C3AE8"/>
    <w:rsid w:val="001C76B8"/>
    <w:rsid w:val="001D4D9D"/>
    <w:rsid w:val="001D6741"/>
    <w:rsid w:val="001E1CEA"/>
    <w:rsid w:val="001E2BF1"/>
    <w:rsid w:val="001F3AFA"/>
    <w:rsid w:val="001F7A8F"/>
    <w:rsid w:val="00204AE6"/>
    <w:rsid w:val="00206A98"/>
    <w:rsid w:val="00211560"/>
    <w:rsid w:val="002117BC"/>
    <w:rsid w:val="00236764"/>
    <w:rsid w:val="00241297"/>
    <w:rsid w:val="002417BD"/>
    <w:rsid w:val="00244990"/>
    <w:rsid w:val="00255CA6"/>
    <w:rsid w:val="00263761"/>
    <w:rsid w:val="00264B95"/>
    <w:rsid w:val="002668C4"/>
    <w:rsid w:val="0027605A"/>
    <w:rsid w:val="00276E7F"/>
    <w:rsid w:val="002812E1"/>
    <w:rsid w:val="00283138"/>
    <w:rsid w:val="002840EB"/>
    <w:rsid w:val="00284355"/>
    <w:rsid w:val="00285E2E"/>
    <w:rsid w:val="0029322B"/>
    <w:rsid w:val="00293779"/>
    <w:rsid w:val="00294048"/>
    <w:rsid w:val="0029486C"/>
    <w:rsid w:val="002A3EE7"/>
    <w:rsid w:val="002C223D"/>
    <w:rsid w:val="002C675E"/>
    <w:rsid w:val="002C7C39"/>
    <w:rsid w:val="002D40EC"/>
    <w:rsid w:val="002D702D"/>
    <w:rsid w:val="002F7DA9"/>
    <w:rsid w:val="00314809"/>
    <w:rsid w:val="00320744"/>
    <w:rsid w:val="00323779"/>
    <w:rsid w:val="003237DD"/>
    <w:rsid w:val="00325217"/>
    <w:rsid w:val="00327841"/>
    <w:rsid w:val="00336DF7"/>
    <w:rsid w:val="003431EA"/>
    <w:rsid w:val="00347AC5"/>
    <w:rsid w:val="00360ABA"/>
    <w:rsid w:val="00370AB3"/>
    <w:rsid w:val="00385B48"/>
    <w:rsid w:val="00386CB8"/>
    <w:rsid w:val="003A172C"/>
    <w:rsid w:val="003B1D58"/>
    <w:rsid w:val="003B50C3"/>
    <w:rsid w:val="003D1FA6"/>
    <w:rsid w:val="003D3194"/>
    <w:rsid w:val="003E01E3"/>
    <w:rsid w:val="003F0564"/>
    <w:rsid w:val="003F189E"/>
    <w:rsid w:val="003F21B7"/>
    <w:rsid w:val="003F6BDF"/>
    <w:rsid w:val="00410418"/>
    <w:rsid w:val="00417149"/>
    <w:rsid w:val="004252C3"/>
    <w:rsid w:val="00425BB8"/>
    <w:rsid w:val="00431F06"/>
    <w:rsid w:val="00432FBA"/>
    <w:rsid w:val="00433E7F"/>
    <w:rsid w:val="00434DB3"/>
    <w:rsid w:val="0043798C"/>
    <w:rsid w:val="00446E51"/>
    <w:rsid w:val="004478BB"/>
    <w:rsid w:val="00460244"/>
    <w:rsid w:val="0046050E"/>
    <w:rsid w:val="004629FD"/>
    <w:rsid w:val="00464C85"/>
    <w:rsid w:val="00467CD8"/>
    <w:rsid w:val="004731B7"/>
    <w:rsid w:val="00475028"/>
    <w:rsid w:val="004811F4"/>
    <w:rsid w:val="00496363"/>
    <w:rsid w:val="00497114"/>
    <w:rsid w:val="004A1BB2"/>
    <w:rsid w:val="004A7D06"/>
    <w:rsid w:val="004B012C"/>
    <w:rsid w:val="004B17C7"/>
    <w:rsid w:val="004C2E1E"/>
    <w:rsid w:val="004C4049"/>
    <w:rsid w:val="004C5EAC"/>
    <w:rsid w:val="004D0B3F"/>
    <w:rsid w:val="004D4F25"/>
    <w:rsid w:val="004D6BD5"/>
    <w:rsid w:val="004E01A7"/>
    <w:rsid w:val="004E3918"/>
    <w:rsid w:val="004F397B"/>
    <w:rsid w:val="004F4E48"/>
    <w:rsid w:val="004F5579"/>
    <w:rsid w:val="00513315"/>
    <w:rsid w:val="00515707"/>
    <w:rsid w:val="005217FD"/>
    <w:rsid w:val="00530650"/>
    <w:rsid w:val="00536895"/>
    <w:rsid w:val="0053753E"/>
    <w:rsid w:val="00542DEC"/>
    <w:rsid w:val="00544309"/>
    <w:rsid w:val="005508E3"/>
    <w:rsid w:val="00551C1B"/>
    <w:rsid w:val="0055439C"/>
    <w:rsid w:val="00554E59"/>
    <w:rsid w:val="005614ED"/>
    <w:rsid w:val="0057055D"/>
    <w:rsid w:val="00572D29"/>
    <w:rsid w:val="00585741"/>
    <w:rsid w:val="00586A08"/>
    <w:rsid w:val="00590359"/>
    <w:rsid w:val="00597BCE"/>
    <w:rsid w:val="005A2276"/>
    <w:rsid w:val="005A264A"/>
    <w:rsid w:val="005B2D7B"/>
    <w:rsid w:val="005C52FB"/>
    <w:rsid w:val="005E0451"/>
    <w:rsid w:val="00600191"/>
    <w:rsid w:val="0060624E"/>
    <w:rsid w:val="00612067"/>
    <w:rsid w:val="006163B9"/>
    <w:rsid w:val="006164EF"/>
    <w:rsid w:val="00622297"/>
    <w:rsid w:val="00622D1F"/>
    <w:rsid w:val="006374FE"/>
    <w:rsid w:val="0065385D"/>
    <w:rsid w:val="00664159"/>
    <w:rsid w:val="00665C63"/>
    <w:rsid w:val="0067452F"/>
    <w:rsid w:val="006864D5"/>
    <w:rsid w:val="00687938"/>
    <w:rsid w:val="00691893"/>
    <w:rsid w:val="006A2B81"/>
    <w:rsid w:val="006A4CCB"/>
    <w:rsid w:val="006A5733"/>
    <w:rsid w:val="006A6A8A"/>
    <w:rsid w:val="006B05FB"/>
    <w:rsid w:val="006B0FC5"/>
    <w:rsid w:val="006B37D7"/>
    <w:rsid w:val="006B41C8"/>
    <w:rsid w:val="006C0EFD"/>
    <w:rsid w:val="006D0D02"/>
    <w:rsid w:val="006F451C"/>
    <w:rsid w:val="006F6C26"/>
    <w:rsid w:val="007017AA"/>
    <w:rsid w:val="00712503"/>
    <w:rsid w:val="0071506D"/>
    <w:rsid w:val="0071620E"/>
    <w:rsid w:val="00744333"/>
    <w:rsid w:val="00750206"/>
    <w:rsid w:val="00751203"/>
    <w:rsid w:val="00751E57"/>
    <w:rsid w:val="00760DE4"/>
    <w:rsid w:val="00767A89"/>
    <w:rsid w:val="007734E1"/>
    <w:rsid w:val="00776842"/>
    <w:rsid w:val="00780485"/>
    <w:rsid w:val="00790C45"/>
    <w:rsid w:val="007958C9"/>
    <w:rsid w:val="00796E85"/>
    <w:rsid w:val="007973F3"/>
    <w:rsid w:val="00797E76"/>
    <w:rsid w:val="007A070F"/>
    <w:rsid w:val="007A335F"/>
    <w:rsid w:val="007A3756"/>
    <w:rsid w:val="007A4696"/>
    <w:rsid w:val="007B1785"/>
    <w:rsid w:val="007B4A64"/>
    <w:rsid w:val="007B7D74"/>
    <w:rsid w:val="007C2D0F"/>
    <w:rsid w:val="007D1DA7"/>
    <w:rsid w:val="007E23BB"/>
    <w:rsid w:val="007E3F04"/>
    <w:rsid w:val="00810BA7"/>
    <w:rsid w:val="0082506A"/>
    <w:rsid w:val="008263DD"/>
    <w:rsid w:val="0083326B"/>
    <w:rsid w:val="00836574"/>
    <w:rsid w:val="00837A42"/>
    <w:rsid w:val="00851211"/>
    <w:rsid w:val="00852BA7"/>
    <w:rsid w:val="00860D96"/>
    <w:rsid w:val="008654BC"/>
    <w:rsid w:val="00865533"/>
    <w:rsid w:val="0087538B"/>
    <w:rsid w:val="00881083"/>
    <w:rsid w:val="008849CA"/>
    <w:rsid w:val="00884C61"/>
    <w:rsid w:val="00887898"/>
    <w:rsid w:val="00891069"/>
    <w:rsid w:val="00896891"/>
    <w:rsid w:val="008A310C"/>
    <w:rsid w:val="008B42BE"/>
    <w:rsid w:val="008C757F"/>
    <w:rsid w:val="008D0832"/>
    <w:rsid w:val="008D33B7"/>
    <w:rsid w:val="008D3EC7"/>
    <w:rsid w:val="008E6B72"/>
    <w:rsid w:val="009060EE"/>
    <w:rsid w:val="0091471F"/>
    <w:rsid w:val="00920ADE"/>
    <w:rsid w:val="00933754"/>
    <w:rsid w:val="009348DB"/>
    <w:rsid w:val="00934D84"/>
    <w:rsid w:val="00940ED8"/>
    <w:rsid w:val="00941536"/>
    <w:rsid w:val="00943778"/>
    <w:rsid w:val="0094382C"/>
    <w:rsid w:val="0095002D"/>
    <w:rsid w:val="00953F0E"/>
    <w:rsid w:val="0096052B"/>
    <w:rsid w:val="0097419B"/>
    <w:rsid w:val="0098023C"/>
    <w:rsid w:val="0098483F"/>
    <w:rsid w:val="00986B8C"/>
    <w:rsid w:val="00995F98"/>
    <w:rsid w:val="00996166"/>
    <w:rsid w:val="009A1AFD"/>
    <w:rsid w:val="009D33D5"/>
    <w:rsid w:val="009D6D13"/>
    <w:rsid w:val="009D73A6"/>
    <w:rsid w:val="009E1703"/>
    <w:rsid w:val="009F09A8"/>
    <w:rsid w:val="00A06117"/>
    <w:rsid w:val="00A24429"/>
    <w:rsid w:val="00A26889"/>
    <w:rsid w:val="00A31AA0"/>
    <w:rsid w:val="00A370DD"/>
    <w:rsid w:val="00A51B09"/>
    <w:rsid w:val="00A56B95"/>
    <w:rsid w:val="00A6541B"/>
    <w:rsid w:val="00A658E2"/>
    <w:rsid w:val="00A74BE7"/>
    <w:rsid w:val="00A7505C"/>
    <w:rsid w:val="00A762F4"/>
    <w:rsid w:val="00A90C49"/>
    <w:rsid w:val="00A91705"/>
    <w:rsid w:val="00AA119D"/>
    <w:rsid w:val="00AA4C0B"/>
    <w:rsid w:val="00AC4C68"/>
    <w:rsid w:val="00AE2683"/>
    <w:rsid w:val="00AF3C45"/>
    <w:rsid w:val="00AF63A0"/>
    <w:rsid w:val="00B079B0"/>
    <w:rsid w:val="00B111A4"/>
    <w:rsid w:val="00B2565E"/>
    <w:rsid w:val="00B26872"/>
    <w:rsid w:val="00B31A12"/>
    <w:rsid w:val="00B3228A"/>
    <w:rsid w:val="00B363A8"/>
    <w:rsid w:val="00B3794E"/>
    <w:rsid w:val="00B52AFE"/>
    <w:rsid w:val="00B53064"/>
    <w:rsid w:val="00B61E54"/>
    <w:rsid w:val="00B644B1"/>
    <w:rsid w:val="00B77852"/>
    <w:rsid w:val="00B90A06"/>
    <w:rsid w:val="00BA401F"/>
    <w:rsid w:val="00BB0686"/>
    <w:rsid w:val="00BB3D56"/>
    <w:rsid w:val="00BB52AA"/>
    <w:rsid w:val="00BC161E"/>
    <w:rsid w:val="00BC47D6"/>
    <w:rsid w:val="00BE3164"/>
    <w:rsid w:val="00BF27E1"/>
    <w:rsid w:val="00BF6154"/>
    <w:rsid w:val="00C06DCF"/>
    <w:rsid w:val="00C135A1"/>
    <w:rsid w:val="00C27B9C"/>
    <w:rsid w:val="00C52877"/>
    <w:rsid w:val="00C562BA"/>
    <w:rsid w:val="00C61EA8"/>
    <w:rsid w:val="00C81347"/>
    <w:rsid w:val="00C943AC"/>
    <w:rsid w:val="00CB7188"/>
    <w:rsid w:val="00CB7597"/>
    <w:rsid w:val="00CD5013"/>
    <w:rsid w:val="00CD773B"/>
    <w:rsid w:val="00CE6D42"/>
    <w:rsid w:val="00CE7502"/>
    <w:rsid w:val="00CF1127"/>
    <w:rsid w:val="00CF5E24"/>
    <w:rsid w:val="00CF6E01"/>
    <w:rsid w:val="00CF73A1"/>
    <w:rsid w:val="00D00F86"/>
    <w:rsid w:val="00D05E29"/>
    <w:rsid w:val="00D12D76"/>
    <w:rsid w:val="00D12FCF"/>
    <w:rsid w:val="00D1676D"/>
    <w:rsid w:val="00D2715E"/>
    <w:rsid w:val="00D30476"/>
    <w:rsid w:val="00D34019"/>
    <w:rsid w:val="00D34228"/>
    <w:rsid w:val="00D37A0B"/>
    <w:rsid w:val="00D43E18"/>
    <w:rsid w:val="00D43E33"/>
    <w:rsid w:val="00D467AF"/>
    <w:rsid w:val="00D56470"/>
    <w:rsid w:val="00D56C3D"/>
    <w:rsid w:val="00D72225"/>
    <w:rsid w:val="00D85929"/>
    <w:rsid w:val="00D92679"/>
    <w:rsid w:val="00D93649"/>
    <w:rsid w:val="00D93C1A"/>
    <w:rsid w:val="00D94DFC"/>
    <w:rsid w:val="00D95EB5"/>
    <w:rsid w:val="00DA1328"/>
    <w:rsid w:val="00DA413B"/>
    <w:rsid w:val="00DA77CB"/>
    <w:rsid w:val="00DC29FC"/>
    <w:rsid w:val="00DC30E1"/>
    <w:rsid w:val="00DD259E"/>
    <w:rsid w:val="00DD3893"/>
    <w:rsid w:val="00DD4CB8"/>
    <w:rsid w:val="00DD587A"/>
    <w:rsid w:val="00DE0569"/>
    <w:rsid w:val="00DE33E0"/>
    <w:rsid w:val="00DF5818"/>
    <w:rsid w:val="00DF6331"/>
    <w:rsid w:val="00E00440"/>
    <w:rsid w:val="00E0680C"/>
    <w:rsid w:val="00E206DB"/>
    <w:rsid w:val="00E31410"/>
    <w:rsid w:val="00E35038"/>
    <w:rsid w:val="00E35F94"/>
    <w:rsid w:val="00E54B98"/>
    <w:rsid w:val="00E61EEE"/>
    <w:rsid w:val="00E62AC3"/>
    <w:rsid w:val="00E65C48"/>
    <w:rsid w:val="00E7313B"/>
    <w:rsid w:val="00E77DA0"/>
    <w:rsid w:val="00E85876"/>
    <w:rsid w:val="00E85BED"/>
    <w:rsid w:val="00E86687"/>
    <w:rsid w:val="00E934AA"/>
    <w:rsid w:val="00E94C7C"/>
    <w:rsid w:val="00EA0BF0"/>
    <w:rsid w:val="00EB72FA"/>
    <w:rsid w:val="00EC03E7"/>
    <w:rsid w:val="00EC1506"/>
    <w:rsid w:val="00ED0D10"/>
    <w:rsid w:val="00ED4019"/>
    <w:rsid w:val="00EE091E"/>
    <w:rsid w:val="00EE5107"/>
    <w:rsid w:val="00EF1352"/>
    <w:rsid w:val="00EF6035"/>
    <w:rsid w:val="00F07865"/>
    <w:rsid w:val="00F12774"/>
    <w:rsid w:val="00F27CD9"/>
    <w:rsid w:val="00F32FB6"/>
    <w:rsid w:val="00F3331C"/>
    <w:rsid w:val="00F3507E"/>
    <w:rsid w:val="00F356F8"/>
    <w:rsid w:val="00F40925"/>
    <w:rsid w:val="00F46443"/>
    <w:rsid w:val="00F469C9"/>
    <w:rsid w:val="00F53ACF"/>
    <w:rsid w:val="00F76234"/>
    <w:rsid w:val="00F867C2"/>
    <w:rsid w:val="00F93CED"/>
    <w:rsid w:val="00FA158A"/>
    <w:rsid w:val="00FA4E7C"/>
    <w:rsid w:val="00FA7AA5"/>
    <w:rsid w:val="00FB0020"/>
    <w:rsid w:val="00FB0AE8"/>
    <w:rsid w:val="00FC3A58"/>
    <w:rsid w:val="00FC6AC6"/>
    <w:rsid w:val="00FD7BBA"/>
    <w:rsid w:val="00FE1C74"/>
    <w:rsid w:val="00FF34C3"/>
    <w:rsid w:val="024A04EB"/>
    <w:rsid w:val="02AF8319"/>
    <w:rsid w:val="07E7612C"/>
    <w:rsid w:val="095FADB2"/>
    <w:rsid w:val="0BEF1CC4"/>
    <w:rsid w:val="0D31172C"/>
    <w:rsid w:val="19CCCDC8"/>
    <w:rsid w:val="19EF2550"/>
    <w:rsid w:val="20108461"/>
    <w:rsid w:val="26019D53"/>
    <w:rsid w:val="2F6EFE9B"/>
    <w:rsid w:val="32A5D514"/>
    <w:rsid w:val="4972CE42"/>
    <w:rsid w:val="5465994A"/>
    <w:rsid w:val="5A91478B"/>
    <w:rsid w:val="5BC16A7D"/>
    <w:rsid w:val="6A07B3FB"/>
    <w:rsid w:val="734E67E3"/>
    <w:rsid w:val="773A6ACA"/>
    <w:rsid w:val="7C6A22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9F77"/>
  <w15:docId w15:val="{38DA7002-40BB-43C9-B96C-57A5265F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notapie">
    <w:name w:val="footnote text"/>
    <w:basedOn w:val="Normal"/>
    <w:link w:val="TextonotapieCar"/>
    <w:uiPriority w:val="99"/>
    <w:semiHidden/>
    <w:unhideWhenUsed/>
    <w:rsid w:val="006D0C08"/>
    <w:pPr>
      <w:spacing w:line="240" w:lineRule="auto"/>
    </w:pPr>
    <w:rPr>
      <w:sz w:val="20"/>
      <w:szCs w:val="20"/>
    </w:rPr>
  </w:style>
  <w:style w:type="character" w:customStyle="1" w:styleId="TextonotapieCar">
    <w:name w:val="Texto nota pie Car"/>
    <w:basedOn w:val="Fuentedeprrafopredeter"/>
    <w:link w:val="Textonotapie"/>
    <w:uiPriority w:val="99"/>
    <w:semiHidden/>
    <w:rsid w:val="006D0C08"/>
    <w:rPr>
      <w:sz w:val="20"/>
      <w:szCs w:val="20"/>
    </w:rPr>
  </w:style>
  <w:style w:type="character" w:styleId="Refdenotaalpie">
    <w:name w:val="footnote reference"/>
    <w:basedOn w:val="Fuentedeprrafopredeter"/>
    <w:uiPriority w:val="99"/>
    <w:semiHidden/>
    <w:unhideWhenUsed/>
    <w:rsid w:val="006D0C08"/>
    <w:rPr>
      <w:vertAlign w:val="superscript"/>
    </w:rPr>
  </w:style>
  <w:style w:type="paragraph" w:styleId="Prrafodelista">
    <w:name w:val="List Paragraph"/>
    <w:basedOn w:val="Normal"/>
    <w:uiPriority w:val="34"/>
    <w:qFormat/>
    <w:rsid w:val="00694AF9"/>
    <w:pPr>
      <w:ind w:left="720"/>
      <w:contextualSpacing/>
    </w:pPr>
  </w:style>
  <w:style w:type="character" w:styleId="Hipervnculo">
    <w:name w:val="Hyperlink"/>
    <w:basedOn w:val="Fuentedeprrafopredeter"/>
    <w:uiPriority w:val="99"/>
    <w:unhideWhenUsed/>
    <w:rsid w:val="009A1AFD"/>
    <w:rPr>
      <w:color w:val="0000FF" w:themeColor="hyperlink"/>
      <w:u w:val="single"/>
    </w:rPr>
  </w:style>
  <w:style w:type="character" w:customStyle="1" w:styleId="Mencinsinresolver1">
    <w:name w:val="Mención sin resolver1"/>
    <w:basedOn w:val="Fuentedeprrafopredeter"/>
    <w:uiPriority w:val="99"/>
    <w:semiHidden/>
    <w:unhideWhenUsed/>
    <w:rsid w:val="009A1AFD"/>
    <w:rPr>
      <w:color w:val="605E5C"/>
      <w:shd w:val="clear" w:color="auto" w:fill="E1DFDD"/>
    </w:rPr>
  </w:style>
  <w:style w:type="paragraph" w:styleId="NormalWeb">
    <w:name w:val="Normal (Web)"/>
    <w:basedOn w:val="Normal"/>
    <w:uiPriority w:val="99"/>
    <w:unhideWhenUsed/>
    <w:rsid w:val="00CF1127"/>
    <w:pPr>
      <w:spacing w:before="100" w:beforeAutospacing="1" w:after="100" w:afterAutospacing="1" w:line="240" w:lineRule="auto"/>
    </w:pPr>
    <w:rPr>
      <w:rFonts w:ascii="Times New Roman" w:eastAsia="Times New Roman" w:hAnsi="Times New Roman" w:cs="Times New Roman"/>
      <w:sz w:val="24"/>
      <w:szCs w:val="24"/>
      <w:lang w:val="es-CO"/>
    </w:rPr>
  </w:style>
  <w:style w:type="paragraph" w:styleId="Encabezado">
    <w:name w:val="header"/>
    <w:basedOn w:val="Normal"/>
    <w:link w:val="EncabezadoCar"/>
    <w:uiPriority w:val="99"/>
    <w:unhideWhenUsed/>
    <w:rsid w:val="0054430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44309"/>
  </w:style>
  <w:style w:type="paragraph" w:styleId="Piedepgina">
    <w:name w:val="footer"/>
    <w:basedOn w:val="Normal"/>
    <w:link w:val="PiedepginaCar"/>
    <w:uiPriority w:val="99"/>
    <w:unhideWhenUsed/>
    <w:rsid w:val="0054430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44309"/>
  </w:style>
  <w:style w:type="table" w:customStyle="1" w:styleId="NormalTable1">
    <w:name w:val="Normal Table1"/>
    <w:rsid w:val="00544309"/>
    <w:tblPr>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9322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322B"/>
    <w:rPr>
      <w:rFonts w:ascii="Segoe UI" w:hAnsi="Segoe UI" w:cs="Segoe UI"/>
      <w:sz w:val="18"/>
      <w:szCs w:val="18"/>
    </w:rPr>
  </w:style>
  <w:style w:type="paragraph" w:customStyle="1" w:styleId="sangradetindependiente">
    <w:name w:val="sangradetindependiente"/>
    <w:basedOn w:val="Normal"/>
    <w:rsid w:val="00255CA6"/>
    <w:pPr>
      <w:spacing w:before="100" w:beforeAutospacing="1" w:after="100" w:afterAutospacing="1" w:line="240" w:lineRule="auto"/>
    </w:pPr>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41560">
      <w:bodyDiv w:val="1"/>
      <w:marLeft w:val="0"/>
      <w:marRight w:val="0"/>
      <w:marTop w:val="0"/>
      <w:marBottom w:val="0"/>
      <w:divBdr>
        <w:top w:val="none" w:sz="0" w:space="0" w:color="auto"/>
        <w:left w:val="none" w:sz="0" w:space="0" w:color="auto"/>
        <w:bottom w:val="none" w:sz="0" w:space="0" w:color="auto"/>
        <w:right w:val="none" w:sz="0" w:space="0" w:color="auto"/>
      </w:divBdr>
    </w:div>
    <w:div w:id="1138693218">
      <w:bodyDiv w:val="1"/>
      <w:marLeft w:val="0"/>
      <w:marRight w:val="0"/>
      <w:marTop w:val="0"/>
      <w:marBottom w:val="0"/>
      <w:divBdr>
        <w:top w:val="none" w:sz="0" w:space="0" w:color="auto"/>
        <w:left w:val="none" w:sz="0" w:space="0" w:color="auto"/>
        <w:bottom w:val="none" w:sz="0" w:space="0" w:color="auto"/>
        <w:right w:val="none" w:sz="0" w:space="0" w:color="auto"/>
      </w:divBdr>
    </w:div>
    <w:div w:id="1316564102">
      <w:bodyDiv w:val="1"/>
      <w:marLeft w:val="0"/>
      <w:marRight w:val="0"/>
      <w:marTop w:val="0"/>
      <w:marBottom w:val="0"/>
      <w:divBdr>
        <w:top w:val="none" w:sz="0" w:space="0" w:color="auto"/>
        <w:left w:val="none" w:sz="0" w:space="0" w:color="auto"/>
        <w:bottom w:val="none" w:sz="0" w:space="0" w:color="auto"/>
        <w:right w:val="none" w:sz="0" w:space="0" w:color="auto"/>
      </w:divBdr>
    </w:div>
    <w:div w:id="1526089527">
      <w:bodyDiv w:val="1"/>
      <w:marLeft w:val="0"/>
      <w:marRight w:val="0"/>
      <w:marTop w:val="0"/>
      <w:marBottom w:val="0"/>
      <w:divBdr>
        <w:top w:val="none" w:sz="0" w:space="0" w:color="auto"/>
        <w:left w:val="none" w:sz="0" w:space="0" w:color="auto"/>
        <w:bottom w:val="none" w:sz="0" w:space="0" w:color="auto"/>
        <w:right w:val="none" w:sz="0" w:space="0" w:color="auto"/>
      </w:divBdr>
    </w:div>
    <w:div w:id="1863664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3e34d21fa74947b0"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VHQFJuuGRjjyxTAocLZ6GWzptA==">AMUW2mX09lz9qQRwjqSEfsE5Zbs3QRhahv1zwlPbo/w6svidoPTDvVgHayxUGtFDI55kfFFsBdn5r0bznT7SU5UCFw35QzCuG4A8D6H+kmY8iYvMEUO6ozNY6iBw1/r2ehPN97dtHmrHfyrcHp/rBnOWQaIENdthkg==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21389A-083E-4FF2-B80B-82ED06148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4ABD8D-2E1D-4780-B135-8DEBAD4A238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A7A09732-3739-4DC6-84A2-AAD17E7D70CC}">
  <ds:schemaRefs>
    <ds:schemaRef ds:uri="http://schemas.microsoft.com/sharepoint/v3/contenttype/forms"/>
  </ds:schemaRefs>
</ds:datastoreItem>
</file>

<file path=customXml/itemProps5.xml><?xml version="1.0" encoding="utf-8"?>
<ds:datastoreItem xmlns:ds="http://schemas.openxmlformats.org/officeDocument/2006/customXml" ds:itemID="{9ED50A4D-C457-404E-8A95-BBD90F11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2645</Words>
  <Characters>15079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samsung</cp:lastModifiedBy>
  <cp:revision>6</cp:revision>
  <dcterms:created xsi:type="dcterms:W3CDTF">2023-06-16T16:19:00Z</dcterms:created>
  <dcterms:modified xsi:type="dcterms:W3CDTF">2023-09-14T21:48:00Z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1a9ac61aaa84940ff3667a6a30753523cc6a52cc3d3450ec68a3380c2f728902</vt:lpwstr>
  </property>
  <property fmtid="{D5CDD505-2E9C-101B-9397-08002B2CF9AE}" pid="3" name="ContentTypeId">
    <vt:lpwstr>0x010100CCD5AFAD2AB8B04697BA6D3B76A92F30</vt:lpwstr>
  </property>
  <property fmtid="{D5CDD505-2E9C-101B-9397-08002B2CF9AE}" pid="4" name="MediaServiceImageTags">
    <vt:lpwstr/>
  </property>
</Properties>
</file>