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068D05C" w14:textId="77777777" w:rsidR="007B26A7" w:rsidRPr="007D1267" w:rsidRDefault="007B26A7" w:rsidP="007B26A7">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117163896"/>
      <w:bookmarkStart w:id="2" w:name="_Hlk58566252"/>
      <w:bookmarkStart w:id="3" w:name="_Hlk126576233"/>
      <w:bookmarkEnd w:id="0"/>
      <w:r w:rsidRPr="007D126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0E3848" w14:textId="77777777" w:rsidR="007B26A7" w:rsidRPr="007D1267" w:rsidRDefault="007B26A7" w:rsidP="007B26A7">
      <w:pPr>
        <w:spacing w:before="0" w:beforeAutospacing="0" w:after="0" w:afterAutospacing="0" w:line="240" w:lineRule="auto"/>
        <w:ind w:firstLine="0"/>
        <w:rPr>
          <w:rFonts w:ascii="Arial" w:eastAsia="Times New Roman" w:hAnsi="Arial" w:cs="Arial"/>
          <w:sz w:val="20"/>
          <w:szCs w:val="20"/>
          <w:lang w:val="es-419" w:eastAsia="es-ES"/>
        </w:rPr>
      </w:pPr>
    </w:p>
    <w:p w14:paraId="6991B972" w14:textId="2271503B" w:rsidR="006F03EB" w:rsidRPr="006F03EB" w:rsidRDefault="006F03EB" w:rsidP="006F03EB">
      <w:pPr>
        <w:spacing w:before="0" w:beforeAutospacing="0" w:after="0" w:afterAutospacing="0" w:line="240" w:lineRule="auto"/>
        <w:ind w:firstLine="0"/>
        <w:rPr>
          <w:rFonts w:ascii="Arial" w:eastAsia="Tahoma" w:hAnsi="Arial" w:cs="Arial"/>
          <w:sz w:val="20"/>
          <w:szCs w:val="20"/>
          <w:lang w:val="es-419" w:eastAsia="es-CO"/>
        </w:rPr>
      </w:pPr>
      <w:r w:rsidRPr="006F03EB">
        <w:rPr>
          <w:rFonts w:ascii="Arial" w:eastAsia="Tahoma" w:hAnsi="Arial" w:cs="Arial"/>
          <w:sz w:val="20"/>
          <w:szCs w:val="20"/>
          <w:lang w:val="es-419" w:eastAsia="es-CO"/>
        </w:rPr>
        <w:t>Radicación No.</w:t>
      </w:r>
      <w:r>
        <w:rPr>
          <w:rFonts w:ascii="Arial" w:eastAsia="Tahoma" w:hAnsi="Arial" w:cs="Arial"/>
          <w:sz w:val="20"/>
          <w:szCs w:val="20"/>
          <w:lang w:val="es-419" w:eastAsia="es-CO"/>
        </w:rPr>
        <w:t>:</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6F03EB">
        <w:rPr>
          <w:rFonts w:ascii="Arial" w:eastAsia="Tahoma" w:hAnsi="Arial" w:cs="Arial"/>
          <w:sz w:val="20"/>
          <w:szCs w:val="20"/>
          <w:lang w:val="es-419" w:eastAsia="es-CO"/>
        </w:rPr>
        <w:t>66001-31-005-2021-00002-01</w:t>
      </w:r>
    </w:p>
    <w:p w14:paraId="168427ED" w14:textId="567ADB4D" w:rsidR="006F03EB" w:rsidRPr="006F03EB" w:rsidRDefault="006F03EB" w:rsidP="006F03EB">
      <w:pPr>
        <w:spacing w:before="0" w:beforeAutospacing="0" w:after="0" w:afterAutospacing="0" w:line="240" w:lineRule="auto"/>
        <w:ind w:firstLine="0"/>
        <w:rPr>
          <w:rFonts w:ascii="Arial" w:eastAsia="Tahoma" w:hAnsi="Arial" w:cs="Arial"/>
          <w:sz w:val="20"/>
          <w:szCs w:val="20"/>
          <w:lang w:val="es-419" w:eastAsia="es-CO"/>
        </w:rPr>
      </w:pPr>
      <w:r w:rsidRPr="006F03EB">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6F03EB">
        <w:rPr>
          <w:rFonts w:ascii="Arial" w:eastAsia="Tahoma" w:hAnsi="Arial" w:cs="Arial"/>
          <w:sz w:val="20"/>
          <w:szCs w:val="20"/>
          <w:lang w:val="es-419" w:eastAsia="es-CO"/>
        </w:rPr>
        <w:t xml:space="preserve">Ordinario Laboral </w:t>
      </w:r>
    </w:p>
    <w:p w14:paraId="66FC7CF2" w14:textId="4F367A24" w:rsidR="006F03EB" w:rsidRPr="006F03EB" w:rsidRDefault="006F03EB" w:rsidP="006F03EB">
      <w:pPr>
        <w:spacing w:before="0" w:beforeAutospacing="0" w:after="0" w:afterAutospacing="0" w:line="240" w:lineRule="auto"/>
        <w:ind w:firstLine="0"/>
        <w:rPr>
          <w:rFonts w:ascii="Arial" w:eastAsia="Tahoma" w:hAnsi="Arial" w:cs="Arial"/>
          <w:sz w:val="20"/>
          <w:szCs w:val="20"/>
          <w:lang w:val="es-419" w:eastAsia="es-CO"/>
        </w:rPr>
      </w:pPr>
      <w:r w:rsidRPr="006F03EB">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6F03EB">
        <w:rPr>
          <w:rFonts w:ascii="Arial" w:eastAsia="Tahoma" w:hAnsi="Arial" w:cs="Arial"/>
          <w:sz w:val="20"/>
          <w:szCs w:val="20"/>
          <w:lang w:val="es-419" w:eastAsia="es-CO"/>
        </w:rPr>
        <w:t>Rafael Ignacio Acevedo Pardo</w:t>
      </w:r>
    </w:p>
    <w:p w14:paraId="7F52458C" w14:textId="3855D0C2" w:rsidR="006F03EB" w:rsidRPr="006F03EB" w:rsidRDefault="006F03EB" w:rsidP="006F03EB">
      <w:pPr>
        <w:spacing w:before="0" w:beforeAutospacing="0" w:after="0" w:afterAutospacing="0" w:line="240" w:lineRule="auto"/>
        <w:ind w:firstLine="0"/>
        <w:rPr>
          <w:rFonts w:ascii="Arial" w:eastAsia="Tahoma" w:hAnsi="Arial" w:cs="Arial"/>
          <w:sz w:val="20"/>
          <w:szCs w:val="20"/>
          <w:lang w:val="es-419" w:eastAsia="es-CO"/>
        </w:rPr>
      </w:pPr>
      <w:r w:rsidRPr="006F03EB">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6F03EB">
        <w:rPr>
          <w:rFonts w:ascii="Arial" w:eastAsia="Tahoma" w:hAnsi="Arial" w:cs="Arial"/>
          <w:sz w:val="20"/>
          <w:szCs w:val="20"/>
          <w:lang w:val="es-419" w:eastAsia="es-CO"/>
        </w:rPr>
        <w:t>Colpensiones y Protección S.A.</w:t>
      </w:r>
    </w:p>
    <w:p w14:paraId="657420E9" w14:textId="34E831BC" w:rsidR="007B26A7" w:rsidRPr="007D1267" w:rsidRDefault="006F03EB" w:rsidP="006F03EB">
      <w:pPr>
        <w:spacing w:before="0" w:beforeAutospacing="0" w:after="0" w:afterAutospacing="0" w:line="240" w:lineRule="auto"/>
        <w:ind w:firstLine="0"/>
        <w:rPr>
          <w:rFonts w:ascii="Arial" w:eastAsia="Tahoma" w:hAnsi="Arial" w:cs="Arial"/>
          <w:sz w:val="20"/>
          <w:szCs w:val="20"/>
          <w:lang w:val="es-419" w:eastAsia="es-CO"/>
        </w:rPr>
      </w:pPr>
      <w:r w:rsidRPr="006F03EB">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6F03EB">
        <w:rPr>
          <w:rFonts w:ascii="Arial" w:eastAsia="Tahoma" w:hAnsi="Arial" w:cs="Arial"/>
          <w:sz w:val="20"/>
          <w:szCs w:val="20"/>
          <w:lang w:val="es-419" w:eastAsia="es-CO"/>
        </w:rPr>
        <w:t>:</w:t>
      </w:r>
      <w:r>
        <w:rPr>
          <w:rFonts w:ascii="Arial" w:eastAsia="Tahoma" w:hAnsi="Arial" w:cs="Arial"/>
          <w:sz w:val="20"/>
          <w:szCs w:val="20"/>
          <w:lang w:val="es-419" w:eastAsia="es-CO"/>
        </w:rPr>
        <w:tab/>
      </w:r>
      <w:r w:rsidRPr="006F03EB">
        <w:rPr>
          <w:rFonts w:ascii="Arial" w:eastAsia="Tahoma" w:hAnsi="Arial" w:cs="Arial"/>
          <w:sz w:val="20"/>
          <w:szCs w:val="20"/>
          <w:lang w:val="es-419" w:eastAsia="es-CO"/>
        </w:rPr>
        <w:t>Quinto Laboral del Circuito de Pereira</w:t>
      </w:r>
    </w:p>
    <w:p w14:paraId="331F83E1" w14:textId="77777777" w:rsidR="007B26A7" w:rsidRPr="007D1267" w:rsidRDefault="007B26A7" w:rsidP="007B26A7">
      <w:pPr>
        <w:spacing w:before="0" w:beforeAutospacing="0" w:after="0" w:afterAutospacing="0" w:line="240" w:lineRule="auto"/>
        <w:ind w:firstLine="0"/>
        <w:rPr>
          <w:rFonts w:ascii="Arial" w:eastAsia="Tahoma" w:hAnsi="Arial" w:cs="Arial"/>
          <w:sz w:val="20"/>
          <w:szCs w:val="20"/>
          <w:lang w:val="es-419" w:eastAsia="es-CO"/>
        </w:rPr>
      </w:pPr>
      <w:r w:rsidRPr="007D1267">
        <w:rPr>
          <w:rFonts w:ascii="Arial" w:eastAsia="Tahoma" w:hAnsi="Arial" w:cs="Arial"/>
          <w:sz w:val="20"/>
          <w:szCs w:val="20"/>
          <w:lang w:val="es-419" w:eastAsia="es-CO"/>
        </w:rPr>
        <w:t>Magistrada Ponente:</w:t>
      </w:r>
      <w:r>
        <w:rPr>
          <w:rFonts w:ascii="Arial" w:eastAsia="Tahoma" w:hAnsi="Arial" w:cs="Arial"/>
          <w:sz w:val="20"/>
          <w:szCs w:val="20"/>
          <w:lang w:val="es-419" w:eastAsia="es-CO"/>
        </w:rPr>
        <w:tab/>
      </w:r>
      <w:r w:rsidRPr="007D1267">
        <w:rPr>
          <w:rFonts w:ascii="Arial" w:eastAsia="Tahoma" w:hAnsi="Arial" w:cs="Arial"/>
          <w:sz w:val="20"/>
          <w:szCs w:val="20"/>
          <w:lang w:val="es-419" w:eastAsia="es-CO"/>
        </w:rPr>
        <w:t>Ana Lucía Caicedo Calderón</w:t>
      </w:r>
    </w:p>
    <w:p w14:paraId="5B132488" w14:textId="77777777" w:rsidR="007B26A7" w:rsidRPr="007D1267" w:rsidRDefault="007B26A7" w:rsidP="007B26A7">
      <w:pPr>
        <w:spacing w:before="0" w:beforeAutospacing="0" w:after="0" w:afterAutospacing="0" w:line="240" w:lineRule="auto"/>
        <w:ind w:firstLine="0"/>
        <w:rPr>
          <w:rFonts w:ascii="Arial" w:eastAsia="Tahoma" w:hAnsi="Arial" w:cs="Arial"/>
          <w:color w:val="000000"/>
          <w:sz w:val="20"/>
          <w:szCs w:val="20"/>
          <w:lang w:val="es-ES" w:eastAsia="es-CO"/>
        </w:rPr>
      </w:pPr>
    </w:p>
    <w:p w14:paraId="086D4E6D" w14:textId="77777777" w:rsidR="007B26A7" w:rsidRPr="00150B63" w:rsidRDefault="007B26A7" w:rsidP="007B26A7">
      <w:pPr>
        <w:spacing w:before="0" w:beforeAutospacing="0" w:after="0" w:afterAutospacing="0" w:line="240" w:lineRule="auto"/>
        <w:ind w:firstLine="0"/>
        <w:rPr>
          <w:rFonts w:ascii="Arial" w:eastAsia="Times New Roman" w:hAnsi="Arial" w:cs="Arial"/>
          <w:b/>
          <w:bCs/>
          <w:iCs/>
          <w:sz w:val="20"/>
          <w:szCs w:val="20"/>
          <w:lang w:val="es-419" w:eastAsia="fr-FR"/>
        </w:rPr>
      </w:pPr>
      <w:bookmarkStart w:id="4" w:name="_Hlk82369399"/>
      <w:bookmarkEnd w:id="1"/>
      <w:bookmarkEnd w:id="2"/>
      <w:bookmarkEnd w:id="3"/>
      <w:r w:rsidRPr="00150B63">
        <w:rPr>
          <w:rFonts w:ascii="Arial" w:eastAsia="Times New Roman" w:hAnsi="Arial" w:cs="Arial"/>
          <w:b/>
          <w:bCs/>
          <w:iCs/>
          <w:sz w:val="20"/>
          <w:szCs w:val="20"/>
          <w:u w:val="single"/>
          <w:lang w:val="es-419" w:eastAsia="fr-FR"/>
        </w:rPr>
        <w:t>TEMAS:</w:t>
      </w:r>
      <w:r w:rsidRPr="00150B63">
        <w:rPr>
          <w:rFonts w:ascii="Arial" w:eastAsia="Times New Roman" w:hAnsi="Arial" w:cs="Arial"/>
          <w:b/>
          <w:bCs/>
          <w:iCs/>
          <w:sz w:val="20"/>
          <w:szCs w:val="20"/>
          <w:lang w:val="es-419" w:eastAsia="fr-FR"/>
        </w:rPr>
        <w:tab/>
      </w:r>
      <w:r w:rsidRPr="00150B63">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646656FB" w14:textId="77777777" w:rsidR="007B26A7" w:rsidRPr="00150B63" w:rsidRDefault="007B26A7" w:rsidP="007B26A7">
      <w:pPr>
        <w:spacing w:before="0" w:beforeAutospacing="0" w:after="0" w:afterAutospacing="0" w:line="240" w:lineRule="auto"/>
        <w:ind w:firstLine="0"/>
        <w:rPr>
          <w:rFonts w:ascii="Arial" w:eastAsia="Times New Roman" w:hAnsi="Arial" w:cs="Arial"/>
          <w:sz w:val="20"/>
          <w:szCs w:val="20"/>
          <w:lang w:val="es-419" w:eastAsia="es-ES"/>
        </w:rPr>
      </w:pPr>
    </w:p>
    <w:p w14:paraId="4523BB8B" w14:textId="77777777" w:rsidR="007B26A7" w:rsidRPr="00150B63" w:rsidRDefault="007B26A7" w:rsidP="007B26A7">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06DE8D9B" w14:textId="77777777" w:rsidR="007B26A7" w:rsidRPr="00150B63" w:rsidRDefault="007B26A7" w:rsidP="007B26A7">
      <w:pPr>
        <w:spacing w:before="0" w:beforeAutospacing="0" w:after="0" w:afterAutospacing="0" w:line="240" w:lineRule="auto"/>
        <w:ind w:firstLine="0"/>
        <w:rPr>
          <w:rFonts w:ascii="Arial" w:eastAsia="Times New Roman" w:hAnsi="Arial" w:cs="Arial"/>
          <w:sz w:val="20"/>
          <w:szCs w:val="20"/>
          <w:lang w:val="es-419" w:eastAsia="es-ES"/>
        </w:rPr>
      </w:pPr>
    </w:p>
    <w:p w14:paraId="22EB1913" w14:textId="77777777" w:rsidR="007B26A7" w:rsidRPr="00150B63" w:rsidRDefault="007B26A7" w:rsidP="007B26A7">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02DB65C" w14:textId="77777777" w:rsidR="007B26A7" w:rsidRPr="00150B63" w:rsidRDefault="007B26A7" w:rsidP="007B26A7">
      <w:pPr>
        <w:spacing w:before="0" w:beforeAutospacing="0" w:after="0" w:afterAutospacing="0" w:line="240" w:lineRule="auto"/>
        <w:ind w:firstLine="0"/>
        <w:rPr>
          <w:rFonts w:ascii="Arial" w:eastAsia="Times New Roman" w:hAnsi="Arial" w:cs="Arial"/>
          <w:sz w:val="20"/>
          <w:szCs w:val="20"/>
          <w:lang w:val="es-419" w:eastAsia="es-ES"/>
        </w:rPr>
      </w:pPr>
    </w:p>
    <w:p w14:paraId="64B9B3B2" w14:textId="77777777" w:rsidR="007B26A7" w:rsidRPr="00150B63" w:rsidRDefault="007B26A7" w:rsidP="007B26A7">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432FB06B" w14:textId="77777777" w:rsidR="007B26A7" w:rsidRPr="00150B63" w:rsidRDefault="007B26A7" w:rsidP="007B26A7">
      <w:pPr>
        <w:spacing w:before="0" w:beforeAutospacing="0" w:after="0" w:afterAutospacing="0" w:line="240" w:lineRule="auto"/>
        <w:ind w:firstLine="0"/>
        <w:rPr>
          <w:rFonts w:ascii="Arial" w:eastAsia="Times New Roman" w:hAnsi="Arial" w:cs="Arial"/>
          <w:sz w:val="20"/>
          <w:szCs w:val="20"/>
          <w:lang w:val="es-419" w:eastAsia="es-ES"/>
        </w:rPr>
      </w:pPr>
    </w:p>
    <w:p w14:paraId="178FE346" w14:textId="77777777" w:rsidR="007B26A7" w:rsidRPr="00150B63" w:rsidRDefault="007B26A7" w:rsidP="007B26A7">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060EA536" w14:textId="77777777" w:rsidR="007B26A7" w:rsidRPr="00150B63" w:rsidRDefault="007B26A7" w:rsidP="007B26A7">
      <w:pPr>
        <w:spacing w:before="0" w:beforeAutospacing="0" w:after="0" w:afterAutospacing="0" w:line="240" w:lineRule="auto"/>
        <w:ind w:firstLine="0"/>
        <w:rPr>
          <w:rFonts w:ascii="Arial" w:eastAsia="Times New Roman" w:hAnsi="Arial" w:cs="Arial"/>
          <w:sz w:val="20"/>
          <w:szCs w:val="20"/>
          <w:lang w:val="es-419" w:eastAsia="es-ES"/>
        </w:rPr>
      </w:pPr>
    </w:p>
    <w:p w14:paraId="7AE4C59B" w14:textId="77777777" w:rsidR="007B26A7" w:rsidRPr="00150B63" w:rsidRDefault="007B26A7" w:rsidP="007B26A7">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57DC5F8" w14:textId="77777777" w:rsidR="007B26A7" w:rsidRPr="00150B63" w:rsidRDefault="007B26A7" w:rsidP="007B26A7">
      <w:pPr>
        <w:spacing w:before="0" w:beforeAutospacing="0" w:after="0" w:afterAutospacing="0" w:line="240" w:lineRule="auto"/>
        <w:ind w:firstLine="0"/>
        <w:rPr>
          <w:rFonts w:ascii="Arial" w:eastAsia="Times New Roman" w:hAnsi="Arial" w:cs="Arial"/>
          <w:sz w:val="20"/>
          <w:szCs w:val="20"/>
          <w:lang w:val="es-419" w:eastAsia="es-ES"/>
        </w:rPr>
      </w:pPr>
    </w:p>
    <w:p w14:paraId="35207BE8" w14:textId="605C07DA" w:rsidR="007B26A7" w:rsidRPr="00150B63" w:rsidRDefault="00036D46" w:rsidP="007B26A7">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la car</w:t>
      </w:r>
      <w:r w:rsidR="007B26A7" w:rsidRPr="00150B63">
        <w:rPr>
          <w:rFonts w:ascii="Arial" w:eastAsia="Times New Roman" w:hAnsi="Arial" w:cs="Arial"/>
          <w:sz w:val="20"/>
          <w:szCs w:val="20"/>
          <w:lang w:val="es-419" w:eastAsia="es-ES"/>
        </w:rPr>
        <w:t>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3A3E51B1" w14:textId="77777777" w:rsidR="007B26A7" w:rsidRPr="00150B63" w:rsidRDefault="007B26A7" w:rsidP="007B26A7">
      <w:pPr>
        <w:spacing w:before="0" w:beforeAutospacing="0" w:after="0" w:afterAutospacing="0" w:line="240" w:lineRule="auto"/>
        <w:ind w:firstLine="0"/>
        <w:rPr>
          <w:rFonts w:ascii="Arial" w:eastAsia="Times New Roman" w:hAnsi="Arial" w:cs="Arial"/>
          <w:sz w:val="20"/>
          <w:szCs w:val="20"/>
          <w:lang w:val="es-ES" w:eastAsia="es-ES"/>
        </w:rPr>
      </w:pPr>
    </w:p>
    <w:p w14:paraId="03D0C80C" w14:textId="77777777" w:rsidR="007B26A7" w:rsidRPr="00150B63" w:rsidRDefault="007B26A7" w:rsidP="007B26A7">
      <w:pPr>
        <w:spacing w:before="0" w:beforeAutospacing="0" w:after="0" w:afterAutospacing="0" w:line="240" w:lineRule="auto"/>
        <w:ind w:firstLine="0"/>
        <w:rPr>
          <w:rFonts w:ascii="Arial" w:eastAsia="Times New Roman" w:hAnsi="Arial" w:cs="Arial"/>
          <w:sz w:val="20"/>
          <w:szCs w:val="20"/>
          <w:lang w:val="es-ES" w:eastAsia="es-ES"/>
        </w:rPr>
      </w:pPr>
    </w:p>
    <w:bookmarkEnd w:id="4"/>
    <w:p w14:paraId="7B97388A" w14:textId="77777777" w:rsidR="007B26A7" w:rsidRPr="00150B63" w:rsidRDefault="007B26A7" w:rsidP="007B26A7">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6F03EB" w:rsidRDefault="003B6848" w:rsidP="006F03EB">
      <w:pPr>
        <w:pStyle w:val="Ttulo4"/>
        <w:widowControl w:val="0"/>
        <w:tabs>
          <w:tab w:val="clear" w:pos="0"/>
        </w:tabs>
        <w:spacing w:line="276" w:lineRule="auto"/>
        <w:ind w:right="49"/>
        <w:contextualSpacing/>
        <w:rPr>
          <w:rFonts w:ascii="Tahoma" w:hAnsi="Tahoma" w:cs="Tahoma"/>
          <w:bCs/>
          <w:szCs w:val="24"/>
          <w:lang w:eastAsia="es-MX"/>
        </w:rPr>
      </w:pPr>
      <w:bookmarkStart w:id="5" w:name="_Hlk89346566"/>
      <w:r w:rsidRPr="006F03EB">
        <w:rPr>
          <w:rFonts w:ascii="Tahoma" w:hAnsi="Tahoma" w:cs="Tahoma"/>
          <w:bCs/>
          <w:szCs w:val="24"/>
          <w:lang w:eastAsia="es-MX"/>
        </w:rPr>
        <w:t>TRIBUNAL SUPERIOR DEL DISTRITO JUDICIAL DE PEREIRA</w:t>
      </w:r>
    </w:p>
    <w:p w14:paraId="5A16DD1F" w14:textId="5F655AE0" w:rsidR="003B6848" w:rsidRPr="006F03EB" w:rsidRDefault="003B6848" w:rsidP="006F03EB">
      <w:pPr>
        <w:pStyle w:val="Ttulo4"/>
        <w:widowControl w:val="0"/>
        <w:tabs>
          <w:tab w:val="clear" w:pos="0"/>
        </w:tabs>
        <w:spacing w:line="276" w:lineRule="auto"/>
        <w:ind w:right="49"/>
        <w:contextualSpacing/>
        <w:rPr>
          <w:rFonts w:ascii="Tahoma" w:hAnsi="Tahoma" w:cs="Tahoma"/>
          <w:bCs/>
          <w:szCs w:val="24"/>
          <w:lang w:eastAsia="es-MX"/>
        </w:rPr>
      </w:pPr>
      <w:r w:rsidRPr="006F03EB">
        <w:rPr>
          <w:rFonts w:ascii="Tahoma" w:hAnsi="Tahoma" w:cs="Tahoma"/>
          <w:bCs/>
          <w:szCs w:val="24"/>
          <w:lang w:eastAsia="es-MX"/>
        </w:rPr>
        <w:t>SALA PRIMERA DE DECISION LABORAL</w:t>
      </w:r>
    </w:p>
    <w:p w14:paraId="1EA4F8CA" w14:textId="77777777" w:rsidR="000A7489" w:rsidRPr="006F03EB" w:rsidRDefault="000A7489" w:rsidP="006F03EB">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6F03EB" w:rsidRDefault="003B6848" w:rsidP="006F03EB">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6F03EB">
        <w:rPr>
          <w:rFonts w:ascii="Tahoma" w:eastAsia="Times New Roman" w:hAnsi="Tahoma" w:cs="Tahoma"/>
          <w:lang w:eastAsia="es-CO"/>
        </w:rPr>
        <w:t>Magistrada Ponente: </w:t>
      </w:r>
      <w:r w:rsidRPr="006F03EB">
        <w:rPr>
          <w:rFonts w:ascii="Tahoma" w:eastAsia="Times New Roman" w:hAnsi="Tahoma" w:cs="Tahoma"/>
          <w:b/>
          <w:bCs/>
          <w:lang w:eastAsia="es-CO"/>
        </w:rPr>
        <w:t>Ana Lucía Caicedo Calderón</w:t>
      </w:r>
    </w:p>
    <w:p w14:paraId="2EE6C2C2" w14:textId="438562DA" w:rsidR="003B6848" w:rsidRPr="006F03EB" w:rsidRDefault="003B6848" w:rsidP="006F03EB">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p w14:paraId="65CA52FB" w14:textId="03AF95DB" w:rsidR="003B6848" w:rsidRPr="006F03EB" w:rsidRDefault="003B6848" w:rsidP="006F03EB">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6F03EB">
        <w:rPr>
          <w:rFonts w:ascii="Tahoma" w:eastAsia="Times New Roman" w:hAnsi="Tahoma" w:cs="Tahoma"/>
          <w:lang w:eastAsia="es-CO"/>
        </w:rPr>
        <w:t xml:space="preserve">Pereira, Risaralda, </w:t>
      </w:r>
      <w:r w:rsidR="006C746C" w:rsidRPr="006F03EB">
        <w:rPr>
          <w:rFonts w:ascii="Tahoma" w:eastAsia="Times New Roman" w:hAnsi="Tahoma" w:cs="Tahoma"/>
          <w:lang w:eastAsia="es-CO"/>
        </w:rPr>
        <w:t>veinte</w:t>
      </w:r>
      <w:r w:rsidR="00D02DA5" w:rsidRPr="006F03EB">
        <w:rPr>
          <w:rFonts w:ascii="Tahoma" w:eastAsia="Times New Roman" w:hAnsi="Tahoma" w:cs="Tahoma"/>
          <w:lang w:eastAsia="es-CO"/>
        </w:rPr>
        <w:t xml:space="preserve"> </w:t>
      </w:r>
      <w:r w:rsidRPr="006F03EB">
        <w:rPr>
          <w:rFonts w:ascii="Tahoma" w:eastAsia="Times New Roman" w:hAnsi="Tahoma" w:cs="Tahoma"/>
          <w:lang w:eastAsia="es-CO"/>
        </w:rPr>
        <w:t>(</w:t>
      </w:r>
      <w:r w:rsidR="006C746C" w:rsidRPr="006F03EB">
        <w:rPr>
          <w:rFonts w:ascii="Tahoma" w:eastAsia="Times New Roman" w:hAnsi="Tahoma" w:cs="Tahoma"/>
          <w:lang w:eastAsia="es-CO"/>
        </w:rPr>
        <w:t>20</w:t>
      </w:r>
      <w:r w:rsidRPr="006F03EB">
        <w:rPr>
          <w:rFonts w:ascii="Tahoma" w:eastAsia="Times New Roman" w:hAnsi="Tahoma" w:cs="Tahoma"/>
          <w:lang w:eastAsia="es-CO"/>
        </w:rPr>
        <w:t xml:space="preserve">) de </w:t>
      </w:r>
      <w:r w:rsidR="008677B4" w:rsidRPr="006F03EB">
        <w:rPr>
          <w:rFonts w:ascii="Tahoma" w:eastAsia="Times New Roman" w:hAnsi="Tahoma" w:cs="Tahoma"/>
          <w:lang w:eastAsia="es-CO"/>
        </w:rPr>
        <w:t>febrero</w:t>
      </w:r>
      <w:r w:rsidR="00D02DA5" w:rsidRPr="006F03EB">
        <w:rPr>
          <w:rFonts w:ascii="Tahoma" w:eastAsia="Times New Roman" w:hAnsi="Tahoma" w:cs="Tahoma"/>
          <w:lang w:eastAsia="es-CO"/>
        </w:rPr>
        <w:t xml:space="preserve"> </w:t>
      </w:r>
      <w:r w:rsidR="006C79E4" w:rsidRPr="006F03EB">
        <w:rPr>
          <w:rFonts w:ascii="Tahoma" w:eastAsia="Times New Roman" w:hAnsi="Tahoma" w:cs="Tahoma"/>
          <w:lang w:eastAsia="es-CO"/>
        </w:rPr>
        <w:t xml:space="preserve">de </w:t>
      </w:r>
      <w:r w:rsidRPr="006F03EB">
        <w:rPr>
          <w:rFonts w:ascii="Tahoma" w:eastAsia="Times New Roman" w:hAnsi="Tahoma" w:cs="Tahoma"/>
          <w:lang w:eastAsia="es-CO"/>
        </w:rPr>
        <w:t>dos mil veinti</w:t>
      </w:r>
      <w:r w:rsidR="00D02DA5" w:rsidRPr="006F03EB">
        <w:rPr>
          <w:rFonts w:ascii="Tahoma" w:eastAsia="Times New Roman" w:hAnsi="Tahoma" w:cs="Tahoma"/>
          <w:lang w:eastAsia="es-CO"/>
        </w:rPr>
        <w:t xml:space="preserve">trés </w:t>
      </w:r>
      <w:r w:rsidRPr="006F03EB">
        <w:rPr>
          <w:rFonts w:ascii="Tahoma" w:eastAsia="Times New Roman" w:hAnsi="Tahoma" w:cs="Tahoma"/>
          <w:lang w:eastAsia="es-CO"/>
        </w:rPr>
        <w:t>(202</w:t>
      </w:r>
      <w:r w:rsidR="00D02DA5" w:rsidRPr="006F03EB">
        <w:rPr>
          <w:rFonts w:ascii="Tahoma" w:eastAsia="Times New Roman" w:hAnsi="Tahoma" w:cs="Tahoma"/>
          <w:lang w:eastAsia="es-CO"/>
        </w:rPr>
        <w:t>3</w:t>
      </w:r>
      <w:r w:rsidRPr="006F03EB">
        <w:rPr>
          <w:rFonts w:ascii="Tahoma" w:eastAsia="Times New Roman" w:hAnsi="Tahoma" w:cs="Tahoma"/>
          <w:lang w:eastAsia="es-CO"/>
        </w:rPr>
        <w:t>)</w:t>
      </w:r>
    </w:p>
    <w:p w14:paraId="1DDE6477" w14:textId="4A6481C3" w:rsidR="003B6848" w:rsidRPr="006F03EB" w:rsidRDefault="003B6848" w:rsidP="006F03EB">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6F03EB">
        <w:rPr>
          <w:rFonts w:ascii="Tahoma" w:eastAsia="Times New Roman" w:hAnsi="Tahoma" w:cs="Tahoma"/>
          <w:lang w:eastAsia="es-CO"/>
        </w:rPr>
        <w:t>Acta No. </w:t>
      </w:r>
      <w:r w:rsidR="001E6772" w:rsidRPr="006F03EB">
        <w:rPr>
          <w:rFonts w:ascii="Tahoma" w:eastAsia="Times New Roman" w:hAnsi="Tahoma" w:cs="Tahoma"/>
          <w:lang w:eastAsia="es-CO"/>
        </w:rPr>
        <w:t>24</w:t>
      </w:r>
      <w:r w:rsidRPr="006F03EB">
        <w:rPr>
          <w:rFonts w:ascii="Tahoma" w:eastAsia="Times New Roman" w:hAnsi="Tahoma" w:cs="Tahoma"/>
          <w:lang w:eastAsia="es-CO"/>
        </w:rPr>
        <w:t xml:space="preserve"> del </w:t>
      </w:r>
      <w:r w:rsidR="006C746C" w:rsidRPr="006F03EB">
        <w:rPr>
          <w:rFonts w:ascii="Tahoma" w:eastAsia="Times New Roman" w:hAnsi="Tahoma" w:cs="Tahoma"/>
          <w:lang w:eastAsia="es-CO"/>
        </w:rPr>
        <w:t>16</w:t>
      </w:r>
      <w:r w:rsidR="00FA44CF" w:rsidRPr="006F03EB">
        <w:rPr>
          <w:rFonts w:ascii="Tahoma" w:eastAsia="Times New Roman" w:hAnsi="Tahoma" w:cs="Tahoma"/>
          <w:lang w:eastAsia="es-CO"/>
        </w:rPr>
        <w:t xml:space="preserve"> de febrero</w:t>
      </w:r>
      <w:r w:rsidR="00D02DA5" w:rsidRPr="006F03EB">
        <w:rPr>
          <w:rFonts w:ascii="Tahoma" w:eastAsia="Times New Roman" w:hAnsi="Tahoma" w:cs="Tahoma"/>
          <w:lang w:eastAsia="es-CO"/>
        </w:rPr>
        <w:t xml:space="preserve"> </w:t>
      </w:r>
      <w:r w:rsidR="005B1014" w:rsidRPr="006F03EB">
        <w:rPr>
          <w:rFonts w:ascii="Tahoma" w:eastAsia="Times New Roman" w:hAnsi="Tahoma" w:cs="Tahoma"/>
          <w:lang w:eastAsia="es-CO"/>
        </w:rPr>
        <w:t>de</w:t>
      </w:r>
      <w:r w:rsidR="003632A0" w:rsidRPr="006F03EB">
        <w:rPr>
          <w:rFonts w:ascii="Tahoma" w:eastAsia="Times New Roman" w:hAnsi="Tahoma" w:cs="Tahoma"/>
          <w:lang w:eastAsia="es-CO"/>
        </w:rPr>
        <w:t xml:space="preserve"> </w:t>
      </w:r>
      <w:r w:rsidRPr="006F03EB">
        <w:rPr>
          <w:rFonts w:ascii="Tahoma" w:eastAsia="Times New Roman" w:hAnsi="Tahoma" w:cs="Tahoma"/>
          <w:lang w:eastAsia="es-CO"/>
        </w:rPr>
        <w:t>202</w:t>
      </w:r>
      <w:r w:rsidR="00D02DA5" w:rsidRPr="006F03EB">
        <w:rPr>
          <w:rFonts w:ascii="Tahoma" w:eastAsia="Times New Roman" w:hAnsi="Tahoma" w:cs="Tahoma"/>
          <w:lang w:eastAsia="es-CO"/>
        </w:rPr>
        <w:t>3</w:t>
      </w:r>
    </w:p>
    <w:bookmarkEnd w:id="5"/>
    <w:p w14:paraId="77C0F7AD" w14:textId="733181A7" w:rsidR="003B6848" w:rsidRPr="006F03EB" w:rsidRDefault="003B6848" w:rsidP="006F03EB">
      <w:pPr>
        <w:spacing w:before="0" w:beforeAutospacing="0" w:after="0" w:afterAutospacing="0" w:line="276" w:lineRule="auto"/>
        <w:contextualSpacing/>
        <w:jc w:val="center"/>
        <w:rPr>
          <w:rFonts w:ascii="Tahoma" w:hAnsi="Tahoma" w:cs="Tahoma"/>
          <w:b/>
        </w:rPr>
      </w:pPr>
    </w:p>
    <w:p w14:paraId="4D47DCFA" w14:textId="77777777" w:rsidR="00151506" w:rsidRPr="006F03EB" w:rsidRDefault="00151506" w:rsidP="006F03EB">
      <w:pPr>
        <w:spacing w:before="0" w:beforeAutospacing="0" w:after="0" w:afterAutospacing="0" w:line="276" w:lineRule="auto"/>
        <w:contextualSpacing/>
        <w:jc w:val="center"/>
        <w:rPr>
          <w:rFonts w:ascii="Tahoma" w:hAnsi="Tahoma" w:cs="Tahoma"/>
          <w:b/>
        </w:rPr>
      </w:pPr>
    </w:p>
    <w:p w14:paraId="2788A7E0" w14:textId="285B02B3" w:rsidR="005B1014" w:rsidRPr="006F03EB" w:rsidRDefault="00C113E7" w:rsidP="006F03EB">
      <w:pPr>
        <w:spacing w:before="0" w:beforeAutospacing="0" w:after="0" w:afterAutospacing="0" w:line="276" w:lineRule="auto"/>
        <w:ind w:firstLine="708"/>
        <w:contextualSpacing/>
        <w:rPr>
          <w:rFonts w:ascii="Tahoma" w:hAnsi="Tahoma" w:cs="Tahoma"/>
          <w:b/>
        </w:rPr>
      </w:pPr>
      <w:r w:rsidRPr="006F03EB">
        <w:rPr>
          <w:rFonts w:ascii="Tahoma" w:hAnsi="Tahoma" w:cs="Tahoma"/>
          <w:lang w:val="es-ES"/>
        </w:rPr>
        <w:t>Teniendo en cuenta que el artículo 15 del Decreto No. 806 del 4 de junio de 2020, adoptado como legislación permanente por medio de la Ley 2213 del 13 de junio de 2022</w:t>
      </w:r>
      <w:r w:rsidR="000A7489" w:rsidRPr="006F03EB">
        <w:rPr>
          <w:rFonts w:ascii="Tahoma" w:hAnsi="Tahoma" w:cs="Tahoma"/>
        </w:rPr>
        <w:t xml:space="preserve">, </w:t>
      </w:r>
      <w:r w:rsidR="003B6848" w:rsidRPr="006F03EB">
        <w:rPr>
          <w:rFonts w:ascii="Tahoma" w:hAnsi="Tahoma" w:cs="Tahoma"/>
        </w:rPr>
        <w:t>estableció que en la</w:t>
      </w:r>
      <w:r w:rsidR="00E60AFE" w:rsidRPr="006F03EB">
        <w:rPr>
          <w:rFonts w:ascii="Tahoma" w:hAnsi="Tahoma" w:cs="Tahoma"/>
        </w:rPr>
        <w:t xml:space="preserve"> </w:t>
      </w:r>
      <w:r w:rsidR="003B6848" w:rsidRPr="006F03EB">
        <w:rPr>
          <w:rFonts w:ascii="Tahoma" w:hAnsi="Tahoma" w:cs="Tahoma"/>
        </w:rPr>
        <w:t>especialidad laboral se proferirán por escrito las providencias de</w:t>
      </w:r>
      <w:r w:rsidR="00E60AFE" w:rsidRPr="006F03EB">
        <w:rPr>
          <w:rFonts w:ascii="Tahoma" w:hAnsi="Tahoma" w:cs="Tahoma"/>
        </w:rPr>
        <w:t xml:space="preserve"> </w:t>
      </w:r>
      <w:r w:rsidR="003B6848" w:rsidRPr="006F03EB">
        <w:rPr>
          <w:rFonts w:ascii="Tahoma" w:hAnsi="Tahoma" w:cs="Tahoma"/>
        </w:rPr>
        <w:t>segunda</w:t>
      </w:r>
      <w:r w:rsidR="00E60AFE" w:rsidRPr="006F03EB">
        <w:rPr>
          <w:rFonts w:ascii="Tahoma" w:hAnsi="Tahoma" w:cs="Tahoma"/>
        </w:rPr>
        <w:t xml:space="preserve"> </w:t>
      </w:r>
      <w:r w:rsidR="003B6848" w:rsidRPr="006F03EB">
        <w:rPr>
          <w:rFonts w:ascii="Tahoma" w:hAnsi="Tahoma" w:cs="Tahoma"/>
        </w:rPr>
        <w:t>instancia</w:t>
      </w:r>
      <w:r w:rsidR="00E60AFE" w:rsidRPr="006F03EB">
        <w:rPr>
          <w:rFonts w:ascii="Tahoma" w:hAnsi="Tahoma" w:cs="Tahoma"/>
        </w:rPr>
        <w:t xml:space="preserve"> </w:t>
      </w:r>
      <w:r w:rsidR="003B6848" w:rsidRPr="006F03EB">
        <w:rPr>
          <w:rFonts w:ascii="Tahoma" w:hAnsi="Tahoma" w:cs="Tahoma"/>
        </w:rPr>
        <w:t>en las que se surta el grado jurisdiccional de consulta o se resuelva el recurso de</w:t>
      </w:r>
      <w:r w:rsidR="00E60AFE" w:rsidRPr="006F03EB">
        <w:rPr>
          <w:rFonts w:ascii="Tahoma" w:hAnsi="Tahoma" w:cs="Tahoma"/>
        </w:rPr>
        <w:t xml:space="preserve"> </w:t>
      </w:r>
      <w:r w:rsidR="003B6848" w:rsidRPr="006F03EB">
        <w:rPr>
          <w:rFonts w:ascii="Tahoma" w:hAnsi="Tahoma" w:cs="Tahoma"/>
        </w:rPr>
        <w:t>apelación de autos o sentencias, la Sala de Decisión Laboral</w:t>
      </w:r>
      <w:r w:rsidR="00617E08" w:rsidRPr="006F03EB">
        <w:rPr>
          <w:rFonts w:ascii="Tahoma" w:hAnsi="Tahoma" w:cs="Tahoma"/>
        </w:rPr>
        <w:t xml:space="preserve"> del Tribunal Superior de Pereira, </w:t>
      </w:r>
      <w:r w:rsidR="003B6848" w:rsidRPr="006F03EB">
        <w:rPr>
          <w:rFonts w:ascii="Tahoma" w:hAnsi="Tahoma" w:cs="Tahoma"/>
        </w:rPr>
        <w:t>integrada por las</w:t>
      </w:r>
      <w:r w:rsidR="00510D63" w:rsidRPr="006F03EB">
        <w:rPr>
          <w:rFonts w:ascii="Tahoma" w:hAnsi="Tahoma" w:cs="Tahoma"/>
        </w:rPr>
        <w:t xml:space="preserve"> </w:t>
      </w:r>
      <w:r w:rsidR="003B6848" w:rsidRPr="006F03EB">
        <w:rPr>
          <w:rFonts w:ascii="Tahoma" w:hAnsi="Tahoma" w:cs="Tahoma"/>
        </w:rPr>
        <w:t>Magistradas ANA LUCÍA CAICEDO CALDERÓN</w:t>
      </w:r>
      <w:r w:rsidR="00617E08" w:rsidRPr="006F03EB">
        <w:rPr>
          <w:rFonts w:ascii="Tahoma" w:hAnsi="Tahoma" w:cs="Tahoma"/>
        </w:rPr>
        <w:t>,</w:t>
      </w:r>
      <w:r w:rsidR="003B6848" w:rsidRPr="006F03EB">
        <w:rPr>
          <w:rFonts w:ascii="Tahoma" w:hAnsi="Tahoma" w:cs="Tahoma"/>
        </w:rPr>
        <w:t xml:space="preserve"> como </w:t>
      </w:r>
      <w:r w:rsidR="00617E08" w:rsidRPr="006F03EB">
        <w:rPr>
          <w:rFonts w:ascii="Tahoma" w:hAnsi="Tahoma" w:cs="Tahoma"/>
        </w:rPr>
        <w:t>p</w:t>
      </w:r>
      <w:r w:rsidR="003B6848" w:rsidRPr="006F03EB">
        <w:rPr>
          <w:rFonts w:ascii="Tahoma" w:hAnsi="Tahoma" w:cs="Tahoma"/>
        </w:rPr>
        <w:t xml:space="preserve">onente, </w:t>
      </w:r>
      <w:r w:rsidR="00617E08" w:rsidRPr="006F03EB">
        <w:rPr>
          <w:rFonts w:ascii="Tahoma" w:hAnsi="Tahoma" w:cs="Tahoma"/>
        </w:rPr>
        <w:t xml:space="preserve">y </w:t>
      </w:r>
      <w:r w:rsidR="003B6848" w:rsidRPr="006F03EB">
        <w:rPr>
          <w:rFonts w:ascii="Tahoma" w:hAnsi="Tahoma" w:cs="Tahoma"/>
        </w:rPr>
        <w:t>OLGA LUCÍA HOYOS</w:t>
      </w:r>
      <w:r w:rsidR="00510D63" w:rsidRPr="006F03EB">
        <w:rPr>
          <w:rFonts w:ascii="Tahoma" w:hAnsi="Tahoma" w:cs="Tahoma"/>
        </w:rPr>
        <w:t xml:space="preserve"> </w:t>
      </w:r>
      <w:r w:rsidR="003B6848" w:rsidRPr="006F03EB">
        <w:rPr>
          <w:rFonts w:ascii="Tahoma" w:hAnsi="Tahoma" w:cs="Tahoma"/>
        </w:rPr>
        <w:t>SEPÚLVEDA</w:t>
      </w:r>
      <w:r w:rsidR="00617E08" w:rsidRPr="006F03EB">
        <w:rPr>
          <w:rFonts w:ascii="Tahoma" w:hAnsi="Tahoma" w:cs="Tahoma"/>
        </w:rPr>
        <w:t>,</w:t>
      </w:r>
      <w:r w:rsidR="003B6848" w:rsidRPr="006F03EB">
        <w:rPr>
          <w:rFonts w:ascii="Tahoma" w:hAnsi="Tahoma" w:cs="Tahoma"/>
        </w:rPr>
        <w:t xml:space="preserve"> y el Magistrado</w:t>
      </w:r>
      <w:r w:rsidR="00510D63" w:rsidRPr="006F03EB">
        <w:rPr>
          <w:rFonts w:ascii="Tahoma" w:hAnsi="Tahoma" w:cs="Tahoma"/>
        </w:rPr>
        <w:t xml:space="preserve"> </w:t>
      </w:r>
      <w:r w:rsidR="003B6848" w:rsidRPr="006F03EB">
        <w:rPr>
          <w:rFonts w:ascii="Tahoma" w:hAnsi="Tahoma" w:cs="Tahoma"/>
        </w:rPr>
        <w:t xml:space="preserve">GERMÁN DARIO </w:t>
      </w:r>
      <w:r w:rsidR="00AA60CF" w:rsidRPr="006F03EB">
        <w:rPr>
          <w:rFonts w:ascii="Tahoma" w:hAnsi="Tahoma" w:cs="Tahoma"/>
        </w:rPr>
        <w:t xml:space="preserve">GOEZ </w:t>
      </w:r>
      <w:r w:rsidR="003B6848" w:rsidRPr="006F03EB">
        <w:rPr>
          <w:rFonts w:ascii="Tahoma" w:hAnsi="Tahoma" w:cs="Tahoma"/>
        </w:rPr>
        <w:t>VINASCO, procede a proferir la</w:t>
      </w:r>
      <w:r w:rsidR="00510D63" w:rsidRPr="006F03EB">
        <w:rPr>
          <w:rFonts w:ascii="Tahoma" w:hAnsi="Tahoma" w:cs="Tahoma"/>
        </w:rPr>
        <w:t xml:space="preserve"> </w:t>
      </w:r>
      <w:r w:rsidR="003B6848" w:rsidRPr="006F03EB">
        <w:rPr>
          <w:rFonts w:ascii="Tahoma" w:hAnsi="Tahoma" w:cs="Tahoma"/>
        </w:rPr>
        <w:t xml:space="preserve">siguiente sentencia escrita dentro del proceso </w:t>
      </w:r>
      <w:r w:rsidR="003B6848" w:rsidRPr="00E800C9">
        <w:rPr>
          <w:rFonts w:ascii="Tahoma" w:hAnsi="Tahoma" w:cs="Tahoma"/>
          <w:b/>
        </w:rPr>
        <w:t>ordinario laboral</w:t>
      </w:r>
      <w:r w:rsidR="003B6848" w:rsidRPr="006F03EB">
        <w:rPr>
          <w:rFonts w:ascii="Tahoma" w:hAnsi="Tahoma" w:cs="Tahoma"/>
        </w:rPr>
        <w:t xml:space="preserve"> instaurado por </w:t>
      </w:r>
      <w:r w:rsidR="006C746C" w:rsidRPr="006F03EB">
        <w:rPr>
          <w:rFonts w:ascii="Tahoma" w:hAnsi="Tahoma" w:cs="Tahoma"/>
          <w:b/>
          <w:bCs/>
        </w:rPr>
        <w:t>Rafael Ignacio Acevedo Pardo</w:t>
      </w:r>
      <w:r w:rsidR="00C7020C" w:rsidRPr="006F03EB">
        <w:rPr>
          <w:rFonts w:ascii="Tahoma" w:hAnsi="Tahoma" w:cs="Tahoma"/>
          <w:b/>
          <w:bCs/>
        </w:rPr>
        <w:t xml:space="preserve"> </w:t>
      </w:r>
      <w:r w:rsidR="00171926" w:rsidRPr="006F03EB">
        <w:rPr>
          <w:rFonts w:ascii="Tahoma" w:hAnsi="Tahoma" w:cs="Tahoma"/>
        </w:rPr>
        <w:t>en contra de</w:t>
      </w:r>
      <w:r w:rsidR="00171926" w:rsidRPr="006F03EB">
        <w:rPr>
          <w:rFonts w:ascii="Tahoma" w:hAnsi="Tahoma" w:cs="Tahoma"/>
          <w:b/>
          <w:bCs/>
        </w:rPr>
        <w:t xml:space="preserve"> </w:t>
      </w:r>
      <w:r w:rsidR="00B82067" w:rsidRPr="006F03EB">
        <w:rPr>
          <w:rFonts w:ascii="Tahoma" w:hAnsi="Tahoma" w:cs="Tahoma"/>
          <w:bCs/>
        </w:rPr>
        <w:t>la</w:t>
      </w:r>
      <w:r w:rsidR="00B82067" w:rsidRPr="006F03EB">
        <w:rPr>
          <w:rFonts w:ascii="Tahoma" w:hAnsi="Tahoma" w:cs="Tahoma"/>
          <w:b/>
          <w:bCs/>
        </w:rPr>
        <w:t xml:space="preserve"> Administradora Colombiana de Pensiones</w:t>
      </w:r>
      <w:r w:rsidR="00171926" w:rsidRPr="006F03EB">
        <w:rPr>
          <w:rFonts w:ascii="Tahoma" w:hAnsi="Tahoma" w:cs="Tahoma"/>
          <w:b/>
          <w:bCs/>
          <w:caps/>
        </w:rPr>
        <w:t xml:space="preserve"> – </w:t>
      </w:r>
      <w:r w:rsidR="00B82067" w:rsidRPr="006F03EB">
        <w:rPr>
          <w:rFonts w:ascii="Tahoma" w:hAnsi="Tahoma" w:cs="Tahoma"/>
          <w:b/>
          <w:bCs/>
        </w:rPr>
        <w:t>Colpensiones</w:t>
      </w:r>
      <w:r w:rsidR="00596F82" w:rsidRPr="006F03EB">
        <w:rPr>
          <w:rFonts w:ascii="Tahoma" w:hAnsi="Tahoma" w:cs="Tahoma"/>
          <w:bCs/>
        </w:rPr>
        <w:t xml:space="preserve"> </w:t>
      </w:r>
      <w:r w:rsidR="005B1014" w:rsidRPr="006F03EB">
        <w:rPr>
          <w:rFonts w:ascii="Tahoma" w:hAnsi="Tahoma" w:cs="Tahoma"/>
        </w:rPr>
        <w:t>y</w:t>
      </w:r>
      <w:r w:rsidR="006C746C" w:rsidRPr="006F03EB">
        <w:rPr>
          <w:rFonts w:ascii="Tahoma" w:hAnsi="Tahoma" w:cs="Tahoma"/>
        </w:rPr>
        <w:t xml:space="preserve"> la </w:t>
      </w:r>
      <w:r w:rsidR="006C746C" w:rsidRPr="006F03EB">
        <w:rPr>
          <w:rFonts w:ascii="Tahoma" w:hAnsi="Tahoma" w:cs="Tahoma"/>
          <w:b/>
        </w:rPr>
        <w:t xml:space="preserve">Administradora de Fondos de Pensiones y </w:t>
      </w:r>
      <w:r w:rsidR="00E800C9" w:rsidRPr="006F03EB">
        <w:rPr>
          <w:rFonts w:ascii="Tahoma" w:hAnsi="Tahoma" w:cs="Tahoma"/>
          <w:b/>
        </w:rPr>
        <w:t xml:space="preserve">Cesantías </w:t>
      </w:r>
      <w:r w:rsidR="006C746C" w:rsidRPr="006F03EB">
        <w:rPr>
          <w:rFonts w:ascii="Tahoma" w:hAnsi="Tahoma" w:cs="Tahoma"/>
          <w:b/>
        </w:rPr>
        <w:t>Protección S.A.</w:t>
      </w:r>
      <w:r w:rsidR="002304E9" w:rsidRPr="006F03EB">
        <w:rPr>
          <w:rFonts w:ascii="Tahoma" w:hAnsi="Tahoma" w:cs="Tahoma"/>
          <w:b/>
        </w:rPr>
        <w:t>.</w:t>
      </w:r>
    </w:p>
    <w:p w14:paraId="3E579DC0" w14:textId="77777777" w:rsidR="00404C5D" w:rsidRPr="006F03EB" w:rsidRDefault="00404C5D" w:rsidP="006F03EB">
      <w:pPr>
        <w:pStyle w:val="paragraph"/>
        <w:spacing w:before="0" w:beforeAutospacing="0" w:after="0" w:afterAutospacing="0" w:line="276" w:lineRule="auto"/>
        <w:jc w:val="center"/>
        <w:textAlignment w:val="baseline"/>
        <w:rPr>
          <w:rStyle w:val="normaltextrun"/>
          <w:rFonts w:ascii="Tahoma" w:hAnsi="Tahoma" w:cs="Tahoma"/>
          <w:b/>
        </w:rPr>
      </w:pPr>
    </w:p>
    <w:p w14:paraId="32FCA209" w14:textId="12115787" w:rsidR="00617E08" w:rsidRPr="006F03EB" w:rsidRDefault="00CC7065" w:rsidP="006F03EB">
      <w:pPr>
        <w:pStyle w:val="paragraph"/>
        <w:spacing w:before="0" w:beforeAutospacing="0" w:after="0" w:afterAutospacing="0" w:line="276" w:lineRule="auto"/>
        <w:jc w:val="center"/>
        <w:textAlignment w:val="baseline"/>
        <w:rPr>
          <w:rStyle w:val="normaltextrun"/>
          <w:rFonts w:ascii="Tahoma" w:hAnsi="Tahoma" w:cs="Tahoma"/>
          <w:b/>
        </w:rPr>
      </w:pPr>
      <w:r w:rsidRPr="006F03EB">
        <w:rPr>
          <w:rStyle w:val="normaltextrun"/>
          <w:rFonts w:ascii="Tahoma" w:hAnsi="Tahoma" w:cs="Tahoma"/>
          <w:b/>
        </w:rPr>
        <w:t>PUNTO A TRATAR</w:t>
      </w:r>
    </w:p>
    <w:p w14:paraId="408B3A0C" w14:textId="77777777" w:rsidR="00596F82" w:rsidRPr="006F03EB" w:rsidRDefault="00596F82" w:rsidP="006F03EB">
      <w:pPr>
        <w:spacing w:before="0" w:beforeAutospacing="0" w:after="0" w:afterAutospacing="0" w:line="276" w:lineRule="auto"/>
        <w:contextualSpacing/>
        <w:jc w:val="center"/>
        <w:rPr>
          <w:rStyle w:val="normaltextrun"/>
          <w:rFonts w:ascii="Tahoma" w:hAnsi="Tahoma" w:cs="Tahoma"/>
          <w:b/>
        </w:rPr>
      </w:pPr>
    </w:p>
    <w:p w14:paraId="06AA2758" w14:textId="53092EB8" w:rsidR="00415842" w:rsidRPr="006F03EB" w:rsidRDefault="00CC7065" w:rsidP="006F03EB">
      <w:pPr>
        <w:spacing w:before="0" w:beforeAutospacing="0" w:after="0" w:afterAutospacing="0" w:line="276" w:lineRule="auto"/>
        <w:ind w:firstLine="708"/>
        <w:rPr>
          <w:rStyle w:val="normaltextrun"/>
          <w:rFonts w:ascii="Tahoma" w:hAnsi="Tahoma" w:cs="Tahoma"/>
        </w:rPr>
      </w:pPr>
      <w:r w:rsidRPr="006F03EB">
        <w:rPr>
          <w:rStyle w:val="normaltextrun"/>
          <w:rFonts w:ascii="Tahoma" w:hAnsi="Tahoma" w:cs="Tahoma"/>
        </w:rPr>
        <w:t>Por medio de esta providencia procede la Sala a</w:t>
      </w:r>
      <w:r w:rsidRPr="006F03EB">
        <w:rPr>
          <w:rFonts w:ascii="Tahoma" w:hAnsi="Tahoma" w:cs="Tahoma"/>
        </w:rPr>
        <w:t xml:space="preserve"> resolver el </w:t>
      </w:r>
      <w:r w:rsidR="00E75BE4" w:rsidRPr="006F03EB">
        <w:rPr>
          <w:rFonts w:ascii="Tahoma" w:hAnsi="Tahoma" w:cs="Tahoma"/>
        </w:rPr>
        <w:t xml:space="preserve">grado jurisdiccional de consulta </w:t>
      </w:r>
      <w:r w:rsidR="00767097" w:rsidRPr="006F03EB">
        <w:rPr>
          <w:rFonts w:ascii="Tahoma" w:hAnsi="Tahoma" w:cs="Tahoma"/>
        </w:rPr>
        <w:t>dispuesta</w:t>
      </w:r>
      <w:r w:rsidR="00E75BE4" w:rsidRPr="006F03EB">
        <w:rPr>
          <w:rFonts w:ascii="Tahoma" w:hAnsi="Tahoma" w:cs="Tahoma"/>
        </w:rPr>
        <w:t xml:space="preserve"> en favor de la Administradora Colombiana de Pensiones</w:t>
      </w:r>
      <w:r w:rsidR="00D51575" w:rsidRPr="006F03EB">
        <w:rPr>
          <w:rFonts w:ascii="Tahoma" w:hAnsi="Tahoma" w:cs="Tahoma"/>
        </w:rPr>
        <w:t xml:space="preserve"> </w:t>
      </w:r>
      <w:r w:rsidR="00E75BE4" w:rsidRPr="006F03EB">
        <w:rPr>
          <w:rFonts w:ascii="Tahoma" w:hAnsi="Tahoma" w:cs="Tahoma"/>
        </w:rPr>
        <w:t>-Colpensiones</w:t>
      </w:r>
      <w:r w:rsidR="00D51575" w:rsidRPr="006F03EB">
        <w:rPr>
          <w:rFonts w:ascii="Tahoma" w:hAnsi="Tahoma" w:cs="Tahoma"/>
        </w:rPr>
        <w:t>-</w:t>
      </w:r>
      <w:r w:rsidR="00E75BE4" w:rsidRPr="006F03EB">
        <w:rPr>
          <w:rFonts w:ascii="Tahoma" w:hAnsi="Tahoma" w:cs="Tahoma"/>
        </w:rPr>
        <w:t xml:space="preserve"> </w:t>
      </w:r>
      <w:r w:rsidR="000B758F" w:rsidRPr="006F03EB">
        <w:rPr>
          <w:rFonts w:ascii="Tahoma" w:hAnsi="Tahoma" w:cs="Tahoma"/>
        </w:rPr>
        <w:t xml:space="preserve">y los recursos de apelación presentados por </w:t>
      </w:r>
      <w:r w:rsidR="00693DE0" w:rsidRPr="006F03EB">
        <w:rPr>
          <w:rFonts w:ascii="Tahoma" w:hAnsi="Tahoma" w:cs="Tahoma"/>
        </w:rPr>
        <w:t>las</w:t>
      </w:r>
      <w:r w:rsidR="000B758F" w:rsidRPr="006F03EB">
        <w:rPr>
          <w:rFonts w:ascii="Tahoma" w:hAnsi="Tahoma" w:cs="Tahoma"/>
        </w:rPr>
        <w:t xml:space="preserve"> </w:t>
      </w:r>
      <w:r w:rsidR="00C37DCA" w:rsidRPr="006F03EB">
        <w:rPr>
          <w:rFonts w:ascii="Tahoma" w:hAnsi="Tahoma" w:cs="Tahoma"/>
        </w:rPr>
        <w:t>co</w:t>
      </w:r>
      <w:r w:rsidR="000B758F" w:rsidRPr="006F03EB">
        <w:rPr>
          <w:rFonts w:ascii="Tahoma" w:hAnsi="Tahoma" w:cs="Tahoma"/>
        </w:rPr>
        <w:t>demandadas</w:t>
      </w:r>
      <w:r w:rsidR="00097ED5" w:rsidRPr="006F03EB">
        <w:rPr>
          <w:rFonts w:ascii="Tahoma" w:hAnsi="Tahoma" w:cs="Tahoma"/>
        </w:rPr>
        <w:t>,</w:t>
      </w:r>
      <w:r w:rsidR="000B758F" w:rsidRPr="006F03EB">
        <w:rPr>
          <w:rFonts w:ascii="Tahoma" w:hAnsi="Tahoma" w:cs="Tahoma"/>
        </w:rPr>
        <w:t xml:space="preserve"> en contra de </w:t>
      </w:r>
      <w:r w:rsidR="00E75BE4" w:rsidRPr="006F03EB">
        <w:rPr>
          <w:rFonts w:ascii="Tahoma" w:hAnsi="Tahoma" w:cs="Tahoma"/>
        </w:rPr>
        <w:t xml:space="preserve">la sentencia proferida el </w:t>
      </w:r>
      <w:r w:rsidR="006C746C" w:rsidRPr="006F03EB">
        <w:rPr>
          <w:rFonts w:ascii="Tahoma" w:hAnsi="Tahoma" w:cs="Tahoma"/>
        </w:rPr>
        <w:t>28 de junio de 2022</w:t>
      </w:r>
      <w:r w:rsidR="00E75BE4" w:rsidRPr="006F03EB">
        <w:rPr>
          <w:rFonts w:ascii="Tahoma" w:hAnsi="Tahoma" w:cs="Tahoma"/>
        </w:rPr>
        <w:t xml:space="preserve"> por el Juzgado </w:t>
      </w:r>
      <w:r w:rsidR="006C746C" w:rsidRPr="006F03EB">
        <w:rPr>
          <w:rFonts w:ascii="Tahoma" w:hAnsi="Tahoma" w:cs="Tahoma"/>
        </w:rPr>
        <w:t>Quinto</w:t>
      </w:r>
      <w:r w:rsidR="00693DE0" w:rsidRPr="006F03EB">
        <w:rPr>
          <w:rFonts w:ascii="Tahoma" w:hAnsi="Tahoma" w:cs="Tahoma"/>
        </w:rPr>
        <w:t xml:space="preserve"> </w:t>
      </w:r>
      <w:r w:rsidR="00E75BE4" w:rsidRPr="006F03EB">
        <w:rPr>
          <w:rFonts w:ascii="Tahoma" w:hAnsi="Tahoma" w:cs="Tahoma"/>
        </w:rPr>
        <w:t>Laboral del Circuito de Pereira</w:t>
      </w:r>
      <w:r w:rsidRPr="006F03EB">
        <w:rPr>
          <w:rFonts w:ascii="Tahoma" w:hAnsi="Tahoma" w:cs="Tahoma"/>
        </w:rPr>
        <w:t xml:space="preserve">. </w:t>
      </w:r>
      <w:r w:rsidRPr="006F03EB">
        <w:rPr>
          <w:rStyle w:val="normaltextrun"/>
          <w:rFonts w:ascii="Tahoma" w:hAnsi="Tahoma" w:cs="Tahoma"/>
        </w:rPr>
        <w:t>Para ello se tiene en cuenta lo siguiente: </w:t>
      </w:r>
    </w:p>
    <w:p w14:paraId="22521D24" w14:textId="71D4A4E6" w:rsidR="004778EC" w:rsidRDefault="004778EC" w:rsidP="006F03EB">
      <w:pPr>
        <w:spacing w:before="0" w:beforeAutospacing="0" w:after="0" w:afterAutospacing="0" w:line="276" w:lineRule="auto"/>
        <w:ind w:firstLine="708"/>
        <w:rPr>
          <w:rStyle w:val="normaltextrun"/>
          <w:rFonts w:ascii="Tahoma" w:hAnsi="Tahoma" w:cs="Tahoma"/>
        </w:rPr>
      </w:pPr>
    </w:p>
    <w:p w14:paraId="05C706AA" w14:textId="77777777" w:rsidR="005B351F" w:rsidRPr="006F03EB" w:rsidRDefault="005B351F" w:rsidP="006F03EB">
      <w:pPr>
        <w:spacing w:before="0" w:beforeAutospacing="0" w:after="0" w:afterAutospacing="0" w:line="276" w:lineRule="auto"/>
        <w:ind w:firstLine="708"/>
        <w:rPr>
          <w:rStyle w:val="normaltextrun"/>
          <w:rFonts w:ascii="Tahoma" w:hAnsi="Tahoma" w:cs="Tahoma"/>
        </w:rPr>
      </w:pPr>
    </w:p>
    <w:p w14:paraId="40C2E441" w14:textId="605EEB5E" w:rsidR="00415842" w:rsidRPr="006F03EB" w:rsidRDefault="005C136F" w:rsidP="006F03EB">
      <w:pPr>
        <w:pStyle w:val="Prrafodelista"/>
        <w:numPr>
          <w:ilvl w:val="0"/>
          <w:numId w:val="1"/>
        </w:numPr>
        <w:spacing w:line="276" w:lineRule="auto"/>
        <w:ind w:left="426" w:hanging="426"/>
        <w:jc w:val="center"/>
        <w:rPr>
          <w:rStyle w:val="normaltextrun"/>
          <w:rFonts w:cs="Tahoma"/>
          <w:b/>
          <w:bCs/>
          <w:szCs w:val="24"/>
        </w:rPr>
      </w:pPr>
      <w:r w:rsidRPr="006F03EB">
        <w:rPr>
          <w:rFonts w:cs="Tahoma"/>
          <w:b/>
          <w:bCs/>
          <w:szCs w:val="24"/>
        </w:rPr>
        <w:t xml:space="preserve">La </w:t>
      </w:r>
      <w:r w:rsidR="00415842" w:rsidRPr="006F03EB">
        <w:rPr>
          <w:rFonts w:cs="Tahoma"/>
          <w:b/>
          <w:bCs/>
          <w:szCs w:val="24"/>
        </w:rPr>
        <w:t xml:space="preserve">Demanda y </w:t>
      </w:r>
      <w:r w:rsidRPr="006F03EB">
        <w:rPr>
          <w:rFonts w:cs="Tahoma"/>
          <w:b/>
          <w:bCs/>
          <w:szCs w:val="24"/>
        </w:rPr>
        <w:t>la</w:t>
      </w:r>
      <w:r w:rsidR="00415842" w:rsidRPr="006F03EB">
        <w:rPr>
          <w:rFonts w:cs="Tahoma"/>
          <w:b/>
          <w:bCs/>
          <w:szCs w:val="24"/>
        </w:rPr>
        <w:t xml:space="preserve"> contestación</w:t>
      </w:r>
      <w:r w:rsidRPr="006F03EB">
        <w:rPr>
          <w:rFonts w:cs="Tahoma"/>
          <w:b/>
          <w:bCs/>
          <w:szCs w:val="24"/>
        </w:rPr>
        <w:t xml:space="preserve"> de la demanda</w:t>
      </w:r>
    </w:p>
    <w:p w14:paraId="417070AC" w14:textId="77777777" w:rsidR="00647E83" w:rsidRPr="006F03EB" w:rsidRDefault="00647E83" w:rsidP="006F03EB">
      <w:pPr>
        <w:spacing w:before="0" w:beforeAutospacing="0" w:after="0" w:afterAutospacing="0" w:line="276" w:lineRule="auto"/>
        <w:ind w:firstLine="708"/>
        <w:contextualSpacing/>
        <w:rPr>
          <w:rFonts w:ascii="Tahoma" w:eastAsia="Calibri" w:hAnsi="Tahoma" w:cs="Tahoma"/>
        </w:rPr>
      </w:pPr>
    </w:p>
    <w:p w14:paraId="4E8446E6" w14:textId="26DC26B1" w:rsidR="00721BFD" w:rsidRPr="006F03EB" w:rsidRDefault="00FD6841" w:rsidP="006F03EB">
      <w:pPr>
        <w:spacing w:before="0" w:beforeAutospacing="0" w:after="0" w:afterAutospacing="0" w:line="276" w:lineRule="auto"/>
        <w:rPr>
          <w:rFonts w:ascii="Tahoma" w:eastAsia="Times New Roman" w:hAnsi="Tahoma" w:cs="Tahoma"/>
          <w:lang w:eastAsia="es-MX"/>
        </w:rPr>
      </w:pPr>
      <w:r w:rsidRPr="006F03EB">
        <w:rPr>
          <w:rFonts w:ascii="Tahoma" w:eastAsia="Times New Roman" w:hAnsi="Tahoma" w:cs="Tahoma"/>
          <w:lang w:val="es-ES" w:eastAsia="es-MX"/>
        </w:rPr>
        <w:t xml:space="preserve">Pretende </w:t>
      </w:r>
      <w:r w:rsidR="00E14886" w:rsidRPr="006F03EB">
        <w:rPr>
          <w:rFonts w:ascii="Tahoma" w:eastAsia="Times New Roman" w:hAnsi="Tahoma" w:cs="Tahoma"/>
          <w:lang w:val="es-ES" w:eastAsia="es-MX"/>
        </w:rPr>
        <w:t>el</w:t>
      </w:r>
      <w:r w:rsidRPr="006F03EB">
        <w:rPr>
          <w:rFonts w:ascii="Tahoma" w:eastAsia="Times New Roman" w:hAnsi="Tahoma" w:cs="Tahoma"/>
          <w:lang w:val="es-ES" w:eastAsia="es-MX"/>
        </w:rPr>
        <w:t xml:space="preserve"> promotor del litigio que se declare </w:t>
      </w:r>
      <w:r w:rsidR="006C00B2" w:rsidRPr="006F03EB">
        <w:rPr>
          <w:rFonts w:ascii="Tahoma" w:eastAsia="Times New Roman" w:hAnsi="Tahoma" w:cs="Tahoma"/>
          <w:lang w:val="es-ES" w:eastAsia="es-MX"/>
        </w:rPr>
        <w:t xml:space="preserve">la </w:t>
      </w:r>
      <w:r w:rsidR="006A0D79" w:rsidRPr="006F03EB">
        <w:rPr>
          <w:rFonts w:ascii="Tahoma" w:eastAsia="Times New Roman" w:hAnsi="Tahoma" w:cs="Tahoma"/>
          <w:lang w:val="es-ES" w:eastAsia="es-MX"/>
        </w:rPr>
        <w:t>ineficacia</w:t>
      </w:r>
      <w:r w:rsidR="006C00B2" w:rsidRPr="006F03EB">
        <w:rPr>
          <w:rFonts w:ascii="Tahoma" w:eastAsia="Times New Roman" w:hAnsi="Tahoma" w:cs="Tahoma"/>
          <w:lang w:val="es-ES" w:eastAsia="es-MX"/>
        </w:rPr>
        <w:t xml:space="preserve"> de</w:t>
      </w:r>
      <w:r w:rsidR="003B2DE4" w:rsidRPr="006F03EB">
        <w:rPr>
          <w:rFonts w:ascii="Tahoma" w:eastAsia="Times New Roman" w:hAnsi="Tahoma" w:cs="Tahoma"/>
          <w:lang w:val="es-ES" w:eastAsia="es-MX"/>
        </w:rPr>
        <w:t xml:space="preserve">l traslado </w:t>
      </w:r>
      <w:r w:rsidR="006C00B2" w:rsidRPr="006F03EB">
        <w:rPr>
          <w:rFonts w:ascii="Tahoma" w:eastAsia="Times New Roman" w:hAnsi="Tahoma" w:cs="Tahoma"/>
          <w:lang w:val="es-ES" w:eastAsia="es-MX"/>
        </w:rPr>
        <w:t>del régimen de prima media con prestación definida (en adelante RPM) al régimen de ahorro individual con solidaridad (en adelante RAIS)</w:t>
      </w:r>
      <w:r w:rsidR="00E14886" w:rsidRPr="006F03EB">
        <w:rPr>
          <w:rFonts w:ascii="Tahoma" w:eastAsia="Times New Roman" w:hAnsi="Tahoma" w:cs="Tahoma"/>
          <w:lang w:val="es-ES" w:eastAsia="es-MX"/>
        </w:rPr>
        <w:t xml:space="preserve"> que realizó a través de </w:t>
      </w:r>
      <w:r w:rsidR="00CE4AC3" w:rsidRPr="006F03EB">
        <w:rPr>
          <w:rFonts w:ascii="Tahoma" w:eastAsia="Times New Roman" w:hAnsi="Tahoma" w:cs="Tahoma"/>
          <w:lang w:val="es-ES" w:eastAsia="es-MX"/>
        </w:rPr>
        <w:t>C</w:t>
      </w:r>
      <w:r w:rsidR="006C746C" w:rsidRPr="006F03EB">
        <w:rPr>
          <w:rFonts w:ascii="Tahoma" w:eastAsia="Times New Roman" w:hAnsi="Tahoma" w:cs="Tahoma"/>
          <w:lang w:val="es-ES" w:eastAsia="es-MX"/>
        </w:rPr>
        <w:t>OLMENA hoy PROTECCIÓN</w:t>
      </w:r>
      <w:r w:rsidR="00CE4AC3" w:rsidRPr="006F03EB">
        <w:rPr>
          <w:rFonts w:ascii="Tahoma" w:eastAsia="Times New Roman" w:hAnsi="Tahoma" w:cs="Tahoma"/>
          <w:lang w:val="es-ES" w:eastAsia="es-MX"/>
        </w:rPr>
        <w:t xml:space="preserve"> </w:t>
      </w:r>
      <w:r w:rsidR="00E14886" w:rsidRPr="006F03EB">
        <w:rPr>
          <w:rFonts w:ascii="Tahoma" w:eastAsia="Times New Roman" w:hAnsi="Tahoma" w:cs="Tahoma"/>
          <w:lang w:val="es-ES" w:eastAsia="es-MX"/>
        </w:rPr>
        <w:t>S.A.</w:t>
      </w:r>
      <w:r w:rsidR="00211C42" w:rsidRPr="006F03EB">
        <w:rPr>
          <w:rFonts w:ascii="Tahoma" w:eastAsia="Times New Roman" w:hAnsi="Tahoma" w:cs="Tahoma"/>
          <w:lang w:val="es-ES" w:eastAsia="es-MX"/>
        </w:rPr>
        <w:t>,</w:t>
      </w:r>
      <w:r w:rsidR="00367B8E" w:rsidRPr="006F03EB">
        <w:rPr>
          <w:rFonts w:ascii="Tahoma" w:eastAsia="Times New Roman" w:hAnsi="Tahoma" w:cs="Tahoma"/>
          <w:lang w:val="es-ES" w:eastAsia="es-MX"/>
        </w:rPr>
        <w:t xml:space="preserve"> </w:t>
      </w:r>
      <w:r w:rsidR="00EA43DA" w:rsidRPr="006F03EB">
        <w:rPr>
          <w:rFonts w:ascii="Tahoma" w:eastAsia="Times New Roman" w:hAnsi="Tahoma" w:cs="Tahoma"/>
          <w:lang w:val="es-ES" w:eastAsia="es-MX"/>
        </w:rPr>
        <w:t xml:space="preserve">y en </w:t>
      </w:r>
      <w:r w:rsidR="00721BFD" w:rsidRPr="006F03EB">
        <w:rPr>
          <w:rFonts w:ascii="Tahoma" w:eastAsia="Times New Roman" w:hAnsi="Tahoma" w:cs="Tahoma"/>
          <w:lang w:val="es-ES" w:eastAsia="es-MX"/>
        </w:rPr>
        <w:t>consecuencia</w:t>
      </w:r>
      <w:r w:rsidR="00EA43DA" w:rsidRPr="006F03EB">
        <w:rPr>
          <w:rFonts w:ascii="Tahoma" w:eastAsia="Times New Roman" w:hAnsi="Tahoma" w:cs="Tahoma"/>
          <w:lang w:val="es-ES" w:eastAsia="es-MX"/>
        </w:rPr>
        <w:t xml:space="preserve"> se conden</w:t>
      </w:r>
      <w:r w:rsidR="005C136F" w:rsidRPr="006F03EB">
        <w:rPr>
          <w:rFonts w:ascii="Tahoma" w:eastAsia="Times New Roman" w:hAnsi="Tahoma" w:cs="Tahoma"/>
          <w:lang w:val="es-ES" w:eastAsia="es-MX"/>
        </w:rPr>
        <w:t>e</w:t>
      </w:r>
      <w:r w:rsidR="00EA43DA" w:rsidRPr="006F03EB">
        <w:rPr>
          <w:rFonts w:ascii="Tahoma" w:eastAsia="Times New Roman" w:hAnsi="Tahoma" w:cs="Tahoma"/>
          <w:lang w:val="es-ES" w:eastAsia="es-MX"/>
        </w:rPr>
        <w:t xml:space="preserve"> a</w:t>
      </w:r>
      <w:r w:rsidR="002D0B5A" w:rsidRPr="006F03EB">
        <w:rPr>
          <w:rFonts w:ascii="Tahoma" w:eastAsia="Times New Roman" w:hAnsi="Tahoma" w:cs="Tahoma"/>
          <w:lang w:val="es-ES" w:eastAsia="es-MX"/>
        </w:rPr>
        <w:t xml:space="preserve"> </w:t>
      </w:r>
      <w:r w:rsidR="00E14886" w:rsidRPr="006F03EB">
        <w:rPr>
          <w:rFonts w:ascii="Tahoma" w:eastAsia="Times New Roman" w:hAnsi="Tahoma" w:cs="Tahoma"/>
          <w:lang w:val="es-ES" w:eastAsia="es-MX"/>
        </w:rPr>
        <w:t>esta AFP</w:t>
      </w:r>
      <w:r w:rsidR="00444A33" w:rsidRPr="006F03EB">
        <w:rPr>
          <w:rFonts w:ascii="Tahoma" w:eastAsia="Times New Roman" w:hAnsi="Tahoma" w:cs="Tahoma"/>
          <w:lang w:eastAsia="es-MX"/>
        </w:rPr>
        <w:t>, a liberarl</w:t>
      </w:r>
      <w:r w:rsidR="00E14886" w:rsidRPr="006F03EB">
        <w:rPr>
          <w:rFonts w:ascii="Tahoma" w:eastAsia="Times New Roman" w:hAnsi="Tahoma" w:cs="Tahoma"/>
          <w:lang w:eastAsia="es-MX"/>
        </w:rPr>
        <w:t>o</w:t>
      </w:r>
      <w:r w:rsidR="00444A33" w:rsidRPr="006F03EB">
        <w:rPr>
          <w:rFonts w:ascii="Tahoma" w:eastAsia="Times New Roman" w:hAnsi="Tahoma" w:cs="Tahoma"/>
          <w:lang w:eastAsia="es-MX"/>
        </w:rPr>
        <w:t xml:space="preserve"> de sus bases de datos y a trasladarle sus cotizaciones a COLPENSIONES</w:t>
      </w:r>
      <w:r w:rsidR="002D0B5A" w:rsidRPr="006F03EB">
        <w:rPr>
          <w:rFonts w:ascii="Tahoma" w:eastAsia="Times New Roman" w:hAnsi="Tahoma" w:cs="Tahoma"/>
          <w:lang w:eastAsia="es-MX"/>
        </w:rPr>
        <w:t>, así como a</w:t>
      </w:r>
      <w:r w:rsidR="00444A33" w:rsidRPr="006F03EB">
        <w:rPr>
          <w:rFonts w:ascii="Tahoma" w:eastAsia="Times New Roman" w:hAnsi="Tahoma" w:cs="Tahoma"/>
          <w:lang w:eastAsia="es-MX"/>
        </w:rPr>
        <w:t xml:space="preserve"> esta última a recibirl</w:t>
      </w:r>
      <w:r w:rsidR="00E14886" w:rsidRPr="006F03EB">
        <w:rPr>
          <w:rFonts w:ascii="Tahoma" w:eastAsia="Times New Roman" w:hAnsi="Tahoma" w:cs="Tahoma"/>
          <w:lang w:eastAsia="es-MX"/>
        </w:rPr>
        <w:t>o</w:t>
      </w:r>
      <w:r w:rsidR="00444A33" w:rsidRPr="006F03EB">
        <w:rPr>
          <w:rFonts w:ascii="Tahoma" w:eastAsia="Times New Roman" w:hAnsi="Tahoma" w:cs="Tahoma"/>
          <w:lang w:eastAsia="es-MX"/>
        </w:rPr>
        <w:t xml:space="preserve"> nuevamente como afiliad</w:t>
      </w:r>
      <w:r w:rsidR="00E14886" w:rsidRPr="006F03EB">
        <w:rPr>
          <w:rFonts w:ascii="Tahoma" w:eastAsia="Times New Roman" w:hAnsi="Tahoma" w:cs="Tahoma"/>
          <w:lang w:eastAsia="es-MX"/>
        </w:rPr>
        <w:t>o</w:t>
      </w:r>
      <w:r w:rsidR="00444A33" w:rsidRPr="006F03EB">
        <w:rPr>
          <w:rFonts w:ascii="Tahoma" w:eastAsia="Times New Roman" w:hAnsi="Tahoma" w:cs="Tahoma"/>
          <w:lang w:eastAsia="es-MX"/>
        </w:rPr>
        <w:t xml:space="preserve"> cotizante.</w:t>
      </w:r>
    </w:p>
    <w:p w14:paraId="0B2055D5" w14:textId="77777777" w:rsidR="006C00B2" w:rsidRPr="006F03EB" w:rsidRDefault="006C00B2" w:rsidP="006F03EB">
      <w:pPr>
        <w:spacing w:before="0" w:beforeAutospacing="0" w:after="0" w:afterAutospacing="0" w:line="276" w:lineRule="auto"/>
        <w:ind w:firstLine="0"/>
        <w:rPr>
          <w:rFonts w:ascii="Tahoma" w:eastAsia="Times New Roman" w:hAnsi="Tahoma" w:cs="Tahoma"/>
          <w:lang w:val="es-ES" w:eastAsia="es-MX"/>
        </w:rPr>
      </w:pPr>
    </w:p>
    <w:p w14:paraId="657E8646" w14:textId="457EBBCC" w:rsidR="002D0B5A" w:rsidRPr="006F03EB" w:rsidRDefault="006C00B2" w:rsidP="006F03EB">
      <w:pPr>
        <w:spacing w:before="0" w:beforeAutospacing="0" w:after="0" w:afterAutospacing="0" w:line="276" w:lineRule="auto"/>
        <w:ind w:firstLine="708"/>
        <w:rPr>
          <w:rFonts w:ascii="Tahoma" w:eastAsia="Times New Roman" w:hAnsi="Tahoma" w:cs="Tahoma"/>
          <w:lang w:val="es-ES" w:eastAsia="es-MX"/>
        </w:rPr>
      </w:pPr>
      <w:r w:rsidRPr="006F03EB">
        <w:rPr>
          <w:rFonts w:ascii="Tahoma" w:eastAsia="Times New Roman" w:hAnsi="Tahoma" w:cs="Tahoma"/>
          <w:lang w:val="es-ES" w:eastAsia="es-MX"/>
        </w:rPr>
        <w:t>En sustento de lo pretendido, relata</w:t>
      </w:r>
      <w:r w:rsidR="002D0B5A" w:rsidRPr="006F03EB">
        <w:rPr>
          <w:rFonts w:ascii="Tahoma" w:eastAsia="Times New Roman" w:hAnsi="Tahoma" w:cs="Tahoma"/>
          <w:lang w:val="es-ES" w:eastAsia="es-MX"/>
        </w:rPr>
        <w:t>, en síntesis,</w:t>
      </w:r>
      <w:r w:rsidRPr="006F03EB">
        <w:rPr>
          <w:rFonts w:ascii="Tahoma" w:eastAsia="Times New Roman" w:hAnsi="Tahoma" w:cs="Tahoma"/>
          <w:lang w:val="es-ES" w:eastAsia="es-MX"/>
        </w:rPr>
        <w:t xml:space="preserve"> </w:t>
      </w:r>
      <w:r w:rsidR="00444A33" w:rsidRPr="006F03EB">
        <w:rPr>
          <w:rFonts w:ascii="Tahoma" w:eastAsia="Times New Roman" w:hAnsi="Tahoma" w:cs="Tahoma"/>
          <w:lang w:val="es-ES" w:eastAsia="es-MX"/>
        </w:rPr>
        <w:t xml:space="preserve">que nació el </w:t>
      </w:r>
      <w:r w:rsidR="006C746C" w:rsidRPr="006F03EB">
        <w:rPr>
          <w:rFonts w:ascii="Tahoma" w:eastAsia="Times New Roman" w:hAnsi="Tahoma" w:cs="Tahoma"/>
          <w:lang w:val="es-ES" w:eastAsia="es-MX"/>
        </w:rPr>
        <w:t>02 de septiembre de 1964</w:t>
      </w:r>
      <w:r w:rsidR="00444A33" w:rsidRPr="006F03EB">
        <w:rPr>
          <w:rFonts w:ascii="Tahoma" w:eastAsia="Times New Roman" w:hAnsi="Tahoma" w:cs="Tahoma"/>
          <w:lang w:val="es-ES" w:eastAsia="es-MX"/>
        </w:rPr>
        <w:t xml:space="preserve">; que se afilió por primera vez al </w:t>
      </w:r>
      <w:r w:rsidR="00765D43" w:rsidRPr="006F03EB">
        <w:rPr>
          <w:rFonts w:ascii="Tahoma" w:eastAsia="Times New Roman" w:hAnsi="Tahoma" w:cs="Tahoma"/>
          <w:lang w:val="es-ES" w:eastAsia="es-MX"/>
        </w:rPr>
        <w:t xml:space="preserve">régimen de prima media con prestación definida </w:t>
      </w:r>
      <w:r w:rsidR="00444A33" w:rsidRPr="006F03EB">
        <w:rPr>
          <w:rFonts w:ascii="Tahoma" w:eastAsia="Times New Roman" w:hAnsi="Tahoma" w:cs="Tahoma"/>
          <w:lang w:val="es-ES" w:eastAsia="es-MX"/>
        </w:rPr>
        <w:t>e</w:t>
      </w:r>
      <w:r w:rsidR="00765D43" w:rsidRPr="006F03EB">
        <w:rPr>
          <w:rFonts w:ascii="Tahoma" w:eastAsia="Times New Roman" w:hAnsi="Tahoma" w:cs="Tahoma"/>
          <w:lang w:val="es-ES" w:eastAsia="es-MX"/>
        </w:rPr>
        <w:t xml:space="preserve">n </w:t>
      </w:r>
      <w:r w:rsidR="006C746C" w:rsidRPr="006F03EB">
        <w:rPr>
          <w:rFonts w:ascii="Tahoma" w:eastAsia="Times New Roman" w:hAnsi="Tahoma" w:cs="Tahoma"/>
          <w:lang w:val="es-ES" w:eastAsia="es-MX"/>
        </w:rPr>
        <w:t>mayo de 1982</w:t>
      </w:r>
      <w:r w:rsidR="00444A33" w:rsidRPr="006F03EB">
        <w:rPr>
          <w:rFonts w:ascii="Tahoma" w:eastAsia="Times New Roman" w:hAnsi="Tahoma" w:cs="Tahoma"/>
          <w:lang w:val="es-ES" w:eastAsia="es-MX"/>
        </w:rPr>
        <w:t xml:space="preserve">, donde registró cotizaciones hasta </w:t>
      </w:r>
      <w:r w:rsidR="006C746C" w:rsidRPr="006F03EB">
        <w:rPr>
          <w:rFonts w:ascii="Tahoma" w:eastAsia="Times New Roman" w:hAnsi="Tahoma" w:cs="Tahoma"/>
          <w:lang w:val="es-ES" w:eastAsia="es-MX"/>
        </w:rPr>
        <w:t>octubre de 1994</w:t>
      </w:r>
      <w:r w:rsidR="00E8567A" w:rsidRPr="006F03EB">
        <w:rPr>
          <w:rFonts w:ascii="Tahoma" w:eastAsia="Times New Roman" w:hAnsi="Tahoma" w:cs="Tahoma"/>
          <w:lang w:val="es-ES" w:eastAsia="es-MX"/>
        </w:rPr>
        <w:t xml:space="preserve">, </w:t>
      </w:r>
      <w:r w:rsidR="002B2FEF" w:rsidRPr="006F03EB">
        <w:rPr>
          <w:rFonts w:ascii="Tahoma" w:eastAsia="Times New Roman" w:hAnsi="Tahoma" w:cs="Tahoma"/>
          <w:lang w:val="es-ES" w:eastAsia="es-MX"/>
        </w:rPr>
        <w:t xml:space="preserve">dado que el </w:t>
      </w:r>
      <w:r w:rsidR="006C746C" w:rsidRPr="006F03EB">
        <w:rPr>
          <w:rFonts w:ascii="Tahoma" w:eastAsia="Times New Roman" w:hAnsi="Tahoma" w:cs="Tahoma"/>
          <w:lang w:val="es-ES" w:eastAsia="es-MX"/>
        </w:rPr>
        <w:t>21 de octubre de 1994</w:t>
      </w:r>
      <w:r w:rsidR="002B2FEF" w:rsidRPr="006F03EB">
        <w:rPr>
          <w:rFonts w:ascii="Tahoma" w:eastAsia="Times New Roman" w:hAnsi="Tahoma" w:cs="Tahoma"/>
          <w:lang w:val="es-ES" w:eastAsia="es-MX"/>
        </w:rPr>
        <w:t xml:space="preserve"> </w:t>
      </w:r>
      <w:r w:rsidR="00E8567A" w:rsidRPr="006F03EB">
        <w:rPr>
          <w:rFonts w:ascii="Tahoma" w:eastAsia="Times New Roman" w:hAnsi="Tahoma" w:cs="Tahoma"/>
          <w:lang w:val="es-ES" w:eastAsia="es-MX"/>
        </w:rPr>
        <w:t>suscribió formulario de afiliación a la AFP</w:t>
      </w:r>
      <w:r w:rsidR="002D0B5A" w:rsidRPr="006F03EB">
        <w:rPr>
          <w:rFonts w:ascii="Tahoma" w:eastAsia="Times New Roman" w:hAnsi="Tahoma" w:cs="Tahoma"/>
          <w:lang w:val="es-ES" w:eastAsia="es-MX"/>
        </w:rPr>
        <w:t xml:space="preserve"> </w:t>
      </w:r>
      <w:r w:rsidR="006C746C" w:rsidRPr="006F03EB">
        <w:rPr>
          <w:rFonts w:ascii="Tahoma" w:eastAsia="Times New Roman" w:hAnsi="Tahoma" w:cs="Tahoma"/>
          <w:lang w:val="es-ES" w:eastAsia="es-MX"/>
        </w:rPr>
        <w:t>COLMENA hoy PROTECCIÓN S.A</w:t>
      </w:r>
      <w:r w:rsidR="006A0D79" w:rsidRPr="006F03EB">
        <w:rPr>
          <w:rFonts w:ascii="Tahoma" w:eastAsia="Times New Roman" w:hAnsi="Tahoma" w:cs="Tahoma"/>
          <w:lang w:val="es-ES" w:eastAsia="es-MX"/>
        </w:rPr>
        <w:t>.</w:t>
      </w:r>
      <w:r w:rsidR="00E8567A" w:rsidRPr="006F03EB">
        <w:rPr>
          <w:rFonts w:ascii="Tahoma" w:eastAsia="Times New Roman" w:hAnsi="Tahoma" w:cs="Tahoma"/>
          <w:lang w:val="es-ES" w:eastAsia="es-MX"/>
        </w:rPr>
        <w:t>, bajo la promesa de que allí se le reconocería una pensión más alta, a menor edad, o la devolución del saldo de su cuenta de ahorro individual, incluido el valor del bono pensional</w:t>
      </w:r>
      <w:r w:rsidR="006C746C" w:rsidRPr="006F03EB">
        <w:rPr>
          <w:rFonts w:ascii="Tahoma" w:eastAsia="Times New Roman" w:hAnsi="Tahoma" w:cs="Tahoma"/>
          <w:lang w:val="es-ES" w:eastAsia="es-MX"/>
        </w:rPr>
        <w:t xml:space="preserve"> y que, adicionalmente, el ISS estaba próximo a desaparecer y, de no trasladarse, podría perder sus aportes</w:t>
      </w:r>
      <w:r w:rsidR="00AB6641" w:rsidRPr="006F03EB">
        <w:rPr>
          <w:rFonts w:ascii="Tahoma" w:eastAsia="Times New Roman" w:hAnsi="Tahoma" w:cs="Tahoma"/>
          <w:lang w:val="es-ES" w:eastAsia="es-MX"/>
        </w:rPr>
        <w:t>.</w:t>
      </w:r>
    </w:p>
    <w:p w14:paraId="7DACAF21" w14:textId="77777777" w:rsidR="002D0B5A" w:rsidRPr="006F03EB" w:rsidRDefault="002D0B5A" w:rsidP="006F03EB">
      <w:pPr>
        <w:spacing w:before="0" w:beforeAutospacing="0" w:after="0" w:afterAutospacing="0" w:line="276" w:lineRule="auto"/>
        <w:ind w:firstLine="708"/>
        <w:rPr>
          <w:rFonts w:ascii="Tahoma" w:eastAsia="Times New Roman" w:hAnsi="Tahoma" w:cs="Tahoma"/>
          <w:lang w:val="es-ES" w:eastAsia="es-MX"/>
        </w:rPr>
      </w:pPr>
    </w:p>
    <w:p w14:paraId="102B2C15" w14:textId="29DA4849" w:rsidR="00B76768" w:rsidRPr="006F03EB" w:rsidRDefault="00B469DC" w:rsidP="006F03EB">
      <w:pPr>
        <w:spacing w:before="0" w:beforeAutospacing="0" w:after="0" w:afterAutospacing="0" w:line="276" w:lineRule="auto"/>
        <w:ind w:firstLine="708"/>
        <w:rPr>
          <w:rFonts w:ascii="Tahoma" w:eastAsia="Times New Roman" w:hAnsi="Tahoma" w:cs="Tahoma"/>
          <w:lang w:val="es-ES" w:eastAsia="es-MX"/>
        </w:rPr>
      </w:pPr>
      <w:r w:rsidRPr="006F03EB">
        <w:rPr>
          <w:rFonts w:ascii="Tahoma" w:eastAsia="Times New Roman" w:hAnsi="Tahoma" w:cs="Tahoma"/>
          <w:lang w:val="es-ES" w:eastAsia="es-MX"/>
        </w:rPr>
        <w:t xml:space="preserve">Agrega que el </w:t>
      </w:r>
      <w:r w:rsidR="006C746C" w:rsidRPr="006F03EB">
        <w:rPr>
          <w:rFonts w:ascii="Tahoma" w:eastAsia="Times New Roman" w:hAnsi="Tahoma" w:cs="Tahoma"/>
          <w:lang w:val="es-ES" w:eastAsia="es-MX"/>
        </w:rPr>
        <w:t>04 de enero de 2021</w:t>
      </w:r>
      <w:r w:rsidR="00AB6641" w:rsidRPr="006F03EB">
        <w:rPr>
          <w:rFonts w:ascii="Tahoma" w:eastAsia="Times New Roman" w:hAnsi="Tahoma" w:cs="Tahoma"/>
          <w:lang w:val="es-ES" w:eastAsia="es-MX"/>
        </w:rPr>
        <w:t xml:space="preserve">, COLPENSIONES le negó la solicitud de traslado, argumentando que no era procedente darle trámite, por cuanto la información consultada indicaba que se encontraba a diez o menos años del requisito de tiempo para pensionarse. </w:t>
      </w:r>
      <w:r w:rsidR="0077100F" w:rsidRPr="006F03EB">
        <w:rPr>
          <w:rFonts w:ascii="Tahoma" w:eastAsia="Times New Roman" w:hAnsi="Tahoma" w:cs="Tahoma"/>
          <w:lang w:val="es-ES" w:eastAsia="es-MX"/>
        </w:rPr>
        <w:t xml:space="preserve"> </w:t>
      </w:r>
    </w:p>
    <w:p w14:paraId="17723503" w14:textId="052BC517" w:rsidR="005E14A1" w:rsidRPr="006F03EB" w:rsidRDefault="005E14A1" w:rsidP="006F03EB">
      <w:pPr>
        <w:spacing w:before="0" w:beforeAutospacing="0" w:after="0" w:afterAutospacing="0" w:line="276" w:lineRule="auto"/>
        <w:ind w:firstLine="0"/>
        <w:rPr>
          <w:rFonts w:ascii="Tahoma" w:eastAsia="Times New Roman" w:hAnsi="Tahoma" w:cs="Tahoma"/>
          <w:i/>
          <w:iCs/>
          <w:lang w:val="es-ES" w:eastAsia="es-MX"/>
        </w:rPr>
      </w:pPr>
    </w:p>
    <w:p w14:paraId="622B7F8D" w14:textId="36BFDC66" w:rsidR="00C6437B" w:rsidRPr="006F03EB" w:rsidRDefault="004446D7" w:rsidP="006F03EB">
      <w:pPr>
        <w:spacing w:before="0" w:beforeAutospacing="0" w:after="0" w:afterAutospacing="0" w:line="276" w:lineRule="auto"/>
        <w:ind w:firstLine="708"/>
        <w:rPr>
          <w:rFonts w:ascii="Tahoma" w:eastAsia="Times New Roman" w:hAnsi="Tahoma" w:cs="Tahoma"/>
          <w:lang w:val="es-ES" w:eastAsia="es-MX"/>
        </w:rPr>
      </w:pPr>
      <w:r w:rsidRPr="006F03EB">
        <w:rPr>
          <w:rFonts w:ascii="Tahoma" w:eastAsia="Times New Roman" w:hAnsi="Tahoma" w:cs="Tahoma"/>
          <w:lang w:val="es-ES" w:eastAsia="es-MX"/>
        </w:rPr>
        <w:lastRenderedPageBreak/>
        <w:t>La</w:t>
      </w:r>
      <w:r w:rsidRPr="006F03EB">
        <w:rPr>
          <w:rFonts w:ascii="Tahoma" w:eastAsia="Times New Roman" w:hAnsi="Tahoma" w:cs="Tahoma"/>
          <w:b/>
          <w:bCs/>
          <w:lang w:val="es-ES" w:eastAsia="es-MX"/>
        </w:rPr>
        <w:t xml:space="preserve"> Administradora Colombiana de Pensiones -Colpensiones-</w:t>
      </w:r>
      <w:r w:rsidRPr="006F03EB">
        <w:rPr>
          <w:rFonts w:ascii="Tahoma" w:eastAsia="Times New Roman" w:hAnsi="Tahoma" w:cs="Tahoma"/>
          <w:lang w:val="es-ES" w:eastAsia="es-MX"/>
        </w:rPr>
        <w:t xml:space="preserve"> se opuso a la prosperidad de las pretensiones, señalando que </w:t>
      </w:r>
      <w:r w:rsidR="00C6437B" w:rsidRPr="006F03EB">
        <w:rPr>
          <w:rFonts w:ascii="Tahoma" w:eastAsia="Times New Roman" w:hAnsi="Tahoma" w:cs="Tahoma"/>
          <w:lang w:val="es-ES" w:eastAsia="es-MX"/>
        </w:rPr>
        <w:t xml:space="preserve">si bien el demandante estuvo afiliado al RPM, al suscribir el formulario de afiliación a COLMENA el 21 de octubre de 1994, la escogencia de régimen pensional la realizó de conformidad con el art. 13 de la ley 100 de 1993, al tomar la decisión libre y espontanea de acogerse al RAIS, por lo que es él quien debe acreditar que la información suministrada fue equivocada o engañosa, debido a que su voluntad ha sido por 26 años permanecer en dicho régimen. De acuerdo a ello formuló las excepciones de fondo que denominó: “validez de la afiliación al RAIS”, “saneamiento de una presunta nulidad”, “solicitud de traslado de dineros de gastos de administración”, “prescripción”, “imposibilidad jurídica para reconocer y pagar derechos por fuera del ordenamiento legal”, “buena fe”, “imposibilidad de condena en costas” y “declaratoria de otras excepciones”. </w:t>
      </w:r>
    </w:p>
    <w:p w14:paraId="39C94088" w14:textId="77777777" w:rsidR="00C6437B" w:rsidRPr="006F03EB" w:rsidRDefault="00C6437B" w:rsidP="006F03EB">
      <w:pPr>
        <w:spacing w:before="0" w:beforeAutospacing="0" w:after="0" w:afterAutospacing="0" w:line="276" w:lineRule="auto"/>
        <w:ind w:firstLine="708"/>
        <w:rPr>
          <w:rFonts w:ascii="Tahoma" w:eastAsia="Times New Roman" w:hAnsi="Tahoma" w:cs="Tahoma"/>
          <w:lang w:val="es-ES" w:eastAsia="es-MX"/>
        </w:rPr>
      </w:pPr>
      <w:r w:rsidRPr="006F03EB">
        <w:rPr>
          <w:rFonts w:ascii="Tahoma" w:eastAsia="Times New Roman" w:hAnsi="Tahoma" w:cs="Tahoma"/>
          <w:lang w:val="es-ES" w:eastAsia="es-MX"/>
        </w:rPr>
        <w:t xml:space="preserve"> </w:t>
      </w:r>
    </w:p>
    <w:p w14:paraId="64E6C1FD" w14:textId="5A2C5EE6" w:rsidR="008F4A6D" w:rsidRPr="006F03EB" w:rsidRDefault="004446D7" w:rsidP="006F03EB">
      <w:pPr>
        <w:spacing w:before="0" w:beforeAutospacing="0" w:after="0" w:afterAutospacing="0" w:line="276" w:lineRule="auto"/>
        <w:ind w:firstLine="708"/>
        <w:contextualSpacing/>
        <w:rPr>
          <w:rFonts w:ascii="Tahoma" w:eastAsia="Times New Roman" w:hAnsi="Tahoma" w:cs="Tahoma"/>
          <w:lang w:val="es-ES" w:eastAsia="es-MX"/>
        </w:rPr>
      </w:pPr>
      <w:r w:rsidRPr="006F03EB">
        <w:rPr>
          <w:rFonts w:ascii="Tahoma" w:eastAsia="Calibri" w:hAnsi="Tahoma" w:cs="Tahoma"/>
        </w:rPr>
        <w:t>Por su parte, l</w:t>
      </w:r>
      <w:r w:rsidR="00981BC3" w:rsidRPr="006F03EB">
        <w:rPr>
          <w:rFonts w:ascii="Tahoma" w:eastAsia="Calibri" w:hAnsi="Tahoma" w:cs="Tahoma"/>
        </w:rPr>
        <w:t>a</w:t>
      </w:r>
      <w:r w:rsidR="00981BC3" w:rsidRPr="006F03EB">
        <w:rPr>
          <w:rFonts w:ascii="Tahoma" w:eastAsia="Calibri" w:hAnsi="Tahoma" w:cs="Tahoma"/>
          <w:b/>
        </w:rPr>
        <w:t xml:space="preserve"> </w:t>
      </w:r>
      <w:r w:rsidR="00C6437B" w:rsidRPr="006F03EB">
        <w:rPr>
          <w:rFonts w:ascii="Tahoma" w:eastAsia="Calibri" w:hAnsi="Tahoma" w:cs="Tahoma"/>
          <w:b/>
        </w:rPr>
        <w:t xml:space="preserve">Administradora de </w:t>
      </w:r>
      <w:r w:rsidR="005B53CA" w:rsidRPr="006F03EB">
        <w:rPr>
          <w:rFonts w:ascii="Tahoma" w:eastAsia="Calibri" w:hAnsi="Tahoma" w:cs="Tahoma"/>
          <w:b/>
        </w:rPr>
        <w:t>Fondos de Pensiones y Cesantías Protección S.A.</w:t>
      </w:r>
      <w:r w:rsidR="008D2E27" w:rsidRPr="006F03EB">
        <w:rPr>
          <w:rFonts w:ascii="Tahoma" w:hAnsi="Tahoma" w:cs="Tahoma"/>
          <w:b/>
          <w:caps/>
        </w:rPr>
        <w:t xml:space="preserve">, </w:t>
      </w:r>
      <w:r w:rsidR="008D2E27" w:rsidRPr="006F03EB">
        <w:rPr>
          <w:rFonts w:ascii="Tahoma" w:hAnsi="Tahoma" w:cs="Tahoma"/>
        </w:rPr>
        <w:t xml:space="preserve">argumentó que </w:t>
      </w:r>
      <w:r w:rsidR="005B53CA" w:rsidRPr="006F03EB">
        <w:rPr>
          <w:rFonts w:ascii="Tahoma" w:eastAsia="Times New Roman" w:hAnsi="Tahoma" w:cs="Tahoma"/>
          <w:lang w:val="es-ES" w:eastAsia="es-MX"/>
        </w:rPr>
        <w:t>en el contrato de afiliación no se dio error de hecho, puesto que la entidad en su momento no promovió el traslado con información oscura o subterfugios, contrario a lo cual, el accionante tuvo la firme intención de trasladarse sin reparo alguno. En ese orden, formuló las excepciones que denominó “genérica o innominada” “prescripción”,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 y “excepción de mérito cuotas de administración”.</w:t>
      </w:r>
    </w:p>
    <w:p w14:paraId="73417DFC" w14:textId="4334AED1" w:rsidR="005B53CA" w:rsidRPr="006F03EB" w:rsidRDefault="005B53CA" w:rsidP="006F03EB">
      <w:pPr>
        <w:spacing w:before="0" w:beforeAutospacing="0" w:after="0" w:afterAutospacing="0" w:line="276" w:lineRule="auto"/>
        <w:ind w:firstLine="708"/>
        <w:contextualSpacing/>
        <w:rPr>
          <w:rFonts w:ascii="Tahoma" w:eastAsia="Times New Roman" w:hAnsi="Tahoma" w:cs="Tahoma"/>
          <w:i/>
          <w:lang w:eastAsia="es-MX"/>
        </w:rPr>
      </w:pPr>
    </w:p>
    <w:p w14:paraId="57235F5E" w14:textId="77777777" w:rsidR="004778EC" w:rsidRPr="006F03EB" w:rsidRDefault="004778EC" w:rsidP="006F03EB">
      <w:pPr>
        <w:spacing w:before="0" w:beforeAutospacing="0" w:after="0" w:afterAutospacing="0" w:line="276" w:lineRule="auto"/>
        <w:ind w:firstLine="708"/>
        <w:contextualSpacing/>
        <w:rPr>
          <w:rFonts w:ascii="Tahoma" w:eastAsia="Times New Roman" w:hAnsi="Tahoma" w:cs="Tahoma"/>
          <w:i/>
          <w:lang w:eastAsia="es-MX"/>
        </w:rPr>
      </w:pPr>
    </w:p>
    <w:p w14:paraId="11AD750A" w14:textId="1FAEA9C1" w:rsidR="00286FED" w:rsidRPr="006F03EB" w:rsidRDefault="00DC4FE9" w:rsidP="006F03EB">
      <w:pPr>
        <w:pStyle w:val="Prrafodelista"/>
        <w:numPr>
          <w:ilvl w:val="0"/>
          <w:numId w:val="1"/>
        </w:numPr>
        <w:spacing w:line="276" w:lineRule="auto"/>
        <w:ind w:left="426" w:hanging="426"/>
        <w:jc w:val="center"/>
        <w:rPr>
          <w:rFonts w:cs="Tahoma"/>
          <w:b/>
          <w:bCs/>
          <w:szCs w:val="24"/>
        </w:rPr>
      </w:pPr>
      <w:r w:rsidRPr="006F03EB">
        <w:rPr>
          <w:rFonts w:cs="Tahoma"/>
          <w:b/>
          <w:bCs/>
          <w:szCs w:val="24"/>
        </w:rPr>
        <w:t>Sentencia de primera instancia</w:t>
      </w:r>
    </w:p>
    <w:p w14:paraId="0AB30D49" w14:textId="77777777" w:rsidR="00404C5D" w:rsidRPr="006F03EB" w:rsidRDefault="00404C5D" w:rsidP="006F03EB">
      <w:pPr>
        <w:pStyle w:val="Prrafodelista"/>
        <w:spacing w:line="276" w:lineRule="auto"/>
        <w:ind w:left="426"/>
        <w:rPr>
          <w:rFonts w:cs="Tahoma"/>
          <w:b/>
          <w:bCs/>
          <w:szCs w:val="24"/>
        </w:rPr>
      </w:pPr>
    </w:p>
    <w:p w14:paraId="5BEC7881" w14:textId="77777777" w:rsidR="003B4AC6" w:rsidRPr="006F03EB" w:rsidRDefault="00CB33D8" w:rsidP="006F03EB">
      <w:pPr>
        <w:spacing w:before="0" w:beforeAutospacing="0" w:after="0" w:afterAutospacing="0" w:line="276" w:lineRule="auto"/>
        <w:ind w:firstLine="708"/>
        <w:contextualSpacing/>
        <w:rPr>
          <w:rFonts w:ascii="Tahoma" w:hAnsi="Tahoma" w:cs="Tahoma"/>
        </w:rPr>
      </w:pPr>
      <w:r w:rsidRPr="006F03EB">
        <w:rPr>
          <w:rFonts w:ascii="Tahoma" w:hAnsi="Tahoma" w:cs="Tahoma"/>
        </w:rPr>
        <w:t>La jueza de primera instancia</w:t>
      </w:r>
      <w:r w:rsidR="005748DA" w:rsidRPr="006F03EB">
        <w:rPr>
          <w:rFonts w:ascii="Tahoma" w:eastAsia="Calibri" w:hAnsi="Tahoma" w:cs="Tahoma"/>
        </w:rPr>
        <w:t xml:space="preserve"> </w:t>
      </w:r>
      <w:r w:rsidRPr="006F03EB">
        <w:rPr>
          <w:rFonts w:ascii="Tahoma" w:hAnsi="Tahoma" w:cs="Tahoma"/>
        </w:rPr>
        <w:t xml:space="preserve">declaró </w:t>
      </w:r>
      <w:r w:rsidR="00336C14" w:rsidRPr="006F03EB">
        <w:rPr>
          <w:rFonts w:ascii="Tahoma" w:hAnsi="Tahoma" w:cs="Tahoma"/>
        </w:rPr>
        <w:t xml:space="preserve">ineficaz el traslado de régimen pensional efectuado </w:t>
      </w:r>
      <w:r w:rsidR="003B4AC6" w:rsidRPr="006F03EB">
        <w:rPr>
          <w:rFonts w:ascii="Tahoma" w:hAnsi="Tahoma" w:cs="Tahoma"/>
        </w:rPr>
        <w:t>por RAFAEL IGNACIO ACEVEDO PARDO mediante solicitud del 21 de octubre de 1994 efectivo a partir del 01 de noviembre del mismo año a través de COLMENA hoy PROTECCIÓN S.A. En consecuencia, ordenó a PROTECCIÓN S.A., que devuelva a COLPENSIONES, la totalidad de las sumas recibidas con ocasión de la afiliación del demandante, por concepto de cotizaciones recaudadas durante la vigencia de la afiliación y sumas adicionales, junto con sus respectivos rendimientos, frutos e intereses, sin descontar suma alguna por concepto comisiones, gastos de administración, cuotas de garantía de pensión mínima y seguros previsionales, los que se asumirán con cargo su patrimonio y debidamente indexados.</w:t>
      </w:r>
    </w:p>
    <w:p w14:paraId="73E5916D" w14:textId="77777777" w:rsidR="003B4AC6" w:rsidRPr="006F03EB" w:rsidRDefault="003B4AC6" w:rsidP="006F03EB">
      <w:pPr>
        <w:spacing w:before="0" w:beforeAutospacing="0" w:after="0" w:afterAutospacing="0" w:line="276" w:lineRule="auto"/>
        <w:ind w:firstLine="0"/>
        <w:rPr>
          <w:rFonts w:ascii="Tahoma" w:hAnsi="Tahoma" w:cs="Tahoma"/>
        </w:rPr>
      </w:pPr>
    </w:p>
    <w:p w14:paraId="578AAFED" w14:textId="04F34BD9" w:rsidR="003B4AC6" w:rsidRPr="006F03EB" w:rsidRDefault="003B4AC6" w:rsidP="006F03EB">
      <w:pPr>
        <w:spacing w:before="0" w:beforeAutospacing="0" w:after="0" w:afterAutospacing="0" w:line="276" w:lineRule="auto"/>
        <w:ind w:firstLine="708"/>
        <w:contextualSpacing/>
        <w:rPr>
          <w:rFonts w:ascii="Tahoma" w:hAnsi="Tahoma" w:cs="Tahoma"/>
        </w:rPr>
      </w:pPr>
      <w:r w:rsidRPr="006F03EB">
        <w:rPr>
          <w:rFonts w:ascii="Tahoma" w:hAnsi="Tahoma" w:cs="Tahoma"/>
        </w:rPr>
        <w:t xml:space="preserve">Por otra </w:t>
      </w:r>
      <w:r w:rsidRPr="006F03EB">
        <w:rPr>
          <w:rFonts w:ascii="Tahoma" w:eastAsia="Times New Roman" w:hAnsi="Tahoma" w:cs="Tahoma"/>
          <w:lang w:val="es-ES" w:eastAsia="es-MX"/>
        </w:rPr>
        <w:t>parte</w:t>
      </w:r>
      <w:r w:rsidRPr="006F03EB">
        <w:rPr>
          <w:rFonts w:ascii="Tahoma" w:hAnsi="Tahoma" w:cs="Tahoma"/>
        </w:rPr>
        <w:t xml:space="preserve">, ordenó comunicar la decisión a la OBP del Ministerio de Hacienda y Crédito Público para que en un trámite interno ejecute todas las acciones a que haya lugar para dejar las cosas en el estado en que se encontraban hasta el día anterior a la efectividad del traslado, con relación al bono pensional y le ordenó a la AFP demandada que, conforme a lo previsto en el numeral 2o del artículo 2.2.2.3.1. del </w:t>
      </w:r>
      <w:r w:rsidRPr="006F03EB">
        <w:rPr>
          <w:rFonts w:ascii="Tahoma" w:hAnsi="Tahoma" w:cs="Tahoma"/>
        </w:rPr>
        <w:lastRenderedPageBreak/>
        <w:t>decreto 1833 de 2016 que devuelva al demandante lo ahorrado por concepto de aportes voluntarios, en caso de que este efectivamente los haya efectuado y estén en su poder.</w:t>
      </w:r>
    </w:p>
    <w:p w14:paraId="391AA74B" w14:textId="4E90A84F" w:rsidR="003B4AC6" w:rsidRPr="006F03EB" w:rsidRDefault="003B4AC6" w:rsidP="006F03EB">
      <w:pPr>
        <w:spacing w:before="0" w:beforeAutospacing="0" w:after="0" w:afterAutospacing="0" w:line="276" w:lineRule="auto"/>
        <w:ind w:firstLine="0"/>
        <w:rPr>
          <w:rFonts w:ascii="Tahoma" w:hAnsi="Tahoma" w:cs="Tahoma"/>
        </w:rPr>
      </w:pPr>
    </w:p>
    <w:p w14:paraId="5DAA2CFC" w14:textId="77E46557" w:rsidR="005227F3" w:rsidRPr="006F03EB" w:rsidRDefault="003B4AC6" w:rsidP="006F03EB">
      <w:pPr>
        <w:spacing w:before="0" w:beforeAutospacing="0" w:after="0" w:afterAutospacing="0" w:line="276" w:lineRule="auto"/>
        <w:ind w:firstLine="708"/>
        <w:contextualSpacing/>
        <w:rPr>
          <w:rFonts w:ascii="Tahoma" w:eastAsia="Times New Roman" w:hAnsi="Tahoma" w:cs="Tahoma"/>
          <w:lang w:val="es-ES" w:eastAsia="es-MX"/>
        </w:rPr>
      </w:pPr>
      <w:r w:rsidRPr="006F03EB">
        <w:rPr>
          <w:rFonts w:ascii="Tahoma" w:eastAsia="Times New Roman" w:hAnsi="Tahoma" w:cs="Tahoma"/>
          <w:lang w:val="es-ES" w:eastAsia="es-MX"/>
        </w:rPr>
        <w:t>Concomitante</w:t>
      </w:r>
      <w:r w:rsidRPr="006F03EB">
        <w:rPr>
          <w:rFonts w:ascii="Tahoma" w:hAnsi="Tahoma" w:cs="Tahoma"/>
        </w:rPr>
        <w:t xml:space="preserve"> con lo anterior, le ordenó a COLPENSIONES, que acepte el del demandante sin solución de continuidad y, </w:t>
      </w:r>
      <w:bookmarkStart w:id="6" w:name="_Hlk117246351"/>
      <w:r w:rsidRPr="006F03EB">
        <w:rPr>
          <w:rFonts w:ascii="Tahoma" w:eastAsia="Times New Roman" w:hAnsi="Tahoma" w:cs="Tahoma"/>
          <w:lang w:val="es-ES" w:eastAsia="es-MX"/>
        </w:rPr>
        <w:t>por</w:t>
      </w:r>
      <w:r w:rsidR="005227F3" w:rsidRPr="006F03EB">
        <w:rPr>
          <w:rFonts w:ascii="Tahoma" w:eastAsia="Times New Roman" w:hAnsi="Tahoma" w:cs="Tahoma"/>
          <w:lang w:val="es-ES" w:eastAsia="es-MX"/>
        </w:rPr>
        <w:t xml:space="preserve"> último, </w:t>
      </w:r>
      <w:r w:rsidR="005748DA" w:rsidRPr="006F03EB">
        <w:rPr>
          <w:rFonts w:ascii="Tahoma" w:eastAsia="Calibri" w:hAnsi="Tahoma" w:cs="Tahoma"/>
        </w:rPr>
        <w:t xml:space="preserve">declaró no probados los medios exceptivos propuestos por las codemandadas y </w:t>
      </w:r>
      <w:r w:rsidR="005227F3" w:rsidRPr="006F03EB">
        <w:rPr>
          <w:rFonts w:ascii="Tahoma" w:eastAsia="Times New Roman" w:hAnsi="Tahoma" w:cs="Tahoma"/>
          <w:lang w:val="es-ES" w:eastAsia="es-MX"/>
        </w:rPr>
        <w:t xml:space="preserve">condenó a </w:t>
      </w:r>
      <w:r w:rsidRPr="006F03EB">
        <w:rPr>
          <w:rFonts w:ascii="Tahoma" w:eastAsia="Times New Roman" w:hAnsi="Tahoma" w:cs="Tahoma"/>
          <w:lang w:val="es-ES" w:eastAsia="es-MX"/>
        </w:rPr>
        <w:t>PROTECCIÓN</w:t>
      </w:r>
      <w:r w:rsidR="005227F3" w:rsidRPr="006F03EB">
        <w:rPr>
          <w:rFonts w:ascii="Tahoma" w:eastAsia="Times New Roman" w:hAnsi="Tahoma" w:cs="Tahoma"/>
          <w:lang w:val="es-ES" w:eastAsia="es-MX"/>
        </w:rPr>
        <w:t xml:space="preserve"> S.A. al pago de las costas procesales, en un 100%, a favor de la parte demandante</w:t>
      </w:r>
      <w:r w:rsidR="005748DA" w:rsidRPr="006F03EB">
        <w:rPr>
          <w:rFonts w:ascii="Tahoma" w:eastAsia="Times New Roman" w:hAnsi="Tahoma" w:cs="Tahoma"/>
          <w:lang w:val="es-ES" w:eastAsia="es-MX"/>
        </w:rPr>
        <w:t>.</w:t>
      </w:r>
    </w:p>
    <w:bookmarkEnd w:id="6"/>
    <w:p w14:paraId="697D0FBE" w14:textId="77777777" w:rsidR="003B4AC6" w:rsidRPr="006F03EB" w:rsidRDefault="003B4AC6" w:rsidP="006F03EB">
      <w:pPr>
        <w:spacing w:before="0" w:beforeAutospacing="0" w:after="0" w:afterAutospacing="0" w:line="276" w:lineRule="auto"/>
        <w:ind w:firstLine="708"/>
        <w:rPr>
          <w:rFonts w:ascii="Tahoma" w:eastAsia="Times New Roman" w:hAnsi="Tahoma" w:cs="Tahoma"/>
          <w:lang w:val="es-ES" w:eastAsia="es-MX"/>
        </w:rPr>
      </w:pPr>
    </w:p>
    <w:p w14:paraId="683E6B95" w14:textId="2516DF15" w:rsidR="00B25AD8" w:rsidRPr="006F03EB" w:rsidRDefault="00CB33D8" w:rsidP="006F03EB">
      <w:pPr>
        <w:spacing w:before="0" w:beforeAutospacing="0" w:after="0" w:afterAutospacing="0" w:line="276" w:lineRule="auto"/>
        <w:ind w:firstLine="708"/>
        <w:rPr>
          <w:rFonts w:ascii="Tahoma" w:eastAsia="Times New Roman" w:hAnsi="Tahoma" w:cs="Tahoma"/>
          <w:lang w:val="es-ES" w:eastAsia="es-MX"/>
        </w:rPr>
      </w:pPr>
      <w:r w:rsidRPr="006F03EB">
        <w:rPr>
          <w:rFonts w:ascii="Tahoma" w:eastAsia="Times New Roman" w:hAnsi="Tahoma" w:cs="Tahoma"/>
          <w:lang w:val="es-ES" w:eastAsia="es-MX"/>
        </w:rPr>
        <w:t xml:space="preserve">Para llegar a tal determinación la a-quo hizo un recuento jurisprudencial respecto del deber de información a cargo de las AFP, la cual debía ser clara, </w:t>
      </w:r>
      <w:r w:rsidR="003B4AC6" w:rsidRPr="006F03EB">
        <w:rPr>
          <w:rFonts w:ascii="Tahoma" w:eastAsia="Times New Roman" w:hAnsi="Tahoma" w:cs="Tahoma"/>
          <w:lang w:val="es-ES" w:eastAsia="es-MX"/>
        </w:rPr>
        <w:t>precisa</w:t>
      </w:r>
      <w:r w:rsidRPr="006F03EB">
        <w:rPr>
          <w:rFonts w:ascii="Tahoma" w:eastAsia="Times New Roman" w:hAnsi="Tahoma" w:cs="Tahoma"/>
          <w:lang w:val="es-ES" w:eastAsia="es-MX"/>
        </w:rPr>
        <w:t xml:space="preserve"> y oportuna sobre las características, condiciones, beneficios, diferencias, riesgos y consecuencias del cambio de régimen pensional, carga que deben asumir desde la misma creación de los fondos</w:t>
      </w:r>
      <w:r w:rsidR="009D4186" w:rsidRPr="006F03EB">
        <w:rPr>
          <w:rFonts w:ascii="Tahoma" w:eastAsia="Times New Roman" w:hAnsi="Tahoma" w:cs="Tahoma"/>
          <w:lang w:val="es-ES" w:eastAsia="es-MX"/>
        </w:rPr>
        <w:t xml:space="preserve"> con la expedición de la ley 100 de 1993</w:t>
      </w:r>
      <w:r w:rsidR="00B96107" w:rsidRPr="006F03EB">
        <w:rPr>
          <w:rFonts w:ascii="Tahoma" w:eastAsia="Times New Roman" w:hAnsi="Tahoma" w:cs="Tahoma"/>
          <w:lang w:val="es-ES" w:eastAsia="es-MX"/>
        </w:rPr>
        <w:t>, con el fin de que los potenciales afiliados pudieran tomar decisiones informadas.</w:t>
      </w:r>
    </w:p>
    <w:p w14:paraId="3B9ABABC" w14:textId="77777777" w:rsidR="00404C5D" w:rsidRPr="006F03EB" w:rsidRDefault="00404C5D" w:rsidP="006F03EB">
      <w:pPr>
        <w:spacing w:before="0" w:beforeAutospacing="0" w:after="0" w:afterAutospacing="0" w:line="276" w:lineRule="auto"/>
        <w:ind w:firstLine="708"/>
        <w:rPr>
          <w:rFonts w:ascii="Tahoma" w:eastAsia="Times New Roman" w:hAnsi="Tahoma" w:cs="Tahoma"/>
          <w:lang w:val="es-ES" w:eastAsia="es-MX"/>
        </w:rPr>
      </w:pPr>
    </w:p>
    <w:p w14:paraId="5BFC9C56" w14:textId="77775002" w:rsidR="00454894" w:rsidRPr="006F03EB" w:rsidRDefault="00454894" w:rsidP="006F03EB">
      <w:pPr>
        <w:spacing w:before="0" w:beforeAutospacing="0" w:after="0" w:afterAutospacing="0" w:line="276" w:lineRule="auto"/>
        <w:ind w:firstLine="708"/>
        <w:rPr>
          <w:rFonts w:ascii="Tahoma" w:eastAsia="Times New Roman" w:hAnsi="Tahoma" w:cs="Tahoma"/>
          <w:lang w:val="es-ES" w:eastAsia="es-MX"/>
        </w:rPr>
      </w:pPr>
      <w:r w:rsidRPr="006F03EB">
        <w:rPr>
          <w:rFonts w:ascii="Tahoma" w:eastAsia="Times New Roman" w:hAnsi="Tahoma" w:cs="Tahoma"/>
          <w:lang w:val="es-ES" w:eastAsia="es-MX"/>
        </w:rPr>
        <w:t xml:space="preserve">En ese sentido, consideró, en síntesis, que </w:t>
      </w:r>
      <w:r w:rsidR="00B96107" w:rsidRPr="006F03EB">
        <w:rPr>
          <w:rFonts w:ascii="Tahoma" w:eastAsia="Times New Roman" w:hAnsi="Tahoma" w:cs="Tahoma"/>
          <w:lang w:val="es-ES" w:eastAsia="es-MX"/>
        </w:rPr>
        <w:t xml:space="preserve">Protección </w:t>
      </w:r>
      <w:r w:rsidRPr="006F03EB">
        <w:rPr>
          <w:rFonts w:ascii="Tahoma" w:eastAsia="Times New Roman" w:hAnsi="Tahoma" w:cs="Tahoma"/>
          <w:lang w:val="es-ES" w:eastAsia="es-MX"/>
        </w:rPr>
        <w:t xml:space="preserve">S.A. no cumplió con la carga de la prueba que le correspondía en el proceso, tendiente a acreditar que llevó a cabo el deber de información en los términos expuestos por la jurisprudencia de la Sala de Casación Laboral de la Corte Suprema de Justicia; ello en razón a que la sola suscripción del formulario de afiliación por sí sola no logra tal finalidad, pues de </w:t>
      </w:r>
      <w:r w:rsidR="00B96107" w:rsidRPr="006F03EB">
        <w:rPr>
          <w:rFonts w:ascii="Tahoma" w:eastAsia="Times New Roman" w:hAnsi="Tahoma" w:cs="Tahoma"/>
          <w:lang w:val="es-ES" w:eastAsia="es-MX"/>
        </w:rPr>
        <w:t xml:space="preserve">él </w:t>
      </w:r>
      <w:r w:rsidRPr="006F03EB">
        <w:rPr>
          <w:rFonts w:ascii="Tahoma" w:eastAsia="Times New Roman" w:hAnsi="Tahoma" w:cs="Tahoma"/>
          <w:lang w:val="es-ES" w:eastAsia="es-MX"/>
        </w:rPr>
        <w:t>no se logra extraer la calidad de la información que se le brindó</w:t>
      </w:r>
      <w:r w:rsidR="00B96107" w:rsidRPr="006F03EB">
        <w:rPr>
          <w:rFonts w:ascii="Tahoma" w:eastAsia="Times New Roman" w:hAnsi="Tahoma" w:cs="Tahoma"/>
          <w:lang w:val="es-ES" w:eastAsia="es-MX"/>
        </w:rPr>
        <w:t xml:space="preserve">, puesto que solo consigna la fórmula genérica del libre consentimiento informado, insuficiente de acuerdo a la jurisprudencia patria. </w:t>
      </w:r>
    </w:p>
    <w:p w14:paraId="5F4655E4" w14:textId="77777777" w:rsidR="00404C5D" w:rsidRPr="006F03EB" w:rsidRDefault="00404C5D" w:rsidP="006F03EB">
      <w:pPr>
        <w:spacing w:before="0" w:beforeAutospacing="0" w:after="0" w:afterAutospacing="0" w:line="276" w:lineRule="auto"/>
        <w:ind w:firstLine="708"/>
        <w:rPr>
          <w:rFonts w:ascii="Tahoma" w:eastAsia="Times New Roman" w:hAnsi="Tahoma" w:cs="Tahoma"/>
          <w:lang w:val="es-ES" w:eastAsia="es-MX"/>
        </w:rPr>
      </w:pPr>
    </w:p>
    <w:p w14:paraId="4DFDE107" w14:textId="6845A5A0" w:rsidR="00404C5D" w:rsidRPr="006F03EB" w:rsidRDefault="009D4186" w:rsidP="00646CE7">
      <w:pPr>
        <w:spacing w:before="0" w:beforeAutospacing="0" w:after="0" w:afterAutospacing="0" w:line="276" w:lineRule="auto"/>
        <w:ind w:firstLine="708"/>
        <w:rPr>
          <w:rFonts w:ascii="Tahoma" w:eastAsia="Times New Roman" w:hAnsi="Tahoma" w:cs="Tahoma"/>
          <w:lang w:val="es-ES" w:eastAsia="es-MX"/>
        </w:rPr>
      </w:pPr>
      <w:r w:rsidRPr="006F03EB">
        <w:rPr>
          <w:rFonts w:ascii="Tahoma" w:eastAsia="Times New Roman" w:hAnsi="Tahoma" w:cs="Tahoma"/>
          <w:lang w:val="es-ES" w:eastAsia="es-MX"/>
        </w:rPr>
        <w:t xml:space="preserve">Advirtió, </w:t>
      </w:r>
      <w:r w:rsidR="0040147A" w:rsidRPr="006F03EB">
        <w:rPr>
          <w:rFonts w:ascii="Tahoma" w:eastAsia="Times New Roman" w:hAnsi="Tahoma" w:cs="Tahoma"/>
          <w:lang w:val="es-ES" w:eastAsia="es-MX"/>
        </w:rPr>
        <w:t>que,</w:t>
      </w:r>
      <w:r w:rsidRPr="006F03EB">
        <w:rPr>
          <w:rFonts w:ascii="Tahoma" w:eastAsia="Times New Roman" w:hAnsi="Tahoma" w:cs="Tahoma"/>
          <w:lang w:val="es-ES" w:eastAsia="es-MX"/>
        </w:rPr>
        <w:t xml:space="preserve"> </w:t>
      </w:r>
      <w:r w:rsidR="00B96107" w:rsidRPr="006F03EB">
        <w:rPr>
          <w:rFonts w:ascii="Tahoma" w:eastAsia="Times New Roman" w:hAnsi="Tahoma" w:cs="Tahoma"/>
          <w:lang w:val="es-ES" w:eastAsia="es-MX"/>
        </w:rPr>
        <w:t xml:space="preserve">en su </w:t>
      </w:r>
      <w:r w:rsidR="00454894" w:rsidRPr="006F03EB">
        <w:rPr>
          <w:rFonts w:ascii="Tahoma" w:eastAsia="Times New Roman" w:hAnsi="Tahoma" w:cs="Tahoma"/>
          <w:lang w:val="es-ES" w:eastAsia="es-MX"/>
        </w:rPr>
        <w:t>interrogatorio</w:t>
      </w:r>
      <w:r w:rsidR="00B96107" w:rsidRPr="006F03EB">
        <w:rPr>
          <w:rFonts w:ascii="Tahoma" w:eastAsia="Times New Roman" w:hAnsi="Tahoma" w:cs="Tahoma"/>
          <w:lang w:val="es-ES" w:eastAsia="es-MX"/>
        </w:rPr>
        <w:t xml:space="preserve">, </w:t>
      </w:r>
      <w:r w:rsidRPr="006F03EB">
        <w:rPr>
          <w:rFonts w:ascii="Tahoma" w:eastAsia="Times New Roman" w:hAnsi="Tahoma" w:cs="Tahoma"/>
          <w:lang w:val="es-ES" w:eastAsia="es-MX"/>
        </w:rPr>
        <w:t>el actor</w:t>
      </w:r>
      <w:r w:rsidR="00B96107" w:rsidRPr="006F03EB">
        <w:rPr>
          <w:rFonts w:ascii="Tahoma" w:hAnsi="Tahoma" w:cs="Tahoma"/>
        </w:rPr>
        <w:t xml:space="preserve"> </w:t>
      </w:r>
      <w:r w:rsidR="00B96107" w:rsidRPr="006F03EB">
        <w:rPr>
          <w:rFonts w:ascii="Tahoma" w:eastAsia="Times New Roman" w:hAnsi="Tahoma" w:cs="Tahoma"/>
          <w:lang w:val="es-ES" w:eastAsia="es-MX"/>
        </w:rPr>
        <w:t>no hizo ninguna afirmación que pueda calificarse como confesión respecto a haber recibido información completa y suficiente</w:t>
      </w:r>
      <w:r w:rsidR="00454894" w:rsidRPr="006F03EB">
        <w:rPr>
          <w:rFonts w:ascii="Tahoma" w:eastAsia="Times New Roman" w:hAnsi="Tahoma" w:cs="Tahoma"/>
          <w:lang w:val="es-ES" w:eastAsia="es-MX"/>
        </w:rPr>
        <w:t xml:space="preserve">, ya que </w:t>
      </w:r>
      <w:r w:rsidR="00B96107" w:rsidRPr="006F03EB">
        <w:rPr>
          <w:rFonts w:ascii="Tahoma" w:eastAsia="Times New Roman" w:hAnsi="Tahoma" w:cs="Tahoma"/>
          <w:lang w:val="es-ES" w:eastAsia="es-MX"/>
        </w:rPr>
        <w:t>reiteró lo planteando desde la rogativa en el sentido de que lo indicado fue parcializado respecto a las ventajas del RAIS y la conveniencia de estar en el fondo privado sin comparativo alguno de las características de uno u otro régimen.</w:t>
      </w:r>
    </w:p>
    <w:p w14:paraId="52EFDBE4" w14:textId="77777777" w:rsidR="00C2290B" w:rsidRPr="006F03EB" w:rsidRDefault="00C2290B" w:rsidP="00646CE7">
      <w:pPr>
        <w:pStyle w:val="Sinespaciado"/>
        <w:spacing w:beforeAutospacing="0" w:afterAutospacing="0" w:line="276" w:lineRule="auto"/>
        <w:rPr>
          <w:rFonts w:ascii="Tahoma" w:hAnsi="Tahoma" w:cs="Tahoma"/>
          <w:lang w:val="es-ES" w:eastAsia="es-MX"/>
        </w:rPr>
      </w:pPr>
    </w:p>
    <w:p w14:paraId="66442AE5" w14:textId="7C974F8E" w:rsidR="00454894" w:rsidRPr="006F03EB" w:rsidRDefault="00454894" w:rsidP="006F03EB">
      <w:pPr>
        <w:spacing w:before="0" w:beforeAutospacing="0" w:after="0" w:afterAutospacing="0" w:line="276" w:lineRule="auto"/>
        <w:ind w:firstLine="708"/>
        <w:rPr>
          <w:rFonts w:ascii="Tahoma" w:eastAsia="Times New Roman" w:hAnsi="Tahoma" w:cs="Tahoma"/>
          <w:lang w:val="es-ES" w:eastAsia="es-MX"/>
        </w:rPr>
      </w:pPr>
      <w:r w:rsidRPr="006F03EB">
        <w:rPr>
          <w:rFonts w:ascii="Tahoma" w:eastAsia="Times New Roman" w:hAnsi="Tahoma" w:cs="Tahoma"/>
          <w:lang w:val="es-ES" w:eastAsia="es-MX"/>
        </w:rPr>
        <w:t>Por lo dicho, concluyó que</w:t>
      </w:r>
      <w:r w:rsidR="00C2290B" w:rsidRPr="006F03EB">
        <w:rPr>
          <w:rFonts w:ascii="Tahoma" w:eastAsia="Times New Roman" w:hAnsi="Tahoma" w:cs="Tahoma"/>
          <w:lang w:val="es-ES" w:eastAsia="es-MX"/>
        </w:rPr>
        <w:t xml:space="preserve"> como no se demostró que </w:t>
      </w:r>
      <w:r w:rsidRPr="006F03EB">
        <w:rPr>
          <w:rFonts w:ascii="Tahoma" w:eastAsia="Times New Roman" w:hAnsi="Tahoma" w:cs="Tahoma"/>
          <w:lang w:val="es-ES" w:eastAsia="es-MX"/>
        </w:rPr>
        <w:t>la decisión del</w:t>
      </w:r>
      <w:r w:rsidR="00404C5D" w:rsidRPr="006F03EB">
        <w:rPr>
          <w:rFonts w:ascii="Tahoma" w:eastAsia="Times New Roman" w:hAnsi="Tahoma" w:cs="Tahoma"/>
          <w:lang w:val="es-ES" w:eastAsia="es-MX"/>
        </w:rPr>
        <w:t xml:space="preserve"> </w:t>
      </w:r>
      <w:r w:rsidRPr="006F03EB">
        <w:rPr>
          <w:rFonts w:ascii="Tahoma" w:eastAsia="Times New Roman" w:hAnsi="Tahoma" w:cs="Tahoma"/>
          <w:lang w:val="es-ES" w:eastAsia="es-MX"/>
        </w:rPr>
        <w:t>acto</w:t>
      </w:r>
      <w:r w:rsidR="00404C5D" w:rsidRPr="006F03EB">
        <w:rPr>
          <w:rFonts w:ascii="Tahoma" w:eastAsia="Times New Roman" w:hAnsi="Tahoma" w:cs="Tahoma"/>
          <w:lang w:val="es-ES" w:eastAsia="es-MX"/>
        </w:rPr>
        <w:t>r</w:t>
      </w:r>
      <w:r w:rsidRPr="006F03EB">
        <w:rPr>
          <w:rFonts w:ascii="Tahoma" w:eastAsia="Times New Roman" w:hAnsi="Tahoma" w:cs="Tahoma"/>
          <w:lang w:val="es-ES" w:eastAsia="es-MX"/>
        </w:rPr>
        <w:t xml:space="preserve"> </w:t>
      </w:r>
      <w:r w:rsidR="00C2290B" w:rsidRPr="006F03EB">
        <w:rPr>
          <w:rFonts w:ascii="Tahoma" w:eastAsia="Times New Roman" w:hAnsi="Tahoma" w:cs="Tahoma"/>
          <w:lang w:val="es-ES" w:eastAsia="es-MX"/>
        </w:rPr>
        <w:t>hubiese estado</w:t>
      </w:r>
      <w:r w:rsidRPr="006F03EB">
        <w:rPr>
          <w:rFonts w:ascii="Tahoma" w:eastAsia="Times New Roman" w:hAnsi="Tahoma" w:cs="Tahoma"/>
          <w:lang w:val="es-ES" w:eastAsia="es-MX"/>
        </w:rPr>
        <w:t xml:space="preserve"> precedida de la comprensión suficiente para llevarla a cabo, debía declararse la ineficacia del acto de traslado</w:t>
      </w:r>
      <w:r w:rsidR="00C2290B" w:rsidRPr="006F03EB">
        <w:rPr>
          <w:rFonts w:ascii="Tahoma" w:eastAsia="Times New Roman" w:hAnsi="Tahoma" w:cs="Tahoma"/>
          <w:lang w:val="es-ES" w:eastAsia="es-MX"/>
        </w:rPr>
        <w:t xml:space="preserve"> de régimen, con las consecuencias que implica restablecer las cosas al estado en que se encontraban antes de la migración</w:t>
      </w:r>
      <w:r w:rsidRPr="006F03EB">
        <w:rPr>
          <w:rFonts w:ascii="Tahoma" w:eastAsia="Times New Roman" w:hAnsi="Tahoma" w:cs="Tahoma"/>
          <w:lang w:val="es-ES" w:eastAsia="es-MX"/>
        </w:rPr>
        <w:t>.</w:t>
      </w:r>
    </w:p>
    <w:p w14:paraId="53D3F64B" w14:textId="030E7204" w:rsidR="00BE4F7B" w:rsidRPr="006F03EB" w:rsidRDefault="00BE4F7B" w:rsidP="006F03EB">
      <w:pPr>
        <w:spacing w:before="0" w:beforeAutospacing="0" w:after="0" w:afterAutospacing="0" w:line="276" w:lineRule="auto"/>
        <w:ind w:firstLine="708"/>
        <w:rPr>
          <w:rFonts w:ascii="Tahoma" w:eastAsia="Times New Roman" w:hAnsi="Tahoma" w:cs="Tahoma"/>
          <w:lang w:val="es-ES" w:eastAsia="es-MX"/>
        </w:rPr>
      </w:pPr>
    </w:p>
    <w:p w14:paraId="5C38C743" w14:textId="77777777" w:rsidR="004778EC" w:rsidRPr="006F03EB" w:rsidRDefault="004778EC" w:rsidP="006F03EB">
      <w:pPr>
        <w:spacing w:before="0" w:beforeAutospacing="0" w:after="0" w:afterAutospacing="0" w:line="276" w:lineRule="auto"/>
        <w:ind w:firstLine="708"/>
        <w:rPr>
          <w:rFonts w:ascii="Tahoma" w:eastAsia="Times New Roman" w:hAnsi="Tahoma" w:cs="Tahoma"/>
          <w:lang w:val="es-ES" w:eastAsia="es-MX"/>
        </w:rPr>
      </w:pPr>
    </w:p>
    <w:p w14:paraId="61F2BBDD" w14:textId="37E4F8F8" w:rsidR="00363345" w:rsidRPr="006F03EB" w:rsidRDefault="00363345" w:rsidP="006F03EB">
      <w:pPr>
        <w:pStyle w:val="Prrafodelista"/>
        <w:widowControl w:val="0"/>
        <w:numPr>
          <w:ilvl w:val="0"/>
          <w:numId w:val="1"/>
        </w:numPr>
        <w:autoSpaceDE w:val="0"/>
        <w:autoSpaceDN w:val="0"/>
        <w:spacing w:line="276" w:lineRule="auto"/>
        <w:ind w:left="0" w:firstLine="0"/>
        <w:jc w:val="center"/>
        <w:rPr>
          <w:rFonts w:eastAsia="Calibri" w:cs="Tahoma"/>
          <w:b/>
          <w:szCs w:val="24"/>
          <w:lang w:val="es-ES"/>
        </w:rPr>
      </w:pPr>
      <w:r w:rsidRPr="006F03EB">
        <w:rPr>
          <w:rFonts w:eastAsia="Calibri" w:cs="Tahoma"/>
          <w:b/>
          <w:szCs w:val="24"/>
          <w:lang w:val="es-ES"/>
        </w:rPr>
        <w:t>Recursos de apelación y procedencia de la consulta</w:t>
      </w:r>
    </w:p>
    <w:p w14:paraId="1F30DA75" w14:textId="6F6800A9" w:rsidR="00EB4974" w:rsidRPr="006F03EB" w:rsidRDefault="00EB4974" w:rsidP="006F03EB">
      <w:pPr>
        <w:widowControl w:val="0"/>
        <w:autoSpaceDE w:val="0"/>
        <w:autoSpaceDN w:val="0"/>
        <w:spacing w:before="0" w:beforeAutospacing="0" w:after="0" w:afterAutospacing="0" w:line="276" w:lineRule="auto"/>
        <w:contextualSpacing/>
        <w:rPr>
          <w:rFonts w:ascii="Tahoma" w:eastAsia="Calibri" w:hAnsi="Tahoma" w:cs="Tahoma"/>
          <w:lang w:val="es-ES"/>
        </w:rPr>
      </w:pPr>
    </w:p>
    <w:p w14:paraId="1106F21F" w14:textId="08A4556B" w:rsidR="00BE4F7B" w:rsidRPr="006F03EB" w:rsidRDefault="00BE4F7B" w:rsidP="006F03EB">
      <w:pPr>
        <w:widowControl w:val="0"/>
        <w:autoSpaceDE w:val="0"/>
        <w:autoSpaceDN w:val="0"/>
        <w:spacing w:before="0" w:beforeAutospacing="0" w:after="0" w:afterAutospacing="0" w:line="276" w:lineRule="auto"/>
        <w:contextualSpacing/>
        <w:rPr>
          <w:rFonts w:ascii="Tahoma" w:eastAsia="Calibri" w:hAnsi="Tahoma" w:cs="Tahoma"/>
          <w:lang w:val="es-ES"/>
        </w:rPr>
      </w:pPr>
      <w:r w:rsidRPr="006F03EB">
        <w:rPr>
          <w:rFonts w:ascii="Tahoma" w:eastAsia="Times New Roman" w:hAnsi="Tahoma" w:cs="Tahoma"/>
          <w:lang w:val="es-ES" w:eastAsia="es-MX"/>
        </w:rPr>
        <w:t>Protección</w:t>
      </w:r>
      <w:r w:rsidRPr="006F03EB">
        <w:rPr>
          <w:rFonts w:ascii="Tahoma" w:hAnsi="Tahoma" w:cs="Tahoma"/>
        </w:rPr>
        <w:t xml:space="preserve"> S.A., por medio de su apoderada judicial</w:t>
      </w:r>
      <w:r w:rsidRPr="006F03EB">
        <w:rPr>
          <w:rFonts w:ascii="Tahoma" w:eastAsia="Calibri" w:hAnsi="Tahoma" w:cs="Tahoma"/>
          <w:lang w:val="es-ES"/>
        </w:rPr>
        <w:t xml:space="preserve">, solicita que se revoque la sentencia de primera instancia, fundamentando su alzada en que el demandante sí recibió la asesoría correspondiente para la época del traslado y ratificó su voluntad de permanecer en el RAIS al beneficiarse de las prerrogativas propias del fondo privado por </w:t>
      </w:r>
      <w:r w:rsidR="00997CB4" w:rsidRPr="006F03EB">
        <w:rPr>
          <w:rFonts w:ascii="Tahoma" w:eastAsia="Calibri" w:hAnsi="Tahoma" w:cs="Tahoma"/>
          <w:lang w:val="es-ES"/>
        </w:rPr>
        <w:t>más</w:t>
      </w:r>
      <w:r w:rsidRPr="006F03EB">
        <w:rPr>
          <w:rFonts w:ascii="Tahoma" w:eastAsia="Calibri" w:hAnsi="Tahoma" w:cs="Tahoma"/>
          <w:lang w:val="es-ES"/>
        </w:rPr>
        <w:t xml:space="preserve"> de 28 años. Adicionalmente, se opuso de manera </w:t>
      </w:r>
      <w:r w:rsidR="00997CB4" w:rsidRPr="006F03EB">
        <w:rPr>
          <w:rFonts w:ascii="Tahoma" w:eastAsia="Calibri" w:hAnsi="Tahoma" w:cs="Tahoma"/>
          <w:lang w:val="es-ES"/>
        </w:rPr>
        <w:t xml:space="preserve">enfática a la condena de devolver </w:t>
      </w:r>
      <w:r w:rsidRPr="006F03EB">
        <w:rPr>
          <w:rFonts w:ascii="Tahoma" w:eastAsia="Calibri" w:hAnsi="Tahoma" w:cs="Tahoma"/>
          <w:lang w:val="es-ES"/>
        </w:rPr>
        <w:t>los gatos administración</w:t>
      </w:r>
      <w:r w:rsidR="00997CB4" w:rsidRPr="006F03EB">
        <w:rPr>
          <w:rFonts w:ascii="Tahoma" w:eastAsia="Calibri" w:hAnsi="Tahoma" w:cs="Tahoma"/>
          <w:lang w:val="es-ES"/>
        </w:rPr>
        <w:t xml:space="preserve"> y cuotas de seguros previsionales, toda vez que </w:t>
      </w:r>
      <w:r w:rsidR="00997CB4" w:rsidRPr="006F03EB">
        <w:rPr>
          <w:rFonts w:ascii="Tahoma" w:eastAsia="Calibri" w:hAnsi="Tahoma" w:cs="Tahoma"/>
          <w:lang w:val="es-ES"/>
        </w:rPr>
        <w:lastRenderedPageBreak/>
        <w:t>considera que esta orden</w:t>
      </w:r>
      <w:r w:rsidRPr="006F03EB">
        <w:rPr>
          <w:rFonts w:ascii="Tahoma" w:eastAsia="Calibri" w:hAnsi="Tahoma" w:cs="Tahoma"/>
          <w:lang w:val="es-ES"/>
        </w:rPr>
        <w:t xml:space="preserve"> implica una violación de la ley, </w:t>
      </w:r>
      <w:r w:rsidR="00997CB4" w:rsidRPr="006F03EB">
        <w:rPr>
          <w:rFonts w:ascii="Tahoma" w:eastAsia="Calibri" w:hAnsi="Tahoma" w:cs="Tahoma"/>
          <w:lang w:val="es-ES"/>
        </w:rPr>
        <w:t xml:space="preserve">puesto que las cuotas de </w:t>
      </w:r>
      <w:r w:rsidRPr="006F03EB">
        <w:rPr>
          <w:rFonts w:ascii="Tahoma" w:eastAsia="Calibri" w:hAnsi="Tahoma" w:cs="Tahoma"/>
          <w:lang w:val="es-ES"/>
        </w:rPr>
        <w:t>los seguros previsionales no se pueden devolver</w:t>
      </w:r>
      <w:r w:rsidR="00997CB4" w:rsidRPr="006F03EB">
        <w:rPr>
          <w:rFonts w:ascii="Tahoma" w:eastAsia="Calibri" w:hAnsi="Tahoma" w:cs="Tahoma"/>
          <w:lang w:val="es-ES"/>
        </w:rPr>
        <w:t xml:space="preserve">, ya que se descontaron mes a mes para ser girados a </w:t>
      </w:r>
      <w:r w:rsidRPr="006F03EB">
        <w:rPr>
          <w:rFonts w:ascii="Tahoma" w:eastAsia="Calibri" w:hAnsi="Tahoma" w:cs="Tahoma"/>
          <w:lang w:val="es-ES"/>
        </w:rPr>
        <w:t>la aseguradora</w:t>
      </w:r>
      <w:r w:rsidR="00997CB4" w:rsidRPr="006F03EB">
        <w:rPr>
          <w:rFonts w:ascii="Tahoma" w:eastAsia="Calibri" w:hAnsi="Tahoma" w:cs="Tahoma"/>
          <w:lang w:val="es-ES"/>
        </w:rPr>
        <w:t>, última q</w:t>
      </w:r>
      <w:r w:rsidRPr="006F03EB">
        <w:rPr>
          <w:rFonts w:ascii="Tahoma" w:eastAsia="Calibri" w:hAnsi="Tahoma" w:cs="Tahoma"/>
          <w:lang w:val="es-ES"/>
        </w:rPr>
        <w:t>ue es un tercero de buena fe,</w:t>
      </w:r>
      <w:r w:rsidR="00997CB4" w:rsidRPr="006F03EB">
        <w:rPr>
          <w:rFonts w:ascii="Tahoma" w:eastAsia="Calibri" w:hAnsi="Tahoma" w:cs="Tahoma"/>
          <w:lang w:val="es-ES"/>
        </w:rPr>
        <w:t xml:space="preserve"> a través de la cual se cumplió con el</w:t>
      </w:r>
      <w:r w:rsidRPr="006F03EB">
        <w:rPr>
          <w:rFonts w:ascii="Tahoma" w:eastAsia="Calibri" w:hAnsi="Tahoma" w:cs="Tahoma"/>
          <w:lang w:val="es-ES"/>
        </w:rPr>
        <w:t xml:space="preserve"> ampar</w:t>
      </w:r>
      <w:r w:rsidR="00997CB4" w:rsidRPr="006F03EB">
        <w:rPr>
          <w:rFonts w:ascii="Tahoma" w:eastAsia="Calibri" w:hAnsi="Tahoma" w:cs="Tahoma"/>
          <w:lang w:val="es-ES"/>
        </w:rPr>
        <w:t>o</w:t>
      </w:r>
      <w:r w:rsidRPr="006F03EB">
        <w:rPr>
          <w:rFonts w:ascii="Tahoma" w:eastAsia="Calibri" w:hAnsi="Tahoma" w:cs="Tahoma"/>
          <w:lang w:val="es-ES"/>
        </w:rPr>
        <w:t xml:space="preserve"> por sobrevivientes e invalidez</w:t>
      </w:r>
      <w:r w:rsidR="00997CB4" w:rsidRPr="006F03EB">
        <w:rPr>
          <w:rFonts w:ascii="Tahoma" w:eastAsia="Calibri" w:hAnsi="Tahoma" w:cs="Tahoma"/>
          <w:lang w:val="es-ES"/>
        </w:rPr>
        <w:t>. Respecto a l</w:t>
      </w:r>
      <w:r w:rsidRPr="006F03EB">
        <w:rPr>
          <w:rFonts w:ascii="Tahoma" w:eastAsia="Calibri" w:hAnsi="Tahoma" w:cs="Tahoma"/>
          <w:lang w:val="es-ES"/>
        </w:rPr>
        <w:t>os gastos de administración</w:t>
      </w:r>
      <w:r w:rsidR="00997CB4" w:rsidRPr="006F03EB">
        <w:rPr>
          <w:rFonts w:ascii="Tahoma" w:eastAsia="Calibri" w:hAnsi="Tahoma" w:cs="Tahoma"/>
          <w:lang w:val="es-ES"/>
        </w:rPr>
        <w:t xml:space="preserve">, afirma que </w:t>
      </w:r>
      <w:r w:rsidRPr="006F03EB">
        <w:rPr>
          <w:rFonts w:ascii="Tahoma" w:eastAsia="Calibri" w:hAnsi="Tahoma" w:cs="Tahoma"/>
          <w:lang w:val="es-ES"/>
        </w:rPr>
        <w:t>no se puede descon</w:t>
      </w:r>
      <w:r w:rsidR="00997CB4" w:rsidRPr="006F03EB">
        <w:rPr>
          <w:rFonts w:ascii="Tahoma" w:eastAsia="Calibri" w:hAnsi="Tahoma" w:cs="Tahoma"/>
          <w:lang w:val="es-ES"/>
        </w:rPr>
        <w:t>ocer</w:t>
      </w:r>
      <w:r w:rsidRPr="006F03EB">
        <w:rPr>
          <w:rFonts w:ascii="Tahoma" w:eastAsia="Calibri" w:hAnsi="Tahoma" w:cs="Tahoma"/>
          <w:lang w:val="es-ES"/>
        </w:rPr>
        <w:t xml:space="preserve"> que la cuenta de ahorro produjo unos rendimientos que nunca hubiera tenido en Colpensiones y por eso, </w:t>
      </w:r>
      <w:r w:rsidR="00997CB4" w:rsidRPr="006F03EB">
        <w:rPr>
          <w:rFonts w:ascii="Tahoma" w:eastAsia="Calibri" w:hAnsi="Tahoma" w:cs="Tahoma"/>
          <w:lang w:val="es-ES"/>
        </w:rPr>
        <w:t xml:space="preserve">es un derecho de la administradora conservar los gastos de su gestión, puesto que </w:t>
      </w:r>
      <w:r w:rsidRPr="006F03EB">
        <w:rPr>
          <w:rFonts w:ascii="Tahoma" w:eastAsia="Calibri" w:hAnsi="Tahoma" w:cs="Tahoma"/>
          <w:lang w:val="es-ES"/>
        </w:rPr>
        <w:t>hizo rentar los aportes, generándose un enriquecimiento sin justa causa</w:t>
      </w:r>
      <w:r w:rsidR="00997CB4" w:rsidRPr="006F03EB">
        <w:rPr>
          <w:rFonts w:ascii="Tahoma" w:eastAsia="Calibri" w:hAnsi="Tahoma" w:cs="Tahoma"/>
          <w:lang w:val="es-ES"/>
        </w:rPr>
        <w:t xml:space="preserve"> al tener que devolverlos.</w:t>
      </w:r>
    </w:p>
    <w:p w14:paraId="11D7B07F" w14:textId="77777777" w:rsidR="00BE4F7B" w:rsidRPr="006F03EB" w:rsidRDefault="00BE4F7B" w:rsidP="006F03EB">
      <w:pPr>
        <w:spacing w:before="0" w:beforeAutospacing="0" w:after="0" w:afterAutospacing="0" w:line="276" w:lineRule="auto"/>
        <w:ind w:firstLine="708"/>
        <w:rPr>
          <w:rFonts w:ascii="Tahoma" w:eastAsia="Calibri" w:hAnsi="Tahoma" w:cs="Tahoma"/>
          <w:lang w:val="es-ES"/>
        </w:rPr>
      </w:pPr>
    </w:p>
    <w:p w14:paraId="5CC20F3B" w14:textId="74EEF1BF" w:rsidR="0037594A" w:rsidRPr="006F03EB" w:rsidRDefault="00997CB4" w:rsidP="006F03EB">
      <w:pPr>
        <w:widowControl w:val="0"/>
        <w:autoSpaceDE w:val="0"/>
        <w:autoSpaceDN w:val="0"/>
        <w:spacing w:before="0" w:beforeAutospacing="0" w:after="0" w:afterAutospacing="0" w:line="276" w:lineRule="auto"/>
        <w:contextualSpacing/>
        <w:rPr>
          <w:rFonts w:ascii="Tahoma" w:eastAsia="Calibri" w:hAnsi="Tahoma" w:cs="Tahoma"/>
          <w:lang w:val="es-ES"/>
        </w:rPr>
      </w:pPr>
      <w:r w:rsidRPr="006F03EB">
        <w:rPr>
          <w:rFonts w:ascii="Tahoma" w:eastAsia="Calibri" w:hAnsi="Tahoma" w:cs="Tahoma"/>
          <w:lang w:val="es-ES"/>
        </w:rPr>
        <w:t xml:space="preserve">Por su parte, Colpensiones en su alzada, argumentó que </w:t>
      </w:r>
      <w:r w:rsidR="00BE4F7B" w:rsidRPr="006F03EB">
        <w:rPr>
          <w:rFonts w:ascii="Tahoma" w:eastAsia="Calibri" w:hAnsi="Tahoma" w:cs="Tahoma"/>
          <w:lang w:val="es-ES"/>
        </w:rPr>
        <w:t xml:space="preserve">el </w:t>
      </w:r>
      <w:r w:rsidRPr="006F03EB">
        <w:rPr>
          <w:rFonts w:ascii="Tahoma" w:eastAsia="Calibri" w:hAnsi="Tahoma" w:cs="Tahoma"/>
          <w:lang w:val="es-ES"/>
        </w:rPr>
        <w:t>demandante</w:t>
      </w:r>
      <w:r w:rsidR="00BE4F7B" w:rsidRPr="006F03EB">
        <w:rPr>
          <w:rFonts w:ascii="Tahoma" w:eastAsia="Calibri" w:hAnsi="Tahoma" w:cs="Tahoma"/>
          <w:lang w:val="es-ES"/>
        </w:rPr>
        <w:t xml:space="preserve"> </w:t>
      </w:r>
      <w:r w:rsidRPr="006F03EB">
        <w:rPr>
          <w:rFonts w:ascii="Tahoma" w:eastAsia="Calibri" w:hAnsi="Tahoma" w:cs="Tahoma"/>
          <w:lang w:val="es-ES"/>
        </w:rPr>
        <w:t>se trasladó de régimen d</w:t>
      </w:r>
      <w:r w:rsidR="00BE4F7B" w:rsidRPr="006F03EB">
        <w:rPr>
          <w:rFonts w:ascii="Tahoma" w:eastAsia="Calibri" w:hAnsi="Tahoma" w:cs="Tahoma"/>
          <w:lang w:val="es-ES"/>
        </w:rPr>
        <w:t xml:space="preserve">e forma libre y sin presionarse, acogiéndose al fondo privado, de conformidad con el art 13 de la ley 100 de 1993, como lo ratificó en el interrogatorio de parte, además que no cumple con el requisito temporal de traslado, porque le faltan 10 años o menos para tener derecho a la pensión, ya que tiene 57 años. </w:t>
      </w:r>
    </w:p>
    <w:p w14:paraId="26F226E9" w14:textId="77777777" w:rsidR="004778EC" w:rsidRPr="006F03EB" w:rsidRDefault="004778EC" w:rsidP="006F03EB">
      <w:pPr>
        <w:widowControl w:val="0"/>
        <w:autoSpaceDE w:val="0"/>
        <w:autoSpaceDN w:val="0"/>
        <w:spacing w:before="0" w:beforeAutospacing="0" w:after="0" w:afterAutospacing="0" w:line="276" w:lineRule="auto"/>
        <w:contextualSpacing/>
        <w:rPr>
          <w:rFonts w:ascii="Tahoma" w:eastAsia="Calibri" w:hAnsi="Tahoma" w:cs="Tahoma"/>
          <w:lang w:val="es-ES"/>
        </w:rPr>
      </w:pPr>
    </w:p>
    <w:p w14:paraId="784CEE54" w14:textId="09413DF2" w:rsidR="00BE4F7B" w:rsidRPr="006F03EB" w:rsidRDefault="00997CB4" w:rsidP="006F03EB">
      <w:pPr>
        <w:widowControl w:val="0"/>
        <w:autoSpaceDE w:val="0"/>
        <w:autoSpaceDN w:val="0"/>
        <w:spacing w:before="0" w:beforeAutospacing="0" w:after="0" w:afterAutospacing="0" w:line="276" w:lineRule="auto"/>
        <w:contextualSpacing/>
        <w:rPr>
          <w:rFonts w:ascii="Tahoma" w:eastAsia="Calibri" w:hAnsi="Tahoma" w:cs="Tahoma"/>
          <w:lang w:val="es-ES"/>
        </w:rPr>
      </w:pPr>
      <w:r w:rsidRPr="006F03EB">
        <w:rPr>
          <w:rFonts w:ascii="Tahoma" w:eastAsia="Calibri" w:hAnsi="Tahoma" w:cs="Tahoma"/>
          <w:lang w:val="es-ES"/>
        </w:rPr>
        <w:t>Agregó que n</w:t>
      </w:r>
      <w:r w:rsidR="00BE4F7B" w:rsidRPr="006F03EB">
        <w:rPr>
          <w:rFonts w:ascii="Tahoma" w:eastAsia="Calibri" w:hAnsi="Tahoma" w:cs="Tahoma"/>
          <w:lang w:val="es-ES"/>
        </w:rPr>
        <w:t>o se le puede imponer</w:t>
      </w:r>
      <w:r w:rsidRPr="006F03EB">
        <w:rPr>
          <w:rFonts w:ascii="Tahoma" w:eastAsia="Calibri" w:hAnsi="Tahoma" w:cs="Tahoma"/>
          <w:lang w:val="es-ES"/>
        </w:rPr>
        <w:t xml:space="preserve"> a las AFP</w:t>
      </w:r>
      <w:r w:rsidR="00BE4F7B" w:rsidRPr="006F03EB">
        <w:rPr>
          <w:rFonts w:ascii="Tahoma" w:eastAsia="Calibri" w:hAnsi="Tahoma" w:cs="Tahoma"/>
          <w:lang w:val="es-ES"/>
        </w:rPr>
        <w:t xml:space="preserve"> la carga de </w:t>
      </w:r>
      <w:r w:rsidRPr="006F03EB">
        <w:rPr>
          <w:rFonts w:ascii="Tahoma" w:eastAsia="Calibri" w:hAnsi="Tahoma" w:cs="Tahoma"/>
          <w:lang w:val="es-ES"/>
        </w:rPr>
        <w:t>contar con una prueba</w:t>
      </w:r>
      <w:r w:rsidR="00BE4F7B" w:rsidRPr="006F03EB">
        <w:rPr>
          <w:rFonts w:ascii="Tahoma" w:eastAsia="Calibri" w:hAnsi="Tahoma" w:cs="Tahoma"/>
          <w:lang w:val="es-ES"/>
        </w:rPr>
        <w:t xml:space="preserve"> documental para la época del traslado, ya que </w:t>
      </w:r>
      <w:r w:rsidRPr="006F03EB">
        <w:rPr>
          <w:rFonts w:ascii="Tahoma" w:eastAsia="Calibri" w:hAnsi="Tahoma" w:cs="Tahoma"/>
          <w:lang w:val="es-ES"/>
        </w:rPr>
        <w:t xml:space="preserve">para ese tiempo </w:t>
      </w:r>
      <w:r w:rsidR="00BE4F7B" w:rsidRPr="006F03EB">
        <w:rPr>
          <w:rFonts w:ascii="Tahoma" w:eastAsia="Calibri" w:hAnsi="Tahoma" w:cs="Tahoma"/>
          <w:lang w:val="es-ES"/>
        </w:rPr>
        <w:t>la asesoría era verbal</w:t>
      </w:r>
      <w:r w:rsidRPr="006F03EB">
        <w:rPr>
          <w:rFonts w:ascii="Tahoma" w:eastAsia="Calibri" w:hAnsi="Tahoma" w:cs="Tahoma"/>
          <w:lang w:val="es-ES"/>
        </w:rPr>
        <w:t>, lo que vulnera el derecho de defensa al acepar las pretensiones del demandante solo con su afirmación, más</w:t>
      </w:r>
      <w:r w:rsidR="00BE4F7B" w:rsidRPr="006F03EB">
        <w:rPr>
          <w:rFonts w:ascii="Tahoma" w:eastAsia="Calibri" w:hAnsi="Tahoma" w:cs="Tahoma"/>
          <w:lang w:val="es-ES"/>
        </w:rPr>
        <w:t xml:space="preserve"> de 27 años</w:t>
      </w:r>
      <w:r w:rsidRPr="006F03EB">
        <w:rPr>
          <w:rFonts w:ascii="Tahoma" w:eastAsia="Calibri" w:hAnsi="Tahoma" w:cs="Tahoma"/>
          <w:lang w:val="es-ES"/>
        </w:rPr>
        <w:t xml:space="preserve"> después, motivada en la inconveniencia económica del fondo privado. </w:t>
      </w:r>
      <w:r w:rsidR="00BE4F7B" w:rsidRPr="006F03EB">
        <w:rPr>
          <w:rFonts w:ascii="Tahoma" w:eastAsia="Calibri" w:hAnsi="Tahoma" w:cs="Tahoma"/>
          <w:lang w:val="es-ES"/>
        </w:rPr>
        <w:t xml:space="preserve"> </w:t>
      </w:r>
    </w:p>
    <w:p w14:paraId="7E8C688A" w14:textId="6B9366AC" w:rsidR="00BE4F7B" w:rsidRPr="006F03EB" w:rsidRDefault="00BE4F7B" w:rsidP="006F03EB">
      <w:pPr>
        <w:widowControl w:val="0"/>
        <w:autoSpaceDE w:val="0"/>
        <w:autoSpaceDN w:val="0"/>
        <w:spacing w:before="0" w:beforeAutospacing="0" w:after="0" w:afterAutospacing="0" w:line="276" w:lineRule="auto"/>
        <w:contextualSpacing/>
        <w:rPr>
          <w:rFonts w:ascii="Tahoma" w:eastAsia="Calibri" w:hAnsi="Tahoma" w:cs="Tahoma"/>
          <w:lang w:val="es-ES"/>
        </w:rPr>
      </w:pPr>
    </w:p>
    <w:p w14:paraId="41D6503B" w14:textId="773ACE50" w:rsidR="0037594A" w:rsidRPr="006F03EB" w:rsidRDefault="00997CB4" w:rsidP="006F03EB">
      <w:pPr>
        <w:widowControl w:val="0"/>
        <w:autoSpaceDE w:val="0"/>
        <w:autoSpaceDN w:val="0"/>
        <w:spacing w:before="0" w:beforeAutospacing="0" w:after="0" w:afterAutospacing="0" w:line="276" w:lineRule="auto"/>
        <w:contextualSpacing/>
        <w:rPr>
          <w:rFonts w:ascii="Tahoma" w:eastAsia="Calibri" w:hAnsi="Tahoma" w:cs="Tahoma"/>
          <w:lang w:val="es-ES"/>
        </w:rPr>
      </w:pPr>
      <w:r w:rsidRPr="006F03EB">
        <w:rPr>
          <w:rFonts w:ascii="Tahoma" w:eastAsia="Calibri" w:hAnsi="Tahoma" w:cs="Tahoma"/>
          <w:lang w:val="es-ES"/>
        </w:rPr>
        <w:t>Finalmente, solicitó que no se condene en costas de segunda instancia a Colpensiones, puesto que debe asumir</w:t>
      </w:r>
      <w:r w:rsidR="00BE4F7B" w:rsidRPr="006F03EB">
        <w:rPr>
          <w:rFonts w:ascii="Tahoma" w:eastAsia="Calibri" w:hAnsi="Tahoma" w:cs="Tahoma"/>
          <w:lang w:val="es-ES"/>
        </w:rPr>
        <w:t xml:space="preserve"> las consecuencias negativas</w:t>
      </w:r>
      <w:r w:rsidRPr="006F03EB">
        <w:rPr>
          <w:rFonts w:ascii="Tahoma" w:eastAsia="Calibri" w:hAnsi="Tahoma" w:cs="Tahoma"/>
          <w:lang w:val="es-ES"/>
        </w:rPr>
        <w:t xml:space="preserve"> de la ineficacia, en detrimento de la estabilidad financiera del sistema,</w:t>
      </w:r>
      <w:r w:rsidR="00BE4F7B" w:rsidRPr="006F03EB">
        <w:rPr>
          <w:rFonts w:ascii="Tahoma" w:eastAsia="Calibri" w:hAnsi="Tahoma" w:cs="Tahoma"/>
          <w:lang w:val="es-ES"/>
        </w:rPr>
        <w:t xml:space="preserve"> sin haber tenido injerencia</w:t>
      </w:r>
      <w:r w:rsidRPr="006F03EB">
        <w:rPr>
          <w:rFonts w:ascii="Tahoma" w:eastAsia="Calibri" w:hAnsi="Tahoma" w:cs="Tahoma"/>
          <w:lang w:val="es-ES"/>
        </w:rPr>
        <w:t xml:space="preserve"> en el acto reprochado y sin que el demandante haya ahorrado sus últimos años allí. </w:t>
      </w:r>
      <w:r w:rsidR="00BE4F7B" w:rsidRPr="006F03EB">
        <w:rPr>
          <w:rFonts w:ascii="Tahoma" w:eastAsia="Calibri" w:hAnsi="Tahoma" w:cs="Tahoma"/>
          <w:lang w:val="es-ES"/>
        </w:rPr>
        <w:t xml:space="preserve"> </w:t>
      </w:r>
    </w:p>
    <w:p w14:paraId="20C029A2" w14:textId="32CB82C0" w:rsidR="008F4A6D" w:rsidRPr="006F03EB" w:rsidRDefault="008F4A6D" w:rsidP="006F03EB">
      <w:pPr>
        <w:widowControl w:val="0"/>
        <w:autoSpaceDE w:val="0"/>
        <w:autoSpaceDN w:val="0"/>
        <w:spacing w:before="0" w:beforeAutospacing="0" w:after="0" w:afterAutospacing="0" w:line="276" w:lineRule="auto"/>
        <w:contextualSpacing/>
        <w:rPr>
          <w:rFonts w:ascii="Tahoma" w:eastAsia="Calibri" w:hAnsi="Tahoma" w:cs="Tahoma"/>
          <w:lang w:val="es-ES"/>
        </w:rPr>
      </w:pPr>
    </w:p>
    <w:p w14:paraId="4463CBE1" w14:textId="77777777" w:rsidR="004778EC" w:rsidRPr="006F03EB" w:rsidRDefault="004778EC" w:rsidP="006F03EB">
      <w:pPr>
        <w:widowControl w:val="0"/>
        <w:autoSpaceDE w:val="0"/>
        <w:autoSpaceDN w:val="0"/>
        <w:spacing w:before="0" w:beforeAutospacing="0" w:after="0" w:afterAutospacing="0" w:line="276" w:lineRule="auto"/>
        <w:contextualSpacing/>
        <w:rPr>
          <w:rFonts w:ascii="Tahoma" w:eastAsia="Calibri" w:hAnsi="Tahoma" w:cs="Tahoma"/>
          <w:lang w:val="es-ES"/>
        </w:rPr>
      </w:pPr>
    </w:p>
    <w:p w14:paraId="5681262D" w14:textId="77777777" w:rsidR="00363345" w:rsidRPr="006F03EB" w:rsidRDefault="00363345" w:rsidP="006F03EB">
      <w:pPr>
        <w:pStyle w:val="Prrafodelista"/>
        <w:widowControl w:val="0"/>
        <w:numPr>
          <w:ilvl w:val="0"/>
          <w:numId w:val="1"/>
        </w:numPr>
        <w:autoSpaceDE w:val="0"/>
        <w:autoSpaceDN w:val="0"/>
        <w:spacing w:line="276" w:lineRule="auto"/>
        <w:jc w:val="center"/>
        <w:rPr>
          <w:rFonts w:eastAsiaTheme="minorEastAsia" w:cs="Tahoma"/>
          <w:b/>
          <w:bCs/>
          <w:szCs w:val="24"/>
          <w:lang w:val="es-ES"/>
        </w:rPr>
      </w:pPr>
      <w:r w:rsidRPr="006F03EB">
        <w:rPr>
          <w:rFonts w:eastAsia="Tahoma" w:cs="Tahoma"/>
          <w:b/>
          <w:bCs/>
          <w:szCs w:val="24"/>
          <w:lang w:val="es"/>
        </w:rPr>
        <w:t>Alegatos de conclusión</w:t>
      </w:r>
    </w:p>
    <w:p w14:paraId="33A27BB1" w14:textId="77777777" w:rsidR="00363345" w:rsidRPr="006F03EB" w:rsidRDefault="00363345" w:rsidP="006F03EB">
      <w:pPr>
        <w:spacing w:before="0" w:beforeAutospacing="0" w:after="0" w:afterAutospacing="0" w:line="276" w:lineRule="auto"/>
        <w:ind w:firstLine="708"/>
        <w:contextualSpacing/>
        <w:rPr>
          <w:rFonts w:ascii="Tahoma" w:eastAsia="Tahoma" w:hAnsi="Tahoma" w:cs="Tahoma"/>
        </w:rPr>
      </w:pPr>
    </w:p>
    <w:p w14:paraId="7B700BFD" w14:textId="0FD2F8BD" w:rsidR="00363345" w:rsidRPr="006F03EB" w:rsidRDefault="00363345" w:rsidP="006F03EB">
      <w:pPr>
        <w:spacing w:before="0" w:beforeAutospacing="0" w:after="0" w:afterAutospacing="0" w:line="276" w:lineRule="auto"/>
        <w:ind w:firstLine="708"/>
        <w:contextualSpacing/>
        <w:rPr>
          <w:rFonts w:ascii="Tahoma" w:eastAsia="Tahoma" w:hAnsi="Tahoma" w:cs="Tahoma"/>
        </w:rPr>
      </w:pPr>
      <w:r w:rsidRPr="006F03EB">
        <w:rPr>
          <w:rFonts w:ascii="Tahoma" w:eastAsia="Tahoma" w:hAnsi="Tahoma" w:cs="Tahoma"/>
        </w:rPr>
        <w:t xml:space="preserve">Analizados los alegatos presentados </w:t>
      </w:r>
      <w:r w:rsidR="005227F3" w:rsidRPr="006F03EB">
        <w:rPr>
          <w:rFonts w:ascii="Tahoma" w:eastAsia="Tahoma" w:hAnsi="Tahoma" w:cs="Tahoma"/>
        </w:rPr>
        <w:t>por</w:t>
      </w:r>
      <w:r w:rsidR="00444162" w:rsidRPr="006F03EB">
        <w:rPr>
          <w:rFonts w:ascii="Tahoma" w:eastAsia="Tahoma" w:hAnsi="Tahoma" w:cs="Tahoma"/>
        </w:rPr>
        <w:t xml:space="preserve"> ambos extremos de la litis</w:t>
      </w:r>
      <w:r w:rsidRPr="006F03EB">
        <w:rPr>
          <w:rFonts w:ascii="Tahoma" w:eastAsia="Tahoma" w:hAnsi="Tahoma" w:cs="Tahoma"/>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El Ministerio Público no conceptuó en esta instancia procesal.</w:t>
      </w:r>
    </w:p>
    <w:p w14:paraId="0F783372" w14:textId="43913F32" w:rsidR="00767097" w:rsidRPr="006F03EB" w:rsidRDefault="00767097" w:rsidP="006F03EB">
      <w:pPr>
        <w:spacing w:before="0" w:beforeAutospacing="0" w:after="0" w:afterAutospacing="0" w:line="276" w:lineRule="auto"/>
        <w:ind w:firstLine="708"/>
        <w:contextualSpacing/>
        <w:rPr>
          <w:rFonts w:ascii="Tahoma" w:eastAsia="Tahoma" w:hAnsi="Tahoma" w:cs="Tahoma"/>
        </w:rPr>
      </w:pPr>
    </w:p>
    <w:p w14:paraId="36322D71" w14:textId="77777777" w:rsidR="004778EC" w:rsidRPr="006F03EB" w:rsidRDefault="004778EC" w:rsidP="006F03EB">
      <w:pPr>
        <w:spacing w:before="0" w:beforeAutospacing="0" w:after="0" w:afterAutospacing="0" w:line="276" w:lineRule="auto"/>
        <w:ind w:firstLine="708"/>
        <w:contextualSpacing/>
        <w:rPr>
          <w:rFonts w:ascii="Tahoma" w:eastAsia="Tahoma" w:hAnsi="Tahoma" w:cs="Tahoma"/>
        </w:rPr>
      </w:pPr>
    </w:p>
    <w:p w14:paraId="644CA4BB" w14:textId="77777777" w:rsidR="00363345" w:rsidRPr="006F03EB" w:rsidRDefault="00363345" w:rsidP="006F03EB">
      <w:pPr>
        <w:widowControl w:val="0"/>
        <w:numPr>
          <w:ilvl w:val="0"/>
          <w:numId w:val="1"/>
        </w:numPr>
        <w:autoSpaceDE w:val="0"/>
        <w:autoSpaceDN w:val="0"/>
        <w:spacing w:before="0" w:beforeAutospacing="0" w:after="0" w:afterAutospacing="0" w:line="276" w:lineRule="auto"/>
        <w:contextualSpacing/>
        <w:jc w:val="center"/>
        <w:rPr>
          <w:rFonts w:ascii="Tahoma" w:eastAsiaTheme="minorEastAsia" w:hAnsi="Tahoma" w:cs="Tahoma"/>
          <w:b/>
          <w:bCs/>
          <w:lang w:val="es-ES"/>
        </w:rPr>
      </w:pPr>
      <w:r w:rsidRPr="006F03EB">
        <w:rPr>
          <w:rFonts w:ascii="Tahoma" w:eastAsia="Tahoma" w:hAnsi="Tahoma" w:cs="Tahoma"/>
          <w:b/>
          <w:bCs/>
          <w:lang w:val="es"/>
        </w:rPr>
        <w:t>Problemas jurídicos por resolver</w:t>
      </w:r>
    </w:p>
    <w:p w14:paraId="6B587EC9" w14:textId="77777777" w:rsidR="00363345" w:rsidRPr="006F03EB" w:rsidRDefault="00363345" w:rsidP="006F03EB">
      <w:pPr>
        <w:spacing w:before="0" w:beforeAutospacing="0" w:after="0" w:afterAutospacing="0" w:line="276" w:lineRule="auto"/>
        <w:ind w:firstLine="708"/>
        <w:contextualSpacing/>
        <w:rPr>
          <w:rFonts w:ascii="Tahoma" w:hAnsi="Tahoma" w:cs="Tahoma"/>
        </w:rPr>
      </w:pPr>
    </w:p>
    <w:p w14:paraId="3D04D197" w14:textId="77777777" w:rsidR="00363345" w:rsidRPr="006F03EB" w:rsidRDefault="00363345" w:rsidP="006F03EB">
      <w:pPr>
        <w:spacing w:before="0" w:beforeAutospacing="0" w:after="0" w:afterAutospacing="0" w:line="276" w:lineRule="auto"/>
        <w:ind w:firstLine="708"/>
        <w:contextualSpacing/>
        <w:rPr>
          <w:rFonts w:ascii="Tahoma" w:hAnsi="Tahoma" w:cs="Tahoma"/>
        </w:rPr>
      </w:pPr>
      <w:r w:rsidRPr="006F03EB">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7CE96F55" w14:textId="77777777" w:rsidR="00363345" w:rsidRPr="006F03EB" w:rsidRDefault="00363345" w:rsidP="006F03EB">
      <w:pPr>
        <w:spacing w:before="0" w:beforeAutospacing="0" w:after="0" w:afterAutospacing="0" w:line="276" w:lineRule="auto"/>
        <w:ind w:firstLine="708"/>
        <w:contextualSpacing/>
        <w:rPr>
          <w:rFonts w:ascii="Tahoma" w:hAnsi="Tahoma" w:cs="Tahoma"/>
        </w:rPr>
      </w:pPr>
    </w:p>
    <w:p w14:paraId="22611C26" w14:textId="64FB3FE3" w:rsidR="00363345" w:rsidRPr="006F03EB" w:rsidRDefault="00363345" w:rsidP="006F03EB">
      <w:pPr>
        <w:pStyle w:val="Prrafodelista"/>
        <w:numPr>
          <w:ilvl w:val="0"/>
          <w:numId w:val="10"/>
        </w:numPr>
        <w:spacing w:line="276" w:lineRule="auto"/>
        <w:ind w:left="0" w:firstLine="709"/>
        <w:rPr>
          <w:rFonts w:cs="Tahoma"/>
          <w:szCs w:val="24"/>
        </w:rPr>
      </w:pPr>
      <w:r w:rsidRPr="006F03EB">
        <w:rPr>
          <w:rFonts w:cs="Tahoma"/>
          <w:szCs w:val="24"/>
        </w:rPr>
        <w:t xml:space="preserve">Establecer si para el momento en que la parte actora efectuó el traslado del régimen de prima media al régimen de ahorro individual, existía normatividad </w:t>
      </w:r>
      <w:r w:rsidRPr="006F03EB">
        <w:rPr>
          <w:rFonts w:cs="Tahoma"/>
          <w:szCs w:val="24"/>
        </w:rPr>
        <w:lastRenderedPageBreak/>
        <w:t>vigente que obliga</w:t>
      </w:r>
      <w:r w:rsidR="00A526C1" w:rsidRPr="006F03EB">
        <w:rPr>
          <w:rFonts w:cs="Tahoma"/>
          <w:szCs w:val="24"/>
        </w:rPr>
        <w:t>ra</w:t>
      </w:r>
      <w:r w:rsidRPr="006F03EB">
        <w:rPr>
          <w:rFonts w:cs="Tahoma"/>
          <w:szCs w:val="24"/>
        </w:rPr>
        <w:t xml:space="preserve"> a la entidad administradora de pensiones a brindarle al potencial afiliado información suficiente sobre las consecuencias del cambio de régimen.</w:t>
      </w:r>
    </w:p>
    <w:p w14:paraId="0281927C" w14:textId="77777777" w:rsidR="00363345" w:rsidRPr="006F03EB" w:rsidRDefault="00363345" w:rsidP="006F03EB">
      <w:pPr>
        <w:spacing w:before="0" w:beforeAutospacing="0" w:after="0" w:afterAutospacing="0" w:line="276" w:lineRule="auto"/>
        <w:ind w:firstLine="708"/>
        <w:contextualSpacing/>
        <w:rPr>
          <w:rFonts w:ascii="Tahoma" w:hAnsi="Tahoma" w:cs="Tahoma"/>
        </w:rPr>
      </w:pPr>
    </w:p>
    <w:p w14:paraId="3FDD46C2" w14:textId="77777777" w:rsidR="00363345" w:rsidRPr="006F03EB" w:rsidRDefault="00363345" w:rsidP="006F03EB">
      <w:pPr>
        <w:pStyle w:val="Prrafodelista"/>
        <w:numPr>
          <w:ilvl w:val="0"/>
          <w:numId w:val="10"/>
        </w:numPr>
        <w:spacing w:line="276" w:lineRule="auto"/>
        <w:ind w:left="0" w:firstLine="709"/>
        <w:rPr>
          <w:rFonts w:cs="Tahoma"/>
          <w:szCs w:val="24"/>
        </w:rPr>
      </w:pPr>
      <w:r w:rsidRPr="006F03EB">
        <w:rPr>
          <w:rFonts w:cs="Tahoma"/>
          <w:szCs w:val="24"/>
        </w:rPr>
        <w:t>Definir si para dar por cumplido el deber de información de las AFP es suficiente el diligenciamiento del formulario de afiliación.</w:t>
      </w:r>
    </w:p>
    <w:p w14:paraId="26F064A9" w14:textId="77777777" w:rsidR="00363345" w:rsidRPr="006F03EB" w:rsidRDefault="00363345" w:rsidP="006F03EB">
      <w:pPr>
        <w:spacing w:before="0" w:beforeAutospacing="0" w:after="0" w:afterAutospacing="0" w:line="276" w:lineRule="auto"/>
        <w:ind w:firstLine="708"/>
        <w:contextualSpacing/>
        <w:rPr>
          <w:rFonts w:ascii="Tahoma" w:hAnsi="Tahoma" w:cs="Tahoma"/>
        </w:rPr>
      </w:pPr>
    </w:p>
    <w:p w14:paraId="6F526C40" w14:textId="77777777" w:rsidR="00363345" w:rsidRPr="006F03EB" w:rsidRDefault="00363345" w:rsidP="006F03EB">
      <w:pPr>
        <w:pStyle w:val="Prrafodelista"/>
        <w:numPr>
          <w:ilvl w:val="0"/>
          <w:numId w:val="10"/>
        </w:numPr>
        <w:spacing w:line="276" w:lineRule="auto"/>
        <w:ind w:left="0" w:firstLine="709"/>
        <w:rPr>
          <w:rFonts w:cs="Tahoma"/>
          <w:szCs w:val="24"/>
        </w:rPr>
      </w:pPr>
      <w:r w:rsidRPr="006F03EB">
        <w:rPr>
          <w:rFonts w:cs="Tahoma"/>
          <w:szCs w:val="24"/>
        </w:rPr>
        <w:t xml:space="preserve">Determinar la carga probatoria que les corresponde a cada una de las partes cuando está en discusión la eficacia del traslado entre regímenes pensionales. </w:t>
      </w:r>
    </w:p>
    <w:p w14:paraId="480FD0AE" w14:textId="77777777" w:rsidR="00363345" w:rsidRPr="006F03EB" w:rsidRDefault="00363345" w:rsidP="006F03EB">
      <w:pPr>
        <w:spacing w:before="0" w:beforeAutospacing="0" w:after="0" w:afterAutospacing="0" w:line="276" w:lineRule="auto"/>
        <w:ind w:firstLine="708"/>
        <w:contextualSpacing/>
        <w:rPr>
          <w:rFonts w:ascii="Tahoma" w:hAnsi="Tahoma" w:cs="Tahoma"/>
        </w:rPr>
      </w:pPr>
    </w:p>
    <w:p w14:paraId="21C57FC0" w14:textId="0E2CB470" w:rsidR="00363345" w:rsidRPr="006F03EB" w:rsidRDefault="00363345" w:rsidP="006F03EB">
      <w:pPr>
        <w:pStyle w:val="Prrafodelista"/>
        <w:numPr>
          <w:ilvl w:val="0"/>
          <w:numId w:val="10"/>
        </w:numPr>
        <w:spacing w:line="276" w:lineRule="auto"/>
        <w:ind w:left="0" w:firstLine="709"/>
        <w:rPr>
          <w:rFonts w:cs="Tahoma"/>
          <w:szCs w:val="24"/>
        </w:rPr>
      </w:pPr>
      <w:r w:rsidRPr="006F03EB">
        <w:rPr>
          <w:rFonts w:cs="Tahoma"/>
          <w:szCs w:val="24"/>
        </w:rPr>
        <w:t xml:space="preserve">Analizar si quedó probado en el proceso que la parte demandante recibió de parte de la AFP demandada, la asesoría e información suficiente y necesaria para hacer el cambio de régimen. </w:t>
      </w:r>
    </w:p>
    <w:p w14:paraId="30C2A8BD" w14:textId="77777777" w:rsidR="00363345" w:rsidRPr="006F03EB" w:rsidRDefault="00363345" w:rsidP="006F03EB">
      <w:pPr>
        <w:spacing w:before="0" w:beforeAutospacing="0" w:after="0" w:afterAutospacing="0" w:line="276" w:lineRule="auto"/>
        <w:ind w:firstLine="708"/>
        <w:contextualSpacing/>
        <w:rPr>
          <w:rFonts w:ascii="Tahoma" w:hAnsi="Tahoma" w:cs="Tahoma"/>
        </w:rPr>
      </w:pPr>
    </w:p>
    <w:p w14:paraId="36D03925" w14:textId="2E11DFD7" w:rsidR="00363345" w:rsidRPr="006F03EB" w:rsidRDefault="00363345" w:rsidP="006F03EB">
      <w:pPr>
        <w:pStyle w:val="Prrafodelista"/>
        <w:numPr>
          <w:ilvl w:val="0"/>
          <w:numId w:val="10"/>
        </w:numPr>
        <w:spacing w:line="276" w:lineRule="auto"/>
        <w:ind w:left="0" w:firstLine="709"/>
        <w:rPr>
          <w:rFonts w:cs="Tahoma"/>
          <w:szCs w:val="24"/>
        </w:rPr>
      </w:pPr>
      <w:r w:rsidRPr="006F03EB">
        <w:rPr>
          <w:rFonts w:cs="Tahoma"/>
          <w:szCs w:val="24"/>
        </w:rPr>
        <w:t xml:space="preserve">Establecer si se debe ordenar a la AFP demandada la devolución, con cargo a sus propios recursos los gastos de administración, comisiones, cuotas de garantía de pensión mínima y seguros previsionales a Colpensiones. </w:t>
      </w:r>
    </w:p>
    <w:p w14:paraId="6D2D1C27" w14:textId="77777777" w:rsidR="00363345" w:rsidRPr="006F03EB" w:rsidRDefault="00363345" w:rsidP="006F03EB">
      <w:pPr>
        <w:spacing w:before="0" w:beforeAutospacing="0" w:after="0" w:afterAutospacing="0" w:line="276" w:lineRule="auto"/>
        <w:ind w:firstLine="0"/>
        <w:contextualSpacing/>
        <w:rPr>
          <w:rFonts w:ascii="Tahoma" w:hAnsi="Tahoma" w:cs="Tahoma"/>
        </w:rPr>
      </w:pPr>
    </w:p>
    <w:p w14:paraId="623FFBAD" w14:textId="4CE296F8" w:rsidR="002D01FE" w:rsidRPr="006F03EB" w:rsidRDefault="002D01FE" w:rsidP="006F03EB">
      <w:pPr>
        <w:pStyle w:val="Prrafodelista"/>
        <w:numPr>
          <w:ilvl w:val="0"/>
          <w:numId w:val="10"/>
        </w:numPr>
        <w:spacing w:line="276" w:lineRule="auto"/>
        <w:ind w:left="0" w:firstLine="709"/>
        <w:rPr>
          <w:rFonts w:cs="Tahoma"/>
          <w:szCs w:val="24"/>
        </w:rPr>
      </w:pPr>
      <w:r w:rsidRPr="006F03EB">
        <w:rPr>
          <w:rFonts w:cs="Tahoma"/>
          <w:szCs w:val="24"/>
        </w:rPr>
        <w:t>Concluir si la prohibición señalada en el literal e) del artículo 13 de la Ley 100 de 1993, modificado por el artículo 2º de la Ley 797 de 2003, es atendible en aquellos eventos donde se discute la ineficacia del traslado de régimen pensional.</w:t>
      </w:r>
    </w:p>
    <w:p w14:paraId="78C14783" w14:textId="77777777" w:rsidR="002D01FE" w:rsidRPr="006F03EB" w:rsidRDefault="002D01FE" w:rsidP="006F03EB">
      <w:pPr>
        <w:pStyle w:val="Prrafodelista"/>
        <w:spacing w:line="276" w:lineRule="auto"/>
        <w:rPr>
          <w:rFonts w:cs="Tahoma"/>
          <w:szCs w:val="24"/>
        </w:rPr>
      </w:pPr>
    </w:p>
    <w:p w14:paraId="769DEA98" w14:textId="59992096" w:rsidR="00363345" w:rsidRPr="006F03EB" w:rsidRDefault="00964410" w:rsidP="006F03EB">
      <w:pPr>
        <w:pStyle w:val="Prrafodelista"/>
        <w:numPr>
          <w:ilvl w:val="0"/>
          <w:numId w:val="10"/>
        </w:numPr>
        <w:spacing w:line="276" w:lineRule="auto"/>
        <w:ind w:left="0" w:firstLine="709"/>
        <w:rPr>
          <w:rFonts w:cs="Tahoma"/>
          <w:szCs w:val="24"/>
        </w:rPr>
      </w:pPr>
      <w:r w:rsidRPr="006F03EB">
        <w:rPr>
          <w:rFonts w:eastAsia="Tahoma" w:cs="Tahoma"/>
          <w:szCs w:val="24"/>
          <w:lang w:eastAsia="es-CO"/>
        </w:rPr>
        <w:t>Analizar cuál es el precedente aplicable en la actualidad respecto de los actos de relacionamiento</w:t>
      </w:r>
      <w:r w:rsidR="00363345" w:rsidRPr="006F03EB">
        <w:rPr>
          <w:rFonts w:cs="Tahoma"/>
          <w:szCs w:val="24"/>
        </w:rPr>
        <w:t xml:space="preserve">. </w:t>
      </w:r>
    </w:p>
    <w:p w14:paraId="6C77CF31" w14:textId="617BB157" w:rsidR="00767097" w:rsidRDefault="00767097" w:rsidP="006F03EB">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614F3AB5" w14:textId="77777777" w:rsidR="00646CE7" w:rsidRPr="006F03EB" w:rsidRDefault="00646CE7" w:rsidP="006F03EB">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37E96C6B" w14:textId="77777777" w:rsidR="00363345" w:rsidRPr="006F03EB" w:rsidRDefault="00363345" w:rsidP="006F03EB">
      <w:pPr>
        <w:widowControl w:val="0"/>
        <w:numPr>
          <w:ilvl w:val="0"/>
          <w:numId w:val="4"/>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6F03EB">
        <w:rPr>
          <w:rFonts w:ascii="Tahoma" w:eastAsia="Calibri" w:hAnsi="Tahoma" w:cs="Tahoma"/>
          <w:b/>
          <w:bCs/>
          <w:lang w:eastAsia="es-CO"/>
        </w:rPr>
        <w:t>Consideraciones</w:t>
      </w:r>
    </w:p>
    <w:p w14:paraId="10F104B7" w14:textId="77777777" w:rsidR="00363345" w:rsidRPr="006F03EB" w:rsidRDefault="00363345" w:rsidP="006F03EB">
      <w:pPr>
        <w:widowControl w:val="0"/>
        <w:autoSpaceDE w:val="0"/>
        <w:autoSpaceDN w:val="0"/>
        <w:adjustRightInd w:val="0"/>
        <w:spacing w:before="0" w:beforeAutospacing="0" w:after="0" w:afterAutospacing="0" w:line="276" w:lineRule="auto"/>
        <w:ind w:firstLine="0"/>
        <w:rPr>
          <w:rFonts w:ascii="Tahoma" w:eastAsia="Calibri" w:hAnsi="Tahoma" w:cs="Tahoma"/>
          <w:b/>
          <w:bCs/>
          <w:lang w:eastAsia="es-CO"/>
        </w:rPr>
      </w:pPr>
    </w:p>
    <w:p w14:paraId="3C0D2E07" w14:textId="77777777" w:rsidR="00FA7D96" w:rsidRPr="001377E3" w:rsidRDefault="00FA7D96" w:rsidP="00FA7D96">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bookmarkStart w:id="7" w:name="_Hlk132203241"/>
      <w:r w:rsidRPr="001377E3">
        <w:rPr>
          <w:rFonts w:ascii="Tahoma" w:eastAsia="Calibri" w:hAnsi="Tahoma" w:cs="Tahoma"/>
          <w:b/>
          <w:bCs/>
          <w:lang w:eastAsia="es-CO"/>
        </w:rPr>
        <w:t xml:space="preserve">Precedente vertical: la tesis de la Corte Suprema de Justicia respecto al tema de la ineficacia del traslado constituye doctrina probable </w:t>
      </w:r>
    </w:p>
    <w:p w14:paraId="60ABA645" w14:textId="77777777" w:rsidR="00FA7D96" w:rsidRPr="001377E3" w:rsidRDefault="00FA7D96" w:rsidP="00FA7D9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4169C34" w14:textId="77777777" w:rsidR="00FA7D96" w:rsidRPr="001377E3" w:rsidRDefault="00FA7D96" w:rsidP="00FA7D96">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En la actualidad existe </w:t>
      </w:r>
      <w:r w:rsidRPr="001377E3">
        <w:rPr>
          <w:rFonts w:ascii="Tahoma" w:eastAsia="Calibri" w:hAnsi="Tahoma" w:cs="Tahoma"/>
          <w:b/>
          <w:bCs/>
          <w:lang w:eastAsia="es-CO"/>
        </w:rPr>
        <w:t>doctrina probable</w:t>
      </w:r>
      <w:r w:rsidRPr="001377E3">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62734963" w14:textId="77777777" w:rsidR="00FA7D96" w:rsidRPr="001377E3" w:rsidRDefault="00FA7D96" w:rsidP="00FA7D9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BD33447" w14:textId="77777777" w:rsidR="00FA7D96" w:rsidRPr="001377E3" w:rsidRDefault="00FA7D96" w:rsidP="00FA7D96">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SL 31989 del 9 sep. 2008, 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70897569" w14:textId="77777777" w:rsidR="00FA7D96" w:rsidRPr="001377E3" w:rsidRDefault="00FA7D96" w:rsidP="00FA7D9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46A3374" w14:textId="77777777" w:rsidR="00FA7D96" w:rsidRPr="001377E3" w:rsidRDefault="00FA7D96" w:rsidP="00FA7D96">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En términos generales, en todas estas sentencias se determinó </w:t>
      </w:r>
      <w:r w:rsidRPr="001377E3">
        <w:rPr>
          <w:rFonts w:ascii="Tahoma" w:eastAsia="Calibri" w:hAnsi="Tahoma" w:cs="Tahoma"/>
          <w:i/>
          <w:iCs/>
          <w:lang w:eastAsia="es-CO"/>
        </w:rPr>
        <w:t xml:space="preserve">i) </w:t>
      </w:r>
      <w:r w:rsidRPr="001377E3">
        <w:rPr>
          <w:rFonts w:ascii="Tahoma" w:eastAsia="Calibri" w:hAnsi="Tahoma" w:cs="Tahoma"/>
          <w:lang w:eastAsia="es-CO"/>
        </w:rPr>
        <w:t xml:space="preserve">el alcance del </w:t>
      </w:r>
      <w:r w:rsidRPr="001377E3">
        <w:rPr>
          <w:rFonts w:ascii="Tahoma" w:eastAsia="Calibri" w:hAnsi="Tahoma" w:cs="Tahoma"/>
          <w:lang w:eastAsia="es-CO"/>
        </w:rPr>
        <w:lastRenderedPageBreak/>
        <w:t xml:space="preserve">deber de información a cargo de las Administradoras de Fondos de Pensiones, </w:t>
      </w:r>
      <w:r w:rsidRPr="001377E3">
        <w:rPr>
          <w:rFonts w:ascii="Tahoma" w:eastAsia="Calibri" w:hAnsi="Tahoma" w:cs="Tahoma"/>
          <w:i/>
          <w:iCs/>
          <w:lang w:eastAsia="es-CO"/>
        </w:rPr>
        <w:t xml:space="preserve">ii) </w:t>
      </w:r>
      <w:r w:rsidRPr="001377E3">
        <w:rPr>
          <w:rFonts w:ascii="Tahoma" w:eastAsia="Calibri" w:hAnsi="Tahoma" w:cs="Tahoma"/>
          <w:lang w:eastAsia="es-CO"/>
        </w:rPr>
        <w:t xml:space="preserve">la procedencia de la ineficacia del traslado, </w:t>
      </w:r>
      <w:r w:rsidRPr="001377E3">
        <w:rPr>
          <w:rFonts w:ascii="Tahoma" w:eastAsia="Calibri" w:hAnsi="Tahoma" w:cs="Tahoma"/>
          <w:i/>
          <w:iCs/>
          <w:lang w:eastAsia="es-CO"/>
        </w:rPr>
        <w:t xml:space="preserve">iii) </w:t>
      </w:r>
      <w:r w:rsidRPr="001377E3">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5944E226" w14:textId="77777777" w:rsidR="00FA7D96" w:rsidRPr="001377E3" w:rsidRDefault="00FA7D96" w:rsidP="00FA7D9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2A4B30E" w14:textId="77777777" w:rsidR="00FA7D96" w:rsidRPr="001377E3" w:rsidRDefault="00FA7D96" w:rsidP="00FA7D96">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r w:rsidRPr="001377E3">
        <w:rPr>
          <w:rFonts w:ascii="Tahoma" w:eastAsia="Calibri" w:hAnsi="Tahoma" w:cs="Tahoma"/>
          <w:b/>
          <w:bCs/>
          <w:lang w:eastAsia="es-CO"/>
        </w:rPr>
        <w:t>“El deber de información a cargo de las administradoras de fondos de pensiones: Un deber exigible desde su creación</w:t>
      </w:r>
      <w:r w:rsidRPr="001377E3">
        <w:rPr>
          <w:rFonts w:ascii="Tahoma" w:eastAsia="Calibri" w:hAnsi="Tahoma" w:cs="Tahoma"/>
          <w:b/>
          <w:bCs/>
          <w:vertAlign w:val="superscript"/>
          <w:lang w:eastAsia="es-CO"/>
        </w:rPr>
        <w:footnoteReference w:id="2"/>
      </w:r>
      <w:r w:rsidRPr="001377E3">
        <w:rPr>
          <w:rFonts w:ascii="Tahoma" w:eastAsia="Calibri" w:hAnsi="Tahoma" w:cs="Tahoma"/>
          <w:b/>
          <w:bCs/>
          <w:lang w:eastAsia="es-CO"/>
        </w:rPr>
        <w:t>”</w:t>
      </w:r>
    </w:p>
    <w:p w14:paraId="43760577" w14:textId="77777777" w:rsidR="00FA7D96" w:rsidRPr="001377E3" w:rsidRDefault="00FA7D96" w:rsidP="00FA7D96">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21BC76DB" w14:textId="77777777" w:rsidR="00FA7D96" w:rsidRPr="001377E3" w:rsidRDefault="00FA7D96" w:rsidP="00FA7D96">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1377E3">
        <w:rPr>
          <w:rFonts w:ascii="Tahoma" w:eastAsia="Calibri" w:hAnsi="Tahoma" w:cs="Tahoma"/>
          <w:u w:val="single"/>
          <w:lang w:eastAsia="es-CO"/>
        </w:rPr>
        <w:t>debida diligencia y cuidado</w:t>
      </w:r>
      <w:r w:rsidRPr="001377E3">
        <w:rPr>
          <w:rFonts w:ascii="Tahoma" w:eastAsia="Calibri" w:hAnsi="Tahoma" w:cs="Tahoma"/>
          <w:lang w:eastAsia="es-CO"/>
        </w:rPr>
        <w:t xml:space="preserve"> incumbe a quien ha debido emplearla, atendiendo a las siguientes razones:</w:t>
      </w:r>
    </w:p>
    <w:p w14:paraId="5628741E" w14:textId="77777777" w:rsidR="00FA7D96" w:rsidRPr="001377E3" w:rsidRDefault="00FA7D96" w:rsidP="00FA7D96">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8FB8474" w14:textId="77777777" w:rsidR="00FA7D96" w:rsidRPr="001377E3" w:rsidRDefault="00FA7D96" w:rsidP="00FA7D96">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b/>
          <w:bCs/>
          <w:lang w:eastAsia="es-CO"/>
        </w:rPr>
        <w:t>1)</w:t>
      </w:r>
      <w:r w:rsidRPr="001377E3">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1377E3">
        <w:rPr>
          <w:rFonts w:ascii="Tahoma" w:eastAsia="Calibri" w:hAnsi="Tahoma" w:cs="Tahoma"/>
          <w:u w:val="single"/>
          <w:lang w:eastAsia="es-CO"/>
        </w:rPr>
        <w:t>Decreto 663 de 1993</w:t>
      </w:r>
      <w:r w:rsidRPr="001377E3">
        <w:rPr>
          <w:rFonts w:ascii="Tahoma" w:eastAsia="Calibri" w:hAnsi="Tahoma" w:cs="Tahoma"/>
          <w:u w:val="single"/>
          <w:vertAlign w:val="superscript"/>
          <w:lang w:eastAsia="es-CO"/>
        </w:rPr>
        <w:footnoteReference w:id="3"/>
      </w:r>
      <w:r w:rsidRPr="001377E3">
        <w:rPr>
          <w:rFonts w:ascii="Tahoma" w:eastAsia="Calibri" w:hAnsi="Tahoma" w:cs="Tahoma"/>
          <w:lang w:eastAsia="es-CO"/>
        </w:rPr>
        <w:t>, norma en la que se destaca la importancia de los principios de debida diligencia, transparencia e información cierta, suficiente y oportuna.</w:t>
      </w:r>
    </w:p>
    <w:p w14:paraId="14154304" w14:textId="77777777" w:rsidR="00FA7D96" w:rsidRPr="001377E3" w:rsidRDefault="00FA7D96" w:rsidP="00FA7D9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EB8A103" w14:textId="77777777" w:rsidR="00FA7D96" w:rsidRPr="001377E3" w:rsidRDefault="00FA7D96" w:rsidP="00FA7D96">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b/>
          <w:bCs/>
          <w:lang w:eastAsia="es-CO"/>
        </w:rPr>
        <w:t>2)</w:t>
      </w:r>
      <w:r w:rsidRPr="001377E3">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1377E3">
        <w:rPr>
          <w:rFonts w:ascii="Tahoma" w:eastAsia="Calibri" w:hAnsi="Tahoma" w:cs="Tahoma"/>
          <w:u w:val="single"/>
          <w:lang w:eastAsia="es-CO"/>
        </w:rPr>
        <w:t>suficiente, amplia y oportuna</w:t>
      </w:r>
      <w:r w:rsidRPr="001377E3">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5C05982D" w14:textId="77777777" w:rsidR="00FA7D96" w:rsidRPr="001377E3" w:rsidRDefault="00FA7D96" w:rsidP="00FA7D9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DABD701" w14:textId="77777777" w:rsidR="00FA7D96" w:rsidRPr="001377E3" w:rsidRDefault="00FA7D96" w:rsidP="00126B2C">
      <w:pPr>
        <w:widowControl w:val="0"/>
        <w:autoSpaceDE w:val="0"/>
        <w:autoSpaceDN w:val="0"/>
        <w:adjustRightInd w:val="0"/>
        <w:spacing w:before="0" w:beforeAutospacing="0" w:after="0" w:afterAutospacing="0" w:line="276" w:lineRule="auto"/>
        <w:ind w:firstLine="709"/>
        <w:rPr>
          <w:rFonts w:ascii="Tahoma" w:eastAsia="Calibri" w:hAnsi="Tahoma" w:cs="Tahoma"/>
          <w:lang w:eastAsia="es-CO"/>
        </w:rPr>
      </w:pPr>
      <w:r w:rsidRPr="001377E3">
        <w:rPr>
          <w:rFonts w:ascii="Tahoma" w:eastAsia="Calibri" w:hAnsi="Tahoma" w:cs="Tahoma"/>
          <w:b/>
          <w:bCs/>
          <w:lang w:eastAsia="es-CO"/>
        </w:rPr>
        <w:t>3)</w:t>
      </w:r>
      <w:r w:rsidRPr="001377E3">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24642758" w14:textId="77777777" w:rsidR="00FA7D96" w:rsidRPr="001377E3" w:rsidRDefault="00FA7D96" w:rsidP="00FA7D9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146169D" w14:textId="77777777" w:rsidR="00FA7D96" w:rsidRPr="001377E3" w:rsidRDefault="00FA7D96" w:rsidP="00126B2C">
      <w:pPr>
        <w:widowControl w:val="0"/>
        <w:autoSpaceDE w:val="0"/>
        <w:autoSpaceDN w:val="0"/>
        <w:adjustRightInd w:val="0"/>
        <w:spacing w:before="0" w:beforeAutospacing="0" w:after="0" w:afterAutospacing="0" w:line="276" w:lineRule="auto"/>
        <w:ind w:firstLine="709"/>
        <w:rPr>
          <w:rFonts w:ascii="Tahoma" w:eastAsia="Calibri" w:hAnsi="Tahoma" w:cs="Tahoma"/>
          <w:u w:val="single"/>
          <w:lang w:eastAsia="es-CO"/>
        </w:rPr>
      </w:pPr>
      <w:r w:rsidRPr="001377E3">
        <w:rPr>
          <w:rFonts w:ascii="Tahoma" w:eastAsia="Calibri" w:hAnsi="Tahoma" w:cs="Tahoma"/>
          <w:b/>
          <w:bCs/>
          <w:lang w:eastAsia="es-CO"/>
        </w:rPr>
        <w:t>4)</w:t>
      </w:r>
      <w:r w:rsidRPr="001377E3">
        <w:rPr>
          <w:rFonts w:ascii="Tahoma" w:eastAsia="Calibri" w:hAnsi="Tahoma" w:cs="Tahoma"/>
          <w:lang w:eastAsia="es-CO"/>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1377E3">
        <w:rPr>
          <w:rFonts w:ascii="Tahoma" w:eastAsia="Calibri" w:hAnsi="Tahoma" w:cs="Tahoma"/>
          <w:i/>
          <w:iCs/>
          <w:lang w:eastAsia="es-CO"/>
        </w:rPr>
        <w:t>“</w:t>
      </w:r>
      <w:r w:rsidRPr="001377E3">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1377E3">
        <w:rPr>
          <w:rFonts w:ascii="Tahoma" w:eastAsia="Calibri" w:hAnsi="Tahoma" w:cs="Tahoma"/>
          <w:i/>
          <w:iCs/>
          <w:u w:val="single"/>
          <w:lang w:eastAsia="es-CO"/>
        </w:rPr>
        <w:t>”</w:t>
      </w:r>
      <w:r w:rsidRPr="001377E3">
        <w:rPr>
          <w:rFonts w:ascii="Tahoma" w:eastAsia="Calibri" w:hAnsi="Tahoma" w:cs="Tahoma"/>
          <w:u w:val="single"/>
          <w:lang w:eastAsia="es-CO"/>
        </w:rPr>
        <w:t>.</w:t>
      </w:r>
    </w:p>
    <w:p w14:paraId="68DE4EFD" w14:textId="77777777" w:rsidR="00FA7D96" w:rsidRPr="001377E3" w:rsidRDefault="00FA7D96" w:rsidP="00FA7D96">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p>
    <w:p w14:paraId="33892477" w14:textId="77777777" w:rsidR="00FA7D96" w:rsidRPr="001377E3" w:rsidRDefault="00FA7D96" w:rsidP="00FA7D9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iCs/>
          <w:lang w:eastAsia="es-CO"/>
        </w:rPr>
        <w:tab/>
      </w:r>
      <w:r w:rsidRPr="001377E3">
        <w:rPr>
          <w:rFonts w:ascii="Tahoma" w:eastAsia="Calibri" w:hAnsi="Tahoma" w:cs="Tahoma"/>
          <w:lang w:eastAsia="es-CO"/>
        </w:rPr>
        <w:t xml:space="preserve">Con sustento en lo anterior, es evidente que en todos los casos en que un </w:t>
      </w:r>
      <w:r w:rsidRPr="001377E3">
        <w:rPr>
          <w:rFonts w:ascii="Tahoma" w:eastAsia="Calibri" w:hAnsi="Tahoma" w:cs="Tahoma"/>
          <w:lang w:eastAsia="es-CO"/>
        </w:rPr>
        <w:lastRenderedPageBreak/>
        <w:t xml:space="preserve">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F48B9EE" w14:textId="77777777" w:rsidR="00FA7D96" w:rsidRPr="001377E3" w:rsidRDefault="00FA7D96" w:rsidP="00FA7D9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411AAFE" w14:textId="77777777" w:rsidR="00FA7D96" w:rsidRPr="001377E3" w:rsidRDefault="00FA7D96" w:rsidP="00FA7D9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iCs/>
          <w:lang w:eastAsia="es-CO"/>
        </w:rPr>
        <w:tab/>
      </w:r>
      <w:r w:rsidRPr="001377E3">
        <w:rPr>
          <w:rFonts w:ascii="Tahoma" w:eastAsia="Calibri" w:hAnsi="Tahoma" w:cs="Tahoma"/>
          <w:lang w:eastAsia="es-CO"/>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04D9895A" w14:textId="77777777" w:rsidR="00FA7D96" w:rsidRPr="001377E3" w:rsidRDefault="00FA7D96" w:rsidP="00FA7D9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876E237" w14:textId="77777777" w:rsidR="00FA7D96" w:rsidRPr="001377E3" w:rsidRDefault="00FA7D96" w:rsidP="00FA7D9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lang w:eastAsia="es-CO"/>
        </w:rPr>
        <w:tab/>
        <w:t>Ello así, también ha dicho el órgano de cierre de la especialidad laboral, que las AFP demandadas se encuentran en una situación de ventaja que les permite aportar las evidencias respecto a si se le brindó al afiliado la información cierta, suficiente, comprensible y oportuna a la hora de convencerlo de trasladarse de régimen.</w:t>
      </w:r>
    </w:p>
    <w:p w14:paraId="73D12B5F" w14:textId="77777777" w:rsidR="00FA7D96" w:rsidRPr="001377E3" w:rsidRDefault="00FA7D96" w:rsidP="00FA7D9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A79E215" w14:textId="77777777" w:rsidR="00FA7D96" w:rsidRPr="001377E3" w:rsidRDefault="00FA7D96" w:rsidP="00FA7D96">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8" w:name="_Hlk90025453"/>
      <w:r w:rsidRPr="001377E3">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1377E3">
        <w:rPr>
          <w:rFonts w:ascii="Tahoma" w:eastAsia="Calibri" w:hAnsi="Tahoma" w:cs="Tahoma"/>
          <w:b/>
          <w:lang w:eastAsia="es-CO"/>
        </w:rPr>
        <w:t xml:space="preserve">necesaria y transparente, </w:t>
      </w:r>
      <w:r w:rsidRPr="001377E3">
        <w:rPr>
          <w:rFonts w:ascii="Tahoma" w:eastAsia="Calibri" w:hAnsi="Tahoma" w:cs="Tahoma"/>
          <w:lang w:eastAsia="es-CO"/>
        </w:rPr>
        <w:t xml:space="preserve">que con el transcurrir del tiempo esta exigencia cambió, pasando de un deber de información necesaria al de </w:t>
      </w:r>
      <w:r w:rsidRPr="001377E3">
        <w:rPr>
          <w:rFonts w:ascii="Tahoma" w:eastAsia="Calibri" w:hAnsi="Tahoma" w:cs="Tahoma"/>
          <w:b/>
          <w:lang w:eastAsia="es-CO"/>
        </w:rPr>
        <w:t>asesoría y buen consejo</w:t>
      </w:r>
      <w:r w:rsidRPr="001377E3">
        <w:rPr>
          <w:rFonts w:ascii="Tahoma" w:eastAsia="Calibri" w:hAnsi="Tahoma" w:cs="Tahoma"/>
          <w:lang w:eastAsia="es-CO"/>
        </w:rPr>
        <w:t xml:space="preserve">, y finalmente al de </w:t>
      </w:r>
      <w:r w:rsidRPr="001377E3">
        <w:rPr>
          <w:rFonts w:ascii="Tahoma" w:eastAsia="Calibri" w:hAnsi="Tahoma" w:cs="Tahoma"/>
          <w:b/>
          <w:lang w:eastAsia="es-CO"/>
        </w:rPr>
        <w:t>doble asesoría</w:t>
      </w:r>
      <w:r w:rsidRPr="001377E3">
        <w:rPr>
          <w:rFonts w:ascii="Tahoma" w:eastAsia="Calibri" w:hAnsi="Tahoma" w:cs="Tahoma"/>
          <w:lang w:eastAsia="es-CO"/>
        </w:rPr>
        <w:t>, explicando en qué consiste cada uno de esos conceptos</w:t>
      </w:r>
      <w:bookmarkEnd w:id="8"/>
      <w:r w:rsidRPr="001377E3">
        <w:rPr>
          <w:rFonts w:ascii="Tahoma" w:eastAsia="Calibri" w:hAnsi="Tahoma" w:cs="Tahoma"/>
          <w:lang w:eastAsia="es-CO"/>
        </w:rPr>
        <w:t>. Dicho recuento histórico, se compendia de la siguiente manera:</w:t>
      </w:r>
    </w:p>
    <w:p w14:paraId="5021E896" w14:textId="77777777" w:rsidR="00363345" w:rsidRPr="006F03EB" w:rsidRDefault="00363345" w:rsidP="006F03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5E305DF" w14:textId="77777777" w:rsidR="00126B2C" w:rsidRPr="00126B2C" w:rsidRDefault="00126B2C" w:rsidP="00126B2C">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9" w:name="_Hlk66368436"/>
      <w:r w:rsidRPr="00126B2C">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61650E22" w14:textId="77777777" w:rsidR="00126B2C" w:rsidRPr="00126B2C" w:rsidRDefault="00126B2C" w:rsidP="00126B2C">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126B2C" w:rsidRPr="00126B2C" w14:paraId="3D34F469" w14:textId="77777777" w:rsidTr="00BD274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CDC0B2F"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b/>
                <w:bCs/>
                <w:i/>
                <w:iCs/>
                <w:sz w:val="20"/>
                <w:lang w:eastAsia="es-ES"/>
              </w:rPr>
              <w:t>Etapa acumulativa</w:t>
            </w:r>
            <w:r w:rsidRPr="00126B2C">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0A60C4D"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b/>
                <w:bCs/>
                <w:i/>
                <w:iCs/>
                <w:sz w:val="20"/>
                <w:lang w:eastAsia="es-ES"/>
              </w:rPr>
              <w:t>Normas que obligan a las administradoras de pensiones a dar información</w:t>
            </w:r>
            <w:r w:rsidRPr="00126B2C">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D32B420"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b/>
                <w:bCs/>
                <w:i/>
                <w:iCs/>
                <w:sz w:val="20"/>
                <w:lang w:eastAsia="es-ES"/>
              </w:rPr>
              <w:t>Contenido mínimo y alcance del deber de información</w:t>
            </w:r>
            <w:r w:rsidRPr="00126B2C">
              <w:rPr>
                <w:rFonts w:ascii="Tahoma" w:eastAsia="Times New Roman" w:hAnsi="Tahoma" w:cs="Tahoma"/>
                <w:sz w:val="20"/>
                <w:lang w:eastAsia="es-ES"/>
              </w:rPr>
              <w:t> </w:t>
            </w:r>
          </w:p>
        </w:tc>
      </w:tr>
      <w:tr w:rsidR="00126B2C" w:rsidRPr="00126B2C" w14:paraId="62BDB976" w14:textId="77777777" w:rsidTr="00BD274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391303E"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Deber de información </w:t>
            </w:r>
            <w:r w:rsidRPr="00126B2C">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3F49B07"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Arts. 13 literal b), 271 y 272 de la Ley 100 de 1993</w:t>
            </w:r>
            <w:r w:rsidRPr="00126B2C">
              <w:rPr>
                <w:rFonts w:ascii="Tahoma" w:eastAsia="Times New Roman" w:hAnsi="Tahoma" w:cs="Tahoma"/>
                <w:sz w:val="20"/>
                <w:lang w:eastAsia="es-ES"/>
              </w:rPr>
              <w:t> </w:t>
            </w:r>
          </w:p>
          <w:p w14:paraId="39EC59F3"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Art. 97, numeral 1 del Decreto 663 de 1993, modificado por el artículo 23 de la Ley 797 de 2003</w:t>
            </w:r>
            <w:r w:rsidRPr="00126B2C">
              <w:rPr>
                <w:rFonts w:ascii="Tahoma" w:eastAsia="Times New Roman" w:hAnsi="Tahoma" w:cs="Tahoma"/>
                <w:sz w:val="20"/>
                <w:lang w:eastAsia="es-ES"/>
              </w:rPr>
              <w:t> </w:t>
            </w:r>
          </w:p>
          <w:p w14:paraId="3B43832A"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Disposiciones constitucionales relativas al derecho a la información, no menoscabo de derechos laborales y autonomía personal</w:t>
            </w:r>
            <w:r w:rsidRPr="00126B2C">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80BAB77"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126B2C">
              <w:rPr>
                <w:rFonts w:ascii="Tahoma" w:eastAsia="Times New Roman" w:hAnsi="Tahoma" w:cs="Tahoma"/>
                <w:sz w:val="20"/>
                <w:lang w:eastAsia="es-ES"/>
              </w:rPr>
              <w:t> </w:t>
            </w:r>
          </w:p>
        </w:tc>
      </w:tr>
      <w:tr w:rsidR="00126B2C" w:rsidRPr="00126B2C" w14:paraId="06CB1467" w14:textId="77777777" w:rsidTr="00BD274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380DDC7"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lastRenderedPageBreak/>
              <w:t>Deber de información, asesoría y buen consejo</w:t>
            </w:r>
            <w:r w:rsidRPr="00126B2C">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1C8E314"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Artículo 3, literal c) de la Ley 1328 de 2009</w:t>
            </w:r>
            <w:r w:rsidRPr="00126B2C">
              <w:rPr>
                <w:rFonts w:ascii="Tahoma" w:eastAsia="Times New Roman" w:hAnsi="Tahoma" w:cs="Tahoma"/>
                <w:sz w:val="20"/>
                <w:lang w:eastAsia="es-ES"/>
              </w:rPr>
              <w:t> </w:t>
            </w:r>
          </w:p>
          <w:p w14:paraId="32BC2A31"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Decreto 2241 de 2010</w:t>
            </w:r>
            <w:r w:rsidRPr="00126B2C">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7AB6EEB"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126B2C">
              <w:rPr>
                <w:rFonts w:ascii="Tahoma" w:eastAsia="Times New Roman" w:hAnsi="Tahoma" w:cs="Tahoma"/>
                <w:sz w:val="20"/>
                <w:lang w:eastAsia="es-ES"/>
              </w:rPr>
              <w:t> </w:t>
            </w:r>
          </w:p>
        </w:tc>
      </w:tr>
      <w:tr w:rsidR="00126B2C" w:rsidRPr="00126B2C" w14:paraId="793AFAAF" w14:textId="77777777" w:rsidTr="00BD274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7DA5D9A"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Deber de información, asesoría, buen consejo y doble asesoría. </w:t>
            </w:r>
            <w:r w:rsidRPr="00126B2C">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F45C0E6"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Ley 1748 de 2014</w:t>
            </w:r>
            <w:r w:rsidRPr="00126B2C">
              <w:rPr>
                <w:rFonts w:ascii="Tahoma" w:eastAsia="Times New Roman" w:hAnsi="Tahoma" w:cs="Tahoma"/>
                <w:sz w:val="20"/>
                <w:lang w:eastAsia="es-ES"/>
              </w:rPr>
              <w:t> </w:t>
            </w:r>
          </w:p>
          <w:p w14:paraId="42061D3C"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Artículo 3 del Decreto 2071 de 2015</w:t>
            </w:r>
            <w:r w:rsidRPr="00126B2C">
              <w:rPr>
                <w:rFonts w:ascii="Tahoma" w:eastAsia="Times New Roman" w:hAnsi="Tahoma" w:cs="Tahoma"/>
                <w:sz w:val="20"/>
                <w:lang w:eastAsia="es-ES"/>
              </w:rPr>
              <w:t> </w:t>
            </w:r>
          </w:p>
          <w:p w14:paraId="7F9C4CED"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Circular Externa n. 016 de 2016</w:t>
            </w:r>
            <w:r w:rsidRPr="00126B2C">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A4020E7" w14:textId="77777777" w:rsidR="00126B2C" w:rsidRPr="00126B2C" w:rsidRDefault="00126B2C" w:rsidP="00126B2C">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Junto con lo anterior, lleva inmerso el derecho a obtener asesoría de los representantes de ambos regímenes pensionales.</w:t>
            </w:r>
            <w:r w:rsidRPr="00126B2C">
              <w:rPr>
                <w:rFonts w:ascii="Tahoma" w:eastAsia="Times New Roman" w:hAnsi="Tahoma" w:cs="Tahoma"/>
                <w:sz w:val="20"/>
                <w:lang w:eastAsia="es-ES"/>
              </w:rPr>
              <w:t> </w:t>
            </w:r>
          </w:p>
        </w:tc>
      </w:tr>
    </w:tbl>
    <w:p w14:paraId="66AFF153" w14:textId="77777777" w:rsidR="00126B2C" w:rsidRPr="00126B2C" w:rsidRDefault="00126B2C" w:rsidP="00126B2C">
      <w:pPr>
        <w:spacing w:before="0" w:beforeAutospacing="0" w:after="0" w:afterAutospacing="0" w:line="240" w:lineRule="auto"/>
        <w:ind w:left="426" w:right="420" w:firstLine="0"/>
        <w:rPr>
          <w:rFonts w:ascii="Tahoma" w:eastAsia="Calibri" w:hAnsi="Tahoma" w:cs="Tahoma"/>
          <w:b/>
          <w:i/>
          <w:spacing w:val="-4"/>
          <w:sz w:val="22"/>
          <w:lang w:eastAsia="es-CO"/>
        </w:rPr>
      </w:pPr>
    </w:p>
    <w:bookmarkEnd w:id="9"/>
    <w:p w14:paraId="06C9F0C5" w14:textId="77777777" w:rsidR="00126B2C" w:rsidRPr="00126B2C" w:rsidRDefault="00126B2C" w:rsidP="00126B2C">
      <w:pPr>
        <w:spacing w:before="0" w:beforeAutospacing="0" w:after="0" w:afterAutospacing="0" w:line="240" w:lineRule="auto"/>
        <w:ind w:left="426" w:right="420" w:firstLine="0"/>
        <w:rPr>
          <w:rFonts w:ascii="Tahoma" w:eastAsia="Calibri" w:hAnsi="Tahoma" w:cs="Tahoma"/>
          <w:b/>
          <w:i/>
          <w:sz w:val="22"/>
          <w:lang w:eastAsia="es-CO"/>
        </w:rPr>
      </w:pPr>
      <w:r w:rsidRPr="00126B2C">
        <w:rPr>
          <w:rFonts w:ascii="Tahoma" w:eastAsia="Calibri" w:hAnsi="Tahoma" w:cs="Tahoma"/>
          <w:b/>
          <w:i/>
          <w:sz w:val="22"/>
          <w:lang w:eastAsia="es-CO"/>
        </w:rPr>
        <w:t>1.4 Conclusión: La constatación del deber de información es ineludible</w:t>
      </w:r>
    </w:p>
    <w:p w14:paraId="0C267376" w14:textId="77777777" w:rsidR="00126B2C" w:rsidRPr="00126B2C" w:rsidRDefault="00126B2C" w:rsidP="00126B2C">
      <w:pPr>
        <w:spacing w:before="0" w:beforeAutospacing="0" w:after="0" w:afterAutospacing="0" w:line="240" w:lineRule="auto"/>
        <w:ind w:left="426" w:right="420" w:firstLine="0"/>
        <w:rPr>
          <w:rFonts w:ascii="Tahoma" w:eastAsia="Calibri" w:hAnsi="Tahoma" w:cs="Tahoma"/>
          <w:b/>
          <w:i/>
          <w:sz w:val="22"/>
          <w:lang w:eastAsia="es-CO"/>
        </w:rPr>
      </w:pPr>
    </w:p>
    <w:p w14:paraId="3A282AB1" w14:textId="77777777" w:rsidR="00126B2C" w:rsidRPr="00126B2C" w:rsidRDefault="00126B2C" w:rsidP="00126B2C">
      <w:pPr>
        <w:spacing w:before="0" w:beforeAutospacing="0" w:after="0" w:afterAutospacing="0" w:line="240" w:lineRule="auto"/>
        <w:ind w:left="426" w:right="420" w:firstLine="1"/>
        <w:rPr>
          <w:rFonts w:ascii="Tahoma" w:eastAsia="Calibri" w:hAnsi="Tahoma" w:cs="Tahoma"/>
          <w:i/>
          <w:sz w:val="22"/>
          <w:lang w:eastAsia="es-CO"/>
        </w:rPr>
      </w:pPr>
      <w:r w:rsidRPr="00126B2C">
        <w:rPr>
          <w:rFonts w:ascii="Tahoma" w:eastAsia="Calibri" w:hAnsi="Tahoma" w:cs="Tahoma"/>
          <w:i/>
          <w:sz w:val="22"/>
          <w:lang w:eastAsia="es-CO"/>
        </w:rPr>
        <w:t xml:space="preserve">Según se pudo advertir del anterior recuento, </w:t>
      </w:r>
      <w:r w:rsidRPr="00126B2C">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126B2C">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1FAA450" w14:textId="77777777" w:rsidR="00126B2C" w:rsidRPr="00126B2C" w:rsidRDefault="00126B2C" w:rsidP="00126B2C">
      <w:pPr>
        <w:spacing w:before="0" w:beforeAutospacing="0" w:after="0" w:afterAutospacing="0" w:line="240" w:lineRule="auto"/>
        <w:ind w:left="426" w:right="420" w:firstLine="1"/>
        <w:rPr>
          <w:rFonts w:ascii="Tahoma" w:eastAsia="Calibri" w:hAnsi="Tahoma" w:cs="Tahoma"/>
          <w:i/>
          <w:sz w:val="22"/>
          <w:lang w:eastAsia="es-CO"/>
        </w:rPr>
      </w:pPr>
    </w:p>
    <w:p w14:paraId="777E6CFF" w14:textId="77777777" w:rsidR="00126B2C" w:rsidRPr="00126B2C" w:rsidRDefault="00126B2C" w:rsidP="00126B2C">
      <w:pPr>
        <w:spacing w:before="0" w:beforeAutospacing="0" w:after="0" w:afterAutospacing="0" w:line="240" w:lineRule="auto"/>
        <w:ind w:left="426" w:right="420" w:firstLine="0"/>
        <w:rPr>
          <w:rFonts w:ascii="Tahoma" w:eastAsia="Calibri" w:hAnsi="Tahoma" w:cs="Tahoma"/>
          <w:i/>
          <w:sz w:val="22"/>
          <w:lang w:eastAsia="es-CO"/>
        </w:rPr>
      </w:pPr>
      <w:r w:rsidRPr="00126B2C">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48286DF8" w14:textId="77777777" w:rsidR="00126B2C" w:rsidRPr="00126B2C" w:rsidRDefault="00126B2C" w:rsidP="00126B2C">
      <w:pPr>
        <w:spacing w:before="0" w:beforeAutospacing="0" w:after="0" w:afterAutospacing="0" w:line="240" w:lineRule="auto"/>
        <w:ind w:left="426" w:right="420" w:firstLine="0"/>
        <w:rPr>
          <w:rFonts w:ascii="Tahoma" w:eastAsia="Calibri" w:hAnsi="Tahoma" w:cs="Tahoma"/>
          <w:i/>
          <w:sz w:val="22"/>
          <w:lang w:eastAsia="es-CO"/>
        </w:rPr>
      </w:pPr>
    </w:p>
    <w:p w14:paraId="520F9C55" w14:textId="77777777" w:rsidR="00126B2C" w:rsidRPr="00126B2C" w:rsidRDefault="00126B2C" w:rsidP="00126B2C">
      <w:pPr>
        <w:spacing w:before="0" w:beforeAutospacing="0" w:after="0" w:afterAutospacing="0" w:line="240" w:lineRule="auto"/>
        <w:ind w:left="426" w:right="420" w:firstLine="0"/>
        <w:rPr>
          <w:rFonts w:ascii="Tahoma" w:eastAsia="Calibri" w:hAnsi="Tahoma" w:cs="Tahoma"/>
          <w:i/>
          <w:sz w:val="22"/>
          <w:lang w:eastAsia="es-CO"/>
        </w:rPr>
      </w:pPr>
      <w:r w:rsidRPr="00126B2C">
        <w:rPr>
          <w:rFonts w:ascii="Tahoma" w:eastAsia="Calibri" w:hAnsi="Tahoma" w:cs="Tahoma"/>
          <w:i/>
          <w:sz w:val="22"/>
          <w:lang w:eastAsia="es-CO"/>
        </w:rPr>
        <w:t xml:space="preserve">Adicionalmente, la Sala no puede pasar por alto la indebida fundamentación con la que </w:t>
      </w:r>
      <w:r w:rsidRPr="00126B2C">
        <w:rPr>
          <w:rFonts w:ascii="Tahoma" w:eastAsia="Calibri" w:hAnsi="Tahoma" w:cs="Tahoma"/>
          <w:bCs/>
          <w:i/>
          <w:sz w:val="22"/>
          <w:lang w:eastAsia="es-CO"/>
        </w:rPr>
        <w:t>la Sala Primera de Decisión Laboral del Tribunal de Medellín</w:t>
      </w:r>
      <w:r w:rsidRPr="00126B2C">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596003D7" w14:textId="77777777" w:rsidR="00363345" w:rsidRPr="006F03EB" w:rsidRDefault="00363345" w:rsidP="006F03EB">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53802725" w14:textId="77777777" w:rsidR="00363345" w:rsidRPr="006F03EB" w:rsidRDefault="00363345" w:rsidP="006F03EB">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iCs/>
          <w:lang w:eastAsia="es-CO"/>
        </w:rPr>
      </w:pPr>
      <w:r w:rsidRPr="006F03EB">
        <w:rPr>
          <w:rFonts w:ascii="Tahoma" w:eastAsia="Calibri" w:hAnsi="Tahoma" w:cs="Tahoma"/>
          <w:b/>
          <w:iCs/>
          <w:lang w:eastAsia="es-CO"/>
        </w:rPr>
        <w:t xml:space="preserve">“El simple consentimiento vertido en el formulario de afiliación es insuficiente – Necesidad de un consentimiento informado” </w:t>
      </w:r>
      <w:r w:rsidRPr="006F03EB">
        <w:rPr>
          <w:rFonts w:ascii="Tahoma" w:eastAsia="Calibri" w:hAnsi="Tahoma" w:cs="Tahoma"/>
          <w:b/>
          <w:iCs/>
          <w:vertAlign w:val="superscript"/>
          <w:lang w:eastAsia="es-CO"/>
        </w:rPr>
        <w:footnoteReference w:id="4"/>
      </w:r>
      <w:r w:rsidRPr="006F03EB">
        <w:rPr>
          <w:rFonts w:ascii="Tahoma" w:eastAsia="Calibri" w:hAnsi="Tahoma" w:cs="Tahoma"/>
          <w:iCs/>
          <w:lang w:eastAsia="es-CO"/>
        </w:rPr>
        <w:t xml:space="preserve"> </w:t>
      </w:r>
    </w:p>
    <w:p w14:paraId="766AA0B0" w14:textId="77777777" w:rsidR="00363345" w:rsidRPr="006F03EB" w:rsidRDefault="00363345"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3A36F81" w14:textId="11739B19" w:rsidR="00363345" w:rsidRPr="006F03EB" w:rsidRDefault="002D01FE"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lang w:eastAsia="es-CO"/>
        </w:rPr>
        <w:t xml:space="preserve">El segundo problema jurídico relativo al valor probatorio de los formularios de afiliación, </w:t>
      </w:r>
      <w:r w:rsidR="00363345" w:rsidRPr="006F03EB">
        <w:rPr>
          <w:rFonts w:ascii="Tahoma" w:eastAsia="Calibri" w:hAnsi="Tahoma" w:cs="Tahoma"/>
          <w:lang w:eastAsia="es-CO"/>
        </w:rPr>
        <w:t xml:space="preserve">fue abordado en la sentencia a la que venimos haciendo referencia, en el sentido de que los formularios de afiliación a lo sumo acreditan un consentimiento, </w:t>
      </w:r>
      <w:r w:rsidR="00363345" w:rsidRPr="006F03EB">
        <w:rPr>
          <w:rFonts w:ascii="Tahoma" w:eastAsia="Calibri" w:hAnsi="Tahoma" w:cs="Tahoma"/>
          <w:b/>
          <w:lang w:eastAsia="es-CO"/>
        </w:rPr>
        <w:t>pero no informado</w:t>
      </w:r>
      <w:r w:rsidR="00363345" w:rsidRPr="006F03EB">
        <w:rPr>
          <w:rFonts w:ascii="Tahoma" w:eastAsia="Calibri" w:hAnsi="Tahoma" w:cs="Tahoma"/>
          <w:lang w:eastAsia="es-CO"/>
        </w:rPr>
        <w:t xml:space="preserve">, tal como se expresa a continuación: </w:t>
      </w:r>
    </w:p>
    <w:p w14:paraId="5FF99389" w14:textId="77777777" w:rsidR="00363345" w:rsidRPr="006F03EB" w:rsidRDefault="00363345" w:rsidP="006F03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08FCC80" w14:textId="77777777" w:rsidR="00D65432" w:rsidRPr="00D65432" w:rsidRDefault="00D65432" w:rsidP="00D65432">
      <w:pPr>
        <w:spacing w:before="0" w:beforeAutospacing="0" w:after="0" w:afterAutospacing="0" w:line="240" w:lineRule="auto"/>
        <w:ind w:left="426" w:right="420" w:firstLine="0"/>
        <w:rPr>
          <w:rFonts w:ascii="Tahoma" w:eastAsia="Calibri" w:hAnsi="Tahoma" w:cs="Tahoma"/>
          <w:i/>
          <w:sz w:val="22"/>
          <w:lang w:eastAsia="es-CO"/>
        </w:rPr>
      </w:pPr>
      <w:r w:rsidRPr="00D65432">
        <w:rPr>
          <w:rFonts w:ascii="Tahoma" w:eastAsia="Calibri" w:hAnsi="Tahoma" w:cs="Tahoma"/>
          <w:i/>
          <w:sz w:val="22"/>
          <w:lang w:eastAsia="es-CO"/>
        </w:rPr>
        <w:lastRenderedPageBreak/>
        <w:t xml:space="preserve">“Para el Tribunal el consentimiento informado no es predicable del acto jurídico de traslado, pues basta la consignación en el formulario de que la afiliación se hizo de manera libre y voluntaria. </w:t>
      </w:r>
    </w:p>
    <w:p w14:paraId="27A4F0B7" w14:textId="77777777" w:rsidR="00D65432" w:rsidRPr="00D65432" w:rsidRDefault="00D65432" w:rsidP="00D65432">
      <w:pPr>
        <w:spacing w:before="0" w:beforeAutospacing="0" w:after="0" w:afterAutospacing="0" w:line="240" w:lineRule="auto"/>
        <w:ind w:left="426" w:right="420" w:firstLine="0"/>
        <w:rPr>
          <w:rFonts w:ascii="Tahoma" w:eastAsia="Calibri" w:hAnsi="Tahoma" w:cs="Tahoma"/>
          <w:i/>
          <w:sz w:val="22"/>
          <w:lang w:eastAsia="es-CO"/>
        </w:rPr>
      </w:pPr>
    </w:p>
    <w:p w14:paraId="7DB36861" w14:textId="77777777" w:rsidR="00D65432" w:rsidRPr="00D65432" w:rsidRDefault="00D65432" w:rsidP="00D65432">
      <w:pPr>
        <w:spacing w:before="0" w:beforeAutospacing="0" w:after="0" w:afterAutospacing="0" w:line="240" w:lineRule="auto"/>
        <w:ind w:left="426" w:right="420" w:firstLine="0"/>
        <w:rPr>
          <w:rFonts w:ascii="Tahoma" w:eastAsia="Calibri" w:hAnsi="Tahoma" w:cs="Tahoma"/>
          <w:i/>
          <w:sz w:val="22"/>
          <w:lang w:eastAsia="es-CO"/>
        </w:rPr>
      </w:pPr>
      <w:r w:rsidRPr="00D65432">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6B85D04" w14:textId="77777777" w:rsidR="00D65432" w:rsidRPr="00D65432" w:rsidRDefault="00D65432" w:rsidP="00D65432">
      <w:pPr>
        <w:spacing w:before="0" w:beforeAutospacing="0" w:after="0" w:afterAutospacing="0" w:line="240" w:lineRule="auto"/>
        <w:ind w:left="426" w:right="420" w:firstLine="0"/>
        <w:rPr>
          <w:rFonts w:ascii="Tahoma" w:eastAsia="Calibri" w:hAnsi="Tahoma" w:cs="Tahoma"/>
          <w:i/>
          <w:sz w:val="22"/>
          <w:lang w:eastAsia="es-CO"/>
        </w:rPr>
      </w:pPr>
    </w:p>
    <w:p w14:paraId="49D549C7" w14:textId="77777777" w:rsidR="00D65432" w:rsidRPr="00D65432" w:rsidRDefault="00D65432" w:rsidP="00D65432">
      <w:pPr>
        <w:spacing w:before="0" w:beforeAutospacing="0" w:after="0" w:afterAutospacing="0" w:line="240" w:lineRule="auto"/>
        <w:ind w:left="426" w:right="420" w:firstLine="0"/>
        <w:rPr>
          <w:rFonts w:ascii="Tahoma" w:eastAsia="Calibri" w:hAnsi="Tahoma" w:cs="Tahoma"/>
          <w:i/>
          <w:sz w:val="22"/>
          <w:lang w:eastAsia="es-CO"/>
        </w:rPr>
      </w:pPr>
      <w:r w:rsidRPr="00D65432">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167C43A4" w14:textId="77777777" w:rsidR="00D65432" w:rsidRPr="00D65432" w:rsidRDefault="00D65432" w:rsidP="00D65432">
      <w:pPr>
        <w:spacing w:before="0" w:beforeAutospacing="0" w:after="0" w:afterAutospacing="0" w:line="240" w:lineRule="auto"/>
        <w:ind w:left="426" w:right="420" w:firstLine="0"/>
        <w:rPr>
          <w:rFonts w:ascii="Tahoma" w:eastAsia="Calibri" w:hAnsi="Tahoma" w:cs="Tahoma"/>
          <w:i/>
          <w:sz w:val="22"/>
          <w:lang w:eastAsia="es-CO"/>
        </w:rPr>
      </w:pPr>
    </w:p>
    <w:p w14:paraId="383BB715" w14:textId="77777777" w:rsidR="00D65432" w:rsidRPr="00D65432" w:rsidRDefault="00D65432" w:rsidP="00D65432">
      <w:pPr>
        <w:spacing w:before="0" w:beforeAutospacing="0" w:after="0" w:afterAutospacing="0" w:line="240" w:lineRule="auto"/>
        <w:ind w:left="426" w:right="420" w:firstLine="0"/>
        <w:rPr>
          <w:rFonts w:ascii="Tahoma" w:eastAsia="Calibri" w:hAnsi="Tahoma" w:cs="Tahoma"/>
          <w:i/>
          <w:sz w:val="22"/>
          <w:lang w:eastAsia="es-CO"/>
        </w:rPr>
      </w:pPr>
      <w:r w:rsidRPr="00D65432">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194591BC" w14:textId="77777777" w:rsidR="00363345" w:rsidRPr="006F03EB" w:rsidRDefault="00363345" w:rsidP="006F03EB">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7093C276" w14:textId="77777777" w:rsidR="002D01FE" w:rsidRPr="006F03EB" w:rsidRDefault="002D01FE"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bCs/>
          <w:lang w:eastAsia="es-CO"/>
        </w:rPr>
        <w:t>Tal c</w:t>
      </w:r>
      <w:r w:rsidR="00363345" w:rsidRPr="006F03EB">
        <w:rPr>
          <w:rFonts w:ascii="Tahoma" w:eastAsia="Calibri" w:hAnsi="Tahoma" w:cs="Tahoma"/>
          <w:bCs/>
          <w:lang w:eastAsia="es-CO"/>
        </w:rPr>
        <w:t xml:space="preserve">omo se dijo en precedencia, el tema de la suscripción del formulario de traslado como única prueba para desvirtuar la negligencia en la remisión de información al afiliado, ha sido analizado en múltiples fallos de la Sala de Casación de la Corte Suprema de Justicia, </w:t>
      </w:r>
      <w:r w:rsidRPr="006F03EB">
        <w:rPr>
          <w:rFonts w:ascii="Tahoma" w:eastAsia="Calibri" w:hAnsi="Tahoma" w:cs="Tahoma"/>
          <w:lang w:eastAsia="es-CO"/>
        </w:rPr>
        <w:t>de cuyo contenido queda claro además que la suscripción de varios formularios de afiliación dentro del mismo RAIS</w:t>
      </w:r>
      <w:r w:rsidRPr="006F03EB">
        <w:rPr>
          <w:rFonts w:ascii="Tahoma" w:eastAsia="Calibri" w:hAnsi="Tahoma" w:cs="Tahoma"/>
          <w:vertAlign w:val="superscript"/>
          <w:lang w:eastAsia="es-CO"/>
        </w:rPr>
        <w:footnoteReference w:id="5"/>
      </w:r>
      <w:r w:rsidRPr="006F03EB">
        <w:rPr>
          <w:rFonts w:ascii="Tahoma" w:eastAsia="Calibri" w:hAnsi="Tahoma" w:cs="Tahoma"/>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6BFD42C8" w14:textId="77777777" w:rsidR="00363345" w:rsidRPr="00D65432" w:rsidRDefault="00363345" w:rsidP="00D6543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DF7E418" w14:textId="77777777" w:rsidR="00363345" w:rsidRPr="00D65432" w:rsidRDefault="00363345" w:rsidP="00D65432">
      <w:pPr>
        <w:spacing w:before="0" w:beforeAutospacing="0" w:after="0" w:afterAutospacing="0" w:line="240" w:lineRule="auto"/>
        <w:ind w:left="426" w:right="420" w:firstLine="0"/>
        <w:rPr>
          <w:rFonts w:ascii="Tahoma" w:eastAsia="Calibri" w:hAnsi="Tahoma" w:cs="Tahoma"/>
          <w:i/>
          <w:sz w:val="22"/>
          <w:lang w:eastAsia="es-CO"/>
        </w:rPr>
      </w:pPr>
      <w:r w:rsidRPr="00D65432">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2C3C282D" w14:textId="77777777" w:rsidR="002D01FE" w:rsidRPr="006F03EB" w:rsidRDefault="002D01FE"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DC8EAF6" w14:textId="77777777" w:rsidR="00363345" w:rsidRPr="006F03EB" w:rsidRDefault="00363345" w:rsidP="006F03EB">
      <w:pPr>
        <w:pStyle w:val="Prrafodelista"/>
        <w:widowControl w:val="0"/>
        <w:numPr>
          <w:ilvl w:val="1"/>
          <w:numId w:val="4"/>
        </w:numPr>
        <w:autoSpaceDE w:val="0"/>
        <w:autoSpaceDN w:val="0"/>
        <w:adjustRightInd w:val="0"/>
        <w:spacing w:line="276" w:lineRule="auto"/>
        <w:rPr>
          <w:rFonts w:eastAsia="Calibri" w:cs="Tahoma"/>
          <w:b/>
          <w:bCs/>
          <w:szCs w:val="24"/>
          <w:lang w:eastAsia="es-CO"/>
        </w:rPr>
      </w:pPr>
      <w:bookmarkStart w:id="10" w:name="_Hlk109243055"/>
      <w:r w:rsidRPr="006F03EB">
        <w:rPr>
          <w:rFonts w:eastAsia="Calibri" w:cs="Tahoma"/>
          <w:b/>
          <w:bCs/>
          <w:szCs w:val="24"/>
          <w:lang w:eastAsia="es-CO"/>
        </w:rPr>
        <w:t xml:space="preserve">Los actos de relacionamiento, </w:t>
      </w:r>
      <w:proofErr w:type="spellStart"/>
      <w:r w:rsidRPr="006F03EB">
        <w:rPr>
          <w:rFonts w:eastAsia="Calibri" w:cs="Tahoma"/>
          <w:b/>
          <w:bCs/>
          <w:szCs w:val="24"/>
          <w:lang w:eastAsia="es-CO"/>
        </w:rPr>
        <w:t>reasesorías</w:t>
      </w:r>
      <w:proofErr w:type="spellEnd"/>
      <w:r w:rsidRPr="006F03EB">
        <w:rPr>
          <w:rFonts w:eastAsia="Calibri" w:cs="Tahoma"/>
          <w:b/>
          <w:bCs/>
          <w:szCs w:val="24"/>
          <w:lang w:eastAsia="es-CO"/>
        </w:rPr>
        <w:t xml:space="preserve">, falta de retorno al RPM en el tiempo estipulado por la ley, </w:t>
      </w:r>
      <w:r w:rsidRPr="006F03EB">
        <w:rPr>
          <w:rFonts w:eastAsia="Calibri" w:cs="Tahoma"/>
          <w:b/>
          <w:bCs/>
          <w:szCs w:val="24"/>
          <w:lang w:val="es-ES" w:eastAsia="es-CO"/>
        </w:rPr>
        <w:t>publicaciones de prensa y extractos de la cuenta de ahorro individual</w:t>
      </w:r>
      <w:r w:rsidRPr="006F03EB">
        <w:rPr>
          <w:rFonts w:eastAsia="Calibri" w:cs="Tahoma"/>
          <w:b/>
          <w:bCs/>
          <w:szCs w:val="24"/>
          <w:lang w:eastAsia="es-CO"/>
        </w:rPr>
        <w:t xml:space="preserve"> no desestiman la ineficacia por la falta de información al momento del traslado al RAIS.</w:t>
      </w:r>
    </w:p>
    <w:p w14:paraId="6B2F7012" w14:textId="48A0FFA7" w:rsidR="6152F823" w:rsidRPr="006F03EB" w:rsidRDefault="6152F823" w:rsidP="006F03EB">
      <w:pPr>
        <w:widowControl w:val="0"/>
        <w:spacing w:before="0" w:beforeAutospacing="0" w:after="0" w:afterAutospacing="0" w:line="276" w:lineRule="auto"/>
        <w:ind w:left="349"/>
        <w:rPr>
          <w:rFonts w:ascii="Tahoma" w:eastAsia="Calibri" w:hAnsi="Tahoma" w:cs="Tahoma"/>
          <w:b/>
          <w:bCs/>
          <w:lang w:eastAsia="es-CO"/>
        </w:rPr>
      </w:pPr>
    </w:p>
    <w:p w14:paraId="367C20CA" w14:textId="77777777" w:rsidR="00DB0B1E" w:rsidRPr="00DB0B1E" w:rsidRDefault="00DB0B1E" w:rsidP="00DB0B1E">
      <w:pPr>
        <w:widowControl w:val="0"/>
        <w:autoSpaceDE w:val="0"/>
        <w:autoSpaceDN w:val="0"/>
        <w:adjustRightInd w:val="0"/>
        <w:spacing w:before="0" w:beforeAutospacing="0" w:after="0" w:afterAutospacing="0" w:line="276" w:lineRule="auto"/>
        <w:rPr>
          <w:rFonts w:ascii="Tahoma" w:eastAsia="Calibri" w:hAnsi="Tahoma" w:cs="Tahoma"/>
          <w:bCs/>
          <w:lang w:eastAsia="es-CO"/>
        </w:rPr>
      </w:pPr>
      <w:bookmarkStart w:id="11" w:name="_Hlk109255998"/>
      <w:bookmarkEnd w:id="10"/>
      <w:r w:rsidRPr="00DB0B1E">
        <w:rPr>
          <w:rFonts w:ascii="Tahoma" w:eastAsia="Calibri" w:hAnsi="Tahoma" w:cs="Tahoma"/>
          <w:lang w:eastAsia="es-CO"/>
        </w:rPr>
        <w:lastRenderedPageBreak/>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DB0B1E">
        <w:rPr>
          <w:rFonts w:ascii="Tahoma" w:eastAsia="Calibri" w:hAnsi="Tahoma" w:cs="Tahoma"/>
          <w:vertAlign w:val="superscript"/>
          <w:lang w:eastAsia="es-CO"/>
        </w:rPr>
        <w:footnoteReference w:id="6"/>
      </w:r>
      <w:r w:rsidRPr="00DB0B1E">
        <w:rPr>
          <w:rFonts w:ascii="Tahoma" w:eastAsia="Calibri" w:hAnsi="Tahoma" w:cs="Tahoma"/>
          <w:lang w:eastAsia="es-CO"/>
        </w:rPr>
        <w:t xml:space="preserve"> que memora la sentencia CSJ SL, 9 sep. 2008, rad. 31989 expuso:</w:t>
      </w:r>
    </w:p>
    <w:p w14:paraId="5302BE2D" w14:textId="77777777" w:rsidR="00DB0B1E" w:rsidRPr="00DB0B1E" w:rsidRDefault="00DB0B1E" w:rsidP="00DB0B1E">
      <w:pPr>
        <w:widowControl w:val="0"/>
        <w:spacing w:before="0" w:beforeAutospacing="0" w:after="0" w:afterAutospacing="0" w:line="276" w:lineRule="auto"/>
        <w:rPr>
          <w:rFonts w:ascii="Tahoma" w:eastAsia="Calibri" w:hAnsi="Tahoma" w:cs="Tahoma"/>
          <w:lang w:eastAsia="es-CO"/>
        </w:rPr>
      </w:pPr>
    </w:p>
    <w:p w14:paraId="2B469832" w14:textId="77777777" w:rsidR="00DB0B1E" w:rsidRPr="00DB0B1E" w:rsidRDefault="00DB0B1E" w:rsidP="00DB0B1E">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4E497374" w14:textId="77777777" w:rsidR="00DB0B1E" w:rsidRPr="00DB0B1E" w:rsidRDefault="00DB0B1E" w:rsidP="00DB0B1E">
      <w:pPr>
        <w:widowControl w:val="0"/>
        <w:autoSpaceDE w:val="0"/>
        <w:autoSpaceDN w:val="0"/>
        <w:adjustRightInd w:val="0"/>
        <w:spacing w:before="0" w:beforeAutospacing="0" w:after="0" w:afterAutospacing="0" w:line="276" w:lineRule="auto"/>
        <w:ind w:firstLine="284"/>
        <w:rPr>
          <w:rFonts w:ascii="Tahoma" w:eastAsia="Calibri" w:hAnsi="Tahoma" w:cs="Tahoma"/>
          <w:bCs/>
          <w:lang w:val="es-ES" w:eastAsia="es-CO"/>
        </w:rPr>
      </w:pPr>
    </w:p>
    <w:p w14:paraId="72DF194E" w14:textId="77777777" w:rsidR="00DB0B1E" w:rsidRPr="00DB0B1E" w:rsidRDefault="00DB0B1E" w:rsidP="00DB0B1E">
      <w:pPr>
        <w:widowControl w:val="0"/>
        <w:autoSpaceDE w:val="0"/>
        <w:autoSpaceDN w:val="0"/>
        <w:adjustRightInd w:val="0"/>
        <w:spacing w:before="0" w:beforeAutospacing="0" w:after="0" w:afterAutospacing="0" w:line="276" w:lineRule="auto"/>
        <w:ind w:firstLine="567"/>
        <w:rPr>
          <w:rFonts w:ascii="Tahoma" w:eastAsia="Calibri" w:hAnsi="Tahoma" w:cs="Tahoma"/>
          <w:bCs/>
          <w:lang w:eastAsia="es-CO"/>
        </w:rPr>
      </w:pPr>
      <w:r w:rsidRPr="00DB0B1E">
        <w:rPr>
          <w:rFonts w:ascii="Tahoma" w:eastAsia="Calibri" w:hAnsi="Tahoma" w:cs="Tahoma"/>
          <w:bCs/>
          <w:lang w:eastAsia="es-CO"/>
        </w:rPr>
        <w:t>En este orden de ideas, en la sentencia CSJ SL 5686 de 2021</w:t>
      </w:r>
      <w:r w:rsidRPr="00DB0B1E">
        <w:rPr>
          <w:rFonts w:ascii="Tahoma" w:eastAsia="Calibri" w:hAnsi="Tahoma" w:cs="Tahoma"/>
          <w:bCs/>
          <w:vertAlign w:val="superscript"/>
          <w:lang w:eastAsia="es-CO"/>
        </w:rPr>
        <w:footnoteReference w:id="7"/>
      </w:r>
      <w:r w:rsidRPr="00DB0B1E">
        <w:rPr>
          <w:rFonts w:ascii="Tahoma" w:eastAsia="Calibri" w:hAnsi="Tahoma" w:cs="Tahoma"/>
          <w:bCs/>
          <w:lang w:eastAsia="es-CO"/>
        </w:rPr>
        <w:t xml:space="preserve"> traída a colación en la CSJ SL1926-2022</w:t>
      </w:r>
      <w:r w:rsidRPr="00DB0B1E">
        <w:rPr>
          <w:rFonts w:ascii="Tahoma" w:eastAsia="Calibri" w:hAnsi="Tahoma" w:cs="Tahoma"/>
          <w:bCs/>
          <w:vertAlign w:val="superscript"/>
          <w:lang w:eastAsia="es-CO"/>
        </w:rPr>
        <w:footnoteReference w:id="8"/>
      </w:r>
      <w:r w:rsidRPr="00DB0B1E">
        <w:rPr>
          <w:rFonts w:ascii="Tahoma" w:eastAsia="Calibri" w:hAnsi="Tahoma" w:cs="Tahoma"/>
          <w:bCs/>
          <w:lang w:eastAsia="es-CO"/>
        </w:rPr>
        <w:t xml:space="preserve"> añadió:</w:t>
      </w:r>
    </w:p>
    <w:p w14:paraId="73DAC250" w14:textId="77777777" w:rsidR="00DB0B1E" w:rsidRPr="00DB0B1E" w:rsidRDefault="00DB0B1E" w:rsidP="00DB0B1E">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2A5D765E" w14:textId="77777777" w:rsidR="00DB0B1E" w:rsidRPr="00DB0B1E" w:rsidRDefault="00DB0B1E" w:rsidP="00DB0B1E">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5E92BF00" w14:textId="77777777" w:rsidR="00DB0B1E" w:rsidRPr="00DB0B1E" w:rsidRDefault="00DB0B1E" w:rsidP="00DB0B1E">
      <w:pPr>
        <w:spacing w:before="0" w:beforeAutospacing="0" w:after="0" w:afterAutospacing="0" w:line="240" w:lineRule="auto"/>
        <w:ind w:left="426" w:right="420" w:firstLine="0"/>
        <w:rPr>
          <w:rFonts w:ascii="Tahoma" w:eastAsia="Calibri" w:hAnsi="Tahoma" w:cs="Tahoma"/>
          <w:i/>
          <w:sz w:val="22"/>
          <w:lang w:eastAsia="es-CO"/>
        </w:rPr>
      </w:pPr>
    </w:p>
    <w:p w14:paraId="3EB64E73" w14:textId="77777777" w:rsidR="00DB0B1E" w:rsidRPr="00DB0B1E" w:rsidRDefault="00DB0B1E" w:rsidP="00DB0B1E">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72EC5762" w14:textId="77777777" w:rsidR="00DB0B1E" w:rsidRPr="00DB0B1E" w:rsidRDefault="00DB0B1E" w:rsidP="00DB0B1E">
      <w:pPr>
        <w:widowControl w:val="0"/>
        <w:autoSpaceDE w:val="0"/>
        <w:autoSpaceDN w:val="0"/>
        <w:adjustRightInd w:val="0"/>
        <w:spacing w:before="0" w:beforeAutospacing="0" w:after="0" w:afterAutospacing="0" w:line="276" w:lineRule="auto"/>
        <w:ind w:firstLine="0"/>
        <w:rPr>
          <w:rFonts w:ascii="Tahoma" w:eastAsia="Calibri" w:hAnsi="Tahoma" w:cs="Tahoma"/>
          <w:bCs/>
          <w:i/>
          <w:iCs/>
          <w:lang w:eastAsia="es-CO"/>
        </w:rPr>
      </w:pPr>
    </w:p>
    <w:p w14:paraId="6FE140FC" w14:textId="77777777" w:rsidR="00DB0B1E" w:rsidRPr="00DB0B1E" w:rsidRDefault="00DB0B1E" w:rsidP="00DB0B1E">
      <w:pPr>
        <w:widowControl w:val="0"/>
        <w:autoSpaceDE w:val="0"/>
        <w:autoSpaceDN w:val="0"/>
        <w:adjustRightInd w:val="0"/>
        <w:spacing w:before="0" w:beforeAutospacing="0" w:after="0" w:afterAutospacing="0" w:line="276" w:lineRule="auto"/>
        <w:ind w:firstLine="567"/>
        <w:rPr>
          <w:rFonts w:ascii="Tahoma" w:eastAsia="Calibri" w:hAnsi="Tahoma" w:cs="Tahoma"/>
          <w:bCs/>
          <w:lang w:val="es-ES" w:eastAsia="es-CO"/>
        </w:rPr>
      </w:pPr>
      <w:r w:rsidRPr="00DB0B1E">
        <w:rPr>
          <w:rFonts w:ascii="Tahoma" w:eastAsia="Calibri" w:hAnsi="Tahoma" w:cs="Tahoma"/>
          <w:bCs/>
          <w:lang w:eastAsia="es-CO"/>
        </w:rPr>
        <w:t>Posteriormente, la sentencia CSJ SL1055 de 2022</w:t>
      </w:r>
      <w:r w:rsidRPr="00DB0B1E">
        <w:rPr>
          <w:rFonts w:ascii="Tahoma" w:eastAsia="Calibri" w:hAnsi="Tahoma" w:cs="Tahoma"/>
          <w:bCs/>
          <w:vertAlign w:val="superscript"/>
          <w:lang w:eastAsia="es-CO"/>
        </w:rPr>
        <w:footnoteReference w:id="9"/>
      </w:r>
      <w:r w:rsidRPr="00DB0B1E">
        <w:rPr>
          <w:rFonts w:ascii="Tahoma" w:eastAsia="Calibri" w:hAnsi="Tahoma" w:cs="Tahoma"/>
          <w:bCs/>
          <w:lang w:eastAsia="es-CO"/>
        </w:rPr>
        <w:t xml:space="preserve"> recogió además las posturas contrarias establecidas por las Sala de Descongestión de la Corte en las providencias </w:t>
      </w:r>
      <w:r w:rsidRPr="00DB0B1E">
        <w:rPr>
          <w:rFonts w:ascii="Tahoma" w:eastAsia="Calibri" w:hAnsi="Tahoma" w:cs="Tahoma"/>
          <w:bCs/>
          <w:lang w:val="es-ES" w:eastAsia="es-CO"/>
        </w:rPr>
        <w:t>CSJ SL249-2022 y SL259-2022, y en su lugar ratificó:</w:t>
      </w:r>
    </w:p>
    <w:p w14:paraId="2F870373" w14:textId="77777777" w:rsidR="00DB0B1E" w:rsidRPr="00DB0B1E" w:rsidRDefault="00DB0B1E" w:rsidP="00DB0B1E">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699C2F03" w14:textId="77777777" w:rsidR="00DB0B1E" w:rsidRPr="00DB0B1E" w:rsidRDefault="00DB0B1E" w:rsidP="00DB0B1E">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27C476EF" w14:textId="77777777" w:rsidR="00DB0B1E" w:rsidRPr="00DB0B1E" w:rsidRDefault="00DB0B1E" w:rsidP="00DB0B1E">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3713776E" w14:textId="77777777" w:rsidR="00DB0B1E" w:rsidRPr="00DB0B1E" w:rsidRDefault="00DB0B1E" w:rsidP="00DB0B1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B0B1E">
        <w:rPr>
          <w:rFonts w:ascii="Tahoma" w:eastAsia="Calibri" w:hAnsi="Tahoma" w:cs="Tahoma"/>
          <w:lang w:eastAsia="es-CO"/>
        </w:rPr>
        <w:lastRenderedPageBreak/>
        <w:t xml:space="preserve">Igual cosa se ha predicado de las </w:t>
      </w:r>
      <w:proofErr w:type="spellStart"/>
      <w:r w:rsidRPr="00DB0B1E">
        <w:rPr>
          <w:rFonts w:ascii="Tahoma" w:eastAsia="Calibri" w:hAnsi="Tahoma" w:cs="Tahoma"/>
          <w:lang w:eastAsia="es-CO"/>
        </w:rPr>
        <w:t>reasesorías</w:t>
      </w:r>
      <w:proofErr w:type="spellEnd"/>
      <w:r w:rsidRPr="00DB0B1E">
        <w:rPr>
          <w:rFonts w:ascii="Tahoma" w:eastAsia="Calibri" w:hAnsi="Tahoma" w:cs="Tahoma"/>
          <w:lang w:eastAsia="es-CO"/>
        </w:rPr>
        <w:t xml:space="preserve"> posteriores dadas al interior de las AFP, las cuales tampoco convalidan el traslado, como quedó dicho en la citada sentencia del 8 de mayo de 2019 SL 1688-2019, así: </w:t>
      </w:r>
    </w:p>
    <w:p w14:paraId="00D9912E" w14:textId="77777777" w:rsidR="00DB0B1E" w:rsidRPr="00DB0B1E" w:rsidRDefault="00DB0B1E" w:rsidP="00DB0B1E">
      <w:pPr>
        <w:widowControl w:val="0"/>
        <w:spacing w:before="0" w:beforeAutospacing="0" w:after="0" w:afterAutospacing="0" w:line="276" w:lineRule="auto"/>
        <w:ind w:firstLine="708"/>
        <w:rPr>
          <w:rFonts w:ascii="Tahoma" w:eastAsia="Calibri" w:hAnsi="Tahoma" w:cs="Tahoma"/>
          <w:lang w:eastAsia="es-CO"/>
        </w:rPr>
      </w:pPr>
    </w:p>
    <w:p w14:paraId="35A33980" w14:textId="77777777" w:rsidR="00DB0B1E" w:rsidRPr="00DB0B1E" w:rsidRDefault="00DB0B1E" w:rsidP="00DB0B1E">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 xml:space="preserve">“Ahora, si bien la AFP brindó a la actora una </w:t>
      </w:r>
      <w:proofErr w:type="spellStart"/>
      <w:r w:rsidRPr="00DB0B1E">
        <w:rPr>
          <w:rFonts w:ascii="Tahoma" w:eastAsia="Calibri" w:hAnsi="Tahoma" w:cs="Tahoma"/>
          <w:i/>
          <w:sz w:val="22"/>
          <w:lang w:eastAsia="es-CO"/>
        </w:rPr>
        <w:t>reasesoría</w:t>
      </w:r>
      <w:proofErr w:type="spellEnd"/>
      <w:r w:rsidRPr="00DB0B1E">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1E1A849" w14:textId="77777777" w:rsidR="00DB0B1E" w:rsidRPr="00DB0B1E" w:rsidRDefault="00DB0B1E" w:rsidP="00DB0B1E">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 xml:space="preserve"> </w:t>
      </w:r>
    </w:p>
    <w:p w14:paraId="5901D415" w14:textId="77777777" w:rsidR="00DB0B1E" w:rsidRPr="00DB0B1E" w:rsidRDefault="00DB0B1E" w:rsidP="00DB0B1E">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DB0B1E">
        <w:rPr>
          <w:rFonts w:ascii="Tahoma" w:eastAsia="Calibri" w:hAnsi="Tahoma" w:cs="Tahoma"/>
          <w:i/>
          <w:sz w:val="22"/>
          <w:lang w:eastAsia="es-CO"/>
        </w:rPr>
        <w:t>reasesoría</w:t>
      </w:r>
      <w:proofErr w:type="spellEnd"/>
      <w:r w:rsidRPr="00DB0B1E">
        <w:rPr>
          <w:rFonts w:ascii="Tahoma" w:eastAsia="Calibri" w:hAnsi="Tahoma" w:cs="Tahoma"/>
          <w:i/>
          <w:sz w:val="22"/>
          <w:lang w:eastAsia="es-CO"/>
        </w:rPr>
        <w:t>, de todas formas, ya había perdido la transición.</w:t>
      </w:r>
    </w:p>
    <w:p w14:paraId="3632021F" w14:textId="77777777" w:rsidR="00DB0B1E" w:rsidRPr="00DB0B1E" w:rsidRDefault="00DB0B1E" w:rsidP="00DB0B1E">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 xml:space="preserve"> </w:t>
      </w:r>
    </w:p>
    <w:p w14:paraId="37882698" w14:textId="77777777" w:rsidR="00DB0B1E" w:rsidRPr="00DB0B1E" w:rsidRDefault="00DB0B1E" w:rsidP="00DB0B1E">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D3D6C0F" w14:textId="77777777" w:rsidR="00DB0B1E" w:rsidRPr="00DB0B1E" w:rsidRDefault="00DB0B1E" w:rsidP="00DB0B1E">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 xml:space="preserve"> </w:t>
      </w:r>
    </w:p>
    <w:p w14:paraId="3867694B" w14:textId="77777777" w:rsidR="00DB0B1E" w:rsidRPr="00DB0B1E" w:rsidRDefault="00DB0B1E" w:rsidP="00DB0B1E">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 xml:space="preserve">Por otro lado, no es de recibo el planteo de Protección S.A., cuando sostiene que una vez realizó la </w:t>
      </w:r>
      <w:proofErr w:type="spellStart"/>
      <w:r w:rsidRPr="00DB0B1E">
        <w:rPr>
          <w:rFonts w:ascii="Tahoma" w:eastAsia="Calibri" w:hAnsi="Tahoma" w:cs="Tahoma"/>
          <w:i/>
          <w:sz w:val="22"/>
          <w:lang w:eastAsia="es-CO"/>
        </w:rPr>
        <w:t>reasesoría</w:t>
      </w:r>
      <w:proofErr w:type="spellEnd"/>
      <w:r w:rsidRPr="00DB0B1E">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23F472C" w14:textId="77777777" w:rsidR="00DB0B1E" w:rsidRPr="00DB0B1E" w:rsidRDefault="00DB0B1E" w:rsidP="00DB0B1E">
      <w:pPr>
        <w:widowControl w:val="0"/>
        <w:autoSpaceDE w:val="0"/>
        <w:autoSpaceDN w:val="0"/>
        <w:adjustRightInd w:val="0"/>
        <w:spacing w:before="0" w:beforeAutospacing="0" w:after="0" w:afterAutospacing="0" w:line="276" w:lineRule="auto"/>
        <w:ind w:firstLine="0"/>
        <w:rPr>
          <w:rFonts w:ascii="Tahoma" w:eastAsia="Calibri" w:hAnsi="Tahoma" w:cs="Tahoma"/>
          <w:i/>
          <w:lang w:eastAsia="es-CO"/>
        </w:rPr>
      </w:pPr>
    </w:p>
    <w:bookmarkEnd w:id="11"/>
    <w:p w14:paraId="009A5687" w14:textId="77777777" w:rsidR="00DB0B1E" w:rsidRPr="00DB0B1E" w:rsidRDefault="00DB0B1E" w:rsidP="00DB0B1E">
      <w:pPr>
        <w:spacing w:before="0" w:beforeAutospacing="0" w:after="0" w:afterAutospacing="0" w:line="276" w:lineRule="auto"/>
        <w:ind w:right="420"/>
        <w:contextualSpacing/>
        <w:rPr>
          <w:rFonts w:ascii="Tahoma" w:eastAsia="Calibri" w:hAnsi="Tahoma" w:cs="Tahoma"/>
          <w:iCs/>
          <w:lang w:val="es-ES"/>
        </w:rPr>
      </w:pPr>
      <w:r w:rsidRPr="00DB0B1E">
        <w:rPr>
          <w:rFonts w:ascii="Tahoma" w:eastAsia="Calibri" w:hAnsi="Tahoma" w:cs="Tahoma"/>
          <w:iCs/>
          <w:lang w:val="es-ES"/>
        </w:rPr>
        <w:t>Finalmente, en el mismo sentido se ha pronunciado el máximo órgano de cierre de la jurisdicción laboral, respecto a las publicaciones de prensa y extractos de la cuenta de ahorro individual, en este orden en la sentencia CSJ 1618-2022</w:t>
      </w:r>
      <w:r w:rsidRPr="00DB0B1E">
        <w:rPr>
          <w:rFonts w:ascii="Tahoma" w:eastAsia="Calibri" w:hAnsi="Tahoma" w:cs="Tahoma"/>
          <w:iCs/>
          <w:vertAlign w:val="superscript"/>
          <w:lang w:val="es-ES"/>
        </w:rPr>
        <w:footnoteReference w:id="10"/>
      </w:r>
      <w:r w:rsidRPr="00DB0B1E">
        <w:rPr>
          <w:rFonts w:ascii="Tahoma" w:eastAsia="Calibri" w:hAnsi="Tahoma" w:cs="Tahoma"/>
          <w:iCs/>
          <w:lang w:val="es-ES"/>
        </w:rPr>
        <w:t xml:space="preserve"> precisó: </w:t>
      </w:r>
    </w:p>
    <w:p w14:paraId="3BF6301E" w14:textId="77777777" w:rsidR="00DB0B1E" w:rsidRPr="00DB0B1E" w:rsidRDefault="00DB0B1E" w:rsidP="00DB0B1E">
      <w:pPr>
        <w:spacing w:before="0" w:beforeAutospacing="0" w:after="0" w:afterAutospacing="0" w:line="276" w:lineRule="auto"/>
        <w:ind w:left="426" w:right="420" w:firstLine="0"/>
        <w:contextualSpacing/>
        <w:rPr>
          <w:rFonts w:ascii="Tahoma" w:eastAsia="Calibri" w:hAnsi="Tahoma" w:cs="Tahoma"/>
          <w:i/>
          <w:lang w:val="es-ES"/>
        </w:rPr>
      </w:pPr>
    </w:p>
    <w:p w14:paraId="6EA0B5C7" w14:textId="77777777" w:rsidR="00DB0B1E" w:rsidRPr="00DB0B1E" w:rsidRDefault="00DB0B1E" w:rsidP="00DB0B1E">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3D28B2B6" w14:textId="77777777" w:rsidR="00363345" w:rsidRPr="006F03EB" w:rsidRDefault="00363345" w:rsidP="006F03EB">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5D5CC6F5" w14:textId="77777777" w:rsidR="00363345" w:rsidRPr="006F03EB" w:rsidRDefault="00363345" w:rsidP="006F03EB">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iCs/>
          <w:lang w:eastAsia="es-CO"/>
        </w:rPr>
      </w:pPr>
      <w:r w:rsidRPr="006F03EB">
        <w:rPr>
          <w:rFonts w:ascii="Tahoma" w:eastAsia="Calibri" w:hAnsi="Tahoma" w:cs="Tahoma"/>
          <w:b/>
          <w:bCs/>
          <w:lang w:eastAsia="es-CO"/>
        </w:rPr>
        <w:t xml:space="preserve">“De la carga de la prueba – Inversión a favor del afiliado” </w:t>
      </w:r>
      <w:r w:rsidRPr="006F03EB">
        <w:rPr>
          <w:rFonts w:ascii="Tahoma" w:eastAsia="Calibri" w:hAnsi="Tahoma" w:cs="Tahoma"/>
          <w:b/>
          <w:bCs/>
          <w:vertAlign w:val="superscript"/>
          <w:lang w:eastAsia="es-CO"/>
        </w:rPr>
        <w:footnoteReference w:id="11"/>
      </w:r>
    </w:p>
    <w:p w14:paraId="4B4992D9" w14:textId="77777777" w:rsidR="00363345" w:rsidRPr="006F03EB" w:rsidRDefault="00363345" w:rsidP="006F03EB">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6093739C" w14:textId="66FA5C49" w:rsidR="00363345" w:rsidRPr="006F03EB" w:rsidRDefault="00785377"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lang w:eastAsia="es-CO"/>
        </w:rPr>
        <w:lastRenderedPageBreak/>
        <w:t xml:space="preserve">El tercer problema jurídico relativo a la carga de la prueba en los procesos de ineficacia de traslado, también se resolvió </w:t>
      </w:r>
      <w:r w:rsidR="00363345" w:rsidRPr="006F03EB">
        <w:rPr>
          <w:rFonts w:ascii="Tahoma" w:eastAsia="Calibri" w:hAnsi="Tahoma" w:cs="Tahoma"/>
          <w:lang w:eastAsia="es-CO"/>
        </w:rPr>
        <w:t>por la Corte Suprema de Justicia desde la sentencia hito, en la que se expresó que de conformidad al artículo 1604 del Código Civil «</w:t>
      </w:r>
      <w:r w:rsidR="00363345" w:rsidRPr="006F03EB">
        <w:rPr>
          <w:rFonts w:ascii="Tahoma" w:eastAsia="Calibri" w:hAnsi="Tahoma" w:cs="Tahoma"/>
          <w:i/>
          <w:lang w:eastAsia="es-CO"/>
        </w:rPr>
        <w:t>la prueba de la diligencia o cuidado incumbe al que ha debido emplearlo”</w:t>
      </w:r>
      <w:r w:rsidR="00363345" w:rsidRPr="006F03EB">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13C70D47" w14:textId="77777777" w:rsidR="00363345" w:rsidRPr="006F03EB" w:rsidRDefault="00363345" w:rsidP="006F03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6551BF5" w14:textId="77777777" w:rsidR="00363345" w:rsidRPr="005B351F" w:rsidRDefault="00363345" w:rsidP="005B351F">
      <w:pPr>
        <w:spacing w:before="0" w:beforeAutospacing="0" w:after="0" w:afterAutospacing="0" w:line="240" w:lineRule="auto"/>
        <w:ind w:left="426" w:right="420" w:firstLine="0"/>
        <w:rPr>
          <w:rFonts w:ascii="Tahoma" w:eastAsia="Calibri" w:hAnsi="Tahoma" w:cs="Tahoma"/>
          <w:i/>
          <w:sz w:val="22"/>
          <w:lang w:eastAsia="es-CO"/>
        </w:rPr>
      </w:pPr>
      <w:bookmarkStart w:id="12" w:name="_Hlk132203085"/>
      <w:r w:rsidRPr="005B351F">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1A1E6491" w14:textId="77777777" w:rsidR="00363345" w:rsidRPr="005B351F" w:rsidRDefault="00363345" w:rsidP="005B351F">
      <w:pPr>
        <w:spacing w:before="0" w:beforeAutospacing="0" w:after="0" w:afterAutospacing="0" w:line="240" w:lineRule="auto"/>
        <w:ind w:left="426" w:right="420" w:firstLine="0"/>
        <w:rPr>
          <w:rFonts w:ascii="Tahoma" w:eastAsia="Calibri" w:hAnsi="Tahoma" w:cs="Tahoma"/>
          <w:i/>
          <w:sz w:val="22"/>
          <w:lang w:eastAsia="es-CO"/>
        </w:rPr>
      </w:pPr>
    </w:p>
    <w:p w14:paraId="1B04CAFF" w14:textId="77777777" w:rsidR="00363345" w:rsidRPr="005B351F" w:rsidRDefault="00363345" w:rsidP="005B351F">
      <w:pPr>
        <w:spacing w:before="0" w:beforeAutospacing="0" w:after="0" w:afterAutospacing="0" w:line="240" w:lineRule="auto"/>
        <w:ind w:left="426" w:right="420" w:firstLine="0"/>
        <w:rPr>
          <w:rFonts w:ascii="Tahoma" w:eastAsia="Calibri" w:hAnsi="Tahoma" w:cs="Tahoma"/>
          <w:i/>
          <w:sz w:val="22"/>
          <w:lang w:eastAsia="es-CO"/>
        </w:rPr>
      </w:pPr>
      <w:r w:rsidRPr="005B351F">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21EC5495" w14:textId="77777777" w:rsidR="00363345" w:rsidRPr="005B351F" w:rsidRDefault="00363345" w:rsidP="005B351F">
      <w:pPr>
        <w:spacing w:before="0" w:beforeAutospacing="0" w:after="0" w:afterAutospacing="0" w:line="240" w:lineRule="auto"/>
        <w:ind w:left="426" w:right="420" w:firstLine="0"/>
        <w:rPr>
          <w:rFonts w:ascii="Tahoma" w:eastAsia="Calibri" w:hAnsi="Tahoma" w:cs="Tahoma"/>
          <w:i/>
          <w:sz w:val="22"/>
          <w:lang w:eastAsia="es-CO"/>
        </w:rPr>
      </w:pPr>
    </w:p>
    <w:p w14:paraId="02759799" w14:textId="77777777" w:rsidR="00363345" w:rsidRPr="005B351F" w:rsidRDefault="00363345" w:rsidP="005B351F">
      <w:pPr>
        <w:spacing w:before="0" w:beforeAutospacing="0" w:after="0" w:afterAutospacing="0" w:line="240" w:lineRule="auto"/>
        <w:ind w:left="426" w:right="420" w:firstLine="0"/>
        <w:rPr>
          <w:rFonts w:ascii="Tahoma" w:eastAsia="Calibri" w:hAnsi="Tahoma" w:cs="Tahoma"/>
          <w:i/>
          <w:sz w:val="22"/>
          <w:lang w:eastAsia="es-CO"/>
        </w:rPr>
      </w:pPr>
      <w:r w:rsidRPr="005B351F">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4457649" w14:textId="77777777" w:rsidR="00363345" w:rsidRPr="005B351F" w:rsidRDefault="00363345" w:rsidP="005B351F">
      <w:pPr>
        <w:spacing w:before="0" w:beforeAutospacing="0" w:after="0" w:afterAutospacing="0" w:line="240" w:lineRule="auto"/>
        <w:ind w:left="426" w:right="420" w:firstLine="0"/>
        <w:rPr>
          <w:rFonts w:ascii="Tahoma" w:eastAsia="Calibri" w:hAnsi="Tahoma" w:cs="Tahoma"/>
          <w:i/>
          <w:sz w:val="22"/>
          <w:lang w:eastAsia="es-CO"/>
        </w:rPr>
      </w:pPr>
    </w:p>
    <w:p w14:paraId="27D7C715" w14:textId="77777777" w:rsidR="00363345" w:rsidRPr="005B351F" w:rsidRDefault="00363345" w:rsidP="005B351F">
      <w:pPr>
        <w:spacing w:before="0" w:beforeAutospacing="0" w:after="0" w:afterAutospacing="0" w:line="240" w:lineRule="auto"/>
        <w:ind w:left="426" w:right="420" w:firstLine="0"/>
        <w:rPr>
          <w:rFonts w:ascii="Tahoma" w:eastAsia="Calibri" w:hAnsi="Tahoma" w:cs="Tahoma"/>
          <w:i/>
          <w:sz w:val="22"/>
          <w:lang w:eastAsia="es-CO"/>
        </w:rPr>
      </w:pPr>
      <w:r w:rsidRPr="005B351F">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1BFD4513" w14:textId="77777777" w:rsidR="00363345" w:rsidRPr="005B351F" w:rsidRDefault="00363345" w:rsidP="005B351F">
      <w:pPr>
        <w:spacing w:before="0" w:beforeAutospacing="0" w:after="0" w:afterAutospacing="0" w:line="240" w:lineRule="auto"/>
        <w:ind w:left="426" w:right="420" w:firstLine="0"/>
        <w:rPr>
          <w:rFonts w:ascii="Tahoma" w:eastAsia="Calibri" w:hAnsi="Tahoma" w:cs="Tahoma"/>
          <w:i/>
          <w:sz w:val="22"/>
          <w:lang w:eastAsia="es-CO"/>
        </w:rPr>
      </w:pPr>
    </w:p>
    <w:p w14:paraId="5E4FB893" w14:textId="77777777" w:rsidR="00363345" w:rsidRPr="005B351F" w:rsidRDefault="00363345" w:rsidP="005B351F">
      <w:pPr>
        <w:spacing w:before="0" w:beforeAutospacing="0" w:after="0" w:afterAutospacing="0" w:line="240" w:lineRule="auto"/>
        <w:ind w:left="426" w:right="420" w:firstLine="0"/>
        <w:rPr>
          <w:rFonts w:ascii="Tahoma" w:eastAsia="Calibri" w:hAnsi="Tahoma" w:cs="Tahoma"/>
          <w:i/>
          <w:sz w:val="22"/>
          <w:lang w:eastAsia="es-CO"/>
        </w:rPr>
      </w:pPr>
      <w:r w:rsidRPr="005B351F">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3368D4F7" w14:textId="77777777" w:rsidR="00363345" w:rsidRPr="005B351F" w:rsidRDefault="00363345" w:rsidP="005B351F">
      <w:pPr>
        <w:spacing w:before="0" w:beforeAutospacing="0" w:after="0" w:afterAutospacing="0" w:line="240" w:lineRule="auto"/>
        <w:ind w:left="426" w:right="420" w:firstLine="0"/>
        <w:rPr>
          <w:rFonts w:ascii="Tahoma" w:eastAsia="Calibri" w:hAnsi="Tahoma" w:cs="Tahoma"/>
          <w:i/>
          <w:sz w:val="22"/>
          <w:lang w:eastAsia="es-CO"/>
        </w:rPr>
      </w:pPr>
    </w:p>
    <w:p w14:paraId="57BEE158" w14:textId="77777777" w:rsidR="00363345" w:rsidRPr="005B351F" w:rsidRDefault="00363345" w:rsidP="005B351F">
      <w:pPr>
        <w:spacing w:before="0" w:beforeAutospacing="0" w:after="0" w:afterAutospacing="0" w:line="240" w:lineRule="auto"/>
        <w:ind w:left="426" w:right="420" w:firstLine="0"/>
        <w:rPr>
          <w:rFonts w:ascii="Tahoma" w:eastAsia="Calibri" w:hAnsi="Tahoma" w:cs="Tahoma"/>
          <w:i/>
          <w:sz w:val="22"/>
          <w:lang w:eastAsia="es-CO"/>
        </w:rPr>
      </w:pPr>
      <w:r w:rsidRPr="005B351F">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50D7D019" w14:textId="77777777" w:rsidR="00363345" w:rsidRPr="005B351F" w:rsidRDefault="00363345" w:rsidP="005B351F">
      <w:pPr>
        <w:spacing w:before="0" w:beforeAutospacing="0" w:after="0" w:afterAutospacing="0" w:line="240" w:lineRule="auto"/>
        <w:ind w:left="426" w:right="420" w:firstLine="0"/>
        <w:rPr>
          <w:rFonts w:ascii="Tahoma" w:eastAsia="Calibri" w:hAnsi="Tahoma" w:cs="Tahoma"/>
          <w:i/>
          <w:sz w:val="22"/>
          <w:lang w:eastAsia="es-CO"/>
        </w:rPr>
      </w:pPr>
    </w:p>
    <w:p w14:paraId="025734D7" w14:textId="77777777" w:rsidR="00363345" w:rsidRPr="005B351F" w:rsidRDefault="00363345" w:rsidP="005B351F">
      <w:pPr>
        <w:spacing w:before="0" w:beforeAutospacing="0" w:after="0" w:afterAutospacing="0" w:line="240" w:lineRule="auto"/>
        <w:ind w:left="426" w:right="420" w:firstLine="0"/>
        <w:rPr>
          <w:rFonts w:ascii="Tahoma" w:eastAsia="Calibri" w:hAnsi="Tahoma" w:cs="Tahoma"/>
          <w:i/>
          <w:sz w:val="22"/>
          <w:lang w:eastAsia="es-CO"/>
        </w:rPr>
      </w:pPr>
      <w:r w:rsidRPr="005B351F">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bookmarkEnd w:id="12"/>
    <w:p w14:paraId="6692C2D7" w14:textId="77777777" w:rsidR="00363345" w:rsidRPr="006F03EB" w:rsidRDefault="00363345" w:rsidP="006F03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749AECA" w14:textId="77777777" w:rsidR="00363345" w:rsidRPr="006F03EB" w:rsidRDefault="00363345" w:rsidP="006F03EB">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lang w:eastAsia="es-CO"/>
        </w:rPr>
      </w:pPr>
      <w:r w:rsidRPr="006F03EB">
        <w:rPr>
          <w:rFonts w:ascii="Tahoma" w:eastAsia="Calibri" w:hAnsi="Tahoma" w:cs="Tahoma"/>
          <w:b/>
          <w:bCs/>
          <w:lang w:eastAsia="es-CO"/>
        </w:rPr>
        <w:t>Consecuencias de la declaratoria de ineficacia del traslado: Devolución de las cuotas de administración y de otros valores debidamente indexados.</w:t>
      </w:r>
    </w:p>
    <w:p w14:paraId="50C34F74" w14:textId="77777777" w:rsidR="00363345" w:rsidRPr="006F03EB" w:rsidRDefault="00363345" w:rsidP="006F03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D623621" w14:textId="77777777" w:rsidR="00AE0FD2" w:rsidRPr="00AE0FD2" w:rsidRDefault="00AE0FD2" w:rsidP="00AE0FD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AE0FD2">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5BC35F7C" w14:textId="77777777" w:rsidR="00AE0FD2" w:rsidRPr="00AE0FD2" w:rsidRDefault="00AE0FD2" w:rsidP="00AE0FD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1330D88" w14:textId="77777777" w:rsidR="00AE0FD2" w:rsidRPr="00AE0FD2" w:rsidRDefault="00AE0FD2" w:rsidP="00AE0FD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E0FD2">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4E9B136A" w14:textId="77777777" w:rsidR="00AE0FD2" w:rsidRPr="00AE0FD2" w:rsidRDefault="00AE0FD2" w:rsidP="00AE0FD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E44B0D6" w14:textId="77777777" w:rsidR="00AE0FD2" w:rsidRPr="00AE0FD2" w:rsidRDefault="00AE0FD2" w:rsidP="00AE0FD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E0FD2">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1C40C7BA" w14:textId="77777777" w:rsidR="00AE0FD2" w:rsidRPr="00AE0FD2" w:rsidRDefault="00AE0FD2" w:rsidP="00AE0FD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C3AF712" w14:textId="77777777" w:rsidR="00AE0FD2" w:rsidRPr="00AE0FD2" w:rsidRDefault="00AE0FD2" w:rsidP="00AE0FD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E0FD2">
        <w:rPr>
          <w:rFonts w:ascii="Tahoma" w:eastAsia="Calibri" w:hAnsi="Tahoma" w:cs="Tahoma"/>
          <w:i/>
          <w:sz w:val="22"/>
          <w:lang w:eastAsia="es-CO"/>
        </w:rPr>
        <w:t>[…]</w:t>
      </w:r>
    </w:p>
    <w:p w14:paraId="7D2558D5" w14:textId="77777777" w:rsidR="00AE0FD2" w:rsidRPr="00AE0FD2" w:rsidRDefault="00AE0FD2" w:rsidP="00AE0FD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CCDE7C8" w14:textId="77777777" w:rsidR="00AE0FD2" w:rsidRPr="00AE0FD2" w:rsidRDefault="00AE0FD2" w:rsidP="00AE0FD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E0FD2">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224195A3" w14:textId="77777777" w:rsidR="00AE0FD2" w:rsidRPr="00AE0FD2" w:rsidRDefault="00AE0FD2" w:rsidP="00AE0FD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916479C" w14:textId="77777777" w:rsidR="00AE0FD2" w:rsidRPr="00AE0FD2" w:rsidRDefault="00AE0FD2" w:rsidP="00AE0FD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E0FD2">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76C60AC1" w14:textId="77777777" w:rsidR="00AE0FD2" w:rsidRPr="00AE0FD2" w:rsidRDefault="00AE0FD2" w:rsidP="00AE0FD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6977B36" w14:textId="77777777" w:rsidR="00AE0FD2" w:rsidRPr="00AE0FD2" w:rsidRDefault="00AE0FD2" w:rsidP="00AE0FD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AE0FD2">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1C5E8C14" w14:textId="77777777" w:rsidR="00AE0FD2" w:rsidRPr="00AE0FD2" w:rsidRDefault="00AE0FD2" w:rsidP="00AE0FD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2309D5A" w14:textId="77777777" w:rsidR="00AE0FD2" w:rsidRPr="00AE0FD2" w:rsidRDefault="00AE0FD2" w:rsidP="00AE0FD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E0FD2">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4E11677A" w14:textId="77777777" w:rsidR="00AE0FD2" w:rsidRPr="00AE0FD2" w:rsidRDefault="00AE0FD2" w:rsidP="00AE0FD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CBB8ED0" w14:textId="77777777" w:rsidR="00AE0FD2" w:rsidRPr="00AE0FD2" w:rsidRDefault="00AE0FD2" w:rsidP="00AE0FD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AE0FD2">
        <w:rPr>
          <w:rFonts w:ascii="Tahoma" w:eastAsia="Calibri" w:hAnsi="Tahoma" w:cs="Tahoma"/>
          <w:lang w:eastAsia="es-CO"/>
        </w:rPr>
        <w:t xml:space="preserve">De lo anterior queda claro, que la ineficacia de traslado no sólo acarrea, a cargo </w:t>
      </w:r>
      <w:r w:rsidRPr="00AE0FD2">
        <w:rPr>
          <w:rFonts w:ascii="Tahoma" w:eastAsia="Calibri" w:hAnsi="Tahoma" w:cs="Tahoma"/>
          <w:lang w:eastAsia="es-CO"/>
        </w:rPr>
        <w:lastRenderedPageBreak/>
        <w:t xml:space="preserve">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bookmarkEnd w:id="7"/>
    <w:p w14:paraId="3D6A9C00" w14:textId="77777777" w:rsidR="008F4A6D" w:rsidRPr="006F03EB" w:rsidRDefault="008F4A6D" w:rsidP="006F03EB">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1C2099CA" w14:textId="77777777" w:rsidR="00363345" w:rsidRPr="005B351F" w:rsidRDefault="00363345" w:rsidP="005B351F">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r w:rsidRPr="005B351F">
        <w:rPr>
          <w:rFonts w:ascii="Tahoma" w:eastAsia="Calibri" w:hAnsi="Tahoma" w:cs="Tahoma"/>
          <w:b/>
          <w:bCs/>
          <w:lang w:eastAsia="es-CO"/>
        </w:rPr>
        <w:t>Caso concreto</w:t>
      </w:r>
    </w:p>
    <w:p w14:paraId="29B8913B" w14:textId="77777777" w:rsidR="00363345" w:rsidRPr="006F03EB" w:rsidRDefault="00363345" w:rsidP="006F03EB">
      <w:pPr>
        <w:pStyle w:val="Prrafodelista"/>
        <w:widowControl w:val="0"/>
        <w:autoSpaceDE w:val="0"/>
        <w:autoSpaceDN w:val="0"/>
        <w:adjustRightInd w:val="0"/>
        <w:spacing w:line="276" w:lineRule="auto"/>
        <w:ind w:left="0"/>
        <w:rPr>
          <w:rFonts w:eastAsia="Calibri" w:cs="Tahoma"/>
          <w:b/>
          <w:szCs w:val="24"/>
          <w:lang w:eastAsia="es-CO"/>
        </w:rPr>
      </w:pPr>
    </w:p>
    <w:p w14:paraId="48C48BAA" w14:textId="3BF72F3C" w:rsidR="00785377" w:rsidRPr="006F03EB" w:rsidRDefault="00785377"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lang w:eastAsia="es-CO"/>
        </w:rPr>
        <w:t>Se pretende por esta vía ordinaria que se declare la ineficacia del traslado del régimen de prima media con prestación definida al de ahorro individual con solidaridad, dada la omisión de información clara y precisa, que ha debido brindarle la AFP</w:t>
      </w:r>
      <w:r w:rsidR="0084209D" w:rsidRPr="006F03EB">
        <w:rPr>
          <w:rFonts w:ascii="Tahoma" w:eastAsia="Calibri" w:hAnsi="Tahoma" w:cs="Tahoma"/>
          <w:lang w:eastAsia="es-CO"/>
        </w:rPr>
        <w:t xml:space="preserve"> COLMENA hoy PROTECCIÓN S.A.</w:t>
      </w:r>
      <w:r w:rsidRPr="006F03EB">
        <w:rPr>
          <w:rFonts w:ascii="Tahoma" w:eastAsia="Calibri" w:hAnsi="Tahoma" w:cs="Tahoma"/>
          <w:lang w:eastAsia="es-CO"/>
        </w:rPr>
        <w:t xml:space="preserve"> a la parte actora en orden a conocer las condiciones y consecuencias de migración de régimen.</w:t>
      </w:r>
    </w:p>
    <w:p w14:paraId="5DFBF7B0" w14:textId="77777777" w:rsidR="00363345" w:rsidRPr="006F03EB" w:rsidRDefault="00363345" w:rsidP="006F03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659FA06" w14:textId="6ADCBD23" w:rsidR="00363345" w:rsidRPr="006F03EB" w:rsidRDefault="00363345"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lang w:eastAsia="es-CO"/>
        </w:rPr>
        <w:t>De conformidad con jurisprudencia de la Sala de Casación Laboral de la Corte Suprema de Justicia, en las precitadas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w:t>
      </w:r>
      <w:r w:rsidR="00EF68DF" w:rsidRPr="006F03EB">
        <w:rPr>
          <w:rFonts w:ascii="Tahoma" w:eastAsia="Calibri" w:hAnsi="Tahoma" w:cs="Tahoma"/>
          <w:lang w:eastAsia="es-CO"/>
        </w:rPr>
        <w:t>o</w:t>
      </w:r>
      <w:r w:rsidRPr="006F03EB">
        <w:rPr>
          <w:rFonts w:ascii="Tahoma" w:eastAsia="Calibri" w:hAnsi="Tahoma" w:cs="Tahoma"/>
          <w:lang w:eastAsia="es-CO"/>
        </w:rPr>
        <w:t>, acerca del impacto del cambio de régimen pensional.</w:t>
      </w:r>
    </w:p>
    <w:p w14:paraId="012D18E7" w14:textId="77777777" w:rsidR="002500F6" w:rsidRPr="006F03EB" w:rsidRDefault="002500F6"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6BF0DFF" w14:textId="77777777" w:rsidR="002500F6" w:rsidRPr="006F03EB" w:rsidRDefault="002500F6" w:rsidP="006F03EB">
      <w:pPr>
        <w:widowControl w:val="0"/>
        <w:autoSpaceDE w:val="0"/>
        <w:autoSpaceDN w:val="0"/>
        <w:adjustRightInd w:val="0"/>
        <w:spacing w:before="0" w:beforeAutospacing="0" w:after="0" w:afterAutospacing="0" w:line="276" w:lineRule="auto"/>
        <w:ind w:firstLine="708"/>
        <w:rPr>
          <w:rFonts w:ascii="Tahoma" w:eastAsia="Calibri" w:hAnsi="Tahoma" w:cs="Tahoma"/>
          <w:b/>
          <w:bCs/>
          <w:lang w:eastAsia="es-CO"/>
        </w:rPr>
      </w:pPr>
      <w:r w:rsidRPr="006F03EB">
        <w:rPr>
          <w:rFonts w:ascii="Tahoma" w:eastAsia="Calibri" w:hAnsi="Tahoma" w:cs="Tahoma"/>
          <w:lang w:eastAsia="es-CO"/>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6F03EB">
        <w:rPr>
          <w:rFonts w:ascii="Tahoma" w:eastAsia="Calibri" w:hAnsi="Tahoma" w:cs="Tahoma"/>
          <w:b/>
          <w:bCs/>
          <w:lang w:eastAsia="es-CO"/>
        </w:rPr>
        <w:t>, acreditar haber transmitido a la parte actora la información concreta y cierta, acerca de la implicación del traslado de régimen pensional.</w:t>
      </w:r>
    </w:p>
    <w:p w14:paraId="0A88B6F9" w14:textId="77777777" w:rsidR="002500F6" w:rsidRPr="006F03EB" w:rsidRDefault="002500F6" w:rsidP="006F03EB">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39E01EF0" w14:textId="7BC3DFD5" w:rsidR="002500F6" w:rsidRPr="006F03EB" w:rsidRDefault="002500F6"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lang w:eastAsia="es-CO"/>
        </w:rPr>
        <w:t xml:space="preserve">En realidad, mínimo la AFP tendría que haber dado la siguiente información: </w:t>
      </w:r>
      <w:r w:rsidRPr="006F03EB">
        <w:rPr>
          <w:rFonts w:ascii="Tahoma" w:eastAsia="Calibri" w:hAnsi="Tahoma" w:cs="Tahoma"/>
          <w:i/>
          <w:iCs/>
          <w:lang w:eastAsia="es-CO"/>
        </w:rPr>
        <w:t xml:space="preserve">i) </w:t>
      </w:r>
      <w:r w:rsidRPr="006F03EB">
        <w:rPr>
          <w:rFonts w:ascii="Tahoma" w:eastAsia="Calibri" w:hAnsi="Tahoma" w:cs="Tahoma"/>
          <w:lang w:eastAsia="es-CO"/>
        </w:rPr>
        <w:t xml:space="preserve">Que, dependiendo del capital, puede pensionarse anticipadamente, esto es, antes de la edad mínima para la pensión de vejez. </w:t>
      </w:r>
      <w:r w:rsidRPr="006F03EB">
        <w:rPr>
          <w:rFonts w:ascii="Tahoma" w:eastAsia="Calibri" w:hAnsi="Tahoma" w:cs="Tahoma"/>
          <w:i/>
          <w:iCs/>
          <w:lang w:eastAsia="es-CO"/>
        </w:rPr>
        <w:t xml:space="preserve">ii) </w:t>
      </w:r>
      <w:r w:rsidRPr="006F03EB">
        <w:rPr>
          <w:rFonts w:ascii="Tahoma" w:eastAsia="Calibri" w:hAnsi="Tahoma" w:cs="Tahoma"/>
          <w:lang w:eastAsia="es-CO"/>
        </w:rPr>
        <w:t xml:space="preserve">La posibilidad para sus herederos de hacerse a la devolución de saldos, en caso de que no existieran beneficiaros para la pensión de sobrevivientes. </w:t>
      </w:r>
      <w:r w:rsidRPr="006F03EB">
        <w:rPr>
          <w:rFonts w:ascii="Tahoma" w:eastAsia="Calibri" w:hAnsi="Tahoma" w:cs="Tahoma"/>
          <w:i/>
          <w:iCs/>
          <w:lang w:eastAsia="es-CO"/>
        </w:rPr>
        <w:t xml:space="preserve">iii) </w:t>
      </w:r>
      <w:r w:rsidRPr="006F03EB">
        <w:rPr>
          <w:rFonts w:ascii="Tahoma" w:eastAsia="Calibri" w:hAnsi="Tahoma" w:cs="Tahoma"/>
          <w:lang w:eastAsia="es-CO"/>
        </w:rPr>
        <w:t xml:space="preserve">La devolución total del saldo en caso de no alcanzar a reunir el total de los requisitos legales para optar al beneficio pensional. </w:t>
      </w:r>
      <w:r w:rsidRPr="006F03EB">
        <w:rPr>
          <w:rFonts w:ascii="Tahoma" w:eastAsia="Calibri" w:hAnsi="Tahoma" w:cs="Tahoma"/>
          <w:i/>
          <w:iCs/>
          <w:lang w:eastAsia="es-CO"/>
        </w:rPr>
        <w:t xml:space="preserve">iv) </w:t>
      </w:r>
      <w:r w:rsidRPr="006F03EB">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6F03EB">
        <w:rPr>
          <w:rFonts w:ascii="Tahoma" w:eastAsia="Calibri" w:hAnsi="Tahoma" w:cs="Tahoma"/>
          <w:i/>
          <w:iCs/>
          <w:lang w:eastAsia="es-CO"/>
        </w:rPr>
        <w:t xml:space="preserve">v) </w:t>
      </w:r>
      <w:r w:rsidRPr="006F03EB">
        <w:rPr>
          <w:rFonts w:ascii="Tahoma" w:eastAsia="Calibri" w:hAnsi="Tahoma" w:cs="Tahoma"/>
          <w:lang w:eastAsia="es-CO"/>
        </w:rPr>
        <w:t xml:space="preserve">La posibilidad de que el reconocimiento de la pensión de vejez, una vez reunido los requisitos, se haga pronto. </w:t>
      </w:r>
      <w:r w:rsidRPr="006F03EB">
        <w:rPr>
          <w:rFonts w:ascii="Tahoma" w:eastAsia="Calibri" w:hAnsi="Tahoma" w:cs="Tahoma"/>
          <w:i/>
          <w:iCs/>
          <w:lang w:eastAsia="es-CO"/>
        </w:rPr>
        <w:t xml:space="preserve">vi) </w:t>
      </w:r>
      <w:r w:rsidRPr="006F03EB">
        <w:rPr>
          <w:rFonts w:ascii="Tahoma" w:eastAsia="Calibri" w:hAnsi="Tahoma" w:cs="Tahoma"/>
          <w:lang w:eastAsia="es-CO"/>
        </w:rPr>
        <w:t xml:space="preserve">La posibilidad de que sus aportes se conviertan en patrimonio </w:t>
      </w:r>
      <w:proofErr w:type="spellStart"/>
      <w:r w:rsidRPr="006F03EB">
        <w:rPr>
          <w:rFonts w:ascii="Tahoma" w:eastAsia="Calibri" w:hAnsi="Tahoma" w:cs="Tahoma"/>
          <w:lang w:eastAsia="es-CO"/>
        </w:rPr>
        <w:t>sucesoral</w:t>
      </w:r>
      <w:proofErr w:type="spellEnd"/>
      <w:r w:rsidRPr="006F03EB">
        <w:rPr>
          <w:rFonts w:ascii="Tahoma" w:eastAsia="Calibri" w:hAnsi="Tahoma" w:cs="Tahoma"/>
          <w:lang w:eastAsia="es-CO"/>
        </w:rPr>
        <w:t xml:space="preserve"> en un caso dado. </w:t>
      </w:r>
      <w:r w:rsidRPr="006F03EB">
        <w:rPr>
          <w:rFonts w:ascii="Tahoma" w:eastAsia="Calibri" w:hAnsi="Tahoma" w:cs="Tahoma"/>
          <w:i/>
          <w:iCs/>
          <w:lang w:eastAsia="es-CO"/>
        </w:rPr>
        <w:t xml:space="preserve">vii) </w:t>
      </w:r>
      <w:r w:rsidRPr="006F03EB">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6F03EB">
        <w:rPr>
          <w:rFonts w:ascii="Tahoma" w:eastAsia="Calibri" w:hAnsi="Tahoma" w:cs="Tahoma"/>
          <w:i/>
          <w:iCs/>
          <w:lang w:eastAsia="es-CO"/>
        </w:rPr>
        <w:t>viii</w:t>
      </w:r>
      <w:proofErr w:type="spellEnd"/>
      <w:r w:rsidRPr="006F03EB">
        <w:rPr>
          <w:rFonts w:ascii="Tahoma" w:eastAsia="Calibri" w:hAnsi="Tahoma" w:cs="Tahoma"/>
          <w:i/>
          <w:iCs/>
          <w:lang w:eastAsia="es-CO"/>
        </w:rPr>
        <w:t xml:space="preserve">) </w:t>
      </w:r>
      <w:r w:rsidRPr="006F03EB">
        <w:rPr>
          <w:rFonts w:ascii="Tahoma" w:eastAsia="Calibri" w:hAnsi="Tahoma" w:cs="Tahoma"/>
          <w:lang w:eastAsia="es-CO"/>
        </w:rPr>
        <w:t xml:space="preserve">Los rendimientos financieros que le generen sus aportes abonados sobre el saldo de su cuenta de ahorro individual; y, </w:t>
      </w:r>
      <w:proofErr w:type="spellStart"/>
      <w:r w:rsidRPr="006F03EB">
        <w:rPr>
          <w:rFonts w:ascii="Tahoma" w:eastAsia="Calibri" w:hAnsi="Tahoma" w:cs="Tahoma"/>
          <w:i/>
          <w:iCs/>
          <w:lang w:eastAsia="es-CO"/>
        </w:rPr>
        <w:t>ix</w:t>
      </w:r>
      <w:proofErr w:type="spellEnd"/>
      <w:r w:rsidRPr="006F03EB">
        <w:rPr>
          <w:rFonts w:ascii="Tahoma" w:eastAsia="Calibri" w:hAnsi="Tahoma" w:cs="Tahoma"/>
          <w:i/>
          <w:iCs/>
          <w:lang w:eastAsia="es-CO"/>
        </w:rPr>
        <w:t xml:space="preserve">) </w:t>
      </w:r>
      <w:r w:rsidRPr="006F03EB">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6F03EB">
        <w:rPr>
          <w:rFonts w:ascii="Tahoma" w:eastAsia="Calibri" w:hAnsi="Tahoma" w:cs="Tahoma"/>
          <w:lang w:eastAsia="es-CO"/>
        </w:rPr>
        <w:t>sucesoral</w:t>
      </w:r>
      <w:proofErr w:type="spellEnd"/>
      <w:r w:rsidRPr="006F03EB">
        <w:rPr>
          <w:rFonts w:ascii="Tahoma" w:eastAsia="Calibri" w:hAnsi="Tahoma" w:cs="Tahoma"/>
          <w:lang w:eastAsia="es-CO"/>
        </w:rPr>
        <w:t xml:space="preserve">, pero le garantiza </w:t>
      </w:r>
      <w:r w:rsidRPr="006F03EB">
        <w:rPr>
          <w:rFonts w:ascii="Tahoma" w:eastAsia="Calibri" w:hAnsi="Tahoma" w:cs="Tahoma"/>
          <w:lang w:eastAsia="es-CO"/>
        </w:rPr>
        <w:lastRenderedPageBreak/>
        <w:t xml:space="preserve">una pensión de por vida. La modalidad de </w:t>
      </w:r>
      <w:r w:rsidRPr="006F03EB">
        <w:rPr>
          <w:rFonts w:ascii="Tahoma" w:eastAsia="Calibri" w:hAnsi="Tahoma" w:cs="Tahoma"/>
          <w:i/>
          <w:iCs/>
          <w:lang w:eastAsia="es-CO"/>
        </w:rPr>
        <w:t>retiro programado</w:t>
      </w:r>
      <w:r w:rsidRPr="006F03EB">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246EF94C" w14:textId="77777777" w:rsidR="002500F6" w:rsidRPr="006F03EB" w:rsidRDefault="002500F6"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EBE0B4A" w14:textId="284705A7" w:rsidR="002500F6" w:rsidRPr="006F03EB" w:rsidRDefault="002500F6"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lang w:eastAsia="es-CO"/>
        </w:rPr>
        <w:t xml:space="preserve">La AFP convocada al proceso </w:t>
      </w:r>
      <w:r w:rsidRPr="006F03EB">
        <w:rPr>
          <w:rFonts w:ascii="Tahoma" w:eastAsia="Calibri" w:hAnsi="Tahoma" w:cs="Tahoma"/>
          <w:color w:val="000000" w:themeColor="text1"/>
          <w:lang w:eastAsia="es-CO"/>
        </w:rPr>
        <w:t xml:space="preserve">afirma en su contestación de la demanda y en su alzada que brindó la </w:t>
      </w:r>
      <w:r w:rsidRPr="006F03EB">
        <w:rPr>
          <w:rFonts w:ascii="Tahoma" w:eastAsia="Calibri" w:hAnsi="Tahoma" w:cs="Tahoma"/>
          <w:lang w:eastAsia="es-CO"/>
        </w:rPr>
        <w:t xml:space="preserve">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64D97EE9" w14:textId="77777777" w:rsidR="00363345" w:rsidRPr="006F03EB" w:rsidRDefault="00363345" w:rsidP="006F03EB">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688D2A7D" w14:textId="18920304" w:rsidR="00363345" w:rsidRPr="006F03EB" w:rsidRDefault="002500F6" w:rsidP="006F03EB">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6F03EB">
        <w:rPr>
          <w:rFonts w:ascii="Tahoma" w:eastAsia="Calibri" w:hAnsi="Tahoma" w:cs="Tahoma"/>
          <w:lang w:eastAsia="es-CO"/>
        </w:rPr>
        <w:t>Ahora, lo cierto es que</w:t>
      </w:r>
      <w:r w:rsidR="00363345" w:rsidRPr="006F03EB">
        <w:rPr>
          <w:rFonts w:ascii="Tahoma" w:eastAsia="Calibri" w:hAnsi="Tahoma" w:cs="Tahoma"/>
          <w:lang w:eastAsia="es-CO"/>
        </w:rPr>
        <w:t xml:space="preserve"> </w:t>
      </w:r>
      <w:r w:rsidR="0084209D" w:rsidRPr="006F03EB">
        <w:rPr>
          <w:rFonts w:ascii="Tahoma" w:eastAsia="Calibri" w:hAnsi="Tahoma" w:cs="Tahoma"/>
          <w:lang w:eastAsia="es-CO"/>
        </w:rPr>
        <w:t>Protección</w:t>
      </w:r>
      <w:r w:rsidR="00785377" w:rsidRPr="006F03EB">
        <w:rPr>
          <w:rFonts w:ascii="Tahoma" w:eastAsia="Calibri" w:hAnsi="Tahoma" w:cs="Tahoma"/>
          <w:lang w:eastAsia="es-CO"/>
        </w:rPr>
        <w:t xml:space="preserve"> S.A.</w:t>
      </w:r>
      <w:r w:rsidR="009C239E" w:rsidRPr="006F03EB">
        <w:rPr>
          <w:rFonts w:ascii="Tahoma" w:eastAsia="Calibri" w:hAnsi="Tahoma" w:cs="Tahoma"/>
          <w:lang w:eastAsia="es-CO"/>
        </w:rPr>
        <w:t>,</w:t>
      </w:r>
      <w:r w:rsidR="00363345" w:rsidRPr="006F03EB">
        <w:rPr>
          <w:rFonts w:ascii="Tahoma" w:eastAsia="Calibri" w:hAnsi="Tahoma" w:cs="Tahoma"/>
          <w:lang w:eastAsia="es-CO"/>
        </w:rPr>
        <w:t xml:space="preserve"> como </w:t>
      </w:r>
      <w:r w:rsidR="00363345" w:rsidRPr="006F03EB">
        <w:rPr>
          <w:rFonts w:ascii="Tahoma" w:eastAsia="Calibri" w:hAnsi="Tahoma" w:cs="Tahoma"/>
          <w:lang w:val="es-ES" w:eastAsia="es-CO"/>
        </w:rPr>
        <w:t>prueba del cumplimiento del deber de información, llam</w:t>
      </w:r>
      <w:r w:rsidR="00EF68DF" w:rsidRPr="006F03EB">
        <w:rPr>
          <w:rFonts w:ascii="Tahoma" w:eastAsia="Calibri" w:hAnsi="Tahoma" w:cs="Tahoma"/>
          <w:lang w:val="es-ES" w:eastAsia="es-CO"/>
        </w:rPr>
        <w:t>ó</w:t>
      </w:r>
      <w:r w:rsidR="00363345" w:rsidRPr="006F03EB">
        <w:rPr>
          <w:rFonts w:ascii="Tahoma" w:eastAsia="Calibri" w:hAnsi="Tahoma" w:cs="Tahoma"/>
          <w:lang w:val="es-ES" w:eastAsia="es-CO"/>
        </w:rPr>
        <w:t xml:space="preserve"> a declarar a su contraparte procesal, con el fin de demostrar </w:t>
      </w:r>
      <w:r w:rsidR="00363345" w:rsidRPr="006F03EB">
        <w:rPr>
          <w:rFonts w:ascii="Tahoma" w:eastAsia="Calibri" w:hAnsi="Tahoma" w:cs="Tahoma"/>
          <w:lang w:eastAsia="es-CO"/>
        </w:rPr>
        <w:t>que le brind</w:t>
      </w:r>
      <w:r w:rsidR="00EF68DF" w:rsidRPr="006F03EB">
        <w:rPr>
          <w:rFonts w:ascii="Tahoma" w:eastAsia="Calibri" w:hAnsi="Tahoma" w:cs="Tahoma"/>
          <w:lang w:eastAsia="es-CO"/>
        </w:rPr>
        <w:t>ó</w:t>
      </w:r>
      <w:r w:rsidR="00363345" w:rsidRPr="006F03EB">
        <w:rPr>
          <w:rFonts w:ascii="Tahoma" w:eastAsia="Calibri" w:hAnsi="Tahoma" w:cs="Tahoma"/>
          <w:lang w:eastAsia="es-CO"/>
        </w:rPr>
        <w:t xml:space="preserve"> la información seria y veraz que, para la época, era jurídicamente pertinente</w:t>
      </w:r>
      <w:r w:rsidR="0084209D" w:rsidRPr="006F03EB">
        <w:rPr>
          <w:rFonts w:ascii="Tahoma" w:eastAsia="Calibri" w:hAnsi="Tahoma" w:cs="Tahoma"/>
          <w:lang w:eastAsia="es-CO"/>
        </w:rPr>
        <w:t>, s</w:t>
      </w:r>
      <w:r w:rsidR="00363345" w:rsidRPr="006F03EB">
        <w:rPr>
          <w:rFonts w:ascii="Tahoma" w:eastAsia="Calibri" w:hAnsi="Tahoma" w:cs="Tahoma"/>
          <w:lang w:eastAsia="es-CO"/>
        </w:rPr>
        <w:t xml:space="preserve">in embargo, una vez rendido el interrogatorio de parte, no se </w:t>
      </w:r>
      <w:r w:rsidR="00363345" w:rsidRPr="006F03EB">
        <w:rPr>
          <w:rFonts w:ascii="Tahoma" w:eastAsia="Tahoma" w:hAnsi="Tahoma" w:cs="Tahoma"/>
          <w:color w:val="000000" w:themeColor="text1"/>
          <w:lang w:val="es-ES"/>
        </w:rPr>
        <w:t xml:space="preserve">logró desvirtuar la poca información recibida por </w:t>
      </w:r>
      <w:r w:rsidR="00EF68DF" w:rsidRPr="006F03EB">
        <w:rPr>
          <w:rFonts w:ascii="Tahoma" w:eastAsia="Tahoma" w:hAnsi="Tahoma" w:cs="Tahoma"/>
          <w:color w:val="000000" w:themeColor="text1"/>
          <w:lang w:val="es-ES"/>
        </w:rPr>
        <w:t>el</w:t>
      </w:r>
      <w:r w:rsidR="00363345" w:rsidRPr="006F03EB">
        <w:rPr>
          <w:rFonts w:ascii="Tahoma" w:eastAsia="Tahoma" w:hAnsi="Tahoma" w:cs="Tahoma"/>
          <w:color w:val="000000" w:themeColor="text1"/>
          <w:lang w:val="es-ES"/>
        </w:rPr>
        <w:t xml:space="preserve"> promotor de la litis, </w:t>
      </w:r>
      <w:r w:rsidR="00EF68DF" w:rsidRPr="006F03EB">
        <w:rPr>
          <w:rFonts w:ascii="Tahoma" w:eastAsia="Tahoma" w:hAnsi="Tahoma" w:cs="Tahoma"/>
          <w:color w:val="000000" w:themeColor="text1"/>
          <w:lang w:val="es-ES"/>
        </w:rPr>
        <w:t xml:space="preserve">puesto que lo único que indicó es que </w:t>
      </w:r>
      <w:r w:rsidR="0084209D" w:rsidRPr="006F03EB">
        <w:rPr>
          <w:rFonts w:ascii="Tahoma" w:eastAsia="Tahoma" w:hAnsi="Tahoma" w:cs="Tahoma"/>
          <w:color w:val="000000" w:themeColor="text1"/>
          <w:lang w:val="es-ES"/>
        </w:rPr>
        <w:t xml:space="preserve">estando trabajando lo llamaron a la oficina de </w:t>
      </w:r>
      <w:r w:rsidR="00C91B91" w:rsidRPr="006F03EB">
        <w:rPr>
          <w:rFonts w:ascii="Tahoma" w:eastAsia="Tahoma" w:hAnsi="Tahoma" w:cs="Tahoma"/>
          <w:color w:val="000000" w:themeColor="text1"/>
          <w:lang w:val="es-ES"/>
        </w:rPr>
        <w:t>personal</w:t>
      </w:r>
      <w:r w:rsidR="00FD1166" w:rsidRPr="006F03EB">
        <w:rPr>
          <w:rFonts w:ascii="Tahoma" w:eastAsia="Tahoma" w:hAnsi="Tahoma" w:cs="Tahoma"/>
          <w:color w:val="000000" w:themeColor="text1"/>
          <w:lang w:val="es-ES"/>
        </w:rPr>
        <w:t xml:space="preserve"> en el área de talento humano</w:t>
      </w:r>
      <w:r w:rsidR="004778EC" w:rsidRPr="006F03EB">
        <w:rPr>
          <w:rFonts w:ascii="Tahoma" w:eastAsia="Tahoma" w:hAnsi="Tahoma" w:cs="Tahoma"/>
          <w:color w:val="000000" w:themeColor="text1"/>
          <w:lang w:val="es-ES"/>
        </w:rPr>
        <w:t>;</w:t>
      </w:r>
      <w:r w:rsidR="00FD1166" w:rsidRPr="006F03EB">
        <w:rPr>
          <w:rFonts w:ascii="Tahoma" w:eastAsia="Tahoma" w:hAnsi="Tahoma" w:cs="Tahoma"/>
          <w:color w:val="000000" w:themeColor="text1"/>
          <w:lang w:val="es-ES"/>
        </w:rPr>
        <w:t xml:space="preserve"> en ese momento un asesor le indicó que en el fondo privado</w:t>
      </w:r>
      <w:r w:rsidR="0084209D" w:rsidRPr="006F03EB">
        <w:rPr>
          <w:rFonts w:ascii="Tahoma" w:eastAsia="Tahoma" w:hAnsi="Tahoma" w:cs="Tahoma"/>
          <w:color w:val="000000" w:themeColor="text1"/>
          <w:lang w:val="es-ES"/>
        </w:rPr>
        <w:t xml:space="preserve"> </w:t>
      </w:r>
      <w:r w:rsidR="00FD1166" w:rsidRPr="006F03EB">
        <w:rPr>
          <w:rFonts w:ascii="Tahoma" w:eastAsia="Tahoma" w:hAnsi="Tahoma" w:cs="Tahoma"/>
          <w:color w:val="000000" w:themeColor="text1"/>
          <w:lang w:val="es-ES"/>
        </w:rPr>
        <w:t>tendría una</w:t>
      </w:r>
      <w:r w:rsidR="0084209D" w:rsidRPr="006F03EB">
        <w:rPr>
          <w:rFonts w:ascii="Tahoma" w:eastAsia="Tahoma" w:hAnsi="Tahoma" w:cs="Tahoma"/>
          <w:color w:val="000000" w:themeColor="text1"/>
          <w:lang w:val="es-ES"/>
        </w:rPr>
        <w:t xml:space="preserve"> pensión </w:t>
      </w:r>
      <w:r w:rsidR="00FD1166" w:rsidRPr="006F03EB">
        <w:rPr>
          <w:rFonts w:ascii="Tahoma" w:eastAsia="Tahoma" w:hAnsi="Tahoma" w:cs="Tahoma"/>
          <w:color w:val="000000" w:themeColor="text1"/>
          <w:lang w:val="es-ES"/>
        </w:rPr>
        <w:t>más</w:t>
      </w:r>
      <w:r w:rsidR="0084209D" w:rsidRPr="006F03EB">
        <w:rPr>
          <w:rFonts w:ascii="Tahoma" w:eastAsia="Tahoma" w:hAnsi="Tahoma" w:cs="Tahoma"/>
          <w:color w:val="000000" w:themeColor="text1"/>
          <w:lang w:val="es-ES"/>
        </w:rPr>
        <w:t xml:space="preserve"> alta y que</w:t>
      </w:r>
      <w:r w:rsidR="00FD1166" w:rsidRPr="006F03EB">
        <w:rPr>
          <w:rFonts w:ascii="Tahoma" w:eastAsia="Tahoma" w:hAnsi="Tahoma" w:cs="Tahoma"/>
          <w:color w:val="000000" w:themeColor="text1"/>
          <w:lang w:val="es-ES"/>
        </w:rPr>
        <w:t xml:space="preserve">, si no se podía pensionar </w:t>
      </w:r>
      <w:r w:rsidR="0084209D" w:rsidRPr="006F03EB">
        <w:rPr>
          <w:rFonts w:ascii="Tahoma" w:eastAsia="Tahoma" w:hAnsi="Tahoma" w:cs="Tahoma"/>
          <w:color w:val="000000" w:themeColor="text1"/>
          <w:lang w:val="es-ES"/>
        </w:rPr>
        <w:t xml:space="preserve">le </w:t>
      </w:r>
      <w:r w:rsidR="00FD1166" w:rsidRPr="006F03EB">
        <w:rPr>
          <w:rFonts w:ascii="Tahoma" w:eastAsia="Tahoma" w:hAnsi="Tahoma" w:cs="Tahoma"/>
          <w:color w:val="000000" w:themeColor="text1"/>
          <w:lang w:val="es-ES"/>
        </w:rPr>
        <w:t>devolverían</w:t>
      </w:r>
      <w:r w:rsidR="0084209D" w:rsidRPr="006F03EB">
        <w:rPr>
          <w:rFonts w:ascii="Tahoma" w:eastAsia="Tahoma" w:hAnsi="Tahoma" w:cs="Tahoma"/>
          <w:color w:val="000000" w:themeColor="text1"/>
          <w:lang w:val="es-ES"/>
        </w:rPr>
        <w:t xml:space="preserve"> los saldos, </w:t>
      </w:r>
      <w:r w:rsidR="00FD1166" w:rsidRPr="006F03EB">
        <w:rPr>
          <w:rFonts w:ascii="Tahoma" w:eastAsia="Tahoma" w:hAnsi="Tahoma" w:cs="Tahoma"/>
          <w:color w:val="000000" w:themeColor="text1"/>
          <w:lang w:val="es-ES"/>
        </w:rPr>
        <w:t>lo que no ocurriría en el S</w:t>
      </w:r>
      <w:r w:rsidR="0084209D" w:rsidRPr="006F03EB">
        <w:rPr>
          <w:rFonts w:ascii="Tahoma" w:eastAsia="Tahoma" w:hAnsi="Tahoma" w:cs="Tahoma"/>
          <w:color w:val="000000" w:themeColor="text1"/>
          <w:lang w:val="es-ES"/>
        </w:rPr>
        <w:t xml:space="preserve">eguro </w:t>
      </w:r>
      <w:r w:rsidR="00FD1166" w:rsidRPr="006F03EB">
        <w:rPr>
          <w:rFonts w:ascii="Tahoma" w:eastAsia="Tahoma" w:hAnsi="Tahoma" w:cs="Tahoma"/>
          <w:color w:val="000000" w:themeColor="text1"/>
          <w:lang w:val="es-ES"/>
        </w:rPr>
        <w:t>So</w:t>
      </w:r>
      <w:r w:rsidR="0084209D" w:rsidRPr="006F03EB">
        <w:rPr>
          <w:rFonts w:ascii="Tahoma" w:eastAsia="Tahoma" w:hAnsi="Tahoma" w:cs="Tahoma"/>
          <w:color w:val="000000" w:themeColor="text1"/>
          <w:lang w:val="es-ES"/>
        </w:rPr>
        <w:t xml:space="preserve">cial </w:t>
      </w:r>
      <w:r w:rsidR="00FD1166" w:rsidRPr="006F03EB">
        <w:rPr>
          <w:rFonts w:ascii="Tahoma" w:eastAsia="Tahoma" w:hAnsi="Tahoma" w:cs="Tahoma"/>
          <w:color w:val="000000" w:themeColor="text1"/>
          <w:lang w:val="es-ES"/>
        </w:rPr>
        <w:t>porque iba a</w:t>
      </w:r>
      <w:r w:rsidR="0084209D" w:rsidRPr="006F03EB">
        <w:rPr>
          <w:rFonts w:ascii="Tahoma" w:eastAsia="Tahoma" w:hAnsi="Tahoma" w:cs="Tahoma"/>
          <w:color w:val="000000" w:themeColor="text1"/>
          <w:lang w:val="es-ES"/>
        </w:rPr>
        <w:t xml:space="preserve"> desaparecer</w:t>
      </w:r>
      <w:r w:rsidR="00C91B91" w:rsidRPr="006F03EB">
        <w:rPr>
          <w:rFonts w:ascii="Tahoma" w:eastAsia="Tahoma" w:hAnsi="Tahoma" w:cs="Tahoma"/>
          <w:color w:val="000000" w:themeColor="text1"/>
          <w:lang w:val="es-ES"/>
        </w:rPr>
        <w:t>,</w:t>
      </w:r>
      <w:r w:rsidR="006E628B" w:rsidRPr="006F03EB">
        <w:rPr>
          <w:rFonts w:ascii="Tahoma" w:eastAsia="Tahoma" w:hAnsi="Tahoma" w:cs="Tahoma"/>
          <w:color w:val="000000" w:themeColor="text1"/>
          <w:lang w:val="es-ES"/>
        </w:rPr>
        <w:t xml:space="preserve"> sin que</w:t>
      </w:r>
      <w:r w:rsidR="00C91B91" w:rsidRPr="006F03EB">
        <w:rPr>
          <w:rFonts w:ascii="Tahoma" w:eastAsia="Tahoma" w:hAnsi="Tahoma" w:cs="Tahoma"/>
          <w:color w:val="000000" w:themeColor="text1"/>
          <w:lang w:val="es-ES"/>
        </w:rPr>
        <w:t xml:space="preserve"> le hablar</w:t>
      </w:r>
      <w:r w:rsidR="004778EC" w:rsidRPr="006F03EB">
        <w:rPr>
          <w:rFonts w:ascii="Tahoma" w:eastAsia="Tahoma" w:hAnsi="Tahoma" w:cs="Tahoma"/>
          <w:color w:val="000000" w:themeColor="text1"/>
          <w:lang w:val="es-ES"/>
        </w:rPr>
        <w:t>a</w:t>
      </w:r>
      <w:r w:rsidR="00C91B91" w:rsidRPr="006F03EB">
        <w:rPr>
          <w:rFonts w:ascii="Tahoma" w:eastAsia="Tahoma" w:hAnsi="Tahoma" w:cs="Tahoma"/>
          <w:color w:val="000000" w:themeColor="text1"/>
          <w:lang w:val="es-ES"/>
        </w:rPr>
        <w:t xml:space="preserve">n de los requisitos para pensionarse en ambos regímenes, </w:t>
      </w:r>
      <w:r w:rsidR="006E628B" w:rsidRPr="006F03EB">
        <w:rPr>
          <w:rFonts w:ascii="Tahoma" w:eastAsia="Tahoma" w:hAnsi="Tahoma" w:cs="Tahoma"/>
          <w:color w:val="000000" w:themeColor="text1"/>
          <w:lang w:val="es-ES"/>
        </w:rPr>
        <w:t xml:space="preserve">ni sus características. </w:t>
      </w:r>
      <w:r w:rsidR="00743CF9" w:rsidRPr="006F03EB">
        <w:rPr>
          <w:rFonts w:ascii="Tahoma" w:eastAsia="Tahoma" w:hAnsi="Tahoma" w:cs="Tahoma"/>
          <w:color w:val="000000" w:themeColor="text1"/>
          <w:lang w:val="es-ES"/>
        </w:rPr>
        <w:t xml:space="preserve"> </w:t>
      </w:r>
      <w:r w:rsidR="009C239E" w:rsidRPr="006F03EB">
        <w:rPr>
          <w:rFonts w:ascii="Tahoma" w:eastAsia="Tahoma" w:hAnsi="Tahoma" w:cs="Tahoma"/>
          <w:color w:val="000000" w:themeColor="text1"/>
          <w:lang w:val="es-ES"/>
        </w:rPr>
        <w:t>S</w:t>
      </w:r>
      <w:r w:rsidR="00363345" w:rsidRPr="006F03EB">
        <w:rPr>
          <w:rFonts w:ascii="Tahoma" w:eastAsia="Tahoma" w:hAnsi="Tahoma" w:cs="Tahoma"/>
          <w:color w:val="000000" w:themeColor="text1"/>
          <w:lang w:val="es-ES"/>
        </w:rPr>
        <w:t>i bien añadió que</w:t>
      </w:r>
      <w:r w:rsidR="006E628B" w:rsidRPr="006F03EB">
        <w:rPr>
          <w:rFonts w:ascii="Tahoma" w:eastAsia="Tahoma" w:hAnsi="Tahoma" w:cs="Tahoma"/>
          <w:color w:val="000000" w:themeColor="text1"/>
          <w:lang w:val="es-ES"/>
        </w:rPr>
        <w:t xml:space="preserve"> </w:t>
      </w:r>
      <w:r w:rsidR="00EF68DF" w:rsidRPr="006F03EB">
        <w:rPr>
          <w:rFonts w:ascii="Tahoma" w:eastAsia="Tahoma" w:hAnsi="Tahoma" w:cs="Tahoma"/>
          <w:color w:val="000000" w:themeColor="text1"/>
          <w:lang w:val="es-ES"/>
        </w:rPr>
        <w:t xml:space="preserve">su motivación </w:t>
      </w:r>
      <w:r w:rsidR="006E628B" w:rsidRPr="006F03EB">
        <w:rPr>
          <w:rFonts w:ascii="Tahoma" w:eastAsia="Tahoma" w:hAnsi="Tahoma" w:cs="Tahoma"/>
          <w:color w:val="000000" w:themeColor="text1"/>
          <w:lang w:val="es-ES"/>
        </w:rPr>
        <w:t xml:space="preserve">de traslado </w:t>
      </w:r>
      <w:r w:rsidR="00363345" w:rsidRPr="006F03EB">
        <w:rPr>
          <w:rFonts w:ascii="Tahoma" w:eastAsia="Tahoma" w:hAnsi="Tahoma" w:cs="Tahoma"/>
          <w:color w:val="000000" w:themeColor="text1"/>
          <w:lang w:val="es-ES"/>
        </w:rPr>
        <w:t>se funda en e</w:t>
      </w:r>
      <w:r w:rsidR="003C3FE0" w:rsidRPr="006F03EB">
        <w:rPr>
          <w:rFonts w:ascii="Tahoma" w:eastAsia="Tahoma" w:hAnsi="Tahoma" w:cs="Tahoma"/>
          <w:color w:val="000000" w:themeColor="text1"/>
          <w:lang w:val="es-ES"/>
        </w:rPr>
        <w:t>l bajo</w:t>
      </w:r>
      <w:r w:rsidR="00363345" w:rsidRPr="006F03EB">
        <w:rPr>
          <w:rFonts w:ascii="Tahoma" w:eastAsia="Tahoma" w:hAnsi="Tahoma" w:cs="Tahoma"/>
          <w:color w:val="000000" w:themeColor="text1"/>
          <w:lang w:val="es-ES"/>
        </w:rPr>
        <w:t xml:space="preserve"> monto de la mesada pensional que percibiría en el RAIS</w:t>
      </w:r>
      <w:r w:rsidR="004778EC" w:rsidRPr="006F03EB">
        <w:rPr>
          <w:rFonts w:ascii="Tahoma" w:eastAsia="Tahoma" w:hAnsi="Tahoma" w:cs="Tahoma"/>
          <w:color w:val="000000" w:themeColor="text1"/>
          <w:lang w:val="es-ES"/>
        </w:rPr>
        <w:t>,</w:t>
      </w:r>
      <w:r w:rsidR="00EF68DF" w:rsidRPr="006F03EB">
        <w:rPr>
          <w:rFonts w:ascii="Tahoma" w:eastAsia="Tahoma" w:hAnsi="Tahoma" w:cs="Tahoma"/>
          <w:color w:val="000000" w:themeColor="text1"/>
          <w:lang w:val="es-ES"/>
        </w:rPr>
        <w:t xml:space="preserve"> </w:t>
      </w:r>
      <w:r w:rsidR="00363345" w:rsidRPr="006F03EB">
        <w:rPr>
          <w:rFonts w:ascii="Tahoma" w:eastAsia="Tahoma" w:hAnsi="Tahoma" w:cs="Tahoma"/>
          <w:color w:val="000000" w:themeColor="text1"/>
          <w:lang w:val="es-ES"/>
        </w:rPr>
        <w:t>esto de ningún modo desvía el origen de la litis, esto es, verificar si al momento del traslado efectiv</w:t>
      </w:r>
      <w:r w:rsidR="00EF68DF" w:rsidRPr="006F03EB">
        <w:rPr>
          <w:rFonts w:ascii="Tahoma" w:eastAsia="Tahoma" w:hAnsi="Tahoma" w:cs="Tahoma"/>
          <w:color w:val="000000" w:themeColor="text1"/>
          <w:lang w:val="es-ES"/>
        </w:rPr>
        <w:t>o, el</w:t>
      </w:r>
      <w:r w:rsidR="00363345" w:rsidRPr="006F03EB">
        <w:rPr>
          <w:rFonts w:ascii="Tahoma" w:eastAsia="Tahoma" w:hAnsi="Tahoma" w:cs="Tahoma"/>
          <w:color w:val="000000" w:themeColor="text1"/>
          <w:lang w:val="es-ES"/>
        </w:rPr>
        <w:t xml:space="preserve"> afiliad</w:t>
      </w:r>
      <w:r w:rsidR="00EF68DF" w:rsidRPr="006F03EB">
        <w:rPr>
          <w:rFonts w:ascii="Tahoma" w:eastAsia="Tahoma" w:hAnsi="Tahoma" w:cs="Tahoma"/>
          <w:color w:val="000000" w:themeColor="text1"/>
          <w:lang w:val="es-ES"/>
        </w:rPr>
        <w:t>o</w:t>
      </w:r>
      <w:r w:rsidR="00363345" w:rsidRPr="006F03EB">
        <w:rPr>
          <w:rFonts w:ascii="Tahoma" w:eastAsia="Tahoma" w:hAnsi="Tahoma" w:cs="Tahoma"/>
          <w:color w:val="000000" w:themeColor="text1"/>
          <w:lang w:val="es-ES"/>
        </w:rPr>
        <w:t xml:space="preserve"> accedió a una información clara y precisa sobre las ventajas, desventajas y riesgos de cada régimen en los términos explicados.</w:t>
      </w:r>
    </w:p>
    <w:p w14:paraId="11ED62F5" w14:textId="5AFA0CF3" w:rsidR="009C239E" w:rsidRPr="006F03EB" w:rsidRDefault="009C239E" w:rsidP="006F03EB">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p>
    <w:p w14:paraId="0AA3F35A" w14:textId="5D8C32AE" w:rsidR="00363345" w:rsidRPr="006F03EB" w:rsidRDefault="00743CF9" w:rsidP="006F03EB">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6F03EB">
        <w:rPr>
          <w:rFonts w:ascii="Tahoma" w:eastAsia="Tahoma" w:hAnsi="Tahoma" w:cs="Tahoma"/>
          <w:color w:val="000000" w:themeColor="text1"/>
          <w:lang w:val="es-ES"/>
        </w:rPr>
        <w:t xml:space="preserve">Cabe recalcar que </w:t>
      </w:r>
      <w:r w:rsidR="00EF68DF" w:rsidRPr="006F03EB">
        <w:rPr>
          <w:rFonts w:ascii="Tahoma" w:eastAsia="Tahoma" w:hAnsi="Tahoma" w:cs="Tahoma"/>
          <w:color w:val="000000" w:themeColor="text1"/>
          <w:lang w:val="es-ES"/>
        </w:rPr>
        <w:t>e</w:t>
      </w:r>
      <w:r w:rsidR="00785377" w:rsidRPr="006F03EB">
        <w:rPr>
          <w:rFonts w:ascii="Tahoma" w:eastAsia="Tahoma" w:hAnsi="Tahoma" w:cs="Tahoma"/>
          <w:color w:val="000000" w:themeColor="text1"/>
          <w:lang w:val="es-ES"/>
        </w:rPr>
        <w:t>l</w:t>
      </w:r>
      <w:r w:rsidR="00EF68DF" w:rsidRPr="006F03EB">
        <w:rPr>
          <w:rFonts w:ascii="Tahoma" w:eastAsia="Tahoma" w:hAnsi="Tahoma" w:cs="Tahoma"/>
          <w:color w:val="000000" w:themeColor="text1"/>
          <w:lang w:val="es-ES"/>
        </w:rPr>
        <w:t xml:space="preserve"> </w:t>
      </w:r>
      <w:r w:rsidRPr="006F03EB">
        <w:rPr>
          <w:rFonts w:ascii="Tahoma" w:eastAsia="Tahoma" w:hAnsi="Tahoma" w:cs="Tahoma"/>
          <w:color w:val="000000" w:themeColor="text1"/>
          <w:lang w:val="es-ES"/>
        </w:rPr>
        <w:t xml:space="preserve">demandante </w:t>
      </w:r>
      <w:r w:rsidR="00363345" w:rsidRPr="006F03EB">
        <w:rPr>
          <w:rFonts w:ascii="Tahoma" w:eastAsia="Tahoma" w:hAnsi="Tahoma" w:cs="Tahoma"/>
          <w:color w:val="000000" w:themeColor="text1"/>
          <w:lang w:val="es-ES"/>
        </w:rPr>
        <w:t>jamás confesó que se le hubiere brindado una explicación pormenorizada e individualizada de los pros y contras de su determinación</w:t>
      </w:r>
      <w:r w:rsidR="00FC331B" w:rsidRPr="006F03EB">
        <w:rPr>
          <w:rFonts w:ascii="Tahoma" w:eastAsia="Tahoma" w:hAnsi="Tahoma" w:cs="Tahoma"/>
          <w:color w:val="000000" w:themeColor="text1"/>
          <w:lang w:val="es-ES"/>
        </w:rPr>
        <w:t xml:space="preserve"> de cambiar de régimen</w:t>
      </w:r>
      <w:r w:rsidR="00363345" w:rsidRPr="006F03EB">
        <w:rPr>
          <w:rFonts w:ascii="Tahoma" w:eastAsia="Tahoma" w:hAnsi="Tahoma" w:cs="Tahoma"/>
          <w:color w:val="000000" w:themeColor="text1"/>
          <w:lang w:val="es-ES"/>
        </w:rPr>
        <w:t xml:space="preserve"> o de las características entre uno u otro régimen, </w:t>
      </w:r>
      <w:r w:rsidR="002500F6" w:rsidRPr="006F03EB">
        <w:rPr>
          <w:rFonts w:ascii="Tahoma" w:eastAsia="Tahoma" w:hAnsi="Tahoma" w:cs="Tahoma"/>
          <w:color w:val="000000" w:themeColor="text1"/>
          <w:lang w:val="es-ES"/>
        </w:rPr>
        <w:t>y,</w:t>
      </w:r>
      <w:r w:rsidR="00363345" w:rsidRPr="006F03EB">
        <w:rPr>
          <w:rFonts w:ascii="Tahoma" w:eastAsia="Tahoma" w:hAnsi="Tahoma" w:cs="Tahoma"/>
          <w:color w:val="000000" w:themeColor="text1"/>
          <w:lang w:val="es-ES"/>
        </w:rPr>
        <w:t xml:space="preserve"> </w:t>
      </w:r>
      <w:r w:rsidR="002500F6" w:rsidRPr="006F03EB">
        <w:rPr>
          <w:rFonts w:ascii="Tahoma" w:eastAsia="Tahoma" w:hAnsi="Tahoma" w:cs="Tahoma"/>
          <w:color w:val="000000" w:themeColor="text1"/>
          <w:lang w:val="es-ES"/>
        </w:rPr>
        <w:t>la documental aportada</w:t>
      </w:r>
      <w:r w:rsidR="00363345" w:rsidRPr="006F03EB">
        <w:rPr>
          <w:rFonts w:ascii="Tahoma" w:eastAsia="Tahoma" w:hAnsi="Tahoma" w:cs="Tahoma"/>
          <w:color w:val="000000" w:themeColor="text1"/>
          <w:lang w:val="es-ES"/>
        </w:rPr>
        <w:t xml:space="preserve"> no da cuenta de las circunstancias que rodearon el momento del traslado o de la información recibida por </w:t>
      </w:r>
      <w:r w:rsidR="00EF68DF" w:rsidRPr="006F03EB">
        <w:rPr>
          <w:rFonts w:ascii="Tahoma" w:eastAsia="Tahoma" w:hAnsi="Tahoma" w:cs="Tahoma"/>
          <w:color w:val="000000" w:themeColor="text1"/>
          <w:lang w:val="es-ES"/>
        </w:rPr>
        <w:t>e</w:t>
      </w:r>
      <w:r w:rsidR="009D1E3F" w:rsidRPr="006F03EB">
        <w:rPr>
          <w:rFonts w:ascii="Tahoma" w:eastAsia="Tahoma" w:hAnsi="Tahoma" w:cs="Tahoma"/>
          <w:color w:val="000000" w:themeColor="text1"/>
          <w:lang w:val="es-ES"/>
        </w:rPr>
        <w:t>l</w:t>
      </w:r>
      <w:r w:rsidR="00363345" w:rsidRPr="006F03EB">
        <w:rPr>
          <w:rFonts w:ascii="Tahoma" w:eastAsia="Tahoma" w:hAnsi="Tahoma" w:cs="Tahoma"/>
          <w:color w:val="000000" w:themeColor="text1"/>
          <w:lang w:val="es-ES"/>
        </w:rPr>
        <w:t xml:space="preserve"> actor, que contrario a lo afirmado por las pasivas de la litis, se evidencia parcializada, sesgada e insuficiente para calificarse de informada.</w:t>
      </w:r>
    </w:p>
    <w:p w14:paraId="1912BA33" w14:textId="106782A6" w:rsidR="1818708E" w:rsidRPr="006F03EB" w:rsidRDefault="1818708E" w:rsidP="006F03EB">
      <w:pPr>
        <w:widowControl w:val="0"/>
        <w:spacing w:before="0" w:beforeAutospacing="0" w:after="0" w:afterAutospacing="0" w:line="276" w:lineRule="auto"/>
        <w:ind w:firstLine="0"/>
        <w:rPr>
          <w:rFonts w:ascii="Tahoma" w:eastAsia="Tahoma" w:hAnsi="Tahoma" w:cs="Tahoma"/>
          <w:color w:val="000000" w:themeColor="text1"/>
          <w:lang w:val="es-ES"/>
        </w:rPr>
      </w:pPr>
    </w:p>
    <w:p w14:paraId="1A41DAF3" w14:textId="5861E772" w:rsidR="00210D29" w:rsidRPr="006F03EB" w:rsidRDefault="00363345"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Times New Roman" w:hAnsi="Tahoma" w:cs="Tahoma"/>
          <w:color w:val="000000" w:themeColor="text1"/>
          <w:lang w:val="es-ES" w:eastAsia="es-ES"/>
        </w:rPr>
        <w:t xml:space="preserve">Por otra parte, </w:t>
      </w:r>
      <w:r w:rsidR="002500F6" w:rsidRPr="006F03EB">
        <w:rPr>
          <w:rFonts w:ascii="Tahoma" w:eastAsia="Times New Roman" w:hAnsi="Tahoma" w:cs="Tahoma"/>
          <w:color w:val="000000" w:themeColor="text1"/>
          <w:lang w:val="es-ES" w:eastAsia="es-ES"/>
        </w:rPr>
        <w:t>frente a los</w:t>
      </w:r>
      <w:r w:rsidRPr="006F03EB">
        <w:rPr>
          <w:rFonts w:ascii="Tahoma" w:eastAsia="Times New Roman" w:hAnsi="Tahoma" w:cs="Tahoma"/>
          <w:color w:val="000000" w:themeColor="text1"/>
          <w:lang w:val="es-ES" w:eastAsia="es-ES"/>
        </w:rPr>
        <w:t xml:space="preserve"> actos de relacionamiento</w:t>
      </w:r>
      <w:r w:rsidR="002500F6" w:rsidRPr="006F03EB">
        <w:rPr>
          <w:rFonts w:ascii="Tahoma" w:eastAsia="Times New Roman" w:hAnsi="Tahoma" w:cs="Tahoma"/>
          <w:color w:val="000000" w:themeColor="text1"/>
          <w:lang w:val="es-ES" w:eastAsia="es-ES"/>
        </w:rPr>
        <w:t xml:space="preserve">, invocados por </w:t>
      </w:r>
      <w:r w:rsidR="00EF68DF" w:rsidRPr="006F03EB">
        <w:rPr>
          <w:rFonts w:ascii="Tahoma" w:eastAsia="Times New Roman" w:hAnsi="Tahoma" w:cs="Tahoma"/>
          <w:color w:val="000000" w:themeColor="text1"/>
          <w:lang w:val="es-ES" w:eastAsia="es-ES"/>
        </w:rPr>
        <w:t>l</w:t>
      </w:r>
      <w:r w:rsidR="006E628B" w:rsidRPr="006F03EB">
        <w:rPr>
          <w:rFonts w:ascii="Tahoma" w:eastAsia="Times New Roman" w:hAnsi="Tahoma" w:cs="Tahoma"/>
          <w:color w:val="000000" w:themeColor="text1"/>
          <w:lang w:val="es-ES" w:eastAsia="es-ES"/>
        </w:rPr>
        <w:t>a</w:t>
      </w:r>
      <w:r w:rsidR="00EF68DF" w:rsidRPr="006F03EB">
        <w:rPr>
          <w:rFonts w:ascii="Tahoma" w:eastAsia="Times New Roman" w:hAnsi="Tahoma" w:cs="Tahoma"/>
          <w:color w:val="000000" w:themeColor="text1"/>
          <w:lang w:val="es-ES" w:eastAsia="es-ES"/>
        </w:rPr>
        <w:t xml:space="preserve"> </w:t>
      </w:r>
      <w:r w:rsidR="002500F6" w:rsidRPr="006F03EB">
        <w:rPr>
          <w:rFonts w:ascii="Tahoma" w:eastAsia="Times New Roman" w:hAnsi="Tahoma" w:cs="Tahoma"/>
          <w:color w:val="000000" w:themeColor="text1"/>
          <w:lang w:val="es-ES" w:eastAsia="es-ES"/>
        </w:rPr>
        <w:t>apoderad</w:t>
      </w:r>
      <w:r w:rsidR="006E628B" w:rsidRPr="006F03EB">
        <w:rPr>
          <w:rFonts w:ascii="Tahoma" w:eastAsia="Times New Roman" w:hAnsi="Tahoma" w:cs="Tahoma"/>
          <w:color w:val="000000" w:themeColor="text1"/>
          <w:lang w:val="es-ES" w:eastAsia="es-ES"/>
        </w:rPr>
        <w:t>a</w:t>
      </w:r>
      <w:r w:rsidR="002500F6" w:rsidRPr="006F03EB">
        <w:rPr>
          <w:rFonts w:ascii="Tahoma" w:eastAsia="Times New Roman" w:hAnsi="Tahoma" w:cs="Tahoma"/>
          <w:color w:val="000000" w:themeColor="text1"/>
          <w:lang w:val="es-ES" w:eastAsia="es-ES"/>
        </w:rPr>
        <w:t xml:space="preserve"> judicial de </w:t>
      </w:r>
      <w:r w:rsidR="00EF68DF" w:rsidRPr="006F03EB">
        <w:rPr>
          <w:rFonts w:ascii="Tahoma" w:eastAsia="Times New Roman" w:hAnsi="Tahoma" w:cs="Tahoma"/>
          <w:color w:val="000000" w:themeColor="text1"/>
          <w:lang w:val="es-ES" w:eastAsia="es-ES"/>
        </w:rPr>
        <w:t xml:space="preserve">COLPENSIONES </w:t>
      </w:r>
      <w:r w:rsidR="002500F6" w:rsidRPr="006F03EB">
        <w:rPr>
          <w:rFonts w:ascii="Tahoma" w:eastAsia="Times New Roman" w:hAnsi="Tahoma" w:cs="Tahoma"/>
          <w:color w:val="000000" w:themeColor="text1"/>
          <w:lang w:val="es-ES" w:eastAsia="es-ES"/>
        </w:rPr>
        <w:t>para convalidar el traslado</w:t>
      </w:r>
      <w:r w:rsidRPr="006F03EB">
        <w:rPr>
          <w:rFonts w:ascii="Tahoma" w:eastAsia="Times New Roman" w:hAnsi="Tahoma" w:cs="Tahoma"/>
          <w:color w:val="000000" w:themeColor="text1"/>
          <w:lang w:val="es-ES" w:eastAsia="es-ES"/>
        </w:rPr>
        <w:t xml:space="preserve">, basta remitirse a la sentencia </w:t>
      </w:r>
      <w:r w:rsidRPr="006F03EB">
        <w:rPr>
          <w:rFonts w:ascii="Tahoma" w:eastAsia="Times New Roman" w:hAnsi="Tahoma" w:cs="Tahoma"/>
          <w:color w:val="000000" w:themeColor="text1"/>
          <w:lang w:eastAsia="es-ES"/>
        </w:rPr>
        <w:t xml:space="preserve">CSJ SL 5686 de 2021 que corrigió la tesis sentada en dichas providencias por ser contrarias al precedente vigente y en rigor de la Sala de Casación Laboral, expuesto entre otras, en las sentencias CSJ SL, 9 sep. 2008, CSJ SL1949-2021, CSJ SL1055 de 2022 CSJ SL1926-2022 y CSJ SL 5686 de 2021, en tanto como explicó la </w:t>
      </w:r>
      <w:r w:rsidRPr="006F03EB">
        <w:rPr>
          <w:rFonts w:ascii="Tahoma" w:eastAsia="Times New Roman" w:hAnsi="Tahoma" w:cs="Tahoma"/>
          <w:color w:val="000000" w:themeColor="text1"/>
          <w:lang w:eastAsia="es-ES"/>
        </w:rPr>
        <w:lastRenderedPageBreak/>
        <w:t>Corte</w:t>
      </w:r>
      <w:r w:rsidR="00FC331B" w:rsidRPr="006F03EB">
        <w:rPr>
          <w:rFonts w:ascii="Tahoma" w:eastAsia="Times New Roman" w:hAnsi="Tahoma" w:cs="Tahoma"/>
          <w:color w:val="000000" w:themeColor="text1"/>
          <w:lang w:eastAsia="es-ES"/>
        </w:rPr>
        <w:t>,</w:t>
      </w:r>
      <w:bookmarkStart w:id="13" w:name="_GoBack"/>
      <w:bookmarkEnd w:id="13"/>
      <w:r w:rsidRPr="006F03EB">
        <w:rPr>
          <w:rFonts w:ascii="Tahoma" w:eastAsia="Times New Roman" w:hAnsi="Tahoma" w:cs="Tahoma"/>
          <w:i/>
          <w:iCs/>
          <w:color w:val="000000" w:themeColor="text1"/>
          <w:lang w:eastAsia="es-ES"/>
        </w:rPr>
        <w:t xml:space="preserve"> </w:t>
      </w:r>
      <w:r w:rsidRPr="006F03EB">
        <w:rPr>
          <w:rFonts w:ascii="Tahoma" w:eastAsia="Times New Roman" w:hAnsi="Tahoma" w:cs="Tahoma"/>
          <w:color w:val="000000" w:themeColor="text1"/>
          <w:lang w:eastAsia="es-ES"/>
        </w:rPr>
        <w:t>trasladarse entre entes pensionales del RAIS, no reemplaza o suple la omisión de la entidad administradora en el cumplimiento de su deber de información a los afiliados, ratifica la decisión del traslado o supone una afiliación tácita del mismo</w:t>
      </w:r>
      <w:r w:rsidR="00EF68DF" w:rsidRPr="006F03EB">
        <w:rPr>
          <w:rFonts w:ascii="Tahoma" w:eastAsia="Times New Roman" w:hAnsi="Tahoma" w:cs="Tahoma"/>
          <w:color w:val="000000" w:themeColor="text1"/>
          <w:lang w:eastAsia="es-ES"/>
        </w:rPr>
        <w:t>.</w:t>
      </w:r>
    </w:p>
    <w:p w14:paraId="73962BDC" w14:textId="4CA2AA82" w:rsidR="00210D29" w:rsidRPr="006F03EB" w:rsidRDefault="00210D29"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FFE298F" w14:textId="1725A199" w:rsidR="00EF68DF" w:rsidRPr="006F03EB" w:rsidRDefault="00EF68DF"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lang w:eastAsia="es-CO"/>
        </w:rPr>
        <w:t xml:space="preserve">En cuanto a las condenas impartidas a cargo de </w:t>
      </w:r>
      <w:r w:rsidR="007C5ACF" w:rsidRPr="006F03EB">
        <w:rPr>
          <w:rFonts w:ascii="Tahoma" w:eastAsia="Calibri" w:hAnsi="Tahoma" w:cs="Tahoma"/>
          <w:lang w:eastAsia="es-CO"/>
        </w:rPr>
        <w:t>PROTECCIÓN</w:t>
      </w:r>
      <w:r w:rsidRPr="006F03EB">
        <w:rPr>
          <w:rFonts w:ascii="Tahoma" w:eastAsia="Calibri" w:hAnsi="Tahoma" w:cs="Tahoma"/>
          <w:lang w:eastAsia="es-CO"/>
        </w:rPr>
        <w:t xml:space="preserve">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w:t>
      </w:r>
      <w:r w:rsidR="005301E5" w:rsidRPr="006F03EB">
        <w:rPr>
          <w:rFonts w:ascii="Tahoma" w:hAnsi="Tahoma" w:cs="Tahoma"/>
        </w:rPr>
        <w:t>.</w:t>
      </w:r>
    </w:p>
    <w:p w14:paraId="648D2A17" w14:textId="77777777" w:rsidR="00EF68DF" w:rsidRPr="006F03EB" w:rsidRDefault="00EF68DF" w:rsidP="006F03E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2647273" w14:textId="22821B31" w:rsidR="005301E5" w:rsidRPr="006F03EB" w:rsidRDefault="00EF68DF" w:rsidP="006F03EB">
      <w:pPr>
        <w:spacing w:before="0" w:beforeAutospacing="0" w:after="0" w:afterAutospacing="0" w:line="276" w:lineRule="auto"/>
        <w:ind w:firstLine="644"/>
        <w:rPr>
          <w:rFonts w:ascii="Tahoma" w:eastAsia="Times New Roman" w:hAnsi="Tahoma" w:cs="Tahoma"/>
          <w:lang w:val="es-ES" w:eastAsia="es-ES"/>
        </w:rPr>
      </w:pPr>
      <w:r w:rsidRPr="006F03EB">
        <w:rPr>
          <w:rFonts w:ascii="Tahoma" w:eastAsia="Times New Roman" w:hAnsi="Tahoma" w:cs="Tahoma"/>
          <w:lang w:val="es-ES" w:eastAsia="es-ES"/>
        </w:rPr>
        <w:t>En este punto es oportuno recordar que la Corte Constitucional en sentencia SU-053-2015, ha definido el precedente judicial como</w:t>
      </w:r>
      <w:r w:rsidRPr="006F03EB">
        <w:rPr>
          <w:rFonts w:ascii="Tahoma" w:eastAsia="Times New Roman" w:hAnsi="Tahoma" w:cs="Tahoma"/>
          <w:i/>
          <w:lang w:val="es-ES" w:eastAsia="es-ES"/>
        </w:rPr>
        <w:t xml:space="preserve"> «la sentencia o el conjunto de ellas, anteriores a un caso determinado, que por su pertinencia y semejanza en los problemas jurídicos resueltos, debe necesariamente considerarse por las autoridades judiciales al momento de emitir un fallo» </w:t>
      </w:r>
      <w:r w:rsidRPr="006F03EB">
        <w:rPr>
          <w:rFonts w:ascii="Tahoma" w:eastAsia="Times New Roman" w:hAnsi="Tahoma" w:cs="Tahoma"/>
          <w:lang w:val="es-ES" w:eastAsia="es-ES"/>
        </w:rPr>
        <w:t>y, en tal sentido, el emitido por los máximos órganos de cierre</w:t>
      </w:r>
      <w:r w:rsidRPr="006F03EB">
        <w:rPr>
          <w:rFonts w:ascii="Tahoma" w:eastAsia="Times New Roman" w:hAnsi="Tahoma" w:cs="Tahoma"/>
          <w:i/>
          <w:lang w:val="es-ES" w:eastAsia="es-ES"/>
        </w:rPr>
        <w:t>, “</w:t>
      </w:r>
      <w:r w:rsidRPr="00177E6F">
        <w:rPr>
          <w:rFonts w:ascii="Tahoma" w:eastAsia="Times New Roman" w:hAnsi="Tahoma" w:cs="Tahoma"/>
          <w:i/>
          <w:sz w:val="22"/>
          <w:lang w:val="es-ES"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6F03EB">
        <w:rPr>
          <w:rFonts w:ascii="Tahoma" w:eastAsia="Times New Roman" w:hAnsi="Tahoma" w:cs="Tahoma"/>
          <w:i/>
          <w:lang w:val="es-ES" w:eastAsia="es-ES"/>
        </w:rPr>
        <w:t>”</w:t>
      </w:r>
      <w:r w:rsidRPr="006F03EB">
        <w:rPr>
          <w:rFonts w:ascii="Tahoma" w:eastAsia="Times New Roman" w:hAnsi="Tahoma" w:cs="Tahoma"/>
          <w:lang w:val="es-ES" w:eastAsia="es-ES"/>
        </w:rPr>
        <w:t xml:space="preserve"> (STL4759-2020).</w:t>
      </w:r>
    </w:p>
    <w:p w14:paraId="7459FA6B" w14:textId="77777777" w:rsidR="009A1B0F" w:rsidRPr="006F03EB" w:rsidRDefault="009A1B0F" w:rsidP="006F03EB">
      <w:pPr>
        <w:spacing w:before="0" w:beforeAutospacing="0" w:after="0" w:afterAutospacing="0" w:line="276" w:lineRule="auto"/>
        <w:ind w:firstLine="644"/>
        <w:rPr>
          <w:rFonts w:ascii="Tahoma" w:eastAsia="Times New Roman" w:hAnsi="Tahoma" w:cs="Tahoma"/>
          <w:lang w:val="es-ES" w:eastAsia="es-ES"/>
        </w:rPr>
      </w:pPr>
    </w:p>
    <w:p w14:paraId="4BEFE1A3" w14:textId="2F23D876" w:rsidR="00C144E7" w:rsidRPr="006F03EB" w:rsidRDefault="00C144E7"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lang w:eastAsia="es-CO"/>
        </w:rPr>
        <w:t>Frente al argumento de Colpensiones, referente a que era improcedente permitir que el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del demandante al régimen solidario de prima media con prestación definida hoy administrado por Colpensiones, del cual ya hacía parte la demandante, ultima consecuencia que no puede ser modificada como lo pretende la apoderada, con el fin de que la administradora pensional no se vea perjudicada, puesto que si el actor regresa a Colpensiones es porque antes del traslado ineficaz se encontraba válidamente afiliado al ISS. Además, lo aquí analizado no es el traslado voluntario con la conservación o no del régimen de transición, sino el efecto de la ineficacia del cambio de régimen pensional a falta de información detallada y completa al momento del traslado de régimen.</w:t>
      </w:r>
    </w:p>
    <w:p w14:paraId="7093E7EF" w14:textId="77777777" w:rsidR="00C144E7" w:rsidRPr="006F03EB" w:rsidRDefault="00C144E7"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535A120" w14:textId="77777777" w:rsidR="00C144E7" w:rsidRPr="006F03EB" w:rsidRDefault="00C144E7"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lang w:eastAsia="es-CO"/>
        </w:rPr>
        <w:t xml:space="preserve">Ahora, como la declaratoria de ineficacia trae como consecuencia que las cosas se reestablezcan al estado en el que se encontraban al momento del traslado de régimen, es necesario confirmar la orden de comunicar la decisión adoptada en este asunto a la OBP del Ministerio de Hacienda y Crédito Público, para que, en caso de haber emitido el bono pensional, proceda con la anulación del mismo mediante trámite </w:t>
      </w:r>
      <w:r w:rsidRPr="006F03EB">
        <w:rPr>
          <w:rFonts w:ascii="Tahoma" w:eastAsia="Calibri" w:hAnsi="Tahoma" w:cs="Tahoma"/>
          <w:lang w:eastAsia="es-CO"/>
        </w:rPr>
        <w:lastRenderedPageBreak/>
        <w:t>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parte de esa cartera ministerial.</w:t>
      </w:r>
    </w:p>
    <w:p w14:paraId="3DDADFD4" w14:textId="77777777" w:rsidR="007C5ACF" w:rsidRPr="006F03EB" w:rsidRDefault="007C5ACF" w:rsidP="006F03EB">
      <w:pPr>
        <w:widowControl w:val="0"/>
        <w:autoSpaceDE w:val="0"/>
        <w:autoSpaceDN w:val="0"/>
        <w:adjustRightInd w:val="0"/>
        <w:spacing w:before="0" w:beforeAutospacing="0" w:after="0" w:afterAutospacing="0" w:line="276" w:lineRule="auto"/>
        <w:ind w:firstLine="708"/>
        <w:rPr>
          <w:rFonts w:ascii="Tahoma" w:eastAsia="Times New Roman" w:hAnsi="Tahoma" w:cs="Tahoma"/>
          <w:color w:val="000000" w:themeColor="text1"/>
          <w:lang w:eastAsia="es-ES"/>
        </w:rPr>
      </w:pPr>
    </w:p>
    <w:p w14:paraId="084A16E2" w14:textId="4BA268D6" w:rsidR="007C5ACF" w:rsidRPr="006F03EB" w:rsidRDefault="007C5ACF"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lang w:eastAsia="es-CO"/>
        </w:rPr>
        <w:t>Adicional a lo indicado, atendiendo el argumento de PROTECCIÓN S.A., según el cual se incurre en un enriquecimiento sin causa por parte de Colpensiones, en detrimento de las AFP al ordenar que se devuelvan los gastos de administración, debe decirse que como en materia laboral no existe una norma expresa que regule esta figura, en aplicación del principio de integración normativa, previsto en el artículo 145 del Código Procesal del Trabajo y de la Seguridad Social, debe acudirse a lo señalado en el artículo 831 del Código de Comercio, que dispone que «Nadie podrá enriquecerse sin justa causa a expensas de otro», y, de acuerdo a la jurisprudencia emanada de la Sala de Casación Civil el enriquecimiento sin causa se da solo cuando el desplazamiento patrimonial otorga una ventaja a una parte en detrimento de otras sin fundamento jurídico que lo justifique, supuestos que en este caso no se cumplen, en la medida que si bien la AFP debe trasladar los valores cobrados por gastos de administración, dicho traslado de recursos sí tiene un fundamento jurídico que no es otro que la declaratoria de ineficacia de la afiliación y las consecuencias de crear la ficción de que el acto nunca existió, lo cual implica que, si no existió no pudo haber descontado una suma por administrar los aportes. </w:t>
      </w:r>
    </w:p>
    <w:p w14:paraId="309CA499" w14:textId="046346AB" w:rsidR="007C5ACF" w:rsidRPr="006F03EB" w:rsidRDefault="007C5ACF"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F9AD3BA" w14:textId="1E347231" w:rsidR="007C5ACF" w:rsidRPr="006F03EB" w:rsidRDefault="007C5ACF"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lang w:eastAsia="es-CO"/>
        </w:rPr>
        <w:t xml:space="preserve">Por otra parte, le asiste razón a la vocera judicial de Protección S.A. al afirmar en la sustentación del recurso que las seguradoras a las que se giraron las cuotas de los seguros previsionales son terceras ajenas al acto jurídico de traslado, no obstante, esta afirmación no es fundamento para absolver de esta condena a la demandada, contrario a ello, esta es la razón por la cual no son tales entidades las que deben devolver las cuotas de los seguros, sino la AFP y con cargo a sus propios recursos, por haber omitido su obligación. </w:t>
      </w:r>
    </w:p>
    <w:p w14:paraId="0095CE1E" w14:textId="76CA5817" w:rsidR="007C5ACF" w:rsidRPr="006F03EB" w:rsidRDefault="007C5ACF"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lang w:eastAsia="es-CO"/>
        </w:rPr>
        <w:t> </w:t>
      </w:r>
    </w:p>
    <w:p w14:paraId="0E11077A" w14:textId="4052BC3E" w:rsidR="007C5ACF" w:rsidRPr="006F03EB" w:rsidRDefault="007C5ACF"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lang w:eastAsia="es-CO"/>
        </w:rPr>
        <w:t>De otro lado, en respuesta a  las afirmaciones de las demandadas, respeto al paso de tiempo como un elemento que saneó la nulidad alegada, es menester recordar que la Sala de Casación Laboral de la Corte Suprema de Justicia en innumerables sentencias, entre estas la SL 4297 de 2022 ha indicado que cuando se invoca la transgresión de la información al momento del traslado de régimen pensional, la figura jurídica a analizar debe ser la ineficacia y no las nulidades reguladas en el Código Civil, pues así lo establece el art. 271 de la ley 100 de 1993 y, de acuerdo a ello,  únicamente al no encontrase una norma explícita que regule los efectos de la ineficacia de un acto jurídico, es que se da aplicación al precepto relativo a las consecuencias de la nulidad, es decir, al artículo 1746 del Código Civil, más no por ello, pueda entenderse que la ineficacia puede ser saneada como ocurre con las nulidades relativas. </w:t>
      </w:r>
    </w:p>
    <w:p w14:paraId="4E6931C8" w14:textId="77777777" w:rsidR="001C31A7" w:rsidRPr="006F03EB" w:rsidRDefault="001C31A7"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CDEB2ED" w14:textId="7FA9F698" w:rsidR="00210D29" w:rsidRPr="006F03EB" w:rsidRDefault="00711FF5"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lang w:eastAsia="es-CO"/>
        </w:rPr>
        <w:t xml:space="preserve">Ante el fracaso de los recursos de apelación, </w:t>
      </w:r>
      <w:r w:rsidR="00210D29" w:rsidRPr="006F03EB">
        <w:rPr>
          <w:rFonts w:ascii="Tahoma" w:eastAsia="Calibri" w:hAnsi="Tahoma" w:cs="Tahoma"/>
          <w:lang w:eastAsia="es-CO"/>
        </w:rPr>
        <w:t xml:space="preserve">de conformidad con el artículo 365 del CGP, se condenará en costas procesales a </w:t>
      </w:r>
      <w:r w:rsidR="00C144E7" w:rsidRPr="006F03EB">
        <w:rPr>
          <w:rFonts w:ascii="Tahoma" w:eastAsia="Calibri" w:hAnsi="Tahoma" w:cs="Tahoma"/>
          <w:lang w:eastAsia="es-CO"/>
        </w:rPr>
        <w:t>Protección</w:t>
      </w:r>
      <w:r w:rsidR="001C31A7" w:rsidRPr="006F03EB">
        <w:rPr>
          <w:rFonts w:ascii="Tahoma" w:eastAsia="Calibri" w:hAnsi="Tahoma" w:cs="Tahoma"/>
          <w:lang w:eastAsia="es-CO"/>
        </w:rPr>
        <w:t xml:space="preserve"> S, A. </w:t>
      </w:r>
      <w:r w:rsidR="00210D29" w:rsidRPr="006F03EB">
        <w:rPr>
          <w:rFonts w:ascii="Tahoma" w:eastAsia="Calibri" w:hAnsi="Tahoma" w:cs="Tahoma"/>
          <w:lang w:eastAsia="es-CO"/>
        </w:rPr>
        <w:t>y Colpensiones a favor de la parte actora, las cuales se liquidarán por la secretaría del juzgado de origen</w:t>
      </w:r>
      <w:r w:rsidR="00C144E7" w:rsidRPr="006F03EB">
        <w:rPr>
          <w:rFonts w:ascii="Tahoma" w:eastAsia="Calibri" w:hAnsi="Tahoma" w:cs="Tahoma"/>
          <w:lang w:eastAsia="es-CO"/>
        </w:rPr>
        <w:t xml:space="preserve">, siendo suficiente con indicar, ante la petición de Colpensiones de que no se le condene </w:t>
      </w:r>
      <w:r w:rsidR="00C144E7" w:rsidRPr="006F03EB">
        <w:rPr>
          <w:rFonts w:ascii="Tahoma" w:eastAsia="Calibri" w:hAnsi="Tahoma" w:cs="Tahoma"/>
          <w:lang w:eastAsia="es-CO"/>
        </w:rPr>
        <w:lastRenderedPageBreak/>
        <w:t>en costas de segunda instancia, que tal imposición es procedente a quien presentó el recurso de apelación sin éxito, independientemente del motivo por el cual inicialmente fue convocado al proceso.</w:t>
      </w:r>
    </w:p>
    <w:p w14:paraId="62FF854E" w14:textId="77777777" w:rsidR="00C144E7" w:rsidRPr="006F03EB" w:rsidRDefault="00C144E7" w:rsidP="006F03E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BE016E8" w14:textId="77777777" w:rsidR="00210D29" w:rsidRPr="006F03EB" w:rsidRDefault="00210D29" w:rsidP="006F03EB">
      <w:pPr>
        <w:spacing w:before="0" w:beforeAutospacing="0" w:after="0" w:afterAutospacing="0" w:line="276" w:lineRule="auto"/>
        <w:ind w:firstLine="705"/>
        <w:textAlignment w:val="baseline"/>
        <w:rPr>
          <w:rFonts w:ascii="Tahoma" w:eastAsia="Times New Roman" w:hAnsi="Tahoma" w:cs="Tahoma"/>
          <w:lang w:eastAsia="es-CO"/>
        </w:rPr>
      </w:pPr>
      <w:r w:rsidRPr="006F03EB">
        <w:rPr>
          <w:rFonts w:ascii="Tahoma" w:eastAsia="Times New Roman" w:hAnsi="Tahoma" w:cs="Tahoma"/>
          <w:lang w:eastAsia="es-CO"/>
        </w:rPr>
        <w:t xml:space="preserve">En mérito de lo expuesto, el </w:t>
      </w:r>
      <w:r w:rsidRPr="006F03EB">
        <w:rPr>
          <w:rFonts w:ascii="Tahoma" w:eastAsia="Times New Roman" w:hAnsi="Tahoma" w:cs="Tahoma"/>
          <w:b/>
          <w:bCs/>
          <w:lang w:eastAsia="es-CO"/>
        </w:rPr>
        <w:t>Tribunal Superior del Distrito Judicial de Pereira - Risaralda, Sala Primera de Decisión Laboral,</w:t>
      </w:r>
      <w:r w:rsidRPr="006F03EB">
        <w:rPr>
          <w:rFonts w:ascii="Tahoma" w:eastAsia="Times New Roman" w:hAnsi="Tahoma" w:cs="Tahoma"/>
          <w:lang w:eastAsia="es-CO"/>
        </w:rPr>
        <w:t xml:space="preserve"> administrando justicia en nombre de la República y por autoridad de la ley, </w:t>
      </w:r>
    </w:p>
    <w:p w14:paraId="443025ED" w14:textId="28E1398D" w:rsidR="00210D29" w:rsidRPr="006F03EB" w:rsidRDefault="00210D29" w:rsidP="006F03EB">
      <w:pPr>
        <w:spacing w:before="0" w:beforeAutospacing="0" w:after="0" w:afterAutospacing="0" w:line="276" w:lineRule="auto"/>
        <w:ind w:firstLine="705"/>
        <w:textAlignment w:val="baseline"/>
        <w:rPr>
          <w:rFonts w:ascii="Tahoma" w:eastAsia="Times New Roman" w:hAnsi="Tahoma" w:cs="Tahoma"/>
          <w:lang w:eastAsia="es-CO"/>
        </w:rPr>
      </w:pPr>
      <w:r w:rsidRPr="006F03EB">
        <w:rPr>
          <w:rFonts w:ascii="Tahoma" w:eastAsia="Times New Roman" w:hAnsi="Tahoma" w:cs="Tahoma"/>
          <w:lang w:eastAsia="es-CO"/>
        </w:rPr>
        <w:t> </w:t>
      </w:r>
    </w:p>
    <w:p w14:paraId="6746B67C" w14:textId="77777777" w:rsidR="00210D29" w:rsidRPr="006F03EB" w:rsidRDefault="00210D29" w:rsidP="006F03EB">
      <w:pPr>
        <w:spacing w:before="0" w:beforeAutospacing="0" w:after="0" w:afterAutospacing="0" w:line="276" w:lineRule="auto"/>
        <w:ind w:firstLine="270"/>
        <w:jc w:val="center"/>
        <w:textAlignment w:val="baseline"/>
        <w:rPr>
          <w:rFonts w:ascii="Tahoma" w:eastAsia="Times New Roman" w:hAnsi="Tahoma" w:cs="Tahoma"/>
          <w:b/>
          <w:bCs/>
          <w:color w:val="000000"/>
          <w:lang w:eastAsia="es-CO"/>
        </w:rPr>
      </w:pPr>
      <w:r w:rsidRPr="006F03EB">
        <w:rPr>
          <w:rFonts w:ascii="Tahoma" w:eastAsia="Times New Roman" w:hAnsi="Tahoma" w:cs="Tahoma"/>
          <w:b/>
          <w:bCs/>
          <w:color w:val="000000"/>
          <w:lang w:eastAsia="es-CO"/>
        </w:rPr>
        <w:t>RESUELVE</w:t>
      </w:r>
    </w:p>
    <w:p w14:paraId="3765D465" w14:textId="77777777" w:rsidR="00210D29" w:rsidRPr="006F03EB" w:rsidRDefault="00210D29" w:rsidP="006F03EB">
      <w:pPr>
        <w:spacing w:before="0" w:beforeAutospacing="0" w:after="0" w:afterAutospacing="0" w:line="276" w:lineRule="auto"/>
        <w:ind w:firstLine="270"/>
        <w:jc w:val="center"/>
        <w:textAlignment w:val="baseline"/>
        <w:rPr>
          <w:rFonts w:ascii="Tahoma" w:eastAsia="Times New Roman" w:hAnsi="Tahoma" w:cs="Tahoma"/>
          <w:color w:val="000000"/>
          <w:lang w:eastAsia="es-CO"/>
        </w:rPr>
      </w:pPr>
    </w:p>
    <w:p w14:paraId="6B566700" w14:textId="77777777" w:rsidR="00C144E7" w:rsidRPr="006F03EB" w:rsidRDefault="00C144E7" w:rsidP="006F03EB">
      <w:pPr>
        <w:spacing w:before="0" w:beforeAutospacing="0" w:after="0" w:afterAutospacing="0" w:line="276" w:lineRule="auto"/>
        <w:ind w:firstLine="708"/>
        <w:textAlignment w:val="baseline"/>
        <w:rPr>
          <w:rFonts w:ascii="Tahoma" w:hAnsi="Tahoma" w:cs="Tahoma"/>
          <w:color w:val="000000"/>
          <w:shd w:val="clear" w:color="auto" w:fill="FFFFFF"/>
        </w:rPr>
      </w:pPr>
      <w:r w:rsidRPr="006F03EB">
        <w:rPr>
          <w:rFonts w:ascii="Tahoma" w:eastAsia="Times New Roman" w:hAnsi="Tahoma" w:cs="Tahoma"/>
          <w:b/>
          <w:color w:val="000000"/>
          <w:lang w:eastAsia="es-CO"/>
        </w:rPr>
        <w:t xml:space="preserve">PRIMERO: CONFIRMAR </w:t>
      </w:r>
      <w:r w:rsidRPr="006F03EB">
        <w:rPr>
          <w:rFonts w:ascii="Tahoma" w:eastAsia="Times New Roman" w:hAnsi="Tahoma" w:cs="Tahoma"/>
          <w:color w:val="000000"/>
          <w:lang w:eastAsia="es-CO"/>
        </w:rPr>
        <w:t>en todas sus partes la sentencia dictada dentro del proceso de la referencia.</w:t>
      </w:r>
    </w:p>
    <w:p w14:paraId="6CBA56AB" w14:textId="77777777" w:rsidR="00C144E7" w:rsidRPr="006F03EB" w:rsidRDefault="00C144E7" w:rsidP="006F03EB">
      <w:pPr>
        <w:spacing w:before="0" w:beforeAutospacing="0" w:after="0" w:afterAutospacing="0" w:line="276" w:lineRule="auto"/>
        <w:textAlignment w:val="baseline"/>
        <w:rPr>
          <w:rFonts w:ascii="Tahoma" w:hAnsi="Tahoma" w:cs="Tahoma"/>
          <w:color w:val="000000"/>
          <w:shd w:val="clear" w:color="auto" w:fill="FFFFFF"/>
        </w:rPr>
      </w:pPr>
    </w:p>
    <w:p w14:paraId="439BDF13" w14:textId="660ABEB9" w:rsidR="00C144E7" w:rsidRPr="006F03EB" w:rsidRDefault="00C144E7" w:rsidP="006F03EB">
      <w:pPr>
        <w:spacing w:before="0" w:beforeAutospacing="0" w:after="0" w:afterAutospacing="0" w:line="276" w:lineRule="auto"/>
        <w:textAlignment w:val="baseline"/>
        <w:rPr>
          <w:rStyle w:val="normaltextrun"/>
          <w:rFonts w:ascii="Tahoma" w:hAnsi="Tahoma" w:cs="Tahoma"/>
        </w:rPr>
      </w:pPr>
      <w:r w:rsidRPr="006F03EB">
        <w:rPr>
          <w:rFonts w:ascii="Tahoma" w:hAnsi="Tahoma" w:cs="Tahoma"/>
          <w:b/>
          <w:color w:val="000000"/>
          <w:shd w:val="clear" w:color="auto" w:fill="FFFFFF"/>
        </w:rPr>
        <w:t>SEGUNDO:</w:t>
      </w:r>
      <w:r w:rsidRPr="006F03EB">
        <w:rPr>
          <w:rFonts w:ascii="Tahoma" w:hAnsi="Tahoma" w:cs="Tahoma"/>
          <w:color w:val="000000"/>
          <w:shd w:val="clear" w:color="auto" w:fill="FFFFFF"/>
        </w:rPr>
        <w:t xml:space="preserve"> </w:t>
      </w:r>
      <w:r w:rsidRPr="006F03EB">
        <w:rPr>
          <w:rStyle w:val="normaltextrun"/>
          <w:rFonts w:ascii="Tahoma" w:hAnsi="Tahoma" w:cs="Tahoma"/>
          <w:b/>
          <w:bCs/>
          <w:color w:val="000000"/>
          <w:shd w:val="clear" w:color="auto" w:fill="FFFFFF"/>
        </w:rPr>
        <w:t>CONDENAR</w:t>
      </w:r>
      <w:r w:rsidRPr="006F03EB">
        <w:rPr>
          <w:rStyle w:val="normaltextrun"/>
          <w:rFonts w:ascii="Tahoma" w:hAnsi="Tahoma" w:cs="Tahoma"/>
          <w:color w:val="000000"/>
          <w:shd w:val="clear" w:color="auto" w:fill="FFFFFF"/>
        </w:rPr>
        <w:t xml:space="preserve"> en costas de segunda instancia a Protección</w:t>
      </w:r>
      <w:r w:rsidRPr="006F03EB">
        <w:rPr>
          <w:rStyle w:val="normaltextrun"/>
          <w:rFonts w:ascii="Tahoma" w:hAnsi="Tahoma" w:cs="Tahoma"/>
          <w:bCs/>
          <w:color w:val="000000"/>
          <w:shd w:val="clear" w:color="auto" w:fill="FFFFFF"/>
          <w:lang w:val="es-ES"/>
        </w:rPr>
        <w:t xml:space="preserve"> S.A.</w:t>
      </w:r>
      <w:r w:rsidRPr="006F03EB">
        <w:rPr>
          <w:rStyle w:val="normaltextrun"/>
          <w:rFonts w:ascii="Tahoma" w:hAnsi="Tahoma" w:cs="Tahoma"/>
          <w:color w:val="000000"/>
          <w:shd w:val="clear" w:color="auto" w:fill="FFFFFF"/>
        </w:rPr>
        <w:t xml:space="preserve"> y Colpensiones a favor de la parte demandante. Liquídense por la secretaría del juzgado de origen.</w:t>
      </w:r>
    </w:p>
    <w:p w14:paraId="24C00B3A" w14:textId="77777777" w:rsidR="006F03EB" w:rsidRPr="006F03EB" w:rsidRDefault="006F03EB" w:rsidP="006F03EB">
      <w:pPr>
        <w:spacing w:before="0" w:beforeAutospacing="0" w:after="0" w:afterAutospacing="0" w:line="276" w:lineRule="auto"/>
        <w:ind w:firstLine="0"/>
        <w:jc w:val="left"/>
        <w:rPr>
          <w:rFonts w:ascii="Tahoma" w:eastAsia="Times New Roman" w:hAnsi="Tahoma" w:cs="Tahoma"/>
          <w:lang w:val="es-ES" w:eastAsia="es-ES"/>
        </w:rPr>
      </w:pPr>
    </w:p>
    <w:p w14:paraId="767B766D" w14:textId="77777777" w:rsidR="006F03EB" w:rsidRPr="006F03EB" w:rsidRDefault="006F03EB" w:rsidP="006F03EB">
      <w:pPr>
        <w:spacing w:before="0" w:beforeAutospacing="0" w:after="0" w:afterAutospacing="0" w:line="276" w:lineRule="auto"/>
        <w:ind w:firstLine="0"/>
        <w:jc w:val="center"/>
        <w:rPr>
          <w:rFonts w:ascii="Tahoma" w:eastAsia="Tahoma" w:hAnsi="Tahoma" w:cs="Tahoma"/>
          <w:b/>
          <w:bCs/>
        </w:rPr>
      </w:pPr>
      <w:r w:rsidRPr="006F03EB">
        <w:rPr>
          <w:rFonts w:ascii="Tahoma" w:eastAsia="Tahoma" w:hAnsi="Tahoma" w:cs="Tahoma"/>
          <w:b/>
          <w:bCs/>
        </w:rPr>
        <w:t>NOTIFÍQUESE Y CÚMPLASE</w:t>
      </w:r>
    </w:p>
    <w:p w14:paraId="797B22F0" w14:textId="77777777" w:rsidR="006F03EB" w:rsidRPr="006F03EB" w:rsidRDefault="006F03EB" w:rsidP="006F03EB">
      <w:pPr>
        <w:spacing w:before="0" w:beforeAutospacing="0" w:after="160" w:afterAutospacing="0" w:line="276" w:lineRule="auto"/>
        <w:ind w:firstLine="0"/>
        <w:rPr>
          <w:rFonts w:ascii="Tahoma" w:eastAsia="Segoe UI" w:hAnsi="Tahoma" w:cs="Tahoma"/>
          <w:lang w:eastAsia="es-CO"/>
        </w:rPr>
      </w:pPr>
      <w:r w:rsidRPr="006F03EB">
        <w:rPr>
          <w:rFonts w:ascii="Tahoma" w:eastAsia="Tahoma" w:hAnsi="Tahoma" w:cs="Tahoma"/>
        </w:rPr>
        <w:t xml:space="preserve"> </w:t>
      </w:r>
    </w:p>
    <w:p w14:paraId="03F84E66" w14:textId="77777777" w:rsidR="006F03EB" w:rsidRPr="006F03EB" w:rsidRDefault="006F03EB" w:rsidP="006F03EB">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6F03EB">
        <w:rPr>
          <w:rFonts w:ascii="Tahoma" w:eastAsia="Times New Roman" w:hAnsi="Tahoma" w:cs="Tahoma"/>
          <w:lang w:val="es-ES" w:eastAsia="es-ES"/>
        </w:rPr>
        <w:tab/>
        <w:t>La Magistrada ponente,</w:t>
      </w:r>
    </w:p>
    <w:p w14:paraId="67E4403F" w14:textId="77777777" w:rsidR="006F03EB" w:rsidRPr="006F03EB" w:rsidRDefault="006F03EB" w:rsidP="006F03EB">
      <w:pPr>
        <w:spacing w:before="0" w:beforeAutospacing="0" w:after="0" w:afterAutospacing="0" w:line="276" w:lineRule="auto"/>
        <w:ind w:firstLine="0"/>
        <w:jc w:val="left"/>
        <w:rPr>
          <w:rFonts w:ascii="Tahoma" w:eastAsia="Times New Roman" w:hAnsi="Tahoma" w:cs="Tahoma"/>
          <w:lang w:val="es-ES" w:eastAsia="es-ES"/>
        </w:rPr>
      </w:pPr>
    </w:p>
    <w:p w14:paraId="3A819CA2" w14:textId="77777777" w:rsidR="006F03EB" w:rsidRPr="006F03EB" w:rsidRDefault="006F03EB" w:rsidP="006F03EB">
      <w:pPr>
        <w:spacing w:before="0" w:beforeAutospacing="0" w:after="0" w:afterAutospacing="0" w:line="276" w:lineRule="auto"/>
        <w:ind w:firstLine="0"/>
        <w:jc w:val="left"/>
        <w:rPr>
          <w:rFonts w:ascii="Tahoma" w:eastAsia="Times New Roman" w:hAnsi="Tahoma" w:cs="Tahoma"/>
          <w:lang w:val="es-ES" w:eastAsia="es-ES"/>
        </w:rPr>
      </w:pPr>
    </w:p>
    <w:p w14:paraId="1962D456" w14:textId="77777777" w:rsidR="006F03EB" w:rsidRPr="006F03EB" w:rsidRDefault="006F03EB" w:rsidP="006F03EB">
      <w:pPr>
        <w:spacing w:before="0" w:beforeAutospacing="0" w:after="0" w:afterAutospacing="0" w:line="276" w:lineRule="auto"/>
        <w:ind w:firstLine="0"/>
        <w:jc w:val="left"/>
        <w:rPr>
          <w:rFonts w:ascii="Tahoma" w:eastAsia="Times New Roman" w:hAnsi="Tahoma" w:cs="Tahoma"/>
          <w:lang w:val="es-ES" w:eastAsia="es-ES"/>
        </w:rPr>
      </w:pPr>
    </w:p>
    <w:p w14:paraId="7F78A6C7" w14:textId="77777777" w:rsidR="006F03EB" w:rsidRPr="006F03EB" w:rsidRDefault="006F03EB" w:rsidP="006F03EB">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6F03EB">
        <w:rPr>
          <w:rFonts w:ascii="Tahoma" w:eastAsia="Times New Roman" w:hAnsi="Tahoma" w:cs="Tahoma"/>
          <w:b/>
          <w:bCs/>
          <w:lang w:val="es-ES" w:eastAsia="es-ES"/>
        </w:rPr>
        <w:t>ANA LUCÍA CAICEDO CALDERÓN</w:t>
      </w:r>
    </w:p>
    <w:p w14:paraId="52A321B1" w14:textId="77777777" w:rsidR="006F03EB" w:rsidRPr="006F03EB" w:rsidRDefault="006F03EB" w:rsidP="006F03EB">
      <w:pPr>
        <w:spacing w:before="0" w:beforeAutospacing="0" w:after="0" w:afterAutospacing="0" w:line="276" w:lineRule="auto"/>
        <w:ind w:firstLine="0"/>
        <w:jc w:val="left"/>
        <w:rPr>
          <w:rFonts w:ascii="Tahoma" w:eastAsia="Times New Roman" w:hAnsi="Tahoma" w:cs="Tahoma"/>
          <w:lang w:val="es-ES" w:eastAsia="es-ES"/>
        </w:rPr>
      </w:pPr>
    </w:p>
    <w:p w14:paraId="575077D0" w14:textId="77777777" w:rsidR="006F03EB" w:rsidRPr="006F03EB" w:rsidRDefault="006F03EB" w:rsidP="006F03EB">
      <w:pPr>
        <w:spacing w:before="0" w:beforeAutospacing="0" w:after="0" w:afterAutospacing="0" w:line="276" w:lineRule="auto"/>
        <w:ind w:firstLine="708"/>
        <w:jc w:val="left"/>
        <w:rPr>
          <w:rFonts w:ascii="Tahoma" w:eastAsia="Times New Roman" w:hAnsi="Tahoma" w:cs="Tahoma"/>
          <w:lang w:val="es-ES" w:eastAsia="es-ES"/>
        </w:rPr>
      </w:pPr>
      <w:bookmarkStart w:id="14" w:name="_Hlk62478330"/>
      <w:r w:rsidRPr="006F03EB">
        <w:rPr>
          <w:rFonts w:ascii="Tahoma" w:eastAsia="Times New Roman" w:hAnsi="Tahoma" w:cs="Tahoma"/>
          <w:lang w:val="es-ES" w:eastAsia="es-ES"/>
        </w:rPr>
        <w:t>La Magistrada y el Magistrado,</w:t>
      </w:r>
    </w:p>
    <w:p w14:paraId="451151B6" w14:textId="77777777" w:rsidR="006F03EB" w:rsidRPr="006F03EB" w:rsidRDefault="006F03EB" w:rsidP="006F03EB">
      <w:pPr>
        <w:spacing w:before="0" w:beforeAutospacing="0" w:after="0" w:afterAutospacing="0" w:line="276" w:lineRule="auto"/>
        <w:ind w:firstLine="0"/>
        <w:jc w:val="left"/>
        <w:rPr>
          <w:rFonts w:ascii="Tahoma" w:eastAsia="Times New Roman" w:hAnsi="Tahoma" w:cs="Tahoma"/>
          <w:lang w:val="es-ES" w:eastAsia="es-ES"/>
        </w:rPr>
      </w:pPr>
    </w:p>
    <w:p w14:paraId="44788337" w14:textId="77777777" w:rsidR="006F03EB" w:rsidRPr="006F03EB" w:rsidRDefault="006F03EB" w:rsidP="006F03EB">
      <w:pPr>
        <w:spacing w:before="0" w:beforeAutospacing="0" w:after="0" w:afterAutospacing="0" w:line="276" w:lineRule="auto"/>
        <w:ind w:firstLine="0"/>
        <w:jc w:val="left"/>
        <w:rPr>
          <w:rFonts w:ascii="Tahoma" w:eastAsia="Times New Roman" w:hAnsi="Tahoma" w:cs="Tahoma"/>
          <w:lang w:val="es-ES" w:eastAsia="es-ES"/>
        </w:rPr>
      </w:pPr>
    </w:p>
    <w:p w14:paraId="5E4EB57D" w14:textId="77777777" w:rsidR="006F03EB" w:rsidRPr="006F03EB" w:rsidRDefault="006F03EB" w:rsidP="006F03EB">
      <w:pPr>
        <w:spacing w:before="0" w:beforeAutospacing="0" w:after="0" w:afterAutospacing="0" w:line="276" w:lineRule="auto"/>
        <w:ind w:firstLine="0"/>
        <w:jc w:val="left"/>
        <w:rPr>
          <w:rFonts w:ascii="Tahoma" w:eastAsia="Times New Roman" w:hAnsi="Tahoma" w:cs="Tahoma"/>
          <w:lang w:val="es-ES" w:eastAsia="es-ES"/>
        </w:rPr>
      </w:pPr>
    </w:p>
    <w:p w14:paraId="49139CA2" w14:textId="556E8004" w:rsidR="00C623D5" w:rsidRDefault="006F03EB" w:rsidP="006F03EB">
      <w:pPr>
        <w:pStyle w:val="paragraph"/>
        <w:spacing w:before="0" w:beforeAutospacing="0" w:after="0" w:afterAutospacing="0" w:line="276" w:lineRule="auto"/>
        <w:jc w:val="both"/>
        <w:textAlignment w:val="baseline"/>
        <w:rPr>
          <w:rFonts w:ascii="Tahoma" w:hAnsi="Tahoma" w:cs="Tahoma"/>
          <w:b/>
          <w:bCs/>
          <w:lang w:val="es-ES" w:eastAsia="es-ES"/>
        </w:rPr>
      </w:pPr>
      <w:r w:rsidRPr="006F03EB">
        <w:rPr>
          <w:rFonts w:ascii="Tahoma" w:hAnsi="Tahoma" w:cs="Tahoma"/>
          <w:b/>
          <w:bCs/>
          <w:lang w:val="es-ES" w:eastAsia="es-ES"/>
        </w:rPr>
        <w:t>OLGA LUCÍA HOYOS SEPÚLVEDA</w:t>
      </w:r>
      <w:r w:rsidRPr="006F03EB">
        <w:rPr>
          <w:rFonts w:ascii="Tahoma" w:hAnsi="Tahoma" w:cs="Tahoma"/>
          <w:b/>
          <w:bCs/>
          <w:lang w:val="es-ES" w:eastAsia="es-ES"/>
        </w:rPr>
        <w:tab/>
      </w:r>
      <w:r w:rsidRPr="006F03EB">
        <w:rPr>
          <w:rFonts w:ascii="Tahoma" w:hAnsi="Tahoma" w:cs="Tahoma"/>
          <w:b/>
          <w:bCs/>
          <w:lang w:val="es-ES" w:eastAsia="es-ES"/>
        </w:rPr>
        <w:tab/>
        <w:t>GERMÁN DARÍO GÓEZ VINASCO</w:t>
      </w:r>
      <w:bookmarkEnd w:id="14"/>
    </w:p>
    <w:p w14:paraId="2CFB99E5" w14:textId="34373022" w:rsidR="00E800C9" w:rsidRPr="006F03EB" w:rsidRDefault="00E800C9" w:rsidP="006F03EB">
      <w:pPr>
        <w:pStyle w:val="paragraph"/>
        <w:spacing w:before="0" w:beforeAutospacing="0" w:after="0" w:afterAutospacing="0" w:line="276" w:lineRule="auto"/>
        <w:jc w:val="both"/>
        <w:textAlignment w:val="baseline"/>
        <w:rPr>
          <w:rFonts w:ascii="Tahoma" w:hAnsi="Tahoma" w:cs="Tahoma"/>
          <w:bCs/>
          <w:color w:val="000000" w:themeColor="text1"/>
          <w:lang w:val="es-ES" w:eastAsia="es-ES"/>
        </w:rPr>
      </w:pPr>
      <w:r>
        <w:rPr>
          <w:rFonts w:ascii="Tahoma" w:hAnsi="Tahoma" w:cs="Tahoma"/>
          <w:bCs/>
          <w:color w:val="000000" w:themeColor="text1"/>
          <w:lang w:val="es-ES" w:eastAsia="es-ES"/>
        </w:rPr>
        <w:t>Con aclaración de voto</w:t>
      </w:r>
    </w:p>
    <w:sectPr w:rsidR="00E800C9" w:rsidRPr="006F03EB" w:rsidSect="00FE662F">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66AC36C" w16cex:dateUtc="2023-02-14T16:55:00Z"/>
  <w16cex:commentExtensible w16cex:durableId="017FDC18" w16cex:dateUtc="2023-02-16T19: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7A98" w14:textId="77777777" w:rsidR="0096407D" w:rsidRDefault="0096407D" w:rsidP="00995B6C">
      <w:pPr>
        <w:spacing w:before="0" w:after="0" w:line="240" w:lineRule="auto"/>
      </w:pPr>
      <w:r>
        <w:separator/>
      </w:r>
    </w:p>
  </w:endnote>
  <w:endnote w:type="continuationSeparator" w:id="0">
    <w:p w14:paraId="08E117EC" w14:textId="77777777" w:rsidR="0096407D" w:rsidRDefault="0096407D" w:rsidP="00995B6C">
      <w:pPr>
        <w:spacing w:before="0" w:after="0" w:line="240" w:lineRule="auto"/>
      </w:pPr>
      <w:r>
        <w:continuationSeparator/>
      </w:r>
    </w:p>
  </w:endnote>
  <w:endnote w:type="continuationNotice" w:id="1">
    <w:p w14:paraId="6F28B561" w14:textId="77777777" w:rsidR="0096407D" w:rsidRDefault="009640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EF68DF" w:rsidRDefault="00EF68DF"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EF68DF" w:rsidRDefault="00EF68DF"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0000"/>
        <w:sz w:val="18"/>
        <w:szCs w:val="18"/>
      </w:rPr>
      <w:id w:val="853848363"/>
      <w:docPartObj>
        <w:docPartGallery w:val="Page Numbers (Bottom of Page)"/>
        <w:docPartUnique/>
      </w:docPartObj>
    </w:sdtPr>
    <w:sdtEndPr/>
    <w:sdtContent>
      <w:p w14:paraId="2E70D12B" w14:textId="3C200D03" w:rsidR="00EF68DF" w:rsidRPr="00E800C9" w:rsidRDefault="00EF68DF" w:rsidP="00E800C9">
        <w:pPr>
          <w:framePr w:wrap="none" w:vAnchor="text" w:hAnchor="margin" w:xAlign="right" w:y="1"/>
          <w:tabs>
            <w:tab w:val="left" w:pos="0"/>
          </w:tabs>
          <w:spacing w:before="0" w:beforeAutospacing="0" w:after="0" w:afterAutospacing="0" w:line="240" w:lineRule="auto"/>
          <w:ind w:firstLine="0"/>
          <w:jc w:val="left"/>
          <w:rPr>
            <w:rFonts w:ascii="Arial" w:hAnsi="Arial" w:cs="Arial"/>
            <w:color w:val="000000"/>
            <w:sz w:val="18"/>
            <w:szCs w:val="18"/>
          </w:rPr>
        </w:pPr>
        <w:r w:rsidRPr="00E800C9">
          <w:rPr>
            <w:rFonts w:ascii="Arial" w:hAnsi="Arial" w:cs="Arial"/>
            <w:color w:val="000000"/>
            <w:sz w:val="18"/>
            <w:szCs w:val="18"/>
          </w:rPr>
          <w:fldChar w:fldCharType="begin"/>
        </w:r>
        <w:r w:rsidRPr="00E800C9">
          <w:rPr>
            <w:rFonts w:ascii="Arial" w:hAnsi="Arial" w:cs="Arial"/>
            <w:color w:val="000000"/>
            <w:sz w:val="18"/>
            <w:szCs w:val="18"/>
          </w:rPr>
          <w:instrText xml:space="preserve"> PAGE </w:instrText>
        </w:r>
        <w:r w:rsidRPr="00E800C9">
          <w:rPr>
            <w:rFonts w:ascii="Arial" w:hAnsi="Arial" w:cs="Arial"/>
            <w:color w:val="000000"/>
            <w:sz w:val="18"/>
            <w:szCs w:val="18"/>
          </w:rPr>
          <w:fldChar w:fldCharType="separate"/>
        </w:r>
        <w:r w:rsidRPr="00E800C9">
          <w:rPr>
            <w:rFonts w:ascii="Arial" w:hAnsi="Arial" w:cs="Arial"/>
            <w:color w:val="000000"/>
            <w:sz w:val="18"/>
            <w:szCs w:val="18"/>
          </w:rPr>
          <w:t>27</w:t>
        </w:r>
        <w:r w:rsidRPr="00E800C9">
          <w:rPr>
            <w:rFonts w:ascii="Arial" w:hAnsi="Arial" w:cs="Arial"/>
            <w:color w:val="000000"/>
            <w:sz w:val="18"/>
            <w:szCs w:val="18"/>
          </w:rPr>
          <w:fldChar w:fldCharType="end"/>
        </w:r>
      </w:p>
    </w:sdtContent>
  </w:sdt>
  <w:p w14:paraId="79A44826" w14:textId="77777777" w:rsidR="00EF68DF" w:rsidRPr="00E800C9" w:rsidRDefault="00EF68DF" w:rsidP="00E800C9">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FD3DB" w14:textId="77777777" w:rsidR="0096407D" w:rsidRDefault="0096407D" w:rsidP="00995B6C">
      <w:pPr>
        <w:spacing w:before="0" w:after="0" w:line="240" w:lineRule="auto"/>
      </w:pPr>
      <w:r>
        <w:separator/>
      </w:r>
    </w:p>
  </w:footnote>
  <w:footnote w:type="continuationSeparator" w:id="0">
    <w:p w14:paraId="22A7ABA8" w14:textId="77777777" w:rsidR="0096407D" w:rsidRDefault="0096407D" w:rsidP="00995B6C">
      <w:pPr>
        <w:spacing w:before="0" w:after="0" w:line="240" w:lineRule="auto"/>
      </w:pPr>
      <w:r>
        <w:continuationSeparator/>
      </w:r>
    </w:p>
  </w:footnote>
  <w:footnote w:type="continuationNotice" w:id="1">
    <w:p w14:paraId="2CE13A90" w14:textId="77777777" w:rsidR="0096407D" w:rsidRDefault="0096407D">
      <w:pPr>
        <w:spacing w:before="0" w:after="0" w:line="240" w:lineRule="auto"/>
      </w:pPr>
    </w:p>
  </w:footnote>
  <w:footnote w:id="2">
    <w:p w14:paraId="70E32228" w14:textId="77777777" w:rsidR="00FA7D96" w:rsidRPr="00610326" w:rsidRDefault="00FA7D96" w:rsidP="00FA7D96">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Título tomado de la sentencia del 8 de mayo de 2019SL 1688-2019, Radicado 68838, con Ponencia de la Dra. Clara Cecilia Dueñas Quevedo</w:t>
      </w:r>
    </w:p>
  </w:footnote>
  <w:footnote w:id="3">
    <w:p w14:paraId="54A25343" w14:textId="77777777" w:rsidR="00FA7D96" w:rsidRPr="00610326" w:rsidRDefault="00FA7D96" w:rsidP="00FA7D96">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Estatuto Orgánico del Sistema Financiero </w:t>
      </w:r>
    </w:p>
  </w:footnote>
  <w:footnote w:id="4">
    <w:p w14:paraId="104E2BC1" w14:textId="30FCF753" w:rsidR="00EF68DF" w:rsidRPr="007B1B3A" w:rsidRDefault="00EF68DF" w:rsidP="00B17E47">
      <w:pPr>
        <w:pStyle w:val="Textonotapie"/>
        <w:ind w:firstLine="0"/>
        <w:rPr>
          <w:rFonts w:ascii="Arial" w:hAnsi="Arial" w:cs="Arial"/>
          <w:sz w:val="18"/>
          <w:szCs w:val="18"/>
        </w:rPr>
      </w:pPr>
      <w:r w:rsidRPr="007B1B3A">
        <w:rPr>
          <w:rStyle w:val="Refdenotaalpie"/>
          <w:rFonts w:ascii="Arial" w:hAnsi="Arial" w:cs="Arial"/>
          <w:sz w:val="18"/>
          <w:szCs w:val="18"/>
        </w:rPr>
        <w:footnoteRef/>
      </w:r>
      <w:r w:rsidRPr="007B1B3A">
        <w:rPr>
          <w:rFonts w:ascii="Arial" w:hAnsi="Arial" w:cs="Arial"/>
          <w:sz w:val="18"/>
          <w:szCs w:val="18"/>
        </w:rPr>
        <w:t xml:space="preserve"> Título tomado de la sentencia del 8 de mayo de 2019SL 1688-2019, Radicado 68838, con Ponencia de la Dra. Clara Cecilia Dueñas Quevedo</w:t>
      </w:r>
    </w:p>
  </w:footnote>
  <w:footnote w:id="5">
    <w:p w14:paraId="6F982E3D" w14:textId="77777777" w:rsidR="00EF68DF" w:rsidRPr="007B1B3A" w:rsidRDefault="00EF68DF" w:rsidP="00B17E47">
      <w:pPr>
        <w:pStyle w:val="Textonotapie"/>
        <w:ind w:firstLine="0"/>
        <w:rPr>
          <w:rFonts w:ascii="Arial" w:eastAsia="Tahoma" w:hAnsi="Arial" w:cs="Arial"/>
          <w:sz w:val="18"/>
          <w:szCs w:val="18"/>
          <w:lang w:eastAsia="es-MX"/>
        </w:rPr>
      </w:pPr>
      <w:r w:rsidRPr="007B1B3A">
        <w:rPr>
          <w:rStyle w:val="Refdenotaalpie"/>
          <w:rFonts w:ascii="Arial" w:hAnsi="Arial" w:cs="Arial"/>
          <w:sz w:val="18"/>
          <w:szCs w:val="18"/>
        </w:rPr>
        <w:footnoteRef/>
      </w:r>
      <w:r w:rsidRPr="007B1B3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6">
    <w:p w14:paraId="266A9884" w14:textId="77777777" w:rsidR="00DB0B1E" w:rsidRPr="00610326" w:rsidRDefault="00DB0B1E" w:rsidP="00DB0B1E">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Corte Suprema de Justicia- Sala Laboral, sentencia SL5688 de 2021, rad. 83576 del 6 de octubre de 2021. M.P. Iván Mauricio Lenis Gómez.</w:t>
      </w:r>
    </w:p>
  </w:footnote>
  <w:footnote w:id="7">
    <w:p w14:paraId="6269D84B" w14:textId="77777777" w:rsidR="00DB0B1E" w:rsidRPr="00610326" w:rsidRDefault="00DB0B1E" w:rsidP="00DB0B1E">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SL5686 de 2021, rad. 82139 del 6 de octubre de 2021. M.P. Iván Mauricio Lenis Gómez.</w:t>
      </w:r>
    </w:p>
  </w:footnote>
  <w:footnote w:id="8">
    <w:p w14:paraId="119B9502" w14:textId="77777777" w:rsidR="00DB0B1E" w:rsidRPr="00610326" w:rsidRDefault="00DB0B1E" w:rsidP="00DB0B1E">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SL1926 de 2022, rad. 89920 del 27 de abril de 2022. M.P. Omar Ángel Mejía Amador.</w:t>
      </w:r>
    </w:p>
  </w:footnote>
  <w:footnote w:id="9">
    <w:p w14:paraId="18B02673" w14:textId="77777777" w:rsidR="00DB0B1E" w:rsidRPr="00610326" w:rsidRDefault="00DB0B1E" w:rsidP="00DB0B1E">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SL1055 de 2022, rad. 87911 del 2 de marzo de 2022. M.P. Iván Mauricio Lenis Gómez.</w:t>
      </w:r>
    </w:p>
  </w:footnote>
  <w:footnote w:id="10">
    <w:p w14:paraId="38BFD083" w14:textId="77777777" w:rsidR="00DB0B1E" w:rsidRPr="00610326" w:rsidRDefault="00DB0B1E" w:rsidP="00DB0B1E">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Corte Suprema de Justicia- Sala Laboral, sentencia SL 1618-2022, radicado 87821 del 4 de mayo de 2022, M.P. Gerardo Botero Zuluaga.</w:t>
      </w:r>
    </w:p>
  </w:footnote>
  <w:footnote w:id="11">
    <w:p w14:paraId="11A87328" w14:textId="77777777" w:rsidR="00EF68DF" w:rsidRDefault="00EF68DF" w:rsidP="00B17E47">
      <w:pPr>
        <w:pStyle w:val="Textonotapie"/>
        <w:ind w:firstLine="0"/>
      </w:pPr>
      <w:r w:rsidRPr="007B1B3A">
        <w:rPr>
          <w:rStyle w:val="Refdenotaalpie"/>
          <w:rFonts w:ascii="Arial" w:hAnsi="Arial" w:cs="Arial"/>
          <w:sz w:val="18"/>
          <w:szCs w:val="18"/>
        </w:rPr>
        <w:footnoteRef/>
      </w:r>
      <w:r w:rsidRPr="007B1B3A">
        <w:rPr>
          <w:rFonts w:ascii="Arial" w:hAnsi="Arial" w:cs="Arial"/>
          <w:sz w:val="18"/>
          <w:szCs w:val="18"/>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1E4A" w14:textId="212180D0" w:rsidR="00EF68DF" w:rsidRPr="00E800C9" w:rsidRDefault="00EF68DF" w:rsidP="00E800C9">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E800C9">
      <w:rPr>
        <w:rFonts w:ascii="Arial" w:hAnsi="Arial" w:cs="Arial"/>
        <w:color w:val="000000"/>
        <w:sz w:val="18"/>
        <w:szCs w:val="18"/>
      </w:rPr>
      <w:t>Radicación No.:</w:t>
    </w:r>
    <w:r w:rsidR="00E800C9">
      <w:rPr>
        <w:rFonts w:ascii="Arial" w:hAnsi="Arial" w:cs="Arial"/>
        <w:color w:val="000000"/>
        <w:sz w:val="18"/>
        <w:szCs w:val="18"/>
      </w:rPr>
      <w:tab/>
    </w:r>
    <w:r w:rsidRPr="00E800C9">
      <w:rPr>
        <w:rFonts w:ascii="Arial" w:hAnsi="Arial" w:cs="Arial"/>
        <w:color w:val="000000"/>
        <w:sz w:val="18"/>
        <w:szCs w:val="18"/>
      </w:rPr>
      <w:t>66001-31-00</w:t>
    </w:r>
    <w:r w:rsidR="00C144E7" w:rsidRPr="00E800C9">
      <w:rPr>
        <w:rFonts w:ascii="Arial" w:hAnsi="Arial" w:cs="Arial"/>
        <w:color w:val="000000"/>
        <w:sz w:val="18"/>
        <w:szCs w:val="18"/>
      </w:rPr>
      <w:t>5</w:t>
    </w:r>
    <w:r w:rsidRPr="00E800C9">
      <w:rPr>
        <w:rFonts w:ascii="Arial" w:hAnsi="Arial" w:cs="Arial"/>
        <w:color w:val="000000"/>
        <w:sz w:val="18"/>
        <w:szCs w:val="18"/>
      </w:rPr>
      <w:t>-20</w:t>
    </w:r>
    <w:r w:rsidR="00C144E7" w:rsidRPr="00E800C9">
      <w:rPr>
        <w:rFonts w:ascii="Arial" w:hAnsi="Arial" w:cs="Arial"/>
        <w:color w:val="000000"/>
        <w:sz w:val="18"/>
        <w:szCs w:val="18"/>
      </w:rPr>
      <w:t>21</w:t>
    </w:r>
    <w:r w:rsidRPr="00E800C9">
      <w:rPr>
        <w:rFonts w:ascii="Arial" w:hAnsi="Arial" w:cs="Arial"/>
        <w:color w:val="000000"/>
        <w:sz w:val="18"/>
        <w:szCs w:val="18"/>
      </w:rPr>
      <w:t>-00</w:t>
    </w:r>
    <w:r w:rsidR="00C144E7" w:rsidRPr="00E800C9">
      <w:rPr>
        <w:rFonts w:ascii="Arial" w:hAnsi="Arial" w:cs="Arial"/>
        <w:color w:val="000000"/>
        <w:sz w:val="18"/>
        <w:szCs w:val="18"/>
      </w:rPr>
      <w:t>002</w:t>
    </w:r>
    <w:r w:rsidRPr="00E800C9">
      <w:rPr>
        <w:rFonts w:ascii="Arial" w:hAnsi="Arial" w:cs="Arial"/>
        <w:color w:val="000000"/>
        <w:sz w:val="18"/>
        <w:szCs w:val="18"/>
      </w:rPr>
      <w:t>-01</w:t>
    </w:r>
  </w:p>
  <w:p w14:paraId="2F1034AF" w14:textId="6A3D35B8" w:rsidR="00C144E7" w:rsidRPr="00E800C9" w:rsidRDefault="00C144E7" w:rsidP="00E800C9">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E800C9">
      <w:rPr>
        <w:rFonts w:ascii="Arial" w:hAnsi="Arial" w:cs="Arial"/>
        <w:color w:val="000000"/>
        <w:sz w:val="18"/>
        <w:szCs w:val="18"/>
      </w:rPr>
      <w:t>Demandante:</w:t>
    </w:r>
    <w:r w:rsidR="00E800C9">
      <w:rPr>
        <w:rFonts w:ascii="Arial" w:hAnsi="Arial" w:cs="Arial"/>
        <w:color w:val="000000"/>
        <w:sz w:val="18"/>
        <w:szCs w:val="18"/>
      </w:rPr>
      <w:tab/>
    </w:r>
    <w:r w:rsidRPr="00E800C9">
      <w:rPr>
        <w:rFonts w:ascii="Arial" w:hAnsi="Arial" w:cs="Arial"/>
        <w:color w:val="000000"/>
        <w:sz w:val="18"/>
        <w:szCs w:val="18"/>
      </w:rPr>
      <w:t>Rafael Ignacio Acevedo Pardo</w:t>
    </w:r>
  </w:p>
  <w:p w14:paraId="4E07F099" w14:textId="0DE2FD3C" w:rsidR="00EF68DF" w:rsidRPr="00E800C9" w:rsidRDefault="00C144E7" w:rsidP="00E800C9">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E800C9">
      <w:rPr>
        <w:rFonts w:ascii="Arial" w:hAnsi="Arial" w:cs="Arial"/>
        <w:color w:val="000000"/>
        <w:sz w:val="18"/>
        <w:szCs w:val="18"/>
      </w:rPr>
      <w:t>Demandado:</w:t>
    </w:r>
    <w:r w:rsidR="00E800C9">
      <w:rPr>
        <w:rFonts w:ascii="Arial" w:hAnsi="Arial" w:cs="Arial"/>
        <w:color w:val="000000"/>
        <w:sz w:val="18"/>
        <w:szCs w:val="18"/>
      </w:rPr>
      <w:tab/>
    </w:r>
    <w:r w:rsidRPr="00E800C9">
      <w:rPr>
        <w:rFonts w:ascii="Arial" w:hAnsi="Arial" w:cs="Arial"/>
        <w:color w:val="000000"/>
        <w:sz w:val="18"/>
        <w:szCs w:val="18"/>
      </w:rPr>
      <w:t>Colpensiones y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3BB1"/>
    <w:multiLevelType w:val="hybridMultilevel"/>
    <w:tmpl w:val="9AA2BAFA"/>
    <w:lvl w:ilvl="0" w:tplc="330C9AB4">
      <w:start w:val="1"/>
      <w:numFmt w:val="decimal"/>
      <w:lvlText w:val="%1."/>
      <w:lvlJc w:val="left"/>
      <w:pPr>
        <w:ind w:left="5039" w:hanging="360"/>
      </w:pPr>
      <w:rPr>
        <w:rFonts w:hint="default"/>
      </w:rPr>
    </w:lvl>
    <w:lvl w:ilvl="1" w:tplc="240A0019" w:tentative="1">
      <w:start w:val="1"/>
      <w:numFmt w:val="lowerLetter"/>
      <w:lvlText w:val="%2."/>
      <w:lvlJc w:val="left"/>
      <w:pPr>
        <w:ind w:left="5759" w:hanging="360"/>
      </w:pPr>
    </w:lvl>
    <w:lvl w:ilvl="2" w:tplc="240A001B" w:tentative="1">
      <w:start w:val="1"/>
      <w:numFmt w:val="lowerRoman"/>
      <w:lvlText w:val="%3."/>
      <w:lvlJc w:val="right"/>
      <w:pPr>
        <w:ind w:left="6479" w:hanging="180"/>
      </w:pPr>
    </w:lvl>
    <w:lvl w:ilvl="3" w:tplc="240A000F" w:tentative="1">
      <w:start w:val="1"/>
      <w:numFmt w:val="decimal"/>
      <w:lvlText w:val="%4."/>
      <w:lvlJc w:val="left"/>
      <w:pPr>
        <w:ind w:left="7199" w:hanging="360"/>
      </w:pPr>
    </w:lvl>
    <w:lvl w:ilvl="4" w:tplc="240A0019" w:tentative="1">
      <w:start w:val="1"/>
      <w:numFmt w:val="lowerLetter"/>
      <w:lvlText w:val="%5."/>
      <w:lvlJc w:val="left"/>
      <w:pPr>
        <w:ind w:left="7919" w:hanging="360"/>
      </w:pPr>
    </w:lvl>
    <w:lvl w:ilvl="5" w:tplc="240A001B" w:tentative="1">
      <w:start w:val="1"/>
      <w:numFmt w:val="lowerRoman"/>
      <w:lvlText w:val="%6."/>
      <w:lvlJc w:val="right"/>
      <w:pPr>
        <w:ind w:left="8639" w:hanging="180"/>
      </w:pPr>
    </w:lvl>
    <w:lvl w:ilvl="6" w:tplc="240A000F" w:tentative="1">
      <w:start w:val="1"/>
      <w:numFmt w:val="decimal"/>
      <w:lvlText w:val="%7."/>
      <w:lvlJc w:val="left"/>
      <w:pPr>
        <w:ind w:left="9359" w:hanging="360"/>
      </w:pPr>
    </w:lvl>
    <w:lvl w:ilvl="7" w:tplc="240A0019" w:tentative="1">
      <w:start w:val="1"/>
      <w:numFmt w:val="lowerLetter"/>
      <w:lvlText w:val="%8."/>
      <w:lvlJc w:val="left"/>
      <w:pPr>
        <w:ind w:left="10079" w:hanging="360"/>
      </w:pPr>
    </w:lvl>
    <w:lvl w:ilvl="8" w:tplc="240A001B" w:tentative="1">
      <w:start w:val="1"/>
      <w:numFmt w:val="lowerRoman"/>
      <w:lvlText w:val="%9."/>
      <w:lvlJc w:val="right"/>
      <w:pPr>
        <w:ind w:left="10799" w:hanging="180"/>
      </w:pPr>
    </w:lvl>
  </w:abstractNum>
  <w:abstractNum w:abstractNumId="1"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94AAE3A"/>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400D04B6"/>
    <w:multiLevelType w:val="hybridMultilevel"/>
    <w:tmpl w:val="57B2C6BE"/>
    <w:lvl w:ilvl="0" w:tplc="1936A99E">
      <w:start w:val="1"/>
      <w:numFmt w:val="decimal"/>
      <w:lvlText w:val="%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9"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48"/>
    <w:rsid w:val="00000227"/>
    <w:rsid w:val="000033E7"/>
    <w:rsid w:val="00003D61"/>
    <w:rsid w:val="00003F8B"/>
    <w:rsid w:val="0000442B"/>
    <w:rsid w:val="000075E2"/>
    <w:rsid w:val="00010CA6"/>
    <w:rsid w:val="000114AC"/>
    <w:rsid w:val="0001462A"/>
    <w:rsid w:val="0001710B"/>
    <w:rsid w:val="00021D57"/>
    <w:rsid w:val="000331FD"/>
    <w:rsid w:val="00034673"/>
    <w:rsid w:val="00036D46"/>
    <w:rsid w:val="00037CD5"/>
    <w:rsid w:val="00043917"/>
    <w:rsid w:val="000507B6"/>
    <w:rsid w:val="00061247"/>
    <w:rsid w:val="00062E02"/>
    <w:rsid w:val="000645D4"/>
    <w:rsid w:val="00070278"/>
    <w:rsid w:val="00070883"/>
    <w:rsid w:val="000729F9"/>
    <w:rsid w:val="00073E27"/>
    <w:rsid w:val="000775A3"/>
    <w:rsid w:val="00081E34"/>
    <w:rsid w:val="0008247A"/>
    <w:rsid w:val="00091006"/>
    <w:rsid w:val="00091CEF"/>
    <w:rsid w:val="00093D25"/>
    <w:rsid w:val="00094464"/>
    <w:rsid w:val="00095732"/>
    <w:rsid w:val="00097ED5"/>
    <w:rsid w:val="000A0C58"/>
    <w:rsid w:val="000A477C"/>
    <w:rsid w:val="000A70BA"/>
    <w:rsid w:val="000A7489"/>
    <w:rsid w:val="000B1501"/>
    <w:rsid w:val="000B269B"/>
    <w:rsid w:val="000B3174"/>
    <w:rsid w:val="000B5F9F"/>
    <w:rsid w:val="000B758F"/>
    <w:rsid w:val="000C42AB"/>
    <w:rsid w:val="000C5FE0"/>
    <w:rsid w:val="000D1243"/>
    <w:rsid w:val="000D1284"/>
    <w:rsid w:val="000D60BA"/>
    <w:rsid w:val="000E1D8A"/>
    <w:rsid w:val="000E3AA0"/>
    <w:rsid w:val="000E4C41"/>
    <w:rsid w:val="000E4F34"/>
    <w:rsid w:val="000E6459"/>
    <w:rsid w:val="000E7048"/>
    <w:rsid w:val="000F0479"/>
    <w:rsid w:val="000F048E"/>
    <w:rsid w:val="00100045"/>
    <w:rsid w:val="00100F91"/>
    <w:rsid w:val="0010292D"/>
    <w:rsid w:val="001102E5"/>
    <w:rsid w:val="0011418D"/>
    <w:rsid w:val="0012076B"/>
    <w:rsid w:val="00126B2C"/>
    <w:rsid w:val="00126DAB"/>
    <w:rsid w:val="001300D4"/>
    <w:rsid w:val="00130244"/>
    <w:rsid w:val="00130EA4"/>
    <w:rsid w:val="00130FFD"/>
    <w:rsid w:val="00132737"/>
    <w:rsid w:val="00133625"/>
    <w:rsid w:val="001342EE"/>
    <w:rsid w:val="00142244"/>
    <w:rsid w:val="0014296D"/>
    <w:rsid w:val="00142A07"/>
    <w:rsid w:val="00142E00"/>
    <w:rsid w:val="00143CD9"/>
    <w:rsid w:val="00144783"/>
    <w:rsid w:val="001466BC"/>
    <w:rsid w:val="001477E0"/>
    <w:rsid w:val="00150C39"/>
    <w:rsid w:val="00151506"/>
    <w:rsid w:val="001515A6"/>
    <w:rsid w:val="00152364"/>
    <w:rsid w:val="001559D4"/>
    <w:rsid w:val="00157578"/>
    <w:rsid w:val="0016074B"/>
    <w:rsid w:val="00160AD7"/>
    <w:rsid w:val="0016235B"/>
    <w:rsid w:val="0016609B"/>
    <w:rsid w:val="00166B82"/>
    <w:rsid w:val="00167475"/>
    <w:rsid w:val="00167FC3"/>
    <w:rsid w:val="001701D0"/>
    <w:rsid w:val="001704E4"/>
    <w:rsid w:val="00171926"/>
    <w:rsid w:val="00174AE3"/>
    <w:rsid w:val="00175C84"/>
    <w:rsid w:val="00175F93"/>
    <w:rsid w:val="00176391"/>
    <w:rsid w:val="00177E6F"/>
    <w:rsid w:val="00183FB2"/>
    <w:rsid w:val="001846F2"/>
    <w:rsid w:val="00185BF8"/>
    <w:rsid w:val="00186097"/>
    <w:rsid w:val="00187B9A"/>
    <w:rsid w:val="00191CB5"/>
    <w:rsid w:val="00193482"/>
    <w:rsid w:val="001949A3"/>
    <w:rsid w:val="00197066"/>
    <w:rsid w:val="001977C7"/>
    <w:rsid w:val="001A2518"/>
    <w:rsid w:val="001A6210"/>
    <w:rsid w:val="001B4D98"/>
    <w:rsid w:val="001B64E3"/>
    <w:rsid w:val="001C013A"/>
    <w:rsid w:val="001C31A7"/>
    <w:rsid w:val="001C6065"/>
    <w:rsid w:val="001D328D"/>
    <w:rsid w:val="001D3D0B"/>
    <w:rsid w:val="001D48B0"/>
    <w:rsid w:val="001D61F2"/>
    <w:rsid w:val="001E0A71"/>
    <w:rsid w:val="001E31CE"/>
    <w:rsid w:val="001E35F2"/>
    <w:rsid w:val="001E3A51"/>
    <w:rsid w:val="001E3E1A"/>
    <w:rsid w:val="001E60C4"/>
    <w:rsid w:val="001E6772"/>
    <w:rsid w:val="001F3E27"/>
    <w:rsid w:val="001F42A5"/>
    <w:rsid w:val="001F68C4"/>
    <w:rsid w:val="001F7A57"/>
    <w:rsid w:val="002001A7"/>
    <w:rsid w:val="00203CE4"/>
    <w:rsid w:val="0020420B"/>
    <w:rsid w:val="00206161"/>
    <w:rsid w:val="0020674E"/>
    <w:rsid w:val="00210D29"/>
    <w:rsid w:val="00211049"/>
    <w:rsid w:val="00211C42"/>
    <w:rsid w:val="00211DB9"/>
    <w:rsid w:val="002304E9"/>
    <w:rsid w:val="00234B72"/>
    <w:rsid w:val="002372A5"/>
    <w:rsid w:val="00241291"/>
    <w:rsid w:val="00241461"/>
    <w:rsid w:val="00245563"/>
    <w:rsid w:val="0024686F"/>
    <w:rsid w:val="002472D3"/>
    <w:rsid w:val="0024770B"/>
    <w:rsid w:val="002500F6"/>
    <w:rsid w:val="002519CA"/>
    <w:rsid w:val="00256E1A"/>
    <w:rsid w:val="00270931"/>
    <w:rsid w:val="0027225F"/>
    <w:rsid w:val="00274814"/>
    <w:rsid w:val="00274ACE"/>
    <w:rsid w:val="00274C26"/>
    <w:rsid w:val="00274D15"/>
    <w:rsid w:val="00276DD9"/>
    <w:rsid w:val="00281848"/>
    <w:rsid w:val="00282127"/>
    <w:rsid w:val="00283C0F"/>
    <w:rsid w:val="00284925"/>
    <w:rsid w:val="00286FED"/>
    <w:rsid w:val="0029235B"/>
    <w:rsid w:val="00295F84"/>
    <w:rsid w:val="002A05AE"/>
    <w:rsid w:val="002A1367"/>
    <w:rsid w:val="002A6071"/>
    <w:rsid w:val="002A6D8C"/>
    <w:rsid w:val="002A6F21"/>
    <w:rsid w:val="002A7251"/>
    <w:rsid w:val="002B2FEF"/>
    <w:rsid w:val="002B586C"/>
    <w:rsid w:val="002B775C"/>
    <w:rsid w:val="002C0C24"/>
    <w:rsid w:val="002C3206"/>
    <w:rsid w:val="002C36F5"/>
    <w:rsid w:val="002C5C44"/>
    <w:rsid w:val="002C6AA0"/>
    <w:rsid w:val="002D01FE"/>
    <w:rsid w:val="002D07AA"/>
    <w:rsid w:val="002D0B5A"/>
    <w:rsid w:val="002D3F32"/>
    <w:rsid w:val="002D4640"/>
    <w:rsid w:val="002D4C61"/>
    <w:rsid w:val="002D7247"/>
    <w:rsid w:val="002E07F2"/>
    <w:rsid w:val="002E4CD5"/>
    <w:rsid w:val="002E4FED"/>
    <w:rsid w:val="002F59E9"/>
    <w:rsid w:val="002F7398"/>
    <w:rsid w:val="003015EF"/>
    <w:rsid w:val="00305BFF"/>
    <w:rsid w:val="0030626D"/>
    <w:rsid w:val="00311CE6"/>
    <w:rsid w:val="0031282D"/>
    <w:rsid w:val="00316347"/>
    <w:rsid w:val="003203F3"/>
    <w:rsid w:val="00320FA4"/>
    <w:rsid w:val="0032250B"/>
    <w:rsid w:val="00322A29"/>
    <w:rsid w:val="00324253"/>
    <w:rsid w:val="00325F7E"/>
    <w:rsid w:val="00327B34"/>
    <w:rsid w:val="00330B03"/>
    <w:rsid w:val="00332FB5"/>
    <w:rsid w:val="003337B6"/>
    <w:rsid w:val="003341A8"/>
    <w:rsid w:val="0033550D"/>
    <w:rsid w:val="00336942"/>
    <w:rsid w:val="00336C14"/>
    <w:rsid w:val="00340DBE"/>
    <w:rsid w:val="00341542"/>
    <w:rsid w:val="00342407"/>
    <w:rsid w:val="00342C2D"/>
    <w:rsid w:val="0035588E"/>
    <w:rsid w:val="003632A0"/>
    <w:rsid w:val="00363345"/>
    <w:rsid w:val="003637EB"/>
    <w:rsid w:val="00367B8E"/>
    <w:rsid w:val="003706D2"/>
    <w:rsid w:val="003723B6"/>
    <w:rsid w:val="003728FE"/>
    <w:rsid w:val="0037594A"/>
    <w:rsid w:val="00385187"/>
    <w:rsid w:val="0039019A"/>
    <w:rsid w:val="003926FE"/>
    <w:rsid w:val="00397E88"/>
    <w:rsid w:val="003A4172"/>
    <w:rsid w:val="003B23EA"/>
    <w:rsid w:val="003B2DE4"/>
    <w:rsid w:val="003B38E1"/>
    <w:rsid w:val="003B3B22"/>
    <w:rsid w:val="003B4AC6"/>
    <w:rsid w:val="003B6848"/>
    <w:rsid w:val="003C1954"/>
    <w:rsid w:val="003C1968"/>
    <w:rsid w:val="003C3F45"/>
    <w:rsid w:val="003C3FE0"/>
    <w:rsid w:val="003C56EF"/>
    <w:rsid w:val="003C5A00"/>
    <w:rsid w:val="003D3C04"/>
    <w:rsid w:val="003D5DB0"/>
    <w:rsid w:val="003E0BE1"/>
    <w:rsid w:val="003E12D1"/>
    <w:rsid w:val="003E47B9"/>
    <w:rsid w:val="003E604A"/>
    <w:rsid w:val="003F4AAB"/>
    <w:rsid w:val="00400B5C"/>
    <w:rsid w:val="00400CB5"/>
    <w:rsid w:val="0040147A"/>
    <w:rsid w:val="00403459"/>
    <w:rsid w:val="004035B0"/>
    <w:rsid w:val="00404C5D"/>
    <w:rsid w:val="0040599D"/>
    <w:rsid w:val="00407A14"/>
    <w:rsid w:val="00410BA1"/>
    <w:rsid w:val="004126ED"/>
    <w:rsid w:val="00412D02"/>
    <w:rsid w:val="004137B9"/>
    <w:rsid w:val="00415842"/>
    <w:rsid w:val="00416085"/>
    <w:rsid w:val="00416DEC"/>
    <w:rsid w:val="00417C79"/>
    <w:rsid w:val="00420ABB"/>
    <w:rsid w:val="00423610"/>
    <w:rsid w:val="004239E1"/>
    <w:rsid w:val="0042586E"/>
    <w:rsid w:val="00427DB9"/>
    <w:rsid w:val="004303F5"/>
    <w:rsid w:val="004332C7"/>
    <w:rsid w:val="00434EF3"/>
    <w:rsid w:val="00441D34"/>
    <w:rsid w:val="004435D7"/>
    <w:rsid w:val="00444162"/>
    <w:rsid w:val="004446D7"/>
    <w:rsid w:val="00444A33"/>
    <w:rsid w:val="00445C03"/>
    <w:rsid w:val="00445F55"/>
    <w:rsid w:val="0044656C"/>
    <w:rsid w:val="00454894"/>
    <w:rsid w:val="004558B8"/>
    <w:rsid w:val="00455FC7"/>
    <w:rsid w:val="00456855"/>
    <w:rsid w:val="0046549D"/>
    <w:rsid w:val="004708F9"/>
    <w:rsid w:val="00473B12"/>
    <w:rsid w:val="0047555D"/>
    <w:rsid w:val="004778EC"/>
    <w:rsid w:val="00480F74"/>
    <w:rsid w:val="00481436"/>
    <w:rsid w:val="00481BD4"/>
    <w:rsid w:val="00482FD3"/>
    <w:rsid w:val="004839AD"/>
    <w:rsid w:val="0048475E"/>
    <w:rsid w:val="00491ED6"/>
    <w:rsid w:val="004922E4"/>
    <w:rsid w:val="0049395C"/>
    <w:rsid w:val="00493A3A"/>
    <w:rsid w:val="0049495F"/>
    <w:rsid w:val="00495403"/>
    <w:rsid w:val="00496773"/>
    <w:rsid w:val="004A5112"/>
    <w:rsid w:val="004B05CC"/>
    <w:rsid w:val="004B3577"/>
    <w:rsid w:val="004B58AC"/>
    <w:rsid w:val="004B6730"/>
    <w:rsid w:val="004B6909"/>
    <w:rsid w:val="004B6EE9"/>
    <w:rsid w:val="004C3B1C"/>
    <w:rsid w:val="004C426A"/>
    <w:rsid w:val="004D2220"/>
    <w:rsid w:val="004D4784"/>
    <w:rsid w:val="004E0093"/>
    <w:rsid w:val="004E4F6D"/>
    <w:rsid w:val="004E659A"/>
    <w:rsid w:val="004F004E"/>
    <w:rsid w:val="004F0854"/>
    <w:rsid w:val="004F1747"/>
    <w:rsid w:val="004F19B6"/>
    <w:rsid w:val="004F2ECB"/>
    <w:rsid w:val="004F359A"/>
    <w:rsid w:val="004F3E96"/>
    <w:rsid w:val="004F4328"/>
    <w:rsid w:val="004F5AD3"/>
    <w:rsid w:val="004F643D"/>
    <w:rsid w:val="0050278F"/>
    <w:rsid w:val="005058C8"/>
    <w:rsid w:val="00510D63"/>
    <w:rsid w:val="00520A60"/>
    <w:rsid w:val="005219F8"/>
    <w:rsid w:val="005227F3"/>
    <w:rsid w:val="00522DCA"/>
    <w:rsid w:val="00523FE3"/>
    <w:rsid w:val="00524AFE"/>
    <w:rsid w:val="0052540F"/>
    <w:rsid w:val="005301E5"/>
    <w:rsid w:val="005311FB"/>
    <w:rsid w:val="005314C7"/>
    <w:rsid w:val="005338F5"/>
    <w:rsid w:val="005345C0"/>
    <w:rsid w:val="005352EF"/>
    <w:rsid w:val="00536DE0"/>
    <w:rsid w:val="00537B37"/>
    <w:rsid w:val="00543D59"/>
    <w:rsid w:val="00545F85"/>
    <w:rsid w:val="00545FCC"/>
    <w:rsid w:val="00553215"/>
    <w:rsid w:val="0056162F"/>
    <w:rsid w:val="00563DB3"/>
    <w:rsid w:val="005652FE"/>
    <w:rsid w:val="00565852"/>
    <w:rsid w:val="00565922"/>
    <w:rsid w:val="00565DF4"/>
    <w:rsid w:val="00571C08"/>
    <w:rsid w:val="0057307A"/>
    <w:rsid w:val="005748DA"/>
    <w:rsid w:val="00576236"/>
    <w:rsid w:val="00576F86"/>
    <w:rsid w:val="005771F8"/>
    <w:rsid w:val="00581726"/>
    <w:rsid w:val="00581B7C"/>
    <w:rsid w:val="00582209"/>
    <w:rsid w:val="00585C8B"/>
    <w:rsid w:val="00586457"/>
    <w:rsid w:val="00591C1C"/>
    <w:rsid w:val="0059688C"/>
    <w:rsid w:val="00596F82"/>
    <w:rsid w:val="005974D6"/>
    <w:rsid w:val="005B1014"/>
    <w:rsid w:val="005B1377"/>
    <w:rsid w:val="005B2028"/>
    <w:rsid w:val="005B351F"/>
    <w:rsid w:val="005B440B"/>
    <w:rsid w:val="005B4D39"/>
    <w:rsid w:val="005B53CA"/>
    <w:rsid w:val="005B54EF"/>
    <w:rsid w:val="005B6A0C"/>
    <w:rsid w:val="005B7733"/>
    <w:rsid w:val="005C136F"/>
    <w:rsid w:val="005C2C37"/>
    <w:rsid w:val="005C2D06"/>
    <w:rsid w:val="005C588D"/>
    <w:rsid w:val="005C5D11"/>
    <w:rsid w:val="005C70DC"/>
    <w:rsid w:val="005C7802"/>
    <w:rsid w:val="005D0D5A"/>
    <w:rsid w:val="005D6237"/>
    <w:rsid w:val="005E0B37"/>
    <w:rsid w:val="005E14A1"/>
    <w:rsid w:val="005E2321"/>
    <w:rsid w:val="005E55E7"/>
    <w:rsid w:val="005E6CF3"/>
    <w:rsid w:val="005F15A6"/>
    <w:rsid w:val="005F249B"/>
    <w:rsid w:val="005F47E7"/>
    <w:rsid w:val="00601795"/>
    <w:rsid w:val="00602044"/>
    <w:rsid w:val="00603BC5"/>
    <w:rsid w:val="006048C5"/>
    <w:rsid w:val="00606472"/>
    <w:rsid w:val="00612CB4"/>
    <w:rsid w:val="00613BC1"/>
    <w:rsid w:val="00615E64"/>
    <w:rsid w:val="00617E08"/>
    <w:rsid w:val="00623AEF"/>
    <w:rsid w:val="0062667E"/>
    <w:rsid w:val="00630A98"/>
    <w:rsid w:val="0063194E"/>
    <w:rsid w:val="006412B3"/>
    <w:rsid w:val="00641BF1"/>
    <w:rsid w:val="0064476B"/>
    <w:rsid w:val="006453D0"/>
    <w:rsid w:val="00645930"/>
    <w:rsid w:val="00646361"/>
    <w:rsid w:val="00646CE7"/>
    <w:rsid w:val="00647E83"/>
    <w:rsid w:val="00650C9B"/>
    <w:rsid w:val="00651B11"/>
    <w:rsid w:val="00651B6E"/>
    <w:rsid w:val="0065201C"/>
    <w:rsid w:val="00660362"/>
    <w:rsid w:val="00660570"/>
    <w:rsid w:val="00666129"/>
    <w:rsid w:val="0066635F"/>
    <w:rsid w:val="0067372B"/>
    <w:rsid w:val="006740DF"/>
    <w:rsid w:val="00676A11"/>
    <w:rsid w:val="00681BCC"/>
    <w:rsid w:val="006835BE"/>
    <w:rsid w:val="00686245"/>
    <w:rsid w:val="00686D2F"/>
    <w:rsid w:val="00690A06"/>
    <w:rsid w:val="006919F2"/>
    <w:rsid w:val="00693DE0"/>
    <w:rsid w:val="0069601C"/>
    <w:rsid w:val="00696E88"/>
    <w:rsid w:val="006A0C84"/>
    <w:rsid w:val="006A0D79"/>
    <w:rsid w:val="006A2ECC"/>
    <w:rsid w:val="006A3A51"/>
    <w:rsid w:val="006A5A01"/>
    <w:rsid w:val="006A644C"/>
    <w:rsid w:val="006B068B"/>
    <w:rsid w:val="006B2CCE"/>
    <w:rsid w:val="006B3DE9"/>
    <w:rsid w:val="006B682B"/>
    <w:rsid w:val="006B70C1"/>
    <w:rsid w:val="006B70EF"/>
    <w:rsid w:val="006C00B2"/>
    <w:rsid w:val="006C1748"/>
    <w:rsid w:val="006C1E3C"/>
    <w:rsid w:val="006C487F"/>
    <w:rsid w:val="006C4E21"/>
    <w:rsid w:val="006C746C"/>
    <w:rsid w:val="006C79E4"/>
    <w:rsid w:val="006D2211"/>
    <w:rsid w:val="006D4E2B"/>
    <w:rsid w:val="006D5907"/>
    <w:rsid w:val="006E0C88"/>
    <w:rsid w:val="006E10A0"/>
    <w:rsid w:val="006E2CED"/>
    <w:rsid w:val="006E2F57"/>
    <w:rsid w:val="006E5977"/>
    <w:rsid w:val="006E5BD6"/>
    <w:rsid w:val="006E628B"/>
    <w:rsid w:val="006E65BD"/>
    <w:rsid w:val="006E668F"/>
    <w:rsid w:val="006F03EB"/>
    <w:rsid w:val="006F1E32"/>
    <w:rsid w:val="006F4E09"/>
    <w:rsid w:val="006F54F3"/>
    <w:rsid w:val="006F63B8"/>
    <w:rsid w:val="007013BC"/>
    <w:rsid w:val="0070153D"/>
    <w:rsid w:val="00706B62"/>
    <w:rsid w:val="00711F08"/>
    <w:rsid w:val="00711FF5"/>
    <w:rsid w:val="00712ADA"/>
    <w:rsid w:val="00721BFD"/>
    <w:rsid w:val="0072401D"/>
    <w:rsid w:val="0073045F"/>
    <w:rsid w:val="00732037"/>
    <w:rsid w:val="007339D2"/>
    <w:rsid w:val="00733C37"/>
    <w:rsid w:val="00740263"/>
    <w:rsid w:val="00740928"/>
    <w:rsid w:val="00740F1C"/>
    <w:rsid w:val="00740F84"/>
    <w:rsid w:val="00741A38"/>
    <w:rsid w:val="007425C2"/>
    <w:rsid w:val="00743CF9"/>
    <w:rsid w:val="0074653F"/>
    <w:rsid w:val="00752050"/>
    <w:rsid w:val="007524CE"/>
    <w:rsid w:val="00754F0E"/>
    <w:rsid w:val="00756E93"/>
    <w:rsid w:val="00761A18"/>
    <w:rsid w:val="00765D43"/>
    <w:rsid w:val="00767097"/>
    <w:rsid w:val="00767A1B"/>
    <w:rsid w:val="00767B5D"/>
    <w:rsid w:val="0077100F"/>
    <w:rsid w:val="0077167A"/>
    <w:rsid w:val="00771A6E"/>
    <w:rsid w:val="00772BFD"/>
    <w:rsid w:val="00773016"/>
    <w:rsid w:val="007775BD"/>
    <w:rsid w:val="0077776D"/>
    <w:rsid w:val="00785377"/>
    <w:rsid w:val="00792275"/>
    <w:rsid w:val="00795848"/>
    <w:rsid w:val="00797F97"/>
    <w:rsid w:val="007B1B3A"/>
    <w:rsid w:val="007B26A7"/>
    <w:rsid w:val="007B482B"/>
    <w:rsid w:val="007B75CC"/>
    <w:rsid w:val="007C43EC"/>
    <w:rsid w:val="007C5ACF"/>
    <w:rsid w:val="007C7A2B"/>
    <w:rsid w:val="007D249C"/>
    <w:rsid w:val="007D4B82"/>
    <w:rsid w:val="007D50D1"/>
    <w:rsid w:val="007D591C"/>
    <w:rsid w:val="007D5BA4"/>
    <w:rsid w:val="007E2A5C"/>
    <w:rsid w:val="007E5498"/>
    <w:rsid w:val="007E6666"/>
    <w:rsid w:val="007F0D78"/>
    <w:rsid w:val="007F183E"/>
    <w:rsid w:val="007F4262"/>
    <w:rsid w:val="007F46D0"/>
    <w:rsid w:val="007F5C1B"/>
    <w:rsid w:val="007F63AA"/>
    <w:rsid w:val="007F729D"/>
    <w:rsid w:val="0080163F"/>
    <w:rsid w:val="00801F15"/>
    <w:rsid w:val="00802BC0"/>
    <w:rsid w:val="00805B61"/>
    <w:rsid w:val="00807E0A"/>
    <w:rsid w:val="00810D70"/>
    <w:rsid w:val="00811777"/>
    <w:rsid w:val="008126EA"/>
    <w:rsid w:val="008138D6"/>
    <w:rsid w:val="008143EF"/>
    <w:rsid w:val="0081474E"/>
    <w:rsid w:val="00814B66"/>
    <w:rsid w:val="00815840"/>
    <w:rsid w:val="008179CD"/>
    <w:rsid w:val="00820314"/>
    <w:rsid w:val="0082038E"/>
    <w:rsid w:val="00832DE7"/>
    <w:rsid w:val="00835274"/>
    <w:rsid w:val="00837814"/>
    <w:rsid w:val="008404A9"/>
    <w:rsid w:val="00841EA8"/>
    <w:rsid w:val="0084209D"/>
    <w:rsid w:val="00843B77"/>
    <w:rsid w:val="0084405A"/>
    <w:rsid w:val="00850E9D"/>
    <w:rsid w:val="0085400D"/>
    <w:rsid w:val="00860DF9"/>
    <w:rsid w:val="0086200C"/>
    <w:rsid w:val="0086282F"/>
    <w:rsid w:val="00862AF8"/>
    <w:rsid w:val="00862D97"/>
    <w:rsid w:val="00863705"/>
    <w:rsid w:val="00863B1F"/>
    <w:rsid w:val="008677B4"/>
    <w:rsid w:val="00870C82"/>
    <w:rsid w:val="00871A40"/>
    <w:rsid w:val="00873435"/>
    <w:rsid w:val="00882A88"/>
    <w:rsid w:val="00882C8A"/>
    <w:rsid w:val="0088572E"/>
    <w:rsid w:val="00886B43"/>
    <w:rsid w:val="008879E8"/>
    <w:rsid w:val="008936D8"/>
    <w:rsid w:val="0089481D"/>
    <w:rsid w:val="00895894"/>
    <w:rsid w:val="00897908"/>
    <w:rsid w:val="00897D7E"/>
    <w:rsid w:val="008A7187"/>
    <w:rsid w:val="008B0237"/>
    <w:rsid w:val="008B0CA0"/>
    <w:rsid w:val="008C1C22"/>
    <w:rsid w:val="008C3C1E"/>
    <w:rsid w:val="008C74BE"/>
    <w:rsid w:val="008C798D"/>
    <w:rsid w:val="008C7FCA"/>
    <w:rsid w:val="008D0DE1"/>
    <w:rsid w:val="008D10F5"/>
    <w:rsid w:val="008D2AEC"/>
    <w:rsid w:val="008D2E27"/>
    <w:rsid w:val="008D3212"/>
    <w:rsid w:val="008D4B94"/>
    <w:rsid w:val="008D6A0C"/>
    <w:rsid w:val="008D7E8A"/>
    <w:rsid w:val="008E0C39"/>
    <w:rsid w:val="008E24DB"/>
    <w:rsid w:val="008E2814"/>
    <w:rsid w:val="008E6732"/>
    <w:rsid w:val="008E6FB9"/>
    <w:rsid w:val="008E7F44"/>
    <w:rsid w:val="008F08E8"/>
    <w:rsid w:val="008F27F1"/>
    <w:rsid w:val="008F2D08"/>
    <w:rsid w:val="008F4552"/>
    <w:rsid w:val="008F4A6D"/>
    <w:rsid w:val="00901D3D"/>
    <w:rsid w:val="00903CF2"/>
    <w:rsid w:val="00905218"/>
    <w:rsid w:val="00910B4C"/>
    <w:rsid w:val="00910B8E"/>
    <w:rsid w:val="00911938"/>
    <w:rsid w:val="0091724D"/>
    <w:rsid w:val="00924DEF"/>
    <w:rsid w:val="00924F14"/>
    <w:rsid w:val="009257C1"/>
    <w:rsid w:val="00925E94"/>
    <w:rsid w:val="009279BF"/>
    <w:rsid w:val="0093390D"/>
    <w:rsid w:val="00936BC2"/>
    <w:rsid w:val="0094021B"/>
    <w:rsid w:val="009501F7"/>
    <w:rsid w:val="00953406"/>
    <w:rsid w:val="00954A72"/>
    <w:rsid w:val="0096257A"/>
    <w:rsid w:val="0096264F"/>
    <w:rsid w:val="0096407D"/>
    <w:rsid w:val="00964410"/>
    <w:rsid w:val="00964AFF"/>
    <w:rsid w:val="00964F1D"/>
    <w:rsid w:val="00970B33"/>
    <w:rsid w:val="00981BC3"/>
    <w:rsid w:val="009831D8"/>
    <w:rsid w:val="00986C7A"/>
    <w:rsid w:val="0099526A"/>
    <w:rsid w:val="00995B6C"/>
    <w:rsid w:val="009966E9"/>
    <w:rsid w:val="00996A49"/>
    <w:rsid w:val="00997CB4"/>
    <w:rsid w:val="009A1B0F"/>
    <w:rsid w:val="009A299F"/>
    <w:rsid w:val="009A53EF"/>
    <w:rsid w:val="009B3A13"/>
    <w:rsid w:val="009B3CE5"/>
    <w:rsid w:val="009C239E"/>
    <w:rsid w:val="009C3DFC"/>
    <w:rsid w:val="009C5EB3"/>
    <w:rsid w:val="009D1E3F"/>
    <w:rsid w:val="009D38FF"/>
    <w:rsid w:val="009D4186"/>
    <w:rsid w:val="009E165B"/>
    <w:rsid w:val="009E4E4B"/>
    <w:rsid w:val="009F2539"/>
    <w:rsid w:val="009F319E"/>
    <w:rsid w:val="009F360A"/>
    <w:rsid w:val="00A03007"/>
    <w:rsid w:val="00A0409F"/>
    <w:rsid w:val="00A05225"/>
    <w:rsid w:val="00A05EFA"/>
    <w:rsid w:val="00A11E5C"/>
    <w:rsid w:val="00A128B9"/>
    <w:rsid w:val="00A1753F"/>
    <w:rsid w:val="00A20AB0"/>
    <w:rsid w:val="00A223F1"/>
    <w:rsid w:val="00A242D7"/>
    <w:rsid w:val="00A27D8A"/>
    <w:rsid w:val="00A3299A"/>
    <w:rsid w:val="00A347C0"/>
    <w:rsid w:val="00A3647A"/>
    <w:rsid w:val="00A36906"/>
    <w:rsid w:val="00A40324"/>
    <w:rsid w:val="00A40704"/>
    <w:rsid w:val="00A42B3C"/>
    <w:rsid w:val="00A502E1"/>
    <w:rsid w:val="00A526C1"/>
    <w:rsid w:val="00A527AB"/>
    <w:rsid w:val="00A52887"/>
    <w:rsid w:val="00A52E97"/>
    <w:rsid w:val="00A53EEE"/>
    <w:rsid w:val="00A57698"/>
    <w:rsid w:val="00A5787D"/>
    <w:rsid w:val="00A6404A"/>
    <w:rsid w:val="00A64AD9"/>
    <w:rsid w:val="00A70802"/>
    <w:rsid w:val="00A73395"/>
    <w:rsid w:val="00A7384E"/>
    <w:rsid w:val="00A74A66"/>
    <w:rsid w:val="00A75E5C"/>
    <w:rsid w:val="00A7665A"/>
    <w:rsid w:val="00A81564"/>
    <w:rsid w:val="00A82E64"/>
    <w:rsid w:val="00A84DED"/>
    <w:rsid w:val="00A871A4"/>
    <w:rsid w:val="00A91753"/>
    <w:rsid w:val="00A92302"/>
    <w:rsid w:val="00A927EA"/>
    <w:rsid w:val="00A9443F"/>
    <w:rsid w:val="00A94656"/>
    <w:rsid w:val="00AA2320"/>
    <w:rsid w:val="00AA2997"/>
    <w:rsid w:val="00AA5584"/>
    <w:rsid w:val="00AA60CF"/>
    <w:rsid w:val="00AB3DE6"/>
    <w:rsid w:val="00AB5225"/>
    <w:rsid w:val="00AB53D3"/>
    <w:rsid w:val="00AB6339"/>
    <w:rsid w:val="00AB6641"/>
    <w:rsid w:val="00AB721F"/>
    <w:rsid w:val="00AB753C"/>
    <w:rsid w:val="00AB7DA5"/>
    <w:rsid w:val="00AC04B5"/>
    <w:rsid w:val="00AC190C"/>
    <w:rsid w:val="00AC1A72"/>
    <w:rsid w:val="00AC22DC"/>
    <w:rsid w:val="00AC5F06"/>
    <w:rsid w:val="00AC6F5B"/>
    <w:rsid w:val="00AD0B5E"/>
    <w:rsid w:val="00AD1ACE"/>
    <w:rsid w:val="00AD3B13"/>
    <w:rsid w:val="00AD520E"/>
    <w:rsid w:val="00AE049B"/>
    <w:rsid w:val="00AE09F1"/>
    <w:rsid w:val="00AE0FD2"/>
    <w:rsid w:val="00AE182C"/>
    <w:rsid w:val="00AE476D"/>
    <w:rsid w:val="00AE7029"/>
    <w:rsid w:val="00AE7F09"/>
    <w:rsid w:val="00AF0B1B"/>
    <w:rsid w:val="00AF5B3A"/>
    <w:rsid w:val="00AF777E"/>
    <w:rsid w:val="00B00DBA"/>
    <w:rsid w:val="00B059D5"/>
    <w:rsid w:val="00B061E0"/>
    <w:rsid w:val="00B113DC"/>
    <w:rsid w:val="00B121C3"/>
    <w:rsid w:val="00B126A9"/>
    <w:rsid w:val="00B13502"/>
    <w:rsid w:val="00B15211"/>
    <w:rsid w:val="00B1570A"/>
    <w:rsid w:val="00B17B1C"/>
    <w:rsid w:val="00B17E47"/>
    <w:rsid w:val="00B202C5"/>
    <w:rsid w:val="00B21548"/>
    <w:rsid w:val="00B2391B"/>
    <w:rsid w:val="00B24AB7"/>
    <w:rsid w:val="00B24FB1"/>
    <w:rsid w:val="00B25A70"/>
    <w:rsid w:val="00B25AD8"/>
    <w:rsid w:val="00B26ECF"/>
    <w:rsid w:val="00B34265"/>
    <w:rsid w:val="00B3592A"/>
    <w:rsid w:val="00B405F0"/>
    <w:rsid w:val="00B40967"/>
    <w:rsid w:val="00B40DB8"/>
    <w:rsid w:val="00B469DC"/>
    <w:rsid w:val="00B5151E"/>
    <w:rsid w:val="00B519CA"/>
    <w:rsid w:val="00B52510"/>
    <w:rsid w:val="00B534BA"/>
    <w:rsid w:val="00B54FE4"/>
    <w:rsid w:val="00B57C61"/>
    <w:rsid w:val="00B6290B"/>
    <w:rsid w:val="00B66255"/>
    <w:rsid w:val="00B71F7C"/>
    <w:rsid w:val="00B72AA5"/>
    <w:rsid w:val="00B73C88"/>
    <w:rsid w:val="00B73FF1"/>
    <w:rsid w:val="00B76091"/>
    <w:rsid w:val="00B76422"/>
    <w:rsid w:val="00B76768"/>
    <w:rsid w:val="00B7718D"/>
    <w:rsid w:val="00B80B5E"/>
    <w:rsid w:val="00B82067"/>
    <w:rsid w:val="00B82443"/>
    <w:rsid w:val="00B827C3"/>
    <w:rsid w:val="00B82A49"/>
    <w:rsid w:val="00B82ED6"/>
    <w:rsid w:val="00B8729C"/>
    <w:rsid w:val="00B876BD"/>
    <w:rsid w:val="00B90029"/>
    <w:rsid w:val="00B91B8D"/>
    <w:rsid w:val="00B92B87"/>
    <w:rsid w:val="00B93249"/>
    <w:rsid w:val="00B96107"/>
    <w:rsid w:val="00BA0131"/>
    <w:rsid w:val="00BA1564"/>
    <w:rsid w:val="00BA1817"/>
    <w:rsid w:val="00BA2E95"/>
    <w:rsid w:val="00BA653D"/>
    <w:rsid w:val="00BB0D41"/>
    <w:rsid w:val="00BB7C59"/>
    <w:rsid w:val="00BC4DCF"/>
    <w:rsid w:val="00BC4FE6"/>
    <w:rsid w:val="00BD14AE"/>
    <w:rsid w:val="00BD43D0"/>
    <w:rsid w:val="00BD4CD3"/>
    <w:rsid w:val="00BD5887"/>
    <w:rsid w:val="00BE09FC"/>
    <w:rsid w:val="00BE2554"/>
    <w:rsid w:val="00BE3906"/>
    <w:rsid w:val="00BE3AF9"/>
    <w:rsid w:val="00BE461D"/>
    <w:rsid w:val="00BE4F7B"/>
    <w:rsid w:val="00BE61AA"/>
    <w:rsid w:val="00BE6E65"/>
    <w:rsid w:val="00BE7F15"/>
    <w:rsid w:val="00BF10A5"/>
    <w:rsid w:val="00BF592F"/>
    <w:rsid w:val="00BF5EA5"/>
    <w:rsid w:val="00C055FE"/>
    <w:rsid w:val="00C06396"/>
    <w:rsid w:val="00C10434"/>
    <w:rsid w:val="00C105A5"/>
    <w:rsid w:val="00C107A0"/>
    <w:rsid w:val="00C113E7"/>
    <w:rsid w:val="00C13C88"/>
    <w:rsid w:val="00C144E7"/>
    <w:rsid w:val="00C2290B"/>
    <w:rsid w:val="00C23C26"/>
    <w:rsid w:val="00C263AD"/>
    <w:rsid w:val="00C27AB6"/>
    <w:rsid w:val="00C35AB1"/>
    <w:rsid w:val="00C37DCA"/>
    <w:rsid w:val="00C41934"/>
    <w:rsid w:val="00C517F7"/>
    <w:rsid w:val="00C5239A"/>
    <w:rsid w:val="00C62188"/>
    <w:rsid w:val="00C623D5"/>
    <w:rsid w:val="00C632F7"/>
    <w:rsid w:val="00C6437B"/>
    <w:rsid w:val="00C64794"/>
    <w:rsid w:val="00C6543D"/>
    <w:rsid w:val="00C7020C"/>
    <w:rsid w:val="00C72652"/>
    <w:rsid w:val="00C73CC7"/>
    <w:rsid w:val="00C76FCB"/>
    <w:rsid w:val="00C77DAD"/>
    <w:rsid w:val="00C85BE8"/>
    <w:rsid w:val="00C86B6C"/>
    <w:rsid w:val="00C87913"/>
    <w:rsid w:val="00C91B91"/>
    <w:rsid w:val="00C948A8"/>
    <w:rsid w:val="00C9561A"/>
    <w:rsid w:val="00CA349D"/>
    <w:rsid w:val="00CA56C7"/>
    <w:rsid w:val="00CA5B04"/>
    <w:rsid w:val="00CA6E57"/>
    <w:rsid w:val="00CA7B2F"/>
    <w:rsid w:val="00CB0795"/>
    <w:rsid w:val="00CB33D8"/>
    <w:rsid w:val="00CB40C7"/>
    <w:rsid w:val="00CB44C4"/>
    <w:rsid w:val="00CB46B2"/>
    <w:rsid w:val="00CB6E57"/>
    <w:rsid w:val="00CC2CDE"/>
    <w:rsid w:val="00CC3B17"/>
    <w:rsid w:val="00CC3CFB"/>
    <w:rsid w:val="00CC5E24"/>
    <w:rsid w:val="00CC5E74"/>
    <w:rsid w:val="00CC6CAB"/>
    <w:rsid w:val="00CC7065"/>
    <w:rsid w:val="00CD055E"/>
    <w:rsid w:val="00CD1885"/>
    <w:rsid w:val="00CD4BB4"/>
    <w:rsid w:val="00CD70A7"/>
    <w:rsid w:val="00CE39A5"/>
    <w:rsid w:val="00CE4339"/>
    <w:rsid w:val="00CE4AC3"/>
    <w:rsid w:val="00CF36B9"/>
    <w:rsid w:val="00D02D0C"/>
    <w:rsid w:val="00D02DA5"/>
    <w:rsid w:val="00D0472B"/>
    <w:rsid w:val="00D05C5F"/>
    <w:rsid w:val="00D07CB8"/>
    <w:rsid w:val="00D1121B"/>
    <w:rsid w:val="00D11763"/>
    <w:rsid w:val="00D21B62"/>
    <w:rsid w:val="00D26C4D"/>
    <w:rsid w:val="00D3092D"/>
    <w:rsid w:val="00D31E1D"/>
    <w:rsid w:val="00D32EE0"/>
    <w:rsid w:val="00D35BAA"/>
    <w:rsid w:val="00D35CA8"/>
    <w:rsid w:val="00D361C1"/>
    <w:rsid w:val="00D431ED"/>
    <w:rsid w:val="00D47EFA"/>
    <w:rsid w:val="00D51575"/>
    <w:rsid w:val="00D52474"/>
    <w:rsid w:val="00D65432"/>
    <w:rsid w:val="00D6592E"/>
    <w:rsid w:val="00D659BA"/>
    <w:rsid w:val="00D71180"/>
    <w:rsid w:val="00D77B2F"/>
    <w:rsid w:val="00D80452"/>
    <w:rsid w:val="00D80AAF"/>
    <w:rsid w:val="00D83C57"/>
    <w:rsid w:val="00D8698F"/>
    <w:rsid w:val="00D91E8C"/>
    <w:rsid w:val="00D95C9D"/>
    <w:rsid w:val="00DA78EF"/>
    <w:rsid w:val="00DB0B1E"/>
    <w:rsid w:val="00DB13A5"/>
    <w:rsid w:val="00DB4245"/>
    <w:rsid w:val="00DB51A7"/>
    <w:rsid w:val="00DB53C5"/>
    <w:rsid w:val="00DB6467"/>
    <w:rsid w:val="00DB6DFB"/>
    <w:rsid w:val="00DC023C"/>
    <w:rsid w:val="00DC1DC8"/>
    <w:rsid w:val="00DC1F37"/>
    <w:rsid w:val="00DC4FE9"/>
    <w:rsid w:val="00DC6350"/>
    <w:rsid w:val="00DC77E4"/>
    <w:rsid w:val="00DD33F7"/>
    <w:rsid w:val="00DD5119"/>
    <w:rsid w:val="00DD57A6"/>
    <w:rsid w:val="00DE377F"/>
    <w:rsid w:val="00DE43CD"/>
    <w:rsid w:val="00DE45BF"/>
    <w:rsid w:val="00DE7704"/>
    <w:rsid w:val="00DF1670"/>
    <w:rsid w:val="00DF2715"/>
    <w:rsid w:val="00DF3345"/>
    <w:rsid w:val="00DF57A6"/>
    <w:rsid w:val="00DF6108"/>
    <w:rsid w:val="00DF6BCE"/>
    <w:rsid w:val="00DF77A9"/>
    <w:rsid w:val="00DF78BA"/>
    <w:rsid w:val="00E005E4"/>
    <w:rsid w:val="00E021A1"/>
    <w:rsid w:val="00E108AB"/>
    <w:rsid w:val="00E141E2"/>
    <w:rsid w:val="00E14886"/>
    <w:rsid w:val="00E164F4"/>
    <w:rsid w:val="00E17217"/>
    <w:rsid w:val="00E30E20"/>
    <w:rsid w:val="00E3181B"/>
    <w:rsid w:val="00E31CB4"/>
    <w:rsid w:val="00E343FC"/>
    <w:rsid w:val="00E37110"/>
    <w:rsid w:val="00E42016"/>
    <w:rsid w:val="00E45B03"/>
    <w:rsid w:val="00E45C75"/>
    <w:rsid w:val="00E46569"/>
    <w:rsid w:val="00E47799"/>
    <w:rsid w:val="00E47AB8"/>
    <w:rsid w:val="00E5158C"/>
    <w:rsid w:val="00E51830"/>
    <w:rsid w:val="00E53A23"/>
    <w:rsid w:val="00E54555"/>
    <w:rsid w:val="00E60AFE"/>
    <w:rsid w:val="00E667D1"/>
    <w:rsid w:val="00E669F2"/>
    <w:rsid w:val="00E72E01"/>
    <w:rsid w:val="00E75BE4"/>
    <w:rsid w:val="00E76A17"/>
    <w:rsid w:val="00E800C9"/>
    <w:rsid w:val="00E81D80"/>
    <w:rsid w:val="00E83024"/>
    <w:rsid w:val="00E843DF"/>
    <w:rsid w:val="00E8567A"/>
    <w:rsid w:val="00E8625C"/>
    <w:rsid w:val="00E90F0C"/>
    <w:rsid w:val="00E93157"/>
    <w:rsid w:val="00E979A6"/>
    <w:rsid w:val="00E97EBE"/>
    <w:rsid w:val="00EA0C8F"/>
    <w:rsid w:val="00EA43DA"/>
    <w:rsid w:val="00EA5201"/>
    <w:rsid w:val="00EB3377"/>
    <w:rsid w:val="00EB4974"/>
    <w:rsid w:val="00EB5F8A"/>
    <w:rsid w:val="00EB6F88"/>
    <w:rsid w:val="00EB7DC9"/>
    <w:rsid w:val="00EC071E"/>
    <w:rsid w:val="00EC0CAE"/>
    <w:rsid w:val="00EC0EA9"/>
    <w:rsid w:val="00EC367B"/>
    <w:rsid w:val="00ED43DF"/>
    <w:rsid w:val="00ED5727"/>
    <w:rsid w:val="00ED597A"/>
    <w:rsid w:val="00ED7027"/>
    <w:rsid w:val="00EE0537"/>
    <w:rsid w:val="00EE12E4"/>
    <w:rsid w:val="00EE3D40"/>
    <w:rsid w:val="00EE54A1"/>
    <w:rsid w:val="00EF2220"/>
    <w:rsid w:val="00EF2B45"/>
    <w:rsid w:val="00EF3761"/>
    <w:rsid w:val="00EF68DF"/>
    <w:rsid w:val="00F01EE7"/>
    <w:rsid w:val="00F021C2"/>
    <w:rsid w:val="00F10573"/>
    <w:rsid w:val="00F10FED"/>
    <w:rsid w:val="00F1245B"/>
    <w:rsid w:val="00F12BB3"/>
    <w:rsid w:val="00F13CB4"/>
    <w:rsid w:val="00F15775"/>
    <w:rsid w:val="00F2204A"/>
    <w:rsid w:val="00F25E12"/>
    <w:rsid w:val="00F26E9C"/>
    <w:rsid w:val="00F27539"/>
    <w:rsid w:val="00F2779D"/>
    <w:rsid w:val="00F33B53"/>
    <w:rsid w:val="00F35A3A"/>
    <w:rsid w:val="00F416F0"/>
    <w:rsid w:val="00F41C4F"/>
    <w:rsid w:val="00F51C8B"/>
    <w:rsid w:val="00F525A0"/>
    <w:rsid w:val="00F529A4"/>
    <w:rsid w:val="00F52E13"/>
    <w:rsid w:val="00F55B70"/>
    <w:rsid w:val="00F60E07"/>
    <w:rsid w:val="00F61FC4"/>
    <w:rsid w:val="00F645BC"/>
    <w:rsid w:val="00F64731"/>
    <w:rsid w:val="00F65786"/>
    <w:rsid w:val="00F666F7"/>
    <w:rsid w:val="00F71B5E"/>
    <w:rsid w:val="00F7382C"/>
    <w:rsid w:val="00F76564"/>
    <w:rsid w:val="00F76D17"/>
    <w:rsid w:val="00F8146C"/>
    <w:rsid w:val="00F84C72"/>
    <w:rsid w:val="00F90380"/>
    <w:rsid w:val="00F91236"/>
    <w:rsid w:val="00F91341"/>
    <w:rsid w:val="00F93069"/>
    <w:rsid w:val="00F9489A"/>
    <w:rsid w:val="00F94E9F"/>
    <w:rsid w:val="00F956B9"/>
    <w:rsid w:val="00F968D0"/>
    <w:rsid w:val="00FA3AC7"/>
    <w:rsid w:val="00FA43ED"/>
    <w:rsid w:val="00FA44CF"/>
    <w:rsid w:val="00FA5E08"/>
    <w:rsid w:val="00FA7C61"/>
    <w:rsid w:val="00FA7D96"/>
    <w:rsid w:val="00FB4EE6"/>
    <w:rsid w:val="00FC04CD"/>
    <w:rsid w:val="00FC098E"/>
    <w:rsid w:val="00FC11DC"/>
    <w:rsid w:val="00FC23E2"/>
    <w:rsid w:val="00FC331B"/>
    <w:rsid w:val="00FD0848"/>
    <w:rsid w:val="00FD0B7D"/>
    <w:rsid w:val="00FD0F2E"/>
    <w:rsid w:val="00FD1166"/>
    <w:rsid w:val="00FD2A60"/>
    <w:rsid w:val="00FD52E8"/>
    <w:rsid w:val="00FD5936"/>
    <w:rsid w:val="00FD6841"/>
    <w:rsid w:val="00FE1BD0"/>
    <w:rsid w:val="00FE24E1"/>
    <w:rsid w:val="00FE256F"/>
    <w:rsid w:val="00FE42EF"/>
    <w:rsid w:val="00FE4700"/>
    <w:rsid w:val="00FE5D54"/>
    <w:rsid w:val="00FE662F"/>
    <w:rsid w:val="00FF4450"/>
    <w:rsid w:val="00FF7145"/>
    <w:rsid w:val="01600073"/>
    <w:rsid w:val="03542A9E"/>
    <w:rsid w:val="05409869"/>
    <w:rsid w:val="056FEAD4"/>
    <w:rsid w:val="08EAF799"/>
    <w:rsid w:val="09E54A41"/>
    <w:rsid w:val="0C22985B"/>
    <w:rsid w:val="0D2845CD"/>
    <w:rsid w:val="0D559B25"/>
    <w:rsid w:val="0DA47A7B"/>
    <w:rsid w:val="10100928"/>
    <w:rsid w:val="10E0AD95"/>
    <w:rsid w:val="13B62993"/>
    <w:rsid w:val="13B98AC0"/>
    <w:rsid w:val="1593753F"/>
    <w:rsid w:val="1818708E"/>
    <w:rsid w:val="198077D2"/>
    <w:rsid w:val="1FA56820"/>
    <w:rsid w:val="2009AD02"/>
    <w:rsid w:val="21E601FA"/>
    <w:rsid w:val="22D196C5"/>
    <w:rsid w:val="250B07BC"/>
    <w:rsid w:val="2AED2EE0"/>
    <w:rsid w:val="2BF2F55F"/>
    <w:rsid w:val="2CE5F02B"/>
    <w:rsid w:val="2D53C50A"/>
    <w:rsid w:val="33CB5CCC"/>
    <w:rsid w:val="34D6D2C0"/>
    <w:rsid w:val="35672D2D"/>
    <w:rsid w:val="38538EAB"/>
    <w:rsid w:val="38E86F72"/>
    <w:rsid w:val="3ACF373F"/>
    <w:rsid w:val="3CE88376"/>
    <w:rsid w:val="3DDB16EA"/>
    <w:rsid w:val="3F114F13"/>
    <w:rsid w:val="40653E56"/>
    <w:rsid w:val="45C81E45"/>
    <w:rsid w:val="4BF48001"/>
    <w:rsid w:val="4F0541EC"/>
    <w:rsid w:val="52D30946"/>
    <w:rsid w:val="538A04DC"/>
    <w:rsid w:val="54BA298A"/>
    <w:rsid w:val="55D06E2A"/>
    <w:rsid w:val="601CDF23"/>
    <w:rsid w:val="606DB013"/>
    <w:rsid w:val="6152F823"/>
    <w:rsid w:val="628A9916"/>
    <w:rsid w:val="62EEC884"/>
    <w:rsid w:val="6827F108"/>
    <w:rsid w:val="6ADE20BB"/>
    <w:rsid w:val="718AF7B4"/>
    <w:rsid w:val="7190CCCB"/>
    <w:rsid w:val="73B1A11E"/>
    <w:rsid w:val="75DB0EB7"/>
    <w:rsid w:val="7A8A059F"/>
    <w:rsid w:val="7E62F030"/>
    <w:rsid w:val="7EF7DAB8"/>
    <w:rsid w:val="7F87F0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6F03EB"/>
    <w:pPr>
      <w:keepNext/>
      <w:keepLines/>
      <w:spacing w:before="40" w:after="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styleId="Hipervnculo">
    <w:name w:val="Hyperlink"/>
    <w:basedOn w:val="Fuentedeprrafopredeter"/>
    <w:uiPriority w:val="99"/>
    <w:unhideWhenUsed/>
    <w:rsid w:val="006048C5"/>
    <w:rPr>
      <w:color w:val="0563C1" w:themeColor="hyperlink"/>
      <w:u w:val="single"/>
    </w:rPr>
  </w:style>
  <w:style w:type="character" w:customStyle="1" w:styleId="Mencinsinresolver1">
    <w:name w:val="Mención sin resolver1"/>
    <w:basedOn w:val="Fuentedeprrafopredeter"/>
    <w:uiPriority w:val="99"/>
    <w:semiHidden/>
    <w:unhideWhenUsed/>
    <w:rsid w:val="006048C5"/>
    <w:rPr>
      <w:color w:val="605E5C"/>
      <w:shd w:val="clear" w:color="auto" w:fill="E1DFDD"/>
    </w:rPr>
  </w:style>
  <w:style w:type="paragraph" w:styleId="Sinespaciado">
    <w:name w:val="No Spacing"/>
    <w:uiPriority w:val="1"/>
    <w:qFormat/>
    <w:rsid w:val="00651B6E"/>
    <w:pPr>
      <w:spacing w:before="0" w:after="0" w:line="240" w:lineRule="auto"/>
    </w:pPr>
  </w:style>
  <w:style w:type="character" w:customStyle="1" w:styleId="Ttulo3Car">
    <w:name w:val="Título 3 Car"/>
    <w:basedOn w:val="Fuentedeprrafopredeter"/>
    <w:link w:val="Ttulo3"/>
    <w:rsid w:val="006F03E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347">
      <w:bodyDiv w:val="1"/>
      <w:marLeft w:val="0"/>
      <w:marRight w:val="0"/>
      <w:marTop w:val="0"/>
      <w:marBottom w:val="0"/>
      <w:divBdr>
        <w:top w:val="none" w:sz="0" w:space="0" w:color="auto"/>
        <w:left w:val="none" w:sz="0" w:space="0" w:color="auto"/>
        <w:bottom w:val="none" w:sz="0" w:space="0" w:color="auto"/>
        <w:right w:val="none" w:sz="0" w:space="0" w:color="auto"/>
      </w:divBdr>
    </w:div>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56897831">
      <w:bodyDiv w:val="1"/>
      <w:marLeft w:val="0"/>
      <w:marRight w:val="0"/>
      <w:marTop w:val="0"/>
      <w:marBottom w:val="0"/>
      <w:divBdr>
        <w:top w:val="none" w:sz="0" w:space="0" w:color="auto"/>
        <w:left w:val="none" w:sz="0" w:space="0" w:color="auto"/>
        <w:bottom w:val="none" w:sz="0" w:space="0" w:color="auto"/>
        <w:right w:val="none" w:sz="0" w:space="0" w:color="auto"/>
      </w:divBdr>
    </w:div>
    <w:div w:id="229461816">
      <w:bodyDiv w:val="1"/>
      <w:marLeft w:val="0"/>
      <w:marRight w:val="0"/>
      <w:marTop w:val="0"/>
      <w:marBottom w:val="0"/>
      <w:divBdr>
        <w:top w:val="none" w:sz="0" w:space="0" w:color="auto"/>
        <w:left w:val="none" w:sz="0" w:space="0" w:color="auto"/>
        <w:bottom w:val="none" w:sz="0" w:space="0" w:color="auto"/>
        <w:right w:val="none" w:sz="0" w:space="0" w:color="auto"/>
      </w:divBdr>
      <w:divsChild>
        <w:div w:id="826551943">
          <w:marLeft w:val="0"/>
          <w:marRight w:val="0"/>
          <w:marTop w:val="0"/>
          <w:marBottom w:val="0"/>
          <w:divBdr>
            <w:top w:val="none" w:sz="0" w:space="0" w:color="auto"/>
            <w:left w:val="none" w:sz="0" w:space="0" w:color="auto"/>
            <w:bottom w:val="none" w:sz="0" w:space="0" w:color="auto"/>
            <w:right w:val="none" w:sz="0" w:space="0" w:color="auto"/>
          </w:divBdr>
        </w:div>
        <w:div w:id="100073648">
          <w:marLeft w:val="0"/>
          <w:marRight w:val="0"/>
          <w:marTop w:val="0"/>
          <w:marBottom w:val="0"/>
          <w:divBdr>
            <w:top w:val="none" w:sz="0" w:space="0" w:color="auto"/>
            <w:left w:val="none" w:sz="0" w:space="0" w:color="auto"/>
            <w:bottom w:val="none" w:sz="0" w:space="0" w:color="auto"/>
            <w:right w:val="none" w:sz="0" w:space="0" w:color="auto"/>
          </w:divBdr>
        </w:div>
        <w:div w:id="1943537301">
          <w:marLeft w:val="0"/>
          <w:marRight w:val="0"/>
          <w:marTop w:val="0"/>
          <w:marBottom w:val="0"/>
          <w:divBdr>
            <w:top w:val="none" w:sz="0" w:space="0" w:color="auto"/>
            <w:left w:val="none" w:sz="0" w:space="0" w:color="auto"/>
            <w:bottom w:val="none" w:sz="0" w:space="0" w:color="auto"/>
            <w:right w:val="none" w:sz="0" w:space="0" w:color="auto"/>
          </w:divBdr>
        </w:div>
        <w:div w:id="445201936">
          <w:marLeft w:val="0"/>
          <w:marRight w:val="0"/>
          <w:marTop w:val="0"/>
          <w:marBottom w:val="0"/>
          <w:divBdr>
            <w:top w:val="none" w:sz="0" w:space="0" w:color="auto"/>
            <w:left w:val="none" w:sz="0" w:space="0" w:color="auto"/>
            <w:bottom w:val="none" w:sz="0" w:space="0" w:color="auto"/>
            <w:right w:val="none" w:sz="0" w:space="0" w:color="auto"/>
          </w:divBdr>
        </w:div>
        <w:div w:id="279996229">
          <w:marLeft w:val="0"/>
          <w:marRight w:val="0"/>
          <w:marTop w:val="0"/>
          <w:marBottom w:val="0"/>
          <w:divBdr>
            <w:top w:val="none" w:sz="0" w:space="0" w:color="auto"/>
            <w:left w:val="none" w:sz="0" w:space="0" w:color="auto"/>
            <w:bottom w:val="none" w:sz="0" w:space="0" w:color="auto"/>
            <w:right w:val="none" w:sz="0" w:space="0" w:color="auto"/>
          </w:divBdr>
        </w:div>
        <w:div w:id="1698775031">
          <w:marLeft w:val="0"/>
          <w:marRight w:val="0"/>
          <w:marTop w:val="0"/>
          <w:marBottom w:val="0"/>
          <w:divBdr>
            <w:top w:val="none" w:sz="0" w:space="0" w:color="auto"/>
            <w:left w:val="none" w:sz="0" w:space="0" w:color="auto"/>
            <w:bottom w:val="none" w:sz="0" w:space="0" w:color="auto"/>
            <w:right w:val="none" w:sz="0" w:space="0" w:color="auto"/>
          </w:divBdr>
        </w:div>
        <w:div w:id="301160128">
          <w:marLeft w:val="0"/>
          <w:marRight w:val="0"/>
          <w:marTop w:val="0"/>
          <w:marBottom w:val="0"/>
          <w:divBdr>
            <w:top w:val="none" w:sz="0" w:space="0" w:color="auto"/>
            <w:left w:val="none" w:sz="0" w:space="0" w:color="auto"/>
            <w:bottom w:val="none" w:sz="0" w:space="0" w:color="auto"/>
            <w:right w:val="none" w:sz="0" w:space="0" w:color="auto"/>
          </w:divBdr>
        </w:div>
        <w:div w:id="728843633">
          <w:marLeft w:val="0"/>
          <w:marRight w:val="0"/>
          <w:marTop w:val="0"/>
          <w:marBottom w:val="0"/>
          <w:divBdr>
            <w:top w:val="none" w:sz="0" w:space="0" w:color="auto"/>
            <w:left w:val="none" w:sz="0" w:space="0" w:color="auto"/>
            <w:bottom w:val="none" w:sz="0" w:space="0" w:color="auto"/>
            <w:right w:val="none" w:sz="0" w:space="0" w:color="auto"/>
          </w:divBdr>
        </w:div>
        <w:div w:id="465590907">
          <w:marLeft w:val="0"/>
          <w:marRight w:val="0"/>
          <w:marTop w:val="0"/>
          <w:marBottom w:val="0"/>
          <w:divBdr>
            <w:top w:val="none" w:sz="0" w:space="0" w:color="auto"/>
            <w:left w:val="none" w:sz="0" w:space="0" w:color="auto"/>
            <w:bottom w:val="none" w:sz="0" w:space="0" w:color="auto"/>
            <w:right w:val="none" w:sz="0" w:space="0" w:color="auto"/>
          </w:divBdr>
        </w:div>
        <w:div w:id="955481959">
          <w:marLeft w:val="0"/>
          <w:marRight w:val="0"/>
          <w:marTop w:val="0"/>
          <w:marBottom w:val="0"/>
          <w:divBdr>
            <w:top w:val="none" w:sz="0" w:space="0" w:color="auto"/>
            <w:left w:val="none" w:sz="0" w:space="0" w:color="auto"/>
            <w:bottom w:val="none" w:sz="0" w:space="0" w:color="auto"/>
            <w:right w:val="none" w:sz="0" w:space="0" w:color="auto"/>
          </w:divBdr>
        </w:div>
        <w:div w:id="900865101">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260842114">
          <w:marLeft w:val="0"/>
          <w:marRight w:val="0"/>
          <w:marTop w:val="0"/>
          <w:marBottom w:val="0"/>
          <w:divBdr>
            <w:top w:val="none" w:sz="0" w:space="0" w:color="auto"/>
            <w:left w:val="none" w:sz="0" w:space="0" w:color="auto"/>
            <w:bottom w:val="none" w:sz="0" w:space="0" w:color="auto"/>
            <w:right w:val="none" w:sz="0" w:space="0" w:color="auto"/>
          </w:divBdr>
        </w:div>
        <w:div w:id="1508865887">
          <w:marLeft w:val="0"/>
          <w:marRight w:val="0"/>
          <w:marTop w:val="0"/>
          <w:marBottom w:val="0"/>
          <w:divBdr>
            <w:top w:val="none" w:sz="0" w:space="0" w:color="auto"/>
            <w:left w:val="none" w:sz="0" w:space="0" w:color="auto"/>
            <w:bottom w:val="none" w:sz="0" w:space="0" w:color="auto"/>
            <w:right w:val="none" w:sz="0" w:space="0" w:color="auto"/>
          </w:divBdr>
        </w:div>
        <w:div w:id="780687508">
          <w:marLeft w:val="0"/>
          <w:marRight w:val="0"/>
          <w:marTop w:val="0"/>
          <w:marBottom w:val="0"/>
          <w:divBdr>
            <w:top w:val="none" w:sz="0" w:space="0" w:color="auto"/>
            <w:left w:val="none" w:sz="0" w:space="0" w:color="auto"/>
            <w:bottom w:val="none" w:sz="0" w:space="0" w:color="auto"/>
            <w:right w:val="none" w:sz="0" w:space="0" w:color="auto"/>
          </w:divBdr>
        </w:div>
        <w:div w:id="1342782349">
          <w:marLeft w:val="0"/>
          <w:marRight w:val="0"/>
          <w:marTop w:val="0"/>
          <w:marBottom w:val="0"/>
          <w:divBdr>
            <w:top w:val="none" w:sz="0" w:space="0" w:color="auto"/>
            <w:left w:val="none" w:sz="0" w:space="0" w:color="auto"/>
            <w:bottom w:val="none" w:sz="0" w:space="0" w:color="auto"/>
            <w:right w:val="none" w:sz="0" w:space="0" w:color="auto"/>
          </w:divBdr>
        </w:div>
        <w:div w:id="581372717">
          <w:marLeft w:val="0"/>
          <w:marRight w:val="0"/>
          <w:marTop w:val="0"/>
          <w:marBottom w:val="0"/>
          <w:divBdr>
            <w:top w:val="none" w:sz="0" w:space="0" w:color="auto"/>
            <w:left w:val="none" w:sz="0" w:space="0" w:color="auto"/>
            <w:bottom w:val="none" w:sz="0" w:space="0" w:color="auto"/>
            <w:right w:val="none" w:sz="0" w:space="0" w:color="auto"/>
          </w:divBdr>
        </w:div>
        <w:div w:id="1524316915">
          <w:marLeft w:val="0"/>
          <w:marRight w:val="0"/>
          <w:marTop w:val="0"/>
          <w:marBottom w:val="0"/>
          <w:divBdr>
            <w:top w:val="none" w:sz="0" w:space="0" w:color="auto"/>
            <w:left w:val="none" w:sz="0" w:space="0" w:color="auto"/>
            <w:bottom w:val="none" w:sz="0" w:space="0" w:color="auto"/>
            <w:right w:val="none" w:sz="0" w:space="0" w:color="auto"/>
          </w:divBdr>
        </w:div>
        <w:div w:id="592010887">
          <w:marLeft w:val="0"/>
          <w:marRight w:val="0"/>
          <w:marTop w:val="0"/>
          <w:marBottom w:val="0"/>
          <w:divBdr>
            <w:top w:val="none" w:sz="0" w:space="0" w:color="auto"/>
            <w:left w:val="none" w:sz="0" w:space="0" w:color="auto"/>
            <w:bottom w:val="none" w:sz="0" w:space="0" w:color="auto"/>
            <w:right w:val="none" w:sz="0" w:space="0" w:color="auto"/>
          </w:divBdr>
        </w:div>
      </w:divsChild>
    </w:div>
    <w:div w:id="238180257">
      <w:bodyDiv w:val="1"/>
      <w:marLeft w:val="0"/>
      <w:marRight w:val="0"/>
      <w:marTop w:val="0"/>
      <w:marBottom w:val="0"/>
      <w:divBdr>
        <w:top w:val="none" w:sz="0" w:space="0" w:color="auto"/>
        <w:left w:val="none" w:sz="0" w:space="0" w:color="auto"/>
        <w:bottom w:val="none" w:sz="0" w:space="0" w:color="auto"/>
        <w:right w:val="none" w:sz="0" w:space="0" w:color="auto"/>
      </w:divBdr>
    </w:div>
    <w:div w:id="287705929">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14455246">
      <w:bodyDiv w:val="1"/>
      <w:marLeft w:val="0"/>
      <w:marRight w:val="0"/>
      <w:marTop w:val="0"/>
      <w:marBottom w:val="0"/>
      <w:divBdr>
        <w:top w:val="none" w:sz="0" w:space="0" w:color="auto"/>
        <w:left w:val="none" w:sz="0" w:space="0" w:color="auto"/>
        <w:bottom w:val="none" w:sz="0" w:space="0" w:color="auto"/>
        <w:right w:val="none" w:sz="0" w:space="0" w:color="auto"/>
      </w:divBdr>
      <w:divsChild>
        <w:div w:id="505444636">
          <w:marLeft w:val="0"/>
          <w:marRight w:val="0"/>
          <w:marTop w:val="0"/>
          <w:marBottom w:val="0"/>
          <w:divBdr>
            <w:top w:val="none" w:sz="0" w:space="0" w:color="auto"/>
            <w:left w:val="none" w:sz="0" w:space="0" w:color="auto"/>
            <w:bottom w:val="none" w:sz="0" w:space="0" w:color="auto"/>
            <w:right w:val="none" w:sz="0" w:space="0" w:color="auto"/>
          </w:divBdr>
        </w:div>
        <w:div w:id="1247113379">
          <w:marLeft w:val="0"/>
          <w:marRight w:val="0"/>
          <w:marTop w:val="0"/>
          <w:marBottom w:val="0"/>
          <w:divBdr>
            <w:top w:val="none" w:sz="0" w:space="0" w:color="auto"/>
            <w:left w:val="none" w:sz="0" w:space="0" w:color="auto"/>
            <w:bottom w:val="none" w:sz="0" w:space="0" w:color="auto"/>
            <w:right w:val="none" w:sz="0" w:space="0" w:color="auto"/>
          </w:divBdr>
        </w:div>
        <w:div w:id="1256402932">
          <w:marLeft w:val="0"/>
          <w:marRight w:val="0"/>
          <w:marTop w:val="0"/>
          <w:marBottom w:val="0"/>
          <w:divBdr>
            <w:top w:val="none" w:sz="0" w:space="0" w:color="auto"/>
            <w:left w:val="none" w:sz="0" w:space="0" w:color="auto"/>
            <w:bottom w:val="none" w:sz="0" w:space="0" w:color="auto"/>
            <w:right w:val="none" w:sz="0" w:space="0" w:color="auto"/>
          </w:divBdr>
        </w:div>
        <w:div w:id="1263801229">
          <w:marLeft w:val="0"/>
          <w:marRight w:val="0"/>
          <w:marTop w:val="0"/>
          <w:marBottom w:val="0"/>
          <w:divBdr>
            <w:top w:val="none" w:sz="0" w:space="0" w:color="auto"/>
            <w:left w:val="none" w:sz="0" w:space="0" w:color="auto"/>
            <w:bottom w:val="none" w:sz="0" w:space="0" w:color="auto"/>
            <w:right w:val="none" w:sz="0" w:space="0" w:color="auto"/>
          </w:divBdr>
        </w:div>
      </w:divsChild>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574976513">
      <w:bodyDiv w:val="1"/>
      <w:marLeft w:val="0"/>
      <w:marRight w:val="0"/>
      <w:marTop w:val="0"/>
      <w:marBottom w:val="0"/>
      <w:divBdr>
        <w:top w:val="none" w:sz="0" w:space="0" w:color="auto"/>
        <w:left w:val="none" w:sz="0" w:space="0" w:color="auto"/>
        <w:bottom w:val="none" w:sz="0" w:space="0" w:color="auto"/>
        <w:right w:val="none" w:sz="0" w:space="0" w:color="auto"/>
      </w:divBdr>
    </w:div>
    <w:div w:id="588348671">
      <w:bodyDiv w:val="1"/>
      <w:marLeft w:val="0"/>
      <w:marRight w:val="0"/>
      <w:marTop w:val="0"/>
      <w:marBottom w:val="0"/>
      <w:divBdr>
        <w:top w:val="none" w:sz="0" w:space="0" w:color="auto"/>
        <w:left w:val="none" w:sz="0" w:space="0" w:color="auto"/>
        <w:bottom w:val="none" w:sz="0" w:space="0" w:color="auto"/>
        <w:right w:val="none" w:sz="0" w:space="0" w:color="auto"/>
      </w:divBdr>
      <w:divsChild>
        <w:div w:id="1279870684">
          <w:marLeft w:val="0"/>
          <w:marRight w:val="0"/>
          <w:marTop w:val="0"/>
          <w:marBottom w:val="0"/>
          <w:divBdr>
            <w:top w:val="none" w:sz="0" w:space="0" w:color="auto"/>
            <w:left w:val="none" w:sz="0" w:space="0" w:color="auto"/>
            <w:bottom w:val="none" w:sz="0" w:space="0" w:color="auto"/>
            <w:right w:val="none" w:sz="0" w:space="0" w:color="auto"/>
          </w:divBdr>
        </w:div>
        <w:div w:id="2131506350">
          <w:marLeft w:val="0"/>
          <w:marRight w:val="0"/>
          <w:marTop w:val="0"/>
          <w:marBottom w:val="0"/>
          <w:divBdr>
            <w:top w:val="none" w:sz="0" w:space="0" w:color="auto"/>
            <w:left w:val="none" w:sz="0" w:space="0" w:color="auto"/>
            <w:bottom w:val="none" w:sz="0" w:space="0" w:color="auto"/>
            <w:right w:val="none" w:sz="0" w:space="0" w:color="auto"/>
          </w:divBdr>
        </w:div>
        <w:div w:id="548877481">
          <w:marLeft w:val="0"/>
          <w:marRight w:val="0"/>
          <w:marTop w:val="0"/>
          <w:marBottom w:val="0"/>
          <w:divBdr>
            <w:top w:val="none" w:sz="0" w:space="0" w:color="auto"/>
            <w:left w:val="none" w:sz="0" w:space="0" w:color="auto"/>
            <w:bottom w:val="none" w:sz="0" w:space="0" w:color="auto"/>
            <w:right w:val="none" w:sz="0" w:space="0" w:color="auto"/>
          </w:divBdr>
        </w:div>
        <w:div w:id="1601641672">
          <w:marLeft w:val="0"/>
          <w:marRight w:val="0"/>
          <w:marTop w:val="0"/>
          <w:marBottom w:val="0"/>
          <w:divBdr>
            <w:top w:val="none" w:sz="0" w:space="0" w:color="auto"/>
            <w:left w:val="none" w:sz="0" w:space="0" w:color="auto"/>
            <w:bottom w:val="none" w:sz="0" w:space="0" w:color="auto"/>
            <w:right w:val="none" w:sz="0" w:space="0" w:color="auto"/>
          </w:divBdr>
        </w:div>
      </w:divsChild>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899092376">
      <w:bodyDiv w:val="1"/>
      <w:marLeft w:val="0"/>
      <w:marRight w:val="0"/>
      <w:marTop w:val="0"/>
      <w:marBottom w:val="0"/>
      <w:divBdr>
        <w:top w:val="none" w:sz="0" w:space="0" w:color="auto"/>
        <w:left w:val="none" w:sz="0" w:space="0" w:color="auto"/>
        <w:bottom w:val="none" w:sz="0" w:space="0" w:color="auto"/>
        <w:right w:val="none" w:sz="0" w:space="0" w:color="auto"/>
      </w:divBdr>
      <w:divsChild>
        <w:div w:id="1817869342">
          <w:marLeft w:val="0"/>
          <w:marRight w:val="0"/>
          <w:marTop w:val="0"/>
          <w:marBottom w:val="0"/>
          <w:divBdr>
            <w:top w:val="none" w:sz="0" w:space="0" w:color="auto"/>
            <w:left w:val="none" w:sz="0" w:space="0" w:color="auto"/>
            <w:bottom w:val="none" w:sz="0" w:space="0" w:color="auto"/>
            <w:right w:val="none" w:sz="0" w:space="0" w:color="auto"/>
          </w:divBdr>
        </w:div>
        <w:div w:id="993099382">
          <w:marLeft w:val="0"/>
          <w:marRight w:val="0"/>
          <w:marTop w:val="0"/>
          <w:marBottom w:val="0"/>
          <w:divBdr>
            <w:top w:val="none" w:sz="0" w:space="0" w:color="auto"/>
            <w:left w:val="none" w:sz="0" w:space="0" w:color="auto"/>
            <w:bottom w:val="none" w:sz="0" w:space="0" w:color="auto"/>
            <w:right w:val="none" w:sz="0" w:space="0" w:color="auto"/>
          </w:divBdr>
        </w:div>
        <w:div w:id="340084846">
          <w:marLeft w:val="0"/>
          <w:marRight w:val="0"/>
          <w:marTop w:val="0"/>
          <w:marBottom w:val="0"/>
          <w:divBdr>
            <w:top w:val="none" w:sz="0" w:space="0" w:color="auto"/>
            <w:left w:val="none" w:sz="0" w:space="0" w:color="auto"/>
            <w:bottom w:val="none" w:sz="0" w:space="0" w:color="auto"/>
            <w:right w:val="none" w:sz="0" w:space="0" w:color="auto"/>
          </w:divBdr>
        </w:div>
        <w:div w:id="996112597">
          <w:marLeft w:val="0"/>
          <w:marRight w:val="0"/>
          <w:marTop w:val="0"/>
          <w:marBottom w:val="0"/>
          <w:divBdr>
            <w:top w:val="none" w:sz="0" w:space="0" w:color="auto"/>
            <w:left w:val="none" w:sz="0" w:space="0" w:color="auto"/>
            <w:bottom w:val="none" w:sz="0" w:space="0" w:color="auto"/>
            <w:right w:val="none" w:sz="0" w:space="0" w:color="auto"/>
          </w:divBdr>
        </w:div>
      </w:divsChild>
    </w:div>
    <w:div w:id="1119490760">
      <w:bodyDiv w:val="1"/>
      <w:marLeft w:val="0"/>
      <w:marRight w:val="0"/>
      <w:marTop w:val="0"/>
      <w:marBottom w:val="0"/>
      <w:divBdr>
        <w:top w:val="none" w:sz="0" w:space="0" w:color="auto"/>
        <w:left w:val="none" w:sz="0" w:space="0" w:color="auto"/>
        <w:bottom w:val="none" w:sz="0" w:space="0" w:color="auto"/>
        <w:right w:val="none" w:sz="0" w:space="0" w:color="auto"/>
      </w:divBdr>
    </w:div>
    <w:div w:id="1123965892">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469283686">
      <w:bodyDiv w:val="1"/>
      <w:marLeft w:val="0"/>
      <w:marRight w:val="0"/>
      <w:marTop w:val="0"/>
      <w:marBottom w:val="0"/>
      <w:divBdr>
        <w:top w:val="none" w:sz="0" w:space="0" w:color="auto"/>
        <w:left w:val="none" w:sz="0" w:space="0" w:color="auto"/>
        <w:bottom w:val="none" w:sz="0" w:space="0" w:color="auto"/>
        <w:right w:val="none" w:sz="0" w:space="0" w:color="auto"/>
      </w:divBdr>
    </w:div>
    <w:div w:id="1528642316">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609894601">
      <w:bodyDiv w:val="1"/>
      <w:marLeft w:val="0"/>
      <w:marRight w:val="0"/>
      <w:marTop w:val="0"/>
      <w:marBottom w:val="0"/>
      <w:divBdr>
        <w:top w:val="none" w:sz="0" w:space="0" w:color="auto"/>
        <w:left w:val="none" w:sz="0" w:space="0" w:color="auto"/>
        <w:bottom w:val="none" w:sz="0" w:space="0" w:color="auto"/>
        <w:right w:val="none" w:sz="0" w:space="0" w:color="auto"/>
      </w:divBdr>
    </w:div>
    <w:div w:id="1743526238">
      <w:bodyDiv w:val="1"/>
      <w:marLeft w:val="0"/>
      <w:marRight w:val="0"/>
      <w:marTop w:val="0"/>
      <w:marBottom w:val="0"/>
      <w:divBdr>
        <w:top w:val="none" w:sz="0" w:space="0" w:color="auto"/>
        <w:left w:val="none" w:sz="0" w:space="0" w:color="auto"/>
        <w:bottom w:val="none" w:sz="0" w:space="0" w:color="auto"/>
        <w:right w:val="none" w:sz="0" w:space="0" w:color="auto"/>
      </w:divBdr>
    </w:div>
    <w:div w:id="1754085639">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30773947">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3.xml><?xml version="1.0" encoding="utf-8"?>
<ds:datastoreItem xmlns:ds="http://schemas.openxmlformats.org/officeDocument/2006/customXml" ds:itemID="{B87D7B66-8D26-4F4F-9B2E-75ADADDB9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7FFB8-9032-4858-AA9E-936791D7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8772</Words>
  <Characters>48249</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11</cp:revision>
  <dcterms:created xsi:type="dcterms:W3CDTF">2023-02-08T20:10:00Z</dcterms:created>
  <dcterms:modified xsi:type="dcterms:W3CDTF">2023-04-12T20:20:00Z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57095200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