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E329" w14:textId="77777777" w:rsidR="00E51390" w:rsidRPr="00E51390" w:rsidRDefault="00E51390" w:rsidP="00E513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17163896"/>
      <w:bookmarkEnd w:id="0"/>
      <w:r w:rsidRPr="00E513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137489" w14:textId="77777777" w:rsidR="00E51390" w:rsidRPr="00E51390" w:rsidRDefault="00E51390" w:rsidP="00E51390">
      <w:pPr>
        <w:jc w:val="both"/>
        <w:rPr>
          <w:rFonts w:ascii="Arial" w:hAnsi="Arial" w:cs="Arial"/>
          <w:sz w:val="20"/>
          <w:szCs w:val="20"/>
          <w:lang w:val="es-419"/>
        </w:rPr>
      </w:pPr>
    </w:p>
    <w:p w14:paraId="4147315B" w14:textId="77777777" w:rsidR="004406B2" w:rsidRPr="004406B2" w:rsidRDefault="004406B2" w:rsidP="004406B2">
      <w:pPr>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Radicación No.:</w:t>
      </w:r>
      <w:r w:rsidRPr="004406B2">
        <w:rPr>
          <w:rFonts w:ascii="Arial" w:eastAsia="Tahoma" w:hAnsi="Arial" w:cs="Arial"/>
          <w:sz w:val="20"/>
          <w:szCs w:val="20"/>
          <w:lang w:val="es-419" w:eastAsia="es-CO"/>
        </w:rPr>
        <w:tab/>
      </w:r>
      <w:r w:rsidRPr="004406B2">
        <w:rPr>
          <w:rFonts w:ascii="Arial" w:eastAsia="Tahoma" w:hAnsi="Arial" w:cs="Arial"/>
          <w:sz w:val="20"/>
          <w:szCs w:val="20"/>
          <w:lang w:val="es-419" w:eastAsia="es-CO"/>
        </w:rPr>
        <w:tab/>
        <w:t>66001-31-05-001-2017-00210-01</w:t>
      </w:r>
    </w:p>
    <w:p w14:paraId="633D38F6" w14:textId="77777777" w:rsidR="004406B2" w:rsidRPr="004406B2" w:rsidRDefault="004406B2" w:rsidP="004406B2">
      <w:pPr>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Proceso:</w:t>
      </w:r>
      <w:r w:rsidRPr="004406B2">
        <w:rPr>
          <w:rFonts w:ascii="Arial" w:eastAsia="Tahoma" w:hAnsi="Arial" w:cs="Arial"/>
          <w:sz w:val="20"/>
          <w:szCs w:val="20"/>
          <w:lang w:val="es-419" w:eastAsia="es-CO"/>
        </w:rPr>
        <w:tab/>
      </w:r>
      <w:r w:rsidRPr="004406B2">
        <w:rPr>
          <w:rFonts w:ascii="Arial" w:eastAsia="Tahoma" w:hAnsi="Arial" w:cs="Arial"/>
          <w:sz w:val="20"/>
          <w:szCs w:val="20"/>
          <w:lang w:val="es-419" w:eastAsia="es-CO"/>
        </w:rPr>
        <w:tab/>
        <w:t xml:space="preserve">Ordinario laboral </w:t>
      </w:r>
    </w:p>
    <w:p w14:paraId="3EBF2B74" w14:textId="77777777" w:rsidR="004406B2" w:rsidRPr="004406B2" w:rsidRDefault="004406B2" w:rsidP="004406B2">
      <w:pPr>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Demandante:</w:t>
      </w:r>
      <w:r w:rsidRPr="004406B2">
        <w:rPr>
          <w:rFonts w:ascii="Arial" w:eastAsia="Tahoma" w:hAnsi="Arial" w:cs="Arial"/>
          <w:sz w:val="20"/>
          <w:szCs w:val="20"/>
          <w:lang w:val="es-419" w:eastAsia="es-CO"/>
        </w:rPr>
        <w:tab/>
      </w:r>
      <w:r w:rsidRPr="004406B2">
        <w:rPr>
          <w:rFonts w:ascii="Arial" w:eastAsia="Tahoma" w:hAnsi="Arial" w:cs="Arial"/>
          <w:sz w:val="20"/>
          <w:szCs w:val="20"/>
          <w:lang w:val="es-419" w:eastAsia="es-CO"/>
        </w:rPr>
        <w:tab/>
        <w:t xml:space="preserve">Jesús Arcadio Echeverri Granada  </w:t>
      </w:r>
    </w:p>
    <w:p w14:paraId="46F2E52B" w14:textId="77777777" w:rsidR="004406B2" w:rsidRPr="004406B2" w:rsidRDefault="004406B2" w:rsidP="004406B2">
      <w:pPr>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Demandado:</w:t>
      </w:r>
      <w:r w:rsidRPr="004406B2">
        <w:rPr>
          <w:rFonts w:ascii="Arial" w:eastAsia="Tahoma" w:hAnsi="Arial" w:cs="Arial"/>
          <w:sz w:val="20"/>
          <w:szCs w:val="20"/>
          <w:lang w:val="es-419" w:eastAsia="es-CO"/>
        </w:rPr>
        <w:tab/>
      </w:r>
      <w:r w:rsidRPr="004406B2">
        <w:rPr>
          <w:rFonts w:ascii="Arial" w:eastAsia="Tahoma" w:hAnsi="Arial" w:cs="Arial"/>
          <w:sz w:val="20"/>
          <w:szCs w:val="20"/>
          <w:lang w:val="es-419" w:eastAsia="es-CO"/>
        </w:rPr>
        <w:tab/>
        <w:t>Porvenir S.A.</w:t>
      </w:r>
    </w:p>
    <w:p w14:paraId="6F4E8F44" w14:textId="6790CC0C" w:rsidR="004406B2" w:rsidRPr="004406B2" w:rsidRDefault="004406B2" w:rsidP="004406B2">
      <w:pPr>
        <w:ind w:left="2124" w:hanging="2124"/>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Vinculados:</w:t>
      </w:r>
      <w:r w:rsidRPr="004406B2">
        <w:rPr>
          <w:rFonts w:ascii="Arial" w:eastAsia="Tahoma" w:hAnsi="Arial" w:cs="Arial"/>
          <w:sz w:val="20"/>
          <w:szCs w:val="20"/>
          <w:lang w:val="es-419" w:eastAsia="es-CO"/>
        </w:rPr>
        <w:tab/>
        <w:t xml:space="preserve">Municipio de Pereira – Secretaría de Educación; la Fiduprevisora, como vocera y administradora del Fondo Nacional de Prestaciones del Magisterio FOMAG; Nación </w:t>
      </w:r>
      <w:r>
        <w:rPr>
          <w:rFonts w:ascii="Arial" w:eastAsia="Tahoma" w:hAnsi="Arial" w:cs="Arial"/>
          <w:sz w:val="20"/>
          <w:szCs w:val="20"/>
          <w:lang w:val="es-419" w:eastAsia="es-CO"/>
        </w:rPr>
        <w:t>–</w:t>
      </w:r>
      <w:r w:rsidRPr="004406B2">
        <w:rPr>
          <w:rFonts w:ascii="Arial" w:eastAsia="Tahoma" w:hAnsi="Arial" w:cs="Arial"/>
          <w:sz w:val="20"/>
          <w:szCs w:val="20"/>
          <w:lang w:val="es-419" w:eastAsia="es-CO"/>
        </w:rPr>
        <w:t xml:space="preserve"> M</w:t>
      </w:r>
      <w:r>
        <w:rPr>
          <w:rFonts w:ascii="Arial" w:eastAsia="Tahoma" w:hAnsi="Arial" w:cs="Arial"/>
          <w:sz w:val="20"/>
          <w:szCs w:val="20"/>
          <w:lang w:val="es-419" w:eastAsia="es-CO"/>
        </w:rPr>
        <w:t>i</w:t>
      </w:r>
      <w:r w:rsidRPr="004406B2">
        <w:rPr>
          <w:rFonts w:ascii="Arial" w:eastAsia="Tahoma" w:hAnsi="Arial" w:cs="Arial"/>
          <w:sz w:val="20"/>
          <w:szCs w:val="20"/>
          <w:lang w:val="es-419" w:eastAsia="es-CO"/>
        </w:rPr>
        <w:t xml:space="preserve">nisterio de Educación Nacional </w:t>
      </w:r>
      <w:r>
        <w:rPr>
          <w:rFonts w:ascii="Arial" w:eastAsia="Tahoma" w:hAnsi="Arial" w:cs="Arial"/>
          <w:sz w:val="20"/>
          <w:szCs w:val="20"/>
          <w:lang w:val="es-419" w:eastAsia="es-CO"/>
        </w:rPr>
        <w:t xml:space="preserve">– </w:t>
      </w:r>
      <w:r w:rsidRPr="004406B2">
        <w:rPr>
          <w:rFonts w:ascii="Arial" w:eastAsia="Tahoma" w:hAnsi="Arial" w:cs="Arial"/>
          <w:sz w:val="20"/>
          <w:szCs w:val="20"/>
          <w:lang w:val="es-419" w:eastAsia="es-CO"/>
        </w:rPr>
        <w:t>Fondo de Prestaciones Sociales del Magisterio</w:t>
      </w:r>
    </w:p>
    <w:p w14:paraId="33DB0C14" w14:textId="77777777" w:rsidR="004406B2" w:rsidRPr="004406B2" w:rsidRDefault="004406B2" w:rsidP="004406B2">
      <w:pPr>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 xml:space="preserve">Juzgado de origen: </w:t>
      </w:r>
      <w:r w:rsidRPr="004406B2">
        <w:rPr>
          <w:rFonts w:ascii="Arial" w:eastAsia="Tahoma" w:hAnsi="Arial" w:cs="Arial"/>
          <w:sz w:val="20"/>
          <w:szCs w:val="20"/>
          <w:lang w:val="es-419" w:eastAsia="es-CO"/>
        </w:rPr>
        <w:tab/>
        <w:t xml:space="preserve">Primero Laboral del Circuito de Pereira </w:t>
      </w:r>
    </w:p>
    <w:p w14:paraId="32C24522" w14:textId="756B3627" w:rsidR="00E51390" w:rsidRPr="00E51390" w:rsidRDefault="004406B2" w:rsidP="004406B2">
      <w:pPr>
        <w:jc w:val="both"/>
        <w:rPr>
          <w:rFonts w:ascii="Arial" w:eastAsia="Tahoma" w:hAnsi="Arial" w:cs="Arial"/>
          <w:sz w:val="20"/>
          <w:szCs w:val="20"/>
          <w:lang w:val="es-419" w:eastAsia="es-CO"/>
        </w:rPr>
      </w:pPr>
      <w:r w:rsidRPr="004406B2">
        <w:rPr>
          <w:rFonts w:ascii="Arial" w:eastAsia="Tahoma" w:hAnsi="Arial" w:cs="Arial"/>
          <w:sz w:val="20"/>
          <w:szCs w:val="20"/>
          <w:lang w:val="es-419" w:eastAsia="es-CO"/>
        </w:rPr>
        <w:t>Magistrada ponente:</w:t>
      </w:r>
      <w:r w:rsidRPr="004406B2">
        <w:rPr>
          <w:rFonts w:ascii="Arial" w:eastAsia="Tahoma" w:hAnsi="Arial" w:cs="Arial"/>
          <w:sz w:val="20"/>
          <w:szCs w:val="20"/>
          <w:lang w:val="es-419" w:eastAsia="es-CO"/>
        </w:rPr>
        <w:tab/>
        <w:t>Dra. Ana Lucía Caicedo Calderón</w:t>
      </w:r>
    </w:p>
    <w:p w14:paraId="61E30B0E" w14:textId="77777777" w:rsidR="00E51390" w:rsidRPr="00E51390" w:rsidRDefault="00E51390" w:rsidP="00E51390">
      <w:pPr>
        <w:jc w:val="both"/>
        <w:rPr>
          <w:rFonts w:ascii="Arial" w:eastAsia="Tahoma" w:hAnsi="Arial" w:cs="Arial"/>
          <w:color w:val="000000"/>
          <w:sz w:val="20"/>
          <w:szCs w:val="20"/>
          <w:lang w:eastAsia="es-CO"/>
        </w:rPr>
      </w:pPr>
    </w:p>
    <w:p w14:paraId="72541C29" w14:textId="4CE046CD" w:rsidR="00960487" w:rsidRDefault="00D21EEE" w:rsidP="00960487">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PENSIÓN DE JUBILACIÓN / DOCENTES / COMPATIBILIDAD CON DERECHOS DEL SISTEMA DE SEGURIDAD SOCIAL / DEVOLUCIÓN DE SALDOS / INTERESES LEGALES DE MORA / CONDENA EN COSTAS.</w:t>
      </w:r>
    </w:p>
    <w:p w14:paraId="1FC954D8" w14:textId="77777777" w:rsidR="00960487" w:rsidRDefault="00960487" w:rsidP="00960487">
      <w:pPr>
        <w:jc w:val="both"/>
        <w:rPr>
          <w:rFonts w:ascii="Arial" w:hAnsi="Arial" w:cs="Arial"/>
          <w:sz w:val="20"/>
          <w:szCs w:val="20"/>
          <w:lang w:val="es-419"/>
        </w:rPr>
      </w:pPr>
    </w:p>
    <w:p w14:paraId="09C8B75E" w14:textId="77777777" w:rsidR="00960487" w:rsidRDefault="00960487" w:rsidP="00960487">
      <w:pPr>
        <w:jc w:val="both"/>
        <w:rPr>
          <w:rFonts w:ascii="Arial" w:hAnsi="Arial" w:cs="Arial"/>
          <w:sz w:val="20"/>
          <w:szCs w:val="20"/>
          <w:lang w:val="es-419"/>
        </w:rPr>
      </w:pPr>
      <w:r>
        <w:rPr>
          <w:rFonts w:ascii="Arial" w:hAnsi="Arial" w:cs="Arial"/>
          <w:sz w:val="20"/>
          <w:szCs w:val="20"/>
          <w:lang w:val="es-419"/>
        </w:rPr>
        <w:t>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w:t>
      </w:r>
    </w:p>
    <w:p w14:paraId="742F3CE7" w14:textId="77777777" w:rsidR="00960487" w:rsidRDefault="00960487" w:rsidP="00960487">
      <w:pPr>
        <w:jc w:val="both"/>
        <w:rPr>
          <w:rFonts w:ascii="Arial" w:hAnsi="Arial" w:cs="Arial"/>
          <w:sz w:val="20"/>
          <w:szCs w:val="20"/>
          <w:lang w:val="es-419"/>
        </w:rPr>
      </w:pPr>
    </w:p>
    <w:p w14:paraId="53406D1E" w14:textId="77777777" w:rsidR="00960487" w:rsidRDefault="00960487" w:rsidP="00960487">
      <w:pPr>
        <w:jc w:val="both"/>
        <w:rPr>
          <w:rFonts w:ascii="Arial" w:hAnsi="Arial" w:cs="Arial"/>
          <w:sz w:val="20"/>
          <w:szCs w:val="20"/>
          <w:lang w:val="es-419"/>
        </w:rPr>
      </w:pPr>
      <w:r>
        <w:rPr>
          <w:rFonts w:ascii="Arial" w:hAnsi="Arial" w:cs="Arial"/>
          <w:sz w:val="20"/>
          <w:szCs w:val="20"/>
          <w:lang w:val="es-419"/>
        </w:rPr>
        <w:t>Ahora,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 (…)</w:t>
      </w:r>
    </w:p>
    <w:p w14:paraId="69A6F3D5" w14:textId="77777777" w:rsidR="00960487" w:rsidRDefault="00960487" w:rsidP="00960487">
      <w:pPr>
        <w:jc w:val="both"/>
        <w:rPr>
          <w:rFonts w:ascii="Arial" w:hAnsi="Arial" w:cs="Arial"/>
          <w:sz w:val="20"/>
          <w:szCs w:val="20"/>
          <w:lang w:val="es-419"/>
        </w:rPr>
      </w:pPr>
    </w:p>
    <w:p w14:paraId="27177835" w14:textId="496DAFA7" w:rsidR="00960487" w:rsidRDefault="00CA0315" w:rsidP="00960487">
      <w:pPr>
        <w:jc w:val="both"/>
        <w:rPr>
          <w:rFonts w:ascii="Arial" w:hAnsi="Arial" w:cs="Arial"/>
          <w:sz w:val="20"/>
          <w:szCs w:val="20"/>
          <w:lang w:val="es-419"/>
        </w:rPr>
      </w:pPr>
      <w:r w:rsidRPr="00CA0315">
        <w:rPr>
          <w:rFonts w:ascii="Arial" w:hAnsi="Arial" w:cs="Arial"/>
          <w:sz w:val="20"/>
          <w:szCs w:val="20"/>
          <w:lang w:val="es-419"/>
        </w:rPr>
        <w:t>Con relación a la condena en costas procesales bastará indicar que la misma tiene origen en el artículo 365 del Código General del Proceso, disposición procesal de carácter general cuya aplicación es objetiva, es decir, bastará con que haya una parte vencida en el juicio para que ella asuma la carga de cancelar a su contraparte las costas correspondientes a los gastos que debió asumir para sacar adelante lo perseguido, más aún cuando la parte demandada, en este caso, Porvenir S.A. se opuso a lo pretendido por el promotor del litigio.</w:t>
      </w:r>
    </w:p>
    <w:p w14:paraId="09453A37" w14:textId="77777777" w:rsidR="00CA0315" w:rsidRDefault="00CA0315" w:rsidP="00960487">
      <w:pPr>
        <w:jc w:val="both"/>
        <w:rPr>
          <w:rFonts w:ascii="Arial" w:hAnsi="Arial" w:cs="Arial"/>
          <w:sz w:val="20"/>
          <w:szCs w:val="20"/>
          <w:lang w:val="es-419"/>
        </w:rPr>
      </w:pPr>
    </w:p>
    <w:p w14:paraId="149A4355" w14:textId="0EDFBB73" w:rsidR="00960487" w:rsidRDefault="007E0050" w:rsidP="00960487">
      <w:pPr>
        <w:jc w:val="both"/>
        <w:rPr>
          <w:rFonts w:ascii="Arial" w:hAnsi="Arial" w:cs="Arial"/>
          <w:sz w:val="20"/>
          <w:szCs w:val="20"/>
          <w:lang w:val="es-419"/>
        </w:rPr>
      </w:pPr>
      <w:r>
        <w:rPr>
          <w:rFonts w:ascii="Arial" w:hAnsi="Arial" w:cs="Arial"/>
          <w:sz w:val="20"/>
          <w:szCs w:val="20"/>
          <w:lang w:val="es-419"/>
        </w:rPr>
        <w:t xml:space="preserve">… </w:t>
      </w:r>
      <w:r w:rsidRPr="007E0050">
        <w:rPr>
          <w:rFonts w:ascii="Arial" w:hAnsi="Arial" w:cs="Arial"/>
          <w:sz w:val="20"/>
          <w:szCs w:val="20"/>
          <w:lang w:val="es-419"/>
        </w:rPr>
        <w:t>en lo concerniente a la condena por intereses moratorios se dirá que si bien la jurisprudencia ha establecido que en aquellos casos en los que se da alcance a una interpretación constitucional favorable de las normas no hay lugar a los intereses moratorios, lo cierto es que el precedente traído a colación por la A-quo tan solo refiere a la aplicación correcta de las normas que regentan la compatibilidad de las prestaciones, más no a una interpretación flexible o ajena al espíritu del legislador</w:t>
      </w:r>
      <w:r>
        <w:rPr>
          <w:rFonts w:ascii="Arial" w:hAnsi="Arial" w:cs="Arial"/>
          <w:sz w:val="20"/>
          <w:szCs w:val="20"/>
          <w:lang w:val="es-419"/>
        </w:rPr>
        <w:t>…</w:t>
      </w:r>
    </w:p>
    <w:p w14:paraId="75BCBD54" w14:textId="77777777" w:rsidR="007E0050" w:rsidRDefault="007E0050" w:rsidP="00960487">
      <w:pPr>
        <w:jc w:val="both"/>
        <w:rPr>
          <w:rFonts w:ascii="Arial" w:hAnsi="Arial" w:cs="Arial"/>
          <w:sz w:val="20"/>
          <w:szCs w:val="20"/>
          <w:lang w:val="es-419"/>
        </w:rPr>
      </w:pPr>
    </w:p>
    <w:p w14:paraId="7D15DE5B" w14:textId="77777777" w:rsidR="00960487" w:rsidRDefault="00960487" w:rsidP="00960487">
      <w:pPr>
        <w:jc w:val="both"/>
        <w:rPr>
          <w:rFonts w:ascii="Arial" w:hAnsi="Arial" w:cs="Arial"/>
          <w:sz w:val="20"/>
          <w:szCs w:val="20"/>
          <w:lang w:val="es-419"/>
        </w:rPr>
      </w:pPr>
    </w:p>
    <w:p w14:paraId="1BE265D9" w14:textId="77777777" w:rsidR="00E51390" w:rsidRPr="00E51390" w:rsidRDefault="00E51390" w:rsidP="00E51390">
      <w:pPr>
        <w:jc w:val="both"/>
        <w:rPr>
          <w:rFonts w:ascii="Arial" w:hAnsi="Arial" w:cs="Arial"/>
          <w:sz w:val="20"/>
          <w:szCs w:val="20"/>
          <w:lang w:val="es-419"/>
        </w:rPr>
      </w:pPr>
    </w:p>
    <w:bookmarkEnd w:id="1"/>
    <w:p w14:paraId="1DD29841" w14:textId="77777777" w:rsidR="00766B8A" w:rsidRPr="004406B2" w:rsidRDefault="00766B8A" w:rsidP="004406B2">
      <w:pPr>
        <w:spacing w:line="276" w:lineRule="auto"/>
        <w:jc w:val="center"/>
        <w:textAlignment w:val="baseline"/>
        <w:rPr>
          <w:rFonts w:ascii="Tahoma" w:hAnsi="Tahoma" w:cs="Tahoma"/>
          <w:b/>
          <w:bCs/>
          <w:color w:val="000000"/>
          <w:lang w:eastAsia="es-CO"/>
        </w:rPr>
      </w:pPr>
      <w:r w:rsidRPr="004406B2">
        <w:rPr>
          <w:rFonts w:ascii="Tahoma" w:hAnsi="Tahoma" w:cs="Tahoma"/>
          <w:b/>
          <w:bCs/>
          <w:color w:val="000000"/>
          <w:lang w:eastAsia="es-CO"/>
        </w:rPr>
        <w:t xml:space="preserve">TRIBUNAL SUPERIOR DEL DISTRITO JUDICIAL DE PEREIRA </w:t>
      </w:r>
    </w:p>
    <w:p w14:paraId="50D32D9E" w14:textId="4DB6AA43" w:rsidR="008F1F12" w:rsidRPr="004406B2" w:rsidRDefault="00766B8A" w:rsidP="004406B2">
      <w:pPr>
        <w:spacing w:line="276" w:lineRule="auto"/>
        <w:jc w:val="center"/>
        <w:textAlignment w:val="baseline"/>
        <w:rPr>
          <w:rFonts w:ascii="Tahoma" w:hAnsi="Tahoma" w:cs="Tahoma"/>
          <w:b/>
          <w:bCs/>
          <w:color w:val="000000"/>
          <w:lang w:eastAsia="es-CO"/>
        </w:rPr>
      </w:pPr>
      <w:r w:rsidRPr="004406B2">
        <w:rPr>
          <w:rFonts w:ascii="Tahoma" w:hAnsi="Tahoma" w:cs="Tahoma"/>
          <w:b/>
          <w:bCs/>
          <w:color w:val="000000"/>
          <w:lang w:eastAsia="es-CO"/>
        </w:rPr>
        <w:t>SALA</w:t>
      </w:r>
      <w:r w:rsidR="00774D3E" w:rsidRPr="004406B2">
        <w:rPr>
          <w:rFonts w:ascii="Tahoma" w:hAnsi="Tahoma" w:cs="Tahoma"/>
          <w:b/>
          <w:bCs/>
          <w:color w:val="000000"/>
          <w:lang w:eastAsia="es-CO"/>
        </w:rPr>
        <w:t xml:space="preserve"> PRIMERA</w:t>
      </w:r>
      <w:r w:rsidRPr="004406B2">
        <w:rPr>
          <w:rFonts w:ascii="Tahoma" w:hAnsi="Tahoma" w:cs="Tahoma"/>
          <w:b/>
          <w:bCs/>
          <w:color w:val="000000"/>
          <w:lang w:eastAsia="es-CO"/>
        </w:rPr>
        <w:t xml:space="preserve"> DE DECISION </w:t>
      </w:r>
      <w:r w:rsidR="008F1F12" w:rsidRPr="004406B2">
        <w:rPr>
          <w:rFonts w:ascii="Tahoma" w:hAnsi="Tahoma" w:cs="Tahoma"/>
          <w:b/>
          <w:bCs/>
          <w:color w:val="000000"/>
          <w:lang w:eastAsia="es-CO"/>
        </w:rPr>
        <w:t>LABORAL</w:t>
      </w:r>
    </w:p>
    <w:p w14:paraId="1424224E" w14:textId="0DC2890B" w:rsidR="00766B8A" w:rsidRPr="004406B2" w:rsidRDefault="008F1F12" w:rsidP="004406B2">
      <w:pPr>
        <w:spacing w:line="276" w:lineRule="auto"/>
        <w:jc w:val="center"/>
        <w:textAlignment w:val="baseline"/>
        <w:rPr>
          <w:rFonts w:ascii="Tahoma" w:hAnsi="Tahoma" w:cs="Tahoma"/>
          <w:lang w:val="es-CO" w:eastAsia="es-CO"/>
        </w:rPr>
      </w:pPr>
      <w:r w:rsidRPr="004406B2">
        <w:rPr>
          <w:rFonts w:ascii="Tahoma" w:hAnsi="Tahoma" w:cs="Tahoma"/>
          <w:b/>
          <w:bCs/>
          <w:color w:val="000000"/>
          <w:lang w:eastAsia="es-CO"/>
        </w:rPr>
        <w:t xml:space="preserve"> </w:t>
      </w:r>
      <w:r w:rsidR="00766B8A" w:rsidRPr="004406B2">
        <w:rPr>
          <w:rFonts w:ascii="Tahoma" w:hAnsi="Tahoma" w:cs="Tahoma"/>
          <w:color w:val="000000"/>
          <w:lang w:val="es-CO" w:eastAsia="es-CO"/>
        </w:rPr>
        <w:t> </w:t>
      </w:r>
    </w:p>
    <w:p w14:paraId="4944CD3F" w14:textId="77777777" w:rsidR="00766B8A" w:rsidRPr="004406B2" w:rsidRDefault="00766B8A" w:rsidP="004406B2">
      <w:pPr>
        <w:spacing w:line="276" w:lineRule="auto"/>
        <w:jc w:val="center"/>
        <w:textAlignment w:val="baseline"/>
        <w:rPr>
          <w:rFonts w:ascii="Tahoma" w:hAnsi="Tahoma" w:cs="Tahoma"/>
          <w:lang w:val="es-CO" w:eastAsia="es-CO"/>
        </w:rPr>
      </w:pPr>
      <w:r w:rsidRPr="004406B2">
        <w:rPr>
          <w:rFonts w:ascii="Tahoma" w:hAnsi="Tahoma" w:cs="Tahoma"/>
          <w:color w:val="000000"/>
          <w:lang w:eastAsia="es-CO"/>
        </w:rPr>
        <w:t>Magistrada Ponente: </w:t>
      </w:r>
      <w:r w:rsidRPr="004406B2">
        <w:rPr>
          <w:rFonts w:ascii="Tahoma" w:hAnsi="Tahoma" w:cs="Tahoma"/>
          <w:b/>
          <w:bCs/>
          <w:color w:val="000000"/>
          <w:lang w:eastAsia="es-CO"/>
        </w:rPr>
        <w:t>Ana Lucía Caicedo Calderón</w:t>
      </w:r>
      <w:r w:rsidRPr="004406B2">
        <w:rPr>
          <w:rFonts w:ascii="Tahoma" w:hAnsi="Tahoma" w:cs="Tahoma"/>
          <w:color w:val="000000"/>
          <w:lang w:val="es-CO" w:eastAsia="es-CO"/>
        </w:rPr>
        <w:t> </w:t>
      </w:r>
    </w:p>
    <w:p w14:paraId="6F82CB97" w14:textId="77777777" w:rsidR="00766B8A" w:rsidRPr="004406B2" w:rsidRDefault="00766B8A" w:rsidP="004406B2">
      <w:pPr>
        <w:spacing w:line="276" w:lineRule="auto"/>
        <w:jc w:val="center"/>
        <w:textAlignment w:val="baseline"/>
        <w:rPr>
          <w:rFonts w:ascii="Tahoma" w:hAnsi="Tahoma" w:cs="Tahoma"/>
          <w:lang w:val="es-CO" w:eastAsia="es-CO"/>
        </w:rPr>
      </w:pPr>
      <w:r w:rsidRPr="004406B2">
        <w:rPr>
          <w:rFonts w:ascii="Tahoma" w:hAnsi="Tahoma" w:cs="Tahoma"/>
          <w:color w:val="000000"/>
          <w:lang w:val="es-CO" w:eastAsia="es-CO"/>
        </w:rPr>
        <w:t> </w:t>
      </w:r>
    </w:p>
    <w:p w14:paraId="6263C571" w14:textId="77777777" w:rsidR="002B1745" w:rsidRPr="004406B2" w:rsidRDefault="002B1745" w:rsidP="004406B2">
      <w:pPr>
        <w:spacing w:line="276" w:lineRule="auto"/>
        <w:ind w:right="49"/>
        <w:contextualSpacing/>
        <w:jc w:val="center"/>
        <w:textAlignment w:val="baseline"/>
        <w:rPr>
          <w:rFonts w:ascii="Tahoma" w:hAnsi="Tahoma" w:cs="Tahoma"/>
          <w:lang w:eastAsia="es-CO"/>
        </w:rPr>
      </w:pPr>
      <w:r w:rsidRPr="004406B2">
        <w:rPr>
          <w:rFonts w:ascii="Tahoma" w:hAnsi="Tahoma" w:cs="Tahoma"/>
          <w:lang w:eastAsia="es-CO"/>
        </w:rPr>
        <w:t>Pereira, Risaralda, seis (06) de febrero de dos mil veintitrés (2023)</w:t>
      </w:r>
    </w:p>
    <w:p w14:paraId="289A7A09" w14:textId="77777777" w:rsidR="002B1745" w:rsidRPr="004406B2" w:rsidRDefault="002B1745" w:rsidP="004406B2">
      <w:pPr>
        <w:spacing w:line="276" w:lineRule="auto"/>
        <w:ind w:right="49"/>
        <w:contextualSpacing/>
        <w:jc w:val="center"/>
        <w:textAlignment w:val="baseline"/>
        <w:rPr>
          <w:rFonts w:ascii="Tahoma" w:hAnsi="Tahoma" w:cs="Tahoma"/>
          <w:lang w:eastAsia="es-CO"/>
        </w:rPr>
      </w:pPr>
      <w:r w:rsidRPr="004406B2">
        <w:rPr>
          <w:rFonts w:ascii="Tahoma" w:hAnsi="Tahoma" w:cs="Tahoma"/>
          <w:lang w:eastAsia="es-CO"/>
        </w:rPr>
        <w:t>Acta No. 14 del 02 de febrero de 2023</w:t>
      </w:r>
    </w:p>
    <w:p w14:paraId="1A46FB48" w14:textId="77777777" w:rsidR="00D21EEE" w:rsidRDefault="00D21EEE" w:rsidP="004406B2">
      <w:pPr>
        <w:pStyle w:val="Sinespaciado"/>
        <w:spacing w:line="276" w:lineRule="auto"/>
        <w:rPr>
          <w:rFonts w:ascii="Tahoma" w:hAnsi="Tahoma" w:cs="Tahoma"/>
        </w:rPr>
      </w:pPr>
    </w:p>
    <w:p w14:paraId="11422366" w14:textId="5308F90B" w:rsidR="003A3BBB" w:rsidRPr="004406B2" w:rsidRDefault="003A3BBB" w:rsidP="004406B2">
      <w:pPr>
        <w:pStyle w:val="Sinespaciado"/>
        <w:spacing w:line="276" w:lineRule="auto"/>
        <w:rPr>
          <w:rFonts w:ascii="Tahoma" w:hAnsi="Tahoma" w:cs="Tahoma"/>
        </w:rPr>
      </w:pPr>
      <w:r w:rsidRPr="004406B2">
        <w:rPr>
          <w:rFonts w:ascii="Tahoma" w:hAnsi="Tahoma" w:cs="Tahoma"/>
        </w:rPr>
        <w:tab/>
      </w:r>
      <w:r w:rsidR="004052FE" w:rsidRPr="004406B2">
        <w:rPr>
          <w:rFonts w:ascii="Tahoma" w:hAnsi="Tahoma" w:cs="Tahoma"/>
        </w:rPr>
        <w:t xml:space="preserve"> </w:t>
      </w:r>
    </w:p>
    <w:p w14:paraId="3154AF30" w14:textId="2E1FB025" w:rsidR="003A3BBB" w:rsidRPr="004406B2" w:rsidRDefault="0019087E" w:rsidP="004406B2">
      <w:pPr>
        <w:spacing w:line="276" w:lineRule="auto"/>
        <w:ind w:firstLine="708"/>
        <w:jc w:val="both"/>
        <w:rPr>
          <w:rFonts w:ascii="Tahoma" w:hAnsi="Tahoma" w:cs="Tahoma"/>
          <w:lang w:val="es-ES_tradnl"/>
        </w:rPr>
      </w:pPr>
      <w:r w:rsidRPr="004406B2">
        <w:rPr>
          <w:rFonts w:ascii="Tahoma" w:hAnsi="Tahoma" w:cs="Tahoma"/>
          <w:color w:val="000000"/>
          <w:lang w:val="es-ES_tradnl"/>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w:t>
      </w:r>
      <w:r w:rsidRPr="004406B2">
        <w:rPr>
          <w:rFonts w:ascii="Tahoma" w:hAnsi="Tahoma" w:cs="Tahoma"/>
          <w:color w:val="000000"/>
          <w:lang w:val="es-ES_tradnl"/>
        </w:rPr>
        <w:lastRenderedPageBreak/>
        <w:t>de autos o sentencias</w:t>
      </w:r>
      <w:r w:rsidR="00766B8A" w:rsidRPr="004406B2">
        <w:rPr>
          <w:rFonts w:ascii="Tahoma" w:hAnsi="Tahoma" w:cs="Tahoma"/>
          <w:color w:val="000000"/>
          <w:lang w:val="es-ES_tradnl"/>
        </w:rPr>
        <w:t xml:space="preserve">, </w:t>
      </w:r>
      <w:r w:rsidR="00766B8A" w:rsidRPr="004406B2">
        <w:rPr>
          <w:rFonts w:ascii="Tahoma" w:hAnsi="Tahoma" w:cs="Tahoma"/>
          <w:color w:val="000000"/>
        </w:rPr>
        <w:t xml:space="preserve">la Sala </w:t>
      </w:r>
      <w:r w:rsidR="00774D3E" w:rsidRPr="004406B2">
        <w:rPr>
          <w:rFonts w:ascii="Tahoma" w:hAnsi="Tahoma" w:cs="Tahoma"/>
          <w:color w:val="000000"/>
        </w:rPr>
        <w:t xml:space="preserve">Primera </w:t>
      </w:r>
      <w:r w:rsidR="00766B8A" w:rsidRPr="004406B2">
        <w:rPr>
          <w:rFonts w:ascii="Tahoma" w:hAnsi="Tahoma" w:cs="Tahoma"/>
          <w:color w:val="000000"/>
        </w:rPr>
        <w:t xml:space="preserve">de </w:t>
      </w:r>
      <w:r w:rsidR="00766B8A" w:rsidRPr="004406B2">
        <w:rPr>
          <w:rFonts w:ascii="Tahoma" w:hAnsi="Tahoma" w:cs="Tahoma"/>
        </w:rPr>
        <w:t xml:space="preserve">Decisión Laboral </w:t>
      </w:r>
      <w:r w:rsidR="00FA3AC2" w:rsidRPr="004406B2">
        <w:rPr>
          <w:rFonts w:ascii="Tahoma" w:hAnsi="Tahoma" w:cs="Tahoma"/>
          <w:color w:val="000000"/>
          <w:lang w:val="es-ES_tradnl"/>
        </w:rPr>
        <w:t xml:space="preserve">del </w:t>
      </w:r>
      <w:r w:rsidR="00FA3AC2" w:rsidRPr="00F02CEC">
        <w:rPr>
          <w:rFonts w:ascii="Tahoma" w:hAnsi="Tahoma" w:cs="Tahoma"/>
          <w:color w:val="000000"/>
          <w:lang w:val="es-ES_tradnl"/>
        </w:rPr>
        <w:t xml:space="preserve">Tribunal Superior de Pereira, </w:t>
      </w:r>
      <w:r w:rsidR="00766B8A" w:rsidRPr="00F02CEC">
        <w:rPr>
          <w:rFonts w:ascii="Tahoma" w:hAnsi="Tahoma" w:cs="Tahoma"/>
        </w:rPr>
        <w:t xml:space="preserve">integrada por las Magistradas </w:t>
      </w:r>
      <w:r w:rsidR="00766B8A" w:rsidRPr="00F02CEC">
        <w:rPr>
          <w:rFonts w:ascii="Tahoma" w:hAnsi="Tahoma" w:cs="Tahoma"/>
          <w:bCs/>
        </w:rPr>
        <w:t>ANA LUCÍA CAICEDO CALDERÓN</w:t>
      </w:r>
      <w:r w:rsidR="00E70D76" w:rsidRPr="00F02CEC">
        <w:rPr>
          <w:rFonts w:ascii="Tahoma" w:hAnsi="Tahoma" w:cs="Tahoma"/>
        </w:rPr>
        <w:t xml:space="preserve">, </w:t>
      </w:r>
      <w:r w:rsidR="00766B8A" w:rsidRPr="00F02CEC">
        <w:rPr>
          <w:rFonts w:ascii="Tahoma" w:hAnsi="Tahoma" w:cs="Tahoma"/>
        </w:rPr>
        <w:t xml:space="preserve">como </w:t>
      </w:r>
      <w:r w:rsidR="00E70D76" w:rsidRPr="00F02CEC">
        <w:rPr>
          <w:rFonts w:ascii="Tahoma" w:hAnsi="Tahoma" w:cs="Tahoma"/>
        </w:rPr>
        <w:t>p</w:t>
      </w:r>
      <w:r w:rsidR="00766B8A" w:rsidRPr="00F02CEC">
        <w:rPr>
          <w:rFonts w:ascii="Tahoma" w:hAnsi="Tahoma" w:cs="Tahoma"/>
        </w:rPr>
        <w:t xml:space="preserve">onente, </w:t>
      </w:r>
      <w:r w:rsidR="00E70D76" w:rsidRPr="00F02CEC">
        <w:rPr>
          <w:rFonts w:ascii="Tahoma" w:hAnsi="Tahoma" w:cs="Tahoma"/>
        </w:rPr>
        <w:t xml:space="preserve">y </w:t>
      </w:r>
      <w:r w:rsidR="00766B8A" w:rsidRPr="00F02CEC">
        <w:rPr>
          <w:rFonts w:ascii="Tahoma" w:hAnsi="Tahoma" w:cs="Tahoma"/>
          <w:bCs/>
        </w:rPr>
        <w:t>OLGA LUCÍA HOYOS SEPÚLVEDA</w:t>
      </w:r>
      <w:r w:rsidR="00E70D76" w:rsidRPr="00F02CEC">
        <w:rPr>
          <w:rFonts w:ascii="Tahoma" w:hAnsi="Tahoma" w:cs="Tahoma"/>
        </w:rPr>
        <w:t xml:space="preserve">, </w:t>
      </w:r>
      <w:r w:rsidR="00766B8A" w:rsidRPr="00F02CEC">
        <w:rPr>
          <w:rFonts w:ascii="Tahoma" w:hAnsi="Tahoma" w:cs="Tahoma"/>
        </w:rPr>
        <w:t xml:space="preserve">y el Magistrado </w:t>
      </w:r>
      <w:r w:rsidR="0012133A" w:rsidRPr="00F02CEC">
        <w:rPr>
          <w:rFonts w:ascii="Tahoma" w:hAnsi="Tahoma" w:cs="Tahoma"/>
          <w:bCs/>
        </w:rPr>
        <w:t>GERMÁN DARIO GÓEZ VINASCO</w:t>
      </w:r>
      <w:r w:rsidR="00766B8A" w:rsidRPr="00F02CEC">
        <w:rPr>
          <w:rFonts w:ascii="Tahoma" w:hAnsi="Tahoma" w:cs="Tahoma"/>
        </w:rPr>
        <w:t>, procede a proferir la siguiente sentencia escrita</w:t>
      </w:r>
      <w:r w:rsidR="00766B8A" w:rsidRPr="00F02CEC">
        <w:rPr>
          <w:rStyle w:val="normaltextrun"/>
          <w:rFonts w:ascii="Tahoma" w:hAnsi="Tahoma" w:cs="Tahoma"/>
        </w:rPr>
        <w:t xml:space="preserve"> </w:t>
      </w:r>
      <w:r w:rsidR="00766B8A" w:rsidRPr="00F02CEC">
        <w:rPr>
          <w:rFonts w:ascii="Tahoma" w:hAnsi="Tahoma" w:cs="Tahoma"/>
        </w:rPr>
        <w:t>dentro</w:t>
      </w:r>
      <w:r w:rsidR="00766B8A" w:rsidRPr="00F02CEC">
        <w:rPr>
          <w:rStyle w:val="normaltextrun"/>
          <w:rFonts w:ascii="Tahoma" w:hAnsi="Tahoma" w:cs="Tahoma"/>
        </w:rPr>
        <w:t xml:space="preserve"> del</w:t>
      </w:r>
      <w:r w:rsidR="00766B8A" w:rsidRPr="004406B2">
        <w:rPr>
          <w:rStyle w:val="normaltextrun"/>
          <w:rFonts w:ascii="Tahoma" w:hAnsi="Tahoma" w:cs="Tahoma"/>
        </w:rPr>
        <w:t xml:space="preserve"> proceso </w:t>
      </w:r>
      <w:r w:rsidR="00766B8A" w:rsidRPr="00583424">
        <w:rPr>
          <w:rStyle w:val="normaltextrun"/>
          <w:rFonts w:ascii="Tahoma" w:hAnsi="Tahoma" w:cs="Tahoma"/>
          <w:b/>
        </w:rPr>
        <w:t>ordinario laboral</w:t>
      </w:r>
      <w:r w:rsidR="00766B8A" w:rsidRPr="004406B2">
        <w:rPr>
          <w:rStyle w:val="normaltextrun"/>
          <w:rFonts w:ascii="Tahoma" w:hAnsi="Tahoma" w:cs="Tahoma"/>
        </w:rPr>
        <w:t xml:space="preserve"> instaurado por</w:t>
      </w:r>
      <w:r w:rsidR="003A3BBB" w:rsidRPr="004406B2">
        <w:rPr>
          <w:rFonts w:ascii="Tahoma" w:hAnsi="Tahoma" w:cs="Tahoma"/>
          <w:lang w:val="es-ES_tradnl"/>
        </w:rPr>
        <w:t xml:space="preserve"> </w:t>
      </w:r>
      <w:r w:rsidR="00F02CEC" w:rsidRPr="004406B2">
        <w:rPr>
          <w:rFonts w:ascii="Tahoma" w:hAnsi="Tahoma" w:cs="Tahoma"/>
          <w:b/>
          <w:lang w:val="es-ES_tradnl"/>
        </w:rPr>
        <w:t xml:space="preserve">Jesús Arcadio Echeverry Granada </w:t>
      </w:r>
      <w:r w:rsidR="000B3696" w:rsidRPr="004406B2">
        <w:rPr>
          <w:rFonts w:ascii="Tahoma" w:hAnsi="Tahoma" w:cs="Tahoma"/>
          <w:bCs/>
          <w:lang w:val="es-ES_tradnl"/>
        </w:rPr>
        <w:t>contra la</w:t>
      </w:r>
      <w:r w:rsidR="000B3696" w:rsidRPr="004406B2">
        <w:rPr>
          <w:rFonts w:ascii="Tahoma" w:hAnsi="Tahoma" w:cs="Tahoma"/>
          <w:b/>
          <w:lang w:val="es-ES_tradnl"/>
        </w:rPr>
        <w:t xml:space="preserve"> </w:t>
      </w:r>
      <w:r w:rsidR="00F02CEC" w:rsidRPr="004406B2">
        <w:rPr>
          <w:rFonts w:ascii="Tahoma" w:hAnsi="Tahoma" w:cs="Tahoma"/>
          <w:b/>
          <w:lang w:val="es-ES_tradnl"/>
        </w:rPr>
        <w:t xml:space="preserve">Sociedad Administradora de Fondos de Pensiones y Cesantías </w:t>
      </w:r>
      <w:r w:rsidR="00D637D8" w:rsidRPr="004406B2">
        <w:rPr>
          <w:rFonts w:ascii="Tahoma" w:hAnsi="Tahoma" w:cs="Tahoma"/>
          <w:b/>
          <w:lang w:val="es-ES_tradnl"/>
        </w:rPr>
        <w:t xml:space="preserve">PORVENIR </w:t>
      </w:r>
      <w:r w:rsidR="000B3696" w:rsidRPr="004406B2">
        <w:rPr>
          <w:rFonts w:ascii="Tahoma" w:hAnsi="Tahoma" w:cs="Tahoma"/>
          <w:b/>
          <w:lang w:val="es-ES_tradnl"/>
        </w:rPr>
        <w:t>S.A.</w:t>
      </w:r>
      <w:r w:rsidR="000B3696" w:rsidRPr="004406B2">
        <w:rPr>
          <w:rFonts w:ascii="Tahoma" w:hAnsi="Tahoma" w:cs="Tahoma"/>
          <w:bCs/>
          <w:lang w:val="es-ES_tradnl"/>
        </w:rPr>
        <w:t>,</w:t>
      </w:r>
      <w:r w:rsidR="000B3696" w:rsidRPr="004406B2">
        <w:rPr>
          <w:rFonts w:ascii="Tahoma" w:hAnsi="Tahoma" w:cs="Tahoma"/>
          <w:b/>
          <w:lang w:val="es-ES_tradnl"/>
        </w:rPr>
        <w:t xml:space="preserve"> </w:t>
      </w:r>
      <w:r w:rsidR="000B3696" w:rsidRPr="004406B2">
        <w:rPr>
          <w:rFonts w:ascii="Tahoma" w:hAnsi="Tahoma" w:cs="Tahoma"/>
          <w:bCs/>
          <w:lang w:val="es-ES_tradnl"/>
        </w:rPr>
        <w:t>al cual fue vinculado de oficio y en calidad de litisconsorte al</w:t>
      </w:r>
      <w:r w:rsidR="000B3696" w:rsidRPr="004406B2">
        <w:rPr>
          <w:rFonts w:ascii="Tahoma" w:hAnsi="Tahoma" w:cs="Tahoma"/>
          <w:b/>
          <w:lang w:val="es-ES_tradnl"/>
        </w:rPr>
        <w:t xml:space="preserve"> </w:t>
      </w:r>
      <w:r w:rsidR="00F02CEC" w:rsidRPr="004406B2">
        <w:rPr>
          <w:rFonts w:ascii="Tahoma" w:hAnsi="Tahoma" w:cs="Tahoma"/>
          <w:b/>
          <w:lang w:val="es-ES_tradnl"/>
        </w:rPr>
        <w:t xml:space="preserve">Municipio de Pereira </w:t>
      </w:r>
      <w:r w:rsidR="000B3696" w:rsidRPr="004406B2">
        <w:rPr>
          <w:rFonts w:ascii="Tahoma" w:hAnsi="Tahoma" w:cs="Tahoma"/>
          <w:b/>
          <w:lang w:val="es-ES_tradnl"/>
        </w:rPr>
        <w:t xml:space="preserve">– </w:t>
      </w:r>
      <w:r w:rsidR="00F02CEC" w:rsidRPr="004406B2">
        <w:rPr>
          <w:rFonts w:ascii="Tahoma" w:hAnsi="Tahoma" w:cs="Tahoma"/>
          <w:b/>
          <w:lang w:val="es-ES_tradnl"/>
        </w:rPr>
        <w:t>Secretaria de Educación</w:t>
      </w:r>
      <w:r w:rsidR="00F02CEC" w:rsidRPr="004406B2">
        <w:rPr>
          <w:rFonts w:ascii="Tahoma" w:hAnsi="Tahoma" w:cs="Tahoma"/>
          <w:bCs/>
          <w:lang w:val="es-ES_tradnl"/>
        </w:rPr>
        <w:t xml:space="preserve">, </w:t>
      </w:r>
      <w:r w:rsidR="000B3696" w:rsidRPr="004406B2">
        <w:rPr>
          <w:rFonts w:ascii="Tahoma" w:hAnsi="Tahoma" w:cs="Tahoma"/>
          <w:bCs/>
          <w:lang w:val="es-ES_tradnl"/>
        </w:rPr>
        <w:t>y la</w:t>
      </w:r>
      <w:r w:rsidR="000B3696" w:rsidRPr="004406B2">
        <w:rPr>
          <w:rFonts w:ascii="Tahoma" w:hAnsi="Tahoma" w:cs="Tahoma"/>
          <w:b/>
          <w:lang w:val="es-ES_tradnl"/>
        </w:rPr>
        <w:t xml:space="preserve"> FIDUPREVISORA </w:t>
      </w:r>
      <w:r w:rsidR="000B3696" w:rsidRPr="004406B2">
        <w:rPr>
          <w:rFonts w:ascii="Tahoma" w:hAnsi="Tahoma" w:cs="Tahoma"/>
          <w:bCs/>
          <w:lang w:val="es-ES_tradnl"/>
        </w:rPr>
        <w:t>como vocera y administradora del</w:t>
      </w:r>
      <w:r w:rsidR="000B3696" w:rsidRPr="004406B2">
        <w:rPr>
          <w:rFonts w:ascii="Tahoma" w:hAnsi="Tahoma" w:cs="Tahoma"/>
          <w:b/>
          <w:lang w:val="es-ES_tradnl"/>
        </w:rPr>
        <w:t xml:space="preserve"> </w:t>
      </w:r>
      <w:r w:rsidR="00F02CEC" w:rsidRPr="004406B2">
        <w:rPr>
          <w:rFonts w:ascii="Tahoma" w:hAnsi="Tahoma" w:cs="Tahoma"/>
          <w:b/>
          <w:lang w:val="es-ES_tradnl"/>
        </w:rPr>
        <w:t xml:space="preserve">Fondo Nacional de Prestaciones del Magisterio </w:t>
      </w:r>
      <w:r w:rsidR="000B3696" w:rsidRPr="004406B2">
        <w:rPr>
          <w:rFonts w:ascii="Tahoma" w:hAnsi="Tahoma" w:cs="Tahoma"/>
          <w:b/>
          <w:lang w:val="es-ES_tradnl"/>
        </w:rPr>
        <w:t>FOMAG</w:t>
      </w:r>
      <w:r w:rsidR="000B3696" w:rsidRPr="004406B2">
        <w:rPr>
          <w:rFonts w:ascii="Tahoma" w:hAnsi="Tahoma" w:cs="Tahoma"/>
          <w:bCs/>
          <w:lang w:val="es-ES_tradnl"/>
        </w:rPr>
        <w:t xml:space="preserve">, así como </w:t>
      </w:r>
      <w:r w:rsidR="00F02CEC" w:rsidRPr="00F02CEC">
        <w:rPr>
          <w:rFonts w:ascii="Tahoma" w:hAnsi="Tahoma" w:cs="Tahoma"/>
          <w:b/>
          <w:bCs/>
          <w:lang w:val="es-ES_tradnl"/>
        </w:rPr>
        <w:t xml:space="preserve">La </w:t>
      </w:r>
      <w:r w:rsidR="00D637D8" w:rsidRPr="00F02CEC">
        <w:rPr>
          <w:rFonts w:ascii="Tahoma" w:hAnsi="Tahoma" w:cs="Tahoma"/>
          <w:b/>
          <w:lang w:val="es-ES_tradnl"/>
        </w:rPr>
        <w:t>Nación</w:t>
      </w:r>
      <w:r w:rsidR="00F02CEC" w:rsidRPr="004406B2">
        <w:rPr>
          <w:rFonts w:ascii="Tahoma" w:hAnsi="Tahoma" w:cs="Tahoma"/>
          <w:b/>
          <w:lang w:val="es-ES_tradnl"/>
        </w:rPr>
        <w:t xml:space="preserve"> </w:t>
      </w:r>
      <w:r w:rsidR="000B3696" w:rsidRPr="004406B2">
        <w:rPr>
          <w:rFonts w:ascii="Tahoma" w:hAnsi="Tahoma" w:cs="Tahoma"/>
          <w:b/>
          <w:lang w:val="es-ES_tradnl"/>
        </w:rPr>
        <w:t xml:space="preserve">- </w:t>
      </w:r>
      <w:r w:rsidR="00F02CEC" w:rsidRPr="004406B2">
        <w:rPr>
          <w:rFonts w:ascii="Tahoma" w:hAnsi="Tahoma" w:cs="Tahoma"/>
          <w:b/>
          <w:lang w:val="es-ES_tradnl"/>
        </w:rPr>
        <w:t xml:space="preserve">Ministerio de </w:t>
      </w:r>
      <w:r w:rsidR="00D637D8" w:rsidRPr="004406B2">
        <w:rPr>
          <w:rFonts w:ascii="Tahoma" w:hAnsi="Tahoma" w:cs="Tahoma"/>
          <w:b/>
          <w:lang w:val="es-ES_tradnl"/>
        </w:rPr>
        <w:t>Educación</w:t>
      </w:r>
      <w:r w:rsidR="00F02CEC" w:rsidRPr="004406B2">
        <w:rPr>
          <w:rFonts w:ascii="Tahoma" w:hAnsi="Tahoma" w:cs="Tahoma"/>
          <w:b/>
          <w:lang w:val="es-ES_tradnl"/>
        </w:rPr>
        <w:t xml:space="preserve"> Nacional</w:t>
      </w:r>
      <w:r w:rsidR="00F02CEC">
        <w:rPr>
          <w:rFonts w:ascii="Tahoma" w:hAnsi="Tahoma" w:cs="Tahoma"/>
          <w:b/>
          <w:lang w:val="es-ES_tradnl"/>
        </w:rPr>
        <w:t xml:space="preserve"> – </w:t>
      </w:r>
      <w:r w:rsidR="00F02CEC" w:rsidRPr="004406B2">
        <w:rPr>
          <w:rFonts w:ascii="Tahoma" w:hAnsi="Tahoma" w:cs="Tahoma"/>
          <w:b/>
          <w:lang w:val="es-ES_tradnl"/>
        </w:rPr>
        <w:t>Fondo de Prestaciones Sociales del Magisterio</w:t>
      </w:r>
      <w:r w:rsidR="001A3764" w:rsidRPr="00F02CEC">
        <w:rPr>
          <w:rFonts w:ascii="Tahoma" w:hAnsi="Tahoma" w:cs="Tahoma"/>
          <w:lang w:val="es-ES_tradnl"/>
        </w:rPr>
        <w:t>.</w:t>
      </w:r>
    </w:p>
    <w:p w14:paraId="1BA0E532" w14:textId="6BD019AE" w:rsidR="000F57C6" w:rsidRPr="004406B2" w:rsidRDefault="000F57C6" w:rsidP="004406B2">
      <w:pPr>
        <w:spacing w:line="276" w:lineRule="auto"/>
        <w:ind w:firstLine="708"/>
        <w:jc w:val="both"/>
        <w:rPr>
          <w:rFonts w:ascii="Tahoma" w:hAnsi="Tahoma" w:cs="Tahoma"/>
          <w:b/>
          <w:lang w:val="es-ES_tradnl"/>
        </w:rPr>
      </w:pPr>
    </w:p>
    <w:p w14:paraId="29761B61" w14:textId="77777777" w:rsidR="005E54E6" w:rsidRPr="004406B2" w:rsidRDefault="005E54E6" w:rsidP="004406B2">
      <w:pPr>
        <w:spacing w:line="276" w:lineRule="auto"/>
        <w:ind w:firstLine="708"/>
        <w:jc w:val="both"/>
        <w:rPr>
          <w:rFonts w:ascii="Tahoma" w:hAnsi="Tahoma" w:cs="Tahoma"/>
          <w:b/>
          <w:lang w:val="es-ES_tradnl"/>
        </w:rPr>
      </w:pPr>
    </w:p>
    <w:p w14:paraId="3864ECFF" w14:textId="77777777" w:rsidR="00766B8A" w:rsidRPr="004406B2" w:rsidRDefault="00766B8A" w:rsidP="004406B2">
      <w:pPr>
        <w:pStyle w:val="paragraph"/>
        <w:spacing w:before="0" w:beforeAutospacing="0" w:after="0" w:afterAutospacing="0" w:line="276" w:lineRule="auto"/>
        <w:jc w:val="center"/>
        <w:textAlignment w:val="baseline"/>
        <w:rPr>
          <w:rFonts w:ascii="Tahoma" w:hAnsi="Tahoma" w:cs="Tahoma"/>
        </w:rPr>
      </w:pPr>
      <w:r w:rsidRPr="004406B2">
        <w:rPr>
          <w:rStyle w:val="normaltextrun"/>
          <w:rFonts w:ascii="Tahoma" w:hAnsi="Tahoma" w:cs="Tahoma"/>
          <w:b/>
          <w:bCs/>
          <w:color w:val="000000"/>
          <w:lang w:val="es-ES"/>
        </w:rPr>
        <w:t>PUNTO A TRATAR</w:t>
      </w:r>
    </w:p>
    <w:p w14:paraId="12E4D180" w14:textId="77777777" w:rsidR="00766B8A" w:rsidRPr="004406B2" w:rsidRDefault="00766B8A" w:rsidP="004406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5BD7CC03" w:rsidR="00766B8A" w:rsidRPr="004406B2" w:rsidRDefault="00766B8A" w:rsidP="004406B2">
      <w:pPr>
        <w:spacing w:line="276" w:lineRule="auto"/>
        <w:ind w:firstLine="708"/>
        <w:jc w:val="both"/>
        <w:rPr>
          <w:rStyle w:val="eop"/>
          <w:rFonts w:ascii="Tahoma" w:hAnsi="Tahoma" w:cs="Tahoma"/>
        </w:rPr>
      </w:pPr>
      <w:r w:rsidRPr="004406B2">
        <w:rPr>
          <w:rStyle w:val="normaltextrun"/>
          <w:rFonts w:ascii="Tahoma" w:hAnsi="Tahoma" w:cs="Tahoma"/>
        </w:rPr>
        <w:t>Por medio de esta providencia procede la Sala a</w:t>
      </w:r>
      <w:r w:rsidRPr="004406B2">
        <w:rPr>
          <w:rFonts w:ascii="Tahoma" w:hAnsi="Tahoma" w:cs="Tahoma"/>
        </w:rPr>
        <w:t xml:space="preserve"> </w:t>
      </w:r>
      <w:r w:rsidR="00C23E38" w:rsidRPr="004406B2">
        <w:rPr>
          <w:rFonts w:ascii="Tahoma" w:hAnsi="Tahoma" w:cs="Tahoma"/>
        </w:rPr>
        <w:t>re</w:t>
      </w:r>
      <w:r w:rsidR="001A3764" w:rsidRPr="004406B2">
        <w:rPr>
          <w:rFonts w:ascii="Tahoma" w:hAnsi="Tahoma" w:cs="Tahoma"/>
        </w:rPr>
        <w:t xml:space="preserve">solver </w:t>
      </w:r>
      <w:r w:rsidR="000B3696" w:rsidRPr="004406B2">
        <w:rPr>
          <w:rFonts w:ascii="Tahoma" w:hAnsi="Tahoma" w:cs="Tahoma"/>
        </w:rPr>
        <w:t>e</w:t>
      </w:r>
      <w:r w:rsidR="001A3764" w:rsidRPr="004406B2">
        <w:rPr>
          <w:rFonts w:ascii="Tahoma" w:hAnsi="Tahoma" w:cs="Tahoma"/>
        </w:rPr>
        <w:t>l</w:t>
      </w:r>
      <w:r w:rsidR="00C066D4" w:rsidRPr="004406B2">
        <w:rPr>
          <w:rFonts w:ascii="Tahoma" w:hAnsi="Tahoma" w:cs="Tahoma"/>
        </w:rPr>
        <w:t xml:space="preserve"> </w:t>
      </w:r>
      <w:r w:rsidR="001A3764" w:rsidRPr="004406B2">
        <w:rPr>
          <w:rFonts w:ascii="Tahoma" w:hAnsi="Tahoma" w:cs="Tahoma"/>
        </w:rPr>
        <w:t xml:space="preserve">recurso de apelación interpuesto por </w:t>
      </w:r>
      <w:r w:rsidR="00E47E01" w:rsidRPr="004406B2">
        <w:rPr>
          <w:rFonts w:ascii="Tahoma" w:hAnsi="Tahoma" w:cs="Tahoma"/>
        </w:rPr>
        <w:t>e</w:t>
      </w:r>
      <w:r w:rsidR="00DD49FC" w:rsidRPr="004406B2">
        <w:rPr>
          <w:rFonts w:ascii="Tahoma" w:hAnsi="Tahoma" w:cs="Tahoma"/>
        </w:rPr>
        <w:t>l</w:t>
      </w:r>
      <w:r w:rsidR="000B3696" w:rsidRPr="004406B2">
        <w:rPr>
          <w:rFonts w:ascii="Tahoma" w:hAnsi="Tahoma" w:cs="Tahoma"/>
        </w:rPr>
        <w:t xml:space="preserve"> vocer</w:t>
      </w:r>
      <w:r w:rsidR="00E47E01" w:rsidRPr="004406B2">
        <w:rPr>
          <w:rFonts w:ascii="Tahoma" w:hAnsi="Tahoma" w:cs="Tahoma"/>
        </w:rPr>
        <w:t>o</w:t>
      </w:r>
      <w:r w:rsidR="000B3696" w:rsidRPr="004406B2">
        <w:rPr>
          <w:rFonts w:ascii="Tahoma" w:hAnsi="Tahoma" w:cs="Tahoma"/>
        </w:rPr>
        <w:t xml:space="preserve"> judicial de Porvenir S.A.</w:t>
      </w:r>
      <w:r w:rsidR="006A2F7C" w:rsidRPr="004406B2">
        <w:rPr>
          <w:rFonts w:ascii="Tahoma" w:hAnsi="Tahoma" w:cs="Tahoma"/>
        </w:rPr>
        <w:t xml:space="preserve"> </w:t>
      </w:r>
      <w:r w:rsidR="00DD49FC" w:rsidRPr="004406B2">
        <w:rPr>
          <w:rFonts w:ascii="Tahoma" w:hAnsi="Tahoma" w:cs="Tahoma"/>
        </w:rPr>
        <w:t xml:space="preserve">en contra de la </w:t>
      </w:r>
      <w:r w:rsidR="00462EB4" w:rsidRPr="004406B2">
        <w:rPr>
          <w:rFonts w:ascii="Tahoma" w:hAnsi="Tahoma" w:cs="Tahoma"/>
        </w:rPr>
        <w:t xml:space="preserve">sentencia </w:t>
      </w:r>
      <w:r w:rsidRPr="004406B2">
        <w:rPr>
          <w:rFonts w:ascii="Tahoma" w:hAnsi="Tahoma" w:cs="Tahoma"/>
        </w:rPr>
        <w:t xml:space="preserve">emitida por el Juzgado </w:t>
      </w:r>
      <w:r w:rsidR="00CA19EA" w:rsidRPr="004406B2">
        <w:rPr>
          <w:rFonts w:ascii="Tahoma" w:hAnsi="Tahoma" w:cs="Tahoma"/>
        </w:rPr>
        <w:t xml:space="preserve">Primero </w:t>
      </w:r>
      <w:r w:rsidRPr="004406B2">
        <w:rPr>
          <w:rFonts w:ascii="Tahoma" w:hAnsi="Tahoma" w:cs="Tahoma"/>
        </w:rPr>
        <w:t xml:space="preserve">Laboral del Circuito de Pereira el </w:t>
      </w:r>
      <w:r w:rsidR="000B3696" w:rsidRPr="004406B2">
        <w:rPr>
          <w:rFonts w:ascii="Tahoma" w:hAnsi="Tahoma" w:cs="Tahoma"/>
        </w:rPr>
        <w:t>5 de septiembre</w:t>
      </w:r>
      <w:r w:rsidR="00CA19EA" w:rsidRPr="004406B2">
        <w:rPr>
          <w:rFonts w:ascii="Tahoma" w:hAnsi="Tahoma" w:cs="Tahoma"/>
        </w:rPr>
        <w:t xml:space="preserve"> </w:t>
      </w:r>
      <w:r w:rsidR="00462EB4" w:rsidRPr="004406B2">
        <w:rPr>
          <w:rFonts w:ascii="Tahoma" w:hAnsi="Tahoma" w:cs="Tahoma"/>
        </w:rPr>
        <w:t>de 202</w:t>
      </w:r>
      <w:r w:rsidR="00CA19EA" w:rsidRPr="004406B2">
        <w:rPr>
          <w:rFonts w:ascii="Tahoma" w:hAnsi="Tahoma" w:cs="Tahoma"/>
        </w:rPr>
        <w:t>2</w:t>
      </w:r>
      <w:r w:rsidRPr="004406B2">
        <w:rPr>
          <w:rFonts w:ascii="Tahoma" w:hAnsi="Tahoma" w:cs="Tahoma"/>
        </w:rPr>
        <w:t xml:space="preserve">. </w:t>
      </w:r>
      <w:r w:rsidRPr="004406B2">
        <w:rPr>
          <w:rStyle w:val="normaltextrun"/>
          <w:rFonts w:ascii="Tahoma" w:hAnsi="Tahoma" w:cs="Tahoma"/>
        </w:rPr>
        <w:t>Para ello se tiene en cuenta lo siguiente: </w:t>
      </w:r>
      <w:r w:rsidRPr="004406B2">
        <w:rPr>
          <w:rStyle w:val="eop"/>
          <w:rFonts w:ascii="Tahoma" w:hAnsi="Tahoma" w:cs="Tahoma"/>
        </w:rPr>
        <w:t> </w:t>
      </w:r>
    </w:p>
    <w:p w14:paraId="258916DF" w14:textId="330512C2" w:rsidR="00A563DE" w:rsidRPr="004406B2" w:rsidRDefault="00A563DE" w:rsidP="004406B2">
      <w:pPr>
        <w:spacing w:line="276" w:lineRule="auto"/>
        <w:jc w:val="both"/>
        <w:rPr>
          <w:rFonts w:ascii="Tahoma" w:hAnsi="Tahoma" w:cs="Tahoma"/>
        </w:rPr>
      </w:pPr>
    </w:p>
    <w:p w14:paraId="64AD70FE" w14:textId="77777777" w:rsidR="005E54E6" w:rsidRPr="004406B2" w:rsidRDefault="005E54E6" w:rsidP="004406B2">
      <w:pPr>
        <w:spacing w:line="276" w:lineRule="auto"/>
        <w:jc w:val="both"/>
        <w:rPr>
          <w:rFonts w:ascii="Tahoma" w:hAnsi="Tahoma" w:cs="Tahoma"/>
        </w:rPr>
      </w:pPr>
    </w:p>
    <w:p w14:paraId="11EB8792" w14:textId="3D4D123D" w:rsidR="003A3BBB" w:rsidRPr="004406B2" w:rsidRDefault="003A3BBB" w:rsidP="004406B2">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4406B2">
        <w:rPr>
          <w:rFonts w:ascii="Tahoma" w:hAnsi="Tahoma" w:cs="Tahoma"/>
          <w:b/>
        </w:rPr>
        <w:t xml:space="preserve">La demanda y </w:t>
      </w:r>
      <w:r w:rsidR="00A563DE" w:rsidRPr="004406B2">
        <w:rPr>
          <w:rFonts w:ascii="Tahoma" w:hAnsi="Tahoma" w:cs="Tahoma"/>
          <w:b/>
        </w:rPr>
        <w:t>la</w:t>
      </w:r>
      <w:r w:rsidRPr="004406B2">
        <w:rPr>
          <w:rFonts w:ascii="Tahoma" w:hAnsi="Tahoma" w:cs="Tahoma"/>
          <w:b/>
        </w:rPr>
        <w:t xml:space="preserve"> contestación</w:t>
      </w:r>
      <w:r w:rsidR="00A563DE" w:rsidRPr="004406B2">
        <w:rPr>
          <w:rFonts w:ascii="Tahoma" w:hAnsi="Tahoma" w:cs="Tahoma"/>
          <w:b/>
        </w:rPr>
        <w:t xml:space="preserve"> de la demanda</w:t>
      </w:r>
    </w:p>
    <w:p w14:paraId="13BCB206" w14:textId="77777777" w:rsidR="00A82F87" w:rsidRPr="004406B2" w:rsidRDefault="00A82F87" w:rsidP="004406B2">
      <w:pPr>
        <w:widowControl w:val="0"/>
        <w:autoSpaceDE w:val="0"/>
        <w:autoSpaceDN w:val="0"/>
        <w:adjustRightInd w:val="0"/>
        <w:spacing w:line="276" w:lineRule="auto"/>
        <w:ind w:firstLine="708"/>
        <w:jc w:val="both"/>
        <w:rPr>
          <w:rFonts w:ascii="Tahoma" w:hAnsi="Tahoma" w:cs="Tahoma"/>
        </w:rPr>
      </w:pPr>
    </w:p>
    <w:p w14:paraId="43B8F23F" w14:textId="531029D5" w:rsidR="000B3696" w:rsidRPr="004406B2" w:rsidRDefault="00236CF2"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P</w:t>
      </w:r>
      <w:r w:rsidR="000B3696" w:rsidRPr="004406B2">
        <w:rPr>
          <w:rFonts w:ascii="Tahoma" w:hAnsi="Tahoma" w:cs="Tahoma"/>
        </w:rPr>
        <w:t xml:space="preserve">retende el señor </w:t>
      </w:r>
      <w:r w:rsidRPr="004406B2">
        <w:rPr>
          <w:rFonts w:ascii="Tahoma" w:hAnsi="Tahoma" w:cs="Tahoma"/>
        </w:rPr>
        <w:t>Jesús Arcadio Echeverry Granada</w:t>
      </w:r>
      <w:r w:rsidR="001F0203" w:rsidRPr="004406B2">
        <w:rPr>
          <w:rFonts w:ascii="Tahoma" w:hAnsi="Tahoma" w:cs="Tahoma"/>
        </w:rPr>
        <w:t xml:space="preserve"> que</w:t>
      </w:r>
      <w:r w:rsidRPr="004406B2">
        <w:rPr>
          <w:rFonts w:ascii="Tahoma" w:hAnsi="Tahoma" w:cs="Tahoma"/>
        </w:rPr>
        <w:t xml:space="preserve"> </w:t>
      </w:r>
      <w:r w:rsidR="000B3696" w:rsidRPr="004406B2">
        <w:rPr>
          <w:rFonts w:ascii="Tahoma" w:hAnsi="Tahoma" w:cs="Tahoma"/>
        </w:rPr>
        <w:t>se condene a Porvenir S.A. al reconocimiento y pago de la devolución de saldos, junto con los rendimientos financieros y los intereses de mora a la tasa máxima legal, al considerar que estos son compatibles con la devolución de saldos que reclama del sistema general de pensiones</w:t>
      </w:r>
      <w:r w:rsidR="008713FB" w:rsidRPr="004406B2">
        <w:rPr>
          <w:rFonts w:ascii="Tahoma" w:hAnsi="Tahoma" w:cs="Tahoma"/>
        </w:rPr>
        <w:t>.</w:t>
      </w:r>
    </w:p>
    <w:p w14:paraId="29323254" w14:textId="77777777" w:rsidR="000B3696" w:rsidRPr="004406B2" w:rsidRDefault="000B3696" w:rsidP="004406B2">
      <w:pPr>
        <w:widowControl w:val="0"/>
        <w:autoSpaceDE w:val="0"/>
        <w:autoSpaceDN w:val="0"/>
        <w:adjustRightInd w:val="0"/>
        <w:spacing w:line="276" w:lineRule="auto"/>
        <w:ind w:firstLine="708"/>
        <w:jc w:val="both"/>
        <w:rPr>
          <w:rFonts w:ascii="Tahoma" w:hAnsi="Tahoma" w:cs="Tahoma"/>
        </w:rPr>
      </w:pPr>
    </w:p>
    <w:p w14:paraId="211D8CBF" w14:textId="4F927769" w:rsidR="000B3696" w:rsidRPr="004406B2" w:rsidRDefault="000B3696"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Las anteriores pretensiones están sustentadas en que nació el 20 de agosto de 1951</w:t>
      </w:r>
      <w:r w:rsidR="001C4647" w:rsidRPr="004406B2">
        <w:rPr>
          <w:rFonts w:ascii="Tahoma" w:hAnsi="Tahoma" w:cs="Tahoma"/>
        </w:rPr>
        <w:t xml:space="preserve"> y q</w:t>
      </w:r>
      <w:r w:rsidRPr="004406B2">
        <w:rPr>
          <w:rFonts w:ascii="Tahoma" w:hAnsi="Tahoma" w:cs="Tahoma"/>
        </w:rPr>
        <w:t xml:space="preserve">ue prestó sus servicios como trabajador particular a la Universidad Tecnológica de Pereira, habiendo cotizado al régimen de ahorro individual administrado por Porvenir por un periodo equivalente a 1043 días, </w:t>
      </w:r>
      <w:r w:rsidR="00CB6F31" w:rsidRPr="004406B2">
        <w:rPr>
          <w:rFonts w:ascii="Tahoma" w:hAnsi="Tahoma" w:cs="Tahoma"/>
        </w:rPr>
        <w:t xml:space="preserve">equivalentes a </w:t>
      </w:r>
      <w:r w:rsidRPr="004406B2">
        <w:rPr>
          <w:rFonts w:ascii="Tahoma" w:hAnsi="Tahoma" w:cs="Tahoma"/>
        </w:rPr>
        <w:t>149 semanas.</w:t>
      </w:r>
    </w:p>
    <w:p w14:paraId="05AD44BF" w14:textId="77777777" w:rsidR="000B3696" w:rsidRPr="004406B2" w:rsidRDefault="000B3696" w:rsidP="004406B2">
      <w:pPr>
        <w:widowControl w:val="0"/>
        <w:autoSpaceDE w:val="0"/>
        <w:autoSpaceDN w:val="0"/>
        <w:adjustRightInd w:val="0"/>
        <w:spacing w:line="276" w:lineRule="auto"/>
        <w:ind w:firstLine="708"/>
        <w:jc w:val="both"/>
        <w:rPr>
          <w:rFonts w:ascii="Tahoma" w:hAnsi="Tahoma" w:cs="Tahoma"/>
        </w:rPr>
      </w:pPr>
    </w:p>
    <w:p w14:paraId="63330031" w14:textId="6C9CC42F" w:rsidR="000B3696"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Agrega q</w:t>
      </w:r>
      <w:r w:rsidR="000B3696" w:rsidRPr="004406B2">
        <w:rPr>
          <w:rFonts w:ascii="Tahoma" w:hAnsi="Tahoma" w:cs="Tahoma"/>
        </w:rPr>
        <w:t xml:space="preserve">ue solicitó ante Porvenir la pensión de vejez y/o devolución de saldos de la cuenta de ahorro individual, la cual fue rechazada por la AFP mediante oficio del </w:t>
      </w:r>
      <w:r w:rsidR="000B3696" w:rsidRPr="004406B2">
        <w:rPr>
          <w:rFonts w:ascii="Tahoma" w:hAnsi="Tahoma" w:cs="Tahoma"/>
          <w:b/>
          <w:bCs/>
        </w:rPr>
        <w:t>5 de diciembre de 2013</w:t>
      </w:r>
      <w:r w:rsidR="000B3696" w:rsidRPr="004406B2">
        <w:rPr>
          <w:rFonts w:ascii="Tahoma" w:hAnsi="Tahoma" w:cs="Tahoma"/>
        </w:rPr>
        <w:t>, indicándole que la misma no era procedente al haber sido pensionado por la Secretaría de Educación Municipal, la cual</w:t>
      </w:r>
      <w:r w:rsidR="00597ED7" w:rsidRPr="004406B2">
        <w:rPr>
          <w:rFonts w:ascii="Tahoma" w:hAnsi="Tahoma" w:cs="Tahoma"/>
        </w:rPr>
        <w:t xml:space="preserve"> consideró</w:t>
      </w:r>
      <w:r w:rsidR="000B3696" w:rsidRPr="004406B2">
        <w:rPr>
          <w:rFonts w:ascii="Tahoma" w:hAnsi="Tahoma" w:cs="Tahoma"/>
        </w:rPr>
        <w:t xml:space="preserve"> los tiempos comprendidos entre el 5 de marzo de 1974 al 20 de agosto de 2006, </w:t>
      </w:r>
      <w:r w:rsidR="00116799" w:rsidRPr="004406B2">
        <w:rPr>
          <w:rFonts w:ascii="Tahoma" w:hAnsi="Tahoma" w:cs="Tahoma"/>
        </w:rPr>
        <w:t xml:space="preserve">en el que están </w:t>
      </w:r>
      <w:r w:rsidR="000B3696" w:rsidRPr="004406B2">
        <w:rPr>
          <w:rFonts w:ascii="Tahoma" w:hAnsi="Tahoma" w:cs="Tahoma"/>
        </w:rPr>
        <w:t xml:space="preserve">los periodos cotizados a Porvenir por </w:t>
      </w:r>
      <w:r w:rsidR="003063F8" w:rsidRPr="004406B2">
        <w:rPr>
          <w:rFonts w:ascii="Tahoma" w:hAnsi="Tahoma" w:cs="Tahoma"/>
        </w:rPr>
        <w:t>la UTP</w:t>
      </w:r>
      <w:r w:rsidR="00597ED7" w:rsidRPr="004406B2">
        <w:rPr>
          <w:rFonts w:ascii="Tahoma" w:hAnsi="Tahoma" w:cs="Tahoma"/>
        </w:rPr>
        <w:t>,</w:t>
      </w:r>
      <w:r w:rsidR="000B3696" w:rsidRPr="004406B2">
        <w:rPr>
          <w:rFonts w:ascii="Tahoma" w:hAnsi="Tahoma" w:cs="Tahoma"/>
        </w:rPr>
        <w:t xml:space="preserve"> como entidad estatal por los periodos de noviembre de 1996 a agosto de 2001.</w:t>
      </w:r>
    </w:p>
    <w:p w14:paraId="369B4978" w14:textId="77777777" w:rsidR="000B3696" w:rsidRPr="004406B2" w:rsidRDefault="000B3696" w:rsidP="004406B2">
      <w:pPr>
        <w:widowControl w:val="0"/>
        <w:autoSpaceDE w:val="0"/>
        <w:autoSpaceDN w:val="0"/>
        <w:adjustRightInd w:val="0"/>
        <w:spacing w:line="276" w:lineRule="auto"/>
        <w:ind w:firstLine="708"/>
        <w:jc w:val="both"/>
        <w:rPr>
          <w:rFonts w:ascii="Tahoma" w:hAnsi="Tahoma" w:cs="Tahoma"/>
        </w:rPr>
      </w:pPr>
    </w:p>
    <w:p w14:paraId="7E5E491F" w14:textId="75165CBB" w:rsidR="000B3696"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Refiere q</w:t>
      </w:r>
      <w:r w:rsidR="000B3696" w:rsidRPr="004406B2">
        <w:rPr>
          <w:rFonts w:ascii="Tahoma" w:hAnsi="Tahoma" w:cs="Tahoma"/>
        </w:rPr>
        <w:t>ue el 9 de diciembre de 2015 realizó una nueva solicitud, la cual fue resuelta de manera desfavorable mediante oficio expedido el 8 de julio de 2016, bajo el mismo argumento.</w:t>
      </w:r>
    </w:p>
    <w:p w14:paraId="75F0779A" w14:textId="77777777" w:rsidR="005E54E6" w:rsidRPr="004406B2" w:rsidRDefault="005E54E6" w:rsidP="004406B2">
      <w:pPr>
        <w:widowControl w:val="0"/>
        <w:autoSpaceDE w:val="0"/>
        <w:autoSpaceDN w:val="0"/>
        <w:adjustRightInd w:val="0"/>
        <w:spacing w:line="276" w:lineRule="auto"/>
        <w:ind w:firstLine="708"/>
        <w:jc w:val="both"/>
        <w:rPr>
          <w:rFonts w:ascii="Tahoma" w:hAnsi="Tahoma" w:cs="Tahoma"/>
        </w:rPr>
      </w:pPr>
    </w:p>
    <w:p w14:paraId="010B5E0F" w14:textId="672DC308" w:rsidR="000B3696"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lastRenderedPageBreak/>
        <w:t>Afirma q</w:t>
      </w:r>
      <w:r w:rsidR="000B3696" w:rsidRPr="004406B2">
        <w:rPr>
          <w:rFonts w:ascii="Tahoma" w:hAnsi="Tahoma" w:cs="Tahoma"/>
        </w:rPr>
        <w:t>ue prestó sus servicios como docente oficial y el Fondo Nacional de Prestaciones Sociales del Magisterio le reconoció pensión de jubilación, en la que se tuvo en cuenta únicamente el tiempo laborado al servicio del Magisterio, dado que sus cotizaciones fueron realizadas de manera independiente por ser una excepción al sistema de seguridad social.</w:t>
      </w:r>
    </w:p>
    <w:p w14:paraId="2242F6FA" w14:textId="7E099AE0" w:rsidR="000B3696" w:rsidRPr="004406B2" w:rsidRDefault="000B3696" w:rsidP="004406B2">
      <w:pPr>
        <w:widowControl w:val="0"/>
        <w:autoSpaceDE w:val="0"/>
        <w:autoSpaceDN w:val="0"/>
        <w:adjustRightInd w:val="0"/>
        <w:spacing w:line="276" w:lineRule="auto"/>
        <w:ind w:firstLine="708"/>
        <w:jc w:val="both"/>
        <w:rPr>
          <w:rFonts w:ascii="Tahoma" w:hAnsi="Tahoma" w:cs="Tahoma"/>
        </w:rPr>
      </w:pPr>
    </w:p>
    <w:p w14:paraId="2BC0D32F" w14:textId="619FEE02" w:rsidR="000B3696" w:rsidRPr="004406B2" w:rsidRDefault="000B3696"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b/>
        </w:rPr>
        <w:t>PORVENIR S.A.</w:t>
      </w:r>
      <w:r w:rsidR="001C4647" w:rsidRPr="004406B2">
        <w:rPr>
          <w:rFonts w:ascii="Tahoma" w:hAnsi="Tahoma" w:cs="Tahoma"/>
        </w:rPr>
        <w:t xml:space="preserve"> </w:t>
      </w:r>
      <w:r w:rsidRPr="004406B2">
        <w:rPr>
          <w:rFonts w:ascii="Tahoma" w:hAnsi="Tahoma" w:cs="Tahoma"/>
        </w:rPr>
        <w:t xml:space="preserve">compareció a través de curadora ad litem designada por el </w:t>
      </w:r>
      <w:r w:rsidR="001C4647" w:rsidRPr="004406B2">
        <w:rPr>
          <w:rFonts w:ascii="Tahoma" w:hAnsi="Tahoma" w:cs="Tahoma"/>
        </w:rPr>
        <w:t>d</w:t>
      </w:r>
      <w:r w:rsidRPr="004406B2">
        <w:rPr>
          <w:rFonts w:ascii="Tahoma" w:hAnsi="Tahoma" w:cs="Tahoma"/>
        </w:rPr>
        <w:t xml:space="preserve">espacho </w:t>
      </w:r>
      <w:r w:rsidR="001C4647" w:rsidRPr="004406B2">
        <w:rPr>
          <w:rFonts w:ascii="Tahoma" w:hAnsi="Tahoma" w:cs="Tahoma"/>
        </w:rPr>
        <w:t>de origen</w:t>
      </w:r>
      <w:r w:rsidR="00E01398" w:rsidRPr="004406B2">
        <w:rPr>
          <w:rFonts w:ascii="Tahoma" w:hAnsi="Tahoma" w:cs="Tahoma"/>
        </w:rPr>
        <w:t>,</w:t>
      </w:r>
      <w:r w:rsidR="001C4647" w:rsidRPr="004406B2">
        <w:rPr>
          <w:rFonts w:ascii="Tahoma" w:hAnsi="Tahoma" w:cs="Tahoma"/>
        </w:rPr>
        <w:t xml:space="preserve"> </w:t>
      </w:r>
      <w:r w:rsidRPr="004406B2">
        <w:rPr>
          <w:rFonts w:ascii="Tahoma" w:hAnsi="Tahoma" w:cs="Tahoma"/>
        </w:rPr>
        <w:t>al haberse rehusado a recibir las notificaciones del auto admisorio, por consiguiente, la auxiliar designada de manera acuciosa se notificó y prestó escrito de contestación, en la cual aceptó como ciertos los  hechos probados documentalmente, se opuso a todas las pretensiones argumentando que la entidad en sede administrativa resolvió la solicitud prestacional argumentando incompatibilidad con la prestación que actualmente devenga y planteó como excepciones de mérito las que denominó: PRESCRIPCIÓN.</w:t>
      </w:r>
    </w:p>
    <w:p w14:paraId="1F727AD5" w14:textId="77777777" w:rsidR="000B3696" w:rsidRPr="004406B2" w:rsidRDefault="000B3696" w:rsidP="004406B2">
      <w:pPr>
        <w:widowControl w:val="0"/>
        <w:autoSpaceDE w:val="0"/>
        <w:autoSpaceDN w:val="0"/>
        <w:adjustRightInd w:val="0"/>
        <w:spacing w:line="276" w:lineRule="auto"/>
        <w:ind w:firstLine="708"/>
        <w:jc w:val="both"/>
        <w:rPr>
          <w:rFonts w:ascii="Tahoma" w:hAnsi="Tahoma" w:cs="Tahoma"/>
        </w:rPr>
      </w:pPr>
    </w:p>
    <w:p w14:paraId="4A9F58F0" w14:textId="1BA79BA2" w:rsidR="000B3696"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 xml:space="preserve">El </w:t>
      </w:r>
      <w:r w:rsidR="008E45DF" w:rsidRPr="004406B2">
        <w:rPr>
          <w:rFonts w:ascii="Tahoma" w:hAnsi="Tahoma" w:cs="Tahoma"/>
          <w:b/>
          <w:bCs/>
        </w:rPr>
        <w:t>Municipio de Pereira</w:t>
      </w:r>
      <w:r w:rsidR="008E45DF" w:rsidRPr="004406B2">
        <w:rPr>
          <w:rFonts w:ascii="Tahoma" w:hAnsi="Tahoma" w:cs="Tahoma"/>
        </w:rPr>
        <w:t xml:space="preserve"> </w:t>
      </w:r>
      <w:r w:rsidR="000B3696" w:rsidRPr="004406B2">
        <w:rPr>
          <w:rFonts w:ascii="Tahoma" w:hAnsi="Tahoma" w:cs="Tahoma"/>
        </w:rPr>
        <w:t>allegó escrito mediante el cual manif</w:t>
      </w:r>
      <w:r w:rsidR="008E45DF" w:rsidRPr="004406B2">
        <w:rPr>
          <w:rFonts w:ascii="Tahoma" w:hAnsi="Tahoma" w:cs="Tahoma"/>
        </w:rPr>
        <w:t>estó</w:t>
      </w:r>
      <w:r w:rsidR="000B3696" w:rsidRPr="004406B2">
        <w:rPr>
          <w:rFonts w:ascii="Tahoma" w:hAnsi="Tahoma" w:cs="Tahoma"/>
        </w:rPr>
        <w:t xml:space="preserve"> que </w:t>
      </w:r>
      <w:r w:rsidRPr="004406B2">
        <w:rPr>
          <w:rFonts w:ascii="Tahoma" w:hAnsi="Tahoma" w:cs="Tahoma"/>
        </w:rPr>
        <w:t xml:space="preserve">no </w:t>
      </w:r>
      <w:r w:rsidR="000B3696" w:rsidRPr="004406B2">
        <w:rPr>
          <w:rFonts w:ascii="Tahoma" w:hAnsi="Tahoma" w:cs="Tahoma"/>
        </w:rPr>
        <w:t>ha tenido injerencia en ninguna de las etapas del proceso de solicitud, reconocimiento y pago de la pensión de jubilación del demandante, y, por tanto, no tiene la competencia para certificar si los recursos para su financiamiento fueron trasladados de PO</w:t>
      </w:r>
      <w:r w:rsidR="008B4EFD" w:rsidRPr="004406B2">
        <w:rPr>
          <w:rFonts w:ascii="Tahoma" w:hAnsi="Tahoma" w:cs="Tahoma"/>
        </w:rPr>
        <w:t>R</w:t>
      </w:r>
      <w:r w:rsidR="000B3696" w:rsidRPr="004406B2">
        <w:rPr>
          <w:rFonts w:ascii="Tahoma" w:hAnsi="Tahoma" w:cs="Tahoma"/>
        </w:rPr>
        <w:t>VENIR al FOMAG y, mucho menos si estos recursos fueron utilizados para pagar la pensión de vejez que el actor disfruta en la actualidad.</w:t>
      </w:r>
    </w:p>
    <w:p w14:paraId="5E23DE9B" w14:textId="77777777" w:rsidR="000B3696" w:rsidRPr="004406B2" w:rsidRDefault="000B3696" w:rsidP="004406B2">
      <w:pPr>
        <w:widowControl w:val="0"/>
        <w:autoSpaceDE w:val="0"/>
        <w:autoSpaceDN w:val="0"/>
        <w:adjustRightInd w:val="0"/>
        <w:spacing w:line="276" w:lineRule="auto"/>
        <w:ind w:firstLine="708"/>
        <w:jc w:val="both"/>
        <w:rPr>
          <w:rFonts w:ascii="Tahoma" w:hAnsi="Tahoma" w:cs="Tahoma"/>
        </w:rPr>
      </w:pPr>
    </w:p>
    <w:p w14:paraId="5C8CDB22" w14:textId="080A48E2" w:rsidR="000B3696" w:rsidRPr="004406B2" w:rsidRDefault="000B3696"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 xml:space="preserve">Por consiguiente, como excepción previa, solicitó la vinculación en calidad de litisconsorte necesario a la FIDUPREVISORA S.A. y el FONDO DE PRESTACIONES SOCIALES DEL MAGISTERIO FOMAG, sobre la cual el Despacho </w:t>
      </w:r>
      <w:r w:rsidR="00B82CD3" w:rsidRPr="004406B2">
        <w:rPr>
          <w:rFonts w:ascii="Tahoma" w:hAnsi="Tahoma" w:cs="Tahoma"/>
        </w:rPr>
        <w:t>de instancia d</w:t>
      </w:r>
      <w:r w:rsidRPr="004406B2">
        <w:rPr>
          <w:rFonts w:ascii="Tahoma" w:hAnsi="Tahoma" w:cs="Tahoma"/>
        </w:rPr>
        <w:t>e pronunció de manera anticipada a la audiencia del artículo 77 CPL, mediante auto del 28 de mayo de 201</w:t>
      </w:r>
      <w:r w:rsidR="001C4647" w:rsidRPr="004406B2">
        <w:rPr>
          <w:rFonts w:ascii="Tahoma" w:hAnsi="Tahoma" w:cs="Tahoma"/>
        </w:rPr>
        <w:t xml:space="preserve">9. </w:t>
      </w:r>
      <w:r w:rsidRPr="004406B2">
        <w:rPr>
          <w:rFonts w:ascii="Tahoma" w:hAnsi="Tahoma" w:cs="Tahoma"/>
        </w:rPr>
        <w:t>Como excepciones de mérito propuso las de FALTA DE LEGITIMACION EN LA CAUSA POR PASIVA e INNOMINADA</w:t>
      </w:r>
    </w:p>
    <w:p w14:paraId="6CA28669" w14:textId="5D31C647" w:rsidR="000B3696" w:rsidRPr="004406B2" w:rsidRDefault="000B3696" w:rsidP="004406B2">
      <w:pPr>
        <w:widowControl w:val="0"/>
        <w:autoSpaceDE w:val="0"/>
        <w:autoSpaceDN w:val="0"/>
        <w:adjustRightInd w:val="0"/>
        <w:spacing w:line="276" w:lineRule="auto"/>
        <w:jc w:val="both"/>
        <w:rPr>
          <w:rFonts w:ascii="Tahoma" w:hAnsi="Tahoma" w:cs="Tahoma"/>
        </w:rPr>
      </w:pPr>
    </w:p>
    <w:p w14:paraId="59437426" w14:textId="541C6906" w:rsidR="00DE2EB9" w:rsidRPr="004406B2" w:rsidRDefault="000B3696"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 xml:space="preserve">Por </w:t>
      </w:r>
      <w:r w:rsidR="00B82CD3" w:rsidRPr="004406B2">
        <w:rPr>
          <w:rFonts w:ascii="Tahoma" w:hAnsi="Tahoma" w:cs="Tahoma"/>
        </w:rPr>
        <w:t>m</w:t>
      </w:r>
      <w:r w:rsidRPr="004406B2">
        <w:rPr>
          <w:rFonts w:ascii="Tahoma" w:hAnsi="Tahoma" w:cs="Tahoma"/>
        </w:rPr>
        <w:t>edio de apoderado</w:t>
      </w:r>
      <w:r w:rsidR="001C4647" w:rsidRPr="004406B2">
        <w:rPr>
          <w:rFonts w:ascii="Tahoma" w:hAnsi="Tahoma" w:cs="Tahoma"/>
        </w:rPr>
        <w:t>, el Ministerio de Educación – FOMAG- FIDUPREVISORA S.A., s</w:t>
      </w:r>
      <w:r w:rsidRPr="004406B2">
        <w:rPr>
          <w:rFonts w:ascii="Tahoma" w:hAnsi="Tahoma" w:cs="Tahoma"/>
        </w:rPr>
        <w:t>e op</w:t>
      </w:r>
      <w:r w:rsidR="001C4647" w:rsidRPr="004406B2">
        <w:rPr>
          <w:rFonts w:ascii="Tahoma" w:hAnsi="Tahoma" w:cs="Tahoma"/>
        </w:rPr>
        <w:t>uso</w:t>
      </w:r>
      <w:r w:rsidRPr="004406B2">
        <w:rPr>
          <w:rFonts w:ascii="Tahoma" w:hAnsi="Tahoma" w:cs="Tahoma"/>
        </w:rPr>
        <w:t xml:space="preserve"> a las pretensiones de la demanda al indicar que el acto administrativo mediante el cual se reconoció la pensión de jubilación al d</w:t>
      </w:r>
      <w:r w:rsidR="001C4647" w:rsidRPr="004406B2">
        <w:rPr>
          <w:rFonts w:ascii="Tahoma" w:hAnsi="Tahoma" w:cs="Tahoma"/>
        </w:rPr>
        <w:t>emandan</w:t>
      </w:r>
      <w:r w:rsidRPr="004406B2">
        <w:rPr>
          <w:rFonts w:ascii="Tahoma" w:hAnsi="Tahoma" w:cs="Tahoma"/>
        </w:rPr>
        <w:t>te goza de presunción de legalidad, por tanto</w:t>
      </w:r>
      <w:r w:rsidR="008B4EFD" w:rsidRPr="004406B2">
        <w:rPr>
          <w:rFonts w:ascii="Tahoma" w:hAnsi="Tahoma" w:cs="Tahoma"/>
        </w:rPr>
        <w:t>,</w:t>
      </w:r>
      <w:r w:rsidRPr="004406B2">
        <w:rPr>
          <w:rFonts w:ascii="Tahoma" w:hAnsi="Tahoma" w:cs="Tahoma"/>
        </w:rPr>
        <w:t xml:space="preserve"> </w:t>
      </w:r>
      <w:r w:rsidR="001C4647" w:rsidRPr="004406B2">
        <w:rPr>
          <w:rFonts w:ascii="Tahoma" w:hAnsi="Tahoma" w:cs="Tahoma"/>
        </w:rPr>
        <w:t>sus</w:t>
      </w:r>
      <w:r w:rsidRPr="004406B2">
        <w:rPr>
          <w:rFonts w:ascii="Tahoma" w:hAnsi="Tahoma" w:cs="Tahoma"/>
        </w:rPr>
        <w:t xml:space="preserve"> pretensiones carecen de sustento jurídico para que prosperen</w:t>
      </w:r>
      <w:r w:rsidR="001C4647" w:rsidRPr="004406B2">
        <w:rPr>
          <w:rFonts w:ascii="Tahoma" w:hAnsi="Tahoma" w:cs="Tahoma"/>
        </w:rPr>
        <w:t xml:space="preserve">. </w:t>
      </w:r>
    </w:p>
    <w:p w14:paraId="0210A87D" w14:textId="3022BC4B" w:rsidR="008B4EFD" w:rsidRDefault="008B4EFD" w:rsidP="004406B2">
      <w:pPr>
        <w:widowControl w:val="0"/>
        <w:autoSpaceDE w:val="0"/>
        <w:autoSpaceDN w:val="0"/>
        <w:adjustRightInd w:val="0"/>
        <w:spacing w:line="276" w:lineRule="auto"/>
        <w:ind w:firstLine="708"/>
        <w:jc w:val="both"/>
        <w:rPr>
          <w:rFonts w:ascii="Tahoma" w:hAnsi="Tahoma" w:cs="Tahoma"/>
        </w:rPr>
      </w:pPr>
    </w:p>
    <w:p w14:paraId="3F9E597F" w14:textId="77777777" w:rsidR="00D21EEE" w:rsidRPr="004406B2" w:rsidRDefault="00D21EEE" w:rsidP="004406B2">
      <w:pPr>
        <w:widowControl w:val="0"/>
        <w:autoSpaceDE w:val="0"/>
        <w:autoSpaceDN w:val="0"/>
        <w:adjustRightInd w:val="0"/>
        <w:spacing w:line="276" w:lineRule="auto"/>
        <w:ind w:firstLine="708"/>
        <w:jc w:val="both"/>
        <w:rPr>
          <w:rFonts w:ascii="Tahoma" w:hAnsi="Tahoma" w:cs="Tahoma"/>
        </w:rPr>
      </w:pPr>
    </w:p>
    <w:p w14:paraId="0BCBB844" w14:textId="77777777" w:rsidR="003A3BBB" w:rsidRPr="004406B2" w:rsidRDefault="008F2E7F" w:rsidP="004406B2">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4406B2">
        <w:rPr>
          <w:rFonts w:ascii="Tahoma" w:hAnsi="Tahoma" w:cs="Tahoma"/>
          <w:b/>
        </w:rPr>
        <w:t>S</w:t>
      </w:r>
      <w:r w:rsidR="003A3BBB" w:rsidRPr="004406B2">
        <w:rPr>
          <w:rFonts w:ascii="Tahoma" w:hAnsi="Tahoma" w:cs="Tahoma"/>
          <w:b/>
        </w:rPr>
        <w:t>entencia de primera instancia</w:t>
      </w:r>
    </w:p>
    <w:p w14:paraId="2168AFBE" w14:textId="77777777" w:rsidR="003A3BBB" w:rsidRPr="004406B2" w:rsidRDefault="003A3BBB" w:rsidP="004406B2">
      <w:pPr>
        <w:pStyle w:val="Sinespaciado"/>
        <w:spacing w:line="276" w:lineRule="auto"/>
        <w:rPr>
          <w:rFonts w:ascii="Tahoma" w:hAnsi="Tahoma" w:cs="Tahoma"/>
        </w:rPr>
      </w:pPr>
    </w:p>
    <w:p w14:paraId="55EAC4D6" w14:textId="09A957BE" w:rsidR="001C4647" w:rsidRPr="004406B2" w:rsidRDefault="00DD1394"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La Jueza de conocimiento</w:t>
      </w:r>
      <w:r w:rsidR="00FC2F9C" w:rsidRPr="004406B2">
        <w:rPr>
          <w:rFonts w:ascii="Tahoma" w:hAnsi="Tahoma" w:cs="Tahoma"/>
        </w:rPr>
        <w:t xml:space="preserve"> </w:t>
      </w:r>
      <w:r w:rsidR="0097605F" w:rsidRPr="004406B2">
        <w:rPr>
          <w:rFonts w:ascii="Tahoma" w:hAnsi="Tahoma" w:cs="Tahoma"/>
        </w:rPr>
        <w:t xml:space="preserve">declaró </w:t>
      </w:r>
      <w:r w:rsidR="001C4647" w:rsidRPr="004406B2">
        <w:rPr>
          <w:rFonts w:ascii="Tahoma" w:hAnsi="Tahoma" w:cs="Tahoma"/>
        </w:rPr>
        <w:t>no probadas</w:t>
      </w:r>
      <w:r w:rsidR="000B3696" w:rsidRPr="004406B2">
        <w:rPr>
          <w:rFonts w:ascii="Tahoma" w:hAnsi="Tahoma" w:cs="Tahoma"/>
        </w:rPr>
        <w:t xml:space="preserve"> las excepciones propuestas por </w:t>
      </w:r>
      <w:r w:rsidR="00DA69EC" w:rsidRPr="004406B2">
        <w:rPr>
          <w:rFonts w:ascii="Tahoma" w:hAnsi="Tahoma" w:cs="Tahoma"/>
        </w:rPr>
        <w:t xml:space="preserve">Porvenir </w:t>
      </w:r>
      <w:r w:rsidR="000B3696" w:rsidRPr="004406B2">
        <w:rPr>
          <w:rFonts w:ascii="Tahoma" w:hAnsi="Tahoma" w:cs="Tahoma"/>
        </w:rPr>
        <w:t>S.A.</w:t>
      </w:r>
      <w:r w:rsidR="001C4647" w:rsidRPr="004406B2">
        <w:rPr>
          <w:rFonts w:ascii="Tahoma" w:hAnsi="Tahoma" w:cs="Tahoma"/>
        </w:rPr>
        <w:t xml:space="preserve"> y determinó que </w:t>
      </w:r>
      <w:r w:rsidR="00DA69EC" w:rsidRPr="004406B2">
        <w:rPr>
          <w:rFonts w:ascii="Tahoma" w:hAnsi="Tahoma" w:cs="Tahoma"/>
        </w:rPr>
        <w:t>la devolución</w:t>
      </w:r>
      <w:r w:rsidR="000B3696" w:rsidRPr="004406B2">
        <w:rPr>
          <w:rFonts w:ascii="Tahoma" w:hAnsi="Tahoma" w:cs="Tahoma"/>
        </w:rPr>
        <w:t xml:space="preserve"> de saldos administrad</w:t>
      </w:r>
      <w:r w:rsidR="001C4647" w:rsidRPr="004406B2">
        <w:rPr>
          <w:rFonts w:ascii="Tahoma" w:hAnsi="Tahoma" w:cs="Tahoma"/>
        </w:rPr>
        <w:t>os</w:t>
      </w:r>
      <w:r w:rsidR="000B3696" w:rsidRPr="004406B2">
        <w:rPr>
          <w:rFonts w:ascii="Tahoma" w:hAnsi="Tahoma" w:cs="Tahoma"/>
        </w:rPr>
        <w:t xml:space="preserve"> </w:t>
      </w:r>
      <w:r w:rsidR="00DA69EC" w:rsidRPr="004406B2">
        <w:rPr>
          <w:rFonts w:ascii="Tahoma" w:hAnsi="Tahoma" w:cs="Tahoma"/>
        </w:rPr>
        <w:t>es</w:t>
      </w:r>
      <w:r w:rsidR="000B3696" w:rsidRPr="004406B2">
        <w:rPr>
          <w:rFonts w:ascii="Tahoma" w:hAnsi="Tahoma" w:cs="Tahoma"/>
        </w:rPr>
        <w:t xml:space="preserve"> compatible con la pensión de jubilación que percibe el demandante como docente al servicio del Magisterio.</w:t>
      </w:r>
    </w:p>
    <w:p w14:paraId="2AC2D8C4" w14:textId="77777777" w:rsidR="001C4647" w:rsidRPr="004406B2" w:rsidRDefault="001C4647" w:rsidP="004406B2">
      <w:pPr>
        <w:widowControl w:val="0"/>
        <w:autoSpaceDE w:val="0"/>
        <w:autoSpaceDN w:val="0"/>
        <w:adjustRightInd w:val="0"/>
        <w:spacing w:line="276" w:lineRule="auto"/>
        <w:ind w:firstLine="708"/>
        <w:jc w:val="both"/>
        <w:rPr>
          <w:rFonts w:ascii="Tahoma" w:hAnsi="Tahoma" w:cs="Tahoma"/>
        </w:rPr>
      </w:pPr>
    </w:p>
    <w:p w14:paraId="243FFF15" w14:textId="24A98CF5" w:rsidR="001C4647"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 xml:space="preserve">Consecuencialmente, condenó a </w:t>
      </w:r>
      <w:r w:rsidR="0075284C" w:rsidRPr="004406B2">
        <w:rPr>
          <w:rFonts w:ascii="Tahoma" w:hAnsi="Tahoma" w:cs="Tahoma"/>
        </w:rPr>
        <w:t xml:space="preserve">Porvenir </w:t>
      </w:r>
      <w:r w:rsidR="000B3696" w:rsidRPr="004406B2">
        <w:rPr>
          <w:rFonts w:ascii="Tahoma" w:hAnsi="Tahoma" w:cs="Tahoma"/>
        </w:rPr>
        <w:t xml:space="preserve">S.A. a cancelar a favor del señor </w:t>
      </w:r>
      <w:r w:rsidR="005E54E6" w:rsidRPr="004406B2">
        <w:rPr>
          <w:rFonts w:ascii="Tahoma" w:hAnsi="Tahoma" w:cs="Tahoma"/>
        </w:rPr>
        <w:t>Jesús</w:t>
      </w:r>
      <w:r w:rsidRPr="004406B2">
        <w:rPr>
          <w:rFonts w:ascii="Tahoma" w:hAnsi="Tahoma" w:cs="Tahoma"/>
        </w:rPr>
        <w:t xml:space="preserve"> Arcadio   Echeverry   Granada</w:t>
      </w:r>
      <w:r w:rsidR="000B3696" w:rsidRPr="004406B2">
        <w:rPr>
          <w:rFonts w:ascii="Tahoma" w:hAnsi="Tahoma" w:cs="Tahoma"/>
        </w:rPr>
        <w:t xml:space="preserve"> la   devolución   de   saldos   por   valor   de $19.769.461, o el valor total que repose en su cuenta al momento de la devolución</w:t>
      </w:r>
      <w:r w:rsidRPr="004406B2">
        <w:rPr>
          <w:rFonts w:ascii="Tahoma" w:hAnsi="Tahoma" w:cs="Tahoma"/>
        </w:rPr>
        <w:t>,</w:t>
      </w:r>
      <w:r w:rsidR="000B3696" w:rsidRPr="004406B2">
        <w:rPr>
          <w:rFonts w:ascii="Tahoma" w:hAnsi="Tahoma" w:cs="Tahoma"/>
        </w:rPr>
        <w:t xml:space="preserve"> suma </w:t>
      </w:r>
      <w:r w:rsidRPr="004406B2">
        <w:rPr>
          <w:rFonts w:ascii="Tahoma" w:hAnsi="Tahoma" w:cs="Tahoma"/>
        </w:rPr>
        <w:t xml:space="preserve">que </w:t>
      </w:r>
      <w:r w:rsidR="000B3696" w:rsidRPr="004406B2">
        <w:rPr>
          <w:rFonts w:ascii="Tahoma" w:hAnsi="Tahoma" w:cs="Tahoma"/>
        </w:rPr>
        <w:t>deb</w:t>
      </w:r>
      <w:r w:rsidR="00007C59" w:rsidRPr="004406B2">
        <w:rPr>
          <w:rFonts w:ascii="Tahoma" w:hAnsi="Tahoma" w:cs="Tahoma"/>
        </w:rPr>
        <w:t>ía</w:t>
      </w:r>
      <w:r w:rsidR="000B3696" w:rsidRPr="004406B2">
        <w:rPr>
          <w:rFonts w:ascii="Tahoma" w:hAnsi="Tahoma" w:cs="Tahoma"/>
        </w:rPr>
        <w:t xml:space="preserve"> </w:t>
      </w:r>
      <w:r w:rsidR="000B3696" w:rsidRPr="004406B2">
        <w:rPr>
          <w:rFonts w:ascii="Tahoma" w:hAnsi="Tahoma" w:cs="Tahoma"/>
        </w:rPr>
        <w:lastRenderedPageBreak/>
        <w:t>ser cancelada de manera indexada a la fecha efectiva de pago.</w:t>
      </w:r>
    </w:p>
    <w:p w14:paraId="440BC121" w14:textId="77777777" w:rsidR="001C4647" w:rsidRPr="004406B2" w:rsidRDefault="001C4647" w:rsidP="004406B2">
      <w:pPr>
        <w:widowControl w:val="0"/>
        <w:autoSpaceDE w:val="0"/>
        <w:autoSpaceDN w:val="0"/>
        <w:adjustRightInd w:val="0"/>
        <w:spacing w:line="276" w:lineRule="auto"/>
        <w:ind w:firstLine="708"/>
        <w:jc w:val="both"/>
        <w:rPr>
          <w:rFonts w:ascii="Tahoma" w:hAnsi="Tahoma" w:cs="Tahoma"/>
        </w:rPr>
      </w:pPr>
    </w:p>
    <w:p w14:paraId="553901D6" w14:textId="73AD9EBE" w:rsidR="001C4647"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Condenó igualmente a</w:t>
      </w:r>
      <w:r w:rsidR="000B3696" w:rsidRPr="004406B2">
        <w:rPr>
          <w:rFonts w:ascii="Tahoma" w:hAnsi="Tahoma" w:cs="Tahoma"/>
        </w:rPr>
        <w:t xml:space="preserve"> </w:t>
      </w:r>
      <w:r w:rsidR="008B6414" w:rsidRPr="004406B2">
        <w:rPr>
          <w:rFonts w:ascii="Tahoma" w:hAnsi="Tahoma" w:cs="Tahoma"/>
        </w:rPr>
        <w:t xml:space="preserve">Porvenir </w:t>
      </w:r>
      <w:r w:rsidR="000B3696" w:rsidRPr="004406B2">
        <w:rPr>
          <w:rFonts w:ascii="Tahoma" w:hAnsi="Tahoma" w:cs="Tahoma"/>
        </w:rPr>
        <w:t xml:space="preserve">S.A. a cancelar a favor del demandante </w:t>
      </w:r>
      <w:r w:rsidR="006F2621" w:rsidRPr="004406B2">
        <w:rPr>
          <w:rFonts w:ascii="Tahoma" w:hAnsi="Tahoma" w:cs="Tahoma"/>
        </w:rPr>
        <w:t xml:space="preserve">los </w:t>
      </w:r>
      <w:r w:rsidR="000B3696" w:rsidRPr="004406B2">
        <w:rPr>
          <w:rFonts w:ascii="Tahoma" w:hAnsi="Tahoma" w:cs="Tahoma"/>
        </w:rPr>
        <w:t>intereses legales estipulados por el art</w:t>
      </w:r>
      <w:r w:rsidR="00D637D8">
        <w:rPr>
          <w:rFonts w:ascii="Tahoma" w:hAnsi="Tahoma" w:cs="Tahoma"/>
        </w:rPr>
        <w:t>ículo</w:t>
      </w:r>
      <w:r w:rsidR="000B3696" w:rsidRPr="004406B2">
        <w:rPr>
          <w:rFonts w:ascii="Tahoma" w:hAnsi="Tahoma" w:cs="Tahoma"/>
        </w:rPr>
        <w:t xml:space="preserve"> 1617 </w:t>
      </w:r>
      <w:r w:rsidR="005E54E6" w:rsidRPr="004406B2">
        <w:rPr>
          <w:rFonts w:ascii="Tahoma" w:hAnsi="Tahoma" w:cs="Tahoma"/>
        </w:rPr>
        <w:t xml:space="preserve">del </w:t>
      </w:r>
      <w:r w:rsidR="00D637D8" w:rsidRPr="004406B2">
        <w:rPr>
          <w:rFonts w:ascii="Tahoma" w:hAnsi="Tahoma" w:cs="Tahoma"/>
        </w:rPr>
        <w:t>Código Civil</w:t>
      </w:r>
      <w:r w:rsidR="000B3696" w:rsidRPr="004406B2">
        <w:rPr>
          <w:rFonts w:ascii="Tahoma" w:hAnsi="Tahoma" w:cs="Tahoma"/>
        </w:rPr>
        <w:t>, sobre la suma adeudada desde el 6</w:t>
      </w:r>
      <w:r w:rsidRPr="004406B2">
        <w:rPr>
          <w:rFonts w:ascii="Tahoma" w:hAnsi="Tahoma" w:cs="Tahoma"/>
        </w:rPr>
        <w:t xml:space="preserve"> </w:t>
      </w:r>
      <w:r w:rsidR="000B3696" w:rsidRPr="004406B2">
        <w:rPr>
          <w:rFonts w:ascii="Tahoma" w:hAnsi="Tahoma" w:cs="Tahoma"/>
        </w:rPr>
        <w:t>de abril 2014</w:t>
      </w:r>
      <w:r w:rsidRPr="004406B2">
        <w:rPr>
          <w:rFonts w:ascii="Tahoma" w:hAnsi="Tahoma" w:cs="Tahoma"/>
        </w:rPr>
        <w:t>,</w:t>
      </w:r>
      <w:r w:rsidR="000B3696" w:rsidRPr="004406B2">
        <w:rPr>
          <w:rFonts w:ascii="Tahoma" w:hAnsi="Tahoma" w:cs="Tahoma"/>
        </w:rPr>
        <w:t xml:space="preserve"> hasta que se haga el pago efectivo</w:t>
      </w:r>
      <w:r w:rsidR="006F2621" w:rsidRPr="004406B2">
        <w:rPr>
          <w:rFonts w:ascii="Tahoma" w:hAnsi="Tahoma" w:cs="Tahoma"/>
        </w:rPr>
        <w:t>,</w:t>
      </w:r>
      <w:r w:rsidR="000B3696" w:rsidRPr="004406B2">
        <w:rPr>
          <w:rFonts w:ascii="Tahoma" w:hAnsi="Tahoma" w:cs="Tahoma"/>
        </w:rPr>
        <w:t xml:space="preserve"> sin perjuicios de los que se causen a futuro</w:t>
      </w:r>
      <w:r w:rsidRPr="004406B2">
        <w:rPr>
          <w:rFonts w:ascii="Tahoma" w:hAnsi="Tahoma" w:cs="Tahoma"/>
        </w:rPr>
        <w:t>.</w:t>
      </w:r>
    </w:p>
    <w:p w14:paraId="676D246A" w14:textId="77777777" w:rsidR="001C4647" w:rsidRPr="004406B2" w:rsidRDefault="001C4647" w:rsidP="004406B2">
      <w:pPr>
        <w:widowControl w:val="0"/>
        <w:autoSpaceDE w:val="0"/>
        <w:autoSpaceDN w:val="0"/>
        <w:adjustRightInd w:val="0"/>
        <w:spacing w:line="276" w:lineRule="auto"/>
        <w:ind w:firstLine="708"/>
        <w:jc w:val="both"/>
        <w:rPr>
          <w:rFonts w:ascii="Tahoma" w:hAnsi="Tahoma" w:cs="Tahoma"/>
        </w:rPr>
      </w:pPr>
    </w:p>
    <w:p w14:paraId="1029317B" w14:textId="7BC1A69A" w:rsidR="000B3696" w:rsidRPr="004406B2" w:rsidRDefault="001C4647"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 xml:space="preserve">Seguidamente, </w:t>
      </w:r>
      <w:r w:rsidR="006F2621" w:rsidRPr="004406B2">
        <w:rPr>
          <w:rFonts w:ascii="Tahoma" w:hAnsi="Tahoma" w:cs="Tahoma"/>
        </w:rPr>
        <w:t xml:space="preserve">ordenó </w:t>
      </w:r>
      <w:r w:rsidRPr="004406B2">
        <w:rPr>
          <w:rFonts w:ascii="Tahoma" w:hAnsi="Tahoma" w:cs="Tahoma"/>
        </w:rPr>
        <w:t>a</w:t>
      </w:r>
      <w:r w:rsidR="000B3696" w:rsidRPr="004406B2">
        <w:rPr>
          <w:rFonts w:ascii="Tahoma" w:hAnsi="Tahoma" w:cs="Tahoma"/>
        </w:rPr>
        <w:t xml:space="preserve"> la entidad demandada a pagarle al</w:t>
      </w:r>
      <w:r w:rsidRPr="004406B2">
        <w:rPr>
          <w:rFonts w:ascii="Tahoma" w:hAnsi="Tahoma" w:cs="Tahoma"/>
        </w:rPr>
        <w:t xml:space="preserve"> </w:t>
      </w:r>
      <w:r w:rsidR="000B3696" w:rsidRPr="004406B2">
        <w:rPr>
          <w:rFonts w:ascii="Tahoma" w:hAnsi="Tahoma" w:cs="Tahoma"/>
        </w:rPr>
        <w:t>demandante las costas procesales</w:t>
      </w:r>
      <w:r w:rsidR="007B6A1B" w:rsidRPr="004406B2">
        <w:rPr>
          <w:rFonts w:ascii="Tahoma" w:hAnsi="Tahoma" w:cs="Tahoma"/>
        </w:rPr>
        <w:t>.</w:t>
      </w:r>
    </w:p>
    <w:p w14:paraId="4D9B3921" w14:textId="77777777" w:rsidR="001C4647" w:rsidRPr="004406B2" w:rsidRDefault="001C4647" w:rsidP="004406B2">
      <w:pPr>
        <w:widowControl w:val="0"/>
        <w:autoSpaceDE w:val="0"/>
        <w:autoSpaceDN w:val="0"/>
        <w:adjustRightInd w:val="0"/>
        <w:spacing w:line="276" w:lineRule="auto"/>
        <w:ind w:firstLine="708"/>
        <w:jc w:val="both"/>
        <w:rPr>
          <w:rFonts w:ascii="Tahoma" w:hAnsi="Tahoma" w:cs="Tahoma"/>
        </w:rPr>
      </w:pPr>
    </w:p>
    <w:p w14:paraId="5E2A47C0" w14:textId="2BF70DC2" w:rsidR="00B82CD3" w:rsidRPr="004406B2" w:rsidRDefault="001C4647" w:rsidP="004406B2">
      <w:pPr>
        <w:widowControl w:val="0"/>
        <w:overflowPunct w:val="0"/>
        <w:adjustRightInd w:val="0"/>
        <w:spacing w:line="276" w:lineRule="auto"/>
        <w:ind w:firstLine="708"/>
        <w:jc w:val="both"/>
        <w:rPr>
          <w:rFonts w:ascii="Tahoma" w:hAnsi="Tahoma" w:cs="Tahoma"/>
        </w:rPr>
      </w:pPr>
      <w:r w:rsidRPr="004406B2">
        <w:rPr>
          <w:rFonts w:ascii="Tahoma" w:hAnsi="Tahoma" w:cs="Tahoma"/>
        </w:rPr>
        <w:t>Para así decidir manifestó que de conformidad con el precedente jurisprudencia</w:t>
      </w:r>
      <w:r w:rsidR="00B82CD3" w:rsidRPr="004406B2">
        <w:rPr>
          <w:rFonts w:ascii="Tahoma" w:hAnsi="Tahoma" w:cs="Tahoma"/>
        </w:rPr>
        <w:t>l</w:t>
      </w:r>
      <w:r w:rsidRPr="004406B2">
        <w:rPr>
          <w:rFonts w:ascii="Tahoma" w:hAnsi="Tahoma" w:cs="Tahoma"/>
        </w:rPr>
        <w:t xml:space="preserve"> </w:t>
      </w:r>
      <w:r w:rsidR="007B6A1B" w:rsidRPr="004406B2">
        <w:rPr>
          <w:rFonts w:ascii="Tahoma" w:hAnsi="Tahoma" w:cs="Tahoma"/>
        </w:rPr>
        <w:t>emitido</w:t>
      </w:r>
      <w:r w:rsidRPr="004406B2">
        <w:rPr>
          <w:rFonts w:ascii="Tahoma" w:hAnsi="Tahoma" w:cs="Tahoma"/>
        </w:rPr>
        <w:t xml:space="preserve"> sobre la materia objeto de la litis, era dable</w:t>
      </w:r>
      <w:r w:rsidR="00CA3BD1" w:rsidRPr="004406B2">
        <w:rPr>
          <w:rFonts w:ascii="Tahoma" w:hAnsi="Tahoma" w:cs="Tahoma"/>
        </w:rPr>
        <w:t xml:space="preserve"> concluir que la pensión vitalicia de jubilación </w:t>
      </w:r>
      <w:r w:rsidR="00B82CD3" w:rsidRPr="004406B2">
        <w:rPr>
          <w:rFonts w:ascii="Tahoma" w:hAnsi="Tahoma" w:cs="Tahoma"/>
        </w:rPr>
        <w:t xml:space="preserve">que devenga el actor </w:t>
      </w:r>
      <w:r w:rsidR="00CA3BD1" w:rsidRPr="004406B2">
        <w:rPr>
          <w:rFonts w:ascii="Tahoma" w:hAnsi="Tahoma" w:cs="Tahoma"/>
        </w:rPr>
        <w:t>no constit</w:t>
      </w:r>
      <w:r w:rsidR="00B82CD3" w:rsidRPr="004406B2">
        <w:rPr>
          <w:rFonts w:ascii="Tahoma" w:hAnsi="Tahoma" w:cs="Tahoma"/>
        </w:rPr>
        <w:t>uía</w:t>
      </w:r>
      <w:r w:rsidR="00CA3BD1" w:rsidRPr="004406B2">
        <w:rPr>
          <w:rFonts w:ascii="Tahoma" w:hAnsi="Tahoma" w:cs="Tahoma"/>
        </w:rPr>
        <w:t xml:space="preserve"> obstáculo alguno para </w:t>
      </w:r>
      <w:r w:rsidR="00B82CD3" w:rsidRPr="004406B2">
        <w:rPr>
          <w:rFonts w:ascii="Tahoma" w:hAnsi="Tahoma" w:cs="Tahoma"/>
        </w:rPr>
        <w:t xml:space="preserve">que él </w:t>
      </w:r>
      <w:r w:rsidR="00CA3BD1" w:rsidRPr="004406B2">
        <w:rPr>
          <w:rFonts w:ascii="Tahoma" w:hAnsi="Tahoma" w:cs="Tahoma"/>
        </w:rPr>
        <w:t>acced</w:t>
      </w:r>
      <w:r w:rsidR="00B82CD3" w:rsidRPr="004406B2">
        <w:rPr>
          <w:rFonts w:ascii="Tahoma" w:hAnsi="Tahoma" w:cs="Tahoma"/>
        </w:rPr>
        <w:t>iera</w:t>
      </w:r>
      <w:r w:rsidR="00CA3BD1" w:rsidRPr="004406B2">
        <w:rPr>
          <w:rFonts w:ascii="Tahoma" w:hAnsi="Tahoma" w:cs="Tahoma"/>
        </w:rPr>
        <w:t xml:space="preserve"> a la pensión de vejez o alguna otra prestación del RAIS</w:t>
      </w:r>
      <w:r w:rsidR="00B82CD3" w:rsidRPr="004406B2">
        <w:rPr>
          <w:rFonts w:ascii="Tahoma" w:hAnsi="Tahoma" w:cs="Tahoma"/>
        </w:rPr>
        <w:t>.</w:t>
      </w:r>
    </w:p>
    <w:p w14:paraId="4A6C9B7F" w14:textId="77777777" w:rsidR="00B82CD3" w:rsidRPr="004406B2" w:rsidRDefault="00B82CD3" w:rsidP="004406B2">
      <w:pPr>
        <w:widowControl w:val="0"/>
        <w:overflowPunct w:val="0"/>
        <w:adjustRightInd w:val="0"/>
        <w:spacing w:line="276" w:lineRule="auto"/>
        <w:ind w:firstLine="708"/>
        <w:jc w:val="both"/>
        <w:rPr>
          <w:rFonts w:ascii="Tahoma" w:hAnsi="Tahoma" w:cs="Tahoma"/>
        </w:rPr>
      </w:pPr>
    </w:p>
    <w:p w14:paraId="4B4C3069" w14:textId="3127A6EA" w:rsidR="00066E64" w:rsidRPr="004406B2" w:rsidRDefault="001811F1" w:rsidP="004406B2">
      <w:pPr>
        <w:widowControl w:val="0"/>
        <w:overflowPunct w:val="0"/>
        <w:adjustRightInd w:val="0"/>
        <w:spacing w:line="276" w:lineRule="auto"/>
        <w:ind w:firstLine="708"/>
        <w:jc w:val="both"/>
        <w:rPr>
          <w:rFonts w:ascii="Tahoma" w:hAnsi="Tahoma" w:cs="Tahoma"/>
        </w:rPr>
      </w:pPr>
      <w:r w:rsidRPr="004406B2">
        <w:rPr>
          <w:rFonts w:ascii="Tahoma" w:hAnsi="Tahoma" w:cs="Tahoma"/>
        </w:rPr>
        <w:t xml:space="preserve">Lo anterior en razón a que </w:t>
      </w:r>
      <w:r w:rsidR="00CA3BD1" w:rsidRPr="004406B2">
        <w:rPr>
          <w:rFonts w:ascii="Tahoma" w:hAnsi="Tahoma" w:cs="Tahoma"/>
        </w:rPr>
        <w:t>la vinculación</w:t>
      </w:r>
      <w:r w:rsidR="00B82CD3" w:rsidRPr="004406B2">
        <w:rPr>
          <w:rFonts w:ascii="Tahoma" w:hAnsi="Tahoma" w:cs="Tahoma"/>
        </w:rPr>
        <w:t xml:space="preserve"> del demandante</w:t>
      </w:r>
      <w:r w:rsidR="00CA3BD1" w:rsidRPr="004406B2">
        <w:rPr>
          <w:rFonts w:ascii="Tahoma" w:hAnsi="Tahoma" w:cs="Tahoma"/>
        </w:rPr>
        <w:t xml:space="preserve"> con el Estado como docente se dio antes del 27 de junio de 2003, </w:t>
      </w:r>
      <w:r w:rsidR="00B82CD3" w:rsidRPr="004406B2">
        <w:rPr>
          <w:rFonts w:ascii="Tahoma" w:hAnsi="Tahoma" w:cs="Tahoma"/>
        </w:rPr>
        <w:t>según se extra</w:t>
      </w:r>
      <w:r w:rsidRPr="004406B2">
        <w:rPr>
          <w:rFonts w:ascii="Tahoma" w:hAnsi="Tahoma" w:cs="Tahoma"/>
        </w:rPr>
        <w:t>ía</w:t>
      </w:r>
      <w:r w:rsidR="00B82CD3" w:rsidRPr="004406B2">
        <w:rPr>
          <w:rFonts w:ascii="Tahoma" w:hAnsi="Tahoma" w:cs="Tahoma"/>
        </w:rPr>
        <w:t xml:space="preserve"> </w:t>
      </w:r>
      <w:r w:rsidR="00CA3BD1" w:rsidRPr="004406B2">
        <w:rPr>
          <w:rFonts w:ascii="Tahoma" w:hAnsi="Tahoma" w:cs="Tahoma"/>
        </w:rPr>
        <w:t xml:space="preserve">de la Resolución 522 del 17 de septiembre de 2002, en la que se indica que </w:t>
      </w:r>
      <w:r w:rsidR="00B82CD3" w:rsidRPr="004406B2">
        <w:rPr>
          <w:rFonts w:ascii="Tahoma" w:hAnsi="Tahoma" w:cs="Tahoma"/>
        </w:rPr>
        <w:t>é</w:t>
      </w:r>
      <w:r w:rsidR="00CA3BD1" w:rsidRPr="004406B2">
        <w:rPr>
          <w:rFonts w:ascii="Tahoma" w:hAnsi="Tahoma" w:cs="Tahoma"/>
        </w:rPr>
        <w:t>l prestó sus servicios en la Institución Educativa MARIA DOLOROSA desde el 5 de marzo de 1974 al 20 de agosto de 2006; abriendo la posibilidad de realizar aportes simultáneos a PORVENIR como trabajador particular aun cuando prestara sus servicios a una entidad estatal entre noviembre de 1996 y agosto de 2001.</w:t>
      </w:r>
    </w:p>
    <w:p w14:paraId="38132212" w14:textId="510EF0DE" w:rsidR="00B82CD3" w:rsidRPr="004406B2" w:rsidRDefault="00B82CD3" w:rsidP="004406B2">
      <w:pPr>
        <w:widowControl w:val="0"/>
        <w:overflowPunct w:val="0"/>
        <w:adjustRightInd w:val="0"/>
        <w:spacing w:line="276" w:lineRule="auto"/>
        <w:ind w:firstLine="708"/>
        <w:jc w:val="both"/>
        <w:rPr>
          <w:rFonts w:ascii="Tahoma" w:hAnsi="Tahoma" w:cs="Tahoma"/>
        </w:rPr>
      </w:pPr>
    </w:p>
    <w:p w14:paraId="453B56CE" w14:textId="4D984239" w:rsidR="00B82CD3" w:rsidRPr="004406B2" w:rsidRDefault="00B82CD3" w:rsidP="004406B2">
      <w:pPr>
        <w:widowControl w:val="0"/>
        <w:overflowPunct w:val="0"/>
        <w:adjustRightInd w:val="0"/>
        <w:spacing w:line="276" w:lineRule="auto"/>
        <w:ind w:firstLine="708"/>
        <w:jc w:val="both"/>
        <w:rPr>
          <w:rStyle w:val="normaltextrun"/>
          <w:rFonts w:ascii="Tahoma" w:hAnsi="Tahoma" w:cs="Tahoma"/>
        </w:rPr>
      </w:pPr>
      <w:r w:rsidRPr="004406B2">
        <w:rPr>
          <w:rStyle w:val="normaltextrun"/>
          <w:rFonts w:ascii="Tahoma" w:hAnsi="Tahoma" w:cs="Tahoma"/>
        </w:rPr>
        <w:t>Con relación a los intereses reclamados, dispuso que</w:t>
      </w:r>
      <w:r w:rsidR="005E54E6" w:rsidRPr="004406B2">
        <w:rPr>
          <w:rStyle w:val="normaltextrun"/>
          <w:rFonts w:ascii="Tahoma" w:hAnsi="Tahoma" w:cs="Tahoma"/>
        </w:rPr>
        <w:t>,</w:t>
      </w:r>
      <w:r w:rsidRPr="004406B2">
        <w:rPr>
          <w:rStyle w:val="normaltextrun"/>
          <w:rFonts w:ascii="Tahoma" w:hAnsi="Tahoma" w:cs="Tahoma"/>
        </w:rPr>
        <w:t xml:space="preserve"> si bien la </w:t>
      </w:r>
      <w:r w:rsidR="006D2230" w:rsidRPr="004406B2">
        <w:rPr>
          <w:rStyle w:val="normaltextrun"/>
          <w:rFonts w:ascii="Tahoma" w:hAnsi="Tahoma" w:cs="Tahoma"/>
        </w:rPr>
        <w:t>L</w:t>
      </w:r>
      <w:r w:rsidRPr="004406B2">
        <w:rPr>
          <w:rStyle w:val="normaltextrun"/>
          <w:rFonts w:ascii="Tahoma" w:hAnsi="Tahoma" w:cs="Tahoma"/>
        </w:rPr>
        <w:t>ey 100 de 1993 reconoce el pago de los mismos, lo hace sólo para el caso de mora en el pago de mesadas pensionales</w:t>
      </w:r>
      <w:r w:rsidR="001A1284" w:rsidRPr="004406B2">
        <w:rPr>
          <w:rStyle w:val="normaltextrun"/>
          <w:rFonts w:ascii="Tahoma" w:hAnsi="Tahoma" w:cs="Tahoma"/>
        </w:rPr>
        <w:t>;</w:t>
      </w:r>
      <w:r w:rsidRPr="004406B2">
        <w:rPr>
          <w:rStyle w:val="normaltextrun"/>
          <w:rFonts w:ascii="Tahoma" w:hAnsi="Tahoma" w:cs="Tahoma"/>
        </w:rPr>
        <w:t xml:space="preserve"> no obstante</w:t>
      </w:r>
      <w:r w:rsidR="005E54E6" w:rsidRPr="004406B2">
        <w:rPr>
          <w:rStyle w:val="normaltextrun"/>
          <w:rFonts w:ascii="Tahoma" w:hAnsi="Tahoma" w:cs="Tahoma"/>
        </w:rPr>
        <w:t>,</w:t>
      </w:r>
      <w:r w:rsidRPr="004406B2">
        <w:rPr>
          <w:rStyle w:val="normaltextrun"/>
          <w:rFonts w:ascii="Tahoma" w:hAnsi="Tahoma" w:cs="Tahoma"/>
        </w:rPr>
        <w:t xml:space="preserve"> al ser evidente que la entidad omitió el pago de una prestación a la que tenía derecho el demandante, se generaron perjuicios por el no pago oportuno de lo adeudado, siendo del caso compensar</w:t>
      </w:r>
      <w:r w:rsidR="00E85E15" w:rsidRPr="004406B2">
        <w:rPr>
          <w:rStyle w:val="normaltextrun"/>
          <w:rFonts w:ascii="Tahoma" w:hAnsi="Tahoma" w:cs="Tahoma"/>
        </w:rPr>
        <w:t>los</w:t>
      </w:r>
      <w:r w:rsidRPr="004406B2">
        <w:rPr>
          <w:rStyle w:val="normaltextrun"/>
          <w:rFonts w:ascii="Tahoma" w:hAnsi="Tahoma" w:cs="Tahoma"/>
        </w:rPr>
        <w:t xml:space="preserve"> en la forma prevista en el artículo 1617 del CC. En virtud de ello, condenó a </w:t>
      </w:r>
      <w:r w:rsidR="00882411" w:rsidRPr="004406B2">
        <w:rPr>
          <w:rStyle w:val="normaltextrun"/>
          <w:rFonts w:ascii="Tahoma" w:hAnsi="Tahoma" w:cs="Tahoma"/>
        </w:rPr>
        <w:t xml:space="preserve">Porvenir </w:t>
      </w:r>
      <w:r w:rsidRPr="004406B2">
        <w:rPr>
          <w:rStyle w:val="normaltextrun"/>
          <w:rFonts w:ascii="Tahoma" w:hAnsi="Tahoma" w:cs="Tahoma"/>
        </w:rPr>
        <w:t>a cancelar a favor del demandante los intereses legales</w:t>
      </w:r>
      <w:r w:rsidR="00E85E15" w:rsidRPr="004406B2">
        <w:rPr>
          <w:rStyle w:val="normaltextrun"/>
          <w:rFonts w:ascii="Tahoma" w:hAnsi="Tahoma" w:cs="Tahoma"/>
        </w:rPr>
        <w:t xml:space="preserve"> del</w:t>
      </w:r>
      <w:r w:rsidRPr="004406B2">
        <w:rPr>
          <w:rStyle w:val="normaltextrun"/>
          <w:rFonts w:ascii="Tahoma" w:hAnsi="Tahoma" w:cs="Tahoma"/>
        </w:rPr>
        <w:t xml:space="preserve"> art</w:t>
      </w:r>
      <w:r w:rsidR="00E85E15" w:rsidRPr="004406B2">
        <w:rPr>
          <w:rStyle w:val="normaltextrun"/>
          <w:rFonts w:ascii="Tahoma" w:hAnsi="Tahoma" w:cs="Tahoma"/>
        </w:rPr>
        <w:t>ículo</w:t>
      </w:r>
      <w:r w:rsidRPr="004406B2">
        <w:rPr>
          <w:rStyle w:val="normaltextrun"/>
          <w:rFonts w:ascii="Tahoma" w:hAnsi="Tahoma" w:cs="Tahoma"/>
        </w:rPr>
        <w:t xml:space="preserve"> 1617</w:t>
      </w:r>
      <w:r w:rsidR="005E54E6" w:rsidRPr="004406B2">
        <w:rPr>
          <w:rStyle w:val="normaltextrun"/>
          <w:rFonts w:ascii="Tahoma" w:hAnsi="Tahoma" w:cs="Tahoma"/>
        </w:rPr>
        <w:t>del C.C.</w:t>
      </w:r>
      <w:r w:rsidRPr="004406B2">
        <w:rPr>
          <w:rStyle w:val="normaltextrun"/>
          <w:rFonts w:ascii="Tahoma" w:hAnsi="Tahoma" w:cs="Tahoma"/>
        </w:rPr>
        <w:t>, sobre la suma adeudada desde la fecha que debió reconocer la prestación, esto es, el 6 de abril de 2014.</w:t>
      </w:r>
    </w:p>
    <w:p w14:paraId="0D434FC8" w14:textId="65316E0E" w:rsidR="00B82CD3" w:rsidRPr="004406B2" w:rsidRDefault="00B82CD3" w:rsidP="004406B2">
      <w:pPr>
        <w:widowControl w:val="0"/>
        <w:overflowPunct w:val="0"/>
        <w:adjustRightInd w:val="0"/>
        <w:spacing w:line="276" w:lineRule="auto"/>
        <w:ind w:firstLine="708"/>
        <w:jc w:val="both"/>
        <w:rPr>
          <w:rFonts w:ascii="Tahoma" w:hAnsi="Tahoma" w:cs="Tahoma"/>
        </w:rPr>
      </w:pPr>
    </w:p>
    <w:p w14:paraId="3457F7C3" w14:textId="77777777" w:rsidR="005E54E6" w:rsidRPr="004406B2" w:rsidRDefault="005E54E6" w:rsidP="004406B2">
      <w:pPr>
        <w:widowControl w:val="0"/>
        <w:overflowPunct w:val="0"/>
        <w:adjustRightInd w:val="0"/>
        <w:spacing w:line="276" w:lineRule="auto"/>
        <w:ind w:firstLine="708"/>
        <w:jc w:val="both"/>
        <w:rPr>
          <w:rFonts w:ascii="Tahoma" w:hAnsi="Tahoma" w:cs="Tahoma"/>
        </w:rPr>
      </w:pPr>
    </w:p>
    <w:p w14:paraId="20B617D6" w14:textId="5B0793EF" w:rsidR="004F2069" w:rsidRPr="004406B2" w:rsidRDefault="005B1462" w:rsidP="004406B2">
      <w:pPr>
        <w:pStyle w:val="Prrafodelista"/>
        <w:numPr>
          <w:ilvl w:val="0"/>
          <w:numId w:val="2"/>
        </w:numPr>
        <w:spacing w:line="276" w:lineRule="auto"/>
        <w:jc w:val="center"/>
        <w:rPr>
          <w:rFonts w:ascii="Tahoma" w:hAnsi="Tahoma" w:cs="Tahoma"/>
          <w:b/>
        </w:rPr>
      </w:pPr>
      <w:r w:rsidRPr="004406B2">
        <w:rPr>
          <w:rFonts w:ascii="Tahoma" w:hAnsi="Tahoma" w:cs="Tahoma"/>
          <w:b/>
        </w:rPr>
        <w:t>Recursos de apelación</w:t>
      </w:r>
    </w:p>
    <w:p w14:paraId="04BD3B1F" w14:textId="2C361370" w:rsidR="00A9473B" w:rsidRPr="004406B2" w:rsidRDefault="00A9473B" w:rsidP="004406B2">
      <w:pPr>
        <w:pStyle w:val="Prrafodelista"/>
        <w:spacing w:line="276" w:lineRule="auto"/>
        <w:ind w:left="1080"/>
        <w:rPr>
          <w:rFonts w:ascii="Tahoma" w:hAnsi="Tahoma" w:cs="Tahoma"/>
        </w:rPr>
      </w:pPr>
    </w:p>
    <w:p w14:paraId="1B51AF29" w14:textId="08BEFEFC" w:rsidR="001F3B33" w:rsidRPr="004406B2" w:rsidRDefault="00D00C8F" w:rsidP="004406B2">
      <w:pPr>
        <w:spacing w:line="276" w:lineRule="auto"/>
        <w:ind w:firstLine="709"/>
        <w:jc w:val="both"/>
        <w:rPr>
          <w:rFonts w:ascii="Tahoma" w:eastAsia="Tahoma" w:hAnsi="Tahoma" w:cs="Tahoma"/>
        </w:rPr>
      </w:pPr>
      <w:r w:rsidRPr="004406B2">
        <w:rPr>
          <w:rFonts w:ascii="Tahoma" w:eastAsia="Tahoma" w:hAnsi="Tahoma" w:cs="Tahoma"/>
        </w:rPr>
        <w:t xml:space="preserve">El apoderado </w:t>
      </w:r>
      <w:r w:rsidR="005958AF" w:rsidRPr="004406B2">
        <w:rPr>
          <w:rFonts w:ascii="Tahoma" w:eastAsia="Tahoma" w:hAnsi="Tahoma" w:cs="Tahoma"/>
        </w:rPr>
        <w:t xml:space="preserve">judicial de </w:t>
      </w:r>
      <w:r w:rsidR="001F3B33" w:rsidRPr="004406B2">
        <w:rPr>
          <w:rFonts w:ascii="Tahoma" w:eastAsia="Tahoma" w:hAnsi="Tahoma" w:cs="Tahoma"/>
        </w:rPr>
        <w:t>Porvenir S.A. atacó la decisión únicamente en lo concerniente a las condena</w:t>
      </w:r>
      <w:r w:rsidR="008605E7" w:rsidRPr="004406B2">
        <w:rPr>
          <w:rFonts w:ascii="Tahoma" w:eastAsia="Tahoma" w:hAnsi="Tahoma" w:cs="Tahoma"/>
        </w:rPr>
        <w:t>s</w:t>
      </w:r>
      <w:r w:rsidR="001F3B33" w:rsidRPr="004406B2">
        <w:rPr>
          <w:rFonts w:ascii="Tahoma" w:eastAsia="Tahoma" w:hAnsi="Tahoma" w:cs="Tahoma"/>
        </w:rPr>
        <w:t xml:space="preserve"> </w:t>
      </w:r>
      <w:r w:rsidR="008605E7" w:rsidRPr="004406B2">
        <w:rPr>
          <w:rFonts w:ascii="Tahoma" w:eastAsia="Tahoma" w:hAnsi="Tahoma" w:cs="Tahoma"/>
        </w:rPr>
        <w:t>por</w:t>
      </w:r>
      <w:r w:rsidR="001F3B33" w:rsidRPr="004406B2">
        <w:rPr>
          <w:rFonts w:ascii="Tahoma" w:eastAsia="Tahoma" w:hAnsi="Tahoma" w:cs="Tahoma"/>
        </w:rPr>
        <w:t xml:space="preserve"> costas procesales e intereses de mora</w:t>
      </w:r>
      <w:r w:rsidR="008605E7" w:rsidRPr="004406B2">
        <w:rPr>
          <w:rFonts w:ascii="Tahoma" w:eastAsia="Tahoma" w:hAnsi="Tahoma" w:cs="Tahoma"/>
        </w:rPr>
        <w:t>, alegando que esa entidad siempre actuó con sujeción a la ley, la cual prevalece sobre los criterios jurisprudenciales que dieron lugar a la sentencia favorable.</w:t>
      </w:r>
    </w:p>
    <w:p w14:paraId="2248C3FE" w14:textId="5C93B4D3" w:rsidR="008605E7" w:rsidRPr="004406B2" w:rsidRDefault="008605E7" w:rsidP="004406B2">
      <w:pPr>
        <w:spacing w:line="276" w:lineRule="auto"/>
        <w:ind w:firstLine="709"/>
        <w:jc w:val="both"/>
        <w:rPr>
          <w:rFonts w:ascii="Tahoma" w:eastAsia="Tahoma" w:hAnsi="Tahoma" w:cs="Tahoma"/>
        </w:rPr>
      </w:pPr>
    </w:p>
    <w:p w14:paraId="298CDC6B" w14:textId="6DCF8F19" w:rsidR="008605E7" w:rsidRPr="004406B2" w:rsidRDefault="008605E7" w:rsidP="004406B2">
      <w:pPr>
        <w:spacing w:line="276" w:lineRule="auto"/>
        <w:ind w:firstLine="709"/>
        <w:jc w:val="both"/>
        <w:rPr>
          <w:rFonts w:ascii="Tahoma" w:eastAsia="Tahoma" w:hAnsi="Tahoma" w:cs="Tahoma"/>
        </w:rPr>
      </w:pPr>
      <w:r w:rsidRPr="004406B2">
        <w:rPr>
          <w:rFonts w:ascii="Tahoma" w:eastAsia="Tahoma" w:hAnsi="Tahoma" w:cs="Tahoma"/>
        </w:rPr>
        <w:t>Frente a los intereses moratorios, precisó que debió tenerse en cuenta lo consagrado en la Ley 549 de 1999 y el Decreto 2527 de 2000 (sin precisar cuál artículo de esas normas), y además, que no procedían por cuanto el dinero en la cuenta de ahorro de</w:t>
      </w:r>
      <w:r w:rsidR="00CA3BD1" w:rsidRPr="004406B2">
        <w:rPr>
          <w:rFonts w:ascii="Tahoma" w:eastAsia="Tahoma" w:hAnsi="Tahoma" w:cs="Tahoma"/>
        </w:rPr>
        <w:t xml:space="preserve">l </w:t>
      </w:r>
      <w:r w:rsidRPr="004406B2">
        <w:rPr>
          <w:rFonts w:ascii="Tahoma" w:eastAsia="Tahoma" w:hAnsi="Tahoma" w:cs="Tahoma"/>
        </w:rPr>
        <w:t xml:space="preserve">demandante </w:t>
      </w:r>
      <w:r w:rsidR="00CA3BD1" w:rsidRPr="004406B2">
        <w:rPr>
          <w:rFonts w:ascii="Tahoma" w:eastAsia="Tahoma" w:hAnsi="Tahoma" w:cs="Tahoma"/>
        </w:rPr>
        <w:t>ha generado rendimientos y ellos serán entregados al actor.</w:t>
      </w:r>
    </w:p>
    <w:p w14:paraId="4EB1A2DA" w14:textId="0FC15273" w:rsidR="00CA3BD1" w:rsidRPr="004406B2" w:rsidRDefault="00CA3BD1" w:rsidP="004406B2">
      <w:pPr>
        <w:spacing w:line="276" w:lineRule="auto"/>
        <w:ind w:firstLine="709"/>
        <w:jc w:val="both"/>
        <w:rPr>
          <w:rFonts w:ascii="Tahoma" w:eastAsia="Tahoma" w:hAnsi="Tahoma" w:cs="Tahoma"/>
        </w:rPr>
      </w:pPr>
    </w:p>
    <w:p w14:paraId="0684C3AC" w14:textId="7F8EC087" w:rsidR="00CA3BD1" w:rsidRPr="004406B2" w:rsidRDefault="00CA3BD1" w:rsidP="004406B2">
      <w:pPr>
        <w:spacing w:line="276" w:lineRule="auto"/>
        <w:ind w:firstLine="709"/>
        <w:jc w:val="both"/>
        <w:rPr>
          <w:rFonts w:ascii="Tahoma" w:eastAsia="Tahoma" w:hAnsi="Tahoma" w:cs="Tahoma"/>
        </w:rPr>
      </w:pPr>
      <w:r w:rsidRPr="004406B2">
        <w:rPr>
          <w:rFonts w:ascii="Tahoma" w:eastAsia="Tahoma" w:hAnsi="Tahoma" w:cs="Tahoma"/>
        </w:rPr>
        <w:lastRenderedPageBreak/>
        <w:t>Por último, indicó que en caso de confirmarse la sentencia de primer grado debía tenerse en cuenta que operó la prescripción respecto de los intereses causados con antelación al año 2014.</w:t>
      </w:r>
    </w:p>
    <w:p w14:paraId="64BDE5E5" w14:textId="2DC8C42A" w:rsidR="00D51494" w:rsidRPr="004406B2" w:rsidRDefault="00D51494" w:rsidP="004406B2">
      <w:pPr>
        <w:spacing w:line="276" w:lineRule="auto"/>
        <w:jc w:val="both"/>
        <w:rPr>
          <w:rFonts w:ascii="Tahoma" w:hAnsi="Tahoma" w:cs="Tahoma"/>
        </w:rPr>
      </w:pPr>
    </w:p>
    <w:p w14:paraId="0A1A4E50" w14:textId="77777777" w:rsidR="005E54E6" w:rsidRPr="004406B2" w:rsidRDefault="005E54E6" w:rsidP="004406B2">
      <w:pPr>
        <w:spacing w:line="276" w:lineRule="auto"/>
        <w:jc w:val="both"/>
        <w:rPr>
          <w:rFonts w:ascii="Tahoma" w:hAnsi="Tahoma" w:cs="Tahoma"/>
        </w:rPr>
      </w:pPr>
    </w:p>
    <w:p w14:paraId="22352B26" w14:textId="49AD98CB" w:rsidR="00D51494" w:rsidRPr="004406B2" w:rsidRDefault="00D51494" w:rsidP="004406B2">
      <w:pPr>
        <w:pStyle w:val="Prrafodelista"/>
        <w:numPr>
          <w:ilvl w:val="0"/>
          <w:numId w:val="2"/>
        </w:numPr>
        <w:tabs>
          <w:tab w:val="left" w:pos="284"/>
        </w:tabs>
        <w:spacing w:line="276" w:lineRule="auto"/>
        <w:ind w:left="0" w:firstLine="0"/>
        <w:jc w:val="center"/>
        <w:rPr>
          <w:rFonts w:ascii="Tahoma" w:hAnsi="Tahoma" w:cs="Tahoma"/>
          <w:b/>
        </w:rPr>
      </w:pPr>
      <w:r w:rsidRPr="004406B2">
        <w:rPr>
          <w:rStyle w:val="normaltextrun"/>
          <w:rFonts w:ascii="Tahoma" w:hAnsi="Tahoma" w:cs="Tahoma"/>
          <w:b/>
          <w:bCs/>
        </w:rPr>
        <w:t>Alegatos de Conclusión/Concepto del Ministerio Público</w:t>
      </w:r>
    </w:p>
    <w:p w14:paraId="166AD530" w14:textId="77777777" w:rsidR="00D00C8F" w:rsidRPr="004406B2" w:rsidRDefault="00D00C8F" w:rsidP="004406B2">
      <w:pPr>
        <w:spacing w:line="276" w:lineRule="auto"/>
        <w:ind w:firstLine="708"/>
        <w:jc w:val="both"/>
        <w:rPr>
          <w:rStyle w:val="normaltextrun"/>
          <w:rFonts w:ascii="Tahoma" w:hAnsi="Tahoma" w:cs="Tahoma"/>
          <w:color w:val="000000"/>
        </w:rPr>
      </w:pPr>
    </w:p>
    <w:p w14:paraId="6CC5168F" w14:textId="2E3AF861" w:rsidR="00D51494" w:rsidRPr="004406B2" w:rsidRDefault="00D51494" w:rsidP="004406B2">
      <w:pPr>
        <w:spacing w:line="276" w:lineRule="auto"/>
        <w:ind w:firstLine="708"/>
        <w:jc w:val="both"/>
        <w:rPr>
          <w:rStyle w:val="normaltextrun"/>
          <w:rFonts w:ascii="Tahoma" w:hAnsi="Tahoma" w:cs="Tahoma"/>
          <w:color w:val="000000"/>
        </w:rPr>
      </w:pPr>
      <w:r w:rsidRPr="004406B2">
        <w:rPr>
          <w:rStyle w:val="normaltextrun"/>
          <w:rFonts w:ascii="Tahoma" w:hAnsi="Tahoma" w:cs="Tahoma"/>
          <w:color w:val="000000"/>
        </w:rPr>
        <w:t xml:space="preserve">Analizados los alegatos presentados por </w:t>
      </w:r>
      <w:r w:rsidR="00D00C8F" w:rsidRPr="004406B2">
        <w:rPr>
          <w:rStyle w:val="normaltextrun"/>
          <w:rFonts w:ascii="Tahoma" w:hAnsi="Tahoma" w:cs="Tahoma"/>
          <w:color w:val="000000"/>
        </w:rPr>
        <w:t>Colpensiones</w:t>
      </w:r>
      <w:r w:rsidRPr="004406B2">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4406B2">
        <w:rPr>
          <w:rStyle w:val="normaltextrun"/>
          <w:rFonts w:ascii="Tahoma" w:hAnsi="Tahoma" w:cs="Tahoma"/>
        </w:rPr>
        <w:t>el Ministerio Público NO conceptuó en este asunto.</w:t>
      </w:r>
      <w:r w:rsidRPr="004406B2">
        <w:rPr>
          <w:rStyle w:val="normaltextrun"/>
          <w:rFonts w:ascii="Tahoma" w:hAnsi="Tahoma" w:cs="Tahoma"/>
          <w:color w:val="000000"/>
        </w:rPr>
        <w:t xml:space="preserve"> </w:t>
      </w:r>
    </w:p>
    <w:p w14:paraId="27576640" w14:textId="77777777" w:rsidR="005E54E6" w:rsidRPr="004406B2" w:rsidRDefault="005E54E6" w:rsidP="004406B2">
      <w:pPr>
        <w:spacing w:line="276" w:lineRule="auto"/>
        <w:ind w:firstLine="708"/>
        <w:jc w:val="both"/>
        <w:rPr>
          <w:rStyle w:val="normaltextrun"/>
          <w:rFonts w:ascii="Tahoma" w:hAnsi="Tahoma" w:cs="Tahoma"/>
          <w:color w:val="000000"/>
        </w:rPr>
      </w:pPr>
    </w:p>
    <w:p w14:paraId="5FFF7045" w14:textId="77777777" w:rsidR="00D51494" w:rsidRPr="004406B2" w:rsidRDefault="00D51494" w:rsidP="004406B2">
      <w:pPr>
        <w:widowControl w:val="0"/>
        <w:autoSpaceDE w:val="0"/>
        <w:autoSpaceDN w:val="0"/>
        <w:adjustRightInd w:val="0"/>
        <w:spacing w:line="276" w:lineRule="auto"/>
        <w:rPr>
          <w:rFonts w:ascii="Tahoma" w:hAnsi="Tahoma" w:cs="Tahoma"/>
          <w:b/>
        </w:rPr>
      </w:pPr>
    </w:p>
    <w:p w14:paraId="6582FEE0" w14:textId="258A8C47" w:rsidR="00D51494" w:rsidRPr="004406B2" w:rsidRDefault="00D51494" w:rsidP="004406B2">
      <w:pPr>
        <w:pStyle w:val="Prrafodelista"/>
        <w:widowControl w:val="0"/>
        <w:numPr>
          <w:ilvl w:val="0"/>
          <w:numId w:val="2"/>
        </w:numPr>
        <w:autoSpaceDE w:val="0"/>
        <w:autoSpaceDN w:val="0"/>
        <w:adjustRightInd w:val="0"/>
        <w:spacing w:line="276" w:lineRule="auto"/>
        <w:jc w:val="center"/>
        <w:rPr>
          <w:rFonts w:ascii="Tahoma" w:hAnsi="Tahoma" w:cs="Tahoma"/>
          <w:b/>
        </w:rPr>
      </w:pPr>
      <w:r w:rsidRPr="004406B2">
        <w:rPr>
          <w:rFonts w:ascii="Tahoma" w:hAnsi="Tahoma" w:cs="Tahoma"/>
          <w:b/>
        </w:rPr>
        <w:t>Problema</w:t>
      </w:r>
      <w:r w:rsidR="00FB2E0E" w:rsidRPr="004406B2">
        <w:rPr>
          <w:rFonts w:ascii="Tahoma" w:hAnsi="Tahoma" w:cs="Tahoma"/>
          <w:b/>
        </w:rPr>
        <w:t>s</w:t>
      </w:r>
      <w:r w:rsidRPr="004406B2">
        <w:rPr>
          <w:rFonts w:ascii="Tahoma" w:hAnsi="Tahoma" w:cs="Tahoma"/>
          <w:b/>
        </w:rPr>
        <w:t xml:space="preserve"> jurídico</w:t>
      </w:r>
      <w:r w:rsidR="00514296" w:rsidRPr="004406B2">
        <w:rPr>
          <w:rFonts w:ascii="Tahoma" w:hAnsi="Tahoma" w:cs="Tahoma"/>
          <w:b/>
        </w:rPr>
        <w:t>s</w:t>
      </w:r>
      <w:r w:rsidRPr="004406B2">
        <w:rPr>
          <w:rFonts w:ascii="Tahoma" w:hAnsi="Tahoma" w:cs="Tahoma"/>
          <w:b/>
        </w:rPr>
        <w:t xml:space="preserve"> por resolver</w:t>
      </w:r>
    </w:p>
    <w:p w14:paraId="6D78C238" w14:textId="77777777" w:rsidR="00D51494" w:rsidRPr="004406B2" w:rsidRDefault="00D51494" w:rsidP="004406B2">
      <w:pPr>
        <w:pStyle w:val="Sinespaciado"/>
        <w:spacing w:line="276" w:lineRule="auto"/>
        <w:ind w:left="1080"/>
        <w:rPr>
          <w:rFonts w:ascii="Tahoma" w:hAnsi="Tahoma" w:cs="Tahoma"/>
        </w:rPr>
      </w:pPr>
    </w:p>
    <w:p w14:paraId="16B9AB0B" w14:textId="7E12891E" w:rsidR="00FB2E0E" w:rsidRPr="004406B2" w:rsidRDefault="00D51494" w:rsidP="004406B2">
      <w:pPr>
        <w:spacing w:line="276" w:lineRule="auto"/>
        <w:ind w:firstLine="708"/>
        <w:jc w:val="both"/>
        <w:rPr>
          <w:rFonts w:ascii="Tahoma" w:hAnsi="Tahoma" w:cs="Tahoma"/>
        </w:rPr>
      </w:pPr>
      <w:r w:rsidRPr="004406B2">
        <w:rPr>
          <w:rFonts w:ascii="Tahoma" w:hAnsi="Tahoma" w:cs="Tahoma"/>
        </w:rPr>
        <w:t xml:space="preserve">De acuerdo a los argumentos expuestos en la sentencia de primera instancia y </w:t>
      </w:r>
      <w:r w:rsidR="005E54E6" w:rsidRPr="004406B2">
        <w:rPr>
          <w:rFonts w:ascii="Tahoma" w:hAnsi="Tahoma" w:cs="Tahoma"/>
        </w:rPr>
        <w:t>l</w:t>
      </w:r>
      <w:r w:rsidRPr="004406B2">
        <w:rPr>
          <w:rFonts w:ascii="Tahoma" w:hAnsi="Tahoma" w:cs="Tahoma"/>
        </w:rPr>
        <w:t xml:space="preserve">os </w:t>
      </w:r>
      <w:r w:rsidR="005E54E6" w:rsidRPr="004406B2">
        <w:rPr>
          <w:rFonts w:ascii="Tahoma" w:hAnsi="Tahoma" w:cs="Tahoma"/>
        </w:rPr>
        <w:t xml:space="preserve">fundamentos de la apelación, </w:t>
      </w:r>
      <w:r w:rsidRPr="004406B2">
        <w:rPr>
          <w:rFonts w:ascii="Tahoma" w:hAnsi="Tahoma" w:cs="Tahoma"/>
        </w:rPr>
        <w:t>le corresponde a la Sala determinar</w:t>
      </w:r>
      <w:r w:rsidR="00FB2E0E" w:rsidRPr="004406B2">
        <w:rPr>
          <w:rFonts w:ascii="Tahoma" w:hAnsi="Tahoma" w:cs="Tahoma"/>
        </w:rPr>
        <w:t xml:space="preserve"> si debió condenarse a la entidad demandada al pago de las costas procesales y los interes</w:t>
      </w:r>
      <w:r w:rsidR="005E54E6" w:rsidRPr="004406B2">
        <w:rPr>
          <w:rFonts w:ascii="Tahoma" w:hAnsi="Tahoma" w:cs="Tahoma"/>
        </w:rPr>
        <w:t>e</w:t>
      </w:r>
      <w:r w:rsidR="00FB2E0E" w:rsidRPr="004406B2">
        <w:rPr>
          <w:rFonts w:ascii="Tahoma" w:hAnsi="Tahoma" w:cs="Tahoma"/>
        </w:rPr>
        <w:t>s moratorios</w:t>
      </w:r>
      <w:r w:rsidR="005E54E6" w:rsidRPr="004406B2">
        <w:rPr>
          <w:rFonts w:ascii="Tahoma" w:hAnsi="Tahoma" w:cs="Tahoma"/>
        </w:rPr>
        <w:t xml:space="preserve"> regulados en el código civil.</w:t>
      </w:r>
    </w:p>
    <w:p w14:paraId="77E6314F" w14:textId="00CC2B96" w:rsidR="00D51494" w:rsidRDefault="00D51494" w:rsidP="004406B2">
      <w:pPr>
        <w:spacing w:line="276" w:lineRule="auto"/>
        <w:jc w:val="both"/>
        <w:rPr>
          <w:rFonts w:ascii="Tahoma" w:hAnsi="Tahoma" w:cs="Tahoma"/>
        </w:rPr>
      </w:pPr>
    </w:p>
    <w:p w14:paraId="33B0BB36" w14:textId="77777777" w:rsidR="00D637D8" w:rsidRPr="004406B2" w:rsidRDefault="00D637D8" w:rsidP="004406B2">
      <w:pPr>
        <w:spacing w:line="276" w:lineRule="auto"/>
        <w:jc w:val="both"/>
        <w:rPr>
          <w:rFonts w:ascii="Tahoma" w:hAnsi="Tahoma" w:cs="Tahoma"/>
        </w:rPr>
      </w:pPr>
    </w:p>
    <w:p w14:paraId="54FEA792" w14:textId="77777777" w:rsidR="00D51494" w:rsidRPr="004406B2" w:rsidRDefault="00D51494" w:rsidP="004406B2">
      <w:pPr>
        <w:widowControl w:val="0"/>
        <w:numPr>
          <w:ilvl w:val="0"/>
          <w:numId w:val="2"/>
        </w:numPr>
        <w:autoSpaceDE w:val="0"/>
        <w:autoSpaceDN w:val="0"/>
        <w:adjustRightInd w:val="0"/>
        <w:spacing w:line="276" w:lineRule="auto"/>
        <w:ind w:hanging="519"/>
        <w:jc w:val="center"/>
        <w:rPr>
          <w:rFonts w:ascii="Tahoma" w:hAnsi="Tahoma" w:cs="Tahoma"/>
          <w:b/>
        </w:rPr>
      </w:pPr>
      <w:r w:rsidRPr="004406B2">
        <w:rPr>
          <w:rFonts w:ascii="Tahoma" w:hAnsi="Tahoma" w:cs="Tahoma"/>
          <w:b/>
        </w:rPr>
        <w:t>Consideraciones</w:t>
      </w:r>
    </w:p>
    <w:p w14:paraId="1FEEB094" w14:textId="77777777" w:rsidR="00FB2E0E" w:rsidRPr="004406B2" w:rsidRDefault="00FB2E0E" w:rsidP="004406B2">
      <w:pPr>
        <w:tabs>
          <w:tab w:val="left" w:pos="567"/>
        </w:tabs>
        <w:spacing w:line="276" w:lineRule="auto"/>
        <w:jc w:val="both"/>
        <w:rPr>
          <w:rFonts w:ascii="Tahoma" w:hAnsi="Tahoma" w:cs="Tahoma"/>
          <w:b/>
        </w:rPr>
      </w:pPr>
    </w:p>
    <w:p w14:paraId="1E9D9935" w14:textId="66AFC958" w:rsidR="0049341F" w:rsidRPr="004406B2" w:rsidRDefault="00FB2E0E" w:rsidP="00D637D8">
      <w:pPr>
        <w:tabs>
          <w:tab w:val="left" w:pos="567"/>
        </w:tabs>
        <w:spacing w:line="276" w:lineRule="auto"/>
        <w:jc w:val="both"/>
        <w:rPr>
          <w:rFonts w:ascii="Tahoma" w:hAnsi="Tahoma" w:cs="Tahoma"/>
          <w:b/>
        </w:rPr>
      </w:pPr>
      <w:r w:rsidRPr="004406B2">
        <w:rPr>
          <w:rFonts w:ascii="Tahoma" w:hAnsi="Tahoma" w:cs="Tahoma"/>
          <w:b/>
        </w:rPr>
        <w:tab/>
      </w:r>
      <w:r w:rsidR="0049341F" w:rsidRPr="004406B2">
        <w:rPr>
          <w:rFonts w:ascii="Tahoma" w:hAnsi="Tahoma" w:cs="Tahoma"/>
          <w:b/>
        </w:rPr>
        <w:t>Compatibilidad de la pensión otorgada por el Magisterio y la derivada del sistema general de seguridad social</w:t>
      </w:r>
    </w:p>
    <w:p w14:paraId="634005AA" w14:textId="77777777" w:rsidR="00A563DE" w:rsidRPr="004406B2" w:rsidRDefault="00A563DE" w:rsidP="004406B2">
      <w:pPr>
        <w:pStyle w:val="Prrafodelista"/>
        <w:tabs>
          <w:tab w:val="left" w:pos="567"/>
        </w:tabs>
        <w:spacing w:line="276" w:lineRule="auto"/>
        <w:ind w:left="1276"/>
        <w:jc w:val="both"/>
        <w:rPr>
          <w:rFonts w:ascii="Tahoma" w:hAnsi="Tahoma" w:cs="Tahoma"/>
          <w:b/>
        </w:rPr>
      </w:pPr>
    </w:p>
    <w:p w14:paraId="0EA6B61B" w14:textId="77777777" w:rsidR="0049341F" w:rsidRPr="004406B2" w:rsidRDefault="0049341F" w:rsidP="004406B2">
      <w:pPr>
        <w:tabs>
          <w:tab w:val="left" w:pos="748"/>
        </w:tabs>
        <w:spacing w:line="276" w:lineRule="auto"/>
        <w:ind w:firstLine="709"/>
        <w:jc w:val="both"/>
        <w:rPr>
          <w:rFonts w:ascii="Tahoma" w:hAnsi="Tahoma" w:cs="Tahoma"/>
        </w:rPr>
      </w:pPr>
      <w:r w:rsidRPr="004406B2">
        <w:rPr>
          <w:rFonts w:ascii="Tahoma" w:hAnsi="Tahoma" w:cs="Tahoma"/>
        </w:rPr>
        <w:t>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 en virtud de la cual pueden acceder a una pensión vitalicia de jubilación a cargo del Fondo Nacional de Prestaciones Sociales del Magisterio.</w:t>
      </w:r>
    </w:p>
    <w:p w14:paraId="2CA4E8AD" w14:textId="77777777" w:rsidR="0049341F" w:rsidRPr="004406B2" w:rsidRDefault="0049341F" w:rsidP="004406B2">
      <w:pPr>
        <w:tabs>
          <w:tab w:val="left" w:pos="748"/>
        </w:tabs>
        <w:spacing w:line="276" w:lineRule="auto"/>
        <w:ind w:firstLine="709"/>
        <w:jc w:val="both"/>
        <w:rPr>
          <w:rFonts w:ascii="Tahoma" w:hAnsi="Tahoma" w:cs="Tahoma"/>
        </w:rPr>
      </w:pPr>
    </w:p>
    <w:p w14:paraId="4D7EF789" w14:textId="77777777" w:rsidR="0049341F" w:rsidRPr="004406B2" w:rsidRDefault="0049341F" w:rsidP="004406B2">
      <w:pPr>
        <w:tabs>
          <w:tab w:val="left" w:pos="748"/>
        </w:tabs>
        <w:spacing w:line="276" w:lineRule="auto"/>
        <w:ind w:firstLine="709"/>
        <w:jc w:val="both"/>
        <w:rPr>
          <w:rFonts w:ascii="Tahoma" w:hAnsi="Tahoma" w:cs="Tahoma"/>
        </w:rPr>
      </w:pPr>
      <w:r w:rsidRPr="004406B2">
        <w:rPr>
          <w:rFonts w:ascii="Tahoma" w:hAnsi="Tahoma" w:cs="Tahoma"/>
        </w:rPr>
        <w:t>Ahora,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w:t>
      </w:r>
    </w:p>
    <w:p w14:paraId="1AEB0F93" w14:textId="77777777" w:rsidR="0049341F" w:rsidRPr="004406B2" w:rsidRDefault="0049341F" w:rsidP="004406B2">
      <w:pPr>
        <w:tabs>
          <w:tab w:val="left" w:pos="748"/>
        </w:tabs>
        <w:spacing w:line="276" w:lineRule="auto"/>
        <w:ind w:firstLine="1122"/>
        <w:jc w:val="both"/>
        <w:rPr>
          <w:rFonts w:ascii="Tahoma" w:hAnsi="Tahoma" w:cs="Tahoma"/>
        </w:rPr>
      </w:pPr>
    </w:p>
    <w:p w14:paraId="46C134D9" w14:textId="77777777" w:rsidR="0049341F" w:rsidRPr="004406B2" w:rsidRDefault="0049341F" w:rsidP="004406B2">
      <w:pPr>
        <w:widowControl w:val="0"/>
        <w:autoSpaceDE w:val="0"/>
        <w:autoSpaceDN w:val="0"/>
        <w:adjustRightInd w:val="0"/>
        <w:spacing w:line="276" w:lineRule="auto"/>
        <w:ind w:firstLine="708"/>
        <w:jc w:val="both"/>
        <w:rPr>
          <w:rFonts w:ascii="Tahoma" w:hAnsi="Tahoma" w:cs="Tahoma"/>
        </w:rPr>
      </w:pPr>
      <w:r w:rsidRPr="004406B2">
        <w:rPr>
          <w:rFonts w:ascii="Tahoma" w:hAnsi="Tahoma" w:cs="Tahoma"/>
        </w:rPr>
        <w:t xml:space="preserve">Así lo señaló esta Corporación en sentencia del 26 de enero del 2017, proferida </w:t>
      </w:r>
      <w:r w:rsidRPr="004406B2">
        <w:rPr>
          <w:rFonts w:ascii="Tahoma" w:hAnsi="Tahoma" w:cs="Tahoma"/>
        </w:rPr>
        <w:lastRenderedPageBreak/>
        <w:t xml:space="preserve">dentro del proceso radicado con el número 2014-00682, con ponencia del Dr. Francisco Javier Tamayo Tabares, citada por la Jueza de instancia y en la que lo que respecta al tema se indicó: </w:t>
      </w:r>
    </w:p>
    <w:p w14:paraId="7D153661" w14:textId="77777777" w:rsidR="0049341F" w:rsidRPr="004406B2" w:rsidRDefault="0049341F" w:rsidP="004406B2">
      <w:pPr>
        <w:tabs>
          <w:tab w:val="left" w:pos="748"/>
        </w:tabs>
        <w:spacing w:line="276" w:lineRule="auto"/>
        <w:ind w:left="709" w:right="760"/>
        <w:jc w:val="both"/>
        <w:rPr>
          <w:rFonts w:ascii="Tahoma" w:hAnsi="Tahoma" w:cs="Tahoma"/>
        </w:rPr>
      </w:pPr>
    </w:p>
    <w:p w14:paraId="31D4275E" w14:textId="77777777" w:rsidR="0049341F" w:rsidRPr="00D637D8" w:rsidRDefault="0049341F" w:rsidP="00D637D8">
      <w:pPr>
        <w:pStyle w:val="Sinespaciado"/>
        <w:ind w:left="426" w:right="420"/>
        <w:jc w:val="both"/>
        <w:rPr>
          <w:rFonts w:ascii="Tahoma" w:hAnsi="Tahoma" w:cs="Tahoma"/>
          <w:color w:val="000000"/>
          <w:sz w:val="22"/>
        </w:rPr>
      </w:pPr>
      <w:r w:rsidRPr="00D637D8">
        <w:rPr>
          <w:rFonts w:ascii="Tahoma" w:hAnsi="Tahoma" w:cs="Tahoma"/>
          <w:color w:val="000000"/>
          <w:sz w:val="22"/>
        </w:rPr>
        <w:t xml:space="preserve">“Para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“Así mismo, se exceptúan a los afiliados del Fondo Nacional de Prestaciones Sociales del Magisterio, creado por la Ley 91 de 1989, cuyas prestaciones a cargo serán compatibles con pensiones o cualquier clase de remuneración”. </w:t>
      </w:r>
    </w:p>
    <w:p w14:paraId="32F70C01" w14:textId="77777777" w:rsidR="0049341F" w:rsidRPr="00D637D8" w:rsidRDefault="0049341F" w:rsidP="00D637D8">
      <w:pPr>
        <w:pStyle w:val="Sinespaciado"/>
        <w:ind w:left="426" w:right="420"/>
        <w:jc w:val="both"/>
        <w:rPr>
          <w:rFonts w:ascii="Tahoma" w:hAnsi="Tahoma" w:cs="Tahoma"/>
          <w:color w:val="000000"/>
          <w:sz w:val="22"/>
        </w:rPr>
      </w:pPr>
    </w:p>
    <w:p w14:paraId="4A944772" w14:textId="77777777" w:rsidR="0049341F" w:rsidRPr="00D637D8" w:rsidRDefault="0049341F" w:rsidP="00D637D8">
      <w:pPr>
        <w:pStyle w:val="Sinespaciado"/>
        <w:ind w:left="426" w:right="420"/>
        <w:jc w:val="both"/>
        <w:rPr>
          <w:rFonts w:ascii="Tahoma" w:hAnsi="Tahoma" w:cs="Tahoma"/>
          <w:color w:val="000000"/>
          <w:sz w:val="22"/>
        </w:rPr>
      </w:pPr>
      <w:r w:rsidRPr="00D637D8">
        <w:rPr>
          <w:rFonts w:ascii="Tahoma" w:hAnsi="Tahoma" w:cs="Tahoma"/>
          <w:color w:val="000000"/>
          <w:sz w:val="22"/>
        </w:rPr>
        <w:t xml:space="preserve">Este preliminar análisis normativo, permite concluir que los docentes del sector público pueden acceder a las prestaciones económicas, tanto, dentro de ese especial modelo pensional –pensión de jubilación y pensión gracia-, como en el modelo general del Sistema Integral de la Ley 100 de 1993 –pensión de vejez o indemnización sustitutiva-, estableciéndose entonces una regla de compatibilidad. </w:t>
      </w:r>
    </w:p>
    <w:p w14:paraId="3585CC63" w14:textId="77777777" w:rsidR="0049341F" w:rsidRPr="00D637D8" w:rsidRDefault="0049341F" w:rsidP="00D637D8">
      <w:pPr>
        <w:pStyle w:val="Sinespaciado"/>
        <w:ind w:left="426" w:right="420"/>
        <w:jc w:val="both"/>
        <w:rPr>
          <w:rFonts w:ascii="Tahoma" w:hAnsi="Tahoma" w:cs="Tahoma"/>
          <w:color w:val="000000"/>
          <w:sz w:val="22"/>
        </w:rPr>
      </w:pPr>
    </w:p>
    <w:p w14:paraId="68FEC1FC" w14:textId="77777777" w:rsidR="0049341F" w:rsidRPr="00D637D8" w:rsidRDefault="0049341F" w:rsidP="00D637D8">
      <w:pPr>
        <w:pStyle w:val="Sinespaciado"/>
        <w:ind w:left="426" w:right="420"/>
        <w:jc w:val="both"/>
        <w:rPr>
          <w:rFonts w:ascii="Tahoma" w:hAnsi="Tahoma" w:cs="Tahoma"/>
          <w:color w:val="000000"/>
          <w:sz w:val="22"/>
        </w:rPr>
      </w:pPr>
      <w:r w:rsidRPr="00D637D8">
        <w:rPr>
          <w:rFonts w:ascii="Tahoma" w:hAnsi="Tahoma" w:cs="Tahoma"/>
          <w:color w:val="000000"/>
          <w:sz w:val="22"/>
        </w:rPr>
        <w:t>Posteriormente, con la entrada en vigencia de la Ley 812 de 2003, en especial su artículo 81, el régimen pensional del Magisterio dejó de ser exceptuado y pasó a ser parte del Sistema General de Pensiones implementado por la Ley 100 de 1993, para aquellos docentes que se vincularon al sector público con posterioridad al cambio legislativo -27 de junio de 2003-, según lo dispuso el Parágrafo Transitorio 1º, adicionado por el Art. 1º del Acto Legislativo 01 de 2005, que le dio vigencia hasta el 31 de julio de 2010.</w:t>
      </w:r>
    </w:p>
    <w:p w14:paraId="1064E074" w14:textId="77777777" w:rsidR="0049341F" w:rsidRPr="00D637D8" w:rsidRDefault="0049341F" w:rsidP="00D637D8">
      <w:pPr>
        <w:pStyle w:val="Sinespaciado"/>
        <w:ind w:left="426" w:right="420"/>
        <w:jc w:val="both"/>
        <w:rPr>
          <w:rFonts w:ascii="Tahoma" w:hAnsi="Tahoma" w:cs="Tahoma"/>
          <w:color w:val="000000"/>
          <w:sz w:val="22"/>
        </w:rPr>
      </w:pPr>
    </w:p>
    <w:p w14:paraId="090377F1" w14:textId="77777777" w:rsidR="0049341F" w:rsidRPr="00D637D8" w:rsidRDefault="0049341F" w:rsidP="00D637D8">
      <w:pPr>
        <w:pStyle w:val="Sinespaciado"/>
        <w:ind w:left="426" w:right="420"/>
        <w:jc w:val="both"/>
        <w:rPr>
          <w:rFonts w:ascii="Tahoma" w:hAnsi="Tahoma" w:cs="Tahoma"/>
          <w:color w:val="000000"/>
          <w:sz w:val="22"/>
        </w:rPr>
      </w:pPr>
      <w:r w:rsidRPr="00D637D8">
        <w:rPr>
          <w:rFonts w:ascii="Tahoma" w:hAnsi="Tahoma" w:cs="Tahoma"/>
          <w:color w:val="000000"/>
          <w:sz w:val="22"/>
        </w:rPr>
        <w:t xml:space="preserve">Ello en la medida en que dichos cuerpos normativos, dejaron indemnes las disposiciones de la Ley 100 de 1993, sobre la materia, a los docentes nacionales, nacionalizados y territoriales, cuya vinculación data con anterioridad </w:t>
      </w:r>
      <w:proofErr w:type="gramStart"/>
      <w:r w:rsidRPr="00D637D8">
        <w:rPr>
          <w:rFonts w:ascii="Tahoma" w:hAnsi="Tahoma" w:cs="Tahoma"/>
          <w:color w:val="000000"/>
          <w:sz w:val="22"/>
        </w:rPr>
        <w:t>al  27</w:t>
      </w:r>
      <w:proofErr w:type="gramEnd"/>
      <w:r w:rsidRPr="00D637D8">
        <w:rPr>
          <w:rFonts w:ascii="Tahoma" w:hAnsi="Tahoma" w:cs="Tahoma"/>
          <w:color w:val="000000"/>
          <w:sz w:val="22"/>
        </w:rPr>
        <w:t xml:space="preserve"> de junio de 2003, de modo que, para aquellos se mantiene el régimen exceptuado de la Ley 100 de 1993, conservándose para los mismos el sistema pensional previsto en la Ley 91 de 1989.</w:t>
      </w:r>
    </w:p>
    <w:p w14:paraId="651D1C0F" w14:textId="77777777" w:rsidR="0049341F" w:rsidRPr="00D637D8" w:rsidRDefault="0049341F" w:rsidP="00D637D8">
      <w:pPr>
        <w:pStyle w:val="Sinespaciado"/>
        <w:ind w:left="426" w:right="420"/>
        <w:jc w:val="both"/>
        <w:rPr>
          <w:rFonts w:ascii="Tahoma" w:hAnsi="Tahoma" w:cs="Tahoma"/>
          <w:color w:val="000000"/>
          <w:sz w:val="22"/>
        </w:rPr>
      </w:pPr>
      <w:r w:rsidRPr="00D637D8">
        <w:rPr>
          <w:rFonts w:ascii="Tahoma" w:hAnsi="Tahoma" w:cs="Tahoma"/>
          <w:color w:val="000000"/>
          <w:sz w:val="22"/>
        </w:rPr>
        <w:tab/>
      </w:r>
    </w:p>
    <w:p w14:paraId="7699ADF8" w14:textId="093E2F76" w:rsidR="0049341F" w:rsidRPr="00D637D8" w:rsidRDefault="0049341F" w:rsidP="00D637D8">
      <w:pPr>
        <w:pStyle w:val="Sinespaciado"/>
        <w:ind w:left="426" w:right="420"/>
        <w:jc w:val="both"/>
        <w:rPr>
          <w:rFonts w:ascii="Tahoma" w:hAnsi="Tahoma" w:cs="Tahoma"/>
          <w:color w:val="000000"/>
          <w:sz w:val="22"/>
        </w:rPr>
      </w:pPr>
      <w:r w:rsidRPr="00D637D8">
        <w:rPr>
          <w:rFonts w:ascii="Tahoma" w:hAnsi="Tahoma" w:cs="Tahoma"/>
          <w:color w:val="000000"/>
          <w:sz w:val="22"/>
        </w:rPr>
        <w:t>Dada esa posibilidad de prestación coetánea de servicios como docente para el Estado, con vinculación anterior al 27 de junio de 2003, y para particulares, se abre la senda para que simultáneamente se hagan aportes al ISS,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cada una cuenta con recursos propios para su financiación.”</w:t>
      </w:r>
    </w:p>
    <w:p w14:paraId="17D4CB09" w14:textId="28232DD9" w:rsidR="00A563DE" w:rsidRPr="004406B2" w:rsidRDefault="00A563DE" w:rsidP="004406B2">
      <w:pPr>
        <w:pStyle w:val="Sinespaciado"/>
        <w:spacing w:line="276" w:lineRule="auto"/>
        <w:ind w:left="709" w:right="335"/>
        <w:jc w:val="both"/>
        <w:rPr>
          <w:rFonts w:ascii="Tahoma" w:hAnsi="Tahoma" w:cs="Tahoma"/>
          <w:i/>
          <w:color w:val="000000"/>
        </w:rPr>
      </w:pPr>
    </w:p>
    <w:p w14:paraId="00B3FB22" w14:textId="7DA2C20E" w:rsidR="0049341F" w:rsidRPr="004406B2" w:rsidRDefault="0049341F" w:rsidP="004406B2">
      <w:pPr>
        <w:numPr>
          <w:ilvl w:val="1"/>
          <w:numId w:val="6"/>
        </w:numPr>
        <w:tabs>
          <w:tab w:val="left" w:pos="567"/>
        </w:tabs>
        <w:spacing w:line="276" w:lineRule="auto"/>
        <w:ind w:hanging="371"/>
        <w:jc w:val="both"/>
        <w:rPr>
          <w:rFonts w:ascii="Tahoma" w:hAnsi="Tahoma" w:cs="Tahoma"/>
          <w:b/>
        </w:rPr>
      </w:pPr>
      <w:r w:rsidRPr="004406B2">
        <w:rPr>
          <w:rFonts w:ascii="Tahoma" w:hAnsi="Tahoma" w:cs="Tahoma"/>
          <w:b/>
        </w:rPr>
        <w:t>Caso Concreto</w:t>
      </w:r>
    </w:p>
    <w:p w14:paraId="13B5FA88" w14:textId="77777777" w:rsidR="0049341F" w:rsidRPr="004406B2" w:rsidRDefault="0049341F" w:rsidP="004406B2">
      <w:pPr>
        <w:tabs>
          <w:tab w:val="left" w:pos="567"/>
        </w:tabs>
        <w:spacing w:line="276" w:lineRule="auto"/>
        <w:jc w:val="both"/>
        <w:rPr>
          <w:rFonts w:ascii="Tahoma" w:hAnsi="Tahoma" w:cs="Tahoma"/>
        </w:rPr>
      </w:pPr>
    </w:p>
    <w:p w14:paraId="632BE9CF" w14:textId="25977FB2" w:rsidR="00705AF6" w:rsidRPr="004406B2" w:rsidRDefault="006E32DE" w:rsidP="004406B2">
      <w:pPr>
        <w:tabs>
          <w:tab w:val="left" w:pos="567"/>
        </w:tabs>
        <w:spacing w:line="276" w:lineRule="auto"/>
        <w:jc w:val="both"/>
        <w:rPr>
          <w:rFonts w:ascii="Tahoma" w:hAnsi="Tahoma" w:cs="Tahoma"/>
          <w:bCs/>
        </w:rPr>
      </w:pPr>
      <w:r w:rsidRPr="004406B2">
        <w:rPr>
          <w:rFonts w:ascii="Tahoma" w:hAnsi="Tahoma" w:cs="Tahoma"/>
          <w:bCs/>
        </w:rPr>
        <w:tab/>
      </w:r>
      <w:r w:rsidR="00705AF6" w:rsidRPr="004406B2">
        <w:rPr>
          <w:rFonts w:ascii="Tahoma" w:hAnsi="Tahoma" w:cs="Tahoma"/>
          <w:bCs/>
        </w:rPr>
        <w:t>Frente a la inconformidad planteada por la pasiva de la demanda, bastarán las siguientes precisiones para despachar de manera desfavorable los pedidos planteados por su togado en la censura.</w:t>
      </w:r>
    </w:p>
    <w:p w14:paraId="26B599D8" w14:textId="77777777" w:rsidR="00705AF6" w:rsidRPr="004406B2" w:rsidRDefault="00705AF6" w:rsidP="00261EC4">
      <w:pPr>
        <w:spacing w:line="276" w:lineRule="auto"/>
        <w:jc w:val="both"/>
        <w:rPr>
          <w:rFonts w:ascii="Tahoma" w:hAnsi="Tahoma" w:cs="Tahoma"/>
          <w:bCs/>
        </w:rPr>
      </w:pPr>
    </w:p>
    <w:p w14:paraId="1FDBBFAC" w14:textId="051CFA1B" w:rsidR="00705AF6" w:rsidRPr="004406B2" w:rsidRDefault="00705AF6" w:rsidP="004406B2">
      <w:pPr>
        <w:tabs>
          <w:tab w:val="left" w:pos="567"/>
        </w:tabs>
        <w:spacing w:line="276" w:lineRule="auto"/>
        <w:jc w:val="both"/>
        <w:rPr>
          <w:rFonts w:ascii="Tahoma" w:hAnsi="Tahoma" w:cs="Tahoma"/>
          <w:bCs/>
        </w:rPr>
      </w:pPr>
      <w:r w:rsidRPr="004406B2">
        <w:rPr>
          <w:rFonts w:ascii="Tahoma" w:hAnsi="Tahoma" w:cs="Tahoma"/>
          <w:bCs/>
        </w:rPr>
        <w:tab/>
        <w:t xml:space="preserve">Con relación a la condena en costas procesales bastará indicar que la misma tiene origen en el artículo 365 del Código General del Proceso, disposición procesal de carácter general cuya aplicación es objetiva, es decir, bastará con que haya una parte vencida en el juicio para que ella asuma la carga de cancelar a su contraparte las costas correspondientes a los gastos que debió asumir para sacar adelante lo perseguido, más aún cuando la parte demandada, en este caso, Porvenir S.A. </w:t>
      </w:r>
      <w:r w:rsidR="002532ED" w:rsidRPr="004406B2">
        <w:rPr>
          <w:rFonts w:ascii="Tahoma" w:hAnsi="Tahoma" w:cs="Tahoma"/>
          <w:bCs/>
        </w:rPr>
        <w:t xml:space="preserve">se opuso a lo pretendido por el </w:t>
      </w:r>
      <w:r w:rsidRPr="004406B2">
        <w:rPr>
          <w:rFonts w:ascii="Tahoma" w:hAnsi="Tahoma" w:cs="Tahoma"/>
          <w:bCs/>
        </w:rPr>
        <w:t>promotor del litigio.</w:t>
      </w:r>
    </w:p>
    <w:p w14:paraId="587DCA59" w14:textId="77777777" w:rsidR="002532ED" w:rsidRPr="004406B2" w:rsidRDefault="002532ED" w:rsidP="004406B2">
      <w:pPr>
        <w:tabs>
          <w:tab w:val="left" w:pos="567"/>
        </w:tabs>
        <w:spacing w:line="276" w:lineRule="auto"/>
        <w:jc w:val="both"/>
        <w:rPr>
          <w:rFonts w:ascii="Tahoma" w:hAnsi="Tahoma" w:cs="Tahoma"/>
          <w:bCs/>
        </w:rPr>
      </w:pPr>
    </w:p>
    <w:p w14:paraId="68C14F71" w14:textId="790236A9" w:rsidR="002532ED" w:rsidRPr="004406B2" w:rsidRDefault="002532ED" w:rsidP="004406B2">
      <w:pPr>
        <w:tabs>
          <w:tab w:val="left" w:pos="567"/>
        </w:tabs>
        <w:spacing w:line="276" w:lineRule="auto"/>
        <w:jc w:val="both"/>
        <w:rPr>
          <w:rFonts w:ascii="Tahoma" w:hAnsi="Tahoma" w:cs="Tahoma"/>
        </w:rPr>
      </w:pPr>
      <w:r w:rsidRPr="004406B2">
        <w:rPr>
          <w:rFonts w:ascii="Tahoma" w:hAnsi="Tahoma" w:cs="Tahoma"/>
          <w:bCs/>
        </w:rPr>
        <w:tab/>
        <w:t xml:space="preserve">Al respecto sostuvo la Corte Suprema de Justicia en el </w:t>
      </w:r>
      <w:r w:rsidR="00791DB0" w:rsidRPr="004406B2">
        <w:rPr>
          <w:rFonts w:ascii="Tahoma" w:hAnsi="Tahoma" w:cs="Tahoma"/>
          <w:bCs/>
        </w:rPr>
        <w:t xml:space="preserve">auto </w:t>
      </w:r>
      <w:r w:rsidR="00791DB0" w:rsidRPr="004406B2">
        <w:rPr>
          <w:rFonts w:ascii="Tahoma" w:hAnsi="Tahoma" w:cs="Tahoma"/>
        </w:rPr>
        <w:t xml:space="preserve">AL2924-2020 </w:t>
      </w:r>
      <w:r w:rsidR="00791DB0" w:rsidRPr="004406B2">
        <w:rPr>
          <w:rFonts w:ascii="Tahoma" w:hAnsi="Tahoma" w:cs="Tahoma"/>
          <w:bCs/>
        </w:rPr>
        <w:t>del 19 de octubre de 2020, M.P.</w:t>
      </w:r>
      <w:r w:rsidR="007B1433" w:rsidRPr="004406B2">
        <w:rPr>
          <w:rFonts w:ascii="Tahoma" w:hAnsi="Tahoma" w:cs="Tahoma"/>
          <w:bCs/>
        </w:rPr>
        <w:t xml:space="preserve"> </w:t>
      </w:r>
      <w:r w:rsidR="007B1433" w:rsidRPr="004406B2">
        <w:rPr>
          <w:rFonts w:ascii="Tahoma" w:hAnsi="Tahoma" w:cs="Tahoma"/>
        </w:rPr>
        <w:t>CECILIA MARGARITA DURÁN UJUETA:</w:t>
      </w:r>
    </w:p>
    <w:p w14:paraId="15AEDB55" w14:textId="77777777" w:rsidR="007B1433" w:rsidRPr="004406B2" w:rsidRDefault="007B1433" w:rsidP="004406B2">
      <w:pPr>
        <w:tabs>
          <w:tab w:val="left" w:pos="567"/>
        </w:tabs>
        <w:spacing w:line="276" w:lineRule="auto"/>
        <w:jc w:val="both"/>
        <w:rPr>
          <w:rFonts w:ascii="Tahoma" w:hAnsi="Tahoma" w:cs="Tahoma"/>
          <w:bCs/>
        </w:rPr>
      </w:pPr>
    </w:p>
    <w:p w14:paraId="67859667" w14:textId="0F34E06A" w:rsidR="002532ED" w:rsidRPr="00D637D8" w:rsidRDefault="002532ED" w:rsidP="00D637D8">
      <w:pPr>
        <w:pStyle w:val="Sinespaciado"/>
        <w:ind w:left="426" w:right="420"/>
        <w:jc w:val="both"/>
        <w:rPr>
          <w:rFonts w:ascii="Tahoma" w:hAnsi="Tahoma" w:cs="Tahoma"/>
          <w:color w:val="000000"/>
          <w:sz w:val="22"/>
        </w:rPr>
      </w:pPr>
      <w:r w:rsidRPr="00D637D8">
        <w:rPr>
          <w:rFonts w:ascii="Tahoma" w:hAnsi="Tahoma" w:cs="Tahoma"/>
          <w:color w:val="000000"/>
          <w:sz w:val="22"/>
        </w:rPr>
        <w:t>Es pertinente recordar, que las costas son aquellas</w:t>
      </w:r>
      <w:r w:rsidR="007B1433" w:rsidRPr="00D637D8">
        <w:rPr>
          <w:rFonts w:ascii="Tahoma" w:hAnsi="Tahoma" w:cs="Tahoma"/>
          <w:color w:val="000000"/>
          <w:sz w:val="22"/>
        </w:rPr>
        <w:t xml:space="preserve"> </w:t>
      </w:r>
      <w:r w:rsidRPr="00D637D8">
        <w:rPr>
          <w:rFonts w:ascii="Tahoma" w:hAnsi="Tahoma" w:cs="Tahoma"/>
          <w:color w:val="000000"/>
          <w:sz w:val="22"/>
        </w:rPr>
        <w:t>erogaciones económicas que comportan la atención de un</w:t>
      </w:r>
      <w:r w:rsidR="007B1433" w:rsidRPr="00D637D8">
        <w:rPr>
          <w:rFonts w:ascii="Tahoma" w:hAnsi="Tahoma" w:cs="Tahoma"/>
          <w:color w:val="000000"/>
          <w:sz w:val="22"/>
        </w:rPr>
        <w:t xml:space="preserve"> </w:t>
      </w:r>
      <w:r w:rsidRPr="00D637D8">
        <w:rPr>
          <w:rFonts w:ascii="Tahoma" w:hAnsi="Tahoma" w:cs="Tahoma"/>
          <w:color w:val="000000"/>
          <w:sz w:val="22"/>
        </w:rPr>
        <w:t>proceso judicial, dentro de las cuales se incluyen las agencias</w:t>
      </w:r>
      <w:r w:rsidR="007B1433" w:rsidRPr="00D637D8">
        <w:rPr>
          <w:rFonts w:ascii="Tahoma" w:hAnsi="Tahoma" w:cs="Tahoma"/>
          <w:color w:val="000000"/>
          <w:sz w:val="22"/>
        </w:rPr>
        <w:t xml:space="preserve"> </w:t>
      </w:r>
      <w:r w:rsidRPr="00D637D8">
        <w:rPr>
          <w:rFonts w:ascii="Tahoma" w:hAnsi="Tahoma" w:cs="Tahoma"/>
          <w:color w:val="000000"/>
          <w:sz w:val="22"/>
        </w:rPr>
        <w:t>en derecho,</w:t>
      </w:r>
      <w:r w:rsidR="007B1433" w:rsidRPr="00D637D8">
        <w:rPr>
          <w:rFonts w:ascii="Tahoma" w:hAnsi="Tahoma" w:cs="Tahoma"/>
          <w:color w:val="000000"/>
          <w:sz w:val="22"/>
        </w:rPr>
        <w:t xml:space="preserve"> </w:t>
      </w:r>
      <w:r w:rsidRPr="00D637D8">
        <w:rPr>
          <w:rFonts w:ascii="Tahoma" w:hAnsi="Tahoma" w:cs="Tahoma"/>
          <w:color w:val="000000"/>
          <w:sz w:val="22"/>
        </w:rPr>
        <w:t>valor que el juzgador le da al trabajo del abogado</w:t>
      </w:r>
      <w:r w:rsidR="007B1433" w:rsidRPr="00D637D8">
        <w:rPr>
          <w:rFonts w:ascii="Tahoma" w:hAnsi="Tahoma" w:cs="Tahoma"/>
          <w:color w:val="000000"/>
          <w:sz w:val="22"/>
        </w:rPr>
        <w:t xml:space="preserve"> </w:t>
      </w:r>
      <w:r w:rsidRPr="00D637D8">
        <w:rPr>
          <w:rFonts w:ascii="Tahoma" w:hAnsi="Tahoma" w:cs="Tahoma"/>
          <w:color w:val="000000"/>
          <w:sz w:val="22"/>
        </w:rPr>
        <w:t>que ha triunfado en el trámite del conflicto, que deben ser</w:t>
      </w:r>
      <w:r w:rsidR="007B1433" w:rsidRPr="00D637D8">
        <w:rPr>
          <w:rFonts w:ascii="Tahoma" w:hAnsi="Tahoma" w:cs="Tahoma"/>
          <w:color w:val="000000"/>
          <w:sz w:val="22"/>
        </w:rPr>
        <w:t xml:space="preserve"> </w:t>
      </w:r>
      <w:r w:rsidRPr="00D637D8">
        <w:rPr>
          <w:rFonts w:ascii="Tahoma" w:hAnsi="Tahoma" w:cs="Tahoma"/>
          <w:color w:val="000000"/>
          <w:sz w:val="22"/>
        </w:rPr>
        <w:t>asumidas por la parte que resulte vencida judicialmente,</w:t>
      </w:r>
      <w:r w:rsidR="007B1433" w:rsidRPr="00D637D8">
        <w:rPr>
          <w:rFonts w:ascii="Tahoma" w:hAnsi="Tahoma" w:cs="Tahoma"/>
          <w:color w:val="000000"/>
          <w:sz w:val="22"/>
        </w:rPr>
        <w:t xml:space="preserve"> </w:t>
      </w:r>
      <w:r w:rsidRPr="00D637D8">
        <w:rPr>
          <w:rFonts w:ascii="Tahoma" w:hAnsi="Tahoma" w:cs="Tahoma"/>
          <w:color w:val="000000"/>
          <w:sz w:val="22"/>
        </w:rPr>
        <w:t>que, para este caso, lo es el extremo activo.</w:t>
      </w:r>
    </w:p>
    <w:p w14:paraId="4ABC4B8F" w14:textId="77777777" w:rsidR="007B1433" w:rsidRPr="00D637D8" w:rsidRDefault="007B1433" w:rsidP="00D637D8">
      <w:pPr>
        <w:pStyle w:val="Sinespaciado"/>
        <w:ind w:left="426" w:right="420"/>
        <w:jc w:val="both"/>
        <w:rPr>
          <w:rFonts w:ascii="Tahoma" w:hAnsi="Tahoma" w:cs="Tahoma"/>
          <w:color w:val="000000"/>
          <w:sz w:val="22"/>
        </w:rPr>
      </w:pPr>
    </w:p>
    <w:p w14:paraId="4C54F8E8" w14:textId="6EB050D8" w:rsidR="00705AF6" w:rsidRPr="00D637D8" w:rsidRDefault="002532ED" w:rsidP="00D637D8">
      <w:pPr>
        <w:pStyle w:val="Sinespaciado"/>
        <w:ind w:left="426" w:right="420"/>
        <w:jc w:val="both"/>
        <w:rPr>
          <w:rFonts w:ascii="Tahoma" w:hAnsi="Tahoma" w:cs="Tahoma"/>
          <w:color w:val="000000"/>
          <w:sz w:val="22"/>
        </w:rPr>
      </w:pPr>
      <w:r w:rsidRPr="00D637D8">
        <w:rPr>
          <w:rFonts w:ascii="Tahoma" w:hAnsi="Tahoma" w:cs="Tahoma"/>
          <w:color w:val="000000"/>
          <w:sz w:val="22"/>
        </w:rPr>
        <w:t>De esta forma, la condena en costas contiene una</w:t>
      </w:r>
      <w:r w:rsidR="007B1433" w:rsidRPr="00D637D8">
        <w:rPr>
          <w:rFonts w:ascii="Tahoma" w:hAnsi="Tahoma" w:cs="Tahoma"/>
          <w:color w:val="000000"/>
          <w:sz w:val="22"/>
        </w:rPr>
        <w:t xml:space="preserve"> </w:t>
      </w:r>
      <w:r w:rsidRPr="00D637D8">
        <w:rPr>
          <w:rFonts w:ascii="Tahoma" w:hAnsi="Tahoma" w:cs="Tahoma"/>
          <w:color w:val="000000"/>
          <w:sz w:val="22"/>
        </w:rPr>
        <w:t>obligación procesal que se dirige contra el patrimonio de la</w:t>
      </w:r>
      <w:r w:rsidR="007B1433" w:rsidRPr="00D637D8">
        <w:rPr>
          <w:rFonts w:ascii="Tahoma" w:hAnsi="Tahoma" w:cs="Tahoma"/>
          <w:color w:val="000000"/>
          <w:sz w:val="22"/>
        </w:rPr>
        <w:t xml:space="preserve"> </w:t>
      </w:r>
      <w:r w:rsidRPr="00D637D8">
        <w:rPr>
          <w:rFonts w:ascii="Tahoma" w:hAnsi="Tahoma" w:cs="Tahoma"/>
          <w:color w:val="000000"/>
          <w:sz w:val="22"/>
        </w:rPr>
        <w:t>parte vencida, y que otorga a favor del vencedor un derecho</w:t>
      </w:r>
      <w:r w:rsidR="007B1433" w:rsidRPr="00D637D8">
        <w:rPr>
          <w:rFonts w:ascii="Tahoma" w:hAnsi="Tahoma" w:cs="Tahoma"/>
          <w:color w:val="000000"/>
          <w:sz w:val="22"/>
        </w:rPr>
        <w:t xml:space="preserve"> </w:t>
      </w:r>
      <w:r w:rsidRPr="00D637D8">
        <w:rPr>
          <w:rFonts w:ascii="Tahoma" w:hAnsi="Tahoma" w:cs="Tahoma"/>
          <w:color w:val="000000"/>
          <w:sz w:val="22"/>
        </w:rPr>
        <w:t>de reintegro de los gastos procesales en los que se ha visto</w:t>
      </w:r>
      <w:r w:rsidR="007B1433" w:rsidRPr="00D637D8">
        <w:rPr>
          <w:rFonts w:ascii="Tahoma" w:hAnsi="Tahoma" w:cs="Tahoma"/>
          <w:color w:val="000000"/>
          <w:sz w:val="22"/>
        </w:rPr>
        <w:t xml:space="preserve"> </w:t>
      </w:r>
      <w:r w:rsidRPr="00D637D8">
        <w:rPr>
          <w:rFonts w:ascii="Tahoma" w:hAnsi="Tahoma" w:cs="Tahoma"/>
          <w:color w:val="000000"/>
          <w:sz w:val="22"/>
        </w:rPr>
        <w:t>obligado a incurrir, en tanto la contraparte, al interponer el</w:t>
      </w:r>
      <w:r w:rsidR="007B1433" w:rsidRPr="00D637D8">
        <w:rPr>
          <w:rFonts w:ascii="Tahoma" w:hAnsi="Tahoma" w:cs="Tahoma"/>
          <w:color w:val="000000"/>
          <w:sz w:val="22"/>
        </w:rPr>
        <w:t xml:space="preserve"> </w:t>
      </w:r>
      <w:r w:rsidRPr="00D637D8">
        <w:rPr>
          <w:rFonts w:ascii="Tahoma" w:hAnsi="Tahoma" w:cs="Tahoma"/>
          <w:color w:val="000000"/>
          <w:sz w:val="22"/>
        </w:rPr>
        <w:t>recurso de casación, lo compele a seguir atendiendo el</w:t>
      </w:r>
      <w:r w:rsidR="007B1433" w:rsidRPr="00D637D8">
        <w:rPr>
          <w:rFonts w:ascii="Tahoma" w:hAnsi="Tahoma" w:cs="Tahoma"/>
          <w:color w:val="000000"/>
          <w:sz w:val="22"/>
        </w:rPr>
        <w:t xml:space="preserve"> </w:t>
      </w:r>
      <w:r w:rsidRPr="00D637D8">
        <w:rPr>
          <w:rFonts w:ascii="Tahoma" w:hAnsi="Tahoma" w:cs="Tahoma"/>
          <w:color w:val="000000"/>
          <w:sz w:val="22"/>
        </w:rPr>
        <w:t>proceso y a realizar nuevas erogaciones. (AL3132-2017,</w:t>
      </w:r>
      <w:r w:rsidR="007B1433" w:rsidRPr="00D637D8">
        <w:rPr>
          <w:rFonts w:ascii="Tahoma" w:hAnsi="Tahoma" w:cs="Tahoma"/>
          <w:color w:val="000000"/>
          <w:sz w:val="22"/>
        </w:rPr>
        <w:t xml:space="preserve"> </w:t>
      </w:r>
      <w:r w:rsidRPr="00D637D8">
        <w:rPr>
          <w:rFonts w:ascii="Tahoma" w:hAnsi="Tahoma" w:cs="Tahoma"/>
          <w:color w:val="000000"/>
          <w:sz w:val="22"/>
        </w:rPr>
        <w:t>AL3612-2017 y AL5355-2017).</w:t>
      </w:r>
    </w:p>
    <w:p w14:paraId="76713821" w14:textId="77777777" w:rsidR="007B1433" w:rsidRPr="004406B2" w:rsidRDefault="007B1433" w:rsidP="004406B2">
      <w:pPr>
        <w:tabs>
          <w:tab w:val="left" w:pos="567"/>
        </w:tabs>
        <w:spacing w:line="276" w:lineRule="auto"/>
        <w:ind w:left="567" w:right="647"/>
        <w:jc w:val="both"/>
        <w:rPr>
          <w:rFonts w:ascii="Tahoma" w:hAnsi="Tahoma" w:cs="Tahoma"/>
        </w:rPr>
      </w:pPr>
    </w:p>
    <w:p w14:paraId="72DDCACC" w14:textId="26C30713" w:rsidR="00705AF6" w:rsidRPr="004406B2" w:rsidRDefault="00705AF6" w:rsidP="004406B2">
      <w:pPr>
        <w:tabs>
          <w:tab w:val="left" w:pos="567"/>
        </w:tabs>
        <w:spacing w:line="276" w:lineRule="auto"/>
        <w:jc w:val="both"/>
        <w:rPr>
          <w:rFonts w:ascii="Tahoma" w:hAnsi="Tahoma" w:cs="Tahoma"/>
          <w:bCs/>
        </w:rPr>
      </w:pPr>
      <w:r w:rsidRPr="004406B2">
        <w:rPr>
          <w:rFonts w:ascii="Tahoma" w:hAnsi="Tahoma" w:cs="Tahoma"/>
          <w:bCs/>
        </w:rPr>
        <w:tab/>
        <w:t xml:space="preserve">Por otra parte, en lo concerniente a la condena por intereses moratorios se dirá que si bien </w:t>
      </w:r>
      <w:r w:rsidR="007C67C5" w:rsidRPr="004406B2">
        <w:rPr>
          <w:rFonts w:ascii="Tahoma" w:hAnsi="Tahoma" w:cs="Tahoma"/>
          <w:bCs/>
        </w:rPr>
        <w:t xml:space="preserve">la jurisprudencia ha establecido que en aquellos casos en los que se da alcance a una interpretación constitucional favorable de las normas no hay lugar a los intereses moratorios, lo cierto es que el precedente traído a colación por la A-quo tan solo refiere a la aplicación correcta de las normas que regentan la compatibilidad de las prestaciones, más no a una interpretación flexible o </w:t>
      </w:r>
      <w:r w:rsidR="007B1433" w:rsidRPr="004406B2">
        <w:rPr>
          <w:rFonts w:ascii="Tahoma" w:hAnsi="Tahoma" w:cs="Tahoma"/>
          <w:bCs/>
        </w:rPr>
        <w:t>ajena</w:t>
      </w:r>
      <w:r w:rsidR="007C67C5" w:rsidRPr="004406B2">
        <w:rPr>
          <w:rFonts w:ascii="Tahoma" w:hAnsi="Tahoma" w:cs="Tahoma"/>
          <w:bCs/>
        </w:rPr>
        <w:t xml:space="preserve"> al </w:t>
      </w:r>
      <w:r w:rsidR="007B1433" w:rsidRPr="004406B2">
        <w:rPr>
          <w:rFonts w:ascii="Tahoma" w:hAnsi="Tahoma" w:cs="Tahoma"/>
          <w:bCs/>
        </w:rPr>
        <w:t>espíritu</w:t>
      </w:r>
      <w:r w:rsidR="007C67C5" w:rsidRPr="004406B2">
        <w:rPr>
          <w:rFonts w:ascii="Tahoma" w:hAnsi="Tahoma" w:cs="Tahoma"/>
          <w:bCs/>
        </w:rPr>
        <w:t xml:space="preserve"> del legislador, por lo que la restricción </w:t>
      </w:r>
      <w:r w:rsidR="007B1433" w:rsidRPr="004406B2">
        <w:rPr>
          <w:rFonts w:ascii="Tahoma" w:hAnsi="Tahoma" w:cs="Tahoma"/>
          <w:bCs/>
        </w:rPr>
        <w:t>impuesta</w:t>
      </w:r>
      <w:r w:rsidR="007C67C5" w:rsidRPr="004406B2">
        <w:rPr>
          <w:rFonts w:ascii="Tahoma" w:hAnsi="Tahoma" w:cs="Tahoma"/>
          <w:bCs/>
        </w:rPr>
        <w:t xml:space="preserve"> por la administradora del </w:t>
      </w:r>
      <w:r w:rsidR="007B1433" w:rsidRPr="004406B2">
        <w:rPr>
          <w:rFonts w:ascii="Tahoma" w:hAnsi="Tahoma" w:cs="Tahoma"/>
          <w:bCs/>
        </w:rPr>
        <w:t>RAIS</w:t>
      </w:r>
      <w:r w:rsidR="00C40676" w:rsidRPr="004406B2">
        <w:rPr>
          <w:rFonts w:ascii="Tahoma" w:hAnsi="Tahoma" w:cs="Tahoma"/>
          <w:bCs/>
        </w:rPr>
        <w:t xml:space="preserve">, para reconocer la devolución de saldos, </w:t>
      </w:r>
      <w:r w:rsidR="007C67C5" w:rsidRPr="004406B2">
        <w:rPr>
          <w:rFonts w:ascii="Tahoma" w:hAnsi="Tahoma" w:cs="Tahoma"/>
          <w:bCs/>
        </w:rPr>
        <w:t xml:space="preserve">se tornó </w:t>
      </w:r>
      <w:r w:rsidR="007B1433" w:rsidRPr="004406B2">
        <w:rPr>
          <w:rFonts w:ascii="Tahoma" w:hAnsi="Tahoma" w:cs="Tahoma"/>
          <w:bCs/>
        </w:rPr>
        <w:t>arbitrar</w:t>
      </w:r>
      <w:r w:rsidR="007E0050">
        <w:rPr>
          <w:rFonts w:ascii="Tahoma" w:hAnsi="Tahoma" w:cs="Tahoma"/>
          <w:bCs/>
        </w:rPr>
        <w:t>i</w:t>
      </w:r>
      <w:r w:rsidR="007B1433" w:rsidRPr="004406B2">
        <w:rPr>
          <w:rFonts w:ascii="Tahoma" w:hAnsi="Tahoma" w:cs="Tahoma"/>
          <w:bCs/>
        </w:rPr>
        <w:t>a</w:t>
      </w:r>
      <w:r w:rsidR="007C67C5" w:rsidRPr="004406B2">
        <w:rPr>
          <w:rFonts w:ascii="Tahoma" w:hAnsi="Tahoma" w:cs="Tahoma"/>
          <w:bCs/>
        </w:rPr>
        <w:t xml:space="preserve">, </w:t>
      </w:r>
      <w:r w:rsidR="00C40676" w:rsidRPr="004406B2">
        <w:rPr>
          <w:rFonts w:ascii="Tahoma" w:hAnsi="Tahoma" w:cs="Tahoma"/>
          <w:bCs/>
        </w:rPr>
        <w:t xml:space="preserve">siendo del caso </w:t>
      </w:r>
      <w:r w:rsidR="007C67C5" w:rsidRPr="004406B2">
        <w:rPr>
          <w:rFonts w:ascii="Tahoma" w:hAnsi="Tahoma" w:cs="Tahoma"/>
          <w:bCs/>
        </w:rPr>
        <w:t>confirmar la condena de primer grado.</w:t>
      </w:r>
    </w:p>
    <w:p w14:paraId="299B3B1A" w14:textId="43372E0F" w:rsidR="007C67C5" w:rsidRPr="004406B2" w:rsidRDefault="007C67C5" w:rsidP="004406B2">
      <w:pPr>
        <w:tabs>
          <w:tab w:val="left" w:pos="567"/>
        </w:tabs>
        <w:spacing w:line="276" w:lineRule="auto"/>
        <w:jc w:val="both"/>
        <w:rPr>
          <w:rFonts w:ascii="Tahoma" w:hAnsi="Tahoma" w:cs="Tahoma"/>
          <w:bCs/>
        </w:rPr>
      </w:pPr>
    </w:p>
    <w:p w14:paraId="77399162" w14:textId="674CD0D3" w:rsidR="00542361" w:rsidRDefault="007C67C5" w:rsidP="004406B2">
      <w:pPr>
        <w:tabs>
          <w:tab w:val="left" w:pos="567"/>
        </w:tabs>
        <w:spacing w:line="276" w:lineRule="auto"/>
        <w:jc w:val="both"/>
        <w:rPr>
          <w:rFonts w:ascii="Tahoma" w:hAnsi="Tahoma" w:cs="Tahoma"/>
          <w:bCs/>
        </w:rPr>
      </w:pPr>
      <w:r w:rsidRPr="004406B2">
        <w:rPr>
          <w:rFonts w:ascii="Tahoma" w:hAnsi="Tahoma" w:cs="Tahoma"/>
          <w:bCs/>
        </w:rPr>
        <w:tab/>
        <w:t xml:space="preserve">Finalmente habrá de decirse que la aplicación que hizo la A-quo del artículo del </w:t>
      </w:r>
      <w:r w:rsidR="00832D73" w:rsidRPr="004406B2">
        <w:rPr>
          <w:rFonts w:ascii="Tahoma" w:hAnsi="Tahoma" w:cs="Tahoma"/>
          <w:bCs/>
        </w:rPr>
        <w:t xml:space="preserve">Código Civil </w:t>
      </w:r>
      <w:r w:rsidRPr="004406B2">
        <w:rPr>
          <w:rFonts w:ascii="Tahoma" w:hAnsi="Tahoma" w:cs="Tahoma"/>
          <w:bCs/>
        </w:rPr>
        <w:t xml:space="preserve">se estima acertada por ser la disposición general que regula los intereses moratorios, sin que pueda atenderse el planteamiento efectuado por el togado de </w:t>
      </w:r>
      <w:r w:rsidR="00C40676" w:rsidRPr="004406B2">
        <w:rPr>
          <w:rFonts w:ascii="Tahoma" w:hAnsi="Tahoma" w:cs="Tahoma"/>
          <w:bCs/>
        </w:rPr>
        <w:t>P</w:t>
      </w:r>
      <w:r w:rsidRPr="004406B2">
        <w:rPr>
          <w:rFonts w:ascii="Tahoma" w:hAnsi="Tahoma" w:cs="Tahoma"/>
          <w:bCs/>
        </w:rPr>
        <w:t xml:space="preserve">orvenir </w:t>
      </w:r>
      <w:r w:rsidR="007E0050" w:rsidRPr="004406B2">
        <w:rPr>
          <w:rFonts w:ascii="Tahoma" w:hAnsi="Tahoma" w:cs="Tahoma"/>
          <w:bCs/>
        </w:rPr>
        <w:t xml:space="preserve">S.A. </w:t>
      </w:r>
      <w:r w:rsidRPr="004406B2">
        <w:rPr>
          <w:rFonts w:ascii="Tahoma" w:hAnsi="Tahoma" w:cs="Tahoma"/>
          <w:bCs/>
        </w:rPr>
        <w:t xml:space="preserve">respecto de la Ley 549 de 1999 y </w:t>
      </w:r>
      <w:r w:rsidR="00C40676" w:rsidRPr="004406B2">
        <w:rPr>
          <w:rFonts w:ascii="Tahoma" w:hAnsi="Tahoma" w:cs="Tahoma"/>
          <w:bCs/>
        </w:rPr>
        <w:t>D</w:t>
      </w:r>
      <w:r w:rsidRPr="004406B2">
        <w:rPr>
          <w:rFonts w:ascii="Tahoma" w:hAnsi="Tahoma" w:cs="Tahoma"/>
          <w:bCs/>
        </w:rPr>
        <w:t>ecreto 2527 de 2000, como quiera que no sustentó debidamente un argumento del que se desprenda por qué esas normas deben prevalecer sobre la dispuesta por la a-quo.</w:t>
      </w:r>
      <w:r w:rsidR="00542361" w:rsidRPr="004406B2">
        <w:rPr>
          <w:rFonts w:ascii="Tahoma" w:hAnsi="Tahoma" w:cs="Tahoma"/>
          <w:bCs/>
        </w:rPr>
        <w:t xml:space="preserve"> </w:t>
      </w:r>
    </w:p>
    <w:p w14:paraId="6FBE6203" w14:textId="77777777" w:rsidR="004406B2" w:rsidRPr="004406B2" w:rsidRDefault="004406B2" w:rsidP="004406B2">
      <w:pPr>
        <w:tabs>
          <w:tab w:val="left" w:pos="567"/>
        </w:tabs>
        <w:spacing w:line="276" w:lineRule="auto"/>
        <w:jc w:val="both"/>
        <w:rPr>
          <w:rFonts w:ascii="Tahoma" w:hAnsi="Tahoma" w:cs="Tahoma"/>
          <w:bCs/>
        </w:rPr>
      </w:pPr>
    </w:p>
    <w:p w14:paraId="5E846AB6" w14:textId="1FC043B6" w:rsidR="009D172E" w:rsidRPr="004406B2" w:rsidRDefault="007C67C5" w:rsidP="004406B2">
      <w:pPr>
        <w:tabs>
          <w:tab w:val="left" w:pos="567"/>
        </w:tabs>
        <w:spacing w:line="276" w:lineRule="auto"/>
        <w:jc w:val="both"/>
        <w:rPr>
          <w:rFonts w:ascii="Tahoma" w:hAnsi="Tahoma" w:cs="Tahoma"/>
          <w:bCs/>
        </w:rPr>
      </w:pPr>
      <w:r w:rsidRPr="004406B2">
        <w:rPr>
          <w:rFonts w:ascii="Tahoma" w:hAnsi="Tahoma" w:cs="Tahoma"/>
          <w:bCs/>
        </w:rPr>
        <w:tab/>
      </w:r>
      <w:r w:rsidR="00542361" w:rsidRPr="004406B2">
        <w:rPr>
          <w:rFonts w:ascii="Tahoma" w:hAnsi="Tahoma" w:cs="Tahoma"/>
          <w:bCs/>
        </w:rPr>
        <w:t>Por otra parte</w:t>
      </w:r>
      <w:r w:rsidR="00127785" w:rsidRPr="004406B2">
        <w:rPr>
          <w:rFonts w:ascii="Tahoma" w:hAnsi="Tahoma" w:cs="Tahoma"/>
          <w:bCs/>
        </w:rPr>
        <w:t xml:space="preserve">, </w:t>
      </w:r>
      <w:r w:rsidRPr="004406B2">
        <w:rPr>
          <w:rFonts w:ascii="Tahoma" w:hAnsi="Tahoma" w:cs="Tahoma"/>
          <w:bCs/>
        </w:rPr>
        <w:t>se atenderá la s</w:t>
      </w:r>
      <w:r w:rsidR="00127785" w:rsidRPr="004406B2">
        <w:rPr>
          <w:rFonts w:ascii="Tahoma" w:hAnsi="Tahoma" w:cs="Tahoma"/>
          <w:bCs/>
        </w:rPr>
        <w:t>ú</w:t>
      </w:r>
      <w:r w:rsidRPr="004406B2">
        <w:rPr>
          <w:rFonts w:ascii="Tahoma" w:hAnsi="Tahoma" w:cs="Tahoma"/>
          <w:bCs/>
        </w:rPr>
        <w:t>plica de declarar probada parcialmente la excepción de prescripción dado que entre la fecha en que</w:t>
      </w:r>
      <w:r w:rsidR="009D172E" w:rsidRPr="004406B2">
        <w:rPr>
          <w:rFonts w:ascii="Tahoma" w:hAnsi="Tahoma" w:cs="Tahoma"/>
          <w:bCs/>
        </w:rPr>
        <w:t xml:space="preserve"> se negó la devolución de saldos por parte de la demandada, el 5 de diciembre de 2013, y la </w:t>
      </w:r>
      <w:r w:rsidR="006E32DE" w:rsidRPr="004406B2">
        <w:rPr>
          <w:rFonts w:ascii="Tahoma" w:hAnsi="Tahoma" w:cs="Tahoma"/>
          <w:bCs/>
        </w:rPr>
        <w:t>presentación</w:t>
      </w:r>
      <w:r w:rsidR="009D172E" w:rsidRPr="004406B2">
        <w:rPr>
          <w:rFonts w:ascii="Tahoma" w:hAnsi="Tahoma" w:cs="Tahoma"/>
          <w:bCs/>
        </w:rPr>
        <w:t xml:space="preserve"> de la demanda, incoada el 9 de mayo de 2017 transcurrieron más de 3 años, razón por la cual se modificará la condena impuesta en primer grado para indicar que los </w:t>
      </w:r>
      <w:r w:rsidR="006E32DE" w:rsidRPr="004406B2">
        <w:rPr>
          <w:rFonts w:ascii="Tahoma" w:hAnsi="Tahoma" w:cs="Tahoma"/>
          <w:bCs/>
        </w:rPr>
        <w:t>intereses</w:t>
      </w:r>
      <w:r w:rsidR="009D172E" w:rsidRPr="004406B2">
        <w:rPr>
          <w:rFonts w:ascii="Tahoma" w:hAnsi="Tahoma" w:cs="Tahoma"/>
          <w:bCs/>
        </w:rPr>
        <w:t xml:space="preserve"> moratorios correrán a partir del 9 de mayo de 2014.</w:t>
      </w:r>
      <w:r w:rsidR="005E7FA7" w:rsidRPr="004406B2">
        <w:rPr>
          <w:rFonts w:ascii="Tahoma" w:hAnsi="Tahoma" w:cs="Tahoma"/>
          <w:bCs/>
        </w:rPr>
        <w:t xml:space="preserve"> Ello implica revocar parcialmente el numeral primero del fallo de primer grado.</w:t>
      </w:r>
    </w:p>
    <w:p w14:paraId="0043BF14" w14:textId="4AD4B5D4" w:rsidR="004F2793" w:rsidRPr="004406B2" w:rsidRDefault="004F2793" w:rsidP="004406B2">
      <w:pPr>
        <w:tabs>
          <w:tab w:val="left" w:pos="0"/>
        </w:tabs>
        <w:spacing w:line="276" w:lineRule="auto"/>
        <w:jc w:val="both"/>
        <w:rPr>
          <w:rFonts w:ascii="Tahoma" w:hAnsi="Tahoma" w:cs="Tahoma"/>
        </w:rPr>
      </w:pPr>
    </w:p>
    <w:p w14:paraId="5D506C4B" w14:textId="36CB1A21" w:rsidR="004F2793" w:rsidRPr="004406B2" w:rsidRDefault="00641DC6" w:rsidP="004406B2">
      <w:pPr>
        <w:pStyle w:val="Prrafodelista"/>
        <w:tabs>
          <w:tab w:val="left" w:pos="0"/>
        </w:tabs>
        <w:spacing w:line="276" w:lineRule="auto"/>
        <w:ind w:left="0" w:firstLine="561"/>
        <w:jc w:val="both"/>
        <w:rPr>
          <w:rFonts w:ascii="Tahoma" w:hAnsi="Tahoma" w:cs="Tahoma"/>
        </w:rPr>
      </w:pPr>
      <w:r w:rsidRPr="004406B2">
        <w:rPr>
          <w:rFonts w:ascii="Tahoma" w:hAnsi="Tahoma" w:cs="Tahoma"/>
        </w:rPr>
        <w:t xml:space="preserve">Las costas impuestas en </w:t>
      </w:r>
      <w:r w:rsidR="009D172E" w:rsidRPr="004406B2">
        <w:rPr>
          <w:rFonts w:ascii="Tahoma" w:hAnsi="Tahoma" w:cs="Tahoma"/>
        </w:rPr>
        <w:t xml:space="preserve">segunda instancia </w:t>
      </w:r>
      <w:r w:rsidRPr="004406B2">
        <w:rPr>
          <w:rFonts w:ascii="Tahoma" w:hAnsi="Tahoma" w:cs="Tahoma"/>
        </w:rPr>
        <w:t xml:space="preserve">correrán a cargo de </w:t>
      </w:r>
      <w:r w:rsidR="009D172E" w:rsidRPr="004406B2">
        <w:rPr>
          <w:rFonts w:ascii="Tahoma" w:hAnsi="Tahoma" w:cs="Tahoma"/>
        </w:rPr>
        <w:t>Porvenir S.A.</w:t>
      </w:r>
      <w:r w:rsidRPr="004406B2">
        <w:rPr>
          <w:rFonts w:ascii="Tahoma" w:hAnsi="Tahoma" w:cs="Tahoma"/>
        </w:rPr>
        <w:t xml:space="preserve">, en un </w:t>
      </w:r>
      <w:r w:rsidR="00FB691E" w:rsidRPr="004406B2">
        <w:rPr>
          <w:rFonts w:ascii="Tahoma" w:hAnsi="Tahoma" w:cs="Tahoma"/>
        </w:rPr>
        <w:t>9</w:t>
      </w:r>
      <w:r w:rsidRPr="004406B2">
        <w:rPr>
          <w:rFonts w:ascii="Tahoma" w:hAnsi="Tahoma" w:cs="Tahoma"/>
        </w:rPr>
        <w:t>0%, a favor de la parte actora</w:t>
      </w:r>
      <w:r w:rsidR="009D172E" w:rsidRPr="004406B2">
        <w:rPr>
          <w:rFonts w:ascii="Tahoma" w:hAnsi="Tahoma" w:cs="Tahoma"/>
        </w:rPr>
        <w:t xml:space="preserve"> al haber prosperado </w:t>
      </w:r>
      <w:r w:rsidR="005548AA" w:rsidRPr="004406B2">
        <w:rPr>
          <w:rFonts w:ascii="Tahoma" w:hAnsi="Tahoma" w:cs="Tahoma"/>
        </w:rPr>
        <w:t>parcialmente</w:t>
      </w:r>
      <w:r w:rsidR="00FB691E" w:rsidRPr="004406B2">
        <w:rPr>
          <w:rFonts w:ascii="Tahoma" w:hAnsi="Tahoma" w:cs="Tahoma"/>
        </w:rPr>
        <w:t xml:space="preserve"> </w:t>
      </w:r>
      <w:r w:rsidR="009D172E" w:rsidRPr="004406B2">
        <w:rPr>
          <w:rFonts w:ascii="Tahoma" w:hAnsi="Tahoma" w:cs="Tahoma"/>
        </w:rPr>
        <w:t>el recurso de alzada</w:t>
      </w:r>
      <w:r w:rsidRPr="004406B2">
        <w:rPr>
          <w:rFonts w:ascii="Tahoma" w:hAnsi="Tahoma" w:cs="Tahoma"/>
        </w:rPr>
        <w:t>.</w:t>
      </w:r>
    </w:p>
    <w:p w14:paraId="24C54589" w14:textId="1E302303" w:rsidR="00D51494" w:rsidRPr="004406B2" w:rsidRDefault="00D51494" w:rsidP="004406B2">
      <w:pPr>
        <w:spacing w:line="276" w:lineRule="auto"/>
        <w:jc w:val="both"/>
        <w:rPr>
          <w:rFonts w:ascii="Tahoma" w:hAnsi="Tahoma" w:cs="Tahoma"/>
        </w:rPr>
      </w:pPr>
    </w:p>
    <w:p w14:paraId="3F0959F5" w14:textId="36579BF2" w:rsidR="00D51494" w:rsidRPr="004406B2" w:rsidRDefault="00D51494" w:rsidP="004406B2">
      <w:pPr>
        <w:pStyle w:val="Sangradetextonormal"/>
        <w:spacing w:line="276" w:lineRule="auto"/>
      </w:pPr>
      <w:r w:rsidRPr="004406B2">
        <w:t xml:space="preserve">En mérito de lo expuesto, el </w:t>
      </w:r>
      <w:r w:rsidRPr="004406B2">
        <w:rPr>
          <w:b/>
        </w:rPr>
        <w:t xml:space="preserve">Tribunal Superior del Distrito Judicial de Pereira (Risaralda), Sala </w:t>
      </w:r>
      <w:r w:rsidR="008C093F" w:rsidRPr="004406B2">
        <w:rPr>
          <w:b/>
        </w:rPr>
        <w:t xml:space="preserve">Primera </w:t>
      </w:r>
      <w:r w:rsidRPr="004406B2">
        <w:rPr>
          <w:b/>
        </w:rPr>
        <w:t>de Decisión Laboral</w:t>
      </w:r>
      <w:r w:rsidRPr="004406B2">
        <w:t>, administrando justicia en nombre de la República y por autoridad de la Ley,</w:t>
      </w:r>
    </w:p>
    <w:p w14:paraId="64CCE6E4" w14:textId="7144A2D5" w:rsidR="00D51494" w:rsidRDefault="00D51494" w:rsidP="004406B2">
      <w:pPr>
        <w:pStyle w:val="Sinespaciado"/>
        <w:spacing w:line="276" w:lineRule="auto"/>
        <w:rPr>
          <w:rFonts w:ascii="Tahoma" w:hAnsi="Tahoma" w:cs="Tahoma"/>
        </w:rPr>
      </w:pPr>
    </w:p>
    <w:p w14:paraId="7127AE33" w14:textId="77777777" w:rsidR="00261EC4" w:rsidRPr="004406B2" w:rsidRDefault="00261EC4" w:rsidP="004406B2">
      <w:pPr>
        <w:pStyle w:val="Sinespaciado"/>
        <w:spacing w:line="276" w:lineRule="auto"/>
        <w:rPr>
          <w:rFonts w:ascii="Tahoma" w:hAnsi="Tahoma" w:cs="Tahoma"/>
        </w:rPr>
      </w:pPr>
    </w:p>
    <w:p w14:paraId="23C29F55" w14:textId="77777777" w:rsidR="00D51494" w:rsidRPr="004406B2" w:rsidRDefault="00D51494" w:rsidP="00D21EEE">
      <w:pPr>
        <w:widowControl w:val="0"/>
        <w:numPr>
          <w:ilvl w:val="0"/>
          <w:numId w:val="2"/>
        </w:numPr>
        <w:autoSpaceDE w:val="0"/>
        <w:autoSpaceDN w:val="0"/>
        <w:adjustRightInd w:val="0"/>
        <w:spacing w:line="276" w:lineRule="auto"/>
        <w:ind w:hanging="519"/>
        <w:jc w:val="center"/>
        <w:rPr>
          <w:rFonts w:ascii="Tahoma" w:hAnsi="Tahoma" w:cs="Tahoma"/>
          <w:b/>
        </w:rPr>
      </w:pPr>
      <w:bookmarkStart w:id="2" w:name="_GoBack"/>
      <w:r w:rsidRPr="004406B2">
        <w:rPr>
          <w:rFonts w:ascii="Tahoma" w:hAnsi="Tahoma" w:cs="Tahoma"/>
          <w:b/>
        </w:rPr>
        <w:t>RESUELVE</w:t>
      </w:r>
    </w:p>
    <w:bookmarkEnd w:id="2"/>
    <w:p w14:paraId="7C6745EF" w14:textId="77777777" w:rsidR="00D51494" w:rsidRPr="004406B2" w:rsidRDefault="00D51494" w:rsidP="004406B2">
      <w:pPr>
        <w:pStyle w:val="Sinespaciado"/>
        <w:spacing w:line="276" w:lineRule="auto"/>
        <w:rPr>
          <w:rFonts w:ascii="Tahoma" w:hAnsi="Tahoma" w:cs="Tahoma"/>
        </w:rPr>
      </w:pPr>
    </w:p>
    <w:p w14:paraId="213709A0" w14:textId="1A52DF3A" w:rsidR="005E7FA7" w:rsidRPr="004406B2" w:rsidRDefault="00E51390" w:rsidP="004406B2">
      <w:pPr>
        <w:spacing w:line="276" w:lineRule="auto"/>
        <w:ind w:firstLine="708"/>
        <w:jc w:val="both"/>
        <w:rPr>
          <w:rFonts w:ascii="Tahoma" w:hAnsi="Tahoma" w:cs="Tahoma"/>
        </w:rPr>
      </w:pPr>
      <w:r w:rsidRPr="004406B2">
        <w:rPr>
          <w:rFonts w:ascii="Tahoma" w:hAnsi="Tahoma" w:cs="Tahoma"/>
          <w:b/>
          <w:bCs/>
          <w:u w:val="single"/>
        </w:rPr>
        <w:t>PRIMERO</w:t>
      </w:r>
      <w:r w:rsidRPr="004406B2">
        <w:rPr>
          <w:rFonts w:ascii="Tahoma" w:hAnsi="Tahoma" w:cs="Tahoma"/>
        </w:rPr>
        <w:t>. -</w:t>
      </w:r>
      <w:r w:rsidR="00D51494" w:rsidRPr="004406B2">
        <w:rPr>
          <w:rFonts w:ascii="Tahoma" w:hAnsi="Tahoma" w:cs="Tahoma"/>
        </w:rPr>
        <w:t xml:space="preserve"> </w:t>
      </w:r>
      <w:r w:rsidR="005E7FA7" w:rsidRPr="004406B2">
        <w:rPr>
          <w:rFonts w:ascii="Tahoma" w:hAnsi="Tahoma" w:cs="Tahoma"/>
          <w:b/>
        </w:rPr>
        <w:t xml:space="preserve">REVOCAR PARCIALMENTE </w:t>
      </w:r>
      <w:r w:rsidR="005E7FA7" w:rsidRPr="004406B2">
        <w:rPr>
          <w:rFonts w:ascii="Tahoma" w:hAnsi="Tahoma" w:cs="Tahoma"/>
        </w:rPr>
        <w:t xml:space="preserve">el numeral primero </w:t>
      </w:r>
      <w:r w:rsidR="005E7FA7" w:rsidRPr="004406B2">
        <w:rPr>
          <w:rFonts w:ascii="Tahoma" w:hAnsi="Tahoma" w:cs="Tahoma"/>
          <w:spacing w:val="-2"/>
        </w:rPr>
        <w:t xml:space="preserve">de la </w:t>
      </w:r>
      <w:r w:rsidR="005E7FA7" w:rsidRPr="004406B2">
        <w:rPr>
          <w:rFonts w:ascii="Tahoma" w:hAnsi="Tahoma" w:cs="Tahoma"/>
        </w:rPr>
        <w:t xml:space="preserve">sentencia proferida el 5 de septiembre de 2022 por el Juzgado Primero Laboral del Circuito de Pereira. En su lugar </w:t>
      </w:r>
      <w:r w:rsidR="005E7FA7" w:rsidRPr="004406B2">
        <w:rPr>
          <w:rFonts w:ascii="Tahoma" w:hAnsi="Tahoma" w:cs="Tahoma"/>
          <w:b/>
        </w:rPr>
        <w:t xml:space="preserve">DECLARAR PARCIALMENTE PROBADA </w:t>
      </w:r>
      <w:r w:rsidR="005E7FA7" w:rsidRPr="004406B2">
        <w:rPr>
          <w:rFonts w:ascii="Tahoma" w:hAnsi="Tahoma" w:cs="Tahoma"/>
        </w:rPr>
        <w:t xml:space="preserve">la excepción de prescripción propuesta por la AFP PORVENIR S.A., en el sentido de </w:t>
      </w:r>
      <w:r w:rsidR="00046075" w:rsidRPr="004406B2">
        <w:rPr>
          <w:rFonts w:ascii="Tahoma" w:hAnsi="Tahoma" w:cs="Tahoma"/>
        </w:rPr>
        <w:t xml:space="preserve">que las pretensiones fenecieron </w:t>
      </w:r>
      <w:r w:rsidR="00AC58F0" w:rsidRPr="004406B2">
        <w:rPr>
          <w:rFonts w:ascii="Tahoma" w:hAnsi="Tahoma" w:cs="Tahoma"/>
        </w:rPr>
        <w:t xml:space="preserve">por el paso del tiempo </w:t>
      </w:r>
      <w:r w:rsidR="00046075" w:rsidRPr="004406B2">
        <w:rPr>
          <w:rFonts w:ascii="Tahoma" w:hAnsi="Tahoma" w:cs="Tahoma"/>
        </w:rPr>
        <w:t xml:space="preserve">del 9 de mayo de 2014 hacia atrás. Lo anterior de conformidad a </w:t>
      </w:r>
      <w:r w:rsidR="005E7FA7" w:rsidRPr="004406B2">
        <w:rPr>
          <w:rFonts w:ascii="Tahoma" w:hAnsi="Tahoma" w:cs="Tahoma"/>
        </w:rPr>
        <w:t xml:space="preserve">las razones expuestas </w:t>
      </w:r>
      <w:r w:rsidR="00046075" w:rsidRPr="004406B2">
        <w:rPr>
          <w:rFonts w:ascii="Tahoma" w:hAnsi="Tahoma" w:cs="Tahoma"/>
        </w:rPr>
        <w:t>en la parte motiva de esta providencia.</w:t>
      </w:r>
    </w:p>
    <w:p w14:paraId="5A555DB2" w14:textId="77777777" w:rsidR="005E7FA7" w:rsidRPr="004406B2" w:rsidRDefault="005E7FA7" w:rsidP="004406B2">
      <w:pPr>
        <w:spacing w:line="276" w:lineRule="auto"/>
        <w:ind w:firstLine="708"/>
        <w:jc w:val="both"/>
        <w:rPr>
          <w:rFonts w:ascii="Tahoma" w:hAnsi="Tahoma" w:cs="Tahoma"/>
          <w:b/>
          <w:bCs/>
        </w:rPr>
      </w:pPr>
    </w:p>
    <w:p w14:paraId="0DC9E319" w14:textId="5D670A02" w:rsidR="00FB691E" w:rsidRPr="004406B2" w:rsidRDefault="00E51390" w:rsidP="004406B2">
      <w:pPr>
        <w:spacing w:line="276" w:lineRule="auto"/>
        <w:ind w:firstLine="708"/>
        <w:jc w:val="both"/>
        <w:rPr>
          <w:rFonts w:ascii="Tahoma" w:hAnsi="Tahoma" w:cs="Tahoma"/>
        </w:rPr>
      </w:pPr>
      <w:r w:rsidRPr="004406B2">
        <w:rPr>
          <w:rFonts w:ascii="Tahoma" w:hAnsi="Tahoma" w:cs="Tahoma"/>
          <w:b/>
          <w:u w:val="single"/>
        </w:rPr>
        <w:t>SEGUNDO</w:t>
      </w:r>
      <w:r w:rsidRPr="004406B2">
        <w:rPr>
          <w:rFonts w:ascii="Tahoma" w:hAnsi="Tahoma" w:cs="Tahoma"/>
          <w:b/>
        </w:rPr>
        <w:t>. -</w:t>
      </w:r>
      <w:r w:rsidR="00046075" w:rsidRPr="004406B2">
        <w:rPr>
          <w:rFonts w:ascii="Tahoma" w:hAnsi="Tahoma" w:cs="Tahoma"/>
          <w:b/>
        </w:rPr>
        <w:t xml:space="preserve"> </w:t>
      </w:r>
      <w:r w:rsidR="00046075" w:rsidRPr="004406B2">
        <w:rPr>
          <w:rFonts w:ascii="Tahoma" w:hAnsi="Tahoma" w:cs="Tahoma"/>
        </w:rPr>
        <w:t xml:space="preserve">Como consecuencia de lo anterior, </w:t>
      </w:r>
      <w:r w:rsidR="008C093F" w:rsidRPr="004406B2">
        <w:rPr>
          <w:rFonts w:ascii="Tahoma" w:hAnsi="Tahoma" w:cs="Tahoma"/>
          <w:b/>
          <w:bCs/>
        </w:rPr>
        <w:t>MODIFIC</w:t>
      </w:r>
      <w:r w:rsidR="00205750" w:rsidRPr="004406B2">
        <w:rPr>
          <w:rFonts w:ascii="Tahoma" w:hAnsi="Tahoma" w:cs="Tahoma"/>
          <w:b/>
          <w:bCs/>
        </w:rPr>
        <w:t xml:space="preserve">AR </w:t>
      </w:r>
      <w:r w:rsidR="005E7FA7" w:rsidRPr="004406B2">
        <w:rPr>
          <w:rFonts w:ascii="Tahoma" w:hAnsi="Tahoma" w:cs="Tahoma"/>
          <w:spacing w:val="-2"/>
        </w:rPr>
        <w:t>el</w:t>
      </w:r>
      <w:r w:rsidR="00205750" w:rsidRPr="004406B2">
        <w:rPr>
          <w:rFonts w:ascii="Tahoma" w:hAnsi="Tahoma" w:cs="Tahoma"/>
          <w:spacing w:val="-2"/>
        </w:rPr>
        <w:t xml:space="preserve"> ordinal</w:t>
      </w:r>
      <w:r w:rsidR="008C093F" w:rsidRPr="004406B2">
        <w:rPr>
          <w:rFonts w:ascii="Tahoma" w:hAnsi="Tahoma" w:cs="Tahoma"/>
          <w:spacing w:val="-2"/>
        </w:rPr>
        <w:t xml:space="preserve"> cuarto de la</w:t>
      </w:r>
      <w:r w:rsidR="00205750" w:rsidRPr="004406B2">
        <w:rPr>
          <w:rFonts w:ascii="Tahoma" w:hAnsi="Tahoma" w:cs="Tahoma"/>
          <w:spacing w:val="-2"/>
        </w:rPr>
        <w:t xml:space="preserve"> </w:t>
      </w:r>
      <w:r w:rsidR="004C14BD" w:rsidRPr="004406B2">
        <w:rPr>
          <w:rFonts w:ascii="Tahoma" w:hAnsi="Tahoma" w:cs="Tahoma"/>
        </w:rPr>
        <w:t xml:space="preserve">sentencia proferida el </w:t>
      </w:r>
      <w:r w:rsidR="00FB691E" w:rsidRPr="004406B2">
        <w:rPr>
          <w:rFonts w:ascii="Tahoma" w:hAnsi="Tahoma" w:cs="Tahoma"/>
        </w:rPr>
        <w:t>5 de septiembre</w:t>
      </w:r>
      <w:r w:rsidR="008C093F" w:rsidRPr="004406B2">
        <w:rPr>
          <w:rFonts w:ascii="Tahoma" w:hAnsi="Tahoma" w:cs="Tahoma"/>
        </w:rPr>
        <w:t xml:space="preserve"> de 2022</w:t>
      </w:r>
      <w:r w:rsidR="004C14BD" w:rsidRPr="004406B2">
        <w:rPr>
          <w:rFonts w:ascii="Tahoma" w:hAnsi="Tahoma" w:cs="Tahoma"/>
        </w:rPr>
        <w:t xml:space="preserve"> por el Juzgado </w:t>
      </w:r>
      <w:r w:rsidR="008C093F" w:rsidRPr="004406B2">
        <w:rPr>
          <w:rFonts w:ascii="Tahoma" w:hAnsi="Tahoma" w:cs="Tahoma"/>
        </w:rPr>
        <w:t xml:space="preserve">Primero </w:t>
      </w:r>
      <w:r w:rsidR="004C14BD" w:rsidRPr="004406B2">
        <w:rPr>
          <w:rFonts w:ascii="Tahoma" w:hAnsi="Tahoma" w:cs="Tahoma"/>
        </w:rPr>
        <w:t>Laboral del Circuito de Pereira</w:t>
      </w:r>
      <w:r w:rsidR="00205750" w:rsidRPr="004406B2">
        <w:rPr>
          <w:rFonts w:ascii="Tahoma" w:hAnsi="Tahoma" w:cs="Tahoma"/>
        </w:rPr>
        <w:t xml:space="preserve">, </w:t>
      </w:r>
      <w:r w:rsidR="00FB691E" w:rsidRPr="004406B2">
        <w:rPr>
          <w:rFonts w:ascii="Tahoma" w:hAnsi="Tahoma" w:cs="Tahoma"/>
        </w:rPr>
        <w:t>en el sentido de que los inter</w:t>
      </w:r>
      <w:r w:rsidR="005E7FA7" w:rsidRPr="004406B2">
        <w:rPr>
          <w:rFonts w:ascii="Tahoma" w:hAnsi="Tahoma" w:cs="Tahoma"/>
        </w:rPr>
        <w:t>e</w:t>
      </w:r>
      <w:r w:rsidR="00FB691E" w:rsidRPr="004406B2">
        <w:rPr>
          <w:rFonts w:ascii="Tahoma" w:hAnsi="Tahoma" w:cs="Tahoma"/>
        </w:rPr>
        <w:t>ses moratorios correrán a partir del 9 de mayo de 2014 hasta el pago efectivo de la obligación.</w:t>
      </w:r>
    </w:p>
    <w:p w14:paraId="33A24B9B" w14:textId="4B3D303B" w:rsidR="00581C49" w:rsidRPr="004406B2" w:rsidRDefault="00581C49" w:rsidP="004406B2">
      <w:pPr>
        <w:spacing w:line="276" w:lineRule="auto"/>
        <w:jc w:val="both"/>
        <w:rPr>
          <w:rFonts w:ascii="Tahoma" w:hAnsi="Tahoma" w:cs="Tahoma"/>
        </w:rPr>
      </w:pPr>
    </w:p>
    <w:p w14:paraId="6B2FAFE3" w14:textId="0BC8EC3B" w:rsidR="00205750" w:rsidRPr="004406B2" w:rsidRDefault="00E51390" w:rsidP="004406B2">
      <w:pPr>
        <w:spacing w:line="276" w:lineRule="auto"/>
        <w:ind w:firstLine="708"/>
        <w:jc w:val="both"/>
        <w:rPr>
          <w:rFonts w:ascii="Tahoma" w:hAnsi="Tahoma" w:cs="Tahoma"/>
          <w:b/>
        </w:rPr>
      </w:pPr>
      <w:r w:rsidRPr="004406B2">
        <w:rPr>
          <w:rFonts w:ascii="Tahoma" w:hAnsi="Tahoma" w:cs="Tahoma"/>
          <w:b/>
        </w:rPr>
        <w:t>TERCERO. -</w:t>
      </w:r>
      <w:r w:rsidR="00046075" w:rsidRPr="004406B2">
        <w:rPr>
          <w:rFonts w:ascii="Tahoma" w:hAnsi="Tahoma" w:cs="Tahoma"/>
          <w:b/>
        </w:rPr>
        <w:t xml:space="preserve"> </w:t>
      </w:r>
      <w:r w:rsidR="00205750" w:rsidRPr="004406B2">
        <w:rPr>
          <w:rFonts w:ascii="Tahoma" w:hAnsi="Tahoma" w:cs="Tahoma"/>
          <w:b/>
        </w:rPr>
        <w:t xml:space="preserve">CONFIRMAR </w:t>
      </w:r>
      <w:r w:rsidR="00205750" w:rsidRPr="004406B2">
        <w:rPr>
          <w:rFonts w:ascii="Tahoma" w:hAnsi="Tahoma" w:cs="Tahoma"/>
          <w:bCs/>
        </w:rPr>
        <w:t>en todo lo demás la decisión de primera instancia.</w:t>
      </w:r>
    </w:p>
    <w:p w14:paraId="5FA4F8D6" w14:textId="77777777" w:rsidR="00205750" w:rsidRPr="004406B2" w:rsidRDefault="00205750" w:rsidP="004406B2">
      <w:pPr>
        <w:spacing w:line="276" w:lineRule="auto"/>
        <w:ind w:firstLine="708"/>
        <w:jc w:val="both"/>
        <w:rPr>
          <w:rFonts w:ascii="Tahoma" w:hAnsi="Tahoma" w:cs="Tahoma"/>
          <w:b/>
        </w:rPr>
      </w:pPr>
    </w:p>
    <w:p w14:paraId="4DA3E54A" w14:textId="2432903B" w:rsidR="00FF2D43" w:rsidRPr="004406B2" w:rsidRDefault="00E51390" w:rsidP="004406B2">
      <w:pPr>
        <w:spacing w:line="276" w:lineRule="auto"/>
        <w:ind w:firstLine="708"/>
        <w:jc w:val="both"/>
        <w:rPr>
          <w:rFonts w:ascii="Tahoma" w:hAnsi="Tahoma" w:cs="Tahoma"/>
          <w:b/>
        </w:rPr>
      </w:pPr>
      <w:r w:rsidRPr="004406B2">
        <w:rPr>
          <w:rFonts w:ascii="Tahoma" w:hAnsi="Tahoma" w:cs="Tahoma"/>
          <w:b/>
        </w:rPr>
        <w:t>CUARTO. -</w:t>
      </w:r>
      <w:r w:rsidR="00046075" w:rsidRPr="004406B2">
        <w:rPr>
          <w:rFonts w:ascii="Tahoma" w:hAnsi="Tahoma" w:cs="Tahoma"/>
          <w:b/>
        </w:rPr>
        <w:t xml:space="preserve"> </w:t>
      </w:r>
      <w:r w:rsidR="00205750" w:rsidRPr="004406B2">
        <w:rPr>
          <w:rFonts w:ascii="Tahoma" w:hAnsi="Tahoma" w:cs="Tahoma"/>
          <w:b/>
        </w:rPr>
        <w:t xml:space="preserve">COSTAS </w:t>
      </w:r>
      <w:r w:rsidR="00205750" w:rsidRPr="004406B2">
        <w:rPr>
          <w:rFonts w:ascii="Tahoma" w:hAnsi="Tahoma" w:cs="Tahoma"/>
          <w:bCs/>
        </w:rPr>
        <w:t>en segundo grado</w:t>
      </w:r>
      <w:r w:rsidR="002A59E1" w:rsidRPr="004406B2">
        <w:rPr>
          <w:rFonts w:ascii="Tahoma" w:hAnsi="Tahoma" w:cs="Tahoma"/>
          <w:bCs/>
        </w:rPr>
        <w:t xml:space="preserve"> a cargo de </w:t>
      </w:r>
      <w:r w:rsidR="00FB691E" w:rsidRPr="004406B2">
        <w:rPr>
          <w:rFonts w:ascii="Tahoma" w:hAnsi="Tahoma" w:cs="Tahoma"/>
          <w:bCs/>
        </w:rPr>
        <w:t>Porvenir S.A.</w:t>
      </w:r>
      <w:r w:rsidR="002A59E1" w:rsidRPr="004406B2">
        <w:rPr>
          <w:rFonts w:ascii="Tahoma" w:hAnsi="Tahoma" w:cs="Tahoma"/>
          <w:bCs/>
        </w:rPr>
        <w:t xml:space="preserve"> en un </w:t>
      </w:r>
      <w:r w:rsidR="00FB691E" w:rsidRPr="004406B2">
        <w:rPr>
          <w:rFonts w:ascii="Tahoma" w:hAnsi="Tahoma" w:cs="Tahoma"/>
          <w:bCs/>
        </w:rPr>
        <w:t>9</w:t>
      </w:r>
      <w:r w:rsidR="002A59E1" w:rsidRPr="004406B2">
        <w:rPr>
          <w:rFonts w:ascii="Tahoma" w:hAnsi="Tahoma" w:cs="Tahoma"/>
          <w:bCs/>
        </w:rPr>
        <w:t>0% a favor de la demandante</w:t>
      </w:r>
      <w:r w:rsidR="00B07369" w:rsidRPr="004406B2">
        <w:rPr>
          <w:rFonts w:ascii="Tahoma" w:hAnsi="Tahoma" w:cs="Tahoma"/>
        </w:rPr>
        <w:t>.</w:t>
      </w:r>
    </w:p>
    <w:p w14:paraId="53A0C974" w14:textId="77777777" w:rsidR="00261EC4" w:rsidRPr="00261EC4" w:rsidRDefault="00261EC4" w:rsidP="00261EC4">
      <w:pPr>
        <w:spacing w:line="276" w:lineRule="auto"/>
        <w:jc w:val="both"/>
        <w:rPr>
          <w:rFonts w:ascii="Tahoma" w:eastAsia="Calibri" w:hAnsi="Tahoma" w:cs="Tahoma"/>
          <w:lang w:val="es-CO" w:eastAsia="en-US"/>
        </w:rPr>
      </w:pPr>
      <w:bookmarkStart w:id="3" w:name="_Hlk126574973"/>
    </w:p>
    <w:p w14:paraId="5A5D37D6" w14:textId="77777777" w:rsidR="00261EC4" w:rsidRPr="00261EC4" w:rsidRDefault="00261EC4" w:rsidP="00261EC4">
      <w:pPr>
        <w:spacing w:line="276" w:lineRule="auto"/>
        <w:jc w:val="center"/>
        <w:rPr>
          <w:rFonts w:ascii="Tahoma" w:eastAsia="Tahoma" w:hAnsi="Tahoma" w:cs="Tahoma"/>
          <w:b/>
          <w:bCs/>
          <w:lang w:val="es-CO" w:eastAsia="en-US"/>
        </w:rPr>
      </w:pPr>
      <w:r w:rsidRPr="00261EC4">
        <w:rPr>
          <w:rFonts w:ascii="Tahoma" w:eastAsia="Tahoma" w:hAnsi="Tahoma" w:cs="Tahoma"/>
          <w:b/>
          <w:bCs/>
          <w:lang w:val="es-CO" w:eastAsia="en-US"/>
        </w:rPr>
        <w:t>NOTIFÍQUESE Y CÚMPLASE</w:t>
      </w:r>
    </w:p>
    <w:p w14:paraId="4533FEA2" w14:textId="77777777" w:rsidR="00261EC4" w:rsidRPr="00261EC4" w:rsidRDefault="00261EC4" w:rsidP="00261EC4">
      <w:pPr>
        <w:spacing w:after="160" w:line="276" w:lineRule="auto"/>
        <w:jc w:val="both"/>
        <w:rPr>
          <w:rFonts w:ascii="Tahoma" w:eastAsia="Segoe UI" w:hAnsi="Tahoma" w:cs="Tahoma"/>
          <w:lang w:val="es-CO" w:eastAsia="es-CO"/>
        </w:rPr>
      </w:pPr>
      <w:r w:rsidRPr="00261EC4">
        <w:rPr>
          <w:rFonts w:ascii="Tahoma" w:eastAsia="Tahoma" w:hAnsi="Tahoma" w:cs="Tahoma"/>
          <w:lang w:val="es-CO" w:eastAsia="en-US"/>
        </w:rPr>
        <w:t xml:space="preserve"> </w:t>
      </w:r>
    </w:p>
    <w:p w14:paraId="76BC6A49" w14:textId="77777777" w:rsidR="00261EC4" w:rsidRPr="00261EC4" w:rsidRDefault="00261EC4" w:rsidP="00261EC4">
      <w:pPr>
        <w:widowControl w:val="0"/>
        <w:autoSpaceDE w:val="0"/>
        <w:autoSpaceDN w:val="0"/>
        <w:adjustRightInd w:val="0"/>
        <w:spacing w:line="276" w:lineRule="auto"/>
        <w:jc w:val="both"/>
        <w:rPr>
          <w:rFonts w:ascii="Tahoma" w:hAnsi="Tahoma" w:cs="Tahoma"/>
        </w:rPr>
      </w:pPr>
      <w:r w:rsidRPr="00261EC4">
        <w:rPr>
          <w:rFonts w:ascii="Tahoma" w:hAnsi="Tahoma" w:cs="Tahoma"/>
        </w:rPr>
        <w:tab/>
        <w:t>La Magistrada ponente,</w:t>
      </w:r>
    </w:p>
    <w:p w14:paraId="35465FC4" w14:textId="77777777" w:rsidR="00261EC4" w:rsidRPr="00261EC4" w:rsidRDefault="00261EC4" w:rsidP="00261EC4">
      <w:pPr>
        <w:spacing w:line="276" w:lineRule="auto"/>
        <w:rPr>
          <w:rFonts w:ascii="Tahoma" w:hAnsi="Tahoma" w:cs="Tahoma"/>
        </w:rPr>
      </w:pPr>
    </w:p>
    <w:p w14:paraId="67D4B5BF" w14:textId="77777777" w:rsidR="00261EC4" w:rsidRPr="00261EC4" w:rsidRDefault="00261EC4" w:rsidP="00261EC4">
      <w:pPr>
        <w:spacing w:line="276" w:lineRule="auto"/>
        <w:rPr>
          <w:rFonts w:ascii="Tahoma" w:hAnsi="Tahoma" w:cs="Tahoma"/>
        </w:rPr>
      </w:pPr>
    </w:p>
    <w:p w14:paraId="664D4E87" w14:textId="77777777" w:rsidR="00261EC4" w:rsidRPr="00261EC4" w:rsidRDefault="00261EC4" w:rsidP="00261EC4">
      <w:pPr>
        <w:spacing w:line="276" w:lineRule="auto"/>
        <w:rPr>
          <w:rFonts w:ascii="Tahoma" w:hAnsi="Tahoma" w:cs="Tahoma"/>
        </w:rPr>
      </w:pPr>
    </w:p>
    <w:p w14:paraId="3ECA91B2" w14:textId="77777777" w:rsidR="00261EC4" w:rsidRPr="00261EC4" w:rsidRDefault="00261EC4" w:rsidP="00261EC4">
      <w:pPr>
        <w:keepNext/>
        <w:spacing w:line="276" w:lineRule="auto"/>
        <w:jc w:val="center"/>
        <w:outlineLvl w:val="2"/>
        <w:rPr>
          <w:rFonts w:ascii="Tahoma" w:hAnsi="Tahoma" w:cs="Tahoma"/>
          <w:b/>
          <w:bCs/>
        </w:rPr>
      </w:pPr>
      <w:r w:rsidRPr="00261EC4">
        <w:rPr>
          <w:rFonts w:ascii="Tahoma" w:hAnsi="Tahoma" w:cs="Tahoma"/>
          <w:b/>
          <w:bCs/>
        </w:rPr>
        <w:t>ANA LUCÍA CAICEDO CALDERÓN</w:t>
      </w:r>
    </w:p>
    <w:p w14:paraId="7C442EC7" w14:textId="77777777" w:rsidR="00261EC4" w:rsidRPr="00261EC4" w:rsidRDefault="00261EC4" w:rsidP="00261EC4">
      <w:pPr>
        <w:spacing w:line="276" w:lineRule="auto"/>
        <w:rPr>
          <w:rFonts w:ascii="Tahoma" w:hAnsi="Tahoma" w:cs="Tahoma"/>
        </w:rPr>
      </w:pPr>
    </w:p>
    <w:p w14:paraId="5EC395AE" w14:textId="77777777" w:rsidR="00261EC4" w:rsidRPr="00261EC4" w:rsidRDefault="00261EC4" w:rsidP="00261EC4">
      <w:pPr>
        <w:spacing w:line="276" w:lineRule="auto"/>
        <w:ind w:firstLine="708"/>
        <w:rPr>
          <w:rFonts w:ascii="Tahoma" w:hAnsi="Tahoma" w:cs="Tahoma"/>
        </w:rPr>
      </w:pPr>
      <w:bookmarkStart w:id="4" w:name="_Hlk62478330"/>
      <w:r w:rsidRPr="00261EC4">
        <w:rPr>
          <w:rFonts w:ascii="Tahoma" w:hAnsi="Tahoma" w:cs="Tahoma"/>
        </w:rPr>
        <w:t>La Magistrada y el Magistrado,</w:t>
      </w:r>
    </w:p>
    <w:p w14:paraId="10522B20" w14:textId="77777777" w:rsidR="00261EC4" w:rsidRPr="00261EC4" w:rsidRDefault="00261EC4" w:rsidP="00261EC4">
      <w:pPr>
        <w:spacing w:line="276" w:lineRule="auto"/>
        <w:rPr>
          <w:rFonts w:ascii="Tahoma" w:hAnsi="Tahoma" w:cs="Tahoma"/>
        </w:rPr>
      </w:pPr>
    </w:p>
    <w:p w14:paraId="3B4D2837" w14:textId="77777777" w:rsidR="00261EC4" w:rsidRPr="00261EC4" w:rsidRDefault="00261EC4" w:rsidP="00261EC4">
      <w:pPr>
        <w:spacing w:line="276" w:lineRule="auto"/>
        <w:rPr>
          <w:rFonts w:ascii="Tahoma" w:hAnsi="Tahoma" w:cs="Tahoma"/>
        </w:rPr>
      </w:pPr>
    </w:p>
    <w:p w14:paraId="1A0CABA9" w14:textId="77777777" w:rsidR="00261EC4" w:rsidRPr="00261EC4" w:rsidRDefault="00261EC4" w:rsidP="00261EC4">
      <w:pPr>
        <w:spacing w:line="276" w:lineRule="auto"/>
        <w:rPr>
          <w:rFonts w:ascii="Tahoma" w:hAnsi="Tahoma" w:cs="Tahoma"/>
        </w:rPr>
      </w:pPr>
    </w:p>
    <w:p w14:paraId="7B4D8B0D" w14:textId="73223886" w:rsidR="00036862" w:rsidRPr="004406B2" w:rsidRDefault="00261EC4" w:rsidP="00261EC4">
      <w:pPr>
        <w:pStyle w:val="Sinespaciado"/>
        <w:spacing w:line="276" w:lineRule="auto"/>
        <w:rPr>
          <w:rFonts w:ascii="Tahoma" w:hAnsi="Tahoma" w:cs="Tahoma"/>
          <w:lang w:val="es-CO"/>
        </w:rPr>
      </w:pPr>
      <w:r w:rsidRPr="00261EC4">
        <w:rPr>
          <w:rFonts w:ascii="Tahoma" w:hAnsi="Tahoma" w:cs="Tahoma"/>
          <w:b/>
          <w:bCs/>
        </w:rPr>
        <w:t>OLGA LUCÍA HOYOS SEPÚLVEDA</w:t>
      </w:r>
      <w:r w:rsidRPr="00261EC4">
        <w:rPr>
          <w:rFonts w:ascii="Tahoma" w:hAnsi="Tahoma" w:cs="Tahoma"/>
          <w:b/>
          <w:bCs/>
        </w:rPr>
        <w:tab/>
      </w:r>
      <w:r w:rsidRPr="00261EC4">
        <w:rPr>
          <w:rFonts w:ascii="Tahoma" w:hAnsi="Tahoma" w:cs="Tahoma"/>
          <w:b/>
          <w:bCs/>
        </w:rPr>
        <w:tab/>
        <w:t>GERMÁN DARÍO GÓEZ VINASCO</w:t>
      </w:r>
      <w:bookmarkEnd w:id="3"/>
      <w:bookmarkEnd w:id="4"/>
    </w:p>
    <w:sectPr w:rsidR="00036862" w:rsidRPr="004406B2" w:rsidSect="00E51390">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62E29D" w16cex:dateUtc="2023-01-26T14:17:00Z"/>
  <w16cex:commentExtensible w16cex:durableId="0DB95308" w16cex:dateUtc="2023-02-02T20:31:41.065Z"/>
  <w16cex:commentExtensible w16cex:durableId="0920F3E5" w16cex:dateUtc="2023-02-03T15:36:13.3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F70C" w14:textId="77777777" w:rsidR="00671EA0" w:rsidRDefault="00671EA0">
      <w:r>
        <w:separator/>
      </w:r>
    </w:p>
  </w:endnote>
  <w:endnote w:type="continuationSeparator" w:id="0">
    <w:p w14:paraId="4FC6614C" w14:textId="77777777" w:rsidR="00671EA0" w:rsidRDefault="00671EA0">
      <w:r>
        <w:continuationSeparator/>
      </w:r>
    </w:p>
  </w:endnote>
  <w:endnote w:type="continuationNotice" w:id="1">
    <w:p w14:paraId="019BD380" w14:textId="77777777" w:rsidR="00671EA0" w:rsidRDefault="00671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FA4D61" w:rsidRPr="004406B2" w:rsidRDefault="00FA4D61" w:rsidP="004406B2">
    <w:pPr>
      <w:pStyle w:val="Ttulo"/>
      <w:spacing w:line="240" w:lineRule="auto"/>
      <w:jc w:val="right"/>
      <w:rPr>
        <w:b w:val="0"/>
        <w:sz w:val="18"/>
        <w:szCs w:val="16"/>
      </w:rPr>
    </w:pPr>
    <w:r w:rsidRPr="004406B2">
      <w:rPr>
        <w:b w:val="0"/>
        <w:sz w:val="18"/>
        <w:szCs w:val="16"/>
      </w:rPr>
      <w:fldChar w:fldCharType="begin"/>
    </w:r>
    <w:r w:rsidRPr="004406B2">
      <w:rPr>
        <w:b w:val="0"/>
        <w:sz w:val="18"/>
        <w:szCs w:val="16"/>
      </w:rPr>
      <w:instrText>PAGE   \* MERGEFORMAT</w:instrText>
    </w:r>
    <w:r w:rsidRPr="004406B2">
      <w:rPr>
        <w:b w:val="0"/>
        <w:sz w:val="18"/>
        <w:szCs w:val="16"/>
      </w:rPr>
      <w:fldChar w:fldCharType="separate"/>
    </w:r>
    <w:r w:rsidR="0052373A" w:rsidRPr="004406B2">
      <w:rPr>
        <w:b w:val="0"/>
        <w:sz w:val="18"/>
        <w:szCs w:val="16"/>
      </w:rPr>
      <w:t>2</w:t>
    </w:r>
    <w:r w:rsidRPr="004406B2">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E46E" w14:textId="77777777" w:rsidR="00671EA0" w:rsidRDefault="00671EA0">
      <w:r>
        <w:separator/>
      </w:r>
    </w:p>
  </w:footnote>
  <w:footnote w:type="continuationSeparator" w:id="0">
    <w:p w14:paraId="1019E017" w14:textId="77777777" w:rsidR="00671EA0" w:rsidRDefault="00671EA0">
      <w:r>
        <w:continuationSeparator/>
      </w:r>
    </w:p>
  </w:footnote>
  <w:footnote w:type="continuationNotice" w:id="1">
    <w:p w14:paraId="34922A0B" w14:textId="77777777" w:rsidR="00671EA0" w:rsidRDefault="00671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2E26" w14:textId="08D085CF" w:rsidR="00CA19EA" w:rsidRPr="004406B2" w:rsidRDefault="00CA19EA" w:rsidP="004406B2">
    <w:pPr>
      <w:pStyle w:val="Ttulo"/>
      <w:spacing w:line="240" w:lineRule="auto"/>
      <w:jc w:val="both"/>
      <w:rPr>
        <w:b w:val="0"/>
        <w:sz w:val="18"/>
        <w:szCs w:val="16"/>
      </w:rPr>
    </w:pPr>
    <w:r w:rsidRPr="004406B2">
      <w:rPr>
        <w:b w:val="0"/>
        <w:sz w:val="18"/>
        <w:szCs w:val="16"/>
      </w:rPr>
      <w:t>Radicación No.: 66001-31-05-001-2019-00259-01</w:t>
    </w:r>
  </w:p>
  <w:p w14:paraId="7216905F" w14:textId="0AAD8771" w:rsidR="00CA19EA" w:rsidRPr="004406B2" w:rsidRDefault="00CA19EA" w:rsidP="004406B2">
    <w:pPr>
      <w:pStyle w:val="Ttulo"/>
      <w:spacing w:line="240" w:lineRule="auto"/>
      <w:jc w:val="both"/>
      <w:rPr>
        <w:b w:val="0"/>
        <w:sz w:val="18"/>
        <w:szCs w:val="16"/>
      </w:rPr>
    </w:pPr>
    <w:r w:rsidRPr="004406B2">
      <w:rPr>
        <w:b w:val="0"/>
        <w:sz w:val="18"/>
        <w:szCs w:val="16"/>
      </w:rPr>
      <w:t xml:space="preserve">Demandante: María Auxiliadora Orcasitas Ramírez  </w:t>
    </w:r>
  </w:p>
  <w:p w14:paraId="62B3CCB0" w14:textId="627B6D81" w:rsidR="00CA19EA" w:rsidRPr="004406B2" w:rsidRDefault="00CA19EA" w:rsidP="004406B2">
    <w:pPr>
      <w:pStyle w:val="Ttulo"/>
      <w:spacing w:line="240" w:lineRule="auto"/>
      <w:jc w:val="both"/>
      <w:rPr>
        <w:b w:val="0"/>
        <w:sz w:val="18"/>
        <w:szCs w:val="16"/>
      </w:rPr>
    </w:pPr>
    <w:r w:rsidRPr="004406B2">
      <w:rPr>
        <w:b w:val="0"/>
        <w:sz w:val="18"/>
        <w:szCs w:val="16"/>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3906D3"/>
    <w:multiLevelType w:val="hybridMultilevel"/>
    <w:tmpl w:val="A372D3EE"/>
    <w:lvl w:ilvl="0" w:tplc="80C8DDEE">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6F21167F"/>
    <w:multiLevelType w:val="multilevel"/>
    <w:tmpl w:val="5798E7B8"/>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1CD"/>
    <w:rsid w:val="000057C8"/>
    <w:rsid w:val="00005AD0"/>
    <w:rsid w:val="00005AE6"/>
    <w:rsid w:val="00006084"/>
    <w:rsid w:val="0000616E"/>
    <w:rsid w:val="00006421"/>
    <w:rsid w:val="000067FE"/>
    <w:rsid w:val="00006AB3"/>
    <w:rsid w:val="00007112"/>
    <w:rsid w:val="00007C59"/>
    <w:rsid w:val="000108A0"/>
    <w:rsid w:val="000108FA"/>
    <w:rsid w:val="000113A2"/>
    <w:rsid w:val="000113AE"/>
    <w:rsid w:val="000116DD"/>
    <w:rsid w:val="000117AB"/>
    <w:rsid w:val="00011DC0"/>
    <w:rsid w:val="00013138"/>
    <w:rsid w:val="00013441"/>
    <w:rsid w:val="000138D2"/>
    <w:rsid w:val="00014101"/>
    <w:rsid w:val="0001414C"/>
    <w:rsid w:val="00014172"/>
    <w:rsid w:val="00014949"/>
    <w:rsid w:val="000149FB"/>
    <w:rsid w:val="00014C12"/>
    <w:rsid w:val="00014F1A"/>
    <w:rsid w:val="000153D6"/>
    <w:rsid w:val="00015677"/>
    <w:rsid w:val="00015C7D"/>
    <w:rsid w:val="00016531"/>
    <w:rsid w:val="00016CEA"/>
    <w:rsid w:val="000207D2"/>
    <w:rsid w:val="0002080C"/>
    <w:rsid w:val="00020B62"/>
    <w:rsid w:val="00020EAD"/>
    <w:rsid w:val="00021B46"/>
    <w:rsid w:val="000222F2"/>
    <w:rsid w:val="000228BF"/>
    <w:rsid w:val="00022A5C"/>
    <w:rsid w:val="0002387D"/>
    <w:rsid w:val="0002448C"/>
    <w:rsid w:val="0002458E"/>
    <w:rsid w:val="00024D40"/>
    <w:rsid w:val="00025895"/>
    <w:rsid w:val="00025C56"/>
    <w:rsid w:val="00026905"/>
    <w:rsid w:val="000269CA"/>
    <w:rsid w:val="000271CA"/>
    <w:rsid w:val="000277BB"/>
    <w:rsid w:val="00027E37"/>
    <w:rsid w:val="000323C7"/>
    <w:rsid w:val="000355F6"/>
    <w:rsid w:val="00035929"/>
    <w:rsid w:val="00035BF4"/>
    <w:rsid w:val="00035D3A"/>
    <w:rsid w:val="000360E7"/>
    <w:rsid w:val="00036862"/>
    <w:rsid w:val="00036C06"/>
    <w:rsid w:val="00036EDF"/>
    <w:rsid w:val="00036EF2"/>
    <w:rsid w:val="00037530"/>
    <w:rsid w:val="00037AF3"/>
    <w:rsid w:val="00037FB7"/>
    <w:rsid w:val="000400DC"/>
    <w:rsid w:val="00040AE8"/>
    <w:rsid w:val="000414E6"/>
    <w:rsid w:val="00041F36"/>
    <w:rsid w:val="000423AA"/>
    <w:rsid w:val="000424DD"/>
    <w:rsid w:val="000424FE"/>
    <w:rsid w:val="00042929"/>
    <w:rsid w:val="00042BE8"/>
    <w:rsid w:val="00042D64"/>
    <w:rsid w:val="00043582"/>
    <w:rsid w:val="0004475C"/>
    <w:rsid w:val="00044858"/>
    <w:rsid w:val="00044C28"/>
    <w:rsid w:val="00044E95"/>
    <w:rsid w:val="000454B0"/>
    <w:rsid w:val="00045950"/>
    <w:rsid w:val="00046075"/>
    <w:rsid w:val="000461AB"/>
    <w:rsid w:val="00046230"/>
    <w:rsid w:val="0004798C"/>
    <w:rsid w:val="00050286"/>
    <w:rsid w:val="000502A9"/>
    <w:rsid w:val="00050B8B"/>
    <w:rsid w:val="000516FA"/>
    <w:rsid w:val="000526DE"/>
    <w:rsid w:val="0005299F"/>
    <w:rsid w:val="00052DCE"/>
    <w:rsid w:val="00053381"/>
    <w:rsid w:val="00053767"/>
    <w:rsid w:val="000539D9"/>
    <w:rsid w:val="00053BBC"/>
    <w:rsid w:val="00054180"/>
    <w:rsid w:val="0005432E"/>
    <w:rsid w:val="00056F1F"/>
    <w:rsid w:val="00057644"/>
    <w:rsid w:val="00057E02"/>
    <w:rsid w:val="000603C5"/>
    <w:rsid w:val="000620FC"/>
    <w:rsid w:val="000621CB"/>
    <w:rsid w:val="0006296E"/>
    <w:rsid w:val="0006298A"/>
    <w:rsid w:val="0006342C"/>
    <w:rsid w:val="000634C3"/>
    <w:rsid w:val="00063FBC"/>
    <w:rsid w:val="00064C80"/>
    <w:rsid w:val="00065677"/>
    <w:rsid w:val="00065765"/>
    <w:rsid w:val="00065C21"/>
    <w:rsid w:val="00065E53"/>
    <w:rsid w:val="00066E64"/>
    <w:rsid w:val="00067227"/>
    <w:rsid w:val="0007089E"/>
    <w:rsid w:val="00070FB2"/>
    <w:rsid w:val="00071C2C"/>
    <w:rsid w:val="000723CD"/>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352E"/>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6D78"/>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2673"/>
    <w:rsid w:val="000B3191"/>
    <w:rsid w:val="000B3201"/>
    <w:rsid w:val="000B3696"/>
    <w:rsid w:val="000B408E"/>
    <w:rsid w:val="000B4F1F"/>
    <w:rsid w:val="000B5064"/>
    <w:rsid w:val="000B7C76"/>
    <w:rsid w:val="000B7F7C"/>
    <w:rsid w:val="000C032A"/>
    <w:rsid w:val="000C0395"/>
    <w:rsid w:val="000C0CA5"/>
    <w:rsid w:val="000C1504"/>
    <w:rsid w:val="000C1551"/>
    <w:rsid w:val="000C1808"/>
    <w:rsid w:val="000C1993"/>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5E78"/>
    <w:rsid w:val="000D6954"/>
    <w:rsid w:val="000D6E32"/>
    <w:rsid w:val="000D74FA"/>
    <w:rsid w:val="000D78DE"/>
    <w:rsid w:val="000D78EF"/>
    <w:rsid w:val="000D7A48"/>
    <w:rsid w:val="000D7BE7"/>
    <w:rsid w:val="000D7C60"/>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5B8"/>
    <w:rsid w:val="000F57C6"/>
    <w:rsid w:val="000F59E8"/>
    <w:rsid w:val="000F5EBD"/>
    <w:rsid w:val="000F6917"/>
    <w:rsid w:val="000F6A05"/>
    <w:rsid w:val="000F6B06"/>
    <w:rsid w:val="000F7199"/>
    <w:rsid w:val="000F719F"/>
    <w:rsid w:val="001001C8"/>
    <w:rsid w:val="00100D4D"/>
    <w:rsid w:val="001015B5"/>
    <w:rsid w:val="00102482"/>
    <w:rsid w:val="00102835"/>
    <w:rsid w:val="00103EF5"/>
    <w:rsid w:val="001045F3"/>
    <w:rsid w:val="00104A14"/>
    <w:rsid w:val="0010539E"/>
    <w:rsid w:val="001070DD"/>
    <w:rsid w:val="00107553"/>
    <w:rsid w:val="00107712"/>
    <w:rsid w:val="0010779E"/>
    <w:rsid w:val="00107AB5"/>
    <w:rsid w:val="001102C3"/>
    <w:rsid w:val="00110367"/>
    <w:rsid w:val="001103AC"/>
    <w:rsid w:val="0011286C"/>
    <w:rsid w:val="00112F15"/>
    <w:rsid w:val="001130B9"/>
    <w:rsid w:val="00113705"/>
    <w:rsid w:val="001137DF"/>
    <w:rsid w:val="00113870"/>
    <w:rsid w:val="00114499"/>
    <w:rsid w:val="00114AD3"/>
    <w:rsid w:val="001162F4"/>
    <w:rsid w:val="00116754"/>
    <w:rsid w:val="00116799"/>
    <w:rsid w:val="001172A8"/>
    <w:rsid w:val="001174B9"/>
    <w:rsid w:val="00120A35"/>
    <w:rsid w:val="00120E4F"/>
    <w:rsid w:val="00120EAB"/>
    <w:rsid w:val="0012133A"/>
    <w:rsid w:val="0012133C"/>
    <w:rsid w:val="00122129"/>
    <w:rsid w:val="00122140"/>
    <w:rsid w:val="00122521"/>
    <w:rsid w:val="00122A4F"/>
    <w:rsid w:val="00122FE4"/>
    <w:rsid w:val="00123412"/>
    <w:rsid w:val="00123767"/>
    <w:rsid w:val="001245C1"/>
    <w:rsid w:val="00124D1E"/>
    <w:rsid w:val="00125BB8"/>
    <w:rsid w:val="00126266"/>
    <w:rsid w:val="00126867"/>
    <w:rsid w:val="00127785"/>
    <w:rsid w:val="00127EE2"/>
    <w:rsid w:val="00130D74"/>
    <w:rsid w:val="00131250"/>
    <w:rsid w:val="00131C1B"/>
    <w:rsid w:val="0013280B"/>
    <w:rsid w:val="00133641"/>
    <w:rsid w:val="00133DD5"/>
    <w:rsid w:val="00134872"/>
    <w:rsid w:val="001355E4"/>
    <w:rsid w:val="00135707"/>
    <w:rsid w:val="00135D07"/>
    <w:rsid w:val="00136279"/>
    <w:rsid w:val="00137BDE"/>
    <w:rsid w:val="00137E1C"/>
    <w:rsid w:val="00140A37"/>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1F1"/>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087E"/>
    <w:rsid w:val="00191410"/>
    <w:rsid w:val="001917DB"/>
    <w:rsid w:val="00191D60"/>
    <w:rsid w:val="00192076"/>
    <w:rsid w:val="00193410"/>
    <w:rsid w:val="00193623"/>
    <w:rsid w:val="001938F9"/>
    <w:rsid w:val="001939B4"/>
    <w:rsid w:val="00193AAA"/>
    <w:rsid w:val="001940E5"/>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284"/>
    <w:rsid w:val="001A143D"/>
    <w:rsid w:val="001A1535"/>
    <w:rsid w:val="001A192B"/>
    <w:rsid w:val="001A2137"/>
    <w:rsid w:val="001A2FF9"/>
    <w:rsid w:val="001A3192"/>
    <w:rsid w:val="001A325B"/>
    <w:rsid w:val="001A3764"/>
    <w:rsid w:val="001A377E"/>
    <w:rsid w:val="001A3965"/>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157"/>
    <w:rsid w:val="001B76BD"/>
    <w:rsid w:val="001C03A9"/>
    <w:rsid w:val="001C14EA"/>
    <w:rsid w:val="001C1CDC"/>
    <w:rsid w:val="001C2224"/>
    <w:rsid w:val="001C264B"/>
    <w:rsid w:val="001C2CC6"/>
    <w:rsid w:val="001C2DB5"/>
    <w:rsid w:val="001C4178"/>
    <w:rsid w:val="001C4293"/>
    <w:rsid w:val="001C4647"/>
    <w:rsid w:val="001C46CD"/>
    <w:rsid w:val="001C4719"/>
    <w:rsid w:val="001C4780"/>
    <w:rsid w:val="001C512A"/>
    <w:rsid w:val="001C5B1C"/>
    <w:rsid w:val="001C7251"/>
    <w:rsid w:val="001C7BB2"/>
    <w:rsid w:val="001C7F1D"/>
    <w:rsid w:val="001D153F"/>
    <w:rsid w:val="001D2276"/>
    <w:rsid w:val="001D305C"/>
    <w:rsid w:val="001D3995"/>
    <w:rsid w:val="001D3A97"/>
    <w:rsid w:val="001D3DC4"/>
    <w:rsid w:val="001D5B31"/>
    <w:rsid w:val="001D6479"/>
    <w:rsid w:val="001D7501"/>
    <w:rsid w:val="001E03A8"/>
    <w:rsid w:val="001E0812"/>
    <w:rsid w:val="001E13EB"/>
    <w:rsid w:val="001E34F9"/>
    <w:rsid w:val="001E3682"/>
    <w:rsid w:val="001E36CE"/>
    <w:rsid w:val="001E3A55"/>
    <w:rsid w:val="001E448B"/>
    <w:rsid w:val="001E4B08"/>
    <w:rsid w:val="001E5064"/>
    <w:rsid w:val="001E514F"/>
    <w:rsid w:val="001E52A5"/>
    <w:rsid w:val="001E65B7"/>
    <w:rsid w:val="001E724A"/>
    <w:rsid w:val="001E7355"/>
    <w:rsid w:val="001E7B5E"/>
    <w:rsid w:val="001F0203"/>
    <w:rsid w:val="001F0BDA"/>
    <w:rsid w:val="001F0CF7"/>
    <w:rsid w:val="001F0DDE"/>
    <w:rsid w:val="001F0ED8"/>
    <w:rsid w:val="001F25BB"/>
    <w:rsid w:val="001F2E91"/>
    <w:rsid w:val="001F3AEA"/>
    <w:rsid w:val="001F3B33"/>
    <w:rsid w:val="001F3CEA"/>
    <w:rsid w:val="001F4666"/>
    <w:rsid w:val="001F48BB"/>
    <w:rsid w:val="001F48EE"/>
    <w:rsid w:val="001F4FBB"/>
    <w:rsid w:val="001F54E6"/>
    <w:rsid w:val="001F55B9"/>
    <w:rsid w:val="001F582C"/>
    <w:rsid w:val="001F5BC2"/>
    <w:rsid w:val="001F5D82"/>
    <w:rsid w:val="001F5F7F"/>
    <w:rsid w:val="001F60D4"/>
    <w:rsid w:val="001F6462"/>
    <w:rsid w:val="001F6B11"/>
    <w:rsid w:val="001F7539"/>
    <w:rsid w:val="001F7DFA"/>
    <w:rsid w:val="00200192"/>
    <w:rsid w:val="00201327"/>
    <w:rsid w:val="00201DEE"/>
    <w:rsid w:val="002021D9"/>
    <w:rsid w:val="0020257E"/>
    <w:rsid w:val="00203502"/>
    <w:rsid w:val="00203DCA"/>
    <w:rsid w:val="00203E26"/>
    <w:rsid w:val="00204572"/>
    <w:rsid w:val="002054CF"/>
    <w:rsid w:val="00205750"/>
    <w:rsid w:val="00205B3D"/>
    <w:rsid w:val="00205CFF"/>
    <w:rsid w:val="00206F7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0DE0"/>
    <w:rsid w:val="00221452"/>
    <w:rsid w:val="00221E2C"/>
    <w:rsid w:val="00221F05"/>
    <w:rsid w:val="002225AD"/>
    <w:rsid w:val="0022317F"/>
    <w:rsid w:val="0022375A"/>
    <w:rsid w:val="00223894"/>
    <w:rsid w:val="00223AE4"/>
    <w:rsid w:val="002244C1"/>
    <w:rsid w:val="0022458D"/>
    <w:rsid w:val="002248AE"/>
    <w:rsid w:val="00224E1C"/>
    <w:rsid w:val="002250D5"/>
    <w:rsid w:val="002262B8"/>
    <w:rsid w:val="002262C5"/>
    <w:rsid w:val="002266BC"/>
    <w:rsid w:val="0022734D"/>
    <w:rsid w:val="002273C1"/>
    <w:rsid w:val="00227E72"/>
    <w:rsid w:val="002307F0"/>
    <w:rsid w:val="00230B57"/>
    <w:rsid w:val="00231133"/>
    <w:rsid w:val="002314B7"/>
    <w:rsid w:val="00233341"/>
    <w:rsid w:val="002338AC"/>
    <w:rsid w:val="00233BD7"/>
    <w:rsid w:val="00234388"/>
    <w:rsid w:val="002343F1"/>
    <w:rsid w:val="00234BAC"/>
    <w:rsid w:val="00234E83"/>
    <w:rsid w:val="00235181"/>
    <w:rsid w:val="00235D02"/>
    <w:rsid w:val="00235D95"/>
    <w:rsid w:val="002360AF"/>
    <w:rsid w:val="0023693B"/>
    <w:rsid w:val="00236976"/>
    <w:rsid w:val="00236CF2"/>
    <w:rsid w:val="002400B7"/>
    <w:rsid w:val="002400DC"/>
    <w:rsid w:val="002404F3"/>
    <w:rsid w:val="002405F5"/>
    <w:rsid w:val="00240BD7"/>
    <w:rsid w:val="002411AC"/>
    <w:rsid w:val="00241339"/>
    <w:rsid w:val="002413EE"/>
    <w:rsid w:val="002429C7"/>
    <w:rsid w:val="00242B0A"/>
    <w:rsid w:val="00243627"/>
    <w:rsid w:val="00243E9F"/>
    <w:rsid w:val="0024401A"/>
    <w:rsid w:val="0024427E"/>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C71"/>
    <w:rsid w:val="00247E47"/>
    <w:rsid w:val="002500A3"/>
    <w:rsid w:val="00250BE8"/>
    <w:rsid w:val="00252D82"/>
    <w:rsid w:val="002531AB"/>
    <w:rsid w:val="002532ED"/>
    <w:rsid w:val="00253D88"/>
    <w:rsid w:val="00253F65"/>
    <w:rsid w:val="00253FD6"/>
    <w:rsid w:val="00253FEB"/>
    <w:rsid w:val="00254181"/>
    <w:rsid w:val="00255760"/>
    <w:rsid w:val="002557C5"/>
    <w:rsid w:val="002557C8"/>
    <w:rsid w:val="002565B2"/>
    <w:rsid w:val="002568B4"/>
    <w:rsid w:val="00261293"/>
    <w:rsid w:val="002615BD"/>
    <w:rsid w:val="00261EC4"/>
    <w:rsid w:val="00262666"/>
    <w:rsid w:val="00262975"/>
    <w:rsid w:val="00262E0F"/>
    <w:rsid w:val="00264186"/>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ACC"/>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1716"/>
    <w:rsid w:val="002A2734"/>
    <w:rsid w:val="002A2825"/>
    <w:rsid w:val="002A2B23"/>
    <w:rsid w:val="002A2CD2"/>
    <w:rsid w:val="002A47DA"/>
    <w:rsid w:val="002A5055"/>
    <w:rsid w:val="002A59E1"/>
    <w:rsid w:val="002A6E4A"/>
    <w:rsid w:val="002A7835"/>
    <w:rsid w:val="002A7981"/>
    <w:rsid w:val="002A7B5A"/>
    <w:rsid w:val="002B0087"/>
    <w:rsid w:val="002B0F49"/>
    <w:rsid w:val="002B15EF"/>
    <w:rsid w:val="002B1745"/>
    <w:rsid w:val="002B191F"/>
    <w:rsid w:val="002B2511"/>
    <w:rsid w:val="002B2545"/>
    <w:rsid w:val="002B2DEC"/>
    <w:rsid w:val="002B4504"/>
    <w:rsid w:val="002B4874"/>
    <w:rsid w:val="002B4B70"/>
    <w:rsid w:val="002B5A64"/>
    <w:rsid w:val="002B60ED"/>
    <w:rsid w:val="002B6380"/>
    <w:rsid w:val="002B6AF5"/>
    <w:rsid w:val="002B6B54"/>
    <w:rsid w:val="002B6CF8"/>
    <w:rsid w:val="002B6D4C"/>
    <w:rsid w:val="002B73AC"/>
    <w:rsid w:val="002B776A"/>
    <w:rsid w:val="002B7E9C"/>
    <w:rsid w:val="002B7FD3"/>
    <w:rsid w:val="002C0BAD"/>
    <w:rsid w:val="002C1403"/>
    <w:rsid w:val="002C199F"/>
    <w:rsid w:val="002C25E0"/>
    <w:rsid w:val="002C2A7C"/>
    <w:rsid w:val="002C31C2"/>
    <w:rsid w:val="002C31F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0B3"/>
    <w:rsid w:val="002D33E0"/>
    <w:rsid w:val="002D380F"/>
    <w:rsid w:val="002D3D0B"/>
    <w:rsid w:val="002D3F06"/>
    <w:rsid w:val="002D40E5"/>
    <w:rsid w:val="002D541B"/>
    <w:rsid w:val="002D5DB4"/>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6F0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4F55"/>
    <w:rsid w:val="003055F2"/>
    <w:rsid w:val="00305990"/>
    <w:rsid w:val="003060CA"/>
    <w:rsid w:val="003061BB"/>
    <w:rsid w:val="00306290"/>
    <w:rsid w:val="003063F8"/>
    <w:rsid w:val="003064FA"/>
    <w:rsid w:val="00306AE6"/>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53E"/>
    <w:rsid w:val="00316687"/>
    <w:rsid w:val="00317201"/>
    <w:rsid w:val="003174DF"/>
    <w:rsid w:val="00320D1D"/>
    <w:rsid w:val="0032124D"/>
    <w:rsid w:val="003216D0"/>
    <w:rsid w:val="00321806"/>
    <w:rsid w:val="00322B29"/>
    <w:rsid w:val="00323C2D"/>
    <w:rsid w:val="00325D21"/>
    <w:rsid w:val="0032600C"/>
    <w:rsid w:val="00326E13"/>
    <w:rsid w:val="00326EFD"/>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6D98"/>
    <w:rsid w:val="00337B89"/>
    <w:rsid w:val="00337C3D"/>
    <w:rsid w:val="003425A9"/>
    <w:rsid w:val="00342B91"/>
    <w:rsid w:val="00342F43"/>
    <w:rsid w:val="0034420C"/>
    <w:rsid w:val="00344697"/>
    <w:rsid w:val="00344FE9"/>
    <w:rsid w:val="00345108"/>
    <w:rsid w:val="00345A87"/>
    <w:rsid w:val="00345BFE"/>
    <w:rsid w:val="00346B75"/>
    <w:rsid w:val="00346BF8"/>
    <w:rsid w:val="00346D00"/>
    <w:rsid w:val="003470ED"/>
    <w:rsid w:val="00347661"/>
    <w:rsid w:val="003479E9"/>
    <w:rsid w:val="00347BFA"/>
    <w:rsid w:val="00351D97"/>
    <w:rsid w:val="00351DA6"/>
    <w:rsid w:val="00352BAE"/>
    <w:rsid w:val="00353228"/>
    <w:rsid w:val="00353422"/>
    <w:rsid w:val="00353B4B"/>
    <w:rsid w:val="00353C76"/>
    <w:rsid w:val="00355296"/>
    <w:rsid w:val="00355E71"/>
    <w:rsid w:val="003561C2"/>
    <w:rsid w:val="003561ED"/>
    <w:rsid w:val="003565B2"/>
    <w:rsid w:val="00356D92"/>
    <w:rsid w:val="003576C3"/>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7B7"/>
    <w:rsid w:val="00372E1F"/>
    <w:rsid w:val="0037454D"/>
    <w:rsid w:val="00374DD5"/>
    <w:rsid w:val="003750A1"/>
    <w:rsid w:val="003754C7"/>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811"/>
    <w:rsid w:val="00386E56"/>
    <w:rsid w:val="00386EC9"/>
    <w:rsid w:val="003870B2"/>
    <w:rsid w:val="003872C4"/>
    <w:rsid w:val="00387D04"/>
    <w:rsid w:val="00387EB2"/>
    <w:rsid w:val="003912B6"/>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B86"/>
    <w:rsid w:val="003A2C58"/>
    <w:rsid w:val="003A388F"/>
    <w:rsid w:val="003A3A6E"/>
    <w:rsid w:val="003A3BBB"/>
    <w:rsid w:val="003A3D86"/>
    <w:rsid w:val="003A3FC4"/>
    <w:rsid w:val="003A3FDF"/>
    <w:rsid w:val="003A4185"/>
    <w:rsid w:val="003A432A"/>
    <w:rsid w:val="003A43C3"/>
    <w:rsid w:val="003A52A3"/>
    <w:rsid w:val="003A5634"/>
    <w:rsid w:val="003A6522"/>
    <w:rsid w:val="003A65B1"/>
    <w:rsid w:val="003A66AE"/>
    <w:rsid w:val="003A69EC"/>
    <w:rsid w:val="003A7B37"/>
    <w:rsid w:val="003B02A3"/>
    <w:rsid w:val="003B16C4"/>
    <w:rsid w:val="003B1930"/>
    <w:rsid w:val="003B1B0E"/>
    <w:rsid w:val="003B2E57"/>
    <w:rsid w:val="003B3424"/>
    <w:rsid w:val="003B3E6E"/>
    <w:rsid w:val="003B4467"/>
    <w:rsid w:val="003B4C2E"/>
    <w:rsid w:val="003B4CEA"/>
    <w:rsid w:val="003B51C2"/>
    <w:rsid w:val="003B5CD2"/>
    <w:rsid w:val="003B5F57"/>
    <w:rsid w:val="003B6103"/>
    <w:rsid w:val="003B61BF"/>
    <w:rsid w:val="003B650D"/>
    <w:rsid w:val="003B6E9D"/>
    <w:rsid w:val="003B7777"/>
    <w:rsid w:val="003B7DC7"/>
    <w:rsid w:val="003C0C9A"/>
    <w:rsid w:val="003C1DD7"/>
    <w:rsid w:val="003C21E6"/>
    <w:rsid w:val="003C2237"/>
    <w:rsid w:val="003C2541"/>
    <w:rsid w:val="003C2FB0"/>
    <w:rsid w:val="003C3278"/>
    <w:rsid w:val="003C3623"/>
    <w:rsid w:val="003C4271"/>
    <w:rsid w:val="003C4838"/>
    <w:rsid w:val="003C485E"/>
    <w:rsid w:val="003C4B44"/>
    <w:rsid w:val="003C5545"/>
    <w:rsid w:val="003C6A58"/>
    <w:rsid w:val="003C6D5F"/>
    <w:rsid w:val="003C7018"/>
    <w:rsid w:val="003C7149"/>
    <w:rsid w:val="003C7C33"/>
    <w:rsid w:val="003C7CDD"/>
    <w:rsid w:val="003D01CA"/>
    <w:rsid w:val="003D2095"/>
    <w:rsid w:val="003D2DEE"/>
    <w:rsid w:val="003D348A"/>
    <w:rsid w:val="003D37B3"/>
    <w:rsid w:val="003D451E"/>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3F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1D8"/>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C72"/>
    <w:rsid w:val="00407D53"/>
    <w:rsid w:val="00407F53"/>
    <w:rsid w:val="00410D79"/>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4C63"/>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AFB"/>
    <w:rsid w:val="00431F77"/>
    <w:rsid w:val="00432108"/>
    <w:rsid w:val="00432AA7"/>
    <w:rsid w:val="00433FA1"/>
    <w:rsid w:val="00433FF1"/>
    <w:rsid w:val="0043421D"/>
    <w:rsid w:val="004347CA"/>
    <w:rsid w:val="00434967"/>
    <w:rsid w:val="004356B3"/>
    <w:rsid w:val="004357B2"/>
    <w:rsid w:val="00435C1D"/>
    <w:rsid w:val="0043741C"/>
    <w:rsid w:val="004403B2"/>
    <w:rsid w:val="00440462"/>
    <w:rsid w:val="004406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D71"/>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A6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6FCF"/>
    <w:rsid w:val="00477094"/>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41F"/>
    <w:rsid w:val="00493E08"/>
    <w:rsid w:val="004940ED"/>
    <w:rsid w:val="00494331"/>
    <w:rsid w:val="00494BA4"/>
    <w:rsid w:val="00495560"/>
    <w:rsid w:val="00495E07"/>
    <w:rsid w:val="004962F5"/>
    <w:rsid w:val="00497E95"/>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84E"/>
    <w:rsid w:val="004A7C5D"/>
    <w:rsid w:val="004B0127"/>
    <w:rsid w:val="004B27E0"/>
    <w:rsid w:val="004B29F2"/>
    <w:rsid w:val="004B33AE"/>
    <w:rsid w:val="004B3AB2"/>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320"/>
    <w:rsid w:val="004C1419"/>
    <w:rsid w:val="004C14BD"/>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4BCD"/>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2793"/>
    <w:rsid w:val="004F2D5E"/>
    <w:rsid w:val="004F31FF"/>
    <w:rsid w:val="004F43F1"/>
    <w:rsid w:val="004F48F6"/>
    <w:rsid w:val="004F4F15"/>
    <w:rsid w:val="004F6882"/>
    <w:rsid w:val="004F69C5"/>
    <w:rsid w:val="004F71FA"/>
    <w:rsid w:val="004F7351"/>
    <w:rsid w:val="004F7C33"/>
    <w:rsid w:val="00500756"/>
    <w:rsid w:val="005014A9"/>
    <w:rsid w:val="0050220E"/>
    <w:rsid w:val="0050266B"/>
    <w:rsid w:val="00503101"/>
    <w:rsid w:val="005051A9"/>
    <w:rsid w:val="00505E54"/>
    <w:rsid w:val="00505EB1"/>
    <w:rsid w:val="005065A4"/>
    <w:rsid w:val="00507889"/>
    <w:rsid w:val="005079BC"/>
    <w:rsid w:val="005105B7"/>
    <w:rsid w:val="0051061B"/>
    <w:rsid w:val="005107E5"/>
    <w:rsid w:val="00510CE2"/>
    <w:rsid w:val="00512883"/>
    <w:rsid w:val="00512F75"/>
    <w:rsid w:val="00513B9C"/>
    <w:rsid w:val="00513D07"/>
    <w:rsid w:val="00514296"/>
    <w:rsid w:val="00514368"/>
    <w:rsid w:val="00514BB4"/>
    <w:rsid w:val="00514C7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B6"/>
    <w:rsid w:val="005337F5"/>
    <w:rsid w:val="00533BA1"/>
    <w:rsid w:val="00533FD9"/>
    <w:rsid w:val="00534379"/>
    <w:rsid w:val="00534382"/>
    <w:rsid w:val="00534CEA"/>
    <w:rsid w:val="00535526"/>
    <w:rsid w:val="00535570"/>
    <w:rsid w:val="0053628F"/>
    <w:rsid w:val="005366D1"/>
    <w:rsid w:val="00540A27"/>
    <w:rsid w:val="00540BF2"/>
    <w:rsid w:val="0054123B"/>
    <w:rsid w:val="005416D6"/>
    <w:rsid w:val="005417FF"/>
    <w:rsid w:val="00542031"/>
    <w:rsid w:val="00542138"/>
    <w:rsid w:val="00542361"/>
    <w:rsid w:val="00542C65"/>
    <w:rsid w:val="0054352F"/>
    <w:rsid w:val="0054465E"/>
    <w:rsid w:val="00544CC5"/>
    <w:rsid w:val="00544E61"/>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48AA"/>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2C3C"/>
    <w:rsid w:val="00563151"/>
    <w:rsid w:val="00563866"/>
    <w:rsid w:val="00563FC0"/>
    <w:rsid w:val="005649CC"/>
    <w:rsid w:val="005651AD"/>
    <w:rsid w:val="00566226"/>
    <w:rsid w:val="0056711F"/>
    <w:rsid w:val="0056774A"/>
    <w:rsid w:val="0056776A"/>
    <w:rsid w:val="00567BED"/>
    <w:rsid w:val="00567ECB"/>
    <w:rsid w:val="00570552"/>
    <w:rsid w:val="0057072B"/>
    <w:rsid w:val="00570C1C"/>
    <w:rsid w:val="00570FA6"/>
    <w:rsid w:val="00572199"/>
    <w:rsid w:val="005721AB"/>
    <w:rsid w:val="00572365"/>
    <w:rsid w:val="0057284F"/>
    <w:rsid w:val="005728DC"/>
    <w:rsid w:val="00572A1F"/>
    <w:rsid w:val="00572D23"/>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88"/>
    <w:rsid w:val="005824BE"/>
    <w:rsid w:val="00582D26"/>
    <w:rsid w:val="00583424"/>
    <w:rsid w:val="00584FE2"/>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58AF"/>
    <w:rsid w:val="0059678F"/>
    <w:rsid w:val="00596972"/>
    <w:rsid w:val="00596BBA"/>
    <w:rsid w:val="0059735E"/>
    <w:rsid w:val="00597947"/>
    <w:rsid w:val="00597ED7"/>
    <w:rsid w:val="005A073F"/>
    <w:rsid w:val="005A08D3"/>
    <w:rsid w:val="005A0929"/>
    <w:rsid w:val="005A10CA"/>
    <w:rsid w:val="005A1558"/>
    <w:rsid w:val="005A1B19"/>
    <w:rsid w:val="005A221E"/>
    <w:rsid w:val="005A25F0"/>
    <w:rsid w:val="005A2620"/>
    <w:rsid w:val="005A2746"/>
    <w:rsid w:val="005A2934"/>
    <w:rsid w:val="005A2946"/>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1A19"/>
    <w:rsid w:val="005D2D57"/>
    <w:rsid w:val="005D322F"/>
    <w:rsid w:val="005D3838"/>
    <w:rsid w:val="005D3FC4"/>
    <w:rsid w:val="005D41D3"/>
    <w:rsid w:val="005D47F3"/>
    <w:rsid w:val="005D4CFA"/>
    <w:rsid w:val="005D56BB"/>
    <w:rsid w:val="005D571D"/>
    <w:rsid w:val="005D580C"/>
    <w:rsid w:val="005D5AE3"/>
    <w:rsid w:val="005D62B9"/>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4E6"/>
    <w:rsid w:val="005E562F"/>
    <w:rsid w:val="005E6375"/>
    <w:rsid w:val="005E6682"/>
    <w:rsid w:val="005E684E"/>
    <w:rsid w:val="005E6E40"/>
    <w:rsid w:val="005E7DD1"/>
    <w:rsid w:val="005E7FA7"/>
    <w:rsid w:val="005F0F58"/>
    <w:rsid w:val="005F15EF"/>
    <w:rsid w:val="005F1887"/>
    <w:rsid w:val="005F21D2"/>
    <w:rsid w:val="005F22AD"/>
    <w:rsid w:val="005F248C"/>
    <w:rsid w:val="005F29D6"/>
    <w:rsid w:val="005F2DC3"/>
    <w:rsid w:val="005F2DE1"/>
    <w:rsid w:val="005F368F"/>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0A12"/>
    <w:rsid w:val="0060123E"/>
    <w:rsid w:val="00601D2E"/>
    <w:rsid w:val="00601E68"/>
    <w:rsid w:val="00602689"/>
    <w:rsid w:val="0060282E"/>
    <w:rsid w:val="00602F78"/>
    <w:rsid w:val="006033E3"/>
    <w:rsid w:val="006034A8"/>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201"/>
    <w:rsid w:val="0061340F"/>
    <w:rsid w:val="006139E3"/>
    <w:rsid w:val="00613A32"/>
    <w:rsid w:val="00614232"/>
    <w:rsid w:val="006148E1"/>
    <w:rsid w:val="006153AB"/>
    <w:rsid w:val="00615B84"/>
    <w:rsid w:val="00615F04"/>
    <w:rsid w:val="00616C21"/>
    <w:rsid w:val="00616D19"/>
    <w:rsid w:val="00616F8E"/>
    <w:rsid w:val="006172B6"/>
    <w:rsid w:val="00617CF9"/>
    <w:rsid w:val="0062041D"/>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8A"/>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CD5"/>
    <w:rsid w:val="00637FD8"/>
    <w:rsid w:val="006406AA"/>
    <w:rsid w:val="00640EE1"/>
    <w:rsid w:val="0064162F"/>
    <w:rsid w:val="00641DC6"/>
    <w:rsid w:val="00643B07"/>
    <w:rsid w:val="0064404A"/>
    <w:rsid w:val="00644D88"/>
    <w:rsid w:val="00644F38"/>
    <w:rsid w:val="0064502D"/>
    <w:rsid w:val="00645764"/>
    <w:rsid w:val="00645B7F"/>
    <w:rsid w:val="00645F06"/>
    <w:rsid w:val="00646968"/>
    <w:rsid w:val="00646E28"/>
    <w:rsid w:val="0064703A"/>
    <w:rsid w:val="006475D0"/>
    <w:rsid w:val="00647F52"/>
    <w:rsid w:val="00650B3E"/>
    <w:rsid w:val="00650FC1"/>
    <w:rsid w:val="0065228F"/>
    <w:rsid w:val="006522B0"/>
    <w:rsid w:val="00652349"/>
    <w:rsid w:val="00652678"/>
    <w:rsid w:val="00652B2C"/>
    <w:rsid w:val="006535E6"/>
    <w:rsid w:val="0065450B"/>
    <w:rsid w:val="00654623"/>
    <w:rsid w:val="00654BAD"/>
    <w:rsid w:val="00654D3D"/>
    <w:rsid w:val="006553DC"/>
    <w:rsid w:val="00655794"/>
    <w:rsid w:val="0065759A"/>
    <w:rsid w:val="00660133"/>
    <w:rsid w:val="006609C0"/>
    <w:rsid w:val="00660F77"/>
    <w:rsid w:val="006619E5"/>
    <w:rsid w:val="00661F00"/>
    <w:rsid w:val="006621E9"/>
    <w:rsid w:val="0066269A"/>
    <w:rsid w:val="00663B58"/>
    <w:rsid w:val="00663BEC"/>
    <w:rsid w:val="00664B6C"/>
    <w:rsid w:val="00664D3D"/>
    <w:rsid w:val="006656BE"/>
    <w:rsid w:val="00665DCD"/>
    <w:rsid w:val="00666B78"/>
    <w:rsid w:val="00667269"/>
    <w:rsid w:val="006672AD"/>
    <w:rsid w:val="006677D7"/>
    <w:rsid w:val="00670E02"/>
    <w:rsid w:val="00670EEA"/>
    <w:rsid w:val="0067116B"/>
    <w:rsid w:val="006713AF"/>
    <w:rsid w:val="00671DDA"/>
    <w:rsid w:val="00671EA0"/>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755"/>
    <w:rsid w:val="0068387E"/>
    <w:rsid w:val="006838B6"/>
    <w:rsid w:val="00683904"/>
    <w:rsid w:val="006840BA"/>
    <w:rsid w:val="006842A5"/>
    <w:rsid w:val="006846CE"/>
    <w:rsid w:val="0068544D"/>
    <w:rsid w:val="006857A7"/>
    <w:rsid w:val="00686D2E"/>
    <w:rsid w:val="00687105"/>
    <w:rsid w:val="00687ACE"/>
    <w:rsid w:val="00690700"/>
    <w:rsid w:val="0069102A"/>
    <w:rsid w:val="00693263"/>
    <w:rsid w:val="00693296"/>
    <w:rsid w:val="006936EA"/>
    <w:rsid w:val="0069400F"/>
    <w:rsid w:val="00694F7C"/>
    <w:rsid w:val="00695976"/>
    <w:rsid w:val="006960F1"/>
    <w:rsid w:val="00696D9D"/>
    <w:rsid w:val="00697587"/>
    <w:rsid w:val="00697666"/>
    <w:rsid w:val="00697CC0"/>
    <w:rsid w:val="00697E72"/>
    <w:rsid w:val="006A0CC1"/>
    <w:rsid w:val="006A24A6"/>
    <w:rsid w:val="006A24AC"/>
    <w:rsid w:val="006A29E7"/>
    <w:rsid w:val="006A2AA7"/>
    <w:rsid w:val="006A2C7E"/>
    <w:rsid w:val="006A2F7C"/>
    <w:rsid w:val="006A3AC9"/>
    <w:rsid w:val="006A41E6"/>
    <w:rsid w:val="006A4958"/>
    <w:rsid w:val="006A52A2"/>
    <w:rsid w:val="006A58D8"/>
    <w:rsid w:val="006A5C36"/>
    <w:rsid w:val="006A5DD7"/>
    <w:rsid w:val="006A6626"/>
    <w:rsid w:val="006A6F5F"/>
    <w:rsid w:val="006A7504"/>
    <w:rsid w:val="006A7C1E"/>
    <w:rsid w:val="006A7CFC"/>
    <w:rsid w:val="006B057C"/>
    <w:rsid w:val="006B0EE8"/>
    <w:rsid w:val="006B108A"/>
    <w:rsid w:val="006B1D87"/>
    <w:rsid w:val="006B1DD6"/>
    <w:rsid w:val="006B2798"/>
    <w:rsid w:val="006B2831"/>
    <w:rsid w:val="006B2C1E"/>
    <w:rsid w:val="006B2DB9"/>
    <w:rsid w:val="006B4B48"/>
    <w:rsid w:val="006B53B7"/>
    <w:rsid w:val="006B60D9"/>
    <w:rsid w:val="006B6423"/>
    <w:rsid w:val="006B6960"/>
    <w:rsid w:val="006B7830"/>
    <w:rsid w:val="006B78F8"/>
    <w:rsid w:val="006C1952"/>
    <w:rsid w:val="006C1DC7"/>
    <w:rsid w:val="006C23AF"/>
    <w:rsid w:val="006C28EC"/>
    <w:rsid w:val="006C2C44"/>
    <w:rsid w:val="006C2DC7"/>
    <w:rsid w:val="006C319C"/>
    <w:rsid w:val="006C3280"/>
    <w:rsid w:val="006C46EF"/>
    <w:rsid w:val="006C4CDF"/>
    <w:rsid w:val="006C4E3E"/>
    <w:rsid w:val="006C5678"/>
    <w:rsid w:val="006C5927"/>
    <w:rsid w:val="006C63F0"/>
    <w:rsid w:val="006C6B36"/>
    <w:rsid w:val="006C7035"/>
    <w:rsid w:val="006C71A8"/>
    <w:rsid w:val="006C71F6"/>
    <w:rsid w:val="006C75C8"/>
    <w:rsid w:val="006C75FC"/>
    <w:rsid w:val="006C7894"/>
    <w:rsid w:val="006D0517"/>
    <w:rsid w:val="006D0A42"/>
    <w:rsid w:val="006D0AEB"/>
    <w:rsid w:val="006D1052"/>
    <w:rsid w:val="006D11CF"/>
    <w:rsid w:val="006D12E7"/>
    <w:rsid w:val="006D170F"/>
    <w:rsid w:val="006D18C0"/>
    <w:rsid w:val="006D1EB1"/>
    <w:rsid w:val="006D2230"/>
    <w:rsid w:val="006D26AB"/>
    <w:rsid w:val="006D2A26"/>
    <w:rsid w:val="006D320F"/>
    <w:rsid w:val="006D3F66"/>
    <w:rsid w:val="006D435F"/>
    <w:rsid w:val="006D4CFE"/>
    <w:rsid w:val="006D5A43"/>
    <w:rsid w:val="006D5FD1"/>
    <w:rsid w:val="006D6152"/>
    <w:rsid w:val="006D6AA9"/>
    <w:rsid w:val="006D6FA1"/>
    <w:rsid w:val="006D791C"/>
    <w:rsid w:val="006D7944"/>
    <w:rsid w:val="006E057B"/>
    <w:rsid w:val="006E0CD7"/>
    <w:rsid w:val="006E10D1"/>
    <w:rsid w:val="006E16C9"/>
    <w:rsid w:val="006E26B9"/>
    <w:rsid w:val="006E2A54"/>
    <w:rsid w:val="006E32DE"/>
    <w:rsid w:val="006E37D2"/>
    <w:rsid w:val="006E4B16"/>
    <w:rsid w:val="006E6431"/>
    <w:rsid w:val="006E6612"/>
    <w:rsid w:val="006E675C"/>
    <w:rsid w:val="006E6A8B"/>
    <w:rsid w:val="006E72A1"/>
    <w:rsid w:val="006E731C"/>
    <w:rsid w:val="006E78E8"/>
    <w:rsid w:val="006E79CA"/>
    <w:rsid w:val="006E7C2B"/>
    <w:rsid w:val="006E7C6A"/>
    <w:rsid w:val="006E7FC1"/>
    <w:rsid w:val="006F086D"/>
    <w:rsid w:val="006F089B"/>
    <w:rsid w:val="006F0BEA"/>
    <w:rsid w:val="006F158C"/>
    <w:rsid w:val="006F16E1"/>
    <w:rsid w:val="006F1A1E"/>
    <w:rsid w:val="006F216B"/>
    <w:rsid w:val="006F23B3"/>
    <w:rsid w:val="006F2621"/>
    <w:rsid w:val="006F38E5"/>
    <w:rsid w:val="006F3BA5"/>
    <w:rsid w:val="006F4272"/>
    <w:rsid w:val="006F482C"/>
    <w:rsid w:val="006F4C18"/>
    <w:rsid w:val="006F4C82"/>
    <w:rsid w:val="006F4F3E"/>
    <w:rsid w:val="006F5471"/>
    <w:rsid w:val="006F5A8B"/>
    <w:rsid w:val="006F63B7"/>
    <w:rsid w:val="006F6FFC"/>
    <w:rsid w:val="006F74C5"/>
    <w:rsid w:val="00701153"/>
    <w:rsid w:val="0070134C"/>
    <w:rsid w:val="007014F8"/>
    <w:rsid w:val="007016D8"/>
    <w:rsid w:val="00701E01"/>
    <w:rsid w:val="00702DA3"/>
    <w:rsid w:val="007032EF"/>
    <w:rsid w:val="0070415A"/>
    <w:rsid w:val="00705900"/>
    <w:rsid w:val="00705943"/>
    <w:rsid w:val="00705AF6"/>
    <w:rsid w:val="00707856"/>
    <w:rsid w:val="00707D90"/>
    <w:rsid w:val="00710EDE"/>
    <w:rsid w:val="0071103A"/>
    <w:rsid w:val="0071154D"/>
    <w:rsid w:val="00711891"/>
    <w:rsid w:val="0071197C"/>
    <w:rsid w:val="00711B3E"/>
    <w:rsid w:val="00711EAF"/>
    <w:rsid w:val="007122E4"/>
    <w:rsid w:val="007125FE"/>
    <w:rsid w:val="00713624"/>
    <w:rsid w:val="0071390C"/>
    <w:rsid w:val="00713DAF"/>
    <w:rsid w:val="00714338"/>
    <w:rsid w:val="00714870"/>
    <w:rsid w:val="00714B35"/>
    <w:rsid w:val="00715566"/>
    <w:rsid w:val="00715E20"/>
    <w:rsid w:val="00716C54"/>
    <w:rsid w:val="00717064"/>
    <w:rsid w:val="0071752E"/>
    <w:rsid w:val="0071796D"/>
    <w:rsid w:val="007200A4"/>
    <w:rsid w:val="007218AE"/>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3AA1"/>
    <w:rsid w:val="00734730"/>
    <w:rsid w:val="0073497E"/>
    <w:rsid w:val="00734AE6"/>
    <w:rsid w:val="00734C45"/>
    <w:rsid w:val="00735676"/>
    <w:rsid w:val="00735908"/>
    <w:rsid w:val="00736976"/>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284C"/>
    <w:rsid w:val="0075315E"/>
    <w:rsid w:val="0075371F"/>
    <w:rsid w:val="007538B1"/>
    <w:rsid w:val="0075410B"/>
    <w:rsid w:val="0075491E"/>
    <w:rsid w:val="007555B0"/>
    <w:rsid w:val="00755CE1"/>
    <w:rsid w:val="00755EFF"/>
    <w:rsid w:val="00756006"/>
    <w:rsid w:val="0075687E"/>
    <w:rsid w:val="00756DF9"/>
    <w:rsid w:val="007572F7"/>
    <w:rsid w:val="00757E6E"/>
    <w:rsid w:val="00761EB7"/>
    <w:rsid w:val="00762382"/>
    <w:rsid w:val="0076244C"/>
    <w:rsid w:val="0076247D"/>
    <w:rsid w:val="0076268F"/>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4D3E"/>
    <w:rsid w:val="007754D8"/>
    <w:rsid w:val="007763AA"/>
    <w:rsid w:val="007767FE"/>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6A"/>
    <w:rsid w:val="0078749D"/>
    <w:rsid w:val="00787BE8"/>
    <w:rsid w:val="00787CF8"/>
    <w:rsid w:val="0079079B"/>
    <w:rsid w:val="00790836"/>
    <w:rsid w:val="00790D2F"/>
    <w:rsid w:val="007910C1"/>
    <w:rsid w:val="007916D2"/>
    <w:rsid w:val="00791841"/>
    <w:rsid w:val="00791DB0"/>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433"/>
    <w:rsid w:val="007B1E9C"/>
    <w:rsid w:val="007B234E"/>
    <w:rsid w:val="007B427C"/>
    <w:rsid w:val="007B4882"/>
    <w:rsid w:val="007B4A12"/>
    <w:rsid w:val="007B58F5"/>
    <w:rsid w:val="007B5A38"/>
    <w:rsid w:val="007B6A1B"/>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67C5"/>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050"/>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6C"/>
    <w:rsid w:val="007F6008"/>
    <w:rsid w:val="007F6520"/>
    <w:rsid w:val="007F6D94"/>
    <w:rsid w:val="007F7BC4"/>
    <w:rsid w:val="008010EC"/>
    <w:rsid w:val="00801471"/>
    <w:rsid w:val="00801622"/>
    <w:rsid w:val="0080165B"/>
    <w:rsid w:val="008018B1"/>
    <w:rsid w:val="00801B94"/>
    <w:rsid w:val="00801C6C"/>
    <w:rsid w:val="008027F9"/>
    <w:rsid w:val="00802C6C"/>
    <w:rsid w:val="0080348F"/>
    <w:rsid w:val="008038DC"/>
    <w:rsid w:val="00804725"/>
    <w:rsid w:val="00804D2D"/>
    <w:rsid w:val="008050D3"/>
    <w:rsid w:val="008054F8"/>
    <w:rsid w:val="00805A82"/>
    <w:rsid w:val="00805EBC"/>
    <w:rsid w:val="00806549"/>
    <w:rsid w:val="008065C3"/>
    <w:rsid w:val="00807046"/>
    <w:rsid w:val="008077E1"/>
    <w:rsid w:val="00807BFD"/>
    <w:rsid w:val="00807E7B"/>
    <w:rsid w:val="008102A8"/>
    <w:rsid w:val="0081058C"/>
    <w:rsid w:val="0081073E"/>
    <w:rsid w:val="00811467"/>
    <w:rsid w:val="008126A5"/>
    <w:rsid w:val="0081288C"/>
    <w:rsid w:val="0081288D"/>
    <w:rsid w:val="00812B86"/>
    <w:rsid w:val="00812CF9"/>
    <w:rsid w:val="008130A6"/>
    <w:rsid w:val="00813166"/>
    <w:rsid w:val="0081369A"/>
    <w:rsid w:val="00813908"/>
    <w:rsid w:val="00813EAE"/>
    <w:rsid w:val="0081479D"/>
    <w:rsid w:val="00814923"/>
    <w:rsid w:val="00815322"/>
    <w:rsid w:val="008155DB"/>
    <w:rsid w:val="00815A22"/>
    <w:rsid w:val="00815A7D"/>
    <w:rsid w:val="0081628A"/>
    <w:rsid w:val="008165FB"/>
    <w:rsid w:val="0081673E"/>
    <w:rsid w:val="008168BF"/>
    <w:rsid w:val="00816C15"/>
    <w:rsid w:val="00816F82"/>
    <w:rsid w:val="00820469"/>
    <w:rsid w:val="00820CB4"/>
    <w:rsid w:val="00820EF2"/>
    <w:rsid w:val="00821E57"/>
    <w:rsid w:val="008228FE"/>
    <w:rsid w:val="00823A0F"/>
    <w:rsid w:val="00823AB6"/>
    <w:rsid w:val="00823BDB"/>
    <w:rsid w:val="00824291"/>
    <w:rsid w:val="008243A5"/>
    <w:rsid w:val="0082471B"/>
    <w:rsid w:val="00824A9D"/>
    <w:rsid w:val="00824DBF"/>
    <w:rsid w:val="008253A9"/>
    <w:rsid w:val="00825A2D"/>
    <w:rsid w:val="00827473"/>
    <w:rsid w:val="008278C0"/>
    <w:rsid w:val="00827C16"/>
    <w:rsid w:val="00827FFD"/>
    <w:rsid w:val="0083001F"/>
    <w:rsid w:val="008305CD"/>
    <w:rsid w:val="00830623"/>
    <w:rsid w:val="00830A78"/>
    <w:rsid w:val="008317F2"/>
    <w:rsid w:val="00831BC2"/>
    <w:rsid w:val="00832619"/>
    <w:rsid w:val="00832757"/>
    <w:rsid w:val="00832B98"/>
    <w:rsid w:val="00832D73"/>
    <w:rsid w:val="00833141"/>
    <w:rsid w:val="0083359B"/>
    <w:rsid w:val="00834560"/>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4C9"/>
    <w:rsid w:val="00844517"/>
    <w:rsid w:val="00844688"/>
    <w:rsid w:val="00844840"/>
    <w:rsid w:val="0084491B"/>
    <w:rsid w:val="00844E2A"/>
    <w:rsid w:val="00844EF0"/>
    <w:rsid w:val="00845A71"/>
    <w:rsid w:val="00846653"/>
    <w:rsid w:val="00846945"/>
    <w:rsid w:val="00846B1F"/>
    <w:rsid w:val="008476E7"/>
    <w:rsid w:val="00847A45"/>
    <w:rsid w:val="00847C4B"/>
    <w:rsid w:val="00847E70"/>
    <w:rsid w:val="008506A4"/>
    <w:rsid w:val="00850A53"/>
    <w:rsid w:val="00850B62"/>
    <w:rsid w:val="0085196F"/>
    <w:rsid w:val="00851AB6"/>
    <w:rsid w:val="00852D1F"/>
    <w:rsid w:val="00852F27"/>
    <w:rsid w:val="00853A4C"/>
    <w:rsid w:val="008546AA"/>
    <w:rsid w:val="008549C4"/>
    <w:rsid w:val="00854E0B"/>
    <w:rsid w:val="00860141"/>
    <w:rsid w:val="008605E7"/>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3FB"/>
    <w:rsid w:val="0087143C"/>
    <w:rsid w:val="008725BF"/>
    <w:rsid w:val="00873205"/>
    <w:rsid w:val="00873340"/>
    <w:rsid w:val="00873969"/>
    <w:rsid w:val="00873F8B"/>
    <w:rsid w:val="00874E0C"/>
    <w:rsid w:val="00875638"/>
    <w:rsid w:val="0087586E"/>
    <w:rsid w:val="00875A24"/>
    <w:rsid w:val="00877335"/>
    <w:rsid w:val="00877404"/>
    <w:rsid w:val="00881514"/>
    <w:rsid w:val="0088223A"/>
    <w:rsid w:val="00882411"/>
    <w:rsid w:val="008837EF"/>
    <w:rsid w:val="0088455A"/>
    <w:rsid w:val="00884E1D"/>
    <w:rsid w:val="00885370"/>
    <w:rsid w:val="00885C43"/>
    <w:rsid w:val="00885F8E"/>
    <w:rsid w:val="00886B50"/>
    <w:rsid w:val="00886DEA"/>
    <w:rsid w:val="00886FEC"/>
    <w:rsid w:val="00887331"/>
    <w:rsid w:val="0088750D"/>
    <w:rsid w:val="008877EB"/>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D97"/>
    <w:rsid w:val="008A4014"/>
    <w:rsid w:val="008A4642"/>
    <w:rsid w:val="008A4A10"/>
    <w:rsid w:val="008A4AE3"/>
    <w:rsid w:val="008A4B0D"/>
    <w:rsid w:val="008A4DC3"/>
    <w:rsid w:val="008A4EBC"/>
    <w:rsid w:val="008A57D3"/>
    <w:rsid w:val="008A693C"/>
    <w:rsid w:val="008A6C58"/>
    <w:rsid w:val="008A6F32"/>
    <w:rsid w:val="008A6FF5"/>
    <w:rsid w:val="008A769D"/>
    <w:rsid w:val="008A7D6A"/>
    <w:rsid w:val="008B0084"/>
    <w:rsid w:val="008B111D"/>
    <w:rsid w:val="008B1B1E"/>
    <w:rsid w:val="008B24F9"/>
    <w:rsid w:val="008B35A7"/>
    <w:rsid w:val="008B4EFD"/>
    <w:rsid w:val="008B59C3"/>
    <w:rsid w:val="008B6414"/>
    <w:rsid w:val="008B684D"/>
    <w:rsid w:val="008B69DF"/>
    <w:rsid w:val="008B7A03"/>
    <w:rsid w:val="008B7BFA"/>
    <w:rsid w:val="008C0444"/>
    <w:rsid w:val="008C04FE"/>
    <w:rsid w:val="008C093F"/>
    <w:rsid w:val="008C0B28"/>
    <w:rsid w:val="008C0B7C"/>
    <w:rsid w:val="008C0D89"/>
    <w:rsid w:val="008C1264"/>
    <w:rsid w:val="008C22DA"/>
    <w:rsid w:val="008C26C2"/>
    <w:rsid w:val="008C29CE"/>
    <w:rsid w:val="008C2B48"/>
    <w:rsid w:val="008C2EB1"/>
    <w:rsid w:val="008C30F6"/>
    <w:rsid w:val="008C3D5C"/>
    <w:rsid w:val="008C3F1C"/>
    <w:rsid w:val="008C4417"/>
    <w:rsid w:val="008C4B42"/>
    <w:rsid w:val="008C4B93"/>
    <w:rsid w:val="008C5E5B"/>
    <w:rsid w:val="008C64A8"/>
    <w:rsid w:val="008C6718"/>
    <w:rsid w:val="008C6FEC"/>
    <w:rsid w:val="008C762C"/>
    <w:rsid w:val="008C76AE"/>
    <w:rsid w:val="008C7A13"/>
    <w:rsid w:val="008C7EA7"/>
    <w:rsid w:val="008D04D4"/>
    <w:rsid w:val="008D0698"/>
    <w:rsid w:val="008D0FFB"/>
    <w:rsid w:val="008D10A9"/>
    <w:rsid w:val="008D125A"/>
    <w:rsid w:val="008D2FB8"/>
    <w:rsid w:val="008D308E"/>
    <w:rsid w:val="008D44E7"/>
    <w:rsid w:val="008D4756"/>
    <w:rsid w:val="008D4B0E"/>
    <w:rsid w:val="008D4B1D"/>
    <w:rsid w:val="008D544F"/>
    <w:rsid w:val="008D6240"/>
    <w:rsid w:val="008D68D0"/>
    <w:rsid w:val="008D69CD"/>
    <w:rsid w:val="008D769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5DF"/>
    <w:rsid w:val="008E4DEE"/>
    <w:rsid w:val="008E5CE2"/>
    <w:rsid w:val="008E6C43"/>
    <w:rsid w:val="008E72F2"/>
    <w:rsid w:val="008F02C2"/>
    <w:rsid w:val="008F0316"/>
    <w:rsid w:val="008F0382"/>
    <w:rsid w:val="008F0439"/>
    <w:rsid w:val="008F0536"/>
    <w:rsid w:val="008F0EB2"/>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6D8D"/>
    <w:rsid w:val="00907178"/>
    <w:rsid w:val="0091018E"/>
    <w:rsid w:val="009114F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503E"/>
    <w:rsid w:val="00926550"/>
    <w:rsid w:val="009267D7"/>
    <w:rsid w:val="00926B55"/>
    <w:rsid w:val="00927407"/>
    <w:rsid w:val="00927865"/>
    <w:rsid w:val="009279E8"/>
    <w:rsid w:val="0093077C"/>
    <w:rsid w:val="00930A61"/>
    <w:rsid w:val="00930DA8"/>
    <w:rsid w:val="00931860"/>
    <w:rsid w:val="00931C36"/>
    <w:rsid w:val="0093248B"/>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7C8"/>
    <w:rsid w:val="0093685F"/>
    <w:rsid w:val="00937BDE"/>
    <w:rsid w:val="00937F47"/>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0487"/>
    <w:rsid w:val="00961B0F"/>
    <w:rsid w:val="009622B1"/>
    <w:rsid w:val="00963618"/>
    <w:rsid w:val="009637CB"/>
    <w:rsid w:val="00964CFD"/>
    <w:rsid w:val="00964EBE"/>
    <w:rsid w:val="00964F65"/>
    <w:rsid w:val="00964FC6"/>
    <w:rsid w:val="00966217"/>
    <w:rsid w:val="009662CE"/>
    <w:rsid w:val="00966BDF"/>
    <w:rsid w:val="009673D9"/>
    <w:rsid w:val="00967416"/>
    <w:rsid w:val="009700B3"/>
    <w:rsid w:val="009701A6"/>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909"/>
    <w:rsid w:val="00984C8A"/>
    <w:rsid w:val="00984E11"/>
    <w:rsid w:val="0098567C"/>
    <w:rsid w:val="0098751C"/>
    <w:rsid w:val="009875F0"/>
    <w:rsid w:val="00987B5C"/>
    <w:rsid w:val="0099042D"/>
    <w:rsid w:val="009904DA"/>
    <w:rsid w:val="00990A77"/>
    <w:rsid w:val="00991640"/>
    <w:rsid w:val="00991A3C"/>
    <w:rsid w:val="00992668"/>
    <w:rsid w:val="0099338C"/>
    <w:rsid w:val="009935D9"/>
    <w:rsid w:val="00993FC0"/>
    <w:rsid w:val="00994532"/>
    <w:rsid w:val="009952BF"/>
    <w:rsid w:val="00995558"/>
    <w:rsid w:val="0099557A"/>
    <w:rsid w:val="00995E81"/>
    <w:rsid w:val="00996C36"/>
    <w:rsid w:val="00996E05"/>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232"/>
    <w:rsid w:val="009A5739"/>
    <w:rsid w:val="009A57B9"/>
    <w:rsid w:val="009A5975"/>
    <w:rsid w:val="009A5E41"/>
    <w:rsid w:val="009A6407"/>
    <w:rsid w:val="009A64AC"/>
    <w:rsid w:val="009A6A74"/>
    <w:rsid w:val="009A6B30"/>
    <w:rsid w:val="009A6B48"/>
    <w:rsid w:val="009A7D79"/>
    <w:rsid w:val="009A7E52"/>
    <w:rsid w:val="009B0E87"/>
    <w:rsid w:val="009B1643"/>
    <w:rsid w:val="009B175B"/>
    <w:rsid w:val="009B29A6"/>
    <w:rsid w:val="009B3F8F"/>
    <w:rsid w:val="009B43C5"/>
    <w:rsid w:val="009B5328"/>
    <w:rsid w:val="009B5339"/>
    <w:rsid w:val="009B5C1C"/>
    <w:rsid w:val="009B5D99"/>
    <w:rsid w:val="009B6875"/>
    <w:rsid w:val="009B6923"/>
    <w:rsid w:val="009B6B93"/>
    <w:rsid w:val="009B79EE"/>
    <w:rsid w:val="009B7B37"/>
    <w:rsid w:val="009B7D2C"/>
    <w:rsid w:val="009B7D3A"/>
    <w:rsid w:val="009C0108"/>
    <w:rsid w:val="009C0BD1"/>
    <w:rsid w:val="009C1081"/>
    <w:rsid w:val="009C1475"/>
    <w:rsid w:val="009C178C"/>
    <w:rsid w:val="009C17AC"/>
    <w:rsid w:val="009C1E5A"/>
    <w:rsid w:val="009C23E0"/>
    <w:rsid w:val="009C25EE"/>
    <w:rsid w:val="009C2B0C"/>
    <w:rsid w:val="009C2BB4"/>
    <w:rsid w:val="009C39E1"/>
    <w:rsid w:val="009C4EE8"/>
    <w:rsid w:val="009C5006"/>
    <w:rsid w:val="009C52EF"/>
    <w:rsid w:val="009C551A"/>
    <w:rsid w:val="009C554B"/>
    <w:rsid w:val="009C568A"/>
    <w:rsid w:val="009C5844"/>
    <w:rsid w:val="009C6497"/>
    <w:rsid w:val="009C6934"/>
    <w:rsid w:val="009C6BC6"/>
    <w:rsid w:val="009C6E34"/>
    <w:rsid w:val="009C7BC7"/>
    <w:rsid w:val="009D0F6C"/>
    <w:rsid w:val="009D12E7"/>
    <w:rsid w:val="009D172E"/>
    <w:rsid w:val="009D1FEA"/>
    <w:rsid w:val="009D20D6"/>
    <w:rsid w:val="009D264C"/>
    <w:rsid w:val="009D2CEF"/>
    <w:rsid w:val="009D367B"/>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9E"/>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14A3"/>
    <w:rsid w:val="00A220D6"/>
    <w:rsid w:val="00A22CD4"/>
    <w:rsid w:val="00A22D2F"/>
    <w:rsid w:val="00A23597"/>
    <w:rsid w:val="00A2401C"/>
    <w:rsid w:val="00A24052"/>
    <w:rsid w:val="00A24BAA"/>
    <w:rsid w:val="00A25C6D"/>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B4E"/>
    <w:rsid w:val="00A41D55"/>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494"/>
    <w:rsid w:val="00A55509"/>
    <w:rsid w:val="00A563DE"/>
    <w:rsid w:val="00A57624"/>
    <w:rsid w:val="00A57DE4"/>
    <w:rsid w:val="00A6014B"/>
    <w:rsid w:val="00A605B8"/>
    <w:rsid w:val="00A606D9"/>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0DC0"/>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93E"/>
    <w:rsid w:val="00AB1B69"/>
    <w:rsid w:val="00AB202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2E1C"/>
    <w:rsid w:val="00AC373B"/>
    <w:rsid w:val="00AC38EC"/>
    <w:rsid w:val="00AC3BF4"/>
    <w:rsid w:val="00AC3FB9"/>
    <w:rsid w:val="00AC5139"/>
    <w:rsid w:val="00AC58F0"/>
    <w:rsid w:val="00AC5D25"/>
    <w:rsid w:val="00AC618B"/>
    <w:rsid w:val="00AC659C"/>
    <w:rsid w:val="00AC6676"/>
    <w:rsid w:val="00AC7607"/>
    <w:rsid w:val="00AD1694"/>
    <w:rsid w:val="00AD17BA"/>
    <w:rsid w:val="00AD1E37"/>
    <w:rsid w:val="00AD252D"/>
    <w:rsid w:val="00AD2D33"/>
    <w:rsid w:val="00AD2E5A"/>
    <w:rsid w:val="00AD2F0D"/>
    <w:rsid w:val="00AD2F77"/>
    <w:rsid w:val="00AD386A"/>
    <w:rsid w:val="00AD3BF4"/>
    <w:rsid w:val="00AD40FF"/>
    <w:rsid w:val="00AD45D4"/>
    <w:rsid w:val="00AD4AAA"/>
    <w:rsid w:val="00AD539A"/>
    <w:rsid w:val="00AD5AA2"/>
    <w:rsid w:val="00AD5B8D"/>
    <w:rsid w:val="00AD63F5"/>
    <w:rsid w:val="00AD6D51"/>
    <w:rsid w:val="00AD6F87"/>
    <w:rsid w:val="00AD75E9"/>
    <w:rsid w:val="00AD771D"/>
    <w:rsid w:val="00AE0BA2"/>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6346"/>
    <w:rsid w:val="00AE6354"/>
    <w:rsid w:val="00AE6614"/>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78B"/>
    <w:rsid w:val="00B04FCD"/>
    <w:rsid w:val="00B0505F"/>
    <w:rsid w:val="00B052E9"/>
    <w:rsid w:val="00B0538B"/>
    <w:rsid w:val="00B05489"/>
    <w:rsid w:val="00B05774"/>
    <w:rsid w:val="00B06897"/>
    <w:rsid w:val="00B07369"/>
    <w:rsid w:val="00B073B4"/>
    <w:rsid w:val="00B07D70"/>
    <w:rsid w:val="00B1000D"/>
    <w:rsid w:val="00B103D2"/>
    <w:rsid w:val="00B10865"/>
    <w:rsid w:val="00B109E0"/>
    <w:rsid w:val="00B1188A"/>
    <w:rsid w:val="00B11C8A"/>
    <w:rsid w:val="00B12335"/>
    <w:rsid w:val="00B12B6C"/>
    <w:rsid w:val="00B12DC9"/>
    <w:rsid w:val="00B12ED6"/>
    <w:rsid w:val="00B13258"/>
    <w:rsid w:val="00B13822"/>
    <w:rsid w:val="00B13A51"/>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DB"/>
    <w:rsid w:val="00B31EE0"/>
    <w:rsid w:val="00B31FFA"/>
    <w:rsid w:val="00B320E6"/>
    <w:rsid w:val="00B321C2"/>
    <w:rsid w:val="00B32480"/>
    <w:rsid w:val="00B34ACF"/>
    <w:rsid w:val="00B34F7E"/>
    <w:rsid w:val="00B35666"/>
    <w:rsid w:val="00B3580B"/>
    <w:rsid w:val="00B35C7F"/>
    <w:rsid w:val="00B35EBB"/>
    <w:rsid w:val="00B363D6"/>
    <w:rsid w:val="00B36581"/>
    <w:rsid w:val="00B36B81"/>
    <w:rsid w:val="00B36C81"/>
    <w:rsid w:val="00B3724D"/>
    <w:rsid w:val="00B37588"/>
    <w:rsid w:val="00B37CD7"/>
    <w:rsid w:val="00B40996"/>
    <w:rsid w:val="00B41905"/>
    <w:rsid w:val="00B41CAF"/>
    <w:rsid w:val="00B4219B"/>
    <w:rsid w:val="00B43BEE"/>
    <w:rsid w:val="00B4463E"/>
    <w:rsid w:val="00B44856"/>
    <w:rsid w:val="00B459E5"/>
    <w:rsid w:val="00B46202"/>
    <w:rsid w:val="00B46330"/>
    <w:rsid w:val="00B46774"/>
    <w:rsid w:val="00B475D2"/>
    <w:rsid w:val="00B47ADC"/>
    <w:rsid w:val="00B50546"/>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2C0"/>
    <w:rsid w:val="00B73734"/>
    <w:rsid w:val="00B737EE"/>
    <w:rsid w:val="00B73B18"/>
    <w:rsid w:val="00B746B8"/>
    <w:rsid w:val="00B74D7C"/>
    <w:rsid w:val="00B74F47"/>
    <w:rsid w:val="00B75315"/>
    <w:rsid w:val="00B75444"/>
    <w:rsid w:val="00B758F4"/>
    <w:rsid w:val="00B77503"/>
    <w:rsid w:val="00B778DA"/>
    <w:rsid w:val="00B77EE8"/>
    <w:rsid w:val="00B77F3D"/>
    <w:rsid w:val="00B80AA6"/>
    <w:rsid w:val="00B80CFD"/>
    <w:rsid w:val="00B8159A"/>
    <w:rsid w:val="00B81BA6"/>
    <w:rsid w:val="00B8247D"/>
    <w:rsid w:val="00B82B47"/>
    <w:rsid w:val="00B82CD3"/>
    <w:rsid w:val="00B82DE7"/>
    <w:rsid w:val="00B82F22"/>
    <w:rsid w:val="00B84528"/>
    <w:rsid w:val="00B8493E"/>
    <w:rsid w:val="00B85739"/>
    <w:rsid w:val="00B866C3"/>
    <w:rsid w:val="00B87084"/>
    <w:rsid w:val="00B87440"/>
    <w:rsid w:val="00B875BD"/>
    <w:rsid w:val="00B87750"/>
    <w:rsid w:val="00B90285"/>
    <w:rsid w:val="00B90554"/>
    <w:rsid w:val="00B929BA"/>
    <w:rsid w:val="00B92E95"/>
    <w:rsid w:val="00B931B7"/>
    <w:rsid w:val="00B9358A"/>
    <w:rsid w:val="00B93672"/>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B786B"/>
    <w:rsid w:val="00BC0F4B"/>
    <w:rsid w:val="00BC1511"/>
    <w:rsid w:val="00BC17E8"/>
    <w:rsid w:val="00BC18AD"/>
    <w:rsid w:val="00BC1AA0"/>
    <w:rsid w:val="00BC1D27"/>
    <w:rsid w:val="00BC28C3"/>
    <w:rsid w:val="00BC2DAD"/>
    <w:rsid w:val="00BC3A76"/>
    <w:rsid w:val="00BC4A13"/>
    <w:rsid w:val="00BC50E8"/>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33D8"/>
    <w:rsid w:val="00BF43B5"/>
    <w:rsid w:val="00BF5E08"/>
    <w:rsid w:val="00BF6510"/>
    <w:rsid w:val="00BF67FB"/>
    <w:rsid w:val="00BF6AF0"/>
    <w:rsid w:val="00BF6CDA"/>
    <w:rsid w:val="00BF76A4"/>
    <w:rsid w:val="00BF7882"/>
    <w:rsid w:val="00BF7DBE"/>
    <w:rsid w:val="00C008B3"/>
    <w:rsid w:val="00C00C4F"/>
    <w:rsid w:val="00C011B2"/>
    <w:rsid w:val="00C01C27"/>
    <w:rsid w:val="00C0213D"/>
    <w:rsid w:val="00C0263C"/>
    <w:rsid w:val="00C0294D"/>
    <w:rsid w:val="00C02C55"/>
    <w:rsid w:val="00C0306B"/>
    <w:rsid w:val="00C0371A"/>
    <w:rsid w:val="00C037F2"/>
    <w:rsid w:val="00C04554"/>
    <w:rsid w:val="00C05441"/>
    <w:rsid w:val="00C054DF"/>
    <w:rsid w:val="00C058B7"/>
    <w:rsid w:val="00C05AA6"/>
    <w:rsid w:val="00C05C85"/>
    <w:rsid w:val="00C060DB"/>
    <w:rsid w:val="00C065B8"/>
    <w:rsid w:val="00C066D4"/>
    <w:rsid w:val="00C068EF"/>
    <w:rsid w:val="00C06C8F"/>
    <w:rsid w:val="00C07326"/>
    <w:rsid w:val="00C1005D"/>
    <w:rsid w:val="00C10B24"/>
    <w:rsid w:val="00C116A8"/>
    <w:rsid w:val="00C117B9"/>
    <w:rsid w:val="00C123A5"/>
    <w:rsid w:val="00C132FB"/>
    <w:rsid w:val="00C14339"/>
    <w:rsid w:val="00C14441"/>
    <w:rsid w:val="00C151E0"/>
    <w:rsid w:val="00C15BBB"/>
    <w:rsid w:val="00C162EE"/>
    <w:rsid w:val="00C1698B"/>
    <w:rsid w:val="00C16BD8"/>
    <w:rsid w:val="00C1711B"/>
    <w:rsid w:val="00C203EF"/>
    <w:rsid w:val="00C20611"/>
    <w:rsid w:val="00C21135"/>
    <w:rsid w:val="00C212D1"/>
    <w:rsid w:val="00C2166E"/>
    <w:rsid w:val="00C21723"/>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753"/>
    <w:rsid w:val="00C36830"/>
    <w:rsid w:val="00C37EED"/>
    <w:rsid w:val="00C4008B"/>
    <w:rsid w:val="00C401BD"/>
    <w:rsid w:val="00C4023D"/>
    <w:rsid w:val="00C40676"/>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BAF"/>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607"/>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518"/>
    <w:rsid w:val="00C73726"/>
    <w:rsid w:val="00C738D7"/>
    <w:rsid w:val="00C73ACA"/>
    <w:rsid w:val="00C7546D"/>
    <w:rsid w:val="00C75C59"/>
    <w:rsid w:val="00C760C5"/>
    <w:rsid w:val="00C76A70"/>
    <w:rsid w:val="00C76C94"/>
    <w:rsid w:val="00C76D7F"/>
    <w:rsid w:val="00C77274"/>
    <w:rsid w:val="00C776F1"/>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3317"/>
    <w:rsid w:val="00C956DF"/>
    <w:rsid w:val="00C97A53"/>
    <w:rsid w:val="00C97B5F"/>
    <w:rsid w:val="00C97F7D"/>
    <w:rsid w:val="00CA0315"/>
    <w:rsid w:val="00CA06EE"/>
    <w:rsid w:val="00CA0E3F"/>
    <w:rsid w:val="00CA115F"/>
    <w:rsid w:val="00CA19EA"/>
    <w:rsid w:val="00CA23C7"/>
    <w:rsid w:val="00CA264C"/>
    <w:rsid w:val="00CA2985"/>
    <w:rsid w:val="00CA2A47"/>
    <w:rsid w:val="00CA3BD1"/>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6F31"/>
    <w:rsid w:val="00CB7BA0"/>
    <w:rsid w:val="00CB7C32"/>
    <w:rsid w:val="00CB7D1E"/>
    <w:rsid w:val="00CB7DE9"/>
    <w:rsid w:val="00CC09A2"/>
    <w:rsid w:val="00CC0DC7"/>
    <w:rsid w:val="00CC111B"/>
    <w:rsid w:val="00CC1654"/>
    <w:rsid w:val="00CC2B6D"/>
    <w:rsid w:val="00CC2C0A"/>
    <w:rsid w:val="00CC2FAF"/>
    <w:rsid w:val="00CC362C"/>
    <w:rsid w:val="00CC3B98"/>
    <w:rsid w:val="00CC3E1B"/>
    <w:rsid w:val="00CC3FCF"/>
    <w:rsid w:val="00CC4816"/>
    <w:rsid w:val="00CC516B"/>
    <w:rsid w:val="00CC60B8"/>
    <w:rsid w:val="00CC63F7"/>
    <w:rsid w:val="00CC6A5B"/>
    <w:rsid w:val="00CC6DB3"/>
    <w:rsid w:val="00CD0326"/>
    <w:rsid w:val="00CD0F52"/>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867"/>
    <w:rsid w:val="00CE5F80"/>
    <w:rsid w:val="00CE5FDE"/>
    <w:rsid w:val="00CE6AF0"/>
    <w:rsid w:val="00CE6D1E"/>
    <w:rsid w:val="00CE72CD"/>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0C8F"/>
    <w:rsid w:val="00D010BF"/>
    <w:rsid w:val="00D01346"/>
    <w:rsid w:val="00D01532"/>
    <w:rsid w:val="00D0153B"/>
    <w:rsid w:val="00D01C6B"/>
    <w:rsid w:val="00D01E34"/>
    <w:rsid w:val="00D01EDD"/>
    <w:rsid w:val="00D022DF"/>
    <w:rsid w:val="00D0233C"/>
    <w:rsid w:val="00D023E5"/>
    <w:rsid w:val="00D02C7C"/>
    <w:rsid w:val="00D031FC"/>
    <w:rsid w:val="00D032C1"/>
    <w:rsid w:val="00D03475"/>
    <w:rsid w:val="00D04F39"/>
    <w:rsid w:val="00D05544"/>
    <w:rsid w:val="00D056CB"/>
    <w:rsid w:val="00D05DD8"/>
    <w:rsid w:val="00D061A8"/>
    <w:rsid w:val="00D061BC"/>
    <w:rsid w:val="00D062D7"/>
    <w:rsid w:val="00D0634F"/>
    <w:rsid w:val="00D06CDE"/>
    <w:rsid w:val="00D075BE"/>
    <w:rsid w:val="00D07639"/>
    <w:rsid w:val="00D103EF"/>
    <w:rsid w:val="00D106C5"/>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81"/>
    <w:rsid w:val="00D178FE"/>
    <w:rsid w:val="00D17EE4"/>
    <w:rsid w:val="00D17FBE"/>
    <w:rsid w:val="00D201EE"/>
    <w:rsid w:val="00D20B3B"/>
    <w:rsid w:val="00D20FEC"/>
    <w:rsid w:val="00D2197D"/>
    <w:rsid w:val="00D21EEE"/>
    <w:rsid w:val="00D225B4"/>
    <w:rsid w:val="00D2285C"/>
    <w:rsid w:val="00D22C3F"/>
    <w:rsid w:val="00D22F7E"/>
    <w:rsid w:val="00D23758"/>
    <w:rsid w:val="00D246EC"/>
    <w:rsid w:val="00D2494E"/>
    <w:rsid w:val="00D24DB3"/>
    <w:rsid w:val="00D256F8"/>
    <w:rsid w:val="00D25E2C"/>
    <w:rsid w:val="00D26175"/>
    <w:rsid w:val="00D266A4"/>
    <w:rsid w:val="00D2780D"/>
    <w:rsid w:val="00D300B3"/>
    <w:rsid w:val="00D30E7A"/>
    <w:rsid w:val="00D31332"/>
    <w:rsid w:val="00D314AE"/>
    <w:rsid w:val="00D31730"/>
    <w:rsid w:val="00D318F5"/>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84A"/>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57382"/>
    <w:rsid w:val="00D60116"/>
    <w:rsid w:val="00D604D6"/>
    <w:rsid w:val="00D60737"/>
    <w:rsid w:val="00D6104D"/>
    <w:rsid w:val="00D6118C"/>
    <w:rsid w:val="00D61AFA"/>
    <w:rsid w:val="00D6200D"/>
    <w:rsid w:val="00D6208A"/>
    <w:rsid w:val="00D637D8"/>
    <w:rsid w:val="00D64C01"/>
    <w:rsid w:val="00D64DC3"/>
    <w:rsid w:val="00D65299"/>
    <w:rsid w:val="00D655CF"/>
    <w:rsid w:val="00D65F50"/>
    <w:rsid w:val="00D66F1F"/>
    <w:rsid w:val="00D671F3"/>
    <w:rsid w:val="00D67344"/>
    <w:rsid w:val="00D67A20"/>
    <w:rsid w:val="00D702D4"/>
    <w:rsid w:val="00D705D6"/>
    <w:rsid w:val="00D70F03"/>
    <w:rsid w:val="00D714A8"/>
    <w:rsid w:val="00D71894"/>
    <w:rsid w:val="00D72259"/>
    <w:rsid w:val="00D724B3"/>
    <w:rsid w:val="00D72C0A"/>
    <w:rsid w:val="00D7311D"/>
    <w:rsid w:val="00D7348D"/>
    <w:rsid w:val="00D73492"/>
    <w:rsid w:val="00D74097"/>
    <w:rsid w:val="00D74808"/>
    <w:rsid w:val="00D74919"/>
    <w:rsid w:val="00D74C49"/>
    <w:rsid w:val="00D74D58"/>
    <w:rsid w:val="00D74E70"/>
    <w:rsid w:val="00D7585A"/>
    <w:rsid w:val="00D758B1"/>
    <w:rsid w:val="00D76301"/>
    <w:rsid w:val="00D764DB"/>
    <w:rsid w:val="00D76654"/>
    <w:rsid w:val="00D76AC9"/>
    <w:rsid w:val="00D77081"/>
    <w:rsid w:val="00D77F4F"/>
    <w:rsid w:val="00D80207"/>
    <w:rsid w:val="00D80C9F"/>
    <w:rsid w:val="00D81119"/>
    <w:rsid w:val="00D81896"/>
    <w:rsid w:val="00D818F9"/>
    <w:rsid w:val="00D81E4D"/>
    <w:rsid w:val="00D82587"/>
    <w:rsid w:val="00D82F65"/>
    <w:rsid w:val="00D83C73"/>
    <w:rsid w:val="00D84924"/>
    <w:rsid w:val="00D84C9E"/>
    <w:rsid w:val="00D84DEB"/>
    <w:rsid w:val="00D84EAE"/>
    <w:rsid w:val="00D8578D"/>
    <w:rsid w:val="00D85FFD"/>
    <w:rsid w:val="00D8647B"/>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5E2"/>
    <w:rsid w:val="00D957EB"/>
    <w:rsid w:val="00D96830"/>
    <w:rsid w:val="00D96DD1"/>
    <w:rsid w:val="00DA0545"/>
    <w:rsid w:val="00DA0FD5"/>
    <w:rsid w:val="00DA1524"/>
    <w:rsid w:val="00DA1E01"/>
    <w:rsid w:val="00DA386E"/>
    <w:rsid w:val="00DA4022"/>
    <w:rsid w:val="00DA416B"/>
    <w:rsid w:val="00DA43A1"/>
    <w:rsid w:val="00DA5551"/>
    <w:rsid w:val="00DA59D6"/>
    <w:rsid w:val="00DA628A"/>
    <w:rsid w:val="00DA6558"/>
    <w:rsid w:val="00DA69EC"/>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64B"/>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5C0"/>
    <w:rsid w:val="00DE0F1D"/>
    <w:rsid w:val="00DE1CF2"/>
    <w:rsid w:val="00DE1D62"/>
    <w:rsid w:val="00DE2020"/>
    <w:rsid w:val="00DE2EB9"/>
    <w:rsid w:val="00DE3A97"/>
    <w:rsid w:val="00DE3FAA"/>
    <w:rsid w:val="00DE5002"/>
    <w:rsid w:val="00DE5D5E"/>
    <w:rsid w:val="00DE5E8D"/>
    <w:rsid w:val="00DE6615"/>
    <w:rsid w:val="00DE696D"/>
    <w:rsid w:val="00DE6AD1"/>
    <w:rsid w:val="00DE7825"/>
    <w:rsid w:val="00DE7D89"/>
    <w:rsid w:val="00DF0309"/>
    <w:rsid w:val="00DF03D7"/>
    <w:rsid w:val="00DF05EC"/>
    <w:rsid w:val="00DF06C1"/>
    <w:rsid w:val="00DF08EC"/>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398"/>
    <w:rsid w:val="00E01A19"/>
    <w:rsid w:val="00E02438"/>
    <w:rsid w:val="00E03558"/>
    <w:rsid w:val="00E04642"/>
    <w:rsid w:val="00E055B6"/>
    <w:rsid w:val="00E06B03"/>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5EA"/>
    <w:rsid w:val="00E17C92"/>
    <w:rsid w:val="00E17DC6"/>
    <w:rsid w:val="00E17F97"/>
    <w:rsid w:val="00E20CDA"/>
    <w:rsid w:val="00E211F6"/>
    <w:rsid w:val="00E2134C"/>
    <w:rsid w:val="00E215F7"/>
    <w:rsid w:val="00E217F9"/>
    <w:rsid w:val="00E21AAF"/>
    <w:rsid w:val="00E22F60"/>
    <w:rsid w:val="00E2407A"/>
    <w:rsid w:val="00E249C1"/>
    <w:rsid w:val="00E24B33"/>
    <w:rsid w:val="00E24EA7"/>
    <w:rsid w:val="00E25122"/>
    <w:rsid w:val="00E2531E"/>
    <w:rsid w:val="00E264DC"/>
    <w:rsid w:val="00E26E44"/>
    <w:rsid w:val="00E274FF"/>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0CD"/>
    <w:rsid w:val="00E40FBC"/>
    <w:rsid w:val="00E41462"/>
    <w:rsid w:val="00E41882"/>
    <w:rsid w:val="00E41F7B"/>
    <w:rsid w:val="00E42FC3"/>
    <w:rsid w:val="00E43CD2"/>
    <w:rsid w:val="00E4453A"/>
    <w:rsid w:val="00E44665"/>
    <w:rsid w:val="00E45246"/>
    <w:rsid w:val="00E4641F"/>
    <w:rsid w:val="00E46424"/>
    <w:rsid w:val="00E4696E"/>
    <w:rsid w:val="00E46C5B"/>
    <w:rsid w:val="00E46DD5"/>
    <w:rsid w:val="00E47542"/>
    <w:rsid w:val="00E47E01"/>
    <w:rsid w:val="00E51390"/>
    <w:rsid w:val="00E523AD"/>
    <w:rsid w:val="00E525E1"/>
    <w:rsid w:val="00E529DB"/>
    <w:rsid w:val="00E52A14"/>
    <w:rsid w:val="00E52A52"/>
    <w:rsid w:val="00E52F56"/>
    <w:rsid w:val="00E54E3C"/>
    <w:rsid w:val="00E5525F"/>
    <w:rsid w:val="00E56600"/>
    <w:rsid w:val="00E567BA"/>
    <w:rsid w:val="00E56D30"/>
    <w:rsid w:val="00E56EF9"/>
    <w:rsid w:val="00E570F9"/>
    <w:rsid w:val="00E571D2"/>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0D76"/>
    <w:rsid w:val="00E7167D"/>
    <w:rsid w:val="00E71811"/>
    <w:rsid w:val="00E72C9D"/>
    <w:rsid w:val="00E734D8"/>
    <w:rsid w:val="00E73536"/>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576C"/>
    <w:rsid w:val="00E85E15"/>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538"/>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018"/>
    <w:rsid w:val="00EB0B5E"/>
    <w:rsid w:val="00EB0DD7"/>
    <w:rsid w:val="00EB13EB"/>
    <w:rsid w:val="00EB1EAC"/>
    <w:rsid w:val="00EB2326"/>
    <w:rsid w:val="00EB2B0E"/>
    <w:rsid w:val="00EB2EA6"/>
    <w:rsid w:val="00EB306E"/>
    <w:rsid w:val="00EB3216"/>
    <w:rsid w:val="00EB37C1"/>
    <w:rsid w:val="00EB3808"/>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828"/>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ACE"/>
    <w:rsid w:val="00EE3DCE"/>
    <w:rsid w:val="00EE45FA"/>
    <w:rsid w:val="00EE58A3"/>
    <w:rsid w:val="00EE5B24"/>
    <w:rsid w:val="00EE618C"/>
    <w:rsid w:val="00EE63F9"/>
    <w:rsid w:val="00EE64F0"/>
    <w:rsid w:val="00EE6583"/>
    <w:rsid w:val="00EF0357"/>
    <w:rsid w:val="00EF03B3"/>
    <w:rsid w:val="00EF0782"/>
    <w:rsid w:val="00EF07E0"/>
    <w:rsid w:val="00EF1300"/>
    <w:rsid w:val="00EF15D6"/>
    <w:rsid w:val="00EF16AB"/>
    <w:rsid w:val="00EF1BE7"/>
    <w:rsid w:val="00EF2014"/>
    <w:rsid w:val="00EF27CF"/>
    <w:rsid w:val="00EF3A80"/>
    <w:rsid w:val="00EF3FC6"/>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2CEC"/>
    <w:rsid w:val="00F034F8"/>
    <w:rsid w:val="00F037D6"/>
    <w:rsid w:val="00F038E9"/>
    <w:rsid w:val="00F03945"/>
    <w:rsid w:val="00F0416C"/>
    <w:rsid w:val="00F0558D"/>
    <w:rsid w:val="00F05A2F"/>
    <w:rsid w:val="00F06324"/>
    <w:rsid w:val="00F06611"/>
    <w:rsid w:val="00F06D6D"/>
    <w:rsid w:val="00F06E13"/>
    <w:rsid w:val="00F076F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7BF"/>
    <w:rsid w:val="00F25CF0"/>
    <w:rsid w:val="00F25F18"/>
    <w:rsid w:val="00F2641D"/>
    <w:rsid w:val="00F26C67"/>
    <w:rsid w:val="00F27290"/>
    <w:rsid w:val="00F2785B"/>
    <w:rsid w:val="00F279B0"/>
    <w:rsid w:val="00F30251"/>
    <w:rsid w:val="00F305B2"/>
    <w:rsid w:val="00F3226D"/>
    <w:rsid w:val="00F3245D"/>
    <w:rsid w:val="00F335A7"/>
    <w:rsid w:val="00F33E15"/>
    <w:rsid w:val="00F34265"/>
    <w:rsid w:val="00F34C09"/>
    <w:rsid w:val="00F34CDE"/>
    <w:rsid w:val="00F35249"/>
    <w:rsid w:val="00F353F9"/>
    <w:rsid w:val="00F35BAB"/>
    <w:rsid w:val="00F35BFE"/>
    <w:rsid w:val="00F3607F"/>
    <w:rsid w:val="00F3646F"/>
    <w:rsid w:val="00F372A4"/>
    <w:rsid w:val="00F373AF"/>
    <w:rsid w:val="00F374BE"/>
    <w:rsid w:val="00F3754E"/>
    <w:rsid w:val="00F410D8"/>
    <w:rsid w:val="00F4167E"/>
    <w:rsid w:val="00F416FA"/>
    <w:rsid w:val="00F423EF"/>
    <w:rsid w:val="00F4314A"/>
    <w:rsid w:val="00F43433"/>
    <w:rsid w:val="00F43450"/>
    <w:rsid w:val="00F44BE8"/>
    <w:rsid w:val="00F44C0F"/>
    <w:rsid w:val="00F45347"/>
    <w:rsid w:val="00F455DB"/>
    <w:rsid w:val="00F45BA6"/>
    <w:rsid w:val="00F470A4"/>
    <w:rsid w:val="00F479F8"/>
    <w:rsid w:val="00F50014"/>
    <w:rsid w:val="00F50A32"/>
    <w:rsid w:val="00F50B68"/>
    <w:rsid w:val="00F51103"/>
    <w:rsid w:val="00F516D6"/>
    <w:rsid w:val="00F51D3D"/>
    <w:rsid w:val="00F51E5A"/>
    <w:rsid w:val="00F5262C"/>
    <w:rsid w:val="00F527D2"/>
    <w:rsid w:val="00F52F30"/>
    <w:rsid w:val="00F5359F"/>
    <w:rsid w:val="00F53BB6"/>
    <w:rsid w:val="00F5558B"/>
    <w:rsid w:val="00F55ED9"/>
    <w:rsid w:val="00F56DA6"/>
    <w:rsid w:val="00F56FE4"/>
    <w:rsid w:val="00F570B1"/>
    <w:rsid w:val="00F57FED"/>
    <w:rsid w:val="00F60069"/>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6E13"/>
    <w:rsid w:val="00F76F7F"/>
    <w:rsid w:val="00F77CA5"/>
    <w:rsid w:val="00F77CFE"/>
    <w:rsid w:val="00F77DED"/>
    <w:rsid w:val="00F8028A"/>
    <w:rsid w:val="00F805C0"/>
    <w:rsid w:val="00F8072C"/>
    <w:rsid w:val="00F8109B"/>
    <w:rsid w:val="00F815C1"/>
    <w:rsid w:val="00F8182F"/>
    <w:rsid w:val="00F82212"/>
    <w:rsid w:val="00F823F0"/>
    <w:rsid w:val="00F82539"/>
    <w:rsid w:val="00F836BF"/>
    <w:rsid w:val="00F83D5D"/>
    <w:rsid w:val="00F83EBA"/>
    <w:rsid w:val="00F84162"/>
    <w:rsid w:val="00F84547"/>
    <w:rsid w:val="00F845DF"/>
    <w:rsid w:val="00F8559D"/>
    <w:rsid w:val="00F85686"/>
    <w:rsid w:val="00F85E7E"/>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39"/>
    <w:rsid w:val="00F97DBD"/>
    <w:rsid w:val="00FA000A"/>
    <w:rsid w:val="00FA0189"/>
    <w:rsid w:val="00FA035D"/>
    <w:rsid w:val="00FA0390"/>
    <w:rsid w:val="00FA03F4"/>
    <w:rsid w:val="00FA09B4"/>
    <w:rsid w:val="00FA0C36"/>
    <w:rsid w:val="00FA181D"/>
    <w:rsid w:val="00FA1827"/>
    <w:rsid w:val="00FA1A99"/>
    <w:rsid w:val="00FA1C72"/>
    <w:rsid w:val="00FA3AC2"/>
    <w:rsid w:val="00FA49F7"/>
    <w:rsid w:val="00FA4D61"/>
    <w:rsid w:val="00FA5348"/>
    <w:rsid w:val="00FA77BB"/>
    <w:rsid w:val="00FA792B"/>
    <w:rsid w:val="00FB0592"/>
    <w:rsid w:val="00FB0808"/>
    <w:rsid w:val="00FB0D6C"/>
    <w:rsid w:val="00FB1198"/>
    <w:rsid w:val="00FB2619"/>
    <w:rsid w:val="00FB276C"/>
    <w:rsid w:val="00FB2E0E"/>
    <w:rsid w:val="00FB303B"/>
    <w:rsid w:val="00FB372D"/>
    <w:rsid w:val="00FB4032"/>
    <w:rsid w:val="00FB42E8"/>
    <w:rsid w:val="00FB4714"/>
    <w:rsid w:val="00FB49C0"/>
    <w:rsid w:val="00FB57FB"/>
    <w:rsid w:val="00FB5F29"/>
    <w:rsid w:val="00FB6519"/>
    <w:rsid w:val="00FB691E"/>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C7DFD"/>
    <w:rsid w:val="00FD0675"/>
    <w:rsid w:val="00FD0D70"/>
    <w:rsid w:val="00FD1829"/>
    <w:rsid w:val="00FD19E3"/>
    <w:rsid w:val="00FD2245"/>
    <w:rsid w:val="00FD2BCE"/>
    <w:rsid w:val="00FD2D31"/>
    <w:rsid w:val="00FD4053"/>
    <w:rsid w:val="00FD45EB"/>
    <w:rsid w:val="00FD4C7A"/>
    <w:rsid w:val="00FD5B9B"/>
    <w:rsid w:val="00FD5C78"/>
    <w:rsid w:val="00FD6BD3"/>
    <w:rsid w:val="00FD6CA4"/>
    <w:rsid w:val="00FD7D0A"/>
    <w:rsid w:val="00FD7F59"/>
    <w:rsid w:val="00FE147D"/>
    <w:rsid w:val="00FE18C9"/>
    <w:rsid w:val="00FE1A3F"/>
    <w:rsid w:val="00FE1B93"/>
    <w:rsid w:val="00FE2152"/>
    <w:rsid w:val="00FE228B"/>
    <w:rsid w:val="00FE2CCF"/>
    <w:rsid w:val="00FE3BA0"/>
    <w:rsid w:val="00FE49E5"/>
    <w:rsid w:val="00FE4A5D"/>
    <w:rsid w:val="00FE4AE7"/>
    <w:rsid w:val="00FE6832"/>
    <w:rsid w:val="00FE6979"/>
    <w:rsid w:val="00FE6CC2"/>
    <w:rsid w:val="00FE74BD"/>
    <w:rsid w:val="00FF058D"/>
    <w:rsid w:val="00FF072B"/>
    <w:rsid w:val="00FF1D50"/>
    <w:rsid w:val="00FF1DEE"/>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BDD203B"/>
    <w:rsid w:val="16257AAB"/>
    <w:rsid w:val="232ED2CE"/>
    <w:rsid w:val="29B0696F"/>
    <w:rsid w:val="2AD0CA90"/>
    <w:rsid w:val="5E30898F"/>
    <w:rsid w:val="667632F4"/>
    <w:rsid w:val="6A9E4BC0"/>
    <w:rsid w:val="7EDC0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CUERPOTEXTO">
    <w:name w:val="CUERPO TEXTO"/>
    <w:rsid w:val="00D00C8F"/>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CO" w:eastAsia="es-CO"/>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6A6F5F"/>
    <w:rPr>
      <w:b/>
      <w:bCs/>
    </w:rPr>
  </w:style>
  <w:style w:type="character" w:customStyle="1" w:styleId="AsuntodelcomentarioCar">
    <w:name w:val="Asunto del comentario Car"/>
    <w:basedOn w:val="TextocomentarioCar"/>
    <w:link w:val="Asuntodelcomentario"/>
    <w:semiHidden/>
    <w:rsid w:val="006A6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691226">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7701333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14220725">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14177746">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9FD26BA7-D324-4296-8801-D0DB82BBC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F8B7F67B-426F-4036-A1F7-2D0F3114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3297</Words>
  <Characters>18138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13</cp:revision>
  <cp:lastPrinted>2018-11-02T18:38:00Z</cp:lastPrinted>
  <dcterms:created xsi:type="dcterms:W3CDTF">2023-01-20T20:24:00Z</dcterms:created>
  <dcterms:modified xsi:type="dcterms:W3CDTF">2023-04-12T15:49:00Z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57078700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