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47F05F7" w14:textId="77777777" w:rsidR="00EA125F" w:rsidRPr="00EA125F" w:rsidRDefault="00EA125F" w:rsidP="00EA125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17163896"/>
      <w:bookmarkEnd w:id="0"/>
      <w:r w:rsidRPr="00EA125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14AAAD" w14:textId="77777777" w:rsidR="00EA125F" w:rsidRPr="00EA125F" w:rsidRDefault="00EA125F" w:rsidP="00EA125F">
      <w:pPr>
        <w:spacing w:line="240" w:lineRule="auto"/>
        <w:ind w:firstLine="0"/>
        <w:rPr>
          <w:rFonts w:ascii="Arial" w:eastAsia="Times New Roman" w:hAnsi="Arial" w:cs="Arial"/>
          <w:sz w:val="20"/>
          <w:szCs w:val="20"/>
          <w:lang w:val="es-419" w:eastAsia="es-ES"/>
        </w:rPr>
      </w:pPr>
    </w:p>
    <w:p w14:paraId="4202B650" w14:textId="0679F06B" w:rsidR="00EA125F" w:rsidRPr="00EA125F" w:rsidRDefault="00EA125F" w:rsidP="00EA125F">
      <w:pPr>
        <w:spacing w:line="240" w:lineRule="auto"/>
        <w:ind w:firstLine="0"/>
        <w:rPr>
          <w:rFonts w:ascii="Arial" w:eastAsia="Tahoma" w:hAnsi="Arial" w:cs="Arial"/>
          <w:sz w:val="20"/>
          <w:szCs w:val="20"/>
          <w:lang w:val="es-419" w:eastAsia="es-CO"/>
        </w:rPr>
      </w:pPr>
      <w:r w:rsidRPr="00EA125F">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EA125F">
        <w:rPr>
          <w:rFonts w:ascii="Arial" w:eastAsia="Tahoma" w:hAnsi="Arial" w:cs="Arial"/>
          <w:sz w:val="20"/>
          <w:szCs w:val="20"/>
          <w:lang w:val="es-419" w:eastAsia="es-CO"/>
        </w:rPr>
        <w:tab/>
        <w:t>66001-31-05-001-2019-00240- 01</w:t>
      </w:r>
    </w:p>
    <w:p w14:paraId="7D18E4DD" w14:textId="550E82D1" w:rsidR="00EA125F" w:rsidRPr="00EA125F" w:rsidRDefault="00EA125F" w:rsidP="00EA125F">
      <w:pPr>
        <w:spacing w:line="240" w:lineRule="auto"/>
        <w:ind w:firstLine="0"/>
        <w:rPr>
          <w:rFonts w:ascii="Arial" w:eastAsia="Tahoma" w:hAnsi="Arial" w:cs="Arial"/>
          <w:sz w:val="20"/>
          <w:szCs w:val="20"/>
          <w:lang w:val="es-419" w:eastAsia="es-CO"/>
        </w:rPr>
      </w:pPr>
      <w:r w:rsidRPr="00EA125F">
        <w:rPr>
          <w:rFonts w:ascii="Arial" w:eastAsia="Tahoma" w:hAnsi="Arial" w:cs="Arial"/>
          <w:sz w:val="20"/>
          <w:szCs w:val="20"/>
          <w:lang w:val="es-419" w:eastAsia="es-CO"/>
        </w:rPr>
        <w:t>Proceso:</w:t>
      </w:r>
      <w:r w:rsidRPr="00EA125F">
        <w:rPr>
          <w:rFonts w:ascii="Arial" w:eastAsia="Tahoma" w:hAnsi="Arial" w:cs="Arial"/>
          <w:sz w:val="20"/>
          <w:szCs w:val="20"/>
          <w:lang w:val="es-419" w:eastAsia="es-CO"/>
        </w:rPr>
        <w:tab/>
      </w:r>
      <w:r w:rsidRPr="00EA125F">
        <w:rPr>
          <w:rFonts w:ascii="Arial" w:eastAsia="Tahoma" w:hAnsi="Arial" w:cs="Arial"/>
          <w:sz w:val="20"/>
          <w:szCs w:val="20"/>
          <w:lang w:val="es-419" w:eastAsia="es-CO"/>
        </w:rPr>
        <w:tab/>
        <w:t xml:space="preserve">Ordinario Laboral </w:t>
      </w:r>
    </w:p>
    <w:p w14:paraId="3F10EF44" w14:textId="082A2D0A" w:rsidR="00EA125F" w:rsidRPr="00EA125F" w:rsidRDefault="00EA125F" w:rsidP="00EA125F">
      <w:pPr>
        <w:spacing w:line="240" w:lineRule="auto"/>
        <w:ind w:firstLine="0"/>
        <w:rPr>
          <w:rFonts w:ascii="Arial" w:eastAsia="Tahoma" w:hAnsi="Arial" w:cs="Arial"/>
          <w:sz w:val="20"/>
          <w:szCs w:val="20"/>
          <w:lang w:val="es-419" w:eastAsia="es-CO"/>
        </w:rPr>
      </w:pPr>
      <w:r w:rsidRPr="00EA125F">
        <w:rPr>
          <w:rFonts w:ascii="Arial" w:eastAsia="Tahoma" w:hAnsi="Arial" w:cs="Arial"/>
          <w:sz w:val="20"/>
          <w:szCs w:val="20"/>
          <w:lang w:val="es-419" w:eastAsia="es-CO"/>
        </w:rPr>
        <w:t>Demandante:</w:t>
      </w:r>
      <w:r w:rsidRPr="00EA125F">
        <w:rPr>
          <w:rFonts w:ascii="Arial" w:eastAsia="Tahoma" w:hAnsi="Arial" w:cs="Arial"/>
          <w:sz w:val="20"/>
          <w:szCs w:val="20"/>
          <w:lang w:val="es-419" w:eastAsia="es-CO"/>
        </w:rPr>
        <w:tab/>
      </w:r>
      <w:r>
        <w:rPr>
          <w:rFonts w:ascii="Arial" w:eastAsia="Tahoma" w:hAnsi="Arial" w:cs="Arial"/>
          <w:sz w:val="20"/>
          <w:szCs w:val="20"/>
          <w:lang w:val="es-419" w:eastAsia="es-CO"/>
        </w:rPr>
        <w:tab/>
      </w:r>
      <w:r w:rsidRPr="00EA125F">
        <w:rPr>
          <w:rFonts w:ascii="Arial" w:eastAsia="Tahoma" w:hAnsi="Arial" w:cs="Arial"/>
          <w:sz w:val="20"/>
          <w:szCs w:val="20"/>
          <w:lang w:val="es-419" w:eastAsia="es-CO"/>
        </w:rPr>
        <w:t xml:space="preserve">Luz </w:t>
      </w:r>
      <w:proofErr w:type="spellStart"/>
      <w:r w:rsidRPr="00EA125F">
        <w:rPr>
          <w:rFonts w:ascii="Arial" w:eastAsia="Tahoma" w:hAnsi="Arial" w:cs="Arial"/>
          <w:sz w:val="20"/>
          <w:szCs w:val="20"/>
          <w:lang w:val="es-419" w:eastAsia="es-CO"/>
        </w:rPr>
        <w:t>Arbeny</w:t>
      </w:r>
      <w:proofErr w:type="spellEnd"/>
      <w:r w:rsidRPr="00EA125F">
        <w:rPr>
          <w:rFonts w:ascii="Arial" w:eastAsia="Tahoma" w:hAnsi="Arial" w:cs="Arial"/>
          <w:sz w:val="20"/>
          <w:szCs w:val="20"/>
          <w:lang w:val="es-419" w:eastAsia="es-CO"/>
        </w:rPr>
        <w:t xml:space="preserve"> Zapata </w:t>
      </w:r>
      <w:proofErr w:type="spellStart"/>
      <w:r w:rsidRPr="00EA125F">
        <w:rPr>
          <w:rFonts w:ascii="Arial" w:eastAsia="Tahoma" w:hAnsi="Arial" w:cs="Arial"/>
          <w:sz w:val="20"/>
          <w:szCs w:val="20"/>
          <w:lang w:val="es-419" w:eastAsia="es-CO"/>
        </w:rPr>
        <w:t>Tapasco</w:t>
      </w:r>
      <w:proofErr w:type="spellEnd"/>
    </w:p>
    <w:p w14:paraId="07B7DCA6" w14:textId="035FAADA" w:rsidR="00EA125F" w:rsidRPr="00EA125F" w:rsidRDefault="00EA125F" w:rsidP="00EA125F">
      <w:pPr>
        <w:spacing w:line="240" w:lineRule="auto"/>
        <w:ind w:firstLine="0"/>
        <w:rPr>
          <w:rFonts w:ascii="Arial" w:eastAsia="Tahoma" w:hAnsi="Arial" w:cs="Arial"/>
          <w:sz w:val="20"/>
          <w:szCs w:val="20"/>
          <w:lang w:val="es-419" w:eastAsia="es-CO"/>
        </w:rPr>
      </w:pPr>
      <w:r w:rsidRPr="00EA125F">
        <w:rPr>
          <w:rFonts w:ascii="Arial" w:eastAsia="Tahoma" w:hAnsi="Arial" w:cs="Arial"/>
          <w:sz w:val="20"/>
          <w:szCs w:val="20"/>
          <w:lang w:val="es-419" w:eastAsia="es-CO"/>
        </w:rPr>
        <w:t>Demandado:</w:t>
      </w:r>
      <w:r w:rsidRPr="00EA125F">
        <w:rPr>
          <w:rFonts w:ascii="Arial" w:eastAsia="Tahoma" w:hAnsi="Arial" w:cs="Arial"/>
          <w:sz w:val="20"/>
          <w:szCs w:val="20"/>
          <w:lang w:val="es-419" w:eastAsia="es-CO"/>
        </w:rPr>
        <w:tab/>
      </w:r>
      <w:r w:rsidRPr="00EA125F">
        <w:rPr>
          <w:rFonts w:ascii="Arial" w:eastAsia="Tahoma" w:hAnsi="Arial" w:cs="Arial"/>
          <w:sz w:val="20"/>
          <w:szCs w:val="20"/>
          <w:lang w:val="es-419" w:eastAsia="es-CO"/>
        </w:rPr>
        <w:tab/>
        <w:t>Porvenir S.A.</w:t>
      </w:r>
    </w:p>
    <w:p w14:paraId="339870B9" w14:textId="77777777" w:rsidR="00EA125F" w:rsidRPr="00EA125F" w:rsidRDefault="00EA125F" w:rsidP="00EA125F">
      <w:pPr>
        <w:spacing w:line="240" w:lineRule="auto"/>
        <w:ind w:firstLine="0"/>
        <w:rPr>
          <w:rFonts w:ascii="Arial" w:eastAsia="Tahoma" w:hAnsi="Arial" w:cs="Arial"/>
          <w:sz w:val="20"/>
          <w:szCs w:val="20"/>
          <w:lang w:val="es-419" w:eastAsia="es-CO"/>
        </w:rPr>
      </w:pPr>
      <w:r w:rsidRPr="00EA125F">
        <w:rPr>
          <w:rFonts w:ascii="Arial" w:eastAsia="Tahoma" w:hAnsi="Arial" w:cs="Arial"/>
          <w:sz w:val="20"/>
          <w:szCs w:val="20"/>
          <w:lang w:val="es-419" w:eastAsia="es-CO"/>
        </w:rPr>
        <w:t>Vinculada:</w:t>
      </w:r>
      <w:r w:rsidRPr="00EA125F">
        <w:rPr>
          <w:rFonts w:ascii="Arial" w:eastAsia="Tahoma" w:hAnsi="Arial" w:cs="Arial"/>
          <w:sz w:val="20"/>
          <w:szCs w:val="20"/>
          <w:lang w:val="es-419" w:eastAsia="es-CO"/>
        </w:rPr>
        <w:tab/>
      </w:r>
      <w:r w:rsidRPr="00EA125F">
        <w:rPr>
          <w:rFonts w:ascii="Arial" w:eastAsia="Tahoma" w:hAnsi="Arial" w:cs="Arial"/>
          <w:sz w:val="20"/>
          <w:szCs w:val="20"/>
          <w:lang w:val="es-419" w:eastAsia="es-CO"/>
        </w:rPr>
        <w:tab/>
        <w:t>Sofia Hincapié Zapata</w:t>
      </w:r>
    </w:p>
    <w:p w14:paraId="7D2B3308" w14:textId="56E9A9A2" w:rsidR="00EA125F" w:rsidRPr="00EA125F" w:rsidRDefault="00EA125F" w:rsidP="00EA125F">
      <w:pPr>
        <w:spacing w:line="240" w:lineRule="auto"/>
        <w:ind w:firstLine="0"/>
        <w:rPr>
          <w:rFonts w:ascii="Arial" w:eastAsia="Tahoma" w:hAnsi="Arial" w:cs="Arial"/>
          <w:sz w:val="20"/>
          <w:szCs w:val="20"/>
          <w:lang w:val="es-419" w:eastAsia="es-CO"/>
        </w:rPr>
      </w:pPr>
      <w:r w:rsidRPr="00EA125F">
        <w:rPr>
          <w:rFonts w:ascii="Arial" w:eastAsia="Tahoma" w:hAnsi="Arial" w:cs="Arial"/>
          <w:sz w:val="20"/>
          <w:szCs w:val="20"/>
          <w:lang w:val="es-419" w:eastAsia="es-CO"/>
        </w:rPr>
        <w:t>Juzgado de origen:</w:t>
      </w:r>
      <w:r w:rsidRPr="00EA125F">
        <w:rPr>
          <w:rFonts w:ascii="Arial" w:eastAsia="Tahoma" w:hAnsi="Arial" w:cs="Arial"/>
          <w:sz w:val="20"/>
          <w:szCs w:val="20"/>
          <w:lang w:val="es-419" w:eastAsia="es-CO"/>
        </w:rPr>
        <w:tab/>
        <w:t>Primero Laboral del Circuito de Pereira</w:t>
      </w:r>
    </w:p>
    <w:p w14:paraId="7D51AC78" w14:textId="5156A0B2" w:rsidR="00EA125F" w:rsidRPr="00EA125F" w:rsidRDefault="00EA125F" w:rsidP="00EA125F">
      <w:pPr>
        <w:spacing w:line="240" w:lineRule="auto"/>
        <w:ind w:firstLine="0"/>
        <w:rPr>
          <w:rFonts w:ascii="Arial" w:eastAsia="Tahoma" w:hAnsi="Arial" w:cs="Arial"/>
          <w:sz w:val="20"/>
          <w:szCs w:val="20"/>
          <w:lang w:val="es-419" w:eastAsia="es-CO"/>
        </w:rPr>
      </w:pPr>
      <w:r w:rsidRPr="00EA125F">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EA125F">
        <w:rPr>
          <w:rFonts w:ascii="Arial" w:eastAsia="Tahoma" w:hAnsi="Arial" w:cs="Arial"/>
          <w:sz w:val="20"/>
          <w:szCs w:val="20"/>
          <w:lang w:val="es-419" w:eastAsia="es-CO"/>
        </w:rPr>
        <w:t>Dra. Ana Lucía Caicedo Calderón</w:t>
      </w:r>
    </w:p>
    <w:p w14:paraId="41526D75" w14:textId="77777777" w:rsidR="00EA125F" w:rsidRPr="00EA125F" w:rsidRDefault="00EA125F" w:rsidP="00EA125F">
      <w:pPr>
        <w:spacing w:line="240" w:lineRule="auto"/>
        <w:ind w:firstLine="0"/>
        <w:rPr>
          <w:rFonts w:ascii="Arial" w:eastAsia="Tahoma" w:hAnsi="Arial" w:cs="Arial"/>
          <w:color w:val="000000"/>
          <w:sz w:val="20"/>
          <w:szCs w:val="20"/>
          <w:lang w:eastAsia="es-CO"/>
        </w:rPr>
      </w:pPr>
    </w:p>
    <w:p w14:paraId="3A807659" w14:textId="4D388500" w:rsidR="00FB35A7" w:rsidRPr="00FB35A7" w:rsidRDefault="00C33705" w:rsidP="00FB35A7">
      <w:pPr>
        <w:spacing w:line="240" w:lineRule="auto"/>
        <w:ind w:firstLine="0"/>
        <w:rPr>
          <w:rFonts w:ascii="Arial" w:eastAsia="Times New Roman" w:hAnsi="Arial" w:cs="Arial"/>
          <w:b/>
          <w:bCs/>
          <w:iCs/>
          <w:sz w:val="20"/>
          <w:szCs w:val="20"/>
          <w:lang w:val="es-419" w:eastAsia="fr-FR"/>
        </w:rPr>
      </w:pPr>
      <w:bookmarkStart w:id="3" w:name="_GoBack"/>
      <w:r w:rsidRPr="00FB35A7">
        <w:rPr>
          <w:rFonts w:ascii="Arial" w:eastAsia="Times New Roman" w:hAnsi="Arial" w:cs="Arial"/>
          <w:b/>
          <w:bCs/>
          <w:iCs/>
          <w:sz w:val="20"/>
          <w:szCs w:val="20"/>
          <w:u w:val="single"/>
          <w:lang w:val="es-419" w:eastAsia="fr-FR"/>
        </w:rPr>
        <w:t>TEMAS:</w:t>
      </w:r>
      <w:r w:rsidRPr="00FB35A7">
        <w:rPr>
          <w:rFonts w:ascii="Arial" w:eastAsia="Times New Roman" w:hAnsi="Arial" w:cs="Arial"/>
          <w:b/>
          <w:bCs/>
          <w:iCs/>
          <w:sz w:val="20"/>
          <w:szCs w:val="20"/>
          <w:lang w:val="es-419" w:eastAsia="fr-FR"/>
        </w:rPr>
        <w:tab/>
        <w:t xml:space="preserve">PENSIÓN DE SOBREVIVIENTES / CÓNYUGE SEPARADA DE HECHO, CON </w:t>
      </w:r>
      <w:r>
        <w:rPr>
          <w:rFonts w:ascii="Arial" w:eastAsia="Times New Roman" w:hAnsi="Arial" w:cs="Arial"/>
          <w:b/>
          <w:bCs/>
          <w:iCs/>
          <w:sz w:val="20"/>
          <w:szCs w:val="20"/>
          <w:lang w:val="es-419" w:eastAsia="fr-FR"/>
        </w:rPr>
        <w:t xml:space="preserve">SOCIEDAD CONYUGAL VIGENTE </w:t>
      </w:r>
      <w:r w:rsidRPr="00FB35A7">
        <w:rPr>
          <w:rFonts w:ascii="Arial" w:eastAsia="Times New Roman" w:hAnsi="Arial" w:cs="Arial"/>
          <w:b/>
          <w:bCs/>
          <w:iCs/>
          <w:sz w:val="20"/>
          <w:szCs w:val="20"/>
          <w:lang w:val="es-419" w:eastAsia="fr-FR"/>
        </w:rPr>
        <w:t xml:space="preserve">/ REQUISITOS / CONVIVENCIA POR EL TÉRMINO DE CINCO AÑOS / EN CUALQUIER </w:t>
      </w:r>
      <w:r>
        <w:rPr>
          <w:rFonts w:ascii="Arial" w:eastAsia="Times New Roman" w:hAnsi="Arial" w:cs="Arial"/>
          <w:b/>
          <w:bCs/>
          <w:iCs/>
          <w:sz w:val="20"/>
          <w:szCs w:val="20"/>
          <w:lang w:val="es-419" w:eastAsia="fr-FR"/>
        </w:rPr>
        <w:t xml:space="preserve">TIEMPO </w:t>
      </w:r>
      <w:r w:rsidRPr="00FB35A7">
        <w:rPr>
          <w:rFonts w:ascii="Arial" w:eastAsia="Times New Roman" w:hAnsi="Arial" w:cs="Arial"/>
          <w:b/>
          <w:bCs/>
          <w:iCs/>
          <w:sz w:val="20"/>
          <w:szCs w:val="20"/>
          <w:lang w:val="es-419" w:eastAsia="fr-FR"/>
        </w:rPr>
        <w:t xml:space="preserve">/ NO </w:t>
      </w:r>
      <w:r>
        <w:rPr>
          <w:rFonts w:ascii="Arial" w:eastAsia="Times New Roman" w:hAnsi="Arial" w:cs="Arial"/>
          <w:b/>
          <w:bCs/>
          <w:iCs/>
          <w:sz w:val="20"/>
          <w:szCs w:val="20"/>
          <w:lang w:val="es-419" w:eastAsia="fr-FR"/>
        </w:rPr>
        <w:t>SE REQUIERE MANTENER LAZOS FAMILIARES O AFECTIVOS / INDEXACIÓN / RECONOCIMIENTO DE OFICIO.</w:t>
      </w:r>
    </w:p>
    <w:bookmarkEnd w:id="3"/>
    <w:p w14:paraId="6D490D6B" w14:textId="77777777" w:rsidR="00FB35A7" w:rsidRPr="00FB35A7" w:rsidRDefault="00FB35A7" w:rsidP="00FB35A7">
      <w:pPr>
        <w:spacing w:line="240" w:lineRule="auto"/>
        <w:ind w:firstLine="0"/>
        <w:rPr>
          <w:rFonts w:ascii="Arial" w:eastAsia="Times New Roman" w:hAnsi="Arial" w:cs="Arial"/>
          <w:sz w:val="20"/>
          <w:szCs w:val="20"/>
          <w:lang w:val="es-419" w:eastAsia="es-ES"/>
        </w:rPr>
      </w:pPr>
    </w:p>
    <w:p w14:paraId="28F5C06F" w14:textId="432EE7A1" w:rsidR="00FB35A7" w:rsidRPr="00FB35A7" w:rsidRDefault="00A15361" w:rsidP="00A15361">
      <w:pPr>
        <w:spacing w:line="240" w:lineRule="auto"/>
        <w:ind w:firstLine="0"/>
        <w:rPr>
          <w:rFonts w:ascii="Arial" w:eastAsia="Times New Roman" w:hAnsi="Arial" w:cs="Arial"/>
          <w:sz w:val="20"/>
          <w:szCs w:val="20"/>
          <w:lang w:val="es-419" w:eastAsia="es-ES"/>
        </w:rPr>
      </w:pPr>
      <w:r w:rsidRPr="00A15361">
        <w:rPr>
          <w:rFonts w:ascii="Arial" w:eastAsia="Times New Roman" w:hAnsi="Arial" w:cs="Arial"/>
          <w:sz w:val="20"/>
          <w:szCs w:val="20"/>
          <w:lang w:val="es-419" w:eastAsia="es-ES"/>
        </w:rPr>
        <w:t>La lectura armónica de los literales a y b del artículo 13 de la Ley 797 de 2003, modificatorio del artículo 47 de la Ley 100 de 1993, permite colegir que mientras se mantenga activa la sociedad conyugal, la cónyuge supérstite puede acreditar la convivencia con el causante en una época pretérita para acceder a la pensión de sobrevivientes, bien en proporción al tiempo convivido, en caso de existir una compañera permanente, o en su totalidad, en caso de que no existan otros beneficiarios. Esta intelección fue adoptada por la Sala de Casación Laboral de la Corte Suprema de Justicia, quien además precisó que no es exigible a las cónyuges que los lazos familiares o afectivos se hubieran mantenido latentes después de la terminación de la convivencia</w:t>
      </w:r>
      <w:r w:rsidR="00FB35A7" w:rsidRPr="00FB35A7">
        <w:rPr>
          <w:rFonts w:ascii="Arial" w:eastAsia="Times New Roman" w:hAnsi="Arial" w:cs="Arial"/>
          <w:sz w:val="20"/>
          <w:szCs w:val="20"/>
          <w:lang w:val="es-419" w:eastAsia="es-ES"/>
        </w:rPr>
        <w:t>…</w:t>
      </w:r>
    </w:p>
    <w:p w14:paraId="76E42AED" w14:textId="77777777" w:rsidR="00FB35A7" w:rsidRPr="00FB35A7" w:rsidRDefault="00FB35A7" w:rsidP="00FB35A7">
      <w:pPr>
        <w:spacing w:line="240" w:lineRule="auto"/>
        <w:ind w:firstLine="0"/>
        <w:rPr>
          <w:rFonts w:ascii="Arial" w:eastAsia="Times New Roman" w:hAnsi="Arial" w:cs="Arial"/>
          <w:sz w:val="20"/>
          <w:szCs w:val="20"/>
          <w:lang w:val="es-419" w:eastAsia="es-ES"/>
        </w:rPr>
      </w:pPr>
    </w:p>
    <w:p w14:paraId="2A4FC6AD" w14:textId="4913BD3C" w:rsidR="00FB35A7" w:rsidRPr="00FB35A7" w:rsidRDefault="00FB35A7" w:rsidP="00FB35A7">
      <w:pPr>
        <w:spacing w:line="240" w:lineRule="auto"/>
        <w:ind w:firstLine="0"/>
        <w:rPr>
          <w:rFonts w:ascii="Arial" w:eastAsia="Times New Roman" w:hAnsi="Arial" w:cs="Arial"/>
          <w:sz w:val="20"/>
          <w:szCs w:val="20"/>
          <w:lang w:val="es-419" w:eastAsia="es-ES"/>
        </w:rPr>
      </w:pPr>
      <w:r w:rsidRPr="00FB35A7">
        <w:rPr>
          <w:rFonts w:ascii="Arial" w:eastAsia="Times New Roman" w:hAnsi="Arial" w:cs="Arial"/>
          <w:sz w:val="20"/>
          <w:szCs w:val="20"/>
          <w:lang w:val="es-419" w:eastAsia="es-ES"/>
        </w:rPr>
        <w:t xml:space="preserve">… </w:t>
      </w:r>
      <w:r w:rsidR="00C0696E" w:rsidRPr="00C0696E">
        <w:rPr>
          <w:rFonts w:ascii="Arial" w:eastAsia="Times New Roman" w:hAnsi="Arial" w:cs="Arial"/>
          <w:sz w:val="20"/>
          <w:szCs w:val="20"/>
          <w:lang w:val="es-419" w:eastAsia="es-ES"/>
        </w:rPr>
        <w:t>la Sala de Casación Laboral de la Corte Suprema de Justicia en la providencia SL359-2021 adoctrinó que al reconocerse por vía judicial un derecho pensional, aun cuando el ajuste monetario o indexación no haya sido pretendido en la demanda, su imposición oficiosa no solo es procedente sino que es una obligación del fallador, en la medida que no comporta condena adicional a la solicitada y se erige como una garantía constitucional en virtud del art. 53 Superior, con el fin de que se mantenga el poder adquisitivo constante de las pensiones, en relación con el índice de precios al consumidor certificado por el DANE</w:t>
      </w:r>
      <w:r w:rsidRPr="00FB35A7">
        <w:rPr>
          <w:rFonts w:ascii="Arial" w:eastAsia="Times New Roman" w:hAnsi="Arial" w:cs="Arial"/>
          <w:sz w:val="20"/>
          <w:szCs w:val="20"/>
          <w:lang w:val="es-419" w:eastAsia="es-ES"/>
        </w:rPr>
        <w:t>…</w:t>
      </w:r>
    </w:p>
    <w:p w14:paraId="5185A8FF" w14:textId="77777777" w:rsidR="00FB35A7" w:rsidRPr="00FB35A7" w:rsidRDefault="00FB35A7" w:rsidP="00FB35A7">
      <w:pPr>
        <w:spacing w:line="240" w:lineRule="auto"/>
        <w:ind w:firstLine="0"/>
        <w:rPr>
          <w:rFonts w:ascii="Arial" w:eastAsia="Times New Roman" w:hAnsi="Arial" w:cs="Arial"/>
          <w:sz w:val="20"/>
          <w:szCs w:val="20"/>
          <w:lang w:val="es-419" w:eastAsia="es-ES"/>
        </w:rPr>
      </w:pPr>
    </w:p>
    <w:p w14:paraId="1A9CD41F" w14:textId="7881866F" w:rsidR="00FB35A7" w:rsidRPr="00FB35A7" w:rsidRDefault="00B166E1" w:rsidP="00FB35A7">
      <w:pPr>
        <w:spacing w:line="240" w:lineRule="auto"/>
        <w:ind w:firstLine="0"/>
        <w:rPr>
          <w:rFonts w:ascii="Arial" w:eastAsia="Times New Roman" w:hAnsi="Arial" w:cs="Arial"/>
          <w:sz w:val="20"/>
          <w:szCs w:val="20"/>
          <w:lang w:val="es-419" w:eastAsia="es-ES"/>
        </w:rPr>
      </w:pPr>
      <w:r w:rsidRPr="00B166E1">
        <w:rPr>
          <w:rFonts w:ascii="Arial" w:eastAsia="Times New Roman" w:hAnsi="Arial" w:cs="Arial"/>
          <w:sz w:val="20"/>
          <w:szCs w:val="20"/>
          <w:lang w:val="es-419" w:eastAsia="es-ES"/>
        </w:rPr>
        <w:t>Corolario de lo anterior, acertada se encuentra la decisión de la jueza de conocimiento de imponer a PORVENIR S.A. la indexación del retroactivo pensional, puesto que ello obedeció precisamente al nuevo criterio establecido por la Corte Suprema de Justicia en la providencia en cita, misma en la que recogió la tesis que hasta ese momento sostenía, según la cual tal corrección monetaria únicamente procedía a petición de parte</w:t>
      </w:r>
      <w:r>
        <w:rPr>
          <w:rFonts w:ascii="Arial" w:eastAsia="Times New Roman" w:hAnsi="Arial" w:cs="Arial"/>
          <w:sz w:val="20"/>
          <w:szCs w:val="20"/>
          <w:lang w:val="es-419" w:eastAsia="es-ES"/>
        </w:rPr>
        <w:t>…</w:t>
      </w:r>
    </w:p>
    <w:p w14:paraId="0D826369" w14:textId="77777777" w:rsidR="00FB35A7" w:rsidRPr="00FB35A7" w:rsidRDefault="00FB35A7" w:rsidP="00FB35A7">
      <w:pPr>
        <w:spacing w:line="240" w:lineRule="auto"/>
        <w:ind w:firstLine="0"/>
        <w:rPr>
          <w:rFonts w:ascii="Arial" w:eastAsia="Times New Roman" w:hAnsi="Arial" w:cs="Arial"/>
          <w:sz w:val="20"/>
          <w:szCs w:val="20"/>
          <w:lang w:val="es-419" w:eastAsia="es-ES"/>
        </w:rPr>
      </w:pPr>
    </w:p>
    <w:p w14:paraId="5E2C64D2" w14:textId="77777777" w:rsidR="00FB35A7" w:rsidRPr="00FB35A7" w:rsidRDefault="00FB35A7" w:rsidP="00FB35A7">
      <w:pPr>
        <w:spacing w:line="240" w:lineRule="auto"/>
        <w:ind w:firstLine="0"/>
        <w:rPr>
          <w:rFonts w:ascii="Arial" w:eastAsia="Times New Roman" w:hAnsi="Arial" w:cs="Arial"/>
          <w:sz w:val="20"/>
          <w:szCs w:val="20"/>
          <w:lang w:val="es-419" w:eastAsia="es-ES"/>
        </w:rPr>
      </w:pPr>
    </w:p>
    <w:p w14:paraId="29F5E633" w14:textId="77777777" w:rsidR="00EA125F" w:rsidRPr="00EA125F" w:rsidRDefault="00EA125F" w:rsidP="00EA125F">
      <w:pPr>
        <w:spacing w:line="240" w:lineRule="auto"/>
        <w:ind w:firstLine="0"/>
        <w:rPr>
          <w:rFonts w:ascii="Arial" w:eastAsia="Times New Roman" w:hAnsi="Arial" w:cs="Arial"/>
          <w:sz w:val="20"/>
          <w:szCs w:val="20"/>
          <w:lang w:val="es-419" w:eastAsia="es-ES"/>
        </w:rPr>
      </w:pPr>
    </w:p>
    <w:bookmarkEnd w:id="1"/>
    <w:bookmarkEnd w:id="2"/>
    <w:p w14:paraId="6CB56231" w14:textId="247C3C4A" w:rsidR="00FA6ADF" w:rsidRPr="006B1A59" w:rsidRDefault="00FA6ADF" w:rsidP="00AE7C37">
      <w:pPr>
        <w:pStyle w:val="Ttulo4"/>
        <w:widowControl w:val="0"/>
        <w:spacing w:line="276" w:lineRule="auto"/>
        <w:ind w:right="-5"/>
        <w:contextualSpacing/>
        <w:mirrorIndents/>
        <w:rPr>
          <w:rFonts w:ascii="Tahoma" w:eastAsia="Tahoma" w:hAnsi="Tahoma" w:cs="Tahoma"/>
          <w:szCs w:val="24"/>
        </w:rPr>
      </w:pPr>
      <w:r w:rsidRPr="006B1A59">
        <w:rPr>
          <w:rFonts w:ascii="Tahoma" w:eastAsia="Tahoma" w:hAnsi="Tahoma" w:cs="Tahoma"/>
          <w:szCs w:val="24"/>
        </w:rPr>
        <w:t>TRIBUNAL SUPERIOR DEL DISTRITO JUDICIAL DE PEREIRA</w:t>
      </w:r>
    </w:p>
    <w:p w14:paraId="0584DA1B" w14:textId="77777777" w:rsidR="00FA6ADF" w:rsidRPr="006B1A59" w:rsidRDefault="00FA6ADF" w:rsidP="00AE7C37">
      <w:pPr>
        <w:pStyle w:val="Ttulo4"/>
        <w:widowControl w:val="0"/>
        <w:spacing w:line="276" w:lineRule="auto"/>
        <w:ind w:right="-5"/>
        <w:contextualSpacing/>
        <w:mirrorIndents/>
        <w:rPr>
          <w:rFonts w:ascii="Tahoma" w:eastAsia="Tahoma" w:hAnsi="Tahoma" w:cs="Tahoma"/>
          <w:szCs w:val="24"/>
        </w:rPr>
      </w:pPr>
      <w:r w:rsidRPr="006B1A59">
        <w:rPr>
          <w:rFonts w:ascii="Tahoma" w:eastAsia="Tahoma" w:hAnsi="Tahoma" w:cs="Tahoma"/>
          <w:szCs w:val="24"/>
        </w:rPr>
        <w:t xml:space="preserve">SALA PRIMERA DE DECISION LABORAL </w:t>
      </w:r>
    </w:p>
    <w:p w14:paraId="54AFEB4A" w14:textId="77777777" w:rsidR="00FA6ADF" w:rsidRPr="006B1A59" w:rsidRDefault="00FA6ADF" w:rsidP="00AE7C37">
      <w:pPr>
        <w:spacing w:line="276" w:lineRule="auto"/>
        <w:ind w:right="-5"/>
        <w:rPr>
          <w:rFonts w:ascii="Tahoma" w:hAnsi="Tahoma" w:cs="Tahoma"/>
          <w:sz w:val="24"/>
          <w:szCs w:val="24"/>
          <w:lang w:eastAsia="es-ES"/>
        </w:rPr>
      </w:pPr>
    </w:p>
    <w:p w14:paraId="3591CCF0" w14:textId="6EB8826B" w:rsidR="00FA6ADF" w:rsidRPr="006B1A59" w:rsidRDefault="00FA6ADF" w:rsidP="006B1A59">
      <w:pPr>
        <w:spacing w:line="276" w:lineRule="auto"/>
        <w:ind w:firstLine="0"/>
        <w:contextualSpacing/>
        <w:mirrorIndents/>
        <w:jc w:val="center"/>
        <w:rPr>
          <w:rFonts w:ascii="Tahoma" w:hAnsi="Tahoma" w:cs="Tahoma"/>
          <w:sz w:val="24"/>
          <w:szCs w:val="24"/>
        </w:rPr>
      </w:pPr>
      <w:r w:rsidRPr="006B1A59">
        <w:rPr>
          <w:rFonts w:ascii="Tahoma" w:hAnsi="Tahoma" w:cs="Tahoma"/>
          <w:sz w:val="24"/>
          <w:szCs w:val="24"/>
        </w:rPr>
        <w:t>Magistrada Ponente: </w:t>
      </w:r>
      <w:r w:rsidRPr="006B1A59">
        <w:rPr>
          <w:rFonts w:ascii="Tahoma" w:hAnsi="Tahoma" w:cs="Tahoma"/>
          <w:b/>
          <w:sz w:val="24"/>
          <w:szCs w:val="24"/>
        </w:rPr>
        <w:t>Ana Lucía Caicedo Calderón</w:t>
      </w:r>
    </w:p>
    <w:p w14:paraId="44898981" w14:textId="77777777" w:rsidR="00187144" w:rsidRPr="006B1A59" w:rsidRDefault="00187144" w:rsidP="006B1A59">
      <w:pPr>
        <w:spacing w:line="276" w:lineRule="auto"/>
        <w:ind w:right="49" w:firstLine="0"/>
        <w:contextualSpacing/>
        <w:jc w:val="center"/>
        <w:textAlignment w:val="baseline"/>
        <w:rPr>
          <w:rFonts w:ascii="Tahoma" w:eastAsia="Times New Roman" w:hAnsi="Tahoma" w:cs="Tahoma"/>
          <w:sz w:val="24"/>
          <w:szCs w:val="24"/>
          <w:lang w:eastAsia="es-CO"/>
        </w:rPr>
      </w:pPr>
      <w:r w:rsidRPr="006B1A59">
        <w:rPr>
          <w:rFonts w:ascii="Tahoma" w:eastAsia="Times New Roman" w:hAnsi="Tahoma" w:cs="Tahoma"/>
          <w:sz w:val="24"/>
          <w:szCs w:val="24"/>
          <w:lang w:eastAsia="es-CO"/>
        </w:rPr>
        <w:t>Pereira, Risaralda, seis (06) de febrero de dos mil veintitrés (2023)</w:t>
      </w:r>
    </w:p>
    <w:p w14:paraId="6B6CE098" w14:textId="6FAC6242" w:rsidR="00187144" w:rsidRPr="006B1A59" w:rsidRDefault="00187144" w:rsidP="006B1A59">
      <w:pPr>
        <w:spacing w:line="276" w:lineRule="auto"/>
        <w:ind w:right="49" w:firstLine="0"/>
        <w:contextualSpacing/>
        <w:jc w:val="center"/>
        <w:textAlignment w:val="baseline"/>
        <w:rPr>
          <w:rFonts w:ascii="Tahoma" w:eastAsia="Times New Roman" w:hAnsi="Tahoma" w:cs="Tahoma"/>
          <w:sz w:val="24"/>
          <w:szCs w:val="24"/>
          <w:lang w:eastAsia="es-CO"/>
        </w:rPr>
      </w:pPr>
      <w:r w:rsidRPr="006B1A59">
        <w:rPr>
          <w:rFonts w:ascii="Tahoma" w:eastAsia="Times New Roman" w:hAnsi="Tahoma" w:cs="Tahoma"/>
          <w:sz w:val="24"/>
          <w:szCs w:val="24"/>
          <w:lang w:eastAsia="es-CO"/>
        </w:rPr>
        <w:t>Acta No. </w:t>
      </w:r>
      <w:r w:rsidR="00B47B2D" w:rsidRPr="006B1A59">
        <w:rPr>
          <w:rFonts w:ascii="Tahoma" w:eastAsia="Times New Roman" w:hAnsi="Tahoma" w:cs="Tahoma"/>
          <w:sz w:val="24"/>
          <w:szCs w:val="24"/>
          <w:lang w:eastAsia="es-CO"/>
        </w:rPr>
        <w:t>14</w:t>
      </w:r>
      <w:r w:rsidRPr="006B1A59">
        <w:rPr>
          <w:rFonts w:ascii="Tahoma" w:eastAsia="Times New Roman" w:hAnsi="Tahoma" w:cs="Tahoma"/>
          <w:sz w:val="24"/>
          <w:szCs w:val="24"/>
          <w:lang w:eastAsia="es-CO"/>
        </w:rPr>
        <w:t xml:space="preserve"> del 02 de febrero de 2023</w:t>
      </w:r>
    </w:p>
    <w:p w14:paraId="505F72F6" w14:textId="6B0060B0" w:rsidR="00FA6ADF" w:rsidRPr="006B1A59" w:rsidRDefault="00FA6ADF" w:rsidP="006B1A59">
      <w:pPr>
        <w:spacing w:line="276" w:lineRule="auto"/>
        <w:contextualSpacing/>
        <w:mirrorIndents/>
        <w:rPr>
          <w:rFonts w:ascii="Tahoma" w:hAnsi="Tahoma" w:cs="Tahoma"/>
          <w:sz w:val="24"/>
          <w:szCs w:val="24"/>
        </w:rPr>
      </w:pPr>
    </w:p>
    <w:p w14:paraId="088A1D3A" w14:textId="77777777" w:rsidR="000C1608" w:rsidRPr="006B1A59" w:rsidRDefault="000C1608" w:rsidP="006B1A59">
      <w:pPr>
        <w:spacing w:line="276" w:lineRule="auto"/>
        <w:contextualSpacing/>
        <w:mirrorIndents/>
        <w:rPr>
          <w:rFonts w:ascii="Tahoma" w:hAnsi="Tahoma" w:cs="Tahoma"/>
          <w:sz w:val="24"/>
          <w:szCs w:val="24"/>
        </w:rPr>
      </w:pPr>
    </w:p>
    <w:p w14:paraId="78CA2C38" w14:textId="56A1A398" w:rsidR="00FA6ADF" w:rsidRPr="006B1A59" w:rsidRDefault="00FA6ADF" w:rsidP="006B1A59">
      <w:pPr>
        <w:pStyle w:val="NormalWeb"/>
        <w:spacing w:before="0" w:beforeAutospacing="0" w:after="0" w:afterAutospacing="0" w:line="276" w:lineRule="auto"/>
        <w:ind w:right="49" w:firstLine="851"/>
        <w:contextualSpacing/>
        <w:jc w:val="both"/>
        <w:rPr>
          <w:rFonts w:ascii="Tahoma" w:hAnsi="Tahoma" w:cs="Tahoma"/>
          <w:b/>
          <w:bCs/>
          <w:caps/>
          <w:color w:val="000000"/>
        </w:rPr>
      </w:pPr>
      <w:bookmarkStart w:id="4" w:name="_heading=h.gjdgxs" w:colFirst="0" w:colLast="0"/>
      <w:bookmarkStart w:id="5" w:name="_Hlk109731515"/>
      <w:bookmarkEnd w:id="4"/>
      <w:r w:rsidRPr="006B1A59">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w:t>
      </w:r>
      <w:r w:rsidR="00A86F70" w:rsidRPr="006B1A59">
        <w:rPr>
          <w:rFonts w:ascii="Tahoma" w:hAnsi="Tahoma" w:cs="Tahoma"/>
        </w:rPr>
        <w:t xml:space="preserve">Primera </w:t>
      </w:r>
      <w:r w:rsidRPr="006B1A59">
        <w:rPr>
          <w:rFonts w:ascii="Tahoma" w:hAnsi="Tahoma" w:cs="Tahoma"/>
        </w:rPr>
        <w:t xml:space="preserve">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6B1A59">
        <w:rPr>
          <w:rFonts w:ascii="Tahoma" w:hAnsi="Tahoma" w:cs="Tahoma"/>
          <w:b/>
        </w:rPr>
        <w:t>ordinario laboral</w:t>
      </w:r>
      <w:r w:rsidRPr="006B1A59">
        <w:rPr>
          <w:rFonts w:ascii="Tahoma" w:hAnsi="Tahoma" w:cs="Tahoma"/>
        </w:rPr>
        <w:t xml:space="preserve"> instaurado por </w:t>
      </w:r>
      <w:bookmarkEnd w:id="5"/>
      <w:r w:rsidR="006B1A59" w:rsidRPr="006B1A59">
        <w:rPr>
          <w:rFonts w:ascii="Tahoma" w:hAnsi="Tahoma" w:cs="Tahoma"/>
          <w:b/>
          <w:bCs/>
          <w:color w:val="000000"/>
        </w:rPr>
        <w:t xml:space="preserve">Luz </w:t>
      </w:r>
      <w:proofErr w:type="spellStart"/>
      <w:r w:rsidR="006B1A59" w:rsidRPr="006B1A59">
        <w:rPr>
          <w:rFonts w:ascii="Tahoma" w:hAnsi="Tahoma" w:cs="Tahoma"/>
          <w:b/>
          <w:bCs/>
          <w:color w:val="000000"/>
        </w:rPr>
        <w:t>Arbeny</w:t>
      </w:r>
      <w:proofErr w:type="spellEnd"/>
      <w:r w:rsidR="006B1A59" w:rsidRPr="006B1A59">
        <w:rPr>
          <w:rFonts w:ascii="Tahoma" w:hAnsi="Tahoma" w:cs="Tahoma"/>
          <w:b/>
          <w:bCs/>
          <w:color w:val="000000"/>
        </w:rPr>
        <w:t xml:space="preserve"> Zapata </w:t>
      </w:r>
      <w:proofErr w:type="spellStart"/>
      <w:r w:rsidR="006B1A59" w:rsidRPr="006B1A59">
        <w:rPr>
          <w:rFonts w:ascii="Tahoma" w:hAnsi="Tahoma" w:cs="Tahoma"/>
          <w:b/>
          <w:bCs/>
          <w:color w:val="000000"/>
        </w:rPr>
        <w:t>Tapasco</w:t>
      </w:r>
      <w:proofErr w:type="spellEnd"/>
      <w:r w:rsidR="006B1A59" w:rsidRPr="006B1A59">
        <w:rPr>
          <w:rFonts w:ascii="Tahoma" w:hAnsi="Tahoma" w:cs="Tahoma"/>
          <w:b/>
          <w:bCs/>
          <w:color w:val="000000"/>
        </w:rPr>
        <w:t xml:space="preserve"> </w:t>
      </w:r>
      <w:r w:rsidRPr="006B1A59">
        <w:rPr>
          <w:rFonts w:ascii="Tahoma" w:hAnsi="Tahoma" w:cs="Tahoma"/>
        </w:rPr>
        <w:lastRenderedPageBreak/>
        <w:t>en contra d</w:t>
      </w:r>
      <w:r w:rsidR="000C1608" w:rsidRPr="006B1A59">
        <w:rPr>
          <w:rFonts w:ascii="Tahoma" w:hAnsi="Tahoma" w:cs="Tahoma"/>
        </w:rPr>
        <w:t xml:space="preserve">e la </w:t>
      </w:r>
      <w:r w:rsidR="006B1A59" w:rsidRPr="006B1A59">
        <w:rPr>
          <w:rFonts w:ascii="Tahoma" w:hAnsi="Tahoma" w:cs="Tahoma"/>
          <w:b/>
        </w:rPr>
        <w:t xml:space="preserve">Administradora de Fondos de Pensiones y Cesantías </w:t>
      </w:r>
      <w:r w:rsidR="00CD4B0F" w:rsidRPr="006B1A59">
        <w:rPr>
          <w:rFonts w:ascii="Tahoma" w:hAnsi="Tahoma" w:cs="Tahoma"/>
          <w:b/>
        </w:rPr>
        <w:t>PORVENIR S.A.</w:t>
      </w:r>
      <w:r w:rsidR="00CD4B0F" w:rsidRPr="006B1A59">
        <w:rPr>
          <w:rFonts w:ascii="Tahoma" w:hAnsi="Tahoma" w:cs="Tahoma"/>
        </w:rPr>
        <w:t>, al cual fue vinculada la menor</w:t>
      </w:r>
      <w:r w:rsidR="00CD4B0F" w:rsidRPr="006B1A59">
        <w:rPr>
          <w:rFonts w:ascii="Tahoma" w:hAnsi="Tahoma" w:cs="Tahoma"/>
          <w:b/>
        </w:rPr>
        <w:t xml:space="preserve"> </w:t>
      </w:r>
      <w:r w:rsidR="006B1A59" w:rsidRPr="006B1A59">
        <w:rPr>
          <w:rFonts w:ascii="Tahoma" w:hAnsi="Tahoma" w:cs="Tahoma"/>
          <w:b/>
        </w:rPr>
        <w:t>Sofia Hincapié Zapata</w:t>
      </w:r>
      <w:r w:rsidR="00CD4B0F" w:rsidRPr="006B1A59">
        <w:rPr>
          <w:rFonts w:ascii="Tahoma" w:hAnsi="Tahoma" w:cs="Tahoma"/>
        </w:rPr>
        <w:t>.</w:t>
      </w:r>
    </w:p>
    <w:p w14:paraId="7F0F4CE9" w14:textId="4AB6E63D" w:rsidR="00FA6ADF" w:rsidRPr="006B1A59" w:rsidRDefault="00FA6ADF" w:rsidP="006B1A59">
      <w:pPr>
        <w:pStyle w:val="NormalWeb"/>
        <w:spacing w:before="0" w:beforeAutospacing="0" w:after="0" w:afterAutospacing="0" w:line="276" w:lineRule="auto"/>
        <w:ind w:right="49" w:firstLine="851"/>
        <w:contextualSpacing/>
        <w:jc w:val="both"/>
        <w:rPr>
          <w:rFonts w:ascii="Tahoma" w:hAnsi="Tahoma" w:cs="Tahoma"/>
          <w:color w:val="000000"/>
        </w:rPr>
      </w:pPr>
    </w:p>
    <w:p w14:paraId="65AB90CB" w14:textId="77777777" w:rsidR="000A741E" w:rsidRPr="006B1A59" w:rsidRDefault="000A741E" w:rsidP="006B1A59">
      <w:pPr>
        <w:pStyle w:val="NormalWeb"/>
        <w:spacing w:before="0" w:beforeAutospacing="0" w:after="0" w:afterAutospacing="0" w:line="276" w:lineRule="auto"/>
        <w:ind w:right="49" w:firstLine="851"/>
        <w:contextualSpacing/>
        <w:jc w:val="both"/>
        <w:rPr>
          <w:rFonts w:ascii="Tahoma" w:hAnsi="Tahoma" w:cs="Tahoma"/>
          <w:color w:val="000000"/>
        </w:rPr>
      </w:pPr>
    </w:p>
    <w:p w14:paraId="09068E7E" w14:textId="77777777" w:rsidR="00FA6ADF" w:rsidRPr="006B1A59" w:rsidRDefault="00FA6ADF" w:rsidP="006B1A59">
      <w:pPr>
        <w:pStyle w:val="NormalWeb"/>
        <w:spacing w:before="0" w:beforeAutospacing="0" w:after="0" w:afterAutospacing="0" w:line="276" w:lineRule="auto"/>
        <w:jc w:val="center"/>
        <w:rPr>
          <w:rFonts w:ascii="Tahoma" w:hAnsi="Tahoma" w:cs="Tahoma"/>
        </w:rPr>
      </w:pPr>
      <w:r w:rsidRPr="006B1A59">
        <w:rPr>
          <w:rFonts w:ascii="Tahoma" w:hAnsi="Tahoma" w:cs="Tahoma"/>
          <w:b/>
          <w:bCs/>
          <w:color w:val="000000"/>
        </w:rPr>
        <w:t>PUNTO A TRATAR</w:t>
      </w:r>
    </w:p>
    <w:p w14:paraId="5B953763" w14:textId="77777777" w:rsidR="00FA6ADF" w:rsidRPr="006B1A59" w:rsidRDefault="00FA6ADF" w:rsidP="006B1A59">
      <w:pPr>
        <w:spacing w:line="276" w:lineRule="auto"/>
        <w:ind w:firstLine="851"/>
        <w:rPr>
          <w:rFonts w:ascii="Tahoma" w:eastAsia="Times New Roman" w:hAnsi="Tahoma" w:cs="Tahoma"/>
          <w:color w:val="000000"/>
          <w:sz w:val="24"/>
          <w:szCs w:val="24"/>
          <w:lang w:val="es-CO"/>
        </w:rPr>
      </w:pPr>
    </w:p>
    <w:p w14:paraId="067AB2FA" w14:textId="01DEA566" w:rsidR="00FA6ADF" w:rsidRPr="006B1A59" w:rsidRDefault="00FA6ADF" w:rsidP="006B1A59">
      <w:pPr>
        <w:spacing w:line="276" w:lineRule="auto"/>
        <w:rPr>
          <w:rFonts w:ascii="Tahoma" w:eastAsia="Times New Roman" w:hAnsi="Tahoma" w:cs="Tahoma"/>
          <w:color w:val="000000" w:themeColor="text1"/>
          <w:sz w:val="24"/>
          <w:szCs w:val="24"/>
          <w:lang w:val="es-CO"/>
        </w:rPr>
      </w:pPr>
      <w:r w:rsidRPr="006B1A59">
        <w:rPr>
          <w:rFonts w:ascii="Tahoma" w:eastAsia="Times New Roman" w:hAnsi="Tahoma" w:cs="Tahoma"/>
          <w:color w:val="000000" w:themeColor="text1"/>
          <w:sz w:val="24"/>
          <w:szCs w:val="24"/>
          <w:lang w:val="es-CO"/>
        </w:rPr>
        <w:t xml:space="preserve">Por medio de esta providencia procede la Sala a resolver el recurso de apelación interpuesto por la </w:t>
      </w:r>
      <w:r w:rsidR="000C1608" w:rsidRPr="006B1A59">
        <w:rPr>
          <w:rFonts w:ascii="Tahoma" w:eastAsia="Times New Roman" w:hAnsi="Tahoma" w:cs="Tahoma"/>
          <w:color w:val="000000" w:themeColor="text1"/>
          <w:sz w:val="24"/>
          <w:szCs w:val="24"/>
          <w:lang w:val="es-CO"/>
        </w:rPr>
        <w:t>entidad demandada</w:t>
      </w:r>
      <w:r w:rsidRPr="006B1A59">
        <w:rPr>
          <w:rFonts w:ascii="Tahoma" w:eastAsia="Times New Roman" w:hAnsi="Tahoma" w:cs="Tahoma"/>
          <w:color w:val="000000" w:themeColor="text1"/>
          <w:sz w:val="24"/>
          <w:szCs w:val="24"/>
          <w:lang w:val="es-CO"/>
        </w:rPr>
        <w:t xml:space="preserve"> en contra de la sentencia proferida el </w:t>
      </w:r>
      <w:r w:rsidR="00DF637B" w:rsidRPr="006B1A59">
        <w:rPr>
          <w:rFonts w:ascii="Tahoma" w:eastAsia="Times New Roman" w:hAnsi="Tahoma" w:cs="Tahoma"/>
          <w:color w:val="000000" w:themeColor="text1"/>
          <w:sz w:val="24"/>
          <w:szCs w:val="24"/>
          <w:lang w:val="es-CO"/>
        </w:rPr>
        <w:t>05 de agosto de 2022</w:t>
      </w:r>
      <w:r w:rsidR="00C74747" w:rsidRPr="006B1A59">
        <w:rPr>
          <w:rFonts w:ascii="Tahoma" w:eastAsia="Times New Roman" w:hAnsi="Tahoma" w:cs="Tahoma"/>
          <w:color w:val="000000" w:themeColor="text1"/>
          <w:sz w:val="24"/>
          <w:szCs w:val="24"/>
          <w:lang w:val="es-CO"/>
        </w:rPr>
        <w:t xml:space="preserve"> por el Juzgado Primero Laboral del Circuito</w:t>
      </w:r>
      <w:r w:rsidR="000C1608" w:rsidRPr="006B1A59">
        <w:rPr>
          <w:rFonts w:ascii="Tahoma" w:eastAsia="Times New Roman" w:hAnsi="Tahoma" w:cs="Tahoma"/>
          <w:color w:val="000000" w:themeColor="text1"/>
          <w:sz w:val="24"/>
          <w:szCs w:val="24"/>
          <w:lang w:val="es-CO"/>
        </w:rPr>
        <w:t xml:space="preserve">, y </w:t>
      </w:r>
      <w:r w:rsidR="00C74747" w:rsidRPr="006B1A59">
        <w:rPr>
          <w:rFonts w:ascii="Tahoma" w:eastAsia="Times New Roman" w:hAnsi="Tahoma" w:cs="Tahoma"/>
          <w:color w:val="000000" w:themeColor="text1"/>
          <w:sz w:val="24"/>
          <w:szCs w:val="24"/>
          <w:lang w:val="es-CO"/>
        </w:rPr>
        <w:t xml:space="preserve">admitida en esta instancia mediante auto del </w:t>
      </w:r>
      <w:r w:rsidR="00EF6F62" w:rsidRPr="006B1A59">
        <w:rPr>
          <w:rFonts w:ascii="Tahoma" w:eastAsia="Times New Roman" w:hAnsi="Tahoma" w:cs="Tahoma"/>
          <w:color w:val="000000" w:themeColor="text1"/>
          <w:sz w:val="24"/>
          <w:szCs w:val="24"/>
          <w:lang w:val="es-CO"/>
        </w:rPr>
        <w:t>31 de octubre</w:t>
      </w:r>
      <w:r w:rsidR="00C74747" w:rsidRPr="006B1A59">
        <w:rPr>
          <w:rFonts w:ascii="Tahoma" w:eastAsia="Times New Roman" w:hAnsi="Tahoma" w:cs="Tahoma"/>
          <w:color w:val="000000" w:themeColor="text1"/>
          <w:sz w:val="24"/>
          <w:szCs w:val="24"/>
          <w:lang w:val="es-CO"/>
        </w:rPr>
        <w:t xml:space="preserve"> de 2022</w:t>
      </w:r>
      <w:r w:rsidR="00235D63" w:rsidRPr="006B1A59">
        <w:rPr>
          <w:rFonts w:ascii="Tahoma" w:hAnsi="Tahoma" w:cs="Tahoma"/>
          <w:sz w:val="24"/>
          <w:szCs w:val="24"/>
        </w:rPr>
        <w:t xml:space="preserve">. </w:t>
      </w:r>
      <w:r w:rsidRPr="006B1A59">
        <w:rPr>
          <w:rFonts w:ascii="Tahoma" w:eastAsia="Times New Roman" w:hAnsi="Tahoma" w:cs="Tahoma"/>
          <w:color w:val="000000" w:themeColor="text1"/>
          <w:sz w:val="24"/>
          <w:szCs w:val="24"/>
          <w:lang w:val="es-CO"/>
        </w:rPr>
        <w:t>Para ello se tiene en cuenta lo siguiente: </w:t>
      </w:r>
    </w:p>
    <w:p w14:paraId="557BF1E0" w14:textId="77777777" w:rsidR="000A741E" w:rsidRPr="006B1A59" w:rsidRDefault="000A741E" w:rsidP="006B1A59">
      <w:pPr>
        <w:spacing w:line="276" w:lineRule="auto"/>
        <w:rPr>
          <w:rFonts w:ascii="Tahoma" w:eastAsia="Times New Roman" w:hAnsi="Tahoma" w:cs="Tahoma"/>
          <w:color w:val="000000"/>
          <w:sz w:val="24"/>
          <w:szCs w:val="24"/>
          <w:lang w:val="es-CO"/>
        </w:rPr>
      </w:pPr>
    </w:p>
    <w:p w14:paraId="2C30C46A" w14:textId="77777777" w:rsidR="00FA6ADF" w:rsidRPr="006B1A59" w:rsidRDefault="00FA6ADF" w:rsidP="006B1A59">
      <w:pPr>
        <w:spacing w:line="276" w:lineRule="auto"/>
        <w:ind w:firstLine="851"/>
        <w:rPr>
          <w:rFonts w:ascii="Tahoma" w:eastAsia="Times New Roman" w:hAnsi="Tahoma" w:cs="Tahoma"/>
          <w:color w:val="000000"/>
          <w:sz w:val="24"/>
          <w:szCs w:val="24"/>
          <w:lang w:val="es-CO"/>
        </w:rPr>
      </w:pPr>
    </w:p>
    <w:p w14:paraId="65EBD4B2" w14:textId="106A7B63" w:rsidR="00FA6ADF" w:rsidRPr="006B1A59" w:rsidRDefault="00FA6ADF" w:rsidP="006B1A59">
      <w:pPr>
        <w:numPr>
          <w:ilvl w:val="0"/>
          <w:numId w:val="13"/>
        </w:numPr>
        <w:tabs>
          <w:tab w:val="clear" w:pos="720"/>
        </w:tabs>
        <w:spacing w:line="276" w:lineRule="auto"/>
        <w:ind w:left="0" w:firstLine="0"/>
        <w:jc w:val="center"/>
        <w:textAlignment w:val="baseline"/>
        <w:rPr>
          <w:rFonts w:ascii="Tahoma" w:eastAsia="Times New Roman" w:hAnsi="Tahoma" w:cs="Tahoma"/>
          <w:b/>
          <w:bCs/>
          <w:color w:val="000000"/>
          <w:sz w:val="24"/>
          <w:szCs w:val="24"/>
          <w:lang w:val="es-CO"/>
        </w:rPr>
      </w:pPr>
      <w:r w:rsidRPr="006B1A59">
        <w:rPr>
          <w:rFonts w:ascii="Tahoma" w:eastAsia="Times New Roman" w:hAnsi="Tahoma" w:cs="Tahoma"/>
          <w:b/>
          <w:bCs/>
          <w:color w:val="000000"/>
          <w:sz w:val="24"/>
          <w:szCs w:val="24"/>
          <w:lang w:val="es-CO"/>
        </w:rPr>
        <w:t xml:space="preserve">La demanda y </w:t>
      </w:r>
      <w:r w:rsidR="00F956D6" w:rsidRPr="006B1A59">
        <w:rPr>
          <w:rFonts w:ascii="Tahoma" w:eastAsia="Times New Roman" w:hAnsi="Tahoma" w:cs="Tahoma"/>
          <w:b/>
          <w:bCs/>
          <w:color w:val="000000"/>
          <w:sz w:val="24"/>
          <w:szCs w:val="24"/>
          <w:lang w:val="es-CO"/>
        </w:rPr>
        <w:t>la</w:t>
      </w:r>
      <w:r w:rsidRPr="006B1A59">
        <w:rPr>
          <w:rFonts w:ascii="Tahoma" w:eastAsia="Times New Roman" w:hAnsi="Tahoma" w:cs="Tahoma"/>
          <w:b/>
          <w:bCs/>
          <w:color w:val="000000"/>
          <w:sz w:val="24"/>
          <w:szCs w:val="24"/>
          <w:lang w:val="es-CO"/>
        </w:rPr>
        <w:t xml:space="preserve"> contestación</w:t>
      </w:r>
      <w:r w:rsidR="00F956D6" w:rsidRPr="006B1A59">
        <w:rPr>
          <w:rFonts w:ascii="Tahoma" w:eastAsia="Times New Roman" w:hAnsi="Tahoma" w:cs="Tahoma"/>
          <w:b/>
          <w:bCs/>
          <w:color w:val="000000"/>
          <w:sz w:val="24"/>
          <w:szCs w:val="24"/>
          <w:lang w:val="es-CO"/>
        </w:rPr>
        <w:t xml:space="preserve"> de la demanda</w:t>
      </w:r>
    </w:p>
    <w:p w14:paraId="00CFD1B3" w14:textId="72620F12" w:rsidR="00FA6ADF" w:rsidRPr="006B1A59" w:rsidRDefault="00FA6ADF" w:rsidP="006B1A59">
      <w:pPr>
        <w:spacing w:line="276" w:lineRule="auto"/>
        <w:ind w:left="714" w:hanging="357"/>
        <w:jc w:val="center"/>
        <w:rPr>
          <w:rFonts w:ascii="Tahoma" w:hAnsi="Tahoma" w:cs="Tahoma"/>
          <w:sz w:val="24"/>
          <w:szCs w:val="24"/>
        </w:rPr>
      </w:pPr>
    </w:p>
    <w:p w14:paraId="3A9CF206" w14:textId="27B3F694" w:rsidR="00775AC5" w:rsidRPr="006B1A59" w:rsidRDefault="007806A2" w:rsidP="006B1A59">
      <w:pPr>
        <w:spacing w:line="276" w:lineRule="auto"/>
        <w:ind w:firstLine="708"/>
        <w:rPr>
          <w:rFonts w:ascii="Tahoma" w:hAnsi="Tahoma" w:cs="Tahoma"/>
          <w:sz w:val="24"/>
          <w:szCs w:val="24"/>
        </w:rPr>
      </w:pPr>
      <w:r w:rsidRPr="006B1A59">
        <w:rPr>
          <w:rFonts w:ascii="Tahoma" w:hAnsi="Tahoma" w:cs="Tahoma"/>
          <w:sz w:val="24"/>
          <w:szCs w:val="24"/>
        </w:rPr>
        <w:t xml:space="preserve">La señora </w:t>
      </w:r>
      <w:r w:rsidR="00966096" w:rsidRPr="006B1A59">
        <w:rPr>
          <w:rFonts w:ascii="Tahoma" w:hAnsi="Tahoma" w:cs="Tahoma"/>
          <w:sz w:val="24"/>
          <w:szCs w:val="24"/>
        </w:rPr>
        <w:t xml:space="preserve">Luz </w:t>
      </w:r>
      <w:r w:rsidR="00AC4C6A" w:rsidRPr="006B1A59">
        <w:rPr>
          <w:rFonts w:ascii="Tahoma" w:hAnsi="Tahoma" w:cs="Tahoma"/>
          <w:sz w:val="24"/>
          <w:szCs w:val="24"/>
        </w:rPr>
        <w:t xml:space="preserve">ARBEY ZAPATA TAPAZCO </w:t>
      </w:r>
      <w:r w:rsidR="00775AC5" w:rsidRPr="006B1A59">
        <w:rPr>
          <w:rFonts w:ascii="Tahoma" w:hAnsi="Tahoma" w:cs="Tahoma"/>
          <w:sz w:val="24"/>
          <w:szCs w:val="24"/>
        </w:rPr>
        <w:t xml:space="preserve">pretende que se declare que tiene derecho a que </w:t>
      </w:r>
      <w:r w:rsidR="00966096" w:rsidRPr="006B1A59">
        <w:rPr>
          <w:rFonts w:ascii="Tahoma" w:hAnsi="Tahoma" w:cs="Tahoma"/>
          <w:sz w:val="24"/>
          <w:szCs w:val="24"/>
        </w:rPr>
        <w:t xml:space="preserve">PORVENIR S.A. </w:t>
      </w:r>
      <w:r w:rsidR="00775AC5" w:rsidRPr="006B1A59">
        <w:rPr>
          <w:rFonts w:ascii="Tahoma" w:hAnsi="Tahoma" w:cs="Tahoma"/>
          <w:sz w:val="24"/>
          <w:szCs w:val="24"/>
        </w:rPr>
        <w:t xml:space="preserve">le reconozca </w:t>
      </w:r>
      <w:r w:rsidR="00966096" w:rsidRPr="006B1A59">
        <w:rPr>
          <w:rFonts w:ascii="Tahoma" w:hAnsi="Tahoma" w:cs="Tahoma"/>
          <w:sz w:val="24"/>
          <w:szCs w:val="24"/>
        </w:rPr>
        <w:t xml:space="preserve">el 50% de la </w:t>
      </w:r>
      <w:r w:rsidR="00775AC5" w:rsidRPr="006B1A59">
        <w:rPr>
          <w:rFonts w:ascii="Tahoma" w:hAnsi="Tahoma" w:cs="Tahoma"/>
          <w:sz w:val="24"/>
          <w:szCs w:val="24"/>
        </w:rPr>
        <w:t>pensión de sobrevivientes</w:t>
      </w:r>
      <w:r w:rsidR="00966096" w:rsidRPr="006B1A59">
        <w:rPr>
          <w:rFonts w:ascii="Tahoma" w:hAnsi="Tahoma" w:cs="Tahoma"/>
          <w:sz w:val="24"/>
          <w:szCs w:val="24"/>
        </w:rPr>
        <w:t xml:space="preserve"> causada</w:t>
      </w:r>
      <w:r w:rsidR="00775AC5" w:rsidRPr="006B1A59">
        <w:rPr>
          <w:rFonts w:ascii="Tahoma" w:hAnsi="Tahoma" w:cs="Tahoma"/>
          <w:sz w:val="24"/>
          <w:szCs w:val="24"/>
        </w:rPr>
        <w:t xml:space="preserve"> por el fallecimiento de su cónyuge, </w:t>
      </w:r>
      <w:r w:rsidR="00AC4C6A" w:rsidRPr="006B1A59">
        <w:rPr>
          <w:rFonts w:ascii="Tahoma" w:hAnsi="Tahoma" w:cs="Tahoma"/>
          <w:sz w:val="24"/>
          <w:szCs w:val="24"/>
        </w:rPr>
        <w:t>JOSÉ MARIO HINCAPIÉ GARCÍA</w:t>
      </w:r>
      <w:r w:rsidR="00775AC5" w:rsidRPr="006B1A59">
        <w:rPr>
          <w:rFonts w:ascii="Tahoma" w:hAnsi="Tahoma" w:cs="Tahoma"/>
          <w:sz w:val="24"/>
          <w:szCs w:val="24"/>
        </w:rPr>
        <w:t xml:space="preserve">, desde el </w:t>
      </w:r>
      <w:r w:rsidR="00966096" w:rsidRPr="006B1A59">
        <w:rPr>
          <w:rFonts w:ascii="Tahoma" w:hAnsi="Tahoma" w:cs="Tahoma"/>
          <w:sz w:val="24"/>
          <w:szCs w:val="24"/>
        </w:rPr>
        <w:t>01 de agosto de</w:t>
      </w:r>
      <w:r w:rsidR="00775AC5" w:rsidRPr="006B1A59">
        <w:rPr>
          <w:rFonts w:ascii="Tahoma" w:hAnsi="Tahoma" w:cs="Tahoma"/>
          <w:sz w:val="24"/>
          <w:szCs w:val="24"/>
        </w:rPr>
        <w:t xml:space="preserve"> 2018, lo mismo que al pago de las costas procesales. </w:t>
      </w:r>
    </w:p>
    <w:p w14:paraId="4B371CAB" w14:textId="77777777" w:rsidR="00775AC5" w:rsidRPr="006B1A59" w:rsidRDefault="00775AC5" w:rsidP="006B1A59">
      <w:pPr>
        <w:spacing w:line="276" w:lineRule="auto"/>
        <w:ind w:firstLine="0"/>
        <w:rPr>
          <w:rFonts w:ascii="Tahoma" w:hAnsi="Tahoma" w:cs="Tahoma"/>
          <w:sz w:val="24"/>
          <w:szCs w:val="24"/>
        </w:rPr>
      </w:pPr>
    </w:p>
    <w:p w14:paraId="36E92525" w14:textId="666CCA22" w:rsidR="00FA6ADF" w:rsidRPr="006B1A59" w:rsidRDefault="00775AC5" w:rsidP="006B1A59">
      <w:pPr>
        <w:spacing w:line="276" w:lineRule="auto"/>
        <w:ind w:firstLine="708"/>
        <w:rPr>
          <w:rFonts w:ascii="Tahoma" w:hAnsi="Tahoma" w:cs="Tahoma"/>
          <w:sz w:val="24"/>
          <w:szCs w:val="24"/>
        </w:rPr>
      </w:pPr>
      <w:r w:rsidRPr="006B1A59">
        <w:rPr>
          <w:rFonts w:ascii="Tahoma" w:hAnsi="Tahoma" w:cs="Tahoma"/>
          <w:sz w:val="24"/>
          <w:szCs w:val="24"/>
        </w:rPr>
        <w:t xml:space="preserve">Para el efecto </w:t>
      </w:r>
      <w:r w:rsidR="00C74747" w:rsidRPr="006B1A59">
        <w:rPr>
          <w:rFonts w:ascii="Tahoma" w:hAnsi="Tahoma" w:cs="Tahoma"/>
          <w:sz w:val="24"/>
          <w:szCs w:val="24"/>
        </w:rPr>
        <w:t>afirma que el</w:t>
      </w:r>
      <w:r w:rsidR="00AC4C6A" w:rsidRPr="006B1A59">
        <w:rPr>
          <w:rFonts w:ascii="Tahoma" w:hAnsi="Tahoma" w:cs="Tahoma"/>
          <w:sz w:val="24"/>
          <w:szCs w:val="24"/>
        </w:rPr>
        <w:t xml:space="preserve"> 19 de noviembre de 2005 </w:t>
      </w:r>
      <w:r w:rsidR="00C74747" w:rsidRPr="006B1A59">
        <w:rPr>
          <w:rFonts w:ascii="Tahoma" w:hAnsi="Tahoma" w:cs="Tahoma"/>
          <w:sz w:val="24"/>
          <w:szCs w:val="24"/>
        </w:rPr>
        <w:t xml:space="preserve">contrajo matrimonio bajo el rito católico con </w:t>
      </w:r>
      <w:r w:rsidR="00AC4C6A" w:rsidRPr="006B1A59">
        <w:rPr>
          <w:rFonts w:ascii="Tahoma" w:hAnsi="Tahoma" w:cs="Tahoma"/>
          <w:sz w:val="24"/>
          <w:szCs w:val="24"/>
        </w:rPr>
        <w:t>el señor JOSÉ MARIO HINCAPIÉ GARCÍA</w:t>
      </w:r>
      <w:r w:rsidR="00C74747" w:rsidRPr="006B1A59">
        <w:rPr>
          <w:rFonts w:ascii="Tahoma" w:hAnsi="Tahoma" w:cs="Tahoma"/>
          <w:sz w:val="24"/>
          <w:szCs w:val="24"/>
        </w:rPr>
        <w:t xml:space="preserve">, quien falleció el </w:t>
      </w:r>
      <w:r w:rsidR="00AC4C6A" w:rsidRPr="006B1A59">
        <w:rPr>
          <w:rFonts w:ascii="Tahoma" w:hAnsi="Tahoma" w:cs="Tahoma"/>
          <w:sz w:val="24"/>
          <w:szCs w:val="24"/>
        </w:rPr>
        <w:t>01 de agosto de 2018, ostentando para este momento la calidad de afiliado a PORVENIR S.A</w:t>
      </w:r>
      <w:r w:rsidRPr="006B1A59">
        <w:rPr>
          <w:rFonts w:ascii="Tahoma" w:hAnsi="Tahoma" w:cs="Tahoma"/>
          <w:sz w:val="24"/>
          <w:szCs w:val="24"/>
        </w:rPr>
        <w:t xml:space="preserve">; </w:t>
      </w:r>
      <w:r w:rsidR="00C74747" w:rsidRPr="006B1A59">
        <w:rPr>
          <w:rFonts w:ascii="Tahoma" w:hAnsi="Tahoma" w:cs="Tahoma"/>
          <w:sz w:val="24"/>
          <w:szCs w:val="24"/>
        </w:rPr>
        <w:t xml:space="preserve">que </w:t>
      </w:r>
      <w:r w:rsidR="00AC4C6A" w:rsidRPr="006B1A59">
        <w:rPr>
          <w:rFonts w:ascii="Tahoma" w:hAnsi="Tahoma" w:cs="Tahoma"/>
          <w:sz w:val="24"/>
          <w:szCs w:val="24"/>
        </w:rPr>
        <w:t xml:space="preserve">con su cónyuge convivió por más de 15 años y </w:t>
      </w:r>
      <w:r w:rsidR="00580BD9" w:rsidRPr="006B1A59">
        <w:rPr>
          <w:rFonts w:ascii="Tahoma" w:hAnsi="Tahoma" w:cs="Tahoma"/>
          <w:sz w:val="24"/>
          <w:szCs w:val="24"/>
        </w:rPr>
        <w:t xml:space="preserve">procreó una hija llamada </w:t>
      </w:r>
      <w:r w:rsidR="00AC4C6A" w:rsidRPr="006B1A59">
        <w:rPr>
          <w:rFonts w:ascii="Tahoma" w:hAnsi="Tahoma" w:cs="Tahoma"/>
          <w:sz w:val="24"/>
          <w:szCs w:val="24"/>
        </w:rPr>
        <w:t>SOFÍA HINCAPIÉ ZAPATA</w:t>
      </w:r>
      <w:r w:rsidR="00580BD9" w:rsidRPr="006B1A59">
        <w:rPr>
          <w:rFonts w:ascii="Tahoma" w:hAnsi="Tahoma" w:cs="Tahoma"/>
          <w:sz w:val="24"/>
          <w:szCs w:val="24"/>
        </w:rPr>
        <w:t xml:space="preserve">, quien </w:t>
      </w:r>
      <w:r w:rsidR="00AC4C6A" w:rsidRPr="006B1A59">
        <w:rPr>
          <w:rFonts w:ascii="Tahoma" w:hAnsi="Tahoma" w:cs="Tahoma"/>
          <w:sz w:val="24"/>
          <w:szCs w:val="24"/>
        </w:rPr>
        <w:t>nació el 22 de febrero de 2012.</w:t>
      </w:r>
    </w:p>
    <w:p w14:paraId="3A122B82" w14:textId="47F97AAA" w:rsidR="00580BD9" w:rsidRPr="006B1A59" w:rsidRDefault="00580BD9" w:rsidP="006B1A59">
      <w:pPr>
        <w:spacing w:line="276" w:lineRule="auto"/>
        <w:ind w:firstLine="708"/>
        <w:rPr>
          <w:rFonts w:ascii="Tahoma" w:hAnsi="Tahoma" w:cs="Tahoma"/>
          <w:sz w:val="24"/>
          <w:szCs w:val="24"/>
        </w:rPr>
      </w:pPr>
    </w:p>
    <w:p w14:paraId="3629D262" w14:textId="76937442" w:rsidR="00580BD9" w:rsidRPr="006B1A59" w:rsidRDefault="00580BD9" w:rsidP="006B1A59">
      <w:pPr>
        <w:spacing w:line="276" w:lineRule="auto"/>
        <w:ind w:firstLine="708"/>
        <w:rPr>
          <w:rFonts w:ascii="Tahoma" w:hAnsi="Tahoma" w:cs="Tahoma"/>
          <w:sz w:val="24"/>
          <w:szCs w:val="24"/>
        </w:rPr>
      </w:pPr>
      <w:r w:rsidRPr="006B1A59">
        <w:rPr>
          <w:rFonts w:ascii="Tahoma" w:hAnsi="Tahoma" w:cs="Tahoma"/>
          <w:sz w:val="24"/>
          <w:szCs w:val="24"/>
        </w:rPr>
        <w:t>Añade que</w:t>
      </w:r>
      <w:r w:rsidR="00AC4C6A" w:rsidRPr="006B1A59">
        <w:rPr>
          <w:rFonts w:ascii="Tahoma" w:hAnsi="Tahoma" w:cs="Tahoma"/>
          <w:sz w:val="24"/>
          <w:szCs w:val="24"/>
        </w:rPr>
        <w:t xml:space="preserve"> el 30 de septiembre de 2018 se presentó ante PORVENIR S.A. solicitando el reconocimiento de la pensión de sobrevivientes para sí misma y su hija, presentando el 02 de noviembre del mismo año la declaración juramentada requerida por la AFP para determinar el tiempo de convivencia</w:t>
      </w:r>
      <w:r w:rsidRPr="006B1A59">
        <w:rPr>
          <w:rFonts w:ascii="Tahoma" w:hAnsi="Tahoma" w:cs="Tahoma"/>
          <w:sz w:val="24"/>
          <w:szCs w:val="24"/>
        </w:rPr>
        <w:t xml:space="preserve">, pese a lo cual </w:t>
      </w:r>
      <w:r w:rsidR="00AC4C6A" w:rsidRPr="006B1A59">
        <w:rPr>
          <w:rFonts w:ascii="Tahoma" w:hAnsi="Tahoma" w:cs="Tahoma"/>
          <w:sz w:val="24"/>
          <w:szCs w:val="24"/>
        </w:rPr>
        <w:t>el fondo privado, el 09 de noviembre de 2018 negó la pensión de sobrevivientes en favor de la cónyuge y el 04 de enero de 2019 le reconoció la gracia pensional a la hija.</w:t>
      </w:r>
    </w:p>
    <w:p w14:paraId="11DFF620" w14:textId="57F1DDB3" w:rsidR="00AC4C6A" w:rsidRPr="006B1A59" w:rsidRDefault="00AC4C6A" w:rsidP="006B1A59">
      <w:pPr>
        <w:spacing w:line="276" w:lineRule="auto"/>
        <w:ind w:firstLine="708"/>
        <w:rPr>
          <w:rFonts w:ascii="Tahoma" w:hAnsi="Tahoma" w:cs="Tahoma"/>
          <w:sz w:val="24"/>
          <w:szCs w:val="24"/>
        </w:rPr>
      </w:pPr>
    </w:p>
    <w:p w14:paraId="74D2FF14" w14:textId="20FEE86C" w:rsidR="00AC4C6A" w:rsidRPr="006B1A59" w:rsidRDefault="00AC4C6A" w:rsidP="006B1A59">
      <w:pPr>
        <w:spacing w:line="276" w:lineRule="auto"/>
        <w:ind w:firstLine="708"/>
        <w:rPr>
          <w:rFonts w:ascii="Tahoma" w:hAnsi="Tahoma" w:cs="Tahoma"/>
          <w:sz w:val="24"/>
          <w:szCs w:val="24"/>
        </w:rPr>
      </w:pPr>
      <w:r w:rsidRPr="006B1A59">
        <w:rPr>
          <w:rFonts w:ascii="Tahoma" w:hAnsi="Tahoma" w:cs="Tahoma"/>
          <w:sz w:val="24"/>
          <w:szCs w:val="24"/>
        </w:rPr>
        <w:t xml:space="preserve">Finalmente indica que el 12 de febrero de 2017, por problemas económicos y familiares, con su esposo decidieron vivir separados, no obstante, el causante continuó cumpliendo con sus deberes como cónyuge y padre hasta su deceso, sin que se le conociera pareja alguna. </w:t>
      </w:r>
    </w:p>
    <w:p w14:paraId="168082D6" w14:textId="5B280FB3" w:rsidR="00775AC5" w:rsidRPr="006B1A59" w:rsidRDefault="00775AC5" w:rsidP="006B1A59">
      <w:pPr>
        <w:spacing w:line="276" w:lineRule="auto"/>
        <w:ind w:firstLine="708"/>
        <w:rPr>
          <w:rFonts w:ascii="Tahoma" w:hAnsi="Tahoma" w:cs="Tahoma"/>
          <w:sz w:val="24"/>
          <w:szCs w:val="24"/>
        </w:rPr>
      </w:pPr>
    </w:p>
    <w:p w14:paraId="2AEF3C91" w14:textId="4EEB8951" w:rsidR="00775AC5" w:rsidRPr="006B1A59" w:rsidRDefault="006B69CB" w:rsidP="006B1A59">
      <w:pPr>
        <w:spacing w:line="276" w:lineRule="auto"/>
        <w:ind w:firstLine="708"/>
        <w:rPr>
          <w:rFonts w:ascii="Tahoma" w:hAnsi="Tahoma" w:cs="Tahoma"/>
          <w:sz w:val="24"/>
          <w:szCs w:val="24"/>
        </w:rPr>
      </w:pPr>
      <w:r w:rsidRPr="006B1A59">
        <w:rPr>
          <w:rFonts w:ascii="Tahoma" w:hAnsi="Tahoma" w:cs="Tahoma"/>
          <w:sz w:val="24"/>
          <w:szCs w:val="24"/>
        </w:rPr>
        <w:t>Al dar contestación a la demanda</w:t>
      </w:r>
      <w:r w:rsidR="00775AC5" w:rsidRPr="006B1A59">
        <w:rPr>
          <w:rFonts w:ascii="Tahoma" w:hAnsi="Tahoma" w:cs="Tahoma"/>
          <w:sz w:val="24"/>
          <w:szCs w:val="24"/>
        </w:rPr>
        <w:t xml:space="preserve">, </w:t>
      </w:r>
      <w:r w:rsidRPr="006B1A59">
        <w:rPr>
          <w:rFonts w:ascii="Tahoma" w:hAnsi="Tahoma" w:cs="Tahoma"/>
          <w:sz w:val="24"/>
          <w:szCs w:val="24"/>
        </w:rPr>
        <w:t xml:space="preserve">PORVENIR SA.A. </w:t>
      </w:r>
      <w:r w:rsidR="00D07084" w:rsidRPr="006B1A59">
        <w:rPr>
          <w:rFonts w:ascii="Tahoma" w:hAnsi="Tahoma" w:cs="Tahoma"/>
          <w:sz w:val="24"/>
          <w:szCs w:val="24"/>
        </w:rPr>
        <w:t xml:space="preserve">se opone a las pretensiones </w:t>
      </w:r>
      <w:r w:rsidRPr="006B1A59">
        <w:rPr>
          <w:rFonts w:ascii="Tahoma" w:hAnsi="Tahoma" w:cs="Tahoma"/>
          <w:sz w:val="24"/>
          <w:szCs w:val="24"/>
        </w:rPr>
        <w:t>de la gestora de la litis</w:t>
      </w:r>
      <w:r w:rsidR="00D07084" w:rsidRPr="006B1A59">
        <w:rPr>
          <w:rFonts w:ascii="Tahoma" w:hAnsi="Tahoma" w:cs="Tahoma"/>
          <w:sz w:val="24"/>
          <w:szCs w:val="24"/>
        </w:rPr>
        <w:t>, al considerar que l</w:t>
      </w:r>
      <w:r w:rsidRPr="006B1A59">
        <w:rPr>
          <w:rFonts w:ascii="Tahoma" w:hAnsi="Tahoma" w:cs="Tahoma"/>
          <w:sz w:val="24"/>
          <w:szCs w:val="24"/>
        </w:rPr>
        <w:t>a</w:t>
      </w:r>
      <w:r w:rsidR="00D07084" w:rsidRPr="006B1A59">
        <w:rPr>
          <w:rFonts w:ascii="Tahoma" w:hAnsi="Tahoma" w:cs="Tahoma"/>
          <w:sz w:val="24"/>
          <w:szCs w:val="24"/>
        </w:rPr>
        <w:t xml:space="preserve"> demandante no reúne los requisitos para hacerse beneficiari</w:t>
      </w:r>
      <w:r w:rsidR="000A741E" w:rsidRPr="006B1A59">
        <w:rPr>
          <w:rFonts w:ascii="Tahoma" w:hAnsi="Tahoma" w:cs="Tahoma"/>
          <w:sz w:val="24"/>
          <w:szCs w:val="24"/>
        </w:rPr>
        <w:t>a</w:t>
      </w:r>
      <w:r w:rsidR="00D07084" w:rsidRPr="006B1A59">
        <w:rPr>
          <w:rFonts w:ascii="Tahoma" w:hAnsi="Tahoma" w:cs="Tahoma"/>
          <w:sz w:val="24"/>
          <w:szCs w:val="24"/>
        </w:rPr>
        <w:t xml:space="preserve"> de la pensión de sobrevivientes que </w:t>
      </w:r>
      <w:r w:rsidR="00A708F3" w:rsidRPr="006B1A59">
        <w:rPr>
          <w:rFonts w:ascii="Tahoma" w:hAnsi="Tahoma" w:cs="Tahoma"/>
          <w:sz w:val="24"/>
          <w:szCs w:val="24"/>
        </w:rPr>
        <w:t>reclama, razón por la cual el 100% de la prestación le fue reconocida a su hija</w:t>
      </w:r>
      <w:r w:rsidR="00D07084" w:rsidRPr="006B1A59">
        <w:rPr>
          <w:rFonts w:ascii="Tahoma" w:hAnsi="Tahoma" w:cs="Tahoma"/>
          <w:sz w:val="24"/>
          <w:szCs w:val="24"/>
        </w:rPr>
        <w:t xml:space="preserve">. En su defensa propuso como excepciones las denominadas </w:t>
      </w:r>
      <w:r w:rsidR="00A708F3" w:rsidRPr="006B1A59">
        <w:rPr>
          <w:rFonts w:ascii="Tahoma" w:hAnsi="Tahoma" w:cs="Tahoma"/>
          <w:sz w:val="24"/>
          <w:szCs w:val="24"/>
        </w:rPr>
        <w:t xml:space="preserve">“genérica”, “prescripción”, “compensación”, “exoneración de condena en costas y de intereses de mora”, “buena fe”, “falta de causa para pedir”, “inexistencia de las obligaciones demandadas”, “falta de legitimación en la causa por pasiva”, “falta de personería sustantiva por pasiva”, </w:t>
      </w:r>
      <w:r w:rsidR="00A708F3" w:rsidRPr="006B1A59">
        <w:rPr>
          <w:rFonts w:ascii="Tahoma" w:hAnsi="Tahoma" w:cs="Tahoma"/>
          <w:sz w:val="24"/>
          <w:szCs w:val="24"/>
        </w:rPr>
        <w:lastRenderedPageBreak/>
        <w:t>“inexistencia de la fuente de la obligación” y “ausencia de cumplimiento de requisitos por parte de la reclamante”.</w:t>
      </w:r>
    </w:p>
    <w:p w14:paraId="134A61A3" w14:textId="27905407" w:rsidR="00A708F3" w:rsidRPr="006B1A59" w:rsidRDefault="00A708F3" w:rsidP="006B1A59">
      <w:pPr>
        <w:spacing w:line="276" w:lineRule="auto"/>
        <w:ind w:firstLine="708"/>
        <w:rPr>
          <w:rFonts w:ascii="Tahoma" w:hAnsi="Tahoma" w:cs="Tahoma"/>
          <w:sz w:val="24"/>
          <w:szCs w:val="24"/>
        </w:rPr>
      </w:pPr>
    </w:p>
    <w:p w14:paraId="66F451A7" w14:textId="0D1A1001" w:rsidR="00A708F3" w:rsidRPr="006B1A59" w:rsidRDefault="00A708F3" w:rsidP="006B1A59">
      <w:pPr>
        <w:spacing w:line="276" w:lineRule="auto"/>
        <w:ind w:firstLine="708"/>
        <w:rPr>
          <w:rFonts w:ascii="Tahoma" w:hAnsi="Tahoma" w:cs="Tahoma"/>
          <w:sz w:val="24"/>
          <w:szCs w:val="24"/>
        </w:rPr>
      </w:pPr>
      <w:r w:rsidRPr="006B1A59">
        <w:rPr>
          <w:rFonts w:ascii="Tahoma" w:hAnsi="Tahoma" w:cs="Tahoma"/>
          <w:sz w:val="24"/>
          <w:szCs w:val="24"/>
        </w:rPr>
        <w:t xml:space="preserve">La Curadora Ad-litem de la menor Sofía Hincapié Zapata guardó silencio. </w:t>
      </w:r>
    </w:p>
    <w:p w14:paraId="066AAAD7" w14:textId="3CFFC350" w:rsidR="0062108D" w:rsidRPr="006B1A59" w:rsidRDefault="0062108D" w:rsidP="006B1A59">
      <w:pPr>
        <w:spacing w:line="276" w:lineRule="auto"/>
        <w:ind w:firstLine="0"/>
        <w:rPr>
          <w:rFonts w:ascii="Tahoma" w:hAnsi="Tahoma" w:cs="Tahoma"/>
          <w:sz w:val="24"/>
          <w:szCs w:val="24"/>
        </w:rPr>
      </w:pPr>
    </w:p>
    <w:p w14:paraId="3AF4BA91" w14:textId="77777777" w:rsidR="000A741E" w:rsidRPr="006B1A59" w:rsidRDefault="000A741E" w:rsidP="006B1A59">
      <w:pPr>
        <w:spacing w:line="276" w:lineRule="auto"/>
        <w:ind w:firstLine="0"/>
        <w:rPr>
          <w:rFonts w:ascii="Tahoma" w:hAnsi="Tahoma" w:cs="Tahoma"/>
          <w:sz w:val="24"/>
          <w:szCs w:val="24"/>
        </w:rPr>
      </w:pPr>
    </w:p>
    <w:p w14:paraId="6E92720B" w14:textId="3A011E2E" w:rsidR="00A31306" w:rsidRPr="006B1A59" w:rsidRDefault="00A31306" w:rsidP="006B1A59">
      <w:pPr>
        <w:pStyle w:val="Prrafodelista"/>
        <w:numPr>
          <w:ilvl w:val="0"/>
          <w:numId w:val="13"/>
        </w:numPr>
        <w:spacing w:line="276" w:lineRule="auto"/>
        <w:jc w:val="center"/>
        <w:rPr>
          <w:rFonts w:ascii="Tahoma" w:hAnsi="Tahoma" w:cs="Tahoma"/>
          <w:b/>
          <w:lang w:val="es-CO"/>
        </w:rPr>
      </w:pPr>
      <w:r w:rsidRPr="006B1A59">
        <w:rPr>
          <w:rFonts w:ascii="Tahoma" w:hAnsi="Tahoma" w:cs="Tahoma"/>
          <w:b/>
          <w:lang w:val="es-CO"/>
        </w:rPr>
        <w:t>Sentencia de primera instancia</w:t>
      </w:r>
    </w:p>
    <w:p w14:paraId="032E0903" w14:textId="77777777" w:rsidR="005F4AA0" w:rsidRPr="006B1A59" w:rsidRDefault="005F4AA0" w:rsidP="006B1A59">
      <w:pPr>
        <w:spacing w:line="276" w:lineRule="auto"/>
        <w:ind w:firstLine="708"/>
        <w:rPr>
          <w:rFonts w:ascii="Tahoma" w:hAnsi="Tahoma" w:cs="Tahoma"/>
          <w:sz w:val="24"/>
          <w:szCs w:val="24"/>
          <w:lang w:val="es-CO"/>
        </w:rPr>
      </w:pPr>
    </w:p>
    <w:p w14:paraId="5B71F9E3" w14:textId="5D4E52F0" w:rsidR="00742F18" w:rsidRPr="006B1A59" w:rsidRDefault="00BF00A0" w:rsidP="006B1A59">
      <w:pPr>
        <w:spacing w:line="276" w:lineRule="auto"/>
        <w:ind w:firstLine="708"/>
        <w:rPr>
          <w:rFonts w:ascii="Tahoma" w:hAnsi="Tahoma" w:cs="Tahoma"/>
          <w:sz w:val="24"/>
          <w:szCs w:val="24"/>
          <w:lang w:val="es-CO"/>
        </w:rPr>
      </w:pPr>
      <w:r w:rsidRPr="006B1A59">
        <w:rPr>
          <w:rFonts w:ascii="Tahoma" w:hAnsi="Tahoma" w:cs="Tahoma"/>
          <w:sz w:val="24"/>
          <w:szCs w:val="24"/>
          <w:lang w:val="es-CO"/>
        </w:rPr>
        <w:t xml:space="preserve">La jueza de primer grado </w:t>
      </w:r>
      <w:r w:rsidR="003E35A6" w:rsidRPr="006B1A59">
        <w:rPr>
          <w:rFonts w:ascii="Tahoma" w:hAnsi="Tahoma" w:cs="Tahoma"/>
          <w:sz w:val="24"/>
          <w:szCs w:val="24"/>
          <w:lang w:val="es-CO"/>
        </w:rPr>
        <w:t>declaró que la señora LUZ ARBENY ZAPATA TAPASCO tiene derecho a la pensión de sobrevivientes originada con ocasión del fallecimiento del señor JOSÉ MARIO HINCAPIÉ GARCÍA, en calidad de cónyuge</w:t>
      </w:r>
      <w:r w:rsidR="007514BD" w:rsidRPr="006B1A59">
        <w:rPr>
          <w:rFonts w:ascii="Tahoma" w:hAnsi="Tahoma" w:cs="Tahoma"/>
          <w:sz w:val="24"/>
          <w:szCs w:val="24"/>
          <w:lang w:val="es-CO"/>
        </w:rPr>
        <w:t xml:space="preserve">, en proporción al 50% de la mesada pensional, sin perjuicio de acrecentar al 100% a partir del momento en que desaparezcan las causas que le dieron origen al reconocimiento de la prestación en favor de la menor SOFIA HINCAPIÉ ZAPATA, en cabeza de quien continuará el 50% de la mesada pensional. </w:t>
      </w:r>
    </w:p>
    <w:p w14:paraId="3E8C54BA" w14:textId="77777777" w:rsidR="00742F18" w:rsidRPr="006B1A59" w:rsidRDefault="00742F18" w:rsidP="006B1A59">
      <w:pPr>
        <w:spacing w:line="276" w:lineRule="auto"/>
        <w:ind w:firstLine="708"/>
        <w:rPr>
          <w:rFonts w:ascii="Tahoma" w:hAnsi="Tahoma" w:cs="Tahoma"/>
          <w:sz w:val="24"/>
          <w:szCs w:val="24"/>
          <w:lang w:val="es-CO"/>
        </w:rPr>
      </w:pPr>
    </w:p>
    <w:p w14:paraId="5A8CEEE8" w14:textId="141F36C9" w:rsidR="000312C4" w:rsidRPr="006B1A59" w:rsidRDefault="007514BD" w:rsidP="006B1A59">
      <w:pPr>
        <w:spacing w:line="276" w:lineRule="auto"/>
        <w:ind w:firstLine="708"/>
        <w:rPr>
          <w:rFonts w:ascii="Tahoma" w:hAnsi="Tahoma" w:cs="Tahoma"/>
          <w:sz w:val="24"/>
          <w:szCs w:val="24"/>
        </w:rPr>
      </w:pPr>
      <w:r w:rsidRPr="006B1A59">
        <w:rPr>
          <w:rFonts w:ascii="Tahoma" w:hAnsi="Tahoma" w:cs="Tahoma"/>
          <w:sz w:val="24"/>
          <w:szCs w:val="24"/>
        </w:rPr>
        <w:t>En consecuencia,</w:t>
      </w:r>
      <w:r w:rsidR="00742F18" w:rsidRPr="006B1A59">
        <w:rPr>
          <w:rFonts w:ascii="Tahoma" w:hAnsi="Tahoma" w:cs="Tahoma"/>
          <w:sz w:val="24"/>
          <w:szCs w:val="24"/>
        </w:rPr>
        <w:t xml:space="preserve"> condenó a </w:t>
      </w:r>
      <w:r w:rsidRPr="006B1A59">
        <w:rPr>
          <w:rFonts w:ascii="Tahoma" w:hAnsi="Tahoma" w:cs="Tahoma"/>
          <w:sz w:val="24"/>
          <w:szCs w:val="24"/>
        </w:rPr>
        <w:t>PORVENIR S.A.</w:t>
      </w:r>
      <w:r w:rsidR="00742F18" w:rsidRPr="006B1A59">
        <w:rPr>
          <w:rFonts w:ascii="Tahoma" w:hAnsi="Tahoma" w:cs="Tahoma"/>
          <w:sz w:val="24"/>
          <w:szCs w:val="24"/>
        </w:rPr>
        <w:t xml:space="preserve"> a reconocer y pagar a</w:t>
      </w:r>
      <w:r w:rsidRPr="006B1A59">
        <w:rPr>
          <w:rFonts w:ascii="Tahoma" w:hAnsi="Tahoma" w:cs="Tahoma"/>
          <w:sz w:val="24"/>
          <w:szCs w:val="24"/>
        </w:rPr>
        <w:t xml:space="preserve"> </w:t>
      </w:r>
      <w:r w:rsidR="00742F18" w:rsidRPr="006B1A59">
        <w:rPr>
          <w:rFonts w:ascii="Tahoma" w:hAnsi="Tahoma" w:cs="Tahoma"/>
          <w:sz w:val="24"/>
          <w:szCs w:val="24"/>
        </w:rPr>
        <w:t>l</w:t>
      </w:r>
      <w:r w:rsidRPr="006B1A59">
        <w:rPr>
          <w:rFonts w:ascii="Tahoma" w:hAnsi="Tahoma" w:cs="Tahoma"/>
          <w:sz w:val="24"/>
          <w:szCs w:val="24"/>
        </w:rPr>
        <w:t>a</w:t>
      </w:r>
      <w:r w:rsidR="00742F18" w:rsidRPr="006B1A59">
        <w:rPr>
          <w:rFonts w:ascii="Tahoma" w:hAnsi="Tahoma" w:cs="Tahoma"/>
          <w:sz w:val="24"/>
          <w:szCs w:val="24"/>
        </w:rPr>
        <w:t xml:space="preserve"> actor</w:t>
      </w:r>
      <w:r w:rsidRPr="006B1A59">
        <w:rPr>
          <w:rFonts w:ascii="Tahoma" w:hAnsi="Tahoma" w:cs="Tahoma"/>
          <w:sz w:val="24"/>
          <w:szCs w:val="24"/>
        </w:rPr>
        <w:t>a</w:t>
      </w:r>
      <w:r w:rsidR="00742F18" w:rsidRPr="006B1A59">
        <w:rPr>
          <w:rFonts w:ascii="Tahoma" w:hAnsi="Tahoma" w:cs="Tahoma"/>
          <w:sz w:val="24"/>
          <w:szCs w:val="24"/>
        </w:rPr>
        <w:t xml:space="preserve"> la suma de $</w:t>
      </w:r>
      <w:r w:rsidRPr="006B1A59">
        <w:rPr>
          <w:rFonts w:ascii="Tahoma" w:hAnsi="Tahoma" w:cs="Tahoma"/>
          <w:sz w:val="24"/>
          <w:szCs w:val="24"/>
        </w:rPr>
        <w:t>22.056.370</w:t>
      </w:r>
      <w:r w:rsidR="00742F18" w:rsidRPr="006B1A59">
        <w:rPr>
          <w:rFonts w:ascii="Tahoma" w:hAnsi="Tahoma" w:cs="Tahoma"/>
          <w:sz w:val="24"/>
          <w:szCs w:val="24"/>
        </w:rPr>
        <w:t xml:space="preserve"> por concepto de retroactivo pensional, causado desde </w:t>
      </w:r>
      <w:r w:rsidRPr="006B1A59">
        <w:rPr>
          <w:rFonts w:ascii="Tahoma" w:hAnsi="Tahoma" w:cs="Tahoma"/>
          <w:sz w:val="24"/>
          <w:szCs w:val="24"/>
        </w:rPr>
        <w:t>entre el 01 de agosto de 2018 y el 31 de julio de 2022</w:t>
      </w:r>
      <w:r w:rsidR="00663A42" w:rsidRPr="006B1A59">
        <w:rPr>
          <w:rFonts w:ascii="Tahoma" w:hAnsi="Tahoma" w:cs="Tahoma"/>
          <w:sz w:val="24"/>
          <w:szCs w:val="24"/>
        </w:rPr>
        <w:t>, sumas que deberán ser canceladas debidamente indexadas</w:t>
      </w:r>
      <w:r w:rsidR="00742F18" w:rsidRPr="006B1A59">
        <w:rPr>
          <w:rFonts w:ascii="Tahoma" w:hAnsi="Tahoma" w:cs="Tahoma"/>
          <w:sz w:val="24"/>
          <w:szCs w:val="24"/>
        </w:rPr>
        <w:t>; monto respecto del cual autorizó a descontar el porcentaje correspondiente a los aportes al Sistema de Seguridad Social en Salud. Asimismo, conminó a</w:t>
      </w:r>
      <w:r w:rsidR="00F963B5" w:rsidRPr="006B1A59">
        <w:rPr>
          <w:rFonts w:ascii="Tahoma" w:hAnsi="Tahoma" w:cs="Tahoma"/>
          <w:sz w:val="24"/>
          <w:szCs w:val="24"/>
        </w:rPr>
        <w:t xml:space="preserve"> la demandada a</w:t>
      </w:r>
      <w:r w:rsidR="00742F18" w:rsidRPr="006B1A59">
        <w:rPr>
          <w:rFonts w:ascii="Tahoma" w:hAnsi="Tahoma" w:cs="Tahoma"/>
          <w:sz w:val="24"/>
          <w:szCs w:val="24"/>
        </w:rPr>
        <w:t xml:space="preserve"> pagar </w:t>
      </w:r>
      <w:r w:rsidRPr="006B1A59">
        <w:rPr>
          <w:rFonts w:ascii="Tahoma" w:hAnsi="Tahoma" w:cs="Tahoma"/>
          <w:sz w:val="24"/>
          <w:szCs w:val="24"/>
        </w:rPr>
        <w:t xml:space="preserve">las costas procesales a la demandante. </w:t>
      </w:r>
    </w:p>
    <w:p w14:paraId="14B42FCB" w14:textId="77777777" w:rsidR="00742F18" w:rsidRPr="006B1A59" w:rsidRDefault="00742F18" w:rsidP="006B1A59">
      <w:pPr>
        <w:spacing w:line="276" w:lineRule="auto"/>
        <w:ind w:firstLine="708"/>
        <w:rPr>
          <w:rFonts w:ascii="Tahoma" w:hAnsi="Tahoma" w:cs="Tahoma"/>
          <w:sz w:val="24"/>
          <w:szCs w:val="24"/>
        </w:rPr>
      </w:pPr>
    </w:p>
    <w:p w14:paraId="45CE4527" w14:textId="532989C4" w:rsidR="009436D9" w:rsidRPr="006B1A59" w:rsidRDefault="001D6A25" w:rsidP="006B1A59">
      <w:pPr>
        <w:spacing w:line="276" w:lineRule="auto"/>
        <w:ind w:firstLine="708"/>
        <w:rPr>
          <w:rFonts w:ascii="Tahoma" w:hAnsi="Tahoma" w:cs="Tahoma"/>
          <w:sz w:val="24"/>
          <w:szCs w:val="24"/>
          <w:lang w:val="es-CO"/>
        </w:rPr>
      </w:pPr>
      <w:r w:rsidRPr="006B1A59">
        <w:rPr>
          <w:rFonts w:ascii="Tahoma" w:hAnsi="Tahoma" w:cs="Tahoma"/>
          <w:sz w:val="24"/>
          <w:szCs w:val="24"/>
          <w:lang w:val="es-CO"/>
        </w:rPr>
        <w:t>Tal determinación</w:t>
      </w:r>
      <w:r w:rsidR="004D2F91" w:rsidRPr="006B1A59">
        <w:rPr>
          <w:rFonts w:ascii="Tahoma" w:hAnsi="Tahoma" w:cs="Tahoma"/>
          <w:sz w:val="24"/>
          <w:szCs w:val="24"/>
          <w:lang w:val="es-CO"/>
        </w:rPr>
        <w:t xml:space="preserve"> de la A-quo</w:t>
      </w:r>
      <w:r w:rsidRPr="006B1A59">
        <w:rPr>
          <w:rFonts w:ascii="Tahoma" w:hAnsi="Tahoma" w:cs="Tahoma"/>
          <w:sz w:val="24"/>
          <w:szCs w:val="24"/>
          <w:lang w:val="es-CO"/>
        </w:rPr>
        <w:t xml:space="preserve"> se fundó en</w:t>
      </w:r>
      <w:r w:rsidR="002970B9" w:rsidRPr="006B1A59">
        <w:rPr>
          <w:rFonts w:ascii="Tahoma" w:hAnsi="Tahoma" w:cs="Tahoma"/>
          <w:sz w:val="24"/>
          <w:szCs w:val="24"/>
          <w:lang w:val="es-CO"/>
        </w:rPr>
        <w:t xml:space="preserve"> que</w:t>
      </w:r>
      <w:r w:rsidR="009B1302" w:rsidRPr="006B1A59">
        <w:rPr>
          <w:rFonts w:ascii="Tahoma" w:hAnsi="Tahoma" w:cs="Tahoma"/>
          <w:sz w:val="24"/>
          <w:szCs w:val="24"/>
          <w:lang w:val="es-CO"/>
        </w:rPr>
        <w:t xml:space="preserve"> </w:t>
      </w:r>
      <w:r w:rsidR="0007363E" w:rsidRPr="006B1A59">
        <w:rPr>
          <w:rFonts w:ascii="Tahoma" w:hAnsi="Tahoma" w:cs="Tahoma"/>
          <w:sz w:val="24"/>
          <w:szCs w:val="24"/>
          <w:lang w:val="es-CO"/>
        </w:rPr>
        <w:t>no era objeto de discusión la causación del derecho por parte del señor JOSÉ MARIO HINCAPIÉ GARCÍA, puesto que la pensión de sobrevivientes le fue reconocida a su hija</w:t>
      </w:r>
      <w:r w:rsidR="00E410C0" w:rsidRPr="006B1A59">
        <w:rPr>
          <w:rFonts w:ascii="Tahoma" w:hAnsi="Tahoma" w:cs="Tahoma"/>
          <w:sz w:val="24"/>
          <w:szCs w:val="24"/>
          <w:lang w:val="es-CO"/>
        </w:rPr>
        <w:t xml:space="preserve"> y que, en virtud de la jurisprudencia de la Corte Suprema de Justicia, en el caso de los cónyuges únicamente les es exigible la convivencia por el término de 05 años en cualquier tiempo</w:t>
      </w:r>
      <w:r w:rsidR="00D87E40" w:rsidRPr="006B1A59">
        <w:rPr>
          <w:rFonts w:ascii="Tahoma" w:hAnsi="Tahoma" w:cs="Tahoma"/>
          <w:sz w:val="24"/>
          <w:szCs w:val="24"/>
          <w:lang w:val="es-CO"/>
        </w:rPr>
        <w:t>, requisito que qued</w:t>
      </w:r>
      <w:r w:rsidR="000A741E" w:rsidRPr="006B1A59">
        <w:rPr>
          <w:rFonts w:ascii="Tahoma" w:hAnsi="Tahoma" w:cs="Tahoma"/>
          <w:sz w:val="24"/>
          <w:szCs w:val="24"/>
          <w:lang w:val="es-CO"/>
        </w:rPr>
        <w:t>ó</w:t>
      </w:r>
      <w:r w:rsidR="00D87E40" w:rsidRPr="006B1A59">
        <w:rPr>
          <w:rFonts w:ascii="Tahoma" w:hAnsi="Tahoma" w:cs="Tahoma"/>
          <w:sz w:val="24"/>
          <w:szCs w:val="24"/>
          <w:lang w:val="es-CO"/>
        </w:rPr>
        <w:t xml:space="preserve"> demostrado con los testimonios convocados por la activa, mismos que dieron cuenta de que </w:t>
      </w:r>
      <w:r w:rsidR="006D5CA3" w:rsidRPr="006B1A59">
        <w:rPr>
          <w:rFonts w:ascii="Tahoma" w:hAnsi="Tahoma" w:cs="Tahoma"/>
          <w:sz w:val="24"/>
          <w:szCs w:val="24"/>
          <w:lang w:val="es-CO"/>
        </w:rPr>
        <w:t>la pareja consolidó un hogar estable sin que mediera separación alguna que rompiera la unidad familiar por más de 10 años</w:t>
      </w:r>
      <w:r w:rsidR="00E410C0" w:rsidRPr="006B1A59">
        <w:rPr>
          <w:rFonts w:ascii="Tahoma" w:hAnsi="Tahoma" w:cs="Tahoma"/>
          <w:sz w:val="24"/>
          <w:szCs w:val="24"/>
          <w:lang w:val="es-CO"/>
        </w:rPr>
        <w:t xml:space="preserve">. </w:t>
      </w:r>
    </w:p>
    <w:p w14:paraId="0B096B35" w14:textId="03628C5A" w:rsidR="00C414C7" w:rsidRPr="006B1A59" w:rsidRDefault="00C414C7" w:rsidP="006B1A59">
      <w:pPr>
        <w:spacing w:line="276" w:lineRule="auto"/>
        <w:ind w:firstLine="708"/>
        <w:rPr>
          <w:rFonts w:ascii="Tahoma" w:hAnsi="Tahoma" w:cs="Tahoma"/>
          <w:sz w:val="24"/>
          <w:szCs w:val="24"/>
          <w:lang w:val="es-CO"/>
        </w:rPr>
      </w:pPr>
    </w:p>
    <w:p w14:paraId="76AEFFBB" w14:textId="781C1749" w:rsidR="00C414C7" w:rsidRPr="006B1A59" w:rsidRDefault="00663A42" w:rsidP="006B1A59">
      <w:pPr>
        <w:spacing w:line="276" w:lineRule="auto"/>
        <w:ind w:firstLine="708"/>
        <w:rPr>
          <w:rFonts w:ascii="Tahoma" w:hAnsi="Tahoma" w:cs="Tahoma"/>
          <w:sz w:val="24"/>
          <w:szCs w:val="24"/>
          <w:lang w:val="es-CO"/>
        </w:rPr>
      </w:pPr>
      <w:r w:rsidRPr="006B1A59">
        <w:rPr>
          <w:rFonts w:ascii="Tahoma" w:hAnsi="Tahoma" w:cs="Tahoma"/>
          <w:sz w:val="24"/>
          <w:szCs w:val="24"/>
          <w:lang w:val="es-CO"/>
        </w:rPr>
        <w:t>Indicó</w:t>
      </w:r>
      <w:r w:rsidR="00C414C7" w:rsidRPr="006B1A59">
        <w:rPr>
          <w:rFonts w:ascii="Tahoma" w:hAnsi="Tahoma" w:cs="Tahoma"/>
          <w:sz w:val="24"/>
          <w:szCs w:val="24"/>
          <w:lang w:val="es-CO"/>
        </w:rPr>
        <w:t xml:space="preserve"> que</w:t>
      </w:r>
      <w:r w:rsidR="000A741E" w:rsidRPr="006B1A59">
        <w:rPr>
          <w:rFonts w:ascii="Tahoma" w:hAnsi="Tahoma" w:cs="Tahoma"/>
          <w:sz w:val="24"/>
          <w:szCs w:val="24"/>
          <w:lang w:val="es-CO"/>
        </w:rPr>
        <w:t>,</w:t>
      </w:r>
      <w:r w:rsidR="00C414C7" w:rsidRPr="006B1A59">
        <w:rPr>
          <w:rFonts w:ascii="Tahoma" w:hAnsi="Tahoma" w:cs="Tahoma"/>
          <w:sz w:val="24"/>
          <w:szCs w:val="24"/>
          <w:lang w:val="es-CO"/>
        </w:rPr>
        <w:t xml:space="preserve"> pese a que la hija venía percibiendo el 100% de la prestación, cuando realmente solo tenía derecho al 50%, no hay lugar a ordenar </w:t>
      </w:r>
      <w:r w:rsidR="000A741E" w:rsidRPr="006B1A59">
        <w:rPr>
          <w:rFonts w:ascii="Tahoma" w:hAnsi="Tahoma" w:cs="Tahoma"/>
          <w:sz w:val="24"/>
          <w:szCs w:val="24"/>
          <w:lang w:val="es-CO"/>
        </w:rPr>
        <w:t xml:space="preserve">el reintegro de </w:t>
      </w:r>
      <w:r w:rsidR="00C414C7" w:rsidRPr="006B1A59">
        <w:rPr>
          <w:rFonts w:ascii="Tahoma" w:hAnsi="Tahoma" w:cs="Tahoma"/>
          <w:sz w:val="24"/>
          <w:szCs w:val="24"/>
          <w:lang w:val="es-CO"/>
        </w:rPr>
        <w:t xml:space="preserve">las sumas recibidas en exceso, toda vez que este aspecto no fue solicitado por el fondo, tal como lo ha señalado el órgano de cierre de la jurisdicción ordinaria en su especialidad laboral. </w:t>
      </w:r>
    </w:p>
    <w:p w14:paraId="53FAE00F" w14:textId="6DC0F40F" w:rsidR="00B41C4A" w:rsidRDefault="00B41C4A" w:rsidP="006B1A59">
      <w:pPr>
        <w:spacing w:line="276" w:lineRule="auto"/>
        <w:ind w:firstLine="708"/>
        <w:rPr>
          <w:rFonts w:ascii="Tahoma" w:hAnsi="Tahoma" w:cs="Tahoma"/>
          <w:sz w:val="24"/>
          <w:szCs w:val="24"/>
          <w:lang w:val="es-CO"/>
        </w:rPr>
      </w:pPr>
    </w:p>
    <w:p w14:paraId="1E5FC2FC" w14:textId="77777777" w:rsidR="00763D86" w:rsidRPr="006B1A59" w:rsidRDefault="00763D86" w:rsidP="006B1A59">
      <w:pPr>
        <w:spacing w:line="276" w:lineRule="auto"/>
        <w:ind w:firstLine="708"/>
        <w:rPr>
          <w:rFonts w:ascii="Tahoma" w:hAnsi="Tahoma" w:cs="Tahoma"/>
          <w:sz w:val="24"/>
          <w:szCs w:val="24"/>
          <w:lang w:val="es-CO"/>
        </w:rPr>
      </w:pPr>
    </w:p>
    <w:p w14:paraId="77F0C615" w14:textId="6AB82E49" w:rsidR="00A31306" w:rsidRPr="006B1A59" w:rsidRDefault="00A31306" w:rsidP="006B1A59">
      <w:pPr>
        <w:pStyle w:val="Prrafodelista"/>
        <w:numPr>
          <w:ilvl w:val="0"/>
          <w:numId w:val="13"/>
        </w:numPr>
        <w:spacing w:line="276" w:lineRule="auto"/>
        <w:jc w:val="center"/>
        <w:rPr>
          <w:rFonts w:ascii="Tahoma" w:hAnsi="Tahoma" w:cs="Tahoma"/>
          <w:b/>
          <w:lang w:val="es-CO"/>
        </w:rPr>
      </w:pPr>
      <w:r w:rsidRPr="006B1A59">
        <w:rPr>
          <w:rFonts w:ascii="Tahoma" w:hAnsi="Tahoma" w:cs="Tahoma"/>
          <w:b/>
          <w:lang w:val="es-CO"/>
        </w:rPr>
        <w:t xml:space="preserve">Recurso de apelación </w:t>
      </w:r>
    </w:p>
    <w:p w14:paraId="4EDBAF83" w14:textId="77777777" w:rsidR="007B6843" w:rsidRPr="006B1A59" w:rsidRDefault="007B6843" w:rsidP="006B1A59">
      <w:pPr>
        <w:spacing w:line="276" w:lineRule="auto"/>
        <w:ind w:firstLine="708"/>
        <w:rPr>
          <w:rFonts w:ascii="Tahoma" w:hAnsi="Tahoma" w:cs="Tahoma"/>
          <w:sz w:val="24"/>
          <w:szCs w:val="24"/>
        </w:rPr>
      </w:pPr>
    </w:p>
    <w:p w14:paraId="34A4164B" w14:textId="53AA755F" w:rsidR="008E3ED0" w:rsidRPr="006B1A59" w:rsidRDefault="00200356" w:rsidP="006B1A59">
      <w:pPr>
        <w:spacing w:line="276" w:lineRule="auto"/>
        <w:ind w:firstLine="708"/>
        <w:rPr>
          <w:rFonts w:ascii="Tahoma" w:hAnsi="Tahoma" w:cs="Tahoma"/>
          <w:sz w:val="24"/>
          <w:szCs w:val="24"/>
        </w:rPr>
      </w:pPr>
      <w:r w:rsidRPr="006B1A59">
        <w:rPr>
          <w:rFonts w:ascii="Tahoma" w:hAnsi="Tahoma" w:cs="Tahoma"/>
          <w:sz w:val="24"/>
          <w:szCs w:val="24"/>
        </w:rPr>
        <w:t>La apoderada</w:t>
      </w:r>
      <w:r w:rsidR="00485B0C" w:rsidRPr="006B1A59">
        <w:rPr>
          <w:rFonts w:ascii="Tahoma" w:hAnsi="Tahoma" w:cs="Tahoma"/>
          <w:sz w:val="24"/>
          <w:szCs w:val="24"/>
        </w:rPr>
        <w:t xml:space="preserve"> judicial</w:t>
      </w:r>
      <w:r w:rsidRPr="006B1A59">
        <w:rPr>
          <w:rFonts w:ascii="Tahoma" w:hAnsi="Tahoma" w:cs="Tahoma"/>
          <w:sz w:val="24"/>
          <w:szCs w:val="24"/>
        </w:rPr>
        <w:t xml:space="preserve"> d</w:t>
      </w:r>
      <w:r w:rsidR="00485B0C" w:rsidRPr="006B1A59">
        <w:rPr>
          <w:rFonts w:ascii="Tahoma" w:hAnsi="Tahoma" w:cs="Tahoma"/>
          <w:sz w:val="24"/>
          <w:szCs w:val="24"/>
        </w:rPr>
        <w:t xml:space="preserve">e </w:t>
      </w:r>
      <w:r w:rsidR="009B1DBC" w:rsidRPr="006B1A59">
        <w:rPr>
          <w:rFonts w:ascii="Tahoma" w:hAnsi="Tahoma" w:cs="Tahoma"/>
          <w:sz w:val="24"/>
          <w:szCs w:val="24"/>
        </w:rPr>
        <w:t xml:space="preserve">Porvenir S.A. limitó su alzada en cuanto a la orden del Despacho de que el retroactivo pensional fuese reconocido debidamente indexado al momento del pago, argumentando que si no se reconoció en su momento la prestación no fue por capricho de la entidad sino porque en sede administrativa no logró acreditar los requisitos para ello, advirtiéndose la separación de hecho en el año 2017. </w:t>
      </w:r>
    </w:p>
    <w:p w14:paraId="007FC72D" w14:textId="68B6499F" w:rsidR="00975C54" w:rsidRPr="006B1A59" w:rsidRDefault="00975C54" w:rsidP="006B1A59">
      <w:pPr>
        <w:spacing w:line="276" w:lineRule="auto"/>
        <w:ind w:firstLine="0"/>
        <w:rPr>
          <w:rFonts w:ascii="Tahoma" w:hAnsi="Tahoma" w:cs="Tahoma"/>
          <w:sz w:val="24"/>
          <w:szCs w:val="24"/>
        </w:rPr>
      </w:pPr>
    </w:p>
    <w:p w14:paraId="34334D93" w14:textId="77777777" w:rsidR="000A741E" w:rsidRPr="006B1A59" w:rsidRDefault="000A741E" w:rsidP="006B1A59">
      <w:pPr>
        <w:spacing w:line="276" w:lineRule="auto"/>
        <w:ind w:firstLine="0"/>
        <w:rPr>
          <w:rFonts w:ascii="Tahoma" w:hAnsi="Tahoma" w:cs="Tahoma"/>
          <w:sz w:val="24"/>
          <w:szCs w:val="24"/>
        </w:rPr>
      </w:pPr>
    </w:p>
    <w:p w14:paraId="22DDED92" w14:textId="77777777" w:rsidR="00AB39A5" w:rsidRPr="006B1A59" w:rsidRDefault="00AB39A5" w:rsidP="006B1A59">
      <w:pPr>
        <w:pStyle w:val="Prrafodelista"/>
        <w:widowControl w:val="0"/>
        <w:numPr>
          <w:ilvl w:val="0"/>
          <w:numId w:val="14"/>
        </w:numPr>
        <w:autoSpaceDE w:val="0"/>
        <w:autoSpaceDN w:val="0"/>
        <w:adjustRightInd w:val="0"/>
        <w:spacing w:line="276" w:lineRule="auto"/>
        <w:ind w:left="0" w:firstLine="142"/>
        <w:jc w:val="center"/>
        <w:rPr>
          <w:rFonts w:ascii="Tahoma" w:hAnsi="Tahoma" w:cs="Tahoma"/>
          <w:b/>
          <w:caps/>
        </w:rPr>
      </w:pPr>
      <w:r w:rsidRPr="006B1A59">
        <w:rPr>
          <w:rFonts w:ascii="Tahoma" w:hAnsi="Tahoma" w:cs="Tahoma"/>
          <w:b/>
        </w:rPr>
        <w:t>Alegatos de conclusión</w:t>
      </w:r>
    </w:p>
    <w:p w14:paraId="36EFC9B0" w14:textId="77777777" w:rsidR="00AB39A5" w:rsidRPr="006B1A59" w:rsidRDefault="00AB39A5" w:rsidP="006B1A59">
      <w:pPr>
        <w:widowControl w:val="0"/>
        <w:autoSpaceDE w:val="0"/>
        <w:autoSpaceDN w:val="0"/>
        <w:adjustRightInd w:val="0"/>
        <w:spacing w:line="276" w:lineRule="auto"/>
        <w:rPr>
          <w:rFonts w:ascii="Tahoma" w:hAnsi="Tahoma" w:cs="Tahoma"/>
          <w:sz w:val="24"/>
          <w:szCs w:val="24"/>
        </w:rPr>
      </w:pPr>
    </w:p>
    <w:p w14:paraId="28194200" w14:textId="0FA75B8A" w:rsidR="00AB39A5" w:rsidRPr="006B1A59" w:rsidRDefault="00AB39A5" w:rsidP="006B1A59">
      <w:pPr>
        <w:spacing w:line="276" w:lineRule="auto"/>
        <w:ind w:firstLine="708"/>
        <w:rPr>
          <w:rStyle w:val="normaltextrun"/>
          <w:rFonts w:ascii="Tahoma" w:hAnsi="Tahoma" w:cs="Tahoma"/>
          <w:sz w:val="24"/>
          <w:szCs w:val="24"/>
        </w:rPr>
      </w:pPr>
      <w:r w:rsidRPr="006B1A59">
        <w:rPr>
          <w:rStyle w:val="normaltextrun"/>
          <w:rFonts w:ascii="Tahoma" w:hAnsi="Tahoma" w:cs="Tahoma"/>
          <w:color w:val="000000"/>
          <w:sz w:val="24"/>
          <w:szCs w:val="24"/>
        </w:rPr>
        <w:t xml:space="preserve">Analizado </w:t>
      </w:r>
      <w:r w:rsidR="00584C36" w:rsidRPr="006B1A59">
        <w:rPr>
          <w:rStyle w:val="normaltextrun"/>
          <w:rFonts w:ascii="Tahoma" w:hAnsi="Tahoma" w:cs="Tahoma"/>
          <w:color w:val="000000"/>
          <w:sz w:val="24"/>
          <w:szCs w:val="24"/>
        </w:rPr>
        <w:t>el escrito de alegatos</w:t>
      </w:r>
      <w:r w:rsidRPr="006B1A59">
        <w:rPr>
          <w:rStyle w:val="normaltextrun"/>
          <w:rFonts w:ascii="Tahoma" w:hAnsi="Tahoma" w:cs="Tahoma"/>
          <w:color w:val="000000"/>
          <w:sz w:val="24"/>
          <w:szCs w:val="24"/>
        </w:rPr>
        <w:t xml:space="preserve"> presentado oportunamente por </w:t>
      </w:r>
      <w:r w:rsidR="00584C36" w:rsidRPr="006B1A59">
        <w:rPr>
          <w:rStyle w:val="normaltextrun"/>
          <w:rFonts w:ascii="Tahoma" w:hAnsi="Tahoma" w:cs="Tahoma"/>
          <w:color w:val="000000"/>
          <w:sz w:val="24"/>
          <w:szCs w:val="24"/>
        </w:rPr>
        <w:t>la AFP demandada</w:t>
      </w:r>
      <w:r w:rsidRPr="006B1A59">
        <w:rPr>
          <w:rStyle w:val="normaltextrun"/>
          <w:rFonts w:ascii="Tahoma" w:hAnsi="Tahoma" w:cs="Tahoma"/>
          <w:color w:val="000000"/>
          <w:sz w:val="24"/>
          <w:szCs w:val="24"/>
        </w:rPr>
        <w:t>, mismo que obran en el expediente digital y a los cuales se remite la Sala por economía procesal en virtud del artículo 280 del C.G.P.,</w:t>
      </w:r>
      <w:r w:rsidR="00235D63" w:rsidRPr="006B1A59">
        <w:rPr>
          <w:rStyle w:val="normaltextrun"/>
          <w:rFonts w:ascii="Tahoma" w:hAnsi="Tahoma" w:cs="Tahoma"/>
          <w:color w:val="000000"/>
          <w:sz w:val="24"/>
          <w:szCs w:val="24"/>
        </w:rPr>
        <w:t xml:space="preserve"> se observa</w:t>
      </w:r>
      <w:r w:rsidRPr="006B1A59">
        <w:rPr>
          <w:rStyle w:val="normaltextrun"/>
          <w:rFonts w:ascii="Tahoma" w:hAnsi="Tahoma" w:cs="Tahoma"/>
          <w:color w:val="000000"/>
          <w:sz w:val="24"/>
          <w:szCs w:val="24"/>
        </w:rPr>
        <w:t xml:space="preserve"> que los argumentos fácticos y jurídicos expresados concuerdan con los puntos objeto de discusión en esta instancia y se relacionan con los problemas jurídico</w:t>
      </w:r>
      <w:r w:rsidR="00235D63" w:rsidRPr="006B1A59">
        <w:rPr>
          <w:rStyle w:val="normaltextrun"/>
          <w:rFonts w:ascii="Tahoma" w:hAnsi="Tahoma" w:cs="Tahoma"/>
          <w:color w:val="000000"/>
          <w:sz w:val="24"/>
          <w:szCs w:val="24"/>
        </w:rPr>
        <w:t>s</w:t>
      </w:r>
      <w:r w:rsidRPr="006B1A59">
        <w:rPr>
          <w:rStyle w:val="normaltextrun"/>
          <w:rFonts w:ascii="Tahoma" w:hAnsi="Tahoma" w:cs="Tahoma"/>
          <w:color w:val="000000"/>
          <w:sz w:val="24"/>
          <w:szCs w:val="24"/>
        </w:rPr>
        <w:t xml:space="preserve"> que se expresarán más adelante. </w:t>
      </w:r>
    </w:p>
    <w:p w14:paraId="076DC042" w14:textId="2F33E110" w:rsidR="008E3ED0" w:rsidRPr="006B1A59" w:rsidRDefault="008E3ED0" w:rsidP="006B1A59">
      <w:pPr>
        <w:spacing w:line="276" w:lineRule="auto"/>
        <w:rPr>
          <w:rStyle w:val="normaltextrun"/>
          <w:rFonts w:ascii="Tahoma" w:hAnsi="Tahoma" w:cs="Tahoma"/>
          <w:sz w:val="24"/>
          <w:szCs w:val="24"/>
        </w:rPr>
      </w:pPr>
    </w:p>
    <w:p w14:paraId="744DE26C" w14:textId="77777777" w:rsidR="000A741E" w:rsidRPr="006B1A59" w:rsidRDefault="000A741E" w:rsidP="006B1A59">
      <w:pPr>
        <w:spacing w:line="276" w:lineRule="auto"/>
        <w:rPr>
          <w:rStyle w:val="normaltextrun"/>
          <w:rFonts w:ascii="Tahoma" w:hAnsi="Tahoma" w:cs="Tahoma"/>
          <w:sz w:val="24"/>
          <w:szCs w:val="24"/>
        </w:rPr>
      </w:pPr>
    </w:p>
    <w:p w14:paraId="344C8B6B" w14:textId="77777777" w:rsidR="00AB39A5" w:rsidRPr="006B1A59" w:rsidRDefault="00AB39A5" w:rsidP="006B1A59">
      <w:pPr>
        <w:pStyle w:val="paragraph"/>
        <w:numPr>
          <w:ilvl w:val="0"/>
          <w:numId w:val="14"/>
        </w:numPr>
        <w:spacing w:before="0" w:beforeAutospacing="0" w:after="0" w:afterAutospacing="0" w:line="276" w:lineRule="auto"/>
        <w:jc w:val="center"/>
        <w:textAlignment w:val="baseline"/>
        <w:rPr>
          <w:rFonts w:ascii="Tahoma" w:hAnsi="Tahoma" w:cs="Tahoma"/>
          <w:b/>
        </w:rPr>
      </w:pPr>
      <w:bookmarkStart w:id="6" w:name="_Hlk109759719"/>
      <w:r w:rsidRPr="006B1A59">
        <w:rPr>
          <w:rStyle w:val="normaltextrun"/>
          <w:rFonts w:ascii="Tahoma" w:hAnsi="Tahoma" w:cs="Tahoma"/>
          <w:b/>
          <w:bCs/>
        </w:rPr>
        <w:t>Problema jurídico por resolver</w:t>
      </w:r>
      <w:bookmarkEnd w:id="6"/>
    </w:p>
    <w:p w14:paraId="778D6634" w14:textId="77777777" w:rsidR="00AB39A5" w:rsidRPr="006B1A59" w:rsidRDefault="00AB39A5" w:rsidP="006B1A59">
      <w:pPr>
        <w:pStyle w:val="paragraph"/>
        <w:spacing w:before="0" w:beforeAutospacing="0" w:after="0" w:afterAutospacing="0" w:line="276" w:lineRule="auto"/>
        <w:ind w:left="1080"/>
        <w:textAlignment w:val="baseline"/>
        <w:rPr>
          <w:rStyle w:val="normaltextrun"/>
          <w:rFonts w:ascii="Tahoma" w:hAnsi="Tahoma" w:cs="Tahoma"/>
          <w:b/>
        </w:rPr>
      </w:pPr>
    </w:p>
    <w:p w14:paraId="52399C14" w14:textId="5128F389" w:rsidR="00A72F3E" w:rsidRPr="006B1A59" w:rsidRDefault="00235D63" w:rsidP="006B1A59">
      <w:pPr>
        <w:pStyle w:val="paragraph"/>
        <w:spacing w:before="0" w:beforeAutospacing="0" w:after="0" w:afterAutospacing="0" w:line="276" w:lineRule="auto"/>
        <w:ind w:firstLine="708"/>
        <w:jc w:val="both"/>
        <w:textAlignment w:val="baseline"/>
        <w:rPr>
          <w:rStyle w:val="normaltextrun"/>
          <w:rFonts w:ascii="Tahoma" w:hAnsi="Tahoma" w:cs="Tahoma"/>
        </w:rPr>
      </w:pPr>
      <w:r w:rsidRPr="006B1A59">
        <w:rPr>
          <w:rStyle w:val="normaltextrun"/>
          <w:rFonts w:ascii="Tahoma" w:hAnsi="Tahoma" w:cs="Tahoma"/>
        </w:rPr>
        <w:t>Por el esquema de</w:t>
      </w:r>
      <w:r w:rsidR="008E3ED0" w:rsidRPr="006B1A59">
        <w:rPr>
          <w:rStyle w:val="normaltextrun"/>
          <w:rFonts w:ascii="Tahoma" w:hAnsi="Tahoma" w:cs="Tahoma"/>
        </w:rPr>
        <w:t xml:space="preserve">l recurso de apelación, le corresponde a la Sala revisar en esta instancia si </w:t>
      </w:r>
      <w:r w:rsidR="00A72F3E" w:rsidRPr="006B1A59">
        <w:rPr>
          <w:rStyle w:val="normaltextrun"/>
          <w:rFonts w:ascii="Tahoma" w:hAnsi="Tahoma" w:cs="Tahoma"/>
        </w:rPr>
        <w:t xml:space="preserve">hay lugar </w:t>
      </w:r>
      <w:r w:rsidR="007B3818" w:rsidRPr="006B1A59">
        <w:rPr>
          <w:rStyle w:val="normaltextrun"/>
          <w:rFonts w:ascii="Tahoma" w:hAnsi="Tahoma" w:cs="Tahoma"/>
        </w:rPr>
        <w:t>a ordenar la indexación de las sumas reconocidas por concepto de retroactivo pensional.</w:t>
      </w:r>
    </w:p>
    <w:p w14:paraId="5BC56D9D" w14:textId="6AF4519A" w:rsidR="004B7054" w:rsidRPr="006B1A59" w:rsidRDefault="004B7054" w:rsidP="006B1A59">
      <w:pPr>
        <w:pStyle w:val="paragraph"/>
        <w:spacing w:before="0" w:beforeAutospacing="0" w:after="0" w:afterAutospacing="0" w:line="276" w:lineRule="auto"/>
        <w:ind w:firstLine="708"/>
        <w:jc w:val="both"/>
        <w:textAlignment w:val="baseline"/>
        <w:rPr>
          <w:rStyle w:val="normaltextrun"/>
          <w:rFonts w:ascii="Tahoma" w:hAnsi="Tahoma" w:cs="Tahoma"/>
          <w:b/>
          <w:bCs/>
        </w:rPr>
      </w:pPr>
    </w:p>
    <w:p w14:paraId="39EB7143" w14:textId="77777777" w:rsidR="000A741E" w:rsidRPr="006B1A59" w:rsidRDefault="000A741E" w:rsidP="006B1A59">
      <w:pPr>
        <w:pStyle w:val="paragraph"/>
        <w:spacing w:before="0" w:beforeAutospacing="0" w:after="0" w:afterAutospacing="0" w:line="276" w:lineRule="auto"/>
        <w:ind w:firstLine="708"/>
        <w:jc w:val="both"/>
        <w:textAlignment w:val="baseline"/>
        <w:rPr>
          <w:rStyle w:val="normaltextrun"/>
          <w:rFonts w:ascii="Tahoma" w:hAnsi="Tahoma" w:cs="Tahoma"/>
          <w:b/>
          <w:bCs/>
        </w:rPr>
      </w:pPr>
    </w:p>
    <w:p w14:paraId="69B50AE5" w14:textId="0FD69A14" w:rsidR="00AB39A5" w:rsidRPr="006B1A59" w:rsidRDefault="00AB39A5" w:rsidP="006B1A59">
      <w:pPr>
        <w:pStyle w:val="paragraph"/>
        <w:numPr>
          <w:ilvl w:val="0"/>
          <w:numId w:val="15"/>
        </w:numPr>
        <w:spacing w:before="0" w:beforeAutospacing="0" w:after="0" w:afterAutospacing="0" w:line="276" w:lineRule="auto"/>
        <w:ind w:left="0" w:firstLine="0"/>
        <w:jc w:val="center"/>
        <w:textAlignment w:val="baseline"/>
        <w:rPr>
          <w:rStyle w:val="normaltextrun"/>
          <w:rFonts w:ascii="Tahoma" w:hAnsi="Tahoma" w:cs="Tahoma"/>
          <w:b/>
        </w:rPr>
      </w:pPr>
      <w:r w:rsidRPr="006B1A59">
        <w:rPr>
          <w:rStyle w:val="normaltextrun"/>
          <w:rFonts w:ascii="Tahoma" w:hAnsi="Tahoma" w:cs="Tahoma"/>
          <w:b/>
        </w:rPr>
        <w:t>Consideraciones</w:t>
      </w:r>
    </w:p>
    <w:p w14:paraId="1E2D0D49" w14:textId="77777777" w:rsidR="007B3818" w:rsidRPr="006B1A59" w:rsidRDefault="007B3818" w:rsidP="006B1A59">
      <w:pPr>
        <w:widowControl w:val="0"/>
        <w:autoSpaceDE w:val="0"/>
        <w:autoSpaceDN w:val="0"/>
        <w:adjustRightInd w:val="0"/>
        <w:spacing w:line="276" w:lineRule="auto"/>
        <w:rPr>
          <w:rFonts w:ascii="Tahoma" w:hAnsi="Tahoma" w:cs="Tahoma"/>
          <w:sz w:val="24"/>
          <w:szCs w:val="24"/>
        </w:rPr>
      </w:pPr>
    </w:p>
    <w:p w14:paraId="77D83E6C" w14:textId="109238AE" w:rsidR="007B3818" w:rsidRPr="006B1A59" w:rsidRDefault="007B3818" w:rsidP="006B1A59">
      <w:pPr>
        <w:widowControl w:val="0"/>
        <w:autoSpaceDE w:val="0"/>
        <w:autoSpaceDN w:val="0"/>
        <w:adjustRightInd w:val="0"/>
        <w:spacing w:line="276" w:lineRule="auto"/>
        <w:rPr>
          <w:rFonts w:ascii="Tahoma" w:hAnsi="Tahoma" w:cs="Tahoma"/>
          <w:sz w:val="24"/>
          <w:szCs w:val="24"/>
        </w:rPr>
      </w:pPr>
      <w:bookmarkStart w:id="7" w:name="_Hlk132184241"/>
      <w:r w:rsidRPr="006B1A59">
        <w:rPr>
          <w:rFonts w:ascii="Tahoma" w:hAnsi="Tahoma" w:cs="Tahoma"/>
          <w:sz w:val="24"/>
          <w:szCs w:val="24"/>
        </w:rPr>
        <w:t>La lectura armónica de los literales a y b del artículo 13 de la Ley 797 de 2003, modificatorio del artículo 47 de la Ley 100 de 1993, permite colegir que mientras se mantenga activa la sociedad conyugal, la cónyuge supérstite puede acreditar la convivencia con el causante en una época pretérita para acceder a</w:t>
      </w:r>
      <w:r w:rsidR="00DF711C" w:rsidRPr="006B1A59">
        <w:rPr>
          <w:rFonts w:ascii="Tahoma" w:hAnsi="Tahoma" w:cs="Tahoma"/>
          <w:sz w:val="24"/>
          <w:szCs w:val="24"/>
        </w:rPr>
        <w:t xml:space="preserve"> </w:t>
      </w:r>
      <w:r w:rsidRPr="006B1A59">
        <w:rPr>
          <w:rFonts w:ascii="Tahoma" w:hAnsi="Tahoma" w:cs="Tahoma"/>
          <w:sz w:val="24"/>
          <w:szCs w:val="24"/>
        </w:rPr>
        <w:t>l</w:t>
      </w:r>
      <w:r w:rsidR="00DF711C" w:rsidRPr="006B1A59">
        <w:rPr>
          <w:rFonts w:ascii="Tahoma" w:hAnsi="Tahoma" w:cs="Tahoma"/>
          <w:sz w:val="24"/>
          <w:szCs w:val="24"/>
        </w:rPr>
        <w:t>a</w:t>
      </w:r>
      <w:r w:rsidRPr="006B1A59">
        <w:rPr>
          <w:rFonts w:ascii="Tahoma" w:hAnsi="Tahoma" w:cs="Tahoma"/>
          <w:sz w:val="24"/>
          <w:szCs w:val="24"/>
        </w:rPr>
        <w:t xml:space="preserve"> pensión de sobrevivientes, bien en proporción al tiempo convivido, en caso de existir una compañera permanente, o en su totalidad, en caso de que no existan otros beneficiarios</w:t>
      </w:r>
      <w:bookmarkStart w:id="8" w:name="_Hlk132184339"/>
      <w:bookmarkEnd w:id="7"/>
      <w:r w:rsidRPr="006B1A59">
        <w:rPr>
          <w:rFonts w:ascii="Tahoma" w:hAnsi="Tahoma" w:cs="Tahoma"/>
          <w:sz w:val="24"/>
          <w:szCs w:val="24"/>
        </w:rPr>
        <w:t>. Esta intelección fue adoptada por la Sala de Casación Laboral de la Corte Suprema de Justicia, quien además precisó que no es exigible a las cónyuges que los lazos familiares o afectivos se hubieran mantenido latentes después de la terminación de la convivencia</w:t>
      </w:r>
      <w:bookmarkEnd w:id="8"/>
      <w:r w:rsidRPr="006B1A59">
        <w:rPr>
          <w:rFonts w:ascii="Tahoma" w:hAnsi="Tahoma" w:cs="Tahoma"/>
          <w:sz w:val="24"/>
          <w:szCs w:val="24"/>
        </w:rPr>
        <w:t>. Así lo expuso la Alta Corporación en sentencia SL5169-2019, M.P. Clara Cecilia Dueñas Quevedo.</w:t>
      </w:r>
    </w:p>
    <w:p w14:paraId="409C974A" w14:textId="77777777" w:rsidR="007B3818" w:rsidRPr="006B1A59" w:rsidRDefault="007B3818" w:rsidP="006B1A59">
      <w:pPr>
        <w:widowControl w:val="0"/>
        <w:autoSpaceDE w:val="0"/>
        <w:autoSpaceDN w:val="0"/>
        <w:adjustRightInd w:val="0"/>
        <w:spacing w:line="276" w:lineRule="auto"/>
        <w:ind w:left="708"/>
        <w:rPr>
          <w:rFonts w:ascii="Tahoma" w:hAnsi="Tahoma" w:cs="Tahoma"/>
          <w:i/>
          <w:sz w:val="24"/>
          <w:szCs w:val="24"/>
        </w:rPr>
      </w:pPr>
    </w:p>
    <w:p w14:paraId="48912ED5" w14:textId="338CEE3E" w:rsidR="007B3818" w:rsidRPr="00763D86" w:rsidRDefault="007B3818" w:rsidP="00763D86">
      <w:pPr>
        <w:widowControl w:val="0"/>
        <w:autoSpaceDE w:val="0"/>
        <w:autoSpaceDN w:val="0"/>
        <w:adjustRightInd w:val="0"/>
        <w:spacing w:line="240" w:lineRule="auto"/>
        <w:ind w:left="426" w:right="420"/>
        <w:rPr>
          <w:rFonts w:ascii="Tahoma" w:hAnsi="Tahoma" w:cs="Tahoma"/>
          <w:i/>
          <w:szCs w:val="24"/>
        </w:rPr>
      </w:pPr>
      <w:r w:rsidRPr="00763D86">
        <w:rPr>
          <w:rFonts w:ascii="Tahoma" w:hAnsi="Tahoma" w:cs="Tahoma"/>
          <w:i/>
          <w:szCs w:val="24"/>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w:t>
      </w:r>
    </w:p>
    <w:p w14:paraId="04BE8616" w14:textId="77777777" w:rsidR="007B3818" w:rsidRPr="00763D86" w:rsidRDefault="007B3818" w:rsidP="00763D86">
      <w:pPr>
        <w:widowControl w:val="0"/>
        <w:autoSpaceDE w:val="0"/>
        <w:autoSpaceDN w:val="0"/>
        <w:adjustRightInd w:val="0"/>
        <w:spacing w:line="240" w:lineRule="auto"/>
        <w:ind w:left="426" w:right="420"/>
        <w:rPr>
          <w:rFonts w:ascii="Tahoma" w:hAnsi="Tahoma" w:cs="Tahoma"/>
          <w:i/>
          <w:szCs w:val="24"/>
        </w:rPr>
      </w:pPr>
    </w:p>
    <w:p w14:paraId="1C2AB244" w14:textId="77777777" w:rsidR="007B3818" w:rsidRPr="00763D86" w:rsidRDefault="007B3818" w:rsidP="00763D86">
      <w:pPr>
        <w:widowControl w:val="0"/>
        <w:autoSpaceDE w:val="0"/>
        <w:autoSpaceDN w:val="0"/>
        <w:adjustRightInd w:val="0"/>
        <w:spacing w:line="240" w:lineRule="auto"/>
        <w:ind w:left="426" w:right="420"/>
        <w:rPr>
          <w:rFonts w:ascii="Tahoma" w:hAnsi="Tahoma" w:cs="Tahoma"/>
          <w:i/>
          <w:szCs w:val="24"/>
        </w:rPr>
      </w:pPr>
      <w:r w:rsidRPr="00763D86">
        <w:rPr>
          <w:rFonts w:ascii="Tahoma" w:hAnsi="Tahoma" w:cs="Tahoma"/>
          <w:i/>
          <w:szCs w:val="24"/>
        </w:rPr>
        <w:t>Así las cosas, a juicio de la Sala, el Tribunal restringió la norma analizada al concluir que la demandante no acreditó que para el momento de la muerte del causante existía algún tipo de «vínculo afectivo», «comunicación solidaria» y «ayuda mutua» que permita considerar que los «lazos familiares siguieron vigentes», luego de la separación de hecho, en razón a que tal requisito no lo contempla la disposición en referencia.</w:t>
      </w:r>
    </w:p>
    <w:p w14:paraId="2D059DFD" w14:textId="77777777" w:rsidR="007B3818" w:rsidRPr="00763D86" w:rsidRDefault="007B3818" w:rsidP="00763D86">
      <w:pPr>
        <w:widowControl w:val="0"/>
        <w:autoSpaceDE w:val="0"/>
        <w:autoSpaceDN w:val="0"/>
        <w:adjustRightInd w:val="0"/>
        <w:spacing w:line="240" w:lineRule="auto"/>
        <w:ind w:left="426" w:right="420"/>
        <w:rPr>
          <w:rFonts w:ascii="Tahoma" w:hAnsi="Tahoma" w:cs="Tahoma"/>
          <w:i/>
          <w:szCs w:val="24"/>
        </w:rPr>
      </w:pPr>
    </w:p>
    <w:p w14:paraId="6AA27E18" w14:textId="6212703F" w:rsidR="004B7054" w:rsidRPr="00763D86" w:rsidRDefault="007B3818" w:rsidP="00763D86">
      <w:pPr>
        <w:widowControl w:val="0"/>
        <w:autoSpaceDE w:val="0"/>
        <w:autoSpaceDN w:val="0"/>
        <w:adjustRightInd w:val="0"/>
        <w:spacing w:line="240" w:lineRule="auto"/>
        <w:ind w:left="426" w:right="420"/>
        <w:rPr>
          <w:rFonts w:ascii="Tahoma" w:hAnsi="Tahoma" w:cs="Tahoma"/>
          <w:i/>
          <w:szCs w:val="24"/>
        </w:rPr>
      </w:pPr>
      <w:r w:rsidRPr="00763D86">
        <w:rPr>
          <w:rFonts w:ascii="Tahoma" w:hAnsi="Tahoma" w:cs="Tahoma"/>
          <w:i/>
          <w:szCs w:val="24"/>
        </w:rPr>
        <w:lastRenderedPageBreak/>
        <w:t xml:space="preserve">Por tanto, el ad </w:t>
      </w:r>
      <w:proofErr w:type="spellStart"/>
      <w:r w:rsidRPr="00763D86">
        <w:rPr>
          <w:rFonts w:ascii="Tahoma" w:hAnsi="Tahoma" w:cs="Tahoma"/>
          <w:i/>
          <w:szCs w:val="24"/>
        </w:rPr>
        <w:t>quem</w:t>
      </w:r>
      <w:proofErr w:type="spellEnd"/>
      <w:r w:rsidRPr="00763D86">
        <w:rPr>
          <w:rFonts w:ascii="Tahoma" w:hAnsi="Tahoma" w:cs="Tahoma"/>
          <w:i/>
          <w:szCs w:val="24"/>
        </w:rPr>
        <w:t xml:space="preserve"> incurrió en el error que se le endilga, pues el correcto alcance del artículo 47 de la Ley 100 de 1993, modificado por el artículo 13 de la Ley 797 de 2003 corresponde a que el consorte con vínculo conyugal vigente, aun separado de hecho, puede reclamar válidamente una pensión de sobrevivientes siempre que haya convivido por lo menos 5 años en cualquier época con el causante afiliado o pensionado, tal como lo ha reiterado esta Sala en múltiples fallos, entre otras, en las sentencias CSJ SL 41637, 24 en. 2012, CSJ SL7299-2015, CSJ SL6519-2017, CSJ SL16419-2017, CSJ SL1399-2018, CSJ SL5046-2018, CSJ SL2010-2019, CSJ SL2232-2019 y CSJ SL4047-2019.”</w:t>
      </w:r>
    </w:p>
    <w:p w14:paraId="7868FEC5" w14:textId="6F02BC42" w:rsidR="000A741E" w:rsidRPr="006B1A59" w:rsidRDefault="000A741E" w:rsidP="006B1A59">
      <w:pPr>
        <w:widowControl w:val="0"/>
        <w:autoSpaceDE w:val="0"/>
        <w:autoSpaceDN w:val="0"/>
        <w:adjustRightInd w:val="0"/>
        <w:spacing w:line="276" w:lineRule="auto"/>
        <w:ind w:left="708"/>
        <w:rPr>
          <w:rFonts w:ascii="Tahoma" w:hAnsi="Tahoma" w:cs="Tahoma"/>
          <w:i/>
          <w:sz w:val="24"/>
          <w:szCs w:val="24"/>
        </w:rPr>
      </w:pPr>
    </w:p>
    <w:p w14:paraId="56FD1102" w14:textId="77777777" w:rsidR="000A741E" w:rsidRPr="006B1A59" w:rsidRDefault="000A741E" w:rsidP="006B1A59">
      <w:pPr>
        <w:widowControl w:val="0"/>
        <w:autoSpaceDE w:val="0"/>
        <w:autoSpaceDN w:val="0"/>
        <w:adjustRightInd w:val="0"/>
        <w:spacing w:line="276" w:lineRule="auto"/>
        <w:ind w:left="708"/>
        <w:rPr>
          <w:rFonts w:ascii="Tahoma" w:hAnsi="Tahoma" w:cs="Tahoma"/>
          <w:i/>
          <w:sz w:val="24"/>
          <w:szCs w:val="24"/>
        </w:rPr>
      </w:pPr>
    </w:p>
    <w:p w14:paraId="7D84351D" w14:textId="6FEC9A70" w:rsidR="002D0F7C" w:rsidRPr="006B1A59" w:rsidRDefault="00544C58" w:rsidP="006B1A59">
      <w:pPr>
        <w:pStyle w:val="Prrafodelista"/>
        <w:widowControl w:val="0"/>
        <w:numPr>
          <w:ilvl w:val="1"/>
          <w:numId w:val="15"/>
        </w:numPr>
        <w:autoSpaceDE w:val="0"/>
        <w:autoSpaceDN w:val="0"/>
        <w:adjustRightInd w:val="0"/>
        <w:spacing w:line="276" w:lineRule="auto"/>
        <w:ind w:left="0" w:firstLine="0"/>
        <w:jc w:val="center"/>
        <w:rPr>
          <w:rFonts w:ascii="Tahoma" w:hAnsi="Tahoma" w:cs="Tahoma"/>
          <w:b/>
        </w:rPr>
      </w:pPr>
      <w:r w:rsidRPr="006B1A59">
        <w:rPr>
          <w:rFonts w:ascii="Tahoma" w:hAnsi="Tahoma" w:cs="Tahoma"/>
          <w:b/>
        </w:rPr>
        <w:t>Caso concreto</w:t>
      </w:r>
    </w:p>
    <w:p w14:paraId="53F692FE" w14:textId="77777777" w:rsidR="002D0F7C" w:rsidRPr="006B1A59" w:rsidRDefault="002D0F7C" w:rsidP="006B1A59">
      <w:pPr>
        <w:widowControl w:val="0"/>
        <w:autoSpaceDE w:val="0"/>
        <w:autoSpaceDN w:val="0"/>
        <w:adjustRightInd w:val="0"/>
        <w:spacing w:line="276" w:lineRule="auto"/>
        <w:rPr>
          <w:rFonts w:ascii="Tahoma" w:hAnsi="Tahoma" w:cs="Tahoma"/>
          <w:sz w:val="24"/>
          <w:szCs w:val="24"/>
        </w:rPr>
      </w:pPr>
    </w:p>
    <w:p w14:paraId="27A746CC" w14:textId="351A2459" w:rsidR="00544C58" w:rsidRPr="006B1A59" w:rsidRDefault="00544C58" w:rsidP="006B1A59">
      <w:pPr>
        <w:spacing w:line="276" w:lineRule="auto"/>
        <w:ind w:firstLine="708"/>
        <w:rPr>
          <w:rFonts w:ascii="Tahoma" w:hAnsi="Tahoma" w:cs="Tahoma"/>
          <w:sz w:val="24"/>
          <w:szCs w:val="24"/>
        </w:rPr>
      </w:pPr>
      <w:r w:rsidRPr="006B1A59">
        <w:rPr>
          <w:rFonts w:ascii="Tahoma" w:hAnsi="Tahoma" w:cs="Tahoma"/>
          <w:sz w:val="24"/>
          <w:szCs w:val="24"/>
        </w:rPr>
        <w:t>Sea lo primero indicar que</w:t>
      </w:r>
      <w:r w:rsidR="007B3818" w:rsidRPr="006B1A59">
        <w:rPr>
          <w:rFonts w:ascii="Tahoma" w:hAnsi="Tahoma" w:cs="Tahoma"/>
          <w:sz w:val="24"/>
          <w:szCs w:val="24"/>
        </w:rPr>
        <w:t>, a pesar de que la AFP al presentar las alegaciones en esta instancia, solicitó que sea revocada en su integridad la sentencia proferida por la A-quo, lo cierto es que al interponer el recurso de apelación únicamente centr</w:t>
      </w:r>
      <w:r w:rsidR="000A741E" w:rsidRPr="006B1A59">
        <w:rPr>
          <w:rFonts w:ascii="Tahoma" w:hAnsi="Tahoma" w:cs="Tahoma"/>
          <w:sz w:val="24"/>
          <w:szCs w:val="24"/>
        </w:rPr>
        <w:t>ó</w:t>
      </w:r>
      <w:r w:rsidR="007B3818" w:rsidRPr="006B1A59">
        <w:rPr>
          <w:rFonts w:ascii="Tahoma" w:hAnsi="Tahoma" w:cs="Tahoma"/>
          <w:sz w:val="24"/>
          <w:szCs w:val="24"/>
        </w:rPr>
        <w:t xml:space="preserve"> su descontento en la indexación del retroactivo que le impuso el juzgado de conocimiento, razón por la cual se encuentra por fuera de discusión el derecho que le asiste a la demandante al percibir la pensión de sobrevivientes deprecada</w:t>
      </w:r>
      <w:r w:rsidR="00B5062F" w:rsidRPr="006B1A59">
        <w:rPr>
          <w:rFonts w:ascii="Tahoma" w:hAnsi="Tahoma" w:cs="Tahoma"/>
          <w:sz w:val="24"/>
          <w:szCs w:val="24"/>
        </w:rPr>
        <w:t xml:space="preserve">, así como la procedencia del retroactivo a partir de la fecha del deceso de quien fuera su cónyuge, en proporción del 50% de la mesada pensional. </w:t>
      </w:r>
      <w:r w:rsidR="007B3818" w:rsidRPr="006B1A59">
        <w:rPr>
          <w:rFonts w:ascii="Tahoma" w:hAnsi="Tahoma" w:cs="Tahoma"/>
          <w:sz w:val="24"/>
          <w:szCs w:val="24"/>
        </w:rPr>
        <w:t xml:space="preserve"> </w:t>
      </w:r>
    </w:p>
    <w:p w14:paraId="1D7BC26A" w14:textId="4B64D35B" w:rsidR="003D6339" w:rsidRPr="006B1A59" w:rsidRDefault="003D6339" w:rsidP="006B1A59">
      <w:pPr>
        <w:pStyle w:val="Prrafodelista"/>
        <w:spacing w:line="276" w:lineRule="auto"/>
        <w:rPr>
          <w:rFonts w:ascii="Tahoma" w:hAnsi="Tahoma" w:cs="Tahoma"/>
        </w:rPr>
      </w:pPr>
    </w:p>
    <w:p w14:paraId="75A9BA42" w14:textId="63D6D568" w:rsidR="008B4ACD" w:rsidRPr="006B1A59" w:rsidRDefault="007A617D" w:rsidP="006B1A59">
      <w:pPr>
        <w:spacing w:line="276" w:lineRule="auto"/>
        <w:rPr>
          <w:rFonts w:ascii="Tahoma" w:hAnsi="Tahoma" w:cs="Tahoma"/>
          <w:sz w:val="24"/>
          <w:szCs w:val="24"/>
        </w:rPr>
      </w:pPr>
      <w:r w:rsidRPr="006B1A59">
        <w:rPr>
          <w:rFonts w:ascii="Tahoma" w:hAnsi="Tahoma" w:cs="Tahoma"/>
          <w:sz w:val="24"/>
          <w:szCs w:val="24"/>
        </w:rPr>
        <w:t xml:space="preserve">Así pues, en cuanto al objeto de la alzada, debe decirse que </w:t>
      </w:r>
      <w:bookmarkStart w:id="9" w:name="_Hlk132184550"/>
      <w:r w:rsidR="0064184C" w:rsidRPr="006B1A59">
        <w:rPr>
          <w:rFonts w:ascii="Tahoma" w:hAnsi="Tahoma" w:cs="Tahoma"/>
          <w:sz w:val="24"/>
          <w:szCs w:val="24"/>
        </w:rPr>
        <w:t xml:space="preserve">la Sala de Casación Laboral de la Corte Suprema de Justicia en la providencia SL359-2021 adoctrinó que al reconocerse por vía judicial un derecho pensional, aun cuando el ajuste monetario o indexación no haya sido pretendido en la demanda, su imposición oficiosa </w:t>
      </w:r>
      <w:r w:rsidR="008B4ACD" w:rsidRPr="006B1A59">
        <w:rPr>
          <w:rFonts w:ascii="Tahoma" w:hAnsi="Tahoma" w:cs="Tahoma"/>
          <w:sz w:val="24"/>
          <w:szCs w:val="24"/>
        </w:rPr>
        <w:t>no solo es procedente sino que es una obligación del fallador,</w:t>
      </w:r>
      <w:r w:rsidR="0064184C" w:rsidRPr="006B1A59">
        <w:rPr>
          <w:rFonts w:ascii="Tahoma" w:hAnsi="Tahoma" w:cs="Tahoma"/>
          <w:sz w:val="24"/>
          <w:szCs w:val="24"/>
        </w:rPr>
        <w:t xml:space="preserve"> en la medida que no comporta condena adicional a la solicitada</w:t>
      </w:r>
      <w:r w:rsidR="008B4ACD" w:rsidRPr="006B1A59">
        <w:rPr>
          <w:rFonts w:ascii="Tahoma" w:hAnsi="Tahoma" w:cs="Tahoma"/>
          <w:sz w:val="24"/>
          <w:szCs w:val="24"/>
        </w:rPr>
        <w:t xml:space="preserve"> y se erige como una garantía constitucional en virtud del art. 53 Superior, con el fin de que se mantenga </w:t>
      </w:r>
      <w:r w:rsidR="0064184C" w:rsidRPr="006B1A59">
        <w:rPr>
          <w:rFonts w:ascii="Tahoma" w:hAnsi="Tahoma" w:cs="Tahoma"/>
          <w:sz w:val="24"/>
          <w:szCs w:val="24"/>
        </w:rPr>
        <w:t>el poder adquisitivo constante de las</w:t>
      </w:r>
      <w:r w:rsidR="008B4ACD" w:rsidRPr="006B1A59">
        <w:rPr>
          <w:rFonts w:ascii="Tahoma" w:hAnsi="Tahoma" w:cs="Tahoma"/>
          <w:sz w:val="24"/>
          <w:szCs w:val="24"/>
        </w:rPr>
        <w:t xml:space="preserve"> </w:t>
      </w:r>
      <w:r w:rsidR="0064184C" w:rsidRPr="006B1A59">
        <w:rPr>
          <w:rFonts w:ascii="Tahoma" w:hAnsi="Tahoma" w:cs="Tahoma"/>
          <w:sz w:val="24"/>
          <w:szCs w:val="24"/>
        </w:rPr>
        <w:t>pensiones, en relación con el índice de precios al</w:t>
      </w:r>
      <w:r w:rsidR="008B4ACD" w:rsidRPr="006B1A59">
        <w:rPr>
          <w:rFonts w:ascii="Tahoma" w:hAnsi="Tahoma" w:cs="Tahoma"/>
          <w:sz w:val="24"/>
          <w:szCs w:val="24"/>
        </w:rPr>
        <w:t xml:space="preserve"> </w:t>
      </w:r>
      <w:r w:rsidR="0064184C" w:rsidRPr="006B1A59">
        <w:rPr>
          <w:rFonts w:ascii="Tahoma" w:hAnsi="Tahoma" w:cs="Tahoma"/>
          <w:sz w:val="24"/>
          <w:szCs w:val="24"/>
        </w:rPr>
        <w:t>consumidor certificado por el DANE</w:t>
      </w:r>
      <w:bookmarkEnd w:id="9"/>
      <w:r w:rsidR="0064184C" w:rsidRPr="006B1A59">
        <w:rPr>
          <w:rFonts w:ascii="Tahoma" w:hAnsi="Tahoma" w:cs="Tahoma"/>
          <w:sz w:val="24"/>
          <w:szCs w:val="24"/>
        </w:rPr>
        <w:t>.</w:t>
      </w:r>
      <w:r w:rsidR="008B4ACD" w:rsidRPr="006B1A59">
        <w:rPr>
          <w:rFonts w:ascii="Tahoma" w:hAnsi="Tahoma" w:cs="Tahoma"/>
          <w:sz w:val="24"/>
          <w:szCs w:val="24"/>
        </w:rPr>
        <w:t xml:space="preserve"> Así lo indicó el Alto Tribunal:</w:t>
      </w:r>
    </w:p>
    <w:p w14:paraId="54EFDFE6" w14:textId="116D4F60" w:rsidR="008B4ACD" w:rsidRPr="006B1A59" w:rsidRDefault="008B4ACD" w:rsidP="006B1A59">
      <w:pPr>
        <w:spacing w:line="276" w:lineRule="auto"/>
        <w:rPr>
          <w:rFonts w:ascii="Tahoma" w:hAnsi="Tahoma" w:cs="Tahoma"/>
          <w:sz w:val="24"/>
          <w:szCs w:val="24"/>
        </w:rPr>
      </w:pPr>
    </w:p>
    <w:p w14:paraId="326D8228" w14:textId="5E31D7AA" w:rsidR="0064184C" w:rsidRPr="00763D86" w:rsidRDefault="008B4ACD" w:rsidP="00763D86">
      <w:pPr>
        <w:widowControl w:val="0"/>
        <w:autoSpaceDE w:val="0"/>
        <w:autoSpaceDN w:val="0"/>
        <w:adjustRightInd w:val="0"/>
        <w:spacing w:line="240" w:lineRule="auto"/>
        <w:ind w:left="426" w:right="420"/>
        <w:rPr>
          <w:rFonts w:ascii="Tahoma" w:hAnsi="Tahoma" w:cs="Tahoma"/>
          <w:i/>
          <w:szCs w:val="24"/>
        </w:rPr>
      </w:pPr>
      <w:r w:rsidRPr="00763D86">
        <w:rPr>
          <w:rFonts w:ascii="Tahoma" w:hAnsi="Tahoma" w:cs="Tahoma"/>
          <w:i/>
          <w:szCs w:val="24"/>
        </w:rPr>
        <w:t>“</w:t>
      </w:r>
      <w:r w:rsidR="0064184C" w:rsidRPr="00763D86">
        <w:rPr>
          <w:rFonts w:ascii="Tahoma" w:hAnsi="Tahoma" w:cs="Tahoma"/>
          <w:i/>
          <w:szCs w:val="24"/>
        </w:rPr>
        <w:t>De ahí que, si la AFP no paga</w:t>
      </w:r>
      <w:r w:rsidRPr="00763D86">
        <w:rPr>
          <w:rFonts w:ascii="Tahoma" w:hAnsi="Tahoma" w:cs="Tahoma"/>
          <w:i/>
          <w:szCs w:val="24"/>
        </w:rPr>
        <w:t xml:space="preserve"> </w:t>
      </w:r>
      <w:r w:rsidR="0064184C" w:rsidRPr="00763D86">
        <w:rPr>
          <w:rFonts w:ascii="Tahoma" w:hAnsi="Tahoma" w:cs="Tahoma"/>
          <w:i/>
          <w:szCs w:val="24"/>
        </w:rPr>
        <w:t>oportunamente la prestación causada en favor del afiliado,</w:t>
      </w:r>
      <w:r w:rsidRPr="00763D86">
        <w:rPr>
          <w:rFonts w:ascii="Tahoma" w:hAnsi="Tahoma" w:cs="Tahoma"/>
          <w:i/>
          <w:szCs w:val="24"/>
        </w:rPr>
        <w:t xml:space="preserve"> </w:t>
      </w:r>
      <w:r w:rsidR="0064184C" w:rsidRPr="00763D86">
        <w:rPr>
          <w:rFonts w:ascii="Tahoma" w:hAnsi="Tahoma" w:cs="Tahoma"/>
          <w:i/>
          <w:szCs w:val="24"/>
        </w:rPr>
        <w:t>pensionado o beneficiario, tiene la obligación de indexarla</w:t>
      </w:r>
      <w:r w:rsidRPr="00763D86">
        <w:rPr>
          <w:rFonts w:ascii="Tahoma" w:hAnsi="Tahoma" w:cs="Tahoma"/>
          <w:i/>
          <w:szCs w:val="24"/>
        </w:rPr>
        <w:t xml:space="preserve"> </w:t>
      </w:r>
      <w:r w:rsidR="0064184C" w:rsidRPr="00763D86">
        <w:rPr>
          <w:rFonts w:ascii="Tahoma" w:hAnsi="Tahoma" w:cs="Tahoma"/>
          <w:i/>
          <w:szCs w:val="24"/>
        </w:rPr>
        <w:t>como único conducto para cumplir con los mencionados</w:t>
      </w:r>
      <w:r w:rsidRPr="00763D86">
        <w:rPr>
          <w:rFonts w:ascii="Tahoma" w:hAnsi="Tahoma" w:cs="Tahoma"/>
          <w:i/>
          <w:szCs w:val="24"/>
        </w:rPr>
        <w:t xml:space="preserve"> </w:t>
      </w:r>
      <w:r w:rsidR="0064184C" w:rsidRPr="00763D86">
        <w:rPr>
          <w:rFonts w:ascii="Tahoma" w:hAnsi="Tahoma" w:cs="Tahoma"/>
          <w:i/>
          <w:szCs w:val="24"/>
        </w:rPr>
        <w:t>estándares de totalidad e integralidad del pago. Por tal</w:t>
      </w:r>
      <w:r w:rsidRPr="00763D86">
        <w:rPr>
          <w:rFonts w:ascii="Tahoma" w:hAnsi="Tahoma" w:cs="Tahoma"/>
          <w:i/>
          <w:szCs w:val="24"/>
        </w:rPr>
        <w:t xml:space="preserve"> </w:t>
      </w:r>
      <w:r w:rsidR="0064184C" w:rsidRPr="00763D86">
        <w:rPr>
          <w:rFonts w:ascii="Tahoma" w:hAnsi="Tahoma" w:cs="Tahoma"/>
          <w:i/>
          <w:szCs w:val="24"/>
        </w:rPr>
        <w:t>motivo, es incompleto el pago realizado sin el referido ajuste</w:t>
      </w:r>
      <w:r w:rsidRPr="00763D86">
        <w:rPr>
          <w:rFonts w:ascii="Tahoma" w:hAnsi="Tahoma" w:cs="Tahoma"/>
          <w:i/>
          <w:szCs w:val="24"/>
        </w:rPr>
        <w:t xml:space="preserve"> </w:t>
      </w:r>
      <w:r w:rsidR="0064184C" w:rsidRPr="00763D86">
        <w:rPr>
          <w:rFonts w:ascii="Tahoma" w:hAnsi="Tahoma" w:cs="Tahoma"/>
          <w:i/>
          <w:szCs w:val="24"/>
        </w:rPr>
        <w:t>cuando el transcurso del tiempo devaluó el valor del crédito.</w:t>
      </w:r>
    </w:p>
    <w:p w14:paraId="392B859A" w14:textId="77777777" w:rsidR="008B4ACD" w:rsidRPr="00763D86" w:rsidRDefault="008B4ACD" w:rsidP="00763D86">
      <w:pPr>
        <w:widowControl w:val="0"/>
        <w:autoSpaceDE w:val="0"/>
        <w:autoSpaceDN w:val="0"/>
        <w:adjustRightInd w:val="0"/>
        <w:spacing w:line="240" w:lineRule="auto"/>
        <w:ind w:left="426" w:right="420"/>
        <w:rPr>
          <w:rFonts w:ascii="Tahoma" w:hAnsi="Tahoma" w:cs="Tahoma"/>
          <w:i/>
          <w:szCs w:val="24"/>
        </w:rPr>
      </w:pPr>
    </w:p>
    <w:p w14:paraId="3770195A" w14:textId="466F0972" w:rsidR="0064184C" w:rsidRPr="00763D86" w:rsidRDefault="0064184C" w:rsidP="00763D86">
      <w:pPr>
        <w:widowControl w:val="0"/>
        <w:autoSpaceDE w:val="0"/>
        <w:autoSpaceDN w:val="0"/>
        <w:adjustRightInd w:val="0"/>
        <w:spacing w:line="240" w:lineRule="auto"/>
        <w:ind w:left="426" w:right="420"/>
        <w:rPr>
          <w:rFonts w:ascii="Tahoma" w:hAnsi="Tahoma" w:cs="Tahoma"/>
          <w:i/>
          <w:szCs w:val="24"/>
        </w:rPr>
      </w:pPr>
      <w:r w:rsidRPr="00763D86">
        <w:rPr>
          <w:rFonts w:ascii="Tahoma" w:hAnsi="Tahoma" w:cs="Tahoma"/>
          <w:i/>
          <w:szCs w:val="24"/>
        </w:rPr>
        <w:t>Ahora, la indexación no implica el incremento del valor</w:t>
      </w:r>
      <w:r w:rsidR="008B4ACD" w:rsidRPr="00763D86">
        <w:rPr>
          <w:rFonts w:ascii="Tahoma" w:hAnsi="Tahoma" w:cs="Tahoma"/>
          <w:i/>
          <w:szCs w:val="24"/>
        </w:rPr>
        <w:t xml:space="preserve"> </w:t>
      </w:r>
      <w:r w:rsidRPr="00763D86">
        <w:rPr>
          <w:rFonts w:ascii="Tahoma" w:hAnsi="Tahoma" w:cs="Tahoma"/>
          <w:i/>
          <w:szCs w:val="24"/>
        </w:rPr>
        <w:t>de los créditos pensionales, ya que su función consiste</w:t>
      </w:r>
      <w:r w:rsidR="008B4ACD" w:rsidRPr="00763D86">
        <w:rPr>
          <w:rFonts w:ascii="Tahoma" w:hAnsi="Tahoma" w:cs="Tahoma"/>
          <w:i/>
          <w:szCs w:val="24"/>
        </w:rPr>
        <w:t xml:space="preserve"> </w:t>
      </w:r>
      <w:r w:rsidRPr="00763D86">
        <w:rPr>
          <w:rFonts w:ascii="Tahoma" w:hAnsi="Tahoma" w:cs="Tahoma"/>
          <w:i/>
          <w:szCs w:val="24"/>
        </w:rPr>
        <w:t>únicamente en evitar la pérdida del poder adquisitivo de la</w:t>
      </w:r>
      <w:r w:rsidR="008B4ACD" w:rsidRPr="00763D86">
        <w:rPr>
          <w:rFonts w:ascii="Tahoma" w:hAnsi="Tahoma" w:cs="Tahoma"/>
          <w:i/>
          <w:szCs w:val="24"/>
        </w:rPr>
        <w:t xml:space="preserve"> </w:t>
      </w:r>
      <w:r w:rsidRPr="00763D86">
        <w:rPr>
          <w:rFonts w:ascii="Tahoma" w:hAnsi="Tahoma" w:cs="Tahoma"/>
          <w:i/>
          <w:szCs w:val="24"/>
        </w:rPr>
        <w:t>moneda y la consecuente reducción del patrimonio de quien</w:t>
      </w:r>
      <w:r w:rsidR="008B4ACD" w:rsidRPr="00763D86">
        <w:rPr>
          <w:rFonts w:ascii="Tahoma" w:hAnsi="Tahoma" w:cs="Tahoma"/>
          <w:i/>
          <w:szCs w:val="24"/>
        </w:rPr>
        <w:t xml:space="preserve"> </w:t>
      </w:r>
      <w:r w:rsidRPr="00763D86">
        <w:rPr>
          <w:rFonts w:ascii="Tahoma" w:hAnsi="Tahoma" w:cs="Tahoma"/>
          <w:i/>
          <w:szCs w:val="24"/>
        </w:rPr>
        <w:t>accede a la administración de justicia, causada por el</w:t>
      </w:r>
      <w:r w:rsidR="008B4ACD" w:rsidRPr="00763D86">
        <w:rPr>
          <w:rFonts w:ascii="Tahoma" w:hAnsi="Tahoma" w:cs="Tahoma"/>
          <w:i/>
          <w:szCs w:val="24"/>
        </w:rPr>
        <w:t xml:space="preserve"> </w:t>
      </w:r>
      <w:r w:rsidRPr="00763D86">
        <w:rPr>
          <w:rFonts w:ascii="Tahoma" w:hAnsi="Tahoma" w:cs="Tahoma"/>
          <w:i/>
          <w:szCs w:val="24"/>
        </w:rPr>
        <w:t>transcurso del tiempo. Tampoco puede verse como parte de</w:t>
      </w:r>
      <w:r w:rsidR="008B4ACD" w:rsidRPr="00763D86">
        <w:rPr>
          <w:rFonts w:ascii="Tahoma" w:hAnsi="Tahoma" w:cs="Tahoma"/>
          <w:i/>
          <w:szCs w:val="24"/>
        </w:rPr>
        <w:t xml:space="preserve"> </w:t>
      </w:r>
      <w:r w:rsidRPr="00763D86">
        <w:rPr>
          <w:rFonts w:ascii="Tahoma" w:hAnsi="Tahoma" w:cs="Tahoma"/>
          <w:i/>
          <w:szCs w:val="24"/>
        </w:rPr>
        <w:t>la mesada, puesto que no satisface necesidades sociales del</w:t>
      </w:r>
      <w:r w:rsidR="008B4ACD" w:rsidRPr="00763D86">
        <w:rPr>
          <w:rFonts w:ascii="Tahoma" w:hAnsi="Tahoma" w:cs="Tahoma"/>
          <w:i/>
          <w:szCs w:val="24"/>
        </w:rPr>
        <w:t xml:space="preserve"> </w:t>
      </w:r>
      <w:r w:rsidRPr="00763D86">
        <w:rPr>
          <w:rFonts w:ascii="Tahoma" w:hAnsi="Tahoma" w:cs="Tahoma"/>
          <w:i/>
          <w:szCs w:val="24"/>
        </w:rPr>
        <w:t>pensionado, y menos como una sanción, ya que lejos de</w:t>
      </w:r>
      <w:r w:rsidR="008B4ACD" w:rsidRPr="00763D86">
        <w:rPr>
          <w:rFonts w:ascii="Tahoma" w:hAnsi="Tahoma" w:cs="Tahoma"/>
          <w:i/>
          <w:szCs w:val="24"/>
        </w:rPr>
        <w:t xml:space="preserve"> </w:t>
      </w:r>
      <w:r w:rsidRPr="00763D86">
        <w:rPr>
          <w:rFonts w:ascii="Tahoma" w:hAnsi="Tahoma" w:cs="Tahoma"/>
          <w:i/>
          <w:szCs w:val="24"/>
        </w:rPr>
        <w:t>castigar al deudor, garantiza que los créditos pensionales</w:t>
      </w:r>
      <w:r w:rsidR="008B4ACD" w:rsidRPr="00763D86">
        <w:rPr>
          <w:rFonts w:ascii="Tahoma" w:hAnsi="Tahoma" w:cs="Tahoma"/>
          <w:i/>
          <w:szCs w:val="24"/>
        </w:rPr>
        <w:t xml:space="preserve"> </w:t>
      </w:r>
      <w:r w:rsidRPr="00763D86">
        <w:rPr>
          <w:rFonts w:ascii="Tahoma" w:hAnsi="Tahoma" w:cs="Tahoma"/>
          <w:i/>
          <w:szCs w:val="24"/>
        </w:rPr>
        <w:t>no pierdan su valor real.</w:t>
      </w:r>
    </w:p>
    <w:p w14:paraId="6682596B" w14:textId="77777777" w:rsidR="008B4ACD" w:rsidRPr="00763D86" w:rsidRDefault="008B4ACD" w:rsidP="00763D86">
      <w:pPr>
        <w:widowControl w:val="0"/>
        <w:autoSpaceDE w:val="0"/>
        <w:autoSpaceDN w:val="0"/>
        <w:adjustRightInd w:val="0"/>
        <w:spacing w:line="240" w:lineRule="auto"/>
        <w:ind w:left="426" w:right="420"/>
        <w:rPr>
          <w:rFonts w:ascii="Tahoma" w:hAnsi="Tahoma" w:cs="Tahoma"/>
          <w:i/>
          <w:szCs w:val="24"/>
        </w:rPr>
      </w:pPr>
    </w:p>
    <w:p w14:paraId="7C9DB180" w14:textId="4EC56406" w:rsidR="0064184C" w:rsidRPr="00763D86" w:rsidRDefault="0064184C" w:rsidP="00763D86">
      <w:pPr>
        <w:widowControl w:val="0"/>
        <w:autoSpaceDE w:val="0"/>
        <w:autoSpaceDN w:val="0"/>
        <w:adjustRightInd w:val="0"/>
        <w:spacing w:line="240" w:lineRule="auto"/>
        <w:ind w:left="426" w:right="420"/>
        <w:rPr>
          <w:rFonts w:ascii="Tahoma" w:hAnsi="Tahoma" w:cs="Tahoma"/>
          <w:i/>
          <w:szCs w:val="24"/>
        </w:rPr>
      </w:pPr>
      <w:r w:rsidRPr="00763D86">
        <w:rPr>
          <w:rFonts w:ascii="Tahoma" w:hAnsi="Tahoma" w:cs="Tahoma"/>
          <w:i/>
          <w:szCs w:val="24"/>
        </w:rPr>
        <w:t>Desde este punto de vista, cuando el juez del trabajo</w:t>
      </w:r>
      <w:r w:rsidR="008B4ACD" w:rsidRPr="00763D86">
        <w:rPr>
          <w:rFonts w:ascii="Tahoma" w:hAnsi="Tahoma" w:cs="Tahoma"/>
          <w:i/>
          <w:szCs w:val="24"/>
        </w:rPr>
        <w:t xml:space="preserve"> </w:t>
      </w:r>
      <w:r w:rsidRPr="00763D86">
        <w:rPr>
          <w:rFonts w:ascii="Tahoma" w:hAnsi="Tahoma" w:cs="Tahoma"/>
          <w:i/>
          <w:szCs w:val="24"/>
        </w:rPr>
        <w:t>advierte un menoscabo a los derechos de las partes y, por</w:t>
      </w:r>
      <w:r w:rsidR="008B4ACD" w:rsidRPr="00763D86">
        <w:rPr>
          <w:rFonts w:ascii="Tahoma" w:hAnsi="Tahoma" w:cs="Tahoma"/>
          <w:i/>
          <w:szCs w:val="24"/>
        </w:rPr>
        <w:t xml:space="preserve"> </w:t>
      </w:r>
      <w:r w:rsidRPr="00763D86">
        <w:rPr>
          <w:rFonts w:ascii="Tahoma" w:hAnsi="Tahoma" w:cs="Tahoma"/>
          <w:i/>
          <w:szCs w:val="24"/>
        </w:rPr>
        <w:t>este motivo, impone el pago de prestaciones económicas</w:t>
      </w:r>
      <w:r w:rsidR="008B4ACD" w:rsidRPr="00763D86">
        <w:rPr>
          <w:rFonts w:ascii="Tahoma" w:hAnsi="Tahoma" w:cs="Tahoma"/>
          <w:i/>
          <w:szCs w:val="24"/>
        </w:rPr>
        <w:t xml:space="preserve"> </w:t>
      </w:r>
      <w:r w:rsidRPr="00763D86">
        <w:rPr>
          <w:rFonts w:ascii="Tahoma" w:hAnsi="Tahoma" w:cs="Tahoma"/>
          <w:i/>
          <w:szCs w:val="24"/>
        </w:rPr>
        <w:t>derivadas del sistema de pensiones, su labor no puede</w:t>
      </w:r>
      <w:r w:rsidR="008B4ACD" w:rsidRPr="00763D86">
        <w:rPr>
          <w:rFonts w:ascii="Tahoma" w:hAnsi="Tahoma" w:cs="Tahoma"/>
          <w:i/>
          <w:szCs w:val="24"/>
        </w:rPr>
        <w:t xml:space="preserve"> </w:t>
      </w:r>
      <w:r w:rsidRPr="00763D86">
        <w:rPr>
          <w:rFonts w:ascii="Tahoma" w:hAnsi="Tahoma" w:cs="Tahoma"/>
          <w:i/>
          <w:szCs w:val="24"/>
        </w:rPr>
        <w:t>limitarse a la restitución simple y plana de dichos rubros;</w:t>
      </w:r>
      <w:r w:rsidR="008B4ACD" w:rsidRPr="00763D86">
        <w:rPr>
          <w:rFonts w:ascii="Tahoma" w:hAnsi="Tahoma" w:cs="Tahoma"/>
          <w:i/>
          <w:szCs w:val="24"/>
        </w:rPr>
        <w:t xml:space="preserve"> </w:t>
      </w:r>
      <w:r w:rsidRPr="00763D86">
        <w:rPr>
          <w:rFonts w:ascii="Tahoma" w:hAnsi="Tahoma" w:cs="Tahoma"/>
          <w:i/>
          <w:szCs w:val="24"/>
        </w:rPr>
        <w:t>tiene la obligación de imponer una condena que ponga al</w:t>
      </w:r>
      <w:r w:rsidR="008B4ACD" w:rsidRPr="00763D86">
        <w:rPr>
          <w:rFonts w:ascii="Tahoma" w:hAnsi="Tahoma" w:cs="Tahoma"/>
          <w:i/>
          <w:szCs w:val="24"/>
        </w:rPr>
        <w:t xml:space="preserve"> </w:t>
      </w:r>
      <w:r w:rsidRPr="00763D86">
        <w:rPr>
          <w:rFonts w:ascii="Tahoma" w:hAnsi="Tahoma" w:cs="Tahoma"/>
          <w:i/>
          <w:szCs w:val="24"/>
        </w:rPr>
        <w:t>perjudicado en la situación más cercana al supuesto en que</w:t>
      </w:r>
      <w:r w:rsidR="008B4ACD" w:rsidRPr="00763D86">
        <w:rPr>
          <w:rFonts w:ascii="Tahoma" w:hAnsi="Tahoma" w:cs="Tahoma"/>
          <w:i/>
          <w:szCs w:val="24"/>
        </w:rPr>
        <w:t xml:space="preserve"> </w:t>
      </w:r>
      <w:r w:rsidRPr="00763D86">
        <w:rPr>
          <w:rFonts w:ascii="Tahoma" w:hAnsi="Tahoma" w:cs="Tahoma"/>
          <w:i/>
          <w:szCs w:val="24"/>
        </w:rPr>
        <w:t>se hallaría de no haberse producido el menoscabo, tal como</w:t>
      </w:r>
      <w:r w:rsidR="008B4ACD" w:rsidRPr="00763D86">
        <w:rPr>
          <w:rFonts w:ascii="Tahoma" w:hAnsi="Tahoma" w:cs="Tahoma"/>
          <w:i/>
          <w:szCs w:val="24"/>
        </w:rPr>
        <w:t xml:space="preserve"> </w:t>
      </w:r>
      <w:r w:rsidRPr="00763D86">
        <w:rPr>
          <w:rFonts w:ascii="Tahoma" w:hAnsi="Tahoma" w:cs="Tahoma"/>
          <w:i/>
          <w:szCs w:val="24"/>
        </w:rPr>
        <w:t xml:space="preserve">lo dispone el artículo 16 de </w:t>
      </w:r>
      <w:r w:rsidRPr="00763D86">
        <w:rPr>
          <w:rFonts w:ascii="Tahoma" w:hAnsi="Tahoma" w:cs="Tahoma"/>
          <w:i/>
          <w:szCs w:val="24"/>
        </w:rPr>
        <w:lastRenderedPageBreak/>
        <w:t>la Ley 446 de 1998, según el</w:t>
      </w:r>
      <w:r w:rsidR="008B4ACD" w:rsidRPr="00763D86">
        <w:rPr>
          <w:rFonts w:ascii="Tahoma" w:hAnsi="Tahoma" w:cs="Tahoma"/>
          <w:i/>
          <w:szCs w:val="24"/>
        </w:rPr>
        <w:t xml:space="preserve"> </w:t>
      </w:r>
      <w:r w:rsidRPr="00763D86">
        <w:rPr>
          <w:rFonts w:ascii="Tahoma" w:hAnsi="Tahoma" w:cs="Tahoma"/>
          <w:i/>
          <w:szCs w:val="24"/>
        </w:rPr>
        <w:t>cual «dentro de cualquier proceso que se surta ante la</w:t>
      </w:r>
      <w:r w:rsidR="008B4ACD" w:rsidRPr="00763D86">
        <w:rPr>
          <w:rFonts w:ascii="Tahoma" w:hAnsi="Tahoma" w:cs="Tahoma"/>
          <w:i/>
          <w:szCs w:val="24"/>
        </w:rPr>
        <w:t xml:space="preserve"> </w:t>
      </w:r>
      <w:r w:rsidRPr="00763D86">
        <w:rPr>
          <w:rFonts w:ascii="Tahoma" w:hAnsi="Tahoma" w:cs="Tahoma"/>
          <w:i/>
          <w:szCs w:val="24"/>
        </w:rPr>
        <w:t>Administración de Justicia, la valoración de daños irrogados</w:t>
      </w:r>
      <w:r w:rsidR="008B4ACD" w:rsidRPr="00763D86">
        <w:rPr>
          <w:rFonts w:ascii="Tahoma" w:hAnsi="Tahoma" w:cs="Tahoma"/>
          <w:i/>
          <w:szCs w:val="24"/>
        </w:rPr>
        <w:t xml:space="preserve"> </w:t>
      </w:r>
      <w:r w:rsidRPr="00763D86">
        <w:rPr>
          <w:rFonts w:ascii="Tahoma" w:hAnsi="Tahoma" w:cs="Tahoma"/>
          <w:i/>
          <w:szCs w:val="24"/>
        </w:rPr>
        <w:t>a las personas y a las cosas, atenderá los principios de</w:t>
      </w:r>
      <w:r w:rsidR="008B4ACD" w:rsidRPr="00763D86">
        <w:rPr>
          <w:rFonts w:ascii="Tahoma" w:hAnsi="Tahoma" w:cs="Tahoma"/>
          <w:i/>
          <w:szCs w:val="24"/>
        </w:rPr>
        <w:t xml:space="preserve"> </w:t>
      </w:r>
      <w:r w:rsidRPr="00763D86">
        <w:rPr>
          <w:rFonts w:ascii="Tahoma" w:hAnsi="Tahoma" w:cs="Tahoma"/>
          <w:i/>
          <w:szCs w:val="24"/>
        </w:rPr>
        <w:t>reparación integral y equidad y observará los criterios</w:t>
      </w:r>
      <w:r w:rsidR="008B4ACD" w:rsidRPr="00763D86">
        <w:rPr>
          <w:rFonts w:ascii="Tahoma" w:hAnsi="Tahoma" w:cs="Tahoma"/>
          <w:i/>
          <w:szCs w:val="24"/>
        </w:rPr>
        <w:t xml:space="preserve"> </w:t>
      </w:r>
      <w:r w:rsidRPr="00763D86">
        <w:rPr>
          <w:rFonts w:ascii="Tahoma" w:hAnsi="Tahoma" w:cs="Tahoma"/>
          <w:i/>
          <w:szCs w:val="24"/>
        </w:rPr>
        <w:t>técnicos actuariales». Y la forma en que aquello se garantiza,</w:t>
      </w:r>
      <w:r w:rsidR="008B4ACD" w:rsidRPr="00763D86">
        <w:rPr>
          <w:rFonts w:ascii="Tahoma" w:hAnsi="Tahoma" w:cs="Tahoma"/>
          <w:i/>
          <w:szCs w:val="24"/>
        </w:rPr>
        <w:t xml:space="preserve"> </w:t>
      </w:r>
      <w:r w:rsidRPr="00763D86">
        <w:rPr>
          <w:rFonts w:ascii="Tahoma" w:hAnsi="Tahoma" w:cs="Tahoma"/>
          <w:i/>
          <w:szCs w:val="24"/>
        </w:rPr>
        <w:t>en el marco de la protección especial a la seguridad social,</w:t>
      </w:r>
      <w:r w:rsidR="008B4ACD" w:rsidRPr="00763D86">
        <w:rPr>
          <w:rFonts w:ascii="Tahoma" w:hAnsi="Tahoma" w:cs="Tahoma"/>
          <w:i/>
          <w:szCs w:val="24"/>
        </w:rPr>
        <w:t xml:space="preserve"> </w:t>
      </w:r>
      <w:r w:rsidRPr="00763D86">
        <w:rPr>
          <w:rFonts w:ascii="Tahoma" w:hAnsi="Tahoma" w:cs="Tahoma"/>
          <w:i/>
          <w:szCs w:val="24"/>
        </w:rPr>
        <w:t>es a través de la indexación como consecuencia de la</w:t>
      </w:r>
      <w:r w:rsidR="008B4ACD" w:rsidRPr="00763D86">
        <w:rPr>
          <w:rFonts w:ascii="Tahoma" w:hAnsi="Tahoma" w:cs="Tahoma"/>
          <w:i/>
          <w:szCs w:val="24"/>
        </w:rPr>
        <w:t xml:space="preserve"> </w:t>
      </w:r>
      <w:r w:rsidRPr="00763D86">
        <w:rPr>
          <w:rFonts w:ascii="Tahoma" w:hAnsi="Tahoma" w:cs="Tahoma"/>
          <w:i/>
          <w:szCs w:val="24"/>
        </w:rPr>
        <w:t>incontenible depreciación de la moneda</w:t>
      </w:r>
      <w:r w:rsidR="008B4ACD" w:rsidRPr="00763D86">
        <w:rPr>
          <w:rFonts w:ascii="Tahoma" w:hAnsi="Tahoma" w:cs="Tahoma"/>
          <w:i/>
          <w:szCs w:val="24"/>
        </w:rPr>
        <w:t>”</w:t>
      </w:r>
      <w:r w:rsidRPr="00763D86">
        <w:rPr>
          <w:rFonts w:ascii="Tahoma" w:hAnsi="Tahoma" w:cs="Tahoma"/>
          <w:i/>
          <w:szCs w:val="24"/>
        </w:rPr>
        <w:t>.</w:t>
      </w:r>
    </w:p>
    <w:p w14:paraId="2E197CF4" w14:textId="77777777" w:rsidR="000A741E" w:rsidRPr="006B1A59" w:rsidRDefault="000A741E" w:rsidP="006B1A59">
      <w:pPr>
        <w:spacing w:line="276" w:lineRule="auto"/>
        <w:rPr>
          <w:rFonts w:ascii="Tahoma" w:hAnsi="Tahoma" w:cs="Tahoma"/>
          <w:sz w:val="24"/>
          <w:szCs w:val="24"/>
        </w:rPr>
      </w:pPr>
    </w:p>
    <w:p w14:paraId="305D48B4" w14:textId="0783731D" w:rsidR="0064184C" w:rsidRPr="006B1A59" w:rsidRDefault="008B4ACD" w:rsidP="006B1A59">
      <w:pPr>
        <w:spacing w:line="276" w:lineRule="auto"/>
        <w:rPr>
          <w:rFonts w:ascii="Tahoma" w:hAnsi="Tahoma" w:cs="Tahoma"/>
          <w:i/>
          <w:sz w:val="24"/>
          <w:szCs w:val="24"/>
        </w:rPr>
      </w:pPr>
      <w:r w:rsidRPr="006B1A59">
        <w:rPr>
          <w:rFonts w:ascii="Tahoma" w:hAnsi="Tahoma" w:cs="Tahoma"/>
          <w:sz w:val="24"/>
          <w:szCs w:val="24"/>
        </w:rPr>
        <w:t>Co</w:t>
      </w:r>
      <w:r w:rsidR="000A741E" w:rsidRPr="006B1A59">
        <w:rPr>
          <w:rFonts w:ascii="Tahoma" w:hAnsi="Tahoma" w:cs="Tahoma"/>
          <w:sz w:val="24"/>
          <w:szCs w:val="24"/>
        </w:rPr>
        <w:t>rola</w:t>
      </w:r>
      <w:r w:rsidRPr="006B1A59">
        <w:rPr>
          <w:rFonts w:ascii="Tahoma" w:hAnsi="Tahoma" w:cs="Tahoma"/>
          <w:sz w:val="24"/>
          <w:szCs w:val="24"/>
        </w:rPr>
        <w:t xml:space="preserve">rio de lo anterior, acertada se encuentra la decisión de la jueza de conocimiento de imponer a PORVENIR S.A. la indexación del retroactivo pensional, puesto que ello obedeció precisamente al nuevo criterio establecido por la Corte Suprema de Justicia en la providencia en cita, misma en la que recogió la tesis que hasta ese momento sostenía, </w:t>
      </w:r>
      <w:r w:rsidR="0064184C" w:rsidRPr="006B1A59">
        <w:rPr>
          <w:rFonts w:ascii="Tahoma" w:hAnsi="Tahoma" w:cs="Tahoma"/>
          <w:sz w:val="24"/>
          <w:szCs w:val="24"/>
        </w:rPr>
        <w:t>según la cual tal corrección monetaria únicamente</w:t>
      </w:r>
      <w:r w:rsidRPr="006B1A59">
        <w:rPr>
          <w:rFonts w:ascii="Tahoma" w:hAnsi="Tahoma" w:cs="Tahoma"/>
          <w:sz w:val="24"/>
          <w:szCs w:val="24"/>
        </w:rPr>
        <w:t xml:space="preserve"> </w:t>
      </w:r>
      <w:r w:rsidR="0064184C" w:rsidRPr="006B1A59">
        <w:rPr>
          <w:rFonts w:ascii="Tahoma" w:hAnsi="Tahoma" w:cs="Tahoma"/>
          <w:sz w:val="24"/>
          <w:szCs w:val="24"/>
        </w:rPr>
        <w:t>procedía a petición de parte</w:t>
      </w:r>
      <w:r w:rsidRPr="006B1A59">
        <w:rPr>
          <w:rFonts w:ascii="Tahoma" w:hAnsi="Tahoma" w:cs="Tahoma"/>
          <w:sz w:val="24"/>
          <w:szCs w:val="24"/>
        </w:rPr>
        <w:t xml:space="preserve">, siendo del caso advertir que, dado que la pérdida del poder adquisitivo de la moneda es un hecho objetivo ocasionado por el simple transcurso del tiempo, la corrección de dicha disparidad económica no puede </w:t>
      </w:r>
      <w:r w:rsidR="00393346" w:rsidRPr="006B1A59">
        <w:rPr>
          <w:rFonts w:ascii="Tahoma" w:hAnsi="Tahoma" w:cs="Tahoma"/>
          <w:sz w:val="24"/>
          <w:szCs w:val="24"/>
        </w:rPr>
        <w:t xml:space="preserve">excusarse </w:t>
      </w:r>
      <w:r w:rsidRPr="006B1A59">
        <w:rPr>
          <w:rFonts w:ascii="Tahoma" w:hAnsi="Tahoma" w:cs="Tahoma"/>
          <w:sz w:val="24"/>
          <w:szCs w:val="24"/>
        </w:rPr>
        <w:t xml:space="preserve">en </w:t>
      </w:r>
      <w:r w:rsidR="00393346" w:rsidRPr="006B1A59">
        <w:rPr>
          <w:rFonts w:ascii="Tahoma" w:hAnsi="Tahoma" w:cs="Tahoma"/>
          <w:sz w:val="24"/>
          <w:szCs w:val="24"/>
        </w:rPr>
        <w:t>aspectos subjetivos como las razones que llevaron a la AFP a negar en sede administrativa la prestación, toda vez que, aunque en un primer escenario le asistiera razón a la administradora pensional al negar por falta de pruebas o concurrencia de solicitantes, ello no impide la devaluación de las mesadas pensionales que debió percibir el verdadero beneficiario de la prestación</w:t>
      </w:r>
      <w:r w:rsidRPr="006B1A59">
        <w:rPr>
          <w:rFonts w:ascii="Tahoma" w:hAnsi="Tahoma" w:cs="Tahoma"/>
          <w:sz w:val="24"/>
          <w:szCs w:val="24"/>
        </w:rPr>
        <w:t>.</w:t>
      </w:r>
    </w:p>
    <w:p w14:paraId="5D442FC5" w14:textId="77777777" w:rsidR="00ED72F8" w:rsidRPr="006B1A59" w:rsidRDefault="00ED72F8" w:rsidP="006B1A59">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p>
    <w:p w14:paraId="54322E79" w14:textId="01F6E8A7" w:rsidR="009A1ED9" w:rsidRPr="006B1A59" w:rsidRDefault="00393346" w:rsidP="006B1A59">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r w:rsidRPr="006B1A59">
        <w:rPr>
          <w:rFonts w:ascii="Tahoma" w:hAnsi="Tahoma" w:cs="Tahoma"/>
          <w:shd w:val="clear" w:color="auto" w:fill="FFFFFF"/>
        </w:rPr>
        <w:t xml:space="preserve">En ese orden, se confirmará la sentencia de primera instancia y se ordenará </w:t>
      </w:r>
      <w:r w:rsidR="78B1B3AB" w:rsidRPr="006B1A59">
        <w:rPr>
          <w:rFonts w:ascii="Tahoma" w:hAnsi="Tahoma" w:cs="Tahoma"/>
          <w:shd w:val="clear" w:color="auto" w:fill="FFFFFF"/>
        </w:rPr>
        <w:t xml:space="preserve">actualizar el monto de la condena </w:t>
      </w:r>
      <w:r w:rsidRPr="006B1A59">
        <w:rPr>
          <w:rFonts w:ascii="Tahoma" w:hAnsi="Tahoma" w:cs="Tahoma"/>
          <w:shd w:val="clear" w:color="auto" w:fill="FFFFFF"/>
        </w:rPr>
        <w:t xml:space="preserve">por concepto de retroactivo pensional </w:t>
      </w:r>
      <w:r w:rsidR="78B1B3AB" w:rsidRPr="006B1A59">
        <w:rPr>
          <w:rFonts w:ascii="Tahoma" w:hAnsi="Tahoma" w:cs="Tahoma"/>
          <w:shd w:val="clear" w:color="auto" w:fill="FFFFFF"/>
        </w:rPr>
        <w:t>hasta la fecha de corte del mes anterior a la emisión de la presente sentencia, conforme a la siguiente liquidación</w:t>
      </w:r>
      <w:r w:rsidR="00DF711C" w:rsidRPr="006B1A59">
        <w:rPr>
          <w:rFonts w:ascii="Tahoma" w:hAnsi="Tahoma" w:cs="Tahoma"/>
          <w:shd w:val="clear" w:color="auto" w:fill="FFFFFF"/>
        </w:rPr>
        <w:t>:</w:t>
      </w:r>
    </w:p>
    <w:p w14:paraId="78480BCE" w14:textId="7EF9E66E" w:rsidR="00DF711C" w:rsidRPr="006B1A59" w:rsidRDefault="00DF711C" w:rsidP="006B1A59">
      <w:pPr>
        <w:pStyle w:val="NormalWeb"/>
        <w:shd w:val="clear" w:color="auto" w:fill="FFFFFF" w:themeFill="background1"/>
        <w:spacing w:before="0" w:beforeAutospacing="0" w:after="0" w:afterAutospacing="0" w:line="276" w:lineRule="auto"/>
        <w:ind w:firstLine="709"/>
        <w:jc w:val="both"/>
        <w:rPr>
          <w:rFonts w:ascii="Tahoma" w:hAnsi="Tahoma" w:cs="Tahoma"/>
        </w:rPr>
      </w:pPr>
    </w:p>
    <w:tbl>
      <w:tblPr>
        <w:tblW w:w="8926" w:type="dxa"/>
        <w:tblCellMar>
          <w:left w:w="70" w:type="dxa"/>
          <w:right w:w="70" w:type="dxa"/>
        </w:tblCellMar>
        <w:tblLook w:val="04A0" w:firstRow="1" w:lastRow="0" w:firstColumn="1" w:lastColumn="0" w:noHBand="0" w:noVBand="1"/>
      </w:tblPr>
      <w:tblGrid>
        <w:gridCol w:w="802"/>
        <w:gridCol w:w="1200"/>
        <w:gridCol w:w="1200"/>
        <w:gridCol w:w="1188"/>
        <w:gridCol w:w="1275"/>
        <w:gridCol w:w="1535"/>
        <w:gridCol w:w="1726"/>
      </w:tblGrid>
      <w:tr w:rsidR="00DF711C" w:rsidRPr="00763D86" w14:paraId="48E37E85" w14:textId="77777777" w:rsidTr="0035174C">
        <w:trPr>
          <w:trHeight w:val="408"/>
        </w:trPr>
        <w:tc>
          <w:tcPr>
            <w:tcW w:w="8926"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DB80D4F"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 xml:space="preserve">RETROACTIVO PENSIONAL </w:t>
            </w:r>
          </w:p>
        </w:tc>
      </w:tr>
      <w:tr w:rsidR="00DF711C" w:rsidRPr="00763D86" w14:paraId="0E1537E5" w14:textId="77777777" w:rsidTr="0035174C">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6B8E3DF5"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Año</w:t>
            </w:r>
          </w:p>
        </w:tc>
        <w:tc>
          <w:tcPr>
            <w:tcW w:w="1200" w:type="dxa"/>
            <w:tcBorders>
              <w:top w:val="nil"/>
              <w:left w:val="nil"/>
              <w:bottom w:val="single" w:sz="4" w:space="0" w:color="auto"/>
              <w:right w:val="nil"/>
            </w:tcBorders>
            <w:shd w:val="clear" w:color="auto" w:fill="auto"/>
            <w:vAlign w:val="center"/>
            <w:hideMark/>
          </w:tcPr>
          <w:p w14:paraId="4AEBDDE3"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Desde</w:t>
            </w:r>
          </w:p>
        </w:tc>
        <w:tc>
          <w:tcPr>
            <w:tcW w:w="1200" w:type="dxa"/>
            <w:tcBorders>
              <w:top w:val="nil"/>
              <w:left w:val="single" w:sz="4" w:space="0" w:color="auto"/>
              <w:bottom w:val="single" w:sz="4" w:space="0" w:color="auto"/>
              <w:right w:val="nil"/>
            </w:tcBorders>
            <w:shd w:val="clear" w:color="auto" w:fill="auto"/>
            <w:vAlign w:val="center"/>
            <w:hideMark/>
          </w:tcPr>
          <w:p w14:paraId="55AC1E03"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Hasta</w:t>
            </w:r>
          </w:p>
        </w:tc>
        <w:tc>
          <w:tcPr>
            <w:tcW w:w="1188" w:type="dxa"/>
            <w:tcBorders>
              <w:top w:val="nil"/>
              <w:left w:val="single" w:sz="4" w:space="0" w:color="auto"/>
              <w:bottom w:val="single" w:sz="4" w:space="0" w:color="auto"/>
              <w:right w:val="single" w:sz="4" w:space="0" w:color="808000"/>
            </w:tcBorders>
            <w:shd w:val="clear" w:color="auto" w:fill="auto"/>
            <w:vAlign w:val="center"/>
            <w:hideMark/>
          </w:tcPr>
          <w:p w14:paraId="47083D0B"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Causadas</w:t>
            </w:r>
          </w:p>
        </w:tc>
        <w:tc>
          <w:tcPr>
            <w:tcW w:w="1275" w:type="dxa"/>
            <w:tcBorders>
              <w:top w:val="nil"/>
              <w:left w:val="nil"/>
              <w:bottom w:val="single" w:sz="4" w:space="0" w:color="auto"/>
              <w:right w:val="single" w:sz="4" w:space="0" w:color="808000"/>
            </w:tcBorders>
            <w:shd w:val="clear" w:color="auto" w:fill="auto"/>
            <w:vAlign w:val="center"/>
            <w:hideMark/>
          </w:tcPr>
          <w:p w14:paraId="221AB4AD"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Mesada</w:t>
            </w:r>
          </w:p>
        </w:tc>
        <w:tc>
          <w:tcPr>
            <w:tcW w:w="1535" w:type="dxa"/>
            <w:tcBorders>
              <w:top w:val="nil"/>
              <w:left w:val="nil"/>
              <w:bottom w:val="single" w:sz="4" w:space="0" w:color="auto"/>
              <w:right w:val="nil"/>
            </w:tcBorders>
            <w:shd w:val="clear" w:color="auto" w:fill="auto"/>
            <w:vAlign w:val="center"/>
            <w:hideMark/>
          </w:tcPr>
          <w:p w14:paraId="759216FA"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50%</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008875A0" w14:textId="1201ACCF"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 xml:space="preserve"> Retroactivo </w:t>
            </w:r>
          </w:p>
        </w:tc>
      </w:tr>
      <w:tr w:rsidR="00DF711C" w:rsidRPr="00763D86" w14:paraId="405CAB5F" w14:textId="77777777" w:rsidTr="0035174C">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5F0E0B95"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2018</w:t>
            </w:r>
          </w:p>
        </w:tc>
        <w:tc>
          <w:tcPr>
            <w:tcW w:w="1200" w:type="dxa"/>
            <w:tcBorders>
              <w:top w:val="nil"/>
              <w:left w:val="nil"/>
              <w:bottom w:val="single" w:sz="4" w:space="0" w:color="auto"/>
              <w:right w:val="single" w:sz="4" w:space="0" w:color="auto"/>
            </w:tcBorders>
            <w:shd w:val="clear" w:color="auto" w:fill="auto"/>
            <w:noWrap/>
            <w:vAlign w:val="center"/>
            <w:hideMark/>
          </w:tcPr>
          <w:p w14:paraId="38DF2BBB"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01-ago-18</w:t>
            </w:r>
          </w:p>
        </w:tc>
        <w:tc>
          <w:tcPr>
            <w:tcW w:w="1200" w:type="dxa"/>
            <w:tcBorders>
              <w:top w:val="nil"/>
              <w:left w:val="nil"/>
              <w:bottom w:val="single" w:sz="4" w:space="0" w:color="auto"/>
              <w:right w:val="single" w:sz="4" w:space="0" w:color="auto"/>
            </w:tcBorders>
            <w:shd w:val="clear" w:color="auto" w:fill="auto"/>
            <w:noWrap/>
            <w:vAlign w:val="center"/>
            <w:hideMark/>
          </w:tcPr>
          <w:p w14:paraId="649D89EF"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31-dic-18</w:t>
            </w:r>
          </w:p>
        </w:tc>
        <w:tc>
          <w:tcPr>
            <w:tcW w:w="1188" w:type="dxa"/>
            <w:tcBorders>
              <w:top w:val="nil"/>
              <w:left w:val="nil"/>
              <w:bottom w:val="single" w:sz="4" w:space="0" w:color="auto"/>
              <w:right w:val="single" w:sz="4" w:space="0" w:color="auto"/>
            </w:tcBorders>
            <w:shd w:val="clear" w:color="auto" w:fill="auto"/>
            <w:noWrap/>
            <w:vAlign w:val="bottom"/>
            <w:hideMark/>
          </w:tcPr>
          <w:p w14:paraId="0AC19056" w14:textId="77777777"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6,00  </w:t>
            </w:r>
          </w:p>
        </w:tc>
        <w:tc>
          <w:tcPr>
            <w:tcW w:w="1275" w:type="dxa"/>
            <w:tcBorders>
              <w:top w:val="single" w:sz="4" w:space="0" w:color="003366"/>
              <w:left w:val="single" w:sz="4" w:space="0" w:color="003366"/>
              <w:bottom w:val="single" w:sz="4" w:space="0" w:color="003366"/>
              <w:right w:val="single" w:sz="4" w:space="0" w:color="003366"/>
            </w:tcBorders>
            <w:shd w:val="clear" w:color="auto" w:fill="auto"/>
            <w:vAlign w:val="bottom"/>
            <w:hideMark/>
          </w:tcPr>
          <w:p w14:paraId="3ECAE60B" w14:textId="78DFF430"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$ 781.242 </w:t>
            </w:r>
          </w:p>
        </w:tc>
        <w:tc>
          <w:tcPr>
            <w:tcW w:w="1535" w:type="dxa"/>
            <w:tcBorders>
              <w:top w:val="single" w:sz="4" w:space="0" w:color="003366"/>
              <w:left w:val="nil"/>
              <w:bottom w:val="single" w:sz="4" w:space="0" w:color="003366"/>
              <w:right w:val="single" w:sz="4" w:space="0" w:color="003366"/>
            </w:tcBorders>
            <w:shd w:val="clear" w:color="auto" w:fill="auto"/>
            <w:vAlign w:val="bottom"/>
            <w:hideMark/>
          </w:tcPr>
          <w:p w14:paraId="08E813AF" w14:textId="40DCE1BD"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$ 390.621 </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4A47D254" w14:textId="5AB98425" w:rsidR="00DF711C" w:rsidRPr="00763D86" w:rsidRDefault="0035174C" w:rsidP="00763D86">
            <w:pPr>
              <w:spacing w:line="240" w:lineRule="auto"/>
              <w:ind w:firstLine="0"/>
              <w:jc w:val="center"/>
              <w:rPr>
                <w:rFonts w:ascii="Tahoma" w:eastAsia="Times New Roman" w:hAnsi="Tahoma" w:cs="Tahoma"/>
                <w:b/>
                <w:bCs/>
                <w:color w:val="000000"/>
                <w:szCs w:val="24"/>
                <w:lang w:val="es-CO" w:eastAsia="es-CO"/>
              </w:rPr>
            </w:pPr>
            <w:r>
              <w:rPr>
                <w:rFonts w:ascii="Tahoma" w:eastAsia="Times New Roman" w:hAnsi="Tahoma" w:cs="Tahoma"/>
                <w:b/>
                <w:bCs/>
                <w:color w:val="000000"/>
                <w:szCs w:val="24"/>
                <w:lang w:val="es-CO" w:eastAsia="es-CO"/>
              </w:rPr>
              <w:t xml:space="preserve">$ </w:t>
            </w:r>
            <w:r w:rsidR="00DF711C" w:rsidRPr="00763D86">
              <w:rPr>
                <w:rFonts w:ascii="Tahoma" w:eastAsia="Times New Roman" w:hAnsi="Tahoma" w:cs="Tahoma"/>
                <w:b/>
                <w:bCs/>
                <w:color w:val="000000"/>
                <w:szCs w:val="24"/>
                <w:lang w:val="es-CO" w:eastAsia="es-CO"/>
              </w:rPr>
              <w:t xml:space="preserve">2.343.726 </w:t>
            </w:r>
          </w:p>
        </w:tc>
      </w:tr>
      <w:tr w:rsidR="00DF711C" w:rsidRPr="00763D86" w14:paraId="6BA83816" w14:textId="77777777" w:rsidTr="0035174C">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3E272099"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2019</w:t>
            </w:r>
          </w:p>
        </w:tc>
        <w:tc>
          <w:tcPr>
            <w:tcW w:w="1200" w:type="dxa"/>
            <w:tcBorders>
              <w:top w:val="nil"/>
              <w:left w:val="nil"/>
              <w:bottom w:val="single" w:sz="4" w:space="0" w:color="auto"/>
              <w:right w:val="single" w:sz="4" w:space="0" w:color="auto"/>
            </w:tcBorders>
            <w:shd w:val="clear" w:color="auto" w:fill="auto"/>
            <w:noWrap/>
            <w:vAlign w:val="center"/>
            <w:hideMark/>
          </w:tcPr>
          <w:p w14:paraId="7E1A5330"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01-ene-19</w:t>
            </w:r>
          </w:p>
        </w:tc>
        <w:tc>
          <w:tcPr>
            <w:tcW w:w="1200" w:type="dxa"/>
            <w:tcBorders>
              <w:top w:val="nil"/>
              <w:left w:val="nil"/>
              <w:bottom w:val="single" w:sz="4" w:space="0" w:color="auto"/>
              <w:right w:val="single" w:sz="4" w:space="0" w:color="auto"/>
            </w:tcBorders>
            <w:shd w:val="clear" w:color="auto" w:fill="auto"/>
            <w:noWrap/>
            <w:vAlign w:val="center"/>
            <w:hideMark/>
          </w:tcPr>
          <w:p w14:paraId="52F64ED3"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31-dic-19</w:t>
            </w:r>
          </w:p>
        </w:tc>
        <w:tc>
          <w:tcPr>
            <w:tcW w:w="1188" w:type="dxa"/>
            <w:tcBorders>
              <w:top w:val="nil"/>
              <w:left w:val="nil"/>
              <w:bottom w:val="single" w:sz="4" w:space="0" w:color="auto"/>
              <w:right w:val="single" w:sz="4" w:space="0" w:color="auto"/>
            </w:tcBorders>
            <w:shd w:val="clear" w:color="auto" w:fill="auto"/>
            <w:noWrap/>
            <w:vAlign w:val="bottom"/>
            <w:hideMark/>
          </w:tcPr>
          <w:p w14:paraId="4E3ACE31" w14:textId="77777777"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13,00  </w:t>
            </w:r>
          </w:p>
        </w:tc>
        <w:tc>
          <w:tcPr>
            <w:tcW w:w="1275" w:type="dxa"/>
            <w:tcBorders>
              <w:top w:val="nil"/>
              <w:left w:val="single" w:sz="4" w:space="0" w:color="003366"/>
              <w:bottom w:val="single" w:sz="4" w:space="0" w:color="003366"/>
              <w:right w:val="single" w:sz="4" w:space="0" w:color="003366"/>
            </w:tcBorders>
            <w:shd w:val="clear" w:color="auto" w:fill="auto"/>
            <w:vAlign w:val="bottom"/>
            <w:hideMark/>
          </w:tcPr>
          <w:p w14:paraId="410509F6" w14:textId="38FE65E2"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$ 828.116 </w:t>
            </w:r>
          </w:p>
        </w:tc>
        <w:tc>
          <w:tcPr>
            <w:tcW w:w="1535" w:type="dxa"/>
            <w:tcBorders>
              <w:top w:val="nil"/>
              <w:left w:val="nil"/>
              <w:bottom w:val="single" w:sz="4" w:space="0" w:color="003366"/>
              <w:right w:val="single" w:sz="4" w:space="0" w:color="003366"/>
            </w:tcBorders>
            <w:shd w:val="clear" w:color="auto" w:fill="auto"/>
            <w:vAlign w:val="bottom"/>
            <w:hideMark/>
          </w:tcPr>
          <w:p w14:paraId="795C0C3D" w14:textId="72AB363D"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$ 414.058 </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5B4E7340" w14:textId="5C05F820" w:rsidR="00DF711C" w:rsidRPr="00763D86" w:rsidRDefault="0035174C" w:rsidP="00763D86">
            <w:pPr>
              <w:spacing w:line="240" w:lineRule="auto"/>
              <w:ind w:firstLine="0"/>
              <w:jc w:val="center"/>
              <w:rPr>
                <w:rFonts w:ascii="Tahoma" w:eastAsia="Times New Roman" w:hAnsi="Tahoma" w:cs="Tahoma"/>
                <w:b/>
                <w:bCs/>
                <w:color w:val="000000"/>
                <w:szCs w:val="24"/>
                <w:lang w:val="es-CO" w:eastAsia="es-CO"/>
              </w:rPr>
            </w:pPr>
            <w:r>
              <w:rPr>
                <w:rFonts w:ascii="Tahoma" w:eastAsia="Times New Roman" w:hAnsi="Tahoma" w:cs="Tahoma"/>
                <w:b/>
                <w:bCs/>
                <w:color w:val="000000"/>
                <w:szCs w:val="24"/>
                <w:lang w:val="es-CO" w:eastAsia="es-CO"/>
              </w:rPr>
              <w:t xml:space="preserve">$ </w:t>
            </w:r>
            <w:r w:rsidR="00DF711C" w:rsidRPr="00763D86">
              <w:rPr>
                <w:rFonts w:ascii="Tahoma" w:eastAsia="Times New Roman" w:hAnsi="Tahoma" w:cs="Tahoma"/>
                <w:b/>
                <w:bCs/>
                <w:color w:val="000000"/>
                <w:szCs w:val="24"/>
                <w:lang w:val="es-CO" w:eastAsia="es-CO"/>
              </w:rPr>
              <w:t xml:space="preserve">5.382.754 </w:t>
            </w:r>
          </w:p>
        </w:tc>
      </w:tr>
      <w:tr w:rsidR="00DF711C" w:rsidRPr="00763D86" w14:paraId="5151F333" w14:textId="77777777" w:rsidTr="0035174C">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2F7C9C07"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2020</w:t>
            </w:r>
          </w:p>
        </w:tc>
        <w:tc>
          <w:tcPr>
            <w:tcW w:w="1200" w:type="dxa"/>
            <w:tcBorders>
              <w:top w:val="nil"/>
              <w:left w:val="nil"/>
              <w:bottom w:val="single" w:sz="4" w:space="0" w:color="auto"/>
              <w:right w:val="single" w:sz="4" w:space="0" w:color="auto"/>
            </w:tcBorders>
            <w:shd w:val="clear" w:color="auto" w:fill="auto"/>
            <w:noWrap/>
            <w:vAlign w:val="center"/>
            <w:hideMark/>
          </w:tcPr>
          <w:p w14:paraId="5A7A9215"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01-ene-20</w:t>
            </w:r>
          </w:p>
        </w:tc>
        <w:tc>
          <w:tcPr>
            <w:tcW w:w="1200" w:type="dxa"/>
            <w:tcBorders>
              <w:top w:val="nil"/>
              <w:left w:val="nil"/>
              <w:bottom w:val="single" w:sz="4" w:space="0" w:color="auto"/>
              <w:right w:val="single" w:sz="4" w:space="0" w:color="auto"/>
            </w:tcBorders>
            <w:shd w:val="clear" w:color="auto" w:fill="auto"/>
            <w:noWrap/>
            <w:vAlign w:val="center"/>
            <w:hideMark/>
          </w:tcPr>
          <w:p w14:paraId="2B430BCB"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31-dic-20</w:t>
            </w:r>
          </w:p>
        </w:tc>
        <w:tc>
          <w:tcPr>
            <w:tcW w:w="1188" w:type="dxa"/>
            <w:tcBorders>
              <w:top w:val="nil"/>
              <w:left w:val="nil"/>
              <w:bottom w:val="single" w:sz="4" w:space="0" w:color="auto"/>
              <w:right w:val="single" w:sz="4" w:space="0" w:color="auto"/>
            </w:tcBorders>
            <w:shd w:val="clear" w:color="auto" w:fill="auto"/>
            <w:noWrap/>
            <w:vAlign w:val="bottom"/>
            <w:hideMark/>
          </w:tcPr>
          <w:p w14:paraId="46282E42" w14:textId="77777777"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13,00  </w:t>
            </w:r>
          </w:p>
        </w:tc>
        <w:tc>
          <w:tcPr>
            <w:tcW w:w="1275" w:type="dxa"/>
            <w:tcBorders>
              <w:top w:val="nil"/>
              <w:left w:val="single" w:sz="4" w:space="0" w:color="003366"/>
              <w:bottom w:val="single" w:sz="4" w:space="0" w:color="003366"/>
              <w:right w:val="single" w:sz="4" w:space="0" w:color="003366"/>
            </w:tcBorders>
            <w:shd w:val="clear" w:color="auto" w:fill="auto"/>
            <w:vAlign w:val="bottom"/>
            <w:hideMark/>
          </w:tcPr>
          <w:p w14:paraId="0E8366B5" w14:textId="52128038"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$ 877.803 </w:t>
            </w:r>
          </w:p>
        </w:tc>
        <w:tc>
          <w:tcPr>
            <w:tcW w:w="1535" w:type="dxa"/>
            <w:tcBorders>
              <w:top w:val="nil"/>
              <w:left w:val="nil"/>
              <w:bottom w:val="single" w:sz="4" w:space="0" w:color="003366"/>
              <w:right w:val="single" w:sz="4" w:space="0" w:color="003366"/>
            </w:tcBorders>
            <w:shd w:val="clear" w:color="auto" w:fill="auto"/>
            <w:vAlign w:val="bottom"/>
            <w:hideMark/>
          </w:tcPr>
          <w:p w14:paraId="6207E13A" w14:textId="75C63026"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$ 438.902 </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6358661B" w14:textId="428210BC" w:rsidR="00DF711C" w:rsidRPr="00763D86" w:rsidRDefault="0035174C" w:rsidP="00763D86">
            <w:pPr>
              <w:spacing w:line="240" w:lineRule="auto"/>
              <w:ind w:firstLine="0"/>
              <w:jc w:val="center"/>
              <w:rPr>
                <w:rFonts w:ascii="Tahoma" w:eastAsia="Times New Roman" w:hAnsi="Tahoma" w:cs="Tahoma"/>
                <w:b/>
                <w:bCs/>
                <w:color w:val="000000"/>
                <w:szCs w:val="24"/>
                <w:lang w:val="es-CO" w:eastAsia="es-CO"/>
              </w:rPr>
            </w:pPr>
            <w:r>
              <w:rPr>
                <w:rFonts w:ascii="Tahoma" w:eastAsia="Times New Roman" w:hAnsi="Tahoma" w:cs="Tahoma"/>
                <w:b/>
                <w:bCs/>
                <w:color w:val="000000"/>
                <w:szCs w:val="24"/>
                <w:lang w:val="es-CO" w:eastAsia="es-CO"/>
              </w:rPr>
              <w:t xml:space="preserve">$ </w:t>
            </w:r>
            <w:r w:rsidR="00DF711C" w:rsidRPr="00763D86">
              <w:rPr>
                <w:rFonts w:ascii="Tahoma" w:eastAsia="Times New Roman" w:hAnsi="Tahoma" w:cs="Tahoma"/>
                <w:b/>
                <w:bCs/>
                <w:color w:val="000000"/>
                <w:szCs w:val="24"/>
                <w:lang w:val="es-CO" w:eastAsia="es-CO"/>
              </w:rPr>
              <w:t xml:space="preserve">5.705.720 </w:t>
            </w:r>
          </w:p>
        </w:tc>
      </w:tr>
      <w:tr w:rsidR="00DF711C" w:rsidRPr="00763D86" w14:paraId="77FDFD3C" w14:textId="77777777" w:rsidTr="0035174C">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4FEBB9C0"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2021</w:t>
            </w:r>
          </w:p>
        </w:tc>
        <w:tc>
          <w:tcPr>
            <w:tcW w:w="1200" w:type="dxa"/>
            <w:tcBorders>
              <w:top w:val="nil"/>
              <w:left w:val="nil"/>
              <w:bottom w:val="single" w:sz="4" w:space="0" w:color="auto"/>
              <w:right w:val="single" w:sz="4" w:space="0" w:color="auto"/>
            </w:tcBorders>
            <w:shd w:val="clear" w:color="auto" w:fill="auto"/>
            <w:noWrap/>
            <w:vAlign w:val="center"/>
            <w:hideMark/>
          </w:tcPr>
          <w:p w14:paraId="2141ECDE"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01-ene-21</w:t>
            </w:r>
          </w:p>
        </w:tc>
        <w:tc>
          <w:tcPr>
            <w:tcW w:w="1200" w:type="dxa"/>
            <w:tcBorders>
              <w:top w:val="nil"/>
              <w:left w:val="nil"/>
              <w:bottom w:val="single" w:sz="4" w:space="0" w:color="auto"/>
              <w:right w:val="single" w:sz="4" w:space="0" w:color="auto"/>
            </w:tcBorders>
            <w:shd w:val="clear" w:color="auto" w:fill="auto"/>
            <w:noWrap/>
            <w:vAlign w:val="center"/>
            <w:hideMark/>
          </w:tcPr>
          <w:p w14:paraId="7928CC9F"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31-dic-21</w:t>
            </w:r>
          </w:p>
        </w:tc>
        <w:tc>
          <w:tcPr>
            <w:tcW w:w="1188" w:type="dxa"/>
            <w:tcBorders>
              <w:top w:val="nil"/>
              <w:left w:val="nil"/>
              <w:bottom w:val="single" w:sz="4" w:space="0" w:color="auto"/>
              <w:right w:val="single" w:sz="4" w:space="0" w:color="auto"/>
            </w:tcBorders>
            <w:shd w:val="clear" w:color="auto" w:fill="auto"/>
            <w:noWrap/>
            <w:vAlign w:val="bottom"/>
            <w:hideMark/>
          </w:tcPr>
          <w:p w14:paraId="2D3EF702" w14:textId="77777777"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13,00  </w:t>
            </w:r>
          </w:p>
        </w:tc>
        <w:tc>
          <w:tcPr>
            <w:tcW w:w="1275" w:type="dxa"/>
            <w:tcBorders>
              <w:top w:val="nil"/>
              <w:left w:val="single" w:sz="4" w:space="0" w:color="003366"/>
              <w:bottom w:val="single" w:sz="4" w:space="0" w:color="003366"/>
              <w:right w:val="single" w:sz="4" w:space="0" w:color="003366"/>
            </w:tcBorders>
            <w:shd w:val="clear" w:color="auto" w:fill="auto"/>
            <w:vAlign w:val="bottom"/>
            <w:hideMark/>
          </w:tcPr>
          <w:p w14:paraId="6396DC52" w14:textId="32424008"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$ 908.526 </w:t>
            </w:r>
          </w:p>
        </w:tc>
        <w:tc>
          <w:tcPr>
            <w:tcW w:w="1535" w:type="dxa"/>
            <w:tcBorders>
              <w:top w:val="nil"/>
              <w:left w:val="nil"/>
              <w:bottom w:val="single" w:sz="4" w:space="0" w:color="003366"/>
              <w:right w:val="single" w:sz="4" w:space="0" w:color="003366"/>
            </w:tcBorders>
            <w:shd w:val="clear" w:color="auto" w:fill="auto"/>
            <w:vAlign w:val="bottom"/>
            <w:hideMark/>
          </w:tcPr>
          <w:p w14:paraId="2D8F1267" w14:textId="4FAEAB4D"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$ 454.263 </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64C1C060" w14:textId="3E6147AA" w:rsidR="00DF711C" w:rsidRPr="00763D86" w:rsidRDefault="0035174C" w:rsidP="00763D86">
            <w:pPr>
              <w:spacing w:line="240" w:lineRule="auto"/>
              <w:ind w:firstLine="0"/>
              <w:jc w:val="center"/>
              <w:rPr>
                <w:rFonts w:ascii="Tahoma" w:eastAsia="Times New Roman" w:hAnsi="Tahoma" w:cs="Tahoma"/>
                <w:b/>
                <w:bCs/>
                <w:color w:val="000000"/>
                <w:szCs w:val="24"/>
                <w:lang w:val="es-CO" w:eastAsia="es-CO"/>
              </w:rPr>
            </w:pPr>
            <w:r>
              <w:rPr>
                <w:rFonts w:ascii="Tahoma" w:eastAsia="Times New Roman" w:hAnsi="Tahoma" w:cs="Tahoma"/>
                <w:b/>
                <w:bCs/>
                <w:color w:val="000000"/>
                <w:szCs w:val="24"/>
                <w:lang w:val="es-CO" w:eastAsia="es-CO"/>
              </w:rPr>
              <w:t xml:space="preserve">$ </w:t>
            </w:r>
            <w:r w:rsidR="00DF711C" w:rsidRPr="00763D86">
              <w:rPr>
                <w:rFonts w:ascii="Tahoma" w:eastAsia="Times New Roman" w:hAnsi="Tahoma" w:cs="Tahoma"/>
                <w:b/>
                <w:bCs/>
                <w:color w:val="000000"/>
                <w:szCs w:val="24"/>
                <w:lang w:val="es-CO" w:eastAsia="es-CO"/>
              </w:rPr>
              <w:t xml:space="preserve">5.905.419 </w:t>
            </w:r>
          </w:p>
        </w:tc>
      </w:tr>
      <w:tr w:rsidR="00DF711C" w:rsidRPr="00763D86" w14:paraId="38CBF809" w14:textId="77777777" w:rsidTr="0035174C">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65E8E93F"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2022</w:t>
            </w:r>
          </w:p>
        </w:tc>
        <w:tc>
          <w:tcPr>
            <w:tcW w:w="1200" w:type="dxa"/>
            <w:tcBorders>
              <w:top w:val="nil"/>
              <w:left w:val="nil"/>
              <w:bottom w:val="single" w:sz="4" w:space="0" w:color="auto"/>
              <w:right w:val="single" w:sz="4" w:space="0" w:color="auto"/>
            </w:tcBorders>
            <w:shd w:val="clear" w:color="auto" w:fill="auto"/>
            <w:noWrap/>
            <w:vAlign w:val="center"/>
            <w:hideMark/>
          </w:tcPr>
          <w:p w14:paraId="3348F8DE"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01-ene-22</w:t>
            </w:r>
          </w:p>
        </w:tc>
        <w:tc>
          <w:tcPr>
            <w:tcW w:w="1200" w:type="dxa"/>
            <w:tcBorders>
              <w:top w:val="nil"/>
              <w:left w:val="nil"/>
              <w:bottom w:val="single" w:sz="4" w:space="0" w:color="auto"/>
              <w:right w:val="single" w:sz="4" w:space="0" w:color="auto"/>
            </w:tcBorders>
            <w:shd w:val="clear" w:color="auto" w:fill="auto"/>
            <w:noWrap/>
            <w:vAlign w:val="center"/>
            <w:hideMark/>
          </w:tcPr>
          <w:p w14:paraId="11803478"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28-feb-22</w:t>
            </w:r>
          </w:p>
        </w:tc>
        <w:tc>
          <w:tcPr>
            <w:tcW w:w="1188" w:type="dxa"/>
            <w:tcBorders>
              <w:top w:val="nil"/>
              <w:left w:val="nil"/>
              <w:bottom w:val="single" w:sz="4" w:space="0" w:color="auto"/>
              <w:right w:val="single" w:sz="4" w:space="0" w:color="auto"/>
            </w:tcBorders>
            <w:shd w:val="clear" w:color="auto" w:fill="auto"/>
            <w:noWrap/>
            <w:vAlign w:val="bottom"/>
            <w:hideMark/>
          </w:tcPr>
          <w:p w14:paraId="7E698E92" w14:textId="77777777"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13,00  </w:t>
            </w:r>
          </w:p>
        </w:tc>
        <w:tc>
          <w:tcPr>
            <w:tcW w:w="1275" w:type="dxa"/>
            <w:tcBorders>
              <w:top w:val="nil"/>
              <w:left w:val="single" w:sz="4" w:space="0" w:color="003366"/>
              <w:bottom w:val="single" w:sz="4" w:space="0" w:color="003366"/>
              <w:right w:val="single" w:sz="4" w:space="0" w:color="003366"/>
            </w:tcBorders>
            <w:shd w:val="clear" w:color="auto" w:fill="auto"/>
            <w:vAlign w:val="bottom"/>
            <w:hideMark/>
          </w:tcPr>
          <w:p w14:paraId="328F72F9" w14:textId="2A6326D2"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$1.000.000 </w:t>
            </w:r>
          </w:p>
        </w:tc>
        <w:tc>
          <w:tcPr>
            <w:tcW w:w="1535" w:type="dxa"/>
            <w:tcBorders>
              <w:top w:val="nil"/>
              <w:left w:val="nil"/>
              <w:bottom w:val="single" w:sz="4" w:space="0" w:color="003366"/>
              <w:right w:val="single" w:sz="4" w:space="0" w:color="003366"/>
            </w:tcBorders>
            <w:shd w:val="clear" w:color="auto" w:fill="auto"/>
            <w:vAlign w:val="bottom"/>
            <w:hideMark/>
          </w:tcPr>
          <w:p w14:paraId="443A7EB7" w14:textId="2AB2DC05"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$ 500.000 </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131C1E88" w14:textId="69BE0CD3" w:rsidR="00DF711C" w:rsidRPr="00763D86" w:rsidRDefault="0035174C" w:rsidP="00763D86">
            <w:pPr>
              <w:spacing w:line="240" w:lineRule="auto"/>
              <w:ind w:firstLine="0"/>
              <w:jc w:val="center"/>
              <w:rPr>
                <w:rFonts w:ascii="Tahoma" w:eastAsia="Times New Roman" w:hAnsi="Tahoma" w:cs="Tahoma"/>
                <w:b/>
                <w:bCs/>
                <w:color w:val="000000"/>
                <w:szCs w:val="24"/>
                <w:lang w:val="es-CO" w:eastAsia="es-CO"/>
              </w:rPr>
            </w:pPr>
            <w:r>
              <w:rPr>
                <w:rFonts w:ascii="Tahoma" w:eastAsia="Times New Roman" w:hAnsi="Tahoma" w:cs="Tahoma"/>
                <w:b/>
                <w:bCs/>
                <w:color w:val="000000"/>
                <w:szCs w:val="24"/>
                <w:lang w:val="es-CO" w:eastAsia="es-CO"/>
              </w:rPr>
              <w:t xml:space="preserve">$ </w:t>
            </w:r>
            <w:r w:rsidR="00DF711C" w:rsidRPr="00763D86">
              <w:rPr>
                <w:rFonts w:ascii="Tahoma" w:eastAsia="Times New Roman" w:hAnsi="Tahoma" w:cs="Tahoma"/>
                <w:b/>
                <w:bCs/>
                <w:color w:val="000000"/>
                <w:szCs w:val="24"/>
                <w:lang w:val="es-CO" w:eastAsia="es-CO"/>
              </w:rPr>
              <w:t xml:space="preserve">6.500.000 </w:t>
            </w:r>
          </w:p>
        </w:tc>
      </w:tr>
      <w:tr w:rsidR="00DF711C" w:rsidRPr="00763D86" w14:paraId="3ACA203E" w14:textId="77777777" w:rsidTr="0035174C">
        <w:trPr>
          <w:trHeight w:val="300"/>
        </w:trPr>
        <w:tc>
          <w:tcPr>
            <w:tcW w:w="802" w:type="dxa"/>
            <w:tcBorders>
              <w:top w:val="nil"/>
              <w:left w:val="single" w:sz="4" w:space="0" w:color="auto"/>
              <w:bottom w:val="single" w:sz="4" w:space="0" w:color="auto"/>
              <w:right w:val="nil"/>
            </w:tcBorders>
            <w:shd w:val="clear" w:color="auto" w:fill="auto"/>
            <w:vAlign w:val="center"/>
            <w:hideMark/>
          </w:tcPr>
          <w:p w14:paraId="03F746B1"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2023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5FAA79"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01-ene-23</w:t>
            </w:r>
          </w:p>
        </w:tc>
        <w:tc>
          <w:tcPr>
            <w:tcW w:w="1200" w:type="dxa"/>
            <w:tcBorders>
              <w:top w:val="nil"/>
              <w:left w:val="nil"/>
              <w:bottom w:val="single" w:sz="4" w:space="0" w:color="auto"/>
              <w:right w:val="single" w:sz="4" w:space="0" w:color="auto"/>
            </w:tcBorders>
            <w:shd w:val="clear" w:color="auto" w:fill="auto"/>
            <w:noWrap/>
            <w:vAlign w:val="center"/>
            <w:hideMark/>
          </w:tcPr>
          <w:p w14:paraId="311BCA4F" w14:textId="77777777" w:rsidR="00DF711C" w:rsidRPr="00763D86" w:rsidRDefault="00DF711C" w:rsidP="00763D86">
            <w:pPr>
              <w:spacing w:line="240" w:lineRule="auto"/>
              <w:ind w:firstLine="0"/>
              <w:jc w:val="right"/>
              <w:rPr>
                <w:rFonts w:ascii="Tahoma" w:eastAsia="Times New Roman" w:hAnsi="Tahoma" w:cs="Tahoma"/>
                <w:color w:val="000000"/>
                <w:szCs w:val="24"/>
                <w:lang w:val="es-CO" w:eastAsia="es-CO"/>
              </w:rPr>
            </w:pPr>
            <w:r w:rsidRPr="00763D86">
              <w:rPr>
                <w:rFonts w:ascii="Tahoma" w:eastAsia="Times New Roman" w:hAnsi="Tahoma" w:cs="Tahoma"/>
                <w:color w:val="000000"/>
                <w:szCs w:val="24"/>
                <w:lang w:val="es-CO" w:eastAsia="es-CO"/>
              </w:rPr>
              <w:t>31-ene-23</w:t>
            </w:r>
          </w:p>
        </w:tc>
        <w:tc>
          <w:tcPr>
            <w:tcW w:w="1188" w:type="dxa"/>
            <w:tcBorders>
              <w:top w:val="nil"/>
              <w:left w:val="nil"/>
              <w:bottom w:val="single" w:sz="4" w:space="0" w:color="auto"/>
              <w:right w:val="single" w:sz="4" w:space="0" w:color="auto"/>
            </w:tcBorders>
            <w:shd w:val="clear" w:color="auto" w:fill="auto"/>
            <w:noWrap/>
            <w:vAlign w:val="bottom"/>
            <w:hideMark/>
          </w:tcPr>
          <w:p w14:paraId="122D1730" w14:textId="77777777"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1,00  </w:t>
            </w:r>
          </w:p>
        </w:tc>
        <w:tc>
          <w:tcPr>
            <w:tcW w:w="1275" w:type="dxa"/>
            <w:tcBorders>
              <w:top w:val="nil"/>
              <w:left w:val="nil"/>
              <w:bottom w:val="nil"/>
              <w:right w:val="nil"/>
            </w:tcBorders>
            <w:shd w:val="clear" w:color="auto" w:fill="auto"/>
            <w:vAlign w:val="bottom"/>
            <w:hideMark/>
          </w:tcPr>
          <w:p w14:paraId="66DF41C9" w14:textId="5F8F8E14"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$1.160.000 </w:t>
            </w:r>
          </w:p>
        </w:tc>
        <w:tc>
          <w:tcPr>
            <w:tcW w:w="1535" w:type="dxa"/>
            <w:tcBorders>
              <w:top w:val="nil"/>
              <w:left w:val="single" w:sz="4" w:space="0" w:color="003366"/>
              <w:bottom w:val="single" w:sz="4" w:space="0" w:color="003366"/>
              <w:right w:val="single" w:sz="4" w:space="0" w:color="003366"/>
            </w:tcBorders>
            <w:shd w:val="clear" w:color="auto" w:fill="auto"/>
            <w:vAlign w:val="bottom"/>
            <w:hideMark/>
          </w:tcPr>
          <w:p w14:paraId="1DEBA273" w14:textId="2A739208" w:rsidR="00DF711C" w:rsidRPr="00763D86" w:rsidRDefault="00DF711C" w:rsidP="00763D86">
            <w:pPr>
              <w:spacing w:line="240" w:lineRule="auto"/>
              <w:ind w:firstLine="0"/>
              <w:jc w:val="center"/>
              <w:rPr>
                <w:rFonts w:ascii="Tahoma" w:eastAsia="Times New Roman" w:hAnsi="Tahoma" w:cs="Tahoma"/>
                <w:szCs w:val="24"/>
                <w:lang w:val="es-CO" w:eastAsia="es-CO"/>
              </w:rPr>
            </w:pPr>
            <w:r w:rsidRPr="00763D86">
              <w:rPr>
                <w:rFonts w:ascii="Tahoma" w:eastAsia="Times New Roman" w:hAnsi="Tahoma" w:cs="Tahoma"/>
                <w:szCs w:val="24"/>
                <w:lang w:val="es-CO" w:eastAsia="es-CO"/>
              </w:rPr>
              <w:t xml:space="preserve">$ 580.000 </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73C3D4DD" w14:textId="621B7E8A" w:rsidR="00DF711C" w:rsidRPr="00763D86" w:rsidRDefault="0035174C" w:rsidP="00763D86">
            <w:pPr>
              <w:spacing w:line="240" w:lineRule="auto"/>
              <w:ind w:firstLine="0"/>
              <w:jc w:val="center"/>
              <w:rPr>
                <w:rFonts w:ascii="Tahoma" w:eastAsia="Times New Roman" w:hAnsi="Tahoma" w:cs="Tahoma"/>
                <w:b/>
                <w:bCs/>
                <w:color w:val="000000"/>
                <w:szCs w:val="24"/>
                <w:lang w:val="es-CO" w:eastAsia="es-CO"/>
              </w:rPr>
            </w:pPr>
            <w:r>
              <w:rPr>
                <w:rFonts w:ascii="Tahoma" w:eastAsia="Times New Roman" w:hAnsi="Tahoma" w:cs="Tahoma"/>
                <w:b/>
                <w:bCs/>
                <w:color w:val="000000"/>
                <w:szCs w:val="24"/>
                <w:lang w:val="es-CO" w:eastAsia="es-CO"/>
              </w:rPr>
              <w:t xml:space="preserve">$    </w:t>
            </w:r>
            <w:r w:rsidR="00DF711C" w:rsidRPr="00763D86">
              <w:rPr>
                <w:rFonts w:ascii="Tahoma" w:eastAsia="Times New Roman" w:hAnsi="Tahoma" w:cs="Tahoma"/>
                <w:b/>
                <w:bCs/>
                <w:color w:val="000000"/>
                <w:szCs w:val="24"/>
                <w:lang w:val="es-CO" w:eastAsia="es-CO"/>
              </w:rPr>
              <w:t xml:space="preserve">580.000 </w:t>
            </w:r>
          </w:p>
        </w:tc>
      </w:tr>
      <w:tr w:rsidR="00DF711C" w:rsidRPr="00763D86" w14:paraId="75CDD4F4" w14:textId="77777777" w:rsidTr="0035174C">
        <w:trPr>
          <w:trHeight w:val="300"/>
        </w:trPr>
        <w:tc>
          <w:tcPr>
            <w:tcW w:w="5665" w:type="dxa"/>
            <w:gridSpan w:val="5"/>
            <w:tcBorders>
              <w:top w:val="single" w:sz="4" w:space="0" w:color="auto"/>
              <w:left w:val="single" w:sz="4" w:space="0" w:color="auto"/>
              <w:bottom w:val="single" w:sz="4" w:space="0" w:color="auto"/>
              <w:right w:val="nil"/>
            </w:tcBorders>
            <w:shd w:val="clear" w:color="auto" w:fill="auto"/>
            <w:noWrap/>
            <w:vAlign w:val="bottom"/>
            <w:hideMark/>
          </w:tcPr>
          <w:p w14:paraId="7743AB09"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TOTAL RETROACTIVO</w:t>
            </w:r>
          </w:p>
        </w:tc>
        <w:tc>
          <w:tcPr>
            <w:tcW w:w="1535" w:type="dxa"/>
            <w:tcBorders>
              <w:top w:val="single" w:sz="4" w:space="0" w:color="auto"/>
              <w:left w:val="nil"/>
              <w:bottom w:val="single" w:sz="4" w:space="0" w:color="auto"/>
              <w:right w:val="nil"/>
            </w:tcBorders>
            <w:shd w:val="clear" w:color="auto" w:fill="auto"/>
            <w:noWrap/>
            <w:vAlign w:val="bottom"/>
            <w:hideMark/>
          </w:tcPr>
          <w:p w14:paraId="7A05612A" w14:textId="77777777" w:rsidR="00DF711C" w:rsidRPr="00763D86" w:rsidRDefault="00DF711C" w:rsidP="00763D86">
            <w:pPr>
              <w:spacing w:line="240" w:lineRule="auto"/>
              <w:ind w:firstLine="0"/>
              <w:jc w:val="center"/>
              <w:rPr>
                <w:rFonts w:ascii="Tahoma" w:eastAsia="Times New Roman" w:hAnsi="Tahoma" w:cs="Tahoma"/>
                <w:b/>
                <w:bCs/>
                <w:color w:val="000000"/>
                <w:szCs w:val="24"/>
                <w:lang w:val="es-CO" w:eastAsia="es-CO"/>
              </w:rPr>
            </w:pPr>
            <w:r w:rsidRPr="00763D86">
              <w:rPr>
                <w:rFonts w:ascii="Tahoma" w:eastAsia="Times New Roman" w:hAnsi="Tahoma" w:cs="Tahoma"/>
                <w:b/>
                <w:bCs/>
                <w:color w:val="000000"/>
                <w:szCs w:val="24"/>
                <w:lang w:val="es-CO" w:eastAsia="es-CO"/>
              </w:rPr>
              <w:t> </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14:paraId="3B6D93DA" w14:textId="4A2DAB47" w:rsidR="00DF711C" w:rsidRPr="00763D86" w:rsidRDefault="0035174C" w:rsidP="00763D86">
            <w:pPr>
              <w:spacing w:line="240" w:lineRule="auto"/>
              <w:ind w:firstLine="0"/>
              <w:jc w:val="center"/>
              <w:rPr>
                <w:rFonts w:ascii="Tahoma" w:eastAsia="Times New Roman" w:hAnsi="Tahoma" w:cs="Tahoma"/>
                <w:b/>
                <w:bCs/>
                <w:color w:val="000000"/>
                <w:szCs w:val="24"/>
                <w:lang w:val="es-CO" w:eastAsia="es-CO"/>
              </w:rPr>
            </w:pPr>
            <w:r>
              <w:rPr>
                <w:rFonts w:ascii="Tahoma" w:eastAsia="Times New Roman" w:hAnsi="Tahoma" w:cs="Tahoma"/>
                <w:b/>
                <w:bCs/>
                <w:color w:val="000000"/>
                <w:szCs w:val="24"/>
                <w:lang w:val="es-CO" w:eastAsia="es-CO"/>
              </w:rPr>
              <w:t xml:space="preserve">$ </w:t>
            </w:r>
            <w:r w:rsidR="00DF711C" w:rsidRPr="00763D86">
              <w:rPr>
                <w:rFonts w:ascii="Tahoma" w:eastAsia="Times New Roman" w:hAnsi="Tahoma" w:cs="Tahoma"/>
                <w:b/>
                <w:bCs/>
                <w:color w:val="000000"/>
                <w:szCs w:val="24"/>
                <w:lang w:val="es-CO" w:eastAsia="es-CO"/>
              </w:rPr>
              <w:t>26.417.619</w:t>
            </w:r>
          </w:p>
        </w:tc>
      </w:tr>
    </w:tbl>
    <w:p w14:paraId="35764941" w14:textId="45E33ADB" w:rsidR="009A1ED9" w:rsidRPr="006B1A59" w:rsidRDefault="009A1ED9" w:rsidP="006B1A59">
      <w:pPr>
        <w:pStyle w:val="NormalWeb"/>
        <w:shd w:val="clear" w:color="auto" w:fill="FFFFFF" w:themeFill="background1"/>
        <w:spacing w:before="0" w:beforeAutospacing="0" w:after="0" w:afterAutospacing="0" w:line="276" w:lineRule="auto"/>
        <w:ind w:firstLine="709"/>
        <w:jc w:val="both"/>
        <w:rPr>
          <w:rFonts w:ascii="Tahoma" w:hAnsi="Tahoma" w:cs="Tahoma"/>
        </w:rPr>
      </w:pPr>
    </w:p>
    <w:p w14:paraId="394AD2EF" w14:textId="77777777" w:rsidR="000A741E" w:rsidRPr="006B1A59" w:rsidRDefault="07E8CC3B" w:rsidP="006B1A59">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r w:rsidRPr="006B1A59">
        <w:rPr>
          <w:rFonts w:ascii="Tahoma" w:hAnsi="Tahoma" w:cs="Tahoma"/>
          <w:shd w:val="clear" w:color="auto" w:fill="FFFFFF"/>
        </w:rPr>
        <w:t xml:space="preserve"> </w:t>
      </w:r>
    </w:p>
    <w:p w14:paraId="0217FF3A" w14:textId="58E3E165" w:rsidR="009A1ED9" w:rsidRPr="006B1A59" w:rsidRDefault="5554F963" w:rsidP="006B1A59">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6B1A59">
        <w:rPr>
          <w:rFonts w:ascii="Tahoma" w:hAnsi="Tahoma" w:cs="Tahoma"/>
          <w:shd w:val="clear" w:color="auto" w:fill="FFFFFF"/>
        </w:rPr>
        <w:t xml:space="preserve">De acuerdo con lo anterior, </w:t>
      </w:r>
      <w:r w:rsidR="00DF711C" w:rsidRPr="006B1A59">
        <w:rPr>
          <w:rFonts w:ascii="Tahoma" w:hAnsi="Tahoma" w:cs="Tahoma"/>
          <w:shd w:val="clear" w:color="auto" w:fill="FFFFFF"/>
        </w:rPr>
        <w:t>PORVENIR S.A.</w:t>
      </w:r>
      <w:r w:rsidRPr="006B1A59">
        <w:rPr>
          <w:rFonts w:ascii="Tahoma" w:hAnsi="Tahoma" w:cs="Tahoma"/>
          <w:shd w:val="clear" w:color="auto" w:fill="FFFFFF"/>
        </w:rPr>
        <w:t xml:space="preserve"> deberá pagar a</w:t>
      </w:r>
      <w:r w:rsidR="00DF711C" w:rsidRPr="006B1A59">
        <w:rPr>
          <w:rFonts w:ascii="Tahoma" w:hAnsi="Tahoma" w:cs="Tahoma"/>
          <w:shd w:val="clear" w:color="auto" w:fill="FFFFFF"/>
        </w:rPr>
        <w:t xml:space="preserve"> </w:t>
      </w:r>
      <w:r w:rsidRPr="006B1A59">
        <w:rPr>
          <w:rFonts w:ascii="Tahoma" w:hAnsi="Tahoma" w:cs="Tahoma"/>
          <w:shd w:val="clear" w:color="auto" w:fill="FFFFFF"/>
        </w:rPr>
        <w:t>l</w:t>
      </w:r>
      <w:r w:rsidR="00DF711C" w:rsidRPr="006B1A59">
        <w:rPr>
          <w:rFonts w:ascii="Tahoma" w:hAnsi="Tahoma" w:cs="Tahoma"/>
          <w:shd w:val="clear" w:color="auto" w:fill="FFFFFF"/>
        </w:rPr>
        <w:t>a</w:t>
      </w:r>
      <w:r w:rsidRPr="006B1A59">
        <w:rPr>
          <w:rFonts w:ascii="Tahoma" w:hAnsi="Tahoma" w:cs="Tahoma"/>
          <w:shd w:val="clear" w:color="auto" w:fill="FFFFFF"/>
        </w:rPr>
        <w:t xml:space="preserve"> demandante la suma de $</w:t>
      </w:r>
      <w:r w:rsidR="00DF711C" w:rsidRPr="006B1A59">
        <w:rPr>
          <w:rFonts w:ascii="Tahoma" w:hAnsi="Tahoma" w:cs="Tahoma"/>
          <w:shd w:val="clear" w:color="auto" w:fill="FFFFFF"/>
        </w:rPr>
        <w:t>26.417.619</w:t>
      </w:r>
      <w:r w:rsidRPr="006B1A59">
        <w:rPr>
          <w:rFonts w:ascii="Tahoma" w:hAnsi="Tahoma" w:cs="Tahoma"/>
          <w:shd w:val="clear" w:color="auto" w:fill="FFFFFF"/>
        </w:rPr>
        <w:t xml:space="preserve"> por concepto del retroactivo pensional causado </w:t>
      </w:r>
      <w:r w:rsidR="00DF711C" w:rsidRPr="006B1A59">
        <w:rPr>
          <w:rFonts w:ascii="Tahoma" w:hAnsi="Tahoma" w:cs="Tahoma"/>
          <w:shd w:val="clear" w:color="auto" w:fill="FFFFFF"/>
        </w:rPr>
        <w:t>entre el 01 de agosto de 2018 y el 31 de enero de 2023</w:t>
      </w:r>
      <w:r w:rsidR="4EEE62FF" w:rsidRPr="006B1A59">
        <w:rPr>
          <w:rFonts w:ascii="Tahoma" w:hAnsi="Tahoma" w:cs="Tahoma"/>
          <w:shd w:val="clear" w:color="auto" w:fill="FFFFFF"/>
        </w:rPr>
        <w:t>, sin perjuicio de las mesadas posteriores que se causen a partir del 1</w:t>
      </w:r>
      <w:r w:rsidR="00DF711C" w:rsidRPr="006B1A59">
        <w:rPr>
          <w:rFonts w:ascii="Tahoma" w:hAnsi="Tahoma" w:cs="Tahoma"/>
          <w:shd w:val="clear" w:color="auto" w:fill="FFFFFF"/>
        </w:rPr>
        <w:t>º de febrero de 2023</w:t>
      </w:r>
      <w:r w:rsidR="4EEE62FF" w:rsidRPr="006B1A59">
        <w:rPr>
          <w:rFonts w:ascii="Tahoma" w:hAnsi="Tahoma" w:cs="Tahoma"/>
          <w:shd w:val="clear" w:color="auto" w:fill="FFFFFF"/>
        </w:rPr>
        <w:t>.</w:t>
      </w:r>
    </w:p>
    <w:p w14:paraId="617F3EFF" w14:textId="7CBE7780" w:rsidR="009A1ED9" w:rsidRPr="006B1A59" w:rsidRDefault="009A1ED9" w:rsidP="006B1A59">
      <w:pPr>
        <w:pStyle w:val="NormalWeb"/>
        <w:shd w:val="clear" w:color="auto" w:fill="FFFFFF" w:themeFill="background1"/>
        <w:spacing w:before="0" w:beforeAutospacing="0" w:after="0" w:afterAutospacing="0" w:line="276" w:lineRule="auto"/>
        <w:ind w:firstLine="709"/>
        <w:jc w:val="both"/>
        <w:rPr>
          <w:rFonts w:ascii="Tahoma" w:hAnsi="Tahoma" w:cs="Tahoma"/>
        </w:rPr>
      </w:pPr>
    </w:p>
    <w:p w14:paraId="202BA702" w14:textId="55AB004E" w:rsidR="009A1ED9" w:rsidRPr="006B1A59" w:rsidRDefault="009A1ED9" w:rsidP="006B1A59">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6B1A59">
        <w:rPr>
          <w:rFonts w:ascii="Tahoma" w:hAnsi="Tahoma" w:cs="Tahoma"/>
          <w:shd w:val="clear" w:color="auto" w:fill="FFFFFF"/>
        </w:rPr>
        <w:t xml:space="preserve">Ello así, se confirmará la decisión de primera instancia </w:t>
      </w:r>
      <w:proofErr w:type="spellStart"/>
      <w:r w:rsidRPr="006B1A59">
        <w:rPr>
          <w:rFonts w:ascii="Tahoma" w:hAnsi="Tahoma" w:cs="Tahoma"/>
          <w:shd w:val="clear" w:color="auto" w:fill="FFFFFF"/>
        </w:rPr>
        <w:t>y</w:t>
      </w:r>
      <w:proofErr w:type="spellEnd"/>
      <w:r w:rsidRPr="006B1A59">
        <w:rPr>
          <w:rFonts w:ascii="Tahoma" w:hAnsi="Tahoma" w:cs="Tahoma"/>
          <w:shd w:val="clear" w:color="auto" w:fill="FFFFFF"/>
        </w:rPr>
        <w:t xml:space="preserve"> impondrá el pago de las costas de esta instancia a la entidad demandada. Liquídense por el juzgado de origen</w:t>
      </w:r>
      <w:r w:rsidR="6BBA739E" w:rsidRPr="006B1A59">
        <w:rPr>
          <w:rFonts w:ascii="Tahoma" w:hAnsi="Tahoma" w:cs="Tahoma"/>
          <w:shd w:val="clear" w:color="auto" w:fill="FFFFFF"/>
        </w:rPr>
        <w:t>.</w:t>
      </w:r>
    </w:p>
    <w:p w14:paraId="6364D4C5" w14:textId="3BAD83FE" w:rsidR="009A1ED9" w:rsidRPr="006B1A59" w:rsidRDefault="009A1ED9" w:rsidP="006B1A59">
      <w:pPr>
        <w:pStyle w:val="NormalWeb"/>
        <w:shd w:val="clear" w:color="auto" w:fill="FFFFFF" w:themeFill="background1"/>
        <w:spacing w:before="0" w:beforeAutospacing="0" w:after="0" w:afterAutospacing="0" w:line="276" w:lineRule="auto"/>
        <w:ind w:firstLine="709"/>
        <w:jc w:val="both"/>
        <w:rPr>
          <w:rFonts w:ascii="Tahoma" w:eastAsia="Tahoma" w:hAnsi="Tahoma" w:cs="Tahoma"/>
          <w:lang w:eastAsia="es-CO"/>
        </w:rPr>
      </w:pPr>
    </w:p>
    <w:p w14:paraId="126FF603" w14:textId="76435F52" w:rsidR="009A1ED9" w:rsidRPr="006B1A59" w:rsidRDefault="009A1ED9" w:rsidP="006B1A59">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r w:rsidRPr="006B1A59">
        <w:rPr>
          <w:rFonts w:ascii="Tahoma" w:eastAsia="Tahoma" w:hAnsi="Tahoma" w:cs="Tahoma"/>
          <w:lang w:eastAsia="es-CO"/>
        </w:rPr>
        <w:lastRenderedPageBreak/>
        <w:t xml:space="preserve">En mérito de lo expuesto, el </w:t>
      </w:r>
      <w:r w:rsidRPr="006B1A59">
        <w:rPr>
          <w:rFonts w:ascii="Tahoma" w:eastAsia="Tahoma" w:hAnsi="Tahoma" w:cs="Tahoma"/>
          <w:b/>
          <w:bCs/>
          <w:lang w:eastAsia="es-CO"/>
        </w:rPr>
        <w:t>Tribunal Superior del Distrito Judicial de Pereira - Risaralda, Sala Primera de Decisión Laboral,</w:t>
      </w:r>
      <w:r w:rsidRPr="006B1A59">
        <w:rPr>
          <w:rFonts w:ascii="Tahoma" w:eastAsia="Tahoma" w:hAnsi="Tahoma" w:cs="Tahoma"/>
          <w:lang w:eastAsia="es-CO"/>
        </w:rPr>
        <w:t xml:space="preserve"> administrando justicia en nombre de la República y por autoridad de la ley,</w:t>
      </w:r>
    </w:p>
    <w:p w14:paraId="6C3D9173" w14:textId="77777777" w:rsidR="009A1ED9" w:rsidRPr="006B1A59" w:rsidRDefault="009A1ED9" w:rsidP="006B1A59">
      <w:pPr>
        <w:spacing w:line="276" w:lineRule="auto"/>
        <w:ind w:firstLine="644"/>
        <w:rPr>
          <w:rFonts w:ascii="Tahoma" w:eastAsia="Tahoma" w:hAnsi="Tahoma" w:cs="Tahoma"/>
          <w:sz w:val="24"/>
          <w:szCs w:val="24"/>
          <w:lang w:eastAsia="es-CO"/>
        </w:rPr>
      </w:pPr>
      <w:r w:rsidRPr="006B1A59">
        <w:rPr>
          <w:rFonts w:ascii="Tahoma" w:eastAsia="Tahoma" w:hAnsi="Tahoma" w:cs="Tahoma"/>
          <w:sz w:val="24"/>
          <w:szCs w:val="24"/>
          <w:lang w:eastAsia="es-CO"/>
        </w:rPr>
        <w:t xml:space="preserve"> </w:t>
      </w:r>
    </w:p>
    <w:p w14:paraId="1101EA1B" w14:textId="77777777" w:rsidR="009A1ED9" w:rsidRPr="006B1A59" w:rsidRDefault="009A1ED9" w:rsidP="006B1A59">
      <w:pPr>
        <w:spacing w:line="276" w:lineRule="auto"/>
        <w:ind w:firstLine="284"/>
        <w:jc w:val="center"/>
        <w:rPr>
          <w:rFonts w:ascii="Tahoma" w:eastAsia="Tahoma" w:hAnsi="Tahoma" w:cs="Tahoma"/>
          <w:sz w:val="24"/>
          <w:szCs w:val="24"/>
          <w:lang w:eastAsia="es-CO"/>
        </w:rPr>
      </w:pPr>
      <w:r w:rsidRPr="006B1A59">
        <w:rPr>
          <w:rFonts w:ascii="Tahoma" w:eastAsia="Tahoma" w:hAnsi="Tahoma" w:cs="Tahoma"/>
          <w:b/>
          <w:bCs/>
          <w:sz w:val="24"/>
          <w:szCs w:val="24"/>
          <w:lang w:eastAsia="es-CO"/>
        </w:rPr>
        <w:t>RESUELVE</w:t>
      </w:r>
    </w:p>
    <w:p w14:paraId="117ED512" w14:textId="77777777" w:rsidR="009A1ED9" w:rsidRPr="006B1A59" w:rsidRDefault="009A1ED9" w:rsidP="006B1A59">
      <w:pPr>
        <w:spacing w:line="276" w:lineRule="auto"/>
        <w:rPr>
          <w:rFonts w:ascii="Tahoma" w:eastAsia="Tahoma" w:hAnsi="Tahoma" w:cs="Tahoma"/>
          <w:sz w:val="24"/>
          <w:szCs w:val="24"/>
          <w:lang w:eastAsia="es-CO"/>
        </w:rPr>
      </w:pPr>
      <w:r w:rsidRPr="006B1A59">
        <w:rPr>
          <w:rFonts w:ascii="Tahoma" w:eastAsia="Tahoma" w:hAnsi="Tahoma" w:cs="Tahoma"/>
          <w:b/>
          <w:bCs/>
          <w:sz w:val="24"/>
          <w:szCs w:val="24"/>
          <w:lang w:eastAsia="es-CO"/>
        </w:rPr>
        <w:t xml:space="preserve"> </w:t>
      </w:r>
    </w:p>
    <w:p w14:paraId="49C0BD0D" w14:textId="71A12100" w:rsidR="009A1ED9" w:rsidRPr="006B1A59" w:rsidRDefault="009A1ED9" w:rsidP="006B1A59">
      <w:pPr>
        <w:spacing w:line="276" w:lineRule="auto"/>
        <w:ind w:firstLine="708"/>
        <w:contextualSpacing/>
        <w:rPr>
          <w:rFonts w:ascii="Tahoma" w:hAnsi="Tahoma" w:cs="Tahoma"/>
          <w:sz w:val="24"/>
          <w:szCs w:val="24"/>
        </w:rPr>
      </w:pPr>
      <w:r w:rsidRPr="006B1A59">
        <w:rPr>
          <w:rFonts w:ascii="Tahoma" w:eastAsia="Times New Roman" w:hAnsi="Tahoma" w:cs="Tahoma"/>
          <w:b/>
          <w:bCs/>
          <w:sz w:val="24"/>
          <w:szCs w:val="24"/>
          <w:lang w:eastAsia="es-CO"/>
        </w:rPr>
        <w:t xml:space="preserve">PRIMERO: CONFIRMAR </w:t>
      </w:r>
      <w:r w:rsidRPr="006B1A59">
        <w:rPr>
          <w:rFonts w:ascii="Tahoma" w:eastAsia="Times New Roman" w:hAnsi="Tahoma" w:cs="Tahoma"/>
          <w:sz w:val="24"/>
          <w:szCs w:val="24"/>
          <w:lang w:eastAsia="es-CO"/>
        </w:rPr>
        <w:t>la sentencia</w:t>
      </w:r>
      <w:r w:rsidR="00C10DFE" w:rsidRPr="006B1A59">
        <w:rPr>
          <w:rFonts w:ascii="Tahoma" w:eastAsia="Times New Roman" w:hAnsi="Tahoma" w:cs="Tahoma"/>
          <w:sz w:val="24"/>
          <w:szCs w:val="24"/>
          <w:lang w:eastAsia="es-CO"/>
        </w:rPr>
        <w:t xml:space="preserve"> </w:t>
      </w:r>
      <w:r w:rsidRPr="006B1A59">
        <w:rPr>
          <w:rFonts w:ascii="Tahoma" w:hAnsi="Tahoma" w:cs="Tahoma"/>
          <w:sz w:val="24"/>
          <w:szCs w:val="24"/>
        </w:rPr>
        <w:t>proferida por el Juzgado Primero Laboral del Circuito de Pereira</w:t>
      </w:r>
      <w:r w:rsidR="00C10DFE" w:rsidRPr="006B1A59">
        <w:rPr>
          <w:rFonts w:ascii="Tahoma" w:hAnsi="Tahoma" w:cs="Tahoma"/>
          <w:sz w:val="24"/>
          <w:szCs w:val="24"/>
        </w:rPr>
        <w:t xml:space="preserve"> el 05 de agosto de 2022</w:t>
      </w:r>
      <w:r w:rsidRPr="006B1A59">
        <w:rPr>
          <w:rFonts w:ascii="Tahoma" w:hAnsi="Tahoma" w:cs="Tahoma"/>
          <w:sz w:val="24"/>
          <w:szCs w:val="24"/>
        </w:rPr>
        <w:t xml:space="preserve">, dentro del proceso ordinario laboral promovido por </w:t>
      </w:r>
      <w:r w:rsidR="00C10DFE" w:rsidRPr="006B1A59">
        <w:rPr>
          <w:rFonts w:ascii="Tahoma" w:hAnsi="Tahoma" w:cs="Tahoma"/>
          <w:sz w:val="24"/>
          <w:szCs w:val="24"/>
        </w:rPr>
        <w:t>LUZ ARBENY ZAPATA TAPASCO en contra de la ADMINISTRADORA DE FONDOS DE PENSIONES Y CESANTÍAS PORVENIR S.A., al cual fue vinculada la menor SOFIA HINCAPIÉ ZAPATA</w:t>
      </w:r>
      <w:r w:rsidR="2B14A6F3" w:rsidRPr="006B1A59">
        <w:rPr>
          <w:rFonts w:ascii="Tahoma" w:hAnsi="Tahoma" w:cs="Tahoma"/>
          <w:sz w:val="24"/>
          <w:szCs w:val="24"/>
        </w:rPr>
        <w:t xml:space="preserve">, actualizando la condena al </w:t>
      </w:r>
      <w:r w:rsidR="00C10DFE" w:rsidRPr="006B1A59">
        <w:rPr>
          <w:rFonts w:ascii="Tahoma" w:hAnsi="Tahoma" w:cs="Tahoma"/>
          <w:sz w:val="24"/>
          <w:szCs w:val="24"/>
        </w:rPr>
        <w:t>31 de enero de 2023</w:t>
      </w:r>
      <w:r w:rsidR="2B14A6F3" w:rsidRPr="006B1A59">
        <w:rPr>
          <w:rFonts w:ascii="Tahoma" w:hAnsi="Tahoma" w:cs="Tahoma"/>
          <w:sz w:val="24"/>
          <w:szCs w:val="24"/>
        </w:rPr>
        <w:t xml:space="preserve">, en la suma de </w:t>
      </w:r>
      <w:r w:rsidR="00C10DFE" w:rsidRPr="006B1A59">
        <w:rPr>
          <w:rFonts w:ascii="Tahoma" w:hAnsi="Tahoma" w:cs="Tahoma"/>
          <w:sz w:val="24"/>
          <w:szCs w:val="24"/>
        </w:rPr>
        <w:t>VEINTISÉIS MILLONES CUATROCIENTOS DIECISIETE MIL SEISCIENTOS DIECINUEVE PESOS</w:t>
      </w:r>
      <w:r w:rsidR="2B14A6F3" w:rsidRPr="006B1A59">
        <w:rPr>
          <w:rFonts w:ascii="Tahoma" w:hAnsi="Tahoma" w:cs="Tahoma"/>
          <w:sz w:val="24"/>
          <w:szCs w:val="24"/>
        </w:rPr>
        <w:t xml:space="preserve"> (</w:t>
      </w:r>
      <w:r w:rsidR="00C10DFE" w:rsidRPr="006B1A59">
        <w:rPr>
          <w:rFonts w:ascii="Tahoma" w:hAnsi="Tahoma" w:cs="Tahoma"/>
          <w:sz w:val="24"/>
          <w:szCs w:val="24"/>
        </w:rPr>
        <w:t>$26.417.619</w:t>
      </w:r>
      <w:r w:rsidR="2B14A6F3" w:rsidRPr="006B1A59">
        <w:rPr>
          <w:rFonts w:ascii="Tahoma" w:hAnsi="Tahoma" w:cs="Tahoma"/>
          <w:sz w:val="24"/>
          <w:szCs w:val="24"/>
        </w:rPr>
        <w:t>) por co</w:t>
      </w:r>
      <w:r w:rsidR="51A4989C" w:rsidRPr="006B1A59">
        <w:rPr>
          <w:rFonts w:ascii="Tahoma" w:hAnsi="Tahoma" w:cs="Tahoma"/>
          <w:sz w:val="24"/>
          <w:szCs w:val="24"/>
        </w:rPr>
        <w:t xml:space="preserve">ncepto del retroactivo pensional causado entre el </w:t>
      </w:r>
      <w:r w:rsidR="00C10DFE" w:rsidRPr="006B1A59">
        <w:rPr>
          <w:rFonts w:ascii="Tahoma" w:hAnsi="Tahoma" w:cs="Tahoma"/>
          <w:sz w:val="24"/>
          <w:szCs w:val="24"/>
        </w:rPr>
        <w:t>01 de agosto de 2018 y el 31 de enero de 2023</w:t>
      </w:r>
      <w:r w:rsidR="51A4989C" w:rsidRPr="006B1A59">
        <w:rPr>
          <w:rFonts w:ascii="Tahoma" w:hAnsi="Tahoma" w:cs="Tahoma"/>
          <w:sz w:val="24"/>
          <w:szCs w:val="24"/>
        </w:rPr>
        <w:t xml:space="preserve">, sin perjuicio de las mesadas posteriores que se causen a partir del 1° de </w:t>
      </w:r>
      <w:r w:rsidR="00C10DFE" w:rsidRPr="006B1A59">
        <w:rPr>
          <w:rFonts w:ascii="Tahoma" w:hAnsi="Tahoma" w:cs="Tahoma"/>
          <w:sz w:val="24"/>
          <w:szCs w:val="24"/>
        </w:rPr>
        <w:t>febrero de 2023</w:t>
      </w:r>
      <w:r w:rsidR="51A4989C" w:rsidRPr="006B1A59">
        <w:rPr>
          <w:rFonts w:ascii="Tahoma" w:hAnsi="Tahoma" w:cs="Tahoma"/>
          <w:sz w:val="24"/>
          <w:szCs w:val="24"/>
        </w:rPr>
        <w:t>.</w:t>
      </w:r>
    </w:p>
    <w:p w14:paraId="02216754" w14:textId="77777777" w:rsidR="009A1ED9" w:rsidRPr="006B1A59" w:rsidRDefault="009A1ED9" w:rsidP="006B1A59">
      <w:pPr>
        <w:spacing w:line="276" w:lineRule="auto"/>
        <w:ind w:firstLine="708"/>
        <w:rPr>
          <w:rFonts w:ascii="Tahoma" w:hAnsi="Tahoma" w:cs="Tahoma"/>
          <w:sz w:val="24"/>
          <w:szCs w:val="24"/>
        </w:rPr>
      </w:pPr>
      <w:r w:rsidRPr="006B1A59">
        <w:rPr>
          <w:rFonts w:ascii="Tahoma" w:hAnsi="Tahoma" w:cs="Tahoma"/>
          <w:sz w:val="24"/>
          <w:szCs w:val="24"/>
        </w:rPr>
        <w:t xml:space="preserve"> </w:t>
      </w:r>
    </w:p>
    <w:p w14:paraId="5685BF8E" w14:textId="5A5790B5" w:rsidR="009A1ED9" w:rsidRPr="006B1A59" w:rsidRDefault="009A1ED9" w:rsidP="006B1A59">
      <w:pPr>
        <w:spacing w:line="276" w:lineRule="auto"/>
        <w:ind w:firstLine="708"/>
        <w:contextualSpacing/>
        <w:rPr>
          <w:rFonts w:ascii="Tahoma" w:hAnsi="Tahoma" w:cs="Tahoma"/>
          <w:sz w:val="24"/>
          <w:szCs w:val="24"/>
        </w:rPr>
      </w:pPr>
      <w:r w:rsidRPr="006B1A59">
        <w:rPr>
          <w:rFonts w:ascii="Tahoma" w:hAnsi="Tahoma" w:cs="Tahoma"/>
          <w:b/>
          <w:bCs/>
          <w:sz w:val="24"/>
          <w:szCs w:val="24"/>
        </w:rPr>
        <w:t>SEGUNDO: CONDENAR</w:t>
      </w:r>
      <w:r w:rsidRPr="006B1A59">
        <w:rPr>
          <w:rFonts w:ascii="Tahoma" w:hAnsi="Tahoma" w:cs="Tahoma"/>
          <w:sz w:val="24"/>
          <w:szCs w:val="24"/>
        </w:rPr>
        <w:t xml:space="preserve"> en costas de segunda instancia a la entidad demandada en favor de la parte actora. Liquídense por el juzgado de origen. </w:t>
      </w:r>
    </w:p>
    <w:p w14:paraId="6D13FFD3" w14:textId="77777777" w:rsidR="006B1A59" w:rsidRPr="006B1A59" w:rsidRDefault="006B1A59" w:rsidP="006B1A59">
      <w:pPr>
        <w:spacing w:line="276" w:lineRule="auto"/>
        <w:ind w:firstLine="0"/>
        <w:rPr>
          <w:rFonts w:ascii="Tahoma" w:hAnsi="Tahoma" w:cs="Tahoma"/>
          <w:sz w:val="24"/>
          <w:szCs w:val="24"/>
          <w:lang w:val="es-CO"/>
        </w:rPr>
      </w:pPr>
      <w:bookmarkStart w:id="10" w:name="_Hlk126574973"/>
    </w:p>
    <w:p w14:paraId="334A392A" w14:textId="77777777" w:rsidR="006B1A59" w:rsidRPr="006B1A59" w:rsidRDefault="006B1A59" w:rsidP="006B1A59">
      <w:pPr>
        <w:spacing w:line="276" w:lineRule="auto"/>
        <w:ind w:firstLine="0"/>
        <w:jc w:val="center"/>
        <w:rPr>
          <w:rFonts w:ascii="Tahoma" w:eastAsia="Tahoma" w:hAnsi="Tahoma" w:cs="Tahoma"/>
          <w:b/>
          <w:bCs/>
          <w:sz w:val="24"/>
          <w:szCs w:val="24"/>
          <w:lang w:val="es-CO"/>
        </w:rPr>
      </w:pPr>
      <w:r w:rsidRPr="006B1A59">
        <w:rPr>
          <w:rFonts w:ascii="Tahoma" w:eastAsia="Tahoma" w:hAnsi="Tahoma" w:cs="Tahoma"/>
          <w:b/>
          <w:bCs/>
          <w:sz w:val="24"/>
          <w:szCs w:val="24"/>
          <w:lang w:val="es-CO"/>
        </w:rPr>
        <w:t>NOTIFÍQUESE Y CÚMPLASE</w:t>
      </w:r>
    </w:p>
    <w:p w14:paraId="417FCF4F" w14:textId="77777777" w:rsidR="006B1A59" w:rsidRPr="006B1A59" w:rsidRDefault="006B1A59" w:rsidP="006B1A59">
      <w:pPr>
        <w:spacing w:after="160" w:line="276" w:lineRule="auto"/>
        <w:ind w:firstLine="0"/>
        <w:rPr>
          <w:rFonts w:ascii="Tahoma" w:eastAsia="Segoe UI" w:hAnsi="Tahoma" w:cs="Tahoma"/>
          <w:sz w:val="24"/>
          <w:szCs w:val="24"/>
          <w:lang w:val="es-CO" w:eastAsia="es-CO"/>
        </w:rPr>
      </w:pPr>
      <w:r w:rsidRPr="006B1A59">
        <w:rPr>
          <w:rFonts w:ascii="Tahoma" w:eastAsia="Tahoma" w:hAnsi="Tahoma" w:cs="Tahoma"/>
          <w:sz w:val="24"/>
          <w:szCs w:val="24"/>
          <w:lang w:val="es-CO"/>
        </w:rPr>
        <w:t xml:space="preserve"> </w:t>
      </w:r>
    </w:p>
    <w:p w14:paraId="5F40D560" w14:textId="77777777" w:rsidR="006B1A59" w:rsidRPr="006B1A59" w:rsidRDefault="006B1A59" w:rsidP="006B1A59">
      <w:pPr>
        <w:widowControl w:val="0"/>
        <w:autoSpaceDE w:val="0"/>
        <w:autoSpaceDN w:val="0"/>
        <w:adjustRightInd w:val="0"/>
        <w:spacing w:line="276" w:lineRule="auto"/>
        <w:ind w:firstLine="0"/>
        <w:rPr>
          <w:rFonts w:ascii="Tahoma" w:eastAsia="Times New Roman" w:hAnsi="Tahoma" w:cs="Tahoma"/>
          <w:sz w:val="24"/>
          <w:szCs w:val="24"/>
          <w:lang w:eastAsia="es-ES"/>
        </w:rPr>
      </w:pPr>
      <w:r w:rsidRPr="006B1A59">
        <w:rPr>
          <w:rFonts w:ascii="Tahoma" w:eastAsia="Times New Roman" w:hAnsi="Tahoma" w:cs="Tahoma"/>
          <w:sz w:val="24"/>
          <w:szCs w:val="24"/>
          <w:lang w:eastAsia="es-ES"/>
        </w:rPr>
        <w:tab/>
        <w:t>La Magistrada ponente,</w:t>
      </w:r>
    </w:p>
    <w:p w14:paraId="5546AF3F" w14:textId="77777777" w:rsidR="006B1A59" w:rsidRPr="006B1A59" w:rsidRDefault="006B1A59" w:rsidP="006B1A59">
      <w:pPr>
        <w:spacing w:line="276" w:lineRule="auto"/>
        <w:ind w:firstLine="0"/>
        <w:jc w:val="left"/>
        <w:rPr>
          <w:rFonts w:ascii="Tahoma" w:eastAsia="Times New Roman" w:hAnsi="Tahoma" w:cs="Tahoma"/>
          <w:sz w:val="24"/>
          <w:szCs w:val="24"/>
          <w:lang w:eastAsia="es-ES"/>
        </w:rPr>
      </w:pPr>
    </w:p>
    <w:p w14:paraId="13BDE8E5" w14:textId="77777777" w:rsidR="006B1A59" w:rsidRPr="006B1A59" w:rsidRDefault="006B1A59" w:rsidP="006B1A59">
      <w:pPr>
        <w:spacing w:line="276" w:lineRule="auto"/>
        <w:ind w:firstLine="0"/>
        <w:jc w:val="left"/>
        <w:rPr>
          <w:rFonts w:ascii="Tahoma" w:eastAsia="Times New Roman" w:hAnsi="Tahoma" w:cs="Tahoma"/>
          <w:sz w:val="24"/>
          <w:szCs w:val="24"/>
          <w:lang w:eastAsia="es-ES"/>
        </w:rPr>
      </w:pPr>
    </w:p>
    <w:p w14:paraId="779C46F8" w14:textId="77777777" w:rsidR="006B1A59" w:rsidRPr="006B1A59" w:rsidRDefault="006B1A59" w:rsidP="006B1A59">
      <w:pPr>
        <w:spacing w:line="276" w:lineRule="auto"/>
        <w:ind w:firstLine="0"/>
        <w:jc w:val="left"/>
        <w:rPr>
          <w:rFonts w:ascii="Tahoma" w:eastAsia="Times New Roman" w:hAnsi="Tahoma" w:cs="Tahoma"/>
          <w:sz w:val="24"/>
          <w:szCs w:val="24"/>
          <w:lang w:eastAsia="es-ES"/>
        </w:rPr>
      </w:pPr>
    </w:p>
    <w:p w14:paraId="415B979F" w14:textId="77777777" w:rsidR="006B1A59" w:rsidRPr="006B1A59" w:rsidRDefault="006B1A59" w:rsidP="006B1A59">
      <w:pPr>
        <w:keepNext/>
        <w:spacing w:line="276" w:lineRule="auto"/>
        <w:ind w:firstLine="0"/>
        <w:jc w:val="center"/>
        <w:outlineLvl w:val="2"/>
        <w:rPr>
          <w:rFonts w:ascii="Tahoma" w:eastAsia="Times New Roman" w:hAnsi="Tahoma" w:cs="Tahoma"/>
          <w:b/>
          <w:bCs/>
          <w:sz w:val="24"/>
          <w:szCs w:val="24"/>
          <w:lang w:eastAsia="es-ES"/>
        </w:rPr>
      </w:pPr>
      <w:r w:rsidRPr="006B1A59">
        <w:rPr>
          <w:rFonts w:ascii="Tahoma" w:eastAsia="Times New Roman" w:hAnsi="Tahoma" w:cs="Tahoma"/>
          <w:b/>
          <w:bCs/>
          <w:sz w:val="24"/>
          <w:szCs w:val="24"/>
          <w:lang w:eastAsia="es-ES"/>
        </w:rPr>
        <w:t>ANA LUCÍA CAICEDO CALDERÓN</w:t>
      </w:r>
    </w:p>
    <w:p w14:paraId="71D48E98" w14:textId="77777777" w:rsidR="006B1A59" w:rsidRPr="006B1A59" w:rsidRDefault="006B1A59" w:rsidP="006B1A59">
      <w:pPr>
        <w:spacing w:line="276" w:lineRule="auto"/>
        <w:ind w:firstLine="0"/>
        <w:jc w:val="left"/>
        <w:rPr>
          <w:rFonts w:ascii="Tahoma" w:eastAsia="Times New Roman" w:hAnsi="Tahoma" w:cs="Tahoma"/>
          <w:sz w:val="24"/>
          <w:szCs w:val="24"/>
          <w:lang w:eastAsia="es-ES"/>
        </w:rPr>
      </w:pPr>
    </w:p>
    <w:p w14:paraId="026F4346" w14:textId="77777777" w:rsidR="006B1A59" w:rsidRPr="006B1A59" w:rsidRDefault="006B1A59" w:rsidP="006B1A59">
      <w:pPr>
        <w:spacing w:line="276" w:lineRule="auto"/>
        <w:ind w:firstLine="708"/>
        <w:jc w:val="left"/>
        <w:rPr>
          <w:rFonts w:ascii="Tahoma" w:eastAsia="Times New Roman" w:hAnsi="Tahoma" w:cs="Tahoma"/>
          <w:sz w:val="24"/>
          <w:szCs w:val="24"/>
          <w:lang w:eastAsia="es-ES"/>
        </w:rPr>
      </w:pPr>
      <w:bookmarkStart w:id="11" w:name="_Hlk62478330"/>
      <w:r w:rsidRPr="006B1A59">
        <w:rPr>
          <w:rFonts w:ascii="Tahoma" w:eastAsia="Times New Roman" w:hAnsi="Tahoma" w:cs="Tahoma"/>
          <w:sz w:val="24"/>
          <w:szCs w:val="24"/>
          <w:lang w:eastAsia="es-ES"/>
        </w:rPr>
        <w:t>La Magistrada y el Magistrado,</w:t>
      </w:r>
    </w:p>
    <w:p w14:paraId="01749732" w14:textId="77777777" w:rsidR="006B1A59" w:rsidRPr="006B1A59" w:rsidRDefault="006B1A59" w:rsidP="006B1A59">
      <w:pPr>
        <w:spacing w:line="276" w:lineRule="auto"/>
        <w:ind w:firstLine="0"/>
        <w:jc w:val="left"/>
        <w:rPr>
          <w:rFonts w:ascii="Tahoma" w:eastAsia="Times New Roman" w:hAnsi="Tahoma" w:cs="Tahoma"/>
          <w:sz w:val="24"/>
          <w:szCs w:val="24"/>
          <w:lang w:eastAsia="es-ES"/>
        </w:rPr>
      </w:pPr>
    </w:p>
    <w:p w14:paraId="70D90692" w14:textId="77777777" w:rsidR="006B1A59" w:rsidRPr="006B1A59" w:rsidRDefault="006B1A59" w:rsidP="006B1A59">
      <w:pPr>
        <w:spacing w:line="276" w:lineRule="auto"/>
        <w:ind w:firstLine="0"/>
        <w:jc w:val="left"/>
        <w:rPr>
          <w:rFonts w:ascii="Tahoma" w:eastAsia="Times New Roman" w:hAnsi="Tahoma" w:cs="Tahoma"/>
          <w:sz w:val="24"/>
          <w:szCs w:val="24"/>
          <w:lang w:eastAsia="es-ES"/>
        </w:rPr>
      </w:pPr>
    </w:p>
    <w:p w14:paraId="50DE02B9" w14:textId="77777777" w:rsidR="006B1A59" w:rsidRPr="006B1A59" w:rsidRDefault="006B1A59" w:rsidP="006B1A59">
      <w:pPr>
        <w:spacing w:line="276" w:lineRule="auto"/>
        <w:ind w:firstLine="0"/>
        <w:jc w:val="left"/>
        <w:rPr>
          <w:rFonts w:ascii="Tahoma" w:eastAsia="Times New Roman" w:hAnsi="Tahoma" w:cs="Tahoma"/>
          <w:sz w:val="24"/>
          <w:szCs w:val="24"/>
          <w:lang w:eastAsia="es-ES"/>
        </w:rPr>
      </w:pPr>
    </w:p>
    <w:p w14:paraId="2DF9830F" w14:textId="701B4B65" w:rsidR="00CE5BB7" w:rsidRPr="006B1A59" w:rsidRDefault="006B1A59" w:rsidP="006B1A59">
      <w:pPr>
        <w:spacing w:line="276" w:lineRule="auto"/>
        <w:ind w:firstLine="0"/>
        <w:rPr>
          <w:rFonts w:ascii="Tahoma" w:hAnsi="Tahoma" w:cs="Tahoma"/>
          <w:sz w:val="24"/>
          <w:szCs w:val="24"/>
        </w:rPr>
      </w:pPr>
      <w:r w:rsidRPr="006B1A59">
        <w:rPr>
          <w:rFonts w:ascii="Tahoma" w:eastAsia="Times New Roman" w:hAnsi="Tahoma" w:cs="Tahoma"/>
          <w:b/>
          <w:bCs/>
          <w:sz w:val="24"/>
          <w:szCs w:val="24"/>
          <w:lang w:eastAsia="es-ES"/>
        </w:rPr>
        <w:t>OLGA LUCÍA HOYOS SEPÚLVEDA</w:t>
      </w:r>
      <w:r w:rsidRPr="006B1A59">
        <w:rPr>
          <w:rFonts w:ascii="Tahoma" w:eastAsia="Times New Roman" w:hAnsi="Tahoma" w:cs="Tahoma"/>
          <w:b/>
          <w:bCs/>
          <w:sz w:val="24"/>
          <w:szCs w:val="24"/>
          <w:lang w:eastAsia="es-ES"/>
        </w:rPr>
        <w:tab/>
      </w:r>
      <w:r w:rsidRPr="006B1A59">
        <w:rPr>
          <w:rFonts w:ascii="Tahoma" w:eastAsia="Times New Roman" w:hAnsi="Tahoma" w:cs="Tahoma"/>
          <w:b/>
          <w:bCs/>
          <w:sz w:val="24"/>
          <w:szCs w:val="24"/>
          <w:lang w:eastAsia="es-ES"/>
        </w:rPr>
        <w:tab/>
        <w:t>GERMÁN DARÍO GÓEZ VINASCO</w:t>
      </w:r>
      <w:bookmarkEnd w:id="10"/>
      <w:bookmarkEnd w:id="11"/>
    </w:p>
    <w:sectPr w:rsidR="00CE5BB7" w:rsidRPr="006B1A59" w:rsidSect="00EA125F">
      <w:headerReference w:type="default" r:id="rId11"/>
      <w:footerReference w:type="default" r:id="rId12"/>
      <w:headerReference w:type="firs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104003" w16cex:dateUtc="2023-01-31T13:49:48.6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C797" w14:textId="77777777" w:rsidR="0087504E" w:rsidRDefault="0087504E" w:rsidP="001C5C55">
      <w:pPr>
        <w:spacing w:line="240" w:lineRule="auto"/>
      </w:pPr>
      <w:r>
        <w:separator/>
      </w:r>
    </w:p>
  </w:endnote>
  <w:endnote w:type="continuationSeparator" w:id="0">
    <w:p w14:paraId="213BB20E" w14:textId="77777777" w:rsidR="0087504E" w:rsidRDefault="0087504E"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1E705D51" w14:textId="622D9544" w:rsidR="00BF4D5B" w:rsidRPr="00763D86" w:rsidRDefault="006C1CA4">
        <w:pPr>
          <w:pStyle w:val="Piedepgina"/>
          <w:jc w:val="right"/>
          <w:rPr>
            <w:rFonts w:ascii="Arial" w:eastAsia="Times New Roman" w:hAnsi="Arial" w:cs="Arial"/>
            <w:sz w:val="18"/>
            <w:szCs w:val="16"/>
            <w:lang w:eastAsia="es-ES"/>
          </w:rPr>
        </w:pPr>
        <w:r w:rsidRPr="00763D86">
          <w:rPr>
            <w:rFonts w:ascii="Arial" w:eastAsia="Times New Roman" w:hAnsi="Arial" w:cs="Arial"/>
            <w:sz w:val="18"/>
            <w:szCs w:val="16"/>
            <w:lang w:eastAsia="es-ES"/>
          </w:rPr>
          <w:fldChar w:fldCharType="begin"/>
        </w:r>
        <w:r w:rsidRPr="00763D86">
          <w:rPr>
            <w:rFonts w:ascii="Arial" w:eastAsia="Times New Roman" w:hAnsi="Arial" w:cs="Arial"/>
            <w:sz w:val="18"/>
            <w:szCs w:val="16"/>
            <w:lang w:eastAsia="es-ES"/>
          </w:rPr>
          <w:instrText>PAGE   \* MERGEFORMAT</w:instrText>
        </w:r>
        <w:r w:rsidRPr="00763D86">
          <w:rPr>
            <w:rFonts w:ascii="Arial" w:eastAsia="Times New Roman" w:hAnsi="Arial" w:cs="Arial"/>
            <w:sz w:val="18"/>
            <w:szCs w:val="16"/>
            <w:lang w:eastAsia="es-ES"/>
          </w:rPr>
          <w:fldChar w:fldCharType="separate"/>
        </w:r>
        <w:r w:rsidR="00576840" w:rsidRPr="00763D86">
          <w:rPr>
            <w:rFonts w:ascii="Arial" w:eastAsia="Times New Roman" w:hAnsi="Arial" w:cs="Arial"/>
            <w:sz w:val="18"/>
            <w:szCs w:val="16"/>
            <w:lang w:eastAsia="es-ES"/>
          </w:rPr>
          <w:t>2</w:t>
        </w:r>
        <w:r w:rsidRPr="00763D86">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57A6" w14:textId="77777777" w:rsidR="0087504E" w:rsidRDefault="0087504E" w:rsidP="001C5C55">
      <w:pPr>
        <w:spacing w:line="240" w:lineRule="auto"/>
      </w:pPr>
      <w:r>
        <w:separator/>
      </w:r>
    </w:p>
  </w:footnote>
  <w:footnote w:type="continuationSeparator" w:id="0">
    <w:p w14:paraId="4A648062" w14:textId="77777777" w:rsidR="0087504E" w:rsidRDefault="0087504E"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3693" w14:textId="6BB646E5" w:rsidR="006D671B" w:rsidRPr="00763D86" w:rsidRDefault="006D671B" w:rsidP="00763D86">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763D86">
      <w:rPr>
        <w:rFonts w:ascii="Arial" w:hAnsi="Arial" w:cs="Arial"/>
        <w:sz w:val="18"/>
        <w:szCs w:val="16"/>
      </w:rPr>
      <w:t xml:space="preserve">Radicación No.: </w:t>
    </w:r>
    <w:r w:rsidRPr="00763D86">
      <w:rPr>
        <w:rFonts w:ascii="Arial" w:hAnsi="Arial" w:cs="Arial"/>
        <w:sz w:val="18"/>
        <w:szCs w:val="16"/>
      </w:rPr>
      <w:tab/>
      <w:t>66001-31-05-001-2019-00240- 01</w:t>
    </w:r>
  </w:p>
  <w:p w14:paraId="48DFA335" w14:textId="77777777" w:rsidR="006D671B" w:rsidRPr="00763D86" w:rsidRDefault="006D671B" w:rsidP="00763D86">
    <w:pPr>
      <w:pStyle w:val="NormalWeb"/>
      <w:spacing w:before="0" w:beforeAutospacing="0" w:after="0" w:afterAutospacing="0"/>
      <w:jc w:val="both"/>
      <w:rPr>
        <w:rFonts w:ascii="Arial" w:hAnsi="Arial" w:cs="Arial"/>
        <w:sz w:val="18"/>
        <w:szCs w:val="16"/>
      </w:rPr>
    </w:pPr>
    <w:r w:rsidRPr="00763D86">
      <w:rPr>
        <w:rFonts w:ascii="Arial" w:hAnsi="Arial" w:cs="Arial"/>
        <w:sz w:val="18"/>
        <w:szCs w:val="16"/>
      </w:rPr>
      <w:t xml:space="preserve">Proceso: </w:t>
    </w:r>
    <w:r w:rsidRPr="00763D86">
      <w:rPr>
        <w:rFonts w:ascii="Arial" w:hAnsi="Arial" w:cs="Arial"/>
        <w:sz w:val="18"/>
        <w:szCs w:val="16"/>
      </w:rPr>
      <w:tab/>
      <w:t xml:space="preserve">Ordinario Laboral </w:t>
    </w:r>
  </w:p>
  <w:p w14:paraId="46850132" w14:textId="763B73BB" w:rsidR="006D671B" w:rsidRPr="00763D86" w:rsidRDefault="006D671B" w:rsidP="00763D86">
    <w:pPr>
      <w:pStyle w:val="NormalWeb"/>
      <w:spacing w:before="0" w:beforeAutospacing="0" w:after="0" w:afterAutospacing="0"/>
      <w:jc w:val="both"/>
      <w:rPr>
        <w:rFonts w:ascii="Arial" w:hAnsi="Arial" w:cs="Arial"/>
        <w:sz w:val="22"/>
        <w:szCs w:val="20"/>
        <w:shd w:val="clear" w:color="auto" w:fill="FAF9F8"/>
      </w:rPr>
    </w:pPr>
    <w:r w:rsidRPr="00763D86">
      <w:rPr>
        <w:rFonts w:ascii="Arial" w:hAnsi="Arial" w:cs="Arial"/>
        <w:sz w:val="18"/>
        <w:szCs w:val="16"/>
      </w:rPr>
      <w:t xml:space="preserve">Demandante: </w:t>
    </w:r>
    <w:r w:rsidRPr="00763D86">
      <w:rPr>
        <w:rFonts w:ascii="Arial" w:hAnsi="Arial" w:cs="Arial"/>
        <w:sz w:val="18"/>
        <w:szCs w:val="16"/>
      </w:rPr>
      <w:tab/>
    </w:r>
    <w:r w:rsidRPr="00763D86">
      <w:rPr>
        <w:rFonts w:ascii="Arial" w:hAnsi="Arial" w:cs="Arial"/>
        <w:color w:val="000000"/>
        <w:sz w:val="18"/>
        <w:szCs w:val="16"/>
      </w:rPr>
      <w:t xml:space="preserve">Luz </w:t>
    </w:r>
    <w:proofErr w:type="spellStart"/>
    <w:r w:rsidRPr="00763D86">
      <w:rPr>
        <w:rFonts w:ascii="Arial" w:hAnsi="Arial" w:cs="Arial"/>
        <w:color w:val="000000"/>
        <w:sz w:val="18"/>
        <w:szCs w:val="16"/>
      </w:rPr>
      <w:t>Arbeny</w:t>
    </w:r>
    <w:proofErr w:type="spellEnd"/>
    <w:r w:rsidRPr="00763D86">
      <w:rPr>
        <w:rFonts w:ascii="Arial" w:hAnsi="Arial" w:cs="Arial"/>
        <w:color w:val="000000"/>
        <w:sz w:val="18"/>
        <w:szCs w:val="16"/>
      </w:rPr>
      <w:t xml:space="preserve"> Zapata </w:t>
    </w:r>
    <w:proofErr w:type="spellStart"/>
    <w:r w:rsidRPr="00763D86">
      <w:rPr>
        <w:rFonts w:ascii="Arial" w:hAnsi="Arial" w:cs="Arial"/>
        <w:color w:val="000000"/>
        <w:sz w:val="18"/>
        <w:szCs w:val="16"/>
      </w:rPr>
      <w:t>Tapasco</w:t>
    </w:r>
    <w:proofErr w:type="spellEnd"/>
  </w:p>
  <w:p w14:paraId="6611EFB4" w14:textId="25F0A0CA" w:rsidR="00544E08" w:rsidRPr="00763D86" w:rsidRDefault="006D671B" w:rsidP="00763D86">
    <w:pPr>
      <w:pStyle w:val="NormalWeb"/>
      <w:spacing w:before="0" w:beforeAutospacing="0" w:after="0" w:afterAutospacing="0"/>
      <w:jc w:val="both"/>
      <w:rPr>
        <w:rFonts w:ascii="Arial" w:hAnsi="Arial" w:cs="Arial"/>
        <w:sz w:val="18"/>
        <w:szCs w:val="16"/>
      </w:rPr>
    </w:pPr>
    <w:r w:rsidRPr="00763D86">
      <w:rPr>
        <w:rFonts w:ascii="Arial" w:hAnsi="Arial" w:cs="Arial"/>
        <w:sz w:val="18"/>
        <w:szCs w:val="16"/>
      </w:rPr>
      <w:t xml:space="preserve">Demandado: </w:t>
    </w:r>
    <w:r w:rsidRPr="00763D86">
      <w:rPr>
        <w:rFonts w:ascii="Arial" w:hAnsi="Arial" w:cs="Arial"/>
        <w:sz w:val="18"/>
        <w:szCs w:val="16"/>
      </w:rPr>
      <w:tab/>
    </w:r>
    <w:r w:rsidRPr="00763D86">
      <w:rPr>
        <w:rFonts w:ascii="Arial" w:hAnsi="Arial" w:cs="Arial"/>
        <w:color w:val="000000"/>
        <w:sz w:val="18"/>
        <w:szCs w:val="16"/>
      </w:rPr>
      <w:t>Porvenir 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287C" w14:textId="424374F1" w:rsidR="005F0737" w:rsidRPr="005F0737" w:rsidRDefault="005F0737" w:rsidP="006D671B">
    <w:pPr>
      <w:pStyle w:val="Encabezado"/>
      <w:ind w:firstLine="0"/>
      <w:rPr>
        <w:sz w:val="16"/>
        <w:szCs w:val="16"/>
      </w:rPr>
    </w:pPr>
  </w:p>
  <w:p w14:paraId="760A0524" w14:textId="77777777" w:rsidR="005F0737" w:rsidRDefault="005F07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1"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5"/>
  </w:num>
  <w:num w:numId="2">
    <w:abstractNumId w:val="12"/>
  </w:num>
  <w:num w:numId="3">
    <w:abstractNumId w:val="4"/>
  </w:num>
  <w:num w:numId="4">
    <w:abstractNumId w:val="1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0576"/>
    <w:rsid w:val="00003C73"/>
    <w:rsid w:val="00005A8C"/>
    <w:rsid w:val="00005D87"/>
    <w:rsid w:val="000075D3"/>
    <w:rsid w:val="0001123B"/>
    <w:rsid w:val="000224A2"/>
    <w:rsid w:val="000277FA"/>
    <w:rsid w:val="00030595"/>
    <w:rsid w:val="000312C4"/>
    <w:rsid w:val="00032BCB"/>
    <w:rsid w:val="00036566"/>
    <w:rsid w:val="00036A4A"/>
    <w:rsid w:val="0003735F"/>
    <w:rsid w:val="000439EB"/>
    <w:rsid w:val="00046542"/>
    <w:rsid w:val="00047BED"/>
    <w:rsid w:val="00054421"/>
    <w:rsid w:val="000613CA"/>
    <w:rsid w:val="00062A9C"/>
    <w:rsid w:val="00065018"/>
    <w:rsid w:val="0007363E"/>
    <w:rsid w:val="00083AA6"/>
    <w:rsid w:val="00090962"/>
    <w:rsid w:val="000974A7"/>
    <w:rsid w:val="000A22E7"/>
    <w:rsid w:val="000A6DE9"/>
    <w:rsid w:val="000A741E"/>
    <w:rsid w:val="000B0BA2"/>
    <w:rsid w:val="000B7630"/>
    <w:rsid w:val="000C1608"/>
    <w:rsid w:val="000C29B4"/>
    <w:rsid w:val="000C3829"/>
    <w:rsid w:val="000C41A1"/>
    <w:rsid w:val="000C47E3"/>
    <w:rsid w:val="000C5099"/>
    <w:rsid w:val="000D0DC7"/>
    <w:rsid w:val="000D4994"/>
    <w:rsid w:val="000D4AFA"/>
    <w:rsid w:val="000D76AA"/>
    <w:rsid w:val="000E02D9"/>
    <w:rsid w:val="000E4759"/>
    <w:rsid w:val="000F4167"/>
    <w:rsid w:val="000F53E9"/>
    <w:rsid w:val="000F7327"/>
    <w:rsid w:val="0010514B"/>
    <w:rsid w:val="00106411"/>
    <w:rsid w:val="00111A98"/>
    <w:rsid w:val="00112456"/>
    <w:rsid w:val="00116069"/>
    <w:rsid w:val="00122A22"/>
    <w:rsid w:val="0012560F"/>
    <w:rsid w:val="001303A5"/>
    <w:rsid w:val="0013340A"/>
    <w:rsid w:val="001364A3"/>
    <w:rsid w:val="00145D2E"/>
    <w:rsid w:val="00153419"/>
    <w:rsid w:val="00157CF9"/>
    <w:rsid w:val="00162A1B"/>
    <w:rsid w:val="00164C30"/>
    <w:rsid w:val="001754FB"/>
    <w:rsid w:val="00183876"/>
    <w:rsid w:val="00184BE9"/>
    <w:rsid w:val="001856B6"/>
    <w:rsid w:val="00187144"/>
    <w:rsid w:val="0019535E"/>
    <w:rsid w:val="00196DDD"/>
    <w:rsid w:val="001A39D6"/>
    <w:rsid w:val="001A4B37"/>
    <w:rsid w:val="001B2D19"/>
    <w:rsid w:val="001B4362"/>
    <w:rsid w:val="001C1297"/>
    <w:rsid w:val="001C3BB7"/>
    <w:rsid w:val="001C5C55"/>
    <w:rsid w:val="001C789C"/>
    <w:rsid w:val="001D10AD"/>
    <w:rsid w:val="001D2334"/>
    <w:rsid w:val="001D25C1"/>
    <w:rsid w:val="001D3C29"/>
    <w:rsid w:val="001D6A25"/>
    <w:rsid w:val="001E1C03"/>
    <w:rsid w:val="001F138A"/>
    <w:rsid w:val="001F466D"/>
    <w:rsid w:val="001F6738"/>
    <w:rsid w:val="00200356"/>
    <w:rsid w:val="00204621"/>
    <w:rsid w:val="00210641"/>
    <w:rsid w:val="002208CB"/>
    <w:rsid w:val="0023384C"/>
    <w:rsid w:val="00235D63"/>
    <w:rsid w:val="00240A90"/>
    <w:rsid w:val="00246C58"/>
    <w:rsid w:val="00251EEC"/>
    <w:rsid w:val="00257723"/>
    <w:rsid w:val="0026352C"/>
    <w:rsid w:val="00266A78"/>
    <w:rsid w:val="00270192"/>
    <w:rsid w:val="002830A1"/>
    <w:rsid w:val="002956CF"/>
    <w:rsid w:val="002970B9"/>
    <w:rsid w:val="002A3355"/>
    <w:rsid w:val="002A5771"/>
    <w:rsid w:val="002B0215"/>
    <w:rsid w:val="002C3EFA"/>
    <w:rsid w:val="002C5830"/>
    <w:rsid w:val="002D0F7C"/>
    <w:rsid w:val="002D3BC2"/>
    <w:rsid w:val="002D4D75"/>
    <w:rsid w:val="002D68FD"/>
    <w:rsid w:val="002E3AC5"/>
    <w:rsid w:val="002E43B1"/>
    <w:rsid w:val="002E52CF"/>
    <w:rsid w:val="002E7149"/>
    <w:rsid w:val="002F1AB5"/>
    <w:rsid w:val="002F2E9B"/>
    <w:rsid w:val="002F4390"/>
    <w:rsid w:val="002F4948"/>
    <w:rsid w:val="0030061A"/>
    <w:rsid w:val="00302878"/>
    <w:rsid w:val="0030550E"/>
    <w:rsid w:val="00314B3C"/>
    <w:rsid w:val="00315D40"/>
    <w:rsid w:val="003166F5"/>
    <w:rsid w:val="003179D5"/>
    <w:rsid w:val="003228DF"/>
    <w:rsid w:val="00323328"/>
    <w:rsid w:val="003249BF"/>
    <w:rsid w:val="00324DDD"/>
    <w:rsid w:val="0032533C"/>
    <w:rsid w:val="0032634B"/>
    <w:rsid w:val="003358BE"/>
    <w:rsid w:val="0034113C"/>
    <w:rsid w:val="00345B5A"/>
    <w:rsid w:val="00350AF8"/>
    <w:rsid w:val="00351197"/>
    <w:rsid w:val="0035174C"/>
    <w:rsid w:val="00356284"/>
    <w:rsid w:val="00357B04"/>
    <w:rsid w:val="003616D4"/>
    <w:rsid w:val="00361D8A"/>
    <w:rsid w:val="00367CF8"/>
    <w:rsid w:val="003743BA"/>
    <w:rsid w:val="0038167C"/>
    <w:rsid w:val="00385DFE"/>
    <w:rsid w:val="00387A6C"/>
    <w:rsid w:val="00390068"/>
    <w:rsid w:val="00390792"/>
    <w:rsid w:val="00391C11"/>
    <w:rsid w:val="00393346"/>
    <w:rsid w:val="00395D0D"/>
    <w:rsid w:val="003A0CDB"/>
    <w:rsid w:val="003A3C61"/>
    <w:rsid w:val="003A4D34"/>
    <w:rsid w:val="003A70B4"/>
    <w:rsid w:val="003B18CE"/>
    <w:rsid w:val="003B3515"/>
    <w:rsid w:val="003B78E4"/>
    <w:rsid w:val="003C1D58"/>
    <w:rsid w:val="003C279F"/>
    <w:rsid w:val="003C2E4C"/>
    <w:rsid w:val="003C2E6E"/>
    <w:rsid w:val="003C3A38"/>
    <w:rsid w:val="003C4B26"/>
    <w:rsid w:val="003C66FE"/>
    <w:rsid w:val="003D04BE"/>
    <w:rsid w:val="003D09B3"/>
    <w:rsid w:val="003D4E64"/>
    <w:rsid w:val="003D6339"/>
    <w:rsid w:val="003E0A59"/>
    <w:rsid w:val="003E228C"/>
    <w:rsid w:val="003E35A6"/>
    <w:rsid w:val="003E6315"/>
    <w:rsid w:val="003F050A"/>
    <w:rsid w:val="003F3B61"/>
    <w:rsid w:val="00404E45"/>
    <w:rsid w:val="00405CE8"/>
    <w:rsid w:val="00417207"/>
    <w:rsid w:val="004277EA"/>
    <w:rsid w:val="00430F0A"/>
    <w:rsid w:val="00435568"/>
    <w:rsid w:val="00435828"/>
    <w:rsid w:val="00436A8B"/>
    <w:rsid w:val="00441000"/>
    <w:rsid w:val="0044364A"/>
    <w:rsid w:val="0044439D"/>
    <w:rsid w:val="004445A9"/>
    <w:rsid w:val="004456F1"/>
    <w:rsid w:val="0044579D"/>
    <w:rsid w:val="004477F3"/>
    <w:rsid w:val="00450CAB"/>
    <w:rsid w:val="00452DAE"/>
    <w:rsid w:val="004559FF"/>
    <w:rsid w:val="00464B56"/>
    <w:rsid w:val="00465688"/>
    <w:rsid w:val="004662C3"/>
    <w:rsid w:val="00470C75"/>
    <w:rsid w:val="0047197E"/>
    <w:rsid w:val="00474B14"/>
    <w:rsid w:val="00475006"/>
    <w:rsid w:val="00476385"/>
    <w:rsid w:val="00476C27"/>
    <w:rsid w:val="00477541"/>
    <w:rsid w:val="00477F23"/>
    <w:rsid w:val="00484FFB"/>
    <w:rsid w:val="00485B0C"/>
    <w:rsid w:val="004922F9"/>
    <w:rsid w:val="004A23C1"/>
    <w:rsid w:val="004A5E81"/>
    <w:rsid w:val="004A6EC3"/>
    <w:rsid w:val="004B594A"/>
    <w:rsid w:val="004B7054"/>
    <w:rsid w:val="004C2076"/>
    <w:rsid w:val="004C6195"/>
    <w:rsid w:val="004C620A"/>
    <w:rsid w:val="004D0AEA"/>
    <w:rsid w:val="004D2481"/>
    <w:rsid w:val="004D2F91"/>
    <w:rsid w:val="004D3F71"/>
    <w:rsid w:val="004D41D5"/>
    <w:rsid w:val="004E03F2"/>
    <w:rsid w:val="004E0A23"/>
    <w:rsid w:val="004E1066"/>
    <w:rsid w:val="004E6432"/>
    <w:rsid w:val="00501E4E"/>
    <w:rsid w:val="0050274B"/>
    <w:rsid w:val="00502F6C"/>
    <w:rsid w:val="00511128"/>
    <w:rsid w:val="005124A2"/>
    <w:rsid w:val="00517359"/>
    <w:rsid w:val="00517B6E"/>
    <w:rsid w:val="00522087"/>
    <w:rsid w:val="0052608D"/>
    <w:rsid w:val="00531F87"/>
    <w:rsid w:val="00533949"/>
    <w:rsid w:val="00535CB8"/>
    <w:rsid w:val="00535EDC"/>
    <w:rsid w:val="00537FD3"/>
    <w:rsid w:val="00544C58"/>
    <w:rsid w:val="00544E08"/>
    <w:rsid w:val="00557579"/>
    <w:rsid w:val="00576840"/>
    <w:rsid w:val="0057707E"/>
    <w:rsid w:val="00580BD9"/>
    <w:rsid w:val="00584C36"/>
    <w:rsid w:val="005942E7"/>
    <w:rsid w:val="00595FB9"/>
    <w:rsid w:val="005A21DF"/>
    <w:rsid w:val="005A4F60"/>
    <w:rsid w:val="005B00AE"/>
    <w:rsid w:val="005B1FE6"/>
    <w:rsid w:val="005B2C1A"/>
    <w:rsid w:val="005B2EAC"/>
    <w:rsid w:val="005B4337"/>
    <w:rsid w:val="005B5980"/>
    <w:rsid w:val="005B788F"/>
    <w:rsid w:val="005B7A03"/>
    <w:rsid w:val="005C01F3"/>
    <w:rsid w:val="005C1484"/>
    <w:rsid w:val="005C6145"/>
    <w:rsid w:val="005D4736"/>
    <w:rsid w:val="005D63D2"/>
    <w:rsid w:val="005E3C19"/>
    <w:rsid w:val="005F0737"/>
    <w:rsid w:val="005F23A6"/>
    <w:rsid w:val="005F4AA0"/>
    <w:rsid w:val="005F4EE1"/>
    <w:rsid w:val="005F784D"/>
    <w:rsid w:val="00610030"/>
    <w:rsid w:val="00613ACC"/>
    <w:rsid w:val="006150A1"/>
    <w:rsid w:val="00615AA7"/>
    <w:rsid w:val="0062108D"/>
    <w:rsid w:val="00622C46"/>
    <w:rsid w:val="00625F92"/>
    <w:rsid w:val="00626C30"/>
    <w:rsid w:val="006332EC"/>
    <w:rsid w:val="00634CA0"/>
    <w:rsid w:val="00636982"/>
    <w:rsid w:val="00640254"/>
    <w:rsid w:val="0064184C"/>
    <w:rsid w:val="00641CF1"/>
    <w:rsid w:val="00645338"/>
    <w:rsid w:val="0064673F"/>
    <w:rsid w:val="006614D4"/>
    <w:rsid w:val="00662E3D"/>
    <w:rsid w:val="00663A42"/>
    <w:rsid w:val="00664440"/>
    <w:rsid w:val="006674C3"/>
    <w:rsid w:val="00674338"/>
    <w:rsid w:val="00675A50"/>
    <w:rsid w:val="0067720F"/>
    <w:rsid w:val="006872B2"/>
    <w:rsid w:val="00687DE4"/>
    <w:rsid w:val="0069106D"/>
    <w:rsid w:val="00696EF5"/>
    <w:rsid w:val="006A2B34"/>
    <w:rsid w:val="006A33FC"/>
    <w:rsid w:val="006A620D"/>
    <w:rsid w:val="006B1A59"/>
    <w:rsid w:val="006B2CF7"/>
    <w:rsid w:val="006B69CB"/>
    <w:rsid w:val="006C1C69"/>
    <w:rsid w:val="006C1CA4"/>
    <w:rsid w:val="006C2F1A"/>
    <w:rsid w:val="006C3755"/>
    <w:rsid w:val="006C3D31"/>
    <w:rsid w:val="006C420C"/>
    <w:rsid w:val="006C45BE"/>
    <w:rsid w:val="006C53DE"/>
    <w:rsid w:val="006C59D1"/>
    <w:rsid w:val="006D126D"/>
    <w:rsid w:val="006D59FC"/>
    <w:rsid w:val="006D5CA3"/>
    <w:rsid w:val="006D671B"/>
    <w:rsid w:val="006E4354"/>
    <w:rsid w:val="006F741A"/>
    <w:rsid w:val="00703932"/>
    <w:rsid w:val="00705610"/>
    <w:rsid w:val="00714427"/>
    <w:rsid w:val="007230D8"/>
    <w:rsid w:val="007266D3"/>
    <w:rsid w:val="00732B40"/>
    <w:rsid w:val="007345A0"/>
    <w:rsid w:val="0074061C"/>
    <w:rsid w:val="00742F18"/>
    <w:rsid w:val="0074537E"/>
    <w:rsid w:val="00746F94"/>
    <w:rsid w:val="007514BD"/>
    <w:rsid w:val="0075190B"/>
    <w:rsid w:val="00752CB7"/>
    <w:rsid w:val="00754227"/>
    <w:rsid w:val="00754A65"/>
    <w:rsid w:val="00757410"/>
    <w:rsid w:val="007629BB"/>
    <w:rsid w:val="00763D86"/>
    <w:rsid w:val="007665E1"/>
    <w:rsid w:val="00772D65"/>
    <w:rsid w:val="007733DA"/>
    <w:rsid w:val="00775AC5"/>
    <w:rsid w:val="00776A34"/>
    <w:rsid w:val="00777A87"/>
    <w:rsid w:val="007806A2"/>
    <w:rsid w:val="00785210"/>
    <w:rsid w:val="00786ED8"/>
    <w:rsid w:val="0079404A"/>
    <w:rsid w:val="007A01AA"/>
    <w:rsid w:val="007A27DB"/>
    <w:rsid w:val="007A3FB9"/>
    <w:rsid w:val="007A52D7"/>
    <w:rsid w:val="007A617D"/>
    <w:rsid w:val="007B09F3"/>
    <w:rsid w:val="007B2B3C"/>
    <w:rsid w:val="007B2F62"/>
    <w:rsid w:val="007B3818"/>
    <w:rsid w:val="007B555E"/>
    <w:rsid w:val="007B6843"/>
    <w:rsid w:val="007C1966"/>
    <w:rsid w:val="007C5D72"/>
    <w:rsid w:val="007D15EF"/>
    <w:rsid w:val="007D16FA"/>
    <w:rsid w:val="007D1E43"/>
    <w:rsid w:val="007D2122"/>
    <w:rsid w:val="007D4116"/>
    <w:rsid w:val="007D4770"/>
    <w:rsid w:val="007D4D80"/>
    <w:rsid w:val="007E0A19"/>
    <w:rsid w:val="007F1C76"/>
    <w:rsid w:val="007F3E46"/>
    <w:rsid w:val="007F533D"/>
    <w:rsid w:val="007F5839"/>
    <w:rsid w:val="007F664A"/>
    <w:rsid w:val="00803C37"/>
    <w:rsid w:val="00804329"/>
    <w:rsid w:val="008043E4"/>
    <w:rsid w:val="00811C4C"/>
    <w:rsid w:val="008172B5"/>
    <w:rsid w:val="00817801"/>
    <w:rsid w:val="0082639B"/>
    <w:rsid w:val="00832E72"/>
    <w:rsid w:val="0084276F"/>
    <w:rsid w:val="008479F3"/>
    <w:rsid w:val="008705F8"/>
    <w:rsid w:val="00872605"/>
    <w:rsid w:val="0087504E"/>
    <w:rsid w:val="00876597"/>
    <w:rsid w:val="008768BD"/>
    <w:rsid w:val="00876DBE"/>
    <w:rsid w:val="00880CEA"/>
    <w:rsid w:val="00887DAA"/>
    <w:rsid w:val="008950F6"/>
    <w:rsid w:val="008B0FD5"/>
    <w:rsid w:val="008B1221"/>
    <w:rsid w:val="008B4061"/>
    <w:rsid w:val="008B4ACD"/>
    <w:rsid w:val="008B535E"/>
    <w:rsid w:val="008B5666"/>
    <w:rsid w:val="008B720E"/>
    <w:rsid w:val="008B77B6"/>
    <w:rsid w:val="008C2C67"/>
    <w:rsid w:val="008D0093"/>
    <w:rsid w:val="008D1D44"/>
    <w:rsid w:val="008E26FD"/>
    <w:rsid w:val="008E3ED0"/>
    <w:rsid w:val="008E49D7"/>
    <w:rsid w:val="008F1B80"/>
    <w:rsid w:val="00902C71"/>
    <w:rsid w:val="00906D4B"/>
    <w:rsid w:val="009134E4"/>
    <w:rsid w:val="00913EBC"/>
    <w:rsid w:val="00915CF8"/>
    <w:rsid w:val="0091658D"/>
    <w:rsid w:val="00921E59"/>
    <w:rsid w:val="0092308E"/>
    <w:rsid w:val="00926BCA"/>
    <w:rsid w:val="00932D2D"/>
    <w:rsid w:val="009374D2"/>
    <w:rsid w:val="00940225"/>
    <w:rsid w:val="009436D9"/>
    <w:rsid w:val="0094370E"/>
    <w:rsid w:val="009443F3"/>
    <w:rsid w:val="009449C2"/>
    <w:rsid w:val="00952EB9"/>
    <w:rsid w:val="009570F7"/>
    <w:rsid w:val="00966096"/>
    <w:rsid w:val="00967E87"/>
    <w:rsid w:val="009736BB"/>
    <w:rsid w:val="00975C54"/>
    <w:rsid w:val="00976724"/>
    <w:rsid w:val="009801B8"/>
    <w:rsid w:val="00981055"/>
    <w:rsid w:val="009832EE"/>
    <w:rsid w:val="00986B39"/>
    <w:rsid w:val="0099177D"/>
    <w:rsid w:val="009918DB"/>
    <w:rsid w:val="00997C3E"/>
    <w:rsid w:val="009A1ED9"/>
    <w:rsid w:val="009A3DD0"/>
    <w:rsid w:val="009A429D"/>
    <w:rsid w:val="009A625A"/>
    <w:rsid w:val="009B1302"/>
    <w:rsid w:val="009B15F5"/>
    <w:rsid w:val="009B1DBC"/>
    <w:rsid w:val="009B2618"/>
    <w:rsid w:val="009D2A71"/>
    <w:rsid w:val="009D3462"/>
    <w:rsid w:val="009D4314"/>
    <w:rsid w:val="009D5197"/>
    <w:rsid w:val="009E1D22"/>
    <w:rsid w:val="009E2A5F"/>
    <w:rsid w:val="009E61B9"/>
    <w:rsid w:val="009E72CF"/>
    <w:rsid w:val="009E7547"/>
    <w:rsid w:val="009F36AF"/>
    <w:rsid w:val="009F467A"/>
    <w:rsid w:val="009F7B32"/>
    <w:rsid w:val="00A01180"/>
    <w:rsid w:val="00A109A7"/>
    <w:rsid w:val="00A12A9C"/>
    <w:rsid w:val="00A15361"/>
    <w:rsid w:val="00A25DF6"/>
    <w:rsid w:val="00A25EF4"/>
    <w:rsid w:val="00A31306"/>
    <w:rsid w:val="00A31755"/>
    <w:rsid w:val="00A3186B"/>
    <w:rsid w:val="00A31CFA"/>
    <w:rsid w:val="00A32E4C"/>
    <w:rsid w:val="00A330F5"/>
    <w:rsid w:val="00A4332A"/>
    <w:rsid w:val="00A457BA"/>
    <w:rsid w:val="00A51541"/>
    <w:rsid w:val="00A606EB"/>
    <w:rsid w:val="00A65CC9"/>
    <w:rsid w:val="00A708F3"/>
    <w:rsid w:val="00A7223B"/>
    <w:rsid w:val="00A72F3E"/>
    <w:rsid w:val="00A820EE"/>
    <w:rsid w:val="00A86F70"/>
    <w:rsid w:val="00A9173F"/>
    <w:rsid w:val="00A970CD"/>
    <w:rsid w:val="00A976B2"/>
    <w:rsid w:val="00AA0DFE"/>
    <w:rsid w:val="00AA2D4B"/>
    <w:rsid w:val="00AA49A9"/>
    <w:rsid w:val="00AB0CCD"/>
    <w:rsid w:val="00AB12BB"/>
    <w:rsid w:val="00AB39A5"/>
    <w:rsid w:val="00AB4EB0"/>
    <w:rsid w:val="00AB577D"/>
    <w:rsid w:val="00AC14FE"/>
    <w:rsid w:val="00AC43F6"/>
    <w:rsid w:val="00AC4C6A"/>
    <w:rsid w:val="00AC6326"/>
    <w:rsid w:val="00AD3498"/>
    <w:rsid w:val="00AD6905"/>
    <w:rsid w:val="00AE031D"/>
    <w:rsid w:val="00AE1F81"/>
    <w:rsid w:val="00AE218E"/>
    <w:rsid w:val="00AE5CF8"/>
    <w:rsid w:val="00AE618E"/>
    <w:rsid w:val="00AE6C74"/>
    <w:rsid w:val="00AE7C37"/>
    <w:rsid w:val="00AF0DFB"/>
    <w:rsid w:val="00AF232B"/>
    <w:rsid w:val="00AF281E"/>
    <w:rsid w:val="00B026C8"/>
    <w:rsid w:val="00B10D59"/>
    <w:rsid w:val="00B14360"/>
    <w:rsid w:val="00B166E1"/>
    <w:rsid w:val="00B21822"/>
    <w:rsid w:val="00B234FB"/>
    <w:rsid w:val="00B311B3"/>
    <w:rsid w:val="00B31E68"/>
    <w:rsid w:val="00B34C40"/>
    <w:rsid w:val="00B37DAE"/>
    <w:rsid w:val="00B40B63"/>
    <w:rsid w:val="00B41C4A"/>
    <w:rsid w:val="00B4550B"/>
    <w:rsid w:val="00B4585E"/>
    <w:rsid w:val="00B47B2D"/>
    <w:rsid w:val="00B5062F"/>
    <w:rsid w:val="00B52029"/>
    <w:rsid w:val="00B52127"/>
    <w:rsid w:val="00B5237A"/>
    <w:rsid w:val="00B54CAE"/>
    <w:rsid w:val="00B57054"/>
    <w:rsid w:val="00B658A1"/>
    <w:rsid w:val="00B7529D"/>
    <w:rsid w:val="00B77D37"/>
    <w:rsid w:val="00B84779"/>
    <w:rsid w:val="00B855D7"/>
    <w:rsid w:val="00B92B88"/>
    <w:rsid w:val="00BA28E3"/>
    <w:rsid w:val="00BA5CFD"/>
    <w:rsid w:val="00BB2946"/>
    <w:rsid w:val="00BC017A"/>
    <w:rsid w:val="00BC167A"/>
    <w:rsid w:val="00BC7EF1"/>
    <w:rsid w:val="00BE2297"/>
    <w:rsid w:val="00BE481E"/>
    <w:rsid w:val="00BE4F08"/>
    <w:rsid w:val="00BE61B8"/>
    <w:rsid w:val="00BF00A0"/>
    <w:rsid w:val="00BF0164"/>
    <w:rsid w:val="00BF4D5B"/>
    <w:rsid w:val="00C025AF"/>
    <w:rsid w:val="00C026E9"/>
    <w:rsid w:val="00C0696E"/>
    <w:rsid w:val="00C10DFE"/>
    <w:rsid w:val="00C13A99"/>
    <w:rsid w:val="00C25AFB"/>
    <w:rsid w:val="00C33705"/>
    <w:rsid w:val="00C348CA"/>
    <w:rsid w:val="00C35899"/>
    <w:rsid w:val="00C4033B"/>
    <w:rsid w:val="00C40A84"/>
    <w:rsid w:val="00C414C7"/>
    <w:rsid w:val="00C41561"/>
    <w:rsid w:val="00C44332"/>
    <w:rsid w:val="00C4557D"/>
    <w:rsid w:val="00C4759C"/>
    <w:rsid w:val="00C52FEE"/>
    <w:rsid w:val="00C60684"/>
    <w:rsid w:val="00C62C5A"/>
    <w:rsid w:val="00C63887"/>
    <w:rsid w:val="00C63E78"/>
    <w:rsid w:val="00C70A6C"/>
    <w:rsid w:val="00C74747"/>
    <w:rsid w:val="00C801DB"/>
    <w:rsid w:val="00C83682"/>
    <w:rsid w:val="00C86663"/>
    <w:rsid w:val="00C86915"/>
    <w:rsid w:val="00C86EE6"/>
    <w:rsid w:val="00C87262"/>
    <w:rsid w:val="00C931FB"/>
    <w:rsid w:val="00C951DD"/>
    <w:rsid w:val="00CA0433"/>
    <w:rsid w:val="00CA2E30"/>
    <w:rsid w:val="00CC2921"/>
    <w:rsid w:val="00CC3B5D"/>
    <w:rsid w:val="00CC58FC"/>
    <w:rsid w:val="00CD093C"/>
    <w:rsid w:val="00CD27AB"/>
    <w:rsid w:val="00CD4331"/>
    <w:rsid w:val="00CD4B0F"/>
    <w:rsid w:val="00CD4D64"/>
    <w:rsid w:val="00CE0D4F"/>
    <w:rsid w:val="00CE2FDA"/>
    <w:rsid w:val="00CE51AA"/>
    <w:rsid w:val="00CE5BB7"/>
    <w:rsid w:val="00CF022D"/>
    <w:rsid w:val="00CF2A95"/>
    <w:rsid w:val="00CF3177"/>
    <w:rsid w:val="00D001F3"/>
    <w:rsid w:val="00D07084"/>
    <w:rsid w:val="00D1065A"/>
    <w:rsid w:val="00D178CD"/>
    <w:rsid w:val="00D17C6D"/>
    <w:rsid w:val="00D204BC"/>
    <w:rsid w:val="00D21902"/>
    <w:rsid w:val="00D27F60"/>
    <w:rsid w:val="00D31830"/>
    <w:rsid w:val="00D36D7A"/>
    <w:rsid w:val="00D43E3D"/>
    <w:rsid w:val="00D44F2B"/>
    <w:rsid w:val="00D457BA"/>
    <w:rsid w:val="00D5741C"/>
    <w:rsid w:val="00D65597"/>
    <w:rsid w:val="00D6575B"/>
    <w:rsid w:val="00D77E17"/>
    <w:rsid w:val="00D81B9E"/>
    <w:rsid w:val="00D832FC"/>
    <w:rsid w:val="00D83308"/>
    <w:rsid w:val="00D83D8A"/>
    <w:rsid w:val="00D87E40"/>
    <w:rsid w:val="00D92385"/>
    <w:rsid w:val="00D9364E"/>
    <w:rsid w:val="00D93AA7"/>
    <w:rsid w:val="00DA3BB8"/>
    <w:rsid w:val="00DB0A15"/>
    <w:rsid w:val="00DB7E85"/>
    <w:rsid w:val="00DC2437"/>
    <w:rsid w:val="00DC4A83"/>
    <w:rsid w:val="00DD1D92"/>
    <w:rsid w:val="00DD705A"/>
    <w:rsid w:val="00DE0E0B"/>
    <w:rsid w:val="00DE10F5"/>
    <w:rsid w:val="00DE278E"/>
    <w:rsid w:val="00DE59C4"/>
    <w:rsid w:val="00DE778B"/>
    <w:rsid w:val="00DF31C0"/>
    <w:rsid w:val="00DF5161"/>
    <w:rsid w:val="00DF54EA"/>
    <w:rsid w:val="00DF637B"/>
    <w:rsid w:val="00DF6AC7"/>
    <w:rsid w:val="00DF711C"/>
    <w:rsid w:val="00E11E21"/>
    <w:rsid w:val="00E20E22"/>
    <w:rsid w:val="00E21ECB"/>
    <w:rsid w:val="00E23402"/>
    <w:rsid w:val="00E31533"/>
    <w:rsid w:val="00E40468"/>
    <w:rsid w:val="00E410C0"/>
    <w:rsid w:val="00E45061"/>
    <w:rsid w:val="00E46EA8"/>
    <w:rsid w:val="00E54DE2"/>
    <w:rsid w:val="00E56581"/>
    <w:rsid w:val="00E62322"/>
    <w:rsid w:val="00E72ECB"/>
    <w:rsid w:val="00E9549D"/>
    <w:rsid w:val="00EA125F"/>
    <w:rsid w:val="00EA3958"/>
    <w:rsid w:val="00EA400E"/>
    <w:rsid w:val="00EA5E3B"/>
    <w:rsid w:val="00EA7E9A"/>
    <w:rsid w:val="00EB096A"/>
    <w:rsid w:val="00EB2616"/>
    <w:rsid w:val="00EB4B86"/>
    <w:rsid w:val="00EB5F74"/>
    <w:rsid w:val="00EB6C33"/>
    <w:rsid w:val="00EC0CF9"/>
    <w:rsid w:val="00EC69D8"/>
    <w:rsid w:val="00ED1C2D"/>
    <w:rsid w:val="00ED2F05"/>
    <w:rsid w:val="00ED51BB"/>
    <w:rsid w:val="00ED72F8"/>
    <w:rsid w:val="00EE148D"/>
    <w:rsid w:val="00EE1913"/>
    <w:rsid w:val="00EE3123"/>
    <w:rsid w:val="00EF08E6"/>
    <w:rsid w:val="00EF3A89"/>
    <w:rsid w:val="00EF6F62"/>
    <w:rsid w:val="00EF75A9"/>
    <w:rsid w:val="00EF7863"/>
    <w:rsid w:val="00F00FCD"/>
    <w:rsid w:val="00F01696"/>
    <w:rsid w:val="00F13207"/>
    <w:rsid w:val="00F21BF5"/>
    <w:rsid w:val="00F22EF7"/>
    <w:rsid w:val="00F25B72"/>
    <w:rsid w:val="00F26650"/>
    <w:rsid w:val="00F278BC"/>
    <w:rsid w:val="00F333EF"/>
    <w:rsid w:val="00F40EAE"/>
    <w:rsid w:val="00F41FAB"/>
    <w:rsid w:val="00F4561E"/>
    <w:rsid w:val="00F45640"/>
    <w:rsid w:val="00F51C3E"/>
    <w:rsid w:val="00F571AD"/>
    <w:rsid w:val="00F57790"/>
    <w:rsid w:val="00F6059D"/>
    <w:rsid w:val="00F615DC"/>
    <w:rsid w:val="00F62803"/>
    <w:rsid w:val="00F64F82"/>
    <w:rsid w:val="00F6704B"/>
    <w:rsid w:val="00F71F34"/>
    <w:rsid w:val="00F7367C"/>
    <w:rsid w:val="00F7733C"/>
    <w:rsid w:val="00F77EFF"/>
    <w:rsid w:val="00F8390A"/>
    <w:rsid w:val="00F83FAB"/>
    <w:rsid w:val="00F852B9"/>
    <w:rsid w:val="00F92099"/>
    <w:rsid w:val="00F9407A"/>
    <w:rsid w:val="00F947BA"/>
    <w:rsid w:val="00F95604"/>
    <w:rsid w:val="00F956D6"/>
    <w:rsid w:val="00F963B5"/>
    <w:rsid w:val="00FA6ADF"/>
    <w:rsid w:val="00FB16B6"/>
    <w:rsid w:val="00FB25CB"/>
    <w:rsid w:val="00FB35A7"/>
    <w:rsid w:val="00FB3B4B"/>
    <w:rsid w:val="00FC20EA"/>
    <w:rsid w:val="00FC39BA"/>
    <w:rsid w:val="00FD0597"/>
    <w:rsid w:val="00FD46A9"/>
    <w:rsid w:val="00FE5597"/>
    <w:rsid w:val="00FE6B56"/>
    <w:rsid w:val="00FF339E"/>
    <w:rsid w:val="00FF5527"/>
    <w:rsid w:val="00FF5922"/>
    <w:rsid w:val="00FF5BDF"/>
    <w:rsid w:val="0307C653"/>
    <w:rsid w:val="031CF41D"/>
    <w:rsid w:val="03361C7A"/>
    <w:rsid w:val="06F80FC1"/>
    <w:rsid w:val="07E8CC3B"/>
    <w:rsid w:val="0AE93E5A"/>
    <w:rsid w:val="0C34F152"/>
    <w:rsid w:val="0DE693A3"/>
    <w:rsid w:val="10969FDA"/>
    <w:rsid w:val="1188C906"/>
    <w:rsid w:val="12CB968A"/>
    <w:rsid w:val="135A2F3B"/>
    <w:rsid w:val="144FFAF1"/>
    <w:rsid w:val="15593ACD"/>
    <w:rsid w:val="161064D8"/>
    <w:rsid w:val="1654B0BD"/>
    <w:rsid w:val="1898C915"/>
    <w:rsid w:val="198A91C5"/>
    <w:rsid w:val="1ACB3B95"/>
    <w:rsid w:val="1CBC3F44"/>
    <w:rsid w:val="1D2FBBEE"/>
    <w:rsid w:val="1DB7F450"/>
    <w:rsid w:val="1F3D2ACB"/>
    <w:rsid w:val="208CDDAC"/>
    <w:rsid w:val="20B4A6E6"/>
    <w:rsid w:val="223CE8D4"/>
    <w:rsid w:val="225D0E76"/>
    <w:rsid w:val="237FCFE7"/>
    <w:rsid w:val="2471AA82"/>
    <w:rsid w:val="255E23C0"/>
    <w:rsid w:val="26213B6F"/>
    <w:rsid w:val="28D7710C"/>
    <w:rsid w:val="28EA0726"/>
    <w:rsid w:val="2947EA85"/>
    <w:rsid w:val="2ADC5A94"/>
    <w:rsid w:val="2B14A6F3"/>
    <w:rsid w:val="2BCD6544"/>
    <w:rsid w:val="2BF56697"/>
    <w:rsid w:val="2C039FB1"/>
    <w:rsid w:val="2D6C0F37"/>
    <w:rsid w:val="2DA1263E"/>
    <w:rsid w:val="2EBE7B80"/>
    <w:rsid w:val="2F05A844"/>
    <w:rsid w:val="2F5948AA"/>
    <w:rsid w:val="3290E96C"/>
    <w:rsid w:val="32A61736"/>
    <w:rsid w:val="338FDD74"/>
    <w:rsid w:val="3391ECA3"/>
    <w:rsid w:val="3428BF3A"/>
    <w:rsid w:val="3753DFEA"/>
    <w:rsid w:val="37C88159"/>
    <w:rsid w:val="37FEEB53"/>
    <w:rsid w:val="38C2935F"/>
    <w:rsid w:val="392B7732"/>
    <w:rsid w:val="3C1EDDAA"/>
    <w:rsid w:val="40063F0B"/>
    <w:rsid w:val="4050B748"/>
    <w:rsid w:val="41D40531"/>
    <w:rsid w:val="432D6528"/>
    <w:rsid w:val="4429B53A"/>
    <w:rsid w:val="44802B85"/>
    <w:rsid w:val="4589FAD5"/>
    <w:rsid w:val="45E2A0EB"/>
    <w:rsid w:val="469108F4"/>
    <w:rsid w:val="486A46B9"/>
    <w:rsid w:val="48B264D6"/>
    <w:rsid w:val="4C0E20F9"/>
    <w:rsid w:val="4CFED11A"/>
    <w:rsid w:val="4D288A12"/>
    <w:rsid w:val="4D2FFFE5"/>
    <w:rsid w:val="4E7B2314"/>
    <w:rsid w:val="4EEE62FF"/>
    <w:rsid w:val="4FA9B100"/>
    <w:rsid w:val="509C8CD2"/>
    <w:rsid w:val="50C32CD9"/>
    <w:rsid w:val="51149D6F"/>
    <w:rsid w:val="51A4989C"/>
    <w:rsid w:val="5429B914"/>
    <w:rsid w:val="552B4311"/>
    <w:rsid w:val="5554F963"/>
    <w:rsid w:val="5595D951"/>
    <w:rsid w:val="5683173A"/>
    <w:rsid w:val="56C939DC"/>
    <w:rsid w:val="56CDDFCE"/>
    <w:rsid w:val="56D1AEBB"/>
    <w:rsid w:val="56EC8531"/>
    <w:rsid w:val="577F674C"/>
    <w:rsid w:val="57E178AE"/>
    <w:rsid w:val="599858D8"/>
    <w:rsid w:val="5AB7080E"/>
    <w:rsid w:val="5D032EEE"/>
    <w:rsid w:val="5E5F8A3C"/>
    <w:rsid w:val="5F1CDC5A"/>
    <w:rsid w:val="5FD452D9"/>
    <w:rsid w:val="607A4191"/>
    <w:rsid w:val="6143626B"/>
    <w:rsid w:val="61575EBB"/>
    <w:rsid w:val="627F57B8"/>
    <w:rsid w:val="631DCEDE"/>
    <w:rsid w:val="639CB489"/>
    <w:rsid w:val="63AF4391"/>
    <w:rsid w:val="63B5DCE6"/>
    <w:rsid w:val="64F6525D"/>
    <w:rsid w:val="653884EA"/>
    <w:rsid w:val="654DB2B4"/>
    <w:rsid w:val="6675842C"/>
    <w:rsid w:val="6A105A67"/>
    <w:rsid w:val="6B0CF944"/>
    <w:rsid w:val="6BBA739E"/>
    <w:rsid w:val="6BD1E5BF"/>
    <w:rsid w:val="6C0D620B"/>
    <w:rsid w:val="6C6DBFF1"/>
    <w:rsid w:val="6C914CFB"/>
    <w:rsid w:val="6D79D805"/>
    <w:rsid w:val="701F9FDA"/>
    <w:rsid w:val="724E23F5"/>
    <w:rsid w:val="743B49EB"/>
    <w:rsid w:val="745258A2"/>
    <w:rsid w:val="74DEA54E"/>
    <w:rsid w:val="75D72BB5"/>
    <w:rsid w:val="76696FE1"/>
    <w:rsid w:val="76B60BB5"/>
    <w:rsid w:val="775F38C5"/>
    <w:rsid w:val="77938C47"/>
    <w:rsid w:val="78B1B3AB"/>
    <w:rsid w:val="7960E40C"/>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027C8A7F-071F-4AEF-9E18-B2CDC5B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iPriority w:val="9"/>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character" w:styleId="nfasis">
    <w:name w:val="Emphasis"/>
    <w:basedOn w:val="Fuentedeprrafopredeter"/>
    <w:uiPriority w:val="20"/>
    <w:qFormat/>
    <w:rsid w:val="00B10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17103098">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15016766">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 w:id="21237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86023f526a7b4f1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62202509-4C0E-4C6E-A001-C71EF7C61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A4506-1B57-4536-AA79-0669F8FC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2908</Words>
  <Characters>15997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2023-01-26T17:14:00Z</dcterms:created>
  <dcterms:modified xsi:type="dcterms:W3CDTF">2023-04-19T13:59:00Z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57090800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