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4A44CD6" w14:textId="77777777" w:rsidR="00EE5F7C" w:rsidRPr="00EE5F7C" w:rsidRDefault="00EE5F7C" w:rsidP="00EE5F7C">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30j0zll"/>
      <w:bookmarkStart w:id="1" w:name="_Hlk136339010"/>
      <w:bookmarkStart w:id="2" w:name="_Hlk58566252"/>
      <w:bookmarkStart w:id="3" w:name="_Hlk138835899"/>
      <w:bookmarkStart w:id="4" w:name="_GoBack"/>
      <w:bookmarkEnd w:id="0"/>
      <w:bookmarkEnd w:id="4"/>
      <w:r w:rsidRPr="00EE5F7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E249333" w14:textId="77777777" w:rsidR="00EE5F7C" w:rsidRPr="00EE5F7C" w:rsidRDefault="00EE5F7C" w:rsidP="00EE5F7C">
      <w:pPr>
        <w:jc w:val="both"/>
        <w:rPr>
          <w:rFonts w:ascii="Arial" w:eastAsia="Times New Roman" w:hAnsi="Arial" w:cs="Arial"/>
          <w:sz w:val="20"/>
          <w:szCs w:val="20"/>
          <w:lang w:val="es-419" w:eastAsia="es-ES"/>
        </w:rPr>
      </w:pPr>
    </w:p>
    <w:p w14:paraId="11E6DADF" w14:textId="5B47A0CE" w:rsidR="002B212E" w:rsidRPr="002B212E" w:rsidRDefault="002B212E" w:rsidP="002B212E">
      <w:pPr>
        <w:jc w:val="both"/>
        <w:rPr>
          <w:rFonts w:ascii="Arial" w:eastAsia="Tahoma" w:hAnsi="Arial" w:cs="Arial"/>
          <w:sz w:val="20"/>
          <w:szCs w:val="20"/>
          <w:lang w:val="es-419" w:eastAsia="es-CO"/>
        </w:rPr>
      </w:pPr>
      <w:r w:rsidRPr="002B212E">
        <w:rPr>
          <w:rFonts w:ascii="Arial" w:eastAsia="Tahoma" w:hAnsi="Arial" w:cs="Arial"/>
          <w:sz w:val="20"/>
          <w:szCs w:val="20"/>
          <w:lang w:val="es-419" w:eastAsia="es-CO"/>
        </w:rPr>
        <w:t>Radicación No.:</w:t>
      </w:r>
      <w:r w:rsidRPr="002B212E">
        <w:rPr>
          <w:rFonts w:ascii="Arial" w:eastAsia="Tahoma" w:hAnsi="Arial" w:cs="Arial"/>
          <w:sz w:val="20"/>
          <w:szCs w:val="20"/>
          <w:lang w:val="es-419" w:eastAsia="es-CO"/>
        </w:rPr>
        <w:tab/>
      </w:r>
      <w:r w:rsidRPr="002B212E">
        <w:rPr>
          <w:rFonts w:ascii="Arial" w:eastAsia="Tahoma" w:hAnsi="Arial" w:cs="Arial"/>
          <w:sz w:val="20"/>
          <w:szCs w:val="20"/>
          <w:lang w:val="es-419" w:eastAsia="es-CO"/>
        </w:rPr>
        <w:tab/>
        <w:t>66170-31-05-001-2019-00007-02</w:t>
      </w:r>
    </w:p>
    <w:p w14:paraId="6067652A" w14:textId="65F0DE25" w:rsidR="002B212E" w:rsidRPr="002B212E" w:rsidRDefault="002B212E" w:rsidP="002B212E">
      <w:pPr>
        <w:jc w:val="both"/>
        <w:rPr>
          <w:rFonts w:ascii="Arial" w:eastAsia="Tahoma" w:hAnsi="Arial" w:cs="Arial"/>
          <w:sz w:val="20"/>
          <w:szCs w:val="20"/>
          <w:lang w:val="es-419" w:eastAsia="es-CO"/>
        </w:rPr>
      </w:pPr>
      <w:r w:rsidRPr="002B212E">
        <w:rPr>
          <w:rFonts w:ascii="Arial" w:eastAsia="Tahoma" w:hAnsi="Arial" w:cs="Arial"/>
          <w:sz w:val="20"/>
          <w:szCs w:val="20"/>
          <w:lang w:val="es-419" w:eastAsia="es-CO"/>
        </w:rPr>
        <w:t>Proceso:</w:t>
      </w:r>
      <w:r w:rsidRPr="002B212E">
        <w:rPr>
          <w:rFonts w:ascii="Arial" w:eastAsia="Tahoma" w:hAnsi="Arial" w:cs="Arial"/>
          <w:sz w:val="20"/>
          <w:szCs w:val="20"/>
          <w:lang w:val="es-419" w:eastAsia="es-CO"/>
        </w:rPr>
        <w:tab/>
      </w:r>
      <w:r w:rsidRPr="002B212E">
        <w:rPr>
          <w:rFonts w:ascii="Arial" w:eastAsia="Tahoma" w:hAnsi="Arial" w:cs="Arial"/>
          <w:sz w:val="20"/>
          <w:szCs w:val="20"/>
          <w:lang w:val="es-419" w:eastAsia="es-CO"/>
        </w:rPr>
        <w:tab/>
        <w:t xml:space="preserve">Ordinario Laboral </w:t>
      </w:r>
    </w:p>
    <w:p w14:paraId="79A0F963" w14:textId="64870D14" w:rsidR="002B212E" w:rsidRPr="002B212E" w:rsidRDefault="002B212E" w:rsidP="002B212E">
      <w:pPr>
        <w:jc w:val="both"/>
        <w:rPr>
          <w:rFonts w:ascii="Arial" w:eastAsia="Tahoma" w:hAnsi="Arial" w:cs="Arial"/>
          <w:sz w:val="20"/>
          <w:szCs w:val="20"/>
          <w:lang w:val="es-419" w:eastAsia="es-CO"/>
        </w:rPr>
      </w:pPr>
      <w:r w:rsidRPr="002B212E">
        <w:rPr>
          <w:rFonts w:ascii="Arial" w:eastAsia="Tahoma" w:hAnsi="Arial" w:cs="Arial"/>
          <w:sz w:val="20"/>
          <w:szCs w:val="20"/>
          <w:lang w:val="es-419" w:eastAsia="es-CO"/>
        </w:rPr>
        <w:t>Demandante:</w:t>
      </w:r>
      <w:r w:rsidRPr="002B212E">
        <w:rPr>
          <w:rFonts w:ascii="Arial" w:eastAsia="Tahoma" w:hAnsi="Arial" w:cs="Arial"/>
          <w:sz w:val="20"/>
          <w:szCs w:val="20"/>
          <w:lang w:val="es-419" w:eastAsia="es-CO"/>
        </w:rPr>
        <w:tab/>
      </w:r>
      <w:r w:rsidRPr="002B212E">
        <w:rPr>
          <w:rFonts w:ascii="Arial" w:eastAsia="Tahoma" w:hAnsi="Arial" w:cs="Arial"/>
          <w:sz w:val="20"/>
          <w:szCs w:val="20"/>
          <w:lang w:val="es-419" w:eastAsia="es-CO"/>
        </w:rPr>
        <w:tab/>
        <w:t>Edwin García Arango</w:t>
      </w:r>
    </w:p>
    <w:p w14:paraId="2F8C31D8" w14:textId="2C0D97BA" w:rsidR="002B212E" w:rsidRPr="002B212E" w:rsidRDefault="002B212E" w:rsidP="002B212E">
      <w:pPr>
        <w:jc w:val="both"/>
        <w:rPr>
          <w:rFonts w:ascii="Arial" w:eastAsia="Tahoma" w:hAnsi="Arial" w:cs="Arial"/>
          <w:sz w:val="20"/>
          <w:szCs w:val="20"/>
          <w:lang w:val="es-419" w:eastAsia="es-CO"/>
        </w:rPr>
      </w:pPr>
      <w:r w:rsidRPr="002B212E">
        <w:rPr>
          <w:rFonts w:ascii="Arial" w:eastAsia="Tahoma" w:hAnsi="Arial" w:cs="Arial"/>
          <w:sz w:val="20"/>
          <w:szCs w:val="20"/>
          <w:lang w:val="es-419" w:eastAsia="es-CO"/>
        </w:rPr>
        <w:t>Demandado:</w:t>
      </w:r>
      <w:r w:rsidRPr="002B212E">
        <w:rPr>
          <w:rFonts w:ascii="Arial" w:eastAsia="Tahoma" w:hAnsi="Arial" w:cs="Arial"/>
          <w:sz w:val="20"/>
          <w:szCs w:val="20"/>
          <w:lang w:val="es-419" w:eastAsia="es-CO"/>
        </w:rPr>
        <w:tab/>
      </w:r>
      <w:r w:rsidRPr="002B212E">
        <w:rPr>
          <w:rFonts w:ascii="Arial" w:eastAsia="Tahoma" w:hAnsi="Arial" w:cs="Arial"/>
          <w:sz w:val="20"/>
          <w:szCs w:val="20"/>
          <w:lang w:val="es-419" w:eastAsia="es-CO"/>
        </w:rPr>
        <w:tab/>
        <w:t xml:space="preserve">Huawei </w:t>
      </w:r>
      <w:proofErr w:type="spellStart"/>
      <w:r w:rsidRPr="002B212E">
        <w:rPr>
          <w:rFonts w:ascii="Arial" w:eastAsia="Tahoma" w:hAnsi="Arial" w:cs="Arial"/>
          <w:sz w:val="20"/>
          <w:szCs w:val="20"/>
          <w:lang w:val="es-419" w:eastAsia="es-CO"/>
        </w:rPr>
        <w:t>Technologie</w:t>
      </w:r>
      <w:proofErr w:type="spellEnd"/>
      <w:r w:rsidRPr="002B212E">
        <w:rPr>
          <w:rFonts w:ascii="Arial" w:eastAsia="Tahoma" w:hAnsi="Arial" w:cs="Arial"/>
          <w:sz w:val="20"/>
          <w:szCs w:val="20"/>
          <w:lang w:val="es-419" w:eastAsia="es-CO"/>
        </w:rPr>
        <w:t xml:space="preserve"> </w:t>
      </w:r>
      <w:proofErr w:type="spellStart"/>
      <w:r w:rsidRPr="002B212E">
        <w:rPr>
          <w:rFonts w:ascii="Arial" w:eastAsia="Tahoma" w:hAnsi="Arial" w:cs="Arial"/>
          <w:sz w:val="20"/>
          <w:szCs w:val="20"/>
          <w:lang w:val="es-419" w:eastAsia="es-CO"/>
        </w:rPr>
        <w:t>Managed</w:t>
      </w:r>
      <w:proofErr w:type="spellEnd"/>
      <w:r w:rsidRPr="002B212E">
        <w:rPr>
          <w:rFonts w:ascii="Arial" w:eastAsia="Tahoma" w:hAnsi="Arial" w:cs="Arial"/>
          <w:sz w:val="20"/>
          <w:szCs w:val="20"/>
          <w:lang w:val="es-419" w:eastAsia="es-CO"/>
        </w:rPr>
        <w:t xml:space="preserve"> </w:t>
      </w:r>
      <w:proofErr w:type="spellStart"/>
      <w:r w:rsidRPr="002B212E">
        <w:rPr>
          <w:rFonts w:ascii="Arial" w:eastAsia="Tahoma" w:hAnsi="Arial" w:cs="Arial"/>
          <w:sz w:val="20"/>
          <w:szCs w:val="20"/>
          <w:lang w:val="es-419" w:eastAsia="es-CO"/>
        </w:rPr>
        <w:t>Service</w:t>
      </w:r>
      <w:proofErr w:type="spellEnd"/>
      <w:r w:rsidRPr="002B212E">
        <w:rPr>
          <w:rFonts w:ascii="Arial" w:eastAsia="Tahoma" w:hAnsi="Arial" w:cs="Arial"/>
          <w:sz w:val="20"/>
          <w:szCs w:val="20"/>
          <w:lang w:val="es-419" w:eastAsia="es-CO"/>
        </w:rPr>
        <w:t xml:space="preserve"> Colombia S.A.S.</w:t>
      </w:r>
    </w:p>
    <w:p w14:paraId="1AEF6872" w14:textId="20827DC9" w:rsidR="00EE5F7C" w:rsidRPr="00EE5F7C" w:rsidRDefault="002B212E" w:rsidP="002B212E">
      <w:pPr>
        <w:jc w:val="both"/>
        <w:rPr>
          <w:rFonts w:ascii="Arial" w:eastAsia="Tahoma" w:hAnsi="Arial" w:cs="Arial"/>
          <w:sz w:val="20"/>
          <w:szCs w:val="20"/>
          <w:lang w:val="es-419" w:eastAsia="es-CO"/>
        </w:rPr>
      </w:pPr>
      <w:r w:rsidRPr="002B212E">
        <w:rPr>
          <w:rFonts w:ascii="Arial" w:eastAsia="Tahoma" w:hAnsi="Arial" w:cs="Arial"/>
          <w:sz w:val="20"/>
          <w:szCs w:val="20"/>
          <w:lang w:val="es-419" w:eastAsia="es-CO"/>
        </w:rPr>
        <w:t>Juzgado de origen:</w:t>
      </w:r>
      <w:r w:rsidRPr="002B212E">
        <w:rPr>
          <w:rFonts w:ascii="Arial" w:eastAsia="Tahoma" w:hAnsi="Arial" w:cs="Arial"/>
          <w:sz w:val="20"/>
          <w:szCs w:val="20"/>
          <w:lang w:val="es-419" w:eastAsia="es-CO"/>
        </w:rPr>
        <w:tab/>
        <w:t>Laboral del Circuito de Dosquebradas</w:t>
      </w:r>
    </w:p>
    <w:p w14:paraId="6D86ADBC" w14:textId="77777777" w:rsidR="00EE5F7C" w:rsidRPr="00EE5F7C" w:rsidRDefault="00EE5F7C" w:rsidP="00EE5F7C">
      <w:pPr>
        <w:jc w:val="both"/>
        <w:rPr>
          <w:rFonts w:ascii="Arial" w:eastAsia="Tahoma" w:hAnsi="Arial" w:cs="Arial"/>
          <w:color w:val="000000"/>
          <w:sz w:val="20"/>
          <w:szCs w:val="20"/>
          <w:lang w:val="es-ES" w:eastAsia="es-CO"/>
        </w:rPr>
      </w:pPr>
    </w:p>
    <w:p w14:paraId="62C3FAB5" w14:textId="7FD188FA" w:rsidR="00EE5F7C" w:rsidRPr="00EE5F7C" w:rsidRDefault="008B2317" w:rsidP="00EE5F7C">
      <w:pPr>
        <w:jc w:val="both"/>
        <w:rPr>
          <w:rFonts w:ascii="Arial" w:eastAsia="Times New Roman" w:hAnsi="Arial" w:cs="Arial"/>
          <w:b/>
          <w:bCs/>
          <w:iCs/>
          <w:sz w:val="20"/>
          <w:szCs w:val="20"/>
          <w:lang w:val="es-419" w:eastAsia="fr-FR"/>
        </w:rPr>
      </w:pPr>
      <w:r w:rsidRPr="00EE5F7C">
        <w:rPr>
          <w:rFonts w:ascii="Arial" w:eastAsia="Times New Roman" w:hAnsi="Arial" w:cs="Arial"/>
          <w:b/>
          <w:bCs/>
          <w:iCs/>
          <w:sz w:val="20"/>
          <w:szCs w:val="20"/>
          <w:u w:val="single"/>
          <w:lang w:val="es-419" w:eastAsia="fr-FR"/>
        </w:rPr>
        <w:t>TEMAS:</w:t>
      </w:r>
      <w:r w:rsidRPr="00EE5F7C">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TURNOS DE DISPONIBILIDAD / REMUNERACIÓN / NATURALEZA / EVOLUCIÓN JURISPRUDENCIAL / SANCIÓN POR NO CONSIGNACIÓN DE CESANTÍAS / BUENA FE / FACTORES SALARIALES DE LA PENSIÓN / IMPRESCRIPTIBILIDAD.</w:t>
      </w:r>
    </w:p>
    <w:p w14:paraId="1375E3DF" w14:textId="77777777" w:rsidR="00EE5F7C" w:rsidRPr="00EE5F7C" w:rsidRDefault="00EE5F7C" w:rsidP="00EE5F7C">
      <w:pPr>
        <w:jc w:val="both"/>
        <w:rPr>
          <w:rFonts w:ascii="Arial" w:eastAsia="Times New Roman" w:hAnsi="Arial" w:cs="Arial"/>
          <w:sz w:val="20"/>
          <w:szCs w:val="20"/>
          <w:lang w:val="es-419" w:eastAsia="es-ES"/>
        </w:rPr>
      </w:pPr>
    </w:p>
    <w:p w14:paraId="2CB3ADFE" w14:textId="4B460E5E" w:rsidR="00EE5F7C" w:rsidRPr="00EE5F7C" w:rsidRDefault="00EA19DC" w:rsidP="00EE5F7C">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315954" w:rsidRPr="00315954">
        <w:rPr>
          <w:rFonts w:ascii="Arial" w:eastAsia="Times New Roman" w:hAnsi="Arial" w:cs="Arial"/>
          <w:sz w:val="20"/>
          <w:szCs w:val="20"/>
          <w:lang w:val="es-419" w:eastAsia="es-ES"/>
        </w:rPr>
        <w:t>la disponibilidad exigida por un empleador por fuera del horario laboral, que impone la carga al trabajador de estar atento al llamado para atender obligaciones propias del cargo, limitando total o parcialmente la posibilidad de ejercer actividades de distinta índole, le impone al primero la obligación de reconocer los recargos establecidos por la normatividad laboral, independientemente de que se preste efectivamente o no un servicio, pues la subordinación se mantiene latente</w:t>
      </w:r>
      <w:r>
        <w:rPr>
          <w:rFonts w:ascii="Arial" w:eastAsia="Times New Roman" w:hAnsi="Arial" w:cs="Arial"/>
          <w:sz w:val="20"/>
          <w:szCs w:val="20"/>
          <w:lang w:val="es-419" w:eastAsia="es-ES"/>
        </w:rPr>
        <w:t>…</w:t>
      </w:r>
    </w:p>
    <w:p w14:paraId="0426A3CC" w14:textId="59A201CA" w:rsidR="00EE5F7C" w:rsidRDefault="00EE5F7C" w:rsidP="00EE5F7C">
      <w:pPr>
        <w:jc w:val="both"/>
        <w:rPr>
          <w:rFonts w:ascii="Arial" w:eastAsia="Times New Roman" w:hAnsi="Arial" w:cs="Arial"/>
          <w:sz w:val="20"/>
          <w:szCs w:val="20"/>
          <w:lang w:val="es-419" w:eastAsia="es-ES"/>
        </w:rPr>
      </w:pPr>
    </w:p>
    <w:p w14:paraId="372B93D3" w14:textId="208EBD9B" w:rsidR="00EA19DC" w:rsidRDefault="00EA19DC" w:rsidP="00EE5F7C">
      <w:pPr>
        <w:jc w:val="both"/>
        <w:rPr>
          <w:rFonts w:ascii="Arial" w:eastAsia="Times New Roman" w:hAnsi="Arial" w:cs="Arial"/>
          <w:sz w:val="20"/>
          <w:szCs w:val="20"/>
          <w:lang w:val="es-419" w:eastAsia="es-ES"/>
        </w:rPr>
      </w:pPr>
      <w:r w:rsidRPr="00EA19DC">
        <w:rPr>
          <w:rFonts w:ascii="Arial" w:eastAsia="Times New Roman" w:hAnsi="Arial" w:cs="Arial"/>
          <w:sz w:val="20"/>
          <w:szCs w:val="20"/>
          <w:lang w:val="es-419" w:eastAsia="es-ES"/>
        </w:rPr>
        <w:t>Ello así, es dable afirmar que la disponibilidad no se desvirtúa ni se desnaturaliza por el hecho de que el trabajador realice -estando en cumplimiento de la misma- actos propios de la condición humana, como ingerir o comprar alimentos, asearse o descansar, pues sobre estos siempre va a prevalecer la obligación de atender el requerimiento del empleador</w:t>
      </w:r>
      <w:r>
        <w:rPr>
          <w:rFonts w:ascii="Arial" w:eastAsia="Times New Roman" w:hAnsi="Arial" w:cs="Arial"/>
          <w:sz w:val="20"/>
          <w:szCs w:val="20"/>
          <w:lang w:val="es-419" w:eastAsia="es-ES"/>
        </w:rPr>
        <w:t>…</w:t>
      </w:r>
    </w:p>
    <w:p w14:paraId="3DDA7630" w14:textId="77777777" w:rsidR="00EA19DC" w:rsidRPr="00EE5F7C" w:rsidRDefault="00EA19DC" w:rsidP="00EE5F7C">
      <w:pPr>
        <w:jc w:val="both"/>
        <w:rPr>
          <w:rFonts w:ascii="Arial" w:eastAsia="Times New Roman" w:hAnsi="Arial" w:cs="Arial"/>
          <w:sz w:val="20"/>
          <w:szCs w:val="20"/>
          <w:lang w:val="es-419" w:eastAsia="es-ES"/>
        </w:rPr>
      </w:pPr>
    </w:p>
    <w:p w14:paraId="59667744" w14:textId="6B72CF6F" w:rsidR="00EE5F7C" w:rsidRPr="00EE5F7C" w:rsidRDefault="00EA19DC" w:rsidP="00EE5F7C">
      <w:pPr>
        <w:jc w:val="both"/>
        <w:rPr>
          <w:rFonts w:ascii="Arial" w:eastAsia="Times New Roman" w:hAnsi="Arial" w:cs="Arial"/>
          <w:sz w:val="20"/>
          <w:szCs w:val="20"/>
          <w:lang w:val="es-419" w:eastAsia="es-ES"/>
        </w:rPr>
      </w:pPr>
      <w:r w:rsidRPr="00EA19DC">
        <w:rPr>
          <w:rFonts w:ascii="Arial" w:eastAsia="Times New Roman" w:hAnsi="Arial" w:cs="Arial"/>
          <w:sz w:val="20"/>
          <w:szCs w:val="20"/>
          <w:lang w:val="es-419" w:eastAsia="es-ES"/>
        </w:rPr>
        <w:t>Según el numeral 3° del artículo 99 de la Ley 50 de 1990 el empleador que incumpla el plazo señalado para la consignación de cesantías “deberá pagar un día de salario por cada día de retardo”. No obstante, la aplicación no es automática, debido a que esta procede cuando quiera que, en el marco del proceso, el empleador no aporte razones satisfactorias y justificativas de su conducta. Para esto, se ha dicho que el juez debe adelantar un examen riguroso del comportamiento que asumió el empleador en su condición de deudor moroso</w:t>
      </w:r>
      <w:r>
        <w:rPr>
          <w:rFonts w:ascii="Arial" w:eastAsia="Times New Roman" w:hAnsi="Arial" w:cs="Arial"/>
          <w:sz w:val="20"/>
          <w:szCs w:val="20"/>
          <w:lang w:val="es-419" w:eastAsia="es-ES"/>
        </w:rPr>
        <w:t>…</w:t>
      </w:r>
    </w:p>
    <w:p w14:paraId="4AFA4159" w14:textId="77777777" w:rsidR="00EE5F7C" w:rsidRPr="00EE5F7C" w:rsidRDefault="00EE5F7C" w:rsidP="00EE5F7C">
      <w:pPr>
        <w:jc w:val="both"/>
        <w:rPr>
          <w:rFonts w:ascii="Arial" w:eastAsia="Times New Roman" w:hAnsi="Arial" w:cs="Arial"/>
          <w:sz w:val="20"/>
          <w:szCs w:val="20"/>
          <w:lang w:val="es-419" w:eastAsia="es-ES"/>
        </w:rPr>
      </w:pPr>
    </w:p>
    <w:p w14:paraId="7DA9BE68" w14:textId="7404E39F" w:rsidR="00EE5F7C" w:rsidRDefault="00A0561B" w:rsidP="00EE5F7C">
      <w:pPr>
        <w:jc w:val="both"/>
        <w:rPr>
          <w:rFonts w:ascii="Arial" w:eastAsia="Times New Roman" w:hAnsi="Arial" w:cs="Arial"/>
          <w:sz w:val="20"/>
          <w:szCs w:val="20"/>
          <w:lang w:val="es-419" w:eastAsia="es-ES"/>
        </w:rPr>
      </w:pPr>
      <w:r w:rsidRPr="00A0561B">
        <w:rPr>
          <w:rFonts w:ascii="Arial" w:eastAsia="Times New Roman" w:hAnsi="Arial" w:cs="Arial"/>
          <w:sz w:val="20"/>
          <w:szCs w:val="20"/>
          <w:lang w:val="es-419" w:eastAsia="es-ES"/>
        </w:rPr>
        <w:t>La Corte Suprema de Justicia desde la sentencia CSJ SL 403-2013 clarificó que la sanción moratoria se causa tanto por la falta de consignación completa del valor del auxilio de cesantías, como por su aporte deficitario o parcial</w:t>
      </w:r>
      <w:r>
        <w:rPr>
          <w:rFonts w:ascii="Arial" w:eastAsia="Times New Roman" w:hAnsi="Arial" w:cs="Arial"/>
          <w:sz w:val="20"/>
          <w:szCs w:val="20"/>
          <w:lang w:val="es-419" w:eastAsia="es-ES"/>
        </w:rPr>
        <w:t>…</w:t>
      </w:r>
    </w:p>
    <w:p w14:paraId="7A9D2F03" w14:textId="7B2187CA" w:rsidR="00A0561B" w:rsidRDefault="00A0561B" w:rsidP="00EE5F7C">
      <w:pPr>
        <w:jc w:val="both"/>
        <w:rPr>
          <w:rFonts w:ascii="Arial" w:eastAsia="Times New Roman" w:hAnsi="Arial" w:cs="Arial"/>
          <w:sz w:val="20"/>
          <w:szCs w:val="20"/>
          <w:lang w:val="es-419" w:eastAsia="es-ES"/>
        </w:rPr>
      </w:pPr>
    </w:p>
    <w:p w14:paraId="50633A68" w14:textId="5F9B5B8A" w:rsidR="00A0561B" w:rsidRDefault="00A0561B" w:rsidP="00EE5F7C">
      <w:pPr>
        <w:jc w:val="both"/>
        <w:rPr>
          <w:rFonts w:ascii="Arial" w:eastAsia="Times New Roman" w:hAnsi="Arial" w:cs="Arial"/>
          <w:sz w:val="20"/>
          <w:szCs w:val="20"/>
          <w:lang w:val="es-419" w:eastAsia="es-ES"/>
        </w:rPr>
      </w:pPr>
      <w:r w:rsidRPr="00A0561B">
        <w:rPr>
          <w:rFonts w:ascii="Arial" w:eastAsia="Times New Roman" w:hAnsi="Arial" w:cs="Arial"/>
          <w:sz w:val="20"/>
          <w:szCs w:val="20"/>
          <w:lang w:val="es-419" w:eastAsia="es-ES"/>
        </w:rPr>
        <w:t>Esta Corporación ha explicado que no todo derecho de naturaleza laboral se extingue con el transcurso del tiempo. En el específico caso del derecho fundamental a la seguridad social, se ha precisado que el mismo tiene carácter “imprescriptible, en atención a los mandatos constitucionales que expresamente disponen que dicho derecho es irrenunciable”</w:t>
      </w:r>
      <w:r>
        <w:rPr>
          <w:rFonts w:ascii="Arial" w:eastAsia="Times New Roman" w:hAnsi="Arial" w:cs="Arial"/>
          <w:sz w:val="20"/>
          <w:szCs w:val="20"/>
          <w:lang w:val="es-419" w:eastAsia="es-ES"/>
        </w:rPr>
        <w:t xml:space="preserve"> …</w:t>
      </w:r>
    </w:p>
    <w:p w14:paraId="52D000E1" w14:textId="10BEAC68" w:rsidR="00A0561B" w:rsidRDefault="00A0561B" w:rsidP="00EE5F7C">
      <w:pPr>
        <w:jc w:val="both"/>
        <w:rPr>
          <w:rFonts w:ascii="Arial" w:eastAsia="Times New Roman" w:hAnsi="Arial" w:cs="Arial"/>
          <w:sz w:val="20"/>
          <w:szCs w:val="20"/>
          <w:lang w:val="es-419" w:eastAsia="es-ES"/>
        </w:rPr>
      </w:pPr>
    </w:p>
    <w:p w14:paraId="7DE8BE23" w14:textId="77777777" w:rsidR="00A0561B" w:rsidRPr="00EE5F7C" w:rsidRDefault="00A0561B" w:rsidP="00EE5F7C">
      <w:pPr>
        <w:jc w:val="both"/>
        <w:rPr>
          <w:rFonts w:ascii="Arial" w:eastAsia="Times New Roman" w:hAnsi="Arial" w:cs="Arial"/>
          <w:sz w:val="20"/>
          <w:szCs w:val="20"/>
          <w:lang w:val="es-419" w:eastAsia="es-ES"/>
        </w:rPr>
      </w:pPr>
    </w:p>
    <w:p w14:paraId="73FA9C21" w14:textId="77777777" w:rsidR="00EE5F7C" w:rsidRPr="00EE5F7C" w:rsidRDefault="00EE5F7C" w:rsidP="00EE5F7C">
      <w:pPr>
        <w:jc w:val="both"/>
        <w:rPr>
          <w:rFonts w:ascii="Arial" w:eastAsia="Times New Roman" w:hAnsi="Arial" w:cs="Arial"/>
          <w:sz w:val="20"/>
          <w:szCs w:val="20"/>
          <w:lang w:val="es-419" w:eastAsia="es-ES"/>
        </w:rPr>
      </w:pPr>
    </w:p>
    <w:p w14:paraId="7044A408" w14:textId="77777777" w:rsidR="00EE5F7C" w:rsidRPr="00EE5F7C" w:rsidRDefault="00EE5F7C" w:rsidP="00EE5F7C">
      <w:pPr>
        <w:jc w:val="both"/>
        <w:rPr>
          <w:rFonts w:ascii="Arial" w:eastAsia="Times New Roman" w:hAnsi="Arial" w:cs="Arial"/>
          <w:sz w:val="20"/>
          <w:szCs w:val="20"/>
          <w:lang w:val="es-419" w:eastAsia="es-ES"/>
        </w:rPr>
      </w:pPr>
    </w:p>
    <w:bookmarkEnd w:id="1"/>
    <w:p w14:paraId="1455C577" w14:textId="77777777" w:rsidR="00EE5F7C" w:rsidRPr="00EE5F7C" w:rsidRDefault="00EE5F7C" w:rsidP="00EE5F7C">
      <w:pPr>
        <w:jc w:val="both"/>
        <w:rPr>
          <w:rFonts w:ascii="Arial" w:eastAsia="Times New Roman" w:hAnsi="Arial" w:cs="Arial"/>
          <w:sz w:val="20"/>
          <w:szCs w:val="20"/>
          <w:lang w:val="es-419" w:eastAsia="es-ES"/>
        </w:rPr>
      </w:pPr>
    </w:p>
    <w:bookmarkEnd w:id="2"/>
    <w:bookmarkEnd w:id="3"/>
    <w:p w14:paraId="622E6988" w14:textId="77777777" w:rsidR="00141D8B" w:rsidRPr="002B212E" w:rsidRDefault="00141D8B" w:rsidP="002B212E">
      <w:pPr>
        <w:pStyle w:val="Ttulo4"/>
        <w:widowControl w:val="0"/>
        <w:spacing w:line="276" w:lineRule="auto"/>
        <w:ind w:left="709" w:right="845"/>
        <w:contextualSpacing/>
        <w:rPr>
          <w:rFonts w:ascii="Tahoma" w:eastAsia="Tahoma" w:hAnsi="Tahoma" w:cs="Tahoma"/>
          <w:szCs w:val="24"/>
        </w:rPr>
      </w:pPr>
      <w:r w:rsidRPr="002B212E">
        <w:rPr>
          <w:rFonts w:ascii="Tahoma" w:eastAsia="Tahoma" w:hAnsi="Tahoma" w:cs="Tahoma"/>
          <w:szCs w:val="24"/>
        </w:rPr>
        <w:t>TRIBUNAL SUPERIOR DEL DISTRITO JUDICIAL DE PEREIRA</w:t>
      </w:r>
    </w:p>
    <w:p w14:paraId="29937E5E" w14:textId="4F31F75D" w:rsidR="00141D8B" w:rsidRPr="002B212E" w:rsidRDefault="00141D8B" w:rsidP="002B212E">
      <w:pPr>
        <w:pStyle w:val="Ttulo4"/>
        <w:widowControl w:val="0"/>
        <w:spacing w:line="276" w:lineRule="auto"/>
        <w:ind w:left="709" w:right="845"/>
        <w:contextualSpacing/>
        <w:rPr>
          <w:rFonts w:ascii="Tahoma" w:eastAsia="Tahoma" w:hAnsi="Tahoma" w:cs="Tahoma"/>
          <w:szCs w:val="24"/>
        </w:rPr>
      </w:pPr>
      <w:r w:rsidRPr="002B212E">
        <w:rPr>
          <w:rFonts w:ascii="Tahoma" w:eastAsia="Tahoma" w:hAnsi="Tahoma" w:cs="Tahoma"/>
          <w:szCs w:val="24"/>
        </w:rPr>
        <w:t>SALA PRIMERA DE DECISION LABORAL</w:t>
      </w:r>
    </w:p>
    <w:p w14:paraId="1A63AE92" w14:textId="77777777" w:rsidR="00141D8B" w:rsidRPr="002B212E" w:rsidRDefault="00141D8B" w:rsidP="002B212E">
      <w:pPr>
        <w:spacing w:line="276" w:lineRule="auto"/>
        <w:jc w:val="center"/>
        <w:rPr>
          <w:rFonts w:ascii="Tahoma" w:hAnsi="Tahoma" w:cs="Tahoma"/>
          <w:lang w:val="es-ES" w:eastAsia="es-ES"/>
        </w:rPr>
      </w:pPr>
    </w:p>
    <w:p w14:paraId="7D2CE962" w14:textId="4AEB81C7" w:rsidR="00141D8B" w:rsidRPr="002B212E" w:rsidRDefault="00141D8B" w:rsidP="002B212E">
      <w:pPr>
        <w:spacing w:line="276" w:lineRule="auto"/>
        <w:contextualSpacing/>
        <w:jc w:val="center"/>
        <w:rPr>
          <w:rFonts w:ascii="Tahoma" w:hAnsi="Tahoma" w:cs="Tahoma"/>
        </w:rPr>
      </w:pPr>
      <w:r w:rsidRPr="002B212E">
        <w:rPr>
          <w:rFonts w:ascii="Tahoma" w:hAnsi="Tahoma" w:cs="Tahoma"/>
        </w:rPr>
        <w:t>Magistrada Ponente: </w:t>
      </w:r>
      <w:r w:rsidRPr="002B212E">
        <w:rPr>
          <w:rFonts w:ascii="Tahoma" w:hAnsi="Tahoma" w:cs="Tahoma"/>
          <w:b/>
        </w:rPr>
        <w:t>Ana Lucía Caicedo Calderón</w:t>
      </w:r>
    </w:p>
    <w:p w14:paraId="3F024658" w14:textId="77777777" w:rsidR="00141D8B" w:rsidRPr="002B212E" w:rsidRDefault="00141D8B" w:rsidP="002B212E">
      <w:pPr>
        <w:spacing w:line="276" w:lineRule="auto"/>
        <w:contextualSpacing/>
        <w:jc w:val="center"/>
        <w:rPr>
          <w:rFonts w:ascii="Tahoma" w:hAnsi="Tahoma" w:cs="Tahoma"/>
        </w:rPr>
      </w:pPr>
    </w:p>
    <w:p w14:paraId="13E80EAB" w14:textId="7F20EC72" w:rsidR="007B498A" w:rsidRPr="002B212E" w:rsidRDefault="007B498A" w:rsidP="002B212E">
      <w:pPr>
        <w:spacing w:line="276" w:lineRule="auto"/>
        <w:ind w:right="49"/>
        <w:contextualSpacing/>
        <w:jc w:val="center"/>
        <w:textAlignment w:val="baseline"/>
        <w:rPr>
          <w:rFonts w:ascii="Tahoma" w:eastAsia="Times New Roman" w:hAnsi="Tahoma" w:cs="Tahoma"/>
          <w:lang w:eastAsia="es-CO"/>
        </w:rPr>
      </w:pPr>
      <w:r w:rsidRPr="002B212E">
        <w:rPr>
          <w:rFonts w:ascii="Tahoma" w:eastAsia="Times New Roman" w:hAnsi="Tahoma" w:cs="Tahoma"/>
          <w:lang w:eastAsia="es-CO"/>
        </w:rPr>
        <w:t xml:space="preserve">Pereira, Risaralda, </w:t>
      </w:r>
      <w:r w:rsidR="007C0B0A" w:rsidRPr="002B212E">
        <w:rPr>
          <w:rFonts w:ascii="Tahoma" w:eastAsia="Times New Roman" w:hAnsi="Tahoma" w:cs="Tahoma"/>
          <w:lang w:eastAsia="es-CO"/>
        </w:rPr>
        <w:t>ocho</w:t>
      </w:r>
      <w:r w:rsidRPr="002B212E">
        <w:rPr>
          <w:rFonts w:ascii="Tahoma" w:eastAsia="Times New Roman" w:hAnsi="Tahoma" w:cs="Tahoma"/>
          <w:lang w:eastAsia="es-CO"/>
        </w:rPr>
        <w:t xml:space="preserve"> (</w:t>
      </w:r>
      <w:r w:rsidR="007C0B0A" w:rsidRPr="002B212E">
        <w:rPr>
          <w:rFonts w:ascii="Tahoma" w:eastAsia="Times New Roman" w:hAnsi="Tahoma" w:cs="Tahoma"/>
          <w:lang w:eastAsia="es-CO"/>
        </w:rPr>
        <w:t>08</w:t>
      </w:r>
      <w:r w:rsidRPr="002B212E">
        <w:rPr>
          <w:rFonts w:ascii="Tahoma" w:eastAsia="Times New Roman" w:hAnsi="Tahoma" w:cs="Tahoma"/>
          <w:lang w:eastAsia="es-CO"/>
        </w:rPr>
        <w:t xml:space="preserve">) de </w:t>
      </w:r>
      <w:r w:rsidR="002F379B" w:rsidRPr="002B212E">
        <w:rPr>
          <w:rFonts w:ascii="Tahoma" w:eastAsia="Times New Roman" w:hAnsi="Tahoma" w:cs="Tahoma"/>
          <w:lang w:eastAsia="es-CO"/>
        </w:rPr>
        <w:t>mayo</w:t>
      </w:r>
      <w:r w:rsidRPr="002B212E">
        <w:rPr>
          <w:rFonts w:ascii="Tahoma" w:eastAsia="Times New Roman" w:hAnsi="Tahoma" w:cs="Tahoma"/>
          <w:lang w:eastAsia="es-CO"/>
        </w:rPr>
        <w:t xml:space="preserve"> dos mil veintidós (2022)</w:t>
      </w:r>
    </w:p>
    <w:p w14:paraId="48876879" w14:textId="4733794D" w:rsidR="007B498A" w:rsidRPr="002B212E" w:rsidRDefault="007B498A" w:rsidP="002B212E">
      <w:pPr>
        <w:spacing w:line="276" w:lineRule="auto"/>
        <w:ind w:right="49"/>
        <w:contextualSpacing/>
        <w:jc w:val="center"/>
        <w:textAlignment w:val="baseline"/>
        <w:rPr>
          <w:rFonts w:ascii="Tahoma" w:eastAsia="Times New Roman" w:hAnsi="Tahoma" w:cs="Tahoma"/>
          <w:lang w:eastAsia="es-CO"/>
        </w:rPr>
      </w:pPr>
      <w:r w:rsidRPr="002B212E">
        <w:rPr>
          <w:rFonts w:ascii="Tahoma" w:eastAsia="Times New Roman" w:hAnsi="Tahoma" w:cs="Tahoma"/>
          <w:lang w:eastAsia="es-CO"/>
        </w:rPr>
        <w:t>Acta No. </w:t>
      </w:r>
      <w:r w:rsidR="76B3EF74" w:rsidRPr="002B212E">
        <w:rPr>
          <w:rFonts w:ascii="Tahoma" w:eastAsia="Times New Roman" w:hAnsi="Tahoma" w:cs="Tahoma"/>
          <w:lang w:eastAsia="es-CO"/>
        </w:rPr>
        <w:t>70</w:t>
      </w:r>
      <w:r w:rsidR="007C0B0A" w:rsidRPr="002B212E">
        <w:rPr>
          <w:rFonts w:ascii="Tahoma" w:eastAsia="Times New Roman" w:hAnsi="Tahoma" w:cs="Tahoma"/>
          <w:lang w:eastAsia="es-CO"/>
        </w:rPr>
        <w:t xml:space="preserve"> </w:t>
      </w:r>
      <w:r w:rsidRPr="002B212E">
        <w:rPr>
          <w:rFonts w:ascii="Tahoma" w:eastAsia="Times New Roman" w:hAnsi="Tahoma" w:cs="Tahoma"/>
          <w:lang w:eastAsia="es-CO"/>
        </w:rPr>
        <w:t xml:space="preserve">del </w:t>
      </w:r>
      <w:r w:rsidR="002F379B" w:rsidRPr="002B212E">
        <w:rPr>
          <w:rFonts w:ascii="Tahoma" w:eastAsia="Times New Roman" w:hAnsi="Tahoma" w:cs="Tahoma"/>
          <w:lang w:eastAsia="es-CO"/>
        </w:rPr>
        <w:t>4</w:t>
      </w:r>
      <w:r w:rsidRPr="002B212E">
        <w:rPr>
          <w:rFonts w:ascii="Tahoma" w:eastAsia="Times New Roman" w:hAnsi="Tahoma" w:cs="Tahoma"/>
          <w:lang w:eastAsia="es-CO"/>
        </w:rPr>
        <w:t xml:space="preserve"> de </w:t>
      </w:r>
      <w:r w:rsidR="002F379B" w:rsidRPr="002B212E">
        <w:rPr>
          <w:rFonts w:ascii="Tahoma" w:eastAsia="Times New Roman" w:hAnsi="Tahoma" w:cs="Tahoma"/>
          <w:lang w:eastAsia="es-CO"/>
        </w:rPr>
        <w:t>mayo</w:t>
      </w:r>
      <w:r w:rsidRPr="002B212E">
        <w:rPr>
          <w:rFonts w:ascii="Tahoma" w:eastAsia="Times New Roman" w:hAnsi="Tahoma" w:cs="Tahoma"/>
          <w:lang w:eastAsia="es-CO"/>
        </w:rPr>
        <w:t xml:space="preserve"> de 2022</w:t>
      </w:r>
    </w:p>
    <w:p w14:paraId="51483045" w14:textId="77777777" w:rsidR="00141D8B" w:rsidRPr="002B212E" w:rsidRDefault="00141D8B" w:rsidP="002B212E">
      <w:pPr>
        <w:spacing w:line="276" w:lineRule="auto"/>
        <w:contextualSpacing/>
        <w:jc w:val="both"/>
        <w:rPr>
          <w:rFonts w:ascii="Tahoma" w:hAnsi="Tahoma" w:cs="Tahoma"/>
        </w:rPr>
      </w:pPr>
    </w:p>
    <w:p w14:paraId="5970AF11" w14:textId="5A7F9DEB" w:rsidR="00141D8B" w:rsidRPr="002B212E" w:rsidRDefault="00141D8B" w:rsidP="002B212E">
      <w:pPr>
        <w:pStyle w:val="NormalWeb"/>
        <w:spacing w:before="0" w:beforeAutospacing="0" w:after="0" w:afterAutospacing="0" w:line="276" w:lineRule="auto"/>
        <w:ind w:right="49" w:firstLine="851"/>
        <w:contextualSpacing/>
        <w:jc w:val="both"/>
        <w:rPr>
          <w:rFonts w:ascii="Tahoma" w:hAnsi="Tahoma" w:cs="Tahoma"/>
          <w:color w:val="000000"/>
        </w:rPr>
      </w:pPr>
      <w:bookmarkStart w:id="5" w:name="_heading=h.gjdgxs" w:colFirst="0" w:colLast="0"/>
      <w:bookmarkEnd w:id="5"/>
      <w:r w:rsidRPr="002B212E">
        <w:rPr>
          <w:rFonts w:ascii="Tahoma" w:hAnsi="Tahoma" w:cs="Tahoma"/>
        </w:rPr>
        <w:t xml:space="preserve">Teniendo en cuenta que el artículo 15 del Decreto No. 806 del 4 de junio de 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2B212E">
        <w:rPr>
          <w:rFonts w:ascii="Tahoma" w:hAnsi="Tahoma" w:cs="Tahoma"/>
          <w:b/>
        </w:rPr>
        <w:lastRenderedPageBreak/>
        <w:t>ordinario laboral</w:t>
      </w:r>
      <w:r w:rsidRPr="002B212E">
        <w:rPr>
          <w:rFonts w:ascii="Tahoma" w:hAnsi="Tahoma" w:cs="Tahoma"/>
        </w:rPr>
        <w:t xml:space="preserve"> instaurado por </w:t>
      </w:r>
      <w:r w:rsidRPr="002B212E">
        <w:rPr>
          <w:rFonts w:ascii="Tahoma" w:hAnsi="Tahoma" w:cs="Tahoma"/>
          <w:lang w:eastAsia="es-ES"/>
        </w:rPr>
        <w:t xml:space="preserve"> </w:t>
      </w:r>
      <w:r w:rsidR="00806EAA" w:rsidRPr="002B212E">
        <w:rPr>
          <w:rFonts w:ascii="Tahoma" w:hAnsi="Tahoma" w:cs="Tahoma"/>
          <w:b/>
          <w:bCs/>
          <w:color w:val="000000"/>
          <w:lang w:val="es"/>
        </w:rPr>
        <w:t xml:space="preserve">Edwin García Arango </w:t>
      </w:r>
      <w:r w:rsidRPr="002B212E">
        <w:rPr>
          <w:rFonts w:ascii="Tahoma" w:hAnsi="Tahoma" w:cs="Tahoma"/>
        </w:rPr>
        <w:t xml:space="preserve">en contra de </w:t>
      </w:r>
      <w:r w:rsidR="00806EAA" w:rsidRPr="002B212E">
        <w:rPr>
          <w:rFonts w:ascii="Tahoma" w:hAnsi="Tahoma" w:cs="Tahoma"/>
          <w:b/>
          <w:bCs/>
          <w:color w:val="000000"/>
          <w:lang w:val="es"/>
        </w:rPr>
        <w:t xml:space="preserve">Huawei </w:t>
      </w:r>
      <w:proofErr w:type="spellStart"/>
      <w:r w:rsidR="00806EAA" w:rsidRPr="002B212E">
        <w:rPr>
          <w:rFonts w:ascii="Tahoma" w:hAnsi="Tahoma" w:cs="Tahoma"/>
          <w:b/>
          <w:bCs/>
          <w:color w:val="000000"/>
          <w:lang w:val="es"/>
        </w:rPr>
        <w:t>Technologie</w:t>
      </w:r>
      <w:proofErr w:type="spellEnd"/>
      <w:r w:rsidR="00806EAA" w:rsidRPr="002B212E">
        <w:rPr>
          <w:rFonts w:ascii="Tahoma" w:hAnsi="Tahoma" w:cs="Tahoma"/>
          <w:b/>
          <w:bCs/>
          <w:color w:val="000000"/>
          <w:lang w:val="es"/>
        </w:rPr>
        <w:t xml:space="preserve"> </w:t>
      </w:r>
      <w:proofErr w:type="spellStart"/>
      <w:r w:rsidR="00806EAA" w:rsidRPr="002B212E">
        <w:rPr>
          <w:rFonts w:ascii="Tahoma" w:hAnsi="Tahoma" w:cs="Tahoma"/>
          <w:b/>
          <w:bCs/>
          <w:color w:val="000000"/>
          <w:lang w:val="es"/>
        </w:rPr>
        <w:t>Managed</w:t>
      </w:r>
      <w:proofErr w:type="spellEnd"/>
      <w:r w:rsidR="00806EAA" w:rsidRPr="002B212E">
        <w:rPr>
          <w:rFonts w:ascii="Tahoma" w:hAnsi="Tahoma" w:cs="Tahoma"/>
          <w:b/>
          <w:bCs/>
          <w:color w:val="000000"/>
          <w:lang w:val="es"/>
        </w:rPr>
        <w:t xml:space="preserve"> </w:t>
      </w:r>
      <w:proofErr w:type="spellStart"/>
      <w:r w:rsidR="00806EAA" w:rsidRPr="002B212E">
        <w:rPr>
          <w:rFonts w:ascii="Tahoma" w:hAnsi="Tahoma" w:cs="Tahoma"/>
          <w:b/>
          <w:bCs/>
          <w:color w:val="000000"/>
          <w:lang w:val="es"/>
        </w:rPr>
        <w:t>Service</w:t>
      </w:r>
      <w:proofErr w:type="spellEnd"/>
      <w:r w:rsidR="00806EAA" w:rsidRPr="002B212E">
        <w:rPr>
          <w:rFonts w:ascii="Tahoma" w:hAnsi="Tahoma" w:cs="Tahoma"/>
          <w:b/>
          <w:bCs/>
          <w:color w:val="000000"/>
          <w:lang w:val="es"/>
        </w:rPr>
        <w:t xml:space="preserve"> Colombia S.A.S.</w:t>
      </w:r>
    </w:p>
    <w:p w14:paraId="3522585E" w14:textId="77777777" w:rsidR="00141D8B" w:rsidRPr="002B212E" w:rsidRDefault="00141D8B" w:rsidP="002B212E">
      <w:pPr>
        <w:pStyle w:val="NormalWeb"/>
        <w:spacing w:before="0" w:beforeAutospacing="0" w:after="0" w:afterAutospacing="0" w:line="276" w:lineRule="auto"/>
        <w:contextualSpacing/>
        <w:jc w:val="both"/>
        <w:rPr>
          <w:rFonts w:ascii="Tahoma" w:hAnsi="Tahoma" w:cs="Tahoma"/>
          <w:b/>
          <w:bCs/>
          <w:color w:val="000000"/>
        </w:rPr>
      </w:pPr>
    </w:p>
    <w:p w14:paraId="01A4D675" w14:textId="77777777" w:rsidR="00141D8B" w:rsidRPr="002B212E" w:rsidRDefault="00141D8B" w:rsidP="002B212E">
      <w:pPr>
        <w:pStyle w:val="NormalWeb"/>
        <w:spacing w:before="0" w:beforeAutospacing="0" w:after="0" w:afterAutospacing="0" w:line="276" w:lineRule="auto"/>
        <w:jc w:val="center"/>
        <w:rPr>
          <w:rFonts w:ascii="Tahoma" w:hAnsi="Tahoma" w:cs="Tahoma"/>
        </w:rPr>
      </w:pPr>
      <w:r w:rsidRPr="002B212E">
        <w:rPr>
          <w:rFonts w:ascii="Tahoma" w:hAnsi="Tahoma" w:cs="Tahoma"/>
          <w:b/>
          <w:bCs/>
          <w:color w:val="000000"/>
        </w:rPr>
        <w:t>PUNTO A TRATAR</w:t>
      </w:r>
    </w:p>
    <w:p w14:paraId="2BC404D9" w14:textId="77777777" w:rsidR="00141D8B" w:rsidRPr="002B212E" w:rsidRDefault="00141D8B" w:rsidP="002B212E">
      <w:pPr>
        <w:spacing w:line="276" w:lineRule="auto"/>
        <w:ind w:firstLine="851"/>
        <w:jc w:val="both"/>
        <w:rPr>
          <w:rFonts w:ascii="Tahoma" w:eastAsia="Times New Roman" w:hAnsi="Tahoma" w:cs="Tahoma"/>
          <w:color w:val="000000"/>
          <w:lang w:val="es-CO"/>
        </w:rPr>
      </w:pPr>
    </w:p>
    <w:p w14:paraId="19FAB11B" w14:textId="36E3E2C7" w:rsidR="00141D8B" w:rsidRPr="002B212E" w:rsidRDefault="00141D8B" w:rsidP="002B212E">
      <w:pPr>
        <w:spacing w:line="276" w:lineRule="auto"/>
        <w:ind w:firstLine="851"/>
        <w:jc w:val="both"/>
        <w:rPr>
          <w:rFonts w:ascii="Tahoma" w:eastAsia="Times New Roman" w:hAnsi="Tahoma" w:cs="Tahoma"/>
          <w:color w:val="000000"/>
          <w:lang w:val="es-CO"/>
        </w:rPr>
      </w:pPr>
      <w:r w:rsidRPr="002B212E">
        <w:rPr>
          <w:rFonts w:ascii="Tahoma" w:eastAsia="Times New Roman" w:hAnsi="Tahoma" w:cs="Tahoma"/>
          <w:color w:val="000000"/>
          <w:lang w:val="es-CO"/>
        </w:rPr>
        <w:t xml:space="preserve">Por medio de esta providencia procede la Sala a resolver el recurso de apelación interpuesto por la parte demandada en contra de la sentencia proferida el </w:t>
      </w:r>
      <w:r w:rsidR="00806EAA" w:rsidRPr="002B212E">
        <w:rPr>
          <w:rFonts w:ascii="Tahoma" w:eastAsia="Times New Roman" w:hAnsi="Tahoma" w:cs="Tahoma"/>
          <w:color w:val="000000"/>
          <w:lang w:val="es-CO"/>
        </w:rPr>
        <w:t xml:space="preserve">2 de marzo de 2022 </w:t>
      </w:r>
      <w:r w:rsidRPr="002B212E">
        <w:rPr>
          <w:rFonts w:ascii="Tahoma" w:eastAsia="Times New Roman" w:hAnsi="Tahoma" w:cs="Tahoma"/>
          <w:color w:val="000000"/>
          <w:lang w:val="es-CO"/>
        </w:rPr>
        <w:t xml:space="preserve">por el </w:t>
      </w:r>
      <w:r w:rsidR="00806EAA" w:rsidRPr="002B212E">
        <w:rPr>
          <w:rFonts w:ascii="Tahoma" w:eastAsia="Times New Roman" w:hAnsi="Tahoma" w:cs="Tahoma"/>
          <w:color w:val="000000"/>
        </w:rPr>
        <w:t>Juzgado Laboral del Circuito de Dosquebradas</w:t>
      </w:r>
      <w:r w:rsidRPr="002B212E">
        <w:rPr>
          <w:rFonts w:ascii="Tahoma" w:eastAsia="Times New Roman" w:hAnsi="Tahoma" w:cs="Tahoma"/>
          <w:color w:val="000000"/>
          <w:lang w:val="es-CO"/>
        </w:rPr>
        <w:t>. Para ello se tiene en cuenta lo siguiente: </w:t>
      </w:r>
    </w:p>
    <w:p w14:paraId="41692799" w14:textId="77777777" w:rsidR="00141D8B" w:rsidRPr="002B212E" w:rsidRDefault="00141D8B" w:rsidP="002B212E">
      <w:pPr>
        <w:spacing w:line="276" w:lineRule="auto"/>
        <w:ind w:firstLine="851"/>
        <w:jc w:val="both"/>
        <w:rPr>
          <w:rFonts w:ascii="Tahoma" w:eastAsia="Times New Roman" w:hAnsi="Tahoma" w:cs="Tahoma"/>
          <w:color w:val="000000"/>
          <w:lang w:val="es-CO"/>
        </w:rPr>
      </w:pPr>
    </w:p>
    <w:p w14:paraId="7A20DF0D" w14:textId="6ECDA580" w:rsidR="00141D8B" w:rsidRPr="002B212E" w:rsidRDefault="00141D8B" w:rsidP="002B212E">
      <w:pPr>
        <w:numPr>
          <w:ilvl w:val="0"/>
          <w:numId w:val="1"/>
        </w:numPr>
        <w:spacing w:line="276" w:lineRule="auto"/>
        <w:jc w:val="center"/>
        <w:textAlignment w:val="baseline"/>
        <w:rPr>
          <w:rFonts w:ascii="Tahoma" w:eastAsia="Times New Roman" w:hAnsi="Tahoma" w:cs="Tahoma"/>
          <w:b/>
          <w:bCs/>
          <w:color w:val="000000"/>
          <w:lang w:val="es-CO"/>
        </w:rPr>
      </w:pPr>
      <w:r w:rsidRPr="002B212E">
        <w:rPr>
          <w:rFonts w:ascii="Tahoma" w:eastAsia="Times New Roman" w:hAnsi="Tahoma" w:cs="Tahoma"/>
          <w:b/>
          <w:bCs/>
          <w:color w:val="000000"/>
          <w:lang w:val="es-CO"/>
        </w:rPr>
        <w:t xml:space="preserve">La demanda y </w:t>
      </w:r>
      <w:r w:rsidR="001B08D3" w:rsidRPr="002B212E">
        <w:rPr>
          <w:rFonts w:ascii="Tahoma" w:eastAsia="Times New Roman" w:hAnsi="Tahoma" w:cs="Tahoma"/>
          <w:b/>
          <w:bCs/>
          <w:color w:val="000000"/>
          <w:lang w:val="es-CO"/>
        </w:rPr>
        <w:t>la contestación de la demanda</w:t>
      </w:r>
    </w:p>
    <w:p w14:paraId="5A19DC60" w14:textId="77777777" w:rsidR="00141D8B" w:rsidRPr="002B212E" w:rsidRDefault="00141D8B" w:rsidP="002B212E">
      <w:pPr>
        <w:spacing w:line="276" w:lineRule="auto"/>
        <w:ind w:left="720"/>
        <w:jc w:val="both"/>
        <w:textAlignment w:val="baseline"/>
        <w:rPr>
          <w:rFonts w:ascii="Tahoma" w:eastAsia="Times New Roman" w:hAnsi="Tahoma" w:cs="Tahoma"/>
          <w:b/>
          <w:bCs/>
          <w:color w:val="000000"/>
          <w:lang w:val="es-CO"/>
        </w:rPr>
      </w:pPr>
    </w:p>
    <w:p w14:paraId="77D44FFA" w14:textId="4E18D326" w:rsidR="00141D8B" w:rsidRPr="002B212E" w:rsidRDefault="00706716" w:rsidP="002B212E">
      <w:pPr>
        <w:spacing w:line="276" w:lineRule="auto"/>
        <w:ind w:firstLine="851"/>
        <w:jc w:val="both"/>
        <w:rPr>
          <w:rFonts w:ascii="Tahoma" w:eastAsia="Times New Roman" w:hAnsi="Tahoma" w:cs="Tahoma"/>
          <w:color w:val="000000"/>
          <w:lang w:val="es-CO"/>
        </w:rPr>
      </w:pPr>
      <w:r w:rsidRPr="002B212E">
        <w:rPr>
          <w:rFonts w:ascii="Tahoma" w:eastAsia="Times New Roman" w:hAnsi="Tahoma" w:cs="Tahoma"/>
          <w:color w:val="000000"/>
          <w:lang w:val="es-CO"/>
        </w:rPr>
        <w:t xml:space="preserve">Pretende el demandante </w:t>
      </w:r>
      <w:r w:rsidR="00436238" w:rsidRPr="002B212E">
        <w:rPr>
          <w:rFonts w:ascii="Tahoma" w:eastAsia="Times New Roman" w:hAnsi="Tahoma" w:cs="Tahoma"/>
          <w:color w:val="000000"/>
          <w:lang w:val="es-CO"/>
        </w:rPr>
        <w:t>que se declare l</w:t>
      </w:r>
      <w:r w:rsidR="00CF5C3C" w:rsidRPr="002B212E">
        <w:rPr>
          <w:rFonts w:ascii="Tahoma" w:eastAsia="Times New Roman" w:hAnsi="Tahoma" w:cs="Tahoma"/>
          <w:color w:val="000000"/>
          <w:lang w:val="es-CO"/>
        </w:rPr>
        <w:t xml:space="preserve">a existencia de una relación laboral con la sociedad Huawei </w:t>
      </w:r>
      <w:proofErr w:type="spellStart"/>
      <w:r w:rsidR="00CF5C3C" w:rsidRPr="002B212E">
        <w:rPr>
          <w:rFonts w:ascii="Tahoma" w:eastAsia="Times New Roman" w:hAnsi="Tahoma" w:cs="Tahoma"/>
          <w:color w:val="000000"/>
          <w:lang w:val="es-CO"/>
        </w:rPr>
        <w:t>Technologie</w:t>
      </w:r>
      <w:proofErr w:type="spellEnd"/>
      <w:r w:rsidR="00CF5C3C" w:rsidRPr="002B212E">
        <w:rPr>
          <w:rFonts w:ascii="Tahoma" w:eastAsia="Times New Roman" w:hAnsi="Tahoma" w:cs="Tahoma"/>
          <w:color w:val="000000"/>
          <w:lang w:val="es-CO"/>
        </w:rPr>
        <w:t xml:space="preserve"> </w:t>
      </w:r>
      <w:proofErr w:type="spellStart"/>
      <w:r w:rsidR="00CF5C3C" w:rsidRPr="002B212E">
        <w:rPr>
          <w:rFonts w:ascii="Tahoma" w:eastAsia="Times New Roman" w:hAnsi="Tahoma" w:cs="Tahoma"/>
          <w:color w:val="000000"/>
          <w:lang w:val="es-CO"/>
        </w:rPr>
        <w:t>Managed</w:t>
      </w:r>
      <w:proofErr w:type="spellEnd"/>
      <w:r w:rsidR="00CF5C3C" w:rsidRPr="002B212E">
        <w:rPr>
          <w:rFonts w:ascii="Tahoma" w:eastAsia="Times New Roman" w:hAnsi="Tahoma" w:cs="Tahoma"/>
          <w:color w:val="000000"/>
          <w:lang w:val="es-CO"/>
        </w:rPr>
        <w:t xml:space="preserve"> </w:t>
      </w:r>
      <w:proofErr w:type="spellStart"/>
      <w:r w:rsidR="00CF5C3C" w:rsidRPr="002B212E">
        <w:rPr>
          <w:rFonts w:ascii="Tahoma" w:eastAsia="Times New Roman" w:hAnsi="Tahoma" w:cs="Tahoma"/>
          <w:color w:val="000000"/>
          <w:lang w:val="es-CO"/>
        </w:rPr>
        <w:t>Service</w:t>
      </w:r>
      <w:proofErr w:type="spellEnd"/>
      <w:r w:rsidR="00CF5C3C" w:rsidRPr="002B212E">
        <w:rPr>
          <w:rFonts w:ascii="Tahoma" w:eastAsia="Times New Roman" w:hAnsi="Tahoma" w:cs="Tahoma"/>
          <w:color w:val="000000"/>
          <w:lang w:val="es-CO"/>
        </w:rPr>
        <w:t xml:space="preserve"> Colombia S.A.S. desde el 22 de mayo de 2006; </w:t>
      </w:r>
      <w:r w:rsidR="004510ED" w:rsidRPr="002B212E">
        <w:rPr>
          <w:rFonts w:ascii="Tahoma" w:eastAsia="Times New Roman" w:hAnsi="Tahoma" w:cs="Tahoma"/>
          <w:color w:val="000000"/>
          <w:lang w:val="es-CO"/>
        </w:rPr>
        <w:t>asimismo</w:t>
      </w:r>
      <w:r w:rsidR="00AC6B33" w:rsidRPr="002B212E">
        <w:rPr>
          <w:rFonts w:ascii="Tahoma" w:eastAsia="Times New Roman" w:hAnsi="Tahoma" w:cs="Tahoma"/>
          <w:color w:val="000000"/>
          <w:lang w:val="es-CO"/>
        </w:rPr>
        <w:t>,</w:t>
      </w:r>
      <w:r w:rsidR="004510ED" w:rsidRPr="002B212E">
        <w:rPr>
          <w:rFonts w:ascii="Tahoma" w:eastAsia="Times New Roman" w:hAnsi="Tahoma" w:cs="Tahoma"/>
          <w:color w:val="000000"/>
          <w:lang w:val="es-CO"/>
        </w:rPr>
        <w:t xml:space="preserve"> que la demandada entre el 01 de mayo de 2014 y 31 de diciembre de 2015 </w:t>
      </w:r>
      <w:proofErr w:type="spellStart"/>
      <w:r w:rsidR="004510ED" w:rsidRPr="002B212E">
        <w:rPr>
          <w:rFonts w:ascii="Tahoma" w:eastAsia="Times New Roman" w:hAnsi="Tahoma" w:cs="Tahoma"/>
          <w:color w:val="000000"/>
          <w:lang w:val="es-CO"/>
        </w:rPr>
        <w:t>desalarizó</w:t>
      </w:r>
      <w:proofErr w:type="spellEnd"/>
      <w:r w:rsidR="004510ED" w:rsidRPr="002B212E">
        <w:rPr>
          <w:rFonts w:ascii="Tahoma" w:eastAsia="Times New Roman" w:hAnsi="Tahoma" w:cs="Tahoma"/>
          <w:color w:val="000000"/>
          <w:lang w:val="es-CO"/>
        </w:rPr>
        <w:t xml:space="preserve"> de manera ilegal el salario del trabajador, para evadir el pago </w:t>
      </w:r>
      <w:r w:rsidR="00667FD8" w:rsidRPr="002B212E">
        <w:rPr>
          <w:rFonts w:ascii="Tahoma" w:eastAsia="Times New Roman" w:hAnsi="Tahoma" w:cs="Tahoma"/>
          <w:color w:val="000000"/>
          <w:lang w:val="es-CO"/>
        </w:rPr>
        <w:t xml:space="preserve">total de prestaciones sociales </w:t>
      </w:r>
      <w:r w:rsidR="00AB791B" w:rsidRPr="002B212E">
        <w:rPr>
          <w:rFonts w:ascii="Tahoma" w:eastAsia="Times New Roman" w:hAnsi="Tahoma" w:cs="Tahoma"/>
          <w:color w:val="000000"/>
          <w:lang w:val="es-CO"/>
        </w:rPr>
        <w:t>y aportes en seguridad social y que entre el 22 de mayo de 2006 y el 01 de mayo de 2017</w:t>
      </w:r>
      <w:r w:rsidR="00A763A9" w:rsidRPr="002B212E">
        <w:rPr>
          <w:rFonts w:ascii="Tahoma" w:eastAsia="Times New Roman" w:hAnsi="Tahoma" w:cs="Tahoma"/>
          <w:color w:val="000000"/>
          <w:lang w:val="es-CO"/>
        </w:rPr>
        <w:t xml:space="preserve"> no le fueron pagados los turnos de disponibilidad.</w:t>
      </w:r>
    </w:p>
    <w:p w14:paraId="48CF1526" w14:textId="77777777" w:rsidR="00706716" w:rsidRPr="002B212E" w:rsidRDefault="00706716" w:rsidP="002B212E">
      <w:pPr>
        <w:spacing w:line="276" w:lineRule="auto"/>
        <w:ind w:firstLine="851"/>
        <w:jc w:val="both"/>
        <w:rPr>
          <w:rFonts w:ascii="Tahoma" w:hAnsi="Tahoma" w:cs="Tahoma"/>
        </w:rPr>
      </w:pPr>
    </w:p>
    <w:p w14:paraId="3CBC976D" w14:textId="021DDEBC" w:rsidR="00141D8B" w:rsidRPr="002B212E" w:rsidRDefault="00A763A9" w:rsidP="002B212E">
      <w:pPr>
        <w:spacing w:line="276" w:lineRule="auto"/>
        <w:ind w:firstLine="851"/>
        <w:jc w:val="both"/>
        <w:rPr>
          <w:rFonts w:ascii="Tahoma" w:hAnsi="Tahoma" w:cs="Tahoma"/>
        </w:rPr>
      </w:pPr>
      <w:r w:rsidRPr="002B212E">
        <w:rPr>
          <w:rFonts w:ascii="Tahoma" w:hAnsi="Tahoma" w:cs="Tahoma"/>
        </w:rPr>
        <w:t xml:space="preserve">En consecuencia, pretende que se condene a la demandada </w:t>
      </w:r>
      <w:r w:rsidR="00987A7D" w:rsidRPr="002B212E">
        <w:rPr>
          <w:rFonts w:ascii="Tahoma" w:hAnsi="Tahoma" w:cs="Tahoma"/>
        </w:rPr>
        <w:t>a</w:t>
      </w:r>
      <w:r w:rsidR="003F02B9" w:rsidRPr="002B212E">
        <w:rPr>
          <w:rFonts w:ascii="Tahoma" w:hAnsi="Tahoma" w:cs="Tahoma"/>
        </w:rPr>
        <w:t>l pago de los turnos de disponibilidad, incluyendo horas extras y recargos,</w:t>
      </w:r>
      <w:r w:rsidR="00987A7D" w:rsidRPr="002B212E">
        <w:rPr>
          <w:rFonts w:ascii="Tahoma" w:hAnsi="Tahoma" w:cs="Tahoma"/>
        </w:rPr>
        <w:t xml:space="preserve"> </w:t>
      </w:r>
      <w:r w:rsidRPr="002B212E">
        <w:rPr>
          <w:rFonts w:ascii="Tahoma" w:hAnsi="Tahoma" w:cs="Tahoma"/>
        </w:rPr>
        <w:t>la reliquidación de todas las prestaciones sociales</w:t>
      </w:r>
      <w:r w:rsidR="00987A7D" w:rsidRPr="002B212E">
        <w:rPr>
          <w:rFonts w:ascii="Tahoma" w:hAnsi="Tahoma" w:cs="Tahoma"/>
        </w:rPr>
        <w:t xml:space="preserve">, </w:t>
      </w:r>
      <w:r w:rsidRPr="002B212E">
        <w:rPr>
          <w:rFonts w:ascii="Tahoma" w:hAnsi="Tahoma" w:cs="Tahoma"/>
        </w:rPr>
        <w:t xml:space="preserve">vacaciones </w:t>
      </w:r>
      <w:r w:rsidR="0065270E" w:rsidRPr="002B212E">
        <w:rPr>
          <w:rFonts w:ascii="Tahoma" w:hAnsi="Tahoma" w:cs="Tahoma"/>
        </w:rPr>
        <w:t xml:space="preserve">y reajuste de los aportes a seguridad social, </w:t>
      </w:r>
      <w:r w:rsidR="00987A7D" w:rsidRPr="002B212E">
        <w:rPr>
          <w:rFonts w:ascii="Tahoma" w:hAnsi="Tahoma" w:cs="Tahoma"/>
        </w:rPr>
        <w:t xml:space="preserve">teniendo en cuenta </w:t>
      </w:r>
      <w:r w:rsidR="003F02B9" w:rsidRPr="002B212E">
        <w:rPr>
          <w:rFonts w:ascii="Tahoma" w:hAnsi="Tahoma" w:cs="Tahoma"/>
        </w:rPr>
        <w:t xml:space="preserve">los anteriores conceptos no pagados desde el 22 de mayo de 2006 hasta el 1 de mayo de 2017 y </w:t>
      </w:r>
      <w:r w:rsidR="00987A7D" w:rsidRPr="002B212E">
        <w:rPr>
          <w:rFonts w:ascii="Tahoma" w:hAnsi="Tahoma" w:cs="Tahoma"/>
        </w:rPr>
        <w:t xml:space="preserve">el salario real devengado por el trabajador </w:t>
      </w:r>
      <w:r w:rsidRPr="002B212E">
        <w:rPr>
          <w:rFonts w:ascii="Tahoma" w:hAnsi="Tahoma" w:cs="Tahoma"/>
        </w:rPr>
        <w:t xml:space="preserve">desde el 01 de mayo de 2014 </w:t>
      </w:r>
      <w:r w:rsidR="0065270E" w:rsidRPr="002B212E">
        <w:rPr>
          <w:rFonts w:ascii="Tahoma" w:hAnsi="Tahoma" w:cs="Tahoma"/>
        </w:rPr>
        <w:t>hasta el</w:t>
      </w:r>
      <w:r w:rsidRPr="002B212E">
        <w:rPr>
          <w:rFonts w:ascii="Tahoma" w:hAnsi="Tahoma" w:cs="Tahoma"/>
        </w:rPr>
        <w:t xml:space="preserve"> 31 de diciembre de 2015</w:t>
      </w:r>
      <w:r w:rsidR="00AC6B33" w:rsidRPr="002B212E">
        <w:rPr>
          <w:rFonts w:ascii="Tahoma" w:hAnsi="Tahoma" w:cs="Tahoma"/>
        </w:rPr>
        <w:t xml:space="preserve">. Del mismo modo, peticiona </w:t>
      </w:r>
      <w:r w:rsidR="00273FB7" w:rsidRPr="002B212E">
        <w:rPr>
          <w:rFonts w:ascii="Tahoma" w:hAnsi="Tahoma" w:cs="Tahoma"/>
        </w:rPr>
        <w:t xml:space="preserve">la sanción contenida en el artículo 65 del C.S.T una vez finiquite </w:t>
      </w:r>
      <w:r w:rsidR="008B3FF5" w:rsidRPr="002B212E">
        <w:rPr>
          <w:rFonts w:ascii="Tahoma" w:hAnsi="Tahoma" w:cs="Tahoma"/>
        </w:rPr>
        <w:t>la relación laboral, la establecida en el artículo 99 de la Ley 50 de 1990</w:t>
      </w:r>
      <w:r w:rsidR="00324838" w:rsidRPr="002B212E">
        <w:rPr>
          <w:rFonts w:ascii="Tahoma" w:hAnsi="Tahoma" w:cs="Tahoma"/>
        </w:rPr>
        <w:t xml:space="preserve">, lo probado bajo las facultades ultra y extra petita y las costas procesales en su favor. </w:t>
      </w:r>
    </w:p>
    <w:p w14:paraId="4A6988CE" w14:textId="77777777" w:rsidR="00324838" w:rsidRPr="002B212E" w:rsidRDefault="00324838" w:rsidP="002B212E">
      <w:pPr>
        <w:spacing w:line="276" w:lineRule="auto"/>
        <w:ind w:firstLine="851"/>
        <w:jc w:val="both"/>
        <w:rPr>
          <w:rFonts w:ascii="Tahoma" w:hAnsi="Tahoma" w:cs="Tahoma"/>
          <w:lang w:val="es-ES"/>
        </w:rPr>
      </w:pPr>
    </w:p>
    <w:p w14:paraId="1EB3BE3D" w14:textId="331F80F3" w:rsidR="00FA74AA" w:rsidRPr="002B212E" w:rsidRDefault="00AB6BD8" w:rsidP="002B212E">
      <w:pPr>
        <w:spacing w:line="276" w:lineRule="auto"/>
        <w:ind w:firstLine="851"/>
        <w:jc w:val="both"/>
        <w:rPr>
          <w:rFonts w:ascii="Tahoma" w:hAnsi="Tahoma" w:cs="Tahoma"/>
          <w:lang w:val="es-CO"/>
        </w:rPr>
      </w:pPr>
      <w:r w:rsidRPr="002B212E">
        <w:rPr>
          <w:rFonts w:ascii="Tahoma" w:hAnsi="Tahoma" w:cs="Tahoma"/>
        </w:rPr>
        <w:t xml:space="preserve">Para fundar dichas pretensiones, </w:t>
      </w:r>
      <w:r w:rsidR="00FA74AA" w:rsidRPr="002B212E">
        <w:rPr>
          <w:rFonts w:ascii="Tahoma" w:hAnsi="Tahoma" w:cs="Tahoma"/>
        </w:rPr>
        <w:t xml:space="preserve">manifiesta </w:t>
      </w:r>
      <w:r w:rsidR="5A808C99" w:rsidRPr="002B212E">
        <w:rPr>
          <w:rFonts w:ascii="Tahoma" w:hAnsi="Tahoma" w:cs="Tahoma"/>
        </w:rPr>
        <w:t>que,</w:t>
      </w:r>
      <w:r w:rsidR="00FA74AA" w:rsidRPr="002B212E">
        <w:rPr>
          <w:rFonts w:ascii="Tahoma" w:hAnsi="Tahoma" w:cs="Tahoma"/>
        </w:rPr>
        <w:t xml:space="preserve"> </w:t>
      </w:r>
      <w:r w:rsidR="00C02AE0" w:rsidRPr="002B212E">
        <w:rPr>
          <w:rFonts w:ascii="Tahoma" w:hAnsi="Tahoma" w:cs="Tahoma"/>
        </w:rPr>
        <w:t xml:space="preserve">por medio de un contrato de trabajo a término indefinido aún vigente, </w:t>
      </w:r>
      <w:r w:rsidR="00FA74AA" w:rsidRPr="002B212E">
        <w:rPr>
          <w:rFonts w:ascii="Tahoma" w:hAnsi="Tahoma" w:cs="Tahoma"/>
        </w:rPr>
        <w:t xml:space="preserve">el 22 de mayo de 2006 ingresó a laboral para Colombia Móvil S.A </w:t>
      </w:r>
      <w:r w:rsidR="00AA09DA" w:rsidRPr="002B212E">
        <w:rPr>
          <w:rFonts w:ascii="Tahoma" w:hAnsi="Tahoma" w:cs="Tahoma"/>
        </w:rPr>
        <w:t>E</w:t>
      </w:r>
      <w:r w:rsidR="00FA74AA" w:rsidRPr="002B212E">
        <w:rPr>
          <w:rFonts w:ascii="Tahoma" w:hAnsi="Tahoma" w:cs="Tahoma"/>
        </w:rPr>
        <w:t>.</w:t>
      </w:r>
      <w:r w:rsidR="0058197A" w:rsidRPr="002B212E">
        <w:rPr>
          <w:rFonts w:ascii="Tahoma" w:hAnsi="Tahoma" w:cs="Tahoma"/>
        </w:rPr>
        <w:t>S.P</w:t>
      </w:r>
      <w:r w:rsidR="003E274B">
        <w:rPr>
          <w:rFonts w:ascii="Tahoma" w:hAnsi="Tahoma" w:cs="Tahoma"/>
        </w:rPr>
        <w:t>.</w:t>
      </w:r>
      <w:r w:rsidR="00FA74AA" w:rsidRPr="002B212E">
        <w:rPr>
          <w:rFonts w:ascii="Tahoma" w:hAnsi="Tahoma" w:cs="Tahoma"/>
        </w:rPr>
        <w:t>, como Técnico Analista O &amp; M</w:t>
      </w:r>
      <w:r w:rsidR="00AA09DA" w:rsidRPr="002B212E">
        <w:rPr>
          <w:rFonts w:ascii="Tahoma" w:hAnsi="Tahoma" w:cs="Tahoma"/>
        </w:rPr>
        <w:t xml:space="preserve">; </w:t>
      </w:r>
      <w:r w:rsidR="00E56497" w:rsidRPr="002B212E">
        <w:rPr>
          <w:rFonts w:ascii="Tahoma" w:hAnsi="Tahoma" w:cs="Tahoma"/>
        </w:rPr>
        <w:t xml:space="preserve">contrato que fue sustituido </w:t>
      </w:r>
      <w:r w:rsidR="00A3236B" w:rsidRPr="002B212E">
        <w:rPr>
          <w:rFonts w:ascii="Tahoma" w:hAnsi="Tahoma" w:cs="Tahoma"/>
        </w:rPr>
        <w:t>el 10 de octubre de 2016 a la sociedad Huawei Technologies Colombia S.A.S</w:t>
      </w:r>
      <w:r w:rsidR="00C02AE0" w:rsidRPr="002B212E">
        <w:rPr>
          <w:rFonts w:ascii="Tahoma" w:hAnsi="Tahoma" w:cs="Tahoma"/>
        </w:rPr>
        <w:t>,</w:t>
      </w:r>
      <w:r w:rsidR="00A3236B" w:rsidRPr="002B212E">
        <w:rPr>
          <w:rFonts w:ascii="Tahoma" w:hAnsi="Tahoma" w:cs="Tahoma"/>
        </w:rPr>
        <w:t xml:space="preserve"> y el 7 de diciembre de 2017 a </w:t>
      </w:r>
      <w:r w:rsidR="0058197A" w:rsidRPr="002B212E">
        <w:rPr>
          <w:rFonts w:ascii="Tahoma" w:hAnsi="Tahoma" w:cs="Tahoma"/>
        </w:rPr>
        <w:t xml:space="preserve">la demandada </w:t>
      </w:r>
      <w:r w:rsidR="0058197A" w:rsidRPr="002B212E">
        <w:rPr>
          <w:rFonts w:ascii="Tahoma" w:hAnsi="Tahoma" w:cs="Tahoma"/>
          <w:lang w:val="es-CO"/>
        </w:rPr>
        <w:t xml:space="preserve">Huawei </w:t>
      </w:r>
      <w:proofErr w:type="spellStart"/>
      <w:r w:rsidR="0058197A" w:rsidRPr="002B212E">
        <w:rPr>
          <w:rFonts w:ascii="Tahoma" w:hAnsi="Tahoma" w:cs="Tahoma"/>
          <w:lang w:val="es-CO"/>
        </w:rPr>
        <w:t>Technologie</w:t>
      </w:r>
      <w:proofErr w:type="spellEnd"/>
      <w:r w:rsidR="0058197A" w:rsidRPr="002B212E">
        <w:rPr>
          <w:rFonts w:ascii="Tahoma" w:hAnsi="Tahoma" w:cs="Tahoma"/>
          <w:lang w:val="es-CO"/>
        </w:rPr>
        <w:t xml:space="preserve"> </w:t>
      </w:r>
      <w:proofErr w:type="spellStart"/>
      <w:r w:rsidR="0058197A" w:rsidRPr="002B212E">
        <w:rPr>
          <w:rFonts w:ascii="Tahoma" w:hAnsi="Tahoma" w:cs="Tahoma"/>
          <w:lang w:val="es-CO"/>
        </w:rPr>
        <w:t>Managed</w:t>
      </w:r>
      <w:proofErr w:type="spellEnd"/>
      <w:r w:rsidR="0058197A" w:rsidRPr="002B212E">
        <w:rPr>
          <w:rFonts w:ascii="Tahoma" w:hAnsi="Tahoma" w:cs="Tahoma"/>
          <w:lang w:val="es-CO"/>
        </w:rPr>
        <w:t xml:space="preserve"> </w:t>
      </w:r>
      <w:proofErr w:type="spellStart"/>
      <w:r w:rsidR="0058197A" w:rsidRPr="002B212E">
        <w:rPr>
          <w:rFonts w:ascii="Tahoma" w:hAnsi="Tahoma" w:cs="Tahoma"/>
          <w:lang w:val="es-CO"/>
        </w:rPr>
        <w:t>Service</w:t>
      </w:r>
      <w:proofErr w:type="spellEnd"/>
      <w:r w:rsidR="0058197A" w:rsidRPr="002B212E">
        <w:rPr>
          <w:rFonts w:ascii="Tahoma" w:hAnsi="Tahoma" w:cs="Tahoma"/>
          <w:lang w:val="es-CO"/>
        </w:rPr>
        <w:t xml:space="preserve"> Colombia S.A.S.</w:t>
      </w:r>
    </w:p>
    <w:p w14:paraId="4C64F37F" w14:textId="77777777" w:rsidR="00AA09DA" w:rsidRPr="002B212E" w:rsidRDefault="00AA09DA" w:rsidP="002B212E">
      <w:pPr>
        <w:spacing w:line="276" w:lineRule="auto"/>
        <w:ind w:firstLine="851"/>
        <w:jc w:val="both"/>
        <w:rPr>
          <w:rFonts w:ascii="Tahoma" w:hAnsi="Tahoma" w:cs="Tahoma"/>
        </w:rPr>
      </w:pPr>
    </w:p>
    <w:p w14:paraId="00B731EB" w14:textId="6D90CD25" w:rsidR="00AA09DA" w:rsidRPr="002B212E" w:rsidRDefault="0058197A" w:rsidP="002B212E">
      <w:pPr>
        <w:spacing w:line="276" w:lineRule="auto"/>
        <w:ind w:firstLine="851"/>
        <w:jc w:val="both"/>
        <w:rPr>
          <w:rFonts w:ascii="Tahoma" w:hAnsi="Tahoma" w:cs="Tahoma"/>
        </w:rPr>
      </w:pPr>
      <w:r w:rsidRPr="002B212E">
        <w:rPr>
          <w:rFonts w:ascii="Tahoma" w:hAnsi="Tahoma" w:cs="Tahoma"/>
        </w:rPr>
        <w:t>Afirma</w:t>
      </w:r>
      <w:r w:rsidR="00AA09DA" w:rsidRPr="002B212E">
        <w:rPr>
          <w:rFonts w:ascii="Tahoma" w:hAnsi="Tahoma" w:cs="Tahoma"/>
        </w:rPr>
        <w:t xml:space="preserve"> que dentro de sus funciones debía</w:t>
      </w:r>
      <w:r w:rsidR="0008491D" w:rsidRPr="002B212E">
        <w:rPr>
          <w:rFonts w:ascii="Tahoma" w:hAnsi="Tahoma" w:cs="Tahoma"/>
        </w:rPr>
        <w:t xml:space="preserve"> </w:t>
      </w:r>
      <w:r w:rsidR="006B508F" w:rsidRPr="002B212E">
        <w:rPr>
          <w:rFonts w:ascii="Tahoma" w:hAnsi="Tahoma" w:cs="Tahoma"/>
        </w:rPr>
        <w:t>m</w:t>
      </w:r>
      <w:r w:rsidRPr="002B212E">
        <w:rPr>
          <w:rFonts w:ascii="Tahoma" w:hAnsi="Tahoma" w:cs="Tahoma"/>
        </w:rPr>
        <w:t xml:space="preserve">onitorear el estado general de las estaciones a través del equipo </w:t>
      </w:r>
      <w:r w:rsidR="0008491D" w:rsidRPr="002B212E">
        <w:rPr>
          <w:rFonts w:ascii="Tahoma" w:hAnsi="Tahoma" w:cs="Tahoma"/>
        </w:rPr>
        <w:t>gestor</w:t>
      </w:r>
      <w:r w:rsidRPr="002B212E">
        <w:rPr>
          <w:rFonts w:ascii="Tahoma" w:hAnsi="Tahoma" w:cs="Tahoma"/>
        </w:rPr>
        <w:t xml:space="preserve"> Radio </w:t>
      </w:r>
      <w:proofErr w:type="spellStart"/>
      <w:r w:rsidRPr="002B212E">
        <w:rPr>
          <w:rFonts w:ascii="Tahoma" w:hAnsi="Tahoma" w:cs="Tahoma"/>
        </w:rPr>
        <w:t>Coma</w:t>
      </w:r>
      <w:r w:rsidR="0008491D" w:rsidRPr="002B212E">
        <w:rPr>
          <w:rFonts w:ascii="Tahoma" w:hAnsi="Tahoma" w:cs="Tahoma"/>
        </w:rPr>
        <w:t>n</w:t>
      </w:r>
      <w:r w:rsidRPr="002B212E">
        <w:rPr>
          <w:rFonts w:ascii="Tahoma" w:hAnsi="Tahoma" w:cs="Tahoma"/>
        </w:rPr>
        <w:t>der</w:t>
      </w:r>
      <w:proofErr w:type="spellEnd"/>
      <w:r w:rsidR="0008491D" w:rsidRPr="002B212E">
        <w:rPr>
          <w:rFonts w:ascii="Tahoma" w:hAnsi="Tahoma" w:cs="Tahoma"/>
        </w:rPr>
        <w:t>, ejecutar mantenimientos preventivos de las estaciones BTS según orden de trabajo</w:t>
      </w:r>
      <w:r w:rsidR="00EF13EC" w:rsidRPr="002B212E">
        <w:rPr>
          <w:rFonts w:ascii="Tahoma" w:hAnsi="Tahoma" w:cs="Tahoma"/>
        </w:rPr>
        <w:t xml:space="preserve"> generada por el jefe inmediato;</w:t>
      </w:r>
      <w:r w:rsidR="0008491D" w:rsidRPr="002B212E">
        <w:rPr>
          <w:rFonts w:ascii="Tahoma" w:hAnsi="Tahoma" w:cs="Tahoma"/>
        </w:rPr>
        <w:t xml:space="preserve"> realizar revisión de </w:t>
      </w:r>
      <w:r w:rsidR="003964E0" w:rsidRPr="002B212E">
        <w:rPr>
          <w:rFonts w:ascii="Tahoma" w:hAnsi="Tahoma" w:cs="Tahoma"/>
        </w:rPr>
        <w:t>estadísticas</w:t>
      </w:r>
      <w:r w:rsidR="0008491D" w:rsidRPr="002B212E">
        <w:rPr>
          <w:rFonts w:ascii="Tahoma" w:hAnsi="Tahoma" w:cs="Tahoma"/>
        </w:rPr>
        <w:t xml:space="preserve"> de tráfico de las estaciones con mantenimiento programado; analizar los datos de desempeño KPI consultados del sistema e identificar posibles fallas de hardware (mantenimiento preventivo), actualizar el formato de mantenimiento preventivo en cada estación, verificar la cobertura de las estaciones visitadas, documentar las actividades desarrolladas en los </w:t>
      </w:r>
      <w:r w:rsidR="0008491D" w:rsidRPr="002B212E">
        <w:rPr>
          <w:rFonts w:ascii="Tahoma" w:hAnsi="Tahoma" w:cs="Tahoma"/>
        </w:rPr>
        <w:lastRenderedPageBreak/>
        <w:t>sitios, acatar y cumplir las políticas de la compañía y los controles SOX asociados a la gestión de área.</w:t>
      </w:r>
    </w:p>
    <w:p w14:paraId="7AAF9E99" w14:textId="77777777" w:rsidR="00095C29" w:rsidRPr="002B212E" w:rsidRDefault="00095C29" w:rsidP="002B212E">
      <w:pPr>
        <w:spacing w:line="276" w:lineRule="auto"/>
        <w:jc w:val="both"/>
        <w:rPr>
          <w:rFonts w:ascii="Tahoma" w:hAnsi="Tahoma" w:cs="Tahoma"/>
        </w:rPr>
      </w:pPr>
    </w:p>
    <w:p w14:paraId="14FA710A" w14:textId="5F8CD6B9" w:rsidR="00FA74AA" w:rsidRPr="002B212E" w:rsidRDefault="004664D3" w:rsidP="002B212E">
      <w:pPr>
        <w:spacing w:line="276" w:lineRule="auto"/>
        <w:ind w:firstLine="851"/>
        <w:jc w:val="both"/>
        <w:rPr>
          <w:rFonts w:ascii="Tahoma" w:hAnsi="Tahoma" w:cs="Tahoma"/>
        </w:rPr>
      </w:pPr>
      <w:r w:rsidRPr="002B212E">
        <w:rPr>
          <w:rFonts w:ascii="Tahoma" w:hAnsi="Tahoma" w:cs="Tahoma"/>
        </w:rPr>
        <w:t>Explica que</w:t>
      </w:r>
      <w:r w:rsidR="00C84374" w:rsidRPr="002B212E">
        <w:rPr>
          <w:rFonts w:ascii="Tahoma" w:hAnsi="Tahoma" w:cs="Tahoma"/>
        </w:rPr>
        <w:t xml:space="preserve"> durante la relación laboral percibió el siguiente promedio salarial y</w:t>
      </w:r>
      <w:r w:rsidRPr="002B212E">
        <w:rPr>
          <w:rFonts w:ascii="Tahoma" w:hAnsi="Tahoma" w:cs="Tahoma"/>
        </w:rPr>
        <w:t xml:space="preserve"> en los años </w:t>
      </w:r>
      <w:r w:rsidR="00024010" w:rsidRPr="002B212E">
        <w:rPr>
          <w:rFonts w:ascii="Tahoma" w:hAnsi="Tahoma" w:cs="Tahoma"/>
        </w:rPr>
        <w:t xml:space="preserve">2014 y 2015 le fue </w:t>
      </w:r>
      <w:proofErr w:type="spellStart"/>
      <w:r w:rsidR="00024010" w:rsidRPr="002B212E">
        <w:rPr>
          <w:rFonts w:ascii="Tahoma" w:hAnsi="Tahoma" w:cs="Tahoma"/>
        </w:rPr>
        <w:t>desalarizado</w:t>
      </w:r>
      <w:proofErr w:type="spellEnd"/>
      <w:r w:rsidR="00024010" w:rsidRPr="002B212E">
        <w:rPr>
          <w:rFonts w:ascii="Tahoma" w:hAnsi="Tahoma" w:cs="Tahoma"/>
        </w:rPr>
        <w:t xml:space="preserve"> el monto denominado </w:t>
      </w:r>
      <w:bookmarkStart w:id="6" w:name="OLE_LINK32"/>
      <w:r w:rsidR="00024010" w:rsidRPr="002B212E">
        <w:rPr>
          <w:rFonts w:ascii="Tahoma" w:hAnsi="Tahoma" w:cs="Tahoma"/>
        </w:rPr>
        <w:t>auxilio monetario de educación</w:t>
      </w:r>
      <w:bookmarkEnd w:id="6"/>
      <w:r w:rsidR="00C84374" w:rsidRPr="002B212E">
        <w:rPr>
          <w:rFonts w:ascii="Tahoma" w:hAnsi="Tahoma" w:cs="Tahoma"/>
        </w:rPr>
        <w:t>, así:</w:t>
      </w:r>
    </w:p>
    <w:p w14:paraId="129CB299" w14:textId="77777777" w:rsidR="00737D69" w:rsidRPr="002B212E" w:rsidRDefault="00737D69" w:rsidP="002B212E">
      <w:pPr>
        <w:spacing w:line="276" w:lineRule="auto"/>
        <w:ind w:firstLine="851"/>
        <w:jc w:val="both"/>
        <w:rPr>
          <w:rFonts w:ascii="Tahoma" w:hAnsi="Tahoma" w:cs="Tahoma"/>
        </w:rPr>
      </w:pPr>
    </w:p>
    <w:tbl>
      <w:tblPr>
        <w:tblStyle w:val="Tablaconcuadrcula"/>
        <w:tblW w:w="0" w:type="auto"/>
        <w:jc w:val="center"/>
        <w:tblLook w:val="04A0" w:firstRow="1" w:lastRow="0" w:firstColumn="1" w:lastColumn="0" w:noHBand="0" w:noVBand="1"/>
      </w:tblPr>
      <w:tblGrid>
        <w:gridCol w:w="846"/>
        <w:gridCol w:w="2268"/>
        <w:gridCol w:w="2835"/>
      </w:tblGrid>
      <w:tr w:rsidR="00737D69" w:rsidRPr="002B212E" w14:paraId="100A7E87" w14:textId="77777777" w:rsidTr="008D7E49">
        <w:trPr>
          <w:jc w:val="center"/>
        </w:trPr>
        <w:tc>
          <w:tcPr>
            <w:tcW w:w="846" w:type="dxa"/>
          </w:tcPr>
          <w:p w14:paraId="336C909F" w14:textId="4ECC083B" w:rsidR="00737D69" w:rsidRPr="002B212E" w:rsidRDefault="00737D69" w:rsidP="002B212E">
            <w:pPr>
              <w:jc w:val="both"/>
              <w:rPr>
                <w:rFonts w:ascii="Tahoma" w:hAnsi="Tahoma" w:cs="Tahoma"/>
                <w:sz w:val="22"/>
              </w:rPr>
            </w:pPr>
            <w:r w:rsidRPr="002B212E">
              <w:rPr>
                <w:rFonts w:ascii="Tahoma" w:hAnsi="Tahoma" w:cs="Tahoma"/>
                <w:sz w:val="22"/>
              </w:rPr>
              <w:t>Año</w:t>
            </w:r>
          </w:p>
        </w:tc>
        <w:tc>
          <w:tcPr>
            <w:tcW w:w="2268" w:type="dxa"/>
          </w:tcPr>
          <w:p w14:paraId="66F50085" w14:textId="0B86CC24" w:rsidR="00737D69" w:rsidRPr="002B212E" w:rsidRDefault="00864184" w:rsidP="002B212E">
            <w:pPr>
              <w:jc w:val="both"/>
              <w:rPr>
                <w:rFonts w:ascii="Tahoma" w:hAnsi="Tahoma" w:cs="Tahoma"/>
                <w:sz w:val="22"/>
              </w:rPr>
            </w:pPr>
            <w:r w:rsidRPr="002B212E">
              <w:rPr>
                <w:rFonts w:ascii="Tahoma" w:hAnsi="Tahoma" w:cs="Tahoma"/>
                <w:sz w:val="22"/>
              </w:rPr>
              <w:t>Promedio salarial</w:t>
            </w:r>
          </w:p>
        </w:tc>
        <w:tc>
          <w:tcPr>
            <w:tcW w:w="2835" w:type="dxa"/>
          </w:tcPr>
          <w:p w14:paraId="6021E992" w14:textId="1667EF51" w:rsidR="00737D69" w:rsidRPr="002B212E" w:rsidRDefault="00737D69" w:rsidP="002B212E">
            <w:pPr>
              <w:jc w:val="both"/>
              <w:rPr>
                <w:rFonts w:ascii="Tahoma" w:hAnsi="Tahoma" w:cs="Tahoma"/>
                <w:sz w:val="22"/>
              </w:rPr>
            </w:pPr>
            <w:r w:rsidRPr="002B212E">
              <w:rPr>
                <w:rFonts w:ascii="Tahoma" w:hAnsi="Tahoma" w:cs="Tahoma"/>
                <w:sz w:val="22"/>
              </w:rPr>
              <w:t>Auxilio Monetario de Educación</w:t>
            </w:r>
            <w:r w:rsidR="00C215D8" w:rsidRPr="002B212E">
              <w:rPr>
                <w:rFonts w:ascii="Tahoma" w:hAnsi="Tahoma" w:cs="Tahoma"/>
                <w:sz w:val="22"/>
              </w:rPr>
              <w:t xml:space="preserve"> (</w:t>
            </w:r>
            <w:proofErr w:type="spellStart"/>
            <w:r w:rsidR="00C215D8" w:rsidRPr="002B212E">
              <w:rPr>
                <w:rFonts w:ascii="Tahoma" w:hAnsi="Tahoma" w:cs="Tahoma"/>
                <w:sz w:val="22"/>
              </w:rPr>
              <w:t>desala</w:t>
            </w:r>
            <w:r w:rsidR="00384BE6" w:rsidRPr="002B212E">
              <w:rPr>
                <w:rFonts w:ascii="Tahoma" w:hAnsi="Tahoma" w:cs="Tahoma"/>
                <w:sz w:val="22"/>
              </w:rPr>
              <w:t>rizado</w:t>
            </w:r>
            <w:proofErr w:type="spellEnd"/>
            <w:r w:rsidR="00384BE6" w:rsidRPr="002B212E">
              <w:rPr>
                <w:rFonts w:ascii="Tahoma" w:hAnsi="Tahoma" w:cs="Tahoma"/>
                <w:sz w:val="22"/>
              </w:rPr>
              <w:t>)</w:t>
            </w:r>
          </w:p>
        </w:tc>
      </w:tr>
      <w:tr w:rsidR="00737D69" w:rsidRPr="002B212E" w14:paraId="00FDF20E" w14:textId="77777777" w:rsidTr="008D7E49">
        <w:trPr>
          <w:jc w:val="center"/>
        </w:trPr>
        <w:tc>
          <w:tcPr>
            <w:tcW w:w="846" w:type="dxa"/>
          </w:tcPr>
          <w:p w14:paraId="7DA4B783" w14:textId="43AFBA0D" w:rsidR="00737D69" w:rsidRPr="002B212E" w:rsidRDefault="00EF74E7" w:rsidP="002B212E">
            <w:pPr>
              <w:jc w:val="both"/>
              <w:rPr>
                <w:rFonts w:ascii="Tahoma" w:hAnsi="Tahoma" w:cs="Tahoma"/>
                <w:sz w:val="22"/>
              </w:rPr>
            </w:pPr>
            <w:r w:rsidRPr="002B212E">
              <w:rPr>
                <w:rFonts w:ascii="Tahoma" w:hAnsi="Tahoma" w:cs="Tahoma"/>
                <w:sz w:val="22"/>
              </w:rPr>
              <w:t>2006</w:t>
            </w:r>
          </w:p>
        </w:tc>
        <w:tc>
          <w:tcPr>
            <w:tcW w:w="2268" w:type="dxa"/>
          </w:tcPr>
          <w:p w14:paraId="33211ED1" w14:textId="1B39B5F2" w:rsidR="00737D69" w:rsidRPr="002B212E" w:rsidRDefault="00864184" w:rsidP="002B212E">
            <w:pPr>
              <w:jc w:val="both"/>
              <w:rPr>
                <w:rFonts w:ascii="Tahoma" w:hAnsi="Tahoma" w:cs="Tahoma"/>
                <w:sz w:val="22"/>
              </w:rPr>
            </w:pPr>
            <w:r w:rsidRPr="002B212E">
              <w:rPr>
                <w:rFonts w:ascii="Tahoma" w:hAnsi="Tahoma" w:cs="Tahoma"/>
                <w:sz w:val="22"/>
              </w:rPr>
              <w:t>$</w:t>
            </w:r>
            <w:r w:rsidR="00F8736C" w:rsidRPr="002B212E">
              <w:rPr>
                <w:rFonts w:ascii="Tahoma" w:hAnsi="Tahoma" w:cs="Tahoma"/>
                <w:sz w:val="22"/>
              </w:rPr>
              <w:t>2.032.000</w:t>
            </w:r>
          </w:p>
        </w:tc>
        <w:tc>
          <w:tcPr>
            <w:tcW w:w="2835" w:type="dxa"/>
          </w:tcPr>
          <w:p w14:paraId="18A80614" w14:textId="463D9DA4" w:rsidR="00737D69" w:rsidRPr="002B212E" w:rsidRDefault="00384BE6" w:rsidP="002B212E">
            <w:pPr>
              <w:jc w:val="both"/>
              <w:rPr>
                <w:rFonts w:ascii="Tahoma" w:hAnsi="Tahoma" w:cs="Tahoma"/>
                <w:sz w:val="22"/>
              </w:rPr>
            </w:pPr>
            <w:r w:rsidRPr="002B212E">
              <w:rPr>
                <w:rFonts w:ascii="Tahoma" w:hAnsi="Tahoma" w:cs="Tahoma"/>
                <w:sz w:val="22"/>
              </w:rPr>
              <w:t>$0</w:t>
            </w:r>
          </w:p>
        </w:tc>
      </w:tr>
      <w:tr w:rsidR="00737D69" w:rsidRPr="002B212E" w14:paraId="58A0CE50" w14:textId="77777777" w:rsidTr="008D7E49">
        <w:trPr>
          <w:jc w:val="center"/>
        </w:trPr>
        <w:tc>
          <w:tcPr>
            <w:tcW w:w="846" w:type="dxa"/>
          </w:tcPr>
          <w:p w14:paraId="293BACD3" w14:textId="4608084D" w:rsidR="00737D69" w:rsidRPr="002B212E" w:rsidRDefault="00EF74E7" w:rsidP="002B212E">
            <w:pPr>
              <w:jc w:val="both"/>
              <w:rPr>
                <w:rFonts w:ascii="Tahoma" w:hAnsi="Tahoma" w:cs="Tahoma"/>
                <w:sz w:val="22"/>
              </w:rPr>
            </w:pPr>
            <w:r w:rsidRPr="002B212E">
              <w:rPr>
                <w:rFonts w:ascii="Tahoma" w:hAnsi="Tahoma" w:cs="Tahoma"/>
                <w:sz w:val="22"/>
              </w:rPr>
              <w:t>2007</w:t>
            </w:r>
          </w:p>
        </w:tc>
        <w:tc>
          <w:tcPr>
            <w:tcW w:w="2268" w:type="dxa"/>
          </w:tcPr>
          <w:p w14:paraId="7161D4CC" w14:textId="45BB6727" w:rsidR="00737D69" w:rsidRPr="002B212E" w:rsidRDefault="00F8736C" w:rsidP="002B212E">
            <w:pPr>
              <w:jc w:val="both"/>
              <w:rPr>
                <w:rFonts w:ascii="Tahoma" w:hAnsi="Tahoma" w:cs="Tahoma"/>
                <w:sz w:val="22"/>
              </w:rPr>
            </w:pPr>
            <w:r w:rsidRPr="002B212E">
              <w:rPr>
                <w:rFonts w:ascii="Tahoma" w:hAnsi="Tahoma" w:cs="Tahoma"/>
                <w:sz w:val="22"/>
              </w:rPr>
              <w:t>$2.352.000</w:t>
            </w:r>
          </w:p>
        </w:tc>
        <w:tc>
          <w:tcPr>
            <w:tcW w:w="2835" w:type="dxa"/>
          </w:tcPr>
          <w:p w14:paraId="512D79A7" w14:textId="4F1816EB" w:rsidR="00737D69" w:rsidRPr="002B212E" w:rsidRDefault="00384BE6" w:rsidP="002B212E">
            <w:pPr>
              <w:jc w:val="both"/>
              <w:rPr>
                <w:rFonts w:ascii="Tahoma" w:hAnsi="Tahoma" w:cs="Tahoma"/>
                <w:sz w:val="22"/>
              </w:rPr>
            </w:pPr>
            <w:r w:rsidRPr="002B212E">
              <w:rPr>
                <w:rFonts w:ascii="Tahoma" w:hAnsi="Tahoma" w:cs="Tahoma"/>
                <w:sz w:val="22"/>
              </w:rPr>
              <w:t>$0</w:t>
            </w:r>
          </w:p>
        </w:tc>
      </w:tr>
      <w:tr w:rsidR="00737D69" w:rsidRPr="002B212E" w14:paraId="56792868" w14:textId="77777777" w:rsidTr="008D7E49">
        <w:trPr>
          <w:jc w:val="center"/>
        </w:trPr>
        <w:tc>
          <w:tcPr>
            <w:tcW w:w="846" w:type="dxa"/>
          </w:tcPr>
          <w:p w14:paraId="2C17BA51" w14:textId="6191EEC1" w:rsidR="00737D69" w:rsidRPr="002B212E" w:rsidRDefault="00EF74E7" w:rsidP="002B212E">
            <w:pPr>
              <w:jc w:val="both"/>
              <w:rPr>
                <w:rFonts w:ascii="Tahoma" w:hAnsi="Tahoma" w:cs="Tahoma"/>
                <w:sz w:val="22"/>
              </w:rPr>
            </w:pPr>
            <w:r w:rsidRPr="002B212E">
              <w:rPr>
                <w:rFonts w:ascii="Tahoma" w:hAnsi="Tahoma" w:cs="Tahoma"/>
                <w:sz w:val="22"/>
              </w:rPr>
              <w:t>2008</w:t>
            </w:r>
          </w:p>
        </w:tc>
        <w:tc>
          <w:tcPr>
            <w:tcW w:w="2268" w:type="dxa"/>
          </w:tcPr>
          <w:p w14:paraId="25537471" w14:textId="7884A74F" w:rsidR="00737D69" w:rsidRPr="002B212E" w:rsidRDefault="00F8736C" w:rsidP="002B212E">
            <w:pPr>
              <w:jc w:val="both"/>
              <w:rPr>
                <w:rFonts w:ascii="Tahoma" w:hAnsi="Tahoma" w:cs="Tahoma"/>
                <w:sz w:val="22"/>
              </w:rPr>
            </w:pPr>
            <w:r w:rsidRPr="002B212E">
              <w:rPr>
                <w:rFonts w:ascii="Tahoma" w:hAnsi="Tahoma" w:cs="Tahoma"/>
                <w:sz w:val="22"/>
              </w:rPr>
              <w:t>$2.714.000</w:t>
            </w:r>
          </w:p>
        </w:tc>
        <w:tc>
          <w:tcPr>
            <w:tcW w:w="2835" w:type="dxa"/>
          </w:tcPr>
          <w:p w14:paraId="0DA6E3AD" w14:textId="6A8E9868" w:rsidR="00737D69" w:rsidRPr="002B212E" w:rsidRDefault="00384BE6" w:rsidP="002B212E">
            <w:pPr>
              <w:jc w:val="both"/>
              <w:rPr>
                <w:rFonts w:ascii="Tahoma" w:hAnsi="Tahoma" w:cs="Tahoma"/>
                <w:sz w:val="22"/>
              </w:rPr>
            </w:pPr>
            <w:r w:rsidRPr="002B212E">
              <w:rPr>
                <w:rFonts w:ascii="Tahoma" w:hAnsi="Tahoma" w:cs="Tahoma"/>
                <w:sz w:val="22"/>
              </w:rPr>
              <w:t>$0</w:t>
            </w:r>
          </w:p>
        </w:tc>
      </w:tr>
      <w:tr w:rsidR="00737D69" w:rsidRPr="002B212E" w14:paraId="34B29A0E" w14:textId="77777777" w:rsidTr="008D7E49">
        <w:trPr>
          <w:jc w:val="center"/>
        </w:trPr>
        <w:tc>
          <w:tcPr>
            <w:tcW w:w="846" w:type="dxa"/>
          </w:tcPr>
          <w:p w14:paraId="010FFF58" w14:textId="3BDC560F" w:rsidR="00737D69" w:rsidRPr="002B212E" w:rsidRDefault="00EF74E7" w:rsidP="002B212E">
            <w:pPr>
              <w:jc w:val="both"/>
              <w:rPr>
                <w:rFonts w:ascii="Tahoma" w:hAnsi="Tahoma" w:cs="Tahoma"/>
                <w:sz w:val="22"/>
              </w:rPr>
            </w:pPr>
            <w:r w:rsidRPr="002B212E">
              <w:rPr>
                <w:rFonts w:ascii="Tahoma" w:hAnsi="Tahoma" w:cs="Tahoma"/>
                <w:sz w:val="22"/>
              </w:rPr>
              <w:t>2009</w:t>
            </w:r>
          </w:p>
        </w:tc>
        <w:tc>
          <w:tcPr>
            <w:tcW w:w="2268" w:type="dxa"/>
          </w:tcPr>
          <w:p w14:paraId="5DC3731D" w14:textId="5AE81611" w:rsidR="00737D69" w:rsidRPr="002B212E" w:rsidRDefault="00F8736C" w:rsidP="002B212E">
            <w:pPr>
              <w:jc w:val="both"/>
              <w:rPr>
                <w:rFonts w:ascii="Tahoma" w:hAnsi="Tahoma" w:cs="Tahoma"/>
                <w:sz w:val="22"/>
              </w:rPr>
            </w:pPr>
            <w:r w:rsidRPr="002B212E">
              <w:rPr>
                <w:rFonts w:ascii="Tahoma" w:hAnsi="Tahoma" w:cs="Tahoma"/>
                <w:sz w:val="22"/>
              </w:rPr>
              <w:t>$2.714.000</w:t>
            </w:r>
          </w:p>
        </w:tc>
        <w:tc>
          <w:tcPr>
            <w:tcW w:w="2835" w:type="dxa"/>
          </w:tcPr>
          <w:p w14:paraId="2E23F674" w14:textId="09871DBE" w:rsidR="00737D69" w:rsidRPr="002B212E" w:rsidRDefault="00384BE6" w:rsidP="002B212E">
            <w:pPr>
              <w:jc w:val="both"/>
              <w:rPr>
                <w:rFonts w:ascii="Tahoma" w:hAnsi="Tahoma" w:cs="Tahoma"/>
                <w:sz w:val="22"/>
              </w:rPr>
            </w:pPr>
            <w:r w:rsidRPr="002B212E">
              <w:rPr>
                <w:rFonts w:ascii="Tahoma" w:hAnsi="Tahoma" w:cs="Tahoma"/>
                <w:sz w:val="22"/>
              </w:rPr>
              <w:t>$0</w:t>
            </w:r>
          </w:p>
        </w:tc>
      </w:tr>
      <w:tr w:rsidR="00737D69" w:rsidRPr="002B212E" w14:paraId="4D98D8FC" w14:textId="77777777" w:rsidTr="008D7E49">
        <w:trPr>
          <w:jc w:val="center"/>
        </w:trPr>
        <w:tc>
          <w:tcPr>
            <w:tcW w:w="846" w:type="dxa"/>
          </w:tcPr>
          <w:p w14:paraId="42CCE3BA" w14:textId="2FA2D783" w:rsidR="00737D69" w:rsidRPr="002B212E" w:rsidRDefault="00EF74E7" w:rsidP="002B212E">
            <w:pPr>
              <w:jc w:val="both"/>
              <w:rPr>
                <w:rFonts w:ascii="Tahoma" w:hAnsi="Tahoma" w:cs="Tahoma"/>
                <w:sz w:val="22"/>
              </w:rPr>
            </w:pPr>
            <w:r w:rsidRPr="002B212E">
              <w:rPr>
                <w:rFonts w:ascii="Tahoma" w:hAnsi="Tahoma" w:cs="Tahoma"/>
                <w:sz w:val="22"/>
              </w:rPr>
              <w:t>2010</w:t>
            </w:r>
          </w:p>
        </w:tc>
        <w:tc>
          <w:tcPr>
            <w:tcW w:w="2268" w:type="dxa"/>
          </w:tcPr>
          <w:p w14:paraId="49492BD7" w14:textId="3B52D84C" w:rsidR="00737D69" w:rsidRPr="002B212E" w:rsidRDefault="00F8736C" w:rsidP="002B212E">
            <w:pPr>
              <w:jc w:val="both"/>
              <w:rPr>
                <w:rFonts w:ascii="Tahoma" w:hAnsi="Tahoma" w:cs="Tahoma"/>
                <w:sz w:val="22"/>
              </w:rPr>
            </w:pPr>
            <w:r w:rsidRPr="002B212E">
              <w:rPr>
                <w:rFonts w:ascii="Tahoma" w:hAnsi="Tahoma" w:cs="Tahoma"/>
                <w:sz w:val="22"/>
              </w:rPr>
              <w:t>$3.138.000</w:t>
            </w:r>
          </w:p>
        </w:tc>
        <w:tc>
          <w:tcPr>
            <w:tcW w:w="2835" w:type="dxa"/>
          </w:tcPr>
          <w:p w14:paraId="1723A5B5" w14:textId="736F48EE" w:rsidR="00737D69" w:rsidRPr="002B212E" w:rsidRDefault="00384BE6" w:rsidP="002B212E">
            <w:pPr>
              <w:jc w:val="both"/>
              <w:rPr>
                <w:rFonts w:ascii="Tahoma" w:hAnsi="Tahoma" w:cs="Tahoma"/>
                <w:sz w:val="22"/>
              </w:rPr>
            </w:pPr>
            <w:r w:rsidRPr="002B212E">
              <w:rPr>
                <w:rFonts w:ascii="Tahoma" w:hAnsi="Tahoma" w:cs="Tahoma"/>
                <w:sz w:val="22"/>
              </w:rPr>
              <w:t>$0</w:t>
            </w:r>
          </w:p>
        </w:tc>
      </w:tr>
      <w:tr w:rsidR="00737D69" w:rsidRPr="002B212E" w14:paraId="49EF08E5" w14:textId="77777777" w:rsidTr="008D7E49">
        <w:trPr>
          <w:jc w:val="center"/>
        </w:trPr>
        <w:tc>
          <w:tcPr>
            <w:tcW w:w="846" w:type="dxa"/>
          </w:tcPr>
          <w:p w14:paraId="7BC91947" w14:textId="6DF687DE" w:rsidR="00737D69" w:rsidRPr="002B212E" w:rsidRDefault="00EF74E7" w:rsidP="002B212E">
            <w:pPr>
              <w:jc w:val="both"/>
              <w:rPr>
                <w:rFonts w:ascii="Tahoma" w:hAnsi="Tahoma" w:cs="Tahoma"/>
                <w:sz w:val="22"/>
              </w:rPr>
            </w:pPr>
            <w:r w:rsidRPr="002B212E">
              <w:rPr>
                <w:rFonts w:ascii="Tahoma" w:hAnsi="Tahoma" w:cs="Tahoma"/>
                <w:sz w:val="22"/>
              </w:rPr>
              <w:t>2011</w:t>
            </w:r>
          </w:p>
        </w:tc>
        <w:tc>
          <w:tcPr>
            <w:tcW w:w="2268" w:type="dxa"/>
          </w:tcPr>
          <w:p w14:paraId="6CDBC1E9" w14:textId="47702CF2" w:rsidR="00737D69" w:rsidRPr="002B212E" w:rsidRDefault="00F8736C" w:rsidP="002B212E">
            <w:pPr>
              <w:jc w:val="both"/>
              <w:rPr>
                <w:rFonts w:ascii="Tahoma" w:hAnsi="Tahoma" w:cs="Tahoma"/>
                <w:sz w:val="22"/>
              </w:rPr>
            </w:pPr>
            <w:r w:rsidRPr="002B212E">
              <w:rPr>
                <w:rFonts w:ascii="Tahoma" w:hAnsi="Tahoma" w:cs="Tahoma"/>
                <w:sz w:val="22"/>
              </w:rPr>
              <w:t>$</w:t>
            </w:r>
            <w:r w:rsidR="00AB3ADD" w:rsidRPr="002B212E">
              <w:rPr>
                <w:rFonts w:ascii="Tahoma" w:hAnsi="Tahoma" w:cs="Tahoma"/>
                <w:sz w:val="22"/>
              </w:rPr>
              <w:t>3.336.333</w:t>
            </w:r>
          </w:p>
        </w:tc>
        <w:tc>
          <w:tcPr>
            <w:tcW w:w="2835" w:type="dxa"/>
          </w:tcPr>
          <w:p w14:paraId="45AAF112" w14:textId="3455FB03" w:rsidR="00737D69" w:rsidRPr="002B212E" w:rsidRDefault="00384BE6" w:rsidP="002B212E">
            <w:pPr>
              <w:jc w:val="both"/>
              <w:rPr>
                <w:rFonts w:ascii="Tahoma" w:hAnsi="Tahoma" w:cs="Tahoma"/>
                <w:sz w:val="22"/>
              </w:rPr>
            </w:pPr>
            <w:r w:rsidRPr="002B212E">
              <w:rPr>
                <w:rFonts w:ascii="Tahoma" w:hAnsi="Tahoma" w:cs="Tahoma"/>
                <w:sz w:val="22"/>
              </w:rPr>
              <w:t>$0</w:t>
            </w:r>
          </w:p>
        </w:tc>
      </w:tr>
      <w:tr w:rsidR="00EF74E7" w:rsidRPr="002B212E" w14:paraId="0CF87507" w14:textId="77777777" w:rsidTr="008D7E49">
        <w:trPr>
          <w:jc w:val="center"/>
        </w:trPr>
        <w:tc>
          <w:tcPr>
            <w:tcW w:w="846" w:type="dxa"/>
          </w:tcPr>
          <w:p w14:paraId="3639CD8F" w14:textId="4EC06989" w:rsidR="00EF74E7" w:rsidRPr="002B212E" w:rsidRDefault="00EF74E7" w:rsidP="002B212E">
            <w:pPr>
              <w:jc w:val="both"/>
              <w:rPr>
                <w:rFonts w:ascii="Tahoma" w:hAnsi="Tahoma" w:cs="Tahoma"/>
                <w:sz w:val="22"/>
              </w:rPr>
            </w:pPr>
            <w:r w:rsidRPr="002B212E">
              <w:rPr>
                <w:rFonts w:ascii="Tahoma" w:hAnsi="Tahoma" w:cs="Tahoma"/>
                <w:sz w:val="22"/>
              </w:rPr>
              <w:t>2012</w:t>
            </w:r>
          </w:p>
        </w:tc>
        <w:tc>
          <w:tcPr>
            <w:tcW w:w="2268" w:type="dxa"/>
          </w:tcPr>
          <w:p w14:paraId="628FC535" w14:textId="6946CEF5" w:rsidR="00EF74E7" w:rsidRPr="002B212E" w:rsidRDefault="00AB3ADD" w:rsidP="002B212E">
            <w:pPr>
              <w:jc w:val="both"/>
              <w:rPr>
                <w:rFonts w:ascii="Tahoma" w:hAnsi="Tahoma" w:cs="Tahoma"/>
                <w:sz w:val="22"/>
              </w:rPr>
            </w:pPr>
            <w:r w:rsidRPr="002B212E">
              <w:rPr>
                <w:rFonts w:ascii="Tahoma" w:hAnsi="Tahoma" w:cs="Tahoma"/>
                <w:sz w:val="22"/>
              </w:rPr>
              <w:t>$3.443.583</w:t>
            </w:r>
          </w:p>
        </w:tc>
        <w:tc>
          <w:tcPr>
            <w:tcW w:w="2835" w:type="dxa"/>
          </w:tcPr>
          <w:p w14:paraId="408D6F6D" w14:textId="3B38B802" w:rsidR="00EF74E7" w:rsidRPr="002B212E" w:rsidRDefault="00384BE6" w:rsidP="002B212E">
            <w:pPr>
              <w:jc w:val="both"/>
              <w:rPr>
                <w:rFonts w:ascii="Tahoma" w:hAnsi="Tahoma" w:cs="Tahoma"/>
                <w:sz w:val="22"/>
              </w:rPr>
            </w:pPr>
            <w:r w:rsidRPr="002B212E">
              <w:rPr>
                <w:rFonts w:ascii="Tahoma" w:hAnsi="Tahoma" w:cs="Tahoma"/>
                <w:sz w:val="22"/>
              </w:rPr>
              <w:t>$0</w:t>
            </w:r>
          </w:p>
        </w:tc>
      </w:tr>
      <w:tr w:rsidR="00864184" w:rsidRPr="002B212E" w14:paraId="153CC14B" w14:textId="77777777" w:rsidTr="008D7E49">
        <w:trPr>
          <w:jc w:val="center"/>
        </w:trPr>
        <w:tc>
          <w:tcPr>
            <w:tcW w:w="846" w:type="dxa"/>
          </w:tcPr>
          <w:p w14:paraId="6D8F0B84" w14:textId="1A27F5D9" w:rsidR="00864184" w:rsidRPr="002B212E" w:rsidRDefault="00864184" w:rsidP="002B212E">
            <w:pPr>
              <w:jc w:val="both"/>
              <w:rPr>
                <w:rFonts w:ascii="Tahoma" w:hAnsi="Tahoma" w:cs="Tahoma"/>
                <w:sz w:val="22"/>
              </w:rPr>
            </w:pPr>
            <w:r w:rsidRPr="002B212E">
              <w:rPr>
                <w:rFonts w:ascii="Tahoma" w:hAnsi="Tahoma" w:cs="Tahoma"/>
                <w:sz w:val="22"/>
              </w:rPr>
              <w:t>2013</w:t>
            </w:r>
          </w:p>
        </w:tc>
        <w:tc>
          <w:tcPr>
            <w:tcW w:w="2268" w:type="dxa"/>
          </w:tcPr>
          <w:p w14:paraId="23B9B972" w14:textId="0DBFAEC1" w:rsidR="00864184" w:rsidRPr="002B212E" w:rsidRDefault="00AB3ADD" w:rsidP="002B212E">
            <w:pPr>
              <w:jc w:val="both"/>
              <w:rPr>
                <w:rFonts w:ascii="Tahoma" w:hAnsi="Tahoma" w:cs="Tahoma"/>
                <w:sz w:val="22"/>
              </w:rPr>
            </w:pPr>
            <w:r w:rsidRPr="002B212E">
              <w:rPr>
                <w:rFonts w:ascii="Tahoma" w:hAnsi="Tahoma" w:cs="Tahoma"/>
                <w:sz w:val="22"/>
              </w:rPr>
              <w:t>$3.558.641</w:t>
            </w:r>
          </w:p>
        </w:tc>
        <w:tc>
          <w:tcPr>
            <w:tcW w:w="2835" w:type="dxa"/>
          </w:tcPr>
          <w:p w14:paraId="270C12DF" w14:textId="0B71E0E4" w:rsidR="00864184" w:rsidRPr="002B212E" w:rsidRDefault="00384BE6" w:rsidP="002B212E">
            <w:pPr>
              <w:jc w:val="both"/>
              <w:rPr>
                <w:rFonts w:ascii="Tahoma" w:hAnsi="Tahoma" w:cs="Tahoma"/>
                <w:sz w:val="22"/>
              </w:rPr>
            </w:pPr>
            <w:r w:rsidRPr="002B212E">
              <w:rPr>
                <w:rFonts w:ascii="Tahoma" w:hAnsi="Tahoma" w:cs="Tahoma"/>
                <w:sz w:val="22"/>
              </w:rPr>
              <w:t>$0</w:t>
            </w:r>
          </w:p>
        </w:tc>
      </w:tr>
      <w:tr w:rsidR="00864184" w:rsidRPr="002B212E" w14:paraId="1DE1B972" w14:textId="77777777" w:rsidTr="008D7E49">
        <w:trPr>
          <w:jc w:val="center"/>
        </w:trPr>
        <w:tc>
          <w:tcPr>
            <w:tcW w:w="846" w:type="dxa"/>
          </w:tcPr>
          <w:p w14:paraId="32200E41" w14:textId="19CEECF3" w:rsidR="00864184" w:rsidRPr="002B212E" w:rsidRDefault="00864184" w:rsidP="002B212E">
            <w:pPr>
              <w:jc w:val="both"/>
              <w:rPr>
                <w:rFonts w:ascii="Tahoma" w:hAnsi="Tahoma" w:cs="Tahoma"/>
                <w:sz w:val="22"/>
              </w:rPr>
            </w:pPr>
            <w:r w:rsidRPr="002B212E">
              <w:rPr>
                <w:rFonts w:ascii="Tahoma" w:hAnsi="Tahoma" w:cs="Tahoma"/>
                <w:sz w:val="22"/>
              </w:rPr>
              <w:t>2014</w:t>
            </w:r>
          </w:p>
        </w:tc>
        <w:tc>
          <w:tcPr>
            <w:tcW w:w="2268" w:type="dxa"/>
          </w:tcPr>
          <w:p w14:paraId="12CF9CAC" w14:textId="458F0F4B" w:rsidR="00864184" w:rsidRPr="002B212E" w:rsidRDefault="00AB3ADD" w:rsidP="002B212E">
            <w:pPr>
              <w:jc w:val="both"/>
              <w:rPr>
                <w:rFonts w:ascii="Tahoma" w:hAnsi="Tahoma" w:cs="Tahoma"/>
                <w:sz w:val="22"/>
              </w:rPr>
            </w:pPr>
            <w:r w:rsidRPr="002B212E">
              <w:rPr>
                <w:rFonts w:ascii="Tahoma" w:hAnsi="Tahoma" w:cs="Tahoma"/>
                <w:sz w:val="22"/>
              </w:rPr>
              <w:t>$3.854.257</w:t>
            </w:r>
          </w:p>
        </w:tc>
        <w:tc>
          <w:tcPr>
            <w:tcW w:w="2835" w:type="dxa"/>
          </w:tcPr>
          <w:p w14:paraId="41BA29C8" w14:textId="40EB5F23" w:rsidR="00864184" w:rsidRPr="002B212E" w:rsidRDefault="00C215D8" w:rsidP="002B212E">
            <w:pPr>
              <w:jc w:val="both"/>
              <w:rPr>
                <w:rFonts w:ascii="Tahoma" w:hAnsi="Tahoma" w:cs="Tahoma"/>
                <w:sz w:val="22"/>
              </w:rPr>
            </w:pPr>
            <w:r w:rsidRPr="002B212E">
              <w:rPr>
                <w:rFonts w:ascii="Tahoma" w:hAnsi="Tahoma" w:cs="Tahoma"/>
                <w:sz w:val="22"/>
              </w:rPr>
              <w:t>$1.219.617</w:t>
            </w:r>
          </w:p>
        </w:tc>
      </w:tr>
      <w:tr w:rsidR="00864184" w:rsidRPr="002B212E" w14:paraId="24B1D77F" w14:textId="77777777" w:rsidTr="008D7E49">
        <w:trPr>
          <w:jc w:val="center"/>
        </w:trPr>
        <w:tc>
          <w:tcPr>
            <w:tcW w:w="846" w:type="dxa"/>
          </w:tcPr>
          <w:p w14:paraId="7453D6A5" w14:textId="36212596" w:rsidR="00864184" w:rsidRPr="002B212E" w:rsidRDefault="00864184" w:rsidP="002B212E">
            <w:pPr>
              <w:jc w:val="both"/>
              <w:rPr>
                <w:rFonts w:ascii="Tahoma" w:hAnsi="Tahoma" w:cs="Tahoma"/>
                <w:sz w:val="22"/>
              </w:rPr>
            </w:pPr>
            <w:r w:rsidRPr="002B212E">
              <w:rPr>
                <w:rFonts w:ascii="Tahoma" w:hAnsi="Tahoma" w:cs="Tahoma"/>
                <w:sz w:val="22"/>
              </w:rPr>
              <w:t>2015</w:t>
            </w:r>
          </w:p>
        </w:tc>
        <w:tc>
          <w:tcPr>
            <w:tcW w:w="2268" w:type="dxa"/>
          </w:tcPr>
          <w:p w14:paraId="4F5E6783" w14:textId="27F9781C" w:rsidR="00864184" w:rsidRPr="002B212E" w:rsidRDefault="00AB3ADD" w:rsidP="002B212E">
            <w:pPr>
              <w:jc w:val="both"/>
              <w:rPr>
                <w:rFonts w:ascii="Tahoma" w:hAnsi="Tahoma" w:cs="Tahoma"/>
                <w:sz w:val="22"/>
              </w:rPr>
            </w:pPr>
            <w:r w:rsidRPr="002B212E">
              <w:rPr>
                <w:rFonts w:ascii="Tahoma" w:hAnsi="Tahoma" w:cs="Tahoma"/>
                <w:sz w:val="22"/>
              </w:rPr>
              <w:t>$3.788.621</w:t>
            </w:r>
          </w:p>
        </w:tc>
        <w:tc>
          <w:tcPr>
            <w:tcW w:w="2835" w:type="dxa"/>
          </w:tcPr>
          <w:p w14:paraId="73B5E8D3" w14:textId="7AB6D007" w:rsidR="00864184" w:rsidRPr="002B212E" w:rsidRDefault="00C215D8" w:rsidP="002B212E">
            <w:pPr>
              <w:jc w:val="both"/>
              <w:rPr>
                <w:rFonts w:ascii="Tahoma" w:hAnsi="Tahoma" w:cs="Tahoma"/>
                <w:sz w:val="22"/>
              </w:rPr>
            </w:pPr>
            <w:r w:rsidRPr="002B212E">
              <w:rPr>
                <w:rFonts w:ascii="Tahoma" w:hAnsi="Tahoma" w:cs="Tahoma"/>
                <w:sz w:val="22"/>
              </w:rPr>
              <w:t>$1.569.908</w:t>
            </w:r>
          </w:p>
        </w:tc>
      </w:tr>
      <w:tr w:rsidR="00864184" w:rsidRPr="002B212E" w14:paraId="4A332B25" w14:textId="77777777" w:rsidTr="008D7E49">
        <w:trPr>
          <w:jc w:val="center"/>
        </w:trPr>
        <w:tc>
          <w:tcPr>
            <w:tcW w:w="846" w:type="dxa"/>
          </w:tcPr>
          <w:p w14:paraId="03030CD0" w14:textId="2746A6C7" w:rsidR="00864184" w:rsidRPr="002B212E" w:rsidRDefault="00864184" w:rsidP="002B212E">
            <w:pPr>
              <w:jc w:val="both"/>
              <w:rPr>
                <w:rFonts w:ascii="Tahoma" w:hAnsi="Tahoma" w:cs="Tahoma"/>
                <w:sz w:val="22"/>
              </w:rPr>
            </w:pPr>
            <w:r w:rsidRPr="002B212E">
              <w:rPr>
                <w:rFonts w:ascii="Tahoma" w:hAnsi="Tahoma" w:cs="Tahoma"/>
                <w:sz w:val="22"/>
              </w:rPr>
              <w:t>2016</w:t>
            </w:r>
          </w:p>
        </w:tc>
        <w:tc>
          <w:tcPr>
            <w:tcW w:w="2268" w:type="dxa"/>
          </w:tcPr>
          <w:p w14:paraId="270F4C93" w14:textId="39E85C59" w:rsidR="00864184" w:rsidRPr="002B212E" w:rsidRDefault="00AB3ADD" w:rsidP="002B212E">
            <w:pPr>
              <w:jc w:val="both"/>
              <w:rPr>
                <w:rFonts w:ascii="Tahoma" w:hAnsi="Tahoma" w:cs="Tahoma"/>
                <w:sz w:val="22"/>
              </w:rPr>
            </w:pPr>
            <w:r w:rsidRPr="002B212E">
              <w:rPr>
                <w:rFonts w:ascii="Tahoma" w:hAnsi="Tahoma" w:cs="Tahoma"/>
                <w:sz w:val="22"/>
              </w:rPr>
              <w:t>$3.812.000</w:t>
            </w:r>
          </w:p>
        </w:tc>
        <w:tc>
          <w:tcPr>
            <w:tcW w:w="2835" w:type="dxa"/>
          </w:tcPr>
          <w:p w14:paraId="10F9620C" w14:textId="21A7C7CF" w:rsidR="00864184" w:rsidRPr="002B212E" w:rsidRDefault="00384BE6" w:rsidP="002B212E">
            <w:pPr>
              <w:jc w:val="both"/>
              <w:rPr>
                <w:rFonts w:ascii="Tahoma" w:hAnsi="Tahoma" w:cs="Tahoma"/>
                <w:sz w:val="22"/>
              </w:rPr>
            </w:pPr>
            <w:r w:rsidRPr="002B212E">
              <w:rPr>
                <w:rFonts w:ascii="Tahoma" w:hAnsi="Tahoma" w:cs="Tahoma"/>
                <w:sz w:val="22"/>
              </w:rPr>
              <w:t>$0</w:t>
            </w:r>
          </w:p>
        </w:tc>
      </w:tr>
      <w:tr w:rsidR="00864184" w:rsidRPr="002B212E" w14:paraId="1A41764E" w14:textId="77777777" w:rsidTr="008D7E49">
        <w:trPr>
          <w:jc w:val="center"/>
        </w:trPr>
        <w:tc>
          <w:tcPr>
            <w:tcW w:w="846" w:type="dxa"/>
          </w:tcPr>
          <w:p w14:paraId="1DA4A2B6" w14:textId="71FEF725" w:rsidR="00864184" w:rsidRPr="002B212E" w:rsidRDefault="00864184" w:rsidP="002B212E">
            <w:pPr>
              <w:jc w:val="both"/>
              <w:rPr>
                <w:rFonts w:ascii="Tahoma" w:hAnsi="Tahoma" w:cs="Tahoma"/>
                <w:sz w:val="22"/>
              </w:rPr>
            </w:pPr>
            <w:r w:rsidRPr="002B212E">
              <w:rPr>
                <w:rFonts w:ascii="Tahoma" w:hAnsi="Tahoma" w:cs="Tahoma"/>
                <w:sz w:val="22"/>
              </w:rPr>
              <w:t>2017</w:t>
            </w:r>
          </w:p>
        </w:tc>
        <w:tc>
          <w:tcPr>
            <w:tcW w:w="2268" w:type="dxa"/>
          </w:tcPr>
          <w:p w14:paraId="5002E08E" w14:textId="30A1685B" w:rsidR="00864184" w:rsidRPr="002B212E" w:rsidRDefault="00C215D8" w:rsidP="002B212E">
            <w:pPr>
              <w:jc w:val="both"/>
              <w:rPr>
                <w:rFonts w:ascii="Tahoma" w:hAnsi="Tahoma" w:cs="Tahoma"/>
                <w:sz w:val="22"/>
              </w:rPr>
            </w:pPr>
            <w:r w:rsidRPr="002B212E">
              <w:rPr>
                <w:rFonts w:ascii="Tahoma" w:hAnsi="Tahoma" w:cs="Tahoma"/>
                <w:sz w:val="22"/>
              </w:rPr>
              <w:t>$3.812.000</w:t>
            </w:r>
          </w:p>
        </w:tc>
        <w:tc>
          <w:tcPr>
            <w:tcW w:w="2835" w:type="dxa"/>
          </w:tcPr>
          <w:p w14:paraId="196D8985" w14:textId="3C60659D" w:rsidR="00864184" w:rsidRPr="002B212E" w:rsidRDefault="00384BE6" w:rsidP="002B212E">
            <w:pPr>
              <w:jc w:val="both"/>
              <w:rPr>
                <w:rFonts w:ascii="Tahoma" w:hAnsi="Tahoma" w:cs="Tahoma"/>
                <w:sz w:val="22"/>
              </w:rPr>
            </w:pPr>
            <w:r w:rsidRPr="002B212E">
              <w:rPr>
                <w:rFonts w:ascii="Tahoma" w:hAnsi="Tahoma" w:cs="Tahoma"/>
                <w:sz w:val="22"/>
              </w:rPr>
              <w:t>$0</w:t>
            </w:r>
          </w:p>
        </w:tc>
      </w:tr>
    </w:tbl>
    <w:p w14:paraId="139B6351" w14:textId="4FF13942" w:rsidR="00024010" w:rsidRPr="002B212E" w:rsidRDefault="00024010" w:rsidP="002B212E">
      <w:pPr>
        <w:spacing w:line="276" w:lineRule="auto"/>
        <w:ind w:firstLine="851"/>
        <w:jc w:val="both"/>
        <w:rPr>
          <w:rFonts w:ascii="Tahoma" w:hAnsi="Tahoma" w:cs="Tahoma"/>
        </w:rPr>
      </w:pPr>
    </w:p>
    <w:p w14:paraId="182CC525" w14:textId="4EF69582" w:rsidR="00A640EB" w:rsidRPr="002B212E" w:rsidRDefault="00EF74E7" w:rsidP="002B212E">
      <w:pPr>
        <w:spacing w:line="276" w:lineRule="auto"/>
        <w:ind w:firstLine="851"/>
        <w:jc w:val="both"/>
        <w:rPr>
          <w:rFonts w:ascii="Tahoma" w:hAnsi="Tahoma" w:cs="Tahoma"/>
        </w:rPr>
      </w:pPr>
      <w:r w:rsidRPr="002B212E">
        <w:rPr>
          <w:rFonts w:ascii="Tahoma" w:hAnsi="Tahoma" w:cs="Tahoma"/>
        </w:rPr>
        <w:t>M</w:t>
      </w:r>
      <w:r w:rsidR="00141D8B" w:rsidRPr="002B212E">
        <w:rPr>
          <w:rFonts w:ascii="Tahoma" w:hAnsi="Tahoma" w:cs="Tahoma"/>
        </w:rPr>
        <w:t>ani</w:t>
      </w:r>
      <w:r w:rsidR="003964E0" w:rsidRPr="002B212E">
        <w:rPr>
          <w:rFonts w:ascii="Tahoma" w:hAnsi="Tahoma" w:cs="Tahoma"/>
        </w:rPr>
        <w:t xml:space="preserve">fiesta que </w:t>
      </w:r>
      <w:r w:rsidR="00E96218" w:rsidRPr="002B212E">
        <w:rPr>
          <w:rFonts w:ascii="Tahoma" w:hAnsi="Tahoma" w:cs="Tahoma"/>
        </w:rPr>
        <w:t>la jornada ordinaria era de lunes a viernes de</w:t>
      </w:r>
      <w:r w:rsidR="0001731A" w:rsidRPr="002B212E">
        <w:rPr>
          <w:rFonts w:ascii="Tahoma" w:hAnsi="Tahoma" w:cs="Tahoma"/>
        </w:rPr>
        <w:t xml:space="preserve"> 7:30 a.m. a 6:00 p.m.; sin emb</w:t>
      </w:r>
      <w:r w:rsidR="00E96218" w:rsidRPr="002B212E">
        <w:rPr>
          <w:rFonts w:ascii="Tahoma" w:hAnsi="Tahoma" w:cs="Tahoma"/>
        </w:rPr>
        <w:t>a</w:t>
      </w:r>
      <w:r w:rsidR="0001731A" w:rsidRPr="002B212E">
        <w:rPr>
          <w:rFonts w:ascii="Tahoma" w:hAnsi="Tahoma" w:cs="Tahoma"/>
        </w:rPr>
        <w:t>r</w:t>
      </w:r>
      <w:r w:rsidR="00E96218" w:rsidRPr="002B212E">
        <w:rPr>
          <w:rFonts w:ascii="Tahoma" w:hAnsi="Tahoma" w:cs="Tahoma"/>
        </w:rPr>
        <w:t xml:space="preserve">go, </w:t>
      </w:r>
      <w:r w:rsidR="003964E0" w:rsidRPr="002B212E">
        <w:rPr>
          <w:rFonts w:ascii="Tahoma" w:hAnsi="Tahoma" w:cs="Tahoma"/>
        </w:rPr>
        <w:t xml:space="preserve">desde el 22 de mayo de 2006 hasta el 01 de mayo de 2017, el empleador </w:t>
      </w:r>
      <w:r w:rsidR="00E96218" w:rsidRPr="002B212E">
        <w:rPr>
          <w:rFonts w:ascii="Tahoma" w:hAnsi="Tahoma" w:cs="Tahoma"/>
        </w:rPr>
        <w:t xml:space="preserve">le </w:t>
      </w:r>
      <w:r w:rsidR="003964E0" w:rsidRPr="002B212E">
        <w:rPr>
          <w:rFonts w:ascii="Tahoma" w:hAnsi="Tahoma" w:cs="Tahoma"/>
        </w:rPr>
        <w:t>programó turnos de disponibilidad</w:t>
      </w:r>
      <w:r w:rsidR="00E96218" w:rsidRPr="002B212E">
        <w:rPr>
          <w:rFonts w:ascii="Tahoma" w:hAnsi="Tahoma" w:cs="Tahoma"/>
        </w:rPr>
        <w:t>,</w:t>
      </w:r>
      <w:r w:rsidR="000132DB" w:rsidRPr="002B212E">
        <w:rPr>
          <w:rFonts w:ascii="Tahoma" w:hAnsi="Tahoma" w:cs="Tahoma"/>
        </w:rPr>
        <w:t xml:space="preserve"> por medio de cuatro de turnos hasta el 2010 y desde esa anualidad hasta </w:t>
      </w:r>
      <w:r w:rsidR="00BC0F02" w:rsidRPr="002B212E">
        <w:rPr>
          <w:rFonts w:ascii="Tahoma" w:hAnsi="Tahoma" w:cs="Tahoma"/>
        </w:rPr>
        <w:t xml:space="preserve">mayo de </w:t>
      </w:r>
      <w:r w:rsidR="000132DB" w:rsidRPr="002B212E">
        <w:rPr>
          <w:rFonts w:ascii="Tahoma" w:hAnsi="Tahoma" w:cs="Tahoma"/>
        </w:rPr>
        <w:t>2017</w:t>
      </w:r>
      <w:r w:rsidR="00DA02EA" w:rsidRPr="002B212E">
        <w:rPr>
          <w:rFonts w:ascii="Tahoma" w:hAnsi="Tahoma" w:cs="Tahoma"/>
        </w:rPr>
        <w:t xml:space="preserve"> debía</w:t>
      </w:r>
      <w:r w:rsidR="0001731A" w:rsidRPr="002B212E">
        <w:rPr>
          <w:rFonts w:ascii="Tahoma" w:hAnsi="Tahoma" w:cs="Tahoma"/>
        </w:rPr>
        <w:t>,</w:t>
      </w:r>
      <w:r w:rsidR="00DA02EA" w:rsidRPr="002B212E">
        <w:rPr>
          <w:rFonts w:ascii="Tahoma" w:hAnsi="Tahoma" w:cs="Tahoma"/>
        </w:rPr>
        <w:t xml:space="preserve"> junto al trabajador Luis Eduardo de los Ríos</w:t>
      </w:r>
      <w:r w:rsidR="0001731A" w:rsidRPr="002B212E">
        <w:rPr>
          <w:rFonts w:ascii="Tahoma" w:hAnsi="Tahoma" w:cs="Tahoma"/>
        </w:rPr>
        <w:t>,</w:t>
      </w:r>
      <w:r w:rsidR="00DA02EA" w:rsidRPr="002B212E">
        <w:rPr>
          <w:rFonts w:ascii="Tahoma" w:hAnsi="Tahoma" w:cs="Tahoma"/>
        </w:rPr>
        <w:t xml:space="preserve"> atender las </w:t>
      </w:r>
      <w:r w:rsidR="00A640EB" w:rsidRPr="002B212E">
        <w:rPr>
          <w:rFonts w:ascii="Tahoma" w:hAnsi="Tahoma" w:cs="Tahoma"/>
        </w:rPr>
        <w:t>fallas de servicio</w:t>
      </w:r>
      <w:r w:rsidR="00A44F1B" w:rsidRPr="002B212E">
        <w:rPr>
          <w:rFonts w:ascii="Tahoma" w:hAnsi="Tahoma" w:cs="Tahoma"/>
        </w:rPr>
        <w:t xml:space="preserve"> solicitadas por los clientes, reportarlas a la </w:t>
      </w:r>
      <w:r w:rsidR="00DA02EA" w:rsidRPr="002B212E">
        <w:rPr>
          <w:rFonts w:ascii="Tahoma" w:hAnsi="Tahoma" w:cs="Tahoma"/>
        </w:rPr>
        <w:t>empresa</w:t>
      </w:r>
      <w:r w:rsidR="00A44F1B" w:rsidRPr="002B212E">
        <w:rPr>
          <w:rFonts w:ascii="Tahoma" w:hAnsi="Tahoma" w:cs="Tahoma"/>
        </w:rPr>
        <w:t xml:space="preserve"> por una plataforma denominada TAOLI</w:t>
      </w:r>
      <w:r w:rsidR="00DA02EA" w:rsidRPr="002B212E">
        <w:rPr>
          <w:rFonts w:ascii="Tahoma" w:hAnsi="Tahoma" w:cs="Tahoma"/>
        </w:rPr>
        <w:t xml:space="preserve"> de la </w:t>
      </w:r>
      <w:r w:rsidR="00A50B58" w:rsidRPr="002B212E">
        <w:rPr>
          <w:rFonts w:ascii="Tahoma" w:hAnsi="Tahoma" w:cs="Tahoma"/>
        </w:rPr>
        <w:t>siguiente manera: durante las 52 semanas de cada año, una semana el demandante y otra su compañero de martes a martes desde las 6:00 p.m. has</w:t>
      </w:r>
      <w:r w:rsidR="006E3B8A" w:rsidRPr="002B212E">
        <w:rPr>
          <w:rFonts w:ascii="Tahoma" w:hAnsi="Tahoma" w:cs="Tahoma"/>
        </w:rPr>
        <w:t xml:space="preserve">ta las 6:00 a.m., es decir 12 horas, y los sábados, domingos y festivos 24 horas desde las 6:00 a.m. hasta las </w:t>
      </w:r>
      <w:r w:rsidR="00BC0F02" w:rsidRPr="002B212E">
        <w:rPr>
          <w:rFonts w:ascii="Tahoma" w:hAnsi="Tahoma" w:cs="Tahoma"/>
        </w:rPr>
        <w:t xml:space="preserve">6 a.m. </w:t>
      </w:r>
      <w:r w:rsidR="0006147E" w:rsidRPr="002B212E">
        <w:rPr>
          <w:rFonts w:ascii="Tahoma" w:hAnsi="Tahoma" w:cs="Tahoma"/>
        </w:rPr>
        <w:t>sin percibir remuneración alguna.</w:t>
      </w:r>
    </w:p>
    <w:p w14:paraId="7A68BD78" w14:textId="77777777" w:rsidR="003964E0" w:rsidRPr="002B212E" w:rsidRDefault="003964E0" w:rsidP="002B212E">
      <w:pPr>
        <w:spacing w:line="276" w:lineRule="auto"/>
        <w:ind w:firstLine="851"/>
        <w:jc w:val="both"/>
        <w:rPr>
          <w:rFonts w:ascii="Tahoma" w:hAnsi="Tahoma" w:cs="Tahoma"/>
        </w:rPr>
      </w:pPr>
    </w:p>
    <w:p w14:paraId="6F01E853" w14:textId="7500FBA4" w:rsidR="00737D94" w:rsidRPr="002B212E" w:rsidRDefault="00B808C6" w:rsidP="002B212E">
      <w:pPr>
        <w:spacing w:line="276" w:lineRule="auto"/>
        <w:ind w:firstLine="851"/>
        <w:jc w:val="both"/>
        <w:rPr>
          <w:rFonts w:ascii="Tahoma" w:hAnsi="Tahoma" w:cs="Tahoma"/>
          <w:lang w:val="es-CO"/>
        </w:rPr>
      </w:pPr>
      <w:r w:rsidRPr="002B212E">
        <w:rPr>
          <w:rFonts w:ascii="Tahoma" w:hAnsi="Tahoma" w:cs="Tahoma"/>
          <w:lang w:val="es-CO"/>
        </w:rPr>
        <w:t xml:space="preserve">En respuesta a la demanda, </w:t>
      </w:r>
      <w:r w:rsidRPr="002B212E">
        <w:rPr>
          <w:rFonts w:ascii="Tahoma" w:hAnsi="Tahoma" w:cs="Tahoma"/>
          <w:b/>
          <w:bCs/>
          <w:lang w:val="es-CO"/>
        </w:rPr>
        <w:t xml:space="preserve">Huawei </w:t>
      </w:r>
      <w:proofErr w:type="spellStart"/>
      <w:r w:rsidRPr="002B212E">
        <w:rPr>
          <w:rFonts w:ascii="Tahoma" w:hAnsi="Tahoma" w:cs="Tahoma"/>
          <w:b/>
          <w:bCs/>
          <w:lang w:val="es-CO"/>
        </w:rPr>
        <w:t>Technologie</w:t>
      </w:r>
      <w:proofErr w:type="spellEnd"/>
      <w:r w:rsidRPr="002B212E">
        <w:rPr>
          <w:rFonts w:ascii="Tahoma" w:hAnsi="Tahoma" w:cs="Tahoma"/>
          <w:b/>
          <w:bCs/>
          <w:lang w:val="es-CO"/>
        </w:rPr>
        <w:t xml:space="preserve"> </w:t>
      </w:r>
      <w:proofErr w:type="spellStart"/>
      <w:r w:rsidRPr="002B212E">
        <w:rPr>
          <w:rFonts w:ascii="Tahoma" w:hAnsi="Tahoma" w:cs="Tahoma"/>
          <w:b/>
          <w:bCs/>
          <w:lang w:val="es-CO"/>
        </w:rPr>
        <w:t>Managed</w:t>
      </w:r>
      <w:proofErr w:type="spellEnd"/>
      <w:r w:rsidRPr="002B212E">
        <w:rPr>
          <w:rFonts w:ascii="Tahoma" w:hAnsi="Tahoma" w:cs="Tahoma"/>
          <w:b/>
          <w:bCs/>
          <w:lang w:val="es-CO"/>
        </w:rPr>
        <w:t xml:space="preserve"> </w:t>
      </w:r>
      <w:proofErr w:type="spellStart"/>
      <w:r w:rsidRPr="002B212E">
        <w:rPr>
          <w:rFonts w:ascii="Tahoma" w:hAnsi="Tahoma" w:cs="Tahoma"/>
          <w:b/>
          <w:bCs/>
          <w:lang w:val="es-CO"/>
        </w:rPr>
        <w:t>Service</w:t>
      </w:r>
      <w:proofErr w:type="spellEnd"/>
      <w:r w:rsidRPr="002B212E">
        <w:rPr>
          <w:rFonts w:ascii="Tahoma" w:hAnsi="Tahoma" w:cs="Tahoma"/>
          <w:b/>
          <w:bCs/>
          <w:lang w:val="es-CO"/>
        </w:rPr>
        <w:t xml:space="preserve"> Colombia S.A.S.</w:t>
      </w:r>
      <w:r w:rsidRPr="002B212E">
        <w:rPr>
          <w:rFonts w:ascii="Tahoma" w:hAnsi="Tahoma" w:cs="Tahoma"/>
          <w:lang w:val="es-CO"/>
        </w:rPr>
        <w:t xml:space="preserve"> </w:t>
      </w:r>
      <w:r w:rsidR="00737D94" w:rsidRPr="002B212E">
        <w:rPr>
          <w:rFonts w:ascii="Tahoma" w:hAnsi="Tahoma" w:cs="Tahoma"/>
          <w:lang w:val="es-CO"/>
        </w:rPr>
        <w:t>aceptó la</w:t>
      </w:r>
      <w:r w:rsidR="43C05727" w:rsidRPr="002B212E">
        <w:rPr>
          <w:rFonts w:ascii="Tahoma" w:hAnsi="Tahoma" w:cs="Tahoma"/>
          <w:lang w:val="es-CO"/>
        </w:rPr>
        <w:t>s</w:t>
      </w:r>
      <w:r w:rsidR="00737D94" w:rsidRPr="002B212E">
        <w:rPr>
          <w:rFonts w:ascii="Tahoma" w:hAnsi="Tahoma" w:cs="Tahoma"/>
          <w:lang w:val="es-CO"/>
        </w:rPr>
        <w:t xml:space="preserve"> sustituci</w:t>
      </w:r>
      <w:r w:rsidR="6D99E031" w:rsidRPr="002B212E">
        <w:rPr>
          <w:rFonts w:ascii="Tahoma" w:hAnsi="Tahoma" w:cs="Tahoma"/>
          <w:lang w:val="es-CO"/>
        </w:rPr>
        <w:t>ones</w:t>
      </w:r>
      <w:r w:rsidR="00737D94" w:rsidRPr="002B212E">
        <w:rPr>
          <w:rFonts w:ascii="Tahoma" w:hAnsi="Tahoma" w:cs="Tahoma"/>
          <w:lang w:val="es-CO"/>
        </w:rPr>
        <w:t xml:space="preserve"> patronal</w:t>
      </w:r>
      <w:r w:rsidR="4F9F1893" w:rsidRPr="002B212E">
        <w:rPr>
          <w:rFonts w:ascii="Tahoma" w:hAnsi="Tahoma" w:cs="Tahoma"/>
          <w:lang w:val="es-CO"/>
        </w:rPr>
        <w:t>es,</w:t>
      </w:r>
      <w:r w:rsidR="00427824" w:rsidRPr="002B212E">
        <w:rPr>
          <w:rFonts w:ascii="Tahoma" w:hAnsi="Tahoma" w:cs="Tahoma"/>
          <w:lang w:val="es-CO"/>
        </w:rPr>
        <w:t xml:space="preserve"> </w:t>
      </w:r>
      <w:r w:rsidR="00E9029D" w:rsidRPr="002B212E">
        <w:rPr>
          <w:rFonts w:ascii="Tahoma" w:hAnsi="Tahoma" w:cs="Tahoma"/>
          <w:lang w:val="es-CO"/>
        </w:rPr>
        <w:t xml:space="preserve">la </w:t>
      </w:r>
      <w:r w:rsidR="00106203" w:rsidRPr="002B212E">
        <w:rPr>
          <w:rFonts w:ascii="Tahoma" w:hAnsi="Tahoma" w:cs="Tahoma"/>
          <w:lang w:val="es-CO"/>
        </w:rPr>
        <w:t>relación laboral con el demandante</w:t>
      </w:r>
      <w:r w:rsidR="009930BF" w:rsidRPr="002B212E">
        <w:rPr>
          <w:rFonts w:ascii="Tahoma" w:hAnsi="Tahoma" w:cs="Tahoma"/>
          <w:lang w:val="es-CO"/>
        </w:rPr>
        <w:t xml:space="preserve"> y el cargo que ocupa</w:t>
      </w:r>
      <w:r w:rsidR="00183529" w:rsidRPr="002B212E">
        <w:rPr>
          <w:rFonts w:ascii="Tahoma" w:hAnsi="Tahoma" w:cs="Tahoma"/>
          <w:lang w:val="es-CO"/>
        </w:rPr>
        <w:t>. L</w:t>
      </w:r>
      <w:r w:rsidR="009930BF" w:rsidRPr="002B212E">
        <w:rPr>
          <w:rFonts w:ascii="Tahoma" w:hAnsi="Tahoma" w:cs="Tahoma"/>
          <w:lang w:val="es-CO"/>
        </w:rPr>
        <w:t xml:space="preserve">os demás hechos </w:t>
      </w:r>
      <w:r w:rsidR="00183529" w:rsidRPr="002B212E">
        <w:rPr>
          <w:rFonts w:ascii="Tahoma" w:hAnsi="Tahoma" w:cs="Tahoma"/>
          <w:lang w:val="es-CO"/>
        </w:rPr>
        <w:t>los negó o manifestó que</w:t>
      </w:r>
      <w:r w:rsidR="005B1AE9" w:rsidRPr="002B212E">
        <w:rPr>
          <w:rFonts w:ascii="Tahoma" w:hAnsi="Tahoma" w:cs="Tahoma"/>
          <w:lang w:val="es-CO"/>
        </w:rPr>
        <w:t xml:space="preserve"> no le constaban. Se opuso a las pretensiones</w:t>
      </w:r>
      <w:r w:rsidR="00D44D7E" w:rsidRPr="002B212E">
        <w:rPr>
          <w:rFonts w:ascii="Tahoma" w:hAnsi="Tahoma" w:cs="Tahoma"/>
          <w:lang w:val="es-CO"/>
        </w:rPr>
        <w:t>,</w:t>
      </w:r>
      <w:r w:rsidR="00A8271F" w:rsidRPr="002B212E">
        <w:rPr>
          <w:rFonts w:ascii="Tahoma" w:hAnsi="Tahoma" w:cs="Tahoma"/>
          <w:lang w:val="es-CO"/>
        </w:rPr>
        <w:t xml:space="preserve"> aduciendo que el actor </w:t>
      </w:r>
      <w:r w:rsidR="0041329E" w:rsidRPr="002B212E">
        <w:rPr>
          <w:rFonts w:ascii="Tahoma" w:hAnsi="Tahoma" w:cs="Tahoma"/>
          <w:lang w:val="es-CO"/>
        </w:rPr>
        <w:t>se acogió al sistema de jornada laboral flexible</w:t>
      </w:r>
      <w:r w:rsidR="00D44D7E" w:rsidRPr="002B212E">
        <w:rPr>
          <w:rFonts w:ascii="Tahoma" w:hAnsi="Tahoma" w:cs="Tahoma"/>
          <w:lang w:val="es-CO"/>
        </w:rPr>
        <w:t xml:space="preserve">, conforme al </w:t>
      </w:r>
      <w:r w:rsidR="0041329E" w:rsidRPr="002B212E">
        <w:rPr>
          <w:rFonts w:ascii="Tahoma" w:hAnsi="Tahoma" w:cs="Tahoma"/>
          <w:lang w:val="es-CO"/>
        </w:rPr>
        <w:t xml:space="preserve">artículo </w:t>
      </w:r>
      <w:r w:rsidR="00707E09" w:rsidRPr="002B212E">
        <w:rPr>
          <w:rFonts w:ascii="Tahoma" w:hAnsi="Tahoma" w:cs="Tahoma"/>
          <w:lang w:val="es-CO"/>
        </w:rPr>
        <w:t>51 de la ley 789</w:t>
      </w:r>
      <w:r w:rsidR="00D9522D" w:rsidRPr="002B212E">
        <w:rPr>
          <w:rFonts w:ascii="Tahoma" w:hAnsi="Tahoma" w:cs="Tahoma"/>
          <w:lang w:val="es-CO"/>
        </w:rPr>
        <w:t xml:space="preserve"> de 2002 y al sistema de trabajo </w:t>
      </w:r>
      <w:r w:rsidR="00780F2C" w:rsidRPr="002B212E">
        <w:rPr>
          <w:rFonts w:ascii="Tahoma" w:hAnsi="Tahoma" w:cs="Tahoma"/>
          <w:lang w:val="es-CO"/>
        </w:rPr>
        <w:t>dominical y festivo contenido en el artículo 26 de Ley 789 de 2002</w:t>
      </w:r>
      <w:r w:rsidR="00D44D7E" w:rsidRPr="002B212E">
        <w:rPr>
          <w:rFonts w:ascii="Tahoma" w:hAnsi="Tahoma" w:cs="Tahoma"/>
          <w:lang w:val="es-CO"/>
        </w:rPr>
        <w:t>,</w:t>
      </w:r>
      <w:r w:rsidR="00C95279" w:rsidRPr="002B212E">
        <w:rPr>
          <w:rFonts w:ascii="Tahoma" w:hAnsi="Tahoma" w:cs="Tahoma"/>
          <w:lang w:val="es-CO"/>
        </w:rPr>
        <w:t xml:space="preserve"> y que durante toda la </w:t>
      </w:r>
      <w:r w:rsidR="00D424C5" w:rsidRPr="002B212E">
        <w:rPr>
          <w:rFonts w:ascii="Tahoma" w:hAnsi="Tahoma" w:cs="Tahoma"/>
          <w:lang w:val="es-CO"/>
        </w:rPr>
        <w:t xml:space="preserve">relación laboral </w:t>
      </w:r>
      <w:r w:rsidR="00FF42A0" w:rsidRPr="002B212E">
        <w:rPr>
          <w:rFonts w:ascii="Tahoma" w:hAnsi="Tahoma" w:cs="Tahoma"/>
          <w:lang w:val="es-CO"/>
        </w:rPr>
        <w:t>le ha sido remunerado el salari</w:t>
      </w:r>
      <w:r w:rsidR="007314D1" w:rsidRPr="002B212E">
        <w:rPr>
          <w:rFonts w:ascii="Tahoma" w:hAnsi="Tahoma" w:cs="Tahoma"/>
          <w:lang w:val="es-CO"/>
        </w:rPr>
        <w:t xml:space="preserve">o y demás acreencias laborales. </w:t>
      </w:r>
    </w:p>
    <w:p w14:paraId="50C2F21E" w14:textId="77777777" w:rsidR="00141D8B" w:rsidRPr="002B212E" w:rsidRDefault="00141D8B" w:rsidP="002B212E">
      <w:pPr>
        <w:spacing w:line="276" w:lineRule="auto"/>
        <w:jc w:val="both"/>
        <w:rPr>
          <w:rFonts w:ascii="Tahoma" w:hAnsi="Tahoma" w:cs="Tahoma"/>
          <w:lang w:val="es-ES"/>
        </w:rPr>
      </w:pPr>
    </w:p>
    <w:p w14:paraId="2E9C4BE6" w14:textId="1E0B975E" w:rsidR="008D7E49" w:rsidRPr="002B212E" w:rsidRDefault="00141D8B" w:rsidP="002B212E">
      <w:pPr>
        <w:spacing w:line="276" w:lineRule="auto"/>
        <w:ind w:firstLine="851"/>
        <w:jc w:val="both"/>
        <w:rPr>
          <w:rFonts w:ascii="Tahoma" w:hAnsi="Tahoma" w:cs="Tahoma"/>
          <w:lang w:val="es-ES"/>
        </w:rPr>
      </w:pPr>
      <w:r w:rsidRPr="002B212E">
        <w:rPr>
          <w:rFonts w:ascii="Tahoma" w:hAnsi="Tahoma" w:cs="Tahoma"/>
          <w:lang w:val="es-ES"/>
        </w:rPr>
        <w:t xml:space="preserve">Bajo los anteriores postulados, propuso como excepciones de fondo las que denominó </w:t>
      </w:r>
      <w:r w:rsidRPr="002B212E">
        <w:rPr>
          <w:rFonts w:ascii="Tahoma" w:hAnsi="Tahoma" w:cs="Tahoma"/>
          <w:i/>
          <w:iCs/>
          <w:lang w:val="es-ES"/>
        </w:rPr>
        <w:t>“Inexistencia de las obligaciones, inexistencia de las obligaciones indemnizatorias, cobro de lo no debido”;</w:t>
      </w:r>
      <w:r w:rsidR="00080729" w:rsidRPr="002B212E">
        <w:rPr>
          <w:rFonts w:ascii="Tahoma" w:hAnsi="Tahoma" w:cs="Tahoma"/>
          <w:i/>
          <w:iCs/>
          <w:lang w:val="es-ES"/>
        </w:rPr>
        <w:t xml:space="preserve"> </w:t>
      </w:r>
      <w:r w:rsidRPr="002B212E">
        <w:rPr>
          <w:rFonts w:ascii="Tahoma" w:hAnsi="Tahoma" w:cs="Tahoma"/>
          <w:i/>
          <w:iCs/>
          <w:lang w:val="es-ES"/>
        </w:rPr>
        <w:t>“Prescripción”</w:t>
      </w:r>
      <w:r w:rsidR="00832A4B" w:rsidRPr="002B212E">
        <w:rPr>
          <w:rFonts w:ascii="Tahoma" w:hAnsi="Tahoma" w:cs="Tahoma"/>
          <w:lang w:val="es-ES"/>
        </w:rPr>
        <w:t>;</w:t>
      </w:r>
      <w:r w:rsidR="00832A4B" w:rsidRPr="002B212E">
        <w:rPr>
          <w:rFonts w:ascii="Tahoma" w:hAnsi="Tahoma" w:cs="Tahoma"/>
          <w:i/>
          <w:iCs/>
          <w:lang w:val="es-ES"/>
        </w:rPr>
        <w:t xml:space="preserve"> “falta de </w:t>
      </w:r>
      <w:r w:rsidR="4B735ACC" w:rsidRPr="002B212E">
        <w:rPr>
          <w:rFonts w:ascii="Tahoma" w:hAnsi="Tahoma" w:cs="Tahoma"/>
          <w:i/>
          <w:iCs/>
          <w:lang w:val="es-ES"/>
        </w:rPr>
        <w:t>título</w:t>
      </w:r>
      <w:r w:rsidR="00832A4B" w:rsidRPr="002B212E">
        <w:rPr>
          <w:rFonts w:ascii="Tahoma" w:hAnsi="Tahoma" w:cs="Tahoma"/>
          <w:i/>
          <w:iCs/>
          <w:lang w:val="es-ES"/>
        </w:rPr>
        <w:t xml:space="preserve"> </w:t>
      </w:r>
      <w:r w:rsidR="00CD0F70" w:rsidRPr="002B212E">
        <w:rPr>
          <w:rFonts w:ascii="Tahoma" w:hAnsi="Tahoma" w:cs="Tahoma"/>
          <w:i/>
          <w:iCs/>
          <w:lang w:val="es-ES"/>
        </w:rPr>
        <w:t>y causa en el demandante”; “pago”; “compensación”; “buena fe”</w:t>
      </w:r>
      <w:r w:rsidR="00A01769" w:rsidRPr="002B212E">
        <w:rPr>
          <w:rFonts w:ascii="Tahoma" w:hAnsi="Tahoma" w:cs="Tahoma"/>
          <w:i/>
          <w:iCs/>
          <w:lang w:val="es-ES"/>
        </w:rPr>
        <w:t>; “enriquecimien</w:t>
      </w:r>
      <w:r w:rsidR="00B40ED7" w:rsidRPr="002B212E">
        <w:rPr>
          <w:rFonts w:ascii="Tahoma" w:hAnsi="Tahoma" w:cs="Tahoma"/>
          <w:i/>
          <w:iCs/>
          <w:lang w:val="es-ES"/>
        </w:rPr>
        <w:t>to in causa”; “improcedencia de la indemnización moratoria de que trata el artículo 65 CST”; y “genérica”.</w:t>
      </w:r>
      <w:r w:rsidRPr="002B212E">
        <w:rPr>
          <w:rFonts w:ascii="Tahoma" w:hAnsi="Tahoma" w:cs="Tahoma"/>
        </w:rPr>
        <w:br/>
      </w:r>
    </w:p>
    <w:p w14:paraId="67BBB8C5" w14:textId="1EEB7FBD" w:rsidR="00141D8B" w:rsidRPr="002B212E" w:rsidRDefault="00141D8B" w:rsidP="002B212E">
      <w:pPr>
        <w:pStyle w:val="Prrafodelista"/>
        <w:numPr>
          <w:ilvl w:val="0"/>
          <w:numId w:val="1"/>
        </w:numPr>
        <w:spacing w:line="276" w:lineRule="auto"/>
        <w:jc w:val="center"/>
        <w:textAlignment w:val="baseline"/>
        <w:rPr>
          <w:rFonts w:eastAsia="Times New Roman"/>
          <w:b/>
          <w:bCs/>
          <w:color w:val="000000"/>
          <w:szCs w:val="24"/>
          <w:lang w:val="es-CO"/>
        </w:rPr>
      </w:pPr>
      <w:r w:rsidRPr="002B212E">
        <w:rPr>
          <w:rFonts w:eastAsia="Times New Roman"/>
          <w:b/>
          <w:color w:val="000000" w:themeColor="text1"/>
          <w:szCs w:val="24"/>
          <w:lang w:val="es-CO"/>
        </w:rPr>
        <w:lastRenderedPageBreak/>
        <w:t>Sentencia de primera instancia</w:t>
      </w:r>
    </w:p>
    <w:p w14:paraId="27AC4592" w14:textId="77777777" w:rsidR="00141D8B" w:rsidRPr="002B212E" w:rsidRDefault="00141D8B" w:rsidP="002B212E">
      <w:pPr>
        <w:spacing w:line="276" w:lineRule="auto"/>
        <w:ind w:firstLine="851"/>
        <w:jc w:val="both"/>
        <w:textAlignment w:val="baseline"/>
        <w:rPr>
          <w:rFonts w:ascii="Tahoma" w:eastAsia="Times New Roman" w:hAnsi="Tahoma" w:cs="Tahoma"/>
          <w:color w:val="000000"/>
          <w:lang w:val="es-CO"/>
        </w:rPr>
      </w:pPr>
    </w:p>
    <w:p w14:paraId="15DD5C6D" w14:textId="682F89C1" w:rsidR="00670F7C" w:rsidRPr="002B212E" w:rsidRDefault="00141D8B" w:rsidP="002B212E">
      <w:pPr>
        <w:autoSpaceDE w:val="0"/>
        <w:autoSpaceDN w:val="0"/>
        <w:adjustRightInd w:val="0"/>
        <w:spacing w:line="276" w:lineRule="auto"/>
        <w:ind w:firstLine="851"/>
        <w:jc w:val="both"/>
        <w:rPr>
          <w:rFonts w:ascii="Tahoma" w:hAnsi="Tahoma" w:cs="Tahoma"/>
          <w:lang w:val="es-MX" w:eastAsia="en-US"/>
        </w:rPr>
      </w:pPr>
      <w:r w:rsidRPr="002B212E">
        <w:rPr>
          <w:rFonts w:ascii="Tahoma" w:hAnsi="Tahoma" w:cs="Tahoma"/>
          <w:color w:val="000000"/>
        </w:rPr>
        <w:t> La jueza de primer grado declaró probada parcialmente la excepción de prescripción y no probadas las demás</w:t>
      </w:r>
      <w:r w:rsidRPr="002B212E">
        <w:rPr>
          <w:rFonts w:ascii="Tahoma" w:hAnsi="Tahoma" w:cs="Tahoma"/>
          <w:lang w:val="es-MX" w:eastAsia="en-US"/>
        </w:rPr>
        <w:t>; igualmente, determinó que entre el señor Ed</w:t>
      </w:r>
      <w:r w:rsidR="00B42E11" w:rsidRPr="002B212E">
        <w:rPr>
          <w:rFonts w:ascii="Tahoma" w:hAnsi="Tahoma" w:cs="Tahoma"/>
          <w:lang w:val="es-MX" w:eastAsia="en-US"/>
        </w:rPr>
        <w:t>win García Arango</w:t>
      </w:r>
      <w:r w:rsidRPr="002B212E">
        <w:rPr>
          <w:rFonts w:ascii="Tahoma" w:hAnsi="Tahoma" w:cs="Tahoma"/>
          <w:lang w:val="es-MX" w:eastAsia="en-US"/>
        </w:rPr>
        <w:t xml:space="preserve">, en calidad de trabajador, y </w:t>
      </w:r>
      <w:r w:rsidR="00B42E11" w:rsidRPr="002B212E">
        <w:rPr>
          <w:rFonts w:ascii="Tahoma" w:hAnsi="Tahoma" w:cs="Tahoma"/>
          <w:lang w:val="es-CO" w:eastAsia="en-US"/>
        </w:rPr>
        <w:t xml:space="preserve">Huawei </w:t>
      </w:r>
      <w:proofErr w:type="spellStart"/>
      <w:r w:rsidR="00B42E11" w:rsidRPr="002B212E">
        <w:rPr>
          <w:rFonts w:ascii="Tahoma" w:hAnsi="Tahoma" w:cs="Tahoma"/>
          <w:lang w:val="es-CO" w:eastAsia="en-US"/>
        </w:rPr>
        <w:t>Technologie</w:t>
      </w:r>
      <w:proofErr w:type="spellEnd"/>
      <w:r w:rsidR="00B42E11" w:rsidRPr="002B212E">
        <w:rPr>
          <w:rFonts w:ascii="Tahoma" w:hAnsi="Tahoma" w:cs="Tahoma"/>
          <w:lang w:val="es-CO" w:eastAsia="en-US"/>
        </w:rPr>
        <w:t xml:space="preserve"> </w:t>
      </w:r>
      <w:proofErr w:type="spellStart"/>
      <w:r w:rsidR="00B42E11" w:rsidRPr="002B212E">
        <w:rPr>
          <w:rFonts w:ascii="Tahoma" w:hAnsi="Tahoma" w:cs="Tahoma"/>
          <w:lang w:val="es-CO" w:eastAsia="en-US"/>
        </w:rPr>
        <w:t>Managed</w:t>
      </w:r>
      <w:proofErr w:type="spellEnd"/>
      <w:r w:rsidR="00B42E11" w:rsidRPr="002B212E">
        <w:rPr>
          <w:rFonts w:ascii="Tahoma" w:hAnsi="Tahoma" w:cs="Tahoma"/>
          <w:lang w:val="es-CO" w:eastAsia="en-US"/>
        </w:rPr>
        <w:t xml:space="preserve"> </w:t>
      </w:r>
      <w:proofErr w:type="spellStart"/>
      <w:r w:rsidR="00B42E11" w:rsidRPr="002B212E">
        <w:rPr>
          <w:rFonts w:ascii="Tahoma" w:hAnsi="Tahoma" w:cs="Tahoma"/>
          <w:lang w:val="es-CO" w:eastAsia="en-US"/>
        </w:rPr>
        <w:t>Service</w:t>
      </w:r>
      <w:proofErr w:type="spellEnd"/>
      <w:r w:rsidR="00B42E11" w:rsidRPr="002B212E">
        <w:rPr>
          <w:rFonts w:ascii="Tahoma" w:hAnsi="Tahoma" w:cs="Tahoma"/>
          <w:lang w:val="es-CO" w:eastAsia="en-US"/>
        </w:rPr>
        <w:t xml:space="preserve"> Colombia S.A.S.</w:t>
      </w:r>
      <w:r w:rsidRPr="002B212E">
        <w:rPr>
          <w:rFonts w:ascii="Tahoma" w:hAnsi="Tahoma" w:cs="Tahoma"/>
          <w:lang w:val="es-MX" w:eastAsia="en-US"/>
        </w:rPr>
        <w:t xml:space="preserve">, como empleador, </w:t>
      </w:r>
      <w:r w:rsidR="00670F7C" w:rsidRPr="002B212E">
        <w:rPr>
          <w:rFonts w:ascii="Tahoma" w:hAnsi="Tahoma" w:cs="Tahoma"/>
          <w:lang w:val="es-MX" w:eastAsia="en-US"/>
        </w:rPr>
        <w:t>existe un contrato de trabajo vigente desde el 22 de mayo de 2006, en virtud de sustituciones patronales.</w:t>
      </w:r>
    </w:p>
    <w:p w14:paraId="698802DD" w14:textId="77777777" w:rsidR="00141D8B" w:rsidRPr="002B212E" w:rsidRDefault="00141D8B" w:rsidP="002B212E">
      <w:pPr>
        <w:autoSpaceDE w:val="0"/>
        <w:autoSpaceDN w:val="0"/>
        <w:adjustRightInd w:val="0"/>
        <w:spacing w:line="276" w:lineRule="auto"/>
        <w:ind w:firstLine="851"/>
        <w:jc w:val="both"/>
        <w:rPr>
          <w:rFonts w:ascii="Tahoma" w:hAnsi="Tahoma" w:cs="Tahoma"/>
          <w:lang w:val="es-MX" w:eastAsia="en-US"/>
        </w:rPr>
      </w:pPr>
    </w:p>
    <w:p w14:paraId="21E2C6F5" w14:textId="6D943BF9" w:rsidR="00141D8B" w:rsidRPr="002B212E" w:rsidRDefault="00141D8B" w:rsidP="002B212E">
      <w:pPr>
        <w:autoSpaceDE w:val="0"/>
        <w:autoSpaceDN w:val="0"/>
        <w:adjustRightInd w:val="0"/>
        <w:spacing w:line="276" w:lineRule="auto"/>
        <w:ind w:firstLine="851"/>
        <w:jc w:val="both"/>
        <w:rPr>
          <w:rFonts w:ascii="Tahoma" w:eastAsia="Times New Roman" w:hAnsi="Tahoma" w:cs="Tahoma"/>
          <w:color w:val="000000"/>
          <w:lang w:val="es-CO"/>
        </w:rPr>
      </w:pPr>
      <w:r w:rsidRPr="002B212E">
        <w:rPr>
          <w:rFonts w:ascii="Tahoma" w:eastAsia="Times New Roman" w:hAnsi="Tahoma" w:cs="Tahoma"/>
          <w:color w:val="000000"/>
          <w:lang w:val="es-CO"/>
        </w:rPr>
        <w:t>Subsecuentemente, condenó</w:t>
      </w:r>
      <w:r w:rsidR="008D7E49" w:rsidRPr="002B212E">
        <w:rPr>
          <w:rFonts w:ascii="Tahoma" w:eastAsia="Times New Roman" w:hAnsi="Tahoma" w:cs="Tahoma"/>
          <w:color w:val="000000"/>
          <w:lang w:val="es-CO"/>
        </w:rPr>
        <w:t xml:space="preserve"> </w:t>
      </w:r>
      <w:r w:rsidRPr="002B212E">
        <w:rPr>
          <w:rFonts w:ascii="Tahoma" w:eastAsia="Times New Roman" w:hAnsi="Tahoma" w:cs="Tahoma"/>
          <w:color w:val="000000"/>
          <w:lang w:val="es-CO"/>
        </w:rPr>
        <w:t xml:space="preserve">a la </w:t>
      </w:r>
      <w:r w:rsidR="00670F7C" w:rsidRPr="002B212E">
        <w:rPr>
          <w:rFonts w:ascii="Tahoma" w:eastAsia="Times New Roman" w:hAnsi="Tahoma" w:cs="Tahoma"/>
          <w:color w:val="000000"/>
          <w:lang w:val="es-CO"/>
        </w:rPr>
        <w:t xml:space="preserve">demandada </w:t>
      </w:r>
      <w:r w:rsidRPr="002B212E">
        <w:rPr>
          <w:rFonts w:ascii="Tahoma" w:eastAsia="Times New Roman" w:hAnsi="Tahoma" w:cs="Tahoma"/>
          <w:color w:val="000000"/>
          <w:lang w:val="es-CO"/>
        </w:rPr>
        <w:t>a pagar a favor del demandante las siguientes sumas de dinero</w:t>
      </w:r>
      <w:r w:rsidR="00376343" w:rsidRPr="002B212E">
        <w:rPr>
          <w:rFonts w:ascii="Tahoma" w:eastAsia="Times New Roman" w:hAnsi="Tahoma" w:cs="Tahoma"/>
          <w:color w:val="000000"/>
          <w:lang w:val="es-CO"/>
        </w:rPr>
        <w:t>:</w:t>
      </w:r>
    </w:p>
    <w:p w14:paraId="33D2F4F3" w14:textId="77777777" w:rsidR="00376343" w:rsidRPr="002B212E" w:rsidRDefault="00376343" w:rsidP="002B212E">
      <w:pPr>
        <w:autoSpaceDE w:val="0"/>
        <w:autoSpaceDN w:val="0"/>
        <w:adjustRightInd w:val="0"/>
        <w:spacing w:line="276" w:lineRule="auto"/>
        <w:jc w:val="both"/>
        <w:rPr>
          <w:rFonts w:ascii="Tahoma" w:eastAsia="Times New Roman" w:hAnsi="Tahoma" w:cs="Tahoma"/>
          <w:color w:val="000000"/>
          <w:lang w:val="es-CO"/>
        </w:rPr>
      </w:pPr>
    </w:p>
    <w:p w14:paraId="3AE1F118" w14:textId="77777777" w:rsidR="00376343" w:rsidRPr="002B212E" w:rsidRDefault="00376343" w:rsidP="002B212E">
      <w:pPr>
        <w:pStyle w:val="Prrafodelista"/>
        <w:numPr>
          <w:ilvl w:val="0"/>
          <w:numId w:val="15"/>
        </w:numPr>
        <w:autoSpaceDE w:val="0"/>
        <w:autoSpaceDN w:val="0"/>
        <w:adjustRightInd w:val="0"/>
        <w:spacing w:line="276" w:lineRule="auto"/>
        <w:rPr>
          <w:rFonts w:eastAsiaTheme="minorHAnsi"/>
          <w:szCs w:val="24"/>
          <w:lang w:val="es-MX" w:eastAsia="en-US"/>
        </w:rPr>
      </w:pPr>
      <w:r w:rsidRPr="002B212E">
        <w:rPr>
          <w:rFonts w:eastAsiaTheme="minorHAnsi"/>
          <w:szCs w:val="24"/>
          <w:lang w:val="es-MX" w:eastAsia="en-US"/>
        </w:rPr>
        <w:t>Remuneración por disponibilidad: $20.563.759</w:t>
      </w:r>
    </w:p>
    <w:p w14:paraId="27A60755" w14:textId="77777777" w:rsidR="00771EF4" w:rsidRPr="002B212E" w:rsidRDefault="00376343" w:rsidP="002B212E">
      <w:pPr>
        <w:pStyle w:val="Prrafodelista"/>
        <w:numPr>
          <w:ilvl w:val="0"/>
          <w:numId w:val="15"/>
        </w:numPr>
        <w:autoSpaceDE w:val="0"/>
        <w:autoSpaceDN w:val="0"/>
        <w:adjustRightInd w:val="0"/>
        <w:spacing w:line="276" w:lineRule="auto"/>
        <w:rPr>
          <w:rFonts w:eastAsiaTheme="minorHAnsi"/>
          <w:szCs w:val="24"/>
          <w:lang w:val="es-MX" w:eastAsia="en-US"/>
        </w:rPr>
      </w:pPr>
      <w:r w:rsidRPr="002B212E">
        <w:rPr>
          <w:rFonts w:eastAsiaTheme="minorHAnsi"/>
          <w:szCs w:val="24"/>
          <w:lang w:val="es-MX" w:eastAsia="en-US"/>
        </w:rPr>
        <w:t>Reliquidación de cesantías</w:t>
      </w:r>
      <w:r w:rsidR="00771EF4" w:rsidRPr="002B212E">
        <w:rPr>
          <w:rFonts w:eastAsiaTheme="minorHAnsi"/>
          <w:szCs w:val="24"/>
          <w:lang w:val="es-MX" w:eastAsia="en-US"/>
        </w:rPr>
        <w:t>:</w:t>
      </w:r>
      <w:r w:rsidRPr="002B212E">
        <w:rPr>
          <w:rFonts w:eastAsiaTheme="minorHAnsi"/>
          <w:szCs w:val="24"/>
          <w:lang w:val="es-MX" w:eastAsia="en-US"/>
        </w:rPr>
        <w:t xml:space="preserve"> $1.429.501</w:t>
      </w:r>
    </w:p>
    <w:p w14:paraId="7E99559D" w14:textId="77777777" w:rsidR="00771EF4" w:rsidRPr="002B212E" w:rsidRDefault="00376343" w:rsidP="002B212E">
      <w:pPr>
        <w:pStyle w:val="Prrafodelista"/>
        <w:numPr>
          <w:ilvl w:val="0"/>
          <w:numId w:val="15"/>
        </w:numPr>
        <w:autoSpaceDE w:val="0"/>
        <w:autoSpaceDN w:val="0"/>
        <w:adjustRightInd w:val="0"/>
        <w:spacing w:line="276" w:lineRule="auto"/>
        <w:rPr>
          <w:rFonts w:eastAsiaTheme="minorHAnsi"/>
          <w:szCs w:val="24"/>
          <w:lang w:val="es-MX" w:eastAsia="en-US"/>
        </w:rPr>
      </w:pPr>
      <w:r w:rsidRPr="002B212E">
        <w:rPr>
          <w:rFonts w:eastAsiaTheme="minorHAnsi"/>
          <w:szCs w:val="24"/>
          <w:lang w:val="es-MX" w:eastAsia="en-US"/>
        </w:rPr>
        <w:t>Reliquidación intereses cesantías $ 229.228</w:t>
      </w:r>
    </w:p>
    <w:p w14:paraId="4CDAC7FD" w14:textId="77777777" w:rsidR="00771EF4" w:rsidRPr="002B212E" w:rsidRDefault="00376343" w:rsidP="002B212E">
      <w:pPr>
        <w:pStyle w:val="Prrafodelista"/>
        <w:numPr>
          <w:ilvl w:val="0"/>
          <w:numId w:val="15"/>
        </w:numPr>
        <w:autoSpaceDE w:val="0"/>
        <w:autoSpaceDN w:val="0"/>
        <w:adjustRightInd w:val="0"/>
        <w:spacing w:line="276" w:lineRule="auto"/>
        <w:rPr>
          <w:rFonts w:eastAsiaTheme="minorHAnsi"/>
          <w:szCs w:val="24"/>
          <w:lang w:val="es-MX" w:eastAsia="en-US"/>
        </w:rPr>
      </w:pPr>
      <w:r w:rsidRPr="002B212E">
        <w:rPr>
          <w:rFonts w:eastAsiaTheme="minorHAnsi"/>
          <w:szCs w:val="24"/>
          <w:lang w:val="es-MX" w:eastAsia="en-US"/>
        </w:rPr>
        <w:t>Reliquidación prima servicios $1.564.508</w:t>
      </w:r>
    </w:p>
    <w:p w14:paraId="722D9512" w14:textId="77777777" w:rsidR="00771EF4" w:rsidRPr="002B212E" w:rsidRDefault="00376343" w:rsidP="002B212E">
      <w:pPr>
        <w:pStyle w:val="Prrafodelista"/>
        <w:numPr>
          <w:ilvl w:val="0"/>
          <w:numId w:val="15"/>
        </w:numPr>
        <w:autoSpaceDE w:val="0"/>
        <w:autoSpaceDN w:val="0"/>
        <w:adjustRightInd w:val="0"/>
        <w:spacing w:line="276" w:lineRule="auto"/>
        <w:rPr>
          <w:rFonts w:eastAsiaTheme="minorHAnsi"/>
          <w:szCs w:val="24"/>
          <w:lang w:val="es-MX" w:eastAsia="en-US"/>
        </w:rPr>
      </w:pPr>
      <w:r w:rsidRPr="002B212E">
        <w:rPr>
          <w:rFonts w:eastAsiaTheme="minorHAnsi"/>
          <w:szCs w:val="24"/>
          <w:lang w:val="es-MX" w:eastAsia="en-US"/>
        </w:rPr>
        <w:t>Indemnización por no consignación de cesantía año 2016 $48.603.000</w:t>
      </w:r>
    </w:p>
    <w:p w14:paraId="58D202B8" w14:textId="360804D7" w:rsidR="00376343" w:rsidRPr="002B212E" w:rsidRDefault="00376343" w:rsidP="002B212E">
      <w:pPr>
        <w:pStyle w:val="Prrafodelista"/>
        <w:numPr>
          <w:ilvl w:val="0"/>
          <w:numId w:val="15"/>
        </w:numPr>
        <w:autoSpaceDE w:val="0"/>
        <w:autoSpaceDN w:val="0"/>
        <w:adjustRightInd w:val="0"/>
        <w:spacing w:line="276" w:lineRule="auto"/>
        <w:rPr>
          <w:rFonts w:eastAsiaTheme="minorHAnsi"/>
          <w:szCs w:val="24"/>
          <w:lang w:val="es-MX" w:eastAsia="en-US"/>
        </w:rPr>
      </w:pPr>
      <w:r w:rsidRPr="002B212E">
        <w:rPr>
          <w:rFonts w:eastAsiaTheme="minorHAnsi"/>
          <w:szCs w:val="24"/>
          <w:lang w:val="es-MX" w:eastAsia="en-US"/>
        </w:rPr>
        <w:t>Indemnización por no consignación de cesantía año 2017: un salario diario</w:t>
      </w:r>
      <w:r w:rsidR="00771EF4" w:rsidRPr="002B212E">
        <w:rPr>
          <w:rFonts w:eastAsiaTheme="minorHAnsi"/>
          <w:szCs w:val="24"/>
          <w:lang w:val="es-MX" w:eastAsia="en-US"/>
        </w:rPr>
        <w:t xml:space="preserve"> </w:t>
      </w:r>
      <w:r w:rsidRPr="002B212E">
        <w:rPr>
          <w:rFonts w:eastAsiaTheme="minorHAnsi"/>
          <w:szCs w:val="24"/>
          <w:lang w:val="es-MX" w:eastAsia="en-US"/>
        </w:rPr>
        <w:t>de $166.775 desde el 15/02/2018 y hasta la fecha en que se acredite la</w:t>
      </w:r>
      <w:r w:rsidR="00771EF4" w:rsidRPr="002B212E">
        <w:rPr>
          <w:rFonts w:eastAsiaTheme="minorHAnsi"/>
          <w:szCs w:val="24"/>
          <w:lang w:val="es-MX" w:eastAsia="en-US"/>
        </w:rPr>
        <w:t xml:space="preserve"> </w:t>
      </w:r>
      <w:r w:rsidRPr="002B212E">
        <w:rPr>
          <w:rFonts w:eastAsiaTheme="minorHAnsi"/>
          <w:szCs w:val="24"/>
          <w:lang w:val="es-MX" w:eastAsia="en-US"/>
        </w:rPr>
        <w:t>consignación efectiva de tal auxilio en el fondo de cesantías al que está afiliado el demandante o</w:t>
      </w:r>
      <w:r w:rsidR="0000678C" w:rsidRPr="002B212E">
        <w:rPr>
          <w:rFonts w:eastAsiaTheme="minorHAnsi"/>
          <w:szCs w:val="24"/>
          <w:lang w:val="es-MX" w:eastAsia="en-US"/>
        </w:rPr>
        <w:t>,</w:t>
      </w:r>
      <w:r w:rsidRPr="002B212E">
        <w:rPr>
          <w:rFonts w:eastAsiaTheme="minorHAnsi"/>
          <w:szCs w:val="24"/>
          <w:lang w:val="es-MX" w:eastAsia="en-US"/>
        </w:rPr>
        <w:t xml:space="preserve"> en su defecto, hasta la terminación del contrato de trabajo celebrado con este, sin que se entienda que puede haber concurrencia con otra sanción por el período adeudado. A la fecha de esta sentencia la precitada sanción asciende a $243.324.725.</w:t>
      </w:r>
    </w:p>
    <w:p w14:paraId="28841AAB" w14:textId="77777777" w:rsidR="002D3247" w:rsidRPr="002B212E" w:rsidRDefault="002D3247" w:rsidP="002B212E">
      <w:pPr>
        <w:autoSpaceDE w:val="0"/>
        <w:autoSpaceDN w:val="0"/>
        <w:adjustRightInd w:val="0"/>
        <w:spacing w:line="276" w:lineRule="auto"/>
        <w:jc w:val="both"/>
        <w:rPr>
          <w:rFonts w:ascii="Tahoma" w:hAnsi="Tahoma" w:cs="Tahoma"/>
          <w:lang w:val="es-MX" w:eastAsia="en-US"/>
        </w:rPr>
      </w:pPr>
    </w:p>
    <w:p w14:paraId="1290A346" w14:textId="6CAE851E" w:rsidR="000B1311" w:rsidRPr="002B212E" w:rsidRDefault="002D3247" w:rsidP="002B212E">
      <w:pPr>
        <w:autoSpaceDE w:val="0"/>
        <w:autoSpaceDN w:val="0"/>
        <w:adjustRightInd w:val="0"/>
        <w:spacing w:line="276" w:lineRule="auto"/>
        <w:ind w:firstLine="708"/>
        <w:jc w:val="both"/>
        <w:rPr>
          <w:rFonts w:ascii="Tahoma" w:hAnsi="Tahoma" w:cs="Tahoma"/>
          <w:lang w:val="es-MX" w:eastAsia="en-US"/>
        </w:rPr>
      </w:pPr>
      <w:r w:rsidRPr="002B212E">
        <w:rPr>
          <w:rFonts w:ascii="Tahoma" w:hAnsi="Tahoma" w:cs="Tahoma"/>
          <w:lang w:val="es-MX" w:eastAsia="en-US"/>
        </w:rPr>
        <w:t xml:space="preserve">Asimismo, condenó a la demandada a pagar </w:t>
      </w:r>
      <w:r w:rsidR="007C4C44" w:rsidRPr="002B212E">
        <w:rPr>
          <w:rFonts w:ascii="Tahoma" w:hAnsi="Tahoma" w:cs="Tahoma"/>
          <w:lang w:val="es-MX" w:eastAsia="en-US"/>
        </w:rPr>
        <w:t>la</w:t>
      </w:r>
      <w:r w:rsidRPr="002B212E">
        <w:rPr>
          <w:rFonts w:ascii="Tahoma" w:hAnsi="Tahoma" w:cs="Tahoma"/>
          <w:lang w:val="es-MX" w:eastAsia="en-US"/>
        </w:rPr>
        <w:t xml:space="preserve"> diferencia en el aporte a pensión de los ciclos referenciados en la parte motiva de </w:t>
      </w:r>
      <w:r w:rsidR="007C4C44" w:rsidRPr="002B212E">
        <w:rPr>
          <w:rFonts w:ascii="Tahoma" w:hAnsi="Tahoma" w:cs="Tahoma"/>
          <w:lang w:val="es-MX" w:eastAsia="en-US"/>
        </w:rPr>
        <w:t xml:space="preserve">la </w:t>
      </w:r>
      <w:r w:rsidRPr="002B212E">
        <w:rPr>
          <w:rFonts w:ascii="Tahoma" w:hAnsi="Tahoma" w:cs="Tahoma"/>
          <w:lang w:val="es-MX" w:eastAsia="en-US"/>
        </w:rPr>
        <w:t xml:space="preserve">sentencia y con la diferencia en el </w:t>
      </w:r>
      <w:r w:rsidR="007C4C44" w:rsidRPr="002B212E">
        <w:rPr>
          <w:rFonts w:ascii="Tahoma" w:hAnsi="Tahoma" w:cs="Tahoma"/>
          <w:lang w:val="es-MX" w:eastAsia="en-US"/>
        </w:rPr>
        <w:t>IBC</w:t>
      </w:r>
      <w:r w:rsidRPr="002B212E">
        <w:rPr>
          <w:rFonts w:ascii="Tahoma" w:hAnsi="Tahoma" w:cs="Tahoma"/>
          <w:lang w:val="es-MX" w:eastAsia="en-US"/>
        </w:rPr>
        <w:t xml:space="preserve"> reportada para cada periodo</w:t>
      </w:r>
      <w:r w:rsidR="0000678C" w:rsidRPr="002B212E">
        <w:rPr>
          <w:rFonts w:ascii="Tahoma" w:hAnsi="Tahoma" w:cs="Tahoma"/>
          <w:lang w:val="es-MX" w:eastAsia="en-US"/>
        </w:rPr>
        <w:t>,</w:t>
      </w:r>
      <w:r w:rsidRPr="002B212E">
        <w:rPr>
          <w:rFonts w:ascii="Tahoma" w:hAnsi="Tahoma" w:cs="Tahoma"/>
          <w:lang w:val="es-MX" w:eastAsia="en-US"/>
        </w:rPr>
        <w:t xml:space="preserve"> según cuadro anexo que hace parte integral de la sentencia y que se hará al fondo de pensiones al que se encuentre afiliado el demandante</w:t>
      </w:r>
    </w:p>
    <w:p w14:paraId="4AA17B6F" w14:textId="77777777" w:rsidR="007C4C44" w:rsidRPr="002B212E" w:rsidRDefault="007C4C44" w:rsidP="002B212E">
      <w:pPr>
        <w:autoSpaceDE w:val="0"/>
        <w:autoSpaceDN w:val="0"/>
        <w:adjustRightInd w:val="0"/>
        <w:spacing w:line="276" w:lineRule="auto"/>
        <w:ind w:firstLine="708"/>
        <w:jc w:val="both"/>
        <w:rPr>
          <w:rFonts w:ascii="Tahoma" w:hAnsi="Tahoma" w:cs="Tahoma"/>
          <w:lang w:val="es-MX" w:eastAsia="en-US"/>
        </w:rPr>
      </w:pPr>
    </w:p>
    <w:p w14:paraId="6906703B" w14:textId="5A7FAD0C" w:rsidR="007C4C44" w:rsidRPr="002B212E" w:rsidRDefault="007C4C44" w:rsidP="002B212E">
      <w:pPr>
        <w:autoSpaceDE w:val="0"/>
        <w:autoSpaceDN w:val="0"/>
        <w:adjustRightInd w:val="0"/>
        <w:spacing w:line="276" w:lineRule="auto"/>
        <w:ind w:firstLine="708"/>
        <w:jc w:val="both"/>
        <w:rPr>
          <w:rFonts w:ascii="Tahoma" w:hAnsi="Tahoma" w:cs="Tahoma"/>
          <w:lang w:val="es-MX" w:eastAsia="en-US"/>
        </w:rPr>
      </w:pPr>
      <w:r w:rsidRPr="002B212E">
        <w:rPr>
          <w:rFonts w:ascii="Tahoma" w:hAnsi="Tahoma" w:cs="Tahoma"/>
          <w:lang w:val="es-MX" w:eastAsia="en-US"/>
        </w:rPr>
        <w:t>Por último, condenó en costas a la parte demandada y en favor de la demandante, y fijó las agencias e</w:t>
      </w:r>
      <w:r w:rsidR="00BA30BC" w:rsidRPr="002B212E">
        <w:rPr>
          <w:rFonts w:ascii="Tahoma" w:hAnsi="Tahoma" w:cs="Tahoma"/>
          <w:lang w:val="es-MX" w:eastAsia="en-US"/>
        </w:rPr>
        <w:t>n</w:t>
      </w:r>
      <w:r w:rsidRPr="002B212E">
        <w:rPr>
          <w:rFonts w:ascii="Tahoma" w:hAnsi="Tahoma" w:cs="Tahoma"/>
          <w:lang w:val="es-MX" w:eastAsia="en-US"/>
        </w:rPr>
        <w:t xml:space="preserve"> derecho en un 4%</w:t>
      </w:r>
      <w:r w:rsidR="00BA30BC" w:rsidRPr="002B212E">
        <w:rPr>
          <w:rFonts w:ascii="Tahoma" w:hAnsi="Tahoma" w:cs="Tahoma"/>
          <w:lang w:val="es-MX" w:eastAsia="en-US"/>
        </w:rPr>
        <w:t xml:space="preserve"> del valor de las pretensiones reconocidas.</w:t>
      </w:r>
    </w:p>
    <w:p w14:paraId="73485A09" w14:textId="77777777" w:rsidR="00141D8B" w:rsidRPr="002B212E" w:rsidRDefault="00141D8B" w:rsidP="002B212E">
      <w:pPr>
        <w:spacing w:line="276" w:lineRule="auto"/>
        <w:ind w:firstLine="851"/>
        <w:jc w:val="both"/>
        <w:rPr>
          <w:rFonts w:ascii="Tahoma" w:eastAsia="Times New Roman" w:hAnsi="Tahoma" w:cs="Tahoma"/>
          <w:color w:val="000000"/>
          <w:lang w:val="es-CO"/>
        </w:rPr>
      </w:pPr>
    </w:p>
    <w:p w14:paraId="31984317" w14:textId="1F54100C" w:rsidR="00ED479A" w:rsidRPr="002B212E" w:rsidRDefault="00ED479A" w:rsidP="002B212E">
      <w:pPr>
        <w:pStyle w:val="paragraph"/>
        <w:spacing w:before="0" w:beforeAutospacing="0" w:after="0" w:afterAutospacing="0" w:line="276" w:lineRule="auto"/>
        <w:ind w:firstLine="708"/>
        <w:jc w:val="both"/>
        <w:textAlignment w:val="baseline"/>
        <w:rPr>
          <w:rStyle w:val="normaltextrun"/>
          <w:rFonts w:ascii="Tahoma" w:hAnsi="Tahoma" w:cs="Tahoma"/>
        </w:rPr>
      </w:pPr>
      <w:r w:rsidRPr="002B212E">
        <w:rPr>
          <w:rStyle w:val="normaltextrun"/>
          <w:rFonts w:ascii="Tahoma" w:hAnsi="Tahoma" w:cs="Tahoma"/>
        </w:rPr>
        <w:t xml:space="preserve">Para llegar a tal determinación, </w:t>
      </w:r>
      <w:r w:rsidR="003F18CD" w:rsidRPr="002B212E">
        <w:rPr>
          <w:rStyle w:val="normaltextrun"/>
          <w:rFonts w:ascii="Tahoma" w:hAnsi="Tahoma" w:cs="Tahoma"/>
        </w:rPr>
        <w:t>indicó que la relación laboral estaba plenamente demostrada por se</w:t>
      </w:r>
      <w:r w:rsidR="0000678C" w:rsidRPr="002B212E">
        <w:rPr>
          <w:rStyle w:val="normaltextrun"/>
          <w:rFonts w:ascii="Tahoma" w:hAnsi="Tahoma" w:cs="Tahoma"/>
        </w:rPr>
        <w:t>r</w:t>
      </w:r>
      <w:r w:rsidR="003F18CD" w:rsidRPr="002B212E">
        <w:rPr>
          <w:rStyle w:val="normaltextrun"/>
          <w:rFonts w:ascii="Tahoma" w:hAnsi="Tahoma" w:cs="Tahoma"/>
        </w:rPr>
        <w:t xml:space="preserve"> un hec</w:t>
      </w:r>
      <w:r w:rsidR="0000678C" w:rsidRPr="002B212E">
        <w:rPr>
          <w:rStyle w:val="normaltextrun"/>
          <w:rFonts w:ascii="Tahoma" w:hAnsi="Tahoma" w:cs="Tahoma"/>
        </w:rPr>
        <w:t>ho aceptado por la contraparte, que tiene respaldo en la documental aportada al plenario, especialmente</w:t>
      </w:r>
      <w:r w:rsidR="005675C6" w:rsidRPr="002B212E">
        <w:rPr>
          <w:rStyle w:val="normaltextrun"/>
          <w:rFonts w:ascii="Tahoma" w:hAnsi="Tahoma" w:cs="Tahoma"/>
        </w:rPr>
        <w:t xml:space="preserve"> los documentos visibles a folios 9, 10 y 11 del expediente digitalizado. </w:t>
      </w:r>
    </w:p>
    <w:p w14:paraId="18B72675" w14:textId="77777777" w:rsidR="005675C6" w:rsidRPr="002B212E" w:rsidRDefault="005675C6" w:rsidP="002B212E">
      <w:pPr>
        <w:pStyle w:val="paragraph"/>
        <w:spacing w:before="0" w:beforeAutospacing="0" w:after="0" w:afterAutospacing="0" w:line="276" w:lineRule="auto"/>
        <w:ind w:firstLine="360"/>
        <w:jc w:val="both"/>
        <w:textAlignment w:val="baseline"/>
        <w:rPr>
          <w:rStyle w:val="normaltextrun"/>
          <w:rFonts w:ascii="Tahoma" w:hAnsi="Tahoma" w:cs="Tahoma"/>
        </w:rPr>
      </w:pPr>
    </w:p>
    <w:p w14:paraId="6C8B1FAE" w14:textId="76F86809" w:rsidR="005675C6" w:rsidRPr="002B212E" w:rsidRDefault="005675C6" w:rsidP="002B212E">
      <w:pPr>
        <w:pStyle w:val="paragraph"/>
        <w:spacing w:before="0" w:beforeAutospacing="0" w:after="0" w:afterAutospacing="0" w:line="276" w:lineRule="auto"/>
        <w:ind w:firstLine="708"/>
        <w:jc w:val="both"/>
        <w:textAlignment w:val="baseline"/>
        <w:rPr>
          <w:rFonts w:ascii="Tahoma" w:hAnsi="Tahoma" w:cs="Tahoma"/>
          <w:lang w:val="es"/>
        </w:rPr>
      </w:pPr>
      <w:r w:rsidRPr="002B212E">
        <w:rPr>
          <w:rStyle w:val="normaltextrun"/>
          <w:rFonts w:ascii="Tahoma" w:hAnsi="Tahoma" w:cs="Tahoma"/>
        </w:rPr>
        <w:t>En cuanto a los salarios devengados</w:t>
      </w:r>
      <w:r w:rsidR="0000678C" w:rsidRPr="002B212E">
        <w:rPr>
          <w:rStyle w:val="normaltextrun"/>
          <w:rFonts w:ascii="Tahoma" w:hAnsi="Tahoma" w:cs="Tahoma"/>
        </w:rPr>
        <w:t>,</w:t>
      </w:r>
      <w:r w:rsidRPr="002B212E">
        <w:rPr>
          <w:rStyle w:val="normaltextrun"/>
          <w:rFonts w:ascii="Tahoma" w:hAnsi="Tahoma" w:cs="Tahoma"/>
        </w:rPr>
        <w:t xml:space="preserve"> con la contestación de la demanda dio por acreditados los siguientes: para el año 2006 $2.</w:t>
      </w:r>
      <w:r w:rsidR="00D265FB" w:rsidRPr="002B212E">
        <w:rPr>
          <w:rStyle w:val="normaltextrun"/>
          <w:rFonts w:ascii="Tahoma" w:hAnsi="Tahoma" w:cs="Tahoma"/>
        </w:rPr>
        <w:t>031</w:t>
      </w:r>
      <w:r w:rsidR="009B7A00" w:rsidRPr="002B212E">
        <w:rPr>
          <w:rStyle w:val="normaltextrun"/>
          <w:rFonts w:ascii="Tahoma" w:hAnsi="Tahoma" w:cs="Tahoma"/>
        </w:rPr>
        <w:t>.</w:t>
      </w:r>
      <w:r w:rsidR="00D265FB" w:rsidRPr="002B212E">
        <w:rPr>
          <w:rStyle w:val="normaltextrun"/>
          <w:rFonts w:ascii="Tahoma" w:hAnsi="Tahoma" w:cs="Tahoma"/>
        </w:rPr>
        <w:t xml:space="preserve">829 </w:t>
      </w:r>
      <w:r w:rsidR="00A76A60" w:rsidRPr="002B212E">
        <w:rPr>
          <w:rStyle w:val="normaltextrun"/>
          <w:rFonts w:ascii="Tahoma" w:hAnsi="Tahoma" w:cs="Tahoma"/>
        </w:rPr>
        <w:t>(</w:t>
      </w:r>
      <w:r w:rsidR="00D265FB" w:rsidRPr="002B212E">
        <w:rPr>
          <w:rStyle w:val="normaltextrun"/>
          <w:rFonts w:ascii="Tahoma" w:hAnsi="Tahoma" w:cs="Tahoma"/>
        </w:rPr>
        <w:t xml:space="preserve">folio </w:t>
      </w:r>
      <w:r w:rsidR="00052814" w:rsidRPr="002B212E">
        <w:rPr>
          <w:rStyle w:val="normaltextrun"/>
          <w:rFonts w:ascii="Tahoma" w:hAnsi="Tahoma" w:cs="Tahoma"/>
        </w:rPr>
        <w:t>168</w:t>
      </w:r>
      <w:r w:rsidR="00A76A60" w:rsidRPr="002B212E">
        <w:rPr>
          <w:rStyle w:val="normaltextrun"/>
          <w:rFonts w:ascii="Tahoma" w:hAnsi="Tahoma" w:cs="Tahoma"/>
        </w:rPr>
        <w:t>)</w:t>
      </w:r>
      <w:r w:rsidR="00052814" w:rsidRPr="002B212E">
        <w:rPr>
          <w:rStyle w:val="normaltextrun"/>
          <w:rFonts w:ascii="Tahoma" w:hAnsi="Tahoma" w:cs="Tahoma"/>
        </w:rPr>
        <w:t xml:space="preserve">, para el año 2013 </w:t>
      </w:r>
      <w:r w:rsidR="00052814" w:rsidRPr="002B212E">
        <w:rPr>
          <w:rFonts w:ascii="Tahoma" w:hAnsi="Tahoma" w:cs="Tahoma"/>
          <w:lang w:val="es"/>
        </w:rPr>
        <w:t xml:space="preserve">$3.558.641 pesos (folio 11) para el año 2014, </w:t>
      </w:r>
      <w:r w:rsidR="00786DAA" w:rsidRPr="002B212E">
        <w:rPr>
          <w:rFonts w:ascii="Tahoma" w:hAnsi="Tahoma" w:cs="Tahoma"/>
          <w:lang w:val="es"/>
        </w:rPr>
        <w:t>$ 2.359.</w:t>
      </w:r>
      <w:r w:rsidR="00A76A60" w:rsidRPr="002B212E">
        <w:rPr>
          <w:rFonts w:ascii="Tahoma" w:hAnsi="Tahoma" w:cs="Tahoma"/>
          <w:lang w:val="es"/>
        </w:rPr>
        <w:t>379</w:t>
      </w:r>
      <w:r w:rsidR="00786DAA" w:rsidRPr="002B212E">
        <w:rPr>
          <w:rFonts w:ascii="Tahoma" w:hAnsi="Tahoma" w:cs="Tahoma"/>
          <w:lang w:val="es"/>
        </w:rPr>
        <w:t>+</w:t>
      </w:r>
      <w:r w:rsidR="00A76A60" w:rsidRPr="002B212E">
        <w:rPr>
          <w:rFonts w:ascii="Tahoma" w:hAnsi="Tahoma" w:cs="Tahoma"/>
          <w:lang w:val="es"/>
        </w:rPr>
        <w:t xml:space="preserve"> $1</w:t>
      </w:r>
      <w:r w:rsidR="009D6F97" w:rsidRPr="002B212E">
        <w:rPr>
          <w:rFonts w:ascii="Tahoma" w:hAnsi="Tahoma" w:cs="Tahoma"/>
          <w:lang w:val="es"/>
        </w:rPr>
        <w:t>.219.617</w:t>
      </w:r>
      <w:r w:rsidR="00A741E9" w:rsidRPr="002B212E">
        <w:rPr>
          <w:rFonts w:ascii="Tahoma" w:hAnsi="Tahoma" w:cs="Tahoma"/>
          <w:lang w:val="es"/>
        </w:rPr>
        <w:t xml:space="preserve"> </w:t>
      </w:r>
      <w:r w:rsidR="000D7172" w:rsidRPr="002B212E">
        <w:rPr>
          <w:rFonts w:ascii="Tahoma" w:hAnsi="Tahoma" w:cs="Tahoma"/>
          <w:lang w:val="es"/>
        </w:rPr>
        <w:t>como Plan Educativo Auxilio Monetario</w:t>
      </w:r>
      <w:r w:rsidR="009D6F97" w:rsidRPr="002B212E">
        <w:rPr>
          <w:rFonts w:ascii="Tahoma" w:hAnsi="Tahoma" w:cs="Tahoma"/>
          <w:lang w:val="es"/>
        </w:rPr>
        <w:t xml:space="preserve"> (folio 13, 15), para el año 2015</w:t>
      </w:r>
      <w:r w:rsidR="009106C3" w:rsidRPr="002B212E">
        <w:rPr>
          <w:rFonts w:ascii="Tahoma" w:hAnsi="Tahoma" w:cs="Tahoma"/>
          <w:lang w:val="es"/>
        </w:rPr>
        <w:t xml:space="preserve"> $2.</w:t>
      </w:r>
      <w:r w:rsidR="00064344" w:rsidRPr="002B212E">
        <w:rPr>
          <w:rFonts w:ascii="Tahoma" w:hAnsi="Tahoma" w:cs="Tahoma"/>
          <w:lang w:val="es"/>
        </w:rPr>
        <w:t>477.800</w:t>
      </w:r>
      <w:r w:rsidR="009106C3" w:rsidRPr="002B212E">
        <w:rPr>
          <w:rFonts w:ascii="Tahoma" w:hAnsi="Tahoma" w:cs="Tahoma"/>
          <w:lang w:val="es"/>
        </w:rPr>
        <w:t xml:space="preserve">+$1.569.908 </w:t>
      </w:r>
      <w:r w:rsidR="00A741E9" w:rsidRPr="002B212E">
        <w:rPr>
          <w:rFonts w:ascii="Tahoma" w:hAnsi="Tahoma" w:cs="Tahoma"/>
          <w:lang w:val="es"/>
        </w:rPr>
        <w:t>no salarial (folio 12)</w:t>
      </w:r>
      <w:r w:rsidR="008A2501" w:rsidRPr="002B212E">
        <w:rPr>
          <w:rFonts w:ascii="Tahoma" w:hAnsi="Tahoma" w:cs="Tahoma"/>
          <w:lang w:val="es"/>
        </w:rPr>
        <w:t xml:space="preserve">, para el año 2018 $4.036.908 (folio 9). </w:t>
      </w:r>
    </w:p>
    <w:p w14:paraId="0522880D" w14:textId="77777777" w:rsidR="00A00127" w:rsidRPr="002B212E" w:rsidRDefault="00A00127" w:rsidP="002B212E">
      <w:pPr>
        <w:pStyle w:val="paragraph"/>
        <w:spacing w:before="0" w:beforeAutospacing="0" w:after="0" w:afterAutospacing="0" w:line="276" w:lineRule="auto"/>
        <w:ind w:firstLine="708"/>
        <w:jc w:val="both"/>
        <w:textAlignment w:val="baseline"/>
        <w:rPr>
          <w:rFonts w:ascii="Tahoma" w:hAnsi="Tahoma" w:cs="Tahoma"/>
          <w:lang w:val="es"/>
        </w:rPr>
      </w:pPr>
    </w:p>
    <w:p w14:paraId="3D12F41A" w14:textId="44AE6C7F" w:rsidR="00BA12F3" w:rsidRPr="002B212E" w:rsidRDefault="00CC059A" w:rsidP="002B212E">
      <w:pPr>
        <w:pStyle w:val="paragraph"/>
        <w:spacing w:before="0" w:beforeAutospacing="0" w:after="0" w:afterAutospacing="0" w:line="276" w:lineRule="auto"/>
        <w:ind w:firstLine="708"/>
        <w:jc w:val="both"/>
        <w:textAlignment w:val="baseline"/>
        <w:rPr>
          <w:rStyle w:val="normaltextrun"/>
          <w:rFonts w:ascii="Tahoma" w:hAnsi="Tahoma" w:cs="Tahoma"/>
        </w:rPr>
      </w:pPr>
      <w:r w:rsidRPr="002B212E">
        <w:rPr>
          <w:rStyle w:val="normaltextrun"/>
          <w:rFonts w:ascii="Tahoma" w:hAnsi="Tahoma" w:cs="Tahoma"/>
        </w:rPr>
        <w:lastRenderedPageBreak/>
        <w:t>R</w:t>
      </w:r>
      <w:r w:rsidR="00ED479A" w:rsidRPr="002B212E">
        <w:rPr>
          <w:rStyle w:val="normaltextrun"/>
          <w:rFonts w:ascii="Tahoma" w:hAnsi="Tahoma" w:cs="Tahoma"/>
        </w:rPr>
        <w:t xml:space="preserve">especto a la </w:t>
      </w:r>
      <w:proofErr w:type="spellStart"/>
      <w:r w:rsidR="00ED479A" w:rsidRPr="002B212E">
        <w:rPr>
          <w:rStyle w:val="normaltextrun"/>
          <w:rFonts w:ascii="Tahoma" w:hAnsi="Tahoma" w:cs="Tahoma"/>
        </w:rPr>
        <w:t>desalarización</w:t>
      </w:r>
      <w:proofErr w:type="spellEnd"/>
      <w:r w:rsidR="00ED479A" w:rsidRPr="002B212E">
        <w:rPr>
          <w:rStyle w:val="normaltextrun"/>
          <w:rFonts w:ascii="Tahoma" w:hAnsi="Tahoma" w:cs="Tahoma"/>
        </w:rPr>
        <w:t xml:space="preserve"> alegada por la parte demandante </w:t>
      </w:r>
      <w:r w:rsidR="006A7495" w:rsidRPr="002B212E">
        <w:rPr>
          <w:rStyle w:val="normaltextrun"/>
          <w:rFonts w:ascii="Tahoma" w:hAnsi="Tahoma" w:cs="Tahoma"/>
        </w:rPr>
        <w:t xml:space="preserve">afirmó </w:t>
      </w:r>
      <w:r w:rsidR="00A00127" w:rsidRPr="002B212E">
        <w:rPr>
          <w:rStyle w:val="normaltextrun"/>
          <w:rFonts w:ascii="Tahoma" w:hAnsi="Tahoma" w:cs="Tahoma"/>
        </w:rPr>
        <w:t>que según las nóminas aportadas de folios 12 a 14 y del extracto emitido por Colfondo</w:t>
      </w:r>
      <w:r w:rsidR="00E27471" w:rsidRPr="002B212E">
        <w:rPr>
          <w:rStyle w:val="normaltextrun"/>
          <w:rFonts w:ascii="Tahoma" w:hAnsi="Tahoma" w:cs="Tahoma"/>
        </w:rPr>
        <w:t>s</w:t>
      </w:r>
      <w:r w:rsidR="006A7495" w:rsidRPr="002B212E">
        <w:rPr>
          <w:rStyle w:val="normaltextrun"/>
          <w:rFonts w:ascii="Tahoma" w:hAnsi="Tahoma" w:cs="Tahoma"/>
        </w:rPr>
        <w:t xml:space="preserve"> desde agosto de 2014 y hasta junio de 2015 el demandante percibió dos sumas de dinero, </w:t>
      </w:r>
      <w:r w:rsidR="00C8520E" w:rsidRPr="002B212E">
        <w:rPr>
          <w:rStyle w:val="normaltextrun"/>
          <w:rFonts w:ascii="Tahoma" w:hAnsi="Tahoma" w:cs="Tahoma"/>
        </w:rPr>
        <w:t>una constitutiva de salario y la otra como concepto no salarial.</w:t>
      </w:r>
      <w:r w:rsidR="0081004F" w:rsidRPr="002B212E">
        <w:rPr>
          <w:rStyle w:val="normaltextrun"/>
          <w:rFonts w:ascii="Tahoma" w:hAnsi="Tahoma" w:cs="Tahoma"/>
        </w:rPr>
        <w:t xml:space="preserve"> Desestimó las razones de la defensa encami</w:t>
      </w:r>
      <w:r w:rsidR="0000678C" w:rsidRPr="002B212E">
        <w:rPr>
          <w:rStyle w:val="normaltextrun"/>
          <w:rFonts w:ascii="Tahoma" w:hAnsi="Tahoma" w:cs="Tahoma"/>
        </w:rPr>
        <w:t>nadas a la suscripción de un pac</w:t>
      </w:r>
      <w:r w:rsidR="0081004F" w:rsidRPr="002B212E">
        <w:rPr>
          <w:rStyle w:val="normaltextrun"/>
          <w:rFonts w:ascii="Tahoma" w:hAnsi="Tahoma" w:cs="Tahoma"/>
        </w:rPr>
        <w:t xml:space="preserve">to </w:t>
      </w:r>
      <w:r w:rsidR="00ED479A" w:rsidRPr="002B212E">
        <w:rPr>
          <w:rStyle w:val="normaltextrun"/>
          <w:rFonts w:ascii="Tahoma" w:hAnsi="Tahoma" w:cs="Tahoma"/>
        </w:rPr>
        <w:t>de jornada laboral flexible contenido en el artículo 51 de la Ley 789 del 2002,</w:t>
      </w:r>
      <w:r w:rsidR="00E27471" w:rsidRPr="002B212E">
        <w:rPr>
          <w:rStyle w:val="normaltextrun"/>
          <w:rFonts w:ascii="Tahoma" w:hAnsi="Tahoma" w:cs="Tahoma"/>
        </w:rPr>
        <w:t xml:space="preserve"> porque </w:t>
      </w:r>
      <w:r w:rsidR="006F3229" w:rsidRPr="002B212E">
        <w:rPr>
          <w:rStyle w:val="normaltextrun"/>
          <w:rFonts w:ascii="Tahoma" w:hAnsi="Tahoma" w:cs="Tahoma"/>
        </w:rPr>
        <w:t>en el parágrafo del contrato para hacer uso de dicha jornada el empleador se obligó a comunicar al trabajador</w:t>
      </w:r>
      <w:r w:rsidR="0000678C" w:rsidRPr="002B212E">
        <w:rPr>
          <w:rStyle w:val="normaltextrun"/>
          <w:rFonts w:ascii="Tahoma" w:hAnsi="Tahoma" w:cs="Tahoma"/>
        </w:rPr>
        <w:t xml:space="preserve"> un</w:t>
      </w:r>
      <w:r w:rsidR="006F3229" w:rsidRPr="002B212E">
        <w:rPr>
          <w:rStyle w:val="normaltextrun"/>
          <w:rFonts w:ascii="Tahoma" w:hAnsi="Tahoma" w:cs="Tahoma"/>
        </w:rPr>
        <w:t xml:space="preserve"> otro </w:t>
      </w:r>
      <w:proofErr w:type="spellStart"/>
      <w:r w:rsidR="006F3229" w:rsidRPr="002B212E">
        <w:rPr>
          <w:rStyle w:val="normaltextrun"/>
          <w:rFonts w:ascii="Tahoma" w:hAnsi="Tahoma" w:cs="Tahoma"/>
        </w:rPr>
        <w:t>si</w:t>
      </w:r>
      <w:proofErr w:type="spellEnd"/>
      <w:r w:rsidR="006F3229" w:rsidRPr="002B212E">
        <w:rPr>
          <w:rStyle w:val="normaltextrun"/>
          <w:rFonts w:ascii="Tahoma" w:hAnsi="Tahoma" w:cs="Tahoma"/>
        </w:rPr>
        <w:t xml:space="preserve">, que no trajo a juicio la demandada. </w:t>
      </w:r>
      <w:r w:rsidR="00FE5B68" w:rsidRPr="002B212E">
        <w:rPr>
          <w:rStyle w:val="normaltextrun"/>
          <w:rFonts w:ascii="Tahoma" w:hAnsi="Tahoma" w:cs="Tahoma"/>
        </w:rPr>
        <w:t xml:space="preserve">Narró que para los años 2014 y 2015 </w:t>
      </w:r>
      <w:r w:rsidR="005552AE" w:rsidRPr="002B212E">
        <w:rPr>
          <w:rStyle w:val="normaltextrun"/>
          <w:rFonts w:ascii="Tahoma" w:hAnsi="Tahoma" w:cs="Tahoma"/>
        </w:rPr>
        <w:t xml:space="preserve">una parte de la remuneración fue </w:t>
      </w:r>
      <w:proofErr w:type="spellStart"/>
      <w:r w:rsidR="005552AE" w:rsidRPr="002B212E">
        <w:rPr>
          <w:rStyle w:val="normaltextrun"/>
          <w:rFonts w:ascii="Tahoma" w:hAnsi="Tahoma" w:cs="Tahoma"/>
        </w:rPr>
        <w:t>desalariza</w:t>
      </w:r>
      <w:r w:rsidR="007C24A3" w:rsidRPr="002B212E">
        <w:rPr>
          <w:rStyle w:val="normaltextrun"/>
          <w:rFonts w:ascii="Tahoma" w:hAnsi="Tahoma" w:cs="Tahoma"/>
        </w:rPr>
        <w:t>d</w:t>
      </w:r>
      <w:r w:rsidR="005552AE" w:rsidRPr="002B212E">
        <w:rPr>
          <w:rStyle w:val="normaltextrun"/>
          <w:rFonts w:ascii="Tahoma" w:hAnsi="Tahoma" w:cs="Tahoma"/>
        </w:rPr>
        <w:t>a</w:t>
      </w:r>
      <w:proofErr w:type="spellEnd"/>
      <w:r w:rsidR="005552AE" w:rsidRPr="002B212E">
        <w:rPr>
          <w:rStyle w:val="normaltextrun"/>
          <w:rFonts w:ascii="Tahoma" w:hAnsi="Tahoma" w:cs="Tahoma"/>
        </w:rPr>
        <w:t xml:space="preserve"> sin justificación alguna, porque la demandada no aportó prueba que demostrara </w:t>
      </w:r>
      <w:r w:rsidR="00ED479A" w:rsidRPr="002B212E">
        <w:rPr>
          <w:rStyle w:val="normaltextrun"/>
          <w:rFonts w:ascii="Tahoma" w:hAnsi="Tahoma" w:cs="Tahoma"/>
        </w:rPr>
        <w:t>algún tipo de consentimiento, ni mucho menos variación en las condiciones del trabajador puesto que se mantuvo en el mismo cargo, y misma jornada de trabajo</w:t>
      </w:r>
      <w:r w:rsidR="000D194D" w:rsidRPr="002B212E">
        <w:rPr>
          <w:rStyle w:val="normaltextrun"/>
          <w:rFonts w:ascii="Tahoma" w:hAnsi="Tahoma" w:cs="Tahoma"/>
        </w:rPr>
        <w:t xml:space="preserve"> de 8 horas</w:t>
      </w:r>
      <w:r w:rsidR="00ED479A" w:rsidRPr="002B212E">
        <w:rPr>
          <w:rStyle w:val="normaltextrun"/>
          <w:rFonts w:ascii="Tahoma" w:hAnsi="Tahoma" w:cs="Tahoma"/>
        </w:rPr>
        <w:t>,</w:t>
      </w:r>
      <w:r w:rsidR="005640EA" w:rsidRPr="002B212E">
        <w:rPr>
          <w:rStyle w:val="normaltextrun"/>
          <w:rFonts w:ascii="Tahoma" w:hAnsi="Tahoma" w:cs="Tahoma"/>
        </w:rPr>
        <w:t xml:space="preserve"> </w:t>
      </w:r>
      <w:r w:rsidR="009A18D8" w:rsidRPr="002B212E">
        <w:rPr>
          <w:rStyle w:val="normaltextrun"/>
          <w:rFonts w:ascii="Tahoma" w:hAnsi="Tahoma" w:cs="Tahoma"/>
        </w:rPr>
        <w:t>ya que a juicio de los testigos, esta solo vari</w:t>
      </w:r>
      <w:r w:rsidR="000D194D" w:rsidRPr="002B212E">
        <w:rPr>
          <w:rStyle w:val="normaltextrun"/>
          <w:rFonts w:ascii="Tahoma" w:hAnsi="Tahoma" w:cs="Tahoma"/>
        </w:rPr>
        <w:t>ó</w:t>
      </w:r>
      <w:r w:rsidR="009A18D8" w:rsidRPr="002B212E">
        <w:rPr>
          <w:rStyle w:val="normaltextrun"/>
          <w:rFonts w:ascii="Tahoma" w:hAnsi="Tahoma" w:cs="Tahoma"/>
        </w:rPr>
        <w:t xml:space="preserve"> en el 2016</w:t>
      </w:r>
      <w:r w:rsidR="007053D8" w:rsidRPr="002B212E">
        <w:rPr>
          <w:rStyle w:val="normaltextrun"/>
          <w:rFonts w:ascii="Tahoma" w:hAnsi="Tahoma" w:cs="Tahoma"/>
        </w:rPr>
        <w:t>;</w:t>
      </w:r>
      <w:r w:rsidR="009A18D8" w:rsidRPr="002B212E">
        <w:rPr>
          <w:rStyle w:val="normaltextrun"/>
          <w:rFonts w:ascii="Tahoma" w:hAnsi="Tahoma" w:cs="Tahoma"/>
        </w:rPr>
        <w:t xml:space="preserve"> afirmó que al presentarse las mismas</w:t>
      </w:r>
      <w:r w:rsidR="005640EA" w:rsidRPr="002B212E">
        <w:rPr>
          <w:rStyle w:val="normaltextrun"/>
          <w:rFonts w:ascii="Tahoma" w:hAnsi="Tahoma" w:cs="Tahoma"/>
        </w:rPr>
        <w:t xml:space="preserve"> condiciones del contrato</w:t>
      </w:r>
      <w:r w:rsidR="00B43B5C" w:rsidRPr="002B212E">
        <w:rPr>
          <w:rStyle w:val="normaltextrun"/>
          <w:rFonts w:ascii="Tahoma" w:hAnsi="Tahoma" w:cs="Tahoma"/>
        </w:rPr>
        <w:t xml:space="preserve">, </w:t>
      </w:r>
      <w:r w:rsidR="005640EA" w:rsidRPr="002B212E">
        <w:rPr>
          <w:rStyle w:val="normaltextrun"/>
          <w:rFonts w:ascii="Tahoma" w:hAnsi="Tahoma" w:cs="Tahoma"/>
        </w:rPr>
        <w:t>a la luz del artículo</w:t>
      </w:r>
      <w:r w:rsidR="00ED479A" w:rsidRPr="002B212E">
        <w:rPr>
          <w:rStyle w:val="normaltextrun"/>
          <w:rFonts w:ascii="Tahoma" w:hAnsi="Tahoma" w:cs="Tahoma"/>
        </w:rPr>
        <w:t xml:space="preserve"> 43 del Código Sustantivo del Trabajo</w:t>
      </w:r>
      <w:r w:rsidR="003C151A" w:rsidRPr="002B212E">
        <w:rPr>
          <w:rStyle w:val="normaltextrun"/>
          <w:rFonts w:ascii="Tahoma" w:hAnsi="Tahoma" w:cs="Tahoma"/>
        </w:rPr>
        <w:t>, le estaba prohibido al empleador</w:t>
      </w:r>
      <w:r w:rsidR="005640EA" w:rsidRPr="002B212E">
        <w:rPr>
          <w:rStyle w:val="normaltextrun"/>
          <w:rFonts w:ascii="Tahoma" w:hAnsi="Tahoma" w:cs="Tahoma"/>
        </w:rPr>
        <w:t xml:space="preserve"> desmejorar las condiciones de trabajo del actor. </w:t>
      </w:r>
    </w:p>
    <w:p w14:paraId="5629626F" w14:textId="77777777" w:rsidR="000D194D" w:rsidRPr="002B212E" w:rsidRDefault="000D194D" w:rsidP="002B212E">
      <w:pPr>
        <w:pStyle w:val="paragraph"/>
        <w:spacing w:before="0" w:beforeAutospacing="0" w:after="0" w:afterAutospacing="0" w:line="276" w:lineRule="auto"/>
        <w:ind w:firstLine="708"/>
        <w:jc w:val="both"/>
        <w:textAlignment w:val="baseline"/>
        <w:rPr>
          <w:rStyle w:val="normaltextrun"/>
          <w:rFonts w:ascii="Tahoma" w:hAnsi="Tahoma" w:cs="Tahoma"/>
        </w:rPr>
      </w:pPr>
    </w:p>
    <w:p w14:paraId="05426B70" w14:textId="2AB9F51E" w:rsidR="00C473AE" w:rsidRDefault="00846D7C" w:rsidP="002B212E">
      <w:pPr>
        <w:pStyle w:val="paragraph"/>
        <w:spacing w:before="0" w:beforeAutospacing="0" w:after="0" w:afterAutospacing="0" w:line="276" w:lineRule="auto"/>
        <w:ind w:firstLine="708"/>
        <w:jc w:val="both"/>
        <w:textAlignment w:val="baseline"/>
        <w:rPr>
          <w:rStyle w:val="normaltextrun"/>
          <w:rFonts w:ascii="Tahoma" w:hAnsi="Tahoma" w:cs="Tahoma"/>
        </w:rPr>
      </w:pPr>
      <w:r w:rsidRPr="002B212E">
        <w:rPr>
          <w:rStyle w:val="normaltextrun"/>
          <w:rFonts w:ascii="Tahoma" w:hAnsi="Tahoma" w:cs="Tahoma"/>
        </w:rPr>
        <w:t xml:space="preserve">Con base en lo anterior, condenó al pago de la diferencia salarial y la reliquidación de prestaciones, vacaciones y aportes a pensión, para lo cual </w:t>
      </w:r>
      <w:r w:rsidR="0028768C" w:rsidRPr="002B212E">
        <w:rPr>
          <w:rStyle w:val="normaltextrun"/>
          <w:rFonts w:ascii="Tahoma" w:hAnsi="Tahoma" w:cs="Tahoma"/>
        </w:rPr>
        <w:t>sentó</w:t>
      </w:r>
      <w:r w:rsidRPr="002B212E">
        <w:rPr>
          <w:rStyle w:val="normaltextrun"/>
          <w:rFonts w:ascii="Tahoma" w:hAnsi="Tahoma" w:cs="Tahoma"/>
        </w:rPr>
        <w:t xml:space="preserve"> como </w:t>
      </w:r>
      <w:r w:rsidR="0028768C" w:rsidRPr="002B212E">
        <w:rPr>
          <w:rStyle w:val="normaltextrun"/>
          <w:rFonts w:ascii="Tahoma" w:hAnsi="Tahoma" w:cs="Tahoma"/>
        </w:rPr>
        <w:t xml:space="preserve">salario de 2014, la suma de </w:t>
      </w:r>
      <w:r w:rsidR="00ED479A" w:rsidRPr="002B212E">
        <w:rPr>
          <w:rStyle w:val="normaltextrun"/>
          <w:rFonts w:ascii="Tahoma" w:hAnsi="Tahoma" w:cs="Tahoma"/>
        </w:rPr>
        <w:t>$3.559.000 pesos y para el año 2015 dicho valor más la variación porcentual del IPC de diciembre del año inmediatamente anterior (3.66</w:t>
      </w:r>
      <w:r w:rsidR="00C473AE" w:rsidRPr="002B212E">
        <w:rPr>
          <w:rStyle w:val="normaltextrun"/>
          <w:rFonts w:ascii="Tahoma" w:hAnsi="Tahoma" w:cs="Tahoma"/>
        </w:rPr>
        <w:t>%</w:t>
      </w:r>
      <w:r w:rsidR="00ED479A" w:rsidRPr="002B212E">
        <w:rPr>
          <w:rStyle w:val="normaltextrun"/>
          <w:rFonts w:ascii="Tahoma" w:hAnsi="Tahoma" w:cs="Tahoma"/>
        </w:rPr>
        <w:t>)</w:t>
      </w:r>
      <w:r w:rsidR="00C473AE" w:rsidRPr="002B212E">
        <w:rPr>
          <w:rStyle w:val="normaltextrun"/>
          <w:rFonts w:ascii="Tahoma" w:hAnsi="Tahoma" w:cs="Tahoma"/>
        </w:rPr>
        <w:t>.</w:t>
      </w:r>
    </w:p>
    <w:p w14:paraId="3AFD41E9" w14:textId="77777777" w:rsidR="00505D6F" w:rsidRPr="002B212E" w:rsidRDefault="00505D6F" w:rsidP="002B212E">
      <w:pPr>
        <w:pStyle w:val="paragraph"/>
        <w:spacing w:before="0" w:beforeAutospacing="0" w:after="0" w:afterAutospacing="0" w:line="276" w:lineRule="auto"/>
        <w:ind w:firstLine="708"/>
        <w:jc w:val="both"/>
        <w:textAlignment w:val="baseline"/>
        <w:rPr>
          <w:rStyle w:val="normaltextrun"/>
          <w:rFonts w:ascii="Tahoma" w:hAnsi="Tahoma" w:cs="Tahoma"/>
        </w:rPr>
      </w:pPr>
    </w:p>
    <w:p w14:paraId="697A5275" w14:textId="28EE0EE3" w:rsidR="00F3066C" w:rsidRPr="002B212E" w:rsidRDefault="00C473AE" w:rsidP="002B212E">
      <w:pPr>
        <w:pStyle w:val="paragraph"/>
        <w:spacing w:before="0" w:beforeAutospacing="0" w:after="0" w:afterAutospacing="0" w:line="276" w:lineRule="auto"/>
        <w:ind w:firstLine="708"/>
        <w:jc w:val="both"/>
        <w:rPr>
          <w:rFonts w:ascii="Tahoma" w:hAnsi="Tahoma" w:cs="Tahoma"/>
        </w:rPr>
      </w:pPr>
      <w:r w:rsidRPr="002B212E">
        <w:rPr>
          <w:rFonts w:ascii="Tahoma" w:hAnsi="Tahoma" w:cs="Tahoma"/>
        </w:rPr>
        <w:t xml:space="preserve">Previo a la liquidación de la condena económica, resolvió la excepción de prescripción propuesta por la </w:t>
      </w:r>
      <w:r w:rsidR="00F3066C" w:rsidRPr="002B212E">
        <w:rPr>
          <w:rFonts w:ascii="Tahoma" w:hAnsi="Tahoma" w:cs="Tahoma"/>
        </w:rPr>
        <w:t xml:space="preserve">empresa y precisó que los derechos causados con anterioridad al 19 de diciembre de 2015 se encontraban prescritos, debido a que </w:t>
      </w:r>
      <w:r w:rsidRPr="002B212E">
        <w:rPr>
          <w:rFonts w:ascii="Tahoma" w:hAnsi="Tahoma" w:cs="Tahoma"/>
        </w:rPr>
        <w:t>la demanda se promovió el 19 de diciembre del 2018</w:t>
      </w:r>
      <w:r w:rsidR="00F3066C" w:rsidRPr="002B212E">
        <w:rPr>
          <w:rFonts w:ascii="Tahoma" w:hAnsi="Tahoma" w:cs="Tahoma"/>
        </w:rPr>
        <w:t>.</w:t>
      </w:r>
    </w:p>
    <w:p w14:paraId="6D873E75" w14:textId="77777777" w:rsidR="008D7E49" w:rsidRPr="002B212E" w:rsidRDefault="008D7E49" w:rsidP="002B212E">
      <w:pPr>
        <w:pStyle w:val="paragraph"/>
        <w:spacing w:before="0" w:beforeAutospacing="0" w:after="0" w:afterAutospacing="0" w:line="276" w:lineRule="auto"/>
        <w:ind w:firstLine="708"/>
        <w:jc w:val="both"/>
        <w:rPr>
          <w:rFonts w:ascii="Tahoma" w:hAnsi="Tahoma" w:cs="Tahoma"/>
        </w:rPr>
      </w:pPr>
    </w:p>
    <w:p w14:paraId="1C1EE5D0" w14:textId="68527CED" w:rsidR="00C473AE" w:rsidRPr="002B212E" w:rsidRDefault="00680576" w:rsidP="002B212E">
      <w:pPr>
        <w:pStyle w:val="paragraph"/>
        <w:spacing w:before="0" w:beforeAutospacing="0" w:after="0" w:afterAutospacing="0" w:line="276" w:lineRule="auto"/>
        <w:ind w:firstLine="708"/>
        <w:jc w:val="both"/>
        <w:rPr>
          <w:rFonts w:ascii="Tahoma" w:hAnsi="Tahoma" w:cs="Tahoma"/>
        </w:rPr>
      </w:pPr>
      <w:r w:rsidRPr="002B212E">
        <w:rPr>
          <w:rFonts w:ascii="Tahoma" w:hAnsi="Tahoma" w:cs="Tahoma"/>
        </w:rPr>
        <w:t xml:space="preserve">En </w:t>
      </w:r>
      <w:r w:rsidR="005F008E" w:rsidRPr="002B212E">
        <w:rPr>
          <w:rFonts w:ascii="Tahoma" w:hAnsi="Tahoma" w:cs="Tahoma"/>
        </w:rPr>
        <w:t>consecuencia,</w:t>
      </w:r>
      <w:r w:rsidRPr="002B212E">
        <w:rPr>
          <w:rFonts w:ascii="Tahoma" w:hAnsi="Tahoma" w:cs="Tahoma"/>
        </w:rPr>
        <w:t xml:space="preserve"> hizo operar el fenómeno extintivo sobre </w:t>
      </w:r>
      <w:r w:rsidR="003F7BEF" w:rsidRPr="002B212E">
        <w:rPr>
          <w:rFonts w:ascii="Tahoma" w:hAnsi="Tahoma" w:cs="Tahoma"/>
        </w:rPr>
        <w:t>la diferencia salarial</w:t>
      </w:r>
      <w:r w:rsidRPr="002B212E">
        <w:rPr>
          <w:rFonts w:ascii="Tahoma" w:hAnsi="Tahoma" w:cs="Tahoma"/>
        </w:rPr>
        <w:t xml:space="preserve">, </w:t>
      </w:r>
      <w:r w:rsidR="003F7BEF" w:rsidRPr="002B212E">
        <w:rPr>
          <w:rFonts w:ascii="Tahoma" w:hAnsi="Tahoma" w:cs="Tahoma"/>
        </w:rPr>
        <w:t>pues solo se acreditó hasta junio de 2015</w:t>
      </w:r>
      <w:r w:rsidRPr="002B212E">
        <w:rPr>
          <w:rFonts w:ascii="Tahoma" w:hAnsi="Tahoma" w:cs="Tahoma"/>
        </w:rPr>
        <w:t xml:space="preserve"> y </w:t>
      </w:r>
      <w:r w:rsidR="003F7BEF" w:rsidRPr="002B212E">
        <w:rPr>
          <w:rFonts w:ascii="Tahoma" w:hAnsi="Tahoma" w:cs="Tahoma"/>
        </w:rPr>
        <w:t xml:space="preserve">la prima de servicios, </w:t>
      </w:r>
      <w:r w:rsidRPr="002B212E">
        <w:rPr>
          <w:rFonts w:ascii="Tahoma" w:hAnsi="Tahoma" w:cs="Tahoma"/>
        </w:rPr>
        <w:t xml:space="preserve">condenando únicamente </w:t>
      </w:r>
      <w:r w:rsidR="002C7B85" w:rsidRPr="002B212E">
        <w:rPr>
          <w:rFonts w:ascii="Tahoma" w:hAnsi="Tahoma" w:cs="Tahoma"/>
        </w:rPr>
        <w:t>a los intereses a las cesantías del año 2015, y las vacaciones causadas entre el 22 de mayo de 2014 y el 22 de mayo de 2015</w:t>
      </w:r>
      <w:r w:rsidR="00E94496" w:rsidRPr="002B212E">
        <w:rPr>
          <w:rFonts w:ascii="Tahoma" w:hAnsi="Tahoma" w:cs="Tahoma"/>
        </w:rPr>
        <w:t xml:space="preserve"> por cuanto el </w:t>
      </w:r>
      <w:r w:rsidR="00C473AE" w:rsidRPr="002B212E">
        <w:rPr>
          <w:rFonts w:ascii="Tahoma" w:hAnsi="Tahoma" w:cs="Tahoma"/>
        </w:rPr>
        <w:t>empleador tenía un año para conceder su disfrute</w:t>
      </w:r>
      <w:r w:rsidR="005F008E" w:rsidRPr="002B212E">
        <w:rPr>
          <w:rFonts w:ascii="Tahoma" w:hAnsi="Tahoma" w:cs="Tahoma"/>
        </w:rPr>
        <w:t xml:space="preserve"> durante la vigencia del contrato, además de la reliquidación a las cesantías y aportes a pensión por ser imprescriptibles.</w:t>
      </w:r>
    </w:p>
    <w:p w14:paraId="134EB694" w14:textId="77777777" w:rsidR="008D7E49" w:rsidRPr="002B212E" w:rsidRDefault="008D7E49" w:rsidP="002B212E">
      <w:pPr>
        <w:pStyle w:val="paragraph"/>
        <w:spacing w:before="0" w:beforeAutospacing="0" w:after="0" w:afterAutospacing="0" w:line="276" w:lineRule="auto"/>
        <w:ind w:firstLine="708"/>
        <w:jc w:val="both"/>
        <w:rPr>
          <w:rFonts w:ascii="Tahoma" w:hAnsi="Tahoma" w:cs="Tahoma"/>
        </w:rPr>
      </w:pPr>
    </w:p>
    <w:p w14:paraId="61A714A9" w14:textId="31F6768C" w:rsidR="000D5E63" w:rsidRPr="002B212E" w:rsidRDefault="00B3351F" w:rsidP="002B212E">
      <w:pPr>
        <w:pStyle w:val="paragraph"/>
        <w:spacing w:before="0" w:beforeAutospacing="0" w:after="0" w:afterAutospacing="0" w:line="276" w:lineRule="auto"/>
        <w:ind w:firstLine="708"/>
        <w:jc w:val="both"/>
        <w:rPr>
          <w:rStyle w:val="eop"/>
          <w:rFonts w:ascii="Tahoma" w:eastAsia="Tahoma" w:hAnsi="Tahoma" w:cs="Tahoma"/>
        </w:rPr>
      </w:pPr>
      <w:r w:rsidRPr="002B212E">
        <w:rPr>
          <w:rFonts w:ascii="Tahoma" w:hAnsi="Tahoma" w:cs="Tahoma"/>
        </w:rPr>
        <w:t xml:space="preserve">Respecto de los turnos de disponibilidad entre el 22 de mayo de 2006 al 1 de mayo de 2017, </w:t>
      </w:r>
      <w:r w:rsidR="006956DD" w:rsidRPr="002B212E">
        <w:rPr>
          <w:rFonts w:ascii="Tahoma" w:hAnsi="Tahoma" w:cs="Tahoma"/>
        </w:rPr>
        <w:t xml:space="preserve">con fundamento en la </w:t>
      </w:r>
      <w:r w:rsidR="00017F9F" w:rsidRPr="002B212E">
        <w:rPr>
          <w:rFonts w:ascii="Tahoma" w:hAnsi="Tahoma" w:cs="Tahoma"/>
        </w:rPr>
        <w:t>sentencia SL</w:t>
      </w:r>
      <w:r w:rsidR="00E109AD" w:rsidRPr="002B212E">
        <w:rPr>
          <w:rFonts w:ascii="Tahoma" w:hAnsi="Tahoma" w:cs="Tahoma"/>
        </w:rPr>
        <w:t>5584-2017</w:t>
      </w:r>
      <w:r w:rsidR="006956DD" w:rsidRPr="002B212E">
        <w:rPr>
          <w:rFonts w:ascii="Tahoma" w:hAnsi="Tahoma" w:cs="Tahoma"/>
        </w:rPr>
        <w:t>, explicó que</w:t>
      </w:r>
      <w:r w:rsidR="00C72350" w:rsidRPr="002B212E">
        <w:rPr>
          <w:rFonts w:ascii="Tahoma" w:hAnsi="Tahoma" w:cs="Tahoma"/>
        </w:rPr>
        <w:t xml:space="preserve"> además de la</w:t>
      </w:r>
      <w:r w:rsidR="006956DD" w:rsidRPr="002B212E">
        <w:rPr>
          <w:rFonts w:ascii="Tahoma" w:hAnsi="Tahoma" w:cs="Tahoma"/>
        </w:rPr>
        <w:t xml:space="preserve"> jornada ordinaria</w:t>
      </w:r>
      <w:r w:rsidR="00C72350" w:rsidRPr="002B212E">
        <w:rPr>
          <w:rFonts w:ascii="Tahoma" w:hAnsi="Tahoma" w:cs="Tahoma"/>
        </w:rPr>
        <w:t>, el trabajador cumplió con turno de disponibilidad de martes a martes, de lunes a viernes por 12 horas y sábados y domingos 24 horas, incluyendo entre sus funciones disponibilidad de atención de fallas nocturnas</w:t>
      </w:r>
      <w:r w:rsidR="00476B4D" w:rsidRPr="002B212E">
        <w:rPr>
          <w:rFonts w:ascii="Tahoma" w:hAnsi="Tahoma" w:cs="Tahoma"/>
        </w:rPr>
        <w:t xml:space="preserve"> y en fin de semana 7/24</w:t>
      </w:r>
      <w:r w:rsidR="00BB71DA" w:rsidRPr="002B212E">
        <w:rPr>
          <w:rFonts w:ascii="Tahoma" w:hAnsi="Tahoma" w:cs="Tahoma"/>
        </w:rPr>
        <w:t xml:space="preserve">. Disponibilidad que además se encontraba plenamente demostraba con los correos electrónicos remitidos por </w:t>
      </w:r>
      <w:bookmarkStart w:id="7" w:name="OLE_LINK36"/>
      <w:r w:rsidR="00A600C8" w:rsidRPr="002B212E">
        <w:rPr>
          <w:rFonts w:ascii="Tahoma" w:hAnsi="Tahoma" w:cs="Tahoma"/>
        </w:rPr>
        <w:t xml:space="preserve">Oscar </w:t>
      </w:r>
      <w:r w:rsidR="007053D8" w:rsidRPr="002B212E">
        <w:rPr>
          <w:rFonts w:ascii="Tahoma" w:hAnsi="Tahoma" w:cs="Tahoma"/>
        </w:rPr>
        <w:t>Darío</w:t>
      </w:r>
      <w:r w:rsidR="00A600C8" w:rsidRPr="002B212E">
        <w:rPr>
          <w:rFonts w:ascii="Tahoma" w:hAnsi="Tahoma" w:cs="Tahoma"/>
        </w:rPr>
        <w:t xml:space="preserve"> Loaiza Vitola </w:t>
      </w:r>
      <w:r w:rsidR="004E3856" w:rsidRPr="002B212E">
        <w:rPr>
          <w:rFonts w:ascii="Tahoma" w:hAnsi="Tahoma" w:cs="Tahoma"/>
        </w:rPr>
        <w:t xml:space="preserve">el 23/12/2016, </w:t>
      </w:r>
      <w:bookmarkStart w:id="8" w:name="OLE_LINK35"/>
      <w:r w:rsidR="004E3856" w:rsidRPr="002B212E">
        <w:rPr>
          <w:rFonts w:ascii="Tahoma" w:hAnsi="Tahoma" w:cs="Tahoma"/>
        </w:rPr>
        <w:t>10/03/2017, 28/04/2017 y 5/05/2017</w:t>
      </w:r>
      <w:bookmarkEnd w:id="7"/>
      <w:bookmarkEnd w:id="8"/>
      <w:r w:rsidR="004E3856" w:rsidRPr="002B212E">
        <w:rPr>
          <w:rFonts w:ascii="Tahoma" w:hAnsi="Tahoma" w:cs="Tahoma"/>
        </w:rPr>
        <w:t xml:space="preserve">, </w:t>
      </w:r>
      <w:r w:rsidR="008221E2" w:rsidRPr="002B212E">
        <w:rPr>
          <w:rFonts w:ascii="Tahoma" w:hAnsi="Tahoma" w:cs="Tahoma"/>
        </w:rPr>
        <w:t>así</w:t>
      </w:r>
      <w:r w:rsidR="004E3856" w:rsidRPr="002B212E">
        <w:rPr>
          <w:rFonts w:ascii="Tahoma" w:hAnsi="Tahoma" w:cs="Tahoma"/>
        </w:rPr>
        <w:t xml:space="preserve"> como por Carlo</w:t>
      </w:r>
      <w:r w:rsidR="008221E2" w:rsidRPr="002B212E">
        <w:rPr>
          <w:rFonts w:ascii="Tahoma" w:hAnsi="Tahoma" w:cs="Tahoma"/>
        </w:rPr>
        <w:t>s</w:t>
      </w:r>
      <w:r w:rsidR="004E3856" w:rsidRPr="002B212E">
        <w:rPr>
          <w:rFonts w:ascii="Tahoma" w:hAnsi="Tahoma" w:cs="Tahoma"/>
        </w:rPr>
        <w:t xml:space="preserve"> Acevedo del 5/01/2012, 28/11/2012</w:t>
      </w:r>
      <w:r w:rsidR="000743D2" w:rsidRPr="002B212E">
        <w:rPr>
          <w:rFonts w:ascii="Tahoma" w:hAnsi="Tahoma" w:cs="Tahoma"/>
        </w:rPr>
        <w:t>, 2/01/2013, 13/01/2014, 6/08/2014, 28/11/2015 y 18/03/2015 en los que se le informa al demandante los turnos de disponibilidad, aclar</w:t>
      </w:r>
      <w:r w:rsidR="007053D8" w:rsidRPr="002B212E">
        <w:rPr>
          <w:rFonts w:ascii="Tahoma" w:hAnsi="Tahoma" w:cs="Tahoma"/>
        </w:rPr>
        <w:t>ando</w:t>
      </w:r>
      <w:r w:rsidR="000743D2" w:rsidRPr="002B212E">
        <w:rPr>
          <w:rFonts w:ascii="Tahoma" w:hAnsi="Tahoma" w:cs="Tahoma"/>
        </w:rPr>
        <w:t xml:space="preserve"> que los </w:t>
      </w:r>
      <w:r w:rsidR="00A029F5" w:rsidRPr="002B212E">
        <w:rPr>
          <w:rFonts w:ascii="Tahoma" w:hAnsi="Tahoma" w:cs="Tahoma"/>
        </w:rPr>
        <w:t>remitentes eran superiores del demandando, el primero Líder O&amp;M y el segundo</w:t>
      </w:r>
      <w:r w:rsidR="00C72350" w:rsidRPr="002B212E">
        <w:rPr>
          <w:rFonts w:ascii="Tahoma" w:hAnsi="Tahoma" w:cs="Tahoma"/>
        </w:rPr>
        <w:t> </w:t>
      </w:r>
      <w:r w:rsidR="00A029F5" w:rsidRPr="002B212E">
        <w:rPr>
          <w:rFonts w:ascii="Tahoma" w:hAnsi="Tahoma" w:cs="Tahoma"/>
        </w:rPr>
        <w:t xml:space="preserve">hacia parte de la gerencia. </w:t>
      </w:r>
      <w:r w:rsidR="006A4ECF" w:rsidRPr="002B212E">
        <w:rPr>
          <w:rFonts w:ascii="Tahoma" w:hAnsi="Tahoma" w:cs="Tahoma"/>
        </w:rPr>
        <w:t xml:space="preserve">Añadió que únicamente otorgó </w:t>
      </w:r>
      <w:r w:rsidR="008B6607" w:rsidRPr="002B212E">
        <w:rPr>
          <w:rFonts w:ascii="Tahoma" w:hAnsi="Tahoma" w:cs="Tahoma"/>
        </w:rPr>
        <w:t>eficacia probatoria</w:t>
      </w:r>
      <w:r w:rsidR="006A4ECF" w:rsidRPr="002B212E">
        <w:rPr>
          <w:rFonts w:ascii="Tahoma" w:hAnsi="Tahoma" w:cs="Tahoma"/>
        </w:rPr>
        <w:t xml:space="preserve"> a los cuadros de turnos decretados de oficio, </w:t>
      </w:r>
      <w:r w:rsidR="00645F24" w:rsidRPr="002B212E">
        <w:rPr>
          <w:rFonts w:ascii="Tahoma" w:hAnsi="Tahoma" w:cs="Tahoma"/>
        </w:rPr>
        <w:t>porque de los aportados con la demanda no se vislumbra el autor</w:t>
      </w:r>
      <w:r w:rsidR="008221E2" w:rsidRPr="002B212E">
        <w:rPr>
          <w:rFonts w:ascii="Tahoma" w:hAnsi="Tahoma" w:cs="Tahoma"/>
        </w:rPr>
        <w:t xml:space="preserve">. </w:t>
      </w:r>
      <w:r w:rsidR="000D5E63" w:rsidRPr="002B212E">
        <w:rPr>
          <w:rStyle w:val="eop"/>
          <w:rFonts w:ascii="Tahoma" w:eastAsia="Tahoma" w:hAnsi="Tahoma" w:cs="Tahoma"/>
        </w:rPr>
        <w:lastRenderedPageBreak/>
        <w:t>En ese orden, condenó a los turnos de disponibilidad independientemente de si se prestó o no el servicio</w:t>
      </w:r>
      <w:r w:rsidR="0088475B" w:rsidRPr="002B212E">
        <w:rPr>
          <w:rStyle w:val="eop"/>
          <w:rFonts w:ascii="Tahoma" w:eastAsia="Tahoma" w:hAnsi="Tahoma" w:cs="Tahoma"/>
        </w:rPr>
        <w:t xml:space="preserve"> de forma efectiva bajo los nuevos postulados jurisprudenciales.</w:t>
      </w:r>
    </w:p>
    <w:p w14:paraId="34E52D17" w14:textId="77777777" w:rsidR="008D7E49" w:rsidRPr="002B212E" w:rsidRDefault="008D7E49" w:rsidP="002B212E">
      <w:pPr>
        <w:pStyle w:val="paragraph"/>
        <w:spacing w:before="0" w:beforeAutospacing="0" w:after="0" w:afterAutospacing="0" w:line="276" w:lineRule="auto"/>
        <w:ind w:firstLine="708"/>
        <w:jc w:val="both"/>
        <w:rPr>
          <w:rStyle w:val="eop"/>
          <w:rFonts w:ascii="Tahoma" w:eastAsia="Tahoma" w:hAnsi="Tahoma" w:cs="Tahoma"/>
        </w:rPr>
      </w:pPr>
    </w:p>
    <w:p w14:paraId="430C0F79" w14:textId="77777777" w:rsidR="002025F0" w:rsidRPr="002B212E" w:rsidRDefault="00ED479A" w:rsidP="002B212E">
      <w:pPr>
        <w:pStyle w:val="paragraph"/>
        <w:spacing w:before="0" w:beforeAutospacing="0" w:after="0" w:afterAutospacing="0" w:line="276" w:lineRule="auto"/>
        <w:ind w:firstLine="708"/>
        <w:jc w:val="both"/>
        <w:textAlignment w:val="baseline"/>
        <w:rPr>
          <w:rFonts w:ascii="Tahoma" w:hAnsi="Tahoma" w:cs="Tahoma"/>
        </w:rPr>
      </w:pPr>
      <w:r w:rsidRPr="002B212E">
        <w:rPr>
          <w:rStyle w:val="normaltextrun"/>
          <w:rFonts w:ascii="Tahoma" w:hAnsi="Tahoma" w:cs="Tahoma"/>
        </w:rPr>
        <w:t>En ese orden de ideas hay lugar al reajuste salarial y la reliquidación de prestaciones sociales por el periodo no prescrito, la remuneración por disponibilidad no prescrita que asciende a la suma de $20.563.759 pesos, que se discrimina de la siguiente forma: para diciembre de 2015, $3.409.659 pesos por 216 horas, para diciembre de 2016, $2.859.000 pesos a razón de 180 horas, para enero de 2017 la suma de $4.002.600 pesos a razón de 252 horas, para febrero</w:t>
      </w:r>
      <w:r w:rsidR="007A42E7" w:rsidRPr="002B212E">
        <w:rPr>
          <w:rStyle w:val="normaltextrun"/>
          <w:rFonts w:ascii="Tahoma" w:hAnsi="Tahoma" w:cs="Tahoma"/>
        </w:rPr>
        <w:t>, marzo y abril</w:t>
      </w:r>
      <w:r w:rsidRPr="002B212E">
        <w:rPr>
          <w:rStyle w:val="normaltextrun"/>
          <w:rFonts w:ascii="Tahoma" w:hAnsi="Tahoma" w:cs="Tahoma"/>
        </w:rPr>
        <w:t xml:space="preserve"> de 2017, $3.430.800 pesos a razón de 216 horas</w:t>
      </w:r>
      <w:r w:rsidR="007A42E7" w:rsidRPr="002B212E">
        <w:rPr>
          <w:rStyle w:val="normaltextrun"/>
          <w:rFonts w:ascii="Tahoma" w:hAnsi="Tahoma" w:cs="Tahoma"/>
        </w:rPr>
        <w:t xml:space="preserve"> cada mes</w:t>
      </w:r>
      <w:r w:rsidR="00FE6744" w:rsidRPr="002B212E">
        <w:rPr>
          <w:rStyle w:val="normaltextrun"/>
          <w:rFonts w:ascii="Tahoma" w:hAnsi="Tahoma" w:cs="Tahoma"/>
        </w:rPr>
        <w:t xml:space="preserve">. Precisó que la reliquidación de los aportes no estaba afectada por el fenómeno extintivo </w:t>
      </w:r>
      <w:r w:rsidR="003074A6" w:rsidRPr="002B212E">
        <w:rPr>
          <w:rStyle w:val="normaltextrun"/>
          <w:rFonts w:ascii="Tahoma" w:hAnsi="Tahoma" w:cs="Tahoma"/>
        </w:rPr>
        <w:t>con base en la liquidación obrante en el archivo 34 titulada como aportes a</w:t>
      </w:r>
      <w:r w:rsidR="002025F0" w:rsidRPr="002B212E">
        <w:rPr>
          <w:rStyle w:val="normaltextrun"/>
          <w:rFonts w:ascii="Tahoma" w:hAnsi="Tahoma" w:cs="Tahoma"/>
        </w:rPr>
        <w:t xml:space="preserve"> pensión. </w:t>
      </w:r>
      <w:r w:rsidR="00B33593" w:rsidRPr="002B212E">
        <w:rPr>
          <w:rStyle w:val="normaltextrun"/>
          <w:rFonts w:ascii="Tahoma" w:hAnsi="Tahoma" w:cs="Tahoma"/>
        </w:rPr>
        <w:t xml:space="preserve">Negó la petición por horas extras y recargos por no hallarlos acreditados, debido a que el cuadro de fallas no </w:t>
      </w:r>
      <w:r w:rsidR="00492519" w:rsidRPr="002B212E">
        <w:rPr>
          <w:rStyle w:val="normaltextrun"/>
          <w:rFonts w:ascii="Tahoma" w:hAnsi="Tahoma" w:cs="Tahoma"/>
        </w:rPr>
        <w:t xml:space="preserve">daba plena fe de su autoría. </w:t>
      </w:r>
    </w:p>
    <w:p w14:paraId="4DCB9C2A" w14:textId="77777777" w:rsidR="002025F0" w:rsidRPr="002B212E" w:rsidRDefault="002025F0" w:rsidP="002B212E">
      <w:pPr>
        <w:pStyle w:val="paragraph"/>
        <w:spacing w:before="0" w:beforeAutospacing="0" w:after="0" w:afterAutospacing="0" w:line="276" w:lineRule="auto"/>
        <w:ind w:firstLine="360"/>
        <w:jc w:val="both"/>
        <w:textAlignment w:val="baseline"/>
        <w:rPr>
          <w:rFonts w:ascii="Tahoma" w:hAnsi="Tahoma" w:cs="Tahoma"/>
        </w:rPr>
      </w:pPr>
    </w:p>
    <w:p w14:paraId="1091802E" w14:textId="68AA69F9" w:rsidR="00D5231C" w:rsidRPr="002B212E" w:rsidRDefault="00ED479A" w:rsidP="002B212E">
      <w:pPr>
        <w:pStyle w:val="paragraph"/>
        <w:spacing w:before="0" w:beforeAutospacing="0" w:after="0" w:afterAutospacing="0" w:line="276" w:lineRule="auto"/>
        <w:ind w:firstLine="708"/>
        <w:jc w:val="both"/>
        <w:textAlignment w:val="baseline"/>
        <w:rPr>
          <w:rStyle w:val="normaltextrun"/>
          <w:rFonts w:ascii="Tahoma" w:hAnsi="Tahoma" w:cs="Tahoma"/>
        </w:rPr>
      </w:pPr>
      <w:r w:rsidRPr="002B212E">
        <w:rPr>
          <w:rStyle w:val="normaltextrun"/>
          <w:rFonts w:ascii="Tahoma" w:hAnsi="Tahoma" w:cs="Tahoma"/>
        </w:rPr>
        <w:t xml:space="preserve">Resalta </w:t>
      </w:r>
      <w:r w:rsidR="008D7E49" w:rsidRPr="002B212E">
        <w:rPr>
          <w:rStyle w:val="normaltextrun"/>
          <w:rFonts w:ascii="Tahoma" w:hAnsi="Tahoma" w:cs="Tahoma"/>
        </w:rPr>
        <w:t>que,</w:t>
      </w:r>
      <w:r w:rsidR="00090CD4" w:rsidRPr="002B212E">
        <w:rPr>
          <w:rStyle w:val="normaltextrun"/>
          <w:rFonts w:ascii="Tahoma" w:hAnsi="Tahoma" w:cs="Tahoma"/>
        </w:rPr>
        <w:t xml:space="preserve"> aunque</w:t>
      </w:r>
      <w:r w:rsidRPr="002B212E">
        <w:rPr>
          <w:rStyle w:val="normaltextrun"/>
          <w:rFonts w:ascii="Tahoma" w:hAnsi="Tahoma" w:cs="Tahoma"/>
        </w:rPr>
        <w:t xml:space="preserve"> la demandada </w:t>
      </w:r>
      <w:r w:rsidR="00090CD4" w:rsidRPr="002B212E">
        <w:rPr>
          <w:rStyle w:val="normaltextrun"/>
          <w:rFonts w:ascii="Tahoma" w:hAnsi="Tahoma" w:cs="Tahoma"/>
        </w:rPr>
        <w:t>hizo</w:t>
      </w:r>
      <w:r w:rsidRPr="002B212E">
        <w:rPr>
          <w:rStyle w:val="normaltextrun"/>
          <w:rFonts w:ascii="Tahoma" w:hAnsi="Tahoma" w:cs="Tahoma"/>
        </w:rPr>
        <w:t xml:space="preserve"> cambios en las modalidades contractuales </w:t>
      </w:r>
      <w:r w:rsidR="00090CD4" w:rsidRPr="002B212E">
        <w:rPr>
          <w:rStyle w:val="normaltextrun"/>
          <w:rFonts w:ascii="Tahoma" w:hAnsi="Tahoma" w:cs="Tahoma"/>
        </w:rPr>
        <w:t xml:space="preserve">de sus </w:t>
      </w:r>
      <w:r w:rsidRPr="002B212E">
        <w:rPr>
          <w:rStyle w:val="normaltextrun"/>
          <w:rFonts w:ascii="Tahoma" w:hAnsi="Tahoma" w:cs="Tahoma"/>
        </w:rPr>
        <w:t xml:space="preserve">trabajadores cuando sustituyó al empleador anterior, no hizo ajustes correctos a las asignaciones salariales, ni acreditó justificación o motivo alguno para que al demandante no se le hayan consignado en forma completa las cesantías del 2016 y 2017, </w:t>
      </w:r>
      <w:r w:rsidR="00090CD4" w:rsidRPr="002B212E">
        <w:rPr>
          <w:rStyle w:val="normaltextrun"/>
          <w:rFonts w:ascii="Tahoma" w:hAnsi="Tahoma" w:cs="Tahoma"/>
        </w:rPr>
        <w:t xml:space="preserve">pues </w:t>
      </w:r>
      <w:r w:rsidRPr="002B212E">
        <w:rPr>
          <w:rStyle w:val="normaltextrun"/>
          <w:rFonts w:ascii="Tahoma" w:hAnsi="Tahoma" w:cs="Tahoma"/>
        </w:rPr>
        <w:t>al momento de tomar el negocio a su cargo</w:t>
      </w:r>
      <w:r w:rsidR="00090CD4" w:rsidRPr="002B212E">
        <w:rPr>
          <w:rStyle w:val="normaltextrun"/>
          <w:rFonts w:ascii="Tahoma" w:hAnsi="Tahoma" w:cs="Tahoma"/>
        </w:rPr>
        <w:t>,</w:t>
      </w:r>
      <w:r w:rsidRPr="002B212E">
        <w:rPr>
          <w:rStyle w:val="normaltextrun"/>
          <w:rFonts w:ascii="Tahoma" w:hAnsi="Tahoma" w:cs="Tahoma"/>
        </w:rPr>
        <w:t xml:space="preserve"> debió cerciorarse </w:t>
      </w:r>
      <w:r w:rsidR="00090CD4" w:rsidRPr="002B212E">
        <w:rPr>
          <w:rStyle w:val="normaltextrun"/>
          <w:rFonts w:ascii="Tahoma" w:hAnsi="Tahoma" w:cs="Tahoma"/>
        </w:rPr>
        <w:t xml:space="preserve">de </w:t>
      </w:r>
      <w:r w:rsidRPr="002B212E">
        <w:rPr>
          <w:rStyle w:val="normaltextrun"/>
          <w:rFonts w:ascii="Tahoma" w:hAnsi="Tahoma" w:cs="Tahoma"/>
        </w:rPr>
        <w:t xml:space="preserve">que los pagos se efectuaran conforme a la ley. </w:t>
      </w:r>
      <w:r w:rsidR="002D2D64" w:rsidRPr="002B212E">
        <w:rPr>
          <w:rStyle w:val="normaltextrun"/>
          <w:rFonts w:ascii="Tahoma" w:hAnsi="Tahoma" w:cs="Tahoma"/>
        </w:rPr>
        <w:t>Añadió</w:t>
      </w:r>
      <w:r w:rsidR="00D5231C" w:rsidRPr="002B212E">
        <w:rPr>
          <w:rStyle w:val="normaltextrun"/>
          <w:rFonts w:ascii="Tahoma" w:hAnsi="Tahoma" w:cs="Tahoma"/>
        </w:rPr>
        <w:t xml:space="preserve"> que a pesar de que </w:t>
      </w:r>
      <w:r w:rsidRPr="002B212E">
        <w:rPr>
          <w:rStyle w:val="normaltextrun"/>
          <w:rFonts w:ascii="Tahoma" w:hAnsi="Tahoma" w:cs="Tahoma"/>
        </w:rPr>
        <w:t>la demanda</w:t>
      </w:r>
      <w:r w:rsidR="00880AB7" w:rsidRPr="002B212E">
        <w:rPr>
          <w:rStyle w:val="normaltextrun"/>
          <w:rFonts w:ascii="Tahoma" w:hAnsi="Tahoma" w:cs="Tahoma"/>
        </w:rPr>
        <w:t>da</w:t>
      </w:r>
      <w:r w:rsidRPr="002B212E">
        <w:rPr>
          <w:rStyle w:val="normaltextrun"/>
          <w:rFonts w:ascii="Tahoma" w:hAnsi="Tahoma" w:cs="Tahoma"/>
        </w:rPr>
        <w:t xml:space="preserve"> corrigió la situación de los turnos por disponibilidad, lo cierto es que no demostró haber tomado los correctivos de rigor frente al pago de las prestaciones de sus trabajadores.</w:t>
      </w:r>
    </w:p>
    <w:p w14:paraId="4AFAD305" w14:textId="77777777" w:rsidR="00D5231C" w:rsidRPr="002B212E" w:rsidRDefault="00D5231C" w:rsidP="002B212E">
      <w:pPr>
        <w:pStyle w:val="paragraph"/>
        <w:spacing w:before="0" w:beforeAutospacing="0" w:after="0" w:afterAutospacing="0" w:line="276" w:lineRule="auto"/>
        <w:ind w:firstLine="360"/>
        <w:jc w:val="both"/>
        <w:textAlignment w:val="baseline"/>
        <w:rPr>
          <w:rStyle w:val="normaltextrun"/>
          <w:rFonts w:ascii="Tahoma" w:hAnsi="Tahoma" w:cs="Tahoma"/>
        </w:rPr>
      </w:pPr>
    </w:p>
    <w:p w14:paraId="200F4D27" w14:textId="2B73B1BD" w:rsidR="00ED479A" w:rsidRPr="002B212E" w:rsidRDefault="00ED479A" w:rsidP="002B212E">
      <w:pPr>
        <w:pStyle w:val="paragraph"/>
        <w:spacing w:before="0" w:beforeAutospacing="0" w:after="0" w:afterAutospacing="0" w:line="276" w:lineRule="auto"/>
        <w:ind w:firstLine="708"/>
        <w:jc w:val="both"/>
        <w:textAlignment w:val="baseline"/>
        <w:rPr>
          <w:rStyle w:val="normaltextrun"/>
          <w:rFonts w:ascii="Tahoma" w:hAnsi="Tahoma" w:cs="Tahoma"/>
        </w:rPr>
      </w:pPr>
      <w:r w:rsidRPr="002B212E">
        <w:rPr>
          <w:rStyle w:val="normaltextrun"/>
          <w:rFonts w:ascii="Tahoma" w:hAnsi="Tahoma" w:cs="Tahoma"/>
        </w:rPr>
        <w:t>Refiere</w:t>
      </w:r>
      <w:r w:rsidR="00F41360" w:rsidRPr="002B212E">
        <w:rPr>
          <w:rStyle w:val="normaltextrun"/>
          <w:rFonts w:ascii="Tahoma" w:hAnsi="Tahoma" w:cs="Tahoma"/>
        </w:rPr>
        <w:t xml:space="preserve">, </w:t>
      </w:r>
      <w:r w:rsidRPr="002B212E">
        <w:rPr>
          <w:rStyle w:val="normaltextrun"/>
          <w:rFonts w:ascii="Tahoma" w:hAnsi="Tahoma" w:cs="Tahoma"/>
        </w:rPr>
        <w:t>finalmente</w:t>
      </w:r>
      <w:r w:rsidRPr="002B212E">
        <w:rPr>
          <w:rStyle w:val="normaltextrun"/>
          <w:rFonts w:ascii="Tahoma" w:hAnsi="Tahoma" w:cs="Tahoma"/>
          <w:i/>
          <w:iCs/>
        </w:rPr>
        <w:t xml:space="preserve">, </w:t>
      </w:r>
      <w:r w:rsidR="00F41360" w:rsidRPr="002B212E">
        <w:rPr>
          <w:rStyle w:val="normaltextrun"/>
          <w:rFonts w:ascii="Tahoma" w:hAnsi="Tahoma" w:cs="Tahoma"/>
        </w:rPr>
        <w:t xml:space="preserve">que pese a que la sanción </w:t>
      </w:r>
      <w:r w:rsidRPr="002B212E">
        <w:rPr>
          <w:rStyle w:val="normaltextrun"/>
          <w:rFonts w:ascii="Tahoma" w:hAnsi="Tahoma" w:cs="Tahoma"/>
        </w:rPr>
        <w:t>contempla</w:t>
      </w:r>
      <w:r w:rsidR="00F41360" w:rsidRPr="002B212E">
        <w:rPr>
          <w:rStyle w:val="normaltextrun"/>
          <w:rFonts w:ascii="Tahoma" w:hAnsi="Tahoma" w:cs="Tahoma"/>
        </w:rPr>
        <w:t>da en</w:t>
      </w:r>
      <w:r w:rsidRPr="002B212E">
        <w:rPr>
          <w:rStyle w:val="normaltextrun"/>
          <w:rFonts w:ascii="Tahoma" w:hAnsi="Tahoma" w:cs="Tahoma"/>
        </w:rPr>
        <w:t xml:space="preserve"> la ley 50 de 1990</w:t>
      </w:r>
      <w:r w:rsidR="00F41360" w:rsidRPr="002B212E">
        <w:rPr>
          <w:rStyle w:val="normaltextrun"/>
          <w:rFonts w:ascii="Tahoma" w:hAnsi="Tahoma" w:cs="Tahoma"/>
        </w:rPr>
        <w:t xml:space="preserve">, procede por la falta </w:t>
      </w:r>
      <w:r w:rsidRPr="002B212E">
        <w:rPr>
          <w:rStyle w:val="normaltextrun"/>
          <w:rFonts w:ascii="Tahoma" w:hAnsi="Tahoma" w:cs="Tahoma"/>
        </w:rPr>
        <w:t>consignación de</w:t>
      </w:r>
      <w:r w:rsidR="00F41360" w:rsidRPr="002B212E">
        <w:rPr>
          <w:rStyle w:val="normaltextrun"/>
          <w:rFonts w:ascii="Tahoma" w:hAnsi="Tahoma" w:cs="Tahoma"/>
        </w:rPr>
        <w:t xml:space="preserve"> las cesantías y por su pago deficitario, según</w:t>
      </w:r>
      <w:r w:rsidRPr="002B212E">
        <w:rPr>
          <w:rStyle w:val="normaltextrun"/>
          <w:rFonts w:ascii="Tahoma" w:hAnsi="Tahoma" w:cs="Tahoma"/>
        </w:rPr>
        <w:t xml:space="preserve"> Sentencia del Alto Tribunal SL 4260 de 2020, dicha sanción también procede para un aporte parcial. Por lo que antecede y al no demostrarse que la conducta del empleador estuvo revestida de buena fe </w:t>
      </w:r>
      <w:r w:rsidR="00C85ED2" w:rsidRPr="002B212E">
        <w:rPr>
          <w:rStyle w:val="normaltextrun"/>
          <w:rFonts w:ascii="Tahoma" w:hAnsi="Tahoma" w:cs="Tahoma"/>
        </w:rPr>
        <w:t>impuso la respectiva condena.</w:t>
      </w:r>
    </w:p>
    <w:p w14:paraId="3105C500" w14:textId="77777777" w:rsidR="00141D8B" w:rsidRPr="002B212E" w:rsidRDefault="00141D8B" w:rsidP="002B212E">
      <w:pPr>
        <w:spacing w:line="276" w:lineRule="auto"/>
        <w:jc w:val="both"/>
        <w:rPr>
          <w:rFonts w:ascii="Tahoma" w:eastAsia="Times New Roman" w:hAnsi="Tahoma" w:cs="Tahoma"/>
          <w:color w:val="000000"/>
          <w:lang w:val="es-CO"/>
        </w:rPr>
      </w:pPr>
    </w:p>
    <w:p w14:paraId="4563648C" w14:textId="7C4956F9" w:rsidR="00141D8B" w:rsidRPr="002B212E" w:rsidRDefault="00141D8B" w:rsidP="002B212E">
      <w:pPr>
        <w:pStyle w:val="Prrafodelista"/>
        <w:numPr>
          <w:ilvl w:val="0"/>
          <w:numId w:val="1"/>
        </w:numPr>
        <w:spacing w:line="276" w:lineRule="auto"/>
        <w:jc w:val="center"/>
        <w:textAlignment w:val="baseline"/>
        <w:rPr>
          <w:rFonts w:eastAsia="Times New Roman"/>
          <w:b/>
          <w:bCs/>
          <w:color w:val="000000"/>
          <w:szCs w:val="24"/>
          <w:lang w:val="es-CO"/>
        </w:rPr>
      </w:pPr>
      <w:r w:rsidRPr="002B212E">
        <w:rPr>
          <w:rFonts w:eastAsia="Times New Roman"/>
          <w:b/>
          <w:color w:val="000000" w:themeColor="text1"/>
          <w:szCs w:val="24"/>
          <w:lang w:val="es-CO"/>
        </w:rPr>
        <w:t>Recurso de apelación</w:t>
      </w:r>
    </w:p>
    <w:p w14:paraId="111516A5" w14:textId="77777777" w:rsidR="00141D8B" w:rsidRPr="002B212E" w:rsidRDefault="00141D8B" w:rsidP="002B212E">
      <w:pPr>
        <w:spacing w:line="276" w:lineRule="auto"/>
        <w:ind w:firstLine="851"/>
        <w:jc w:val="both"/>
        <w:rPr>
          <w:rFonts w:ascii="Tahoma" w:eastAsia="Times New Roman" w:hAnsi="Tahoma" w:cs="Tahoma"/>
          <w:color w:val="000000"/>
          <w:lang w:val="es-CO"/>
        </w:rPr>
      </w:pPr>
    </w:p>
    <w:p w14:paraId="5E418D78" w14:textId="5186F45D" w:rsidR="0027184F" w:rsidRPr="002B212E" w:rsidRDefault="00002844" w:rsidP="002B212E">
      <w:pPr>
        <w:spacing w:line="276" w:lineRule="auto"/>
        <w:ind w:firstLine="851"/>
        <w:jc w:val="both"/>
        <w:rPr>
          <w:rFonts w:ascii="Tahoma" w:eastAsia="Times New Roman" w:hAnsi="Tahoma" w:cs="Tahoma"/>
          <w:color w:val="000000"/>
          <w:lang w:val="es-CO"/>
        </w:rPr>
      </w:pPr>
      <w:r w:rsidRPr="002B212E">
        <w:rPr>
          <w:rFonts w:ascii="Tahoma" w:eastAsia="Times New Roman" w:hAnsi="Tahoma" w:cs="Tahoma"/>
          <w:color w:val="000000" w:themeColor="text1"/>
          <w:lang w:val="es-CO"/>
        </w:rPr>
        <w:t>La</w:t>
      </w:r>
      <w:r w:rsidR="00141D8B" w:rsidRPr="002B212E">
        <w:rPr>
          <w:rFonts w:ascii="Tahoma" w:eastAsia="Times New Roman" w:hAnsi="Tahoma" w:cs="Tahoma"/>
          <w:color w:val="000000" w:themeColor="text1"/>
          <w:lang w:val="es-CO"/>
        </w:rPr>
        <w:t xml:space="preserve"> apoderad</w:t>
      </w:r>
      <w:r w:rsidRPr="002B212E">
        <w:rPr>
          <w:rFonts w:ascii="Tahoma" w:eastAsia="Times New Roman" w:hAnsi="Tahoma" w:cs="Tahoma"/>
          <w:color w:val="000000" w:themeColor="text1"/>
          <w:lang w:val="es-CO"/>
        </w:rPr>
        <w:t>a</w:t>
      </w:r>
      <w:r w:rsidR="00141D8B" w:rsidRPr="002B212E">
        <w:rPr>
          <w:rFonts w:ascii="Tahoma" w:eastAsia="Times New Roman" w:hAnsi="Tahoma" w:cs="Tahoma"/>
          <w:color w:val="000000" w:themeColor="text1"/>
          <w:lang w:val="es-CO"/>
        </w:rPr>
        <w:t xml:space="preserve"> judicial de </w:t>
      </w:r>
      <w:r w:rsidR="001B7204" w:rsidRPr="002B212E">
        <w:rPr>
          <w:rFonts w:ascii="Tahoma" w:eastAsia="Times New Roman" w:hAnsi="Tahoma" w:cs="Tahoma"/>
          <w:color w:val="000000" w:themeColor="text1"/>
          <w:lang w:val="es-CO"/>
        </w:rPr>
        <w:t xml:space="preserve">Huawei </w:t>
      </w:r>
      <w:proofErr w:type="spellStart"/>
      <w:r w:rsidR="001B7204" w:rsidRPr="002B212E">
        <w:rPr>
          <w:rFonts w:ascii="Tahoma" w:eastAsia="Times New Roman" w:hAnsi="Tahoma" w:cs="Tahoma"/>
          <w:color w:val="000000" w:themeColor="text1"/>
          <w:lang w:val="es-CO"/>
        </w:rPr>
        <w:t>Technologie</w:t>
      </w:r>
      <w:proofErr w:type="spellEnd"/>
      <w:r w:rsidR="001B7204" w:rsidRPr="002B212E">
        <w:rPr>
          <w:rFonts w:ascii="Tahoma" w:eastAsia="Times New Roman" w:hAnsi="Tahoma" w:cs="Tahoma"/>
          <w:color w:val="000000" w:themeColor="text1"/>
          <w:lang w:val="es-CO"/>
        </w:rPr>
        <w:t xml:space="preserve"> </w:t>
      </w:r>
      <w:proofErr w:type="spellStart"/>
      <w:r w:rsidR="001B7204" w:rsidRPr="002B212E">
        <w:rPr>
          <w:rFonts w:ascii="Tahoma" w:eastAsia="Times New Roman" w:hAnsi="Tahoma" w:cs="Tahoma"/>
          <w:color w:val="000000" w:themeColor="text1"/>
          <w:lang w:val="es-CO"/>
        </w:rPr>
        <w:t>Managed</w:t>
      </w:r>
      <w:proofErr w:type="spellEnd"/>
      <w:r w:rsidR="001B7204" w:rsidRPr="002B212E">
        <w:rPr>
          <w:rFonts w:ascii="Tahoma" w:eastAsia="Times New Roman" w:hAnsi="Tahoma" w:cs="Tahoma"/>
          <w:color w:val="000000" w:themeColor="text1"/>
          <w:lang w:val="es-CO"/>
        </w:rPr>
        <w:t xml:space="preserve"> </w:t>
      </w:r>
      <w:proofErr w:type="spellStart"/>
      <w:r w:rsidR="001B7204" w:rsidRPr="002B212E">
        <w:rPr>
          <w:rFonts w:ascii="Tahoma" w:eastAsia="Times New Roman" w:hAnsi="Tahoma" w:cs="Tahoma"/>
          <w:color w:val="000000" w:themeColor="text1"/>
          <w:lang w:val="es-CO"/>
        </w:rPr>
        <w:t>Service</w:t>
      </w:r>
      <w:proofErr w:type="spellEnd"/>
      <w:r w:rsidR="001B7204" w:rsidRPr="002B212E">
        <w:rPr>
          <w:rFonts w:ascii="Tahoma" w:eastAsia="Times New Roman" w:hAnsi="Tahoma" w:cs="Tahoma"/>
          <w:color w:val="000000" w:themeColor="text1"/>
          <w:lang w:val="es-CO"/>
        </w:rPr>
        <w:t xml:space="preserve"> </w:t>
      </w:r>
      <w:r w:rsidR="00141D8B" w:rsidRPr="002B212E">
        <w:rPr>
          <w:rFonts w:ascii="Tahoma" w:eastAsia="Times New Roman" w:hAnsi="Tahoma" w:cs="Tahoma"/>
          <w:color w:val="000000" w:themeColor="text1"/>
          <w:lang w:val="es-CO"/>
        </w:rPr>
        <w:t>atacó la decisión arguyendo</w:t>
      </w:r>
      <w:r w:rsidR="00B70338" w:rsidRPr="002B212E">
        <w:rPr>
          <w:rFonts w:ascii="Tahoma" w:eastAsia="Times New Roman" w:hAnsi="Tahoma" w:cs="Tahoma"/>
          <w:color w:val="000000" w:themeColor="text1"/>
          <w:lang w:val="es-CO"/>
        </w:rPr>
        <w:t xml:space="preserve"> que debía absolverse de</w:t>
      </w:r>
      <w:r w:rsidR="00141D8B" w:rsidRPr="002B212E">
        <w:rPr>
          <w:rFonts w:ascii="Tahoma" w:eastAsia="Times New Roman" w:hAnsi="Tahoma" w:cs="Tahoma"/>
          <w:color w:val="000000" w:themeColor="text1"/>
          <w:lang w:val="es-CO"/>
        </w:rPr>
        <w:t xml:space="preserve"> </w:t>
      </w:r>
      <w:r w:rsidR="0027184F" w:rsidRPr="002B212E">
        <w:rPr>
          <w:rFonts w:ascii="Tahoma" w:eastAsia="Times New Roman" w:hAnsi="Tahoma" w:cs="Tahoma"/>
          <w:color w:val="000000" w:themeColor="text1"/>
          <w:lang w:val="es-CO"/>
        </w:rPr>
        <w:t xml:space="preserve">la condena por el factor </w:t>
      </w:r>
      <w:proofErr w:type="spellStart"/>
      <w:r w:rsidR="0027184F" w:rsidRPr="002B212E">
        <w:rPr>
          <w:rFonts w:ascii="Tahoma" w:eastAsia="Times New Roman" w:hAnsi="Tahoma" w:cs="Tahoma"/>
          <w:color w:val="000000" w:themeColor="text1"/>
          <w:lang w:val="es-CO"/>
        </w:rPr>
        <w:t>desalarizado</w:t>
      </w:r>
      <w:proofErr w:type="spellEnd"/>
      <w:r w:rsidR="0027184F" w:rsidRPr="002B212E">
        <w:rPr>
          <w:rFonts w:ascii="Tahoma" w:eastAsia="Times New Roman" w:hAnsi="Tahoma" w:cs="Tahoma"/>
          <w:color w:val="000000" w:themeColor="text1"/>
          <w:lang w:val="es-CO"/>
        </w:rPr>
        <w:t xml:space="preserve">, </w:t>
      </w:r>
      <w:r w:rsidR="006413E0" w:rsidRPr="002B212E">
        <w:rPr>
          <w:rFonts w:ascii="Tahoma" w:eastAsia="Times New Roman" w:hAnsi="Tahoma" w:cs="Tahoma"/>
          <w:color w:val="000000" w:themeColor="text1"/>
          <w:lang w:val="es-CO"/>
        </w:rPr>
        <w:t>afirmando</w:t>
      </w:r>
      <w:r w:rsidR="002F3D30" w:rsidRPr="002B212E">
        <w:rPr>
          <w:rFonts w:ascii="Tahoma" w:eastAsia="Times New Roman" w:hAnsi="Tahoma" w:cs="Tahoma"/>
          <w:color w:val="000000" w:themeColor="text1"/>
          <w:lang w:val="es-CO"/>
        </w:rPr>
        <w:t xml:space="preserve"> que Huawei </w:t>
      </w:r>
      <w:proofErr w:type="spellStart"/>
      <w:r w:rsidR="002F3D30" w:rsidRPr="002B212E">
        <w:rPr>
          <w:rFonts w:ascii="Tahoma" w:eastAsia="Times New Roman" w:hAnsi="Tahoma" w:cs="Tahoma"/>
          <w:color w:val="000000" w:themeColor="text1"/>
          <w:lang w:val="es-CO"/>
        </w:rPr>
        <w:t>Techonologie</w:t>
      </w:r>
      <w:proofErr w:type="spellEnd"/>
      <w:r w:rsidR="002F3D30" w:rsidRPr="002B212E">
        <w:rPr>
          <w:rFonts w:ascii="Tahoma" w:eastAsia="Times New Roman" w:hAnsi="Tahoma" w:cs="Tahoma"/>
          <w:color w:val="000000" w:themeColor="text1"/>
          <w:lang w:val="es-CO"/>
        </w:rPr>
        <w:t xml:space="preserve"> desde el momento en que acept</w:t>
      </w:r>
      <w:r w:rsidR="006413E0" w:rsidRPr="002B212E">
        <w:rPr>
          <w:rFonts w:ascii="Tahoma" w:eastAsia="Times New Roman" w:hAnsi="Tahoma" w:cs="Tahoma"/>
          <w:color w:val="000000" w:themeColor="text1"/>
          <w:lang w:val="es-CO"/>
        </w:rPr>
        <w:t>ó</w:t>
      </w:r>
      <w:r w:rsidR="002F3D30" w:rsidRPr="002B212E">
        <w:rPr>
          <w:rFonts w:ascii="Tahoma" w:eastAsia="Times New Roman" w:hAnsi="Tahoma" w:cs="Tahoma"/>
          <w:color w:val="000000" w:themeColor="text1"/>
          <w:lang w:val="es-CO"/>
        </w:rPr>
        <w:t xml:space="preserve"> la sustitución ha </w:t>
      </w:r>
      <w:r w:rsidR="006413E0" w:rsidRPr="002B212E">
        <w:rPr>
          <w:rFonts w:ascii="Tahoma" w:eastAsia="Times New Roman" w:hAnsi="Tahoma" w:cs="Tahoma"/>
          <w:color w:val="000000" w:themeColor="text1"/>
          <w:lang w:val="es-CO"/>
        </w:rPr>
        <w:t>actuado</w:t>
      </w:r>
      <w:r w:rsidR="002F3D30" w:rsidRPr="002B212E">
        <w:rPr>
          <w:rFonts w:ascii="Tahoma" w:eastAsia="Times New Roman" w:hAnsi="Tahoma" w:cs="Tahoma"/>
          <w:color w:val="000000" w:themeColor="text1"/>
          <w:lang w:val="es-CO"/>
        </w:rPr>
        <w:t xml:space="preserve"> de buena fe, en </w:t>
      </w:r>
      <w:r w:rsidR="006413E0" w:rsidRPr="002B212E">
        <w:rPr>
          <w:rFonts w:ascii="Tahoma" w:eastAsia="Times New Roman" w:hAnsi="Tahoma" w:cs="Tahoma"/>
          <w:color w:val="000000" w:themeColor="text1"/>
          <w:lang w:val="es-CO"/>
        </w:rPr>
        <w:t>ningún</w:t>
      </w:r>
      <w:r w:rsidR="002F3D30" w:rsidRPr="002B212E">
        <w:rPr>
          <w:rFonts w:ascii="Tahoma" w:eastAsia="Times New Roman" w:hAnsi="Tahoma" w:cs="Tahoma"/>
          <w:color w:val="000000" w:themeColor="text1"/>
          <w:lang w:val="es-CO"/>
        </w:rPr>
        <w:t xml:space="preserve"> momento el demandante allegó reclamación alguna y el fenómeno prescriptivo denota </w:t>
      </w:r>
      <w:r w:rsidR="00B00C73" w:rsidRPr="002B212E">
        <w:rPr>
          <w:rFonts w:ascii="Tahoma" w:eastAsia="Times New Roman" w:hAnsi="Tahoma" w:cs="Tahoma"/>
          <w:color w:val="000000" w:themeColor="text1"/>
          <w:lang w:val="es-CO"/>
        </w:rPr>
        <w:t xml:space="preserve">que este jamás </w:t>
      </w:r>
      <w:r w:rsidR="00F41360" w:rsidRPr="002B212E">
        <w:rPr>
          <w:rFonts w:ascii="Tahoma" w:eastAsia="Times New Roman" w:hAnsi="Tahoma" w:cs="Tahoma"/>
          <w:color w:val="000000" w:themeColor="text1"/>
          <w:lang w:val="es-CO"/>
        </w:rPr>
        <w:t>vio vulnerados sus derechos, y por más de cuatro años guardó silencio, el cual solo rompió con la presentación de la demanda</w:t>
      </w:r>
      <w:r w:rsidR="002F3D30" w:rsidRPr="002B212E">
        <w:rPr>
          <w:rFonts w:ascii="Tahoma" w:eastAsia="Times New Roman" w:hAnsi="Tahoma" w:cs="Tahoma"/>
          <w:color w:val="000000" w:themeColor="text1"/>
          <w:lang w:val="es-CO"/>
        </w:rPr>
        <w:t>,</w:t>
      </w:r>
      <w:r w:rsidR="00F41360" w:rsidRPr="002B212E">
        <w:rPr>
          <w:rFonts w:ascii="Tahoma" w:eastAsia="Times New Roman" w:hAnsi="Tahoma" w:cs="Tahoma"/>
          <w:color w:val="000000" w:themeColor="text1"/>
          <w:lang w:val="es-CO"/>
        </w:rPr>
        <w:t xml:space="preserve"> pero en todo caso </w:t>
      </w:r>
      <w:r w:rsidR="002F3D30" w:rsidRPr="002B212E">
        <w:rPr>
          <w:rFonts w:ascii="Tahoma" w:eastAsia="Times New Roman" w:hAnsi="Tahoma" w:cs="Tahoma"/>
          <w:color w:val="000000" w:themeColor="text1"/>
          <w:lang w:val="es-CO"/>
        </w:rPr>
        <w:t xml:space="preserve">el actuar de su representada ha </w:t>
      </w:r>
      <w:r w:rsidR="00370BEC" w:rsidRPr="002B212E">
        <w:rPr>
          <w:rFonts w:ascii="Tahoma" w:eastAsia="Times New Roman" w:hAnsi="Tahoma" w:cs="Tahoma"/>
          <w:color w:val="000000" w:themeColor="text1"/>
          <w:lang w:val="es-CO"/>
        </w:rPr>
        <w:t>sido transparente</w:t>
      </w:r>
      <w:r w:rsidR="00E86AD9" w:rsidRPr="002B212E">
        <w:rPr>
          <w:rFonts w:ascii="Tahoma" w:eastAsia="Times New Roman" w:hAnsi="Tahoma" w:cs="Tahoma"/>
          <w:color w:val="000000" w:themeColor="text1"/>
          <w:lang w:val="es-CO"/>
        </w:rPr>
        <w:t xml:space="preserve"> frente al demandante dando cumplimiento </w:t>
      </w:r>
      <w:r w:rsidR="00F41360" w:rsidRPr="002B212E">
        <w:rPr>
          <w:rFonts w:ascii="Tahoma" w:eastAsia="Times New Roman" w:hAnsi="Tahoma" w:cs="Tahoma"/>
          <w:color w:val="000000" w:themeColor="text1"/>
          <w:lang w:val="es-CO"/>
        </w:rPr>
        <w:t>estricto a todos los</w:t>
      </w:r>
      <w:r w:rsidR="00E86AD9" w:rsidRPr="002B212E">
        <w:rPr>
          <w:rFonts w:ascii="Tahoma" w:eastAsia="Times New Roman" w:hAnsi="Tahoma" w:cs="Tahoma"/>
          <w:color w:val="000000" w:themeColor="text1"/>
          <w:lang w:val="es-CO"/>
        </w:rPr>
        <w:t xml:space="preserve"> acuerdos pactados, </w:t>
      </w:r>
      <w:r w:rsidR="00370BEC" w:rsidRPr="002B212E">
        <w:rPr>
          <w:rFonts w:ascii="Tahoma" w:eastAsia="Times New Roman" w:hAnsi="Tahoma" w:cs="Tahoma"/>
          <w:color w:val="000000" w:themeColor="text1"/>
          <w:lang w:val="es-CO"/>
        </w:rPr>
        <w:t>entonces</w:t>
      </w:r>
      <w:r w:rsidR="002644EB" w:rsidRPr="002B212E">
        <w:rPr>
          <w:rFonts w:ascii="Tahoma" w:eastAsia="Times New Roman" w:hAnsi="Tahoma" w:cs="Tahoma"/>
          <w:color w:val="000000" w:themeColor="text1"/>
          <w:lang w:val="es-CO"/>
        </w:rPr>
        <w:t>,</w:t>
      </w:r>
      <w:r w:rsidR="00370BEC" w:rsidRPr="002B212E">
        <w:rPr>
          <w:rFonts w:ascii="Tahoma" w:eastAsia="Times New Roman" w:hAnsi="Tahoma" w:cs="Tahoma"/>
          <w:color w:val="000000" w:themeColor="text1"/>
          <w:lang w:val="es-CO"/>
        </w:rPr>
        <w:t xml:space="preserve"> frente a esa reliquidación de intereses, cesantías</w:t>
      </w:r>
      <w:r w:rsidR="00E86AD9" w:rsidRPr="002B212E">
        <w:rPr>
          <w:rFonts w:ascii="Tahoma" w:eastAsia="Times New Roman" w:hAnsi="Tahoma" w:cs="Tahoma"/>
          <w:color w:val="000000" w:themeColor="text1"/>
          <w:lang w:val="es-CO"/>
        </w:rPr>
        <w:t xml:space="preserve">, vacaciones </w:t>
      </w:r>
      <w:r w:rsidR="00370BEC" w:rsidRPr="002B212E">
        <w:rPr>
          <w:rFonts w:ascii="Tahoma" w:eastAsia="Times New Roman" w:hAnsi="Tahoma" w:cs="Tahoma"/>
          <w:color w:val="000000" w:themeColor="text1"/>
          <w:lang w:val="es-CO"/>
        </w:rPr>
        <w:t xml:space="preserve">y aportes </w:t>
      </w:r>
      <w:r w:rsidR="00E86AD9" w:rsidRPr="002B212E">
        <w:rPr>
          <w:rFonts w:ascii="Tahoma" w:eastAsia="Times New Roman" w:hAnsi="Tahoma" w:cs="Tahoma"/>
          <w:color w:val="000000" w:themeColor="text1"/>
          <w:lang w:val="es-CO"/>
        </w:rPr>
        <w:t>a pensión solicita</w:t>
      </w:r>
      <w:r w:rsidR="00A00FF1" w:rsidRPr="002B212E">
        <w:rPr>
          <w:rFonts w:ascii="Tahoma" w:eastAsia="Times New Roman" w:hAnsi="Tahoma" w:cs="Tahoma"/>
          <w:color w:val="000000" w:themeColor="text1"/>
          <w:lang w:val="es-CO"/>
        </w:rPr>
        <w:t xml:space="preserve"> que</w:t>
      </w:r>
      <w:r w:rsidR="00E86AD9" w:rsidRPr="002B212E">
        <w:rPr>
          <w:rFonts w:ascii="Tahoma" w:eastAsia="Times New Roman" w:hAnsi="Tahoma" w:cs="Tahoma"/>
          <w:color w:val="000000" w:themeColor="text1"/>
          <w:lang w:val="es-CO"/>
        </w:rPr>
        <w:t xml:space="preserve"> se revoque la condena. </w:t>
      </w:r>
    </w:p>
    <w:p w14:paraId="284890B2" w14:textId="77777777" w:rsidR="00E86AD9" w:rsidRPr="002B212E" w:rsidRDefault="00E86AD9" w:rsidP="002B212E">
      <w:pPr>
        <w:spacing w:line="276" w:lineRule="auto"/>
        <w:ind w:firstLine="851"/>
        <w:jc w:val="both"/>
        <w:rPr>
          <w:rFonts w:ascii="Tahoma" w:eastAsia="Times New Roman" w:hAnsi="Tahoma" w:cs="Tahoma"/>
          <w:color w:val="000000"/>
          <w:lang w:val="es-CO"/>
        </w:rPr>
      </w:pPr>
    </w:p>
    <w:p w14:paraId="2E004B3B" w14:textId="71143F4F" w:rsidR="004513A7" w:rsidRPr="002B212E" w:rsidRDefault="00E86AD9" w:rsidP="002B212E">
      <w:pPr>
        <w:spacing w:line="276" w:lineRule="auto"/>
        <w:ind w:firstLine="851"/>
        <w:jc w:val="both"/>
        <w:rPr>
          <w:rFonts w:ascii="Tahoma" w:eastAsia="Times New Roman" w:hAnsi="Tahoma" w:cs="Tahoma"/>
          <w:color w:val="000000"/>
          <w:lang w:val="es-CO"/>
        </w:rPr>
      </w:pPr>
      <w:r w:rsidRPr="002B212E">
        <w:rPr>
          <w:rFonts w:ascii="Tahoma" w:eastAsia="Times New Roman" w:hAnsi="Tahoma" w:cs="Tahoma"/>
          <w:color w:val="000000"/>
          <w:lang w:val="es-CO"/>
        </w:rPr>
        <w:t>Frente al tema de disponibilidad</w:t>
      </w:r>
      <w:r w:rsidR="002B64A1" w:rsidRPr="002B212E">
        <w:rPr>
          <w:rFonts w:ascii="Tahoma" w:eastAsia="Times New Roman" w:hAnsi="Tahoma" w:cs="Tahoma"/>
          <w:color w:val="000000"/>
          <w:lang w:val="es-CO"/>
        </w:rPr>
        <w:t xml:space="preserve">, afirma que solo con </w:t>
      </w:r>
      <w:r w:rsidR="00E76EDB" w:rsidRPr="002B212E">
        <w:rPr>
          <w:rFonts w:ascii="Tahoma" w:eastAsia="Times New Roman" w:hAnsi="Tahoma" w:cs="Tahoma"/>
          <w:color w:val="000000"/>
          <w:lang w:val="es-CO"/>
        </w:rPr>
        <w:t>posterioridad</w:t>
      </w:r>
      <w:r w:rsidR="002B64A1" w:rsidRPr="002B212E">
        <w:rPr>
          <w:rFonts w:ascii="Tahoma" w:eastAsia="Times New Roman" w:hAnsi="Tahoma" w:cs="Tahoma"/>
          <w:color w:val="000000"/>
          <w:lang w:val="es-CO"/>
        </w:rPr>
        <w:t xml:space="preserve"> a la sentencia </w:t>
      </w:r>
      <w:r w:rsidR="001E0307" w:rsidRPr="002B212E">
        <w:rPr>
          <w:rFonts w:ascii="Tahoma" w:eastAsia="Times New Roman" w:hAnsi="Tahoma" w:cs="Tahoma"/>
          <w:color w:val="000000"/>
          <w:lang w:val="es-CO"/>
        </w:rPr>
        <w:t>SL</w:t>
      </w:r>
      <w:r w:rsidR="00F7611E" w:rsidRPr="002B212E">
        <w:rPr>
          <w:rFonts w:ascii="Tahoma" w:eastAsia="Times New Roman" w:hAnsi="Tahoma" w:cs="Tahoma"/>
          <w:color w:val="000000"/>
          <w:lang w:val="es-CO"/>
        </w:rPr>
        <w:t>5</w:t>
      </w:r>
      <w:r w:rsidR="001E0307" w:rsidRPr="002B212E">
        <w:rPr>
          <w:rFonts w:ascii="Tahoma" w:eastAsia="Times New Roman" w:hAnsi="Tahoma" w:cs="Tahoma"/>
          <w:color w:val="000000"/>
          <w:lang w:val="es-CO"/>
        </w:rPr>
        <w:t>58</w:t>
      </w:r>
      <w:r w:rsidR="00396EC2" w:rsidRPr="002B212E">
        <w:rPr>
          <w:rFonts w:ascii="Tahoma" w:eastAsia="Times New Roman" w:hAnsi="Tahoma" w:cs="Tahoma"/>
          <w:color w:val="000000"/>
          <w:lang w:val="es-CO"/>
        </w:rPr>
        <w:t xml:space="preserve">4 </w:t>
      </w:r>
      <w:r w:rsidRPr="002B212E">
        <w:rPr>
          <w:rFonts w:ascii="Tahoma" w:eastAsia="Times New Roman" w:hAnsi="Tahoma" w:cs="Tahoma"/>
          <w:color w:val="000000"/>
          <w:lang w:val="es-CO"/>
        </w:rPr>
        <w:t>del 5 de abril de 2017</w:t>
      </w:r>
      <w:r w:rsidR="002B64A1" w:rsidRPr="002B212E">
        <w:rPr>
          <w:rFonts w:ascii="Tahoma" w:eastAsia="Times New Roman" w:hAnsi="Tahoma" w:cs="Tahoma"/>
          <w:color w:val="000000"/>
          <w:lang w:val="es-CO"/>
        </w:rPr>
        <w:t xml:space="preserve"> contra la empresa de Comunicaciones de </w:t>
      </w:r>
      <w:r w:rsidR="002B64A1" w:rsidRPr="002B212E">
        <w:rPr>
          <w:rFonts w:ascii="Tahoma" w:eastAsia="Times New Roman" w:hAnsi="Tahoma" w:cs="Tahoma"/>
          <w:color w:val="000000"/>
          <w:lang w:val="es-CO"/>
        </w:rPr>
        <w:lastRenderedPageBreak/>
        <w:t>Pereira</w:t>
      </w:r>
      <w:r w:rsidR="007112A0" w:rsidRPr="002B212E">
        <w:rPr>
          <w:rFonts w:ascii="Tahoma" w:eastAsia="Times New Roman" w:hAnsi="Tahoma" w:cs="Tahoma"/>
          <w:color w:val="000000"/>
          <w:lang w:val="es-CO"/>
        </w:rPr>
        <w:t>, la Corte Suprema de Justicia modificó la posición que tení</w:t>
      </w:r>
      <w:r w:rsidR="00827364" w:rsidRPr="002B212E">
        <w:rPr>
          <w:rFonts w:ascii="Tahoma" w:eastAsia="Times New Roman" w:hAnsi="Tahoma" w:cs="Tahoma"/>
          <w:color w:val="000000"/>
          <w:lang w:val="es-CO"/>
        </w:rPr>
        <w:t>a respecto de la disponibilidad;</w:t>
      </w:r>
      <w:r w:rsidR="007112A0" w:rsidRPr="002B212E">
        <w:rPr>
          <w:rFonts w:ascii="Tahoma" w:eastAsia="Times New Roman" w:hAnsi="Tahoma" w:cs="Tahoma"/>
          <w:color w:val="000000"/>
          <w:lang w:val="es-CO"/>
        </w:rPr>
        <w:t xml:space="preserve"> con anteriori</w:t>
      </w:r>
      <w:r w:rsidR="00F41360" w:rsidRPr="002B212E">
        <w:rPr>
          <w:rFonts w:ascii="Tahoma" w:eastAsia="Times New Roman" w:hAnsi="Tahoma" w:cs="Tahoma"/>
          <w:color w:val="000000"/>
          <w:lang w:val="es-CO"/>
        </w:rPr>
        <w:t>dad, la tesis adoptada se basaba</w:t>
      </w:r>
      <w:r w:rsidR="007112A0" w:rsidRPr="002B212E">
        <w:rPr>
          <w:rFonts w:ascii="Tahoma" w:eastAsia="Times New Roman" w:hAnsi="Tahoma" w:cs="Tahoma"/>
          <w:color w:val="000000"/>
          <w:lang w:val="es-CO"/>
        </w:rPr>
        <w:t xml:space="preserve"> en la remuneración únicamente del trabajo efectivo en los turnos</w:t>
      </w:r>
      <w:r w:rsidR="00B9584C" w:rsidRPr="002B212E">
        <w:rPr>
          <w:rFonts w:ascii="Tahoma" w:eastAsia="Times New Roman" w:hAnsi="Tahoma" w:cs="Tahoma"/>
          <w:color w:val="000000"/>
          <w:lang w:val="es-CO"/>
        </w:rPr>
        <w:t xml:space="preserve"> de disponibilidad.</w:t>
      </w:r>
      <w:r w:rsidR="007112A0" w:rsidRPr="002B212E">
        <w:rPr>
          <w:rFonts w:ascii="Tahoma" w:eastAsia="Times New Roman" w:hAnsi="Tahoma" w:cs="Tahoma"/>
          <w:color w:val="000000"/>
          <w:lang w:val="es-CO"/>
        </w:rPr>
        <w:t xml:space="preserve"> </w:t>
      </w:r>
      <w:r w:rsidR="00B9584C" w:rsidRPr="002B212E">
        <w:rPr>
          <w:rFonts w:ascii="Tahoma" w:eastAsia="Times New Roman" w:hAnsi="Tahoma" w:cs="Tahoma"/>
          <w:color w:val="000000"/>
          <w:lang w:val="es-CO"/>
        </w:rPr>
        <w:t>P</w:t>
      </w:r>
      <w:r w:rsidR="00936EEA" w:rsidRPr="002B212E">
        <w:rPr>
          <w:rFonts w:ascii="Tahoma" w:eastAsia="Times New Roman" w:hAnsi="Tahoma" w:cs="Tahoma"/>
          <w:color w:val="000000"/>
          <w:lang w:val="es-CO"/>
        </w:rPr>
        <w:t xml:space="preserve">or tal razón, </w:t>
      </w:r>
      <w:r w:rsidR="00B9584C" w:rsidRPr="002B212E">
        <w:rPr>
          <w:rFonts w:ascii="Tahoma" w:eastAsia="Times New Roman" w:hAnsi="Tahoma" w:cs="Tahoma"/>
          <w:color w:val="000000"/>
          <w:lang w:val="es-CO"/>
        </w:rPr>
        <w:t>considera</w:t>
      </w:r>
      <w:r w:rsidR="00936EEA" w:rsidRPr="002B212E">
        <w:rPr>
          <w:rFonts w:ascii="Tahoma" w:eastAsia="Times New Roman" w:hAnsi="Tahoma" w:cs="Tahoma"/>
          <w:color w:val="000000"/>
          <w:lang w:val="es-CO"/>
        </w:rPr>
        <w:t xml:space="preserve"> que su representada actuó</w:t>
      </w:r>
      <w:r w:rsidR="00F41360" w:rsidRPr="002B212E">
        <w:rPr>
          <w:rFonts w:ascii="Tahoma" w:eastAsia="Times New Roman" w:hAnsi="Tahoma" w:cs="Tahoma"/>
          <w:color w:val="000000"/>
          <w:lang w:val="es-CO"/>
        </w:rPr>
        <w:t xml:space="preserve"> de acuerdo con </w:t>
      </w:r>
      <w:r w:rsidR="00936EEA" w:rsidRPr="002B212E">
        <w:rPr>
          <w:rFonts w:ascii="Tahoma" w:eastAsia="Times New Roman" w:hAnsi="Tahoma" w:cs="Tahoma"/>
          <w:color w:val="000000"/>
          <w:lang w:val="es-CO"/>
        </w:rPr>
        <w:t xml:space="preserve">la jurisprudencia vigente </w:t>
      </w:r>
      <w:r w:rsidR="00396EC2" w:rsidRPr="002B212E">
        <w:rPr>
          <w:rFonts w:ascii="Tahoma" w:eastAsia="Times New Roman" w:hAnsi="Tahoma" w:cs="Tahoma"/>
          <w:color w:val="000000"/>
          <w:lang w:val="es-CO"/>
        </w:rPr>
        <w:t>p</w:t>
      </w:r>
      <w:r w:rsidR="00936EEA" w:rsidRPr="002B212E">
        <w:rPr>
          <w:rFonts w:ascii="Tahoma" w:eastAsia="Times New Roman" w:hAnsi="Tahoma" w:cs="Tahoma"/>
          <w:color w:val="000000"/>
          <w:lang w:val="es-CO"/>
        </w:rPr>
        <w:t>ara la época</w:t>
      </w:r>
      <w:r w:rsidR="0096691E" w:rsidRPr="002B212E">
        <w:rPr>
          <w:rFonts w:ascii="Tahoma" w:eastAsia="Times New Roman" w:hAnsi="Tahoma" w:cs="Tahoma"/>
          <w:color w:val="000000"/>
          <w:lang w:val="es-CO"/>
        </w:rPr>
        <w:t>, además porque los testigo</w:t>
      </w:r>
      <w:r w:rsidR="00B9584C" w:rsidRPr="002B212E">
        <w:rPr>
          <w:rFonts w:ascii="Tahoma" w:eastAsia="Times New Roman" w:hAnsi="Tahoma" w:cs="Tahoma"/>
          <w:color w:val="000000"/>
          <w:lang w:val="es-CO"/>
        </w:rPr>
        <w:t>s</w:t>
      </w:r>
      <w:r w:rsidR="0096691E" w:rsidRPr="002B212E">
        <w:rPr>
          <w:rFonts w:ascii="Tahoma" w:eastAsia="Times New Roman" w:hAnsi="Tahoma" w:cs="Tahoma"/>
          <w:color w:val="000000"/>
          <w:lang w:val="es-CO"/>
        </w:rPr>
        <w:t xml:space="preserve"> manifestaron que cuando </w:t>
      </w:r>
      <w:r w:rsidR="00B9584C" w:rsidRPr="002B212E">
        <w:rPr>
          <w:rFonts w:ascii="Tahoma" w:eastAsia="Times New Roman" w:hAnsi="Tahoma" w:cs="Tahoma"/>
          <w:color w:val="000000"/>
          <w:lang w:val="es-CO"/>
        </w:rPr>
        <w:t>estaban en disponibilidad, no siempre se ocupaban de</w:t>
      </w:r>
      <w:r w:rsidR="0096691E" w:rsidRPr="002B212E">
        <w:rPr>
          <w:rFonts w:ascii="Tahoma" w:eastAsia="Times New Roman" w:hAnsi="Tahoma" w:cs="Tahoma"/>
          <w:color w:val="000000"/>
          <w:lang w:val="es-CO"/>
        </w:rPr>
        <w:t xml:space="preserve"> actividades laborales</w:t>
      </w:r>
      <w:r w:rsidR="00D118FA" w:rsidRPr="002B212E">
        <w:rPr>
          <w:rFonts w:ascii="Tahoma" w:eastAsia="Times New Roman" w:hAnsi="Tahoma" w:cs="Tahoma"/>
          <w:color w:val="000000"/>
          <w:lang w:val="es-CO"/>
        </w:rPr>
        <w:t>, aunado a que</w:t>
      </w:r>
      <w:r w:rsidR="00B9584C" w:rsidRPr="002B212E">
        <w:rPr>
          <w:rFonts w:ascii="Tahoma" w:eastAsia="Times New Roman" w:hAnsi="Tahoma" w:cs="Tahoma"/>
          <w:color w:val="000000"/>
          <w:lang w:val="es-CO"/>
        </w:rPr>
        <w:t>,</w:t>
      </w:r>
      <w:r w:rsidR="00D118FA" w:rsidRPr="002B212E">
        <w:rPr>
          <w:rFonts w:ascii="Tahoma" w:eastAsia="Times New Roman" w:hAnsi="Tahoma" w:cs="Tahoma"/>
          <w:color w:val="000000"/>
          <w:lang w:val="es-CO"/>
        </w:rPr>
        <w:t xml:space="preserve"> con posterioridad a la variación de la jurisprudencia</w:t>
      </w:r>
      <w:r w:rsidR="00B9584C" w:rsidRPr="002B212E">
        <w:rPr>
          <w:rFonts w:ascii="Tahoma" w:eastAsia="Times New Roman" w:hAnsi="Tahoma" w:cs="Tahoma"/>
          <w:color w:val="000000"/>
          <w:lang w:val="es-CO"/>
        </w:rPr>
        <w:t>, la empresa</w:t>
      </w:r>
      <w:r w:rsidR="00D118FA" w:rsidRPr="002B212E">
        <w:rPr>
          <w:rFonts w:ascii="Tahoma" w:eastAsia="Times New Roman" w:hAnsi="Tahoma" w:cs="Tahoma"/>
          <w:color w:val="000000"/>
          <w:lang w:val="es-CO"/>
        </w:rPr>
        <w:t xml:space="preserve"> tomó todas las </w:t>
      </w:r>
      <w:r w:rsidR="001E0307" w:rsidRPr="002B212E">
        <w:rPr>
          <w:rFonts w:ascii="Tahoma" w:eastAsia="Times New Roman" w:hAnsi="Tahoma" w:cs="Tahoma"/>
          <w:color w:val="000000"/>
          <w:lang w:val="es-CO"/>
        </w:rPr>
        <w:t>acciones necesarias para adecuar el actuar de la compañía a la nueva visión jurisprudencial</w:t>
      </w:r>
      <w:r w:rsidR="008937E9" w:rsidRPr="002B212E">
        <w:rPr>
          <w:rFonts w:ascii="Tahoma" w:eastAsia="Times New Roman" w:hAnsi="Tahoma" w:cs="Tahoma"/>
          <w:color w:val="000000"/>
          <w:lang w:val="es-CO"/>
        </w:rPr>
        <w:t>, hecho que denota un</w:t>
      </w:r>
      <w:r w:rsidR="00F41360" w:rsidRPr="002B212E">
        <w:rPr>
          <w:rFonts w:ascii="Tahoma" w:eastAsia="Times New Roman" w:hAnsi="Tahoma" w:cs="Tahoma"/>
          <w:color w:val="000000"/>
          <w:lang w:val="es-CO"/>
        </w:rPr>
        <w:t xml:space="preserve"> comportamiento revestido</w:t>
      </w:r>
      <w:r w:rsidR="008937E9" w:rsidRPr="002B212E">
        <w:rPr>
          <w:rFonts w:ascii="Tahoma" w:eastAsia="Times New Roman" w:hAnsi="Tahoma" w:cs="Tahoma"/>
          <w:color w:val="000000"/>
          <w:lang w:val="es-CO"/>
        </w:rPr>
        <w:t xml:space="preserve"> de buena fe</w:t>
      </w:r>
      <w:r w:rsidR="00BB71D8" w:rsidRPr="002B212E">
        <w:rPr>
          <w:rFonts w:ascii="Tahoma" w:eastAsia="Times New Roman" w:hAnsi="Tahoma" w:cs="Tahoma"/>
          <w:color w:val="000000"/>
          <w:lang w:val="es-CO"/>
        </w:rPr>
        <w:t xml:space="preserve">. </w:t>
      </w:r>
    </w:p>
    <w:p w14:paraId="73EFA993" w14:textId="77777777" w:rsidR="004513A7" w:rsidRPr="002B212E" w:rsidRDefault="004513A7" w:rsidP="002B212E">
      <w:pPr>
        <w:spacing w:line="276" w:lineRule="auto"/>
        <w:ind w:firstLine="851"/>
        <w:jc w:val="both"/>
        <w:rPr>
          <w:rFonts w:ascii="Tahoma" w:eastAsia="Times New Roman" w:hAnsi="Tahoma" w:cs="Tahoma"/>
          <w:color w:val="000000"/>
          <w:lang w:val="es-CO"/>
        </w:rPr>
      </w:pPr>
    </w:p>
    <w:p w14:paraId="3E7EBCAB" w14:textId="1FB570EC" w:rsidR="00E76EDB" w:rsidRPr="002B212E" w:rsidRDefault="00BB71D8" w:rsidP="002B212E">
      <w:pPr>
        <w:spacing w:line="276" w:lineRule="auto"/>
        <w:ind w:firstLine="851"/>
        <w:jc w:val="both"/>
        <w:rPr>
          <w:rFonts w:ascii="Tahoma" w:eastAsia="Times New Roman" w:hAnsi="Tahoma" w:cs="Tahoma"/>
          <w:color w:val="000000"/>
          <w:lang w:val="es-CO"/>
        </w:rPr>
      </w:pPr>
      <w:r w:rsidRPr="002B212E">
        <w:rPr>
          <w:rFonts w:ascii="Tahoma" w:eastAsia="Times New Roman" w:hAnsi="Tahoma" w:cs="Tahoma"/>
          <w:color w:val="000000" w:themeColor="text1"/>
          <w:lang w:val="es-CO"/>
        </w:rPr>
        <w:t xml:space="preserve">Solicita que se revise </w:t>
      </w:r>
      <w:r w:rsidR="00A00FF1" w:rsidRPr="002B212E">
        <w:rPr>
          <w:rFonts w:ascii="Tahoma" w:eastAsia="Times New Roman" w:hAnsi="Tahoma" w:cs="Tahoma"/>
          <w:color w:val="000000" w:themeColor="text1"/>
          <w:lang w:val="es-CO"/>
        </w:rPr>
        <w:t>el tema</w:t>
      </w:r>
      <w:r w:rsidRPr="002B212E">
        <w:rPr>
          <w:rFonts w:ascii="Tahoma" w:eastAsia="Times New Roman" w:hAnsi="Tahoma" w:cs="Tahoma"/>
          <w:color w:val="000000" w:themeColor="text1"/>
          <w:lang w:val="es-CO"/>
        </w:rPr>
        <w:t xml:space="preserve"> de los turnos de disponibilidad</w:t>
      </w:r>
      <w:r w:rsidR="00A13057" w:rsidRPr="002B212E">
        <w:rPr>
          <w:rFonts w:ascii="Tahoma" w:eastAsia="Times New Roman" w:hAnsi="Tahoma" w:cs="Tahoma"/>
          <w:color w:val="000000" w:themeColor="text1"/>
          <w:lang w:val="es-CO"/>
        </w:rPr>
        <w:t xml:space="preserve"> señalando que no existe claridad en los turnos laborados</w:t>
      </w:r>
      <w:r w:rsidR="00A00FF1" w:rsidRPr="002B212E">
        <w:rPr>
          <w:rFonts w:ascii="Tahoma" w:eastAsia="Times New Roman" w:hAnsi="Tahoma" w:cs="Tahoma"/>
          <w:color w:val="000000" w:themeColor="text1"/>
          <w:lang w:val="es-CO"/>
        </w:rPr>
        <w:t xml:space="preserve"> y</w:t>
      </w:r>
      <w:r w:rsidR="00F41360" w:rsidRPr="002B212E">
        <w:rPr>
          <w:rFonts w:ascii="Tahoma" w:eastAsia="Times New Roman" w:hAnsi="Tahoma" w:cs="Tahoma"/>
          <w:color w:val="000000" w:themeColor="text1"/>
          <w:lang w:val="es-CO"/>
        </w:rPr>
        <w:t xml:space="preserve"> la</w:t>
      </w:r>
      <w:r w:rsidR="00A13057" w:rsidRPr="002B212E">
        <w:rPr>
          <w:rFonts w:ascii="Tahoma" w:eastAsia="Times New Roman" w:hAnsi="Tahoma" w:cs="Tahoma"/>
          <w:color w:val="000000" w:themeColor="text1"/>
          <w:lang w:val="es-CO"/>
        </w:rPr>
        <w:t xml:space="preserve"> sanción por</w:t>
      </w:r>
      <w:r w:rsidR="00A00FF1" w:rsidRPr="002B212E">
        <w:rPr>
          <w:rFonts w:ascii="Tahoma" w:eastAsia="Times New Roman" w:hAnsi="Tahoma" w:cs="Tahoma"/>
          <w:color w:val="000000" w:themeColor="text1"/>
          <w:lang w:val="es-CO"/>
        </w:rPr>
        <w:t xml:space="preserve"> la</w:t>
      </w:r>
      <w:r w:rsidR="00A13057" w:rsidRPr="002B212E">
        <w:rPr>
          <w:rFonts w:ascii="Tahoma" w:eastAsia="Times New Roman" w:hAnsi="Tahoma" w:cs="Tahoma"/>
          <w:color w:val="000000" w:themeColor="text1"/>
          <w:lang w:val="es-CO"/>
        </w:rPr>
        <w:t xml:space="preserve"> no consignación de cesantías, no debe ser indefinida </w:t>
      </w:r>
      <w:r w:rsidR="004E2812" w:rsidRPr="002B212E">
        <w:rPr>
          <w:rFonts w:ascii="Tahoma" w:eastAsia="Times New Roman" w:hAnsi="Tahoma" w:cs="Tahoma"/>
          <w:color w:val="000000" w:themeColor="text1"/>
          <w:lang w:val="es-CO"/>
        </w:rPr>
        <w:t>y</w:t>
      </w:r>
      <w:r w:rsidR="00F41360" w:rsidRPr="002B212E">
        <w:rPr>
          <w:rFonts w:ascii="Tahoma" w:eastAsia="Times New Roman" w:hAnsi="Tahoma" w:cs="Tahoma"/>
          <w:color w:val="000000" w:themeColor="text1"/>
          <w:lang w:val="es-CO"/>
        </w:rPr>
        <w:t>,</w:t>
      </w:r>
      <w:r w:rsidR="004E2812" w:rsidRPr="002B212E">
        <w:rPr>
          <w:rFonts w:ascii="Tahoma" w:eastAsia="Times New Roman" w:hAnsi="Tahoma" w:cs="Tahoma"/>
          <w:color w:val="000000" w:themeColor="text1"/>
          <w:lang w:val="es-CO"/>
        </w:rPr>
        <w:t xml:space="preserve"> contrario a la liquidación de primera instancia debe tenerse en cuenta el salario devengado año por año y no únicamente el último </w:t>
      </w:r>
      <w:r w:rsidR="001D09EE" w:rsidRPr="002B212E">
        <w:rPr>
          <w:rFonts w:ascii="Tahoma" w:eastAsia="Times New Roman" w:hAnsi="Tahoma" w:cs="Tahoma"/>
          <w:color w:val="000000" w:themeColor="text1"/>
          <w:lang w:val="es-CO"/>
        </w:rPr>
        <w:t>salario.</w:t>
      </w:r>
      <w:r w:rsidRPr="002B212E">
        <w:rPr>
          <w:rFonts w:ascii="Tahoma" w:eastAsia="Times New Roman" w:hAnsi="Tahoma" w:cs="Tahoma"/>
          <w:color w:val="000000" w:themeColor="text1"/>
          <w:lang w:val="es-CO"/>
        </w:rPr>
        <w:t xml:space="preserve"> </w:t>
      </w:r>
      <w:r w:rsidR="00E82086" w:rsidRPr="002B212E">
        <w:rPr>
          <w:rFonts w:ascii="Tahoma" w:eastAsia="Times New Roman" w:hAnsi="Tahoma" w:cs="Tahoma"/>
          <w:color w:val="000000" w:themeColor="text1"/>
          <w:lang w:val="es-CO"/>
        </w:rPr>
        <w:t>Por último, peticiona que se extienda la excepción de prescripción a la reliquidación de aportes</w:t>
      </w:r>
      <w:r w:rsidR="006413E0" w:rsidRPr="002B212E">
        <w:rPr>
          <w:rFonts w:ascii="Tahoma" w:eastAsia="Times New Roman" w:hAnsi="Tahoma" w:cs="Tahoma"/>
          <w:color w:val="000000" w:themeColor="text1"/>
          <w:lang w:val="es-CO"/>
        </w:rPr>
        <w:t>.</w:t>
      </w:r>
    </w:p>
    <w:p w14:paraId="115566B2" w14:textId="77777777" w:rsidR="001271C8" w:rsidRPr="002B212E" w:rsidRDefault="001271C8" w:rsidP="002B212E">
      <w:pPr>
        <w:spacing w:line="276" w:lineRule="auto"/>
        <w:ind w:firstLine="851"/>
        <w:jc w:val="both"/>
        <w:rPr>
          <w:rFonts w:ascii="Tahoma" w:eastAsia="Times New Roman" w:hAnsi="Tahoma" w:cs="Tahoma"/>
          <w:color w:val="000000"/>
          <w:lang w:val="es-CO"/>
        </w:rPr>
      </w:pPr>
    </w:p>
    <w:p w14:paraId="726B8C80" w14:textId="77777777" w:rsidR="00141D8B" w:rsidRPr="002B212E" w:rsidRDefault="00141D8B" w:rsidP="002B212E">
      <w:pPr>
        <w:pStyle w:val="Prrafodelista"/>
        <w:widowControl w:val="0"/>
        <w:numPr>
          <w:ilvl w:val="0"/>
          <w:numId w:val="12"/>
        </w:numPr>
        <w:autoSpaceDE w:val="0"/>
        <w:autoSpaceDN w:val="0"/>
        <w:adjustRightInd w:val="0"/>
        <w:spacing w:line="276" w:lineRule="auto"/>
        <w:ind w:left="0" w:firstLine="142"/>
        <w:jc w:val="center"/>
        <w:rPr>
          <w:b/>
          <w:caps/>
          <w:szCs w:val="24"/>
        </w:rPr>
      </w:pPr>
      <w:r w:rsidRPr="002B212E">
        <w:rPr>
          <w:b/>
          <w:szCs w:val="24"/>
        </w:rPr>
        <w:t>Alegatos de conclusión</w:t>
      </w:r>
    </w:p>
    <w:p w14:paraId="4793EF70" w14:textId="77777777" w:rsidR="001271C8" w:rsidRPr="002B212E" w:rsidRDefault="001271C8" w:rsidP="002B212E">
      <w:pPr>
        <w:widowControl w:val="0"/>
        <w:autoSpaceDE w:val="0"/>
        <w:autoSpaceDN w:val="0"/>
        <w:adjustRightInd w:val="0"/>
        <w:spacing w:line="276" w:lineRule="auto"/>
        <w:jc w:val="both"/>
        <w:rPr>
          <w:rFonts w:ascii="Tahoma" w:hAnsi="Tahoma" w:cs="Tahoma"/>
        </w:rPr>
      </w:pPr>
    </w:p>
    <w:p w14:paraId="6A770FCB" w14:textId="6C3E4CFB" w:rsidR="00141D8B" w:rsidRPr="002B212E" w:rsidRDefault="00141D8B" w:rsidP="002B212E">
      <w:pPr>
        <w:spacing w:line="276" w:lineRule="auto"/>
        <w:ind w:firstLine="708"/>
        <w:jc w:val="both"/>
        <w:rPr>
          <w:rStyle w:val="normaltextrun"/>
          <w:rFonts w:ascii="Tahoma" w:hAnsi="Tahoma" w:cs="Tahoma"/>
        </w:rPr>
      </w:pPr>
      <w:r w:rsidRPr="002B212E">
        <w:rPr>
          <w:rStyle w:val="normaltextrun"/>
          <w:rFonts w:ascii="Tahoma" w:hAnsi="Tahoma" w:cs="Tahoma"/>
          <w:color w:val="000000"/>
        </w:rPr>
        <w:t>Analizado los escritos de alegatos presentados por la demandada, mismos que obran en el expediente digital y a los cual</w:t>
      </w:r>
      <w:r w:rsidR="00C12D4F" w:rsidRPr="002B212E">
        <w:rPr>
          <w:rStyle w:val="normaltextrun"/>
          <w:rFonts w:ascii="Tahoma" w:hAnsi="Tahoma" w:cs="Tahoma"/>
          <w:color w:val="000000"/>
        </w:rPr>
        <w:t>es</w:t>
      </w:r>
      <w:r w:rsidRPr="002B212E">
        <w:rPr>
          <w:rStyle w:val="normaltextrun"/>
          <w:rFonts w:ascii="Tahoma" w:hAnsi="Tahoma" w:cs="Tahoma"/>
          <w:color w:val="000000"/>
        </w:rPr>
        <w:t xml:space="preserve"> nos remitimos por economía procesal en virtud del artículo 280 del C.G.P., la Sala encuentra que los argumentos fácticos y jurí</w:t>
      </w:r>
      <w:r w:rsidR="00C12D4F" w:rsidRPr="002B212E">
        <w:rPr>
          <w:rStyle w:val="normaltextrun"/>
          <w:rFonts w:ascii="Tahoma" w:hAnsi="Tahoma" w:cs="Tahoma"/>
          <w:color w:val="000000"/>
        </w:rPr>
        <w:t xml:space="preserve">dicos expresados concuerdan con </w:t>
      </w:r>
      <w:r w:rsidRPr="002B212E">
        <w:rPr>
          <w:rStyle w:val="normaltextrun"/>
          <w:rFonts w:ascii="Tahoma" w:hAnsi="Tahoma" w:cs="Tahoma"/>
          <w:color w:val="000000"/>
        </w:rPr>
        <w:t>lo</w:t>
      </w:r>
      <w:r w:rsidR="00C12D4F" w:rsidRPr="002B212E">
        <w:rPr>
          <w:rStyle w:val="normaltextrun"/>
          <w:rFonts w:ascii="Tahoma" w:hAnsi="Tahoma" w:cs="Tahoma"/>
          <w:color w:val="000000"/>
        </w:rPr>
        <w:t xml:space="preserve">s puntos </w:t>
      </w:r>
      <w:r w:rsidRPr="002B212E">
        <w:rPr>
          <w:rStyle w:val="normaltextrun"/>
          <w:rFonts w:ascii="Tahoma" w:hAnsi="Tahoma" w:cs="Tahoma"/>
          <w:color w:val="000000"/>
        </w:rPr>
        <w:t>objeto de discusión en esta instancia y se relacionan con los problemas jurídico</w:t>
      </w:r>
      <w:r w:rsidR="00C12D4F" w:rsidRPr="002B212E">
        <w:rPr>
          <w:rStyle w:val="normaltextrun"/>
          <w:rFonts w:ascii="Tahoma" w:hAnsi="Tahoma" w:cs="Tahoma"/>
          <w:color w:val="000000"/>
        </w:rPr>
        <w:t>s</w:t>
      </w:r>
      <w:r w:rsidRPr="002B212E">
        <w:rPr>
          <w:rStyle w:val="normaltextrun"/>
          <w:rFonts w:ascii="Tahoma" w:hAnsi="Tahoma" w:cs="Tahoma"/>
          <w:color w:val="000000"/>
        </w:rPr>
        <w:t xml:space="preserve"> que se expresarán más adelante.</w:t>
      </w:r>
      <w:r w:rsidR="002446B6" w:rsidRPr="002B212E">
        <w:rPr>
          <w:rStyle w:val="normaltextrun"/>
          <w:rFonts w:ascii="Tahoma" w:hAnsi="Tahoma" w:cs="Tahoma"/>
          <w:color w:val="000000"/>
        </w:rPr>
        <w:t xml:space="preserve"> </w:t>
      </w:r>
      <w:r w:rsidR="002446B6" w:rsidRPr="002B212E">
        <w:rPr>
          <w:rStyle w:val="normaltextrun"/>
          <w:rFonts w:ascii="Tahoma" w:hAnsi="Tahoma" w:cs="Tahoma"/>
          <w:color w:val="000000" w:themeColor="text1"/>
        </w:rPr>
        <w:t>Por su parte el demandante dejó transcurrir el término en silencio.</w:t>
      </w:r>
    </w:p>
    <w:p w14:paraId="14516753" w14:textId="77777777" w:rsidR="001271C8" w:rsidRPr="002B212E" w:rsidRDefault="001271C8" w:rsidP="002B212E">
      <w:pPr>
        <w:spacing w:line="276" w:lineRule="auto"/>
        <w:ind w:firstLine="851"/>
        <w:jc w:val="both"/>
        <w:rPr>
          <w:rFonts w:ascii="Tahoma" w:eastAsia="Times New Roman" w:hAnsi="Tahoma" w:cs="Tahoma"/>
          <w:color w:val="000000"/>
          <w:lang w:val="es-CO"/>
        </w:rPr>
      </w:pPr>
    </w:p>
    <w:p w14:paraId="1A2A84AB" w14:textId="77777777" w:rsidR="00141D8B" w:rsidRPr="002B212E" w:rsidRDefault="00141D8B" w:rsidP="002B212E">
      <w:pPr>
        <w:pStyle w:val="paragraph"/>
        <w:numPr>
          <w:ilvl w:val="0"/>
          <w:numId w:val="12"/>
        </w:numPr>
        <w:spacing w:before="0" w:beforeAutospacing="0" w:after="0" w:afterAutospacing="0" w:line="276" w:lineRule="auto"/>
        <w:jc w:val="center"/>
        <w:textAlignment w:val="baseline"/>
        <w:rPr>
          <w:rFonts w:ascii="Tahoma" w:hAnsi="Tahoma" w:cs="Tahoma"/>
          <w:b/>
        </w:rPr>
      </w:pPr>
      <w:r w:rsidRPr="002B212E">
        <w:rPr>
          <w:rStyle w:val="normaltextrun"/>
          <w:rFonts w:ascii="Tahoma" w:hAnsi="Tahoma" w:cs="Tahoma"/>
          <w:b/>
          <w:bCs/>
        </w:rPr>
        <w:t>Problemas jurídicos por resolver</w:t>
      </w:r>
    </w:p>
    <w:p w14:paraId="6C305109" w14:textId="77777777" w:rsidR="00141D8B" w:rsidRPr="002B212E" w:rsidRDefault="00141D8B" w:rsidP="002B212E">
      <w:pPr>
        <w:pStyle w:val="paragraph"/>
        <w:spacing w:before="0" w:beforeAutospacing="0" w:after="0" w:afterAutospacing="0" w:line="276" w:lineRule="auto"/>
        <w:jc w:val="both"/>
        <w:textAlignment w:val="baseline"/>
        <w:rPr>
          <w:rStyle w:val="eop"/>
          <w:rFonts w:ascii="Tahoma" w:hAnsi="Tahoma" w:cs="Tahoma"/>
        </w:rPr>
      </w:pPr>
      <w:r w:rsidRPr="002B212E">
        <w:rPr>
          <w:rStyle w:val="eop"/>
          <w:rFonts w:ascii="Tahoma" w:hAnsi="Tahoma" w:cs="Tahoma"/>
        </w:rPr>
        <w:t> </w:t>
      </w:r>
    </w:p>
    <w:p w14:paraId="1C2EF25E" w14:textId="017936CC" w:rsidR="00C12D4F" w:rsidRPr="002B212E" w:rsidRDefault="003802A1" w:rsidP="002B212E">
      <w:pPr>
        <w:pStyle w:val="paragraph"/>
        <w:spacing w:before="0" w:beforeAutospacing="0" w:after="0" w:afterAutospacing="0" w:line="276" w:lineRule="auto"/>
        <w:ind w:firstLine="708"/>
        <w:jc w:val="both"/>
        <w:textAlignment w:val="baseline"/>
        <w:rPr>
          <w:rStyle w:val="eop"/>
          <w:rFonts w:ascii="Tahoma" w:hAnsi="Tahoma" w:cs="Tahoma"/>
        </w:rPr>
      </w:pPr>
      <w:r w:rsidRPr="002B212E">
        <w:rPr>
          <w:rStyle w:val="eop"/>
          <w:rFonts w:ascii="Tahoma" w:hAnsi="Tahoma" w:cs="Tahoma"/>
        </w:rPr>
        <w:t xml:space="preserve">De acuerdo con el esquema de recurso de apelación, le corresponde a la Sala establecer </w:t>
      </w:r>
      <w:r w:rsidR="00F377B1" w:rsidRPr="002B212E">
        <w:rPr>
          <w:rStyle w:val="eop"/>
          <w:rFonts w:ascii="Tahoma" w:hAnsi="Tahoma" w:cs="Tahoma"/>
        </w:rPr>
        <w:t xml:space="preserve">en </w:t>
      </w:r>
      <w:r w:rsidR="006C663F" w:rsidRPr="002B212E">
        <w:rPr>
          <w:rStyle w:val="eop"/>
          <w:rFonts w:ascii="Tahoma" w:hAnsi="Tahoma" w:cs="Tahoma"/>
        </w:rPr>
        <w:t xml:space="preserve">sede de </w:t>
      </w:r>
      <w:r w:rsidR="0077679B" w:rsidRPr="002B212E">
        <w:rPr>
          <w:rStyle w:val="eop"/>
          <w:rFonts w:ascii="Tahoma" w:hAnsi="Tahoma" w:cs="Tahoma"/>
        </w:rPr>
        <w:t>segunda instancia: 1) si el</w:t>
      </w:r>
      <w:r w:rsidR="00C12D4F" w:rsidRPr="002B212E">
        <w:rPr>
          <w:rStyle w:val="eop"/>
          <w:rFonts w:ascii="Tahoma" w:hAnsi="Tahoma" w:cs="Tahoma"/>
        </w:rPr>
        <w:t xml:space="preserve"> emolumento</w:t>
      </w:r>
      <w:r w:rsidR="0077679B" w:rsidRPr="002B212E">
        <w:rPr>
          <w:rStyle w:val="eop"/>
          <w:rFonts w:ascii="Tahoma" w:hAnsi="Tahoma" w:cs="Tahoma"/>
        </w:rPr>
        <w:t xml:space="preserve"> denominado </w:t>
      </w:r>
      <w:r w:rsidR="0077679B" w:rsidRPr="002B212E">
        <w:rPr>
          <w:rFonts w:ascii="Tahoma" w:hAnsi="Tahoma" w:cs="Tahoma"/>
        </w:rPr>
        <w:t>auxilio monetario de educación</w:t>
      </w:r>
      <w:r w:rsidR="00C12D4F" w:rsidRPr="002B212E">
        <w:rPr>
          <w:rStyle w:val="eop"/>
          <w:rFonts w:ascii="Tahoma" w:hAnsi="Tahoma" w:cs="Tahoma"/>
        </w:rPr>
        <w:t xml:space="preserve"> </w:t>
      </w:r>
      <w:r w:rsidR="0077679B" w:rsidRPr="002B212E">
        <w:rPr>
          <w:rStyle w:val="eop"/>
          <w:rFonts w:ascii="Tahoma" w:hAnsi="Tahoma" w:cs="Tahoma"/>
        </w:rPr>
        <w:t xml:space="preserve">podía ser objeto de </w:t>
      </w:r>
      <w:proofErr w:type="spellStart"/>
      <w:r w:rsidR="0077679B" w:rsidRPr="002B212E">
        <w:rPr>
          <w:rStyle w:val="eop"/>
          <w:rFonts w:ascii="Tahoma" w:hAnsi="Tahoma" w:cs="Tahoma"/>
        </w:rPr>
        <w:t>desalarización</w:t>
      </w:r>
      <w:proofErr w:type="spellEnd"/>
      <w:r w:rsidR="0077679B" w:rsidRPr="002B212E">
        <w:rPr>
          <w:rStyle w:val="eop"/>
          <w:rFonts w:ascii="Tahoma" w:hAnsi="Tahoma" w:cs="Tahoma"/>
        </w:rPr>
        <w:t xml:space="preserve"> durante los años 2014 y 2015, y</w:t>
      </w:r>
      <w:r w:rsidR="00D54BDC" w:rsidRPr="002B212E">
        <w:rPr>
          <w:rStyle w:val="eop"/>
          <w:rFonts w:ascii="Tahoma" w:hAnsi="Tahoma" w:cs="Tahoma"/>
        </w:rPr>
        <w:t>, en caso</w:t>
      </w:r>
      <w:r w:rsidR="0077679B" w:rsidRPr="002B212E">
        <w:rPr>
          <w:rStyle w:val="eop"/>
          <w:rFonts w:ascii="Tahoma" w:hAnsi="Tahoma" w:cs="Tahoma"/>
        </w:rPr>
        <w:t xml:space="preserve"> negativo, si la buena fe del empleador, expresa</w:t>
      </w:r>
      <w:r w:rsidR="00D54BDC" w:rsidRPr="002B212E">
        <w:rPr>
          <w:rStyle w:val="eop"/>
          <w:rFonts w:ascii="Tahoma" w:hAnsi="Tahoma" w:cs="Tahoma"/>
        </w:rPr>
        <w:t>da en los</w:t>
      </w:r>
      <w:r w:rsidR="0077679B" w:rsidRPr="002B212E">
        <w:rPr>
          <w:rStyle w:val="eop"/>
          <w:rFonts w:ascii="Tahoma" w:hAnsi="Tahoma" w:cs="Tahoma"/>
        </w:rPr>
        <w:t xml:space="preserve"> acuerdo</w:t>
      </w:r>
      <w:r w:rsidR="00D54BDC" w:rsidRPr="002B212E">
        <w:rPr>
          <w:rStyle w:val="eop"/>
          <w:rFonts w:ascii="Tahoma" w:hAnsi="Tahoma" w:cs="Tahoma"/>
        </w:rPr>
        <w:t>s</w:t>
      </w:r>
      <w:r w:rsidR="0077679B" w:rsidRPr="002B212E">
        <w:rPr>
          <w:rStyle w:val="eop"/>
          <w:rFonts w:ascii="Tahoma" w:hAnsi="Tahoma" w:cs="Tahoma"/>
        </w:rPr>
        <w:t xml:space="preserve"> del </w:t>
      </w:r>
      <w:proofErr w:type="spellStart"/>
      <w:r w:rsidR="0077679B" w:rsidRPr="002B212E">
        <w:rPr>
          <w:rStyle w:val="eop"/>
          <w:rFonts w:ascii="Tahoma" w:hAnsi="Tahoma" w:cs="Tahoma"/>
        </w:rPr>
        <w:t>desalarización</w:t>
      </w:r>
      <w:proofErr w:type="spellEnd"/>
      <w:r w:rsidR="00D54BDC" w:rsidRPr="002B212E">
        <w:rPr>
          <w:rStyle w:val="eop"/>
          <w:rFonts w:ascii="Tahoma" w:hAnsi="Tahoma" w:cs="Tahoma"/>
        </w:rPr>
        <w:t xml:space="preserve"> que haya</w:t>
      </w:r>
      <w:r w:rsidR="0077679B" w:rsidRPr="002B212E">
        <w:rPr>
          <w:rStyle w:val="eop"/>
          <w:rFonts w:ascii="Tahoma" w:hAnsi="Tahoma" w:cs="Tahoma"/>
        </w:rPr>
        <w:t xml:space="preserve"> suscrito con el trabajador, tiene</w:t>
      </w:r>
      <w:r w:rsidR="00D54BDC" w:rsidRPr="002B212E">
        <w:rPr>
          <w:rStyle w:val="eop"/>
          <w:rFonts w:ascii="Tahoma" w:hAnsi="Tahoma" w:cs="Tahoma"/>
        </w:rPr>
        <w:t>n</w:t>
      </w:r>
      <w:r w:rsidR="0077679B" w:rsidRPr="002B212E">
        <w:rPr>
          <w:rStyle w:val="eop"/>
          <w:rFonts w:ascii="Tahoma" w:hAnsi="Tahoma" w:cs="Tahoma"/>
        </w:rPr>
        <w:t xml:space="preserve"> la virtualidad de </w:t>
      </w:r>
      <w:r w:rsidR="40039423" w:rsidRPr="002B212E">
        <w:rPr>
          <w:rStyle w:val="eop"/>
          <w:rFonts w:ascii="Tahoma" w:hAnsi="Tahoma" w:cs="Tahoma"/>
        </w:rPr>
        <w:t>exonéralo</w:t>
      </w:r>
      <w:r w:rsidR="0077679B" w:rsidRPr="002B212E">
        <w:rPr>
          <w:rStyle w:val="eop"/>
          <w:rFonts w:ascii="Tahoma" w:hAnsi="Tahoma" w:cs="Tahoma"/>
        </w:rPr>
        <w:t xml:space="preserve"> del pago del reajuste prestaciona</w:t>
      </w:r>
      <w:r w:rsidR="00D54BDC" w:rsidRPr="002B212E">
        <w:rPr>
          <w:rStyle w:val="eop"/>
          <w:rFonts w:ascii="Tahoma" w:hAnsi="Tahoma" w:cs="Tahoma"/>
        </w:rPr>
        <w:t>l ordenado en primera instancia;</w:t>
      </w:r>
      <w:r w:rsidR="003E7CD5" w:rsidRPr="002B212E">
        <w:rPr>
          <w:rStyle w:val="eop"/>
          <w:rFonts w:ascii="Tahoma" w:hAnsi="Tahoma" w:cs="Tahoma"/>
        </w:rPr>
        <w:t xml:space="preserve"> 2) si hubo mala fe del empleador en los pagos incompletos de las cesantías de los años 2016 y 2017</w:t>
      </w:r>
      <w:r w:rsidR="004D1221" w:rsidRPr="002B212E">
        <w:rPr>
          <w:rStyle w:val="eop"/>
          <w:rFonts w:ascii="Tahoma" w:hAnsi="Tahoma" w:cs="Tahoma"/>
        </w:rPr>
        <w:t xml:space="preserve">, al </w:t>
      </w:r>
      <w:r w:rsidR="003E7CD5" w:rsidRPr="002B212E">
        <w:rPr>
          <w:rStyle w:val="eop"/>
          <w:rFonts w:ascii="Tahoma" w:hAnsi="Tahoma" w:cs="Tahoma"/>
        </w:rPr>
        <w:t>no haber</w:t>
      </w:r>
      <w:r w:rsidR="004D1221" w:rsidRPr="002B212E">
        <w:rPr>
          <w:rStyle w:val="eop"/>
          <w:rFonts w:ascii="Tahoma" w:hAnsi="Tahoma" w:cs="Tahoma"/>
        </w:rPr>
        <w:t>se</w:t>
      </w:r>
      <w:r w:rsidR="003E7CD5" w:rsidRPr="002B212E">
        <w:rPr>
          <w:rStyle w:val="eop"/>
          <w:rFonts w:ascii="Tahoma" w:hAnsi="Tahoma" w:cs="Tahoma"/>
        </w:rPr>
        <w:t xml:space="preserve"> incluido en el promedio del salario las asignaciones por turnos de disponibilidad, para lo cual se hace necesario establecer si la obligación de pagar los denominados “turnos de disponibilidad”</w:t>
      </w:r>
      <w:r w:rsidR="004D1221" w:rsidRPr="002B212E">
        <w:rPr>
          <w:rStyle w:val="eop"/>
          <w:rFonts w:ascii="Tahoma" w:hAnsi="Tahoma" w:cs="Tahoma"/>
        </w:rPr>
        <w:t xml:space="preserve"> nace</w:t>
      </w:r>
      <w:r w:rsidR="003E7CD5" w:rsidRPr="002B212E">
        <w:rPr>
          <w:rStyle w:val="eop"/>
          <w:rFonts w:ascii="Tahoma" w:hAnsi="Tahoma" w:cs="Tahoma"/>
        </w:rPr>
        <w:t xml:space="preserve"> con la sentencia del año 2017, a la que se alude en el recurso</w:t>
      </w:r>
      <w:r w:rsidR="00DA0536" w:rsidRPr="002B212E">
        <w:rPr>
          <w:rStyle w:val="eop"/>
          <w:rFonts w:ascii="Tahoma" w:hAnsi="Tahoma" w:cs="Tahoma"/>
        </w:rPr>
        <w:t xml:space="preserve">. Finalmente, es del caso establecer si el </w:t>
      </w:r>
      <w:r w:rsidR="20777DD0" w:rsidRPr="002B212E">
        <w:rPr>
          <w:rStyle w:val="eop"/>
          <w:rFonts w:ascii="Tahoma" w:hAnsi="Tahoma" w:cs="Tahoma"/>
        </w:rPr>
        <w:t>fenómeno</w:t>
      </w:r>
      <w:r w:rsidR="00DA0536" w:rsidRPr="002B212E">
        <w:rPr>
          <w:rStyle w:val="eop"/>
          <w:rFonts w:ascii="Tahoma" w:hAnsi="Tahoma" w:cs="Tahoma"/>
        </w:rPr>
        <w:t xml:space="preserve"> de la prescripción opera </w:t>
      </w:r>
      <w:r w:rsidR="00D15E74" w:rsidRPr="002B212E">
        <w:rPr>
          <w:rStyle w:val="eop"/>
          <w:rFonts w:ascii="Tahoma" w:hAnsi="Tahoma" w:cs="Tahoma"/>
        </w:rPr>
        <w:t>respecto al reajuste de aportes a la seguridad social.</w:t>
      </w:r>
      <w:r w:rsidR="0077679B" w:rsidRPr="002B212E">
        <w:rPr>
          <w:rStyle w:val="eop"/>
          <w:rFonts w:ascii="Tahoma" w:hAnsi="Tahoma" w:cs="Tahoma"/>
        </w:rPr>
        <w:t xml:space="preserve"> </w:t>
      </w:r>
    </w:p>
    <w:p w14:paraId="2E2E8429" w14:textId="77777777" w:rsidR="002446B6" w:rsidRPr="002B212E" w:rsidRDefault="002446B6" w:rsidP="002B212E">
      <w:pPr>
        <w:pStyle w:val="Prrafodelista"/>
        <w:spacing w:line="276" w:lineRule="auto"/>
        <w:rPr>
          <w:rStyle w:val="normaltextrun"/>
          <w:szCs w:val="24"/>
        </w:rPr>
      </w:pPr>
    </w:p>
    <w:p w14:paraId="21D03D99" w14:textId="77777777" w:rsidR="00141D8B" w:rsidRPr="002B212E" w:rsidRDefault="00141D8B" w:rsidP="002B212E">
      <w:pPr>
        <w:pStyle w:val="Prrafodelista"/>
        <w:numPr>
          <w:ilvl w:val="0"/>
          <w:numId w:val="12"/>
        </w:numPr>
        <w:spacing w:line="276" w:lineRule="auto"/>
        <w:jc w:val="center"/>
        <w:rPr>
          <w:b/>
          <w:szCs w:val="24"/>
        </w:rPr>
      </w:pPr>
      <w:r w:rsidRPr="002B212E">
        <w:rPr>
          <w:b/>
          <w:szCs w:val="24"/>
        </w:rPr>
        <w:t>Consideraciones</w:t>
      </w:r>
    </w:p>
    <w:p w14:paraId="35C6933F" w14:textId="77777777" w:rsidR="00B73640" w:rsidRPr="002B212E" w:rsidRDefault="00B73640" w:rsidP="002B212E">
      <w:pPr>
        <w:spacing w:line="276" w:lineRule="auto"/>
        <w:jc w:val="both"/>
        <w:rPr>
          <w:rFonts w:ascii="Tahoma" w:hAnsi="Tahoma" w:cs="Tahoma"/>
          <w:b/>
        </w:rPr>
      </w:pPr>
    </w:p>
    <w:p w14:paraId="1272455A" w14:textId="4EBB8A17" w:rsidR="002446B6" w:rsidRPr="002B212E" w:rsidRDefault="00141D8B" w:rsidP="002B212E">
      <w:pPr>
        <w:pStyle w:val="Prrafodelista"/>
        <w:numPr>
          <w:ilvl w:val="1"/>
          <w:numId w:val="13"/>
        </w:numPr>
        <w:spacing w:line="276" w:lineRule="auto"/>
        <w:rPr>
          <w:b/>
          <w:szCs w:val="24"/>
        </w:rPr>
      </w:pPr>
      <w:r w:rsidRPr="002B212E">
        <w:rPr>
          <w:b/>
          <w:szCs w:val="24"/>
        </w:rPr>
        <w:t>De la disponibilidad laboral: Precedente y análisis probatorio</w:t>
      </w:r>
    </w:p>
    <w:p w14:paraId="4129C431" w14:textId="77777777" w:rsidR="00B73640" w:rsidRPr="002B212E" w:rsidRDefault="00B73640" w:rsidP="002B212E">
      <w:pPr>
        <w:spacing w:line="276" w:lineRule="auto"/>
        <w:jc w:val="both"/>
        <w:rPr>
          <w:rFonts w:ascii="Tahoma" w:hAnsi="Tahoma" w:cs="Tahoma"/>
          <w:b/>
        </w:rPr>
      </w:pPr>
    </w:p>
    <w:p w14:paraId="7A64A2AA" w14:textId="4EC41A11" w:rsidR="00141D8B" w:rsidRPr="002B212E" w:rsidRDefault="00141D8B" w:rsidP="002B212E">
      <w:pPr>
        <w:spacing w:line="276" w:lineRule="auto"/>
        <w:ind w:firstLine="708"/>
        <w:jc w:val="both"/>
        <w:rPr>
          <w:rFonts w:ascii="Tahoma" w:hAnsi="Tahoma" w:cs="Tahoma"/>
        </w:rPr>
      </w:pPr>
      <w:r w:rsidRPr="002B212E">
        <w:rPr>
          <w:rFonts w:ascii="Tahoma" w:hAnsi="Tahoma" w:cs="Tahoma"/>
        </w:rPr>
        <w:lastRenderedPageBreak/>
        <w:t>A ef</w:t>
      </w:r>
      <w:r w:rsidR="00D15E74" w:rsidRPr="002B212E">
        <w:rPr>
          <w:rFonts w:ascii="Tahoma" w:hAnsi="Tahoma" w:cs="Tahoma"/>
        </w:rPr>
        <w:t>ectos de dar solución al segundo</w:t>
      </w:r>
      <w:r w:rsidRPr="002B212E">
        <w:rPr>
          <w:rFonts w:ascii="Tahoma" w:hAnsi="Tahoma" w:cs="Tahoma"/>
        </w:rPr>
        <w:t xml:space="preserve"> de los problemas jurídicos planteados, corresponde traer a colación el criterio adoptado por el órgano de cierre de la especialidad laboral en la sentencia </w:t>
      </w:r>
      <w:bookmarkStart w:id="9" w:name="OLE_LINK34"/>
      <w:r w:rsidRPr="002B212E">
        <w:rPr>
          <w:rFonts w:ascii="Tahoma" w:hAnsi="Tahoma" w:cs="Tahoma"/>
        </w:rPr>
        <w:t>SL-5584 de 2017</w:t>
      </w:r>
      <w:bookmarkEnd w:id="9"/>
      <w:r w:rsidRPr="002B212E">
        <w:rPr>
          <w:rFonts w:ascii="Tahoma" w:hAnsi="Tahoma" w:cs="Tahoma"/>
        </w:rPr>
        <w:t>, M.P. Jorge Luis Quiroz Alemán</w:t>
      </w:r>
      <w:r w:rsidRPr="002B212E">
        <w:rPr>
          <w:rStyle w:val="Refdenotaalpie"/>
          <w:rFonts w:ascii="Tahoma" w:hAnsi="Tahoma" w:cs="Tahoma"/>
        </w:rPr>
        <w:footnoteReference w:id="2"/>
      </w:r>
      <w:r w:rsidRPr="002B212E">
        <w:rPr>
          <w:rFonts w:ascii="Tahoma" w:hAnsi="Tahoma" w:cs="Tahoma"/>
        </w:rPr>
        <w:t>, con el cual tomó distancia de la postura que la misma corporación sentó en sentencia del 11 de mayo de 1968, G.J. CXXVII, donde se distinguían dos modalidades de disponibilidad: una en la que el trabajador debía estar disponible en el lugar de trabajo, sin posibilidad de comer, dormir o desarrollar cualquier otra actividad, y otra en la cual el empleado podía desplegar otras actividades, permaneciendo en su propia casa y atendiendo el llamado del trabajo cuando este se presentara efectivamente, caso en el cual tal disponibilidad no podía considerase parte de la jornada laboral.</w:t>
      </w:r>
    </w:p>
    <w:p w14:paraId="01C14E32" w14:textId="77777777" w:rsidR="00141D8B" w:rsidRPr="002B212E" w:rsidRDefault="00141D8B" w:rsidP="002B212E">
      <w:pPr>
        <w:spacing w:line="276" w:lineRule="auto"/>
        <w:jc w:val="both"/>
        <w:rPr>
          <w:rFonts w:ascii="Tahoma" w:hAnsi="Tahoma" w:cs="Tahoma"/>
        </w:rPr>
      </w:pPr>
    </w:p>
    <w:p w14:paraId="6FE18025" w14:textId="3E8F1C24" w:rsidR="00141D8B" w:rsidRPr="002B212E" w:rsidRDefault="00141D8B" w:rsidP="002B212E">
      <w:pPr>
        <w:spacing w:line="276" w:lineRule="auto"/>
        <w:ind w:firstLine="708"/>
        <w:jc w:val="both"/>
        <w:rPr>
          <w:rFonts w:ascii="Tahoma" w:hAnsi="Tahoma" w:cs="Tahoma"/>
        </w:rPr>
      </w:pPr>
      <w:r w:rsidRPr="002B212E">
        <w:rPr>
          <w:rFonts w:ascii="Tahoma" w:hAnsi="Tahoma" w:cs="Tahoma"/>
        </w:rPr>
        <w:t>Como base fundamenta</w:t>
      </w:r>
      <w:r w:rsidR="00D15E74" w:rsidRPr="002B212E">
        <w:rPr>
          <w:rFonts w:ascii="Tahoma" w:hAnsi="Tahoma" w:cs="Tahoma"/>
        </w:rPr>
        <w:t>l del precedente establecido</w:t>
      </w:r>
      <w:r w:rsidRPr="002B212E">
        <w:rPr>
          <w:rFonts w:ascii="Tahoma" w:hAnsi="Tahoma" w:cs="Tahoma"/>
        </w:rPr>
        <w:t xml:space="preserve"> en 2017, la Corte precisó que la limitación en la vida cotidiana del trabajador, de desarrollar actividades personales o familiares, dado su estado de alerta para atender el llamado del empleador durante turnos previamente programados, generaba a su favor la garantía de devengar una jornada suplementaria. En estos términos se expresó el Alto Tribunal:</w:t>
      </w:r>
    </w:p>
    <w:p w14:paraId="38FDFD30" w14:textId="77777777" w:rsidR="00141D8B" w:rsidRPr="002B212E" w:rsidRDefault="00141D8B" w:rsidP="002B212E">
      <w:pPr>
        <w:spacing w:line="276" w:lineRule="auto"/>
        <w:jc w:val="both"/>
        <w:rPr>
          <w:rFonts w:ascii="Tahoma" w:hAnsi="Tahoma" w:cs="Tahoma"/>
        </w:rPr>
      </w:pPr>
    </w:p>
    <w:p w14:paraId="02E6DAA8" w14:textId="41F72562" w:rsidR="00141D8B" w:rsidRPr="00DB21F5" w:rsidRDefault="00141D8B" w:rsidP="00DB21F5">
      <w:pPr>
        <w:ind w:left="426" w:right="420"/>
        <w:jc w:val="both"/>
        <w:rPr>
          <w:rFonts w:ascii="Tahoma" w:hAnsi="Tahoma" w:cs="Tahoma"/>
          <w:i/>
          <w:sz w:val="22"/>
        </w:rPr>
      </w:pPr>
      <w:r w:rsidRPr="00DB21F5">
        <w:rPr>
          <w:rFonts w:ascii="Tahoma" w:hAnsi="Tahoma" w:cs="Tahoma"/>
          <w:i/>
          <w:sz w:val="22"/>
        </w:rPr>
        <w:t>“Y es que a juicio de la Corte, el simple some</w:t>
      </w:r>
      <w:r w:rsidR="0055506B" w:rsidRPr="00DB21F5">
        <w:rPr>
          <w:rFonts w:ascii="Tahoma" w:hAnsi="Tahoma" w:cs="Tahoma"/>
          <w:i/>
          <w:sz w:val="22"/>
        </w:rPr>
        <w:t>timiento del asalariado de estar</w:t>
      </w:r>
      <w:r w:rsidRPr="00DB21F5">
        <w:rPr>
          <w:rFonts w:ascii="Tahoma" w:hAnsi="Tahoma" w:cs="Tahoma"/>
          <w:i/>
          <w:sz w:val="22"/>
        </w:rPr>
        <w:t xml:space="preserve"> a disponibilidad y atento al momento en que el empleador requiera de algún servicio, le da derecho a devengar una jornada suplementaria, así no sea llamado efectivamente a desarrollar alguna tarea, ello se afirma por cuanto no podía desarrollar actividad alguna de tipo personal o familiar, pues debía estar presto al llamado de su empleador y de atender algún inconveniente relacionado con los servicios prestados por la demandada.”</w:t>
      </w:r>
    </w:p>
    <w:p w14:paraId="6D5F05B1" w14:textId="2B985E13" w:rsidR="00141D8B" w:rsidRPr="002B212E" w:rsidRDefault="004D1221" w:rsidP="002B212E">
      <w:pPr>
        <w:tabs>
          <w:tab w:val="left" w:pos="5835"/>
        </w:tabs>
        <w:spacing w:line="276" w:lineRule="auto"/>
        <w:jc w:val="both"/>
        <w:rPr>
          <w:rFonts w:ascii="Tahoma" w:hAnsi="Tahoma" w:cs="Tahoma"/>
        </w:rPr>
      </w:pPr>
      <w:r w:rsidRPr="002B212E">
        <w:rPr>
          <w:rFonts w:ascii="Tahoma" w:hAnsi="Tahoma" w:cs="Tahoma"/>
        </w:rPr>
        <w:tab/>
      </w:r>
    </w:p>
    <w:p w14:paraId="716A4D03" w14:textId="0F586254" w:rsidR="00141D8B" w:rsidRPr="002B212E" w:rsidRDefault="00141D8B" w:rsidP="002B212E">
      <w:pPr>
        <w:spacing w:line="276" w:lineRule="auto"/>
        <w:ind w:firstLine="708"/>
        <w:jc w:val="both"/>
        <w:rPr>
          <w:rFonts w:ascii="Tahoma" w:hAnsi="Tahoma" w:cs="Tahoma"/>
        </w:rPr>
      </w:pPr>
      <w:r w:rsidRPr="002B212E">
        <w:rPr>
          <w:rFonts w:ascii="Tahoma" w:hAnsi="Tahoma" w:cs="Tahoma"/>
        </w:rPr>
        <w:t>Más adelante concluyó:</w:t>
      </w:r>
    </w:p>
    <w:p w14:paraId="16196AA6" w14:textId="77777777" w:rsidR="00141D8B" w:rsidRPr="002B212E" w:rsidRDefault="00141D8B" w:rsidP="002B212E">
      <w:pPr>
        <w:spacing w:line="276" w:lineRule="auto"/>
        <w:jc w:val="both"/>
        <w:rPr>
          <w:rFonts w:ascii="Tahoma" w:hAnsi="Tahoma" w:cs="Tahoma"/>
        </w:rPr>
      </w:pPr>
    </w:p>
    <w:p w14:paraId="681D0DD6" w14:textId="77777777" w:rsidR="00141D8B" w:rsidRPr="00DB21F5" w:rsidRDefault="00141D8B" w:rsidP="00DB21F5">
      <w:pPr>
        <w:ind w:left="426" w:right="420"/>
        <w:jc w:val="both"/>
        <w:rPr>
          <w:rFonts w:ascii="Tahoma" w:hAnsi="Tahoma" w:cs="Tahoma"/>
          <w:i/>
          <w:sz w:val="22"/>
        </w:rPr>
      </w:pPr>
      <w:r w:rsidRPr="00DB21F5">
        <w:rPr>
          <w:rFonts w:ascii="Tahoma" w:hAnsi="Tahoma" w:cs="Tahoma"/>
          <w:i/>
          <w:sz w:val="22"/>
        </w:rPr>
        <w:t>“</w:t>
      </w:r>
      <w:bookmarkStart w:id="10" w:name="OLE_LINK33"/>
      <w:r w:rsidRPr="00DB21F5">
        <w:rPr>
          <w:rFonts w:ascii="Tahoma" w:hAnsi="Tahoma" w:cs="Tahoma"/>
          <w:i/>
          <w:sz w:val="22"/>
        </w:rPr>
        <w:t>Por lo anterior, se reitera, fue palmario el error del Tribunal, pues lo que demuestran las pruebas aportadas al proceso es que los demandantes estaban disponibles para la demandada algunos sábados y domingos</w:t>
      </w:r>
      <w:bookmarkEnd w:id="10"/>
      <w:r w:rsidRPr="00DB21F5">
        <w:rPr>
          <w:rFonts w:ascii="Tahoma" w:hAnsi="Tahoma" w:cs="Tahoma"/>
          <w:i/>
          <w:sz w:val="22"/>
        </w:rPr>
        <w:t>, las 24 horas, turnos en los que se realizaban monitoreos a las centrales, y debían estar pendientes desde sus casas de cualquier falla presentada, caso en el cual, solucionaban el problema desde sus hogares, o se trasladaban directamente a la planta para solucionarlo.”</w:t>
      </w:r>
    </w:p>
    <w:p w14:paraId="3DA8B909" w14:textId="77777777" w:rsidR="00141D8B" w:rsidRPr="002B212E" w:rsidRDefault="00141D8B" w:rsidP="002B212E">
      <w:pPr>
        <w:spacing w:line="276" w:lineRule="auto"/>
        <w:jc w:val="both"/>
        <w:rPr>
          <w:rFonts w:ascii="Tahoma" w:hAnsi="Tahoma" w:cs="Tahoma"/>
        </w:rPr>
      </w:pPr>
    </w:p>
    <w:p w14:paraId="0CCF7680" w14:textId="7651340F" w:rsidR="00141D8B" w:rsidRPr="002B212E" w:rsidRDefault="00141D8B" w:rsidP="002B212E">
      <w:pPr>
        <w:spacing w:line="276" w:lineRule="auto"/>
        <w:ind w:firstLine="708"/>
        <w:jc w:val="both"/>
        <w:rPr>
          <w:rFonts w:ascii="Tahoma" w:hAnsi="Tahoma" w:cs="Tahoma"/>
        </w:rPr>
      </w:pPr>
      <w:r w:rsidRPr="002B212E">
        <w:rPr>
          <w:rFonts w:ascii="Tahoma" w:hAnsi="Tahoma" w:cs="Tahoma"/>
        </w:rPr>
        <w:t xml:space="preserve">Como se observa, </w:t>
      </w:r>
      <w:bookmarkStart w:id="11" w:name="_Hlk139889869"/>
      <w:r w:rsidRPr="002B212E">
        <w:rPr>
          <w:rFonts w:ascii="Tahoma" w:hAnsi="Tahoma" w:cs="Tahoma"/>
        </w:rPr>
        <w:t xml:space="preserve">la disponibilidad exigida por un empleador por fuera del horario laboral, que impone la carga al trabajador de estar atento al llamado para atender obligaciones propias del cargo, limitando total o parcialmente la posibilidad de ejercer actividades de distinta índole, </w:t>
      </w:r>
      <w:r w:rsidR="0055506B" w:rsidRPr="002B212E">
        <w:rPr>
          <w:rFonts w:ascii="Tahoma" w:hAnsi="Tahoma" w:cs="Tahoma"/>
        </w:rPr>
        <w:t>le impone</w:t>
      </w:r>
      <w:r w:rsidRPr="002B212E">
        <w:rPr>
          <w:rFonts w:ascii="Tahoma" w:hAnsi="Tahoma" w:cs="Tahoma"/>
        </w:rPr>
        <w:t xml:space="preserve"> al primero la obligación de reconocer los recargos establecidos por la normatividad laboral, independientemente de que se preste efectivamente o no un servicio, pues la subordinación se mantiene latente </w:t>
      </w:r>
      <w:bookmarkEnd w:id="11"/>
      <w:r w:rsidRPr="002B212E">
        <w:rPr>
          <w:rFonts w:ascii="Tahoma" w:hAnsi="Tahoma" w:cs="Tahoma"/>
        </w:rPr>
        <w:t>y beneficia, per se, a quien cuenta con la garantía de que las vicisitudes que llegaren a presentarse serán atendi</w:t>
      </w:r>
      <w:r w:rsidR="003529C1" w:rsidRPr="002B212E">
        <w:rPr>
          <w:rFonts w:ascii="Tahoma" w:hAnsi="Tahoma" w:cs="Tahoma"/>
        </w:rPr>
        <w:t xml:space="preserve">das de manera tempestiva por los empleados </w:t>
      </w:r>
      <w:r w:rsidRPr="002B212E">
        <w:rPr>
          <w:rFonts w:ascii="Tahoma" w:hAnsi="Tahoma" w:cs="Tahoma"/>
        </w:rPr>
        <w:t>a su disposición.</w:t>
      </w:r>
    </w:p>
    <w:p w14:paraId="0E01B304" w14:textId="77777777" w:rsidR="00141D8B" w:rsidRPr="002B212E" w:rsidRDefault="00141D8B" w:rsidP="002B212E">
      <w:pPr>
        <w:spacing w:line="276" w:lineRule="auto"/>
        <w:jc w:val="both"/>
        <w:rPr>
          <w:rFonts w:ascii="Tahoma" w:hAnsi="Tahoma" w:cs="Tahoma"/>
        </w:rPr>
      </w:pPr>
    </w:p>
    <w:p w14:paraId="5C8A3086" w14:textId="13C279D3" w:rsidR="00E76C52" w:rsidRPr="002B212E" w:rsidRDefault="00141D8B" w:rsidP="002B212E">
      <w:pPr>
        <w:spacing w:line="276" w:lineRule="auto"/>
        <w:ind w:firstLine="708"/>
        <w:jc w:val="both"/>
        <w:rPr>
          <w:rFonts w:ascii="Tahoma" w:hAnsi="Tahoma" w:cs="Tahoma"/>
        </w:rPr>
      </w:pPr>
      <w:bookmarkStart w:id="12" w:name="_Hlk139889907"/>
      <w:r w:rsidRPr="002B212E">
        <w:rPr>
          <w:rFonts w:ascii="Tahoma" w:hAnsi="Tahoma" w:cs="Tahoma"/>
        </w:rPr>
        <w:t xml:space="preserve">Ello así, es dable afirmar que la disponibilidad no se desvirtúa ni se desnaturaliza por el hecho de que el trabajador realice -estando en cumplimiento de la misma- actos propios de la condición humana, como ingerir o comprar alimentos, asearse o descansar, pues sobre estos siempre va a prevalecer la obligación de atender el </w:t>
      </w:r>
      <w:r w:rsidRPr="002B212E">
        <w:rPr>
          <w:rFonts w:ascii="Tahoma" w:hAnsi="Tahoma" w:cs="Tahoma"/>
        </w:rPr>
        <w:lastRenderedPageBreak/>
        <w:t>requerimiento del empleador</w:t>
      </w:r>
      <w:bookmarkEnd w:id="12"/>
      <w:r w:rsidRPr="002B212E">
        <w:rPr>
          <w:rFonts w:ascii="Tahoma" w:hAnsi="Tahoma" w:cs="Tahoma"/>
        </w:rPr>
        <w:t xml:space="preserve">, </w:t>
      </w:r>
      <w:r w:rsidR="0077264D" w:rsidRPr="002B212E">
        <w:rPr>
          <w:rFonts w:ascii="Tahoma" w:hAnsi="Tahoma" w:cs="Tahoma"/>
        </w:rPr>
        <w:t>lo cual le impide disfrutar con la libertad que se requiere su</w:t>
      </w:r>
      <w:r w:rsidR="005B3154" w:rsidRPr="002B212E">
        <w:rPr>
          <w:rFonts w:ascii="Tahoma" w:hAnsi="Tahoma" w:cs="Tahoma"/>
        </w:rPr>
        <w:t>s</w:t>
      </w:r>
      <w:r w:rsidR="0077264D" w:rsidRPr="002B212E">
        <w:rPr>
          <w:rFonts w:ascii="Tahoma" w:hAnsi="Tahoma" w:cs="Tahoma"/>
        </w:rPr>
        <w:t xml:space="preserve"> periodos de descanso.</w:t>
      </w:r>
    </w:p>
    <w:p w14:paraId="1AAA47AB" w14:textId="77777777" w:rsidR="00BA28F3" w:rsidRPr="002B212E" w:rsidRDefault="00BA28F3" w:rsidP="002B212E">
      <w:pPr>
        <w:spacing w:line="276" w:lineRule="auto"/>
        <w:ind w:firstLine="708"/>
        <w:jc w:val="both"/>
        <w:rPr>
          <w:rFonts w:ascii="Tahoma" w:hAnsi="Tahoma" w:cs="Tahoma"/>
        </w:rPr>
      </w:pPr>
    </w:p>
    <w:p w14:paraId="27929344" w14:textId="23A84156" w:rsidR="007C2496" w:rsidRPr="002B212E" w:rsidRDefault="001B08D3" w:rsidP="002B212E">
      <w:pPr>
        <w:pStyle w:val="Prrafodelista"/>
        <w:numPr>
          <w:ilvl w:val="1"/>
          <w:numId w:val="17"/>
        </w:numPr>
        <w:spacing w:line="276" w:lineRule="auto"/>
        <w:ind w:left="1429" w:hanging="720"/>
        <w:rPr>
          <w:b/>
          <w:szCs w:val="24"/>
        </w:rPr>
      </w:pPr>
      <w:bookmarkStart w:id="13" w:name="_Hlk133494255"/>
      <w:r w:rsidRPr="002B212E">
        <w:rPr>
          <w:b/>
          <w:bCs/>
          <w:szCs w:val="24"/>
        </w:rPr>
        <w:t>Indemnización</w:t>
      </w:r>
      <w:r w:rsidRPr="002B212E">
        <w:rPr>
          <w:b/>
          <w:szCs w:val="24"/>
        </w:rPr>
        <w:t xml:space="preserve"> moratoria contemplada en el artículo 99 de la Ley 50 de 1990.</w:t>
      </w:r>
    </w:p>
    <w:bookmarkEnd w:id="13"/>
    <w:p w14:paraId="4A5C4E42" w14:textId="77777777" w:rsidR="007C2496" w:rsidRPr="002B212E" w:rsidRDefault="007C2496" w:rsidP="002B212E">
      <w:pPr>
        <w:spacing w:line="276" w:lineRule="auto"/>
        <w:ind w:firstLine="708"/>
        <w:jc w:val="both"/>
        <w:rPr>
          <w:rFonts w:ascii="Tahoma" w:hAnsi="Tahoma" w:cs="Tahoma"/>
        </w:rPr>
      </w:pPr>
    </w:p>
    <w:p w14:paraId="65A5C464" w14:textId="77777777" w:rsidR="007C2496" w:rsidRPr="002B212E" w:rsidRDefault="007C2496" w:rsidP="002B212E">
      <w:pPr>
        <w:spacing w:line="276" w:lineRule="auto"/>
        <w:ind w:firstLine="708"/>
        <w:jc w:val="both"/>
        <w:rPr>
          <w:rFonts w:ascii="Tahoma" w:eastAsia="Tahoma" w:hAnsi="Tahoma" w:cs="Tahoma"/>
        </w:rPr>
      </w:pPr>
      <w:bookmarkStart w:id="14" w:name="_Hlk139889958"/>
      <w:r w:rsidRPr="002B212E">
        <w:rPr>
          <w:rFonts w:ascii="Tahoma" w:eastAsia="Tahoma" w:hAnsi="Tahoma" w:cs="Tahoma"/>
        </w:rPr>
        <w:t xml:space="preserve">Según el numeral 3° del artículo 99 de la Ley 50 de 1990 el empleador que incumpla el plazo señalado para la consignación de cesantías </w:t>
      </w:r>
      <w:r w:rsidRPr="002B212E">
        <w:rPr>
          <w:rFonts w:ascii="Tahoma" w:eastAsia="Arial Narrow" w:hAnsi="Tahoma" w:cs="Tahoma"/>
          <w:i/>
        </w:rPr>
        <w:t>“</w:t>
      </w:r>
      <w:r w:rsidRPr="00505D6F">
        <w:rPr>
          <w:rFonts w:ascii="Tahoma" w:eastAsia="Arial Narrow" w:hAnsi="Tahoma" w:cs="Tahoma"/>
          <w:i/>
          <w:sz w:val="22"/>
        </w:rPr>
        <w:t>deberá pagar un día de salario por cada día de retardo</w:t>
      </w:r>
      <w:r w:rsidRPr="002B212E">
        <w:rPr>
          <w:rFonts w:ascii="Tahoma" w:eastAsia="Arial Narrow" w:hAnsi="Tahoma" w:cs="Tahoma"/>
          <w:i/>
        </w:rPr>
        <w:t xml:space="preserve">”. </w:t>
      </w:r>
      <w:r w:rsidRPr="002B212E">
        <w:rPr>
          <w:rFonts w:ascii="Tahoma" w:eastAsia="Tahoma" w:hAnsi="Tahoma" w:cs="Tahoma"/>
        </w:rPr>
        <w:t>No obstante, la aplicación no es automática, debido a que esta procede cuando quiera que, en el marco del proceso, el empleador no aporte razones satisfactorias y justificativas de su conducta. Para esto, se ha dicho que el juez debe adelantar un examen riguroso del comportamiento que asumió el empleador en su condición de deudor moroso</w:t>
      </w:r>
      <w:bookmarkEnd w:id="14"/>
      <w:r w:rsidRPr="002B212E">
        <w:rPr>
          <w:rFonts w:ascii="Tahoma" w:eastAsia="Tahoma" w:hAnsi="Tahoma" w:cs="Tahoma"/>
        </w:rPr>
        <w:t>, y de la globalidad de las pruebas y circunstancias que rodearon el desarrollo de la relación de trabajo, en aras de establecer si los argumentos esgrimidos por la defensa son razonables y aceptables.</w:t>
      </w:r>
    </w:p>
    <w:p w14:paraId="00F4DEAD" w14:textId="77777777" w:rsidR="007C2496" w:rsidRPr="002B212E" w:rsidRDefault="007C2496" w:rsidP="002B212E">
      <w:pPr>
        <w:spacing w:line="276" w:lineRule="auto"/>
        <w:ind w:firstLine="708"/>
        <w:jc w:val="both"/>
        <w:rPr>
          <w:rFonts w:ascii="Tahoma" w:eastAsia="Tahoma" w:hAnsi="Tahoma" w:cs="Tahoma"/>
        </w:rPr>
      </w:pPr>
    </w:p>
    <w:p w14:paraId="236C15B5" w14:textId="77777777" w:rsidR="007C2496" w:rsidRPr="002B212E" w:rsidRDefault="007C2496" w:rsidP="002B212E">
      <w:pPr>
        <w:spacing w:line="276" w:lineRule="auto"/>
        <w:ind w:firstLine="708"/>
        <w:jc w:val="both"/>
        <w:rPr>
          <w:rFonts w:ascii="Tahoma" w:eastAsia="Tahoma" w:hAnsi="Tahoma" w:cs="Tahoma"/>
        </w:rPr>
      </w:pPr>
      <w:r w:rsidRPr="002B212E">
        <w:rPr>
          <w:rFonts w:ascii="Tahoma" w:eastAsia="Tahoma" w:hAnsi="Tahoma" w:cs="Tahoma"/>
        </w:rPr>
        <w:t>La Corte Suprema de Justicia desde la sentencia CSJ SL 403-2013 clarificó que la sanción moratoria se causa tanto por la falta de consignación completa del valor del auxilio de cesantías, como por su aporte deficitario o parcial. Para esto, esgrimió las siguientes razones:</w:t>
      </w:r>
    </w:p>
    <w:p w14:paraId="4E74889E" w14:textId="77777777" w:rsidR="007C2496" w:rsidRPr="002B212E" w:rsidRDefault="007C2496" w:rsidP="002B212E">
      <w:pPr>
        <w:spacing w:line="276" w:lineRule="auto"/>
        <w:ind w:firstLine="708"/>
        <w:jc w:val="both"/>
        <w:rPr>
          <w:rFonts w:ascii="Tahoma" w:eastAsia="Tahoma" w:hAnsi="Tahoma" w:cs="Tahoma"/>
        </w:rPr>
      </w:pPr>
    </w:p>
    <w:p w14:paraId="04899161" w14:textId="77777777" w:rsidR="007C2496" w:rsidRPr="00DB21F5" w:rsidRDefault="007C2496" w:rsidP="00DB21F5">
      <w:pPr>
        <w:ind w:left="426" w:right="420"/>
        <w:jc w:val="both"/>
        <w:rPr>
          <w:rFonts w:ascii="Tahoma" w:hAnsi="Tahoma" w:cs="Tahoma"/>
          <w:i/>
          <w:sz w:val="22"/>
        </w:rPr>
      </w:pPr>
      <w:r w:rsidRPr="00DB21F5">
        <w:rPr>
          <w:rFonts w:ascii="Tahoma" w:hAnsi="Tahoma" w:cs="Tahoma"/>
          <w:i/>
          <w:sz w:val="22"/>
        </w:rPr>
        <w:t>“ (…) La severa consecuencia prevista por la citada norma ante el incumplimiento del empleador de su obligación de consignar las cesantías, como un elemento característico del nuevo régimen de cesantías que eliminó la retroactividad, indica la trascendencia que el legislador le quiso dar a dicho pago, no solo en beneficio directo de cada trabajador a quien le favorece que sus cesantías comiencen a rentar a tiempo en el respectivo fondo, sino también para garantizar que el sistema de administración de cesantías creado por misma Ley 50 de 1990 reciba a tiempo los recursos y facilitarle que pueda cumplir con sus planes de rentabilidad. Por demás, conforme al principio de la buena fe que ha de regir la ejecución de todos los contratos de trabajo, artículo 55 del CST, las partes están obligadas “no solo a lo que en él se expresa sino a todas las cosas que emanan precisamente de la naturaleza de la relación jurídica o que por la ley pertenecen a ella”.</w:t>
      </w:r>
    </w:p>
    <w:p w14:paraId="2C9AFACD" w14:textId="77777777" w:rsidR="007C2496" w:rsidRPr="002B212E" w:rsidRDefault="007C2496" w:rsidP="002B212E">
      <w:pPr>
        <w:spacing w:line="276" w:lineRule="auto"/>
        <w:jc w:val="both"/>
        <w:rPr>
          <w:rFonts w:ascii="Tahoma" w:eastAsia="Tahoma" w:hAnsi="Tahoma" w:cs="Tahoma"/>
        </w:rPr>
      </w:pPr>
    </w:p>
    <w:p w14:paraId="509445AA" w14:textId="77777777" w:rsidR="007C2496" w:rsidRPr="002B212E" w:rsidRDefault="007C2496" w:rsidP="002B212E">
      <w:pPr>
        <w:spacing w:line="276" w:lineRule="auto"/>
        <w:ind w:firstLine="567"/>
        <w:jc w:val="both"/>
        <w:rPr>
          <w:rFonts w:ascii="Tahoma" w:eastAsia="Tahoma" w:hAnsi="Tahoma" w:cs="Tahoma"/>
        </w:rPr>
      </w:pPr>
      <w:r w:rsidRPr="002B212E">
        <w:rPr>
          <w:rFonts w:ascii="Tahoma" w:eastAsia="Tahoma" w:hAnsi="Tahoma" w:cs="Tahoma"/>
        </w:rPr>
        <w:t>Del mismo modo, ha sido enfático el máximo órgano de cierre que no existe una</w:t>
      </w:r>
      <w:r w:rsidRPr="002B212E">
        <w:rPr>
          <w:rFonts w:ascii="Tahoma" w:eastAsia="Bookman Old Style" w:hAnsi="Tahoma" w:cs="Tahoma"/>
        </w:rPr>
        <w:t xml:space="preserve"> </w:t>
      </w:r>
      <w:r w:rsidRPr="002B212E">
        <w:rPr>
          <w:rFonts w:ascii="Tahoma" w:eastAsia="Tahoma" w:hAnsi="Tahoma" w:cs="Tahoma"/>
        </w:rPr>
        <w:t xml:space="preserve">hermenéutica fundada en reglas inderogables y concluyentes acerca de cuándo procede o no la sanción moratoria o en qué casos hay buena fe o no. En su lugar, se ha inclinado por una interpretación según la cual, la verificación de la conducta del empleador es un aspecto que debe ser revisado en concreto, de acuerdo con todos los detalles y peculiaridades que aparezcan probados en el expediente. (CSJ SL 8216 2016). </w:t>
      </w:r>
    </w:p>
    <w:p w14:paraId="5DDBB1E5" w14:textId="77777777" w:rsidR="007C2496" w:rsidRPr="002B212E" w:rsidRDefault="007C2496" w:rsidP="002B212E">
      <w:pPr>
        <w:spacing w:line="276" w:lineRule="auto"/>
        <w:ind w:firstLine="567"/>
        <w:jc w:val="both"/>
        <w:rPr>
          <w:rFonts w:ascii="Tahoma" w:eastAsia="Tahoma" w:hAnsi="Tahoma" w:cs="Tahoma"/>
        </w:rPr>
      </w:pPr>
    </w:p>
    <w:p w14:paraId="634177A0" w14:textId="77777777" w:rsidR="007C2496" w:rsidRPr="002B212E" w:rsidRDefault="007C2496" w:rsidP="002B212E">
      <w:pPr>
        <w:spacing w:line="276" w:lineRule="auto"/>
        <w:ind w:firstLine="708"/>
        <w:jc w:val="both"/>
        <w:rPr>
          <w:rFonts w:ascii="Tahoma" w:hAnsi="Tahoma" w:cs="Tahoma"/>
          <w:bCs/>
          <w:lang w:val="es-ES"/>
        </w:rPr>
      </w:pPr>
      <w:r w:rsidRPr="002B212E">
        <w:rPr>
          <w:rFonts w:ascii="Tahoma" w:eastAsia="Tahoma" w:hAnsi="Tahoma" w:cs="Tahoma"/>
          <w:color w:val="000000" w:themeColor="text1"/>
        </w:rPr>
        <w:t xml:space="preserve">Como ejemplo prototípico de buena fe, en la jurisprudencia casi siempre aparece como protagonista el patrono que estando convencido de que no existió contrato de trabajo, porque la relación laboral ofrecía dudas respecto a las características externas de dependencia y subordinación, razonablemente consideró que no le adeudaba emolumento laboral alguno al contratista que a la postre demuestra la existencia del contrato de trabajo; también se hace común la exoneración en los casos en que se ha dejado de cancelar el monto pretendido de un derecho cuyo </w:t>
      </w:r>
      <w:r w:rsidRPr="002B212E">
        <w:rPr>
          <w:rFonts w:ascii="Tahoma" w:eastAsia="Tahoma" w:hAnsi="Tahoma" w:cs="Tahoma"/>
          <w:color w:val="000000" w:themeColor="text1"/>
        </w:rPr>
        <w:lastRenderedPageBreak/>
        <w:t>valor es discutible, como cuando se debate con razones admisibles acerca de si determinado pago constituye o no salario para efectos de la liquidación prestacional.</w:t>
      </w:r>
    </w:p>
    <w:p w14:paraId="61973267" w14:textId="77777777" w:rsidR="007C2496" w:rsidRPr="002B212E" w:rsidRDefault="007C2496" w:rsidP="002B212E">
      <w:pPr>
        <w:spacing w:line="276" w:lineRule="auto"/>
        <w:ind w:firstLine="708"/>
        <w:jc w:val="both"/>
        <w:rPr>
          <w:rFonts w:ascii="Tahoma" w:hAnsi="Tahoma" w:cs="Tahoma"/>
          <w:bCs/>
          <w:lang w:val="es-ES"/>
        </w:rPr>
      </w:pPr>
    </w:p>
    <w:p w14:paraId="00758E3C" w14:textId="77777777" w:rsidR="007C2496" w:rsidRPr="002B212E" w:rsidRDefault="007C2496" w:rsidP="002B212E">
      <w:pPr>
        <w:spacing w:line="276" w:lineRule="auto"/>
        <w:ind w:firstLine="708"/>
        <w:jc w:val="both"/>
        <w:rPr>
          <w:rFonts w:ascii="Tahoma" w:hAnsi="Tahoma" w:cs="Tahoma"/>
          <w:bCs/>
          <w:lang w:val="es-ES"/>
        </w:rPr>
      </w:pPr>
      <w:r w:rsidRPr="002B212E">
        <w:rPr>
          <w:rFonts w:ascii="Tahoma" w:hAnsi="Tahoma" w:cs="Tahoma"/>
          <w:bCs/>
          <w:lang w:val="es-ES"/>
        </w:rPr>
        <w:t xml:space="preserve">De igual modo, el Tribunal de cierre de la jurisdicción laboral ha estimado que la buena o mala fe no depende de la prueba formal de los convenios o de la simple afirmación del demandado de creer estar actuando conforme a derecho, pues, en todo caso, es indispensable la verificación de </w:t>
      </w:r>
      <w:r w:rsidRPr="002B212E">
        <w:rPr>
          <w:rFonts w:ascii="Tahoma" w:hAnsi="Tahoma" w:cs="Tahoma"/>
          <w:bCs/>
          <w:i/>
          <w:iCs/>
          <w:lang w:val="es-ES"/>
        </w:rPr>
        <w:t>«otros tantos aspectos que giraron alrededor de la conducta que asumió en su condición de deudor obligado; vale decir, además de aquella, el fallador debe contemplar el haz probatorio para explorar dentro de él la existencia de otros argumentos valederos, que sirvan para abstenerse de imponer la sanción»</w:t>
      </w:r>
      <w:r w:rsidRPr="002B212E">
        <w:rPr>
          <w:rFonts w:ascii="Tahoma" w:hAnsi="Tahoma" w:cs="Tahoma"/>
          <w:bCs/>
          <w:lang w:val="es-ES"/>
        </w:rPr>
        <w:t xml:space="preserve"> (CSJ SL9641-2014).</w:t>
      </w:r>
    </w:p>
    <w:p w14:paraId="46F1CB97" w14:textId="77777777" w:rsidR="00BA28F3" w:rsidRPr="002B212E" w:rsidRDefault="00BA28F3" w:rsidP="002B212E">
      <w:pPr>
        <w:spacing w:line="276" w:lineRule="auto"/>
        <w:jc w:val="both"/>
        <w:rPr>
          <w:rFonts w:ascii="Tahoma" w:hAnsi="Tahoma" w:cs="Tahoma"/>
        </w:rPr>
      </w:pPr>
    </w:p>
    <w:p w14:paraId="63337E68" w14:textId="67A50EE0" w:rsidR="00B00EAC" w:rsidRPr="002B212E" w:rsidRDefault="00B00EAC" w:rsidP="002B212E">
      <w:pPr>
        <w:pStyle w:val="Prrafodelista"/>
        <w:numPr>
          <w:ilvl w:val="1"/>
          <w:numId w:val="17"/>
        </w:numPr>
        <w:spacing w:line="276" w:lineRule="auto"/>
        <w:ind w:left="1429" w:hanging="720"/>
        <w:rPr>
          <w:b/>
          <w:szCs w:val="24"/>
        </w:rPr>
      </w:pPr>
      <w:r w:rsidRPr="002B212E">
        <w:rPr>
          <w:b/>
          <w:szCs w:val="24"/>
        </w:rPr>
        <w:t xml:space="preserve"> </w:t>
      </w:r>
      <w:r w:rsidR="00BA28F3" w:rsidRPr="002B212E">
        <w:rPr>
          <w:b/>
          <w:bCs/>
          <w:szCs w:val="24"/>
        </w:rPr>
        <w:t>I</w:t>
      </w:r>
      <w:r w:rsidRPr="002B212E">
        <w:rPr>
          <w:b/>
          <w:bCs/>
          <w:szCs w:val="24"/>
        </w:rPr>
        <w:t>rrenunciabilidad</w:t>
      </w:r>
      <w:r w:rsidRPr="002B212E">
        <w:rPr>
          <w:b/>
          <w:szCs w:val="24"/>
        </w:rPr>
        <w:t xml:space="preserve"> e </w:t>
      </w:r>
      <w:r w:rsidR="0068636E" w:rsidRPr="002B212E">
        <w:rPr>
          <w:b/>
          <w:szCs w:val="24"/>
        </w:rPr>
        <w:t>imprescriptibilidad de</w:t>
      </w:r>
      <w:r w:rsidR="001030AC" w:rsidRPr="002B212E">
        <w:rPr>
          <w:b/>
          <w:szCs w:val="24"/>
        </w:rPr>
        <w:t xml:space="preserve"> los fac</w:t>
      </w:r>
      <w:r w:rsidR="0068636E" w:rsidRPr="002B212E">
        <w:rPr>
          <w:b/>
          <w:szCs w:val="24"/>
        </w:rPr>
        <w:t>tores salariales de la pensión y el reajuste del IBC</w:t>
      </w:r>
    </w:p>
    <w:p w14:paraId="704B968C" w14:textId="669CF9BC" w:rsidR="00B00EAC" w:rsidRPr="002B212E" w:rsidRDefault="00B00EAC" w:rsidP="002B212E">
      <w:pPr>
        <w:spacing w:line="276" w:lineRule="auto"/>
        <w:jc w:val="both"/>
        <w:rPr>
          <w:rFonts w:ascii="Tahoma" w:hAnsi="Tahoma" w:cs="Tahoma"/>
        </w:rPr>
      </w:pPr>
    </w:p>
    <w:p w14:paraId="6F33E850" w14:textId="721A4719" w:rsidR="0068636E" w:rsidRPr="002B212E" w:rsidRDefault="005E31BD" w:rsidP="002B212E">
      <w:pPr>
        <w:spacing w:line="276" w:lineRule="auto"/>
        <w:ind w:firstLine="708"/>
        <w:jc w:val="both"/>
        <w:rPr>
          <w:rFonts w:ascii="Tahoma" w:hAnsi="Tahoma" w:cs="Tahoma"/>
          <w:lang w:val="es"/>
        </w:rPr>
      </w:pPr>
      <w:r w:rsidRPr="002B212E">
        <w:rPr>
          <w:rFonts w:ascii="Tahoma" w:hAnsi="Tahoma" w:cs="Tahoma"/>
          <w:lang w:val="es"/>
        </w:rPr>
        <w:t xml:space="preserve">Esta Corporación ha explicado que no todo derecho de naturaleza laboral se extingue con el transcurso del tiempo. En el específico caso del derecho fundamental a la seguridad social, </w:t>
      </w:r>
      <w:r w:rsidR="0068636E" w:rsidRPr="002B212E">
        <w:rPr>
          <w:rFonts w:ascii="Tahoma" w:hAnsi="Tahoma" w:cs="Tahoma"/>
          <w:lang w:val="es"/>
        </w:rPr>
        <w:t xml:space="preserve">se </w:t>
      </w:r>
      <w:r w:rsidRPr="002B212E">
        <w:rPr>
          <w:rFonts w:ascii="Tahoma" w:hAnsi="Tahoma" w:cs="Tahoma"/>
          <w:lang w:val="es"/>
        </w:rPr>
        <w:t>ha precisado que el mismo tiene carácter “</w:t>
      </w:r>
      <w:r w:rsidRPr="008C6DE8">
        <w:rPr>
          <w:rFonts w:ascii="Tahoma" w:hAnsi="Tahoma" w:cs="Tahoma"/>
          <w:sz w:val="22"/>
          <w:lang w:val="es"/>
        </w:rPr>
        <w:t>imprescriptible, en atención a los mandatos constitucionales que expresamente disponen que dicho derecho es irrenunciable</w:t>
      </w:r>
      <w:r w:rsidR="008C6DE8">
        <w:rPr>
          <w:rFonts w:ascii="Tahoma" w:hAnsi="Tahoma" w:cs="Tahoma"/>
          <w:lang w:val="es"/>
        </w:rPr>
        <w:t>”</w:t>
      </w:r>
      <w:r w:rsidR="0068636E" w:rsidRPr="002B212E">
        <w:rPr>
          <w:rFonts w:ascii="Tahoma" w:hAnsi="Tahoma" w:cs="Tahoma"/>
          <w:lang w:val="es"/>
        </w:rPr>
        <w:t xml:space="preserve"> (sentencia complementaria del 08 de septiembre de 2020, rad. 2016-00378, M.P. Ana Lucía Caicedo Calderón)</w:t>
      </w:r>
      <w:r w:rsidRPr="002B212E">
        <w:rPr>
          <w:rFonts w:ascii="Tahoma" w:hAnsi="Tahoma" w:cs="Tahoma"/>
          <w:lang w:val="es"/>
        </w:rPr>
        <w:t xml:space="preserve">. </w:t>
      </w:r>
    </w:p>
    <w:p w14:paraId="6226DA6F" w14:textId="77777777" w:rsidR="0068636E" w:rsidRPr="002B212E" w:rsidRDefault="0068636E" w:rsidP="002B212E">
      <w:pPr>
        <w:spacing w:line="276" w:lineRule="auto"/>
        <w:ind w:firstLine="708"/>
        <w:jc w:val="both"/>
        <w:rPr>
          <w:rFonts w:ascii="Tahoma" w:hAnsi="Tahoma" w:cs="Tahoma"/>
          <w:lang w:val="es"/>
        </w:rPr>
      </w:pPr>
    </w:p>
    <w:p w14:paraId="5422F277" w14:textId="38CE99CB" w:rsidR="008D2072" w:rsidRPr="002B212E" w:rsidRDefault="005E31BD" w:rsidP="002B212E">
      <w:pPr>
        <w:spacing w:line="276" w:lineRule="auto"/>
        <w:ind w:firstLine="708"/>
        <w:jc w:val="both"/>
        <w:rPr>
          <w:rFonts w:ascii="Tahoma" w:hAnsi="Tahoma" w:cs="Tahoma"/>
          <w:lang w:val="es"/>
        </w:rPr>
      </w:pPr>
      <w:r w:rsidRPr="002B212E">
        <w:rPr>
          <w:rFonts w:ascii="Tahoma" w:hAnsi="Tahoma" w:cs="Tahoma"/>
          <w:lang w:val="es"/>
        </w:rPr>
        <w:t>Para la Corte</w:t>
      </w:r>
      <w:r w:rsidR="0068636E" w:rsidRPr="002B212E">
        <w:rPr>
          <w:rFonts w:ascii="Tahoma" w:hAnsi="Tahoma" w:cs="Tahoma"/>
          <w:lang w:val="es"/>
        </w:rPr>
        <w:t xml:space="preserve"> Constitucional</w:t>
      </w:r>
      <w:r w:rsidRPr="002B212E">
        <w:rPr>
          <w:rFonts w:ascii="Tahoma" w:hAnsi="Tahoma" w:cs="Tahoma"/>
          <w:lang w:val="es"/>
        </w:rPr>
        <w:t xml:space="preserve">, la naturaleza no extintiva de dicho derecho, constituye un pleno desarrollo de los principios y valores constitucionales que garantizan la solidaridad que debe regir en la sociedad y, además, </w:t>
      </w:r>
      <w:r w:rsidRPr="002B212E">
        <w:rPr>
          <w:rFonts w:ascii="Tahoma" w:hAnsi="Tahoma" w:cs="Tahoma"/>
          <w:i/>
          <w:lang w:val="es"/>
        </w:rPr>
        <w:t>“</w:t>
      </w:r>
      <w:r w:rsidRPr="008C6DE8">
        <w:rPr>
          <w:rFonts w:ascii="Tahoma" w:hAnsi="Tahoma" w:cs="Tahoma"/>
          <w:i/>
          <w:sz w:val="22"/>
          <w:lang w:val="es"/>
        </w:rPr>
        <w:t>propende por la protección y asistencia especial a las personas de la tercera edad, con la finalidad de asegurar el mantenimiento de unas condiciones de vida dignas […]</w:t>
      </w:r>
      <w:r w:rsidRPr="002B212E">
        <w:rPr>
          <w:rFonts w:ascii="Tahoma" w:hAnsi="Tahoma" w:cs="Tahoma"/>
          <w:i/>
          <w:lang w:val="es"/>
        </w:rPr>
        <w:t>”</w:t>
      </w:r>
      <w:r w:rsidRPr="002B212E">
        <w:rPr>
          <w:rFonts w:ascii="Tahoma" w:hAnsi="Tahoma" w:cs="Tahoma"/>
          <w:lang w:val="es"/>
        </w:rPr>
        <w:t xml:space="preserve"> (Sentencia C-624 de 2003, MP. Rodrigo Escobar Gil, sentencia C-230 de 1998, MP. Hernando Herrera Vergara, Sentencia T-746 de 2004, M.P. Manuel José Cepeda Espinosa). Además, dando alcance al artículo 48 constitucional, se tiene prevista una regla jurisprudencial con arreglo a la cual, si un empleador omite la afiliación o el pago completo de las cotizaciones a su cargo, el afectado </w:t>
      </w:r>
      <w:r w:rsidR="008D2072" w:rsidRPr="002B212E">
        <w:rPr>
          <w:rFonts w:ascii="Tahoma" w:hAnsi="Tahoma" w:cs="Tahoma"/>
          <w:lang w:val="es"/>
        </w:rPr>
        <w:t>no</w:t>
      </w:r>
      <w:r w:rsidRPr="002B212E">
        <w:rPr>
          <w:rFonts w:ascii="Tahoma" w:hAnsi="Tahoma" w:cs="Tahoma"/>
          <w:lang w:val="es"/>
        </w:rPr>
        <w:t xml:space="preserve"> puede renunciar al derecho a la reclamación, lo cual en la práctica se traduce en la imprescriptibilidad del derecho a la validación de la afiliación retroactiva, la cual tiene efectos a partir del pago del cálculo actuarial de las cotizaciones por parte del obligado a la afiliación del trabajador al Sistema General de la Seguridad Social</w:t>
      </w:r>
      <w:r w:rsidR="008D2072" w:rsidRPr="002B212E">
        <w:rPr>
          <w:rFonts w:ascii="Tahoma" w:hAnsi="Tahoma" w:cs="Tahoma"/>
          <w:lang w:val="es"/>
        </w:rPr>
        <w:t>.</w:t>
      </w:r>
    </w:p>
    <w:p w14:paraId="6E79CB80" w14:textId="77777777" w:rsidR="008D2072" w:rsidRPr="002B212E" w:rsidRDefault="008D2072" w:rsidP="002B212E">
      <w:pPr>
        <w:spacing w:line="276" w:lineRule="auto"/>
        <w:ind w:firstLine="708"/>
        <w:jc w:val="both"/>
        <w:rPr>
          <w:rFonts w:ascii="Tahoma" w:hAnsi="Tahoma" w:cs="Tahoma"/>
          <w:lang w:val="es"/>
        </w:rPr>
      </w:pPr>
    </w:p>
    <w:p w14:paraId="46A8B893" w14:textId="66C0E9D1" w:rsidR="008D2072" w:rsidRPr="002B212E" w:rsidRDefault="005E31BD" w:rsidP="002B212E">
      <w:pPr>
        <w:spacing w:line="276" w:lineRule="auto"/>
        <w:ind w:firstLine="708"/>
        <w:jc w:val="both"/>
        <w:rPr>
          <w:rFonts w:ascii="Tahoma" w:eastAsia="Times New Roman" w:hAnsi="Tahoma" w:cs="Tahoma"/>
          <w:i/>
          <w:lang w:eastAsia="es-CO"/>
        </w:rPr>
      </w:pPr>
      <w:r w:rsidRPr="002B212E">
        <w:rPr>
          <w:rFonts w:ascii="Tahoma" w:hAnsi="Tahoma" w:cs="Tahoma"/>
          <w:lang w:val="es"/>
        </w:rPr>
        <w:t xml:space="preserve">En el mismo sentido, la Sala Laboral de la Corte Suprema de Justicia, </w:t>
      </w:r>
      <w:r w:rsidR="008D2072" w:rsidRPr="002B212E">
        <w:rPr>
          <w:rFonts w:ascii="Tahoma" w:hAnsi="Tahoma" w:cs="Tahoma"/>
          <w:lang w:val="es"/>
        </w:rPr>
        <w:t xml:space="preserve">ha sostenido que </w:t>
      </w:r>
      <w:r w:rsidR="008D2072" w:rsidRPr="002B212E">
        <w:rPr>
          <w:rFonts w:ascii="Tahoma" w:eastAsia="Times New Roman" w:hAnsi="Tahoma" w:cs="Tahoma"/>
          <w:lang w:eastAsia="es-CO"/>
        </w:rPr>
        <w:t xml:space="preserve">mientras el derecho pensional esté en formación, la acción para reclamar los aportes pensionales omitidos, a través de cálculo actuarial, no está sometida a prescripción. En similar dirección, en sentencias como las CSJ SL, 8 </w:t>
      </w:r>
      <w:proofErr w:type="spellStart"/>
      <w:r w:rsidR="008D2072" w:rsidRPr="002B212E">
        <w:rPr>
          <w:rFonts w:ascii="Tahoma" w:eastAsia="Times New Roman" w:hAnsi="Tahoma" w:cs="Tahoma"/>
          <w:lang w:eastAsia="es-CO"/>
        </w:rPr>
        <w:t>may</w:t>
      </w:r>
      <w:proofErr w:type="spellEnd"/>
      <w:r w:rsidR="008D2072" w:rsidRPr="002B212E">
        <w:rPr>
          <w:rFonts w:ascii="Tahoma" w:eastAsia="Times New Roman" w:hAnsi="Tahoma" w:cs="Tahoma"/>
          <w:lang w:eastAsia="es-CO"/>
        </w:rPr>
        <w:t xml:space="preserve">. 2012, rad. 38266, y CSJ SL2944-2016, señaló que </w:t>
      </w:r>
      <w:r w:rsidR="008D2072" w:rsidRPr="002B212E">
        <w:rPr>
          <w:rFonts w:ascii="Tahoma" w:eastAsia="Times New Roman" w:hAnsi="Tahoma" w:cs="Tahoma"/>
          <w:i/>
          <w:lang w:eastAsia="es-CO"/>
        </w:rPr>
        <w:t>"</w:t>
      </w:r>
      <w:r w:rsidR="008D2072" w:rsidRPr="008C6DE8">
        <w:rPr>
          <w:rFonts w:ascii="Tahoma" w:eastAsia="Times New Roman" w:hAnsi="Tahoma" w:cs="Tahoma"/>
          <w:i/>
          <w:sz w:val="22"/>
          <w:lang w:eastAsia="es-CO"/>
        </w:rPr>
        <w:t>…</w:t>
      </w:r>
      <w:r w:rsidR="008C6DE8" w:rsidRPr="008C6DE8">
        <w:rPr>
          <w:rFonts w:ascii="Tahoma" w:eastAsia="Times New Roman" w:hAnsi="Tahoma" w:cs="Tahoma"/>
          <w:i/>
          <w:sz w:val="22"/>
          <w:lang w:eastAsia="es-CO"/>
        </w:rPr>
        <w:t xml:space="preserve"> </w:t>
      </w:r>
      <w:r w:rsidR="008D2072" w:rsidRPr="008C6DE8">
        <w:rPr>
          <w:rFonts w:ascii="Tahoma" w:eastAsia="Times New Roman" w:hAnsi="Tahoma" w:cs="Tahoma"/>
          <w:i/>
          <w:sz w:val="22"/>
          <w:lang w:eastAsia="es-CO"/>
        </w:rPr>
        <w:t>el pago de los aportes pensionales al sistema de seguridad social, en tanto se constituyen como parte fundamental para la consolidación del derecho a la pensión de jubilación, no están sometidos a prescripción…"</w:t>
      </w:r>
      <w:r w:rsidR="008C6DE8">
        <w:rPr>
          <w:rFonts w:ascii="Tahoma" w:eastAsia="Times New Roman" w:hAnsi="Tahoma" w:cs="Tahoma"/>
          <w:i/>
          <w:lang w:eastAsia="es-CO"/>
        </w:rPr>
        <w:t>.</w:t>
      </w:r>
    </w:p>
    <w:p w14:paraId="4F25D34D" w14:textId="79280EDB" w:rsidR="008D2072" w:rsidRPr="002B212E" w:rsidRDefault="008D2072" w:rsidP="002B212E">
      <w:pPr>
        <w:spacing w:line="276" w:lineRule="auto"/>
        <w:ind w:firstLine="708"/>
        <w:jc w:val="both"/>
        <w:rPr>
          <w:rFonts w:ascii="Tahoma" w:hAnsi="Tahoma" w:cs="Tahoma"/>
          <w:lang w:val="es"/>
        </w:rPr>
      </w:pPr>
    </w:p>
    <w:p w14:paraId="52849B23" w14:textId="77777777" w:rsidR="001030AC" w:rsidRPr="002B212E" w:rsidRDefault="001030AC" w:rsidP="002B212E">
      <w:pPr>
        <w:spacing w:line="276" w:lineRule="auto"/>
        <w:ind w:firstLine="708"/>
        <w:jc w:val="both"/>
        <w:rPr>
          <w:rFonts w:ascii="Tahoma" w:hAnsi="Tahoma" w:cs="Tahoma"/>
          <w:lang w:val="es"/>
        </w:rPr>
      </w:pPr>
      <w:r w:rsidRPr="002B212E">
        <w:rPr>
          <w:rFonts w:ascii="Tahoma" w:hAnsi="Tahoma" w:cs="Tahoma"/>
          <w:lang w:val="es"/>
        </w:rPr>
        <w:t xml:space="preserve">En sentencia SL8544 de 2016, M.P. Clara Cecilia Dueñas Quevedo, aclaró que también tienen el carácter de imprescriptibles los factores salariales de la pensión y, </w:t>
      </w:r>
      <w:r w:rsidRPr="002B212E">
        <w:rPr>
          <w:rFonts w:ascii="Tahoma" w:hAnsi="Tahoma" w:cs="Tahoma"/>
          <w:lang w:val="es"/>
        </w:rPr>
        <w:lastRenderedPageBreak/>
        <w:t>por tanto, el reajuste de los salarios y demás factores que conforman la eventual liquidación de la pensión, lo cual explicó bajo las siguientes razones:</w:t>
      </w:r>
    </w:p>
    <w:p w14:paraId="796C3ABE" w14:textId="77777777" w:rsidR="001030AC" w:rsidRPr="002B212E" w:rsidRDefault="001030AC" w:rsidP="002B212E">
      <w:pPr>
        <w:spacing w:line="276" w:lineRule="auto"/>
        <w:ind w:firstLine="708"/>
        <w:jc w:val="both"/>
        <w:rPr>
          <w:rFonts w:ascii="Tahoma" w:hAnsi="Tahoma" w:cs="Tahoma"/>
          <w:color w:val="4D4D4D"/>
          <w:spacing w:val="2"/>
          <w:lang w:val="es"/>
        </w:rPr>
      </w:pPr>
    </w:p>
    <w:p w14:paraId="7AA41719" w14:textId="77777777" w:rsidR="001030AC" w:rsidRPr="00505D6F" w:rsidRDefault="001030AC" w:rsidP="00505D6F">
      <w:pPr>
        <w:ind w:left="426" w:right="420"/>
        <w:jc w:val="both"/>
        <w:rPr>
          <w:rFonts w:ascii="Tahoma" w:hAnsi="Tahoma" w:cs="Tahoma"/>
          <w:i/>
          <w:sz w:val="22"/>
        </w:rPr>
      </w:pPr>
      <w:r w:rsidRPr="00505D6F">
        <w:rPr>
          <w:rFonts w:ascii="Tahoma" w:hAnsi="Tahoma" w:cs="Tahoma"/>
          <w:i/>
          <w:sz w:val="22"/>
        </w:rPr>
        <w:t>Aunque podría sostenerse que al prescribir los derechos crediticios que emanan de las relaciones de trabajo, éstos desaparecen del mundo jurídico y, por ello, no pueden ser tenidos en cuenta para otros efectos legales, incluidos los pensionales; tal tesis presenta el serio inconveniente de no distinguir y ofrecer un tratamiento particular a dos cuestiones que son bien diferentes: (i) el salario como retribución directa del servicio en el marco de una relación de trabajo, y (ii) el salario como elemento o factor establecido por la ley para la liquidación de las pensiones.</w:t>
      </w:r>
    </w:p>
    <w:p w14:paraId="01925FB9" w14:textId="77777777" w:rsidR="001030AC" w:rsidRPr="00505D6F" w:rsidRDefault="001030AC" w:rsidP="00505D6F">
      <w:pPr>
        <w:ind w:left="426" w:right="420"/>
        <w:jc w:val="both"/>
        <w:rPr>
          <w:rFonts w:ascii="Tahoma" w:hAnsi="Tahoma" w:cs="Tahoma"/>
          <w:i/>
          <w:sz w:val="22"/>
        </w:rPr>
      </w:pPr>
    </w:p>
    <w:p w14:paraId="158F9569" w14:textId="77777777" w:rsidR="001030AC" w:rsidRPr="00505D6F" w:rsidRDefault="001030AC" w:rsidP="00505D6F">
      <w:pPr>
        <w:ind w:left="426" w:right="420"/>
        <w:jc w:val="both"/>
        <w:rPr>
          <w:rFonts w:ascii="Tahoma" w:hAnsi="Tahoma" w:cs="Tahoma"/>
          <w:i/>
          <w:sz w:val="22"/>
        </w:rPr>
      </w:pPr>
      <w:r w:rsidRPr="00505D6F">
        <w:rPr>
          <w:rFonts w:ascii="Tahoma" w:hAnsi="Tahoma" w:cs="Tahoma"/>
          <w:i/>
          <w:sz w:val="22"/>
        </w:rPr>
        <w:t xml:space="preserve">En la primera hipótesis, es claro que el salario constituye un derecho crediticio sujeto a las reglas generales de prescripción previstas en los arts. 151 del C.P.T., 488 del C.S.T. y 41 del D. 3135/1968; en la segunda, el salario se redimensiona y adquiere otra calidad, pues deja de ser un derecho patrimonial y se convierte en un elemento jurídico esencial de la pensión. </w:t>
      </w:r>
    </w:p>
    <w:p w14:paraId="4AE30511" w14:textId="77777777" w:rsidR="001030AC" w:rsidRPr="00505D6F" w:rsidRDefault="001030AC" w:rsidP="00505D6F">
      <w:pPr>
        <w:ind w:left="426" w:right="420"/>
        <w:jc w:val="both"/>
        <w:rPr>
          <w:rFonts w:ascii="Tahoma" w:hAnsi="Tahoma" w:cs="Tahoma"/>
          <w:i/>
          <w:sz w:val="22"/>
        </w:rPr>
      </w:pPr>
    </w:p>
    <w:p w14:paraId="3B27FD84" w14:textId="77777777" w:rsidR="001030AC" w:rsidRPr="00505D6F" w:rsidRDefault="001030AC" w:rsidP="00505D6F">
      <w:pPr>
        <w:ind w:left="426" w:right="420"/>
        <w:jc w:val="both"/>
        <w:rPr>
          <w:rFonts w:ascii="Tahoma" w:hAnsi="Tahoma" w:cs="Tahoma"/>
          <w:i/>
          <w:sz w:val="22"/>
        </w:rPr>
      </w:pPr>
      <w:r w:rsidRPr="00505D6F">
        <w:rPr>
          <w:rFonts w:ascii="Tahoma" w:hAnsi="Tahoma" w:cs="Tahoma"/>
          <w:i/>
          <w:sz w:val="22"/>
        </w:rPr>
        <w:t>Naturalmente, esta reconsideración del salario como elemento jurídico consustancial de la pensión, apareja su imprescriptibilidad, pues ya deja de ser un referente aislado para integrarse en la estructura de la prestación pensional y formar con ella un todo indisoluble.</w:t>
      </w:r>
    </w:p>
    <w:p w14:paraId="056B89D7" w14:textId="77777777" w:rsidR="001030AC" w:rsidRPr="00505D6F" w:rsidRDefault="001030AC" w:rsidP="00505D6F">
      <w:pPr>
        <w:ind w:left="426" w:right="420"/>
        <w:jc w:val="both"/>
        <w:rPr>
          <w:rFonts w:ascii="Tahoma" w:hAnsi="Tahoma" w:cs="Tahoma"/>
          <w:i/>
          <w:sz w:val="22"/>
        </w:rPr>
      </w:pPr>
    </w:p>
    <w:p w14:paraId="27AE5A66" w14:textId="0E7AD255" w:rsidR="001030AC" w:rsidRPr="00505D6F" w:rsidRDefault="001030AC" w:rsidP="00505D6F">
      <w:pPr>
        <w:ind w:left="426" w:right="420"/>
        <w:jc w:val="both"/>
        <w:rPr>
          <w:rFonts w:ascii="Tahoma" w:hAnsi="Tahoma" w:cs="Tahoma"/>
          <w:i/>
          <w:sz w:val="22"/>
        </w:rPr>
      </w:pPr>
      <w:r w:rsidRPr="00505D6F">
        <w:rPr>
          <w:rFonts w:ascii="Tahoma" w:hAnsi="Tahoma" w:cs="Tahoma"/>
          <w:i/>
          <w:sz w:val="22"/>
        </w:rPr>
        <w:t xml:space="preserve">Por lo demás, esta visión del salario y su papel en la consolidación de la </w:t>
      </w:r>
      <w:r w:rsidR="2FF352ED" w:rsidRPr="00505D6F">
        <w:rPr>
          <w:rFonts w:ascii="Tahoma" w:hAnsi="Tahoma" w:cs="Tahoma"/>
          <w:i/>
          <w:sz w:val="22"/>
        </w:rPr>
        <w:t>pensión</w:t>
      </w:r>
      <w:r w:rsidRPr="00505D6F">
        <w:rPr>
          <w:rFonts w:ascii="Tahoma" w:hAnsi="Tahoma" w:cs="Tahoma"/>
          <w:i/>
          <w:sz w:val="22"/>
        </w:rPr>
        <w:t xml:space="preserve"> empalma perfectamente con el pensamiento de la Sala en el sentido que los elementos consustanciales a la prestación pensional no prescriben y, por este motivo, pueden ser revisados judicialmente en cualquier momento. Así, se ha dicho jurisprudencialmente que aspectos tales como el porcentaje de la pensión, los topes máximos pensionales, los linderos temporales para determinar el IBL y la actualización de la pensión, no se extinguen por el paso del tiempo, pues constituyen aspectos ínsitos al derecho pensional (CSJ SL, 19 </w:t>
      </w:r>
      <w:proofErr w:type="spellStart"/>
      <w:r w:rsidRPr="00505D6F">
        <w:rPr>
          <w:rFonts w:ascii="Tahoma" w:hAnsi="Tahoma" w:cs="Tahoma"/>
          <w:i/>
          <w:sz w:val="22"/>
        </w:rPr>
        <w:t>may</w:t>
      </w:r>
      <w:proofErr w:type="spellEnd"/>
      <w:r w:rsidRPr="00505D6F">
        <w:rPr>
          <w:rFonts w:ascii="Tahoma" w:hAnsi="Tahoma" w:cs="Tahoma"/>
          <w:i/>
          <w:sz w:val="22"/>
        </w:rPr>
        <w:t>. 2005, rad. 23120; CSJ SL, 5 dic. 2006, rad. 28552; CSJ SL, 22 ene. 2013, rad. 40993; CSJ SL6154-2015).</w:t>
      </w:r>
    </w:p>
    <w:p w14:paraId="26B36A6A" w14:textId="77777777" w:rsidR="001030AC" w:rsidRPr="00505D6F" w:rsidRDefault="001030AC" w:rsidP="00505D6F">
      <w:pPr>
        <w:ind w:left="426" w:right="420"/>
        <w:jc w:val="both"/>
        <w:rPr>
          <w:rFonts w:ascii="Tahoma" w:hAnsi="Tahoma" w:cs="Tahoma"/>
          <w:i/>
          <w:sz w:val="22"/>
        </w:rPr>
      </w:pPr>
    </w:p>
    <w:p w14:paraId="30D037CB" w14:textId="22C9ECF8" w:rsidR="001030AC" w:rsidRPr="00505D6F" w:rsidRDefault="001030AC" w:rsidP="00505D6F">
      <w:pPr>
        <w:ind w:left="426" w:right="420"/>
        <w:jc w:val="both"/>
        <w:rPr>
          <w:rFonts w:ascii="Tahoma" w:hAnsi="Tahoma" w:cs="Tahoma"/>
          <w:i/>
          <w:sz w:val="22"/>
        </w:rPr>
      </w:pPr>
      <w:r w:rsidRPr="00505D6F">
        <w:rPr>
          <w:rFonts w:ascii="Tahoma" w:hAnsi="Tahoma" w:cs="Tahoma"/>
          <w:i/>
          <w:sz w:val="22"/>
        </w:rPr>
        <w:t xml:space="preserve">En este orden de cosas, debe entenderse que, así como no son susceptibles de desaparecer por prescripción extintiva esas cuestiones innatas de la pensión, tampoco deben serlo los factores salariales, pues tanto unos como otros son elementos estructurales y definitorios de la prestación, por manera que, en la actualidad no existe un principio de razón suficiente para seguir sosteniendo la </w:t>
      </w:r>
      <w:proofErr w:type="spellStart"/>
      <w:r w:rsidRPr="00505D6F">
        <w:rPr>
          <w:rFonts w:ascii="Tahoma" w:hAnsi="Tahoma" w:cs="Tahoma"/>
          <w:i/>
          <w:sz w:val="22"/>
        </w:rPr>
        <w:t>prescriptibilidad</w:t>
      </w:r>
      <w:proofErr w:type="spellEnd"/>
      <w:r w:rsidRPr="00505D6F">
        <w:rPr>
          <w:rFonts w:ascii="Tahoma" w:hAnsi="Tahoma" w:cs="Tahoma"/>
          <w:i/>
          <w:sz w:val="22"/>
        </w:rPr>
        <w:t xml:space="preserve"> del reajuste por inclusión de nuevos factores salariales.</w:t>
      </w:r>
    </w:p>
    <w:p w14:paraId="6586335C" w14:textId="77777777" w:rsidR="001030AC" w:rsidRPr="002B212E" w:rsidRDefault="001030AC" w:rsidP="002B212E">
      <w:pPr>
        <w:spacing w:line="276" w:lineRule="auto"/>
        <w:jc w:val="both"/>
        <w:rPr>
          <w:rFonts w:ascii="Tahoma" w:hAnsi="Tahoma" w:cs="Tahoma"/>
          <w:lang w:val="es-CO"/>
        </w:rPr>
      </w:pPr>
    </w:p>
    <w:p w14:paraId="6B7EB38F" w14:textId="555089BF" w:rsidR="008D2072" w:rsidRPr="002B212E" w:rsidRDefault="008D2072" w:rsidP="002B212E">
      <w:pPr>
        <w:spacing w:line="276" w:lineRule="auto"/>
        <w:ind w:firstLine="708"/>
        <w:jc w:val="both"/>
        <w:rPr>
          <w:rFonts w:ascii="Tahoma" w:hAnsi="Tahoma" w:cs="Tahoma"/>
        </w:rPr>
      </w:pPr>
      <w:r w:rsidRPr="002B212E">
        <w:rPr>
          <w:rFonts w:ascii="Tahoma" w:hAnsi="Tahoma" w:cs="Tahoma"/>
          <w:lang w:val="es"/>
        </w:rPr>
        <w:t>En</w:t>
      </w:r>
      <w:r w:rsidR="001030AC" w:rsidRPr="002B212E">
        <w:rPr>
          <w:rFonts w:ascii="Tahoma" w:hAnsi="Tahoma" w:cs="Tahoma"/>
          <w:lang w:val="es"/>
        </w:rPr>
        <w:t xml:space="preserve"> esa misma línea,</w:t>
      </w:r>
      <w:r w:rsidRPr="002B212E">
        <w:rPr>
          <w:rFonts w:ascii="Tahoma" w:hAnsi="Tahoma" w:cs="Tahoma"/>
          <w:lang w:val="es"/>
        </w:rPr>
        <w:t xml:space="preserve"> </w:t>
      </w:r>
      <w:r w:rsidR="001030AC" w:rsidRPr="002B212E">
        <w:rPr>
          <w:rFonts w:ascii="Tahoma" w:hAnsi="Tahoma" w:cs="Tahoma"/>
          <w:lang w:val="es"/>
        </w:rPr>
        <w:t xml:space="preserve">en la </w:t>
      </w:r>
      <w:r w:rsidRPr="002B212E">
        <w:rPr>
          <w:rFonts w:ascii="Tahoma" w:hAnsi="Tahoma" w:cs="Tahoma"/>
          <w:lang w:val="es"/>
        </w:rPr>
        <w:t>sentencia SL 4559 de 2019, M.P. Clara Cecilia Dueñas Quevedo, la Sala Laboral aclaró que el calificativo de “irrenunciable” sobre la seguridad social no procura exclusivamente por el reconocimiento formal de las prestaciones fundamentales que ella comporta, sino que, desde un enfoque material, busca su satisfacción total, a fin de que los derechos y los intereses objeto de protección sean reales, efectivos y practicables, de modo que los</w:t>
      </w:r>
      <w:r w:rsidRPr="002B212E">
        <w:rPr>
          <w:rFonts w:ascii="Tahoma" w:hAnsi="Tahoma" w:cs="Tahoma"/>
        </w:rPr>
        <w:t xml:space="preserve"> derechos subjetivos emanados de la seguridad social tienen el carácter de irrenunciables, esto es, pueden ser justiciados en todo tiempo, por ende, las acciones para reclamar derechos relacionados con el porcentaje de la pensión, los topes máximos pensionales, los linderos temporales para determinar el ingreso base de liquidación, el reajuste y la actualización de la pensión, la ineficacia del traslado de régimen pensional, entre otros, son imprescriptibles.</w:t>
      </w:r>
    </w:p>
    <w:p w14:paraId="1C6D28FB" w14:textId="77777777" w:rsidR="001030AC" w:rsidRPr="002B212E" w:rsidRDefault="001030AC" w:rsidP="002B212E">
      <w:pPr>
        <w:spacing w:line="276" w:lineRule="auto"/>
        <w:jc w:val="both"/>
        <w:rPr>
          <w:rFonts w:ascii="Tahoma" w:hAnsi="Tahoma" w:cs="Tahoma"/>
        </w:rPr>
      </w:pPr>
    </w:p>
    <w:p w14:paraId="723D61DD" w14:textId="3CEA772D" w:rsidR="00141D8B" w:rsidRPr="002B212E" w:rsidRDefault="00E76C52" w:rsidP="002B212E">
      <w:pPr>
        <w:pStyle w:val="Prrafodelista"/>
        <w:numPr>
          <w:ilvl w:val="0"/>
          <w:numId w:val="12"/>
        </w:numPr>
        <w:spacing w:line="276" w:lineRule="auto"/>
        <w:ind w:left="0" w:firstLine="0"/>
        <w:jc w:val="center"/>
        <w:rPr>
          <w:b/>
          <w:szCs w:val="24"/>
        </w:rPr>
      </w:pPr>
      <w:r w:rsidRPr="002B212E">
        <w:rPr>
          <w:b/>
          <w:szCs w:val="24"/>
        </w:rPr>
        <w:t>Caso concreto</w:t>
      </w:r>
    </w:p>
    <w:p w14:paraId="737A4592" w14:textId="77777777" w:rsidR="00141D8B" w:rsidRPr="002B212E" w:rsidRDefault="00141D8B" w:rsidP="002B212E">
      <w:pPr>
        <w:pStyle w:val="Prrafodelista"/>
        <w:tabs>
          <w:tab w:val="left" w:pos="993"/>
        </w:tabs>
        <w:spacing w:line="276" w:lineRule="auto"/>
        <w:ind w:left="0" w:firstLine="709"/>
        <w:rPr>
          <w:szCs w:val="24"/>
        </w:rPr>
      </w:pPr>
    </w:p>
    <w:p w14:paraId="7488375D" w14:textId="70CE5AB9" w:rsidR="27C7AE01" w:rsidRPr="002B212E" w:rsidRDefault="27C7AE01" w:rsidP="002B212E">
      <w:pPr>
        <w:pStyle w:val="Prrafodelista"/>
        <w:tabs>
          <w:tab w:val="left" w:pos="993"/>
        </w:tabs>
        <w:spacing w:line="276" w:lineRule="auto"/>
        <w:ind w:left="0" w:firstLine="709"/>
        <w:rPr>
          <w:szCs w:val="24"/>
        </w:rPr>
      </w:pPr>
      <w:r w:rsidRPr="002B212E">
        <w:rPr>
          <w:szCs w:val="24"/>
        </w:rPr>
        <w:lastRenderedPageBreak/>
        <w:t xml:space="preserve">Sea lo primero advertir que en el presente asunto las partes desde la audiencia </w:t>
      </w:r>
      <w:r w:rsidR="79DAA6C9" w:rsidRPr="002B212E">
        <w:rPr>
          <w:szCs w:val="24"/>
        </w:rPr>
        <w:t>de que trata el artículo 77 del C.P.T. y de la S.S. excluyeron del debate litigioso, por ser hechos pro</w:t>
      </w:r>
      <w:r w:rsidR="275560F9" w:rsidRPr="002B212E">
        <w:rPr>
          <w:szCs w:val="24"/>
        </w:rPr>
        <w:t xml:space="preserve">bados, los siguientes: 1) entre Colombia </w:t>
      </w:r>
      <w:proofErr w:type="spellStart"/>
      <w:r w:rsidR="275560F9" w:rsidRPr="002B212E">
        <w:rPr>
          <w:szCs w:val="24"/>
        </w:rPr>
        <w:t>Movil</w:t>
      </w:r>
      <w:proofErr w:type="spellEnd"/>
      <w:r w:rsidR="275560F9" w:rsidRPr="002B212E">
        <w:rPr>
          <w:szCs w:val="24"/>
        </w:rPr>
        <w:t xml:space="preserve"> SA ESP y el demandante se suscribió un contrato a término indefinido el 15 de mayo de 2006, </w:t>
      </w:r>
      <w:r w:rsidR="65FA462A" w:rsidRPr="002B212E">
        <w:rPr>
          <w:szCs w:val="24"/>
        </w:rPr>
        <w:t>con inició el 22 de mismo mes y año</w:t>
      </w:r>
      <w:r w:rsidR="004C0430" w:rsidRPr="002B212E">
        <w:rPr>
          <w:szCs w:val="24"/>
        </w:rPr>
        <w:t>;</w:t>
      </w:r>
      <w:r w:rsidR="65FA462A" w:rsidRPr="002B212E">
        <w:rPr>
          <w:szCs w:val="24"/>
        </w:rPr>
        <w:t xml:space="preserve"> 2) </w:t>
      </w:r>
      <w:r w:rsidR="004C0430" w:rsidRPr="002B212E">
        <w:rPr>
          <w:szCs w:val="24"/>
        </w:rPr>
        <w:t>q</w:t>
      </w:r>
      <w:r w:rsidR="65FA462A" w:rsidRPr="002B212E">
        <w:rPr>
          <w:szCs w:val="24"/>
        </w:rPr>
        <w:t xml:space="preserve">ue entre Colombia </w:t>
      </w:r>
      <w:proofErr w:type="spellStart"/>
      <w:r w:rsidR="65FA462A" w:rsidRPr="002B212E">
        <w:rPr>
          <w:szCs w:val="24"/>
        </w:rPr>
        <w:t>Movil</w:t>
      </w:r>
      <w:proofErr w:type="spellEnd"/>
      <w:r w:rsidR="65FA462A" w:rsidRPr="002B212E">
        <w:rPr>
          <w:szCs w:val="24"/>
        </w:rPr>
        <w:t xml:space="preserve"> S.A ES y Huawei Technologies Colombia SAS </w:t>
      </w:r>
      <w:r w:rsidR="1E3894F8" w:rsidRPr="002B212E">
        <w:rPr>
          <w:szCs w:val="24"/>
        </w:rPr>
        <w:t>operó sustitución patronal a partir del 7 de octubre de 2016</w:t>
      </w:r>
      <w:r w:rsidR="004C0430" w:rsidRPr="002B212E">
        <w:rPr>
          <w:szCs w:val="24"/>
        </w:rPr>
        <w:t>;</w:t>
      </w:r>
      <w:r w:rsidR="1E3894F8" w:rsidRPr="002B212E">
        <w:rPr>
          <w:szCs w:val="24"/>
        </w:rPr>
        <w:t xml:space="preserve"> y 3) que a su vez, entre Huawei Technologies Colombia SAS y Huawei Technologies </w:t>
      </w:r>
      <w:proofErr w:type="spellStart"/>
      <w:r w:rsidR="1E3894F8" w:rsidRPr="002B212E">
        <w:rPr>
          <w:szCs w:val="24"/>
        </w:rPr>
        <w:t>Ma</w:t>
      </w:r>
      <w:r w:rsidR="692674CF" w:rsidRPr="002B212E">
        <w:rPr>
          <w:szCs w:val="24"/>
        </w:rPr>
        <w:t>naged</w:t>
      </w:r>
      <w:proofErr w:type="spellEnd"/>
      <w:r w:rsidR="692674CF" w:rsidRPr="002B212E">
        <w:rPr>
          <w:szCs w:val="24"/>
        </w:rPr>
        <w:t xml:space="preserve"> </w:t>
      </w:r>
      <w:proofErr w:type="spellStart"/>
      <w:r w:rsidR="692674CF" w:rsidRPr="002B212E">
        <w:rPr>
          <w:szCs w:val="24"/>
        </w:rPr>
        <w:t>Service</w:t>
      </w:r>
      <w:proofErr w:type="spellEnd"/>
      <w:r w:rsidR="692674CF" w:rsidRPr="002B212E">
        <w:rPr>
          <w:szCs w:val="24"/>
        </w:rPr>
        <w:t xml:space="preserve"> </w:t>
      </w:r>
      <w:r w:rsidR="1E3894F8" w:rsidRPr="002B212E">
        <w:rPr>
          <w:szCs w:val="24"/>
        </w:rPr>
        <w:t>Colombia SAS</w:t>
      </w:r>
      <w:r w:rsidR="2C7677BB" w:rsidRPr="002B212E">
        <w:rPr>
          <w:szCs w:val="24"/>
        </w:rPr>
        <w:t xml:space="preserve"> operó la misma figura patronal desde el 7 de diciembre de 2017.</w:t>
      </w:r>
    </w:p>
    <w:p w14:paraId="391F4187" w14:textId="523240F1" w:rsidR="5500CF0B" w:rsidRPr="002B212E" w:rsidRDefault="5500CF0B" w:rsidP="002B212E">
      <w:pPr>
        <w:pStyle w:val="Prrafodelista"/>
        <w:tabs>
          <w:tab w:val="left" w:pos="993"/>
        </w:tabs>
        <w:spacing w:line="276" w:lineRule="auto"/>
        <w:ind w:left="0" w:firstLine="709"/>
        <w:rPr>
          <w:szCs w:val="24"/>
        </w:rPr>
      </w:pPr>
    </w:p>
    <w:p w14:paraId="0CDC3E21" w14:textId="377B6651" w:rsidR="1B825F5B" w:rsidRPr="002B212E" w:rsidRDefault="1B825F5B" w:rsidP="002B212E">
      <w:pPr>
        <w:pStyle w:val="Prrafodelista"/>
        <w:tabs>
          <w:tab w:val="left" w:pos="993"/>
        </w:tabs>
        <w:spacing w:line="276" w:lineRule="auto"/>
        <w:ind w:left="0" w:firstLine="709"/>
        <w:rPr>
          <w:szCs w:val="24"/>
        </w:rPr>
      </w:pPr>
      <w:r w:rsidRPr="002B212E">
        <w:rPr>
          <w:szCs w:val="24"/>
        </w:rPr>
        <w:t xml:space="preserve">Por lo anterior, </w:t>
      </w:r>
      <w:r w:rsidR="27ACD61B" w:rsidRPr="002B212E">
        <w:rPr>
          <w:szCs w:val="24"/>
        </w:rPr>
        <w:t xml:space="preserve">de conformidad con los artículos 69 y 70 del Código Sustantivo del trabajo, </w:t>
      </w:r>
      <w:r w:rsidR="6EF18589" w:rsidRPr="002B212E">
        <w:rPr>
          <w:szCs w:val="24"/>
        </w:rPr>
        <w:t xml:space="preserve">Huawei Technologies </w:t>
      </w:r>
      <w:proofErr w:type="spellStart"/>
      <w:r w:rsidR="6EF18589" w:rsidRPr="002B212E">
        <w:rPr>
          <w:szCs w:val="24"/>
        </w:rPr>
        <w:t>Managed</w:t>
      </w:r>
      <w:proofErr w:type="spellEnd"/>
      <w:r w:rsidR="6EF18589" w:rsidRPr="002B212E">
        <w:rPr>
          <w:szCs w:val="24"/>
        </w:rPr>
        <w:t xml:space="preserve"> </w:t>
      </w:r>
      <w:proofErr w:type="spellStart"/>
      <w:r w:rsidR="6EF18589" w:rsidRPr="002B212E">
        <w:rPr>
          <w:szCs w:val="24"/>
        </w:rPr>
        <w:t>Service</w:t>
      </w:r>
      <w:proofErr w:type="spellEnd"/>
      <w:r w:rsidR="6EF18589" w:rsidRPr="002B212E">
        <w:rPr>
          <w:szCs w:val="24"/>
        </w:rPr>
        <w:t xml:space="preserve"> Colombia SAS se hizo</w:t>
      </w:r>
      <w:r w:rsidR="1F8A8B5B" w:rsidRPr="002B212E">
        <w:rPr>
          <w:szCs w:val="24"/>
        </w:rPr>
        <w:t xml:space="preserve"> solidariamente</w:t>
      </w:r>
      <w:r w:rsidR="6EF18589" w:rsidRPr="002B212E">
        <w:rPr>
          <w:szCs w:val="24"/>
        </w:rPr>
        <w:t xml:space="preserve"> responsable</w:t>
      </w:r>
      <w:r w:rsidR="41420FCB" w:rsidRPr="002B212E">
        <w:rPr>
          <w:szCs w:val="24"/>
        </w:rPr>
        <w:t xml:space="preserve"> </w:t>
      </w:r>
      <w:r w:rsidR="6EF18589" w:rsidRPr="002B212E">
        <w:rPr>
          <w:szCs w:val="24"/>
        </w:rPr>
        <w:t xml:space="preserve">de las acreencias surgidas con antelación a la sustitución patronal, </w:t>
      </w:r>
      <w:r w:rsidR="07F9C9F5" w:rsidRPr="002B212E">
        <w:rPr>
          <w:szCs w:val="24"/>
        </w:rPr>
        <w:t xml:space="preserve">al margen de los acuerdos celebrados entre las sociedades, como quiera que estos no afectan los derechos consagrados en favor de trabajador, </w:t>
      </w:r>
      <w:r w:rsidR="6EF18589" w:rsidRPr="002B212E">
        <w:rPr>
          <w:szCs w:val="24"/>
        </w:rPr>
        <w:t xml:space="preserve">sin perjuicio de la posibilidad </w:t>
      </w:r>
      <w:r w:rsidR="25F121BF" w:rsidRPr="002B212E">
        <w:rPr>
          <w:szCs w:val="24"/>
        </w:rPr>
        <w:t>que le asi</w:t>
      </w:r>
      <w:r w:rsidR="004C0430" w:rsidRPr="002B212E">
        <w:rPr>
          <w:szCs w:val="24"/>
        </w:rPr>
        <w:t>s</w:t>
      </w:r>
      <w:r w:rsidR="25F121BF" w:rsidRPr="002B212E">
        <w:rPr>
          <w:szCs w:val="24"/>
        </w:rPr>
        <w:t xml:space="preserve">te al demandado de </w:t>
      </w:r>
      <w:r w:rsidR="6EF18589" w:rsidRPr="002B212E">
        <w:rPr>
          <w:szCs w:val="24"/>
        </w:rPr>
        <w:t>repetir contra el antiguo</w:t>
      </w:r>
      <w:r w:rsidR="41FAFD7C" w:rsidRPr="002B212E">
        <w:rPr>
          <w:szCs w:val="24"/>
        </w:rPr>
        <w:t xml:space="preserve"> empleador.</w:t>
      </w:r>
    </w:p>
    <w:p w14:paraId="3F97753C" w14:textId="288A2067" w:rsidR="5500CF0B" w:rsidRPr="002B212E" w:rsidRDefault="5500CF0B" w:rsidP="002B212E">
      <w:pPr>
        <w:pStyle w:val="Prrafodelista"/>
        <w:tabs>
          <w:tab w:val="left" w:pos="993"/>
        </w:tabs>
        <w:spacing w:line="276" w:lineRule="auto"/>
        <w:ind w:left="0" w:firstLine="709"/>
        <w:rPr>
          <w:szCs w:val="24"/>
        </w:rPr>
      </w:pPr>
    </w:p>
    <w:p w14:paraId="479FFE35" w14:textId="436C4DD1" w:rsidR="00AE7ABA" w:rsidRPr="002B212E" w:rsidRDefault="00E76C52" w:rsidP="002B212E">
      <w:pPr>
        <w:pStyle w:val="Prrafodelista"/>
        <w:tabs>
          <w:tab w:val="left" w:pos="993"/>
        </w:tabs>
        <w:spacing w:line="276" w:lineRule="auto"/>
        <w:ind w:left="0" w:firstLine="709"/>
        <w:rPr>
          <w:szCs w:val="24"/>
        </w:rPr>
      </w:pPr>
      <w:r w:rsidRPr="002B212E">
        <w:rPr>
          <w:szCs w:val="24"/>
        </w:rPr>
        <w:t xml:space="preserve">De acuerdo con lo anterior, es evidente que la empresa demandada sostuvo el sistema de </w:t>
      </w:r>
      <w:r w:rsidRPr="002B212E">
        <w:rPr>
          <w:i/>
          <w:iCs/>
          <w:szCs w:val="24"/>
        </w:rPr>
        <w:t>“turnos de disponibilidad”</w:t>
      </w:r>
      <w:r w:rsidRPr="002B212E">
        <w:rPr>
          <w:szCs w:val="24"/>
        </w:rPr>
        <w:t xml:space="preserve"> hasta la fecha en que la Corte Suprema de Justicia</w:t>
      </w:r>
      <w:r w:rsidR="00C527C0" w:rsidRPr="002B212E">
        <w:rPr>
          <w:szCs w:val="24"/>
        </w:rPr>
        <w:t>,</w:t>
      </w:r>
      <w:r w:rsidRPr="002B212E">
        <w:rPr>
          <w:szCs w:val="24"/>
        </w:rPr>
        <w:t xml:space="preserve"> a través de la memorable providencia SL-5584 de 2017 del 05 de abril de 2017, determinó que los turnos de disponibilidad no son periodos de descanso y, por tanto, deben remunerarse como tiempo efectivamente laborado</w:t>
      </w:r>
      <w:r w:rsidR="00AE7ABA" w:rsidRPr="002B212E">
        <w:rPr>
          <w:szCs w:val="24"/>
        </w:rPr>
        <w:t xml:space="preserve">. Ello se desprende del contenido de la propia demanda, en la que se afirma que los turnos de disponibilidad tuvieron lugar hasta el 01 de mayo de 2017, de suerte que desaparecieron como </w:t>
      </w:r>
      <w:r w:rsidR="004E001C" w:rsidRPr="002B212E">
        <w:rPr>
          <w:szCs w:val="24"/>
        </w:rPr>
        <w:t>política</w:t>
      </w:r>
      <w:r w:rsidR="00AE7ABA" w:rsidRPr="002B212E">
        <w:rPr>
          <w:szCs w:val="24"/>
        </w:rPr>
        <w:t xml:space="preserve"> de la empresa dentro del mes siguiente al mencionado pronunciamiento de la Corte. </w:t>
      </w:r>
    </w:p>
    <w:p w14:paraId="63AB457C" w14:textId="77777777" w:rsidR="00AE7ABA" w:rsidRPr="002B212E" w:rsidRDefault="00AE7ABA" w:rsidP="002B212E">
      <w:pPr>
        <w:pStyle w:val="Prrafodelista"/>
        <w:tabs>
          <w:tab w:val="left" w:pos="993"/>
        </w:tabs>
        <w:spacing w:line="276" w:lineRule="auto"/>
        <w:ind w:left="0" w:firstLine="709"/>
        <w:rPr>
          <w:szCs w:val="24"/>
        </w:rPr>
      </w:pPr>
    </w:p>
    <w:p w14:paraId="4C8E129A" w14:textId="337ADB52" w:rsidR="00230EBC" w:rsidRPr="002B212E" w:rsidRDefault="00AE7ABA" w:rsidP="002B212E">
      <w:pPr>
        <w:pStyle w:val="Prrafodelista"/>
        <w:tabs>
          <w:tab w:val="left" w:pos="993"/>
        </w:tabs>
        <w:spacing w:line="276" w:lineRule="auto"/>
        <w:ind w:left="0" w:firstLine="709"/>
        <w:rPr>
          <w:szCs w:val="24"/>
        </w:rPr>
      </w:pPr>
      <w:r w:rsidRPr="002B212E">
        <w:rPr>
          <w:szCs w:val="24"/>
        </w:rPr>
        <w:t xml:space="preserve">Lo anterior </w:t>
      </w:r>
      <w:r w:rsidR="0063784F" w:rsidRPr="002B212E">
        <w:rPr>
          <w:szCs w:val="24"/>
        </w:rPr>
        <w:t xml:space="preserve">pone de relieve </w:t>
      </w:r>
      <w:r w:rsidR="005B77DE" w:rsidRPr="002B212E">
        <w:rPr>
          <w:szCs w:val="24"/>
        </w:rPr>
        <w:t xml:space="preserve">una genuina voluntad de </w:t>
      </w:r>
      <w:r w:rsidR="0063784F" w:rsidRPr="002B212E">
        <w:rPr>
          <w:szCs w:val="24"/>
        </w:rPr>
        <w:t xml:space="preserve">corrección por parte del empleador, </w:t>
      </w:r>
      <w:r w:rsidR="000F7355" w:rsidRPr="002B212E">
        <w:rPr>
          <w:szCs w:val="24"/>
        </w:rPr>
        <w:t>quien sin demoras ajustó</w:t>
      </w:r>
      <w:r w:rsidR="0063784F" w:rsidRPr="002B212E">
        <w:rPr>
          <w:szCs w:val="24"/>
        </w:rPr>
        <w:t xml:space="preserve"> sus </w:t>
      </w:r>
      <w:r w:rsidR="004E001C" w:rsidRPr="002B212E">
        <w:rPr>
          <w:szCs w:val="24"/>
        </w:rPr>
        <w:t>políticas</w:t>
      </w:r>
      <w:r w:rsidR="0063784F" w:rsidRPr="002B212E">
        <w:rPr>
          <w:szCs w:val="24"/>
        </w:rPr>
        <w:t xml:space="preserve"> </w:t>
      </w:r>
      <w:r w:rsidR="00C50DB1" w:rsidRPr="002B212E">
        <w:rPr>
          <w:szCs w:val="24"/>
        </w:rPr>
        <w:t xml:space="preserve">internas de programación de turnos </w:t>
      </w:r>
      <w:r w:rsidR="00D16C61" w:rsidRPr="002B212E">
        <w:rPr>
          <w:szCs w:val="24"/>
        </w:rPr>
        <w:t>a las exigencias</w:t>
      </w:r>
      <w:r w:rsidR="00C50DB1" w:rsidRPr="002B212E">
        <w:rPr>
          <w:szCs w:val="24"/>
        </w:rPr>
        <w:t xml:space="preserve"> legales y</w:t>
      </w:r>
      <w:r w:rsidR="00D16C61" w:rsidRPr="002B212E">
        <w:rPr>
          <w:szCs w:val="24"/>
        </w:rPr>
        <w:t xml:space="preserve"> jurisprudenciales</w:t>
      </w:r>
      <w:r w:rsidR="00D90BB8" w:rsidRPr="002B212E">
        <w:rPr>
          <w:szCs w:val="24"/>
        </w:rPr>
        <w:t xml:space="preserve"> del momento,</w:t>
      </w:r>
      <w:r w:rsidR="00C50DB1" w:rsidRPr="002B212E">
        <w:rPr>
          <w:szCs w:val="24"/>
        </w:rPr>
        <w:t xml:space="preserve"> </w:t>
      </w:r>
      <w:r w:rsidR="00D90BB8" w:rsidRPr="002B212E">
        <w:rPr>
          <w:szCs w:val="24"/>
        </w:rPr>
        <w:t>lo que</w:t>
      </w:r>
      <w:r w:rsidR="00C50DB1" w:rsidRPr="002B212E">
        <w:rPr>
          <w:szCs w:val="24"/>
        </w:rPr>
        <w:t xml:space="preserve"> sin duda lo exculpa</w:t>
      </w:r>
      <w:r w:rsidR="00230EBC" w:rsidRPr="002B212E">
        <w:rPr>
          <w:szCs w:val="24"/>
        </w:rPr>
        <w:t xml:space="preserve"> de la sanción moratoria por la</w:t>
      </w:r>
      <w:r w:rsidR="00C50DB1" w:rsidRPr="002B212E">
        <w:rPr>
          <w:szCs w:val="24"/>
        </w:rPr>
        <w:t xml:space="preserve"> consignación deficitaria de las cesantías del año 2016, dado que las mismas se hicieron exigibles el 15 de febrero de 2017, </w:t>
      </w:r>
      <w:r w:rsidR="00C527C0" w:rsidRPr="002B212E">
        <w:rPr>
          <w:szCs w:val="24"/>
        </w:rPr>
        <w:t>cuando</w:t>
      </w:r>
      <w:r w:rsidR="00C50DB1" w:rsidRPr="002B212E">
        <w:rPr>
          <w:szCs w:val="24"/>
        </w:rPr>
        <w:t xml:space="preserve"> aún no se había dado el </w:t>
      </w:r>
      <w:r w:rsidR="00C527C0" w:rsidRPr="002B212E">
        <w:rPr>
          <w:szCs w:val="24"/>
        </w:rPr>
        <w:t>giro</w:t>
      </w:r>
      <w:r w:rsidR="00C50DB1" w:rsidRPr="002B212E">
        <w:rPr>
          <w:szCs w:val="24"/>
        </w:rPr>
        <w:t xml:space="preserve"> jurisprudencial al que se viene haciendo referencia</w:t>
      </w:r>
      <w:r w:rsidR="00B73640" w:rsidRPr="002B212E">
        <w:rPr>
          <w:szCs w:val="24"/>
        </w:rPr>
        <w:t>, lo cual no lo exonera del reajuste de las cesantías de ese año, sobre base salarial real que debió devengar el trabajador</w:t>
      </w:r>
      <w:r w:rsidR="0068636E" w:rsidRPr="002B212E">
        <w:rPr>
          <w:szCs w:val="24"/>
        </w:rPr>
        <w:t>, pero sí de la sanción moratoria contemplada en el artículo 99 de la Ley 50 de 1990.</w:t>
      </w:r>
      <w:r w:rsidR="00C50DB1" w:rsidRPr="002B212E">
        <w:rPr>
          <w:szCs w:val="24"/>
        </w:rPr>
        <w:t xml:space="preserve"> </w:t>
      </w:r>
    </w:p>
    <w:p w14:paraId="2CD0B5E0" w14:textId="77777777" w:rsidR="00D90BB8" w:rsidRPr="002B212E" w:rsidRDefault="00D90BB8" w:rsidP="002B212E">
      <w:pPr>
        <w:pStyle w:val="Prrafodelista"/>
        <w:tabs>
          <w:tab w:val="left" w:pos="993"/>
        </w:tabs>
        <w:spacing w:line="276" w:lineRule="auto"/>
        <w:ind w:left="0" w:firstLine="709"/>
        <w:rPr>
          <w:szCs w:val="24"/>
        </w:rPr>
      </w:pPr>
    </w:p>
    <w:p w14:paraId="5DDE0EEA" w14:textId="59C15801" w:rsidR="00D90BB8" w:rsidRPr="002B212E" w:rsidRDefault="00D90BB8" w:rsidP="002B212E">
      <w:pPr>
        <w:pStyle w:val="Prrafodelista"/>
        <w:tabs>
          <w:tab w:val="left" w:pos="993"/>
        </w:tabs>
        <w:spacing w:line="276" w:lineRule="auto"/>
        <w:ind w:left="0" w:firstLine="709"/>
        <w:rPr>
          <w:szCs w:val="24"/>
        </w:rPr>
      </w:pPr>
      <w:r w:rsidRPr="002B212E">
        <w:rPr>
          <w:szCs w:val="24"/>
        </w:rPr>
        <w:t>En cua</w:t>
      </w:r>
      <w:r w:rsidR="00A14CD3" w:rsidRPr="002B212E">
        <w:rPr>
          <w:szCs w:val="24"/>
        </w:rPr>
        <w:t>nto a las cesantías del año 2017</w:t>
      </w:r>
      <w:r w:rsidRPr="002B212E">
        <w:rPr>
          <w:szCs w:val="24"/>
        </w:rPr>
        <w:t>,</w:t>
      </w:r>
      <w:r w:rsidR="00A14CD3" w:rsidRPr="002B212E">
        <w:rPr>
          <w:szCs w:val="24"/>
        </w:rPr>
        <w:t xml:space="preserve"> pagaderas el 15 de febrero de 2018,</w:t>
      </w:r>
      <w:r w:rsidRPr="002B212E">
        <w:rPr>
          <w:szCs w:val="24"/>
        </w:rPr>
        <w:t xml:space="preserve"> se advierte que la variación de los salarios de los primeros cuatro meses de ese año, por la inclusión del pago de los turnos de disponib</w:t>
      </w:r>
      <w:r w:rsidR="004E001C" w:rsidRPr="002B212E">
        <w:rPr>
          <w:szCs w:val="24"/>
        </w:rPr>
        <w:t>i</w:t>
      </w:r>
      <w:r w:rsidRPr="002B212E">
        <w:rPr>
          <w:szCs w:val="24"/>
        </w:rPr>
        <w:t xml:space="preserve">lidad de </w:t>
      </w:r>
      <w:r w:rsidR="00A14CD3" w:rsidRPr="002B212E">
        <w:rPr>
          <w:szCs w:val="24"/>
        </w:rPr>
        <w:t>los meses de enero, febrero, marzo y abril</w:t>
      </w:r>
      <w:r w:rsidR="00CC4B1E" w:rsidRPr="002B212E">
        <w:rPr>
          <w:szCs w:val="24"/>
        </w:rPr>
        <w:t xml:space="preserve"> de 2017</w:t>
      </w:r>
      <w:r w:rsidR="00A14CD3" w:rsidRPr="002B212E">
        <w:rPr>
          <w:szCs w:val="24"/>
        </w:rPr>
        <w:t>, no</w:t>
      </w:r>
      <w:r w:rsidR="00102F7A" w:rsidRPr="002B212E">
        <w:rPr>
          <w:szCs w:val="24"/>
        </w:rPr>
        <w:t xml:space="preserve"> tuvieron la virtualidad de incidir</w:t>
      </w:r>
      <w:r w:rsidR="00A14CD3" w:rsidRPr="002B212E">
        <w:rPr>
          <w:szCs w:val="24"/>
        </w:rPr>
        <w:t xml:space="preserve"> </w:t>
      </w:r>
      <w:r w:rsidR="00CC4B1E" w:rsidRPr="002B212E">
        <w:rPr>
          <w:szCs w:val="24"/>
        </w:rPr>
        <w:t>en el monto</w:t>
      </w:r>
      <w:r w:rsidR="00102F7A" w:rsidRPr="002B212E">
        <w:rPr>
          <w:szCs w:val="24"/>
        </w:rPr>
        <w:t xml:space="preserve"> del salario</w:t>
      </w:r>
      <w:r w:rsidR="00CC4B1E" w:rsidRPr="002B212E">
        <w:rPr>
          <w:szCs w:val="24"/>
        </w:rPr>
        <w:t xml:space="preserve"> base</w:t>
      </w:r>
      <w:r w:rsidR="00102F7A" w:rsidRPr="002B212E">
        <w:rPr>
          <w:szCs w:val="24"/>
        </w:rPr>
        <w:t xml:space="preserve"> promedio </w:t>
      </w:r>
      <w:r w:rsidR="00CC4B1E" w:rsidRPr="002B212E">
        <w:rPr>
          <w:szCs w:val="24"/>
        </w:rPr>
        <w:t xml:space="preserve">para la liquidación de las cesantías de ese año, como quiera que el salario mensual devengado por el trabajador no tuvo variación alguna en los tres (3) últimos meses, de modo que no se hizo necesario obtener el salario base del promedio de todo el año, sino del último salario devengado, </w:t>
      </w:r>
      <w:r w:rsidR="00B73640" w:rsidRPr="002B212E">
        <w:rPr>
          <w:szCs w:val="24"/>
        </w:rPr>
        <w:t xml:space="preserve">tal </w:t>
      </w:r>
      <w:r w:rsidR="00CC4B1E" w:rsidRPr="002B212E">
        <w:rPr>
          <w:szCs w:val="24"/>
        </w:rPr>
        <w:t xml:space="preserve">como lo </w:t>
      </w:r>
      <w:r w:rsidR="00B73640" w:rsidRPr="002B212E">
        <w:rPr>
          <w:szCs w:val="24"/>
        </w:rPr>
        <w:t>dispone</w:t>
      </w:r>
      <w:r w:rsidR="00CC4B1E" w:rsidRPr="002B212E">
        <w:rPr>
          <w:szCs w:val="24"/>
        </w:rPr>
        <w:t xml:space="preserve"> el artículo 253 del C.S.T. Ello así, es evidente que no existe saldo insoluto por las cesantías de ese año </w:t>
      </w:r>
      <w:r w:rsidR="00D759AE" w:rsidRPr="002B212E">
        <w:rPr>
          <w:szCs w:val="24"/>
        </w:rPr>
        <w:t xml:space="preserve"> y, por tanto, no había lugar a la sanción moratoria ordenada en primera instancia. </w:t>
      </w:r>
    </w:p>
    <w:p w14:paraId="5E28D5AD" w14:textId="77777777" w:rsidR="00D759AE" w:rsidRPr="002B212E" w:rsidRDefault="00D759AE" w:rsidP="002B212E">
      <w:pPr>
        <w:pStyle w:val="Prrafodelista"/>
        <w:tabs>
          <w:tab w:val="left" w:pos="993"/>
        </w:tabs>
        <w:spacing w:line="276" w:lineRule="auto"/>
        <w:ind w:left="0" w:firstLine="709"/>
        <w:rPr>
          <w:szCs w:val="24"/>
        </w:rPr>
      </w:pPr>
    </w:p>
    <w:p w14:paraId="385A264C" w14:textId="5207CF65" w:rsidR="00D759AE" w:rsidRPr="002B212E" w:rsidRDefault="60FD616F" w:rsidP="002B212E">
      <w:pPr>
        <w:pStyle w:val="Prrafodelista"/>
        <w:tabs>
          <w:tab w:val="left" w:pos="993"/>
        </w:tabs>
        <w:spacing w:line="276" w:lineRule="auto"/>
        <w:ind w:left="0" w:firstLine="709"/>
        <w:rPr>
          <w:szCs w:val="24"/>
        </w:rPr>
      </w:pPr>
      <w:r w:rsidRPr="002B212E">
        <w:rPr>
          <w:szCs w:val="24"/>
        </w:rPr>
        <w:t>Corolario de lo expuesto hasta este punto, se revocará la sanción moratoria por la falta de consignación o el pago incompleto de las cesantías, sin perjuicio del reajuste de las cesantías del año 2016</w:t>
      </w:r>
      <w:r w:rsidR="5191CB4E" w:rsidRPr="002B212E">
        <w:rPr>
          <w:szCs w:val="24"/>
        </w:rPr>
        <w:t xml:space="preserve"> y 2017</w:t>
      </w:r>
      <w:r w:rsidRPr="002B212E">
        <w:rPr>
          <w:szCs w:val="24"/>
        </w:rPr>
        <w:t xml:space="preserve">, </w:t>
      </w:r>
      <w:r w:rsidR="5D0ECF28" w:rsidRPr="002B212E">
        <w:rPr>
          <w:szCs w:val="24"/>
        </w:rPr>
        <w:t xml:space="preserve">pues para su liquidación acertadamente la a-quo tuvo en cuenta el lapso de disponibilidad manifestado </w:t>
      </w:r>
      <w:r w:rsidR="23828A17" w:rsidRPr="002B212E">
        <w:rPr>
          <w:szCs w:val="24"/>
        </w:rPr>
        <w:t>por</w:t>
      </w:r>
      <w:r w:rsidR="5D0ECF28" w:rsidRPr="002B212E">
        <w:rPr>
          <w:szCs w:val="24"/>
        </w:rPr>
        <w:t xml:space="preserve"> lo</w:t>
      </w:r>
      <w:r w:rsidR="636EFA27" w:rsidRPr="002B212E">
        <w:rPr>
          <w:szCs w:val="24"/>
        </w:rPr>
        <w:t xml:space="preserve">s testigos, </w:t>
      </w:r>
      <w:r w:rsidR="792684A4" w:rsidRPr="002B212E">
        <w:rPr>
          <w:szCs w:val="24"/>
        </w:rPr>
        <w:t xml:space="preserve">el salario </w:t>
      </w:r>
      <w:r w:rsidR="636EFA27" w:rsidRPr="002B212E">
        <w:rPr>
          <w:szCs w:val="24"/>
        </w:rPr>
        <w:t>que se desprende</w:t>
      </w:r>
      <w:r w:rsidR="13BE254B" w:rsidRPr="002B212E">
        <w:rPr>
          <w:szCs w:val="24"/>
        </w:rPr>
        <w:t xml:space="preserve"> </w:t>
      </w:r>
      <w:r w:rsidR="636EFA27" w:rsidRPr="002B212E">
        <w:rPr>
          <w:szCs w:val="24"/>
        </w:rPr>
        <w:t>de</w:t>
      </w:r>
      <w:r w:rsidR="1BF07A4A" w:rsidRPr="002B212E">
        <w:rPr>
          <w:szCs w:val="24"/>
        </w:rPr>
        <w:t xml:space="preserve">l salario base de cotización </w:t>
      </w:r>
      <w:r w:rsidR="636EFA27" w:rsidRPr="002B212E">
        <w:rPr>
          <w:szCs w:val="24"/>
        </w:rPr>
        <w:t>de l</w:t>
      </w:r>
      <w:r w:rsidR="576FA786" w:rsidRPr="002B212E">
        <w:rPr>
          <w:szCs w:val="24"/>
        </w:rPr>
        <w:t>a historia laboral del fondo de pensiones obligatorias</w:t>
      </w:r>
      <w:r w:rsidR="636EFA27" w:rsidRPr="002B212E">
        <w:rPr>
          <w:szCs w:val="24"/>
        </w:rPr>
        <w:t xml:space="preserve"> y </w:t>
      </w:r>
      <w:r w:rsidR="58B8AF27" w:rsidRPr="002B212E">
        <w:rPr>
          <w:szCs w:val="24"/>
        </w:rPr>
        <w:t xml:space="preserve">los turnos de disponibilidad de las pruebas decretadas de oficio que concuerdan a cabalidad con </w:t>
      </w:r>
      <w:r w:rsidR="73745964" w:rsidRPr="002B212E">
        <w:rPr>
          <w:szCs w:val="24"/>
        </w:rPr>
        <w:t xml:space="preserve">el recuento de los mismos vertido en la liquidación de primera instancia, bajo el denominativo “turnos de disponibilidad” (archivo 34, </w:t>
      </w:r>
      <w:proofErr w:type="spellStart"/>
      <w:r w:rsidR="73745964" w:rsidRPr="002B212E">
        <w:rPr>
          <w:szCs w:val="24"/>
        </w:rPr>
        <w:t>fl</w:t>
      </w:r>
      <w:proofErr w:type="spellEnd"/>
      <w:r w:rsidR="73745964" w:rsidRPr="002B212E">
        <w:rPr>
          <w:szCs w:val="24"/>
        </w:rPr>
        <w:t xml:space="preserve">. </w:t>
      </w:r>
      <w:r w:rsidR="2D45AFE5" w:rsidRPr="002B212E">
        <w:rPr>
          <w:szCs w:val="24"/>
        </w:rPr>
        <w:t>14)</w:t>
      </w:r>
      <w:r w:rsidR="5CD9920E" w:rsidRPr="002B212E">
        <w:rPr>
          <w:szCs w:val="24"/>
        </w:rPr>
        <w:t>.</w:t>
      </w:r>
    </w:p>
    <w:p w14:paraId="2D6D86F7" w14:textId="6C126906" w:rsidR="00D759AE" w:rsidRPr="002B212E" w:rsidRDefault="00D759AE" w:rsidP="002B212E">
      <w:pPr>
        <w:pStyle w:val="Prrafodelista"/>
        <w:tabs>
          <w:tab w:val="left" w:pos="993"/>
        </w:tabs>
        <w:spacing w:line="276" w:lineRule="auto"/>
        <w:ind w:left="0" w:firstLine="709"/>
        <w:rPr>
          <w:szCs w:val="24"/>
        </w:rPr>
      </w:pPr>
    </w:p>
    <w:p w14:paraId="71F4D0F2" w14:textId="4BD6B686" w:rsidR="00EC1BFE" w:rsidRPr="002B212E" w:rsidRDefault="00D759AE" w:rsidP="002B212E">
      <w:pPr>
        <w:pStyle w:val="Prrafodelista"/>
        <w:tabs>
          <w:tab w:val="left" w:pos="993"/>
        </w:tabs>
        <w:spacing w:line="276" w:lineRule="auto"/>
        <w:ind w:left="0" w:firstLine="709"/>
        <w:rPr>
          <w:rFonts w:eastAsia="Times New Roman"/>
          <w:color w:val="000000" w:themeColor="text1"/>
          <w:szCs w:val="24"/>
        </w:rPr>
      </w:pPr>
      <w:r w:rsidRPr="002B212E">
        <w:rPr>
          <w:szCs w:val="24"/>
        </w:rPr>
        <w:t xml:space="preserve">En cuanto a los demás puntos de la apelación, </w:t>
      </w:r>
      <w:r w:rsidR="00EC1BFE" w:rsidRPr="002B212E">
        <w:rPr>
          <w:szCs w:val="24"/>
        </w:rPr>
        <w:t>es postura pac</w:t>
      </w:r>
      <w:r w:rsidR="28FEC2FA" w:rsidRPr="002B212E">
        <w:rPr>
          <w:szCs w:val="24"/>
        </w:rPr>
        <w:t>í</w:t>
      </w:r>
      <w:r w:rsidR="00EC1BFE" w:rsidRPr="002B212E">
        <w:rPr>
          <w:szCs w:val="24"/>
        </w:rPr>
        <w:t xml:space="preserve">fica del órgano de cierre de la jurisdicción laboral, que </w:t>
      </w:r>
      <w:r w:rsidR="00EC1BFE" w:rsidRPr="002B212E">
        <w:rPr>
          <w:rFonts w:eastAsia="Times New Roman"/>
          <w:color w:val="000000" w:themeColor="text1"/>
          <w:szCs w:val="24"/>
        </w:rPr>
        <w:t xml:space="preserve">la naturaleza salarial de los pagos no puede desfigurarse por un pacto de </w:t>
      </w:r>
      <w:proofErr w:type="spellStart"/>
      <w:r w:rsidR="00EC1BFE" w:rsidRPr="002B212E">
        <w:rPr>
          <w:rFonts w:eastAsia="Times New Roman"/>
          <w:color w:val="000000" w:themeColor="text1"/>
          <w:szCs w:val="24"/>
        </w:rPr>
        <w:t>desalarización</w:t>
      </w:r>
      <w:proofErr w:type="spellEnd"/>
      <w:r w:rsidR="00EC1BFE" w:rsidRPr="002B212E">
        <w:rPr>
          <w:rFonts w:eastAsia="Times New Roman"/>
          <w:color w:val="000000" w:themeColor="text1"/>
          <w:szCs w:val="24"/>
        </w:rPr>
        <w:t xml:space="preserve">, de modo que, </w:t>
      </w:r>
      <w:r w:rsidR="005F0748" w:rsidRPr="002B212E">
        <w:rPr>
          <w:rFonts w:eastAsia="Times New Roman"/>
          <w:color w:val="000000" w:themeColor="text1"/>
          <w:szCs w:val="24"/>
        </w:rPr>
        <w:t xml:space="preserve">no puede </w:t>
      </w:r>
      <w:proofErr w:type="spellStart"/>
      <w:r w:rsidR="005F0748" w:rsidRPr="002B212E">
        <w:rPr>
          <w:rFonts w:eastAsia="Times New Roman"/>
          <w:color w:val="000000" w:themeColor="text1"/>
          <w:szCs w:val="24"/>
        </w:rPr>
        <w:t>des</w:t>
      </w:r>
      <w:r w:rsidR="004E001C" w:rsidRPr="002B212E">
        <w:rPr>
          <w:rFonts w:eastAsia="Times New Roman"/>
          <w:color w:val="000000" w:themeColor="text1"/>
          <w:szCs w:val="24"/>
        </w:rPr>
        <w:t>a</w:t>
      </w:r>
      <w:r w:rsidR="005F0748" w:rsidRPr="002B212E">
        <w:rPr>
          <w:rFonts w:eastAsia="Times New Roman"/>
          <w:color w:val="000000" w:themeColor="text1"/>
          <w:szCs w:val="24"/>
        </w:rPr>
        <w:t>larizarse</w:t>
      </w:r>
      <w:proofErr w:type="spellEnd"/>
      <w:r w:rsidR="005F0748" w:rsidRPr="002B212E">
        <w:rPr>
          <w:rFonts w:eastAsia="Times New Roman"/>
          <w:color w:val="000000" w:themeColor="text1"/>
          <w:szCs w:val="24"/>
        </w:rPr>
        <w:t xml:space="preserve"> </w:t>
      </w:r>
      <w:r w:rsidR="00EC1BFE" w:rsidRPr="002B212E">
        <w:rPr>
          <w:rFonts w:eastAsia="Times New Roman"/>
          <w:color w:val="000000" w:themeColor="text1"/>
          <w:szCs w:val="24"/>
        </w:rPr>
        <w:t xml:space="preserve">lo que por su naturaleza es salario, </w:t>
      </w:r>
      <w:r w:rsidR="00AF1E57" w:rsidRPr="002B212E">
        <w:rPr>
          <w:rFonts w:eastAsia="Times New Roman"/>
          <w:color w:val="000000" w:themeColor="text1"/>
          <w:szCs w:val="24"/>
        </w:rPr>
        <w:t>esto es, todo lo que recibe el trabajador en dinero o en especie como contraprestación directa del servicio, sea cualquiera la forma o denominación que se adopte (artículo 127 del C.S.T.)</w:t>
      </w:r>
      <w:r w:rsidR="00386369" w:rsidRPr="002B212E">
        <w:rPr>
          <w:rFonts w:eastAsia="Times New Roman"/>
          <w:color w:val="000000" w:themeColor="text1"/>
          <w:szCs w:val="24"/>
        </w:rPr>
        <w:t xml:space="preserve"> (</w:t>
      </w:r>
      <w:r w:rsidR="00386369" w:rsidRPr="002B212E">
        <w:rPr>
          <w:szCs w:val="24"/>
        </w:rPr>
        <w:t>CSJ SL, 27 nov. 2012, rad. 42277, CSJ SL12220-2017, CSJ SL5159-2018, CSJ SL1437-2018, CSJ SL1798-2018, CSJ SL2852-2018, CSJ SL1899- 2019)</w:t>
      </w:r>
      <w:r w:rsidR="00335135" w:rsidRPr="002B212E">
        <w:rPr>
          <w:rFonts w:eastAsia="Times New Roman"/>
          <w:color w:val="000000" w:themeColor="text1"/>
          <w:szCs w:val="24"/>
        </w:rPr>
        <w:t>, y aunque</w:t>
      </w:r>
      <w:r w:rsidR="005F0748" w:rsidRPr="002B212E">
        <w:rPr>
          <w:rFonts w:eastAsia="Times New Roman"/>
          <w:color w:val="000000" w:themeColor="text1"/>
          <w:szCs w:val="24"/>
        </w:rPr>
        <w:t xml:space="preserve"> las partes</w:t>
      </w:r>
      <w:r w:rsidR="00335135" w:rsidRPr="002B212E">
        <w:rPr>
          <w:rFonts w:eastAsia="Times New Roman"/>
          <w:color w:val="000000" w:themeColor="text1"/>
          <w:szCs w:val="24"/>
        </w:rPr>
        <w:t xml:space="preserve"> </w:t>
      </w:r>
      <w:r w:rsidR="00A06E03" w:rsidRPr="002B212E">
        <w:rPr>
          <w:rFonts w:eastAsia="Times New Roman"/>
          <w:color w:val="000000" w:themeColor="text1"/>
          <w:szCs w:val="24"/>
        </w:rPr>
        <w:t>del contrato de trabajo pueden pactar expresamente en</w:t>
      </w:r>
      <w:r w:rsidR="005F0748" w:rsidRPr="002B212E">
        <w:rPr>
          <w:rFonts w:eastAsia="Times New Roman"/>
          <w:color w:val="000000" w:themeColor="text1"/>
          <w:szCs w:val="24"/>
        </w:rPr>
        <w:t xml:space="preserve"> la convención o en el respectivo</w:t>
      </w:r>
      <w:r w:rsidR="00A06E03" w:rsidRPr="002B212E">
        <w:rPr>
          <w:rFonts w:eastAsia="Times New Roman"/>
          <w:color w:val="000000" w:themeColor="text1"/>
          <w:szCs w:val="24"/>
        </w:rPr>
        <w:t xml:space="preserve"> contrato </w:t>
      </w:r>
      <w:r w:rsidR="00386369" w:rsidRPr="002B212E">
        <w:rPr>
          <w:rFonts w:eastAsia="Times New Roman"/>
          <w:color w:val="000000" w:themeColor="text1"/>
          <w:szCs w:val="24"/>
        </w:rPr>
        <w:t xml:space="preserve">de trabajo </w:t>
      </w:r>
      <w:r w:rsidR="00A06E03" w:rsidRPr="002B212E">
        <w:rPr>
          <w:rFonts w:eastAsia="Times New Roman"/>
          <w:color w:val="000000" w:themeColor="text1"/>
          <w:szCs w:val="24"/>
        </w:rPr>
        <w:t xml:space="preserve">que determinados </w:t>
      </w:r>
      <w:r w:rsidR="00543812" w:rsidRPr="002B212E">
        <w:rPr>
          <w:rFonts w:eastAsia="Times New Roman"/>
          <w:color w:val="000000" w:themeColor="text1"/>
          <w:szCs w:val="24"/>
        </w:rPr>
        <w:t>“</w:t>
      </w:r>
      <w:r w:rsidR="00A06E03" w:rsidRPr="002B212E">
        <w:rPr>
          <w:rFonts w:eastAsia="Times New Roman"/>
          <w:color w:val="000000" w:themeColor="text1"/>
          <w:szCs w:val="24"/>
        </w:rPr>
        <w:t>auxilio</w:t>
      </w:r>
      <w:r w:rsidR="005F0748" w:rsidRPr="002B212E">
        <w:rPr>
          <w:rFonts w:eastAsia="Times New Roman"/>
          <w:color w:val="000000" w:themeColor="text1"/>
          <w:szCs w:val="24"/>
        </w:rPr>
        <w:t>s</w:t>
      </w:r>
      <w:r w:rsidR="00A06E03" w:rsidRPr="002B212E">
        <w:rPr>
          <w:rFonts w:eastAsia="Times New Roman"/>
          <w:color w:val="000000" w:themeColor="text1"/>
          <w:szCs w:val="24"/>
        </w:rPr>
        <w:t xml:space="preserve"> o beneficios</w:t>
      </w:r>
      <w:r w:rsidR="00543812" w:rsidRPr="002B212E">
        <w:rPr>
          <w:rFonts w:eastAsia="Times New Roman"/>
          <w:color w:val="000000" w:themeColor="text1"/>
          <w:szCs w:val="24"/>
        </w:rPr>
        <w:t>”</w:t>
      </w:r>
      <w:r w:rsidR="00A06E03" w:rsidRPr="002B212E">
        <w:rPr>
          <w:rFonts w:eastAsia="Times New Roman"/>
          <w:color w:val="000000" w:themeColor="text1"/>
          <w:szCs w:val="24"/>
        </w:rPr>
        <w:t xml:space="preserve"> habituales u ocasionales no constituyan salario, no p</w:t>
      </w:r>
      <w:r w:rsidR="005F0748" w:rsidRPr="002B212E">
        <w:rPr>
          <w:rFonts w:eastAsia="Times New Roman"/>
          <w:color w:val="000000" w:themeColor="text1"/>
          <w:szCs w:val="24"/>
        </w:rPr>
        <w:t xml:space="preserve">odrán pactar </w:t>
      </w:r>
      <w:r w:rsidR="004E001C" w:rsidRPr="002B212E">
        <w:rPr>
          <w:rFonts w:eastAsia="Times New Roman"/>
          <w:color w:val="000000" w:themeColor="text1"/>
          <w:szCs w:val="24"/>
        </w:rPr>
        <w:t>válidamente</w:t>
      </w:r>
      <w:r w:rsidR="005F0748" w:rsidRPr="002B212E">
        <w:rPr>
          <w:rFonts w:eastAsia="Times New Roman"/>
          <w:color w:val="000000" w:themeColor="text1"/>
          <w:szCs w:val="24"/>
        </w:rPr>
        <w:t xml:space="preserve"> que lo</w:t>
      </w:r>
      <w:r w:rsidR="00A06E03" w:rsidRPr="002B212E">
        <w:rPr>
          <w:rFonts w:eastAsia="Times New Roman"/>
          <w:color w:val="000000" w:themeColor="text1"/>
          <w:szCs w:val="24"/>
        </w:rPr>
        <w:t xml:space="preserve"> </w:t>
      </w:r>
      <w:r w:rsidR="00386369" w:rsidRPr="002B212E">
        <w:rPr>
          <w:rFonts w:eastAsia="Times New Roman"/>
          <w:color w:val="000000" w:themeColor="text1"/>
          <w:szCs w:val="24"/>
        </w:rPr>
        <w:t>sea</w:t>
      </w:r>
      <w:r w:rsidR="00A06E03" w:rsidRPr="002B212E">
        <w:rPr>
          <w:rFonts w:eastAsia="Times New Roman"/>
          <w:color w:val="000000" w:themeColor="text1"/>
          <w:szCs w:val="24"/>
        </w:rPr>
        <w:t xml:space="preserve"> salario deje de se</w:t>
      </w:r>
      <w:r w:rsidR="005F0748" w:rsidRPr="002B212E">
        <w:rPr>
          <w:rFonts w:eastAsia="Times New Roman"/>
          <w:color w:val="000000" w:themeColor="text1"/>
          <w:szCs w:val="24"/>
        </w:rPr>
        <w:t>rlo por voluntad de las partes</w:t>
      </w:r>
      <w:r w:rsidR="001271C8" w:rsidRPr="002B212E">
        <w:rPr>
          <w:rFonts w:eastAsia="Times New Roman"/>
          <w:color w:val="000000" w:themeColor="text1"/>
          <w:szCs w:val="24"/>
        </w:rPr>
        <w:t>, entre otras razones porque el salario y las prestaciones mínimas son irrenunciables.</w:t>
      </w:r>
      <w:r w:rsidR="00A65D1C" w:rsidRPr="002B212E">
        <w:rPr>
          <w:rFonts w:eastAsia="Times New Roman"/>
          <w:color w:val="000000" w:themeColor="text1"/>
          <w:szCs w:val="24"/>
        </w:rPr>
        <w:t xml:space="preserve"> Es por eso que el legislador se ocupó de enumerar al final del artículo 128 del C.S.T. algunos ejemplos de “auxilios y beneficios”</w:t>
      </w:r>
      <w:r w:rsidR="001271C8" w:rsidRPr="002B212E">
        <w:rPr>
          <w:rFonts w:eastAsia="Times New Roman"/>
          <w:color w:val="000000" w:themeColor="text1"/>
          <w:szCs w:val="24"/>
        </w:rPr>
        <w:t xml:space="preserve"> </w:t>
      </w:r>
      <w:r w:rsidR="00A65D1C" w:rsidRPr="002B212E">
        <w:rPr>
          <w:rFonts w:eastAsia="Times New Roman"/>
          <w:color w:val="000000" w:themeColor="text1"/>
          <w:szCs w:val="24"/>
        </w:rPr>
        <w:t xml:space="preserve">susceptibles de </w:t>
      </w:r>
      <w:proofErr w:type="spellStart"/>
      <w:r w:rsidR="00A65D1C" w:rsidRPr="002B212E">
        <w:rPr>
          <w:rFonts w:eastAsia="Times New Roman"/>
          <w:color w:val="000000" w:themeColor="text1"/>
          <w:szCs w:val="24"/>
        </w:rPr>
        <w:t>desalarización</w:t>
      </w:r>
      <w:proofErr w:type="spellEnd"/>
      <w:r w:rsidR="00A65D1C" w:rsidRPr="002B212E">
        <w:rPr>
          <w:rFonts w:eastAsia="Times New Roman"/>
          <w:color w:val="000000" w:themeColor="text1"/>
          <w:szCs w:val="24"/>
        </w:rPr>
        <w:t xml:space="preserve">, tales como </w:t>
      </w:r>
      <w:r w:rsidR="00A65D1C" w:rsidRPr="002B212E">
        <w:rPr>
          <w:rFonts w:eastAsia="Times New Roman"/>
          <w:i/>
          <w:iCs/>
          <w:color w:val="000000" w:themeColor="text1"/>
          <w:szCs w:val="24"/>
        </w:rPr>
        <w:t>“</w:t>
      </w:r>
      <w:r w:rsidR="00A65D1C" w:rsidRPr="008C6DE8">
        <w:rPr>
          <w:rFonts w:eastAsia="Times New Roman"/>
          <w:i/>
          <w:iCs/>
          <w:color w:val="000000" w:themeColor="text1"/>
          <w:sz w:val="22"/>
          <w:szCs w:val="24"/>
        </w:rPr>
        <w:t>alimentación, habitación o vestuario, las primas extralegales, de vacaciones, de servicios o de navidad</w:t>
      </w:r>
      <w:r w:rsidR="00A65D1C" w:rsidRPr="002B212E">
        <w:rPr>
          <w:rFonts w:eastAsia="Times New Roman"/>
          <w:i/>
          <w:iCs/>
          <w:color w:val="000000" w:themeColor="text1"/>
          <w:szCs w:val="24"/>
        </w:rPr>
        <w:t>”</w:t>
      </w:r>
      <w:r w:rsidR="00A65D1C" w:rsidRPr="002B212E">
        <w:rPr>
          <w:rFonts w:eastAsia="Times New Roman"/>
          <w:color w:val="000000" w:themeColor="text1"/>
          <w:szCs w:val="24"/>
        </w:rPr>
        <w:t xml:space="preserve">, de lo que se desprende que ninguna suma que el trabajador reciba como </w:t>
      </w:r>
      <w:r w:rsidR="00386369" w:rsidRPr="002B212E">
        <w:rPr>
          <w:rFonts w:eastAsia="Times New Roman"/>
          <w:color w:val="000000" w:themeColor="text1"/>
          <w:szCs w:val="24"/>
        </w:rPr>
        <w:t>contraprestación</w:t>
      </w:r>
      <w:r w:rsidR="00A65D1C" w:rsidRPr="002B212E">
        <w:rPr>
          <w:rFonts w:eastAsia="Times New Roman"/>
          <w:color w:val="000000" w:themeColor="text1"/>
          <w:szCs w:val="24"/>
        </w:rPr>
        <w:t xml:space="preserve"> directa de sus servicios</w:t>
      </w:r>
      <w:r w:rsidR="00386369" w:rsidRPr="002B212E">
        <w:rPr>
          <w:rFonts w:eastAsia="Times New Roman"/>
          <w:color w:val="000000" w:themeColor="text1"/>
          <w:szCs w:val="24"/>
        </w:rPr>
        <w:t>, es decir, como factor retributivo del trabajo,</w:t>
      </w:r>
      <w:r w:rsidR="00A65D1C" w:rsidRPr="002B212E">
        <w:rPr>
          <w:rFonts w:eastAsia="Times New Roman"/>
          <w:color w:val="000000" w:themeColor="text1"/>
          <w:szCs w:val="24"/>
        </w:rPr>
        <w:t xml:space="preserve"> </w:t>
      </w:r>
      <w:r w:rsidR="00386369" w:rsidRPr="002B212E">
        <w:rPr>
          <w:rFonts w:eastAsia="Times New Roman"/>
          <w:color w:val="000000" w:themeColor="text1"/>
          <w:szCs w:val="24"/>
        </w:rPr>
        <w:t xml:space="preserve">puede ser objeto de acuerdo de exclusión salarial. </w:t>
      </w:r>
    </w:p>
    <w:p w14:paraId="328A4BCE" w14:textId="7E8AF1FA" w:rsidR="00386369" w:rsidRPr="002B212E" w:rsidRDefault="00386369" w:rsidP="002B212E">
      <w:pPr>
        <w:pStyle w:val="Prrafodelista"/>
        <w:tabs>
          <w:tab w:val="left" w:pos="993"/>
        </w:tabs>
        <w:spacing w:line="276" w:lineRule="auto"/>
        <w:ind w:left="0" w:firstLine="709"/>
        <w:rPr>
          <w:rFonts w:eastAsia="Times New Roman"/>
          <w:color w:val="000000" w:themeColor="text1"/>
          <w:szCs w:val="24"/>
        </w:rPr>
      </w:pPr>
    </w:p>
    <w:p w14:paraId="12BD3EB4" w14:textId="7A7EE1BB" w:rsidR="00386369" w:rsidRPr="002B212E" w:rsidRDefault="00386369" w:rsidP="002B212E">
      <w:pPr>
        <w:pStyle w:val="Prrafodelista"/>
        <w:tabs>
          <w:tab w:val="left" w:pos="993"/>
        </w:tabs>
        <w:spacing w:line="276" w:lineRule="auto"/>
        <w:ind w:left="0" w:firstLine="709"/>
        <w:rPr>
          <w:rFonts w:eastAsia="Times New Roman"/>
          <w:color w:val="000000" w:themeColor="text1"/>
          <w:szCs w:val="24"/>
        </w:rPr>
      </w:pPr>
      <w:r w:rsidRPr="002B212E">
        <w:rPr>
          <w:rFonts w:eastAsia="Times New Roman"/>
          <w:color w:val="000000" w:themeColor="text1"/>
          <w:szCs w:val="24"/>
        </w:rPr>
        <w:t xml:space="preserve">Sobre la materia ha señalado el máximo órgano de cierre de esta especialidad laboral ha señalado: </w:t>
      </w:r>
      <w:r w:rsidRPr="002B212E">
        <w:rPr>
          <w:rFonts w:eastAsia="Times New Roman"/>
          <w:i/>
          <w:color w:val="000000" w:themeColor="text1"/>
          <w:szCs w:val="24"/>
        </w:rPr>
        <w:t>“</w:t>
      </w:r>
      <w:r w:rsidRPr="008C6DE8">
        <w:rPr>
          <w:i/>
          <w:sz w:val="22"/>
          <w:szCs w:val="24"/>
        </w:rPr>
        <w:t>El artículo 128 del Código Sustantivo del Trabajo otorga la facultad a las partes de acordar que ciertos beneficios o auxilios no posean carácter salarial, «tales como la alimentación, habitación o vestuario, las primas extralegales, de vacaciones, de servicios o de navidad» (…) La jurisprudencia de esta Corporación ha sostenido, de modo insistente, en que esa posibilidad no es una autorización para que los interlocutores sociales resten incidencia salarial a los pagos</w:t>
      </w:r>
      <w:r w:rsidR="007D7C99" w:rsidRPr="008C6DE8">
        <w:rPr>
          <w:i/>
          <w:sz w:val="22"/>
          <w:szCs w:val="24"/>
        </w:rPr>
        <w:t xml:space="preserve"> retributivos del servicio, en tanto que «la ley no autoriza a las partes para que dispongan que aquello que por esencia es salario, deje de serlo»</w:t>
      </w:r>
      <w:r w:rsidR="008C6DE8">
        <w:rPr>
          <w:i/>
          <w:sz w:val="22"/>
          <w:szCs w:val="24"/>
        </w:rPr>
        <w:t>.</w:t>
      </w:r>
      <w:r w:rsidR="008C6DE8" w:rsidRPr="008C6DE8">
        <w:rPr>
          <w:i/>
          <w:szCs w:val="24"/>
        </w:rPr>
        <w:t>”</w:t>
      </w:r>
      <w:r w:rsidR="007D7C99" w:rsidRPr="008C6DE8">
        <w:rPr>
          <w:sz w:val="22"/>
          <w:szCs w:val="24"/>
        </w:rPr>
        <w:t xml:space="preserve"> </w:t>
      </w:r>
      <w:r w:rsidR="007D7C99" w:rsidRPr="002B212E">
        <w:rPr>
          <w:szCs w:val="24"/>
        </w:rPr>
        <w:t>(CSJ SL, 13 jun. 2012, rad. 39475 y CSJ SL12220- 2017).</w:t>
      </w:r>
    </w:p>
    <w:p w14:paraId="53E45028" w14:textId="3F6B0112" w:rsidR="001271C8" w:rsidRPr="002B212E" w:rsidRDefault="001271C8" w:rsidP="002B212E">
      <w:pPr>
        <w:pStyle w:val="Prrafodelista"/>
        <w:tabs>
          <w:tab w:val="left" w:pos="993"/>
        </w:tabs>
        <w:spacing w:line="276" w:lineRule="auto"/>
        <w:ind w:left="0" w:firstLine="709"/>
        <w:rPr>
          <w:rFonts w:eastAsia="Times New Roman"/>
          <w:color w:val="000000" w:themeColor="text1"/>
          <w:szCs w:val="24"/>
        </w:rPr>
      </w:pPr>
    </w:p>
    <w:p w14:paraId="0714EB54" w14:textId="1370B17F" w:rsidR="007D7C99" w:rsidRPr="002B212E" w:rsidRDefault="007D7C99" w:rsidP="002B212E">
      <w:pPr>
        <w:pStyle w:val="Prrafodelista"/>
        <w:tabs>
          <w:tab w:val="left" w:pos="993"/>
        </w:tabs>
        <w:spacing w:line="276" w:lineRule="auto"/>
        <w:ind w:left="0" w:firstLine="709"/>
        <w:rPr>
          <w:szCs w:val="24"/>
        </w:rPr>
      </w:pPr>
      <w:r w:rsidRPr="002B212E">
        <w:rPr>
          <w:szCs w:val="24"/>
        </w:rPr>
        <w:t xml:space="preserve">La Corte también ha precisado que es el empleador el que tiene la carga de demostrar que ciertos pagos regulares no tienen como finalidad directa la de retribuir los servicios del trabajador ni enriquecer su patrimonio, sino que tienen una destinación diferente, como puede ser la de garantizar el cabal cumplimiento de las labores o cubrir determinadas contingencias (CSJ SL12220-2017, CSJ SL1437-2018, CSJ SL5159- 2018). </w:t>
      </w:r>
    </w:p>
    <w:p w14:paraId="1E2F739F" w14:textId="77777777" w:rsidR="007D7C99" w:rsidRPr="002B212E" w:rsidRDefault="007D7C99" w:rsidP="002B212E">
      <w:pPr>
        <w:pStyle w:val="Prrafodelista"/>
        <w:tabs>
          <w:tab w:val="left" w:pos="993"/>
        </w:tabs>
        <w:spacing w:line="276" w:lineRule="auto"/>
        <w:ind w:left="0" w:firstLine="709"/>
        <w:rPr>
          <w:rFonts w:eastAsia="Times New Roman"/>
          <w:color w:val="000000" w:themeColor="text1"/>
          <w:szCs w:val="24"/>
        </w:rPr>
      </w:pPr>
    </w:p>
    <w:p w14:paraId="5B6769E5" w14:textId="15E40AF7" w:rsidR="001271C8" w:rsidRPr="002B212E" w:rsidRDefault="00CD342B" w:rsidP="002B212E">
      <w:pPr>
        <w:pStyle w:val="Prrafodelista"/>
        <w:tabs>
          <w:tab w:val="left" w:pos="993"/>
        </w:tabs>
        <w:spacing w:line="276" w:lineRule="auto"/>
        <w:ind w:left="0" w:firstLine="709"/>
        <w:rPr>
          <w:rFonts w:eastAsia="Times New Roman"/>
          <w:color w:val="000000" w:themeColor="text1"/>
          <w:szCs w:val="24"/>
        </w:rPr>
      </w:pPr>
      <w:r w:rsidRPr="002B212E">
        <w:rPr>
          <w:rFonts w:eastAsia="Times New Roman"/>
          <w:color w:val="000000" w:themeColor="text1"/>
          <w:szCs w:val="24"/>
        </w:rPr>
        <w:lastRenderedPageBreak/>
        <w:t xml:space="preserve">Por lo anterior, acierta la </w:t>
      </w:r>
      <w:r w:rsidRPr="002B212E">
        <w:rPr>
          <w:rFonts w:eastAsia="Times New Roman"/>
          <w:i/>
          <w:color w:val="000000" w:themeColor="text1"/>
          <w:szCs w:val="24"/>
        </w:rPr>
        <w:t>a-quo</w:t>
      </w:r>
      <w:r w:rsidRPr="002B212E">
        <w:rPr>
          <w:rFonts w:eastAsia="Times New Roman"/>
          <w:color w:val="000000" w:themeColor="text1"/>
          <w:szCs w:val="24"/>
        </w:rPr>
        <w:t xml:space="preserve"> al señalar que </w:t>
      </w:r>
      <w:r w:rsidR="003A4D1E" w:rsidRPr="002B212E">
        <w:rPr>
          <w:rFonts w:eastAsia="Times New Roman"/>
          <w:color w:val="000000" w:themeColor="text1"/>
          <w:szCs w:val="24"/>
        </w:rPr>
        <w:t>el empleador no podía fragmentar el salario</w:t>
      </w:r>
      <w:r w:rsidR="007D7C99" w:rsidRPr="002B212E">
        <w:rPr>
          <w:rFonts w:eastAsia="Times New Roman"/>
          <w:color w:val="000000" w:themeColor="text1"/>
          <w:szCs w:val="24"/>
        </w:rPr>
        <w:t xml:space="preserve"> del trabajador</w:t>
      </w:r>
      <w:r w:rsidR="003A4D1E" w:rsidRPr="002B212E">
        <w:rPr>
          <w:rFonts w:eastAsia="Times New Roman"/>
          <w:color w:val="000000" w:themeColor="text1"/>
          <w:szCs w:val="24"/>
        </w:rPr>
        <w:t xml:space="preserve"> y elegir sobre qué base efectuaba los aportes a seguridad social y la liquidación de prestaciones sociales y qué monto era constitutivo de salario y cuál no, porque: 1) no obra en el plenario ningún acuerdo o convención en virtud del cual se entienda pactad</w:t>
      </w:r>
      <w:r w:rsidR="007D7C99" w:rsidRPr="002B212E">
        <w:rPr>
          <w:rFonts w:eastAsia="Times New Roman"/>
          <w:color w:val="000000" w:themeColor="text1"/>
          <w:szCs w:val="24"/>
        </w:rPr>
        <w:t>a</w:t>
      </w:r>
      <w:r w:rsidR="003A4D1E" w:rsidRPr="002B212E">
        <w:rPr>
          <w:rFonts w:eastAsia="Times New Roman"/>
          <w:color w:val="000000" w:themeColor="text1"/>
          <w:szCs w:val="24"/>
        </w:rPr>
        <w:t xml:space="preserve"> la </w:t>
      </w:r>
      <w:proofErr w:type="spellStart"/>
      <w:r w:rsidR="003A4D1E" w:rsidRPr="002B212E">
        <w:rPr>
          <w:rFonts w:eastAsia="Times New Roman"/>
          <w:color w:val="000000" w:themeColor="text1"/>
          <w:szCs w:val="24"/>
        </w:rPr>
        <w:t>desalarización</w:t>
      </w:r>
      <w:proofErr w:type="spellEnd"/>
      <w:r w:rsidR="003A4D1E" w:rsidRPr="002B212E">
        <w:rPr>
          <w:rFonts w:eastAsia="Times New Roman"/>
          <w:color w:val="000000" w:themeColor="text1"/>
          <w:szCs w:val="24"/>
        </w:rPr>
        <w:t xml:space="preserve"> de algún auxilio o beneficio</w:t>
      </w:r>
      <w:r w:rsidR="004E001C" w:rsidRPr="002B212E">
        <w:rPr>
          <w:rFonts w:eastAsia="Times New Roman"/>
          <w:color w:val="000000" w:themeColor="text1"/>
          <w:szCs w:val="24"/>
        </w:rPr>
        <w:t>;</w:t>
      </w:r>
      <w:r w:rsidR="007D7C99" w:rsidRPr="002B212E">
        <w:rPr>
          <w:rFonts w:eastAsia="Times New Roman"/>
          <w:color w:val="000000" w:themeColor="text1"/>
          <w:szCs w:val="24"/>
        </w:rPr>
        <w:t xml:space="preserve"> </w:t>
      </w:r>
      <w:r w:rsidR="003A4D1E" w:rsidRPr="002B212E">
        <w:rPr>
          <w:rFonts w:eastAsia="Times New Roman"/>
          <w:color w:val="000000" w:themeColor="text1"/>
          <w:szCs w:val="24"/>
        </w:rPr>
        <w:t>2) porque si existiera</w:t>
      </w:r>
      <w:r w:rsidR="00961D95" w:rsidRPr="002B212E">
        <w:rPr>
          <w:rFonts w:eastAsia="Times New Roman"/>
          <w:color w:val="000000" w:themeColor="text1"/>
          <w:szCs w:val="24"/>
        </w:rPr>
        <w:t xml:space="preserve"> algún</w:t>
      </w:r>
      <w:r w:rsidR="00A65D1C" w:rsidRPr="002B212E">
        <w:rPr>
          <w:rFonts w:eastAsia="Times New Roman"/>
          <w:color w:val="000000" w:themeColor="text1"/>
          <w:szCs w:val="24"/>
        </w:rPr>
        <w:t xml:space="preserve"> </w:t>
      </w:r>
      <w:r w:rsidR="00961D95" w:rsidRPr="002B212E">
        <w:rPr>
          <w:rFonts w:eastAsia="Times New Roman"/>
          <w:color w:val="000000" w:themeColor="text1"/>
          <w:szCs w:val="24"/>
        </w:rPr>
        <w:t>pacto</w:t>
      </w:r>
      <w:r w:rsidR="00A65D1C" w:rsidRPr="002B212E">
        <w:rPr>
          <w:rFonts w:eastAsia="Times New Roman"/>
          <w:color w:val="000000" w:themeColor="text1"/>
          <w:szCs w:val="24"/>
        </w:rPr>
        <w:t xml:space="preserve"> de ese tenor</w:t>
      </w:r>
      <w:r w:rsidR="003A4D1E" w:rsidRPr="002B212E">
        <w:rPr>
          <w:rFonts w:eastAsia="Times New Roman"/>
          <w:color w:val="000000" w:themeColor="text1"/>
          <w:szCs w:val="24"/>
        </w:rPr>
        <w:t>,</w:t>
      </w:r>
      <w:r w:rsidR="00A65D1C" w:rsidRPr="002B212E">
        <w:rPr>
          <w:rFonts w:eastAsia="Times New Roman"/>
          <w:color w:val="000000" w:themeColor="text1"/>
          <w:szCs w:val="24"/>
        </w:rPr>
        <w:t xml:space="preserve"> habría que declarar su ineficacia, en la medida que ningún acuerdo puede desconocer o comprometer </w:t>
      </w:r>
      <w:r w:rsidR="007D7C99" w:rsidRPr="002B212E">
        <w:rPr>
          <w:rFonts w:eastAsia="Times New Roman"/>
          <w:color w:val="000000" w:themeColor="text1"/>
          <w:szCs w:val="24"/>
        </w:rPr>
        <w:t>la naturaleza salarial de la retribución directa del trabajo</w:t>
      </w:r>
      <w:r w:rsidR="004E001C" w:rsidRPr="002B212E">
        <w:rPr>
          <w:rFonts w:eastAsia="Times New Roman"/>
          <w:color w:val="000000" w:themeColor="text1"/>
          <w:szCs w:val="24"/>
        </w:rPr>
        <w:t>;</w:t>
      </w:r>
      <w:r w:rsidR="007D7C99" w:rsidRPr="002B212E">
        <w:rPr>
          <w:rFonts w:eastAsia="Times New Roman"/>
          <w:color w:val="000000" w:themeColor="text1"/>
          <w:szCs w:val="24"/>
        </w:rPr>
        <w:t xml:space="preserve"> y</w:t>
      </w:r>
      <w:r w:rsidR="004E001C" w:rsidRPr="002B212E">
        <w:rPr>
          <w:rFonts w:eastAsia="Times New Roman"/>
          <w:color w:val="000000" w:themeColor="text1"/>
          <w:szCs w:val="24"/>
        </w:rPr>
        <w:t>,</w:t>
      </w:r>
      <w:r w:rsidR="007D7C99" w:rsidRPr="002B212E">
        <w:rPr>
          <w:rFonts w:eastAsia="Times New Roman"/>
          <w:color w:val="000000" w:themeColor="text1"/>
          <w:szCs w:val="24"/>
        </w:rPr>
        <w:t xml:space="preserve"> 3) porque</w:t>
      </w:r>
      <w:r w:rsidR="00961D95" w:rsidRPr="002B212E">
        <w:rPr>
          <w:rFonts w:eastAsia="Times New Roman"/>
          <w:color w:val="000000" w:themeColor="text1"/>
          <w:szCs w:val="24"/>
        </w:rPr>
        <w:t xml:space="preserve"> el empleador incumplió con la carga de acreditar que el</w:t>
      </w:r>
      <w:r w:rsidR="007D7C99" w:rsidRPr="002B212E">
        <w:rPr>
          <w:rFonts w:eastAsia="Times New Roman"/>
          <w:color w:val="000000" w:themeColor="text1"/>
          <w:szCs w:val="24"/>
        </w:rPr>
        <w:t xml:space="preserve"> emolumento que durante los años 2014 y 2015 se rotuló bajo el nombre de </w:t>
      </w:r>
      <w:r w:rsidR="00961D95" w:rsidRPr="002B212E">
        <w:rPr>
          <w:rFonts w:eastAsia="Times New Roman"/>
          <w:i/>
          <w:color w:val="000000" w:themeColor="text1"/>
          <w:szCs w:val="24"/>
        </w:rPr>
        <w:t>“</w:t>
      </w:r>
      <w:r w:rsidR="00961D95" w:rsidRPr="008C6DE8">
        <w:rPr>
          <w:rFonts w:eastAsia="Times New Roman"/>
          <w:i/>
          <w:color w:val="000000" w:themeColor="text1"/>
          <w:sz w:val="22"/>
          <w:szCs w:val="24"/>
        </w:rPr>
        <w:t xml:space="preserve">plan </w:t>
      </w:r>
      <w:proofErr w:type="spellStart"/>
      <w:r w:rsidR="00961D95" w:rsidRPr="008C6DE8">
        <w:rPr>
          <w:rFonts w:eastAsia="Times New Roman"/>
          <w:i/>
          <w:color w:val="000000" w:themeColor="text1"/>
          <w:sz w:val="22"/>
          <w:szCs w:val="24"/>
        </w:rPr>
        <w:t>educ</w:t>
      </w:r>
      <w:proofErr w:type="spellEnd"/>
      <w:r w:rsidR="00961D95" w:rsidRPr="008C6DE8">
        <w:rPr>
          <w:rFonts w:eastAsia="Times New Roman"/>
          <w:i/>
          <w:color w:val="000000" w:themeColor="text1"/>
          <w:sz w:val="22"/>
          <w:szCs w:val="24"/>
        </w:rPr>
        <w:t xml:space="preserve">. </w:t>
      </w:r>
      <w:proofErr w:type="spellStart"/>
      <w:r w:rsidR="00961D95" w:rsidRPr="008C6DE8">
        <w:rPr>
          <w:rFonts w:eastAsia="Times New Roman"/>
          <w:i/>
          <w:color w:val="000000" w:themeColor="text1"/>
          <w:sz w:val="22"/>
          <w:szCs w:val="24"/>
        </w:rPr>
        <w:t>aux</w:t>
      </w:r>
      <w:proofErr w:type="spellEnd"/>
      <w:r w:rsidR="00961D95" w:rsidRPr="008C6DE8">
        <w:rPr>
          <w:rFonts w:eastAsia="Times New Roman"/>
          <w:i/>
          <w:color w:val="000000" w:themeColor="text1"/>
          <w:sz w:val="22"/>
          <w:szCs w:val="24"/>
        </w:rPr>
        <w:t>. monetaria</w:t>
      </w:r>
      <w:r w:rsidR="00961D95" w:rsidRPr="002B212E">
        <w:rPr>
          <w:rFonts w:eastAsia="Times New Roman"/>
          <w:i/>
          <w:color w:val="000000" w:themeColor="text1"/>
          <w:szCs w:val="24"/>
        </w:rPr>
        <w:t>”</w:t>
      </w:r>
      <w:r w:rsidR="00961D95" w:rsidRPr="002B212E">
        <w:rPr>
          <w:rFonts w:eastAsia="Times New Roman"/>
          <w:color w:val="000000" w:themeColor="text1"/>
          <w:szCs w:val="24"/>
        </w:rPr>
        <w:t xml:space="preserve"> </w:t>
      </w:r>
      <w:r w:rsidR="00B73640" w:rsidRPr="002B212E">
        <w:rPr>
          <w:rFonts w:eastAsia="Times New Roman"/>
          <w:color w:val="000000" w:themeColor="text1"/>
          <w:szCs w:val="24"/>
        </w:rPr>
        <w:t xml:space="preserve">en la nómina, </w:t>
      </w:r>
      <w:r w:rsidR="00961D95" w:rsidRPr="002B212E">
        <w:rPr>
          <w:rFonts w:eastAsia="Times New Roman"/>
          <w:color w:val="000000" w:themeColor="text1"/>
          <w:szCs w:val="24"/>
        </w:rPr>
        <w:t xml:space="preserve">y que fue excluido de manera unilateral del factor salarial, no estuviera dirigido al beneficio directo del trabajador, ni enriqueciera su patrimonio, sino que estaba destinado </w:t>
      </w:r>
      <w:r w:rsidR="00961D95" w:rsidRPr="002B212E">
        <w:rPr>
          <w:szCs w:val="24"/>
        </w:rPr>
        <w:t>al desempeño a cabalidad sus funciones</w:t>
      </w:r>
      <w:r w:rsidR="00B73640" w:rsidRPr="002B212E">
        <w:rPr>
          <w:rFonts w:eastAsia="Times New Roman"/>
          <w:color w:val="000000" w:themeColor="text1"/>
          <w:szCs w:val="24"/>
        </w:rPr>
        <w:t>.</w:t>
      </w:r>
    </w:p>
    <w:p w14:paraId="1864E2F5" w14:textId="7163902A" w:rsidR="00B73640" w:rsidRPr="002B212E" w:rsidRDefault="00B73640" w:rsidP="002B212E">
      <w:pPr>
        <w:pStyle w:val="Prrafodelista"/>
        <w:tabs>
          <w:tab w:val="left" w:pos="993"/>
        </w:tabs>
        <w:spacing w:line="276" w:lineRule="auto"/>
        <w:ind w:left="0" w:firstLine="709"/>
        <w:rPr>
          <w:rFonts w:eastAsia="Times New Roman"/>
          <w:color w:val="000000" w:themeColor="text1"/>
          <w:szCs w:val="24"/>
        </w:rPr>
      </w:pPr>
    </w:p>
    <w:p w14:paraId="139EA02F" w14:textId="773B9EF2" w:rsidR="00B73640" w:rsidRPr="002B212E" w:rsidRDefault="00B73640" w:rsidP="002B212E">
      <w:pPr>
        <w:pStyle w:val="Prrafodelista"/>
        <w:tabs>
          <w:tab w:val="left" w:pos="993"/>
        </w:tabs>
        <w:spacing w:line="276" w:lineRule="auto"/>
        <w:ind w:left="0" w:firstLine="709"/>
        <w:rPr>
          <w:rFonts w:eastAsia="Times New Roman"/>
          <w:color w:val="000000" w:themeColor="text1"/>
          <w:szCs w:val="24"/>
        </w:rPr>
      </w:pPr>
      <w:r w:rsidRPr="002B212E">
        <w:rPr>
          <w:rFonts w:eastAsia="Times New Roman"/>
          <w:color w:val="000000" w:themeColor="text1"/>
          <w:szCs w:val="24"/>
        </w:rPr>
        <w:t>Por lo anterior, se confirmará la decisión</w:t>
      </w:r>
      <w:r w:rsidR="00A00FF1" w:rsidRPr="002B212E">
        <w:rPr>
          <w:rFonts w:eastAsia="Times New Roman"/>
          <w:color w:val="000000" w:themeColor="text1"/>
          <w:szCs w:val="24"/>
        </w:rPr>
        <w:t xml:space="preserve"> de</w:t>
      </w:r>
      <w:r w:rsidRPr="002B212E">
        <w:rPr>
          <w:rFonts w:eastAsia="Times New Roman"/>
          <w:color w:val="000000" w:themeColor="text1"/>
          <w:szCs w:val="24"/>
        </w:rPr>
        <w:t xml:space="preserve"> </w:t>
      </w:r>
      <w:r w:rsidR="00A00FF1" w:rsidRPr="002B212E">
        <w:rPr>
          <w:rFonts w:eastAsia="Times New Roman"/>
          <w:color w:val="000000" w:themeColor="text1"/>
          <w:szCs w:val="24"/>
        </w:rPr>
        <w:t xml:space="preserve">tener como factor salario los conceptos y montos que el empleador decidió </w:t>
      </w:r>
      <w:proofErr w:type="spellStart"/>
      <w:r w:rsidR="00A00FF1" w:rsidRPr="002B212E">
        <w:rPr>
          <w:rFonts w:eastAsia="Times New Roman"/>
          <w:color w:val="000000" w:themeColor="text1"/>
          <w:szCs w:val="24"/>
        </w:rPr>
        <w:t>desalarizar</w:t>
      </w:r>
      <w:proofErr w:type="spellEnd"/>
      <w:r w:rsidR="00A00FF1" w:rsidRPr="002B212E">
        <w:rPr>
          <w:rFonts w:eastAsia="Times New Roman"/>
          <w:color w:val="000000" w:themeColor="text1"/>
          <w:szCs w:val="24"/>
        </w:rPr>
        <w:t xml:space="preserve"> durante los años 2014 y 2015, lo cuales</w:t>
      </w:r>
      <w:r w:rsidR="008C20F5" w:rsidRPr="002B212E">
        <w:rPr>
          <w:rFonts w:eastAsia="Times New Roman"/>
          <w:color w:val="000000" w:themeColor="text1"/>
          <w:szCs w:val="24"/>
        </w:rPr>
        <w:t xml:space="preserve"> deben</w:t>
      </w:r>
      <w:r w:rsidR="00A00FF1" w:rsidRPr="002B212E">
        <w:rPr>
          <w:rFonts w:eastAsia="Times New Roman"/>
          <w:color w:val="000000" w:themeColor="text1"/>
          <w:szCs w:val="24"/>
        </w:rPr>
        <w:t xml:space="preserve"> </w:t>
      </w:r>
      <w:r w:rsidR="008C20F5" w:rsidRPr="002B212E">
        <w:rPr>
          <w:rFonts w:eastAsia="Times New Roman"/>
          <w:color w:val="000000" w:themeColor="text1"/>
          <w:szCs w:val="24"/>
        </w:rPr>
        <w:t xml:space="preserve">tenerse como parte del IBC sobre el que se paguen los aportes a seguridad social de esos periodos, como bien lo decidió la </w:t>
      </w:r>
      <w:r w:rsidR="008C20F5" w:rsidRPr="002B212E">
        <w:rPr>
          <w:rFonts w:eastAsia="Times New Roman"/>
          <w:i/>
          <w:color w:val="000000" w:themeColor="text1"/>
          <w:szCs w:val="24"/>
        </w:rPr>
        <w:t>a-quo</w:t>
      </w:r>
      <w:r w:rsidR="008C20F5" w:rsidRPr="002B212E">
        <w:rPr>
          <w:rFonts w:eastAsia="Times New Roman"/>
          <w:color w:val="000000" w:themeColor="text1"/>
          <w:szCs w:val="24"/>
        </w:rPr>
        <w:t xml:space="preserve"> en primera instancia.</w:t>
      </w:r>
    </w:p>
    <w:p w14:paraId="454DAF70" w14:textId="5050298A" w:rsidR="0068636E" w:rsidRPr="002B212E" w:rsidRDefault="0068636E" w:rsidP="002B212E">
      <w:pPr>
        <w:pStyle w:val="Prrafodelista"/>
        <w:tabs>
          <w:tab w:val="left" w:pos="993"/>
        </w:tabs>
        <w:spacing w:line="276" w:lineRule="auto"/>
        <w:ind w:left="0" w:firstLine="709"/>
        <w:rPr>
          <w:rFonts w:eastAsia="Times New Roman"/>
          <w:color w:val="000000" w:themeColor="text1"/>
          <w:szCs w:val="24"/>
        </w:rPr>
      </w:pPr>
    </w:p>
    <w:p w14:paraId="752FAF49" w14:textId="77777777" w:rsidR="00366EDA" w:rsidRPr="002B212E" w:rsidRDefault="0068636E" w:rsidP="002B212E">
      <w:pPr>
        <w:pStyle w:val="Prrafodelista"/>
        <w:tabs>
          <w:tab w:val="left" w:pos="993"/>
        </w:tabs>
        <w:spacing w:line="276" w:lineRule="auto"/>
        <w:ind w:left="0" w:firstLine="709"/>
        <w:rPr>
          <w:rFonts w:eastAsia="Times New Roman"/>
          <w:color w:val="000000" w:themeColor="text1"/>
          <w:szCs w:val="24"/>
        </w:rPr>
      </w:pPr>
      <w:r w:rsidRPr="002B212E">
        <w:rPr>
          <w:rFonts w:eastAsia="Times New Roman"/>
          <w:color w:val="000000" w:themeColor="text1"/>
          <w:szCs w:val="24"/>
        </w:rPr>
        <w:t>Finalmente, con apoyo en el consolidado precedente jurisprudencia invocado líneas atrás, se confirmará la condena al reajuste de los aportes pensional</w:t>
      </w:r>
      <w:r w:rsidR="006E1F7C" w:rsidRPr="002B212E">
        <w:rPr>
          <w:rFonts w:eastAsia="Times New Roman"/>
          <w:color w:val="000000" w:themeColor="text1"/>
          <w:szCs w:val="24"/>
        </w:rPr>
        <w:t>es</w:t>
      </w:r>
      <w:r w:rsidRPr="002B212E">
        <w:rPr>
          <w:rFonts w:eastAsia="Times New Roman"/>
          <w:color w:val="000000" w:themeColor="text1"/>
          <w:szCs w:val="24"/>
        </w:rPr>
        <w:t xml:space="preserve"> del actor teniendo como base el salario real devengado, en el cual s</w:t>
      </w:r>
      <w:r w:rsidR="006E1F7C" w:rsidRPr="002B212E">
        <w:rPr>
          <w:rFonts w:eastAsia="Times New Roman"/>
          <w:color w:val="000000" w:themeColor="text1"/>
          <w:szCs w:val="24"/>
        </w:rPr>
        <w:t xml:space="preserve">e incluyó el valor de los turnos de disponibilidad y los montos ilegalmente </w:t>
      </w:r>
      <w:proofErr w:type="spellStart"/>
      <w:r w:rsidR="006E1F7C" w:rsidRPr="002B212E">
        <w:rPr>
          <w:rFonts w:eastAsia="Times New Roman"/>
          <w:color w:val="000000" w:themeColor="text1"/>
          <w:szCs w:val="24"/>
        </w:rPr>
        <w:t>desalarizados</w:t>
      </w:r>
      <w:proofErr w:type="spellEnd"/>
      <w:r w:rsidR="006E1F7C" w:rsidRPr="002B212E">
        <w:rPr>
          <w:rFonts w:eastAsia="Times New Roman"/>
          <w:color w:val="000000" w:themeColor="text1"/>
          <w:szCs w:val="24"/>
        </w:rPr>
        <w:t>, como quiera que estos factores no prescriben en aquellos eventos en que la pretensión se encamina al reajuste de los aportes pensionales</w:t>
      </w:r>
      <w:r w:rsidR="00EB700B" w:rsidRPr="002B212E">
        <w:rPr>
          <w:rFonts w:eastAsia="Times New Roman"/>
          <w:color w:val="000000" w:themeColor="text1"/>
          <w:szCs w:val="24"/>
        </w:rPr>
        <w:t>.</w:t>
      </w:r>
      <w:r w:rsidR="006E1F7C" w:rsidRPr="002B212E">
        <w:rPr>
          <w:rFonts w:eastAsia="Times New Roman"/>
          <w:color w:val="000000" w:themeColor="text1"/>
          <w:szCs w:val="24"/>
        </w:rPr>
        <w:t xml:space="preserve">  </w:t>
      </w:r>
    </w:p>
    <w:p w14:paraId="48466025" w14:textId="77777777" w:rsidR="00366EDA" w:rsidRPr="002B212E" w:rsidRDefault="00366EDA" w:rsidP="002B212E">
      <w:pPr>
        <w:pStyle w:val="Prrafodelista"/>
        <w:tabs>
          <w:tab w:val="left" w:pos="993"/>
        </w:tabs>
        <w:spacing w:line="276" w:lineRule="auto"/>
        <w:ind w:left="0" w:firstLine="709"/>
        <w:rPr>
          <w:rFonts w:eastAsia="Times New Roman"/>
          <w:color w:val="000000" w:themeColor="text1"/>
          <w:szCs w:val="24"/>
        </w:rPr>
      </w:pPr>
    </w:p>
    <w:p w14:paraId="5AD0055D" w14:textId="4D0F9D52" w:rsidR="00366EDA" w:rsidRPr="002B212E" w:rsidRDefault="00366EDA" w:rsidP="002B212E">
      <w:pPr>
        <w:pStyle w:val="Prrafodelista"/>
        <w:tabs>
          <w:tab w:val="left" w:pos="993"/>
        </w:tabs>
        <w:spacing w:line="276" w:lineRule="auto"/>
        <w:ind w:left="0" w:firstLine="709"/>
        <w:rPr>
          <w:rFonts w:eastAsia="Times New Roman"/>
          <w:color w:val="000000" w:themeColor="text1"/>
          <w:szCs w:val="24"/>
          <w:lang w:val="es-CO"/>
        </w:rPr>
      </w:pPr>
      <w:r w:rsidRPr="002B212E">
        <w:rPr>
          <w:rFonts w:eastAsia="Times New Roman"/>
          <w:color w:val="000000" w:themeColor="text1"/>
          <w:szCs w:val="24"/>
          <w:lang w:val="es-CO"/>
        </w:rPr>
        <w:t xml:space="preserve">Ahora, pese a que no fue objeto de alzada, no puede desconocer la Corporación que la falladora de instancia fijó erradamente las agencias en derecho en la sentencia objeto de estudio, ya que según prevé el artículo 366 del Código General del Proceso dicha etapa procesal se dispuso una vez ejecutoriada la providencia que le ponga fin al proceso o se notifique el auto de obedecimiento a lo dispuesto por el superior. Así las cosas, con el fin de proteger los derechos de contradicción y defensa de las partes procesales, que en este aspecto solo pueden ser ejercidos frente al auto que aprueba la liquidación de costas, se modificará del numeral </w:t>
      </w:r>
      <w:r w:rsidR="0056733C" w:rsidRPr="002B212E">
        <w:rPr>
          <w:rFonts w:eastAsia="Times New Roman"/>
          <w:color w:val="000000" w:themeColor="text1"/>
          <w:szCs w:val="24"/>
          <w:lang w:val="es-CO"/>
        </w:rPr>
        <w:t>sexto</w:t>
      </w:r>
      <w:r w:rsidRPr="002B212E">
        <w:rPr>
          <w:rFonts w:eastAsia="Times New Roman"/>
          <w:color w:val="000000" w:themeColor="text1"/>
          <w:szCs w:val="24"/>
          <w:lang w:val="es-CO"/>
        </w:rPr>
        <w:t xml:space="preserve"> de la providencia recurrida en el sentido de excluir la fijación de agencias en derecho.</w:t>
      </w:r>
    </w:p>
    <w:p w14:paraId="0D5CFD0E" w14:textId="77777777" w:rsidR="001F36DB" w:rsidRPr="002B212E" w:rsidRDefault="001F36DB" w:rsidP="002B212E">
      <w:pPr>
        <w:pStyle w:val="Prrafodelista"/>
        <w:tabs>
          <w:tab w:val="left" w:pos="993"/>
        </w:tabs>
        <w:spacing w:line="276" w:lineRule="auto"/>
        <w:ind w:left="0" w:firstLine="709"/>
        <w:rPr>
          <w:rFonts w:eastAsia="Times New Roman"/>
          <w:color w:val="000000" w:themeColor="text1"/>
          <w:szCs w:val="24"/>
          <w:lang w:val="es-CO"/>
        </w:rPr>
      </w:pPr>
    </w:p>
    <w:p w14:paraId="285AF264" w14:textId="275FD354" w:rsidR="001F36DB" w:rsidRPr="002B212E" w:rsidRDefault="001F36DB" w:rsidP="002B212E">
      <w:pPr>
        <w:pStyle w:val="Prrafodelista"/>
        <w:tabs>
          <w:tab w:val="left" w:pos="993"/>
        </w:tabs>
        <w:spacing w:line="276" w:lineRule="auto"/>
        <w:ind w:left="0" w:firstLine="709"/>
        <w:rPr>
          <w:rFonts w:eastAsia="Times New Roman"/>
          <w:color w:val="000000" w:themeColor="text1"/>
          <w:szCs w:val="24"/>
          <w:lang w:val="es-CO"/>
        </w:rPr>
      </w:pPr>
      <w:r w:rsidRPr="002B212E">
        <w:rPr>
          <w:rFonts w:eastAsia="Times New Roman"/>
          <w:color w:val="000000" w:themeColor="text1"/>
          <w:szCs w:val="24"/>
          <w:lang w:val="es-CO"/>
        </w:rPr>
        <w:t>Sin costas en esta instancia procesal debido a la prosperidad parcial del recurso de apelación</w:t>
      </w:r>
      <w:r w:rsidR="004C0430" w:rsidRPr="002B212E">
        <w:rPr>
          <w:rFonts w:eastAsia="Times New Roman"/>
          <w:color w:val="000000" w:themeColor="text1"/>
          <w:szCs w:val="24"/>
          <w:lang w:val="es-CO"/>
        </w:rPr>
        <w:t>;</w:t>
      </w:r>
      <w:r w:rsidR="764959B8" w:rsidRPr="002B212E">
        <w:rPr>
          <w:rFonts w:eastAsia="Times New Roman"/>
          <w:color w:val="000000" w:themeColor="text1"/>
          <w:szCs w:val="24"/>
          <w:lang w:val="es-CO"/>
        </w:rPr>
        <w:t xml:space="preserve"> asimismo, teniendo en cuenta que la decisión de primera instancia fue modificada </w:t>
      </w:r>
      <w:r w:rsidR="6CEE7862" w:rsidRPr="002B212E">
        <w:rPr>
          <w:rFonts w:eastAsia="Times New Roman"/>
          <w:color w:val="000000" w:themeColor="text1"/>
          <w:szCs w:val="24"/>
          <w:lang w:val="es-CO"/>
        </w:rPr>
        <w:t>y que la a-quo no estableció un porcentaje de costas procesales, se establecerán</w:t>
      </w:r>
      <w:r w:rsidR="4CA09312" w:rsidRPr="002B212E">
        <w:rPr>
          <w:rFonts w:eastAsia="Times New Roman"/>
          <w:color w:val="000000" w:themeColor="text1"/>
          <w:szCs w:val="24"/>
          <w:lang w:val="es-CO"/>
        </w:rPr>
        <w:t xml:space="preserve"> las costas impuestas en esa instancia en un </w:t>
      </w:r>
      <w:r w:rsidR="3175C1D6" w:rsidRPr="002B212E">
        <w:rPr>
          <w:rFonts w:eastAsia="Times New Roman"/>
          <w:color w:val="000000" w:themeColor="text1"/>
          <w:szCs w:val="24"/>
          <w:lang w:val="es-CO"/>
        </w:rPr>
        <w:t>50% de las causadas</w:t>
      </w:r>
      <w:r w:rsidR="24826311" w:rsidRPr="002B212E">
        <w:rPr>
          <w:rFonts w:eastAsia="Times New Roman"/>
          <w:color w:val="000000" w:themeColor="text1"/>
          <w:szCs w:val="24"/>
          <w:lang w:val="es-CO"/>
        </w:rPr>
        <w:t xml:space="preserve"> ante la prosperidad de la excepción de buena fe</w:t>
      </w:r>
      <w:r w:rsidR="004C0430" w:rsidRPr="002B212E">
        <w:rPr>
          <w:rFonts w:eastAsia="Times New Roman"/>
          <w:color w:val="000000" w:themeColor="text1"/>
          <w:szCs w:val="24"/>
          <w:lang w:val="es-CO"/>
        </w:rPr>
        <w:t xml:space="preserve"> </w:t>
      </w:r>
      <w:r w:rsidR="24826311" w:rsidRPr="002B212E">
        <w:rPr>
          <w:rFonts w:eastAsia="Times New Roman"/>
          <w:color w:val="000000" w:themeColor="text1"/>
          <w:szCs w:val="24"/>
          <w:lang w:val="es-CO"/>
        </w:rPr>
        <w:t>y la declaratoria parcial de la excepción de prescripción.</w:t>
      </w:r>
    </w:p>
    <w:p w14:paraId="09796848" w14:textId="77777777" w:rsidR="001F36DB" w:rsidRPr="002B212E" w:rsidRDefault="001F36DB" w:rsidP="002B212E">
      <w:pPr>
        <w:pStyle w:val="Prrafodelista"/>
        <w:tabs>
          <w:tab w:val="left" w:pos="993"/>
        </w:tabs>
        <w:spacing w:line="276" w:lineRule="auto"/>
        <w:ind w:left="0" w:firstLine="709"/>
        <w:rPr>
          <w:rFonts w:eastAsia="Times New Roman"/>
          <w:color w:val="000000" w:themeColor="text1"/>
          <w:szCs w:val="24"/>
          <w:lang w:val="es-CO"/>
        </w:rPr>
      </w:pPr>
    </w:p>
    <w:p w14:paraId="62510F92" w14:textId="77777777" w:rsidR="001F36DB" w:rsidRPr="002B212E" w:rsidRDefault="001F36DB" w:rsidP="002B212E">
      <w:pPr>
        <w:spacing w:line="276" w:lineRule="auto"/>
        <w:ind w:firstLine="708"/>
        <w:jc w:val="both"/>
        <w:rPr>
          <w:rFonts w:ascii="Tahoma" w:eastAsia="Tahoma" w:hAnsi="Tahoma" w:cs="Tahoma"/>
          <w:lang w:eastAsia="es-CO"/>
        </w:rPr>
      </w:pPr>
      <w:r w:rsidRPr="002B212E">
        <w:rPr>
          <w:rFonts w:ascii="Tahoma" w:eastAsia="Tahoma" w:hAnsi="Tahoma" w:cs="Tahoma"/>
          <w:lang w:eastAsia="es-CO"/>
        </w:rPr>
        <w:t xml:space="preserve">En mérito de lo expuesto, el </w:t>
      </w:r>
      <w:r w:rsidRPr="002B212E">
        <w:rPr>
          <w:rFonts w:ascii="Tahoma" w:eastAsia="Tahoma" w:hAnsi="Tahoma" w:cs="Tahoma"/>
          <w:b/>
          <w:bCs/>
          <w:lang w:eastAsia="es-CO"/>
        </w:rPr>
        <w:t>Tribunal Superior del Distrito Judicial de Pereira - Risaralda, Sala Primera de Decisión Laboral,</w:t>
      </w:r>
      <w:r w:rsidRPr="002B212E">
        <w:rPr>
          <w:rFonts w:ascii="Tahoma" w:eastAsia="Tahoma" w:hAnsi="Tahoma" w:cs="Tahoma"/>
          <w:lang w:eastAsia="es-CO"/>
        </w:rPr>
        <w:t xml:space="preserve"> administrando justicia en nombre de la República y por autoridad de la ley,</w:t>
      </w:r>
    </w:p>
    <w:p w14:paraId="008B8393" w14:textId="77777777" w:rsidR="00141D8B" w:rsidRPr="002B212E" w:rsidRDefault="00141D8B" w:rsidP="002B212E">
      <w:pPr>
        <w:spacing w:line="276" w:lineRule="auto"/>
        <w:jc w:val="both"/>
        <w:rPr>
          <w:rFonts w:ascii="Tahoma" w:eastAsia="Times New Roman" w:hAnsi="Tahoma" w:cs="Tahoma"/>
          <w:color w:val="000000"/>
          <w:lang w:val="es-CO"/>
        </w:rPr>
      </w:pPr>
    </w:p>
    <w:p w14:paraId="03435900" w14:textId="77777777" w:rsidR="00141D8B" w:rsidRPr="002B212E" w:rsidRDefault="00141D8B" w:rsidP="002B212E">
      <w:pPr>
        <w:spacing w:line="276" w:lineRule="auto"/>
        <w:jc w:val="center"/>
        <w:rPr>
          <w:rFonts w:ascii="Tahoma" w:hAnsi="Tahoma" w:cs="Tahoma"/>
          <w:b/>
          <w:color w:val="000000" w:themeColor="text1"/>
        </w:rPr>
      </w:pPr>
      <w:r w:rsidRPr="002B212E">
        <w:rPr>
          <w:rFonts w:ascii="Tahoma" w:hAnsi="Tahoma" w:cs="Tahoma"/>
          <w:b/>
          <w:color w:val="000000" w:themeColor="text1"/>
        </w:rPr>
        <w:t>RESUELVE</w:t>
      </w:r>
    </w:p>
    <w:p w14:paraId="49BA0A20" w14:textId="77777777" w:rsidR="00141D8B" w:rsidRPr="002B212E" w:rsidRDefault="00141D8B" w:rsidP="002B212E">
      <w:pPr>
        <w:spacing w:line="276" w:lineRule="auto"/>
        <w:jc w:val="both"/>
        <w:rPr>
          <w:rFonts w:ascii="Tahoma" w:hAnsi="Tahoma" w:cs="Tahoma"/>
          <w:b/>
          <w:color w:val="000000" w:themeColor="text1"/>
        </w:rPr>
      </w:pPr>
    </w:p>
    <w:p w14:paraId="157C6D16" w14:textId="3A60B2D9" w:rsidR="00141D8B" w:rsidRPr="002B212E" w:rsidRDefault="00141D8B" w:rsidP="002B212E">
      <w:pPr>
        <w:spacing w:line="276" w:lineRule="auto"/>
        <w:ind w:firstLine="708"/>
        <w:jc w:val="both"/>
        <w:rPr>
          <w:rFonts w:ascii="Tahoma" w:eastAsia="Times New Roman" w:hAnsi="Tahoma" w:cs="Tahoma"/>
          <w:lang w:eastAsia="es-ES"/>
        </w:rPr>
      </w:pPr>
      <w:r w:rsidRPr="002B212E">
        <w:rPr>
          <w:rFonts w:ascii="Tahoma" w:eastAsia="Times New Roman" w:hAnsi="Tahoma" w:cs="Tahoma"/>
          <w:b/>
          <w:bCs/>
          <w:lang w:eastAsia="es-ES"/>
        </w:rPr>
        <w:t>PRIMERO:</w:t>
      </w:r>
      <w:r w:rsidR="006E1F7C" w:rsidRPr="002B212E">
        <w:rPr>
          <w:rFonts w:ascii="Tahoma" w:eastAsia="Times New Roman" w:hAnsi="Tahoma" w:cs="Tahoma"/>
          <w:b/>
          <w:bCs/>
          <w:lang w:eastAsia="es-ES"/>
        </w:rPr>
        <w:t xml:space="preserve"> MODIFICAR </w:t>
      </w:r>
      <w:r w:rsidR="006E1F7C" w:rsidRPr="002B212E">
        <w:rPr>
          <w:rFonts w:ascii="Tahoma" w:eastAsia="Times New Roman" w:hAnsi="Tahoma" w:cs="Tahoma"/>
          <w:lang w:eastAsia="es-ES"/>
        </w:rPr>
        <w:t>los ordinales segundo</w:t>
      </w:r>
      <w:r w:rsidR="001F36DB" w:rsidRPr="002B212E">
        <w:rPr>
          <w:rFonts w:ascii="Tahoma" w:eastAsia="Times New Roman" w:hAnsi="Tahoma" w:cs="Tahoma"/>
          <w:lang w:eastAsia="es-ES"/>
        </w:rPr>
        <w:t>,</w:t>
      </w:r>
      <w:r w:rsidR="006E1F7C" w:rsidRPr="002B212E">
        <w:rPr>
          <w:rFonts w:ascii="Tahoma" w:eastAsia="Times New Roman" w:hAnsi="Tahoma" w:cs="Tahoma"/>
          <w:lang w:eastAsia="es-ES"/>
        </w:rPr>
        <w:t xml:space="preserve"> cuarto</w:t>
      </w:r>
      <w:r w:rsidR="001F36DB" w:rsidRPr="002B212E">
        <w:rPr>
          <w:rFonts w:ascii="Tahoma" w:eastAsia="Times New Roman" w:hAnsi="Tahoma" w:cs="Tahoma"/>
          <w:lang w:eastAsia="es-ES"/>
        </w:rPr>
        <w:t xml:space="preserve"> y sexto</w:t>
      </w:r>
      <w:r w:rsidR="006E1F7C" w:rsidRPr="002B212E">
        <w:rPr>
          <w:rFonts w:ascii="Tahoma" w:eastAsia="Times New Roman" w:hAnsi="Tahoma" w:cs="Tahoma"/>
          <w:lang w:eastAsia="es-ES"/>
        </w:rPr>
        <w:t xml:space="preserve"> de la sentencia</w:t>
      </w:r>
      <w:r w:rsidR="00BF6ADF" w:rsidRPr="002B212E">
        <w:rPr>
          <w:rFonts w:ascii="Tahoma" w:eastAsia="Times New Roman" w:hAnsi="Tahoma" w:cs="Tahoma"/>
          <w:lang w:eastAsia="es-ES"/>
        </w:rPr>
        <w:t xml:space="preserve"> proferida el 1 de marzo de 2022 por el Juzgado Laboral del Circuito de Dosquebradas </w:t>
      </w:r>
      <w:r w:rsidR="00A52D76" w:rsidRPr="002B212E">
        <w:rPr>
          <w:rFonts w:ascii="Tahoma" w:eastAsia="Times New Roman" w:hAnsi="Tahoma" w:cs="Tahoma"/>
          <w:lang w:eastAsia="es-ES"/>
        </w:rPr>
        <w:t xml:space="preserve">dentro del </w:t>
      </w:r>
      <w:r w:rsidR="002F379B" w:rsidRPr="002B212E">
        <w:rPr>
          <w:rFonts w:ascii="Tahoma" w:hAnsi="Tahoma" w:cs="Tahoma"/>
        </w:rPr>
        <w:t xml:space="preserve">proceso ordinario laboral instaurado por </w:t>
      </w:r>
      <w:r w:rsidR="002F379B" w:rsidRPr="002B212E">
        <w:rPr>
          <w:rFonts w:ascii="Tahoma" w:hAnsi="Tahoma" w:cs="Tahoma"/>
          <w:b/>
          <w:bCs/>
          <w:color w:val="000000" w:themeColor="text1"/>
          <w:lang w:val="es"/>
        </w:rPr>
        <w:t xml:space="preserve">Edwin García Arango </w:t>
      </w:r>
      <w:r w:rsidR="002F379B" w:rsidRPr="002B212E">
        <w:rPr>
          <w:rFonts w:ascii="Tahoma" w:hAnsi="Tahoma" w:cs="Tahoma"/>
        </w:rPr>
        <w:t xml:space="preserve">en contra de </w:t>
      </w:r>
      <w:r w:rsidR="002F379B" w:rsidRPr="002B212E">
        <w:rPr>
          <w:rFonts w:ascii="Tahoma" w:hAnsi="Tahoma" w:cs="Tahoma"/>
          <w:b/>
          <w:bCs/>
          <w:color w:val="000000" w:themeColor="text1"/>
          <w:lang w:val="es"/>
        </w:rPr>
        <w:t xml:space="preserve">Huawei </w:t>
      </w:r>
      <w:proofErr w:type="spellStart"/>
      <w:r w:rsidR="002F379B" w:rsidRPr="002B212E">
        <w:rPr>
          <w:rFonts w:ascii="Tahoma" w:hAnsi="Tahoma" w:cs="Tahoma"/>
          <w:b/>
          <w:bCs/>
          <w:color w:val="000000" w:themeColor="text1"/>
          <w:lang w:val="es"/>
        </w:rPr>
        <w:t>Technologie</w:t>
      </w:r>
      <w:proofErr w:type="spellEnd"/>
      <w:r w:rsidR="002F379B" w:rsidRPr="002B212E">
        <w:rPr>
          <w:rFonts w:ascii="Tahoma" w:hAnsi="Tahoma" w:cs="Tahoma"/>
          <w:b/>
          <w:bCs/>
          <w:color w:val="000000" w:themeColor="text1"/>
          <w:lang w:val="es"/>
        </w:rPr>
        <w:t xml:space="preserve"> </w:t>
      </w:r>
      <w:proofErr w:type="spellStart"/>
      <w:r w:rsidR="002F379B" w:rsidRPr="002B212E">
        <w:rPr>
          <w:rFonts w:ascii="Tahoma" w:hAnsi="Tahoma" w:cs="Tahoma"/>
          <w:b/>
          <w:bCs/>
          <w:color w:val="000000" w:themeColor="text1"/>
          <w:lang w:val="es"/>
        </w:rPr>
        <w:t>Managed</w:t>
      </w:r>
      <w:proofErr w:type="spellEnd"/>
      <w:r w:rsidR="002F379B" w:rsidRPr="002B212E">
        <w:rPr>
          <w:rFonts w:ascii="Tahoma" w:hAnsi="Tahoma" w:cs="Tahoma"/>
          <w:b/>
          <w:bCs/>
          <w:color w:val="000000" w:themeColor="text1"/>
          <w:lang w:val="es"/>
        </w:rPr>
        <w:t xml:space="preserve"> </w:t>
      </w:r>
      <w:proofErr w:type="spellStart"/>
      <w:r w:rsidR="002F379B" w:rsidRPr="002B212E">
        <w:rPr>
          <w:rFonts w:ascii="Tahoma" w:hAnsi="Tahoma" w:cs="Tahoma"/>
          <w:b/>
          <w:bCs/>
          <w:color w:val="000000" w:themeColor="text1"/>
          <w:lang w:val="es"/>
        </w:rPr>
        <w:t>Service</w:t>
      </w:r>
      <w:proofErr w:type="spellEnd"/>
      <w:r w:rsidR="002F379B" w:rsidRPr="002B212E">
        <w:rPr>
          <w:rFonts w:ascii="Tahoma" w:hAnsi="Tahoma" w:cs="Tahoma"/>
          <w:b/>
          <w:bCs/>
          <w:color w:val="000000" w:themeColor="text1"/>
          <w:lang w:val="es"/>
        </w:rPr>
        <w:t xml:space="preserve"> Colombia S.A.S.</w:t>
      </w:r>
      <w:r w:rsidR="006E1F7C" w:rsidRPr="002B212E">
        <w:rPr>
          <w:rFonts w:ascii="Tahoma" w:eastAsia="Times New Roman" w:hAnsi="Tahoma" w:cs="Tahoma"/>
          <w:lang w:eastAsia="es-ES"/>
        </w:rPr>
        <w:t xml:space="preserve">, </w:t>
      </w:r>
      <w:r w:rsidR="36CEE58D" w:rsidRPr="002B212E">
        <w:rPr>
          <w:rFonts w:ascii="Tahoma" w:eastAsia="Times New Roman" w:hAnsi="Tahoma" w:cs="Tahoma"/>
          <w:lang w:eastAsia="es-ES"/>
        </w:rPr>
        <w:t xml:space="preserve">en el siguiente sentido: </w:t>
      </w:r>
    </w:p>
    <w:p w14:paraId="4CD6B42C" w14:textId="3738D6D8" w:rsidR="50585C84" w:rsidRPr="002B212E" w:rsidRDefault="50585C84" w:rsidP="002B212E">
      <w:pPr>
        <w:spacing w:line="276" w:lineRule="auto"/>
        <w:ind w:firstLine="708"/>
        <w:jc w:val="both"/>
        <w:rPr>
          <w:rFonts w:ascii="Tahoma" w:eastAsia="Times New Roman" w:hAnsi="Tahoma" w:cs="Tahoma"/>
          <w:lang w:eastAsia="es-ES"/>
        </w:rPr>
      </w:pPr>
    </w:p>
    <w:p w14:paraId="2894FF2C" w14:textId="6D4FFA1E" w:rsidR="4068DAF4" w:rsidRDefault="4068DAF4" w:rsidP="002B212E">
      <w:pPr>
        <w:spacing w:line="276" w:lineRule="auto"/>
        <w:ind w:left="360"/>
        <w:jc w:val="both"/>
        <w:rPr>
          <w:rFonts w:ascii="Tahoma" w:hAnsi="Tahoma" w:cs="Tahoma"/>
          <w:i/>
          <w:color w:val="000000" w:themeColor="text1"/>
          <w:lang w:val="es"/>
        </w:rPr>
      </w:pPr>
      <w:r w:rsidRPr="002B212E">
        <w:rPr>
          <w:rFonts w:ascii="Tahoma" w:eastAsia="Times New Roman" w:hAnsi="Tahoma" w:cs="Tahoma"/>
          <w:b/>
          <w:i/>
          <w:lang w:eastAsia="es-ES"/>
        </w:rPr>
        <w:t>“</w:t>
      </w:r>
      <w:r w:rsidR="4E5FA6F3" w:rsidRPr="002B212E">
        <w:rPr>
          <w:rFonts w:ascii="Tahoma" w:eastAsia="Times New Roman" w:hAnsi="Tahoma" w:cs="Tahoma"/>
          <w:b/>
          <w:i/>
          <w:lang w:eastAsia="es-ES"/>
        </w:rPr>
        <w:t>Segundo:</w:t>
      </w:r>
      <w:r w:rsidR="4E5FA6F3" w:rsidRPr="002B212E">
        <w:rPr>
          <w:rFonts w:ascii="Tahoma" w:eastAsia="Times New Roman" w:hAnsi="Tahoma" w:cs="Tahoma"/>
          <w:i/>
          <w:lang w:eastAsia="es-ES"/>
        </w:rPr>
        <w:t xml:space="preserve"> Condenar a </w:t>
      </w:r>
      <w:r w:rsidR="4E5FA6F3" w:rsidRPr="002B212E">
        <w:rPr>
          <w:rFonts w:ascii="Tahoma" w:hAnsi="Tahoma" w:cs="Tahoma"/>
          <w:i/>
          <w:color w:val="000000" w:themeColor="text1"/>
          <w:lang w:val="es"/>
        </w:rPr>
        <w:t xml:space="preserve">Huawei </w:t>
      </w:r>
      <w:proofErr w:type="spellStart"/>
      <w:r w:rsidR="4E5FA6F3" w:rsidRPr="002B212E">
        <w:rPr>
          <w:rFonts w:ascii="Tahoma" w:hAnsi="Tahoma" w:cs="Tahoma"/>
          <w:i/>
          <w:color w:val="000000" w:themeColor="text1"/>
          <w:lang w:val="es"/>
        </w:rPr>
        <w:t>Technologie</w:t>
      </w:r>
      <w:proofErr w:type="spellEnd"/>
      <w:r w:rsidR="4E5FA6F3" w:rsidRPr="002B212E">
        <w:rPr>
          <w:rFonts w:ascii="Tahoma" w:hAnsi="Tahoma" w:cs="Tahoma"/>
          <w:i/>
          <w:color w:val="000000" w:themeColor="text1"/>
          <w:lang w:val="es"/>
        </w:rPr>
        <w:t xml:space="preserve"> </w:t>
      </w:r>
      <w:proofErr w:type="spellStart"/>
      <w:r w:rsidR="4E5FA6F3" w:rsidRPr="002B212E">
        <w:rPr>
          <w:rFonts w:ascii="Tahoma" w:hAnsi="Tahoma" w:cs="Tahoma"/>
          <w:i/>
          <w:color w:val="000000" w:themeColor="text1"/>
          <w:lang w:val="es"/>
        </w:rPr>
        <w:t>Managed</w:t>
      </w:r>
      <w:proofErr w:type="spellEnd"/>
      <w:r w:rsidR="4E5FA6F3" w:rsidRPr="002B212E">
        <w:rPr>
          <w:rFonts w:ascii="Tahoma" w:hAnsi="Tahoma" w:cs="Tahoma"/>
          <w:i/>
          <w:color w:val="000000" w:themeColor="text1"/>
          <w:lang w:val="es"/>
        </w:rPr>
        <w:t xml:space="preserve"> </w:t>
      </w:r>
      <w:proofErr w:type="spellStart"/>
      <w:r w:rsidR="4E5FA6F3" w:rsidRPr="002B212E">
        <w:rPr>
          <w:rFonts w:ascii="Tahoma" w:hAnsi="Tahoma" w:cs="Tahoma"/>
          <w:i/>
          <w:color w:val="000000" w:themeColor="text1"/>
          <w:lang w:val="es"/>
        </w:rPr>
        <w:t>Service</w:t>
      </w:r>
      <w:proofErr w:type="spellEnd"/>
      <w:r w:rsidR="4E5FA6F3" w:rsidRPr="002B212E">
        <w:rPr>
          <w:rFonts w:ascii="Tahoma" w:hAnsi="Tahoma" w:cs="Tahoma"/>
          <w:i/>
          <w:color w:val="000000" w:themeColor="text1"/>
          <w:lang w:val="es"/>
        </w:rPr>
        <w:t xml:space="preserve"> Colombia S.A.S. a pagar a </w:t>
      </w:r>
      <w:r w:rsidR="63486BD6" w:rsidRPr="002B212E">
        <w:rPr>
          <w:rFonts w:ascii="Tahoma" w:hAnsi="Tahoma" w:cs="Tahoma"/>
          <w:i/>
          <w:color w:val="000000" w:themeColor="text1"/>
          <w:lang w:val="es"/>
        </w:rPr>
        <w:t>Edwin García Arango los siguientes conceptos:</w:t>
      </w:r>
    </w:p>
    <w:p w14:paraId="303B3F0B" w14:textId="77777777" w:rsidR="00284200" w:rsidRPr="002B212E" w:rsidRDefault="00284200" w:rsidP="002B212E">
      <w:pPr>
        <w:spacing w:line="276" w:lineRule="auto"/>
        <w:ind w:left="360"/>
        <w:jc w:val="both"/>
        <w:rPr>
          <w:rFonts w:ascii="Tahoma" w:hAnsi="Tahoma" w:cs="Tahoma"/>
          <w:i/>
          <w:color w:val="000000" w:themeColor="text1"/>
          <w:lang w:val="es"/>
        </w:rPr>
      </w:pPr>
    </w:p>
    <w:p w14:paraId="23478D04" w14:textId="6F5D9A7E" w:rsidR="74F6C8FA" w:rsidRPr="002B212E" w:rsidRDefault="74F6C8FA" w:rsidP="002B212E">
      <w:pPr>
        <w:pStyle w:val="Prrafodelista"/>
        <w:numPr>
          <w:ilvl w:val="0"/>
          <w:numId w:val="18"/>
        </w:numPr>
        <w:spacing w:line="276" w:lineRule="auto"/>
        <w:ind w:left="1080"/>
        <w:rPr>
          <w:rFonts w:eastAsia="Calibri"/>
          <w:i/>
          <w:szCs w:val="24"/>
          <w:lang w:val="es-MX" w:eastAsia="en-US"/>
        </w:rPr>
      </w:pPr>
      <w:r w:rsidRPr="002B212E">
        <w:rPr>
          <w:rFonts w:eastAsiaTheme="minorEastAsia"/>
          <w:i/>
          <w:szCs w:val="24"/>
          <w:lang w:val="es-MX" w:eastAsia="en-US"/>
        </w:rPr>
        <w:t>Remuneración por disponibilidad: $20.563.759</w:t>
      </w:r>
    </w:p>
    <w:p w14:paraId="3B75E34E" w14:textId="2DC428B1" w:rsidR="74F6C8FA" w:rsidRPr="002B212E" w:rsidRDefault="74F6C8FA" w:rsidP="002B212E">
      <w:pPr>
        <w:pStyle w:val="Prrafodelista"/>
        <w:numPr>
          <w:ilvl w:val="0"/>
          <w:numId w:val="18"/>
        </w:numPr>
        <w:spacing w:line="276" w:lineRule="auto"/>
        <w:ind w:left="1080"/>
        <w:rPr>
          <w:rFonts w:eastAsia="Calibri"/>
          <w:i/>
          <w:szCs w:val="24"/>
          <w:lang w:val="es-MX" w:eastAsia="en-US"/>
        </w:rPr>
      </w:pPr>
      <w:r w:rsidRPr="002B212E">
        <w:rPr>
          <w:rFonts w:eastAsiaTheme="minorEastAsia"/>
          <w:i/>
          <w:szCs w:val="24"/>
          <w:lang w:val="es-MX" w:eastAsia="en-US"/>
        </w:rPr>
        <w:t>Reliquidación de cesantías: $1.429.501</w:t>
      </w:r>
    </w:p>
    <w:p w14:paraId="157DE24A" w14:textId="395E6B91" w:rsidR="74F6C8FA" w:rsidRPr="002B212E" w:rsidRDefault="74F6C8FA" w:rsidP="002B212E">
      <w:pPr>
        <w:pStyle w:val="Prrafodelista"/>
        <w:numPr>
          <w:ilvl w:val="0"/>
          <w:numId w:val="18"/>
        </w:numPr>
        <w:spacing w:line="276" w:lineRule="auto"/>
        <w:ind w:left="1080"/>
        <w:rPr>
          <w:rFonts w:eastAsia="Calibri"/>
          <w:i/>
          <w:szCs w:val="24"/>
          <w:lang w:val="es-MX" w:eastAsia="en-US"/>
        </w:rPr>
      </w:pPr>
      <w:r w:rsidRPr="002B212E">
        <w:rPr>
          <w:rFonts w:eastAsiaTheme="minorEastAsia"/>
          <w:i/>
          <w:szCs w:val="24"/>
          <w:lang w:val="es-MX" w:eastAsia="en-US"/>
        </w:rPr>
        <w:t>Reliquidación intereses cesantías $ 229.228</w:t>
      </w:r>
    </w:p>
    <w:p w14:paraId="761022DE" w14:textId="64A5E422" w:rsidR="74F6C8FA" w:rsidRPr="002B212E" w:rsidRDefault="74F6C8FA" w:rsidP="002B212E">
      <w:pPr>
        <w:pStyle w:val="Prrafodelista"/>
        <w:numPr>
          <w:ilvl w:val="0"/>
          <w:numId w:val="18"/>
        </w:numPr>
        <w:spacing w:line="276" w:lineRule="auto"/>
        <w:ind w:left="1080"/>
        <w:rPr>
          <w:rFonts w:eastAsia="Calibri"/>
          <w:i/>
          <w:szCs w:val="24"/>
          <w:lang w:val="es-MX" w:eastAsia="en-US"/>
        </w:rPr>
      </w:pPr>
      <w:r w:rsidRPr="002B212E">
        <w:rPr>
          <w:rFonts w:eastAsiaTheme="minorEastAsia"/>
          <w:i/>
          <w:szCs w:val="24"/>
          <w:lang w:val="es-MX" w:eastAsia="en-US"/>
        </w:rPr>
        <w:t>Reliquidación prima servicios $1.564.508</w:t>
      </w:r>
    </w:p>
    <w:p w14:paraId="7165AF56" w14:textId="26E34486" w:rsidR="50585C84" w:rsidRPr="002B212E" w:rsidRDefault="50585C84" w:rsidP="002B212E">
      <w:pPr>
        <w:spacing w:line="276" w:lineRule="auto"/>
        <w:ind w:left="360"/>
        <w:jc w:val="both"/>
        <w:rPr>
          <w:rFonts w:ascii="Tahoma" w:hAnsi="Tahoma" w:cs="Tahoma"/>
          <w:i/>
          <w:color w:val="000000" w:themeColor="text1"/>
          <w:lang w:val="es"/>
        </w:rPr>
      </w:pPr>
    </w:p>
    <w:p w14:paraId="0C835C5A" w14:textId="353BA369" w:rsidR="07A65A05" w:rsidRPr="002B212E" w:rsidRDefault="07A65A05" w:rsidP="002B212E">
      <w:pPr>
        <w:spacing w:line="276" w:lineRule="auto"/>
        <w:ind w:left="360"/>
        <w:jc w:val="both"/>
        <w:rPr>
          <w:rFonts w:ascii="Tahoma" w:hAnsi="Tahoma" w:cs="Tahoma"/>
          <w:i/>
          <w:color w:val="000000" w:themeColor="text1"/>
          <w:lang w:val="es"/>
        </w:rPr>
      </w:pPr>
      <w:r w:rsidRPr="002B212E">
        <w:rPr>
          <w:rFonts w:ascii="Tahoma" w:hAnsi="Tahoma" w:cs="Tahoma"/>
          <w:b/>
          <w:i/>
          <w:color w:val="000000" w:themeColor="text1"/>
          <w:lang w:val="es"/>
        </w:rPr>
        <w:t>Cuarto:</w:t>
      </w:r>
      <w:r w:rsidRPr="002B212E">
        <w:rPr>
          <w:rFonts w:ascii="Tahoma" w:hAnsi="Tahoma" w:cs="Tahoma"/>
          <w:i/>
          <w:color w:val="000000" w:themeColor="text1"/>
          <w:lang w:val="es"/>
        </w:rPr>
        <w:t xml:space="preserve"> Declarar probada la excepción de buena fe, </w:t>
      </w:r>
      <w:r w:rsidR="002D68BC" w:rsidRPr="002B212E">
        <w:rPr>
          <w:rFonts w:ascii="Tahoma" w:hAnsi="Tahoma" w:cs="Tahoma"/>
          <w:i/>
          <w:color w:val="000000" w:themeColor="text1"/>
          <w:lang w:val="es"/>
        </w:rPr>
        <w:t xml:space="preserve">probada </w:t>
      </w:r>
      <w:r w:rsidRPr="002B212E">
        <w:rPr>
          <w:rFonts w:ascii="Tahoma" w:hAnsi="Tahoma" w:cs="Tahoma"/>
          <w:i/>
          <w:color w:val="000000" w:themeColor="text1"/>
          <w:lang w:val="es"/>
        </w:rPr>
        <w:t xml:space="preserve">parcialmente la de prescripción y no probadas </w:t>
      </w:r>
      <w:r w:rsidR="12EE20C5" w:rsidRPr="002B212E">
        <w:rPr>
          <w:rFonts w:ascii="Tahoma" w:hAnsi="Tahoma" w:cs="Tahoma"/>
          <w:i/>
          <w:color w:val="000000" w:themeColor="text1"/>
          <w:lang w:val="es"/>
        </w:rPr>
        <w:t>las demás.</w:t>
      </w:r>
    </w:p>
    <w:p w14:paraId="6E0E01CB" w14:textId="40447C33" w:rsidR="50585C84" w:rsidRPr="002B212E" w:rsidRDefault="50585C84" w:rsidP="002B212E">
      <w:pPr>
        <w:spacing w:line="276" w:lineRule="auto"/>
        <w:ind w:left="360" w:firstLine="708"/>
        <w:jc w:val="both"/>
        <w:rPr>
          <w:rFonts w:ascii="Tahoma" w:eastAsia="Times New Roman" w:hAnsi="Tahoma" w:cs="Tahoma"/>
          <w:i/>
          <w:lang w:eastAsia="es-ES"/>
        </w:rPr>
      </w:pPr>
    </w:p>
    <w:p w14:paraId="7042AF80" w14:textId="01816029" w:rsidR="6A348D37" w:rsidRPr="002B212E" w:rsidRDefault="6A348D37" w:rsidP="002B212E">
      <w:pPr>
        <w:spacing w:line="276" w:lineRule="auto"/>
        <w:ind w:left="360"/>
        <w:jc w:val="both"/>
        <w:rPr>
          <w:rFonts w:ascii="Tahoma" w:eastAsia="Times New Roman" w:hAnsi="Tahoma" w:cs="Tahoma"/>
          <w:i/>
          <w:iCs/>
          <w:lang w:eastAsia="es-ES"/>
        </w:rPr>
      </w:pPr>
      <w:r w:rsidRPr="002B212E">
        <w:rPr>
          <w:rFonts w:ascii="Tahoma" w:eastAsia="Times New Roman" w:hAnsi="Tahoma" w:cs="Tahoma"/>
          <w:b/>
          <w:bCs/>
          <w:i/>
          <w:iCs/>
          <w:lang w:eastAsia="es-ES"/>
        </w:rPr>
        <w:t>Sexto:</w:t>
      </w:r>
      <w:r w:rsidRPr="002B212E">
        <w:rPr>
          <w:rFonts w:ascii="Tahoma" w:eastAsia="Times New Roman" w:hAnsi="Tahoma" w:cs="Tahoma"/>
          <w:i/>
          <w:iCs/>
          <w:lang w:eastAsia="es-ES"/>
        </w:rPr>
        <w:t xml:space="preserve"> </w:t>
      </w:r>
      <w:r w:rsidR="00963567" w:rsidRPr="002B212E">
        <w:rPr>
          <w:rFonts w:ascii="Tahoma" w:eastAsia="Times New Roman" w:hAnsi="Tahoma" w:cs="Tahoma"/>
          <w:i/>
          <w:iCs/>
          <w:lang w:eastAsia="es-ES"/>
        </w:rPr>
        <w:t>C</w:t>
      </w:r>
      <w:r w:rsidRPr="002B212E">
        <w:rPr>
          <w:rFonts w:ascii="Tahoma" w:eastAsia="Times New Roman" w:hAnsi="Tahoma" w:cs="Tahoma"/>
          <w:i/>
          <w:iCs/>
          <w:lang w:eastAsia="es-ES"/>
        </w:rPr>
        <w:t xml:space="preserve">ondenar en costas a la parte demanda </w:t>
      </w:r>
      <w:r w:rsidR="114C6691" w:rsidRPr="002B212E">
        <w:rPr>
          <w:rFonts w:ascii="Tahoma" w:eastAsia="Times New Roman" w:hAnsi="Tahoma" w:cs="Tahoma"/>
          <w:i/>
          <w:iCs/>
          <w:lang w:eastAsia="es-ES"/>
        </w:rPr>
        <w:t xml:space="preserve">y </w:t>
      </w:r>
      <w:r w:rsidRPr="002B212E">
        <w:rPr>
          <w:rFonts w:ascii="Tahoma" w:eastAsia="Times New Roman" w:hAnsi="Tahoma" w:cs="Tahoma"/>
          <w:i/>
          <w:iCs/>
          <w:lang w:eastAsia="es-ES"/>
        </w:rPr>
        <w:t>en favor del demandante</w:t>
      </w:r>
      <w:r w:rsidR="2BDB3AEB" w:rsidRPr="002B212E">
        <w:rPr>
          <w:rFonts w:ascii="Tahoma" w:eastAsia="Times New Roman" w:hAnsi="Tahoma" w:cs="Tahoma"/>
          <w:i/>
          <w:iCs/>
          <w:lang w:eastAsia="es-ES"/>
        </w:rPr>
        <w:t xml:space="preserve"> en un 50%.</w:t>
      </w:r>
    </w:p>
    <w:p w14:paraId="57E6F25C" w14:textId="77777777" w:rsidR="006E1F7C" w:rsidRPr="002B212E" w:rsidRDefault="006E1F7C" w:rsidP="002B212E">
      <w:pPr>
        <w:spacing w:line="276" w:lineRule="auto"/>
        <w:ind w:firstLine="708"/>
        <w:jc w:val="both"/>
        <w:rPr>
          <w:rFonts w:ascii="Tahoma" w:eastAsia="Times New Roman" w:hAnsi="Tahoma" w:cs="Tahoma"/>
          <w:b/>
          <w:bCs/>
          <w:i/>
          <w:iCs/>
          <w:lang w:eastAsia="es-ES"/>
        </w:rPr>
      </w:pPr>
    </w:p>
    <w:p w14:paraId="36E3A339" w14:textId="1DB431BF" w:rsidR="006E1F7C" w:rsidRPr="002B212E" w:rsidRDefault="006E1F7C" w:rsidP="002B212E">
      <w:pPr>
        <w:spacing w:line="276" w:lineRule="auto"/>
        <w:ind w:firstLine="708"/>
        <w:jc w:val="both"/>
        <w:rPr>
          <w:rFonts w:ascii="Tahoma" w:eastAsia="Times New Roman" w:hAnsi="Tahoma" w:cs="Tahoma"/>
          <w:b/>
          <w:bCs/>
          <w:iCs/>
          <w:lang w:eastAsia="es-ES"/>
        </w:rPr>
      </w:pPr>
      <w:r w:rsidRPr="002B212E">
        <w:rPr>
          <w:rFonts w:ascii="Tahoma" w:eastAsia="Times New Roman" w:hAnsi="Tahoma" w:cs="Tahoma"/>
          <w:b/>
          <w:bCs/>
          <w:iCs/>
          <w:lang w:eastAsia="es-ES"/>
        </w:rPr>
        <w:t>SEGUNDO: CONFIRMAR</w:t>
      </w:r>
      <w:r w:rsidRPr="002B212E">
        <w:rPr>
          <w:rFonts w:ascii="Tahoma" w:eastAsia="Times New Roman" w:hAnsi="Tahoma" w:cs="Tahoma"/>
          <w:iCs/>
          <w:lang w:eastAsia="es-ES"/>
        </w:rPr>
        <w:t xml:space="preserve"> en todo lo demás la sentencia objeto de recurso.</w:t>
      </w:r>
    </w:p>
    <w:p w14:paraId="24E5251C" w14:textId="05CD69E8" w:rsidR="006E1F7C" w:rsidRPr="002B212E" w:rsidRDefault="006E1F7C" w:rsidP="002B212E">
      <w:pPr>
        <w:spacing w:line="276" w:lineRule="auto"/>
        <w:ind w:firstLine="708"/>
        <w:jc w:val="both"/>
        <w:rPr>
          <w:rFonts w:ascii="Tahoma" w:eastAsia="Times New Roman" w:hAnsi="Tahoma" w:cs="Tahoma"/>
          <w:b/>
          <w:bCs/>
          <w:lang w:eastAsia="es-ES"/>
        </w:rPr>
      </w:pPr>
    </w:p>
    <w:p w14:paraId="3464AEBE" w14:textId="0A5914CE" w:rsidR="006E1F7C" w:rsidRPr="002B212E" w:rsidRDefault="006E1F7C" w:rsidP="002B212E">
      <w:pPr>
        <w:spacing w:line="276" w:lineRule="auto"/>
        <w:ind w:firstLine="708"/>
        <w:jc w:val="both"/>
        <w:rPr>
          <w:rFonts w:ascii="Tahoma" w:eastAsia="Times New Roman" w:hAnsi="Tahoma" w:cs="Tahoma"/>
          <w:b/>
          <w:bCs/>
          <w:lang w:eastAsia="es-ES"/>
        </w:rPr>
      </w:pPr>
      <w:r w:rsidRPr="002B212E">
        <w:rPr>
          <w:rFonts w:ascii="Tahoma" w:eastAsia="Times New Roman" w:hAnsi="Tahoma" w:cs="Tahoma"/>
          <w:b/>
          <w:bCs/>
          <w:lang w:eastAsia="es-ES"/>
        </w:rPr>
        <w:t>TERCERO</w:t>
      </w:r>
      <w:r w:rsidR="00EB700B" w:rsidRPr="002B212E">
        <w:rPr>
          <w:rFonts w:ascii="Tahoma" w:eastAsia="Times New Roman" w:hAnsi="Tahoma" w:cs="Tahoma"/>
          <w:b/>
          <w:bCs/>
          <w:lang w:eastAsia="es-ES"/>
        </w:rPr>
        <w:t xml:space="preserve">: </w:t>
      </w:r>
      <w:r w:rsidR="0056733C" w:rsidRPr="002B212E">
        <w:rPr>
          <w:rFonts w:ascii="Tahoma" w:eastAsia="Times New Roman" w:hAnsi="Tahoma" w:cs="Tahoma"/>
          <w:lang w:eastAsia="es-ES"/>
        </w:rPr>
        <w:t>Sin costas</w:t>
      </w:r>
      <w:r w:rsidR="0056733C" w:rsidRPr="002B212E">
        <w:rPr>
          <w:rFonts w:ascii="Tahoma" w:eastAsia="Times New Roman" w:hAnsi="Tahoma" w:cs="Tahoma"/>
          <w:b/>
          <w:bCs/>
          <w:lang w:eastAsia="es-ES"/>
        </w:rPr>
        <w:t xml:space="preserve"> </w:t>
      </w:r>
      <w:r w:rsidR="00EB700B" w:rsidRPr="002B212E">
        <w:rPr>
          <w:rFonts w:ascii="Tahoma" w:eastAsia="Times New Roman" w:hAnsi="Tahoma" w:cs="Tahoma"/>
          <w:lang w:eastAsia="es-ES"/>
        </w:rPr>
        <w:t>en esta instancia.</w:t>
      </w:r>
    </w:p>
    <w:p w14:paraId="0288BF3E" w14:textId="77777777" w:rsidR="002B212E" w:rsidRPr="002B212E" w:rsidRDefault="002B212E" w:rsidP="002B212E">
      <w:pPr>
        <w:spacing w:line="276" w:lineRule="auto"/>
        <w:jc w:val="both"/>
        <w:rPr>
          <w:rFonts w:ascii="Tahoma" w:eastAsia="Calibri" w:hAnsi="Tahoma" w:cs="Tahoma"/>
          <w:lang w:val="es-CO" w:eastAsia="en-US"/>
        </w:rPr>
      </w:pPr>
      <w:bookmarkStart w:id="15" w:name="_Hlk126574973"/>
    </w:p>
    <w:p w14:paraId="531D5A08" w14:textId="77777777" w:rsidR="002B212E" w:rsidRPr="002B212E" w:rsidRDefault="002B212E" w:rsidP="002B212E">
      <w:pPr>
        <w:spacing w:line="276" w:lineRule="auto"/>
        <w:jc w:val="center"/>
        <w:rPr>
          <w:rFonts w:ascii="Tahoma" w:eastAsia="Tahoma" w:hAnsi="Tahoma" w:cs="Tahoma"/>
          <w:b/>
          <w:bCs/>
          <w:lang w:val="es-CO" w:eastAsia="en-US"/>
        </w:rPr>
      </w:pPr>
      <w:r w:rsidRPr="002B212E">
        <w:rPr>
          <w:rFonts w:ascii="Tahoma" w:eastAsia="Tahoma" w:hAnsi="Tahoma" w:cs="Tahoma"/>
          <w:b/>
          <w:bCs/>
          <w:lang w:val="es-CO" w:eastAsia="en-US"/>
        </w:rPr>
        <w:t>NOTIFÍQUESE Y CÚMPLASE</w:t>
      </w:r>
    </w:p>
    <w:p w14:paraId="2813BAB4" w14:textId="77777777" w:rsidR="002B212E" w:rsidRPr="002B212E" w:rsidRDefault="002B212E" w:rsidP="002B212E">
      <w:pPr>
        <w:spacing w:line="276" w:lineRule="auto"/>
        <w:jc w:val="both"/>
        <w:rPr>
          <w:rFonts w:ascii="Tahoma" w:eastAsia="Calibri" w:hAnsi="Tahoma" w:cs="Tahoma"/>
          <w:lang w:val="es-CO" w:eastAsia="en-US"/>
        </w:rPr>
      </w:pPr>
      <w:r w:rsidRPr="002B212E">
        <w:rPr>
          <w:rFonts w:ascii="Tahoma" w:eastAsia="Calibri" w:hAnsi="Tahoma" w:cs="Tahoma"/>
          <w:lang w:val="es-CO" w:eastAsia="en-US"/>
        </w:rPr>
        <w:t xml:space="preserve"> </w:t>
      </w:r>
    </w:p>
    <w:p w14:paraId="17EE550C" w14:textId="77777777" w:rsidR="002B212E" w:rsidRPr="002B212E" w:rsidRDefault="002B212E" w:rsidP="002B212E">
      <w:pPr>
        <w:widowControl w:val="0"/>
        <w:autoSpaceDE w:val="0"/>
        <w:autoSpaceDN w:val="0"/>
        <w:adjustRightInd w:val="0"/>
        <w:spacing w:line="276" w:lineRule="auto"/>
        <w:jc w:val="both"/>
        <w:rPr>
          <w:rFonts w:ascii="Tahoma" w:eastAsia="Times New Roman" w:hAnsi="Tahoma" w:cs="Tahoma"/>
          <w:lang w:val="es-ES" w:eastAsia="es-ES"/>
        </w:rPr>
      </w:pPr>
      <w:r w:rsidRPr="002B212E">
        <w:rPr>
          <w:rFonts w:ascii="Tahoma" w:eastAsia="Times New Roman" w:hAnsi="Tahoma" w:cs="Tahoma"/>
          <w:lang w:val="es-ES" w:eastAsia="es-ES"/>
        </w:rPr>
        <w:tab/>
        <w:t>La Magistrada ponente,</w:t>
      </w:r>
    </w:p>
    <w:p w14:paraId="2D41760B" w14:textId="77777777" w:rsidR="002B212E" w:rsidRPr="002B212E" w:rsidRDefault="002B212E" w:rsidP="002B212E">
      <w:pPr>
        <w:spacing w:line="276" w:lineRule="auto"/>
        <w:rPr>
          <w:rFonts w:ascii="Tahoma" w:eastAsia="Times New Roman" w:hAnsi="Tahoma" w:cs="Tahoma"/>
          <w:lang w:val="es-ES" w:eastAsia="es-ES"/>
        </w:rPr>
      </w:pPr>
    </w:p>
    <w:p w14:paraId="435A3ED1" w14:textId="77777777" w:rsidR="002B212E" w:rsidRPr="002B212E" w:rsidRDefault="002B212E" w:rsidP="002B212E">
      <w:pPr>
        <w:spacing w:line="276" w:lineRule="auto"/>
        <w:rPr>
          <w:rFonts w:ascii="Tahoma" w:eastAsia="Times New Roman" w:hAnsi="Tahoma" w:cs="Tahoma"/>
          <w:lang w:val="es-ES" w:eastAsia="es-ES"/>
        </w:rPr>
      </w:pPr>
    </w:p>
    <w:p w14:paraId="7828A1F4" w14:textId="77777777" w:rsidR="002B212E" w:rsidRPr="002B212E" w:rsidRDefault="002B212E" w:rsidP="002B212E">
      <w:pPr>
        <w:spacing w:line="276" w:lineRule="auto"/>
        <w:rPr>
          <w:rFonts w:ascii="Tahoma" w:eastAsia="Times New Roman" w:hAnsi="Tahoma" w:cs="Tahoma"/>
          <w:lang w:val="es-ES" w:eastAsia="es-ES"/>
        </w:rPr>
      </w:pPr>
    </w:p>
    <w:p w14:paraId="49D9F92A" w14:textId="77777777" w:rsidR="002B212E" w:rsidRPr="002B212E" w:rsidRDefault="002B212E" w:rsidP="002B212E">
      <w:pPr>
        <w:keepNext/>
        <w:spacing w:line="276" w:lineRule="auto"/>
        <w:jc w:val="center"/>
        <w:outlineLvl w:val="2"/>
        <w:rPr>
          <w:rFonts w:ascii="Tahoma" w:eastAsia="Times New Roman" w:hAnsi="Tahoma" w:cs="Tahoma"/>
          <w:b/>
          <w:bCs/>
          <w:lang w:val="es-ES" w:eastAsia="es-ES"/>
        </w:rPr>
      </w:pPr>
      <w:r w:rsidRPr="002B212E">
        <w:rPr>
          <w:rFonts w:ascii="Tahoma" w:eastAsia="Times New Roman" w:hAnsi="Tahoma" w:cs="Tahoma"/>
          <w:b/>
          <w:bCs/>
          <w:lang w:val="es-ES" w:eastAsia="es-ES"/>
        </w:rPr>
        <w:t>ANA LUCÍA CAICEDO CALDERÓN</w:t>
      </w:r>
    </w:p>
    <w:p w14:paraId="4A388CE9" w14:textId="77777777" w:rsidR="002B212E" w:rsidRPr="002B212E" w:rsidRDefault="002B212E" w:rsidP="002B212E">
      <w:pPr>
        <w:spacing w:line="276" w:lineRule="auto"/>
        <w:rPr>
          <w:rFonts w:ascii="Tahoma" w:eastAsia="Times New Roman" w:hAnsi="Tahoma" w:cs="Tahoma"/>
          <w:lang w:val="es-ES" w:eastAsia="es-ES"/>
        </w:rPr>
      </w:pPr>
    </w:p>
    <w:p w14:paraId="76829983" w14:textId="77777777" w:rsidR="002B212E" w:rsidRPr="002B212E" w:rsidRDefault="002B212E" w:rsidP="002B212E">
      <w:pPr>
        <w:spacing w:line="276" w:lineRule="auto"/>
        <w:ind w:firstLine="708"/>
        <w:rPr>
          <w:rFonts w:ascii="Tahoma" w:eastAsia="Times New Roman" w:hAnsi="Tahoma" w:cs="Tahoma"/>
          <w:lang w:val="es-ES" w:eastAsia="es-ES"/>
        </w:rPr>
      </w:pPr>
      <w:bookmarkStart w:id="16" w:name="_Hlk62478330"/>
      <w:r w:rsidRPr="002B212E">
        <w:rPr>
          <w:rFonts w:ascii="Tahoma" w:eastAsia="Times New Roman" w:hAnsi="Tahoma" w:cs="Tahoma"/>
          <w:lang w:val="es-ES" w:eastAsia="es-ES"/>
        </w:rPr>
        <w:t>La Magistrada y el Magistrado,</w:t>
      </w:r>
    </w:p>
    <w:p w14:paraId="0B4832C0" w14:textId="77777777" w:rsidR="002B212E" w:rsidRPr="002B212E" w:rsidRDefault="002B212E" w:rsidP="002B212E">
      <w:pPr>
        <w:spacing w:line="276" w:lineRule="auto"/>
        <w:rPr>
          <w:rFonts w:ascii="Tahoma" w:eastAsia="Times New Roman" w:hAnsi="Tahoma" w:cs="Tahoma"/>
          <w:lang w:val="es-ES" w:eastAsia="es-ES"/>
        </w:rPr>
      </w:pPr>
    </w:p>
    <w:p w14:paraId="6BCFA279" w14:textId="77777777" w:rsidR="002B212E" w:rsidRPr="002B212E" w:rsidRDefault="002B212E" w:rsidP="002B212E">
      <w:pPr>
        <w:spacing w:line="276" w:lineRule="auto"/>
        <w:rPr>
          <w:rFonts w:ascii="Tahoma" w:eastAsia="Times New Roman" w:hAnsi="Tahoma" w:cs="Tahoma"/>
          <w:lang w:val="es-ES" w:eastAsia="es-ES"/>
        </w:rPr>
      </w:pPr>
    </w:p>
    <w:p w14:paraId="1798FB0A" w14:textId="77777777" w:rsidR="002B212E" w:rsidRPr="002B212E" w:rsidRDefault="002B212E" w:rsidP="002B212E">
      <w:pPr>
        <w:spacing w:line="276" w:lineRule="auto"/>
        <w:rPr>
          <w:rFonts w:ascii="Tahoma" w:eastAsia="Times New Roman" w:hAnsi="Tahoma" w:cs="Tahoma"/>
          <w:lang w:val="es-ES" w:eastAsia="es-ES"/>
        </w:rPr>
      </w:pPr>
    </w:p>
    <w:p w14:paraId="089DBC93" w14:textId="567F337E" w:rsidR="00141D8B" w:rsidRDefault="002B212E" w:rsidP="002B212E">
      <w:pPr>
        <w:spacing w:line="276" w:lineRule="auto"/>
        <w:jc w:val="both"/>
        <w:rPr>
          <w:rFonts w:ascii="Tahoma" w:eastAsia="Times New Roman" w:hAnsi="Tahoma" w:cs="Tahoma"/>
          <w:b/>
          <w:bCs/>
          <w:lang w:val="es-ES" w:eastAsia="es-ES"/>
        </w:rPr>
      </w:pPr>
      <w:r w:rsidRPr="002B212E">
        <w:rPr>
          <w:rFonts w:ascii="Tahoma" w:eastAsia="Times New Roman" w:hAnsi="Tahoma" w:cs="Tahoma"/>
          <w:b/>
          <w:bCs/>
          <w:lang w:val="es-ES" w:eastAsia="es-ES"/>
        </w:rPr>
        <w:t>OLGA LUCÍA HOYOS SEPÚLVEDA</w:t>
      </w:r>
      <w:r w:rsidRPr="002B212E">
        <w:rPr>
          <w:rFonts w:ascii="Tahoma" w:eastAsia="Times New Roman" w:hAnsi="Tahoma" w:cs="Tahoma"/>
          <w:b/>
          <w:bCs/>
          <w:lang w:val="es-ES" w:eastAsia="es-ES"/>
        </w:rPr>
        <w:tab/>
      </w:r>
      <w:r w:rsidRPr="002B212E">
        <w:rPr>
          <w:rFonts w:ascii="Tahoma" w:eastAsia="Times New Roman" w:hAnsi="Tahoma" w:cs="Tahoma"/>
          <w:b/>
          <w:bCs/>
          <w:lang w:val="es-ES" w:eastAsia="es-ES"/>
        </w:rPr>
        <w:tab/>
        <w:t>GERMÁN DARÍO GÓEZ VINASCO</w:t>
      </w:r>
      <w:bookmarkEnd w:id="15"/>
      <w:bookmarkEnd w:id="16"/>
    </w:p>
    <w:p w14:paraId="68E742FC" w14:textId="2BFF5282" w:rsidR="002D2FC7" w:rsidRPr="002D2FC7" w:rsidRDefault="002D2FC7" w:rsidP="002B212E">
      <w:pPr>
        <w:spacing w:line="276" w:lineRule="auto"/>
        <w:jc w:val="both"/>
        <w:rPr>
          <w:rFonts w:ascii="Tahoma" w:eastAsia="Calibri" w:hAnsi="Tahoma" w:cs="Tahoma"/>
          <w:lang w:val="es-ES" w:eastAsia="en-US"/>
        </w:rPr>
      </w:pPr>
      <w:r w:rsidRPr="002D2FC7">
        <w:rPr>
          <w:rFonts w:ascii="Tahoma" w:eastAsia="Calibri" w:hAnsi="Tahoma" w:cs="Tahoma"/>
          <w:lang w:val="es-ES" w:eastAsia="en-US"/>
        </w:rPr>
        <w:t>Aclaración de voto</w:t>
      </w:r>
    </w:p>
    <w:sectPr w:rsidR="002D2FC7" w:rsidRPr="002D2FC7" w:rsidSect="00EE5F7C">
      <w:headerReference w:type="default" r:id="rId11"/>
      <w:footerReference w:type="default" r:id="rId12"/>
      <w:headerReference w:type="first" r:id="rId13"/>
      <w:footerReference w:type="firs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B0A36B" w16cex:dateUtc="2023-04-27T21:37:43.708Z"/>
  <w16cex:commentExtensible w16cex:durableId="30655EF5" w16cex:dateUtc="2023-05-04T14:24:05.775Z"/>
  <w16cex:commentExtensible w16cex:durableId="04921B1A" w16cex:dateUtc="2023-05-04T14:36:48.961Z"/>
  <w16cex:commentExtensible w16cex:durableId="77D4937D" w16cex:dateUtc="2023-05-04T14:44:35.481Z"/>
  <w16cex:commentExtensible w16cex:durableId="578A9C89" w16cex:dateUtc="2023-05-04T15:04:29.249Z"/>
  <w16cex:commentExtensible w16cex:durableId="22D8C5FB" w16cex:dateUtc="2023-05-04T15:50:05.068Z"/>
  <w16cex:commentExtensible w16cex:durableId="4E5C275C" w16cex:dateUtc="2023-05-05T13:38:13.12Z"/>
  <w16cex:commentExtensible w16cex:durableId="6FCBC583" w16cex:dateUtc="2023-05-05T13:54:14.296Z"/>
  <w16cex:commentExtensible w16cex:durableId="50A4FCD5" w16cex:dateUtc="2023-05-05T13:54:59.092Z"/>
  <w16cex:commentExtensible w16cex:durableId="39AA5B74" w16cex:dateUtc="2023-05-05T13:56:24.702Z"/>
  <w16cex:commentExtensible w16cex:durableId="65BC63D3" w16cex:dateUtc="2023-05-05T13:56:28.615Z"/>
  <w16cex:commentExtensible w16cex:durableId="6C95190B" w16cex:dateUtc="2023-05-05T14:30:46.559Z"/>
  <w16cex:commentExtensible w16cex:durableId="588E9501" w16cex:dateUtc="2023-05-05T14:37:21.013Z"/>
  <w16cex:commentExtensible w16cex:durableId="399B49FF" w16cex:dateUtc="2023-05-05T14:37:39.58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4A1BC" w14:textId="77777777" w:rsidR="00834C6B" w:rsidRDefault="00834C6B" w:rsidP="0014081C">
      <w:r>
        <w:separator/>
      </w:r>
    </w:p>
  </w:endnote>
  <w:endnote w:type="continuationSeparator" w:id="0">
    <w:p w14:paraId="6A473EAA" w14:textId="77777777" w:rsidR="00834C6B" w:rsidRDefault="00834C6B" w:rsidP="0014081C">
      <w:r>
        <w:continuationSeparator/>
      </w:r>
    </w:p>
  </w:endnote>
  <w:endnote w:type="continuationNotice" w:id="1">
    <w:p w14:paraId="76F4BEC8" w14:textId="77777777" w:rsidR="00834C6B" w:rsidRDefault="00834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04C0430" w14:paraId="6968C6A9" w14:textId="77777777" w:rsidTr="466A2A87">
      <w:trPr>
        <w:trHeight w:val="300"/>
      </w:trPr>
      <w:tc>
        <w:tcPr>
          <w:tcW w:w="2945" w:type="dxa"/>
        </w:tcPr>
        <w:p w14:paraId="086DF1A1" w14:textId="57A83E6D" w:rsidR="004C0430" w:rsidRDefault="004C0430" w:rsidP="466A2A87">
          <w:pPr>
            <w:pStyle w:val="Encabezado"/>
            <w:ind w:left="-115"/>
            <w:jc w:val="left"/>
          </w:pPr>
        </w:p>
      </w:tc>
      <w:tc>
        <w:tcPr>
          <w:tcW w:w="2945" w:type="dxa"/>
        </w:tcPr>
        <w:p w14:paraId="781CA1BE" w14:textId="44CEA098" w:rsidR="004C0430" w:rsidRDefault="004C0430" w:rsidP="466A2A87">
          <w:pPr>
            <w:pStyle w:val="Encabezado"/>
            <w:jc w:val="center"/>
          </w:pPr>
        </w:p>
      </w:tc>
      <w:tc>
        <w:tcPr>
          <w:tcW w:w="2945" w:type="dxa"/>
        </w:tcPr>
        <w:p w14:paraId="3EC07E51" w14:textId="2AB0718E" w:rsidR="004C0430" w:rsidRDefault="004C0430" w:rsidP="466A2A87">
          <w:pPr>
            <w:pStyle w:val="Encabezado"/>
            <w:ind w:right="-115"/>
            <w:jc w:val="right"/>
          </w:pPr>
        </w:p>
      </w:tc>
    </w:tr>
  </w:tbl>
  <w:p w14:paraId="26F1E973" w14:textId="5C41A49F" w:rsidR="004C0430" w:rsidRDefault="004C0430" w:rsidP="466A2A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04C0430" w14:paraId="5805FC7C" w14:textId="77777777" w:rsidTr="466A2A87">
      <w:trPr>
        <w:trHeight w:val="300"/>
      </w:trPr>
      <w:tc>
        <w:tcPr>
          <w:tcW w:w="2945" w:type="dxa"/>
        </w:tcPr>
        <w:p w14:paraId="72E8A530" w14:textId="32AA3D31" w:rsidR="004C0430" w:rsidRDefault="004C0430" w:rsidP="466A2A87">
          <w:pPr>
            <w:pStyle w:val="Encabezado"/>
            <w:ind w:left="-115"/>
            <w:jc w:val="left"/>
          </w:pPr>
        </w:p>
      </w:tc>
      <w:tc>
        <w:tcPr>
          <w:tcW w:w="2945" w:type="dxa"/>
        </w:tcPr>
        <w:p w14:paraId="42656690" w14:textId="37267885" w:rsidR="004C0430" w:rsidRDefault="004C0430" w:rsidP="466A2A87">
          <w:pPr>
            <w:pStyle w:val="Encabezado"/>
            <w:jc w:val="center"/>
          </w:pPr>
        </w:p>
      </w:tc>
      <w:tc>
        <w:tcPr>
          <w:tcW w:w="2945" w:type="dxa"/>
        </w:tcPr>
        <w:p w14:paraId="730B67CB" w14:textId="56F52209" w:rsidR="004C0430" w:rsidRDefault="004C0430" w:rsidP="466A2A87">
          <w:pPr>
            <w:pStyle w:val="Encabezado"/>
            <w:ind w:right="-115"/>
            <w:jc w:val="right"/>
          </w:pPr>
        </w:p>
      </w:tc>
    </w:tr>
  </w:tbl>
  <w:p w14:paraId="062E3241" w14:textId="0386FBEB" w:rsidR="004C0430" w:rsidRDefault="004C0430" w:rsidP="466A2A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C9696" w14:textId="77777777" w:rsidR="00834C6B" w:rsidRDefault="00834C6B" w:rsidP="0014081C">
      <w:r>
        <w:separator/>
      </w:r>
    </w:p>
  </w:footnote>
  <w:footnote w:type="continuationSeparator" w:id="0">
    <w:p w14:paraId="07AFB88E" w14:textId="77777777" w:rsidR="00834C6B" w:rsidRDefault="00834C6B" w:rsidP="0014081C">
      <w:r>
        <w:continuationSeparator/>
      </w:r>
    </w:p>
  </w:footnote>
  <w:footnote w:type="continuationNotice" w:id="1">
    <w:p w14:paraId="1083DB71" w14:textId="77777777" w:rsidR="00834C6B" w:rsidRDefault="00834C6B"/>
  </w:footnote>
  <w:footnote w:id="2">
    <w:p w14:paraId="79F89875" w14:textId="4557E9E3" w:rsidR="004C0430" w:rsidRPr="001773E3" w:rsidRDefault="004C0430" w:rsidP="001773E3">
      <w:pPr>
        <w:pStyle w:val="Textonotapie"/>
        <w:ind w:firstLine="0"/>
        <w:rPr>
          <w:rFonts w:ascii="Arial" w:hAnsi="Arial" w:cs="Arial"/>
        </w:rPr>
      </w:pPr>
      <w:r w:rsidRPr="001773E3">
        <w:rPr>
          <w:rStyle w:val="Refdenotaalpie"/>
          <w:rFonts w:ascii="Arial" w:hAnsi="Arial" w:cs="Arial"/>
          <w:sz w:val="18"/>
        </w:rPr>
        <w:footnoteRef/>
      </w:r>
      <w:r w:rsidRPr="001773E3">
        <w:rPr>
          <w:rFonts w:ascii="Arial" w:hAnsi="Arial" w:cs="Arial"/>
          <w:sz w:val="18"/>
        </w:rPr>
        <w:t xml:space="preserve"> Por la cual casó la sentencia proferida por el Tribunal Superior de Pereira el 1º de octubre de 2009, y confirmó la sentencia dictada el 12 de mayo de 2009, por el Juzgado Primero Laboral de la misma ciudad.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6E069" w14:textId="4C987E14" w:rsidR="004C0430" w:rsidRPr="00DB21F5" w:rsidRDefault="004C0430" w:rsidP="00DB21F5">
    <w:pPr>
      <w:pStyle w:val="Encabezado"/>
      <w:tabs>
        <w:tab w:val="clear" w:pos="4419"/>
        <w:tab w:val="clear" w:pos="8838"/>
      </w:tabs>
      <w:rPr>
        <w:rFonts w:ascii="Arial" w:eastAsia="Times New Roman" w:hAnsi="Arial" w:cs="Arial"/>
        <w:color w:val="000000"/>
        <w:sz w:val="18"/>
        <w:szCs w:val="18"/>
        <w:lang w:val="es-CO"/>
      </w:rPr>
    </w:pPr>
    <w:r w:rsidRPr="00DB21F5">
      <w:rPr>
        <w:rFonts w:ascii="Arial" w:eastAsia="Times New Roman" w:hAnsi="Arial" w:cs="Arial"/>
        <w:color w:val="000000"/>
        <w:sz w:val="18"/>
        <w:szCs w:val="18"/>
        <w:lang w:val="es-CO"/>
      </w:rPr>
      <w:t>Radicación No.:</w:t>
    </w:r>
    <w:r w:rsidR="00DB21F5">
      <w:rPr>
        <w:rFonts w:ascii="Arial" w:eastAsia="Times New Roman" w:hAnsi="Arial" w:cs="Arial"/>
        <w:color w:val="000000"/>
        <w:sz w:val="18"/>
        <w:szCs w:val="18"/>
        <w:lang w:val="es-CO"/>
      </w:rPr>
      <w:tab/>
    </w:r>
    <w:r w:rsidRPr="00DB21F5">
      <w:rPr>
        <w:rFonts w:ascii="Arial" w:eastAsia="Times New Roman" w:hAnsi="Arial" w:cs="Arial"/>
        <w:color w:val="000000"/>
        <w:sz w:val="18"/>
        <w:szCs w:val="18"/>
        <w:lang w:val="es-CO"/>
      </w:rPr>
      <w:t>66170-31-05-001-2019-00007-02</w:t>
    </w:r>
  </w:p>
  <w:p w14:paraId="6311FED3" w14:textId="082519D1" w:rsidR="004C0430" w:rsidRPr="00DB21F5" w:rsidRDefault="004C0430" w:rsidP="00DB21F5">
    <w:pPr>
      <w:pStyle w:val="Encabezado"/>
      <w:tabs>
        <w:tab w:val="clear" w:pos="4419"/>
        <w:tab w:val="clear" w:pos="8838"/>
      </w:tabs>
      <w:rPr>
        <w:rFonts w:ascii="Arial" w:eastAsia="Times New Roman" w:hAnsi="Arial" w:cs="Arial"/>
        <w:color w:val="000000"/>
        <w:sz w:val="18"/>
        <w:szCs w:val="18"/>
        <w:lang w:val="es-CO"/>
      </w:rPr>
    </w:pPr>
    <w:r w:rsidRPr="00DB21F5">
      <w:rPr>
        <w:rFonts w:ascii="Arial" w:eastAsia="Times New Roman" w:hAnsi="Arial" w:cs="Arial"/>
        <w:color w:val="000000"/>
        <w:sz w:val="18"/>
        <w:szCs w:val="18"/>
        <w:lang w:val="es-CO"/>
      </w:rPr>
      <w:t>Demandante:</w:t>
    </w:r>
    <w:r w:rsidR="00DB21F5">
      <w:rPr>
        <w:rFonts w:ascii="Arial" w:eastAsia="Times New Roman" w:hAnsi="Arial" w:cs="Arial"/>
        <w:color w:val="000000"/>
        <w:sz w:val="18"/>
        <w:szCs w:val="18"/>
        <w:lang w:val="es-CO"/>
      </w:rPr>
      <w:tab/>
    </w:r>
    <w:r w:rsidRPr="00DB21F5">
      <w:rPr>
        <w:rFonts w:ascii="Arial" w:eastAsia="Times New Roman" w:hAnsi="Arial" w:cs="Arial"/>
        <w:color w:val="000000"/>
        <w:sz w:val="18"/>
        <w:szCs w:val="18"/>
        <w:lang w:val="es-CO"/>
      </w:rPr>
      <w:t>Edwin García Arango</w:t>
    </w:r>
  </w:p>
  <w:p w14:paraId="18502FA4" w14:textId="71AD1BC0" w:rsidR="004C0430" w:rsidRPr="00DB21F5" w:rsidRDefault="004C0430" w:rsidP="00DB21F5">
    <w:pPr>
      <w:pStyle w:val="Encabezado"/>
      <w:tabs>
        <w:tab w:val="clear" w:pos="4419"/>
        <w:tab w:val="clear" w:pos="8838"/>
      </w:tabs>
      <w:rPr>
        <w:rFonts w:ascii="Arial" w:eastAsia="Times New Roman" w:hAnsi="Arial" w:cs="Arial"/>
        <w:color w:val="000000"/>
        <w:sz w:val="18"/>
        <w:szCs w:val="18"/>
        <w:lang w:val="es-CO"/>
      </w:rPr>
    </w:pPr>
    <w:r w:rsidRPr="00DB21F5">
      <w:rPr>
        <w:rFonts w:ascii="Arial" w:eastAsia="Times New Roman" w:hAnsi="Arial" w:cs="Arial"/>
        <w:color w:val="000000"/>
        <w:sz w:val="18"/>
        <w:szCs w:val="18"/>
        <w:lang w:val="es-CO"/>
      </w:rPr>
      <w:t>Demandado:</w:t>
    </w:r>
    <w:r w:rsidR="00DB21F5">
      <w:rPr>
        <w:rFonts w:ascii="Arial" w:eastAsia="Times New Roman" w:hAnsi="Arial" w:cs="Arial"/>
        <w:color w:val="000000"/>
        <w:sz w:val="18"/>
        <w:szCs w:val="18"/>
        <w:lang w:val="es-CO"/>
      </w:rPr>
      <w:tab/>
    </w:r>
    <w:r w:rsidRPr="00DB21F5">
      <w:rPr>
        <w:rFonts w:ascii="Arial" w:eastAsia="Times New Roman" w:hAnsi="Arial" w:cs="Arial"/>
        <w:color w:val="000000"/>
        <w:sz w:val="18"/>
        <w:szCs w:val="18"/>
        <w:lang w:val="es-CO"/>
      </w:rPr>
      <w:t xml:space="preserve">Huawei </w:t>
    </w:r>
    <w:proofErr w:type="spellStart"/>
    <w:r w:rsidRPr="00DB21F5">
      <w:rPr>
        <w:rFonts w:ascii="Arial" w:eastAsia="Times New Roman" w:hAnsi="Arial" w:cs="Arial"/>
        <w:color w:val="000000"/>
        <w:sz w:val="18"/>
        <w:szCs w:val="18"/>
        <w:lang w:val="es-CO"/>
      </w:rPr>
      <w:t>Technologie</w:t>
    </w:r>
    <w:proofErr w:type="spellEnd"/>
    <w:r w:rsidRPr="00DB21F5">
      <w:rPr>
        <w:rFonts w:ascii="Arial" w:eastAsia="Times New Roman" w:hAnsi="Arial" w:cs="Arial"/>
        <w:color w:val="000000"/>
        <w:sz w:val="18"/>
        <w:szCs w:val="18"/>
        <w:lang w:val="es-CO"/>
      </w:rPr>
      <w:t xml:space="preserve"> </w:t>
    </w:r>
    <w:proofErr w:type="spellStart"/>
    <w:r w:rsidRPr="00DB21F5">
      <w:rPr>
        <w:rFonts w:ascii="Arial" w:eastAsia="Times New Roman" w:hAnsi="Arial" w:cs="Arial"/>
        <w:color w:val="000000"/>
        <w:sz w:val="18"/>
        <w:szCs w:val="18"/>
        <w:lang w:val="es-CO"/>
      </w:rPr>
      <w:t>Managed</w:t>
    </w:r>
    <w:proofErr w:type="spellEnd"/>
    <w:r w:rsidRPr="00DB21F5">
      <w:rPr>
        <w:rFonts w:ascii="Arial" w:eastAsia="Times New Roman" w:hAnsi="Arial" w:cs="Arial"/>
        <w:color w:val="000000"/>
        <w:sz w:val="18"/>
        <w:szCs w:val="18"/>
        <w:lang w:val="es-CO"/>
      </w:rPr>
      <w:t xml:space="preserve"> </w:t>
    </w:r>
    <w:proofErr w:type="spellStart"/>
    <w:r w:rsidRPr="00DB21F5">
      <w:rPr>
        <w:rFonts w:ascii="Arial" w:eastAsia="Times New Roman" w:hAnsi="Arial" w:cs="Arial"/>
        <w:color w:val="000000"/>
        <w:sz w:val="18"/>
        <w:szCs w:val="18"/>
        <w:lang w:val="es-CO"/>
      </w:rPr>
      <w:t>Service</w:t>
    </w:r>
    <w:proofErr w:type="spellEnd"/>
    <w:r w:rsidRPr="00DB21F5">
      <w:rPr>
        <w:rFonts w:ascii="Arial" w:eastAsia="Times New Roman" w:hAnsi="Arial" w:cs="Arial"/>
        <w:color w:val="000000"/>
        <w:sz w:val="18"/>
        <w:szCs w:val="18"/>
        <w:lang w:val="es-CO"/>
      </w:rPr>
      <w:t xml:space="preserve"> Colombia S.A.S.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04C0430" w14:paraId="35C21CDA" w14:textId="77777777" w:rsidTr="466A2A87">
      <w:trPr>
        <w:trHeight w:val="300"/>
      </w:trPr>
      <w:tc>
        <w:tcPr>
          <w:tcW w:w="2945" w:type="dxa"/>
        </w:tcPr>
        <w:p w14:paraId="2CA78AC1" w14:textId="33A4DC56" w:rsidR="004C0430" w:rsidRDefault="004C0430" w:rsidP="466A2A87">
          <w:pPr>
            <w:pStyle w:val="Encabezado"/>
            <w:ind w:left="-115"/>
            <w:jc w:val="left"/>
          </w:pPr>
        </w:p>
      </w:tc>
      <w:tc>
        <w:tcPr>
          <w:tcW w:w="2945" w:type="dxa"/>
        </w:tcPr>
        <w:p w14:paraId="19FF1F31" w14:textId="2D24547C" w:rsidR="004C0430" w:rsidRDefault="004C0430" w:rsidP="466A2A87">
          <w:pPr>
            <w:pStyle w:val="Encabezado"/>
            <w:jc w:val="center"/>
          </w:pPr>
        </w:p>
      </w:tc>
      <w:tc>
        <w:tcPr>
          <w:tcW w:w="2945" w:type="dxa"/>
        </w:tcPr>
        <w:p w14:paraId="0F3B6CC0" w14:textId="694EE937" w:rsidR="004C0430" w:rsidRDefault="004C0430" w:rsidP="466A2A87">
          <w:pPr>
            <w:pStyle w:val="Encabezado"/>
            <w:ind w:right="-115"/>
            <w:jc w:val="right"/>
          </w:pPr>
        </w:p>
      </w:tc>
    </w:tr>
  </w:tbl>
  <w:p w14:paraId="67897711" w14:textId="54CD2F6C" w:rsidR="004C0430" w:rsidRDefault="004C0430" w:rsidP="466A2A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9276F"/>
    <w:multiLevelType w:val="multilevel"/>
    <w:tmpl w:val="F3440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0641D9"/>
    <w:multiLevelType w:val="hybridMultilevel"/>
    <w:tmpl w:val="5F28208C"/>
    <w:lvl w:ilvl="0" w:tplc="16B0CD2A">
      <w:start w:val="3"/>
      <w:numFmt w:val="decimal"/>
      <w:lvlText w:val="%1."/>
      <w:lvlJc w:val="left"/>
      <w:pPr>
        <w:ind w:left="720" w:hanging="360"/>
      </w:pPr>
      <w:rPr>
        <w:rFonts w:eastAsia="Times New Roman"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2B5BC6"/>
    <w:multiLevelType w:val="hybridMultilevel"/>
    <w:tmpl w:val="CC347C9C"/>
    <w:lvl w:ilvl="0" w:tplc="798A490C">
      <w:start w:val="4"/>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3C927ACE"/>
    <w:multiLevelType w:val="multilevel"/>
    <w:tmpl w:val="3D425A04"/>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15:restartNumberingAfterBreak="0">
    <w:nsid w:val="3EC1BA5A"/>
    <w:multiLevelType w:val="hybridMultilevel"/>
    <w:tmpl w:val="0A2A6C34"/>
    <w:lvl w:ilvl="0" w:tplc="6C86EF5A">
      <w:start w:val="1"/>
      <w:numFmt w:val="bullet"/>
      <w:lvlText w:val=""/>
      <w:lvlJc w:val="left"/>
      <w:pPr>
        <w:ind w:left="720" w:hanging="360"/>
      </w:pPr>
      <w:rPr>
        <w:rFonts w:ascii="Symbol" w:hAnsi="Symbol" w:hint="default"/>
      </w:rPr>
    </w:lvl>
    <w:lvl w:ilvl="1" w:tplc="19DA232C">
      <w:start w:val="1"/>
      <w:numFmt w:val="bullet"/>
      <w:lvlText w:val="o"/>
      <w:lvlJc w:val="left"/>
      <w:pPr>
        <w:ind w:left="1440" w:hanging="360"/>
      </w:pPr>
      <w:rPr>
        <w:rFonts w:ascii="Courier New" w:hAnsi="Courier New" w:hint="default"/>
      </w:rPr>
    </w:lvl>
    <w:lvl w:ilvl="2" w:tplc="B644C908">
      <w:start w:val="1"/>
      <w:numFmt w:val="bullet"/>
      <w:lvlText w:val=""/>
      <w:lvlJc w:val="left"/>
      <w:pPr>
        <w:ind w:left="2160" w:hanging="360"/>
      </w:pPr>
      <w:rPr>
        <w:rFonts w:ascii="Wingdings" w:hAnsi="Wingdings" w:hint="default"/>
      </w:rPr>
    </w:lvl>
    <w:lvl w:ilvl="3" w:tplc="BF84A706">
      <w:start w:val="1"/>
      <w:numFmt w:val="bullet"/>
      <w:lvlText w:val=""/>
      <w:lvlJc w:val="left"/>
      <w:pPr>
        <w:ind w:left="2880" w:hanging="360"/>
      </w:pPr>
      <w:rPr>
        <w:rFonts w:ascii="Symbol" w:hAnsi="Symbol" w:hint="default"/>
      </w:rPr>
    </w:lvl>
    <w:lvl w:ilvl="4" w:tplc="42621F58">
      <w:start w:val="1"/>
      <w:numFmt w:val="bullet"/>
      <w:lvlText w:val="o"/>
      <w:lvlJc w:val="left"/>
      <w:pPr>
        <w:ind w:left="3600" w:hanging="360"/>
      </w:pPr>
      <w:rPr>
        <w:rFonts w:ascii="Courier New" w:hAnsi="Courier New" w:hint="default"/>
      </w:rPr>
    </w:lvl>
    <w:lvl w:ilvl="5" w:tplc="BFEE87E4">
      <w:start w:val="1"/>
      <w:numFmt w:val="bullet"/>
      <w:lvlText w:val=""/>
      <w:lvlJc w:val="left"/>
      <w:pPr>
        <w:ind w:left="4320" w:hanging="360"/>
      </w:pPr>
      <w:rPr>
        <w:rFonts w:ascii="Wingdings" w:hAnsi="Wingdings" w:hint="default"/>
      </w:rPr>
    </w:lvl>
    <w:lvl w:ilvl="6" w:tplc="C7188D6C">
      <w:start w:val="1"/>
      <w:numFmt w:val="bullet"/>
      <w:lvlText w:val=""/>
      <w:lvlJc w:val="left"/>
      <w:pPr>
        <w:ind w:left="5040" w:hanging="360"/>
      </w:pPr>
      <w:rPr>
        <w:rFonts w:ascii="Symbol" w:hAnsi="Symbol" w:hint="default"/>
      </w:rPr>
    </w:lvl>
    <w:lvl w:ilvl="7" w:tplc="114031FA">
      <w:start w:val="1"/>
      <w:numFmt w:val="bullet"/>
      <w:lvlText w:val="o"/>
      <w:lvlJc w:val="left"/>
      <w:pPr>
        <w:ind w:left="5760" w:hanging="360"/>
      </w:pPr>
      <w:rPr>
        <w:rFonts w:ascii="Courier New" w:hAnsi="Courier New" w:hint="default"/>
      </w:rPr>
    </w:lvl>
    <w:lvl w:ilvl="8" w:tplc="A5C06302">
      <w:start w:val="1"/>
      <w:numFmt w:val="bullet"/>
      <w:lvlText w:val=""/>
      <w:lvlJc w:val="left"/>
      <w:pPr>
        <w:ind w:left="6480" w:hanging="360"/>
      </w:pPr>
      <w:rPr>
        <w:rFonts w:ascii="Wingdings" w:hAnsi="Wingdings" w:hint="default"/>
      </w:rPr>
    </w:lvl>
  </w:abstractNum>
  <w:abstractNum w:abstractNumId="5" w15:restartNumberingAfterBreak="0">
    <w:nsid w:val="441A659E"/>
    <w:multiLevelType w:val="multilevel"/>
    <w:tmpl w:val="3D425A04"/>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44510C44"/>
    <w:multiLevelType w:val="hybridMultilevel"/>
    <w:tmpl w:val="544A2EB8"/>
    <w:lvl w:ilvl="0" w:tplc="9F749D9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448D2418"/>
    <w:multiLevelType w:val="hybridMultilevel"/>
    <w:tmpl w:val="F74267F0"/>
    <w:lvl w:ilvl="0" w:tplc="EE7A5DF4">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47F00465"/>
    <w:multiLevelType w:val="multilevel"/>
    <w:tmpl w:val="9776FE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6177A2"/>
    <w:multiLevelType w:val="hybridMultilevel"/>
    <w:tmpl w:val="9DD212D6"/>
    <w:lvl w:ilvl="0" w:tplc="80D4C3D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58D23BE3"/>
    <w:multiLevelType w:val="hybridMultilevel"/>
    <w:tmpl w:val="4A561BD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5D9C72A1"/>
    <w:multiLevelType w:val="hybridMultilevel"/>
    <w:tmpl w:val="4E30EB90"/>
    <w:lvl w:ilvl="0" w:tplc="1E981E8C">
      <w:start w:val="1"/>
      <w:numFmt w:val="lowerLetter"/>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2" w15:restartNumberingAfterBreak="0">
    <w:nsid w:val="5F7D78A4"/>
    <w:multiLevelType w:val="hybridMultilevel"/>
    <w:tmpl w:val="3EC2040A"/>
    <w:lvl w:ilvl="0" w:tplc="AC6073FE">
      <w:start w:val="2"/>
      <w:numFmt w:val="bullet"/>
      <w:lvlText w:val="-"/>
      <w:lvlJc w:val="left"/>
      <w:pPr>
        <w:ind w:left="1069" w:hanging="360"/>
      </w:pPr>
      <w:rPr>
        <w:rFonts w:ascii="Tahoma" w:eastAsia="Times New Roman" w:hAnsi="Tahoma" w:cs="Tahoma"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3" w15:restartNumberingAfterBreak="0">
    <w:nsid w:val="61AB2810"/>
    <w:multiLevelType w:val="multilevel"/>
    <w:tmpl w:val="6448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7F72B4"/>
    <w:multiLevelType w:val="hybridMultilevel"/>
    <w:tmpl w:val="D77C5BC6"/>
    <w:lvl w:ilvl="0" w:tplc="380A35EA">
      <w:start w:val="1"/>
      <w:numFmt w:val="lowerLetter"/>
      <w:lvlText w:val="%1)"/>
      <w:lvlJc w:val="left"/>
      <w:pPr>
        <w:ind w:left="720" w:hanging="360"/>
      </w:pPr>
      <w:rPr>
        <w:rFonts w:eastAsia="Times New Roman"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36249AB"/>
    <w:multiLevelType w:val="multilevel"/>
    <w:tmpl w:val="BB7AE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17" w15:restartNumberingAfterBreak="0">
    <w:nsid w:val="7FCF779A"/>
    <w:multiLevelType w:val="multilevel"/>
    <w:tmpl w:val="25B4D8E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5"/>
    <w:lvlOverride w:ilvl="0">
      <w:lvl w:ilvl="0">
        <w:numFmt w:val="decimal"/>
        <w:lvlText w:val="%1."/>
        <w:lvlJc w:val="left"/>
      </w:lvl>
    </w:lvlOverride>
  </w:num>
  <w:num w:numId="3">
    <w:abstractNumId w:val="1"/>
  </w:num>
  <w:num w:numId="4">
    <w:abstractNumId w:val="10"/>
  </w:num>
  <w:num w:numId="5">
    <w:abstractNumId w:val="0"/>
    <w:lvlOverride w:ilvl="0">
      <w:lvl w:ilvl="0">
        <w:numFmt w:val="lowerLetter"/>
        <w:lvlText w:val="%1."/>
        <w:lvlJc w:val="left"/>
      </w:lvl>
    </w:lvlOverride>
  </w:num>
  <w:num w:numId="6">
    <w:abstractNumId w:val="8"/>
    <w:lvlOverride w:ilvl="0">
      <w:lvl w:ilvl="0">
        <w:numFmt w:val="decimal"/>
        <w:lvlText w:val="%1."/>
        <w:lvlJc w:val="left"/>
      </w:lvl>
    </w:lvlOverride>
  </w:num>
  <w:num w:numId="7">
    <w:abstractNumId w:val="16"/>
  </w:num>
  <w:num w:numId="8">
    <w:abstractNumId w:val="6"/>
  </w:num>
  <w:num w:numId="9">
    <w:abstractNumId w:val="9"/>
  </w:num>
  <w:num w:numId="10">
    <w:abstractNumId w:val="12"/>
  </w:num>
  <w:num w:numId="11">
    <w:abstractNumId w:val="7"/>
  </w:num>
  <w:num w:numId="12">
    <w:abstractNumId w:val="2"/>
  </w:num>
  <w:num w:numId="13">
    <w:abstractNumId w:val="5"/>
  </w:num>
  <w:num w:numId="14">
    <w:abstractNumId w:val="11"/>
  </w:num>
  <w:num w:numId="15">
    <w:abstractNumId w:val="14"/>
  </w:num>
  <w:num w:numId="16">
    <w:abstractNumId w:val="3"/>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B3E"/>
    <w:rsid w:val="000003DD"/>
    <w:rsid w:val="00002844"/>
    <w:rsid w:val="0000678C"/>
    <w:rsid w:val="00007526"/>
    <w:rsid w:val="00010BD1"/>
    <w:rsid w:val="000132DB"/>
    <w:rsid w:val="0001731A"/>
    <w:rsid w:val="00017F9F"/>
    <w:rsid w:val="00024010"/>
    <w:rsid w:val="00025D40"/>
    <w:rsid w:val="00031B04"/>
    <w:rsid w:val="00031D15"/>
    <w:rsid w:val="000355F4"/>
    <w:rsid w:val="000417E4"/>
    <w:rsid w:val="0004749D"/>
    <w:rsid w:val="0004778C"/>
    <w:rsid w:val="00047D38"/>
    <w:rsid w:val="00052814"/>
    <w:rsid w:val="0006147E"/>
    <w:rsid w:val="00061DAF"/>
    <w:rsid w:val="0006282B"/>
    <w:rsid w:val="00064344"/>
    <w:rsid w:val="000740A1"/>
    <w:rsid w:val="000743D2"/>
    <w:rsid w:val="00075055"/>
    <w:rsid w:val="00080729"/>
    <w:rsid w:val="0008289B"/>
    <w:rsid w:val="00083FDB"/>
    <w:rsid w:val="0008491D"/>
    <w:rsid w:val="00090CD4"/>
    <w:rsid w:val="00095C29"/>
    <w:rsid w:val="000A0EA1"/>
    <w:rsid w:val="000A26E6"/>
    <w:rsid w:val="000A3EB2"/>
    <w:rsid w:val="000B1311"/>
    <w:rsid w:val="000B4778"/>
    <w:rsid w:val="000C6165"/>
    <w:rsid w:val="000D194D"/>
    <w:rsid w:val="000D5E63"/>
    <w:rsid w:val="000D7172"/>
    <w:rsid w:val="000E1B07"/>
    <w:rsid w:val="000E5B2B"/>
    <w:rsid w:val="000E6709"/>
    <w:rsid w:val="000F703E"/>
    <w:rsid w:val="000F7355"/>
    <w:rsid w:val="00102F7A"/>
    <w:rsid w:val="001030AC"/>
    <w:rsid w:val="0010326F"/>
    <w:rsid w:val="001039A4"/>
    <w:rsid w:val="00104CD4"/>
    <w:rsid w:val="00106203"/>
    <w:rsid w:val="001118B2"/>
    <w:rsid w:val="001141E2"/>
    <w:rsid w:val="00120D5B"/>
    <w:rsid w:val="00125368"/>
    <w:rsid w:val="001271C8"/>
    <w:rsid w:val="001345FE"/>
    <w:rsid w:val="0014081C"/>
    <w:rsid w:val="00141D8B"/>
    <w:rsid w:val="00152DE5"/>
    <w:rsid w:val="00160903"/>
    <w:rsid w:val="001753AB"/>
    <w:rsid w:val="001773E3"/>
    <w:rsid w:val="00183529"/>
    <w:rsid w:val="00190CA7"/>
    <w:rsid w:val="0019418C"/>
    <w:rsid w:val="0019601E"/>
    <w:rsid w:val="00196D88"/>
    <w:rsid w:val="00197F08"/>
    <w:rsid w:val="001A4670"/>
    <w:rsid w:val="001A47EB"/>
    <w:rsid w:val="001A6716"/>
    <w:rsid w:val="001A7E59"/>
    <w:rsid w:val="001B08D3"/>
    <w:rsid w:val="001B7204"/>
    <w:rsid w:val="001C2C28"/>
    <w:rsid w:val="001C7B29"/>
    <w:rsid w:val="001D09EE"/>
    <w:rsid w:val="001D2FDF"/>
    <w:rsid w:val="001E0307"/>
    <w:rsid w:val="001F1306"/>
    <w:rsid w:val="001F36DB"/>
    <w:rsid w:val="001F7AC8"/>
    <w:rsid w:val="002025F0"/>
    <w:rsid w:val="00206FA6"/>
    <w:rsid w:val="00211314"/>
    <w:rsid w:val="00212548"/>
    <w:rsid w:val="0021600B"/>
    <w:rsid w:val="002206C4"/>
    <w:rsid w:val="002308BC"/>
    <w:rsid w:val="00230EBC"/>
    <w:rsid w:val="002446B6"/>
    <w:rsid w:val="0025716B"/>
    <w:rsid w:val="002644EB"/>
    <w:rsid w:val="00264BF9"/>
    <w:rsid w:val="00267C1B"/>
    <w:rsid w:val="0027184F"/>
    <w:rsid w:val="00273FB7"/>
    <w:rsid w:val="002741AC"/>
    <w:rsid w:val="00280702"/>
    <w:rsid w:val="00284200"/>
    <w:rsid w:val="0028768C"/>
    <w:rsid w:val="002917F7"/>
    <w:rsid w:val="002919A1"/>
    <w:rsid w:val="002B212E"/>
    <w:rsid w:val="002B2A39"/>
    <w:rsid w:val="002B4856"/>
    <w:rsid w:val="002B64A1"/>
    <w:rsid w:val="002B692E"/>
    <w:rsid w:val="002B6E20"/>
    <w:rsid w:val="002C04A3"/>
    <w:rsid w:val="002C7B85"/>
    <w:rsid w:val="002D0CBC"/>
    <w:rsid w:val="002D1803"/>
    <w:rsid w:val="002D2D64"/>
    <w:rsid w:val="002D2FC7"/>
    <w:rsid w:val="002D3247"/>
    <w:rsid w:val="002D68BC"/>
    <w:rsid w:val="002E30F3"/>
    <w:rsid w:val="002F379B"/>
    <w:rsid w:val="002F3D30"/>
    <w:rsid w:val="00304677"/>
    <w:rsid w:val="003074A6"/>
    <w:rsid w:val="00315954"/>
    <w:rsid w:val="00324838"/>
    <w:rsid w:val="003251C3"/>
    <w:rsid w:val="00327E85"/>
    <w:rsid w:val="0033180B"/>
    <w:rsid w:val="00334A55"/>
    <w:rsid w:val="00335135"/>
    <w:rsid w:val="0035146F"/>
    <w:rsid w:val="00352065"/>
    <w:rsid w:val="003529C1"/>
    <w:rsid w:val="00360746"/>
    <w:rsid w:val="003643FE"/>
    <w:rsid w:val="00366EDA"/>
    <w:rsid w:val="00370BEC"/>
    <w:rsid w:val="00372C0C"/>
    <w:rsid w:val="00376343"/>
    <w:rsid w:val="003802A1"/>
    <w:rsid w:val="00381ABC"/>
    <w:rsid w:val="00384BE6"/>
    <w:rsid w:val="00386369"/>
    <w:rsid w:val="00386429"/>
    <w:rsid w:val="003964E0"/>
    <w:rsid w:val="00396EC2"/>
    <w:rsid w:val="003A4D1E"/>
    <w:rsid w:val="003A4DBC"/>
    <w:rsid w:val="003C151A"/>
    <w:rsid w:val="003C44CC"/>
    <w:rsid w:val="003C4B43"/>
    <w:rsid w:val="003C532E"/>
    <w:rsid w:val="003C74CD"/>
    <w:rsid w:val="003D3857"/>
    <w:rsid w:val="003D4697"/>
    <w:rsid w:val="003E10F8"/>
    <w:rsid w:val="003E274B"/>
    <w:rsid w:val="003E73C2"/>
    <w:rsid w:val="003E7CD5"/>
    <w:rsid w:val="003F02B9"/>
    <w:rsid w:val="003F0906"/>
    <w:rsid w:val="003F18CD"/>
    <w:rsid w:val="003F5C9F"/>
    <w:rsid w:val="003F7BEF"/>
    <w:rsid w:val="00401F08"/>
    <w:rsid w:val="00403927"/>
    <w:rsid w:val="0041329E"/>
    <w:rsid w:val="0042066B"/>
    <w:rsid w:val="00427824"/>
    <w:rsid w:val="00427D0D"/>
    <w:rsid w:val="00431EB2"/>
    <w:rsid w:val="00436238"/>
    <w:rsid w:val="004510ED"/>
    <w:rsid w:val="004513A7"/>
    <w:rsid w:val="00456296"/>
    <w:rsid w:val="00457041"/>
    <w:rsid w:val="004664D3"/>
    <w:rsid w:val="00472374"/>
    <w:rsid w:val="00476B4D"/>
    <w:rsid w:val="00492519"/>
    <w:rsid w:val="004C0430"/>
    <w:rsid w:val="004D1221"/>
    <w:rsid w:val="004D4587"/>
    <w:rsid w:val="004D6D80"/>
    <w:rsid w:val="004E001C"/>
    <w:rsid w:val="004E2812"/>
    <w:rsid w:val="004E3856"/>
    <w:rsid w:val="004F2814"/>
    <w:rsid w:val="004F3A4E"/>
    <w:rsid w:val="004F5F0E"/>
    <w:rsid w:val="004F62E5"/>
    <w:rsid w:val="00505D6F"/>
    <w:rsid w:val="005153DC"/>
    <w:rsid w:val="00517E6B"/>
    <w:rsid w:val="00523817"/>
    <w:rsid w:val="00531B69"/>
    <w:rsid w:val="00532F09"/>
    <w:rsid w:val="00540990"/>
    <w:rsid w:val="00543174"/>
    <w:rsid w:val="00543812"/>
    <w:rsid w:val="0055506B"/>
    <w:rsid w:val="005552AE"/>
    <w:rsid w:val="0056094A"/>
    <w:rsid w:val="005640EA"/>
    <w:rsid w:val="0056733C"/>
    <w:rsid w:val="005675C6"/>
    <w:rsid w:val="00571600"/>
    <w:rsid w:val="00571AD6"/>
    <w:rsid w:val="00575778"/>
    <w:rsid w:val="00580E82"/>
    <w:rsid w:val="0058197A"/>
    <w:rsid w:val="00585C34"/>
    <w:rsid w:val="00590D61"/>
    <w:rsid w:val="00591BAA"/>
    <w:rsid w:val="00592268"/>
    <w:rsid w:val="005A5AC3"/>
    <w:rsid w:val="005B09E5"/>
    <w:rsid w:val="005B1AE9"/>
    <w:rsid w:val="005B3154"/>
    <w:rsid w:val="005B77DE"/>
    <w:rsid w:val="005C0310"/>
    <w:rsid w:val="005C2FA3"/>
    <w:rsid w:val="005C691F"/>
    <w:rsid w:val="005C7DFC"/>
    <w:rsid w:val="005E31BD"/>
    <w:rsid w:val="005F008E"/>
    <w:rsid w:val="005F0748"/>
    <w:rsid w:val="005F4A55"/>
    <w:rsid w:val="00602010"/>
    <w:rsid w:val="00610F32"/>
    <w:rsid w:val="006121A9"/>
    <w:rsid w:val="00616B3E"/>
    <w:rsid w:val="00617B3B"/>
    <w:rsid w:val="00626CF1"/>
    <w:rsid w:val="0063784F"/>
    <w:rsid w:val="006413E0"/>
    <w:rsid w:val="00642B18"/>
    <w:rsid w:val="006441A4"/>
    <w:rsid w:val="00645F24"/>
    <w:rsid w:val="00646D21"/>
    <w:rsid w:val="00650335"/>
    <w:rsid w:val="0065270E"/>
    <w:rsid w:val="00652FF6"/>
    <w:rsid w:val="0066597B"/>
    <w:rsid w:val="00667FD8"/>
    <w:rsid w:val="00670F7C"/>
    <w:rsid w:val="00674647"/>
    <w:rsid w:val="00680277"/>
    <w:rsid w:val="00680576"/>
    <w:rsid w:val="0068502E"/>
    <w:rsid w:val="0068636E"/>
    <w:rsid w:val="0068726B"/>
    <w:rsid w:val="006956DD"/>
    <w:rsid w:val="006A28FF"/>
    <w:rsid w:val="006A4ECF"/>
    <w:rsid w:val="006A7495"/>
    <w:rsid w:val="006B508F"/>
    <w:rsid w:val="006C3621"/>
    <w:rsid w:val="006C3F51"/>
    <w:rsid w:val="006C4B87"/>
    <w:rsid w:val="006C663F"/>
    <w:rsid w:val="006C7666"/>
    <w:rsid w:val="006D7358"/>
    <w:rsid w:val="006D75D4"/>
    <w:rsid w:val="006D7618"/>
    <w:rsid w:val="006E1F7C"/>
    <w:rsid w:val="006E3B8A"/>
    <w:rsid w:val="006F2489"/>
    <w:rsid w:val="006F3229"/>
    <w:rsid w:val="0070008F"/>
    <w:rsid w:val="00704599"/>
    <w:rsid w:val="0070497C"/>
    <w:rsid w:val="007053D8"/>
    <w:rsid w:val="00706716"/>
    <w:rsid w:val="00707E09"/>
    <w:rsid w:val="007106E8"/>
    <w:rsid w:val="007112A0"/>
    <w:rsid w:val="00713977"/>
    <w:rsid w:val="007156AC"/>
    <w:rsid w:val="007263E5"/>
    <w:rsid w:val="007314D1"/>
    <w:rsid w:val="00737D69"/>
    <w:rsid w:val="00737D94"/>
    <w:rsid w:val="0075388D"/>
    <w:rsid w:val="007602DB"/>
    <w:rsid w:val="00762DFF"/>
    <w:rsid w:val="00771EF4"/>
    <w:rsid w:val="0077264D"/>
    <w:rsid w:val="0077679B"/>
    <w:rsid w:val="00780F2C"/>
    <w:rsid w:val="00786DAA"/>
    <w:rsid w:val="007873A5"/>
    <w:rsid w:val="00796BB3"/>
    <w:rsid w:val="007A42E7"/>
    <w:rsid w:val="007A7C1F"/>
    <w:rsid w:val="007B2312"/>
    <w:rsid w:val="007B498A"/>
    <w:rsid w:val="007B4E46"/>
    <w:rsid w:val="007B5272"/>
    <w:rsid w:val="007C08F8"/>
    <w:rsid w:val="007C0B0A"/>
    <w:rsid w:val="007C108A"/>
    <w:rsid w:val="007C1CA0"/>
    <w:rsid w:val="007C2496"/>
    <w:rsid w:val="007C24A3"/>
    <w:rsid w:val="007C4654"/>
    <w:rsid w:val="007C4C44"/>
    <w:rsid w:val="007C7D68"/>
    <w:rsid w:val="007D39B5"/>
    <w:rsid w:val="007D7C99"/>
    <w:rsid w:val="007F044A"/>
    <w:rsid w:val="007F7C8C"/>
    <w:rsid w:val="00803ABC"/>
    <w:rsid w:val="00806EAA"/>
    <w:rsid w:val="0081004F"/>
    <w:rsid w:val="008129EC"/>
    <w:rsid w:val="00820465"/>
    <w:rsid w:val="008221E2"/>
    <w:rsid w:val="00827364"/>
    <w:rsid w:val="00827BC3"/>
    <w:rsid w:val="00832A4B"/>
    <w:rsid w:val="00834C6B"/>
    <w:rsid w:val="00844306"/>
    <w:rsid w:val="00846D7C"/>
    <w:rsid w:val="008525FB"/>
    <w:rsid w:val="008628F0"/>
    <w:rsid w:val="00864184"/>
    <w:rsid w:val="0087105F"/>
    <w:rsid w:val="00880AB7"/>
    <w:rsid w:val="00880ACD"/>
    <w:rsid w:val="0088475B"/>
    <w:rsid w:val="008937E9"/>
    <w:rsid w:val="008A2501"/>
    <w:rsid w:val="008A5CED"/>
    <w:rsid w:val="008A5D27"/>
    <w:rsid w:val="008A6008"/>
    <w:rsid w:val="008B2317"/>
    <w:rsid w:val="008B3FF5"/>
    <w:rsid w:val="008B6607"/>
    <w:rsid w:val="008C1526"/>
    <w:rsid w:val="008C20F5"/>
    <w:rsid w:val="008C662D"/>
    <w:rsid w:val="008C6DE8"/>
    <w:rsid w:val="008D0F5D"/>
    <w:rsid w:val="008D2072"/>
    <w:rsid w:val="008D3378"/>
    <w:rsid w:val="008D7E49"/>
    <w:rsid w:val="008E0AF5"/>
    <w:rsid w:val="008E7327"/>
    <w:rsid w:val="008F2C13"/>
    <w:rsid w:val="009106C3"/>
    <w:rsid w:val="00912D15"/>
    <w:rsid w:val="00914944"/>
    <w:rsid w:val="009265C0"/>
    <w:rsid w:val="009269C1"/>
    <w:rsid w:val="00932B81"/>
    <w:rsid w:val="00936EEA"/>
    <w:rsid w:val="00941AE5"/>
    <w:rsid w:val="0095618F"/>
    <w:rsid w:val="00957CD9"/>
    <w:rsid w:val="00961D95"/>
    <w:rsid w:val="00963567"/>
    <w:rsid w:val="0096691E"/>
    <w:rsid w:val="00966C5B"/>
    <w:rsid w:val="00974517"/>
    <w:rsid w:val="009750B2"/>
    <w:rsid w:val="00985B9D"/>
    <w:rsid w:val="00986BE5"/>
    <w:rsid w:val="00987A7D"/>
    <w:rsid w:val="00992D99"/>
    <w:rsid w:val="009930BF"/>
    <w:rsid w:val="009A18D8"/>
    <w:rsid w:val="009A64E7"/>
    <w:rsid w:val="009B7A00"/>
    <w:rsid w:val="009C2302"/>
    <w:rsid w:val="009C3E9F"/>
    <w:rsid w:val="009D26CE"/>
    <w:rsid w:val="009D4876"/>
    <w:rsid w:val="009D6F97"/>
    <w:rsid w:val="00A00127"/>
    <w:rsid w:val="00A00FF1"/>
    <w:rsid w:val="00A01769"/>
    <w:rsid w:val="00A029F5"/>
    <w:rsid w:val="00A0561B"/>
    <w:rsid w:val="00A06E03"/>
    <w:rsid w:val="00A13057"/>
    <w:rsid w:val="00A14524"/>
    <w:rsid w:val="00A14CD3"/>
    <w:rsid w:val="00A23A71"/>
    <w:rsid w:val="00A2605A"/>
    <w:rsid w:val="00A27F41"/>
    <w:rsid w:val="00A31CF2"/>
    <w:rsid w:val="00A3236B"/>
    <w:rsid w:val="00A3299A"/>
    <w:rsid w:val="00A44F1B"/>
    <w:rsid w:val="00A50B58"/>
    <w:rsid w:val="00A52AE9"/>
    <w:rsid w:val="00A52D76"/>
    <w:rsid w:val="00A600C8"/>
    <w:rsid w:val="00A640DF"/>
    <w:rsid w:val="00A640EB"/>
    <w:rsid w:val="00A65D1C"/>
    <w:rsid w:val="00A66BAC"/>
    <w:rsid w:val="00A741E9"/>
    <w:rsid w:val="00A763A9"/>
    <w:rsid w:val="00A76A60"/>
    <w:rsid w:val="00A8271F"/>
    <w:rsid w:val="00A926E0"/>
    <w:rsid w:val="00AA09DA"/>
    <w:rsid w:val="00AA15DD"/>
    <w:rsid w:val="00AB3ADD"/>
    <w:rsid w:val="00AB6BD8"/>
    <w:rsid w:val="00AB791B"/>
    <w:rsid w:val="00AC0F26"/>
    <w:rsid w:val="00AC6B33"/>
    <w:rsid w:val="00AC7426"/>
    <w:rsid w:val="00AE0D5C"/>
    <w:rsid w:val="00AE7ABA"/>
    <w:rsid w:val="00AF1E57"/>
    <w:rsid w:val="00AF6A49"/>
    <w:rsid w:val="00AF7321"/>
    <w:rsid w:val="00B00C73"/>
    <w:rsid w:val="00B00EAC"/>
    <w:rsid w:val="00B01257"/>
    <w:rsid w:val="00B01703"/>
    <w:rsid w:val="00B01B85"/>
    <w:rsid w:val="00B0591B"/>
    <w:rsid w:val="00B12E84"/>
    <w:rsid w:val="00B23FA2"/>
    <w:rsid w:val="00B32397"/>
    <w:rsid w:val="00B32B36"/>
    <w:rsid w:val="00B32C92"/>
    <w:rsid w:val="00B3351F"/>
    <w:rsid w:val="00B33593"/>
    <w:rsid w:val="00B40ED7"/>
    <w:rsid w:val="00B42E11"/>
    <w:rsid w:val="00B43B5C"/>
    <w:rsid w:val="00B476F9"/>
    <w:rsid w:val="00B47AA9"/>
    <w:rsid w:val="00B52DA0"/>
    <w:rsid w:val="00B534BA"/>
    <w:rsid w:val="00B6565A"/>
    <w:rsid w:val="00B70338"/>
    <w:rsid w:val="00B720FE"/>
    <w:rsid w:val="00B73640"/>
    <w:rsid w:val="00B759F7"/>
    <w:rsid w:val="00B808C6"/>
    <w:rsid w:val="00B84FC6"/>
    <w:rsid w:val="00B85C93"/>
    <w:rsid w:val="00B9584C"/>
    <w:rsid w:val="00BA12F3"/>
    <w:rsid w:val="00BA28F3"/>
    <w:rsid w:val="00BA30BC"/>
    <w:rsid w:val="00BB6E4E"/>
    <w:rsid w:val="00BB71D8"/>
    <w:rsid w:val="00BB71DA"/>
    <w:rsid w:val="00BC0F02"/>
    <w:rsid w:val="00BC6E78"/>
    <w:rsid w:val="00BD1C85"/>
    <w:rsid w:val="00BD40E6"/>
    <w:rsid w:val="00BE6262"/>
    <w:rsid w:val="00BF2C5A"/>
    <w:rsid w:val="00BF6ADF"/>
    <w:rsid w:val="00C00018"/>
    <w:rsid w:val="00C02AE0"/>
    <w:rsid w:val="00C054DD"/>
    <w:rsid w:val="00C12D4F"/>
    <w:rsid w:val="00C13090"/>
    <w:rsid w:val="00C215D8"/>
    <w:rsid w:val="00C4242F"/>
    <w:rsid w:val="00C473AE"/>
    <w:rsid w:val="00C50DB1"/>
    <w:rsid w:val="00C527C0"/>
    <w:rsid w:val="00C66DEE"/>
    <w:rsid w:val="00C72350"/>
    <w:rsid w:val="00C84374"/>
    <w:rsid w:val="00C8520E"/>
    <w:rsid w:val="00C85ED2"/>
    <w:rsid w:val="00C9411E"/>
    <w:rsid w:val="00C94369"/>
    <w:rsid w:val="00C95279"/>
    <w:rsid w:val="00C974D8"/>
    <w:rsid w:val="00CA349D"/>
    <w:rsid w:val="00CA3B4C"/>
    <w:rsid w:val="00CB54E5"/>
    <w:rsid w:val="00CC059A"/>
    <w:rsid w:val="00CC314B"/>
    <w:rsid w:val="00CC4B1E"/>
    <w:rsid w:val="00CD0F70"/>
    <w:rsid w:val="00CD342B"/>
    <w:rsid w:val="00CE0101"/>
    <w:rsid w:val="00CE61BD"/>
    <w:rsid w:val="00CF5B3E"/>
    <w:rsid w:val="00CF5C3C"/>
    <w:rsid w:val="00D027A0"/>
    <w:rsid w:val="00D03AD4"/>
    <w:rsid w:val="00D118FA"/>
    <w:rsid w:val="00D12DCF"/>
    <w:rsid w:val="00D15E74"/>
    <w:rsid w:val="00D16C61"/>
    <w:rsid w:val="00D20B61"/>
    <w:rsid w:val="00D265FB"/>
    <w:rsid w:val="00D3430A"/>
    <w:rsid w:val="00D424C5"/>
    <w:rsid w:val="00D44D7E"/>
    <w:rsid w:val="00D5231C"/>
    <w:rsid w:val="00D54BDC"/>
    <w:rsid w:val="00D73E9A"/>
    <w:rsid w:val="00D759AE"/>
    <w:rsid w:val="00D90BB8"/>
    <w:rsid w:val="00D9478E"/>
    <w:rsid w:val="00D9522D"/>
    <w:rsid w:val="00DA02EA"/>
    <w:rsid w:val="00DA0536"/>
    <w:rsid w:val="00DA5733"/>
    <w:rsid w:val="00DA72CA"/>
    <w:rsid w:val="00DB21F5"/>
    <w:rsid w:val="00DB25DC"/>
    <w:rsid w:val="00DB28D8"/>
    <w:rsid w:val="00DB4F81"/>
    <w:rsid w:val="00DB6837"/>
    <w:rsid w:val="00DC0F42"/>
    <w:rsid w:val="00DD3524"/>
    <w:rsid w:val="00DE5267"/>
    <w:rsid w:val="00DF5B43"/>
    <w:rsid w:val="00DF7712"/>
    <w:rsid w:val="00E01E95"/>
    <w:rsid w:val="00E058C6"/>
    <w:rsid w:val="00E064D1"/>
    <w:rsid w:val="00E109AD"/>
    <w:rsid w:val="00E15824"/>
    <w:rsid w:val="00E16B87"/>
    <w:rsid w:val="00E24153"/>
    <w:rsid w:val="00E27471"/>
    <w:rsid w:val="00E332DA"/>
    <w:rsid w:val="00E3362A"/>
    <w:rsid w:val="00E33CAD"/>
    <w:rsid w:val="00E364F7"/>
    <w:rsid w:val="00E55BBE"/>
    <w:rsid w:val="00E56497"/>
    <w:rsid w:val="00E63464"/>
    <w:rsid w:val="00E76C52"/>
    <w:rsid w:val="00E76EDB"/>
    <w:rsid w:val="00E82086"/>
    <w:rsid w:val="00E86AD9"/>
    <w:rsid w:val="00E86F0F"/>
    <w:rsid w:val="00E9029D"/>
    <w:rsid w:val="00E924D1"/>
    <w:rsid w:val="00E94496"/>
    <w:rsid w:val="00E96218"/>
    <w:rsid w:val="00EA19DC"/>
    <w:rsid w:val="00EA4A72"/>
    <w:rsid w:val="00EA6C09"/>
    <w:rsid w:val="00EB2D85"/>
    <w:rsid w:val="00EB700B"/>
    <w:rsid w:val="00EC1BFE"/>
    <w:rsid w:val="00ED479A"/>
    <w:rsid w:val="00EE4CFA"/>
    <w:rsid w:val="00EE5F7C"/>
    <w:rsid w:val="00EF13EC"/>
    <w:rsid w:val="00EF5216"/>
    <w:rsid w:val="00EF74E7"/>
    <w:rsid w:val="00F02123"/>
    <w:rsid w:val="00F225D7"/>
    <w:rsid w:val="00F3066C"/>
    <w:rsid w:val="00F310B2"/>
    <w:rsid w:val="00F377B1"/>
    <w:rsid w:val="00F41360"/>
    <w:rsid w:val="00F44690"/>
    <w:rsid w:val="00F52EB8"/>
    <w:rsid w:val="00F65DEE"/>
    <w:rsid w:val="00F715A7"/>
    <w:rsid w:val="00F730C1"/>
    <w:rsid w:val="00F74497"/>
    <w:rsid w:val="00F7611E"/>
    <w:rsid w:val="00F8736C"/>
    <w:rsid w:val="00F90C4F"/>
    <w:rsid w:val="00F93AFE"/>
    <w:rsid w:val="00FA598E"/>
    <w:rsid w:val="00FA74AA"/>
    <w:rsid w:val="00FB77AC"/>
    <w:rsid w:val="00FC3563"/>
    <w:rsid w:val="00FD5D6F"/>
    <w:rsid w:val="00FE5B68"/>
    <w:rsid w:val="00FE6744"/>
    <w:rsid w:val="00FF0390"/>
    <w:rsid w:val="00FF42A0"/>
    <w:rsid w:val="00FF5026"/>
    <w:rsid w:val="01CB40D8"/>
    <w:rsid w:val="01DB7F90"/>
    <w:rsid w:val="022B7FA0"/>
    <w:rsid w:val="064FAEC2"/>
    <w:rsid w:val="06D20EF1"/>
    <w:rsid w:val="07861769"/>
    <w:rsid w:val="07A65A05"/>
    <w:rsid w:val="07F9C9F5"/>
    <w:rsid w:val="084AC114"/>
    <w:rsid w:val="09528165"/>
    <w:rsid w:val="0ACD6FAF"/>
    <w:rsid w:val="0AE5D02D"/>
    <w:rsid w:val="0B402250"/>
    <w:rsid w:val="0F46655E"/>
    <w:rsid w:val="0FA0E0D2"/>
    <w:rsid w:val="114C6691"/>
    <w:rsid w:val="1243DA0C"/>
    <w:rsid w:val="12EE20C5"/>
    <w:rsid w:val="13BE254B"/>
    <w:rsid w:val="14178851"/>
    <w:rsid w:val="167E3EF0"/>
    <w:rsid w:val="174F2913"/>
    <w:rsid w:val="1AEA7D3D"/>
    <w:rsid w:val="1AFE1C9C"/>
    <w:rsid w:val="1B825F5B"/>
    <w:rsid w:val="1BF07A4A"/>
    <w:rsid w:val="1C99ECFD"/>
    <w:rsid w:val="1E0758F6"/>
    <w:rsid w:val="1E35BD5E"/>
    <w:rsid w:val="1E3894F8"/>
    <w:rsid w:val="1E5E77B1"/>
    <w:rsid w:val="1E99D70B"/>
    <w:rsid w:val="1F8A8B5B"/>
    <w:rsid w:val="1FA4C603"/>
    <w:rsid w:val="20777DD0"/>
    <w:rsid w:val="20B28149"/>
    <w:rsid w:val="21409664"/>
    <w:rsid w:val="216D5E20"/>
    <w:rsid w:val="23828A17"/>
    <w:rsid w:val="2405FD5C"/>
    <w:rsid w:val="24826311"/>
    <w:rsid w:val="254962C6"/>
    <w:rsid w:val="25514B4D"/>
    <w:rsid w:val="25F121BF"/>
    <w:rsid w:val="275560F9"/>
    <w:rsid w:val="27ACD61B"/>
    <w:rsid w:val="27C7AE01"/>
    <w:rsid w:val="28FEC2FA"/>
    <w:rsid w:val="2B4D2682"/>
    <w:rsid w:val="2BDB3AEB"/>
    <w:rsid w:val="2C7677BB"/>
    <w:rsid w:val="2D2724A4"/>
    <w:rsid w:val="2D45AFE5"/>
    <w:rsid w:val="2D4F6EDA"/>
    <w:rsid w:val="2E2D01E7"/>
    <w:rsid w:val="2ED40613"/>
    <w:rsid w:val="2FF352ED"/>
    <w:rsid w:val="307CB29A"/>
    <w:rsid w:val="3175C1D6"/>
    <w:rsid w:val="325E1C80"/>
    <w:rsid w:val="3317FC3D"/>
    <w:rsid w:val="349C436B"/>
    <w:rsid w:val="35BFF83D"/>
    <w:rsid w:val="35CE656F"/>
    <w:rsid w:val="36CEE58D"/>
    <w:rsid w:val="3791A4A7"/>
    <w:rsid w:val="38CD5E04"/>
    <w:rsid w:val="39AE1FB8"/>
    <w:rsid w:val="3A998801"/>
    <w:rsid w:val="3D74076B"/>
    <w:rsid w:val="3FFCB0FB"/>
    <w:rsid w:val="40039423"/>
    <w:rsid w:val="40039ABF"/>
    <w:rsid w:val="404BB466"/>
    <w:rsid w:val="4068DAF4"/>
    <w:rsid w:val="41420FCB"/>
    <w:rsid w:val="41C1B5A0"/>
    <w:rsid w:val="41FAFD7C"/>
    <w:rsid w:val="42AD2666"/>
    <w:rsid w:val="43C05727"/>
    <w:rsid w:val="43E348EF"/>
    <w:rsid w:val="466A2A87"/>
    <w:rsid w:val="469526C3"/>
    <w:rsid w:val="4874FF4D"/>
    <w:rsid w:val="4A6072EE"/>
    <w:rsid w:val="4B735ACC"/>
    <w:rsid w:val="4B905F18"/>
    <w:rsid w:val="4BFC434F"/>
    <w:rsid w:val="4C1725FB"/>
    <w:rsid w:val="4CA09312"/>
    <w:rsid w:val="4E4694B5"/>
    <w:rsid w:val="4E5FA6F3"/>
    <w:rsid w:val="4F9F1893"/>
    <w:rsid w:val="50585C84"/>
    <w:rsid w:val="50C9B97D"/>
    <w:rsid w:val="5191CB4E"/>
    <w:rsid w:val="52508058"/>
    <w:rsid w:val="5352630D"/>
    <w:rsid w:val="53FA2B88"/>
    <w:rsid w:val="5500CF0B"/>
    <w:rsid w:val="5552CB62"/>
    <w:rsid w:val="559D2AA0"/>
    <w:rsid w:val="55AB131B"/>
    <w:rsid w:val="572D1188"/>
    <w:rsid w:val="576FA786"/>
    <w:rsid w:val="57CACF9C"/>
    <w:rsid w:val="57CFCD98"/>
    <w:rsid w:val="582D8DEA"/>
    <w:rsid w:val="58B8AF27"/>
    <w:rsid w:val="5A808C99"/>
    <w:rsid w:val="5CD9920E"/>
    <w:rsid w:val="5D0ECF28"/>
    <w:rsid w:val="5E75EDEC"/>
    <w:rsid w:val="5EDAEB0D"/>
    <w:rsid w:val="604EA0FE"/>
    <w:rsid w:val="60FD616F"/>
    <w:rsid w:val="62B9ECA9"/>
    <w:rsid w:val="6330CE2A"/>
    <w:rsid w:val="63486BD6"/>
    <w:rsid w:val="634F5E7A"/>
    <w:rsid w:val="636EFA27"/>
    <w:rsid w:val="6443692B"/>
    <w:rsid w:val="64F2189F"/>
    <w:rsid w:val="65FA462A"/>
    <w:rsid w:val="65FFA20F"/>
    <w:rsid w:val="661C2CDA"/>
    <w:rsid w:val="692110C2"/>
    <w:rsid w:val="692674CF"/>
    <w:rsid w:val="6A348D37"/>
    <w:rsid w:val="6A7F9B6E"/>
    <w:rsid w:val="6C851698"/>
    <w:rsid w:val="6CEE7862"/>
    <w:rsid w:val="6D158FBE"/>
    <w:rsid w:val="6D99E031"/>
    <w:rsid w:val="6E18FEE6"/>
    <w:rsid w:val="6EF18589"/>
    <w:rsid w:val="6F04F0F6"/>
    <w:rsid w:val="6F335009"/>
    <w:rsid w:val="6F8CBDD8"/>
    <w:rsid w:val="71288E39"/>
    <w:rsid w:val="714AD8B9"/>
    <w:rsid w:val="71DE8422"/>
    <w:rsid w:val="72E6A91A"/>
    <w:rsid w:val="73745964"/>
    <w:rsid w:val="74B8C549"/>
    <w:rsid w:val="74F6C8FA"/>
    <w:rsid w:val="75DDFC04"/>
    <w:rsid w:val="764959B8"/>
    <w:rsid w:val="76B3EF74"/>
    <w:rsid w:val="792684A4"/>
    <w:rsid w:val="79C3E300"/>
    <w:rsid w:val="79DAA6C9"/>
    <w:rsid w:val="7B5E5590"/>
    <w:rsid w:val="7B6C3E0B"/>
    <w:rsid w:val="7EA3DECD"/>
    <w:rsid w:val="7EEE27F9"/>
    <w:rsid w:val="7FEF29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1F7C"/>
  <w15:chartTrackingRefBased/>
  <w15:docId w15:val="{69174CDC-FB7D-9C4A-B1A3-7BEE200C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1BFE"/>
    <w:pPr>
      <w:spacing w:before="0" w:beforeAutospacing="0" w:after="0" w:afterAutospacing="0" w:line="240" w:lineRule="auto"/>
      <w:ind w:firstLine="0"/>
      <w:jc w:val="left"/>
    </w:pPr>
    <w:rPr>
      <w:rFonts w:ascii="Times New Roman" w:hAnsi="Times New Roman" w:cs="Times New Roman"/>
      <w:lang w:val="es-ES_tradnl" w:eastAsia="es-ES_tradnl"/>
    </w:rPr>
  </w:style>
  <w:style w:type="paragraph" w:styleId="Ttulo4">
    <w:name w:val="heading 4"/>
    <w:basedOn w:val="Normal"/>
    <w:next w:val="Normal"/>
    <w:link w:val="Ttulo4Car"/>
    <w:uiPriority w:val="9"/>
    <w:unhideWhenUsed/>
    <w:qFormat/>
    <w:rsid w:val="00CF5B3E"/>
    <w:pPr>
      <w:keepNext/>
      <w:tabs>
        <w:tab w:val="left" w:pos="0"/>
      </w:tabs>
      <w:overflowPunct w:val="0"/>
      <w:autoSpaceDE w:val="0"/>
      <w:autoSpaceDN w:val="0"/>
      <w:adjustRightInd w:val="0"/>
      <w:jc w:val="center"/>
      <w:outlineLvl w:val="3"/>
    </w:pPr>
    <w:rPr>
      <w:rFonts w:eastAsia="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F5B3E"/>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CF5B3E"/>
    <w:pPr>
      <w:spacing w:before="100" w:beforeAutospacing="1" w:after="100" w:afterAutospacing="1"/>
    </w:pPr>
    <w:rPr>
      <w:rFonts w:eastAsia="Times New Roman"/>
      <w:lang w:val="es-CO" w:eastAsia="es-MX"/>
    </w:rPr>
  </w:style>
  <w:style w:type="paragraph" w:styleId="Prrafodelista">
    <w:name w:val="List Paragraph"/>
    <w:basedOn w:val="Normal"/>
    <w:uiPriority w:val="34"/>
    <w:qFormat/>
    <w:rsid w:val="00CF5B3E"/>
    <w:pPr>
      <w:spacing w:line="360" w:lineRule="auto"/>
      <w:ind w:left="720"/>
      <w:contextualSpacing/>
      <w:jc w:val="both"/>
    </w:pPr>
    <w:rPr>
      <w:rFonts w:ascii="Tahoma" w:eastAsia="Tahoma" w:hAnsi="Tahoma" w:cs="Tahoma"/>
      <w:szCs w:val="22"/>
      <w:lang w:val="es" w:eastAsia="es-MX"/>
    </w:rPr>
  </w:style>
  <w:style w:type="paragraph" w:styleId="Encabezado">
    <w:name w:val="header"/>
    <w:basedOn w:val="Normal"/>
    <w:link w:val="EncabezadoCar"/>
    <w:uiPriority w:val="99"/>
    <w:unhideWhenUsed/>
    <w:rsid w:val="0014081C"/>
    <w:pPr>
      <w:tabs>
        <w:tab w:val="center" w:pos="4419"/>
        <w:tab w:val="right" w:pos="8838"/>
      </w:tabs>
      <w:jc w:val="both"/>
    </w:pPr>
    <w:rPr>
      <w:rFonts w:ascii="Tahoma" w:eastAsia="Tahoma" w:hAnsi="Tahoma" w:cs="Tahoma"/>
      <w:szCs w:val="22"/>
      <w:lang w:val="es" w:eastAsia="es-MX"/>
    </w:rPr>
  </w:style>
  <w:style w:type="character" w:customStyle="1" w:styleId="EncabezadoCar">
    <w:name w:val="Encabezado Car"/>
    <w:basedOn w:val="Fuentedeprrafopredeter"/>
    <w:link w:val="Encabezado"/>
    <w:uiPriority w:val="99"/>
    <w:rsid w:val="0014081C"/>
    <w:rPr>
      <w:rFonts w:ascii="Tahoma" w:eastAsia="Tahoma" w:hAnsi="Tahoma" w:cs="Tahoma"/>
      <w:szCs w:val="22"/>
      <w:lang w:val="es" w:eastAsia="es-MX"/>
    </w:rPr>
  </w:style>
  <w:style w:type="paragraph" w:styleId="Piedepgina">
    <w:name w:val="footer"/>
    <w:basedOn w:val="Normal"/>
    <w:link w:val="PiedepginaCar"/>
    <w:uiPriority w:val="99"/>
    <w:unhideWhenUsed/>
    <w:rsid w:val="0014081C"/>
    <w:pPr>
      <w:tabs>
        <w:tab w:val="center" w:pos="4419"/>
        <w:tab w:val="right" w:pos="8838"/>
      </w:tabs>
      <w:jc w:val="both"/>
    </w:pPr>
    <w:rPr>
      <w:rFonts w:ascii="Tahoma" w:eastAsia="Tahoma" w:hAnsi="Tahoma" w:cs="Tahoma"/>
      <w:szCs w:val="22"/>
      <w:lang w:val="es" w:eastAsia="es-MX"/>
    </w:rPr>
  </w:style>
  <w:style w:type="character" w:customStyle="1" w:styleId="PiedepginaCar">
    <w:name w:val="Pie de página Car"/>
    <w:basedOn w:val="Fuentedeprrafopredeter"/>
    <w:link w:val="Piedepgina"/>
    <w:uiPriority w:val="99"/>
    <w:rsid w:val="0014081C"/>
    <w:rPr>
      <w:rFonts w:ascii="Tahoma" w:eastAsia="Tahoma" w:hAnsi="Tahoma" w:cs="Tahoma"/>
      <w:szCs w:val="22"/>
      <w:lang w:val="es" w:eastAsia="es-MX"/>
    </w:rPr>
  </w:style>
  <w:style w:type="paragraph" w:customStyle="1" w:styleId="paragraph">
    <w:name w:val="paragraph"/>
    <w:basedOn w:val="Normal"/>
    <w:rsid w:val="00FD5D6F"/>
    <w:pPr>
      <w:spacing w:before="100" w:beforeAutospacing="1" w:after="100" w:afterAutospacing="1"/>
    </w:pPr>
    <w:rPr>
      <w:rFonts w:eastAsia="Times New Roman"/>
      <w:lang w:val="es-CO"/>
    </w:rPr>
  </w:style>
  <w:style w:type="character" w:customStyle="1" w:styleId="normaltextrun">
    <w:name w:val="normaltextrun"/>
    <w:basedOn w:val="Fuentedeprrafopredeter"/>
    <w:rsid w:val="00FD5D6F"/>
  </w:style>
  <w:style w:type="character" w:customStyle="1" w:styleId="eop">
    <w:name w:val="eop"/>
    <w:basedOn w:val="Fuentedeprrafopredeter"/>
    <w:rsid w:val="00FD5D6F"/>
  </w:style>
  <w:style w:type="paragraph" w:styleId="Textonotapie">
    <w:name w:val="footnote text"/>
    <w:basedOn w:val="Normal"/>
    <w:link w:val="TextonotapieCar"/>
    <w:uiPriority w:val="99"/>
    <w:semiHidden/>
    <w:unhideWhenUsed/>
    <w:rsid w:val="00FD5D6F"/>
    <w:pPr>
      <w:ind w:firstLine="709"/>
      <w:jc w:val="both"/>
    </w:pPr>
    <w:rPr>
      <w:rFonts w:asciiTheme="minorHAnsi" w:hAnsiTheme="minorHAnsi" w:cstheme="minorBidi"/>
      <w:sz w:val="20"/>
      <w:szCs w:val="20"/>
      <w:lang w:val="es-ES" w:eastAsia="en-US"/>
    </w:rPr>
  </w:style>
  <w:style w:type="character" w:customStyle="1" w:styleId="TextonotapieCar">
    <w:name w:val="Texto nota pie Car"/>
    <w:basedOn w:val="Fuentedeprrafopredeter"/>
    <w:link w:val="Textonotapie"/>
    <w:uiPriority w:val="99"/>
    <w:semiHidden/>
    <w:rsid w:val="00FD5D6F"/>
    <w:rPr>
      <w:sz w:val="20"/>
      <w:szCs w:val="20"/>
      <w:lang w:val="es-ES"/>
    </w:rPr>
  </w:style>
  <w:style w:type="character" w:styleId="Refdenotaalpie">
    <w:name w:val="footnote reference"/>
    <w:basedOn w:val="Fuentedeprrafopredeter"/>
    <w:uiPriority w:val="99"/>
    <w:semiHidden/>
    <w:unhideWhenUsed/>
    <w:rsid w:val="00FD5D6F"/>
    <w:rPr>
      <w:vertAlign w:val="superscript"/>
    </w:rPr>
  </w:style>
  <w:style w:type="table" w:styleId="Tablaconcuadrcula">
    <w:name w:val="Table Grid"/>
    <w:basedOn w:val="Tablanormal"/>
    <w:uiPriority w:val="39"/>
    <w:rsid w:val="0038642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D12DCF"/>
  </w:style>
  <w:style w:type="paragraph" w:styleId="Sinespaciado">
    <w:name w:val="No Spacing"/>
    <w:link w:val="SinespaciadoCar"/>
    <w:uiPriority w:val="1"/>
    <w:qFormat/>
    <w:rsid w:val="00D12DCF"/>
    <w:pPr>
      <w:spacing w:before="0" w:beforeAutospacing="0" w:after="0" w:afterAutospacing="0" w:line="240" w:lineRule="auto"/>
      <w:ind w:firstLine="0"/>
      <w:jc w:val="left"/>
    </w:pPr>
  </w:style>
  <w:style w:type="character" w:styleId="Hipervnculo">
    <w:name w:val="Hyperlink"/>
    <w:basedOn w:val="Fuentedeprrafopredeter"/>
    <w:uiPriority w:val="99"/>
    <w:semiHidden/>
    <w:unhideWhenUsed/>
    <w:rsid w:val="00141D8B"/>
    <w:rPr>
      <w:color w:val="0563C1"/>
      <w:u w:val="single"/>
    </w:rPr>
  </w:style>
  <w:style w:type="character" w:styleId="Hipervnculovisitado">
    <w:name w:val="FollowedHyperlink"/>
    <w:basedOn w:val="Fuentedeprrafopredeter"/>
    <w:uiPriority w:val="99"/>
    <w:semiHidden/>
    <w:unhideWhenUsed/>
    <w:rsid w:val="00141D8B"/>
    <w:rPr>
      <w:color w:val="954F72"/>
      <w:u w:val="single"/>
    </w:rPr>
  </w:style>
  <w:style w:type="paragraph" w:customStyle="1" w:styleId="msonormal0">
    <w:name w:val="msonormal"/>
    <w:basedOn w:val="Normal"/>
    <w:rsid w:val="00141D8B"/>
    <w:pPr>
      <w:spacing w:before="100" w:beforeAutospacing="1" w:after="100" w:afterAutospacing="1"/>
    </w:pPr>
    <w:rPr>
      <w:rFonts w:eastAsia="Times New Roman"/>
      <w:lang w:val="es-CO" w:eastAsia="es-CO"/>
    </w:rPr>
  </w:style>
  <w:style w:type="paragraph" w:customStyle="1" w:styleId="font5">
    <w:name w:val="font5"/>
    <w:basedOn w:val="Normal"/>
    <w:rsid w:val="00141D8B"/>
    <w:pPr>
      <w:spacing w:before="100" w:beforeAutospacing="1" w:after="100" w:afterAutospacing="1"/>
    </w:pPr>
    <w:rPr>
      <w:rFonts w:ascii="Tahoma" w:eastAsia="Times New Roman" w:hAnsi="Tahoma" w:cs="Tahoma"/>
      <w:b/>
      <w:bCs/>
      <w:color w:val="000000"/>
      <w:sz w:val="18"/>
      <w:szCs w:val="18"/>
      <w:lang w:val="es-CO" w:eastAsia="es-CO"/>
    </w:rPr>
  </w:style>
  <w:style w:type="paragraph" w:customStyle="1" w:styleId="font6">
    <w:name w:val="font6"/>
    <w:basedOn w:val="Normal"/>
    <w:rsid w:val="00141D8B"/>
    <w:pPr>
      <w:spacing w:before="100" w:beforeAutospacing="1" w:after="100" w:afterAutospacing="1"/>
    </w:pPr>
    <w:rPr>
      <w:rFonts w:ascii="Tahoma" w:eastAsia="Times New Roman" w:hAnsi="Tahoma" w:cs="Tahoma"/>
      <w:color w:val="000000"/>
      <w:sz w:val="18"/>
      <w:szCs w:val="18"/>
      <w:lang w:val="es-CO" w:eastAsia="es-CO"/>
    </w:rPr>
  </w:style>
  <w:style w:type="paragraph" w:customStyle="1" w:styleId="xl65">
    <w:name w:val="xl65"/>
    <w:basedOn w:val="Normal"/>
    <w:rsid w:val="00141D8B"/>
    <w:pPr>
      <w:pBdr>
        <w:top w:val="single" w:sz="4" w:space="0" w:color="auto"/>
        <w:left w:val="single" w:sz="4" w:space="0" w:color="auto"/>
        <w:bottom w:val="single" w:sz="4" w:space="0" w:color="auto"/>
        <w:right w:val="single" w:sz="4" w:space="0" w:color="auto"/>
      </w:pBdr>
      <w:shd w:val="clear" w:color="4472C4" w:fill="4472C4"/>
      <w:spacing w:before="100" w:beforeAutospacing="1" w:after="100" w:afterAutospacing="1"/>
      <w:jc w:val="center"/>
      <w:textAlignment w:val="center"/>
    </w:pPr>
    <w:rPr>
      <w:rFonts w:ascii="Arial Narrow" w:eastAsia="Times New Roman" w:hAnsi="Arial Narrow"/>
      <w:b/>
      <w:bCs/>
      <w:color w:val="FFFFFF"/>
      <w:lang w:val="es-CO" w:eastAsia="es-CO"/>
    </w:rPr>
  </w:style>
  <w:style w:type="paragraph" w:customStyle="1" w:styleId="xl66">
    <w:name w:val="xl66"/>
    <w:basedOn w:val="Normal"/>
    <w:rsid w:val="00141D8B"/>
    <w:pPr>
      <w:pBdr>
        <w:top w:val="single" w:sz="4" w:space="0" w:color="auto"/>
        <w:left w:val="single" w:sz="4" w:space="0" w:color="auto"/>
        <w:bottom w:val="single" w:sz="4" w:space="0" w:color="auto"/>
        <w:right w:val="single" w:sz="4" w:space="0" w:color="auto"/>
      </w:pBdr>
      <w:shd w:val="clear" w:color="4472C4" w:fill="4472C4"/>
      <w:spacing w:before="100" w:beforeAutospacing="1" w:after="100" w:afterAutospacing="1"/>
      <w:jc w:val="center"/>
      <w:textAlignment w:val="center"/>
    </w:pPr>
    <w:rPr>
      <w:rFonts w:ascii="Arial Narrow" w:eastAsia="Times New Roman" w:hAnsi="Arial Narrow"/>
      <w:b/>
      <w:bCs/>
      <w:color w:val="FFFFFF"/>
      <w:lang w:val="es-CO" w:eastAsia="es-CO"/>
    </w:rPr>
  </w:style>
  <w:style w:type="paragraph" w:customStyle="1" w:styleId="xl67">
    <w:name w:val="xl67"/>
    <w:basedOn w:val="Normal"/>
    <w:rsid w:val="00141D8B"/>
    <w:pPr>
      <w:pBdr>
        <w:top w:val="single" w:sz="4" w:space="0" w:color="auto"/>
        <w:left w:val="single" w:sz="4" w:space="0" w:color="auto"/>
        <w:bottom w:val="single" w:sz="4" w:space="0" w:color="auto"/>
        <w:right w:val="single" w:sz="4" w:space="0" w:color="auto"/>
      </w:pBdr>
      <w:shd w:val="clear" w:color="4472C4" w:fill="4472C4"/>
      <w:spacing w:before="100" w:beforeAutospacing="1" w:after="100" w:afterAutospacing="1"/>
      <w:jc w:val="center"/>
      <w:textAlignment w:val="center"/>
    </w:pPr>
    <w:rPr>
      <w:rFonts w:eastAsia="Times New Roman"/>
      <w:b/>
      <w:bCs/>
      <w:color w:val="FFFFFF"/>
      <w:lang w:val="es-CO" w:eastAsia="es-CO"/>
    </w:rPr>
  </w:style>
  <w:style w:type="paragraph" w:customStyle="1" w:styleId="xl68">
    <w:name w:val="xl68"/>
    <w:basedOn w:val="Normal"/>
    <w:rsid w:val="00141D8B"/>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pPr>
    <w:rPr>
      <w:rFonts w:ascii="Arial Narrow" w:eastAsia="Times New Roman" w:hAnsi="Arial Narrow"/>
      <w:lang w:val="es-CO" w:eastAsia="es-CO"/>
    </w:rPr>
  </w:style>
  <w:style w:type="paragraph" w:customStyle="1" w:styleId="xl69">
    <w:name w:val="xl69"/>
    <w:basedOn w:val="Normal"/>
    <w:rsid w:val="00141D8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Narrow" w:eastAsia="Times New Roman" w:hAnsi="Arial Narrow"/>
      <w:lang w:val="es-CO" w:eastAsia="es-CO"/>
    </w:rPr>
  </w:style>
  <w:style w:type="paragraph" w:customStyle="1" w:styleId="xl70">
    <w:name w:val="xl70"/>
    <w:basedOn w:val="Normal"/>
    <w:rsid w:val="00141D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lang w:val="es-CO" w:eastAsia="es-CO"/>
    </w:rPr>
  </w:style>
  <w:style w:type="paragraph" w:customStyle="1" w:styleId="xl71">
    <w:name w:val="xl71"/>
    <w:basedOn w:val="Normal"/>
    <w:rsid w:val="00141D8B"/>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pPr>
    <w:rPr>
      <w:rFonts w:eastAsia="Times New Roman"/>
      <w:lang w:val="es-CO" w:eastAsia="es-CO"/>
    </w:rPr>
  </w:style>
  <w:style w:type="paragraph" w:customStyle="1" w:styleId="xl72">
    <w:name w:val="xl72"/>
    <w:basedOn w:val="Normal"/>
    <w:rsid w:val="00141D8B"/>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pPr>
    <w:rPr>
      <w:rFonts w:eastAsia="Times New Roman"/>
      <w:lang w:val="es-CO" w:eastAsia="es-CO"/>
    </w:rPr>
  </w:style>
  <w:style w:type="paragraph" w:customStyle="1" w:styleId="xl73">
    <w:name w:val="xl73"/>
    <w:basedOn w:val="Normal"/>
    <w:rsid w:val="00141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lang w:val="es-CO" w:eastAsia="es-CO"/>
    </w:rPr>
  </w:style>
  <w:style w:type="paragraph" w:customStyle="1" w:styleId="xl74">
    <w:name w:val="xl74"/>
    <w:basedOn w:val="Normal"/>
    <w:rsid w:val="00141D8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s-CO" w:eastAsia="es-CO"/>
    </w:rPr>
  </w:style>
  <w:style w:type="paragraph" w:customStyle="1" w:styleId="xl75">
    <w:name w:val="xl75"/>
    <w:basedOn w:val="Normal"/>
    <w:rsid w:val="00141D8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s-CO" w:eastAsia="es-CO"/>
    </w:rPr>
  </w:style>
  <w:style w:type="paragraph" w:customStyle="1" w:styleId="xl76">
    <w:name w:val="xl76"/>
    <w:basedOn w:val="Normal"/>
    <w:rsid w:val="00141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lang w:val="es-CO" w:eastAsia="es-CO"/>
    </w:rPr>
  </w:style>
  <w:style w:type="paragraph" w:customStyle="1" w:styleId="xl77">
    <w:name w:val="xl77"/>
    <w:basedOn w:val="Normal"/>
    <w:rsid w:val="00141D8B"/>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pPr>
    <w:rPr>
      <w:rFonts w:ascii="Arial Narrow" w:eastAsia="Times New Roman" w:hAnsi="Arial Narrow"/>
      <w:lang w:val="es-CO" w:eastAsia="es-CO"/>
    </w:rPr>
  </w:style>
  <w:style w:type="paragraph" w:customStyle="1" w:styleId="xl78">
    <w:name w:val="xl78"/>
    <w:basedOn w:val="Normal"/>
    <w:rsid w:val="00141D8B"/>
    <w:pPr>
      <w:pBdr>
        <w:top w:val="single" w:sz="4" w:space="0" w:color="auto"/>
        <w:left w:val="single" w:sz="4" w:space="0" w:color="auto"/>
        <w:bottom w:val="single" w:sz="4" w:space="0" w:color="auto"/>
        <w:right w:val="single" w:sz="4" w:space="0" w:color="auto"/>
      </w:pBdr>
      <w:shd w:val="clear" w:color="4472C4" w:fill="4472C4"/>
      <w:spacing w:before="100" w:beforeAutospacing="1" w:after="100" w:afterAutospacing="1"/>
      <w:jc w:val="center"/>
      <w:textAlignment w:val="center"/>
    </w:pPr>
    <w:rPr>
      <w:rFonts w:ascii="Arial Narrow" w:eastAsia="Times New Roman" w:hAnsi="Arial Narrow"/>
      <w:b/>
      <w:bCs/>
      <w:color w:val="FFFFFF"/>
      <w:lang w:val="es-CO" w:eastAsia="es-CO"/>
    </w:rPr>
  </w:style>
  <w:style w:type="paragraph" w:customStyle="1" w:styleId="xl79">
    <w:name w:val="xl79"/>
    <w:basedOn w:val="Normal"/>
    <w:rsid w:val="00141D8B"/>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pPr>
    <w:rPr>
      <w:rFonts w:ascii="Arial Narrow" w:eastAsia="Times New Roman" w:hAnsi="Arial Narrow"/>
      <w:lang w:val="es-CO" w:eastAsia="es-CO"/>
    </w:rPr>
  </w:style>
  <w:style w:type="paragraph" w:customStyle="1" w:styleId="xl80">
    <w:name w:val="xl80"/>
    <w:basedOn w:val="Normal"/>
    <w:rsid w:val="00141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lang w:val="es-CO" w:eastAsia="es-CO"/>
    </w:rPr>
  </w:style>
  <w:style w:type="paragraph" w:customStyle="1" w:styleId="xl81">
    <w:name w:val="xl81"/>
    <w:basedOn w:val="Normal"/>
    <w:rsid w:val="00141D8B"/>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pPr>
    <w:rPr>
      <w:rFonts w:ascii="Arial Narrow" w:eastAsia="Times New Roman" w:hAnsi="Arial Narrow"/>
      <w:lang w:val="es-CO" w:eastAsia="es-CO"/>
    </w:rPr>
  </w:style>
  <w:style w:type="paragraph" w:customStyle="1" w:styleId="xl82">
    <w:name w:val="xl82"/>
    <w:basedOn w:val="Normal"/>
    <w:rsid w:val="00141D8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Narrow" w:eastAsia="Times New Roman" w:hAnsi="Arial Narrow"/>
      <w:sz w:val="20"/>
      <w:szCs w:val="20"/>
      <w:lang w:val="es-CO" w:eastAsia="es-CO"/>
    </w:rPr>
  </w:style>
  <w:style w:type="paragraph" w:customStyle="1" w:styleId="xl83">
    <w:name w:val="xl83"/>
    <w:basedOn w:val="Normal"/>
    <w:rsid w:val="00141D8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Narrow" w:eastAsia="Times New Roman" w:hAnsi="Arial Narrow"/>
      <w:lang w:val="es-CO" w:eastAsia="es-CO"/>
    </w:rPr>
  </w:style>
  <w:style w:type="paragraph" w:customStyle="1" w:styleId="xl84">
    <w:name w:val="xl84"/>
    <w:basedOn w:val="Normal"/>
    <w:rsid w:val="00141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lang w:val="es-CO" w:eastAsia="es-CO"/>
    </w:rPr>
  </w:style>
  <w:style w:type="paragraph" w:customStyle="1" w:styleId="xl85">
    <w:name w:val="xl85"/>
    <w:basedOn w:val="Normal"/>
    <w:rsid w:val="00141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lang w:val="es-CO" w:eastAsia="es-CO"/>
    </w:rPr>
  </w:style>
  <w:style w:type="paragraph" w:customStyle="1" w:styleId="xl86">
    <w:name w:val="xl86"/>
    <w:basedOn w:val="Normal"/>
    <w:rsid w:val="00141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lang w:val="es-CO" w:eastAsia="es-CO"/>
    </w:rPr>
  </w:style>
  <w:style w:type="paragraph" w:styleId="Textocomentario">
    <w:name w:val="annotation text"/>
    <w:basedOn w:val="Normal"/>
    <w:link w:val="TextocomentarioCar"/>
    <w:uiPriority w:val="99"/>
    <w:semiHidden/>
    <w:unhideWhenUsed/>
    <w:pPr>
      <w:jc w:val="both"/>
    </w:pPr>
    <w:rPr>
      <w:rFonts w:ascii="Tahoma" w:eastAsia="Tahoma" w:hAnsi="Tahoma" w:cs="Tahoma"/>
      <w:sz w:val="20"/>
      <w:szCs w:val="20"/>
      <w:lang w:val="es" w:eastAsia="es-MX"/>
    </w:rPr>
  </w:style>
  <w:style w:type="character" w:customStyle="1" w:styleId="TextocomentarioCar">
    <w:name w:val="Texto comentario Car"/>
    <w:basedOn w:val="Fuentedeprrafopredeter"/>
    <w:link w:val="Textocomentario"/>
    <w:uiPriority w:val="99"/>
    <w:semiHidden/>
    <w:rPr>
      <w:rFonts w:ascii="Tahoma" w:eastAsia="Tahoma" w:hAnsi="Tahoma" w:cs="Tahoma"/>
      <w:sz w:val="20"/>
      <w:szCs w:val="20"/>
      <w:lang w:val="es" w:eastAsia="es-MX"/>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B498A"/>
    <w:pPr>
      <w:jc w:val="both"/>
    </w:pPr>
    <w:rPr>
      <w:rFonts w:ascii="Segoe UI" w:eastAsia="Tahoma" w:hAnsi="Segoe UI" w:cs="Segoe UI"/>
      <w:sz w:val="18"/>
      <w:szCs w:val="18"/>
      <w:lang w:val="es" w:eastAsia="es-MX"/>
    </w:rPr>
  </w:style>
  <w:style w:type="character" w:customStyle="1" w:styleId="TextodegloboCar">
    <w:name w:val="Texto de globo Car"/>
    <w:basedOn w:val="Fuentedeprrafopredeter"/>
    <w:link w:val="Textodeglobo"/>
    <w:uiPriority w:val="99"/>
    <w:semiHidden/>
    <w:rsid w:val="007B498A"/>
    <w:rPr>
      <w:rFonts w:ascii="Segoe UI" w:eastAsia="Tahoma" w:hAnsi="Segoe UI" w:cs="Segoe UI"/>
      <w:sz w:val="18"/>
      <w:szCs w:val="18"/>
      <w:lang w:val="es" w:eastAsia="es-MX"/>
    </w:rPr>
  </w:style>
  <w:style w:type="character" w:customStyle="1" w:styleId="superscript">
    <w:name w:val="superscript"/>
    <w:basedOn w:val="Fuentedeprrafopredeter"/>
    <w:rsid w:val="00ED479A"/>
  </w:style>
  <w:style w:type="paragraph" w:customStyle="1" w:styleId="margenizq1punto0">
    <w:name w:val="margen_izq_1punto0"/>
    <w:basedOn w:val="Normal"/>
    <w:rsid w:val="00531B69"/>
    <w:pPr>
      <w:spacing w:before="100" w:beforeAutospacing="1" w:after="100" w:afterAutospacing="1"/>
    </w:pPr>
    <w:rPr>
      <w:rFonts w:eastAsia="Times New Roman"/>
      <w:lang w:val="es-CO" w:eastAsia="es-CO"/>
    </w:rPr>
  </w:style>
  <w:style w:type="paragraph" w:styleId="Asuntodelcomentario">
    <w:name w:val="annotation subject"/>
    <w:basedOn w:val="Textocomentario"/>
    <w:next w:val="Textocomentario"/>
    <w:link w:val="AsuntodelcomentarioCar"/>
    <w:uiPriority w:val="99"/>
    <w:semiHidden/>
    <w:unhideWhenUsed/>
    <w:rsid w:val="003E10F8"/>
    <w:pPr>
      <w:jc w:val="left"/>
    </w:pPr>
    <w:rPr>
      <w:rFonts w:ascii="Times New Roman" w:eastAsiaTheme="minorHAnsi" w:hAnsi="Times New Roman" w:cs="Times New Roman"/>
      <w:b/>
      <w:bCs/>
      <w:lang w:val="es-ES_tradnl" w:eastAsia="es-ES_tradnl"/>
    </w:rPr>
  </w:style>
  <w:style w:type="character" w:customStyle="1" w:styleId="AsuntodelcomentarioCar">
    <w:name w:val="Asunto del comentario Car"/>
    <w:basedOn w:val="TextocomentarioCar"/>
    <w:link w:val="Asuntodelcomentario"/>
    <w:uiPriority w:val="99"/>
    <w:semiHidden/>
    <w:rsid w:val="003E10F8"/>
    <w:rPr>
      <w:rFonts w:ascii="Times New Roman" w:eastAsia="Tahoma" w:hAnsi="Times New Roman" w:cs="Times New Roman"/>
      <w:b/>
      <w:bCs/>
      <w:sz w:val="20"/>
      <w:szCs w:val="20"/>
      <w:lang w:val="es-ES_tradnl" w:eastAsia="es-ES_tradnl"/>
    </w:rPr>
  </w:style>
  <w:style w:type="paragraph" w:styleId="Revisin">
    <w:name w:val="Revision"/>
    <w:hidden/>
    <w:uiPriority w:val="99"/>
    <w:semiHidden/>
    <w:rsid w:val="00B84FC6"/>
    <w:pPr>
      <w:spacing w:before="0" w:beforeAutospacing="0" w:after="0" w:afterAutospacing="0" w:line="240" w:lineRule="auto"/>
      <w:ind w:firstLine="0"/>
      <w:jc w:val="left"/>
    </w:pPr>
    <w:rPr>
      <w:rFonts w:ascii="Times New Roman" w:hAnsi="Times New Roman" w:cs="Times New Roman"/>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89984">
      <w:bodyDiv w:val="1"/>
      <w:marLeft w:val="0"/>
      <w:marRight w:val="0"/>
      <w:marTop w:val="0"/>
      <w:marBottom w:val="0"/>
      <w:divBdr>
        <w:top w:val="none" w:sz="0" w:space="0" w:color="auto"/>
        <w:left w:val="none" w:sz="0" w:space="0" w:color="auto"/>
        <w:bottom w:val="none" w:sz="0" w:space="0" w:color="auto"/>
        <w:right w:val="none" w:sz="0" w:space="0" w:color="auto"/>
      </w:divBdr>
    </w:div>
    <w:div w:id="509103026">
      <w:bodyDiv w:val="1"/>
      <w:marLeft w:val="0"/>
      <w:marRight w:val="0"/>
      <w:marTop w:val="0"/>
      <w:marBottom w:val="0"/>
      <w:divBdr>
        <w:top w:val="none" w:sz="0" w:space="0" w:color="auto"/>
        <w:left w:val="none" w:sz="0" w:space="0" w:color="auto"/>
        <w:bottom w:val="none" w:sz="0" w:space="0" w:color="auto"/>
        <w:right w:val="none" w:sz="0" w:space="0" w:color="auto"/>
      </w:divBdr>
      <w:divsChild>
        <w:div w:id="1603950208">
          <w:marLeft w:val="0"/>
          <w:marRight w:val="0"/>
          <w:marTop w:val="0"/>
          <w:marBottom w:val="0"/>
          <w:divBdr>
            <w:top w:val="none" w:sz="0" w:space="0" w:color="auto"/>
            <w:left w:val="none" w:sz="0" w:space="0" w:color="auto"/>
            <w:bottom w:val="none" w:sz="0" w:space="0" w:color="auto"/>
            <w:right w:val="none" w:sz="0" w:space="0" w:color="auto"/>
          </w:divBdr>
        </w:div>
        <w:div w:id="83962970">
          <w:marLeft w:val="0"/>
          <w:marRight w:val="0"/>
          <w:marTop w:val="0"/>
          <w:marBottom w:val="0"/>
          <w:divBdr>
            <w:top w:val="none" w:sz="0" w:space="0" w:color="auto"/>
            <w:left w:val="none" w:sz="0" w:space="0" w:color="auto"/>
            <w:bottom w:val="none" w:sz="0" w:space="0" w:color="auto"/>
            <w:right w:val="none" w:sz="0" w:space="0" w:color="auto"/>
          </w:divBdr>
        </w:div>
        <w:div w:id="521015021">
          <w:marLeft w:val="0"/>
          <w:marRight w:val="0"/>
          <w:marTop w:val="0"/>
          <w:marBottom w:val="0"/>
          <w:divBdr>
            <w:top w:val="none" w:sz="0" w:space="0" w:color="auto"/>
            <w:left w:val="none" w:sz="0" w:space="0" w:color="auto"/>
            <w:bottom w:val="none" w:sz="0" w:space="0" w:color="auto"/>
            <w:right w:val="none" w:sz="0" w:space="0" w:color="auto"/>
          </w:divBdr>
        </w:div>
        <w:div w:id="914900274">
          <w:marLeft w:val="0"/>
          <w:marRight w:val="0"/>
          <w:marTop w:val="0"/>
          <w:marBottom w:val="0"/>
          <w:divBdr>
            <w:top w:val="none" w:sz="0" w:space="0" w:color="auto"/>
            <w:left w:val="none" w:sz="0" w:space="0" w:color="auto"/>
            <w:bottom w:val="none" w:sz="0" w:space="0" w:color="auto"/>
            <w:right w:val="none" w:sz="0" w:space="0" w:color="auto"/>
          </w:divBdr>
        </w:div>
        <w:div w:id="507254847">
          <w:marLeft w:val="0"/>
          <w:marRight w:val="0"/>
          <w:marTop w:val="0"/>
          <w:marBottom w:val="0"/>
          <w:divBdr>
            <w:top w:val="none" w:sz="0" w:space="0" w:color="auto"/>
            <w:left w:val="none" w:sz="0" w:space="0" w:color="auto"/>
            <w:bottom w:val="none" w:sz="0" w:space="0" w:color="auto"/>
            <w:right w:val="none" w:sz="0" w:space="0" w:color="auto"/>
          </w:divBdr>
        </w:div>
        <w:div w:id="1041858543">
          <w:marLeft w:val="0"/>
          <w:marRight w:val="0"/>
          <w:marTop w:val="0"/>
          <w:marBottom w:val="0"/>
          <w:divBdr>
            <w:top w:val="none" w:sz="0" w:space="0" w:color="auto"/>
            <w:left w:val="none" w:sz="0" w:space="0" w:color="auto"/>
            <w:bottom w:val="none" w:sz="0" w:space="0" w:color="auto"/>
            <w:right w:val="none" w:sz="0" w:space="0" w:color="auto"/>
          </w:divBdr>
        </w:div>
        <w:div w:id="278606362">
          <w:marLeft w:val="0"/>
          <w:marRight w:val="0"/>
          <w:marTop w:val="0"/>
          <w:marBottom w:val="0"/>
          <w:divBdr>
            <w:top w:val="none" w:sz="0" w:space="0" w:color="auto"/>
            <w:left w:val="none" w:sz="0" w:space="0" w:color="auto"/>
            <w:bottom w:val="none" w:sz="0" w:space="0" w:color="auto"/>
            <w:right w:val="none" w:sz="0" w:space="0" w:color="auto"/>
          </w:divBdr>
        </w:div>
        <w:div w:id="503130604">
          <w:marLeft w:val="0"/>
          <w:marRight w:val="0"/>
          <w:marTop w:val="0"/>
          <w:marBottom w:val="0"/>
          <w:divBdr>
            <w:top w:val="none" w:sz="0" w:space="0" w:color="auto"/>
            <w:left w:val="none" w:sz="0" w:space="0" w:color="auto"/>
            <w:bottom w:val="none" w:sz="0" w:space="0" w:color="auto"/>
            <w:right w:val="none" w:sz="0" w:space="0" w:color="auto"/>
          </w:divBdr>
        </w:div>
        <w:div w:id="1165979371">
          <w:marLeft w:val="0"/>
          <w:marRight w:val="0"/>
          <w:marTop w:val="0"/>
          <w:marBottom w:val="0"/>
          <w:divBdr>
            <w:top w:val="none" w:sz="0" w:space="0" w:color="auto"/>
            <w:left w:val="none" w:sz="0" w:space="0" w:color="auto"/>
            <w:bottom w:val="none" w:sz="0" w:space="0" w:color="auto"/>
            <w:right w:val="none" w:sz="0" w:space="0" w:color="auto"/>
          </w:divBdr>
        </w:div>
        <w:div w:id="1430196541">
          <w:marLeft w:val="0"/>
          <w:marRight w:val="0"/>
          <w:marTop w:val="0"/>
          <w:marBottom w:val="0"/>
          <w:divBdr>
            <w:top w:val="none" w:sz="0" w:space="0" w:color="auto"/>
            <w:left w:val="none" w:sz="0" w:space="0" w:color="auto"/>
            <w:bottom w:val="none" w:sz="0" w:space="0" w:color="auto"/>
            <w:right w:val="none" w:sz="0" w:space="0" w:color="auto"/>
          </w:divBdr>
        </w:div>
        <w:div w:id="1437093284">
          <w:marLeft w:val="0"/>
          <w:marRight w:val="0"/>
          <w:marTop w:val="0"/>
          <w:marBottom w:val="0"/>
          <w:divBdr>
            <w:top w:val="none" w:sz="0" w:space="0" w:color="auto"/>
            <w:left w:val="none" w:sz="0" w:space="0" w:color="auto"/>
            <w:bottom w:val="none" w:sz="0" w:space="0" w:color="auto"/>
            <w:right w:val="none" w:sz="0" w:space="0" w:color="auto"/>
          </w:divBdr>
        </w:div>
        <w:div w:id="980189145">
          <w:marLeft w:val="0"/>
          <w:marRight w:val="0"/>
          <w:marTop w:val="0"/>
          <w:marBottom w:val="0"/>
          <w:divBdr>
            <w:top w:val="none" w:sz="0" w:space="0" w:color="auto"/>
            <w:left w:val="none" w:sz="0" w:space="0" w:color="auto"/>
            <w:bottom w:val="none" w:sz="0" w:space="0" w:color="auto"/>
            <w:right w:val="none" w:sz="0" w:space="0" w:color="auto"/>
          </w:divBdr>
        </w:div>
        <w:div w:id="1523863155">
          <w:marLeft w:val="0"/>
          <w:marRight w:val="0"/>
          <w:marTop w:val="0"/>
          <w:marBottom w:val="0"/>
          <w:divBdr>
            <w:top w:val="none" w:sz="0" w:space="0" w:color="auto"/>
            <w:left w:val="none" w:sz="0" w:space="0" w:color="auto"/>
            <w:bottom w:val="none" w:sz="0" w:space="0" w:color="auto"/>
            <w:right w:val="none" w:sz="0" w:space="0" w:color="auto"/>
          </w:divBdr>
        </w:div>
        <w:div w:id="540018971">
          <w:marLeft w:val="0"/>
          <w:marRight w:val="0"/>
          <w:marTop w:val="0"/>
          <w:marBottom w:val="0"/>
          <w:divBdr>
            <w:top w:val="none" w:sz="0" w:space="0" w:color="auto"/>
            <w:left w:val="none" w:sz="0" w:space="0" w:color="auto"/>
            <w:bottom w:val="none" w:sz="0" w:space="0" w:color="auto"/>
            <w:right w:val="none" w:sz="0" w:space="0" w:color="auto"/>
          </w:divBdr>
        </w:div>
        <w:div w:id="1340543366">
          <w:marLeft w:val="0"/>
          <w:marRight w:val="0"/>
          <w:marTop w:val="0"/>
          <w:marBottom w:val="0"/>
          <w:divBdr>
            <w:top w:val="none" w:sz="0" w:space="0" w:color="auto"/>
            <w:left w:val="none" w:sz="0" w:space="0" w:color="auto"/>
            <w:bottom w:val="none" w:sz="0" w:space="0" w:color="auto"/>
            <w:right w:val="none" w:sz="0" w:space="0" w:color="auto"/>
          </w:divBdr>
        </w:div>
        <w:div w:id="1071000169">
          <w:marLeft w:val="0"/>
          <w:marRight w:val="0"/>
          <w:marTop w:val="0"/>
          <w:marBottom w:val="0"/>
          <w:divBdr>
            <w:top w:val="none" w:sz="0" w:space="0" w:color="auto"/>
            <w:left w:val="none" w:sz="0" w:space="0" w:color="auto"/>
            <w:bottom w:val="none" w:sz="0" w:space="0" w:color="auto"/>
            <w:right w:val="none" w:sz="0" w:space="0" w:color="auto"/>
          </w:divBdr>
        </w:div>
        <w:div w:id="247465517">
          <w:marLeft w:val="0"/>
          <w:marRight w:val="0"/>
          <w:marTop w:val="0"/>
          <w:marBottom w:val="0"/>
          <w:divBdr>
            <w:top w:val="none" w:sz="0" w:space="0" w:color="auto"/>
            <w:left w:val="none" w:sz="0" w:space="0" w:color="auto"/>
            <w:bottom w:val="none" w:sz="0" w:space="0" w:color="auto"/>
            <w:right w:val="none" w:sz="0" w:space="0" w:color="auto"/>
          </w:divBdr>
        </w:div>
        <w:div w:id="1697273355">
          <w:marLeft w:val="0"/>
          <w:marRight w:val="0"/>
          <w:marTop w:val="0"/>
          <w:marBottom w:val="0"/>
          <w:divBdr>
            <w:top w:val="none" w:sz="0" w:space="0" w:color="auto"/>
            <w:left w:val="none" w:sz="0" w:space="0" w:color="auto"/>
            <w:bottom w:val="none" w:sz="0" w:space="0" w:color="auto"/>
            <w:right w:val="none" w:sz="0" w:space="0" w:color="auto"/>
          </w:divBdr>
        </w:div>
        <w:div w:id="8651303">
          <w:marLeft w:val="0"/>
          <w:marRight w:val="0"/>
          <w:marTop w:val="0"/>
          <w:marBottom w:val="0"/>
          <w:divBdr>
            <w:top w:val="none" w:sz="0" w:space="0" w:color="auto"/>
            <w:left w:val="none" w:sz="0" w:space="0" w:color="auto"/>
            <w:bottom w:val="none" w:sz="0" w:space="0" w:color="auto"/>
            <w:right w:val="none" w:sz="0" w:space="0" w:color="auto"/>
          </w:divBdr>
        </w:div>
      </w:divsChild>
    </w:div>
    <w:div w:id="628827912">
      <w:bodyDiv w:val="1"/>
      <w:marLeft w:val="0"/>
      <w:marRight w:val="0"/>
      <w:marTop w:val="0"/>
      <w:marBottom w:val="0"/>
      <w:divBdr>
        <w:top w:val="none" w:sz="0" w:space="0" w:color="auto"/>
        <w:left w:val="none" w:sz="0" w:space="0" w:color="auto"/>
        <w:bottom w:val="none" w:sz="0" w:space="0" w:color="auto"/>
        <w:right w:val="none" w:sz="0" w:space="0" w:color="auto"/>
      </w:divBdr>
    </w:div>
    <w:div w:id="757484735">
      <w:bodyDiv w:val="1"/>
      <w:marLeft w:val="0"/>
      <w:marRight w:val="0"/>
      <w:marTop w:val="0"/>
      <w:marBottom w:val="0"/>
      <w:divBdr>
        <w:top w:val="none" w:sz="0" w:space="0" w:color="auto"/>
        <w:left w:val="none" w:sz="0" w:space="0" w:color="auto"/>
        <w:bottom w:val="none" w:sz="0" w:space="0" w:color="auto"/>
        <w:right w:val="none" w:sz="0" w:space="0" w:color="auto"/>
      </w:divBdr>
    </w:div>
    <w:div w:id="99858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f4da6c3c13e6437e"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07BA-8F7D-48B9-8C8E-6B184C363219}">
  <ds:schemaRefs>
    <ds:schemaRef ds:uri="http://schemas.microsoft.com/sharepoint/v3/contenttype/forms"/>
  </ds:schemaRefs>
</ds:datastoreItem>
</file>

<file path=customXml/itemProps2.xml><?xml version="1.0" encoding="utf-8"?>
<ds:datastoreItem xmlns:ds="http://schemas.openxmlformats.org/officeDocument/2006/customXml" ds:itemID="{887D9036-41D4-4C12-8C5F-E66FBBEF9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3FD21-70B3-4A4E-80FE-66E0BE8DE0FA}">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46C285C1-122C-4136-9779-2A494EC0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6842</Words>
  <Characters>37632</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15</cp:revision>
  <dcterms:created xsi:type="dcterms:W3CDTF">2023-04-27T22:25:00Z</dcterms:created>
  <dcterms:modified xsi:type="dcterms:W3CDTF">2023-07-14T21:56:00Z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0x01010068EE391AA6E7E74B8C8815FA12ECA57C</vt:lpwstr>
  </property>
</Properties>
</file>