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3E4CBF1" w14:textId="77777777" w:rsidR="00AC0E66" w:rsidRPr="00AC0E66" w:rsidRDefault="00AC0E66" w:rsidP="00AC0E66">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bookmarkStart w:id="1" w:name="_Hlk136339010"/>
      <w:bookmarkStart w:id="2" w:name="_Hlk138835899"/>
      <w:bookmarkEnd w:id="0"/>
      <w:r w:rsidRPr="00AC0E6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B70BEC8" w14:textId="77777777" w:rsidR="00AC0E66" w:rsidRPr="00AC0E66" w:rsidRDefault="00AC0E66" w:rsidP="00AC0E66">
      <w:pPr>
        <w:spacing w:line="240" w:lineRule="auto"/>
        <w:rPr>
          <w:rFonts w:ascii="Arial" w:eastAsia="Times New Roman" w:hAnsi="Arial" w:cs="Arial"/>
          <w:sz w:val="20"/>
          <w:szCs w:val="20"/>
          <w:lang w:val="es-419" w:eastAsia="es-ES"/>
        </w:rPr>
      </w:pPr>
    </w:p>
    <w:p w14:paraId="31B000CC" w14:textId="25CDF057" w:rsidR="00AC0E66" w:rsidRPr="00AC0E66" w:rsidRDefault="00AC0E66" w:rsidP="00AC0E66">
      <w:pPr>
        <w:spacing w:line="240" w:lineRule="auto"/>
        <w:rPr>
          <w:rFonts w:ascii="Arial" w:eastAsia="Tahoma" w:hAnsi="Arial" w:cs="Arial"/>
          <w:sz w:val="20"/>
          <w:szCs w:val="20"/>
          <w:lang w:val="es-419" w:eastAsia="es-ES"/>
        </w:rPr>
      </w:pPr>
      <w:bookmarkStart w:id="3" w:name="_GoBack"/>
      <w:bookmarkEnd w:id="3"/>
      <w:r w:rsidRPr="00AC0E66">
        <w:rPr>
          <w:rFonts w:ascii="Arial" w:eastAsia="Tahoma" w:hAnsi="Arial" w:cs="Arial"/>
          <w:sz w:val="20"/>
          <w:szCs w:val="20"/>
          <w:lang w:val="es-419" w:eastAsia="es-ES"/>
        </w:rPr>
        <w:t>Radicación No.:</w:t>
      </w:r>
      <w:r>
        <w:rPr>
          <w:rFonts w:ascii="Arial" w:eastAsia="Tahoma" w:hAnsi="Arial" w:cs="Arial"/>
          <w:sz w:val="20"/>
          <w:szCs w:val="20"/>
          <w:lang w:val="es-419" w:eastAsia="es-ES"/>
        </w:rPr>
        <w:tab/>
      </w:r>
      <w:r w:rsidRPr="00AC0E66">
        <w:rPr>
          <w:rFonts w:ascii="Arial" w:eastAsia="Tahoma" w:hAnsi="Arial" w:cs="Arial"/>
          <w:sz w:val="20"/>
          <w:szCs w:val="20"/>
          <w:lang w:val="es-419" w:eastAsia="es-ES"/>
        </w:rPr>
        <w:tab/>
        <w:t>66001-31-05-002-2020-00016-01</w:t>
      </w:r>
    </w:p>
    <w:p w14:paraId="481B6940" w14:textId="77777777" w:rsidR="00AC0E66" w:rsidRPr="00AC0E66" w:rsidRDefault="00AC0E66" w:rsidP="00AC0E66">
      <w:pPr>
        <w:spacing w:line="240" w:lineRule="auto"/>
        <w:rPr>
          <w:rFonts w:ascii="Arial" w:eastAsia="Tahoma" w:hAnsi="Arial" w:cs="Arial"/>
          <w:sz w:val="20"/>
          <w:szCs w:val="20"/>
          <w:lang w:val="es-419" w:eastAsia="es-ES"/>
        </w:rPr>
      </w:pPr>
      <w:r w:rsidRPr="00AC0E66">
        <w:rPr>
          <w:rFonts w:ascii="Arial" w:eastAsia="Tahoma" w:hAnsi="Arial" w:cs="Arial"/>
          <w:sz w:val="20"/>
          <w:szCs w:val="20"/>
          <w:lang w:val="es-419" w:eastAsia="es-ES"/>
        </w:rPr>
        <w:t>Proceso:</w:t>
      </w:r>
      <w:r w:rsidRPr="00AC0E66">
        <w:rPr>
          <w:rFonts w:ascii="Arial" w:eastAsia="Tahoma" w:hAnsi="Arial" w:cs="Arial"/>
          <w:sz w:val="20"/>
          <w:szCs w:val="20"/>
          <w:lang w:val="es-419" w:eastAsia="es-ES"/>
        </w:rPr>
        <w:tab/>
      </w:r>
      <w:r w:rsidRPr="00AC0E66">
        <w:rPr>
          <w:rFonts w:ascii="Arial" w:eastAsia="Tahoma" w:hAnsi="Arial" w:cs="Arial"/>
          <w:sz w:val="20"/>
          <w:szCs w:val="20"/>
          <w:lang w:val="es-419" w:eastAsia="es-ES"/>
        </w:rPr>
        <w:tab/>
        <w:t>Ordinario laboral</w:t>
      </w:r>
    </w:p>
    <w:p w14:paraId="5EA19F9A" w14:textId="77777777" w:rsidR="00AC0E66" w:rsidRPr="00AC0E66" w:rsidRDefault="00AC0E66" w:rsidP="00AC0E66">
      <w:pPr>
        <w:spacing w:line="240" w:lineRule="auto"/>
        <w:rPr>
          <w:rFonts w:ascii="Arial" w:eastAsia="Tahoma" w:hAnsi="Arial" w:cs="Arial"/>
          <w:sz w:val="20"/>
          <w:szCs w:val="20"/>
          <w:lang w:val="es-419" w:eastAsia="es-ES"/>
        </w:rPr>
      </w:pPr>
      <w:r w:rsidRPr="00AC0E66">
        <w:rPr>
          <w:rFonts w:ascii="Arial" w:eastAsia="Tahoma" w:hAnsi="Arial" w:cs="Arial"/>
          <w:sz w:val="20"/>
          <w:szCs w:val="20"/>
          <w:lang w:val="es-419" w:eastAsia="es-ES"/>
        </w:rPr>
        <w:t>Demandante:</w:t>
      </w:r>
      <w:r w:rsidRPr="00AC0E66">
        <w:rPr>
          <w:rFonts w:ascii="Arial" w:eastAsia="Tahoma" w:hAnsi="Arial" w:cs="Arial"/>
          <w:sz w:val="20"/>
          <w:szCs w:val="20"/>
          <w:lang w:val="es-419" w:eastAsia="es-ES"/>
        </w:rPr>
        <w:tab/>
      </w:r>
      <w:r w:rsidRPr="00AC0E66">
        <w:rPr>
          <w:rFonts w:ascii="Arial" w:eastAsia="Tahoma" w:hAnsi="Arial" w:cs="Arial"/>
          <w:sz w:val="20"/>
          <w:szCs w:val="20"/>
          <w:lang w:val="es-419" w:eastAsia="es-ES"/>
        </w:rPr>
        <w:tab/>
        <w:t>Bernardo Santibáñez Díaz</w:t>
      </w:r>
    </w:p>
    <w:p w14:paraId="7974D19A" w14:textId="77777777" w:rsidR="00AC0E66" w:rsidRPr="00AC0E66" w:rsidRDefault="00AC0E66" w:rsidP="00AC0E66">
      <w:pPr>
        <w:spacing w:line="240" w:lineRule="auto"/>
        <w:rPr>
          <w:rFonts w:ascii="Arial" w:eastAsia="Tahoma" w:hAnsi="Arial" w:cs="Arial"/>
          <w:sz w:val="20"/>
          <w:szCs w:val="20"/>
          <w:lang w:val="es-419" w:eastAsia="es-ES"/>
        </w:rPr>
      </w:pPr>
      <w:r w:rsidRPr="00AC0E66">
        <w:rPr>
          <w:rFonts w:ascii="Arial" w:eastAsia="Tahoma" w:hAnsi="Arial" w:cs="Arial"/>
          <w:sz w:val="20"/>
          <w:szCs w:val="20"/>
          <w:lang w:val="es-419" w:eastAsia="es-ES"/>
        </w:rPr>
        <w:t>Demandado:</w:t>
      </w:r>
      <w:r w:rsidRPr="00AC0E66">
        <w:rPr>
          <w:rFonts w:ascii="Arial" w:eastAsia="Tahoma" w:hAnsi="Arial" w:cs="Arial"/>
          <w:sz w:val="20"/>
          <w:szCs w:val="20"/>
          <w:lang w:val="es-419" w:eastAsia="es-ES"/>
        </w:rPr>
        <w:tab/>
      </w:r>
      <w:r w:rsidRPr="00AC0E66">
        <w:rPr>
          <w:rFonts w:ascii="Arial" w:eastAsia="Tahoma" w:hAnsi="Arial" w:cs="Arial"/>
          <w:sz w:val="20"/>
          <w:szCs w:val="20"/>
          <w:lang w:val="es-419" w:eastAsia="es-ES"/>
        </w:rPr>
        <w:tab/>
        <w:t>Colpensiones</w:t>
      </w:r>
    </w:p>
    <w:p w14:paraId="1199E80D" w14:textId="6889FD6A" w:rsidR="00AC0E66" w:rsidRPr="00AC0E66" w:rsidRDefault="00AC0E66" w:rsidP="00AC0E66">
      <w:pPr>
        <w:spacing w:line="240" w:lineRule="auto"/>
        <w:rPr>
          <w:rFonts w:ascii="Arial" w:eastAsia="Tahoma" w:hAnsi="Arial" w:cs="Arial"/>
          <w:sz w:val="20"/>
          <w:szCs w:val="20"/>
          <w:lang w:val="es-419" w:eastAsia="es-ES"/>
        </w:rPr>
      </w:pPr>
      <w:r w:rsidRPr="00AC0E66">
        <w:rPr>
          <w:rFonts w:ascii="Arial" w:eastAsia="Tahoma" w:hAnsi="Arial" w:cs="Arial"/>
          <w:sz w:val="20"/>
          <w:szCs w:val="20"/>
          <w:lang w:val="es-419" w:eastAsia="es-ES"/>
        </w:rPr>
        <w:t>Juzgado de origen:</w:t>
      </w:r>
      <w:r w:rsidRPr="00AC0E66">
        <w:rPr>
          <w:rFonts w:ascii="Arial" w:eastAsia="Tahoma" w:hAnsi="Arial" w:cs="Arial"/>
          <w:sz w:val="20"/>
          <w:szCs w:val="20"/>
          <w:lang w:val="es-419" w:eastAsia="es-ES"/>
        </w:rPr>
        <w:tab/>
        <w:t xml:space="preserve">Segundo Laboral del Circuito de Pereira </w:t>
      </w:r>
    </w:p>
    <w:p w14:paraId="790E294F" w14:textId="77777777" w:rsidR="00AC0E66" w:rsidRPr="00AC0E66" w:rsidRDefault="00AC0E66" w:rsidP="00AC0E66">
      <w:pPr>
        <w:spacing w:line="240" w:lineRule="auto"/>
        <w:rPr>
          <w:rFonts w:ascii="Arial" w:eastAsia="Tahoma" w:hAnsi="Arial" w:cs="Arial"/>
          <w:color w:val="000000"/>
          <w:sz w:val="20"/>
          <w:szCs w:val="20"/>
          <w:lang w:eastAsia="es-ES"/>
        </w:rPr>
      </w:pPr>
    </w:p>
    <w:p w14:paraId="3B96D48F" w14:textId="79DBA03A" w:rsidR="005A6385" w:rsidRPr="005A6385" w:rsidRDefault="00A94040" w:rsidP="005A6385">
      <w:pPr>
        <w:spacing w:line="240" w:lineRule="auto"/>
        <w:rPr>
          <w:rFonts w:ascii="Arial" w:eastAsia="Times New Roman" w:hAnsi="Arial" w:cs="Arial"/>
          <w:b/>
          <w:bCs/>
          <w:iCs/>
          <w:sz w:val="20"/>
          <w:szCs w:val="20"/>
          <w:lang w:val="es-419" w:eastAsia="fr-FR"/>
        </w:rPr>
      </w:pPr>
      <w:r w:rsidRPr="005A6385">
        <w:rPr>
          <w:rFonts w:ascii="Arial" w:eastAsia="Times New Roman" w:hAnsi="Arial" w:cs="Arial"/>
          <w:b/>
          <w:bCs/>
          <w:iCs/>
          <w:sz w:val="20"/>
          <w:szCs w:val="20"/>
          <w:u w:val="single"/>
          <w:lang w:val="es-419" w:eastAsia="fr-FR"/>
        </w:rPr>
        <w:t>TEMAS:</w:t>
      </w:r>
      <w:r w:rsidRPr="005A638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VEJEZ / </w:t>
      </w:r>
      <w:r w:rsidRPr="005A6385">
        <w:rPr>
          <w:rFonts w:ascii="Arial" w:eastAsia="Times New Roman" w:hAnsi="Arial" w:cs="Arial"/>
          <w:b/>
          <w:bCs/>
          <w:iCs/>
          <w:sz w:val="20"/>
          <w:szCs w:val="20"/>
          <w:lang w:val="es-419" w:eastAsia="fr-FR"/>
        </w:rPr>
        <w:t>RETROACTIVO / FECHA DE RECONOCIMIENTO DE LA PENSIÓN / LA DE RETIRO DEL SISTEMA / EXCEPCIÓN / SI COLPENSIONES HACE INCURRIR EN ERROR AL AFILIADO</w:t>
      </w:r>
      <w:r>
        <w:rPr>
          <w:rFonts w:ascii="Arial" w:eastAsia="Times New Roman" w:hAnsi="Arial" w:cs="Arial"/>
          <w:b/>
          <w:bCs/>
          <w:iCs/>
          <w:sz w:val="20"/>
          <w:szCs w:val="20"/>
          <w:lang w:val="es-419" w:eastAsia="fr-FR"/>
        </w:rPr>
        <w:t xml:space="preserve"> / DEBE ASUMIR LAS CONSECUENCIAS / CUSTODIA Y VERIFICACIÓN DE LA HISTORIA LABORAL</w:t>
      </w:r>
      <w:r w:rsidR="005A6385" w:rsidRPr="005A6385">
        <w:rPr>
          <w:rFonts w:ascii="Arial" w:eastAsia="Times New Roman" w:hAnsi="Arial" w:cs="Arial"/>
          <w:b/>
          <w:bCs/>
          <w:iCs/>
          <w:sz w:val="20"/>
          <w:szCs w:val="20"/>
          <w:lang w:val="es-419" w:eastAsia="fr-FR"/>
        </w:rPr>
        <w:t>.</w:t>
      </w:r>
    </w:p>
    <w:p w14:paraId="2465474C" w14:textId="77777777" w:rsidR="005A6385" w:rsidRPr="005A6385" w:rsidRDefault="005A6385" w:rsidP="005A6385">
      <w:pPr>
        <w:spacing w:line="240" w:lineRule="auto"/>
        <w:rPr>
          <w:rFonts w:ascii="Arial" w:eastAsia="Times New Roman" w:hAnsi="Arial" w:cs="Arial"/>
          <w:sz w:val="20"/>
          <w:szCs w:val="20"/>
          <w:lang w:val="es-419" w:eastAsia="es-ES"/>
        </w:rPr>
      </w:pPr>
    </w:p>
    <w:p w14:paraId="5C6CEC33" w14:textId="77777777" w:rsidR="005A6385" w:rsidRPr="005A6385" w:rsidRDefault="005A6385" w:rsidP="005A6385">
      <w:pPr>
        <w:spacing w:line="240" w:lineRule="auto"/>
        <w:rPr>
          <w:rFonts w:ascii="Arial" w:eastAsia="Times New Roman" w:hAnsi="Arial" w:cs="Arial"/>
          <w:sz w:val="20"/>
          <w:szCs w:val="20"/>
          <w:lang w:val="es-419" w:eastAsia="es-ES"/>
        </w:rPr>
      </w:pPr>
      <w:r w:rsidRPr="005A6385">
        <w:rPr>
          <w:rFonts w:ascii="Arial" w:eastAsia="Times New Roman" w:hAnsi="Arial" w:cs="Arial"/>
          <w:sz w:val="20"/>
          <w:szCs w:val="20"/>
          <w:lang w:val="es-419" w:eastAsia="es-ES"/>
        </w:rPr>
        <w:t xml:space="preserve">… el criterio determinante para analizar el momento desde el cual procede el reconocimiento de la pensión, de conformidad con el artículo 13 del Acuerdo 049 de 1990, es la de desafiliación del sistema, en estas condiciones, el demandante sólo se haría acreedor a la prestación desde la fecha señalada en que reportó tal novedad o en que cesó definitivamente el pago de sus aportes pensionales siempre que a la par haya elevado solicitud pensional. </w:t>
      </w:r>
    </w:p>
    <w:p w14:paraId="59AE4634" w14:textId="77777777" w:rsidR="005A6385" w:rsidRPr="005A6385" w:rsidRDefault="005A6385" w:rsidP="005A6385">
      <w:pPr>
        <w:spacing w:line="240" w:lineRule="auto"/>
        <w:rPr>
          <w:rFonts w:ascii="Arial" w:eastAsia="Times New Roman" w:hAnsi="Arial" w:cs="Arial"/>
          <w:sz w:val="20"/>
          <w:szCs w:val="20"/>
          <w:lang w:val="es-419" w:eastAsia="es-ES"/>
        </w:rPr>
      </w:pPr>
      <w:r w:rsidRPr="005A6385">
        <w:rPr>
          <w:rFonts w:ascii="Arial" w:eastAsia="Times New Roman" w:hAnsi="Arial" w:cs="Arial"/>
          <w:sz w:val="20"/>
          <w:szCs w:val="20"/>
          <w:lang w:val="es-419" w:eastAsia="es-ES"/>
        </w:rPr>
        <w:t xml:space="preserve"> </w:t>
      </w:r>
    </w:p>
    <w:p w14:paraId="0DC82564" w14:textId="173B7F90" w:rsidR="005A6385" w:rsidRPr="005A6385" w:rsidRDefault="005A6385" w:rsidP="005A6385">
      <w:pPr>
        <w:spacing w:line="240" w:lineRule="auto"/>
        <w:rPr>
          <w:rFonts w:ascii="Arial" w:eastAsia="Times New Roman" w:hAnsi="Arial" w:cs="Arial"/>
          <w:sz w:val="20"/>
          <w:szCs w:val="20"/>
          <w:lang w:val="es-419" w:eastAsia="es-ES"/>
        </w:rPr>
      </w:pPr>
      <w:r w:rsidRPr="005A6385">
        <w:rPr>
          <w:rFonts w:ascii="Arial" w:eastAsia="Times New Roman" w:hAnsi="Arial" w:cs="Arial"/>
          <w:sz w:val="20"/>
          <w:szCs w:val="20"/>
          <w:lang w:val="es-419" w:eastAsia="es-ES"/>
        </w:rPr>
        <w:t>… esta judicatura también ha sido del criterio de que no es posible hacer responsable al asegurado de los errores de la administradora de pensiones, cuando de manera infundada ha negado el derecho pensional y, como consecuencia de ello y en procura de obtener el número mínimo de semanas necesarias para obtener la gracia pensional, el afiliado continúa haciendo aportes pensionales</w:t>
      </w:r>
      <w:r w:rsidR="00B47018" w:rsidRPr="00B47018">
        <w:rPr>
          <w:rFonts w:ascii="Arial" w:eastAsia="Times New Roman" w:hAnsi="Arial" w:cs="Arial"/>
          <w:sz w:val="20"/>
          <w:szCs w:val="20"/>
          <w:lang w:val="es-419" w:eastAsia="es-ES"/>
        </w:rPr>
        <w:t>, máxime en eventos en que las cotizaciones realizadas a futuro, no conllevan al incremento del monto definitivo de la pensión, habida cuenta que de que el IBC siempre estuvo dentro del margen del salario mínimo</w:t>
      </w:r>
      <w:r w:rsidRPr="005A6385">
        <w:rPr>
          <w:rFonts w:ascii="Arial" w:eastAsia="Times New Roman" w:hAnsi="Arial" w:cs="Arial"/>
          <w:sz w:val="20"/>
          <w:szCs w:val="20"/>
          <w:lang w:val="es-419" w:eastAsia="es-ES"/>
        </w:rPr>
        <w:t>…</w:t>
      </w:r>
    </w:p>
    <w:p w14:paraId="524F2167" w14:textId="77777777" w:rsidR="005A6385" w:rsidRPr="005A6385" w:rsidRDefault="005A6385" w:rsidP="005A6385">
      <w:pPr>
        <w:spacing w:line="240" w:lineRule="auto"/>
        <w:rPr>
          <w:rFonts w:ascii="Arial" w:eastAsia="Times New Roman" w:hAnsi="Arial" w:cs="Arial"/>
          <w:sz w:val="20"/>
          <w:szCs w:val="20"/>
          <w:lang w:val="es-419" w:eastAsia="es-ES"/>
        </w:rPr>
      </w:pPr>
    </w:p>
    <w:p w14:paraId="40C14F79" w14:textId="77777777" w:rsidR="005A6385" w:rsidRPr="005A6385" w:rsidRDefault="005A6385" w:rsidP="005A6385">
      <w:pPr>
        <w:spacing w:line="240" w:lineRule="auto"/>
        <w:rPr>
          <w:rFonts w:ascii="Arial" w:eastAsia="Times New Roman" w:hAnsi="Arial" w:cs="Arial"/>
          <w:sz w:val="20"/>
          <w:szCs w:val="20"/>
          <w:lang w:val="es-419" w:eastAsia="es-ES"/>
        </w:rPr>
      </w:pPr>
      <w:r w:rsidRPr="005A6385">
        <w:rPr>
          <w:rFonts w:ascii="Arial" w:eastAsia="Times New Roman" w:hAnsi="Arial" w:cs="Arial"/>
          <w:sz w:val="20"/>
          <w:szCs w:val="20"/>
          <w:lang w:val="es-419" w:eastAsia="es-ES"/>
        </w:rPr>
        <w:t xml:space="preserve">Evidente resulta que el demandante puso a la demandada al tanto de los errores en su historia laboral el 18 de octubre de 2019, cuando elevó solicitud pensional, en la cual advertía que, con las semanas que equivocadamente se omitían en el registro de semanas cotizadas, alcanzaba más de 1300 semanas, con lo cual completaría el número mínimo que se requiere para acceder a la pensión. </w:t>
      </w:r>
    </w:p>
    <w:p w14:paraId="5312B3BE" w14:textId="77777777" w:rsidR="005A6385" w:rsidRPr="005A6385" w:rsidRDefault="005A6385" w:rsidP="005A6385">
      <w:pPr>
        <w:spacing w:line="240" w:lineRule="auto"/>
        <w:rPr>
          <w:rFonts w:ascii="Arial" w:eastAsia="Times New Roman" w:hAnsi="Arial" w:cs="Arial"/>
          <w:sz w:val="20"/>
          <w:szCs w:val="20"/>
          <w:lang w:val="es-419" w:eastAsia="es-ES"/>
        </w:rPr>
      </w:pPr>
      <w:r w:rsidRPr="005A6385">
        <w:rPr>
          <w:rFonts w:ascii="Arial" w:eastAsia="Times New Roman" w:hAnsi="Arial" w:cs="Arial"/>
          <w:sz w:val="20"/>
          <w:szCs w:val="20"/>
          <w:lang w:val="es-419" w:eastAsia="es-ES"/>
        </w:rPr>
        <w:t xml:space="preserve"> </w:t>
      </w:r>
    </w:p>
    <w:p w14:paraId="0F865140" w14:textId="54C7EADC" w:rsidR="005A6385" w:rsidRPr="005A6385" w:rsidRDefault="005A6385" w:rsidP="005A6385">
      <w:pPr>
        <w:spacing w:line="240" w:lineRule="auto"/>
        <w:rPr>
          <w:rFonts w:ascii="Arial" w:eastAsia="Times New Roman" w:hAnsi="Arial" w:cs="Arial"/>
          <w:sz w:val="20"/>
          <w:szCs w:val="20"/>
          <w:lang w:val="es-419" w:eastAsia="es-ES"/>
        </w:rPr>
      </w:pPr>
      <w:r w:rsidRPr="005A6385">
        <w:rPr>
          <w:rFonts w:ascii="Arial" w:eastAsia="Times New Roman" w:hAnsi="Arial" w:cs="Arial"/>
          <w:sz w:val="20"/>
          <w:szCs w:val="20"/>
          <w:lang w:val="es-419" w:eastAsia="es-ES"/>
        </w:rPr>
        <w:t>La solicitud fue resuelta de manera positiva el 3 de enero de 2020, de modo que no transcurrieron más de cuatro (4) meses entre la fecha de la solicitud pensional y la resolución positiva de la misma. Ello así, no hay lugar al retroactivo pensional reclamado por el demandante sobre la base de haber sido inducido a error por la demandada, pues antes de la radicación de la solicitud pensional, no puede afirmarse que la entidad demandada le hubiere negado la prestación, de modo que no existe un acto dispositivo que denote un error inducido.</w:t>
      </w:r>
      <w:r w:rsidR="002A6AE9">
        <w:rPr>
          <w:rFonts w:ascii="Arial" w:eastAsia="Times New Roman" w:hAnsi="Arial" w:cs="Arial"/>
          <w:sz w:val="20"/>
          <w:szCs w:val="20"/>
          <w:lang w:val="es-419" w:eastAsia="es-ES"/>
        </w:rPr>
        <w:t xml:space="preserve"> (…)</w:t>
      </w:r>
    </w:p>
    <w:p w14:paraId="2EE7B3D5" w14:textId="77777777" w:rsidR="005A6385" w:rsidRPr="005A6385" w:rsidRDefault="005A6385" w:rsidP="005A6385">
      <w:pPr>
        <w:spacing w:line="240" w:lineRule="auto"/>
        <w:rPr>
          <w:rFonts w:ascii="Arial" w:eastAsia="Times New Roman" w:hAnsi="Arial" w:cs="Arial"/>
          <w:sz w:val="20"/>
          <w:szCs w:val="20"/>
          <w:lang w:eastAsia="es-ES"/>
        </w:rPr>
      </w:pPr>
    </w:p>
    <w:p w14:paraId="09EAB2F9" w14:textId="3AE8AA0C" w:rsidR="005A6385" w:rsidRPr="005A6385" w:rsidRDefault="002A6AE9" w:rsidP="005A6385">
      <w:pPr>
        <w:spacing w:line="240" w:lineRule="auto"/>
        <w:rPr>
          <w:rFonts w:ascii="Arial" w:eastAsia="Times New Roman" w:hAnsi="Arial" w:cs="Arial"/>
          <w:sz w:val="20"/>
          <w:szCs w:val="20"/>
          <w:lang w:eastAsia="es-ES"/>
        </w:rPr>
      </w:pPr>
      <w:r w:rsidRPr="002A6AE9">
        <w:rPr>
          <w:rFonts w:ascii="Arial" w:eastAsia="Times New Roman" w:hAnsi="Arial" w:cs="Arial"/>
          <w:sz w:val="20"/>
          <w:szCs w:val="20"/>
          <w:lang w:eastAsia="es-ES"/>
        </w:rPr>
        <w:t>La Sala de Casación Laboral de la Corte Suprema de Justicia, mediante providencia SL3691-2021 adoctrinó que las administradoras pensionales, sin importar el régimen que administren, tienen el deber de custodiar, conservar y verificar la información de las historias laborales de sus afiliados, para lo cual deben tener en cuenta lo dispuesto en la Ley 1581 de 2012 respecto al manejo y protección de datos personales</w:t>
      </w:r>
      <w:r>
        <w:rPr>
          <w:rFonts w:ascii="Arial" w:eastAsia="Times New Roman" w:hAnsi="Arial" w:cs="Arial"/>
          <w:sz w:val="20"/>
          <w:szCs w:val="20"/>
          <w:lang w:eastAsia="es-ES"/>
        </w:rPr>
        <w:t>…</w:t>
      </w:r>
    </w:p>
    <w:p w14:paraId="0BE09D9A" w14:textId="1489DBDB" w:rsidR="005A6385" w:rsidRDefault="005A6385" w:rsidP="005A6385">
      <w:pPr>
        <w:spacing w:line="240" w:lineRule="auto"/>
        <w:rPr>
          <w:rFonts w:ascii="Arial" w:eastAsia="Times New Roman" w:hAnsi="Arial" w:cs="Arial"/>
          <w:sz w:val="20"/>
          <w:szCs w:val="20"/>
          <w:lang w:eastAsia="es-ES"/>
        </w:rPr>
      </w:pPr>
    </w:p>
    <w:p w14:paraId="07C4238C" w14:textId="28886291" w:rsidR="002A6AE9" w:rsidRDefault="002A6AE9" w:rsidP="005A6385">
      <w:pPr>
        <w:spacing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2A6AE9">
        <w:rPr>
          <w:rFonts w:ascii="Arial" w:eastAsia="Times New Roman" w:hAnsi="Arial" w:cs="Arial"/>
          <w:sz w:val="20"/>
          <w:szCs w:val="20"/>
          <w:lang w:eastAsia="es-ES"/>
        </w:rPr>
        <w:t>para la Sala resulta evidente que Colpensiones incumplió con su deber de manejar diligentemente la historia laboral del demandante, causando con ello la tardanza injustificada en el reconocimiento pensional y haciéndolo incurrir en error para continuar cotizando, lo que trajo como consecuente que el disfrute de la prestación se difiera por 2 años</w:t>
      </w:r>
      <w:r>
        <w:rPr>
          <w:rFonts w:ascii="Arial" w:eastAsia="Times New Roman" w:hAnsi="Arial" w:cs="Arial"/>
          <w:sz w:val="20"/>
          <w:szCs w:val="20"/>
          <w:lang w:eastAsia="es-ES"/>
        </w:rPr>
        <w:t>…</w:t>
      </w:r>
    </w:p>
    <w:p w14:paraId="15266E81" w14:textId="77777777" w:rsidR="002A6AE9" w:rsidRPr="005A6385" w:rsidRDefault="002A6AE9" w:rsidP="005A6385">
      <w:pPr>
        <w:spacing w:line="240" w:lineRule="auto"/>
        <w:rPr>
          <w:rFonts w:ascii="Arial" w:eastAsia="Times New Roman" w:hAnsi="Arial" w:cs="Arial"/>
          <w:sz w:val="20"/>
          <w:szCs w:val="20"/>
          <w:lang w:eastAsia="es-ES"/>
        </w:rPr>
      </w:pPr>
    </w:p>
    <w:p w14:paraId="174F671C" w14:textId="77777777" w:rsidR="00AC0E66" w:rsidRPr="00AC0E66" w:rsidRDefault="00AC0E66" w:rsidP="00AC0E66">
      <w:pPr>
        <w:spacing w:line="240" w:lineRule="auto"/>
        <w:rPr>
          <w:rFonts w:ascii="Arial" w:eastAsia="Times New Roman" w:hAnsi="Arial" w:cs="Arial"/>
          <w:sz w:val="20"/>
          <w:szCs w:val="20"/>
          <w:lang w:val="es-419" w:eastAsia="es-ES"/>
        </w:rPr>
      </w:pPr>
    </w:p>
    <w:bookmarkEnd w:id="1"/>
    <w:p w14:paraId="5C3363D4" w14:textId="77777777" w:rsidR="00AC0E66" w:rsidRPr="00AC0E66" w:rsidRDefault="00AC0E66" w:rsidP="00AC0E66">
      <w:pPr>
        <w:spacing w:line="240" w:lineRule="auto"/>
        <w:rPr>
          <w:rFonts w:ascii="Arial" w:eastAsia="Times New Roman" w:hAnsi="Arial" w:cs="Arial"/>
          <w:sz w:val="20"/>
          <w:szCs w:val="20"/>
          <w:lang w:val="es-419" w:eastAsia="es-ES"/>
        </w:rPr>
      </w:pPr>
    </w:p>
    <w:bookmarkEnd w:id="2"/>
    <w:p w14:paraId="13E1BF4B" w14:textId="77777777" w:rsidR="009C7381" w:rsidRPr="00AC0E66" w:rsidRDefault="009C7381" w:rsidP="00AC0E66">
      <w:pPr>
        <w:spacing w:line="276" w:lineRule="auto"/>
        <w:jc w:val="center"/>
        <w:textAlignment w:val="baseline"/>
        <w:rPr>
          <w:rFonts w:cs="Tahoma"/>
          <w:b/>
          <w:bCs/>
          <w:color w:val="000000"/>
          <w:szCs w:val="24"/>
          <w:lang w:eastAsia="es-CO"/>
        </w:rPr>
      </w:pPr>
      <w:r w:rsidRPr="00AC0E66">
        <w:rPr>
          <w:rFonts w:cs="Tahoma"/>
          <w:b/>
          <w:bCs/>
          <w:color w:val="000000"/>
          <w:szCs w:val="24"/>
          <w:lang w:eastAsia="es-CO"/>
        </w:rPr>
        <w:t xml:space="preserve">TRIBUNAL SUPERIOR DEL DISTRITO JUDICIAL DE PEREIRA </w:t>
      </w:r>
    </w:p>
    <w:p w14:paraId="56746C5F" w14:textId="77777777" w:rsidR="009C7381" w:rsidRPr="00AC0E66" w:rsidRDefault="009C7381" w:rsidP="00AC0E66">
      <w:pPr>
        <w:spacing w:line="276" w:lineRule="auto"/>
        <w:jc w:val="center"/>
        <w:textAlignment w:val="baseline"/>
        <w:rPr>
          <w:rFonts w:cs="Tahoma"/>
          <w:szCs w:val="24"/>
          <w:lang w:val="es-CO" w:eastAsia="es-CO"/>
        </w:rPr>
      </w:pPr>
      <w:r w:rsidRPr="00AC0E66">
        <w:rPr>
          <w:rFonts w:cs="Tahoma"/>
          <w:b/>
          <w:bCs/>
          <w:color w:val="000000"/>
          <w:szCs w:val="24"/>
          <w:lang w:eastAsia="es-CO"/>
        </w:rPr>
        <w:t xml:space="preserve">SALA PRIMERA DE DECISION LABORAL </w:t>
      </w:r>
      <w:r w:rsidRPr="00AC0E66">
        <w:rPr>
          <w:rFonts w:cs="Tahoma"/>
          <w:color w:val="000000"/>
          <w:szCs w:val="24"/>
          <w:lang w:val="es-CO" w:eastAsia="es-CO"/>
        </w:rPr>
        <w:t> </w:t>
      </w:r>
    </w:p>
    <w:p w14:paraId="4B6E6755" w14:textId="77777777" w:rsidR="009C7381" w:rsidRPr="00AC0E66" w:rsidRDefault="009C7381" w:rsidP="00AC0E66">
      <w:pPr>
        <w:pStyle w:val="Sinespaciado"/>
        <w:spacing w:line="276" w:lineRule="auto"/>
        <w:rPr>
          <w:rFonts w:ascii="Tahoma" w:hAnsi="Tahoma" w:cs="Tahoma"/>
          <w:lang w:eastAsia="es-CO"/>
        </w:rPr>
      </w:pPr>
      <w:r w:rsidRPr="00AC0E66">
        <w:rPr>
          <w:rFonts w:ascii="Tahoma" w:hAnsi="Tahoma" w:cs="Tahoma"/>
          <w:lang w:eastAsia="es-CO"/>
        </w:rPr>
        <w:t> </w:t>
      </w:r>
    </w:p>
    <w:p w14:paraId="657EF427" w14:textId="77777777" w:rsidR="009C7381" w:rsidRPr="00AC0E66" w:rsidRDefault="009C7381" w:rsidP="00AC0E66">
      <w:pPr>
        <w:spacing w:line="276" w:lineRule="auto"/>
        <w:jc w:val="center"/>
        <w:textAlignment w:val="baseline"/>
        <w:rPr>
          <w:rFonts w:cs="Tahoma"/>
          <w:szCs w:val="24"/>
          <w:lang w:val="es-CO" w:eastAsia="es-CO"/>
        </w:rPr>
      </w:pPr>
      <w:r w:rsidRPr="00AC0E66">
        <w:rPr>
          <w:rFonts w:cs="Tahoma"/>
          <w:color w:val="000000"/>
          <w:szCs w:val="24"/>
          <w:lang w:eastAsia="es-CO"/>
        </w:rPr>
        <w:t>Magistrada Ponente: </w:t>
      </w:r>
      <w:r w:rsidRPr="00AC0E66">
        <w:rPr>
          <w:rFonts w:cs="Tahoma"/>
          <w:b/>
          <w:bCs/>
          <w:color w:val="000000"/>
          <w:szCs w:val="24"/>
          <w:lang w:eastAsia="es-CO"/>
        </w:rPr>
        <w:t>Ana Lucía Caicedo Calderón</w:t>
      </w:r>
      <w:r w:rsidRPr="00AC0E66">
        <w:rPr>
          <w:rFonts w:cs="Tahoma"/>
          <w:color w:val="000000"/>
          <w:szCs w:val="24"/>
          <w:lang w:val="es-CO" w:eastAsia="es-CO"/>
        </w:rPr>
        <w:t> </w:t>
      </w:r>
    </w:p>
    <w:p w14:paraId="526978EC" w14:textId="77777777" w:rsidR="009C7381" w:rsidRPr="00AC0E66" w:rsidRDefault="009C7381" w:rsidP="00AC0E66">
      <w:pPr>
        <w:spacing w:line="276" w:lineRule="auto"/>
        <w:jc w:val="center"/>
        <w:textAlignment w:val="baseline"/>
        <w:rPr>
          <w:rFonts w:cs="Tahoma"/>
          <w:szCs w:val="24"/>
          <w:lang w:val="es-CO" w:eastAsia="es-CO"/>
        </w:rPr>
      </w:pPr>
      <w:r w:rsidRPr="00AC0E66">
        <w:rPr>
          <w:rFonts w:cs="Tahoma"/>
          <w:color w:val="000000"/>
          <w:szCs w:val="24"/>
          <w:lang w:val="es-CO" w:eastAsia="es-CO"/>
        </w:rPr>
        <w:t> </w:t>
      </w:r>
    </w:p>
    <w:p w14:paraId="3350E022" w14:textId="77777777" w:rsidR="009C7381" w:rsidRPr="00AC0E66" w:rsidRDefault="009C7381" w:rsidP="00AC0E66">
      <w:pPr>
        <w:spacing w:line="276" w:lineRule="auto"/>
        <w:jc w:val="center"/>
        <w:textAlignment w:val="baseline"/>
        <w:rPr>
          <w:rFonts w:cs="Tahoma"/>
          <w:szCs w:val="24"/>
          <w:lang w:val="es-CO" w:eastAsia="es-CO"/>
        </w:rPr>
      </w:pPr>
      <w:r w:rsidRPr="00AC0E66">
        <w:rPr>
          <w:rFonts w:cs="Tahoma"/>
          <w:szCs w:val="24"/>
          <w:lang w:val="es-CO" w:eastAsia="es-CO"/>
        </w:rPr>
        <w:t>Pereira, Risaralda, veintinueve (29) de mayo de dos mil veintitrés (2023)  </w:t>
      </w:r>
    </w:p>
    <w:p w14:paraId="40B34F7E" w14:textId="335DDEE4" w:rsidR="009C7381" w:rsidRPr="00AC0E66" w:rsidRDefault="009C7381" w:rsidP="00AC0E66">
      <w:pPr>
        <w:spacing w:line="276" w:lineRule="auto"/>
        <w:jc w:val="center"/>
        <w:textAlignment w:val="baseline"/>
        <w:rPr>
          <w:rFonts w:cs="Tahoma"/>
          <w:szCs w:val="24"/>
          <w:lang w:val="es-CO" w:eastAsia="es-CO"/>
        </w:rPr>
      </w:pPr>
      <w:r w:rsidRPr="00AC0E66">
        <w:rPr>
          <w:rFonts w:cs="Tahoma"/>
          <w:szCs w:val="24"/>
          <w:lang w:val="es-CO" w:eastAsia="es-CO"/>
        </w:rPr>
        <w:t> Acta No. </w:t>
      </w:r>
      <w:r w:rsidR="399A085C" w:rsidRPr="00AC0E66">
        <w:rPr>
          <w:rFonts w:cs="Tahoma"/>
          <w:szCs w:val="24"/>
          <w:lang w:val="es-CO" w:eastAsia="es-CO"/>
        </w:rPr>
        <w:t>83</w:t>
      </w:r>
      <w:r w:rsidRPr="00AC0E66">
        <w:rPr>
          <w:rFonts w:cs="Tahoma"/>
          <w:szCs w:val="24"/>
          <w:lang w:val="es-CO" w:eastAsia="es-CO"/>
        </w:rPr>
        <w:t xml:space="preserve"> del 25 de mayo de 2023 </w:t>
      </w:r>
    </w:p>
    <w:p w14:paraId="39FD7821" w14:textId="77777777" w:rsidR="009C7381" w:rsidRPr="00AC0E66" w:rsidRDefault="009C7381" w:rsidP="00AC0E66">
      <w:pPr>
        <w:pStyle w:val="Sinespaciado"/>
        <w:spacing w:line="276" w:lineRule="auto"/>
        <w:rPr>
          <w:rFonts w:ascii="Tahoma" w:hAnsi="Tahoma" w:cs="Tahoma"/>
        </w:rPr>
      </w:pPr>
      <w:r w:rsidRPr="00AC0E66">
        <w:rPr>
          <w:rFonts w:ascii="Tahoma" w:hAnsi="Tahoma" w:cs="Tahoma"/>
        </w:rPr>
        <w:tab/>
        <w:t xml:space="preserve"> </w:t>
      </w:r>
    </w:p>
    <w:p w14:paraId="4BF65E48" w14:textId="77777777" w:rsidR="009C7381" w:rsidRPr="00AC0E66" w:rsidRDefault="009C7381" w:rsidP="00AC0E66">
      <w:pPr>
        <w:pStyle w:val="Sinespaciado"/>
        <w:spacing w:line="276" w:lineRule="auto"/>
        <w:rPr>
          <w:rFonts w:ascii="Tahoma" w:hAnsi="Tahoma" w:cs="Tahoma"/>
        </w:rPr>
      </w:pPr>
    </w:p>
    <w:p w14:paraId="458BD742" w14:textId="6A836551" w:rsidR="009C7381" w:rsidRPr="00AC0E66" w:rsidRDefault="009C7381" w:rsidP="00AC0E66">
      <w:pPr>
        <w:pStyle w:val="paragraph"/>
        <w:spacing w:before="0" w:beforeAutospacing="0" w:after="0" w:afterAutospacing="0" w:line="276" w:lineRule="auto"/>
        <w:ind w:firstLine="720"/>
        <w:jc w:val="both"/>
        <w:textAlignment w:val="baseline"/>
        <w:rPr>
          <w:rStyle w:val="normaltextrun"/>
          <w:rFonts w:ascii="Tahoma" w:hAnsi="Tahoma" w:cs="Tahoma"/>
          <w:b/>
          <w:bCs/>
        </w:rPr>
      </w:pPr>
      <w:r w:rsidRPr="00AC0E66">
        <w:rPr>
          <w:rStyle w:val="normaltextrun"/>
          <w:rFonts w:ascii="Tahoma" w:hAnsi="Tahoma" w:cs="Tahoma"/>
          <w:color w:val="000000"/>
          <w:shd w:val="clear" w:color="auto" w:fill="FFFFFF"/>
        </w:rPr>
        <w:lastRenderedPageBreak/>
        <w:t>Teniendo en cuenta que el artículo 15 del Decreto No. 806 del 4 de junio de 2020,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w:t>
      </w:r>
      <w:bookmarkStart w:id="4" w:name="_Hlk107745858"/>
      <w:r w:rsidRPr="00AC0E66">
        <w:rPr>
          <w:rStyle w:val="normaltextrun"/>
          <w:rFonts w:ascii="Tahoma" w:hAnsi="Tahoma" w:cs="Tahoma"/>
          <w:color w:val="000000"/>
          <w:shd w:val="clear" w:color="auto" w:fill="FFFFFF"/>
        </w:rPr>
        <w:t>GÓEZ</w:t>
      </w:r>
      <w:bookmarkEnd w:id="4"/>
      <w:r w:rsidRPr="00AC0E66">
        <w:rPr>
          <w:rStyle w:val="normaltextrun"/>
          <w:rFonts w:ascii="Tahoma" w:hAnsi="Tahoma" w:cs="Tahoma"/>
          <w:color w:val="000000"/>
          <w:shd w:val="clear" w:color="auto" w:fill="FFFFFF"/>
        </w:rPr>
        <w:t> VINASCO</w:t>
      </w:r>
      <w:r w:rsidRPr="00AC0E66">
        <w:rPr>
          <w:rStyle w:val="normaltextrun"/>
          <w:rFonts w:ascii="Tahoma" w:hAnsi="Tahoma" w:cs="Tahoma"/>
        </w:rPr>
        <w:t xml:space="preserve">, procede a proferir la siguiente sentencia escrita dentro del proceso </w:t>
      </w:r>
      <w:r w:rsidRPr="00C54022">
        <w:rPr>
          <w:rStyle w:val="normaltextrun"/>
          <w:rFonts w:ascii="Tahoma" w:hAnsi="Tahoma" w:cs="Tahoma"/>
          <w:b/>
        </w:rPr>
        <w:t>ordinario laboral</w:t>
      </w:r>
      <w:r w:rsidRPr="00AC0E66">
        <w:rPr>
          <w:rStyle w:val="normaltextrun"/>
          <w:rFonts w:ascii="Tahoma" w:hAnsi="Tahoma" w:cs="Tahoma"/>
        </w:rPr>
        <w:t xml:space="preserve"> instaurado por </w:t>
      </w:r>
      <w:r w:rsidR="00C54022" w:rsidRPr="00AC0E66">
        <w:rPr>
          <w:rFonts w:ascii="Tahoma" w:hAnsi="Tahoma" w:cs="Tahoma"/>
          <w:b/>
        </w:rPr>
        <w:t>Bernardo Santibáñez Díaz</w:t>
      </w:r>
      <w:r w:rsidR="00C54022" w:rsidRPr="00AC0E66">
        <w:rPr>
          <w:rStyle w:val="normaltextrun"/>
          <w:rFonts w:ascii="Tahoma" w:hAnsi="Tahoma" w:cs="Tahoma"/>
          <w:b/>
        </w:rPr>
        <w:t xml:space="preserve"> </w:t>
      </w:r>
      <w:r w:rsidRPr="00AC0E66">
        <w:rPr>
          <w:rStyle w:val="normaltextrun"/>
          <w:rFonts w:ascii="Tahoma" w:hAnsi="Tahoma" w:cs="Tahoma"/>
        </w:rPr>
        <w:t>en contra de</w:t>
      </w:r>
      <w:r w:rsidR="00316A66" w:rsidRPr="00AC0E66">
        <w:rPr>
          <w:rStyle w:val="normaltextrun"/>
          <w:rFonts w:ascii="Tahoma" w:hAnsi="Tahoma" w:cs="Tahoma"/>
        </w:rPr>
        <w:t xml:space="preserve"> la </w:t>
      </w:r>
      <w:r w:rsidR="00C54022" w:rsidRPr="00AC0E66">
        <w:rPr>
          <w:rStyle w:val="normaltextrun"/>
          <w:rFonts w:ascii="Tahoma" w:hAnsi="Tahoma" w:cs="Tahoma"/>
          <w:b/>
          <w:bCs/>
        </w:rPr>
        <w:t xml:space="preserve">Administradora Colombiana de Pensiones </w:t>
      </w:r>
      <w:r w:rsidR="00316A66" w:rsidRPr="00AC0E66">
        <w:rPr>
          <w:rStyle w:val="normaltextrun"/>
          <w:rFonts w:ascii="Tahoma" w:hAnsi="Tahoma" w:cs="Tahoma"/>
          <w:b/>
          <w:bCs/>
        </w:rPr>
        <w:t>– COLPENSIONES.</w:t>
      </w:r>
      <w:r w:rsidRPr="00AC0E66">
        <w:rPr>
          <w:rStyle w:val="normaltextrun"/>
          <w:rFonts w:ascii="Tahoma" w:hAnsi="Tahoma" w:cs="Tahoma"/>
          <w:b/>
          <w:bCs/>
        </w:rPr>
        <w:t xml:space="preserve"> </w:t>
      </w:r>
    </w:p>
    <w:p w14:paraId="20CDD66C" w14:textId="77777777" w:rsidR="009C7381" w:rsidRPr="00AC0E66" w:rsidRDefault="009C7381" w:rsidP="00AC0E66">
      <w:pPr>
        <w:pStyle w:val="paragraph"/>
        <w:spacing w:before="0" w:beforeAutospacing="0" w:after="0" w:afterAutospacing="0" w:line="276" w:lineRule="auto"/>
        <w:ind w:firstLine="720"/>
        <w:jc w:val="both"/>
        <w:textAlignment w:val="baseline"/>
        <w:rPr>
          <w:rStyle w:val="normaltextrun"/>
          <w:rFonts w:ascii="Tahoma" w:hAnsi="Tahoma" w:cs="Tahoma"/>
          <w:b/>
          <w:bCs/>
        </w:rPr>
      </w:pPr>
    </w:p>
    <w:p w14:paraId="13A79FBD" w14:textId="77777777" w:rsidR="009C7381" w:rsidRPr="00AC0E66" w:rsidRDefault="009C7381" w:rsidP="00AC0E66">
      <w:pPr>
        <w:spacing w:line="276" w:lineRule="auto"/>
        <w:jc w:val="center"/>
        <w:rPr>
          <w:rStyle w:val="normaltextrun"/>
          <w:rFonts w:cs="Tahoma"/>
          <w:b/>
          <w:bCs/>
          <w:color w:val="000000"/>
          <w:szCs w:val="24"/>
        </w:rPr>
      </w:pPr>
      <w:r w:rsidRPr="00AC0E66">
        <w:rPr>
          <w:rStyle w:val="normaltextrun"/>
          <w:rFonts w:cs="Tahoma"/>
          <w:b/>
          <w:bCs/>
          <w:color w:val="000000"/>
          <w:szCs w:val="24"/>
        </w:rPr>
        <w:t>PUNTO A TRATAR</w:t>
      </w:r>
    </w:p>
    <w:p w14:paraId="20A7D979" w14:textId="77777777" w:rsidR="009C7381" w:rsidRPr="00AC0E66" w:rsidRDefault="009C7381" w:rsidP="00AC0E66">
      <w:pPr>
        <w:pStyle w:val="Sinespaciado"/>
        <w:spacing w:line="276" w:lineRule="auto"/>
        <w:rPr>
          <w:rFonts w:ascii="Tahoma" w:hAnsi="Tahoma" w:cs="Tahoma"/>
        </w:rPr>
      </w:pPr>
    </w:p>
    <w:p w14:paraId="59130CF3" w14:textId="60B845A5" w:rsidR="00E121A5" w:rsidRPr="00AC0E66" w:rsidRDefault="009C7381" w:rsidP="00AC0E66">
      <w:pPr>
        <w:spacing w:line="276" w:lineRule="auto"/>
        <w:ind w:firstLine="708"/>
        <w:rPr>
          <w:rStyle w:val="normaltextrun"/>
          <w:rFonts w:cs="Tahoma"/>
          <w:szCs w:val="24"/>
        </w:rPr>
      </w:pPr>
      <w:r w:rsidRPr="00AC0E66">
        <w:rPr>
          <w:rStyle w:val="normaltextrun"/>
          <w:rFonts w:cs="Tahoma"/>
          <w:szCs w:val="24"/>
        </w:rPr>
        <w:t>Por medio de esta providencia procede la Sala a</w:t>
      </w:r>
      <w:r w:rsidRPr="00AC0E66">
        <w:rPr>
          <w:rFonts w:cs="Tahoma"/>
          <w:szCs w:val="24"/>
        </w:rPr>
        <w:t xml:space="preserve"> resolver el recurso de apelación interpuesto por la </w:t>
      </w:r>
      <w:r w:rsidR="00D20AE6" w:rsidRPr="00AC0E66">
        <w:rPr>
          <w:rFonts w:cs="Tahoma"/>
          <w:szCs w:val="24"/>
          <w:lang w:val="es-CO"/>
        </w:rPr>
        <w:t>demandada</w:t>
      </w:r>
      <w:r w:rsidRPr="00AC0E66">
        <w:rPr>
          <w:rFonts w:cs="Tahoma"/>
          <w:szCs w:val="24"/>
        </w:rPr>
        <w:t xml:space="preserve"> en contra de la sentencia proferida por el </w:t>
      </w:r>
      <w:r w:rsidRPr="00AC0E66">
        <w:rPr>
          <w:rFonts w:cs="Tahoma"/>
          <w:szCs w:val="24"/>
          <w:lang w:val="es-CO"/>
        </w:rPr>
        <w:t xml:space="preserve">Juzgado </w:t>
      </w:r>
      <w:r w:rsidR="00C2273B" w:rsidRPr="00AC0E66">
        <w:rPr>
          <w:rFonts w:cs="Tahoma"/>
          <w:szCs w:val="24"/>
          <w:lang w:val="es-CO"/>
        </w:rPr>
        <w:t>segundo</w:t>
      </w:r>
      <w:r w:rsidRPr="00AC0E66">
        <w:rPr>
          <w:rFonts w:cs="Tahoma"/>
          <w:szCs w:val="24"/>
          <w:lang w:val="es-CO"/>
        </w:rPr>
        <w:t xml:space="preserve"> Laboral del Circuito de Pereira el </w:t>
      </w:r>
      <w:r w:rsidR="00D20AE6" w:rsidRPr="00AC0E66">
        <w:rPr>
          <w:rFonts w:cs="Tahoma"/>
          <w:szCs w:val="24"/>
          <w:lang w:val="es-CO"/>
        </w:rPr>
        <w:t>13</w:t>
      </w:r>
      <w:r w:rsidR="00316A66" w:rsidRPr="00AC0E66">
        <w:rPr>
          <w:rFonts w:cs="Tahoma"/>
          <w:szCs w:val="24"/>
          <w:lang w:val="es-CO"/>
        </w:rPr>
        <w:t xml:space="preserve"> de octubre</w:t>
      </w:r>
      <w:r w:rsidRPr="00AC0E66">
        <w:rPr>
          <w:rFonts w:cs="Tahoma"/>
          <w:szCs w:val="24"/>
          <w:lang w:val="es-CO"/>
        </w:rPr>
        <w:t xml:space="preserve"> de 2022</w:t>
      </w:r>
      <w:r w:rsidR="00D20AE6" w:rsidRPr="00AC0E66">
        <w:rPr>
          <w:rFonts w:cs="Tahoma"/>
          <w:szCs w:val="24"/>
          <w:lang w:val="es-CO"/>
        </w:rPr>
        <w:t>, así como el grado jurisdiccional de consulta en favor de la administradora pensional.</w:t>
      </w:r>
      <w:r w:rsidR="00E121A5" w:rsidRPr="00AC0E66">
        <w:rPr>
          <w:rFonts w:cs="Tahoma"/>
          <w:szCs w:val="24"/>
        </w:rPr>
        <w:t xml:space="preserve"> </w:t>
      </w:r>
      <w:r w:rsidR="00E121A5" w:rsidRPr="00AC0E66">
        <w:rPr>
          <w:rStyle w:val="normaltextrun"/>
          <w:rFonts w:cs="Tahoma"/>
          <w:szCs w:val="24"/>
        </w:rPr>
        <w:t>Para ello se tiene en cuenta lo siguiente: </w:t>
      </w:r>
    </w:p>
    <w:p w14:paraId="4AE4A07E" w14:textId="77777777" w:rsidR="00E121A5" w:rsidRPr="00AC0E66" w:rsidRDefault="00E121A5" w:rsidP="00AC0E66">
      <w:pPr>
        <w:pStyle w:val="Sinespaciado"/>
        <w:spacing w:line="276" w:lineRule="auto"/>
        <w:rPr>
          <w:rStyle w:val="normaltextrun"/>
          <w:rFonts w:ascii="Tahoma" w:hAnsi="Tahoma" w:cs="Tahoma"/>
        </w:rPr>
      </w:pPr>
    </w:p>
    <w:p w14:paraId="3FEDCFED" w14:textId="77777777" w:rsidR="00E121A5" w:rsidRPr="00AC0E66" w:rsidRDefault="00E121A5" w:rsidP="00AC0E66">
      <w:pPr>
        <w:pStyle w:val="Prrafodelista"/>
        <w:numPr>
          <w:ilvl w:val="0"/>
          <w:numId w:val="1"/>
        </w:numPr>
        <w:spacing w:line="276" w:lineRule="auto"/>
        <w:ind w:left="426" w:hanging="426"/>
        <w:jc w:val="center"/>
        <w:rPr>
          <w:rFonts w:cs="Tahoma"/>
          <w:b/>
          <w:bCs/>
          <w:szCs w:val="24"/>
        </w:rPr>
      </w:pPr>
      <w:r w:rsidRPr="00AC0E66">
        <w:rPr>
          <w:rFonts w:cs="Tahoma"/>
          <w:b/>
          <w:bCs/>
          <w:szCs w:val="24"/>
        </w:rPr>
        <w:t>Demanda y contestación de la demanda</w:t>
      </w:r>
    </w:p>
    <w:p w14:paraId="214E7BE2" w14:textId="77777777" w:rsidR="00E121A5" w:rsidRPr="00AC0E66" w:rsidRDefault="00E121A5" w:rsidP="00AC0E66">
      <w:pPr>
        <w:spacing w:line="276" w:lineRule="auto"/>
        <w:ind w:firstLine="708"/>
        <w:rPr>
          <w:rStyle w:val="normaltextrun"/>
          <w:rFonts w:cs="Tahoma"/>
          <w:szCs w:val="24"/>
        </w:rPr>
      </w:pPr>
    </w:p>
    <w:p w14:paraId="74FD874F" w14:textId="1536777A" w:rsidR="00E121A5" w:rsidRPr="00AC0E66" w:rsidRDefault="00E121A5" w:rsidP="00AC0E66">
      <w:pPr>
        <w:spacing w:line="276" w:lineRule="auto"/>
        <w:ind w:firstLine="708"/>
        <w:rPr>
          <w:rStyle w:val="normaltextrun"/>
          <w:rFonts w:cs="Tahoma"/>
          <w:szCs w:val="24"/>
        </w:rPr>
      </w:pPr>
      <w:r w:rsidRPr="00AC0E66">
        <w:rPr>
          <w:rStyle w:val="normaltextrun"/>
          <w:rFonts w:cs="Tahoma"/>
          <w:szCs w:val="24"/>
        </w:rPr>
        <w:t xml:space="preserve">Pretende </w:t>
      </w:r>
      <w:r w:rsidR="007B5329" w:rsidRPr="00AC0E66">
        <w:rPr>
          <w:rStyle w:val="normaltextrun"/>
          <w:rFonts w:cs="Tahoma"/>
          <w:szCs w:val="24"/>
        </w:rPr>
        <w:t>e</w:t>
      </w:r>
      <w:r w:rsidRPr="00AC0E66">
        <w:rPr>
          <w:rStyle w:val="normaltextrun"/>
          <w:rFonts w:cs="Tahoma"/>
          <w:szCs w:val="24"/>
        </w:rPr>
        <w:t>l demandante que</w:t>
      </w:r>
      <w:r w:rsidR="007B5329" w:rsidRPr="00AC0E66">
        <w:rPr>
          <w:rStyle w:val="normaltextrun"/>
          <w:rFonts w:cs="Tahoma"/>
          <w:szCs w:val="24"/>
        </w:rPr>
        <w:t xml:space="preserve">, previa declaración del derecho, se condene a Colpensiones a pagar en su favor el retroactivo de su pensión de vejez a partir del 29 de julio de 2012 y hasta el 01 de octubre de 2014, más los intereses moratorios causados a partir del 09 de febrero de 2013 y, en subsidio de estos, la </w:t>
      </w:r>
      <w:r w:rsidR="00C2184E" w:rsidRPr="00AC0E66">
        <w:rPr>
          <w:rStyle w:val="normaltextrun"/>
          <w:rFonts w:cs="Tahoma"/>
          <w:szCs w:val="24"/>
        </w:rPr>
        <w:t>indexación</w:t>
      </w:r>
      <w:r w:rsidR="007B5329" w:rsidRPr="00AC0E66">
        <w:rPr>
          <w:rStyle w:val="normaltextrun"/>
          <w:rFonts w:cs="Tahoma"/>
          <w:szCs w:val="24"/>
        </w:rPr>
        <w:t xml:space="preserve">. </w:t>
      </w:r>
    </w:p>
    <w:p w14:paraId="3D3CCBF3" w14:textId="77777777" w:rsidR="00E121A5" w:rsidRPr="00AC0E66" w:rsidRDefault="00E121A5" w:rsidP="00AC0E66">
      <w:pPr>
        <w:pStyle w:val="Sinespaciado"/>
        <w:spacing w:line="276" w:lineRule="auto"/>
        <w:rPr>
          <w:rStyle w:val="normaltextrun"/>
          <w:rFonts w:ascii="Tahoma" w:hAnsi="Tahoma" w:cs="Tahoma"/>
        </w:rPr>
      </w:pPr>
    </w:p>
    <w:p w14:paraId="6068F2A1" w14:textId="010859A3" w:rsidR="00E121A5" w:rsidRPr="00AC0E66" w:rsidRDefault="00C2184E" w:rsidP="00AC0E66">
      <w:pPr>
        <w:spacing w:line="276" w:lineRule="auto"/>
        <w:ind w:firstLine="708"/>
        <w:rPr>
          <w:rStyle w:val="normaltextrun"/>
          <w:rFonts w:cs="Tahoma"/>
          <w:szCs w:val="24"/>
        </w:rPr>
      </w:pPr>
      <w:r w:rsidRPr="00AC0E66">
        <w:rPr>
          <w:rStyle w:val="normaltextrun"/>
          <w:rFonts w:cs="Tahoma"/>
          <w:szCs w:val="24"/>
        </w:rPr>
        <w:t xml:space="preserve">En sustento de sus pretensiones manifiesta que </w:t>
      </w:r>
      <w:r w:rsidR="00F74F86" w:rsidRPr="00AC0E66">
        <w:rPr>
          <w:rStyle w:val="normaltextrun"/>
          <w:rFonts w:cs="Tahoma"/>
          <w:szCs w:val="24"/>
        </w:rPr>
        <w:t xml:space="preserve">nació el 29 de julio de 1952, por lo que al 01 de abril de 1994 </w:t>
      </w:r>
      <w:r w:rsidR="00A4111B" w:rsidRPr="00AC0E66">
        <w:rPr>
          <w:rStyle w:val="normaltextrun"/>
          <w:rFonts w:cs="Tahoma"/>
          <w:szCs w:val="24"/>
        </w:rPr>
        <w:t>tenía</w:t>
      </w:r>
      <w:r w:rsidR="00F74F86" w:rsidRPr="00AC0E66">
        <w:rPr>
          <w:rStyle w:val="normaltextrun"/>
          <w:rFonts w:cs="Tahoma"/>
          <w:szCs w:val="24"/>
        </w:rPr>
        <w:t xml:space="preserve"> con más de 40 años de edad</w:t>
      </w:r>
      <w:r w:rsidR="00A4111B" w:rsidRPr="00AC0E66">
        <w:rPr>
          <w:rStyle w:val="normaltextrun"/>
          <w:rFonts w:cs="Tahoma"/>
          <w:szCs w:val="24"/>
        </w:rPr>
        <w:t xml:space="preserve"> y arribó a los 60 años en el año 2012</w:t>
      </w:r>
      <w:r w:rsidR="00F74F86" w:rsidRPr="00AC0E66">
        <w:rPr>
          <w:rStyle w:val="normaltextrun"/>
          <w:rFonts w:cs="Tahoma"/>
          <w:szCs w:val="24"/>
        </w:rPr>
        <w:t xml:space="preserve">; que </w:t>
      </w:r>
      <w:r w:rsidR="00A4111B" w:rsidRPr="00AC0E66">
        <w:rPr>
          <w:rStyle w:val="normaltextrun"/>
          <w:rFonts w:cs="Tahoma"/>
          <w:szCs w:val="24"/>
        </w:rPr>
        <w:t>a la entrada en vigencia del acto legislativo 01 de 2005 contaba con 774.26 semanas y al 30 de septiembre de 2012 alcanzaba 1.108 septenarios entre cotizaciones a Colpensiones y el servicio laborado a Ferrocarriles Nacionales de Colombia.</w:t>
      </w:r>
    </w:p>
    <w:p w14:paraId="35310406" w14:textId="77777777" w:rsidR="00E121A5" w:rsidRPr="00AC0E66" w:rsidRDefault="00E121A5" w:rsidP="00AC0E66">
      <w:pPr>
        <w:pStyle w:val="Sinespaciado"/>
        <w:spacing w:line="276" w:lineRule="auto"/>
        <w:rPr>
          <w:rStyle w:val="normaltextrun"/>
          <w:rFonts w:ascii="Tahoma" w:hAnsi="Tahoma" w:cs="Tahoma"/>
        </w:rPr>
      </w:pPr>
    </w:p>
    <w:p w14:paraId="3474257C" w14:textId="632B9C4D" w:rsidR="00E121A5" w:rsidRPr="00AC0E66" w:rsidRDefault="00A4111B" w:rsidP="00AC0E66">
      <w:pPr>
        <w:spacing w:line="276" w:lineRule="auto"/>
        <w:ind w:firstLine="708"/>
        <w:rPr>
          <w:rStyle w:val="normaltextrun"/>
          <w:rFonts w:cs="Tahoma"/>
          <w:szCs w:val="24"/>
        </w:rPr>
      </w:pPr>
      <w:r w:rsidRPr="00AC0E66">
        <w:rPr>
          <w:rStyle w:val="normaltextrun"/>
          <w:rFonts w:cs="Tahoma"/>
          <w:szCs w:val="24"/>
        </w:rPr>
        <w:t>Afirma</w:t>
      </w:r>
      <w:r w:rsidR="00E121A5" w:rsidRPr="00AC0E66">
        <w:rPr>
          <w:rStyle w:val="normaltextrun"/>
          <w:rFonts w:cs="Tahoma"/>
          <w:szCs w:val="24"/>
        </w:rPr>
        <w:t xml:space="preserve"> que </w:t>
      </w:r>
      <w:r w:rsidRPr="00AC0E66">
        <w:rPr>
          <w:rStyle w:val="normaltextrun"/>
          <w:rFonts w:cs="Tahoma"/>
          <w:szCs w:val="24"/>
        </w:rPr>
        <w:t>el 09 de octubre de 2012 solicitó la pensión de vejez ante Colpensiones, misma que le fue negada mediante resolución GNR 034175 del 12 de marzo de 2013, bajo el argumento de que no contaba con 750 semanas a la entrada en vigencia del acto legislativo 01 de 2005, frente a lo cual presentó los recursos de ley, empero, la administradora pensional confirmó la negativa mediante resoluciones GNR 258819 del 16 de octubre de 2013 y VBP 2304 del 21 de febrero de 2014 y le indició que podía continuar cotizando para completar las semanas requeridas para acceder a la pensión de vejez.</w:t>
      </w:r>
    </w:p>
    <w:p w14:paraId="2491AB4D" w14:textId="03657C86" w:rsidR="00A4111B" w:rsidRPr="00AC0E66" w:rsidRDefault="00A4111B" w:rsidP="00AC0E66">
      <w:pPr>
        <w:pStyle w:val="Sinespaciado"/>
        <w:spacing w:line="276" w:lineRule="auto"/>
        <w:rPr>
          <w:rStyle w:val="normaltextrun"/>
          <w:rFonts w:ascii="Tahoma" w:hAnsi="Tahoma" w:cs="Tahoma"/>
        </w:rPr>
      </w:pPr>
    </w:p>
    <w:p w14:paraId="6766C218" w14:textId="646AF31D" w:rsidR="00A4111B" w:rsidRPr="00AC0E66" w:rsidRDefault="00A4111B" w:rsidP="00AC0E66">
      <w:pPr>
        <w:spacing w:line="276" w:lineRule="auto"/>
        <w:ind w:firstLine="708"/>
        <w:rPr>
          <w:rStyle w:val="normaltextrun"/>
          <w:rFonts w:cs="Tahoma"/>
          <w:szCs w:val="24"/>
        </w:rPr>
      </w:pPr>
      <w:r w:rsidRPr="00AC0E66">
        <w:rPr>
          <w:rStyle w:val="normaltextrun"/>
          <w:rFonts w:cs="Tahoma"/>
          <w:szCs w:val="24"/>
        </w:rPr>
        <w:t xml:space="preserve">Sostiene que, por la negativa pensional, se vio en la obligación de retomar las cotizaciones a partir del 01 de octubre de 2013 y hasta el 30 de septiembre de 2014, en aras de cumplir los requisitos exigidos por Colpensiones. Así, el 25 de agosto de </w:t>
      </w:r>
      <w:r w:rsidRPr="00AC0E66">
        <w:rPr>
          <w:rStyle w:val="normaltextrun"/>
          <w:rFonts w:cs="Tahoma"/>
          <w:szCs w:val="24"/>
        </w:rPr>
        <w:lastRenderedPageBreak/>
        <w:t>2016, solicitó nuevamente la gracia pensional, oportunidad en la que le fue reconocida conforme a la resolución GNR 355862 del 24 de noviembre de 2016, por ser beneficiario del régimen de transición y en aplicación de la Ley 71 de 1988, a partir del 01 de octubre de 2014.</w:t>
      </w:r>
    </w:p>
    <w:p w14:paraId="75FD84C3" w14:textId="19DB15E4" w:rsidR="00236ED3" w:rsidRPr="00AC0E66" w:rsidRDefault="00236ED3" w:rsidP="00AC0E66">
      <w:pPr>
        <w:pStyle w:val="Sinespaciado"/>
        <w:spacing w:line="276" w:lineRule="auto"/>
        <w:rPr>
          <w:rStyle w:val="normaltextrun"/>
          <w:rFonts w:ascii="Tahoma" w:hAnsi="Tahoma" w:cs="Tahoma"/>
        </w:rPr>
      </w:pPr>
    </w:p>
    <w:p w14:paraId="04E398C9" w14:textId="3FDDCD61" w:rsidR="00236ED3" w:rsidRPr="00AC0E66" w:rsidRDefault="00236ED3" w:rsidP="00AC0E66">
      <w:pPr>
        <w:spacing w:line="276" w:lineRule="auto"/>
        <w:ind w:firstLine="708"/>
        <w:rPr>
          <w:rStyle w:val="normaltextrun"/>
          <w:rFonts w:cs="Tahoma"/>
          <w:szCs w:val="24"/>
        </w:rPr>
      </w:pPr>
      <w:r w:rsidRPr="00AC0E66">
        <w:rPr>
          <w:rStyle w:val="normaltextrun"/>
          <w:rFonts w:cs="Tahoma"/>
          <w:szCs w:val="24"/>
        </w:rPr>
        <w:t xml:space="preserve">Refiere que, al percatarse que el reconocimiento pensional se dio desde que cumplió sus 60 años, por contar para ese momento con las semanas necesarias, el 30 de enero de 2017 presentó solicitud de revocatoria directa ante Colpensiones, </w:t>
      </w:r>
      <w:r w:rsidR="00BD6550" w:rsidRPr="00AC0E66">
        <w:rPr>
          <w:rStyle w:val="normaltextrun"/>
          <w:rFonts w:cs="Tahoma"/>
          <w:szCs w:val="24"/>
        </w:rPr>
        <w:t>con el fin de que se le reconociera el retroactivo pensional por inducción al error, no obstante, Colpensiones negó el pago deprecado a través de la resolución GNR 46127 del 13 de febrero de 2017.</w:t>
      </w:r>
    </w:p>
    <w:p w14:paraId="2A7C768E" w14:textId="77777777" w:rsidR="00E121A5" w:rsidRPr="00AC0E66" w:rsidRDefault="00E121A5" w:rsidP="00AC0E66">
      <w:pPr>
        <w:pStyle w:val="Sinespaciado"/>
        <w:spacing w:line="276" w:lineRule="auto"/>
        <w:rPr>
          <w:rFonts w:ascii="Tahoma" w:hAnsi="Tahoma" w:cs="Tahoma"/>
        </w:rPr>
      </w:pPr>
    </w:p>
    <w:p w14:paraId="232EA77A" w14:textId="26069E1A" w:rsidR="00E121A5" w:rsidRPr="00AC0E66" w:rsidRDefault="00A43E46" w:rsidP="00AC0E66">
      <w:pPr>
        <w:spacing w:line="276" w:lineRule="auto"/>
        <w:ind w:firstLine="708"/>
        <w:rPr>
          <w:rStyle w:val="normaltextrun"/>
          <w:rFonts w:cs="Tahoma"/>
          <w:bCs/>
          <w:szCs w:val="24"/>
        </w:rPr>
      </w:pPr>
      <w:r w:rsidRPr="00AC0E66">
        <w:rPr>
          <w:rStyle w:val="normaltextrun"/>
          <w:rFonts w:cs="Tahoma"/>
          <w:bCs/>
          <w:szCs w:val="24"/>
        </w:rPr>
        <w:t>P</w:t>
      </w:r>
      <w:r w:rsidR="00AF3800" w:rsidRPr="00AC0E66">
        <w:rPr>
          <w:rStyle w:val="normaltextrun"/>
          <w:rFonts w:cs="Tahoma"/>
          <w:bCs/>
          <w:szCs w:val="24"/>
        </w:rPr>
        <w:t xml:space="preserve">ese a ser notificada por medio de correo electrónico, </w:t>
      </w:r>
      <w:r w:rsidR="007D013A" w:rsidRPr="00AC0E66">
        <w:rPr>
          <w:rStyle w:val="normaltextrun"/>
          <w:rFonts w:cs="Tahoma"/>
          <w:bCs/>
          <w:szCs w:val="24"/>
        </w:rPr>
        <w:t>dentro del término de traslado</w:t>
      </w:r>
      <w:r w:rsidRPr="00AC0E66">
        <w:rPr>
          <w:rStyle w:val="normaltextrun"/>
          <w:rFonts w:cs="Tahoma"/>
          <w:bCs/>
          <w:szCs w:val="24"/>
        </w:rPr>
        <w:t xml:space="preserve">, </w:t>
      </w:r>
      <w:r w:rsidRPr="00AC0E66">
        <w:rPr>
          <w:rStyle w:val="normaltextrun"/>
          <w:rFonts w:cs="Tahoma"/>
          <w:b/>
          <w:bCs/>
          <w:szCs w:val="24"/>
        </w:rPr>
        <w:t xml:space="preserve">Colpensiones </w:t>
      </w:r>
      <w:r w:rsidR="00AF3800" w:rsidRPr="00AC0E66">
        <w:rPr>
          <w:rStyle w:val="normaltextrun"/>
          <w:rFonts w:cs="Tahoma"/>
          <w:bCs/>
          <w:szCs w:val="24"/>
        </w:rPr>
        <w:t>no contestó la demanda</w:t>
      </w:r>
      <w:r w:rsidR="00D93570" w:rsidRPr="00AC0E66">
        <w:rPr>
          <w:rStyle w:val="normaltextrun"/>
          <w:rFonts w:cs="Tahoma"/>
          <w:bCs/>
          <w:szCs w:val="24"/>
        </w:rPr>
        <w:t>, omisión que se tuvo como indicio grave en su contra.</w:t>
      </w:r>
    </w:p>
    <w:p w14:paraId="4FDBC37E" w14:textId="77777777" w:rsidR="00E121A5" w:rsidRPr="00AC0E66" w:rsidRDefault="00E121A5" w:rsidP="00AC0E66">
      <w:pPr>
        <w:pStyle w:val="Sinespaciado"/>
        <w:spacing w:line="276" w:lineRule="auto"/>
        <w:rPr>
          <w:rStyle w:val="normaltextrun"/>
          <w:rFonts w:ascii="Tahoma" w:hAnsi="Tahoma" w:cs="Tahoma"/>
        </w:rPr>
      </w:pPr>
    </w:p>
    <w:p w14:paraId="3CE7A040" w14:textId="77777777" w:rsidR="00E121A5" w:rsidRPr="00AC0E66" w:rsidRDefault="00E121A5" w:rsidP="00AC0E66">
      <w:pPr>
        <w:pStyle w:val="Prrafodelista"/>
        <w:numPr>
          <w:ilvl w:val="0"/>
          <w:numId w:val="1"/>
        </w:numPr>
        <w:spacing w:line="276" w:lineRule="auto"/>
        <w:ind w:left="426" w:hanging="426"/>
        <w:jc w:val="center"/>
        <w:rPr>
          <w:rFonts w:cs="Tahoma"/>
          <w:b/>
          <w:bCs/>
          <w:szCs w:val="24"/>
        </w:rPr>
      </w:pPr>
      <w:r w:rsidRPr="00AC0E66">
        <w:rPr>
          <w:rFonts w:cs="Tahoma"/>
          <w:b/>
          <w:bCs/>
          <w:szCs w:val="24"/>
        </w:rPr>
        <w:t>Sentencia de primera instancia</w:t>
      </w:r>
    </w:p>
    <w:p w14:paraId="1CFB8B2C" w14:textId="77777777" w:rsidR="00E121A5" w:rsidRPr="00AC0E66" w:rsidRDefault="00E121A5" w:rsidP="00AC0E66">
      <w:pPr>
        <w:spacing w:line="276" w:lineRule="auto"/>
        <w:ind w:left="360"/>
        <w:rPr>
          <w:rFonts w:cs="Tahoma"/>
          <w:b/>
          <w:bCs/>
          <w:szCs w:val="24"/>
        </w:rPr>
      </w:pPr>
    </w:p>
    <w:p w14:paraId="2EF76B14" w14:textId="260D1082" w:rsidR="007F566C" w:rsidRPr="00AC0E66" w:rsidRDefault="00E121A5" w:rsidP="00AC0E66">
      <w:pPr>
        <w:spacing w:line="276" w:lineRule="auto"/>
        <w:ind w:firstLine="708"/>
        <w:rPr>
          <w:rFonts w:cs="Tahoma"/>
          <w:szCs w:val="24"/>
        </w:rPr>
      </w:pPr>
      <w:r w:rsidRPr="00AC0E66">
        <w:rPr>
          <w:rFonts w:cs="Tahoma"/>
          <w:szCs w:val="24"/>
        </w:rPr>
        <w:t xml:space="preserve">La Jueza de primera instancia </w:t>
      </w:r>
      <w:r w:rsidR="007F566C" w:rsidRPr="00AC0E66">
        <w:rPr>
          <w:rFonts w:cs="Tahoma"/>
          <w:szCs w:val="24"/>
        </w:rPr>
        <w:t xml:space="preserve">condenó a Colpensiones pagar en favor del señor Bernardo Santibáñez Díaz el retroactivo pensional causado </w:t>
      </w:r>
      <w:r w:rsidR="0023455B" w:rsidRPr="00AC0E66">
        <w:rPr>
          <w:rFonts w:cs="Tahoma"/>
          <w:szCs w:val="24"/>
        </w:rPr>
        <w:t>entre e</w:t>
      </w:r>
      <w:r w:rsidR="007F566C" w:rsidRPr="00AC0E66">
        <w:rPr>
          <w:rFonts w:cs="Tahoma"/>
          <w:szCs w:val="24"/>
        </w:rPr>
        <w:t xml:space="preserve">l </w:t>
      </w:r>
      <w:r w:rsidR="0023455B" w:rsidRPr="00AC0E66">
        <w:rPr>
          <w:rFonts w:cs="Tahoma"/>
          <w:szCs w:val="24"/>
        </w:rPr>
        <w:t>0</w:t>
      </w:r>
      <w:r w:rsidR="007F566C" w:rsidRPr="00AC0E66">
        <w:rPr>
          <w:rFonts w:cs="Tahoma"/>
          <w:szCs w:val="24"/>
        </w:rPr>
        <w:t xml:space="preserve">1 de octubre de 2012 </w:t>
      </w:r>
      <w:r w:rsidR="0023455B" w:rsidRPr="00AC0E66">
        <w:rPr>
          <w:rFonts w:cs="Tahoma"/>
          <w:szCs w:val="24"/>
        </w:rPr>
        <w:t>y</w:t>
      </w:r>
      <w:r w:rsidR="007F566C" w:rsidRPr="00AC0E66">
        <w:rPr>
          <w:rFonts w:cs="Tahoma"/>
          <w:szCs w:val="24"/>
        </w:rPr>
        <w:t xml:space="preserve"> el 30 de septiembre de 2014, </w:t>
      </w:r>
      <w:r w:rsidR="0023455B" w:rsidRPr="00AC0E66">
        <w:rPr>
          <w:rFonts w:cs="Tahoma"/>
          <w:szCs w:val="24"/>
        </w:rPr>
        <w:t>en cuantía de</w:t>
      </w:r>
      <w:r w:rsidR="007F566C" w:rsidRPr="00AC0E66">
        <w:rPr>
          <w:rFonts w:cs="Tahoma"/>
          <w:szCs w:val="24"/>
        </w:rPr>
        <w:t xml:space="preserve"> $16.090.300</w:t>
      </w:r>
      <w:r w:rsidR="0023455B" w:rsidRPr="00AC0E66">
        <w:rPr>
          <w:rFonts w:cs="Tahoma"/>
          <w:szCs w:val="24"/>
        </w:rPr>
        <w:t xml:space="preserve"> y los </w:t>
      </w:r>
      <w:r w:rsidR="007F566C" w:rsidRPr="00AC0E66">
        <w:rPr>
          <w:rFonts w:cs="Tahoma"/>
          <w:szCs w:val="24"/>
        </w:rPr>
        <w:t>intereses moratorios de que trata el art. 141 de la ley 100 de 1993, desde el 10 de febrero de 2013, hasta que se efectúe el pago total de la obligación, de conformidad con la parte motiva.</w:t>
      </w:r>
    </w:p>
    <w:p w14:paraId="5B0A5B97" w14:textId="77777777" w:rsidR="00A3051D" w:rsidRPr="00AC0E66" w:rsidRDefault="00A3051D" w:rsidP="00AC0E66">
      <w:pPr>
        <w:pStyle w:val="Sinespaciado"/>
        <w:spacing w:line="276" w:lineRule="auto"/>
        <w:rPr>
          <w:rFonts w:ascii="Tahoma" w:hAnsi="Tahoma" w:cs="Tahoma"/>
        </w:rPr>
      </w:pPr>
    </w:p>
    <w:p w14:paraId="7B6ABA00" w14:textId="435F5267" w:rsidR="007F566C" w:rsidRPr="00AC0E66" w:rsidRDefault="0023455B" w:rsidP="00AC0E66">
      <w:pPr>
        <w:spacing w:line="276" w:lineRule="auto"/>
        <w:ind w:firstLine="708"/>
        <w:rPr>
          <w:rFonts w:cs="Tahoma"/>
          <w:szCs w:val="24"/>
        </w:rPr>
      </w:pPr>
      <w:r w:rsidRPr="00AC0E66">
        <w:rPr>
          <w:rFonts w:cs="Tahoma"/>
          <w:szCs w:val="24"/>
        </w:rPr>
        <w:t>Finalmente, dispuso que del va</w:t>
      </w:r>
      <w:r w:rsidR="007F566C" w:rsidRPr="00AC0E66">
        <w:rPr>
          <w:rFonts w:cs="Tahoma"/>
          <w:szCs w:val="24"/>
        </w:rPr>
        <w:t xml:space="preserve">lor del retroactivo </w:t>
      </w:r>
      <w:r w:rsidRPr="00AC0E66">
        <w:rPr>
          <w:rFonts w:cs="Tahoma"/>
          <w:szCs w:val="24"/>
        </w:rPr>
        <w:t>se efectúen</w:t>
      </w:r>
      <w:r w:rsidR="007F566C" w:rsidRPr="00AC0E66">
        <w:rPr>
          <w:rFonts w:cs="Tahoma"/>
          <w:szCs w:val="24"/>
        </w:rPr>
        <w:t xml:space="preserve"> los descuentos de ley</w:t>
      </w:r>
      <w:r w:rsidRPr="00AC0E66">
        <w:rPr>
          <w:rFonts w:cs="Tahoma"/>
          <w:szCs w:val="24"/>
        </w:rPr>
        <w:t xml:space="preserve"> </w:t>
      </w:r>
      <w:r w:rsidR="007F566C" w:rsidRPr="00AC0E66">
        <w:rPr>
          <w:rFonts w:cs="Tahoma"/>
          <w:szCs w:val="24"/>
        </w:rPr>
        <w:t>destinados para salud</w:t>
      </w:r>
      <w:r w:rsidRPr="00AC0E66">
        <w:rPr>
          <w:rFonts w:cs="Tahoma"/>
          <w:szCs w:val="24"/>
        </w:rPr>
        <w:t xml:space="preserve"> y condenó en costas procesales </w:t>
      </w:r>
      <w:r w:rsidR="007F566C" w:rsidRPr="00AC0E66">
        <w:rPr>
          <w:rFonts w:cs="Tahoma"/>
          <w:szCs w:val="24"/>
        </w:rPr>
        <w:t>a la parte demandada en un 100%.</w:t>
      </w:r>
    </w:p>
    <w:p w14:paraId="376DDF0B" w14:textId="77777777" w:rsidR="00E121A5" w:rsidRPr="00AC0E66" w:rsidRDefault="00E121A5" w:rsidP="00AC0E66">
      <w:pPr>
        <w:pStyle w:val="Sinespaciado"/>
        <w:spacing w:line="276" w:lineRule="auto"/>
        <w:rPr>
          <w:rFonts w:ascii="Tahoma" w:hAnsi="Tahoma" w:cs="Tahoma"/>
        </w:rPr>
      </w:pPr>
    </w:p>
    <w:p w14:paraId="360D3678" w14:textId="45ED74ED" w:rsidR="007B5329" w:rsidRPr="00AC0E66" w:rsidRDefault="00E121A5" w:rsidP="00AC0E66">
      <w:pPr>
        <w:spacing w:line="276" w:lineRule="auto"/>
        <w:ind w:firstLine="708"/>
        <w:rPr>
          <w:rFonts w:cs="Tahoma"/>
          <w:szCs w:val="24"/>
        </w:rPr>
      </w:pPr>
      <w:r w:rsidRPr="00AC0E66">
        <w:rPr>
          <w:rFonts w:cs="Tahoma"/>
          <w:szCs w:val="24"/>
        </w:rPr>
        <w:t xml:space="preserve">Para arribar a tal determinación la A-quo consideró, </w:t>
      </w:r>
      <w:r w:rsidR="0023455B" w:rsidRPr="00AC0E66">
        <w:rPr>
          <w:rFonts w:cs="Tahoma"/>
          <w:szCs w:val="24"/>
        </w:rPr>
        <w:t xml:space="preserve">con apoyo en la jurisprudencia patria que, si bien el reconocimiento de la pensión se encuentra supeditado a la desafiliación formal del sistema, </w:t>
      </w:r>
      <w:r w:rsidR="007B5329" w:rsidRPr="00AC0E66">
        <w:rPr>
          <w:rFonts w:cs="Tahoma"/>
          <w:szCs w:val="24"/>
        </w:rPr>
        <w:t xml:space="preserve">cuando el afiliado </w:t>
      </w:r>
      <w:r w:rsidR="0023455B" w:rsidRPr="00AC0E66">
        <w:rPr>
          <w:rFonts w:cs="Tahoma"/>
          <w:szCs w:val="24"/>
        </w:rPr>
        <w:t>h</w:t>
      </w:r>
      <w:r w:rsidR="007B5329" w:rsidRPr="00AC0E66">
        <w:rPr>
          <w:rFonts w:cs="Tahoma"/>
          <w:szCs w:val="24"/>
        </w:rPr>
        <w:t xml:space="preserve">a continuado cotizando por inducción al error, debe reconocerse </w:t>
      </w:r>
      <w:r w:rsidR="0023455B" w:rsidRPr="00AC0E66">
        <w:rPr>
          <w:rFonts w:cs="Tahoma"/>
          <w:szCs w:val="24"/>
        </w:rPr>
        <w:t xml:space="preserve">la gracia pensional </w:t>
      </w:r>
      <w:r w:rsidR="007B5329" w:rsidRPr="00AC0E66">
        <w:rPr>
          <w:rFonts w:cs="Tahoma"/>
          <w:szCs w:val="24"/>
        </w:rPr>
        <w:t>desde que</w:t>
      </w:r>
      <w:r w:rsidR="0023455B" w:rsidRPr="00AC0E66">
        <w:rPr>
          <w:rFonts w:cs="Tahoma"/>
          <w:szCs w:val="24"/>
        </w:rPr>
        <w:t xml:space="preserve"> se</w:t>
      </w:r>
      <w:r w:rsidR="007B5329" w:rsidRPr="00AC0E66">
        <w:rPr>
          <w:rFonts w:cs="Tahoma"/>
          <w:szCs w:val="24"/>
        </w:rPr>
        <w:t xml:space="preserve"> causó la prestación</w:t>
      </w:r>
      <w:r w:rsidR="0023455B" w:rsidRPr="00AC0E66">
        <w:rPr>
          <w:rFonts w:cs="Tahoma"/>
          <w:szCs w:val="24"/>
        </w:rPr>
        <w:t xml:space="preserve">. Así, concluyó que como Colpensiones </w:t>
      </w:r>
      <w:r w:rsidR="007B5329" w:rsidRPr="00AC0E66">
        <w:rPr>
          <w:rFonts w:cs="Tahoma"/>
          <w:szCs w:val="24"/>
        </w:rPr>
        <w:t xml:space="preserve">conminó al demandante a seguir aportando al sistema, </w:t>
      </w:r>
      <w:r w:rsidR="0023455B" w:rsidRPr="00AC0E66">
        <w:rPr>
          <w:rFonts w:cs="Tahoma"/>
          <w:szCs w:val="24"/>
        </w:rPr>
        <w:t>a pesar de que, para el 09 de octubre de 2012, cuando solicitó la pensión, ya contaba con 60 años y 1.000 semanas cotizadas, debe reconocer el retroactivo pensional desde el 01 de octubre de 2012, con una mesada pensional equivalente al salario mínimo.</w:t>
      </w:r>
    </w:p>
    <w:p w14:paraId="41AB7C18" w14:textId="6AC46FF2" w:rsidR="0023455B" w:rsidRPr="00AC0E66" w:rsidRDefault="0023455B" w:rsidP="00AC0E66">
      <w:pPr>
        <w:pStyle w:val="Sinespaciado"/>
        <w:spacing w:line="276" w:lineRule="auto"/>
        <w:rPr>
          <w:rFonts w:ascii="Tahoma" w:hAnsi="Tahoma" w:cs="Tahoma"/>
        </w:rPr>
      </w:pPr>
    </w:p>
    <w:p w14:paraId="5B44A365" w14:textId="55231A90" w:rsidR="007B5329" w:rsidRPr="00AC0E66" w:rsidRDefault="0023455B" w:rsidP="00AC0E66">
      <w:pPr>
        <w:spacing w:line="276" w:lineRule="auto"/>
        <w:ind w:firstLine="708"/>
        <w:rPr>
          <w:rFonts w:cs="Tahoma"/>
          <w:szCs w:val="24"/>
        </w:rPr>
      </w:pPr>
      <w:r w:rsidRPr="00AC0E66">
        <w:rPr>
          <w:rFonts w:cs="Tahoma"/>
          <w:szCs w:val="24"/>
        </w:rPr>
        <w:t xml:space="preserve">Agregó que por haber acreditado el demandante </w:t>
      </w:r>
      <w:r w:rsidR="007B5329" w:rsidRPr="00AC0E66">
        <w:rPr>
          <w:rFonts w:cs="Tahoma"/>
          <w:szCs w:val="24"/>
        </w:rPr>
        <w:t xml:space="preserve">los requisitos </w:t>
      </w:r>
      <w:r w:rsidRPr="00AC0E66">
        <w:rPr>
          <w:rFonts w:cs="Tahoma"/>
          <w:szCs w:val="24"/>
        </w:rPr>
        <w:t xml:space="preserve">para adquirir la pensión </w:t>
      </w:r>
      <w:r w:rsidR="007B5329" w:rsidRPr="00AC0E66">
        <w:rPr>
          <w:rFonts w:cs="Tahoma"/>
          <w:szCs w:val="24"/>
        </w:rPr>
        <w:t xml:space="preserve">para la fecha en que solicitó por primera vez </w:t>
      </w:r>
      <w:r w:rsidRPr="00AC0E66">
        <w:rPr>
          <w:rFonts w:cs="Tahoma"/>
          <w:szCs w:val="24"/>
        </w:rPr>
        <w:t xml:space="preserve">el reconocimiento, resultan procedentes los intereses moratorios, ante la omisión de Colpensiones. </w:t>
      </w:r>
    </w:p>
    <w:p w14:paraId="393A29D7" w14:textId="77777777" w:rsidR="00245F6A" w:rsidRPr="00AC0E66" w:rsidRDefault="00245F6A" w:rsidP="00AC0E66">
      <w:pPr>
        <w:pStyle w:val="Sinespaciado"/>
        <w:spacing w:line="276" w:lineRule="auto"/>
        <w:rPr>
          <w:rFonts w:ascii="Tahoma" w:hAnsi="Tahoma" w:cs="Tahoma"/>
        </w:rPr>
      </w:pPr>
    </w:p>
    <w:p w14:paraId="50D962F0" w14:textId="00D9ED66" w:rsidR="007918F9" w:rsidRPr="00AC0E66" w:rsidRDefault="007918F9" w:rsidP="00AC0E66">
      <w:pPr>
        <w:pStyle w:val="Prrafodelista"/>
        <w:numPr>
          <w:ilvl w:val="0"/>
          <w:numId w:val="1"/>
        </w:numPr>
        <w:spacing w:line="276" w:lineRule="auto"/>
        <w:jc w:val="center"/>
        <w:rPr>
          <w:rFonts w:cs="Tahoma"/>
          <w:b/>
          <w:bCs/>
          <w:szCs w:val="24"/>
        </w:rPr>
      </w:pPr>
      <w:r w:rsidRPr="00AC0E66">
        <w:rPr>
          <w:rFonts w:cs="Tahoma"/>
          <w:b/>
          <w:bCs/>
          <w:szCs w:val="24"/>
        </w:rPr>
        <w:t>Recursos de apelación y procedencia de la consulta</w:t>
      </w:r>
    </w:p>
    <w:p w14:paraId="6E176883" w14:textId="77777777" w:rsidR="00680CCA" w:rsidRPr="00AC0E66" w:rsidRDefault="00680CCA" w:rsidP="00AC0E66">
      <w:pPr>
        <w:pStyle w:val="Sinespaciado"/>
        <w:spacing w:line="276" w:lineRule="auto"/>
        <w:rPr>
          <w:rFonts w:ascii="Tahoma" w:hAnsi="Tahoma" w:cs="Tahoma"/>
        </w:rPr>
      </w:pPr>
    </w:p>
    <w:p w14:paraId="6A6A2FF1" w14:textId="54A562EA" w:rsidR="007B5329" w:rsidRPr="00AC0E66" w:rsidRDefault="00680CCA" w:rsidP="00AC0E66">
      <w:pPr>
        <w:spacing w:line="276" w:lineRule="auto"/>
        <w:ind w:firstLine="708"/>
        <w:rPr>
          <w:rFonts w:cs="Tahoma"/>
          <w:szCs w:val="24"/>
        </w:rPr>
      </w:pPr>
      <w:r w:rsidRPr="00AC0E66">
        <w:rPr>
          <w:rFonts w:cs="Tahoma"/>
          <w:szCs w:val="24"/>
        </w:rPr>
        <w:lastRenderedPageBreak/>
        <w:t>La</w:t>
      </w:r>
      <w:r w:rsidR="007918F9" w:rsidRPr="00AC0E66">
        <w:rPr>
          <w:rFonts w:cs="Tahoma"/>
          <w:szCs w:val="24"/>
        </w:rPr>
        <w:t xml:space="preserve"> apoderad</w:t>
      </w:r>
      <w:r w:rsidRPr="00AC0E66">
        <w:rPr>
          <w:rFonts w:cs="Tahoma"/>
          <w:szCs w:val="24"/>
        </w:rPr>
        <w:t>a</w:t>
      </w:r>
      <w:r w:rsidR="007918F9" w:rsidRPr="00AC0E66">
        <w:rPr>
          <w:rFonts w:cs="Tahoma"/>
          <w:szCs w:val="24"/>
        </w:rPr>
        <w:t xml:space="preserve"> de</w:t>
      </w:r>
      <w:r w:rsidR="00322C38" w:rsidRPr="00AC0E66">
        <w:rPr>
          <w:rFonts w:cs="Tahoma"/>
          <w:szCs w:val="24"/>
        </w:rPr>
        <w:t xml:space="preserve"> </w:t>
      </w:r>
      <w:r w:rsidR="002B6145" w:rsidRPr="00AC0E66">
        <w:rPr>
          <w:rFonts w:cs="Tahoma"/>
          <w:szCs w:val="24"/>
        </w:rPr>
        <w:t>Colpensiones interpuso recurso de apelación en contra de la sentencia de primera instancia, alegando para ello que el reconocimiento de la pensión de vejez se dio a partir del día</w:t>
      </w:r>
      <w:r w:rsidR="007B5329" w:rsidRPr="00AC0E66">
        <w:rPr>
          <w:rFonts w:cs="Tahoma"/>
          <w:szCs w:val="24"/>
        </w:rPr>
        <w:t xml:space="preserve"> siguiente al retiro del sistema</w:t>
      </w:r>
      <w:r w:rsidR="002B6145" w:rsidRPr="00AC0E66">
        <w:rPr>
          <w:rFonts w:cs="Tahoma"/>
          <w:szCs w:val="24"/>
        </w:rPr>
        <w:t xml:space="preserve">, por lo que la liquidación fue correcta, al tenerse en cuenta hasta la última semana cotizada. </w:t>
      </w:r>
    </w:p>
    <w:p w14:paraId="497E98C5" w14:textId="77777777" w:rsidR="00C007D1" w:rsidRPr="00AC0E66" w:rsidRDefault="00C007D1" w:rsidP="00AC0E66">
      <w:pPr>
        <w:pStyle w:val="Sinespaciado"/>
        <w:spacing w:line="276" w:lineRule="auto"/>
        <w:rPr>
          <w:rFonts w:ascii="Tahoma" w:hAnsi="Tahoma" w:cs="Tahoma"/>
        </w:rPr>
      </w:pPr>
    </w:p>
    <w:p w14:paraId="771B2564" w14:textId="072CE957" w:rsidR="00B33A2C" w:rsidRPr="00AC0E66" w:rsidRDefault="00B33A2C" w:rsidP="00AC0E66">
      <w:pPr>
        <w:pStyle w:val="Prrafodelista"/>
        <w:numPr>
          <w:ilvl w:val="0"/>
          <w:numId w:val="1"/>
        </w:numPr>
        <w:spacing w:line="276" w:lineRule="auto"/>
        <w:jc w:val="center"/>
        <w:rPr>
          <w:rFonts w:eastAsia="Times New Roman" w:cs="Tahoma"/>
          <w:b/>
          <w:bCs/>
          <w:szCs w:val="24"/>
          <w:lang w:eastAsia="es-ES"/>
        </w:rPr>
      </w:pPr>
      <w:r w:rsidRPr="00AC0E66">
        <w:rPr>
          <w:rFonts w:eastAsia="Times New Roman" w:cs="Tahoma"/>
          <w:b/>
          <w:bCs/>
          <w:szCs w:val="24"/>
          <w:lang w:eastAsia="es-ES"/>
        </w:rPr>
        <w:t>Alegatos de conclusión</w:t>
      </w:r>
    </w:p>
    <w:p w14:paraId="67765DB8" w14:textId="77777777" w:rsidR="00B33A2C" w:rsidRPr="00AC0E66" w:rsidRDefault="00B33A2C" w:rsidP="00AC0E66">
      <w:pPr>
        <w:pStyle w:val="Sinespaciado"/>
        <w:spacing w:line="276" w:lineRule="auto"/>
        <w:rPr>
          <w:rFonts w:ascii="Tahoma" w:hAnsi="Tahoma" w:cs="Tahoma"/>
        </w:rPr>
      </w:pPr>
    </w:p>
    <w:p w14:paraId="71F18D35" w14:textId="77777777" w:rsidR="007B5329" w:rsidRPr="00AC0E66" w:rsidRDefault="007B5329" w:rsidP="00AC0E66">
      <w:pPr>
        <w:spacing w:line="276" w:lineRule="auto"/>
        <w:ind w:firstLine="360"/>
        <w:rPr>
          <w:rFonts w:cs="Tahoma"/>
          <w:szCs w:val="24"/>
        </w:rPr>
      </w:pPr>
      <w:r w:rsidRPr="00AC0E66">
        <w:rPr>
          <w:rFonts w:cs="Tahoma"/>
          <w:szCs w:val="24"/>
        </w:rPr>
        <w:t xml:space="preserve">Como quedó sentado en la constancia secretarial que antecede, las partes guardaron silencio durante el término dispuesto para presentar alegatos de conclusión. </w:t>
      </w:r>
    </w:p>
    <w:p w14:paraId="4E1B0F7E" w14:textId="77777777" w:rsidR="00446E3B" w:rsidRPr="00AC0E66" w:rsidRDefault="00446E3B" w:rsidP="00AC0E66">
      <w:pPr>
        <w:spacing w:line="276" w:lineRule="auto"/>
        <w:rPr>
          <w:rFonts w:cs="Tahoma"/>
          <w:szCs w:val="24"/>
        </w:rPr>
      </w:pPr>
    </w:p>
    <w:p w14:paraId="50418479" w14:textId="45A30467" w:rsidR="00B33A2C" w:rsidRPr="00AC0E66" w:rsidRDefault="00B33A2C" w:rsidP="00AC0E66">
      <w:pPr>
        <w:numPr>
          <w:ilvl w:val="0"/>
          <w:numId w:val="1"/>
        </w:numPr>
        <w:spacing w:line="276" w:lineRule="auto"/>
        <w:contextualSpacing/>
        <w:jc w:val="center"/>
        <w:rPr>
          <w:rFonts w:eastAsia="Times New Roman" w:cs="Tahoma"/>
          <w:b/>
          <w:bCs/>
          <w:szCs w:val="24"/>
          <w:lang w:eastAsia="es-ES"/>
        </w:rPr>
      </w:pPr>
      <w:r w:rsidRPr="00AC0E66">
        <w:rPr>
          <w:rFonts w:eastAsia="Times New Roman" w:cs="Tahoma"/>
          <w:b/>
          <w:bCs/>
          <w:szCs w:val="24"/>
          <w:lang w:eastAsia="es-ES"/>
        </w:rPr>
        <w:t>Problema</w:t>
      </w:r>
      <w:r w:rsidR="002D3547" w:rsidRPr="00AC0E66">
        <w:rPr>
          <w:rFonts w:eastAsia="Times New Roman" w:cs="Tahoma"/>
          <w:b/>
          <w:bCs/>
          <w:szCs w:val="24"/>
          <w:lang w:eastAsia="es-ES"/>
        </w:rPr>
        <w:t>s</w:t>
      </w:r>
      <w:r w:rsidRPr="00AC0E66">
        <w:rPr>
          <w:rFonts w:eastAsia="Times New Roman" w:cs="Tahoma"/>
          <w:b/>
          <w:bCs/>
          <w:szCs w:val="24"/>
          <w:lang w:eastAsia="es-ES"/>
        </w:rPr>
        <w:t xml:space="preserve"> jurídicos por resolver</w:t>
      </w:r>
    </w:p>
    <w:p w14:paraId="7C83EFF1" w14:textId="77777777" w:rsidR="00B33A2C" w:rsidRPr="00AC0E66" w:rsidRDefault="00B33A2C" w:rsidP="00AC0E66">
      <w:pPr>
        <w:spacing w:line="276" w:lineRule="auto"/>
        <w:rPr>
          <w:rFonts w:cs="Tahoma"/>
          <w:szCs w:val="24"/>
        </w:rPr>
      </w:pPr>
      <w:r w:rsidRPr="00AC0E66">
        <w:rPr>
          <w:rFonts w:cs="Tahoma"/>
          <w:szCs w:val="24"/>
        </w:rPr>
        <w:t> </w:t>
      </w:r>
    </w:p>
    <w:p w14:paraId="5E675B22" w14:textId="5FA8B66A" w:rsidR="006D686F" w:rsidRPr="00AC0E66" w:rsidRDefault="00F73729" w:rsidP="00AC0E66">
      <w:pPr>
        <w:spacing w:line="276" w:lineRule="auto"/>
        <w:ind w:firstLine="360"/>
        <w:rPr>
          <w:rFonts w:cs="Tahoma"/>
          <w:szCs w:val="24"/>
        </w:rPr>
      </w:pPr>
      <w:r w:rsidRPr="00AC0E66">
        <w:rPr>
          <w:rFonts w:cs="Tahoma"/>
          <w:szCs w:val="24"/>
        </w:rPr>
        <w:t>De acuerdo a los argumentos expuestos en la sentencia de primera instancia</w:t>
      </w:r>
      <w:r w:rsidR="00817FD2" w:rsidRPr="00AC0E66">
        <w:rPr>
          <w:rFonts w:cs="Tahoma"/>
          <w:szCs w:val="24"/>
        </w:rPr>
        <w:t xml:space="preserve"> y el esquema del recurso de apelación, </w:t>
      </w:r>
      <w:r w:rsidRPr="00AC0E66">
        <w:rPr>
          <w:rFonts w:cs="Tahoma"/>
          <w:szCs w:val="24"/>
        </w:rPr>
        <w:t xml:space="preserve">le corresponde a la Sala determinar </w:t>
      </w:r>
      <w:r w:rsidR="12001C34" w:rsidRPr="00AC0E66">
        <w:rPr>
          <w:rFonts w:eastAsia="Tahoma" w:cs="Tahoma"/>
          <w:szCs w:val="24"/>
        </w:rPr>
        <w:t>a partir de qué momento le asiste derecho al demandante a disfrutar de su pensión de vejez.</w:t>
      </w:r>
    </w:p>
    <w:p w14:paraId="2A742690" w14:textId="44F81E55" w:rsidR="00446E3B" w:rsidRPr="00AC0E66" w:rsidRDefault="00446E3B" w:rsidP="00AC0E66">
      <w:pPr>
        <w:pStyle w:val="Sinespaciado"/>
        <w:spacing w:line="276" w:lineRule="auto"/>
        <w:rPr>
          <w:rFonts w:ascii="Tahoma" w:hAnsi="Tahoma" w:cs="Tahoma"/>
        </w:rPr>
      </w:pPr>
    </w:p>
    <w:p w14:paraId="3EE8E8E6" w14:textId="12DFE522" w:rsidR="003D5398" w:rsidRPr="00AC0E66" w:rsidRDefault="003D5398" w:rsidP="00AC0E66">
      <w:pPr>
        <w:pStyle w:val="Prrafodelista"/>
        <w:widowControl w:val="0"/>
        <w:numPr>
          <w:ilvl w:val="0"/>
          <w:numId w:val="1"/>
        </w:numPr>
        <w:tabs>
          <w:tab w:val="left" w:pos="284"/>
        </w:tabs>
        <w:autoSpaceDE w:val="0"/>
        <w:autoSpaceDN w:val="0"/>
        <w:adjustRightInd w:val="0"/>
        <w:spacing w:line="276" w:lineRule="auto"/>
        <w:ind w:left="0" w:firstLine="0"/>
        <w:jc w:val="center"/>
        <w:rPr>
          <w:rFonts w:cs="Tahoma"/>
          <w:b/>
          <w:szCs w:val="24"/>
        </w:rPr>
      </w:pPr>
      <w:r w:rsidRPr="00AC0E66">
        <w:rPr>
          <w:rFonts w:cs="Tahoma"/>
          <w:b/>
          <w:szCs w:val="24"/>
        </w:rPr>
        <w:t>Consideraciones</w:t>
      </w:r>
    </w:p>
    <w:p w14:paraId="6207F3C0" w14:textId="77777777" w:rsidR="00D245AE" w:rsidRPr="00AC0E66" w:rsidRDefault="00D245AE" w:rsidP="00AC0E66">
      <w:pPr>
        <w:spacing w:line="276" w:lineRule="auto"/>
        <w:ind w:firstLine="708"/>
        <w:rPr>
          <w:rFonts w:cs="Tahoma"/>
          <w:szCs w:val="24"/>
        </w:rPr>
      </w:pPr>
    </w:p>
    <w:p w14:paraId="7C6428B6" w14:textId="241874C3" w:rsidR="00B13FE2" w:rsidRPr="00AC0E66" w:rsidRDefault="00B13FE2" w:rsidP="00AC0E66">
      <w:pPr>
        <w:pStyle w:val="Prrafodelista"/>
        <w:numPr>
          <w:ilvl w:val="1"/>
          <w:numId w:val="22"/>
        </w:numPr>
        <w:spacing w:line="276" w:lineRule="auto"/>
        <w:ind w:left="709" w:firstLine="0"/>
        <w:rPr>
          <w:rFonts w:eastAsia="Times New Roman" w:cs="Tahoma"/>
          <w:b/>
          <w:bCs/>
          <w:szCs w:val="24"/>
          <w:lang w:val="es-CO"/>
        </w:rPr>
      </w:pPr>
      <w:r w:rsidRPr="00AC0E66">
        <w:rPr>
          <w:rFonts w:cs="Tahoma"/>
          <w:b/>
          <w:szCs w:val="24"/>
        </w:rPr>
        <w:t>Fecha</w:t>
      </w:r>
      <w:r w:rsidRPr="00AC0E66">
        <w:rPr>
          <w:rFonts w:eastAsia="Tahoma" w:cs="Tahoma"/>
          <w:b/>
          <w:bCs/>
          <w:szCs w:val="24"/>
        </w:rPr>
        <w:t xml:space="preserve"> de disfrute de la pensión de vejez</w:t>
      </w:r>
    </w:p>
    <w:p w14:paraId="297AD73D" w14:textId="77777777" w:rsidR="00B13FE2" w:rsidRPr="00AC0E66" w:rsidRDefault="00B13FE2" w:rsidP="00AC0E66">
      <w:pPr>
        <w:spacing w:line="276" w:lineRule="auto"/>
        <w:jc w:val="center"/>
        <w:textAlignment w:val="baseline"/>
        <w:rPr>
          <w:rFonts w:eastAsia="Calibri" w:cs="Tahoma"/>
          <w:szCs w:val="24"/>
        </w:rPr>
      </w:pPr>
      <w:r w:rsidRPr="00AC0E66">
        <w:rPr>
          <w:rFonts w:eastAsia="Tahoma" w:cs="Tahoma"/>
          <w:b/>
          <w:bCs/>
          <w:szCs w:val="24"/>
        </w:rPr>
        <w:t xml:space="preserve"> </w:t>
      </w:r>
    </w:p>
    <w:p w14:paraId="68A00238" w14:textId="77777777" w:rsidR="00B13FE2" w:rsidRPr="00AC0E66" w:rsidRDefault="00B13FE2" w:rsidP="00AC0E66">
      <w:pPr>
        <w:widowControl w:val="0"/>
        <w:autoSpaceDE w:val="0"/>
        <w:autoSpaceDN w:val="0"/>
        <w:adjustRightInd w:val="0"/>
        <w:spacing w:line="276" w:lineRule="auto"/>
        <w:ind w:firstLine="708"/>
        <w:rPr>
          <w:rFonts w:cs="Tahoma"/>
          <w:szCs w:val="24"/>
        </w:rPr>
      </w:pPr>
      <w:r w:rsidRPr="00AC0E66">
        <w:rPr>
          <w:rFonts w:cs="Tahoma"/>
          <w:szCs w:val="24"/>
        </w:rPr>
        <w:t xml:space="preserve">Como regla general, el criterio determinante para analizar el momento desde el cual procede el reconocimiento de la pensión, de conformidad con el artículo 13 del Acuerdo 049 de 1990, es la de desafiliación del sistema, en estas condiciones, el trabajador sólo se haría acreedor a la prestación desde la fecha señalada en que reportó tal novedad o en que cesó definitivamente el pago de sus aportes pensionales siempre que a la par haya elevado solicitud pensional. </w:t>
      </w:r>
    </w:p>
    <w:p w14:paraId="5D820DFC" w14:textId="77777777" w:rsidR="00B13FE2" w:rsidRPr="00AC0E66" w:rsidRDefault="00B13FE2" w:rsidP="00AC0E66">
      <w:pPr>
        <w:widowControl w:val="0"/>
        <w:autoSpaceDE w:val="0"/>
        <w:autoSpaceDN w:val="0"/>
        <w:adjustRightInd w:val="0"/>
        <w:spacing w:line="276" w:lineRule="auto"/>
        <w:ind w:firstLine="708"/>
        <w:rPr>
          <w:rFonts w:cs="Tahoma"/>
          <w:szCs w:val="24"/>
        </w:rPr>
      </w:pPr>
      <w:r w:rsidRPr="00AC0E66">
        <w:rPr>
          <w:rFonts w:cs="Tahoma"/>
          <w:szCs w:val="24"/>
        </w:rPr>
        <w:t xml:space="preserve"> </w:t>
      </w:r>
    </w:p>
    <w:p w14:paraId="615F6F1C" w14:textId="77777777" w:rsidR="00B13FE2" w:rsidRPr="00AC0E66" w:rsidRDefault="00B13FE2" w:rsidP="00AC0E66">
      <w:pPr>
        <w:widowControl w:val="0"/>
        <w:autoSpaceDE w:val="0"/>
        <w:autoSpaceDN w:val="0"/>
        <w:adjustRightInd w:val="0"/>
        <w:spacing w:line="276" w:lineRule="auto"/>
        <w:ind w:firstLine="708"/>
        <w:rPr>
          <w:rFonts w:cs="Tahoma"/>
          <w:szCs w:val="24"/>
        </w:rPr>
      </w:pPr>
      <w:r w:rsidRPr="00AC0E66">
        <w:rPr>
          <w:rFonts w:cs="Tahoma"/>
          <w:szCs w:val="24"/>
        </w:rPr>
        <w:t>No obstante, esta judicatura también ha sido del criterio de que no es posible hacer responsable al asegurado de los errores de la administradora de pensiones, cuando de manera infundada ha negado el derecho pensional y, como consecuencia de ello y en procura de obtener el número mínimo de semanas necesarias para obtener la gracia pensional, el afiliado continua haciendo aportes pensionales</w:t>
      </w:r>
      <w:bookmarkStart w:id="5" w:name="_Hlk139969277"/>
      <w:r w:rsidRPr="00AC0E66">
        <w:rPr>
          <w:rFonts w:cs="Tahoma"/>
          <w:szCs w:val="24"/>
        </w:rPr>
        <w:t>, máxime en eventos en que las cotizaciones realizadas a futuro, no conllevan al incremento del monto definitivo de la pensión, habida cuenta que de que el IBC siempre estuvo dentro del margen del salario mínimo</w:t>
      </w:r>
      <w:bookmarkEnd w:id="5"/>
      <w:r w:rsidRPr="00AC0E66">
        <w:rPr>
          <w:rFonts w:cs="Tahoma"/>
          <w:szCs w:val="24"/>
        </w:rPr>
        <w:t>, puesto que bajo estas circunstancia, los aportes realizados por el accionante, luego de haber consolidado su derecho, obedecieron a la equivocación en que incurrió el ente de seguridad social en la contabilización de las cotizaciones. Este criterio encuentra respaldo en varios pronunciamientos de la Corte Suprema de Justicia, del que se destaca el emitido dentro del proceso radicado No 39391, sentencia de casación del 22 de febrero de 2011, M.P. Carlos Ernesto Molina Monsalve.</w:t>
      </w:r>
    </w:p>
    <w:p w14:paraId="25367AF6" w14:textId="77777777" w:rsidR="00B13FE2" w:rsidRPr="00AC0E66" w:rsidRDefault="00B13FE2" w:rsidP="00AC0E66">
      <w:pPr>
        <w:widowControl w:val="0"/>
        <w:autoSpaceDE w:val="0"/>
        <w:autoSpaceDN w:val="0"/>
        <w:adjustRightInd w:val="0"/>
        <w:spacing w:line="276" w:lineRule="auto"/>
        <w:ind w:firstLine="708"/>
        <w:rPr>
          <w:rFonts w:cs="Tahoma"/>
          <w:szCs w:val="24"/>
        </w:rPr>
      </w:pPr>
      <w:r w:rsidRPr="00AC0E66">
        <w:rPr>
          <w:rFonts w:cs="Tahoma"/>
          <w:szCs w:val="24"/>
        </w:rPr>
        <w:t xml:space="preserve"> </w:t>
      </w:r>
    </w:p>
    <w:p w14:paraId="3617F786" w14:textId="77777777" w:rsidR="00B13FE2" w:rsidRPr="00AC0E66" w:rsidRDefault="00B13FE2" w:rsidP="00AC0E66">
      <w:pPr>
        <w:widowControl w:val="0"/>
        <w:autoSpaceDE w:val="0"/>
        <w:autoSpaceDN w:val="0"/>
        <w:adjustRightInd w:val="0"/>
        <w:spacing w:line="276" w:lineRule="auto"/>
        <w:ind w:firstLine="708"/>
        <w:rPr>
          <w:rFonts w:cs="Tahoma"/>
          <w:szCs w:val="24"/>
        </w:rPr>
      </w:pPr>
      <w:r w:rsidRPr="00AC0E66">
        <w:rPr>
          <w:rFonts w:cs="Tahoma"/>
          <w:szCs w:val="24"/>
        </w:rPr>
        <w:t xml:space="preserve">Adicionalmente, en sentencia más reciente, propiamente en la SL 9036-2017 del 21 de noviembre de 2017, M.P. Jorge Mauricio Burgos Ruiz, el órgano de cierre de la jurisdicción ordinaria en materia laboral, reiteró que: </w:t>
      </w:r>
    </w:p>
    <w:p w14:paraId="507FA672" w14:textId="77777777" w:rsidR="00B13FE2" w:rsidRPr="00AC0E66" w:rsidRDefault="00B13FE2" w:rsidP="00AC0E66">
      <w:pPr>
        <w:spacing w:line="276" w:lineRule="auto"/>
        <w:ind w:firstLine="709"/>
        <w:textAlignment w:val="baseline"/>
        <w:rPr>
          <w:rFonts w:eastAsia="Calibri" w:cs="Tahoma"/>
          <w:szCs w:val="24"/>
        </w:rPr>
      </w:pPr>
      <w:r w:rsidRPr="00AC0E66">
        <w:rPr>
          <w:rFonts w:eastAsia="Tahoma" w:cs="Tahoma"/>
          <w:szCs w:val="24"/>
        </w:rPr>
        <w:t xml:space="preserve"> </w:t>
      </w:r>
    </w:p>
    <w:p w14:paraId="4C214A4A" w14:textId="77777777" w:rsidR="00B13FE2" w:rsidRPr="00C54022" w:rsidRDefault="00B13FE2" w:rsidP="00C54022">
      <w:pPr>
        <w:spacing w:line="240" w:lineRule="auto"/>
        <w:ind w:left="426" w:right="420"/>
        <w:textAlignment w:val="baseline"/>
        <w:rPr>
          <w:rFonts w:eastAsia="Calibri" w:cs="Tahoma"/>
          <w:sz w:val="22"/>
          <w:szCs w:val="24"/>
        </w:rPr>
      </w:pPr>
      <w:r w:rsidRPr="00C54022">
        <w:rPr>
          <w:rFonts w:eastAsia="Tahoma" w:cs="Tahoma"/>
          <w:i/>
          <w:iCs/>
          <w:sz w:val="22"/>
          <w:szCs w:val="24"/>
        </w:rPr>
        <w:lastRenderedPageBreak/>
        <w:t>“(…) la Corporación precisó que los artículos 13 y 35 del Acuerdo 049 de 1990, «admiten un entendimiento conforme al cual la voluntad del afiliado de no continuar afiliado al sistema, manifestada mediante actos externos, es un parámetro válido para establecer la fecha de inicio de disfrute de la pensión.</w:t>
      </w:r>
    </w:p>
    <w:p w14:paraId="342BE1C9" w14:textId="77777777" w:rsidR="00B13FE2" w:rsidRPr="00C54022" w:rsidRDefault="00B13FE2" w:rsidP="00C54022">
      <w:pPr>
        <w:spacing w:line="240" w:lineRule="auto"/>
        <w:ind w:left="426" w:right="420"/>
        <w:textAlignment w:val="baseline"/>
        <w:rPr>
          <w:rFonts w:eastAsia="Calibri" w:cs="Tahoma"/>
          <w:sz w:val="22"/>
          <w:szCs w:val="24"/>
        </w:rPr>
      </w:pPr>
      <w:r w:rsidRPr="00C54022">
        <w:rPr>
          <w:rFonts w:eastAsia="Tahoma" w:cs="Tahoma"/>
          <w:i/>
          <w:iCs/>
          <w:sz w:val="22"/>
          <w:szCs w:val="24"/>
        </w:rPr>
        <w:t xml:space="preserve"> </w:t>
      </w:r>
    </w:p>
    <w:p w14:paraId="12819AE3" w14:textId="77777777" w:rsidR="00B13FE2" w:rsidRPr="00C54022" w:rsidRDefault="00B13FE2" w:rsidP="00C54022">
      <w:pPr>
        <w:spacing w:line="240" w:lineRule="auto"/>
        <w:ind w:left="426" w:right="420"/>
        <w:textAlignment w:val="baseline"/>
        <w:rPr>
          <w:rFonts w:eastAsia="Calibri" w:cs="Tahoma"/>
          <w:sz w:val="22"/>
          <w:szCs w:val="24"/>
        </w:rPr>
      </w:pPr>
      <w:r w:rsidRPr="00C54022">
        <w:rPr>
          <w:rFonts w:eastAsia="Tahoma" w:cs="Tahoma"/>
          <w:i/>
          <w:iCs/>
          <w:sz w:val="22"/>
          <w:szCs w:val="24"/>
        </w:rPr>
        <w:t>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expuesta en tal sentido». (…)”.</w:t>
      </w:r>
    </w:p>
    <w:p w14:paraId="6E21D66F" w14:textId="77777777" w:rsidR="00ED372F" w:rsidRPr="00AC0E66" w:rsidRDefault="00ED372F" w:rsidP="00AC0E66">
      <w:pPr>
        <w:pStyle w:val="paragraph"/>
        <w:spacing w:before="0" w:beforeAutospacing="0" w:after="0" w:afterAutospacing="0" w:line="276" w:lineRule="auto"/>
        <w:textAlignment w:val="baseline"/>
        <w:rPr>
          <w:rFonts w:ascii="Tahoma" w:hAnsi="Tahoma" w:cs="Tahoma"/>
          <w:lang w:val="es-CO"/>
        </w:rPr>
      </w:pPr>
      <w:r w:rsidRPr="00AC0E66">
        <w:rPr>
          <w:rStyle w:val="eop"/>
          <w:rFonts w:ascii="Tahoma" w:hAnsi="Tahoma" w:cs="Tahoma"/>
        </w:rPr>
        <w:t> </w:t>
      </w:r>
    </w:p>
    <w:p w14:paraId="232C6579" w14:textId="77777777" w:rsidR="00ED372F" w:rsidRPr="00AC0E66" w:rsidRDefault="00ED372F" w:rsidP="00AC0E66">
      <w:pPr>
        <w:pStyle w:val="Prrafodelista"/>
        <w:numPr>
          <w:ilvl w:val="1"/>
          <w:numId w:val="22"/>
        </w:numPr>
        <w:spacing w:line="276" w:lineRule="auto"/>
        <w:ind w:left="709" w:firstLine="0"/>
        <w:rPr>
          <w:rFonts w:cs="Tahoma"/>
          <w:szCs w:val="24"/>
        </w:rPr>
      </w:pPr>
      <w:r w:rsidRPr="00AC0E66">
        <w:rPr>
          <w:rStyle w:val="normaltextrun"/>
          <w:rFonts w:cs="Tahoma"/>
          <w:b/>
          <w:bCs/>
          <w:szCs w:val="24"/>
        </w:rPr>
        <w:t>Obligación de las entidades administradora de pensiones respecto al manejo de las historias labores</w:t>
      </w:r>
      <w:r w:rsidRPr="00AC0E66">
        <w:rPr>
          <w:rStyle w:val="eop"/>
          <w:rFonts w:cs="Tahoma"/>
          <w:szCs w:val="24"/>
        </w:rPr>
        <w:t> </w:t>
      </w:r>
    </w:p>
    <w:p w14:paraId="793DA440" w14:textId="77777777" w:rsidR="00ED372F" w:rsidRPr="00AC0E66" w:rsidRDefault="00ED372F" w:rsidP="00AC0E66">
      <w:pPr>
        <w:pStyle w:val="Sinespaciado"/>
        <w:spacing w:line="276" w:lineRule="auto"/>
        <w:rPr>
          <w:rFonts w:ascii="Tahoma" w:hAnsi="Tahoma" w:cs="Tahoma"/>
        </w:rPr>
      </w:pPr>
      <w:r w:rsidRPr="00AC0E66">
        <w:rPr>
          <w:rStyle w:val="eop"/>
          <w:rFonts w:ascii="Tahoma" w:hAnsi="Tahoma" w:cs="Tahoma"/>
        </w:rPr>
        <w:t> </w:t>
      </w:r>
    </w:p>
    <w:p w14:paraId="4CD32E86" w14:textId="2B7D687A" w:rsidR="00ED372F" w:rsidRPr="00AC0E66" w:rsidRDefault="00ED372F" w:rsidP="00AC0E66">
      <w:pPr>
        <w:spacing w:line="276" w:lineRule="auto"/>
        <w:ind w:firstLine="708"/>
        <w:rPr>
          <w:rFonts w:cs="Tahoma"/>
          <w:szCs w:val="24"/>
        </w:rPr>
      </w:pPr>
      <w:r w:rsidRPr="00AC0E66">
        <w:rPr>
          <w:rFonts w:cs="Tahoma"/>
          <w:szCs w:val="24"/>
        </w:rPr>
        <w:t>La Sala de Casación Laboral de la Corte Suprema de Justicia, mediante providencia SL3691-2021 adoctrinó que las administradoras pensionales, sin importar el régimen que administren, tienen el deber de custodiar, conservar y verificar la información de las historias laborales de sus afiliados, para lo cual deben tener en cuenta lo dispuesto en la Ley 1581 de 20</w:t>
      </w:r>
      <w:r w:rsidR="00F21810" w:rsidRPr="00AC0E66">
        <w:rPr>
          <w:rFonts w:cs="Tahoma"/>
          <w:szCs w:val="24"/>
        </w:rPr>
        <w:t>1</w:t>
      </w:r>
      <w:r w:rsidRPr="00AC0E66">
        <w:rPr>
          <w:rFonts w:cs="Tahoma"/>
          <w:szCs w:val="24"/>
        </w:rPr>
        <w:t>2 respecto al manejo y protección de datos personales. Adicionalmente, recalcó el Alto Tribunal que esta custodia adecuada reviste de vital importancia, en la medida que la observancia efectiva de esta gestión permite que los empleadores cumplan con sus obligaciones pensionales, a la par que evita tardanzas injustificadas en el reconocimiento de las prestaciones del sistema.  </w:t>
      </w:r>
    </w:p>
    <w:p w14:paraId="5CACAD82" w14:textId="77777777" w:rsidR="00ED372F" w:rsidRPr="00AC0E66" w:rsidRDefault="00ED372F" w:rsidP="00AC0E66">
      <w:pPr>
        <w:pStyle w:val="paragraph"/>
        <w:spacing w:before="0" w:beforeAutospacing="0" w:after="0" w:afterAutospacing="0" w:line="276" w:lineRule="auto"/>
        <w:textAlignment w:val="baseline"/>
        <w:rPr>
          <w:rFonts w:ascii="Tahoma" w:hAnsi="Tahoma" w:cs="Tahoma"/>
        </w:rPr>
      </w:pPr>
      <w:r w:rsidRPr="00AC0E66">
        <w:rPr>
          <w:rStyle w:val="eop"/>
          <w:rFonts w:ascii="Tahoma" w:hAnsi="Tahoma" w:cs="Tahoma"/>
        </w:rPr>
        <w:t> </w:t>
      </w:r>
    </w:p>
    <w:p w14:paraId="67894478" w14:textId="77777777" w:rsidR="00ED372F" w:rsidRPr="00AC0E66" w:rsidRDefault="00ED372F" w:rsidP="00AC0E66">
      <w:pPr>
        <w:spacing w:line="276" w:lineRule="auto"/>
        <w:ind w:firstLine="708"/>
        <w:rPr>
          <w:rFonts w:cs="Tahoma"/>
          <w:szCs w:val="24"/>
        </w:rPr>
      </w:pPr>
      <w:r w:rsidRPr="00AC0E66">
        <w:rPr>
          <w:rStyle w:val="normaltextrun"/>
          <w:rFonts w:cs="Tahoma"/>
          <w:szCs w:val="24"/>
        </w:rPr>
        <w:t xml:space="preserve">En </w:t>
      </w:r>
      <w:r w:rsidRPr="00AC0E66">
        <w:rPr>
          <w:rFonts w:cs="Tahoma"/>
          <w:szCs w:val="24"/>
        </w:rPr>
        <w:t>ese</w:t>
      </w:r>
      <w:r w:rsidRPr="00AC0E66">
        <w:rPr>
          <w:rStyle w:val="normaltextrun"/>
          <w:rFonts w:cs="Tahoma"/>
          <w:szCs w:val="24"/>
        </w:rPr>
        <w:t xml:space="preserve"> orden, concluyó que </w:t>
      </w:r>
      <w:r w:rsidRPr="00AC0E66">
        <w:rPr>
          <w:rFonts w:eastAsia="Tahoma" w:cs="Tahoma"/>
          <w:i/>
          <w:iCs/>
          <w:szCs w:val="24"/>
        </w:rPr>
        <w:t>“</w:t>
      </w:r>
      <w:r w:rsidRPr="00D56FDE">
        <w:rPr>
          <w:rFonts w:eastAsia="Tahoma" w:cs="Tahoma"/>
          <w:i/>
          <w:iCs/>
          <w:sz w:val="22"/>
          <w:szCs w:val="24"/>
        </w:rPr>
        <w:t>si en esta gestión existen infracciones por parte de los entes administradores de pensiones, es impensable que las consecuencias negativas que ellas deriven puedan trasladarse a los afiliados, y menos cuando las mismas no les son atribuibles.(…) En ese sentido, el efecto del incumplimiento de los deberes de gestión, guarda, conservación y verificación del contenido de la historia laboral debe ser asumido por la entidad administradora, pues esta cuenta con los recursos e infraestructura necesaria y suficiente para identificar con anticipación las inconsistencias que se presenten</w:t>
      </w:r>
      <w:r w:rsidRPr="00AC0E66">
        <w:rPr>
          <w:rFonts w:eastAsia="Tahoma" w:cs="Tahoma"/>
          <w:i/>
          <w:iCs/>
          <w:szCs w:val="24"/>
        </w:rPr>
        <w:t>”. </w:t>
      </w:r>
    </w:p>
    <w:p w14:paraId="18148D2F" w14:textId="77777777" w:rsidR="00ED372F" w:rsidRPr="00AC0E66" w:rsidRDefault="00ED372F" w:rsidP="00AC0E66">
      <w:pPr>
        <w:pStyle w:val="paragraph"/>
        <w:spacing w:before="0" w:beforeAutospacing="0" w:after="0" w:afterAutospacing="0" w:line="276" w:lineRule="auto"/>
        <w:ind w:firstLine="705"/>
        <w:jc w:val="both"/>
        <w:textAlignment w:val="baseline"/>
        <w:rPr>
          <w:rFonts w:ascii="Tahoma" w:hAnsi="Tahoma" w:cs="Tahoma"/>
        </w:rPr>
      </w:pPr>
      <w:r w:rsidRPr="00AC0E66">
        <w:rPr>
          <w:rStyle w:val="eop"/>
          <w:rFonts w:ascii="Tahoma" w:hAnsi="Tahoma" w:cs="Tahoma"/>
        </w:rPr>
        <w:t> </w:t>
      </w:r>
    </w:p>
    <w:p w14:paraId="6778F287" w14:textId="77777777" w:rsidR="00ED372F" w:rsidRPr="00AC0E66" w:rsidRDefault="00ED372F" w:rsidP="00AC0E66">
      <w:pPr>
        <w:spacing w:line="276" w:lineRule="auto"/>
        <w:ind w:firstLine="708"/>
        <w:rPr>
          <w:rFonts w:cs="Tahoma"/>
          <w:szCs w:val="24"/>
        </w:rPr>
      </w:pPr>
      <w:r w:rsidRPr="00AC0E66">
        <w:rPr>
          <w:rFonts w:cs="Tahoma"/>
          <w:szCs w:val="24"/>
        </w:rPr>
        <w:t>La postura de la Sala de Casación Laboral es compartida plenamente por la Corte Constitucional, tal como esta Corporación, con ponencia de la Magistrada Alejandra María Henao Palacio en la sentencia del 05 de octubre de 2020, radicado 2018-349, recordó:  </w:t>
      </w:r>
    </w:p>
    <w:p w14:paraId="25FD1690" w14:textId="77777777" w:rsidR="00ED372F" w:rsidRPr="00AC0E66" w:rsidRDefault="00ED372F" w:rsidP="00AC0E66">
      <w:pPr>
        <w:pStyle w:val="paragraph"/>
        <w:spacing w:before="0" w:beforeAutospacing="0" w:after="0" w:afterAutospacing="0" w:line="276" w:lineRule="auto"/>
        <w:textAlignment w:val="baseline"/>
        <w:rPr>
          <w:rFonts w:ascii="Tahoma" w:hAnsi="Tahoma" w:cs="Tahoma"/>
        </w:rPr>
      </w:pPr>
      <w:r w:rsidRPr="00AC0E66">
        <w:rPr>
          <w:rStyle w:val="eop"/>
          <w:rFonts w:ascii="Tahoma" w:hAnsi="Tahoma" w:cs="Tahoma"/>
        </w:rPr>
        <w:t> </w:t>
      </w:r>
    </w:p>
    <w:p w14:paraId="79574CE7" w14:textId="2CF4E146" w:rsidR="00ED372F" w:rsidRPr="00C54022" w:rsidRDefault="00ED372F" w:rsidP="00C54022">
      <w:pPr>
        <w:spacing w:line="240" w:lineRule="auto"/>
        <w:ind w:left="426" w:right="420"/>
        <w:textAlignment w:val="baseline"/>
        <w:rPr>
          <w:rFonts w:eastAsia="Tahoma" w:cs="Tahoma"/>
          <w:i/>
          <w:iCs/>
          <w:sz w:val="22"/>
          <w:szCs w:val="24"/>
        </w:rPr>
      </w:pPr>
      <w:r w:rsidRPr="00C54022">
        <w:rPr>
          <w:rFonts w:eastAsia="Tahoma" w:cs="Tahoma"/>
          <w:i/>
          <w:iCs/>
          <w:sz w:val="22"/>
          <w:szCs w:val="24"/>
        </w:rPr>
        <w:t>“La Corte Constitucional, por ejemplo ha indicado que la obligación que surge para las administradoras de pensiones respecto del manejo de las historias laborales es la que las vincula con la custodia, conservación y guarda de la información que determina si sus afiliados cumplen con los requisitos de acceso a la pensión y de los documentos físicos o magnéticos en los que esa información reposa. Así mismo, involucra también el deber de organizar y sistematizar esos datos, sin que sea posible trasladarle al afiliado las consecuencias negativas de dicha infracción, puesto que es la entidad administradora quien debe asumirlos, toda vez que esta quien cuenta con los medios necesarios para gestionar los datos de las cotizaciones y aportes de sus afiliados”.</w:t>
      </w:r>
    </w:p>
    <w:p w14:paraId="3F73CD70" w14:textId="77777777" w:rsidR="00ED372F" w:rsidRPr="00AC0E66" w:rsidRDefault="00ED372F" w:rsidP="00AC0E66">
      <w:pPr>
        <w:pStyle w:val="Sinespaciado"/>
        <w:spacing w:line="276" w:lineRule="auto"/>
        <w:rPr>
          <w:rFonts w:ascii="Tahoma" w:hAnsi="Tahoma" w:cs="Tahoma"/>
        </w:rPr>
      </w:pPr>
    </w:p>
    <w:p w14:paraId="703C5796" w14:textId="53109D6A" w:rsidR="003D5398" w:rsidRPr="00AC0E66" w:rsidRDefault="003D5398" w:rsidP="00AC0E66">
      <w:pPr>
        <w:pStyle w:val="Prrafodelista"/>
        <w:numPr>
          <w:ilvl w:val="1"/>
          <w:numId w:val="22"/>
        </w:numPr>
        <w:spacing w:line="276" w:lineRule="auto"/>
        <w:ind w:left="709" w:firstLine="0"/>
        <w:rPr>
          <w:rFonts w:cs="Tahoma"/>
          <w:b/>
          <w:szCs w:val="24"/>
        </w:rPr>
      </w:pPr>
      <w:r w:rsidRPr="00AC0E66">
        <w:rPr>
          <w:rFonts w:cs="Tahoma"/>
          <w:b/>
          <w:szCs w:val="24"/>
        </w:rPr>
        <w:t>Caso concreto</w:t>
      </w:r>
    </w:p>
    <w:p w14:paraId="55F90E33" w14:textId="77777777" w:rsidR="003D5398" w:rsidRPr="00AC0E66" w:rsidRDefault="003D5398" w:rsidP="00AC0E66">
      <w:pPr>
        <w:pStyle w:val="Sinespaciado"/>
        <w:spacing w:line="276" w:lineRule="auto"/>
        <w:rPr>
          <w:rFonts w:ascii="Tahoma" w:hAnsi="Tahoma" w:cs="Tahoma"/>
        </w:rPr>
      </w:pPr>
    </w:p>
    <w:p w14:paraId="3776F631" w14:textId="405083A6" w:rsidR="007D7668" w:rsidRPr="00AC0E66" w:rsidRDefault="00604CBC" w:rsidP="00AC0E66">
      <w:pPr>
        <w:widowControl w:val="0"/>
        <w:autoSpaceDE w:val="0"/>
        <w:autoSpaceDN w:val="0"/>
        <w:adjustRightInd w:val="0"/>
        <w:spacing w:line="276" w:lineRule="auto"/>
        <w:ind w:firstLine="708"/>
        <w:rPr>
          <w:rFonts w:eastAsia="Calibri" w:cs="Tahoma"/>
          <w:szCs w:val="24"/>
          <w:lang w:val="es-CO"/>
        </w:rPr>
      </w:pPr>
      <w:r w:rsidRPr="00AC0E66">
        <w:rPr>
          <w:rFonts w:eastAsia="Calibri" w:cs="Tahoma"/>
          <w:szCs w:val="24"/>
          <w:lang w:val="es-CO"/>
        </w:rPr>
        <w:t xml:space="preserve">Son hechos que se encuentran probados, conforme la documental que reposa </w:t>
      </w:r>
      <w:r w:rsidRPr="00AC0E66">
        <w:rPr>
          <w:rFonts w:eastAsia="Calibri" w:cs="Tahoma"/>
          <w:szCs w:val="24"/>
          <w:lang w:val="es-CO"/>
        </w:rPr>
        <w:lastRenderedPageBreak/>
        <w:t>en el cartulario, los siguientes:</w:t>
      </w:r>
    </w:p>
    <w:p w14:paraId="6BD75304" w14:textId="77777777" w:rsidR="00604CBC" w:rsidRPr="00AC0E66" w:rsidRDefault="00604CBC" w:rsidP="00AC0E66">
      <w:pPr>
        <w:pStyle w:val="Sinespaciado"/>
        <w:spacing w:line="276" w:lineRule="auto"/>
        <w:rPr>
          <w:rFonts w:ascii="Tahoma" w:hAnsi="Tahoma" w:cs="Tahoma"/>
        </w:rPr>
      </w:pPr>
    </w:p>
    <w:p w14:paraId="0AC67820" w14:textId="3EB33CC1" w:rsidR="00604CBC" w:rsidRPr="00AC0E66" w:rsidRDefault="00BC0FDE" w:rsidP="00AC0E66">
      <w:pPr>
        <w:pStyle w:val="Prrafodelista"/>
        <w:widowControl w:val="0"/>
        <w:numPr>
          <w:ilvl w:val="0"/>
          <w:numId w:val="26"/>
        </w:numPr>
        <w:autoSpaceDE w:val="0"/>
        <w:autoSpaceDN w:val="0"/>
        <w:adjustRightInd w:val="0"/>
        <w:spacing w:line="276" w:lineRule="auto"/>
        <w:rPr>
          <w:rFonts w:eastAsia="Calibri" w:cs="Tahoma"/>
          <w:szCs w:val="24"/>
          <w:lang w:val="es-CO"/>
        </w:rPr>
      </w:pPr>
      <w:r w:rsidRPr="00AC0E66">
        <w:rPr>
          <w:rFonts w:eastAsia="Calibri" w:cs="Tahoma"/>
          <w:szCs w:val="24"/>
          <w:lang w:val="es-CO"/>
        </w:rPr>
        <w:t>El señor Bernardo Santibáñez Díaz nació el 29 de julio de 1952, razón por la cual arribó a los 60 años el mismo día del año 2012</w:t>
      </w:r>
      <w:r w:rsidR="00645F10" w:rsidRPr="00AC0E66">
        <w:rPr>
          <w:rStyle w:val="Refdenotaalpie"/>
          <w:rFonts w:eastAsia="Calibri" w:cs="Tahoma"/>
          <w:szCs w:val="24"/>
          <w:lang w:val="es-CO"/>
        </w:rPr>
        <w:footnoteReference w:id="1"/>
      </w:r>
      <w:r w:rsidRPr="00AC0E66">
        <w:rPr>
          <w:rFonts w:eastAsia="Calibri" w:cs="Tahoma"/>
          <w:szCs w:val="24"/>
          <w:lang w:val="es-CO"/>
        </w:rPr>
        <w:t>.</w:t>
      </w:r>
    </w:p>
    <w:p w14:paraId="7D2E7F97" w14:textId="77777777" w:rsidR="00891112" w:rsidRPr="00AC0E66" w:rsidRDefault="00891112" w:rsidP="00AC0E66">
      <w:pPr>
        <w:pStyle w:val="Prrafodelista"/>
        <w:widowControl w:val="0"/>
        <w:autoSpaceDE w:val="0"/>
        <w:autoSpaceDN w:val="0"/>
        <w:adjustRightInd w:val="0"/>
        <w:spacing w:line="276" w:lineRule="auto"/>
        <w:ind w:left="1428"/>
        <w:rPr>
          <w:rFonts w:eastAsia="Calibri" w:cs="Tahoma"/>
          <w:szCs w:val="24"/>
          <w:lang w:val="es-CO"/>
        </w:rPr>
      </w:pPr>
    </w:p>
    <w:p w14:paraId="6102ACFC" w14:textId="42C806FE" w:rsidR="00891112" w:rsidRPr="00AC0E66" w:rsidRDefault="00891112" w:rsidP="00AC0E66">
      <w:pPr>
        <w:pStyle w:val="Prrafodelista"/>
        <w:widowControl w:val="0"/>
        <w:numPr>
          <w:ilvl w:val="0"/>
          <w:numId w:val="26"/>
        </w:numPr>
        <w:autoSpaceDE w:val="0"/>
        <w:autoSpaceDN w:val="0"/>
        <w:adjustRightInd w:val="0"/>
        <w:spacing w:line="276" w:lineRule="auto"/>
        <w:rPr>
          <w:rFonts w:eastAsia="Calibri" w:cs="Tahoma"/>
          <w:szCs w:val="24"/>
          <w:lang w:val="es-CO"/>
        </w:rPr>
      </w:pPr>
      <w:r w:rsidRPr="00AC0E66">
        <w:rPr>
          <w:rFonts w:eastAsia="Calibri" w:cs="Tahoma"/>
          <w:szCs w:val="24"/>
          <w:lang w:val="es-CO"/>
        </w:rPr>
        <w:t>El demandante prestó sus servicios a Ferrocarriles Nacionales de Colombia entre el 21/03/1985 y el 15/10/1991, para un total de 2.365 días, que, al descontarle 24 días por interrupción del servicio, arroja un total de 2.341 días, equivalentes a 334.42 semanas, ello conforme a los formatos cetil aportados con la demanda y que se encuentran igualmente en el expediente administrativo de Colpensiones</w:t>
      </w:r>
      <w:r w:rsidRPr="00AC0E66">
        <w:rPr>
          <w:rStyle w:val="Refdenotaalpie"/>
          <w:rFonts w:eastAsia="Calibri" w:cs="Tahoma"/>
          <w:szCs w:val="24"/>
          <w:lang w:val="es-CO"/>
        </w:rPr>
        <w:footnoteReference w:id="2"/>
      </w:r>
    </w:p>
    <w:p w14:paraId="61243706" w14:textId="77777777" w:rsidR="000E4FE4" w:rsidRPr="00AC0E66" w:rsidRDefault="000E4FE4" w:rsidP="00AC0E66">
      <w:pPr>
        <w:pStyle w:val="Sinespaciado"/>
        <w:spacing w:line="276" w:lineRule="auto"/>
        <w:rPr>
          <w:rFonts w:ascii="Tahoma" w:hAnsi="Tahoma" w:cs="Tahoma"/>
        </w:rPr>
      </w:pPr>
    </w:p>
    <w:p w14:paraId="545DF78F" w14:textId="0C4E7A10" w:rsidR="000E04D3" w:rsidRPr="00AC0E66" w:rsidRDefault="000E04D3" w:rsidP="00AC0E66">
      <w:pPr>
        <w:pStyle w:val="Prrafodelista"/>
        <w:widowControl w:val="0"/>
        <w:numPr>
          <w:ilvl w:val="0"/>
          <w:numId w:val="26"/>
        </w:numPr>
        <w:autoSpaceDE w:val="0"/>
        <w:autoSpaceDN w:val="0"/>
        <w:adjustRightInd w:val="0"/>
        <w:spacing w:line="276" w:lineRule="auto"/>
        <w:rPr>
          <w:rFonts w:eastAsia="Calibri" w:cs="Tahoma"/>
          <w:szCs w:val="24"/>
          <w:lang w:val="es-CO"/>
        </w:rPr>
      </w:pPr>
      <w:r w:rsidRPr="00AC0E66">
        <w:rPr>
          <w:rFonts w:eastAsia="Calibri" w:cs="Tahoma"/>
          <w:szCs w:val="24"/>
          <w:lang w:val="es-CO"/>
        </w:rPr>
        <w:t>El actor solicitó la pensión de vejez el 09 de octubre de 2012</w:t>
      </w:r>
      <w:r w:rsidR="00EB5DF0" w:rsidRPr="00AC0E66">
        <w:rPr>
          <w:rFonts w:eastAsia="Calibri" w:cs="Tahoma"/>
          <w:szCs w:val="24"/>
          <w:lang w:val="es-CO"/>
        </w:rPr>
        <w:t>, no obstante, m</w:t>
      </w:r>
      <w:r w:rsidRPr="00AC0E66">
        <w:rPr>
          <w:rFonts w:eastAsia="Calibri" w:cs="Tahoma"/>
          <w:szCs w:val="24"/>
          <w:lang w:val="es-CO"/>
        </w:rPr>
        <w:t xml:space="preserve">ediante resolución GNR </w:t>
      </w:r>
      <w:r w:rsidR="008B7934" w:rsidRPr="00AC0E66">
        <w:rPr>
          <w:rFonts w:eastAsia="Calibri" w:cs="Tahoma"/>
          <w:szCs w:val="24"/>
          <w:lang w:val="es-CO"/>
        </w:rPr>
        <w:t>034175</w:t>
      </w:r>
      <w:r w:rsidRPr="00AC0E66">
        <w:rPr>
          <w:rFonts w:eastAsia="Calibri" w:cs="Tahoma"/>
          <w:szCs w:val="24"/>
          <w:lang w:val="es-CO"/>
        </w:rPr>
        <w:t xml:space="preserve"> del </w:t>
      </w:r>
      <w:r w:rsidR="008B7934" w:rsidRPr="00AC0E66">
        <w:rPr>
          <w:rFonts w:eastAsia="Calibri" w:cs="Tahoma"/>
          <w:szCs w:val="24"/>
          <w:lang w:val="es-CO"/>
        </w:rPr>
        <w:t>12 de marzo de 2013</w:t>
      </w:r>
      <w:r w:rsidRPr="00AC0E66">
        <w:rPr>
          <w:rFonts w:eastAsia="Calibri" w:cs="Tahoma"/>
          <w:szCs w:val="24"/>
          <w:lang w:val="es-CO"/>
        </w:rPr>
        <w:t>, Colpensiones negó la gracia pensional</w:t>
      </w:r>
      <w:r w:rsidR="008B7934" w:rsidRPr="00AC0E66">
        <w:rPr>
          <w:rFonts w:eastAsia="Calibri" w:cs="Tahoma"/>
          <w:szCs w:val="24"/>
          <w:lang w:val="es-CO"/>
        </w:rPr>
        <w:t xml:space="preserve"> e indicó que el actor acreditaba un total de 637 semanas cotizadas, sin relacionarse el tiempo servido a Ferrocarriles de Colombia.</w:t>
      </w:r>
      <w:r w:rsidR="008B7934" w:rsidRPr="00AC0E66">
        <w:rPr>
          <w:rStyle w:val="Refdenotaalpie"/>
          <w:rFonts w:eastAsia="Calibri" w:cs="Tahoma"/>
          <w:szCs w:val="24"/>
          <w:lang w:val="es-CO"/>
        </w:rPr>
        <w:footnoteReference w:id="3"/>
      </w:r>
    </w:p>
    <w:p w14:paraId="651FBFD7" w14:textId="77777777" w:rsidR="008B7934" w:rsidRPr="00AC0E66" w:rsidRDefault="008B7934" w:rsidP="00AC0E66">
      <w:pPr>
        <w:pStyle w:val="Sinespaciado"/>
        <w:spacing w:line="276" w:lineRule="auto"/>
        <w:rPr>
          <w:rFonts w:ascii="Tahoma" w:hAnsi="Tahoma" w:cs="Tahoma"/>
        </w:rPr>
      </w:pPr>
    </w:p>
    <w:p w14:paraId="32F466FD" w14:textId="1DF35E26" w:rsidR="008B7934" w:rsidRPr="00AC0E66" w:rsidRDefault="008B7934" w:rsidP="00AC0E66">
      <w:pPr>
        <w:pStyle w:val="Prrafodelista"/>
        <w:widowControl w:val="0"/>
        <w:numPr>
          <w:ilvl w:val="0"/>
          <w:numId w:val="26"/>
        </w:numPr>
        <w:autoSpaceDE w:val="0"/>
        <w:autoSpaceDN w:val="0"/>
        <w:adjustRightInd w:val="0"/>
        <w:spacing w:line="276" w:lineRule="auto"/>
        <w:rPr>
          <w:rFonts w:eastAsia="Calibri" w:cs="Tahoma"/>
          <w:szCs w:val="24"/>
          <w:lang w:val="es-CO"/>
        </w:rPr>
      </w:pPr>
      <w:r w:rsidRPr="00AC0E66">
        <w:rPr>
          <w:rFonts w:eastAsia="Calibri" w:cs="Tahoma"/>
          <w:szCs w:val="24"/>
          <w:lang w:val="es-CO"/>
        </w:rPr>
        <w:t>Ante el recurso de reposición presentado por el demandante, Colpensiones confirmó la negativa pensional a través de la resolución GNR 258819 del 16 de octubre de 2013</w:t>
      </w:r>
      <w:r w:rsidRPr="00AC0E66">
        <w:rPr>
          <w:rStyle w:val="Refdenotaalpie"/>
          <w:rFonts w:eastAsia="Calibri" w:cs="Tahoma"/>
          <w:szCs w:val="24"/>
          <w:lang w:val="es-CO"/>
        </w:rPr>
        <w:footnoteReference w:id="4"/>
      </w:r>
      <w:r w:rsidRPr="00AC0E66">
        <w:rPr>
          <w:rFonts w:eastAsia="Calibri" w:cs="Tahoma"/>
          <w:szCs w:val="24"/>
          <w:lang w:val="es-CO"/>
        </w:rPr>
        <w:t xml:space="preserve">, oportunidad en la que indició que en la historia laboral del demandante se reportaban 975 semanas efectivamente cotizadas. </w:t>
      </w:r>
    </w:p>
    <w:p w14:paraId="00500309" w14:textId="77777777" w:rsidR="008B7934" w:rsidRPr="00AC0E66" w:rsidRDefault="008B7934" w:rsidP="00AC0E66">
      <w:pPr>
        <w:pStyle w:val="Sinespaciado"/>
        <w:spacing w:line="276" w:lineRule="auto"/>
        <w:rPr>
          <w:rFonts w:ascii="Tahoma" w:hAnsi="Tahoma" w:cs="Tahoma"/>
        </w:rPr>
      </w:pPr>
    </w:p>
    <w:p w14:paraId="1C6F9912" w14:textId="62FA400F" w:rsidR="008B7934" w:rsidRPr="00AC0E66" w:rsidRDefault="00195404" w:rsidP="00AC0E66">
      <w:pPr>
        <w:pStyle w:val="Prrafodelista"/>
        <w:widowControl w:val="0"/>
        <w:numPr>
          <w:ilvl w:val="0"/>
          <w:numId w:val="26"/>
        </w:numPr>
        <w:autoSpaceDE w:val="0"/>
        <w:autoSpaceDN w:val="0"/>
        <w:adjustRightInd w:val="0"/>
        <w:spacing w:line="276" w:lineRule="auto"/>
        <w:rPr>
          <w:rFonts w:eastAsia="Calibri" w:cs="Tahoma"/>
          <w:szCs w:val="24"/>
          <w:lang w:val="es-CO"/>
        </w:rPr>
      </w:pPr>
      <w:r w:rsidRPr="00AC0E66">
        <w:rPr>
          <w:rFonts w:eastAsia="Calibri" w:cs="Tahoma"/>
          <w:szCs w:val="24"/>
          <w:lang w:val="es-CO"/>
        </w:rPr>
        <w:t>E</w:t>
      </w:r>
      <w:r w:rsidR="008B7934" w:rsidRPr="00AC0E66">
        <w:rPr>
          <w:rFonts w:eastAsia="Calibri" w:cs="Tahoma"/>
          <w:szCs w:val="24"/>
          <w:lang w:val="es-CO"/>
        </w:rPr>
        <w:t>n respuesta al recurso de apelación presentado por el actor en contra de la negativa pensional, mediante resolución VPB 2304 del 21 de febrero de 2014</w:t>
      </w:r>
      <w:r w:rsidR="008B7934" w:rsidRPr="00AC0E66">
        <w:rPr>
          <w:rStyle w:val="Refdenotaalpie"/>
          <w:rFonts w:eastAsia="Calibri" w:cs="Tahoma"/>
          <w:szCs w:val="24"/>
          <w:lang w:val="es-CO"/>
        </w:rPr>
        <w:footnoteReference w:id="5"/>
      </w:r>
      <w:r w:rsidRPr="00AC0E66">
        <w:rPr>
          <w:rFonts w:eastAsia="Calibri" w:cs="Tahoma"/>
          <w:szCs w:val="24"/>
          <w:lang w:val="es-CO"/>
        </w:rPr>
        <w:t xml:space="preserve">, Colpensiones confirmó su decisión negatoria, reconociendo nuevamente 975 semanas cotizadas por el actor, entre las que incluyó el tiempo servido a Ferrocarriles Nacionales de Colombia. </w:t>
      </w:r>
    </w:p>
    <w:p w14:paraId="697E4A15" w14:textId="77777777" w:rsidR="00195404" w:rsidRPr="00AC0E66" w:rsidRDefault="00195404" w:rsidP="00AC0E66">
      <w:pPr>
        <w:pStyle w:val="Sinespaciado"/>
        <w:spacing w:line="276" w:lineRule="auto"/>
        <w:rPr>
          <w:rFonts w:ascii="Tahoma" w:hAnsi="Tahoma" w:cs="Tahoma"/>
        </w:rPr>
      </w:pPr>
    </w:p>
    <w:p w14:paraId="3578771C" w14:textId="6A4544A7" w:rsidR="00195404" w:rsidRPr="00AC0E66" w:rsidRDefault="00195404" w:rsidP="00AC0E66">
      <w:pPr>
        <w:pStyle w:val="Prrafodelista"/>
        <w:widowControl w:val="0"/>
        <w:numPr>
          <w:ilvl w:val="0"/>
          <w:numId w:val="26"/>
        </w:numPr>
        <w:autoSpaceDE w:val="0"/>
        <w:autoSpaceDN w:val="0"/>
        <w:adjustRightInd w:val="0"/>
        <w:spacing w:line="276" w:lineRule="auto"/>
        <w:rPr>
          <w:rFonts w:eastAsia="Calibri" w:cs="Tahoma"/>
          <w:szCs w:val="24"/>
          <w:lang w:val="es-CO"/>
        </w:rPr>
      </w:pPr>
      <w:r w:rsidRPr="00AC0E66">
        <w:rPr>
          <w:rFonts w:eastAsia="Calibri" w:cs="Tahoma"/>
          <w:szCs w:val="24"/>
          <w:lang w:val="es-CO"/>
        </w:rPr>
        <w:t>Posteriormente, el 27 de octubre de 2014, el señor Santibáñez Díaz solicitó nuevamente el reconocimiento de la pensión de vejez, misma que le fue negada, por considerar Colpensiones que solo reunía el actor 689 semanas cotizadas</w:t>
      </w:r>
      <w:r w:rsidRPr="00AC0E66">
        <w:rPr>
          <w:rStyle w:val="Refdenotaalpie"/>
          <w:rFonts w:eastAsia="Calibri" w:cs="Tahoma"/>
          <w:szCs w:val="24"/>
          <w:lang w:val="es-CO"/>
        </w:rPr>
        <w:footnoteReference w:id="6"/>
      </w:r>
    </w:p>
    <w:p w14:paraId="6A6226BC" w14:textId="77777777" w:rsidR="0091731D" w:rsidRPr="00AC0E66" w:rsidRDefault="0091731D" w:rsidP="00AC0E66">
      <w:pPr>
        <w:pStyle w:val="Sinespaciado"/>
        <w:spacing w:line="276" w:lineRule="auto"/>
        <w:rPr>
          <w:rFonts w:ascii="Tahoma" w:hAnsi="Tahoma" w:cs="Tahoma"/>
        </w:rPr>
      </w:pPr>
    </w:p>
    <w:p w14:paraId="7E67ACEE" w14:textId="1B012CF3" w:rsidR="0091731D" w:rsidRPr="00AC0E66" w:rsidRDefault="00EB5DF0" w:rsidP="00AC0E66">
      <w:pPr>
        <w:pStyle w:val="Prrafodelista"/>
        <w:widowControl w:val="0"/>
        <w:numPr>
          <w:ilvl w:val="0"/>
          <w:numId w:val="26"/>
        </w:numPr>
        <w:autoSpaceDE w:val="0"/>
        <w:autoSpaceDN w:val="0"/>
        <w:adjustRightInd w:val="0"/>
        <w:spacing w:line="276" w:lineRule="auto"/>
        <w:rPr>
          <w:rFonts w:eastAsia="Calibri" w:cs="Tahoma"/>
          <w:szCs w:val="24"/>
          <w:lang w:val="es-CO"/>
        </w:rPr>
      </w:pPr>
      <w:r w:rsidRPr="00AC0E66">
        <w:rPr>
          <w:rFonts w:eastAsia="Calibri" w:cs="Tahoma"/>
          <w:szCs w:val="24"/>
          <w:lang w:val="es-CO"/>
        </w:rPr>
        <w:t xml:space="preserve">Finalmente, el 25 de agosto de 2016 el demandante solicitó por tercera vez la pensión de vejez, siéndole concedida en esta oportunidad mediante resolución GNR 355862 del 24 de noviembre de 2016, por contar con 1.108 semanas, incluyendo el tiempo servido a Ferrocarriles Nacionales de Colombia y las cotizaciones a Colpensiones. El reconocimiento se efectuó en cuantía del salario mínimo, con fecha de </w:t>
      </w:r>
      <w:r w:rsidRPr="00AC0E66">
        <w:rPr>
          <w:rFonts w:eastAsia="Calibri" w:cs="Tahoma"/>
          <w:szCs w:val="24"/>
          <w:lang w:val="es-CO"/>
        </w:rPr>
        <w:lastRenderedPageBreak/>
        <w:t>estatus 29 de julio de 2012 y efectividad el 01 de octubre de 2014</w:t>
      </w:r>
      <w:r w:rsidRPr="00AC0E66">
        <w:rPr>
          <w:rStyle w:val="Refdenotaalpie"/>
          <w:rFonts w:eastAsia="Calibri" w:cs="Tahoma"/>
          <w:szCs w:val="24"/>
          <w:lang w:val="es-CO"/>
        </w:rPr>
        <w:footnoteReference w:id="7"/>
      </w:r>
    </w:p>
    <w:p w14:paraId="0E0B2E1D" w14:textId="39AD74E1" w:rsidR="00604CBC" w:rsidRPr="00AC0E66" w:rsidRDefault="00604CBC" w:rsidP="00AC0E66">
      <w:pPr>
        <w:widowControl w:val="0"/>
        <w:autoSpaceDE w:val="0"/>
        <w:autoSpaceDN w:val="0"/>
        <w:adjustRightInd w:val="0"/>
        <w:spacing w:line="276" w:lineRule="auto"/>
        <w:ind w:firstLine="708"/>
        <w:rPr>
          <w:rFonts w:eastAsia="Calibri" w:cs="Tahoma"/>
          <w:szCs w:val="24"/>
          <w:lang w:val="es-CO"/>
        </w:rPr>
      </w:pPr>
    </w:p>
    <w:p w14:paraId="45E2B7A8" w14:textId="2D3A4142" w:rsidR="00E16945" w:rsidRPr="00AC0E66" w:rsidRDefault="00F45B03" w:rsidP="00AC0E66">
      <w:pPr>
        <w:widowControl w:val="0"/>
        <w:autoSpaceDE w:val="0"/>
        <w:autoSpaceDN w:val="0"/>
        <w:adjustRightInd w:val="0"/>
        <w:spacing w:line="276" w:lineRule="auto"/>
        <w:ind w:firstLine="708"/>
        <w:rPr>
          <w:rFonts w:eastAsia="Calibri" w:cs="Tahoma"/>
          <w:szCs w:val="24"/>
          <w:lang w:val="es-CO"/>
        </w:rPr>
      </w:pPr>
      <w:r w:rsidRPr="00AC0E66">
        <w:rPr>
          <w:rFonts w:eastAsia="Calibri" w:cs="Tahoma"/>
          <w:szCs w:val="24"/>
          <w:lang w:val="es-CO"/>
        </w:rPr>
        <w:t>En cuanto al número de semanas cotizadas por el actor, debe decirse que</w:t>
      </w:r>
      <w:r w:rsidR="00E16945" w:rsidRPr="00AC0E66">
        <w:rPr>
          <w:rFonts w:eastAsia="Calibri" w:cs="Tahoma"/>
          <w:szCs w:val="24"/>
          <w:lang w:val="es-CO"/>
        </w:rPr>
        <w:t>, revisado el expediente administrativo aportado por Colpensiones, se aprecia que</w:t>
      </w:r>
      <w:r w:rsidRPr="00AC0E66">
        <w:rPr>
          <w:rFonts w:eastAsia="Calibri" w:cs="Tahoma"/>
          <w:szCs w:val="24"/>
          <w:lang w:val="es-CO"/>
        </w:rPr>
        <w:t xml:space="preserve"> en la historia laboral actualizada al 22 de enero de 2013, momento para el cual Colpensiones no había resuelto por primera vez la solicitud pensional, se reportan 636 semanas cotizadas al 30 de septiembre de 2012, no obstante, en la historia laboral del 21 de octubre de 2013, el </w:t>
      </w:r>
      <w:r w:rsidR="412FD81A" w:rsidRPr="00AC0E66">
        <w:rPr>
          <w:rFonts w:eastAsia="Calibri" w:cs="Tahoma"/>
          <w:szCs w:val="24"/>
          <w:lang w:val="es-CO"/>
        </w:rPr>
        <w:t>número</w:t>
      </w:r>
      <w:r w:rsidRPr="00AC0E66">
        <w:rPr>
          <w:rFonts w:eastAsia="Calibri" w:cs="Tahoma"/>
          <w:szCs w:val="24"/>
          <w:lang w:val="es-CO"/>
        </w:rPr>
        <w:t xml:space="preserve"> de septenarios aumenta a 640, teniendo </w:t>
      </w:r>
      <w:r w:rsidR="003016C0" w:rsidRPr="00AC0E66">
        <w:rPr>
          <w:rFonts w:eastAsia="Calibri" w:cs="Tahoma"/>
          <w:szCs w:val="24"/>
          <w:lang w:val="es-CO"/>
        </w:rPr>
        <w:t xml:space="preserve">también </w:t>
      </w:r>
      <w:r w:rsidRPr="00AC0E66">
        <w:rPr>
          <w:rFonts w:eastAsia="Calibri" w:cs="Tahoma"/>
          <w:szCs w:val="24"/>
          <w:lang w:val="es-CO"/>
        </w:rPr>
        <w:t>como fecha de última cotización el 30 de septiembre de 2012</w:t>
      </w:r>
      <w:r w:rsidR="00E16945" w:rsidRPr="00AC0E66">
        <w:rPr>
          <w:rFonts w:eastAsia="Calibri" w:cs="Tahoma"/>
          <w:szCs w:val="24"/>
          <w:lang w:val="es-CO"/>
        </w:rPr>
        <w:t xml:space="preserve">, mientras que </w:t>
      </w:r>
      <w:r w:rsidRPr="00AC0E66">
        <w:rPr>
          <w:rFonts w:eastAsia="Calibri" w:cs="Tahoma"/>
          <w:szCs w:val="24"/>
          <w:lang w:val="es-CO"/>
        </w:rPr>
        <w:t>al 15 de octubre de 2014</w:t>
      </w:r>
      <w:r w:rsidR="00E16945" w:rsidRPr="00AC0E66">
        <w:rPr>
          <w:rFonts w:eastAsia="Calibri" w:cs="Tahoma"/>
          <w:szCs w:val="24"/>
          <w:lang w:val="es-CO"/>
        </w:rPr>
        <w:t xml:space="preserve"> y al 20 de mayo de 2015</w:t>
      </w:r>
      <w:r w:rsidRPr="00AC0E66">
        <w:rPr>
          <w:rFonts w:eastAsia="Calibri" w:cs="Tahoma"/>
          <w:szCs w:val="24"/>
          <w:lang w:val="es-CO"/>
        </w:rPr>
        <w:t>, las semanas cotizadas hasta esa misma fecha -30 de septiembre de 2012- ya correspondían a 654.</w:t>
      </w:r>
      <w:r w:rsidR="00E16945" w:rsidRPr="00AC0E66">
        <w:rPr>
          <w:rFonts w:eastAsia="Calibri" w:cs="Tahoma"/>
          <w:szCs w:val="24"/>
          <w:lang w:val="es-CO"/>
        </w:rPr>
        <w:t>72 y, finalmente en la historia laboral actualizada al 28 de julio de 2016, es decir, un mes antes del reconocimiento pensional, las semanas reportadas ascendían a 773.57, de las cuales 739.15 fueron cotizadas hasta el 30 de septiembre de 2012.</w:t>
      </w:r>
    </w:p>
    <w:p w14:paraId="0BC55433" w14:textId="2C3BDFD3" w:rsidR="00E16945" w:rsidRPr="00AC0E66" w:rsidRDefault="00E16945" w:rsidP="00AC0E66">
      <w:pPr>
        <w:pStyle w:val="Sinespaciado"/>
        <w:spacing w:line="276" w:lineRule="auto"/>
        <w:rPr>
          <w:rFonts w:ascii="Tahoma" w:hAnsi="Tahoma" w:cs="Tahoma"/>
        </w:rPr>
      </w:pPr>
    </w:p>
    <w:p w14:paraId="10067D71" w14:textId="4158AAB1" w:rsidR="00E16945" w:rsidRPr="00AC0E66" w:rsidRDefault="00E16945" w:rsidP="00AC0E66">
      <w:pPr>
        <w:widowControl w:val="0"/>
        <w:autoSpaceDE w:val="0"/>
        <w:autoSpaceDN w:val="0"/>
        <w:adjustRightInd w:val="0"/>
        <w:spacing w:line="276" w:lineRule="auto"/>
        <w:ind w:firstLine="708"/>
        <w:rPr>
          <w:rFonts w:eastAsia="Calibri" w:cs="Tahoma"/>
          <w:szCs w:val="24"/>
          <w:lang w:val="es-CO"/>
        </w:rPr>
      </w:pPr>
      <w:r w:rsidRPr="00AC0E66">
        <w:rPr>
          <w:rFonts w:eastAsia="Calibri" w:cs="Tahoma"/>
          <w:szCs w:val="24"/>
          <w:lang w:val="es-CO"/>
        </w:rPr>
        <w:t>De acuerdo al anterior derrotero, para la Sala resulta evidente que Colpensiones incumplió con su deber de manejar diligentemente la historia laboral del demandante, causando con ello la tardanza injustificada en el reconocimiento pensional</w:t>
      </w:r>
      <w:r w:rsidR="00F378DF" w:rsidRPr="00AC0E66">
        <w:rPr>
          <w:rFonts w:eastAsia="Calibri" w:cs="Tahoma"/>
          <w:szCs w:val="24"/>
          <w:lang w:val="es-CO"/>
        </w:rPr>
        <w:t xml:space="preserve"> y haciéndolo incurrir en error para continuar cotizando</w:t>
      </w:r>
      <w:r w:rsidR="003016C0" w:rsidRPr="00AC0E66">
        <w:rPr>
          <w:rFonts w:eastAsia="Calibri" w:cs="Tahoma"/>
          <w:szCs w:val="24"/>
          <w:lang w:val="es-CO"/>
        </w:rPr>
        <w:t>, lo que trajo como consecuente que el disfrute de la prestación se difiera por 2 años</w:t>
      </w:r>
      <w:r w:rsidRPr="00AC0E66">
        <w:rPr>
          <w:rFonts w:eastAsia="Calibri" w:cs="Tahoma"/>
          <w:szCs w:val="24"/>
          <w:lang w:val="es-CO"/>
        </w:rPr>
        <w:t xml:space="preserve">, toda vez que, atendiendo el reporte de semanas del 28 de julio de 2016, el actor al momento de solicitar la pensión </w:t>
      </w:r>
      <w:r w:rsidR="003016C0" w:rsidRPr="00AC0E66">
        <w:rPr>
          <w:rFonts w:eastAsia="Calibri" w:cs="Tahoma"/>
          <w:szCs w:val="24"/>
          <w:lang w:val="es-CO"/>
        </w:rPr>
        <w:t>-</w:t>
      </w:r>
      <w:r w:rsidRPr="00AC0E66">
        <w:rPr>
          <w:rFonts w:eastAsia="Calibri" w:cs="Tahoma"/>
          <w:szCs w:val="24"/>
          <w:lang w:val="es-CO"/>
        </w:rPr>
        <w:t>09 de octubre de 2012</w:t>
      </w:r>
      <w:r w:rsidR="003016C0" w:rsidRPr="00AC0E66">
        <w:rPr>
          <w:rFonts w:eastAsia="Calibri" w:cs="Tahoma"/>
          <w:szCs w:val="24"/>
          <w:lang w:val="es-CO"/>
        </w:rPr>
        <w:t>-</w:t>
      </w:r>
      <w:r w:rsidRPr="00AC0E66">
        <w:rPr>
          <w:rFonts w:eastAsia="Calibri" w:cs="Tahoma"/>
          <w:szCs w:val="24"/>
          <w:lang w:val="es-CO"/>
        </w:rPr>
        <w:t xml:space="preserve"> contaba con 739.15</w:t>
      </w:r>
      <w:r w:rsidR="003016C0" w:rsidRPr="00AC0E66">
        <w:rPr>
          <w:rFonts w:eastAsia="Calibri" w:cs="Tahoma"/>
          <w:szCs w:val="24"/>
          <w:lang w:val="es-CO"/>
        </w:rPr>
        <w:t xml:space="preserve"> cotizadas</w:t>
      </w:r>
      <w:r w:rsidRPr="00AC0E66">
        <w:rPr>
          <w:rFonts w:eastAsia="Calibri" w:cs="Tahoma"/>
          <w:szCs w:val="24"/>
          <w:lang w:val="es-CO"/>
        </w:rPr>
        <w:t>, mismas que al agregarle el tiempo servido a Ferrocarriles Nacionales de Colombia</w:t>
      </w:r>
      <w:r w:rsidR="004C1821" w:rsidRPr="00AC0E66">
        <w:rPr>
          <w:rFonts w:eastAsia="Calibri" w:cs="Tahoma"/>
          <w:szCs w:val="24"/>
          <w:lang w:val="es-CO"/>
        </w:rPr>
        <w:t xml:space="preserve"> -3</w:t>
      </w:r>
      <w:r w:rsidR="00891112" w:rsidRPr="00AC0E66">
        <w:rPr>
          <w:rFonts w:eastAsia="Calibri" w:cs="Tahoma"/>
          <w:szCs w:val="24"/>
          <w:lang w:val="es-CO"/>
        </w:rPr>
        <w:t>34.42</w:t>
      </w:r>
      <w:r w:rsidR="004C1821" w:rsidRPr="00AC0E66">
        <w:rPr>
          <w:rFonts w:eastAsia="Calibri" w:cs="Tahoma"/>
          <w:szCs w:val="24"/>
          <w:lang w:val="es-CO"/>
        </w:rPr>
        <w:t>-</w:t>
      </w:r>
      <w:r w:rsidRPr="00AC0E66">
        <w:rPr>
          <w:rFonts w:eastAsia="Calibri" w:cs="Tahoma"/>
          <w:szCs w:val="24"/>
          <w:lang w:val="es-CO"/>
        </w:rPr>
        <w:t>, le permitía acceder a la gracia pensional desde el 01 de octubre de 2012</w:t>
      </w:r>
      <w:r w:rsidR="004C1821" w:rsidRPr="00AC0E66">
        <w:rPr>
          <w:rFonts w:eastAsia="Calibri" w:cs="Tahoma"/>
          <w:szCs w:val="24"/>
          <w:lang w:val="es-CO"/>
        </w:rPr>
        <w:t>, en el entendido que reunía 1.07</w:t>
      </w:r>
      <w:r w:rsidR="00891112" w:rsidRPr="00AC0E66">
        <w:rPr>
          <w:rFonts w:eastAsia="Calibri" w:cs="Tahoma"/>
          <w:szCs w:val="24"/>
          <w:lang w:val="es-CO"/>
        </w:rPr>
        <w:t>3</w:t>
      </w:r>
      <w:r w:rsidR="004C1821" w:rsidRPr="00AC0E66">
        <w:rPr>
          <w:rFonts w:eastAsia="Calibri" w:cs="Tahoma"/>
          <w:szCs w:val="24"/>
          <w:lang w:val="es-CO"/>
        </w:rPr>
        <w:t>.</w:t>
      </w:r>
      <w:r w:rsidR="00891112" w:rsidRPr="00AC0E66">
        <w:rPr>
          <w:rFonts w:eastAsia="Calibri" w:cs="Tahoma"/>
          <w:szCs w:val="24"/>
          <w:lang w:val="es-CO"/>
        </w:rPr>
        <w:t>57</w:t>
      </w:r>
      <w:r w:rsidR="004C1821" w:rsidRPr="00AC0E66">
        <w:rPr>
          <w:rFonts w:eastAsia="Calibri" w:cs="Tahoma"/>
          <w:szCs w:val="24"/>
          <w:lang w:val="es-CO"/>
        </w:rPr>
        <w:t xml:space="preserve"> septenarios y </w:t>
      </w:r>
      <w:r w:rsidR="00F378DF" w:rsidRPr="00AC0E66">
        <w:rPr>
          <w:rFonts w:eastAsia="Calibri" w:cs="Tahoma"/>
          <w:szCs w:val="24"/>
          <w:lang w:val="es-CO"/>
        </w:rPr>
        <w:t>ya había arribado a los</w:t>
      </w:r>
      <w:r w:rsidR="004C1821" w:rsidRPr="00AC0E66">
        <w:rPr>
          <w:rFonts w:eastAsia="Calibri" w:cs="Tahoma"/>
          <w:szCs w:val="24"/>
          <w:lang w:val="es-CO"/>
        </w:rPr>
        <w:t xml:space="preserve"> 60 años de edad. </w:t>
      </w:r>
    </w:p>
    <w:p w14:paraId="7E450F56" w14:textId="4B7941F9" w:rsidR="51A8667A" w:rsidRPr="00AC0E66" w:rsidRDefault="51A8667A" w:rsidP="00AC0E66">
      <w:pPr>
        <w:widowControl w:val="0"/>
        <w:spacing w:line="276" w:lineRule="auto"/>
        <w:ind w:firstLine="708"/>
        <w:rPr>
          <w:rFonts w:eastAsia="Calibri" w:cs="Tahoma"/>
          <w:szCs w:val="24"/>
          <w:lang w:val="es-CO"/>
        </w:rPr>
      </w:pPr>
    </w:p>
    <w:p w14:paraId="019913E8" w14:textId="74180511" w:rsidR="003016C0" w:rsidRPr="00AC0E66" w:rsidRDefault="003016C0" w:rsidP="00AC0E66">
      <w:pPr>
        <w:widowControl w:val="0"/>
        <w:autoSpaceDE w:val="0"/>
        <w:autoSpaceDN w:val="0"/>
        <w:adjustRightInd w:val="0"/>
        <w:spacing w:line="276" w:lineRule="auto"/>
        <w:ind w:firstLine="708"/>
        <w:rPr>
          <w:rFonts w:eastAsia="Calibri" w:cs="Tahoma"/>
          <w:szCs w:val="24"/>
          <w:lang w:val="es-CO"/>
        </w:rPr>
      </w:pPr>
      <w:r w:rsidRPr="00AC0E66">
        <w:rPr>
          <w:rFonts w:eastAsia="Calibri" w:cs="Tahoma"/>
          <w:szCs w:val="24"/>
          <w:lang w:val="es-CO"/>
        </w:rPr>
        <w:t>Y es que no puede pasarse por alto que el señor Santibáñez Díaz puso de presente a Colpensiones la inconsistencia en su historia laboral y, con ello solicitó la corrección desde el 21 de enero de 2013, al echar en falta ciclos de cotización entre julio de 1982 y mayo de 1984</w:t>
      </w:r>
      <w:r w:rsidR="003C5F55" w:rsidRPr="00AC0E66">
        <w:rPr>
          <w:rStyle w:val="Refdenotaalpie"/>
          <w:rFonts w:eastAsia="Calibri" w:cs="Tahoma"/>
          <w:szCs w:val="24"/>
          <w:lang w:val="es-CO"/>
        </w:rPr>
        <w:footnoteReference w:id="8"/>
      </w:r>
      <w:r w:rsidRPr="00AC0E66">
        <w:rPr>
          <w:rFonts w:eastAsia="Calibri" w:cs="Tahoma"/>
          <w:szCs w:val="24"/>
          <w:lang w:val="es-CO"/>
        </w:rPr>
        <w:t>, mismos que en efecto</w:t>
      </w:r>
      <w:r w:rsidR="003C5F55" w:rsidRPr="00AC0E66">
        <w:rPr>
          <w:rFonts w:eastAsia="Calibri" w:cs="Tahoma"/>
          <w:szCs w:val="24"/>
          <w:lang w:val="es-CO"/>
        </w:rPr>
        <w:t>, corresponden a 85 semanas que tan solo fueron incluidas en la historia laboral del 28 de julio de 2016</w:t>
      </w:r>
      <w:r w:rsidR="00FB6A4A" w:rsidRPr="00AC0E66">
        <w:rPr>
          <w:rFonts w:eastAsia="Calibri" w:cs="Tahoma"/>
          <w:szCs w:val="24"/>
          <w:lang w:val="es-CO"/>
        </w:rPr>
        <w:t xml:space="preserve"> y que, de haberse reflejado oportunamente, le hubiesen permitido acceder a la pensión desde el 01 de octubre de 2012, tal como acertadamente lo concluyó la jueza de primera instancia.</w:t>
      </w:r>
    </w:p>
    <w:p w14:paraId="6AC4828C" w14:textId="0FD11E49" w:rsidR="00FB6A4A" w:rsidRPr="00AC0E66" w:rsidRDefault="00FB6A4A" w:rsidP="00AC0E66">
      <w:pPr>
        <w:pStyle w:val="Sinespaciado"/>
        <w:spacing w:line="276" w:lineRule="auto"/>
        <w:rPr>
          <w:rFonts w:ascii="Tahoma" w:hAnsi="Tahoma" w:cs="Tahoma"/>
        </w:rPr>
      </w:pPr>
    </w:p>
    <w:p w14:paraId="64839FDF" w14:textId="70C4DDA9" w:rsidR="00FB6A4A" w:rsidRPr="00AC0E66" w:rsidRDefault="00FB6A4A" w:rsidP="00AC0E66">
      <w:pPr>
        <w:widowControl w:val="0"/>
        <w:autoSpaceDE w:val="0"/>
        <w:autoSpaceDN w:val="0"/>
        <w:adjustRightInd w:val="0"/>
        <w:spacing w:line="276" w:lineRule="auto"/>
        <w:ind w:firstLine="708"/>
        <w:rPr>
          <w:rFonts w:eastAsia="Calibri" w:cs="Tahoma"/>
          <w:szCs w:val="24"/>
          <w:lang w:val="es-CO"/>
        </w:rPr>
      </w:pPr>
      <w:r w:rsidRPr="00AC0E66">
        <w:rPr>
          <w:rFonts w:eastAsia="Calibri" w:cs="Tahoma"/>
          <w:szCs w:val="24"/>
          <w:lang w:val="es-CO"/>
        </w:rPr>
        <w:t xml:space="preserve">En ese orden, al demandante realmente le correspondía percibir la prestación y el retroactivo pensional desde el primer momento en que se resolvió su solicitud de reconocimiento, esto es, a partir del 01 de octubre de 2012, pues al momento de solicitar la pensión el 09 de octubre de 2012, su última cotización correspondió al 30 de septiembre del mismo año y en aquella calenda como se expuso en precedencia, cumplía los requisitos para el reconocimiento pensional, al ser beneficiario del régimen de transición. </w:t>
      </w:r>
    </w:p>
    <w:p w14:paraId="4B7898A0" w14:textId="6C841241" w:rsidR="00FB6A4A" w:rsidRPr="00AC0E66" w:rsidRDefault="00FB6A4A" w:rsidP="00AC0E66">
      <w:pPr>
        <w:widowControl w:val="0"/>
        <w:autoSpaceDE w:val="0"/>
        <w:autoSpaceDN w:val="0"/>
        <w:adjustRightInd w:val="0"/>
        <w:spacing w:line="276" w:lineRule="auto"/>
        <w:ind w:firstLine="708"/>
        <w:rPr>
          <w:rFonts w:eastAsia="Calibri" w:cs="Tahoma"/>
          <w:szCs w:val="24"/>
          <w:lang w:val="es-CO"/>
        </w:rPr>
      </w:pPr>
    </w:p>
    <w:p w14:paraId="45D8BCC4" w14:textId="14256F88" w:rsidR="00A3051D" w:rsidRPr="00AC0E66" w:rsidRDefault="00FB6A4A" w:rsidP="00AC0E66">
      <w:pPr>
        <w:widowControl w:val="0"/>
        <w:autoSpaceDE w:val="0"/>
        <w:autoSpaceDN w:val="0"/>
        <w:adjustRightInd w:val="0"/>
        <w:spacing w:line="276" w:lineRule="auto"/>
        <w:ind w:firstLine="708"/>
        <w:rPr>
          <w:rFonts w:cs="Tahoma"/>
          <w:szCs w:val="24"/>
        </w:rPr>
      </w:pPr>
      <w:r w:rsidRPr="00AC0E66">
        <w:rPr>
          <w:rFonts w:eastAsia="Calibri" w:cs="Tahoma"/>
          <w:szCs w:val="24"/>
          <w:lang w:val="es-CO"/>
        </w:rPr>
        <w:t xml:space="preserve">Por lo anteriormente expuesto, se confirmará la sentencia de primera instancia </w:t>
      </w:r>
      <w:r w:rsidR="00A3051D" w:rsidRPr="00AC0E66">
        <w:rPr>
          <w:rFonts w:eastAsia="Calibri" w:cs="Tahoma"/>
          <w:szCs w:val="24"/>
          <w:lang w:val="es-CO"/>
        </w:rPr>
        <w:lastRenderedPageBreak/>
        <w:t>toda vez que el demandante</w:t>
      </w:r>
      <w:r w:rsidRPr="00AC0E66">
        <w:rPr>
          <w:rFonts w:eastAsia="Calibri" w:cs="Tahoma"/>
          <w:szCs w:val="24"/>
          <w:lang w:val="es-CO"/>
        </w:rPr>
        <w:t xml:space="preserve"> tiene derecho al retroactivo pensional causado entre </w:t>
      </w:r>
      <w:r w:rsidR="00A3051D" w:rsidRPr="00AC0E66">
        <w:rPr>
          <w:rFonts w:cs="Tahoma"/>
          <w:szCs w:val="24"/>
        </w:rPr>
        <w:t>el 01 de octubre de 2012 y el 30 de septiembre de 2014, en cuantía de un salario mínimo y por 13 mesadas anuales, siendo necesario, en virtud del grado jurisdiccional de consulta modificar el valor del retroactivo, toda vez que el mismo asciende a la suma de $15.474.300 y no $16.090.300 como se indic</w:t>
      </w:r>
      <w:r w:rsidR="00C2273B" w:rsidRPr="00AC0E66">
        <w:rPr>
          <w:rFonts w:cs="Tahoma"/>
          <w:szCs w:val="24"/>
        </w:rPr>
        <w:t>ó</w:t>
      </w:r>
      <w:r w:rsidR="00A3051D" w:rsidRPr="00AC0E66">
        <w:rPr>
          <w:rFonts w:cs="Tahoma"/>
          <w:szCs w:val="24"/>
        </w:rPr>
        <w:t xml:space="preserve"> por la a-quo, correspondiendo la diferencia a que en primera instancia se liquidó para junio de 2014 una mesada adicional, cuando al corresponderle al actor 13 mesadas anuales, la única mesada adicional es la </w:t>
      </w:r>
      <w:r w:rsidR="00C2273B" w:rsidRPr="00AC0E66">
        <w:rPr>
          <w:rFonts w:cs="Tahoma"/>
          <w:szCs w:val="24"/>
        </w:rPr>
        <w:t>de diciembre</w:t>
      </w:r>
      <w:r w:rsidR="00C2273B" w:rsidRPr="00AC0E66">
        <w:rPr>
          <w:rFonts w:eastAsia="Calibri" w:cs="Tahoma"/>
          <w:szCs w:val="24"/>
          <w:lang w:val="es-CO"/>
        </w:rPr>
        <w:t>, conforme a la siguiente liquidación:</w:t>
      </w:r>
      <w:r w:rsidR="00C2273B" w:rsidRPr="00AC0E66">
        <w:rPr>
          <w:rFonts w:cs="Tahoma"/>
          <w:szCs w:val="24"/>
        </w:rPr>
        <w:t xml:space="preserve">. </w:t>
      </w:r>
    </w:p>
    <w:p w14:paraId="5B7F6C6B" w14:textId="62305571" w:rsidR="00A3051D" w:rsidRPr="00AC0E66" w:rsidRDefault="00A3051D" w:rsidP="00AC0E66">
      <w:pPr>
        <w:widowControl w:val="0"/>
        <w:autoSpaceDE w:val="0"/>
        <w:autoSpaceDN w:val="0"/>
        <w:adjustRightInd w:val="0"/>
        <w:spacing w:line="276" w:lineRule="auto"/>
        <w:ind w:firstLine="708"/>
        <w:rPr>
          <w:rFonts w:eastAsia="Calibri" w:cs="Tahoma"/>
          <w:szCs w:val="24"/>
          <w:lang w:val="es-CO"/>
        </w:rPr>
      </w:pPr>
    </w:p>
    <w:tbl>
      <w:tblPr>
        <w:tblW w:w="8038" w:type="dxa"/>
        <w:jc w:val="center"/>
        <w:tblCellMar>
          <w:left w:w="70" w:type="dxa"/>
          <w:right w:w="70" w:type="dxa"/>
        </w:tblCellMar>
        <w:tblLook w:val="04A0" w:firstRow="1" w:lastRow="0" w:firstColumn="1" w:lastColumn="0" w:noHBand="0" w:noVBand="1"/>
      </w:tblPr>
      <w:tblGrid>
        <w:gridCol w:w="1339"/>
        <w:gridCol w:w="1339"/>
        <w:gridCol w:w="1339"/>
        <w:gridCol w:w="1339"/>
        <w:gridCol w:w="1343"/>
        <w:gridCol w:w="1412"/>
      </w:tblGrid>
      <w:tr w:rsidR="00C2273B" w:rsidRPr="00AC0E66" w14:paraId="2603E18D" w14:textId="77777777" w:rsidTr="00C2273B">
        <w:trPr>
          <w:trHeight w:val="312"/>
          <w:jc w:val="center"/>
        </w:trPr>
        <w:tc>
          <w:tcPr>
            <w:tcW w:w="803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47FB4" w14:textId="77777777" w:rsidR="00C2273B" w:rsidRPr="00E00277" w:rsidRDefault="00C2273B" w:rsidP="00E00277">
            <w:pPr>
              <w:spacing w:line="240" w:lineRule="auto"/>
              <w:jc w:val="center"/>
              <w:rPr>
                <w:rFonts w:eastAsia="Times New Roman" w:cs="Tahoma"/>
                <w:b/>
                <w:bCs/>
                <w:color w:val="000000"/>
                <w:sz w:val="20"/>
                <w:szCs w:val="24"/>
                <w:lang w:val="es-CO" w:eastAsia="es-CO"/>
              </w:rPr>
            </w:pPr>
            <w:r w:rsidRPr="00E00277">
              <w:rPr>
                <w:rFonts w:eastAsia="Times New Roman" w:cs="Tahoma"/>
                <w:b/>
                <w:bCs/>
                <w:color w:val="000000"/>
                <w:sz w:val="20"/>
                <w:szCs w:val="24"/>
                <w:lang w:val="es-CO" w:eastAsia="es-CO"/>
              </w:rPr>
              <w:t>RETROACTIVO</w:t>
            </w:r>
          </w:p>
        </w:tc>
      </w:tr>
      <w:tr w:rsidR="00C2273B" w:rsidRPr="00AC0E66" w14:paraId="5B79FDD6" w14:textId="77777777" w:rsidTr="00C2273B">
        <w:trPr>
          <w:trHeight w:val="312"/>
          <w:jc w:val="center"/>
        </w:trPr>
        <w:tc>
          <w:tcPr>
            <w:tcW w:w="1339" w:type="dxa"/>
            <w:tcBorders>
              <w:top w:val="nil"/>
              <w:left w:val="single" w:sz="4" w:space="0" w:color="auto"/>
              <w:bottom w:val="single" w:sz="4" w:space="0" w:color="auto"/>
              <w:right w:val="single" w:sz="4" w:space="0" w:color="auto"/>
            </w:tcBorders>
            <w:shd w:val="clear" w:color="auto" w:fill="auto"/>
            <w:vAlign w:val="center"/>
            <w:hideMark/>
          </w:tcPr>
          <w:p w14:paraId="7DF0AACC" w14:textId="77777777" w:rsidR="00C2273B" w:rsidRPr="00AC0E66" w:rsidRDefault="00C2273B" w:rsidP="00AC0E66">
            <w:pPr>
              <w:spacing w:line="276" w:lineRule="auto"/>
              <w:jc w:val="center"/>
              <w:rPr>
                <w:rFonts w:eastAsia="Times New Roman" w:cs="Tahoma"/>
                <w:b/>
                <w:bCs/>
                <w:color w:val="000000"/>
                <w:szCs w:val="24"/>
                <w:lang w:val="es-CO" w:eastAsia="es-CO"/>
              </w:rPr>
            </w:pPr>
            <w:r w:rsidRPr="00AC0E66">
              <w:rPr>
                <w:rFonts w:eastAsia="Times New Roman" w:cs="Tahoma"/>
                <w:b/>
                <w:bCs/>
                <w:color w:val="000000"/>
                <w:szCs w:val="24"/>
                <w:lang w:val="es-CO" w:eastAsia="es-CO"/>
              </w:rPr>
              <w:t>Año</w:t>
            </w:r>
          </w:p>
        </w:tc>
        <w:tc>
          <w:tcPr>
            <w:tcW w:w="1339" w:type="dxa"/>
            <w:tcBorders>
              <w:top w:val="nil"/>
              <w:left w:val="nil"/>
              <w:bottom w:val="single" w:sz="4" w:space="0" w:color="auto"/>
              <w:right w:val="nil"/>
            </w:tcBorders>
            <w:shd w:val="clear" w:color="auto" w:fill="auto"/>
            <w:vAlign w:val="center"/>
            <w:hideMark/>
          </w:tcPr>
          <w:p w14:paraId="14D54661" w14:textId="77777777" w:rsidR="00C2273B" w:rsidRPr="00E00277" w:rsidRDefault="00C2273B" w:rsidP="00E00277">
            <w:pPr>
              <w:spacing w:line="240" w:lineRule="auto"/>
              <w:jc w:val="center"/>
              <w:rPr>
                <w:rFonts w:eastAsia="Times New Roman" w:cs="Tahoma"/>
                <w:b/>
                <w:bCs/>
                <w:color w:val="000000"/>
                <w:sz w:val="20"/>
                <w:szCs w:val="24"/>
                <w:lang w:val="es-CO" w:eastAsia="es-CO"/>
              </w:rPr>
            </w:pPr>
            <w:r w:rsidRPr="00E00277">
              <w:rPr>
                <w:rFonts w:eastAsia="Times New Roman" w:cs="Tahoma"/>
                <w:b/>
                <w:bCs/>
                <w:color w:val="000000"/>
                <w:sz w:val="20"/>
                <w:szCs w:val="24"/>
                <w:lang w:val="es-CO" w:eastAsia="es-CO"/>
              </w:rPr>
              <w:t>Desde</w:t>
            </w:r>
          </w:p>
        </w:tc>
        <w:tc>
          <w:tcPr>
            <w:tcW w:w="1339" w:type="dxa"/>
            <w:tcBorders>
              <w:top w:val="nil"/>
              <w:left w:val="single" w:sz="4" w:space="0" w:color="auto"/>
              <w:bottom w:val="single" w:sz="4" w:space="0" w:color="auto"/>
              <w:right w:val="nil"/>
            </w:tcBorders>
            <w:shd w:val="clear" w:color="auto" w:fill="auto"/>
            <w:vAlign w:val="center"/>
            <w:hideMark/>
          </w:tcPr>
          <w:p w14:paraId="54F9AADD" w14:textId="77777777" w:rsidR="00C2273B" w:rsidRPr="00E00277" w:rsidRDefault="00C2273B" w:rsidP="00E00277">
            <w:pPr>
              <w:spacing w:line="240" w:lineRule="auto"/>
              <w:jc w:val="center"/>
              <w:rPr>
                <w:rFonts w:eastAsia="Times New Roman" w:cs="Tahoma"/>
                <w:b/>
                <w:bCs/>
                <w:color w:val="000000"/>
                <w:sz w:val="20"/>
                <w:szCs w:val="24"/>
                <w:lang w:val="es-CO" w:eastAsia="es-CO"/>
              </w:rPr>
            </w:pPr>
            <w:r w:rsidRPr="00E00277">
              <w:rPr>
                <w:rFonts w:eastAsia="Times New Roman" w:cs="Tahoma"/>
                <w:b/>
                <w:bCs/>
                <w:color w:val="000000"/>
                <w:sz w:val="20"/>
                <w:szCs w:val="24"/>
                <w:lang w:val="es-CO" w:eastAsia="es-CO"/>
              </w:rPr>
              <w:t>Hasta</w:t>
            </w:r>
          </w:p>
        </w:tc>
        <w:tc>
          <w:tcPr>
            <w:tcW w:w="1339" w:type="dxa"/>
            <w:tcBorders>
              <w:top w:val="nil"/>
              <w:left w:val="single" w:sz="4" w:space="0" w:color="auto"/>
              <w:bottom w:val="single" w:sz="4" w:space="0" w:color="auto"/>
              <w:right w:val="single" w:sz="4" w:space="0" w:color="808000"/>
            </w:tcBorders>
            <w:shd w:val="clear" w:color="auto" w:fill="auto"/>
            <w:vAlign w:val="center"/>
            <w:hideMark/>
          </w:tcPr>
          <w:p w14:paraId="091CBFE6" w14:textId="77777777" w:rsidR="00C2273B" w:rsidRPr="00E00277" w:rsidRDefault="00C2273B" w:rsidP="00E00277">
            <w:pPr>
              <w:spacing w:line="240" w:lineRule="auto"/>
              <w:jc w:val="center"/>
              <w:rPr>
                <w:rFonts w:eastAsia="Times New Roman" w:cs="Tahoma"/>
                <w:b/>
                <w:bCs/>
                <w:color w:val="000000"/>
                <w:sz w:val="20"/>
                <w:szCs w:val="24"/>
                <w:lang w:val="es-CO" w:eastAsia="es-CO"/>
              </w:rPr>
            </w:pPr>
            <w:r w:rsidRPr="00E00277">
              <w:rPr>
                <w:rFonts w:eastAsia="Times New Roman" w:cs="Tahoma"/>
                <w:b/>
                <w:bCs/>
                <w:color w:val="000000"/>
                <w:sz w:val="20"/>
                <w:szCs w:val="24"/>
                <w:lang w:val="es-CO" w:eastAsia="es-CO"/>
              </w:rPr>
              <w:t>Causadas</w:t>
            </w:r>
          </w:p>
        </w:tc>
        <w:tc>
          <w:tcPr>
            <w:tcW w:w="1341" w:type="dxa"/>
            <w:tcBorders>
              <w:top w:val="nil"/>
              <w:left w:val="nil"/>
              <w:bottom w:val="single" w:sz="4" w:space="0" w:color="auto"/>
              <w:right w:val="single" w:sz="4" w:space="0" w:color="808000"/>
            </w:tcBorders>
            <w:shd w:val="clear" w:color="auto" w:fill="auto"/>
            <w:vAlign w:val="center"/>
            <w:hideMark/>
          </w:tcPr>
          <w:p w14:paraId="2EFA8557" w14:textId="77777777" w:rsidR="00C2273B" w:rsidRPr="00E00277" w:rsidRDefault="00C2273B" w:rsidP="00E00277">
            <w:pPr>
              <w:spacing w:line="240" w:lineRule="auto"/>
              <w:jc w:val="center"/>
              <w:rPr>
                <w:rFonts w:eastAsia="Times New Roman" w:cs="Tahoma"/>
                <w:b/>
                <w:bCs/>
                <w:color w:val="000000"/>
                <w:sz w:val="20"/>
                <w:szCs w:val="24"/>
                <w:lang w:val="es-CO" w:eastAsia="es-CO"/>
              </w:rPr>
            </w:pPr>
            <w:r w:rsidRPr="00E00277">
              <w:rPr>
                <w:rFonts w:eastAsia="Times New Roman" w:cs="Tahoma"/>
                <w:b/>
                <w:bCs/>
                <w:color w:val="000000"/>
                <w:sz w:val="20"/>
                <w:szCs w:val="24"/>
                <w:lang w:val="es-CO" w:eastAsia="es-CO"/>
              </w:rPr>
              <w:t>Mesada</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14:paraId="5BDA2994" w14:textId="77777777" w:rsidR="00C2273B" w:rsidRPr="00E00277" w:rsidRDefault="00C2273B" w:rsidP="00E00277">
            <w:pPr>
              <w:spacing w:line="240" w:lineRule="auto"/>
              <w:jc w:val="center"/>
              <w:rPr>
                <w:rFonts w:eastAsia="Times New Roman" w:cs="Tahoma"/>
                <w:b/>
                <w:bCs/>
                <w:color w:val="000000"/>
                <w:sz w:val="20"/>
                <w:szCs w:val="24"/>
                <w:lang w:val="es-CO" w:eastAsia="es-CO"/>
              </w:rPr>
            </w:pPr>
            <w:r w:rsidRPr="00E00277">
              <w:rPr>
                <w:rFonts w:eastAsia="Times New Roman" w:cs="Tahoma"/>
                <w:b/>
                <w:bCs/>
                <w:color w:val="000000"/>
                <w:sz w:val="20"/>
                <w:szCs w:val="24"/>
                <w:lang w:val="es-CO" w:eastAsia="es-CO"/>
              </w:rPr>
              <w:t xml:space="preserve"> Retroactivo </w:t>
            </w:r>
          </w:p>
        </w:tc>
      </w:tr>
      <w:tr w:rsidR="00C2273B" w:rsidRPr="00AC0E66" w14:paraId="122A9ECE" w14:textId="77777777" w:rsidTr="00C2273B">
        <w:trPr>
          <w:trHeight w:val="312"/>
          <w:jc w:val="center"/>
        </w:trPr>
        <w:tc>
          <w:tcPr>
            <w:tcW w:w="1339" w:type="dxa"/>
            <w:tcBorders>
              <w:top w:val="nil"/>
              <w:left w:val="single" w:sz="4" w:space="0" w:color="auto"/>
              <w:bottom w:val="single" w:sz="4" w:space="0" w:color="auto"/>
              <w:right w:val="single" w:sz="4" w:space="0" w:color="auto"/>
            </w:tcBorders>
            <w:shd w:val="clear" w:color="auto" w:fill="auto"/>
            <w:vAlign w:val="center"/>
            <w:hideMark/>
          </w:tcPr>
          <w:p w14:paraId="720BEA3C" w14:textId="77777777" w:rsidR="00C2273B" w:rsidRPr="00AC0E66" w:rsidRDefault="00C2273B" w:rsidP="00AC0E66">
            <w:pPr>
              <w:spacing w:line="276" w:lineRule="auto"/>
              <w:jc w:val="center"/>
              <w:rPr>
                <w:rFonts w:eastAsia="Times New Roman" w:cs="Tahoma"/>
                <w:b/>
                <w:bCs/>
                <w:color w:val="000000"/>
                <w:szCs w:val="24"/>
                <w:lang w:val="es-CO" w:eastAsia="es-CO"/>
              </w:rPr>
            </w:pPr>
            <w:r w:rsidRPr="00AC0E66">
              <w:rPr>
                <w:rFonts w:eastAsia="Times New Roman" w:cs="Tahoma"/>
                <w:b/>
                <w:bCs/>
                <w:color w:val="000000"/>
                <w:szCs w:val="24"/>
                <w:lang w:val="es-CO" w:eastAsia="es-CO"/>
              </w:rPr>
              <w:t>2012</w:t>
            </w:r>
          </w:p>
        </w:tc>
        <w:tc>
          <w:tcPr>
            <w:tcW w:w="1339" w:type="dxa"/>
            <w:tcBorders>
              <w:top w:val="nil"/>
              <w:left w:val="nil"/>
              <w:bottom w:val="single" w:sz="4" w:space="0" w:color="auto"/>
              <w:right w:val="single" w:sz="4" w:space="0" w:color="auto"/>
            </w:tcBorders>
            <w:shd w:val="clear" w:color="auto" w:fill="auto"/>
            <w:noWrap/>
            <w:vAlign w:val="center"/>
            <w:hideMark/>
          </w:tcPr>
          <w:p w14:paraId="4E25E46D" w14:textId="77777777" w:rsidR="00C2273B" w:rsidRPr="00E00277" w:rsidRDefault="00C2273B" w:rsidP="00E00277">
            <w:pPr>
              <w:spacing w:line="240" w:lineRule="auto"/>
              <w:jc w:val="right"/>
              <w:rPr>
                <w:rFonts w:eastAsia="Times New Roman" w:cs="Tahoma"/>
                <w:color w:val="000000"/>
                <w:sz w:val="20"/>
                <w:szCs w:val="24"/>
                <w:lang w:val="es-CO" w:eastAsia="es-CO"/>
              </w:rPr>
            </w:pPr>
            <w:r w:rsidRPr="00E00277">
              <w:rPr>
                <w:rFonts w:eastAsia="Times New Roman" w:cs="Tahoma"/>
                <w:color w:val="000000"/>
                <w:sz w:val="20"/>
                <w:szCs w:val="24"/>
                <w:lang w:val="es-CO" w:eastAsia="es-CO"/>
              </w:rPr>
              <w:t>01-oct-12</w:t>
            </w:r>
          </w:p>
        </w:tc>
        <w:tc>
          <w:tcPr>
            <w:tcW w:w="1339" w:type="dxa"/>
            <w:tcBorders>
              <w:top w:val="nil"/>
              <w:left w:val="nil"/>
              <w:bottom w:val="single" w:sz="4" w:space="0" w:color="auto"/>
              <w:right w:val="single" w:sz="4" w:space="0" w:color="auto"/>
            </w:tcBorders>
            <w:shd w:val="clear" w:color="auto" w:fill="auto"/>
            <w:noWrap/>
            <w:vAlign w:val="center"/>
            <w:hideMark/>
          </w:tcPr>
          <w:p w14:paraId="1EB90157" w14:textId="77777777" w:rsidR="00C2273B" w:rsidRPr="00E00277" w:rsidRDefault="00C2273B" w:rsidP="00E00277">
            <w:pPr>
              <w:spacing w:line="240" w:lineRule="auto"/>
              <w:jc w:val="right"/>
              <w:rPr>
                <w:rFonts w:eastAsia="Times New Roman" w:cs="Tahoma"/>
                <w:color w:val="000000"/>
                <w:sz w:val="20"/>
                <w:szCs w:val="24"/>
                <w:lang w:val="es-CO" w:eastAsia="es-CO"/>
              </w:rPr>
            </w:pPr>
            <w:r w:rsidRPr="00E00277">
              <w:rPr>
                <w:rFonts w:eastAsia="Times New Roman" w:cs="Tahoma"/>
                <w:color w:val="000000"/>
                <w:sz w:val="20"/>
                <w:szCs w:val="24"/>
                <w:lang w:val="es-CO" w:eastAsia="es-CO"/>
              </w:rPr>
              <w:t>31-dic-12</w:t>
            </w:r>
          </w:p>
        </w:tc>
        <w:tc>
          <w:tcPr>
            <w:tcW w:w="1339" w:type="dxa"/>
            <w:tcBorders>
              <w:top w:val="nil"/>
              <w:left w:val="nil"/>
              <w:bottom w:val="single" w:sz="4" w:space="0" w:color="auto"/>
              <w:right w:val="single" w:sz="4" w:space="0" w:color="auto"/>
            </w:tcBorders>
            <w:shd w:val="clear" w:color="auto" w:fill="auto"/>
            <w:noWrap/>
            <w:vAlign w:val="bottom"/>
            <w:hideMark/>
          </w:tcPr>
          <w:p w14:paraId="3A7534FB" w14:textId="2889F4F5" w:rsidR="00C2273B" w:rsidRPr="00E00277" w:rsidRDefault="00C2273B" w:rsidP="00E00277">
            <w:pPr>
              <w:spacing w:line="240" w:lineRule="auto"/>
              <w:jc w:val="center"/>
              <w:rPr>
                <w:rFonts w:eastAsia="Times New Roman" w:cs="Tahoma"/>
                <w:sz w:val="20"/>
                <w:szCs w:val="24"/>
                <w:lang w:val="es-CO" w:eastAsia="es-CO"/>
              </w:rPr>
            </w:pPr>
            <w:r w:rsidRPr="00E00277">
              <w:rPr>
                <w:rFonts w:eastAsia="Times New Roman" w:cs="Tahoma"/>
                <w:sz w:val="20"/>
                <w:szCs w:val="24"/>
                <w:lang w:val="es-CO" w:eastAsia="es-CO"/>
              </w:rPr>
              <w:t>4,00</w:t>
            </w:r>
          </w:p>
        </w:tc>
        <w:tc>
          <w:tcPr>
            <w:tcW w:w="1341" w:type="dxa"/>
            <w:tcBorders>
              <w:top w:val="single" w:sz="4" w:space="0" w:color="003366"/>
              <w:left w:val="single" w:sz="4" w:space="0" w:color="003366"/>
              <w:bottom w:val="single" w:sz="4" w:space="0" w:color="003366"/>
              <w:right w:val="single" w:sz="4" w:space="0" w:color="003366"/>
            </w:tcBorders>
            <w:shd w:val="clear" w:color="auto" w:fill="auto"/>
            <w:vAlign w:val="bottom"/>
            <w:hideMark/>
          </w:tcPr>
          <w:p w14:paraId="3D7E5AE0" w14:textId="30D5F743" w:rsidR="00C2273B" w:rsidRPr="00E00277" w:rsidRDefault="00C2273B" w:rsidP="00E00277">
            <w:pPr>
              <w:spacing w:line="240" w:lineRule="auto"/>
              <w:jc w:val="center"/>
              <w:rPr>
                <w:rFonts w:eastAsia="Times New Roman" w:cs="Tahoma"/>
                <w:sz w:val="20"/>
                <w:szCs w:val="24"/>
                <w:lang w:val="es-CO" w:eastAsia="es-CO"/>
              </w:rPr>
            </w:pPr>
            <w:r w:rsidRPr="00E00277">
              <w:rPr>
                <w:rFonts w:eastAsia="Times New Roman" w:cs="Tahoma"/>
                <w:sz w:val="20"/>
                <w:szCs w:val="24"/>
                <w:lang w:val="es-CO" w:eastAsia="es-CO"/>
              </w:rPr>
              <w:t>$ 566.700</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14:paraId="3371071C" w14:textId="737E2108" w:rsidR="00C2273B" w:rsidRPr="00E00277" w:rsidRDefault="00C2273B" w:rsidP="00E00277">
            <w:pPr>
              <w:spacing w:line="240" w:lineRule="auto"/>
              <w:rPr>
                <w:rFonts w:eastAsia="Times New Roman" w:cs="Tahoma"/>
                <w:b/>
                <w:bCs/>
                <w:color w:val="000000"/>
                <w:sz w:val="20"/>
                <w:szCs w:val="24"/>
                <w:lang w:val="es-CO" w:eastAsia="es-CO"/>
              </w:rPr>
            </w:pPr>
            <w:r w:rsidRPr="00E00277">
              <w:rPr>
                <w:rFonts w:eastAsia="Times New Roman" w:cs="Tahoma"/>
                <w:b/>
                <w:bCs/>
                <w:color w:val="000000"/>
                <w:sz w:val="20"/>
                <w:szCs w:val="24"/>
                <w:lang w:val="es-CO" w:eastAsia="es-CO"/>
              </w:rPr>
              <w:t>$</w:t>
            </w:r>
            <w:r w:rsidR="00E00277">
              <w:rPr>
                <w:rFonts w:eastAsia="Times New Roman" w:cs="Tahoma"/>
                <w:b/>
                <w:bCs/>
                <w:color w:val="000000"/>
                <w:sz w:val="20"/>
                <w:szCs w:val="24"/>
                <w:lang w:val="es-CO" w:eastAsia="es-CO"/>
              </w:rPr>
              <w:t xml:space="preserve"> </w:t>
            </w:r>
            <w:r w:rsidRPr="00E00277">
              <w:rPr>
                <w:rFonts w:eastAsia="Times New Roman" w:cs="Tahoma"/>
                <w:b/>
                <w:bCs/>
                <w:color w:val="000000"/>
                <w:sz w:val="20"/>
                <w:szCs w:val="24"/>
                <w:lang w:val="es-CO" w:eastAsia="es-CO"/>
              </w:rPr>
              <w:t xml:space="preserve">2.266.800 </w:t>
            </w:r>
          </w:p>
        </w:tc>
      </w:tr>
      <w:tr w:rsidR="00C2273B" w:rsidRPr="00AC0E66" w14:paraId="76EC7D65" w14:textId="77777777" w:rsidTr="00C2273B">
        <w:trPr>
          <w:trHeight w:val="312"/>
          <w:jc w:val="center"/>
        </w:trPr>
        <w:tc>
          <w:tcPr>
            <w:tcW w:w="1339" w:type="dxa"/>
            <w:tcBorders>
              <w:top w:val="nil"/>
              <w:left w:val="single" w:sz="4" w:space="0" w:color="auto"/>
              <w:bottom w:val="single" w:sz="4" w:space="0" w:color="auto"/>
              <w:right w:val="single" w:sz="4" w:space="0" w:color="auto"/>
            </w:tcBorders>
            <w:shd w:val="clear" w:color="auto" w:fill="auto"/>
            <w:vAlign w:val="center"/>
            <w:hideMark/>
          </w:tcPr>
          <w:p w14:paraId="081B1251" w14:textId="77777777" w:rsidR="00C2273B" w:rsidRPr="00AC0E66" w:rsidRDefault="00C2273B" w:rsidP="00AC0E66">
            <w:pPr>
              <w:spacing w:line="276" w:lineRule="auto"/>
              <w:jc w:val="center"/>
              <w:rPr>
                <w:rFonts w:eastAsia="Times New Roman" w:cs="Tahoma"/>
                <w:b/>
                <w:bCs/>
                <w:color w:val="000000"/>
                <w:szCs w:val="24"/>
                <w:lang w:val="es-CO" w:eastAsia="es-CO"/>
              </w:rPr>
            </w:pPr>
            <w:r w:rsidRPr="00AC0E66">
              <w:rPr>
                <w:rFonts w:eastAsia="Times New Roman" w:cs="Tahoma"/>
                <w:b/>
                <w:bCs/>
                <w:color w:val="000000"/>
                <w:szCs w:val="24"/>
                <w:lang w:val="es-CO" w:eastAsia="es-CO"/>
              </w:rPr>
              <w:t>2013</w:t>
            </w:r>
          </w:p>
        </w:tc>
        <w:tc>
          <w:tcPr>
            <w:tcW w:w="1339" w:type="dxa"/>
            <w:tcBorders>
              <w:top w:val="nil"/>
              <w:left w:val="nil"/>
              <w:bottom w:val="single" w:sz="4" w:space="0" w:color="auto"/>
              <w:right w:val="single" w:sz="4" w:space="0" w:color="auto"/>
            </w:tcBorders>
            <w:shd w:val="clear" w:color="auto" w:fill="auto"/>
            <w:noWrap/>
            <w:vAlign w:val="center"/>
            <w:hideMark/>
          </w:tcPr>
          <w:p w14:paraId="119A59DD" w14:textId="77777777" w:rsidR="00C2273B" w:rsidRPr="00E00277" w:rsidRDefault="00C2273B" w:rsidP="00E00277">
            <w:pPr>
              <w:spacing w:line="240" w:lineRule="auto"/>
              <w:jc w:val="right"/>
              <w:rPr>
                <w:rFonts w:eastAsia="Times New Roman" w:cs="Tahoma"/>
                <w:color w:val="000000"/>
                <w:sz w:val="20"/>
                <w:szCs w:val="24"/>
                <w:lang w:val="es-CO" w:eastAsia="es-CO"/>
              </w:rPr>
            </w:pPr>
            <w:r w:rsidRPr="00E00277">
              <w:rPr>
                <w:rFonts w:eastAsia="Times New Roman" w:cs="Tahoma"/>
                <w:color w:val="000000"/>
                <w:sz w:val="20"/>
                <w:szCs w:val="24"/>
                <w:lang w:val="es-CO" w:eastAsia="es-CO"/>
              </w:rPr>
              <w:t>01-ene-13</w:t>
            </w:r>
          </w:p>
        </w:tc>
        <w:tc>
          <w:tcPr>
            <w:tcW w:w="1339" w:type="dxa"/>
            <w:tcBorders>
              <w:top w:val="nil"/>
              <w:left w:val="nil"/>
              <w:bottom w:val="single" w:sz="4" w:space="0" w:color="auto"/>
              <w:right w:val="single" w:sz="4" w:space="0" w:color="auto"/>
            </w:tcBorders>
            <w:shd w:val="clear" w:color="auto" w:fill="auto"/>
            <w:noWrap/>
            <w:vAlign w:val="center"/>
            <w:hideMark/>
          </w:tcPr>
          <w:p w14:paraId="69761BBF" w14:textId="77777777" w:rsidR="00C2273B" w:rsidRPr="00E00277" w:rsidRDefault="00C2273B" w:rsidP="00E00277">
            <w:pPr>
              <w:spacing w:line="240" w:lineRule="auto"/>
              <w:jc w:val="right"/>
              <w:rPr>
                <w:rFonts w:eastAsia="Times New Roman" w:cs="Tahoma"/>
                <w:color w:val="000000"/>
                <w:sz w:val="20"/>
                <w:szCs w:val="24"/>
                <w:lang w:val="es-CO" w:eastAsia="es-CO"/>
              </w:rPr>
            </w:pPr>
            <w:r w:rsidRPr="00E00277">
              <w:rPr>
                <w:rFonts w:eastAsia="Times New Roman" w:cs="Tahoma"/>
                <w:color w:val="000000"/>
                <w:sz w:val="20"/>
                <w:szCs w:val="24"/>
                <w:lang w:val="es-CO" w:eastAsia="es-CO"/>
              </w:rPr>
              <w:t>31-dic-13</w:t>
            </w:r>
          </w:p>
        </w:tc>
        <w:tc>
          <w:tcPr>
            <w:tcW w:w="1339" w:type="dxa"/>
            <w:tcBorders>
              <w:top w:val="nil"/>
              <w:left w:val="nil"/>
              <w:bottom w:val="single" w:sz="4" w:space="0" w:color="auto"/>
              <w:right w:val="single" w:sz="4" w:space="0" w:color="auto"/>
            </w:tcBorders>
            <w:shd w:val="clear" w:color="auto" w:fill="auto"/>
            <w:noWrap/>
            <w:vAlign w:val="bottom"/>
            <w:hideMark/>
          </w:tcPr>
          <w:p w14:paraId="73134B85" w14:textId="715430D8" w:rsidR="00C2273B" w:rsidRPr="00E00277" w:rsidRDefault="00C2273B" w:rsidP="00E00277">
            <w:pPr>
              <w:spacing w:line="240" w:lineRule="auto"/>
              <w:jc w:val="center"/>
              <w:rPr>
                <w:rFonts w:eastAsia="Times New Roman" w:cs="Tahoma"/>
                <w:sz w:val="20"/>
                <w:szCs w:val="24"/>
                <w:lang w:val="es-CO" w:eastAsia="es-CO"/>
              </w:rPr>
            </w:pPr>
            <w:r w:rsidRPr="00E00277">
              <w:rPr>
                <w:rFonts w:eastAsia="Times New Roman" w:cs="Tahoma"/>
                <w:sz w:val="20"/>
                <w:szCs w:val="24"/>
                <w:lang w:val="es-CO" w:eastAsia="es-CO"/>
              </w:rPr>
              <w:t>13,00</w:t>
            </w:r>
          </w:p>
        </w:tc>
        <w:tc>
          <w:tcPr>
            <w:tcW w:w="1341" w:type="dxa"/>
            <w:tcBorders>
              <w:top w:val="nil"/>
              <w:left w:val="single" w:sz="4" w:space="0" w:color="003366"/>
              <w:bottom w:val="single" w:sz="4" w:space="0" w:color="003366"/>
              <w:right w:val="single" w:sz="4" w:space="0" w:color="003366"/>
            </w:tcBorders>
            <w:shd w:val="clear" w:color="auto" w:fill="auto"/>
            <w:vAlign w:val="bottom"/>
            <w:hideMark/>
          </w:tcPr>
          <w:p w14:paraId="4645250D" w14:textId="617717B9" w:rsidR="00C2273B" w:rsidRPr="00E00277" w:rsidRDefault="00C2273B" w:rsidP="00E00277">
            <w:pPr>
              <w:spacing w:line="240" w:lineRule="auto"/>
              <w:jc w:val="center"/>
              <w:rPr>
                <w:rFonts w:eastAsia="Times New Roman" w:cs="Tahoma"/>
                <w:sz w:val="20"/>
                <w:szCs w:val="24"/>
                <w:lang w:val="es-CO" w:eastAsia="es-CO"/>
              </w:rPr>
            </w:pPr>
            <w:r w:rsidRPr="00E00277">
              <w:rPr>
                <w:rFonts w:eastAsia="Times New Roman" w:cs="Tahoma"/>
                <w:sz w:val="20"/>
                <w:szCs w:val="24"/>
                <w:lang w:val="es-CO" w:eastAsia="es-CO"/>
              </w:rPr>
              <w:t>$ 589.500</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14:paraId="65AB47C0" w14:textId="4050B6B5" w:rsidR="00C2273B" w:rsidRPr="00E00277" w:rsidRDefault="00C2273B" w:rsidP="00E00277">
            <w:pPr>
              <w:spacing w:line="240" w:lineRule="auto"/>
              <w:rPr>
                <w:rFonts w:eastAsia="Times New Roman" w:cs="Tahoma"/>
                <w:b/>
                <w:bCs/>
                <w:color w:val="000000"/>
                <w:sz w:val="20"/>
                <w:szCs w:val="24"/>
                <w:lang w:val="es-CO" w:eastAsia="es-CO"/>
              </w:rPr>
            </w:pPr>
            <w:r w:rsidRPr="00E00277">
              <w:rPr>
                <w:rFonts w:eastAsia="Times New Roman" w:cs="Tahoma"/>
                <w:b/>
                <w:bCs/>
                <w:color w:val="000000"/>
                <w:sz w:val="20"/>
                <w:szCs w:val="24"/>
                <w:lang w:val="es-CO" w:eastAsia="es-CO"/>
              </w:rPr>
              <w:t>$</w:t>
            </w:r>
            <w:r w:rsidR="00E00277">
              <w:rPr>
                <w:rFonts w:eastAsia="Times New Roman" w:cs="Tahoma"/>
                <w:b/>
                <w:bCs/>
                <w:color w:val="000000"/>
                <w:sz w:val="20"/>
                <w:szCs w:val="24"/>
                <w:lang w:val="es-CO" w:eastAsia="es-CO"/>
              </w:rPr>
              <w:t xml:space="preserve"> </w:t>
            </w:r>
            <w:r w:rsidRPr="00E00277">
              <w:rPr>
                <w:rFonts w:eastAsia="Times New Roman" w:cs="Tahoma"/>
                <w:b/>
                <w:bCs/>
                <w:color w:val="000000"/>
                <w:sz w:val="20"/>
                <w:szCs w:val="24"/>
                <w:lang w:val="es-CO" w:eastAsia="es-CO"/>
              </w:rPr>
              <w:t xml:space="preserve">7.663.500 </w:t>
            </w:r>
          </w:p>
        </w:tc>
      </w:tr>
      <w:tr w:rsidR="00C2273B" w:rsidRPr="00AC0E66" w14:paraId="6B7E5365" w14:textId="77777777" w:rsidTr="00C2273B">
        <w:trPr>
          <w:trHeight w:val="312"/>
          <w:jc w:val="center"/>
        </w:trPr>
        <w:tc>
          <w:tcPr>
            <w:tcW w:w="1339" w:type="dxa"/>
            <w:tcBorders>
              <w:top w:val="nil"/>
              <w:left w:val="single" w:sz="4" w:space="0" w:color="auto"/>
              <w:bottom w:val="single" w:sz="4" w:space="0" w:color="auto"/>
              <w:right w:val="single" w:sz="4" w:space="0" w:color="auto"/>
            </w:tcBorders>
            <w:shd w:val="clear" w:color="auto" w:fill="auto"/>
            <w:vAlign w:val="center"/>
            <w:hideMark/>
          </w:tcPr>
          <w:p w14:paraId="69937410" w14:textId="77777777" w:rsidR="00C2273B" w:rsidRPr="00AC0E66" w:rsidRDefault="00C2273B" w:rsidP="00AC0E66">
            <w:pPr>
              <w:spacing w:line="276" w:lineRule="auto"/>
              <w:jc w:val="center"/>
              <w:rPr>
                <w:rFonts w:eastAsia="Times New Roman" w:cs="Tahoma"/>
                <w:b/>
                <w:bCs/>
                <w:color w:val="000000"/>
                <w:szCs w:val="24"/>
                <w:lang w:val="es-CO" w:eastAsia="es-CO"/>
              </w:rPr>
            </w:pPr>
            <w:r w:rsidRPr="00AC0E66">
              <w:rPr>
                <w:rFonts w:eastAsia="Times New Roman" w:cs="Tahoma"/>
                <w:b/>
                <w:bCs/>
                <w:color w:val="000000"/>
                <w:szCs w:val="24"/>
                <w:lang w:val="es-CO" w:eastAsia="es-CO"/>
              </w:rPr>
              <w:t>2014</w:t>
            </w:r>
          </w:p>
        </w:tc>
        <w:tc>
          <w:tcPr>
            <w:tcW w:w="1339" w:type="dxa"/>
            <w:tcBorders>
              <w:top w:val="nil"/>
              <w:left w:val="nil"/>
              <w:bottom w:val="single" w:sz="4" w:space="0" w:color="auto"/>
              <w:right w:val="single" w:sz="4" w:space="0" w:color="auto"/>
            </w:tcBorders>
            <w:shd w:val="clear" w:color="auto" w:fill="auto"/>
            <w:noWrap/>
            <w:vAlign w:val="center"/>
            <w:hideMark/>
          </w:tcPr>
          <w:p w14:paraId="58D88B10" w14:textId="77777777" w:rsidR="00C2273B" w:rsidRPr="00E00277" w:rsidRDefault="00C2273B" w:rsidP="00E00277">
            <w:pPr>
              <w:spacing w:line="240" w:lineRule="auto"/>
              <w:jc w:val="right"/>
              <w:rPr>
                <w:rFonts w:eastAsia="Times New Roman" w:cs="Tahoma"/>
                <w:color w:val="000000"/>
                <w:sz w:val="20"/>
                <w:szCs w:val="24"/>
                <w:lang w:val="es-CO" w:eastAsia="es-CO"/>
              </w:rPr>
            </w:pPr>
            <w:r w:rsidRPr="00E00277">
              <w:rPr>
                <w:rFonts w:eastAsia="Times New Roman" w:cs="Tahoma"/>
                <w:color w:val="000000"/>
                <w:sz w:val="20"/>
                <w:szCs w:val="24"/>
                <w:lang w:val="es-CO" w:eastAsia="es-CO"/>
              </w:rPr>
              <w:t>01-ene-14</w:t>
            </w:r>
          </w:p>
        </w:tc>
        <w:tc>
          <w:tcPr>
            <w:tcW w:w="1339" w:type="dxa"/>
            <w:tcBorders>
              <w:top w:val="nil"/>
              <w:left w:val="nil"/>
              <w:bottom w:val="single" w:sz="4" w:space="0" w:color="auto"/>
              <w:right w:val="single" w:sz="4" w:space="0" w:color="auto"/>
            </w:tcBorders>
            <w:shd w:val="clear" w:color="auto" w:fill="auto"/>
            <w:noWrap/>
            <w:vAlign w:val="center"/>
            <w:hideMark/>
          </w:tcPr>
          <w:p w14:paraId="065BCB51" w14:textId="77777777" w:rsidR="00C2273B" w:rsidRPr="00E00277" w:rsidRDefault="00C2273B" w:rsidP="00E00277">
            <w:pPr>
              <w:spacing w:line="240" w:lineRule="auto"/>
              <w:jc w:val="right"/>
              <w:rPr>
                <w:rFonts w:eastAsia="Times New Roman" w:cs="Tahoma"/>
                <w:color w:val="000000"/>
                <w:sz w:val="20"/>
                <w:szCs w:val="24"/>
                <w:lang w:val="es-CO" w:eastAsia="es-CO"/>
              </w:rPr>
            </w:pPr>
            <w:r w:rsidRPr="00E00277">
              <w:rPr>
                <w:rFonts w:eastAsia="Times New Roman" w:cs="Tahoma"/>
                <w:color w:val="000000"/>
                <w:sz w:val="20"/>
                <w:szCs w:val="24"/>
                <w:lang w:val="es-CO" w:eastAsia="es-CO"/>
              </w:rPr>
              <w:t>30-sep-14</w:t>
            </w:r>
          </w:p>
        </w:tc>
        <w:tc>
          <w:tcPr>
            <w:tcW w:w="1339" w:type="dxa"/>
            <w:tcBorders>
              <w:top w:val="nil"/>
              <w:left w:val="nil"/>
              <w:bottom w:val="single" w:sz="4" w:space="0" w:color="auto"/>
              <w:right w:val="single" w:sz="4" w:space="0" w:color="auto"/>
            </w:tcBorders>
            <w:shd w:val="clear" w:color="auto" w:fill="auto"/>
            <w:noWrap/>
            <w:vAlign w:val="bottom"/>
            <w:hideMark/>
          </w:tcPr>
          <w:p w14:paraId="0A93A87D" w14:textId="0F9BC44F" w:rsidR="00C2273B" w:rsidRPr="00E00277" w:rsidRDefault="00C2273B" w:rsidP="00E00277">
            <w:pPr>
              <w:spacing w:line="240" w:lineRule="auto"/>
              <w:jc w:val="center"/>
              <w:rPr>
                <w:rFonts w:eastAsia="Times New Roman" w:cs="Tahoma"/>
                <w:sz w:val="20"/>
                <w:szCs w:val="24"/>
                <w:lang w:val="es-CO" w:eastAsia="es-CO"/>
              </w:rPr>
            </w:pPr>
            <w:r w:rsidRPr="00E00277">
              <w:rPr>
                <w:rFonts w:eastAsia="Times New Roman" w:cs="Tahoma"/>
                <w:sz w:val="20"/>
                <w:szCs w:val="24"/>
                <w:lang w:val="es-CO" w:eastAsia="es-CO"/>
              </w:rPr>
              <w:t>9,00</w:t>
            </w:r>
          </w:p>
        </w:tc>
        <w:tc>
          <w:tcPr>
            <w:tcW w:w="1341" w:type="dxa"/>
            <w:tcBorders>
              <w:top w:val="nil"/>
              <w:left w:val="single" w:sz="4" w:space="0" w:color="003366"/>
              <w:bottom w:val="single" w:sz="4" w:space="0" w:color="003366"/>
              <w:right w:val="single" w:sz="4" w:space="0" w:color="003366"/>
            </w:tcBorders>
            <w:shd w:val="clear" w:color="auto" w:fill="auto"/>
            <w:vAlign w:val="bottom"/>
            <w:hideMark/>
          </w:tcPr>
          <w:p w14:paraId="5DB37084" w14:textId="22BDABDE" w:rsidR="00C2273B" w:rsidRPr="00E00277" w:rsidRDefault="00C2273B" w:rsidP="00E00277">
            <w:pPr>
              <w:spacing w:line="240" w:lineRule="auto"/>
              <w:jc w:val="center"/>
              <w:rPr>
                <w:rFonts w:eastAsia="Times New Roman" w:cs="Tahoma"/>
                <w:sz w:val="20"/>
                <w:szCs w:val="24"/>
                <w:lang w:val="es-CO" w:eastAsia="es-CO"/>
              </w:rPr>
            </w:pPr>
            <w:r w:rsidRPr="00E00277">
              <w:rPr>
                <w:rFonts w:eastAsia="Times New Roman" w:cs="Tahoma"/>
                <w:sz w:val="20"/>
                <w:szCs w:val="24"/>
                <w:lang w:val="es-CO" w:eastAsia="es-CO"/>
              </w:rPr>
              <w:t>$ 616.000</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14:paraId="47F05F21" w14:textId="7D1240E6" w:rsidR="00C2273B" w:rsidRPr="00E00277" w:rsidRDefault="00C2273B" w:rsidP="00E00277">
            <w:pPr>
              <w:spacing w:line="240" w:lineRule="auto"/>
              <w:rPr>
                <w:rFonts w:eastAsia="Times New Roman" w:cs="Tahoma"/>
                <w:b/>
                <w:bCs/>
                <w:color w:val="000000"/>
                <w:sz w:val="20"/>
                <w:szCs w:val="24"/>
                <w:lang w:val="es-CO" w:eastAsia="es-CO"/>
              </w:rPr>
            </w:pPr>
            <w:r w:rsidRPr="00E00277">
              <w:rPr>
                <w:rFonts w:eastAsia="Times New Roman" w:cs="Tahoma"/>
                <w:b/>
                <w:bCs/>
                <w:color w:val="000000"/>
                <w:sz w:val="20"/>
                <w:szCs w:val="24"/>
                <w:lang w:val="es-CO" w:eastAsia="es-CO"/>
              </w:rPr>
              <w:t>$</w:t>
            </w:r>
            <w:r w:rsidR="00E00277">
              <w:rPr>
                <w:rFonts w:eastAsia="Times New Roman" w:cs="Tahoma"/>
                <w:b/>
                <w:bCs/>
                <w:color w:val="000000"/>
                <w:sz w:val="20"/>
                <w:szCs w:val="24"/>
                <w:lang w:val="es-CO" w:eastAsia="es-CO"/>
              </w:rPr>
              <w:t xml:space="preserve"> </w:t>
            </w:r>
            <w:r w:rsidRPr="00E00277">
              <w:rPr>
                <w:rFonts w:eastAsia="Times New Roman" w:cs="Tahoma"/>
                <w:b/>
                <w:bCs/>
                <w:color w:val="000000"/>
                <w:sz w:val="20"/>
                <w:szCs w:val="24"/>
                <w:lang w:val="es-CO" w:eastAsia="es-CO"/>
              </w:rPr>
              <w:t xml:space="preserve">5.544.000 </w:t>
            </w:r>
          </w:p>
        </w:tc>
      </w:tr>
      <w:tr w:rsidR="00C2273B" w:rsidRPr="00AC0E66" w14:paraId="4F2861FB" w14:textId="77777777" w:rsidTr="00C2273B">
        <w:trPr>
          <w:trHeight w:val="312"/>
          <w:jc w:val="center"/>
        </w:trPr>
        <w:tc>
          <w:tcPr>
            <w:tcW w:w="6699" w:type="dxa"/>
            <w:gridSpan w:val="5"/>
            <w:tcBorders>
              <w:top w:val="single" w:sz="4" w:space="0" w:color="auto"/>
              <w:left w:val="single" w:sz="4" w:space="0" w:color="auto"/>
              <w:bottom w:val="single" w:sz="4" w:space="0" w:color="auto"/>
              <w:right w:val="nil"/>
            </w:tcBorders>
            <w:shd w:val="clear" w:color="auto" w:fill="auto"/>
            <w:noWrap/>
            <w:vAlign w:val="bottom"/>
            <w:hideMark/>
          </w:tcPr>
          <w:p w14:paraId="685244CC" w14:textId="0E547B2D" w:rsidR="00C2273B" w:rsidRPr="00E00277" w:rsidRDefault="00C2273B" w:rsidP="00E00277">
            <w:pPr>
              <w:spacing w:line="240" w:lineRule="auto"/>
              <w:jc w:val="center"/>
              <w:rPr>
                <w:rFonts w:eastAsia="Times New Roman" w:cs="Tahoma"/>
                <w:b/>
                <w:bCs/>
                <w:color w:val="000000"/>
                <w:sz w:val="20"/>
                <w:szCs w:val="24"/>
                <w:lang w:val="es-CO" w:eastAsia="es-CO"/>
              </w:rPr>
            </w:pPr>
            <w:r w:rsidRPr="00E00277">
              <w:rPr>
                <w:rFonts w:eastAsia="Times New Roman" w:cs="Tahoma"/>
                <w:b/>
                <w:bCs/>
                <w:color w:val="000000"/>
                <w:sz w:val="20"/>
                <w:szCs w:val="24"/>
                <w:lang w:val="es-CO" w:eastAsia="es-CO"/>
              </w:rPr>
              <w:t>RETROACTIVO</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14:paraId="372630BC" w14:textId="16AB756F" w:rsidR="00C2273B" w:rsidRPr="00E00277" w:rsidRDefault="00C2273B" w:rsidP="00E00277">
            <w:pPr>
              <w:spacing w:line="240" w:lineRule="auto"/>
              <w:rPr>
                <w:rFonts w:eastAsia="Times New Roman" w:cs="Tahoma"/>
                <w:b/>
                <w:bCs/>
                <w:color w:val="000000"/>
                <w:sz w:val="20"/>
                <w:szCs w:val="24"/>
                <w:lang w:val="es-CO" w:eastAsia="es-CO"/>
              </w:rPr>
            </w:pPr>
            <w:r w:rsidRPr="00E00277">
              <w:rPr>
                <w:rFonts w:eastAsia="Times New Roman" w:cs="Tahoma"/>
                <w:b/>
                <w:bCs/>
                <w:color w:val="000000"/>
                <w:sz w:val="20"/>
                <w:szCs w:val="24"/>
                <w:lang w:val="es-CO" w:eastAsia="es-CO"/>
              </w:rPr>
              <w:t xml:space="preserve">$15.474.300 </w:t>
            </w:r>
          </w:p>
        </w:tc>
      </w:tr>
    </w:tbl>
    <w:p w14:paraId="26120883" w14:textId="77777777" w:rsidR="00C2273B" w:rsidRPr="00AC0E66" w:rsidRDefault="00C2273B" w:rsidP="00AC0E66">
      <w:pPr>
        <w:widowControl w:val="0"/>
        <w:autoSpaceDE w:val="0"/>
        <w:autoSpaceDN w:val="0"/>
        <w:adjustRightInd w:val="0"/>
        <w:spacing w:line="276" w:lineRule="auto"/>
        <w:ind w:firstLine="708"/>
        <w:rPr>
          <w:rFonts w:eastAsia="Calibri" w:cs="Tahoma"/>
          <w:szCs w:val="24"/>
          <w:lang w:val="es-CO"/>
        </w:rPr>
      </w:pPr>
    </w:p>
    <w:p w14:paraId="4E69B700" w14:textId="35ADD7BF" w:rsidR="00EB5DF0" w:rsidRPr="00AC0E66" w:rsidRDefault="00C2273B" w:rsidP="00AC0E66">
      <w:pPr>
        <w:widowControl w:val="0"/>
        <w:autoSpaceDE w:val="0"/>
        <w:autoSpaceDN w:val="0"/>
        <w:adjustRightInd w:val="0"/>
        <w:spacing w:line="276" w:lineRule="auto"/>
        <w:ind w:firstLine="708"/>
        <w:rPr>
          <w:rFonts w:eastAsia="Calibri" w:cs="Tahoma"/>
          <w:szCs w:val="24"/>
          <w:lang w:val="es-CO"/>
        </w:rPr>
      </w:pPr>
      <w:r w:rsidRPr="00AC0E66">
        <w:rPr>
          <w:rFonts w:eastAsia="Calibri" w:cs="Tahoma"/>
          <w:szCs w:val="24"/>
          <w:lang w:val="es-CO"/>
        </w:rPr>
        <w:t xml:space="preserve">Finalmente, con relación a </w:t>
      </w:r>
      <w:r w:rsidR="00FB6A4A" w:rsidRPr="00AC0E66">
        <w:rPr>
          <w:rFonts w:eastAsia="Calibri" w:cs="Tahoma"/>
          <w:szCs w:val="24"/>
          <w:lang w:val="es-CO"/>
        </w:rPr>
        <w:t xml:space="preserve">los intereses moratorios de que trata el artículo 141 de la ley 100 de 1993, </w:t>
      </w:r>
      <w:r w:rsidRPr="00AC0E66">
        <w:rPr>
          <w:rFonts w:eastAsia="Calibri" w:cs="Tahoma"/>
          <w:szCs w:val="24"/>
          <w:lang w:val="es-CO"/>
        </w:rPr>
        <w:t xml:space="preserve">los mismos resultan procedentes, toda vez que Colpensiones, sin justificación alguna y ante su propia negligencia en el manejo de la historia laboral del actor, omitió reconocer el retroactivo pensional y, por ello, al haberse elevado la reclamación administrativa el 09 de octubre de 2012, </w:t>
      </w:r>
      <w:r w:rsidR="00FB6A4A" w:rsidRPr="00AC0E66">
        <w:rPr>
          <w:rFonts w:eastAsia="Calibri" w:cs="Tahoma"/>
          <w:szCs w:val="24"/>
          <w:lang w:val="es-CO"/>
        </w:rPr>
        <w:t>estos corre</w:t>
      </w:r>
      <w:r w:rsidRPr="00AC0E66">
        <w:rPr>
          <w:rFonts w:eastAsia="Calibri" w:cs="Tahoma"/>
          <w:szCs w:val="24"/>
          <w:lang w:val="es-CO"/>
        </w:rPr>
        <w:t>n</w:t>
      </w:r>
      <w:r w:rsidR="00FB6A4A" w:rsidRPr="00AC0E66">
        <w:rPr>
          <w:rFonts w:eastAsia="Calibri" w:cs="Tahoma"/>
          <w:szCs w:val="24"/>
          <w:lang w:val="es-CO"/>
        </w:rPr>
        <w:t xml:space="preserve"> a partir del </w:t>
      </w:r>
      <w:r w:rsidRPr="00AC0E66">
        <w:rPr>
          <w:rFonts w:eastAsia="Calibri" w:cs="Tahoma"/>
          <w:szCs w:val="24"/>
          <w:lang w:val="es-CO"/>
        </w:rPr>
        <w:t xml:space="preserve">10 de febrero de 2013, al vencer los 04 meses dispuestos para el reconocimiento, tal como lo ordenó la a-quo. </w:t>
      </w:r>
      <w:r w:rsidR="00E16945" w:rsidRPr="00AC0E66">
        <w:rPr>
          <w:rFonts w:eastAsia="Calibri" w:cs="Tahoma"/>
          <w:szCs w:val="24"/>
          <w:lang w:val="es-CO"/>
        </w:rPr>
        <w:t xml:space="preserve"> </w:t>
      </w:r>
    </w:p>
    <w:p w14:paraId="189DD95F" w14:textId="77777777" w:rsidR="00604CBC" w:rsidRPr="00AC0E66" w:rsidRDefault="00604CBC" w:rsidP="00AC0E66">
      <w:pPr>
        <w:pStyle w:val="Sinespaciado"/>
        <w:spacing w:line="276" w:lineRule="auto"/>
        <w:rPr>
          <w:rFonts w:ascii="Tahoma" w:hAnsi="Tahoma" w:cs="Tahoma"/>
        </w:rPr>
      </w:pPr>
    </w:p>
    <w:p w14:paraId="569C0BE0" w14:textId="461F2A8D" w:rsidR="00021389" w:rsidRPr="00AC0E66" w:rsidRDefault="00C2273B" w:rsidP="00AC0E66">
      <w:pPr>
        <w:widowControl w:val="0"/>
        <w:autoSpaceDE w:val="0"/>
        <w:autoSpaceDN w:val="0"/>
        <w:adjustRightInd w:val="0"/>
        <w:spacing w:line="276" w:lineRule="auto"/>
        <w:ind w:firstLine="708"/>
        <w:rPr>
          <w:rFonts w:eastAsia="Calibri" w:cs="Tahoma"/>
          <w:szCs w:val="24"/>
          <w:lang w:val="es-CO"/>
        </w:rPr>
      </w:pPr>
      <w:r w:rsidRPr="00AC0E66">
        <w:rPr>
          <w:rFonts w:cs="Tahoma"/>
          <w:szCs w:val="24"/>
        </w:rPr>
        <w:t>Finalmente,</w:t>
      </w:r>
      <w:r w:rsidR="000050D7" w:rsidRPr="00AC0E66">
        <w:rPr>
          <w:rFonts w:eastAsia="Calibri" w:cs="Tahoma"/>
          <w:szCs w:val="24"/>
          <w:lang w:val="es-CO"/>
        </w:rPr>
        <w:t xml:space="preserve"> ante el fracaso del recurso de apelación, se condenará en costas procesales a </w:t>
      </w:r>
      <w:r w:rsidRPr="00AC0E66">
        <w:rPr>
          <w:rFonts w:eastAsia="Calibri" w:cs="Tahoma"/>
          <w:szCs w:val="24"/>
          <w:lang w:val="es-CO"/>
        </w:rPr>
        <w:t xml:space="preserve">Colpensiones, toda vez que la modificación del retroactivo pensional </w:t>
      </w:r>
      <w:r w:rsidRPr="00AC0E66">
        <w:rPr>
          <w:rFonts w:cs="Tahoma"/>
          <w:szCs w:val="24"/>
        </w:rPr>
        <w:t xml:space="preserve">correspondió a la revisión de la sentencia en virtud del grado jurisdiccional de consulta y no por ser objeto de alzada. </w:t>
      </w:r>
      <w:r w:rsidRPr="00AC0E66">
        <w:rPr>
          <w:rFonts w:cs="Tahoma"/>
          <w:szCs w:val="24"/>
        </w:rPr>
        <w:tab/>
      </w:r>
    </w:p>
    <w:p w14:paraId="3B807C0C" w14:textId="77777777" w:rsidR="00021389" w:rsidRPr="00AC0E66" w:rsidRDefault="00021389" w:rsidP="00AC0E66">
      <w:pPr>
        <w:pStyle w:val="Sinespaciado"/>
        <w:spacing w:line="276" w:lineRule="auto"/>
        <w:rPr>
          <w:rFonts w:ascii="Tahoma" w:hAnsi="Tahoma" w:cs="Tahoma"/>
          <w:lang w:eastAsia="es-ES"/>
        </w:rPr>
      </w:pPr>
    </w:p>
    <w:p w14:paraId="4B23B2DF" w14:textId="77777777" w:rsidR="00021389" w:rsidRPr="00AC0E66" w:rsidRDefault="00021389" w:rsidP="00AC0E66">
      <w:pPr>
        <w:spacing w:line="276" w:lineRule="auto"/>
        <w:ind w:firstLine="709"/>
        <w:contextualSpacing/>
        <w:rPr>
          <w:rFonts w:eastAsia="Times New Roman" w:cs="Tahoma"/>
          <w:color w:val="000000" w:themeColor="text1"/>
          <w:szCs w:val="24"/>
        </w:rPr>
      </w:pPr>
      <w:r w:rsidRPr="00AC0E66">
        <w:rPr>
          <w:rFonts w:eastAsia="Times New Roman" w:cs="Tahoma"/>
          <w:color w:val="000000" w:themeColor="text1"/>
          <w:szCs w:val="24"/>
        </w:rPr>
        <w:t xml:space="preserve">En mérito de lo expuesto, el </w:t>
      </w:r>
      <w:r w:rsidRPr="00AC0E66">
        <w:rPr>
          <w:rFonts w:eastAsia="Times New Roman" w:cs="Tahoma"/>
          <w:b/>
          <w:color w:val="000000" w:themeColor="text1"/>
          <w:szCs w:val="24"/>
        </w:rPr>
        <w:t>Tribunal Superior del Distrito Judicial de Pereira - Risaralda, Sala Primera de Decisión Laboral,</w:t>
      </w:r>
      <w:r w:rsidRPr="00AC0E66">
        <w:rPr>
          <w:rFonts w:eastAsia="Times New Roman" w:cs="Tahoma"/>
          <w:color w:val="000000" w:themeColor="text1"/>
          <w:szCs w:val="24"/>
        </w:rPr>
        <w:t xml:space="preserve"> administrando justicia en nombre de la República y por autoridad de la ley,</w:t>
      </w:r>
    </w:p>
    <w:p w14:paraId="3391FF09" w14:textId="77777777" w:rsidR="00021389" w:rsidRPr="00AC0E66" w:rsidRDefault="00021389" w:rsidP="00AC0E66">
      <w:pPr>
        <w:spacing w:line="276" w:lineRule="auto"/>
        <w:ind w:firstLine="709"/>
        <w:contextualSpacing/>
        <w:rPr>
          <w:rFonts w:eastAsia="Times New Roman" w:cs="Tahoma"/>
          <w:color w:val="000000" w:themeColor="text1"/>
          <w:szCs w:val="24"/>
        </w:rPr>
      </w:pPr>
    </w:p>
    <w:p w14:paraId="02F1D6F0" w14:textId="77777777" w:rsidR="00021389" w:rsidRPr="00AC0E66" w:rsidRDefault="00021389" w:rsidP="00AC0E66">
      <w:pPr>
        <w:spacing w:line="276" w:lineRule="auto"/>
        <w:ind w:firstLine="709"/>
        <w:jc w:val="center"/>
        <w:rPr>
          <w:rFonts w:cs="Tahoma"/>
          <w:b/>
          <w:color w:val="000000" w:themeColor="text1"/>
          <w:szCs w:val="24"/>
        </w:rPr>
      </w:pPr>
      <w:r w:rsidRPr="00AC0E66">
        <w:rPr>
          <w:rFonts w:cs="Tahoma"/>
          <w:b/>
          <w:color w:val="000000" w:themeColor="text1"/>
          <w:szCs w:val="24"/>
        </w:rPr>
        <w:t>RESUELVE</w:t>
      </w:r>
    </w:p>
    <w:p w14:paraId="12CF606D" w14:textId="77777777" w:rsidR="00021389" w:rsidRPr="00AC0E66" w:rsidRDefault="00021389" w:rsidP="00AC0E66">
      <w:pPr>
        <w:widowControl w:val="0"/>
        <w:autoSpaceDE w:val="0"/>
        <w:autoSpaceDN w:val="0"/>
        <w:adjustRightInd w:val="0"/>
        <w:spacing w:line="276" w:lineRule="auto"/>
        <w:ind w:firstLine="709"/>
        <w:jc w:val="center"/>
        <w:rPr>
          <w:rFonts w:cs="Tahoma"/>
          <w:b/>
          <w:szCs w:val="24"/>
        </w:rPr>
      </w:pPr>
    </w:p>
    <w:p w14:paraId="02D09669" w14:textId="2AD86D82" w:rsidR="00C2273B" w:rsidRPr="00AC0E66" w:rsidRDefault="00C2273B" w:rsidP="00AC0E66">
      <w:pPr>
        <w:spacing w:line="276" w:lineRule="auto"/>
        <w:ind w:firstLine="708"/>
        <w:rPr>
          <w:rFonts w:cs="Tahoma"/>
          <w:szCs w:val="24"/>
        </w:rPr>
      </w:pPr>
      <w:r w:rsidRPr="00AC0E66">
        <w:rPr>
          <w:rFonts w:eastAsia="Times New Roman" w:cs="Tahoma"/>
          <w:b/>
          <w:bCs/>
          <w:iCs/>
          <w:szCs w:val="24"/>
          <w:lang w:eastAsia="es-CO"/>
        </w:rPr>
        <w:t xml:space="preserve">PRIMERO: MODIFICAR </w:t>
      </w:r>
      <w:r w:rsidRPr="00AC0E66">
        <w:rPr>
          <w:rFonts w:eastAsia="Times New Roman" w:cs="Tahoma"/>
          <w:bCs/>
          <w:iCs/>
          <w:szCs w:val="24"/>
          <w:lang w:eastAsia="es-CO"/>
        </w:rPr>
        <w:t xml:space="preserve">el numeral primero de la sentencia proferida por </w:t>
      </w:r>
      <w:r w:rsidRPr="00AC0E66">
        <w:rPr>
          <w:rFonts w:cs="Tahoma"/>
          <w:szCs w:val="24"/>
        </w:rPr>
        <w:t xml:space="preserve">el </w:t>
      </w:r>
      <w:r w:rsidRPr="00AC0E66">
        <w:rPr>
          <w:rFonts w:cs="Tahoma"/>
          <w:szCs w:val="24"/>
          <w:lang w:val="es-CO"/>
        </w:rPr>
        <w:t xml:space="preserve">Juzgado segundo Laboral del Circuito de Pereira el 13 de octubre de 2022 </w:t>
      </w:r>
      <w:r w:rsidRPr="00AC0E66">
        <w:rPr>
          <w:rFonts w:cs="Tahoma"/>
          <w:szCs w:val="24"/>
        </w:rPr>
        <w:t xml:space="preserve">dentro del proceso ordinario laboral promovido por </w:t>
      </w:r>
      <w:r w:rsidRPr="00AC0E66">
        <w:rPr>
          <w:rFonts w:cs="Tahoma"/>
          <w:b/>
          <w:szCs w:val="24"/>
        </w:rPr>
        <w:t>BERNARDO SANTIBÁÑEZ DÍAZ</w:t>
      </w:r>
      <w:r w:rsidRPr="00AC0E66">
        <w:rPr>
          <w:rStyle w:val="normaltextrun"/>
          <w:rFonts w:cs="Tahoma"/>
          <w:b/>
          <w:szCs w:val="24"/>
        </w:rPr>
        <w:t xml:space="preserve"> </w:t>
      </w:r>
      <w:r w:rsidRPr="00AC0E66">
        <w:rPr>
          <w:rStyle w:val="normaltextrun"/>
          <w:rFonts w:cs="Tahoma"/>
          <w:szCs w:val="24"/>
        </w:rPr>
        <w:t xml:space="preserve">en contra de la </w:t>
      </w:r>
      <w:r w:rsidRPr="00AC0E66">
        <w:rPr>
          <w:rStyle w:val="normaltextrun"/>
          <w:rFonts w:cs="Tahoma"/>
          <w:b/>
          <w:bCs/>
          <w:szCs w:val="24"/>
        </w:rPr>
        <w:t>ADMINISTRADORA COLOMBIANA DE PENSIONES – COLPENSIONES</w:t>
      </w:r>
      <w:r w:rsidRPr="00AC0E66">
        <w:rPr>
          <w:rFonts w:cs="Tahoma"/>
          <w:szCs w:val="24"/>
        </w:rPr>
        <w:t>, el cual quedará así:</w:t>
      </w:r>
    </w:p>
    <w:p w14:paraId="78069074" w14:textId="77777777" w:rsidR="00C2273B" w:rsidRPr="00AC0E66" w:rsidRDefault="00C2273B" w:rsidP="00AC0E66">
      <w:pPr>
        <w:spacing w:line="276" w:lineRule="auto"/>
        <w:ind w:firstLine="708"/>
        <w:rPr>
          <w:rFonts w:cs="Tahoma"/>
          <w:szCs w:val="24"/>
        </w:rPr>
      </w:pPr>
    </w:p>
    <w:p w14:paraId="1726DCD7" w14:textId="46E5A488" w:rsidR="00C2273B" w:rsidRPr="00AC0E66" w:rsidRDefault="00C2273B" w:rsidP="00AC0E66">
      <w:pPr>
        <w:spacing w:line="276" w:lineRule="auto"/>
        <w:ind w:left="708" w:firstLine="708"/>
        <w:contextualSpacing/>
        <w:rPr>
          <w:rFonts w:cs="Tahoma"/>
          <w:i/>
          <w:szCs w:val="24"/>
        </w:rPr>
      </w:pPr>
      <w:r w:rsidRPr="00AC0E66">
        <w:rPr>
          <w:rFonts w:cs="Tahoma"/>
          <w:i/>
          <w:szCs w:val="24"/>
        </w:rPr>
        <w:t>“PRIMERO: CONDENAR a la ADMINISTRADORA COLOMBIANA DE PENSIONES –COLPENSIONES, a pagar a favor del señor BERNARDO SANTIBAÑEZ DÍAZ, el retroactivo pensional causado desde el 1 de octubre de 2012 hasta el 30 de septiembre de 2014, de conformidad con lo expuesto en la parte motiva</w:t>
      </w:r>
      <w:r w:rsidR="00594C8C" w:rsidRPr="00AC0E66">
        <w:rPr>
          <w:rFonts w:cs="Tahoma"/>
          <w:i/>
          <w:szCs w:val="24"/>
        </w:rPr>
        <w:t>, por</w:t>
      </w:r>
      <w:r w:rsidRPr="00AC0E66">
        <w:rPr>
          <w:rFonts w:cs="Tahoma"/>
          <w:i/>
          <w:szCs w:val="24"/>
        </w:rPr>
        <w:t xml:space="preserve"> un valor total de $15.474.300”.</w:t>
      </w:r>
    </w:p>
    <w:p w14:paraId="48F2DB68" w14:textId="77777777" w:rsidR="00C2273B" w:rsidRPr="00AC0E66" w:rsidRDefault="00C2273B" w:rsidP="00AC0E66">
      <w:pPr>
        <w:pStyle w:val="Sinespaciado"/>
        <w:spacing w:line="276" w:lineRule="auto"/>
        <w:rPr>
          <w:rFonts w:ascii="Tahoma" w:hAnsi="Tahoma" w:cs="Tahoma"/>
        </w:rPr>
      </w:pPr>
      <w:r w:rsidRPr="00AC0E66">
        <w:rPr>
          <w:rFonts w:ascii="Tahoma" w:hAnsi="Tahoma" w:cs="Tahoma"/>
        </w:rPr>
        <w:lastRenderedPageBreak/>
        <w:t xml:space="preserve"> </w:t>
      </w:r>
    </w:p>
    <w:p w14:paraId="27D7F136" w14:textId="77777777" w:rsidR="00C2273B" w:rsidRPr="00AC0E66" w:rsidRDefault="00C2273B" w:rsidP="00AC0E66">
      <w:pPr>
        <w:spacing w:line="276" w:lineRule="auto"/>
        <w:ind w:firstLine="708"/>
        <w:rPr>
          <w:rFonts w:eastAsia="Tahoma" w:cs="Tahoma"/>
          <w:b/>
          <w:bCs/>
          <w:szCs w:val="24"/>
          <w:lang w:eastAsia="es-CO"/>
        </w:rPr>
      </w:pPr>
      <w:r w:rsidRPr="00AC0E66">
        <w:rPr>
          <w:rFonts w:eastAsia="Tahoma" w:cs="Tahoma"/>
          <w:b/>
          <w:bCs/>
          <w:szCs w:val="24"/>
          <w:lang w:eastAsia="es-CO"/>
        </w:rPr>
        <w:t xml:space="preserve">SEGUNDO: CONFIRMAR </w:t>
      </w:r>
      <w:r w:rsidRPr="00AC0E66">
        <w:rPr>
          <w:rFonts w:eastAsia="Tahoma" w:cs="Tahoma"/>
          <w:bCs/>
          <w:szCs w:val="24"/>
          <w:lang w:eastAsia="es-CO"/>
        </w:rPr>
        <w:t>en todo lo demás la sentencia de la referencia.</w:t>
      </w:r>
      <w:r w:rsidRPr="00AC0E66">
        <w:rPr>
          <w:rFonts w:eastAsia="Tahoma" w:cs="Tahoma"/>
          <w:b/>
          <w:bCs/>
          <w:szCs w:val="24"/>
          <w:lang w:eastAsia="es-CO"/>
        </w:rPr>
        <w:t xml:space="preserve"> </w:t>
      </w:r>
    </w:p>
    <w:p w14:paraId="224D6296" w14:textId="77777777" w:rsidR="00C2273B" w:rsidRPr="00AC0E66" w:rsidRDefault="00C2273B" w:rsidP="00AC0E66">
      <w:pPr>
        <w:pStyle w:val="Sinespaciado"/>
        <w:spacing w:line="276" w:lineRule="auto"/>
        <w:rPr>
          <w:rFonts w:ascii="Tahoma" w:hAnsi="Tahoma" w:cs="Tahoma"/>
          <w:lang w:eastAsia="es-CO"/>
        </w:rPr>
      </w:pPr>
    </w:p>
    <w:p w14:paraId="0DCBD04A" w14:textId="77777777" w:rsidR="00C2273B" w:rsidRPr="00AC0E66" w:rsidRDefault="00C2273B" w:rsidP="00AC0E66">
      <w:pPr>
        <w:spacing w:line="276" w:lineRule="auto"/>
        <w:ind w:firstLine="708"/>
        <w:rPr>
          <w:rFonts w:cs="Tahoma"/>
          <w:szCs w:val="24"/>
        </w:rPr>
      </w:pPr>
      <w:r w:rsidRPr="00AC0E66">
        <w:rPr>
          <w:rFonts w:eastAsia="Tahoma" w:cs="Tahoma"/>
          <w:b/>
          <w:bCs/>
          <w:szCs w:val="24"/>
          <w:lang w:eastAsia="es-CO"/>
        </w:rPr>
        <w:t>TERCERO: CONDENAR</w:t>
      </w:r>
      <w:r w:rsidRPr="00AC0E66">
        <w:rPr>
          <w:rFonts w:eastAsia="Tahoma" w:cs="Tahoma"/>
          <w:bCs/>
          <w:szCs w:val="24"/>
          <w:lang w:eastAsia="es-CO"/>
        </w:rPr>
        <w:t xml:space="preserve"> en costas de segunda instancia a la entidad demandada en favor de la parte actora. Liquídense por el juzgado de origen. </w:t>
      </w:r>
    </w:p>
    <w:p w14:paraId="714AEAE0" w14:textId="77777777" w:rsidR="00AC0E66" w:rsidRPr="00AC0E66" w:rsidRDefault="00AC0E66" w:rsidP="00AC0E66">
      <w:pPr>
        <w:spacing w:line="276" w:lineRule="auto"/>
        <w:rPr>
          <w:rFonts w:eastAsia="Calibri" w:cs="Tahoma"/>
          <w:szCs w:val="24"/>
          <w:lang w:val="es-CO"/>
        </w:rPr>
      </w:pPr>
      <w:bookmarkStart w:id="6" w:name="_Hlk126574973"/>
    </w:p>
    <w:p w14:paraId="622181D1" w14:textId="77777777" w:rsidR="00AC0E66" w:rsidRPr="00AC0E66" w:rsidRDefault="00AC0E66" w:rsidP="00AC0E66">
      <w:pPr>
        <w:spacing w:line="276" w:lineRule="auto"/>
        <w:jc w:val="center"/>
        <w:rPr>
          <w:rFonts w:eastAsia="Tahoma" w:cs="Tahoma"/>
          <w:b/>
          <w:bCs/>
          <w:szCs w:val="24"/>
          <w:lang w:val="es-CO"/>
        </w:rPr>
      </w:pPr>
      <w:r w:rsidRPr="00AC0E66">
        <w:rPr>
          <w:rFonts w:eastAsia="Tahoma" w:cs="Tahoma"/>
          <w:b/>
          <w:bCs/>
          <w:szCs w:val="24"/>
          <w:lang w:val="es-CO"/>
        </w:rPr>
        <w:t>NOTIFÍQUESE Y CÚMPLASE</w:t>
      </w:r>
    </w:p>
    <w:p w14:paraId="3A7E253D" w14:textId="77777777" w:rsidR="00AC0E66" w:rsidRPr="00AC0E66" w:rsidRDefault="00AC0E66" w:rsidP="00AC0E66">
      <w:pPr>
        <w:spacing w:line="276" w:lineRule="auto"/>
        <w:rPr>
          <w:rFonts w:eastAsia="Calibri" w:cs="Tahoma"/>
          <w:szCs w:val="24"/>
          <w:lang w:val="es-CO"/>
        </w:rPr>
      </w:pPr>
      <w:r w:rsidRPr="00AC0E66">
        <w:rPr>
          <w:rFonts w:eastAsia="Calibri" w:cs="Tahoma"/>
          <w:szCs w:val="24"/>
          <w:lang w:val="es-CO"/>
        </w:rPr>
        <w:t xml:space="preserve"> </w:t>
      </w:r>
    </w:p>
    <w:p w14:paraId="146767BC" w14:textId="77777777" w:rsidR="00AC0E66" w:rsidRPr="00AC0E66" w:rsidRDefault="00AC0E66" w:rsidP="00AC0E66">
      <w:pPr>
        <w:widowControl w:val="0"/>
        <w:autoSpaceDE w:val="0"/>
        <w:autoSpaceDN w:val="0"/>
        <w:adjustRightInd w:val="0"/>
        <w:spacing w:line="276" w:lineRule="auto"/>
        <w:rPr>
          <w:rFonts w:eastAsia="Times New Roman" w:cs="Tahoma"/>
          <w:szCs w:val="24"/>
          <w:lang w:eastAsia="es-ES"/>
        </w:rPr>
      </w:pPr>
      <w:r w:rsidRPr="00AC0E66">
        <w:rPr>
          <w:rFonts w:eastAsia="Times New Roman" w:cs="Tahoma"/>
          <w:szCs w:val="24"/>
          <w:lang w:eastAsia="es-ES"/>
        </w:rPr>
        <w:tab/>
        <w:t>La Magistrada ponente,</w:t>
      </w:r>
    </w:p>
    <w:p w14:paraId="5E035137" w14:textId="77777777" w:rsidR="00AC0E66" w:rsidRPr="00AC0E66" w:rsidRDefault="00AC0E66" w:rsidP="00AC0E66">
      <w:pPr>
        <w:spacing w:line="276" w:lineRule="auto"/>
        <w:jc w:val="left"/>
        <w:rPr>
          <w:rFonts w:eastAsia="Times New Roman" w:cs="Tahoma"/>
          <w:szCs w:val="24"/>
          <w:lang w:eastAsia="es-ES"/>
        </w:rPr>
      </w:pPr>
    </w:p>
    <w:p w14:paraId="404F947B" w14:textId="77777777" w:rsidR="00AC0E66" w:rsidRPr="00AC0E66" w:rsidRDefault="00AC0E66" w:rsidP="00AC0E66">
      <w:pPr>
        <w:spacing w:line="276" w:lineRule="auto"/>
        <w:jc w:val="left"/>
        <w:rPr>
          <w:rFonts w:eastAsia="Times New Roman" w:cs="Tahoma"/>
          <w:szCs w:val="24"/>
          <w:lang w:eastAsia="es-ES"/>
        </w:rPr>
      </w:pPr>
    </w:p>
    <w:p w14:paraId="480002EE" w14:textId="77777777" w:rsidR="00AC0E66" w:rsidRPr="00AC0E66" w:rsidRDefault="00AC0E66" w:rsidP="00AC0E66">
      <w:pPr>
        <w:spacing w:line="276" w:lineRule="auto"/>
        <w:jc w:val="left"/>
        <w:rPr>
          <w:rFonts w:eastAsia="Times New Roman" w:cs="Tahoma"/>
          <w:szCs w:val="24"/>
          <w:lang w:eastAsia="es-ES"/>
        </w:rPr>
      </w:pPr>
    </w:p>
    <w:p w14:paraId="437D52E8" w14:textId="77777777" w:rsidR="00AC0E66" w:rsidRPr="00AC0E66" w:rsidRDefault="00AC0E66" w:rsidP="00AC0E66">
      <w:pPr>
        <w:keepNext/>
        <w:spacing w:line="276" w:lineRule="auto"/>
        <w:jc w:val="center"/>
        <w:outlineLvl w:val="2"/>
        <w:rPr>
          <w:rFonts w:eastAsia="Times New Roman" w:cs="Tahoma"/>
          <w:b/>
          <w:bCs/>
          <w:szCs w:val="24"/>
          <w:lang w:eastAsia="es-ES"/>
        </w:rPr>
      </w:pPr>
      <w:r w:rsidRPr="00AC0E66">
        <w:rPr>
          <w:rFonts w:eastAsia="Times New Roman" w:cs="Tahoma"/>
          <w:b/>
          <w:bCs/>
          <w:szCs w:val="24"/>
          <w:lang w:eastAsia="es-ES"/>
        </w:rPr>
        <w:t>ANA LUCÍA CAICEDO CALDERÓN</w:t>
      </w:r>
    </w:p>
    <w:p w14:paraId="39E25E15" w14:textId="77777777" w:rsidR="00AC0E66" w:rsidRPr="00AC0E66" w:rsidRDefault="00AC0E66" w:rsidP="00AC0E66">
      <w:pPr>
        <w:spacing w:line="276" w:lineRule="auto"/>
        <w:jc w:val="left"/>
        <w:rPr>
          <w:rFonts w:eastAsia="Times New Roman" w:cs="Tahoma"/>
          <w:szCs w:val="24"/>
          <w:lang w:eastAsia="es-ES"/>
        </w:rPr>
      </w:pPr>
    </w:p>
    <w:p w14:paraId="3C401044" w14:textId="77777777" w:rsidR="00AC0E66" w:rsidRPr="00AC0E66" w:rsidRDefault="00AC0E66" w:rsidP="00AC0E66">
      <w:pPr>
        <w:spacing w:line="276" w:lineRule="auto"/>
        <w:ind w:firstLine="708"/>
        <w:jc w:val="left"/>
        <w:rPr>
          <w:rFonts w:eastAsia="Times New Roman" w:cs="Tahoma"/>
          <w:szCs w:val="24"/>
          <w:lang w:eastAsia="es-ES"/>
        </w:rPr>
      </w:pPr>
      <w:bookmarkStart w:id="7" w:name="_Hlk62478330"/>
      <w:r w:rsidRPr="00AC0E66">
        <w:rPr>
          <w:rFonts w:eastAsia="Times New Roman" w:cs="Tahoma"/>
          <w:szCs w:val="24"/>
          <w:lang w:eastAsia="es-ES"/>
        </w:rPr>
        <w:t>La Magistrada y el Magistrado,</w:t>
      </w:r>
    </w:p>
    <w:p w14:paraId="00BCC2DE" w14:textId="77777777" w:rsidR="00AC0E66" w:rsidRPr="00AC0E66" w:rsidRDefault="00AC0E66" w:rsidP="00AC0E66">
      <w:pPr>
        <w:spacing w:line="276" w:lineRule="auto"/>
        <w:jc w:val="left"/>
        <w:rPr>
          <w:rFonts w:eastAsia="Times New Roman" w:cs="Tahoma"/>
          <w:szCs w:val="24"/>
          <w:lang w:eastAsia="es-ES"/>
        </w:rPr>
      </w:pPr>
    </w:p>
    <w:p w14:paraId="648C8108" w14:textId="77777777" w:rsidR="00AC0E66" w:rsidRPr="00AC0E66" w:rsidRDefault="00AC0E66" w:rsidP="00AC0E66">
      <w:pPr>
        <w:spacing w:line="276" w:lineRule="auto"/>
        <w:jc w:val="left"/>
        <w:rPr>
          <w:rFonts w:eastAsia="Times New Roman" w:cs="Tahoma"/>
          <w:szCs w:val="24"/>
          <w:lang w:eastAsia="es-ES"/>
        </w:rPr>
      </w:pPr>
    </w:p>
    <w:p w14:paraId="7D3F0D8F" w14:textId="77777777" w:rsidR="00AC0E66" w:rsidRPr="00AC0E66" w:rsidRDefault="00AC0E66" w:rsidP="00AC0E66">
      <w:pPr>
        <w:spacing w:line="276" w:lineRule="auto"/>
        <w:jc w:val="left"/>
        <w:rPr>
          <w:rFonts w:eastAsia="Times New Roman" w:cs="Tahoma"/>
          <w:szCs w:val="24"/>
          <w:lang w:eastAsia="es-ES"/>
        </w:rPr>
      </w:pPr>
    </w:p>
    <w:p w14:paraId="5CF91ED7" w14:textId="287E9ADE" w:rsidR="00B33A2C" w:rsidRPr="00AC0E66" w:rsidRDefault="00AC0E66" w:rsidP="00AC0E66">
      <w:pPr>
        <w:spacing w:line="276" w:lineRule="auto"/>
        <w:rPr>
          <w:rFonts w:eastAsia="Calibri" w:cs="Tahoma"/>
          <w:szCs w:val="24"/>
        </w:rPr>
      </w:pPr>
      <w:r w:rsidRPr="00AC0E66">
        <w:rPr>
          <w:rFonts w:eastAsia="Times New Roman" w:cs="Tahoma"/>
          <w:b/>
          <w:bCs/>
          <w:szCs w:val="24"/>
          <w:lang w:eastAsia="es-ES"/>
        </w:rPr>
        <w:t>OLGA LUCÍA HOYOS SEPÚLVEDA</w:t>
      </w:r>
      <w:r w:rsidRPr="00AC0E66">
        <w:rPr>
          <w:rFonts w:eastAsia="Times New Roman" w:cs="Tahoma"/>
          <w:b/>
          <w:bCs/>
          <w:szCs w:val="24"/>
          <w:lang w:eastAsia="es-ES"/>
        </w:rPr>
        <w:tab/>
      </w:r>
      <w:r w:rsidRPr="00AC0E66">
        <w:rPr>
          <w:rFonts w:eastAsia="Times New Roman" w:cs="Tahoma"/>
          <w:b/>
          <w:bCs/>
          <w:szCs w:val="24"/>
          <w:lang w:eastAsia="es-ES"/>
        </w:rPr>
        <w:tab/>
        <w:t>GERMÁN DARÍO GÓEZ VINASCO</w:t>
      </w:r>
      <w:bookmarkEnd w:id="6"/>
      <w:bookmarkEnd w:id="7"/>
    </w:p>
    <w:sectPr w:rsidR="00B33A2C" w:rsidRPr="00AC0E66" w:rsidSect="00FA2C26">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83B198" w16cex:dateUtc="2023-05-18T13:35:05.188Z"/>
  <w16cex:commentExtensible w16cex:durableId="5DA5EB1C" w16cex:dateUtc="2023-05-18T13:44:05.057Z"/>
  <w16cex:commentExtensible w16cex:durableId="56DD19BE" w16cex:dateUtc="2023-05-24T12:06:53.883Z"/>
  <w16cex:commentExtensible w16cex:durableId="2C29D581" w16cex:dateUtc="2023-05-25T20:54:18.7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AF03" w14:textId="77777777" w:rsidR="00A13D55" w:rsidRDefault="00A13D55" w:rsidP="00790DA9">
      <w:pPr>
        <w:spacing w:line="240" w:lineRule="auto"/>
      </w:pPr>
      <w:r>
        <w:separator/>
      </w:r>
    </w:p>
  </w:endnote>
  <w:endnote w:type="continuationSeparator" w:id="0">
    <w:p w14:paraId="51FE643D" w14:textId="77777777" w:rsidR="00A13D55" w:rsidRDefault="00A13D55"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imes New Roman" w:hAnsi="Arial" w:cs="Arial"/>
        <w:sz w:val="18"/>
        <w:szCs w:val="14"/>
        <w:lang w:eastAsia="es-ES"/>
      </w:rPr>
      <w:id w:val="-545680810"/>
      <w:docPartObj>
        <w:docPartGallery w:val="Page Numbers (Bottom of Page)"/>
        <w:docPartUnique/>
      </w:docPartObj>
    </w:sdtPr>
    <w:sdtEndPr/>
    <w:sdtContent>
      <w:p w14:paraId="14419340" w14:textId="77777777" w:rsidR="00FE4305" w:rsidRPr="008063DF" w:rsidRDefault="00FE4305" w:rsidP="00C54022">
        <w:pPr>
          <w:tabs>
            <w:tab w:val="left" w:pos="993"/>
          </w:tabs>
          <w:spacing w:line="240" w:lineRule="auto"/>
          <w:ind w:left="1134" w:hanging="1134"/>
          <w:jc w:val="right"/>
          <w:rPr>
            <w:rFonts w:ascii="Arial" w:eastAsia="Times New Roman" w:hAnsi="Arial" w:cs="Arial"/>
            <w:sz w:val="18"/>
            <w:szCs w:val="14"/>
            <w:lang w:eastAsia="es-ES"/>
          </w:rPr>
        </w:pPr>
        <w:r w:rsidRPr="008063DF">
          <w:rPr>
            <w:rFonts w:ascii="Arial" w:eastAsia="Times New Roman" w:hAnsi="Arial" w:cs="Arial"/>
            <w:sz w:val="18"/>
            <w:szCs w:val="14"/>
            <w:lang w:eastAsia="es-ES"/>
          </w:rPr>
          <w:fldChar w:fldCharType="begin"/>
        </w:r>
        <w:r w:rsidRPr="008063DF">
          <w:rPr>
            <w:rFonts w:ascii="Arial" w:eastAsia="Times New Roman" w:hAnsi="Arial" w:cs="Arial"/>
            <w:sz w:val="18"/>
            <w:szCs w:val="14"/>
            <w:lang w:eastAsia="es-ES"/>
          </w:rPr>
          <w:instrText>PAGE   \* MERGEFORMAT</w:instrText>
        </w:r>
        <w:r w:rsidRPr="008063DF">
          <w:rPr>
            <w:rFonts w:ascii="Arial" w:eastAsia="Times New Roman" w:hAnsi="Arial" w:cs="Arial"/>
            <w:sz w:val="18"/>
            <w:szCs w:val="14"/>
            <w:lang w:eastAsia="es-ES"/>
          </w:rPr>
          <w:fldChar w:fldCharType="separate"/>
        </w:r>
        <w:r>
          <w:rPr>
            <w:rFonts w:ascii="Arial" w:eastAsia="Times New Roman" w:hAnsi="Arial" w:cs="Arial"/>
            <w:sz w:val="18"/>
            <w:szCs w:val="14"/>
            <w:lang w:eastAsia="es-ES"/>
          </w:rPr>
          <w:t>17</w:t>
        </w:r>
        <w:r w:rsidRPr="008063DF">
          <w:rPr>
            <w:rFonts w:ascii="Arial" w:eastAsia="Times New Roman" w:hAnsi="Arial" w:cs="Arial"/>
            <w:sz w:val="18"/>
            <w:szCs w:val="14"/>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8885F" w14:textId="77777777" w:rsidR="00A13D55" w:rsidRDefault="00A13D55" w:rsidP="00790DA9">
      <w:pPr>
        <w:spacing w:line="240" w:lineRule="auto"/>
      </w:pPr>
      <w:r>
        <w:separator/>
      </w:r>
    </w:p>
  </w:footnote>
  <w:footnote w:type="continuationSeparator" w:id="0">
    <w:p w14:paraId="42744A2B" w14:textId="77777777" w:rsidR="00A13D55" w:rsidRDefault="00A13D55" w:rsidP="00790DA9">
      <w:pPr>
        <w:spacing w:line="240" w:lineRule="auto"/>
      </w:pPr>
      <w:r>
        <w:continuationSeparator/>
      </w:r>
    </w:p>
  </w:footnote>
  <w:footnote w:id="1">
    <w:p w14:paraId="471B7178" w14:textId="4105F8F3" w:rsidR="00645F10" w:rsidRPr="00C54022" w:rsidRDefault="00645F10" w:rsidP="00C54022">
      <w:pPr>
        <w:pStyle w:val="Textonotapie"/>
        <w:ind w:firstLine="0"/>
        <w:rPr>
          <w:rFonts w:ascii="Arial" w:hAnsi="Arial" w:cs="Arial"/>
          <w:sz w:val="18"/>
        </w:rPr>
      </w:pPr>
      <w:r w:rsidRPr="00C54022">
        <w:rPr>
          <w:rStyle w:val="Refdenotaalpie"/>
          <w:rFonts w:ascii="Arial" w:hAnsi="Arial" w:cs="Arial"/>
          <w:sz w:val="18"/>
        </w:rPr>
        <w:footnoteRef/>
      </w:r>
      <w:r w:rsidRPr="00C54022">
        <w:rPr>
          <w:rFonts w:ascii="Arial" w:hAnsi="Arial" w:cs="Arial"/>
          <w:sz w:val="18"/>
        </w:rPr>
        <w:t xml:space="preserve"> Pág. 01, archivo 04, cuaderno de primera instancia. </w:t>
      </w:r>
    </w:p>
  </w:footnote>
  <w:footnote w:id="2">
    <w:p w14:paraId="0EC107EE" w14:textId="48DE2675" w:rsidR="00891112" w:rsidRPr="00C54022" w:rsidRDefault="00891112" w:rsidP="00C54022">
      <w:pPr>
        <w:pStyle w:val="Textonotapie"/>
        <w:ind w:firstLine="0"/>
        <w:rPr>
          <w:rFonts w:ascii="Arial" w:hAnsi="Arial" w:cs="Arial"/>
          <w:sz w:val="18"/>
        </w:rPr>
      </w:pPr>
      <w:r w:rsidRPr="00C54022">
        <w:rPr>
          <w:rStyle w:val="Refdenotaalpie"/>
          <w:rFonts w:ascii="Arial" w:hAnsi="Arial" w:cs="Arial"/>
          <w:sz w:val="18"/>
        </w:rPr>
        <w:footnoteRef/>
      </w:r>
      <w:r w:rsidRPr="00C54022">
        <w:rPr>
          <w:rFonts w:ascii="Arial" w:hAnsi="Arial" w:cs="Arial"/>
          <w:sz w:val="18"/>
        </w:rPr>
        <w:t xml:space="preserve"> Archivo 2013_2757291_GEN-ANX-CI., carpeta No. 22, primera instancia</w:t>
      </w:r>
    </w:p>
  </w:footnote>
  <w:footnote w:id="3">
    <w:p w14:paraId="1C3A7606" w14:textId="022AC0C9" w:rsidR="008B7934" w:rsidRPr="00C54022" w:rsidRDefault="008B7934" w:rsidP="00C54022">
      <w:pPr>
        <w:pStyle w:val="Textonotapie"/>
        <w:ind w:firstLine="0"/>
        <w:rPr>
          <w:rFonts w:ascii="Arial" w:hAnsi="Arial" w:cs="Arial"/>
          <w:sz w:val="18"/>
        </w:rPr>
      </w:pPr>
      <w:r w:rsidRPr="00C54022">
        <w:rPr>
          <w:rStyle w:val="Refdenotaalpie"/>
          <w:rFonts w:ascii="Arial" w:hAnsi="Arial" w:cs="Arial"/>
          <w:sz w:val="18"/>
        </w:rPr>
        <w:footnoteRef/>
      </w:r>
      <w:r w:rsidRPr="00C54022">
        <w:rPr>
          <w:rFonts w:ascii="Arial" w:hAnsi="Arial" w:cs="Arial"/>
          <w:sz w:val="18"/>
        </w:rPr>
        <w:t xml:space="preserve"> Archivo GRF-AAT-RP-2012_138686-1365587145464, carpeta No. 22, primera instancia</w:t>
      </w:r>
    </w:p>
  </w:footnote>
  <w:footnote w:id="4">
    <w:p w14:paraId="24482FE8" w14:textId="0F8B3E72" w:rsidR="008B7934" w:rsidRPr="00C54022" w:rsidRDefault="008B7934" w:rsidP="00C54022">
      <w:pPr>
        <w:pStyle w:val="Textonotapie"/>
        <w:ind w:firstLine="0"/>
        <w:rPr>
          <w:rFonts w:ascii="Arial" w:hAnsi="Arial" w:cs="Arial"/>
          <w:sz w:val="18"/>
        </w:rPr>
      </w:pPr>
      <w:r w:rsidRPr="00C54022">
        <w:rPr>
          <w:rStyle w:val="Refdenotaalpie"/>
          <w:rFonts w:ascii="Arial" w:hAnsi="Arial" w:cs="Arial"/>
          <w:sz w:val="18"/>
        </w:rPr>
        <w:footnoteRef/>
      </w:r>
      <w:r w:rsidRPr="00C54022">
        <w:rPr>
          <w:rFonts w:ascii="Arial" w:hAnsi="Arial" w:cs="Arial"/>
          <w:sz w:val="18"/>
        </w:rPr>
        <w:t xml:space="preserve"> Archivo GRF-AAT-RP-2013_2757291-1383140433214, carpeta No. 22, primera instancia</w:t>
      </w:r>
    </w:p>
  </w:footnote>
  <w:footnote w:id="5">
    <w:p w14:paraId="7814E27D" w14:textId="76C39833" w:rsidR="008B7934" w:rsidRPr="00C54022" w:rsidRDefault="008B7934" w:rsidP="00C54022">
      <w:pPr>
        <w:pStyle w:val="Textonotapie"/>
        <w:ind w:firstLine="0"/>
        <w:rPr>
          <w:rFonts w:ascii="Arial" w:hAnsi="Arial" w:cs="Arial"/>
          <w:sz w:val="18"/>
        </w:rPr>
      </w:pPr>
      <w:r w:rsidRPr="00C54022">
        <w:rPr>
          <w:rStyle w:val="Refdenotaalpie"/>
          <w:rFonts w:ascii="Arial" w:hAnsi="Arial" w:cs="Arial"/>
          <w:sz w:val="18"/>
        </w:rPr>
        <w:footnoteRef/>
      </w:r>
      <w:r w:rsidRPr="00C54022">
        <w:rPr>
          <w:rFonts w:ascii="Arial" w:hAnsi="Arial" w:cs="Arial"/>
          <w:sz w:val="18"/>
        </w:rPr>
        <w:t xml:space="preserve"> Archivo GRF-AAT-RP-2013_8308219-20140221055757, carpeta No. 22, primera instancia</w:t>
      </w:r>
    </w:p>
  </w:footnote>
  <w:footnote w:id="6">
    <w:p w14:paraId="266E6977" w14:textId="1B7E9966" w:rsidR="00195404" w:rsidRPr="00C54022" w:rsidRDefault="00195404" w:rsidP="00C54022">
      <w:pPr>
        <w:pStyle w:val="Textonotapie"/>
        <w:ind w:firstLine="0"/>
        <w:rPr>
          <w:rFonts w:ascii="Arial" w:hAnsi="Arial" w:cs="Arial"/>
          <w:sz w:val="18"/>
        </w:rPr>
      </w:pPr>
      <w:r w:rsidRPr="00C54022">
        <w:rPr>
          <w:rStyle w:val="Refdenotaalpie"/>
          <w:rFonts w:ascii="Arial" w:hAnsi="Arial" w:cs="Arial"/>
          <w:sz w:val="18"/>
        </w:rPr>
        <w:footnoteRef/>
      </w:r>
      <w:r w:rsidRPr="00C54022">
        <w:rPr>
          <w:rFonts w:ascii="Arial" w:hAnsi="Arial" w:cs="Arial"/>
          <w:sz w:val="18"/>
        </w:rPr>
        <w:t xml:space="preserve"> Archivo GRF-AAT-RP-2014_9010114-20150306022431, carpeta No. 22, primera instancia</w:t>
      </w:r>
    </w:p>
  </w:footnote>
  <w:footnote w:id="7">
    <w:p w14:paraId="17263927" w14:textId="41450C68" w:rsidR="00EB5DF0" w:rsidRPr="00C54022" w:rsidRDefault="00EB5DF0" w:rsidP="00C54022">
      <w:pPr>
        <w:pStyle w:val="Textonotapie"/>
        <w:ind w:firstLine="0"/>
        <w:rPr>
          <w:rFonts w:ascii="Arial" w:hAnsi="Arial" w:cs="Arial"/>
          <w:sz w:val="18"/>
        </w:rPr>
      </w:pPr>
      <w:r w:rsidRPr="00C54022">
        <w:rPr>
          <w:rStyle w:val="Refdenotaalpie"/>
          <w:rFonts w:ascii="Arial" w:hAnsi="Arial" w:cs="Arial"/>
          <w:sz w:val="18"/>
        </w:rPr>
        <w:footnoteRef/>
      </w:r>
      <w:r w:rsidRPr="00C54022">
        <w:rPr>
          <w:rFonts w:ascii="Arial" w:hAnsi="Arial" w:cs="Arial"/>
          <w:sz w:val="18"/>
        </w:rPr>
        <w:t xml:space="preserve"> Archivo GRF-AAT-RP-2016_9827116-20161124095020, carpeta No. 22, primera instancia</w:t>
      </w:r>
    </w:p>
  </w:footnote>
  <w:footnote w:id="8">
    <w:p w14:paraId="50A3A68A" w14:textId="5D08CAAD" w:rsidR="003C5F55" w:rsidRDefault="003C5F55" w:rsidP="00C54022">
      <w:pPr>
        <w:pStyle w:val="Textonotapie"/>
        <w:ind w:firstLine="0"/>
      </w:pPr>
      <w:r w:rsidRPr="00C54022">
        <w:rPr>
          <w:rStyle w:val="Refdenotaalpie"/>
          <w:rFonts w:ascii="Arial" w:hAnsi="Arial" w:cs="Arial"/>
          <w:sz w:val="18"/>
        </w:rPr>
        <w:footnoteRef/>
      </w:r>
      <w:r w:rsidRPr="00C54022">
        <w:rPr>
          <w:rFonts w:ascii="Arial" w:hAnsi="Arial" w:cs="Arial"/>
          <w:sz w:val="18"/>
        </w:rPr>
        <w:t xml:space="preserve"> Archivo 2013_374315_GAF-FCH-F1, carpeta No. 22,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1CDB" w14:textId="13C5B933" w:rsidR="00FE4305" w:rsidRPr="00C54022" w:rsidRDefault="00FE4305" w:rsidP="00C54022">
    <w:pPr>
      <w:tabs>
        <w:tab w:val="left" w:pos="993"/>
      </w:tabs>
      <w:spacing w:line="240" w:lineRule="auto"/>
      <w:ind w:left="1134" w:hanging="1134"/>
      <w:rPr>
        <w:rFonts w:ascii="Arial" w:eastAsia="Times New Roman" w:hAnsi="Arial" w:cs="Arial"/>
        <w:sz w:val="18"/>
        <w:szCs w:val="14"/>
        <w:lang w:eastAsia="es-ES"/>
      </w:rPr>
    </w:pPr>
    <w:r w:rsidRPr="00C54022">
      <w:rPr>
        <w:rFonts w:ascii="Arial" w:eastAsia="Times New Roman" w:hAnsi="Arial" w:cs="Arial"/>
        <w:sz w:val="18"/>
        <w:szCs w:val="14"/>
        <w:lang w:eastAsia="es-ES"/>
      </w:rPr>
      <w:t>Radicación No.: 66001-31-05-00</w:t>
    </w:r>
    <w:r w:rsidR="00D20AE6" w:rsidRPr="00C54022">
      <w:rPr>
        <w:rFonts w:ascii="Arial" w:eastAsia="Times New Roman" w:hAnsi="Arial" w:cs="Arial"/>
        <w:sz w:val="18"/>
        <w:szCs w:val="14"/>
        <w:lang w:eastAsia="es-ES"/>
      </w:rPr>
      <w:t>2</w:t>
    </w:r>
    <w:r w:rsidRPr="00C54022">
      <w:rPr>
        <w:rFonts w:ascii="Arial" w:eastAsia="Times New Roman" w:hAnsi="Arial" w:cs="Arial"/>
        <w:sz w:val="18"/>
        <w:szCs w:val="14"/>
        <w:lang w:eastAsia="es-ES"/>
      </w:rPr>
      <w:t>-20</w:t>
    </w:r>
    <w:r w:rsidR="00D20AE6" w:rsidRPr="00C54022">
      <w:rPr>
        <w:rFonts w:ascii="Arial" w:eastAsia="Times New Roman" w:hAnsi="Arial" w:cs="Arial"/>
        <w:sz w:val="18"/>
        <w:szCs w:val="14"/>
        <w:lang w:eastAsia="es-ES"/>
      </w:rPr>
      <w:t>20</w:t>
    </w:r>
    <w:r w:rsidRPr="00C54022">
      <w:rPr>
        <w:rFonts w:ascii="Arial" w:eastAsia="Times New Roman" w:hAnsi="Arial" w:cs="Arial"/>
        <w:sz w:val="18"/>
        <w:szCs w:val="14"/>
        <w:lang w:eastAsia="es-ES"/>
      </w:rPr>
      <w:t>-00</w:t>
    </w:r>
    <w:r w:rsidR="00316A66" w:rsidRPr="00C54022">
      <w:rPr>
        <w:rFonts w:ascii="Arial" w:eastAsia="Times New Roman" w:hAnsi="Arial" w:cs="Arial"/>
        <w:sz w:val="18"/>
        <w:szCs w:val="14"/>
        <w:lang w:eastAsia="es-ES"/>
      </w:rPr>
      <w:t>0</w:t>
    </w:r>
    <w:r w:rsidR="00D20AE6" w:rsidRPr="00C54022">
      <w:rPr>
        <w:rFonts w:ascii="Arial" w:eastAsia="Times New Roman" w:hAnsi="Arial" w:cs="Arial"/>
        <w:sz w:val="18"/>
        <w:szCs w:val="14"/>
        <w:lang w:eastAsia="es-ES"/>
      </w:rPr>
      <w:t>16</w:t>
    </w:r>
    <w:r w:rsidRPr="00C54022">
      <w:rPr>
        <w:rFonts w:ascii="Arial" w:eastAsia="Times New Roman" w:hAnsi="Arial" w:cs="Arial"/>
        <w:sz w:val="18"/>
        <w:szCs w:val="14"/>
        <w:lang w:eastAsia="es-ES"/>
      </w:rPr>
      <w:t>-01</w:t>
    </w:r>
  </w:p>
  <w:p w14:paraId="095ED440" w14:textId="052F93CF" w:rsidR="00FE4305" w:rsidRPr="00C54022" w:rsidRDefault="00FE4305" w:rsidP="00C54022">
    <w:pPr>
      <w:tabs>
        <w:tab w:val="left" w:pos="993"/>
      </w:tabs>
      <w:spacing w:line="240" w:lineRule="auto"/>
      <w:ind w:left="1134" w:hanging="1134"/>
      <w:rPr>
        <w:rFonts w:ascii="Arial" w:eastAsia="Times New Roman" w:hAnsi="Arial" w:cs="Arial"/>
        <w:sz w:val="18"/>
        <w:szCs w:val="14"/>
        <w:lang w:eastAsia="es-ES"/>
      </w:rPr>
    </w:pPr>
    <w:r w:rsidRPr="00C54022">
      <w:rPr>
        <w:rFonts w:ascii="Arial" w:eastAsia="Times New Roman" w:hAnsi="Arial" w:cs="Arial"/>
        <w:sz w:val="18"/>
        <w:szCs w:val="14"/>
        <w:lang w:eastAsia="es-ES"/>
      </w:rPr>
      <w:t xml:space="preserve">Demandante: </w:t>
    </w:r>
    <w:r w:rsidR="00D20AE6" w:rsidRPr="00C54022">
      <w:rPr>
        <w:rFonts w:ascii="Arial" w:eastAsia="Times New Roman" w:hAnsi="Arial" w:cs="Arial"/>
        <w:sz w:val="18"/>
        <w:szCs w:val="14"/>
        <w:lang w:eastAsia="es-ES"/>
      </w:rPr>
      <w:t>Bernardo Santibáñez Díaz</w:t>
    </w:r>
  </w:p>
  <w:p w14:paraId="45EA3F9F" w14:textId="6006932A" w:rsidR="00FE4305" w:rsidRPr="00C54022" w:rsidRDefault="00FE4305" w:rsidP="00C54022">
    <w:pPr>
      <w:tabs>
        <w:tab w:val="left" w:pos="993"/>
      </w:tabs>
      <w:spacing w:line="240" w:lineRule="auto"/>
      <w:ind w:left="1134" w:hanging="1134"/>
      <w:rPr>
        <w:rFonts w:ascii="Arial" w:eastAsia="Times New Roman" w:hAnsi="Arial" w:cs="Arial"/>
        <w:sz w:val="18"/>
        <w:szCs w:val="14"/>
        <w:lang w:eastAsia="es-ES"/>
      </w:rPr>
    </w:pPr>
    <w:r w:rsidRPr="00C54022">
      <w:rPr>
        <w:rFonts w:ascii="Arial" w:eastAsia="Times New Roman" w:hAnsi="Arial" w:cs="Arial"/>
        <w:sz w:val="18"/>
        <w:szCs w:val="14"/>
        <w:lang w:eastAsia="es-ES"/>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B002C1"/>
    <w:multiLevelType w:val="hybridMultilevel"/>
    <w:tmpl w:val="988471A0"/>
    <w:lvl w:ilvl="0" w:tplc="6D6AE680">
      <w:start w:val="1"/>
      <w:numFmt w:val="decimal"/>
      <w:lvlText w:val="%1)"/>
      <w:lvlJc w:val="left"/>
      <w:pPr>
        <w:ind w:left="1068" w:hanging="360"/>
      </w:pPr>
      <w:rPr>
        <w:rFonts w:ascii="Tahoma" w:eastAsiaTheme="minorHAnsi" w:hAnsi="Tahoma" w:cs="Tahoma" w:hint="default"/>
        <w:i w:val="0"/>
        <w:sz w:val="22"/>
        <w:szCs w:val="20"/>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3"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B65598D"/>
    <w:multiLevelType w:val="hybridMultilevel"/>
    <w:tmpl w:val="886E5BB0"/>
    <w:lvl w:ilvl="0" w:tplc="0C0A000F">
      <w:start w:val="1"/>
      <w:numFmt w:val="decimal"/>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6"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C7546F0"/>
    <w:multiLevelType w:val="hybridMultilevel"/>
    <w:tmpl w:val="BBFA1FA6"/>
    <w:lvl w:ilvl="0" w:tplc="CD52657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9" w15:restartNumberingAfterBreak="0">
    <w:nsid w:val="3310293E"/>
    <w:multiLevelType w:val="multilevel"/>
    <w:tmpl w:val="725EE0F8"/>
    <w:lvl w:ilvl="0">
      <w:start w:val="7"/>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110" w:hanging="720"/>
      </w:pPr>
      <w:rPr>
        <w:rFonts w:ascii="Tahoma" w:hAnsi="Tahoma" w:cs="Tahoma" w:hint="default"/>
        <w:b/>
      </w:rPr>
    </w:lvl>
    <w:lvl w:ilvl="2">
      <w:start w:val="1"/>
      <w:numFmt w:val="decimal"/>
      <w:lvlText w:val="%1.%2.%3."/>
      <w:lvlJc w:val="left"/>
      <w:pPr>
        <w:ind w:left="1860" w:hanging="1080"/>
      </w:pPr>
      <w:rPr>
        <w:rFonts w:ascii="Times New Roman" w:hAnsi="Times New Roman" w:cs="Times New Roman" w:hint="default"/>
        <w:b w:val="0"/>
      </w:rPr>
    </w:lvl>
    <w:lvl w:ilvl="3">
      <w:start w:val="1"/>
      <w:numFmt w:val="decimal"/>
      <w:lvlText w:val="%1.%2.%3.%4."/>
      <w:lvlJc w:val="left"/>
      <w:pPr>
        <w:ind w:left="2610" w:hanging="1440"/>
      </w:pPr>
      <w:rPr>
        <w:rFonts w:ascii="Times New Roman" w:hAnsi="Times New Roman" w:cs="Times New Roman" w:hint="default"/>
        <w:b w:val="0"/>
      </w:rPr>
    </w:lvl>
    <w:lvl w:ilvl="4">
      <w:start w:val="1"/>
      <w:numFmt w:val="decimal"/>
      <w:lvlText w:val="%1.%2.%3.%4.%5."/>
      <w:lvlJc w:val="left"/>
      <w:pPr>
        <w:ind w:left="3000" w:hanging="1440"/>
      </w:pPr>
      <w:rPr>
        <w:rFonts w:ascii="Times New Roman" w:hAnsi="Times New Roman" w:cs="Times New Roman" w:hint="default"/>
        <w:b w:val="0"/>
      </w:rPr>
    </w:lvl>
    <w:lvl w:ilvl="5">
      <w:start w:val="1"/>
      <w:numFmt w:val="decimal"/>
      <w:lvlText w:val="%1.%2.%3.%4.%5.%6."/>
      <w:lvlJc w:val="left"/>
      <w:pPr>
        <w:ind w:left="3750" w:hanging="1800"/>
      </w:pPr>
      <w:rPr>
        <w:rFonts w:ascii="Times New Roman" w:hAnsi="Times New Roman" w:cs="Times New Roman" w:hint="default"/>
        <w:b w:val="0"/>
      </w:rPr>
    </w:lvl>
    <w:lvl w:ilvl="6">
      <w:start w:val="1"/>
      <w:numFmt w:val="decimal"/>
      <w:lvlText w:val="%1.%2.%3.%4.%5.%6.%7."/>
      <w:lvlJc w:val="left"/>
      <w:pPr>
        <w:ind w:left="4500" w:hanging="2160"/>
      </w:pPr>
      <w:rPr>
        <w:rFonts w:ascii="Times New Roman" w:hAnsi="Times New Roman" w:cs="Times New Roman" w:hint="default"/>
        <w:b w:val="0"/>
      </w:rPr>
    </w:lvl>
    <w:lvl w:ilvl="7">
      <w:start w:val="1"/>
      <w:numFmt w:val="decimal"/>
      <w:lvlText w:val="%1.%2.%3.%4.%5.%6.%7.%8."/>
      <w:lvlJc w:val="left"/>
      <w:pPr>
        <w:ind w:left="5250" w:hanging="2520"/>
      </w:pPr>
      <w:rPr>
        <w:rFonts w:ascii="Times New Roman" w:hAnsi="Times New Roman" w:cs="Times New Roman" w:hint="default"/>
        <w:b w:val="0"/>
      </w:rPr>
    </w:lvl>
    <w:lvl w:ilvl="8">
      <w:start w:val="1"/>
      <w:numFmt w:val="decimal"/>
      <w:lvlText w:val="%1.%2.%3.%4.%5.%6.%7.%8.%9."/>
      <w:lvlJc w:val="left"/>
      <w:pPr>
        <w:ind w:left="5640" w:hanging="2520"/>
      </w:pPr>
      <w:rPr>
        <w:rFonts w:ascii="Times New Roman" w:hAnsi="Times New Roman" w:cs="Times New Roman" w:hint="default"/>
        <w:b w:val="0"/>
      </w:rPr>
    </w:lvl>
  </w:abstractNum>
  <w:abstractNum w:abstractNumId="10" w15:restartNumberingAfterBreak="0">
    <w:nsid w:val="339E00A7"/>
    <w:multiLevelType w:val="multilevel"/>
    <w:tmpl w:val="F198E3FA"/>
    <w:lvl w:ilvl="0">
      <w:start w:val="1"/>
      <w:numFmt w:val="decimal"/>
      <w:lvlText w:val="%1."/>
      <w:lvlJc w:val="left"/>
      <w:pPr>
        <w:ind w:left="720" w:hanging="360"/>
      </w:pPr>
      <w:rPr>
        <w:b/>
      </w:rPr>
    </w:lvl>
    <w:lvl w:ilvl="1">
      <w:start w:val="1"/>
      <w:numFmt w:val="decimal"/>
      <w:isLgl/>
      <w:lvlText w:val="%1.%2"/>
      <w:lvlJc w:val="left"/>
      <w:pPr>
        <w:ind w:left="1830" w:hanging="720"/>
      </w:pPr>
      <w:rPr>
        <w:rFonts w:hint="default"/>
      </w:rPr>
    </w:lvl>
    <w:lvl w:ilvl="2">
      <w:start w:val="1"/>
      <w:numFmt w:val="decimal"/>
      <w:isLgl/>
      <w:lvlText w:val="%1.%2.%3"/>
      <w:lvlJc w:val="left"/>
      <w:pPr>
        <w:ind w:left="2940" w:hanging="108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800" w:hanging="1440"/>
      </w:pPr>
      <w:rPr>
        <w:rFonts w:hint="default"/>
      </w:rPr>
    </w:lvl>
    <w:lvl w:ilvl="5">
      <w:start w:val="1"/>
      <w:numFmt w:val="decimal"/>
      <w:isLgl/>
      <w:lvlText w:val="%1.%2.%3.%4.%5.%6"/>
      <w:lvlJc w:val="left"/>
      <w:pPr>
        <w:ind w:left="5910" w:hanging="1800"/>
      </w:pPr>
      <w:rPr>
        <w:rFonts w:hint="default"/>
      </w:rPr>
    </w:lvl>
    <w:lvl w:ilvl="6">
      <w:start w:val="1"/>
      <w:numFmt w:val="decimal"/>
      <w:isLgl/>
      <w:lvlText w:val="%1.%2.%3.%4.%5.%6.%7"/>
      <w:lvlJc w:val="left"/>
      <w:pPr>
        <w:ind w:left="7020" w:hanging="2160"/>
      </w:pPr>
      <w:rPr>
        <w:rFonts w:hint="default"/>
      </w:rPr>
    </w:lvl>
    <w:lvl w:ilvl="7">
      <w:start w:val="1"/>
      <w:numFmt w:val="decimal"/>
      <w:isLgl/>
      <w:lvlText w:val="%1.%2.%3.%4.%5.%6.%7.%8"/>
      <w:lvlJc w:val="left"/>
      <w:pPr>
        <w:ind w:left="7770" w:hanging="2160"/>
      </w:pPr>
      <w:rPr>
        <w:rFonts w:hint="default"/>
      </w:rPr>
    </w:lvl>
    <w:lvl w:ilvl="8">
      <w:start w:val="1"/>
      <w:numFmt w:val="decimal"/>
      <w:isLgl/>
      <w:lvlText w:val="%1.%2.%3.%4.%5.%6.%7.%8.%9"/>
      <w:lvlJc w:val="left"/>
      <w:pPr>
        <w:ind w:left="8880" w:hanging="2520"/>
      </w:pPr>
      <w:rPr>
        <w:rFonts w:hint="default"/>
      </w:rPr>
    </w:lvl>
  </w:abstractNum>
  <w:abstractNum w:abstractNumId="1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91576A6"/>
    <w:multiLevelType w:val="multilevel"/>
    <w:tmpl w:val="6E369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4A5F7256"/>
    <w:multiLevelType w:val="hybridMultilevel"/>
    <w:tmpl w:val="E7F08C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5" w15:restartNumberingAfterBreak="0">
    <w:nsid w:val="4E8347ED"/>
    <w:multiLevelType w:val="multilevel"/>
    <w:tmpl w:val="40FC63D8"/>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6"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89509D"/>
    <w:multiLevelType w:val="hybridMultilevel"/>
    <w:tmpl w:val="2DAA21E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15:restartNumberingAfterBreak="0">
    <w:nsid w:val="67184E77"/>
    <w:multiLevelType w:val="multilevel"/>
    <w:tmpl w:val="C0EE1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E05DFB"/>
    <w:multiLevelType w:val="multilevel"/>
    <w:tmpl w:val="6C206B58"/>
    <w:lvl w:ilvl="0">
      <w:start w:val="6"/>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1"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2" w15:restartNumberingAfterBreak="0">
    <w:nsid w:val="6CC348CD"/>
    <w:multiLevelType w:val="hybridMultilevel"/>
    <w:tmpl w:val="AC66702A"/>
    <w:lvl w:ilvl="0" w:tplc="240A001B">
      <w:start w:val="1"/>
      <w:numFmt w:val="lowerRoman"/>
      <w:lvlText w:val="%1."/>
      <w:lvlJc w:val="righ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3" w15:restartNumberingAfterBreak="0">
    <w:nsid w:val="79F62AC9"/>
    <w:multiLevelType w:val="hybridMultilevel"/>
    <w:tmpl w:val="3C087AB0"/>
    <w:lvl w:ilvl="0" w:tplc="DE60B346">
      <w:numFmt w:val="bullet"/>
      <w:lvlText w:val="-"/>
      <w:lvlJc w:val="left"/>
      <w:pPr>
        <w:ind w:left="1069" w:hanging="360"/>
      </w:pPr>
      <w:rPr>
        <w:rFonts w:ascii="Tahoma" w:eastAsiaTheme="minorHAnsi"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14"/>
  </w:num>
  <w:num w:numId="2">
    <w:abstractNumId w:val="11"/>
  </w:num>
  <w:num w:numId="3">
    <w:abstractNumId w:val="21"/>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8"/>
  </w:num>
  <w:num w:numId="15">
    <w:abstractNumId w:val="13"/>
  </w:num>
  <w:num w:numId="16">
    <w:abstractNumId w:val="2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20"/>
  </w:num>
  <w:num w:numId="21">
    <w:abstractNumId w:val="10"/>
  </w:num>
  <w:num w:numId="22">
    <w:abstractNumId w:val="15"/>
  </w:num>
  <w:num w:numId="2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24DC"/>
    <w:rsid w:val="00004C60"/>
    <w:rsid w:val="000050D7"/>
    <w:rsid w:val="000072F6"/>
    <w:rsid w:val="00015CDE"/>
    <w:rsid w:val="00017704"/>
    <w:rsid w:val="00020245"/>
    <w:rsid w:val="00021389"/>
    <w:rsid w:val="00023C72"/>
    <w:rsid w:val="000244B5"/>
    <w:rsid w:val="000303BA"/>
    <w:rsid w:val="000314C9"/>
    <w:rsid w:val="00032108"/>
    <w:rsid w:val="000333C2"/>
    <w:rsid w:val="00042B25"/>
    <w:rsid w:val="000507CC"/>
    <w:rsid w:val="00053998"/>
    <w:rsid w:val="00055776"/>
    <w:rsid w:val="000558C6"/>
    <w:rsid w:val="0005603F"/>
    <w:rsid w:val="00057439"/>
    <w:rsid w:val="000658B8"/>
    <w:rsid w:val="00066767"/>
    <w:rsid w:val="00071FF7"/>
    <w:rsid w:val="000723F0"/>
    <w:rsid w:val="00072662"/>
    <w:rsid w:val="00073698"/>
    <w:rsid w:val="00081702"/>
    <w:rsid w:val="00081C10"/>
    <w:rsid w:val="00085698"/>
    <w:rsid w:val="000856A8"/>
    <w:rsid w:val="00094029"/>
    <w:rsid w:val="00096470"/>
    <w:rsid w:val="000A0933"/>
    <w:rsid w:val="000A4074"/>
    <w:rsid w:val="000B2BAA"/>
    <w:rsid w:val="000B4F2C"/>
    <w:rsid w:val="000B6053"/>
    <w:rsid w:val="000B6125"/>
    <w:rsid w:val="000B6595"/>
    <w:rsid w:val="000C02A4"/>
    <w:rsid w:val="000D0350"/>
    <w:rsid w:val="000D6436"/>
    <w:rsid w:val="000E04D3"/>
    <w:rsid w:val="000E25BE"/>
    <w:rsid w:val="000E2F1D"/>
    <w:rsid w:val="000E4606"/>
    <w:rsid w:val="000E4FE4"/>
    <w:rsid w:val="000F290F"/>
    <w:rsid w:val="000F2EBC"/>
    <w:rsid w:val="000F3D75"/>
    <w:rsid w:val="000F4517"/>
    <w:rsid w:val="000F49C1"/>
    <w:rsid w:val="000F5175"/>
    <w:rsid w:val="00103F06"/>
    <w:rsid w:val="0011145B"/>
    <w:rsid w:val="00112454"/>
    <w:rsid w:val="00115C02"/>
    <w:rsid w:val="0011604A"/>
    <w:rsid w:val="001162CF"/>
    <w:rsid w:val="001170DA"/>
    <w:rsid w:val="0012333D"/>
    <w:rsid w:val="001236D1"/>
    <w:rsid w:val="001363CA"/>
    <w:rsid w:val="00142457"/>
    <w:rsid w:val="00142473"/>
    <w:rsid w:val="001431C7"/>
    <w:rsid w:val="00147587"/>
    <w:rsid w:val="00150E9B"/>
    <w:rsid w:val="001533B3"/>
    <w:rsid w:val="0015651A"/>
    <w:rsid w:val="00160F32"/>
    <w:rsid w:val="00163EBF"/>
    <w:rsid w:val="00167BA0"/>
    <w:rsid w:val="0017200E"/>
    <w:rsid w:val="001737EC"/>
    <w:rsid w:val="001802F1"/>
    <w:rsid w:val="001810F3"/>
    <w:rsid w:val="0018335E"/>
    <w:rsid w:val="00184EFA"/>
    <w:rsid w:val="001878AE"/>
    <w:rsid w:val="00191285"/>
    <w:rsid w:val="00192FFD"/>
    <w:rsid w:val="0019376A"/>
    <w:rsid w:val="00195142"/>
    <w:rsid w:val="00195404"/>
    <w:rsid w:val="00195B0D"/>
    <w:rsid w:val="001A291C"/>
    <w:rsid w:val="001A31D0"/>
    <w:rsid w:val="001A5BD7"/>
    <w:rsid w:val="001B01DA"/>
    <w:rsid w:val="001C0216"/>
    <w:rsid w:val="001C6258"/>
    <w:rsid w:val="001D1461"/>
    <w:rsid w:val="001D225A"/>
    <w:rsid w:val="001D423C"/>
    <w:rsid w:val="001D44DA"/>
    <w:rsid w:val="001E6780"/>
    <w:rsid w:val="001E7064"/>
    <w:rsid w:val="001F4630"/>
    <w:rsid w:val="00200893"/>
    <w:rsid w:val="00222944"/>
    <w:rsid w:val="00222D58"/>
    <w:rsid w:val="0022344F"/>
    <w:rsid w:val="0022440C"/>
    <w:rsid w:val="0023455B"/>
    <w:rsid w:val="00235D61"/>
    <w:rsid w:val="00236ED3"/>
    <w:rsid w:val="0023761B"/>
    <w:rsid w:val="00244E21"/>
    <w:rsid w:val="00245F6A"/>
    <w:rsid w:val="00251C39"/>
    <w:rsid w:val="00256512"/>
    <w:rsid w:val="00263815"/>
    <w:rsid w:val="00266A30"/>
    <w:rsid w:val="00271428"/>
    <w:rsid w:val="00272FA1"/>
    <w:rsid w:val="00275D11"/>
    <w:rsid w:val="00277760"/>
    <w:rsid w:val="00290DEE"/>
    <w:rsid w:val="00291FAB"/>
    <w:rsid w:val="002A31FE"/>
    <w:rsid w:val="002A4C14"/>
    <w:rsid w:val="002A51F3"/>
    <w:rsid w:val="002A6AE9"/>
    <w:rsid w:val="002B6145"/>
    <w:rsid w:val="002C0103"/>
    <w:rsid w:val="002C29D1"/>
    <w:rsid w:val="002C32BD"/>
    <w:rsid w:val="002C7DFA"/>
    <w:rsid w:val="002D3547"/>
    <w:rsid w:val="002D6408"/>
    <w:rsid w:val="002D70C7"/>
    <w:rsid w:val="002E4546"/>
    <w:rsid w:val="002E4B67"/>
    <w:rsid w:val="002F244F"/>
    <w:rsid w:val="002F56DC"/>
    <w:rsid w:val="002F61B9"/>
    <w:rsid w:val="002F7D17"/>
    <w:rsid w:val="003016C0"/>
    <w:rsid w:val="003017A8"/>
    <w:rsid w:val="00301BC8"/>
    <w:rsid w:val="00302CBB"/>
    <w:rsid w:val="00315273"/>
    <w:rsid w:val="0031578C"/>
    <w:rsid w:val="00316A66"/>
    <w:rsid w:val="00322722"/>
    <w:rsid w:val="00322C38"/>
    <w:rsid w:val="003324F5"/>
    <w:rsid w:val="003331DF"/>
    <w:rsid w:val="00333A92"/>
    <w:rsid w:val="0034027E"/>
    <w:rsid w:val="00342284"/>
    <w:rsid w:val="00347016"/>
    <w:rsid w:val="0035017D"/>
    <w:rsid w:val="003537F0"/>
    <w:rsid w:val="00355AF9"/>
    <w:rsid w:val="00361F3A"/>
    <w:rsid w:val="00373CEE"/>
    <w:rsid w:val="003775EE"/>
    <w:rsid w:val="00377946"/>
    <w:rsid w:val="00386234"/>
    <w:rsid w:val="00392D0C"/>
    <w:rsid w:val="00395613"/>
    <w:rsid w:val="003A07A4"/>
    <w:rsid w:val="003A16E6"/>
    <w:rsid w:val="003A24E3"/>
    <w:rsid w:val="003B4218"/>
    <w:rsid w:val="003B462E"/>
    <w:rsid w:val="003C0463"/>
    <w:rsid w:val="003C1E02"/>
    <w:rsid w:val="003C369E"/>
    <w:rsid w:val="003C46FA"/>
    <w:rsid w:val="003C5F55"/>
    <w:rsid w:val="003C7505"/>
    <w:rsid w:val="003C7E50"/>
    <w:rsid w:val="003D0E6E"/>
    <w:rsid w:val="003D1994"/>
    <w:rsid w:val="003D5398"/>
    <w:rsid w:val="003E18A3"/>
    <w:rsid w:val="003F14CC"/>
    <w:rsid w:val="00400519"/>
    <w:rsid w:val="0040245E"/>
    <w:rsid w:val="0040332F"/>
    <w:rsid w:val="004063CA"/>
    <w:rsid w:val="0041375F"/>
    <w:rsid w:val="00421F4F"/>
    <w:rsid w:val="00425094"/>
    <w:rsid w:val="004260C5"/>
    <w:rsid w:val="00436998"/>
    <w:rsid w:val="00442BD5"/>
    <w:rsid w:val="00443E23"/>
    <w:rsid w:val="00446E3B"/>
    <w:rsid w:val="00450952"/>
    <w:rsid w:val="00450FE8"/>
    <w:rsid w:val="00454F9D"/>
    <w:rsid w:val="00465ABE"/>
    <w:rsid w:val="00466937"/>
    <w:rsid w:val="00466B78"/>
    <w:rsid w:val="00467973"/>
    <w:rsid w:val="00471864"/>
    <w:rsid w:val="00472DDC"/>
    <w:rsid w:val="00472F19"/>
    <w:rsid w:val="00475D78"/>
    <w:rsid w:val="00480777"/>
    <w:rsid w:val="00483816"/>
    <w:rsid w:val="00486861"/>
    <w:rsid w:val="004A1054"/>
    <w:rsid w:val="004A519F"/>
    <w:rsid w:val="004A5FF4"/>
    <w:rsid w:val="004A65D3"/>
    <w:rsid w:val="004A69C7"/>
    <w:rsid w:val="004B5EA2"/>
    <w:rsid w:val="004C1821"/>
    <w:rsid w:val="004C46ED"/>
    <w:rsid w:val="004E139D"/>
    <w:rsid w:val="004E7605"/>
    <w:rsid w:val="004F626D"/>
    <w:rsid w:val="00504D0C"/>
    <w:rsid w:val="00505855"/>
    <w:rsid w:val="005206C1"/>
    <w:rsid w:val="00520FE6"/>
    <w:rsid w:val="00521328"/>
    <w:rsid w:val="00530B12"/>
    <w:rsid w:val="0053421E"/>
    <w:rsid w:val="00534644"/>
    <w:rsid w:val="00537710"/>
    <w:rsid w:val="00545B08"/>
    <w:rsid w:val="0055025D"/>
    <w:rsid w:val="0055256C"/>
    <w:rsid w:val="00553FD7"/>
    <w:rsid w:val="005571CA"/>
    <w:rsid w:val="0056002A"/>
    <w:rsid w:val="005600B0"/>
    <w:rsid w:val="00561E22"/>
    <w:rsid w:val="00561E61"/>
    <w:rsid w:val="00563270"/>
    <w:rsid w:val="00572D65"/>
    <w:rsid w:val="00594C8C"/>
    <w:rsid w:val="00597A65"/>
    <w:rsid w:val="005A473D"/>
    <w:rsid w:val="005A4DDC"/>
    <w:rsid w:val="005A5ADA"/>
    <w:rsid w:val="005A6385"/>
    <w:rsid w:val="005B00B8"/>
    <w:rsid w:val="005B1B92"/>
    <w:rsid w:val="005B5103"/>
    <w:rsid w:val="005B65AA"/>
    <w:rsid w:val="005B716D"/>
    <w:rsid w:val="005C0D0C"/>
    <w:rsid w:val="005C6D33"/>
    <w:rsid w:val="005D0823"/>
    <w:rsid w:val="005D3941"/>
    <w:rsid w:val="005D50C7"/>
    <w:rsid w:val="005E1630"/>
    <w:rsid w:val="005F2570"/>
    <w:rsid w:val="005F36FB"/>
    <w:rsid w:val="005F4133"/>
    <w:rsid w:val="00600B9D"/>
    <w:rsid w:val="00600CE4"/>
    <w:rsid w:val="0060137B"/>
    <w:rsid w:val="00604CBC"/>
    <w:rsid w:val="00613553"/>
    <w:rsid w:val="006136C7"/>
    <w:rsid w:val="006219DD"/>
    <w:rsid w:val="00623703"/>
    <w:rsid w:val="00623989"/>
    <w:rsid w:val="00631DE8"/>
    <w:rsid w:val="00633F28"/>
    <w:rsid w:val="00643BB7"/>
    <w:rsid w:val="006458B0"/>
    <w:rsid w:val="00645F10"/>
    <w:rsid w:val="00654EAE"/>
    <w:rsid w:val="00657BA2"/>
    <w:rsid w:val="00662FC5"/>
    <w:rsid w:val="00667387"/>
    <w:rsid w:val="00667EA3"/>
    <w:rsid w:val="0067398B"/>
    <w:rsid w:val="00676077"/>
    <w:rsid w:val="00680CCA"/>
    <w:rsid w:val="0068138F"/>
    <w:rsid w:val="00683B05"/>
    <w:rsid w:val="006950D2"/>
    <w:rsid w:val="006A36EB"/>
    <w:rsid w:val="006B0814"/>
    <w:rsid w:val="006B0D2F"/>
    <w:rsid w:val="006B11AA"/>
    <w:rsid w:val="006C05EA"/>
    <w:rsid w:val="006C4834"/>
    <w:rsid w:val="006D0A97"/>
    <w:rsid w:val="006D3825"/>
    <w:rsid w:val="006D5AAF"/>
    <w:rsid w:val="006D6021"/>
    <w:rsid w:val="006D686F"/>
    <w:rsid w:val="006E3FE2"/>
    <w:rsid w:val="006E68C0"/>
    <w:rsid w:val="006E785B"/>
    <w:rsid w:val="006F3644"/>
    <w:rsid w:val="006F3819"/>
    <w:rsid w:val="006F46B8"/>
    <w:rsid w:val="006F623D"/>
    <w:rsid w:val="0070175A"/>
    <w:rsid w:val="007034FF"/>
    <w:rsid w:val="00716313"/>
    <w:rsid w:val="0072783E"/>
    <w:rsid w:val="00731879"/>
    <w:rsid w:val="00734150"/>
    <w:rsid w:val="00737D7B"/>
    <w:rsid w:val="00737E48"/>
    <w:rsid w:val="00745023"/>
    <w:rsid w:val="00752F12"/>
    <w:rsid w:val="007748EF"/>
    <w:rsid w:val="00776D13"/>
    <w:rsid w:val="007813BE"/>
    <w:rsid w:val="007827FC"/>
    <w:rsid w:val="00784051"/>
    <w:rsid w:val="00784D72"/>
    <w:rsid w:val="00790CCA"/>
    <w:rsid w:val="00790CD6"/>
    <w:rsid w:val="00790DA9"/>
    <w:rsid w:val="007918F9"/>
    <w:rsid w:val="00794A68"/>
    <w:rsid w:val="007A0D71"/>
    <w:rsid w:val="007A34E5"/>
    <w:rsid w:val="007A5919"/>
    <w:rsid w:val="007A7B9B"/>
    <w:rsid w:val="007B2D4C"/>
    <w:rsid w:val="007B41AF"/>
    <w:rsid w:val="007B5329"/>
    <w:rsid w:val="007B7977"/>
    <w:rsid w:val="007D013A"/>
    <w:rsid w:val="007D7668"/>
    <w:rsid w:val="007E1917"/>
    <w:rsid w:val="007E30A0"/>
    <w:rsid w:val="007E5A0D"/>
    <w:rsid w:val="007F5485"/>
    <w:rsid w:val="007F566C"/>
    <w:rsid w:val="007F5E04"/>
    <w:rsid w:val="008063DF"/>
    <w:rsid w:val="00806950"/>
    <w:rsid w:val="00812057"/>
    <w:rsid w:val="008126BB"/>
    <w:rsid w:val="00815C5E"/>
    <w:rsid w:val="00817FD2"/>
    <w:rsid w:val="00820A77"/>
    <w:rsid w:val="008224AC"/>
    <w:rsid w:val="00822605"/>
    <w:rsid w:val="00824349"/>
    <w:rsid w:val="00835262"/>
    <w:rsid w:val="00835553"/>
    <w:rsid w:val="00837203"/>
    <w:rsid w:val="00841AD7"/>
    <w:rsid w:val="00843084"/>
    <w:rsid w:val="00843F66"/>
    <w:rsid w:val="00846780"/>
    <w:rsid w:val="00847847"/>
    <w:rsid w:val="00850CF8"/>
    <w:rsid w:val="008548ED"/>
    <w:rsid w:val="00864BF1"/>
    <w:rsid w:val="00865ED2"/>
    <w:rsid w:val="00871F44"/>
    <w:rsid w:val="0087484F"/>
    <w:rsid w:val="0087626E"/>
    <w:rsid w:val="00881144"/>
    <w:rsid w:val="00886808"/>
    <w:rsid w:val="00886858"/>
    <w:rsid w:val="008904D1"/>
    <w:rsid w:val="00891112"/>
    <w:rsid w:val="00891AE9"/>
    <w:rsid w:val="00891E64"/>
    <w:rsid w:val="008B2E17"/>
    <w:rsid w:val="008B3405"/>
    <w:rsid w:val="008B7934"/>
    <w:rsid w:val="008C3750"/>
    <w:rsid w:val="008C4964"/>
    <w:rsid w:val="008D2A76"/>
    <w:rsid w:val="008D357F"/>
    <w:rsid w:val="008F0D29"/>
    <w:rsid w:val="008F1112"/>
    <w:rsid w:val="008F23CB"/>
    <w:rsid w:val="008F2662"/>
    <w:rsid w:val="008F2962"/>
    <w:rsid w:val="00902443"/>
    <w:rsid w:val="00907968"/>
    <w:rsid w:val="0091731D"/>
    <w:rsid w:val="00923719"/>
    <w:rsid w:val="009253E4"/>
    <w:rsid w:val="00927FE1"/>
    <w:rsid w:val="0093693C"/>
    <w:rsid w:val="00937C73"/>
    <w:rsid w:val="00940973"/>
    <w:rsid w:val="009428FF"/>
    <w:rsid w:val="00943201"/>
    <w:rsid w:val="00943B70"/>
    <w:rsid w:val="00943FAF"/>
    <w:rsid w:val="009449CA"/>
    <w:rsid w:val="0094516B"/>
    <w:rsid w:val="00947130"/>
    <w:rsid w:val="00950F6B"/>
    <w:rsid w:val="0095452E"/>
    <w:rsid w:val="00956792"/>
    <w:rsid w:val="00956F52"/>
    <w:rsid w:val="00957F43"/>
    <w:rsid w:val="00962DFC"/>
    <w:rsid w:val="00965687"/>
    <w:rsid w:val="00966B6A"/>
    <w:rsid w:val="00967913"/>
    <w:rsid w:val="00975AB3"/>
    <w:rsid w:val="0097793B"/>
    <w:rsid w:val="00983347"/>
    <w:rsid w:val="00983715"/>
    <w:rsid w:val="00983BAF"/>
    <w:rsid w:val="009853EE"/>
    <w:rsid w:val="00987326"/>
    <w:rsid w:val="009924B2"/>
    <w:rsid w:val="009979A7"/>
    <w:rsid w:val="009A1A06"/>
    <w:rsid w:val="009A205A"/>
    <w:rsid w:val="009A3626"/>
    <w:rsid w:val="009B14F6"/>
    <w:rsid w:val="009C31DC"/>
    <w:rsid w:val="009C4FC8"/>
    <w:rsid w:val="009C7381"/>
    <w:rsid w:val="009C7743"/>
    <w:rsid w:val="009C7BF4"/>
    <w:rsid w:val="009D10A2"/>
    <w:rsid w:val="009D61AD"/>
    <w:rsid w:val="009E4A22"/>
    <w:rsid w:val="009E4F54"/>
    <w:rsid w:val="009E5635"/>
    <w:rsid w:val="009E715D"/>
    <w:rsid w:val="00A00398"/>
    <w:rsid w:val="00A05DD8"/>
    <w:rsid w:val="00A0657B"/>
    <w:rsid w:val="00A135E0"/>
    <w:rsid w:val="00A13952"/>
    <w:rsid w:val="00A13D55"/>
    <w:rsid w:val="00A13F40"/>
    <w:rsid w:val="00A153E4"/>
    <w:rsid w:val="00A165A5"/>
    <w:rsid w:val="00A21FB1"/>
    <w:rsid w:val="00A266D4"/>
    <w:rsid w:val="00A26AC8"/>
    <w:rsid w:val="00A3051D"/>
    <w:rsid w:val="00A32166"/>
    <w:rsid w:val="00A4111B"/>
    <w:rsid w:val="00A41926"/>
    <w:rsid w:val="00A43E46"/>
    <w:rsid w:val="00A44342"/>
    <w:rsid w:val="00A521B9"/>
    <w:rsid w:val="00A521F5"/>
    <w:rsid w:val="00A5344A"/>
    <w:rsid w:val="00A57123"/>
    <w:rsid w:val="00A62303"/>
    <w:rsid w:val="00A649C7"/>
    <w:rsid w:val="00A67C26"/>
    <w:rsid w:val="00A70031"/>
    <w:rsid w:val="00A74124"/>
    <w:rsid w:val="00A841AC"/>
    <w:rsid w:val="00A900DB"/>
    <w:rsid w:val="00A92015"/>
    <w:rsid w:val="00A94040"/>
    <w:rsid w:val="00A96A4A"/>
    <w:rsid w:val="00AA15F8"/>
    <w:rsid w:val="00AA3C7C"/>
    <w:rsid w:val="00AA3D20"/>
    <w:rsid w:val="00AA4FB5"/>
    <w:rsid w:val="00AA5B96"/>
    <w:rsid w:val="00AA783A"/>
    <w:rsid w:val="00AB462E"/>
    <w:rsid w:val="00AC0E66"/>
    <w:rsid w:val="00AC3AFC"/>
    <w:rsid w:val="00AD21F0"/>
    <w:rsid w:val="00AE042F"/>
    <w:rsid w:val="00AE2EB0"/>
    <w:rsid w:val="00AE42F9"/>
    <w:rsid w:val="00AE6234"/>
    <w:rsid w:val="00AF1C75"/>
    <w:rsid w:val="00AF3800"/>
    <w:rsid w:val="00AF4757"/>
    <w:rsid w:val="00AF4F18"/>
    <w:rsid w:val="00B01D76"/>
    <w:rsid w:val="00B03080"/>
    <w:rsid w:val="00B068DB"/>
    <w:rsid w:val="00B06E1F"/>
    <w:rsid w:val="00B13FE2"/>
    <w:rsid w:val="00B15B4C"/>
    <w:rsid w:val="00B17565"/>
    <w:rsid w:val="00B17E1F"/>
    <w:rsid w:val="00B20606"/>
    <w:rsid w:val="00B20840"/>
    <w:rsid w:val="00B24B52"/>
    <w:rsid w:val="00B30601"/>
    <w:rsid w:val="00B33A2C"/>
    <w:rsid w:val="00B36FF5"/>
    <w:rsid w:val="00B40350"/>
    <w:rsid w:val="00B44542"/>
    <w:rsid w:val="00B46019"/>
    <w:rsid w:val="00B47018"/>
    <w:rsid w:val="00B508F6"/>
    <w:rsid w:val="00B512D3"/>
    <w:rsid w:val="00B530DB"/>
    <w:rsid w:val="00B53E94"/>
    <w:rsid w:val="00B56798"/>
    <w:rsid w:val="00B56D27"/>
    <w:rsid w:val="00B631CF"/>
    <w:rsid w:val="00B66AFB"/>
    <w:rsid w:val="00B75621"/>
    <w:rsid w:val="00B8317C"/>
    <w:rsid w:val="00B87B7A"/>
    <w:rsid w:val="00B9013D"/>
    <w:rsid w:val="00B92321"/>
    <w:rsid w:val="00B974A6"/>
    <w:rsid w:val="00BA5859"/>
    <w:rsid w:val="00BB0107"/>
    <w:rsid w:val="00BB0943"/>
    <w:rsid w:val="00BB0B3D"/>
    <w:rsid w:val="00BB5F94"/>
    <w:rsid w:val="00BB7B81"/>
    <w:rsid w:val="00BC0FDE"/>
    <w:rsid w:val="00BC167E"/>
    <w:rsid w:val="00BC22EC"/>
    <w:rsid w:val="00BC2406"/>
    <w:rsid w:val="00BC28EC"/>
    <w:rsid w:val="00BC65E0"/>
    <w:rsid w:val="00BD0CEF"/>
    <w:rsid w:val="00BD0F07"/>
    <w:rsid w:val="00BD27C1"/>
    <w:rsid w:val="00BD4AC0"/>
    <w:rsid w:val="00BD6550"/>
    <w:rsid w:val="00BE6BEA"/>
    <w:rsid w:val="00BF131B"/>
    <w:rsid w:val="00BF23C3"/>
    <w:rsid w:val="00BF7A33"/>
    <w:rsid w:val="00C007D1"/>
    <w:rsid w:val="00C021EE"/>
    <w:rsid w:val="00C02346"/>
    <w:rsid w:val="00C02C9A"/>
    <w:rsid w:val="00C0774E"/>
    <w:rsid w:val="00C11B0A"/>
    <w:rsid w:val="00C13250"/>
    <w:rsid w:val="00C16845"/>
    <w:rsid w:val="00C20C8F"/>
    <w:rsid w:val="00C2184E"/>
    <w:rsid w:val="00C2273B"/>
    <w:rsid w:val="00C252E0"/>
    <w:rsid w:val="00C278E2"/>
    <w:rsid w:val="00C27D5D"/>
    <w:rsid w:val="00C31740"/>
    <w:rsid w:val="00C33E31"/>
    <w:rsid w:val="00C36134"/>
    <w:rsid w:val="00C40F24"/>
    <w:rsid w:val="00C4413A"/>
    <w:rsid w:val="00C45C08"/>
    <w:rsid w:val="00C50CB8"/>
    <w:rsid w:val="00C53028"/>
    <w:rsid w:val="00C54022"/>
    <w:rsid w:val="00C555E3"/>
    <w:rsid w:val="00C572E9"/>
    <w:rsid w:val="00C65E3E"/>
    <w:rsid w:val="00C76D09"/>
    <w:rsid w:val="00C80119"/>
    <w:rsid w:val="00C84471"/>
    <w:rsid w:val="00C91011"/>
    <w:rsid w:val="00C913D8"/>
    <w:rsid w:val="00C9368C"/>
    <w:rsid w:val="00C93C2B"/>
    <w:rsid w:val="00CA0437"/>
    <w:rsid w:val="00CA16A7"/>
    <w:rsid w:val="00CA743B"/>
    <w:rsid w:val="00CB15E9"/>
    <w:rsid w:val="00CB17E6"/>
    <w:rsid w:val="00CC0212"/>
    <w:rsid w:val="00CC776A"/>
    <w:rsid w:val="00CC7F35"/>
    <w:rsid w:val="00CD09FD"/>
    <w:rsid w:val="00CD14BB"/>
    <w:rsid w:val="00CD1CE4"/>
    <w:rsid w:val="00CD37ED"/>
    <w:rsid w:val="00CD3A8B"/>
    <w:rsid w:val="00CE0567"/>
    <w:rsid w:val="00CE3C34"/>
    <w:rsid w:val="00CE5E7B"/>
    <w:rsid w:val="00CF2833"/>
    <w:rsid w:val="00CF2B9B"/>
    <w:rsid w:val="00CF703F"/>
    <w:rsid w:val="00D02450"/>
    <w:rsid w:val="00D11BAA"/>
    <w:rsid w:val="00D14207"/>
    <w:rsid w:val="00D16556"/>
    <w:rsid w:val="00D20AE6"/>
    <w:rsid w:val="00D2449F"/>
    <w:rsid w:val="00D245AE"/>
    <w:rsid w:val="00D26661"/>
    <w:rsid w:val="00D31819"/>
    <w:rsid w:val="00D36FD5"/>
    <w:rsid w:val="00D4385F"/>
    <w:rsid w:val="00D43A95"/>
    <w:rsid w:val="00D459BB"/>
    <w:rsid w:val="00D46406"/>
    <w:rsid w:val="00D47BA5"/>
    <w:rsid w:val="00D52EB4"/>
    <w:rsid w:val="00D56FDE"/>
    <w:rsid w:val="00D66EA9"/>
    <w:rsid w:val="00D72C19"/>
    <w:rsid w:val="00D754EC"/>
    <w:rsid w:val="00D815A0"/>
    <w:rsid w:val="00D8488E"/>
    <w:rsid w:val="00D90263"/>
    <w:rsid w:val="00D93570"/>
    <w:rsid w:val="00DA05A1"/>
    <w:rsid w:val="00DA1C9D"/>
    <w:rsid w:val="00DA4370"/>
    <w:rsid w:val="00DA7A4E"/>
    <w:rsid w:val="00DB2FDD"/>
    <w:rsid w:val="00DC16A9"/>
    <w:rsid w:val="00DC460A"/>
    <w:rsid w:val="00DC5863"/>
    <w:rsid w:val="00DD3D79"/>
    <w:rsid w:val="00DD7CEB"/>
    <w:rsid w:val="00E00277"/>
    <w:rsid w:val="00E019A6"/>
    <w:rsid w:val="00E10AC5"/>
    <w:rsid w:val="00E121A5"/>
    <w:rsid w:val="00E16945"/>
    <w:rsid w:val="00E215A0"/>
    <w:rsid w:val="00E27F53"/>
    <w:rsid w:val="00E27F8C"/>
    <w:rsid w:val="00E30A9E"/>
    <w:rsid w:val="00E352C7"/>
    <w:rsid w:val="00E44599"/>
    <w:rsid w:val="00E45567"/>
    <w:rsid w:val="00E50594"/>
    <w:rsid w:val="00E50DE9"/>
    <w:rsid w:val="00E53356"/>
    <w:rsid w:val="00E552F0"/>
    <w:rsid w:val="00E60B9A"/>
    <w:rsid w:val="00E66B3E"/>
    <w:rsid w:val="00E71870"/>
    <w:rsid w:val="00E73256"/>
    <w:rsid w:val="00E74EEE"/>
    <w:rsid w:val="00E83987"/>
    <w:rsid w:val="00E86377"/>
    <w:rsid w:val="00E93B5A"/>
    <w:rsid w:val="00EA43F6"/>
    <w:rsid w:val="00EA76E7"/>
    <w:rsid w:val="00EB3C0B"/>
    <w:rsid w:val="00EB404D"/>
    <w:rsid w:val="00EB5DF0"/>
    <w:rsid w:val="00EC01D4"/>
    <w:rsid w:val="00EC77AC"/>
    <w:rsid w:val="00EC7C24"/>
    <w:rsid w:val="00ED1586"/>
    <w:rsid w:val="00ED372F"/>
    <w:rsid w:val="00EE28D8"/>
    <w:rsid w:val="00EE681B"/>
    <w:rsid w:val="00EF513D"/>
    <w:rsid w:val="00EF5C33"/>
    <w:rsid w:val="00F006DC"/>
    <w:rsid w:val="00F02993"/>
    <w:rsid w:val="00F03D18"/>
    <w:rsid w:val="00F05EFB"/>
    <w:rsid w:val="00F07EDB"/>
    <w:rsid w:val="00F11F14"/>
    <w:rsid w:val="00F21810"/>
    <w:rsid w:val="00F21E00"/>
    <w:rsid w:val="00F2212C"/>
    <w:rsid w:val="00F24429"/>
    <w:rsid w:val="00F24E45"/>
    <w:rsid w:val="00F26ECD"/>
    <w:rsid w:val="00F30A77"/>
    <w:rsid w:val="00F3612F"/>
    <w:rsid w:val="00F378DF"/>
    <w:rsid w:val="00F41005"/>
    <w:rsid w:val="00F4298B"/>
    <w:rsid w:val="00F44753"/>
    <w:rsid w:val="00F45B03"/>
    <w:rsid w:val="00F46EBB"/>
    <w:rsid w:val="00F50947"/>
    <w:rsid w:val="00F50C4F"/>
    <w:rsid w:val="00F537DA"/>
    <w:rsid w:val="00F570BA"/>
    <w:rsid w:val="00F57E18"/>
    <w:rsid w:val="00F63258"/>
    <w:rsid w:val="00F649AB"/>
    <w:rsid w:val="00F66DE0"/>
    <w:rsid w:val="00F674D4"/>
    <w:rsid w:val="00F71107"/>
    <w:rsid w:val="00F71C68"/>
    <w:rsid w:val="00F73729"/>
    <w:rsid w:val="00F74F86"/>
    <w:rsid w:val="00F76ED3"/>
    <w:rsid w:val="00F8423F"/>
    <w:rsid w:val="00F87194"/>
    <w:rsid w:val="00F90DA9"/>
    <w:rsid w:val="00FA239F"/>
    <w:rsid w:val="00FA290F"/>
    <w:rsid w:val="00FA2C26"/>
    <w:rsid w:val="00FA61A6"/>
    <w:rsid w:val="00FB16D8"/>
    <w:rsid w:val="00FB6A4A"/>
    <w:rsid w:val="00FC4541"/>
    <w:rsid w:val="00FC7D94"/>
    <w:rsid w:val="00FD2EAF"/>
    <w:rsid w:val="00FD50CB"/>
    <w:rsid w:val="00FE0530"/>
    <w:rsid w:val="00FE3CBF"/>
    <w:rsid w:val="00FE4305"/>
    <w:rsid w:val="00FE63C7"/>
    <w:rsid w:val="00FE7EDF"/>
    <w:rsid w:val="00FF10F9"/>
    <w:rsid w:val="00FF148F"/>
    <w:rsid w:val="00FF6DD0"/>
    <w:rsid w:val="01678849"/>
    <w:rsid w:val="021A0502"/>
    <w:rsid w:val="0500474C"/>
    <w:rsid w:val="067D2DD4"/>
    <w:rsid w:val="10CB543A"/>
    <w:rsid w:val="10D03A52"/>
    <w:rsid w:val="10F5B9B0"/>
    <w:rsid w:val="12001C34"/>
    <w:rsid w:val="153A83F3"/>
    <w:rsid w:val="1559E8B6"/>
    <w:rsid w:val="173FE55A"/>
    <w:rsid w:val="18F00978"/>
    <w:rsid w:val="1C39E654"/>
    <w:rsid w:val="1CE3A463"/>
    <w:rsid w:val="20479DDA"/>
    <w:rsid w:val="20A91B6F"/>
    <w:rsid w:val="2165CB40"/>
    <w:rsid w:val="245DBE3A"/>
    <w:rsid w:val="27F1ECDF"/>
    <w:rsid w:val="2B62F4E0"/>
    <w:rsid w:val="317A95A4"/>
    <w:rsid w:val="35BF21B6"/>
    <w:rsid w:val="38ABB1A4"/>
    <w:rsid w:val="399A085C"/>
    <w:rsid w:val="39C1CEC4"/>
    <w:rsid w:val="3B63AED4"/>
    <w:rsid w:val="412FD81A"/>
    <w:rsid w:val="450B4BA1"/>
    <w:rsid w:val="46756579"/>
    <w:rsid w:val="48455EDB"/>
    <w:rsid w:val="4EC5BA19"/>
    <w:rsid w:val="4F937A78"/>
    <w:rsid w:val="4FC84195"/>
    <w:rsid w:val="50B97C87"/>
    <w:rsid w:val="51A8667A"/>
    <w:rsid w:val="5D4E4829"/>
    <w:rsid w:val="5E77DBDD"/>
    <w:rsid w:val="5EAA411D"/>
    <w:rsid w:val="5EFAB895"/>
    <w:rsid w:val="624FF555"/>
    <w:rsid w:val="65B49A57"/>
    <w:rsid w:val="68A9C598"/>
    <w:rsid w:val="6931BCB7"/>
    <w:rsid w:val="6B602A80"/>
    <w:rsid w:val="6CCC7DDD"/>
    <w:rsid w:val="76DAAC59"/>
    <w:rsid w:val="79BD3250"/>
    <w:rsid w:val="7BD1CF29"/>
    <w:rsid w:val="7C7D00D9"/>
    <w:rsid w:val="7ECC95E1"/>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790DA9"/>
    <w:rPr>
      <w:vertAlign w:val="superscript"/>
    </w:rPr>
  </w:style>
  <w:style w:type="paragraph" w:styleId="Prrafodelista">
    <w:name w:val="List Paragraph"/>
    <w:basedOn w:val="Normal"/>
    <w:uiPriority w:val="34"/>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D02450"/>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683B05"/>
    <w:pPr>
      <w:overflowPunct w:val="0"/>
      <w:autoSpaceDE w:val="0"/>
      <w:autoSpaceDN w:val="0"/>
      <w:adjustRightInd w:val="0"/>
      <w:ind w:firstLine="567"/>
    </w:pPr>
    <w:rPr>
      <w:rFonts w:ascii="Arial Narrow" w:eastAsia="Times New Roman" w:hAnsi="Arial Narrow" w:cs="Times New Roman"/>
      <w:b/>
      <w:sz w:val="30"/>
      <w:szCs w:val="20"/>
      <w:lang w:val="es-ES_tradnl" w:eastAsia="es-ES"/>
    </w:rPr>
  </w:style>
  <w:style w:type="paragraph" w:customStyle="1" w:styleId="BodyText21">
    <w:name w:val="Body Text 21"/>
    <w:basedOn w:val="Normal"/>
    <w:uiPriority w:val="99"/>
    <w:rsid w:val="00DD7CEB"/>
    <w:pPr>
      <w:spacing w:line="480" w:lineRule="auto"/>
      <w:ind w:firstLine="708"/>
    </w:pPr>
    <w:rPr>
      <w:rFonts w:ascii="Arial" w:eastAsia="Times New Roman" w:hAnsi="Arial" w:cs="Times New Roman"/>
      <w:b/>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7B7977"/>
    <w:rPr>
      <w:b/>
      <w:bCs/>
    </w:rPr>
  </w:style>
  <w:style w:type="character" w:customStyle="1" w:styleId="AsuntodelcomentarioCar">
    <w:name w:val="Asunto del comentario Car"/>
    <w:basedOn w:val="TextocomentarioCar"/>
    <w:link w:val="Asuntodelcomentario"/>
    <w:uiPriority w:val="99"/>
    <w:semiHidden/>
    <w:rsid w:val="007B7977"/>
    <w:rPr>
      <w:rFonts w:ascii="Tahoma" w:hAnsi="Tahoma"/>
      <w:b/>
      <w:bCs/>
      <w:sz w:val="20"/>
      <w:szCs w:val="20"/>
      <w:lang w:val="es-ES"/>
    </w:rPr>
  </w:style>
  <w:style w:type="character" w:styleId="Hipervnculo">
    <w:name w:val="Hyperlink"/>
    <w:basedOn w:val="Fuentedeprrafopredeter"/>
    <w:uiPriority w:val="99"/>
    <w:semiHidden/>
    <w:unhideWhenUsed/>
    <w:rsid w:val="00C91011"/>
    <w:rPr>
      <w:color w:val="0000EE"/>
      <w:u w:val="single"/>
    </w:rPr>
  </w:style>
  <w:style w:type="character" w:customStyle="1" w:styleId="iaj">
    <w:name w:val="i_aj"/>
    <w:basedOn w:val="Fuentedeprrafopredeter"/>
    <w:rsid w:val="00D245AE"/>
  </w:style>
  <w:style w:type="character" w:customStyle="1" w:styleId="scxw140654647">
    <w:name w:val="scxw140654647"/>
    <w:basedOn w:val="Fuentedeprrafopredeter"/>
    <w:rsid w:val="00ED3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0238">
      <w:bodyDiv w:val="1"/>
      <w:marLeft w:val="0"/>
      <w:marRight w:val="0"/>
      <w:marTop w:val="0"/>
      <w:marBottom w:val="0"/>
      <w:divBdr>
        <w:top w:val="none" w:sz="0" w:space="0" w:color="auto"/>
        <w:left w:val="none" w:sz="0" w:space="0" w:color="auto"/>
        <w:bottom w:val="none" w:sz="0" w:space="0" w:color="auto"/>
        <w:right w:val="none" w:sz="0" w:space="0" w:color="auto"/>
      </w:divBdr>
    </w:div>
    <w:div w:id="46877862">
      <w:bodyDiv w:val="1"/>
      <w:marLeft w:val="0"/>
      <w:marRight w:val="0"/>
      <w:marTop w:val="0"/>
      <w:marBottom w:val="0"/>
      <w:divBdr>
        <w:top w:val="none" w:sz="0" w:space="0" w:color="auto"/>
        <w:left w:val="none" w:sz="0" w:space="0" w:color="auto"/>
        <w:bottom w:val="none" w:sz="0" w:space="0" w:color="auto"/>
        <w:right w:val="none" w:sz="0" w:space="0" w:color="auto"/>
      </w:divBdr>
    </w:div>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74280092">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102849398">
      <w:bodyDiv w:val="1"/>
      <w:marLeft w:val="0"/>
      <w:marRight w:val="0"/>
      <w:marTop w:val="0"/>
      <w:marBottom w:val="0"/>
      <w:divBdr>
        <w:top w:val="none" w:sz="0" w:space="0" w:color="auto"/>
        <w:left w:val="none" w:sz="0" w:space="0" w:color="auto"/>
        <w:bottom w:val="none" w:sz="0" w:space="0" w:color="auto"/>
        <w:right w:val="none" w:sz="0" w:space="0" w:color="auto"/>
      </w:divBdr>
      <w:divsChild>
        <w:div w:id="1998797697">
          <w:marLeft w:val="0"/>
          <w:marRight w:val="0"/>
          <w:marTop w:val="0"/>
          <w:marBottom w:val="0"/>
          <w:divBdr>
            <w:top w:val="none" w:sz="0" w:space="0" w:color="auto"/>
            <w:left w:val="none" w:sz="0" w:space="0" w:color="auto"/>
            <w:bottom w:val="none" w:sz="0" w:space="0" w:color="auto"/>
            <w:right w:val="none" w:sz="0" w:space="0" w:color="auto"/>
          </w:divBdr>
          <w:divsChild>
            <w:div w:id="1042906554">
              <w:marLeft w:val="0"/>
              <w:marRight w:val="0"/>
              <w:marTop w:val="0"/>
              <w:marBottom w:val="0"/>
              <w:divBdr>
                <w:top w:val="none" w:sz="0" w:space="0" w:color="auto"/>
                <w:left w:val="none" w:sz="0" w:space="0" w:color="auto"/>
                <w:bottom w:val="none" w:sz="0" w:space="0" w:color="auto"/>
                <w:right w:val="none" w:sz="0" w:space="0" w:color="auto"/>
              </w:divBdr>
            </w:div>
            <w:div w:id="1555507766">
              <w:marLeft w:val="0"/>
              <w:marRight w:val="0"/>
              <w:marTop w:val="0"/>
              <w:marBottom w:val="0"/>
              <w:divBdr>
                <w:top w:val="none" w:sz="0" w:space="0" w:color="auto"/>
                <w:left w:val="none" w:sz="0" w:space="0" w:color="auto"/>
                <w:bottom w:val="none" w:sz="0" w:space="0" w:color="auto"/>
                <w:right w:val="none" w:sz="0" w:space="0" w:color="auto"/>
              </w:divBdr>
            </w:div>
            <w:div w:id="1923948723">
              <w:marLeft w:val="0"/>
              <w:marRight w:val="0"/>
              <w:marTop w:val="0"/>
              <w:marBottom w:val="0"/>
              <w:divBdr>
                <w:top w:val="none" w:sz="0" w:space="0" w:color="auto"/>
                <w:left w:val="none" w:sz="0" w:space="0" w:color="auto"/>
                <w:bottom w:val="none" w:sz="0" w:space="0" w:color="auto"/>
                <w:right w:val="none" w:sz="0" w:space="0" w:color="auto"/>
              </w:divBdr>
            </w:div>
            <w:div w:id="1991012379">
              <w:marLeft w:val="0"/>
              <w:marRight w:val="0"/>
              <w:marTop w:val="0"/>
              <w:marBottom w:val="0"/>
              <w:divBdr>
                <w:top w:val="none" w:sz="0" w:space="0" w:color="auto"/>
                <w:left w:val="none" w:sz="0" w:space="0" w:color="auto"/>
                <w:bottom w:val="none" w:sz="0" w:space="0" w:color="auto"/>
                <w:right w:val="none" w:sz="0" w:space="0" w:color="auto"/>
              </w:divBdr>
            </w:div>
          </w:divsChild>
        </w:div>
        <w:div w:id="1573662327">
          <w:marLeft w:val="0"/>
          <w:marRight w:val="0"/>
          <w:marTop w:val="0"/>
          <w:marBottom w:val="0"/>
          <w:divBdr>
            <w:top w:val="none" w:sz="0" w:space="0" w:color="auto"/>
            <w:left w:val="none" w:sz="0" w:space="0" w:color="auto"/>
            <w:bottom w:val="none" w:sz="0" w:space="0" w:color="auto"/>
            <w:right w:val="none" w:sz="0" w:space="0" w:color="auto"/>
          </w:divBdr>
        </w:div>
        <w:div w:id="458449713">
          <w:marLeft w:val="0"/>
          <w:marRight w:val="0"/>
          <w:marTop w:val="0"/>
          <w:marBottom w:val="0"/>
          <w:divBdr>
            <w:top w:val="none" w:sz="0" w:space="0" w:color="auto"/>
            <w:left w:val="none" w:sz="0" w:space="0" w:color="auto"/>
            <w:bottom w:val="none" w:sz="0" w:space="0" w:color="auto"/>
            <w:right w:val="none" w:sz="0" w:space="0" w:color="auto"/>
          </w:divBdr>
        </w:div>
        <w:div w:id="2017346453">
          <w:marLeft w:val="0"/>
          <w:marRight w:val="0"/>
          <w:marTop w:val="0"/>
          <w:marBottom w:val="0"/>
          <w:divBdr>
            <w:top w:val="none" w:sz="0" w:space="0" w:color="auto"/>
            <w:left w:val="none" w:sz="0" w:space="0" w:color="auto"/>
            <w:bottom w:val="none" w:sz="0" w:space="0" w:color="auto"/>
            <w:right w:val="none" w:sz="0" w:space="0" w:color="auto"/>
          </w:divBdr>
        </w:div>
        <w:div w:id="1432504589">
          <w:marLeft w:val="0"/>
          <w:marRight w:val="0"/>
          <w:marTop w:val="0"/>
          <w:marBottom w:val="0"/>
          <w:divBdr>
            <w:top w:val="none" w:sz="0" w:space="0" w:color="auto"/>
            <w:left w:val="none" w:sz="0" w:space="0" w:color="auto"/>
            <w:bottom w:val="none" w:sz="0" w:space="0" w:color="auto"/>
            <w:right w:val="none" w:sz="0" w:space="0" w:color="auto"/>
          </w:divBdr>
        </w:div>
        <w:div w:id="132454720">
          <w:marLeft w:val="0"/>
          <w:marRight w:val="0"/>
          <w:marTop w:val="0"/>
          <w:marBottom w:val="0"/>
          <w:divBdr>
            <w:top w:val="none" w:sz="0" w:space="0" w:color="auto"/>
            <w:left w:val="none" w:sz="0" w:space="0" w:color="auto"/>
            <w:bottom w:val="none" w:sz="0" w:space="0" w:color="auto"/>
            <w:right w:val="none" w:sz="0" w:space="0" w:color="auto"/>
          </w:divBdr>
        </w:div>
        <w:div w:id="1022319589">
          <w:marLeft w:val="0"/>
          <w:marRight w:val="0"/>
          <w:marTop w:val="0"/>
          <w:marBottom w:val="0"/>
          <w:divBdr>
            <w:top w:val="none" w:sz="0" w:space="0" w:color="auto"/>
            <w:left w:val="none" w:sz="0" w:space="0" w:color="auto"/>
            <w:bottom w:val="none" w:sz="0" w:space="0" w:color="auto"/>
            <w:right w:val="none" w:sz="0" w:space="0" w:color="auto"/>
          </w:divBdr>
        </w:div>
      </w:divsChild>
    </w:div>
    <w:div w:id="132218347">
      <w:bodyDiv w:val="1"/>
      <w:marLeft w:val="0"/>
      <w:marRight w:val="0"/>
      <w:marTop w:val="0"/>
      <w:marBottom w:val="0"/>
      <w:divBdr>
        <w:top w:val="none" w:sz="0" w:space="0" w:color="auto"/>
        <w:left w:val="none" w:sz="0" w:space="0" w:color="auto"/>
        <w:bottom w:val="none" w:sz="0" w:space="0" w:color="auto"/>
        <w:right w:val="none" w:sz="0" w:space="0" w:color="auto"/>
      </w:divBdr>
    </w:div>
    <w:div w:id="134957973">
      <w:bodyDiv w:val="1"/>
      <w:marLeft w:val="0"/>
      <w:marRight w:val="0"/>
      <w:marTop w:val="0"/>
      <w:marBottom w:val="0"/>
      <w:divBdr>
        <w:top w:val="none" w:sz="0" w:space="0" w:color="auto"/>
        <w:left w:val="none" w:sz="0" w:space="0" w:color="auto"/>
        <w:bottom w:val="none" w:sz="0" w:space="0" w:color="auto"/>
        <w:right w:val="none" w:sz="0" w:space="0" w:color="auto"/>
      </w:divBdr>
    </w:div>
    <w:div w:id="200217705">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392705441">
      <w:bodyDiv w:val="1"/>
      <w:marLeft w:val="0"/>
      <w:marRight w:val="0"/>
      <w:marTop w:val="0"/>
      <w:marBottom w:val="0"/>
      <w:divBdr>
        <w:top w:val="none" w:sz="0" w:space="0" w:color="auto"/>
        <w:left w:val="none" w:sz="0" w:space="0" w:color="auto"/>
        <w:bottom w:val="none" w:sz="0" w:space="0" w:color="auto"/>
        <w:right w:val="none" w:sz="0" w:space="0" w:color="auto"/>
      </w:divBdr>
    </w:div>
    <w:div w:id="428543723">
      <w:bodyDiv w:val="1"/>
      <w:marLeft w:val="0"/>
      <w:marRight w:val="0"/>
      <w:marTop w:val="0"/>
      <w:marBottom w:val="0"/>
      <w:divBdr>
        <w:top w:val="none" w:sz="0" w:space="0" w:color="auto"/>
        <w:left w:val="none" w:sz="0" w:space="0" w:color="auto"/>
        <w:bottom w:val="none" w:sz="0" w:space="0" w:color="auto"/>
        <w:right w:val="none" w:sz="0" w:space="0" w:color="auto"/>
      </w:divBdr>
    </w:div>
    <w:div w:id="462163887">
      <w:bodyDiv w:val="1"/>
      <w:marLeft w:val="0"/>
      <w:marRight w:val="0"/>
      <w:marTop w:val="0"/>
      <w:marBottom w:val="0"/>
      <w:divBdr>
        <w:top w:val="none" w:sz="0" w:space="0" w:color="auto"/>
        <w:left w:val="none" w:sz="0" w:space="0" w:color="auto"/>
        <w:bottom w:val="none" w:sz="0" w:space="0" w:color="auto"/>
        <w:right w:val="none" w:sz="0" w:space="0" w:color="auto"/>
      </w:divBdr>
    </w:div>
    <w:div w:id="484199299">
      <w:bodyDiv w:val="1"/>
      <w:marLeft w:val="0"/>
      <w:marRight w:val="0"/>
      <w:marTop w:val="0"/>
      <w:marBottom w:val="0"/>
      <w:divBdr>
        <w:top w:val="none" w:sz="0" w:space="0" w:color="auto"/>
        <w:left w:val="none" w:sz="0" w:space="0" w:color="auto"/>
        <w:bottom w:val="none" w:sz="0" w:space="0" w:color="auto"/>
        <w:right w:val="none" w:sz="0" w:space="0" w:color="auto"/>
      </w:divBdr>
    </w:div>
    <w:div w:id="578909917">
      <w:bodyDiv w:val="1"/>
      <w:marLeft w:val="0"/>
      <w:marRight w:val="0"/>
      <w:marTop w:val="0"/>
      <w:marBottom w:val="0"/>
      <w:divBdr>
        <w:top w:val="none" w:sz="0" w:space="0" w:color="auto"/>
        <w:left w:val="none" w:sz="0" w:space="0" w:color="auto"/>
        <w:bottom w:val="none" w:sz="0" w:space="0" w:color="auto"/>
        <w:right w:val="none" w:sz="0" w:space="0" w:color="auto"/>
      </w:divBdr>
    </w:div>
    <w:div w:id="581453186">
      <w:bodyDiv w:val="1"/>
      <w:marLeft w:val="0"/>
      <w:marRight w:val="0"/>
      <w:marTop w:val="0"/>
      <w:marBottom w:val="0"/>
      <w:divBdr>
        <w:top w:val="none" w:sz="0" w:space="0" w:color="auto"/>
        <w:left w:val="none" w:sz="0" w:space="0" w:color="auto"/>
        <w:bottom w:val="none" w:sz="0" w:space="0" w:color="auto"/>
        <w:right w:val="none" w:sz="0" w:space="0" w:color="auto"/>
      </w:divBdr>
    </w:div>
    <w:div w:id="611741757">
      <w:bodyDiv w:val="1"/>
      <w:marLeft w:val="0"/>
      <w:marRight w:val="0"/>
      <w:marTop w:val="0"/>
      <w:marBottom w:val="0"/>
      <w:divBdr>
        <w:top w:val="none" w:sz="0" w:space="0" w:color="auto"/>
        <w:left w:val="none" w:sz="0" w:space="0" w:color="auto"/>
        <w:bottom w:val="none" w:sz="0" w:space="0" w:color="auto"/>
        <w:right w:val="none" w:sz="0" w:space="0" w:color="auto"/>
      </w:divBdr>
    </w:div>
    <w:div w:id="651913106">
      <w:bodyDiv w:val="1"/>
      <w:marLeft w:val="0"/>
      <w:marRight w:val="0"/>
      <w:marTop w:val="0"/>
      <w:marBottom w:val="0"/>
      <w:divBdr>
        <w:top w:val="none" w:sz="0" w:space="0" w:color="auto"/>
        <w:left w:val="none" w:sz="0" w:space="0" w:color="auto"/>
        <w:bottom w:val="none" w:sz="0" w:space="0" w:color="auto"/>
        <w:right w:val="none" w:sz="0" w:space="0" w:color="auto"/>
      </w:divBdr>
    </w:div>
    <w:div w:id="683871156">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757215348">
      <w:bodyDiv w:val="1"/>
      <w:marLeft w:val="0"/>
      <w:marRight w:val="0"/>
      <w:marTop w:val="0"/>
      <w:marBottom w:val="0"/>
      <w:divBdr>
        <w:top w:val="none" w:sz="0" w:space="0" w:color="auto"/>
        <w:left w:val="none" w:sz="0" w:space="0" w:color="auto"/>
        <w:bottom w:val="none" w:sz="0" w:space="0" w:color="auto"/>
        <w:right w:val="none" w:sz="0" w:space="0" w:color="auto"/>
      </w:divBdr>
    </w:div>
    <w:div w:id="769397179">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0898496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893539406">
      <w:bodyDiv w:val="1"/>
      <w:marLeft w:val="0"/>
      <w:marRight w:val="0"/>
      <w:marTop w:val="0"/>
      <w:marBottom w:val="0"/>
      <w:divBdr>
        <w:top w:val="none" w:sz="0" w:space="0" w:color="auto"/>
        <w:left w:val="none" w:sz="0" w:space="0" w:color="auto"/>
        <w:bottom w:val="none" w:sz="0" w:space="0" w:color="auto"/>
        <w:right w:val="none" w:sz="0" w:space="0" w:color="auto"/>
      </w:divBdr>
      <w:divsChild>
        <w:div w:id="486239973">
          <w:marLeft w:val="0"/>
          <w:marRight w:val="0"/>
          <w:marTop w:val="0"/>
          <w:marBottom w:val="0"/>
          <w:divBdr>
            <w:top w:val="none" w:sz="0" w:space="0" w:color="auto"/>
            <w:left w:val="none" w:sz="0" w:space="0" w:color="auto"/>
            <w:bottom w:val="none" w:sz="0" w:space="0" w:color="auto"/>
            <w:right w:val="none" w:sz="0" w:space="0" w:color="auto"/>
          </w:divBdr>
        </w:div>
        <w:div w:id="1993872316">
          <w:marLeft w:val="0"/>
          <w:marRight w:val="0"/>
          <w:marTop w:val="0"/>
          <w:marBottom w:val="0"/>
          <w:divBdr>
            <w:top w:val="none" w:sz="0" w:space="0" w:color="auto"/>
            <w:left w:val="none" w:sz="0" w:space="0" w:color="auto"/>
            <w:bottom w:val="none" w:sz="0" w:space="0" w:color="auto"/>
            <w:right w:val="none" w:sz="0" w:space="0" w:color="auto"/>
          </w:divBdr>
        </w:div>
        <w:div w:id="297996657">
          <w:marLeft w:val="0"/>
          <w:marRight w:val="0"/>
          <w:marTop w:val="0"/>
          <w:marBottom w:val="0"/>
          <w:divBdr>
            <w:top w:val="none" w:sz="0" w:space="0" w:color="auto"/>
            <w:left w:val="none" w:sz="0" w:space="0" w:color="auto"/>
            <w:bottom w:val="none" w:sz="0" w:space="0" w:color="auto"/>
            <w:right w:val="none" w:sz="0" w:space="0" w:color="auto"/>
          </w:divBdr>
        </w:div>
      </w:divsChild>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990406239">
      <w:bodyDiv w:val="1"/>
      <w:marLeft w:val="0"/>
      <w:marRight w:val="0"/>
      <w:marTop w:val="0"/>
      <w:marBottom w:val="0"/>
      <w:divBdr>
        <w:top w:val="none" w:sz="0" w:space="0" w:color="auto"/>
        <w:left w:val="none" w:sz="0" w:space="0" w:color="auto"/>
        <w:bottom w:val="none" w:sz="0" w:space="0" w:color="auto"/>
        <w:right w:val="none" w:sz="0" w:space="0" w:color="auto"/>
      </w:divBdr>
    </w:div>
    <w:div w:id="1023941518">
      <w:bodyDiv w:val="1"/>
      <w:marLeft w:val="0"/>
      <w:marRight w:val="0"/>
      <w:marTop w:val="0"/>
      <w:marBottom w:val="0"/>
      <w:divBdr>
        <w:top w:val="none" w:sz="0" w:space="0" w:color="auto"/>
        <w:left w:val="none" w:sz="0" w:space="0" w:color="auto"/>
        <w:bottom w:val="none" w:sz="0" w:space="0" w:color="auto"/>
        <w:right w:val="none" w:sz="0" w:space="0" w:color="auto"/>
      </w:divBdr>
    </w:div>
    <w:div w:id="1080718470">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70413491">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69463310">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379860842">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586181620">
      <w:bodyDiv w:val="1"/>
      <w:marLeft w:val="0"/>
      <w:marRight w:val="0"/>
      <w:marTop w:val="0"/>
      <w:marBottom w:val="0"/>
      <w:divBdr>
        <w:top w:val="none" w:sz="0" w:space="0" w:color="auto"/>
        <w:left w:val="none" w:sz="0" w:space="0" w:color="auto"/>
        <w:bottom w:val="none" w:sz="0" w:space="0" w:color="auto"/>
        <w:right w:val="none" w:sz="0" w:space="0" w:color="auto"/>
      </w:divBdr>
    </w:div>
    <w:div w:id="1609660240">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02170428">
      <w:bodyDiv w:val="1"/>
      <w:marLeft w:val="0"/>
      <w:marRight w:val="0"/>
      <w:marTop w:val="0"/>
      <w:marBottom w:val="0"/>
      <w:divBdr>
        <w:top w:val="none" w:sz="0" w:space="0" w:color="auto"/>
        <w:left w:val="none" w:sz="0" w:space="0" w:color="auto"/>
        <w:bottom w:val="none" w:sz="0" w:space="0" w:color="auto"/>
        <w:right w:val="none" w:sz="0" w:space="0" w:color="auto"/>
      </w:divBdr>
    </w:div>
    <w:div w:id="1723942921">
      <w:bodyDiv w:val="1"/>
      <w:marLeft w:val="0"/>
      <w:marRight w:val="0"/>
      <w:marTop w:val="0"/>
      <w:marBottom w:val="0"/>
      <w:divBdr>
        <w:top w:val="none" w:sz="0" w:space="0" w:color="auto"/>
        <w:left w:val="none" w:sz="0" w:space="0" w:color="auto"/>
        <w:bottom w:val="none" w:sz="0" w:space="0" w:color="auto"/>
        <w:right w:val="none" w:sz="0" w:space="0" w:color="auto"/>
      </w:divBdr>
    </w:div>
    <w:div w:id="1767654258">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 w:id="1887452095">
      <w:bodyDiv w:val="1"/>
      <w:marLeft w:val="0"/>
      <w:marRight w:val="0"/>
      <w:marTop w:val="0"/>
      <w:marBottom w:val="0"/>
      <w:divBdr>
        <w:top w:val="none" w:sz="0" w:space="0" w:color="auto"/>
        <w:left w:val="none" w:sz="0" w:space="0" w:color="auto"/>
        <w:bottom w:val="none" w:sz="0" w:space="0" w:color="auto"/>
        <w:right w:val="none" w:sz="0" w:space="0" w:color="auto"/>
      </w:divBdr>
    </w:div>
    <w:div w:id="1917979423">
      <w:bodyDiv w:val="1"/>
      <w:marLeft w:val="0"/>
      <w:marRight w:val="0"/>
      <w:marTop w:val="0"/>
      <w:marBottom w:val="0"/>
      <w:divBdr>
        <w:top w:val="none" w:sz="0" w:space="0" w:color="auto"/>
        <w:left w:val="none" w:sz="0" w:space="0" w:color="auto"/>
        <w:bottom w:val="none" w:sz="0" w:space="0" w:color="auto"/>
        <w:right w:val="none" w:sz="0" w:space="0" w:color="auto"/>
      </w:divBdr>
    </w:div>
    <w:div w:id="1945771885">
      <w:bodyDiv w:val="1"/>
      <w:marLeft w:val="0"/>
      <w:marRight w:val="0"/>
      <w:marTop w:val="0"/>
      <w:marBottom w:val="0"/>
      <w:divBdr>
        <w:top w:val="none" w:sz="0" w:space="0" w:color="auto"/>
        <w:left w:val="none" w:sz="0" w:space="0" w:color="auto"/>
        <w:bottom w:val="none" w:sz="0" w:space="0" w:color="auto"/>
        <w:right w:val="none" w:sz="0" w:space="0" w:color="auto"/>
      </w:divBdr>
    </w:div>
    <w:div w:id="1946884771">
      <w:bodyDiv w:val="1"/>
      <w:marLeft w:val="0"/>
      <w:marRight w:val="0"/>
      <w:marTop w:val="0"/>
      <w:marBottom w:val="0"/>
      <w:divBdr>
        <w:top w:val="none" w:sz="0" w:space="0" w:color="auto"/>
        <w:left w:val="none" w:sz="0" w:space="0" w:color="auto"/>
        <w:bottom w:val="none" w:sz="0" w:space="0" w:color="auto"/>
        <w:right w:val="none" w:sz="0" w:space="0" w:color="auto"/>
      </w:divBdr>
    </w:div>
    <w:div w:id="1964847169">
      <w:bodyDiv w:val="1"/>
      <w:marLeft w:val="0"/>
      <w:marRight w:val="0"/>
      <w:marTop w:val="0"/>
      <w:marBottom w:val="0"/>
      <w:divBdr>
        <w:top w:val="none" w:sz="0" w:space="0" w:color="auto"/>
        <w:left w:val="none" w:sz="0" w:space="0" w:color="auto"/>
        <w:bottom w:val="none" w:sz="0" w:space="0" w:color="auto"/>
        <w:right w:val="none" w:sz="0" w:space="0" w:color="auto"/>
      </w:divBdr>
    </w:div>
    <w:div w:id="1965307088">
      <w:bodyDiv w:val="1"/>
      <w:marLeft w:val="0"/>
      <w:marRight w:val="0"/>
      <w:marTop w:val="0"/>
      <w:marBottom w:val="0"/>
      <w:divBdr>
        <w:top w:val="none" w:sz="0" w:space="0" w:color="auto"/>
        <w:left w:val="none" w:sz="0" w:space="0" w:color="auto"/>
        <w:bottom w:val="none" w:sz="0" w:space="0" w:color="auto"/>
        <w:right w:val="none" w:sz="0" w:space="0" w:color="auto"/>
      </w:divBdr>
    </w:div>
    <w:div w:id="1982348447">
      <w:bodyDiv w:val="1"/>
      <w:marLeft w:val="0"/>
      <w:marRight w:val="0"/>
      <w:marTop w:val="0"/>
      <w:marBottom w:val="0"/>
      <w:divBdr>
        <w:top w:val="none" w:sz="0" w:space="0" w:color="auto"/>
        <w:left w:val="none" w:sz="0" w:space="0" w:color="auto"/>
        <w:bottom w:val="none" w:sz="0" w:space="0" w:color="auto"/>
        <w:right w:val="none" w:sz="0" w:space="0" w:color="auto"/>
      </w:divBdr>
    </w:div>
    <w:div w:id="2100444412">
      <w:bodyDiv w:val="1"/>
      <w:marLeft w:val="0"/>
      <w:marRight w:val="0"/>
      <w:marTop w:val="0"/>
      <w:marBottom w:val="0"/>
      <w:divBdr>
        <w:top w:val="none" w:sz="0" w:space="0" w:color="auto"/>
        <w:left w:val="none" w:sz="0" w:space="0" w:color="auto"/>
        <w:bottom w:val="none" w:sz="0" w:space="0" w:color="auto"/>
        <w:right w:val="none" w:sz="0" w:space="0" w:color="auto"/>
      </w:divBdr>
    </w:div>
    <w:div w:id="2106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08be7902f45b4c9f"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2.xml><?xml version="1.0" encoding="utf-8"?>
<ds:datastoreItem xmlns:ds="http://schemas.openxmlformats.org/officeDocument/2006/customXml" ds:itemID="{C8C342FA-2B01-4643-A3BD-8B53C3B5B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0F1941C4-D330-4C0E-86D5-D22D9FA5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3530</Words>
  <Characters>19418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6</cp:revision>
  <dcterms:created xsi:type="dcterms:W3CDTF">2023-05-18T13:48:00Z</dcterms:created>
  <dcterms:modified xsi:type="dcterms:W3CDTF">2023-07-11T17:08:00Z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