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86AEE" w14:textId="77777777" w:rsidR="00282DAA" w:rsidRPr="00282DAA" w:rsidRDefault="00282DAA" w:rsidP="00282DAA">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30j0zll"/>
      <w:bookmarkStart w:id="1" w:name="_GoBack"/>
      <w:bookmarkEnd w:id="0"/>
      <w:bookmarkEnd w:id="1"/>
      <w:r w:rsidRPr="00282DA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EBB02A1" w14:textId="77777777" w:rsidR="00282DAA" w:rsidRPr="00282DAA" w:rsidRDefault="00282DAA" w:rsidP="00282DAA">
      <w:pPr>
        <w:spacing w:line="240" w:lineRule="auto"/>
        <w:rPr>
          <w:rFonts w:ascii="Arial" w:eastAsia="Times New Roman" w:hAnsi="Arial" w:cs="Arial"/>
          <w:sz w:val="20"/>
          <w:szCs w:val="20"/>
          <w:lang w:val="es-419" w:eastAsia="es-ES"/>
        </w:rPr>
      </w:pPr>
    </w:p>
    <w:p w14:paraId="536E1C66" w14:textId="1DCED74C" w:rsidR="00282DAA" w:rsidRPr="00282DAA" w:rsidRDefault="00282DAA" w:rsidP="00282DAA">
      <w:pPr>
        <w:spacing w:line="240" w:lineRule="auto"/>
        <w:rPr>
          <w:rFonts w:ascii="Arial" w:hAnsi="Arial" w:cs="Arial"/>
          <w:sz w:val="20"/>
          <w:szCs w:val="20"/>
          <w:lang w:val="es-419"/>
        </w:rPr>
      </w:pPr>
      <w:r w:rsidRPr="00282DAA">
        <w:rPr>
          <w:rFonts w:ascii="Arial" w:hAnsi="Arial" w:cs="Arial"/>
          <w:sz w:val="20"/>
          <w:szCs w:val="20"/>
          <w:lang w:val="es-419"/>
        </w:rPr>
        <w:t>Radicación No.:</w:t>
      </w:r>
      <w:r w:rsidR="00F34072">
        <w:rPr>
          <w:rFonts w:ascii="Arial" w:hAnsi="Arial" w:cs="Arial"/>
          <w:sz w:val="20"/>
          <w:szCs w:val="20"/>
          <w:lang w:val="es-419"/>
        </w:rPr>
        <w:tab/>
      </w:r>
      <w:r w:rsidR="00F34072">
        <w:rPr>
          <w:rFonts w:ascii="Arial" w:hAnsi="Arial" w:cs="Arial"/>
          <w:sz w:val="20"/>
          <w:szCs w:val="20"/>
          <w:lang w:val="es-419"/>
        </w:rPr>
        <w:tab/>
      </w:r>
      <w:r w:rsidRPr="00282DAA">
        <w:rPr>
          <w:rFonts w:ascii="Arial" w:hAnsi="Arial" w:cs="Arial"/>
          <w:sz w:val="20"/>
          <w:szCs w:val="20"/>
          <w:lang w:val="es-419"/>
        </w:rPr>
        <w:t>66001-31-05-005-2021-00052-01</w:t>
      </w:r>
    </w:p>
    <w:p w14:paraId="4244478D" w14:textId="7FBA296F" w:rsidR="00282DAA" w:rsidRPr="00282DAA" w:rsidRDefault="00282DAA" w:rsidP="00282DAA">
      <w:pPr>
        <w:spacing w:line="240" w:lineRule="auto"/>
        <w:rPr>
          <w:rFonts w:ascii="Arial" w:hAnsi="Arial" w:cs="Arial"/>
          <w:sz w:val="20"/>
          <w:szCs w:val="20"/>
          <w:lang w:val="es-419"/>
        </w:rPr>
      </w:pPr>
      <w:r w:rsidRPr="00282DAA">
        <w:rPr>
          <w:rFonts w:ascii="Arial" w:hAnsi="Arial" w:cs="Arial"/>
          <w:sz w:val="20"/>
          <w:szCs w:val="20"/>
          <w:lang w:val="es-419"/>
        </w:rPr>
        <w:t>Proceso:</w:t>
      </w:r>
      <w:r>
        <w:rPr>
          <w:rFonts w:ascii="Arial" w:hAnsi="Arial" w:cs="Arial"/>
          <w:sz w:val="20"/>
          <w:szCs w:val="20"/>
          <w:lang w:val="es-419"/>
        </w:rPr>
        <w:tab/>
      </w:r>
      <w:r w:rsidRPr="00282DAA">
        <w:rPr>
          <w:rFonts w:ascii="Arial" w:hAnsi="Arial" w:cs="Arial"/>
          <w:sz w:val="20"/>
          <w:szCs w:val="20"/>
          <w:lang w:val="es-419"/>
        </w:rPr>
        <w:tab/>
        <w:t xml:space="preserve">Ordinario Laboral </w:t>
      </w:r>
    </w:p>
    <w:p w14:paraId="5079C589" w14:textId="3A1772FD" w:rsidR="00282DAA" w:rsidRPr="00282DAA" w:rsidRDefault="00282DAA" w:rsidP="00282DAA">
      <w:pPr>
        <w:spacing w:line="240" w:lineRule="auto"/>
        <w:rPr>
          <w:rFonts w:ascii="Arial" w:hAnsi="Arial" w:cs="Arial"/>
          <w:sz w:val="20"/>
          <w:szCs w:val="20"/>
          <w:lang w:val="es-419"/>
        </w:rPr>
      </w:pPr>
      <w:r w:rsidRPr="00282DAA">
        <w:rPr>
          <w:rFonts w:ascii="Arial" w:hAnsi="Arial" w:cs="Arial"/>
          <w:sz w:val="20"/>
          <w:szCs w:val="20"/>
          <w:lang w:val="es-419"/>
        </w:rPr>
        <w:t>Demandante:</w:t>
      </w:r>
      <w:r>
        <w:rPr>
          <w:rFonts w:ascii="Arial" w:hAnsi="Arial" w:cs="Arial"/>
          <w:sz w:val="20"/>
          <w:szCs w:val="20"/>
          <w:lang w:val="es-419"/>
        </w:rPr>
        <w:tab/>
      </w:r>
      <w:r w:rsidRPr="00282DAA">
        <w:rPr>
          <w:rFonts w:ascii="Arial" w:hAnsi="Arial" w:cs="Arial"/>
          <w:sz w:val="20"/>
          <w:szCs w:val="20"/>
          <w:lang w:val="es-419"/>
        </w:rPr>
        <w:tab/>
        <w:t>Edilson Martínez Pérez</w:t>
      </w:r>
    </w:p>
    <w:p w14:paraId="6A9C0663" w14:textId="62F9FD3C" w:rsidR="00282DAA" w:rsidRPr="00282DAA" w:rsidRDefault="00282DAA" w:rsidP="00282DAA">
      <w:pPr>
        <w:spacing w:line="240" w:lineRule="auto"/>
        <w:rPr>
          <w:rFonts w:ascii="Arial" w:hAnsi="Arial" w:cs="Arial"/>
          <w:sz w:val="20"/>
          <w:szCs w:val="20"/>
          <w:lang w:val="es-419"/>
        </w:rPr>
      </w:pPr>
      <w:r w:rsidRPr="00282DAA">
        <w:rPr>
          <w:rFonts w:ascii="Arial" w:hAnsi="Arial" w:cs="Arial"/>
          <w:sz w:val="20"/>
          <w:szCs w:val="20"/>
          <w:lang w:val="es-419"/>
        </w:rPr>
        <w:t>Demandado:</w:t>
      </w:r>
      <w:r>
        <w:rPr>
          <w:rFonts w:ascii="Arial" w:hAnsi="Arial" w:cs="Arial"/>
          <w:sz w:val="20"/>
          <w:szCs w:val="20"/>
          <w:lang w:val="es-419"/>
        </w:rPr>
        <w:tab/>
      </w:r>
      <w:r w:rsidRPr="00282DAA">
        <w:rPr>
          <w:rFonts w:ascii="Arial" w:hAnsi="Arial" w:cs="Arial"/>
          <w:sz w:val="20"/>
          <w:szCs w:val="20"/>
          <w:lang w:val="es-419"/>
        </w:rPr>
        <w:tab/>
        <w:t>Soluciones Técnicas Domiciliarias S.A.S</w:t>
      </w:r>
    </w:p>
    <w:p w14:paraId="643D6E32" w14:textId="2FAC6891" w:rsidR="00282DAA" w:rsidRDefault="00282DAA" w:rsidP="00282DAA">
      <w:pPr>
        <w:spacing w:line="240" w:lineRule="auto"/>
        <w:rPr>
          <w:rFonts w:ascii="Arial" w:hAnsi="Arial" w:cs="Arial"/>
          <w:sz w:val="20"/>
          <w:szCs w:val="20"/>
          <w:lang w:val="es-419"/>
        </w:rPr>
      </w:pPr>
      <w:r w:rsidRPr="00282DAA">
        <w:rPr>
          <w:rFonts w:ascii="Arial" w:hAnsi="Arial" w:cs="Arial"/>
          <w:sz w:val="20"/>
          <w:szCs w:val="20"/>
          <w:lang w:val="es-419"/>
        </w:rPr>
        <w:t>Juzgado:</w:t>
      </w:r>
      <w:r>
        <w:rPr>
          <w:rFonts w:ascii="Arial" w:hAnsi="Arial" w:cs="Arial"/>
          <w:sz w:val="20"/>
          <w:szCs w:val="20"/>
          <w:lang w:val="es-419"/>
        </w:rPr>
        <w:tab/>
      </w:r>
      <w:r>
        <w:rPr>
          <w:rFonts w:ascii="Arial" w:hAnsi="Arial" w:cs="Arial"/>
          <w:sz w:val="20"/>
          <w:szCs w:val="20"/>
          <w:lang w:val="es-419"/>
        </w:rPr>
        <w:tab/>
      </w:r>
      <w:r w:rsidRPr="00282DAA">
        <w:rPr>
          <w:rFonts w:ascii="Arial" w:hAnsi="Arial" w:cs="Arial"/>
          <w:sz w:val="20"/>
          <w:szCs w:val="20"/>
          <w:lang w:val="es-419"/>
        </w:rPr>
        <w:t>Quinto Laboral del Circuito de Pereira</w:t>
      </w:r>
    </w:p>
    <w:p w14:paraId="7364687E" w14:textId="77777777" w:rsidR="00282DAA" w:rsidRPr="00282DAA" w:rsidRDefault="00282DAA" w:rsidP="00282DAA">
      <w:pPr>
        <w:spacing w:line="240" w:lineRule="auto"/>
        <w:rPr>
          <w:rFonts w:ascii="Arial" w:hAnsi="Arial" w:cs="Arial"/>
          <w:color w:val="000000"/>
          <w:sz w:val="20"/>
          <w:szCs w:val="20"/>
        </w:rPr>
      </w:pPr>
    </w:p>
    <w:p w14:paraId="23B95B7E" w14:textId="00A8E17F" w:rsidR="00282DAA" w:rsidRPr="00282DAA" w:rsidRDefault="001C7DA2" w:rsidP="00282DAA">
      <w:pPr>
        <w:spacing w:line="240" w:lineRule="auto"/>
        <w:rPr>
          <w:rFonts w:ascii="Arial" w:eastAsia="Times New Roman" w:hAnsi="Arial" w:cs="Arial"/>
          <w:b/>
          <w:bCs/>
          <w:iCs/>
          <w:sz w:val="20"/>
          <w:szCs w:val="20"/>
          <w:lang w:val="es-419" w:eastAsia="fr-FR"/>
        </w:rPr>
      </w:pPr>
      <w:r w:rsidRPr="00282DAA">
        <w:rPr>
          <w:rFonts w:ascii="Arial" w:eastAsia="Times New Roman" w:hAnsi="Arial" w:cs="Arial"/>
          <w:b/>
          <w:bCs/>
          <w:iCs/>
          <w:sz w:val="20"/>
          <w:szCs w:val="20"/>
          <w:u w:val="single"/>
          <w:lang w:val="es-419" w:eastAsia="fr-FR"/>
        </w:rPr>
        <w:t>TEMAS:</w:t>
      </w:r>
      <w:r w:rsidRPr="00282DAA">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ESTABILIDAD LABORAL REFORZADA / POR DISCAPACIDAD / LEY 361 DE 1997 / INTERPRETACIÓN JURISPRUDENCIAL / EVOLUCIÓN / NO DEBE HABER DISCRIMINACIÓN / FACTORES QUE LA ACREDITAN.</w:t>
      </w:r>
    </w:p>
    <w:p w14:paraId="18F7B6C2" w14:textId="77777777" w:rsidR="00282DAA" w:rsidRPr="00282DAA" w:rsidRDefault="00282DAA" w:rsidP="00282DAA">
      <w:pPr>
        <w:spacing w:line="240" w:lineRule="auto"/>
        <w:rPr>
          <w:rFonts w:ascii="Arial" w:eastAsia="Times New Roman" w:hAnsi="Arial" w:cs="Arial"/>
          <w:sz w:val="20"/>
          <w:szCs w:val="20"/>
          <w:lang w:val="es-419" w:eastAsia="es-ES"/>
        </w:rPr>
      </w:pPr>
    </w:p>
    <w:p w14:paraId="722AFCFA" w14:textId="31842F2C" w:rsidR="00282DAA" w:rsidRPr="00282DAA" w:rsidRDefault="0049147A" w:rsidP="00282DAA">
      <w:pPr>
        <w:spacing w:line="240" w:lineRule="auto"/>
        <w:rPr>
          <w:rFonts w:ascii="Arial" w:eastAsia="Times New Roman" w:hAnsi="Arial" w:cs="Arial"/>
          <w:sz w:val="20"/>
          <w:szCs w:val="20"/>
          <w:lang w:val="es-419" w:eastAsia="es-ES"/>
        </w:rPr>
      </w:pPr>
      <w:r w:rsidRPr="0049147A">
        <w:rPr>
          <w:rFonts w:ascii="Arial" w:eastAsia="Times New Roman" w:hAnsi="Arial" w:cs="Arial"/>
          <w:sz w:val="20"/>
          <w:szCs w:val="20"/>
          <w:lang w:val="es-419" w:eastAsia="es-ES"/>
        </w:rPr>
        <w:t>Dispone el art. 26 de la Ley 361 de 1997 que “(…) en ningún caso la discapacidad de una persona, podrá ser motivo para obstaculizar una vinculación laboral, a menos que dicha discapacidad sea claramente demostrada como incompatible e insuperable en el cargo que se va a desempeñar. Así mismo, ninguna persona en situación de discapacidad podrá ser despedida o su contrato terminado por razón de su discapacidad, salvo que medie autorización de la oficina de Trabajo”</w:t>
      </w:r>
      <w:r>
        <w:rPr>
          <w:rFonts w:ascii="Arial" w:eastAsia="Times New Roman" w:hAnsi="Arial" w:cs="Arial"/>
          <w:sz w:val="20"/>
          <w:szCs w:val="20"/>
          <w:lang w:val="es-419" w:eastAsia="es-ES"/>
        </w:rPr>
        <w:t xml:space="preserve"> …</w:t>
      </w:r>
    </w:p>
    <w:p w14:paraId="7637EE1D" w14:textId="77777777" w:rsidR="00282DAA" w:rsidRPr="00282DAA" w:rsidRDefault="00282DAA" w:rsidP="00282DAA">
      <w:pPr>
        <w:spacing w:line="240" w:lineRule="auto"/>
        <w:rPr>
          <w:rFonts w:ascii="Arial" w:eastAsia="Times New Roman" w:hAnsi="Arial" w:cs="Arial"/>
          <w:sz w:val="20"/>
          <w:szCs w:val="20"/>
          <w:lang w:val="es-419" w:eastAsia="es-ES"/>
        </w:rPr>
      </w:pPr>
    </w:p>
    <w:p w14:paraId="5AB6D2EF" w14:textId="50033DE0" w:rsidR="00282DAA" w:rsidRPr="00282DAA" w:rsidRDefault="003341CF" w:rsidP="00282DAA">
      <w:pPr>
        <w:spacing w:line="240" w:lineRule="auto"/>
        <w:rPr>
          <w:rFonts w:ascii="Arial" w:eastAsia="Times New Roman" w:hAnsi="Arial" w:cs="Arial"/>
          <w:sz w:val="20"/>
          <w:szCs w:val="20"/>
          <w:lang w:val="es-419" w:eastAsia="es-ES"/>
        </w:rPr>
      </w:pPr>
      <w:r w:rsidRPr="003341CF">
        <w:rPr>
          <w:rFonts w:ascii="Arial" w:eastAsia="Times New Roman" w:hAnsi="Arial" w:cs="Arial"/>
          <w:sz w:val="20"/>
          <w:szCs w:val="20"/>
          <w:lang w:val="es-419" w:eastAsia="es-ES"/>
        </w:rPr>
        <w:t>A propósito de esta norma, ha indicado la Corte Constitucional que esa garantía cobija a aquellos trabajadores que padezcan algún tipo de problema grave en su estado de salud que les impida el desempeño normal de sus funciones; situación que conlleva a que su desvinculación se califique como un acto discriminatorio</w:t>
      </w:r>
      <w:r>
        <w:rPr>
          <w:rFonts w:ascii="Arial" w:eastAsia="Times New Roman" w:hAnsi="Arial" w:cs="Arial"/>
          <w:sz w:val="20"/>
          <w:szCs w:val="20"/>
          <w:lang w:val="es-419" w:eastAsia="es-ES"/>
        </w:rPr>
        <w:t>…</w:t>
      </w:r>
    </w:p>
    <w:p w14:paraId="32C6F32A" w14:textId="77777777" w:rsidR="00282DAA" w:rsidRPr="00282DAA" w:rsidRDefault="00282DAA" w:rsidP="00282DAA">
      <w:pPr>
        <w:spacing w:line="240" w:lineRule="auto"/>
        <w:rPr>
          <w:rFonts w:ascii="Arial" w:eastAsia="Times New Roman" w:hAnsi="Arial" w:cs="Arial"/>
          <w:sz w:val="20"/>
          <w:szCs w:val="20"/>
          <w:lang w:val="es-419" w:eastAsia="es-ES"/>
        </w:rPr>
      </w:pPr>
    </w:p>
    <w:p w14:paraId="156B7205" w14:textId="575E4046" w:rsidR="00282DAA" w:rsidRPr="00282DAA" w:rsidRDefault="000A37AB" w:rsidP="00282DAA">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A37AB">
        <w:rPr>
          <w:rFonts w:ascii="Arial" w:eastAsia="Times New Roman" w:hAnsi="Arial" w:cs="Arial"/>
          <w:sz w:val="20"/>
          <w:szCs w:val="20"/>
          <w:lang w:val="es-419" w:eastAsia="es-ES"/>
        </w:rPr>
        <w:t>a partir de la sentencia SL2586-2020, del 15 de julio de 2020, la Corte precisó que el dictamen pericial no es prueba solemne de la discapacidad, la cual puede ser acreditada bajo cualquier otro medio probatorio, rigiendo para el efecto el principio de libertad probatoria y de formación del convencimiento y además aclaró que, en todo caso, el requisito o exigencia de la acreditación de una discapacidad al menos moderada, solo es exigible frente a litigios fundamentados en hechos anteriores a la entrada en vigor de la Convención sobre los derechos de las personas con discapacidad, aprobada por la Ley 1346 de 2009</w:t>
      </w:r>
      <w:r>
        <w:rPr>
          <w:rFonts w:ascii="Arial" w:eastAsia="Times New Roman" w:hAnsi="Arial" w:cs="Arial"/>
          <w:sz w:val="20"/>
          <w:szCs w:val="20"/>
          <w:lang w:val="es-419" w:eastAsia="es-ES"/>
        </w:rPr>
        <w:t>…</w:t>
      </w:r>
    </w:p>
    <w:p w14:paraId="5601E289" w14:textId="77777777" w:rsidR="00282DAA" w:rsidRPr="00282DAA" w:rsidRDefault="00282DAA" w:rsidP="00282DAA">
      <w:pPr>
        <w:spacing w:line="240" w:lineRule="auto"/>
        <w:rPr>
          <w:rFonts w:ascii="Arial" w:eastAsia="Times New Roman" w:hAnsi="Arial" w:cs="Arial"/>
          <w:sz w:val="20"/>
          <w:szCs w:val="20"/>
          <w:lang w:val="es-419" w:eastAsia="es-ES"/>
        </w:rPr>
      </w:pPr>
    </w:p>
    <w:p w14:paraId="215C8EDE" w14:textId="584A42C6" w:rsidR="00282DAA" w:rsidRPr="00282DAA" w:rsidRDefault="000A37AB" w:rsidP="00282DAA">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A37AB">
        <w:rPr>
          <w:rFonts w:ascii="Arial" w:eastAsia="Times New Roman" w:hAnsi="Arial" w:cs="Arial"/>
          <w:sz w:val="20"/>
          <w:szCs w:val="20"/>
          <w:lang w:val="es-419" w:eastAsia="es-ES"/>
        </w:rPr>
        <w:t>este no ha sido un tema pacífico al interior del órgano de cierre del máximo Tribunal, advirtiendo en todo caso, que las mayorías de esta Sala acogen el salvamento de voto de la sentencia SL711-2021, lo que a su vez implica que la posición de la mayoría se atiene a la interpretación que se dio en la citada sentencia SL2586-2020 del 15 de julio de 2020, como quiera que la tesis mayoritaria del máximo órgano de cierre se basa en los grados de pérdida de la capacidad laboral</w:t>
      </w:r>
      <w:r>
        <w:rPr>
          <w:rFonts w:ascii="Arial" w:eastAsia="Times New Roman" w:hAnsi="Arial" w:cs="Arial"/>
          <w:sz w:val="20"/>
          <w:szCs w:val="20"/>
          <w:lang w:val="es-419" w:eastAsia="es-ES"/>
        </w:rPr>
        <w:t>…</w:t>
      </w:r>
    </w:p>
    <w:p w14:paraId="76E1A01B" w14:textId="77777777" w:rsidR="00282DAA" w:rsidRPr="00282DAA" w:rsidRDefault="00282DAA" w:rsidP="00282DAA">
      <w:pPr>
        <w:spacing w:line="240" w:lineRule="auto"/>
        <w:rPr>
          <w:rFonts w:ascii="Arial" w:eastAsia="Times New Roman" w:hAnsi="Arial" w:cs="Arial"/>
          <w:sz w:val="20"/>
          <w:szCs w:val="20"/>
          <w:lang w:val="es-419" w:eastAsia="es-ES"/>
        </w:rPr>
      </w:pPr>
    </w:p>
    <w:p w14:paraId="48C81442" w14:textId="325787AA" w:rsidR="00282DAA" w:rsidRPr="00282DAA" w:rsidRDefault="000646E1" w:rsidP="00282DAA">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646E1">
        <w:rPr>
          <w:rFonts w:ascii="Arial" w:eastAsia="Times New Roman" w:hAnsi="Arial" w:cs="Arial"/>
          <w:sz w:val="20"/>
          <w:szCs w:val="20"/>
          <w:lang w:val="es-419" w:eastAsia="es-ES"/>
        </w:rPr>
        <w:t>atendiendo al precedente de la sentencia SL2586-2020 y los múltiples pronunciamientos que en el mismo sentido ha dictado la Corte Constitucional, dicha discriminación se acredita</w:t>
      </w:r>
      <w:r w:rsidR="0040460F">
        <w:rPr>
          <w:rFonts w:ascii="Arial" w:eastAsia="Times New Roman" w:hAnsi="Arial" w:cs="Arial"/>
          <w:sz w:val="20"/>
          <w:szCs w:val="20"/>
          <w:lang w:val="es-419" w:eastAsia="es-ES"/>
        </w:rPr>
        <w:t>…</w:t>
      </w:r>
      <w:r w:rsidRPr="000646E1">
        <w:rPr>
          <w:rFonts w:ascii="Arial" w:eastAsia="Times New Roman" w:hAnsi="Arial" w:cs="Arial"/>
          <w:sz w:val="20"/>
          <w:szCs w:val="20"/>
          <w:lang w:val="es-419" w:eastAsia="es-ES"/>
        </w:rPr>
        <w:t xml:space="preserve"> cuando en el caso particular se compruebe: 1) que el demandante pueda considerarse una persona en situación de discapacidad, o en estado de debilidad manifiesta; 2) que el empleador tenga conocimiento de tal situación; 3) que se halle probado el nexo causal entre el despido y el estado de salud del trabajador; y 4) que no medie la autorización del inspector del trabajo en los casos en que ella resulta menester</w:t>
      </w:r>
      <w:r>
        <w:rPr>
          <w:rFonts w:ascii="Arial" w:eastAsia="Times New Roman" w:hAnsi="Arial" w:cs="Arial"/>
          <w:sz w:val="20"/>
          <w:szCs w:val="20"/>
          <w:lang w:val="es-419" w:eastAsia="es-ES"/>
        </w:rPr>
        <w:t>…</w:t>
      </w:r>
    </w:p>
    <w:p w14:paraId="3EBE09E9" w14:textId="72DB41AE" w:rsidR="00282DAA" w:rsidRDefault="00282DAA" w:rsidP="00282DAA">
      <w:pPr>
        <w:spacing w:line="240" w:lineRule="auto"/>
        <w:rPr>
          <w:rFonts w:ascii="Arial" w:eastAsia="Times New Roman" w:hAnsi="Arial" w:cs="Arial"/>
          <w:sz w:val="20"/>
          <w:szCs w:val="20"/>
          <w:lang w:val="es-419" w:eastAsia="es-ES"/>
        </w:rPr>
      </w:pPr>
    </w:p>
    <w:p w14:paraId="607399A2" w14:textId="688AF7C1" w:rsidR="000646E1" w:rsidRDefault="000646E1" w:rsidP="00282DAA">
      <w:pPr>
        <w:spacing w:line="240" w:lineRule="auto"/>
        <w:rPr>
          <w:rFonts w:ascii="Arial" w:eastAsia="Times New Roman" w:hAnsi="Arial" w:cs="Arial"/>
          <w:sz w:val="20"/>
          <w:szCs w:val="20"/>
          <w:lang w:val="es-419" w:eastAsia="es-ES"/>
        </w:rPr>
      </w:pPr>
    </w:p>
    <w:p w14:paraId="364F91F6" w14:textId="77777777" w:rsidR="003C2A95" w:rsidRDefault="003C2A95" w:rsidP="00282DAA">
      <w:pPr>
        <w:spacing w:line="240" w:lineRule="auto"/>
        <w:rPr>
          <w:rFonts w:ascii="Arial" w:eastAsia="Times New Roman" w:hAnsi="Arial" w:cs="Arial"/>
          <w:sz w:val="20"/>
          <w:szCs w:val="20"/>
          <w:lang w:val="es-419" w:eastAsia="es-ES"/>
        </w:rPr>
      </w:pPr>
    </w:p>
    <w:p w14:paraId="30C36295" w14:textId="77777777" w:rsidR="00282DAA" w:rsidRPr="00282DAA" w:rsidRDefault="00282DAA" w:rsidP="00282DAA">
      <w:pPr>
        <w:spacing w:line="276" w:lineRule="auto"/>
        <w:jc w:val="center"/>
        <w:rPr>
          <w:rFonts w:eastAsia="Times New Roman"/>
          <w:b/>
          <w:iCs/>
          <w:spacing w:val="2"/>
          <w:szCs w:val="24"/>
          <w:lang w:val="es-CO" w:eastAsia="es-ES"/>
        </w:rPr>
      </w:pPr>
      <w:r w:rsidRPr="00282DAA">
        <w:rPr>
          <w:rFonts w:eastAsia="Times New Roman"/>
          <w:b/>
          <w:bCs/>
          <w:iCs/>
          <w:spacing w:val="2"/>
          <w:szCs w:val="24"/>
          <w:lang w:val="es-CO" w:eastAsia="es-ES"/>
        </w:rPr>
        <w:t>TRIBUNAL SUPERIOR DEL DISTRITO JUDICIAL DE PEREIRA</w:t>
      </w:r>
    </w:p>
    <w:p w14:paraId="52A9BD2D" w14:textId="77777777" w:rsidR="00282DAA" w:rsidRPr="00282DAA" w:rsidRDefault="00282DAA" w:rsidP="00282DAA">
      <w:pPr>
        <w:spacing w:line="276" w:lineRule="auto"/>
        <w:jc w:val="center"/>
        <w:rPr>
          <w:rFonts w:eastAsia="Times New Roman"/>
          <w:b/>
          <w:iCs/>
          <w:spacing w:val="2"/>
          <w:szCs w:val="24"/>
          <w:lang w:val="es-CO" w:eastAsia="es-ES"/>
        </w:rPr>
      </w:pPr>
      <w:r w:rsidRPr="00282DAA">
        <w:rPr>
          <w:rFonts w:eastAsia="Times New Roman"/>
          <w:b/>
          <w:bCs/>
          <w:iCs/>
          <w:spacing w:val="2"/>
          <w:szCs w:val="24"/>
          <w:lang w:val="es-CO" w:eastAsia="es-ES"/>
        </w:rPr>
        <w:t>SALA PRIMERA DE DECISIÓN LABORAL</w:t>
      </w:r>
    </w:p>
    <w:p w14:paraId="54CB5963" w14:textId="77777777" w:rsidR="00282DAA" w:rsidRPr="00282DAA" w:rsidRDefault="00282DAA" w:rsidP="00282DAA">
      <w:pPr>
        <w:spacing w:line="276" w:lineRule="auto"/>
        <w:jc w:val="center"/>
        <w:rPr>
          <w:rFonts w:eastAsia="Times New Roman"/>
          <w:bCs/>
          <w:spacing w:val="2"/>
          <w:szCs w:val="24"/>
          <w:lang w:val="es-CO" w:eastAsia="es-ES"/>
        </w:rPr>
      </w:pPr>
    </w:p>
    <w:p w14:paraId="18311657" w14:textId="77777777" w:rsidR="00282DAA" w:rsidRPr="00282DAA" w:rsidRDefault="00282DAA" w:rsidP="00282DAA">
      <w:pPr>
        <w:spacing w:line="276" w:lineRule="auto"/>
        <w:jc w:val="center"/>
        <w:rPr>
          <w:rFonts w:eastAsia="Times New Roman"/>
          <w:spacing w:val="2"/>
          <w:szCs w:val="24"/>
          <w:lang w:val="es-CO" w:eastAsia="es-ES"/>
        </w:rPr>
      </w:pPr>
      <w:r w:rsidRPr="00282DAA">
        <w:rPr>
          <w:rFonts w:eastAsia="Times New Roman"/>
          <w:spacing w:val="2"/>
          <w:szCs w:val="24"/>
          <w:lang w:val="es-CO" w:eastAsia="es-ES"/>
        </w:rPr>
        <w:t>Magistrada Ponente: </w:t>
      </w:r>
      <w:r w:rsidRPr="00282DAA">
        <w:rPr>
          <w:rFonts w:eastAsia="Times New Roman"/>
          <w:b/>
          <w:bCs/>
          <w:spacing w:val="2"/>
          <w:szCs w:val="24"/>
          <w:lang w:val="es-CO" w:eastAsia="es-ES"/>
        </w:rPr>
        <w:t>Ana Lucía Caicedo Calderón</w:t>
      </w:r>
    </w:p>
    <w:p w14:paraId="2E32C63F" w14:textId="77777777" w:rsidR="00282DAA" w:rsidRPr="00282DAA" w:rsidRDefault="00282DAA" w:rsidP="00282DAA">
      <w:pPr>
        <w:spacing w:line="276" w:lineRule="auto"/>
        <w:jc w:val="center"/>
        <w:rPr>
          <w:rFonts w:eastAsia="Times New Roman"/>
          <w:spacing w:val="2"/>
          <w:szCs w:val="24"/>
          <w:lang w:val="es-CO" w:eastAsia="es-ES"/>
        </w:rPr>
      </w:pPr>
    </w:p>
    <w:p w14:paraId="02DA1BFB" w14:textId="201698BA" w:rsidR="00667551" w:rsidRPr="00282DAA" w:rsidRDefault="00667551" w:rsidP="00282DAA">
      <w:pPr>
        <w:spacing w:line="276" w:lineRule="auto"/>
        <w:jc w:val="center"/>
        <w:rPr>
          <w:rFonts w:eastAsia="Times New Roman"/>
          <w:szCs w:val="24"/>
        </w:rPr>
      </w:pPr>
      <w:r w:rsidRPr="00282DAA">
        <w:rPr>
          <w:rFonts w:eastAsia="Times New Roman"/>
          <w:szCs w:val="24"/>
        </w:rPr>
        <w:t xml:space="preserve">Pereira, Risaralda, nueve (09) de </w:t>
      </w:r>
      <w:r w:rsidR="00F120B1" w:rsidRPr="00282DAA">
        <w:rPr>
          <w:rFonts w:eastAsia="Times New Roman"/>
          <w:szCs w:val="24"/>
        </w:rPr>
        <w:t>junio</w:t>
      </w:r>
      <w:r w:rsidRPr="00282DAA">
        <w:rPr>
          <w:rFonts w:eastAsia="Times New Roman"/>
          <w:szCs w:val="24"/>
        </w:rPr>
        <w:t xml:space="preserve"> de dos mil </w:t>
      </w:r>
      <w:r w:rsidR="00F120B1" w:rsidRPr="00282DAA">
        <w:rPr>
          <w:rFonts w:eastAsia="Times New Roman"/>
          <w:szCs w:val="24"/>
        </w:rPr>
        <w:t>veintitrés</w:t>
      </w:r>
      <w:r w:rsidRPr="00282DAA">
        <w:rPr>
          <w:rFonts w:eastAsia="Times New Roman"/>
          <w:szCs w:val="24"/>
        </w:rPr>
        <w:t xml:space="preserve"> (202</w:t>
      </w:r>
      <w:r w:rsidR="00F120B1" w:rsidRPr="00282DAA">
        <w:rPr>
          <w:rFonts w:eastAsia="Times New Roman"/>
          <w:szCs w:val="24"/>
        </w:rPr>
        <w:t>3</w:t>
      </w:r>
      <w:r w:rsidRPr="00282DAA">
        <w:rPr>
          <w:rFonts w:eastAsia="Times New Roman"/>
          <w:szCs w:val="24"/>
        </w:rPr>
        <w:t>)  </w:t>
      </w:r>
    </w:p>
    <w:p w14:paraId="047019AB" w14:textId="4C83B9AC" w:rsidR="00667551" w:rsidRPr="00282DAA" w:rsidRDefault="00667551" w:rsidP="00282DAA">
      <w:pPr>
        <w:spacing w:line="276" w:lineRule="auto"/>
        <w:jc w:val="center"/>
        <w:rPr>
          <w:rFonts w:eastAsia="Times New Roman"/>
          <w:szCs w:val="24"/>
        </w:rPr>
      </w:pPr>
      <w:r w:rsidRPr="00282DAA">
        <w:rPr>
          <w:rFonts w:eastAsia="Times New Roman"/>
          <w:szCs w:val="24"/>
        </w:rPr>
        <w:t xml:space="preserve">Acta </w:t>
      </w:r>
      <w:r w:rsidR="009A76A6" w:rsidRPr="00282DAA">
        <w:rPr>
          <w:rFonts w:eastAsia="Times New Roman"/>
          <w:szCs w:val="24"/>
        </w:rPr>
        <w:t>No. 91</w:t>
      </w:r>
      <w:r w:rsidRPr="00282DAA">
        <w:rPr>
          <w:rFonts w:eastAsia="Times New Roman"/>
          <w:szCs w:val="24"/>
        </w:rPr>
        <w:t xml:space="preserve"> del </w:t>
      </w:r>
      <w:r w:rsidR="00F120B1" w:rsidRPr="00282DAA">
        <w:rPr>
          <w:rFonts w:eastAsia="Times New Roman"/>
          <w:szCs w:val="24"/>
        </w:rPr>
        <w:t>08</w:t>
      </w:r>
      <w:r w:rsidRPr="00282DAA">
        <w:rPr>
          <w:rFonts w:eastAsia="Times New Roman"/>
          <w:szCs w:val="24"/>
        </w:rPr>
        <w:t xml:space="preserve"> de </w:t>
      </w:r>
      <w:r w:rsidR="00F120B1" w:rsidRPr="00282DAA">
        <w:rPr>
          <w:rFonts w:eastAsia="Times New Roman"/>
          <w:szCs w:val="24"/>
        </w:rPr>
        <w:t>junio</w:t>
      </w:r>
      <w:r w:rsidRPr="00282DAA">
        <w:rPr>
          <w:rFonts w:eastAsia="Times New Roman"/>
          <w:szCs w:val="24"/>
        </w:rPr>
        <w:t xml:space="preserve"> de 202</w:t>
      </w:r>
      <w:r w:rsidR="00F120B1" w:rsidRPr="00282DAA">
        <w:rPr>
          <w:rFonts w:eastAsia="Times New Roman"/>
          <w:szCs w:val="24"/>
        </w:rPr>
        <w:t>3</w:t>
      </w:r>
    </w:p>
    <w:p w14:paraId="0000001E" w14:textId="77777777" w:rsidR="00041DAE" w:rsidRDefault="00041DAE" w:rsidP="000467F1">
      <w:pPr>
        <w:spacing w:line="276" w:lineRule="auto"/>
        <w:rPr>
          <w:b/>
          <w:szCs w:val="24"/>
        </w:rPr>
      </w:pPr>
    </w:p>
    <w:p w14:paraId="09C9F046" w14:textId="77777777" w:rsidR="000467F1" w:rsidRPr="00282DAA" w:rsidRDefault="000467F1" w:rsidP="000467F1">
      <w:pPr>
        <w:spacing w:line="276" w:lineRule="auto"/>
        <w:rPr>
          <w:b/>
          <w:szCs w:val="24"/>
        </w:rPr>
      </w:pPr>
    </w:p>
    <w:p w14:paraId="00000020" w14:textId="5136B804" w:rsidR="00041DAE" w:rsidRPr="00282DAA" w:rsidRDefault="00E7039F" w:rsidP="00282DAA">
      <w:pPr>
        <w:spacing w:line="276" w:lineRule="auto"/>
        <w:ind w:firstLine="709"/>
        <w:rPr>
          <w:b/>
          <w:bCs/>
          <w:szCs w:val="24"/>
        </w:rPr>
      </w:pPr>
      <w:r w:rsidRPr="00282DAA">
        <w:rPr>
          <w:szCs w:val="24"/>
        </w:rPr>
        <w:t xml:space="preserve">Teniendo en cuenta que el artículo 13 de la Ley 2213 del 13 de junio de 2022, estableció que en la especialidad laboral se proferirán por escrito las providencias de segunda instancia en las que se surta el grado jurisdiccional de consulta o se resuelva el recurso de apelación de autos o sentencias, la Sala de Decisión Laboral del Tribunal Superior de Pereira, integrada por las Magistradas ANA LUCÍA CAICEDO </w:t>
      </w:r>
      <w:r w:rsidRPr="00282DAA">
        <w:rPr>
          <w:szCs w:val="24"/>
        </w:rPr>
        <w:lastRenderedPageBreak/>
        <w:t xml:space="preserve">CALDERÓN, como ponente, y OLGA LUCÍA HOYOS SEPÚLVEDA, y el Magistrado GERMÁN DARIO GOEZ VINASCO, procede a proferir la siguiente sentencia escrita dentro del proceso </w:t>
      </w:r>
      <w:r w:rsidRPr="00282DAA">
        <w:rPr>
          <w:b/>
          <w:szCs w:val="24"/>
        </w:rPr>
        <w:t>ordinario laboral</w:t>
      </w:r>
      <w:r w:rsidRPr="00282DAA">
        <w:rPr>
          <w:szCs w:val="24"/>
        </w:rPr>
        <w:t xml:space="preserve"> instaurado por </w:t>
      </w:r>
      <w:proofErr w:type="spellStart"/>
      <w:r w:rsidR="00713862" w:rsidRPr="00282DAA">
        <w:rPr>
          <w:b/>
          <w:bCs/>
          <w:szCs w:val="24"/>
        </w:rPr>
        <w:t>Edilson</w:t>
      </w:r>
      <w:proofErr w:type="spellEnd"/>
      <w:r w:rsidR="00713862" w:rsidRPr="00282DAA">
        <w:rPr>
          <w:b/>
          <w:bCs/>
          <w:szCs w:val="24"/>
        </w:rPr>
        <w:t xml:space="preserve"> Martínez Pérez </w:t>
      </w:r>
      <w:r w:rsidR="00CA4F9B" w:rsidRPr="00282DAA">
        <w:rPr>
          <w:szCs w:val="24"/>
        </w:rPr>
        <w:t xml:space="preserve">en contra de </w:t>
      </w:r>
      <w:r w:rsidR="00713862" w:rsidRPr="00282DAA">
        <w:rPr>
          <w:b/>
          <w:bCs/>
          <w:szCs w:val="24"/>
        </w:rPr>
        <w:t>Soluciones Técnicas Domiciliarias S.A.S</w:t>
      </w:r>
      <w:r w:rsidR="00BC4556">
        <w:rPr>
          <w:b/>
          <w:bCs/>
          <w:szCs w:val="24"/>
        </w:rPr>
        <w:t>.</w:t>
      </w:r>
    </w:p>
    <w:p w14:paraId="31756295" w14:textId="77777777" w:rsidR="00713862" w:rsidRPr="00282DAA" w:rsidRDefault="00713862" w:rsidP="00282DAA">
      <w:pPr>
        <w:spacing w:line="276" w:lineRule="auto"/>
        <w:ind w:firstLine="709"/>
        <w:rPr>
          <w:b/>
          <w:szCs w:val="24"/>
        </w:rPr>
      </w:pPr>
    </w:p>
    <w:p w14:paraId="00000021" w14:textId="77777777" w:rsidR="00041DAE" w:rsidRPr="00282DAA" w:rsidRDefault="00CA4F9B" w:rsidP="00282DAA">
      <w:pPr>
        <w:pBdr>
          <w:top w:val="nil"/>
          <w:left w:val="nil"/>
          <w:bottom w:val="nil"/>
          <w:right w:val="nil"/>
          <w:between w:val="nil"/>
        </w:pBdr>
        <w:spacing w:line="276" w:lineRule="auto"/>
        <w:jc w:val="center"/>
        <w:rPr>
          <w:b/>
          <w:color w:val="000000"/>
          <w:szCs w:val="24"/>
        </w:rPr>
      </w:pPr>
      <w:r w:rsidRPr="00282DAA">
        <w:rPr>
          <w:b/>
          <w:color w:val="000000"/>
          <w:szCs w:val="24"/>
        </w:rPr>
        <w:t>PUNTO A TRATAR</w:t>
      </w:r>
    </w:p>
    <w:p w14:paraId="00000022" w14:textId="77777777" w:rsidR="00041DAE" w:rsidRPr="00282DAA" w:rsidRDefault="00041DAE" w:rsidP="00282DAA">
      <w:pPr>
        <w:pBdr>
          <w:top w:val="nil"/>
          <w:left w:val="nil"/>
          <w:bottom w:val="nil"/>
          <w:right w:val="nil"/>
          <w:between w:val="nil"/>
        </w:pBdr>
        <w:spacing w:line="276" w:lineRule="auto"/>
        <w:jc w:val="center"/>
        <w:rPr>
          <w:color w:val="000000"/>
          <w:szCs w:val="24"/>
        </w:rPr>
      </w:pPr>
    </w:p>
    <w:p w14:paraId="25D4035E" w14:textId="4C360AF6" w:rsidR="00ED578B" w:rsidRPr="00282DAA" w:rsidRDefault="00CA4F9B" w:rsidP="00282DAA">
      <w:pPr>
        <w:spacing w:line="276" w:lineRule="auto"/>
        <w:ind w:firstLine="708"/>
        <w:rPr>
          <w:szCs w:val="24"/>
          <w:lang w:val="es-ES_tradnl"/>
        </w:rPr>
      </w:pPr>
      <w:r w:rsidRPr="00282DAA">
        <w:rPr>
          <w:szCs w:val="24"/>
        </w:rPr>
        <w:t>Por medio de esta providencia</w:t>
      </w:r>
      <w:r w:rsidR="00503BCF" w:rsidRPr="00282DAA">
        <w:rPr>
          <w:szCs w:val="24"/>
        </w:rPr>
        <w:t xml:space="preserve"> </w:t>
      </w:r>
      <w:r w:rsidRPr="00282DAA">
        <w:rPr>
          <w:szCs w:val="24"/>
        </w:rPr>
        <w:t xml:space="preserve">procede la Sala a resolver el recurso de apelación interpuesto por </w:t>
      </w:r>
      <w:r w:rsidR="00F42FD2" w:rsidRPr="00282DAA">
        <w:rPr>
          <w:szCs w:val="24"/>
        </w:rPr>
        <w:t xml:space="preserve">el demandante </w:t>
      </w:r>
      <w:r w:rsidRPr="00282DAA">
        <w:rPr>
          <w:szCs w:val="24"/>
        </w:rPr>
        <w:t xml:space="preserve">en contra de la sentencia proferida el </w:t>
      </w:r>
      <w:r w:rsidR="00F42FD2" w:rsidRPr="00282DAA">
        <w:rPr>
          <w:szCs w:val="24"/>
        </w:rPr>
        <w:t xml:space="preserve">3 de </w:t>
      </w:r>
      <w:r w:rsidR="00067855" w:rsidRPr="00282DAA">
        <w:rPr>
          <w:szCs w:val="24"/>
        </w:rPr>
        <w:t>octubre</w:t>
      </w:r>
      <w:r w:rsidR="00F42FD2" w:rsidRPr="00282DAA">
        <w:rPr>
          <w:szCs w:val="24"/>
        </w:rPr>
        <w:t xml:space="preserve"> de 2022 </w:t>
      </w:r>
      <w:r w:rsidRPr="00282DAA">
        <w:rPr>
          <w:szCs w:val="24"/>
        </w:rPr>
        <w:t xml:space="preserve">por el Juzgado </w:t>
      </w:r>
      <w:r w:rsidR="00F42FD2" w:rsidRPr="00282DAA">
        <w:rPr>
          <w:szCs w:val="24"/>
        </w:rPr>
        <w:t>Quinto</w:t>
      </w:r>
      <w:r w:rsidRPr="00282DAA">
        <w:rPr>
          <w:szCs w:val="24"/>
        </w:rPr>
        <w:t xml:space="preserve"> Laboral del Circuito de Pereira. </w:t>
      </w:r>
      <w:r w:rsidR="00ED578B" w:rsidRPr="00282DAA">
        <w:rPr>
          <w:rStyle w:val="normaltextrun"/>
          <w:szCs w:val="24"/>
        </w:rPr>
        <w:t>Para ello se tiene en cuenta lo siguiente: </w:t>
      </w:r>
    </w:p>
    <w:p w14:paraId="26A8C121" w14:textId="77777777" w:rsidR="008F5475" w:rsidRPr="00282DAA" w:rsidRDefault="008F5475" w:rsidP="00282DAA">
      <w:pPr>
        <w:spacing w:line="276" w:lineRule="auto"/>
        <w:rPr>
          <w:szCs w:val="24"/>
        </w:rPr>
      </w:pPr>
    </w:p>
    <w:p w14:paraId="34179A9E" w14:textId="77777777" w:rsidR="00ED578B" w:rsidRPr="00282DAA" w:rsidRDefault="00ED578B" w:rsidP="00282DAA">
      <w:pPr>
        <w:numPr>
          <w:ilvl w:val="0"/>
          <w:numId w:val="2"/>
        </w:numPr>
        <w:spacing w:line="276" w:lineRule="auto"/>
        <w:ind w:left="0"/>
        <w:jc w:val="center"/>
        <w:rPr>
          <w:b/>
          <w:color w:val="000000"/>
          <w:szCs w:val="24"/>
          <w:lang w:val="es-CO"/>
        </w:rPr>
      </w:pPr>
      <w:r w:rsidRPr="00282DAA">
        <w:rPr>
          <w:b/>
          <w:color w:val="000000"/>
          <w:szCs w:val="24"/>
          <w:lang w:val="es-CO"/>
        </w:rPr>
        <w:t>LA DEMANDA Y SU CONTESTACIÓN</w:t>
      </w:r>
    </w:p>
    <w:p w14:paraId="00000026" w14:textId="77777777" w:rsidR="00041DAE" w:rsidRPr="00282DAA" w:rsidRDefault="00041DAE" w:rsidP="00282DAA">
      <w:pPr>
        <w:spacing w:line="276" w:lineRule="auto"/>
        <w:jc w:val="center"/>
        <w:rPr>
          <w:b/>
          <w:szCs w:val="24"/>
        </w:rPr>
      </w:pPr>
    </w:p>
    <w:p w14:paraId="0000002A" w14:textId="0385B14E" w:rsidR="00041DAE" w:rsidRPr="00282DAA" w:rsidRDefault="00C533BA" w:rsidP="00282DAA">
      <w:pPr>
        <w:spacing w:line="276" w:lineRule="auto"/>
        <w:ind w:firstLine="709"/>
        <w:rPr>
          <w:szCs w:val="24"/>
        </w:rPr>
      </w:pPr>
      <w:r w:rsidRPr="00282DAA">
        <w:rPr>
          <w:szCs w:val="24"/>
        </w:rPr>
        <w:t xml:space="preserve">Pretende la </w:t>
      </w:r>
      <w:r w:rsidR="4F7BEA41" w:rsidRPr="00282DAA">
        <w:rPr>
          <w:szCs w:val="24"/>
        </w:rPr>
        <w:t xml:space="preserve">parte </w:t>
      </w:r>
      <w:r w:rsidRPr="00282DAA">
        <w:rPr>
          <w:szCs w:val="24"/>
        </w:rPr>
        <w:t xml:space="preserve">demandante que se declare la existencia de un contrato de trabajo </w:t>
      </w:r>
      <w:r w:rsidR="00922E3D" w:rsidRPr="00282DAA">
        <w:rPr>
          <w:szCs w:val="24"/>
        </w:rPr>
        <w:t xml:space="preserve">a término indefinido </w:t>
      </w:r>
      <w:r w:rsidRPr="00282DAA">
        <w:rPr>
          <w:szCs w:val="24"/>
        </w:rPr>
        <w:t>con la</w:t>
      </w:r>
      <w:r w:rsidR="00920A11" w:rsidRPr="00282DAA">
        <w:rPr>
          <w:szCs w:val="24"/>
        </w:rPr>
        <w:t xml:space="preserve"> demandada desde el 18 de julio de 2016 hasta el 30 de junio de 2019, </w:t>
      </w:r>
      <w:r w:rsidR="00AF07F6" w:rsidRPr="00282DAA">
        <w:rPr>
          <w:szCs w:val="24"/>
        </w:rPr>
        <w:t xml:space="preserve">calenda en la que fue terminado sin justa causa por el empleador </w:t>
      </w:r>
      <w:r w:rsidR="003616B6" w:rsidRPr="00282DAA">
        <w:rPr>
          <w:szCs w:val="24"/>
        </w:rPr>
        <w:t>debido a su estado de salud</w:t>
      </w:r>
      <w:r w:rsidR="004864CC" w:rsidRPr="00282DAA">
        <w:rPr>
          <w:szCs w:val="24"/>
        </w:rPr>
        <w:t>, es decir, estando bajo la garantía de la</w:t>
      </w:r>
      <w:r w:rsidR="003616B6" w:rsidRPr="00282DAA">
        <w:rPr>
          <w:szCs w:val="24"/>
        </w:rPr>
        <w:t xml:space="preserve"> estabilidad</w:t>
      </w:r>
      <w:r w:rsidR="00AF07F6" w:rsidRPr="00282DAA">
        <w:rPr>
          <w:szCs w:val="24"/>
        </w:rPr>
        <w:t xml:space="preserve"> laboral reforzada</w:t>
      </w:r>
      <w:r w:rsidR="003616B6" w:rsidRPr="00282DAA">
        <w:rPr>
          <w:szCs w:val="24"/>
        </w:rPr>
        <w:t>.</w:t>
      </w:r>
    </w:p>
    <w:p w14:paraId="74A10A81" w14:textId="77777777" w:rsidR="00AF07F6" w:rsidRPr="00282DAA" w:rsidRDefault="00AF07F6" w:rsidP="00282DAA">
      <w:pPr>
        <w:spacing w:line="276" w:lineRule="auto"/>
        <w:ind w:firstLine="709"/>
        <w:rPr>
          <w:szCs w:val="24"/>
        </w:rPr>
      </w:pPr>
    </w:p>
    <w:p w14:paraId="08B689B6" w14:textId="38060509" w:rsidR="00244A84" w:rsidRPr="00282DAA" w:rsidRDefault="00CA4F9B" w:rsidP="00282DAA">
      <w:pPr>
        <w:spacing w:line="276" w:lineRule="auto"/>
        <w:ind w:firstLine="709"/>
        <w:rPr>
          <w:szCs w:val="24"/>
        </w:rPr>
      </w:pPr>
      <w:r w:rsidRPr="00282DAA">
        <w:rPr>
          <w:szCs w:val="24"/>
        </w:rPr>
        <w:t xml:space="preserve">En consecuencia, solicita que se </w:t>
      </w:r>
      <w:r w:rsidR="00191C6B" w:rsidRPr="00282DAA">
        <w:rPr>
          <w:szCs w:val="24"/>
        </w:rPr>
        <w:t xml:space="preserve">condene a la demandada </w:t>
      </w:r>
      <w:r w:rsidR="00920A11" w:rsidRPr="00282DAA">
        <w:rPr>
          <w:szCs w:val="24"/>
        </w:rPr>
        <w:t>al pago de las prestaciones sociales, vacaciones, y las indemnizaciones contempladas en el artículo 64 y 65 del C.S.T</w:t>
      </w:r>
      <w:r w:rsidR="004864CC" w:rsidRPr="00282DAA">
        <w:rPr>
          <w:szCs w:val="24"/>
        </w:rPr>
        <w:t>.,</w:t>
      </w:r>
      <w:r w:rsidR="00920A11" w:rsidRPr="00282DAA">
        <w:rPr>
          <w:szCs w:val="24"/>
        </w:rPr>
        <w:t xml:space="preserve"> y la contenida en el artículo 26 de la ley 361 de 1997</w:t>
      </w:r>
      <w:r w:rsidR="004864CC" w:rsidRPr="00282DAA">
        <w:rPr>
          <w:szCs w:val="24"/>
        </w:rPr>
        <w:t>,</w:t>
      </w:r>
      <w:r w:rsidR="00920A11" w:rsidRPr="00282DAA">
        <w:rPr>
          <w:szCs w:val="24"/>
        </w:rPr>
        <w:t xml:space="preserve"> equivalente a 180 días de salario; </w:t>
      </w:r>
      <w:r w:rsidR="00260DE9" w:rsidRPr="00282DAA">
        <w:rPr>
          <w:szCs w:val="24"/>
        </w:rPr>
        <w:t xml:space="preserve">lo que se demuestre probado bajo las facultades ultra y extra petita </w:t>
      </w:r>
      <w:r w:rsidR="00753CFF" w:rsidRPr="00282DAA">
        <w:rPr>
          <w:szCs w:val="24"/>
        </w:rPr>
        <w:t>y las costas procesales en su favor.</w:t>
      </w:r>
    </w:p>
    <w:p w14:paraId="0000002F" w14:textId="77777777" w:rsidR="00041DAE" w:rsidRPr="00282DAA" w:rsidRDefault="00041DAE" w:rsidP="00282DAA">
      <w:pPr>
        <w:spacing w:line="276" w:lineRule="auto"/>
        <w:rPr>
          <w:szCs w:val="24"/>
        </w:rPr>
      </w:pPr>
    </w:p>
    <w:p w14:paraId="5F3AA100" w14:textId="0382127D" w:rsidR="00920A11" w:rsidRPr="00282DAA" w:rsidRDefault="00CA4F9B" w:rsidP="00282DAA">
      <w:pPr>
        <w:spacing w:line="276" w:lineRule="auto"/>
        <w:ind w:firstLine="709"/>
        <w:rPr>
          <w:szCs w:val="24"/>
        </w:rPr>
      </w:pPr>
      <w:r w:rsidRPr="00282DAA">
        <w:rPr>
          <w:szCs w:val="24"/>
        </w:rPr>
        <w:t>Para fundar dichas pretensiones</w:t>
      </w:r>
      <w:r w:rsidR="006375A3" w:rsidRPr="00282DAA">
        <w:rPr>
          <w:szCs w:val="24"/>
        </w:rPr>
        <w:t>,</w:t>
      </w:r>
      <w:r w:rsidRPr="00282DAA">
        <w:rPr>
          <w:szCs w:val="24"/>
        </w:rPr>
        <w:t xml:space="preserve"> </w:t>
      </w:r>
      <w:r w:rsidR="00920A11" w:rsidRPr="00282DAA">
        <w:rPr>
          <w:szCs w:val="24"/>
        </w:rPr>
        <w:t>manifiesta que fue contratado por Gerardo Osorio Grisales, representante legal de Soluciones Técnicas Domiciliarias S.A.S por medio de un contrato verbal a término indefinido, mismo que se ejecutó desde el 18 de julio de 2016 hasta el 30 de ju</w:t>
      </w:r>
      <w:r w:rsidR="15AD5F13" w:rsidRPr="00282DAA">
        <w:rPr>
          <w:szCs w:val="24"/>
        </w:rPr>
        <w:t>ni</w:t>
      </w:r>
      <w:r w:rsidR="00920A11" w:rsidRPr="00282DAA">
        <w:rPr>
          <w:szCs w:val="24"/>
        </w:rPr>
        <w:t>o de 201</w:t>
      </w:r>
      <w:r w:rsidR="79DF1ECA" w:rsidRPr="00282DAA">
        <w:rPr>
          <w:szCs w:val="24"/>
        </w:rPr>
        <w:t>9</w:t>
      </w:r>
      <w:r w:rsidR="004864CC" w:rsidRPr="00282DAA">
        <w:rPr>
          <w:szCs w:val="24"/>
        </w:rPr>
        <w:t>,</w:t>
      </w:r>
      <w:r w:rsidR="00920A11" w:rsidRPr="00282DAA">
        <w:rPr>
          <w:szCs w:val="24"/>
        </w:rPr>
        <w:t xml:space="preserve"> cuando lo retiraron del pago de la seguridad social. Afirma que se desempeñó como oficial de pintura, </w:t>
      </w:r>
      <w:r w:rsidR="00943EED" w:rsidRPr="00282DAA">
        <w:rPr>
          <w:szCs w:val="24"/>
        </w:rPr>
        <w:t>en un horario de lunes a viernes de 7:00 a.m. a 5:00 p</w:t>
      </w:r>
      <w:r w:rsidR="004864CC" w:rsidRPr="00282DAA">
        <w:rPr>
          <w:szCs w:val="24"/>
        </w:rPr>
        <w:t>.</w:t>
      </w:r>
      <w:r w:rsidR="00943EED" w:rsidRPr="00282DAA">
        <w:rPr>
          <w:szCs w:val="24"/>
        </w:rPr>
        <w:t>m</w:t>
      </w:r>
      <w:r w:rsidR="004864CC" w:rsidRPr="00282DAA">
        <w:rPr>
          <w:szCs w:val="24"/>
        </w:rPr>
        <w:t>.</w:t>
      </w:r>
      <w:r w:rsidR="00943EED" w:rsidRPr="00282DAA">
        <w:rPr>
          <w:szCs w:val="24"/>
        </w:rPr>
        <w:t xml:space="preserve"> y los sábados de 7:00 a.m. a 12:00 m.</w:t>
      </w:r>
      <w:r w:rsidR="004864CC" w:rsidRPr="00282DAA">
        <w:rPr>
          <w:szCs w:val="24"/>
        </w:rPr>
        <w:t>,</w:t>
      </w:r>
      <w:r w:rsidR="00943EED" w:rsidRPr="00282DAA">
        <w:rPr>
          <w:szCs w:val="24"/>
        </w:rPr>
        <w:t xml:space="preserve"> bajo la continuada dependencia y subordinación del contratante; que</w:t>
      </w:r>
      <w:r w:rsidR="004864CC" w:rsidRPr="00282DAA">
        <w:rPr>
          <w:szCs w:val="24"/>
        </w:rPr>
        <w:t>,</w:t>
      </w:r>
      <w:r w:rsidR="00943EED" w:rsidRPr="00282DAA">
        <w:rPr>
          <w:szCs w:val="24"/>
        </w:rPr>
        <w:t xml:space="preserve"> para el año 2019 devengó un salario mensual de $1.400.000 más un auxilio de transporte de $97.032; empero los aportes al Sistema General de Seguridad Social se realizaron sobre el salario mínimo mensual legal vigente. </w:t>
      </w:r>
    </w:p>
    <w:p w14:paraId="1487C6F6" w14:textId="37E892D9" w:rsidR="00943EED" w:rsidRPr="00282DAA" w:rsidRDefault="00943EED" w:rsidP="00282DAA">
      <w:pPr>
        <w:spacing w:line="276" w:lineRule="auto"/>
        <w:ind w:firstLine="709"/>
        <w:rPr>
          <w:szCs w:val="24"/>
        </w:rPr>
      </w:pPr>
    </w:p>
    <w:p w14:paraId="0E5082AA" w14:textId="2B32EBAA" w:rsidR="00DC55EA" w:rsidRPr="00282DAA" w:rsidRDefault="00943EED" w:rsidP="00282DAA">
      <w:pPr>
        <w:spacing w:line="276" w:lineRule="auto"/>
        <w:ind w:firstLine="709"/>
        <w:rPr>
          <w:szCs w:val="24"/>
        </w:rPr>
      </w:pPr>
      <w:r w:rsidRPr="00282DAA">
        <w:rPr>
          <w:szCs w:val="24"/>
        </w:rPr>
        <w:t>En cuanto a las condiciones de salud, narra que el 11 de agosto de 2016 tuvo un accidente de trabajo, que fue reportado a la ARL, debido a que la telera se partió y cayó desde</w:t>
      </w:r>
      <w:r w:rsidR="00B35B80" w:rsidRPr="00282DAA">
        <w:rPr>
          <w:szCs w:val="24"/>
        </w:rPr>
        <w:t xml:space="preserve"> una altura de</w:t>
      </w:r>
      <w:r w:rsidRPr="00282DAA">
        <w:rPr>
          <w:szCs w:val="24"/>
        </w:rPr>
        <w:t xml:space="preserve"> 1.30 metros por encima de su propia altura</w:t>
      </w:r>
      <w:r w:rsidR="00DC55EA" w:rsidRPr="00282DAA">
        <w:rPr>
          <w:szCs w:val="24"/>
        </w:rPr>
        <w:t>. Arguye que fue calificado en primera oportunidad por la ARL</w:t>
      </w:r>
      <w:r w:rsidR="00B35B80" w:rsidRPr="00282DAA">
        <w:rPr>
          <w:szCs w:val="24"/>
        </w:rPr>
        <w:t>,</w:t>
      </w:r>
      <w:r w:rsidR="00DC55EA" w:rsidRPr="00282DAA">
        <w:rPr>
          <w:szCs w:val="24"/>
        </w:rPr>
        <w:t xml:space="preserve"> quien dictaminó una PCL de 26.60% de origen laboral, estructurada el 11 de agosto de 2016; en primera instancia por la Junta Regional de Calificación de Invalidez de Risaralda, quien modificó el porcentaje de PCL a 26.36% y la fecha de estructuración al 11 de enero de 2018; y finalmente por la Junta Nacional, calificador que sentó la PCL en un 29.16%, en virtud de lo cual obtuvo indemnización</w:t>
      </w:r>
      <w:r w:rsidR="00B35B80" w:rsidRPr="00282DAA">
        <w:rPr>
          <w:szCs w:val="24"/>
        </w:rPr>
        <w:t xml:space="preserve"> por incapacidad parcial</w:t>
      </w:r>
      <w:r w:rsidR="00DC55EA" w:rsidRPr="00282DAA">
        <w:rPr>
          <w:szCs w:val="24"/>
        </w:rPr>
        <w:t xml:space="preserve"> por parte de la ARL.</w:t>
      </w:r>
    </w:p>
    <w:p w14:paraId="1DA342E4" w14:textId="1B49E63E" w:rsidR="00DC55EA" w:rsidRPr="00282DAA" w:rsidRDefault="00DC55EA" w:rsidP="00282DAA">
      <w:pPr>
        <w:spacing w:line="276" w:lineRule="auto"/>
        <w:ind w:firstLine="709"/>
        <w:rPr>
          <w:szCs w:val="24"/>
        </w:rPr>
      </w:pPr>
    </w:p>
    <w:p w14:paraId="15543D47" w14:textId="31045114" w:rsidR="00063D7F" w:rsidRPr="00282DAA" w:rsidRDefault="00DC55EA" w:rsidP="00282DAA">
      <w:pPr>
        <w:spacing w:line="276" w:lineRule="auto"/>
        <w:ind w:firstLine="709"/>
        <w:rPr>
          <w:szCs w:val="24"/>
        </w:rPr>
      </w:pPr>
      <w:r w:rsidRPr="00282DAA">
        <w:rPr>
          <w:szCs w:val="24"/>
        </w:rPr>
        <w:t xml:space="preserve">Asevera que </w:t>
      </w:r>
      <w:r w:rsidR="00063D7F" w:rsidRPr="00282DAA">
        <w:rPr>
          <w:szCs w:val="24"/>
        </w:rPr>
        <w:t xml:space="preserve">se presentó a laborar en múltiples ocasiones, pero el empleador le impedía prestar el servicio </w:t>
      </w:r>
      <w:r w:rsidRPr="00282DAA">
        <w:rPr>
          <w:szCs w:val="24"/>
        </w:rPr>
        <w:t xml:space="preserve">manifestando </w:t>
      </w:r>
      <w:r w:rsidR="00063D7F" w:rsidRPr="00282DAA">
        <w:rPr>
          <w:szCs w:val="24"/>
        </w:rPr>
        <w:t xml:space="preserve">que no tenía donde </w:t>
      </w:r>
      <w:r w:rsidRPr="00282DAA">
        <w:rPr>
          <w:szCs w:val="24"/>
        </w:rPr>
        <w:t>reubicarlo, que le fueron prescritas múltiples incapacidades, y recomendaciones laborales que eran de conocimiento del empleador; no obstante, el demandado solicitó ante el Ministerio de Trabajo solicitud de retiro del Sistema de Seguridad Social</w:t>
      </w:r>
      <w:r w:rsidR="009624C2" w:rsidRPr="00282DAA">
        <w:rPr>
          <w:szCs w:val="24"/>
        </w:rPr>
        <w:t xml:space="preserve">, y fue autorizado por medio de Resolución Nro. 00488 del 10 de noviembre de 2020 la terminación del vínculo laboral. </w:t>
      </w:r>
    </w:p>
    <w:p w14:paraId="0DA73061" w14:textId="61F7B0FC" w:rsidR="009624C2" w:rsidRPr="00282DAA" w:rsidRDefault="009624C2" w:rsidP="00282DAA">
      <w:pPr>
        <w:spacing w:line="276" w:lineRule="auto"/>
        <w:ind w:firstLine="709"/>
        <w:rPr>
          <w:szCs w:val="24"/>
        </w:rPr>
      </w:pPr>
    </w:p>
    <w:p w14:paraId="769F0489" w14:textId="5B87A7CE" w:rsidR="00542003" w:rsidRPr="00282DAA" w:rsidRDefault="009624C2" w:rsidP="00282DAA">
      <w:pPr>
        <w:spacing w:line="276" w:lineRule="auto"/>
        <w:ind w:firstLine="709"/>
        <w:rPr>
          <w:szCs w:val="24"/>
        </w:rPr>
      </w:pPr>
      <w:r w:rsidRPr="00282DAA">
        <w:rPr>
          <w:szCs w:val="24"/>
        </w:rPr>
        <w:t>Finalmente, niega haber percibido la liquidación de las prestaciones sociales, la indemnización por despido sin justa causa y la indemnización contenida en el</w:t>
      </w:r>
      <w:r w:rsidR="00542003" w:rsidRPr="00282DAA">
        <w:rPr>
          <w:szCs w:val="24"/>
        </w:rPr>
        <w:t xml:space="preserve"> artículo 26 de la ley 361 de 1997</w:t>
      </w:r>
      <w:r w:rsidR="00B35B80" w:rsidRPr="00282DAA">
        <w:rPr>
          <w:szCs w:val="24"/>
        </w:rPr>
        <w:t>,</w:t>
      </w:r>
      <w:r w:rsidR="00542003" w:rsidRPr="00282DAA">
        <w:rPr>
          <w:szCs w:val="24"/>
        </w:rPr>
        <w:t xml:space="preserve"> equivalente a 180 días de salario.</w:t>
      </w:r>
    </w:p>
    <w:p w14:paraId="769CC12A" w14:textId="77777777" w:rsidR="00542003" w:rsidRPr="00282DAA" w:rsidRDefault="00542003" w:rsidP="00282DAA">
      <w:pPr>
        <w:spacing w:line="276" w:lineRule="auto"/>
        <w:ind w:firstLine="709"/>
        <w:rPr>
          <w:szCs w:val="24"/>
        </w:rPr>
      </w:pPr>
    </w:p>
    <w:p w14:paraId="00000033" w14:textId="76AB62B0" w:rsidR="00041DAE" w:rsidRPr="00282DAA" w:rsidRDefault="009624C2" w:rsidP="00282DAA">
      <w:pPr>
        <w:spacing w:line="276" w:lineRule="auto"/>
        <w:ind w:firstLine="709"/>
        <w:rPr>
          <w:szCs w:val="24"/>
        </w:rPr>
      </w:pPr>
      <w:r w:rsidRPr="00282DAA">
        <w:rPr>
          <w:szCs w:val="24"/>
        </w:rPr>
        <w:t xml:space="preserve"> </w:t>
      </w:r>
    </w:p>
    <w:p w14:paraId="4BC2158C" w14:textId="7E3D7BE0" w:rsidR="00542003" w:rsidRPr="00282DAA" w:rsidRDefault="00542003" w:rsidP="00282DAA">
      <w:pPr>
        <w:spacing w:line="276" w:lineRule="auto"/>
        <w:ind w:firstLine="709"/>
        <w:rPr>
          <w:szCs w:val="24"/>
        </w:rPr>
      </w:pPr>
      <w:r w:rsidRPr="00282DAA">
        <w:rPr>
          <w:b/>
          <w:szCs w:val="24"/>
        </w:rPr>
        <w:t xml:space="preserve">Soluciones Técnicas Domiciliarias S.A.S, </w:t>
      </w:r>
      <w:r w:rsidRPr="00282DAA">
        <w:rPr>
          <w:szCs w:val="24"/>
        </w:rPr>
        <w:t>no dio respuesta a la demanda, y por medio de auto del 17 de febrero de 2022</w:t>
      </w:r>
      <w:r w:rsidRPr="00282DAA">
        <w:rPr>
          <w:rStyle w:val="Refdenotaalpie"/>
          <w:szCs w:val="24"/>
        </w:rPr>
        <w:footnoteReference w:id="1"/>
      </w:r>
      <w:r w:rsidR="00B35B80" w:rsidRPr="00282DAA">
        <w:rPr>
          <w:szCs w:val="24"/>
        </w:rPr>
        <w:t>,</w:t>
      </w:r>
      <w:r w:rsidRPr="00282DAA">
        <w:rPr>
          <w:szCs w:val="24"/>
        </w:rPr>
        <w:t xml:space="preserve"> la conducta omisiva se tuvo como indicio grave en su contra, de conformidad con el parágrafo segundo del artículo 31 del CPT y SS.</w:t>
      </w:r>
    </w:p>
    <w:p w14:paraId="0A29D0F5" w14:textId="77777777" w:rsidR="00542003" w:rsidRPr="00282DAA" w:rsidRDefault="00542003" w:rsidP="00282DAA">
      <w:pPr>
        <w:spacing w:line="276" w:lineRule="auto"/>
        <w:rPr>
          <w:szCs w:val="24"/>
          <w:highlight w:val="yellow"/>
        </w:rPr>
      </w:pPr>
    </w:p>
    <w:p w14:paraId="57EBA3FB" w14:textId="77777777" w:rsidR="00ED578B" w:rsidRPr="00282DAA" w:rsidRDefault="00ED578B" w:rsidP="00282DAA">
      <w:pPr>
        <w:numPr>
          <w:ilvl w:val="0"/>
          <w:numId w:val="2"/>
        </w:numPr>
        <w:pBdr>
          <w:top w:val="nil"/>
          <w:left w:val="nil"/>
          <w:bottom w:val="nil"/>
          <w:right w:val="nil"/>
          <w:between w:val="nil"/>
        </w:pBdr>
        <w:spacing w:line="276" w:lineRule="auto"/>
        <w:ind w:left="0" w:firstLine="0"/>
        <w:jc w:val="center"/>
        <w:rPr>
          <w:b/>
          <w:color w:val="000000"/>
          <w:szCs w:val="24"/>
          <w:lang w:val="es-CO"/>
        </w:rPr>
      </w:pPr>
      <w:r w:rsidRPr="00282DAA">
        <w:rPr>
          <w:b/>
          <w:color w:val="000000"/>
          <w:szCs w:val="24"/>
          <w:lang w:val="es-CO"/>
        </w:rPr>
        <w:t>SENTENCIA DE PRIMERA INSTANCIA</w:t>
      </w:r>
    </w:p>
    <w:p w14:paraId="00000039" w14:textId="77777777" w:rsidR="00041DAE" w:rsidRPr="00282DAA" w:rsidRDefault="00041DAE" w:rsidP="00282DAA">
      <w:pPr>
        <w:pBdr>
          <w:top w:val="nil"/>
          <w:left w:val="nil"/>
          <w:bottom w:val="nil"/>
          <w:right w:val="nil"/>
          <w:between w:val="nil"/>
        </w:pBdr>
        <w:spacing w:line="276" w:lineRule="auto"/>
        <w:rPr>
          <w:b/>
          <w:color w:val="000000"/>
          <w:szCs w:val="24"/>
        </w:rPr>
      </w:pPr>
    </w:p>
    <w:p w14:paraId="3C1F2363" w14:textId="1381CC14" w:rsidR="00621385" w:rsidRPr="00282DAA" w:rsidRDefault="00CA4F9B" w:rsidP="00282DAA">
      <w:pPr>
        <w:pBdr>
          <w:top w:val="nil"/>
          <w:left w:val="nil"/>
          <w:bottom w:val="nil"/>
          <w:right w:val="nil"/>
          <w:between w:val="nil"/>
        </w:pBdr>
        <w:spacing w:line="276" w:lineRule="auto"/>
        <w:ind w:firstLine="709"/>
        <w:rPr>
          <w:color w:val="000000"/>
          <w:szCs w:val="24"/>
        </w:rPr>
      </w:pPr>
      <w:r w:rsidRPr="00282DAA">
        <w:rPr>
          <w:color w:val="000000"/>
          <w:szCs w:val="24"/>
        </w:rPr>
        <w:t xml:space="preserve">La Jueza de primer grado </w:t>
      </w:r>
      <w:r w:rsidR="008F5475" w:rsidRPr="00282DAA">
        <w:rPr>
          <w:color w:val="000000"/>
          <w:szCs w:val="24"/>
        </w:rPr>
        <w:t>declaró la</w:t>
      </w:r>
      <w:r w:rsidR="00471A77" w:rsidRPr="00282DAA">
        <w:rPr>
          <w:color w:val="000000"/>
          <w:szCs w:val="24"/>
        </w:rPr>
        <w:t xml:space="preserve"> existencia </w:t>
      </w:r>
      <w:r w:rsidR="00802503" w:rsidRPr="00282DAA">
        <w:rPr>
          <w:color w:val="000000"/>
          <w:szCs w:val="24"/>
        </w:rPr>
        <w:t>de un</w:t>
      </w:r>
      <w:r w:rsidR="00471A77" w:rsidRPr="00282DAA">
        <w:rPr>
          <w:color w:val="000000"/>
          <w:szCs w:val="24"/>
        </w:rPr>
        <w:t xml:space="preserve"> contrato de </w:t>
      </w:r>
      <w:r w:rsidR="00531260" w:rsidRPr="00282DAA">
        <w:rPr>
          <w:color w:val="000000"/>
          <w:szCs w:val="24"/>
        </w:rPr>
        <w:t>trabaj</w:t>
      </w:r>
      <w:r w:rsidR="00ED1432" w:rsidRPr="00282DAA">
        <w:rPr>
          <w:color w:val="000000"/>
          <w:szCs w:val="24"/>
        </w:rPr>
        <w:t xml:space="preserve">o </w:t>
      </w:r>
      <w:r w:rsidR="00802503" w:rsidRPr="00282DAA">
        <w:rPr>
          <w:color w:val="000000"/>
          <w:szCs w:val="24"/>
        </w:rPr>
        <w:t xml:space="preserve">a </w:t>
      </w:r>
      <w:r w:rsidR="00E2249A" w:rsidRPr="00282DAA">
        <w:rPr>
          <w:color w:val="000000"/>
          <w:szCs w:val="24"/>
        </w:rPr>
        <w:t>término indefinido desde</w:t>
      </w:r>
      <w:r w:rsidR="001A1DF3" w:rsidRPr="00282DAA">
        <w:rPr>
          <w:color w:val="000000"/>
          <w:szCs w:val="24"/>
        </w:rPr>
        <w:t xml:space="preserve"> el 18 de julio de 2016 hasta el 29 de julio de 2019; en consecuencia, condenó a la demandada al pago de</w:t>
      </w:r>
      <w:r w:rsidR="00B35B80" w:rsidRPr="00282DAA">
        <w:rPr>
          <w:color w:val="000000"/>
          <w:szCs w:val="24"/>
        </w:rPr>
        <w:t xml:space="preserve"> la suma</w:t>
      </w:r>
      <w:r w:rsidR="001A1DF3" w:rsidRPr="00282DAA">
        <w:rPr>
          <w:color w:val="000000"/>
          <w:szCs w:val="24"/>
        </w:rPr>
        <w:t xml:space="preserve"> $4.509.531 por concepto de cesantías, mismo valor por prima de servicios; $453.563 por intereses a las cesantías; $2.123.333 por vacaciones; $41.346.667 por sanción por no consignación de cesantías causadas entre el 15 de febrero de 2017 y el 29 de julio de 2019; $33.600.0000 por la indemnización contenida en el artículo 65 C.S.T, consistente en un día de salario desde el 30 de julio de 2019 y el 29 de julio de 2021, calenda a partir de la cual condenó al reconocimiento de los intereses moratorios a la tasa máxima autorizada por la Superintendencia Financiera; las cotizaciones a seguridad social correspondiente a los periodos de julio de 2016 y julio de 2019 y la diferencia entre lo cotizado y la suma de $1.400.000; negó las demás pretensiones y condenó en costas procesales a la demandada en un 70% en favor del demandante. </w:t>
      </w:r>
    </w:p>
    <w:p w14:paraId="5EF3158E" w14:textId="77777777" w:rsidR="004B2BDB" w:rsidRPr="00282DAA" w:rsidRDefault="004B2BDB" w:rsidP="00282DAA">
      <w:pPr>
        <w:pBdr>
          <w:top w:val="nil"/>
          <w:left w:val="nil"/>
          <w:bottom w:val="nil"/>
          <w:right w:val="nil"/>
          <w:between w:val="nil"/>
        </w:pBdr>
        <w:spacing w:line="276" w:lineRule="auto"/>
        <w:rPr>
          <w:color w:val="000000"/>
          <w:szCs w:val="24"/>
        </w:rPr>
      </w:pPr>
    </w:p>
    <w:p w14:paraId="3301A1C8" w14:textId="5C1D2954" w:rsidR="005D7D6A" w:rsidRPr="00282DAA" w:rsidRDefault="008F637A" w:rsidP="00282DAA">
      <w:pPr>
        <w:pBdr>
          <w:top w:val="nil"/>
          <w:left w:val="nil"/>
          <w:bottom w:val="nil"/>
          <w:right w:val="nil"/>
          <w:between w:val="nil"/>
        </w:pBdr>
        <w:spacing w:line="276" w:lineRule="auto"/>
        <w:ind w:firstLine="709"/>
        <w:rPr>
          <w:color w:val="000000"/>
          <w:szCs w:val="24"/>
        </w:rPr>
      </w:pPr>
      <w:bookmarkStart w:id="2" w:name="_Hlk136335255"/>
      <w:r w:rsidRPr="00282DAA">
        <w:rPr>
          <w:color w:val="000000"/>
          <w:szCs w:val="24"/>
        </w:rPr>
        <w:t>Para arribar a tal conclusión,</w:t>
      </w:r>
      <w:r w:rsidR="005C7FE5" w:rsidRPr="00282DAA">
        <w:rPr>
          <w:color w:val="000000"/>
          <w:szCs w:val="24"/>
        </w:rPr>
        <w:t xml:space="preserve"> en lo que atañe al recurso de apelación</w:t>
      </w:r>
      <w:r w:rsidR="00B35B80" w:rsidRPr="00282DAA">
        <w:rPr>
          <w:color w:val="000000"/>
          <w:szCs w:val="24"/>
        </w:rPr>
        <w:t>,</w:t>
      </w:r>
      <w:r w:rsidRPr="00282DAA">
        <w:rPr>
          <w:color w:val="000000"/>
          <w:szCs w:val="24"/>
        </w:rPr>
        <w:t xml:space="preserve"> la jueza </w:t>
      </w:r>
      <w:r w:rsidR="00137DEB" w:rsidRPr="00282DAA">
        <w:rPr>
          <w:color w:val="000000"/>
          <w:szCs w:val="24"/>
        </w:rPr>
        <w:t>de primera instancia</w:t>
      </w:r>
      <w:r w:rsidR="005D7D6A" w:rsidRPr="00282DAA">
        <w:rPr>
          <w:color w:val="000000"/>
          <w:szCs w:val="24"/>
        </w:rPr>
        <w:t xml:space="preserve"> determinó que </w:t>
      </w:r>
      <w:r w:rsidR="00FE4BEF" w:rsidRPr="00282DAA">
        <w:rPr>
          <w:color w:val="000000"/>
          <w:szCs w:val="24"/>
        </w:rPr>
        <w:t>el demandante no había cumplido con la carga procesal de acreditar</w:t>
      </w:r>
      <w:r w:rsidR="005D7D6A" w:rsidRPr="00282DAA">
        <w:rPr>
          <w:color w:val="000000"/>
          <w:szCs w:val="24"/>
        </w:rPr>
        <w:t xml:space="preserve"> el hecho del despido, puesto que si bien por confesión ficta se tuvieron por ciertos los  hechos 14 y 16 de la demanda, por medio de los cuales el actor narró que una vez terminadas las incapacidades se presentó a labora</w:t>
      </w:r>
      <w:r w:rsidR="00FE4BEF" w:rsidRPr="00282DAA">
        <w:rPr>
          <w:color w:val="000000"/>
          <w:szCs w:val="24"/>
        </w:rPr>
        <w:t>r</w:t>
      </w:r>
      <w:r w:rsidR="005D7D6A" w:rsidRPr="00282DAA">
        <w:rPr>
          <w:color w:val="000000"/>
          <w:szCs w:val="24"/>
        </w:rPr>
        <w:t xml:space="preserve"> y el empleador le dijo que no tenía donde reubicarlo y que no tenía trabajo para él, porque no era apto para trabajar y debía irse para la casa, desafiliándolo a la seguridad social, rendido el interrogatorio de parte, confesó que</w:t>
      </w:r>
      <w:r w:rsidR="00FE4BEF" w:rsidRPr="00282DAA">
        <w:rPr>
          <w:color w:val="000000"/>
          <w:szCs w:val="24"/>
        </w:rPr>
        <w:t>,</w:t>
      </w:r>
      <w:r w:rsidR="005D7D6A" w:rsidRPr="00282DAA">
        <w:rPr>
          <w:color w:val="000000"/>
          <w:szCs w:val="24"/>
        </w:rPr>
        <w:t xml:space="preserve"> por parte de la empresa no hubo </w:t>
      </w:r>
      <w:r w:rsidR="00FE4BEF" w:rsidRPr="00282DAA">
        <w:rPr>
          <w:color w:val="000000"/>
          <w:szCs w:val="24"/>
        </w:rPr>
        <w:t xml:space="preserve">una </w:t>
      </w:r>
      <w:r w:rsidR="005D7D6A" w:rsidRPr="00282DAA">
        <w:rPr>
          <w:color w:val="000000"/>
          <w:szCs w:val="24"/>
        </w:rPr>
        <w:t xml:space="preserve">manifestación </w:t>
      </w:r>
      <w:r w:rsidR="00FE4BEF" w:rsidRPr="00282DAA">
        <w:rPr>
          <w:color w:val="000000"/>
          <w:szCs w:val="24"/>
        </w:rPr>
        <w:t xml:space="preserve">expresa </w:t>
      </w:r>
      <w:r w:rsidR="005D7D6A" w:rsidRPr="00282DAA">
        <w:rPr>
          <w:color w:val="000000"/>
          <w:szCs w:val="24"/>
        </w:rPr>
        <w:t>de termin</w:t>
      </w:r>
      <w:r w:rsidR="00FE4BEF" w:rsidRPr="00282DAA">
        <w:rPr>
          <w:color w:val="000000"/>
          <w:szCs w:val="24"/>
        </w:rPr>
        <w:t>ación</w:t>
      </w:r>
      <w:r w:rsidR="005D7D6A" w:rsidRPr="00282DAA">
        <w:rPr>
          <w:color w:val="000000"/>
          <w:szCs w:val="24"/>
        </w:rPr>
        <w:t xml:space="preserve"> </w:t>
      </w:r>
      <w:r w:rsidR="00FE4BEF" w:rsidRPr="00282DAA">
        <w:rPr>
          <w:color w:val="000000"/>
          <w:szCs w:val="24"/>
        </w:rPr>
        <w:t>d</w:t>
      </w:r>
      <w:r w:rsidR="005D7D6A" w:rsidRPr="00282DAA">
        <w:rPr>
          <w:color w:val="000000"/>
          <w:szCs w:val="24"/>
        </w:rPr>
        <w:t>el vínculo laboral.</w:t>
      </w:r>
    </w:p>
    <w:p w14:paraId="786E2674" w14:textId="34C631D8" w:rsidR="005D7D6A" w:rsidRPr="00282DAA" w:rsidRDefault="005D7D6A" w:rsidP="00282DAA">
      <w:pPr>
        <w:pBdr>
          <w:top w:val="nil"/>
          <w:left w:val="nil"/>
          <w:bottom w:val="nil"/>
          <w:right w:val="nil"/>
          <w:between w:val="nil"/>
        </w:pBdr>
        <w:spacing w:line="276" w:lineRule="auto"/>
        <w:ind w:firstLine="709"/>
        <w:rPr>
          <w:color w:val="000000"/>
          <w:szCs w:val="24"/>
        </w:rPr>
      </w:pPr>
    </w:p>
    <w:p w14:paraId="3272EF21" w14:textId="5ADF339D" w:rsidR="005D7D6A" w:rsidRPr="00282DAA" w:rsidRDefault="005D7D6A" w:rsidP="00282DAA">
      <w:pPr>
        <w:pBdr>
          <w:top w:val="nil"/>
          <w:left w:val="nil"/>
          <w:bottom w:val="nil"/>
          <w:right w:val="nil"/>
          <w:between w:val="nil"/>
        </w:pBdr>
        <w:spacing w:line="276" w:lineRule="auto"/>
        <w:ind w:firstLine="709"/>
        <w:rPr>
          <w:color w:val="000000"/>
          <w:szCs w:val="24"/>
        </w:rPr>
      </w:pPr>
      <w:r w:rsidRPr="00282DAA">
        <w:rPr>
          <w:color w:val="000000"/>
          <w:szCs w:val="24"/>
        </w:rPr>
        <w:lastRenderedPageBreak/>
        <w:t>En cuanto a la indemnización por despido de personas con estabilidad laboral reforzada, con arreglo en el artículo 26 de la Ley 361 de 1997, las sentencias SL1360-2018</w:t>
      </w:r>
      <w:r w:rsidR="00467138" w:rsidRPr="00282DAA">
        <w:rPr>
          <w:color w:val="000000"/>
          <w:szCs w:val="24"/>
        </w:rPr>
        <w:t xml:space="preserve">, SL2586-2020 y </w:t>
      </w:r>
      <w:r w:rsidRPr="00282DAA">
        <w:rPr>
          <w:color w:val="000000"/>
          <w:szCs w:val="24"/>
        </w:rPr>
        <w:t>SL1236-2021</w:t>
      </w:r>
      <w:r w:rsidR="00FE4BEF" w:rsidRPr="00282DAA">
        <w:rPr>
          <w:color w:val="000000"/>
          <w:szCs w:val="24"/>
        </w:rPr>
        <w:t>,</w:t>
      </w:r>
      <w:r w:rsidR="00467138" w:rsidRPr="00282DAA">
        <w:rPr>
          <w:color w:val="000000"/>
          <w:szCs w:val="24"/>
        </w:rPr>
        <w:t xml:space="preserve"> expuso que el actor acreditó una PCL superior al 15%, específicamente de 29.16% según dictamen de la Junta Nacional</w:t>
      </w:r>
      <w:r w:rsidR="00667607" w:rsidRPr="00282DAA">
        <w:rPr>
          <w:color w:val="000000"/>
          <w:szCs w:val="24"/>
        </w:rPr>
        <w:t>, situación de salud que era conocida por el empleador producto de la presunción ficta del hecho No. 17</w:t>
      </w:r>
      <w:r w:rsidR="00467138" w:rsidRPr="00282DAA">
        <w:rPr>
          <w:color w:val="000000"/>
          <w:szCs w:val="24"/>
        </w:rPr>
        <w:t>; sin embargo,</w:t>
      </w:r>
      <w:r w:rsidR="00667607" w:rsidRPr="00282DAA">
        <w:rPr>
          <w:color w:val="000000"/>
          <w:szCs w:val="24"/>
        </w:rPr>
        <w:t xml:space="preserve"> negó la solicitud condenatoria, porque</w:t>
      </w:r>
      <w:r w:rsidR="00467138" w:rsidRPr="00282DAA">
        <w:rPr>
          <w:color w:val="000000"/>
          <w:szCs w:val="24"/>
        </w:rPr>
        <w:t xml:space="preserve"> el despido fue </w:t>
      </w:r>
      <w:r w:rsidR="00667607" w:rsidRPr="00282DAA">
        <w:rPr>
          <w:color w:val="000000"/>
          <w:szCs w:val="24"/>
        </w:rPr>
        <w:t>autorizado</w:t>
      </w:r>
      <w:r w:rsidR="00467138" w:rsidRPr="00282DAA">
        <w:rPr>
          <w:color w:val="000000"/>
          <w:szCs w:val="24"/>
        </w:rPr>
        <w:t xml:space="preserve"> por el Ministerio de Trabajo</w:t>
      </w:r>
      <w:r w:rsidR="00667607" w:rsidRPr="00282DAA">
        <w:rPr>
          <w:color w:val="000000"/>
          <w:szCs w:val="24"/>
        </w:rPr>
        <w:t xml:space="preserve">, a través </w:t>
      </w:r>
      <w:r w:rsidR="00467138" w:rsidRPr="00282DAA">
        <w:rPr>
          <w:color w:val="000000"/>
          <w:szCs w:val="24"/>
        </w:rPr>
        <w:t>de la Resolución 00488 emitida el 10 de noviembre de 2020 por el Ministerio del Trabajo</w:t>
      </w:r>
      <w:r w:rsidR="00667607" w:rsidRPr="00282DAA">
        <w:rPr>
          <w:color w:val="000000"/>
          <w:szCs w:val="24"/>
        </w:rPr>
        <w:t xml:space="preserve"> y el actor no demostró que el actor hubiera cumplido con la carga probatoria de demostrar que el despido fue discriminatorio.</w:t>
      </w:r>
    </w:p>
    <w:bookmarkEnd w:id="2"/>
    <w:p w14:paraId="3CC97C2F" w14:textId="638743A0" w:rsidR="00E559E8" w:rsidRPr="00282DAA" w:rsidRDefault="00E559E8" w:rsidP="00282DAA">
      <w:pPr>
        <w:pBdr>
          <w:top w:val="nil"/>
          <w:left w:val="nil"/>
          <w:bottom w:val="nil"/>
          <w:right w:val="nil"/>
          <w:between w:val="nil"/>
        </w:pBdr>
        <w:spacing w:line="276" w:lineRule="auto"/>
        <w:rPr>
          <w:color w:val="000000"/>
          <w:szCs w:val="24"/>
        </w:rPr>
      </w:pPr>
    </w:p>
    <w:p w14:paraId="00000054" w14:textId="65DCE6EB" w:rsidR="00041DAE" w:rsidRPr="00282DAA" w:rsidRDefault="00ED578B" w:rsidP="00282DAA">
      <w:pPr>
        <w:pStyle w:val="Prrafodelista"/>
        <w:numPr>
          <w:ilvl w:val="0"/>
          <w:numId w:val="2"/>
        </w:numPr>
        <w:spacing w:line="276" w:lineRule="auto"/>
        <w:ind w:left="0"/>
        <w:jc w:val="center"/>
        <w:rPr>
          <w:szCs w:val="24"/>
        </w:rPr>
      </w:pPr>
      <w:r w:rsidRPr="00282DAA">
        <w:rPr>
          <w:b/>
          <w:bCs/>
          <w:szCs w:val="24"/>
          <w:lang w:val="es-CO"/>
        </w:rPr>
        <w:t>RECURSO DE APELACIÓN</w:t>
      </w:r>
    </w:p>
    <w:p w14:paraId="6693A833" w14:textId="77777777" w:rsidR="00ED578B" w:rsidRPr="00282DAA" w:rsidRDefault="00ED578B" w:rsidP="00282DAA">
      <w:pPr>
        <w:pStyle w:val="Prrafodelista"/>
        <w:spacing w:line="276" w:lineRule="auto"/>
        <w:ind w:left="0"/>
        <w:rPr>
          <w:szCs w:val="24"/>
        </w:rPr>
      </w:pPr>
    </w:p>
    <w:p w14:paraId="124F49CC" w14:textId="722B1978" w:rsidR="007A1D18" w:rsidRPr="00282DAA" w:rsidRDefault="001A1DF3" w:rsidP="00282DAA">
      <w:pPr>
        <w:spacing w:line="276" w:lineRule="auto"/>
        <w:ind w:firstLine="720"/>
        <w:rPr>
          <w:szCs w:val="24"/>
        </w:rPr>
      </w:pPr>
      <w:r w:rsidRPr="00282DAA">
        <w:rPr>
          <w:szCs w:val="24"/>
        </w:rPr>
        <w:t>El demand</w:t>
      </w:r>
      <w:r w:rsidR="347D9F5B" w:rsidRPr="00282DAA">
        <w:rPr>
          <w:szCs w:val="24"/>
        </w:rPr>
        <w:t>ante</w:t>
      </w:r>
      <w:r w:rsidRPr="00282DAA">
        <w:rPr>
          <w:szCs w:val="24"/>
        </w:rPr>
        <w:t xml:space="preserve"> interpuso recurso de apelació</w:t>
      </w:r>
      <w:r w:rsidR="00ED4683" w:rsidRPr="00282DAA">
        <w:rPr>
          <w:szCs w:val="24"/>
        </w:rPr>
        <w:t>n,</w:t>
      </w:r>
      <w:r w:rsidR="005325F4" w:rsidRPr="00282DAA">
        <w:rPr>
          <w:szCs w:val="24"/>
        </w:rPr>
        <w:t xml:space="preserve"> dirigido a que se acceda a </w:t>
      </w:r>
      <w:r w:rsidR="00ED4683" w:rsidRPr="00282DAA">
        <w:rPr>
          <w:szCs w:val="24"/>
        </w:rPr>
        <w:t xml:space="preserve">la condena </w:t>
      </w:r>
      <w:r w:rsidR="005325F4" w:rsidRPr="00282DAA">
        <w:rPr>
          <w:szCs w:val="24"/>
        </w:rPr>
        <w:t>por</w:t>
      </w:r>
      <w:r w:rsidR="00ED4683" w:rsidRPr="00282DAA">
        <w:rPr>
          <w:szCs w:val="24"/>
        </w:rPr>
        <w:t xml:space="preserve"> la indemnización por despido sin justa causa y la indemnización contenida en el artículo 26 de la ley 361 de 1997</w:t>
      </w:r>
      <w:r w:rsidR="00FE4BEF" w:rsidRPr="00282DAA">
        <w:rPr>
          <w:szCs w:val="24"/>
        </w:rPr>
        <w:t>,</w:t>
      </w:r>
      <w:r w:rsidR="00ED4683" w:rsidRPr="00282DAA">
        <w:rPr>
          <w:szCs w:val="24"/>
        </w:rPr>
        <w:t xml:space="preserve"> equivalente a 180 días de salario</w:t>
      </w:r>
      <w:r w:rsidR="005325F4" w:rsidRPr="00282DAA">
        <w:rPr>
          <w:szCs w:val="24"/>
        </w:rPr>
        <w:t xml:space="preserve"> y s</w:t>
      </w:r>
      <w:r w:rsidR="00ED4683" w:rsidRPr="00282DAA">
        <w:rPr>
          <w:szCs w:val="24"/>
        </w:rPr>
        <w:t>ustent</w:t>
      </w:r>
      <w:r w:rsidR="005325F4" w:rsidRPr="00282DAA">
        <w:rPr>
          <w:szCs w:val="24"/>
        </w:rPr>
        <w:t>a</w:t>
      </w:r>
      <w:r w:rsidR="00ED4683" w:rsidRPr="00282DAA">
        <w:rPr>
          <w:szCs w:val="24"/>
        </w:rPr>
        <w:t xml:space="preserve"> el recurso</w:t>
      </w:r>
      <w:r w:rsidR="005325F4" w:rsidRPr="00282DAA">
        <w:rPr>
          <w:szCs w:val="24"/>
        </w:rPr>
        <w:t>, señalando que se encuentra en desacuerdo con la exoneración de dichas condenas, porque en la</w:t>
      </w:r>
      <w:r w:rsidR="00ED4683" w:rsidRPr="00282DAA">
        <w:rPr>
          <w:i/>
          <w:iCs/>
          <w:szCs w:val="24"/>
        </w:rPr>
        <w:t xml:space="preserve"> </w:t>
      </w:r>
      <w:r w:rsidR="00ED4683" w:rsidRPr="00282DAA">
        <w:rPr>
          <w:szCs w:val="24"/>
        </w:rPr>
        <w:t>misma resolución del Ministerio del Trabajo</w:t>
      </w:r>
      <w:r w:rsidR="005325F4" w:rsidRPr="00282DAA">
        <w:rPr>
          <w:szCs w:val="24"/>
        </w:rPr>
        <w:t>, se</w:t>
      </w:r>
      <w:r w:rsidR="00ED4683" w:rsidRPr="00282DAA">
        <w:rPr>
          <w:szCs w:val="24"/>
        </w:rPr>
        <w:t xml:space="preserve"> establece en la hoja número tres</w:t>
      </w:r>
      <w:r w:rsidR="005325F4" w:rsidRPr="00282DAA">
        <w:rPr>
          <w:szCs w:val="24"/>
        </w:rPr>
        <w:t>:</w:t>
      </w:r>
      <w:r w:rsidR="00ED4683" w:rsidRPr="00282DAA">
        <w:rPr>
          <w:i/>
          <w:iCs/>
          <w:szCs w:val="24"/>
        </w:rPr>
        <w:t xml:space="preserve"> </w:t>
      </w:r>
      <w:r w:rsidR="005325F4" w:rsidRPr="00282DAA">
        <w:rPr>
          <w:i/>
          <w:iCs/>
          <w:szCs w:val="24"/>
        </w:rPr>
        <w:t>“</w:t>
      </w:r>
      <w:r w:rsidR="00ED4683" w:rsidRPr="00BC4556">
        <w:rPr>
          <w:i/>
          <w:iCs/>
          <w:sz w:val="22"/>
          <w:szCs w:val="24"/>
        </w:rPr>
        <w:t>preguntando</w:t>
      </w:r>
      <w:r w:rsidR="007A1D18" w:rsidRPr="00BC4556">
        <w:rPr>
          <w:i/>
          <w:iCs/>
          <w:sz w:val="22"/>
          <w:szCs w:val="24"/>
        </w:rPr>
        <w:t xml:space="preserve">: </w:t>
      </w:r>
      <w:r w:rsidR="00ED4683" w:rsidRPr="00BC4556">
        <w:rPr>
          <w:i/>
          <w:iCs/>
          <w:sz w:val="22"/>
          <w:szCs w:val="24"/>
        </w:rPr>
        <w:t>sírvase informar al despacho en calidad de qu</w:t>
      </w:r>
      <w:r w:rsidR="00FE4BEF" w:rsidRPr="00BC4556">
        <w:rPr>
          <w:i/>
          <w:iCs/>
          <w:sz w:val="22"/>
          <w:szCs w:val="24"/>
        </w:rPr>
        <w:t>é</w:t>
      </w:r>
      <w:r w:rsidR="00ED4683" w:rsidRPr="00BC4556">
        <w:rPr>
          <w:i/>
          <w:iCs/>
          <w:sz w:val="22"/>
          <w:szCs w:val="24"/>
        </w:rPr>
        <w:t xml:space="preserve"> procede a solicitar la terminación del contrato de trabajo con el señor </w:t>
      </w:r>
      <w:proofErr w:type="spellStart"/>
      <w:r w:rsidR="00ED4683" w:rsidRPr="00BC4556">
        <w:rPr>
          <w:i/>
          <w:iCs/>
          <w:sz w:val="22"/>
          <w:szCs w:val="24"/>
        </w:rPr>
        <w:t>Edilson</w:t>
      </w:r>
      <w:proofErr w:type="spellEnd"/>
      <w:r w:rsidR="00ED4683" w:rsidRPr="00BC4556">
        <w:rPr>
          <w:i/>
          <w:iCs/>
          <w:sz w:val="22"/>
          <w:szCs w:val="24"/>
        </w:rPr>
        <w:t xml:space="preserve"> Martínez Pérez</w:t>
      </w:r>
      <w:r w:rsidR="007A1D18" w:rsidRPr="00BC4556">
        <w:rPr>
          <w:i/>
          <w:iCs/>
          <w:sz w:val="22"/>
          <w:szCs w:val="24"/>
        </w:rPr>
        <w:t xml:space="preserve">, contesto: en calidad de empleador del señor </w:t>
      </w:r>
      <w:proofErr w:type="spellStart"/>
      <w:r w:rsidR="007A1D18" w:rsidRPr="00BC4556">
        <w:rPr>
          <w:i/>
          <w:iCs/>
          <w:sz w:val="22"/>
          <w:szCs w:val="24"/>
        </w:rPr>
        <w:t>Edilson</w:t>
      </w:r>
      <w:proofErr w:type="spellEnd"/>
      <w:r w:rsidR="007A1D18" w:rsidRPr="00BC4556">
        <w:rPr>
          <w:i/>
          <w:iCs/>
          <w:sz w:val="22"/>
          <w:szCs w:val="24"/>
        </w:rPr>
        <w:t xml:space="preserve"> Martínez Pérez solicit</w:t>
      </w:r>
      <w:r w:rsidR="00FE4BEF" w:rsidRPr="00BC4556">
        <w:rPr>
          <w:i/>
          <w:iCs/>
          <w:sz w:val="22"/>
          <w:szCs w:val="24"/>
        </w:rPr>
        <w:t>o</w:t>
      </w:r>
      <w:r w:rsidR="007A1D18" w:rsidRPr="00BC4556">
        <w:rPr>
          <w:i/>
          <w:iCs/>
          <w:sz w:val="22"/>
          <w:szCs w:val="24"/>
        </w:rPr>
        <w:t xml:space="preserve"> la autorización para desvincular de la seguridad social al señor </w:t>
      </w:r>
      <w:proofErr w:type="spellStart"/>
      <w:r w:rsidR="007A1D18" w:rsidRPr="00BC4556">
        <w:rPr>
          <w:i/>
          <w:iCs/>
          <w:sz w:val="22"/>
          <w:szCs w:val="24"/>
        </w:rPr>
        <w:t>Edilson</w:t>
      </w:r>
      <w:proofErr w:type="spellEnd"/>
      <w:r w:rsidR="00FE4BEF" w:rsidRPr="00282DAA">
        <w:rPr>
          <w:i/>
          <w:iCs/>
          <w:szCs w:val="24"/>
        </w:rPr>
        <w:t>”</w:t>
      </w:r>
      <w:r w:rsidR="005325F4" w:rsidRPr="00282DAA">
        <w:rPr>
          <w:i/>
          <w:iCs/>
          <w:szCs w:val="24"/>
        </w:rPr>
        <w:t xml:space="preserve">, </w:t>
      </w:r>
      <w:r w:rsidR="005325F4" w:rsidRPr="00282DAA">
        <w:rPr>
          <w:szCs w:val="24"/>
        </w:rPr>
        <w:t xml:space="preserve">de modo que el mismo al haber realizado la solicitud de terminación del contrato el 29 de julio de 2019, reconoce que el contrato seguía vigente a esa fecha e invoca una causa injusta para terminarlo </w:t>
      </w:r>
      <w:r w:rsidR="00F91BA5" w:rsidRPr="00282DAA">
        <w:rPr>
          <w:szCs w:val="24"/>
        </w:rPr>
        <w:t xml:space="preserve">con permiso de la autoridad del trabajo, a lo que debe sumarse que antes de eso había dejado de pagarle al demandante </w:t>
      </w:r>
      <w:r w:rsidR="007A1D18" w:rsidRPr="00282DAA">
        <w:rPr>
          <w:szCs w:val="24"/>
        </w:rPr>
        <w:t>la seguridad social, no le consignó las cesantías, no le contin</w:t>
      </w:r>
      <w:r w:rsidR="00F91BA5" w:rsidRPr="00282DAA">
        <w:rPr>
          <w:szCs w:val="24"/>
        </w:rPr>
        <w:t>ú</w:t>
      </w:r>
      <w:r w:rsidR="007A1D18" w:rsidRPr="00282DAA">
        <w:rPr>
          <w:szCs w:val="24"/>
        </w:rPr>
        <w:t xml:space="preserve">o pagando incapacidades, absolutamente nada, inclusive se puede leer en la </w:t>
      </w:r>
      <w:r w:rsidR="00ED4683" w:rsidRPr="00282DAA">
        <w:rPr>
          <w:szCs w:val="24"/>
        </w:rPr>
        <w:t>Resolución Nro. 00488 del 10 de noviembre de 2020 del Ministerio del Trabajo</w:t>
      </w:r>
      <w:r w:rsidR="00F91BA5" w:rsidRPr="00282DAA">
        <w:rPr>
          <w:szCs w:val="24"/>
        </w:rPr>
        <w:t>,</w:t>
      </w:r>
      <w:r w:rsidR="007A1D18" w:rsidRPr="00282DAA">
        <w:rPr>
          <w:szCs w:val="24"/>
        </w:rPr>
        <w:t xml:space="preserve"> que efectivamente el señor Gerardo terminó el contrato a </w:t>
      </w:r>
      <w:r w:rsidR="00F91BA5" w:rsidRPr="00282DAA">
        <w:rPr>
          <w:szCs w:val="24"/>
        </w:rPr>
        <w:t>término</w:t>
      </w:r>
      <w:r w:rsidR="007A1D18" w:rsidRPr="00282DAA">
        <w:rPr>
          <w:szCs w:val="24"/>
        </w:rPr>
        <w:t xml:space="preserve"> indefinido. </w:t>
      </w:r>
    </w:p>
    <w:p w14:paraId="05C6434F" w14:textId="77777777" w:rsidR="00D26E6D" w:rsidRPr="00282DAA" w:rsidRDefault="00D26E6D" w:rsidP="00282DAA">
      <w:pPr>
        <w:spacing w:line="276" w:lineRule="auto"/>
        <w:rPr>
          <w:szCs w:val="24"/>
        </w:rPr>
      </w:pPr>
    </w:p>
    <w:p w14:paraId="62326C37" w14:textId="74058BA0" w:rsidR="00ED578B" w:rsidRPr="00BC4556" w:rsidRDefault="00ED578B" w:rsidP="00BC4556">
      <w:pPr>
        <w:pStyle w:val="paragraph"/>
        <w:numPr>
          <w:ilvl w:val="0"/>
          <w:numId w:val="2"/>
        </w:numPr>
        <w:spacing w:before="0" w:beforeAutospacing="0" w:after="0" w:afterAutospacing="0" w:line="276" w:lineRule="auto"/>
        <w:ind w:left="0"/>
        <w:jc w:val="center"/>
        <w:textAlignment w:val="baseline"/>
        <w:rPr>
          <w:rStyle w:val="normaltextrun"/>
          <w:rFonts w:ascii="Tahoma" w:hAnsi="Tahoma" w:cs="Tahoma"/>
          <w:b/>
          <w:bCs/>
        </w:rPr>
      </w:pPr>
      <w:r w:rsidRPr="00BC4556">
        <w:rPr>
          <w:rStyle w:val="normaltextrun"/>
          <w:rFonts w:ascii="Tahoma" w:hAnsi="Tahoma" w:cs="Tahoma"/>
          <w:b/>
          <w:bCs/>
        </w:rPr>
        <w:t>ALEGATOS DE CONCLUSIÓN/CONCEPTO DEL MINISTERIO PÚBLICO</w:t>
      </w:r>
    </w:p>
    <w:p w14:paraId="00000063" w14:textId="77777777" w:rsidR="00041DAE" w:rsidRPr="00282DAA" w:rsidRDefault="00041DAE" w:rsidP="00282DAA">
      <w:pPr>
        <w:spacing w:line="276" w:lineRule="auto"/>
        <w:ind w:firstLine="709"/>
        <w:rPr>
          <w:color w:val="000000"/>
          <w:szCs w:val="24"/>
          <w:shd w:val="clear" w:color="auto" w:fill="FAF9F8"/>
          <w:lang w:val="es-CO"/>
        </w:rPr>
      </w:pPr>
    </w:p>
    <w:p w14:paraId="61F5EE88" w14:textId="4DB112EF" w:rsidR="009B76A2" w:rsidRPr="00282DAA" w:rsidRDefault="009B76A2" w:rsidP="00282DAA">
      <w:pPr>
        <w:spacing w:line="276" w:lineRule="auto"/>
        <w:ind w:firstLine="720"/>
        <w:rPr>
          <w:rFonts w:eastAsiaTheme="minorHAnsi"/>
          <w:szCs w:val="24"/>
          <w:lang w:eastAsia="en-US"/>
        </w:rPr>
      </w:pPr>
      <w:r w:rsidRPr="00282DAA">
        <w:rPr>
          <w:rFonts w:eastAsiaTheme="minorHAnsi"/>
          <w:szCs w:val="24"/>
          <w:lang w:eastAsia="en-US"/>
        </w:rPr>
        <w:t xml:space="preserve">Conforme se </w:t>
      </w:r>
      <w:r w:rsidR="00F91BA5" w:rsidRPr="00282DAA">
        <w:rPr>
          <w:rFonts w:eastAsiaTheme="minorHAnsi"/>
          <w:szCs w:val="24"/>
          <w:lang w:eastAsia="en-US"/>
        </w:rPr>
        <w:t xml:space="preserve">señala en la </w:t>
      </w:r>
      <w:r w:rsidRPr="00282DAA">
        <w:rPr>
          <w:rFonts w:eastAsiaTheme="minorHAnsi"/>
          <w:szCs w:val="24"/>
          <w:lang w:eastAsia="en-US"/>
        </w:rPr>
        <w:t xml:space="preserve">constancia de </w:t>
      </w:r>
      <w:r w:rsidR="00F91BA5" w:rsidRPr="00282DAA">
        <w:rPr>
          <w:rFonts w:eastAsiaTheme="minorHAnsi"/>
          <w:szCs w:val="24"/>
          <w:lang w:eastAsia="en-US"/>
        </w:rPr>
        <w:t>s</w:t>
      </w:r>
      <w:r w:rsidRPr="00282DAA">
        <w:rPr>
          <w:rFonts w:eastAsiaTheme="minorHAnsi"/>
          <w:szCs w:val="24"/>
          <w:lang w:eastAsia="en-US"/>
        </w:rPr>
        <w:t xml:space="preserve">ecretaría, las partes dejaron transcurrir en silencio el plazo otorgado para presentar alegatos de conclusión. Por su parte, el Ministerio Público no emitió concepto en el presente asunto. </w:t>
      </w:r>
    </w:p>
    <w:p w14:paraId="1C0C672D" w14:textId="77777777" w:rsidR="009B76A2" w:rsidRPr="00282DAA" w:rsidRDefault="009B76A2" w:rsidP="00282DAA">
      <w:pPr>
        <w:spacing w:line="276" w:lineRule="auto"/>
        <w:rPr>
          <w:rFonts w:eastAsiaTheme="minorHAnsi"/>
          <w:szCs w:val="24"/>
          <w:lang w:eastAsia="en-US"/>
        </w:rPr>
      </w:pPr>
    </w:p>
    <w:p w14:paraId="5767CA86" w14:textId="77777777" w:rsidR="00ED578B" w:rsidRPr="00282DAA" w:rsidRDefault="00ED578B" w:rsidP="00282DAA">
      <w:pPr>
        <w:pStyle w:val="paragraph"/>
        <w:numPr>
          <w:ilvl w:val="0"/>
          <w:numId w:val="2"/>
        </w:numPr>
        <w:spacing w:before="0" w:beforeAutospacing="0" w:after="0" w:afterAutospacing="0" w:line="276" w:lineRule="auto"/>
        <w:ind w:left="0"/>
        <w:jc w:val="center"/>
        <w:textAlignment w:val="baseline"/>
        <w:rPr>
          <w:rFonts w:ascii="Tahoma" w:hAnsi="Tahoma" w:cs="Tahoma"/>
          <w:b/>
        </w:rPr>
      </w:pPr>
      <w:r w:rsidRPr="00282DAA">
        <w:rPr>
          <w:rStyle w:val="normaltextrun"/>
          <w:rFonts w:ascii="Tahoma" w:hAnsi="Tahoma" w:cs="Tahoma"/>
          <w:b/>
          <w:bCs/>
        </w:rPr>
        <w:t>PROBLEMA JURÍDICO POR RESOLVER</w:t>
      </w:r>
    </w:p>
    <w:p w14:paraId="00000067" w14:textId="347BBBBE" w:rsidR="00041DAE" w:rsidRPr="00282DAA" w:rsidRDefault="00041DAE" w:rsidP="00282DAA">
      <w:pPr>
        <w:spacing w:line="276" w:lineRule="auto"/>
        <w:ind w:firstLine="709"/>
        <w:rPr>
          <w:color w:val="000000"/>
          <w:szCs w:val="24"/>
          <w:shd w:val="clear" w:color="auto" w:fill="FAF9F8"/>
        </w:rPr>
      </w:pPr>
    </w:p>
    <w:p w14:paraId="2D23267A" w14:textId="4C820EEE" w:rsidR="00BA2601" w:rsidRPr="00282DAA" w:rsidRDefault="0039092E" w:rsidP="00282DAA">
      <w:pPr>
        <w:spacing w:line="276" w:lineRule="auto"/>
        <w:ind w:firstLine="720"/>
        <w:rPr>
          <w:szCs w:val="24"/>
        </w:rPr>
      </w:pPr>
      <w:r w:rsidRPr="00282DAA">
        <w:rPr>
          <w:szCs w:val="24"/>
        </w:rPr>
        <w:t>El problema jurídico se circunscribe en</w:t>
      </w:r>
      <w:r w:rsidR="000D4B23" w:rsidRPr="00282DAA">
        <w:rPr>
          <w:szCs w:val="24"/>
          <w:lang w:eastAsia="es-MX"/>
        </w:rPr>
        <w:t xml:space="preserve"> determinar s</w:t>
      </w:r>
      <w:r w:rsidR="000D4B23" w:rsidRPr="00282DAA">
        <w:rPr>
          <w:szCs w:val="24"/>
        </w:rPr>
        <w:t xml:space="preserve">í al momento de la terminación del contrato, </w:t>
      </w:r>
      <w:r w:rsidR="009E5CAC" w:rsidRPr="00282DAA">
        <w:rPr>
          <w:szCs w:val="24"/>
        </w:rPr>
        <w:t xml:space="preserve">el trabajador </w:t>
      </w:r>
      <w:r w:rsidR="000D4B23" w:rsidRPr="00282DAA">
        <w:rPr>
          <w:szCs w:val="24"/>
        </w:rPr>
        <w:t>gozaba de estabilidad laboral reforzada debido a su estado de salud</w:t>
      </w:r>
      <w:r w:rsidR="00A81DB9" w:rsidRPr="00282DAA">
        <w:rPr>
          <w:szCs w:val="24"/>
        </w:rPr>
        <w:t xml:space="preserve">, y en caso afirmativo si hay </w:t>
      </w:r>
      <w:r w:rsidR="00BA2601" w:rsidRPr="00282DAA">
        <w:rPr>
          <w:szCs w:val="24"/>
        </w:rPr>
        <w:t xml:space="preserve">lugar al pago de la indemnización por despido sin justa causa y la indemnización contenida en el artículo 26 de la ley 361 de 1997 equivalente a 180 días de salario. </w:t>
      </w:r>
    </w:p>
    <w:p w14:paraId="038574C6" w14:textId="77777777" w:rsidR="009B76A2" w:rsidRPr="00282DAA" w:rsidRDefault="009B76A2" w:rsidP="00282DAA">
      <w:pPr>
        <w:spacing w:line="276" w:lineRule="auto"/>
        <w:ind w:firstLine="720"/>
        <w:rPr>
          <w:szCs w:val="24"/>
        </w:rPr>
      </w:pPr>
    </w:p>
    <w:p w14:paraId="61675F80" w14:textId="4E30ED9B" w:rsidR="00ED578B" w:rsidRPr="00282DAA" w:rsidRDefault="00ED578B" w:rsidP="00282DAA">
      <w:pPr>
        <w:pStyle w:val="Prrafodelista"/>
        <w:widowControl w:val="0"/>
        <w:numPr>
          <w:ilvl w:val="0"/>
          <w:numId w:val="2"/>
        </w:numPr>
        <w:tabs>
          <w:tab w:val="left" w:pos="284"/>
        </w:tabs>
        <w:autoSpaceDE w:val="0"/>
        <w:autoSpaceDN w:val="0"/>
        <w:adjustRightInd w:val="0"/>
        <w:spacing w:line="276" w:lineRule="auto"/>
        <w:ind w:left="0" w:firstLine="0"/>
        <w:jc w:val="center"/>
        <w:rPr>
          <w:b/>
          <w:szCs w:val="24"/>
        </w:rPr>
      </w:pPr>
      <w:r w:rsidRPr="00282DAA">
        <w:rPr>
          <w:b/>
          <w:szCs w:val="24"/>
        </w:rPr>
        <w:t>CONSIDERACIONES</w:t>
      </w:r>
    </w:p>
    <w:p w14:paraId="46182C19" w14:textId="2A79CECC" w:rsidR="00A80E6B" w:rsidRPr="00282DAA" w:rsidRDefault="00A80E6B" w:rsidP="00282DAA">
      <w:pPr>
        <w:widowControl w:val="0"/>
        <w:tabs>
          <w:tab w:val="left" w:pos="284"/>
        </w:tabs>
        <w:autoSpaceDE w:val="0"/>
        <w:autoSpaceDN w:val="0"/>
        <w:adjustRightInd w:val="0"/>
        <w:spacing w:line="276" w:lineRule="auto"/>
        <w:jc w:val="center"/>
        <w:rPr>
          <w:b/>
          <w:szCs w:val="24"/>
        </w:rPr>
      </w:pPr>
    </w:p>
    <w:p w14:paraId="0F696C84" w14:textId="77777777" w:rsidR="00DA2507" w:rsidRPr="00282DAA" w:rsidRDefault="00BA2CD2" w:rsidP="00282DAA">
      <w:pPr>
        <w:widowControl w:val="0"/>
        <w:tabs>
          <w:tab w:val="left" w:pos="284"/>
        </w:tabs>
        <w:autoSpaceDE w:val="0"/>
        <w:autoSpaceDN w:val="0"/>
        <w:adjustRightInd w:val="0"/>
        <w:spacing w:line="276" w:lineRule="auto"/>
        <w:rPr>
          <w:b/>
          <w:bCs/>
          <w:szCs w:val="24"/>
        </w:rPr>
      </w:pPr>
      <w:r w:rsidRPr="00282DAA">
        <w:rPr>
          <w:b/>
          <w:szCs w:val="24"/>
        </w:rPr>
        <w:lastRenderedPageBreak/>
        <w:tab/>
      </w:r>
      <w:r w:rsidRPr="00282DAA">
        <w:rPr>
          <w:b/>
          <w:szCs w:val="24"/>
        </w:rPr>
        <w:tab/>
      </w:r>
      <w:r w:rsidR="00DA2507" w:rsidRPr="00282DAA">
        <w:rPr>
          <w:b/>
          <w:szCs w:val="24"/>
        </w:rPr>
        <w:t xml:space="preserve">6.1. </w:t>
      </w:r>
      <w:r w:rsidR="00DA2507" w:rsidRPr="00282DAA">
        <w:rPr>
          <w:b/>
          <w:bCs/>
          <w:szCs w:val="24"/>
        </w:rPr>
        <w:t>Derecho a la estabilidad laboral reforzada de personas en estado de debilidad manifiesta por razones de salud.</w:t>
      </w:r>
    </w:p>
    <w:p w14:paraId="5A74BE19" w14:textId="77777777" w:rsidR="00DA2507" w:rsidRPr="00282DAA" w:rsidRDefault="00DA2507" w:rsidP="00282DAA">
      <w:pPr>
        <w:widowControl w:val="0"/>
        <w:tabs>
          <w:tab w:val="left" w:pos="284"/>
        </w:tabs>
        <w:autoSpaceDE w:val="0"/>
        <w:autoSpaceDN w:val="0"/>
        <w:adjustRightInd w:val="0"/>
        <w:spacing w:line="276" w:lineRule="auto"/>
        <w:jc w:val="left"/>
        <w:rPr>
          <w:b/>
          <w:szCs w:val="24"/>
        </w:rPr>
      </w:pPr>
    </w:p>
    <w:p w14:paraId="47C100B0" w14:textId="016C8844" w:rsidR="005D162E" w:rsidRPr="00282DAA" w:rsidRDefault="00DA2507" w:rsidP="00282DAA">
      <w:pPr>
        <w:spacing w:line="276" w:lineRule="auto"/>
        <w:ind w:firstLine="705"/>
        <w:textAlignment w:val="baseline"/>
        <w:rPr>
          <w:rFonts w:eastAsia="Times New Roman"/>
          <w:color w:val="000000"/>
          <w:szCs w:val="24"/>
          <w:lang w:eastAsia="es-ES_tradnl"/>
        </w:rPr>
      </w:pPr>
      <w:bookmarkStart w:id="3" w:name="_Hlk101504919"/>
      <w:r w:rsidRPr="00282DAA">
        <w:rPr>
          <w:rFonts w:eastAsia="Times New Roman"/>
          <w:color w:val="000000"/>
          <w:szCs w:val="24"/>
          <w:lang w:eastAsia="es-ES_tradnl"/>
        </w:rPr>
        <w:t>Dispone el art. 26 de la Ley 361 de 1997 que</w:t>
      </w:r>
      <w:r w:rsidRPr="00282DAA">
        <w:rPr>
          <w:rFonts w:eastAsia="Times New Roman"/>
          <w:i/>
          <w:iCs/>
          <w:color w:val="000000"/>
          <w:szCs w:val="24"/>
          <w:lang w:eastAsia="es-ES_tradnl"/>
        </w:rPr>
        <w:t xml:space="preserve"> “</w:t>
      </w:r>
      <w:r w:rsidRPr="00BC4556">
        <w:rPr>
          <w:rFonts w:eastAsia="Times New Roman"/>
          <w:i/>
          <w:iCs/>
          <w:color w:val="000000"/>
          <w:sz w:val="22"/>
          <w:szCs w:val="24"/>
          <w:lang w:eastAsia="es-ES_tradnl"/>
        </w:rPr>
        <w:t>(…) en ningún caso la discapacidad de una persona, podrá ser motivo para obstaculizar una vinculación laboral, a menos que dicha discapacidad sea claramente demostrada como incompatible e insuperable en el cargo que se va a desempeñar. Así mismo, ninguna persona en situación de discapacidad podrá ser despedida o su contrato terminado por razón de su discapacidad, salvo que medie autorización de la oficina de Trabajo</w:t>
      </w:r>
      <w:r w:rsidRPr="00282DAA">
        <w:rPr>
          <w:rFonts w:eastAsia="Times New Roman"/>
          <w:i/>
          <w:iCs/>
          <w:color w:val="000000"/>
          <w:szCs w:val="24"/>
          <w:lang w:eastAsia="es-ES_tradnl"/>
        </w:rPr>
        <w:t>” y agrega que “</w:t>
      </w:r>
      <w:r w:rsidRPr="00BC4556">
        <w:rPr>
          <w:rFonts w:eastAsia="Times New Roman"/>
          <w:i/>
          <w:iCs/>
          <w:color w:val="000000"/>
          <w:sz w:val="22"/>
          <w:szCs w:val="24"/>
          <w:lang w:eastAsia="es-ES_tradnl"/>
        </w:rPr>
        <w:t>no obstante, quienes fueren despedidos o su contrato terminado por razón de su discapacidad, sin el cumplimiento del requisito previsto en el inciso anterior, tendrán derecho a una indemnización equivalente a ciento ochenta (180) días del salario, sin perjuicio de las demás prestaciones e indemnizaciones a que hubiere lugar de acuerdo con el Código Sustantivo del Trabajo y demás normas que lo modifiquen, adicionen, complementen o aclaren</w:t>
      </w:r>
      <w:r w:rsidRPr="00BC4556">
        <w:t>”.  </w:t>
      </w:r>
      <w:r w:rsidR="005D162E" w:rsidRPr="00BC4556">
        <w:t>Cabe agregar, que dicha disposición fue declarada condicionalmente exequible por medio de la sentencia C-531 de 2000 bajo en el entendido que</w:t>
      </w:r>
      <w:r w:rsidR="005D162E" w:rsidRPr="00BC4556">
        <w:rPr>
          <w:rFonts w:eastAsia="Times New Roman"/>
          <w:color w:val="000000"/>
          <w:sz w:val="32"/>
          <w:szCs w:val="24"/>
          <w:lang w:eastAsia="es-ES_tradnl"/>
        </w:rPr>
        <w:t xml:space="preserve"> </w:t>
      </w:r>
      <w:r w:rsidR="005D162E" w:rsidRPr="00BC4556">
        <w:rPr>
          <w:i/>
          <w:sz w:val="22"/>
          <w:szCs w:val="24"/>
        </w:rPr>
        <w:t>“carece de todo efecto jurídico el despido o la terminación del contrato de una persona por razón de su limitación sin que exista autorización previa de la oficina de Trabajo que constate la configuración de la existencia de una justa causa para el despido o terminación del respectivo contrato</w:t>
      </w:r>
      <w:r w:rsidR="005D162E" w:rsidRPr="00282DAA">
        <w:rPr>
          <w:i/>
          <w:szCs w:val="24"/>
        </w:rPr>
        <w:t>”.</w:t>
      </w:r>
    </w:p>
    <w:p w14:paraId="5E719882" w14:textId="77777777" w:rsidR="00DA2507" w:rsidRPr="00282DAA" w:rsidRDefault="00DA2507" w:rsidP="00282DAA">
      <w:pPr>
        <w:spacing w:line="276" w:lineRule="auto"/>
        <w:ind w:firstLine="705"/>
        <w:textAlignment w:val="baseline"/>
        <w:rPr>
          <w:rFonts w:eastAsia="Times New Roman"/>
          <w:color w:val="000000"/>
          <w:szCs w:val="24"/>
          <w:lang w:eastAsia="es-ES_tradnl"/>
        </w:rPr>
      </w:pPr>
    </w:p>
    <w:p w14:paraId="46F4A2CB" w14:textId="77777777" w:rsidR="00DA2507" w:rsidRPr="00282DAA" w:rsidRDefault="00DA2507" w:rsidP="00282DAA">
      <w:pPr>
        <w:spacing w:line="276" w:lineRule="auto"/>
        <w:ind w:firstLine="705"/>
        <w:textAlignment w:val="baseline"/>
        <w:rPr>
          <w:rFonts w:eastAsia="Times New Roman"/>
          <w:szCs w:val="24"/>
          <w:lang w:eastAsia="es-ES_tradnl"/>
        </w:rPr>
      </w:pPr>
      <w:r w:rsidRPr="00282DAA">
        <w:rPr>
          <w:rFonts w:eastAsia="Times New Roman"/>
          <w:color w:val="000000"/>
          <w:szCs w:val="24"/>
          <w:lang w:eastAsia="es-ES_tradnl"/>
        </w:rPr>
        <w:t xml:space="preserve">A propósito de esta norma, ha indicado la Corte Constitucional que esa garantía cobija a aquellos trabajadores que padezcan algún tipo de problema </w:t>
      </w:r>
      <w:r w:rsidRPr="00282DAA">
        <w:rPr>
          <w:rFonts w:eastAsia="Times New Roman"/>
          <w:color w:val="000000"/>
          <w:szCs w:val="24"/>
          <w:u w:val="single"/>
          <w:lang w:eastAsia="es-ES_tradnl"/>
        </w:rPr>
        <w:t>grave</w:t>
      </w:r>
      <w:r w:rsidRPr="00282DAA">
        <w:rPr>
          <w:rFonts w:eastAsia="Times New Roman"/>
          <w:color w:val="000000"/>
          <w:szCs w:val="24"/>
          <w:lang w:eastAsia="es-ES_tradnl"/>
        </w:rPr>
        <w:t xml:space="preserve"> en su estado de salud que les impida el desempeño normal de sus funciones; situación que conlleva a que su desvinculación se califique como un acto discriminatorio; procediendo única y exclusivamente el reintegro laboral, pues lo que se trata con ello es precisamente salvaguardar derechos fundamentales y no derechos de índole económico (Sentencia T-447/2013).  </w:t>
      </w:r>
    </w:p>
    <w:p w14:paraId="32163158" w14:textId="77777777" w:rsidR="00DA2507" w:rsidRPr="00282DAA" w:rsidRDefault="00DA2507" w:rsidP="00282DAA">
      <w:pPr>
        <w:spacing w:line="276" w:lineRule="auto"/>
        <w:ind w:firstLine="705"/>
        <w:textAlignment w:val="baseline"/>
        <w:rPr>
          <w:rFonts w:eastAsia="Times New Roman"/>
          <w:color w:val="000000"/>
          <w:szCs w:val="24"/>
          <w:lang w:eastAsia="es-ES_tradnl"/>
        </w:rPr>
      </w:pPr>
    </w:p>
    <w:p w14:paraId="186FD084" w14:textId="77777777" w:rsidR="00DA2507" w:rsidRPr="00282DAA" w:rsidRDefault="00DA2507" w:rsidP="00282DAA">
      <w:pPr>
        <w:spacing w:line="276" w:lineRule="auto"/>
        <w:ind w:firstLine="705"/>
        <w:textAlignment w:val="baseline"/>
        <w:rPr>
          <w:rFonts w:eastAsia="Times New Roman"/>
          <w:szCs w:val="24"/>
          <w:lang w:eastAsia="es-ES_tradnl"/>
        </w:rPr>
      </w:pPr>
      <w:r w:rsidRPr="00282DAA">
        <w:rPr>
          <w:rFonts w:eastAsia="Times New Roman"/>
          <w:color w:val="000000"/>
          <w:szCs w:val="24"/>
          <w:lang w:eastAsia="es-ES_tradnl"/>
        </w:rPr>
        <w:t xml:space="preserve">Frente al mismo tema conviene precisar que la Sala Laboral de la Corte Suprema de Justicia, en la sentencia SL-10538-2016, determinó que no cualquier discapacidad está cobijada por la estabilidad laboral reforzada, por cuanto solo son sujetos de dicha garantía (o fuero) las personas que acrediten al menos una </w:t>
      </w:r>
      <w:r w:rsidRPr="00282DAA">
        <w:rPr>
          <w:rFonts w:eastAsia="Times New Roman"/>
          <w:i/>
          <w:color w:val="000000"/>
          <w:szCs w:val="24"/>
          <w:lang w:eastAsia="es-ES_tradnl"/>
        </w:rPr>
        <w:t>“</w:t>
      </w:r>
      <w:r w:rsidRPr="00BC4556">
        <w:rPr>
          <w:rFonts w:eastAsia="Times New Roman"/>
          <w:i/>
          <w:color w:val="000000"/>
          <w:sz w:val="22"/>
          <w:szCs w:val="24"/>
          <w:lang w:eastAsia="es-ES_tradnl"/>
        </w:rPr>
        <w:t>limitación moderada</w:t>
      </w:r>
      <w:r w:rsidRPr="00282DAA">
        <w:rPr>
          <w:rFonts w:eastAsia="Times New Roman"/>
          <w:i/>
          <w:color w:val="000000"/>
          <w:szCs w:val="24"/>
          <w:lang w:eastAsia="es-ES_tradnl"/>
        </w:rPr>
        <w:t>”</w:t>
      </w:r>
      <w:r w:rsidRPr="00282DAA">
        <w:rPr>
          <w:rFonts w:eastAsia="Times New Roman"/>
          <w:color w:val="000000"/>
          <w:szCs w:val="24"/>
          <w:lang w:eastAsia="es-ES_tradnl"/>
        </w:rPr>
        <w:t>, en los términos al Decreto 2463 de 2001 y expuso que el carné de que trata el artículo 5 de la Ley 361 de 1997, como el dictamen pericial de las Juntas de Calificación de Invalidez, son solo algunos de los medios de prueba, no solemnes, para acreditar dicha limitación, empero, habrá casos, según la patología, en los que el juez podrá verificar tal supuesto de hecho con otras pruebas que obren válidamente en el plenario.  </w:t>
      </w:r>
    </w:p>
    <w:p w14:paraId="149F1FBD" w14:textId="77777777" w:rsidR="00DA2507" w:rsidRPr="00282DAA" w:rsidRDefault="00DA2507" w:rsidP="00282DAA">
      <w:pPr>
        <w:spacing w:line="276" w:lineRule="auto"/>
        <w:ind w:firstLine="705"/>
        <w:textAlignment w:val="baseline"/>
        <w:rPr>
          <w:rFonts w:eastAsia="Times New Roman"/>
          <w:color w:val="000000"/>
          <w:szCs w:val="24"/>
          <w:lang w:eastAsia="es-ES_tradnl"/>
        </w:rPr>
      </w:pPr>
    </w:p>
    <w:p w14:paraId="37914996" w14:textId="2769AA9F" w:rsidR="00DA2507" w:rsidRPr="00282DAA" w:rsidRDefault="00DA2507" w:rsidP="00282DAA">
      <w:pPr>
        <w:spacing w:line="276" w:lineRule="auto"/>
        <w:ind w:firstLine="705"/>
        <w:textAlignment w:val="baseline"/>
        <w:rPr>
          <w:rFonts w:eastAsia="Times New Roman"/>
          <w:color w:val="000000" w:themeColor="text1"/>
          <w:szCs w:val="24"/>
          <w:lang w:eastAsia="es-ES_tradnl"/>
        </w:rPr>
      </w:pPr>
      <w:r w:rsidRPr="00282DAA">
        <w:rPr>
          <w:rFonts w:eastAsia="Times New Roman"/>
          <w:color w:val="000000" w:themeColor="text1"/>
          <w:szCs w:val="24"/>
          <w:lang w:eastAsia="es-ES_tradnl"/>
        </w:rPr>
        <w:t xml:space="preserve">Además, a partir de la sentencia SL2586-2020, del 15 de julio de 2020, la Corte precisó que el dictamen pericial no es prueba solemne de la discapacidad, la cual puede ser acreditada bajo cualquier otro medio probatorio, rigiendo para el efecto el principio de libertad probatoria y de formación del convencimiento y además aclaró que, en todo caso, el requisito o exigencia de la acreditación de una discapacidad al menos moderada, solo es exigible frente a litigios fundamentados en hechos anteriores a la entrada en vigor de la Convención sobre los derechos de las personas con discapacidad, aprobada por la Ley 1346 de 2009 y vigente en Colombia </w:t>
      </w:r>
      <w:r w:rsidRPr="00282DAA">
        <w:rPr>
          <w:rFonts w:eastAsia="Times New Roman"/>
          <w:color w:val="000000" w:themeColor="text1"/>
          <w:szCs w:val="24"/>
          <w:lang w:eastAsia="es-ES_tradnl"/>
        </w:rPr>
        <w:lastRenderedPageBreak/>
        <w:t xml:space="preserve">a partir del 10 de junio de 2011, de acuerdo con el artículo 45 de ese instrumento, pues, en lo sucesivo, la protección se debe extender a todos los trabajadores discapacitados o en situación de discapacidad, es decir, aquellas personas que tengan deficiencias físicas, mentales, intelectuales o sensoriales a mediano y largo plazo que, al interactuar con diversas barreras incluyendo las actitudinales, puedan impedir su participación plena y efectiva en la sociedad, en igualdad de condiciones con las demás, entendiendo por </w:t>
      </w:r>
      <w:r w:rsidRPr="00282DAA">
        <w:rPr>
          <w:rFonts w:eastAsia="Times New Roman"/>
          <w:i/>
          <w:color w:val="000000" w:themeColor="text1"/>
          <w:szCs w:val="24"/>
          <w:lang w:eastAsia="es-ES_tradnl"/>
        </w:rPr>
        <w:t>“</w:t>
      </w:r>
      <w:r w:rsidRPr="00BC4556">
        <w:rPr>
          <w:rFonts w:eastAsia="Times New Roman"/>
          <w:i/>
          <w:color w:val="000000" w:themeColor="text1"/>
          <w:sz w:val="22"/>
          <w:szCs w:val="24"/>
          <w:lang w:eastAsia="es-ES_tradnl"/>
        </w:rPr>
        <w:t>barreras</w:t>
      </w:r>
      <w:r w:rsidRPr="00282DAA">
        <w:rPr>
          <w:rFonts w:eastAsia="Times New Roman"/>
          <w:i/>
          <w:color w:val="000000" w:themeColor="text1"/>
          <w:szCs w:val="24"/>
          <w:lang w:eastAsia="es-ES_tradnl"/>
        </w:rPr>
        <w:t>”</w:t>
      </w:r>
      <w:r w:rsidRPr="00282DAA">
        <w:rPr>
          <w:rFonts w:eastAsia="Times New Roman"/>
          <w:color w:val="000000" w:themeColor="text1"/>
          <w:szCs w:val="24"/>
          <w:lang w:eastAsia="es-ES_tradnl"/>
        </w:rPr>
        <w:t xml:space="preserve"> cualquier tipo de obstáculo que impida el ejercicio efectivo de los derechos de las personas con algún tipo de discapacidad, las cuales pueden ser actitudinales, comunicativas y físicas, en los términos del artículo 2° de la Ley 1618 de 2013. </w:t>
      </w:r>
    </w:p>
    <w:p w14:paraId="5BC0D49C" w14:textId="77777777" w:rsidR="00DA2507" w:rsidRPr="00282DAA" w:rsidRDefault="00DA2507" w:rsidP="00282DAA">
      <w:pPr>
        <w:spacing w:line="276" w:lineRule="auto"/>
        <w:ind w:firstLine="705"/>
        <w:textAlignment w:val="baseline"/>
        <w:rPr>
          <w:rFonts w:eastAsia="Times New Roman"/>
          <w:color w:val="000000" w:themeColor="text1"/>
          <w:szCs w:val="24"/>
          <w:lang w:eastAsia="es-ES_tradnl"/>
        </w:rPr>
      </w:pPr>
    </w:p>
    <w:p w14:paraId="0FA94BB4" w14:textId="77777777" w:rsidR="00DA2507" w:rsidRPr="00282DAA" w:rsidRDefault="00DA2507" w:rsidP="00282DAA">
      <w:pPr>
        <w:spacing w:line="276" w:lineRule="auto"/>
        <w:ind w:firstLine="705"/>
        <w:textAlignment w:val="baseline"/>
        <w:rPr>
          <w:rFonts w:eastAsia="Times New Roman"/>
          <w:i/>
          <w:szCs w:val="24"/>
          <w:lang w:eastAsia="es-ES_tradnl"/>
        </w:rPr>
      </w:pPr>
      <w:r w:rsidRPr="00282DAA">
        <w:rPr>
          <w:rFonts w:eastAsia="Times New Roman"/>
          <w:color w:val="000000" w:themeColor="text1"/>
          <w:szCs w:val="24"/>
          <w:lang w:eastAsia="es-ES_tradnl"/>
        </w:rPr>
        <w:t xml:space="preserve">Con todo, vale la pena advertir que la anterior tesis fue modificada por las mayorías de la Sala de Casación Laboral de la Corte Suprema de Justicia mediante </w:t>
      </w:r>
      <w:r w:rsidRPr="00282DAA">
        <w:rPr>
          <w:rFonts w:eastAsia="Arial"/>
          <w:szCs w:val="24"/>
          <w:lang w:eastAsia="es-ES_tradnl"/>
        </w:rPr>
        <w:t>sentencia SL711-2021 del 24 de febrero de 2021</w:t>
      </w:r>
      <w:r w:rsidRPr="00282DAA">
        <w:rPr>
          <w:rFonts w:eastAsia="Arial"/>
          <w:szCs w:val="24"/>
          <w:vertAlign w:val="superscript"/>
          <w:lang w:eastAsia="es-ES_tradnl"/>
        </w:rPr>
        <w:footnoteReference w:id="2"/>
      </w:r>
      <w:r w:rsidRPr="00282DAA">
        <w:rPr>
          <w:rFonts w:eastAsia="Arial"/>
          <w:szCs w:val="24"/>
          <w:lang w:eastAsia="es-ES_tradnl"/>
        </w:rPr>
        <w:t xml:space="preserve"> en la que, según el salvamento de voto de dos de los Magistrados</w:t>
      </w:r>
      <w:r w:rsidRPr="00282DAA">
        <w:rPr>
          <w:rFonts w:eastAsia="Arial"/>
          <w:szCs w:val="24"/>
          <w:vertAlign w:val="superscript"/>
          <w:lang w:eastAsia="es-ES_tradnl"/>
        </w:rPr>
        <w:footnoteReference w:id="3"/>
      </w:r>
      <w:r w:rsidRPr="00282DAA">
        <w:rPr>
          <w:rFonts w:eastAsia="Arial"/>
          <w:szCs w:val="24"/>
          <w:lang w:eastAsia="es-ES_tradnl"/>
        </w:rPr>
        <w:t xml:space="preserve">, </w:t>
      </w:r>
      <w:r w:rsidRPr="00282DAA">
        <w:rPr>
          <w:rFonts w:eastAsia="Times New Roman"/>
          <w:i/>
          <w:szCs w:val="24"/>
          <w:lang w:eastAsia="es-ES_tradnl"/>
        </w:rPr>
        <w:t>“</w:t>
      </w:r>
      <w:r w:rsidRPr="00BC4556">
        <w:rPr>
          <w:rFonts w:eastAsia="Times New Roman"/>
          <w:i/>
          <w:sz w:val="22"/>
          <w:szCs w:val="24"/>
          <w:lang w:eastAsia="es-ES_tradnl"/>
        </w:rPr>
        <w:t>la Sala reafirma su criterio según el cual los únicos beneficiarios de la estabilidad laboral reforzada prevista en el artículo 26 de la Ley 361 de 1997 son aquellos que acrediten una pérdida de capacidad laboral -PCL- igual o superior al 15%, en los términos del Decreto 2463 de 2001, premisa que se mantiene aún a pesar de la entrada en vigencia de la Convención sobre los Derechos de las Personas con Discapacidad, aprobada por la Ley 1346 de 2009. Aunque la Sala afirma que los porcentajes o grados de PCL del Decreto 2463 de 2001 son compatibles con la Convención sobre los Derechos de las Personas con Discapacidad, desde nuestro punto de vista, esa normativa es justamente lo contrario: evidentemente incompatible o denegatoria de los contenidos de la Convención, instrumento que valga recordar integra el elenco de los derechos humanos y, por consiguiente, hace parte del bloque de constitucionalidad, según lo previsto en el artículo 93 Constitución Política. Es decir, implica que sus preceptos tienen la máxima jerarquía en el sistema jurídico y, por tanto, es imperativo interpretar las reglas de inferior jerarquía, conforme a sus contenidos normativos</w:t>
      </w:r>
      <w:r w:rsidRPr="00282DAA">
        <w:rPr>
          <w:rFonts w:eastAsia="Times New Roman"/>
          <w:i/>
          <w:szCs w:val="24"/>
          <w:lang w:eastAsia="es-ES_tradnl"/>
        </w:rPr>
        <w:t>”.</w:t>
      </w:r>
    </w:p>
    <w:p w14:paraId="6CC9E27F" w14:textId="77777777" w:rsidR="00DA2507" w:rsidRPr="00282DAA" w:rsidRDefault="00DA2507" w:rsidP="00282DAA">
      <w:pPr>
        <w:spacing w:line="276" w:lineRule="auto"/>
        <w:ind w:firstLine="705"/>
        <w:textAlignment w:val="baseline"/>
        <w:rPr>
          <w:rFonts w:eastAsia="Arial"/>
          <w:i/>
          <w:szCs w:val="24"/>
          <w:lang w:eastAsia="es-ES_tradnl"/>
        </w:rPr>
      </w:pPr>
    </w:p>
    <w:p w14:paraId="1803257D" w14:textId="3FCBE9BF" w:rsidR="00DA2507" w:rsidRPr="00282DAA" w:rsidRDefault="00DA2507" w:rsidP="00282DAA">
      <w:pPr>
        <w:spacing w:line="276" w:lineRule="auto"/>
        <w:ind w:firstLine="705"/>
        <w:textAlignment w:val="baseline"/>
        <w:rPr>
          <w:rFonts w:eastAsia="Arial"/>
          <w:szCs w:val="24"/>
          <w:lang w:eastAsia="es-ES_tradnl"/>
        </w:rPr>
      </w:pPr>
      <w:r w:rsidRPr="00282DAA">
        <w:rPr>
          <w:rFonts w:eastAsia="Arial"/>
          <w:szCs w:val="24"/>
          <w:lang w:eastAsia="es-ES_tradnl"/>
        </w:rPr>
        <w:t xml:space="preserve">Lo anterior demuestra que este no ha sido un tema pacífico al interior del órgano de cierre del máximo Tribunal, advirtiendo en todo caso, que las mayorías de esta Sala acogen el salvamento de voto de la sentencia SL711-2021, lo que a su vez implica que la posición de la mayoría se atiene a la interpretación que se dio en la citada </w:t>
      </w:r>
      <w:r w:rsidRPr="00282DAA">
        <w:rPr>
          <w:rFonts w:eastAsia="Times New Roman"/>
          <w:color w:val="000000" w:themeColor="text1"/>
          <w:szCs w:val="24"/>
          <w:lang w:eastAsia="es-ES_tradnl"/>
        </w:rPr>
        <w:t>sentencia SL2586-2020 del 15 de julio de 2020, como quiera que la tesis mayoritaria del máximo órgano de cierre se basa en los grados de pérdida de la capacidad laboral, contenidos en el derogado artículo 7 del Decreto 2463 de 2001</w:t>
      </w:r>
      <w:r w:rsidRPr="00282DAA">
        <w:rPr>
          <w:rStyle w:val="Refdenotaalpie"/>
          <w:color w:val="000000" w:themeColor="text1"/>
          <w:szCs w:val="24"/>
          <w:lang w:eastAsia="es-ES_tradnl"/>
        </w:rPr>
        <w:footnoteReference w:id="4"/>
      </w:r>
      <w:r w:rsidRPr="00282DAA">
        <w:rPr>
          <w:rFonts w:eastAsia="Times New Roman"/>
          <w:color w:val="000000" w:themeColor="text1"/>
          <w:szCs w:val="24"/>
          <w:lang w:eastAsia="es-ES_tradnl"/>
        </w:rPr>
        <w:t xml:space="preserve">, y no en el modelo social de discapacidad contenido en la Convención sobre los Derechos de las Personas con Discapacidad y en la Ley Estatutaria 1618 de 2013, que, como lo enseñan las voces disidentes expresadas en el salvamento, son normas superiores a las normas internas de carácter legal. </w:t>
      </w:r>
      <w:bookmarkStart w:id="4" w:name="_Hlk98950022"/>
    </w:p>
    <w:p w14:paraId="4BC1EFEC" w14:textId="77777777" w:rsidR="00DA2507" w:rsidRPr="00282DAA" w:rsidRDefault="00DA2507" w:rsidP="00282DAA">
      <w:pPr>
        <w:spacing w:line="276" w:lineRule="auto"/>
        <w:ind w:firstLine="705"/>
        <w:textAlignment w:val="baseline"/>
        <w:rPr>
          <w:rFonts w:eastAsia="Times New Roman"/>
          <w:color w:val="000000"/>
          <w:szCs w:val="24"/>
          <w:lang w:eastAsia="es-ES_tradnl"/>
        </w:rPr>
      </w:pPr>
    </w:p>
    <w:p w14:paraId="6A1DFD75" w14:textId="7AD85538" w:rsidR="00DA2507" w:rsidRPr="00282DAA" w:rsidRDefault="00DA2507" w:rsidP="00282DAA">
      <w:pPr>
        <w:spacing w:line="276" w:lineRule="auto"/>
        <w:ind w:firstLine="705"/>
        <w:textAlignment w:val="baseline"/>
        <w:rPr>
          <w:rFonts w:eastAsia="Arial"/>
          <w:szCs w:val="24"/>
          <w:lang w:eastAsia="es-ES_tradnl"/>
        </w:rPr>
      </w:pPr>
      <w:r w:rsidRPr="00282DAA">
        <w:rPr>
          <w:rFonts w:eastAsia="Times New Roman"/>
          <w:color w:val="000000"/>
          <w:szCs w:val="24"/>
          <w:lang w:eastAsia="es-ES_tradnl"/>
        </w:rPr>
        <w:t xml:space="preserve">Aclarado lo anterior, y atendiendo al precedente de la </w:t>
      </w:r>
      <w:r w:rsidRPr="00282DAA">
        <w:rPr>
          <w:rFonts w:eastAsia="Times New Roman"/>
          <w:color w:val="000000" w:themeColor="text1"/>
          <w:szCs w:val="24"/>
          <w:lang w:eastAsia="es-ES_tradnl"/>
        </w:rPr>
        <w:t xml:space="preserve">sentencia SL2586-2020 y los múltiples pronunciamientos que en el mismo sentido ha dictado la Corte Constitucional, </w:t>
      </w:r>
      <w:r w:rsidRPr="00282DAA">
        <w:rPr>
          <w:rFonts w:eastAsia="Times New Roman"/>
          <w:color w:val="000000"/>
          <w:szCs w:val="24"/>
          <w:lang w:eastAsia="es-ES_tradnl"/>
        </w:rPr>
        <w:t xml:space="preserve">dicha discriminación se acredita, se itera, cuando en el caso particular se compruebe: 1) que el demandante pueda considerarse una persona en situación </w:t>
      </w:r>
      <w:r w:rsidRPr="00282DAA">
        <w:rPr>
          <w:rFonts w:eastAsia="Times New Roman"/>
          <w:color w:val="000000"/>
          <w:szCs w:val="24"/>
          <w:lang w:eastAsia="es-ES_tradnl"/>
        </w:rPr>
        <w:lastRenderedPageBreak/>
        <w:t>de discapacidad, o en estado de debilidad manifiesta; 2) que el empleador tenga conocimiento de tal situación; 3) que se halle probado el nexo causal entre el despido y el estado de salud del trabajador; y 4) que no medie la autorización del inspector del trabajo en los casos en que ella resulta menester, tal como lo precisó la Sala Laboral de la Corte Suprema de Justicia en la citada sentencia, en la cual, además, puntualizó que la garantía prevista en el artículo 26 de la Ley 361 de 1997, </w:t>
      </w:r>
      <w:r w:rsidRPr="00282DAA">
        <w:rPr>
          <w:rFonts w:eastAsia="Times New Roman"/>
          <w:i/>
          <w:iCs/>
          <w:color w:val="000000"/>
          <w:szCs w:val="24"/>
          <w:lang w:eastAsia="es-ES_tradnl"/>
        </w:rPr>
        <w:t>“</w:t>
      </w:r>
      <w:r w:rsidRPr="00BC4556">
        <w:rPr>
          <w:rFonts w:eastAsia="Times New Roman"/>
          <w:i/>
          <w:iCs/>
          <w:sz w:val="22"/>
          <w:szCs w:val="24"/>
          <w:lang w:eastAsia="es-ES_tradnl"/>
        </w:rPr>
        <w:t>fue concebida a fin de disuadir los despidos discriminatorios, es decir, aquellos fundados en el prejuicio, estigma o estereotipo de la discapacidad del trabajador, (…) lo</w:t>
      </w:r>
      <w:r w:rsidRPr="00BC4556">
        <w:rPr>
          <w:rFonts w:eastAsia="Times New Roman"/>
          <w:sz w:val="22"/>
          <w:szCs w:val="24"/>
          <w:lang w:eastAsia="es-ES_tradnl"/>
        </w:rPr>
        <w:t> </w:t>
      </w:r>
      <w:r w:rsidRPr="00BC4556">
        <w:rPr>
          <w:rFonts w:eastAsia="Times New Roman"/>
          <w:i/>
          <w:iCs/>
          <w:sz w:val="22"/>
          <w:szCs w:val="24"/>
          <w:lang w:eastAsia="es-ES_tradnl"/>
        </w:rPr>
        <w:t>que significa que los despidos que no obedezcan a la situación de la discapacidad del trabajador sino a una razón objetiva, son legítimos</w:t>
      </w:r>
      <w:r w:rsidRPr="00282DAA">
        <w:rPr>
          <w:rFonts w:eastAsia="Times New Roman"/>
          <w:i/>
          <w:iCs/>
          <w:szCs w:val="24"/>
          <w:lang w:eastAsia="es-ES_tradnl"/>
        </w:rPr>
        <w:t>”.</w:t>
      </w:r>
      <w:r w:rsidRPr="00282DAA">
        <w:rPr>
          <w:rFonts w:eastAsia="Times New Roman"/>
          <w:szCs w:val="24"/>
          <w:lang w:eastAsia="es-ES_tradnl"/>
        </w:rPr>
        <w:t> </w:t>
      </w:r>
    </w:p>
    <w:p w14:paraId="1B9171B5" w14:textId="77777777" w:rsidR="00DA2507" w:rsidRPr="00282DAA" w:rsidRDefault="00DA2507" w:rsidP="00282DAA">
      <w:pPr>
        <w:spacing w:line="276" w:lineRule="auto"/>
        <w:ind w:firstLine="705"/>
        <w:textAlignment w:val="baseline"/>
        <w:rPr>
          <w:rFonts w:eastAsia="Times New Roman"/>
          <w:szCs w:val="24"/>
          <w:lang w:eastAsia="es-ES_tradnl"/>
        </w:rPr>
      </w:pPr>
      <w:r w:rsidRPr="00282DAA">
        <w:rPr>
          <w:rFonts w:eastAsia="Times New Roman"/>
          <w:color w:val="000000"/>
          <w:szCs w:val="24"/>
          <w:lang w:eastAsia="es-ES_tradnl"/>
        </w:rPr>
        <w:t>  </w:t>
      </w:r>
    </w:p>
    <w:bookmarkEnd w:id="4"/>
    <w:p w14:paraId="0A9FD508" w14:textId="1D304B38" w:rsidR="002A02F5" w:rsidRPr="00282DAA" w:rsidRDefault="00DA2507" w:rsidP="00282DAA">
      <w:pPr>
        <w:spacing w:line="276" w:lineRule="auto"/>
        <w:ind w:firstLine="705"/>
        <w:textAlignment w:val="baseline"/>
        <w:rPr>
          <w:rFonts w:eastAsia="Times New Roman"/>
          <w:color w:val="000000"/>
          <w:szCs w:val="24"/>
          <w:lang w:eastAsia="es-ES_tradnl"/>
        </w:rPr>
      </w:pPr>
      <w:r w:rsidRPr="00282DAA">
        <w:rPr>
          <w:rFonts w:eastAsia="Times New Roman"/>
          <w:color w:val="000000"/>
          <w:szCs w:val="24"/>
          <w:lang w:eastAsia="es-ES_tradnl"/>
        </w:rPr>
        <w:t xml:space="preserve">Ese mismo sentido, en una sentencia anterior (CSJ SL1360-2018), </w:t>
      </w:r>
      <w:r w:rsidR="00E7036C" w:rsidRPr="00282DAA">
        <w:rPr>
          <w:rFonts w:eastAsia="Times New Roman"/>
          <w:color w:val="000000"/>
          <w:szCs w:val="24"/>
          <w:lang w:eastAsia="es-ES_tradnl"/>
        </w:rPr>
        <w:t>la Corte abandonó el criterio adoptado</w:t>
      </w:r>
      <w:r w:rsidR="006249E2" w:rsidRPr="00282DAA">
        <w:rPr>
          <w:rFonts w:eastAsia="Times New Roman"/>
          <w:color w:val="000000"/>
          <w:szCs w:val="24"/>
          <w:lang w:eastAsia="es-ES_tradnl"/>
        </w:rPr>
        <w:t xml:space="preserve"> en la sentencia CSJ SL36115, 16 mar. 2010, reiterada en SL35794, 10 ago. 2010</w:t>
      </w:r>
      <w:r w:rsidR="00E7036C" w:rsidRPr="00282DAA">
        <w:rPr>
          <w:rFonts w:eastAsia="Times New Roman"/>
          <w:color w:val="000000"/>
          <w:szCs w:val="24"/>
          <w:lang w:eastAsia="es-ES_tradnl"/>
        </w:rPr>
        <w:t>, para</w:t>
      </w:r>
      <w:r w:rsidR="00F91BA5" w:rsidRPr="00282DAA">
        <w:rPr>
          <w:rFonts w:eastAsia="Times New Roman"/>
          <w:color w:val="000000"/>
          <w:szCs w:val="24"/>
          <w:lang w:eastAsia="es-ES_tradnl"/>
        </w:rPr>
        <w:t>,</w:t>
      </w:r>
      <w:r w:rsidR="00E7036C" w:rsidRPr="00282DAA">
        <w:rPr>
          <w:rFonts w:eastAsia="Times New Roman"/>
          <w:color w:val="000000"/>
          <w:szCs w:val="24"/>
          <w:lang w:eastAsia="es-ES_tradnl"/>
        </w:rPr>
        <w:t xml:space="preserve"> en su lugar, adoctrinar que el artículo 26 de la Ley 361 de 1997 consagra una presunción legal o de derecho, en la cual al trabajador le corresponde demostrar su situación de discapacidad, para que el despido se presuma discriminatorio, lo que impone al empleador la carga de demostrar la justa causa para dar por terminado el contrato de trabajo</w:t>
      </w:r>
      <w:r w:rsidR="002A02F5" w:rsidRPr="00282DAA">
        <w:rPr>
          <w:rFonts w:eastAsia="Times New Roman"/>
          <w:color w:val="000000"/>
          <w:szCs w:val="24"/>
          <w:lang w:eastAsia="es-ES_tradnl"/>
        </w:rPr>
        <w:t xml:space="preserve">. </w:t>
      </w:r>
    </w:p>
    <w:p w14:paraId="57306BA2" w14:textId="77777777" w:rsidR="002A02F5" w:rsidRPr="00282DAA" w:rsidRDefault="002A02F5" w:rsidP="00282DAA">
      <w:pPr>
        <w:spacing w:line="276" w:lineRule="auto"/>
        <w:ind w:firstLine="705"/>
        <w:textAlignment w:val="baseline"/>
        <w:rPr>
          <w:rFonts w:eastAsia="Times New Roman"/>
          <w:color w:val="000000"/>
          <w:szCs w:val="24"/>
          <w:lang w:eastAsia="es-ES_tradnl"/>
        </w:rPr>
      </w:pPr>
    </w:p>
    <w:p w14:paraId="3D496F56" w14:textId="17971456" w:rsidR="006B5521" w:rsidRPr="00282DAA" w:rsidRDefault="00E7036C" w:rsidP="00282DAA">
      <w:pPr>
        <w:spacing w:line="276" w:lineRule="auto"/>
        <w:ind w:firstLine="705"/>
        <w:textAlignment w:val="baseline"/>
        <w:rPr>
          <w:szCs w:val="24"/>
        </w:rPr>
      </w:pPr>
      <w:r w:rsidRPr="00282DAA">
        <w:rPr>
          <w:rFonts w:eastAsia="Times New Roman"/>
          <w:color w:val="000000"/>
          <w:szCs w:val="24"/>
          <w:lang w:eastAsia="es-ES_tradnl"/>
        </w:rPr>
        <w:t>En la misma pieza jurisprudencial, adoctrinó</w:t>
      </w:r>
      <w:r w:rsidR="002A02F5" w:rsidRPr="00282DAA">
        <w:rPr>
          <w:rFonts w:eastAsia="Times New Roman"/>
          <w:color w:val="000000"/>
          <w:szCs w:val="24"/>
          <w:lang w:eastAsia="es-ES_tradnl"/>
        </w:rPr>
        <w:t xml:space="preserve">: </w:t>
      </w:r>
      <w:r w:rsidR="002A02F5" w:rsidRPr="00282DAA">
        <w:rPr>
          <w:rFonts w:eastAsia="Times New Roman"/>
          <w:b/>
          <w:color w:val="000000"/>
          <w:szCs w:val="24"/>
          <w:lang w:eastAsia="es-ES_tradnl"/>
        </w:rPr>
        <w:t>1)</w:t>
      </w:r>
      <w:r w:rsidR="002A02F5" w:rsidRPr="00282DAA">
        <w:rPr>
          <w:rFonts w:eastAsia="Times New Roman"/>
          <w:color w:val="000000"/>
          <w:szCs w:val="24"/>
          <w:lang w:eastAsia="es-ES_tradnl"/>
        </w:rPr>
        <w:t xml:space="preserve"> </w:t>
      </w:r>
      <w:bookmarkStart w:id="5" w:name="_Hlk136334180"/>
      <w:r w:rsidR="002A02F5" w:rsidRPr="00282DAA">
        <w:rPr>
          <w:rFonts w:eastAsia="Times New Roman"/>
          <w:color w:val="000000"/>
          <w:szCs w:val="24"/>
          <w:lang w:eastAsia="es-ES_tradnl"/>
        </w:rPr>
        <w:t xml:space="preserve">La prohibición del artículo 26 de la Ley 361 de 1997 pesa sobre los despidos motivados en razones discriminatorias, lo que significa que la extinción del vínculo laboral soportada en una justa causa legal es legítima, caso en el cual no es obligatorio acudir al inspector de trabajo; </w:t>
      </w:r>
      <w:r w:rsidR="002A02F5" w:rsidRPr="00282DAA">
        <w:rPr>
          <w:rFonts w:eastAsia="Times New Roman"/>
          <w:b/>
          <w:color w:val="000000"/>
          <w:szCs w:val="24"/>
          <w:lang w:eastAsia="es-ES_tradnl"/>
        </w:rPr>
        <w:t>2)</w:t>
      </w:r>
      <w:r w:rsidR="002A02F5" w:rsidRPr="00282DAA">
        <w:rPr>
          <w:rFonts w:eastAsia="Times New Roman"/>
          <w:color w:val="000000"/>
          <w:szCs w:val="24"/>
          <w:lang w:eastAsia="es-ES_tradnl"/>
        </w:rPr>
        <w:t xml:space="preserve"> </w:t>
      </w:r>
      <w:r w:rsidR="002A02F5" w:rsidRPr="00282DAA">
        <w:rPr>
          <w:szCs w:val="24"/>
        </w:rPr>
        <w:t>A pesar de lo anterior, si, en el juicio laboral, el trabajador demuestra su situación de discapacidad, el despido se presume discriminatorio, lo que impone al empleador la carga de demostrar las justas causas alegadas, so pena de que el acto se declare ineficaz y se ordene el reintegro del trabajador, junto con el pago de los salarios y prestaciones insolutos, y la sanción de 180 días de salario</w:t>
      </w:r>
      <w:bookmarkEnd w:id="3"/>
      <w:r w:rsidR="002A02F5" w:rsidRPr="00282DAA">
        <w:rPr>
          <w:szCs w:val="24"/>
        </w:rPr>
        <w:t xml:space="preserve">; </w:t>
      </w:r>
      <w:r w:rsidR="002A02F5" w:rsidRPr="00282DAA">
        <w:rPr>
          <w:b/>
          <w:szCs w:val="24"/>
        </w:rPr>
        <w:t>3)</w:t>
      </w:r>
      <w:r w:rsidR="002A02F5" w:rsidRPr="00282DAA">
        <w:rPr>
          <w:szCs w:val="24"/>
        </w:rPr>
        <w:t xml:space="preserve"> La autorización del ministerio del ramo se impone cuando la discapacidad sea un obstáculo insuperable para laborar, es decir, cuando el contrato de trabajo pierda su razón de ser por imposibilidad de prestar el servicio. En este caso el funcionario gubernamental debe validar que el empleador haya agotado diligentemente las etapas de rehabilitación integral, readaptación, reinserción y reubicación laboral de los trabajadores con discapacidad. La omisión de esta obligación implica la ineficacia del despido, más el pago de los salarios, prestaciones y sanciones atrás transcritas.</w:t>
      </w:r>
    </w:p>
    <w:bookmarkEnd w:id="5"/>
    <w:p w14:paraId="2A485179" w14:textId="336A4CC6" w:rsidR="002A02F5" w:rsidRPr="00282DAA" w:rsidRDefault="002A02F5" w:rsidP="00282DAA">
      <w:pPr>
        <w:spacing w:line="276" w:lineRule="auto"/>
        <w:ind w:firstLine="705"/>
        <w:textAlignment w:val="baseline"/>
        <w:rPr>
          <w:rFonts w:eastAsia="Times New Roman"/>
          <w:color w:val="000000"/>
          <w:szCs w:val="24"/>
          <w:lang w:eastAsia="es-ES_tradnl"/>
        </w:rPr>
      </w:pPr>
    </w:p>
    <w:p w14:paraId="7793B588" w14:textId="2ED5ADD0" w:rsidR="0060493F" w:rsidRPr="00282DAA" w:rsidRDefault="007F22A5" w:rsidP="00282DAA">
      <w:pPr>
        <w:spacing w:line="276" w:lineRule="auto"/>
        <w:ind w:firstLine="720"/>
        <w:rPr>
          <w:b/>
          <w:szCs w:val="24"/>
        </w:rPr>
      </w:pPr>
      <w:r w:rsidRPr="00282DAA">
        <w:rPr>
          <w:b/>
          <w:szCs w:val="24"/>
        </w:rPr>
        <w:t>6.2. Caso concreto.</w:t>
      </w:r>
    </w:p>
    <w:p w14:paraId="5679D21D" w14:textId="47447587" w:rsidR="006937DC" w:rsidRPr="00282DAA" w:rsidRDefault="006937DC" w:rsidP="00282DAA">
      <w:pPr>
        <w:spacing w:line="276" w:lineRule="auto"/>
        <w:ind w:firstLine="720"/>
        <w:rPr>
          <w:b/>
          <w:szCs w:val="24"/>
        </w:rPr>
      </w:pPr>
    </w:p>
    <w:p w14:paraId="2CBA7878" w14:textId="2AD803B0" w:rsidR="00AE4C2C" w:rsidRPr="00282DAA" w:rsidRDefault="00B75F5A" w:rsidP="00282DAA">
      <w:pPr>
        <w:spacing w:line="276" w:lineRule="auto"/>
        <w:ind w:firstLine="720"/>
        <w:rPr>
          <w:szCs w:val="24"/>
        </w:rPr>
      </w:pPr>
      <w:r w:rsidRPr="00282DAA">
        <w:rPr>
          <w:color w:val="000000"/>
          <w:szCs w:val="24"/>
        </w:rPr>
        <w:t>De conformidad con la sentencia de primera instancia</w:t>
      </w:r>
      <w:r w:rsidR="00AE4C2C" w:rsidRPr="00282DAA">
        <w:rPr>
          <w:color w:val="000000"/>
          <w:szCs w:val="24"/>
        </w:rPr>
        <w:t xml:space="preserve"> y las pruebas documentales</w:t>
      </w:r>
      <w:r w:rsidR="00D14E6C" w:rsidRPr="00282DAA">
        <w:rPr>
          <w:color w:val="000000"/>
          <w:szCs w:val="24"/>
        </w:rPr>
        <w:t xml:space="preserve"> que militan válidamente en el proceso,</w:t>
      </w:r>
      <w:r w:rsidR="00AE4C2C" w:rsidRPr="00282DAA">
        <w:rPr>
          <w:color w:val="000000"/>
          <w:szCs w:val="24"/>
        </w:rPr>
        <w:t xml:space="preserve"> se encuentran por fuera de discusión los siguientes aspectos: 1) que entre las partes existió un contrato de trabajo </w:t>
      </w:r>
      <w:r w:rsidRPr="00282DAA">
        <w:rPr>
          <w:color w:val="000000"/>
          <w:szCs w:val="24"/>
        </w:rPr>
        <w:t>a término indefinido, desde el 18 de julio de 2016 hasta el 29 de julio de 2019</w:t>
      </w:r>
      <w:r w:rsidR="00AE4C2C" w:rsidRPr="00282DAA">
        <w:rPr>
          <w:color w:val="000000"/>
          <w:szCs w:val="24"/>
        </w:rPr>
        <w:t xml:space="preserve">; 2) </w:t>
      </w:r>
      <w:r w:rsidR="00680520" w:rsidRPr="00282DAA">
        <w:rPr>
          <w:color w:val="000000"/>
          <w:szCs w:val="24"/>
        </w:rPr>
        <w:t xml:space="preserve">que </w:t>
      </w:r>
      <w:r w:rsidR="00AE4C2C" w:rsidRPr="00282DAA">
        <w:rPr>
          <w:color w:val="000000"/>
          <w:szCs w:val="24"/>
        </w:rPr>
        <w:t>según dictamen de pérdida de capacidad laboral emitido por la Junta Nacional de Calificación de Invalidez, el actor tiene una pérdida de capacidad laboral de 29.16% de origen laboral estructurada el 11 de enero de 2018</w:t>
      </w:r>
      <w:r w:rsidR="008218B3" w:rsidRPr="00282DAA">
        <w:rPr>
          <w:rStyle w:val="Refdenotaalpie"/>
          <w:color w:val="000000"/>
          <w:szCs w:val="24"/>
        </w:rPr>
        <w:footnoteReference w:id="5"/>
      </w:r>
      <w:r w:rsidR="00AE4C2C" w:rsidRPr="00282DAA">
        <w:rPr>
          <w:color w:val="000000"/>
          <w:szCs w:val="24"/>
        </w:rPr>
        <w:t xml:space="preserve">; 3) </w:t>
      </w:r>
      <w:r w:rsidR="00AE4C2C" w:rsidRPr="00282DAA">
        <w:rPr>
          <w:szCs w:val="24"/>
        </w:rPr>
        <w:t xml:space="preserve">por medio de </w:t>
      </w:r>
      <w:r w:rsidR="00AE4C2C" w:rsidRPr="00282DAA">
        <w:rPr>
          <w:szCs w:val="24"/>
        </w:rPr>
        <w:lastRenderedPageBreak/>
        <w:t xml:space="preserve">Resolución No. 00488 del 10 de noviembre de 2020, el Ministerio de trabajo autorizó a la sociedad Soluciones Técnicas Domiciliarias S.A.S para terminar el vínculo laboral existente con el señor </w:t>
      </w:r>
      <w:proofErr w:type="spellStart"/>
      <w:r w:rsidR="00AE4C2C" w:rsidRPr="00282DAA">
        <w:rPr>
          <w:szCs w:val="24"/>
        </w:rPr>
        <w:t>Edilson</w:t>
      </w:r>
      <w:proofErr w:type="spellEnd"/>
      <w:r w:rsidR="00AE4C2C" w:rsidRPr="00282DAA">
        <w:rPr>
          <w:szCs w:val="24"/>
        </w:rPr>
        <w:t xml:space="preserve"> Martínez Pérez</w:t>
      </w:r>
      <w:r w:rsidR="00AE4C2C" w:rsidRPr="00282DAA">
        <w:rPr>
          <w:rStyle w:val="Refdenotaalpie"/>
          <w:szCs w:val="24"/>
        </w:rPr>
        <w:footnoteReference w:id="6"/>
      </w:r>
      <w:r w:rsidR="00AE4C2C" w:rsidRPr="00282DAA">
        <w:rPr>
          <w:szCs w:val="24"/>
        </w:rPr>
        <w:t xml:space="preserve">. </w:t>
      </w:r>
    </w:p>
    <w:p w14:paraId="005F518C" w14:textId="63C805C1" w:rsidR="008218B3" w:rsidRPr="00282DAA" w:rsidRDefault="008218B3" w:rsidP="00282DAA">
      <w:pPr>
        <w:spacing w:line="276" w:lineRule="auto"/>
        <w:ind w:firstLine="720"/>
        <w:rPr>
          <w:szCs w:val="24"/>
        </w:rPr>
      </w:pPr>
    </w:p>
    <w:p w14:paraId="4618E921" w14:textId="38C9D5D8" w:rsidR="008218B3" w:rsidRPr="00282DAA" w:rsidRDefault="00F07B1C" w:rsidP="00282DAA">
      <w:pPr>
        <w:spacing w:line="276" w:lineRule="auto"/>
        <w:ind w:firstLine="720"/>
        <w:rPr>
          <w:szCs w:val="24"/>
        </w:rPr>
      </w:pPr>
      <w:r w:rsidRPr="00282DAA">
        <w:rPr>
          <w:szCs w:val="24"/>
        </w:rPr>
        <w:t xml:space="preserve">En cuanto a las causas que rodearon la terminación del contrato de </w:t>
      </w:r>
      <w:r w:rsidR="00D33823" w:rsidRPr="00282DAA">
        <w:rPr>
          <w:szCs w:val="24"/>
        </w:rPr>
        <w:t>trabajo, el</w:t>
      </w:r>
      <w:r w:rsidR="00030E47" w:rsidRPr="00282DAA">
        <w:rPr>
          <w:szCs w:val="24"/>
        </w:rPr>
        <w:t xml:space="preserve"> 29 de julio de 2019</w:t>
      </w:r>
      <w:r w:rsidR="00B75F5A" w:rsidRPr="00282DAA">
        <w:rPr>
          <w:szCs w:val="24"/>
        </w:rPr>
        <w:t xml:space="preserve"> </w:t>
      </w:r>
      <w:r w:rsidR="00030E47" w:rsidRPr="00282DAA">
        <w:rPr>
          <w:szCs w:val="24"/>
        </w:rPr>
        <w:t>Soluciones Técnicas Domiciliarias SAS</w:t>
      </w:r>
      <w:r w:rsidR="00030E47" w:rsidRPr="00282DAA">
        <w:rPr>
          <w:rStyle w:val="Refdenotaalpie"/>
          <w:szCs w:val="24"/>
        </w:rPr>
        <w:footnoteReference w:id="7"/>
      </w:r>
      <w:r w:rsidR="00030E47" w:rsidRPr="00282DAA">
        <w:rPr>
          <w:szCs w:val="24"/>
        </w:rPr>
        <w:t xml:space="preserve"> </w:t>
      </w:r>
      <w:r w:rsidR="008218B3" w:rsidRPr="00282DAA">
        <w:rPr>
          <w:szCs w:val="24"/>
        </w:rPr>
        <w:t xml:space="preserve">por medio de petición aclarada a través del escrito No. 11EE2020716600100000868 del 26 de febrero de 2020 solicitó ante el Ministerio del Trabajo la </w:t>
      </w:r>
      <w:r w:rsidR="00784EDD" w:rsidRPr="00282DAA">
        <w:rPr>
          <w:szCs w:val="24"/>
        </w:rPr>
        <w:t xml:space="preserve">terminación del contrato de trabajo del señor </w:t>
      </w:r>
      <w:proofErr w:type="spellStart"/>
      <w:r w:rsidR="00784EDD" w:rsidRPr="00282DAA">
        <w:rPr>
          <w:szCs w:val="24"/>
        </w:rPr>
        <w:t>Edilson</w:t>
      </w:r>
      <w:proofErr w:type="spellEnd"/>
      <w:r w:rsidR="00784EDD" w:rsidRPr="00282DAA">
        <w:rPr>
          <w:szCs w:val="24"/>
        </w:rPr>
        <w:t xml:space="preserve"> </w:t>
      </w:r>
      <w:r w:rsidR="008218B3" w:rsidRPr="00282DAA">
        <w:rPr>
          <w:szCs w:val="24"/>
        </w:rPr>
        <w:t xml:space="preserve">Martínez Pérez, </w:t>
      </w:r>
      <w:r w:rsidR="00784EDD" w:rsidRPr="00282DAA">
        <w:rPr>
          <w:i/>
          <w:szCs w:val="24"/>
        </w:rPr>
        <w:t>“</w:t>
      </w:r>
      <w:r w:rsidR="008218B3" w:rsidRPr="00BC4556">
        <w:rPr>
          <w:i/>
          <w:sz w:val="22"/>
          <w:szCs w:val="24"/>
        </w:rPr>
        <w:t>por existir justa causa como lo es no presentarse a trabajar y no presentar incapacidades con el pretexto de no sentirse bien</w:t>
      </w:r>
      <w:r w:rsidR="008218B3" w:rsidRPr="00282DAA">
        <w:rPr>
          <w:i/>
          <w:szCs w:val="24"/>
        </w:rPr>
        <w:t>”</w:t>
      </w:r>
      <w:r w:rsidR="006005A5" w:rsidRPr="00282DAA">
        <w:rPr>
          <w:i/>
          <w:szCs w:val="24"/>
        </w:rPr>
        <w:t>.</w:t>
      </w:r>
    </w:p>
    <w:p w14:paraId="58E50C40" w14:textId="77777777" w:rsidR="00CB496F" w:rsidRPr="00282DAA" w:rsidRDefault="00CB496F" w:rsidP="00282DAA">
      <w:pPr>
        <w:spacing w:line="276" w:lineRule="auto"/>
        <w:ind w:firstLine="720"/>
        <w:rPr>
          <w:szCs w:val="24"/>
        </w:rPr>
      </w:pPr>
    </w:p>
    <w:p w14:paraId="21DAAF94" w14:textId="3C124922" w:rsidR="00CB496F" w:rsidRPr="00282DAA" w:rsidRDefault="00CB496F" w:rsidP="00282DAA">
      <w:pPr>
        <w:spacing w:line="276" w:lineRule="auto"/>
        <w:ind w:firstLine="720"/>
        <w:rPr>
          <w:szCs w:val="24"/>
        </w:rPr>
      </w:pPr>
      <w:r w:rsidRPr="00282DAA">
        <w:rPr>
          <w:szCs w:val="24"/>
        </w:rPr>
        <w:t xml:space="preserve">El trabajador en el trámite administrativo, en su defensa expuso que le prescribieron incapacidades médicas desde el </w:t>
      </w:r>
      <w:r w:rsidR="000D02FE" w:rsidRPr="00282DAA">
        <w:rPr>
          <w:szCs w:val="24"/>
        </w:rPr>
        <w:t>11 de agosto de 2016 al 11 de noviembre de 2017, y</w:t>
      </w:r>
      <w:r w:rsidR="00D14E6C" w:rsidRPr="00282DAA">
        <w:rPr>
          <w:szCs w:val="24"/>
        </w:rPr>
        <w:t>,</w:t>
      </w:r>
      <w:r w:rsidR="000D02FE" w:rsidRPr="00282DAA">
        <w:rPr>
          <w:szCs w:val="24"/>
        </w:rPr>
        <w:t xml:space="preserve"> una vez se presentó a laborar porque no le expidieron más incapacidades</w:t>
      </w:r>
      <w:r w:rsidR="003C0FFD" w:rsidRPr="00282DAA">
        <w:rPr>
          <w:szCs w:val="24"/>
        </w:rPr>
        <w:t xml:space="preserve">, el empleador le </w:t>
      </w:r>
      <w:r w:rsidR="007F6050" w:rsidRPr="00282DAA">
        <w:rPr>
          <w:szCs w:val="24"/>
        </w:rPr>
        <w:t xml:space="preserve">manifestó que no podía reintegrarse a laborar porque no tenía un puesto disponible para la reubicación. </w:t>
      </w:r>
    </w:p>
    <w:p w14:paraId="6CDF8A43" w14:textId="77777777" w:rsidR="00280C7A" w:rsidRPr="00282DAA" w:rsidRDefault="00280C7A" w:rsidP="00282DAA">
      <w:pPr>
        <w:spacing w:line="276" w:lineRule="auto"/>
        <w:ind w:firstLine="720"/>
        <w:rPr>
          <w:szCs w:val="24"/>
        </w:rPr>
      </w:pPr>
    </w:p>
    <w:p w14:paraId="5525D307" w14:textId="7F69A0A6" w:rsidR="00280C7A" w:rsidRPr="00282DAA" w:rsidRDefault="00280C7A" w:rsidP="00282DAA">
      <w:pPr>
        <w:spacing w:line="276" w:lineRule="auto"/>
        <w:ind w:firstLine="720"/>
        <w:rPr>
          <w:szCs w:val="24"/>
        </w:rPr>
      </w:pPr>
      <w:r w:rsidRPr="00282DAA">
        <w:rPr>
          <w:szCs w:val="24"/>
        </w:rPr>
        <w:t xml:space="preserve">Del mismo modo, ante la inasistencia del demandando a la audiencia de conciliación, </w:t>
      </w:r>
      <w:r w:rsidR="00E34B54" w:rsidRPr="00282DAA">
        <w:rPr>
          <w:szCs w:val="24"/>
        </w:rPr>
        <w:t>se presumieron ciertos entre otros hechos</w:t>
      </w:r>
      <w:r w:rsidR="00380E43" w:rsidRPr="00282DAA">
        <w:rPr>
          <w:szCs w:val="24"/>
        </w:rPr>
        <w:t xml:space="preserve"> el 14</w:t>
      </w:r>
      <w:r w:rsidR="00396327" w:rsidRPr="00282DAA">
        <w:rPr>
          <w:szCs w:val="24"/>
        </w:rPr>
        <w:t>, 15 y 17, esto es, que al actor no le prescribieron más incapacidades</w:t>
      </w:r>
      <w:r w:rsidR="00FD4151" w:rsidRPr="00282DAA">
        <w:rPr>
          <w:szCs w:val="24"/>
        </w:rPr>
        <w:t>, se presentó a trabajar en repetidas ocasiones y el empleador le dijo que no tenía donde reubicarlo</w:t>
      </w:r>
      <w:r w:rsidR="00AE21EC" w:rsidRPr="00282DAA">
        <w:rPr>
          <w:szCs w:val="24"/>
        </w:rPr>
        <w:t>, y conociendo el estado de salud lo envió para la casa.</w:t>
      </w:r>
    </w:p>
    <w:p w14:paraId="6EF4C379" w14:textId="77777777" w:rsidR="006005A5" w:rsidRPr="00282DAA" w:rsidRDefault="006005A5" w:rsidP="00282DAA">
      <w:pPr>
        <w:spacing w:line="276" w:lineRule="auto"/>
        <w:ind w:firstLine="720"/>
        <w:rPr>
          <w:szCs w:val="24"/>
        </w:rPr>
      </w:pPr>
    </w:p>
    <w:p w14:paraId="532996E5" w14:textId="3B3878BF" w:rsidR="007F4DE1" w:rsidRPr="00282DAA" w:rsidRDefault="006005A5" w:rsidP="00282DAA">
      <w:pPr>
        <w:spacing w:line="276" w:lineRule="auto"/>
        <w:rPr>
          <w:szCs w:val="24"/>
        </w:rPr>
      </w:pPr>
      <w:r w:rsidRPr="00282DAA">
        <w:rPr>
          <w:szCs w:val="24"/>
        </w:rPr>
        <w:tab/>
      </w:r>
      <w:r w:rsidR="00317FA7" w:rsidRPr="00282DAA">
        <w:rPr>
          <w:szCs w:val="24"/>
        </w:rPr>
        <w:t>Asimismo,</w:t>
      </w:r>
      <w:r w:rsidRPr="00282DAA">
        <w:rPr>
          <w:szCs w:val="24"/>
        </w:rPr>
        <w:t xml:space="preserve"> absuelto el interrogatorio de parte </w:t>
      </w:r>
      <w:r w:rsidR="00317FA7" w:rsidRPr="00282DAA">
        <w:rPr>
          <w:szCs w:val="24"/>
        </w:rPr>
        <w:t>el promotor del litigio</w:t>
      </w:r>
      <w:r w:rsidR="00D14E6C" w:rsidRPr="00282DAA">
        <w:rPr>
          <w:szCs w:val="24"/>
        </w:rPr>
        <w:t>,</w:t>
      </w:r>
      <w:r w:rsidR="00317FA7" w:rsidRPr="00282DAA">
        <w:rPr>
          <w:szCs w:val="24"/>
        </w:rPr>
        <w:t xml:space="preserve"> </w:t>
      </w:r>
      <w:r w:rsidR="00177ECE" w:rsidRPr="00282DAA">
        <w:rPr>
          <w:szCs w:val="24"/>
        </w:rPr>
        <w:t xml:space="preserve">ratificó que le expidieron incapacidades hasta noviembre de 2017, y que se presentó a laboral, pero </w:t>
      </w:r>
      <w:r w:rsidR="00094217" w:rsidRPr="00282DAA">
        <w:rPr>
          <w:szCs w:val="24"/>
        </w:rPr>
        <w:t>el empleador lo envió para la casa</w:t>
      </w:r>
      <w:r w:rsidR="00FA7694" w:rsidRPr="00282DAA">
        <w:rPr>
          <w:szCs w:val="24"/>
        </w:rPr>
        <w:t xml:space="preserve">; </w:t>
      </w:r>
      <w:r w:rsidR="00094217" w:rsidRPr="00282DAA">
        <w:rPr>
          <w:szCs w:val="24"/>
        </w:rPr>
        <w:t xml:space="preserve">sin </w:t>
      </w:r>
      <w:r w:rsidR="00FA7694" w:rsidRPr="00282DAA">
        <w:rPr>
          <w:szCs w:val="24"/>
        </w:rPr>
        <w:t>embargo,</w:t>
      </w:r>
      <w:r w:rsidR="00094217" w:rsidRPr="00282DAA">
        <w:rPr>
          <w:szCs w:val="24"/>
        </w:rPr>
        <w:t xml:space="preserve"> le continuó pagando </w:t>
      </w:r>
      <w:r w:rsidR="000B7CF9" w:rsidRPr="00282DAA">
        <w:rPr>
          <w:szCs w:val="24"/>
        </w:rPr>
        <w:t>$600.000 más o menos hasta enero de 201</w:t>
      </w:r>
      <w:r w:rsidR="00875211" w:rsidRPr="00282DAA">
        <w:rPr>
          <w:szCs w:val="24"/>
        </w:rPr>
        <w:t xml:space="preserve">9; </w:t>
      </w:r>
      <w:r w:rsidR="00DD534B" w:rsidRPr="00282DAA">
        <w:rPr>
          <w:szCs w:val="24"/>
        </w:rPr>
        <w:t>después</w:t>
      </w:r>
      <w:r w:rsidR="00875211" w:rsidRPr="00282DAA">
        <w:rPr>
          <w:szCs w:val="24"/>
        </w:rPr>
        <w:t xml:space="preserve"> no volvió a saber nada de</w:t>
      </w:r>
      <w:r w:rsidR="00EC582A" w:rsidRPr="00282DAA">
        <w:rPr>
          <w:szCs w:val="24"/>
        </w:rPr>
        <w:t xml:space="preserve"> este</w:t>
      </w:r>
      <w:r w:rsidR="00875211" w:rsidRPr="00282DAA">
        <w:rPr>
          <w:szCs w:val="24"/>
        </w:rPr>
        <w:t xml:space="preserve">, hasta que lo citó en el </w:t>
      </w:r>
      <w:r w:rsidR="005A4D56" w:rsidRPr="00282DAA">
        <w:rPr>
          <w:szCs w:val="24"/>
        </w:rPr>
        <w:t>M</w:t>
      </w:r>
      <w:r w:rsidR="00875211" w:rsidRPr="00282DAA">
        <w:rPr>
          <w:szCs w:val="24"/>
        </w:rPr>
        <w:t xml:space="preserve">inisterio del </w:t>
      </w:r>
      <w:r w:rsidR="005A4D56" w:rsidRPr="00282DAA">
        <w:rPr>
          <w:szCs w:val="24"/>
        </w:rPr>
        <w:t>T</w:t>
      </w:r>
      <w:r w:rsidR="00875211" w:rsidRPr="00282DAA">
        <w:rPr>
          <w:szCs w:val="24"/>
        </w:rPr>
        <w:t>rabajo</w:t>
      </w:r>
      <w:r w:rsidR="00FA7694" w:rsidRPr="00282DAA">
        <w:rPr>
          <w:szCs w:val="24"/>
        </w:rPr>
        <w:t>, el 29 de julio de 2019. Afirmó que en el interregno comprendido entre enero de 2019 y el 29 de julio de 2019,</w:t>
      </w:r>
      <w:r w:rsidR="00C950D2" w:rsidRPr="00282DAA">
        <w:rPr>
          <w:i/>
          <w:szCs w:val="24"/>
        </w:rPr>
        <w:t xml:space="preserve"> “</w:t>
      </w:r>
      <w:r w:rsidR="00C950D2" w:rsidRPr="004B7279">
        <w:rPr>
          <w:i/>
          <w:sz w:val="22"/>
          <w:szCs w:val="24"/>
        </w:rPr>
        <w:t xml:space="preserve">no pasó nada porque </w:t>
      </w:r>
      <w:r w:rsidR="001E03D6" w:rsidRPr="004B7279">
        <w:rPr>
          <w:i/>
          <w:sz w:val="22"/>
          <w:szCs w:val="24"/>
        </w:rPr>
        <w:t>no tenía incapacidades para llevarle</w:t>
      </w:r>
      <w:r w:rsidR="005B6E30" w:rsidRPr="00282DAA">
        <w:rPr>
          <w:i/>
          <w:szCs w:val="24"/>
        </w:rPr>
        <w:t>”</w:t>
      </w:r>
      <w:r w:rsidR="005B6E30" w:rsidRPr="00282DAA">
        <w:rPr>
          <w:szCs w:val="24"/>
        </w:rPr>
        <w:t>, se presentó</w:t>
      </w:r>
      <w:r w:rsidR="00552C6E" w:rsidRPr="00282DAA">
        <w:rPr>
          <w:szCs w:val="24"/>
        </w:rPr>
        <w:t xml:space="preserve"> varias veces, </w:t>
      </w:r>
      <w:r w:rsidR="008B096A" w:rsidRPr="00282DAA">
        <w:rPr>
          <w:szCs w:val="24"/>
        </w:rPr>
        <w:t xml:space="preserve">pero </w:t>
      </w:r>
      <w:r w:rsidR="005B6E30" w:rsidRPr="00282DAA">
        <w:rPr>
          <w:szCs w:val="24"/>
        </w:rPr>
        <w:t xml:space="preserve">el empleador le </w:t>
      </w:r>
      <w:r w:rsidR="008B096A" w:rsidRPr="00282DAA">
        <w:rPr>
          <w:szCs w:val="24"/>
        </w:rPr>
        <w:t>manifestó que no tenía donde reintegrarlo</w:t>
      </w:r>
      <w:r w:rsidR="00A5330C" w:rsidRPr="00282DAA">
        <w:rPr>
          <w:szCs w:val="24"/>
        </w:rPr>
        <w:t xml:space="preserve">. Finalmente, precisó que </w:t>
      </w:r>
      <w:r w:rsidR="00337270" w:rsidRPr="00282DAA">
        <w:rPr>
          <w:szCs w:val="24"/>
        </w:rPr>
        <w:t xml:space="preserve">recibió </w:t>
      </w:r>
      <w:r w:rsidR="005A4D56" w:rsidRPr="00282DAA">
        <w:rPr>
          <w:szCs w:val="24"/>
        </w:rPr>
        <w:t>la autorización de despido</w:t>
      </w:r>
      <w:r w:rsidR="00A5330C" w:rsidRPr="00282DAA">
        <w:rPr>
          <w:szCs w:val="24"/>
        </w:rPr>
        <w:t xml:space="preserve"> por parte del Ministerio del Trabajo</w:t>
      </w:r>
      <w:r w:rsidR="005A4D56" w:rsidRPr="00282DAA">
        <w:rPr>
          <w:szCs w:val="24"/>
        </w:rPr>
        <w:t xml:space="preserve"> y no interpuso ningún recurso. </w:t>
      </w:r>
      <w:r w:rsidR="00840877" w:rsidRPr="00282DAA">
        <w:rPr>
          <w:szCs w:val="24"/>
        </w:rPr>
        <w:t>Por su parte, el testigo Carlos Montes</w:t>
      </w:r>
      <w:r w:rsidR="00BD1E0B" w:rsidRPr="00282DAA">
        <w:rPr>
          <w:szCs w:val="24"/>
        </w:rPr>
        <w:t xml:space="preserve"> (vecino del demandante) no conoció las circunstancias de la relación laboral y su consecuente despido.</w:t>
      </w:r>
    </w:p>
    <w:p w14:paraId="2A42CF44" w14:textId="77777777" w:rsidR="00A5330C" w:rsidRPr="00282DAA" w:rsidRDefault="00A5330C" w:rsidP="00282DAA">
      <w:pPr>
        <w:spacing w:line="276" w:lineRule="auto"/>
        <w:rPr>
          <w:szCs w:val="24"/>
        </w:rPr>
      </w:pPr>
    </w:p>
    <w:p w14:paraId="5D8436DB" w14:textId="454BFB3A" w:rsidR="005742A7" w:rsidRPr="00282DAA" w:rsidRDefault="00AE21EC" w:rsidP="00282DAA">
      <w:pPr>
        <w:spacing w:line="276" w:lineRule="auto"/>
        <w:rPr>
          <w:rFonts w:eastAsia="Times New Roman"/>
          <w:color w:val="000000"/>
          <w:szCs w:val="24"/>
          <w:lang w:eastAsia="es-ES"/>
        </w:rPr>
      </w:pPr>
      <w:r w:rsidRPr="00282DAA">
        <w:rPr>
          <w:szCs w:val="24"/>
        </w:rPr>
        <w:tab/>
        <w:t xml:space="preserve">En este orden de ideas, </w:t>
      </w:r>
      <w:r w:rsidR="00931525" w:rsidRPr="00282DAA">
        <w:rPr>
          <w:szCs w:val="24"/>
        </w:rPr>
        <w:t xml:space="preserve">contrario a lo expresado por la </w:t>
      </w:r>
      <w:r w:rsidR="00710E3F" w:rsidRPr="00282DAA">
        <w:rPr>
          <w:szCs w:val="24"/>
        </w:rPr>
        <w:t>a-quo</w:t>
      </w:r>
      <w:r w:rsidR="00931525" w:rsidRPr="00282DAA">
        <w:rPr>
          <w:szCs w:val="24"/>
        </w:rPr>
        <w:t>, para la prosperidad de la indemnización contemplada en el artículo 26 de la Ley 361 de 1997</w:t>
      </w:r>
      <w:r w:rsidR="005742A7" w:rsidRPr="00282DAA">
        <w:rPr>
          <w:szCs w:val="24"/>
        </w:rPr>
        <w:t xml:space="preserve">, al trabajador no le correspondía demostrar </w:t>
      </w:r>
      <w:r w:rsidR="00EC582A" w:rsidRPr="00282DAA">
        <w:rPr>
          <w:szCs w:val="24"/>
        </w:rPr>
        <w:t>el móvil discriminatorio</w:t>
      </w:r>
      <w:r w:rsidR="005742A7" w:rsidRPr="00282DAA">
        <w:rPr>
          <w:szCs w:val="24"/>
        </w:rPr>
        <w:t xml:space="preserve"> </w:t>
      </w:r>
      <w:r w:rsidR="00EC582A" w:rsidRPr="00282DAA">
        <w:rPr>
          <w:szCs w:val="24"/>
        </w:rPr>
        <w:t>d</w:t>
      </w:r>
      <w:r w:rsidR="005742A7" w:rsidRPr="00282DAA">
        <w:rPr>
          <w:szCs w:val="24"/>
        </w:rPr>
        <w:t>el despido, pues como se adoctrinó en la jurisprudencia</w:t>
      </w:r>
      <w:r w:rsidR="00710E3F" w:rsidRPr="00282DAA">
        <w:rPr>
          <w:szCs w:val="24"/>
        </w:rPr>
        <w:t xml:space="preserve"> citada</w:t>
      </w:r>
      <w:r w:rsidR="005742A7" w:rsidRPr="00282DAA">
        <w:rPr>
          <w:szCs w:val="24"/>
        </w:rPr>
        <w:t>, a partir de la sentencia CSJ SL1360-2018</w:t>
      </w:r>
      <w:r w:rsidR="00EC582A" w:rsidRPr="00282DAA">
        <w:rPr>
          <w:szCs w:val="24"/>
        </w:rPr>
        <w:t>, se ha interpretado que</w:t>
      </w:r>
      <w:r w:rsidR="00AC2253" w:rsidRPr="00282DAA">
        <w:rPr>
          <w:szCs w:val="24"/>
        </w:rPr>
        <w:t xml:space="preserve"> dicha disposición consagra una presunción legal, en </w:t>
      </w:r>
      <w:r w:rsidR="00710E3F" w:rsidRPr="00282DAA">
        <w:rPr>
          <w:szCs w:val="24"/>
        </w:rPr>
        <w:t>virtud de la cual al trabajador</w:t>
      </w:r>
      <w:r w:rsidR="00AC2253" w:rsidRPr="00282DAA">
        <w:rPr>
          <w:szCs w:val="24"/>
        </w:rPr>
        <w:t xml:space="preserve"> le corresponde demostrar su situación de discapacidad para que el despido se pr</w:t>
      </w:r>
      <w:r w:rsidR="00F5375F" w:rsidRPr="00282DAA">
        <w:rPr>
          <w:szCs w:val="24"/>
        </w:rPr>
        <w:t xml:space="preserve">esuma </w:t>
      </w:r>
      <w:r w:rsidR="005742A7" w:rsidRPr="00282DAA">
        <w:rPr>
          <w:rFonts w:eastAsia="Times New Roman"/>
          <w:color w:val="000000"/>
          <w:szCs w:val="24"/>
          <w:lang w:eastAsia="es-ES"/>
        </w:rPr>
        <w:t xml:space="preserve">discriminatorio, lo que impone al empleador la carga de demostrar la justa causa para dar por terminado el contrato de trabajo. </w:t>
      </w:r>
    </w:p>
    <w:p w14:paraId="5748B675" w14:textId="77777777" w:rsidR="00F5375F" w:rsidRPr="00282DAA" w:rsidRDefault="00F5375F" w:rsidP="00282DAA">
      <w:pPr>
        <w:spacing w:line="276" w:lineRule="auto"/>
        <w:rPr>
          <w:rFonts w:eastAsia="Times New Roman"/>
          <w:color w:val="000000"/>
          <w:szCs w:val="24"/>
          <w:lang w:eastAsia="es-ES_tradnl"/>
        </w:rPr>
      </w:pPr>
    </w:p>
    <w:p w14:paraId="7BBA5AC3" w14:textId="3A5DE14D" w:rsidR="00B1319C" w:rsidRPr="00282DAA" w:rsidRDefault="00F5375F" w:rsidP="00282DAA">
      <w:pPr>
        <w:spacing w:line="276" w:lineRule="auto"/>
        <w:rPr>
          <w:rFonts w:eastAsia="Times New Roman"/>
          <w:color w:val="000000"/>
          <w:szCs w:val="24"/>
          <w:lang w:eastAsia="es-ES_tradnl"/>
        </w:rPr>
      </w:pPr>
      <w:r w:rsidRPr="00282DAA">
        <w:rPr>
          <w:rFonts w:eastAsia="Times New Roman"/>
          <w:color w:val="000000"/>
          <w:szCs w:val="24"/>
          <w:lang w:eastAsia="es-ES_tradnl"/>
        </w:rPr>
        <w:lastRenderedPageBreak/>
        <w:tab/>
        <w:t>Por lo anterior,</w:t>
      </w:r>
      <w:r w:rsidR="00B10AE8" w:rsidRPr="00282DAA">
        <w:rPr>
          <w:rFonts w:eastAsia="Times New Roman"/>
          <w:color w:val="000000"/>
          <w:szCs w:val="24"/>
          <w:lang w:eastAsia="es-ES_tradnl"/>
        </w:rPr>
        <w:t xml:space="preserve"> estando fuer</w:t>
      </w:r>
      <w:r w:rsidR="00A85482" w:rsidRPr="00282DAA">
        <w:rPr>
          <w:rFonts w:eastAsia="Times New Roman"/>
          <w:color w:val="000000"/>
          <w:szCs w:val="24"/>
          <w:lang w:eastAsia="es-ES_tradnl"/>
        </w:rPr>
        <w:t>a</w:t>
      </w:r>
      <w:r w:rsidR="00B10AE8" w:rsidRPr="00282DAA">
        <w:rPr>
          <w:rFonts w:eastAsia="Times New Roman"/>
          <w:color w:val="000000"/>
          <w:szCs w:val="24"/>
          <w:lang w:eastAsia="es-ES_tradnl"/>
        </w:rPr>
        <w:t xml:space="preserve"> de discusión que el contrato finalizó</w:t>
      </w:r>
      <w:r w:rsidR="00EC582A" w:rsidRPr="00282DAA">
        <w:rPr>
          <w:rFonts w:eastAsia="Times New Roman"/>
          <w:color w:val="000000"/>
          <w:szCs w:val="24"/>
          <w:lang w:eastAsia="es-ES_tradnl"/>
        </w:rPr>
        <w:t xml:space="preserve"> por decisión unilateral del empleador</w:t>
      </w:r>
      <w:r w:rsidR="00B10AE8" w:rsidRPr="00282DAA">
        <w:rPr>
          <w:rFonts w:eastAsia="Times New Roman"/>
          <w:color w:val="000000"/>
          <w:szCs w:val="24"/>
          <w:lang w:eastAsia="es-ES_tradnl"/>
        </w:rPr>
        <w:t xml:space="preserve"> el 29 de julio de 2019</w:t>
      </w:r>
      <w:r w:rsidR="00D14E6C" w:rsidRPr="00282DAA">
        <w:rPr>
          <w:rFonts w:eastAsia="Times New Roman"/>
          <w:color w:val="000000"/>
          <w:szCs w:val="24"/>
          <w:lang w:eastAsia="es-ES_tradnl"/>
        </w:rPr>
        <w:t xml:space="preserve">, </w:t>
      </w:r>
      <w:r w:rsidR="00EC582A" w:rsidRPr="00282DAA">
        <w:rPr>
          <w:rFonts w:eastAsia="Times New Roman"/>
          <w:color w:val="000000"/>
          <w:szCs w:val="24"/>
          <w:lang w:eastAsia="es-ES_tradnl"/>
        </w:rPr>
        <w:t xml:space="preserve">es evidente que </w:t>
      </w:r>
      <w:r w:rsidRPr="00282DAA">
        <w:rPr>
          <w:rFonts w:eastAsia="Times New Roman"/>
          <w:color w:val="000000"/>
          <w:szCs w:val="24"/>
          <w:lang w:eastAsia="es-ES_tradnl"/>
        </w:rPr>
        <w:t xml:space="preserve">el trabajador cumplió con la carga probatoria impuesta, </w:t>
      </w:r>
      <w:r w:rsidR="00EC582A" w:rsidRPr="00282DAA">
        <w:rPr>
          <w:rFonts w:eastAsia="Times New Roman"/>
          <w:color w:val="000000"/>
          <w:szCs w:val="24"/>
          <w:lang w:eastAsia="es-ES_tradnl"/>
        </w:rPr>
        <w:t xml:space="preserve">ya que </w:t>
      </w:r>
      <w:r w:rsidR="00A03924" w:rsidRPr="00282DAA">
        <w:rPr>
          <w:rFonts w:eastAsia="Times New Roman"/>
          <w:color w:val="000000"/>
          <w:szCs w:val="24"/>
          <w:lang w:eastAsia="es-ES_tradnl"/>
        </w:rPr>
        <w:t xml:space="preserve">el </w:t>
      </w:r>
      <w:r w:rsidRPr="00282DAA">
        <w:rPr>
          <w:rFonts w:eastAsia="Times New Roman"/>
          <w:color w:val="000000"/>
          <w:szCs w:val="24"/>
          <w:lang w:eastAsia="es-ES_tradnl"/>
        </w:rPr>
        <w:t xml:space="preserve">dictamen de </w:t>
      </w:r>
      <w:r w:rsidR="00EC582A" w:rsidRPr="00282DAA">
        <w:rPr>
          <w:rFonts w:eastAsia="Times New Roman"/>
          <w:color w:val="000000"/>
          <w:szCs w:val="24"/>
          <w:lang w:eastAsia="es-ES_tradnl"/>
        </w:rPr>
        <w:t>P</w:t>
      </w:r>
      <w:r w:rsidRPr="00282DAA">
        <w:rPr>
          <w:rFonts w:eastAsia="Times New Roman"/>
          <w:color w:val="000000"/>
          <w:szCs w:val="24"/>
          <w:lang w:eastAsia="es-ES_tradnl"/>
        </w:rPr>
        <w:t xml:space="preserve">érdida de </w:t>
      </w:r>
      <w:r w:rsidR="00EC582A" w:rsidRPr="00282DAA">
        <w:rPr>
          <w:rFonts w:eastAsia="Times New Roman"/>
          <w:color w:val="000000"/>
          <w:szCs w:val="24"/>
          <w:lang w:eastAsia="es-ES_tradnl"/>
        </w:rPr>
        <w:t>la C</w:t>
      </w:r>
      <w:r w:rsidRPr="00282DAA">
        <w:rPr>
          <w:rFonts w:eastAsia="Times New Roman"/>
          <w:color w:val="000000"/>
          <w:szCs w:val="24"/>
          <w:lang w:eastAsia="es-ES_tradnl"/>
        </w:rPr>
        <w:t xml:space="preserve">apacidad </w:t>
      </w:r>
      <w:r w:rsidR="00EC582A" w:rsidRPr="00282DAA">
        <w:rPr>
          <w:rFonts w:eastAsia="Times New Roman"/>
          <w:color w:val="000000"/>
          <w:szCs w:val="24"/>
          <w:lang w:eastAsia="es-ES_tradnl"/>
        </w:rPr>
        <w:t>L</w:t>
      </w:r>
      <w:r w:rsidRPr="00282DAA">
        <w:rPr>
          <w:rFonts w:eastAsia="Times New Roman"/>
          <w:color w:val="000000"/>
          <w:szCs w:val="24"/>
          <w:lang w:eastAsia="es-ES_tradnl"/>
        </w:rPr>
        <w:t xml:space="preserve">aboral emitido por la Junta Nacional de Calificación de Invalidez, </w:t>
      </w:r>
      <w:r w:rsidR="00A03924" w:rsidRPr="00282DAA">
        <w:rPr>
          <w:rFonts w:eastAsia="Times New Roman"/>
          <w:color w:val="000000"/>
          <w:szCs w:val="24"/>
          <w:lang w:eastAsia="es-ES_tradnl"/>
        </w:rPr>
        <w:t>d</w:t>
      </w:r>
      <w:r w:rsidR="00A85482" w:rsidRPr="00282DAA">
        <w:rPr>
          <w:rFonts w:eastAsia="Times New Roman"/>
          <w:color w:val="000000"/>
          <w:szCs w:val="24"/>
          <w:lang w:eastAsia="es-ES_tradnl"/>
        </w:rPr>
        <w:t>enota</w:t>
      </w:r>
      <w:r w:rsidR="00A03924" w:rsidRPr="00282DAA">
        <w:rPr>
          <w:rFonts w:eastAsia="Times New Roman"/>
          <w:color w:val="000000"/>
          <w:szCs w:val="24"/>
          <w:lang w:eastAsia="es-ES_tradnl"/>
        </w:rPr>
        <w:t xml:space="preserve"> </w:t>
      </w:r>
      <w:r w:rsidRPr="00282DAA">
        <w:rPr>
          <w:rFonts w:eastAsia="Times New Roman"/>
          <w:color w:val="000000"/>
          <w:szCs w:val="24"/>
          <w:lang w:eastAsia="es-ES_tradnl"/>
        </w:rPr>
        <w:t>una pérdida de capacidad laboral de 29.16% de origen laboral estructurada el 11 de enero de 2018</w:t>
      </w:r>
      <w:r w:rsidRPr="00282DAA">
        <w:rPr>
          <w:rFonts w:eastAsia="Times New Roman"/>
          <w:color w:val="000000"/>
          <w:szCs w:val="24"/>
          <w:vertAlign w:val="superscript"/>
          <w:lang w:eastAsia="es-ES_tradnl"/>
        </w:rPr>
        <w:footnoteReference w:id="8"/>
      </w:r>
      <w:r w:rsidR="008465B9" w:rsidRPr="00282DAA">
        <w:rPr>
          <w:rFonts w:eastAsia="Times New Roman"/>
          <w:color w:val="000000"/>
          <w:szCs w:val="24"/>
          <w:lang w:eastAsia="es-ES_tradnl"/>
        </w:rPr>
        <w:t>, situación de salud que era conocida por el empleador</w:t>
      </w:r>
      <w:r w:rsidR="00EC582A" w:rsidRPr="00282DAA">
        <w:rPr>
          <w:rFonts w:eastAsia="Times New Roman"/>
          <w:color w:val="000000"/>
          <w:szCs w:val="24"/>
          <w:lang w:eastAsia="es-ES_tradnl"/>
        </w:rPr>
        <w:t>, tal como se desprende de</w:t>
      </w:r>
      <w:r w:rsidR="008465B9" w:rsidRPr="00282DAA">
        <w:rPr>
          <w:rFonts w:eastAsia="Times New Roman"/>
          <w:color w:val="000000"/>
          <w:szCs w:val="24"/>
          <w:lang w:eastAsia="es-ES_tradnl"/>
        </w:rPr>
        <w:t xml:space="preserve"> la confesión ficta producto de la inasistencia</w:t>
      </w:r>
      <w:r w:rsidR="00EC582A" w:rsidRPr="00282DAA">
        <w:rPr>
          <w:rFonts w:eastAsia="Times New Roman"/>
          <w:color w:val="000000"/>
          <w:szCs w:val="24"/>
          <w:lang w:eastAsia="es-ES_tradnl"/>
        </w:rPr>
        <w:t xml:space="preserve"> de este</w:t>
      </w:r>
      <w:r w:rsidR="008465B9" w:rsidRPr="00282DAA">
        <w:rPr>
          <w:rFonts w:eastAsia="Times New Roman"/>
          <w:color w:val="000000"/>
          <w:szCs w:val="24"/>
          <w:lang w:eastAsia="es-ES_tradnl"/>
        </w:rPr>
        <w:t xml:space="preserve"> a la audiencia de conciliación</w:t>
      </w:r>
      <w:r w:rsidR="00B1319C" w:rsidRPr="00282DAA">
        <w:rPr>
          <w:rFonts w:eastAsia="Times New Roman"/>
          <w:color w:val="000000"/>
          <w:szCs w:val="24"/>
          <w:lang w:eastAsia="es-ES_tradnl"/>
        </w:rPr>
        <w:t xml:space="preserve">. </w:t>
      </w:r>
    </w:p>
    <w:p w14:paraId="1CDD3F56" w14:textId="77777777" w:rsidR="00B1319C" w:rsidRPr="00282DAA" w:rsidRDefault="00B1319C" w:rsidP="00282DAA">
      <w:pPr>
        <w:spacing w:line="276" w:lineRule="auto"/>
        <w:rPr>
          <w:rFonts w:eastAsia="Times New Roman"/>
          <w:color w:val="000000"/>
          <w:szCs w:val="24"/>
          <w:lang w:eastAsia="es-ES_tradnl"/>
        </w:rPr>
      </w:pPr>
    </w:p>
    <w:p w14:paraId="115659A9" w14:textId="4F18D71F" w:rsidR="006A752A" w:rsidRPr="00282DAA" w:rsidRDefault="00B1319C" w:rsidP="00282DAA">
      <w:pPr>
        <w:spacing w:line="276" w:lineRule="auto"/>
        <w:rPr>
          <w:szCs w:val="24"/>
        </w:rPr>
      </w:pPr>
      <w:r w:rsidRPr="00282DAA">
        <w:rPr>
          <w:rFonts w:eastAsia="Times New Roman"/>
          <w:color w:val="000000"/>
          <w:szCs w:val="24"/>
          <w:lang w:eastAsia="es-ES_tradnl"/>
        </w:rPr>
        <w:tab/>
      </w:r>
      <w:r w:rsidR="00543D8C" w:rsidRPr="00282DAA">
        <w:rPr>
          <w:rFonts w:eastAsia="Times New Roman"/>
          <w:color w:val="000000"/>
          <w:szCs w:val="24"/>
          <w:lang w:eastAsia="es-ES"/>
        </w:rPr>
        <w:t>Por su parte</w:t>
      </w:r>
      <w:r w:rsidRPr="00282DAA">
        <w:rPr>
          <w:rFonts w:eastAsia="Times New Roman"/>
          <w:color w:val="000000"/>
          <w:szCs w:val="24"/>
          <w:lang w:eastAsia="es-ES"/>
        </w:rPr>
        <w:t xml:space="preserve">, el empleador abandonó la carga procesal que </w:t>
      </w:r>
      <w:r w:rsidR="00710E3F" w:rsidRPr="00282DAA">
        <w:rPr>
          <w:rFonts w:eastAsia="Times New Roman"/>
          <w:color w:val="000000"/>
          <w:szCs w:val="24"/>
          <w:lang w:eastAsia="es-ES"/>
        </w:rPr>
        <w:t>le competía</w:t>
      </w:r>
      <w:r w:rsidRPr="00282DAA">
        <w:rPr>
          <w:rFonts w:eastAsia="Times New Roman"/>
          <w:color w:val="000000"/>
          <w:szCs w:val="24"/>
          <w:lang w:eastAsia="es-ES"/>
        </w:rPr>
        <w:t>, esto es</w:t>
      </w:r>
      <w:r w:rsidR="2F775452" w:rsidRPr="00282DAA">
        <w:rPr>
          <w:rFonts w:eastAsia="Times New Roman"/>
          <w:color w:val="000000"/>
          <w:szCs w:val="24"/>
          <w:lang w:eastAsia="es-ES"/>
        </w:rPr>
        <w:t>,</w:t>
      </w:r>
      <w:r w:rsidRPr="00282DAA">
        <w:rPr>
          <w:rFonts w:eastAsia="Times New Roman"/>
          <w:color w:val="000000"/>
          <w:szCs w:val="24"/>
          <w:lang w:eastAsia="es-ES"/>
        </w:rPr>
        <w:t xml:space="preserve"> demostrar la justa causa para dar por terminado el contrato de trabajo, </w:t>
      </w:r>
      <w:r w:rsidR="00B10AE8" w:rsidRPr="00282DAA">
        <w:rPr>
          <w:rFonts w:eastAsia="Times New Roman"/>
          <w:color w:val="000000"/>
          <w:szCs w:val="24"/>
          <w:lang w:eastAsia="es-ES"/>
        </w:rPr>
        <w:t>pues</w:t>
      </w:r>
      <w:r w:rsidRPr="00282DAA">
        <w:rPr>
          <w:rFonts w:eastAsia="Times New Roman"/>
          <w:color w:val="000000"/>
          <w:szCs w:val="24"/>
          <w:lang w:eastAsia="es-ES"/>
        </w:rPr>
        <w:t xml:space="preserve"> aunque en el trámite </w:t>
      </w:r>
      <w:r w:rsidR="00B10AE8" w:rsidRPr="00282DAA">
        <w:rPr>
          <w:rFonts w:eastAsia="Times New Roman"/>
          <w:color w:val="000000"/>
          <w:szCs w:val="24"/>
          <w:lang w:eastAsia="es-ES"/>
        </w:rPr>
        <w:t>ante la autoridad del trabajo fundó</w:t>
      </w:r>
      <w:r w:rsidR="00A03924" w:rsidRPr="00282DAA">
        <w:rPr>
          <w:rFonts w:eastAsia="Times New Roman"/>
          <w:color w:val="000000"/>
          <w:szCs w:val="24"/>
          <w:lang w:eastAsia="es-ES"/>
        </w:rPr>
        <w:t xml:space="preserve"> la solicitud</w:t>
      </w:r>
      <w:r w:rsidR="00B10AE8" w:rsidRPr="00282DAA">
        <w:rPr>
          <w:rFonts w:eastAsia="Times New Roman"/>
          <w:color w:val="000000"/>
          <w:szCs w:val="24"/>
          <w:lang w:eastAsia="es-ES"/>
        </w:rPr>
        <w:t xml:space="preserve"> en el abandono del puesto de trabajo</w:t>
      </w:r>
      <w:r w:rsidR="00543D8C" w:rsidRPr="00282DAA">
        <w:rPr>
          <w:rFonts w:eastAsia="Times New Roman"/>
          <w:color w:val="000000"/>
          <w:szCs w:val="24"/>
          <w:lang w:eastAsia="es-ES"/>
        </w:rPr>
        <w:t xml:space="preserve"> por el prestador del servicio</w:t>
      </w:r>
      <w:r w:rsidR="00B10AE8" w:rsidRPr="00282DAA">
        <w:rPr>
          <w:rFonts w:eastAsia="Times New Roman"/>
          <w:color w:val="000000"/>
          <w:szCs w:val="24"/>
          <w:lang w:eastAsia="es-ES"/>
        </w:rPr>
        <w:t xml:space="preserve">, </w:t>
      </w:r>
      <w:r w:rsidR="00EC582A" w:rsidRPr="00282DAA">
        <w:rPr>
          <w:rFonts w:eastAsia="Times New Roman"/>
          <w:color w:val="000000"/>
          <w:szCs w:val="24"/>
          <w:lang w:eastAsia="es-ES"/>
        </w:rPr>
        <w:t>lo cual constituye una</w:t>
      </w:r>
      <w:r w:rsidR="00543D8C" w:rsidRPr="00282DAA">
        <w:rPr>
          <w:rFonts w:eastAsia="Times New Roman"/>
          <w:color w:val="000000"/>
          <w:szCs w:val="24"/>
          <w:lang w:eastAsia="es-ES"/>
        </w:rPr>
        <w:t xml:space="preserve"> expresa</w:t>
      </w:r>
      <w:r w:rsidR="00EC582A" w:rsidRPr="00282DAA">
        <w:rPr>
          <w:rFonts w:eastAsia="Times New Roman"/>
          <w:color w:val="000000"/>
          <w:szCs w:val="24"/>
          <w:lang w:eastAsia="es-ES"/>
        </w:rPr>
        <w:t xml:space="preserve"> prohibició</w:t>
      </w:r>
      <w:r w:rsidR="00543D8C" w:rsidRPr="00282DAA">
        <w:rPr>
          <w:rFonts w:eastAsia="Times New Roman"/>
          <w:color w:val="000000"/>
          <w:szCs w:val="24"/>
          <w:lang w:eastAsia="es-ES"/>
        </w:rPr>
        <w:t>n para el trabajador, según las voces del</w:t>
      </w:r>
      <w:r w:rsidR="00B10AE8" w:rsidRPr="00282DAA">
        <w:rPr>
          <w:rFonts w:eastAsia="Times New Roman"/>
          <w:color w:val="000000"/>
          <w:szCs w:val="24"/>
          <w:lang w:eastAsia="es-ES"/>
        </w:rPr>
        <w:t xml:space="preserve"> numeral 4 del artículo 60</w:t>
      </w:r>
      <w:r w:rsidR="00543D8C" w:rsidRPr="00282DAA">
        <w:rPr>
          <w:rFonts w:eastAsia="Times New Roman"/>
          <w:color w:val="000000"/>
          <w:szCs w:val="24"/>
          <w:lang w:eastAsia="es-ES"/>
        </w:rPr>
        <w:t xml:space="preserve"> del C.S.T</w:t>
      </w:r>
      <w:r w:rsidR="00B10AE8" w:rsidRPr="00282DAA">
        <w:rPr>
          <w:rFonts w:eastAsia="Times New Roman"/>
          <w:color w:val="000000"/>
          <w:szCs w:val="24"/>
          <w:vertAlign w:val="superscript"/>
          <w:lang w:eastAsia="es-ES"/>
        </w:rPr>
        <w:footnoteReference w:id="9"/>
      </w:r>
      <w:r w:rsidR="00B10AE8" w:rsidRPr="00282DAA">
        <w:rPr>
          <w:rFonts w:eastAsia="Times New Roman"/>
          <w:color w:val="000000"/>
          <w:szCs w:val="24"/>
          <w:lang w:eastAsia="es-ES"/>
        </w:rPr>
        <w:t>,</w:t>
      </w:r>
      <w:r w:rsidR="00543D8C" w:rsidRPr="00282DAA">
        <w:rPr>
          <w:rFonts w:eastAsia="Times New Roman"/>
          <w:color w:val="000000"/>
          <w:szCs w:val="24"/>
          <w:lang w:eastAsia="es-ES"/>
        </w:rPr>
        <w:t xml:space="preserve"> que conlleva la terminación del contrato de trabajo, de acuerdo a lo dispuesto en</w:t>
      </w:r>
      <w:r w:rsidR="00B10AE8" w:rsidRPr="00282DAA">
        <w:rPr>
          <w:rFonts w:eastAsia="Times New Roman"/>
          <w:color w:val="000000"/>
          <w:szCs w:val="24"/>
          <w:lang w:eastAsia="es-ES"/>
        </w:rPr>
        <w:t xml:space="preserve"> el numeral 6 artículo 62</w:t>
      </w:r>
      <w:r w:rsidR="00543D8C" w:rsidRPr="00282DAA">
        <w:rPr>
          <w:rFonts w:eastAsia="Times New Roman"/>
          <w:color w:val="000000"/>
          <w:szCs w:val="24"/>
          <w:lang w:eastAsia="es-ES"/>
        </w:rPr>
        <w:t xml:space="preserve"> ídem</w:t>
      </w:r>
      <w:r w:rsidR="00B10AE8" w:rsidRPr="00282DAA">
        <w:rPr>
          <w:rFonts w:eastAsia="Times New Roman"/>
          <w:color w:val="000000"/>
          <w:szCs w:val="24"/>
          <w:vertAlign w:val="superscript"/>
          <w:lang w:eastAsia="es-ES"/>
        </w:rPr>
        <w:footnoteReference w:id="10"/>
      </w:r>
      <w:r w:rsidR="00A03924" w:rsidRPr="00282DAA">
        <w:rPr>
          <w:rFonts w:eastAsia="Times New Roman"/>
          <w:color w:val="000000"/>
          <w:szCs w:val="24"/>
          <w:lang w:eastAsia="es-ES"/>
        </w:rPr>
        <w:t xml:space="preserve">, </w:t>
      </w:r>
      <w:r w:rsidR="00DA57E9" w:rsidRPr="00282DAA">
        <w:rPr>
          <w:rFonts w:eastAsia="Times New Roman"/>
          <w:color w:val="000000"/>
          <w:szCs w:val="24"/>
          <w:lang w:eastAsia="es-ES"/>
        </w:rPr>
        <w:t xml:space="preserve">en </w:t>
      </w:r>
      <w:r w:rsidR="003E088F" w:rsidRPr="00282DAA">
        <w:rPr>
          <w:szCs w:val="24"/>
        </w:rPr>
        <w:t>el trámite judicial</w:t>
      </w:r>
      <w:r w:rsidR="00543D8C" w:rsidRPr="00282DAA">
        <w:rPr>
          <w:szCs w:val="24"/>
        </w:rPr>
        <w:t>,</w:t>
      </w:r>
      <w:r w:rsidR="003E088F" w:rsidRPr="00282DAA">
        <w:rPr>
          <w:szCs w:val="24"/>
        </w:rPr>
        <w:t xml:space="preserve"> </w:t>
      </w:r>
      <w:r w:rsidR="00315A6E" w:rsidRPr="00282DAA">
        <w:rPr>
          <w:szCs w:val="24"/>
        </w:rPr>
        <w:t>con la confesión ficta</w:t>
      </w:r>
      <w:r w:rsidR="00543D8C" w:rsidRPr="00282DAA">
        <w:rPr>
          <w:szCs w:val="24"/>
        </w:rPr>
        <w:t>,</w:t>
      </w:r>
      <w:r w:rsidR="00315A6E" w:rsidRPr="00282DAA">
        <w:rPr>
          <w:szCs w:val="24"/>
        </w:rPr>
        <w:t xml:space="preserve"> se </w:t>
      </w:r>
      <w:r w:rsidR="00BB357A" w:rsidRPr="00282DAA">
        <w:rPr>
          <w:szCs w:val="24"/>
        </w:rPr>
        <w:t xml:space="preserve">demostró </w:t>
      </w:r>
      <w:r w:rsidR="003E088F" w:rsidRPr="00282DAA">
        <w:rPr>
          <w:szCs w:val="24"/>
        </w:rPr>
        <w:t xml:space="preserve">que </w:t>
      </w:r>
      <w:r w:rsidR="008F235F" w:rsidRPr="00282DAA">
        <w:rPr>
          <w:szCs w:val="24"/>
        </w:rPr>
        <w:t>una vez fenecieron las incapacidades laborales el 11 de noviembre de 2017</w:t>
      </w:r>
      <w:r w:rsidR="0035422F" w:rsidRPr="00282DAA">
        <w:rPr>
          <w:szCs w:val="24"/>
        </w:rPr>
        <w:t>, el promotor del litigio</w:t>
      </w:r>
      <w:r w:rsidR="008F235F" w:rsidRPr="00282DAA">
        <w:rPr>
          <w:szCs w:val="24"/>
        </w:rPr>
        <w:t xml:space="preserve"> se presentó a laboral y </w:t>
      </w:r>
      <w:r w:rsidR="004A03EB" w:rsidRPr="00282DAA">
        <w:rPr>
          <w:szCs w:val="24"/>
        </w:rPr>
        <w:t xml:space="preserve">el empleador decidió no reubicarlo, </w:t>
      </w:r>
      <w:r w:rsidR="00543D8C" w:rsidRPr="00282DAA">
        <w:rPr>
          <w:szCs w:val="24"/>
        </w:rPr>
        <w:t xml:space="preserve">sino </w:t>
      </w:r>
      <w:r w:rsidR="004A03EB" w:rsidRPr="00282DAA">
        <w:rPr>
          <w:szCs w:val="24"/>
        </w:rPr>
        <w:t>enviarlo para la casa</w:t>
      </w:r>
      <w:r w:rsidR="00543D8C" w:rsidRPr="00282DAA">
        <w:rPr>
          <w:szCs w:val="24"/>
        </w:rPr>
        <w:t>,</w:t>
      </w:r>
      <w:r w:rsidR="004A03EB" w:rsidRPr="00282DAA">
        <w:rPr>
          <w:szCs w:val="24"/>
        </w:rPr>
        <w:t xml:space="preserve"> y en su lugar continuó realizando los aportes a seguridad social y  </w:t>
      </w:r>
      <w:r w:rsidR="00543D8C" w:rsidRPr="00282DAA">
        <w:rPr>
          <w:szCs w:val="24"/>
        </w:rPr>
        <w:t xml:space="preserve">pagando el </w:t>
      </w:r>
      <w:r w:rsidR="004A03EB" w:rsidRPr="00282DAA">
        <w:rPr>
          <w:szCs w:val="24"/>
        </w:rPr>
        <w:t>salario,</w:t>
      </w:r>
      <w:r w:rsidR="00C00E70" w:rsidRPr="00282DAA">
        <w:rPr>
          <w:szCs w:val="24"/>
        </w:rPr>
        <w:t xml:space="preserve"> actuar que</w:t>
      </w:r>
      <w:r w:rsidR="00543D8C" w:rsidRPr="00282DAA">
        <w:rPr>
          <w:szCs w:val="24"/>
        </w:rPr>
        <w:t>,</w:t>
      </w:r>
      <w:r w:rsidR="00C00E70" w:rsidRPr="00282DAA">
        <w:rPr>
          <w:szCs w:val="24"/>
        </w:rPr>
        <w:t xml:space="preserve"> en materia laboral</w:t>
      </w:r>
      <w:r w:rsidR="00543D8C" w:rsidRPr="00282DAA">
        <w:rPr>
          <w:szCs w:val="24"/>
        </w:rPr>
        <w:t>,</w:t>
      </w:r>
      <w:r w:rsidR="00C00E70" w:rsidRPr="00282DAA">
        <w:rPr>
          <w:szCs w:val="24"/>
        </w:rPr>
        <w:t xml:space="preserve"> se </w:t>
      </w:r>
      <w:r w:rsidR="00B50C4F" w:rsidRPr="00282DAA">
        <w:rPr>
          <w:szCs w:val="24"/>
        </w:rPr>
        <w:t xml:space="preserve">conoce como salario sin prestación del servicio y que se </w:t>
      </w:r>
      <w:r w:rsidR="00C00E70" w:rsidRPr="00282DAA">
        <w:rPr>
          <w:szCs w:val="24"/>
        </w:rPr>
        <w:t>encuentra reglado en el artículo 140 del Código Sustantivo de Trabajo</w:t>
      </w:r>
      <w:r w:rsidR="00B50C4F" w:rsidRPr="00282DAA">
        <w:rPr>
          <w:szCs w:val="24"/>
        </w:rPr>
        <w:t xml:space="preserve">, en los siguientes términos: </w:t>
      </w:r>
      <w:r w:rsidR="0069538F" w:rsidRPr="00282DAA">
        <w:rPr>
          <w:i/>
          <w:iCs/>
          <w:szCs w:val="24"/>
        </w:rPr>
        <w:t>“</w:t>
      </w:r>
      <w:r w:rsidR="0069538F" w:rsidRPr="004B7279">
        <w:rPr>
          <w:i/>
          <w:iCs/>
          <w:sz w:val="22"/>
          <w:szCs w:val="24"/>
        </w:rPr>
        <w:t>Durante la vigencia del contrato el trabajador tiene derecho a percibir el salario aun cuando no haya prestación del servicio por disposición o culpa del {empleador}.</w:t>
      </w:r>
      <w:r w:rsidR="0069538F" w:rsidRPr="00282DAA">
        <w:rPr>
          <w:i/>
          <w:iCs/>
          <w:szCs w:val="24"/>
        </w:rPr>
        <w:t>”</w:t>
      </w:r>
      <w:r w:rsidR="00DA57E9" w:rsidRPr="00282DAA">
        <w:rPr>
          <w:i/>
          <w:iCs/>
          <w:szCs w:val="24"/>
        </w:rPr>
        <w:t xml:space="preserve"> </w:t>
      </w:r>
      <w:r w:rsidR="00DA57E9" w:rsidRPr="00282DAA">
        <w:rPr>
          <w:szCs w:val="24"/>
        </w:rPr>
        <w:t xml:space="preserve"> En virtud de lo cual, la inasistencia al puesto de trabajo </w:t>
      </w:r>
      <w:r w:rsidR="00802A06" w:rsidRPr="00282DAA">
        <w:rPr>
          <w:szCs w:val="24"/>
        </w:rPr>
        <w:t xml:space="preserve">se generó con anuencia del empleador. </w:t>
      </w:r>
    </w:p>
    <w:p w14:paraId="6D181575" w14:textId="77777777" w:rsidR="00802A06" w:rsidRPr="00282DAA" w:rsidRDefault="00802A06" w:rsidP="00282DAA">
      <w:pPr>
        <w:spacing w:line="276" w:lineRule="auto"/>
        <w:rPr>
          <w:szCs w:val="24"/>
        </w:rPr>
      </w:pPr>
    </w:p>
    <w:p w14:paraId="72CF2B43" w14:textId="7B613B19" w:rsidR="0040506C" w:rsidRPr="00282DAA" w:rsidRDefault="00802A06" w:rsidP="00282DAA">
      <w:pPr>
        <w:spacing w:line="276" w:lineRule="auto"/>
        <w:rPr>
          <w:szCs w:val="24"/>
        </w:rPr>
      </w:pPr>
      <w:r w:rsidRPr="00282DAA">
        <w:rPr>
          <w:szCs w:val="24"/>
        </w:rPr>
        <w:tab/>
        <w:t>Corolario de lo expuesto</w:t>
      </w:r>
      <w:r w:rsidR="001F07AC" w:rsidRPr="00282DAA">
        <w:rPr>
          <w:szCs w:val="24"/>
        </w:rPr>
        <w:t>,</w:t>
      </w:r>
      <w:r w:rsidRPr="00282DAA">
        <w:rPr>
          <w:szCs w:val="24"/>
        </w:rPr>
        <w:t xml:space="preserve"> ante la inexistencia de una justa causa para dar por finalizada la relación contractual</w:t>
      </w:r>
      <w:r w:rsidR="002468CE" w:rsidRPr="00282DAA">
        <w:rPr>
          <w:szCs w:val="24"/>
        </w:rPr>
        <w:t xml:space="preserve">, </w:t>
      </w:r>
      <w:r w:rsidR="00FF56F3" w:rsidRPr="00282DAA">
        <w:rPr>
          <w:szCs w:val="24"/>
        </w:rPr>
        <w:t>al actor le asiste</w:t>
      </w:r>
      <w:r w:rsidR="00543D8C" w:rsidRPr="00282DAA">
        <w:rPr>
          <w:szCs w:val="24"/>
        </w:rPr>
        <w:t xml:space="preserve"> el derecho a percibir</w:t>
      </w:r>
      <w:r w:rsidR="00FF56F3" w:rsidRPr="00282DAA">
        <w:rPr>
          <w:szCs w:val="24"/>
        </w:rPr>
        <w:t xml:space="preserve"> la indemnización </w:t>
      </w:r>
      <w:bookmarkStart w:id="8" w:name="_Hlk136342051"/>
      <w:r w:rsidR="00FF56F3" w:rsidRPr="00282DAA">
        <w:rPr>
          <w:szCs w:val="24"/>
        </w:rPr>
        <w:t>por despido sin justa causa</w:t>
      </w:r>
      <w:bookmarkEnd w:id="8"/>
      <w:r w:rsidR="00543D8C" w:rsidRPr="00282DAA">
        <w:rPr>
          <w:szCs w:val="24"/>
        </w:rPr>
        <w:t>,</w:t>
      </w:r>
      <w:r w:rsidR="00FF56F3" w:rsidRPr="00282DAA">
        <w:rPr>
          <w:szCs w:val="24"/>
        </w:rPr>
        <w:t xml:space="preserve"> que asciende a </w:t>
      </w:r>
      <w:r w:rsidR="00265563" w:rsidRPr="00282DAA">
        <w:rPr>
          <w:szCs w:val="24"/>
        </w:rPr>
        <w:t>$3.313.333, conforme a la siguiente liquidación:</w:t>
      </w:r>
    </w:p>
    <w:p w14:paraId="33B25133" w14:textId="77777777" w:rsidR="00FF56F3" w:rsidRPr="00282DAA" w:rsidRDefault="00FF56F3" w:rsidP="00282DAA">
      <w:pPr>
        <w:spacing w:line="276" w:lineRule="auto"/>
        <w:rPr>
          <w:szCs w:val="24"/>
        </w:rPr>
      </w:pPr>
    </w:p>
    <w:tbl>
      <w:tblPr>
        <w:tblW w:w="6744" w:type="dxa"/>
        <w:jc w:val="center"/>
        <w:tblCellMar>
          <w:left w:w="70" w:type="dxa"/>
          <w:right w:w="70" w:type="dxa"/>
        </w:tblCellMar>
        <w:tblLook w:val="04A0" w:firstRow="1" w:lastRow="0" w:firstColumn="1" w:lastColumn="0" w:noHBand="0" w:noVBand="1"/>
      </w:tblPr>
      <w:tblGrid>
        <w:gridCol w:w="1202"/>
        <w:gridCol w:w="1202"/>
        <w:gridCol w:w="1380"/>
        <w:gridCol w:w="1576"/>
        <w:gridCol w:w="1384"/>
      </w:tblGrid>
      <w:tr w:rsidR="00265563" w:rsidRPr="004B7279" w14:paraId="72D1A89B" w14:textId="77777777" w:rsidTr="004B7279">
        <w:trPr>
          <w:trHeight w:val="600"/>
          <w:jc w:val="center"/>
        </w:trPr>
        <w:tc>
          <w:tcPr>
            <w:tcW w:w="12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160F98" w14:textId="77777777" w:rsidR="00265563" w:rsidRPr="004B7279" w:rsidRDefault="00265563" w:rsidP="00282DAA">
            <w:pPr>
              <w:spacing w:line="276" w:lineRule="auto"/>
              <w:jc w:val="center"/>
              <w:rPr>
                <w:rFonts w:eastAsia="Times New Roman"/>
                <w:b/>
                <w:bCs/>
                <w:color w:val="000000"/>
                <w:sz w:val="20"/>
                <w:szCs w:val="24"/>
                <w:lang w:val="es-CO"/>
              </w:rPr>
            </w:pPr>
            <w:r w:rsidRPr="004B7279">
              <w:rPr>
                <w:rFonts w:eastAsia="Times New Roman"/>
                <w:b/>
                <w:bCs/>
                <w:color w:val="000000"/>
                <w:sz w:val="20"/>
                <w:szCs w:val="24"/>
                <w:lang w:val="es-CO"/>
              </w:rPr>
              <w:t xml:space="preserve">DESDE </w:t>
            </w:r>
          </w:p>
        </w:tc>
        <w:tc>
          <w:tcPr>
            <w:tcW w:w="1202" w:type="dxa"/>
            <w:tcBorders>
              <w:top w:val="single" w:sz="4" w:space="0" w:color="auto"/>
              <w:left w:val="nil"/>
              <w:bottom w:val="single" w:sz="4" w:space="0" w:color="auto"/>
              <w:right w:val="single" w:sz="4" w:space="0" w:color="auto"/>
            </w:tcBorders>
            <w:shd w:val="clear" w:color="auto" w:fill="auto"/>
            <w:vAlign w:val="bottom"/>
            <w:hideMark/>
          </w:tcPr>
          <w:p w14:paraId="75613579" w14:textId="77777777" w:rsidR="00265563" w:rsidRPr="004B7279" w:rsidRDefault="00265563" w:rsidP="00282DAA">
            <w:pPr>
              <w:spacing w:line="276" w:lineRule="auto"/>
              <w:jc w:val="center"/>
              <w:rPr>
                <w:rFonts w:eastAsia="Times New Roman"/>
                <w:b/>
                <w:bCs/>
                <w:color w:val="000000"/>
                <w:sz w:val="20"/>
                <w:szCs w:val="24"/>
                <w:lang w:val="es-CO"/>
              </w:rPr>
            </w:pPr>
            <w:r w:rsidRPr="004B7279">
              <w:rPr>
                <w:rFonts w:eastAsia="Times New Roman"/>
                <w:b/>
                <w:bCs/>
                <w:color w:val="000000"/>
                <w:sz w:val="20"/>
                <w:szCs w:val="24"/>
                <w:lang w:val="es-CO"/>
              </w:rPr>
              <w:t xml:space="preserve">HASTA </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14:paraId="2D4D5B85" w14:textId="77777777" w:rsidR="00265563" w:rsidRPr="004B7279" w:rsidRDefault="00265563" w:rsidP="00282DAA">
            <w:pPr>
              <w:spacing w:line="276" w:lineRule="auto"/>
              <w:jc w:val="center"/>
              <w:rPr>
                <w:rFonts w:eastAsia="Times New Roman"/>
                <w:b/>
                <w:bCs/>
                <w:color w:val="000000"/>
                <w:sz w:val="20"/>
                <w:szCs w:val="24"/>
                <w:lang w:val="es-CO"/>
              </w:rPr>
            </w:pPr>
            <w:r w:rsidRPr="004B7279">
              <w:rPr>
                <w:rFonts w:eastAsia="Times New Roman"/>
                <w:b/>
                <w:bCs/>
                <w:color w:val="000000"/>
                <w:sz w:val="20"/>
                <w:szCs w:val="24"/>
                <w:lang w:val="es-CO"/>
              </w:rPr>
              <w:t>SALARIO</w:t>
            </w:r>
          </w:p>
        </w:tc>
        <w:tc>
          <w:tcPr>
            <w:tcW w:w="1576" w:type="dxa"/>
            <w:tcBorders>
              <w:top w:val="single" w:sz="4" w:space="0" w:color="auto"/>
              <w:left w:val="nil"/>
              <w:bottom w:val="single" w:sz="4" w:space="0" w:color="auto"/>
              <w:right w:val="single" w:sz="4" w:space="0" w:color="auto"/>
            </w:tcBorders>
            <w:shd w:val="clear" w:color="auto" w:fill="auto"/>
            <w:vAlign w:val="bottom"/>
            <w:hideMark/>
          </w:tcPr>
          <w:p w14:paraId="0BBCBAD6" w14:textId="2206E641" w:rsidR="00265563" w:rsidRPr="004B7279" w:rsidRDefault="00265563" w:rsidP="00282DAA">
            <w:pPr>
              <w:spacing w:line="276" w:lineRule="auto"/>
              <w:jc w:val="center"/>
              <w:rPr>
                <w:rFonts w:eastAsia="Times New Roman"/>
                <w:b/>
                <w:bCs/>
                <w:color w:val="000000"/>
                <w:sz w:val="20"/>
                <w:szCs w:val="24"/>
                <w:lang w:val="es-CO"/>
              </w:rPr>
            </w:pPr>
            <w:r w:rsidRPr="004B7279">
              <w:rPr>
                <w:rFonts w:eastAsia="Times New Roman"/>
                <w:b/>
                <w:bCs/>
                <w:color w:val="000000"/>
                <w:sz w:val="20"/>
                <w:szCs w:val="24"/>
                <w:lang w:val="es-CO"/>
              </w:rPr>
              <w:t xml:space="preserve">N° </w:t>
            </w:r>
            <w:r w:rsidR="004B7279" w:rsidRPr="004B7279">
              <w:rPr>
                <w:rFonts w:eastAsia="Times New Roman"/>
                <w:b/>
                <w:bCs/>
                <w:color w:val="000000"/>
                <w:sz w:val="20"/>
                <w:szCs w:val="24"/>
                <w:lang w:val="es-CO"/>
              </w:rPr>
              <w:t>DÍAS</w:t>
            </w:r>
            <w:r w:rsidRPr="004B7279">
              <w:rPr>
                <w:rFonts w:eastAsia="Times New Roman"/>
                <w:b/>
                <w:bCs/>
                <w:color w:val="000000"/>
                <w:sz w:val="20"/>
                <w:szCs w:val="24"/>
                <w:lang w:val="es-CO"/>
              </w:rPr>
              <w:t xml:space="preserve"> ART.</w:t>
            </w:r>
            <w:r w:rsidR="004B7279" w:rsidRPr="004B7279">
              <w:rPr>
                <w:rFonts w:eastAsia="Times New Roman"/>
                <w:b/>
                <w:bCs/>
                <w:color w:val="000000"/>
                <w:sz w:val="20"/>
                <w:szCs w:val="24"/>
                <w:lang w:val="es-CO"/>
              </w:rPr>
              <w:t xml:space="preserve"> </w:t>
            </w:r>
            <w:r w:rsidRPr="004B7279">
              <w:rPr>
                <w:rFonts w:eastAsia="Times New Roman"/>
                <w:b/>
                <w:bCs/>
                <w:color w:val="000000"/>
                <w:sz w:val="20"/>
                <w:szCs w:val="24"/>
                <w:lang w:val="es-CO"/>
              </w:rPr>
              <w:t>64 C</w:t>
            </w:r>
            <w:r w:rsidR="004B7279">
              <w:rPr>
                <w:rFonts w:eastAsia="Times New Roman"/>
                <w:b/>
                <w:bCs/>
                <w:color w:val="000000"/>
                <w:sz w:val="20"/>
                <w:szCs w:val="24"/>
                <w:lang w:val="es-CO"/>
              </w:rPr>
              <w:t>.</w:t>
            </w:r>
            <w:r w:rsidRPr="004B7279">
              <w:rPr>
                <w:rFonts w:eastAsia="Times New Roman"/>
                <w:b/>
                <w:bCs/>
                <w:color w:val="000000"/>
                <w:sz w:val="20"/>
                <w:szCs w:val="24"/>
                <w:lang w:val="es-CO"/>
              </w:rPr>
              <w:t>S</w:t>
            </w:r>
            <w:r w:rsidR="004B7279">
              <w:rPr>
                <w:rFonts w:eastAsia="Times New Roman"/>
                <w:b/>
                <w:bCs/>
                <w:color w:val="000000"/>
                <w:sz w:val="20"/>
                <w:szCs w:val="24"/>
                <w:lang w:val="es-CO"/>
              </w:rPr>
              <w:t>.</w:t>
            </w:r>
            <w:r w:rsidRPr="004B7279">
              <w:rPr>
                <w:rFonts w:eastAsia="Times New Roman"/>
                <w:b/>
                <w:bCs/>
                <w:color w:val="000000"/>
                <w:sz w:val="20"/>
                <w:szCs w:val="24"/>
                <w:lang w:val="es-CO"/>
              </w:rPr>
              <w:t>T</w:t>
            </w:r>
            <w:r w:rsidR="004B7279">
              <w:rPr>
                <w:rFonts w:eastAsia="Times New Roman"/>
                <w:b/>
                <w:bCs/>
                <w:color w:val="000000"/>
                <w:sz w:val="20"/>
                <w:szCs w:val="24"/>
                <w:lang w:val="es-CO"/>
              </w:rPr>
              <w:t>.</w:t>
            </w:r>
          </w:p>
        </w:tc>
        <w:tc>
          <w:tcPr>
            <w:tcW w:w="1384" w:type="dxa"/>
            <w:tcBorders>
              <w:top w:val="single" w:sz="4" w:space="0" w:color="auto"/>
              <w:left w:val="nil"/>
              <w:bottom w:val="single" w:sz="4" w:space="0" w:color="auto"/>
              <w:right w:val="single" w:sz="4" w:space="0" w:color="auto"/>
            </w:tcBorders>
            <w:shd w:val="clear" w:color="auto" w:fill="auto"/>
            <w:vAlign w:val="bottom"/>
            <w:hideMark/>
          </w:tcPr>
          <w:p w14:paraId="62585C16" w14:textId="77777777" w:rsidR="00265563" w:rsidRPr="004B7279" w:rsidRDefault="00265563" w:rsidP="00282DAA">
            <w:pPr>
              <w:spacing w:line="276" w:lineRule="auto"/>
              <w:jc w:val="center"/>
              <w:rPr>
                <w:rFonts w:eastAsia="Times New Roman"/>
                <w:b/>
                <w:bCs/>
                <w:color w:val="000000"/>
                <w:sz w:val="20"/>
                <w:szCs w:val="24"/>
                <w:lang w:val="es-CO"/>
              </w:rPr>
            </w:pPr>
            <w:r w:rsidRPr="004B7279">
              <w:rPr>
                <w:rFonts w:eastAsia="Times New Roman"/>
                <w:b/>
                <w:bCs/>
                <w:color w:val="000000"/>
                <w:sz w:val="20"/>
                <w:szCs w:val="24"/>
                <w:lang w:val="es-CO"/>
              </w:rPr>
              <w:t xml:space="preserve">TOTAL </w:t>
            </w:r>
          </w:p>
        </w:tc>
      </w:tr>
      <w:tr w:rsidR="00265563" w:rsidRPr="004B7279" w14:paraId="61A283F1" w14:textId="77777777" w:rsidTr="004B7279">
        <w:trPr>
          <w:trHeight w:val="300"/>
          <w:jc w:val="center"/>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14:paraId="703E42BC" w14:textId="77777777" w:rsidR="00265563" w:rsidRPr="004B7279" w:rsidRDefault="00265563" w:rsidP="00282DAA">
            <w:pPr>
              <w:spacing w:line="276" w:lineRule="auto"/>
              <w:jc w:val="right"/>
              <w:rPr>
                <w:rFonts w:eastAsia="Times New Roman"/>
                <w:color w:val="000000"/>
                <w:sz w:val="20"/>
                <w:szCs w:val="24"/>
                <w:lang w:val="es-CO"/>
              </w:rPr>
            </w:pPr>
            <w:r w:rsidRPr="004B7279">
              <w:rPr>
                <w:rFonts w:eastAsia="Times New Roman"/>
                <w:color w:val="000000"/>
                <w:sz w:val="20"/>
                <w:szCs w:val="24"/>
                <w:lang w:val="es-CO"/>
              </w:rPr>
              <w:t>18/07/2016</w:t>
            </w:r>
          </w:p>
        </w:tc>
        <w:tc>
          <w:tcPr>
            <w:tcW w:w="1202" w:type="dxa"/>
            <w:tcBorders>
              <w:top w:val="nil"/>
              <w:left w:val="nil"/>
              <w:bottom w:val="single" w:sz="4" w:space="0" w:color="auto"/>
              <w:right w:val="single" w:sz="4" w:space="0" w:color="auto"/>
            </w:tcBorders>
            <w:shd w:val="clear" w:color="auto" w:fill="auto"/>
            <w:noWrap/>
            <w:vAlign w:val="bottom"/>
            <w:hideMark/>
          </w:tcPr>
          <w:p w14:paraId="1F930D07" w14:textId="77777777" w:rsidR="00265563" w:rsidRPr="004B7279" w:rsidRDefault="00265563" w:rsidP="00282DAA">
            <w:pPr>
              <w:spacing w:line="276" w:lineRule="auto"/>
              <w:jc w:val="right"/>
              <w:rPr>
                <w:rFonts w:eastAsia="Times New Roman"/>
                <w:color w:val="000000"/>
                <w:sz w:val="20"/>
                <w:szCs w:val="24"/>
                <w:lang w:val="es-CO"/>
              </w:rPr>
            </w:pPr>
            <w:r w:rsidRPr="004B7279">
              <w:rPr>
                <w:rFonts w:eastAsia="Times New Roman"/>
                <w:color w:val="000000"/>
                <w:sz w:val="20"/>
                <w:szCs w:val="24"/>
                <w:lang w:val="es-CO"/>
              </w:rPr>
              <w:t>17/07/2017</w:t>
            </w:r>
          </w:p>
        </w:tc>
        <w:tc>
          <w:tcPr>
            <w:tcW w:w="1380" w:type="dxa"/>
            <w:tcBorders>
              <w:top w:val="nil"/>
              <w:left w:val="nil"/>
              <w:bottom w:val="single" w:sz="4" w:space="0" w:color="auto"/>
              <w:right w:val="single" w:sz="4" w:space="0" w:color="auto"/>
            </w:tcBorders>
            <w:shd w:val="clear" w:color="auto" w:fill="auto"/>
            <w:noWrap/>
            <w:vAlign w:val="bottom"/>
            <w:hideMark/>
          </w:tcPr>
          <w:p w14:paraId="67677A37" w14:textId="77777777" w:rsidR="00265563" w:rsidRPr="004B7279" w:rsidRDefault="00265563" w:rsidP="00282DAA">
            <w:pPr>
              <w:spacing w:line="276" w:lineRule="auto"/>
              <w:jc w:val="right"/>
              <w:rPr>
                <w:rFonts w:eastAsia="Times New Roman"/>
                <w:color w:val="000000"/>
                <w:sz w:val="20"/>
                <w:szCs w:val="24"/>
                <w:lang w:val="es-CO"/>
              </w:rPr>
            </w:pPr>
            <w:r w:rsidRPr="004B7279">
              <w:rPr>
                <w:rFonts w:eastAsia="Times New Roman"/>
                <w:color w:val="000000"/>
                <w:sz w:val="20"/>
                <w:szCs w:val="24"/>
                <w:lang w:val="es-CO"/>
              </w:rPr>
              <w:t>$ 1.400.000</w:t>
            </w:r>
          </w:p>
        </w:tc>
        <w:tc>
          <w:tcPr>
            <w:tcW w:w="1576" w:type="dxa"/>
            <w:tcBorders>
              <w:top w:val="nil"/>
              <w:left w:val="nil"/>
              <w:bottom w:val="single" w:sz="4" w:space="0" w:color="auto"/>
              <w:right w:val="single" w:sz="4" w:space="0" w:color="auto"/>
            </w:tcBorders>
            <w:shd w:val="clear" w:color="auto" w:fill="auto"/>
            <w:noWrap/>
            <w:vAlign w:val="bottom"/>
            <w:hideMark/>
          </w:tcPr>
          <w:p w14:paraId="07C8846C" w14:textId="77777777" w:rsidR="00265563" w:rsidRPr="004B7279" w:rsidRDefault="00265563" w:rsidP="00282DAA">
            <w:pPr>
              <w:spacing w:line="276" w:lineRule="auto"/>
              <w:jc w:val="center"/>
              <w:rPr>
                <w:rFonts w:eastAsia="Times New Roman"/>
                <w:color w:val="000000"/>
                <w:sz w:val="20"/>
                <w:szCs w:val="24"/>
                <w:lang w:val="es-CO"/>
              </w:rPr>
            </w:pPr>
            <w:r w:rsidRPr="004B7279">
              <w:rPr>
                <w:rFonts w:eastAsia="Times New Roman"/>
                <w:color w:val="000000"/>
                <w:sz w:val="20"/>
                <w:szCs w:val="24"/>
                <w:lang w:val="es-CO"/>
              </w:rPr>
              <w:t>30</w:t>
            </w:r>
          </w:p>
        </w:tc>
        <w:tc>
          <w:tcPr>
            <w:tcW w:w="1384" w:type="dxa"/>
            <w:tcBorders>
              <w:top w:val="nil"/>
              <w:left w:val="nil"/>
              <w:bottom w:val="single" w:sz="4" w:space="0" w:color="auto"/>
              <w:right w:val="single" w:sz="4" w:space="0" w:color="auto"/>
            </w:tcBorders>
            <w:shd w:val="clear" w:color="auto" w:fill="auto"/>
            <w:noWrap/>
            <w:vAlign w:val="bottom"/>
            <w:hideMark/>
          </w:tcPr>
          <w:p w14:paraId="328CE10D" w14:textId="77777777" w:rsidR="00265563" w:rsidRPr="004B7279" w:rsidRDefault="00265563" w:rsidP="00282DAA">
            <w:pPr>
              <w:spacing w:line="276" w:lineRule="auto"/>
              <w:jc w:val="right"/>
              <w:rPr>
                <w:rFonts w:eastAsia="Times New Roman"/>
                <w:color w:val="000000"/>
                <w:sz w:val="20"/>
                <w:szCs w:val="24"/>
                <w:lang w:val="es-CO"/>
              </w:rPr>
            </w:pPr>
            <w:r w:rsidRPr="004B7279">
              <w:rPr>
                <w:rFonts w:eastAsia="Times New Roman"/>
                <w:color w:val="000000"/>
                <w:sz w:val="20"/>
                <w:szCs w:val="24"/>
                <w:lang w:val="es-CO"/>
              </w:rPr>
              <w:t>$ 1.400.000</w:t>
            </w:r>
          </w:p>
        </w:tc>
      </w:tr>
      <w:tr w:rsidR="00265563" w:rsidRPr="004B7279" w14:paraId="6D332BB9" w14:textId="77777777" w:rsidTr="004B7279">
        <w:trPr>
          <w:trHeight w:val="300"/>
          <w:jc w:val="center"/>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14:paraId="32AC94AF" w14:textId="77777777" w:rsidR="00265563" w:rsidRPr="004B7279" w:rsidRDefault="00265563" w:rsidP="00282DAA">
            <w:pPr>
              <w:spacing w:line="276" w:lineRule="auto"/>
              <w:jc w:val="right"/>
              <w:rPr>
                <w:rFonts w:eastAsia="Times New Roman"/>
                <w:color w:val="000000"/>
                <w:sz w:val="20"/>
                <w:szCs w:val="24"/>
                <w:lang w:val="es-CO"/>
              </w:rPr>
            </w:pPr>
            <w:r w:rsidRPr="004B7279">
              <w:rPr>
                <w:rFonts w:eastAsia="Times New Roman"/>
                <w:color w:val="000000"/>
                <w:sz w:val="20"/>
                <w:szCs w:val="24"/>
                <w:lang w:val="es-CO"/>
              </w:rPr>
              <w:t>18/07/2017</w:t>
            </w:r>
          </w:p>
        </w:tc>
        <w:tc>
          <w:tcPr>
            <w:tcW w:w="1202" w:type="dxa"/>
            <w:tcBorders>
              <w:top w:val="nil"/>
              <w:left w:val="nil"/>
              <w:bottom w:val="single" w:sz="4" w:space="0" w:color="auto"/>
              <w:right w:val="single" w:sz="4" w:space="0" w:color="auto"/>
            </w:tcBorders>
            <w:shd w:val="clear" w:color="auto" w:fill="auto"/>
            <w:noWrap/>
            <w:vAlign w:val="bottom"/>
            <w:hideMark/>
          </w:tcPr>
          <w:p w14:paraId="21D0D924" w14:textId="77777777" w:rsidR="00265563" w:rsidRPr="004B7279" w:rsidRDefault="00265563" w:rsidP="00282DAA">
            <w:pPr>
              <w:spacing w:line="276" w:lineRule="auto"/>
              <w:jc w:val="right"/>
              <w:rPr>
                <w:rFonts w:eastAsia="Times New Roman"/>
                <w:color w:val="000000"/>
                <w:sz w:val="20"/>
                <w:szCs w:val="24"/>
                <w:lang w:val="es-CO"/>
              </w:rPr>
            </w:pPr>
            <w:r w:rsidRPr="004B7279">
              <w:rPr>
                <w:rFonts w:eastAsia="Times New Roman"/>
                <w:color w:val="000000"/>
                <w:sz w:val="20"/>
                <w:szCs w:val="24"/>
                <w:lang w:val="es-CO"/>
              </w:rPr>
              <w:t>17/07/2018</w:t>
            </w:r>
          </w:p>
        </w:tc>
        <w:tc>
          <w:tcPr>
            <w:tcW w:w="1380" w:type="dxa"/>
            <w:tcBorders>
              <w:top w:val="nil"/>
              <w:left w:val="nil"/>
              <w:bottom w:val="single" w:sz="4" w:space="0" w:color="auto"/>
              <w:right w:val="single" w:sz="4" w:space="0" w:color="auto"/>
            </w:tcBorders>
            <w:shd w:val="clear" w:color="auto" w:fill="auto"/>
            <w:noWrap/>
            <w:vAlign w:val="bottom"/>
            <w:hideMark/>
          </w:tcPr>
          <w:p w14:paraId="6426EC34" w14:textId="77777777" w:rsidR="00265563" w:rsidRPr="004B7279" w:rsidRDefault="00265563" w:rsidP="00282DAA">
            <w:pPr>
              <w:spacing w:line="276" w:lineRule="auto"/>
              <w:jc w:val="right"/>
              <w:rPr>
                <w:rFonts w:eastAsia="Times New Roman"/>
                <w:color w:val="000000"/>
                <w:sz w:val="20"/>
                <w:szCs w:val="24"/>
                <w:lang w:val="es-CO"/>
              </w:rPr>
            </w:pPr>
            <w:r w:rsidRPr="004B7279">
              <w:rPr>
                <w:rFonts w:eastAsia="Times New Roman"/>
                <w:color w:val="000000"/>
                <w:sz w:val="20"/>
                <w:szCs w:val="24"/>
                <w:lang w:val="es-CO"/>
              </w:rPr>
              <w:t>$ 1.400.000</w:t>
            </w:r>
          </w:p>
        </w:tc>
        <w:tc>
          <w:tcPr>
            <w:tcW w:w="1576" w:type="dxa"/>
            <w:tcBorders>
              <w:top w:val="nil"/>
              <w:left w:val="nil"/>
              <w:bottom w:val="single" w:sz="4" w:space="0" w:color="auto"/>
              <w:right w:val="single" w:sz="4" w:space="0" w:color="auto"/>
            </w:tcBorders>
            <w:shd w:val="clear" w:color="auto" w:fill="auto"/>
            <w:noWrap/>
            <w:vAlign w:val="bottom"/>
            <w:hideMark/>
          </w:tcPr>
          <w:p w14:paraId="44407496" w14:textId="77777777" w:rsidR="00265563" w:rsidRPr="004B7279" w:rsidRDefault="00265563" w:rsidP="00282DAA">
            <w:pPr>
              <w:spacing w:line="276" w:lineRule="auto"/>
              <w:jc w:val="center"/>
              <w:rPr>
                <w:rFonts w:eastAsia="Times New Roman"/>
                <w:color w:val="000000"/>
                <w:sz w:val="20"/>
                <w:szCs w:val="24"/>
                <w:lang w:val="es-CO"/>
              </w:rPr>
            </w:pPr>
            <w:r w:rsidRPr="004B7279">
              <w:rPr>
                <w:rFonts w:eastAsia="Times New Roman"/>
                <w:color w:val="000000"/>
                <w:sz w:val="20"/>
                <w:szCs w:val="24"/>
                <w:lang w:val="es-CO"/>
              </w:rPr>
              <w:t>20</w:t>
            </w:r>
          </w:p>
        </w:tc>
        <w:tc>
          <w:tcPr>
            <w:tcW w:w="1384" w:type="dxa"/>
            <w:tcBorders>
              <w:top w:val="nil"/>
              <w:left w:val="nil"/>
              <w:bottom w:val="single" w:sz="4" w:space="0" w:color="auto"/>
              <w:right w:val="single" w:sz="4" w:space="0" w:color="auto"/>
            </w:tcBorders>
            <w:shd w:val="clear" w:color="auto" w:fill="auto"/>
            <w:noWrap/>
            <w:vAlign w:val="bottom"/>
            <w:hideMark/>
          </w:tcPr>
          <w:p w14:paraId="77C57555" w14:textId="77777777" w:rsidR="00265563" w:rsidRPr="004B7279" w:rsidRDefault="00265563" w:rsidP="00282DAA">
            <w:pPr>
              <w:spacing w:line="276" w:lineRule="auto"/>
              <w:jc w:val="right"/>
              <w:rPr>
                <w:rFonts w:eastAsia="Times New Roman"/>
                <w:color w:val="000000"/>
                <w:sz w:val="20"/>
                <w:szCs w:val="24"/>
                <w:lang w:val="es-CO"/>
              </w:rPr>
            </w:pPr>
            <w:r w:rsidRPr="004B7279">
              <w:rPr>
                <w:rFonts w:eastAsia="Times New Roman"/>
                <w:color w:val="000000"/>
                <w:sz w:val="20"/>
                <w:szCs w:val="24"/>
                <w:lang w:val="es-CO"/>
              </w:rPr>
              <w:t>$ 933.333</w:t>
            </w:r>
          </w:p>
        </w:tc>
      </w:tr>
      <w:tr w:rsidR="00265563" w:rsidRPr="004B7279" w14:paraId="41BF9FA3" w14:textId="77777777" w:rsidTr="004B7279">
        <w:trPr>
          <w:trHeight w:val="300"/>
          <w:jc w:val="center"/>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14:paraId="5F213D22" w14:textId="77777777" w:rsidR="00265563" w:rsidRPr="004B7279" w:rsidRDefault="00265563" w:rsidP="00282DAA">
            <w:pPr>
              <w:spacing w:line="276" w:lineRule="auto"/>
              <w:jc w:val="right"/>
              <w:rPr>
                <w:rFonts w:eastAsia="Times New Roman"/>
                <w:color w:val="000000"/>
                <w:sz w:val="20"/>
                <w:szCs w:val="24"/>
                <w:lang w:val="es-CO"/>
              </w:rPr>
            </w:pPr>
            <w:r w:rsidRPr="004B7279">
              <w:rPr>
                <w:rFonts w:eastAsia="Times New Roman"/>
                <w:color w:val="000000"/>
                <w:sz w:val="20"/>
                <w:szCs w:val="24"/>
                <w:lang w:val="es-CO"/>
              </w:rPr>
              <w:t>18/07/2018</w:t>
            </w:r>
          </w:p>
        </w:tc>
        <w:tc>
          <w:tcPr>
            <w:tcW w:w="1202" w:type="dxa"/>
            <w:tcBorders>
              <w:top w:val="nil"/>
              <w:left w:val="nil"/>
              <w:bottom w:val="single" w:sz="4" w:space="0" w:color="auto"/>
              <w:right w:val="single" w:sz="4" w:space="0" w:color="auto"/>
            </w:tcBorders>
            <w:shd w:val="clear" w:color="auto" w:fill="auto"/>
            <w:noWrap/>
            <w:vAlign w:val="bottom"/>
            <w:hideMark/>
          </w:tcPr>
          <w:p w14:paraId="193334F8" w14:textId="77777777" w:rsidR="00265563" w:rsidRPr="004B7279" w:rsidRDefault="00265563" w:rsidP="00282DAA">
            <w:pPr>
              <w:spacing w:line="276" w:lineRule="auto"/>
              <w:jc w:val="right"/>
              <w:rPr>
                <w:rFonts w:eastAsia="Times New Roman"/>
                <w:color w:val="000000"/>
                <w:sz w:val="20"/>
                <w:szCs w:val="24"/>
                <w:lang w:val="es-CO"/>
              </w:rPr>
            </w:pPr>
            <w:r w:rsidRPr="004B7279">
              <w:rPr>
                <w:rFonts w:eastAsia="Times New Roman"/>
                <w:color w:val="000000"/>
                <w:sz w:val="20"/>
                <w:szCs w:val="24"/>
                <w:lang w:val="es-CO"/>
              </w:rPr>
              <w:t>17/07/2019</w:t>
            </w:r>
          </w:p>
        </w:tc>
        <w:tc>
          <w:tcPr>
            <w:tcW w:w="1380" w:type="dxa"/>
            <w:tcBorders>
              <w:top w:val="nil"/>
              <w:left w:val="nil"/>
              <w:bottom w:val="single" w:sz="4" w:space="0" w:color="auto"/>
              <w:right w:val="single" w:sz="4" w:space="0" w:color="auto"/>
            </w:tcBorders>
            <w:shd w:val="clear" w:color="auto" w:fill="auto"/>
            <w:noWrap/>
            <w:vAlign w:val="bottom"/>
            <w:hideMark/>
          </w:tcPr>
          <w:p w14:paraId="5C83CBFC" w14:textId="77777777" w:rsidR="00265563" w:rsidRPr="004B7279" w:rsidRDefault="00265563" w:rsidP="00282DAA">
            <w:pPr>
              <w:spacing w:line="276" w:lineRule="auto"/>
              <w:jc w:val="right"/>
              <w:rPr>
                <w:rFonts w:eastAsia="Times New Roman"/>
                <w:color w:val="000000"/>
                <w:sz w:val="20"/>
                <w:szCs w:val="24"/>
                <w:lang w:val="es-CO"/>
              </w:rPr>
            </w:pPr>
            <w:r w:rsidRPr="004B7279">
              <w:rPr>
                <w:rFonts w:eastAsia="Times New Roman"/>
                <w:color w:val="000000"/>
                <w:sz w:val="20"/>
                <w:szCs w:val="24"/>
                <w:lang w:val="es-CO"/>
              </w:rPr>
              <w:t>$ 1.400.000</w:t>
            </w:r>
          </w:p>
        </w:tc>
        <w:tc>
          <w:tcPr>
            <w:tcW w:w="1576" w:type="dxa"/>
            <w:tcBorders>
              <w:top w:val="nil"/>
              <w:left w:val="nil"/>
              <w:bottom w:val="single" w:sz="4" w:space="0" w:color="auto"/>
              <w:right w:val="single" w:sz="4" w:space="0" w:color="auto"/>
            </w:tcBorders>
            <w:shd w:val="clear" w:color="auto" w:fill="auto"/>
            <w:noWrap/>
            <w:vAlign w:val="bottom"/>
            <w:hideMark/>
          </w:tcPr>
          <w:p w14:paraId="47355DBC" w14:textId="77777777" w:rsidR="00265563" w:rsidRPr="004B7279" w:rsidRDefault="00265563" w:rsidP="00282DAA">
            <w:pPr>
              <w:spacing w:line="276" w:lineRule="auto"/>
              <w:jc w:val="center"/>
              <w:rPr>
                <w:rFonts w:eastAsia="Times New Roman"/>
                <w:color w:val="000000"/>
                <w:sz w:val="20"/>
                <w:szCs w:val="24"/>
                <w:lang w:val="es-CO"/>
              </w:rPr>
            </w:pPr>
            <w:r w:rsidRPr="004B7279">
              <w:rPr>
                <w:rFonts w:eastAsia="Times New Roman"/>
                <w:color w:val="000000"/>
                <w:sz w:val="20"/>
                <w:szCs w:val="24"/>
                <w:lang w:val="es-CO"/>
              </w:rPr>
              <w:t>20</w:t>
            </w:r>
          </w:p>
        </w:tc>
        <w:tc>
          <w:tcPr>
            <w:tcW w:w="1384" w:type="dxa"/>
            <w:tcBorders>
              <w:top w:val="nil"/>
              <w:left w:val="nil"/>
              <w:bottom w:val="single" w:sz="4" w:space="0" w:color="auto"/>
              <w:right w:val="single" w:sz="4" w:space="0" w:color="auto"/>
            </w:tcBorders>
            <w:shd w:val="clear" w:color="auto" w:fill="auto"/>
            <w:noWrap/>
            <w:vAlign w:val="bottom"/>
            <w:hideMark/>
          </w:tcPr>
          <w:p w14:paraId="6559D14F" w14:textId="77777777" w:rsidR="00265563" w:rsidRPr="004B7279" w:rsidRDefault="00265563" w:rsidP="00282DAA">
            <w:pPr>
              <w:spacing w:line="276" w:lineRule="auto"/>
              <w:jc w:val="right"/>
              <w:rPr>
                <w:rFonts w:eastAsia="Times New Roman"/>
                <w:color w:val="000000"/>
                <w:sz w:val="20"/>
                <w:szCs w:val="24"/>
                <w:lang w:val="es-CO"/>
              </w:rPr>
            </w:pPr>
            <w:r w:rsidRPr="004B7279">
              <w:rPr>
                <w:rFonts w:eastAsia="Times New Roman"/>
                <w:color w:val="000000"/>
                <w:sz w:val="20"/>
                <w:szCs w:val="24"/>
                <w:lang w:val="es-CO"/>
              </w:rPr>
              <w:t>$ 933.333</w:t>
            </w:r>
          </w:p>
        </w:tc>
      </w:tr>
      <w:tr w:rsidR="00265563" w:rsidRPr="004B7279" w14:paraId="11CCDF41" w14:textId="77777777" w:rsidTr="004B7279">
        <w:trPr>
          <w:trHeight w:val="300"/>
          <w:jc w:val="center"/>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14:paraId="6F5C052E" w14:textId="77777777" w:rsidR="00265563" w:rsidRPr="004B7279" w:rsidRDefault="00265563" w:rsidP="00282DAA">
            <w:pPr>
              <w:spacing w:line="276" w:lineRule="auto"/>
              <w:jc w:val="right"/>
              <w:rPr>
                <w:rFonts w:eastAsia="Times New Roman"/>
                <w:color w:val="000000"/>
                <w:sz w:val="20"/>
                <w:szCs w:val="24"/>
                <w:lang w:val="es-CO"/>
              </w:rPr>
            </w:pPr>
            <w:r w:rsidRPr="004B7279">
              <w:rPr>
                <w:rFonts w:eastAsia="Times New Roman"/>
                <w:color w:val="000000"/>
                <w:sz w:val="20"/>
                <w:szCs w:val="24"/>
                <w:lang w:val="es-CO"/>
              </w:rPr>
              <w:t>18/07/2019</w:t>
            </w:r>
          </w:p>
        </w:tc>
        <w:tc>
          <w:tcPr>
            <w:tcW w:w="1202" w:type="dxa"/>
            <w:tcBorders>
              <w:top w:val="nil"/>
              <w:left w:val="nil"/>
              <w:bottom w:val="single" w:sz="4" w:space="0" w:color="auto"/>
              <w:right w:val="single" w:sz="4" w:space="0" w:color="auto"/>
            </w:tcBorders>
            <w:shd w:val="clear" w:color="auto" w:fill="auto"/>
            <w:noWrap/>
            <w:vAlign w:val="bottom"/>
            <w:hideMark/>
          </w:tcPr>
          <w:p w14:paraId="383FB52A" w14:textId="77777777" w:rsidR="00265563" w:rsidRPr="004B7279" w:rsidRDefault="00265563" w:rsidP="00282DAA">
            <w:pPr>
              <w:spacing w:line="276" w:lineRule="auto"/>
              <w:jc w:val="right"/>
              <w:rPr>
                <w:rFonts w:eastAsia="Times New Roman"/>
                <w:color w:val="000000"/>
                <w:sz w:val="20"/>
                <w:szCs w:val="24"/>
                <w:lang w:val="es-CO"/>
              </w:rPr>
            </w:pPr>
            <w:r w:rsidRPr="004B7279">
              <w:rPr>
                <w:rFonts w:eastAsia="Times New Roman"/>
                <w:color w:val="000000"/>
                <w:sz w:val="20"/>
                <w:szCs w:val="24"/>
                <w:lang w:val="es-CO"/>
              </w:rPr>
              <w:t>29/07/2019</w:t>
            </w:r>
          </w:p>
        </w:tc>
        <w:tc>
          <w:tcPr>
            <w:tcW w:w="1380" w:type="dxa"/>
            <w:tcBorders>
              <w:top w:val="nil"/>
              <w:left w:val="nil"/>
              <w:bottom w:val="single" w:sz="4" w:space="0" w:color="auto"/>
              <w:right w:val="single" w:sz="4" w:space="0" w:color="auto"/>
            </w:tcBorders>
            <w:shd w:val="clear" w:color="auto" w:fill="auto"/>
            <w:noWrap/>
            <w:vAlign w:val="bottom"/>
            <w:hideMark/>
          </w:tcPr>
          <w:p w14:paraId="7F15E50B" w14:textId="77777777" w:rsidR="00265563" w:rsidRPr="004B7279" w:rsidRDefault="00265563" w:rsidP="00282DAA">
            <w:pPr>
              <w:spacing w:line="276" w:lineRule="auto"/>
              <w:jc w:val="right"/>
              <w:rPr>
                <w:rFonts w:eastAsia="Times New Roman"/>
                <w:color w:val="000000"/>
                <w:sz w:val="20"/>
                <w:szCs w:val="24"/>
                <w:lang w:val="es-CO"/>
              </w:rPr>
            </w:pPr>
            <w:r w:rsidRPr="004B7279">
              <w:rPr>
                <w:rFonts w:eastAsia="Times New Roman"/>
                <w:color w:val="000000"/>
                <w:sz w:val="20"/>
                <w:szCs w:val="24"/>
                <w:lang w:val="es-CO"/>
              </w:rPr>
              <w:t>$ 1.400.000</w:t>
            </w:r>
          </w:p>
        </w:tc>
        <w:tc>
          <w:tcPr>
            <w:tcW w:w="1576" w:type="dxa"/>
            <w:tcBorders>
              <w:top w:val="nil"/>
              <w:left w:val="nil"/>
              <w:bottom w:val="single" w:sz="4" w:space="0" w:color="auto"/>
              <w:right w:val="single" w:sz="4" w:space="0" w:color="auto"/>
            </w:tcBorders>
            <w:shd w:val="clear" w:color="auto" w:fill="auto"/>
            <w:noWrap/>
            <w:vAlign w:val="bottom"/>
            <w:hideMark/>
          </w:tcPr>
          <w:p w14:paraId="0600E091" w14:textId="77777777" w:rsidR="00265563" w:rsidRPr="004B7279" w:rsidRDefault="00265563" w:rsidP="00282DAA">
            <w:pPr>
              <w:spacing w:line="276" w:lineRule="auto"/>
              <w:jc w:val="center"/>
              <w:rPr>
                <w:rFonts w:eastAsia="Times New Roman"/>
                <w:color w:val="000000"/>
                <w:sz w:val="20"/>
                <w:szCs w:val="24"/>
                <w:lang w:val="es-CO"/>
              </w:rPr>
            </w:pPr>
            <w:r w:rsidRPr="004B7279">
              <w:rPr>
                <w:rFonts w:eastAsia="Times New Roman"/>
                <w:color w:val="000000"/>
                <w:sz w:val="20"/>
                <w:szCs w:val="24"/>
                <w:lang w:val="es-CO"/>
              </w:rPr>
              <w:t>1</w:t>
            </w:r>
          </w:p>
        </w:tc>
        <w:tc>
          <w:tcPr>
            <w:tcW w:w="1384" w:type="dxa"/>
            <w:tcBorders>
              <w:top w:val="nil"/>
              <w:left w:val="nil"/>
              <w:bottom w:val="single" w:sz="4" w:space="0" w:color="auto"/>
              <w:right w:val="single" w:sz="4" w:space="0" w:color="auto"/>
            </w:tcBorders>
            <w:shd w:val="clear" w:color="auto" w:fill="auto"/>
            <w:noWrap/>
            <w:vAlign w:val="bottom"/>
            <w:hideMark/>
          </w:tcPr>
          <w:p w14:paraId="6AB3E108" w14:textId="77777777" w:rsidR="00265563" w:rsidRPr="004B7279" w:rsidRDefault="00265563" w:rsidP="00282DAA">
            <w:pPr>
              <w:spacing w:line="276" w:lineRule="auto"/>
              <w:jc w:val="right"/>
              <w:rPr>
                <w:rFonts w:eastAsia="Times New Roman"/>
                <w:color w:val="000000"/>
                <w:sz w:val="20"/>
                <w:szCs w:val="24"/>
                <w:lang w:val="es-CO"/>
              </w:rPr>
            </w:pPr>
            <w:r w:rsidRPr="004B7279">
              <w:rPr>
                <w:rFonts w:eastAsia="Times New Roman"/>
                <w:color w:val="000000"/>
                <w:sz w:val="20"/>
                <w:szCs w:val="24"/>
                <w:lang w:val="es-CO"/>
              </w:rPr>
              <w:t>$ 46.667</w:t>
            </w:r>
          </w:p>
        </w:tc>
      </w:tr>
      <w:tr w:rsidR="00265563" w:rsidRPr="004B7279" w14:paraId="1BC54E87" w14:textId="77777777" w:rsidTr="004B7279">
        <w:trPr>
          <w:trHeight w:val="300"/>
          <w:jc w:val="center"/>
        </w:trPr>
        <w:tc>
          <w:tcPr>
            <w:tcW w:w="53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D70F0" w14:textId="77777777" w:rsidR="00265563" w:rsidRPr="004B7279" w:rsidRDefault="00265563" w:rsidP="00282DAA">
            <w:pPr>
              <w:spacing w:line="276" w:lineRule="auto"/>
              <w:jc w:val="center"/>
              <w:rPr>
                <w:rFonts w:eastAsia="Times New Roman"/>
                <w:b/>
                <w:bCs/>
                <w:color w:val="000000"/>
                <w:sz w:val="20"/>
                <w:szCs w:val="24"/>
                <w:lang w:val="es-CO"/>
              </w:rPr>
            </w:pPr>
            <w:bookmarkStart w:id="9" w:name="_Hlk136342624"/>
            <w:r w:rsidRPr="004B7279">
              <w:rPr>
                <w:rFonts w:eastAsia="Times New Roman"/>
                <w:b/>
                <w:bCs/>
                <w:color w:val="000000"/>
                <w:sz w:val="20"/>
                <w:szCs w:val="24"/>
                <w:lang w:val="es-CO"/>
              </w:rPr>
              <w:t>TOTAL</w:t>
            </w:r>
          </w:p>
        </w:tc>
        <w:tc>
          <w:tcPr>
            <w:tcW w:w="1384" w:type="dxa"/>
            <w:tcBorders>
              <w:top w:val="nil"/>
              <w:left w:val="nil"/>
              <w:bottom w:val="single" w:sz="4" w:space="0" w:color="auto"/>
              <w:right w:val="single" w:sz="4" w:space="0" w:color="auto"/>
            </w:tcBorders>
            <w:shd w:val="clear" w:color="auto" w:fill="auto"/>
            <w:noWrap/>
            <w:vAlign w:val="bottom"/>
            <w:hideMark/>
          </w:tcPr>
          <w:p w14:paraId="6202AD75" w14:textId="77777777" w:rsidR="00265563" w:rsidRPr="004B7279" w:rsidRDefault="00265563" w:rsidP="00282DAA">
            <w:pPr>
              <w:spacing w:line="276" w:lineRule="auto"/>
              <w:jc w:val="right"/>
              <w:rPr>
                <w:rFonts w:eastAsia="Times New Roman"/>
                <w:b/>
                <w:bCs/>
                <w:color w:val="000000"/>
                <w:sz w:val="20"/>
                <w:szCs w:val="24"/>
                <w:lang w:val="es-CO"/>
              </w:rPr>
            </w:pPr>
            <w:r w:rsidRPr="004B7279">
              <w:rPr>
                <w:rFonts w:eastAsia="Times New Roman"/>
                <w:b/>
                <w:bCs/>
                <w:color w:val="000000"/>
                <w:sz w:val="20"/>
                <w:szCs w:val="24"/>
                <w:lang w:val="es-CO"/>
              </w:rPr>
              <w:t>$ 3.313.333</w:t>
            </w:r>
          </w:p>
        </w:tc>
      </w:tr>
      <w:bookmarkEnd w:id="9"/>
    </w:tbl>
    <w:p w14:paraId="0EB94871" w14:textId="77777777" w:rsidR="00265563" w:rsidRPr="00282DAA" w:rsidRDefault="00265563" w:rsidP="00282DAA">
      <w:pPr>
        <w:spacing w:line="276" w:lineRule="auto"/>
        <w:rPr>
          <w:szCs w:val="24"/>
        </w:rPr>
      </w:pPr>
    </w:p>
    <w:p w14:paraId="1B1C85CC" w14:textId="3D5BC902" w:rsidR="00210293" w:rsidRPr="00282DAA" w:rsidRDefault="00FF56F3" w:rsidP="00282DAA">
      <w:pPr>
        <w:spacing w:line="276" w:lineRule="auto"/>
        <w:rPr>
          <w:szCs w:val="24"/>
        </w:rPr>
      </w:pPr>
      <w:r w:rsidRPr="00282DAA">
        <w:rPr>
          <w:szCs w:val="24"/>
        </w:rPr>
        <w:lastRenderedPageBreak/>
        <w:tab/>
      </w:r>
      <w:r w:rsidR="002468CE" w:rsidRPr="00282DAA">
        <w:rPr>
          <w:szCs w:val="24"/>
        </w:rPr>
        <w:t>Ahora, pese a que la presunción de discriminación se mantuvo indemne, debido a que el demandado por medio de la Resolución No. 00488 del 10 de noviembre de 2020 obtuvo permiso para despedir al demandante</w:t>
      </w:r>
      <w:r w:rsidR="00D61519" w:rsidRPr="00282DAA">
        <w:rPr>
          <w:szCs w:val="24"/>
        </w:rPr>
        <w:t xml:space="preserve">, no hay lugar a la </w:t>
      </w:r>
      <w:r w:rsidR="003348C3" w:rsidRPr="00282DAA">
        <w:rPr>
          <w:szCs w:val="24"/>
        </w:rPr>
        <w:t>indemnización contenida en el artículo 26 de la ley 361 de 1997 equivalente a 180 días de salario, pues la misma disposición establece que la misma solo es procedente cuando el despido se genera sin autorización del Ministerio del Trabajo</w:t>
      </w:r>
      <w:r w:rsidR="00D61519" w:rsidRPr="00282DAA">
        <w:rPr>
          <w:szCs w:val="24"/>
        </w:rPr>
        <w:t>.</w:t>
      </w:r>
    </w:p>
    <w:p w14:paraId="1D594F81" w14:textId="3B25500D" w:rsidR="00D15206" w:rsidRPr="00282DAA" w:rsidRDefault="0007293F" w:rsidP="00282DAA">
      <w:pPr>
        <w:spacing w:line="276" w:lineRule="auto"/>
        <w:rPr>
          <w:szCs w:val="24"/>
        </w:rPr>
      </w:pPr>
      <w:r w:rsidRPr="00282DAA">
        <w:rPr>
          <w:szCs w:val="24"/>
        </w:rPr>
        <w:t xml:space="preserve"> </w:t>
      </w:r>
    </w:p>
    <w:p w14:paraId="73E3E8A2" w14:textId="0FA543E3" w:rsidR="00784EDD" w:rsidRPr="00282DAA" w:rsidRDefault="0007293F" w:rsidP="00282DAA">
      <w:pPr>
        <w:spacing w:line="276" w:lineRule="auto"/>
        <w:rPr>
          <w:szCs w:val="24"/>
        </w:rPr>
      </w:pPr>
      <w:r w:rsidRPr="00282DAA">
        <w:rPr>
          <w:szCs w:val="24"/>
        </w:rPr>
        <w:tab/>
        <w:t xml:space="preserve">Por lo anterior, </w:t>
      </w:r>
      <w:r w:rsidR="00B1441C" w:rsidRPr="00282DAA">
        <w:rPr>
          <w:szCs w:val="24"/>
        </w:rPr>
        <w:t>s</w:t>
      </w:r>
      <w:r w:rsidR="007B768C" w:rsidRPr="00282DAA">
        <w:rPr>
          <w:szCs w:val="24"/>
        </w:rPr>
        <w:t xml:space="preserve">e adicionará </w:t>
      </w:r>
      <w:r w:rsidR="006E1056" w:rsidRPr="00282DAA">
        <w:rPr>
          <w:szCs w:val="24"/>
        </w:rPr>
        <w:t xml:space="preserve">la sentencia recurrida </w:t>
      </w:r>
      <w:r w:rsidR="007B768C" w:rsidRPr="00282DAA">
        <w:rPr>
          <w:szCs w:val="24"/>
        </w:rPr>
        <w:t xml:space="preserve">para condenar a la demanda al pago de </w:t>
      </w:r>
      <w:r w:rsidR="00D61519" w:rsidRPr="00282DAA">
        <w:rPr>
          <w:szCs w:val="24"/>
        </w:rPr>
        <w:t>$3.313.</w:t>
      </w:r>
      <w:r w:rsidR="00E667EF" w:rsidRPr="00282DAA">
        <w:rPr>
          <w:szCs w:val="24"/>
        </w:rPr>
        <w:t>333, por</w:t>
      </w:r>
      <w:r w:rsidR="007B768C" w:rsidRPr="00282DAA">
        <w:rPr>
          <w:szCs w:val="24"/>
        </w:rPr>
        <w:t xml:space="preserve"> concepto de indemnización </w:t>
      </w:r>
      <w:r w:rsidR="003215AA" w:rsidRPr="00282DAA">
        <w:rPr>
          <w:szCs w:val="24"/>
        </w:rPr>
        <w:t>contenida en el artículo 64 del Código Sustantivo del Trabajo.</w:t>
      </w:r>
    </w:p>
    <w:p w14:paraId="6FCAAD1A" w14:textId="41EC9534" w:rsidR="007F22A5" w:rsidRPr="00282DAA" w:rsidRDefault="007F22A5" w:rsidP="00282DAA">
      <w:pPr>
        <w:spacing w:line="276" w:lineRule="auto"/>
        <w:rPr>
          <w:szCs w:val="24"/>
        </w:rPr>
      </w:pPr>
    </w:p>
    <w:p w14:paraId="7810638B" w14:textId="4F3E4A42" w:rsidR="00B1441C" w:rsidRPr="00282DAA" w:rsidRDefault="00B1441C" w:rsidP="00282DAA">
      <w:pPr>
        <w:spacing w:line="276" w:lineRule="auto"/>
        <w:ind w:firstLine="709"/>
        <w:rPr>
          <w:szCs w:val="24"/>
        </w:rPr>
      </w:pPr>
      <w:r w:rsidRPr="00282DAA">
        <w:rPr>
          <w:szCs w:val="24"/>
        </w:rPr>
        <w:t>Sin costas en segunda instancia ante la prosperidad parcial del recurso de apelación</w:t>
      </w:r>
      <w:r w:rsidR="598FC5F6" w:rsidRPr="00282DAA">
        <w:rPr>
          <w:szCs w:val="24"/>
        </w:rPr>
        <w:t>.</w:t>
      </w:r>
    </w:p>
    <w:p w14:paraId="0FD7C194" w14:textId="77777777" w:rsidR="00A80E6B" w:rsidRPr="00282DAA" w:rsidRDefault="00A80E6B" w:rsidP="00282DAA">
      <w:pPr>
        <w:widowControl w:val="0"/>
        <w:tabs>
          <w:tab w:val="left" w:pos="284"/>
        </w:tabs>
        <w:autoSpaceDE w:val="0"/>
        <w:autoSpaceDN w:val="0"/>
        <w:adjustRightInd w:val="0"/>
        <w:spacing w:line="276" w:lineRule="auto"/>
        <w:rPr>
          <w:b/>
          <w:szCs w:val="24"/>
        </w:rPr>
      </w:pPr>
    </w:p>
    <w:p w14:paraId="1EC68BF8" w14:textId="53BD8DBD" w:rsidR="00ED578B" w:rsidRPr="00282DAA" w:rsidRDefault="00ED578B" w:rsidP="00282DAA">
      <w:pPr>
        <w:pStyle w:val="Prrafodelista2"/>
        <w:spacing w:after="0"/>
        <w:ind w:left="0" w:firstLine="709"/>
        <w:jc w:val="both"/>
        <w:rPr>
          <w:rFonts w:ascii="Tahoma" w:hAnsi="Tahoma" w:cs="Tahoma"/>
          <w:color w:val="000000" w:themeColor="text1"/>
          <w:sz w:val="24"/>
          <w:szCs w:val="24"/>
          <w:lang w:val="es-ES_tradnl"/>
        </w:rPr>
      </w:pPr>
      <w:r w:rsidRPr="00282DAA">
        <w:rPr>
          <w:rFonts w:ascii="Tahoma" w:hAnsi="Tahoma" w:cs="Tahoma"/>
          <w:color w:val="000000" w:themeColor="text1"/>
          <w:sz w:val="24"/>
          <w:szCs w:val="24"/>
          <w:lang w:val="es-ES_tradnl"/>
        </w:rPr>
        <w:t xml:space="preserve">En mérito de lo expuesto, el </w:t>
      </w:r>
      <w:r w:rsidRPr="00282DAA">
        <w:rPr>
          <w:rFonts w:ascii="Tahoma" w:hAnsi="Tahoma" w:cs="Tahoma"/>
          <w:b/>
          <w:color w:val="000000" w:themeColor="text1"/>
          <w:sz w:val="24"/>
          <w:szCs w:val="24"/>
          <w:lang w:val="es-ES_tradnl"/>
        </w:rPr>
        <w:t xml:space="preserve">Tribunal Superior del Distrito Judicial de Pereira </w:t>
      </w:r>
      <w:r w:rsidR="001C7DA2">
        <w:rPr>
          <w:rFonts w:ascii="Tahoma" w:hAnsi="Tahoma" w:cs="Tahoma"/>
          <w:b/>
          <w:color w:val="000000" w:themeColor="text1"/>
          <w:sz w:val="24"/>
          <w:szCs w:val="24"/>
          <w:lang w:val="es-ES_tradnl"/>
        </w:rPr>
        <w:t>–</w:t>
      </w:r>
      <w:r w:rsidRPr="00282DAA">
        <w:rPr>
          <w:rFonts w:ascii="Tahoma" w:hAnsi="Tahoma" w:cs="Tahoma"/>
          <w:b/>
          <w:color w:val="000000" w:themeColor="text1"/>
          <w:sz w:val="24"/>
          <w:szCs w:val="24"/>
          <w:lang w:val="es-ES_tradnl"/>
        </w:rPr>
        <w:t xml:space="preserve"> Risa</w:t>
      </w:r>
      <w:r w:rsidR="001C7DA2">
        <w:rPr>
          <w:rFonts w:ascii="Tahoma" w:hAnsi="Tahoma" w:cs="Tahoma"/>
          <w:b/>
          <w:color w:val="000000" w:themeColor="text1"/>
          <w:sz w:val="24"/>
          <w:szCs w:val="24"/>
          <w:lang w:val="es-ES_tradnl"/>
        </w:rPr>
        <w:t>r</w:t>
      </w:r>
      <w:r w:rsidRPr="00282DAA">
        <w:rPr>
          <w:rFonts w:ascii="Tahoma" w:hAnsi="Tahoma" w:cs="Tahoma"/>
          <w:b/>
          <w:color w:val="000000" w:themeColor="text1"/>
          <w:sz w:val="24"/>
          <w:szCs w:val="24"/>
          <w:lang w:val="es-ES_tradnl"/>
        </w:rPr>
        <w:t>alda, Sala Primera de Decisión Laboral,</w:t>
      </w:r>
      <w:r w:rsidRPr="00282DAA">
        <w:rPr>
          <w:rFonts w:ascii="Tahoma" w:hAnsi="Tahoma" w:cs="Tahoma"/>
          <w:color w:val="000000" w:themeColor="text1"/>
          <w:sz w:val="24"/>
          <w:szCs w:val="24"/>
          <w:lang w:val="es-ES_tradnl"/>
        </w:rPr>
        <w:t xml:space="preserve"> administrando justicia en nombre de la República y por autoridad de la ley,</w:t>
      </w:r>
    </w:p>
    <w:p w14:paraId="41F45EAB" w14:textId="77777777" w:rsidR="00ED578B" w:rsidRPr="00282DAA" w:rsidRDefault="00ED578B" w:rsidP="00282DAA">
      <w:pPr>
        <w:pStyle w:val="Prrafodelista2"/>
        <w:spacing w:after="0"/>
        <w:ind w:left="0"/>
        <w:jc w:val="both"/>
        <w:rPr>
          <w:rFonts w:ascii="Tahoma" w:hAnsi="Tahoma" w:cs="Tahoma"/>
          <w:color w:val="000000" w:themeColor="text1"/>
          <w:sz w:val="24"/>
          <w:szCs w:val="24"/>
          <w:lang w:val="es-ES_tradnl"/>
        </w:rPr>
      </w:pPr>
    </w:p>
    <w:p w14:paraId="56E09B17" w14:textId="77777777" w:rsidR="00ED578B" w:rsidRPr="00282DAA" w:rsidRDefault="00ED578B" w:rsidP="00282DAA">
      <w:pPr>
        <w:pStyle w:val="Prrafodelista"/>
        <w:spacing w:line="276" w:lineRule="auto"/>
        <w:ind w:left="0"/>
        <w:jc w:val="center"/>
        <w:rPr>
          <w:b/>
          <w:color w:val="000000" w:themeColor="text1"/>
          <w:szCs w:val="24"/>
        </w:rPr>
      </w:pPr>
      <w:r w:rsidRPr="00282DAA">
        <w:rPr>
          <w:b/>
          <w:color w:val="000000" w:themeColor="text1"/>
          <w:szCs w:val="24"/>
        </w:rPr>
        <w:t>RESUELVE</w:t>
      </w:r>
    </w:p>
    <w:p w14:paraId="01AA9A73" w14:textId="77777777" w:rsidR="00ED578B" w:rsidRPr="00282DAA" w:rsidRDefault="00ED578B" w:rsidP="00282DAA">
      <w:pPr>
        <w:pStyle w:val="Prrafodelista"/>
        <w:spacing w:line="276" w:lineRule="auto"/>
        <w:ind w:left="0"/>
        <w:rPr>
          <w:b/>
          <w:color w:val="000000" w:themeColor="text1"/>
          <w:szCs w:val="24"/>
        </w:rPr>
      </w:pPr>
    </w:p>
    <w:p w14:paraId="7A6DD2FC" w14:textId="5F360CF2" w:rsidR="00D61519" w:rsidRPr="00282DAA" w:rsidRDefault="00ED578B" w:rsidP="00282DAA">
      <w:pPr>
        <w:spacing w:line="276" w:lineRule="auto"/>
        <w:ind w:firstLine="705"/>
        <w:rPr>
          <w:rFonts w:eastAsia="Times New Roman"/>
          <w:szCs w:val="24"/>
          <w:lang w:eastAsia="es-ES"/>
        </w:rPr>
      </w:pPr>
      <w:r w:rsidRPr="00282DAA">
        <w:rPr>
          <w:rFonts w:eastAsia="Times New Roman"/>
          <w:b/>
          <w:bCs/>
          <w:szCs w:val="24"/>
          <w:u w:val="single"/>
          <w:lang w:eastAsia="es-ES"/>
        </w:rPr>
        <w:t>PRIMERO</w:t>
      </w:r>
      <w:r w:rsidRPr="00282DAA">
        <w:rPr>
          <w:rFonts w:eastAsia="Times New Roman"/>
          <w:b/>
          <w:bCs/>
          <w:szCs w:val="24"/>
          <w:lang w:eastAsia="es-ES"/>
        </w:rPr>
        <w:t>:</w:t>
      </w:r>
      <w:r w:rsidRPr="00282DAA">
        <w:rPr>
          <w:rFonts w:eastAsia="Times New Roman"/>
          <w:b/>
          <w:bCs/>
          <w:i/>
          <w:iCs/>
          <w:szCs w:val="24"/>
          <w:lang w:eastAsia="es-ES"/>
        </w:rPr>
        <w:t> </w:t>
      </w:r>
      <w:r w:rsidR="00D61519" w:rsidRPr="00282DAA">
        <w:rPr>
          <w:rFonts w:eastAsia="Times New Roman"/>
          <w:b/>
          <w:bCs/>
          <w:szCs w:val="24"/>
          <w:lang w:eastAsia="es-ES"/>
        </w:rPr>
        <w:t xml:space="preserve">ADICIONAR </w:t>
      </w:r>
      <w:r w:rsidR="00116F8D" w:rsidRPr="00282DAA">
        <w:rPr>
          <w:rFonts w:eastAsia="Times New Roman"/>
          <w:szCs w:val="24"/>
          <w:lang w:eastAsia="es-ES"/>
        </w:rPr>
        <w:t xml:space="preserve">la sentencia proferida por el Juzgado Quinto Laboral del Circuito de Pereira el </w:t>
      </w:r>
      <w:r w:rsidR="00AE053E" w:rsidRPr="00282DAA">
        <w:rPr>
          <w:rFonts w:eastAsia="Times New Roman"/>
          <w:szCs w:val="24"/>
          <w:lang w:eastAsia="es-ES"/>
        </w:rPr>
        <w:t xml:space="preserve">3 de octubre de 2021 dentro del proceso ordinario laboral instaurado por </w:t>
      </w:r>
      <w:proofErr w:type="spellStart"/>
      <w:r w:rsidR="00AE053E" w:rsidRPr="00282DAA">
        <w:rPr>
          <w:rFonts w:eastAsia="Times New Roman"/>
          <w:szCs w:val="24"/>
          <w:lang w:eastAsia="es-ES"/>
        </w:rPr>
        <w:t>Edilson</w:t>
      </w:r>
      <w:proofErr w:type="spellEnd"/>
      <w:r w:rsidR="00AE053E" w:rsidRPr="00282DAA">
        <w:rPr>
          <w:rFonts w:eastAsia="Times New Roman"/>
          <w:szCs w:val="24"/>
          <w:lang w:eastAsia="es-ES"/>
        </w:rPr>
        <w:t xml:space="preserve"> Martínez Pérez en contra de Soluciones Técnicas Domiciliarias S.A.S, para </w:t>
      </w:r>
      <w:r w:rsidR="00AE053E" w:rsidRPr="00282DAA">
        <w:rPr>
          <w:rFonts w:eastAsia="Times New Roman"/>
          <w:b/>
          <w:bCs/>
          <w:szCs w:val="24"/>
          <w:lang w:eastAsia="es-ES"/>
        </w:rPr>
        <w:t>CONDENAR</w:t>
      </w:r>
      <w:r w:rsidR="00AE053E" w:rsidRPr="00282DAA">
        <w:rPr>
          <w:rFonts w:eastAsia="Times New Roman"/>
          <w:szCs w:val="24"/>
          <w:lang w:eastAsia="es-ES"/>
        </w:rPr>
        <w:t xml:space="preserve"> a </w:t>
      </w:r>
      <w:r w:rsidR="005E5841" w:rsidRPr="00282DAA">
        <w:rPr>
          <w:rFonts w:eastAsia="Times New Roman"/>
          <w:szCs w:val="24"/>
          <w:lang w:eastAsia="es-ES"/>
        </w:rPr>
        <w:t xml:space="preserve">Soluciones Técnicas Domiciliarias S.A.S a pagar a </w:t>
      </w:r>
      <w:proofErr w:type="spellStart"/>
      <w:r w:rsidR="005E5841" w:rsidRPr="00282DAA">
        <w:rPr>
          <w:rFonts w:eastAsia="Times New Roman"/>
          <w:szCs w:val="24"/>
          <w:lang w:eastAsia="es-ES"/>
        </w:rPr>
        <w:t>Edilson</w:t>
      </w:r>
      <w:proofErr w:type="spellEnd"/>
      <w:r w:rsidR="005E5841" w:rsidRPr="00282DAA">
        <w:rPr>
          <w:rFonts w:eastAsia="Times New Roman"/>
          <w:szCs w:val="24"/>
          <w:lang w:eastAsia="es-ES"/>
        </w:rPr>
        <w:t xml:space="preserve"> Martínez Pérez </w:t>
      </w:r>
      <w:r w:rsidR="00580904" w:rsidRPr="00282DAA">
        <w:rPr>
          <w:rFonts w:eastAsia="Times New Roman"/>
          <w:szCs w:val="24"/>
          <w:lang w:eastAsia="es-ES"/>
        </w:rPr>
        <w:t>la suma de $3.313.333, por concepto de indemnización por despido sin justa causa.</w:t>
      </w:r>
    </w:p>
    <w:p w14:paraId="72A0F842" w14:textId="77777777" w:rsidR="00580904" w:rsidRPr="00282DAA" w:rsidRDefault="00580904" w:rsidP="00282DAA">
      <w:pPr>
        <w:spacing w:line="276" w:lineRule="auto"/>
        <w:ind w:firstLine="705"/>
        <w:rPr>
          <w:rFonts w:eastAsia="Times New Roman"/>
          <w:szCs w:val="24"/>
          <w:lang w:eastAsia="es-ES"/>
        </w:rPr>
      </w:pPr>
    </w:p>
    <w:p w14:paraId="00000068" w14:textId="463E6F70" w:rsidR="00041DAE" w:rsidRPr="00282DAA" w:rsidRDefault="00580904" w:rsidP="00282DAA">
      <w:pPr>
        <w:spacing w:line="276" w:lineRule="auto"/>
        <w:ind w:firstLine="705"/>
        <w:rPr>
          <w:b/>
          <w:szCs w:val="24"/>
        </w:rPr>
      </w:pPr>
      <w:r w:rsidRPr="00282DAA">
        <w:rPr>
          <w:b/>
          <w:bCs/>
          <w:szCs w:val="24"/>
          <w:u w:val="single"/>
        </w:rPr>
        <w:t>SEGUNDO:</w:t>
      </w:r>
      <w:r w:rsidRPr="00282DAA">
        <w:rPr>
          <w:b/>
          <w:bCs/>
          <w:szCs w:val="24"/>
        </w:rPr>
        <w:t xml:space="preserve"> </w:t>
      </w:r>
      <w:r w:rsidR="008F2785" w:rsidRPr="00282DAA">
        <w:rPr>
          <w:rFonts w:eastAsia="Times New Roman"/>
          <w:b/>
          <w:bCs/>
          <w:szCs w:val="24"/>
          <w:lang w:eastAsia="es-ES"/>
        </w:rPr>
        <w:t xml:space="preserve">CONFIRMAR </w:t>
      </w:r>
      <w:r w:rsidRPr="00282DAA">
        <w:rPr>
          <w:rFonts w:eastAsia="Times New Roman"/>
          <w:szCs w:val="24"/>
          <w:lang w:eastAsia="es-ES"/>
        </w:rPr>
        <w:t>en todo lo demás la sentencia apelada.</w:t>
      </w:r>
    </w:p>
    <w:p w14:paraId="09AFEB3D" w14:textId="77777777" w:rsidR="00C82EB2" w:rsidRPr="00282DAA" w:rsidRDefault="00C82EB2" w:rsidP="00282DAA">
      <w:pPr>
        <w:spacing w:line="276" w:lineRule="auto"/>
        <w:ind w:firstLine="705"/>
        <w:rPr>
          <w:b/>
          <w:bCs/>
          <w:szCs w:val="24"/>
        </w:rPr>
      </w:pPr>
    </w:p>
    <w:p w14:paraId="6848E1FD" w14:textId="67165908" w:rsidR="00196AE8" w:rsidRPr="00282DAA" w:rsidRDefault="00580904" w:rsidP="00282DAA">
      <w:pPr>
        <w:spacing w:line="276" w:lineRule="auto"/>
        <w:ind w:firstLine="705"/>
        <w:rPr>
          <w:b/>
          <w:szCs w:val="24"/>
        </w:rPr>
      </w:pPr>
      <w:r w:rsidRPr="00282DAA">
        <w:rPr>
          <w:b/>
          <w:bCs/>
          <w:szCs w:val="24"/>
          <w:u w:val="single"/>
        </w:rPr>
        <w:t>TERCERO</w:t>
      </w:r>
      <w:r w:rsidR="00C82EB2" w:rsidRPr="00282DAA">
        <w:rPr>
          <w:b/>
          <w:bCs/>
          <w:szCs w:val="24"/>
          <w:u w:val="single"/>
        </w:rPr>
        <w:t>:</w:t>
      </w:r>
      <w:r w:rsidRPr="00282DAA">
        <w:rPr>
          <w:b/>
          <w:bCs/>
          <w:szCs w:val="24"/>
          <w:u w:val="single"/>
        </w:rPr>
        <w:t xml:space="preserve"> </w:t>
      </w:r>
      <w:r w:rsidR="00C617C7" w:rsidRPr="00282DAA">
        <w:rPr>
          <w:szCs w:val="24"/>
        </w:rPr>
        <w:t>Sin costas en esta instancia procesal.</w:t>
      </w:r>
      <w:r w:rsidR="00C82EB2" w:rsidRPr="00282DAA">
        <w:rPr>
          <w:b/>
          <w:bCs/>
          <w:szCs w:val="24"/>
        </w:rPr>
        <w:t xml:space="preserve"> </w:t>
      </w:r>
    </w:p>
    <w:p w14:paraId="6CDFC333" w14:textId="77777777" w:rsidR="00282DAA" w:rsidRPr="00282DAA" w:rsidRDefault="00282DAA" w:rsidP="00282DAA">
      <w:pPr>
        <w:spacing w:line="276" w:lineRule="auto"/>
        <w:rPr>
          <w:rFonts w:eastAsia="Calibri"/>
          <w:szCs w:val="24"/>
          <w:lang w:val="es-CO" w:eastAsia="en-US"/>
        </w:rPr>
      </w:pPr>
      <w:bookmarkStart w:id="10" w:name="_Hlk126574973"/>
    </w:p>
    <w:p w14:paraId="5F505A4F" w14:textId="77777777" w:rsidR="00282DAA" w:rsidRPr="00282DAA" w:rsidRDefault="00282DAA" w:rsidP="00282DAA">
      <w:pPr>
        <w:spacing w:line="276" w:lineRule="auto"/>
        <w:jc w:val="center"/>
        <w:rPr>
          <w:b/>
          <w:bCs/>
          <w:szCs w:val="24"/>
          <w:lang w:val="es-CO" w:eastAsia="en-US"/>
        </w:rPr>
      </w:pPr>
      <w:r w:rsidRPr="00282DAA">
        <w:rPr>
          <w:b/>
          <w:bCs/>
          <w:szCs w:val="24"/>
          <w:lang w:val="es-CO" w:eastAsia="en-US"/>
        </w:rPr>
        <w:t>NOTIFÍQUESE Y CÚMPLASE</w:t>
      </w:r>
    </w:p>
    <w:p w14:paraId="28A5805D" w14:textId="77777777" w:rsidR="00282DAA" w:rsidRPr="00282DAA" w:rsidRDefault="00282DAA" w:rsidP="00282DAA">
      <w:pPr>
        <w:spacing w:line="276" w:lineRule="auto"/>
        <w:rPr>
          <w:rFonts w:eastAsia="Calibri"/>
          <w:szCs w:val="24"/>
          <w:lang w:val="es-CO" w:eastAsia="en-US"/>
        </w:rPr>
      </w:pPr>
      <w:r w:rsidRPr="00282DAA">
        <w:rPr>
          <w:rFonts w:eastAsia="Calibri"/>
          <w:szCs w:val="24"/>
          <w:lang w:val="es-CO" w:eastAsia="en-US"/>
        </w:rPr>
        <w:t xml:space="preserve"> </w:t>
      </w:r>
    </w:p>
    <w:p w14:paraId="703A2655" w14:textId="77777777" w:rsidR="00282DAA" w:rsidRPr="00282DAA" w:rsidRDefault="00282DAA" w:rsidP="00282DAA">
      <w:pPr>
        <w:widowControl w:val="0"/>
        <w:autoSpaceDE w:val="0"/>
        <w:autoSpaceDN w:val="0"/>
        <w:adjustRightInd w:val="0"/>
        <w:spacing w:line="276" w:lineRule="auto"/>
        <w:rPr>
          <w:rFonts w:eastAsia="Times New Roman"/>
          <w:szCs w:val="24"/>
          <w:lang w:eastAsia="es-ES"/>
        </w:rPr>
      </w:pPr>
      <w:r w:rsidRPr="00282DAA">
        <w:rPr>
          <w:rFonts w:eastAsia="Times New Roman"/>
          <w:szCs w:val="24"/>
          <w:lang w:eastAsia="es-ES"/>
        </w:rPr>
        <w:tab/>
        <w:t>La Magistrada ponente,</w:t>
      </w:r>
    </w:p>
    <w:p w14:paraId="01DD6DB7" w14:textId="77777777" w:rsidR="00282DAA" w:rsidRPr="00282DAA" w:rsidRDefault="00282DAA" w:rsidP="00282DAA">
      <w:pPr>
        <w:spacing w:line="276" w:lineRule="auto"/>
        <w:jc w:val="left"/>
        <w:rPr>
          <w:rFonts w:eastAsia="Times New Roman"/>
          <w:szCs w:val="24"/>
          <w:lang w:eastAsia="es-ES"/>
        </w:rPr>
      </w:pPr>
    </w:p>
    <w:p w14:paraId="26C6A913" w14:textId="77777777" w:rsidR="00282DAA" w:rsidRPr="00282DAA" w:rsidRDefault="00282DAA" w:rsidP="00282DAA">
      <w:pPr>
        <w:spacing w:line="276" w:lineRule="auto"/>
        <w:jc w:val="left"/>
        <w:rPr>
          <w:rFonts w:eastAsia="Times New Roman"/>
          <w:szCs w:val="24"/>
          <w:lang w:eastAsia="es-ES"/>
        </w:rPr>
      </w:pPr>
    </w:p>
    <w:p w14:paraId="2E50FC19" w14:textId="77777777" w:rsidR="00282DAA" w:rsidRPr="00282DAA" w:rsidRDefault="00282DAA" w:rsidP="00282DAA">
      <w:pPr>
        <w:spacing w:line="276" w:lineRule="auto"/>
        <w:jc w:val="left"/>
        <w:rPr>
          <w:rFonts w:eastAsia="Times New Roman"/>
          <w:szCs w:val="24"/>
          <w:lang w:eastAsia="es-ES"/>
        </w:rPr>
      </w:pPr>
    </w:p>
    <w:p w14:paraId="73E40C6B" w14:textId="77777777" w:rsidR="00282DAA" w:rsidRPr="00282DAA" w:rsidRDefault="00282DAA" w:rsidP="00282DAA">
      <w:pPr>
        <w:keepNext/>
        <w:spacing w:line="276" w:lineRule="auto"/>
        <w:jc w:val="center"/>
        <w:outlineLvl w:val="2"/>
        <w:rPr>
          <w:rFonts w:eastAsia="Times New Roman"/>
          <w:b/>
          <w:bCs/>
          <w:szCs w:val="24"/>
          <w:lang w:eastAsia="es-ES"/>
        </w:rPr>
      </w:pPr>
      <w:r w:rsidRPr="00282DAA">
        <w:rPr>
          <w:rFonts w:eastAsia="Times New Roman"/>
          <w:b/>
          <w:bCs/>
          <w:szCs w:val="24"/>
          <w:lang w:eastAsia="es-ES"/>
        </w:rPr>
        <w:t>ANA LUCÍA CAICEDO CALDERÓN</w:t>
      </w:r>
    </w:p>
    <w:p w14:paraId="0EBD4DB3" w14:textId="77777777" w:rsidR="00282DAA" w:rsidRPr="00282DAA" w:rsidRDefault="00282DAA" w:rsidP="00282DAA">
      <w:pPr>
        <w:spacing w:line="276" w:lineRule="auto"/>
        <w:jc w:val="left"/>
        <w:rPr>
          <w:rFonts w:eastAsia="Times New Roman"/>
          <w:szCs w:val="24"/>
          <w:lang w:eastAsia="es-ES"/>
        </w:rPr>
      </w:pPr>
    </w:p>
    <w:p w14:paraId="0F5A8401" w14:textId="77777777" w:rsidR="00282DAA" w:rsidRPr="00282DAA" w:rsidRDefault="00282DAA" w:rsidP="00282DAA">
      <w:pPr>
        <w:spacing w:line="276" w:lineRule="auto"/>
        <w:ind w:firstLine="708"/>
        <w:jc w:val="left"/>
        <w:rPr>
          <w:rFonts w:eastAsia="Times New Roman"/>
          <w:szCs w:val="24"/>
          <w:lang w:eastAsia="es-ES"/>
        </w:rPr>
      </w:pPr>
      <w:bookmarkStart w:id="11" w:name="_Hlk62478330"/>
      <w:r w:rsidRPr="00282DAA">
        <w:rPr>
          <w:rFonts w:eastAsia="Times New Roman"/>
          <w:szCs w:val="24"/>
          <w:lang w:eastAsia="es-ES"/>
        </w:rPr>
        <w:t>La Magistrada y el Magistrado,</w:t>
      </w:r>
    </w:p>
    <w:p w14:paraId="1E86C1C7" w14:textId="77777777" w:rsidR="00282DAA" w:rsidRPr="00282DAA" w:rsidRDefault="00282DAA" w:rsidP="00282DAA">
      <w:pPr>
        <w:spacing w:line="276" w:lineRule="auto"/>
        <w:jc w:val="left"/>
        <w:rPr>
          <w:rFonts w:eastAsia="Times New Roman"/>
          <w:szCs w:val="24"/>
          <w:lang w:eastAsia="es-ES"/>
        </w:rPr>
      </w:pPr>
    </w:p>
    <w:p w14:paraId="32C4B79A" w14:textId="77777777" w:rsidR="00282DAA" w:rsidRPr="00282DAA" w:rsidRDefault="00282DAA" w:rsidP="00282DAA">
      <w:pPr>
        <w:spacing w:line="276" w:lineRule="auto"/>
        <w:jc w:val="left"/>
        <w:rPr>
          <w:rFonts w:eastAsia="Times New Roman"/>
          <w:szCs w:val="24"/>
          <w:lang w:eastAsia="es-ES"/>
        </w:rPr>
      </w:pPr>
    </w:p>
    <w:p w14:paraId="3FC44D49" w14:textId="77777777" w:rsidR="00282DAA" w:rsidRPr="00282DAA" w:rsidRDefault="00282DAA" w:rsidP="00282DAA">
      <w:pPr>
        <w:spacing w:line="276" w:lineRule="auto"/>
        <w:jc w:val="left"/>
        <w:rPr>
          <w:rFonts w:eastAsia="Times New Roman"/>
          <w:szCs w:val="24"/>
          <w:lang w:eastAsia="es-ES"/>
        </w:rPr>
      </w:pPr>
    </w:p>
    <w:p w14:paraId="68D5C827" w14:textId="77777777" w:rsidR="00282DAA" w:rsidRPr="00282DAA" w:rsidRDefault="00282DAA" w:rsidP="00282DAA">
      <w:pPr>
        <w:spacing w:line="276" w:lineRule="auto"/>
        <w:rPr>
          <w:rFonts w:eastAsia="Calibri"/>
          <w:szCs w:val="24"/>
          <w:lang w:eastAsia="en-US"/>
        </w:rPr>
      </w:pPr>
      <w:r w:rsidRPr="00282DAA">
        <w:rPr>
          <w:rFonts w:eastAsia="Times New Roman"/>
          <w:b/>
          <w:bCs/>
          <w:szCs w:val="24"/>
          <w:lang w:eastAsia="es-ES"/>
        </w:rPr>
        <w:t>OLGA LUCÍA HOYOS SEPÚLVEDA</w:t>
      </w:r>
      <w:r w:rsidRPr="00282DAA">
        <w:rPr>
          <w:rFonts w:eastAsia="Times New Roman"/>
          <w:b/>
          <w:bCs/>
          <w:szCs w:val="24"/>
          <w:lang w:eastAsia="es-ES"/>
        </w:rPr>
        <w:tab/>
      </w:r>
      <w:r w:rsidRPr="00282DAA">
        <w:rPr>
          <w:rFonts w:eastAsia="Times New Roman"/>
          <w:b/>
          <w:bCs/>
          <w:szCs w:val="24"/>
          <w:lang w:eastAsia="es-ES"/>
        </w:rPr>
        <w:tab/>
        <w:t>GERMÁN DARÍO GÓEZ VINASCO</w:t>
      </w:r>
      <w:bookmarkEnd w:id="10"/>
      <w:bookmarkEnd w:id="11"/>
    </w:p>
    <w:p w14:paraId="51DA9890" w14:textId="2042DA67" w:rsidR="00EF30F5" w:rsidRPr="00282DAA" w:rsidRDefault="00282DAA" w:rsidP="00282DAA">
      <w:pPr>
        <w:spacing w:line="276" w:lineRule="auto"/>
        <w:textAlignment w:val="baseline"/>
        <w:rPr>
          <w:szCs w:val="24"/>
        </w:rPr>
      </w:pPr>
      <w:r>
        <w:rPr>
          <w:szCs w:val="24"/>
        </w:rPr>
        <w:t>Con aclaración de voto</w:t>
      </w:r>
    </w:p>
    <w:sectPr w:rsidR="00EF30F5" w:rsidRPr="00282DAA" w:rsidSect="001C7DA2">
      <w:headerReference w:type="default" r:id="rId12"/>
      <w:pgSz w:w="12242" w:h="18722" w:code="258"/>
      <w:pgMar w:top="1814" w:right="1304" w:bottom="1247" w:left="187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6114E" w14:textId="77777777" w:rsidR="00151E9D" w:rsidRDefault="00151E9D">
      <w:pPr>
        <w:spacing w:line="240" w:lineRule="auto"/>
      </w:pPr>
      <w:r>
        <w:separator/>
      </w:r>
    </w:p>
  </w:endnote>
  <w:endnote w:type="continuationSeparator" w:id="0">
    <w:p w14:paraId="1FCB6F9B" w14:textId="77777777" w:rsidR="00151E9D" w:rsidRDefault="00151E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FCFAA" w14:textId="77777777" w:rsidR="00151E9D" w:rsidRDefault="00151E9D">
      <w:pPr>
        <w:spacing w:line="240" w:lineRule="auto"/>
      </w:pPr>
      <w:r>
        <w:separator/>
      </w:r>
    </w:p>
  </w:footnote>
  <w:footnote w:type="continuationSeparator" w:id="0">
    <w:p w14:paraId="6900CC7E" w14:textId="77777777" w:rsidR="00151E9D" w:rsidRDefault="00151E9D">
      <w:pPr>
        <w:spacing w:line="240" w:lineRule="auto"/>
      </w:pPr>
      <w:r>
        <w:continuationSeparator/>
      </w:r>
    </w:p>
  </w:footnote>
  <w:footnote w:id="1">
    <w:p w14:paraId="4F181A7D" w14:textId="10096E74" w:rsidR="005D7D6A" w:rsidRPr="00BC4556" w:rsidRDefault="005D7D6A" w:rsidP="00BC4556">
      <w:pPr>
        <w:pStyle w:val="Textonotapie"/>
        <w:rPr>
          <w:rFonts w:ascii="Arial" w:hAnsi="Arial" w:cs="Arial"/>
          <w:sz w:val="18"/>
          <w:szCs w:val="18"/>
        </w:rPr>
      </w:pPr>
      <w:r w:rsidRPr="00BC4556">
        <w:rPr>
          <w:rStyle w:val="Refdenotaalpie"/>
          <w:rFonts w:ascii="Arial" w:hAnsi="Arial" w:cs="Arial"/>
          <w:sz w:val="18"/>
          <w:szCs w:val="18"/>
        </w:rPr>
        <w:footnoteRef/>
      </w:r>
      <w:r w:rsidRPr="00BC4556">
        <w:rPr>
          <w:rFonts w:ascii="Arial" w:hAnsi="Arial" w:cs="Arial"/>
          <w:sz w:val="18"/>
          <w:szCs w:val="18"/>
        </w:rPr>
        <w:t xml:space="preserve"> Archivo 11 cuaderno de primera instancia.</w:t>
      </w:r>
    </w:p>
  </w:footnote>
  <w:footnote w:id="2">
    <w:p w14:paraId="70892592" w14:textId="77777777" w:rsidR="005D7D6A" w:rsidRPr="00BC4556" w:rsidRDefault="005D7D6A" w:rsidP="00BC4556">
      <w:pPr>
        <w:pStyle w:val="Textonotapie"/>
        <w:rPr>
          <w:rFonts w:ascii="Arial" w:hAnsi="Arial" w:cs="Arial"/>
          <w:sz w:val="18"/>
          <w:szCs w:val="18"/>
          <w:lang w:val="es-CO"/>
        </w:rPr>
      </w:pPr>
      <w:r w:rsidRPr="00BC4556">
        <w:rPr>
          <w:rStyle w:val="Refdenotaalpie"/>
          <w:rFonts w:ascii="Arial" w:hAnsi="Arial" w:cs="Arial"/>
          <w:sz w:val="18"/>
          <w:szCs w:val="18"/>
        </w:rPr>
        <w:footnoteRef/>
      </w:r>
      <w:r w:rsidRPr="00BC4556">
        <w:rPr>
          <w:rFonts w:ascii="Arial" w:hAnsi="Arial" w:cs="Arial"/>
          <w:sz w:val="18"/>
          <w:szCs w:val="18"/>
        </w:rPr>
        <w:t xml:space="preserve"> </w:t>
      </w:r>
      <w:r w:rsidRPr="00BC4556">
        <w:rPr>
          <w:rFonts w:ascii="Arial" w:hAnsi="Arial" w:cs="Arial"/>
          <w:sz w:val="18"/>
          <w:szCs w:val="18"/>
          <w:lang w:val="es-CO"/>
        </w:rPr>
        <w:t xml:space="preserve">Magistrado Ponente Dr. Gerardo Botero Zuluaga, </w:t>
      </w:r>
      <w:r w:rsidRPr="00BC4556">
        <w:rPr>
          <w:rFonts w:ascii="Arial" w:hAnsi="Arial" w:cs="Arial"/>
          <w:sz w:val="18"/>
          <w:szCs w:val="18"/>
        </w:rPr>
        <w:t>Radicación No. 64605.</w:t>
      </w:r>
    </w:p>
  </w:footnote>
  <w:footnote w:id="3">
    <w:p w14:paraId="587332EC" w14:textId="77777777" w:rsidR="005D7D6A" w:rsidRPr="00BC4556" w:rsidRDefault="005D7D6A" w:rsidP="00BC4556">
      <w:pPr>
        <w:pStyle w:val="Textonotapie"/>
        <w:rPr>
          <w:rFonts w:ascii="Arial" w:hAnsi="Arial" w:cs="Arial"/>
          <w:sz w:val="18"/>
          <w:szCs w:val="18"/>
          <w:lang w:val="es-CO"/>
        </w:rPr>
      </w:pPr>
      <w:r w:rsidRPr="00BC4556">
        <w:rPr>
          <w:rStyle w:val="Refdenotaalpie"/>
          <w:rFonts w:ascii="Arial" w:hAnsi="Arial" w:cs="Arial"/>
          <w:sz w:val="18"/>
          <w:szCs w:val="18"/>
        </w:rPr>
        <w:footnoteRef/>
      </w:r>
      <w:r w:rsidRPr="00BC4556">
        <w:rPr>
          <w:rFonts w:ascii="Arial" w:hAnsi="Arial" w:cs="Arial"/>
          <w:sz w:val="18"/>
          <w:szCs w:val="18"/>
        </w:rPr>
        <w:t xml:space="preserve"> </w:t>
      </w:r>
      <w:r w:rsidRPr="00BC4556">
        <w:rPr>
          <w:rFonts w:ascii="Arial" w:hAnsi="Arial" w:cs="Arial"/>
          <w:sz w:val="18"/>
          <w:szCs w:val="18"/>
          <w:lang w:val="es-CO"/>
        </w:rPr>
        <w:t xml:space="preserve">Dra. Clara Inés Dueñas Quevedo y Dr. Iván Mauricio Lenis Gómez </w:t>
      </w:r>
    </w:p>
  </w:footnote>
  <w:footnote w:id="4">
    <w:p w14:paraId="56755C54" w14:textId="77777777" w:rsidR="005D7D6A" w:rsidRPr="00BC4556" w:rsidRDefault="005D7D6A" w:rsidP="00BC4556">
      <w:pPr>
        <w:pStyle w:val="Textonotapie"/>
        <w:rPr>
          <w:rFonts w:ascii="Arial" w:hAnsi="Arial" w:cs="Arial"/>
          <w:sz w:val="18"/>
          <w:szCs w:val="18"/>
        </w:rPr>
      </w:pPr>
      <w:r w:rsidRPr="00BC4556">
        <w:rPr>
          <w:rStyle w:val="Refdenotaalpie"/>
          <w:rFonts w:ascii="Arial" w:hAnsi="Arial" w:cs="Arial"/>
          <w:sz w:val="18"/>
          <w:szCs w:val="18"/>
        </w:rPr>
        <w:footnoteRef/>
      </w:r>
      <w:r w:rsidRPr="00BC4556">
        <w:rPr>
          <w:rFonts w:ascii="Arial" w:hAnsi="Arial" w:cs="Arial"/>
          <w:sz w:val="18"/>
          <w:szCs w:val="18"/>
        </w:rPr>
        <w:t xml:space="preserve"> El artículo 61 del Decreto 1352 de 2013, 26 de junio, derogó el artículo 7 del Decreto 2463 de 2001.</w:t>
      </w:r>
    </w:p>
  </w:footnote>
  <w:footnote w:id="5">
    <w:p w14:paraId="55A7CF87" w14:textId="4DE4E578" w:rsidR="008218B3" w:rsidRPr="00BC4556" w:rsidRDefault="008218B3" w:rsidP="00BC4556">
      <w:pPr>
        <w:pStyle w:val="Textonotapie"/>
        <w:rPr>
          <w:rFonts w:ascii="Arial" w:hAnsi="Arial" w:cs="Arial"/>
          <w:sz w:val="18"/>
          <w:szCs w:val="18"/>
        </w:rPr>
      </w:pPr>
      <w:r w:rsidRPr="00BC4556">
        <w:rPr>
          <w:rStyle w:val="Refdenotaalpie"/>
          <w:rFonts w:ascii="Arial" w:hAnsi="Arial" w:cs="Arial"/>
          <w:sz w:val="18"/>
          <w:szCs w:val="18"/>
        </w:rPr>
        <w:footnoteRef/>
      </w:r>
      <w:r w:rsidRPr="00BC4556">
        <w:rPr>
          <w:rFonts w:ascii="Arial" w:hAnsi="Arial" w:cs="Arial"/>
          <w:sz w:val="18"/>
          <w:szCs w:val="18"/>
        </w:rPr>
        <w:t xml:space="preserve"> Archivo 04, páginas 316 cuaderno de primera instancia.</w:t>
      </w:r>
    </w:p>
  </w:footnote>
  <w:footnote w:id="6">
    <w:p w14:paraId="5AE861EC" w14:textId="438A1A65" w:rsidR="00AE4C2C" w:rsidRPr="00BC4556" w:rsidRDefault="00AE4C2C" w:rsidP="00BC4556">
      <w:pPr>
        <w:pStyle w:val="Textonotapie"/>
        <w:rPr>
          <w:rFonts w:ascii="Arial" w:hAnsi="Arial" w:cs="Arial"/>
          <w:sz w:val="18"/>
          <w:szCs w:val="18"/>
        </w:rPr>
      </w:pPr>
      <w:r w:rsidRPr="00BC4556">
        <w:rPr>
          <w:rStyle w:val="Refdenotaalpie"/>
          <w:rFonts w:ascii="Arial" w:hAnsi="Arial" w:cs="Arial"/>
          <w:sz w:val="18"/>
          <w:szCs w:val="18"/>
        </w:rPr>
        <w:footnoteRef/>
      </w:r>
      <w:r w:rsidRPr="00BC4556">
        <w:rPr>
          <w:rFonts w:ascii="Arial" w:hAnsi="Arial" w:cs="Arial"/>
          <w:sz w:val="18"/>
          <w:szCs w:val="18"/>
        </w:rPr>
        <w:t xml:space="preserve"> Archivo 04, página </w:t>
      </w:r>
      <w:r w:rsidR="008218B3" w:rsidRPr="00BC4556">
        <w:rPr>
          <w:rFonts w:ascii="Arial" w:hAnsi="Arial" w:cs="Arial"/>
          <w:sz w:val="18"/>
          <w:szCs w:val="18"/>
        </w:rPr>
        <w:t>346 a 356 cuaderno de primera instancia.</w:t>
      </w:r>
    </w:p>
  </w:footnote>
  <w:footnote w:id="7">
    <w:p w14:paraId="57EE323F" w14:textId="3B24EF9C" w:rsidR="00030E47" w:rsidRPr="00BC4556" w:rsidRDefault="00030E47" w:rsidP="00BC4556">
      <w:pPr>
        <w:pStyle w:val="Textonotapie"/>
        <w:rPr>
          <w:rFonts w:ascii="Arial" w:hAnsi="Arial" w:cs="Arial"/>
          <w:sz w:val="18"/>
          <w:szCs w:val="18"/>
        </w:rPr>
      </w:pPr>
      <w:r w:rsidRPr="00BC4556">
        <w:rPr>
          <w:rStyle w:val="Refdenotaalpie"/>
          <w:rFonts w:ascii="Arial" w:hAnsi="Arial" w:cs="Arial"/>
          <w:sz w:val="18"/>
          <w:szCs w:val="18"/>
        </w:rPr>
        <w:footnoteRef/>
      </w:r>
      <w:r w:rsidRPr="00BC4556">
        <w:rPr>
          <w:rFonts w:ascii="Arial" w:hAnsi="Arial" w:cs="Arial"/>
          <w:sz w:val="18"/>
          <w:szCs w:val="18"/>
        </w:rPr>
        <w:t xml:space="preserve"> Archivo 04</w:t>
      </w:r>
      <w:r w:rsidR="00377F84" w:rsidRPr="00BC4556">
        <w:rPr>
          <w:rFonts w:ascii="Arial" w:hAnsi="Arial" w:cs="Arial"/>
          <w:sz w:val="18"/>
          <w:szCs w:val="18"/>
        </w:rPr>
        <w:t xml:space="preserve">, página 338 </w:t>
      </w:r>
      <w:r w:rsidRPr="00BC4556">
        <w:rPr>
          <w:rFonts w:ascii="Arial" w:hAnsi="Arial" w:cs="Arial"/>
          <w:sz w:val="18"/>
          <w:szCs w:val="18"/>
        </w:rPr>
        <w:t>cuaderno de primera instancia.</w:t>
      </w:r>
    </w:p>
  </w:footnote>
  <w:footnote w:id="8">
    <w:p w14:paraId="3FCE473E" w14:textId="77777777" w:rsidR="00F5375F" w:rsidRPr="00BC4556" w:rsidRDefault="00F5375F" w:rsidP="00BC4556">
      <w:pPr>
        <w:pStyle w:val="Textonotapie"/>
        <w:rPr>
          <w:rFonts w:ascii="Arial" w:hAnsi="Arial" w:cs="Arial"/>
          <w:sz w:val="18"/>
          <w:szCs w:val="18"/>
        </w:rPr>
      </w:pPr>
      <w:r w:rsidRPr="00BC4556">
        <w:rPr>
          <w:rStyle w:val="Refdenotaalpie"/>
          <w:rFonts w:ascii="Arial" w:hAnsi="Arial" w:cs="Arial"/>
          <w:sz w:val="18"/>
          <w:szCs w:val="18"/>
        </w:rPr>
        <w:footnoteRef/>
      </w:r>
      <w:r w:rsidRPr="00BC4556">
        <w:rPr>
          <w:rFonts w:ascii="Arial" w:hAnsi="Arial" w:cs="Arial"/>
          <w:sz w:val="18"/>
          <w:szCs w:val="18"/>
        </w:rPr>
        <w:t xml:space="preserve"> Archivo 04, páginas 316 cuaderno de primera instancia.</w:t>
      </w:r>
    </w:p>
  </w:footnote>
  <w:footnote w:id="9">
    <w:p w14:paraId="4BD8246B" w14:textId="77777777" w:rsidR="00B10AE8" w:rsidRPr="00BC4556" w:rsidRDefault="00B10AE8" w:rsidP="00BC4556">
      <w:pPr>
        <w:pStyle w:val="Textonotapie"/>
        <w:rPr>
          <w:rFonts w:ascii="Arial" w:hAnsi="Arial" w:cs="Arial"/>
          <w:sz w:val="18"/>
          <w:szCs w:val="18"/>
        </w:rPr>
      </w:pPr>
      <w:r w:rsidRPr="00BC4556">
        <w:rPr>
          <w:rStyle w:val="Refdenotaalpie"/>
          <w:rFonts w:ascii="Arial" w:hAnsi="Arial" w:cs="Arial"/>
          <w:sz w:val="18"/>
          <w:szCs w:val="18"/>
        </w:rPr>
        <w:footnoteRef/>
      </w:r>
      <w:r w:rsidRPr="00BC4556">
        <w:rPr>
          <w:rFonts w:ascii="Arial" w:hAnsi="Arial" w:cs="Arial"/>
          <w:sz w:val="18"/>
          <w:szCs w:val="18"/>
        </w:rPr>
        <w:t xml:space="preserve"> “</w:t>
      </w:r>
      <w:bookmarkStart w:id="6" w:name="60"/>
      <w:r w:rsidRPr="00BC4556">
        <w:rPr>
          <w:rFonts w:ascii="Arial" w:hAnsi="Arial" w:cs="Arial"/>
          <w:b/>
          <w:bCs/>
          <w:sz w:val="18"/>
          <w:szCs w:val="18"/>
        </w:rPr>
        <w:t>ARTICULO 60. PROHIBICIONES A LOS TRABAJADORES.</w:t>
      </w:r>
      <w:bookmarkEnd w:id="6"/>
      <w:r w:rsidRPr="00BC4556">
        <w:rPr>
          <w:rFonts w:ascii="Arial" w:hAnsi="Arial" w:cs="Arial"/>
          <w:sz w:val="18"/>
          <w:szCs w:val="18"/>
        </w:rPr>
        <w:t> Se prohíbe a los trabajadores: (…) 4. Faltar al trabajo sin justa causa de impedimento o sin permiso del {empleador}, excepto en los casos de huelga, en los cuales deben abandonar el lugar del trabajo.”</w:t>
      </w:r>
    </w:p>
  </w:footnote>
  <w:footnote w:id="10">
    <w:p w14:paraId="3DFA04CC" w14:textId="77777777" w:rsidR="00B10AE8" w:rsidRDefault="00B10AE8" w:rsidP="00BC4556">
      <w:pPr>
        <w:pStyle w:val="Textonotapie"/>
      </w:pPr>
      <w:r w:rsidRPr="00BC4556">
        <w:rPr>
          <w:rStyle w:val="Refdenotaalpie"/>
          <w:rFonts w:ascii="Arial" w:hAnsi="Arial" w:cs="Arial"/>
          <w:sz w:val="18"/>
          <w:szCs w:val="18"/>
        </w:rPr>
        <w:footnoteRef/>
      </w:r>
      <w:r w:rsidRPr="00BC4556">
        <w:rPr>
          <w:rFonts w:ascii="Arial" w:hAnsi="Arial" w:cs="Arial"/>
          <w:sz w:val="18"/>
          <w:szCs w:val="18"/>
        </w:rPr>
        <w:t xml:space="preserve"> </w:t>
      </w:r>
      <w:bookmarkStart w:id="7" w:name="62"/>
      <w:r w:rsidRPr="00BC4556">
        <w:rPr>
          <w:rFonts w:ascii="Arial" w:hAnsi="Arial" w:cs="Arial"/>
          <w:sz w:val="18"/>
          <w:szCs w:val="18"/>
        </w:rPr>
        <w:t>“</w:t>
      </w:r>
      <w:r w:rsidRPr="00BC4556">
        <w:rPr>
          <w:rFonts w:ascii="Arial" w:hAnsi="Arial" w:cs="Arial"/>
          <w:b/>
          <w:bCs/>
          <w:sz w:val="18"/>
          <w:szCs w:val="18"/>
        </w:rPr>
        <w:t>ARTICULO 62. TERMINACION DEL CONTRATO POR JUSTA CAUSA.</w:t>
      </w:r>
      <w:bookmarkEnd w:id="7"/>
      <w:r w:rsidRPr="00BC4556">
        <w:rPr>
          <w:rFonts w:ascii="Arial" w:hAnsi="Arial" w:cs="Arial"/>
          <w:sz w:val="18"/>
          <w:szCs w:val="18"/>
        </w:rPr>
        <w:t> &lt;Artículo modificado por el artículo 7o. del Decreto 2351 de 1965. El nuevo texto es el siguiente:&gt; Son justas causas para dar por terminado unilateralmente el contrato de trabajo: (…) 6. Cualquier violación grave de las obligaciones o prohibiciones especiales que incumben al trabajador de acuerdo con los artículos </w:t>
      </w:r>
      <w:hyperlink r:id="rId1" w:anchor="58" w:history="1">
        <w:r w:rsidRPr="00BC4556">
          <w:rPr>
            <w:rStyle w:val="Hipervnculo"/>
            <w:rFonts w:ascii="Arial" w:hAnsi="Arial" w:cs="Arial"/>
            <w:color w:val="auto"/>
            <w:sz w:val="18"/>
            <w:szCs w:val="18"/>
          </w:rPr>
          <w:t>58</w:t>
        </w:r>
      </w:hyperlink>
      <w:r w:rsidRPr="00BC4556">
        <w:rPr>
          <w:rFonts w:ascii="Arial" w:hAnsi="Arial" w:cs="Arial"/>
          <w:sz w:val="18"/>
          <w:szCs w:val="18"/>
        </w:rPr>
        <w:t> y </w:t>
      </w:r>
      <w:hyperlink r:id="rId2" w:anchor="60" w:history="1">
        <w:r w:rsidRPr="00BC4556">
          <w:rPr>
            <w:rStyle w:val="Hipervnculo"/>
            <w:rFonts w:ascii="Arial" w:hAnsi="Arial" w:cs="Arial"/>
            <w:color w:val="auto"/>
            <w:sz w:val="18"/>
            <w:szCs w:val="18"/>
          </w:rPr>
          <w:t>60</w:t>
        </w:r>
      </w:hyperlink>
      <w:r w:rsidRPr="00BC4556">
        <w:rPr>
          <w:rFonts w:ascii="Arial" w:hAnsi="Arial" w:cs="Arial"/>
          <w:sz w:val="18"/>
          <w:szCs w:val="18"/>
        </w:rPr>
        <w:t> del Código Sustantivo del Trabajo, o cualquier falta grave calificada como tal en pactos o convenciones colectivas, fallos arbitrales, contratos individuales o reglamentos”.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CC195" w14:textId="3AD9D114" w:rsidR="005D7D6A" w:rsidRPr="00BC4556" w:rsidRDefault="00BC4556" w:rsidP="00BC4556">
    <w:pPr>
      <w:spacing w:line="240" w:lineRule="auto"/>
      <w:rPr>
        <w:rFonts w:ascii="Arial" w:hAnsi="Arial" w:cs="Arial"/>
        <w:sz w:val="18"/>
        <w:szCs w:val="18"/>
      </w:rPr>
    </w:pPr>
    <w:r>
      <w:rPr>
        <w:rFonts w:ascii="Arial" w:hAnsi="Arial" w:cs="Arial"/>
        <w:sz w:val="18"/>
        <w:szCs w:val="18"/>
      </w:rPr>
      <w:t>Radicación No.:</w:t>
    </w:r>
    <w:r>
      <w:rPr>
        <w:rFonts w:ascii="Arial" w:hAnsi="Arial" w:cs="Arial"/>
        <w:sz w:val="18"/>
        <w:szCs w:val="18"/>
      </w:rPr>
      <w:tab/>
    </w:r>
    <w:r w:rsidR="005D7D6A" w:rsidRPr="00BC4556">
      <w:rPr>
        <w:rFonts w:ascii="Arial" w:hAnsi="Arial" w:cs="Arial"/>
        <w:sz w:val="18"/>
        <w:szCs w:val="18"/>
      </w:rPr>
      <w:t>66001-31-05-005-2021-00052-01</w:t>
    </w:r>
  </w:p>
  <w:p w14:paraId="776DB435" w14:textId="49949074" w:rsidR="005D7D6A" w:rsidRPr="00BC4556" w:rsidRDefault="005D7D6A" w:rsidP="00BC4556">
    <w:pPr>
      <w:spacing w:line="240" w:lineRule="auto"/>
      <w:rPr>
        <w:rFonts w:ascii="Arial" w:hAnsi="Arial" w:cs="Arial"/>
        <w:sz w:val="18"/>
        <w:szCs w:val="18"/>
      </w:rPr>
    </w:pPr>
    <w:r w:rsidRPr="00BC4556">
      <w:rPr>
        <w:rFonts w:ascii="Arial" w:hAnsi="Arial" w:cs="Arial"/>
        <w:sz w:val="18"/>
        <w:szCs w:val="18"/>
      </w:rPr>
      <w:t>Demandante:</w:t>
    </w:r>
    <w:r w:rsidR="00BC4556">
      <w:rPr>
        <w:rFonts w:ascii="Arial" w:hAnsi="Arial" w:cs="Arial"/>
        <w:sz w:val="18"/>
        <w:szCs w:val="18"/>
      </w:rPr>
      <w:tab/>
    </w:r>
    <w:proofErr w:type="spellStart"/>
    <w:r w:rsidRPr="00BC4556">
      <w:rPr>
        <w:rFonts w:ascii="Arial" w:hAnsi="Arial" w:cs="Arial"/>
        <w:sz w:val="18"/>
        <w:szCs w:val="18"/>
      </w:rPr>
      <w:t>Edilson</w:t>
    </w:r>
    <w:proofErr w:type="spellEnd"/>
    <w:r w:rsidRPr="00BC4556">
      <w:rPr>
        <w:rFonts w:ascii="Arial" w:hAnsi="Arial" w:cs="Arial"/>
        <w:sz w:val="18"/>
        <w:szCs w:val="18"/>
      </w:rPr>
      <w:t xml:space="preserve"> Martínez Pérez</w:t>
    </w:r>
  </w:p>
  <w:p w14:paraId="000001B5" w14:textId="63769797" w:rsidR="005D7D6A" w:rsidRPr="00BC4556" w:rsidRDefault="005D7D6A" w:rsidP="00BC4556">
    <w:pPr>
      <w:spacing w:line="240" w:lineRule="auto"/>
      <w:rPr>
        <w:rFonts w:ascii="Arial" w:hAnsi="Arial" w:cs="Arial"/>
        <w:sz w:val="18"/>
        <w:szCs w:val="18"/>
      </w:rPr>
    </w:pPr>
    <w:r w:rsidRPr="00BC4556">
      <w:rPr>
        <w:rFonts w:ascii="Arial" w:hAnsi="Arial" w:cs="Arial"/>
        <w:sz w:val="18"/>
        <w:szCs w:val="18"/>
      </w:rPr>
      <w:t>Demandado:</w:t>
    </w:r>
    <w:r w:rsidRPr="00BC4556">
      <w:rPr>
        <w:rFonts w:ascii="Arial" w:hAnsi="Arial" w:cs="Arial"/>
        <w:sz w:val="18"/>
        <w:szCs w:val="18"/>
      </w:rPr>
      <w:tab/>
      <w:t>Soluciones Técnicas Domiciliarias S.A.S</w:t>
    </w:r>
    <w:r w:rsidR="00BC4556" w:rsidRPr="00BC4556">
      <w:rPr>
        <w:rFonts w:ascii="Arial" w:hAnsi="Arial" w:cs="Arial"/>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D2A87"/>
    <w:multiLevelType w:val="hybridMultilevel"/>
    <w:tmpl w:val="415600E4"/>
    <w:lvl w:ilvl="0" w:tplc="AA3AE3F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59D4261"/>
    <w:multiLevelType w:val="multilevel"/>
    <w:tmpl w:val="1C1CDB2C"/>
    <w:lvl w:ilvl="0">
      <w:start w:val="1"/>
      <w:numFmt w:val="decimal"/>
      <w:lvlText w:val="%1."/>
      <w:lvlJc w:val="left"/>
      <w:pPr>
        <w:ind w:left="720" w:hanging="360"/>
      </w:pPr>
      <w:rPr>
        <w:b/>
        <w:bCs/>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abstractNum w:abstractNumId="2" w15:restartNumberingAfterBreak="0">
    <w:nsid w:val="5C46222F"/>
    <w:multiLevelType w:val="multilevel"/>
    <w:tmpl w:val="5E38F2BC"/>
    <w:lvl w:ilvl="0">
      <w:start w:val="1"/>
      <w:numFmt w:val="decimal"/>
      <w:lvlText w:val="%1."/>
      <w:lvlJc w:val="left"/>
      <w:pPr>
        <w:ind w:left="720" w:hanging="360"/>
      </w:pPr>
    </w:lvl>
    <w:lvl w:ilvl="1">
      <w:start w:val="2"/>
      <w:numFmt w:val="decimal"/>
      <w:lvlText w:val="%1.%2"/>
      <w:lvlJc w:val="left"/>
      <w:pPr>
        <w:ind w:left="1800" w:hanging="720"/>
      </w:pPr>
    </w:lvl>
    <w:lvl w:ilvl="2">
      <w:start w:val="1"/>
      <w:numFmt w:val="decimal"/>
      <w:lvlText w:val="%1.%2.%3"/>
      <w:lvlJc w:val="left"/>
      <w:pPr>
        <w:ind w:left="2880" w:hanging="1080"/>
      </w:pPr>
    </w:lvl>
    <w:lvl w:ilvl="3">
      <w:start w:val="1"/>
      <w:numFmt w:val="decimal"/>
      <w:lvlText w:val="%1.%2.%3.%4"/>
      <w:lvlJc w:val="left"/>
      <w:pPr>
        <w:ind w:left="3600" w:hanging="1080"/>
      </w:pPr>
    </w:lvl>
    <w:lvl w:ilvl="4">
      <w:start w:val="1"/>
      <w:numFmt w:val="decimal"/>
      <w:lvlText w:val="%1.%2.%3.%4.%5"/>
      <w:lvlJc w:val="left"/>
      <w:pPr>
        <w:ind w:left="4680" w:hanging="1440"/>
      </w:pPr>
    </w:lvl>
    <w:lvl w:ilvl="5">
      <w:start w:val="1"/>
      <w:numFmt w:val="decimal"/>
      <w:lvlText w:val="%1.%2.%3.%4.%5.%6"/>
      <w:lvlJc w:val="left"/>
      <w:pPr>
        <w:ind w:left="5760" w:hanging="1800"/>
      </w:pPr>
    </w:lvl>
    <w:lvl w:ilvl="6">
      <w:start w:val="1"/>
      <w:numFmt w:val="decimal"/>
      <w:lvlText w:val="%1.%2.%3.%4.%5.%6.%7"/>
      <w:lvlJc w:val="left"/>
      <w:pPr>
        <w:ind w:left="6840" w:hanging="2160"/>
      </w:pPr>
    </w:lvl>
    <w:lvl w:ilvl="7">
      <w:start w:val="1"/>
      <w:numFmt w:val="decimal"/>
      <w:lvlText w:val="%1.%2.%3.%4.%5.%6.%7.%8"/>
      <w:lvlJc w:val="left"/>
      <w:pPr>
        <w:ind w:left="7560" w:hanging="2160"/>
      </w:pPr>
    </w:lvl>
    <w:lvl w:ilvl="8">
      <w:start w:val="1"/>
      <w:numFmt w:val="decimal"/>
      <w:lvlText w:val="%1.%2.%3.%4.%5.%6.%7.%8.%9"/>
      <w:lvlJc w:val="left"/>
      <w:pPr>
        <w:ind w:left="8640" w:hanging="2520"/>
      </w:pPr>
    </w:lvl>
  </w:abstractNum>
  <w:abstractNum w:abstractNumId="3" w15:restartNumberingAfterBreak="0">
    <w:nsid w:val="764B647B"/>
    <w:multiLevelType w:val="multilevel"/>
    <w:tmpl w:val="1C1CDB2C"/>
    <w:lvl w:ilvl="0">
      <w:start w:val="1"/>
      <w:numFmt w:val="decimal"/>
      <w:lvlText w:val="%1."/>
      <w:lvlJc w:val="left"/>
      <w:pPr>
        <w:ind w:left="720" w:hanging="360"/>
      </w:pPr>
      <w:rPr>
        <w:b/>
        <w:bCs/>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abstractNum w:abstractNumId="4" w15:restartNumberingAfterBreak="0">
    <w:nsid w:val="7A35251A"/>
    <w:multiLevelType w:val="hybridMultilevel"/>
    <w:tmpl w:val="D8E2135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1DAE"/>
    <w:rsid w:val="000031C5"/>
    <w:rsid w:val="00005631"/>
    <w:rsid w:val="00010813"/>
    <w:rsid w:val="0001220B"/>
    <w:rsid w:val="00017362"/>
    <w:rsid w:val="000173F3"/>
    <w:rsid w:val="00020092"/>
    <w:rsid w:val="00020DDD"/>
    <w:rsid w:val="00023309"/>
    <w:rsid w:val="00023B42"/>
    <w:rsid w:val="00024623"/>
    <w:rsid w:val="00024DA5"/>
    <w:rsid w:val="00025F95"/>
    <w:rsid w:val="000273A4"/>
    <w:rsid w:val="00030E47"/>
    <w:rsid w:val="000317C4"/>
    <w:rsid w:val="00031C5D"/>
    <w:rsid w:val="00041B28"/>
    <w:rsid w:val="00041DAE"/>
    <w:rsid w:val="0004300C"/>
    <w:rsid w:val="000467F1"/>
    <w:rsid w:val="00051551"/>
    <w:rsid w:val="00060CDB"/>
    <w:rsid w:val="00062C34"/>
    <w:rsid w:val="00063D7F"/>
    <w:rsid w:val="000646E1"/>
    <w:rsid w:val="000658DA"/>
    <w:rsid w:val="0006622A"/>
    <w:rsid w:val="00066244"/>
    <w:rsid w:val="00067855"/>
    <w:rsid w:val="00067B4A"/>
    <w:rsid w:val="00071543"/>
    <w:rsid w:val="00071975"/>
    <w:rsid w:val="0007293F"/>
    <w:rsid w:val="00072E1E"/>
    <w:rsid w:val="00073030"/>
    <w:rsid w:val="000741C9"/>
    <w:rsid w:val="00074E11"/>
    <w:rsid w:val="0008350C"/>
    <w:rsid w:val="00092EE0"/>
    <w:rsid w:val="00094217"/>
    <w:rsid w:val="00096243"/>
    <w:rsid w:val="000A3346"/>
    <w:rsid w:val="000A37AB"/>
    <w:rsid w:val="000A4140"/>
    <w:rsid w:val="000B1025"/>
    <w:rsid w:val="000B2175"/>
    <w:rsid w:val="000B2263"/>
    <w:rsid w:val="000B3DAA"/>
    <w:rsid w:val="000B4349"/>
    <w:rsid w:val="000B62F9"/>
    <w:rsid w:val="000B7CF9"/>
    <w:rsid w:val="000C43B5"/>
    <w:rsid w:val="000C56B9"/>
    <w:rsid w:val="000C6A09"/>
    <w:rsid w:val="000C742E"/>
    <w:rsid w:val="000D02FE"/>
    <w:rsid w:val="000D06C7"/>
    <w:rsid w:val="000D4B23"/>
    <w:rsid w:val="000D5F86"/>
    <w:rsid w:val="000E0635"/>
    <w:rsid w:val="000E2F7E"/>
    <w:rsid w:val="000E3EC7"/>
    <w:rsid w:val="000E5509"/>
    <w:rsid w:val="000E6310"/>
    <w:rsid w:val="000F5007"/>
    <w:rsid w:val="000F7C32"/>
    <w:rsid w:val="001008EC"/>
    <w:rsid w:val="00100A4E"/>
    <w:rsid w:val="00101635"/>
    <w:rsid w:val="001045BB"/>
    <w:rsid w:val="00104E58"/>
    <w:rsid w:val="0010632B"/>
    <w:rsid w:val="00116A5B"/>
    <w:rsid w:val="00116F8D"/>
    <w:rsid w:val="00120053"/>
    <w:rsid w:val="001252F2"/>
    <w:rsid w:val="00131096"/>
    <w:rsid w:val="00131F24"/>
    <w:rsid w:val="00132D24"/>
    <w:rsid w:val="00136C2F"/>
    <w:rsid w:val="00137DEB"/>
    <w:rsid w:val="0015080C"/>
    <w:rsid w:val="00151E7D"/>
    <w:rsid w:val="00151E9D"/>
    <w:rsid w:val="00153171"/>
    <w:rsid w:val="00154EAA"/>
    <w:rsid w:val="001551A6"/>
    <w:rsid w:val="00157A03"/>
    <w:rsid w:val="00157E75"/>
    <w:rsid w:val="00161B8C"/>
    <w:rsid w:val="00161BB2"/>
    <w:rsid w:val="00163A95"/>
    <w:rsid w:val="0016629C"/>
    <w:rsid w:val="0016722C"/>
    <w:rsid w:val="00176FDA"/>
    <w:rsid w:val="00177ECE"/>
    <w:rsid w:val="00180F09"/>
    <w:rsid w:val="00183D77"/>
    <w:rsid w:val="0018416A"/>
    <w:rsid w:val="001843ED"/>
    <w:rsid w:val="001878B7"/>
    <w:rsid w:val="00191C6B"/>
    <w:rsid w:val="00195083"/>
    <w:rsid w:val="00195261"/>
    <w:rsid w:val="001960E5"/>
    <w:rsid w:val="00196AE8"/>
    <w:rsid w:val="00196FBF"/>
    <w:rsid w:val="001A0F6D"/>
    <w:rsid w:val="001A1DF3"/>
    <w:rsid w:val="001A21EB"/>
    <w:rsid w:val="001A5A0F"/>
    <w:rsid w:val="001A74E3"/>
    <w:rsid w:val="001A75C1"/>
    <w:rsid w:val="001A79F0"/>
    <w:rsid w:val="001B129E"/>
    <w:rsid w:val="001B1EA7"/>
    <w:rsid w:val="001B3CCD"/>
    <w:rsid w:val="001B5215"/>
    <w:rsid w:val="001B7A0D"/>
    <w:rsid w:val="001B7E1F"/>
    <w:rsid w:val="001C184C"/>
    <w:rsid w:val="001C2897"/>
    <w:rsid w:val="001C3A75"/>
    <w:rsid w:val="001C7DA2"/>
    <w:rsid w:val="001D1654"/>
    <w:rsid w:val="001D1B05"/>
    <w:rsid w:val="001D1BC4"/>
    <w:rsid w:val="001D5C81"/>
    <w:rsid w:val="001E03D6"/>
    <w:rsid w:val="001E0AD3"/>
    <w:rsid w:val="001E391D"/>
    <w:rsid w:val="001E4C80"/>
    <w:rsid w:val="001E5D1E"/>
    <w:rsid w:val="001F07AC"/>
    <w:rsid w:val="001F09DD"/>
    <w:rsid w:val="001F503D"/>
    <w:rsid w:val="00202230"/>
    <w:rsid w:val="00202C9E"/>
    <w:rsid w:val="0020459C"/>
    <w:rsid w:val="00207DA9"/>
    <w:rsid w:val="00210293"/>
    <w:rsid w:val="00210D0E"/>
    <w:rsid w:val="002117A7"/>
    <w:rsid w:val="00212386"/>
    <w:rsid w:val="00214D20"/>
    <w:rsid w:val="002161F2"/>
    <w:rsid w:val="00216FAF"/>
    <w:rsid w:val="00225646"/>
    <w:rsid w:val="002303C0"/>
    <w:rsid w:val="002334E1"/>
    <w:rsid w:val="00234AAA"/>
    <w:rsid w:val="0023795F"/>
    <w:rsid w:val="00243695"/>
    <w:rsid w:val="00243C79"/>
    <w:rsid w:val="00244A84"/>
    <w:rsid w:val="002468CE"/>
    <w:rsid w:val="00246F04"/>
    <w:rsid w:val="00251995"/>
    <w:rsid w:val="00252AA9"/>
    <w:rsid w:val="00255468"/>
    <w:rsid w:val="00260DE9"/>
    <w:rsid w:val="00260E75"/>
    <w:rsid w:val="00264465"/>
    <w:rsid w:val="00264FBF"/>
    <w:rsid w:val="00265113"/>
    <w:rsid w:val="00265563"/>
    <w:rsid w:val="002726E6"/>
    <w:rsid w:val="002737CC"/>
    <w:rsid w:val="00273E54"/>
    <w:rsid w:val="00280C7A"/>
    <w:rsid w:val="00282863"/>
    <w:rsid w:val="00282DAA"/>
    <w:rsid w:val="00283C80"/>
    <w:rsid w:val="00293088"/>
    <w:rsid w:val="00297621"/>
    <w:rsid w:val="002A02F5"/>
    <w:rsid w:val="002A1965"/>
    <w:rsid w:val="002A3E0D"/>
    <w:rsid w:val="002B17B6"/>
    <w:rsid w:val="002B6369"/>
    <w:rsid w:val="002C305A"/>
    <w:rsid w:val="002C3B30"/>
    <w:rsid w:val="002D0C18"/>
    <w:rsid w:val="002D1194"/>
    <w:rsid w:val="002D13FD"/>
    <w:rsid w:val="002D1EBF"/>
    <w:rsid w:val="002D5C0E"/>
    <w:rsid w:val="002D60F8"/>
    <w:rsid w:val="002E07C9"/>
    <w:rsid w:val="002E1D4B"/>
    <w:rsid w:val="002E7BC6"/>
    <w:rsid w:val="002F260E"/>
    <w:rsid w:val="002F5BEB"/>
    <w:rsid w:val="0030058A"/>
    <w:rsid w:val="003019BB"/>
    <w:rsid w:val="00305FCE"/>
    <w:rsid w:val="003139A8"/>
    <w:rsid w:val="00315A6E"/>
    <w:rsid w:val="00317FA7"/>
    <w:rsid w:val="003205F0"/>
    <w:rsid w:val="00320AA7"/>
    <w:rsid w:val="0032103B"/>
    <w:rsid w:val="003215AA"/>
    <w:rsid w:val="00322FE0"/>
    <w:rsid w:val="00327C3D"/>
    <w:rsid w:val="0033112C"/>
    <w:rsid w:val="00331582"/>
    <w:rsid w:val="003341CF"/>
    <w:rsid w:val="003348C3"/>
    <w:rsid w:val="0033547B"/>
    <w:rsid w:val="00337270"/>
    <w:rsid w:val="00341DB2"/>
    <w:rsid w:val="0034277D"/>
    <w:rsid w:val="00345FFE"/>
    <w:rsid w:val="00351C8A"/>
    <w:rsid w:val="003536DA"/>
    <w:rsid w:val="0035422F"/>
    <w:rsid w:val="0035650D"/>
    <w:rsid w:val="003573BD"/>
    <w:rsid w:val="003616B6"/>
    <w:rsid w:val="00370213"/>
    <w:rsid w:val="003765B0"/>
    <w:rsid w:val="00376D28"/>
    <w:rsid w:val="00377F84"/>
    <w:rsid w:val="00380E43"/>
    <w:rsid w:val="00382C4F"/>
    <w:rsid w:val="0039092E"/>
    <w:rsid w:val="00390D12"/>
    <w:rsid w:val="003916D2"/>
    <w:rsid w:val="0039227B"/>
    <w:rsid w:val="00393264"/>
    <w:rsid w:val="00396327"/>
    <w:rsid w:val="00396CAF"/>
    <w:rsid w:val="003A1AAA"/>
    <w:rsid w:val="003A482B"/>
    <w:rsid w:val="003A590E"/>
    <w:rsid w:val="003A59EB"/>
    <w:rsid w:val="003B1C27"/>
    <w:rsid w:val="003B51D7"/>
    <w:rsid w:val="003B5967"/>
    <w:rsid w:val="003B6277"/>
    <w:rsid w:val="003C0FFD"/>
    <w:rsid w:val="003C2594"/>
    <w:rsid w:val="003C2A95"/>
    <w:rsid w:val="003C689E"/>
    <w:rsid w:val="003D413E"/>
    <w:rsid w:val="003D6659"/>
    <w:rsid w:val="003D6BDF"/>
    <w:rsid w:val="003D7149"/>
    <w:rsid w:val="003D7D0D"/>
    <w:rsid w:val="003E088F"/>
    <w:rsid w:val="003E5FE9"/>
    <w:rsid w:val="003F11EB"/>
    <w:rsid w:val="003F145D"/>
    <w:rsid w:val="003F35FC"/>
    <w:rsid w:val="003F3703"/>
    <w:rsid w:val="003F46DD"/>
    <w:rsid w:val="003F681E"/>
    <w:rsid w:val="003F7B42"/>
    <w:rsid w:val="00402A6B"/>
    <w:rsid w:val="00404145"/>
    <w:rsid w:val="0040460F"/>
    <w:rsid w:val="0040506C"/>
    <w:rsid w:val="0040691D"/>
    <w:rsid w:val="004076B1"/>
    <w:rsid w:val="00413D0D"/>
    <w:rsid w:val="0042000F"/>
    <w:rsid w:val="00420C8D"/>
    <w:rsid w:val="004221CF"/>
    <w:rsid w:val="004251E2"/>
    <w:rsid w:val="00431F2D"/>
    <w:rsid w:val="00432B77"/>
    <w:rsid w:val="004331D5"/>
    <w:rsid w:val="00433D1E"/>
    <w:rsid w:val="00435DEA"/>
    <w:rsid w:val="004368BC"/>
    <w:rsid w:val="00440140"/>
    <w:rsid w:val="0044027A"/>
    <w:rsid w:val="0044250E"/>
    <w:rsid w:val="00442BA2"/>
    <w:rsid w:val="004461B0"/>
    <w:rsid w:val="00450691"/>
    <w:rsid w:val="004548CA"/>
    <w:rsid w:val="0045494F"/>
    <w:rsid w:val="0045599D"/>
    <w:rsid w:val="004561E3"/>
    <w:rsid w:val="004576E0"/>
    <w:rsid w:val="004641A4"/>
    <w:rsid w:val="00467138"/>
    <w:rsid w:val="00470E4D"/>
    <w:rsid w:val="00471A77"/>
    <w:rsid w:val="0047456E"/>
    <w:rsid w:val="00474C6A"/>
    <w:rsid w:val="00477E70"/>
    <w:rsid w:val="004820C7"/>
    <w:rsid w:val="004864B3"/>
    <w:rsid w:val="004864CC"/>
    <w:rsid w:val="00486860"/>
    <w:rsid w:val="004877DD"/>
    <w:rsid w:val="0049147A"/>
    <w:rsid w:val="00493D13"/>
    <w:rsid w:val="00495EE2"/>
    <w:rsid w:val="00497383"/>
    <w:rsid w:val="004A03EB"/>
    <w:rsid w:val="004A0C07"/>
    <w:rsid w:val="004A1C1B"/>
    <w:rsid w:val="004A3547"/>
    <w:rsid w:val="004A35FD"/>
    <w:rsid w:val="004A39B6"/>
    <w:rsid w:val="004A5228"/>
    <w:rsid w:val="004B053B"/>
    <w:rsid w:val="004B20BB"/>
    <w:rsid w:val="004B2BDB"/>
    <w:rsid w:val="004B31EF"/>
    <w:rsid w:val="004B3641"/>
    <w:rsid w:val="004B7279"/>
    <w:rsid w:val="004C313B"/>
    <w:rsid w:val="004C3FB7"/>
    <w:rsid w:val="004C4DA5"/>
    <w:rsid w:val="004C6638"/>
    <w:rsid w:val="004D1DAA"/>
    <w:rsid w:val="004D368A"/>
    <w:rsid w:val="004E3200"/>
    <w:rsid w:val="004E6B23"/>
    <w:rsid w:val="004E6C60"/>
    <w:rsid w:val="004E7364"/>
    <w:rsid w:val="004E7B1B"/>
    <w:rsid w:val="004F2E78"/>
    <w:rsid w:val="00503BCF"/>
    <w:rsid w:val="00503EFD"/>
    <w:rsid w:val="00513F6C"/>
    <w:rsid w:val="00514616"/>
    <w:rsid w:val="005152AE"/>
    <w:rsid w:val="005177C5"/>
    <w:rsid w:val="00522166"/>
    <w:rsid w:val="00523F6D"/>
    <w:rsid w:val="00525BE7"/>
    <w:rsid w:val="00525F93"/>
    <w:rsid w:val="00531260"/>
    <w:rsid w:val="00531CAC"/>
    <w:rsid w:val="005325F4"/>
    <w:rsid w:val="00533046"/>
    <w:rsid w:val="0053332F"/>
    <w:rsid w:val="005360A2"/>
    <w:rsid w:val="00536CED"/>
    <w:rsid w:val="00537EC8"/>
    <w:rsid w:val="00541F20"/>
    <w:rsid w:val="00542003"/>
    <w:rsid w:val="005433B4"/>
    <w:rsid w:val="00543D8C"/>
    <w:rsid w:val="005447F5"/>
    <w:rsid w:val="0054501A"/>
    <w:rsid w:val="0054568C"/>
    <w:rsid w:val="0054650F"/>
    <w:rsid w:val="00552C6E"/>
    <w:rsid w:val="0055567C"/>
    <w:rsid w:val="00563359"/>
    <w:rsid w:val="00565CA2"/>
    <w:rsid w:val="00574005"/>
    <w:rsid w:val="005742A7"/>
    <w:rsid w:val="00576DC3"/>
    <w:rsid w:val="005771AD"/>
    <w:rsid w:val="00577AFA"/>
    <w:rsid w:val="00580904"/>
    <w:rsid w:val="00584505"/>
    <w:rsid w:val="00584AA3"/>
    <w:rsid w:val="0058535A"/>
    <w:rsid w:val="005860A1"/>
    <w:rsid w:val="00593B54"/>
    <w:rsid w:val="00595779"/>
    <w:rsid w:val="00596820"/>
    <w:rsid w:val="005A4D56"/>
    <w:rsid w:val="005A5847"/>
    <w:rsid w:val="005A7B80"/>
    <w:rsid w:val="005B0BBA"/>
    <w:rsid w:val="005B4760"/>
    <w:rsid w:val="005B6E30"/>
    <w:rsid w:val="005C129A"/>
    <w:rsid w:val="005C22CE"/>
    <w:rsid w:val="005C2945"/>
    <w:rsid w:val="005C7FE5"/>
    <w:rsid w:val="005D162E"/>
    <w:rsid w:val="005D2536"/>
    <w:rsid w:val="005D2AB3"/>
    <w:rsid w:val="005D4231"/>
    <w:rsid w:val="005D7D6A"/>
    <w:rsid w:val="005E4CB0"/>
    <w:rsid w:val="005E5841"/>
    <w:rsid w:val="005F200C"/>
    <w:rsid w:val="005F567C"/>
    <w:rsid w:val="005F69A0"/>
    <w:rsid w:val="006005A5"/>
    <w:rsid w:val="006036F9"/>
    <w:rsid w:val="0060493F"/>
    <w:rsid w:val="00607BF0"/>
    <w:rsid w:val="00607D1A"/>
    <w:rsid w:val="00610D45"/>
    <w:rsid w:val="006161F0"/>
    <w:rsid w:val="006173C6"/>
    <w:rsid w:val="00621385"/>
    <w:rsid w:val="0062466D"/>
    <w:rsid w:val="006249E2"/>
    <w:rsid w:val="0062611B"/>
    <w:rsid w:val="00626A12"/>
    <w:rsid w:val="0063116C"/>
    <w:rsid w:val="00634877"/>
    <w:rsid w:val="006354EB"/>
    <w:rsid w:val="0063635F"/>
    <w:rsid w:val="006375A3"/>
    <w:rsid w:val="00642479"/>
    <w:rsid w:val="00642E81"/>
    <w:rsid w:val="00646189"/>
    <w:rsid w:val="0066348A"/>
    <w:rsid w:val="00664DE2"/>
    <w:rsid w:val="00667551"/>
    <w:rsid w:val="00667607"/>
    <w:rsid w:val="00673CC8"/>
    <w:rsid w:val="00674E00"/>
    <w:rsid w:val="00680520"/>
    <w:rsid w:val="00680C19"/>
    <w:rsid w:val="00685EC1"/>
    <w:rsid w:val="006937DC"/>
    <w:rsid w:val="0069538F"/>
    <w:rsid w:val="00696640"/>
    <w:rsid w:val="006A0A9C"/>
    <w:rsid w:val="006A3609"/>
    <w:rsid w:val="006A5642"/>
    <w:rsid w:val="006A652B"/>
    <w:rsid w:val="006A752A"/>
    <w:rsid w:val="006A784F"/>
    <w:rsid w:val="006A7A49"/>
    <w:rsid w:val="006A7DC8"/>
    <w:rsid w:val="006B5521"/>
    <w:rsid w:val="006B635F"/>
    <w:rsid w:val="006C4776"/>
    <w:rsid w:val="006C6CD5"/>
    <w:rsid w:val="006C73BD"/>
    <w:rsid w:val="006D0150"/>
    <w:rsid w:val="006E0C60"/>
    <w:rsid w:val="006E1056"/>
    <w:rsid w:val="006E10B6"/>
    <w:rsid w:val="006E57D2"/>
    <w:rsid w:val="006E5CE3"/>
    <w:rsid w:val="006E7F50"/>
    <w:rsid w:val="006F1E73"/>
    <w:rsid w:val="006F1F38"/>
    <w:rsid w:val="006F76D5"/>
    <w:rsid w:val="00702D58"/>
    <w:rsid w:val="00710E3F"/>
    <w:rsid w:val="00713862"/>
    <w:rsid w:val="00714428"/>
    <w:rsid w:val="00723185"/>
    <w:rsid w:val="00723750"/>
    <w:rsid w:val="00725B33"/>
    <w:rsid w:val="007267A4"/>
    <w:rsid w:val="0073165A"/>
    <w:rsid w:val="00731D4A"/>
    <w:rsid w:val="00733654"/>
    <w:rsid w:val="007353E9"/>
    <w:rsid w:val="00736F71"/>
    <w:rsid w:val="00740495"/>
    <w:rsid w:val="007419AF"/>
    <w:rsid w:val="007422DA"/>
    <w:rsid w:val="00750604"/>
    <w:rsid w:val="00753B73"/>
    <w:rsid w:val="00753CFF"/>
    <w:rsid w:val="007629D4"/>
    <w:rsid w:val="00763806"/>
    <w:rsid w:val="00766108"/>
    <w:rsid w:val="00767508"/>
    <w:rsid w:val="007735FC"/>
    <w:rsid w:val="0078009E"/>
    <w:rsid w:val="007811CE"/>
    <w:rsid w:val="00781810"/>
    <w:rsid w:val="00781E85"/>
    <w:rsid w:val="00782D6A"/>
    <w:rsid w:val="00784EDD"/>
    <w:rsid w:val="007872A6"/>
    <w:rsid w:val="00790EDB"/>
    <w:rsid w:val="00794D2F"/>
    <w:rsid w:val="00796CCD"/>
    <w:rsid w:val="007A0792"/>
    <w:rsid w:val="007A1D18"/>
    <w:rsid w:val="007A3F8C"/>
    <w:rsid w:val="007A5567"/>
    <w:rsid w:val="007A686C"/>
    <w:rsid w:val="007A6D26"/>
    <w:rsid w:val="007B0D34"/>
    <w:rsid w:val="007B674A"/>
    <w:rsid w:val="007B768C"/>
    <w:rsid w:val="007C0273"/>
    <w:rsid w:val="007C2C1A"/>
    <w:rsid w:val="007C4EC5"/>
    <w:rsid w:val="007C67BC"/>
    <w:rsid w:val="007D01BC"/>
    <w:rsid w:val="007D0FDF"/>
    <w:rsid w:val="007D5BF4"/>
    <w:rsid w:val="007D677C"/>
    <w:rsid w:val="007D7F53"/>
    <w:rsid w:val="007E368B"/>
    <w:rsid w:val="007E3A33"/>
    <w:rsid w:val="007F0520"/>
    <w:rsid w:val="007F0D77"/>
    <w:rsid w:val="007F0FA9"/>
    <w:rsid w:val="007F22A5"/>
    <w:rsid w:val="007F2B5D"/>
    <w:rsid w:val="007F4DE1"/>
    <w:rsid w:val="007F6050"/>
    <w:rsid w:val="008015DB"/>
    <w:rsid w:val="00802503"/>
    <w:rsid w:val="00802A06"/>
    <w:rsid w:val="008110A4"/>
    <w:rsid w:val="008152BA"/>
    <w:rsid w:val="00816A35"/>
    <w:rsid w:val="00817CDC"/>
    <w:rsid w:val="00820A47"/>
    <w:rsid w:val="00820C4B"/>
    <w:rsid w:val="008218B3"/>
    <w:rsid w:val="00825D01"/>
    <w:rsid w:val="008344DC"/>
    <w:rsid w:val="00834A70"/>
    <w:rsid w:val="00835684"/>
    <w:rsid w:val="008368A1"/>
    <w:rsid w:val="00837221"/>
    <w:rsid w:val="0083767C"/>
    <w:rsid w:val="00840877"/>
    <w:rsid w:val="00842623"/>
    <w:rsid w:val="008450EE"/>
    <w:rsid w:val="00845234"/>
    <w:rsid w:val="008465B9"/>
    <w:rsid w:val="00847300"/>
    <w:rsid w:val="00850096"/>
    <w:rsid w:val="0085019A"/>
    <w:rsid w:val="00850AFC"/>
    <w:rsid w:val="00853C59"/>
    <w:rsid w:val="00856DA7"/>
    <w:rsid w:val="00861AA7"/>
    <w:rsid w:val="00864D59"/>
    <w:rsid w:val="00865023"/>
    <w:rsid w:val="008679AB"/>
    <w:rsid w:val="00875211"/>
    <w:rsid w:val="00876C13"/>
    <w:rsid w:val="00882CD6"/>
    <w:rsid w:val="008856ED"/>
    <w:rsid w:val="008866DC"/>
    <w:rsid w:val="00887A8C"/>
    <w:rsid w:val="00891555"/>
    <w:rsid w:val="008918A3"/>
    <w:rsid w:val="008942A4"/>
    <w:rsid w:val="008975AB"/>
    <w:rsid w:val="008A3D05"/>
    <w:rsid w:val="008A496C"/>
    <w:rsid w:val="008A4B4A"/>
    <w:rsid w:val="008B096A"/>
    <w:rsid w:val="008B2A60"/>
    <w:rsid w:val="008B58DF"/>
    <w:rsid w:val="008B7EC1"/>
    <w:rsid w:val="008C1D79"/>
    <w:rsid w:val="008C42B0"/>
    <w:rsid w:val="008C7237"/>
    <w:rsid w:val="008D0179"/>
    <w:rsid w:val="008D07CC"/>
    <w:rsid w:val="008D0AF7"/>
    <w:rsid w:val="008D3F9D"/>
    <w:rsid w:val="008D4853"/>
    <w:rsid w:val="008D6EE8"/>
    <w:rsid w:val="008E3117"/>
    <w:rsid w:val="008E3180"/>
    <w:rsid w:val="008E6069"/>
    <w:rsid w:val="008F10D9"/>
    <w:rsid w:val="008F1CAB"/>
    <w:rsid w:val="008F235F"/>
    <w:rsid w:val="008F2785"/>
    <w:rsid w:val="008F4AB7"/>
    <w:rsid w:val="008F5475"/>
    <w:rsid w:val="008F637A"/>
    <w:rsid w:val="009016F7"/>
    <w:rsid w:val="00902001"/>
    <w:rsid w:val="009035FA"/>
    <w:rsid w:val="00917ADE"/>
    <w:rsid w:val="00920A11"/>
    <w:rsid w:val="00920F8D"/>
    <w:rsid w:val="00922E3D"/>
    <w:rsid w:val="00924250"/>
    <w:rsid w:val="00925C41"/>
    <w:rsid w:val="00925F1A"/>
    <w:rsid w:val="009304FE"/>
    <w:rsid w:val="00930C70"/>
    <w:rsid w:val="00931525"/>
    <w:rsid w:val="00943EED"/>
    <w:rsid w:val="00951008"/>
    <w:rsid w:val="00951CA2"/>
    <w:rsid w:val="00952574"/>
    <w:rsid w:val="009532EE"/>
    <w:rsid w:val="009624C2"/>
    <w:rsid w:val="009635B0"/>
    <w:rsid w:val="00963809"/>
    <w:rsid w:val="00964E91"/>
    <w:rsid w:val="009673C5"/>
    <w:rsid w:val="00972CDC"/>
    <w:rsid w:val="00976FAE"/>
    <w:rsid w:val="0097768E"/>
    <w:rsid w:val="00980373"/>
    <w:rsid w:val="00983BB0"/>
    <w:rsid w:val="009864E5"/>
    <w:rsid w:val="00986BFC"/>
    <w:rsid w:val="00987640"/>
    <w:rsid w:val="0099527A"/>
    <w:rsid w:val="009976A6"/>
    <w:rsid w:val="009A11A7"/>
    <w:rsid w:val="009A1C44"/>
    <w:rsid w:val="009A3D78"/>
    <w:rsid w:val="009A5602"/>
    <w:rsid w:val="009A7013"/>
    <w:rsid w:val="009A76A6"/>
    <w:rsid w:val="009B2E3F"/>
    <w:rsid w:val="009B3A3C"/>
    <w:rsid w:val="009B76A2"/>
    <w:rsid w:val="009C20EE"/>
    <w:rsid w:val="009C2A3E"/>
    <w:rsid w:val="009E1A48"/>
    <w:rsid w:val="009E421A"/>
    <w:rsid w:val="009E5CAC"/>
    <w:rsid w:val="009F0A6D"/>
    <w:rsid w:val="009F3FAC"/>
    <w:rsid w:val="009F561D"/>
    <w:rsid w:val="00A000E0"/>
    <w:rsid w:val="00A021C7"/>
    <w:rsid w:val="00A03924"/>
    <w:rsid w:val="00A100C1"/>
    <w:rsid w:val="00A11F15"/>
    <w:rsid w:val="00A1575B"/>
    <w:rsid w:val="00A2180A"/>
    <w:rsid w:val="00A25083"/>
    <w:rsid w:val="00A25E38"/>
    <w:rsid w:val="00A307AF"/>
    <w:rsid w:val="00A335FA"/>
    <w:rsid w:val="00A339BC"/>
    <w:rsid w:val="00A36A2A"/>
    <w:rsid w:val="00A375BE"/>
    <w:rsid w:val="00A37627"/>
    <w:rsid w:val="00A40730"/>
    <w:rsid w:val="00A44076"/>
    <w:rsid w:val="00A44B8F"/>
    <w:rsid w:val="00A47392"/>
    <w:rsid w:val="00A47466"/>
    <w:rsid w:val="00A4768B"/>
    <w:rsid w:val="00A5330C"/>
    <w:rsid w:val="00A54893"/>
    <w:rsid w:val="00A56075"/>
    <w:rsid w:val="00A62042"/>
    <w:rsid w:val="00A63932"/>
    <w:rsid w:val="00A64419"/>
    <w:rsid w:val="00A7488A"/>
    <w:rsid w:val="00A752F0"/>
    <w:rsid w:val="00A80E6B"/>
    <w:rsid w:val="00A81DB9"/>
    <w:rsid w:val="00A830BF"/>
    <w:rsid w:val="00A85482"/>
    <w:rsid w:val="00A901D9"/>
    <w:rsid w:val="00A92867"/>
    <w:rsid w:val="00AA5978"/>
    <w:rsid w:val="00AA605A"/>
    <w:rsid w:val="00AB0D8F"/>
    <w:rsid w:val="00AB146C"/>
    <w:rsid w:val="00AB1CB3"/>
    <w:rsid w:val="00AB485A"/>
    <w:rsid w:val="00AB6AE9"/>
    <w:rsid w:val="00AC2253"/>
    <w:rsid w:val="00AC727B"/>
    <w:rsid w:val="00AD1586"/>
    <w:rsid w:val="00AD48BB"/>
    <w:rsid w:val="00AD606E"/>
    <w:rsid w:val="00AE04CE"/>
    <w:rsid w:val="00AE053E"/>
    <w:rsid w:val="00AE11AC"/>
    <w:rsid w:val="00AE21EC"/>
    <w:rsid w:val="00AE4C2C"/>
    <w:rsid w:val="00AE558F"/>
    <w:rsid w:val="00AE55CD"/>
    <w:rsid w:val="00AE6767"/>
    <w:rsid w:val="00AF07F6"/>
    <w:rsid w:val="00AF1765"/>
    <w:rsid w:val="00AF74D3"/>
    <w:rsid w:val="00B01F64"/>
    <w:rsid w:val="00B072EB"/>
    <w:rsid w:val="00B106B4"/>
    <w:rsid w:val="00B10AE8"/>
    <w:rsid w:val="00B1319C"/>
    <w:rsid w:val="00B138A6"/>
    <w:rsid w:val="00B13ECC"/>
    <w:rsid w:val="00B1441C"/>
    <w:rsid w:val="00B164E6"/>
    <w:rsid w:val="00B16CDC"/>
    <w:rsid w:val="00B17BCA"/>
    <w:rsid w:val="00B21E93"/>
    <w:rsid w:val="00B245F0"/>
    <w:rsid w:val="00B27575"/>
    <w:rsid w:val="00B32AD7"/>
    <w:rsid w:val="00B35B80"/>
    <w:rsid w:val="00B40DBB"/>
    <w:rsid w:val="00B4105B"/>
    <w:rsid w:val="00B41FC6"/>
    <w:rsid w:val="00B5004C"/>
    <w:rsid w:val="00B5012C"/>
    <w:rsid w:val="00B50C4F"/>
    <w:rsid w:val="00B5103B"/>
    <w:rsid w:val="00B51968"/>
    <w:rsid w:val="00B569C4"/>
    <w:rsid w:val="00B62C20"/>
    <w:rsid w:val="00B62E86"/>
    <w:rsid w:val="00B645A7"/>
    <w:rsid w:val="00B67D3B"/>
    <w:rsid w:val="00B70BC4"/>
    <w:rsid w:val="00B74B06"/>
    <w:rsid w:val="00B74C38"/>
    <w:rsid w:val="00B75ECA"/>
    <w:rsid w:val="00B75F5A"/>
    <w:rsid w:val="00B76DEA"/>
    <w:rsid w:val="00B80F0B"/>
    <w:rsid w:val="00B811FF"/>
    <w:rsid w:val="00B82113"/>
    <w:rsid w:val="00B85CC5"/>
    <w:rsid w:val="00B85F12"/>
    <w:rsid w:val="00B8607D"/>
    <w:rsid w:val="00B861E9"/>
    <w:rsid w:val="00B8661D"/>
    <w:rsid w:val="00B86B7F"/>
    <w:rsid w:val="00B878E0"/>
    <w:rsid w:val="00B94886"/>
    <w:rsid w:val="00B957CF"/>
    <w:rsid w:val="00B9580A"/>
    <w:rsid w:val="00BA07F1"/>
    <w:rsid w:val="00BA1A8E"/>
    <w:rsid w:val="00BA1D77"/>
    <w:rsid w:val="00BA2601"/>
    <w:rsid w:val="00BA2801"/>
    <w:rsid w:val="00BA2CD2"/>
    <w:rsid w:val="00BA3D09"/>
    <w:rsid w:val="00BA4432"/>
    <w:rsid w:val="00BA5DA0"/>
    <w:rsid w:val="00BA6473"/>
    <w:rsid w:val="00BB357A"/>
    <w:rsid w:val="00BB470C"/>
    <w:rsid w:val="00BB4AC6"/>
    <w:rsid w:val="00BB58FB"/>
    <w:rsid w:val="00BC0DD2"/>
    <w:rsid w:val="00BC4556"/>
    <w:rsid w:val="00BD1E0B"/>
    <w:rsid w:val="00BD4E4D"/>
    <w:rsid w:val="00BD6020"/>
    <w:rsid w:val="00BD7C12"/>
    <w:rsid w:val="00BE085D"/>
    <w:rsid w:val="00BE236B"/>
    <w:rsid w:val="00BE388C"/>
    <w:rsid w:val="00BE4A9B"/>
    <w:rsid w:val="00BE55B4"/>
    <w:rsid w:val="00BE5724"/>
    <w:rsid w:val="00BF3C4C"/>
    <w:rsid w:val="00BF3F0B"/>
    <w:rsid w:val="00BF4908"/>
    <w:rsid w:val="00C00B33"/>
    <w:rsid w:val="00C00E70"/>
    <w:rsid w:val="00C10C88"/>
    <w:rsid w:val="00C175C7"/>
    <w:rsid w:val="00C20FB9"/>
    <w:rsid w:val="00C214F4"/>
    <w:rsid w:val="00C2270D"/>
    <w:rsid w:val="00C23F7D"/>
    <w:rsid w:val="00C24072"/>
    <w:rsid w:val="00C2772F"/>
    <w:rsid w:val="00C3107C"/>
    <w:rsid w:val="00C31836"/>
    <w:rsid w:val="00C334C5"/>
    <w:rsid w:val="00C33C30"/>
    <w:rsid w:val="00C37968"/>
    <w:rsid w:val="00C42ED1"/>
    <w:rsid w:val="00C45918"/>
    <w:rsid w:val="00C45A6E"/>
    <w:rsid w:val="00C4642E"/>
    <w:rsid w:val="00C46DFB"/>
    <w:rsid w:val="00C47C2A"/>
    <w:rsid w:val="00C50044"/>
    <w:rsid w:val="00C529F6"/>
    <w:rsid w:val="00C533BA"/>
    <w:rsid w:val="00C5458C"/>
    <w:rsid w:val="00C55ABB"/>
    <w:rsid w:val="00C6039D"/>
    <w:rsid w:val="00C617C7"/>
    <w:rsid w:val="00C65091"/>
    <w:rsid w:val="00C71EB3"/>
    <w:rsid w:val="00C74DC0"/>
    <w:rsid w:val="00C82EB2"/>
    <w:rsid w:val="00C83032"/>
    <w:rsid w:val="00C83464"/>
    <w:rsid w:val="00C85104"/>
    <w:rsid w:val="00C9059A"/>
    <w:rsid w:val="00C9284D"/>
    <w:rsid w:val="00C93E8C"/>
    <w:rsid w:val="00C950D2"/>
    <w:rsid w:val="00C959A4"/>
    <w:rsid w:val="00C97810"/>
    <w:rsid w:val="00CA4577"/>
    <w:rsid w:val="00CA4F9B"/>
    <w:rsid w:val="00CA6900"/>
    <w:rsid w:val="00CB1395"/>
    <w:rsid w:val="00CB3202"/>
    <w:rsid w:val="00CB496F"/>
    <w:rsid w:val="00CB5A41"/>
    <w:rsid w:val="00CB5FB9"/>
    <w:rsid w:val="00CB617B"/>
    <w:rsid w:val="00CB6576"/>
    <w:rsid w:val="00CC01F1"/>
    <w:rsid w:val="00CC1A6F"/>
    <w:rsid w:val="00CC4AE4"/>
    <w:rsid w:val="00CC5ED9"/>
    <w:rsid w:val="00CC7937"/>
    <w:rsid w:val="00CD1C58"/>
    <w:rsid w:val="00CD2C6F"/>
    <w:rsid w:val="00CD33BB"/>
    <w:rsid w:val="00CD77DB"/>
    <w:rsid w:val="00CE69E2"/>
    <w:rsid w:val="00CF23A4"/>
    <w:rsid w:val="00CF522A"/>
    <w:rsid w:val="00CF5CF1"/>
    <w:rsid w:val="00CF6713"/>
    <w:rsid w:val="00CF74B3"/>
    <w:rsid w:val="00D00293"/>
    <w:rsid w:val="00D0442B"/>
    <w:rsid w:val="00D1205E"/>
    <w:rsid w:val="00D12332"/>
    <w:rsid w:val="00D1267B"/>
    <w:rsid w:val="00D14E6C"/>
    <w:rsid w:val="00D15206"/>
    <w:rsid w:val="00D16E7E"/>
    <w:rsid w:val="00D20E07"/>
    <w:rsid w:val="00D250BA"/>
    <w:rsid w:val="00D26E6D"/>
    <w:rsid w:val="00D30DA5"/>
    <w:rsid w:val="00D33823"/>
    <w:rsid w:val="00D376C7"/>
    <w:rsid w:val="00D43ACA"/>
    <w:rsid w:val="00D449CE"/>
    <w:rsid w:val="00D468FF"/>
    <w:rsid w:val="00D46A44"/>
    <w:rsid w:val="00D4729B"/>
    <w:rsid w:val="00D508C0"/>
    <w:rsid w:val="00D56029"/>
    <w:rsid w:val="00D61519"/>
    <w:rsid w:val="00D6349E"/>
    <w:rsid w:val="00D64C64"/>
    <w:rsid w:val="00D67768"/>
    <w:rsid w:val="00D76B2A"/>
    <w:rsid w:val="00D76B44"/>
    <w:rsid w:val="00D8058D"/>
    <w:rsid w:val="00D831B6"/>
    <w:rsid w:val="00D8380D"/>
    <w:rsid w:val="00D83FFE"/>
    <w:rsid w:val="00D921B9"/>
    <w:rsid w:val="00D9321E"/>
    <w:rsid w:val="00D939A8"/>
    <w:rsid w:val="00D965D1"/>
    <w:rsid w:val="00D96CCA"/>
    <w:rsid w:val="00DA0AA4"/>
    <w:rsid w:val="00DA2507"/>
    <w:rsid w:val="00DA479F"/>
    <w:rsid w:val="00DA57E9"/>
    <w:rsid w:val="00DB52CC"/>
    <w:rsid w:val="00DB6623"/>
    <w:rsid w:val="00DC10C1"/>
    <w:rsid w:val="00DC39F3"/>
    <w:rsid w:val="00DC55EA"/>
    <w:rsid w:val="00DD534B"/>
    <w:rsid w:val="00DD563E"/>
    <w:rsid w:val="00DE1ECB"/>
    <w:rsid w:val="00DE2453"/>
    <w:rsid w:val="00DE33F2"/>
    <w:rsid w:val="00DF6F8F"/>
    <w:rsid w:val="00DF7690"/>
    <w:rsid w:val="00E01C6A"/>
    <w:rsid w:val="00E0308D"/>
    <w:rsid w:val="00E10542"/>
    <w:rsid w:val="00E107A5"/>
    <w:rsid w:val="00E11ED6"/>
    <w:rsid w:val="00E1432E"/>
    <w:rsid w:val="00E15A08"/>
    <w:rsid w:val="00E16E40"/>
    <w:rsid w:val="00E17B53"/>
    <w:rsid w:val="00E2249A"/>
    <w:rsid w:val="00E23280"/>
    <w:rsid w:val="00E25B51"/>
    <w:rsid w:val="00E277CC"/>
    <w:rsid w:val="00E3177B"/>
    <w:rsid w:val="00E32CC9"/>
    <w:rsid w:val="00E32D67"/>
    <w:rsid w:val="00E34B54"/>
    <w:rsid w:val="00E36558"/>
    <w:rsid w:val="00E4432D"/>
    <w:rsid w:val="00E44427"/>
    <w:rsid w:val="00E4459B"/>
    <w:rsid w:val="00E544C0"/>
    <w:rsid w:val="00E559BC"/>
    <w:rsid w:val="00E559E8"/>
    <w:rsid w:val="00E56D00"/>
    <w:rsid w:val="00E6468D"/>
    <w:rsid w:val="00E667EF"/>
    <w:rsid w:val="00E7036C"/>
    <w:rsid w:val="00E7039F"/>
    <w:rsid w:val="00E763FC"/>
    <w:rsid w:val="00E84500"/>
    <w:rsid w:val="00E92503"/>
    <w:rsid w:val="00E975AF"/>
    <w:rsid w:val="00EA148D"/>
    <w:rsid w:val="00EA6441"/>
    <w:rsid w:val="00EB053A"/>
    <w:rsid w:val="00EB5742"/>
    <w:rsid w:val="00EB77AF"/>
    <w:rsid w:val="00EC39A3"/>
    <w:rsid w:val="00EC582A"/>
    <w:rsid w:val="00ED1432"/>
    <w:rsid w:val="00ED4683"/>
    <w:rsid w:val="00ED55CF"/>
    <w:rsid w:val="00ED578B"/>
    <w:rsid w:val="00ED5833"/>
    <w:rsid w:val="00ED7075"/>
    <w:rsid w:val="00ED75F5"/>
    <w:rsid w:val="00EE12A5"/>
    <w:rsid w:val="00EE2402"/>
    <w:rsid w:val="00EF30F5"/>
    <w:rsid w:val="00EF5E8F"/>
    <w:rsid w:val="00F02E8C"/>
    <w:rsid w:val="00F03031"/>
    <w:rsid w:val="00F04C66"/>
    <w:rsid w:val="00F06077"/>
    <w:rsid w:val="00F07578"/>
    <w:rsid w:val="00F07B1C"/>
    <w:rsid w:val="00F11F45"/>
    <w:rsid w:val="00F120B1"/>
    <w:rsid w:val="00F17922"/>
    <w:rsid w:val="00F208B8"/>
    <w:rsid w:val="00F216B6"/>
    <w:rsid w:val="00F2176A"/>
    <w:rsid w:val="00F230D5"/>
    <w:rsid w:val="00F24B1B"/>
    <w:rsid w:val="00F25F67"/>
    <w:rsid w:val="00F25F84"/>
    <w:rsid w:val="00F26126"/>
    <w:rsid w:val="00F267B8"/>
    <w:rsid w:val="00F276D8"/>
    <w:rsid w:val="00F34072"/>
    <w:rsid w:val="00F34899"/>
    <w:rsid w:val="00F378A3"/>
    <w:rsid w:val="00F42FD2"/>
    <w:rsid w:val="00F43D3A"/>
    <w:rsid w:val="00F4401F"/>
    <w:rsid w:val="00F46957"/>
    <w:rsid w:val="00F46E63"/>
    <w:rsid w:val="00F475FD"/>
    <w:rsid w:val="00F5375F"/>
    <w:rsid w:val="00F55FB7"/>
    <w:rsid w:val="00F605BA"/>
    <w:rsid w:val="00F62FFB"/>
    <w:rsid w:val="00F66975"/>
    <w:rsid w:val="00F6780D"/>
    <w:rsid w:val="00F67875"/>
    <w:rsid w:val="00F7220B"/>
    <w:rsid w:val="00F726EB"/>
    <w:rsid w:val="00F731E0"/>
    <w:rsid w:val="00F75F0E"/>
    <w:rsid w:val="00F8100B"/>
    <w:rsid w:val="00F81E2D"/>
    <w:rsid w:val="00F84A2B"/>
    <w:rsid w:val="00F91BA5"/>
    <w:rsid w:val="00F92E73"/>
    <w:rsid w:val="00F95B48"/>
    <w:rsid w:val="00FA304B"/>
    <w:rsid w:val="00FA6A14"/>
    <w:rsid w:val="00FA7694"/>
    <w:rsid w:val="00FB078C"/>
    <w:rsid w:val="00FB4A8F"/>
    <w:rsid w:val="00FB5477"/>
    <w:rsid w:val="00FB5ACB"/>
    <w:rsid w:val="00FC0C62"/>
    <w:rsid w:val="00FC577D"/>
    <w:rsid w:val="00FC7E7B"/>
    <w:rsid w:val="00FD1BDE"/>
    <w:rsid w:val="00FD27A3"/>
    <w:rsid w:val="00FD4151"/>
    <w:rsid w:val="00FD7B75"/>
    <w:rsid w:val="00FE154E"/>
    <w:rsid w:val="00FE1975"/>
    <w:rsid w:val="00FE3C9B"/>
    <w:rsid w:val="00FE4BEF"/>
    <w:rsid w:val="00FE60AF"/>
    <w:rsid w:val="00FE6453"/>
    <w:rsid w:val="00FF0864"/>
    <w:rsid w:val="00FF56F3"/>
    <w:rsid w:val="00FF63D5"/>
    <w:rsid w:val="03150A36"/>
    <w:rsid w:val="101E2CE0"/>
    <w:rsid w:val="12A1E44D"/>
    <w:rsid w:val="15AD5F13"/>
    <w:rsid w:val="1C923B21"/>
    <w:rsid w:val="2F775452"/>
    <w:rsid w:val="347D9F5B"/>
    <w:rsid w:val="436D05C0"/>
    <w:rsid w:val="46C68C71"/>
    <w:rsid w:val="48625CD2"/>
    <w:rsid w:val="4F7BEA41"/>
    <w:rsid w:val="560C9EDF"/>
    <w:rsid w:val="598FC5F6"/>
    <w:rsid w:val="59F86619"/>
    <w:rsid w:val="5C8ABBF4"/>
    <w:rsid w:val="64F621D1"/>
    <w:rsid w:val="6B8E9391"/>
    <w:rsid w:val="7240D7CE"/>
    <w:rsid w:val="770D6538"/>
    <w:rsid w:val="79DF1E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270D"/>
  <w15:docId w15:val="{E675C9C6-60B3-4575-BF9A-1AE829F8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es-ES" w:eastAsia="es-CO"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E2C"/>
    <w:rPr>
      <w:szCs w:val="22"/>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E66E2C"/>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paragraph" w:styleId="Ttulo5">
    <w:name w:val="heading 5"/>
    <w:basedOn w:val="Normal"/>
    <w:next w:val="Normal"/>
    <w:uiPriority w:val="9"/>
    <w:semiHidden/>
    <w:unhideWhenUsed/>
    <w:qFormat/>
    <w:pPr>
      <w:keepNext/>
      <w:keepLines/>
      <w:spacing w:before="220" w:after="40"/>
      <w:outlineLvl w:val="4"/>
    </w:pPr>
    <w:rPr>
      <w:b/>
      <w:sz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NormalTable1">
    <w:name w:val="Normal Table1"/>
    <w:tblPr>
      <w:tblCellMar>
        <w:top w:w="0" w:type="dxa"/>
        <w:left w:w="0" w:type="dxa"/>
        <w:bottom w:w="0" w:type="dxa"/>
        <w:right w:w="0" w:type="dxa"/>
      </w:tblCellMar>
    </w:tblPr>
  </w:style>
  <w:style w:type="character" w:customStyle="1" w:styleId="Ttulo4Car">
    <w:name w:val="Título 4 Car"/>
    <w:basedOn w:val="Fuentedeprrafopredeter"/>
    <w:link w:val="Ttulo4"/>
    <w:uiPriority w:val="9"/>
    <w:rsid w:val="00E66E2C"/>
    <w:rPr>
      <w:rFonts w:ascii="Times New Roman" w:eastAsia="Times New Roman" w:hAnsi="Times New Roman" w:cs="Times New Roman"/>
      <w:b/>
      <w:szCs w:val="20"/>
      <w:lang w:val="es-ES" w:eastAsia="es-ES"/>
    </w:rPr>
  </w:style>
  <w:style w:type="paragraph" w:styleId="Prrafodelista">
    <w:name w:val="List Paragraph"/>
    <w:basedOn w:val="Normal"/>
    <w:uiPriority w:val="34"/>
    <w:qFormat/>
    <w:rsid w:val="00E66E2C"/>
    <w:pPr>
      <w:ind w:left="720"/>
      <w:contextualSpacing/>
    </w:pPr>
  </w:style>
  <w:style w:type="paragraph" w:styleId="NormalWeb">
    <w:name w:val="Normal (Web)"/>
    <w:basedOn w:val="Normal"/>
    <w:uiPriority w:val="99"/>
    <w:unhideWhenUsed/>
    <w:rsid w:val="006427CC"/>
    <w:pPr>
      <w:spacing w:before="100" w:beforeAutospacing="1" w:after="100" w:afterAutospacing="1" w:line="240" w:lineRule="auto"/>
      <w:jc w:val="left"/>
    </w:pPr>
    <w:rPr>
      <w:rFonts w:ascii="Times New Roman" w:eastAsia="Times New Roman" w:hAnsi="Times New Roman" w:cs="Times New Roman"/>
      <w:szCs w:val="24"/>
      <w:lang w:val="es-CO"/>
    </w:rPr>
  </w:style>
  <w:style w:type="paragraph" w:styleId="Encabezado">
    <w:name w:val="header"/>
    <w:basedOn w:val="Normal"/>
    <w:link w:val="EncabezadoCar"/>
    <w:uiPriority w:val="99"/>
    <w:unhideWhenUsed/>
    <w:rsid w:val="00E826C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826C9"/>
    <w:rPr>
      <w:rFonts w:ascii="Tahoma" w:eastAsia="Tahoma" w:hAnsi="Tahoma" w:cs="Tahoma"/>
      <w:szCs w:val="22"/>
      <w:lang w:val="es-ES" w:eastAsia="es-MX"/>
    </w:rPr>
  </w:style>
  <w:style w:type="paragraph" w:styleId="Piedepgina">
    <w:name w:val="footer"/>
    <w:basedOn w:val="Normal"/>
    <w:link w:val="PiedepginaCar"/>
    <w:uiPriority w:val="99"/>
    <w:unhideWhenUsed/>
    <w:rsid w:val="00E826C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826C9"/>
    <w:rPr>
      <w:rFonts w:ascii="Tahoma" w:eastAsia="Tahoma" w:hAnsi="Tahoma" w:cs="Tahoma"/>
      <w:szCs w:val="22"/>
      <w:lang w:val="es-ES"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Fuentedeprrafopredeter"/>
    <w:rsid w:val="00ED578B"/>
  </w:style>
  <w:style w:type="paragraph" w:customStyle="1" w:styleId="paragraph">
    <w:name w:val="paragraph"/>
    <w:basedOn w:val="Normal"/>
    <w:rsid w:val="00ED578B"/>
    <w:pPr>
      <w:spacing w:before="100" w:beforeAutospacing="1" w:after="100" w:afterAutospacing="1" w:line="240" w:lineRule="auto"/>
      <w:jc w:val="left"/>
    </w:pPr>
    <w:rPr>
      <w:rFonts w:ascii="Times New Roman" w:eastAsia="Times New Roman" w:hAnsi="Times New Roman" w:cs="Times New Roman"/>
      <w:szCs w:val="24"/>
      <w:lang w:val="es-CO" w:eastAsia="es-ES_tradnl"/>
    </w:rPr>
  </w:style>
  <w:style w:type="paragraph" w:customStyle="1" w:styleId="Prrafodelista2">
    <w:name w:val="Párrafo de lista2"/>
    <w:basedOn w:val="Normal"/>
    <w:rsid w:val="00ED578B"/>
    <w:pPr>
      <w:spacing w:after="200" w:line="276" w:lineRule="auto"/>
      <w:ind w:left="720"/>
      <w:contextualSpacing/>
      <w:jc w:val="left"/>
    </w:pPr>
    <w:rPr>
      <w:rFonts w:ascii="Calibri" w:eastAsia="Times New Roman" w:hAnsi="Calibri" w:cs="Times New Roman"/>
      <w:sz w:val="22"/>
      <w:lang w:val="es-CO" w:eastAsia="en-US"/>
    </w:rPr>
  </w:style>
  <w:style w:type="character" w:customStyle="1" w:styleId="eop">
    <w:name w:val="eop"/>
    <w:basedOn w:val="Fuentedeprrafopredeter"/>
    <w:rsid w:val="00C82EB2"/>
  </w:style>
  <w:style w:type="paragraph" w:styleId="Textonotapie">
    <w:name w:val="footnote text"/>
    <w:basedOn w:val="Normal"/>
    <w:link w:val="TextonotapieCar"/>
    <w:uiPriority w:val="99"/>
    <w:semiHidden/>
    <w:unhideWhenUsed/>
    <w:rsid w:val="006161F0"/>
    <w:pPr>
      <w:spacing w:line="240" w:lineRule="auto"/>
    </w:pPr>
    <w:rPr>
      <w:sz w:val="20"/>
      <w:szCs w:val="20"/>
    </w:rPr>
  </w:style>
  <w:style w:type="character" w:customStyle="1" w:styleId="TextonotapieCar">
    <w:name w:val="Texto nota pie Car"/>
    <w:basedOn w:val="Fuentedeprrafopredeter"/>
    <w:link w:val="Textonotapie"/>
    <w:uiPriority w:val="99"/>
    <w:semiHidden/>
    <w:rsid w:val="006161F0"/>
    <w:rPr>
      <w:sz w:val="20"/>
      <w:szCs w:val="20"/>
    </w:rPr>
  </w:style>
  <w:style w:type="character" w:styleId="Refdenotaalpie">
    <w:name w:val="footnote reference"/>
    <w:basedOn w:val="Fuentedeprrafopredeter"/>
    <w:semiHidden/>
    <w:unhideWhenUsed/>
    <w:rsid w:val="006161F0"/>
    <w:rPr>
      <w:vertAlign w:val="superscript"/>
    </w:rPr>
  </w:style>
  <w:style w:type="table" w:styleId="Tablaconcuadrcula">
    <w:name w:val="Table Grid"/>
    <w:basedOn w:val="Tablanormal"/>
    <w:uiPriority w:val="39"/>
    <w:rsid w:val="001508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84EDD"/>
    <w:rPr>
      <w:color w:val="0563C1" w:themeColor="hyperlink"/>
      <w:u w:val="single"/>
    </w:rPr>
  </w:style>
  <w:style w:type="character" w:customStyle="1" w:styleId="Mencinsinresolver1">
    <w:name w:val="Mención sin resolver1"/>
    <w:basedOn w:val="Fuentedeprrafopredeter"/>
    <w:uiPriority w:val="99"/>
    <w:rsid w:val="00784EDD"/>
    <w:rPr>
      <w:color w:val="605E5C"/>
      <w:shd w:val="clear" w:color="auto" w:fill="E1DFDD"/>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80216">
      <w:bodyDiv w:val="1"/>
      <w:marLeft w:val="0"/>
      <w:marRight w:val="0"/>
      <w:marTop w:val="0"/>
      <w:marBottom w:val="0"/>
      <w:divBdr>
        <w:top w:val="none" w:sz="0" w:space="0" w:color="auto"/>
        <w:left w:val="none" w:sz="0" w:space="0" w:color="auto"/>
        <w:bottom w:val="none" w:sz="0" w:space="0" w:color="auto"/>
        <w:right w:val="none" w:sz="0" w:space="0" w:color="auto"/>
      </w:divBdr>
    </w:div>
    <w:div w:id="404645657">
      <w:bodyDiv w:val="1"/>
      <w:marLeft w:val="0"/>
      <w:marRight w:val="0"/>
      <w:marTop w:val="0"/>
      <w:marBottom w:val="0"/>
      <w:divBdr>
        <w:top w:val="none" w:sz="0" w:space="0" w:color="auto"/>
        <w:left w:val="none" w:sz="0" w:space="0" w:color="auto"/>
        <w:bottom w:val="none" w:sz="0" w:space="0" w:color="auto"/>
        <w:right w:val="none" w:sz="0" w:space="0" w:color="auto"/>
      </w:divBdr>
    </w:div>
    <w:div w:id="1157109474">
      <w:bodyDiv w:val="1"/>
      <w:marLeft w:val="0"/>
      <w:marRight w:val="0"/>
      <w:marTop w:val="0"/>
      <w:marBottom w:val="0"/>
      <w:divBdr>
        <w:top w:val="none" w:sz="0" w:space="0" w:color="auto"/>
        <w:left w:val="none" w:sz="0" w:space="0" w:color="auto"/>
        <w:bottom w:val="none" w:sz="0" w:space="0" w:color="auto"/>
        <w:right w:val="none" w:sz="0" w:space="0" w:color="auto"/>
      </w:divBdr>
    </w:div>
    <w:div w:id="1164471413">
      <w:bodyDiv w:val="1"/>
      <w:marLeft w:val="0"/>
      <w:marRight w:val="0"/>
      <w:marTop w:val="0"/>
      <w:marBottom w:val="0"/>
      <w:divBdr>
        <w:top w:val="none" w:sz="0" w:space="0" w:color="auto"/>
        <w:left w:val="none" w:sz="0" w:space="0" w:color="auto"/>
        <w:bottom w:val="none" w:sz="0" w:space="0" w:color="auto"/>
        <w:right w:val="none" w:sz="0" w:space="0" w:color="auto"/>
      </w:divBdr>
    </w:div>
    <w:div w:id="1237277854">
      <w:bodyDiv w:val="1"/>
      <w:marLeft w:val="0"/>
      <w:marRight w:val="0"/>
      <w:marTop w:val="0"/>
      <w:marBottom w:val="0"/>
      <w:divBdr>
        <w:top w:val="none" w:sz="0" w:space="0" w:color="auto"/>
        <w:left w:val="none" w:sz="0" w:space="0" w:color="auto"/>
        <w:bottom w:val="none" w:sz="0" w:space="0" w:color="auto"/>
        <w:right w:val="none" w:sz="0" w:space="0" w:color="auto"/>
      </w:divBdr>
    </w:div>
    <w:div w:id="1256285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ecretariasenado.gov.co/senado/basedoc/codigo_sustantivo_trabajo_pr001.html" TargetMode="External"/><Relationship Id="rId1" Type="http://schemas.openxmlformats.org/officeDocument/2006/relationships/hyperlink" Target="http://www.secretariasenado.gov.co/senado/basedoc/codigo_sustantivo_trabajo_pr00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BZvYUK2cpxoaOLw1UkVpAlulbNg==">AMUW2mX96kHlnmn9sDjOsD8zwR8KQz+kl+EBXvLd/HVy/09u6kBdPNrMwHtU9X3uGTTAsxXyNq5trMHOraJJy9o8qK7C0x7ZpWTu7mMDmqJ+mXmKLb/46y4=</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2FFB7-636F-4775-9807-C346C1E5B4C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18CDDED-310C-43D7-B993-58F50E101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A6F515-D84D-4293-BD02-F2DFE6B3C201}">
  <ds:schemaRefs>
    <ds:schemaRef ds:uri="http://schemas.microsoft.com/sharepoint/v3/contenttype/forms"/>
  </ds:schemaRefs>
</ds:datastoreItem>
</file>

<file path=customXml/itemProps5.xml><?xml version="1.0" encoding="utf-8"?>
<ds:datastoreItem xmlns:ds="http://schemas.openxmlformats.org/officeDocument/2006/customXml" ds:itemID="{9258B1C1-3F3E-4DE1-A191-D5B7BF86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4535</Words>
  <Characters>24944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ayda matilde barbosa</dc:creator>
  <cp:lastModifiedBy>Hermides Alonso Gaviria Ocampo</cp:lastModifiedBy>
  <cp:revision>10</cp:revision>
  <dcterms:created xsi:type="dcterms:W3CDTF">2023-06-01T20:50:00Z</dcterms:created>
  <dcterms:modified xsi:type="dcterms:W3CDTF">2023-08-04T13:22:00Z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