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E383" w14:textId="77777777" w:rsidR="00EC7DA6" w:rsidRPr="00EC7DA6" w:rsidRDefault="00EC7DA6" w:rsidP="00EC7DA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4753143"/>
      <w:bookmarkStart w:id="1" w:name="_GoBack"/>
      <w:bookmarkEnd w:id="1"/>
      <w:r w:rsidRPr="00EC7DA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BFEC6E" w14:textId="77777777" w:rsidR="00EC7DA6" w:rsidRPr="00EC7DA6" w:rsidRDefault="00EC7DA6" w:rsidP="00EC7DA6">
      <w:pPr>
        <w:jc w:val="both"/>
        <w:rPr>
          <w:rFonts w:ascii="Arial" w:hAnsi="Arial" w:cs="Arial"/>
          <w:sz w:val="20"/>
          <w:szCs w:val="20"/>
          <w:lang w:val="es-419"/>
        </w:rPr>
      </w:pPr>
    </w:p>
    <w:p w14:paraId="011582DB" w14:textId="5B09A26E" w:rsidR="00EC7DA6" w:rsidRPr="00EC7DA6" w:rsidRDefault="00EC7DA6" w:rsidP="00EC7DA6">
      <w:pPr>
        <w:jc w:val="both"/>
        <w:rPr>
          <w:rFonts w:ascii="Arial" w:hAnsi="Arial" w:cs="Arial"/>
          <w:sz w:val="20"/>
          <w:szCs w:val="20"/>
          <w:lang w:val="es-419"/>
        </w:rPr>
      </w:pPr>
      <w:r w:rsidRPr="00EC7DA6">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EC7DA6">
        <w:rPr>
          <w:rFonts w:ascii="Arial" w:hAnsi="Arial" w:cs="Arial"/>
          <w:sz w:val="20"/>
          <w:szCs w:val="20"/>
          <w:lang w:val="es-419"/>
        </w:rPr>
        <w:t>Sentencia de 12 de enero de 2023</w:t>
      </w:r>
    </w:p>
    <w:p w14:paraId="3149CEFF" w14:textId="0DE5FE03" w:rsidR="00EC7DA6" w:rsidRPr="00EC7DA6" w:rsidRDefault="00EC7DA6" w:rsidP="00EC7DA6">
      <w:pPr>
        <w:jc w:val="both"/>
        <w:rPr>
          <w:rFonts w:ascii="Arial" w:hAnsi="Arial" w:cs="Arial"/>
          <w:sz w:val="20"/>
          <w:szCs w:val="20"/>
          <w:lang w:val="es-419"/>
        </w:rPr>
      </w:pPr>
      <w:r w:rsidRPr="00EC7DA6">
        <w:rPr>
          <w:rFonts w:ascii="Arial" w:hAnsi="Arial" w:cs="Arial"/>
          <w:sz w:val="20"/>
          <w:szCs w:val="20"/>
          <w:lang w:val="es-419"/>
        </w:rPr>
        <w:t>Radicación Nro.:</w:t>
      </w:r>
      <w:r w:rsidRPr="00EC7DA6">
        <w:rPr>
          <w:rFonts w:ascii="Arial" w:hAnsi="Arial" w:cs="Arial"/>
          <w:sz w:val="20"/>
          <w:szCs w:val="20"/>
          <w:lang w:val="es-419"/>
        </w:rPr>
        <w:tab/>
        <w:t>66001310500320220036601</w:t>
      </w:r>
    </w:p>
    <w:p w14:paraId="7796D265" w14:textId="11AF51E8" w:rsidR="00EC7DA6" w:rsidRPr="00EC7DA6" w:rsidRDefault="00EC7DA6" w:rsidP="00EC7DA6">
      <w:pPr>
        <w:jc w:val="both"/>
        <w:rPr>
          <w:rFonts w:ascii="Arial" w:hAnsi="Arial" w:cs="Arial"/>
          <w:sz w:val="20"/>
          <w:szCs w:val="20"/>
          <w:lang w:val="es-419"/>
        </w:rPr>
      </w:pPr>
      <w:r w:rsidRPr="00EC7DA6">
        <w:rPr>
          <w:rFonts w:ascii="Arial" w:hAnsi="Arial" w:cs="Arial"/>
          <w:sz w:val="20"/>
          <w:szCs w:val="20"/>
          <w:lang w:val="es-419"/>
        </w:rPr>
        <w:t>Accionante:</w:t>
      </w:r>
      <w:r w:rsidRPr="00EC7DA6">
        <w:rPr>
          <w:rFonts w:ascii="Arial" w:hAnsi="Arial" w:cs="Arial"/>
          <w:sz w:val="20"/>
          <w:szCs w:val="20"/>
          <w:lang w:val="es-419"/>
        </w:rPr>
        <w:tab/>
      </w:r>
      <w:r w:rsidRPr="00EC7DA6">
        <w:rPr>
          <w:rFonts w:ascii="Arial" w:hAnsi="Arial" w:cs="Arial"/>
          <w:sz w:val="20"/>
          <w:szCs w:val="20"/>
          <w:lang w:val="es-419"/>
        </w:rPr>
        <w:tab/>
        <w:t>Albeiro de Jesús Pino González</w:t>
      </w:r>
    </w:p>
    <w:p w14:paraId="70125626" w14:textId="63DA6F7A" w:rsidR="00EC7DA6" w:rsidRPr="00EC7DA6" w:rsidRDefault="00EC7DA6" w:rsidP="00EC7DA6">
      <w:pPr>
        <w:jc w:val="both"/>
        <w:rPr>
          <w:rFonts w:ascii="Arial" w:hAnsi="Arial" w:cs="Arial"/>
          <w:sz w:val="20"/>
          <w:szCs w:val="20"/>
          <w:lang w:val="es-419"/>
        </w:rPr>
      </w:pPr>
      <w:r w:rsidRPr="00EC7DA6">
        <w:rPr>
          <w:rFonts w:ascii="Arial" w:hAnsi="Arial" w:cs="Arial"/>
          <w:sz w:val="20"/>
          <w:szCs w:val="20"/>
          <w:lang w:val="es-419"/>
        </w:rPr>
        <w:t>Accionado:</w:t>
      </w:r>
      <w:r w:rsidRPr="00EC7DA6">
        <w:rPr>
          <w:rFonts w:ascii="Arial" w:hAnsi="Arial" w:cs="Arial"/>
          <w:sz w:val="20"/>
          <w:szCs w:val="20"/>
          <w:lang w:val="es-419"/>
        </w:rPr>
        <w:tab/>
      </w:r>
      <w:r>
        <w:rPr>
          <w:rFonts w:ascii="Arial" w:hAnsi="Arial" w:cs="Arial"/>
          <w:sz w:val="20"/>
          <w:szCs w:val="20"/>
          <w:lang w:val="es-419"/>
        </w:rPr>
        <w:tab/>
      </w:r>
      <w:r w:rsidRPr="00EC7DA6">
        <w:rPr>
          <w:rFonts w:ascii="Arial" w:hAnsi="Arial" w:cs="Arial"/>
          <w:sz w:val="20"/>
          <w:szCs w:val="20"/>
          <w:lang w:val="es-419"/>
        </w:rPr>
        <w:t xml:space="preserve">Administradora de Pensiones y Cesantías </w:t>
      </w:r>
      <w:r>
        <w:rPr>
          <w:rFonts w:ascii="Arial" w:hAnsi="Arial" w:cs="Arial"/>
          <w:sz w:val="20"/>
          <w:szCs w:val="20"/>
          <w:lang w:val="es-419"/>
        </w:rPr>
        <w:t xml:space="preserve">– </w:t>
      </w:r>
      <w:r w:rsidRPr="00EC7DA6">
        <w:rPr>
          <w:rFonts w:ascii="Arial" w:hAnsi="Arial" w:cs="Arial"/>
          <w:sz w:val="20"/>
          <w:szCs w:val="20"/>
          <w:lang w:val="es-419"/>
        </w:rPr>
        <w:t>Porvenir y otros</w:t>
      </w:r>
    </w:p>
    <w:p w14:paraId="0A7FF628" w14:textId="00695ADF" w:rsidR="00EC7DA6" w:rsidRPr="00EC7DA6" w:rsidRDefault="00EC7DA6" w:rsidP="00EC7DA6">
      <w:pPr>
        <w:jc w:val="both"/>
        <w:rPr>
          <w:rFonts w:ascii="Arial" w:hAnsi="Arial" w:cs="Arial"/>
          <w:sz w:val="20"/>
          <w:szCs w:val="20"/>
          <w:lang w:val="es-419"/>
        </w:rPr>
      </w:pPr>
      <w:r w:rsidRPr="00EC7DA6">
        <w:rPr>
          <w:rFonts w:ascii="Arial" w:hAnsi="Arial" w:cs="Arial"/>
          <w:sz w:val="20"/>
          <w:szCs w:val="20"/>
          <w:lang w:val="es-419"/>
        </w:rPr>
        <w:t>Proceso:</w:t>
      </w:r>
      <w:r w:rsidRPr="00EC7DA6">
        <w:rPr>
          <w:rFonts w:ascii="Arial" w:hAnsi="Arial" w:cs="Arial"/>
          <w:sz w:val="20"/>
          <w:szCs w:val="20"/>
          <w:lang w:val="es-419"/>
        </w:rPr>
        <w:tab/>
      </w:r>
      <w:r w:rsidRPr="00EC7DA6">
        <w:rPr>
          <w:rFonts w:ascii="Arial" w:hAnsi="Arial" w:cs="Arial"/>
          <w:sz w:val="20"/>
          <w:szCs w:val="20"/>
          <w:lang w:val="es-419"/>
        </w:rPr>
        <w:tab/>
        <w:t xml:space="preserve">Acción de Tutela </w:t>
      </w:r>
    </w:p>
    <w:p w14:paraId="6A1303DE" w14:textId="64CFC46C" w:rsidR="00EC7DA6" w:rsidRPr="00EC7DA6" w:rsidRDefault="00EC7DA6" w:rsidP="00EC7DA6">
      <w:pPr>
        <w:jc w:val="both"/>
        <w:rPr>
          <w:rFonts w:ascii="Arial" w:hAnsi="Arial" w:cs="Arial"/>
          <w:sz w:val="20"/>
          <w:szCs w:val="20"/>
          <w:lang w:val="es-419"/>
        </w:rPr>
      </w:pPr>
      <w:r w:rsidRPr="00EC7DA6">
        <w:rPr>
          <w:rFonts w:ascii="Arial" w:hAnsi="Arial" w:cs="Arial"/>
          <w:sz w:val="20"/>
          <w:szCs w:val="20"/>
          <w:lang w:val="es-419"/>
        </w:rPr>
        <w:t>Juzgado de origen:</w:t>
      </w:r>
      <w:r w:rsidRPr="00EC7DA6">
        <w:rPr>
          <w:rFonts w:ascii="Arial" w:hAnsi="Arial" w:cs="Arial"/>
          <w:sz w:val="20"/>
          <w:szCs w:val="20"/>
          <w:lang w:val="es-419"/>
        </w:rPr>
        <w:tab/>
        <w:t>Juzgado Tercero Laboral del Circuito</w:t>
      </w:r>
    </w:p>
    <w:p w14:paraId="42657E78" w14:textId="76884359" w:rsidR="00EC7DA6" w:rsidRPr="00EC7DA6" w:rsidRDefault="00EC7DA6" w:rsidP="00EC7DA6">
      <w:pPr>
        <w:jc w:val="both"/>
        <w:rPr>
          <w:rFonts w:ascii="Arial" w:hAnsi="Arial" w:cs="Arial"/>
          <w:sz w:val="20"/>
          <w:szCs w:val="20"/>
          <w:lang w:val="es-419"/>
        </w:rPr>
      </w:pPr>
      <w:r w:rsidRPr="00EC7DA6">
        <w:rPr>
          <w:rFonts w:ascii="Arial" w:hAnsi="Arial" w:cs="Arial"/>
          <w:sz w:val="20"/>
          <w:szCs w:val="20"/>
          <w:lang w:val="es-419"/>
        </w:rPr>
        <w:t>Magistrado Ponente:</w:t>
      </w:r>
      <w:r w:rsidRPr="00EC7DA6">
        <w:rPr>
          <w:rFonts w:ascii="Arial" w:hAnsi="Arial" w:cs="Arial"/>
          <w:sz w:val="20"/>
          <w:szCs w:val="20"/>
          <w:lang w:val="es-419"/>
        </w:rPr>
        <w:tab/>
        <w:t>Julio César Salazar Muñoz</w:t>
      </w:r>
    </w:p>
    <w:p w14:paraId="4AB19BF5" w14:textId="77777777" w:rsidR="00EC7DA6" w:rsidRPr="00EC7DA6" w:rsidRDefault="00EC7DA6" w:rsidP="00EC7DA6">
      <w:pPr>
        <w:jc w:val="both"/>
        <w:rPr>
          <w:rFonts w:ascii="Arial" w:hAnsi="Arial" w:cs="Arial"/>
          <w:sz w:val="20"/>
          <w:szCs w:val="20"/>
          <w:lang w:val="es-419"/>
        </w:rPr>
      </w:pPr>
    </w:p>
    <w:p w14:paraId="1AB8ED8F" w14:textId="4757FF3E" w:rsidR="00EC7DA6" w:rsidRPr="00EC7DA6" w:rsidRDefault="002946B2" w:rsidP="00EC7DA6">
      <w:pPr>
        <w:jc w:val="both"/>
        <w:rPr>
          <w:rFonts w:ascii="Arial" w:eastAsia="Arial" w:hAnsi="Arial" w:cs="Arial"/>
          <w:color w:val="000000"/>
          <w:sz w:val="20"/>
          <w:szCs w:val="20"/>
        </w:rPr>
      </w:pPr>
      <w:r w:rsidRPr="00EC7DA6">
        <w:rPr>
          <w:rFonts w:ascii="Arial" w:eastAsia="Arial" w:hAnsi="Arial" w:cs="Arial"/>
          <w:b/>
          <w:bCs/>
          <w:color w:val="000000"/>
          <w:sz w:val="20"/>
          <w:szCs w:val="20"/>
          <w:u w:val="single"/>
          <w:lang w:val="es-419" w:eastAsia="en-US"/>
        </w:rPr>
        <w:t>TEMAS:</w:t>
      </w:r>
      <w:r w:rsidRPr="00EC7DA6">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DEBIDO PROCESO / REDENCIÓN DE BONO PENSIONAL / IMPROCEDENCIA DE LA TUTELA / SUBSIDIARIEDAD / EXCEPCIONES / SI LA DEMORA IMPIDE RECONOCIMIENTO DE UNA PENSIÓN / TRÁMITE PARA LA MENCIONADA REDENCIÓN.</w:t>
      </w:r>
    </w:p>
    <w:p w14:paraId="0C19CE28" w14:textId="77777777" w:rsidR="00734781" w:rsidRDefault="00734781" w:rsidP="00EC7DA6">
      <w:pPr>
        <w:jc w:val="both"/>
        <w:rPr>
          <w:rFonts w:ascii="Arial" w:eastAsia="Arial" w:hAnsi="Arial" w:cs="Arial"/>
          <w:color w:val="000000"/>
          <w:sz w:val="20"/>
          <w:szCs w:val="20"/>
        </w:rPr>
      </w:pPr>
    </w:p>
    <w:p w14:paraId="7BE2B62E" w14:textId="3FC930F5" w:rsidR="00734781" w:rsidRDefault="00C93D48" w:rsidP="00EC7DA6">
      <w:pPr>
        <w:jc w:val="both"/>
        <w:rPr>
          <w:rFonts w:ascii="Arial" w:eastAsia="Arial" w:hAnsi="Arial" w:cs="Arial"/>
          <w:color w:val="000000"/>
          <w:sz w:val="20"/>
          <w:szCs w:val="20"/>
        </w:rPr>
      </w:pPr>
      <w:r w:rsidRPr="00C93D48">
        <w:rPr>
          <w:rFonts w:ascii="Arial" w:eastAsia="Arial" w:hAnsi="Arial" w:cs="Arial"/>
          <w:color w:val="000000"/>
          <w:sz w:val="20"/>
          <w:szCs w:val="20"/>
        </w:rPr>
        <w:t>Una de las características de este mecanismo de protección excepcional, es la de constituir un instrumento jurídico de naturaleza subsidiaria y residual, que sólo se abre paso cuando el afectado carece de otros medios de defensa, o cuando, existiendo, se la utiliza como mecanismo transitorio de aplicación inmediata, para evitar un perjuicio irremediable.</w:t>
      </w:r>
    </w:p>
    <w:p w14:paraId="55D42EFE" w14:textId="77777777" w:rsidR="00734781" w:rsidRDefault="00734781" w:rsidP="00EC7DA6">
      <w:pPr>
        <w:jc w:val="both"/>
        <w:rPr>
          <w:rFonts w:ascii="Arial" w:eastAsia="Arial" w:hAnsi="Arial" w:cs="Arial"/>
          <w:color w:val="000000"/>
          <w:sz w:val="20"/>
          <w:szCs w:val="20"/>
        </w:rPr>
      </w:pPr>
    </w:p>
    <w:p w14:paraId="57D5CED5" w14:textId="6E86606F" w:rsidR="005655A3" w:rsidRPr="005655A3" w:rsidRDefault="005655A3" w:rsidP="005655A3">
      <w:pPr>
        <w:jc w:val="both"/>
        <w:rPr>
          <w:rFonts w:ascii="Arial" w:eastAsia="Arial" w:hAnsi="Arial" w:cs="Arial"/>
          <w:color w:val="000000"/>
          <w:sz w:val="20"/>
          <w:szCs w:val="20"/>
        </w:rPr>
      </w:pPr>
      <w:r w:rsidRPr="005655A3">
        <w:rPr>
          <w:rFonts w:ascii="Arial" w:eastAsia="Arial" w:hAnsi="Arial" w:cs="Arial"/>
          <w:color w:val="000000"/>
          <w:sz w:val="20"/>
          <w:szCs w:val="20"/>
        </w:rPr>
        <w:t xml:space="preserve">En Sentencia T-0795-2007, la Corte </w:t>
      </w:r>
      <w:r w:rsidRPr="005655A3">
        <w:rPr>
          <w:rFonts w:ascii="Arial" w:eastAsia="Arial" w:hAnsi="Arial" w:cs="Arial"/>
          <w:color w:val="000000"/>
          <w:sz w:val="20"/>
          <w:szCs w:val="20"/>
        </w:rPr>
        <w:t>Constitucional, frente a la procedencia de la acción de tutela para solicitar la emisión de bonos pensionales, indicó lo siguiente:</w:t>
      </w:r>
    </w:p>
    <w:p w14:paraId="406CA6AF" w14:textId="77777777" w:rsidR="005655A3" w:rsidRPr="005655A3" w:rsidRDefault="005655A3" w:rsidP="005655A3">
      <w:pPr>
        <w:jc w:val="both"/>
        <w:rPr>
          <w:rFonts w:ascii="Arial" w:eastAsia="Arial" w:hAnsi="Arial" w:cs="Arial"/>
          <w:color w:val="000000"/>
          <w:sz w:val="20"/>
          <w:szCs w:val="20"/>
        </w:rPr>
      </w:pPr>
    </w:p>
    <w:p w14:paraId="2343513B" w14:textId="49224109" w:rsidR="005655A3" w:rsidRPr="005655A3" w:rsidRDefault="005655A3" w:rsidP="005655A3">
      <w:pPr>
        <w:jc w:val="both"/>
        <w:rPr>
          <w:rFonts w:ascii="Arial" w:eastAsia="Arial" w:hAnsi="Arial" w:cs="Arial"/>
          <w:color w:val="000000"/>
          <w:sz w:val="20"/>
          <w:szCs w:val="20"/>
        </w:rPr>
      </w:pPr>
      <w:r w:rsidRPr="005655A3">
        <w:rPr>
          <w:rFonts w:ascii="Arial" w:eastAsia="Arial" w:hAnsi="Arial" w:cs="Arial"/>
          <w:color w:val="000000"/>
          <w:sz w:val="20"/>
          <w:szCs w:val="20"/>
        </w:rPr>
        <w:t>“De la jurisprudencia constitucional se desprende que, como regla general, la acción de tutela no resulta procedente para ordenar el reconocimiento de derechos que sean motivo de litigio</w:t>
      </w:r>
      <w:r>
        <w:rPr>
          <w:rFonts w:ascii="Arial" w:eastAsia="Arial" w:hAnsi="Arial" w:cs="Arial"/>
          <w:color w:val="000000"/>
          <w:sz w:val="20"/>
          <w:szCs w:val="20"/>
        </w:rPr>
        <w:t>…</w:t>
      </w:r>
    </w:p>
    <w:p w14:paraId="68900D1D" w14:textId="77777777" w:rsidR="005655A3" w:rsidRPr="005655A3" w:rsidRDefault="005655A3" w:rsidP="005655A3">
      <w:pPr>
        <w:jc w:val="both"/>
        <w:rPr>
          <w:rFonts w:ascii="Arial" w:eastAsia="Arial" w:hAnsi="Arial" w:cs="Arial"/>
          <w:color w:val="000000"/>
          <w:sz w:val="20"/>
          <w:szCs w:val="20"/>
        </w:rPr>
      </w:pPr>
    </w:p>
    <w:p w14:paraId="660873A5" w14:textId="68360335" w:rsidR="00734781" w:rsidRDefault="005655A3" w:rsidP="005655A3">
      <w:pPr>
        <w:jc w:val="both"/>
        <w:rPr>
          <w:rFonts w:ascii="Arial" w:eastAsia="Arial" w:hAnsi="Arial" w:cs="Arial"/>
          <w:color w:val="000000"/>
          <w:sz w:val="20"/>
          <w:szCs w:val="20"/>
        </w:rPr>
      </w:pPr>
      <w:r>
        <w:rPr>
          <w:rFonts w:ascii="Arial" w:eastAsia="Arial" w:hAnsi="Arial" w:cs="Arial"/>
          <w:color w:val="000000"/>
          <w:sz w:val="20"/>
          <w:szCs w:val="20"/>
        </w:rPr>
        <w:t>“</w:t>
      </w:r>
      <w:r w:rsidRPr="005655A3">
        <w:rPr>
          <w:rFonts w:ascii="Arial" w:eastAsia="Arial" w:hAnsi="Arial" w:cs="Arial"/>
          <w:color w:val="000000"/>
          <w:sz w:val="20"/>
          <w:szCs w:val="20"/>
        </w:rPr>
        <w:t>Conforme al anterior planteamiento, una controversia referente a la tardanza en la emisión de un bono pensional escapa a los propósitos de protección inherentes a la acción de tutela. Sin embargo, distintas Salas de Revisión de esta Corte han estimado que cuando la demora en la emisión de un bono pensional impide el oportuno reconocimiento de pensiones de jubilación o de vejez, la acción de tutela procede como remedio excepcional para la protección del derecho a la seguridad social en conexidad con el derecho al mínimo vital</w:t>
      </w:r>
      <w:r>
        <w:rPr>
          <w:rFonts w:ascii="Arial" w:eastAsia="Arial" w:hAnsi="Arial" w:cs="Arial"/>
          <w:color w:val="000000"/>
          <w:sz w:val="20"/>
          <w:szCs w:val="20"/>
        </w:rPr>
        <w:t>…”</w:t>
      </w:r>
    </w:p>
    <w:p w14:paraId="36F2255E" w14:textId="77777777" w:rsidR="00734781" w:rsidRDefault="00734781" w:rsidP="00EC7DA6">
      <w:pPr>
        <w:jc w:val="both"/>
        <w:rPr>
          <w:rFonts w:ascii="Arial" w:eastAsia="Arial" w:hAnsi="Arial" w:cs="Arial"/>
          <w:color w:val="000000"/>
          <w:sz w:val="20"/>
          <w:szCs w:val="20"/>
        </w:rPr>
      </w:pPr>
    </w:p>
    <w:p w14:paraId="7414478D" w14:textId="1F452CC0" w:rsidR="00734781" w:rsidRDefault="00C902A0" w:rsidP="00EC7DA6">
      <w:pPr>
        <w:jc w:val="both"/>
        <w:rPr>
          <w:rFonts w:ascii="Arial" w:eastAsia="Arial" w:hAnsi="Arial" w:cs="Arial"/>
          <w:color w:val="000000"/>
          <w:sz w:val="20"/>
          <w:szCs w:val="20"/>
        </w:rPr>
      </w:pPr>
      <w:r>
        <w:rPr>
          <w:rFonts w:ascii="Arial" w:eastAsia="Arial" w:hAnsi="Arial" w:cs="Arial"/>
          <w:color w:val="000000"/>
          <w:sz w:val="20"/>
          <w:szCs w:val="20"/>
        </w:rPr>
        <w:t xml:space="preserve">… </w:t>
      </w:r>
      <w:r w:rsidRPr="00C902A0">
        <w:rPr>
          <w:rFonts w:ascii="Arial" w:eastAsia="Arial" w:hAnsi="Arial" w:cs="Arial"/>
          <w:color w:val="000000"/>
          <w:sz w:val="20"/>
          <w:szCs w:val="20"/>
        </w:rPr>
        <w:t>en la Sentencia T-059 de 2017, la misma Corporación determinó los pasos que deben seguirse para la liquidación, expedición, emisión y redención de bonos pensionales</w:t>
      </w:r>
      <w:r>
        <w:rPr>
          <w:rFonts w:ascii="Arial" w:eastAsia="Arial" w:hAnsi="Arial" w:cs="Arial"/>
          <w:color w:val="000000"/>
          <w:sz w:val="20"/>
          <w:szCs w:val="20"/>
        </w:rPr>
        <w:t>…</w:t>
      </w:r>
    </w:p>
    <w:p w14:paraId="39B30C25" w14:textId="77777777" w:rsidR="00EC7DA6" w:rsidRPr="00EC7DA6" w:rsidRDefault="00EC7DA6" w:rsidP="00EC7DA6">
      <w:pPr>
        <w:widowControl w:val="0"/>
        <w:autoSpaceDE w:val="0"/>
        <w:autoSpaceDN w:val="0"/>
        <w:adjustRightInd w:val="0"/>
        <w:jc w:val="both"/>
        <w:rPr>
          <w:rFonts w:ascii="Arial" w:eastAsia="Arial" w:hAnsi="Arial" w:cs="Arial"/>
          <w:color w:val="000000"/>
          <w:sz w:val="20"/>
          <w:szCs w:val="20"/>
        </w:rPr>
      </w:pPr>
    </w:p>
    <w:p w14:paraId="24E5C28E" w14:textId="01F50CBA" w:rsidR="00EC7DA6" w:rsidRDefault="00C902A0" w:rsidP="00EC7DA6">
      <w:pPr>
        <w:widowControl w:val="0"/>
        <w:autoSpaceDE w:val="0"/>
        <w:autoSpaceDN w:val="0"/>
        <w:adjustRightInd w:val="0"/>
        <w:jc w:val="both"/>
        <w:rPr>
          <w:rFonts w:ascii="Arial" w:eastAsia="Arial" w:hAnsi="Arial" w:cs="Arial"/>
          <w:color w:val="000000"/>
          <w:sz w:val="20"/>
          <w:szCs w:val="20"/>
        </w:rPr>
      </w:pPr>
      <w:r w:rsidRPr="00C902A0">
        <w:rPr>
          <w:rFonts w:ascii="Arial" w:eastAsia="Arial" w:hAnsi="Arial" w:cs="Arial"/>
          <w:color w:val="000000"/>
          <w:sz w:val="20"/>
          <w:szCs w:val="20"/>
        </w:rPr>
        <w:t>El artículo 29 superior, señala que "el debido proceso se aplicará a toda clase de actuaciones judiciales y administrativas"</w:t>
      </w:r>
      <w:r>
        <w:rPr>
          <w:rFonts w:ascii="Arial" w:eastAsia="Arial" w:hAnsi="Arial" w:cs="Arial"/>
          <w:color w:val="000000"/>
          <w:sz w:val="20"/>
          <w:szCs w:val="20"/>
        </w:rPr>
        <w:t xml:space="preserve"> …</w:t>
      </w:r>
    </w:p>
    <w:p w14:paraId="41A0F559" w14:textId="11F77CF2" w:rsidR="00C902A0" w:rsidRDefault="00C902A0" w:rsidP="00EC7DA6">
      <w:pPr>
        <w:widowControl w:val="0"/>
        <w:autoSpaceDE w:val="0"/>
        <w:autoSpaceDN w:val="0"/>
        <w:adjustRightInd w:val="0"/>
        <w:jc w:val="both"/>
        <w:rPr>
          <w:rFonts w:ascii="Arial" w:eastAsia="Arial" w:hAnsi="Arial" w:cs="Arial"/>
          <w:color w:val="000000"/>
          <w:sz w:val="20"/>
          <w:szCs w:val="20"/>
        </w:rPr>
      </w:pPr>
    </w:p>
    <w:p w14:paraId="5E80F813" w14:textId="7014FB3D" w:rsidR="002C7F92" w:rsidRDefault="002C7F92" w:rsidP="00EC7DA6">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2C7F92">
        <w:rPr>
          <w:rFonts w:ascii="Arial" w:eastAsia="Arial" w:hAnsi="Arial" w:cs="Arial"/>
          <w:color w:val="000000"/>
          <w:sz w:val="20"/>
          <w:szCs w:val="20"/>
        </w:rPr>
        <w:t>es evidente la vulneración al derecho fundamental al debido proceso del cual es titular el señor Albeiro de Jesús Pino González, en tanto Porvenir S.A., sin ninguna justificación, se ha sustraído de su obligación legal de conformar correctamente la historia laboral para continuar con el trámite de liquidación, emisión, expedición, redención y pago del bono pensional del actor</w:t>
      </w:r>
    </w:p>
    <w:p w14:paraId="38B494E6" w14:textId="77777777" w:rsidR="002C7F92" w:rsidRDefault="002C7F92" w:rsidP="00EC7DA6">
      <w:pPr>
        <w:widowControl w:val="0"/>
        <w:autoSpaceDE w:val="0"/>
        <w:autoSpaceDN w:val="0"/>
        <w:adjustRightInd w:val="0"/>
        <w:jc w:val="both"/>
        <w:rPr>
          <w:rFonts w:ascii="Arial" w:eastAsia="Arial" w:hAnsi="Arial" w:cs="Arial"/>
          <w:color w:val="000000"/>
          <w:sz w:val="20"/>
          <w:szCs w:val="20"/>
        </w:rPr>
      </w:pPr>
    </w:p>
    <w:p w14:paraId="7B7A135D" w14:textId="77777777" w:rsidR="00C902A0" w:rsidRPr="00EC7DA6" w:rsidRDefault="00C902A0" w:rsidP="00EC7DA6">
      <w:pPr>
        <w:widowControl w:val="0"/>
        <w:autoSpaceDE w:val="0"/>
        <w:autoSpaceDN w:val="0"/>
        <w:adjustRightInd w:val="0"/>
        <w:jc w:val="both"/>
        <w:rPr>
          <w:rFonts w:ascii="Arial" w:eastAsia="Arial" w:hAnsi="Arial" w:cs="Arial"/>
          <w:color w:val="000000"/>
          <w:sz w:val="20"/>
          <w:szCs w:val="20"/>
        </w:rPr>
      </w:pPr>
    </w:p>
    <w:p w14:paraId="1D6596A2" w14:textId="77777777" w:rsidR="00EC7DA6" w:rsidRPr="00EC7DA6" w:rsidRDefault="00EC7DA6" w:rsidP="00EC7DA6">
      <w:pPr>
        <w:widowControl w:val="0"/>
        <w:autoSpaceDE w:val="0"/>
        <w:autoSpaceDN w:val="0"/>
        <w:adjustRightInd w:val="0"/>
        <w:jc w:val="both"/>
        <w:rPr>
          <w:rFonts w:ascii="Arial" w:eastAsia="Arial" w:hAnsi="Arial" w:cs="Arial"/>
          <w:color w:val="000000"/>
          <w:sz w:val="20"/>
          <w:szCs w:val="20"/>
        </w:rPr>
      </w:pPr>
    </w:p>
    <w:bookmarkEnd w:id="0"/>
    <w:p w14:paraId="1C3BEE41" w14:textId="77777777" w:rsidR="00EA6461" w:rsidRPr="00734781" w:rsidRDefault="00EA6461" w:rsidP="00734781">
      <w:pPr>
        <w:pStyle w:val="Ttulo3"/>
        <w:spacing w:line="276" w:lineRule="auto"/>
        <w:jc w:val="center"/>
        <w:rPr>
          <w:rFonts w:cs="Arial"/>
          <w:sz w:val="24"/>
          <w:szCs w:val="24"/>
        </w:rPr>
      </w:pPr>
      <w:r w:rsidRPr="00734781">
        <w:rPr>
          <w:rFonts w:cs="Arial"/>
          <w:sz w:val="24"/>
          <w:szCs w:val="24"/>
        </w:rPr>
        <w:t>TRIBUNAL SUPERIOR DEL DISTRITO JUDICIAL</w:t>
      </w:r>
    </w:p>
    <w:p w14:paraId="51A40248" w14:textId="77777777" w:rsidR="00EA6461" w:rsidRPr="00734781" w:rsidRDefault="00EA6461" w:rsidP="00734781">
      <w:pPr>
        <w:spacing w:line="276" w:lineRule="auto"/>
        <w:jc w:val="center"/>
        <w:rPr>
          <w:rFonts w:ascii="Arial" w:hAnsi="Arial" w:cs="Arial"/>
          <w:b/>
        </w:rPr>
      </w:pPr>
      <w:r w:rsidRPr="00734781">
        <w:rPr>
          <w:rFonts w:ascii="Arial" w:hAnsi="Arial" w:cs="Arial"/>
          <w:b/>
        </w:rPr>
        <w:t>SALA LABORAL</w:t>
      </w:r>
    </w:p>
    <w:p w14:paraId="0AE4D458" w14:textId="77777777" w:rsidR="00EA6461" w:rsidRPr="00734781" w:rsidRDefault="00EA6461" w:rsidP="00734781">
      <w:pPr>
        <w:spacing w:line="276" w:lineRule="auto"/>
        <w:jc w:val="center"/>
        <w:rPr>
          <w:rFonts w:ascii="Arial" w:hAnsi="Arial" w:cs="Arial"/>
          <w:b/>
        </w:rPr>
      </w:pPr>
      <w:r w:rsidRPr="00734781">
        <w:rPr>
          <w:rFonts w:ascii="Arial" w:hAnsi="Arial" w:cs="Arial"/>
          <w:b/>
        </w:rPr>
        <w:t>ACCIÓN DE TUTELA</w:t>
      </w:r>
    </w:p>
    <w:p w14:paraId="4E77816B" w14:textId="77777777" w:rsidR="00EA6461" w:rsidRPr="00734781" w:rsidRDefault="00EA6461" w:rsidP="00734781">
      <w:pPr>
        <w:spacing w:line="276" w:lineRule="auto"/>
        <w:jc w:val="center"/>
        <w:rPr>
          <w:rFonts w:ascii="Arial" w:hAnsi="Arial" w:cs="Arial"/>
          <w:b/>
        </w:rPr>
      </w:pPr>
      <w:r w:rsidRPr="00734781">
        <w:rPr>
          <w:rFonts w:ascii="Arial" w:hAnsi="Arial" w:cs="Arial"/>
          <w:b/>
        </w:rPr>
        <w:t>MAGISTRADO PONENTE: JULIO CÉSAR SALAZAR MUÑOZ</w:t>
      </w:r>
    </w:p>
    <w:p w14:paraId="0A37501D" w14:textId="77777777" w:rsidR="00EA6461" w:rsidRPr="00734781" w:rsidRDefault="00EA6461" w:rsidP="00734781">
      <w:pPr>
        <w:spacing w:line="276" w:lineRule="auto"/>
        <w:jc w:val="center"/>
        <w:rPr>
          <w:rFonts w:ascii="Arial" w:hAnsi="Arial" w:cs="Arial"/>
        </w:rPr>
      </w:pPr>
    </w:p>
    <w:p w14:paraId="0546D980" w14:textId="6224BA79" w:rsidR="00EA6461" w:rsidRPr="00734781" w:rsidRDefault="00EA6461" w:rsidP="00734781">
      <w:pPr>
        <w:spacing w:line="276" w:lineRule="auto"/>
        <w:jc w:val="center"/>
        <w:rPr>
          <w:rFonts w:ascii="Arial" w:hAnsi="Arial" w:cs="Arial"/>
        </w:rPr>
      </w:pPr>
      <w:r w:rsidRPr="00734781">
        <w:rPr>
          <w:rFonts w:ascii="Arial" w:hAnsi="Arial" w:cs="Arial"/>
        </w:rPr>
        <w:t xml:space="preserve">Pereira, </w:t>
      </w:r>
      <w:r w:rsidR="00C85CAC" w:rsidRPr="00734781">
        <w:rPr>
          <w:rFonts w:ascii="Arial" w:hAnsi="Arial" w:cs="Arial"/>
        </w:rPr>
        <w:t>1</w:t>
      </w:r>
      <w:r w:rsidR="002A3833" w:rsidRPr="00734781">
        <w:rPr>
          <w:rFonts w:ascii="Arial" w:hAnsi="Arial" w:cs="Arial"/>
        </w:rPr>
        <w:t>2</w:t>
      </w:r>
      <w:r w:rsidR="00C85CAC" w:rsidRPr="00734781">
        <w:rPr>
          <w:rFonts w:ascii="Arial" w:hAnsi="Arial" w:cs="Arial"/>
        </w:rPr>
        <w:t xml:space="preserve"> de enero de dos mil veinti</w:t>
      </w:r>
      <w:r w:rsidR="002A3833" w:rsidRPr="00734781">
        <w:rPr>
          <w:rFonts w:ascii="Arial" w:hAnsi="Arial" w:cs="Arial"/>
        </w:rPr>
        <w:t>tré</w:t>
      </w:r>
      <w:r w:rsidR="00C85CAC" w:rsidRPr="00734781">
        <w:rPr>
          <w:rFonts w:ascii="Arial" w:hAnsi="Arial" w:cs="Arial"/>
        </w:rPr>
        <w:t>s</w:t>
      </w:r>
    </w:p>
    <w:p w14:paraId="18394801" w14:textId="5BFD43AD" w:rsidR="00EA6461" w:rsidRPr="00734781" w:rsidRDefault="00EA6461" w:rsidP="00734781">
      <w:pPr>
        <w:spacing w:line="276" w:lineRule="auto"/>
        <w:jc w:val="center"/>
        <w:rPr>
          <w:rFonts w:ascii="Arial" w:hAnsi="Arial" w:cs="Arial"/>
        </w:rPr>
      </w:pPr>
      <w:r w:rsidRPr="00734781">
        <w:rPr>
          <w:rFonts w:ascii="Arial" w:hAnsi="Arial" w:cs="Arial"/>
        </w:rPr>
        <w:t xml:space="preserve">Acta </w:t>
      </w:r>
      <w:r w:rsidR="00885644" w:rsidRPr="00734781">
        <w:rPr>
          <w:rFonts w:ascii="Arial" w:hAnsi="Arial" w:cs="Arial"/>
        </w:rPr>
        <w:t xml:space="preserve">de Sala de Discusión </w:t>
      </w:r>
      <w:r w:rsidRPr="00734781">
        <w:rPr>
          <w:rFonts w:ascii="Arial" w:hAnsi="Arial" w:cs="Arial"/>
        </w:rPr>
        <w:t>N</w:t>
      </w:r>
      <w:r w:rsidR="00023C37" w:rsidRPr="00734781">
        <w:rPr>
          <w:rFonts w:ascii="Arial" w:hAnsi="Arial" w:cs="Arial"/>
        </w:rPr>
        <w:t>° 001 de</w:t>
      </w:r>
      <w:r w:rsidR="37935B6E" w:rsidRPr="00734781">
        <w:rPr>
          <w:rFonts w:ascii="Arial" w:hAnsi="Arial" w:cs="Arial"/>
        </w:rPr>
        <w:t xml:space="preserve"> 11 de enero de 2023</w:t>
      </w:r>
    </w:p>
    <w:p w14:paraId="5DAB6C7B" w14:textId="77777777" w:rsidR="00EA6461" w:rsidRPr="00734781" w:rsidRDefault="00EA6461" w:rsidP="00734781">
      <w:pPr>
        <w:spacing w:line="276" w:lineRule="auto"/>
        <w:jc w:val="both"/>
        <w:rPr>
          <w:rFonts w:ascii="Arial" w:hAnsi="Arial" w:cs="Arial"/>
        </w:rPr>
      </w:pPr>
    </w:p>
    <w:p w14:paraId="4E1BBD9A" w14:textId="374380A3" w:rsidR="00EA6461" w:rsidRPr="002946B2" w:rsidRDefault="00EA6461" w:rsidP="00734781">
      <w:pPr>
        <w:pStyle w:val="Textoindependiente"/>
        <w:spacing w:line="276" w:lineRule="auto"/>
        <w:rPr>
          <w:rFonts w:cs="Arial"/>
          <w:b/>
          <w:spacing w:val="-4"/>
          <w:sz w:val="24"/>
          <w:szCs w:val="24"/>
        </w:rPr>
      </w:pPr>
      <w:r w:rsidRPr="002946B2">
        <w:rPr>
          <w:rFonts w:cs="Arial"/>
          <w:spacing w:val="-4"/>
          <w:sz w:val="24"/>
          <w:szCs w:val="24"/>
        </w:rPr>
        <w:t xml:space="preserve">Procede la Sala Laboral del Tribunal Superior de Pereira a resolver la impugnación presentada por </w:t>
      </w:r>
      <w:r w:rsidR="004C1CF4" w:rsidRPr="002946B2">
        <w:rPr>
          <w:rFonts w:cs="Arial"/>
          <w:spacing w:val="-4"/>
          <w:sz w:val="24"/>
          <w:szCs w:val="24"/>
        </w:rPr>
        <w:t xml:space="preserve">el </w:t>
      </w:r>
      <w:r w:rsidR="007108B6" w:rsidRPr="002946B2">
        <w:rPr>
          <w:rFonts w:cs="Arial"/>
          <w:spacing w:val="-4"/>
          <w:sz w:val="24"/>
          <w:szCs w:val="24"/>
        </w:rPr>
        <w:t xml:space="preserve">señor </w:t>
      </w:r>
      <w:r w:rsidR="00A1205E" w:rsidRPr="002946B2">
        <w:rPr>
          <w:rFonts w:cs="Arial"/>
          <w:b/>
          <w:spacing w:val="-4"/>
          <w:sz w:val="24"/>
          <w:szCs w:val="24"/>
        </w:rPr>
        <w:t xml:space="preserve">Albeiro de Jesús Pino González </w:t>
      </w:r>
      <w:r w:rsidRPr="002946B2">
        <w:rPr>
          <w:rFonts w:cs="Arial"/>
          <w:spacing w:val="-4"/>
          <w:sz w:val="24"/>
          <w:szCs w:val="24"/>
        </w:rPr>
        <w:t xml:space="preserve">contra la sentencia de </w:t>
      </w:r>
      <w:r w:rsidR="007108B6" w:rsidRPr="002946B2">
        <w:rPr>
          <w:rFonts w:cs="Arial"/>
          <w:spacing w:val="-4"/>
          <w:sz w:val="24"/>
          <w:szCs w:val="24"/>
        </w:rPr>
        <w:t>veintiocho</w:t>
      </w:r>
      <w:r w:rsidR="0099776D" w:rsidRPr="002946B2">
        <w:rPr>
          <w:rFonts w:cs="Arial"/>
          <w:spacing w:val="-4"/>
          <w:sz w:val="24"/>
          <w:szCs w:val="24"/>
        </w:rPr>
        <w:t xml:space="preserve"> </w:t>
      </w:r>
      <w:r w:rsidRPr="002946B2">
        <w:rPr>
          <w:rFonts w:cs="Arial"/>
          <w:spacing w:val="-4"/>
          <w:sz w:val="24"/>
          <w:szCs w:val="24"/>
        </w:rPr>
        <w:t>(</w:t>
      </w:r>
      <w:r w:rsidR="007108B6" w:rsidRPr="002946B2">
        <w:rPr>
          <w:rFonts w:cs="Arial"/>
          <w:spacing w:val="-4"/>
          <w:sz w:val="24"/>
          <w:szCs w:val="24"/>
        </w:rPr>
        <w:t>28</w:t>
      </w:r>
      <w:r w:rsidRPr="002946B2">
        <w:rPr>
          <w:rFonts w:cs="Arial"/>
          <w:spacing w:val="-4"/>
          <w:sz w:val="24"/>
          <w:szCs w:val="24"/>
        </w:rPr>
        <w:t xml:space="preserve">) de </w:t>
      </w:r>
      <w:r w:rsidR="007108B6" w:rsidRPr="002946B2">
        <w:rPr>
          <w:rFonts w:cs="Arial"/>
          <w:spacing w:val="-4"/>
          <w:sz w:val="24"/>
          <w:szCs w:val="24"/>
        </w:rPr>
        <w:t>octubre</w:t>
      </w:r>
      <w:r w:rsidRPr="002946B2">
        <w:rPr>
          <w:rFonts w:cs="Arial"/>
          <w:spacing w:val="-4"/>
          <w:sz w:val="24"/>
          <w:szCs w:val="24"/>
        </w:rPr>
        <w:t xml:space="preserve"> de 20</w:t>
      </w:r>
      <w:r w:rsidR="00F966B0" w:rsidRPr="002946B2">
        <w:rPr>
          <w:rFonts w:cs="Arial"/>
          <w:spacing w:val="-4"/>
          <w:sz w:val="24"/>
          <w:szCs w:val="24"/>
        </w:rPr>
        <w:t>2</w:t>
      </w:r>
      <w:r w:rsidR="007108B6" w:rsidRPr="002946B2">
        <w:rPr>
          <w:rFonts w:cs="Arial"/>
          <w:spacing w:val="-4"/>
          <w:sz w:val="24"/>
          <w:szCs w:val="24"/>
        </w:rPr>
        <w:t>2</w:t>
      </w:r>
      <w:r w:rsidRPr="002946B2">
        <w:rPr>
          <w:rFonts w:cs="Arial"/>
          <w:spacing w:val="-4"/>
          <w:sz w:val="24"/>
          <w:szCs w:val="24"/>
        </w:rPr>
        <w:t xml:space="preserve"> proferida por el Juzgado </w:t>
      </w:r>
      <w:r w:rsidR="00F966B0" w:rsidRPr="002946B2">
        <w:rPr>
          <w:rFonts w:cs="Arial"/>
          <w:spacing w:val="-4"/>
          <w:sz w:val="24"/>
          <w:szCs w:val="24"/>
        </w:rPr>
        <w:t>Tercero</w:t>
      </w:r>
      <w:r w:rsidR="00A92B7D" w:rsidRPr="002946B2">
        <w:rPr>
          <w:rFonts w:cs="Arial"/>
          <w:spacing w:val="-4"/>
          <w:sz w:val="24"/>
          <w:szCs w:val="24"/>
        </w:rPr>
        <w:t xml:space="preserve"> </w:t>
      </w:r>
      <w:r w:rsidR="00831B2C" w:rsidRPr="002946B2">
        <w:rPr>
          <w:rFonts w:cs="Arial"/>
          <w:spacing w:val="-4"/>
          <w:sz w:val="24"/>
          <w:szCs w:val="24"/>
        </w:rPr>
        <w:t xml:space="preserve">Laboral del Circuito de Pereira, dentro de la </w:t>
      </w:r>
      <w:r w:rsidR="00831B2C" w:rsidRPr="002946B2">
        <w:rPr>
          <w:rFonts w:cs="Arial"/>
          <w:b/>
          <w:spacing w:val="-4"/>
          <w:sz w:val="24"/>
          <w:szCs w:val="24"/>
        </w:rPr>
        <w:t>acción de tutela</w:t>
      </w:r>
      <w:r w:rsidR="007108B6" w:rsidRPr="002946B2">
        <w:rPr>
          <w:rFonts w:cs="Arial"/>
          <w:spacing w:val="-4"/>
          <w:sz w:val="24"/>
          <w:szCs w:val="24"/>
        </w:rPr>
        <w:t xml:space="preserve"> que adelanta en contra de </w:t>
      </w:r>
      <w:r w:rsidR="00DA5E9E" w:rsidRPr="002946B2">
        <w:rPr>
          <w:rFonts w:cs="Arial"/>
          <w:spacing w:val="-4"/>
          <w:sz w:val="24"/>
          <w:szCs w:val="24"/>
        </w:rPr>
        <w:t xml:space="preserve">la </w:t>
      </w:r>
      <w:r w:rsidR="00DA5E9E" w:rsidRPr="002946B2">
        <w:rPr>
          <w:rFonts w:cs="Arial"/>
          <w:b/>
          <w:spacing w:val="-4"/>
          <w:sz w:val="24"/>
          <w:szCs w:val="24"/>
        </w:rPr>
        <w:t xml:space="preserve">AFP </w:t>
      </w:r>
      <w:r w:rsidR="00A1205E" w:rsidRPr="002946B2">
        <w:rPr>
          <w:rFonts w:cs="Arial"/>
          <w:b/>
          <w:spacing w:val="-4"/>
          <w:sz w:val="24"/>
          <w:szCs w:val="24"/>
        </w:rPr>
        <w:t xml:space="preserve">Porvenir </w:t>
      </w:r>
      <w:r w:rsidR="00DA5E9E" w:rsidRPr="002946B2">
        <w:rPr>
          <w:rFonts w:cs="Arial"/>
          <w:b/>
          <w:spacing w:val="-4"/>
          <w:sz w:val="24"/>
          <w:szCs w:val="24"/>
        </w:rPr>
        <w:t xml:space="preserve">S.A., </w:t>
      </w:r>
      <w:r w:rsidR="00DA5E9E" w:rsidRPr="002946B2">
        <w:rPr>
          <w:rFonts w:cs="Arial"/>
          <w:spacing w:val="-4"/>
          <w:sz w:val="24"/>
          <w:szCs w:val="24"/>
        </w:rPr>
        <w:t>el</w:t>
      </w:r>
      <w:r w:rsidR="007108B6" w:rsidRPr="002946B2">
        <w:rPr>
          <w:rFonts w:cs="Arial"/>
          <w:spacing w:val="-4"/>
          <w:sz w:val="24"/>
          <w:szCs w:val="24"/>
        </w:rPr>
        <w:t xml:space="preserve"> </w:t>
      </w:r>
      <w:r w:rsidR="00A1205E" w:rsidRPr="002946B2">
        <w:rPr>
          <w:rFonts w:cs="Arial"/>
          <w:b/>
          <w:spacing w:val="-4"/>
          <w:sz w:val="24"/>
          <w:szCs w:val="24"/>
        </w:rPr>
        <w:t>Ministerio de Hacienda y Crédito Público</w:t>
      </w:r>
      <w:r w:rsidR="007108B6" w:rsidRPr="002946B2">
        <w:rPr>
          <w:rFonts w:cs="Arial"/>
          <w:b/>
          <w:spacing w:val="-4"/>
          <w:sz w:val="24"/>
          <w:szCs w:val="24"/>
        </w:rPr>
        <w:t xml:space="preserve">, </w:t>
      </w:r>
      <w:r w:rsidR="007108B6" w:rsidRPr="002946B2">
        <w:rPr>
          <w:rFonts w:cs="Arial"/>
          <w:spacing w:val="-4"/>
          <w:sz w:val="24"/>
          <w:szCs w:val="24"/>
        </w:rPr>
        <w:t xml:space="preserve">el </w:t>
      </w:r>
      <w:r w:rsidR="00A1205E" w:rsidRPr="002946B2">
        <w:rPr>
          <w:rFonts w:cs="Arial"/>
          <w:b/>
          <w:spacing w:val="-4"/>
          <w:sz w:val="24"/>
          <w:szCs w:val="24"/>
        </w:rPr>
        <w:t xml:space="preserve">Departamento de Boyacá </w:t>
      </w:r>
      <w:r w:rsidR="007108B6" w:rsidRPr="002946B2">
        <w:rPr>
          <w:rFonts w:cs="Arial"/>
          <w:spacing w:val="-4"/>
          <w:sz w:val="24"/>
          <w:szCs w:val="24"/>
        </w:rPr>
        <w:t xml:space="preserve">y </w:t>
      </w:r>
      <w:r w:rsidR="00DA5E9E" w:rsidRPr="002946B2">
        <w:rPr>
          <w:rFonts w:cs="Arial"/>
          <w:spacing w:val="-4"/>
          <w:sz w:val="24"/>
          <w:szCs w:val="24"/>
        </w:rPr>
        <w:t xml:space="preserve">el </w:t>
      </w:r>
      <w:r w:rsidR="00A1205E" w:rsidRPr="002946B2">
        <w:rPr>
          <w:rFonts w:cs="Arial"/>
          <w:b/>
          <w:spacing w:val="-4"/>
          <w:sz w:val="24"/>
          <w:szCs w:val="24"/>
        </w:rPr>
        <w:t>Ministerio de Defensa Nacional</w:t>
      </w:r>
      <w:r w:rsidR="007108B6" w:rsidRPr="002946B2">
        <w:rPr>
          <w:rFonts w:cs="Arial"/>
          <w:spacing w:val="-4"/>
          <w:sz w:val="24"/>
          <w:szCs w:val="24"/>
        </w:rPr>
        <w:t>.</w:t>
      </w:r>
    </w:p>
    <w:p w14:paraId="02EB378F" w14:textId="401C8EF5" w:rsidR="00EA6461" w:rsidRPr="002946B2" w:rsidRDefault="00EA6461" w:rsidP="00734781">
      <w:pPr>
        <w:pStyle w:val="Textoindependiente"/>
        <w:tabs>
          <w:tab w:val="left" w:pos="7400"/>
        </w:tabs>
        <w:spacing w:line="276" w:lineRule="auto"/>
        <w:rPr>
          <w:rFonts w:cs="Arial"/>
          <w:spacing w:val="-4"/>
          <w:sz w:val="24"/>
          <w:szCs w:val="24"/>
        </w:rPr>
      </w:pPr>
    </w:p>
    <w:p w14:paraId="0F10BAA5" w14:textId="77777777" w:rsidR="00EA6461" w:rsidRPr="002946B2" w:rsidRDefault="00EA6461" w:rsidP="00734781">
      <w:pPr>
        <w:pStyle w:val="Ttulo2"/>
        <w:spacing w:line="276" w:lineRule="auto"/>
        <w:jc w:val="center"/>
        <w:rPr>
          <w:rFonts w:cs="Arial"/>
          <w:spacing w:val="-4"/>
          <w:szCs w:val="24"/>
        </w:rPr>
      </w:pPr>
      <w:r w:rsidRPr="002946B2">
        <w:rPr>
          <w:rFonts w:cs="Arial"/>
          <w:spacing w:val="-4"/>
          <w:szCs w:val="24"/>
        </w:rPr>
        <w:lastRenderedPageBreak/>
        <w:t>ANTECEDENTES</w:t>
      </w:r>
    </w:p>
    <w:p w14:paraId="6A05A809" w14:textId="77777777" w:rsidR="00EA6461" w:rsidRPr="002946B2" w:rsidRDefault="00EA6461" w:rsidP="00734781">
      <w:pPr>
        <w:spacing w:line="276" w:lineRule="auto"/>
        <w:jc w:val="both"/>
        <w:rPr>
          <w:rFonts w:ascii="Arial" w:hAnsi="Arial" w:cs="Arial"/>
          <w:spacing w:val="-4"/>
        </w:rPr>
      </w:pPr>
    </w:p>
    <w:p w14:paraId="795ABDB1" w14:textId="3A62E987" w:rsidR="000E3646" w:rsidRPr="002946B2" w:rsidRDefault="00885644" w:rsidP="00734781">
      <w:pPr>
        <w:spacing w:line="276" w:lineRule="auto"/>
        <w:jc w:val="both"/>
        <w:rPr>
          <w:rFonts w:ascii="Arial" w:hAnsi="Arial" w:cs="Arial"/>
          <w:spacing w:val="-4"/>
        </w:rPr>
      </w:pPr>
      <w:r w:rsidRPr="002946B2">
        <w:rPr>
          <w:rFonts w:ascii="Arial" w:hAnsi="Arial" w:cs="Arial"/>
          <w:spacing w:val="-4"/>
        </w:rPr>
        <w:t xml:space="preserve">Indica el señor </w:t>
      </w:r>
      <w:r w:rsidR="004F3BD3" w:rsidRPr="002946B2">
        <w:rPr>
          <w:rFonts w:ascii="Arial" w:hAnsi="Arial" w:cs="Arial"/>
          <w:spacing w:val="-4"/>
        </w:rPr>
        <w:t>Albeiro de Jesús Pino González que está Afiliado a Porve</w:t>
      </w:r>
      <w:r w:rsidR="00C506F7" w:rsidRPr="002946B2">
        <w:rPr>
          <w:rFonts w:ascii="Arial" w:hAnsi="Arial" w:cs="Arial"/>
          <w:spacing w:val="-4"/>
        </w:rPr>
        <w:t>nir S.A.</w:t>
      </w:r>
      <w:r w:rsidR="502D2052" w:rsidRPr="002946B2">
        <w:rPr>
          <w:rFonts w:ascii="Arial" w:hAnsi="Arial" w:cs="Arial"/>
          <w:spacing w:val="-4"/>
        </w:rPr>
        <w:t xml:space="preserve"> y</w:t>
      </w:r>
      <w:r w:rsidR="00C506F7" w:rsidRPr="002946B2">
        <w:rPr>
          <w:rFonts w:ascii="Arial" w:hAnsi="Arial" w:cs="Arial"/>
          <w:spacing w:val="-4"/>
        </w:rPr>
        <w:t xml:space="preserve"> </w:t>
      </w:r>
      <w:r w:rsidR="1BEC3F70" w:rsidRPr="002946B2">
        <w:rPr>
          <w:rFonts w:ascii="Arial" w:hAnsi="Arial" w:cs="Arial"/>
          <w:spacing w:val="-4"/>
        </w:rPr>
        <w:t>cuenta</w:t>
      </w:r>
      <w:r w:rsidR="00C506F7" w:rsidRPr="002946B2">
        <w:rPr>
          <w:rFonts w:ascii="Arial" w:hAnsi="Arial" w:cs="Arial"/>
          <w:spacing w:val="-4"/>
        </w:rPr>
        <w:t xml:space="preserve"> en la actualidad con 62 años de edad, lo que sumado al hecho de que se le imposibilita generar recursos para su subsistencia,</w:t>
      </w:r>
      <w:r w:rsidR="00FF0389" w:rsidRPr="002946B2">
        <w:rPr>
          <w:rFonts w:ascii="Arial" w:hAnsi="Arial" w:cs="Arial"/>
          <w:spacing w:val="-4"/>
        </w:rPr>
        <w:t xml:space="preserve"> lo llevó a solicitar</w:t>
      </w:r>
      <w:r w:rsidR="00C506F7" w:rsidRPr="002946B2">
        <w:rPr>
          <w:rFonts w:ascii="Arial" w:hAnsi="Arial" w:cs="Arial"/>
          <w:spacing w:val="-4"/>
        </w:rPr>
        <w:t xml:space="preserve"> al citado fondo de pensiones la devolución del saldo </w:t>
      </w:r>
      <w:r w:rsidR="00FF0389" w:rsidRPr="002946B2">
        <w:rPr>
          <w:rFonts w:ascii="Arial" w:hAnsi="Arial" w:cs="Arial"/>
          <w:spacing w:val="-4"/>
        </w:rPr>
        <w:t xml:space="preserve">existente </w:t>
      </w:r>
      <w:r w:rsidR="00C506F7" w:rsidRPr="002946B2">
        <w:rPr>
          <w:rFonts w:ascii="Arial" w:hAnsi="Arial" w:cs="Arial"/>
          <w:spacing w:val="-4"/>
        </w:rPr>
        <w:t xml:space="preserve">en su cuenta </w:t>
      </w:r>
      <w:r w:rsidR="00FF0389" w:rsidRPr="002946B2">
        <w:rPr>
          <w:rFonts w:ascii="Arial" w:hAnsi="Arial" w:cs="Arial"/>
          <w:spacing w:val="-4"/>
        </w:rPr>
        <w:t xml:space="preserve">de ahorro </w:t>
      </w:r>
      <w:r w:rsidR="00C506F7" w:rsidRPr="002946B2">
        <w:rPr>
          <w:rFonts w:ascii="Arial" w:hAnsi="Arial" w:cs="Arial"/>
          <w:spacing w:val="-4"/>
        </w:rPr>
        <w:t xml:space="preserve">individual, dado que no cuenta con </w:t>
      </w:r>
      <w:r w:rsidR="00443D1D" w:rsidRPr="002946B2">
        <w:rPr>
          <w:rFonts w:ascii="Arial" w:hAnsi="Arial" w:cs="Arial"/>
          <w:spacing w:val="-4"/>
        </w:rPr>
        <w:t>el capital necesario para acceder a la gracia pensional</w:t>
      </w:r>
      <w:r w:rsidR="00FF0389" w:rsidRPr="002946B2">
        <w:rPr>
          <w:rFonts w:ascii="Arial" w:hAnsi="Arial" w:cs="Arial"/>
          <w:spacing w:val="-4"/>
        </w:rPr>
        <w:t>; que adelantado el trámite que corresponde</w:t>
      </w:r>
      <w:r w:rsidR="005621E1" w:rsidRPr="002946B2">
        <w:rPr>
          <w:rFonts w:ascii="Arial" w:hAnsi="Arial" w:cs="Arial"/>
          <w:spacing w:val="-4"/>
        </w:rPr>
        <w:t>,</w:t>
      </w:r>
      <w:r w:rsidR="00FF0389" w:rsidRPr="002946B2">
        <w:rPr>
          <w:rFonts w:ascii="Arial" w:hAnsi="Arial" w:cs="Arial"/>
          <w:spacing w:val="-4"/>
        </w:rPr>
        <w:t xml:space="preserve"> a la fecha se encuentra pendiente el reconocimiento y pago del bono pensional por parte del departamento de Boyacá y de pago por parte de la Nación y el Ministerio de Defensa Nacional, entidades todas involucradas en la conformación del título </w:t>
      </w:r>
      <w:r w:rsidR="000E3646" w:rsidRPr="002946B2">
        <w:rPr>
          <w:rFonts w:ascii="Arial" w:hAnsi="Arial" w:cs="Arial"/>
          <w:spacing w:val="-4"/>
        </w:rPr>
        <w:t>pensional.</w:t>
      </w:r>
      <w:r w:rsidR="00FF0389" w:rsidRPr="002946B2">
        <w:rPr>
          <w:rFonts w:ascii="Arial" w:hAnsi="Arial" w:cs="Arial"/>
          <w:spacing w:val="-4"/>
        </w:rPr>
        <w:t xml:space="preserve"> </w:t>
      </w:r>
    </w:p>
    <w:p w14:paraId="5A39BBE3" w14:textId="77777777" w:rsidR="000E3646" w:rsidRPr="002946B2" w:rsidRDefault="000E3646" w:rsidP="00734781">
      <w:pPr>
        <w:spacing w:line="276" w:lineRule="auto"/>
        <w:jc w:val="both"/>
        <w:rPr>
          <w:rFonts w:ascii="Arial" w:hAnsi="Arial" w:cs="Arial"/>
          <w:spacing w:val="-4"/>
        </w:rPr>
      </w:pPr>
    </w:p>
    <w:p w14:paraId="2FD9FBCC" w14:textId="3D2313C0" w:rsidR="00276902" w:rsidRPr="002946B2" w:rsidRDefault="000E3646" w:rsidP="00734781">
      <w:pPr>
        <w:spacing w:line="276" w:lineRule="auto"/>
        <w:jc w:val="both"/>
        <w:rPr>
          <w:rFonts w:ascii="Arial" w:hAnsi="Arial" w:cs="Arial"/>
          <w:spacing w:val="-4"/>
        </w:rPr>
      </w:pPr>
      <w:r w:rsidRPr="002946B2">
        <w:rPr>
          <w:rFonts w:ascii="Arial" w:hAnsi="Arial" w:cs="Arial"/>
          <w:spacing w:val="-4"/>
        </w:rPr>
        <w:t xml:space="preserve">Indica que la ausencia de definición de su petición es </w:t>
      </w:r>
      <w:proofErr w:type="spellStart"/>
      <w:r w:rsidRPr="002946B2">
        <w:rPr>
          <w:rFonts w:ascii="Arial" w:hAnsi="Arial" w:cs="Arial"/>
          <w:spacing w:val="-4"/>
        </w:rPr>
        <w:t>vulneratoria</w:t>
      </w:r>
      <w:proofErr w:type="spellEnd"/>
      <w:r w:rsidRPr="002946B2">
        <w:rPr>
          <w:rFonts w:ascii="Arial" w:hAnsi="Arial" w:cs="Arial"/>
          <w:spacing w:val="-4"/>
        </w:rPr>
        <w:t xml:space="preserve"> de sus derechos fundamentales a la seguridad social, de petición y vida en condiciones dignas, pues no cuenta con ingresos que le permitan asumir sus gastos personales, como tampoco </w:t>
      </w:r>
      <w:r w:rsidR="005621E1" w:rsidRPr="002946B2">
        <w:rPr>
          <w:rFonts w:ascii="Arial" w:hAnsi="Arial" w:cs="Arial"/>
          <w:spacing w:val="-4"/>
        </w:rPr>
        <w:t>con</w:t>
      </w:r>
      <w:r w:rsidRPr="002946B2">
        <w:rPr>
          <w:rFonts w:ascii="Arial" w:hAnsi="Arial" w:cs="Arial"/>
          <w:spacing w:val="-4"/>
        </w:rPr>
        <w:t xml:space="preserve"> la ayuda de un familiar, siendo esta la </w:t>
      </w:r>
      <w:r w:rsidR="00276902" w:rsidRPr="002946B2">
        <w:rPr>
          <w:rFonts w:ascii="Arial" w:hAnsi="Arial" w:cs="Arial"/>
          <w:spacing w:val="-4"/>
        </w:rPr>
        <w:t>razón por la que acude a la acción de tutela, en procura de que sean amparadas tales garantías y como medid</w:t>
      </w:r>
      <w:r w:rsidR="005621E1" w:rsidRPr="002946B2">
        <w:rPr>
          <w:rFonts w:ascii="Arial" w:hAnsi="Arial" w:cs="Arial"/>
          <w:spacing w:val="-4"/>
        </w:rPr>
        <w:t>a</w:t>
      </w:r>
      <w:r w:rsidR="00276902" w:rsidRPr="002946B2">
        <w:rPr>
          <w:rFonts w:ascii="Arial" w:hAnsi="Arial" w:cs="Arial"/>
          <w:spacing w:val="-4"/>
        </w:rPr>
        <w:t xml:space="preserve"> de restablecimiento pide que se ordene a las entidades involucradas realizar </w:t>
      </w:r>
      <w:r w:rsidR="19E8ADBD" w:rsidRPr="002946B2">
        <w:rPr>
          <w:rFonts w:ascii="Arial" w:hAnsi="Arial" w:cs="Arial"/>
          <w:spacing w:val="-4"/>
        </w:rPr>
        <w:t>el</w:t>
      </w:r>
      <w:r w:rsidR="00276902" w:rsidRPr="002946B2">
        <w:rPr>
          <w:rFonts w:ascii="Arial" w:hAnsi="Arial" w:cs="Arial"/>
          <w:spacing w:val="-4"/>
        </w:rPr>
        <w:t xml:space="preserve"> reconocimiento y pago del bono pensional.</w:t>
      </w:r>
    </w:p>
    <w:p w14:paraId="41C8F396" w14:textId="77777777" w:rsidR="00276902" w:rsidRPr="002946B2" w:rsidRDefault="00276902" w:rsidP="00734781">
      <w:pPr>
        <w:pStyle w:val="Ttulo2"/>
        <w:spacing w:line="276" w:lineRule="auto"/>
        <w:jc w:val="center"/>
        <w:rPr>
          <w:rFonts w:cs="Arial"/>
          <w:spacing w:val="-4"/>
          <w:szCs w:val="24"/>
        </w:rPr>
      </w:pPr>
    </w:p>
    <w:p w14:paraId="5CE58782" w14:textId="77777777" w:rsidR="00EA6461" w:rsidRPr="002946B2" w:rsidRDefault="00EA6461" w:rsidP="00734781">
      <w:pPr>
        <w:pStyle w:val="Ttulo2"/>
        <w:spacing w:line="276" w:lineRule="auto"/>
        <w:jc w:val="center"/>
        <w:rPr>
          <w:rFonts w:cs="Arial"/>
          <w:spacing w:val="-4"/>
          <w:szCs w:val="24"/>
        </w:rPr>
      </w:pPr>
      <w:r w:rsidRPr="002946B2">
        <w:rPr>
          <w:rFonts w:cs="Arial"/>
          <w:spacing w:val="-4"/>
          <w:szCs w:val="24"/>
        </w:rPr>
        <w:t>TRÁMITE IMPARTIDO</w:t>
      </w:r>
    </w:p>
    <w:p w14:paraId="72A3D3EC" w14:textId="77777777" w:rsidR="00EA6461" w:rsidRPr="002946B2" w:rsidRDefault="00EA6461" w:rsidP="00734781">
      <w:pPr>
        <w:spacing w:line="276" w:lineRule="auto"/>
        <w:rPr>
          <w:rFonts w:ascii="Arial" w:hAnsi="Arial" w:cs="Arial"/>
          <w:spacing w:val="-4"/>
          <w:lang w:val="es-ES_tradnl"/>
        </w:rPr>
      </w:pPr>
    </w:p>
    <w:p w14:paraId="69ABAA73" w14:textId="7BC2FC3F" w:rsidR="00CE2924" w:rsidRPr="002946B2" w:rsidRDefault="00EA6461" w:rsidP="00734781">
      <w:pPr>
        <w:spacing w:line="276" w:lineRule="auto"/>
        <w:jc w:val="both"/>
        <w:rPr>
          <w:rFonts w:ascii="Arial" w:hAnsi="Arial" w:cs="Arial"/>
          <w:spacing w:val="-4"/>
        </w:rPr>
      </w:pPr>
      <w:r w:rsidRPr="002946B2">
        <w:rPr>
          <w:rFonts w:ascii="Arial" w:hAnsi="Arial" w:cs="Arial"/>
          <w:spacing w:val="-4"/>
        </w:rPr>
        <w:t>La acción de tutela corres</w:t>
      </w:r>
      <w:r w:rsidR="006D5A33" w:rsidRPr="002946B2">
        <w:rPr>
          <w:rFonts w:ascii="Arial" w:hAnsi="Arial" w:cs="Arial"/>
          <w:spacing w:val="-4"/>
        </w:rPr>
        <w:t xml:space="preserve">pondió por reparto al Juzgado </w:t>
      </w:r>
      <w:r w:rsidR="004C2E19" w:rsidRPr="002946B2">
        <w:rPr>
          <w:rFonts w:ascii="Arial" w:hAnsi="Arial" w:cs="Arial"/>
          <w:spacing w:val="-4"/>
        </w:rPr>
        <w:t xml:space="preserve">Tercero </w:t>
      </w:r>
      <w:r w:rsidRPr="002946B2">
        <w:rPr>
          <w:rFonts w:ascii="Arial" w:hAnsi="Arial" w:cs="Arial"/>
          <w:spacing w:val="-4"/>
        </w:rPr>
        <w:t>Laboral del Circuito de esta ciudad, el cual</w:t>
      </w:r>
      <w:r w:rsidR="00DA5E9E" w:rsidRPr="002946B2">
        <w:rPr>
          <w:rFonts w:ascii="Arial" w:hAnsi="Arial" w:cs="Arial"/>
          <w:spacing w:val="-4"/>
        </w:rPr>
        <w:t>,</w:t>
      </w:r>
      <w:r w:rsidRPr="002946B2">
        <w:rPr>
          <w:rFonts w:ascii="Arial" w:hAnsi="Arial" w:cs="Arial"/>
          <w:spacing w:val="-4"/>
        </w:rPr>
        <w:t xml:space="preserve"> </w:t>
      </w:r>
      <w:r w:rsidR="004C2E19" w:rsidRPr="002946B2">
        <w:rPr>
          <w:rFonts w:ascii="Arial" w:hAnsi="Arial" w:cs="Arial"/>
          <w:spacing w:val="-4"/>
        </w:rPr>
        <w:t xml:space="preserve">mediante auto de fecha </w:t>
      </w:r>
      <w:r w:rsidR="00276902" w:rsidRPr="002946B2">
        <w:rPr>
          <w:rFonts w:ascii="Arial" w:hAnsi="Arial" w:cs="Arial"/>
          <w:spacing w:val="-4"/>
        </w:rPr>
        <w:t>18 de octubre de 2022</w:t>
      </w:r>
      <w:r w:rsidR="00DA5E9E" w:rsidRPr="002946B2">
        <w:rPr>
          <w:rFonts w:ascii="Arial" w:hAnsi="Arial" w:cs="Arial"/>
          <w:spacing w:val="-4"/>
        </w:rPr>
        <w:t xml:space="preserve"> la admitió y </w:t>
      </w:r>
      <w:r w:rsidRPr="002946B2">
        <w:rPr>
          <w:rFonts w:ascii="Arial" w:hAnsi="Arial" w:cs="Arial"/>
          <w:spacing w:val="-4"/>
        </w:rPr>
        <w:t>corrió traslado</w:t>
      </w:r>
      <w:r w:rsidR="00DA5E9E" w:rsidRPr="002946B2">
        <w:rPr>
          <w:rFonts w:ascii="Arial" w:hAnsi="Arial" w:cs="Arial"/>
          <w:spacing w:val="-4"/>
        </w:rPr>
        <w:t xml:space="preserve"> </w:t>
      </w:r>
      <w:r w:rsidRPr="002946B2">
        <w:rPr>
          <w:rFonts w:ascii="Arial" w:hAnsi="Arial" w:cs="Arial"/>
          <w:spacing w:val="-4"/>
        </w:rPr>
        <w:t xml:space="preserve">por el término de </w:t>
      </w:r>
      <w:r w:rsidR="0076279C" w:rsidRPr="002946B2">
        <w:rPr>
          <w:rFonts w:ascii="Arial" w:hAnsi="Arial" w:cs="Arial"/>
          <w:spacing w:val="-4"/>
        </w:rPr>
        <w:t>d</w:t>
      </w:r>
      <w:r w:rsidRPr="002946B2">
        <w:rPr>
          <w:rFonts w:ascii="Arial" w:hAnsi="Arial" w:cs="Arial"/>
          <w:spacing w:val="-4"/>
        </w:rPr>
        <w:t>os (2) días, a la</w:t>
      </w:r>
      <w:r w:rsidR="00276902" w:rsidRPr="002946B2">
        <w:rPr>
          <w:rFonts w:ascii="Arial" w:hAnsi="Arial" w:cs="Arial"/>
          <w:spacing w:val="-4"/>
        </w:rPr>
        <w:t>s</w:t>
      </w:r>
      <w:r w:rsidRPr="002946B2">
        <w:rPr>
          <w:rFonts w:ascii="Arial" w:hAnsi="Arial" w:cs="Arial"/>
          <w:spacing w:val="-4"/>
        </w:rPr>
        <w:t xml:space="preserve"> accionada</w:t>
      </w:r>
      <w:r w:rsidR="00276902" w:rsidRPr="002946B2">
        <w:rPr>
          <w:rFonts w:ascii="Arial" w:hAnsi="Arial" w:cs="Arial"/>
          <w:spacing w:val="-4"/>
        </w:rPr>
        <w:t>s</w:t>
      </w:r>
      <w:r w:rsidRPr="002946B2">
        <w:rPr>
          <w:rFonts w:ascii="Arial" w:hAnsi="Arial" w:cs="Arial"/>
          <w:spacing w:val="-4"/>
        </w:rPr>
        <w:t xml:space="preserve"> a efectos de que ejerciera</w:t>
      </w:r>
      <w:r w:rsidR="00276902" w:rsidRPr="002946B2">
        <w:rPr>
          <w:rFonts w:ascii="Arial" w:hAnsi="Arial" w:cs="Arial"/>
          <w:spacing w:val="-4"/>
        </w:rPr>
        <w:t>n</w:t>
      </w:r>
      <w:r w:rsidRPr="002946B2">
        <w:rPr>
          <w:rFonts w:ascii="Arial" w:hAnsi="Arial" w:cs="Arial"/>
          <w:spacing w:val="-4"/>
        </w:rPr>
        <w:t xml:space="preserve"> su derecho de defensa</w:t>
      </w:r>
      <w:r w:rsidR="00CE2924" w:rsidRPr="002946B2">
        <w:rPr>
          <w:rFonts w:ascii="Arial" w:hAnsi="Arial" w:cs="Arial"/>
          <w:spacing w:val="-4"/>
        </w:rPr>
        <w:t>.</w:t>
      </w:r>
      <w:r w:rsidR="001C783F" w:rsidRPr="002946B2">
        <w:rPr>
          <w:rFonts w:ascii="Arial" w:hAnsi="Arial" w:cs="Arial"/>
          <w:spacing w:val="-4"/>
        </w:rPr>
        <w:t xml:space="preserve"> </w:t>
      </w:r>
    </w:p>
    <w:p w14:paraId="0D0B940D" w14:textId="77777777" w:rsidR="004C2E19" w:rsidRPr="002946B2" w:rsidRDefault="004C2E19" w:rsidP="00734781">
      <w:pPr>
        <w:spacing w:line="276" w:lineRule="auto"/>
        <w:jc w:val="both"/>
        <w:rPr>
          <w:rFonts w:ascii="Arial" w:hAnsi="Arial" w:cs="Arial"/>
          <w:spacing w:val="-4"/>
        </w:rPr>
      </w:pPr>
    </w:p>
    <w:p w14:paraId="69EE419C" w14:textId="0B3D3574" w:rsidR="00A54902" w:rsidRPr="002946B2" w:rsidRDefault="00276902" w:rsidP="00734781">
      <w:pPr>
        <w:overflowPunct w:val="0"/>
        <w:autoSpaceDE w:val="0"/>
        <w:autoSpaceDN w:val="0"/>
        <w:adjustRightInd w:val="0"/>
        <w:spacing w:line="276" w:lineRule="auto"/>
        <w:jc w:val="both"/>
        <w:textAlignment w:val="baseline"/>
        <w:rPr>
          <w:rFonts w:ascii="Arial" w:hAnsi="Arial" w:cs="Arial"/>
          <w:spacing w:val="-4"/>
        </w:rPr>
      </w:pPr>
      <w:r w:rsidRPr="002946B2">
        <w:rPr>
          <w:rFonts w:ascii="Arial" w:hAnsi="Arial" w:cs="Arial"/>
          <w:spacing w:val="-4"/>
        </w:rPr>
        <w:t>El municipio de Boyacá integr</w:t>
      </w:r>
      <w:r w:rsidR="0EF9844C" w:rsidRPr="002946B2">
        <w:rPr>
          <w:rFonts w:ascii="Arial" w:hAnsi="Arial" w:cs="Arial"/>
          <w:spacing w:val="-4"/>
        </w:rPr>
        <w:t>ó</w:t>
      </w:r>
      <w:r w:rsidRPr="002946B2">
        <w:rPr>
          <w:rFonts w:ascii="Arial" w:hAnsi="Arial" w:cs="Arial"/>
          <w:spacing w:val="-4"/>
        </w:rPr>
        <w:t xml:space="preserve"> la litis indicando que la petición elevada por el actor, ya fue atendida </w:t>
      </w:r>
      <w:r w:rsidR="588D92EE" w:rsidRPr="002946B2">
        <w:rPr>
          <w:rFonts w:ascii="Arial" w:hAnsi="Arial" w:cs="Arial"/>
          <w:spacing w:val="-4"/>
        </w:rPr>
        <w:t xml:space="preserve">al </w:t>
      </w:r>
      <w:r w:rsidR="0097334E" w:rsidRPr="002946B2">
        <w:rPr>
          <w:rFonts w:ascii="Arial" w:hAnsi="Arial" w:cs="Arial"/>
          <w:spacing w:val="-4"/>
        </w:rPr>
        <w:t>inform</w:t>
      </w:r>
      <w:r w:rsidR="13FF463B" w:rsidRPr="002946B2">
        <w:rPr>
          <w:rFonts w:ascii="Arial" w:hAnsi="Arial" w:cs="Arial"/>
          <w:spacing w:val="-4"/>
        </w:rPr>
        <w:t>arle</w:t>
      </w:r>
      <w:r w:rsidR="005621E1" w:rsidRPr="002946B2">
        <w:rPr>
          <w:rFonts w:ascii="Arial" w:hAnsi="Arial" w:cs="Arial"/>
          <w:spacing w:val="-4"/>
        </w:rPr>
        <w:t xml:space="preserve"> al fondo de pensiones</w:t>
      </w:r>
      <w:r w:rsidR="0097334E" w:rsidRPr="002946B2">
        <w:rPr>
          <w:rFonts w:ascii="Arial" w:hAnsi="Arial" w:cs="Arial"/>
          <w:spacing w:val="-4"/>
        </w:rPr>
        <w:t xml:space="preserve"> que al tratarse de </w:t>
      </w:r>
      <w:r w:rsidR="005621E1" w:rsidRPr="002946B2">
        <w:rPr>
          <w:rFonts w:ascii="Arial" w:hAnsi="Arial" w:cs="Arial"/>
          <w:spacing w:val="-4"/>
        </w:rPr>
        <w:t xml:space="preserve">la </w:t>
      </w:r>
      <w:r w:rsidR="0097334E" w:rsidRPr="002946B2">
        <w:rPr>
          <w:rFonts w:ascii="Arial" w:hAnsi="Arial" w:cs="Arial"/>
          <w:spacing w:val="-4"/>
        </w:rPr>
        <w:t xml:space="preserve">redención anticipada del bono pensional por devolución de saldos por vejez, </w:t>
      </w:r>
      <w:r w:rsidR="005621E1" w:rsidRPr="002946B2">
        <w:rPr>
          <w:rFonts w:ascii="Arial" w:hAnsi="Arial" w:cs="Arial"/>
          <w:spacing w:val="-4"/>
        </w:rPr>
        <w:t>esta se encuentra causada</w:t>
      </w:r>
      <w:r w:rsidR="00A54902" w:rsidRPr="002946B2">
        <w:rPr>
          <w:rFonts w:ascii="Arial" w:hAnsi="Arial" w:cs="Arial"/>
          <w:spacing w:val="-4"/>
        </w:rPr>
        <w:t xml:space="preserve"> y </w:t>
      </w:r>
      <w:r w:rsidR="3913AD4C" w:rsidRPr="002946B2">
        <w:rPr>
          <w:rFonts w:ascii="Arial" w:hAnsi="Arial" w:cs="Arial"/>
          <w:spacing w:val="-4"/>
        </w:rPr>
        <w:t xml:space="preserve">en </w:t>
      </w:r>
      <w:r w:rsidR="00A54902" w:rsidRPr="002946B2">
        <w:rPr>
          <w:rFonts w:ascii="Arial" w:hAnsi="Arial" w:cs="Arial"/>
          <w:spacing w:val="-4"/>
        </w:rPr>
        <w:t xml:space="preserve">tal virtud </w:t>
      </w:r>
      <w:r w:rsidR="019233DC" w:rsidRPr="002946B2">
        <w:rPr>
          <w:rFonts w:ascii="Arial" w:hAnsi="Arial" w:cs="Arial"/>
          <w:spacing w:val="-4"/>
        </w:rPr>
        <w:t>corresponde</w:t>
      </w:r>
      <w:r w:rsidR="00A54902" w:rsidRPr="002946B2">
        <w:rPr>
          <w:rFonts w:ascii="Arial" w:hAnsi="Arial" w:cs="Arial"/>
          <w:spacing w:val="-4"/>
        </w:rPr>
        <w:t xml:space="preserve"> registrar </w:t>
      </w:r>
      <w:r w:rsidR="7D9AF6BF" w:rsidRPr="002946B2">
        <w:rPr>
          <w:rFonts w:ascii="Arial" w:hAnsi="Arial" w:cs="Arial"/>
          <w:spacing w:val="-4"/>
        </w:rPr>
        <w:t>es</w:t>
      </w:r>
      <w:r w:rsidR="00A54902" w:rsidRPr="002946B2">
        <w:rPr>
          <w:rFonts w:ascii="Arial" w:hAnsi="Arial" w:cs="Arial"/>
          <w:spacing w:val="-4"/>
        </w:rPr>
        <w:t xml:space="preserve">a fecha en la liquidación allegada para iniciar el proceso de emisión y pago del bono pensional, toda vez que </w:t>
      </w:r>
      <w:r w:rsidR="3131B08B" w:rsidRPr="002946B2">
        <w:rPr>
          <w:rFonts w:ascii="Arial" w:hAnsi="Arial" w:cs="Arial"/>
          <w:spacing w:val="-4"/>
        </w:rPr>
        <w:t>dicha fecha</w:t>
      </w:r>
      <w:r w:rsidR="005621E1" w:rsidRPr="002946B2">
        <w:rPr>
          <w:rFonts w:ascii="Arial" w:hAnsi="Arial" w:cs="Arial"/>
          <w:spacing w:val="-4"/>
        </w:rPr>
        <w:t xml:space="preserve"> </w:t>
      </w:r>
      <w:r w:rsidR="00A54902" w:rsidRPr="002946B2">
        <w:rPr>
          <w:rFonts w:ascii="Arial" w:hAnsi="Arial" w:cs="Arial"/>
          <w:spacing w:val="-4"/>
        </w:rPr>
        <w:t xml:space="preserve"> incide directamente en el valor </w:t>
      </w:r>
      <w:r w:rsidR="2B15B0EF" w:rsidRPr="002946B2">
        <w:rPr>
          <w:rFonts w:ascii="Arial" w:hAnsi="Arial" w:cs="Arial"/>
          <w:spacing w:val="-4"/>
        </w:rPr>
        <w:t xml:space="preserve">del </w:t>
      </w:r>
      <w:r w:rsidR="005621E1" w:rsidRPr="002946B2">
        <w:rPr>
          <w:rFonts w:ascii="Arial" w:hAnsi="Arial" w:cs="Arial"/>
          <w:spacing w:val="-4"/>
        </w:rPr>
        <w:t>título</w:t>
      </w:r>
      <w:r w:rsidR="00A54902" w:rsidRPr="002946B2">
        <w:rPr>
          <w:rFonts w:ascii="Arial" w:hAnsi="Arial" w:cs="Arial"/>
          <w:spacing w:val="-4"/>
        </w:rPr>
        <w:t xml:space="preserve"> a cargo del departamento de Boyacá.</w:t>
      </w:r>
    </w:p>
    <w:p w14:paraId="0E27B00A" w14:textId="77777777" w:rsidR="00A54902" w:rsidRPr="002946B2" w:rsidRDefault="00A54902" w:rsidP="00734781">
      <w:pPr>
        <w:overflowPunct w:val="0"/>
        <w:autoSpaceDE w:val="0"/>
        <w:autoSpaceDN w:val="0"/>
        <w:adjustRightInd w:val="0"/>
        <w:spacing w:line="276" w:lineRule="auto"/>
        <w:jc w:val="both"/>
        <w:textAlignment w:val="baseline"/>
        <w:rPr>
          <w:rFonts w:ascii="Arial" w:hAnsi="Arial" w:cs="Arial"/>
          <w:spacing w:val="-4"/>
          <w:lang w:val="es-ES_tradnl"/>
        </w:rPr>
      </w:pPr>
    </w:p>
    <w:p w14:paraId="06D812EC" w14:textId="33AACD46" w:rsidR="00E457BA" w:rsidRPr="002946B2" w:rsidRDefault="00A54902" w:rsidP="00734781">
      <w:pPr>
        <w:overflowPunct w:val="0"/>
        <w:autoSpaceDE w:val="0"/>
        <w:autoSpaceDN w:val="0"/>
        <w:adjustRightInd w:val="0"/>
        <w:spacing w:line="276" w:lineRule="auto"/>
        <w:jc w:val="both"/>
        <w:textAlignment w:val="baseline"/>
        <w:rPr>
          <w:rFonts w:ascii="Arial" w:hAnsi="Arial" w:cs="Arial"/>
          <w:spacing w:val="-4"/>
          <w:lang w:val="es-ES_tradnl"/>
        </w:rPr>
      </w:pPr>
      <w:r w:rsidRPr="002946B2">
        <w:rPr>
          <w:rFonts w:ascii="Arial" w:hAnsi="Arial" w:cs="Arial"/>
          <w:spacing w:val="-4"/>
          <w:lang w:val="es-ES_tradnl"/>
        </w:rPr>
        <w:t xml:space="preserve">Refiere igualmente que Porvenir debe allegar </w:t>
      </w:r>
      <w:r w:rsidR="005621E1" w:rsidRPr="002946B2">
        <w:rPr>
          <w:rFonts w:ascii="Arial" w:hAnsi="Arial" w:cs="Arial"/>
          <w:spacing w:val="-4"/>
          <w:lang w:val="es-ES_tradnl"/>
        </w:rPr>
        <w:t xml:space="preserve">a esa entidad, </w:t>
      </w:r>
      <w:r w:rsidRPr="002946B2">
        <w:rPr>
          <w:rFonts w:ascii="Arial" w:hAnsi="Arial" w:cs="Arial"/>
          <w:spacing w:val="-4"/>
          <w:lang w:val="es-ES_tradnl"/>
        </w:rPr>
        <w:t>la aceptación de la liquidación</w:t>
      </w:r>
      <w:r w:rsidR="005621E1" w:rsidRPr="002946B2">
        <w:rPr>
          <w:rFonts w:ascii="Arial" w:hAnsi="Arial" w:cs="Arial"/>
          <w:spacing w:val="-4"/>
          <w:lang w:val="es-ES_tradnl"/>
        </w:rPr>
        <w:t xml:space="preserve"> </w:t>
      </w:r>
      <w:r w:rsidRPr="002946B2">
        <w:rPr>
          <w:rFonts w:ascii="Arial" w:hAnsi="Arial" w:cs="Arial"/>
          <w:spacing w:val="-4"/>
          <w:lang w:val="es-ES_tradnl"/>
        </w:rPr>
        <w:t xml:space="preserve">del Ministerio de Hacienda y Crédito Público </w:t>
      </w:r>
      <w:r w:rsidR="005621E1" w:rsidRPr="002946B2">
        <w:rPr>
          <w:rFonts w:ascii="Arial" w:hAnsi="Arial" w:cs="Arial"/>
          <w:spacing w:val="-4"/>
          <w:lang w:val="es-ES_tradnl"/>
        </w:rPr>
        <w:t>-</w:t>
      </w:r>
      <w:r w:rsidR="009623B2" w:rsidRPr="002946B2">
        <w:rPr>
          <w:rFonts w:ascii="Arial" w:hAnsi="Arial" w:cs="Arial"/>
          <w:spacing w:val="-4"/>
          <w:lang w:val="es-ES_tradnl"/>
        </w:rPr>
        <w:t>Oficina de Bo</w:t>
      </w:r>
      <w:r w:rsidR="005621E1" w:rsidRPr="002946B2">
        <w:rPr>
          <w:rFonts w:ascii="Arial" w:hAnsi="Arial" w:cs="Arial"/>
          <w:spacing w:val="-4"/>
          <w:lang w:val="es-ES_tradnl"/>
        </w:rPr>
        <w:t>n</w:t>
      </w:r>
      <w:r w:rsidR="009623B2" w:rsidRPr="002946B2">
        <w:rPr>
          <w:rFonts w:ascii="Arial" w:hAnsi="Arial" w:cs="Arial"/>
          <w:spacing w:val="-4"/>
          <w:lang w:val="es-ES_tradnl"/>
        </w:rPr>
        <w:t>os Pensionales</w:t>
      </w:r>
      <w:r w:rsidR="005621E1" w:rsidRPr="002946B2">
        <w:rPr>
          <w:rFonts w:ascii="Arial" w:hAnsi="Arial" w:cs="Arial"/>
          <w:spacing w:val="-4"/>
          <w:lang w:val="es-ES_tradnl"/>
        </w:rPr>
        <w:t>-</w:t>
      </w:r>
      <w:r w:rsidR="009623B2" w:rsidRPr="002946B2">
        <w:rPr>
          <w:rFonts w:ascii="Arial" w:hAnsi="Arial" w:cs="Arial"/>
          <w:spacing w:val="-4"/>
          <w:lang w:val="es-ES_tradnl"/>
        </w:rPr>
        <w:t xml:space="preserve"> con la totalidad de la información que tiene injerencia en el cálculo del bono pensional </w:t>
      </w:r>
      <w:r w:rsidR="005621E1" w:rsidRPr="002946B2">
        <w:rPr>
          <w:rFonts w:ascii="Arial" w:hAnsi="Arial" w:cs="Arial"/>
          <w:spacing w:val="-4"/>
          <w:lang w:val="es-ES_tradnl"/>
        </w:rPr>
        <w:t xml:space="preserve">del </w:t>
      </w:r>
      <w:r w:rsidR="009623B2" w:rsidRPr="002946B2">
        <w:rPr>
          <w:rFonts w:ascii="Arial" w:hAnsi="Arial" w:cs="Arial"/>
          <w:spacing w:val="-4"/>
          <w:lang w:val="es-ES_tradnl"/>
        </w:rPr>
        <w:t>actor y la autorización para el pago.</w:t>
      </w:r>
    </w:p>
    <w:p w14:paraId="60061E4C" w14:textId="77777777" w:rsidR="00E457BA" w:rsidRPr="002946B2" w:rsidRDefault="00E457BA" w:rsidP="00734781">
      <w:pPr>
        <w:overflowPunct w:val="0"/>
        <w:autoSpaceDE w:val="0"/>
        <w:autoSpaceDN w:val="0"/>
        <w:adjustRightInd w:val="0"/>
        <w:spacing w:line="276" w:lineRule="auto"/>
        <w:jc w:val="both"/>
        <w:textAlignment w:val="baseline"/>
        <w:rPr>
          <w:rFonts w:ascii="Arial" w:hAnsi="Arial" w:cs="Arial"/>
          <w:spacing w:val="-4"/>
          <w:lang w:val="es-ES_tradnl"/>
        </w:rPr>
      </w:pPr>
    </w:p>
    <w:p w14:paraId="19D13AEC" w14:textId="6544998F" w:rsidR="002C3F0D" w:rsidRPr="002946B2" w:rsidRDefault="6B3780C0" w:rsidP="00734781">
      <w:pPr>
        <w:overflowPunct w:val="0"/>
        <w:autoSpaceDE w:val="0"/>
        <w:autoSpaceDN w:val="0"/>
        <w:adjustRightInd w:val="0"/>
        <w:spacing w:line="276" w:lineRule="auto"/>
        <w:jc w:val="both"/>
        <w:textAlignment w:val="baseline"/>
        <w:rPr>
          <w:rFonts w:ascii="Arial" w:hAnsi="Arial" w:cs="Arial"/>
          <w:spacing w:val="-4"/>
        </w:rPr>
      </w:pPr>
      <w:r w:rsidRPr="002946B2">
        <w:rPr>
          <w:rFonts w:ascii="Arial" w:hAnsi="Arial" w:cs="Arial"/>
          <w:spacing w:val="-4"/>
        </w:rPr>
        <w:t>Explica que por</w:t>
      </w:r>
      <w:r w:rsidR="00E457BA" w:rsidRPr="002946B2">
        <w:rPr>
          <w:rFonts w:ascii="Arial" w:hAnsi="Arial" w:cs="Arial"/>
          <w:spacing w:val="-4"/>
        </w:rPr>
        <w:t xml:space="preserve"> lo anterior </w:t>
      </w:r>
      <w:r w:rsidR="005621E1" w:rsidRPr="002946B2">
        <w:rPr>
          <w:rFonts w:ascii="Arial" w:hAnsi="Arial" w:cs="Arial"/>
          <w:spacing w:val="-4"/>
        </w:rPr>
        <w:t>fue objetado</w:t>
      </w:r>
      <w:r w:rsidR="00E457BA" w:rsidRPr="002946B2">
        <w:rPr>
          <w:rFonts w:ascii="Arial" w:hAnsi="Arial" w:cs="Arial"/>
          <w:spacing w:val="-4"/>
        </w:rPr>
        <w:t xml:space="preserve"> el cálculo de la liquidación de la cuota parte del bono pensional</w:t>
      </w:r>
      <w:r w:rsidR="1E2A58F0" w:rsidRPr="002946B2">
        <w:rPr>
          <w:rFonts w:ascii="Arial" w:hAnsi="Arial" w:cs="Arial"/>
          <w:spacing w:val="-4"/>
        </w:rPr>
        <w:t>,</w:t>
      </w:r>
      <w:r w:rsidR="00E457BA" w:rsidRPr="002946B2">
        <w:rPr>
          <w:rFonts w:ascii="Arial" w:hAnsi="Arial" w:cs="Arial"/>
          <w:spacing w:val="-4"/>
        </w:rPr>
        <w:t xml:space="preserve"> </w:t>
      </w:r>
      <w:r w:rsidR="1A6F03B7" w:rsidRPr="002946B2">
        <w:rPr>
          <w:rFonts w:ascii="Arial" w:hAnsi="Arial" w:cs="Arial"/>
          <w:spacing w:val="-4"/>
        </w:rPr>
        <w:t>al</w:t>
      </w:r>
      <w:r w:rsidR="00E457BA" w:rsidRPr="002946B2">
        <w:rPr>
          <w:rFonts w:ascii="Arial" w:hAnsi="Arial" w:cs="Arial"/>
          <w:spacing w:val="-4"/>
        </w:rPr>
        <w:t xml:space="preserve"> no existir obligación clara, expresa y exigible</w:t>
      </w:r>
      <w:r w:rsidR="002C3F0D" w:rsidRPr="002946B2">
        <w:rPr>
          <w:rFonts w:ascii="Arial" w:hAnsi="Arial" w:cs="Arial"/>
          <w:spacing w:val="-4"/>
        </w:rPr>
        <w:t xml:space="preserve">, encontrándose a cargo de Porvenir S.A. la obligación de realizar las actuaciones pertinentes para reanudar el trámite. </w:t>
      </w:r>
    </w:p>
    <w:p w14:paraId="44EAFD9C" w14:textId="77777777" w:rsidR="002C3F0D" w:rsidRPr="002946B2" w:rsidRDefault="002C3F0D" w:rsidP="00734781">
      <w:pPr>
        <w:overflowPunct w:val="0"/>
        <w:autoSpaceDE w:val="0"/>
        <w:autoSpaceDN w:val="0"/>
        <w:adjustRightInd w:val="0"/>
        <w:spacing w:line="276" w:lineRule="auto"/>
        <w:jc w:val="both"/>
        <w:textAlignment w:val="baseline"/>
        <w:rPr>
          <w:rFonts w:ascii="Arial" w:hAnsi="Arial" w:cs="Arial"/>
          <w:spacing w:val="-4"/>
          <w:lang w:val="es-ES_tradnl"/>
        </w:rPr>
      </w:pPr>
    </w:p>
    <w:p w14:paraId="67F1BD98" w14:textId="397EA715" w:rsidR="009E4457" w:rsidRPr="002946B2" w:rsidRDefault="002C3F0D" w:rsidP="00734781">
      <w:pPr>
        <w:spacing w:line="276" w:lineRule="auto"/>
        <w:jc w:val="both"/>
        <w:rPr>
          <w:rFonts w:ascii="Arial" w:hAnsi="Arial" w:cs="Arial"/>
          <w:spacing w:val="-4"/>
        </w:rPr>
      </w:pPr>
      <w:r w:rsidRPr="002946B2">
        <w:rPr>
          <w:rFonts w:ascii="Arial" w:hAnsi="Arial" w:cs="Arial"/>
          <w:spacing w:val="-4"/>
        </w:rPr>
        <w:t xml:space="preserve">El Ministerio de Hacienda y Crédito Público </w:t>
      </w:r>
      <w:r w:rsidR="009E4457" w:rsidRPr="002946B2">
        <w:rPr>
          <w:rFonts w:ascii="Arial" w:hAnsi="Arial" w:cs="Arial"/>
          <w:spacing w:val="-4"/>
        </w:rPr>
        <w:t>indicó que</w:t>
      </w:r>
      <w:r w:rsidR="65551C7E" w:rsidRPr="002946B2">
        <w:rPr>
          <w:rFonts w:ascii="Arial" w:hAnsi="Arial" w:cs="Arial"/>
          <w:spacing w:val="-4"/>
        </w:rPr>
        <w:t>,</w:t>
      </w:r>
      <w:r w:rsidR="009E4457" w:rsidRPr="002946B2">
        <w:rPr>
          <w:rFonts w:ascii="Arial" w:hAnsi="Arial" w:cs="Arial"/>
          <w:spacing w:val="-4"/>
        </w:rPr>
        <w:t xml:space="preserve"> a la </w:t>
      </w:r>
      <w:r w:rsidR="005621E1" w:rsidRPr="002946B2">
        <w:rPr>
          <w:rFonts w:ascii="Arial" w:hAnsi="Arial" w:cs="Arial"/>
          <w:spacing w:val="-4"/>
        </w:rPr>
        <w:t>O</w:t>
      </w:r>
      <w:r w:rsidR="009E4457" w:rsidRPr="002946B2">
        <w:rPr>
          <w:rFonts w:ascii="Arial" w:hAnsi="Arial" w:cs="Arial"/>
          <w:spacing w:val="-4"/>
        </w:rPr>
        <w:t xml:space="preserve">ficina de Bonos Pensionales no le ha sido remitida ninguna petición del actor relacionada con los hechos que originan la solicitud </w:t>
      </w:r>
      <w:r w:rsidR="73909E3B" w:rsidRPr="002946B2">
        <w:rPr>
          <w:rFonts w:ascii="Arial" w:hAnsi="Arial" w:cs="Arial"/>
          <w:spacing w:val="-4"/>
        </w:rPr>
        <w:t>planteada en la tutela</w:t>
      </w:r>
      <w:r w:rsidR="009E4457" w:rsidRPr="002946B2">
        <w:rPr>
          <w:rFonts w:ascii="Arial" w:hAnsi="Arial" w:cs="Arial"/>
          <w:spacing w:val="-4"/>
        </w:rPr>
        <w:t xml:space="preserve">; que la entidad </w:t>
      </w:r>
      <w:r w:rsidR="722A6349" w:rsidRPr="002946B2">
        <w:rPr>
          <w:rFonts w:ascii="Arial" w:hAnsi="Arial" w:cs="Arial"/>
          <w:spacing w:val="-4"/>
        </w:rPr>
        <w:t xml:space="preserve">a quien </w:t>
      </w:r>
      <w:r w:rsidR="009E4457" w:rsidRPr="002946B2">
        <w:rPr>
          <w:rFonts w:ascii="Arial" w:hAnsi="Arial" w:cs="Arial"/>
          <w:spacing w:val="-4"/>
        </w:rPr>
        <w:t xml:space="preserve">corresponde determinar los derechos que le asisten al accionante y su financiación es la AFP Porvenir S.A., pues a la OBP solo le compete la liquidación, emisión, expedición, pago o anulación de bonos pensionales o cupones de bono de igual naturaleza, expedidos por la </w:t>
      </w:r>
      <w:r w:rsidR="005621E1" w:rsidRPr="002946B2">
        <w:rPr>
          <w:rFonts w:ascii="Arial" w:hAnsi="Arial" w:cs="Arial"/>
          <w:spacing w:val="-4"/>
        </w:rPr>
        <w:t>N</w:t>
      </w:r>
      <w:r w:rsidR="009E4457" w:rsidRPr="002946B2">
        <w:rPr>
          <w:rFonts w:ascii="Arial" w:hAnsi="Arial" w:cs="Arial"/>
          <w:spacing w:val="-4"/>
        </w:rPr>
        <w:t>ación</w:t>
      </w:r>
      <w:r w:rsidR="00733E94" w:rsidRPr="002946B2">
        <w:rPr>
          <w:rFonts w:ascii="Arial" w:hAnsi="Arial" w:cs="Arial"/>
          <w:spacing w:val="-4"/>
        </w:rPr>
        <w:t>, por lo que considera que la protección solicitada por el usuario es improcedente</w:t>
      </w:r>
      <w:r w:rsidR="00C63E79" w:rsidRPr="002946B2">
        <w:rPr>
          <w:rFonts w:ascii="Arial" w:hAnsi="Arial" w:cs="Arial"/>
          <w:spacing w:val="-4"/>
        </w:rPr>
        <w:t xml:space="preserve"> respecto a esa Cartera.</w:t>
      </w:r>
    </w:p>
    <w:p w14:paraId="4B94D5A5" w14:textId="77777777" w:rsidR="00C63E79" w:rsidRPr="002946B2" w:rsidRDefault="00C63E79" w:rsidP="00734781">
      <w:pPr>
        <w:overflowPunct w:val="0"/>
        <w:autoSpaceDE w:val="0"/>
        <w:autoSpaceDN w:val="0"/>
        <w:adjustRightInd w:val="0"/>
        <w:spacing w:line="276" w:lineRule="auto"/>
        <w:jc w:val="both"/>
        <w:textAlignment w:val="baseline"/>
        <w:rPr>
          <w:rFonts w:ascii="Arial" w:hAnsi="Arial" w:cs="Arial"/>
          <w:spacing w:val="-4"/>
          <w:lang w:val="es-ES_tradnl"/>
        </w:rPr>
      </w:pPr>
    </w:p>
    <w:p w14:paraId="4DE8C1AB" w14:textId="77777777" w:rsidR="00C63E79" w:rsidRPr="002946B2" w:rsidRDefault="00C63E79" w:rsidP="00734781">
      <w:pPr>
        <w:overflowPunct w:val="0"/>
        <w:autoSpaceDE w:val="0"/>
        <w:autoSpaceDN w:val="0"/>
        <w:adjustRightInd w:val="0"/>
        <w:spacing w:line="276" w:lineRule="auto"/>
        <w:jc w:val="both"/>
        <w:textAlignment w:val="baseline"/>
        <w:rPr>
          <w:rFonts w:ascii="Arial" w:hAnsi="Arial" w:cs="Arial"/>
          <w:spacing w:val="-4"/>
          <w:lang w:val="es-ES_tradnl"/>
        </w:rPr>
      </w:pPr>
      <w:r w:rsidRPr="002946B2">
        <w:rPr>
          <w:rFonts w:ascii="Arial" w:hAnsi="Arial" w:cs="Arial"/>
          <w:spacing w:val="-4"/>
          <w:lang w:val="es-ES_tradnl"/>
        </w:rPr>
        <w:lastRenderedPageBreak/>
        <w:t>Refiere que antes de proceder con la devolución de saldos, debe estudiarse primero si el actor puede acceder a la pensión de vejez, prestación que prevalece sobre las pretensiones del actor.</w:t>
      </w:r>
    </w:p>
    <w:p w14:paraId="3DEEC669" w14:textId="77777777" w:rsidR="00C63E79" w:rsidRPr="002946B2" w:rsidRDefault="00C63E79" w:rsidP="00734781">
      <w:pPr>
        <w:overflowPunct w:val="0"/>
        <w:autoSpaceDE w:val="0"/>
        <w:autoSpaceDN w:val="0"/>
        <w:adjustRightInd w:val="0"/>
        <w:spacing w:line="276" w:lineRule="auto"/>
        <w:jc w:val="both"/>
        <w:textAlignment w:val="baseline"/>
        <w:rPr>
          <w:rFonts w:ascii="Arial" w:hAnsi="Arial" w:cs="Arial"/>
          <w:spacing w:val="-4"/>
          <w:lang w:val="es-ES_tradnl"/>
        </w:rPr>
      </w:pPr>
    </w:p>
    <w:p w14:paraId="3656B9AB" w14:textId="78EB027E" w:rsidR="00C63E79" w:rsidRPr="002946B2" w:rsidRDefault="43B33637" w:rsidP="00734781">
      <w:pPr>
        <w:overflowPunct w:val="0"/>
        <w:autoSpaceDE w:val="0"/>
        <w:autoSpaceDN w:val="0"/>
        <w:adjustRightInd w:val="0"/>
        <w:spacing w:line="276" w:lineRule="auto"/>
        <w:jc w:val="both"/>
        <w:textAlignment w:val="baseline"/>
        <w:rPr>
          <w:rFonts w:ascii="Arial" w:hAnsi="Arial" w:cs="Arial"/>
          <w:spacing w:val="-4"/>
        </w:rPr>
      </w:pPr>
      <w:r w:rsidRPr="002946B2">
        <w:rPr>
          <w:rFonts w:ascii="Arial" w:hAnsi="Arial" w:cs="Arial"/>
          <w:spacing w:val="-4"/>
        </w:rPr>
        <w:t>Frente al caso e</w:t>
      </w:r>
      <w:r w:rsidR="455854E4" w:rsidRPr="002946B2">
        <w:rPr>
          <w:rFonts w:ascii="Arial" w:hAnsi="Arial" w:cs="Arial"/>
          <w:spacing w:val="-4"/>
        </w:rPr>
        <w:t>n concreto señaló que la liquidación del bono pensional</w:t>
      </w:r>
      <w:r w:rsidR="488FF5A6" w:rsidRPr="002946B2">
        <w:rPr>
          <w:rFonts w:ascii="Arial" w:hAnsi="Arial" w:cs="Arial"/>
          <w:spacing w:val="-4"/>
        </w:rPr>
        <w:t xml:space="preserve"> tipo A, modalidad 2, </w:t>
      </w:r>
      <w:r w:rsidR="455854E4" w:rsidRPr="002946B2">
        <w:rPr>
          <w:rFonts w:ascii="Arial" w:hAnsi="Arial" w:cs="Arial"/>
          <w:spacing w:val="-4"/>
        </w:rPr>
        <w:t>generada en el caso del señor Pino González</w:t>
      </w:r>
      <w:r w:rsidR="221E6C32" w:rsidRPr="002946B2">
        <w:rPr>
          <w:rFonts w:ascii="Arial" w:hAnsi="Arial" w:cs="Arial"/>
          <w:spacing w:val="-4"/>
        </w:rPr>
        <w:t>,</w:t>
      </w:r>
      <w:r w:rsidR="4A2BC607" w:rsidRPr="002946B2">
        <w:rPr>
          <w:rFonts w:ascii="Arial" w:hAnsi="Arial" w:cs="Arial"/>
          <w:spacing w:val="-4"/>
        </w:rPr>
        <w:t xml:space="preserve"> arrojó que el emisor del cupón principal </w:t>
      </w:r>
      <w:r w:rsidR="1F761411" w:rsidRPr="002946B2">
        <w:rPr>
          <w:rFonts w:ascii="Arial" w:hAnsi="Arial" w:cs="Arial"/>
          <w:spacing w:val="-4"/>
        </w:rPr>
        <w:t xml:space="preserve">es la Nación - Ministerio de Hacienda y Crédito Público y </w:t>
      </w:r>
      <w:r w:rsidR="005621E1" w:rsidRPr="002946B2">
        <w:rPr>
          <w:rFonts w:ascii="Arial" w:hAnsi="Arial" w:cs="Arial"/>
          <w:spacing w:val="-4"/>
        </w:rPr>
        <w:t xml:space="preserve">que </w:t>
      </w:r>
      <w:r w:rsidR="1F761411" w:rsidRPr="002946B2">
        <w:rPr>
          <w:rFonts w:ascii="Arial" w:hAnsi="Arial" w:cs="Arial"/>
          <w:spacing w:val="-4"/>
        </w:rPr>
        <w:t xml:space="preserve">en </w:t>
      </w:r>
      <w:r w:rsidR="005621E1" w:rsidRPr="002946B2">
        <w:rPr>
          <w:rFonts w:ascii="Arial" w:hAnsi="Arial" w:cs="Arial"/>
          <w:spacing w:val="-4"/>
        </w:rPr>
        <w:t>é</w:t>
      </w:r>
      <w:r w:rsidR="1F761411" w:rsidRPr="002946B2">
        <w:rPr>
          <w:rFonts w:ascii="Arial" w:hAnsi="Arial" w:cs="Arial"/>
          <w:spacing w:val="-4"/>
        </w:rPr>
        <w:t>l participan como contribuyentes el departamento de Boyacá y el Ministerio de Defensa Nacional</w:t>
      </w:r>
      <w:r w:rsidR="3BA98518" w:rsidRPr="002946B2">
        <w:rPr>
          <w:rFonts w:ascii="Arial" w:hAnsi="Arial" w:cs="Arial"/>
          <w:spacing w:val="-4"/>
        </w:rPr>
        <w:t xml:space="preserve">, cada uno con su respectivo cupón a cargo.  En cuanto a la fecha de redención normal, </w:t>
      </w:r>
      <w:r w:rsidR="3D455579" w:rsidRPr="002946B2">
        <w:rPr>
          <w:rFonts w:ascii="Arial" w:hAnsi="Arial" w:cs="Arial"/>
          <w:spacing w:val="-4"/>
        </w:rPr>
        <w:t xml:space="preserve">que corresponde al momento en el cual surge la obligación de pago tanto para el emisor como para los contribuyentes, </w:t>
      </w:r>
      <w:r w:rsidR="407CF63B" w:rsidRPr="002946B2">
        <w:rPr>
          <w:rFonts w:ascii="Arial" w:hAnsi="Arial" w:cs="Arial"/>
          <w:spacing w:val="-4"/>
        </w:rPr>
        <w:t>indica que esta fu</w:t>
      </w:r>
      <w:r w:rsidR="005621E1" w:rsidRPr="002946B2">
        <w:rPr>
          <w:rFonts w:ascii="Arial" w:hAnsi="Arial" w:cs="Arial"/>
          <w:spacing w:val="-4"/>
        </w:rPr>
        <w:t>e</w:t>
      </w:r>
      <w:r w:rsidR="407CF63B" w:rsidRPr="002946B2">
        <w:rPr>
          <w:rFonts w:ascii="Arial" w:hAnsi="Arial" w:cs="Arial"/>
          <w:spacing w:val="-4"/>
        </w:rPr>
        <w:t xml:space="preserve"> fijada el 23 de abril de 2022, data en la que el actor arribó a 62 años.</w:t>
      </w:r>
    </w:p>
    <w:p w14:paraId="45FB0818" w14:textId="77777777" w:rsidR="009E4457" w:rsidRPr="002946B2" w:rsidRDefault="009E4457" w:rsidP="00734781">
      <w:pPr>
        <w:overflowPunct w:val="0"/>
        <w:autoSpaceDE w:val="0"/>
        <w:autoSpaceDN w:val="0"/>
        <w:adjustRightInd w:val="0"/>
        <w:spacing w:line="276" w:lineRule="auto"/>
        <w:jc w:val="both"/>
        <w:textAlignment w:val="baseline"/>
        <w:rPr>
          <w:rFonts w:ascii="Arial" w:hAnsi="Arial" w:cs="Arial"/>
          <w:spacing w:val="-4"/>
          <w:lang w:val="es-ES_tradnl"/>
        </w:rPr>
      </w:pPr>
    </w:p>
    <w:p w14:paraId="750AF964" w14:textId="4604B6AF" w:rsidR="00914211" w:rsidRPr="002946B2" w:rsidRDefault="0870D52C" w:rsidP="00734781">
      <w:pPr>
        <w:overflowPunct w:val="0"/>
        <w:autoSpaceDE w:val="0"/>
        <w:autoSpaceDN w:val="0"/>
        <w:adjustRightInd w:val="0"/>
        <w:spacing w:line="276" w:lineRule="auto"/>
        <w:jc w:val="both"/>
        <w:textAlignment w:val="baseline"/>
        <w:rPr>
          <w:rFonts w:ascii="Arial" w:hAnsi="Arial" w:cs="Arial"/>
          <w:spacing w:val="-4"/>
        </w:rPr>
      </w:pPr>
      <w:r w:rsidRPr="002946B2">
        <w:rPr>
          <w:rFonts w:ascii="Arial" w:hAnsi="Arial" w:cs="Arial"/>
          <w:spacing w:val="-4"/>
        </w:rPr>
        <w:t>Indicó también qu</w:t>
      </w:r>
      <w:r w:rsidR="17EFA3C6" w:rsidRPr="002946B2">
        <w:rPr>
          <w:rFonts w:ascii="Arial" w:hAnsi="Arial" w:cs="Arial"/>
          <w:spacing w:val="-4"/>
        </w:rPr>
        <w:t xml:space="preserve">e el Ministerio de Defensa Nacional mediante Resolución </w:t>
      </w:r>
      <w:r w:rsidR="120D3F84" w:rsidRPr="002946B2">
        <w:rPr>
          <w:rFonts w:ascii="Arial" w:hAnsi="Arial" w:cs="Arial"/>
          <w:spacing w:val="-4"/>
        </w:rPr>
        <w:t xml:space="preserve">8009 de 19 de </w:t>
      </w:r>
      <w:r w:rsidR="005621E1" w:rsidRPr="002946B2">
        <w:rPr>
          <w:rFonts w:ascii="Arial" w:hAnsi="Arial" w:cs="Arial"/>
          <w:spacing w:val="-4"/>
        </w:rPr>
        <w:t>septiembre</w:t>
      </w:r>
      <w:r w:rsidR="120D3F84" w:rsidRPr="002946B2">
        <w:rPr>
          <w:rFonts w:ascii="Arial" w:hAnsi="Arial" w:cs="Arial"/>
          <w:spacing w:val="-4"/>
        </w:rPr>
        <w:t xml:space="preserve"> de 2021 reconoció </w:t>
      </w:r>
      <w:r w:rsidR="1D550644" w:rsidRPr="002946B2">
        <w:rPr>
          <w:rFonts w:ascii="Arial" w:hAnsi="Arial" w:cs="Arial"/>
          <w:spacing w:val="-4"/>
        </w:rPr>
        <w:t>la cuota parte en el bono pensional a su cargo y</w:t>
      </w:r>
      <w:r w:rsidR="005621E1" w:rsidRPr="002946B2">
        <w:rPr>
          <w:rFonts w:ascii="Arial" w:hAnsi="Arial" w:cs="Arial"/>
          <w:spacing w:val="-4"/>
        </w:rPr>
        <w:t>,</w:t>
      </w:r>
      <w:r w:rsidR="1D550644" w:rsidRPr="002946B2">
        <w:rPr>
          <w:rFonts w:ascii="Arial" w:hAnsi="Arial" w:cs="Arial"/>
          <w:spacing w:val="-4"/>
        </w:rPr>
        <w:t xml:space="preserve"> en virtud a la emisión </w:t>
      </w:r>
      <w:r w:rsidR="005621E1" w:rsidRPr="002946B2">
        <w:rPr>
          <w:rFonts w:ascii="Arial" w:hAnsi="Arial" w:cs="Arial"/>
          <w:spacing w:val="-4"/>
        </w:rPr>
        <w:t>hecha</w:t>
      </w:r>
      <w:r w:rsidR="1D550644" w:rsidRPr="002946B2">
        <w:rPr>
          <w:rFonts w:ascii="Arial" w:hAnsi="Arial" w:cs="Arial"/>
          <w:spacing w:val="-4"/>
        </w:rPr>
        <w:t xml:space="preserve"> por la AFP Porvenir S.A.</w:t>
      </w:r>
      <w:r w:rsidR="005621E1" w:rsidRPr="002946B2">
        <w:rPr>
          <w:rFonts w:ascii="Arial" w:hAnsi="Arial" w:cs="Arial"/>
          <w:spacing w:val="-4"/>
        </w:rPr>
        <w:t>,</w:t>
      </w:r>
      <w:r w:rsidR="1D550644" w:rsidRPr="002946B2">
        <w:rPr>
          <w:rFonts w:ascii="Arial" w:hAnsi="Arial" w:cs="Arial"/>
          <w:spacing w:val="-4"/>
        </w:rPr>
        <w:t xml:space="preserve"> </w:t>
      </w:r>
      <w:r w:rsidR="7CA778DC" w:rsidRPr="002946B2">
        <w:rPr>
          <w:rFonts w:ascii="Arial" w:hAnsi="Arial" w:cs="Arial"/>
          <w:spacing w:val="-4"/>
        </w:rPr>
        <w:t>el Ministerio de Hacienda y Crédito Público</w:t>
      </w:r>
      <w:r w:rsidR="005621E1" w:rsidRPr="002946B2">
        <w:rPr>
          <w:rFonts w:ascii="Arial" w:hAnsi="Arial" w:cs="Arial"/>
          <w:spacing w:val="-4"/>
        </w:rPr>
        <w:t>,</w:t>
      </w:r>
      <w:r w:rsidR="7CA778DC" w:rsidRPr="002946B2">
        <w:rPr>
          <w:rFonts w:ascii="Arial" w:hAnsi="Arial" w:cs="Arial"/>
          <w:spacing w:val="-4"/>
        </w:rPr>
        <w:t xml:space="preserve"> en calidad de emisor del cupón principal</w:t>
      </w:r>
      <w:r w:rsidR="005621E1" w:rsidRPr="002946B2">
        <w:rPr>
          <w:rFonts w:ascii="Arial" w:hAnsi="Arial" w:cs="Arial"/>
          <w:spacing w:val="-4"/>
        </w:rPr>
        <w:t>,</w:t>
      </w:r>
      <w:r w:rsidR="7CA778DC" w:rsidRPr="002946B2">
        <w:rPr>
          <w:rFonts w:ascii="Arial" w:hAnsi="Arial" w:cs="Arial"/>
          <w:spacing w:val="-4"/>
        </w:rPr>
        <w:t xml:space="preserve"> </w:t>
      </w:r>
      <w:r w:rsidR="3B4C5E0E" w:rsidRPr="002946B2">
        <w:rPr>
          <w:rFonts w:ascii="Arial" w:hAnsi="Arial" w:cs="Arial"/>
          <w:spacing w:val="-4"/>
        </w:rPr>
        <w:t>solicitó al departamento de Boyacá realizar el reconocimiento y pago de la cuota parte del bono pensional tipo A del afiliado</w:t>
      </w:r>
      <w:r w:rsidR="2105670B" w:rsidRPr="002946B2">
        <w:rPr>
          <w:rFonts w:ascii="Arial" w:hAnsi="Arial" w:cs="Arial"/>
          <w:spacing w:val="-4"/>
        </w:rPr>
        <w:t>, sin que a la fecha dicho ente territorial haya procedido de conformidad</w:t>
      </w:r>
      <w:r w:rsidR="6A958583" w:rsidRPr="002946B2">
        <w:rPr>
          <w:rFonts w:ascii="Arial" w:hAnsi="Arial" w:cs="Arial"/>
          <w:spacing w:val="-4"/>
        </w:rPr>
        <w:t xml:space="preserve">, lo que ha impedido que dicha Cartera </w:t>
      </w:r>
      <w:r w:rsidR="005621E1" w:rsidRPr="002946B2">
        <w:rPr>
          <w:rFonts w:ascii="Arial" w:hAnsi="Arial" w:cs="Arial"/>
          <w:spacing w:val="-4"/>
        </w:rPr>
        <w:t>continúe</w:t>
      </w:r>
      <w:r w:rsidR="6A958583" w:rsidRPr="002946B2">
        <w:rPr>
          <w:rFonts w:ascii="Arial" w:hAnsi="Arial" w:cs="Arial"/>
          <w:spacing w:val="-4"/>
        </w:rPr>
        <w:t xml:space="preserve"> con el proceso de emisión y redención del título pensional</w:t>
      </w:r>
      <w:r w:rsidR="2105670B" w:rsidRPr="002946B2">
        <w:rPr>
          <w:rFonts w:ascii="Arial" w:hAnsi="Arial" w:cs="Arial"/>
          <w:spacing w:val="-4"/>
        </w:rPr>
        <w:t>.</w:t>
      </w:r>
    </w:p>
    <w:p w14:paraId="6F0F0632" w14:textId="035358DE" w:rsidR="00914211" w:rsidRPr="002946B2" w:rsidRDefault="00914211" w:rsidP="00734781">
      <w:pPr>
        <w:overflowPunct w:val="0"/>
        <w:autoSpaceDE w:val="0"/>
        <w:autoSpaceDN w:val="0"/>
        <w:adjustRightInd w:val="0"/>
        <w:spacing w:line="276" w:lineRule="auto"/>
        <w:jc w:val="both"/>
        <w:textAlignment w:val="baseline"/>
        <w:rPr>
          <w:rFonts w:ascii="Arial" w:hAnsi="Arial" w:cs="Arial"/>
          <w:spacing w:val="-4"/>
        </w:rPr>
      </w:pPr>
    </w:p>
    <w:p w14:paraId="31A905DB" w14:textId="61B526A2" w:rsidR="00914211" w:rsidRPr="002946B2" w:rsidRDefault="58E45D57" w:rsidP="00734781">
      <w:pPr>
        <w:overflowPunct w:val="0"/>
        <w:autoSpaceDE w:val="0"/>
        <w:autoSpaceDN w:val="0"/>
        <w:adjustRightInd w:val="0"/>
        <w:spacing w:line="276" w:lineRule="auto"/>
        <w:jc w:val="both"/>
        <w:textAlignment w:val="baseline"/>
        <w:rPr>
          <w:rFonts w:ascii="Arial" w:hAnsi="Arial" w:cs="Arial"/>
          <w:spacing w:val="-4"/>
        </w:rPr>
      </w:pPr>
      <w:r w:rsidRPr="002946B2">
        <w:rPr>
          <w:rFonts w:ascii="Arial" w:hAnsi="Arial" w:cs="Arial"/>
          <w:spacing w:val="-4"/>
        </w:rPr>
        <w:t>Precisa que</w:t>
      </w:r>
      <w:r w:rsidR="3F5869E1" w:rsidRPr="002946B2">
        <w:rPr>
          <w:rFonts w:ascii="Arial" w:hAnsi="Arial" w:cs="Arial"/>
          <w:spacing w:val="-4"/>
        </w:rPr>
        <w:t>,</w:t>
      </w:r>
      <w:r w:rsidRPr="002946B2">
        <w:rPr>
          <w:rFonts w:ascii="Arial" w:hAnsi="Arial" w:cs="Arial"/>
          <w:spacing w:val="-4"/>
        </w:rPr>
        <w:t xml:space="preserve"> en virtud a lo anterior, el término para la emisión del bono no ha empezado a correr, dado que </w:t>
      </w:r>
      <w:r w:rsidR="005621E1" w:rsidRPr="002946B2">
        <w:rPr>
          <w:rFonts w:ascii="Arial" w:hAnsi="Arial" w:cs="Arial"/>
          <w:spacing w:val="-4"/>
        </w:rPr>
        <w:t>se requiriere</w:t>
      </w:r>
      <w:r w:rsidRPr="002946B2">
        <w:rPr>
          <w:rFonts w:ascii="Arial" w:hAnsi="Arial" w:cs="Arial"/>
          <w:spacing w:val="-4"/>
        </w:rPr>
        <w:t xml:space="preserve"> que la informaci</w:t>
      </w:r>
      <w:r w:rsidR="2BEDD54A" w:rsidRPr="002946B2">
        <w:rPr>
          <w:rFonts w:ascii="Arial" w:hAnsi="Arial" w:cs="Arial"/>
          <w:spacing w:val="-4"/>
        </w:rPr>
        <w:t>ón laboral esté confirmada, certificada y no objetada, por parte de las entidad</w:t>
      </w:r>
      <w:r w:rsidR="005621E1" w:rsidRPr="002946B2">
        <w:rPr>
          <w:rFonts w:ascii="Arial" w:hAnsi="Arial" w:cs="Arial"/>
          <w:spacing w:val="-4"/>
        </w:rPr>
        <w:t>es</w:t>
      </w:r>
      <w:r w:rsidR="2BEDD54A" w:rsidRPr="002946B2">
        <w:rPr>
          <w:rFonts w:ascii="Arial" w:hAnsi="Arial" w:cs="Arial"/>
          <w:spacing w:val="-4"/>
        </w:rPr>
        <w:t xml:space="preserve"> que convergen en la conformación del título pens</w:t>
      </w:r>
      <w:r w:rsidR="005621E1" w:rsidRPr="002946B2">
        <w:rPr>
          <w:rFonts w:ascii="Arial" w:hAnsi="Arial" w:cs="Arial"/>
          <w:spacing w:val="-4"/>
        </w:rPr>
        <w:t>i</w:t>
      </w:r>
      <w:r w:rsidR="2BEDD54A" w:rsidRPr="002946B2">
        <w:rPr>
          <w:rFonts w:ascii="Arial" w:hAnsi="Arial" w:cs="Arial"/>
          <w:spacing w:val="-4"/>
        </w:rPr>
        <w:t>onal</w:t>
      </w:r>
      <w:r w:rsidR="37E055C2" w:rsidRPr="002946B2">
        <w:rPr>
          <w:rFonts w:ascii="Arial" w:hAnsi="Arial" w:cs="Arial"/>
          <w:spacing w:val="-4"/>
        </w:rPr>
        <w:t xml:space="preserve">, lo cual no ha sido realizado por el departamento de Boyacá, </w:t>
      </w:r>
      <w:r w:rsidR="005621E1" w:rsidRPr="002946B2">
        <w:rPr>
          <w:rFonts w:ascii="Arial" w:hAnsi="Arial" w:cs="Arial"/>
          <w:spacing w:val="-4"/>
        </w:rPr>
        <w:t>generándose así</w:t>
      </w:r>
      <w:r w:rsidR="37E055C2" w:rsidRPr="002946B2">
        <w:rPr>
          <w:rFonts w:ascii="Arial" w:hAnsi="Arial" w:cs="Arial"/>
          <w:spacing w:val="-4"/>
        </w:rPr>
        <w:t xml:space="preserve"> una detención automática </w:t>
      </w:r>
      <w:r w:rsidR="1D995EBF" w:rsidRPr="002946B2">
        <w:rPr>
          <w:rFonts w:ascii="Arial" w:hAnsi="Arial" w:cs="Arial"/>
          <w:spacing w:val="-4"/>
        </w:rPr>
        <w:t xml:space="preserve">del trámite.  </w:t>
      </w:r>
    </w:p>
    <w:p w14:paraId="5F39911F" w14:textId="4F4B13B0" w:rsidR="00914211" w:rsidRPr="002946B2" w:rsidRDefault="00914211" w:rsidP="00734781">
      <w:pPr>
        <w:overflowPunct w:val="0"/>
        <w:autoSpaceDE w:val="0"/>
        <w:autoSpaceDN w:val="0"/>
        <w:adjustRightInd w:val="0"/>
        <w:spacing w:line="276" w:lineRule="auto"/>
        <w:jc w:val="both"/>
        <w:textAlignment w:val="baseline"/>
        <w:rPr>
          <w:rFonts w:ascii="Arial" w:hAnsi="Arial" w:cs="Arial"/>
          <w:spacing w:val="-4"/>
        </w:rPr>
      </w:pPr>
    </w:p>
    <w:p w14:paraId="506B6D81" w14:textId="2EE67120" w:rsidR="00914211" w:rsidRPr="002946B2" w:rsidRDefault="1D995EBF" w:rsidP="00734781">
      <w:pPr>
        <w:overflowPunct w:val="0"/>
        <w:autoSpaceDE w:val="0"/>
        <w:autoSpaceDN w:val="0"/>
        <w:adjustRightInd w:val="0"/>
        <w:spacing w:line="276" w:lineRule="auto"/>
        <w:jc w:val="both"/>
        <w:textAlignment w:val="baseline"/>
        <w:rPr>
          <w:rFonts w:ascii="Arial" w:hAnsi="Arial" w:cs="Arial"/>
          <w:spacing w:val="-4"/>
        </w:rPr>
      </w:pPr>
      <w:r w:rsidRPr="002946B2">
        <w:rPr>
          <w:rFonts w:ascii="Arial" w:hAnsi="Arial" w:cs="Arial"/>
          <w:spacing w:val="-4"/>
        </w:rPr>
        <w:t xml:space="preserve">También señala que </w:t>
      </w:r>
      <w:r w:rsidR="64C8A4B5" w:rsidRPr="002946B2">
        <w:rPr>
          <w:rFonts w:ascii="Arial" w:hAnsi="Arial" w:cs="Arial"/>
          <w:spacing w:val="-4"/>
        </w:rPr>
        <w:t>no le es posible pagar el cupón principal del bono pensional debido a que la solicitud de emisión y redención elevada por la AFP Porvenir S.A.</w:t>
      </w:r>
      <w:r w:rsidR="009429BF" w:rsidRPr="002946B2">
        <w:rPr>
          <w:rFonts w:ascii="Arial" w:hAnsi="Arial" w:cs="Arial"/>
          <w:spacing w:val="-4"/>
        </w:rPr>
        <w:t xml:space="preserve"> el 12 de agosto de 2021, según</w:t>
      </w:r>
      <w:r w:rsidR="73CF0556" w:rsidRPr="002946B2">
        <w:rPr>
          <w:rFonts w:ascii="Arial" w:hAnsi="Arial" w:cs="Arial"/>
          <w:spacing w:val="-4"/>
        </w:rPr>
        <w:t xml:space="preserve"> el </w:t>
      </w:r>
      <w:r w:rsidR="009429BF" w:rsidRPr="002946B2">
        <w:rPr>
          <w:rFonts w:ascii="Arial" w:hAnsi="Arial" w:cs="Arial"/>
          <w:spacing w:val="-4"/>
        </w:rPr>
        <w:t>sistema</w:t>
      </w:r>
      <w:r w:rsidR="73CF0556" w:rsidRPr="002946B2">
        <w:rPr>
          <w:rFonts w:ascii="Arial" w:hAnsi="Arial" w:cs="Arial"/>
          <w:spacing w:val="-4"/>
        </w:rPr>
        <w:t xml:space="preserve"> interactivo de la OB</w:t>
      </w:r>
      <w:r w:rsidR="009429BF" w:rsidRPr="002946B2">
        <w:rPr>
          <w:rFonts w:ascii="Arial" w:hAnsi="Arial" w:cs="Arial"/>
          <w:spacing w:val="-4"/>
        </w:rPr>
        <w:t xml:space="preserve">P, presenta la novedad de </w:t>
      </w:r>
      <w:r w:rsidR="73CF0556" w:rsidRPr="002946B2">
        <w:rPr>
          <w:rFonts w:ascii="Arial" w:hAnsi="Arial" w:cs="Arial"/>
          <w:spacing w:val="-4"/>
        </w:rPr>
        <w:t xml:space="preserve"> “</w:t>
      </w:r>
      <w:r w:rsidR="73CF0556" w:rsidRPr="002946B2">
        <w:rPr>
          <w:rFonts w:ascii="Arial" w:hAnsi="Arial" w:cs="Arial"/>
          <w:spacing w:val="-4"/>
          <w:sz w:val="22"/>
        </w:rPr>
        <w:t>cambia la liquidación del bono en el proceso de emisión</w:t>
      </w:r>
      <w:r w:rsidR="14FFB573" w:rsidRPr="002946B2">
        <w:rPr>
          <w:rFonts w:ascii="Arial" w:hAnsi="Arial" w:cs="Arial"/>
          <w:spacing w:val="-4"/>
        </w:rPr>
        <w:t xml:space="preserve">”, </w:t>
      </w:r>
      <w:r w:rsidR="009429BF" w:rsidRPr="002946B2">
        <w:rPr>
          <w:rFonts w:ascii="Arial" w:hAnsi="Arial" w:cs="Arial"/>
          <w:spacing w:val="-4"/>
        </w:rPr>
        <w:t xml:space="preserve">la cual es </w:t>
      </w:r>
      <w:r w:rsidR="14FFB573" w:rsidRPr="002946B2">
        <w:rPr>
          <w:rFonts w:ascii="Arial" w:hAnsi="Arial" w:cs="Arial"/>
          <w:spacing w:val="-4"/>
        </w:rPr>
        <w:t>genera</w:t>
      </w:r>
      <w:r w:rsidR="009429BF" w:rsidRPr="002946B2">
        <w:rPr>
          <w:rFonts w:ascii="Arial" w:hAnsi="Arial" w:cs="Arial"/>
          <w:spacing w:val="-4"/>
        </w:rPr>
        <w:t>da</w:t>
      </w:r>
      <w:r w:rsidR="14FFB573" w:rsidRPr="002946B2">
        <w:rPr>
          <w:rFonts w:ascii="Arial" w:hAnsi="Arial" w:cs="Arial"/>
          <w:spacing w:val="-4"/>
        </w:rPr>
        <w:t xml:space="preserve"> </w:t>
      </w:r>
      <w:r w:rsidR="009429BF" w:rsidRPr="002946B2">
        <w:rPr>
          <w:rFonts w:ascii="Arial" w:hAnsi="Arial" w:cs="Arial"/>
          <w:spacing w:val="-4"/>
        </w:rPr>
        <w:t xml:space="preserve">por </w:t>
      </w:r>
      <w:r w:rsidR="14FFB573" w:rsidRPr="002946B2">
        <w:rPr>
          <w:rFonts w:ascii="Arial" w:hAnsi="Arial" w:cs="Arial"/>
          <w:spacing w:val="-4"/>
        </w:rPr>
        <w:t>una var</w:t>
      </w:r>
      <w:r w:rsidR="009429BF" w:rsidRPr="002946B2">
        <w:rPr>
          <w:rFonts w:ascii="Arial" w:hAnsi="Arial" w:cs="Arial"/>
          <w:spacing w:val="-4"/>
        </w:rPr>
        <w:t>i</w:t>
      </w:r>
      <w:r w:rsidR="14FFB573" w:rsidRPr="002946B2">
        <w:rPr>
          <w:rFonts w:ascii="Arial" w:hAnsi="Arial" w:cs="Arial"/>
          <w:spacing w:val="-4"/>
        </w:rPr>
        <w:t>ación en el bono pensional</w:t>
      </w:r>
      <w:r w:rsidR="009429BF" w:rsidRPr="002946B2">
        <w:rPr>
          <w:rFonts w:ascii="Arial" w:hAnsi="Arial" w:cs="Arial"/>
          <w:spacing w:val="-4"/>
        </w:rPr>
        <w:t xml:space="preserve">, respecto a la cual afirma no se encuentra a su cargo la </w:t>
      </w:r>
      <w:r w:rsidR="6AB23955" w:rsidRPr="002946B2">
        <w:rPr>
          <w:rFonts w:ascii="Arial" w:hAnsi="Arial" w:cs="Arial"/>
          <w:spacing w:val="-4"/>
        </w:rPr>
        <w:t>corrección de las inconsistencias que presenta la historia laboral del afiliado</w:t>
      </w:r>
      <w:r w:rsidR="7DF3F9FE" w:rsidRPr="002946B2">
        <w:rPr>
          <w:rFonts w:ascii="Arial" w:hAnsi="Arial" w:cs="Arial"/>
          <w:spacing w:val="-4"/>
        </w:rPr>
        <w:t xml:space="preserve">, </w:t>
      </w:r>
      <w:r w:rsidR="009429BF" w:rsidRPr="002946B2">
        <w:rPr>
          <w:rFonts w:ascii="Arial" w:hAnsi="Arial" w:cs="Arial"/>
          <w:spacing w:val="-4"/>
        </w:rPr>
        <w:t xml:space="preserve">lo cual es obligación del </w:t>
      </w:r>
      <w:r w:rsidR="7DF3F9FE" w:rsidRPr="002946B2">
        <w:rPr>
          <w:rFonts w:ascii="Arial" w:hAnsi="Arial" w:cs="Arial"/>
          <w:spacing w:val="-4"/>
        </w:rPr>
        <w:t>fondo de pensiones</w:t>
      </w:r>
      <w:r w:rsidR="009429BF" w:rsidRPr="002946B2">
        <w:rPr>
          <w:rFonts w:ascii="Arial" w:hAnsi="Arial" w:cs="Arial"/>
          <w:spacing w:val="-4"/>
        </w:rPr>
        <w:t xml:space="preserve">, dado que la </w:t>
      </w:r>
      <w:r w:rsidR="06486287" w:rsidRPr="002946B2">
        <w:rPr>
          <w:rFonts w:ascii="Arial" w:hAnsi="Arial" w:cs="Arial"/>
          <w:spacing w:val="-4"/>
        </w:rPr>
        <w:t>inconsistencia se genera, al parecer, por la expedición de una</w:t>
      </w:r>
      <w:r w:rsidR="0EE82CC4" w:rsidRPr="002946B2">
        <w:rPr>
          <w:rFonts w:ascii="Arial" w:hAnsi="Arial" w:cs="Arial"/>
          <w:spacing w:val="-4"/>
        </w:rPr>
        <w:t xml:space="preserve"> nueva certificación electrónica de tiempos laborados CETIL </w:t>
      </w:r>
      <w:r w:rsidR="009429BF" w:rsidRPr="002946B2">
        <w:rPr>
          <w:rFonts w:ascii="Arial" w:hAnsi="Arial" w:cs="Arial"/>
          <w:spacing w:val="-4"/>
        </w:rPr>
        <w:t xml:space="preserve">por parte de </w:t>
      </w:r>
      <w:r w:rsidR="0EE82CC4" w:rsidRPr="002946B2">
        <w:rPr>
          <w:rFonts w:ascii="Arial" w:hAnsi="Arial" w:cs="Arial"/>
          <w:spacing w:val="-4"/>
        </w:rPr>
        <w:t xml:space="preserve">la Secretaría de Educación departamento de Boyacá que el ser ingresada al sistema </w:t>
      </w:r>
      <w:r w:rsidR="32C1E8D0" w:rsidRPr="002946B2">
        <w:rPr>
          <w:rFonts w:ascii="Arial" w:hAnsi="Arial" w:cs="Arial"/>
          <w:spacing w:val="-4"/>
        </w:rPr>
        <w:t>interactivo de la OBP ha generado el siguiente mensaje “</w:t>
      </w:r>
      <w:r w:rsidR="32C1E8D0" w:rsidRPr="002946B2">
        <w:rPr>
          <w:rFonts w:ascii="Arial" w:hAnsi="Arial" w:cs="Arial"/>
          <w:b/>
          <w:bCs/>
          <w:i/>
          <w:iCs/>
          <w:spacing w:val="-4"/>
          <w:sz w:val="22"/>
        </w:rPr>
        <w:t>6043 OBSERVACION: BONO NO EMITIBLE</w:t>
      </w:r>
      <w:r w:rsidR="12145B69" w:rsidRPr="002946B2">
        <w:rPr>
          <w:rFonts w:ascii="Arial" w:hAnsi="Arial" w:cs="Arial"/>
          <w:b/>
          <w:bCs/>
          <w:i/>
          <w:iCs/>
          <w:spacing w:val="-4"/>
          <w:sz w:val="22"/>
        </w:rPr>
        <w:t>. VINCULACION</w:t>
      </w:r>
      <w:r w:rsidR="009429BF" w:rsidRPr="002946B2">
        <w:rPr>
          <w:rFonts w:ascii="Arial" w:hAnsi="Arial" w:cs="Arial"/>
          <w:b/>
          <w:bCs/>
          <w:i/>
          <w:iCs/>
          <w:spacing w:val="-4"/>
          <w:sz w:val="22"/>
        </w:rPr>
        <w:t xml:space="preserve"> </w:t>
      </w:r>
      <w:r w:rsidR="12145B69" w:rsidRPr="002946B2">
        <w:rPr>
          <w:rFonts w:ascii="Arial" w:hAnsi="Arial" w:cs="Arial"/>
          <w:b/>
          <w:bCs/>
          <w:i/>
          <w:iCs/>
          <w:spacing w:val="-4"/>
          <w:sz w:val="22"/>
        </w:rPr>
        <w:t xml:space="preserve">LABORAL DEL SECTOR PUBLICO TRASLAPADA CON OTRA VINCULACION DEL SECTOR PUBLICO POR MAS DE 180 DIAS. SOLUCION; LA AFP DEBE REMITIR LOS SOPORTES DE LA VALIDEZ DE </w:t>
      </w:r>
      <w:r w:rsidR="14214230" w:rsidRPr="002946B2">
        <w:rPr>
          <w:rFonts w:ascii="Arial" w:hAnsi="Arial" w:cs="Arial"/>
          <w:b/>
          <w:bCs/>
          <w:i/>
          <w:iCs/>
          <w:spacing w:val="-4"/>
          <w:sz w:val="22"/>
        </w:rPr>
        <w:t>AMBAS VINCULACIONES</w:t>
      </w:r>
      <w:r w:rsidR="33B4E39C" w:rsidRPr="002946B2">
        <w:rPr>
          <w:rFonts w:ascii="Arial" w:hAnsi="Arial" w:cs="Arial"/>
          <w:b/>
          <w:bCs/>
          <w:i/>
          <w:iCs/>
          <w:spacing w:val="-4"/>
          <w:sz w:val="22"/>
        </w:rPr>
        <w:t xml:space="preserve"> A LA OBP</w:t>
      </w:r>
      <w:r w:rsidR="33B4E39C" w:rsidRPr="002946B2">
        <w:rPr>
          <w:rFonts w:ascii="Arial" w:hAnsi="Arial" w:cs="Arial"/>
          <w:spacing w:val="-4"/>
        </w:rPr>
        <w:t xml:space="preserve">”, </w:t>
      </w:r>
      <w:r w:rsidR="009429BF" w:rsidRPr="002946B2">
        <w:rPr>
          <w:rFonts w:ascii="Arial" w:hAnsi="Arial" w:cs="Arial"/>
          <w:spacing w:val="-4"/>
        </w:rPr>
        <w:t xml:space="preserve">inconsistencia que se ve reflejada </w:t>
      </w:r>
      <w:r w:rsidR="33B4E39C" w:rsidRPr="002946B2">
        <w:rPr>
          <w:rFonts w:ascii="Arial" w:hAnsi="Arial" w:cs="Arial"/>
          <w:spacing w:val="-4"/>
        </w:rPr>
        <w:t>en la liquidación temporal de fecha 24 de octubre de 2022.</w:t>
      </w:r>
    </w:p>
    <w:p w14:paraId="703ADB86" w14:textId="4209C12C" w:rsidR="00914211" w:rsidRPr="002946B2" w:rsidRDefault="00914211" w:rsidP="00734781">
      <w:pPr>
        <w:overflowPunct w:val="0"/>
        <w:autoSpaceDE w:val="0"/>
        <w:autoSpaceDN w:val="0"/>
        <w:adjustRightInd w:val="0"/>
        <w:spacing w:line="276" w:lineRule="auto"/>
        <w:jc w:val="both"/>
        <w:textAlignment w:val="baseline"/>
        <w:rPr>
          <w:rFonts w:ascii="Arial" w:hAnsi="Arial" w:cs="Arial"/>
          <w:spacing w:val="-4"/>
        </w:rPr>
      </w:pPr>
    </w:p>
    <w:p w14:paraId="527D29EC" w14:textId="1EAB4C7C" w:rsidR="00914211" w:rsidRPr="002946B2" w:rsidRDefault="300BB333" w:rsidP="00734781">
      <w:pPr>
        <w:overflowPunct w:val="0"/>
        <w:autoSpaceDE w:val="0"/>
        <w:autoSpaceDN w:val="0"/>
        <w:adjustRightInd w:val="0"/>
        <w:spacing w:line="276" w:lineRule="auto"/>
        <w:jc w:val="both"/>
        <w:textAlignment w:val="baseline"/>
        <w:rPr>
          <w:rFonts w:ascii="Arial" w:hAnsi="Arial" w:cs="Arial"/>
          <w:spacing w:val="-4"/>
        </w:rPr>
      </w:pPr>
      <w:r w:rsidRPr="002946B2">
        <w:rPr>
          <w:rFonts w:ascii="Arial" w:hAnsi="Arial" w:cs="Arial"/>
          <w:spacing w:val="-4"/>
        </w:rPr>
        <w:t>Precisa que lo anterior genera una vinculación simultánea del accionante con los empleadores FONDO EDUCA</w:t>
      </w:r>
      <w:r w:rsidR="7AF9930A" w:rsidRPr="002946B2">
        <w:rPr>
          <w:rFonts w:ascii="Arial" w:hAnsi="Arial" w:cs="Arial"/>
          <w:spacing w:val="-4"/>
        </w:rPr>
        <w:t>TIVO DEPARTAMEN</w:t>
      </w:r>
      <w:r w:rsidR="038B65A7" w:rsidRPr="002946B2">
        <w:rPr>
          <w:rFonts w:ascii="Arial" w:hAnsi="Arial" w:cs="Arial"/>
          <w:spacing w:val="-4"/>
        </w:rPr>
        <w:t>T</w:t>
      </w:r>
      <w:r w:rsidR="7AF9930A" w:rsidRPr="002946B2">
        <w:rPr>
          <w:rFonts w:ascii="Arial" w:hAnsi="Arial" w:cs="Arial"/>
          <w:spacing w:val="-4"/>
        </w:rPr>
        <w:t>AL y SECRETAR</w:t>
      </w:r>
      <w:r w:rsidR="0E424E38" w:rsidRPr="002946B2">
        <w:rPr>
          <w:rFonts w:ascii="Arial" w:hAnsi="Arial" w:cs="Arial"/>
          <w:spacing w:val="-4"/>
        </w:rPr>
        <w:t>Í</w:t>
      </w:r>
      <w:r w:rsidR="7AF9930A" w:rsidRPr="002946B2">
        <w:rPr>
          <w:rFonts w:ascii="Arial" w:hAnsi="Arial" w:cs="Arial"/>
          <w:spacing w:val="-4"/>
        </w:rPr>
        <w:t>A DE EDUCACION DEPARTAMENTO DE BOYACA</w:t>
      </w:r>
      <w:r w:rsidR="663E93C1" w:rsidRPr="002946B2">
        <w:rPr>
          <w:rFonts w:ascii="Arial" w:hAnsi="Arial" w:cs="Arial"/>
          <w:spacing w:val="-4"/>
        </w:rPr>
        <w:t xml:space="preserve"> –del 1º de junio de 1993 al 30 de septiembre de 1995-</w:t>
      </w:r>
      <w:r w:rsidR="483500C6" w:rsidRPr="002946B2">
        <w:rPr>
          <w:rFonts w:ascii="Arial" w:hAnsi="Arial" w:cs="Arial"/>
          <w:spacing w:val="-4"/>
        </w:rPr>
        <w:t xml:space="preserve">, lo cual no sería posible </w:t>
      </w:r>
      <w:r w:rsidR="2799AE90" w:rsidRPr="002946B2">
        <w:rPr>
          <w:rFonts w:ascii="Arial" w:hAnsi="Arial" w:cs="Arial"/>
          <w:spacing w:val="-4"/>
        </w:rPr>
        <w:t>dado que constitucionalmente, ningún funcionario público puede ostentar dos empleos simultáneos y por lo tanto devengar dos sueldos del tesoro público.</w:t>
      </w:r>
    </w:p>
    <w:p w14:paraId="2E8ED7AB" w14:textId="7C65FDAF" w:rsidR="00914211" w:rsidRPr="002946B2" w:rsidRDefault="00914211" w:rsidP="00734781">
      <w:pPr>
        <w:overflowPunct w:val="0"/>
        <w:autoSpaceDE w:val="0"/>
        <w:autoSpaceDN w:val="0"/>
        <w:adjustRightInd w:val="0"/>
        <w:spacing w:line="276" w:lineRule="auto"/>
        <w:jc w:val="both"/>
        <w:textAlignment w:val="baseline"/>
        <w:rPr>
          <w:rFonts w:ascii="Arial" w:hAnsi="Arial" w:cs="Arial"/>
          <w:spacing w:val="-4"/>
        </w:rPr>
      </w:pPr>
    </w:p>
    <w:p w14:paraId="58F2529B" w14:textId="32C42319" w:rsidR="00914211" w:rsidRPr="002946B2" w:rsidRDefault="4EA4AAC5" w:rsidP="00734781">
      <w:pPr>
        <w:overflowPunct w:val="0"/>
        <w:autoSpaceDE w:val="0"/>
        <w:autoSpaceDN w:val="0"/>
        <w:adjustRightInd w:val="0"/>
        <w:spacing w:line="276" w:lineRule="auto"/>
        <w:jc w:val="both"/>
        <w:textAlignment w:val="baseline"/>
        <w:rPr>
          <w:rFonts w:ascii="Arial" w:hAnsi="Arial" w:cs="Arial"/>
          <w:spacing w:val="-4"/>
        </w:rPr>
      </w:pPr>
      <w:r w:rsidRPr="002946B2">
        <w:rPr>
          <w:rFonts w:ascii="Arial" w:hAnsi="Arial" w:cs="Arial"/>
          <w:spacing w:val="-4"/>
        </w:rPr>
        <w:t>Por lo demás, señala que la acción de tutela no es el mecanismo para solicitar el reconocimiento, emisi</w:t>
      </w:r>
      <w:r w:rsidR="3A401804" w:rsidRPr="002946B2">
        <w:rPr>
          <w:rFonts w:ascii="Arial" w:hAnsi="Arial" w:cs="Arial"/>
          <w:spacing w:val="-4"/>
        </w:rPr>
        <w:t xml:space="preserve">ón y/o pago de bonos pensionales, por tratarse de derechos de </w:t>
      </w:r>
      <w:r w:rsidR="3A401804" w:rsidRPr="002946B2">
        <w:rPr>
          <w:rFonts w:ascii="Arial" w:hAnsi="Arial" w:cs="Arial"/>
          <w:spacing w:val="-4"/>
        </w:rPr>
        <w:lastRenderedPageBreak/>
        <w:t xml:space="preserve">carácter legal y económico, </w:t>
      </w:r>
      <w:r w:rsidR="009429BF" w:rsidRPr="002946B2">
        <w:rPr>
          <w:rFonts w:ascii="Arial" w:hAnsi="Arial" w:cs="Arial"/>
          <w:spacing w:val="-4"/>
        </w:rPr>
        <w:t xml:space="preserve">para cuya definición fueron </w:t>
      </w:r>
      <w:r w:rsidR="3A401804" w:rsidRPr="002946B2">
        <w:rPr>
          <w:rFonts w:ascii="Arial" w:hAnsi="Arial" w:cs="Arial"/>
          <w:spacing w:val="-4"/>
        </w:rPr>
        <w:t>diseñado</w:t>
      </w:r>
      <w:r w:rsidR="009429BF" w:rsidRPr="002946B2">
        <w:rPr>
          <w:rFonts w:ascii="Arial" w:hAnsi="Arial" w:cs="Arial"/>
          <w:spacing w:val="-4"/>
        </w:rPr>
        <w:t>s medios ordinarios de defensa judicial</w:t>
      </w:r>
      <w:r w:rsidR="00914211" w:rsidRPr="002946B2">
        <w:rPr>
          <w:rFonts w:ascii="Arial" w:hAnsi="Arial" w:cs="Arial"/>
          <w:spacing w:val="-4"/>
        </w:rPr>
        <w:t>.</w:t>
      </w:r>
    </w:p>
    <w:p w14:paraId="53128261" w14:textId="77777777" w:rsidR="00914211" w:rsidRPr="002946B2" w:rsidRDefault="00914211" w:rsidP="00734781">
      <w:pPr>
        <w:overflowPunct w:val="0"/>
        <w:autoSpaceDE w:val="0"/>
        <w:autoSpaceDN w:val="0"/>
        <w:adjustRightInd w:val="0"/>
        <w:spacing w:line="276" w:lineRule="auto"/>
        <w:jc w:val="both"/>
        <w:textAlignment w:val="baseline"/>
        <w:rPr>
          <w:rFonts w:ascii="Arial" w:hAnsi="Arial" w:cs="Arial"/>
          <w:spacing w:val="-4"/>
          <w:lang w:val="es-ES_tradnl"/>
        </w:rPr>
      </w:pPr>
    </w:p>
    <w:p w14:paraId="3A9E9BA3" w14:textId="3EC90F54" w:rsidR="0EE9355E" w:rsidRPr="002946B2" w:rsidRDefault="0EE9355E" w:rsidP="00734781">
      <w:pPr>
        <w:spacing w:line="276" w:lineRule="auto"/>
        <w:jc w:val="both"/>
        <w:rPr>
          <w:rFonts w:ascii="Arial" w:hAnsi="Arial" w:cs="Arial"/>
          <w:spacing w:val="-4"/>
        </w:rPr>
      </w:pPr>
      <w:r w:rsidRPr="002946B2">
        <w:rPr>
          <w:rFonts w:ascii="Arial" w:hAnsi="Arial" w:cs="Arial"/>
          <w:spacing w:val="-4"/>
        </w:rPr>
        <w:t>La AFP Porvenir S.A.</w:t>
      </w:r>
      <w:r w:rsidR="009429BF" w:rsidRPr="002946B2">
        <w:rPr>
          <w:rFonts w:ascii="Arial" w:hAnsi="Arial" w:cs="Arial"/>
          <w:spacing w:val="-4"/>
        </w:rPr>
        <w:t xml:space="preserve"> a su turno</w:t>
      </w:r>
      <w:r w:rsidR="46DA66DB" w:rsidRPr="002946B2">
        <w:rPr>
          <w:rFonts w:ascii="Arial" w:hAnsi="Arial" w:cs="Arial"/>
          <w:spacing w:val="-4"/>
        </w:rPr>
        <w:t xml:space="preserve"> indicó que en lo que respecta a la solicitud de devolución de saldos, ya dispuso el pago al señor Pino Gonzále</w:t>
      </w:r>
      <w:r w:rsidR="4D40FD3F" w:rsidRPr="002946B2">
        <w:rPr>
          <w:rFonts w:ascii="Arial" w:hAnsi="Arial" w:cs="Arial"/>
          <w:spacing w:val="-4"/>
        </w:rPr>
        <w:t>z del capital que se enc</w:t>
      </w:r>
      <w:r w:rsidR="00E5193A" w:rsidRPr="002946B2">
        <w:rPr>
          <w:rFonts w:ascii="Arial" w:hAnsi="Arial" w:cs="Arial"/>
          <w:spacing w:val="-4"/>
        </w:rPr>
        <w:t>ontraba</w:t>
      </w:r>
      <w:r w:rsidR="4D40FD3F" w:rsidRPr="002946B2">
        <w:rPr>
          <w:rFonts w:ascii="Arial" w:hAnsi="Arial" w:cs="Arial"/>
          <w:spacing w:val="-4"/>
        </w:rPr>
        <w:t xml:space="preserve"> acumulado en su cuenta de ah</w:t>
      </w:r>
      <w:r w:rsidR="1A6810F0" w:rsidRPr="002946B2">
        <w:rPr>
          <w:rFonts w:ascii="Arial" w:hAnsi="Arial" w:cs="Arial"/>
          <w:spacing w:val="-4"/>
        </w:rPr>
        <w:t xml:space="preserve">orro individual, quedando pendiente el pago del bono pensional por parte del Ministerio de Defensa Nacional y el departamento de Boyacá, </w:t>
      </w:r>
      <w:r w:rsidR="009429BF" w:rsidRPr="002946B2">
        <w:rPr>
          <w:rFonts w:ascii="Arial" w:hAnsi="Arial" w:cs="Arial"/>
          <w:spacing w:val="-4"/>
        </w:rPr>
        <w:t xml:space="preserve">omisión que </w:t>
      </w:r>
      <w:r w:rsidR="1A6810F0" w:rsidRPr="002946B2">
        <w:rPr>
          <w:rFonts w:ascii="Arial" w:hAnsi="Arial" w:cs="Arial"/>
          <w:spacing w:val="-4"/>
        </w:rPr>
        <w:t>hace neces</w:t>
      </w:r>
      <w:r w:rsidR="3E41CCFC" w:rsidRPr="002946B2">
        <w:rPr>
          <w:rFonts w:ascii="Arial" w:hAnsi="Arial" w:cs="Arial"/>
          <w:spacing w:val="-4"/>
        </w:rPr>
        <w:t xml:space="preserve">ario vincular </w:t>
      </w:r>
      <w:r w:rsidR="009429BF" w:rsidRPr="002946B2">
        <w:rPr>
          <w:rFonts w:ascii="Arial" w:hAnsi="Arial" w:cs="Arial"/>
          <w:spacing w:val="-4"/>
        </w:rPr>
        <w:t xml:space="preserve">en este trámite a </w:t>
      </w:r>
      <w:r w:rsidR="3E41CCFC" w:rsidRPr="002946B2">
        <w:rPr>
          <w:rFonts w:ascii="Arial" w:hAnsi="Arial" w:cs="Arial"/>
          <w:spacing w:val="-4"/>
        </w:rPr>
        <w:t>dichas entidades</w:t>
      </w:r>
      <w:r w:rsidR="11132DD8" w:rsidRPr="002946B2">
        <w:rPr>
          <w:rFonts w:ascii="Arial" w:hAnsi="Arial" w:cs="Arial"/>
          <w:spacing w:val="-4"/>
        </w:rPr>
        <w:t>, al igual que al Fondo Educativo Departamental y la Secretaría de Educación del departamento de Boyacá, para que solucionen el trasla</w:t>
      </w:r>
      <w:r w:rsidR="7EE7CEEF" w:rsidRPr="002946B2">
        <w:rPr>
          <w:rFonts w:ascii="Arial" w:hAnsi="Arial" w:cs="Arial"/>
          <w:spacing w:val="-4"/>
        </w:rPr>
        <w:t>po presentado.</w:t>
      </w:r>
    </w:p>
    <w:p w14:paraId="65419E94" w14:textId="31F030EB" w:rsidR="271BE8DE" w:rsidRPr="002946B2" w:rsidRDefault="271BE8DE" w:rsidP="00734781">
      <w:pPr>
        <w:spacing w:line="276" w:lineRule="auto"/>
        <w:jc w:val="both"/>
        <w:rPr>
          <w:rFonts w:ascii="Arial" w:hAnsi="Arial" w:cs="Arial"/>
          <w:spacing w:val="-4"/>
        </w:rPr>
      </w:pPr>
    </w:p>
    <w:p w14:paraId="4D32835C" w14:textId="5C4C87FD" w:rsidR="367E2E8F" w:rsidRPr="002946B2" w:rsidRDefault="367E2E8F" w:rsidP="00734781">
      <w:pPr>
        <w:spacing w:line="276" w:lineRule="auto"/>
        <w:jc w:val="both"/>
        <w:rPr>
          <w:rFonts w:ascii="Arial" w:hAnsi="Arial" w:cs="Arial"/>
          <w:spacing w:val="-4"/>
        </w:rPr>
      </w:pPr>
      <w:r w:rsidRPr="002946B2">
        <w:rPr>
          <w:rFonts w:ascii="Arial" w:hAnsi="Arial" w:cs="Arial"/>
          <w:spacing w:val="-4"/>
        </w:rPr>
        <w:t>Indica que su labor en el proceso</w:t>
      </w:r>
      <w:r w:rsidR="71EC8659" w:rsidRPr="002946B2">
        <w:rPr>
          <w:rFonts w:ascii="Arial" w:hAnsi="Arial" w:cs="Arial"/>
          <w:spacing w:val="-4"/>
        </w:rPr>
        <w:t xml:space="preserve"> se limita a realizar las gestiones tendientes a la </w:t>
      </w:r>
      <w:r w:rsidR="00E5193A" w:rsidRPr="002946B2">
        <w:rPr>
          <w:rFonts w:ascii="Arial" w:hAnsi="Arial" w:cs="Arial"/>
          <w:spacing w:val="-4"/>
        </w:rPr>
        <w:t>consecución</w:t>
      </w:r>
      <w:r w:rsidR="71EC8659" w:rsidRPr="002946B2">
        <w:rPr>
          <w:rFonts w:ascii="Arial" w:hAnsi="Arial" w:cs="Arial"/>
          <w:spacing w:val="-4"/>
        </w:rPr>
        <w:t>, aprobación de los vínculos laborales informados por el afiliado</w:t>
      </w:r>
      <w:r w:rsidR="69E48EF3" w:rsidRPr="002946B2">
        <w:rPr>
          <w:rFonts w:ascii="Arial" w:hAnsi="Arial" w:cs="Arial"/>
          <w:spacing w:val="-4"/>
        </w:rPr>
        <w:t xml:space="preserve"> </w:t>
      </w:r>
      <w:r w:rsidR="71EC8659" w:rsidRPr="002946B2">
        <w:rPr>
          <w:rFonts w:ascii="Arial" w:hAnsi="Arial" w:cs="Arial"/>
          <w:spacing w:val="-4"/>
        </w:rPr>
        <w:t xml:space="preserve">y la entidad emisora del bono </w:t>
      </w:r>
      <w:r w:rsidR="7C54E554" w:rsidRPr="002946B2">
        <w:rPr>
          <w:rFonts w:ascii="Arial" w:hAnsi="Arial" w:cs="Arial"/>
          <w:spacing w:val="-4"/>
        </w:rPr>
        <w:t>pensional, para</w:t>
      </w:r>
      <w:r w:rsidR="00A967B1" w:rsidRPr="002946B2">
        <w:rPr>
          <w:rFonts w:ascii="Arial" w:hAnsi="Arial" w:cs="Arial"/>
          <w:spacing w:val="-4"/>
        </w:rPr>
        <w:t xml:space="preserve"> luego </w:t>
      </w:r>
      <w:r w:rsidR="71EC8659" w:rsidRPr="002946B2">
        <w:rPr>
          <w:rFonts w:ascii="Arial" w:hAnsi="Arial" w:cs="Arial"/>
          <w:spacing w:val="-4"/>
        </w:rPr>
        <w:t>solicita</w:t>
      </w:r>
      <w:r w:rsidR="00A967B1" w:rsidRPr="002946B2">
        <w:rPr>
          <w:rFonts w:ascii="Arial" w:hAnsi="Arial" w:cs="Arial"/>
          <w:spacing w:val="-4"/>
        </w:rPr>
        <w:t>r</w:t>
      </w:r>
      <w:r w:rsidR="3900DB98" w:rsidRPr="002946B2">
        <w:rPr>
          <w:rFonts w:ascii="Arial" w:hAnsi="Arial" w:cs="Arial"/>
          <w:spacing w:val="-4"/>
        </w:rPr>
        <w:t xml:space="preserve"> </w:t>
      </w:r>
      <w:r w:rsidR="082ECEE8" w:rsidRPr="002946B2">
        <w:rPr>
          <w:rFonts w:ascii="Arial" w:hAnsi="Arial" w:cs="Arial"/>
          <w:spacing w:val="-4"/>
        </w:rPr>
        <w:t>la emisión del mismo</w:t>
      </w:r>
      <w:r w:rsidR="7C353CC3" w:rsidRPr="002946B2">
        <w:rPr>
          <w:rFonts w:ascii="Arial" w:hAnsi="Arial" w:cs="Arial"/>
          <w:spacing w:val="-4"/>
        </w:rPr>
        <w:t xml:space="preserve">, lo cual ha cumplido, entendiendo que su función es de medio y no de resultado, dependiendo </w:t>
      </w:r>
      <w:r w:rsidR="00A967B1" w:rsidRPr="002946B2">
        <w:rPr>
          <w:rFonts w:ascii="Arial" w:hAnsi="Arial" w:cs="Arial"/>
          <w:spacing w:val="-4"/>
        </w:rPr>
        <w:t xml:space="preserve">entonces </w:t>
      </w:r>
      <w:r w:rsidR="7C353CC3" w:rsidRPr="002946B2">
        <w:rPr>
          <w:rFonts w:ascii="Arial" w:hAnsi="Arial" w:cs="Arial"/>
          <w:spacing w:val="-4"/>
        </w:rPr>
        <w:t xml:space="preserve">la </w:t>
      </w:r>
      <w:r w:rsidR="00E5193A" w:rsidRPr="002946B2">
        <w:rPr>
          <w:rFonts w:ascii="Arial" w:hAnsi="Arial" w:cs="Arial"/>
          <w:spacing w:val="-4"/>
        </w:rPr>
        <w:t>definición</w:t>
      </w:r>
      <w:r w:rsidR="7C353CC3" w:rsidRPr="002946B2">
        <w:rPr>
          <w:rFonts w:ascii="Arial" w:hAnsi="Arial" w:cs="Arial"/>
          <w:spacing w:val="-4"/>
        </w:rPr>
        <w:t xml:space="preserve"> del asu</w:t>
      </w:r>
      <w:r w:rsidR="1EF6AF1C" w:rsidRPr="002946B2">
        <w:rPr>
          <w:rFonts w:ascii="Arial" w:hAnsi="Arial" w:cs="Arial"/>
          <w:spacing w:val="-4"/>
        </w:rPr>
        <w:t>nto de las entidades empleadoras</w:t>
      </w:r>
      <w:r w:rsidR="7FECF7A7" w:rsidRPr="002946B2">
        <w:rPr>
          <w:rFonts w:ascii="Arial" w:hAnsi="Arial" w:cs="Arial"/>
          <w:spacing w:val="-4"/>
        </w:rPr>
        <w:t>.</w:t>
      </w:r>
    </w:p>
    <w:p w14:paraId="1D121933" w14:textId="6F333C83" w:rsidR="271BE8DE" w:rsidRPr="002946B2" w:rsidRDefault="271BE8DE" w:rsidP="00734781">
      <w:pPr>
        <w:spacing w:line="276" w:lineRule="auto"/>
        <w:jc w:val="both"/>
        <w:rPr>
          <w:rFonts w:ascii="Arial" w:hAnsi="Arial" w:cs="Arial"/>
          <w:spacing w:val="-4"/>
        </w:rPr>
      </w:pPr>
    </w:p>
    <w:p w14:paraId="03496497" w14:textId="4BE410F9" w:rsidR="00CA193A" w:rsidRPr="002946B2" w:rsidRDefault="008B603E" w:rsidP="00734781">
      <w:pPr>
        <w:overflowPunct w:val="0"/>
        <w:autoSpaceDE w:val="0"/>
        <w:autoSpaceDN w:val="0"/>
        <w:adjustRightInd w:val="0"/>
        <w:spacing w:line="276" w:lineRule="auto"/>
        <w:jc w:val="both"/>
        <w:textAlignment w:val="baseline"/>
        <w:rPr>
          <w:rFonts w:ascii="Arial" w:hAnsi="Arial" w:cs="Arial"/>
          <w:spacing w:val="-4"/>
        </w:rPr>
      </w:pPr>
      <w:r w:rsidRPr="002946B2">
        <w:rPr>
          <w:rFonts w:ascii="Arial" w:hAnsi="Arial" w:cs="Arial"/>
          <w:spacing w:val="-4"/>
        </w:rPr>
        <w:t>Llegado el día del fallo, la funcionaria de primer grado,</w:t>
      </w:r>
      <w:r w:rsidR="1D7DF508" w:rsidRPr="002946B2">
        <w:rPr>
          <w:rFonts w:ascii="Arial" w:hAnsi="Arial" w:cs="Arial"/>
          <w:spacing w:val="-4"/>
        </w:rPr>
        <w:t xml:space="preserve"> luego de hacer un recuento normativo relacionado con la </w:t>
      </w:r>
      <w:r w:rsidR="31E287C9" w:rsidRPr="002946B2">
        <w:rPr>
          <w:rFonts w:ascii="Arial" w:hAnsi="Arial" w:cs="Arial"/>
          <w:spacing w:val="-4"/>
        </w:rPr>
        <w:t>emisión y pago del bono pe</w:t>
      </w:r>
      <w:r w:rsidR="00E5193A" w:rsidRPr="002946B2">
        <w:rPr>
          <w:rFonts w:ascii="Arial" w:hAnsi="Arial" w:cs="Arial"/>
          <w:spacing w:val="-4"/>
        </w:rPr>
        <w:t>n</w:t>
      </w:r>
      <w:r w:rsidR="31E287C9" w:rsidRPr="002946B2">
        <w:rPr>
          <w:rFonts w:ascii="Arial" w:hAnsi="Arial" w:cs="Arial"/>
          <w:spacing w:val="-4"/>
        </w:rPr>
        <w:t>sional, señaló que al haber</w:t>
      </w:r>
      <w:r w:rsidR="7F869D3D" w:rsidRPr="002946B2">
        <w:rPr>
          <w:rFonts w:ascii="Arial" w:hAnsi="Arial" w:cs="Arial"/>
          <w:spacing w:val="-4"/>
        </w:rPr>
        <w:t xml:space="preserve"> aceptado </w:t>
      </w:r>
      <w:r w:rsidR="4397EDA9" w:rsidRPr="002946B2">
        <w:rPr>
          <w:rFonts w:ascii="Arial" w:hAnsi="Arial" w:cs="Arial"/>
          <w:spacing w:val="-4"/>
        </w:rPr>
        <w:t xml:space="preserve">el actor </w:t>
      </w:r>
      <w:r w:rsidR="7F869D3D" w:rsidRPr="002946B2">
        <w:rPr>
          <w:rFonts w:ascii="Arial" w:hAnsi="Arial" w:cs="Arial"/>
          <w:spacing w:val="-4"/>
        </w:rPr>
        <w:t xml:space="preserve">la </w:t>
      </w:r>
      <w:r w:rsidR="00E5193A" w:rsidRPr="002946B2">
        <w:rPr>
          <w:rFonts w:ascii="Arial" w:hAnsi="Arial" w:cs="Arial"/>
          <w:spacing w:val="-4"/>
        </w:rPr>
        <w:t>iniciación</w:t>
      </w:r>
      <w:r w:rsidR="7F869D3D" w:rsidRPr="002946B2">
        <w:rPr>
          <w:rFonts w:ascii="Arial" w:hAnsi="Arial" w:cs="Arial"/>
          <w:spacing w:val="-4"/>
        </w:rPr>
        <w:t xml:space="preserve"> del reconocimiento, liquidación y cobro del bono pensional el </w:t>
      </w:r>
      <w:r w:rsidR="00E5193A" w:rsidRPr="002946B2">
        <w:rPr>
          <w:rFonts w:ascii="Arial" w:hAnsi="Arial" w:cs="Arial"/>
          <w:spacing w:val="-4"/>
        </w:rPr>
        <w:t>día</w:t>
      </w:r>
      <w:r w:rsidR="7F869D3D" w:rsidRPr="002946B2">
        <w:rPr>
          <w:rFonts w:ascii="Arial" w:hAnsi="Arial" w:cs="Arial"/>
          <w:spacing w:val="-4"/>
        </w:rPr>
        <w:t xml:space="preserve"> 9 de agosto de 2022, las entidades </w:t>
      </w:r>
      <w:r w:rsidR="78AA0DD1" w:rsidRPr="002946B2">
        <w:rPr>
          <w:rFonts w:ascii="Arial" w:hAnsi="Arial" w:cs="Arial"/>
          <w:spacing w:val="-4"/>
        </w:rPr>
        <w:t xml:space="preserve">accionadas </w:t>
      </w:r>
      <w:r w:rsidR="7F869D3D" w:rsidRPr="002946B2">
        <w:rPr>
          <w:rFonts w:ascii="Arial" w:hAnsi="Arial" w:cs="Arial"/>
          <w:spacing w:val="-4"/>
        </w:rPr>
        <w:t xml:space="preserve">se encuentran </w:t>
      </w:r>
      <w:r w:rsidR="19579B39" w:rsidRPr="002946B2">
        <w:rPr>
          <w:rFonts w:ascii="Arial" w:hAnsi="Arial" w:cs="Arial"/>
          <w:spacing w:val="-4"/>
        </w:rPr>
        <w:t>dentro del</w:t>
      </w:r>
      <w:r w:rsidR="7F869D3D" w:rsidRPr="002946B2">
        <w:rPr>
          <w:rFonts w:ascii="Arial" w:hAnsi="Arial" w:cs="Arial"/>
          <w:spacing w:val="-4"/>
        </w:rPr>
        <w:t xml:space="preserve"> t</w:t>
      </w:r>
      <w:r w:rsidR="13EB2FFF" w:rsidRPr="002946B2">
        <w:rPr>
          <w:rFonts w:ascii="Arial" w:hAnsi="Arial" w:cs="Arial"/>
          <w:spacing w:val="-4"/>
        </w:rPr>
        <w:t xml:space="preserve">érmino </w:t>
      </w:r>
      <w:r w:rsidR="64D31ACA" w:rsidRPr="002946B2">
        <w:rPr>
          <w:rFonts w:ascii="Arial" w:hAnsi="Arial" w:cs="Arial"/>
          <w:spacing w:val="-4"/>
        </w:rPr>
        <w:t>de tres meses</w:t>
      </w:r>
      <w:r w:rsidR="3A0528A0" w:rsidRPr="002946B2">
        <w:rPr>
          <w:rFonts w:ascii="Arial" w:hAnsi="Arial" w:cs="Arial"/>
          <w:spacing w:val="-4"/>
        </w:rPr>
        <w:t xml:space="preserve"> con el que cuentan</w:t>
      </w:r>
      <w:r w:rsidR="64D31ACA" w:rsidRPr="002946B2">
        <w:rPr>
          <w:rFonts w:ascii="Arial" w:hAnsi="Arial" w:cs="Arial"/>
          <w:spacing w:val="-4"/>
        </w:rPr>
        <w:t xml:space="preserve"> </w:t>
      </w:r>
      <w:r w:rsidR="13EB2FFF" w:rsidRPr="002946B2">
        <w:rPr>
          <w:rFonts w:ascii="Arial" w:hAnsi="Arial" w:cs="Arial"/>
          <w:spacing w:val="-4"/>
        </w:rPr>
        <w:t xml:space="preserve">para resolver la petición, de conformidad con lo previsto en el artículo 7º </w:t>
      </w:r>
      <w:r w:rsidR="08A3693F" w:rsidRPr="002946B2">
        <w:rPr>
          <w:rFonts w:ascii="Arial" w:hAnsi="Arial" w:cs="Arial"/>
          <w:spacing w:val="-4"/>
        </w:rPr>
        <w:t xml:space="preserve">del 3798 de 2003 recopilado </w:t>
      </w:r>
      <w:r w:rsidR="75F3D834" w:rsidRPr="002946B2">
        <w:rPr>
          <w:rFonts w:ascii="Arial" w:hAnsi="Arial" w:cs="Arial"/>
          <w:spacing w:val="-4"/>
        </w:rPr>
        <w:t>en el Decreto 1833 de 2016</w:t>
      </w:r>
      <w:r w:rsidR="7F10A435" w:rsidRPr="002946B2">
        <w:rPr>
          <w:rFonts w:ascii="Arial" w:hAnsi="Arial" w:cs="Arial"/>
          <w:spacing w:val="-4"/>
        </w:rPr>
        <w:t>, por lo que declaró improcedente la protección reclamada</w:t>
      </w:r>
      <w:r w:rsidR="75F3D834" w:rsidRPr="002946B2">
        <w:rPr>
          <w:rFonts w:ascii="Arial" w:hAnsi="Arial" w:cs="Arial"/>
          <w:spacing w:val="-4"/>
        </w:rPr>
        <w:t>.</w:t>
      </w:r>
    </w:p>
    <w:p w14:paraId="0027BCA8" w14:textId="4ABD948C" w:rsidR="00CA193A" w:rsidRPr="002946B2" w:rsidRDefault="00CA193A" w:rsidP="00734781">
      <w:pPr>
        <w:overflowPunct w:val="0"/>
        <w:autoSpaceDE w:val="0"/>
        <w:autoSpaceDN w:val="0"/>
        <w:adjustRightInd w:val="0"/>
        <w:spacing w:line="276" w:lineRule="auto"/>
        <w:jc w:val="both"/>
        <w:textAlignment w:val="baseline"/>
        <w:rPr>
          <w:rFonts w:ascii="Arial" w:hAnsi="Arial" w:cs="Arial"/>
          <w:spacing w:val="-4"/>
        </w:rPr>
      </w:pPr>
    </w:p>
    <w:p w14:paraId="60706B35" w14:textId="5EA43A43" w:rsidR="000F34DD" w:rsidRPr="002946B2" w:rsidRDefault="000F34DD" w:rsidP="00734781">
      <w:pPr>
        <w:overflowPunct w:val="0"/>
        <w:autoSpaceDE w:val="0"/>
        <w:autoSpaceDN w:val="0"/>
        <w:adjustRightInd w:val="0"/>
        <w:spacing w:line="276" w:lineRule="auto"/>
        <w:jc w:val="both"/>
        <w:textAlignment w:val="baseline"/>
        <w:rPr>
          <w:rFonts w:ascii="Arial" w:hAnsi="Arial" w:cs="Arial"/>
          <w:spacing w:val="-4"/>
          <w:lang w:val="es-ES_tradnl"/>
        </w:rPr>
      </w:pPr>
      <w:r w:rsidRPr="002946B2">
        <w:rPr>
          <w:rFonts w:ascii="Arial" w:hAnsi="Arial" w:cs="Arial"/>
          <w:spacing w:val="-4"/>
          <w:lang w:val="es-ES_tradnl"/>
        </w:rPr>
        <w:t xml:space="preserve">Inconforme con la </w:t>
      </w:r>
      <w:r w:rsidR="00D96C5D" w:rsidRPr="002946B2">
        <w:rPr>
          <w:rFonts w:ascii="Arial" w:hAnsi="Arial" w:cs="Arial"/>
          <w:spacing w:val="-4"/>
          <w:lang w:val="es-ES_tradnl"/>
        </w:rPr>
        <w:t>d</w:t>
      </w:r>
      <w:r w:rsidRPr="002946B2">
        <w:rPr>
          <w:rFonts w:ascii="Arial" w:hAnsi="Arial" w:cs="Arial"/>
          <w:spacing w:val="-4"/>
          <w:lang w:val="es-ES_tradnl"/>
        </w:rPr>
        <w:t xml:space="preserve">ecisión </w:t>
      </w:r>
      <w:r w:rsidR="00E5193A" w:rsidRPr="002946B2">
        <w:rPr>
          <w:rFonts w:ascii="Arial" w:hAnsi="Arial" w:cs="Arial"/>
          <w:spacing w:val="-4"/>
          <w:lang w:val="es-ES_tradnl"/>
        </w:rPr>
        <w:t>la parte actora la recurrió insistiendo en la precaria situación económica en la que se encuentra</w:t>
      </w:r>
      <w:r w:rsidR="00E84DDE" w:rsidRPr="002946B2">
        <w:rPr>
          <w:rFonts w:ascii="Arial" w:hAnsi="Arial" w:cs="Arial"/>
          <w:spacing w:val="-4"/>
          <w:lang w:val="es-ES_tradnl"/>
        </w:rPr>
        <w:t xml:space="preserve"> y que </w:t>
      </w:r>
      <w:r w:rsidR="00A967B1" w:rsidRPr="002946B2">
        <w:rPr>
          <w:rFonts w:ascii="Arial" w:hAnsi="Arial" w:cs="Arial"/>
          <w:spacing w:val="-4"/>
          <w:lang w:val="es-ES_tradnl"/>
        </w:rPr>
        <w:t xml:space="preserve">fue </w:t>
      </w:r>
      <w:r w:rsidR="00E84DDE" w:rsidRPr="002946B2">
        <w:rPr>
          <w:rFonts w:ascii="Arial" w:hAnsi="Arial" w:cs="Arial"/>
          <w:spacing w:val="-4"/>
          <w:lang w:val="es-ES_tradnl"/>
        </w:rPr>
        <w:t xml:space="preserve">superado el término </w:t>
      </w:r>
      <w:r w:rsidR="00A967B1" w:rsidRPr="002946B2">
        <w:rPr>
          <w:rFonts w:ascii="Arial" w:hAnsi="Arial" w:cs="Arial"/>
          <w:spacing w:val="-4"/>
          <w:lang w:val="es-ES_tradnl"/>
        </w:rPr>
        <w:t xml:space="preserve">con el cual contaban las accionadas </w:t>
      </w:r>
      <w:r w:rsidR="00E84DDE" w:rsidRPr="002946B2">
        <w:rPr>
          <w:rFonts w:ascii="Arial" w:hAnsi="Arial" w:cs="Arial"/>
          <w:spacing w:val="-4"/>
          <w:lang w:val="es-ES_tradnl"/>
        </w:rPr>
        <w:t>para</w:t>
      </w:r>
      <w:r w:rsidR="00A967B1" w:rsidRPr="002946B2">
        <w:rPr>
          <w:rFonts w:ascii="Arial" w:hAnsi="Arial" w:cs="Arial"/>
          <w:spacing w:val="-4"/>
          <w:lang w:val="es-ES_tradnl"/>
        </w:rPr>
        <w:t xml:space="preserve"> concretar</w:t>
      </w:r>
      <w:r w:rsidR="00E84DDE" w:rsidRPr="002946B2">
        <w:rPr>
          <w:rFonts w:ascii="Arial" w:hAnsi="Arial" w:cs="Arial"/>
          <w:spacing w:val="-4"/>
          <w:lang w:val="es-ES_tradnl"/>
        </w:rPr>
        <w:t xml:space="preserve"> la emisión, expedición, liquidación y redención de</w:t>
      </w:r>
      <w:r w:rsidR="00A967B1" w:rsidRPr="002946B2">
        <w:rPr>
          <w:rFonts w:ascii="Arial" w:hAnsi="Arial" w:cs="Arial"/>
          <w:spacing w:val="-4"/>
          <w:lang w:val="es-ES_tradnl"/>
        </w:rPr>
        <w:t>l</w:t>
      </w:r>
      <w:r w:rsidR="00E84DDE" w:rsidRPr="002946B2">
        <w:rPr>
          <w:rFonts w:ascii="Arial" w:hAnsi="Arial" w:cs="Arial"/>
          <w:spacing w:val="-4"/>
          <w:lang w:val="es-ES_tradnl"/>
        </w:rPr>
        <w:t xml:space="preserve"> bono pensional, toda vez que el trámite se inició el 9 de agosto de 2021</w:t>
      </w:r>
      <w:r w:rsidR="0014101F" w:rsidRPr="002946B2">
        <w:rPr>
          <w:rFonts w:ascii="Arial" w:hAnsi="Arial" w:cs="Arial"/>
          <w:spacing w:val="-4"/>
          <w:lang w:val="es-ES_tradnl"/>
        </w:rPr>
        <w:t xml:space="preserve"> y no el 10 de octubre de 2022, como se indica en la sentencia, </w:t>
      </w:r>
      <w:r w:rsidR="00A967B1" w:rsidRPr="002946B2">
        <w:rPr>
          <w:rFonts w:ascii="Arial" w:hAnsi="Arial" w:cs="Arial"/>
          <w:spacing w:val="-4"/>
          <w:lang w:val="es-ES_tradnl"/>
        </w:rPr>
        <w:t xml:space="preserve">data esta última que corresponde </w:t>
      </w:r>
      <w:r w:rsidR="0014101F" w:rsidRPr="002946B2">
        <w:rPr>
          <w:rFonts w:ascii="Arial" w:hAnsi="Arial" w:cs="Arial"/>
          <w:spacing w:val="-4"/>
          <w:lang w:val="es-ES_tradnl"/>
        </w:rPr>
        <w:t>a</w:t>
      </w:r>
      <w:r w:rsidR="00A967B1" w:rsidRPr="002946B2">
        <w:rPr>
          <w:rFonts w:ascii="Arial" w:hAnsi="Arial" w:cs="Arial"/>
          <w:spacing w:val="-4"/>
          <w:lang w:val="es-ES_tradnl"/>
        </w:rPr>
        <w:t xml:space="preserve"> la del momento</w:t>
      </w:r>
      <w:r w:rsidR="0014101F" w:rsidRPr="002946B2">
        <w:rPr>
          <w:rFonts w:ascii="Arial" w:hAnsi="Arial" w:cs="Arial"/>
          <w:spacing w:val="-4"/>
          <w:lang w:val="es-ES_tradnl"/>
        </w:rPr>
        <w:t xml:space="preserve"> en que se realizó el pago del dinero acumulado en la cuenta de ahorro individual administrada por Porvenir S.A.</w:t>
      </w:r>
    </w:p>
    <w:p w14:paraId="1F72F646" w14:textId="77777777" w:rsidR="00017C56" w:rsidRPr="002946B2" w:rsidRDefault="00017C56" w:rsidP="00734781">
      <w:pPr>
        <w:overflowPunct w:val="0"/>
        <w:autoSpaceDE w:val="0"/>
        <w:autoSpaceDN w:val="0"/>
        <w:adjustRightInd w:val="0"/>
        <w:spacing w:line="276" w:lineRule="auto"/>
        <w:jc w:val="both"/>
        <w:textAlignment w:val="baseline"/>
        <w:rPr>
          <w:rFonts w:ascii="Arial" w:hAnsi="Arial" w:cs="Arial"/>
          <w:b/>
          <w:spacing w:val="-4"/>
          <w:lang w:val="es-ES_tradnl"/>
        </w:rPr>
      </w:pPr>
    </w:p>
    <w:p w14:paraId="2E0A79F2" w14:textId="77777777" w:rsidR="00EA6461" w:rsidRPr="002946B2" w:rsidRDefault="00EA6461" w:rsidP="00734781">
      <w:pPr>
        <w:overflowPunct w:val="0"/>
        <w:autoSpaceDE w:val="0"/>
        <w:autoSpaceDN w:val="0"/>
        <w:adjustRightInd w:val="0"/>
        <w:spacing w:line="276" w:lineRule="auto"/>
        <w:jc w:val="center"/>
        <w:textAlignment w:val="baseline"/>
        <w:rPr>
          <w:rFonts w:ascii="Arial" w:hAnsi="Arial" w:cs="Arial"/>
          <w:b/>
          <w:spacing w:val="-4"/>
          <w:lang w:val="es-ES_tradnl"/>
        </w:rPr>
      </w:pPr>
      <w:r w:rsidRPr="002946B2">
        <w:rPr>
          <w:rFonts w:ascii="Arial" w:hAnsi="Arial" w:cs="Arial"/>
          <w:b/>
          <w:spacing w:val="-4"/>
          <w:lang w:val="es-ES_tradnl"/>
        </w:rPr>
        <w:t>CONSIDERACIONES</w:t>
      </w:r>
    </w:p>
    <w:p w14:paraId="08CE6F91" w14:textId="77777777" w:rsidR="00EA6461" w:rsidRPr="002946B2" w:rsidRDefault="00EA6461" w:rsidP="00734781">
      <w:pPr>
        <w:overflowPunct w:val="0"/>
        <w:autoSpaceDE w:val="0"/>
        <w:autoSpaceDN w:val="0"/>
        <w:adjustRightInd w:val="0"/>
        <w:spacing w:line="276" w:lineRule="auto"/>
        <w:jc w:val="both"/>
        <w:textAlignment w:val="baseline"/>
        <w:rPr>
          <w:rFonts w:ascii="Arial" w:hAnsi="Arial" w:cs="Arial"/>
          <w:b/>
          <w:spacing w:val="-4"/>
          <w:lang w:val="es-ES_tradnl"/>
        </w:rPr>
      </w:pPr>
    </w:p>
    <w:p w14:paraId="4650F320" w14:textId="77777777" w:rsidR="00EA6461" w:rsidRPr="002946B2" w:rsidRDefault="00EA6461" w:rsidP="00734781">
      <w:pPr>
        <w:overflowPunct w:val="0"/>
        <w:autoSpaceDE w:val="0"/>
        <w:autoSpaceDN w:val="0"/>
        <w:adjustRightInd w:val="0"/>
        <w:spacing w:line="276" w:lineRule="auto"/>
        <w:jc w:val="both"/>
        <w:textAlignment w:val="baseline"/>
        <w:rPr>
          <w:rFonts w:ascii="Arial" w:hAnsi="Arial" w:cs="Arial"/>
          <w:b/>
          <w:spacing w:val="-4"/>
          <w:lang w:val="es-ES_tradnl"/>
        </w:rPr>
      </w:pPr>
      <w:r w:rsidRPr="002946B2">
        <w:rPr>
          <w:rFonts w:ascii="Arial" w:hAnsi="Arial" w:cs="Arial"/>
          <w:b/>
          <w:spacing w:val="-4"/>
          <w:lang w:val="es-ES_tradnl"/>
        </w:rPr>
        <w:t>PROBLEMA JURÍDICO</w:t>
      </w:r>
    </w:p>
    <w:p w14:paraId="61CDCEAD" w14:textId="77777777" w:rsidR="00E468A0" w:rsidRPr="002946B2" w:rsidRDefault="00E468A0" w:rsidP="00734781">
      <w:pPr>
        <w:overflowPunct w:val="0"/>
        <w:autoSpaceDE w:val="0"/>
        <w:autoSpaceDN w:val="0"/>
        <w:adjustRightInd w:val="0"/>
        <w:spacing w:line="276" w:lineRule="auto"/>
        <w:ind w:left="709" w:right="618"/>
        <w:jc w:val="both"/>
        <w:textAlignment w:val="baseline"/>
        <w:rPr>
          <w:rFonts w:ascii="Arial" w:hAnsi="Arial" w:cs="Arial"/>
          <w:b/>
          <w:i/>
          <w:spacing w:val="-4"/>
          <w:lang w:val="es-ES_tradnl"/>
        </w:rPr>
      </w:pPr>
    </w:p>
    <w:p w14:paraId="7B9550A4" w14:textId="77777777" w:rsidR="00213130" w:rsidRPr="002946B2" w:rsidRDefault="00213130" w:rsidP="00A1205E">
      <w:pPr>
        <w:overflowPunct w:val="0"/>
        <w:autoSpaceDE w:val="0"/>
        <w:autoSpaceDN w:val="0"/>
        <w:adjustRightInd w:val="0"/>
        <w:spacing w:line="276" w:lineRule="auto"/>
        <w:ind w:left="426" w:right="420"/>
        <w:jc w:val="both"/>
        <w:textAlignment w:val="baseline"/>
        <w:rPr>
          <w:rFonts w:ascii="Arial" w:hAnsi="Arial" w:cs="Arial"/>
          <w:b/>
          <w:i/>
          <w:spacing w:val="-4"/>
          <w:lang w:val="es-ES_tradnl"/>
        </w:rPr>
      </w:pPr>
      <w:r w:rsidRPr="002946B2">
        <w:rPr>
          <w:rFonts w:ascii="Arial" w:hAnsi="Arial" w:cs="Arial"/>
          <w:b/>
          <w:i/>
          <w:spacing w:val="-4"/>
          <w:lang w:val="es-ES_tradnl"/>
        </w:rPr>
        <w:t>¿</w:t>
      </w:r>
      <w:r w:rsidR="009B16F4" w:rsidRPr="002946B2">
        <w:rPr>
          <w:rFonts w:ascii="Arial" w:hAnsi="Arial" w:cs="Arial"/>
          <w:b/>
          <w:i/>
          <w:spacing w:val="-4"/>
          <w:lang w:val="es-ES_tradnl"/>
        </w:rPr>
        <w:t>Procede la acción de tutela para exigir el reconocimiento, emisión y/o pago de bonos pensionales</w:t>
      </w:r>
      <w:r w:rsidRPr="002946B2">
        <w:rPr>
          <w:rFonts w:ascii="Arial" w:hAnsi="Arial" w:cs="Arial"/>
          <w:b/>
          <w:i/>
          <w:spacing w:val="-4"/>
          <w:lang w:val="es-ES_tradnl"/>
        </w:rPr>
        <w:t>?</w:t>
      </w:r>
    </w:p>
    <w:p w14:paraId="23DE523C" w14:textId="77777777" w:rsidR="00E468A0" w:rsidRPr="002946B2" w:rsidRDefault="00E468A0" w:rsidP="00734781">
      <w:pPr>
        <w:overflowPunct w:val="0"/>
        <w:autoSpaceDE w:val="0"/>
        <w:autoSpaceDN w:val="0"/>
        <w:adjustRightInd w:val="0"/>
        <w:spacing w:line="276" w:lineRule="auto"/>
        <w:jc w:val="both"/>
        <w:textAlignment w:val="baseline"/>
        <w:rPr>
          <w:rFonts w:ascii="Arial" w:hAnsi="Arial" w:cs="Arial"/>
          <w:b/>
          <w:spacing w:val="-4"/>
          <w:lang w:val="es-ES_tradnl"/>
        </w:rPr>
      </w:pPr>
    </w:p>
    <w:p w14:paraId="31B835A8" w14:textId="77777777" w:rsidR="00B14867" w:rsidRPr="002946B2" w:rsidRDefault="00B14867" w:rsidP="00734781">
      <w:pPr>
        <w:numPr>
          <w:ilvl w:val="0"/>
          <w:numId w:val="22"/>
        </w:numPr>
        <w:tabs>
          <w:tab w:val="left" w:pos="-720"/>
        </w:tabs>
        <w:suppressAutoHyphens/>
        <w:spacing w:line="276" w:lineRule="auto"/>
        <w:ind w:left="426" w:right="-7" w:hanging="426"/>
        <w:jc w:val="both"/>
        <w:rPr>
          <w:rFonts w:ascii="Arial" w:hAnsi="Arial" w:cs="Arial"/>
          <w:b/>
          <w:bCs/>
          <w:spacing w:val="-4"/>
        </w:rPr>
      </w:pPr>
      <w:r w:rsidRPr="002946B2">
        <w:rPr>
          <w:rFonts w:ascii="Arial" w:hAnsi="Arial" w:cs="Arial"/>
          <w:b/>
          <w:bCs/>
          <w:spacing w:val="-4"/>
        </w:rPr>
        <w:t xml:space="preserve">PROCEDENCIA DE LA ACCIÓN DE TUTELA </w:t>
      </w:r>
    </w:p>
    <w:p w14:paraId="52E56223" w14:textId="77777777" w:rsidR="00B14867" w:rsidRPr="002946B2" w:rsidRDefault="00B14867" w:rsidP="00734781">
      <w:pPr>
        <w:pStyle w:val="Textoindependiente"/>
        <w:spacing w:line="276" w:lineRule="auto"/>
        <w:rPr>
          <w:rFonts w:cs="Arial"/>
          <w:spacing w:val="-4"/>
          <w:sz w:val="24"/>
          <w:szCs w:val="24"/>
        </w:rPr>
      </w:pPr>
    </w:p>
    <w:p w14:paraId="7682BE3A" w14:textId="5C73493B" w:rsidR="00B14867" w:rsidRPr="002946B2" w:rsidRDefault="00B14867" w:rsidP="00734781">
      <w:pPr>
        <w:pStyle w:val="Textoindependiente"/>
        <w:spacing w:line="276" w:lineRule="auto"/>
        <w:rPr>
          <w:rFonts w:cs="Arial"/>
          <w:spacing w:val="-4"/>
          <w:sz w:val="24"/>
          <w:szCs w:val="24"/>
        </w:rPr>
      </w:pPr>
      <w:r w:rsidRPr="002946B2">
        <w:rPr>
          <w:rFonts w:cs="Arial"/>
          <w:spacing w:val="-4"/>
          <w:sz w:val="24"/>
          <w:szCs w:val="24"/>
        </w:rPr>
        <w:t xml:space="preserve">Una de las características de </w:t>
      </w:r>
      <w:r w:rsidR="00A1205E" w:rsidRPr="002946B2">
        <w:rPr>
          <w:rFonts w:cs="Arial"/>
          <w:spacing w:val="-4"/>
          <w:sz w:val="24"/>
          <w:szCs w:val="24"/>
        </w:rPr>
        <w:t>e</w:t>
      </w:r>
      <w:r w:rsidRPr="002946B2">
        <w:rPr>
          <w:rFonts w:cs="Arial"/>
          <w:spacing w:val="-4"/>
          <w:sz w:val="24"/>
          <w:szCs w:val="24"/>
        </w:rPr>
        <w:t>ste mecanismo de protección excepcional, es la de constituir un instrumento jurídico de naturaleza subsidiaria y residual, que sólo se abre paso cuando el afectado carece de otros medios de defensa, o cuando, existiendo, se la utiliza como mecanismo transitorio de aplicación inmediata, para evitar un perjuicio irremediable.</w:t>
      </w:r>
    </w:p>
    <w:p w14:paraId="07547A01" w14:textId="77777777" w:rsidR="00B14867" w:rsidRPr="002946B2" w:rsidRDefault="00B14867" w:rsidP="00734781">
      <w:pPr>
        <w:pStyle w:val="Textoindependiente"/>
        <w:spacing w:line="276" w:lineRule="auto"/>
        <w:rPr>
          <w:rFonts w:cs="Arial"/>
          <w:spacing w:val="-4"/>
          <w:sz w:val="24"/>
          <w:szCs w:val="24"/>
        </w:rPr>
      </w:pPr>
    </w:p>
    <w:p w14:paraId="264B1648" w14:textId="6D2144C2" w:rsidR="00675C5B" w:rsidRPr="002946B2" w:rsidRDefault="00675C5B" w:rsidP="00734781">
      <w:pPr>
        <w:overflowPunct w:val="0"/>
        <w:autoSpaceDE w:val="0"/>
        <w:autoSpaceDN w:val="0"/>
        <w:adjustRightInd w:val="0"/>
        <w:spacing w:line="276" w:lineRule="auto"/>
        <w:jc w:val="both"/>
        <w:textAlignment w:val="baseline"/>
        <w:rPr>
          <w:rFonts w:ascii="Arial" w:hAnsi="Arial" w:cs="Arial"/>
          <w:b/>
          <w:spacing w:val="-4"/>
          <w:lang w:val="es-ES_tradnl"/>
        </w:rPr>
      </w:pPr>
      <w:r w:rsidRPr="002946B2">
        <w:rPr>
          <w:rFonts w:ascii="Arial" w:hAnsi="Arial" w:cs="Arial"/>
          <w:b/>
          <w:spacing w:val="-4"/>
        </w:rPr>
        <w:t>2.  DEL TRAMITE PARA LA EXPEDICIÓN DE BONOS PENSIONALES</w:t>
      </w:r>
    </w:p>
    <w:p w14:paraId="29A2A18C" w14:textId="77777777" w:rsidR="00675C5B" w:rsidRPr="002946B2" w:rsidRDefault="00675C5B" w:rsidP="00734781">
      <w:pPr>
        <w:overflowPunct w:val="0"/>
        <w:autoSpaceDE w:val="0"/>
        <w:autoSpaceDN w:val="0"/>
        <w:adjustRightInd w:val="0"/>
        <w:spacing w:line="276" w:lineRule="auto"/>
        <w:ind w:left="360"/>
        <w:jc w:val="both"/>
        <w:textAlignment w:val="baseline"/>
        <w:rPr>
          <w:rFonts w:ascii="Arial" w:hAnsi="Arial" w:cs="Arial"/>
          <w:spacing w:val="-4"/>
        </w:rPr>
      </w:pPr>
    </w:p>
    <w:p w14:paraId="5F1C4615" w14:textId="77777777" w:rsidR="00675C5B" w:rsidRPr="002946B2" w:rsidRDefault="00675C5B" w:rsidP="00734781">
      <w:pPr>
        <w:overflowPunct w:val="0"/>
        <w:autoSpaceDE w:val="0"/>
        <w:autoSpaceDN w:val="0"/>
        <w:adjustRightInd w:val="0"/>
        <w:spacing w:line="276" w:lineRule="auto"/>
        <w:jc w:val="both"/>
        <w:textAlignment w:val="baseline"/>
        <w:rPr>
          <w:rFonts w:ascii="Arial" w:hAnsi="Arial" w:cs="Arial"/>
          <w:spacing w:val="-4"/>
        </w:rPr>
      </w:pPr>
      <w:r w:rsidRPr="002946B2">
        <w:rPr>
          <w:rFonts w:ascii="Arial" w:hAnsi="Arial" w:cs="Arial"/>
          <w:spacing w:val="-4"/>
        </w:rPr>
        <w:lastRenderedPageBreak/>
        <w:t>En Sentencia T-0795-2007, la Corte Constitucional, frente a la procedencia de la acción de tutela para solicitar la emisión de bonos pensionales, indicó lo siguiente:</w:t>
      </w:r>
    </w:p>
    <w:p w14:paraId="5AB985BE" w14:textId="77777777" w:rsidR="00675C5B" w:rsidRPr="002946B2" w:rsidRDefault="00675C5B" w:rsidP="00734781">
      <w:pPr>
        <w:overflowPunct w:val="0"/>
        <w:autoSpaceDE w:val="0"/>
        <w:autoSpaceDN w:val="0"/>
        <w:adjustRightInd w:val="0"/>
        <w:spacing w:line="276" w:lineRule="auto"/>
        <w:jc w:val="both"/>
        <w:textAlignment w:val="baseline"/>
        <w:rPr>
          <w:rFonts w:ascii="Arial" w:hAnsi="Arial" w:cs="Arial"/>
          <w:spacing w:val="-4"/>
        </w:rPr>
      </w:pPr>
    </w:p>
    <w:p w14:paraId="1A4CBC5E" w14:textId="77777777" w:rsidR="00675C5B" w:rsidRPr="002946B2" w:rsidRDefault="00675C5B" w:rsidP="00A1205E">
      <w:pPr>
        <w:widowControl w:val="0"/>
        <w:ind w:left="426" w:right="420"/>
        <w:jc w:val="both"/>
        <w:rPr>
          <w:rFonts w:ascii="Arial" w:hAnsi="Arial" w:cs="Arial"/>
          <w:i/>
          <w:spacing w:val="-4"/>
          <w:sz w:val="22"/>
        </w:rPr>
      </w:pPr>
      <w:r w:rsidRPr="002946B2">
        <w:rPr>
          <w:rFonts w:ascii="Arial" w:hAnsi="Arial" w:cs="Arial"/>
          <w:b/>
          <w:bCs/>
          <w:i/>
          <w:spacing w:val="-4"/>
          <w:sz w:val="22"/>
          <w:lang w:val="es-CO"/>
        </w:rPr>
        <w:t>“</w:t>
      </w:r>
      <w:r w:rsidRPr="002946B2">
        <w:rPr>
          <w:rFonts w:ascii="Arial" w:hAnsi="Arial" w:cs="Arial"/>
          <w:i/>
          <w:spacing w:val="-4"/>
          <w:sz w:val="22"/>
        </w:rPr>
        <w:t>De la jurisprudencia constitucional se desprende que, como regla general, la acción de tutela no resulta procedente para ordenar el reconocimiento de derechos que sean motivo de litigio, pues es claro que, en principio, las controversias suscitadas entre distintas partes se deben ventilar ante los jueces competentes y en uso de los procedimientos para tal efecto establecidos.</w:t>
      </w:r>
    </w:p>
    <w:p w14:paraId="0CE31CAC" w14:textId="77777777" w:rsidR="00675C5B" w:rsidRPr="002946B2" w:rsidRDefault="00675C5B" w:rsidP="00A1205E">
      <w:pPr>
        <w:widowControl w:val="0"/>
        <w:ind w:left="426" w:right="420"/>
        <w:jc w:val="both"/>
        <w:rPr>
          <w:rFonts w:ascii="Arial" w:hAnsi="Arial" w:cs="Arial"/>
          <w:i/>
          <w:spacing w:val="-4"/>
          <w:sz w:val="22"/>
        </w:rPr>
      </w:pPr>
    </w:p>
    <w:p w14:paraId="7FCFA0A3" w14:textId="77777777" w:rsidR="00675C5B" w:rsidRPr="002946B2" w:rsidRDefault="00675C5B" w:rsidP="00A1205E">
      <w:pPr>
        <w:widowControl w:val="0"/>
        <w:ind w:left="426" w:right="420"/>
        <w:jc w:val="both"/>
        <w:rPr>
          <w:rFonts w:ascii="Arial" w:hAnsi="Arial" w:cs="Arial"/>
          <w:i/>
          <w:spacing w:val="-4"/>
          <w:sz w:val="22"/>
        </w:rPr>
      </w:pPr>
      <w:r w:rsidRPr="002946B2">
        <w:rPr>
          <w:rFonts w:ascii="Arial" w:hAnsi="Arial" w:cs="Arial"/>
          <w:i/>
          <w:spacing w:val="-4"/>
          <w:sz w:val="22"/>
        </w:rPr>
        <w:t>Conforme al anterior planteamiento, una controversia referente a la tardanza en la emisión de un bono pensional escapa a los propósitos de protección inherentes a la acción de tutela. Sin embargo, distintas Salas de Revisión de esta Corte han estimado que cuando la demora en la emisión de un bono pensional impide el oportuno reconocimiento de pensiones de jubilación o de vejez, la acción de tutela procede como remedio excepcional para la protección del derecho a la seguridad social en conexidad con el derecho al mínimo vital y la dignidad humana</w:t>
      </w:r>
      <w:r w:rsidRPr="002946B2">
        <w:rPr>
          <w:rStyle w:val="Refdenotaalpie"/>
          <w:rFonts w:ascii="Arial" w:hAnsi="Arial" w:cs="Arial"/>
          <w:i/>
          <w:spacing w:val="-4"/>
          <w:sz w:val="22"/>
        </w:rPr>
        <w:footnoteReference w:id="1"/>
      </w:r>
      <w:r w:rsidRPr="002946B2">
        <w:rPr>
          <w:rFonts w:ascii="Arial" w:hAnsi="Arial" w:cs="Arial"/>
          <w:i/>
          <w:spacing w:val="-4"/>
          <w:sz w:val="22"/>
        </w:rPr>
        <w:t>.</w:t>
      </w:r>
    </w:p>
    <w:p w14:paraId="5B528938" w14:textId="77777777" w:rsidR="00675C5B" w:rsidRPr="002946B2" w:rsidRDefault="00675C5B" w:rsidP="00A1205E">
      <w:pPr>
        <w:widowControl w:val="0"/>
        <w:ind w:left="426" w:right="420"/>
        <w:jc w:val="both"/>
        <w:rPr>
          <w:rFonts w:ascii="Arial" w:hAnsi="Arial" w:cs="Arial"/>
          <w:i/>
          <w:spacing w:val="-4"/>
          <w:sz w:val="22"/>
        </w:rPr>
      </w:pPr>
    </w:p>
    <w:p w14:paraId="08671ADD" w14:textId="77777777" w:rsidR="00675C5B" w:rsidRPr="002946B2" w:rsidRDefault="00675C5B" w:rsidP="00A1205E">
      <w:pPr>
        <w:widowControl w:val="0"/>
        <w:ind w:left="426" w:right="420"/>
        <w:jc w:val="both"/>
        <w:rPr>
          <w:rFonts w:ascii="Arial" w:hAnsi="Arial" w:cs="Arial"/>
          <w:i/>
          <w:spacing w:val="-4"/>
          <w:sz w:val="22"/>
        </w:rPr>
      </w:pPr>
      <w:r w:rsidRPr="002946B2">
        <w:rPr>
          <w:rFonts w:ascii="Arial" w:hAnsi="Arial" w:cs="Arial"/>
          <w:i/>
          <w:spacing w:val="-4"/>
          <w:sz w:val="22"/>
        </w:rPr>
        <w:t>Así, respecto de aquellos casos en los cuales el reconocimiento y pago de una pensión depende de la exigencia de un bono pensional, la jurisprudencia de esta Corporación ha indicado que la tutela procede siempre que no sea utilizada como mecanismo para pretermitir el trámite administrativo correspondiente o para procurar la protección del derecho de petición sin haber presentado solicitud expresa a la entidad encargada de emitir el bono (i) y, de igual manera, ha insistido en que se debe comprobar que los trámites administrativos dilatan de manera injustificada la decisión de fondo sobre la pensión (ii) y que a causa del retardo en la expedición del bono pensional se produce una vulneración de derechos fundamentales, dadas las especiales condiciones de la persona que aspira a obtener la pensión (iii)</w:t>
      </w:r>
      <w:r w:rsidRPr="002946B2">
        <w:rPr>
          <w:rStyle w:val="Refdenotaalpie"/>
          <w:rFonts w:ascii="Arial" w:hAnsi="Arial" w:cs="Arial"/>
          <w:i/>
          <w:spacing w:val="-4"/>
          <w:sz w:val="22"/>
        </w:rPr>
        <w:footnoteReference w:id="2"/>
      </w:r>
      <w:r w:rsidRPr="002946B2">
        <w:rPr>
          <w:rFonts w:ascii="Arial" w:hAnsi="Arial" w:cs="Arial"/>
          <w:i/>
          <w:spacing w:val="-4"/>
          <w:sz w:val="22"/>
        </w:rPr>
        <w:t>”.</w:t>
      </w:r>
    </w:p>
    <w:p w14:paraId="660B7539" w14:textId="77777777" w:rsidR="00675C5B" w:rsidRPr="002946B2" w:rsidRDefault="00675C5B" w:rsidP="00734781">
      <w:pPr>
        <w:widowControl w:val="0"/>
        <w:spacing w:line="276" w:lineRule="auto"/>
        <w:ind w:left="567" w:right="476"/>
        <w:jc w:val="both"/>
        <w:rPr>
          <w:rFonts w:ascii="Arial" w:hAnsi="Arial" w:cs="Arial"/>
          <w:spacing w:val="-4"/>
        </w:rPr>
      </w:pPr>
    </w:p>
    <w:p w14:paraId="609D03AA" w14:textId="77777777" w:rsidR="00675C5B" w:rsidRPr="002946B2" w:rsidRDefault="00675C5B" w:rsidP="00BE3FA5">
      <w:pPr>
        <w:pStyle w:val="p1"/>
        <w:spacing w:before="0" w:beforeAutospacing="0" w:after="0" w:afterAutospacing="0" w:line="276" w:lineRule="auto"/>
        <w:jc w:val="both"/>
        <w:rPr>
          <w:rFonts w:ascii="Arial" w:hAnsi="Arial" w:cs="Arial"/>
          <w:b/>
          <w:bCs/>
          <w:spacing w:val="-4"/>
        </w:rPr>
      </w:pPr>
      <w:r w:rsidRPr="002946B2">
        <w:rPr>
          <w:rFonts w:ascii="Arial" w:hAnsi="Arial" w:cs="Arial"/>
          <w:spacing w:val="-4"/>
        </w:rPr>
        <w:t xml:space="preserve">Ahora, en la Sentencia T-059 de 2017, la misma Corporación determinó los pasos que deben seguirse para la </w:t>
      </w:r>
      <w:r w:rsidRPr="002946B2">
        <w:rPr>
          <w:rFonts w:ascii="Arial" w:hAnsi="Arial" w:cs="Arial"/>
          <w:spacing w:val="-4"/>
          <w:bdr w:val="none" w:sz="0" w:space="0" w:color="auto" w:frame="1"/>
        </w:rPr>
        <w:t>liquidación, expedición, emisión y redención de bonos pensionales, siendo éstos:</w:t>
      </w:r>
      <w:r w:rsidRPr="002946B2">
        <w:rPr>
          <w:rFonts w:ascii="Arial" w:hAnsi="Arial" w:cs="Arial"/>
          <w:b/>
          <w:bCs/>
          <w:spacing w:val="-4"/>
        </w:rPr>
        <w:t xml:space="preserve"> </w:t>
      </w:r>
    </w:p>
    <w:p w14:paraId="10C76B0F" w14:textId="74359CF5" w:rsidR="59A469CD" w:rsidRPr="002946B2" w:rsidRDefault="59A469CD" w:rsidP="00BE3FA5">
      <w:pPr>
        <w:widowControl w:val="0"/>
        <w:spacing w:line="276" w:lineRule="auto"/>
        <w:ind w:left="567" w:right="476"/>
        <w:jc w:val="both"/>
        <w:rPr>
          <w:rFonts w:ascii="Arial" w:hAnsi="Arial" w:cs="Arial"/>
          <w:spacing w:val="-4"/>
        </w:rPr>
      </w:pPr>
    </w:p>
    <w:p w14:paraId="02A2898C" w14:textId="2CD74E88" w:rsidR="00675C5B" w:rsidRPr="002946B2" w:rsidRDefault="00675C5B" w:rsidP="00BE3FA5">
      <w:pPr>
        <w:pStyle w:val="p1"/>
        <w:spacing w:before="0" w:beforeAutospacing="0" w:after="0" w:afterAutospacing="0"/>
        <w:ind w:left="426" w:right="420"/>
        <w:jc w:val="both"/>
        <w:rPr>
          <w:rFonts w:ascii="Arial" w:hAnsi="Arial" w:cs="Arial"/>
          <w:i/>
          <w:iCs/>
          <w:spacing w:val="-4"/>
          <w:sz w:val="22"/>
        </w:rPr>
      </w:pPr>
      <w:r w:rsidRPr="002946B2">
        <w:rPr>
          <w:rFonts w:ascii="Arial" w:hAnsi="Arial" w:cs="Arial"/>
          <w:i/>
          <w:iCs/>
          <w:spacing w:val="-4"/>
          <w:sz w:val="22"/>
          <w:bdr w:val="none" w:sz="0" w:space="0" w:color="auto" w:frame="1"/>
          <w:shd w:val="clear" w:color="auto" w:fill="FFFFFF"/>
        </w:rPr>
        <w:t xml:space="preserve">“Por otra parte, el procedimiento para la liquidación, emisión y expedición de los bonos pensionales tipo A </w:t>
      </w:r>
      <w:r w:rsidRPr="002946B2">
        <w:rPr>
          <w:rFonts w:ascii="Arial" w:hAnsi="Arial" w:cs="Arial"/>
          <w:i/>
          <w:iCs/>
          <w:spacing w:val="-4"/>
          <w:sz w:val="22"/>
        </w:rPr>
        <w:t xml:space="preserve">presupone el agotamiento de las siguientes etapas: (i) conformación de la historia laboral del afiliado; (ii) solicitud y realización de la liquidación provisional; (iii) aceptación por parte del afiliado de la liquidación provisional; (iv) emisión; (v) expedición; (vi) redención y (vii) pago del bono pensional. A </w:t>
      </w:r>
      <w:r w:rsidR="1C4C4A74" w:rsidRPr="002946B2">
        <w:rPr>
          <w:rFonts w:ascii="Arial" w:hAnsi="Arial" w:cs="Arial"/>
          <w:i/>
          <w:iCs/>
          <w:spacing w:val="-4"/>
          <w:sz w:val="22"/>
        </w:rPr>
        <w:t>continuación,</w:t>
      </w:r>
      <w:r w:rsidRPr="002946B2">
        <w:rPr>
          <w:rFonts w:ascii="Arial" w:hAnsi="Arial" w:cs="Arial"/>
          <w:i/>
          <w:iCs/>
          <w:spacing w:val="-4"/>
          <w:sz w:val="22"/>
        </w:rPr>
        <w:t xml:space="preserve"> se describirán brevemente cada una ellas:</w:t>
      </w:r>
    </w:p>
    <w:p w14:paraId="01BAD508" w14:textId="77777777" w:rsidR="00BE3FA5" w:rsidRPr="002946B2" w:rsidRDefault="00BE3FA5" w:rsidP="00BE3FA5">
      <w:pPr>
        <w:pStyle w:val="p1"/>
        <w:spacing w:before="0" w:beforeAutospacing="0" w:after="0" w:afterAutospacing="0"/>
        <w:ind w:left="426" w:right="420"/>
        <w:jc w:val="both"/>
        <w:rPr>
          <w:rFonts w:ascii="Arial" w:hAnsi="Arial" w:cs="Arial"/>
          <w:i/>
          <w:spacing w:val="-4"/>
          <w:sz w:val="22"/>
        </w:rPr>
      </w:pPr>
    </w:p>
    <w:p w14:paraId="30836BD8" w14:textId="5B2DA90A" w:rsidR="00675C5B" w:rsidRPr="002946B2" w:rsidRDefault="00675C5B" w:rsidP="00BE3FA5">
      <w:pPr>
        <w:pStyle w:val="p1"/>
        <w:spacing w:before="0" w:beforeAutospacing="0" w:after="0" w:afterAutospacing="0"/>
        <w:ind w:left="426" w:right="420"/>
        <w:jc w:val="both"/>
        <w:rPr>
          <w:rFonts w:ascii="Arial" w:hAnsi="Arial" w:cs="Arial"/>
          <w:i/>
          <w:spacing w:val="-4"/>
          <w:sz w:val="22"/>
        </w:rPr>
      </w:pPr>
      <w:r w:rsidRPr="002946B2">
        <w:rPr>
          <w:rFonts w:ascii="Arial" w:hAnsi="Arial" w:cs="Arial"/>
          <w:i/>
          <w:spacing w:val="-4"/>
          <w:sz w:val="22"/>
        </w:rPr>
        <w:t>(i)</w:t>
      </w:r>
      <w:r w:rsidRPr="002946B2">
        <w:rPr>
          <w:rStyle w:val="apple-converted-space"/>
          <w:rFonts w:ascii="Arial" w:hAnsi="Arial" w:cs="Arial"/>
          <w:i/>
          <w:spacing w:val="-4"/>
          <w:sz w:val="22"/>
        </w:rPr>
        <w:t xml:space="preserve"> </w:t>
      </w:r>
      <w:r w:rsidRPr="002946B2">
        <w:rPr>
          <w:rFonts w:ascii="Arial" w:hAnsi="Arial" w:cs="Arial"/>
          <w:i/>
          <w:spacing w:val="-4"/>
          <w:sz w:val="22"/>
        </w:rPr>
        <w:t>Una vez el beneficiario del bono realiza la solicitud, de conformidad con lo previsto en el artículo 22 del Decreto 1513 de 1998, el primer paso para la tramitación del bono pensional es la conformación de la historia laboral del afiliado, que se realiza mediante la información que éste suministra a su AFP y la información que la AFP solicita a las entidades a las cuales el trabajador realizó cotizaciones diferentes al ISS. La información así obtenida es ingresada por la AFP al Sistema Interactivo que para el efecto tiene la OBP</w:t>
      </w:r>
      <w:r w:rsidRPr="002946B2">
        <w:rPr>
          <w:rFonts w:ascii="Arial" w:hAnsi="Arial" w:cs="Arial"/>
          <w:i/>
          <w:spacing w:val="-4"/>
          <w:sz w:val="22"/>
          <w:vertAlign w:val="superscript"/>
        </w:rPr>
        <w:footnoteReference w:id="3"/>
      </w:r>
      <w:r w:rsidRPr="002946B2">
        <w:rPr>
          <w:rFonts w:ascii="Arial" w:hAnsi="Arial" w:cs="Arial"/>
          <w:i/>
          <w:spacing w:val="-4"/>
          <w:sz w:val="22"/>
        </w:rPr>
        <w:t>. La información sobre cotizaciones realizadas por el trabajador al ISS se obtiene del archivo masivo que para el efecto tiene el ISS. Si se presenta alguna variación posterior de esta información y así lo certifica el ISS, la AFP debe digitar esta nueva información en el Sistema Interactivo de la OBP.</w:t>
      </w:r>
    </w:p>
    <w:p w14:paraId="3224EFF9" w14:textId="77777777" w:rsidR="00BE3FA5" w:rsidRPr="002946B2" w:rsidRDefault="00BE3FA5" w:rsidP="00BE3FA5">
      <w:pPr>
        <w:pStyle w:val="p1"/>
        <w:spacing w:before="0" w:beforeAutospacing="0" w:after="0" w:afterAutospacing="0"/>
        <w:ind w:left="426" w:right="420"/>
        <w:jc w:val="both"/>
        <w:rPr>
          <w:rFonts w:ascii="Arial" w:hAnsi="Arial" w:cs="Arial"/>
          <w:i/>
          <w:spacing w:val="-4"/>
          <w:sz w:val="22"/>
        </w:rPr>
      </w:pPr>
    </w:p>
    <w:p w14:paraId="20D95356" w14:textId="7A6E6F3E" w:rsidR="00675C5B" w:rsidRPr="002946B2" w:rsidRDefault="00675C5B" w:rsidP="00BE3FA5">
      <w:pPr>
        <w:pStyle w:val="p1"/>
        <w:spacing w:before="0" w:beforeAutospacing="0" w:after="0" w:afterAutospacing="0"/>
        <w:ind w:left="426" w:right="420"/>
        <w:jc w:val="both"/>
        <w:rPr>
          <w:rFonts w:ascii="Arial" w:hAnsi="Arial" w:cs="Arial"/>
          <w:i/>
          <w:spacing w:val="-4"/>
          <w:sz w:val="22"/>
        </w:rPr>
      </w:pPr>
      <w:r w:rsidRPr="002946B2">
        <w:rPr>
          <w:rFonts w:ascii="Arial" w:hAnsi="Arial" w:cs="Arial"/>
          <w:i/>
          <w:spacing w:val="-4"/>
          <w:sz w:val="22"/>
        </w:rPr>
        <w:t>(ii) Conformada la historia laboral, la Administradora de Fondos de Pensiones, en representación del afiliado</w:t>
      </w:r>
      <w:r w:rsidRPr="002946B2">
        <w:rPr>
          <w:rFonts w:ascii="Arial" w:hAnsi="Arial" w:cs="Arial"/>
          <w:b/>
          <w:bCs/>
          <w:i/>
          <w:spacing w:val="-4"/>
          <w:sz w:val="22"/>
        </w:rPr>
        <w:t xml:space="preserve">, </w:t>
      </w:r>
      <w:r w:rsidRPr="002946B2">
        <w:rPr>
          <w:rFonts w:ascii="Arial" w:hAnsi="Arial" w:cs="Arial"/>
          <w:i/>
          <w:spacing w:val="-4"/>
          <w:sz w:val="22"/>
        </w:rPr>
        <w:t>debe solicitar</w:t>
      </w:r>
      <w:r w:rsidRPr="002946B2">
        <w:rPr>
          <w:rFonts w:ascii="Arial" w:hAnsi="Arial" w:cs="Arial"/>
          <w:b/>
          <w:bCs/>
          <w:i/>
          <w:spacing w:val="-4"/>
          <w:sz w:val="22"/>
        </w:rPr>
        <w:t xml:space="preserve"> </w:t>
      </w:r>
      <w:r w:rsidRPr="002946B2">
        <w:rPr>
          <w:rFonts w:ascii="Arial" w:hAnsi="Arial" w:cs="Arial"/>
          <w:i/>
          <w:spacing w:val="-4"/>
          <w:sz w:val="22"/>
        </w:rPr>
        <w:t>al emisor del bono pensional la liquidación de éste, para lo cual debe definir el salario base para el cálculo del bono pensional.”</w:t>
      </w:r>
    </w:p>
    <w:p w14:paraId="112B334E" w14:textId="77777777" w:rsidR="00675C5B" w:rsidRPr="002946B2" w:rsidRDefault="00675C5B" w:rsidP="00BE3FA5">
      <w:pPr>
        <w:spacing w:line="276" w:lineRule="auto"/>
        <w:ind w:left="426" w:right="420"/>
        <w:jc w:val="both"/>
        <w:rPr>
          <w:rFonts w:ascii="Arial" w:hAnsi="Arial" w:cs="Arial"/>
          <w:b/>
          <w:spacing w:val="-4"/>
        </w:rPr>
      </w:pPr>
    </w:p>
    <w:p w14:paraId="3057A526" w14:textId="77C30F34" w:rsidR="00675C5B" w:rsidRPr="002946B2" w:rsidRDefault="00675C5B" w:rsidP="00734781">
      <w:pPr>
        <w:numPr>
          <w:ilvl w:val="0"/>
          <w:numId w:val="23"/>
        </w:numPr>
        <w:spacing w:line="276" w:lineRule="auto"/>
        <w:ind w:left="426" w:right="20" w:hanging="426"/>
        <w:jc w:val="both"/>
        <w:rPr>
          <w:rFonts w:ascii="Arial" w:hAnsi="Arial" w:cs="Arial"/>
          <w:b/>
          <w:spacing w:val="-4"/>
        </w:rPr>
      </w:pPr>
      <w:r w:rsidRPr="002946B2">
        <w:rPr>
          <w:rFonts w:ascii="Arial" w:hAnsi="Arial" w:cs="Arial"/>
          <w:b/>
          <w:spacing w:val="-4"/>
        </w:rPr>
        <w:t>DEL DEBIDO PROCESO</w:t>
      </w:r>
    </w:p>
    <w:p w14:paraId="2D677CCC" w14:textId="77777777" w:rsidR="00675C5B" w:rsidRPr="002946B2" w:rsidRDefault="00675C5B" w:rsidP="00734781">
      <w:pPr>
        <w:spacing w:line="276" w:lineRule="auto"/>
        <w:ind w:left="720" w:right="20"/>
        <w:jc w:val="both"/>
        <w:rPr>
          <w:rFonts w:ascii="Arial" w:hAnsi="Arial" w:cs="Arial"/>
          <w:b/>
          <w:spacing w:val="-4"/>
        </w:rPr>
      </w:pPr>
    </w:p>
    <w:p w14:paraId="762B575A" w14:textId="77777777" w:rsidR="00675C5B" w:rsidRPr="002946B2" w:rsidRDefault="00675C5B" w:rsidP="00734781">
      <w:pPr>
        <w:spacing w:line="276" w:lineRule="auto"/>
        <w:jc w:val="both"/>
        <w:rPr>
          <w:rFonts w:ascii="Arial" w:hAnsi="Arial" w:cs="Arial"/>
          <w:spacing w:val="-4"/>
          <w:lang w:val="es-CO"/>
        </w:rPr>
      </w:pPr>
      <w:r w:rsidRPr="002946B2">
        <w:rPr>
          <w:rFonts w:ascii="Arial" w:hAnsi="Arial" w:cs="Arial"/>
          <w:spacing w:val="-4"/>
          <w:lang w:val="es-CO"/>
        </w:rPr>
        <w:lastRenderedPageBreak/>
        <w:t xml:space="preserve">El artículo 29 superior, señala que </w:t>
      </w:r>
      <w:r w:rsidRPr="002946B2">
        <w:rPr>
          <w:rFonts w:ascii="Arial" w:hAnsi="Arial" w:cs="Arial"/>
          <w:i/>
          <w:iCs/>
          <w:spacing w:val="-4"/>
          <w:lang w:val="es-CO"/>
        </w:rPr>
        <w:t>"</w:t>
      </w:r>
      <w:r w:rsidRPr="002946B2">
        <w:rPr>
          <w:rFonts w:ascii="Arial" w:hAnsi="Arial" w:cs="Arial"/>
          <w:i/>
          <w:iCs/>
          <w:spacing w:val="-4"/>
          <w:sz w:val="22"/>
          <w:lang w:val="es-CO"/>
        </w:rPr>
        <w:t>el debido proceso se aplicará a toda clase de actuaciones judiciales y administrativas</w:t>
      </w:r>
      <w:r w:rsidRPr="002946B2">
        <w:rPr>
          <w:rFonts w:ascii="Arial" w:hAnsi="Arial" w:cs="Arial"/>
          <w:i/>
          <w:iCs/>
          <w:spacing w:val="-4"/>
          <w:lang w:val="es-CO"/>
        </w:rPr>
        <w:t xml:space="preserve">", </w:t>
      </w:r>
      <w:r w:rsidRPr="002946B2">
        <w:rPr>
          <w:rFonts w:ascii="Arial" w:hAnsi="Arial" w:cs="Arial"/>
          <w:spacing w:val="-4"/>
          <w:lang w:val="es-CO"/>
        </w:rPr>
        <w:t>lo cual indica que tanto las autoridades judiciales como las administrativas, deben actuar respetando y garantizando el ejercicio del derecho de defensa, dentro de los procedimientos diseñados por el legislador y observando los términos establecidos para adelantar las actuaciones.</w:t>
      </w:r>
    </w:p>
    <w:p w14:paraId="56D5BD4C" w14:textId="77777777" w:rsidR="00675C5B" w:rsidRPr="002946B2" w:rsidRDefault="00675C5B" w:rsidP="00734781">
      <w:pPr>
        <w:overflowPunct w:val="0"/>
        <w:autoSpaceDE w:val="0"/>
        <w:autoSpaceDN w:val="0"/>
        <w:adjustRightInd w:val="0"/>
        <w:spacing w:line="276" w:lineRule="auto"/>
        <w:ind w:right="618"/>
        <w:jc w:val="both"/>
        <w:textAlignment w:val="baseline"/>
        <w:rPr>
          <w:rFonts w:ascii="Arial" w:hAnsi="Arial" w:cs="Arial"/>
          <w:spacing w:val="-4"/>
        </w:rPr>
      </w:pPr>
    </w:p>
    <w:p w14:paraId="2FEEDA58" w14:textId="0692125E" w:rsidR="00EE3086" w:rsidRPr="002946B2" w:rsidRDefault="00842874" w:rsidP="00734781">
      <w:pPr>
        <w:overflowPunct w:val="0"/>
        <w:autoSpaceDE w:val="0"/>
        <w:autoSpaceDN w:val="0"/>
        <w:adjustRightInd w:val="0"/>
        <w:spacing w:line="276" w:lineRule="auto"/>
        <w:ind w:right="618"/>
        <w:jc w:val="both"/>
        <w:textAlignment w:val="baseline"/>
        <w:rPr>
          <w:rFonts w:ascii="Arial" w:hAnsi="Arial" w:cs="Arial"/>
          <w:b/>
          <w:spacing w:val="-4"/>
          <w:lang w:val="es-ES_tradnl"/>
        </w:rPr>
      </w:pPr>
      <w:r w:rsidRPr="002946B2">
        <w:rPr>
          <w:rFonts w:ascii="Arial" w:hAnsi="Arial" w:cs="Arial"/>
          <w:b/>
          <w:spacing w:val="-4"/>
        </w:rPr>
        <w:t xml:space="preserve">4.  </w:t>
      </w:r>
      <w:r w:rsidR="00EE3086" w:rsidRPr="002946B2">
        <w:rPr>
          <w:rFonts w:ascii="Arial" w:hAnsi="Arial" w:cs="Arial"/>
          <w:b/>
          <w:spacing w:val="-4"/>
        </w:rPr>
        <w:t>CASO CONCRETO</w:t>
      </w:r>
    </w:p>
    <w:p w14:paraId="3B7B4B86" w14:textId="77777777" w:rsidR="00EE3086" w:rsidRPr="002946B2" w:rsidRDefault="00EE3086" w:rsidP="00734781">
      <w:pPr>
        <w:overflowPunct w:val="0"/>
        <w:autoSpaceDE w:val="0"/>
        <w:autoSpaceDN w:val="0"/>
        <w:adjustRightInd w:val="0"/>
        <w:spacing w:line="276" w:lineRule="auto"/>
        <w:ind w:right="618"/>
        <w:jc w:val="both"/>
        <w:textAlignment w:val="baseline"/>
        <w:rPr>
          <w:rFonts w:ascii="Arial" w:hAnsi="Arial" w:cs="Arial"/>
          <w:b/>
          <w:spacing w:val="-4"/>
        </w:rPr>
      </w:pPr>
    </w:p>
    <w:p w14:paraId="6B718398" w14:textId="444604F2" w:rsidR="00D66EC2" w:rsidRPr="002946B2" w:rsidRDefault="00522210" w:rsidP="00734781">
      <w:pPr>
        <w:overflowPunct w:val="0"/>
        <w:autoSpaceDE w:val="0"/>
        <w:autoSpaceDN w:val="0"/>
        <w:adjustRightInd w:val="0"/>
        <w:spacing w:line="276" w:lineRule="auto"/>
        <w:ind w:right="51"/>
        <w:jc w:val="both"/>
        <w:textAlignment w:val="baseline"/>
        <w:rPr>
          <w:rFonts w:ascii="Arial" w:hAnsi="Arial" w:cs="Arial"/>
          <w:spacing w:val="-4"/>
        </w:rPr>
      </w:pPr>
      <w:r w:rsidRPr="002946B2">
        <w:rPr>
          <w:rFonts w:ascii="Arial" w:hAnsi="Arial" w:cs="Arial"/>
          <w:spacing w:val="-4"/>
        </w:rPr>
        <w:t xml:space="preserve">De acuerdo con el relato fáctico, el actor reprocha </w:t>
      </w:r>
      <w:r w:rsidR="00633327" w:rsidRPr="002946B2">
        <w:rPr>
          <w:rFonts w:ascii="Arial" w:hAnsi="Arial" w:cs="Arial"/>
          <w:spacing w:val="-4"/>
        </w:rPr>
        <w:t xml:space="preserve">la tardanza en el pago del bono pensional debido </w:t>
      </w:r>
      <w:r w:rsidR="005370DA" w:rsidRPr="002946B2">
        <w:rPr>
          <w:rFonts w:ascii="Arial" w:hAnsi="Arial" w:cs="Arial"/>
          <w:spacing w:val="-4"/>
        </w:rPr>
        <w:t>a que la Nación</w:t>
      </w:r>
      <w:r w:rsidR="00814960" w:rsidRPr="002946B2">
        <w:rPr>
          <w:rFonts w:ascii="Arial" w:hAnsi="Arial" w:cs="Arial"/>
          <w:spacing w:val="-4"/>
        </w:rPr>
        <w:t xml:space="preserve"> y e</w:t>
      </w:r>
      <w:r w:rsidR="005370DA" w:rsidRPr="002946B2">
        <w:rPr>
          <w:rFonts w:ascii="Arial" w:hAnsi="Arial" w:cs="Arial"/>
          <w:spacing w:val="-4"/>
        </w:rPr>
        <w:t xml:space="preserve">l Ministerio de Defensa </w:t>
      </w:r>
      <w:r w:rsidR="00814960" w:rsidRPr="002946B2">
        <w:rPr>
          <w:rFonts w:ascii="Arial" w:hAnsi="Arial" w:cs="Arial"/>
          <w:spacing w:val="-4"/>
        </w:rPr>
        <w:t>no han realizado el pago de</w:t>
      </w:r>
      <w:r w:rsidR="00A967B1" w:rsidRPr="002946B2">
        <w:rPr>
          <w:rFonts w:ascii="Arial" w:hAnsi="Arial" w:cs="Arial"/>
          <w:spacing w:val="-4"/>
        </w:rPr>
        <w:t xml:space="preserve"> </w:t>
      </w:r>
      <w:r w:rsidR="00814960" w:rsidRPr="002946B2">
        <w:rPr>
          <w:rFonts w:ascii="Arial" w:hAnsi="Arial" w:cs="Arial"/>
          <w:spacing w:val="-4"/>
        </w:rPr>
        <w:t>l</w:t>
      </w:r>
      <w:r w:rsidR="00A967B1" w:rsidRPr="002946B2">
        <w:rPr>
          <w:rFonts w:ascii="Arial" w:hAnsi="Arial" w:cs="Arial"/>
          <w:spacing w:val="-4"/>
        </w:rPr>
        <w:t>a</w:t>
      </w:r>
      <w:r w:rsidR="00814960" w:rsidRPr="002946B2">
        <w:rPr>
          <w:rFonts w:ascii="Arial" w:hAnsi="Arial" w:cs="Arial"/>
          <w:spacing w:val="-4"/>
        </w:rPr>
        <w:t xml:space="preserve"> cuota parte que les corresponde y</w:t>
      </w:r>
      <w:r w:rsidR="005370DA" w:rsidRPr="002946B2">
        <w:rPr>
          <w:rFonts w:ascii="Arial" w:hAnsi="Arial" w:cs="Arial"/>
          <w:spacing w:val="-4"/>
        </w:rPr>
        <w:t xml:space="preserve"> el </w:t>
      </w:r>
      <w:r w:rsidR="00191F85" w:rsidRPr="002946B2">
        <w:rPr>
          <w:rFonts w:ascii="Arial" w:hAnsi="Arial" w:cs="Arial"/>
          <w:spacing w:val="-4"/>
        </w:rPr>
        <w:t xml:space="preserve">departamento de </w:t>
      </w:r>
      <w:r w:rsidR="00814960" w:rsidRPr="002946B2">
        <w:rPr>
          <w:rFonts w:ascii="Arial" w:hAnsi="Arial" w:cs="Arial"/>
          <w:spacing w:val="-4"/>
        </w:rPr>
        <w:t>Boyacá no ha reconocido siquiera la obligación.</w:t>
      </w:r>
    </w:p>
    <w:p w14:paraId="5630AD66" w14:textId="77777777" w:rsidR="00D66EC2" w:rsidRPr="002946B2" w:rsidRDefault="00D66EC2" w:rsidP="00734781">
      <w:pPr>
        <w:overflowPunct w:val="0"/>
        <w:autoSpaceDE w:val="0"/>
        <w:autoSpaceDN w:val="0"/>
        <w:adjustRightInd w:val="0"/>
        <w:spacing w:line="276" w:lineRule="auto"/>
        <w:ind w:right="51"/>
        <w:jc w:val="both"/>
        <w:textAlignment w:val="baseline"/>
        <w:rPr>
          <w:rFonts w:ascii="Arial" w:hAnsi="Arial" w:cs="Arial"/>
          <w:spacing w:val="-4"/>
        </w:rPr>
      </w:pPr>
    </w:p>
    <w:p w14:paraId="0B96AFEF" w14:textId="4E9568CD" w:rsidR="008E018F" w:rsidRPr="002946B2" w:rsidRDefault="00814960" w:rsidP="00734781">
      <w:pPr>
        <w:overflowPunct w:val="0"/>
        <w:autoSpaceDE w:val="0"/>
        <w:autoSpaceDN w:val="0"/>
        <w:adjustRightInd w:val="0"/>
        <w:spacing w:line="276" w:lineRule="auto"/>
        <w:ind w:right="51"/>
        <w:jc w:val="both"/>
        <w:textAlignment w:val="baseline"/>
        <w:rPr>
          <w:rFonts w:ascii="Arial" w:hAnsi="Arial" w:cs="Arial"/>
          <w:spacing w:val="-4"/>
        </w:rPr>
      </w:pPr>
      <w:r w:rsidRPr="002946B2">
        <w:rPr>
          <w:rFonts w:ascii="Arial" w:hAnsi="Arial" w:cs="Arial"/>
          <w:spacing w:val="-4"/>
        </w:rPr>
        <w:t>Sea lo primero advertir que equivocada resulta ser la decisión de primera instancia cuando indica que</w:t>
      </w:r>
      <w:r w:rsidR="00EE71F8" w:rsidRPr="002946B2">
        <w:rPr>
          <w:rFonts w:ascii="Arial" w:hAnsi="Arial" w:cs="Arial"/>
          <w:spacing w:val="-4"/>
        </w:rPr>
        <w:t xml:space="preserve"> </w:t>
      </w:r>
      <w:r w:rsidR="00142165" w:rsidRPr="002946B2">
        <w:rPr>
          <w:rFonts w:ascii="Arial" w:hAnsi="Arial" w:cs="Arial"/>
          <w:spacing w:val="-4"/>
        </w:rPr>
        <w:t xml:space="preserve">la solicitud de iniciación del reconocimiento, liquidación y cobro del bono pensional fue </w:t>
      </w:r>
      <w:r w:rsidR="00A967B1" w:rsidRPr="002946B2">
        <w:rPr>
          <w:rFonts w:ascii="Arial" w:hAnsi="Arial" w:cs="Arial"/>
          <w:spacing w:val="-4"/>
        </w:rPr>
        <w:t xml:space="preserve">presentada </w:t>
      </w:r>
      <w:r w:rsidR="00142165" w:rsidRPr="002946B2">
        <w:rPr>
          <w:rFonts w:ascii="Arial" w:hAnsi="Arial" w:cs="Arial"/>
          <w:spacing w:val="-4"/>
        </w:rPr>
        <w:t>el 9 de agosto de 2022, cuando en realidad</w:t>
      </w:r>
      <w:r w:rsidR="000579FC" w:rsidRPr="002946B2">
        <w:rPr>
          <w:rFonts w:ascii="Arial" w:hAnsi="Arial" w:cs="Arial"/>
          <w:spacing w:val="-4"/>
        </w:rPr>
        <w:t>,</w:t>
      </w:r>
      <w:r w:rsidR="00142165" w:rsidRPr="002946B2">
        <w:rPr>
          <w:rFonts w:ascii="Arial" w:hAnsi="Arial" w:cs="Arial"/>
          <w:spacing w:val="-4"/>
        </w:rPr>
        <w:t xml:space="preserve"> de la prueba documental que obra de la hoja 1 a la 5 del numeral 03 del cuaderno </w:t>
      </w:r>
      <w:r w:rsidR="000579FC" w:rsidRPr="002946B2">
        <w:rPr>
          <w:rFonts w:ascii="Arial" w:hAnsi="Arial" w:cs="Arial"/>
          <w:spacing w:val="-4"/>
        </w:rPr>
        <w:t xml:space="preserve">digital de primera instancia, se extrae que el actor autorizó la emisión y/o expedición de su bono pensional el día </w:t>
      </w:r>
      <w:r w:rsidR="000579FC" w:rsidRPr="002946B2">
        <w:rPr>
          <w:rFonts w:ascii="Arial" w:hAnsi="Arial" w:cs="Arial"/>
          <w:b/>
          <w:bCs/>
          <w:spacing w:val="-4"/>
        </w:rPr>
        <w:t>9 de agosto de 2021</w:t>
      </w:r>
      <w:r w:rsidR="000579FC" w:rsidRPr="002946B2">
        <w:rPr>
          <w:rFonts w:ascii="Arial" w:hAnsi="Arial" w:cs="Arial"/>
          <w:spacing w:val="-4"/>
        </w:rPr>
        <w:t xml:space="preserve">, de allí que no pueda decirse </w:t>
      </w:r>
      <w:r w:rsidR="277D48A1" w:rsidRPr="002946B2">
        <w:rPr>
          <w:rFonts w:ascii="Arial" w:hAnsi="Arial" w:cs="Arial"/>
          <w:spacing w:val="-4"/>
        </w:rPr>
        <w:t xml:space="preserve">que </w:t>
      </w:r>
      <w:r w:rsidR="000579FC" w:rsidRPr="002946B2">
        <w:rPr>
          <w:rFonts w:ascii="Arial" w:hAnsi="Arial" w:cs="Arial"/>
          <w:spacing w:val="-4"/>
        </w:rPr>
        <w:t xml:space="preserve">la solicitud de amparo sea improcedente porque las entidades se encuentran en término para definir lo que corresponde, pues como viene de verse ha transcurrido </w:t>
      </w:r>
      <w:r w:rsidR="0054268C" w:rsidRPr="002946B2">
        <w:rPr>
          <w:rFonts w:ascii="Arial" w:hAnsi="Arial" w:cs="Arial"/>
          <w:spacing w:val="-4"/>
        </w:rPr>
        <w:t>más de un año y el trámite se encuentra sin ningún avance</w:t>
      </w:r>
      <w:r w:rsidR="008E018F" w:rsidRPr="002946B2">
        <w:rPr>
          <w:rFonts w:ascii="Arial" w:hAnsi="Arial" w:cs="Arial"/>
          <w:spacing w:val="-4"/>
        </w:rPr>
        <w:t>.</w:t>
      </w:r>
    </w:p>
    <w:p w14:paraId="2087F2B8" w14:textId="77777777" w:rsidR="00A967B1" w:rsidRPr="002946B2" w:rsidRDefault="00A967B1" w:rsidP="00734781">
      <w:pPr>
        <w:overflowPunct w:val="0"/>
        <w:autoSpaceDE w:val="0"/>
        <w:autoSpaceDN w:val="0"/>
        <w:adjustRightInd w:val="0"/>
        <w:spacing w:line="276" w:lineRule="auto"/>
        <w:ind w:right="51"/>
        <w:jc w:val="both"/>
        <w:textAlignment w:val="baseline"/>
        <w:rPr>
          <w:rFonts w:ascii="Arial" w:hAnsi="Arial" w:cs="Arial"/>
          <w:spacing w:val="-4"/>
        </w:rPr>
      </w:pPr>
    </w:p>
    <w:p w14:paraId="63AE8B4D" w14:textId="77777777" w:rsidR="00A967B1" w:rsidRPr="002946B2" w:rsidRDefault="00A967B1" w:rsidP="00734781">
      <w:pPr>
        <w:overflowPunct w:val="0"/>
        <w:autoSpaceDE w:val="0"/>
        <w:autoSpaceDN w:val="0"/>
        <w:adjustRightInd w:val="0"/>
        <w:spacing w:line="276" w:lineRule="auto"/>
        <w:ind w:right="51"/>
        <w:jc w:val="both"/>
        <w:textAlignment w:val="baseline"/>
        <w:rPr>
          <w:rFonts w:ascii="Arial" w:hAnsi="Arial" w:cs="Arial"/>
          <w:spacing w:val="-4"/>
        </w:rPr>
      </w:pPr>
      <w:r w:rsidRPr="002946B2">
        <w:rPr>
          <w:rFonts w:ascii="Arial" w:hAnsi="Arial" w:cs="Arial"/>
          <w:spacing w:val="-4"/>
        </w:rPr>
        <w:t>En efecto, r</w:t>
      </w:r>
      <w:r w:rsidR="00D83A5D" w:rsidRPr="002946B2">
        <w:rPr>
          <w:rFonts w:ascii="Arial" w:hAnsi="Arial" w:cs="Arial"/>
          <w:spacing w:val="-4"/>
        </w:rPr>
        <w:t>evisad</w:t>
      </w:r>
      <w:r w:rsidRPr="002946B2">
        <w:rPr>
          <w:rFonts w:ascii="Arial" w:hAnsi="Arial" w:cs="Arial"/>
          <w:spacing w:val="-4"/>
        </w:rPr>
        <w:t>a</w:t>
      </w:r>
      <w:r w:rsidR="00D83A5D" w:rsidRPr="002946B2">
        <w:rPr>
          <w:rFonts w:ascii="Arial" w:hAnsi="Arial" w:cs="Arial"/>
          <w:spacing w:val="-4"/>
        </w:rPr>
        <w:t xml:space="preserve"> la contestación del departamento de Boyacá, se tiene que esté afirma que desde el 11 de enero de 2022 comunicó a Porvenir S.A. a través del Coordinador de Bonos Pensionales y Aportes de Prima Media su objeción en torno al cálculo de la liquidación de la cuota parte del bono pensional del señor Albeiro de Jesús Pino González, por “</w:t>
      </w:r>
      <w:r w:rsidR="00D83A5D" w:rsidRPr="002946B2">
        <w:rPr>
          <w:rFonts w:ascii="Arial" w:hAnsi="Arial" w:cs="Arial"/>
          <w:b/>
          <w:i/>
          <w:spacing w:val="-4"/>
          <w:sz w:val="22"/>
        </w:rPr>
        <w:t>FALTA DE FECHA CAUSAL DE REDENCIÓN -FECHA DEL SINIESTRO- BONO PENSIONAL</w:t>
      </w:r>
      <w:r w:rsidR="00D83A5D" w:rsidRPr="002946B2">
        <w:rPr>
          <w:rFonts w:ascii="Arial" w:hAnsi="Arial" w:cs="Arial"/>
          <w:b/>
          <w:i/>
          <w:spacing w:val="-4"/>
        </w:rPr>
        <w:t>”</w:t>
      </w:r>
      <w:r w:rsidRPr="002946B2">
        <w:rPr>
          <w:rFonts w:ascii="Arial" w:hAnsi="Arial" w:cs="Arial"/>
          <w:b/>
          <w:i/>
          <w:spacing w:val="-4"/>
        </w:rPr>
        <w:t xml:space="preserve">. </w:t>
      </w:r>
      <w:r w:rsidR="00C56807" w:rsidRPr="002946B2">
        <w:rPr>
          <w:rFonts w:ascii="Arial" w:hAnsi="Arial" w:cs="Arial"/>
          <w:b/>
          <w:i/>
          <w:spacing w:val="-4"/>
        </w:rPr>
        <w:t xml:space="preserve"> </w:t>
      </w:r>
    </w:p>
    <w:p w14:paraId="69949E03" w14:textId="77777777" w:rsidR="00A967B1" w:rsidRPr="002946B2" w:rsidRDefault="00A967B1" w:rsidP="00734781">
      <w:pPr>
        <w:overflowPunct w:val="0"/>
        <w:autoSpaceDE w:val="0"/>
        <w:autoSpaceDN w:val="0"/>
        <w:adjustRightInd w:val="0"/>
        <w:spacing w:line="276" w:lineRule="auto"/>
        <w:ind w:right="51"/>
        <w:jc w:val="both"/>
        <w:textAlignment w:val="baseline"/>
        <w:rPr>
          <w:rFonts w:ascii="Arial" w:hAnsi="Arial" w:cs="Arial"/>
          <w:spacing w:val="-4"/>
        </w:rPr>
      </w:pPr>
    </w:p>
    <w:p w14:paraId="7010DCEC" w14:textId="63B23306" w:rsidR="008138CA" w:rsidRPr="002946B2" w:rsidRDefault="00A967B1" w:rsidP="00734781">
      <w:pPr>
        <w:overflowPunct w:val="0"/>
        <w:autoSpaceDE w:val="0"/>
        <w:autoSpaceDN w:val="0"/>
        <w:adjustRightInd w:val="0"/>
        <w:spacing w:line="276" w:lineRule="auto"/>
        <w:ind w:right="51"/>
        <w:jc w:val="both"/>
        <w:textAlignment w:val="baseline"/>
        <w:rPr>
          <w:rFonts w:ascii="Arial" w:hAnsi="Arial" w:cs="Arial"/>
          <w:spacing w:val="-4"/>
        </w:rPr>
      </w:pPr>
      <w:r w:rsidRPr="002946B2">
        <w:rPr>
          <w:rFonts w:ascii="Arial" w:hAnsi="Arial" w:cs="Arial"/>
          <w:spacing w:val="-4"/>
        </w:rPr>
        <w:t xml:space="preserve">Ahora, si </w:t>
      </w:r>
      <w:r w:rsidR="00C56807" w:rsidRPr="002946B2">
        <w:rPr>
          <w:rFonts w:ascii="Arial" w:hAnsi="Arial" w:cs="Arial"/>
          <w:spacing w:val="-4"/>
        </w:rPr>
        <w:t xml:space="preserve"> bien no existe prueba de que tal documento fue efectivamente remitido a su destinatario, </w:t>
      </w:r>
      <w:r w:rsidRPr="002946B2">
        <w:rPr>
          <w:rFonts w:ascii="Arial" w:hAnsi="Arial" w:cs="Arial"/>
          <w:spacing w:val="-4"/>
        </w:rPr>
        <w:t xml:space="preserve">la misma entidad -Porvenir S.A.- al momento de dar respuesta a la acción da cuenta del estado </w:t>
      </w:r>
      <w:r w:rsidR="00C56807" w:rsidRPr="002946B2">
        <w:rPr>
          <w:rFonts w:ascii="Arial" w:hAnsi="Arial" w:cs="Arial"/>
          <w:spacing w:val="-4"/>
        </w:rPr>
        <w:t>del proceso y del “</w:t>
      </w:r>
      <w:r w:rsidR="00C56807" w:rsidRPr="002946B2">
        <w:rPr>
          <w:rFonts w:ascii="Arial" w:hAnsi="Arial" w:cs="Arial"/>
          <w:i/>
          <w:spacing w:val="-4"/>
        </w:rPr>
        <w:t>TRASLAPO</w:t>
      </w:r>
      <w:r w:rsidR="00C56807" w:rsidRPr="002946B2">
        <w:rPr>
          <w:rFonts w:ascii="Arial" w:hAnsi="Arial" w:cs="Arial"/>
          <w:spacing w:val="-4"/>
        </w:rPr>
        <w:t>” que se registra en el sistema interactivo de la oficina de bonos pensionales del Ministerio de Hacienda y Crédito Público, donde se encuentran involucradas dos dependencia</w:t>
      </w:r>
      <w:r w:rsidRPr="002946B2">
        <w:rPr>
          <w:rFonts w:ascii="Arial" w:hAnsi="Arial" w:cs="Arial"/>
          <w:spacing w:val="-4"/>
        </w:rPr>
        <w:t>s</w:t>
      </w:r>
      <w:r w:rsidR="00C56807" w:rsidRPr="002946B2">
        <w:rPr>
          <w:rFonts w:ascii="Arial" w:hAnsi="Arial" w:cs="Arial"/>
          <w:spacing w:val="-4"/>
        </w:rPr>
        <w:t xml:space="preserve"> del departamento de Boyacá, como son la Secretaría de Educación y el Fondo Educativo Departamental, quienes certifican que el actor laboró para esas entidades entre el 1 de junio de 1993 y el </w:t>
      </w:r>
      <w:r w:rsidR="008138CA" w:rsidRPr="002946B2">
        <w:rPr>
          <w:rFonts w:ascii="Arial" w:hAnsi="Arial" w:cs="Arial"/>
          <w:spacing w:val="-4"/>
        </w:rPr>
        <w:t>30 de septiembre de 1995, para la última entidad el extremo final es 1 de octubre de 1995, por lo que se registran simultaneidad en la información.</w:t>
      </w:r>
    </w:p>
    <w:p w14:paraId="3B22A5FD" w14:textId="77777777" w:rsidR="008138CA" w:rsidRPr="002946B2" w:rsidRDefault="008138CA" w:rsidP="00734781">
      <w:pPr>
        <w:overflowPunct w:val="0"/>
        <w:autoSpaceDE w:val="0"/>
        <w:autoSpaceDN w:val="0"/>
        <w:adjustRightInd w:val="0"/>
        <w:spacing w:line="276" w:lineRule="auto"/>
        <w:ind w:right="51"/>
        <w:jc w:val="both"/>
        <w:textAlignment w:val="baseline"/>
        <w:rPr>
          <w:rFonts w:ascii="Arial" w:hAnsi="Arial" w:cs="Arial"/>
          <w:spacing w:val="-4"/>
        </w:rPr>
      </w:pPr>
    </w:p>
    <w:p w14:paraId="46A6F697" w14:textId="25A73255" w:rsidR="00D83A5D" w:rsidRPr="002946B2" w:rsidRDefault="008138CA" w:rsidP="00734781">
      <w:pPr>
        <w:overflowPunct w:val="0"/>
        <w:autoSpaceDE w:val="0"/>
        <w:autoSpaceDN w:val="0"/>
        <w:adjustRightInd w:val="0"/>
        <w:spacing w:line="276" w:lineRule="auto"/>
        <w:ind w:right="51"/>
        <w:jc w:val="both"/>
        <w:textAlignment w:val="baseline"/>
        <w:rPr>
          <w:rFonts w:ascii="Arial" w:hAnsi="Arial" w:cs="Arial"/>
          <w:i/>
          <w:spacing w:val="-4"/>
        </w:rPr>
      </w:pPr>
      <w:r w:rsidRPr="002946B2">
        <w:rPr>
          <w:rFonts w:ascii="Arial" w:hAnsi="Arial" w:cs="Arial"/>
          <w:spacing w:val="-4"/>
        </w:rPr>
        <w:t>Ahora, contrario a lo afirmado por el Fondo, la solución a esta situación se encuentra a su cargo, pues el trámite, según esta inconsistencia se ha retrotraído a la etapa de conformación de la historia laboral, debiendo el fondo dirigirse al citado ente territorial para que, a través de las dependencias citadas, se corrija o confirme la información cargada al sistema y si es del caso, atender el requerimiento que frente a la fecha de redención del bono, afirma el mismo departamento le realizó desde inicios del año 2022, para así proceder a solicitar una nueva liquidación con los tiempos correctos.</w:t>
      </w:r>
    </w:p>
    <w:p w14:paraId="004C6851" w14:textId="77777777" w:rsidR="00D83A5D" w:rsidRPr="002946B2" w:rsidRDefault="00D83A5D" w:rsidP="00734781">
      <w:pPr>
        <w:overflowPunct w:val="0"/>
        <w:autoSpaceDE w:val="0"/>
        <w:autoSpaceDN w:val="0"/>
        <w:adjustRightInd w:val="0"/>
        <w:spacing w:line="276" w:lineRule="auto"/>
        <w:ind w:right="51"/>
        <w:jc w:val="both"/>
        <w:textAlignment w:val="baseline"/>
        <w:rPr>
          <w:rFonts w:ascii="Arial" w:hAnsi="Arial" w:cs="Arial"/>
          <w:spacing w:val="-4"/>
        </w:rPr>
      </w:pPr>
    </w:p>
    <w:p w14:paraId="2DBF0D7D" w14:textId="565A31B9" w:rsidR="00F95D4C" w:rsidRPr="002946B2" w:rsidRDefault="00590811" w:rsidP="00734781">
      <w:pPr>
        <w:overflowPunct w:val="0"/>
        <w:autoSpaceDE w:val="0"/>
        <w:autoSpaceDN w:val="0"/>
        <w:adjustRightInd w:val="0"/>
        <w:spacing w:line="276" w:lineRule="auto"/>
        <w:ind w:right="51"/>
        <w:jc w:val="both"/>
        <w:textAlignment w:val="baseline"/>
        <w:rPr>
          <w:rFonts w:ascii="Arial" w:hAnsi="Arial" w:cs="Arial"/>
          <w:spacing w:val="-4"/>
          <w:lang w:val="es-ES_tradnl"/>
        </w:rPr>
      </w:pPr>
      <w:r w:rsidRPr="002946B2">
        <w:rPr>
          <w:rFonts w:ascii="Arial" w:hAnsi="Arial" w:cs="Arial"/>
          <w:spacing w:val="-4"/>
          <w:lang w:val="es-ES_tradnl"/>
        </w:rPr>
        <w:t xml:space="preserve">Conforme con lo expuesto, </w:t>
      </w:r>
      <w:bookmarkStart w:id="2" w:name="_Hlk128641012"/>
      <w:r w:rsidRPr="002946B2">
        <w:rPr>
          <w:rFonts w:ascii="Arial" w:hAnsi="Arial" w:cs="Arial"/>
          <w:spacing w:val="-4"/>
          <w:lang w:val="es-ES_tradnl"/>
        </w:rPr>
        <w:t>es evidente la vulneración al derecho fundamental al debido proceso del cual</w:t>
      </w:r>
      <w:r w:rsidR="00AC2810" w:rsidRPr="002946B2">
        <w:rPr>
          <w:rFonts w:ascii="Arial" w:hAnsi="Arial" w:cs="Arial"/>
          <w:spacing w:val="-4"/>
          <w:lang w:val="es-ES_tradnl"/>
        </w:rPr>
        <w:t xml:space="preserve"> es titular el señor Albeiro de Jesús Pino González, en tanto Porvenir S.A., sin ninguna justificación, se ha sustraído de su obligación legal de conformar correctamente </w:t>
      </w:r>
      <w:r w:rsidR="00AC2810" w:rsidRPr="002946B2">
        <w:rPr>
          <w:rFonts w:ascii="Arial" w:hAnsi="Arial" w:cs="Arial"/>
          <w:spacing w:val="-4"/>
          <w:lang w:val="es-ES_tradnl"/>
        </w:rPr>
        <w:lastRenderedPageBreak/>
        <w:t>la historia laboral para continuar con el trámite de liquidación, emisión, expedición, redención y pago del bono pensional del actor</w:t>
      </w:r>
      <w:bookmarkEnd w:id="2"/>
      <w:r w:rsidR="00AC2810" w:rsidRPr="002946B2">
        <w:rPr>
          <w:rFonts w:ascii="Arial" w:hAnsi="Arial" w:cs="Arial"/>
          <w:spacing w:val="-4"/>
          <w:lang w:val="es-ES_tradnl"/>
        </w:rPr>
        <w:t>.</w:t>
      </w:r>
    </w:p>
    <w:p w14:paraId="5D325F4C" w14:textId="77777777" w:rsidR="002C7F92" w:rsidRPr="002946B2" w:rsidRDefault="002C7F92" w:rsidP="00734781">
      <w:pPr>
        <w:overflowPunct w:val="0"/>
        <w:autoSpaceDE w:val="0"/>
        <w:autoSpaceDN w:val="0"/>
        <w:adjustRightInd w:val="0"/>
        <w:spacing w:line="276" w:lineRule="auto"/>
        <w:ind w:right="51"/>
        <w:jc w:val="both"/>
        <w:textAlignment w:val="baseline"/>
        <w:rPr>
          <w:rFonts w:ascii="Arial" w:hAnsi="Arial" w:cs="Arial"/>
          <w:spacing w:val="-4"/>
          <w:lang w:val="es-ES_tradnl"/>
        </w:rPr>
      </w:pPr>
    </w:p>
    <w:p w14:paraId="7C0CB386" w14:textId="29CDCB9F" w:rsidR="00AC2810" w:rsidRPr="002946B2" w:rsidRDefault="00AC2810" w:rsidP="00734781">
      <w:pPr>
        <w:overflowPunct w:val="0"/>
        <w:autoSpaceDE w:val="0"/>
        <w:autoSpaceDN w:val="0"/>
        <w:adjustRightInd w:val="0"/>
        <w:spacing w:line="276" w:lineRule="auto"/>
        <w:ind w:right="51"/>
        <w:jc w:val="both"/>
        <w:textAlignment w:val="baseline"/>
        <w:rPr>
          <w:rFonts w:ascii="Arial" w:hAnsi="Arial" w:cs="Arial"/>
          <w:spacing w:val="-4"/>
          <w:lang w:val="es-ES_tradnl"/>
        </w:rPr>
      </w:pPr>
      <w:r w:rsidRPr="002946B2">
        <w:rPr>
          <w:rFonts w:ascii="Arial" w:hAnsi="Arial" w:cs="Arial"/>
          <w:spacing w:val="-4"/>
          <w:lang w:val="es-ES_tradnl"/>
        </w:rPr>
        <w:t xml:space="preserve">En consecuencia con lo expuesto, se </w:t>
      </w:r>
      <w:r w:rsidR="006D7BC2" w:rsidRPr="002946B2">
        <w:rPr>
          <w:rFonts w:ascii="Arial" w:hAnsi="Arial" w:cs="Arial"/>
          <w:spacing w:val="-4"/>
          <w:lang w:val="es-ES_tradnl"/>
        </w:rPr>
        <w:t xml:space="preserve">revocará la decisión de primer grado para amparar dicha </w:t>
      </w:r>
      <w:r w:rsidRPr="002946B2">
        <w:rPr>
          <w:rFonts w:ascii="Arial" w:hAnsi="Arial" w:cs="Arial"/>
          <w:spacing w:val="-4"/>
          <w:lang w:val="es-ES_tradnl"/>
        </w:rPr>
        <w:t xml:space="preserve">garantía constitucional y </w:t>
      </w:r>
      <w:r w:rsidR="006D7BC2" w:rsidRPr="002946B2">
        <w:rPr>
          <w:rFonts w:ascii="Arial" w:hAnsi="Arial" w:cs="Arial"/>
          <w:spacing w:val="-4"/>
          <w:lang w:val="es-ES_tradnl"/>
        </w:rPr>
        <w:t xml:space="preserve">en consecuencia, </w:t>
      </w:r>
      <w:r w:rsidRPr="002946B2">
        <w:rPr>
          <w:rFonts w:ascii="Arial" w:hAnsi="Arial" w:cs="Arial"/>
          <w:spacing w:val="-4"/>
          <w:lang w:val="es-ES_tradnl"/>
        </w:rPr>
        <w:t>ordena</w:t>
      </w:r>
      <w:r w:rsidR="006D7BC2" w:rsidRPr="002946B2">
        <w:rPr>
          <w:rFonts w:ascii="Arial" w:hAnsi="Arial" w:cs="Arial"/>
          <w:spacing w:val="-4"/>
          <w:lang w:val="es-ES_tradnl"/>
        </w:rPr>
        <w:t>r</w:t>
      </w:r>
      <w:r w:rsidRPr="002946B2">
        <w:rPr>
          <w:rFonts w:ascii="Arial" w:hAnsi="Arial" w:cs="Arial"/>
          <w:spacing w:val="-4"/>
          <w:lang w:val="es-ES_tradnl"/>
        </w:rPr>
        <w:t xml:space="preserve"> </w:t>
      </w:r>
      <w:r w:rsidR="006D7BC2" w:rsidRPr="002946B2">
        <w:rPr>
          <w:rFonts w:ascii="Arial" w:hAnsi="Arial" w:cs="Arial"/>
          <w:spacing w:val="-4"/>
          <w:lang w:val="es-ES_tradnl"/>
        </w:rPr>
        <w:t>al Coordinador de Bonos Pensionales y Aportes de Prima Media Gerencia de Beneficios Pensionales de Porvenir S.A., doctor Darío Barbosa Vélez que, en el término improrrogable de diez (10) días</w:t>
      </w:r>
      <w:r w:rsidR="008E198D" w:rsidRPr="002946B2">
        <w:rPr>
          <w:rFonts w:ascii="Arial" w:hAnsi="Arial" w:cs="Arial"/>
          <w:spacing w:val="-4"/>
          <w:lang w:val="es-ES_tradnl"/>
        </w:rPr>
        <w:t>,</w:t>
      </w:r>
      <w:r w:rsidR="006D7BC2" w:rsidRPr="002946B2">
        <w:rPr>
          <w:rFonts w:ascii="Arial" w:hAnsi="Arial" w:cs="Arial"/>
          <w:spacing w:val="-4"/>
          <w:lang w:val="es-ES_tradnl"/>
        </w:rPr>
        <w:t xml:space="preserve"> proceda a adelantar las gestiones necesarias ante el Departamento de Boyacá para solucionar la novedad de “TRASLAPO”, que reporta el sistema interactivo de bonos pensionales del Ministerio de Hacienda y Crédito Público, en el caso del señor Pino González.</w:t>
      </w:r>
    </w:p>
    <w:p w14:paraId="3CE1AC14" w14:textId="77777777" w:rsidR="006D7BC2" w:rsidRPr="002946B2" w:rsidRDefault="006D7BC2" w:rsidP="00734781">
      <w:pPr>
        <w:pStyle w:val="Textoindependiente"/>
        <w:spacing w:line="276" w:lineRule="auto"/>
        <w:rPr>
          <w:rFonts w:cs="Arial"/>
          <w:color w:val="000000"/>
          <w:spacing w:val="-4"/>
          <w:sz w:val="24"/>
          <w:szCs w:val="24"/>
        </w:rPr>
      </w:pPr>
    </w:p>
    <w:p w14:paraId="347061A2" w14:textId="69A441FB" w:rsidR="005C3EDC" w:rsidRPr="002946B2" w:rsidRDefault="006D7BC2" w:rsidP="00734781">
      <w:pPr>
        <w:pStyle w:val="Textoindependiente"/>
        <w:spacing w:line="276" w:lineRule="auto"/>
        <w:rPr>
          <w:rFonts w:cs="Arial"/>
          <w:color w:val="000000"/>
          <w:spacing w:val="-4"/>
          <w:sz w:val="24"/>
          <w:szCs w:val="24"/>
        </w:rPr>
      </w:pPr>
      <w:r w:rsidRPr="002946B2">
        <w:rPr>
          <w:rFonts w:cs="Arial"/>
          <w:color w:val="000000"/>
          <w:spacing w:val="-4"/>
          <w:sz w:val="24"/>
          <w:szCs w:val="24"/>
        </w:rPr>
        <w:t xml:space="preserve">En virtud </w:t>
      </w:r>
      <w:r w:rsidR="005C3EDC" w:rsidRPr="002946B2">
        <w:rPr>
          <w:rFonts w:cs="Arial"/>
          <w:color w:val="000000"/>
          <w:spacing w:val="-4"/>
          <w:sz w:val="24"/>
          <w:szCs w:val="24"/>
        </w:rPr>
        <w:t xml:space="preserve">de lo dicho, la </w:t>
      </w:r>
      <w:r w:rsidR="005C3EDC" w:rsidRPr="002946B2">
        <w:rPr>
          <w:rFonts w:cs="Arial"/>
          <w:b/>
          <w:color w:val="000000"/>
          <w:spacing w:val="-4"/>
          <w:sz w:val="24"/>
          <w:szCs w:val="24"/>
        </w:rPr>
        <w:t>Sala de Decisión del Tribunal Superior del Distrito Judicial de Pereira</w:t>
      </w:r>
      <w:r w:rsidR="005C3EDC" w:rsidRPr="002946B2">
        <w:rPr>
          <w:rFonts w:cs="Arial"/>
          <w:color w:val="000000"/>
          <w:spacing w:val="-4"/>
          <w:sz w:val="24"/>
          <w:szCs w:val="24"/>
        </w:rPr>
        <w:t xml:space="preserve">, administrando justicia en nombre del Pueblo y por mandato de la Constitución, </w:t>
      </w:r>
    </w:p>
    <w:p w14:paraId="6B62F1B3" w14:textId="77777777" w:rsidR="005C3EDC" w:rsidRPr="002946B2" w:rsidRDefault="005C3EDC" w:rsidP="00734781">
      <w:pPr>
        <w:pStyle w:val="Ttulo2"/>
        <w:spacing w:line="276" w:lineRule="auto"/>
        <w:rPr>
          <w:rFonts w:cs="Arial"/>
          <w:color w:val="000000"/>
          <w:spacing w:val="-4"/>
          <w:szCs w:val="24"/>
        </w:rPr>
      </w:pPr>
    </w:p>
    <w:p w14:paraId="23A75B80" w14:textId="77777777" w:rsidR="005C3EDC" w:rsidRPr="002946B2" w:rsidRDefault="005C3EDC" w:rsidP="00734781">
      <w:pPr>
        <w:pStyle w:val="Textoindependiente"/>
        <w:spacing w:line="276" w:lineRule="auto"/>
        <w:jc w:val="center"/>
        <w:rPr>
          <w:rFonts w:cs="Arial"/>
          <w:b/>
          <w:color w:val="000000"/>
          <w:spacing w:val="-4"/>
          <w:sz w:val="24"/>
          <w:szCs w:val="24"/>
        </w:rPr>
      </w:pPr>
      <w:r w:rsidRPr="002946B2">
        <w:rPr>
          <w:rFonts w:cs="Arial"/>
          <w:b/>
          <w:color w:val="000000"/>
          <w:spacing w:val="-4"/>
          <w:sz w:val="24"/>
          <w:szCs w:val="24"/>
        </w:rPr>
        <w:t>RESUELVE:</w:t>
      </w:r>
    </w:p>
    <w:p w14:paraId="02F2C34E" w14:textId="77777777" w:rsidR="005C3EDC" w:rsidRPr="002946B2" w:rsidRDefault="005C3EDC" w:rsidP="00734781">
      <w:pPr>
        <w:pStyle w:val="Textoindependiente"/>
        <w:spacing w:line="276" w:lineRule="auto"/>
        <w:rPr>
          <w:rFonts w:cs="Arial"/>
          <w:b/>
          <w:color w:val="000000"/>
          <w:spacing w:val="-4"/>
          <w:sz w:val="24"/>
          <w:szCs w:val="24"/>
        </w:rPr>
      </w:pPr>
    </w:p>
    <w:p w14:paraId="74016EBF" w14:textId="24A449AF" w:rsidR="004C1CF4" w:rsidRPr="002946B2" w:rsidRDefault="005C3EDC" w:rsidP="00734781">
      <w:pPr>
        <w:pStyle w:val="Textoindependiente"/>
        <w:spacing w:line="276" w:lineRule="auto"/>
        <w:ind w:right="51"/>
        <w:rPr>
          <w:rFonts w:cs="Arial"/>
          <w:iCs/>
          <w:color w:val="000000"/>
          <w:spacing w:val="-4"/>
          <w:sz w:val="24"/>
          <w:szCs w:val="24"/>
        </w:rPr>
      </w:pPr>
      <w:r w:rsidRPr="002946B2">
        <w:rPr>
          <w:rFonts w:cs="Arial"/>
          <w:b/>
          <w:iCs/>
          <w:color w:val="000000"/>
          <w:spacing w:val="-4"/>
          <w:sz w:val="24"/>
          <w:szCs w:val="24"/>
        </w:rPr>
        <w:t>PRIMERO</w:t>
      </w:r>
      <w:r w:rsidRPr="002946B2">
        <w:rPr>
          <w:rFonts w:cs="Arial"/>
          <w:b/>
          <w:i/>
          <w:color w:val="000000"/>
          <w:spacing w:val="-4"/>
          <w:sz w:val="24"/>
          <w:szCs w:val="24"/>
        </w:rPr>
        <w:t xml:space="preserve">: </w:t>
      </w:r>
      <w:r w:rsidR="004C1CF4" w:rsidRPr="002946B2">
        <w:rPr>
          <w:rFonts w:cs="Arial"/>
          <w:b/>
          <w:bCs/>
          <w:iCs/>
          <w:color w:val="000000"/>
          <w:spacing w:val="-4"/>
          <w:sz w:val="24"/>
          <w:szCs w:val="24"/>
        </w:rPr>
        <w:t>REVOCAR</w:t>
      </w:r>
      <w:r w:rsidR="00500932" w:rsidRPr="002946B2">
        <w:rPr>
          <w:rFonts w:cs="Arial"/>
          <w:b/>
          <w:bCs/>
          <w:iCs/>
          <w:color w:val="000000"/>
          <w:spacing w:val="-4"/>
          <w:sz w:val="24"/>
          <w:szCs w:val="24"/>
        </w:rPr>
        <w:t xml:space="preserve"> </w:t>
      </w:r>
      <w:r w:rsidR="006D7BC2" w:rsidRPr="002946B2">
        <w:rPr>
          <w:rFonts w:cs="Arial"/>
          <w:bCs/>
          <w:iCs/>
          <w:color w:val="000000"/>
          <w:spacing w:val="-4"/>
          <w:sz w:val="24"/>
          <w:szCs w:val="24"/>
        </w:rPr>
        <w:t xml:space="preserve">la sentencia proferida por el </w:t>
      </w:r>
      <w:r w:rsidRPr="002946B2">
        <w:rPr>
          <w:rFonts w:cs="Arial"/>
          <w:iCs/>
          <w:color w:val="000000"/>
          <w:spacing w:val="-4"/>
          <w:sz w:val="24"/>
          <w:szCs w:val="24"/>
        </w:rPr>
        <w:t xml:space="preserve">Juzgado </w:t>
      </w:r>
      <w:r w:rsidR="004C1CF4" w:rsidRPr="002946B2">
        <w:rPr>
          <w:rFonts w:cs="Arial"/>
          <w:iCs/>
          <w:color w:val="000000"/>
          <w:spacing w:val="-4"/>
          <w:sz w:val="24"/>
          <w:szCs w:val="24"/>
        </w:rPr>
        <w:t>Tercero</w:t>
      </w:r>
      <w:r w:rsidRPr="002946B2">
        <w:rPr>
          <w:rFonts w:cs="Arial"/>
          <w:iCs/>
          <w:color w:val="000000"/>
          <w:spacing w:val="-4"/>
          <w:sz w:val="24"/>
          <w:szCs w:val="24"/>
        </w:rPr>
        <w:t xml:space="preserve"> Laboral del Circuito de Pereira, el día </w:t>
      </w:r>
      <w:r w:rsidR="006D7BC2" w:rsidRPr="002946B2">
        <w:rPr>
          <w:rFonts w:cs="Arial"/>
          <w:iCs/>
          <w:color w:val="000000"/>
          <w:spacing w:val="-4"/>
          <w:sz w:val="24"/>
          <w:szCs w:val="24"/>
        </w:rPr>
        <w:t xml:space="preserve">28 de </w:t>
      </w:r>
      <w:r w:rsidR="008E198D" w:rsidRPr="002946B2">
        <w:rPr>
          <w:rFonts w:cs="Arial"/>
          <w:iCs/>
          <w:color w:val="000000"/>
          <w:spacing w:val="-4"/>
          <w:sz w:val="24"/>
          <w:szCs w:val="24"/>
        </w:rPr>
        <w:t>octubre</w:t>
      </w:r>
      <w:r w:rsidR="004C1CF4" w:rsidRPr="002946B2">
        <w:rPr>
          <w:rFonts w:cs="Arial"/>
          <w:iCs/>
          <w:color w:val="000000"/>
          <w:spacing w:val="-4"/>
          <w:sz w:val="24"/>
          <w:szCs w:val="24"/>
        </w:rPr>
        <w:t xml:space="preserve"> de 202</w:t>
      </w:r>
      <w:r w:rsidR="008E198D" w:rsidRPr="002946B2">
        <w:rPr>
          <w:rFonts w:cs="Arial"/>
          <w:iCs/>
          <w:color w:val="000000"/>
          <w:spacing w:val="-4"/>
          <w:sz w:val="24"/>
          <w:szCs w:val="24"/>
        </w:rPr>
        <w:t>2</w:t>
      </w:r>
      <w:r w:rsidR="004C1CF4" w:rsidRPr="002946B2">
        <w:rPr>
          <w:rFonts w:cs="Arial"/>
          <w:iCs/>
          <w:color w:val="000000"/>
          <w:spacing w:val="-4"/>
          <w:sz w:val="24"/>
          <w:szCs w:val="24"/>
        </w:rPr>
        <w:t>.</w:t>
      </w:r>
    </w:p>
    <w:p w14:paraId="0A6959E7" w14:textId="77777777" w:rsidR="00500932" w:rsidRPr="002946B2" w:rsidRDefault="00500932" w:rsidP="00734781">
      <w:pPr>
        <w:pStyle w:val="Textoindependiente"/>
        <w:spacing w:line="276" w:lineRule="auto"/>
        <w:ind w:right="51"/>
        <w:rPr>
          <w:rFonts w:cs="Arial"/>
          <w:iCs/>
          <w:color w:val="000000"/>
          <w:spacing w:val="-4"/>
          <w:sz w:val="24"/>
          <w:szCs w:val="24"/>
        </w:rPr>
      </w:pPr>
      <w:r w:rsidRPr="002946B2">
        <w:rPr>
          <w:rFonts w:cs="Arial"/>
          <w:iCs/>
          <w:color w:val="000000"/>
          <w:spacing w:val="-4"/>
          <w:sz w:val="24"/>
          <w:szCs w:val="24"/>
        </w:rPr>
        <w:t xml:space="preserve"> </w:t>
      </w:r>
    </w:p>
    <w:p w14:paraId="49877D40" w14:textId="4CE07060" w:rsidR="008E198D" w:rsidRPr="002946B2" w:rsidRDefault="005C3EDC" w:rsidP="00734781">
      <w:pPr>
        <w:pStyle w:val="Textoindependiente"/>
        <w:spacing w:line="276" w:lineRule="auto"/>
        <w:rPr>
          <w:rFonts w:cs="Arial"/>
          <w:color w:val="000000"/>
          <w:spacing w:val="-4"/>
          <w:sz w:val="24"/>
          <w:szCs w:val="24"/>
        </w:rPr>
      </w:pPr>
      <w:r w:rsidRPr="002946B2">
        <w:rPr>
          <w:rFonts w:cs="Arial"/>
          <w:b/>
          <w:color w:val="000000"/>
          <w:spacing w:val="-4"/>
          <w:sz w:val="24"/>
          <w:szCs w:val="24"/>
        </w:rPr>
        <w:t xml:space="preserve">SEGUNDO: </w:t>
      </w:r>
      <w:r w:rsidR="008E198D" w:rsidRPr="002946B2">
        <w:rPr>
          <w:rFonts w:cs="Arial"/>
          <w:b/>
          <w:color w:val="000000"/>
          <w:spacing w:val="-4"/>
          <w:sz w:val="24"/>
          <w:szCs w:val="24"/>
        </w:rPr>
        <w:t xml:space="preserve">AMPARAR </w:t>
      </w:r>
      <w:r w:rsidR="008E198D" w:rsidRPr="002946B2">
        <w:rPr>
          <w:rFonts w:cs="Arial"/>
          <w:color w:val="000000"/>
          <w:spacing w:val="-4"/>
          <w:sz w:val="24"/>
          <w:szCs w:val="24"/>
        </w:rPr>
        <w:t>el derecho fundamental al debido proceso del cual es titular el señor ALBEIRO DE JESÚS PINO GONZÁLEZ.</w:t>
      </w:r>
    </w:p>
    <w:p w14:paraId="1FBD7FF0" w14:textId="77777777" w:rsidR="008E198D" w:rsidRPr="002946B2" w:rsidRDefault="008E198D" w:rsidP="00734781">
      <w:pPr>
        <w:overflowPunct w:val="0"/>
        <w:autoSpaceDE w:val="0"/>
        <w:autoSpaceDN w:val="0"/>
        <w:adjustRightInd w:val="0"/>
        <w:spacing w:line="276" w:lineRule="auto"/>
        <w:ind w:right="51"/>
        <w:jc w:val="both"/>
        <w:textAlignment w:val="baseline"/>
        <w:rPr>
          <w:rFonts w:ascii="Arial" w:hAnsi="Arial" w:cs="Arial"/>
          <w:color w:val="000000"/>
          <w:spacing w:val="-4"/>
          <w:lang w:val="es-ES_tradnl"/>
        </w:rPr>
      </w:pPr>
    </w:p>
    <w:p w14:paraId="5D7E685C" w14:textId="57096D93" w:rsidR="008E198D" w:rsidRPr="002946B2" w:rsidRDefault="008E198D" w:rsidP="00734781">
      <w:pPr>
        <w:overflowPunct w:val="0"/>
        <w:autoSpaceDE w:val="0"/>
        <w:autoSpaceDN w:val="0"/>
        <w:adjustRightInd w:val="0"/>
        <w:spacing w:line="276" w:lineRule="auto"/>
        <w:ind w:right="51"/>
        <w:jc w:val="both"/>
        <w:textAlignment w:val="baseline"/>
        <w:rPr>
          <w:rFonts w:ascii="Arial" w:hAnsi="Arial" w:cs="Arial"/>
          <w:spacing w:val="-4"/>
          <w:lang w:val="es-ES_tradnl"/>
        </w:rPr>
      </w:pPr>
      <w:r w:rsidRPr="002946B2">
        <w:rPr>
          <w:rFonts w:ascii="Arial" w:hAnsi="Arial" w:cs="Arial"/>
          <w:b/>
          <w:color w:val="000000"/>
          <w:spacing w:val="-4"/>
        </w:rPr>
        <w:t xml:space="preserve">TERCERO: </w:t>
      </w:r>
      <w:r w:rsidR="002B32AC" w:rsidRPr="002946B2">
        <w:rPr>
          <w:rFonts w:ascii="Arial" w:hAnsi="Arial" w:cs="Arial"/>
          <w:b/>
          <w:color w:val="000000"/>
          <w:spacing w:val="-4"/>
        </w:rPr>
        <w:t xml:space="preserve"> </w:t>
      </w:r>
      <w:r w:rsidRPr="002946B2">
        <w:rPr>
          <w:rFonts w:ascii="Arial" w:hAnsi="Arial" w:cs="Arial"/>
          <w:b/>
          <w:spacing w:val="-4"/>
        </w:rPr>
        <w:t>ORDENAR</w:t>
      </w:r>
      <w:r w:rsidRPr="002946B2">
        <w:rPr>
          <w:rFonts w:ascii="Arial" w:hAnsi="Arial" w:cs="Arial"/>
          <w:spacing w:val="-4"/>
        </w:rPr>
        <w:t xml:space="preserve">  </w:t>
      </w:r>
      <w:r w:rsidRPr="002946B2">
        <w:rPr>
          <w:rFonts w:ascii="Arial" w:hAnsi="Arial" w:cs="Arial"/>
          <w:spacing w:val="-4"/>
          <w:lang w:val="es-ES_tradnl"/>
        </w:rPr>
        <w:t xml:space="preserve">a la ADMINISTRADORA DE FONDOS DE PENSIONES PORVERNIR S.A. a través del Coordinador de Bonos Pensionales y Aportes de Prima Media Gerencia de Beneficios Pensionales, doctor Darío Barbosa Vélez que, en el término improrrogable de diez (10) días, proceda a adelantar las gestiones necesarias ante el Departamento de Boyacá para solucionar la novedad de </w:t>
      </w:r>
      <w:r w:rsidRPr="002946B2">
        <w:rPr>
          <w:rFonts w:ascii="Arial" w:hAnsi="Arial" w:cs="Arial"/>
          <w:i/>
          <w:spacing w:val="-4"/>
          <w:lang w:val="es-ES_tradnl"/>
        </w:rPr>
        <w:t>“TRASLAPO</w:t>
      </w:r>
      <w:r w:rsidRPr="002946B2">
        <w:rPr>
          <w:rFonts w:ascii="Arial" w:hAnsi="Arial" w:cs="Arial"/>
          <w:spacing w:val="-4"/>
          <w:lang w:val="es-ES_tradnl"/>
        </w:rPr>
        <w:t>”, que reporta el sistema interactivo de bonos pensionales del Ministerio de Hacienda y Crédito Público, en el caso del señor Pino González.</w:t>
      </w:r>
    </w:p>
    <w:p w14:paraId="680A4E5D" w14:textId="77777777" w:rsidR="00500932" w:rsidRPr="002946B2" w:rsidRDefault="00500932" w:rsidP="00734781">
      <w:pPr>
        <w:pStyle w:val="Textoindependiente"/>
        <w:spacing w:line="276" w:lineRule="auto"/>
        <w:rPr>
          <w:rFonts w:cs="Arial"/>
          <w:color w:val="000000"/>
          <w:spacing w:val="-4"/>
          <w:sz w:val="24"/>
          <w:szCs w:val="24"/>
        </w:rPr>
      </w:pPr>
    </w:p>
    <w:p w14:paraId="50CE27CE" w14:textId="57C59C08" w:rsidR="005C3EDC" w:rsidRPr="002946B2" w:rsidRDefault="008E198D" w:rsidP="00734781">
      <w:pPr>
        <w:pStyle w:val="Textoindependiente"/>
        <w:spacing w:line="276" w:lineRule="auto"/>
        <w:rPr>
          <w:rFonts w:cs="Arial"/>
          <w:color w:val="000000"/>
          <w:spacing w:val="-4"/>
          <w:sz w:val="24"/>
          <w:szCs w:val="24"/>
        </w:rPr>
      </w:pPr>
      <w:r w:rsidRPr="002946B2">
        <w:rPr>
          <w:rFonts w:cs="Arial"/>
          <w:b/>
          <w:color w:val="000000"/>
          <w:spacing w:val="-4"/>
          <w:sz w:val="24"/>
          <w:szCs w:val="24"/>
        </w:rPr>
        <w:t>CUARTO</w:t>
      </w:r>
      <w:r w:rsidR="002B32AC" w:rsidRPr="002946B2">
        <w:rPr>
          <w:rFonts w:cs="Arial"/>
          <w:b/>
          <w:color w:val="000000"/>
          <w:spacing w:val="-4"/>
          <w:sz w:val="24"/>
          <w:szCs w:val="24"/>
        </w:rPr>
        <w:t xml:space="preserve">: </w:t>
      </w:r>
      <w:r w:rsidR="005C3EDC" w:rsidRPr="002946B2">
        <w:rPr>
          <w:rFonts w:cs="Arial"/>
          <w:b/>
          <w:color w:val="000000"/>
          <w:spacing w:val="-4"/>
          <w:sz w:val="24"/>
          <w:szCs w:val="24"/>
        </w:rPr>
        <w:t>NOTIFÍ</w:t>
      </w:r>
      <w:r w:rsidRPr="002946B2">
        <w:rPr>
          <w:rFonts w:cs="Arial"/>
          <w:b/>
          <w:color w:val="000000"/>
          <w:spacing w:val="-4"/>
          <w:sz w:val="24"/>
          <w:szCs w:val="24"/>
        </w:rPr>
        <w:t>CAR</w:t>
      </w:r>
      <w:r w:rsidR="005C3EDC" w:rsidRPr="002946B2">
        <w:rPr>
          <w:rFonts w:cs="Arial"/>
          <w:b/>
          <w:color w:val="000000"/>
          <w:spacing w:val="-4"/>
          <w:sz w:val="24"/>
          <w:szCs w:val="24"/>
        </w:rPr>
        <w:t xml:space="preserve"> </w:t>
      </w:r>
      <w:r w:rsidR="005C3EDC" w:rsidRPr="002946B2">
        <w:rPr>
          <w:rFonts w:cs="Arial"/>
          <w:bCs/>
          <w:color w:val="000000"/>
          <w:spacing w:val="-4"/>
          <w:sz w:val="24"/>
          <w:szCs w:val="24"/>
        </w:rPr>
        <w:t>esta decisión a las partes por el medio más expedito.</w:t>
      </w:r>
    </w:p>
    <w:p w14:paraId="19219836" w14:textId="77777777" w:rsidR="005C3EDC" w:rsidRPr="002946B2" w:rsidRDefault="005C3EDC" w:rsidP="00734781">
      <w:pPr>
        <w:pStyle w:val="Textoindependiente"/>
        <w:spacing w:line="276" w:lineRule="auto"/>
        <w:rPr>
          <w:rFonts w:cs="Arial"/>
          <w:b/>
          <w:color w:val="000000"/>
          <w:spacing w:val="-4"/>
          <w:sz w:val="24"/>
          <w:szCs w:val="24"/>
        </w:rPr>
      </w:pPr>
    </w:p>
    <w:p w14:paraId="063DB56D" w14:textId="7EAAD3D5" w:rsidR="005C3EDC" w:rsidRPr="002946B2" w:rsidRDefault="008E198D" w:rsidP="00734781">
      <w:pPr>
        <w:pStyle w:val="Textoindependiente"/>
        <w:spacing w:line="276" w:lineRule="auto"/>
        <w:rPr>
          <w:rFonts w:cs="Arial"/>
          <w:color w:val="000000"/>
          <w:spacing w:val="-4"/>
          <w:sz w:val="24"/>
          <w:szCs w:val="24"/>
        </w:rPr>
      </w:pPr>
      <w:r w:rsidRPr="002946B2">
        <w:rPr>
          <w:rFonts w:cs="Arial"/>
          <w:b/>
          <w:color w:val="000000"/>
          <w:spacing w:val="-4"/>
          <w:sz w:val="24"/>
          <w:szCs w:val="24"/>
        </w:rPr>
        <w:t>QUINTO</w:t>
      </w:r>
      <w:r w:rsidR="005C3EDC" w:rsidRPr="002946B2">
        <w:rPr>
          <w:rFonts w:cs="Arial"/>
          <w:b/>
          <w:color w:val="000000"/>
          <w:spacing w:val="-4"/>
          <w:sz w:val="24"/>
          <w:szCs w:val="24"/>
        </w:rPr>
        <w:t xml:space="preserve">: </w:t>
      </w:r>
      <w:r w:rsidR="004C1CF4" w:rsidRPr="002946B2">
        <w:rPr>
          <w:rFonts w:cs="Arial"/>
          <w:b/>
          <w:color w:val="000000"/>
          <w:spacing w:val="-4"/>
          <w:sz w:val="24"/>
          <w:szCs w:val="24"/>
        </w:rPr>
        <w:t xml:space="preserve">REMITIR </w:t>
      </w:r>
      <w:r w:rsidR="005C3EDC" w:rsidRPr="002946B2">
        <w:rPr>
          <w:rFonts w:cs="Arial"/>
          <w:color w:val="000000"/>
          <w:spacing w:val="-4"/>
          <w:sz w:val="24"/>
          <w:szCs w:val="24"/>
        </w:rPr>
        <w:t>a la Corte Constitucional, para su eventual revisión.</w:t>
      </w:r>
    </w:p>
    <w:p w14:paraId="296FEF7D" w14:textId="77777777" w:rsidR="005C3EDC" w:rsidRPr="00734781" w:rsidRDefault="005C3EDC" w:rsidP="00734781">
      <w:pPr>
        <w:spacing w:line="276" w:lineRule="auto"/>
        <w:jc w:val="both"/>
        <w:rPr>
          <w:rFonts w:ascii="Arial" w:hAnsi="Arial" w:cs="Arial"/>
          <w:b/>
          <w:color w:val="000000"/>
          <w:lang w:val="es-ES_tradnl"/>
        </w:rPr>
      </w:pPr>
    </w:p>
    <w:p w14:paraId="052F13AF" w14:textId="77777777" w:rsidR="005C3EDC" w:rsidRPr="00734781" w:rsidRDefault="005C3EDC" w:rsidP="00734781">
      <w:pPr>
        <w:spacing w:line="276" w:lineRule="auto"/>
        <w:jc w:val="both"/>
        <w:rPr>
          <w:rFonts w:ascii="Arial" w:hAnsi="Arial" w:cs="Arial"/>
          <w:b/>
          <w:color w:val="000000"/>
        </w:rPr>
      </w:pPr>
      <w:r w:rsidRPr="00734781">
        <w:rPr>
          <w:rFonts w:ascii="Arial" w:hAnsi="Arial" w:cs="Arial"/>
          <w:b/>
          <w:color w:val="000000"/>
        </w:rPr>
        <w:t>Notifíquese y Cúmplase.</w:t>
      </w:r>
    </w:p>
    <w:p w14:paraId="5DD2DC3F" w14:textId="77777777" w:rsidR="00734781" w:rsidRPr="00734781" w:rsidRDefault="00734781" w:rsidP="00734781">
      <w:pPr>
        <w:spacing w:line="276" w:lineRule="auto"/>
        <w:jc w:val="both"/>
        <w:textAlignment w:val="baseline"/>
        <w:rPr>
          <w:rFonts w:ascii="Arial" w:hAnsi="Arial" w:cs="Arial"/>
          <w:spacing w:val="-4"/>
          <w:lang w:eastAsia="es-CO"/>
        </w:rPr>
      </w:pPr>
      <w:bookmarkStart w:id="3" w:name="_Hlk124502669"/>
    </w:p>
    <w:p w14:paraId="7D58506C" w14:textId="77777777" w:rsidR="00734781" w:rsidRPr="00734781" w:rsidRDefault="00734781" w:rsidP="00734781">
      <w:pPr>
        <w:spacing w:line="276" w:lineRule="auto"/>
        <w:jc w:val="both"/>
        <w:textAlignment w:val="baseline"/>
        <w:rPr>
          <w:rFonts w:ascii="Arial" w:hAnsi="Arial" w:cs="Arial"/>
          <w:spacing w:val="-4"/>
          <w:lang w:eastAsia="es-CO"/>
        </w:rPr>
      </w:pPr>
      <w:r w:rsidRPr="00734781">
        <w:rPr>
          <w:rFonts w:ascii="Arial" w:hAnsi="Arial" w:cs="Arial"/>
          <w:spacing w:val="-4"/>
          <w:lang w:eastAsia="es-CO"/>
        </w:rPr>
        <w:t>Quienes Integran la Sala,</w:t>
      </w:r>
    </w:p>
    <w:p w14:paraId="401242E2" w14:textId="77777777" w:rsidR="00734781" w:rsidRPr="00734781" w:rsidRDefault="00734781" w:rsidP="00734781">
      <w:pPr>
        <w:widowControl w:val="0"/>
        <w:autoSpaceDE w:val="0"/>
        <w:autoSpaceDN w:val="0"/>
        <w:adjustRightInd w:val="0"/>
        <w:spacing w:line="276" w:lineRule="auto"/>
        <w:rPr>
          <w:rFonts w:ascii="Arial" w:eastAsia="Calibri" w:hAnsi="Arial" w:cs="Arial"/>
          <w:b/>
          <w:lang w:val="es-CO" w:eastAsia="en-US"/>
        </w:rPr>
      </w:pPr>
    </w:p>
    <w:p w14:paraId="179CB77D" w14:textId="77777777" w:rsidR="00734781" w:rsidRPr="00734781" w:rsidRDefault="00734781" w:rsidP="00734781">
      <w:pPr>
        <w:widowControl w:val="0"/>
        <w:autoSpaceDE w:val="0"/>
        <w:autoSpaceDN w:val="0"/>
        <w:adjustRightInd w:val="0"/>
        <w:spacing w:line="276" w:lineRule="auto"/>
        <w:rPr>
          <w:rFonts w:ascii="Arial" w:eastAsia="Calibri" w:hAnsi="Arial" w:cs="Arial"/>
          <w:b/>
          <w:lang w:val="es-CO" w:eastAsia="en-US"/>
        </w:rPr>
      </w:pPr>
    </w:p>
    <w:p w14:paraId="7237F2A6" w14:textId="77777777" w:rsidR="00734781" w:rsidRPr="00734781" w:rsidRDefault="00734781" w:rsidP="00734781">
      <w:pPr>
        <w:widowControl w:val="0"/>
        <w:autoSpaceDE w:val="0"/>
        <w:autoSpaceDN w:val="0"/>
        <w:adjustRightInd w:val="0"/>
        <w:spacing w:line="276" w:lineRule="auto"/>
        <w:rPr>
          <w:rFonts w:ascii="Arial" w:eastAsia="Calibri" w:hAnsi="Arial" w:cs="Arial"/>
          <w:b/>
          <w:lang w:val="es-CO" w:eastAsia="en-US"/>
        </w:rPr>
      </w:pPr>
    </w:p>
    <w:p w14:paraId="6764CC01" w14:textId="77777777" w:rsidR="00734781" w:rsidRPr="00734781" w:rsidRDefault="00734781" w:rsidP="00734781">
      <w:pPr>
        <w:widowControl w:val="0"/>
        <w:autoSpaceDE w:val="0"/>
        <w:autoSpaceDN w:val="0"/>
        <w:adjustRightInd w:val="0"/>
        <w:spacing w:line="276" w:lineRule="auto"/>
        <w:jc w:val="center"/>
        <w:rPr>
          <w:rFonts w:ascii="Arial" w:eastAsia="Calibri" w:hAnsi="Arial" w:cs="Arial"/>
          <w:b/>
          <w:bCs/>
          <w:lang w:val="es-CO" w:eastAsia="en-US"/>
        </w:rPr>
      </w:pPr>
      <w:r w:rsidRPr="00734781">
        <w:rPr>
          <w:rFonts w:ascii="Arial" w:eastAsia="Calibri" w:hAnsi="Arial" w:cs="Arial"/>
          <w:b/>
          <w:bCs/>
          <w:lang w:val="es-CO" w:eastAsia="en-US"/>
        </w:rPr>
        <w:t>JULIO CÉSAR SALAZAR MUÑOZ</w:t>
      </w:r>
    </w:p>
    <w:p w14:paraId="20F32C64" w14:textId="77777777" w:rsidR="00734781" w:rsidRPr="00734781" w:rsidRDefault="00734781" w:rsidP="00734781">
      <w:pPr>
        <w:widowControl w:val="0"/>
        <w:autoSpaceDE w:val="0"/>
        <w:autoSpaceDN w:val="0"/>
        <w:adjustRightInd w:val="0"/>
        <w:spacing w:line="276" w:lineRule="auto"/>
        <w:jc w:val="center"/>
        <w:rPr>
          <w:rFonts w:ascii="Arial" w:eastAsia="Calibri" w:hAnsi="Arial" w:cs="Arial"/>
          <w:lang w:val="es-CO" w:eastAsia="en-US"/>
        </w:rPr>
      </w:pPr>
      <w:r w:rsidRPr="00734781">
        <w:rPr>
          <w:rFonts w:ascii="Arial" w:eastAsia="Calibri" w:hAnsi="Arial" w:cs="Arial"/>
          <w:lang w:val="es-CO" w:eastAsia="en-US"/>
        </w:rPr>
        <w:t>Magistrado Ponente</w:t>
      </w:r>
    </w:p>
    <w:p w14:paraId="2BFAACA1" w14:textId="77777777" w:rsidR="00734781" w:rsidRPr="00734781" w:rsidRDefault="00734781" w:rsidP="00734781">
      <w:pPr>
        <w:widowControl w:val="0"/>
        <w:autoSpaceDE w:val="0"/>
        <w:autoSpaceDN w:val="0"/>
        <w:adjustRightInd w:val="0"/>
        <w:spacing w:line="276" w:lineRule="auto"/>
        <w:rPr>
          <w:rFonts w:ascii="Arial" w:eastAsia="Calibri" w:hAnsi="Arial" w:cs="Arial"/>
          <w:lang w:val="es-CO" w:eastAsia="en-US"/>
        </w:rPr>
      </w:pPr>
    </w:p>
    <w:p w14:paraId="4ABD6E16" w14:textId="77777777" w:rsidR="00734781" w:rsidRPr="00734781" w:rsidRDefault="00734781" w:rsidP="00734781">
      <w:pPr>
        <w:widowControl w:val="0"/>
        <w:autoSpaceDE w:val="0"/>
        <w:autoSpaceDN w:val="0"/>
        <w:adjustRightInd w:val="0"/>
        <w:spacing w:line="276" w:lineRule="auto"/>
        <w:rPr>
          <w:rFonts w:ascii="Arial" w:eastAsia="Calibri" w:hAnsi="Arial" w:cs="Arial"/>
          <w:lang w:val="es-CO" w:eastAsia="en-US"/>
        </w:rPr>
      </w:pPr>
    </w:p>
    <w:p w14:paraId="60351469" w14:textId="77777777" w:rsidR="00734781" w:rsidRPr="00734781" w:rsidRDefault="00734781" w:rsidP="00734781">
      <w:pPr>
        <w:widowControl w:val="0"/>
        <w:autoSpaceDE w:val="0"/>
        <w:autoSpaceDN w:val="0"/>
        <w:adjustRightInd w:val="0"/>
        <w:spacing w:line="276" w:lineRule="auto"/>
        <w:rPr>
          <w:rFonts w:ascii="Arial" w:eastAsia="Calibri" w:hAnsi="Arial" w:cs="Arial"/>
          <w:lang w:val="es-CO" w:eastAsia="en-US"/>
        </w:rPr>
      </w:pPr>
    </w:p>
    <w:p w14:paraId="6F5CF8DA" w14:textId="77777777" w:rsidR="00734781" w:rsidRPr="00734781" w:rsidRDefault="00734781" w:rsidP="00734781">
      <w:pPr>
        <w:widowControl w:val="0"/>
        <w:autoSpaceDE w:val="0"/>
        <w:autoSpaceDN w:val="0"/>
        <w:adjustRightInd w:val="0"/>
        <w:spacing w:line="276" w:lineRule="auto"/>
        <w:rPr>
          <w:rFonts w:ascii="Arial" w:eastAsia="Calibri" w:hAnsi="Arial" w:cs="Arial"/>
          <w:lang w:val="es-CO" w:eastAsia="en-US"/>
        </w:rPr>
      </w:pPr>
      <w:r w:rsidRPr="00734781">
        <w:rPr>
          <w:rFonts w:ascii="Arial" w:eastAsia="Calibri" w:hAnsi="Arial" w:cs="Arial"/>
          <w:b/>
          <w:bCs/>
          <w:lang w:val="es-CO" w:eastAsia="en-US"/>
        </w:rPr>
        <w:t>ANA LUCÍA CAICEDO CALDERON</w:t>
      </w:r>
      <w:r w:rsidRPr="00734781">
        <w:rPr>
          <w:rFonts w:ascii="Arial" w:eastAsia="Calibri" w:hAnsi="Arial" w:cs="Arial"/>
          <w:b/>
          <w:bCs/>
          <w:lang w:val="es-CO" w:eastAsia="en-US"/>
        </w:rPr>
        <w:tab/>
      </w:r>
      <w:r w:rsidRPr="00734781">
        <w:rPr>
          <w:rFonts w:ascii="Arial" w:eastAsia="Calibri" w:hAnsi="Arial" w:cs="Arial"/>
          <w:b/>
          <w:bCs/>
          <w:lang w:val="es-CO" w:eastAsia="en-US"/>
        </w:rPr>
        <w:tab/>
        <w:t xml:space="preserve">   GERMÁN DARÍO GÓEZ VINASCO</w:t>
      </w:r>
    </w:p>
    <w:p w14:paraId="6AA6BEEA" w14:textId="5CC3B4EF" w:rsidR="005C3EDC" w:rsidRPr="00734781" w:rsidRDefault="00734781" w:rsidP="00A1205E">
      <w:pPr>
        <w:pStyle w:val="Cierre"/>
        <w:spacing w:line="276" w:lineRule="auto"/>
        <w:ind w:left="0"/>
        <w:rPr>
          <w:rFonts w:ascii="Arial" w:hAnsi="Arial" w:cs="Arial"/>
          <w:szCs w:val="24"/>
        </w:rPr>
      </w:pPr>
      <w:r w:rsidRPr="00734781">
        <w:rPr>
          <w:rFonts w:ascii="Arial" w:eastAsia="Calibri" w:hAnsi="Arial" w:cs="Arial"/>
          <w:bCs/>
          <w:szCs w:val="24"/>
          <w:lang w:val="es-CO" w:eastAsia="en-US"/>
        </w:rPr>
        <w:t>Magistrada</w:t>
      </w:r>
      <w:r w:rsidRPr="00734781">
        <w:rPr>
          <w:rFonts w:ascii="Arial" w:eastAsia="Calibri" w:hAnsi="Arial" w:cs="Arial"/>
          <w:bCs/>
          <w:szCs w:val="24"/>
          <w:lang w:val="es-CO" w:eastAsia="en-US"/>
        </w:rPr>
        <w:tab/>
      </w:r>
      <w:r w:rsidRPr="00734781">
        <w:rPr>
          <w:rFonts w:ascii="Arial" w:eastAsia="Calibri" w:hAnsi="Arial" w:cs="Arial"/>
          <w:bCs/>
          <w:szCs w:val="24"/>
          <w:lang w:val="es-CO" w:eastAsia="en-US"/>
        </w:rPr>
        <w:tab/>
      </w:r>
      <w:r w:rsidRPr="00734781">
        <w:rPr>
          <w:rFonts w:ascii="Arial" w:eastAsia="Calibri" w:hAnsi="Arial" w:cs="Arial"/>
          <w:bCs/>
          <w:szCs w:val="24"/>
          <w:lang w:val="es-CO" w:eastAsia="en-US"/>
        </w:rPr>
        <w:tab/>
      </w:r>
      <w:r w:rsidRPr="00734781">
        <w:rPr>
          <w:rFonts w:ascii="Arial" w:eastAsia="Calibri" w:hAnsi="Arial" w:cs="Arial"/>
          <w:bCs/>
          <w:szCs w:val="24"/>
          <w:lang w:val="es-CO" w:eastAsia="en-US"/>
        </w:rPr>
        <w:tab/>
      </w:r>
      <w:r w:rsidRPr="00734781">
        <w:rPr>
          <w:rFonts w:ascii="Arial" w:eastAsia="Calibri" w:hAnsi="Arial" w:cs="Arial"/>
          <w:bCs/>
          <w:szCs w:val="24"/>
          <w:lang w:val="es-CO" w:eastAsia="en-US"/>
        </w:rPr>
        <w:tab/>
      </w:r>
      <w:r w:rsidRPr="00734781">
        <w:rPr>
          <w:rFonts w:ascii="Arial" w:eastAsia="Calibri" w:hAnsi="Arial" w:cs="Arial"/>
          <w:bCs/>
          <w:szCs w:val="24"/>
          <w:lang w:val="es-CO" w:eastAsia="en-US"/>
        </w:rPr>
        <w:tab/>
      </w:r>
      <w:r w:rsidRPr="00734781">
        <w:rPr>
          <w:rFonts w:ascii="Arial" w:eastAsia="Calibri" w:hAnsi="Arial" w:cs="Arial"/>
          <w:b/>
          <w:bCs/>
          <w:szCs w:val="24"/>
          <w:lang w:val="es-CO" w:eastAsia="en-US"/>
        </w:rPr>
        <w:t xml:space="preserve">   </w:t>
      </w:r>
      <w:r w:rsidRPr="00734781">
        <w:rPr>
          <w:rFonts w:ascii="Arial" w:hAnsi="Arial" w:cs="Arial"/>
          <w:bCs/>
          <w:szCs w:val="24"/>
          <w:lang w:eastAsia="en-US"/>
        </w:rPr>
        <w:t>Magistrado</w:t>
      </w:r>
      <w:bookmarkEnd w:id="3"/>
    </w:p>
    <w:sectPr w:rsidR="005C3EDC" w:rsidRPr="00734781" w:rsidSect="002946B2">
      <w:headerReference w:type="default" r:id="rId10"/>
      <w:footerReference w:type="default" r:id="rId11"/>
      <w:pgSz w:w="12242" w:h="18722" w:code="258"/>
      <w:pgMar w:top="1701" w:right="1134" w:bottom="1134" w:left="1701" w:header="567" w:footer="56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D588B6" w16cex:dateUtc="2022-12-16T22:08:18.116Z"/>
  <w16cex:commentExtensible w16cex:durableId="4F9287E5" w16cex:dateUtc="2023-01-07T16:32:29.48Z"/>
  <w16cex:commentExtensible w16cex:durableId="6CA9C5BF" w16cex:dateUtc="2023-01-11T20:22:47.0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C163" w14:textId="77777777" w:rsidR="00D9483E" w:rsidRDefault="00D9483E">
      <w:r>
        <w:separator/>
      </w:r>
    </w:p>
  </w:endnote>
  <w:endnote w:type="continuationSeparator" w:id="0">
    <w:p w14:paraId="7ECE9BC4" w14:textId="77777777" w:rsidR="00D9483E" w:rsidRDefault="00D9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DAD2" w14:textId="77777777" w:rsidR="00DE6C90" w:rsidRPr="00734781" w:rsidRDefault="00C23A9E" w:rsidP="00734781">
    <w:pPr>
      <w:pStyle w:val="Encabezado"/>
      <w:ind w:right="360"/>
      <w:jc w:val="right"/>
      <w:rPr>
        <w:rFonts w:ascii="Arial" w:hAnsi="Arial" w:cs="Arial"/>
        <w:sz w:val="18"/>
        <w:szCs w:val="14"/>
        <w:lang w:val="es-MX"/>
      </w:rPr>
    </w:pPr>
    <w:r w:rsidRPr="00734781">
      <w:rPr>
        <w:rFonts w:ascii="Arial" w:hAnsi="Arial" w:cs="Arial"/>
        <w:sz w:val="18"/>
        <w:szCs w:val="14"/>
        <w:lang w:val="es-MX"/>
      </w:rPr>
      <w:fldChar w:fldCharType="begin"/>
    </w:r>
    <w:r w:rsidRPr="00734781">
      <w:rPr>
        <w:rFonts w:ascii="Arial" w:hAnsi="Arial" w:cs="Arial"/>
        <w:sz w:val="18"/>
        <w:szCs w:val="14"/>
        <w:lang w:val="es-MX"/>
      </w:rPr>
      <w:instrText xml:space="preserve"> PAGE   \* MERGEFORMAT </w:instrText>
    </w:r>
    <w:r w:rsidRPr="00734781">
      <w:rPr>
        <w:rFonts w:ascii="Arial" w:hAnsi="Arial" w:cs="Arial"/>
        <w:sz w:val="18"/>
        <w:szCs w:val="14"/>
        <w:lang w:val="es-MX"/>
      </w:rPr>
      <w:fldChar w:fldCharType="separate"/>
    </w:r>
    <w:r w:rsidR="00F95D4C" w:rsidRPr="00734781">
      <w:rPr>
        <w:rFonts w:ascii="Arial" w:hAnsi="Arial" w:cs="Arial"/>
        <w:sz w:val="18"/>
        <w:szCs w:val="14"/>
        <w:lang w:val="es-MX"/>
      </w:rPr>
      <w:t>12</w:t>
    </w:r>
    <w:r w:rsidRPr="00734781">
      <w:rPr>
        <w:rFonts w:ascii="Arial" w:hAnsi="Arial" w:cs="Arial"/>
        <w:sz w:val="18"/>
        <w:szCs w:val="14"/>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92D0" w14:textId="77777777" w:rsidR="00D9483E" w:rsidRDefault="00D9483E">
      <w:r>
        <w:separator/>
      </w:r>
    </w:p>
  </w:footnote>
  <w:footnote w:type="continuationSeparator" w:id="0">
    <w:p w14:paraId="43880802" w14:textId="77777777" w:rsidR="00D9483E" w:rsidRDefault="00D9483E">
      <w:r>
        <w:continuationSeparator/>
      </w:r>
    </w:p>
  </w:footnote>
  <w:footnote w:id="1">
    <w:p w14:paraId="4C5ED04D" w14:textId="77777777" w:rsidR="00675C5B" w:rsidRDefault="00675C5B" w:rsidP="00675C5B">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Corte Constitucional, Sentencia T-801 de 2006. M. P. Rodrigo Escobar Gil.</w:t>
      </w:r>
    </w:p>
  </w:footnote>
  <w:footnote w:id="2">
    <w:p w14:paraId="6C69ED71" w14:textId="77777777" w:rsidR="00675C5B" w:rsidRDefault="00675C5B" w:rsidP="00675C5B">
      <w:pPr>
        <w:pStyle w:val="Textonotapie"/>
      </w:pPr>
      <w:r>
        <w:rPr>
          <w:rStyle w:val="Refdenotaalpie"/>
          <w:rFonts w:ascii="Arial" w:hAnsi="Arial" w:cs="Arial"/>
          <w:sz w:val="16"/>
          <w:szCs w:val="16"/>
        </w:rPr>
        <w:footnoteRef/>
      </w:r>
      <w:r>
        <w:rPr>
          <w:rFonts w:ascii="Arial" w:hAnsi="Arial" w:cs="Arial"/>
          <w:sz w:val="16"/>
          <w:szCs w:val="16"/>
        </w:rPr>
        <w:t xml:space="preserve"> Cfr. Corte Constitucional, Sentencia T-589 de 2004. M. P. Rodrigo Escobar Gil.</w:t>
      </w:r>
    </w:p>
  </w:footnote>
  <w:footnote w:id="3">
    <w:p w14:paraId="36C6EF3A" w14:textId="77777777" w:rsidR="00675C5B" w:rsidRDefault="00675C5B" w:rsidP="00675C5B">
      <w:pPr>
        <w:pStyle w:val="Textonotapie"/>
      </w:pPr>
      <w:r>
        <w:rPr>
          <w:vertAlign w:val="superscript"/>
        </w:rPr>
        <w:footnoteRef/>
      </w:r>
      <w:r>
        <w:t xml:space="preserve"> </w:t>
      </w:r>
      <w:r>
        <w:rPr>
          <w:rFonts w:ascii="Arial" w:hAnsi="Arial" w:cs="Arial"/>
          <w:sz w:val="16"/>
          <w:szCs w:val="16"/>
          <w:lang w:val="es-CO"/>
        </w:rPr>
        <w:t>Oficina de Bonos Pensionales del Ministerio de Hacienda y Crédito Público</w:t>
      </w:r>
      <w:r>
        <w:rPr>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C030" w14:textId="77777777" w:rsidR="00734781" w:rsidRPr="00734781" w:rsidRDefault="0014101F" w:rsidP="00734781">
    <w:pPr>
      <w:pStyle w:val="Encabezado"/>
      <w:ind w:right="360"/>
      <w:jc w:val="center"/>
      <w:rPr>
        <w:rFonts w:ascii="Arial" w:hAnsi="Arial" w:cs="Arial"/>
        <w:sz w:val="18"/>
        <w:szCs w:val="14"/>
        <w:lang w:val="es-MX"/>
      </w:rPr>
    </w:pPr>
    <w:r w:rsidRPr="00734781">
      <w:rPr>
        <w:rFonts w:ascii="Arial" w:hAnsi="Arial" w:cs="Arial"/>
        <w:sz w:val="18"/>
        <w:szCs w:val="14"/>
        <w:lang w:val="es-MX"/>
      </w:rPr>
      <w:t>Albeiro de Jesús Pino González</w:t>
    </w:r>
    <w:r w:rsidR="00DE6C90" w:rsidRPr="00734781">
      <w:rPr>
        <w:rFonts w:ascii="Arial" w:hAnsi="Arial" w:cs="Arial"/>
        <w:sz w:val="18"/>
        <w:szCs w:val="14"/>
        <w:lang w:val="es-MX"/>
      </w:rPr>
      <w:t xml:space="preserve"> Vs</w:t>
    </w:r>
    <w:r w:rsidR="00F95D4C" w:rsidRPr="00734781">
      <w:rPr>
        <w:rFonts w:ascii="Arial" w:hAnsi="Arial" w:cs="Arial"/>
        <w:sz w:val="18"/>
        <w:szCs w:val="14"/>
        <w:lang w:val="es-MX"/>
      </w:rPr>
      <w:t xml:space="preserve"> Ministerio de Hacienda y Crédito Público y otros</w:t>
    </w:r>
  </w:p>
  <w:p w14:paraId="238601FE" w14:textId="36DFD013" w:rsidR="00DE6C90" w:rsidRPr="00734781" w:rsidRDefault="00DE6C90" w:rsidP="00734781">
    <w:pPr>
      <w:pStyle w:val="Encabezado"/>
      <w:ind w:right="360"/>
      <w:jc w:val="center"/>
      <w:rPr>
        <w:rFonts w:ascii="Arial" w:hAnsi="Arial" w:cs="Arial"/>
        <w:b/>
        <w:sz w:val="14"/>
        <w:szCs w:val="14"/>
        <w:lang w:val="es-MX"/>
      </w:rPr>
    </w:pPr>
    <w:r w:rsidRPr="00734781">
      <w:rPr>
        <w:rFonts w:ascii="Arial" w:hAnsi="Arial" w:cs="Arial"/>
        <w:sz w:val="18"/>
        <w:szCs w:val="14"/>
        <w:lang w:val="es-MX"/>
      </w:rPr>
      <w:t xml:space="preserve">Rad. </w:t>
    </w:r>
    <w:r w:rsidR="00F95D4C" w:rsidRPr="00734781">
      <w:rPr>
        <w:rFonts w:ascii="Arial" w:hAnsi="Arial" w:cs="Arial"/>
        <w:sz w:val="18"/>
        <w:szCs w:val="14"/>
        <w:lang w:val="es-MX"/>
      </w:rPr>
      <w:t>660013105003202</w:t>
    </w:r>
    <w:r w:rsidR="0014101F" w:rsidRPr="00734781">
      <w:rPr>
        <w:rFonts w:ascii="Arial" w:hAnsi="Arial" w:cs="Arial"/>
        <w:sz w:val="18"/>
        <w:szCs w:val="14"/>
        <w:lang w:val="es-MX"/>
      </w:rPr>
      <w:t>20036601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0EB"/>
    <w:multiLevelType w:val="hybridMultilevel"/>
    <w:tmpl w:val="9FC8339E"/>
    <w:lvl w:ilvl="0" w:tplc="0C0A000F">
      <w:start w:val="1"/>
      <w:numFmt w:val="decimal"/>
      <w:lvlText w:val="%1."/>
      <w:lvlJc w:val="left"/>
      <w:pPr>
        <w:ind w:left="8015" w:hanging="360"/>
      </w:pPr>
      <w:rPr>
        <w:rFonts w:hint="default"/>
      </w:rPr>
    </w:lvl>
    <w:lvl w:ilvl="1" w:tplc="0C0A0019" w:tentative="1">
      <w:start w:val="1"/>
      <w:numFmt w:val="lowerLetter"/>
      <w:lvlText w:val="%2."/>
      <w:lvlJc w:val="left"/>
      <w:pPr>
        <w:ind w:left="8735" w:hanging="360"/>
      </w:pPr>
    </w:lvl>
    <w:lvl w:ilvl="2" w:tplc="0C0A001B" w:tentative="1">
      <w:start w:val="1"/>
      <w:numFmt w:val="lowerRoman"/>
      <w:lvlText w:val="%3."/>
      <w:lvlJc w:val="right"/>
      <w:pPr>
        <w:ind w:left="9455" w:hanging="180"/>
      </w:pPr>
    </w:lvl>
    <w:lvl w:ilvl="3" w:tplc="0C0A000F" w:tentative="1">
      <w:start w:val="1"/>
      <w:numFmt w:val="decimal"/>
      <w:lvlText w:val="%4."/>
      <w:lvlJc w:val="left"/>
      <w:pPr>
        <w:ind w:left="10175" w:hanging="360"/>
      </w:pPr>
    </w:lvl>
    <w:lvl w:ilvl="4" w:tplc="0C0A0019" w:tentative="1">
      <w:start w:val="1"/>
      <w:numFmt w:val="lowerLetter"/>
      <w:lvlText w:val="%5."/>
      <w:lvlJc w:val="left"/>
      <w:pPr>
        <w:ind w:left="10895" w:hanging="360"/>
      </w:pPr>
    </w:lvl>
    <w:lvl w:ilvl="5" w:tplc="0C0A001B" w:tentative="1">
      <w:start w:val="1"/>
      <w:numFmt w:val="lowerRoman"/>
      <w:lvlText w:val="%6."/>
      <w:lvlJc w:val="right"/>
      <w:pPr>
        <w:ind w:left="11615" w:hanging="180"/>
      </w:pPr>
    </w:lvl>
    <w:lvl w:ilvl="6" w:tplc="0C0A000F" w:tentative="1">
      <w:start w:val="1"/>
      <w:numFmt w:val="decimal"/>
      <w:lvlText w:val="%7."/>
      <w:lvlJc w:val="left"/>
      <w:pPr>
        <w:ind w:left="12335" w:hanging="360"/>
      </w:pPr>
    </w:lvl>
    <w:lvl w:ilvl="7" w:tplc="0C0A0019" w:tentative="1">
      <w:start w:val="1"/>
      <w:numFmt w:val="lowerLetter"/>
      <w:lvlText w:val="%8."/>
      <w:lvlJc w:val="left"/>
      <w:pPr>
        <w:ind w:left="13055" w:hanging="360"/>
      </w:pPr>
    </w:lvl>
    <w:lvl w:ilvl="8" w:tplc="0C0A001B" w:tentative="1">
      <w:start w:val="1"/>
      <w:numFmt w:val="lowerRoman"/>
      <w:lvlText w:val="%9."/>
      <w:lvlJc w:val="right"/>
      <w:pPr>
        <w:ind w:left="13775" w:hanging="180"/>
      </w:pPr>
    </w:lvl>
  </w:abstractNum>
  <w:abstractNum w:abstractNumId="1"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8" w15:restartNumberingAfterBreak="0">
    <w:nsid w:val="17DC0368"/>
    <w:multiLevelType w:val="hybridMultilevel"/>
    <w:tmpl w:val="422CF1B4"/>
    <w:lvl w:ilvl="0" w:tplc="E6BC6160">
      <w:start w:val="2"/>
      <w:numFmt w:val="lowerRoman"/>
      <w:lvlText w:val="(%1)"/>
      <w:lvlJc w:val="left"/>
      <w:pPr>
        <w:tabs>
          <w:tab w:val="num" w:pos="1334"/>
        </w:tabs>
        <w:ind w:left="1334" w:hanging="1050"/>
      </w:pPr>
      <w:rPr>
        <w:rFonts w:hint="default"/>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9"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2C4D46"/>
    <w:multiLevelType w:val="hybridMultilevel"/>
    <w:tmpl w:val="AD38DAC4"/>
    <w:lvl w:ilvl="0" w:tplc="0C0A000F">
      <w:start w:val="3"/>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1F6525"/>
    <w:multiLevelType w:val="hybridMultilevel"/>
    <w:tmpl w:val="7578D71A"/>
    <w:lvl w:ilvl="0" w:tplc="144C2F78">
      <w:start w:val="1"/>
      <w:numFmt w:val="decimal"/>
      <w:lvlText w:val="%1."/>
      <w:lvlJc w:val="left"/>
      <w:pPr>
        <w:tabs>
          <w:tab w:val="num" w:pos="774"/>
        </w:tabs>
        <w:ind w:left="774" w:hanging="41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7" w15:restartNumberingAfterBreak="0">
    <w:nsid w:val="68665826"/>
    <w:multiLevelType w:val="hybridMultilevel"/>
    <w:tmpl w:val="03F2ADFA"/>
    <w:lvl w:ilvl="0" w:tplc="AEA0E4BC">
      <w:start w:val="3"/>
      <w:numFmt w:val="lowerRoman"/>
      <w:lvlText w:val="(%1)"/>
      <w:lvlJc w:val="left"/>
      <w:pPr>
        <w:tabs>
          <w:tab w:val="num" w:pos="1340"/>
        </w:tabs>
        <w:ind w:left="1340" w:hanging="1056"/>
      </w:pPr>
      <w:rPr>
        <w:rFonts w:hint="default"/>
        <w:b/>
        <w:sz w:val="22"/>
      </w:rPr>
    </w:lvl>
    <w:lvl w:ilvl="1" w:tplc="7830675E">
      <w:start w:val="6"/>
      <w:numFmt w:val="decimal"/>
      <w:lvlText w:val="%2-"/>
      <w:lvlJc w:val="left"/>
      <w:pPr>
        <w:tabs>
          <w:tab w:val="num" w:pos="1364"/>
        </w:tabs>
        <w:ind w:left="1364" w:hanging="360"/>
      </w:pPr>
      <w:rPr>
        <w:rFonts w:hint="default"/>
      </w:rPr>
    </w:lvl>
    <w:lvl w:ilvl="2" w:tplc="CB3E8F50">
      <w:start w:val="3"/>
      <w:numFmt w:val="decimal"/>
      <w:lvlText w:val="%3."/>
      <w:lvlJc w:val="left"/>
      <w:pPr>
        <w:tabs>
          <w:tab w:val="num" w:pos="2264"/>
        </w:tabs>
        <w:ind w:left="2264" w:hanging="360"/>
      </w:pPr>
      <w:rPr>
        <w:rFonts w:hint="default"/>
      </w:r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8"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0"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1"/>
  </w:num>
  <w:num w:numId="2">
    <w:abstractNumId w:val="11"/>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12"/>
  </w:num>
  <w:num w:numId="4">
    <w:abstractNumId w:val="9"/>
  </w:num>
  <w:num w:numId="5">
    <w:abstractNumId w:val="1"/>
  </w:num>
  <w:num w:numId="6">
    <w:abstractNumId w:val="3"/>
  </w:num>
  <w:num w:numId="7">
    <w:abstractNumId w:val="5"/>
  </w:num>
  <w:num w:numId="8">
    <w:abstractNumId w:val="2"/>
  </w:num>
  <w:num w:numId="9">
    <w:abstractNumId w:val="18"/>
  </w:num>
  <w:num w:numId="10">
    <w:abstractNumId w:val="14"/>
  </w:num>
  <w:num w:numId="11">
    <w:abstractNumId w:val="10"/>
  </w:num>
  <w:num w:numId="12">
    <w:abstractNumId w:val="19"/>
  </w:num>
  <w:num w:numId="13">
    <w:abstractNumId w:val="20"/>
  </w:num>
  <w:num w:numId="14">
    <w:abstractNumId w:val="4"/>
  </w:num>
  <w:num w:numId="15">
    <w:abstractNumId w:val="16"/>
  </w:num>
  <w:num w:numId="16">
    <w:abstractNumId w:val="7"/>
  </w:num>
  <w:num w:numId="17">
    <w:abstractNumId w:val="21"/>
  </w:num>
  <w:num w:numId="18">
    <w:abstractNumId w:val="17"/>
  </w:num>
  <w:num w:numId="19">
    <w:abstractNumId w:val="8"/>
  </w:num>
  <w:num w:numId="20">
    <w:abstractNumId w:val="15"/>
  </w:num>
  <w:num w:numId="21">
    <w:abstractNumId w:val="6"/>
  </w:num>
  <w:num w:numId="22">
    <w:abstractNumId w:val="0"/>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99"/>
    <w:rsid w:val="00000037"/>
    <w:rsid w:val="00003759"/>
    <w:rsid w:val="00015F9B"/>
    <w:rsid w:val="00017C56"/>
    <w:rsid w:val="00020621"/>
    <w:rsid w:val="00022BB2"/>
    <w:rsid w:val="00023C37"/>
    <w:rsid w:val="0005710F"/>
    <w:rsid w:val="000579FC"/>
    <w:rsid w:val="00061D88"/>
    <w:rsid w:val="000D0584"/>
    <w:rsid w:val="000D5E6B"/>
    <w:rsid w:val="000E3646"/>
    <w:rsid w:val="000F34DD"/>
    <w:rsid w:val="000F41DF"/>
    <w:rsid w:val="0010241C"/>
    <w:rsid w:val="0011195F"/>
    <w:rsid w:val="0012512F"/>
    <w:rsid w:val="0012630C"/>
    <w:rsid w:val="0014101F"/>
    <w:rsid w:val="00142165"/>
    <w:rsid w:val="0015347D"/>
    <w:rsid w:val="00161DA1"/>
    <w:rsid w:val="001708AD"/>
    <w:rsid w:val="001731B8"/>
    <w:rsid w:val="001852DD"/>
    <w:rsid w:val="00191F85"/>
    <w:rsid w:val="001A3842"/>
    <w:rsid w:val="001B14AB"/>
    <w:rsid w:val="001B228C"/>
    <w:rsid w:val="001C1F15"/>
    <w:rsid w:val="001C783F"/>
    <w:rsid w:val="001D7178"/>
    <w:rsid w:val="001F2261"/>
    <w:rsid w:val="0020736F"/>
    <w:rsid w:val="00213130"/>
    <w:rsid w:val="00227D78"/>
    <w:rsid w:val="00276902"/>
    <w:rsid w:val="0028798D"/>
    <w:rsid w:val="002946B2"/>
    <w:rsid w:val="002A2E2B"/>
    <w:rsid w:val="002A3833"/>
    <w:rsid w:val="002B1741"/>
    <w:rsid w:val="002B32AC"/>
    <w:rsid w:val="002B385E"/>
    <w:rsid w:val="002C3F0D"/>
    <w:rsid w:val="002C7F92"/>
    <w:rsid w:val="002E07DF"/>
    <w:rsid w:val="002E2CB0"/>
    <w:rsid w:val="00306FC9"/>
    <w:rsid w:val="00330567"/>
    <w:rsid w:val="003410FE"/>
    <w:rsid w:val="003539A9"/>
    <w:rsid w:val="00356EE8"/>
    <w:rsid w:val="00360CD5"/>
    <w:rsid w:val="003B7FD2"/>
    <w:rsid w:val="003C78C6"/>
    <w:rsid w:val="003F0520"/>
    <w:rsid w:val="003F7667"/>
    <w:rsid w:val="003F7687"/>
    <w:rsid w:val="00407F97"/>
    <w:rsid w:val="004128EA"/>
    <w:rsid w:val="00430C10"/>
    <w:rsid w:val="00441D53"/>
    <w:rsid w:val="00443399"/>
    <w:rsid w:val="00443D1D"/>
    <w:rsid w:val="00457127"/>
    <w:rsid w:val="00471C89"/>
    <w:rsid w:val="00471E38"/>
    <w:rsid w:val="00477E99"/>
    <w:rsid w:val="004877DB"/>
    <w:rsid w:val="004B4B1B"/>
    <w:rsid w:val="004B6DFC"/>
    <w:rsid w:val="004C1CF4"/>
    <w:rsid w:val="004C2E19"/>
    <w:rsid w:val="004F3BD3"/>
    <w:rsid w:val="00500932"/>
    <w:rsid w:val="00520399"/>
    <w:rsid w:val="00522210"/>
    <w:rsid w:val="00522D4F"/>
    <w:rsid w:val="00524CCF"/>
    <w:rsid w:val="0052699F"/>
    <w:rsid w:val="00530155"/>
    <w:rsid w:val="005370DA"/>
    <w:rsid w:val="0054268C"/>
    <w:rsid w:val="0055320F"/>
    <w:rsid w:val="00555273"/>
    <w:rsid w:val="005621E1"/>
    <w:rsid w:val="005655A3"/>
    <w:rsid w:val="00574DB2"/>
    <w:rsid w:val="0058FE87"/>
    <w:rsid w:val="00590811"/>
    <w:rsid w:val="00590AC1"/>
    <w:rsid w:val="005C0B49"/>
    <w:rsid w:val="005C3EDC"/>
    <w:rsid w:val="005C5277"/>
    <w:rsid w:val="005C6242"/>
    <w:rsid w:val="0060664F"/>
    <w:rsid w:val="00610362"/>
    <w:rsid w:val="00620065"/>
    <w:rsid w:val="00633327"/>
    <w:rsid w:val="00640507"/>
    <w:rsid w:val="006753D7"/>
    <w:rsid w:val="00675C5B"/>
    <w:rsid w:val="006B148C"/>
    <w:rsid w:val="006B4153"/>
    <w:rsid w:val="006B69CC"/>
    <w:rsid w:val="006D5A33"/>
    <w:rsid w:val="006D7BC2"/>
    <w:rsid w:val="006E1233"/>
    <w:rsid w:val="006E2E1F"/>
    <w:rsid w:val="006F7E3A"/>
    <w:rsid w:val="0071075C"/>
    <w:rsid w:val="007108B6"/>
    <w:rsid w:val="00713C17"/>
    <w:rsid w:val="00733E94"/>
    <w:rsid w:val="00734781"/>
    <w:rsid w:val="00756D28"/>
    <w:rsid w:val="0076279C"/>
    <w:rsid w:val="00776DE7"/>
    <w:rsid w:val="0078112A"/>
    <w:rsid w:val="007B151D"/>
    <w:rsid w:val="007C67AC"/>
    <w:rsid w:val="007D0414"/>
    <w:rsid w:val="007D5D8F"/>
    <w:rsid w:val="007E4273"/>
    <w:rsid w:val="008138CA"/>
    <w:rsid w:val="00814960"/>
    <w:rsid w:val="00825CBA"/>
    <w:rsid w:val="00831B2C"/>
    <w:rsid w:val="00835663"/>
    <w:rsid w:val="00836ACA"/>
    <w:rsid w:val="00842874"/>
    <w:rsid w:val="008660DA"/>
    <w:rsid w:val="008670D6"/>
    <w:rsid w:val="00867465"/>
    <w:rsid w:val="00885644"/>
    <w:rsid w:val="008B414F"/>
    <w:rsid w:val="008B603E"/>
    <w:rsid w:val="008E018F"/>
    <w:rsid w:val="008E198D"/>
    <w:rsid w:val="008E4C5A"/>
    <w:rsid w:val="008F561C"/>
    <w:rsid w:val="008F73FB"/>
    <w:rsid w:val="00914211"/>
    <w:rsid w:val="00926096"/>
    <w:rsid w:val="009371AA"/>
    <w:rsid w:val="00937AF4"/>
    <w:rsid w:val="009429BF"/>
    <w:rsid w:val="00957C7B"/>
    <w:rsid w:val="009623B2"/>
    <w:rsid w:val="00962F79"/>
    <w:rsid w:val="009643EC"/>
    <w:rsid w:val="0097334E"/>
    <w:rsid w:val="00996677"/>
    <w:rsid w:val="0099776D"/>
    <w:rsid w:val="009A2663"/>
    <w:rsid w:val="009A3F7B"/>
    <w:rsid w:val="009A4B04"/>
    <w:rsid w:val="009B16F4"/>
    <w:rsid w:val="009B685F"/>
    <w:rsid w:val="009C634F"/>
    <w:rsid w:val="009E4457"/>
    <w:rsid w:val="00A01E29"/>
    <w:rsid w:val="00A1205E"/>
    <w:rsid w:val="00A16104"/>
    <w:rsid w:val="00A37B79"/>
    <w:rsid w:val="00A54902"/>
    <w:rsid w:val="00A54E93"/>
    <w:rsid w:val="00A62306"/>
    <w:rsid w:val="00A739CA"/>
    <w:rsid w:val="00A77B48"/>
    <w:rsid w:val="00A92B7D"/>
    <w:rsid w:val="00A962F3"/>
    <w:rsid w:val="00A967B1"/>
    <w:rsid w:val="00AA2538"/>
    <w:rsid w:val="00AC2810"/>
    <w:rsid w:val="00B14867"/>
    <w:rsid w:val="00B212CC"/>
    <w:rsid w:val="00B36420"/>
    <w:rsid w:val="00B6609A"/>
    <w:rsid w:val="00B76856"/>
    <w:rsid w:val="00B76DFC"/>
    <w:rsid w:val="00B87944"/>
    <w:rsid w:val="00B928B5"/>
    <w:rsid w:val="00B92CA3"/>
    <w:rsid w:val="00BB4A4C"/>
    <w:rsid w:val="00BB7BC9"/>
    <w:rsid w:val="00BD14C6"/>
    <w:rsid w:val="00BD48F0"/>
    <w:rsid w:val="00BE3FA5"/>
    <w:rsid w:val="00BE5A45"/>
    <w:rsid w:val="00BE7518"/>
    <w:rsid w:val="00BF3C48"/>
    <w:rsid w:val="00BF4F41"/>
    <w:rsid w:val="00BF61FC"/>
    <w:rsid w:val="00C009DD"/>
    <w:rsid w:val="00C23A9E"/>
    <w:rsid w:val="00C268CB"/>
    <w:rsid w:val="00C27E3F"/>
    <w:rsid w:val="00C36C1C"/>
    <w:rsid w:val="00C4290C"/>
    <w:rsid w:val="00C4798C"/>
    <w:rsid w:val="00C506F7"/>
    <w:rsid w:val="00C56807"/>
    <w:rsid w:val="00C63E79"/>
    <w:rsid w:val="00C85CAC"/>
    <w:rsid w:val="00C902A0"/>
    <w:rsid w:val="00C93D48"/>
    <w:rsid w:val="00CA193A"/>
    <w:rsid w:val="00CA628E"/>
    <w:rsid w:val="00CB1A1F"/>
    <w:rsid w:val="00CB1ECF"/>
    <w:rsid w:val="00CE18E7"/>
    <w:rsid w:val="00CE2924"/>
    <w:rsid w:val="00CE2C54"/>
    <w:rsid w:val="00CF558F"/>
    <w:rsid w:val="00D04925"/>
    <w:rsid w:val="00D061F6"/>
    <w:rsid w:val="00D250D2"/>
    <w:rsid w:val="00D3357F"/>
    <w:rsid w:val="00D33620"/>
    <w:rsid w:val="00D42B36"/>
    <w:rsid w:val="00D66CCA"/>
    <w:rsid w:val="00D66EC2"/>
    <w:rsid w:val="00D7472C"/>
    <w:rsid w:val="00D7668A"/>
    <w:rsid w:val="00D83A5D"/>
    <w:rsid w:val="00D91220"/>
    <w:rsid w:val="00D9483E"/>
    <w:rsid w:val="00D96C5D"/>
    <w:rsid w:val="00DA305C"/>
    <w:rsid w:val="00DA5E9E"/>
    <w:rsid w:val="00DA7A50"/>
    <w:rsid w:val="00DB3EE7"/>
    <w:rsid w:val="00DB72CD"/>
    <w:rsid w:val="00DC47B7"/>
    <w:rsid w:val="00DD497E"/>
    <w:rsid w:val="00DE6C90"/>
    <w:rsid w:val="00DF2DE4"/>
    <w:rsid w:val="00DF5CCC"/>
    <w:rsid w:val="00E235E2"/>
    <w:rsid w:val="00E26F18"/>
    <w:rsid w:val="00E307DD"/>
    <w:rsid w:val="00E34E43"/>
    <w:rsid w:val="00E4512D"/>
    <w:rsid w:val="00E457BA"/>
    <w:rsid w:val="00E468A0"/>
    <w:rsid w:val="00E5193A"/>
    <w:rsid w:val="00E51BD9"/>
    <w:rsid w:val="00E73666"/>
    <w:rsid w:val="00E73A76"/>
    <w:rsid w:val="00E84DDE"/>
    <w:rsid w:val="00EA6461"/>
    <w:rsid w:val="00EB1F0E"/>
    <w:rsid w:val="00EB2910"/>
    <w:rsid w:val="00EC7DA6"/>
    <w:rsid w:val="00EE3086"/>
    <w:rsid w:val="00EE71F8"/>
    <w:rsid w:val="00EF7F40"/>
    <w:rsid w:val="00F456BB"/>
    <w:rsid w:val="00F702F5"/>
    <w:rsid w:val="00F71134"/>
    <w:rsid w:val="00F95D4C"/>
    <w:rsid w:val="00F966B0"/>
    <w:rsid w:val="00FA16B5"/>
    <w:rsid w:val="00FA4714"/>
    <w:rsid w:val="00FB5B8F"/>
    <w:rsid w:val="00FE2274"/>
    <w:rsid w:val="00FF01F6"/>
    <w:rsid w:val="00FF0389"/>
    <w:rsid w:val="00FF276C"/>
    <w:rsid w:val="0170DECB"/>
    <w:rsid w:val="019233DC"/>
    <w:rsid w:val="01964073"/>
    <w:rsid w:val="02DD3B8D"/>
    <w:rsid w:val="03434BAB"/>
    <w:rsid w:val="038B65A7"/>
    <w:rsid w:val="03909F49"/>
    <w:rsid w:val="06486287"/>
    <w:rsid w:val="07B089A3"/>
    <w:rsid w:val="082ECEE8"/>
    <w:rsid w:val="0870D52C"/>
    <w:rsid w:val="08A3693F"/>
    <w:rsid w:val="0B2B77A8"/>
    <w:rsid w:val="0C0677E0"/>
    <w:rsid w:val="0D157088"/>
    <w:rsid w:val="0D7B9700"/>
    <w:rsid w:val="0D90E616"/>
    <w:rsid w:val="0E424E38"/>
    <w:rsid w:val="0EE82CC4"/>
    <w:rsid w:val="0EE9355E"/>
    <w:rsid w:val="0EF9844C"/>
    <w:rsid w:val="11132DD8"/>
    <w:rsid w:val="116A3A38"/>
    <w:rsid w:val="120D3F84"/>
    <w:rsid w:val="12145B69"/>
    <w:rsid w:val="12FEB5A5"/>
    <w:rsid w:val="1332B9BE"/>
    <w:rsid w:val="13EB2FFF"/>
    <w:rsid w:val="13FF463B"/>
    <w:rsid w:val="14214230"/>
    <w:rsid w:val="147C92BE"/>
    <w:rsid w:val="14FFB573"/>
    <w:rsid w:val="15B59A2F"/>
    <w:rsid w:val="166F9692"/>
    <w:rsid w:val="16B22FB7"/>
    <w:rsid w:val="17EFA3C6"/>
    <w:rsid w:val="188604A0"/>
    <w:rsid w:val="19579B39"/>
    <w:rsid w:val="19E8ADBD"/>
    <w:rsid w:val="1A14A3D1"/>
    <w:rsid w:val="1A357850"/>
    <w:rsid w:val="1A6810F0"/>
    <w:rsid w:val="1A6F03B7"/>
    <w:rsid w:val="1B78BC21"/>
    <w:rsid w:val="1BEC3F70"/>
    <w:rsid w:val="1C4C4A74"/>
    <w:rsid w:val="1D550644"/>
    <w:rsid w:val="1D6D1912"/>
    <w:rsid w:val="1D7DF508"/>
    <w:rsid w:val="1D995EBF"/>
    <w:rsid w:val="1E2A58F0"/>
    <w:rsid w:val="1EF6AF1C"/>
    <w:rsid w:val="1F761411"/>
    <w:rsid w:val="1FD32113"/>
    <w:rsid w:val="2077FBD6"/>
    <w:rsid w:val="2105670B"/>
    <w:rsid w:val="221E6C32"/>
    <w:rsid w:val="23DC5A96"/>
    <w:rsid w:val="245F978C"/>
    <w:rsid w:val="26DB3268"/>
    <w:rsid w:val="271BE8DE"/>
    <w:rsid w:val="277D48A1"/>
    <w:rsid w:val="2799AE90"/>
    <w:rsid w:val="28B7B93F"/>
    <w:rsid w:val="28FC2553"/>
    <w:rsid w:val="29C548A4"/>
    <w:rsid w:val="2A5389A0"/>
    <w:rsid w:val="2A5C1A56"/>
    <w:rsid w:val="2B15B0EF"/>
    <w:rsid w:val="2B923BF2"/>
    <w:rsid w:val="2BDBB6B2"/>
    <w:rsid w:val="2BEDD54A"/>
    <w:rsid w:val="2CFCE966"/>
    <w:rsid w:val="2D159A13"/>
    <w:rsid w:val="2D512D86"/>
    <w:rsid w:val="2DF85500"/>
    <w:rsid w:val="300BB333"/>
    <w:rsid w:val="30C2CB24"/>
    <w:rsid w:val="3131B08B"/>
    <w:rsid w:val="31E287C9"/>
    <w:rsid w:val="3217C79F"/>
    <w:rsid w:val="32663B99"/>
    <w:rsid w:val="32C1E8D0"/>
    <w:rsid w:val="33B4E39C"/>
    <w:rsid w:val="35963C47"/>
    <w:rsid w:val="367E2E8F"/>
    <w:rsid w:val="36D613F5"/>
    <w:rsid w:val="37935B6E"/>
    <w:rsid w:val="379D1D4A"/>
    <w:rsid w:val="37E055C2"/>
    <w:rsid w:val="3900DB98"/>
    <w:rsid w:val="3913AD4C"/>
    <w:rsid w:val="3A0528A0"/>
    <w:rsid w:val="3A401804"/>
    <w:rsid w:val="3A69AD6A"/>
    <w:rsid w:val="3A714D7E"/>
    <w:rsid w:val="3AABEF6A"/>
    <w:rsid w:val="3B4C5E0E"/>
    <w:rsid w:val="3BA98518"/>
    <w:rsid w:val="3C0D1DDF"/>
    <w:rsid w:val="3C0F48EE"/>
    <w:rsid w:val="3CB67068"/>
    <w:rsid w:val="3D455579"/>
    <w:rsid w:val="3E41CCFC"/>
    <w:rsid w:val="3E695A61"/>
    <w:rsid w:val="3F44BEA1"/>
    <w:rsid w:val="3F5869E1"/>
    <w:rsid w:val="402C4983"/>
    <w:rsid w:val="407CF63B"/>
    <w:rsid w:val="4089DA27"/>
    <w:rsid w:val="437670B2"/>
    <w:rsid w:val="4389AE5F"/>
    <w:rsid w:val="4397EDA9"/>
    <w:rsid w:val="43B33637"/>
    <w:rsid w:val="453EBD48"/>
    <w:rsid w:val="455854E4"/>
    <w:rsid w:val="4686FAA7"/>
    <w:rsid w:val="46DA66DB"/>
    <w:rsid w:val="46DA8DA9"/>
    <w:rsid w:val="483500C6"/>
    <w:rsid w:val="488FF5A6"/>
    <w:rsid w:val="4A1B33D1"/>
    <w:rsid w:val="4A2BC607"/>
    <w:rsid w:val="4A3EC746"/>
    <w:rsid w:val="4A4767EF"/>
    <w:rsid w:val="4A7073FA"/>
    <w:rsid w:val="4AB30271"/>
    <w:rsid w:val="4BFD8EB8"/>
    <w:rsid w:val="4C4ED2D2"/>
    <w:rsid w:val="4CF63C2B"/>
    <w:rsid w:val="4D40FD3F"/>
    <w:rsid w:val="4DE56721"/>
    <w:rsid w:val="4EA4AAC5"/>
    <w:rsid w:val="4F716F7F"/>
    <w:rsid w:val="4FE4E579"/>
    <w:rsid w:val="500F1F69"/>
    <w:rsid w:val="502D2052"/>
    <w:rsid w:val="502DDCED"/>
    <w:rsid w:val="52837365"/>
    <w:rsid w:val="532C61B2"/>
    <w:rsid w:val="55014E10"/>
    <w:rsid w:val="55439010"/>
    <w:rsid w:val="554DA7AA"/>
    <w:rsid w:val="578C4967"/>
    <w:rsid w:val="588D92EE"/>
    <w:rsid w:val="58E45D57"/>
    <w:rsid w:val="5953FA68"/>
    <w:rsid w:val="59A469CD"/>
    <w:rsid w:val="59CF47BD"/>
    <w:rsid w:val="5AC3EA29"/>
    <w:rsid w:val="5F1244EF"/>
    <w:rsid w:val="60E49E71"/>
    <w:rsid w:val="61A4EE48"/>
    <w:rsid w:val="63798700"/>
    <w:rsid w:val="644F26A4"/>
    <w:rsid w:val="64C8A4B5"/>
    <w:rsid w:val="64D31ACA"/>
    <w:rsid w:val="65551C7E"/>
    <w:rsid w:val="65B80F94"/>
    <w:rsid w:val="660E8A56"/>
    <w:rsid w:val="663E93C1"/>
    <w:rsid w:val="66C4DE3E"/>
    <w:rsid w:val="6729E7C7"/>
    <w:rsid w:val="675BE721"/>
    <w:rsid w:val="67AA5AB7"/>
    <w:rsid w:val="69314D46"/>
    <w:rsid w:val="69462B18"/>
    <w:rsid w:val="69E48EF3"/>
    <w:rsid w:val="6A958583"/>
    <w:rsid w:val="6AB23955"/>
    <w:rsid w:val="6AE1FB79"/>
    <w:rsid w:val="6B3780C0"/>
    <w:rsid w:val="6CECBF89"/>
    <w:rsid w:val="6DB2E360"/>
    <w:rsid w:val="6ECDE1BA"/>
    <w:rsid w:val="6FDB30B6"/>
    <w:rsid w:val="6FDC5EC1"/>
    <w:rsid w:val="7069B21B"/>
    <w:rsid w:val="717BFCEB"/>
    <w:rsid w:val="71EC8659"/>
    <w:rsid w:val="722A6349"/>
    <w:rsid w:val="73909E3B"/>
    <w:rsid w:val="73CF0556"/>
    <w:rsid w:val="75F3D834"/>
    <w:rsid w:val="765F11A8"/>
    <w:rsid w:val="7771F145"/>
    <w:rsid w:val="78AA0DD1"/>
    <w:rsid w:val="790DC1A6"/>
    <w:rsid w:val="7AEB2EF7"/>
    <w:rsid w:val="7AF9930A"/>
    <w:rsid w:val="7BE0B7F6"/>
    <w:rsid w:val="7C1A8F10"/>
    <w:rsid w:val="7C353CC3"/>
    <w:rsid w:val="7C529398"/>
    <w:rsid w:val="7C54E554"/>
    <w:rsid w:val="7CA778DC"/>
    <w:rsid w:val="7D6E8A3A"/>
    <w:rsid w:val="7D9AF6BF"/>
    <w:rsid w:val="7DE132C9"/>
    <w:rsid w:val="7DF3F9FE"/>
    <w:rsid w:val="7E020748"/>
    <w:rsid w:val="7E24DE22"/>
    <w:rsid w:val="7E5244C1"/>
    <w:rsid w:val="7EE7CEEF"/>
    <w:rsid w:val="7F10A435"/>
    <w:rsid w:val="7F522FD2"/>
    <w:rsid w:val="7F869D3D"/>
    <w:rsid w:val="7FECF7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2ACE6"/>
  <w15:docId w15:val="{BE4B96C1-1DC1-47D1-A91E-BE76C8C9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2C"/>
    <w:rPr>
      <w:sz w:val="24"/>
      <w:szCs w:val="24"/>
    </w:rPr>
  </w:style>
  <w:style w:type="paragraph" w:styleId="Ttulo2">
    <w:name w:val="heading 2"/>
    <w:basedOn w:val="Normal"/>
    <w:next w:val="Normal"/>
    <w:qFormat/>
    <w:rsid w:val="00D7472C"/>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D7472C"/>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D7472C"/>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D7472C"/>
    <w:pPr>
      <w:spacing w:line="360" w:lineRule="auto"/>
      <w:jc w:val="both"/>
    </w:pPr>
    <w:rPr>
      <w:rFonts w:ascii="Arial" w:hAnsi="Arial"/>
      <w:sz w:val="26"/>
      <w:szCs w:val="20"/>
      <w:lang w:val="es-ES_tradnl"/>
    </w:rPr>
  </w:style>
  <w:style w:type="paragraph" w:styleId="Textoindependiente2">
    <w:name w:val="Body Text 2"/>
    <w:basedOn w:val="Normal"/>
    <w:rsid w:val="00D7472C"/>
    <w:pPr>
      <w:spacing w:line="360" w:lineRule="auto"/>
      <w:ind w:right="51"/>
      <w:jc w:val="both"/>
    </w:pPr>
    <w:rPr>
      <w:rFonts w:ascii="Arial" w:hAnsi="Arial"/>
      <w:szCs w:val="20"/>
      <w:lang w:val="es-ES_tradnl"/>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uiPriority w:val="99"/>
    <w:semiHidden/>
    <w:rsid w:val="00D7472C"/>
    <w:rPr>
      <w:vertAlign w:val="superscript"/>
    </w:rPr>
  </w:style>
  <w:style w:type="paragraph" w:styleId="Cierre">
    <w:name w:val="Closing"/>
    <w:basedOn w:val="Normal"/>
    <w:rsid w:val="00D7472C"/>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texto de nota al pie"/>
    <w:basedOn w:val="Normal"/>
    <w:link w:val="TextonotapieCar1"/>
    <w:qFormat/>
    <w:rsid w:val="00D7472C"/>
    <w:rPr>
      <w:sz w:val="20"/>
      <w:szCs w:val="20"/>
      <w:lang w:val="es-ES_tradnl"/>
    </w:rPr>
  </w:style>
  <w:style w:type="paragraph" w:styleId="Encabezado">
    <w:name w:val="header"/>
    <w:basedOn w:val="Normal"/>
    <w:rsid w:val="00D7472C"/>
    <w:pPr>
      <w:tabs>
        <w:tab w:val="center" w:pos="4252"/>
        <w:tab w:val="right" w:pos="8504"/>
      </w:tabs>
    </w:pPr>
    <w:rPr>
      <w:sz w:val="20"/>
      <w:szCs w:val="20"/>
      <w:lang w:val="es-ES_tradnl"/>
    </w:rPr>
  </w:style>
  <w:style w:type="paragraph" w:styleId="Piedepgina">
    <w:name w:val="footer"/>
    <w:basedOn w:val="Normal"/>
    <w:rsid w:val="00D7472C"/>
    <w:pPr>
      <w:tabs>
        <w:tab w:val="center" w:pos="4419"/>
        <w:tab w:val="right" w:pos="8838"/>
      </w:tabs>
    </w:pPr>
    <w:rPr>
      <w:sz w:val="20"/>
      <w:szCs w:val="20"/>
      <w:lang w:val="es-ES_tradnl"/>
    </w:rPr>
  </w:style>
  <w:style w:type="character" w:styleId="Hipervnculo">
    <w:name w:val="Hyperlink"/>
    <w:rsid w:val="00D7472C"/>
    <w:rPr>
      <w:rFonts w:ascii="Times New Roman" w:hAnsi="Times New Roman" w:cs="Times New Roman" w:hint="default"/>
      <w:color w:val="660099"/>
      <w:u w:val="single"/>
    </w:rPr>
  </w:style>
  <w:style w:type="character" w:customStyle="1" w:styleId="PiedepginaCar">
    <w:name w:val="Pie de página Car"/>
    <w:locked/>
    <w:rsid w:val="00D7472C"/>
    <w:rPr>
      <w:lang w:val="es-ES_tradnl" w:eastAsia="es-ES" w:bidi="ar-SA"/>
    </w:rPr>
  </w:style>
  <w:style w:type="paragraph" w:styleId="Textodebloque">
    <w:name w:val="Block Text"/>
    <w:basedOn w:val="Normal"/>
    <w:rsid w:val="00D7472C"/>
    <w:pPr>
      <w:overflowPunct w:val="0"/>
      <w:autoSpaceDE w:val="0"/>
      <w:autoSpaceDN w:val="0"/>
      <w:adjustRightInd w:val="0"/>
      <w:ind w:left="360" w:right="740"/>
      <w:jc w:val="both"/>
    </w:pPr>
    <w:rPr>
      <w:rFonts w:ascii="Arial" w:hAnsi="Arial" w:cs="Arial"/>
      <w:i/>
      <w:iCs/>
      <w:sz w:val="20"/>
      <w:lang w:val="es-CO"/>
    </w:rPr>
  </w:style>
  <w:style w:type="paragraph" w:customStyle="1" w:styleId="Style8">
    <w:name w:val="Style8"/>
    <w:basedOn w:val="Normal"/>
    <w:rsid w:val="00D7472C"/>
    <w:pPr>
      <w:widowControl w:val="0"/>
      <w:autoSpaceDE w:val="0"/>
      <w:autoSpaceDN w:val="0"/>
      <w:adjustRightInd w:val="0"/>
      <w:spacing w:line="434" w:lineRule="exact"/>
      <w:ind w:firstLine="1157"/>
      <w:jc w:val="both"/>
    </w:pPr>
    <w:rPr>
      <w:rFonts w:ascii="Tahoma" w:hAnsi="Tahoma"/>
    </w:rPr>
  </w:style>
  <w:style w:type="character" w:customStyle="1" w:styleId="FontStyle24">
    <w:name w:val="Font Style24"/>
    <w:rsid w:val="00D7472C"/>
    <w:rPr>
      <w:rFonts w:ascii="Tahoma" w:hAnsi="Tahoma" w:cs="Tahoma"/>
      <w:color w:val="000000"/>
      <w:sz w:val="20"/>
      <w:szCs w:val="20"/>
    </w:rPr>
  </w:style>
  <w:style w:type="paragraph" w:customStyle="1" w:styleId="Style4">
    <w:name w:val="Style4"/>
    <w:basedOn w:val="Normal"/>
    <w:rsid w:val="00D7472C"/>
    <w:pPr>
      <w:widowControl w:val="0"/>
      <w:autoSpaceDE w:val="0"/>
      <w:autoSpaceDN w:val="0"/>
      <w:adjustRightInd w:val="0"/>
      <w:spacing w:line="290" w:lineRule="exact"/>
      <w:jc w:val="both"/>
    </w:pPr>
    <w:rPr>
      <w:rFonts w:ascii="Tahoma" w:hAnsi="Tahoma"/>
    </w:rPr>
  </w:style>
  <w:style w:type="character" w:customStyle="1" w:styleId="FontStyle20">
    <w:name w:val="Font Style20"/>
    <w:rsid w:val="00D7472C"/>
    <w:rPr>
      <w:rFonts w:ascii="Book Antiqua" w:hAnsi="Book Antiqua" w:cs="Book Antiqua"/>
      <w:i/>
      <w:iCs/>
      <w:color w:val="000000"/>
      <w:sz w:val="22"/>
      <w:szCs w:val="22"/>
    </w:rPr>
  </w:style>
  <w:style w:type="character" w:customStyle="1" w:styleId="FontStyle21">
    <w:name w:val="Font Style21"/>
    <w:rsid w:val="00D7472C"/>
    <w:rPr>
      <w:rFonts w:ascii="Book Antiqua" w:hAnsi="Book Antiqua" w:cs="Book Antiqua"/>
      <w:b/>
      <w:bCs/>
      <w:i/>
      <w:iCs/>
      <w:color w:val="000000"/>
      <w:sz w:val="22"/>
      <w:szCs w:val="22"/>
    </w:rPr>
  </w:style>
  <w:style w:type="paragraph" w:customStyle="1" w:styleId="Style10">
    <w:name w:val="Style10"/>
    <w:basedOn w:val="Normal"/>
    <w:rsid w:val="00D7472C"/>
    <w:pPr>
      <w:widowControl w:val="0"/>
      <w:autoSpaceDE w:val="0"/>
      <w:autoSpaceDN w:val="0"/>
      <w:adjustRightInd w:val="0"/>
    </w:pPr>
    <w:rPr>
      <w:rFonts w:ascii="Tahoma" w:hAnsi="Tahoma"/>
    </w:rPr>
  </w:style>
  <w:style w:type="character" w:customStyle="1" w:styleId="FontStyle22">
    <w:name w:val="Font Style22"/>
    <w:rsid w:val="00D7472C"/>
    <w:rPr>
      <w:rFonts w:ascii="Tahoma" w:hAnsi="Tahoma" w:cs="Tahoma"/>
      <w:i/>
      <w:iCs/>
      <w:color w:val="000000"/>
      <w:spacing w:val="10"/>
      <w:sz w:val="20"/>
      <w:szCs w:val="20"/>
    </w:rPr>
  </w:style>
  <w:style w:type="character" w:customStyle="1" w:styleId="FontStyle23">
    <w:name w:val="Font Style23"/>
    <w:rsid w:val="00D7472C"/>
    <w:rPr>
      <w:rFonts w:ascii="Arial" w:hAnsi="Arial" w:cs="Arial"/>
      <w:color w:val="000000"/>
      <w:sz w:val="14"/>
      <w:szCs w:val="14"/>
    </w:rPr>
  </w:style>
  <w:style w:type="character" w:customStyle="1" w:styleId="FontStyle25">
    <w:name w:val="Font Style25"/>
    <w:rsid w:val="00D7472C"/>
    <w:rPr>
      <w:rFonts w:ascii="Tahoma" w:hAnsi="Tahoma" w:cs="Tahoma"/>
      <w:b/>
      <w:bCs/>
      <w:color w:val="000000"/>
      <w:sz w:val="20"/>
      <w:szCs w:val="20"/>
    </w:rPr>
  </w:style>
  <w:style w:type="paragraph" w:styleId="Textodeglobo">
    <w:name w:val="Balloon Text"/>
    <w:basedOn w:val="Normal"/>
    <w:link w:val="TextodegloboCar"/>
    <w:rsid w:val="00A54E93"/>
    <w:rPr>
      <w:rFonts w:ascii="Segoe UI" w:hAnsi="Segoe UI" w:cs="Segoe UI"/>
      <w:sz w:val="18"/>
      <w:szCs w:val="18"/>
    </w:rPr>
  </w:style>
  <w:style w:type="character" w:customStyle="1" w:styleId="TextodegloboCar">
    <w:name w:val="Texto de globo Car"/>
    <w:link w:val="Textodeglobo"/>
    <w:rsid w:val="00A54E93"/>
    <w:rPr>
      <w:rFonts w:ascii="Segoe UI" w:hAnsi="Segoe UI" w:cs="Segoe UI"/>
      <w:sz w:val="18"/>
      <w:szCs w:val="18"/>
    </w:rPr>
  </w:style>
  <w:style w:type="character" w:customStyle="1" w:styleId="TextoindependienteCar">
    <w:name w:val="Texto independiente Car"/>
    <w:link w:val="Textoindependiente"/>
    <w:rsid w:val="00B14867"/>
    <w:rPr>
      <w:rFonts w:ascii="Arial" w:hAnsi="Arial"/>
      <w:sz w:val="26"/>
      <w:lang w:val="es-ES_tradnl"/>
    </w:rPr>
  </w:style>
  <w:style w:type="character" w:customStyle="1" w:styleId="apple-converted-space">
    <w:name w:val="apple-converted-space"/>
    <w:rsid w:val="009B16F4"/>
    <w:rPr>
      <w:rFonts w:ascii="Times New Roman" w:hAnsi="Times New Roman" w:cs="Times New Roman" w:hint="default"/>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 Car,Footnote Text Char Char Char Car1,Footnote Text Char Car"/>
    <w:link w:val="Textonotapie"/>
    <w:rsid w:val="009B16F4"/>
    <w:rPr>
      <w:lang w:val="es-ES_tradnl"/>
    </w:rPr>
  </w:style>
  <w:style w:type="paragraph" w:customStyle="1" w:styleId="p1">
    <w:name w:val="p1"/>
    <w:basedOn w:val="Normal"/>
    <w:rsid w:val="009B16F4"/>
    <w:pPr>
      <w:spacing w:before="100" w:beforeAutospacing="1" w:after="100" w:afterAutospacing="1"/>
    </w:pPr>
  </w:style>
  <w:style w:type="paragraph" w:customStyle="1" w:styleId="p2">
    <w:name w:val="p2"/>
    <w:basedOn w:val="Normal"/>
    <w:rsid w:val="00F702F5"/>
    <w:pPr>
      <w:spacing w:before="100" w:beforeAutospacing="1" w:after="100" w:afterAutospacing="1"/>
    </w:pPr>
  </w:style>
  <w:style w:type="paragraph" w:styleId="Prrafodelista">
    <w:name w:val="List Paragraph"/>
    <w:basedOn w:val="Normal"/>
    <w:uiPriority w:val="34"/>
    <w:qFormat/>
    <w:rsid w:val="00675C5B"/>
    <w:pPr>
      <w:ind w:left="720"/>
      <w:contextualSpacing/>
    </w:p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0849">
      <w:bodyDiv w:val="1"/>
      <w:marLeft w:val="0"/>
      <w:marRight w:val="0"/>
      <w:marTop w:val="0"/>
      <w:marBottom w:val="0"/>
      <w:divBdr>
        <w:top w:val="none" w:sz="0" w:space="0" w:color="auto"/>
        <w:left w:val="none" w:sz="0" w:space="0" w:color="auto"/>
        <w:bottom w:val="none" w:sz="0" w:space="0" w:color="auto"/>
        <w:right w:val="none" w:sz="0" w:space="0" w:color="auto"/>
      </w:divBdr>
    </w:div>
    <w:div w:id="20856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9e5078d1afd94bee"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AF868B01-F4E0-4269-9653-3F3CC9174DFD}">
  <ds:schemaRefs>
    <ds:schemaRef ds:uri="http://schemas.microsoft.com/sharepoint/v3/contenttype/forms"/>
  </ds:schemaRefs>
</ds:datastoreItem>
</file>

<file path=customXml/itemProps2.xml><?xml version="1.0" encoding="utf-8"?>
<ds:datastoreItem xmlns:ds="http://schemas.openxmlformats.org/officeDocument/2006/customXml" ds:itemID="{49C623E8-FEC7-4E73-B6B0-FC3C24CAE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896AB-8A03-4F44-A8C0-A2BD0DBFEEA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3415</Words>
  <Characters>18784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6</cp:revision>
  <cp:lastPrinted>2014-12-19T16:24:00Z</cp:lastPrinted>
  <dcterms:created xsi:type="dcterms:W3CDTF">2023-01-11T20:28:00Z</dcterms:created>
  <dcterms:modified xsi:type="dcterms:W3CDTF">2023-03-02T14:22:00Z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