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100" w:rsidRPr="00FA0029" w:rsidRDefault="004A7100" w:rsidP="00876037">
      <w:pPr>
        <w:pStyle w:val="Ttulo"/>
        <w:widowControl/>
        <w:jc w:val="left"/>
        <w:rPr>
          <w:rFonts w:ascii="Arial" w:hAnsi="Arial" w:cs="Arial"/>
          <w:b w:val="0"/>
          <w:bCs w:val="0"/>
          <w:spacing w:val="2"/>
          <w:lang w:val="es-CO"/>
        </w:rPr>
      </w:pPr>
      <w:r>
        <w:rPr>
          <w:rFonts w:ascii="Arial" w:hAnsi="Arial" w:cs="Arial"/>
          <w:b w:val="0"/>
          <w:bCs w:val="0"/>
          <w:spacing w:val="2"/>
        </w:rPr>
        <w:t>Providencia:</w:t>
      </w:r>
      <w:r w:rsidR="00876037">
        <w:rPr>
          <w:rFonts w:ascii="Arial" w:hAnsi="Arial" w:cs="Arial"/>
          <w:b w:val="0"/>
          <w:bCs w:val="0"/>
          <w:spacing w:val="2"/>
        </w:rPr>
        <w:tab/>
      </w:r>
      <w:r>
        <w:rPr>
          <w:rFonts w:ascii="Arial" w:hAnsi="Arial" w:cs="Arial"/>
          <w:b w:val="0"/>
          <w:bCs w:val="0"/>
          <w:spacing w:val="2"/>
          <w:lang w:val="es-CO"/>
        </w:rPr>
        <w:t>Salvamento de voto</w:t>
      </w:r>
    </w:p>
    <w:p w:rsidR="004A7100" w:rsidRDefault="004A7100" w:rsidP="00876037">
      <w:pPr>
        <w:pStyle w:val="Ttulo"/>
        <w:widowControl/>
        <w:jc w:val="left"/>
        <w:rPr>
          <w:rFonts w:ascii="Arial" w:hAnsi="Arial" w:cs="Arial"/>
          <w:b w:val="0"/>
          <w:bCs w:val="0"/>
          <w:spacing w:val="2"/>
        </w:rPr>
      </w:pPr>
      <w:r>
        <w:rPr>
          <w:rFonts w:ascii="Arial" w:hAnsi="Arial" w:cs="Arial"/>
          <w:b w:val="0"/>
          <w:bCs w:val="0"/>
          <w:spacing w:val="2"/>
        </w:rPr>
        <w:t>Radicación</w:t>
      </w:r>
      <w:r w:rsidR="00876037">
        <w:rPr>
          <w:rFonts w:ascii="Arial" w:hAnsi="Arial" w:cs="Arial"/>
          <w:b w:val="0"/>
          <w:bCs w:val="0"/>
          <w:spacing w:val="2"/>
          <w:lang w:val="es-CO"/>
        </w:rPr>
        <w:t>:</w:t>
      </w:r>
      <w:r>
        <w:rPr>
          <w:rFonts w:ascii="Arial" w:hAnsi="Arial" w:cs="Arial"/>
          <w:b w:val="0"/>
          <w:bCs w:val="0"/>
          <w:spacing w:val="2"/>
        </w:rPr>
        <w:tab/>
        <w:t>66001-31-05-00</w:t>
      </w:r>
      <w:r>
        <w:rPr>
          <w:rFonts w:ascii="Arial" w:hAnsi="Arial" w:cs="Arial"/>
          <w:b w:val="0"/>
          <w:bCs w:val="0"/>
          <w:spacing w:val="2"/>
          <w:lang w:val="es-ES"/>
        </w:rPr>
        <w:t>5</w:t>
      </w:r>
      <w:r>
        <w:rPr>
          <w:rFonts w:ascii="Arial" w:hAnsi="Arial" w:cs="Arial"/>
          <w:b w:val="0"/>
          <w:bCs w:val="0"/>
          <w:spacing w:val="2"/>
        </w:rPr>
        <w:t>-20</w:t>
      </w:r>
      <w:r>
        <w:rPr>
          <w:rFonts w:ascii="Arial" w:hAnsi="Arial" w:cs="Arial"/>
          <w:b w:val="0"/>
          <w:bCs w:val="0"/>
          <w:spacing w:val="2"/>
          <w:lang w:val="es-CO"/>
        </w:rPr>
        <w:t>18</w:t>
      </w:r>
      <w:r>
        <w:rPr>
          <w:rFonts w:ascii="Arial" w:hAnsi="Arial" w:cs="Arial"/>
          <w:b w:val="0"/>
          <w:bCs w:val="0"/>
          <w:spacing w:val="2"/>
        </w:rPr>
        <w:t>-00</w:t>
      </w:r>
      <w:r>
        <w:rPr>
          <w:rFonts w:ascii="Arial" w:hAnsi="Arial" w:cs="Arial"/>
          <w:b w:val="0"/>
          <w:bCs w:val="0"/>
          <w:spacing w:val="2"/>
          <w:lang w:val="es-ES"/>
        </w:rPr>
        <w:t>277</w:t>
      </w:r>
      <w:r>
        <w:rPr>
          <w:rFonts w:ascii="Arial" w:hAnsi="Arial" w:cs="Arial"/>
          <w:b w:val="0"/>
          <w:bCs w:val="0"/>
          <w:spacing w:val="2"/>
        </w:rPr>
        <w:t>-01</w:t>
      </w:r>
    </w:p>
    <w:p w:rsidR="004A7100" w:rsidRPr="00934D25" w:rsidRDefault="004A7100" w:rsidP="00876037">
      <w:pPr>
        <w:pStyle w:val="Ttulo"/>
        <w:widowControl/>
        <w:jc w:val="left"/>
        <w:rPr>
          <w:rFonts w:ascii="Arial" w:hAnsi="Arial" w:cs="Arial"/>
          <w:b w:val="0"/>
          <w:bCs w:val="0"/>
          <w:spacing w:val="2"/>
          <w:lang w:val="es-CO"/>
        </w:rPr>
      </w:pPr>
      <w:r>
        <w:rPr>
          <w:rFonts w:ascii="Arial" w:hAnsi="Arial" w:cs="Arial"/>
          <w:b w:val="0"/>
          <w:bCs w:val="0"/>
          <w:spacing w:val="2"/>
        </w:rPr>
        <w:t>Proceso</w:t>
      </w:r>
      <w:r w:rsidR="00876037">
        <w:rPr>
          <w:rFonts w:ascii="Arial" w:hAnsi="Arial" w:cs="Arial"/>
          <w:b w:val="0"/>
          <w:bCs w:val="0"/>
          <w:spacing w:val="2"/>
          <w:lang w:val="es-CO"/>
        </w:rPr>
        <w:t>:</w:t>
      </w:r>
      <w:r>
        <w:rPr>
          <w:rFonts w:ascii="Arial" w:hAnsi="Arial" w:cs="Arial"/>
          <w:b w:val="0"/>
          <w:bCs w:val="0"/>
          <w:spacing w:val="2"/>
        </w:rPr>
        <w:tab/>
      </w:r>
      <w:r>
        <w:rPr>
          <w:rFonts w:ascii="Arial" w:hAnsi="Arial" w:cs="Arial"/>
          <w:b w:val="0"/>
          <w:bCs w:val="0"/>
          <w:spacing w:val="2"/>
          <w:lang w:val="es-CO"/>
        </w:rPr>
        <w:t>Ordinario</w:t>
      </w:r>
    </w:p>
    <w:p w:rsidR="004A7100" w:rsidRPr="00E84F1C" w:rsidRDefault="004A7100" w:rsidP="00876037">
      <w:pPr>
        <w:pStyle w:val="Ttulo"/>
        <w:widowControl/>
        <w:jc w:val="left"/>
        <w:rPr>
          <w:rFonts w:ascii="Arial" w:hAnsi="Arial" w:cs="Arial"/>
          <w:b w:val="0"/>
          <w:bCs w:val="0"/>
          <w:spacing w:val="2"/>
          <w:lang w:val="es-ES"/>
        </w:rPr>
      </w:pPr>
      <w:r>
        <w:rPr>
          <w:rFonts w:ascii="Arial" w:hAnsi="Arial" w:cs="Arial"/>
          <w:b w:val="0"/>
          <w:bCs w:val="0"/>
          <w:spacing w:val="2"/>
        </w:rPr>
        <w:t>Demandante:</w:t>
      </w:r>
      <w:r>
        <w:rPr>
          <w:rFonts w:ascii="Arial" w:hAnsi="Arial" w:cs="Arial"/>
          <w:b w:val="0"/>
          <w:bCs w:val="0"/>
          <w:spacing w:val="2"/>
        </w:rPr>
        <w:tab/>
      </w:r>
      <w:r>
        <w:rPr>
          <w:rFonts w:ascii="Arial" w:hAnsi="Arial" w:cs="Arial"/>
          <w:b w:val="0"/>
          <w:bCs w:val="0"/>
          <w:spacing w:val="2"/>
          <w:lang w:val="es-ES"/>
        </w:rPr>
        <w:t>Lucía Margarita Echeverry de Betancur</w:t>
      </w:r>
      <w:r w:rsidRPr="00E74E5A">
        <w:rPr>
          <w:rFonts w:ascii="Arial" w:hAnsi="Arial" w:cs="Arial"/>
          <w:spacing w:val="2"/>
          <w:lang w:val="es-ES"/>
        </w:rPr>
        <w:t xml:space="preserve"> </w:t>
      </w:r>
      <w:r>
        <w:rPr>
          <w:rFonts w:ascii="Arial" w:hAnsi="Arial" w:cs="Arial"/>
          <w:b w:val="0"/>
          <w:bCs w:val="0"/>
          <w:spacing w:val="2"/>
          <w:lang w:val="es-ES"/>
        </w:rPr>
        <w:t xml:space="preserve"> </w:t>
      </w:r>
    </w:p>
    <w:p w:rsidR="004A7100" w:rsidRPr="00E84F1C" w:rsidRDefault="004A7100" w:rsidP="00876037">
      <w:pPr>
        <w:pStyle w:val="Ttulo"/>
        <w:widowControl/>
        <w:jc w:val="left"/>
        <w:rPr>
          <w:rFonts w:ascii="Arial" w:hAnsi="Arial" w:cs="Arial"/>
          <w:b w:val="0"/>
          <w:bCs w:val="0"/>
          <w:spacing w:val="2"/>
          <w:lang w:val="es-ES"/>
        </w:rPr>
      </w:pPr>
      <w:r>
        <w:rPr>
          <w:rFonts w:ascii="Arial" w:hAnsi="Arial" w:cs="Arial"/>
          <w:b w:val="0"/>
          <w:bCs w:val="0"/>
          <w:spacing w:val="2"/>
        </w:rPr>
        <w:t>Demandado:</w:t>
      </w:r>
      <w:r>
        <w:rPr>
          <w:rFonts w:ascii="Arial" w:hAnsi="Arial" w:cs="Arial"/>
          <w:b w:val="0"/>
          <w:bCs w:val="0"/>
          <w:spacing w:val="2"/>
        </w:rPr>
        <w:tab/>
      </w:r>
      <w:r>
        <w:rPr>
          <w:rFonts w:ascii="Arial" w:hAnsi="Arial" w:cs="Arial"/>
          <w:b w:val="0"/>
          <w:bCs w:val="0"/>
          <w:spacing w:val="2"/>
          <w:lang w:val="es-ES"/>
        </w:rPr>
        <w:t>Colpensiones</w:t>
      </w:r>
    </w:p>
    <w:p w:rsidR="004A7100" w:rsidRPr="00210971" w:rsidRDefault="004A7100" w:rsidP="00876037">
      <w:pPr>
        <w:pStyle w:val="Ttulo"/>
        <w:widowControl/>
        <w:jc w:val="left"/>
        <w:rPr>
          <w:rFonts w:ascii="Arial" w:hAnsi="Arial" w:cs="Arial"/>
          <w:b w:val="0"/>
          <w:bCs w:val="0"/>
          <w:spacing w:val="2"/>
        </w:rPr>
      </w:pPr>
    </w:p>
    <w:p w:rsidR="00210971" w:rsidRPr="00210971" w:rsidRDefault="00210971" w:rsidP="00876037">
      <w:pPr>
        <w:pStyle w:val="Ttulo"/>
        <w:widowControl/>
        <w:jc w:val="left"/>
        <w:rPr>
          <w:rFonts w:ascii="Arial" w:hAnsi="Arial" w:cs="Arial"/>
          <w:b w:val="0"/>
          <w:bCs w:val="0"/>
          <w:spacing w:val="2"/>
        </w:rPr>
      </w:pPr>
    </w:p>
    <w:p w:rsidR="004A7100" w:rsidRPr="00210971" w:rsidRDefault="004A7100" w:rsidP="00210971">
      <w:pPr>
        <w:pStyle w:val="Ttulo"/>
        <w:widowControl/>
        <w:jc w:val="left"/>
        <w:rPr>
          <w:rFonts w:ascii="Arial" w:hAnsi="Arial" w:cs="Arial"/>
          <w:b w:val="0"/>
          <w:bCs w:val="0"/>
          <w:spacing w:val="2"/>
        </w:rPr>
      </w:pPr>
    </w:p>
    <w:p w:rsidR="00210971" w:rsidRPr="00210971" w:rsidRDefault="00210971" w:rsidP="00210971">
      <w:pPr>
        <w:pStyle w:val="Ttulo"/>
        <w:widowControl/>
        <w:jc w:val="left"/>
        <w:rPr>
          <w:rFonts w:ascii="Arial" w:hAnsi="Arial" w:cs="Arial"/>
          <w:b w:val="0"/>
          <w:bCs w:val="0"/>
          <w:spacing w:val="2"/>
        </w:rPr>
      </w:pPr>
    </w:p>
    <w:p w:rsidR="004A7100" w:rsidRDefault="004A7100" w:rsidP="00210971">
      <w:pPr>
        <w:keepNext/>
        <w:spacing w:after="0"/>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4A7100" w:rsidRDefault="004A7100" w:rsidP="00210971">
      <w:pPr>
        <w:spacing w:after="0"/>
        <w:jc w:val="center"/>
        <w:rPr>
          <w:rFonts w:ascii="Arial" w:hAnsi="Arial" w:cs="Arial"/>
          <w:b/>
          <w:sz w:val="24"/>
          <w:szCs w:val="24"/>
        </w:rPr>
      </w:pPr>
      <w:r>
        <w:rPr>
          <w:rFonts w:ascii="Arial" w:hAnsi="Arial" w:cs="Arial"/>
          <w:b/>
          <w:sz w:val="24"/>
          <w:szCs w:val="24"/>
        </w:rPr>
        <w:t>SALA LABORAL</w:t>
      </w:r>
    </w:p>
    <w:p w:rsidR="004A7100" w:rsidRDefault="004A7100" w:rsidP="00210971">
      <w:pPr>
        <w:spacing w:after="0"/>
        <w:jc w:val="center"/>
        <w:rPr>
          <w:rFonts w:ascii="Arial" w:hAnsi="Arial" w:cs="Arial"/>
          <w:b/>
          <w:sz w:val="24"/>
          <w:szCs w:val="24"/>
        </w:rPr>
      </w:pPr>
    </w:p>
    <w:p w:rsidR="004A7100" w:rsidRDefault="004A7100" w:rsidP="00210971">
      <w:pPr>
        <w:spacing w:after="0"/>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rsidR="004A7100" w:rsidRDefault="004A7100" w:rsidP="00210971">
      <w:pPr>
        <w:spacing w:after="0"/>
        <w:rPr>
          <w:rFonts w:ascii="Arial" w:hAnsi="Arial" w:cs="Arial"/>
          <w:sz w:val="24"/>
          <w:szCs w:val="24"/>
        </w:rPr>
      </w:pPr>
    </w:p>
    <w:p w:rsidR="004A7100" w:rsidRPr="001232DC" w:rsidRDefault="004A7100" w:rsidP="00210971">
      <w:pPr>
        <w:spacing w:after="0"/>
        <w:jc w:val="center"/>
        <w:rPr>
          <w:rFonts w:ascii="Arial" w:hAnsi="Arial" w:cs="Arial"/>
          <w:sz w:val="24"/>
          <w:szCs w:val="24"/>
        </w:rPr>
      </w:pPr>
      <w:r w:rsidRPr="001232DC">
        <w:rPr>
          <w:rFonts w:ascii="Arial" w:hAnsi="Arial" w:cs="Arial"/>
          <w:sz w:val="24"/>
          <w:szCs w:val="24"/>
          <w:lang w:val="es-ES"/>
        </w:rPr>
        <w:t xml:space="preserve">Pereira, </w:t>
      </w:r>
      <w:r w:rsidR="009C12E9">
        <w:rPr>
          <w:rFonts w:ascii="Arial" w:hAnsi="Arial" w:cs="Arial"/>
          <w:sz w:val="24"/>
          <w:szCs w:val="24"/>
          <w:lang w:val="es-ES"/>
        </w:rPr>
        <w:t>Trece</w:t>
      </w:r>
      <w:r w:rsidRPr="001232DC">
        <w:rPr>
          <w:rFonts w:ascii="Arial" w:hAnsi="Arial" w:cs="Arial"/>
          <w:sz w:val="24"/>
          <w:szCs w:val="24"/>
          <w:lang w:val="es-ES"/>
        </w:rPr>
        <w:t xml:space="preserve"> [</w:t>
      </w:r>
      <w:r w:rsidR="009C12E9">
        <w:rPr>
          <w:rFonts w:ascii="Arial" w:hAnsi="Arial" w:cs="Arial"/>
          <w:sz w:val="24"/>
          <w:szCs w:val="24"/>
          <w:lang w:val="es-ES"/>
        </w:rPr>
        <w:t>13</w:t>
      </w:r>
      <w:r w:rsidRPr="001232DC">
        <w:rPr>
          <w:rFonts w:ascii="Arial" w:hAnsi="Arial" w:cs="Arial"/>
          <w:sz w:val="24"/>
          <w:szCs w:val="24"/>
          <w:lang w:val="es-ES"/>
        </w:rPr>
        <w:t xml:space="preserve">] de </w:t>
      </w:r>
      <w:r>
        <w:rPr>
          <w:rFonts w:ascii="Arial" w:hAnsi="Arial" w:cs="Arial"/>
          <w:sz w:val="24"/>
          <w:szCs w:val="24"/>
          <w:lang w:val="es-ES"/>
        </w:rPr>
        <w:t>marzo de dos mil veintitrés [2023</w:t>
      </w:r>
      <w:r w:rsidRPr="001232DC">
        <w:rPr>
          <w:rFonts w:ascii="Arial" w:hAnsi="Arial" w:cs="Arial"/>
          <w:sz w:val="24"/>
          <w:szCs w:val="24"/>
          <w:lang w:val="es-ES"/>
        </w:rPr>
        <w:t>].</w:t>
      </w:r>
    </w:p>
    <w:p w:rsidR="004A7100" w:rsidRDefault="004A7100" w:rsidP="00210971">
      <w:pPr>
        <w:spacing w:after="0"/>
        <w:rPr>
          <w:rFonts w:ascii="Arial" w:hAnsi="Arial" w:cs="Arial"/>
          <w:sz w:val="24"/>
          <w:szCs w:val="24"/>
        </w:rPr>
      </w:pPr>
    </w:p>
    <w:p w:rsidR="00210971" w:rsidRDefault="00210971" w:rsidP="00210971">
      <w:pPr>
        <w:spacing w:after="0"/>
        <w:rPr>
          <w:rFonts w:ascii="Arial" w:hAnsi="Arial" w:cs="Arial"/>
          <w:sz w:val="24"/>
          <w:szCs w:val="24"/>
        </w:rPr>
      </w:pPr>
    </w:p>
    <w:p w:rsidR="00210971" w:rsidRPr="00210971" w:rsidRDefault="00210971" w:rsidP="00210971">
      <w:pPr>
        <w:spacing w:after="0"/>
        <w:jc w:val="center"/>
        <w:rPr>
          <w:rFonts w:ascii="Arial" w:hAnsi="Arial" w:cs="Arial"/>
          <w:b/>
          <w:sz w:val="24"/>
          <w:szCs w:val="24"/>
          <w:u w:val="single"/>
        </w:rPr>
      </w:pPr>
      <w:r w:rsidRPr="00210971">
        <w:rPr>
          <w:rFonts w:ascii="Arial" w:hAnsi="Arial" w:cs="Arial"/>
          <w:b/>
          <w:sz w:val="24"/>
          <w:szCs w:val="24"/>
          <w:u w:val="single"/>
        </w:rPr>
        <w:t>SALVAMENTO DE VOTO</w:t>
      </w:r>
    </w:p>
    <w:p w:rsidR="00210971" w:rsidRDefault="00210971" w:rsidP="00210971">
      <w:pPr>
        <w:spacing w:after="0"/>
        <w:rPr>
          <w:rFonts w:ascii="Arial" w:hAnsi="Arial" w:cs="Arial"/>
          <w:sz w:val="24"/>
          <w:szCs w:val="24"/>
        </w:rPr>
      </w:pPr>
    </w:p>
    <w:p w:rsidR="00210971" w:rsidRDefault="00210971" w:rsidP="00210971">
      <w:pPr>
        <w:spacing w:after="0"/>
        <w:rPr>
          <w:rFonts w:ascii="Arial" w:hAnsi="Arial" w:cs="Arial"/>
          <w:sz w:val="24"/>
          <w:szCs w:val="24"/>
        </w:rPr>
      </w:pPr>
    </w:p>
    <w:p w:rsidR="00210971" w:rsidRDefault="00210971" w:rsidP="00210971">
      <w:pPr>
        <w:spacing w:after="0"/>
        <w:rPr>
          <w:rFonts w:ascii="Arial" w:hAnsi="Arial" w:cs="Arial"/>
          <w:sz w:val="24"/>
          <w:szCs w:val="24"/>
        </w:rPr>
      </w:pPr>
    </w:p>
    <w:p w:rsidR="004A7100" w:rsidRPr="00D846E8" w:rsidRDefault="004A7100" w:rsidP="00210971">
      <w:pPr>
        <w:keepNext/>
        <w:spacing w:after="0"/>
        <w:jc w:val="both"/>
        <w:outlineLvl w:val="1"/>
        <w:rPr>
          <w:rFonts w:ascii="Arial" w:eastAsia="Times New Roman" w:hAnsi="Arial" w:cs="Arial"/>
          <w:bCs/>
          <w:iCs/>
          <w:sz w:val="24"/>
          <w:szCs w:val="24"/>
          <w:lang w:val="es-ES_tradnl" w:eastAsia="es-ES"/>
        </w:rPr>
      </w:pPr>
      <w:r>
        <w:rPr>
          <w:rFonts w:ascii="Arial" w:eastAsia="Times New Roman" w:hAnsi="Arial" w:cs="Arial"/>
          <w:bCs/>
          <w:iCs/>
          <w:sz w:val="24"/>
          <w:szCs w:val="24"/>
          <w:lang w:val="es-ES_tradnl" w:eastAsia="es-ES"/>
        </w:rPr>
        <w:t xml:space="preserve">Respetuosamente me separo parcialmente de la decisión mayoritaria, concretamente en lo relativo a los intereses moratorios que dispuso la mayoría confirmar respecto a la sentencia de primera instancia, por las siguientes razones </w:t>
      </w:r>
      <w:r>
        <w:rPr>
          <w:rFonts w:ascii="Arial" w:hAnsi="Arial" w:cs="Arial"/>
          <w:sz w:val="24"/>
        </w:rPr>
        <w:t>que expuse en la ponencia que originalmente presenté:</w:t>
      </w:r>
    </w:p>
    <w:p w:rsidR="004A7100" w:rsidRDefault="004A7100" w:rsidP="00210971">
      <w:pPr>
        <w:pStyle w:val="Textoindependiente"/>
        <w:spacing w:line="276" w:lineRule="auto"/>
        <w:ind w:right="284"/>
        <w:rPr>
          <w:rFonts w:eastAsia="Calibri" w:cs="Arial"/>
          <w:sz w:val="24"/>
          <w:szCs w:val="24"/>
          <w:lang w:val="es-CO" w:eastAsia="en-US"/>
        </w:rPr>
      </w:pPr>
    </w:p>
    <w:p w:rsidR="004A7100" w:rsidRPr="00D846E8" w:rsidRDefault="004A7100" w:rsidP="00CF2AA2">
      <w:pPr>
        <w:pStyle w:val="Textoindependiente"/>
        <w:spacing w:line="276" w:lineRule="auto"/>
        <w:ind w:left="426" w:right="-5"/>
        <w:rPr>
          <w:rFonts w:cs="Arial"/>
          <w:sz w:val="22"/>
          <w:szCs w:val="22"/>
        </w:rPr>
      </w:pPr>
      <w:r>
        <w:rPr>
          <w:rFonts w:cs="Arial"/>
          <w:sz w:val="22"/>
          <w:szCs w:val="22"/>
        </w:rPr>
        <w:t>“</w:t>
      </w:r>
      <w:r w:rsidRPr="00D846E8">
        <w:rPr>
          <w:rFonts w:cs="Arial"/>
          <w:sz w:val="22"/>
          <w:szCs w:val="22"/>
        </w:rPr>
        <w:t>Ahora bien, frente a la condena por concepto de intereses moratorios del artículo 141 de la ley 100 de 1993 emitida por la juzgadora de primer grado a partir de la ejecutoria de la sentencia, es del caso traer a colación la sentencia SL1476 de 2021, en la que la Sala de Casación Laboral de la Corte Suprema de Justicia sostuvo:  </w:t>
      </w:r>
    </w:p>
    <w:p w:rsidR="004A7100" w:rsidRPr="00D846E8" w:rsidRDefault="004A7100" w:rsidP="00210971">
      <w:pPr>
        <w:pStyle w:val="Textoindependiente"/>
        <w:spacing w:line="276" w:lineRule="auto"/>
        <w:ind w:left="426" w:right="284"/>
        <w:rPr>
          <w:rFonts w:cs="Arial"/>
          <w:sz w:val="22"/>
          <w:szCs w:val="22"/>
        </w:rPr>
      </w:pP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i/>
          <w:iCs/>
          <w:sz w:val="22"/>
          <w:szCs w:val="22"/>
        </w:rPr>
        <w:t>“Y en torno al segundo tópico discutido por la parte demandante en el recurso de alzada, resulta pertinente recordar que es verdad que esta Sala ha precisado que los intereses moratorios previstos en el artículo 141 de la Ley 100 de 1993 tienen un carácter resarcitorio y no sancionatorio, de manera que su imposición no está sometida a un análisis de la conducta de la respectiva entidad de seguridad social y a su posible apego a los postulados de la buena fe. </w:t>
      </w: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i/>
          <w:iCs/>
          <w:sz w:val="22"/>
          <w:szCs w:val="22"/>
        </w:rPr>
        <w:t>No obstante, la Corte también ha reconocido que existen algunos escenarios excepcionales en los que no se puede asumir que la entidad administradora de pensiones esté en mora de pagar las prestaciones a su cargo, bien porque actúa con apego al ordenamiento legal vigente --y en aplicación de reglas jurisprudenciales relativas a la validez de algunas normas-- o porque existe algún conflicto entre potenciales beneficiarios de la pensión, que solo puede ser dirimido por la jurisdicción ordinaria (SL454-2021, entre muchas otras). </w:t>
      </w: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i/>
          <w:iCs/>
          <w:sz w:val="22"/>
          <w:szCs w:val="22"/>
        </w:rPr>
        <w:t>Este último escenario fue el que se presentó en el sub examine, pues la entidad demandada advirtió que el pensionado fallecido tenía dos posibles beneficiarias de la prestación, luego, entonces, ese aparente conflicto entre beneficiarios impedía que la administradora reconociera la pensión de forma automática e irreflexiva, sin que antes la justicia ordinaria verificara a quién le correspondía el derecho --y en qué porcentajes--, con la citación de las partes pertinentes y con todas las garantías relativas al debido proceso, como sucedió en este asunto. </w:t>
      </w:r>
      <w:r w:rsidRPr="00D846E8">
        <w:rPr>
          <w:rFonts w:cs="Arial"/>
          <w:sz w:val="22"/>
          <w:szCs w:val="22"/>
        </w:rPr>
        <w:t> </w:t>
      </w:r>
    </w:p>
    <w:p w:rsidR="004A7100" w:rsidRPr="00D846E8" w:rsidRDefault="004A7100" w:rsidP="00CF2AA2">
      <w:pPr>
        <w:pStyle w:val="Textoindependiente"/>
        <w:spacing w:line="276" w:lineRule="auto"/>
        <w:ind w:left="851" w:right="420"/>
        <w:rPr>
          <w:rFonts w:cs="Arial"/>
          <w:sz w:val="22"/>
          <w:szCs w:val="22"/>
        </w:rPr>
      </w:pPr>
      <w:r w:rsidRPr="00D846E8">
        <w:rPr>
          <w:rFonts w:cs="Arial"/>
          <w:sz w:val="22"/>
          <w:szCs w:val="22"/>
        </w:rPr>
        <w:lastRenderedPageBreak/>
        <w:t> </w:t>
      </w:r>
    </w:p>
    <w:p w:rsidR="004A7100" w:rsidRPr="00D846E8" w:rsidRDefault="004A7100" w:rsidP="00CF2AA2">
      <w:pPr>
        <w:pStyle w:val="Textoindependiente"/>
        <w:spacing w:line="276" w:lineRule="auto"/>
        <w:ind w:left="851" w:right="420"/>
        <w:rPr>
          <w:rFonts w:cs="Arial"/>
          <w:sz w:val="22"/>
          <w:szCs w:val="22"/>
        </w:rPr>
      </w:pPr>
      <w:r w:rsidRPr="00D846E8">
        <w:rPr>
          <w:rFonts w:cs="Arial"/>
          <w:i/>
          <w:iCs/>
          <w:sz w:val="22"/>
          <w:szCs w:val="22"/>
        </w:rPr>
        <w:t>Por ello, la entidad demandada no estaba en mora de reconocer la pensión de sobrevivientes solicitada y, en consecuencia, no era dable imponerle los mentados intereses moratorios, como acertadamente lo determinó el juzgador de primer grado.”. </w:t>
      </w:r>
      <w:r w:rsidRPr="00D846E8">
        <w:rPr>
          <w:rFonts w:cs="Arial"/>
          <w:sz w:val="22"/>
          <w:szCs w:val="22"/>
        </w:rPr>
        <w:t> </w:t>
      </w:r>
    </w:p>
    <w:p w:rsidR="004A7100" w:rsidRPr="00D846E8" w:rsidRDefault="004A7100" w:rsidP="00210971">
      <w:pPr>
        <w:pStyle w:val="Textoindependiente"/>
        <w:spacing w:line="276" w:lineRule="auto"/>
        <w:ind w:left="426" w:right="284"/>
        <w:rPr>
          <w:rFonts w:cs="Arial"/>
          <w:sz w:val="22"/>
          <w:szCs w:val="22"/>
        </w:rPr>
      </w:pPr>
      <w:r w:rsidRPr="00D846E8">
        <w:rPr>
          <w:rFonts w:cs="Arial"/>
          <w:sz w:val="22"/>
          <w:szCs w:val="22"/>
        </w:rPr>
        <w:t> </w:t>
      </w:r>
    </w:p>
    <w:p w:rsidR="004A7100" w:rsidRPr="00D846E8" w:rsidRDefault="004A7100" w:rsidP="00CF2AA2">
      <w:pPr>
        <w:pStyle w:val="Textoindependiente"/>
        <w:spacing w:line="276" w:lineRule="auto"/>
        <w:ind w:left="426" w:right="-5"/>
        <w:rPr>
          <w:rFonts w:cs="Arial"/>
          <w:sz w:val="24"/>
          <w:szCs w:val="24"/>
        </w:rPr>
      </w:pPr>
      <w:r w:rsidRPr="00D846E8">
        <w:rPr>
          <w:rFonts w:cs="Arial"/>
          <w:sz w:val="22"/>
          <w:szCs w:val="22"/>
        </w:rPr>
        <w:t>Aplicando la postura de la Corte Suprema de Justicia frente a dicho tema, al haberse presentado en este caso una disputa entre dos potenciales beneficiarias de la sustitución pensional causada con el deceso del señor Carlos Arturo Betancur Cardona, que solo era posible dirimir al interior del presente ordinario laboral de primera instancia, no resulta procedente imponerle a la Administradora Colombiana de Pensiones condena por concepto de intereses moratorios del artículo 141 de la ley 100 de 1993, razón por la que se revocará parcialmente el ordinal cuarto de la sentencia proferida por el Juzgado Quinto Laboral del Circuito, con el fin de absolver a la entidad accionada frente a esa pretensión elevada por la parte actora.</w:t>
      </w:r>
      <w:r w:rsidRPr="00D846E8">
        <w:rPr>
          <w:rFonts w:cs="Arial"/>
          <w:sz w:val="24"/>
          <w:szCs w:val="24"/>
        </w:rPr>
        <w:t> </w:t>
      </w:r>
    </w:p>
    <w:p w:rsidR="004A7100" w:rsidRDefault="004A7100" w:rsidP="00210971">
      <w:pPr>
        <w:pStyle w:val="Textoindependiente"/>
        <w:spacing w:line="276" w:lineRule="auto"/>
        <w:ind w:right="284"/>
        <w:rPr>
          <w:rFonts w:eastAsia="Calibri" w:cs="Arial"/>
          <w:sz w:val="24"/>
          <w:szCs w:val="24"/>
          <w:lang w:val="es-CO" w:eastAsia="en-US"/>
        </w:rPr>
      </w:pPr>
    </w:p>
    <w:p w:rsidR="004A7100" w:rsidRPr="00487027" w:rsidRDefault="004A7100" w:rsidP="00210971">
      <w:pPr>
        <w:pStyle w:val="Textoindependiente"/>
        <w:spacing w:line="276" w:lineRule="auto"/>
        <w:ind w:right="284"/>
        <w:rPr>
          <w:sz w:val="24"/>
          <w:szCs w:val="24"/>
          <w:lang w:val="es-CO"/>
        </w:rPr>
      </w:pPr>
      <w:r>
        <w:rPr>
          <w:rFonts w:eastAsia="Calibri" w:cs="Arial"/>
          <w:sz w:val="24"/>
          <w:szCs w:val="24"/>
          <w:lang w:val="es-CO" w:eastAsia="en-US"/>
        </w:rPr>
        <w:t>Queda así salvado parcialmente mi voto, pues pienso que se debió revocar este específico punto de la condena de primer grado.</w:t>
      </w:r>
    </w:p>
    <w:p w:rsidR="004A7100" w:rsidRDefault="004A7100" w:rsidP="00210971">
      <w:pPr>
        <w:widowControl w:val="0"/>
        <w:autoSpaceDE w:val="0"/>
        <w:autoSpaceDN w:val="0"/>
        <w:adjustRightInd w:val="0"/>
        <w:spacing w:after="0"/>
        <w:jc w:val="both"/>
        <w:rPr>
          <w:rFonts w:ascii="Arial" w:hAnsi="Arial" w:cs="Arial"/>
          <w:b/>
          <w:sz w:val="24"/>
        </w:rPr>
      </w:pPr>
    </w:p>
    <w:p w:rsidR="00210971" w:rsidRDefault="00210971" w:rsidP="00210971">
      <w:pPr>
        <w:widowControl w:val="0"/>
        <w:autoSpaceDE w:val="0"/>
        <w:autoSpaceDN w:val="0"/>
        <w:adjustRightInd w:val="0"/>
        <w:spacing w:after="0"/>
        <w:jc w:val="both"/>
        <w:rPr>
          <w:rFonts w:ascii="Arial" w:hAnsi="Arial" w:cs="Arial"/>
          <w:b/>
          <w:sz w:val="24"/>
        </w:rPr>
      </w:pPr>
    </w:p>
    <w:p w:rsidR="00210971" w:rsidRDefault="00210971" w:rsidP="00210971">
      <w:pPr>
        <w:widowControl w:val="0"/>
        <w:autoSpaceDE w:val="0"/>
        <w:autoSpaceDN w:val="0"/>
        <w:adjustRightInd w:val="0"/>
        <w:spacing w:after="0"/>
        <w:jc w:val="both"/>
        <w:rPr>
          <w:rFonts w:ascii="Arial" w:hAnsi="Arial" w:cs="Arial"/>
          <w:b/>
          <w:sz w:val="24"/>
        </w:rPr>
      </w:pPr>
    </w:p>
    <w:p w:rsidR="004A7100" w:rsidRDefault="004A7100" w:rsidP="00210971">
      <w:pPr>
        <w:widowControl w:val="0"/>
        <w:autoSpaceDE w:val="0"/>
        <w:autoSpaceDN w:val="0"/>
        <w:adjustRightInd w:val="0"/>
        <w:spacing w:after="0"/>
        <w:jc w:val="both"/>
        <w:rPr>
          <w:rFonts w:ascii="Arial" w:hAnsi="Arial" w:cs="Arial"/>
          <w:b/>
          <w:sz w:val="24"/>
        </w:rPr>
      </w:pPr>
    </w:p>
    <w:p w:rsidR="004A7100" w:rsidRPr="00487027" w:rsidRDefault="004A7100" w:rsidP="00210971">
      <w:pPr>
        <w:widowControl w:val="0"/>
        <w:autoSpaceDE w:val="0"/>
        <w:autoSpaceDN w:val="0"/>
        <w:adjustRightInd w:val="0"/>
        <w:spacing w:after="0"/>
        <w:jc w:val="center"/>
        <w:rPr>
          <w:rFonts w:ascii="Arial" w:hAnsi="Arial" w:cs="Arial"/>
          <w:b/>
        </w:rPr>
      </w:pPr>
      <w:r w:rsidRPr="00487027">
        <w:rPr>
          <w:rFonts w:ascii="Arial" w:hAnsi="Arial" w:cs="Arial"/>
          <w:b/>
        </w:rPr>
        <w:t>JULIO CÉSAR SALAZAR MUÑOZ</w:t>
      </w:r>
    </w:p>
    <w:p w:rsidR="00087683" w:rsidRPr="00210971" w:rsidRDefault="004A7100" w:rsidP="00210971">
      <w:pPr>
        <w:widowControl w:val="0"/>
        <w:autoSpaceDE w:val="0"/>
        <w:autoSpaceDN w:val="0"/>
        <w:adjustRightInd w:val="0"/>
        <w:spacing w:after="0"/>
        <w:jc w:val="center"/>
        <w:rPr>
          <w:rFonts w:ascii="Arial" w:hAnsi="Arial" w:cs="Arial"/>
        </w:rPr>
      </w:pPr>
      <w:r>
        <w:rPr>
          <w:rFonts w:ascii="Arial" w:hAnsi="Arial" w:cs="Arial"/>
        </w:rPr>
        <w:t>Magistrado</w:t>
      </w:r>
    </w:p>
    <w:sectPr w:rsidR="00087683" w:rsidRPr="00210971" w:rsidSect="00CF2AA2">
      <w:headerReference w:type="even" r:id="rId6"/>
      <w:headerReference w:type="default" r:id="rId7"/>
      <w:footerReference w:type="even" r:id="rId8"/>
      <w:footerReference w:type="default" r:id="rId9"/>
      <w:headerReference w:type="first" r:id="rId10"/>
      <w:footerReference w:type="first" r:id="rId11"/>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14" w:rsidRDefault="000F5F14">
      <w:pPr>
        <w:spacing w:after="0" w:line="240" w:lineRule="auto"/>
      </w:pPr>
      <w:r>
        <w:separator/>
      </w:r>
    </w:p>
  </w:endnote>
  <w:endnote w:type="continuationSeparator" w:id="0">
    <w:p w:rsidR="000F5F14" w:rsidRDefault="000F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5B" w:rsidRDefault="00395A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987" w:rsidRDefault="009C12E9" w:rsidP="007B19C4">
    <w:pPr>
      <w:pStyle w:val="Encabezado"/>
      <w:spacing w:after="0" w:line="240" w:lineRule="auto"/>
      <w:jc w:val="right"/>
      <w:rPr>
        <w:rFonts w:ascii="Arial" w:hAnsi="Arial" w:cs="Arial"/>
        <w:sz w:val="20"/>
        <w:szCs w:val="20"/>
      </w:rPr>
    </w:pPr>
    <w:r w:rsidRPr="007B19C4">
      <w:rPr>
        <w:rFonts w:ascii="Arial" w:hAnsi="Arial" w:cs="Arial"/>
        <w:bCs/>
        <w:sz w:val="18"/>
        <w:szCs w:val="18"/>
        <w:lang w:val="es-ES"/>
      </w:rPr>
      <w:fldChar w:fldCharType="begin"/>
    </w:r>
    <w:r w:rsidRPr="007B19C4">
      <w:rPr>
        <w:rFonts w:ascii="Arial" w:hAnsi="Arial" w:cs="Arial"/>
        <w:bCs/>
        <w:sz w:val="18"/>
        <w:szCs w:val="18"/>
        <w:lang w:val="es-ES"/>
      </w:rPr>
      <w:instrText>PAGE   \* MERGEFORMAT</w:instrText>
    </w:r>
    <w:r w:rsidRPr="007B19C4">
      <w:rPr>
        <w:rFonts w:ascii="Arial" w:hAnsi="Arial" w:cs="Arial"/>
        <w:bCs/>
        <w:sz w:val="18"/>
        <w:szCs w:val="18"/>
        <w:lang w:val="es-ES"/>
      </w:rPr>
      <w:fldChar w:fldCharType="separate"/>
    </w:r>
    <w:r w:rsidRPr="007B19C4">
      <w:rPr>
        <w:rFonts w:ascii="Arial" w:hAnsi="Arial" w:cs="Arial"/>
        <w:bCs/>
        <w:sz w:val="18"/>
        <w:szCs w:val="18"/>
        <w:lang w:val="es-ES"/>
      </w:rPr>
      <w:t>7</w:t>
    </w:r>
    <w:r w:rsidRPr="007B19C4">
      <w:rPr>
        <w:rFonts w:ascii="Arial" w:hAnsi="Arial" w:cs="Arial"/>
        <w:bCs/>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5B" w:rsidRDefault="00395A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14" w:rsidRDefault="000F5F14">
      <w:pPr>
        <w:spacing w:after="0" w:line="240" w:lineRule="auto"/>
      </w:pPr>
      <w:r>
        <w:separator/>
      </w:r>
    </w:p>
  </w:footnote>
  <w:footnote w:type="continuationSeparator" w:id="0">
    <w:p w:rsidR="000F5F14" w:rsidRDefault="000F5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5B" w:rsidRDefault="00395A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5B" w:rsidRPr="00FD5EB0" w:rsidRDefault="00395A5B" w:rsidP="00395A5B">
    <w:pPr>
      <w:tabs>
        <w:tab w:val="center" w:pos="4419"/>
        <w:tab w:val="right" w:pos="8838"/>
      </w:tabs>
      <w:spacing w:after="0" w:line="240" w:lineRule="auto"/>
      <w:jc w:val="center"/>
      <w:rPr>
        <w:rFonts w:ascii="Arial" w:hAnsi="Arial" w:cs="Arial"/>
        <w:sz w:val="18"/>
        <w:szCs w:val="16"/>
        <w:lang w:val="es-ES"/>
      </w:rPr>
    </w:pPr>
    <w:bookmarkStart w:id="0" w:name="_GoBack"/>
    <w:bookmarkEnd w:id="0"/>
    <w:r w:rsidRPr="00FD5EB0">
      <w:rPr>
        <w:rFonts w:ascii="Arial" w:hAnsi="Arial" w:cs="Arial"/>
        <w:sz w:val="18"/>
        <w:szCs w:val="16"/>
        <w:lang w:val="es-ES"/>
      </w:rPr>
      <w:t>Proceso Ordinario Laboral</w:t>
    </w:r>
  </w:p>
  <w:p w:rsidR="00CF2AA2" w:rsidRPr="007B19C4" w:rsidRDefault="009C12E9" w:rsidP="007B19C4">
    <w:pPr>
      <w:pStyle w:val="Encabezado"/>
      <w:spacing w:after="0" w:line="240" w:lineRule="auto"/>
      <w:jc w:val="center"/>
      <w:rPr>
        <w:rFonts w:ascii="Arial" w:hAnsi="Arial" w:cs="Arial"/>
        <w:bCs/>
        <w:sz w:val="18"/>
        <w:szCs w:val="18"/>
      </w:rPr>
    </w:pPr>
    <w:r w:rsidRPr="007B19C4">
      <w:rPr>
        <w:rFonts w:ascii="Arial" w:hAnsi="Arial" w:cs="Arial"/>
        <w:bCs/>
        <w:sz w:val="18"/>
        <w:szCs w:val="18"/>
        <w:lang w:val="es-ES"/>
      </w:rPr>
      <w:t>Lucía Margarita Echeverry de Betancur</w:t>
    </w:r>
    <w:r w:rsidRPr="007B19C4">
      <w:rPr>
        <w:rFonts w:ascii="Arial" w:hAnsi="Arial" w:cs="Arial"/>
        <w:bCs/>
        <w:sz w:val="18"/>
        <w:szCs w:val="18"/>
      </w:rPr>
      <w:t xml:space="preserve"> Vs Colpensiones</w:t>
    </w:r>
  </w:p>
  <w:p w:rsidR="00371987" w:rsidRPr="007B19C4" w:rsidRDefault="009C12E9" w:rsidP="007B19C4">
    <w:pPr>
      <w:pStyle w:val="Encabezado"/>
      <w:spacing w:after="0" w:line="240" w:lineRule="auto"/>
      <w:jc w:val="center"/>
      <w:rPr>
        <w:rFonts w:ascii="Arial" w:hAnsi="Arial" w:cs="Arial"/>
        <w:bCs/>
        <w:sz w:val="18"/>
        <w:szCs w:val="18"/>
      </w:rPr>
    </w:pPr>
    <w:r w:rsidRPr="007B19C4">
      <w:rPr>
        <w:rFonts w:ascii="Arial" w:hAnsi="Arial" w:cs="Arial"/>
        <w:bCs/>
        <w:sz w:val="18"/>
        <w:szCs w:val="18"/>
      </w:rPr>
      <w:t>Rad 66001-31-05-00</w:t>
    </w:r>
    <w:r w:rsidRPr="007B19C4">
      <w:rPr>
        <w:rFonts w:ascii="Arial" w:hAnsi="Arial" w:cs="Arial"/>
        <w:bCs/>
        <w:sz w:val="18"/>
        <w:szCs w:val="18"/>
        <w:lang w:val="es-ES"/>
      </w:rPr>
      <w:t>5</w:t>
    </w:r>
    <w:r w:rsidRPr="007B19C4">
      <w:rPr>
        <w:rFonts w:ascii="Arial" w:hAnsi="Arial" w:cs="Arial"/>
        <w:bCs/>
        <w:sz w:val="18"/>
        <w:szCs w:val="18"/>
      </w:rPr>
      <w:t>-2018-00</w:t>
    </w:r>
    <w:r w:rsidRPr="007B19C4">
      <w:rPr>
        <w:rFonts w:ascii="Arial" w:hAnsi="Arial" w:cs="Arial"/>
        <w:bCs/>
        <w:sz w:val="18"/>
        <w:szCs w:val="18"/>
        <w:lang w:val="es-ES"/>
      </w:rPr>
      <w:t>277</w:t>
    </w:r>
    <w:r w:rsidRPr="007B19C4">
      <w:rPr>
        <w:rFonts w:ascii="Arial" w:hAnsi="Arial" w:cs="Arial"/>
        <w:bCs/>
        <w:sz w:val="18"/>
        <w:szCs w:val="18"/>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A5B" w:rsidRDefault="00395A5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00"/>
    <w:rsid w:val="000F5F14"/>
    <w:rsid w:val="00210971"/>
    <w:rsid w:val="00395A5B"/>
    <w:rsid w:val="004A7100"/>
    <w:rsid w:val="007B19C4"/>
    <w:rsid w:val="00876037"/>
    <w:rsid w:val="009C12E9"/>
    <w:rsid w:val="00C3243D"/>
    <w:rsid w:val="00CF2AA2"/>
    <w:rsid w:val="00D26EDF"/>
    <w:rsid w:val="00E72E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247D-26D1-4A27-923E-A923912F0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10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A7100"/>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A7100"/>
    <w:rPr>
      <w:rFonts w:ascii="Arial" w:eastAsia="Times New Roman" w:hAnsi="Arial" w:cs="Times New Roman"/>
      <w:sz w:val="26"/>
      <w:szCs w:val="20"/>
      <w:lang w:val="es-ES_tradnl" w:eastAsia="es-ES"/>
    </w:rPr>
  </w:style>
  <w:style w:type="paragraph" w:styleId="Ttulo">
    <w:name w:val="Title"/>
    <w:basedOn w:val="Normal"/>
    <w:link w:val="TtuloCar"/>
    <w:qFormat/>
    <w:rsid w:val="004A7100"/>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TtuloCar">
    <w:name w:val="Título Car"/>
    <w:basedOn w:val="Fuentedeprrafopredeter"/>
    <w:link w:val="Ttulo"/>
    <w:rsid w:val="004A7100"/>
    <w:rPr>
      <w:rFonts w:ascii="Roman 12cpi" w:eastAsia="Times New Roman" w:hAnsi="Roman 12cpi" w:cs="Times New Roman"/>
      <w:b/>
      <w:bCs/>
      <w:sz w:val="20"/>
      <w:szCs w:val="20"/>
      <w:lang w:val="x-none" w:eastAsia="x-none"/>
    </w:rPr>
  </w:style>
  <w:style w:type="paragraph" w:styleId="Encabezado">
    <w:name w:val="header"/>
    <w:basedOn w:val="Normal"/>
    <w:link w:val="EncabezadoCar"/>
    <w:uiPriority w:val="99"/>
    <w:unhideWhenUsed/>
    <w:rsid w:val="004A7100"/>
    <w:pPr>
      <w:tabs>
        <w:tab w:val="center" w:pos="4419"/>
        <w:tab w:val="right" w:pos="8838"/>
      </w:tabs>
    </w:pPr>
  </w:style>
  <w:style w:type="character" w:customStyle="1" w:styleId="EncabezadoCar">
    <w:name w:val="Encabezado Car"/>
    <w:basedOn w:val="Fuentedeprrafopredeter"/>
    <w:link w:val="Encabezado"/>
    <w:uiPriority w:val="99"/>
    <w:rsid w:val="004A7100"/>
    <w:rPr>
      <w:rFonts w:ascii="Calibri" w:eastAsia="Calibri" w:hAnsi="Calibri" w:cs="Times New Roman"/>
    </w:rPr>
  </w:style>
  <w:style w:type="paragraph" w:styleId="Piedepgina">
    <w:name w:val="footer"/>
    <w:basedOn w:val="Normal"/>
    <w:link w:val="PiedepginaCar"/>
    <w:unhideWhenUsed/>
    <w:rsid w:val="004A7100"/>
    <w:pPr>
      <w:tabs>
        <w:tab w:val="center" w:pos="4419"/>
        <w:tab w:val="right" w:pos="8838"/>
      </w:tabs>
    </w:pPr>
  </w:style>
  <w:style w:type="character" w:customStyle="1" w:styleId="PiedepginaCar">
    <w:name w:val="Pie de página Car"/>
    <w:basedOn w:val="Fuentedeprrafopredeter"/>
    <w:link w:val="Piedepgina"/>
    <w:rsid w:val="004A71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3117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4</cp:revision>
  <dcterms:created xsi:type="dcterms:W3CDTF">2023-03-16T20:00:00Z</dcterms:created>
  <dcterms:modified xsi:type="dcterms:W3CDTF">2023-05-18T21:14:00Z</dcterms:modified>
</cp:coreProperties>
</file>