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69C7C7" w14:textId="77777777" w:rsidR="00D33656" w:rsidRPr="00D33656" w:rsidRDefault="00D33656" w:rsidP="00D33656">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4"/>
          <w:sz w:val="18"/>
          <w:szCs w:val="18"/>
          <w:lang w:val="es-419" w:eastAsia="fr-FR"/>
        </w:rPr>
      </w:pPr>
      <w:bookmarkStart w:id="0" w:name="_Hlk136258282"/>
      <w:bookmarkStart w:id="1" w:name="_Hlk136266825"/>
      <w:r w:rsidRPr="00D3365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21CDB2" w14:textId="77777777" w:rsidR="00D33656" w:rsidRPr="00D33656" w:rsidRDefault="00D33656" w:rsidP="00D33656">
      <w:pPr>
        <w:suppressAutoHyphens w:val="0"/>
        <w:jc w:val="both"/>
        <w:rPr>
          <w:rFonts w:ascii="Arial" w:hAnsi="Arial" w:cs="Arial"/>
          <w:lang w:val="es-419" w:eastAsia="es-ES"/>
        </w:rPr>
      </w:pPr>
    </w:p>
    <w:p w14:paraId="5B117AAE" w14:textId="0AEA2E8D" w:rsidR="00D33656" w:rsidRPr="00D33656" w:rsidRDefault="00232335" w:rsidP="00D33656">
      <w:pPr>
        <w:suppressAutoHyphens w:val="0"/>
        <w:jc w:val="both"/>
        <w:rPr>
          <w:rFonts w:ascii="Arial" w:eastAsia="Arial" w:hAnsi="Arial" w:cs="Arial"/>
          <w:color w:val="000000"/>
          <w:lang w:eastAsia="es-ES"/>
        </w:rPr>
      </w:pPr>
      <w:r w:rsidRPr="00D33656">
        <w:rPr>
          <w:rFonts w:ascii="Arial" w:eastAsia="Arial" w:hAnsi="Arial" w:cs="Arial"/>
          <w:b/>
          <w:bCs/>
          <w:color w:val="000000"/>
          <w:u w:val="single"/>
          <w:lang w:val="es-419" w:eastAsia="en-US"/>
        </w:rPr>
        <w:t>TEMAS:</w:t>
      </w:r>
      <w:r w:rsidRPr="00D33656">
        <w:rPr>
          <w:rFonts w:ascii="Arial" w:eastAsia="Arial" w:hAnsi="Arial" w:cs="Arial"/>
          <w:b/>
          <w:bCs/>
          <w:color w:val="000000"/>
          <w:lang w:val="es-419" w:eastAsia="en-US"/>
        </w:rPr>
        <w:tab/>
      </w:r>
      <w:r>
        <w:rPr>
          <w:rFonts w:ascii="Arial" w:eastAsia="Arial" w:hAnsi="Arial" w:cs="Arial"/>
          <w:b/>
          <w:bCs/>
          <w:color w:val="000000"/>
          <w:lang w:val="es-419" w:eastAsia="en-US"/>
        </w:rPr>
        <w:t>CONFLICTO DE COMPETENCIA / FACTORES QUE LO PERMITEN / TERRITORIAL / SUBJETIVO, MEDIOS DE COMUNICACIÓN / Y FUNCIONAL / TUTELAS MASIVAS / DEFINICIÓN / ACUMULACIÓN / IDENTIDAD DE CAUSA, OBJETO Y SUJETO PASIVO.</w:t>
      </w:r>
    </w:p>
    <w:p w14:paraId="489C5D3F" w14:textId="77777777" w:rsidR="00D33656" w:rsidRPr="00D33656" w:rsidRDefault="00D33656" w:rsidP="00D33656">
      <w:pPr>
        <w:widowControl w:val="0"/>
        <w:suppressAutoHyphens w:val="0"/>
        <w:autoSpaceDE w:val="0"/>
        <w:autoSpaceDN w:val="0"/>
        <w:adjustRightInd w:val="0"/>
        <w:jc w:val="both"/>
        <w:rPr>
          <w:rFonts w:ascii="Arial" w:eastAsia="Arial" w:hAnsi="Arial" w:cs="Arial"/>
          <w:color w:val="000000"/>
          <w:lang w:eastAsia="es-ES"/>
        </w:rPr>
      </w:pPr>
    </w:p>
    <w:p w14:paraId="18BE8D06" w14:textId="43849199" w:rsidR="00A53EA1" w:rsidRDefault="002C677C" w:rsidP="00D33656">
      <w:pPr>
        <w:widowControl w:val="0"/>
        <w:suppressAutoHyphens w:val="0"/>
        <w:autoSpaceDE w:val="0"/>
        <w:autoSpaceDN w:val="0"/>
        <w:adjustRightInd w:val="0"/>
        <w:jc w:val="both"/>
        <w:rPr>
          <w:rFonts w:ascii="Arial" w:eastAsia="Arial" w:hAnsi="Arial" w:cs="Arial"/>
          <w:color w:val="000000"/>
          <w:lang w:eastAsia="es-ES"/>
        </w:rPr>
      </w:pPr>
      <w:r w:rsidRPr="002C677C">
        <w:rPr>
          <w:rFonts w:ascii="Arial" w:eastAsia="Arial" w:hAnsi="Arial" w:cs="Arial"/>
          <w:color w:val="000000"/>
          <w:lang w:eastAsia="es-ES"/>
        </w:rPr>
        <w:t>La jurisprudencia constitucional ha establecido que, en materia de acción de tutela, los únicos conflictos de competencia que pueden presentarse por la aplicación del artículo 37 del Decreto 2591 de 1991, son los que surgen del factor territorial, los relativos a las acciones de tutela iniciadas contra medios de comunicación</w:t>
      </w:r>
      <w:r w:rsidR="00A53EA1" w:rsidRPr="00A53EA1">
        <w:t xml:space="preserve"> </w:t>
      </w:r>
      <w:r w:rsidR="00A53EA1" w:rsidRPr="00A53EA1">
        <w:rPr>
          <w:rFonts w:ascii="Arial" w:eastAsia="Arial" w:hAnsi="Arial" w:cs="Arial"/>
          <w:color w:val="000000"/>
          <w:lang w:eastAsia="es-ES"/>
        </w:rPr>
        <w:t>y, para el conocimiento de las impugnaciones, el relativo a la condición de superior jerárquico de quien profirió la decisión inicial.</w:t>
      </w:r>
      <w:r w:rsidR="00A53EA1">
        <w:rPr>
          <w:rFonts w:ascii="Arial" w:eastAsia="Arial" w:hAnsi="Arial" w:cs="Arial"/>
          <w:color w:val="000000"/>
          <w:lang w:eastAsia="es-ES"/>
        </w:rPr>
        <w:t xml:space="preserve"> (…)</w:t>
      </w:r>
    </w:p>
    <w:p w14:paraId="43991C29" w14:textId="77777777" w:rsidR="00A53EA1" w:rsidRDefault="00A53EA1" w:rsidP="00D33656">
      <w:pPr>
        <w:widowControl w:val="0"/>
        <w:suppressAutoHyphens w:val="0"/>
        <w:autoSpaceDE w:val="0"/>
        <w:autoSpaceDN w:val="0"/>
        <w:adjustRightInd w:val="0"/>
        <w:jc w:val="both"/>
        <w:rPr>
          <w:rFonts w:ascii="Arial" w:eastAsia="Arial" w:hAnsi="Arial" w:cs="Arial"/>
          <w:color w:val="000000"/>
          <w:lang w:eastAsia="es-ES"/>
        </w:rPr>
      </w:pPr>
    </w:p>
    <w:p w14:paraId="31B21347" w14:textId="386CBDC3" w:rsidR="00D33656" w:rsidRPr="00D33656" w:rsidRDefault="00A53EA1" w:rsidP="00D33656">
      <w:pPr>
        <w:widowControl w:val="0"/>
        <w:suppressAutoHyphens w:val="0"/>
        <w:autoSpaceDE w:val="0"/>
        <w:autoSpaceDN w:val="0"/>
        <w:adjustRightInd w:val="0"/>
        <w:jc w:val="both"/>
        <w:rPr>
          <w:rFonts w:ascii="Arial" w:eastAsia="Arial" w:hAnsi="Arial" w:cs="Arial"/>
          <w:color w:val="000000"/>
          <w:lang w:eastAsia="es-ES"/>
        </w:rPr>
      </w:pPr>
      <w:r w:rsidRPr="00A53EA1">
        <w:rPr>
          <w:rFonts w:ascii="Arial" w:eastAsia="Arial" w:hAnsi="Arial" w:cs="Arial"/>
          <w:color w:val="000000"/>
          <w:lang w:eastAsia="es-ES"/>
        </w:rPr>
        <w:t xml:space="preserve">No obstante lo anterior, en esa misma providencia, esa Alta Corporación consideró las reglas de reparto para aquellos eventos en los que se presenta el fenómeno de “tutelas masivas” definiendo estas como las que “(i) son presentadas por una gran cantidad de personas en forma separada -en un solo momento- o (ii) son formuladas con posterioridad a otra solicitud de amparo, pero en ambos supuestos existe uniformidad entre los casos” </w:t>
      </w:r>
      <w:r w:rsidR="002C677C">
        <w:rPr>
          <w:rFonts w:ascii="Arial" w:eastAsia="Arial" w:hAnsi="Arial" w:cs="Arial"/>
          <w:color w:val="000000"/>
          <w:lang w:eastAsia="es-ES"/>
        </w:rPr>
        <w:t>…</w:t>
      </w:r>
    </w:p>
    <w:p w14:paraId="179A5905" w14:textId="77777777" w:rsidR="00D33656" w:rsidRPr="00D33656" w:rsidRDefault="00D33656" w:rsidP="00D33656">
      <w:pPr>
        <w:widowControl w:val="0"/>
        <w:suppressAutoHyphens w:val="0"/>
        <w:autoSpaceDE w:val="0"/>
        <w:autoSpaceDN w:val="0"/>
        <w:adjustRightInd w:val="0"/>
        <w:jc w:val="both"/>
        <w:rPr>
          <w:rFonts w:ascii="Arial" w:eastAsia="Arial" w:hAnsi="Arial" w:cs="Arial"/>
          <w:color w:val="000000"/>
          <w:lang w:eastAsia="es-ES"/>
        </w:rPr>
      </w:pPr>
    </w:p>
    <w:p w14:paraId="1BD247F4" w14:textId="40C4B51E" w:rsidR="006852DF" w:rsidRPr="006852DF" w:rsidRDefault="006852DF" w:rsidP="006852DF">
      <w:pPr>
        <w:widowControl w:val="0"/>
        <w:suppressAutoHyphens w:val="0"/>
        <w:autoSpaceDE w:val="0"/>
        <w:autoSpaceDN w:val="0"/>
        <w:adjustRightInd w:val="0"/>
        <w:jc w:val="both"/>
        <w:rPr>
          <w:rFonts w:ascii="Arial" w:eastAsia="Arial" w:hAnsi="Arial" w:cs="Arial"/>
          <w:color w:val="000000"/>
          <w:lang w:eastAsia="es-ES"/>
        </w:rPr>
      </w:pPr>
      <w:r>
        <w:rPr>
          <w:rFonts w:ascii="Arial" w:eastAsia="Arial" w:hAnsi="Arial" w:cs="Arial"/>
          <w:color w:val="000000"/>
          <w:lang w:eastAsia="es-ES"/>
        </w:rPr>
        <w:t xml:space="preserve">… </w:t>
      </w:r>
      <w:r w:rsidRPr="006852DF">
        <w:rPr>
          <w:rFonts w:ascii="Arial" w:eastAsia="Arial" w:hAnsi="Arial" w:cs="Arial"/>
          <w:color w:val="000000"/>
          <w:lang w:eastAsia="es-ES"/>
        </w:rPr>
        <w:t>la Corte Constitucional precisó la necesidad que confluyan los elementos que componen la triple identidad y al respecto manifiesto:</w:t>
      </w:r>
    </w:p>
    <w:p w14:paraId="6D1F27FD" w14:textId="77777777" w:rsidR="006852DF" w:rsidRPr="006852DF" w:rsidRDefault="006852DF" w:rsidP="006852DF">
      <w:pPr>
        <w:widowControl w:val="0"/>
        <w:suppressAutoHyphens w:val="0"/>
        <w:autoSpaceDE w:val="0"/>
        <w:autoSpaceDN w:val="0"/>
        <w:adjustRightInd w:val="0"/>
        <w:jc w:val="both"/>
        <w:rPr>
          <w:rFonts w:ascii="Arial" w:eastAsia="Arial" w:hAnsi="Arial" w:cs="Arial"/>
          <w:color w:val="000000"/>
          <w:lang w:eastAsia="es-ES"/>
        </w:rPr>
      </w:pPr>
    </w:p>
    <w:p w14:paraId="1755E092" w14:textId="6A98E5E8" w:rsidR="00D33656" w:rsidRPr="00D33656" w:rsidRDefault="006852DF" w:rsidP="006852DF">
      <w:pPr>
        <w:widowControl w:val="0"/>
        <w:suppressAutoHyphens w:val="0"/>
        <w:autoSpaceDE w:val="0"/>
        <w:autoSpaceDN w:val="0"/>
        <w:adjustRightInd w:val="0"/>
        <w:jc w:val="both"/>
        <w:rPr>
          <w:rFonts w:ascii="Arial" w:eastAsia="Arial" w:hAnsi="Arial" w:cs="Arial"/>
          <w:color w:val="000000"/>
          <w:lang w:eastAsia="es-ES"/>
        </w:rPr>
      </w:pPr>
      <w:r w:rsidRPr="006852DF">
        <w:rPr>
          <w:rFonts w:ascii="Arial" w:eastAsia="Arial" w:hAnsi="Arial" w:cs="Arial"/>
          <w:color w:val="000000"/>
          <w:lang w:eastAsia="es-ES"/>
        </w:rPr>
        <w:t>“Existe identidad de objeto en los eventos en los cuales las acciones de tutela cuya acumulación se persiga presenten uniformidad en sus pretensiones</w:t>
      </w:r>
      <w:r>
        <w:rPr>
          <w:rFonts w:ascii="Arial" w:eastAsia="Arial" w:hAnsi="Arial" w:cs="Arial"/>
          <w:color w:val="000000"/>
          <w:lang w:eastAsia="es-ES"/>
        </w:rPr>
        <w:t>…</w:t>
      </w:r>
      <w:r w:rsidRPr="006852DF">
        <w:rPr>
          <w:rFonts w:ascii="Arial" w:eastAsia="Arial" w:hAnsi="Arial" w:cs="Arial"/>
          <w:color w:val="000000"/>
          <w:lang w:eastAsia="es-ES"/>
        </w:rPr>
        <w:t xml:space="preserve"> En lo que respecta a la identidad de causa, estimó que su materialización ocurre cuando las acciones de amparo que busquen ser acumuladas se fundamenten en los mismos hechos o presupuestos fácticos</w:t>
      </w:r>
      <w:r>
        <w:rPr>
          <w:rFonts w:ascii="Arial" w:eastAsia="Arial" w:hAnsi="Arial" w:cs="Arial"/>
          <w:color w:val="000000"/>
          <w:lang w:eastAsia="es-ES"/>
        </w:rPr>
        <w:t>…</w:t>
      </w:r>
      <w:r w:rsidRPr="006852DF">
        <w:rPr>
          <w:rFonts w:ascii="Arial" w:eastAsia="Arial" w:hAnsi="Arial" w:cs="Arial"/>
          <w:color w:val="000000"/>
          <w:lang w:eastAsia="es-ES"/>
        </w:rPr>
        <w:t xml:space="preserve"> Finalmente</w:t>
      </w:r>
      <w:r>
        <w:rPr>
          <w:rFonts w:ascii="Arial" w:eastAsia="Arial" w:hAnsi="Arial" w:cs="Arial"/>
          <w:color w:val="000000"/>
          <w:lang w:eastAsia="es-ES"/>
        </w:rPr>
        <w:t>…</w:t>
      </w:r>
      <w:r w:rsidRPr="006852DF">
        <w:rPr>
          <w:rFonts w:ascii="Arial" w:eastAsia="Arial" w:hAnsi="Arial" w:cs="Arial"/>
          <w:color w:val="000000"/>
          <w:lang w:eastAsia="es-ES"/>
        </w:rPr>
        <w:t xml:space="preserve"> la confluencia del sujeto pasivo</w:t>
      </w:r>
      <w:r w:rsidR="002157D5">
        <w:rPr>
          <w:rFonts w:ascii="Arial" w:eastAsia="Arial" w:hAnsi="Arial" w:cs="Arial"/>
          <w:color w:val="000000"/>
          <w:lang w:eastAsia="es-ES"/>
        </w:rPr>
        <w:t>…”</w:t>
      </w:r>
    </w:p>
    <w:p w14:paraId="15BB3EC4" w14:textId="77777777" w:rsidR="00D33656" w:rsidRPr="00D33656" w:rsidRDefault="00D33656" w:rsidP="00D33656">
      <w:pPr>
        <w:widowControl w:val="0"/>
        <w:suppressAutoHyphens w:val="0"/>
        <w:autoSpaceDE w:val="0"/>
        <w:autoSpaceDN w:val="0"/>
        <w:adjustRightInd w:val="0"/>
        <w:jc w:val="both"/>
        <w:rPr>
          <w:rFonts w:ascii="Arial" w:eastAsia="Arial" w:hAnsi="Arial" w:cs="Arial"/>
          <w:color w:val="000000"/>
          <w:lang w:eastAsia="es-ES"/>
        </w:rPr>
      </w:pPr>
    </w:p>
    <w:p w14:paraId="4B63947C" w14:textId="77777777" w:rsidR="00D33656" w:rsidRPr="00D33656" w:rsidRDefault="00D33656" w:rsidP="00D33656">
      <w:pPr>
        <w:widowControl w:val="0"/>
        <w:suppressAutoHyphens w:val="0"/>
        <w:autoSpaceDE w:val="0"/>
        <w:autoSpaceDN w:val="0"/>
        <w:adjustRightInd w:val="0"/>
        <w:jc w:val="both"/>
        <w:rPr>
          <w:rFonts w:ascii="Arial" w:eastAsia="Arial" w:hAnsi="Arial" w:cs="Arial"/>
          <w:color w:val="000000"/>
          <w:lang w:eastAsia="es-ES"/>
        </w:rPr>
      </w:pPr>
    </w:p>
    <w:p w14:paraId="46442420" w14:textId="77777777" w:rsidR="00D33656" w:rsidRPr="00D33656" w:rsidRDefault="00D33656" w:rsidP="00D33656">
      <w:pPr>
        <w:widowControl w:val="0"/>
        <w:suppressAutoHyphens w:val="0"/>
        <w:autoSpaceDE w:val="0"/>
        <w:autoSpaceDN w:val="0"/>
        <w:adjustRightInd w:val="0"/>
        <w:jc w:val="both"/>
        <w:rPr>
          <w:rFonts w:ascii="Arial" w:eastAsia="Arial" w:hAnsi="Arial" w:cs="Arial"/>
          <w:color w:val="000000"/>
          <w:lang w:eastAsia="es-ES"/>
        </w:rPr>
      </w:pPr>
    </w:p>
    <w:bookmarkStart w:id="2" w:name="_MON_1393775628"/>
    <w:bookmarkEnd w:id="2"/>
    <w:p w14:paraId="3F2AB99D" w14:textId="5A8BACED" w:rsidR="00D33656" w:rsidRDefault="003A6C55" w:rsidP="003A6C55">
      <w:pPr>
        <w:widowControl w:val="0"/>
        <w:suppressAutoHyphens w:val="0"/>
        <w:autoSpaceDE w:val="0"/>
        <w:autoSpaceDN w:val="0"/>
        <w:adjustRightInd w:val="0"/>
        <w:jc w:val="center"/>
        <w:rPr>
          <w:rFonts w:ascii="Arial" w:eastAsia="Arial" w:hAnsi="Arial" w:cs="Arial"/>
          <w:color w:val="000000"/>
          <w:lang w:eastAsia="es-ES"/>
        </w:rPr>
      </w:pPr>
      <w:r>
        <w:rPr>
          <w:b/>
          <w:lang w:eastAsia="es-ES"/>
        </w:rPr>
        <w:object w:dxaOrig="889" w:dyaOrig="939" w14:anchorId="3765E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56.35pt" o:ole="" fillcolor="window">
            <v:imagedata r:id="rId10" o:title=""/>
          </v:shape>
          <o:OLEObject Type="Embed" ProgID="Word.Picture.8" ShapeID="_x0000_i1025" DrawAspect="Content" ObjectID="_1747466420" r:id="rId11"/>
        </w:object>
      </w:r>
    </w:p>
    <w:p w14:paraId="0ECB91FD" w14:textId="77777777" w:rsidR="00D33656" w:rsidRPr="00D33656" w:rsidRDefault="00D33656" w:rsidP="00D33656">
      <w:pPr>
        <w:widowControl w:val="0"/>
        <w:suppressAutoHyphens w:val="0"/>
        <w:autoSpaceDE w:val="0"/>
        <w:autoSpaceDN w:val="0"/>
        <w:adjustRightInd w:val="0"/>
        <w:jc w:val="both"/>
        <w:rPr>
          <w:rFonts w:ascii="Arial" w:eastAsia="Arial" w:hAnsi="Arial" w:cs="Arial"/>
          <w:color w:val="000000"/>
          <w:lang w:eastAsia="es-ES"/>
        </w:rPr>
      </w:pPr>
    </w:p>
    <w:bookmarkEnd w:id="0"/>
    <w:bookmarkEnd w:id="1"/>
    <w:p w14:paraId="2EEFDE30" w14:textId="17D88903" w:rsidR="00AF56D3" w:rsidRPr="00327AD4" w:rsidRDefault="003E2A84" w:rsidP="00D33656">
      <w:pPr>
        <w:pStyle w:val="Ttulo1"/>
        <w:numPr>
          <w:ilvl w:val="0"/>
          <w:numId w:val="0"/>
        </w:numPr>
        <w:spacing w:before="0" w:after="0" w:line="276" w:lineRule="auto"/>
        <w:jc w:val="center"/>
        <w:rPr>
          <w:rFonts w:cs="Arial"/>
          <w:sz w:val="24"/>
          <w:szCs w:val="24"/>
        </w:rPr>
      </w:pPr>
      <w:r w:rsidRPr="00327AD4">
        <w:rPr>
          <w:rFonts w:cs="Arial"/>
          <w:noProof/>
          <w:sz w:val="24"/>
          <w:szCs w:val="24"/>
        </w:rPr>
        <mc:AlternateContent>
          <mc:Choice Requires="wps">
            <w:drawing>
              <wp:anchor distT="0" distB="0" distL="114300" distR="114300" simplePos="0" relativeHeight="251657728" behindDoc="0" locked="0" layoutInCell="1" allowOverlap="1" wp14:anchorId="31D1D402" wp14:editId="07777777">
                <wp:simplePos x="0" y="0"/>
                <wp:positionH relativeFrom="column">
                  <wp:posOffset>-501015</wp:posOffset>
                </wp:positionH>
                <wp:positionV relativeFrom="paragraph">
                  <wp:posOffset>17145</wp:posOffset>
                </wp:positionV>
                <wp:extent cx="935355" cy="8058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EEBCEB5" w:rsidR="00AA63F5" w:rsidRDefault="00AA63F5" w:rsidP="003A6C55">
                            <w:pPr>
                              <w:ind w:right="42"/>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D402" id="_x0000_t202" coordsize="21600,21600" o:spt="202" path="m,l,21600r21600,l21600,xe">
                <v:stroke joinstyle="miter"/>
                <v:path gradientshapeok="t" o:connecttype="rect"/>
              </v:shapetype>
              <v:shape id="Text Box 2" o:spid="_x0000_s1026" type="#_x0000_t202" style="position:absolute;left:0;text-align:left;margin-left:-39.45pt;margin-top:1.35pt;width:73.65pt;height:6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AswIAALg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" filled="f" stroked="f">
                <v:textbox>
                  <w:txbxContent>
                    <w:p w14:paraId="672A6659" w14:textId="7EEBCEB5" w:rsidR="00AA63F5" w:rsidRDefault="00AA63F5" w:rsidP="003A6C55">
                      <w:pPr>
                        <w:ind w:right="42"/>
                        <w:jc w:val="center"/>
                      </w:pPr>
                    </w:p>
                  </w:txbxContent>
                </v:textbox>
                <w10:wrap type="square"/>
              </v:shape>
            </w:pict>
          </mc:Fallback>
        </mc:AlternateContent>
      </w:r>
      <w:r w:rsidR="00EE4664" w:rsidRPr="00327AD4">
        <w:rPr>
          <w:rFonts w:cs="Arial"/>
          <w:iCs/>
          <w:sz w:val="24"/>
          <w:szCs w:val="24"/>
        </w:rPr>
        <w:t>REPÚBLICA DE COLOMBIA</w:t>
      </w:r>
    </w:p>
    <w:p w14:paraId="7091823E" w14:textId="33987E9A" w:rsidR="00AF56D3" w:rsidRPr="00327AD4" w:rsidRDefault="00EE4664" w:rsidP="00D33656">
      <w:pPr>
        <w:pStyle w:val="Ttulo1"/>
        <w:numPr>
          <w:ilvl w:val="0"/>
          <w:numId w:val="0"/>
        </w:numPr>
        <w:spacing w:before="0" w:after="0" w:line="276" w:lineRule="auto"/>
        <w:ind w:left="709"/>
        <w:jc w:val="center"/>
        <w:rPr>
          <w:rFonts w:cs="Arial"/>
          <w:iCs/>
          <w:sz w:val="24"/>
          <w:szCs w:val="24"/>
        </w:rPr>
      </w:pPr>
      <w:r w:rsidRPr="00327AD4">
        <w:rPr>
          <w:rFonts w:cs="Arial"/>
          <w:iCs/>
          <w:sz w:val="24"/>
          <w:szCs w:val="24"/>
        </w:rPr>
        <w:t>TRIBUNAL SUPERIOR DEL DISTRITO JUDICIAL DE PEREIRA</w:t>
      </w:r>
    </w:p>
    <w:p w14:paraId="40D49CFC" w14:textId="6FF99719" w:rsidR="00AF56D3" w:rsidRPr="00327AD4" w:rsidRDefault="00EE4664" w:rsidP="00D33656">
      <w:pPr>
        <w:pStyle w:val="Ttulo1"/>
        <w:numPr>
          <w:ilvl w:val="0"/>
          <w:numId w:val="0"/>
        </w:numPr>
        <w:spacing w:before="0" w:after="0" w:line="276" w:lineRule="auto"/>
        <w:ind w:left="709"/>
        <w:jc w:val="center"/>
        <w:rPr>
          <w:rFonts w:cs="Arial"/>
          <w:iCs/>
          <w:sz w:val="24"/>
          <w:szCs w:val="24"/>
        </w:rPr>
      </w:pPr>
      <w:r w:rsidRPr="00327AD4">
        <w:rPr>
          <w:rFonts w:cs="Arial"/>
          <w:iCs/>
          <w:sz w:val="24"/>
          <w:szCs w:val="24"/>
        </w:rPr>
        <w:t>SALA MIXTA NO 11</w:t>
      </w:r>
    </w:p>
    <w:p w14:paraId="5DAB6C7B" w14:textId="08A2DA18" w:rsidR="00AF56D3" w:rsidRPr="00327AD4" w:rsidRDefault="00AF56D3" w:rsidP="00D33656">
      <w:pPr>
        <w:spacing w:line="276" w:lineRule="auto"/>
        <w:jc w:val="center"/>
        <w:rPr>
          <w:rFonts w:ascii="Arial" w:hAnsi="Arial" w:cs="Arial"/>
          <w:b/>
          <w:kern w:val="28"/>
          <w:sz w:val="24"/>
          <w:szCs w:val="24"/>
          <w:lang w:val="es-ES_tradnl"/>
        </w:rPr>
      </w:pPr>
    </w:p>
    <w:p w14:paraId="02EB378F" w14:textId="77777777" w:rsidR="00AF56D3" w:rsidRPr="00327AD4" w:rsidRDefault="00AF56D3" w:rsidP="00D33656">
      <w:pPr>
        <w:pStyle w:val="NormalWeb"/>
        <w:spacing w:after="0" w:line="276" w:lineRule="auto"/>
        <w:ind w:left="709" w:firstLine="709"/>
        <w:rPr>
          <w:rFonts w:ascii="Arial" w:hAnsi="Arial" w:cs="Arial"/>
          <w:b/>
          <w:bCs/>
          <w:iCs/>
        </w:rPr>
      </w:pPr>
    </w:p>
    <w:p w14:paraId="2A52AFE7" w14:textId="77777777" w:rsidR="00AF56D3" w:rsidRPr="00327AD4" w:rsidRDefault="00AF56D3" w:rsidP="000958C4">
      <w:pPr>
        <w:pStyle w:val="NormalWeb"/>
        <w:spacing w:before="0" w:beforeAutospacing="0" w:after="0" w:line="276" w:lineRule="auto"/>
        <w:ind w:left="709" w:firstLine="709"/>
        <w:rPr>
          <w:rFonts w:ascii="Arial" w:hAnsi="Arial" w:cs="Arial"/>
        </w:rPr>
      </w:pPr>
      <w:r w:rsidRPr="00327AD4">
        <w:rPr>
          <w:rFonts w:ascii="Arial" w:hAnsi="Arial" w:cs="Arial"/>
          <w:b/>
          <w:bCs/>
          <w:iCs/>
        </w:rPr>
        <w:t>MAGISTRADO: JULIO CÉSAR SALAZAR MUÑOZ</w:t>
      </w:r>
    </w:p>
    <w:p w14:paraId="4C9796E7" w14:textId="1E98BD96" w:rsidR="00AF56D3" w:rsidRPr="00327AD4" w:rsidRDefault="00AF56D3" w:rsidP="000958C4">
      <w:pPr>
        <w:pStyle w:val="NormalWeb"/>
        <w:spacing w:before="0" w:beforeAutospacing="0" w:after="0" w:line="276" w:lineRule="auto"/>
        <w:ind w:left="709" w:firstLine="709"/>
        <w:rPr>
          <w:rFonts w:ascii="Arial" w:hAnsi="Arial" w:cs="Arial"/>
          <w:iCs/>
        </w:rPr>
      </w:pPr>
      <w:r w:rsidRPr="00327AD4">
        <w:rPr>
          <w:rFonts w:ascii="Arial" w:hAnsi="Arial" w:cs="Arial"/>
          <w:iCs/>
        </w:rPr>
        <w:t>Pereira,</w:t>
      </w:r>
      <w:r w:rsidR="00EB6EE3" w:rsidRPr="00327AD4">
        <w:rPr>
          <w:rFonts w:ascii="Arial" w:hAnsi="Arial" w:cs="Arial"/>
          <w:iCs/>
        </w:rPr>
        <w:t xml:space="preserve"> </w:t>
      </w:r>
      <w:r w:rsidR="00734381" w:rsidRPr="00327AD4">
        <w:rPr>
          <w:rFonts w:ascii="Arial" w:hAnsi="Arial" w:cs="Arial"/>
          <w:iCs/>
        </w:rPr>
        <w:t>veinti</w:t>
      </w:r>
      <w:r w:rsidR="4164325E" w:rsidRPr="00327AD4">
        <w:rPr>
          <w:rFonts w:ascii="Arial" w:hAnsi="Arial" w:cs="Arial"/>
          <w:iCs/>
        </w:rPr>
        <w:t>séis</w:t>
      </w:r>
      <w:r w:rsidRPr="00327AD4">
        <w:rPr>
          <w:rFonts w:ascii="Arial" w:hAnsi="Arial" w:cs="Arial"/>
          <w:iCs/>
        </w:rPr>
        <w:t xml:space="preserve"> (</w:t>
      </w:r>
      <w:r w:rsidR="00734381" w:rsidRPr="00327AD4">
        <w:rPr>
          <w:rFonts w:ascii="Arial" w:hAnsi="Arial" w:cs="Arial"/>
          <w:iCs/>
        </w:rPr>
        <w:t>2</w:t>
      </w:r>
      <w:r w:rsidR="2E5461EA" w:rsidRPr="00327AD4">
        <w:rPr>
          <w:rFonts w:ascii="Arial" w:hAnsi="Arial" w:cs="Arial"/>
          <w:iCs/>
        </w:rPr>
        <w:t>6</w:t>
      </w:r>
      <w:r w:rsidRPr="00327AD4">
        <w:rPr>
          <w:rFonts w:ascii="Arial" w:hAnsi="Arial" w:cs="Arial"/>
          <w:iCs/>
        </w:rPr>
        <w:t xml:space="preserve">) de </w:t>
      </w:r>
      <w:r w:rsidR="00734381" w:rsidRPr="00327AD4">
        <w:rPr>
          <w:rFonts w:ascii="Arial" w:hAnsi="Arial" w:cs="Arial"/>
          <w:iCs/>
        </w:rPr>
        <w:t>abril</w:t>
      </w:r>
      <w:r w:rsidRPr="00327AD4">
        <w:rPr>
          <w:rFonts w:ascii="Arial" w:hAnsi="Arial" w:cs="Arial"/>
          <w:iCs/>
        </w:rPr>
        <w:t xml:space="preserve"> de dos mil </w:t>
      </w:r>
      <w:r w:rsidR="00734381" w:rsidRPr="00327AD4">
        <w:rPr>
          <w:rFonts w:ascii="Arial" w:hAnsi="Arial" w:cs="Arial"/>
          <w:iCs/>
        </w:rPr>
        <w:t>veintitrés</w:t>
      </w:r>
      <w:r w:rsidRPr="00327AD4">
        <w:rPr>
          <w:rFonts w:ascii="Arial" w:hAnsi="Arial" w:cs="Arial"/>
          <w:iCs/>
        </w:rPr>
        <w:t xml:space="preserve"> (2</w:t>
      </w:r>
      <w:r w:rsidR="00734381" w:rsidRPr="00327AD4">
        <w:rPr>
          <w:rFonts w:ascii="Arial" w:hAnsi="Arial" w:cs="Arial"/>
          <w:iCs/>
        </w:rPr>
        <w:t>023</w:t>
      </w:r>
      <w:r w:rsidRPr="00327AD4">
        <w:rPr>
          <w:rFonts w:ascii="Arial" w:hAnsi="Arial" w:cs="Arial"/>
          <w:iCs/>
        </w:rPr>
        <w:t>)</w:t>
      </w:r>
    </w:p>
    <w:p w14:paraId="6A05A809" w14:textId="77777777" w:rsidR="00AF56D3" w:rsidRPr="00327AD4" w:rsidRDefault="00AF56D3" w:rsidP="000958C4">
      <w:pPr>
        <w:pStyle w:val="NormalWeb"/>
        <w:spacing w:before="0" w:beforeAutospacing="0" w:after="0" w:line="276" w:lineRule="auto"/>
        <w:rPr>
          <w:rFonts w:ascii="Arial" w:hAnsi="Arial" w:cs="Arial"/>
          <w:iCs/>
        </w:rPr>
      </w:pPr>
    </w:p>
    <w:p w14:paraId="4839A816" w14:textId="2BB350B9" w:rsidR="008F3CCD" w:rsidRPr="00327AD4" w:rsidRDefault="008F3CCD"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Procede la Sala de Decisión Mixta No 11 del Tribunal Superior de Pereira a resolver el </w:t>
      </w:r>
      <w:r w:rsidRPr="00BA53A0">
        <w:rPr>
          <w:rFonts w:ascii="Arial" w:hAnsi="Arial" w:cs="Arial"/>
          <w:b/>
          <w:iCs/>
        </w:rPr>
        <w:t>conflicto de competencia</w:t>
      </w:r>
      <w:r w:rsidRPr="00327AD4">
        <w:rPr>
          <w:rFonts w:ascii="Arial" w:hAnsi="Arial" w:cs="Arial"/>
          <w:iCs/>
        </w:rPr>
        <w:t xml:space="preserve"> suscitado entre el Juzgado Primero Penal Especializado de Pereira y el Juzgado Tercero de Familia de la misma ciudad, dentro de la </w:t>
      </w:r>
      <w:r w:rsidRPr="00BA53A0">
        <w:rPr>
          <w:rFonts w:ascii="Arial" w:hAnsi="Arial" w:cs="Arial"/>
          <w:b/>
          <w:iCs/>
        </w:rPr>
        <w:t>acción de tutela</w:t>
      </w:r>
      <w:r w:rsidRPr="00327AD4">
        <w:rPr>
          <w:rFonts w:ascii="Arial" w:hAnsi="Arial" w:cs="Arial"/>
          <w:iCs/>
        </w:rPr>
        <w:t xml:space="preserve"> iniciada por la señora </w:t>
      </w:r>
      <w:r w:rsidRPr="00BA53A0">
        <w:rPr>
          <w:rFonts w:ascii="Arial" w:hAnsi="Arial" w:cs="Arial"/>
          <w:b/>
          <w:iCs/>
        </w:rPr>
        <w:t>Natalia Milena Escobar Marulanda</w:t>
      </w:r>
      <w:r w:rsidRPr="00327AD4">
        <w:rPr>
          <w:rFonts w:ascii="Arial" w:hAnsi="Arial" w:cs="Arial"/>
          <w:iCs/>
        </w:rPr>
        <w:t xml:space="preserve"> contra </w:t>
      </w:r>
      <w:r w:rsidR="00BA53A0" w:rsidRPr="00327AD4">
        <w:rPr>
          <w:rFonts w:ascii="Arial" w:hAnsi="Arial" w:cs="Arial"/>
          <w:iCs/>
        </w:rPr>
        <w:t xml:space="preserve">la </w:t>
      </w:r>
      <w:r w:rsidRPr="00BA53A0">
        <w:rPr>
          <w:rFonts w:ascii="Arial" w:hAnsi="Arial" w:cs="Arial"/>
          <w:b/>
          <w:iCs/>
        </w:rPr>
        <w:t>Comisión Nacional del Servicio Civil</w:t>
      </w:r>
      <w:r w:rsidRPr="00327AD4">
        <w:rPr>
          <w:rFonts w:ascii="Arial" w:hAnsi="Arial" w:cs="Arial"/>
          <w:iCs/>
        </w:rPr>
        <w:t xml:space="preserve"> y la </w:t>
      </w:r>
      <w:r w:rsidRPr="00BA53A0">
        <w:rPr>
          <w:rFonts w:ascii="Arial" w:hAnsi="Arial" w:cs="Arial"/>
          <w:b/>
          <w:iCs/>
        </w:rPr>
        <w:t>Universidad Libre de Colombia</w:t>
      </w:r>
      <w:r w:rsidRPr="00327AD4">
        <w:rPr>
          <w:rFonts w:ascii="Arial" w:hAnsi="Arial" w:cs="Arial"/>
          <w:iCs/>
        </w:rPr>
        <w:t>.</w:t>
      </w:r>
    </w:p>
    <w:p w14:paraId="41C8F396" w14:textId="792AC61D" w:rsidR="008F3CCD" w:rsidRDefault="008F3CCD" w:rsidP="000958C4">
      <w:pPr>
        <w:pStyle w:val="NormalWeb"/>
        <w:spacing w:before="0" w:beforeAutospacing="0" w:after="0" w:line="276" w:lineRule="auto"/>
        <w:jc w:val="center"/>
        <w:rPr>
          <w:rFonts w:ascii="Arial" w:hAnsi="Arial" w:cs="Arial"/>
          <w:b/>
          <w:iCs/>
        </w:rPr>
      </w:pPr>
    </w:p>
    <w:p w14:paraId="78FF3FC4" w14:textId="77777777" w:rsidR="009277C3" w:rsidRPr="00327AD4" w:rsidRDefault="009277C3" w:rsidP="000958C4">
      <w:pPr>
        <w:pStyle w:val="NormalWeb"/>
        <w:spacing w:before="0" w:beforeAutospacing="0" w:after="0" w:line="276" w:lineRule="auto"/>
        <w:jc w:val="center"/>
        <w:rPr>
          <w:rFonts w:ascii="Arial" w:hAnsi="Arial" w:cs="Arial"/>
          <w:b/>
          <w:iCs/>
        </w:rPr>
      </w:pPr>
    </w:p>
    <w:p w14:paraId="0F10BAA5" w14:textId="77777777" w:rsidR="00AF56D3" w:rsidRPr="00327AD4" w:rsidRDefault="00AF56D3" w:rsidP="000958C4">
      <w:pPr>
        <w:pStyle w:val="NormalWeb"/>
        <w:spacing w:before="0" w:beforeAutospacing="0" w:after="0" w:line="276" w:lineRule="auto"/>
        <w:jc w:val="center"/>
        <w:rPr>
          <w:rFonts w:ascii="Arial" w:hAnsi="Arial" w:cs="Arial"/>
          <w:b/>
        </w:rPr>
      </w:pPr>
      <w:r w:rsidRPr="00327AD4">
        <w:rPr>
          <w:rFonts w:ascii="Arial" w:hAnsi="Arial" w:cs="Arial"/>
          <w:b/>
          <w:iCs/>
        </w:rPr>
        <w:t>ANTECEDENTES</w:t>
      </w:r>
    </w:p>
    <w:p w14:paraId="72A3D3EC" w14:textId="0E40EA6E" w:rsidR="00AF56D3" w:rsidRDefault="00AF56D3" w:rsidP="009277C3">
      <w:pPr>
        <w:pStyle w:val="NormalWeb"/>
        <w:spacing w:before="0" w:beforeAutospacing="0" w:after="0" w:line="276" w:lineRule="auto"/>
        <w:jc w:val="both"/>
        <w:rPr>
          <w:rFonts w:ascii="Arial" w:hAnsi="Arial" w:cs="Arial"/>
        </w:rPr>
      </w:pPr>
    </w:p>
    <w:p w14:paraId="6B6E3B66" w14:textId="77777777" w:rsidR="009277C3" w:rsidRPr="00327AD4" w:rsidRDefault="009277C3" w:rsidP="009277C3">
      <w:pPr>
        <w:pStyle w:val="NormalWeb"/>
        <w:spacing w:before="0" w:beforeAutospacing="0" w:after="0" w:line="276" w:lineRule="auto"/>
        <w:jc w:val="both"/>
        <w:rPr>
          <w:rFonts w:ascii="Arial" w:hAnsi="Arial" w:cs="Arial"/>
        </w:rPr>
      </w:pPr>
    </w:p>
    <w:p w14:paraId="359CDEC9" w14:textId="77777777" w:rsidR="00AF56D3" w:rsidRPr="00327AD4" w:rsidRDefault="00AF56D3"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Buscando la protección </w:t>
      </w:r>
      <w:r w:rsidR="00734381" w:rsidRPr="00327AD4">
        <w:rPr>
          <w:rFonts w:ascii="Arial" w:hAnsi="Arial" w:cs="Arial"/>
          <w:iCs/>
        </w:rPr>
        <w:t>del derecho fundamental al debido proceso administrativo</w:t>
      </w:r>
      <w:r w:rsidR="00513082" w:rsidRPr="00327AD4">
        <w:rPr>
          <w:rFonts w:ascii="Arial" w:hAnsi="Arial" w:cs="Arial"/>
          <w:iCs/>
        </w:rPr>
        <w:t xml:space="preserve">, </w:t>
      </w:r>
      <w:r w:rsidR="00734381" w:rsidRPr="00327AD4">
        <w:rPr>
          <w:rFonts w:ascii="Arial" w:hAnsi="Arial" w:cs="Arial"/>
          <w:iCs/>
        </w:rPr>
        <w:t>la señora Natalia Milena Escobar Marulanda</w:t>
      </w:r>
      <w:r w:rsidR="00513082" w:rsidRPr="00327AD4">
        <w:rPr>
          <w:rFonts w:ascii="Arial" w:hAnsi="Arial" w:cs="Arial"/>
          <w:iCs/>
        </w:rPr>
        <w:t xml:space="preserve"> </w:t>
      </w:r>
      <w:r w:rsidRPr="00327AD4">
        <w:rPr>
          <w:rFonts w:ascii="Arial" w:hAnsi="Arial" w:cs="Arial"/>
          <w:iCs/>
        </w:rPr>
        <w:t xml:space="preserve">impetró acción de tutela contra </w:t>
      </w:r>
      <w:r w:rsidR="00513082" w:rsidRPr="00327AD4">
        <w:rPr>
          <w:rFonts w:ascii="Arial" w:hAnsi="Arial" w:cs="Arial"/>
          <w:iCs/>
        </w:rPr>
        <w:t xml:space="preserve">la </w:t>
      </w:r>
      <w:r w:rsidR="00734381" w:rsidRPr="00327AD4">
        <w:rPr>
          <w:rFonts w:ascii="Arial" w:hAnsi="Arial" w:cs="Arial"/>
          <w:iCs/>
        </w:rPr>
        <w:t>Comisión Nacional del Servicio Civil y la Universidad Libre de Colombia.</w:t>
      </w:r>
    </w:p>
    <w:p w14:paraId="0D0B940D" w14:textId="77777777" w:rsidR="00513082" w:rsidRPr="00327AD4" w:rsidRDefault="00513082" w:rsidP="000958C4">
      <w:pPr>
        <w:pStyle w:val="NormalWeb"/>
        <w:spacing w:before="0" w:beforeAutospacing="0" w:after="0" w:line="276" w:lineRule="auto"/>
        <w:jc w:val="both"/>
        <w:rPr>
          <w:rFonts w:ascii="Arial" w:hAnsi="Arial" w:cs="Arial"/>
          <w:iCs/>
        </w:rPr>
      </w:pPr>
    </w:p>
    <w:p w14:paraId="71E8F1D1" w14:textId="2166397F" w:rsidR="009D1BF7" w:rsidRPr="00327AD4" w:rsidRDefault="00AF56D3"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La actuación </w:t>
      </w:r>
      <w:r w:rsidR="00BC0251" w:rsidRPr="00327AD4">
        <w:rPr>
          <w:rFonts w:ascii="Arial" w:hAnsi="Arial" w:cs="Arial"/>
          <w:iCs/>
        </w:rPr>
        <w:t xml:space="preserve">fue recibida por el Juzgado </w:t>
      </w:r>
      <w:r w:rsidR="00734381" w:rsidRPr="00327AD4">
        <w:rPr>
          <w:rFonts w:ascii="Arial" w:hAnsi="Arial" w:cs="Arial"/>
          <w:iCs/>
        </w:rPr>
        <w:t>Primero Penal del Circuito Especializado</w:t>
      </w:r>
      <w:r w:rsidR="008F3CCD" w:rsidRPr="00327AD4">
        <w:rPr>
          <w:rFonts w:ascii="Arial" w:hAnsi="Arial" w:cs="Arial"/>
          <w:iCs/>
        </w:rPr>
        <w:t xml:space="preserve"> de Pereira </w:t>
      </w:r>
      <w:r w:rsidR="50FD7C80" w:rsidRPr="00327AD4">
        <w:rPr>
          <w:rFonts w:ascii="Arial" w:hAnsi="Arial" w:cs="Arial"/>
          <w:iCs/>
        </w:rPr>
        <w:t>el día</w:t>
      </w:r>
      <w:r w:rsidR="00BC0251" w:rsidRPr="00327AD4">
        <w:rPr>
          <w:rFonts w:ascii="Arial" w:hAnsi="Arial" w:cs="Arial"/>
          <w:iCs/>
        </w:rPr>
        <w:t xml:space="preserve"> </w:t>
      </w:r>
      <w:r w:rsidR="00734381" w:rsidRPr="00327AD4">
        <w:rPr>
          <w:rFonts w:ascii="Arial" w:hAnsi="Arial" w:cs="Arial"/>
          <w:iCs/>
        </w:rPr>
        <w:t>15 de marzo de 2023</w:t>
      </w:r>
      <w:r w:rsidR="00E455DC" w:rsidRPr="00327AD4">
        <w:rPr>
          <w:rFonts w:ascii="Arial" w:hAnsi="Arial" w:cs="Arial"/>
          <w:iCs/>
        </w:rPr>
        <w:t xml:space="preserve">, </w:t>
      </w:r>
      <w:r w:rsidR="008F3CCD" w:rsidRPr="00327AD4">
        <w:rPr>
          <w:rFonts w:ascii="Arial" w:hAnsi="Arial" w:cs="Arial"/>
          <w:iCs/>
        </w:rPr>
        <w:t xml:space="preserve">que </w:t>
      </w:r>
      <w:r w:rsidR="00BC0251" w:rsidRPr="00327AD4">
        <w:rPr>
          <w:rFonts w:ascii="Arial" w:hAnsi="Arial" w:cs="Arial"/>
          <w:iCs/>
        </w:rPr>
        <w:t xml:space="preserve">en auto de esa misma </w:t>
      </w:r>
      <w:r w:rsidR="00947D96" w:rsidRPr="00327AD4">
        <w:rPr>
          <w:rFonts w:ascii="Arial" w:hAnsi="Arial" w:cs="Arial"/>
          <w:iCs/>
        </w:rPr>
        <w:t>da</w:t>
      </w:r>
      <w:r w:rsidR="008806B6" w:rsidRPr="00327AD4">
        <w:rPr>
          <w:rFonts w:ascii="Arial" w:hAnsi="Arial" w:cs="Arial"/>
          <w:iCs/>
        </w:rPr>
        <w:t>t</w:t>
      </w:r>
      <w:r w:rsidR="00947D96" w:rsidRPr="00327AD4">
        <w:rPr>
          <w:rFonts w:ascii="Arial" w:hAnsi="Arial" w:cs="Arial"/>
          <w:iCs/>
        </w:rPr>
        <w:t>a</w:t>
      </w:r>
      <w:r w:rsidR="00BC0251" w:rsidRPr="00327AD4">
        <w:rPr>
          <w:rFonts w:ascii="Arial" w:hAnsi="Arial" w:cs="Arial"/>
          <w:iCs/>
        </w:rPr>
        <w:t xml:space="preserve"> </w:t>
      </w:r>
      <w:r w:rsidR="00E455DC" w:rsidRPr="00327AD4">
        <w:rPr>
          <w:rFonts w:ascii="Arial" w:hAnsi="Arial" w:cs="Arial"/>
          <w:iCs/>
        </w:rPr>
        <w:t xml:space="preserve">declaró su </w:t>
      </w:r>
      <w:r w:rsidR="00BC0251" w:rsidRPr="00327AD4">
        <w:rPr>
          <w:rFonts w:ascii="Arial" w:hAnsi="Arial" w:cs="Arial"/>
          <w:iCs/>
        </w:rPr>
        <w:t>incompe</w:t>
      </w:r>
      <w:r w:rsidR="00E455DC" w:rsidRPr="00327AD4">
        <w:rPr>
          <w:rFonts w:ascii="Arial" w:hAnsi="Arial" w:cs="Arial"/>
          <w:iCs/>
        </w:rPr>
        <w:t>tencia</w:t>
      </w:r>
      <w:r w:rsidR="00BC0251" w:rsidRPr="00327AD4">
        <w:rPr>
          <w:rFonts w:ascii="Arial" w:hAnsi="Arial" w:cs="Arial"/>
          <w:iCs/>
        </w:rPr>
        <w:t xml:space="preserve"> para conocer del asunto en virtud</w:t>
      </w:r>
      <w:r w:rsidR="00513082" w:rsidRPr="00327AD4">
        <w:rPr>
          <w:rFonts w:ascii="Arial" w:hAnsi="Arial" w:cs="Arial"/>
          <w:iCs/>
        </w:rPr>
        <w:t xml:space="preserve"> a lo establecido en</w:t>
      </w:r>
      <w:r w:rsidR="00734381" w:rsidRPr="00327AD4">
        <w:rPr>
          <w:rFonts w:ascii="Arial" w:hAnsi="Arial" w:cs="Arial"/>
          <w:iCs/>
        </w:rPr>
        <w:t xml:space="preserve"> el Decreto 1069 de mayo 26 de 2015, -por medio del cual se expidió el Decreto Único Reglamentario del Sector Justicia y del Derecho-, adicionado por el Decreto 1834 de 16 de septiembre de 2015, que en su su artículo 2.2.3.1.3.1.</w:t>
      </w:r>
      <w:r w:rsidR="00513082" w:rsidRPr="00327AD4">
        <w:rPr>
          <w:rFonts w:ascii="Arial" w:hAnsi="Arial" w:cs="Arial"/>
          <w:iCs/>
        </w:rPr>
        <w:t xml:space="preserve"> </w:t>
      </w:r>
      <w:r w:rsidR="00734381" w:rsidRPr="00327AD4">
        <w:rPr>
          <w:rFonts w:ascii="Arial" w:hAnsi="Arial" w:cs="Arial"/>
          <w:iCs/>
        </w:rPr>
        <w:t>estable que el reparto de acciones de tutela masiva</w:t>
      </w:r>
      <w:r w:rsidR="008F3CCD" w:rsidRPr="00327AD4">
        <w:rPr>
          <w:rFonts w:ascii="Arial" w:hAnsi="Arial" w:cs="Arial"/>
          <w:iCs/>
        </w:rPr>
        <w:t>s</w:t>
      </w:r>
      <w:r w:rsidR="00734381" w:rsidRPr="00327AD4">
        <w:rPr>
          <w:rFonts w:ascii="Arial" w:hAnsi="Arial" w:cs="Arial"/>
          <w:iCs/>
        </w:rPr>
        <w:t>, será asignad</w:t>
      </w:r>
      <w:r w:rsidR="008F3CCD" w:rsidRPr="00327AD4">
        <w:rPr>
          <w:rFonts w:ascii="Arial" w:hAnsi="Arial" w:cs="Arial"/>
          <w:iCs/>
        </w:rPr>
        <w:t>o</w:t>
      </w:r>
      <w:r w:rsidR="00734381" w:rsidRPr="00327AD4">
        <w:rPr>
          <w:rFonts w:ascii="Arial" w:hAnsi="Arial" w:cs="Arial"/>
          <w:iCs/>
        </w:rPr>
        <w:t xml:space="preserve"> </w:t>
      </w:r>
      <w:r w:rsidR="009D1BF7" w:rsidRPr="00921220">
        <w:rPr>
          <w:rFonts w:ascii="Arial" w:hAnsi="Arial" w:cs="Arial"/>
          <w:bCs/>
          <w:iCs/>
        </w:rPr>
        <w:t>“</w:t>
      </w:r>
      <w:r w:rsidR="00734381" w:rsidRPr="00921220">
        <w:rPr>
          <w:rFonts w:ascii="Arial" w:hAnsi="Arial" w:cs="Arial"/>
          <w:b/>
          <w:bCs/>
          <w:iCs/>
          <w:sz w:val="22"/>
        </w:rPr>
        <w:t>al despacho judicial que, según las reglas de competencia, hubiese avocado en primer lugar el conocimiento de la primera de ellas</w:t>
      </w:r>
      <w:r w:rsidR="00734381" w:rsidRPr="00327AD4">
        <w:rPr>
          <w:rFonts w:ascii="Arial" w:hAnsi="Arial" w:cs="Arial"/>
          <w:iCs/>
        </w:rPr>
        <w:t>”</w:t>
      </w:r>
      <w:r w:rsidR="009D1BF7" w:rsidRPr="00327AD4">
        <w:rPr>
          <w:rFonts w:ascii="Arial" w:hAnsi="Arial" w:cs="Arial"/>
          <w:iCs/>
        </w:rPr>
        <w:t>.</w:t>
      </w:r>
    </w:p>
    <w:p w14:paraId="0E27B00A" w14:textId="77777777" w:rsidR="009D1BF7" w:rsidRPr="00327AD4" w:rsidRDefault="009D1BF7" w:rsidP="000958C4">
      <w:pPr>
        <w:pStyle w:val="NormalWeb"/>
        <w:spacing w:before="0" w:beforeAutospacing="0" w:after="0" w:line="276" w:lineRule="auto"/>
        <w:jc w:val="both"/>
        <w:rPr>
          <w:rFonts w:ascii="Arial" w:hAnsi="Arial" w:cs="Arial"/>
          <w:iCs/>
        </w:rPr>
      </w:pPr>
    </w:p>
    <w:p w14:paraId="62196FDB" w14:textId="77777777" w:rsidR="009D1BF7" w:rsidRPr="00327AD4" w:rsidRDefault="009D1BF7" w:rsidP="000958C4">
      <w:pPr>
        <w:pStyle w:val="NormalWeb"/>
        <w:spacing w:before="0" w:beforeAutospacing="0" w:after="0" w:line="276" w:lineRule="auto"/>
        <w:jc w:val="both"/>
        <w:rPr>
          <w:rFonts w:ascii="Arial" w:hAnsi="Arial" w:cs="Arial"/>
          <w:iCs/>
        </w:rPr>
      </w:pPr>
      <w:r w:rsidRPr="00327AD4">
        <w:rPr>
          <w:rFonts w:ascii="Arial" w:hAnsi="Arial" w:cs="Arial"/>
          <w:iCs/>
        </w:rPr>
        <w:t>A tal determinación llegó el a quo al establecer que la primera de una serie de solicitudes de protección constitucional elevadas por algunos ciudadanos</w:t>
      </w:r>
      <w:r w:rsidR="008F3CCD" w:rsidRPr="00327AD4">
        <w:rPr>
          <w:rFonts w:ascii="Arial" w:hAnsi="Arial" w:cs="Arial"/>
          <w:iCs/>
        </w:rPr>
        <w:t>,</w:t>
      </w:r>
      <w:r w:rsidRPr="00327AD4">
        <w:rPr>
          <w:rFonts w:ascii="Arial" w:hAnsi="Arial" w:cs="Arial"/>
          <w:iCs/>
        </w:rPr>
        <w:t xml:space="preserve"> fundamentada</w:t>
      </w:r>
      <w:r w:rsidR="00285AAD" w:rsidRPr="00327AD4">
        <w:rPr>
          <w:rFonts w:ascii="Arial" w:hAnsi="Arial" w:cs="Arial"/>
          <w:iCs/>
        </w:rPr>
        <w:t>s</w:t>
      </w:r>
      <w:r w:rsidRPr="00327AD4">
        <w:rPr>
          <w:rFonts w:ascii="Arial" w:hAnsi="Arial" w:cs="Arial"/>
          <w:iCs/>
        </w:rPr>
        <w:t xml:space="preserve"> en los mismos hechos y pretensiones de la actual, fue repartida el Juzgado Tercero de Familia de Pereira, por lo que le correspondía a ese despacho judicial el conocimiento de la presente acción, motivo por el cual procedió con la remisión correspondiente.</w:t>
      </w:r>
    </w:p>
    <w:p w14:paraId="29D6B04F" w14:textId="77777777" w:rsidR="00CC67CA" w:rsidRPr="00327AD4" w:rsidRDefault="00513082"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 </w:t>
      </w:r>
    </w:p>
    <w:p w14:paraId="252831B0" w14:textId="7B76B712" w:rsidR="008E4621" w:rsidRPr="00327AD4" w:rsidRDefault="00947D96"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Recibida la acción constitucional ese despacho judicial, mediante providencia adiada </w:t>
      </w:r>
      <w:r w:rsidR="009D1BF7" w:rsidRPr="00327AD4">
        <w:rPr>
          <w:rFonts w:ascii="Arial" w:hAnsi="Arial" w:cs="Arial"/>
          <w:iCs/>
        </w:rPr>
        <w:t>16 de marzo del año que avanza</w:t>
      </w:r>
      <w:r w:rsidR="00CC67CA" w:rsidRPr="00327AD4">
        <w:rPr>
          <w:rFonts w:ascii="Arial" w:hAnsi="Arial" w:cs="Arial"/>
          <w:iCs/>
        </w:rPr>
        <w:t xml:space="preserve">, </w:t>
      </w:r>
      <w:r w:rsidR="00285AAD" w:rsidRPr="00327AD4">
        <w:rPr>
          <w:rFonts w:ascii="Arial" w:hAnsi="Arial" w:cs="Arial"/>
          <w:iCs/>
        </w:rPr>
        <w:t xml:space="preserve">negó la acumulación pretendida, dado que los hechos y pretensiones de la acción de tutela formulada por la señora Natalia Milena Escobar Marulanda no coinciden con los formulados en los procesos que de igual naturaleza adelantaron los señores Roberto Antonio Herrera Castaño, Mario Fernando Sánchez González, Tatiana Salazar Trejos, Yohana Bianeth Cifuentes y Milene Loaiza Hincapié, </w:t>
      </w:r>
      <w:r w:rsidR="24F7B47A" w:rsidRPr="00327AD4">
        <w:rPr>
          <w:rFonts w:ascii="Arial" w:hAnsi="Arial" w:cs="Arial"/>
          <w:iCs/>
        </w:rPr>
        <w:t>que</w:t>
      </w:r>
      <w:r w:rsidR="00285AAD" w:rsidRPr="00327AD4">
        <w:rPr>
          <w:rFonts w:ascii="Arial" w:hAnsi="Arial" w:cs="Arial"/>
          <w:iCs/>
        </w:rPr>
        <w:t xml:space="preserve"> fueron tramitados </w:t>
      </w:r>
      <w:r w:rsidR="001E4D9B" w:rsidRPr="00327AD4">
        <w:rPr>
          <w:rFonts w:ascii="Arial" w:hAnsi="Arial" w:cs="Arial"/>
          <w:iCs/>
        </w:rPr>
        <w:t xml:space="preserve">y fallados </w:t>
      </w:r>
      <w:r w:rsidR="00285AAD" w:rsidRPr="00327AD4">
        <w:rPr>
          <w:rFonts w:ascii="Arial" w:hAnsi="Arial" w:cs="Arial"/>
          <w:iCs/>
        </w:rPr>
        <w:t>en ese Juzgado</w:t>
      </w:r>
      <w:r w:rsidR="00D27BCA" w:rsidRPr="00327AD4">
        <w:rPr>
          <w:rFonts w:ascii="Arial" w:hAnsi="Arial" w:cs="Arial"/>
          <w:iCs/>
        </w:rPr>
        <w:t>.</w:t>
      </w:r>
      <w:r w:rsidR="00285AAD" w:rsidRPr="00327AD4">
        <w:rPr>
          <w:rFonts w:ascii="Arial" w:hAnsi="Arial" w:cs="Arial"/>
          <w:iCs/>
        </w:rPr>
        <w:t xml:space="preserve">  Consecuente con esa decisión dispuso la devolución del proceso al Juzgado Primero Penal del Circuito Especializado de esta ciudad.</w:t>
      </w:r>
      <w:r w:rsidR="00D27BCA" w:rsidRPr="00327AD4">
        <w:rPr>
          <w:rFonts w:ascii="Arial" w:hAnsi="Arial" w:cs="Arial"/>
          <w:iCs/>
        </w:rPr>
        <w:t xml:space="preserve"> </w:t>
      </w:r>
    </w:p>
    <w:p w14:paraId="60061E4C" w14:textId="77777777" w:rsidR="00285AAD" w:rsidRPr="00327AD4" w:rsidRDefault="00285AAD" w:rsidP="000958C4">
      <w:pPr>
        <w:pStyle w:val="NormalWeb"/>
        <w:spacing w:before="0" w:beforeAutospacing="0" w:after="0" w:line="276" w:lineRule="auto"/>
        <w:jc w:val="both"/>
        <w:rPr>
          <w:rFonts w:ascii="Arial" w:hAnsi="Arial" w:cs="Arial"/>
          <w:iCs/>
        </w:rPr>
      </w:pPr>
    </w:p>
    <w:p w14:paraId="256B29F3" w14:textId="52AAADBB" w:rsidR="001E4D9B" w:rsidRPr="00327AD4" w:rsidRDefault="00285AAD"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Encontrándose nuevamente </w:t>
      </w:r>
      <w:r w:rsidR="008F3CCD" w:rsidRPr="00327AD4">
        <w:rPr>
          <w:rFonts w:ascii="Arial" w:hAnsi="Arial" w:cs="Arial"/>
          <w:iCs/>
        </w:rPr>
        <w:t>el trámite</w:t>
      </w:r>
      <w:r w:rsidRPr="00327AD4">
        <w:rPr>
          <w:rFonts w:ascii="Arial" w:hAnsi="Arial" w:cs="Arial"/>
          <w:iCs/>
        </w:rPr>
        <w:t xml:space="preserve"> en esa Célula Judicial, en auto de 21 de marzo de 2023 se pronunció provocando el conflicto de competencia</w:t>
      </w:r>
      <w:r w:rsidR="001E4D9B" w:rsidRPr="00327AD4">
        <w:rPr>
          <w:rFonts w:ascii="Arial" w:hAnsi="Arial" w:cs="Arial"/>
          <w:iCs/>
        </w:rPr>
        <w:t>, toda vez que el escrito de tutela presentado por la señora Natalia Milena Escobar Marulanda, guarda similitud con</w:t>
      </w:r>
      <w:r w:rsidR="00FE35A5" w:rsidRPr="00327AD4">
        <w:rPr>
          <w:rFonts w:ascii="Arial" w:hAnsi="Arial" w:cs="Arial"/>
          <w:iCs/>
        </w:rPr>
        <w:t xml:space="preserve"> la finalidad y con los </w:t>
      </w:r>
      <w:r w:rsidR="001E4D9B" w:rsidRPr="00327AD4">
        <w:rPr>
          <w:rFonts w:ascii="Arial" w:hAnsi="Arial" w:cs="Arial"/>
          <w:iCs/>
        </w:rPr>
        <w:t xml:space="preserve"> hechos</w:t>
      </w:r>
      <w:r w:rsidR="00FE35A5" w:rsidRPr="00327AD4">
        <w:rPr>
          <w:rFonts w:ascii="Arial" w:hAnsi="Arial" w:cs="Arial"/>
          <w:iCs/>
        </w:rPr>
        <w:t xml:space="preserve"> y</w:t>
      </w:r>
      <w:r w:rsidR="001E4D9B" w:rsidRPr="00327AD4">
        <w:rPr>
          <w:rFonts w:ascii="Arial" w:hAnsi="Arial" w:cs="Arial"/>
          <w:iCs/>
        </w:rPr>
        <w:t xml:space="preserve"> pretensiones que soportaron la acciones conocidas por el Juzgado Tercero de Familia</w:t>
      </w:r>
      <w:r w:rsidR="00FE35A5" w:rsidRPr="00327AD4">
        <w:rPr>
          <w:rFonts w:ascii="Arial" w:hAnsi="Arial" w:cs="Arial"/>
          <w:iCs/>
        </w:rPr>
        <w:t xml:space="preserve"> de Pereira</w:t>
      </w:r>
      <w:r w:rsidR="001E4D9B" w:rsidRPr="00327AD4">
        <w:rPr>
          <w:rFonts w:ascii="Arial" w:hAnsi="Arial" w:cs="Arial"/>
          <w:iCs/>
        </w:rPr>
        <w:t xml:space="preserve">, difiriendo únicamente en lo que respecta </w:t>
      </w:r>
      <w:r w:rsidR="421F786D" w:rsidRPr="00327AD4">
        <w:rPr>
          <w:rFonts w:ascii="Arial" w:hAnsi="Arial" w:cs="Arial"/>
          <w:iCs/>
        </w:rPr>
        <w:t>con</w:t>
      </w:r>
      <w:r w:rsidR="001E4D9B" w:rsidRPr="00327AD4">
        <w:rPr>
          <w:rFonts w:ascii="Arial" w:hAnsi="Arial" w:cs="Arial"/>
          <w:iCs/>
        </w:rPr>
        <w:t xml:space="preserve"> la adición </w:t>
      </w:r>
      <w:r w:rsidR="5CAB352B" w:rsidRPr="00327AD4">
        <w:rPr>
          <w:rFonts w:ascii="Arial" w:hAnsi="Arial" w:cs="Arial"/>
          <w:iCs/>
        </w:rPr>
        <w:t>de</w:t>
      </w:r>
      <w:r w:rsidR="001E4D9B" w:rsidRPr="00327AD4">
        <w:rPr>
          <w:rFonts w:ascii="Arial" w:hAnsi="Arial" w:cs="Arial"/>
          <w:iCs/>
        </w:rPr>
        <w:t xml:space="preserve"> tres pretensiones que no fueron incluidas en los procesos iniciales, las cuales </w:t>
      </w:r>
      <w:r w:rsidR="32F9D78D" w:rsidRPr="00327AD4">
        <w:rPr>
          <w:rFonts w:ascii="Arial" w:hAnsi="Arial" w:cs="Arial"/>
          <w:iCs/>
        </w:rPr>
        <w:t xml:space="preserve">considera que bien </w:t>
      </w:r>
      <w:r w:rsidR="001E4D9B" w:rsidRPr="00327AD4">
        <w:rPr>
          <w:rFonts w:ascii="Arial" w:hAnsi="Arial" w:cs="Arial"/>
          <w:iCs/>
        </w:rPr>
        <w:t>pueden subsumirse en las solicitudes ya decididas.</w:t>
      </w:r>
    </w:p>
    <w:p w14:paraId="44EAFD9C" w14:textId="77777777" w:rsidR="001E4D9B" w:rsidRPr="00327AD4" w:rsidRDefault="001E4D9B" w:rsidP="000958C4">
      <w:pPr>
        <w:pStyle w:val="NormalWeb"/>
        <w:spacing w:before="0" w:beforeAutospacing="0" w:after="0" w:line="276" w:lineRule="auto"/>
        <w:jc w:val="both"/>
        <w:rPr>
          <w:rFonts w:ascii="Arial" w:hAnsi="Arial" w:cs="Arial"/>
          <w:iCs/>
        </w:rPr>
      </w:pPr>
    </w:p>
    <w:p w14:paraId="55676987" w14:textId="5342E31C" w:rsidR="00AA1BBA" w:rsidRPr="00327AD4" w:rsidRDefault="00AA1BBA" w:rsidP="000958C4">
      <w:pPr>
        <w:pStyle w:val="NormalWeb"/>
        <w:spacing w:before="0" w:beforeAutospacing="0" w:after="0" w:line="276" w:lineRule="auto"/>
        <w:jc w:val="both"/>
        <w:rPr>
          <w:rFonts w:ascii="Arial" w:hAnsi="Arial" w:cs="Arial"/>
          <w:iCs/>
        </w:rPr>
      </w:pPr>
      <w:r w:rsidRPr="00327AD4">
        <w:rPr>
          <w:rFonts w:ascii="Arial" w:hAnsi="Arial" w:cs="Arial"/>
          <w:iCs/>
        </w:rPr>
        <w:t>Consideró el juzgado que admitir la postura del remitente generaría inseguridad jurídica, que es precisamente lo que busca evitar la norma, en la medida en que un solo juez decida respecto a la</w:t>
      </w:r>
      <w:r w:rsidR="00FE35A5" w:rsidRPr="00327AD4">
        <w:rPr>
          <w:rFonts w:ascii="Arial" w:hAnsi="Arial" w:cs="Arial"/>
          <w:iCs/>
        </w:rPr>
        <w:t>s</w:t>
      </w:r>
      <w:r w:rsidRPr="00327AD4">
        <w:rPr>
          <w:rFonts w:ascii="Arial" w:hAnsi="Arial" w:cs="Arial"/>
          <w:iCs/>
        </w:rPr>
        <w:t xml:space="preserve"> peticiones de protección constitucional formuladas en masa y no </w:t>
      </w:r>
      <w:r w:rsidR="5125D90E" w:rsidRPr="00327AD4">
        <w:rPr>
          <w:rFonts w:ascii="Arial" w:hAnsi="Arial" w:cs="Arial"/>
          <w:iCs/>
        </w:rPr>
        <w:t>terminen existiendo</w:t>
      </w:r>
      <w:r w:rsidRPr="00327AD4">
        <w:rPr>
          <w:rFonts w:ascii="Arial" w:hAnsi="Arial" w:cs="Arial"/>
          <w:iCs/>
        </w:rPr>
        <w:t xml:space="preserve"> distintas interpretaciones y análisis que gobiernen un mismo asunto.</w:t>
      </w:r>
    </w:p>
    <w:p w14:paraId="4B94D5A5" w14:textId="77777777" w:rsidR="00AA1BBA" w:rsidRPr="00327AD4" w:rsidRDefault="00AA1BBA" w:rsidP="000958C4">
      <w:pPr>
        <w:pStyle w:val="NormalWeb"/>
        <w:spacing w:before="0" w:beforeAutospacing="0" w:after="0" w:line="276" w:lineRule="auto"/>
        <w:jc w:val="both"/>
        <w:rPr>
          <w:rFonts w:ascii="Arial" w:hAnsi="Arial" w:cs="Arial"/>
          <w:iCs/>
        </w:rPr>
      </w:pPr>
    </w:p>
    <w:p w14:paraId="6722A41A" w14:textId="77777777" w:rsidR="008E4621" w:rsidRPr="00327AD4" w:rsidRDefault="00AF56D3"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Una vez hecho el reparto a la Sala Mixta No </w:t>
      </w:r>
      <w:r w:rsidR="00AA1BBA" w:rsidRPr="00327AD4">
        <w:rPr>
          <w:rFonts w:ascii="Arial" w:hAnsi="Arial" w:cs="Arial"/>
          <w:iCs/>
        </w:rPr>
        <w:t>1</w:t>
      </w:r>
      <w:r w:rsidR="00FE35A5" w:rsidRPr="00327AD4">
        <w:rPr>
          <w:rFonts w:ascii="Arial" w:hAnsi="Arial" w:cs="Arial"/>
          <w:iCs/>
        </w:rPr>
        <w:t>1</w:t>
      </w:r>
      <w:r w:rsidRPr="00327AD4">
        <w:rPr>
          <w:rFonts w:ascii="Arial" w:hAnsi="Arial" w:cs="Arial"/>
          <w:iCs/>
        </w:rPr>
        <w:t xml:space="preserve"> del Tribunal Superior de ésta Distrito Judicial, se procede a </w:t>
      </w:r>
      <w:r w:rsidR="0082518E" w:rsidRPr="00327AD4">
        <w:rPr>
          <w:rFonts w:ascii="Arial" w:hAnsi="Arial" w:cs="Arial"/>
          <w:iCs/>
        </w:rPr>
        <w:t>decidir</w:t>
      </w:r>
      <w:r w:rsidRPr="00327AD4">
        <w:rPr>
          <w:rFonts w:ascii="Arial" w:hAnsi="Arial" w:cs="Arial"/>
          <w:iCs/>
        </w:rPr>
        <w:t>, previas las siguientes</w:t>
      </w:r>
    </w:p>
    <w:p w14:paraId="3DEEC669" w14:textId="733E3E82" w:rsidR="008E4621" w:rsidRDefault="008E4621" w:rsidP="000958C4">
      <w:pPr>
        <w:pStyle w:val="NormalWeb"/>
        <w:spacing w:before="0" w:beforeAutospacing="0" w:after="0" w:line="276" w:lineRule="auto"/>
        <w:jc w:val="both"/>
        <w:rPr>
          <w:rFonts w:ascii="Arial" w:hAnsi="Arial" w:cs="Arial"/>
          <w:iCs/>
        </w:rPr>
      </w:pPr>
    </w:p>
    <w:p w14:paraId="35F0E841" w14:textId="77777777" w:rsidR="009277C3" w:rsidRPr="00327AD4" w:rsidRDefault="009277C3" w:rsidP="000958C4">
      <w:pPr>
        <w:pStyle w:val="NormalWeb"/>
        <w:spacing w:before="0" w:beforeAutospacing="0" w:after="0" w:line="276" w:lineRule="auto"/>
        <w:jc w:val="both"/>
        <w:rPr>
          <w:rFonts w:ascii="Arial" w:hAnsi="Arial" w:cs="Arial"/>
          <w:iCs/>
        </w:rPr>
      </w:pPr>
    </w:p>
    <w:p w14:paraId="2E0A79F2" w14:textId="77777777" w:rsidR="008E4621" w:rsidRPr="00327AD4" w:rsidRDefault="00AF56D3" w:rsidP="000958C4">
      <w:pPr>
        <w:pStyle w:val="NormalWeb"/>
        <w:spacing w:before="0" w:beforeAutospacing="0" w:after="0" w:line="276" w:lineRule="auto"/>
        <w:jc w:val="center"/>
        <w:rPr>
          <w:rFonts w:ascii="Arial" w:hAnsi="Arial" w:cs="Arial"/>
          <w:iCs/>
        </w:rPr>
      </w:pPr>
      <w:r w:rsidRPr="00327AD4">
        <w:rPr>
          <w:rFonts w:ascii="Arial" w:hAnsi="Arial" w:cs="Arial"/>
          <w:b/>
          <w:iCs/>
        </w:rPr>
        <w:t>CONSIDERACIONES</w:t>
      </w:r>
    </w:p>
    <w:p w14:paraId="3656B9AB" w14:textId="7EE9B628" w:rsidR="008E4621" w:rsidRDefault="008E4621" w:rsidP="000958C4">
      <w:pPr>
        <w:pStyle w:val="NormalWeb"/>
        <w:spacing w:before="0" w:beforeAutospacing="0" w:after="0" w:line="276" w:lineRule="auto"/>
        <w:jc w:val="both"/>
        <w:rPr>
          <w:rFonts w:ascii="Arial" w:hAnsi="Arial" w:cs="Arial"/>
          <w:iCs/>
        </w:rPr>
      </w:pPr>
    </w:p>
    <w:p w14:paraId="66FE1158" w14:textId="77777777" w:rsidR="009277C3" w:rsidRPr="00327AD4" w:rsidRDefault="009277C3" w:rsidP="000958C4">
      <w:pPr>
        <w:pStyle w:val="NormalWeb"/>
        <w:spacing w:before="0" w:beforeAutospacing="0" w:after="0" w:line="276" w:lineRule="auto"/>
        <w:jc w:val="both"/>
        <w:rPr>
          <w:rFonts w:ascii="Arial" w:hAnsi="Arial" w:cs="Arial"/>
          <w:iCs/>
        </w:rPr>
      </w:pPr>
    </w:p>
    <w:p w14:paraId="75E0163B" w14:textId="640D7848" w:rsidR="003E2A84" w:rsidRPr="00327AD4" w:rsidRDefault="00B43C14" w:rsidP="000958C4">
      <w:pPr>
        <w:pStyle w:val="NormalWeb"/>
        <w:spacing w:before="0" w:beforeAutospacing="0" w:after="0" w:line="276" w:lineRule="auto"/>
        <w:jc w:val="both"/>
        <w:rPr>
          <w:rFonts w:ascii="Arial" w:hAnsi="Arial" w:cs="Arial"/>
          <w:iCs/>
        </w:rPr>
      </w:pPr>
      <w:r w:rsidRPr="00327AD4">
        <w:rPr>
          <w:rFonts w:ascii="Arial" w:hAnsi="Arial" w:cs="Arial"/>
          <w:iCs/>
        </w:rPr>
        <w:t>La jurisprudencia constitucional ha establecido que, en materia de acción de tutela, los únicos conflictos de competencia que pueden presentarse por la aplicación del artículo 37 del Decreto 2591 de 1991, son los que surgen del factor territorial</w:t>
      </w:r>
      <w:r w:rsidR="16EAD006" w:rsidRPr="00327AD4">
        <w:rPr>
          <w:rFonts w:ascii="Arial" w:hAnsi="Arial" w:cs="Arial"/>
          <w:iCs/>
        </w:rPr>
        <w:t>,</w:t>
      </w:r>
      <w:r w:rsidRPr="00327AD4">
        <w:rPr>
          <w:rFonts w:ascii="Arial" w:hAnsi="Arial" w:cs="Arial"/>
          <w:iCs/>
        </w:rPr>
        <w:t xml:space="preserve"> los relativos a las acciones de tutela iniciadas contra medios de comunicación</w:t>
      </w:r>
      <w:r w:rsidR="5931D196" w:rsidRPr="00327AD4">
        <w:rPr>
          <w:rFonts w:ascii="Arial" w:hAnsi="Arial" w:cs="Arial"/>
          <w:iCs/>
        </w:rPr>
        <w:t xml:space="preserve"> y, pa</w:t>
      </w:r>
      <w:r w:rsidR="7F1E9D2C" w:rsidRPr="00327AD4">
        <w:rPr>
          <w:rFonts w:ascii="Arial" w:hAnsi="Arial" w:cs="Arial"/>
          <w:iCs/>
        </w:rPr>
        <w:t xml:space="preserve">ra el conocimiento de las impugnaciones, </w:t>
      </w:r>
      <w:r w:rsidR="7890D676" w:rsidRPr="00327AD4">
        <w:rPr>
          <w:rFonts w:ascii="Arial" w:hAnsi="Arial" w:cs="Arial"/>
          <w:iCs/>
        </w:rPr>
        <w:t>el relativo a la condición de superior jerárquico de quien profirió la decisión inicial</w:t>
      </w:r>
      <w:r w:rsidR="689A5785" w:rsidRPr="00327AD4">
        <w:rPr>
          <w:rFonts w:ascii="Arial" w:hAnsi="Arial" w:cs="Arial"/>
          <w:iCs/>
        </w:rPr>
        <w:t>.</w:t>
      </w:r>
    </w:p>
    <w:p w14:paraId="0D5B3F3B" w14:textId="0DBEEB34" w:rsidR="003E2A84" w:rsidRPr="00327AD4" w:rsidRDefault="003E2A84" w:rsidP="000958C4">
      <w:pPr>
        <w:pStyle w:val="NormalWeb"/>
        <w:spacing w:before="0" w:beforeAutospacing="0" w:after="0" w:line="276" w:lineRule="auto"/>
        <w:jc w:val="both"/>
        <w:rPr>
          <w:rFonts w:ascii="Arial" w:hAnsi="Arial" w:cs="Arial"/>
          <w:iCs/>
        </w:rPr>
      </w:pPr>
    </w:p>
    <w:p w14:paraId="17E7428D" w14:textId="35BD626E" w:rsidR="003E2A84" w:rsidRPr="00327AD4" w:rsidRDefault="003E2A84" w:rsidP="000958C4">
      <w:pPr>
        <w:pStyle w:val="NormalWeb"/>
        <w:spacing w:before="0" w:beforeAutospacing="0" w:after="0" w:line="276" w:lineRule="auto"/>
        <w:jc w:val="both"/>
        <w:rPr>
          <w:rFonts w:ascii="Arial" w:hAnsi="Arial" w:cs="Arial"/>
          <w:iCs/>
        </w:rPr>
      </w:pPr>
      <w:r w:rsidRPr="00327AD4">
        <w:rPr>
          <w:rFonts w:ascii="Arial" w:hAnsi="Arial" w:cs="Arial"/>
          <w:iCs/>
        </w:rPr>
        <w:t>Es así que</w:t>
      </w:r>
      <w:r w:rsidR="15AD2282" w:rsidRPr="00327AD4">
        <w:rPr>
          <w:rFonts w:ascii="Arial" w:hAnsi="Arial" w:cs="Arial"/>
          <w:iCs/>
        </w:rPr>
        <w:t>,</w:t>
      </w:r>
      <w:r w:rsidRPr="00327AD4">
        <w:rPr>
          <w:rFonts w:ascii="Arial" w:hAnsi="Arial" w:cs="Arial"/>
          <w:iCs/>
        </w:rPr>
        <w:t xml:space="preserve"> la Corte Constitucional, según lo manifestado en Auto 136 de 2021, </w:t>
      </w:r>
      <w:r w:rsidR="00FE35A5" w:rsidRPr="00327AD4">
        <w:rPr>
          <w:rFonts w:ascii="Arial" w:hAnsi="Arial" w:cs="Arial"/>
          <w:iCs/>
        </w:rPr>
        <w:t xml:space="preserve">precisa que </w:t>
      </w:r>
      <w:r w:rsidRPr="00327AD4">
        <w:rPr>
          <w:rFonts w:ascii="Arial" w:hAnsi="Arial" w:cs="Arial"/>
          <w:iCs/>
        </w:rPr>
        <w:t xml:space="preserve">solo existen tres factores de asignación de competencia en materia de tutela a saber: </w:t>
      </w:r>
    </w:p>
    <w:p w14:paraId="049F31CB" w14:textId="77777777" w:rsidR="003E2A84" w:rsidRPr="00327AD4" w:rsidRDefault="003E2A84" w:rsidP="000958C4">
      <w:pPr>
        <w:tabs>
          <w:tab w:val="left" w:pos="284"/>
        </w:tabs>
        <w:suppressAutoHyphens w:val="0"/>
        <w:spacing w:line="276" w:lineRule="auto"/>
        <w:contextualSpacing/>
        <w:jc w:val="both"/>
        <w:rPr>
          <w:rFonts w:ascii="Arial" w:hAnsi="Arial" w:cs="Arial"/>
          <w:iCs/>
          <w:sz w:val="24"/>
          <w:szCs w:val="24"/>
          <w:lang w:eastAsia="es-ES"/>
        </w:rPr>
      </w:pPr>
    </w:p>
    <w:p w14:paraId="0995E24D" w14:textId="77777777" w:rsidR="003E2A84" w:rsidRPr="00921220" w:rsidRDefault="003E2A84" w:rsidP="00921220">
      <w:pPr>
        <w:suppressAutoHyphens w:val="0"/>
        <w:ind w:left="426" w:right="418"/>
        <w:contextualSpacing/>
        <w:jc w:val="both"/>
        <w:rPr>
          <w:rFonts w:ascii="Arial" w:hAnsi="Arial" w:cs="Arial"/>
          <w:iCs/>
          <w:sz w:val="22"/>
          <w:szCs w:val="24"/>
        </w:rPr>
      </w:pPr>
      <w:r w:rsidRPr="00921220">
        <w:rPr>
          <w:rFonts w:ascii="Arial" w:hAnsi="Arial" w:cs="Arial"/>
          <w:iCs/>
          <w:sz w:val="22"/>
          <w:szCs w:val="24"/>
        </w:rPr>
        <w:t>“i) el factor territorial, en virtud del cual son competentes “a prevención”</w:t>
      </w:r>
      <w:r w:rsidRPr="00921220">
        <w:rPr>
          <w:rFonts w:ascii="Arial" w:hAnsi="Arial" w:cs="Arial"/>
          <w:b/>
          <w:iCs/>
          <w:sz w:val="22"/>
          <w:szCs w:val="24"/>
        </w:rPr>
        <w:t xml:space="preserve"> </w:t>
      </w:r>
      <w:r w:rsidRPr="00921220">
        <w:rPr>
          <w:rFonts w:ascii="Arial" w:hAnsi="Arial" w:cs="Arial"/>
          <w:iCs/>
          <w:sz w:val="22"/>
          <w:szCs w:val="24"/>
        </w:rPr>
        <w:t xml:space="preserve">los jueces con jurisdicción en el lugar donde: (a) ocurre la vulneración o la amenaza que motiva la presentación de la solicitud, o (b) donde se produzcan sus efectos; </w:t>
      </w:r>
    </w:p>
    <w:p w14:paraId="53128261" w14:textId="77777777" w:rsidR="003E2A84" w:rsidRPr="00921220" w:rsidRDefault="003E2A84" w:rsidP="00921220">
      <w:pPr>
        <w:suppressAutoHyphens w:val="0"/>
        <w:ind w:left="426" w:right="418"/>
        <w:contextualSpacing/>
        <w:jc w:val="both"/>
        <w:rPr>
          <w:rFonts w:ascii="Arial" w:hAnsi="Arial" w:cs="Arial"/>
          <w:iCs/>
          <w:sz w:val="22"/>
          <w:szCs w:val="24"/>
        </w:rPr>
      </w:pPr>
    </w:p>
    <w:p w14:paraId="7D9A9AB4" w14:textId="77777777" w:rsidR="003E2A84" w:rsidRPr="00921220" w:rsidRDefault="003E2A84" w:rsidP="00921220">
      <w:pPr>
        <w:suppressAutoHyphens w:val="0"/>
        <w:ind w:left="426" w:right="418"/>
        <w:contextualSpacing/>
        <w:jc w:val="both"/>
        <w:rPr>
          <w:rFonts w:ascii="Arial" w:hAnsi="Arial" w:cs="Arial"/>
          <w:iCs/>
          <w:sz w:val="22"/>
          <w:szCs w:val="24"/>
        </w:rPr>
      </w:pPr>
      <w:r w:rsidRPr="00921220">
        <w:rPr>
          <w:rFonts w:ascii="Arial" w:hAnsi="Arial" w:cs="Arial"/>
          <w:iCs/>
          <w:sz w:val="22"/>
          <w:szCs w:val="24"/>
        </w:rPr>
        <w:t>ii) el factor subjetivo, que corresponde al caso de las acciones de tutela interpuestas en contra de: (a) los medios de comunicación, cuyo conocimiento fue asignado a los jueces del circuito de conformidad con el factor territorial; y (b) las autoridades de la Jurisdicción Especial para la Paz, cuya resolución corresponde al Tribunal para la Paz; y</w:t>
      </w:r>
    </w:p>
    <w:p w14:paraId="62486C05" w14:textId="77777777" w:rsidR="003E2A84" w:rsidRPr="00921220" w:rsidRDefault="003E2A84" w:rsidP="00921220">
      <w:pPr>
        <w:suppressAutoHyphens w:val="0"/>
        <w:ind w:left="426" w:right="418"/>
        <w:contextualSpacing/>
        <w:jc w:val="both"/>
        <w:rPr>
          <w:rFonts w:ascii="Arial" w:hAnsi="Arial" w:cs="Arial"/>
          <w:iCs/>
          <w:sz w:val="22"/>
          <w:szCs w:val="24"/>
        </w:rPr>
      </w:pPr>
    </w:p>
    <w:p w14:paraId="565A3BF3" w14:textId="05A6013B" w:rsidR="003E2A84" w:rsidRPr="00921220" w:rsidRDefault="003E2A84" w:rsidP="00921220">
      <w:pPr>
        <w:suppressAutoHyphens w:val="0"/>
        <w:ind w:left="426" w:right="418"/>
        <w:contextualSpacing/>
        <w:jc w:val="both"/>
        <w:rPr>
          <w:rFonts w:ascii="Arial" w:hAnsi="Arial" w:cs="Arial"/>
          <w:iCs/>
          <w:sz w:val="22"/>
          <w:szCs w:val="24"/>
        </w:rPr>
      </w:pPr>
      <w:r w:rsidRPr="00921220">
        <w:rPr>
          <w:rFonts w:ascii="Arial" w:hAnsi="Arial" w:cs="Arial"/>
          <w:iCs/>
          <w:sz w:val="22"/>
          <w:szCs w:val="24"/>
        </w:rPr>
        <w:t xml:space="preserve">iii) el </w:t>
      </w:r>
      <w:r w:rsidRPr="00921220">
        <w:rPr>
          <w:rFonts w:ascii="Arial" w:hAnsi="Arial" w:cs="Arial"/>
          <w:sz w:val="22"/>
          <w:szCs w:val="24"/>
        </w:rPr>
        <w:t>factor funcional</w:t>
      </w:r>
      <w:r w:rsidRPr="00921220">
        <w:rPr>
          <w:rFonts w:ascii="Arial" w:hAnsi="Arial" w:cs="Arial"/>
          <w:iCs/>
          <w:sz w:val="22"/>
          <w:szCs w:val="24"/>
        </w:rPr>
        <w:t>, que debe ser verificado por las autoridades judiciales al momento de asumir el conocimiento de la impugnación de una sentencia de tutela y que implica que únicamente pueden conocer de ella las autoridades judiciales que tengan la condición de “superior jerárquico correspondiente” en los términos establecidos en la jurisprudencia</w:t>
      </w:r>
      <w:r w:rsidR="65517BE1" w:rsidRPr="00921220">
        <w:rPr>
          <w:rFonts w:ascii="Arial" w:hAnsi="Arial" w:cs="Arial"/>
          <w:iCs/>
          <w:sz w:val="22"/>
          <w:szCs w:val="24"/>
        </w:rPr>
        <w:t>”</w:t>
      </w:r>
      <w:r w:rsidRPr="00921220">
        <w:rPr>
          <w:rFonts w:ascii="Arial" w:hAnsi="Arial" w:cs="Arial"/>
          <w:iCs/>
          <w:sz w:val="22"/>
          <w:szCs w:val="24"/>
        </w:rPr>
        <w:t>.</w:t>
      </w:r>
    </w:p>
    <w:p w14:paraId="4101652C" w14:textId="77777777" w:rsidR="003E2A84" w:rsidRPr="00327AD4" w:rsidRDefault="003E2A84" w:rsidP="000958C4">
      <w:pPr>
        <w:pStyle w:val="NormalWeb"/>
        <w:spacing w:before="0" w:beforeAutospacing="0" w:after="0" w:line="276" w:lineRule="auto"/>
        <w:jc w:val="both"/>
        <w:rPr>
          <w:rFonts w:ascii="Arial" w:hAnsi="Arial" w:cs="Arial"/>
          <w:iCs/>
        </w:rPr>
      </w:pPr>
    </w:p>
    <w:p w14:paraId="64180A5E" w14:textId="350745EA" w:rsidR="003E2A84" w:rsidRPr="00327AD4" w:rsidRDefault="003E2A84" w:rsidP="000958C4">
      <w:pPr>
        <w:pStyle w:val="NormalWeb"/>
        <w:spacing w:before="0" w:beforeAutospacing="0" w:after="0" w:line="276" w:lineRule="auto"/>
        <w:jc w:val="both"/>
        <w:rPr>
          <w:rFonts w:ascii="Arial" w:hAnsi="Arial" w:cs="Arial"/>
          <w:iCs/>
        </w:rPr>
      </w:pPr>
      <w:r w:rsidRPr="00327AD4">
        <w:rPr>
          <w:rFonts w:ascii="Arial" w:hAnsi="Arial" w:cs="Arial"/>
          <w:iCs/>
        </w:rPr>
        <w:t>No obstante lo anterior, en esa misma providencia</w:t>
      </w:r>
      <w:r w:rsidR="00FE35A5" w:rsidRPr="00327AD4">
        <w:rPr>
          <w:rFonts w:ascii="Arial" w:hAnsi="Arial" w:cs="Arial"/>
          <w:iCs/>
        </w:rPr>
        <w:t>,</w:t>
      </w:r>
      <w:r w:rsidRPr="00327AD4">
        <w:rPr>
          <w:rFonts w:ascii="Arial" w:hAnsi="Arial" w:cs="Arial"/>
          <w:iCs/>
        </w:rPr>
        <w:t xml:space="preserve"> esa Alta Corporación consideró las reglas de reparto para </w:t>
      </w:r>
      <w:r w:rsidR="5218D3DA" w:rsidRPr="00327AD4">
        <w:rPr>
          <w:rFonts w:ascii="Arial" w:hAnsi="Arial" w:cs="Arial"/>
          <w:iCs/>
        </w:rPr>
        <w:t>aquellos</w:t>
      </w:r>
      <w:r w:rsidRPr="00327AD4">
        <w:rPr>
          <w:rFonts w:ascii="Arial" w:hAnsi="Arial" w:cs="Arial"/>
          <w:iCs/>
        </w:rPr>
        <w:t xml:space="preserve"> eventos en los que se presenta el fenómeno de “tutelas masivas” definiendo estas como las que “</w:t>
      </w:r>
      <w:r w:rsidRPr="00921220">
        <w:rPr>
          <w:rFonts w:ascii="Arial" w:hAnsi="Arial" w:cs="Arial"/>
          <w:sz w:val="22"/>
          <w:lang w:eastAsia="en-US"/>
        </w:rPr>
        <w:t>(i) son presentadas por una gran cantidad de personas en forma separada -en un solo momento- o (ii) son formuladas con posterioridad a otra solicitud de amparo, pero en ambos supuestos existe uniformidad entre los casos</w:t>
      </w:r>
      <w:r w:rsidRPr="00327AD4">
        <w:rPr>
          <w:rFonts w:ascii="Arial" w:hAnsi="Arial" w:cs="Arial"/>
          <w:lang w:eastAsia="en-US"/>
        </w:rPr>
        <w:t xml:space="preserve">”. </w:t>
      </w:r>
      <w:r w:rsidRPr="00327AD4">
        <w:rPr>
          <w:rFonts w:ascii="Arial" w:hAnsi="Arial" w:cs="Arial"/>
          <w:iCs/>
          <w:lang w:eastAsia="en-US"/>
        </w:rPr>
        <w:t>Señalando que lo que busca la regla de reparto es “</w:t>
      </w:r>
      <w:r w:rsidRPr="00921220">
        <w:rPr>
          <w:rFonts w:ascii="Arial" w:hAnsi="Arial" w:cs="Arial"/>
          <w:sz w:val="22"/>
          <w:lang w:eastAsia="en-US"/>
        </w:rPr>
        <w:t>evitar que respecto de casos idénticos se produzcan efectos o consecuencias diferentes</w:t>
      </w:r>
      <w:r w:rsidRPr="00327AD4">
        <w:rPr>
          <w:rFonts w:ascii="Arial" w:hAnsi="Arial" w:cs="Arial"/>
          <w:iCs/>
          <w:lang w:eastAsia="en-US"/>
        </w:rPr>
        <w:t>”.</w:t>
      </w:r>
      <w:r w:rsidRPr="00327AD4">
        <w:rPr>
          <w:rFonts w:ascii="Arial" w:hAnsi="Arial" w:cs="Arial"/>
          <w:iCs/>
        </w:rPr>
        <w:t xml:space="preserve"> </w:t>
      </w:r>
    </w:p>
    <w:p w14:paraId="4B99056E" w14:textId="77777777" w:rsidR="003E2A84" w:rsidRPr="00327AD4" w:rsidRDefault="003E2A84" w:rsidP="000958C4">
      <w:pPr>
        <w:pStyle w:val="NormalWeb"/>
        <w:spacing w:before="0" w:beforeAutospacing="0" w:after="0" w:line="276" w:lineRule="auto"/>
        <w:jc w:val="both"/>
        <w:rPr>
          <w:rFonts w:ascii="Arial" w:hAnsi="Arial" w:cs="Arial"/>
          <w:iCs/>
        </w:rPr>
      </w:pPr>
    </w:p>
    <w:p w14:paraId="3266EA8F" w14:textId="77777777" w:rsidR="007418E2" w:rsidRPr="00327AD4" w:rsidRDefault="007418E2" w:rsidP="000958C4">
      <w:pPr>
        <w:pStyle w:val="NormalWeb"/>
        <w:spacing w:before="0" w:beforeAutospacing="0" w:after="0" w:line="276" w:lineRule="auto"/>
        <w:jc w:val="both"/>
        <w:rPr>
          <w:rFonts w:ascii="Arial" w:hAnsi="Arial" w:cs="Arial"/>
          <w:iCs/>
        </w:rPr>
      </w:pPr>
      <w:r w:rsidRPr="00327AD4">
        <w:rPr>
          <w:rFonts w:ascii="Arial" w:hAnsi="Arial" w:cs="Arial"/>
          <w:iCs/>
        </w:rPr>
        <w:t>Frente a las pautas que deben considerarse para que procedan la acumulación de acciones de tutela debe observarse lo señalado en los Autos 211 y 212 de 2020, en los que la Sala Plena de</w:t>
      </w:r>
      <w:r w:rsidR="00FE35A5" w:rsidRPr="00327AD4">
        <w:rPr>
          <w:rFonts w:ascii="Arial" w:hAnsi="Arial" w:cs="Arial"/>
          <w:iCs/>
        </w:rPr>
        <w:t xml:space="preserve"> la</w:t>
      </w:r>
      <w:r w:rsidRPr="00327AD4">
        <w:rPr>
          <w:rFonts w:ascii="Arial" w:hAnsi="Arial" w:cs="Arial"/>
          <w:iCs/>
        </w:rPr>
        <w:t xml:space="preserve"> Corte Constitucional precis</w:t>
      </w:r>
      <w:r w:rsidR="00FE35A5" w:rsidRPr="00327AD4">
        <w:rPr>
          <w:rFonts w:ascii="Arial" w:hAnsi="Arial" w:cs="Arial"/>
          <w:iCs/>
        </w:rPr>
        <w:t>ó</w:t>
      </w:r>
      <w:r w:rsidRPr="00327AD4">
        <w:rPr>
          <w:rFonts w:ascii="Arial" w:hAnsi="Arial" w:cs="Arial"/>
          <w:iCs/>
        </w:rPr>
        <w:t xml:space="preserve"> la necesidad que confluyan los elementos que componen la triple identidad y al respecto manifiesto:</w:t>
      </w:r>
    </w:p>
    <w:p w14:paraId="1299C43A" w14:textId="77777777" w:rsidR="007418E2" w:rsidRPr="00327AD4" w:rsidRDefault="007418E2" w:rsidP="000958C4">
      <w:pPr>
        <w:pStyle w:val="NormalWeb"/>
        <w:spacing w:before="0" w:beforeAutospacing="0" w:after="0" w:line="276" w:lineRule="auto"/>
        <w:jc w:val="both"/>
        <w:rPr>
          <w:rFonts w:ascii="Arial" w:hAnsi="Arial" w:cs="Arial"/>
          <w:iCs/>
        </w:rPr>
      </w:pPr>
    </w:p>
    <w:p w14:paraId="316745F5" w14:textId="79C00DD0" w:rsidR="007418E2" w:rsidRPr="00921220" w:rsidRDefault="007418E2" w:rsidP="00921220">
      <w:pPr>
        <w:tabs>
          <w:tab w:val="left" w:pos="284"/>
        </w:tabs>
        <w:ind w:left="426" w:right="418"/>
        <w:contextualSpacing/>
        <w:jc w:val="both"/>
        <w:rPr>
          <w:rFonts w:ascii="Arial" w:hAnsi="Arial" w:cs="Arial"/>
          <w:color w:val="000000"/>
          <w:sz w:val="22"/>
          <w:szCs w:val="24"/>
        </w:rPr>
      </w:pPr>
      <w:r w:rsidRPr="00921220">
        <w:rPr>
          <w:rFonts w:ascii="Arial" w:hAnsi="Arial" w:cs="Arial"/>
          <w:sz w:val="22"/>
          <w:szCs w:val="24"/>
          <w:bdr w:val="none" w:sz="0" w:space="0" w:color="auto" w:frame="1"/>
          <w:lang w:eastAsia="en-US"/>
        </w:rPr>
        <w:t>“</w:t>
      </w:r>
      <w:r w:rsidR="00921220">
        <w:rPr>
          <w:rFonts w:ascii="Arial" w:hAnsi="Arial" w:cs="Arial"/>
          <w:sz w:val="22"/>
          <w:szCs w:val="24"/>
          <w:bdr w:val="none" w:sz="0" w:space="0" w:color="auto" w:frame="1"/>
          <w:lang w:eastAsia="en-US"/>
        </w:rPr>
        <w:t>E</w:t>
      </w:r>
      <w:r w:rsidRPr="00921220">
        <w:rPr>
          <w:rFonts w:ascii="Arial" w:hAnsi="Arial" w:cs="Arial"/>
          <w:sz w:val="22"/>
          <w:szCs w:val="24"/>
          <w:bdr w:val="none" w:sz="0" w:space="0" w:color="auto" w:frame="1"/>
          <w:lang w:eastAsia="en-US"/>
        </w:rPr>
        <w:t xml:space="preserve">xiste </w:t>
      </w:r>
      <w:r w:rsidRPr="00921220">
        <w:rPr>
          <w:rFonts w:ascii="Arial" w:hAnsi="Arial" w:cs="Arial"/>
          <w:b/>
          <w:color w:val="000000"/>
          <w:sz w:val="22"/>
          <w:szCs w:val="24"/>
        </w:rPr>
        <w:t xml:space="preserve">identidad de objeto </w:t>
      </w:r>
      <w:r w:rsidRPr="00921220">
        <w:rPr>
          <w:rFonts w:ascii="Arial" w:hAnsi="Arial" w:cs="Arial"/>
          <w:color w:val="000000"/>
          <w:sz w:val="22"/>
          <w:szCs w:val="24"/>
        </w:rPr>
        <w:t xml:space="preserve">en los eventos en los cuales las acciones de tutela cuya acumulación se persiga </w:t>
      </w:r>
      <w:r w:rsidRPr="00921220">
        <w:rPr>
          <w:rFonts w:ascii="Arial" w:hAnsi="Arial" w:cs="Arial"/>
          <w:b/>
          <w:bCs/>
          <w:color w:val="000000"/>
          <w:sz w:val="22"/>
          <w:szCs w:val="24"/>
        </w:rPr>
        <w:t>presenten uniformidad en sus pretensiones</w:t>
      </w:r>
      <w:r w:rsidRPr="00921220">
        <w:rPr>
          <w:rFonts w:ascii="Arial" w:hAnsi="Arial" w:cs="Arial"/>
          <w:color w:val="000000"/>
          <w:sz w:val="22"/>
          <w:szCs w:val="24"/>
        </w:rPr>
        <w:t xml:space="preserve">, entendidas estas últimas, como aquello que se reclama ante el juez para efectos de que cese o se restablezca la presunta vulneración o amenaza de los derechos invocados. En lo que respecta a la </w:t>
      </w:r>
      <w:r w:rsidRPr="00921220">
        <w:rPr>
          <w:rFonts w:ascii="Arial" w:hAnsi="Arial" w:cs="Arial"/>
          <w:b/>
          <w:color w:val="000000"/>
          <w:sz w:val="22"/>
          <w:szCs w:val="24"/>
        </w:rPr>
        <w:t>identidad de causa</w:t>
      </w:r>
      <w:r w:rsidRPr="00921220">
        <w:rPr>
          <w:rFonts w:ascii="Arial" w:hAnsi="Arial" w:cs="Arial"/>
          <w:color w:val="000000"/>
          <w:sz w:val="22"/>
          <w:szCs w:val="24"/>
        </w:rPr>
        <w:t xml:space="preserve">, estimó que su materialización ocurre cuando las acciones de amparo que busquen ser acumuladas se fundamenten </w:t>
      </w:r>
      <w:r w:rsidRPr="00921220">
        <w:rPr>
          <w:rFonts w:ascii="Arial" w:hAnsi="Arial" w:cs="Arial"/>
          <w:b/>
          <w:color w:val="000000"/>
          <w:sz w:val="22"/>
          <w:szCs w:val="24"/>
        </w:rPr>
        <w:t>en los mismos hechos o presupuestos fácticos</w:t>
      </w:r>
      <w:r w:rsidRPr="00921220">
        <w:rPr>
          <w:rFonts w:ascii="Arial" w:hAnsi="Arial" w:cs="Arial"/>
          <w:color w:val="000000"/>
          <w:sz w:val="22"/>
          <w:szCs w:val="24"/>
        </w:rPr>
        <w:t xml:space="preserve"> –entendidos en una perspectiva amplia–, es decir, la razones que se invocan para sustentar la solicitud de protección. Finalmente, como su nombre lo indica, la confluencia del </w:t>
      </w:r>
      <w:r w:rsidRPr="00921220">
        <w:rPr>
          <w:rFonts w:ascii="Arial" w:hAnsi="Arial" w:cs="Arial"/>
          <w:b/>
          <w:color w:val="000000"/>
          <w:sz w:val="22"/>
          <w:szCs w:val="24"/>
        </w:rPr>
        <w:t>sujeto pasivo</w:t>
      </w:r>
      <w:r w:rsidRPr="00921220">
        <w:rPr>
          <w:rFonts w:ascii="Arial" w:hAnsi="Arial" w:cs="Arial"/>
          <w:color w:val="000000"/>
          <w:sz w:val="22"/>
          <w:szCs w:val="24"/>
        </w:rPr>
        <w:t xml:space="preserve"> se refiere a que el escrito de tutela se dirija a controvertir la actuación del mismo accionado o demandado.</w:t>
      </w:r>
    </w:p>
    <w:p w14:paraId="4DDBEF00" w14:textId="77777777" w:rsidR="007418E2" w:rsidRPr="00921220" w:rsidRDefault="007418E2" w:rsidP="00921220">
      <w:pPr>
        <w:ind w:left="426" w:right="418"/>
        <w:jc w:val="both"/>
        <w:rPr>
          <w:rFonts w:ascii="Arial" w:hAnsi="Arial" w:cs="Arial"/>
          <w:color w:val="000000"/>
          <w:sz w:val="22"/>
          <w:szCs w:val="24"/>
        </w:rPr>
      </w:pPr>
    </w:p>
    <w:p w14:paraId="40DD9A1B" w14:textId="77777777" w:rsidR="007418E2" w:rsidRPr="00921220" w:rsidRDefault="007418E2" w:rsidP="00921220">
      <w:pPr>
        <w:tabs>
          <w:tab w:val="left" w:pos="284"/>
        </w:tabs>
        <w:ind w:left="426" w:right="418"/>
        <w:contextualSpacing/>
        <w:jc w:val="both"/>
        <w:rPr>
          <w:rFonts w:ascii="Arial" w:hAnsi="Arial" w:cs="Arial"/>
          <w:color w:val="000000"/>
          <w:sz w:val="22"/>
          <w:szCs w:val="24"/>
          <w:bdr w:val="none" w:sz="0" w:space="0" w:color="auto" w:frame="1"/>
          <w:shd w:val="clear" w:color="auto" w:fill="FFFFFF"/>
          <w:lang w:val="es-ES_tradnl"/>
        </w:rPr>
      </w:pPr>
      <w:r w:rsidRPr="00921220">
        <w:rPr>
          <w:rFonts w:ascii="Arial" w:hAnsi="Arial" w:cs="Arial"/>
          <w:iCs/>
          <w:sz w:val="22"/>
          <w:szCs w:val="24"/>
          <w:lang w:eastAsia="es-ES_tradnl"/>
        </w:rPr>
        <w:t>Con</w:t>
      </w:r>
      <w:r w:rsidRPr="00921220">
        <w:rPr>
          <w:rFonts w:ascii="Arial" w:hAnsi="Arial" w:cs="Arial"/>
          <w:color w:val="000000"/>
          <w:sz w:val="22"/>
          <w:szCs w:val="24"/>
        </w:rPr>
        <w:t xml:space="preserve"> base en lo anterior, la Corte advirtió que </w:t>
      </w:r>
      <w:r w:rsidRPr="00921220">
        <w:rPr>
          <w:rFonts w:ascii="Arial" w:hAnsi="Arial" w:cs="Arial"/>
          <w:color w:val="000000"/>
          <w:sz w:val="22"/>
          <w:szCs w:val="24"/>
          <w:bdr w:val="none" w:sz="0" w:space="0" w:color="auto" w:frame="1"/>
          <w:shd w:val="clear" w:color="auto" w:fill="FFFFFF"/>
        </w:rPr>
        <w:t>la aplicación del Decreto 1834 de 2015 por fuera de los supuestos normativos de identidad de causa, objeto y sujeto pasivo de cada una de las demandas conduciría a un efecto que desnaturalizaría </w:t>
      </w:r>
      <w:r w:rsidRPr="00921220">
        <w:rPr>
          <w:rFonts w:ascii="Arial" w:hAnsi="Arial" w:cs="Arial"/>
          <w:color w:val="000000"/>
          <w:sz w:val="22"/>
          <w:szCs w:val="24"/>
          <w:bdr w:val="none" w:sz="0" w:space="0" w:color="auto" w:frame="1"/>
          <w:shd w:val="clear" w:color="auto" w:fill="FFFFFF"/>
          <w:lang w:val="es-ES_tradnl"/>
        </w:rPr>
        <w:t>la regla de competencia “a prevención”, cuya preservación compete a todos los jueces de tutela”.</w:t>
      </w:r>
    </w:p>
    <w:p w14:paraId="3CF2D8B6" w14:textId="760AD629" w:rsidR="00765D90" w:rsidRDefault="00765D90" w:rsidP="000958C4">
      <w:pPr>
        <w:pStyle w:val="NormalWeb"/>
        <w:spacing w:before="0" w:beforeAutospacing="0" w:after="0" w:line="276" w:lineRule="auto"/>
        <w:jc w:val="both"/>
        <w:rPr>
          <w:rFonts w:ascii="Arial" w:hAnsi="Arial" w:cs="Arial"/>
          <w:iCs/>
        </w:rPr>
      </w:pPr>
    </w:p>
    <w:p w14:paraId="18C6C6DA" w14:textId="77777777" w:rsidR="009277C3" w:rsidRPr="00327AD4" w:rsidRDefault="009277C3" w:rsidP="000958C4">
      <w:pPr>
        <w:pStyle w:val="NormalWeb"/>
        <w:spacing w:before="0" w:beforeAutospacing="0" w:after="0" w:line="276" w:lineRule="auto"/>
        <w:jc w:val="both"/>
        <w:rPr>
          <w:rFonts w:ascii="Arial" w:hAnsi="Arial" w:cs="Arial"/>
          <w:iCs/>
        </w:rPr>
      </w:pPr>
    </w:p>
    <w:p w14:paraId="2FEEDA58" w14:textId="77777777" w:rsidR="00247A42" w:rsidRPr="00327AD4" w:rsidRDefault="00247A42" w:rsidP="000958C4">
      <w:pPr>
        <w:pStyle w:val="NormalWeb"/>
        <w:spacing w:before="0" w:beforeAutospacing="0" w:after="0" w:line="276" w:lineRule="auto"/>
        <w:jc w:val="both"/>
        <w:rPr>
          <w:rFonts w:ascii="Arial" w:hAnsi="Arial" w:cs="Arial"/>
          <w:b/>
          <w:iCs/>
        </w:rPr>
      </w:pPr>
      <w:r w:rsidRPr="00327AD4">
        <w:rPr>
          <w:rFonts w:ascii="Arial" w:hAnsi="Arial" w:cs="Arial"/>
          <w:b/>
          <w:iCs/>
        </w:rPr>
        <w:t>CASO CONCRETO</w:t>
      </w:r>
    </w:p>
    <w:p w14:paraId="0FB78278" w14:textId="3BEC3DB4" w:rsidR="007418E2" w:rsidRDefault="007418E2" w:rsidP="000958C4">
      <w:pPr>
        <w:pStyle w:val="NormalWeb"/>
        <w:spacing w:before="0" w:beforeAutospacing="0" w:after="0" w:line="276" w:lineRule="auto"/>
        <w:jc w:val="both"/>
        <w:rPr>
          <w:rFonts w:ascii="Arial" w:hAnsi="Arial" w:cs="Arial"/>
          <w:iCs/>
        </w:rPr>
      </w:pPr>
    </w:p>
    <w:p w14:paraId="7107E8F8" w14:textId="77777777" w:rsidR="009277C3" w:rsidRPr="00327AD4" w:rsidRDefault="009277C3" w:rsidP="000958C4">
      <w:pPr>
        <w:pStyle w:val="NormalWeb"/>
        <w:spacing w:before="0" w:beforeAutospacing="0" w:after="0" w:line="276" w:lineRule="auto"/>
        <w:jc w:val="both"/>
        <w:rPr>
          <w:rFonts w:ascii="Arial" w:hAnsi="Arial" w:cs="Arial"/>
          <w:iCs/>
        </w:rPr>
      </w:pPr>
    </w:p>
    <w:p w14:paraId="782D27A0" w14:textId="2BCEBD98" w:rsidR="004E0A15" w:rsidRPr="00327AD4" w:rsidRDefault="007418E2"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Para definir lo que es materia de controversia, se observa que </w:t>
      </w:r>
      <w:r w:rsidR="004A5AD5" w:rsidRPr="00327AD4">
        <w:rPr>
          <w:rFonts w:ascii="Arial" w:hAnsi="Arial" w:cs="Arial"/>
          <w:iCs/>
        </w:rPr>
        <w:t>compara</w:t>
      </w:r>
      <w:r w:rsidR="00FE35A5" w:rsidRPr="00327AD4">
        <w:rPr>
          <w:rFonts w:ascii="Arial" w:hAnsi="Arial" w:cs="Arial"/>
          <w:iCs/>
        </w:rPr>
        <w:t>da</w:t>
      </w:r>
      <w:r w:rsidR="004A5AD5" w:rsidRPr="00327AD4">
        <w:rPr>
          <w:rFonts w:ascii="Arial" w:hAnsi="Arial" w:cs="Arial"/>
          <w:iCs/>
        </w:rPr>
        <w:t xml:space="preserve"> la acción de tutela formulada por la señora Natalia Milena Escobar Marulanda </w:t>
      </w:r>
      <w:r w:rsidR="004E0A15" w:rsidRPr="00327AD4">
        <w:rPr>
          <w:rFonts w:ascii="Arial" w:hAnsi="Arial" w:cs="Arial"/>
          <w:iCs/>
        </w:rPr>
        <w:t xml:space="preserve">con la primera que fue sometida a reparto y que impetró el señor Robert Antonio Herrera Castaño, </w:t>
      </w:r>
      <w:r w:rsidR="756352F1" w:rsidRPr="00327AD4">
        <w:rPr>
          <w:rFonts w:ascii="Arial" w:hAnsi="Arial" w:cs="Arial"/>
          <w:iCs/>
        </w:rPr>
        <w:t>es claro que</w:t>
      </w:r>
      <w:r w:rsidR="004E0A15" w:rsidRPr="00327AD4">
        <w:rPr>
          <w:rFonts w:ascii="Arial" w:hAnsi="Arial" w:cs="Arial"/>
          <w:iCs/>
        </w:rPr>
        <w:t xml:space="preserve"> en ambas se acciona contra la Comisión Nacional del Servicio Civil y la Universidad Libre y que lo pretendido por ambos accionantes es la protección del derecho fundamental al debido proceso, con lo que puede concluirse que existe identidad de sujeto pasivo y, en principio, identidad de objeto, ítem que se abordará en profundidad más adelante.</w:t>
      </w:r>
    </w:p>
    <w:p w14:paraId="1FC39945" w14:textId="77777777" w:rsidR="004E0A15" w:rsidRPr="00327AD4" w:rsidRDefault="004E0A15" w:rsidP="000958C4">
      <w:pPr>
        <w:pStyle w:val="NormalWeb"/>
        <w:spacing w:before="0" w:beforeAutospacing="0" w:after="0" w:line="276" w:lineRule="auto"/>
        <w:jc w:val="both"/>
        <w:rPr>
          <w:rFonts w:ascii="Arial" w:hAnsi="Arial" w:cs="Arial"/>
          <w:iCs/>
        </w:rPr>
      </w:pPr>
    </w:p>
    <w:p w14:paraId="59ACF909" w14:textId="7B842335" w:rsidR="004E0A15" w:rsidRPr="00327AD4" w:rsidRDefault="004E0A15" w:rsidP="000958C4">
      <w:pPr>
        <w:pStyle w:val="NormalWeb"/>
        <w:spacing w:before="0" w:beforeAutospacing="0" w:after="0" w:line="276" w:lineRule="auto"/>
        <w:jc w:val="both"/>
        <w:rPr>
          <w:rFonts w:ascii="Arial" w:hAnsi="Arial" w:cs="Arial"/>
          <w:iCs/>
        </w:rPr>
      </w:pPr>
      <w:r w:rsidRPr="00327AD4">
        <w:rPr>
          <w:rFonts w:ascii="Arial" w:hAnsi="Arial" w:cs="Arial"/>
          <w:iCs/>
        </w:rPr>
        <w:t>Comparados los supuestos fácticos que soportan ambas</w:t>
      </w:r>
      <w:r w:rsidR="00FE35A5" w:rsidRPr="00327AD4">
        <w:rPr>
          <w:rFonts w:ascii="Arial" w:hAnsi="Arial" w:cs="Arial"/>
          <w:iCs/>
        </w:rPr>
        <w:t xml:space="preserve"> peticiones</w:t>
      </w:r>
      <w:r w:rsidRPr="00327AD4">
        <w:rPr>
          <w:rFonts w:ascii="Arial" w:hAnsi="Arial" w:cs="Arial"/>
          <w:iCs/>
        </w:rPr>
        <w:t>, se tiene que los mismos son coincidentes hasta el hecho sexto, siendo los primero</w:t>
      </w:r>
      <w:r w:rsidR="002C740C" w:rsidRPr="00327AD4">
        <w:rPr>
          <w:rFonts w:ascii="Arial" w:hAnsi="Arial" w:cs="Arial"/>
          <w:iCs/>
        </w:rPr>
        <w:t>s</w:t>
      </w:r>
      <w:r w:rsidRPr="00327AD4">
        <w:rPr>
          <w:rFonts w:ascii="Arial" w:hAnsi="Arial" w:cs="Arial"/>
          <w:iCs/>
        </w:rPr>
        <w:t xml:space="preserve"> cinco relacionados con</w:t>
      </w:r>
      <w:r w:rsidR="002C740C" w:rsidRPr="00327AD4">
        <w:rPr>
          <w:rFonts w:ascii="Arial" w:hAnsi="Arial" w:cs="Arial"/>
          <w:iCs/>
        </w:rPr>
        <w:t xml:space="preserve"> i) </w:t>
      </w:r>
      <w:r w:rsidRPr="00327AD4">
        <w:rPr>
          <w:rFonts w:ascii="Arial" w:hAnsi="Arial" w:cs="Arial"/>
          <w:iCs/>
        </w:rPr>
        <w:t>el deber de la Universidad Libre</w:t>
      </w:r>
      <w:r w:rsidR="002C740C" w:rsidRPr="00327AD4">
        <w:rPr>
          <w:rFonts w:ascii="Arial" w:hAnsi="Arial" w:cs="Arial"/>
          <w:iCs/>
        </w:rPr>
        <w:t>, dentro de la respectiva convocatoria</w:t>
      </w:r>
      <w:r w:rsidR="00FE35A5" w:rsidRPr="00327AD4">
        <w:rPr>
          <w:rFonts w:ascii="Arial" w:hAnsi="Arial" w:cs="Arial"/>
          <w:iCs/>
        </w:rPr>
        <w:t>,</w:t>
      </w:r>
      <w:r w:rsidR="002C740C" w:rsidRPr="00327AD4">
        <w:rPr>
          <w:rFonts w:ascii="Arial" w:hAnsi="Arial" w:cs="Arial"/>
          <w:iCs/>
        </w:rPr>
        <w:t xml:space="preserve"> de</w:t>
      </w:r>
      <w:r w:rsidRPr="00327AD4">
        <w:rPr>
          <w:rFonts w:ascii="Arial" w:hAnsi="Arial" w:cs="Arial"/>
          <w:iCs/>
        </w:rPr>
        <w:t xml:space="preserve"> publicar la Guía de Orientación del Aspirante, </w:t>
      </w:r>
      <w:r w:rsidR="002C740C" w:rsidRPr="00327AD4">
        <w:rPr>
          <w:rFonts w:ascii="Arial" w:hAnsi="Arial" w:cs="Arial"/>
          <w:iCs/>
        </w:rPr>
        <w:t xml:space="preserve">detallando la forma de calificación de las pruebas escritas, ii) la publicación de esta guía por parte del alma mater el día 22 de agosto y </w:t>
      </w:r>
      <w:r w:rsidR="00FE35A5" w:rsidRPr="00327AD4">
        <w:rPr>
          <w:rFonts w:ascii="Arial" w:hAnsi="Arial" w:cs="Arial"/>
          <w:iCs/>
        </w:rPr>
        <w:t>la manera en que</w:t>
      </w:r>
      <w:r w:rsidR="002C740C" w:rsidRPr="00327AD4">
        <w:rPr>
          <w:rFonts w:ascii="Arial" w:hAnsi="Arial" w:cs="Arial"/>
          <w:iCs/>
        </w:rPr>
        <w:t xml:space="preserve"> la misma </w:t>
      </w:r>
      <w:r w:rsidR="00FE35A5" w:rsidRPr="00327AD4">
        <w:rPr>
          <w:rFonts w:ascii="Arial" w:hAnsi="Arial" w:cs="Arial"/>
          <w:iCs/>
        </w:rPr>
        <w:t>se aplicó</w:t>
      </w:r>
      <w:r w:rsidR="002C740C" w:rsidRPr="00327AD4">
        <w:rPr>
          <w:rFonts w:ascii="Arial" w:hAnsi="Arial" w:cs="Arial"/>
          <w:iCs/>
        </w:rPr>
        <w:t>, la cual es cuestionada por los accionantes,  iii) la nueva publicación de este instrumento explicando pormenores de la puntuación directa</w:t>
      </w:r>
      <w:r w:rsidR="00FE35A5" w:rsidRPr="00327AD4">
        <w:rPr>
          <w:rFonts w:ascii="Arial" w:hAnsi="Arial" w:cs="Arial"/>
          <w:iCs/>
        </w:rPr>
        <w:t xml:space="preserve"> ajustada</w:t>
      </w:r>
      <w:r w:rsidR="002C740C" w:rsidRPr="00327AD4">
        <w:rPr>
          <w:rFonts w:ascii="Arial" w:hAnsi="Arial" w:cs="Arial"/>
          <w:iCs/>
        </w:rPr>
        <w:t xml:space="preserve">, lo cual se hizo </w:t>
      </w:r>
      <w:r w:rsidR="00FE35A5" w:rsidRPr="00327AD4">
        <w:rPr>
          <w:rFonts w:ascii="Arial" w:hAnsi="Arial" w:cs="Arial"/>
          <w:iCs/>
        </w:rPr>
        <w:t xml:space="preserve">de manera privada y </w:t>
      </w:r>
      <w:r w:rsidR="002C740C" w:rsidRPr="00327AD4">
        <w:rPr>
          <w:rFonts w:ascii="Arial" w:hAnsi="Arial" w:cs="Arial"/>
          <w:iCs/>
        </w:rPr>
        <w:t>en virtud a la reclamación elevada por los tutelante</w:t>
      </w:r>
      <w:r w:rsidR="00FE35A5" w:rsidRPr="00327AD4">
        <w:rPr>
          <w:rFonts w:ascii="Arial" w:hAnsi="Arial" w:cs="Arial"/>
          <w:iCs/>
        </w:rPr>
        <w:t>s</w:t>
      </w:r>
      <w:r w:rsidR="002C740C" w:rsidRPr="00327AD4">
        <w:rPr>
          <w:rFonts w:ascii="Arial" w:hAnsi="Arial" w:cs="Arial"/>
          <w:iCs/>
        </w:rPr>
        <w:t xml:space="preserve">, iv) la </w:t>
      </w:r>
      <w:r w:rsidR="00FE35A5" w:rsidRPr="00327AD4">
        <w:rPr>
          <w:rFonts w:ascii="Arial" w:hAnsi="Arial" w:cs="Arial"/>
          <w:iCs/>
        </w:rPr>
        <w:t xml:space="preserve">calificación con ajuste proporcional aplicada por la Universidad Libre a las </w:t>
      </w:r>
      <w:r w:rsidR="002C740C" w:rsidRPr="00327AD4">
        <w:rPr>
          <w:rFonts w:ascii="Arial" w:hAnsi="Arial" w:cs="Arial"/>
          <w:iCs/>
        </w:rPr>
        <w:t>pruebas escritas de cada uno de los demandantes</w:t>
      </w:r>
      <w:r w:rsidR="00FE35A5" w:rsidRPr="00327AD4">
        <w:rPr>
          <w:rFonts w:ascii="Arial" w:hAnsi="Arial" w:cs="Arial"/>
          <w:iCs/>
        </w:rPr>
        <w:t xml:space="preserve"> y s</w:t>
      </w:r>
      <w:r w:rsidR="008A7BA0" w:rsidRPr="00327AD4">
        <w:rPr>
          <w:rFonts w:ascii="Arial" w:hAnsi="Arial" w:cs="Arial"/>
          <w:iCs/>
        </w:rPr>
        <w:t xml:space="preserve">us resultados </w:t>
      </w:r>
      <w:r w:rsidR="00566B01" w:rsidRPr="00327AD4">
        <w:rPr>
          <w:rFonts w:ascii="Arial" w:hAnsi="Arial" w:cs="Arial"/>
          <w:iCs/>
        </w:rPr>
        <w:t>y</w:t>
      </w:r>
      <w:r w:rsidR="002C740C" w:rsidRPr="00327AD4">
        <w:rPr>
          <w:rFonts w:ascii="Arial" w:hAnsi="Arial" w:cs="Arial"/>
          <w:iCs/>
        </w:rPr>
        <w:t xml:space="preserve"> v) la </w:t>
      </w:r>
      <w:r w:rsidR="00566B01" w:rsidRPr="00327AD4">
        <w:rPr>
          <w:rFonts w:ascii="Arial" w:hAnsi="Arial" w:cs="Arial"/>
          <w:iCs/>
        </w:rPr>
        <w:t>no procedencia de recurso alguno contra los detalles de calificación omitidos en la Guía de Orientación del Aspirante, según lo comunicado por la citada Universidad.</w:t>
      </w:r>
    </w:p>
    <w:p w14:paraId="0562CB0E" w14:textId="77777777" w:rsidR="00566B01" w:rsidRPr="00327AD4" w:rsidRDefault="00566B01" w:rsidP="000958C4">
      <w:pPr>
        <w:pStyle w:val="NormalWeb"/>
        <w:spacing w:before="0" w:beforeAutospacing="0" w:after="0" w:line="276" w:lineRule="auto"/>
        <w:jc w:val="both"/>
        <w:rPr>
          <w:rFonts w:ascii="Arial" w:hAnsi="Arial" w:cs="Arial"/>
          <w:iCs/>
        </w:rPr>
      </w:pPr>
    </w:p>
    <w:p w14:paraId="6CA3EE90" w14:textId="77777777" w:rsidR="00566B01" w:rsidRPr="00327AD4" w:rsidRDefault="00566B01"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Ahora, a partir del hecho sexto las dos acciones varían, pues a pesar de que se hace alusión a la no continuidad en </w:t>
      </w:r>
      <w:r w:rsidR="008A7BA0" w:rsidRPr="00327AD4">
        <w:rPr>
          <w:rFonts w:ascii="Arial" w:hAnsi="Arial" w:cs="Arial"/>
          <w:iCs/>
        </w:rPr>
        <w:t xml:space="preserve">el </w:t>
      </w:r>
      <w:r w:rsidRPr="00327AD4">
        <w:rPr>
          <w:rFonts w:ascii="Arial" w:hAnsi="Arial" w:cs="Arial"/>
          <w:iCs/>
        </w:rPr>
        <w:t xml:space="preserve">concurso de ambos aspirantes, en la demanda de la señora Escobar Marulanda </w:t>
      </w:r>
      <w:r w:rsidR="005C4F94" w:rsidRPr="00327AD4">
        <w:rPr>
          <w:rFonts w:ascii="Arial" w:hAnsi="Arial" w:cs="Arial"/>
          <w:iCs/>
        </w:rPr>
        <w:t xml:space="preserve">se </w:t>
      </w:r>
      <w:r w:rsidRPr="00327AD4">
        <w:rPr>
          <w:rFonts w:ascii="Arial" w:hAnsi="Arial" w:cs="Arial"/>
          <w:iCs/>
        </w:rPr>
        <w:t>denuncia que no fueron publicados de manera previa los porcentajes de ponderación a considerar para las pruebas de aptitudes y competencias y que en todo caso su aplicación impide superar la etapa, conforme las explicaciones vertidas en el respectivo hecho.</w:t>
      </w:r>
    </w:p>
    <w:p w14:paraId="34CE0A41" w14:textId="77777777" w:rsidR="00566B01" w:rsidRPr="00327AD4" w:rsidRDefault="00566B01" w:rsidP="000958C4">
      <w:pPr>
        <w:pStyle w:val="NormalWeb"/>
        <w:spacing w:before="0" w:beforeAutospacing="0" w:after="0" w:line="276" w:lineRule="auto"/>
        <w:jc w:val="both"/>
        <w:rPr>
          <w:rFonts w:ascii="Arial" w:hAnsi="Arial" w:cs="Arial"/>
          <w:iCs/>
        </w:rPr>
      </w:pPr>
    </w:p>
    <w:p w14:paraId="5CF15A0C" w14:textId="77777777" w:rsidR="00566B01" w:rsidRPr="00327AD4" w:rsidRDefault="00566B01" w:rsidP="000958C4">
      <w:pPr>
        <w:pStyle w:val="NormalWeb"/>
        <w:spacing w:before="0" w:beforeAutospacing="0" w:after="0" w:line="276" w:lineRule="auto"/>
        <w:jc w:val="both"/>
        <w:rPr>
          <w:rFonts w:ascii="Arial" w:hAnsi="Arial" w:cs="Arial"/>
          <w:iCs/>
        </w:rPr>
      </w:pPr>
      <w:r w:rsidRPr="00327AD4">
        <w:rPr>
          <w:rFonts w:ascii="Arial" w:hAnsi="Arial" w:cs="Arial"/>
          <w:iCs/>
        </w:rPr>
        <w:t>Adicionalmente, el escrito que ocupa la atención de la Sala Mixta</w:t>
      </w:r>
      <w:r w:rsidR="008A7BA0" w:rsidRPr="00327AD4">
        <w:rPr>
          <w:rFonts w:ascii="Arial" w:hAnsi="Arial" w:cs="Arial"/>
          <w:iCs/>
        </w:rPr>
        <w:t xml:space="preserve"> No 11 se</w:t>
      </w:r>
      <w:r w:rsidRPr="00327AD4">
        <w:rPr>
          <w:rFonts w:ascii="Arial" w:hAnsi="Arial" w:cs="Arial"/>
          <w:iCs/>
        </w:rPr>
        <w:t xml:space="preserve"> hace referencia a tres supuestos fácticos más -séptimo, octavo y noveno-, relacionados con i) las funciones específicas para el cargo de docente de aula, que es para el cual aspira, </w:t>
      </w:r>
      <w:r w:rsidR="00CA6532" w:rsidRPr="00327AD4">
        <w:rPr>
          <w:rFonts w:ascii="Arial" w:hAnsi="Arial" w:cs="Arial"/>
          <w:iCs/>
        </w:rPr>
        <w:t xml:space="preserve">ii) la respuesta incompleta </w:t>
      </w:r>
      <w:r w:rsidR="00174AFE" w:rsidRPr="00327AD4">
        <w:rPr>
          <w:rFonts w:ascii="Arial" w:hAnsi="Arial" w:cs="Arial"/>
          <w:iCs/>
        </w:rPr>
        <w:t>ofrecida por la Universidad Libre a la reclamación efectuada por la señora Natalia Milena Escobar Marulanda, pues la misma fue ofrecida de manera general, cuando en realidad tiene derecho a conocer el proceso de calificación y si el mismo fue respetado debidamente</w:t>
      </w:r>
      <w:r w:rsidR="008A7BA0" w:rsidRPr="00327AD4">
        <w:rPr>
          <w:rFonts w:ascii="Arial" w:hAnsi="Arial" w:cs="Arial"/>
          <w:iCs/>
        </w:rPr>
        <w:t xml:space="preserve"> y</w:t>
      </w:r>
      <w:r w:rsidR="00174AFE" w:rsidRPr="00327AD4">
        <w:rPr>
          <w:rFonts w:ascii="Arial" w:hAnsi="Arial" w:cs="Arial"/>
          <w:iCs/>
        </w:rPr>
        <w:t xml:space="preserve"> finalmente, iii) denuncia que el alma mater accionada posiblemente incluyó preguntas que no corresponden </w:t>
      </w:r>
      <w:r w:rsidR="00174AFE" w:rsidRPr="00327AD4">
        <w:rPr>
          <w:rFonts w:ascii="Arial" w:hAnsi="Arial" w:cs="Arial"/>
          <w:iCs/>
        </w:rPr>
        <w:lastRenderedPageBreak/>
        <w:t>a las funciones del cargo</w:t>
      </w:r>
      <w:r w:rsidR="00344213" w:rsidRPr="00327AD4">
        <w:rPr>
          <w:rFonts w:ascii="Arial" w:hAnsi="Arial" w:cs="Arial"/>
          <w:iCs/>
        </w:rPr>
        <w:t xml:space="preserve"> y exigencia de conocimientos, lo cual no puede acredita</w:t>
      </w:r>
      <w:r w:rsidR="008A7BA0" w:rsidRPr="00327AD4">
        <w:rPr>
          <w:rFonts w:ascii="Arial" w:hAnsi="Arial" w:cs="Arial"/>
          <w:iCs/>
        </w:rPr>
        <w:t>r</w:t>
      </w:r>
      <w:r w:rsidR="00344213" w:rsidRPr="00327AD4">
        <w:rPr>
          <w:rFonts w:ascii="Arial" w:hAnsi="Arial" w:cs="Arial"/>
          <w:iCs/>
        </w:rPr>
        <w:t xml:space="preserve"> si no </w:t>
      </w:r>
      <w:r w:rsidR="008A7BA0" w:rsidRPr="00327AD4">
        <w:rPr>
          <w:rFonts w:ascii="Arial" w:hAnsi="Arial" w:cs="Arial"/>
          <w:iCs/>
        </w:rPr>
        <w:t xml:space="preserve">le es suministrado </w:t>
      </w:r>
      <w:r w:rsidR="00344213" w:rsidRPr="00327AD4">
        <w:rPr>
          <w:rFonts w:ascii="Arial" w:hAnsi="Arial" w:cs="Arial"/>
          <w:iCs/>
        </w:rPr>
        <w:t>el cuestionario completo con las posibilidades de respuesta, por lo que insiste que la Universidad debió hacer entrega de su examen.</w:t>
      </w:r>
    </w:p>
    <w:p w14:paraId="62EBF3C5" w14:textId="77777777" w:rsidR="002C740C" w:rsidRPr="00327AD4" w:rsidRDefault="002C740C" w:rsidP="000958C4">
      <w:pPr>
        <w:pStyle w:val="NormalWeb"/>
        <w:spacing w:before="0" w:beforeAutospacing="0" w:after="0" w:line="276" w:lineRule="auto"/>
        <w:jc w:val="both"/>
        <w:rPr>
          <w:rFonts w:ascii="Arial" w:hAnsi="Arial" w:cs="Arial"/>
          <w:iCs/>
        </w:rPr>
      </w:pPr>
    </w:p>
    <w:p w14:paraId="28A8F808" w14:textId="2692997A" w:rsidR="00344213" w:rsidRPr="00327AD4" w:rsidRDefault="00344213" w:rsidP="000958C4">
      <w:pPr>
        <w:pStyle w:val="NormalWeb"/>
        <w:spacing w:before="0" w:beforeAutospacing="0" w:after="0" w:line="276" w:lineRule="auto"/>
        <w:jc w:val="both"/>
        <w:rPr>
          <w:rFonts w:ascii="Arial" w:hAnsi="Arial" w:cs="Arial"/>
          <w:iCs/>
        </w:rPr>
      </w:pPr>
      <w:r w:rsidRPr="00327AD4">
        <w:rPr>
          <w:rFonts w:ascii="Arial" w:hAnsi="Arial" w:cs="Arial"/>
          <w:iCs/>
        </w:rPr>
        <w:t>Es claro entonces que las acciones estudiadas no se fundamentan en los mismos hechos, pues como viene de verse, la que ahora se estudia, discute también la ausencia de respuesta completa a la reclamación por parte de la Universidad Libre de Colombia y la inclusión</w:t>
      </w:r>
      <w:r w:rsidR="30832805" w:rsidRPr="00327AD4">
        <w:rPr>
          <w:rFonts w:ascii="Arial" w:hAnsi="Arial" w:cs="Arial"/>
          <w:iCs/>
        </w:rPr>
        <w:t>,</w:t>
      </w:r>
      <w:r w:rsidRPr="00327AD4">
        <w:rPr>
          <w:rFonts w:ascii="Arial" w:hAnsi="Arial" w:cs="Arial"/>
          <w:iCs/>
        </w:rPr>
        <w:t xml:space="preserve"> en la prueba escrita</w:t>
      </w:r>
      <w:r w:rsidR="1963F899" w:rsidRPr="00327AD4">
        <w:rPr>
          <w:rFonts w:ascii="Arial" w:hAnsi="Arial" w:cs="Arial"/>
          <w:iCs/>
        </w:rPr>
        <w:t>,</w:t>
      </w:r>
      <w:r w:rsidRPr="00327AD4">
        <w:rPr>
          <w:rFonts w:ascii="Arial" w:hAnsi="Arial" w:cs="Arial"/>
          <w:iCs/>
        </w:rPr>
        <w:t xml:space="preserve"> de preguntas que n</w:t>
      </w:r>
      <w:r w:rsidR="3B7DD3E2" w:rsidRPr="00327AD4">
        <w:rPr>
          <w:rFonts w:ascii="Arial" w:hAnsi="Arial" w:cs="Arial"/>
          <w:iCs/>
        </w:rPr>
        <w:t>i</w:t>
      </w:r>
      <w:r w:rsidRPr="00327AD4">
        <w:rPr>
          <w:rFonts w:ascii="Arial" w:hAnsi="Arial" w:cs="Arial"/>
          <w:iCs/>
        </w:rPr>
        <w:t xml:space="preserve"> </w:t>
      </w:r>
      <w:r w:rsidR="120ECE77" w:rsidRPr="00327AD4">
        <w:rPr>
          <w:rFonts w:ascii="Arial" w:hAnsi="Arial" w:cs="Arial"/>
          <w:iCs/>
        </w:rPr>
        <w:t>tienen relación</w:t>
      </w:r>
      <w:r w:rsidRPr="00327AD4">
        <w:rPr>
          <w:rFonts w:ascii="Arial" w:hAnsi="Arial" w:cs="Arial"/>
          <w:iCs/>
        </w:rPr>
        <w:t xml:space="preserve"> </w:t>
      </w:r>
      <w:r w:rsidR="62DF1290" w:rsidRPr="00327AD4">
        <w:rPr>
          <w:rFonts w:ascii="Arial" w:hAnsi="Arial" w:cs="Arial"/>
          <w:iCs/>
        </w:rPr>
        <w:t>con</w:t>
      </w:r>
      <w:r w:rsidRPr="00327AD4">
        <w:rPr>
          <w:rFonts w:ascii="Arial" w:hAnsi="Arial" w:cs="Arial"/>
          <w:iCs/>
        </w:rPr>
        <w:t xml:space="preserve"> las funciones del cargo</w:t>
      </w:r>
      <w:r w:rsidR="002D624A" w:rsidRPr="00327AD4">
        <w:rPr>
          <w:rFonts w:ascii="Arial" w:hAnsi="Arial" w:cs="Arial"/>
          <w:iCs/>
        </w:rPr>
        <w:t xml:space="preserve"> para el cual se inscribió la concursante -descritas </w:t>
      </w:r>
      <w:r w:rsidRPr="00327AD4">
        <w:rPr>
          <w:rFonts w:ascii="Arial" w:hAnsi="Arial" w:cs="Arial"/>
          <w:iCs/>
        </w:rPr>
        <w:t>en el hecho séptimo de la acción</w:t>
      </w:r>
      <w:r w:rsidR="002D624A" w:rsidRPr="00327AD4">
        <w:rPr>
          <w:rFonts w:ascii="Arial" w:hAnsi="Arial" w:cs="Arial"/>
          <w:iCs/>
        </w:rPr>
        <w:t>-</w:t>
      </w:r>
      <w:r w:rsidRPr="00327AD4">
        <w:rPr>
          <w:rFonts w:ascii="Arial" w:hAnsi="Arial" w:cs="Arial"/>
          <w:iCs/>
        </w:rPr>
        <w:t xml:space="preserve"> </w:t>
      </w:r>
      <w:r w:rsidR="002D624A" w:rsidRPr="00327AD4">
        <w:rPr>
          <w:rFonts w:ascii="Arial" w:hAnsi="Arial" w:cs="Arial"/>
          <w:iCs/>
        </w:rPr>
        <w:t>ni corresponden a los conocimientos</w:t>
      </w:r>
      <w:r w:rsidR="00A20BD6" w:rsidRPr="00327AD4">
        <w:rPr>
          <w:rFonts w:ascii="Arial" w:hAnsi="Arial" w:cs="Arial"/>
          <w:iCs/>
        </w:rPr>
        <w:t xml:space="preserve"> exigi</w:t>
      </w:r>
      <w:r w:rsidR="002D624A" w:rsidRPr="00327AD4">
        <w:rPr>
          <w:rFonts w:ascii="Arial" w:hAnsi="Arial" w:cs="Arial"/>
          <w:iCs/>
        </w:rPr>
        <w:t>dos</w:t>
      </w:r>
      <w:r w:rsidR="00A20BD6" w:rsidRPr="00327AD4">
        <w:rPr>
          <w:rFonts w:ascii="Arial" w:hAnsi="Arial" w:cs="Arial"/>
          <w:iCs/>
        </w:rPr>
        <w:t xml:space="preserve"> </w:t>
      </w:r>
      <w:r w:rsidR="002D624A" w:rsidRPr="00327AD4">
        <w:rPr>
          <w:rFonts w:ascii="Arial" w:hAnsi="Arial" w:cs="Arial"/>
          <w:iCs/>
        </w:rPr>
        <w:t>en torno</w:t>
      </w:r>
      <w:r w:rsidR="00A20BD6" w:rsidRPr="00327AD4">
        <w:rPr>
          <w:rFonts w:ascii="Arial" w:hAnsi="Arial" w:cs="Arial"/>
          <w:iCs/>
        </w:rPr>
        <w:t xml:space="preserve"> a sus aspiraciones.</w:t>
      </w:r>
      <w:r w:rsidRPr="00327AD4">
        <w:rPr>
          <w:rFonts w:ascii="Arial" w:hAnsi="Arial" w:cs="Arial"/>
          <w:iCs/>
        </w:rPr>
        <w:t xml:space="preserve"> </w:t>
      </w:r>
    </w:p>
    <w:p w14:paraId="6D98A12B" w14:textId="77777777" w:rsidR="004E0A15" w:rsidRPr="00327AD4" w:rsidRDefault="004E0A15" w:rsidP="000958C4">
      <w:pPr>
        <w:pStyle w:val="NormalWeb"/>
        <w:spacing w:before="0" w:beforeAutospacing="0" w:after="0" w:line="276" w:lineRule="auto"/>
        <w:jc w:val="both"/>
        <w:rPr>
          <w:rFonts w:ascii="Arial" w:hAnsi="Arial" w:cs="Arial"/>
          <w:iCs/>
        </w:rPr>
      </w:pPr>
    </w:p>
    <w:p w14:paraId="3B216BE2" w14:textId="27FC38C6" w:rsidR="002D624A" w:rsidRPr="00327AD4" w:rsidRDefault="00947274" w:rsidP="000958C4">
      <w:pPr>
        <w:pStyle w:val="NormalWeb"/>
        <w:spacing w:before="0" w:beforeAutospacing="0" w:after="0" w:line="276" w:lineRule="auto"/>
        <w:jc w:val="both"/>
        <w:rPr>
          <w:rFonts w:ascii="Arial" w:hAnsi="Arial" w:cs="Arial"/>
          <w:iCs/>
        </w:rPr>
      </w:pPr>
      <w:r w:rsidRPr="00327AD4">
        <w:rPr>
          <w:rFonts w:ascii="Arial" w:hAnsi="Arial" w:cs="Arial"/>
          <w:iCs/>
        </w:rPr>
        <w:t>Frente a</w:t>
      </w:r>
      <w:r w:rsidR="1FA0200F" w:rsidRPr="00327AD4">
        <w:rPr>
          <w:rFonts w:ascii="Arial" w:hAnsi="Arial" w:cs="Arial"/>
          <w:iCs/>
        </w:rPr>
        <w:t>l petitum</w:t>
      </w:r>
      <w:r w:rsidR="34BAF84E" w:rsidRPr="00327AD4">
        <w:rPr>
          <w:rFonts w:ascii="Arial" w:hAnsi="Arial" w:cs="Arial"/>
          <w:iCs/>
        </w:rPr>
        <w:t>,</w:t>
      </w:r>
      <w:r w:rsidRPr="00327AD4">
        <w:rPr>
          <w:rFonts w:ascii="Arial" w:hAnsi="Arial" w:cs="Arial"/>
          <w:iCs/>
        </w:rPr>
        <w:t xml:space="preserve"> ambas acciones reclaman i)  la protección del derecho fundamental al debido proceso administrativo, ii) la concesión de la medida provisional solicitada, consistente en suspender el proceso de selección, iii) </w:t>
      </w:r>
      <w:r w:rsidR="002D624A" w:rsidRPr="00327AD4">
        <w:rPr>
          <w:rFonts w:ascii="Arial" w:hAnsi="Arial" w:cs="Arial"/>
          <w:iCs/>
        </w:rPr>
        <w:t xml:space="preserve">la </w:t>
      </w:r>
      <w:r w:rsidRPr="00327AD4">
        <w:rPr>
          <w:rFonts w:ascii="Arial" w:hAnsi="Arial" w:cs="Arial"/>
          <w:iCs/>
        </w:rPr>
        <w:t xml:space="preserve">aplicación de la metodología de puntuación directa para emitir la puntuación definitiva </w:t>
      </w:r>
      <w:r w:rsidR="002D624A" w:rsidRPr="00327AD4">
        <w:rPr>
          <w:rFonts w:ascii="Arial" w:hAnsi="Arial" w:cs="Arial"/>
          <w:iCs/>
        </w:rPr>
        <w:t>en</w:t>
      </w:r>
      <w:r w:rsidRPr="00327AD4">
        <w:rPr>
          <w:rFonts w:ascii="Arial" w:hAnsi="Arial" w:cs="Arial"/>
          <w:iCs/>
        </w:rPr>
        <w:t xml:space="preserve"> la prueba eliminatoria, con los efectos o consecuencias que acarreé a otros aspirantes y iv) el amparo de otras garantías fundamentales que se adviertan vulneradas y no fueron invocadas</w:t>
      </w:r>
      <w:r w:rsidR="002D624A" w:rsidRPr="00327AD4">
        <w:rPr>
          <w:rFonts w:ascii="Arial" w:hAnsi="Arial" w:cs="Arial"/>
          <w:iCs/>
        </w:rPr>
        <w:t>.</w:t>
      </w:r>
    </w:p>
    <w:p w14:paraId="2946DB82" w14:textId="77777777" w:rsidR="002D624A" w:rsidRPr="00327AD4" w:rsidRDefault="002D624A" w:rsidP="000958C4">
      <w:pPr>
        <w:pStyle w:val="NormalWeb"/>
        <w:spacing w:before="0" w:beforeAutospacing="0" w:after="0" w:line="276" w:lineRule="auto"/>
        <w:jc w:val="both"/>
        <w:rPr>
          <w:rFonts w:ascii="Arial" w:hAnsi="Arial" w:cs="Arial"/>
          <w:iCs/>
        </w:rPr>
      </w:pPr>
    </w:p>
    <w:p w14:paraId="77030771" w14:textId="31A38B39" w:rsidR="004E0A15" w:rsidRPr="00327AD4" w:rsidRDefault="002D624A" w:rsidP="000958C4">
      <w:pPr>
        <w:pStyle w:val="NormalWeb"/>
        <w:spacing w:before="0" w:beforeAutospacing="0" w:after="0" w:line="276" w:lineRule="auto"/>
        <w:jc w:val="both"/>
        <w:rPr>
          <w:rFonts w:ascii="Arial" w:hAnsi="Arial" w:cs="Arial"/>
          <w:iCs/>
        </w:rPr>
      </w:pPr>
      <w:r w:rsidRPr="00327AD4">
        <w:rPr>
          <w:rFonts w:ascii="Arial" w:hAnsi="Arial" w:cs="Arial"/>
          <w:iCs/>
        </w:rPr>
        <w:t>A su vez,</w:t>
      </w:r>
      <w:r w:rsidR="00947274" w:rsidRPr="00327AD4">
        <w:rPr>
          <w:rFonts w:ascii="Arial" w:hAnsi="Arial" w:cs="Arial"/>
          <w:iCs/>
        </w:rPr>
        <w:t xml:space="preserve"> la tutela pretendida por </w:t>
      </w:r>
      <w:r w:rsidR="005C4F94" w:rsidRPr="00327AD4">
        <w:rPr>
          <w:rFonts w:ascii="Arial" w:hAnsi="Arial" w:cs="Arial"/>
          <w:iCs/>
        </w:rPr>
        <w:t xml:space="preserve">la aquí </w:t>
      </w:r>
      <w:r w:rsidR="1EDBFB3F" w:rsidRPr="00327AD4">
        <w:rPr>
          <w:rFonts w:ascii="Arial" w:hAnsi="Arial" w:cs="Arial"/>
          <w:iCs/>
        </w:rPr>
        <w:t>accionante</w:t>
      </w:r>
      <w:r w:rsidR="005C4F94" w:rsidRPr="00327AD4">
        <w:rPr>
          <w:rFonts w:ascii="Arial" w:hAnsi="Arial" w:cs="Arial"/>
          <w:iCs/>
        </w:rPr>
        <w:t xml:space="preserve"> también pide</w:t>
      </w:r>
      <w:r w:rsidR="1996C870" w:rsidRPr="00327AD4">
        <w:rPr>
          <w:rFonts w:ascii="Arial" w:hAnsi="Arial" w:cs="Arial"/>
          <w:iCs/>
        </w:rPr>
        <w:t>:</w:t>
      </w:r>
      <w:r w:rsidR="005C4F94" w:rsidRPr="00327AD4">
        <w:rPr>
          <w:rFonts w:ascii="Arial" w:hAnsi="Arial" w:cs="Arial"/>
          <w:iCs/>
        </w:rPr>
        <w:t xml:space="preserve">  i) la nulidad de las preguntas que en la reclamación manifestó no </w:t>
      </w:r>
      <w:r w:rsidRPr="00327AD4">
        <w:rPr>
          <w:rFonts w:ascii="Arial" w:hAnsi="Arial" w:cs="Arial"/>
          <w:iCs/>
        </w:rPr>
        <w:t>correspondían</w:t>
      </w:r>
      <w:r w:rsidR="005C4F94" w:rsidRPr="00327AD4">
        <w:rPr>
          <w:rFonts w:ascii="Arial" w:hAnsi="Arial" w:cs="Arial"/>
          <w:iCs/>
        </w:rPr>
        <w:t xml:space="preserve"> a las funciones </w:t>
      </w:r>
      <w:r w:rsidRPr="00327AD4">
        <w:rPr>
          <w:rFonts w:ascii="Arial" w:hAnsi="Arial" w:cs="Arial"/>
          <w:iCs/>
        </w:rPr>
        <w:t>de</w:t>
      </w:r>
      <w:r w:rsidR="005C4F94" w:rsidRPr="00327AD4">
        <w:rPr>
          <w:rFonts w:ascii="Arial" w:hAnsi="Arial" w:cs="Arial"/>
          <w:iCs/>
        </w:rPr>
        <w:t>l cargo</w:t>
      </w:r>
      <w:r w:rsidRPr="00327AD4">
        <w:rPr>
          <w:rFonts w:ascii="Arial" w:hAnsi="Arial" w:cs="Arial"/>
          <w:iCs/>
        </w:rPr>
        <w:t xml:space="preserve"> para el cual se inscribió en la convocatoria</w:t>
      </w:r>
      <w:r w:rsidR="005C4F94" w:rsidRPr="00327AD4">
        <w:rPr>
          <w:rFonts w:ascii="Arial" w:hAnsi="Arial" w:cs="Arial"/>
          <w:iCs/>
        </w:rPr>
        <w:t>, ii) la recalificación de la prueba</w:t>
      </w:r>
      <w:r w:rsidRPr="00327AD4">
        <w:rPr>
          <w:rFonts w:ascii="Arial" w:hAnsi="Arial" w:cs="Arial"/>
          <w:iCs/>
        </w:rPr>
        <w:t xml:space="preserve"> teniendo en cuenta lo anterior y </w:t>
      </w:r>
      <w:r w:rsidR="005C4F94" w:rsidRPr="00327AD4">
        <w:rPr>
          <w:rFonts w:ascii="Arial" w:hAnsi="Arial" w:cs="Arial"/>
          <w:iCs/>
        </w:rPr>
        <w:t xml:space="preserve">la calificación directa y iii) </w:t>
      </w:r>
      <w:r w:rsidRPr="00327AD4">
        <w:rPr>
          <w:rFonts w:ascii="Arial" w:hAnsi="Arial" w:cs="Arial"/>
          <w:iCs/>
        </w:rPr>
        <w:t>la complementación a la re</w:t>
      </w:r>
      <w:r w:rsidR="0CC3F8E9" w:rsidRPr="00327AD4">
        <w:rPr>
          <w:rFonts w:ascii="Arial" w:hAnsi="Arial" w:cs="Arial"/>
          <w:iCs/>
        </w:rPr>
        <w:t>s</w:t>
      </w:r>
      <w:r w:rsidRPr="00327AD4">
        <w:rPr>
          <w:rFonts w:ascii="Arial" w:hAnsi="Arial" w:cs="Arial"/>
          <w:iCs/>
        </w:rPr>
        <w:t>puesta brindada a su reclamación</w:t>
      </w:r>
      <w:r w:rsidR="005C4F94" w:rsidRPr="00327AD4">
        <w:rPr>
          <w:rFonts w:ascii="Arial" w:hAnsi="Arial" w:cs="Arial"/>
          <w:iCs/>
        </w:rPr>
        <w:t>.</w:t>
      </w:r>
    </w:p>
    <w:p w14:paraId="5997CC1D" w14:textId="77777777" w:rsidR="005C4F94" w:rsidRPr="00327AD4" w:rsidRDefault="005C4F94" w:rsidP="000958C4">
      <w:pPr>
        <w:pStyle w:val="NormalWeb"/>
        <w:spacing w:before="0" w:beforeAutospacing="0" w:after="0" w:line="276" w:lineRule="auto"/>
        <w:jc w:val="both"/>
        <w:rPr>
          <w:rFonts w:ascii="Arial" w:hAnsi="Arial" w:cs="Arial"/>
          <w:iCs/>
        </w:rPr>
      </w:pPr>
    </w:p>
    <w:p w14:paraId="2E745579" w14:textId="77777777" w:rsidR="005C4F94" w:rsidRPr="00327AD4" w:rsidRDefault="002D624A"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Por último, </w:t>
      </w:r>
      <w:r w:rsidR="005C4F94" w:rsidRPr="00327AD4">
        <w:rPr>
          <w:rFonts w:ascii="Arial" w:hAnsi="Arial" w:cs="Arial"/>
          <w:iCs/>
        </w:rPr>
        <w:t>el señor Robert Antonio Herrera Castaño reclama que se declare “</w:t>
      </w:r>
      <w:r w:rsidR="005C4F94" w:rsidRPr="00921220">
        <w:rPr>
          <w:rFonts w:ascii="Arial" w:hAnsi="Arial" w:cs="Arial"/>
          <w:iCs/>
          <w:sz w:val="22"/>
        </w:rPr>
        <w:t>la nulidad de la metodología de calificación aplicada a su prueba eliminatoria denominada método de ajuste proporcional</w:t>
      </w:r>
      <w:r w:rsidR="005C4F94" w:rsidRPr="00327AD4">
        <w:rPr>
          <w:rFonts w:ascii="Arial" w:hAnsi="Arial" w:cs="Arial"/>
          <w:iCs/>
        </w:rPr>
        <w:t>”.</w:t>
      </w:r>
    </w:p>
    <w:p w14:paraId="110FFD37" w14:textId="77777777" w:rsidR="005C4F94" w:rsidRPr="00327AD4" w:rsidRDefault="005C4F94" w:rsidP="000958C4">
      <w:pPr>
        <w:pStyle w:val="NormalWeb"/>
        <w:spacing w:before="0" w:beforeAutospacing="0" w:after="0" w:line="276" w:lineRule="auto"/>
        <w:jc w:val="both"/>
        <w:rPr>
          <w:rFonts w:ascii="Arial" w:hAnsi="Arial" w:cs="Arial"/>
          <w:iCs/>
        </w:rPr>
      </w:pPr>
    </w:p>
    <w:p w14:paraId="598B010C" w14:textId="60DA4A4F" w:rsidR="005C4F94" w:rsidRPr="00327AD4" w:rsidRDefault="005C4F94" w:rsidP="000958C4">
      <w:pPr>
        <w:pStyle w:val="NormalWeb"/>
        <w:spacing w:before="0" w:beforeAutospacing="0" w:after="0" w:line="276" w:lineRule="auto"/>
        <w:jc w:val="both"/>
        <w:rPr>
          <w:rFonts w:ascii="Arial" w:hAnsi="Arial" w:cs="Arial"/>
          <w:iCs/>
        </w:rPr>
      </w:pPr>
      <w:r w:rsidRPr="00327AD4">
        <w:rPr>
          <w:rFonts w:ascii="Arial" w:hAnsi="Arial" w:cs="Arial"/>
          <w:iCs/>
        </w:rPr>
        <w:t>Conforme el análisis anterior, se tiene que</w:t>
      </w:r>
      <w:r w:rsidR="002D624A" w:rsidRPr="00327AD4">
        <w:rPr>
          <w:rFonts w:ascii="Arial" w:hAnsi="Arial" w:cs="Arial"/>
          <w:iCs/>
        </w:rPr>
        <w:t>,</w:t>
      </w:r>
      <w:r w:rsidRPr="00327AD4">
        <w:rPr>
          <w:rFonts w:ascii="Arial" w:hAnsi="Arial" w:cs="Arial"/>
          <w:iCs/>
        </w:rPr>
        <w:t xml:space="preserve"> contrario a lo manifestado por el juzgado que propuso el conflicto</w:t>
      </w:r>
      <w:r w:rsidR="002D624A" w:rsidRPr="00327AD4">
        <w:rPr>
          <w:rFonts w:ascii="Arial" w:hAnsi="Arial" w:cs="Arial"/>
          <w:iCs/>
        </w:rPr>
        <w:t>,</w:t>
      </w:r>
      <w:r w:rsidRPr="00327AD4">
        <w:rPr>
          <w:rFonts w:ascii="Arial" w:hAnsi="Arial" w:cs="Arial"/>
          <w:iCs/>
        </w:rPr>
        <w:t xml:space="preserve"> existen variaciones sustanciales tanto en los hechos como en las pretensiones</w:t>
      </w:r>
      <w:r w:rsidR="00D42663" w:rsidRPr="00327AD4">
        <w:rPr>
          <w:rFonts w:ascii="Arial" w:hAnsi="Arial" w:cs="Arial"/>
          <w:iCs/>
        </w:rPr>
        <w:t xml:space="preserve"> de las tutelas comparadas</w:t>
      </w:r>
      <w:r w:rsidRPr="00327AD4">
        <w:rPr>
          <w:rFonts w:ascii="Arial" w:hAnsi="Arial" w:cs="Arial"/>
          <w:iCs/>
        </w:rPr>
        <w:t xml:space="preserve"> que impiden </w:t>
      </w:r>
      <w:r w:rsidR="00D42663" w:rsidRPr="00327AD4">
        <w:rPr>
          <w:rFonts w:ascii="Arial" w:hAnsi="Arial" w:cs="Arial"/>
          <w:iCs/>
        </w:rPr>
        <w:t>la viabilidad de la acumulación, pues como viene de verse la señora  Natalia Milena Escobar Marulanda, pone de presente al juez constitucional argumentos concretos y específicos para cuestionar el proceso de calificación de la prueba escrita aplicada al cargo de docente de “</w:t>
      </w:r>
      <w:r w:rsidR="00D42663" w:rsidRPr="00921220">
        <w:rPr>
          <w:rFonts w:ascii="Arial" w:hAnsi="Arial" w:cs="Arial"/>
          <w:iCs/>
          <w:sz w:val="22"/>
        </w:rPr>
        <w:t>área ciencias naturales química</w:t>
      </w:r>
      <w:r w:rsidR="00D42663" w:rsidRPr="00327AD4">
        <w:rPr>
          <w:rFonts w:ascii="Arial" w:hAnsi="Arial" w:cs="Arial"/>
          <w:iCs/>
        </w:rPr>
        <w:t>” y solicita que en virtud a ellos se anulen las preguntas que no corresponde a dicho cargo</w:t>
      </w:r>
      <w:r w:rsidR="21A97D91" w:rsidRPr="00327AD4">
        <w:rPr>
          <w:rFonts w:ascii="Arial" w:hAnsi="Arial" w:cs="Arial"/>
          <w:iCs/>
        </w:rPr>
        <w:t>,</w:t>
      </w:r>
      <w:r w:rsidR="00D42663" w:rsidRPr="00327AD4">
        <w:rPr>
          <w:rFonts w:ascii="Arial" w:hAnsi="Arial" w:cs="Arial"/>
          <w:iCs/>
        </w:rPr>
        <w:t xml:space="preserve"> lo cual es novedoso </w:t>
      </w:r>
      <w:r w:rsidR="2C280D08" w:rsidRPr="00327AD4">
        <w:rPr>
          <w:rFonts w:ascii="Arial" w:hAnsi="Arial" w:cs="Arial"/>
          <w:iCs/>
        </w:rPr>
        <w:t>respecto a la inicial</w:t>
      </w:r>
      <w:r w:rsidR="00D42663" w:rsidRPr="00327AD4">
        <w:rPr>
          <w:rFonts w:ascii="Arial" w:hAnsi="Arial" w:cs="Arial"/>
          <w:iCs/>
        </w:rPr>
        <w:t>, así como la petición de que se atienda integralmente la reclamación efectuada ante la Universidad Libre de Colombia.</w:t>
      </w:r>
    </w:p>
    <w:p w14:paraId="6B699379" w14:textId="77777777" w:rsidR="00D42663" w:rsidRPr="00327AD4" w:rsidRDefault="00D42663" w:rsidP="000958C4">
      <w:pPr>
        <w:pStyle w:val="NormalWeb"/>
        <w:spacing w:before="0" w:beforeAutospacing="0" w:after="0" w:line="276" w:lineRule="auto"/>
        <w:jc w:val="both"/>
        <w:rPr>
          <w:rFonts w:ascii="Arial" w:hAnsi="Arial" w:cs="Arial"/>
          <w:iCs/>
        </w:rPr>
      </w:pPr>
    </w:p>
    <w:p w14:paraId="56B9DBFF" w14:textId="48B77A9B" w:rsidR="00D42663" w:rsidRPr="00327AD4" w:rsidRDefault="00D42663" w:rsidP="000958C4">
      <w:pPr>
        <w:pStyle w:val="NormalWeb"/>
        <w:spacing w:before="0" w:beforeAutospacing="0" w:after="0" w:line="276" w:lineRule="auto"/>
        <w:jc w:val="both"/>
        <w:rPr>
          <w:rFonts w:ascii="Arial" w:hAnsi="Arial" w:cs="Arial"/>
          <w:iCs/>
        </w:rPr>
      </w:pPr>
      <w:r w:rsidRPr="00327AD4">
        <w:rPr>
          <w:rFonts w:ascii="Arial" w:hAnsi="Arial" w:cs="Arial"/>
          <w:iCs/>
        </w:rPr>
        <w:t>Aceptar el argumento expuesto por</w:t>
      </w:r>
      <w:r w:rsidR="0055550E" w:rsidRPr="00327AD4">
        <w:rPr>
          <w:rFonts w:ascii="Arial" w:hAnsi="Arial" w:cs="Arial"/>
          <w:iCs/>
        </w:rPr>
        <w:t xml:space="preserve"> el juzgado Primero Penal del Circuito Especializado</w:t>
      </w:r>
      <w:r w:rsidR="002D624A" w:rsidRPr="00327AD4">
        <w:rPr>
          <w:rFonts w:ascii="Arial" w:hAnsi="Arial" w:cs="Arial"/>
          <w:iCs/>
        </w:rPr>
        <w:t xml:space="preserve"> de Pereira</w:t>
      </w:r>
      <w:r w:rsidR="0055550E" w:rsidRPr="00327AD4">
        <w:rPr>
          <w:rFonts w:ascii="Arial" w:hAnsi="Arial" w:cs="Arial"/>
          <w:iCs/>
        </w:rPr>
        <w:t xml:space="preserve">, relacionado con el hecho de que estas pretensiones nuevas se subsumen en las solicitudes ya decididas, </w:t>
      </w:r>
      <w:r w:rsidR="00826B8F" w:rsidRPr="00327AD4">
        <w:rPr>
          <w:rFonts w:ascii="Arial" w:hAnsi="Arial" w:cs="Arial"/>
          <w:iCs/>
        </w:rPr>
        <w:t xml:space="preserve">sería avalar un prejuzgamiento y desde </w:t>
      </w:r>
      <w:r w:rsidR="002D624A" w:rsidRPr="00327AD4">
        <w:rPr>
          <w:rFonts w:ascii="Arial" w:hAnsi="Arial" w:cs="Arial"/>
          <w:iCs/>
        </w:rPr>
        <w:t xml:space="preserve">ya </w:t>
      </w:r>
      <w:r w:rsidR="00826B8F" w:rsidRPr="00327AD4">
        <w:rPr>
          <w:rFonts w:ascii="Arial" w:hAnsi="Arial" w:cs="Arial"/>
          <w:iCs/>
        </w:rPr>
        <w:t>darle a entender a la accionante que las modificaciones que se perciben en su acción devienen inocuas, dado que ya existe decisión en algún sentido frente a la mayoría de lo</w:t>
      </w:r>
      <w:r w:rsidR="2ED0098B" w:rsidRPr="00327AD4">
        <w:rPr>
          <w:rFonts w:ascii="Arial" w:hAnsi="Arial" w:cs="Arial"/>
          <w:iCs/>
        </w:rPr>
        <w:t>s puntos</w:t>
      </w:r>
      <w:r w:rsidR="00826B8F" w:rsidRPr="00327AD4">
        <w:rPr>
          <w:rFonts w:ascii="Arial" w:hAnsi="Arial" w:cs="Arial"/>
          <w:iCs/>
        </w:rPr>
        <w:t xml:space="preserve"> pretendido</w:t>
      </w:r>
      <w:r w:rsidR="5FA2320C" w:rsidRPr="00327AD4">
        <w:rPr>
          <w:rFonts w:ascii="Arial" w:hAnsi="Arial" w:cs="Arial"/>
          <w:iCs/>
        </w:rPr>
        <w:t>s</w:t>
      </w:r>
      <w:r w:rsidR="00826B8F" w:rsidRPr="00327AD4">
        <w:rPr>
          <w:rFonts w:ascii="Arial" w:hAnsi="Arial" w:cs="Arial"/>
          <w:iCs/>
        </w:rPr>
        <w:t>.</w:t>
      </w:r>
      <w:r w:rsidR="00AA63F5" w:rsidRPr="00327AD4">
        <w:rPr>
          <w:rFonts w:ascii="Arial" w:hAnsi="Arial" w:cs="Arial"/>
          <w:iCs/>
        </w:rPr>
        <w:t xml:space="preserve">  </w:t>
      </w:r>
    </w:p>
    <w:p w14:paraId="15090523" w14:textId="0E860A53" w:rsidR="00D42663" w:rsidRPr="00327AD4" w:rsidRDefault="00D42663" w:rsidP="000958C4">
      <w:pPr>
        <w:pStyle w:val="NormalWeb"/>
        <w:spacing w:before="0" w:beforeAutospacing="0" w:after="0" w:line="276" w:lineRule="auto"/>
        <w:jc w:val="both"/>
        <w:rPr>
          <w:rFonts w:ascii="Arial" w:hAnsi="Arial" w:cs="Arial"/>
          <w:iCs/>
        </w:rPr>
      </w:pPr>
    </w:p>
    <w:p w14:paraId="6D9753FA" w14:textId="6A46A888" w:rsidR="00D42663" w:rsidRPr="00327AD4" w:rsidRDefault="00AA63F5" w:rsidP="000958C4">
      <w:pPr>
        <w:pStyle w:val="NormalWeb"/>
        <w:spacing w:before="0" w:beforeAutospacing="0" w:after="0" w:line="276" w:lineRule="auto"/>
        <w:jc w:val="both"/>
        <w:rPr>
          <w:rFonts w:ascii="Arial" w:hAnsi="Arial" w:cs="Arial"/>
          <w:iCs/>
        </w:rPr>
      </w:pPr>
      <w:r w:rsidRPr="00327AD4">
        <w:rPr>
          <w:rFonts w:ascii="Arial" w:hAnsi="Arial" w:cs="Arial"/>
          <w:iCs/>
        </w:rPr>
        <w:lastRenderedPageBreak/>
        <w:t xml:space="preserve">El </w:t>
      </w:r>
      <w:r w:rsidR="188CB190" w:rsidRPr="00327AD4">
        <w:rPr>
          <w:rFonts w:ascii="Arial" w:hAnsi="Arial" w:cs="Arial"/>
          <w:iCs/>
        </w:rPr>
        <w:t xml:space="preserve">hecho de </w:t>
      </w:r>
      <w:r w:rsidRPr="00327AD4">
        <w:rPr>
          <w:rFonts w:ascii="Arial" w:hAnsi="Arial" w:cs="Arial"/>
          <w:iCs/>
        </w:rPr>
        <w:t>que</w:t>
      </w:r>
      <w:r w:rsidR="6723C1D0" w:rsidRPr="00327AD4">
        <w:rPr>
          <w:rFonts w:ascii="Arial" w:hAnsi="Arial" w:cs="Arial"/>
          <w:iCs/>
        </w:rPr>
        <w:t>,</w:t>
      </w:r>
      <w:r w:rsidRPr="00327AD4">
        <w:rPr>
          <w:rFonts w:ascii="Arial" w:hAnsi="Arial" w:cs="Arial"/>
          <w:iCs/>
        </w:rPr>
        <w:t xml:space="preserve"> debido a estas variaciones</w:t>
      </w:r>
      <w:r w:rsidR="6D8351CB" w:rsidRPr="00327AD4">
        <w:rPr>
          <w:rFonts w:ascii="Arial" w:hAnsi="Arial" w:cs="Arial"/>
          <w:iCs/>
        </w:rPr>
        <w:t>,</w:t>
      </w:r>
      <w:r w:rsidRPr="00327AD4">
        <w:rPr>
          <w:rFonts w:ascii="Arial" w:hAnsi="Arial" w:cs="Arial"/>
          <w:iCs/>
        </w:rPr>
        <w:t xml:space="preserve"> un juzgado diferente al que conoció la primera tutela deb</w:t>
      </w:r>
      <w:r w:rsidR="00630B9D" w:rsidRPr="00327AD4">
        <w:rPr>
          <w:rFonts w:ascii="Arial" w:hAnsi="Arial" w:cs="Arial"/>
          <w:iCs/>
        </w:rPr>
        <w:t>a</w:t>
      </w:r>
      <w:r w:rsidRPr="00327AD4">
        <w:rPr>
          <w:rFonts w:ascii="Arial" w:hAnsi="Arial" w:cs="Arial"/>
          <w:iCs/>
        </w:rPr>
        <w:t xml:space="preserve"> asumir el conocimiento</w:t>
      </w:r>
      <w:r w:rsidR="4006FC01" w:rsidRPr="00327AD4">
        <w:rPr>
          <w:rFonts w:ascii="Arial" w:hAnsi="Arial" w:cs="Arial"/>
          <w:iCs/>
        </w:rPr>
        <w:t>,</w:t>
      </w:r>
      <w:r w:rsidRPr="00327AD4">
        <w:rPr>
          <w:rFonts w:ascii="Arial" w:hAnsi="Arial" w:cs="Arial"/>
          <w:iCs/>
        </w:rPr>
        <w:t xml:space="preserve"> no genera ninguna irregularidad, ni tampoco atenta contra la seguridad jurídica, pues como indica la Corte Constitucional, debe serse exigente </w:t>
      </w:r>
      <w:r w:rsidR="002D624A" w:rsidRPr="00327AD4">
        <w:rPr>
          <w:rFonts w:ascii="Arial" w:hAnsi="Arial" w:cs="Arial"/>
          <w:iCs/>
        </w:rPr>
        <w:t xml:space="preserve">al momento de establecer los requisitos para la acumulación de tutelas, en orden a no </w:t>
      </w:r>
      <w:r w:rsidR="00630B9D" w:rsidRPr="00327AD4">
        <w:rPr>
          <w:rFonts w:ascii="Arial" w:hAnsi="Arial" w:cs="Arial"/>
          <w:iCs/>
        </w:rPr>
        <w:t>desnaturalizar “</w:t>
      </w:r>
      <w:r w:rsidR="00630B9D" w:rsidRPr="00921220">
        <w:rPr>
          <w:rFonts w:ascii="Arial" w:hAnsi="Arial" w:cs="Arial"/>
          <w:iCs/>
          <w:sz w:val="22"/>
        </w:rPr>
        <w:t xml:space="preserve">la regla de </w:t>
      </w:r>
      <w:r w:rsidR="573196C1" w:rsidRPr="00921220">
        <w:rPr>
          <w:rFonts w:ascii="Arial" w:hAnsi="Arial" w:cs="Arial"/>
          <w:iCs/>
          <w:sz w:val="22"/>
        </w:rPr>
        <w:t>competencia “</w:t>
      </w:r>
      <w:r w:rsidR="00630B9D" w:rsidRPr="00921220">
        <w:rPr>
          <w:rFonts w:ascii="Arial" w:hAnsi="Arial" w:cs="Arial"/>
          <w:iCs/>
          <w:sz w:val="22"/>
        </w:rPr>
        <w:t>a prevención”, cuya preservación compete a todos los jueces de tutela</w:t>
      </w:r>
      <w:r w:rsidR="00630B9D" w:rsidRPr="00327AD4">
        <w:rPr>
          <w:rFonts w:ascii="Arial" w:hAnsi="Arial" w:cs="Arial"/>
          <w:iCs/>
        </w:rPr>
        <w:t>” -A136-21.</w:t>
      </w:r>
    </w:p>
    <w:p w14:paraId="3FE9F23F" w14:textId="1CC758A9" w:rsidR="005C4F94" w:rsidRDefault="005C4F94" w:rsidP="000958C4">
      <w:pPr>
        <w:pStyle w:val="NormalWeb"/>
        <w:spacing w:before="0" w:beforeAutospacing="0" w:after="0" w:line="276" w:lineRule="auto"/>
        <w:jc w:val="both"/>
        <w:rPr>
          <w:rFonts w:ascii="Arial" w:hAnsi="Arial" w:cs="Arial"/>
          <w:iCs/>
        </w:rPr>
      </w:pPr>
    </w:p>
    <w:p w14:paraId="26A11F77" w14:textId="77777777" w:rsidR="009277C3" w:rsidRPr="00327AD4" w:rsidRDefault="009277C3" w:rsidP="000958C4">
      <w:pPr>
        <w:pStyle w:val="NormalWeb"/>
        <w:spacing w:before="0" w:beforeAutospacing="0" w:after="0" w:line="276" w:lineRule="auto"/>
        <w:jc w:val="both"/>
        <w:rPr>
          <w:rFonts w:ascii="Arial" w:hAnsi="Arial" w:cs="Arial"/>
          <w:iCs/>
        </w:rPr>
      </w:pPr>
    </w:p>
    <w:p w14:paraId="54FB57C7" w14:textId="77777777" w:rsidR="007A0485" w:rsidRPr="00327AD4" w:rsidRDefault="007A0485" w:rsidP="000958C4">
      <w:pPr>
        <w:pStyle w:val="NormalWeb"/>
        <w:spacing w:before="0" w:beforeAutospacing="0" w:after="0" w:line="276" w:lineRule="auto"/>
        <w:jc w:val="both"/>
        <w:rPr>
          <w:rFonts w:ascii="Arial" w:hAnsi="Arial" w:cs="Arial"/>
          <w:b/>
          <w:iCs/>
        </w:rPr>
      </w:pPr>
      <w:r w:rsidRPr="00327AD4">
        <w:rPr>
          <w:rFonts w:ascii="Arial" w:hAnsi="Arial" w:cs="Arial"/>
          <w:b/>
          <w:iCs/>
        </w:rPr>
        <w:t>DECISIÓN</w:t>
      </w:r>
    </w:p>
    <w:p w14:paraId="08CE6F91" w14:textId="57817657" w:rsidR="007A0485" w:rsidRDefault="007A0485" w:rsidP="000958C4">
      <w:pPr>
        <w:pStyle w:val="NormalWeb"/>
        <w:spacing w:before="0" w:beforeAutospacing="0" w:after="0" w:line="276" w:lineRule="auto"/>
        <w:jc w:val="both"/>
        <w:rPr>
          <w:rFonts w:ascii="Arial" w:hAnsi="Arial" w:cs="Arial"/>
          <w:b/>
          <w:iCs/>
        </w:rPr>
      </w:pPr>
    </w:p>
    <w:p w14:paraId="1CA5D860" w14:textId="77777777" w:rsidR="009277C3" w:rsidRPr="00327AD4" w:rsidRDefault="009277C3" w:rsidP="000958C4">
      <w:pPr>
        <w:pStyle w:val="NormalWeb"/>
        <w:spacing w:before="0" w:beforeAutospacing="0" w:after="0" w:line="276" w:lineRule="auto"/>
        <w:jc w:val="both"/>
        <w:rPr>
          <w:rFonts w:ascii="Arial" w:hAnsi="Arial" w:cs="Arial"/>
          <w:b/>
          <w:iCs/>
        </w:rPr>
      </w:pPr>
    </w:p>
    <w:p w14:paraId="43A9BA0F" w14:textId="77777777" w:rsidR="007A0485" w:rsidRPr="00327AD4" w:rsidRDefault="007A0485" w:rsidP="000958C4">
      <w:pPr>
        <w:pStyle w:val="NormalWeb"/>
        <w:spacing w:before="0" w:beforeAutospacing="0" w:after="0" w:line="276" w:lineRule="auto"/>
        <w:jc w:val="both"/>
        <w:rPr>
          <w:rFonts w:ascii="Arial" w:hAnsi="Arial" w:cs="Arial"/>
          <w:iCs/>
        </w:rPr>
      </w:pPr>
      <w:r w:rsidRPr="00327AD4">
        <w:rPr>
          <w:rFonts w:ascii="Arial" w:hAnsi="Arial" w:cs="Arial"/>
          <w:iCs/>
        </w:rPr>
        <w:t xml:space="preserve">Por lo expuesto, el Tribunal Superior de Pereira en la Sala Mixta No </w:t>
      </w:r>
      <w:r w:rsidR="00630B9D" w:rsidRPr="00327AD4">
        <w:rPr>
          <w:rFonts w:ascii="Arial" w:hAnsi="Arial" w:cs="Arial"/>
          <w:iCs/>
        </w:rPr>
        <w:t>1</w:t>
      </w:r>
      <w:r w:rsidR="00B40497" w:rsidRPr="00327AD4">
        <w:rPr>
          <w:rFonts w:ascii="Arial" w:hAnsi="Arial" w:cs="Arial"/>
          <w:iCs/>
        </w:rPr>
        <w:t>1</w:t>
      </w:r>
      <w:r w:rsidRPr="00327AD4">
        <w:rPr>
          <w:rFonts w:ascii="Arial" w:hAnsi="Arial" w:cs="Arial"/>
          <w:iCs/>
        </w:rPr>
        <w:t xml:space="preserve"> de Decisión, </w:t>
      </w:r>
      <w:r w:rsidRPr="00327AD4">
        <w:rPr>
          <w:rFonts w:ascii="Arial" w:hAnsi="Arial" w:cs="Arial"/>
          <w:b/>
          <w:iCs/>
        </w:rPr>
        <w:t xml:space="preserve">DISPONE </w:t>
      </w:r>
      <w:r w:rsidRPr="00327AD4">
        <w:rPr>
          <w:rFonts w:ascii="Arial" w:hAnsi="Arial" w:cs="Arial"/>
          <w:iCs/>
        </w:rPr>
        <w:t xml:space="preserve">remitir las diligencias al Juzgado </w:t>
      </w:r>
      <w:r w:rsidR="00630B9D" w:rsidRPr="00327AD4">
        <w:rPr>
          <w:rFonts w:ascii="Arial" w:hAnsi="Arial" w:cs="Arial"/>
          <w:iCs/>
        </w:rPr>
        <w:t>Primero del Circuito Especializado</w:t>
      </w:r>
      <w:r w:rsidRPr="00327AD4">
        <w:rPr>
          <w:rFonts w:ascii="Arial" w:hAnsi="Arial" w:cs="Arial"/>
          <w:iCs/>
        </w:rPr>
        <w:t xml:space="preserve"> de esta ciudad, para que conozca del presente trámite.</w:t>
      </w:r>
    </w:p>
    <w:p w14:paraId="61CDCEAD" w14:textId="77777777" w:rsidR="007A0485" w:rsidRPr="00327AD4" w:rsidRDefault="007A0485" w:rsidP="000958C4">
      <w:pPr>
        <w:pStyle w:val="NormalWeb"/>
        <w:spacing w:before="0" w:beforeAutospacing="0" w:after="0" w:line="276" w:lineRule="auto"/>
        <w:ind w:firstLine="708"/>
        <w:jc w:val="both"/>
        <w:rPr>
          <w:rFonts w:ascii="Arial" w:hAnsi="Arial" w:cs="Arial"/>
          <w:iCs/>
        </w:rPr>
      </w:pPr>
    </w:p>
    <w:p w14:paraId="6F8E2B33" w14:textId="77777777" w:rsidR="007A0485" w:rsidRPr="00327AD4" w:rsidRDefault="007A0485" w:rsidP="000958C4">
      <w:pPr>
        <w:pStyle w:val="NormalWeb"/>
        <w:spacing w:before="0" w:beforeAutospacing="0" w:after="0" w:line="276" w:lineRule="auto"/>
        <w:jc w:val="both"/>
        <w:rPr>
          <w:rFonts w:ascii="Arial" w:hAnsi="Arial" w:cs="Arial"/>
          <w:iCs/>
        </w:rPr>
      </w:pPr>
      <w:r w:rsidRPr="00327AD4">
        <w:rPr>
          <w:rFonts w:ascii="Arial" w:hAnsi="Arial" w:cs="Arial"/>
          <w:iCs/>
        </w:rPr>
        <w:t>Entérese de esta determinación a la accionante.</w:t>
      </w:r>
    </w:p>
    <w:p w14:paraId="6BB9E253" w14:textId="77777777" w:rsidR="007A0485" w:rsidRPr="00327AD4" w:rsidRDefault="007A0485" w:rsidP="000958C4">
      <w:pPr>
        <w:pStyle w:val="NormalWeb"/>
        <w:spacing w:before="0" w:beforeAutospacing="0" w:after="0" w:line="276" w:lineRule="auto"/>
        <w:jc w:val="both"/>
        <w:rPr>
          <w:rFonts w:ascii="Arial" w:hAnsi="Arial" w:cs="Arial"/>
          <w:iCs/>
        </w:rPr>
      </w:pPr>
    </w:p>
    <w:p w14:paraId="355EBCCA" w14:textId="77777777" w:rsidR="007A0485" w:rsidRPr="00327AD4" w:rsidRDefault="007A0485" w:rsidP="000958C4">
      <w:pPr>
        <w:pStyle w:val="NormalWeb"/>
        <w:spacing w:before="0" w:beforeAutospacing="0" w:after="0" w:line="276" w:lineRule="auto"/>
        <w:jc w:val="both"/>
        <w:rPr>
          <w:rFonts w:ascii="Arial" w:hAnsi="Arial" w:cs="Arial"/>
          <w:iCs/>
        </w:rPr>
      </w:pPr>
      <w:r w:rsidRPr="00327AD4">
        <w:rPr>
          <w:rFonts w:ascii="Arial" w:hAnsi="Arial" w:cs="Arial"/>
          <w:iCs/>
        </w:rPr>
        <w:t>Comuníquese y cúmplase</w:t>
      </w:r>
    </w:p>
    <w:p w14:paraId="020F64E0" w14:textId="77777777" w:rsidR="00D33656" w:rsidRPr="00D33656" w:rsidRDefault="00D33656" w:rsidP="000958C4">
      <w:pPr>
        <w:suppressAutoHyphens w:val="0"/>
        <w:spacing w:line="276" w:lineRule="auto"/>
        <w:jc w:val="both"/>
        <w:rPr>
          <w:rFonts w:ascii="Arial" w:eastAsia="Arial" w:hAnsi="Arial" w:cs="Arial"/>
          <w:sz w:val="24"/>
          <w:szCs w:val="24"/>
          <w:lang w:val="es-CO" w:eastAsia="es-CO"/>
        </w:rPr>
      </w:pPr>
      <w:bookmarkStart w:id="3" w:name="_Hlk136264696"/>
    </w:p>
    <w:p w14:paraId="239D87B2" w14:textId="31B552F1" w:rsidR="00D33656" w:rsidRPr="00D33656" w:rsidRDefault="00D33656" w:rsidP="000958C4">
      <w:pPr>
        <w:suppressAutoHyphens w:val="0"/>
        <w:spacing w:line="276" w:lineRule="auto"/>
        <w:jc w:val="both"/>
        <w:textAlignment w:val="baseline"/>
        <w:rPr>
          <w:rFonts w:ascii="Arial" w:hAnsi="Arial" w:cs="Arial"/>
          <w:spacing w:val="-4"/>
          <w:sz w:val="24"/>
          <w:szCs w:val="24"/>
          <w:lang w:eastAsia="es-CO"/>
        </w:rPr>
      </w:pPr>
      <w:r w:rsidRPr="00327AD4">
        <w:rPr>
          <w:rFonts w:ascii="Arial" w:hAnsi="Arial" w:cs="Arial"/>
          <w:spacing w:val="-4"/>
          <w:sz w:val="24"/>
          <w:szCs w:val="24"/>
          <w:lang w:eastAsia="es-CO"/>
        </w:rPr>
        <w:t>Los Magistrados</w:t>
      </w:r>
      <w:r w:rsidRPr="00D33656">
        <w:rPr>
          <w:rFonts w:ascii="Arial" w:hAnsi="Arial" w:cs="Arial"/>
          <w:spacing w:val="-4"/>
          <w:sz w:val="24"/>
          <w:szCs w:val="24"/>
          <w:lang w:eastAsia="es-CO"/>
        </w:rPr>
        <w:t>,</w:t>
      </w:r>
    </w:p>
    <w:p w14:paraId="6D6B727C" w14:textId="77777777" w:rsidR="00D33656" w:rsidRPr="00D33656" w:rsidRDefault="00D33656" w:rsidP="000958C4">
      <w:pPr>
        <w:widowControl w:val="0"/>
        <w:suppressAutoHyphens w:val="0"/>
        <w:autoSpaceDE w:val="0"/>
        <w:autoSpaceDN w:val="0"/>
        <w:adjustRightInd w:val="0"/>
        <w:spacing w:line="276" w:lineRule="auto"/>
        <w:rPr>
          <w:rFonts w:ascii="Arial" w:eastAsia="Calibri" w:hAnsi="Arial" w:cs="Arial"/>
          <w:b/>
          <w:sz w:val="24"/>
          <w:szCs w:val="24"/>
          <w:lang w:val="es-CO" w:eastAsia="en-US"/>
        </w:rPr>
      </w:pPr>
    </w:p>
    <w:p w14:paraId="4E13E014" w14:textId="77777777" w:rsidR="00D33656" w:rsidRPr="00D33656" w:rsidRDefault="00D33656" w:rsidP="000958C4">
      <w:pPr>
        <w:widowControl w:val="0"/>
        <w:suppressAutoHyphens w:val="0"/>
        <w:autoSpaceDE w:val="0"/>
        <w:autoSpaceDN w:val="0"/>
        <w:adjustRightInd w:val="0"/>
        <w:spacing w:line="276" w:lineRule="auto"/>
        <w:rPr>
          <w:rFonts w:ascii="Arial" w:eastAsia="Calibri" w:hAnsi="Arial" w:cs="Arial"/>
          <w:b/>
          <w:sz w:val="24"/>
          <w:szCs w:val="24"/>
          <w:lang w:val="es-CO" w:eastAsia="en-US"/>
        </w:rPr>
      </w:pPr>
    </w:p>
    <w:p w14:paraId="6B8841CB" w14:textId="77777777" w:rsidR="00D33656" w:rsidRPr="00D33656" w:rsidRDefault="00D33656" w:rsidP="000958C4">
      <w:pPr>
        <w:widowControl w:val="0"/>
        <w:suppressAutoHyphens w:val="0"/>
        <w:autoSpaceDE w:val="0"/>
        <w:autoSpaceDN w:val="0"/>
        <w:adjustRightInd w:val="0"/>
        <w:spacing w:line="276" w:lineRule="auto"/>
        <w:rPr>
          <w:rFonts w:ascii="Arial" w:eastAsia="Calibri" w:hAnsi="Arial" w:cs="Arial"/>
          <w:b/>
          <w:sz w:val="24"/>
          <w:szCs w:val="24"/>
          <w:lang w:val="es-CO" w:eastAsia="en-US"/>
        </w:rPr>
      </w:pPr>
    </w:p>
    <w:p w14:paraId="6551037A" w14:textId="77777777" w:rsidR="00D33656" w:rsidRPr="00D33656" w:rsidRDefault="00D33656" w:rsidP="000958C4">
      <w:pPr>
        <w:widowControl w:val="0"/>
        <w:suppressAutoHyphens w:val="0"/>
        <w:autoSpaceDE w:val="0"/>
        <w:autoSpaceDN w:val="0"/>
        <w:adjustRightInd w:val="0"/>
        <w:spacing w:line="276" w:lineRule="auto"/>
        <w:ind w:left="2124" w:firstLine="708"/>
        <w:rPr>
          <w:rFonts w:ascii="Arial" w:eastAsia="Calibri" w:hAnsi="Arial" w:cs="Arial"/>
          <w:b/>
          <w:bCs/>
          <w:sz w:val="24"/>
          <w:szCs w:val="24"/>
          <w:lang w:val="es-CO" w:eastAsia="en-US"/>
        </w:rPr>
      </w:pPr>
      <w:r w:rsidRPr="00D33656">
        <w:rPr>
          <w:rFonts w:ascii="Arial" w:eastAsia="Calibri" w:hAnsi="Arial" w:cs="Arial"/>
          <w:b/>
          <w:bCs/>
          <w:sz w:val="24"/>
          <w:szCs w:val="24"/>
          <w:lang w:val="es-CO" w:eastAsia="en-US"/>
        </w:rPr>
        <w:t>JULIO CÉSAR SALAZAR MUÑOZ</w:t>
      </w:r>
    </w:p>
    <w:p w14:paraId="6FFF4D8A" w14:textId="50BF4A4C" w:rsidR="00D33656" w:rsidRPr="00D33656" w:rsidRDefault="00D33656" w:rsidP="000958C4">
      <w:pPr>
        <w:widowControl w:val="0"/>
        <w:suppressAutoHyphens w:val="0"/>
        <w:autoSpaceDE w:val="0"/>
        <w:autoSpaceDN w:val="0"/>
        <w:adjustRightInd w:val="0"/>
        <w:spacing w:line="276" w:lineRule="auto"/>
        <w:rPr>
          <w:rFonts w:ascii="Arial" w:eastAsia="Calibri" w:hAnsi="Arial" w:cs="Arial"/>
          <w:sz w:val="24"/>
          <w:szCs w:val="24"/>
          <w:lang w:val="es-CO" w:eastAsia="en-US"/>
        </w:rPr>
      </w:pPr>
    </w:p>
    <w:p w14:paraId="304E8864" w14:textId="77777777" w:rsidR="00D33656" w:rsidRPr="00D33656" w:rsidRDefault="00D33656" w:rsidP="000958C4">
      <w:pPr>
        <w:widowControl w:val="0"/>
        <w:suppressAutoHyphens w:val="0"/>
        <w:autoSpaceDE w:val="0"/>
        <w:autoSpaceDN w:val="0"/>
        <w:adjustRightInd w:val="0"/>
        <w:spacing w:line="276" w:lineRule="auto"/>
        <w:rPr>
          <w:rFonts w:ascii="Arial" w:eastAsia="Calibri" w:hAnsi="Arial" w:cs="Arial"/>
          <w:sz w:val="24"/>
          <w:szCs w:val="24"/>
          <w:lang w:val="es-CO" w:eastAsia="en-US"/>
        </w:rPr>
      </w:pPr>
    </w:p>
    <w:p w14:paraId="4FD3357A" w14:textId="77777777" w:rsidR="00D33656" w:rsidRPr="00D33656" w:rsidRDefault="00D33656" w:rsidP="000958C4">
      <w:pPr>
        <w:widowControl w:val="0"/>
        <w:suppressAutoHyphens w:val="0"/>
        <w:autoSpaceDE w:val="0"/>
        <w:autoSpaceDN w:val="0"/>
        <w:adjustRightInd w:val="0"/>
        <w:spacing w:line="276" w:lineRule="auto"/>
        <w:rPr>
          <w:rFonts w:ascii="Arial" w:eastAsia="Calibri" w:hAnsi="Arial" w:cs="Arial"/>
          <w:sz w:val="24"/>
          <w:szCs w:val="24"/>
          <w:lang w:val="es-CO" w:eastAsia="en-US"/>
        </w:rPr>
      </w:pPr>
    </w:p>
    <w:p w14:paraId="1330F2D3" w14:textId="77777777" w:rsidR="00327AD4" w:rsidRPr="00327AD4" w:rsidRDefault="00D33656" w:rsidP="000958C4">
      <w:pPr>
        <w:widowControl w:val="0"/>
        <w:suppressAutoHyphens w:val="0"/>
        <w:autoSpaceDE w:val="0"/>
        <w:autoSpaceDN w:val="0"/>
        <w:adjustRightInd w:val="0"/>
        <w:spacing w:line="276" w:lineRule="auto"/>
        <w:ind w:left="2124" w:firstLine="708"/>
        <w:rPr>
          <w:rFonts w:ascii="Arial" w:eastAsia="Calibri" w:hAnsi="Arial" w:cs="Arial"/>
          <w:b/>
          <w:bCs/>
          <w:sz w:val="24"/>
          <w:szCs w:val="24"/>
          <w:lang w:val="es-CO" w:eastAsia="en-US"/>
        </w:rPr>
      </w:pPr>
      <w:r w:rsidRPr="00327AD4">
        <w:rPr>
          <w:rFonts w:ascii="Arial" w:eastAsia="Calibri" w:hAnsi="Arial" w:cs="Arial"/>
          <w:b/>
          <w:bCs/>
          <w:sz w:val="24"/>
          <w:szCs w:val="24"/>
          <w:lang w:val="es-CO" w:eastAsia="en-US"/>
        </w:rPr>
        <w:t>JAIME ALBERTO SARAZA NARAN</w:t>
      </w:r>
      <w:r w:rsidR="00327AD4" w:rsidRPr="00327AD4">
        <w:rPr>
          <w:rFonts w:ascii="Arial" w:eastAsia="Calibri" w:hAnsi="Arial" w:cs="Arial"/>
          <w:b/>
          <w:bCs/>
          <w:sz w:val="24"/>
          <w:szCs w:val="24"/>
          <w:lang w:val="es-CO" w:eastAsia="en-US"/>
        </w:rPr>
        <w:t>JO</w:t>
      </w:r>
    </w:p>
    <w:p w14:paraId="513E8659" w14:textId="20733F36" w:rsidR="00327AD4" w:rsidRPr="00327AD4" w:rsidRDefault="00327AD4" w:rsidP="000958C4">
      <w:pPr>
        <w:widowControl w:val="0"/>
        <w:suppressAutoHyphens w:val="0"/>
        <w:autoSpaceDE w:val="0"/>
        <w:autoSpaceDN w:val="0"/>
        <w:adjustRightInd w:val="0"/>
        <w:spacing w:line="276" w:lineRule="auto"/>
        <w:rPr>
          <w:rFonts w:ascii="Arial" w:eastAsia="Calibri" w:hAnsi="Arial" w:cs="Arial"/>
          <w:bCs/>
          <w:sz w:val="24"/>
          <w:szCs w:val="24"/>
          <w:lang w:val="es-CO" w:eastAsia="en-US"/>
        </w:rPr>
      </w:pPr>
    </w:p>
    <w:p w14:paraId="004CACD3" w14:textId="77777777" w:rsidR="00327AD4" w:rsidRPr="00327AD4" w:rsidRDefault="00327AD4" w:rsidP="000958C4">
      <w:pPr>
        <w:widowControl w:val="0"/>
        <w:suppressAutoHyphens w:val="0"/>
        <w:autoSpaceDE w:val="0"/>
        <w:autoSpaceDN w:val="0"/>
        <w:adjustRightInd w:val="0"/>
        <w:spacing w:line="276" w:lineRule="auto"/>
        <w:rPr>
          <w:rFonts w:ascii="Arial" w:eastAsia="Calibri" w:hAnsi="Arial" w:cs="Arial"/>
          <w:bCs/>
          <w:sz w:val="24"/>
          <w:szCs w:val="24"/>
          <w:lang w:val="es-CO" w:eastAsia="en-US"/>
        </w:rPr>
      </w:pPr>
    </w:p>
    <w:p w14:paraId="4531BED8" w14:textId="77777777" w:rsidR="00327AD4" w:rsidRPr="00327AD4" w:rsidRDefault="00327AD4" w:rsidP="000958C4">
      <w:pPr>
        <w:widowControl w:val="0"/>
        <w:suppressAutoHyphens w:val="0"/>
        <w:autoSpaceDE w:val="0"/>
        <w:autoSpaceDN w:val="0"/>
        <w:adjustRightInd w:val="0"/>
        <w:spacing w:line="276" w:lineRule="auto"/>
        <w:rPr>
          <w:rFonts w:ascii="Arial" w:eastAsia="Calibri" w:hAnsi="Arial" w:cs="Arial"/>
          <w:bCs/>
          <w:sz w:val="24"/>
          <w:szCs w:val="24"/>
          <w:lang w:val="es-CO" w:eastAsia="en-US"/>
        </w:rPr>
      </w:pPr>
    </w:p>
    <w:p w14:paraId="637805D2" w14:textId="3B53B352" w:rsidR="007A0485" w:rsidRPr="00327AD4" w:rsidRDefault="00327AD4" w:rsidP="000958C4">
      <w:pPr>
        <w:widowControl w:val="0"/>
        <w:suppressAutoHyphens w:val="0"/>
        <w:autoSpaceDE w:val="0"/>
        <w:autoSpaceDN w:val="0"/>
        <w:adjustRightInd w:val="0"/>
        <w:spacing w:line="276" w:lineRule="auto"/>
        <w:ind w:left="2124" w:firstLine="708"/>
        <w:rPr>
          <w:rFonts w:ascii="Arial" w:hAnsi="Arial" w:cs="Arial"/>
          <w:bCs/>
          <w:sz w:val="24"/>
          <w:szCs w:val="24"/>
          <w:lang w:val="es-ES_tradnl" w:eastAsia="en-US"/>
        </w:rPr>
      </w:pPr>
      <w:r w:rsidRPr="00327AD4">
        <w:rPr>
          <w:rFonts w:ascii="Arial" w:eastAsia="Calibri" w:hAnsi="Arial" w:cs="Arial"/>
          <w:b/>
          <w:bCs/>
          <w:sz w:val="24"/>
          <w:szCs w:val="24"/>
          <w:lang w:val="es-CO" w:eastAsia="en-US"/>
        </w:rPr>
        <w:t>MANUEL ANTONIO YARZAGARAY B</w:t>
      </w:r>
      <w:bookmarkEnd w:id="3"/>
      <w:r w:rsidR="002157D5">
        <w:rPr>
          <w:rFonts w:ascii="Arial" w:eastAsia="Calibri" w:hAnsi="Arial" w:cs="Arial"/>
          <w:b/>
          <w:bCs/>
          <w:sz w:val="24"/>
          <w:szCs w:val="24"/>
          <w:lang w:val="es-CO" w:eastAsia="en-US"/>
        </w:rPr>
        <w:t>ANDERA</w:t>
      </w:r>
    </w:p>
    <w:sectPr w:rsidR="007A0485" w:rsidRPr="00327AD4" w:rsidSect="009277C3">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8720"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85C7C8" w16cex:dateUtc="2023-04-24T21:22:29.538Z"/>
  <w16cex:commentExtensible w16cex:durableId="12260182" w16cex:dateUtc="2023-04-24T21:23:21.764Z"/>
  <w16cex:commentExtensible w16cex:durableId="71B022BB" w16cex:dateUtc="2023-04-25T14:36:31.1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C34AC" w14:textId="77777777" w:rsidR="0070440D" w:rsidRDefault="0070440D">
      <w:r>
        <w:separator/>
      </w:r>
    </w:p>
  </w:endnote>
  <w:endnote w:type="continuationSeparator" w:id="0">
    <w:p w14:paraId="481CA4C8" w14:textId="77777777" w:rsidR="0070440D" w:rsidRDefault="007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Condensed">
    <w:altName w:val="Arial Unicode MS"/>
    <w:charset w:val="00"/>
    <w:family w:val="swiss"/>
    <w:pitch w:val="variable"/>
    <w:sig w:usb0="E7001EFF" w:usb1="5200F5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ACA" w14:textId="77777777" w:rsidR="0017624E" w:rsidRDefault="001762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C009" w14:textId="77777777" w:rsidR="0017624E" w:rsidRDefault="001762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CC6F"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E2C7" w14:textId="77777777" w:rsidR="0070440D" w:rsidRDefault="0070440D">
      <w:r>
        <w:separator/>
      </w:r>
    </w:p>
  </w:footnote>
  <w:footnote w:type="continuationSeparator" w:id="0">
    <w:p w14:paraId="3B0D1A8A" w14:textId="77777777" w:rsidR="0070440D" w:rsidRDefault="0070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8341" w14:textId="77777777" w:rsidR="0017624E" w:rsidRDefault="001762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91C2" w14:textId="257E2FCF" w:rsidR="00AA63F5" w:rsidRPr="00EB6EE3" w:rsidRDefault="0009413A">
    <w:pPr>
      <w:pStyle w:val="Ttulo1"/>
      <w:numPr>
        <w:ilvl w:val="0"/>
        <w:numId w:val="0"/>
      </w:numPr>
      <w:spacing w:before="0" w:after="0"/>
      <w:ind w:left="2160"/>
      <w:jc w:val="right"/>
      <w:rPr>
        <w:rFonts w:cs="Arial"/>
        <w:b w:val="0"/>
        <w:sz w:val="16"/>
        <w:szCs w:val="16"/>
      </w:rPr>
    </w:pPr>
    <w:bookmarkStart w:id="4" w:name="OLE_LINK10"/>
    <w:r>
      <w:rPr>
        <w:rFonts w:cs="Arial"/>
        <w:b w:val="0"/>
        <w:sz w:val="16"/>
        <w:szCs w:val="16"/>
      </w:rPr>
      <w:t>Conflicto de competencia</w:t>
    </w:r>
  </w:p>
  <w:p w14:paraId="2DC1A918" w14:textId="1B712E51" w:rsidR="00AA63F5" w:rsidRPr="00EB6EE3" w:rsidRDefault="0009413A">
    <w:pPr>
      <w:jc w:val="right"/>
      <w:rPr>
        <w:rFonts w:ascii="Arial" w:hAnsi="Arial" w:cs="Arial"/>
        <w:sz w:val="16"/>
        <w:szCs w:val="16"/>
        <w:lang w:val="es-ES_tradnl"/>
      </w:rPr>
    </w:pPr>
    <w:r w:rsidRPr="00EB6EE3">
      <w:rPr>
        <w:rFonts w:ascii="Arial" w:hAnsi="Arial" w:cs="Arial"/>
        <w:sz w:val="16"/>
        <w:szCs w:val="16"/>
        <w:lang w:val="es-ES_tradnl"/>
      </w:rPr>
      <w:t>Rad</w:t>
    </w:r>
    <w:r w:rsidR="00AA63F5" w:rsidRPr="00EB6EE3">
      <w:rPr>
        <w:rFonts w:ascii="Arial" w:hAnsi="Arial" w:cs="Arial"/>
        <w:sz w:val="16"/>
        <w:szCs w:val="16"/>
        <w:lang w:val="es-ES_tradnl"/>
      </w:rPr>
      <w:t xml:space="preserve">. </w:t>
    </w:r>
    <w:r w:rsidR="00AA63F5">
      <w:rPr>
        <w:rFonts w:ascii="Arial" w:hAnsi="Arial" w:cs="Arial"/>
        <w:sz w:val="16"/>
        <w:szCs w:val="16"/>
        <w:lang w:val="es-ES_tradnl"/>
      </w:rPr>
      <w:t>66001</w:t>
    </w:r>
    <w:r w:rsidR="0017624E">
      <w:rPr>
        <w:rFonts w:ascii="Arial" w:hAnsi="Arial" w:cs="Arial"/>
        <w:sz w:val="16"/>
        <w:szCs w:val="16"/>
        <w:lang w:val="es-ES_tradnl"/>
      </w:rPr>
      <w:t>-</w:t>
    </w:r>
    <w:r w:rsidR="00AA63F5">
      <w:rPr>
        <w:rFonts w:ascii="Arial" w:hAnsi="Arial" w:cs="Arial"/>
        <w:sz w:val="16"/>
        <w:szCs w:val="16"/>
        <w:lang w:val="es-ES_tradnl"/>
      </w:rPr>
      <w:t>2</w:t>
    </w:r>
    <w:bookmarkStart w:id="5" w:name="_GoBack"/>
    <w:bookmarkEnd w:id="5"/>
    <w:r w:rsidR="00AA63F5">
      <w:rPr>
        <w:rFonts w:ascii="Arial" w:hAnsi="Arial" w:cs="Arial"/>
        <w:sz w:val="16"/>
        <w:szCs w:val="16"/>
        <w:lang w:val="es-ES_tradnl"/>
      </w:rPr>
      <w:t>2</w:t>
    </w:r>
    <w:r w:rsidR="0017624E">
      <w:rPr>
        <w:rFonts w:ascii="Arial" w:hAnsi="Arial" w:cs="Arial"/>
        <w:sz w:val="16"/>
        <w:szCs w:val="16"/>
        <w:lang w:val="es-ES_tradnl"/>
      </w:rPr>
      <w:t>-</w:t>
    </w:r>
    <w:r w:rsidR="00AA63F5">
      <w:rPr>
        <w:rFonts w:ascii="Arial" w:hAnsi="Arial" w:cs="Arial"/>
        <w:sz w:val="16"/>
        <w:szCs w:val="16"/>
        <w:lang w:val="es-ES_tradnl"/>
      </w:rPr>
      <w:t>18</w:t>
    </w:r>
    <w:r w:rsidR="0017624E">
      <w:rPr>
        <w:rFonts w:ascii="Arial" w:hAnsi="Arial" w:cs="Arial"/>
        <w:sz w:val="16"/>
        <w:szCs w:val="16"/>
        <w:lang w:val="es-ES_tradnl"/>
      </w:rPr>
      <w:t>-</w:t>
    </w:r>
    <w:r w:rsidR="00AA63F5">
      <w:rPr>
        <w:rFonts w:ascii="Arial" w:hAnsi="Arial" w:cs="Arial"/>
        <w:sz w:val="16"/>
        <w:szCs w:val="16"/>
        <w:lang w:val="es-ES_tradnl"/>
      </w:rPr>
      <w:t>000</w:t>
    </w:r>
    <w:r w:rsidR="0017624E">
      <w:rPr>
        <w:rFonts w:ascii="Arial" w:hAnsi="Arial" w:cs="Arial"/>
        <w:sz w:val="16"/>
        <w:szCs w:val="16"/>
        <w:lang w:val="es-ES_tradnl"/>
      </w:rPr>
      <w:t>-</w:t>
    </w:r>
    <w:r w:rsidR="00AA63F5">
      <w:rPr>
        <w:rFonts w:ascii="Arial" w:hAnsi="Arial" w:cs="Arial"/>
        <w:sz w:val="16"/>
        <w:szCs w:val="16"/>
        <w:lang w:val="es-ES_tradnl"/>
      </w:rPr>
      <w:t>2023</w:t>
    </w:r>
    <w:r w:rsidR="0017624E">
      <w:rPr>
        <w:rFonts w:ascii="Arial" w:hAnsi="Arial" w:cs="Arial"/>
        <w:sz w:val="16"/>
        <w:szCs w:val="16"/>
        <w:lang w:val="es-ES_tradnl"/>
      </w:rPr>
      <w:t>-</w:t>
    </w:r>
    <w:r w:rsidR="00AA63F5">
      <w:rPr>
        <w:rFonts w:ascii="Arial" w:hAnsi="Arial" w:cs="Arial"/>
        <w:sz w:val="16"/>
        <w:szCs w:val="16"/>
        <w:lang w:val="es-ES_tradnl"/>
      </w:rPr>
      <w:t>00002</w:t>
    </w:r>
    <w:r w:rsidR="0017624E">
      <w:rPr>
        <w:rFonts w:ascii="Arial" w:hAnsi="Arial" w:cs="Arial"/>
        <w:sz w:val="16"/>
        <w:szCs w:val="16"/>
        <w:lang w:val="es-ES_tradnl"/>
      </w:rPr>
      <w:t>-</w:t>
    </w:r>
    <w:r w:rsidR="00AA63F5">
      <w:rPr>
        <w:rFonts w:ascii="Arial" w:hAnsi="Arial" w:cs="Arial"/>
        <w:sz w:val="16"/>
        <w:szCs w:val="16"/>
        <w:lang w:val="es-ES_tradnl"/>
      </w:rPr>
      <w:t>00</w:t>
    </w:r>
  </w:p>
  <w:p w14:paraId="4DC54ADF" w14:textId="32CF640A" w:rsidR="00AA63F5" w:rsidRDefault="0009413A">
    <w:pPr>
      <w:jc w:val="right"/>
      <w:rPr>
        <w:rFonts w:ascii="Arial" w:hAnsi="Arial" w:cs="Arial"/>
        <w:sz w:val="16"/>
        <w:szCs w:val="16"/>
        <w:lang w:val="es-ES_tradnl"/>
      </w:rPr>
    </w:pPr>
    <w:r w:rsidRPr="00EB6EE3">
      <w:rPr>
        <w:rFonts w:ascii="Arial" w:hAnsi="Arial" w:cs="Arial"/>
        <w:sz w:val="16"/>
        <w:szCs w:val="16"/>
        <w:lang w:val="es-ES_tradnl"/>
      </w:rPr>
      <w:t>Accionante</w:t>
    </w:r>
    <w:r w:rsidR="00AA63F5" w:rsidRPr="00EB6EE3">
      <w:rPr>
        <w:rFonts w:ascii="Arial" w:hAnsi="Arial" w:cs="Arial"/>
        <w:sz w:val="16"/>
        <w:szCs w:val="16"/>
        <w:lang w:val="es-ES_tradnl"/>
      </w:rPr>
      <w:t xml:space="preserve">: </w:t>
    </w:r>
    <w:r w:rsidR="00AA63F5">
      <w:rPr>
        <w:rFonts w:ascii="Arial" w:hAnsi="Arial" w:cs="Arial"/>
        <w:sz w:val="16"/>
        <w:szCs w:val="16"/>
        <w:lang w:val="es-ES_tradnl"/>
      </w:rPr>
      <w:t>Natalia Milena Escobar Marulanda</w:t>
    </w:r>
  </w:p>
  <w:p w14:paraId="17AD93B2" w14:textId="13FD9089" w:rsidR="00AA63F5" w:rsidRPr="00EB6EE3" w:rsidRDefault="0009413A" w:rsidP="00FC1B91">
    <w:pPr>
      <w:jc w:val="right"/>
      <w:rPr>
        <w:rFonts w:ascii="Arial" w:hAnsi="Arial" w:cs="Arial"/>
        <w:sz w:val="16"/>
        <w:szCs w:val="16"/>
        <w:lang w:val="es-ES_tradnl"/>
      </w:rPr>
    </w:pPr>
    <w:r>
      <w:rPr>
        <w:rFonts w:ascii="Arial" w:hAnsi="Arial" w:cs="Arial"/>
        <w:sz w:val="16"/>
        <w:szCs w:val="16"/>
        <w:lang w:val="es-ES_tradnl"/>
      </w:rPr>
      <w:t>Accionados</w:t>
    </w:r>
    <w:r w:rsidR="00AA63F5">
      <w:rPr>
        <w:rFonts w:ascii="Arial" w:hAnsi="Arial" w:cs="Arial"/>
        <w:sz w:val="16"/>
        <w:szCs w:val="16"/>
        <w:lang w:val="es-ES_tradnl"/>
      </w:rPr>
      <w:t>: Comisión Nacional del Servicio Civil -CNSC- y otra</w:t>
    </w:r>
  </w:p>
  <w:bookmarkEnd w:i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D175" w14:textId="77777777" w:rsidR="0017624E" w:rsidRDefault="001762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pStyle w:val="Ttulo3"/>
      <w:suff w:val="nothing"/>
      <w:lvlText w:val=""/>
      <w:lvlJc w:val="left"/>
      <w:pPr>
        <w:tabs>
          <w:tab w:val="num" w:pos="0"/>
        </w:tabs>
        <w:ind w:left="2160" w:firstLine="0"/>
      </w:pPr>
    </w:lvl>
    <w:lvl w:ilvl="3">
      <w:start w:val="1"/>
      <w:numFmt w:val="none"/>
      <w:pStyle w:val="Ttulo4"/>
      <w:suff w:val="nothing"/>
      <w:lvlText w:val=""/>
      <w:lvlJc w:val="left"/>
      <w:pPr>
        <w:tabs>
          <w:tab w:val="num" w:pos="0"/>
        </w:tabs>
        <w:ind w:left="2160" w:firstLine="0"/>
      </w:pPr>
    </w:lvl>
    <w:lvl w:ilvl="4">
      <w:start w:val="1"/>
      <w:numFmt w:val="none"/>
      <w:pStyle w:val="Ttulo5"/>
      <w:suff w:val="nothing"/>
      <w:lvlText w:val=""/>
      <w:lvlJc w:val="left"/>
      <w:pPr>
        <w:tabs>
          <w:tab w:val="num" w:pos="0"/>
        </w:tabs>
        <w:ind w:left="2160" w:firstLine="0"/>
      </w:pPr>
    </w:lvl>
    <w:lvl w:ilvl="5">
      <w:start w:val="1"/>
      <w:numFmt w:val="none"/>
      <w:suff w:val="nothing"/>
      <w:lvlText w:val=""/>
      <w:lvlJc w:val="left"/>
      <w:pPr>
        <w:tabs>
          <w:tab w:val="num" w:pos="0"/>
        </w:tabs>
        <w:ind w:left="2160" w:firstLine="0"/>
      </w:pPr>
    </w:lvl>
    <w:lvl w:ilvl="6">
      <w:start w:val="1"/>
      <w:numFmt w:val="none"/>
      <w:suff w:val="nothing"/>
      <w:lvlText w:val=""/>
      <w:lvlJc w:val="left"/>
      <w:pPr>
        <w:tabs>
          <w:tab w:val="num" w:pos="0"/>
        </w:tabs>
        <w:ind w:left="2160" w:firstLine="0"/>
      </w:pPr>
    </w:lvl>
    <w:lvl w:ilvl="7">
      <w:start w:val="1"/>
      <w:numFmt w:val="none"/>
      <w:suff w:val="nothing"/>
      <w:lvlText w:val=""/>
      <w:lvlJc w:val="left"/>
      <w:pPr>
        <w:tabs>
          <w:tab w:val="num" w:pos="0"/>
        </w:tabs>
        <w:ind w:left="2160" w:firstLine="0"/>
      </w:pPr>
    </w:lvl>
    <w:lvl w:ilvl="8">
      <w:start w:val="1"/>
      <w:numFmt w:val="none"/>
      <w:suff w:val="nothing"/>
      <w:lvlText w:val=""/>
      <w:lvlJc w:val="left"/>
      <w:pPr>
        <w:tabs>
          <w:tab w:val="num" w:pos="0"/>
        </w:tabs>
        <w:ind w:left="2160" w:firstLine="0"/>
      </w:pPr>
    </w:lvl>
  </w:abstractNum>
  <w:abstractNum w:abstractNumId="1" w15:restartNumberingAfterBreak="0">
    <w:nsid w:val="036F699D"/>
    <w:multiLevelType w:val="multilevel"/>
    <w:tmpl w:val="3258BB2C"/>
    <w:lvl w:ilvl="0">
      <w:start w:val="1"/>
      <w:numFmt w:val="decimal"/>
      <w:lvlText w:val="%1."/>
      <w:lvlJc w:val="left"/>
      <w:rPr>
        <w:rFonts w:cs="Times New Roman"/>
        <w:b w:val="0"/>
        <w:i w:val="0"/>
        <w:sz w:val="28"/>
        <w:szCs w:val="28"/>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27191F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E15D02"/>
    <w:multiLevelType w:val="hybridMultilevel"/>
    <w:tmpl w:val="D46CE6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95D513F"/>
    <w:multiLevelType w:val="hybridMultilevel"/>
    <w:tmpl w:val="57E6A3E0"/>
    <w:lvl w:ilvl="0" w:tplc="53CE810E">
      <w:start w:val="1"/>
      <w:numFmt w:val="lowerRoman"/>
      <w:lvlText w:val="(%1)"/>
      <w:lvlJc w:val="left"/>
      <w:pPr>
        <w:ind w:left="720" w:hanging="720"/>
      </w:pPr>
      <w:rPr>
        <w:rFonts w:cs="Times New Roman" w:hint="default"/>
        <w:b/>
      </w:rPr>
    </w:lvl>
    <w:lvl w:ilvl="1" w:tplc="4908080C">
      <w:start w:val="1"/>
      <w:numFmt w:val="lowerRoman"/>
      <w:lvlText w:val="%2."/>
      <w:lvlJc w:val="left"/>
      <w:pPr>
        <w:ind w:left="1440" w:hanging="720"/>
      </w:pPr>
      <w:rPr>
        <w:rFonts w:cs="Times New Roman" w:hint="default"/>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E3"/>
    <w:rsid w:val="00003754"/>
    <w:rsid w:val="00006606"/>
    <w:rsid w:val="000211D0"/>
    <w:rsid w:val="00036DBC"/>
    <w:rsid w:val="0009413A"/>
    <w:rsid w:val="000958C4"/>
    <w:rsid w:val="000E761B"/>
    <w:rsid w:val="00162007"/>
    <w:rsid w:val="00174AFE"/>
    <w:rsid w:val="0017624E"/>
    <w:rsid w:val="00191ED1"/>
    <w:rsid w:val="001A2C61"/>
    <w:rsid w:val="001C39D0"/>
    <w:rsid w:val="001E4D9B"/>
    <w:rsid w:val="002157D5"/>
    <w:rsid w:val="00232335"/>
    <w:rsid w:val="002334E1"/>
    <w:rsid w:val="00236A1E"/>
    <w:rsid w:val="00247A42"/>
    <w:rsid w:val="0027624C"/>
    <w:rsid w:val="00285AAD"/>
    <w:rsid w:val="002C677C"/>
    <w:rsid w:val="002C740C"/>
    <w:rsid w:val="002D624A"/>
    <w:rsid w:val="00306F84"/>
    <w:rsid w:val="00327AD4"/>
    <w:rsid w:val="00344213"/>
    <w:rsid w:val="003A6C55"/>
    <w:rsid w:val="003B02AA"/>
    <w:rsid w:val="003B705C"/>
    <w:rsid w:val="003E2A84"/>
    <w:rsid w:val="00404E42"/>
    <w:rsid w:val="00411A40"/>
    <w:rsid w:val="004A0B45"/>
    <w:rsid w:val="004A5AD5"/>
    <w:rsid w:val="004B672F"/>
    <w:rsid w:val="004D51AD"/>
    <w:rsid w:val="004E0A15"/>
    <w:rsid w:val="004F1D44"/>
    <w:rsid w:val="005013C9"/>
    <w:rsid w:val="00513082"/>
    <w:rsid w:val="0055550E"/>
    <w:rsid w:val="00566B01"/>
    <w:rsid w:val="005A5826"/>
    <w:rsid w:val="005C4F94"/>
    <w:rsid w:val="005D4EFA"/>
    <w:rsid w:val="00600D95"/>
    <w:rsid w:val="00605671"/>
    <w:rsid w:val="0061520B"/>
    <w:rsid w:val="00630B9D"/>
    <w:rsid w:val="00632D4D"/>
    <w:rsid w:val="006852DF"/>
    <w:rsid w:val="006B6962"/>
    <w:rsid w:val="0070440D"/>
    <w:rsid w:val="00733FEF"/>
    <w:rsid w:val="00734381"/>
    <w:rsid w:val="007379AA"/>
    <w:rsid w:val="007418E2"/>
    <w:rsid w:val="007472FE"/>
    <w:rsid w:val="00763971"/>
    <w:rsid w:val="00765D90"/>
    <w:rsid w:val="007711B6"/>
    <w:rsid w:val="00794E6A"/>
    <w:rsid w:val="007A0485"/>
    <w:rsid w:val="007E424B"/>
    <w:rsid w:val="008231BA"/>
    <w:rsid w:val="0082518E"/>
    <w:rsid w:val="00826B8F"/>
    <w:rsid w:val="008806B6"/>
    <w:rsid w:val="00882736"/>
    <w:rsid w:val="008A7BA0"/>
    <w:rsid w:val="008D459E"/>
    <w:rsid w:val="008E4621"/>
    <w:rsid w:val="008F3CCD"/>
    <w:rsid w:val="00921220"/>
    <w:rsid w:val="009277C3"/>
    <w:rsid w:val="00947274"/>
    <w:rsid w:val="00947D96"/>
    <w:rsid w:val="00971C37"/>
    <w:rsid w:val="0098088A"/>
    <w:rsid w:val="009D1BF7"/>
    <w:rsid w:val="00A20BD6"/>
    <w:rsid w:val="00A25186"/>
    <w:rsid w:val="00A47FD6"/>
    <w:rsid w:val="00A53EA1"/>
    <w:rsid w:val="00A80CA3"/>
    <w:rsid w:val="00AA1BBA"/>
    <w:rsid w:val="00AA63F5"/>
    <w:rsid w:val="00AE73E6"/>
    <w:rsid w:val="00AF56D3"/>
    <w:rsid w:val="00B22A18"/>
    <w:rsid w:val="00B40497"/>
    <w:rsid w:val="00B42AA2"/>
    <w:rsid w:val="00B43C14"/>
    <w:rsid w:val="00BA53A0"/>
    <w:rsid w:val="00BC0251"/>
    <w:rsid w:val="00BC5D6B"/>
    <w:rsid w:val="00C37191"/>
    <w:rsid w:val="00C5447F"/>
    <w:rsid w:val="00C57F79"/>
    <w:rsid w:val="00C623F1"/>
    <w:rsid w:val="00C82C9D"/>
    <w:rsid w:val="00C96B2E"/>
    <w:rsid w:val="00CA6532"/>
    <w:rsid w:val="00CC2256"/>
    <w:rsid w:val="00CC67CA"/>
    <w:rsid w:val="00D27BCA"/>
    <w:rsid w:val="00D33656"/>
    <w:rsid w:val="00D42663"/>
    <w:rsid w:val="00D546EF"/>
    <w:rsid w:val="00D5680E"/>
    <w:rsid w:val="00D710C6"/>
    <w:rsid w:val="00DA6F1D"/>
    <w:rsid w:val="00DB0C26"/>
    <w:rsid w:val="00DB24AA"/>
    <w:rsid w:val="00DB50B7"/>
    <w:rsid w:val="00E455DC"/>
    <w:rsid w:val="00E7450E"/>
    <w:rsid w:val="00EB6EE3"/>
    <w:rsid w:val="00EB7280"/>
    <w:rsid w:val="00ED1372"/>
    <w:rsid w:val="00EE4664"/>
    <w:rsid w:val="00F16FB9"/>
    <w:rsid w:val="00F17070"/>
    <w:rsid w:val="00FB15E2"/>
    <w:rsid w:val="00FC1B91"/>
    <w:rsid w:val="00FD01ED"/>
    <w:rsid w:val="00FE35A5"/>
    <w:rsid w:val="037B0EDA"/>
    <w:rsid w:val="0CC3F8E9"/>
    <w:rsid w:val="0FBA96FD"/>
    <w:rsid w:val="1022AF97"/>
    <w:rsid w:val="120ECE77"/>
    <w:rsid w:val="1512B007"/>
    <w:rsid w:val="15AD2282"/>
    <w:rsid w:val="16AE8068"/>
    <w:rsid w:val="16EAD006"/>
    <w:rsid w:val="1852D6D3"/>
    <w:rsid w:val="188CB190"/>
    <w:rsid w:val="1963F899"/>
    <w:rsid w:val="1996C870"/>
    <w:rsid w:val="1EDBFB3F"/>
    <w:rsid w:val="1FA0200F"/>
    <w:rsid w:val="1FC9466D"/>
    <w:rsid w:val="1FEC21BD"/>
    <w:rsid w:val="21A97D91"/>
    <w:rsid w:val="239B13C5"/>
    <w:rsid w:val="24677AB8"/>
    <w:rsid w:val="24F7B47A"/>
    <w:rsid w:val="2782AF7B"/>
    <w:rsid w:val="2A19740E"/>
    <w:rsid w:val="2C280D08"/>
    <w:rsid w:val="2E5461EA"/>
    <w:rsid w:val="2ED0098B"/>
    <w:rsid w:val="30818453"/>
    <w:rsid w:val="30832805"/>
    <w:rsid w:val="3291D8DB"/>
    <w:rsid w:val="32F9D78D"/>
    <w:rsid w:val="3371DE48"/>
    <w:rsid w:val="33BD8FC4"/>
    <w:rsid w:val="34BAF84E"/>
    <w:rsid w:val="38D8756A"/>
    <w:rsid w:val="3B624E70"/>
    <w:rsid w:val="3B7DD3E2"/>
    <w:rsid w:val="3D494DDD"/>
    <w:rsid w:val="4006FC01"/>
    <w:rsid w:val="40798792"/>
    <w:rsid w:val="40D677EE"/>
    <w:rsid w:val="4164325E"/>
    <w:rsid w:val="421F786D"/>
    <w:rsid w:val="4856085E"/>
    <w:rsid w:val="48849977"/>
    <w:rsid w:val="49685A9D"/>
    <w:rsid w:val="4AADB3F4"/>
    <w:rsid w:val="5047F1E6"/>
    <w:rsid w:val="50FD7C80"/>
    <w:rsid w:val="51111537"/>
    <w:rsid w:val="5125D90E"/>
    <w:rsid w:val="5218D3DA"/>
    <w:rsid w:val="55BBE165"/>
    <w:rsid w:val="5609B4F1"/>
    <w:rsid w:val="5618D1C1"/>
    <w:rsid w:val="565C6F18"/>
    <w:rsid w:val="573196C1"/>
    <w:rsid w:val="5931D196"/>
    <w:rsid w:val="5CAB352B"/>
    <w:rsid w:val="5CF5B8C6"/>
    <w:rsid w:val="5EFDBC1C"/>
    <w:rsid w:val="5FA2320C"/>
    <w:rsid w:val="6104D155"/>
    <w:rsid w:val="61C81BEC"/>
    <w:rsid w:val="622CA60A"/>
    <w:rsid w:val="62DF1290"/>
    <w:rsid w:val="65517BE1"/>
    <w:rsid w:val="6723C1D0"/>
    <w:rsid w:val="67E3E015"/>
    <w:rsid w:val="68822EE7"/>
    <w:rsid w:val="689A5785"/>
    <w:rsid w:val="6A7FC6F6"/>
    <w:rsid w:val="6D8351CB"/>
    <w:rsid w:val="6E23124B"/>
    <w:rsid w:val="715AB30D"/>
    <w:rsid w:val="72328F8C"/>
    <w:rsid w:val="740BAA8E"/>
    <w:rsid w:val="756352F1"/>
    <w:rsid w:val="782F440B"/>
    <w:rsid w:val="786E1088"/>
    <w:rsid w:val="7890D676"/>
    <w:rsid w:val="7C82DCA5"/>
    <w:rsid w:val="7E25C806"/>
    <w:rsid w:val="7F1E9D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D987"/>
  <w15:chartTrackingRefBased/>
  <w15:docId w15:val="{970A7B0E-2EE3-42A9-8C46-F3FE5D8A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lang w:val="es-ES" w:eastAsia="ar-SA"/>
    </w:rPr>
  </w:style>
  <w:style w:type="paragraph" w:styleId="Ttulo1">
    <w:name w:val="heading 1"/>
    <w:basedOn w:val="Normal"/>
    <w:next w:val="Normal"/>
    <w:qFormat/>
    <w:pPr>
      <w:keepNext/>
      <w:widowControl w:val="0"/>
      <w:numPr>
        <w:numId w:val="1"/>
      </w:numPr>
      <w:spacing w:before="240" w:after="60"/>
      <w:outlineLvl w:val="0"/>
    </w:pPr>
    <w:rPr>
      <w:rFonts w:ascii="Arial" w:hAnsi="Arial"/>
      <w:b/>
      <w:kern w:val="1"/>
      <w:sz w:val="28"/>
      <w:lang w:val="es-ES_tradnl"/>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8">
    <w:name w:val="heading 8"/>
    <w:basedOn w:val="Normal"/>
    <w:next w:val="Normal"/>
    <w:qFormat/>
    <w:pPr>
      <w:keepNext/>
      <w:suppressAutoHyphens w:val="0"/>
      <w:snapToGrid w:val="0"/>
      <w:spacing w:line="360" w:lineRule="auto"/>
      <w:jc w:val="both"/>
      <w:outlineLvl w:val="7"/>
    </w:pPr>
    <w:rPr>
      <w:rFonts w:ascii="Arial" w:hAnsi="Arial"/>
      <w:b/>
      <w:i/>
      <w:sz w:val="26"/>
      <w:lang w:val="es-CO" w:eastAsia="es-ES"/>
    </w:rPr>
  </w:style>
  <w:style w:type="paragraph" w:styleId="Ttulo9">
    <w:name w:val="heading 9"/>
    <w:basedOn w:val="Normal"/>
    <w:next w:val="Normal"/>
    <w:qFormat/>
    <w:pPr>
      <w:keepNext/>
      <w:suppressAutoHyphens w:val="0"/>
      <w:ind w:left="2124" w:firstLine="708"/>
      <w:outlineLvl w:val="8"/>
    </w:pPr>
    <w:rPr>
      <w:rFonts w:ascii="Arial" w:hAnsi="Arial"/>
      <w:b/>
      <w:sz w:val="26"/>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DefaultParagraphFont0">
    <w:name w:val="Default Paragraph Font0"/>
    <w:semiHidden/>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Fuentedeprrafopredeter1">
    <w:name w:val="Fuente de párrafo predeter.1"/>
  </w:style>
  <w:style w:type="paragraph" w:styleId="Encabezado">
    <w:name w:val="header"/>
    <w:basedOn w:val="Normal"/>
    <w:next w:val="Textoindependiente"/>
    <w:pPr>
      <w:keepNext/>
      <w:spacing w:before="240" w:after="120"/>
    </w:pPr>
    <w:rPr>
      <w:rFonts w:ascii="Arial" w:eastAsia="MS Mincho" w:hAnsi="Arial" w:cs="MS Mincho"/>
      <w:sz w:val="28"/>
      <w:szCs w:val="28"/>
    </w:rPr>
  </w:style>
  <w:style w:type="paragraph" w:styleId="Textoindependiente">
    <w:name w:val="Body Text"/>
    <w:basedOn w:val="Normal"/>
    <w:pPr>
      <w:spacing w:after="120"/>
    </w:pPr>
  </w:style>
  <w:style w:type="paragraph" w:styleId="Lista">
    <w:name w:val="List"/>
    <w:basedOn w:val="Textoindependiente"/>
    <w:rPr>
      <w:rFonts w:cs="MS Mincho"/>
    </w:rPr>
  </w:style>
  <w:style w:type="paragraph" w:customStyle="1" w:styleId="Etiqueta">
    <w:name w:val="Etiqueta"/>
    <w:basedOn w:val="Normal"/>
    <w:pPr>
      <w:suppressLineNumbers/>
      <w:spacing w:before="120" w:after="120"/>
    </w:pPr>
    <w:rPr>
      <w:rFonts w:cs="MS Mincho"/>
      <w:i/>
      <w:iCs/>
      <w:sz w:val="24"/>
      <w:szCs w:val="24"/>
    </w:rPr>
  </w:style>
  <w:style w:type="paragraph" w:customStyle="1" w:styleId="ndice">
    <w:name w:val="Índice"/>
    <w:basedOn w:val="Normal"/>
    <w:pPr>
      <w:suppressLineNumbers/>
    </w:pPr>
    <w:rPr>
      <w:rFonts w:cs="MS Mincho"/>
    </w:rPr>
  </w:style>
  <w:style w:type="paragraph" w:customStyle="1" w:styleId="Encabezado1">
    <w:name w:val="Encabezado1"/>
    <w:basedOn w:val="Normal"/>
    <w:next w:val="Textoindependiente"/>
    <w:pPr>
      <w:keepNext/>
      <w:spacing w:before="240" w:after="120"/>
    </w:pPr>
    <w:rPr>
      <w:rFonts w:ascii="Arial" w:eastAsia="MS Mincho" w:hAnsi="Arial" w:cs="MS Mincho"/>
      <w:sz w:val="28"/>
      <w:szCs w:val="28"/>
    </w:rPr>
  </w:style>
  <w:style w:type="paragraph" w:styleId="Sangradetextonormal">
    <w:name w:val="Body Text Indent"/>
    <w:basedOn w:val="Normal"/>
    <w:pPr>
      <w:spacing w:line="360" w:lineRule="auto"/>
      <w:ind w:firstLine="1701"/>
      <w:jc w:val="both"/>
    </w:pPr>
    <w:rPr>
      <w:rFonts w:ascii="Arial" w:hAnsi="Arial"/>
      <w:color w:val="000000"/>
      <w:sz w:val="24"/>
    </w:rPr>
  </w:style>
  <w:style w:type="paragraph" w:customStyle="1" w:styleId="Cierre1">
    <w:name w:val="Cierre1"/>
    <w:basedOn w:val="Normal"/>
    <w:pPr>
      <w:ind w:left="4252"/>
    </w:pPr>
  </w:style>
  <w:style w:type="paragraph" w:styleId="Firma">
    <w:name w:val="Signature"/>
    <w:basedOn w:val="Normal"/>
    <w:pPr>
      <w:ind w:left="4252"/>
    </w:pPr>
  </w:style>
  <w:style w:type="paragraph" w:customStyle="1" w:styleId="Firmapuesto">
    <w:name w:val="Firma puesto"/>
    <w:basedOn w:val="Firma"/>
  </w:style>
  <w:style w:type="paragraph" w:customStyle="1" w:styleId="header0">
    <w:name w:val="header0"/>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spacing w:line="360" w:lineRule="auto"/>
      <w:ind w:firstLine="1416"/>
      <w:jc w:val="both"/>
    </w:pPr>
    <w:rPr>
      <w:rFonts w:ascii="DejaVu Sans Condensed" w:hAnsi="DejaVu Sans Condensed" w:cs="DejaVu Sans Condensed"/>
      <w:bCs/>
      <w:i/>
      <w:sz w:val="28"/>
    </w:rPr>
  </w:style>
  <w:style w:type="paragraph" w:styleId="Textoindependiente2">
    <w:name w:val="Body Text 2"/>
    <w:basedOn w:val="Normal"/>
    <w:pPr>
      <w:keepNext/>
      <w:suppressAutoHyphens w:val="0"/>
      <w:outlineLvl w:val="0"/>
    </w:pPr>
    <w:rPr>
      <w:rFonts w:ascii="Arial" w:hAnsi="Arial"/>
      <w:i/>
      <w:sz w:val="26"/>
      <w:lang w:val="es-CO" w:eastAsia="es-ES"/>
    </w:rPr>
  </w:style>
  <w:style w:type="paragraph" w:styleId="NormalWeb">
    <w:name w:val="Normal (Web)"/>
    <w:basedOn w:val="Normal"/>
    <w:pPr>
      <w:suppressAutoHyphens w:val="0"/>
      <w:spacing w:before="100" w:beforeAutospacing="1" w:after="119"/>
    </w:pPr>
    <w:rPr>
      <w:sz w:val="24"/>
      <w:szCs w:val="24"/>
      <w:lang w:eastAsia="es-ES"/>
    </w:rPr>
  </w:style>
  <w:style w:type="character" w:styleId="Hipervnculo">
    <w:name w:val="Hyperlink"/>
    <w:uiPriority w:val="99"/>
    <w:rPr>
      <w:color w:val="0000FF"/>
      <w:u w:val="single"/>
    </w:rPr>
  </w:style>
  <w:style w:type="paragraph" w:styleId="Textonotapie">
    <w:name w:val="footnote text"/>
    <w:aliases w:val="Ref. de nota al pie1,Texto de nota al pie,Footnotes refss,Appel note de bas de page,referencia nota al pie,Footnote number,BVI fnr,f,Fago Fußnotenzeichen,4_G,16 Point,Superscript 6 Point,Texto nota al pie,Ref. de nota al pie 2,F,FC"/>
    <w:basedOn w:val="Normal"/>
    <w:link w:val="TextonotapieCar"/>
    <w:uiPriority w:val="99"/>
    <w:qFormat/>
  </w:style>
  <w:style w:type="character" w:styleId="Refdenotaalpie">
    <w:name w:val="footnote reference"/>
    <w:semiHidden/>
    <w:rPr>
      <w:vertAlign w:val="superscript"/>
    </w:rPr>
  </w:style>
  <w:style w:type="paragraph" w:styleId="Textodeglobo">
    <w:name w:val="Balloon Text"/>
    <w:basedOn w:val="Normal"/>
    <w:link w:val="TextodegloboCar"/>
    <w:rsid w:val="00006606"/>
    <w:rPr>
      <w:rFonts w:ascii="Segoe UI" w:hAnsi="Segoe UI" w:cs="Segoe UI"/>
      <w:sz w:val="18"/>
      <w:szCs w:val="18"/>
    </w:rPr>
  </w:style>
  <w:style w:type="character" w:customStyle="1" w:styleId="TextodegloboCar">
    <w:name w:val="Texto de globo Car"/>
    <w:link w:val="Textodeglobo"/>
    <w:rsid w:val="00006606"/>
    <w:rPr>
      <w:rFonts w:ascii="Segoe UI" w:hAnsi="Segoe UI" w:cs="Segoe UI"/>
      <w:sz w:val="18"/>
      <w:szCs w:val="18"/>
      <w:lang w:eastAsia="ar-SA"/>
    </w:rPr>
  </w:style>
  <w:style w:type="character" w:customStyle="1" w:styleId="TextonotapieCar">
    <w:name w:val="Texto nota pie Car"/>
    <w:aliases w:val="Ref. de nota al pie1 Car,Texto de nota al pie Car,Footnotes refss Car,Appel note de bas de page Car,referencia nota al pie Car,Footnote number Car,BVI fnr Car,f Car,Fago Fußnotenzeichen Car,4_G Car,16 Point Car,Superscript 6 Point Car"/>
    <w:link w:val="Textonotapie"/>
    <w:uiPriority w:val="99"/>
    <w:qFormat/>
    <w:locked/>
    <w:rsid w:val="00247A42"/>
    <w:rPr>
      <w:lang w:eastAsia="ar-SA"/>
    </w:rPr>
  </w:style>
  <w:style w:type="paragraph" w:styleId="Sinespaciado">
    <w:name w:val="No Spacing"/>
    <w:uiPriority w:val="1"/>
    <w:qFormat/>
    <w:rsid w:val="00247A42"/>
    <w:rPr>
      <w:sz w:val="28"/>
      <w:szCs w:val="28"/>
      <w:lang w:val="es-ES" w:eastAsia="es-ES"/>
    </w:rPr>
  </w:style>
  <w:style w:type="paragraph" w:styleId="Prrafodelista">
    <w:name w:val="List Paragraph"/>
    <w:basedOn w:val="Normal"/>
    <w:uiPriority w:val="34"/>
    <w:qFormat/>
    <w:rsid w:val="003E2A84"/>
    <w:pPr>
      <w:suppressAutoHyphens w:val="0"/>
      <w:spacing w:after="160" w:line="259" w:lineRule="auto"/>
      <w:ind w:left="720"/>
      <w:contextualSpacing/>
    </w:pPr>
    <w:rPr>
      <w:sz w:val="28"/>
      <w:szCs w:val="22"/>
      <w:lang w:eastAsia="en-US"/>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ar-SA"/>
    </w:rPr>
  </w:style>
  <w:style w:type="character" w:styleId="Refdecomentario">
    <w:name w:val="annotation reference"/>
    <w:basedOn w:val="Fuentedeprrafopredete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8892">
      <w:bodyDiv w:val="1"/>
      <w:marLeft w:val="0"/>
      <w:marRight w:val="0"/>
      <w:marTop w:val="0"/>
      <w:marBottom w:val="0"/>
      <w:divBdr>
        <w:top w:val="none" w:sz="0" w:space="0" w:color="auto"/>
        <w:left w:val="none" w:sz="0" w:space="0" w:color="auto"/>
        <w:bottom w:val="none" w:sz="0" w:space="0" w:color="auto"/>
        <w:right w:val="none" w:sz="0" w:space="0" w:color="auto"/>
      </w:divBdr>
    </w:div>
    <w:div w:id="6543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31acafe6b2b247d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Jaime Alberto Zaraza Naranjo</DisplayName>
        <AccountId>1072</AccountId>
        <AccountType/>
      </UserInfo>
      <UserInfo>
        <DisplayName>Manuel Antonio Yarzagaray Bandera</DisplayName>
        <AccountId>1073</AccountId>
        <AccountType/>
      </UserInfo>
      <UserInfo>
        <DisplayName>Julio Cesar Salazar Muñoz</DisplayName>
        <AccountId>12</AccountId>
        <AccountType/>
      </UserInfo>
      <UserInfo>
        <DisplayName>Cesar Augusto Gracia Londoño</DisplayName>
        <AccountId>1075</AccountId>
        <AccountType/>
      </UserInfo>
      <UserInfo>
        <DisplayName>Adriana Marin Gallon</DisplayName>
        <AccountId>1076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1D2B09-80E1-4C30-A81F-4B5A733F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C288A-E026-4E85-8B13-6E1AA61CE8F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C04AEACD-CED8-45B6-95B8-0FFCF792F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2468</Words>
  <Characters>13577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TRIBUNAL SUPERIOR DEL DISTRITO</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dc:title>
  <dc:subject/>
  <dc:creator>RAMA JUDICIAL</dc:creator>
  <cp:keywords/>
  <cp:lastModifiedBy>Hermides Alonso Gaviria Ocampo</cp:lastModifiedBy>
  <cp:revision>22</cp:revision>
  <cp:lastPrinted>2019-07-02T20:51:00Z</cp:lastPrinted>
  <dcterms:created xsi:type="dcterms:W3CDTF">2023-04-24T16:01:00Z</dcterms:created>
  <dcterms:modified xsi:type="dcterms:W3CDTF">2023-06-05T15:34:00Z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