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14C6" w14:textId="4ACEFFC1" w:rsidR="00460562" w:rsidRPr="008670F4" w:rsidRDefault="00460562" w:rsidP="008670F4">
      <w:pPr>
        <w:spacing w:line="276" w:lineRule="auto"/>
        <w:jc w:val="both"/>
        <w:rPr>
          <w:rFonts w:ascii="Arial" w:hAnsi="Arial" w:cs="Arial"/>
          <w:sz w:val="24"/>
          <w:szCs w:val="24"/>
          <w:lang w:val="es-CO"/>
        </w:rPr>
      </w:pPr>
    </w:p>
    <w:p w14:paraId="733BAE0E" w14:textId="1F31458F" w:rsidR="008670F4" w:rsidRPr="008670F4" w:rsidRDefault="008670F4" w:rsidP="008670F4">
      <w:pPr>
        <w:jc w:val="both"/>
        <w:rPr>
          <w:rFonts w:ascii="Arial" w:hAnsi="Arial" w:cs="Arial"/>
          <w:szCs w:val="24"/>
          <w:lang w:val="es-CO"/>
        </w:rPr>
      </w:pPr>
      <w:r w:rsidRPr="008670F4">
        <w:rPr>
          <w:rFonts w:ascii="Arial" w:hAnsi="Arial" w:cs="Arial"/>
          <w:szCs w:val="24"/>
          <w:lang w:val="es-CO"/>
        </w:rPr>
        <w:t>Radicación:</w:t>
      </w:r>
      <w:r>
        <w:rPr>
          <w:rFonts w:ascii="Arial" w:hAnsi="Arial" w:cs="Arial"/>
          <w:szCs w:val="24"/>
          <w:lang w:val="es-CO"/>
        </w:rPr>
        <w:tab/>
      </w:r>
      <w:r w:rsidRPr="008670F4">
        <w:rPr>
          <w:rFonts w:ascii="Arial" w:hAnsi="Arial" w:cs="Arial"/>
          <w:szCs w:val="24"/>
          <w:lang w:val="es-CO"/>
        </w:rPr>
        <w:t xml:space="preserve">66001-31-05-002-2020-00076-01 </w:t>
      </w:r>
    </w:p>
    <w:p w14:paraId="539141CD" w14:textId="64EE98E2" w:rsidR="008670F4" w:rsidRPr="008670F4" w:rsidRDefault="008670F4" w:rsidP="008670F4">
      <w:pPr>
        <w:jc w:val="both"/>
        <w:rPr>
          <w:rFonts w:ascii="Arial" w:hAnsi="Arial" w:cs="Arial"/>
          <w:szCs w:val="24"/>
          <w:lang w:val="es-CO"/>
        </w:rPr>
      </w:pPr>
      <w:r w:rsidRPr="008670F4">
        <w:rPr>
          <w:rFonts w:ascii="Arial" w:hAnsi="Arial" w:cs="Arial"/>
          <w:szCs w:val="24"/>
          <w:lang w:val="es-CO"/>
        </w:rPr>
        <w:t>Proceso:</w:t>
      </w:r>
      <w:r>
        <w:rPr>
          <w:rFonts w:ascii="Arial" w:hAnsi="Arial" w:cs="Arial"/>
          <w:szCs w:val="24"/>
          <w:lang w:val="es-CO"/>
        </w:rPr>
        <w:tab/>
      </w:r>
      <w:r w:rsidRPr="008670F4">
        <w:rPr>
          <w:rFonts w:ascii="Arial" w:hAnsi="Arial" w:cs="Arial"/>
          <w:szCs w:val="24"/>
          <w:lang w:val="es-CO"/>
        </w:rPr>
        <w:t xml:space="preserve">Ordinario </w:t>
      </w:r>
    </w:p>
    <w:p w14:paraId="069632E9" w14:textId="38C0F823" w:rsidR="008670F4" w:rsidRPr="008670F4" w:rsidRDefault="008670F4" w:rsidP="008670F4">
      <w:pPr>
        <w:jc w:val="both"/>
        <w:rPr>
          <w:rFonts w:ascii="Arial" w:hAnsi="Arial" w:cs="Arial"/>
          <w:szCs w:val="24"/>
          <w:lang w:val="es-CO"/>
        </w:rPr>
      </w:pPr>
      <w:r w:rsidRPr="008670F4">
        <w:rPr>
          <w:rFonts w:ascii="Arial" w:hAnsi="Arial" w:cs="Arial"/>
          <w:szCs w:val="24"/>
          <w:lang w:val="es-CO"/>
        </w:rPr>
        <w:t>Demandante:</w:t>
      </w:r>
      <w:r>
        <w:rPr>
          <w:rFonts w:ascii="Arial" w:hAnsi="Arial" w:cs="Arial"/>
          <w:szCs w:val="24"/>
          <w:lang w:val="es-CO"/>
        </w:rPr>
        <w:tab/>
      </w:r>
      <w:r w:rsidRPr="008670F4">
        <w:rPr>
          <w:rFonts w:ascii="Arial" w:hAnsi="Arial" w:cs="Arial"/>
          <w:szCs w:val="24"/>
          <w:lang w:val="es-CO"/>
        </w:rPr>
        <w:t xml:space="preserve">Dora Emilia Ovalle </w:t>
      </w:r>
    </w:p>
    <w:p w14:paraId="02366476" w14:textId="2CA0A320" w:rsidR="008670F4" w:rsidRPr="008670F4" w:rsidRDefault="008670F4" w:rsidP="008670F4">
      <w:pPr>
        <w:jc w:val="both"/>
        <w:rPr>
          <w:rFonts w:ascii="Arial" w:hAnsi="Arial" w:cs="Arial"/>
          <w:szCs w:val="24"/>
          <w:lang w:val="es-CO"/>
        </w:rPr>
      </w:pPr>
      <w:r w:rsidRPr="008670F4">
        <w:rPr>
          <w:rFonts w:ascii="Arial" w:hAnsi="Arial" w:cs="Arial"/>
          <w:szCs w:val="24"/>
          <w:lang w:val="es-CO"/>
        </w:rPr>
        <w:t>Demandado:</w:t>
      </w:r>
      <w:r>
        <w:rPr>
          <w:rFonts w:ascii="Arial" w:hAnsi="Arial" w:cs="Arial"/>
          <w:szCs w:val="24"/>
          <w:lang w:val="es-CO"/>
        </w:rPr>
        <w:tab/>
      </w:r>
      <w:r w:rsidRPr="008670F4">
        <w:rPr>
          <w:rFonts w:ascii="Arial" w:hAnsi="Arial" w:cs="Arial"/>
          <w:szCs w:val="24"/>
          <w:lang w:val="es-CO"/>
        </w:rPr>
        <w:t>Colpensiones</w:t>
      </w:r>
    </w:p>
    <w:p w14:paraId="77944703" w14:textId="6C919D70" w:rsidR="008670F4" w:rsidRPr="008670F4" w:rsidRDefault="008670F4" w:rsidP="008670F4">
      <w:pPr>
        <w:jc w:val="both"/>
        <w:rPr>
          <w:rFonts w:ascii="Arial" w:hAnsi="Arial" w:cs="Arial"/>
          <w:szCs w:val="24"/>
          <w:lang w:val="es-CO"/>
        </w:rPr>
      </w:pPr>
    </w:p>
    <w:p w14:paraId="2951B1E6" w14:textId="3E2280B9" w:rsidR="008670F4" w:rsidRPr="008670F4" w:rsidRDefault="008670F4" w:rsidP="008670F4">
      <w:pPr>
        <w:jc w:val="both"/>
        <w:rPr>
          <w:rFonts w:ascii="Arial" w:hAnsi="Arial" w:cs="Arial"/>
          <w:szCs w:val="24"/>
          <w:lang w:val="es-CO"/>
        </w:rPr>
      </w:pPr>
    </w:p>
    <w:p w14:paraId="4CB10D93" w14:textId="3F62AE79" w:rsidR="008670F4" w:rsidRPr="008670F4" w:rsidRDefault="008670F4" w:rsidP="008670F4">
      <w:pPr>
        <w:jc w:val="both"/>
        <w:rPr>
          <w:rFonts w:ascii="Arial" w:hAnsi="Arial" w:cs="Arial"/>
          <w:szCs w:val="24"/>
          <w:lang w:val="es-CO"/>
        </w:rPr>
      </w:pPr>
    </w:p>
    <w:p w14:paraId="47CC2B47" w14:textId="2A7187A7" w:rsidR="008670F4" w:rsidRDefault="001C705D" w:rsidP="00B06B2B">
      <w:pPr>
        <w:spacing w:line="300" w:lineRule="auto"/>
        <w:jc w:val="center"/>
        <w:rPr>
          <w:rFonts w:ascii="Arial" w:hAnsi="Arial" w:cs="Arial"/>
          <w:b/>
          <w:sz w:val="24"/>
          <w:szCs w:val="24"/>
          <w:lang w:val="es-CO"/>
        </w:rPr>
      </w:pPr>
      <w:r>
        <w:rPr>
          <w:rFonts w:ascii="Arial" w:hAnsi="Arial" w:cs="Arial"/>
          <w:b/>
          <w:sz w:val="24"/>
          <w:szCs w:val="24"/>
          <w:lang w:val="es-CO"/>
        </w:rPr>
        <w:t>TRIBUNAL SUPERIOR DEL DISTRITO JUDICIAL</w:t>
      </w:r>
    </w:p>
    <w:p w14:paraId="56E6544F" w14:textId="687FE351" w:rsidR="001C705D" w:rsidRDefault="001C705D" w:rsidP="00B06B2B">
      <w:pPr>
        <w:spacing w:line="300" w:lineRule="auto"/>
        <w:jc w:val="center"/>
        <w:rPr>
          <w:rFonts w:ascii="Arial" w:hAnsi="Arial" w:cs="Arial"/>
          <w:b/>
          <w:sz w:val="24"/>
          <w:szCs w:val="24"/>
          <w:lang w:val="es-CO"/>
        </w:rPr>
      </w:pPr>
      <w:r>
        <w:rPr>
          <w:rFonts w:ascii="Arial" w:hAnsi="Arial" w:cs="Arial"/>
          <w:b/>
          <w:sz w:val="24"/>
          <w:szCs w:val="24"/>
          <w:lang w:val="es-CO"/>
        </w:rPr>
        <w:t>SALA LABORAL</w:t>
      </w:r>
    </w:p>
    <w:p w14:paraId="0D409649" w14:textId="77777777" w:rsidR="001C705D" w:rsidRPr="001C705D" w:rsidRDefault="001C705D" w:rsidP="00B06B2B">
      <w:pPr>
        <w:spacing w:line="300" w:lineRule="auto"/>
        <w:jc w:val="center"/>
        <w:rPr>
          <w:rFonts w:ascii="Arial" w:hAnsi="Arial" w:cs="Arial"/>
          <w:b/>
          <w:sz w:val="24"/>
          <w:szCs w:val="24"/>
          <w:lang w:val="es-CO"/>
        </w:rPr>
      </w:pPr>
    </w:p>
    <w:p w14:paraId="6F2ED082" w14:textId="2C789ED1" w:rsidR="00F93C8E" w:rsidRPr="008670F4" w:rsidRDefault="001C705D" w:rsidP="00B06B2B">
      <w:pPr>
        <w:spacing w:line="300" w:lineRule="auto"/>
        <w:jc w:val="center"/>
        <w:rPr>
          <w:rFonts w:ascii="Arial" w:hAnsi="Arial" w:cs="Arial"/>
          <w:b/>
          <w:sz w:val="24"/>
          <w:szCs w:val="24"/>
        </w:rPr>
      </w:pPr>
      <w:r w:rsidRPr="008670F4">
        <w:rPr>
          <w:rFonts w:ascii="Arial" w:hAnsi="Arial" w:cs="Arial"/>
          <w:sz w:val="24"/>
          <w:szCs w:val="24"/>
        </w:rPr>
        <w:t>Magistrado</w:t>
      </w:r>
      <w:r w:rsidR="00F93C8E" w:rsidRPr="008670F4">
        <w:rPr>
          <w:rFonts w:ascii="Arial" w:hAnsi="Arial" w:cs="Arial"/>
          <w:sz w:val="24"/>
          <w:szCs w:val="24"/>
        </w:rPr>
        <w:t xml:space="preserve">: </w:t>
      </w:r>
      <w:r w:rsidR="00F93C8E" w:rsidRPr="008670F4">
        <w:rPr>
          <w:rFonts w:ascii="Arial" w:hAnsi="Arial" w:cs="Arial"/>
          <w:b/>
          <w:sz w:val="24"/>
          <w:szCs w:val="24"/>
        </w:rPr>
        <w:t>JULIO CÉSAR SALAZAR MUÑOZ</w:t>
      </w:r>
    </w:p>
    <w:p w14:paraId="72021099" w14:textId="77777777" w:rsidR="00460562" w:rsidRPr="008670F4" w:rsidRDefault="00460562" w:rsidP="00B06B2B">
      <w:pPr>
        <w:spacing w:line="300" w:lineRule="auto"/>
        <w:rPr>
          <w:rFonts w:ascii="Arial" w:hAnsi="Arial" w:cs="Arial"/>
          <w:b/>
          <w:sz w:val="24"/>
          <w:szCs w:val="24"/>
        </w:rPr>
      </w:pPr>
    </w:p>
    <w:p w14:paraId="5443A3B5" w14:textId="121CEB2E" w:rsidR="00F93C8E" w:rsidRPr="008670F4" w:rsidRDefault="00F93C8E" w:rsidP="00B06B2B">
      <w:pPr>
        <w:spacing w:line="300" w:lineRule="auto"/>
        <w:jc w:val="center"/>
        <w:rPr>
          <w:rFonts w:ascii="Arial" w:hAnsi="Arial" w:cs="Arial"/>
          <w:sz w:val="24"/>
          <w:szCs w:val="24"/>
        </w:rPr>
      </w:pPr>
      <w:r w:rsidRPr="008670F4">
        <w:rPr>
          <w:rFonts w:ascii="Arial" w:hAnsi="Arial" w:cs="Arial"/>
          <w:sz w:val="24"/>
          <w:szCs w:val="24"/>
        </w:rPr>
        <w:t xml:space="preserve">Pereira, </w:t>
      </w:r>
      <w:r w:rsidR="008E1249" w:rsidRPr="008670F4">
        <w:rPr>
          <w:rFonts w:ascii="Arial" w:hAnsi="Arial" w:cs="Arial"/>
          <w:sz w:val="24"/>
          <w:szCs w:val="24"/>
        </w:rPr>
        <w:t>veintiuno</w:t>
      </w:r>
      <w:r w:rsidRPr="008670F4">
        <w:rPr>
          <w:rFonts w:ascii="Arial" w:hAnsi="Arial" w:cs="Arial"/>
          <w:sz w:val="24"/>
          <w:szCs w:val="24"/>
        </w:rPr>
        <w:t xml:space="preserve"> [</w:t>
      </w:r>
      <w:r w:rsidR="008E1249" w:rsidRPr="008670F4">
        <w:rPr>
          <w:rFonts w:ascii="Arial" w:hAnsi="Arial" w:cs="Arial"/>
          <w:sz w:val="24"/>
          <w:szCs w:val="24"/>
        </w:rPr>
        <w:t>21</w:t>
      </w:r>
      <w:r w:rsidRPr="008670F4">
        <w:rPr>
          <w:rFonts w:ascii="Arial" w:hAnsi="Arial" w:cs="Arial"/>
          <w:sz w:val="24"/>
          <w:szCs w:val="24"/>
        </w:rPr>
        <w:t xml:space="preserve">] de </w:t>
      </w:r>
      <w:r w:rsidR="00891FC8" w:rsidRPr="008670F4">
        <w:rPr>
          <w:rFonts w:ascii="Arial" w:hAnsi="Arial" w:cs="Arial"/>
          <w:sz w:val="24"/>
          <w:szCs w:val="24"/>
        </w:rPr>
        <w:t>febrero</w:t>
      </w:r>
      <w:r w:rsidRPr="008670F4">
        <w:rPr>
          <w:rFonts w:ascii="Arial" w:hAnsi="Arial" w:cs="Arial"/>
          <w:sz w:val="24"/>
          <w:szCs w:val="24"/>
        </w:rPr>
        <w:t xml:space="preserve"> de dos mil </w:t>
      </w:r>
      <w:r w:rsidR="00C857D6" w:rsidRPr="008670F4">
        <w:rPr>
          <w:rFonts w:ascii="Arial" w:hAnsi="Arial" w:cs="Arial"/>
          <w:sz w:val="24"/>
          <w:szCs w:val="24"/>
        </w:rPr>
        <w:t>veinti</w:t>
      </w:r>
      <w:r w:rsidR="00891FC8" w:rsidRPr="008670F4">
        <w:rPr>
          <w:rFonts w:ascii="Arial" w:hAnsi="Arial" w:cs="Arial"/>
          <w:sz w:val="24"/>
          <w:szCs w:val="24"/>
        </w:rPr>
        <w:t>trés</w:t>
      </w:r>
      <w:r w:rsidRPr="008670F4">
        <w:rPr>
          <w:rFonts w:ascii="Arial" w:hAnsi="Arial" w:cs="Arial"/>
          <w:sz w:val="24"/>
          <w:szCs w:val="24"/>
        </w:rPr>
        <w:t xml:space="preserve"> [20</w:t>
      </w:r>
      <w:r w:rsidR="006D3DE4" w:rsidRPr="008670F4">
        <w:rPr>
          <w:rFonts w:ascii="Arial" w:hAnsi="Arial" w:cs="Arial"/>
          <w:sz w:val="24"/>
          <w:szCs w:val="24"/>
        </w:rPr>
        <w:t>2</w:t>
      </w:r>
      <w:r w:rsidR="00891FC8" w:rsidRPr="008670F4">
        <w:rPr>
          <w:rFonts w:ascii="Arial" w:hAnsi="Arial" w:cs="Arial"/>
          <w:sz w:val="24"/>
          <w:szCs w:val="24"/>
        </w:rPr>
        <w:t>3</w:t>
      </w:r>
      <w:r w:rsidRPr="008670F4">
        <w:rPr>
          <w:rFonts w:ascii="Arial" w:hAnsi="Arial" w:cs="Arial"/>
          <w:sz w:val="24"/>
          <w:szCs w:val="24"/>
        </w:rPr>
        <w:t>]</w:t>
      </w:r>
    </w:p>
    <w:p w14:paraId="41EC46C6" w14:textId="0B248CEB" w:rsidR="00460562" w:rsidRDefault="00460562" w:rsidP="00B06B2B">
      <w:pPr>
        <w:tabs>
          <w:tab w:val="left" w:pos="1440"/>
        </w:tabs>
        <w:spacing w:line="300" w:lineRule="auto"/>
        <w:jc w:val="both"/>
        <w:rPr>
          <w:rFonts w:ascii="Arial" w:hAnsi="Arial" w:cs="Arial"/>
          <w:snapToGrid w:val="0"/>
          <w:sz w:val="24"/>
          <w:szCs w:val="24"/>
        </w:rPr>
      </w:pPr>
      <w:bookmarkStart w:id="0" w:name="_Hlk132726284"/>
      <w:bookmarkStart w:id="1" w:name="_GoBack"/>
      <w:bookmarkEnd w:id="1"/>
    </w:p>
    <w:p w14:paraId="4DD8D2D4" w14:textId="77777777" w:rsidR="008670F4" w:rsidRPr="008670F4" w:rsidRDefault="008670F4" w:rsidP="00B06B2B">
      <w:pPr>
        <w:tabs>
          <w:tab w:val="left" w:pos="1440"/>
        </w:tabs>
        <w:spacing w:line="300" w:lineRule="auto"/>
        <w:jc w:val="both"/>
        <w:rPr>
          <w:rFonts w:ascii="Arial" w:hAnsi="Arial" w:cs="Arial"/>
          <w:snapToGrid w:val="0"/>
          <w:sz w:val="24"/>
          <w:szCs w:val="24"/>
        </w:rPr>
      </w:pPr>
    </w:p>
    <w:p w14:paraId="2063E29D" w14:textId="299EC83C" w:rsidR="00F93C8E" w:rsidRPr="008670F4" w:rsidRDefault="00F93C8E" w:rsidP="00B06B2B">
      <w:pPr>
        <w:spacing w:line="300" w:lineRule="auto"/>
        <w:jc w:val="center"/>
        <w:rPr>
          <w:rFonts w:ascii="Arial" w:hAnsi="Arial" w:cs="Arial"/>
          <w:b/>
          <w:sz w:val="24"/>
          <w:szCs w:val="24"/>
          <w:u w:val="single"/>
        </w:rPr>
      </w:pPr>
      <w:r w:rsidRPr="008670F4">
        <w:rPr>
          <w:rFonts w:ascii="Arial" w:hAnsi="Arial" w:cs="Arial"/>
          <w:b/>
          <w:sz w:val="24"/>
          <w:szCs w:val="24"/>
          <w:u w:val="single"/>
        </w:rPr>
        <w:t xml:space="preserve">SALVAMENTO </w:t>
      </w:r>
      <w:r w:rsidR="002056B0" w:rsidRPr="008670F4">
        <w:rPr>
          <w:rFonts w:ascii="Arial" w:hAnsi="Arial" w:cs="Arial"/>
          <w:b/>
          <w:sz w:val="24"/>
          <w:szCs w:val="24"/>
          <w:u w:val="single"/>
        </w:rPr>
        <w:t xml:space="preserve">PARCIAL </w:t>
      </w:r>
      <w:r w:rsidRPr="008670F4">
        <w:rPr>
          <w:rFonts w:ascii="Arial" w:hAnsi="Arial" w:cs="Arial"/>
          <w:b/>
          <w:sz w:val="24"/>
          <w:szCs w:val="24"/>
          <w:u w:val="single"/>
        </w:rPr>
        <w:t>DE VOTO</w:t>
      </w:r>
    </w:p>
    <w:p w14:paraId="32F95BDB" w14:textId="52FD6F69" w:rsidR="00F93C8E" w:rsidRPr="008670F4" w:rsidRDefault="00F93C8E" w:rsidP="00B06B2B">
      <w:pPr>
        <w:pStyle w:val="Textoindependiente"/>
        <w:spacing w:line="300" w:lineRule="auto"/>
        <w:rPr>
          <w:sz w:val="24"/>
          <w:szCs w:val="24"/>
        </w:rPr>
      </w:pPr>
    </w:p>
    <w:bookmarkEnd w:id="0"/>
    <w:p w14:paraId="5FA7E503" w14:textId="4C1D4782" w:rsidR="002056B0" w:rsidRPr="008670F4" w:rsidRDefault="002056B0" w:rsidP="00B06B2B">
      <w:pPr>
        <w:pStyle w:val="Textoindependiente"/>
        <w:spacing w:line="300" w:lineRule="auto"/>
        <w:rPr>
          <w:sz w:val="24"/>
          <w:szCs w:val="24"/>
        </w:rPr>
      </w:pPr>
      <w:r w:rsidRPr="008670F4">
        <w:rPr>
          <w:sz w:val="24"/>
          <w:szCs w:val="24"/>
        </w:rPr>
        <w:t xml:space="preserve">Si bien coincido con el otorgamiento del derecho a gozar de la pensión de sobrevivientes por parte de la demandante, disiento de que </w:t>
      </w:r>
      <w:r w:rsidR="00891FC8" w:rsidRPr="008670F4">
        <w:rPr>
          <w:sz w:val="24"/>
          <w:szCs w:val="24"/>
        </w:rPr>
        <w:t>no se haya revocada la sentencia de primer grado en lo concerniente al</w:t>
      </w:r>
      <w:r w:rsidRPr="008670F4">
        <w:rPr>
          <w:sz w:val="24"/>
          <w:szCs w:val="24"/>
        </w:rPr>
        <w:t xml:space="preserve"> disfrute por 14 mesadas anuales.</w:t>
      </w:r>
    </w:p>
    <w:p w14:paraId="531C9A87" w14:textId="77777777" w:rsidR="002056B0" w:rsidRPr="008670F4" w:rsidRDefault="002056B0" w:rsidP="00B06B2B">
      <w:pPr>
        <w:pStyle w:val="Textoindependiente"/>
        <w:spacing w:line="300" w:lineRule="auto"/>
        <w:rPr>
          <w:sz w:val="24"/>
          <w:szCs w:val="24"/>
        </w:rPr>
      </w:pPr>
    </w:p>
    <w:p w14:paraId="127B6406" w14:textId="77777777" w:rsidR="00EC3660" w:rsidRPr="008670F4" w:rsidRDefault="00EC3660" w:rsidP="00B06B2B">
      <w:pPr>
        <w:pStyle w:val="Textoindependiente3"/>
        <w:spacing w:line="300" w:lineRule="auto"/>
      </w:pPr>
      <w:r w:rsidRPr="008670F4">
        <w:t>Soy consciente de la jurisprudencia actual de la Sala de Casación Laboral de la Corte Suprema de Justicia sobre el punto relativo a que, cuando se trata de una pensión de sobrevivientes ocasionada por la muerte del pensionado, corresponde transferir a los beneficiarios los mismos derechos de que el causante gozaba, de manera tal que, si este disfrutaba de la mesada 14, entonces aquellos tienen derecho a percibir igual número de mensualidades.</w:t>
      </w:r>
    </w:p>
    <w:p w14:paraId="2DC6BD95" w14:textId="77777777" w:rsidR="00EC3660" w:rsidRPr="008670F4" w:rsidRDefault="00EC3660" w:rsidP="00B06B2B">
      <w:pPr>
        <w:pStyle w:val="Textoindependiente3"/>
        <w:spacing w:line="300" w:lineRule="auto"/>
      </w:pPr>
    </w:p>
    <w:p w14:paraId="7BE60180" w14:textId="664B4090" w:rsidR="00EC3660" w:rsidRPr="008670F4" w:rsidRDefault="00EC3660" w:rsidP="00B06B2B">
      <w:pPr>
        <w:pStyle w:val="Textoindependiente3"/>
        <w:spacing w:line="300" w:lineRule="auto"/>
      </w:pPr>
      <w:r w:rsidRPr="008670F4">
        <w:t>Sin embargo, no coincido con esa interpretación por las siguientes razones:</w:t>
      </w:r>
    </w:p>
    <w:p w14:paraId="6FF8D4BD" w14:textId="38063D3D" w:rsidR="000A1BC1" w:rsidRPr="008670F4" w:rsidRDefault="000A1BC1" w:rsidP="00B06B2B">
      <w:pPr>
        <w:pStyle w:val="Textoindependiente3"/>
        <w:spacing w:line="300" w:lineRule="auto"/>
      </w:pPr>
    </w:p>
    <w:p w14:paraId="62681A42" w14:textId="1B27FA60" w:rsidR="000A1BC1" w:rsidRPr="008670F4" w:rsidRDefault="000A1BC1" w:rsidP="00B06B2B">
      <w:pPr>
        <w:pStyle w:val="Textoindependiente3"/>
        <w:spacing w:line="300" w:lineRule="auto"/>
      </w:pPr>
      <w:r w:rsidRPr="008670F4">
        <w:t xml:space="preserve">Establece el </w:t>
      </w:r>
      <w:r w:rsidR="001C705D" w:rsidRPr="008670F4">
        <w:t xml:space="preserve">Acto Legislativo </w:t>
      </w:r>
      <w:r w:rsidRPr="008670F4">
        <w:t>01 de 2005 que:</w:t>
      </w:r>
    </w:p>
    <w:p w14:paraId="71CCF5AC" w14:textId="5EF9CD14" w:rsidR="00557A66" w:rsidRPr="008670F4" w:rsidRDefault="00557A66" w:rsidP="00B06B2B">
      <w:pPr>
        <w:pStyle w:val="Textoindependiente3"/>
        <w:spacing w:line="300" w:lineRule="auto"/>
      </w:pPr>
    </w:p>
    <w:p w14:paraId="303D7360" w14:textId="3DF93EA0" w:rsidR="00557A66" w:rsidRPr="001C705D" w:rsidRDefault="00557A66" w:rsidP="001C705D">
      <w:pPr>
        <w:pStyle w:val="Textoindependiente3"/>
        <w:spacing w:line="240" w:lineRule="auto"/>
        <w:ind w:left="426" w:right="420"/>
        <w:rPr>
          <w:sz w:val="22"/>
        </w:rPr>
      </w:pPr>
      <w:r w:rsidRPr="001C705D">
        <w:rPr>
          <w:sz w:val="22"/>
        </w:rPr>
        <w:t xml:space="preserve">"Las personas cuyo derecho a la pensión se cause a partir de la vigencia del presente Acto Legislativo no podrán recibir más de trece (13) mesadas pensionales al año. Se entiende que la pensión se causa cuando se cumplen todos los requisitos para acceder a ella, </w:t>
      </w:r>
      <w:r w:rsidR="001C705D" w:rsidRPr="001C705D">
        <w:rPr>
          <w:sz w:val="22"/>
        </w:rPr>
        <w:t>aun</w:t>
      </w:r>
      <w:r w:rsidRPr="001C705D">
        <w:rPr>
          <w:sz w:val="22"/>
        </w:rPr>
        <w:t xml:space="preserve"> cuando no se hubiese efectuado el reconocimiento".</w:t>
      </w:r>
    </w:p>
    <w:p w14:paraId="6437EA8A" w14:textId="502DA578" w:rsidR="00557A66" w:rsidRPr="008670F4" w:rsidRDefault="00557A66" w:rsidP="00B06B2B">
      <w:pPr>
        <w:pStyle w:val="Textoindependiente3"/>
        <w:spacing w:line="300" w:lineRule="auto"/>
      </w:pPr>
    </w:p>
    <w:p w14:paraId="40466517" w14:textId="5DE5F8AF" w:rsidR="00D42CBB" w:rsidRPr="008670F4" w:rsidRDefault="00557A66" w:rsidP="00B06B2B">
      <w:pPr>
        <w:pStyle w:val="Textoindependiente3"/>
        <w:spacing w:line="300" w:lineRule="auto"/>
      </w:pPr>
      <w:r w:rsidRPr="008670F4">
        <w:t xml:space="preserve">Por su parte la </w:t>
      </w:r>
      <w:r w:rsidR="001C705D" w:rsidRPr="008670F4">
        <w:t xml:space="preserve">Ley </w:t>
      </w:r>
      <w:r w:rsidRPr="008670F4">
        <w:t>100 de 1993 es clara en determinar que ella regula la pensión de sobrevivientes, ya sea por la muerte de un afiliado o la de un pensionado por vejez o invalidez. Ahora bien, como quiera que la pensión de sobrevivientes tiene una financiación diferente a la de la vejez, la consideración, en relación al aporte que para ella se hace, se soporta en un presupuesto o financiación diferente a esta última. De manera tal que los dineros aportados para este riesgo, está calculada para ofrecer 13 mesadas anuales a lo</w:t>
      </w:r>
      <w:r w:rsidR="00D42CBB" w:rsidRPr="008670F4">
        <w:t>s beneficiarios. Y fue precisamente esa limitación la que buscó el acto legislativo.</w:t>
      </w:r>
    </w:p>
    <w:p w14:paraId="22D11EDC" w14:textId="77777777" w:rsidR="00D42CBB" w:rsidRPr="008670F4" w:rsidRDefault="00D42CBB" w:rsidP="00B06B2B">
      <w:pPr>
        <w:pStyle w:val="Textoindependiente3"/>
        <w:spacing w:line="300" w:lineRule="auto"/>
      </w:pPr>
    </w:p>
    <w:p w14:paraId="1C3FF4E2" w14:textId="77777777" w:rsidR="00D42CBB" w:rsidRPr="008670F4" w:rsidRDefault="00D42CBB" w:rsidP="00B06B2B">
      <w:pPr>
        <w:pStyle w:val="Textoindependiente3"/>
        <w:spacing w:line="300" w:lineRule="auto"/>
      </w:pPr>
      <w:r w:rsidRPr="008670F4">
        <w:t>Es que no encuentra lógica financiera discernir que el sistema otorgaba pensiones de vejez con 14 mesadas anuales, obviamente contando con la probabilidad de vida de quien la adquiría, pero ese beneficio de la mesada 14, por vía judicial, a pesar de provenir de la financiación diferente que guía a la pensión de sobrevivientes, pretenda extenderse a la vida probable de la viuda. No. Es claro que ella no sustituye al difunto en su pensión de vejez, ella adquiere el derecho a la pensión de sobrevivientes por los aportes que el causante hizo para esos efectos, no por las cotizaciones que le permitieron pensionarse por vejez.</w:t>
      </w:r>
    </w:p>
    <w:p w14:paraId="5A5DB8DB" w14:textId="77777777" w:rsidR="00D42CBB" w:rsidRPr="008670F4" w:rsidRDefault="00D42CBB" w:rsidP="00B06B2B">
      <w:pPr>
        <w:pStyle w:val="Textoindependiente3"/>
        <w:spacing w:line="300" w:lineRule="auto"/>
      </w:pPr>
    </w:p>
    <w:p w14:paraId="0231D7AC" w14:textId="3A800B36" w:rsidR="00557A66" w:rsidRPr="008670F4" w:rsidRDefault="00D42CBB" w:rsidP="00B06B2B">
      <w:pPr>
        <w:pStyle w:val="Textoindependiente3"/>
        <w:spacing w:line="300" w:lineRule="auto"/>
      </w:pPr>
      <w:r w:rsidRPr="008670F4">
        <w:t>En ese sentido, siendo la prestación de sobrevivientes un derecho nuevo -no la extensi</w:t>
      </w:r>
      <w:r w:rsidR="00E626CA" w:rsidRPr="008670F4">
        <w:t xml:space="preserve">ón de la pensión de vejez en cabeza ajena- proveniente de una financiación diferente, </w:t>
      </w:r>
      <w:r w:rsidR="00E626CA" w:rsidRPr="008670F4">
        <w:rPr>
          <w:b/>
        </w:rPr>
        <w:t>cuyo requisito principal para que nazca a la vida jurídica es la muerte de un afiliado o un pensionado</w:t>
      </w:r>
      <w:r w:rsidR="00E626CA" w:rsidRPr="008670F4">
        <w:t>, a mi no me cabe duda que, en los términos del acto legislativo 01 de 2005, a partir de su expedición, solo se tiene derecho a 13 mesadas anuales.</w:t>
      </w:r>
      <w:r w:rsidRPr="008670F4">
        <w:t xml:space="preserve"> </w:t>
      </w:r>
      <w:r w:rsidR="00557A66" w:rsidRPr="008670F4">
        <w:t xml:space="preserve">  </w:t>
      </w:r>
    </w:p>
    <w:p w14:paraId="39995464" w14:textId="68C4C14D" w:rsidR="00C3273C" w:rsidRPr="008670F4" w:rsidRDefault="00C3273C" w:rsidP="00B06B2B">
      <w:pPr>
        <w:pStyle w:val="Textoindependiente3"/>
        <w:spacing w:line="300" w:lineRule="auto"/>
      </w:pPr>
    </w:p>
    <w:p w14:paraId="17AB443A" w14:textId="4806C182" w:rsidR="001E7D12" w:rsidRPr="008670F4" w:rsidRDefault="002056B0" w:rsidP="00B06B2B">
      <w:pPr>
        <w:pStyle w:val="Textoindependiente3"/>
        <w:spacing w:line="300" w:lineRule="auto"/>
      </w:pPr>
      <w:r w:rsidRPr="008670F4">
        <w:t>Son las anteriores razones las que me llevan a salvar par</w:t>
      </w:r>
      <w:r w:rsidR="0020783F" w:rsidRPr="008670F4">
        <w:t>ci</w:t>
      </w:r>
      <w:r w:rsidRPr="008670F4">
        <w:t>almente mi voto</w:t>
      </w:r>
      <w:r w:rsidR="00C3273C" w:rsidRPr="008670F4">
        <w:t>.</w:t>
      </w:r>
      <w:r w:rsidR="00171DFE" w:rsidRPr="008670F4">
        <w:t xml:space="preserve"> </w:t>
      </w:r>
      <w:r w:rsidR="004D71B2" w:rsidRPr="008670F4">
        <w:t xml:space="preserve"> </w:t>
      </w:r>
    </w:p>
    <w:p w14:paraId="2065309A" w14:textId="3E2C6471" w:rsidR="00815D3A" w:rsidRDefault="00815D3A" w:rsidP="00B06B2B">
      <w:pPr>
        <w:tabs>
          <w:tab w:val="left" w:pos="7185"/>
        </w:tabs>
        <w:spacing w:line="300" w:lineRule="auto"/>
        <w:jc w:val="both"/>
        <w:rPr>
          <w:rFonts w:ascii="Arial" w:hAnsi="Arial" w:cs="Arial"/>
          <w:iCs/>
          <w:sz w:val="24"/>
          <w:szCs w:val="24"/>
        </w:rPr>
      </w:pPr>
    </w:p>
    <w:p w14:paraId="4816104D" w14:textId="117C3E3B" w:rsidR="00B06B2B" w:rsidRDefault="00B06B2B" w:rsidP="00B06B2B">
      <w:pPr>
        <w:tabs>
          <w:tab w:val="left" w:pos="7185"/>
        </w:tabs>
        <w:spacing w:line="300" w:lineRule="auto"/>
        <w:jc w:val="both"/>
        <w:rPr>
          <w:rFonts w:ascii="Arial" w:hAnsi="Arial" w:cs="Arial"/>
          <w:iCs/>
          <w:sz w:val="24"/>
          <w:szCs w:val="24"/>
        </w:rPr>
      </w:pPr>
    </w:p>
    <w:p w14:paraId="666C1242" w14:textId="5B0549FD" w:rsidR="00B06B2B" w:rsidRDefault="00B06B2B" w:rsidP="00B06B2B">
      <w:pPr>
        <w:tabs>
          <w:tab w:val="left" w:pos="7185"/>
        </w:tabs>
        <w:spacing w:line="300" w:lineRule="auto"/>
        <w:jc w:val="both"/>
        <w:rPr>
          <w:rFonts w:ascii="Arial" w:hAnsi="Arial" w:cs="Arial"/>
          <w:iCs/>
          <w:sz w:val="24"/>
          <w:szCs w:val="24"/>
        </w:rPr>
      </w:pPr>
    </w:p>
    <w:p w14:paraId="74F44AD8" w14:textId="5AE83BCD" w:rsidR="00B06B2B" w:rsidRDefault="00B06B2B" w:rsidP="00B06B2B">
      <w:pPr>
        <w:tabs>
          <w:tab w:val="left" w:pos="7185"/>
        </w:tabs>
        <w:spacing w:line="300" w:lineRule="auto"/>
        <w:jc w:val="both"/>
        <w:rPr>
          <w:rFonts w:ascii="Arial" w:hAnsi="Arial" w:cs="Arial"/>
          <w:iCs/>
          <w:sz w:val="24"/>
          <w:szCs w:val="24"/>
        </w:rPr>
      </w:pPr>
    </w:p>
    <w:p w14:paraId="65063B04" w14:textId="5BE22D90" w:rsidR="00F93C8E" w:rsidRPr="008670F4" w:rsidRDefault="00F93C8E" w:rsidP="00B06B2B">
      <w:pPr>
        <w:spacing w:line="300" w:lineRule="auto"/>
        <w:jc w:val="center"/>
        <w:rPr>
          <w:rFonts w:ascii="Arial" w:hAnsi="Arial" w:cs="Arial"/>
          <w:b/>
          <w:sz w:val="24"/>
          <w:szCs w:val="24"/>
        </w:rPr>
      </w:pPr>
      <w:r w:rsidRPr="008670F4">
        <w:rPr>
          <w:rFonts w:ascii="Arial" w:hAnsi="Arial" w:cs="Arial"/>
          <w:b/>
          <w:sz w:val="24"/>
          <w:szCs w:val="24"/>
        </w:rPr>
        <w:t>JULIO CÉSAR SALAZAR MUÑOZ</w:t>
      </w:r>
    </w:p>
    <w:p w14:paraId="3B12F5B3" w14:textId="77777777" w:rsidR="00F93C8E" w:rsidRPr="008670F4" w:rsidRDefault="00F93C8E" w:rsidP="00B06B2B">
      <w:pPr>
        <w:spacing w:line="300" w:lineRule="auto"/>
        <w:jc w:val="center"/>
        <w:rPr>
          <w:rFonts w:ascii="Arial" w:hAnsi="Arial" w:cs="Arial"/>
          <w:sz w:val="24"/>
          <w:szCs w:val="24"/>
        </w:rPr>
      </w:pPr>
      <w:r w:rsidRPr="008670F4">
        <w:rPr>
          <w:rFonts w:ascii="Arial" w:hAnsi="Arial" w:cs="Arial"/>
          <w:sz w:val="24"/>
          <w:szCs w:val="24"/>
        </w:rPr>
        <w:t>Magistrado</w:t>
      </w:r>
    </w:p>
    <w:sectPr w:rsidR="00F93C8E" w:rsidRPr="008670F4" w:rsidSect="008670F4">
      <w:headerReference w:type="default" r:id="rId11"/>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135AE" w14:textId="77777777" w:rsidR="003D57CC" w:rsidRDefault="003D57CC">
      <w:r>
        <w:separator/>
      </w:r>
    </w:p>
  </w:endnote>
  <w:endnote w:type="continuationSeparator" w:id="0">
    <w:p w14:paraId="0533C81B" w14:textId="77777777" w:rsidR="003D57CC" w:rsidRDefault="003D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34BD" w14:textId="77777777" w:rsidR="003D57CC" w:rsidRDefault="003D57CC">
      <w:r>
        <w:separator/>
      </w:r>
    </w:p>
  </w:footnote>
  <w:footnote w:type="continuationSeparator" w:id="0">
    <w:p w14:paraId="20A3C500" w14:textId="77777777" w:rsidR="003D57CC" w:rsidRDefault="003D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A63D" w14:textId="77777777" w:rsidR="00F93C8E" w:rsidRDefault="00F93C8E">
    <w:pPr>
      <w:tabs>
        <w:tab w:val="left" w:pos="-720"/>
      </w:tabs>
      <w:suppressAutoHyphens/>
      <w:jc w:val="both"/>
      <w:rPr>
        <w:rFonts w:ascii="Arial" w:hAnsi="Arial"/>
        <w:b/>
        <w:spacing w:val="-3"/>
        <w:sz w:val="16"/>
      </w:rPr>
    </w:pPr>
    <w:r>
      <w:rPr>
        <w:rFonts w:ascii="Arial" w:hAnsi="Arial"/>
        <w:b/>
        <w:spacing w:val="-3"/>
        <w:sz w:val="16"/>
      </w:rPr>
      <w:t xml:space="preserve">TRIBUNAL SUPERIOR DEL DISTRITO </w:t>
    </w:r>
    <w:r>
      <w:rPr>
        <w:rFonts w:ascii="Arial" w:hAnsi="Arial"/>
        <w:b/>
        <w:spacing w:val="-3"/>
        <w:sz w:val="16"/>
      </w:rPr>
      <w:tab/>
    </w:r>
  </w:p>
  <w:p w14:paraId="23AF3573" w14:textId="77777777" w:rsidR="00F93C8E" w:rsidRDefault="00F93C8E">
    <w:pPr>
      <w:tabs>
        <w:tab w:val="left" w:pos="-720"/>
      </w:tabs>
      <w:suppressAutoHyphens/>
      <w:jc w:val="both"/>
      <w:rPr>
        <w:rFonts w:ascii="Arial" w:hAnsi="Arial"/>
        <w:sz w:val="16"/>
      </w:rPr>
    </w:pPr>
    <w:r>
      <w:rPr>
        <w:rFonts w:ascii="Arial" w:hAnsi="Arial"/>
        <w:b/>
        <w:spacing w:val="-3"/>
        <w:sz w:val="16"/>
      </w:rPr>
      <w:tab/>
      <w:t xml:space="preserve">   </w:t>
    </w:r>
    <w:r>
      <w:rPr>
        <w:rFonts w:ascii="Arial" w:hAnsi="Arial"/>
        <w:b/>
        <w:spacing w:val="-3"/>
        <w:sz w:val="16"/>
      </w:rPr>
      <w:object w:dxaOrig="3090" w:dyaOrig="3285" w14:anchorId="11831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fillcolor="window">
          <v:imagedata r:id="rId1" o:title=""/>
        </v:shape>
        <o:OLEObject Type="Embed" ProgID="PBrush" ShapeID="_x0000_i1025" DrawAspect="Content" ObjectID="_1743339471" r:id="rId2"/>
      </w:object>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p>
  <w:p w14:paraId="13A2349A" w14:textId="77777777" w:rsidR="00F93C8E" w:rsidRDefault="00F93C8E">
    <w:pPr>
      <w:pStyle w:val="Ttulo3"/>
    </w:pPr>
    <w:r>
      <w:tab/>
      <w:t xml:space="preserve">  SALA LABORAL</w:t>
    </w:r>
    <w:r>
      <w:tab/>
    </w:r>
    <w:r>
      <w:tab/>
    </w:r>
    <w:r>
      <w:tab/>
    </w:r>
    <w:r>
      <w:tab/>
    </w:r>
  </w:p>
  <w:p w14:paraId="4DB355C8" w14:textId="5BC5B574" w:rsidR="00F93C8E" w:rsidRPr="008670F4" w:rsidRDefault="00F93C8E" w:rsidP="008670F4">
    <w:pPr>
      <w:pStyle w:val="Ttulo1"/>
      <w:ind w:left="0" w:firstLine="0"/>
      <w:rPr>
        <w:rFonts w:ascii="Arial" w:hAnsi="Arial"/>
        <w:i w:val="0"/>
        <w:sz w:val="16"/>
      </w:rPr>
    </w:pPr>
    <w:r>
      <w:rPr>
        <w:rFonts w:ascii="Arial" w:hAnsi="Arial"/>
        <w:sz w:val="16"/>
      </w:rPr>
      <w:t xml:space="preserve">          </w:t>
    </w:r>
    <w:r>
      <w:rPr>
        <w:rFonts w:ascii="Arial" w:hAnsi="Arial"/>
        <w:i w:val="0"/>
        <w:sz w:val="16"/>
      </w:rPr>
      <w:t>PEREIRA – RISARALDA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4D0"/>
    <w:multiLevelType w:val="hybridMultilevel"/>
    <w:tmpl w:val="4B706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0A51F4"/>
    <w:multiLevelType w:val="hybridMultilevel"/>
    <w:tmpl w:val="AF92F2F2"/>
    <w:lvl w:ilvl="0" w:tplc="C0D073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8072F"/>
    <w:multiLevelType w:val="hybridMultilevel"/>
    <w:tmpl w:val="816C7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842164"/>
    <w:multiLevelType w:val="hybridMultilevel"/>
    <w:tmpl w:val="650CD5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5226BB"/>
    <w:multiLevelType w:val="hybridMultilevel"/>
    <w:tmpl w:val="107EF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826EE6"/>
    <w:multiLevelType w:val="hybridMultilevel"/>
    <w:tmpl w:val="5E602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D27043A"/>
    <w:multiLevelType w:val="hybridMultilevel"/>
    <w:tmpl w:val="A2C262A6"/>
    <w:lvl w:ilvl="0" w:tplc="57CA6E0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220CF"/>
    <w:rsid w:val="00040B7C"/>
    <w:rsid w:val="00043B07"/>
    <w:rsid w:val="00097493"/>
    <w:rsid w:val="000A1BC1"/>
    <w:rsid w:val="000A4F95"/>
    <w:rsid w:val="000C2D3C"/>
    <w:rsid w:val="00101A33"/>
    <w:rsid w:val="00171DFE"/>
    <w:rsid w:val="001A45AA"/>
    <w:rsid w:val="001C705D"/>
    <w:rsid w:val="001E7D12"/>
    <w:rsid w:val="002056B0"/>
    <w:rsid w:val="0020783F"/>
    <w:rsid w:val="00213864"/>
    <w:rsid w:val="0023751B"/>
    <w:rsid w:val="0024083A"/>
    <w:rsid w:val="002B7F85"/>
    <w:rsid w:val="002D4FB4"/>
    <w:rsid w:val="002E2869"/>
    <w:rsid w:val="002E4275"/>
    <w:rsid w:val="003269FC"/>
    <w:rsid w:val="0033341D"/>
    <w:rsid w:val="00377A7D"/>
    <w:rsid w:val="003C11E2"/>
    <w:rsid w:val="003C6690"/>
    <w:rsid w:val="003D16E8"/>
    <w:rsid w:val="003D2663"/>
    <w:rsid w:val="003D57CC"/>
    <w:rsid w:val="0044582C"/>
    <w:rsid w:val="00457920"/>
    <w:rsid w:val="00460562"/>
    <w:rsid w:val="004A0363"/>
    <w:rsid w:val="004A123B"/>
    <w:rsid w:val="004C7987"/>
    <w:rsid w:val="004D3DD1"/>
    <w:rsid w:val="004D71B2"/>
    <w:rsid w:val="004E2551"/>
    <w:rsid w:val="004E2E48"/>
    <w:rsid w:val="00513F8A"/>
    <w:rsid w:val="005159E8"/>
    <w:rsid w:val="00557A66"/>
    <w:rsid w:val="00561D44"/>
    <w:rsid w:val="005941FB"/>
    <w:rsid w:val="00594F8C"/>
    <w:rsid w:val="005A0081"/>
    <w:rsid w:val="005B03E3"/>
    <w:rsid w:val="005C3200"/>
    <w:rsid w:val="005E66EB"/>
    <w:rsid w:val="00601230"/>
    <w:rsid w:val="00604361"/>
    <w:rsid w:val="006317AA"/>
    <w:rsid w:val="00633013"/>
    <w:rsid w:val="00681C62"/>
    <w:rsid w:val="006C1678"/>
    <w:rsid w:val="006D3DE4"/>
    <w:rsid w:val="00710788"/>
    <w:rsid w:val="007222A6"/>
    <w:rsid w:val="007341D0"/>
    <w:rsid w:val="00782EBA"/>
    <w:rsid w:val="007A04E5"/>
    <w:rsid w:val="007F45EC"/>
    <w:rsid w:val="00815D3A"/>
    <w:rsid w:val="00820095"/>
    <w:rsid w:val="00864E66"/>
    <w:rsid w:val="00865D57"/>
    <w:rsid w:val="008670F4"/>
    <w:rsid w:val="00884AB3"/>
    <w:rsid w:val="00891FC8"/>
    <w:rsid w:val="008C1CCF"/>
    <w:rsid w:val="008E1249"/>
    <w:rsid w:val="009270AC"/>
    <w:rsid w:val="009356BA"/>
    <w:rsid w:val="00951131"/>
    <w:rsid w:val="00961FE9"/>
    <w:rsid w:val="009648B4"/>
    <w:rsid w:val="009706A9"/>
    <w:rsid w:val="009A6D7D"/>
    <w:rsid w:val="009E4549"/>
    <w:rsid w:val="009F53F2"/>
    <w:rsid w:val="00A14F76"/>
    <w:rsid w:val="00A418C3"/>
    <w:rsid w:val="00A54E72"/>
    <w:rsid w:val="00A60BF5"/>
    <w:rsid w:val="00A85604"/>
    <w:rsid w:val="00AA54E1"/>
    <w:rsid w:val="00AD1098"/>
    <w:rsid w:val="00AE62C6"/>
    <w:rsid w:val="00B06B2B"/>
    <w:rsid w:val="00B21932"/>
    <w:rsid w:val="00B23175"/>
    <w:rsid w:val="00B823F6"/>
    <w:rsid w:val="00B84FC2"/>
    <w:rsid w:val="00BB7A85"/>
    <w:rsid w:val="00BC2998"/>
    <w:rsid w:val="00BC7D37"/>
    <w:rsid w:val="00BE3E41"/>
    <w:rsid w:val="00C3273C"/>
    <w:rsid w:val="00C4490E"/>
    <w:rsid w:val="00C46C95"/>
    <w:rsid w:val="00C65A99"/>
    <w:rsid w:val="00C857D6"/>
    <w:rsid w:val="00D22363"/>
    <w:rsid w:val="00D42CBB"/>
    <w:rsid w:val="00D6498D"/>
    <w:rsid w:val="00D71A6D"/>
    <w:rsid w:val="00D87D30"/>
    <w:rsid w:val="00D94D3E"/>
    <w:rsid w:val="00DD60DF"/>
    <w:rsid w:val="00E626CA"/>
    <w:rsid w:val="00E712DB"/>
    <w:rsid w:val="00E75A2E"/>
    <w:rsid w:val="00EC3660"/>
    <w:rsid w:val="00ED3A86"/>
    <w:rsid w:val="00ED3DAE"/>
    <w:rsid w:val="00ED6D40"/>
    <w:rsid w:val="00F019D5"/>
    <w:rsid w:val="00F04420"/>
    <w:rsid w:val="00F229A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styleId="Mencinsinresolver">
    <w:name w:val="Unresolved Mention"/>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749363D1-BBCF-43E5-8CC0-FE662C587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D9601-CC69-42A7-B634-44639797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497</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7</cp:revision>
  <cp:lastPrinted>2016-04-18T20:28:00Z</cp:lastPrinted>
  <dcterms:created xsi:type="dcterms:W3CDTF">2023-02-16T20:33:00Z</dcterms:created>
  <dcterms:modified xsi:type="dcterms:W3CDTF">2023-04-18T21:11:00Z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