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B1E93" w14:textId="2BF1B47C" w:rsidR="00D81421" w:rsidRPr="00DD2C5D" w:rsidRDefault="00D81421" w:rsidP="0033440E">
      <w:pPr>
        <w:spacing w:before="0" w:beforeAutospacing="0" w:after="0" w:afterAutospacing="0" w:line="240" w:lineRule="auto"/>
        <w:ind w:firstLine="0"/>
        <w:rPr>
          <w:rFonts w:ascii="Arial" w:hAnsi="Arial" w:cs="Arial"/>
          <w:sz w:val="20"/>
          <w:szCs w:val="18"/>
        </w:rPr>
      </w:pPr>
      <w:r w:rsidRPr="00DD2C5D">
        <w:rPr>
          <w:rFonts w:ascii="Arial" w:hAnsi="Arial" w:cs="Arial"/>
          <w:bCs/>
          <w:sz w:val="20"/>
          <w:szCs w:val="18"/>
        </w:rPr>
        <w:t>Providencia</w:t>
      </w:r>
      <w:r w:rsidRPr="00DD2C5D">
        <w:rPr>
          <w:rFonts w:ascii="Arial" w:hAnsi="Arial" w:cs="Arial"/>
          <w:sz w:val="20"/>
          <w:szCs w:val="18"/>
        </w:rPr>
        <w:t>:</w:t>
      </w:r>
      <w:r w:rsidR="00DD2C5D">
        <w:rPr>
          <w:rFonts w:ascii="Arial" w:hAnsi="Arial" w:cs="Arial"/>
          <w:sz w:val="20"/>
          <w:szCs w:val="18"/>
        </w:rPr>
        <w:tab/>
      </w:r>
      <w:r w:rsidRPr="00DD2C5D">
        <w:rPr>
          <w:rFonts w:ascii="Arial" w:hAnsi="Arial" w:cs="Arial"/>
          <w:sz w:val="20"/>
          <w:szCs w:val="18"/>
        </w:rPr>
        <w:tab/>
      </w:r>
      <w:r w:rsidRPr="00DD2C5D">
        <w:rPr>
          <w:rFonts w:ascii="Arial" w:hAnsi="Arial" w:cs="Arial"/>
          <w:spacing w:val="-8"/>
          <w:sz w:val="20"/>
          <w:szCs w:val="18"/>
        </w:rPr>
        <w:t>Consulta de sentencia</w:t>
      </w:r>
    </w:p>
    <w:p w14:paraId="5C70CAD6" w14:textId="72A5C83E" w:rsidR="00D81421" w:rsidRPr="00DD2C5D" w:rsidRDefault="00D81421" w:rsidP="0033440E">
      <w:pPr>
        <w:spacing w:before="0" w:beforeAutospacing="0" w:after="0" w:afterAutospacing="0" w:line="240" w:lineRule="auto"/>
        <w:ind w:firstLine="0"/>
        <w:rPr>
          <w:rFonts w:ascii="Arial" w:hAnsi="Arial" w:cs="Arial"/>
          <w:spacing w:val="-8"/>
          <w:sz w:val="20"/>
          <w:szCs w:val="18"/>
        </w:rPr>
      </w:pPr>
      <w:r w:rsidRPr="00DD2C5D">
        <w:rPr>
          <w:rFonts w:ascii="Arial" w:hAnsi="Arial" w:cs="Arial"/>
          <w:bCs/>
          <w:sz w:val="20"/>
          <w:szCs w:val="18"/>
        </w:rPr>
        <w:t>Proceso</w:t>
      </w:r>
      <w:r w:rsidRPr="00DD2C5D">
        <w:rPr>
          <w:rFonts w:ascii="Arial" w:hAnsi="Arial" w:cs="Arial"/>
          <w:sz w:val="20"/>
          <w:szCs w:val="18"/>
        </w:rPr>
        <w:t>:</w:t>
      </w:r>
      <w:r w:rsidRPr="00DD2C5D">
        <w:rPr>
          <w:rFonts w:ascii="Arial" w:hAnsi="Arial" w:cs="Arial"/>
          <w:iCs/>
          <w:sz w:val="20"/>
          <w:szCs w:val="18"/>
        </w:rPr>
        <w:tab/>
      </w:r>
      <w:r w:rsidRPr="00DD2C5D">
        <w:rPr>
          <w:rFonts w:ascii="Arial" w:hAnsi="Arial" w:cs="Arial"/>
          <w:iCs/>
          <w:sz w:val="20"/>
          <w:szCs w:val="18"/>
        </w:rPr>
        <w:tab/>
      </w:r>
      <w:r w:rsidRPr="00DD2C5D">
        <w:rPr>
          <w:rFonts w:ascii="Arial" w:hAnsi="Arial" w:cs="Arial"/>
          <w:spacing w:val="-8"/>
          <w:sz w:val="20"/>
          <w:szCs w:val="18"/>
        </w:rPr>
        <w:t xml:space="preserve">Ordinario Laboral </w:t>
      </w:r>
    </w:p>
    <w:p w14:paraId="6E2260FC" w14:textId="5CFFF280" w:rsidR="00D81421" w:rsidRPr="00DD2C5D" w:rsidRDefault="00D81421" w:rsidP="0033440E">
      <w:pPr>
        <w:spacing w:before="0" w:beforeAutospacing="0" w:after="0" w:afterAutospacing="0" w:line="240" w:lineRule="auto"/>
        <w:ind w:firstLine="0"/>
        <w:rPr>
          <w:rFonts w:ascii="Arial" w:hAnsi="Arial" w:cs="Arial"/>
          <w:sz w:val="20"/>
          <w:szCs w:val="18"/>
        </w:rPr>
      </w:pPr>
      <w:r w:rsidRPr="00DD2C5D">
        <w:rPr>
          <w:rFonts w:ascii="Arial" w:hAnsi="Arial" w:cs="Arial"/>
          <w:bCs/>
          <w:sz w:val="20"/>
          <w:szCs w:val="18"/>
        </w:rPr>
        <w:t>Radicación No</w:t>
      </w:r>
      <w:r w:rsidRPr="00DD2C5D">
        <w:rPr>
          <w:rFonts w:ascii="Arial" w:hAnsi="Arial" w:cs="Arial"/>
          <w:sz w:val="20"/>
          <w:szCs w:val="18"/>
        </w:rPr>
        <w:t>:</w:t>
      </w:r>
      <w:r w:rsidRPr="00DD2C5D">
        <w:rPr>
          <w:rFonts w:ascii="Arial" w:hAnsi="Arial" w:cs="Arial"/>
          <w:sz w:val="28"/>
        </w:rPr>
        <w:tab/>
      </w:r>
      <w:r w:rsidRPr="00DD2C5D">
        <w:rPr>
          <w:rFonts w:ascii="Arial" w:hAnsi="Arial" w:cs="Arial"/>
          <w:sz w:val="28"/>
        </w:rPr>
        <w:tab/>
      </w:r>
      <w:r w:rsidRPr="00DD2C5D">
        <w:rPr>
          <w:rFonts w:ascii="Arial" w:hAnsi="Arial" w:cs="Arial"/>
          <w:sz w:val="20"/>
          <w:szCs w:val="18"/>
        </w:rPr>
        <w:t>66001-31-05-002-2019-00051-01</w:t>
      </w:r>
    </w:p>
    <w:p w14:paraId="37EF9D4E" w14:textId="5A3758A0" w:rsidR="00D81421" w:rsidRPr="00DD2C5D" w:rsidRDefault="00D81421" w:rsidP="0033440E">
      <w:pPr>
        <w:spacing w:before="0" w:beforeAutospacing="0" w:after="0" w:afterAutospacing="0" w:line="240" w:lineRule="auto"/>
        <w:ind w:firstLine="0"/>
        <w:rPr>
          <w:rFonts w:ascii="Arial" w:hAnsi="Arial" w:cs="Arial"/>
          <w:sz w:val="20"/>
          <w:szCs w:val="18"/>
        </w:rPr>
      </w:pPr>
      <w:r w:rsidRPr="00DD2C5D">
        <w:rPr>
          <w:rFonts w:ascii="Arial" w:hAnsi="Arial" w:cs="Arial"/>
          <w:bCs/>
          <w:sz w:val="20"/>
          <w:szCs w:val="18"/>
        </w:rPr>
        <w:t>Demandante</w:t>
      </w:r>
      <w:r w:rsidRPr="00DD2C5D">
        <w:rPr>
          <w:rFonts w:ascii="Arial" w:hAnsi="Arial" w:cs="Arial"/>
          <w:sz w:val="20"/>
          <w:szCs w:val="18"/>
        </w:rPr>
        <w:t>:</w:t>
      </w:r>
      <w:r w:rsidR="00DD2C5D">
        <w:rPr>
          <w:rFonts w:ascii="Arial" w:hAnsi="Arial" w:cs="Arial"/>
          <w:sz w:val="20"/>
          <w:szCs w:val="18"/>
        </w:rPr>
        <w:tab/>
      </w:r>
      <w:r w:rsidRPr="00DD2C5D">
        <w:rPr>
          <w:rFonts w:ascii="Arial" w:hAnsi="Arial" w:cs="Arial"/>
          <w:sz w:val="28"/>
        </w:rPr>
        <w:tab/>
      </w:r>
      <w:r w:rsidRPr="00DD2C5D">
        <w:rPr>
          <w:rFonts w:ascii="Arial" w:hAnsi="Arial" w:cs="Arial"/>
          <w:sz w:val="20"/>
          <w:szCs w:val="18"/>
        </w:rPr>
        <w:t>Uriel Alberto Marulanda Echeverri</w:t>
      </w:r>
    </w:p>
    <w:p w14:paraId="7E72999E" w14:textId="184FC872" w:rsidR="00D81421" w:rsidRPr="00DD2C5D" w:rsidRDefault="00D81421" w:rsidP="0033440E">
      <w:pPr>
        <w:spacing w:before="0" w:beforeAutospacing="0" w:after="0" w:afterAutospacing="0" w:line="240" w:lineRule="auto"/>
        <w:ind w:firstLine="0"/>
        <w:rPr>
          <w:rFonts w:ascii="Arial" w:hAnsi="Arial" w:cs="Arial"/>
          <w:sz w:val="20"/>
          <w:szCs w:val="18"/>
        </w:rPr>
      </w:pPr>
      <w:r w:rsidRPr="00DD2C5D">
        <w:rPr>
          <w:rFonts w:ascii="Arial" w:hAnsi="Arial" w:cs="Arial"/>
          <w:bCs/>
          <w:sz w:val="20"/>
          <w:szCs w:val="18"/>
        </w:rPr>
        <w:t>Demandado:</w:t>
      </w:r>
      <w:r w:rsidRPr="00DD2C5D">
        <w:rPr>
          <w:rFonts w:ascii="Arial" w:hAnsi="Arial" w:cs="Arial"/>
          <w:sz w:val="28"/>
        </w:rPr>
        <w:tab/>
      </w:r>
      <w:r w:rsidRPr="00DD2C5D">
        <w:rPr>
          <w:rFonts w:ascii="Arial" w:hAnsi="Arial" w:cs="Arial"/>
          <w:sz w:val="28"/>
        </w:rPr>
        <w:tab/>
      </w:r>
      <w:r w:rsidRPr="00DD2C5D">
        <w:rPr>
          <w:rFonts w:ascii="Arial" w:hAnsi="Arial" w:cs="Arial"/>
          <w:sz w:val="20"/>
          <w:szCs w:val="18"/>
        </w:rPr>
        <w:t>Colpensiones</w:t>
      </w:r>
    </w:p>
    <w:p w14:paraId="1C903215" w14:textId="5F3B4951" w:rsidR="00AA29E1" w:rsidRPr="00DD2C5D" w:rsidRDefault="00AA29E1" w:rsidP="0033440E">
      <w:pPr>
        <w:spacing w:before="0" w:beforeAutospacing="0" w:after="0" w:afterAutospacing="0" w:line="240" w:lineRule="auto"/>
        <w:ind w:firstLine="0"/>
        <w:contextualSpacing/>
        <w:rPr>
          <w:rFonts w:ascii="Arial" w:hAnsi="Arial" w:cs="Arial"/>
          <w:bCs/>
          <w:sz w:val="20"/>
          <w:szCs w:val="18"/>
        </w:rPr>
      </w:pPr>
      <w:r w:rsidRPr="00DD2C5D">
        <w:rPr>
          <w:rFonts w:ascii="Arial" w:hAnsi="Arial" w:cs="Arial"/>
          <w:bCs/>
          <w:sz w:val="20"/>
          <w:szCs w:val="18"/>
        </w:rPr>
        <w:t>M</w:t>
      </w:r>
      <w:r w:rsidR="00CC0B61" w:rsidRPr="00DD2C5D">
        <w:rPr>
          <w:rFonts w:ascii="Arial" w:hAnsi="Arial" w:cs="Arial"/>
          <w:bCs/>
          <w:sz w:val="20"/>
          <w:szCs w:val="18"/>
        </w:rPr>
        <w:t>agistrada ponente:</w:t>
      </w:r>
      <w:r w:rsidRPr="00DD2C5D">
        <w:rPr>
          <w:rFonts w:ascii="Arial" w:hAnsi="Arial" w:cs="Arial"/>
          <w:bCs/>
          <w:sz w:val="20"/>
          <w:szCs w:val="18"/>
        </w:rPr>
        <w:tab/>
      </w:r>
      <w:r w:rsidR="00C579D7" w:rsidRPr="00DD2C5D">
        <w:rPr>
          <w:rFonts w:ascii="Arial" w:hAnsi="Arial" w:cs="Arial"/>
          <w:sz w:val="20"/>
          <w:szCs w:val="18"/>
        </w:rPr>
        <w:t>Dra. Olga Lucía Hoyos Sepúlveda</w:t>
      </w:r>
      <w:bookmarkStart w:id="0" w:name="_GoBack"/>
      <w:bookmarkEnd w:id="0"/>
    </w:p>
    <w:p w14:paraId="75F31EFB" w14:textId="77777777" w:rsidR="00CE480C" w:rsidRDefault="00CE480C" w:rsidP="00CE480C">
      <w:pPr>
        <w:pStyle w:val="NormalWeb"/>
        <w:spacing w:before="0" w:beforeAutospacing="0" w:after="0" w:afterAutospacing="0"/>
        <w:contextualSpacing/>
        <w:jc w:val="both"/>
        <w:rPr>
          <w:rFonts w:ascii="Arial" w:hAnsi="Arial" w:cs="Arial"/>
          <w:sz w:val="20"/>
        </w:rPr>
      </w:pPr>
    </w:p>
    <w:p w14:paraId="0AF870CF" w14:textId="77777777" w:rsidR="00CE480C" w:rsidRDefault="00CE480C" w:rsidP="00CE480C">
      <w:pPr>
        <w:pStyle w:val="NormalWeb"/>
        <w:spacing w:before="0" w:beforeAutospacing="0" w:after="0" w:afterAutospacing="0"/>
        <w:contextualSpacing/>
        <w:jc w:val="both"/>
        <w:rPr>
          <w:rFonts w:ascii="Arial" w:hAnsi="Arial" w:cs="Arial"/>
          <w:sz w:val="20"/>
        </w:rPr>
      </w:pPr>
    </w:p>
    <w:p w14:paraId="780C5EC8" w14:textId="77777777" w:rsidR="00CE480C" w:rsidRPr="003F5CB1" w:rsidRDefault="00CE480C" w:rsidP="00CE480C">
      <w:pPr>
        <w:pStyle w:val="NormalWeb"/>
        <w:spacing w:before="0" w:beforeAutospacing="0" w:after="0" w:afterAutospacing="0"/>
        <w:contextualSpacing/>
        <w:jc w:val="both"/>
        <w:rPr>
          <w:rFonts w:ascii="Arial" w:hAnsi="Arial" w:cs="Arial"/>
          <w:sz w:val="20"/>
        </w:rPr>
      </w:pPr>
    </w:p>
    <w:p w14:paraId="0D9D1798" w14:textId="77777777" w:rsidR="00CE480C" w:rsidRPr="003F5CB1" w:rsidRDefault="00CE480C" w:rsidP="00CE480C">
      <w:pPr>
        <w:pStyle w:val="NormalWeb"/>
        <w:spacing w:before="0" w:beforeAutospacing="0" w:after="0" w:afterAutospacing="0"/>
        <w:contextualSpacing/>
        <w:jc w:val="both"/>
        <w:rPr>
          <w:rFonts w:ascii="Arial" w:hAnsi="Arial" w:cs="Arial"/>
          <w:sz w:val="20"/>
        </w:rPr>
      </w:pPr>
    </w:p>
    <w:p w14:paraId="5E9EDC49" w14:textId="77777777" w:rsidR="00CE480C" w:rsidRDefault="00CE480C" w:rsidP="00CE480C">
      <w:pPr>
        <w:pStyle w:val="NormalWeb"/>
        <w:spacing w:before="0" w:beforeAutospacing="0" w:after="0" w:afterAutospacing="0" w:line="300" w:lineRule="auto"/>
        <w:contextualSpacing/>
        <w:jc w:val="center"/>
        <w:rPr>
          <w:rFonts w:ascii="Tahoma" w:hAnsi="Tahoma" w:cs="Tahoma"/>
          <w:b/>
        </w:rPr>
      </w:pPr>
      <w:r>
        <w:rPr>
          <w:rFonts w:ascii="Tahoma" w:hAnsi="Tahoma" w:cs="Tahoma"/>
          <w:b/>
        </w:rPr>
        <w:t>TRIBUNAL SUPERIOR DEL DISTRITO JUDICIAL</w:t>
      </w:r>
    </w:p>
    <w:p w14:paraId="0F75D3F5" w14:textId="77777777" w:rsidR="00CE480C" w:rsidRDefault="00CE480C" w:rsidP="00CE480C">
      <w:pPr>
        <w:pStyle w:val="NormalWeb"/>
        <w:spacing w:before="0" w:beforeAutospacing="0" w:after="0" w:afterAutospacing="0" w:line="300" w:lineRule="auto"/>
        <w:contextualSpacing/>
        <w:jc w:val="center"/>
        <w:rPr>
          <w:rFonts w:ascii="Tahoma" w:hAnsi="Tahoma" w:cs="Tahoma"/>
          <w:b/>
        </w:rPr>
      </w:pPr>
      <w:r>
        <w:rPr>
          <w:rFonts w:ascii="Tahoma" w:hAnsi="Tahoma" w:cs="Tahoma"/>
          <w:b/>
        </w:rPr>
        <w:t>SALA LABORAL</w:t>
      </w:r>
    </w:p>
    <w:p w14:paraId="36512603" w14:textId="77777777" w:rsidR="00CE480C" w:rsidRDefault="00CE480C" w:rsidP="00CE480C">
      <w:pPr>
        <w:pStyle w:val="NormalWeb"/>
        <w:spacing w:before="0" w:beforeAutospacing="0" w:after="0" w:afterAutospacing="0" w:line="300" w:lineRule="auto"/>
        <w:contextualSpacing/>
        <w:jc w:val="center"/>
        <w:rPr>
          <w:rFonts w:ascii="Tahoma" w:hAnsi="Tahoma" w:cs="Tahoma"/>
        </w:rPr>
      </w:pPr>
    </w:p>
    <w:p w14:paraId="622C09EB" w14:textId="77777777" w:rsidR="00CE480C" w:rsidRPr="00FC1836" w:rsidRDefault="00CE480C" w:rsidP="00CE480C">
      <w:pPr>
        <w:pStyle w:val="NormalWeb"/>
        <w:spacing w:before="0" w:beforeAutospacing="0" w:after="0" w:afterAutospacing="0" w:line="300" w:lineRule="auto"/>
        <w:contextualSpacing/>
        <w:jc w:val="center"/>
        <w:rPr>
          <w:rFonts w:ascii="Tahoma" w:hAnsi="Tahoma" w:cs="Tahoma"/>
          <w:b/>
        </w:rPr>
      </w:pPr>
      <w:r>
        <w:rPr>
          <w:rFonts w:ascii="Tahoma" w:hAnsi="Tahoma" w:cs="Tahoma"/>
        </w:rPr>
        <w:t xml:space="preserve">Magistrada: </w:t>
      </w:r>
      <w:r>
        <w:rPr>
          <w:rFonts w:ascii="Tahoma" w:hAnsi="Tahoma" w:cs="Tahoma"/>
          <w:b/>
        </w:rPr>
        <w:t>ANA LUCÍA CAICEDO CALDERÓN</w:t>
      </w:r>
    </w:p>
    <w:p w14:paraId="4E856B7D" w14:textId="77777777" w:rsidR="00CE480C" w:rsidRDefault="00CE480C" w:rsidP="00CE480C">
      <w:pPr>
        <w:pStyle w:val="NormalWeb"/>
        <w:spacing w:before="0" w:beforeAutospacing="0" w:after="0" w:afterAutospacing="0" w:line="300" w:lineRule="auto"/>
        <w:contextualSpacing/>
        <w:rPr>
          <w:rFonts w:ascii="Tahoma" w:hAnsi="Tahoma" w:cs="Tahoma"/>
        </w:rPr>
      </w:pPr>
    </w:p>
    <w:p w14:paraId="6F79828F" w14:textId="77777777" w:rsidR="00CE480C" w:rsidRDefault="00CE480C" w:rsidP="00CE480C">
      <w:pPr>
        <w:pStyle w:val="NormalWeb"/>
        <w:spacing w:before="0" w:beforeAutospacing="0" w:after="0" w:afterAutospacing="0" w:line="300" w:lineRule="auto"/>
        <w:contextualSpacing/>
        <w:rPr>
          <w:rFonts w:ascii="Tahoma" w:hAnsi="Tahoma" w:cs="Tahoma"/>
        </w:rPr>
      </w:pPr>
    </w:p>
    <w:p w14:paraId="23929439" w14:textId="77777777" w:rsidR="00CE480C" w:rsidRPr="00FC1836" w:rsidRDefault="00CE480C" w:rsidP="00CE480C">
      <w:pPr>
        <w:pStyle w:val="NormalWeb"/>
        <w:spacing w:before="0" w:beforeAutospacing="0" w:after="0" w:afterAutospacing="0" w:line="300" w:lineRule="auto"/>
        <w:contextualSpacing/>
        <w:rPr>
          <w:rFonts w:ascii="Tahoma" w:hAnsi="Tahoma" w:cs="Tahoma"/>
        </w:rPr>
      </w:pPr>
    </w:p>
    <w:p w14:paraId="494D1451" w14:textId="77777777" w:rsidR="00CE480C" w:rsidRPr="0092084E" w:rsidRDefault="00CE480C" w:rsidP="00CE480C">
      <w:pPr>
        <w:spacing w:before="0" w:beforeAutospacing="0" w:after="0" w:afterAutospacing="0" w:line="300" w:lineRule="auto"/>
        <w:ind w:firstLine="0"/>
        <w:contextualSpacing/>
        <w:jc w:val="center"/>
        <w:rPr>
          <w:rFonts w:ascii="Tahoma" w:eastAsia="Times New Roman" w:hAnsi="Tahoma" w:cs="Tahoma"/>
          <w:b/>
          <w:bCs/>
          <w:u w:val="single"/>
          <w:lang w:eastAsia="es-MX"/>
        </w:rPr>
      </w:pPr>
      <w:r w:rsidRPr="0092084E">
        <w:rPr>
          <w:rFonts w:ascii="Tahoma" w:eastAsia="Times New Roman" w:hAnsi="Tahoma" w:cs="Tahoma"/>
          <w:b/>
          <w:bCs/>
          <w:u w:val="single"/>
          <w:lang w:eastAsia="es-MX"/>
        </w:rPr>
        <w:t>SALVAMENTO DE VOTO</w:t>
      </w:r>
    </w:p>
    <w:p w14:paraId="2D113773" w14:textId="77777777" w:rsidR="00CE480C" w:rsidRDefault="00CE480C" w:rsidP="00CE480C">
      <w:pPr>
        <w:pStyle w:val="paragraph"/>
        <w:spacing w:before="0" w:beforeAutospacing="0" w:after="0" w:afterAutospacing="0" w:line="300" w:lineRule="auto"/>
        <w:jc w:val="both"/>
        <w:textAlignment w:val="baseline"/>
        <w:rPr>
          <w:rStyle w:val="normaltextrun"/>
          <w:rFonts w:ascii="Tahoma" w:hAnsi="Tahoma" w:cs="Tahoma"/>
          <w:lang w:val="es-ES"/>
        </w:rPr>
      </w:pPr>
    </w:p>
    <w:p w14:paraId="08891052" w14:textId="77777777" w:rsidR="00CE480C" w:rsidRPr="0092084E" w:rsidRDefault="00CE480C" w:rsidP="00CE480C">
      <w:pPr>
        <w:pStyle w:val="paragraph"/>
        <w:spacing w:before="0" w:beforeAutospacing="0" w:after="0" w:afterAutospacing="0" w:line="300" w:lineRule="auto"/>
        <w:jc w:val="both"/>
        <w:textAlignment w:val="baseline"/>
        <w:rPr>
          <w:rStyle w:val="normaltextrun"/>
          <w:rFonts w:ascii="Tahoma" w:hAnsi="Tahoma" w:cs="Tahoma"/>
          <w:lang w:val="es-ES"/>
        </w:rPr>
      </w:pPr>
    </w:p>
    <w:p w14:paraId="5E18A0DA" w14:textId="6A6034A2" w:rsidR="003237E3" w:rsidRPr="00E266BB" w:rsidRDefault="00E266BB" w:rsidP="00CE480C">
      <w:pPr>
        <w:pStyle w:val="paragraph"/>
        <w:spacing w:before="0" w:beforeAutospacing="0" w:after="0" w:afterAutospacing="0" w:line="300" w:lineRule="auto"/>
        <w:ind w:firstLine="705"/>
        <w:jc w:val="both"/>
        <w:textAlignment w:val="baseline"/>
        <w:rPr>
          <w:rFonts w:ascii="Tahoma" w:hAnsi="Tahoma" w:cs="Tahoma"/>
          <w:lang w:val="es-ES"/>
        </w:rPr>
      </w:pPr>
      <w:r w:rsidRPr="00B56257">
        <w:rPr>
          <w:rStyle w:val="normaltextrun"/>
          <w:rFonts w:ascii="Tahoma" w:hAnsi="Tahoma" w:cs="Tahoma"/>
          <w:lang w:val="es-ES"/>
        </w:rPr>
        <w:t>Con mi acostumbrado respeto, manifiesto mi inconformidad frente a la providencia mayoritaria por las siguientes razones:</w:t>
      </w:r>
    </w:p>
    <w:p w14:paraId="7087CDEC" w14:textId="343F53A7" w:rsidR="00D81421" w:rsidRDefault="00D81421" w:rsidP="00CE480C">
      <w:pPr>
        <w:widowControl w:val="0"/>
        <w:autoSpaceDE w:val="0"/>
        <w:autoSpaceDN w:val="0"/>
        <w:spacing w:before="0" w:beforeAutospacing="0" w:after="0" w:afterAutospacing="0" w:line="300" w:lineRule="auto"/>
        <w:ind w:firstLine="0"/>
        <w:contextualSpacing/>
        <w:rPr>
          <w:rFonts w:ascii="Tahoma" w:eastAsia="Calibri" w:hAnsi="Tahoma" w:cs="Tahoma"/>
          <w:lang w:val="es-ES"/>
        </w:rPr>
      </w:pPr>
    </w:p>
    <w:p w14:paraId="7C79070E" w14:textId="77777777" w:rsidR="00CE480C" w:rsidRPr="00FA4CFB" w:rsidRDefault="00CE480C" w:rsidP="00CE480C">
      <w:pPr>
        <w:widowControl w:val="0"/>
        <w:autoSpaceDE w:val="0"/>
        <w:autoSpaceDN w:val="0"/>
        <w:spacing w:before="0" w:beforeAutospacing="0" w:after="0" w:afterAutospacing="0" w:line="300" w:lineRule="auto"/>
        <w:ind w:firstLine="0"/>
        <w:contextualSpacing/>
        <w:rPr>
          <w:rFonts w:ascii="Tahoma" w:eastAsia="Calibri" w:hAnsi="Tahoma" w:cs="Tahoma"/>
          <w:lang w:val="es-ES"/>
        </w:rPr>
      </w:pPr>
    </w:p>
    <w:p w14:paraId="24F3D9F0" w14:textId="4CF46DC3" w:rsidR="00D81421" w:rsidRPr="00245963" w:rsidRDefault="00D81421" w:rsidP="00CE480C">
      <w:pPr>
        <w:pStyle w:val="Prrafodelista"/>
        <w:widowControl w:val="0"/>
        <w:numPr>
          <w:ilvl w:val="0"/>
          <w:numId w:val="3"/>
        </w:numPr>
        <w:autoSpaceDE w:val="0"/>
        <w:autoSpaceDN w:val="0"/>
        <w:spacing w:before="0" w:beforeAutospacing="0" w:after="0" w:afterAutospacing="0" w:line="300" w:lineRule="auto"/>
        <w:rPr>
          <w:rFonts w:ascii="Tahoma" w:eastAsia="Calibri" w:hAnsi="Tahoma" w:cs="Tahoma"/>
          <w:b/>
          <w:lang w:val="es-ES"/>
        </w:rPr>
      </w:pPr>
      <w:r w:rsidRPr="00245963">
        <w:rPr>
          <w:rFonts w:ascii="Tahoma" w:eastAsia="Calibri" w:hAnsi="Tahoma" w:cs="Tahoma"/>
          <w:b/>
          <w:lang w:val="es-ES"/>
        </w:rPr>
        <w:t xml:space="preserve">Sumatoria de tiempos de servicios en el sector público y privado a efectos de conceder la pensión de vejez bajo el acuerdo 049 de 1990, en aplicación del régimen de transición previsto en el artículo 36 de la ley 100 de 1993. </w:t>
      </w:r>
    </w:p>
    <w:p w14:paraId="39FC81C3" w14:textId="77777777" w:rsidR="00D81421" w:rsidRPr="009D1D6D" w:rsidRDefault="00D81421" w:rsidP="00CE480C">
      <w:pPr>
        <w:widowControl w:val="0"/>
        <w:autoSpaceDE w:val="0"/>
        <w:autoSpaceDN w:val="0"/>
        <w:spacing w:before="0" w:beforeAutospacing="0" w:after="0" w:afterAutospacing="0" w:line="300" w:lineRule="auto"/>
        <w:ind w:firstLine="0"/>
        <w:contextualSpacing/>
        <w:rPr>
          <w:rFonts w:ascii="Tahoma" w:eastAsia="Calibri" w:hAnsi="Tahoma" w:cs="Tahoma"/>
          <w:lang w:val="es-ES"/>
        </w:rPr>
      </w:pPr>
    </w:p>
    <w:p w14:paraId="270AEACF" w14:textId="77777777" w:rsidR="00D81421" w:rsidRPr="009D1D6D" w:rsidRDefault="00D81421" w:rsidP="00CE480C">
      <w:pPr>
        <w:widowControl w:val="0"/>
        <w:autoSpaceDE w:val="0"/>
        <w:autoSpaceDN w:val="0"/>
        <w:spacing w:before="0" w:beforeAutospacing="0" w:after="0" w:afterAutospacing="0" w:line="300" w:lineRule="auto"/>
        <w:ind w:firstLine="708"/>
        <w:contextualSpacing/>
        <w:rPr>
          <w:rFonts w:ascii="Tahoma" w:eastAsia="Calibri" w:hAnsi="Tahoma" w:cs="Tahoma"/>
          <w:lang w:val="es-ES"/>
        </w:rPr>
      </w:pPr>
      <w:r w:rsidRPr="009D1D6D">
        <w:rPr>
          <w:rFonts w:ascii="Tahoma" w:eastAsia="Calibri" w:hAnsi="Tahoma" w:cs="Tahoma"/>
          <w:lang w:val="es-ES"/>
        </w:rPr>
        <w:t xml:space="preserve">Hasta </w:t>
      </w:r>
      <w:r>
        <w:rPr>
          <w:rFonts w:ascii="Tahoma" w:eastAsia="Calibri" w:hAnsi="Tahoma" w:cs="Tahoma"/>
          <w:lang w:val="es-ES"/>
        </w:rPr>
        <w:t xml:space="preserve">la </w:t>
      </w:r>
      <w:r w:rsidRPr="009D1D6D">
        <w:rPr>
          <w:rFonts w:ascii="Tahoma" w:eastAsia="Calibri" w:hAnsi="Tahoma" w:cs="Tahoma"/>
          <w:lang w:val="es-ES"/>
        </w:rPr>
        <w:t xml:space="preserve">expedición de la sentencia SL-1947 de 2020 (del 1° de julio de 2020, M.P. Iván Mauricio Lenis Gómez) </w:t>
      </w:r>
      <w:r>
        <w:rPr>
          <w:rFonts w:ascii="Tahoma" w:eastAsia="Calibri" w:hAnsi="Tahoma" w:cs="Tahoma"/>
          <w:lang w:val="es-ES"/>
        </w:rPr>
        <w:t>l</w:t>
      </w:r>
      <w:r w:rsidRPr="009D1D6D">
        <w:rPr>
          <w:rFonts w:ascii="Tahoma" w:eastAsia="Calibri" w:hAnsi="Tahoma" w:cs="Tahoma"/>
          <w:lang w:val="es-ES"/>
        </w:rPr>
        <w:t>a Sala Laboral de la Corte Suprema de Justicia tenía adoctrinada la improcedencia de la sumatoria de semanas cotizadas al Instituto de Seguros Sociales (ISS) con tiempos de servicios públicos a efectos de conceder la pensión de vejez contemplada en el Acuerdo 049 de 1990. Ello, bajo el entendido de que esta normativa no previó expresamente tal posibilidad, como sí lo hizo unos años atrás la Ley 71 de 1988.  En tal sentido, la pensión de vejez del Acuerdo 049 de 1990, solo podía configurarse con el cumplimiento de la edad y las semanas de cotización previstas en tal normativa y bajo el presupuesto de que estas fueran efectivamente aportadas al ISS y en los términos fijados por sus reglamentos (así lo indicó, entre otras sentencias en la SL032 de 2018, en la cual se ratifica la línea jurisprudencial expresada en las sentencias SL16104-2014, SL9088- 2015, SL9351- 2016, SL12701-2016, SL11447-2016, SL13153-2016, SL8439-2016, SL18427-2016, SL11256-2016, SL1073- 2017, SL4271-2017 y, más recientemente, en los fallos SL5514-2018, SL4541-2018, SL5614-2019, CSL5580-2019, SL5113-2019, CSL4753-2019, SL4740-2019, SL4739-2019, SL3266-2019, SL2415-2019 y SL507-2020.</w:t>
      </w:r>
    </w:p>
    <w:p w14:paraId="68DEE049" w14:textId="77777777" w:rsidR="00D81421" w:rsidRPr="009D1D6D" w:rsidRDefault="00D81421" w:rsidP="00CE480C">
      <w:pPr>
        <w:widowControl w:val="0"/>
        <w:autoSpaceDE w:val="0"/>
        <w:autoSpaceDN w:val="0"/>
        <w:spacing w:before="0" w:beforeAutospacing="0" w:after="0" w:afterAutospacing="0" w:line="300" w:lineRule="auto"/>
        <w:ind w:firstLine="0"/>
        <w:contextualSpacing/>
        <w:rPr>
          <w:rFonts w:ascii="Tahoma" w:eastAsia="Calibri" w:hAnsi="Tahoma" w:cs="Tahoma"/>
          <w:lang w:val="es-ES"/>
        </w:rPr>
      </w:pPr>
    </w:p>
    <w:p w14:paraId="494F4F99" w14:textId="77777777" w:rsidR="00D81421" w:rsidRPr="009D1D6D" w:rsidRDefault="00D81421" w:rsidP="00CE480C">
      <w:pPr>
        <w:widowControl w:val="0"/>
        <w:autoSpaceDE w:val="0"/>
        <w:autoSpaceDN w:val="0"/>
        <w:spacing w:before="0" w:beforeAutospacing="0" w:after="0" w:afterAutospacing="0" w:line="300" w:lineRule="auto"/>
        <w:ind w:firstLine="708"/>
        <w:contextualSpacing/>
        <w:rPr>
          <w:rFonts w:ascii="Tahoma" w:eastAsia="Calibri" w:hAnsi="Tahoma" w:cs="Tahoma"/>
          <w:lang w:val="es-ES"/>
        </w:rPr>
      </w:pPr>
      <w:r>
        <w:rPr>
          <w:rFonts w:ascii="Tahoma" w:eastAsia="Calibri" w:hAnsi="Tahoma" w:cs="Tahoma"/>
          <w:lang w:val="es-ES"/>
        </w:rPr>
        <w:lastRenderedPageBreak/>
        <w:t xml:space="preserve">Sin embargo, en la </w:t>
      </w:r>
      <w:r w:rsidRPr="009D1D6D">
        <w:rPr>
          <w:rFonts w:ascii="Tahoma" w:eastAsia="Calibri" w:hAnsi="Tahoma" w:cs="Tahoma"/>
          <w:lang w:val="es-ES"/>
        </w:rPr>
        <w:t xml:space="preserve">citada sentencia, SL-1947 de 2020, la Corte varió tal precedente, al considerar que si el artículo 36 de la Ley 100 de 1993, solo opera para las pensiones de transición en los puntos de edad, tiempo y monto, entonces la forma de computar las semanas para estas prestaciones se rige por el literal f) del artículo 13, el parágrafo 1º del artículo 33 y el parágrafo del artículo 36 de la Ley 100 de 1993, que disponen expresamente la posibilidad de sumar tiempos privados y tiempos públicos, así estos no hayan sido objeto de aportes a cajas, fondos o entidades de previsión social y concluyó que </w:t>
      </w:r>
      <w:r w:rsidRPr="009A5088">
        <w:rPr>
          <w:rFonts w:ascii="Tahoma" w:eastAsia="Calibri" w:hAnsi="Tahoma" w:cs="Tahoma"/>
          <w:i/>
          <w:lang w:val="es-ES"/>
        </w:rPr>
        <w:t>“para establecer que las pensiones de vejez contempladas en el Acuerdo 049 de 1990, aprobado por el Decreto 758 de la misma anualidad, aplicable por vía del régimen de transición de la Ley 100 de 1993, pueden consolidarse con semanas efectivamente cotizadas al ISS, hoy Colpensiones, y los tiempos laborados a entidades públicas”.</w:t>
      </w:r>
    </w:p>
    <w:p w14:paraId="02AD7CD3" w14:textId="77777777" w:rsidR="00D81421" w:rsidRPr="009D1D6D" w:rsidRDefault="00D81421" w:rsidP="00CE480C">
      <w:pPr>
        <w:widowControl w:val="0"/>
        <w:autoSpaceDE w:val="0"/>
        <w:autoSpaceDN w:val="0"/>
        <w:spacing w:before="0" w:beforeAutospacing="0" w:after="0" w:afterAutospacing="0" w:line="300" w:lineRule="auto"/>
        <w:ind w:firstLine="0"/>
        <w:contextualSpacing/>
        <w:rPr>
          <w:rFonts w:ascii="Tahoma" w:eastAsia="Calibri" w:hAnsi="Tahoma" w:cs="Tahoma"/>
          <w:lang w:val="es-ES"/>
        </w:rPr>
      </w:pPr>
    </w:p>
    <w:p w14:paraId="549A4EC4" w14:textId="77777777" w:rsidR="00D81421" w:rsidRDefault="00D81421" w:rsidP="00CE480C">
      <w:pPr>
        <w:widowControl w:val="0"/>
        <w:autoSpaceDE w:val="0"/>
        <w:autoSpaceDN w:val="0"/>
        <w:spacing w:before="0" w:beforeAutospacing="0" w:after="0" w:afterAutospacing="0" w:line="300" w:lineRule="auto"/>
        <w:ind w:firstLine="0"/>
        <w:contextualSpacing/>
        <w:rPr>
          <w:rFonts w:ascii="Tahoma" w:eastAsia="Calibri" w:hAnsi="Tahoma" w:cs="Tahoma"/>
          <w:lang w:val="es-ES"/>
        </w:rPr>
      </w:pPr>
      <w:r w:rsidRPr="009D1D6D">
        <w:rPr>
          <w:rFonts w:ascii="Tahoma" w:eastAsia="Calibri" w:hAnsi="Tahoma" w:cs="Tahoma"/>
          <w:lang w:val="es-ES"/>
        </w:rPr>
        <w:tab/>
        <w:t>Cabe agregar que la variación de la interpretación imperante en la Corte Suprema de Justicia también fue acogida por la Magistrada Clara Cecilia Dueñas Quevedo, en la sentencia SL1981 de 2020, también del 1° de julio de 2020, en la que señaló que</w:t>
      </w:r>
      <w:r>
        <w:rPr>
          <w:rFonts w:ascii="Tahoma" w:eastAsia="Calibri" w:hAnsi="Tahoma" w:cs="Tahoma"/>
          <w:lang w:val="es-ES"/>
        </w:rPr>
        <w:t xml:space="preserve"> si </w:t>
      </w:r>
      <w:r w:rsidRPr="009D1D6D">
        <w:rPr>
          <w:rFonts w:ascii="Tahoma" w:eastAsia="Calibri" w:hAnsi="Tahoma" w:cs="Tahoma"/>
          <w:lang w:val="es-ES"/>
        </w:rPr>
        <w:t>el contexto histórico y social cambia, la jurisprudencia puede y debe reflexionar para dar paso a renovadas y contundentes soluciones acordes a dicha transformación</w:t>
      </w:r>
      <w:r>
        <w:rPr>
          <w:rFonts w:ascii="Tahoma" w:eastAsia="Calibri" w:hAnsi="Tahoma" w:cs="Tahoma"/>
          <w:lang w:val="es-ES"/>
        </w:rPr>
        <w:t xml:space="preserve">, </w:t>
      </w:r>
      <w:r w:rsidRPr="009D1D6D">
        <w:rPr>
          <w:rFonts w:ascii="Tahoma" w:eastAsia="Calibri" w:hAnsi="Tahoma" w:cs="Tahoma"/>
          <w:lang w:val="es-ES"/>
        </w:rPr>
        <w:t>con mayor razón cuando la nueva línea de pensamiento contribuye al desarrollo de los derechos fundamentales de los ciudadanos. En este sentido, la jurisprudencia es, esencialmente, dinámica, viva y siempre abierta a la reflexión y al cambio para evolucionar. Y añadió que, si bien en un preciso momento las razones que surgieron en favor de la postura que abogaba por la imposibilidad de acumular cotizaciones al ISS con tiempos laborados en el sector público no sufragados a esta entidad, eran relevantes y estaban fundamentas en raciocinios plausibles, en la actualidad, al ser contrastadas con otros argumentos han perdido peso, al punto de quedar totalmente eclipsadas.</w:t>
      </w:r>
    </w:p>
    <w:p w14:paraId="3ECCA42D" w14:textId="77777777" w:rsidR="00D81421" w:rsidRPr="009D1D6D" w:rsidRDefault="00D81421" w:rsidP="00CE480C">
      <w:pPr>
        <w:widowControl w:val="0"/>
        <w:autoSpaceDE w:val="0"/>
        <w:autoSpaceDN w:val="0"/>
        <w:spacing w:before="0" w:beforeAutospacing="0" w:after="0" w:afterAutospacing="0" w:line="300" w:lineRule="auto"/>
        <w:ind w:firstLine="0"/>
        <w:contextualSpacing/>
        <w:rPr>
          <w:rFonts w:ascii="Tahoma" w:eastAsia="Calibri" w:hAnsi="Tahoma" w:cs="Tahoma"/>
          <w:lang w:val="es-ES"/>
        </w:rPr>
      </w:pPr>
    </w:p>
    <w:p w14:paraId="4BC31D33" w14:textId="77777777" w:rsidR="00D81421" w:rsidRPr="009D1D6D" w:rsidRDefault="00D81421" w:rsidP="00CE480C">
      <w:pPr>
        <w:widowControl w:val="0"/>
        <w:autoSpaceDE w:val="0"/>
        <w:autoSpaceDN w:val="0"/>
        <w:spacing w:before="0" w:beforeAutospacing="0" w:after="0" w:afterAutospacing="0" w:line="300" w:lineRule="auto"/>
        <w:ind w:firstLine="708"/>
        <w:contextualSpacing/>
        <w:rPr>
          <w:rFonts w:ascii="Tahoma" w:eastAsia="Calibri" w:hAnsi="Tahoma" w:cs="Tahoma"/>
          <w:lang w:val="es-ES"/>
        </w:rPr>
      </w:pPr>
      <w:r w:rsidRPr="009D1D6D">
        <w:rPr>
          <w:rFonts w:ascii="Tahoma" w:eastAsia="Calibri" w:hAnsi="Tahoma" w:cs="Tahoma"/>
          <w:lang w:val="es-ES"/>
        </w:rPr>
        <w:t>Luego de ese preámbulo, explicó que la jurisprudencia de la Sala de Casación Laboral ha avanzado en una línea que aboga por darle efecto a todos los tiempos laborados para cubrir pensiones de la Ley 100 de 1993, dentro de las cuales se encuentran las del régimen de transición, pues no hay razón alguna que justifique inaplicar en estos casos el literal f) del artículo 13 y el parágrafo 1° del artículo 33 de la Ley 100 de 1993, disposiciones que, expresamente, consagran la suma de tiempos públicos, hayan sido o no objeto de aportes a cajas, fondos o entidades de previsión social, pues, en estricto rigor, los beneficiarios del régimen de transición se encuentran afiliados al Sistema General de Pensiones, conforme lo prevé el artículo 15 de la Ley 100 de 1993, luego les asiste el derecho a la portabilidad de las semanas efectivamente laboradas, independientemente de que su empleador público no las hubiera cotizado al ISS o a otra caja o entidad de previsión social.</w:t>
      </w:r>
    </w:p>
    <w:p w14:paraId="174418FA" w14:textId="77777777" w:rsidR="00D81421" w:rsidRPr="009D1D6D" w:rsidRDefault="00D81421" w:rsidP="00CE480C">
      <w:pPr>
        <w:widowControl w:val="0"/>
        <w:autoSpaceDE w:val="0"/>
        <w:autoSpaceDN w:val="0"/>
        <w:spacing w:before="0" w:beforeAutospacing="0" w:after="0" w:afterAutospacing="0" w:line="300" w:lineRule="auto"/>
        <w:ind w:firstLine="0"/>
        <w:contextualSpacing/>
        <w:rPr>
          <w:rFonts w:ascii="Tahoma" w:eastAsia="Calibri" w:hAnsi="Tahoma" w:cs="Tahoma"/>
          <w:lang w:val="es-ES"/>
        </w:rPr>
      </w:pPr>
    </w:p>
    <w:p w14:paraId="2A7EF46E" w14:textId="0C13F70B" w:rsidR="00D81421" w:rsidRDefault="00D81421" w:rsidP="00CE480C">
      <w:pPr>
        <w:widowControl w:val="0"/>
        <w:autoSpaceDE w:val="0"/>
        <w:autoSpaceDN w:val="0"/>
        <w:spacing w:before="0" w:beforeAutospacing="0" w:after="0" w:afterAutospacing="0" w:line="300" w:lineRule="auto"/>
        <w:ind w:firstLine="708"/>
        <w:contextualSpacing/>
        <w:rPr>
          <w:rFonts w:ascii="Tahoma" w:eastAsia="Calibri" w:hAnsi="Tahoma" w:cs="Tahoma"/>
          <w:lang w:val="es-ES"/>
        </w:rPr>
      </w:pPr>
      <w:r w:rsidRPr="009D1D6D">
        <w:rPr>
          <w:rFonts w:ascii="Tahoma" w:eastAsia="Calibri" w:hAnsi="Tahoma" w:cs="Tahoma"/>
          <w:lang w:val="es-ES"/>
        </w:rPr>
        <w:t xml:space="preserve">En consonancia con el cambio jurisprudencial esbozado, </w:t>
      </w:r>
      <w:r w:rsidR="00245963">
        <w:rPr>
          <w:rFonts w:ascii="Tahoma" w:eastAsia="Calibri" w:hAnsi="Tahoma" w:cs="Tahoma"/>
          <w:lang w:val="es-ES"/>
        </w:rPr>
        <w:t xml:space="preserve">las </w:t>
      </w:r>
      <w:r w:rsidRPr="009D1D6D">
        <w:rPr>
          <w:rFonts w:ascii="Tahoma" w:eastAsia="Calibri" w:hAnsi="Tahoma" w:cs="Tahoma"/>
          <w:lang w:val="es-ES"/>
        </w:rPr>
        <w:t>Sala</w:t>
      </w:r>
      <w:r w:rsidR="00245963">
        <w:rPr>
          <w:rFonts w:ascii="Tahoma" w:eastAsia="Calibri" w:hAnsi="Tahoma" w:cs="Tahoma"/>
          <w:lang w:val="es-ES"/>
        </w:rPr>
        <w:t>s</w:t>
      </w:r>
      <w:r w:rsidRPr="009D1D6D">
        <w:rPr>
          <w:rFonts w:ascii="Tahoma" w:eastAsia="Calibri" w:hAnsi="Tahoma" w:cs="Tahoma"/>
          <w:lang w:val="es-ES"/>
        </w:rPr>
        <w:t xml:space="preserve"> </w:t>
      </w:r>
      <w:r w:rsidR="00245963">
        <w:rPr>
          <w:rFonts w:ascii="Tahoma" w:eastAsia="Calibri" w:hAnsi="Tahoma" w:cs="Tahoma"/>
          <w:lang w:val="es-ES"/>
        </w:rPr>
        <w:t xml:space="preserve">1 y 2 de esta Corporación </w:t>
      </w:r>
      <w:r>
        <w:rPr>
          <w:rFonts w:ascii="Tahoma" w:eastAsia="Calibri" w:hAnsi="Tahoma" w:cs="Tahoma"/>
          <w:lang w:val="es-ES"/>
        </w:rPr>
        <w:t>adopt</w:t>
      </w:r>
      <w:r w:rsidR="00245963">
        <w:rPr>
          <w:rFonts w:ascii="Tahoma" w:eastAsia="Calibri" w:hAnsi="Tahoma" w:cs="Tahoma"/>
          <w:lang w:val="es-ES"/>
        </w:rPr>
        <w:t>aron</w:t>
      </w:r>
      <w:r>
        <w:rPr>
          <w:rFonts w:ascii="Tahoma" w:eastAsia="Calibri" w:hAnsi="Tahoma" w:cs="Tahoma"/>
          <w:lang w:val="es-ES"/>
        </w:rPr>
        <w:t xml:space="preserve"> mayoritariamente este </w:t>
      </w:r>
      <w:r w:rsidRPr="009D1D6D">
        <w:rPr>
          <w:rFonts w:ascii="Tahoma" w:eastAsia="Calibri" w:hAnsi="Tahoma" w:cs="Tahoma"/>
          <w:lang w:val="es-ES"/>
        </w:rPr>
        <w:t>precedente</w:t>
      </w:r>
      <w:r>
        <w:rPr>
          <w:rFonts w:ascii="Tahoma" w:eastAsia="Calibri" w:hAnsi="Tahoma" w:cs="Tahoma"/>
          <w:lang w:val="es-ES"/>
        </w:rPr>
        <w:t xml:space="preserve">, </w:t>
      </w:r>
      <w:r w:rsidRPr="009D1D6D">
        <w:rPr>
          <w:rFonts w:ascii="Tahoma" w:eastAsia="Calibri" w:hAnsi="Tahoma" w:cs="Tahoma"/>
          <w:lang w:val="es-ES"/>
        </w:rPr>
        <w:t xml:space="preserve">según </w:t>
      </w:r>
      <w:r>
        <w:rPr>
          <w:rFonts w:ascii="Tahoma" w:eastAsia="Calibri" w:hAnsi="Tahoma" w:cs="Tahoma"/>
          <w:lang w:val="es-ES"/>
        </w:rPr>
        <w:t>el</w:t>
      </w:r>
      <w:r w:rsidRPr="009D1D6D">
        <w:rPr>
          <w:rFonts w:ascii="Tahoma" w:eastAsia="Calibri" w:hAnsi="Tahoma" w:cs="Tahoma"/>
          <w:lang w:val="es-ES"/>
        </w:rPr>
        <w:t xml:space="preserve"> cual los </w:t>
      </w:r>
      <w:r w:rsidRPr="009D1D6D">
        <w:rPr>
          <w:rFonts w:ascii="Tahoma" w:eastAsia="Calibri" w:hAnsi="Tahoma" w:cs="Tahoma"/>
          <w:lang w:val="es-ES"/>
        </w:rPr>
        <w:lastRenderedPageBreak/>
        <w:t xml:space="preserve">beneficiarios del régimen de transición, son afiliados del sistema general de seguridad social y, por consiguiente, salvo en lo que respecta a la edad, tiempo y monto de la pensión, las directrices, principios y reglas de la Ley 100 de 1993 les aplica en su integridad, lo que incluye la posibilidad de sumar todas las semanas laboradas en el sector público, sin importar si fueron o no cotizadas al ISS, hoy Colpensiones. </w:t>
      </w:r>
    </w:p>
    <w:p w14:paraId="293B4236" w14:textId="06C40FED" w:rsidR="0001605C" w:rsidRDefault="0001605C" w:rsidP="00CE480C">
      <w:pPr>
        <w:spacing w:before="0" w:beforeAutospacing="0" w:after="0" w:afterAutospacing="0" w:line="300" w:lineRule="auto"/>
        <w:ind w:firstLine="709"/>
        <w:contextualSpacing/>
        <w:rPr>
          <w:rFonts w:ascii="Tahoma" w:eastAsia="Times New Roman" w:hAnsi="Tahoma" w:cs="Tahoma"/>
          <w:lang w:eastAsia="es-MX"/>
        </w:rPr>
      </w:pPr>
    </w:p>
    <w:p w14:paraId="2AA3B1C5" w14:textId="77777777" w:rsidR="00CE480C" w:rsidRDefault="00CE480C" w:rsidP="00CE480C">
      <w:pPr>
        <w:spacing w:before="0" w:beforeAutospacing="0" w:after="0" w:afterAutospacing="0" w:line="300" w:lineRule="auto"/>
        <w:ind w:firstLine="709"/>
        <w:contextualSpacing/>
        <w:rPr>
          <w:rFonts w:ascii="Tahoma" w:eastAsia="Times New Roman" w:hAnsi="Tahoma" w:cs="Tahoma"/>
          <w:lang w:eastAsia="es-MX"/>
        </w:rPr>
      </w:pPr>
    </w:p>
    <w:p w14:paraId="19669E73" w14:textId="070D00A5" w:rsidR="00245963" w:rsidRDefault="00245963" w:rsidP="00CE480C">
      <w:pPr>
        <w:pStyle w:val="Prrafodelista"/>
        <w:numPr>
          <w:ilvl w:val="0"/>
          <w:numId w:val="3"/>
        </w:numPr>
        <w:spacing w:before="0" w:beforeAutospacing="0" w:after="0" w:afterAutospacing="0" w:line="300" w:lineRule="auto"/>
        <w:rPr>
          <w:rFonts w:ascii="Tahoma" w:eastAsia="Times New Roman" w:hAnsi="Tahoma" w:cs="Tahoma"/>
          <w:b/>
          <w:lang w:eastAsia="es-MX"/>
        </w:rPr>
      </w:pPr>
      <w:r>
        <w:rPr>
          <w:rFonts w:ascii="Tahoma" w:eastAsia="Times New Roman" w:hAnsi="Tahoma" w:cs="Tahoma"/>
          <w:b/>
          <w:lang w:eastAsia="es-MX"/>
        </w:rPr>
        <w:t>Caso concreto</w:t>
      </w:r>
    </w:p>
    <w:p w14:paraId="79BDF099" w14:textId="77777777" w:rsidR="00CE480C" w:rsidRDefault="00CE480C" w:rsidP="00CE480C">
      <w:pPr>
        <w:spacing w:before="0" w:beforeAutospacing="0" w:after="0" w:afterAutospacing="0" w:line="300" w:lineRule="auto"/>
        <w:rPr>
          <w:rFonts w:ascii="Tahoma" w:eastAsia="Arial" w:hAnsi="Tahoma" w:cs="Tahoma"/>
          <w:color w:val="000000" w:themeColor="text1"/>
          <w:lang w:val="es-ES"/>
        </w:rPr>
      </w:pPr>
    </w:p>
    <w:p w14:paraId="1D5167BF" w14:textId="2258B6CC" w:rsidR="00245963" w:rsidRPr="00245963" w:rsidRDefault="00245963" w:rsidP="00CE480C">
      <w:pPr>
        <w:spacing w:before="0" w:beforeAutospacing="0" w:after="0" w:afterAutospacing="0" w:line="300" w:lineRule="auto"/>
        <w:rPr>
          <w:rFonts w:ascii="Tahoma" w:eastAsia="Arial" w:hAnsi="Tahoma" w:cs="Tahoma"/>
          <w:color w:val="000000" w:themeColor="text1"/>
          <w:lang w:val="es-ES"/>
        </w:rPr>
      </w:pPr>
      <w:r w:rsidRPr="00245963">
        <w:rPr>
          <w:rFonts w:ascii="Tahoma" w:eastAsia="Arial" w:hAnsi="Tahoma" w:cs="Tahoma"/>
          <w:color w:val="000000" w:themeColor="text1"/>
          <w:lang w:val="es-ES"/>
        </w:rPr>
        <w:t>El demandante cotizó un total de 1.324,42 semanas hasta el 01/09/2012, que comprenden tanto tiempo laborado en el sector oficial del 16/03/1978 al 16/11/1995 iguales a 900,28 semanas, como cotizaciones al ISS, hoy Colpensiones del 05/05/2002 al 01/09/2012 iguales a 424,14 semanas.</w:t>
      </w:r>
      <w:r>
        <w:rPr>
          <w:rFonts w:ascii="Tahoma" w:eastAsia="Arial" w:hAnsi="Tahoma" w:cs="Tahoma"/>
          <w:color w:val="000000" w:themeColor="text1"/>
          <w:lang w:val="es-ES"/>
        </w:rPr>
        <w:t xml:space="preserve"> En consecuencia, su pensión debió disciplinarse bajo los postulados del Acuerdo 049 de 1.990, tal como lo hizo la jueza de instancia y no con la ley 71 de 1988, como lo hizo la sala mayoritaria porque la primera norma le es más favorable. A partir de ahí, esto es, de la aplicación del Acuerdo 049 de 1.990 salía avante el </w:t>
      </w:r>
      <w:r w:rsidR="00CE480C">
        <w:rPr>
          <w:rFonts w:ascii="Tahoma" w:eastAsia="Arial" w:hAnsi="Tahoma" w:cs="Tahoma"/>
          <w:color w:val="000000" w:themeColor="text1"/>
          <w:lang w:val="es-ES"/>
        </w:rPr>
        <w:t>recurso</w:t>
      </w:r>
      <w:r>
        <w:rPr>
          <w:rFonts w:ascii="Tahoma" w:eastAsia="Arial" w:hAnsi="Tahoma" w:cs="Tahoma"/>
          <w:color w:val="000000" w:themeColor="text1"/>
          <w:lang w:val="es-ES"/>
        </w:rPr>
        <w:t xml:space="preserve"> de apelación de la parte demandante.</w:t>
      </w:r>
    </w:p>
    <w:p w14:paraId="18DE6ACC" w14:textId="77777777" w:rsidR="00245963" w:rsidRPr="00245963" w:rsidRDefault="00245963" w:rsidP="00CE480C">
      <w:pPr>
        <w:spacing w:before="0" w:beforeAutospacing="0" w:after="0" w:afterAutospacing="0" w:line="300" w:lineRule="auto"/>
        <w:ind w:left="360" w:firstLine="0"/>
        <w:rPr>
          <w:rFonts w:ascii="Tahoma" w:eastAsia="Times New Roman" w:hAnsi="Tahoma" w:cs="Tahoma"/>
          <w:b/>
          <w:lang w:eastAsia="es-MX"/>
        </w:rPr>
      </w:pPr>
    </w:p>
    <w:p w14:paraId="6645E494" w14:textId="3C947873" w:rsidR="00C0353E" w:rsidRDefault="00CC0B61" w:rsidP="00CE480C">
      <w:pPr>
        <w:spacing w:before="0" w:beforeAutospacing="0" w:after="0" w:afterAutospacing="0" w:line="300" w:lineRule="auto"/>
        <w:ind w:firstLine="709"/>
        <w:contextualSpacing/>
        <w:rPr>
          <w:rFonts w:ascii="Tahoma" w:eastAsia="Times New Roman" w:hAnsi="Tahoma" w:cs="Tahoma"/>
          <w:lang w:eastAsia="es-MX"/>
        </w:rPr>
      </w:pPr>
      <w:r w:rsidRPr="00CC0B61">
        <w:rPr>
          <w:rFonts w:ascii="Tahoma" w:eastAsia="Times New Roman" w:hAnsi="Tahoma" w:cs="Tahoma"/>
          <w:lang w:eastAsia="es-MX"/>
        </w:rPr>
        <w:t xml:space="preserve">En estos </w:t>
      </w:r>
      <w:r w:rsidR="00C0353E" w:rsidRPr="00CC0B61">
        <w:rPr>
          <w:rFonts w:ascii="Tahoma" w:eastAsia="Times New Roman" w:hAnsi="Tahoma" w:cs="Tahoma"/>
          <w:lang w:eastAsia="es-MX"/>
        </w:rPr>
        <w:t>términos</w:t>
      </w:r>
      <w:r w:rsidRPr="00CC0B61">
        <w:rPr>
          <w:rFonts w:ascii="Tahoma" w:eastAsia="Times New Roman" w:hAnsi="Tahoma" w:cs="Tahoma"/>
          <w:lang w:eastAsia="es-MX"/>
        </w:rPr>
        <w:t xml:space="preserve"> sustento mi salvamento de voto.</w:t>
      </w:r>
    </w:p>
    <w:p w14:paraId="26DDBA22" w14:textId="55616128" w:rsidR="00167469" w:rsidRDefault="00167469" w:rsidP="00CE480C">
      <w:pPr>
        <w:spacing w:before="0" w:beforeAutospacing="0" w:after="0" w:afterAutospacing="0" w:line="300" w:lineRule="auto"/>
        <w:ind w:firstLine="709"/>
        <w:contextualSpacing/>
        <w:rPr>
          <w:rFonts w:ascii="Tahoma" w:eastAsia="Times New Roman" w:hAnsi="Tahoma" w:cs="Tahoma"/>
          <w:lang w:eastAsia="es-MX"/>
        </w:rPr>
      </w:pPr>
    </w:p>
    <w:p w14:paraId="13D91F57" w14:textId="77777777" w:rsidR="00CE480C" w:rsidRPr="00C0353E" w:rsidRDefault="00CE480C" w:rsidP="00CE480C">
      <w:pPr>
        <w:spacing w:before="0" w:beforeAutospacing="0" w:after="0" w:afterAutospacing="0" w:line="300" w:lineRule="auto"/>
        <w:ind w:firstLine="709"/>
        <w:contextualSpacing/>
        <w:rPr>
          <w:rFonts w:ascii="Tahoma" w:eastAsia="Times New Roman" w:hAnsi="Tahoma" w:cs="Tahoma"/>
          <w:lang w:eastAsia="es-MX"/>
        </w:rPr>
      </w:pPr>
    </w:p>
    <w:p w14:paraId="1CD1AE7B" w14:textId="7C274D4C" w:rsidR="00FB40B3" w:rsidRDefault="001C7AE4" w:rsidP="00EC734D">
      <w:pPr>
        <w:spacing w:before="0" w:beforeAutospacing="0" w:after="0" w:afterAutospacing="0" w:line="300" w:lineRule="auto"/>
        <w:ind w:firstLine="0"/>
        <w:jc w:val="center"/>
        <w:rPr>
          <w:rFonts w:ascii="Tahoma" w:eastAsia="Times New Roman" w:hAnsi="Tahoma" w:cs="Tahoma"/>
          <w:b/>
          <w:bCs/>
          <w:lang w:eastAsia="es-MX"/>
        </w:rPr>
      </w:pPr>
      <w:r w:rsidRPr="004E4D13">
        <w:rPr>
          <w:noProof/>
          <w:lang w:eastAsia="es-CO"/>
        </w:rPr>
        <w:drawing>
          <wp:inline distT="0" distB="0" distL="0" distR="0" wp14:anchorId="0ACD4866" wp14:editId="6B596665">
            <wp:extent cx="3284024" cy="1717978"/>
            <wp:effectExtent l="0" t="0" r="0" b="0"/>
            <wp:docPr id="1" name="Imagen 1" descr="C:\Users\Ana Lucia\Desktop\FIRMA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C:\Users\Ana Lucia\Desktop\FIRMA DIGIT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6415" cy="1776773"/>
                    </a:xfrm>
                    <a:prstGeom prst="rect">
                      <a:avLst/>
                    </a:prstGeom>
                    <a:noFill/>
                    <a:ln>
                      <a:noFill/>
                    </a:ln>
                  </pic:spPr>
                </pic:pic>
              </a:graphicData>
            </a:graphic>
          </wp:inline>
        </w:drawing>
      </w:r>
    </w:p>
    <w:p w14:paraId="1B8F8574" w14:textId="393745AC" w:rsidR="0004268F" w:rsidRDefault="00CC0B61" w:rsidP="00CE480C">
      <w:pPr>
        <w:spacing w:before="0" w:beforeAutospacing="0" w:after="0" w:afterAutospacing="0" w:line="300" w:lineRule="auto"/>
        <w:ind w:firstLine="0"/>
        <w:jc w:val="center"/>
        <w:rPr>
          <w:rFonts w:ascii="Tahoma" w:eastAsia="Times New Roman" w:hAnsi="Tahoma" w:cs="Tahoma"/>
          <w:b/>
          <w:bCs/>
          <w:lang w:eastAsia="es-MX"/>
        </w:rPr>
      </w:pPr>
      <w:r w:rsidRPr="00CC0B61">
        <w:rPr>
          <w:rFonts w:ascii="Tahoma" w:eastAsia="Times New Roman" w:hAnsi="Tahoma" w:cs="Tahoma"/>
          <w:b/>
          <w:bCs/>
          <w:lang w:eastAsia="es-MX"/>
        </w:rPr>
        <w:t>ANA LUCÍA CAICEDO CALDERÓN</w:t>
      </w:r>
    </w:p>
    <w:p w14:paraId="3C400847" w14:textId="1CA2C8FC" w:rsidR="00CA349D" w:rsidRPr="00CE480C" w:rsidRDefault="00CC0B61" w:rsidP="00CE480C">
      <w:pPr>
        <w:spacing w:before="0" w:beforeAutospacing="0" w:after="0" w:afterAutospacing="0" w:line="300" w:lineRule="auto"/>
        <w:ind w:firstLine="0"/>
        <w:jc w:val="center"/>
        <w:rPr>
          <w:rFonts w:ascii="Times New Roman" w:eastAsia="Times New Roman" w:hAnsi="Times New Roman" w:cs="Times New Roman"/>
          <w:lang w:eastAsia="es-MX"/>
        </w:rPr>
      </w:pPr>
      <w:r w:rsidRPr="00CE480C">
        <w:rPr>
          <w:rFonts w:ascii="Tahoma" w:eastAsia="Times New Roman" w:hAnsi="Tahoma" w:cs="Tahoma"/>
          <w:bCs/>
          <w:lang w:eastAsia="es-MX"/>
        </w:rPr>
        <w:t>Magistrada</w:t>
      </w:r>
    </w:p>
    <w:sectPr w:rsidR="00CA349D" w:rsidRPr="00CE480C" w:rsidSect="00DD2C5D">
      <w:pgSz w:w="12242" w:h="18722" w:code="258"/>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53785" w14:textId="77777777" w:rsidR="000D4573" w:rsidRDefault="000D4573" w:rsidP="00CC0B61">
      <w:pPr>
        <w:spacing w:before="0" w:after="0" w:line="240" w:lineRule="auto"/>
      </w:pPr>
      <w:r>
        <w:separator/>
      </w:r>
    </w:p>
  </w:endnote>
  <w:endnote w:type="continuationSeparator" w:id="0">
    <w:p w14:paraId="1790882B" w14:textId="77777777" w:rsidR="000D4573" w:rsidRDefault="000D4573" w:rsidP="00CC0B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33FC6" w14:textId="77777777" w:rsidR="000D4573" w:rsidRDefault="000D4573" w:rsidP="00CC0B61">
      <w:pPr>
        <w:spacing w:before="0" w:after="0" w:line="240" w:lineRule="auto"/>
      </w:pPr>
      <w:r>
        <w:separator/>
      </w:r>
    </w:p>
  </w:footnote>
  <w:footnote w:type="continuationSeparator" w:id="0">
    <w:p w14:paraId="2966EE80" w14:textId="77777777" w:rsidR="000D4573" w:rsidRDefault="000D4573" w:rsidP="00CC0B6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246DB"/>
    <w:multiLevelType w:val="hybridMultilevel"/>
    <w:tmpl w:val="24EE074A"/>
    <w:lvl w:ilvl="0" w:tplc="3E34B18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BA41A35"/>
    <w:multiLevelType w:val="multilevel"/>
    <w:tmpl w:val="AE2C456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 w15:restartNumberingAfterBreak="0">
    <w:nsid w:val="58236CED"/>
    <w:multiLevelType w:val="hybridMultilevel"/>
    <w:tmpl w:val="B96850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61"/>
    <w:rsid w:val="0001605C"/>
    <w:rsid w:val="0004268F"/>
    <w:rsid w:val="00043C6E"/>
    <w:rsid w:val="00056F03"/>
    <w:rsid w:val="000B7956"/>
    <w:rsid w:val="000C4B43"/>
    <w:rsid w:val="000D4573"/>
    <w:rsid w:val="00157252"/>
    <w:rsid w:val="00167469"/>
    <w:rsid w:val="001C7AE4"/>
    <w:rsid w:val="001E099B"/>
    <w:rsid w:val="001E2CFB"/>
    <w:rsid w:val="001F7748"/>
    <w:rsid w:val="00210506"/>
    <w:rsid w:val="00220B82"/>
    <w:rsid w:val="002230FC"/>
    <w:rsid w:val="00245963"/>
    <w:rsid w:val="00263557"/>
    <w:rsid w:val="00295B2B"/>
    <w:rsid w:val="002B464D"/>
    <w:rsid w:val="002C6017"/>
    <w:rsid w:val="002E7A2D"/>
    <w:rsid w:val="003033F7"/>
    <w:rsid w:val="003237E3"/>
    <w:rsid w:val="00324CF1"/>
    <w:rsid w:val="0033440E"/>
    <w:rsid w:val="003567C6"/>
    <w:rsid w:val="00365046"/>
    <w:rsid w:val="00366CF2"/>
    <w:rsid w:val="0038113E"/>
    <w:rsid w:val="003E4B6A"/>
    <w:rsid w:val="00402F78"/>
    <w:rsid w:val="0042370C"/>
    <w:rsid w:val="004307FC"/>
    <w:rsid w:val="004343F1"/>
    <w:rsid w:val="00474C60"/>
    <w:rsid w:val="004928E8"/>
    <w:rsid w:val="004A5E75"/>
    <w:rsid w:val="004B0EEF"/>
    <w:rsid w:val="004B5930"/>
    <w:rsid w:val="00502C95"/>
    <w:rsid w:val="0053280E"/>
    <w:rsid w:val="0056597D"/>
    <w:rsid w:val="005D052F"/>
    <w:rsid w:val="00614A70"/>
    <w:rsid w:val="00677054"/>
    <w:rsid w:val="006A1AE0"/>
    <w:rsid w:val="006A4D87"/>
    <w:rsid w:val="006F1256"/>
    <w:rsid w:val="00703638"/>
    <w:rsid w:val="0071052F"/>
    <w:rsid w:val="00741EE0"/>
    <w:rsid w:val="007C3AD8"/>
    <w:rsid w:val="008040CB"/>
    <w:rsid w:val="00824EF4"/>
    <w:rsid w:val="0082691F"/>
    <w:rsid w:val="00826A8F"/>
    <w:rsid w:val="00827995"/>
    <w:rsid w:val="00883348"/>
    <w:rsid w:val="0089189F"/>
    <w:rsid w:val="008B6CD2"/>
    <w:rsid w:val="008D17B8"/>
    <w:rsid w:val="008E309A"/>
    <w:rsid w:val="00911F10"/>
    <w:rsid w:val="009732B4"/>
    <w:rsid w:val="009B488D"/>
    <w:rsid w:val="00A3299A"/>
    <w:rsid w:val="00A41DCC"/>
    <w:rsid w:val="00A57E5D"/>
    <w:rsid w:val="00A828CD"/>
    <w:rsid w:val="00A87DDB"/>
    <w:rsid w:val="00AA29E1"/>
    <w:rsid w:val="00AA7016"/>
    <w:rsid w:val="00AD4A9A"/>
    <w:rsid w:val="00B34DA8"/>
    <w:rsid w:val="00B3615A"/>
    <w:rsid w:val="00B4552F"/>
    <w:rsid w:val="00B534BA"/>
    <w:rsid w:val="00BB39E6"/>
    <w:rsid w:val="00BD2319"/>
    <w:rsid w:val="00C0353E"/>
    <w:rsid w:val="00C579D7"/>
    <w:rsid w:val="00C831E2"/>
    <w:rsid w:val="00C86F00"/>
    <w:rsid w:val="00C97B2D"/>
    <w:rsid w:val="00CA2FF0"/>
    <w:rsid w:val="00CA349D"/>
    <w:rsid w:val="00CC0B61"/>
    <w:rsid w:val="00CC1C1B"/>
    <w:rsid w:val="00CC2E09"/>
    <w:rsid w:val="00CC5516"/>
    <w:rsid w:val="00CE480C"/>
    <w:rsid w:val="00CE50AF"/>
    <w:rsid w:val="00CE79B7"/>
    <w:rsid w:val="00CF2D17"/>
    <w:rsid w:val="00D033F1"/>
    <w:rsid w:val="00D81421"/>
    <w:rsid w:val="00DA106F"/>
    <w:rsid w:val="00DB364C"/>
    <w:rsid w:val="00DD2C5D"/>
    <w:rsid w:val="00DE75E5"/>
    <w:rsid w:val="00DF49E1"/>
    <w:rsid w:val="00DF5C2D"/>
    <w:rsid w:val="00E20BBE"/>
    <w:rsid w:val="00E266BB"/>
    <w:rsid w:val="00E32003"/>
    <w:rsid w:val="00EB5CC1"/>
    <w:rsid w:val="00EC734D"/>
    <w:rsid w:val="00F1199F"/>
    <w:rsid w:val="00F174F4"/>
    <w:rsid w:val="00F32DEF"/>
    <w:rsid w:val="00F47D42"/>
    <w:rsid w:val="00F9138C"/>
    <w:rsid w:val="00F917B0"/>
    <w:rsid w:val="00FA4CFB"/>
    <w:rsid w:val="00FB40B3"/>
    <w:rsid w:val="00FC4887"/>
    <w:rsid w:val="00FF7E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5368"/>
  <w15:chartTrackingRefBased/>
  <w15:docId w15:val="{2A7B6BD9-28D4-7944-9F40-1FE58FA7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C0B61"/>
    <w:pPr>
      <w:spacing w:line="240" w:lineRule="auto"/>
      <w:ind w:firstLine="0"/>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CC0B61"/>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CC0B61"/>
    <w:rPr>
      <w:sz w:val="20"/>
      <w:szCs w:val="20"/>
    </w:rPr>
  </w:style>
  <w:style w:type="character" w:styleId="Refdenotaalpie">
    <w:name w:val="footnote reference"/>
    <w:basedOn w:val="Fuentedeprrafopredeter"/>
    <w:uiPriority w:val="99"/>
    <w:semiHidden/>
    <w:unhideWhenUsed/>
    <w:rsid w:val="00CC0B61"/>
    <w:rPr>
      <w:vertAlign w:val="superscript"/>
    </w:rPr>
  </w:style>
  <w:style w:type="paragraph" w:styleId="Encabezado">
    <w:name w:val="header"/>
    <w:basedOn w:val="Normal"/>
    <w:link w:val="EncabezadoCar"/>
    <w:uiPriority w:val="99"/>
    <w:unhideWhenUsed/>
    <w:rsid w:val="0004268F"/>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04268F"/>
  </w:style>
  <w:style w:type="paragraph" w:styleId="Piedepgina">
    <w:name w:val="footer"/>
    <w:basedOn w:val="Normal"/>
    <w:link w:val="PiedepginaCar"/>
    <w:uiPriority w:val="99"/>
    <w:unhideWhenUsed/>
    <w:rsid w:val="0004268F"/>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04268F"/>
  </w:style>
  <w:style w:type="character" w:styleId="Refdecomentario">
    <w:name w:val="annotation reference"/>
    <w:basedOn w:val="Fuentedeprrafopredeter"/>
    <w:uiPriority w:val="99"/>
    <w:semiHidden/>
    <w:unhideWhenUsed/>
    <w:rsid w:val="00F917B0"/>
    <w:rPr>
      <w:sz w:val="16"/>
      <w:szCs w:val="16"/>
    </w:rPr>
  </w:style>
  <w:style w:type="paragraph" w:styleId="Textocomentario">
    <w:name w:val="annotation text"/>
    <w:basedOn w:val="Normal"/>
    <w:link w:val="TextocomentarioCar"/>
    <w:uiPriority w:val="99"/>
    <w:semiHidden/>
    <w:unhideWhenUsed/>
    <w:rsid w:val="00F917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17B0"/>
    <w:rPr>
      <w:sz w:val="20"/>
      <w:szCs w:val="20"/>
    </w:rPr>
  </w:style>
  <w:style w:type="paragraph" w:styleId="Asuntodelcomentario">
    <w:name w:val="annotation subject"/>
    <w:basedOn w:val="Textocomentario"/>
    <w:next w:val="Textocomentario"/>
    <w:link w:val="AsuntodelcomentarioCar"/>
    <w:uiPriority w:val="99"/>
    <w:semiHidden/>
    <w:unhideWhenUsed/>
    <w:rsid w:val="00F917B0"/>
    <w:rPr>
      <w:b/>
      <w:bCs/>
    </w:rPr>
  </w:style>
  <w:style w:type="character" w:customStyle="1" w:styleId="AsuntodelcomentarioCar">
    <w:name w:val="Asunto del comentario Car"/>
    <w:basedOn w:val="TextocomentarioCar"/>
    <w:link w:val="Asuntodelcomentario"/>
    <w:uiPriority w:val="99"/>
    <w:semiHidden/>
    <w:rsid w:val="00F917B0"/>
    <w:rPr>
      <w:b/>
      <w:bCs/>
      <w:sz w:val="20"/>
      <w:szCs w:val="20"/>
    </w:rPr>
  </w:style>
  <w:style w:type="paragraph" w:styleId="Textodeglobo">
    <w:name w:val="Balloon Text"/>
    <w:basedOn w:val="Normal"/>
    <w:link w:val="TextodegloboCar"/>
    <w:uiPriority w:val="99"/>
    <w:semiHidden/>
    <w:unhideWhenUsed/>
    <w:rsid w:val="00F917B0"/>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17B0"/>
    <w:rPr>
      <w:rFonts w:ascii="Segoe UI" w:hAnsi="Segoe UI" w:cs="Segoe UI"/>
      <w:sz w:val="18"/>
      <w:szCs w:val="18"/>
    </w:rPr>
  </w:style>
  <w:style w:type="paragraph" w:customStyle="1" w:styleId="paragraph">
    <w:name w:val="paragraph"/>
    <w:basedOn w:val="Normal"/>
    <w:rsid w:val="00E266BB"/>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E266BB"/>
  </w:style>
  <w:style w:type="character" w:customStyle="1" w:styleId="TextoindependienteCar">
    <w:name w:val="Texto independiente Car"/>
    <w:link w:val="Textoindependiente"/>
    <w:locked/>
    <w:rsid w:val="0082691F"/>
    <w:rPr>
      <w:rFonts w:ascii="Arial" w:hAnsi="Arial" w:cs="Arial"/>
      <w:lang w:val="es-ES_tradnl" w:eastAsia="es-ES"/>
    </w:rPr>
  </w:style>
  <w:style w:type="paragraph" w:styleId="Textoindependiente">
    <w:name w:val="Body Text"/>
    <w:basedOn w:val="Normal"/>
    <w:link w:val="TextoindependienteCar"/>
    <w:rsid w:val="0082691F"/>
    <w:pPr>
      <w:spacing w:before="0" w:beforeAutospacing="0" w:after="0" w:afterAutospacing="0" w:line="240" w:lineRule="auto"/>
      <w:ind w:firstLine="0"/>
    </w:pPr>
    <w:rPr>
      <w:rFonts w:ascii="Arial" w:hAnsi="Arial" w:cs="Arial"/>
      <w:lang w:val="es-ES_tradnl" w:eastAsia="es-ES"/>
    </w:rPr>
  </w:style>
  <w:style w:type="character" w:customStyle="1" w:styleId="TextoindependienteCar1">
    <w:name w:val="Texto independiente Car1"/>
    <w:basedOn w:val="Fuentedeprrafopredeter"/>
    <w:uiPriority w:val="99"/>
    <w:semiHidden/>
    <w:rsid w:val="0082691F"/>
  </w:style>
  <w:style w:type="character" w:styleId="Mencionar">
    <w:name w:val="Mention"/>
    <w:basedOn w:val="Fuentedeprrafopredeter"/>
    <w:uiPriority w:val="99"/>
    <w:unhideWhenUsed/>
    <w:rsid w:val="0082691F"/>
    <w:rPr>
      <w:color w:val="2B579A"/>
      <w:shd w:val="clear" w:color="auto" w:fill="E6E6E6"/>
    </w:rPr>
  </w:style>
  <w:style w:type="paragraph" w:styleId="Prrafodelista">
    <w:name w:val="List Paragraph"/>
    <w:basedOn w:val="Normal"/>
    <w:qFormat/>
    <w:rsid w:val="00F47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5932">
      <w:bodyDiv w:val="1"/>
      <w:marLeft w:val="0"/>
      <w:marRight w:val="0"/>
      <w:marTop w:val="0"/>
      <w:marBottom w:val="0"/>
      <w:divBdr>
        <w:top w:val="none" w:sz="0" w:space="0" w:color="auto"/>
        <w:left w:val="none" w:sz="0" w:space="0" w:color="auto"/>
        <w:bottom w:val="none" w:sz="0" w:space="0" w:color="auto"/>
        <w:right w:val="none" w:sz="0" w:space="0" w:color="auto"/>
      </w:divBdr>
      <w:divsChild>
        <w:div w:id="2130314113">
          <w:marLeft w:val="0"/>
          <w:marRight w:val="0"/>
          <w:marTop w:val="0"/>
          <w:marBottom w:val="0"/>
          <w:divBdr>
            <w:top w:val="none" w:sz="0" w:space="0" w:color="auto"/>
            <w:left w:val="none" w:sz="0" w:space="0" w:color="auto"/>
            <w:bottom w:val="none" w:sz="0" w:space="0" w:color="auto"/>
            <w:right w:val="none" w:sz="0" w:space="0" w:color="auto"/>
          </w:divBdr>
          <w:divsChild>
            <w:div w:id="748119881">
              <w:marLeft w:val="0"/>
              <w:marRight w:val="0"/>
              <w:marTop w:val="0"/>
              <w:marBottom w:val="0"/>
              <w:divBdr>
                <w:top w:val="none" w:sz="0" w:space="0" w:color="auto"/>
                <w:left w:val="none" w:sz="0" w:space="0" w:color="auto"/>
                <w:bottom w:val="none" w:sz="0" w:space="0" w:color="auto"/>
                <w:right w:val="none" w:sz="0" w:space="0" w:color="auto"/>
              </w:divBdr>
              <w:divsChild>
                <w:div w:id="13510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0815">
          <w:marLeft w:val="0"/>
          <w:marRight w:val="0"/>
          <w:marTop w:val="0"/>
          <w:marBottom w:val="0"/>
          <w:divBdr>
            <w:top w:val="none" w:sz="0" w:space="0" w:color="auto"/>
            <w:left w:val="none" w:sz="0" w:space="0" w:color="auto"/>
            <w:bottom w:val="none" w:sz="0" w:space="0" w:color="auto"/>
            <w:right w:val="none" w:sz="0" w:space="0" w:color="auto"/>
          </w:divBdr>
          <w:divsChild>
            <w:div w:id="1306886135">
              <w:marLeft w:val="0"/>
              <w:marRight w:val="0"/>
              <w:marTop w:val="0"/>
              <w:marBottom w:val="0"/>
              <w:divBdr>
                <w:top w:val="none" w:sz="0" w:space="0" w:color="auto"/>
                <w:left w:val="none" w:sz="0" w:space="0" w:color="auto"/>
                <w:bottom w:val="none" w:sz="0" w:space="0" w:color="auto"/>
                <w:right w:val="none" w:sz="0" w:space="0" w:color="auto"/>
              </w:divBdr>
              <w:divsChild>
                <w:div w:id="1898471202">
                  <w:marLeft w:val="0"/>
                  <w:marRight w:val="0"/>
                  <w:marTop w:val="0"/>
                  <w:marBottom w:val="0"/>
                  <w:divBdr>
                    <w:top w:val="none" w:sz="0" w:space="0" w:color="auto"/>
                    <w:left w:val="none" w:sz="0" w:space="0" w:color="auto"/>
                    <w:bottom w:val="none" w:sz="0" w:space="0" w:color="auto"/>
                    <w:right w:val="none" w:sz="0" w:space="0" w:color="auto"/>
                  </w:divBdr>
                </w:div>
              </w:divsChild>
            </w:div>
            <w:div w:id="1891459004">
              <w:marLeft w:val="0"/>
              <w:marRight w:val="0"/>
              <w:marTop w:val="0"/>
              <w:marBottom w:val="0"/>
              <w:divBdr>
                <w:top w:val="none" w:sz="0" w:space="0" w:color="auto"/>
                <w:left w:val="none" w:sz="0" w:space="0" w:color="auto"/>
                <w:bottom w:val="none" w:sz="0" w:space="0" w:color="auto"/>
                <w:right w:val="none" w:sz="0" w:space="0" w:color="auto"/>
              </w:divBdr>
              <w:divsChild>
                <w:div w:id="1602176882">
                  <w:marLeft w:val="0"/>
                  <w:marRight w:val="0"/>
                  <w:marTop w:val="0"/>
                  <w:marBottom w:val="0"/>
                  <w:divBdr>
                    <w:top w:val="none" w:sz="0" w:space="0" w:color="auto"/>
                    <w:left w:val="none" w:sz="0" w:space="0" w:color="auto"/>
                    <w:bottom w:val="none" w:sz="0" w:space="0" w:color="auto"/>
                    <w:right w:val="none" w:sz="0" w:space="0" w:color="auto"/>
                  </w:divBdr>
                </w:div>
              </w:divsChild>
            </w:div>
            <w:div w:id="2064284803">
              <w:marLeft w:val="0"/>
              <w:marRight w:val="0"/>
              <w:marTop w:val="0"/>
              <w:marBottom w:val="0"/>
              <w:divBdr>
                <w:top w:val="none" w:sz="0" w:space="0" w:color="auto"/>
                <w:left w:val="none" w:sz="0" w:space="0" w:color="auto"/>
                <w:bottom w:val="none" w:sz="0" w:space="0" w:color="auto"/>
                <w:right w:val="none" w:sz="0" w:space="0" w:color="auto"/>
              </w:divBdr>
              <w:divsChild>
                <w:div w:id="16337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7230">
      <w:bodyDiv w:val="1"/>
      <w:marLeft w:val="0"/>
      <w:marRight w:val="0"/>
      <w:marTop w:val="0"/>
      <w:marBottom w:val="0"/>
      <w:divBdr>
        <w:top w:val="none" w:sz="0" w:space="0" w:color="auto"/>
        <w:left w:val="none" w:sz="0" w:space="0" w:color="auto"/>
        <w:bottom w:val="none" w:sz="0" w:space="0" w:color="auto"/>
        <w:right w:val="none" w:sz="0" w:space="0" w:color="auto"/>
      </w:divBdr>
      <w:divsChild>
        <w:div w:id="801314145">
          <w:marLeft w:val="0"/>
          <w:marRight w:val="0"/>
          <w:marTop w:val="0"/>
          <w:marBottom w:val="0"/>
          <w:divBdr>
            <w:top w:val="none" w:sz="0" w:space="0" w:color="auto"/>
            <w:left w:val="none" w:sz="0" w:space="0" w:color="auto"/>
            <w:bottom w:val="none" w:sz="0" w:space="0" w:color="auto"/>
            <w:right w:val="none" w:sz="0" w:space="0" w:color="auto"/>
          </w:divBdr>
          <w:divsChild>
            <w:div w:id="1013411092">
              <w:marLeft w:val="0"/>
              <w:marRight w:val="0"/>
              <w:marTop w:val="0"/>
              <w:marBottom w:val="0"/>
              <w:divBdr>
                <w:top w:val="none" w:sz="0" w:space="0" w:color="auto"/>
                <w:left w:val="none" w:sz="0" w:space="0" w:color="auto"/>
                <w:bottom w:val="none" w:sz="0" w:space="0" w:color="auto"/>
                <w:right w:val="none" w:sz="0" w:space="0" w:color="auto"/>
              </w:divBdr>
              <w:divsChild>
                <w:div w:id="73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51061">
      <w:bodyDiv w:val="1"/>
      <w:marLeft w:val="0"/>
      <w:marRight w:val="0"/>
      <w:marTop w:val="0"/>
      <w:marBottom w:val="0"/>
      <w:divBdr>
        <w:top w:val="none" w:sz="0" w:space="0" w:color="auto"/>
        <w:left w:val="none" w:sz="0" w:space="0" w:color="auto"/>
        <w:bottom w:val="none" w:sz="0" w:space="0" w:color="auto"/>
        <w:right w:val="none" w:sz="0" w:space="0" w:color="auto"/>
      </w:divBdr>
      <w:divsChild>
        <w:div w:id="1758862773">
          <w:marLeft w:val="0"/>
          <w:marRight w:val="0"/>
          <w:marTop w:val="0"/>
          <w:marBottom w:val="0"/>
          <w:divBdr>
            <w:top w:val="none" w:sz="0" w:space="0" w:color="auto"/>
            <w:left w:val="none" w:sz="0" w:space="0" w:color="auto"/>
            <w:bottom w:val="none" w:sz="0" w:space="0" w:color="auto"/>
            <w:right w:val="none" w:sz="0" w:space="0" w:color="auto"/>
          </w:divBdr>
          <w:divsChild>
            <w:div w:id="954022695">
              <w:marLeft w:val="0"/>
              <w:marRight w:val="0"/>
              <w:marTop w:val="0"/>
              <w:marBottom w:val="0"/>
              <w:divBdr>
                <w:top w:val="none" w:sz="0" w:space="0" w:color="auto"/>
                <w:left w:val="none" w:sz="0" w:space="0" w:color="auto"/>
                <w:bottom w:val="none" w:sz="0" w:space="0" w:color="auto"/>
                <w:right w:val="none" w:sz="0" w:space="0" w:color="auto"/>
              </w:divBdr>
              <w:divsChild>
                <w:div w:id="30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4383">
      <w:bodyDiv w:val="1"/>
      <w:marLeft w:val="0"/>
      <w:marRight w:val="0"/>
      <w:marTop w:val="0"/>
      <w:marBottom w:val="0"/>
      <w:divBdr>
        <w:top w:val="none" w:sz="0" w:space="0" w:color="auto"/>
        <w:left w:val="none" w:sz="0" w:space="0" w:color="auto"/>
        <w:bottom w:val="none" w:sz="0" w:space="0" w:color="auto"/>
        <w:right w:val="none" w:sz="0" w:space="0" w:color="auto"/>
      </w:divBdr>
      <w:divsChild>
        <w:div w:id="2079745630">
          <w:marLeft w:val="0"/>
          <w:marRight w:val="0"/>
          <w:marTop w:val="0"/>
          <w:marBottom w:val="0"/>
          <w:divBdr>
            <w:top w:val="none" w:sz="0" w:space="0" w:color="auto"/>
            <w:left w:val="none" w:sz="0" w:space="0" w:color="auto"/>
            <w:bottom w:val="none" w:sz="0" w:space="0" w:color="auto"/>
            <w:right w:val="none" w:sz="0" w:space="0" w:color="auto"/>
          </w:divBdr>
          <w:divsChild>
            <w:div w:id="985165741">
              <w:marLeft w:val="0"/>
              <w:marRight w:val="0"/>
              <w:marTop w:val="0"/>
              <w:marBottom w:val="0"/>
              <w:divBdr>
                <w:top w:val="none" w:sz="0" w:space="0" w:color="auto"/>
                <w:left w:val="none" w:sz="0" w:space="0" w:color="auto"/>
                <w:bottom w:val="none" w:sz="0" w:space="0" w:color="auto"/>
                <w:right w:val="none" w:sz="0" w:space="0" w:color="auto"/>
              </w:divBdr>
              <w:divsChild>
                <w:div w:id="423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9633">
      <w:bodyDiv w:val="1"/>
      <w:marLeft w:val="0"/>
      <w:marRight w:val="0"/>
      <w:marTop w:val="0"/>
      <w:marBottom w:val="0"/>
      <w:divBdr>
        <w:top w:val="none" w:sz="0" w:space="0" w:color="auto"/>
        <w:left w:val="none" w:sz="0" w:space="0" w:color="auto"/>
        <w:bottom w:val="none" w:sz="0" w:space="0" w:color="auto"/>
        <w:right w:val="none" w:sz="0" w:space="0" w:color="auto"/>
      </w:divBdr>
      <w:divsChild>
        <w:div w:id="1095515657">
          <w:marLeft w:val="0"/>
          <w:marRight w:val="0"/>
          <w:marTop w:val="0"/>
          <w:marBottom w:val="0"/>
          <w:divBdr>
            <w:top w:val="none" w:sz="0" w:space="0" w:color="auto"/>
            <w:left w:val="none" w:sz="0" w:space="0" w:color="auto"/>
            <w:bottom w:val="none" w:sz="0" w:space="0" w:color="auto"/>
            <w:right w:val="none" w:sz="0" w:space="0" w:color="auto"/>
          </w:divBdr>
          <w:divsChild>
            <w:div w:id="1102648623">
              <w:marLeft w:val="0"/>
              <w:marRight w:val="0"/>
              <w:marTop w:val="0"/>
              <w:marBottom w:val="0"/>
              <w:divBdr>
                <w:top w:val="none" w:sz="0" w:space="0" w:color="auto"/>
                <w:left w:val="none" w:sz="0" w:space="0" w:color="auto"/>
                <w:bottom w:val="none" w:sz="0" w:space="0" w:color="auto"/>
                <w:right w:val="none" w:sz="0" w:space="0" w:color="auto"/>
              </w:divBdr>
              <w:divsChild>
                <w:div w:id="12276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2AF5E-557F-41EA-9E94-134560951F9E}">
  <ds:schemaRefs>
    <ds:schemaRef ds:uri="http://schemas.microsoft.com/sharepoint/v3/contenttype/forms"/>
  </ds:schemaRefs>
</ds:datastoreItem>
</file>

<file path=customXml/itemProps2.xml><?xml version="1.0" encoding="utf-8"?>
<ds:datastoreItem xmlns:ds="http://schemas.openxmlformats.org/officeDocument/2006/customXml" ds:itemID="{EBABED4C-C484-485F-88A9-F7108A749CD4}">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FB219A6D-EF52-4415-8A12-692B01218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A6D1D6-130F-4516-907A-8C48CC19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975</Words>
  <Characters>5367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5</cp:revision>
  <cp:lastPrinted>2023-01-14T00:21:00Z</cp:lastPrinted>
  <dcterms:created xsi:type="dcterms:W3CDTF">2023-02-28T15:07:00Z</dcterms:created>
  <dcterms:modified xsi:type="dcterms:W3CDTF">2023-05-18T18:45:00Z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