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C272" w14:textId="77777777" w:rsidR="00884DD1" w:rsidRPr="00884DD1" w:rsidRDefault="00884DD1" w:rsidP="00884DD1">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884DD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BC770A" w14:textId="77777777" w:rsidR="00884DD1" w:rsidRPr="00884DD1" w:rsidRDefault="00884DD1" w:rsidP="00884DD1">
      <w:pPr>
        <w:spacing w:line="240" w:lineRule="auto"/>
        <w:rPr>
          <w:rFonts w:ascii="Arial" w:hAnsi="Arial" w:cs="Arial"/>
          <w:sz w:val="20"/>
          <w:szCs w:val="20"/>
          <w:lang w:val="es-419" w:eastAsia="es-ES"/>
        </w:rPr>
      </w:pPr>
    </w:p>
    <w:p w14:paraId="7E2F9C7C" w14:textId="163D2D63" w:rsidR="00884DD1" w:rsidRPr="00884DD1" w:rsidRDefault="00D90DB5" w:rsidP="00884DD1">
      <w:pPr>
        <w:spacing w:line="240" w:lineRule="auto"/>
        <w:rPr>
          <w:rFonts w:ascii="Arial" w:hAnsi="Arial" w:cs="Arial"/>
          <w:b/>
          <w:bCs/>
          <w:iCs/>
          <w:sz w:val="20"/>
          <w:szCs w:val="20"/>
          <w:lang w:val="es-419" w:eastAsia="fr-FR"/>
        </w:rPr>
      </w:pPr>
      <w:r w:rsidRPr="00884DD1">
        <w:rPr>
          <w:rFonts w:ascii="Arial" w:hAnsi="Arial" w:cs="Arial"/>
          <w:b/>
          <w:bCs/>
          <w:iCs/>
          <w:sz w:val="20"/>
          <w:szCs w:val="20"/>
          <w:u w:val="single"/>
          <w:lang w:val="es-419" w:eastAsia="fr-FR"/>
        </w:rPr>
        <w:t>TEMAS:</w:t>
      </w:r>
      <w:r w:rsidRPr="00884DD1">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ACCESO A LA ADMINISTRACIÓN DE JUSTICIA / SOLICITUD DE COPIAS DE PROCESO PENAL </w:t>
      </w:r>
      <w:r w:rsidR="0033172C">
        <w:rPr>
          <w:rFonts w:ascii="Arial" w:hAnsi="Arial" w:cs="Arial"/>
          <w:b/>
          <w:bCs/>
          <w:iCs/>
          <w:sz w:val="20"/>
          <w:szCs w:val="20"/>
          <w:lang w:val="es-419" w:eastAsia="fr-FR"/>
        </w:rPr>
        <w:t xml:space="preserve">/ DIFIERE DEL DERECHO DE PETICIÓN </w:t>
      </w:r>
      <w:bookmarkStart w:id="0" w:name="_GoBack"/>
      <w:bookmarkEnd w:id="0"/>
      <w:r>
        <w:rPr>
          <w:rFonts w:ascii="Arial" w:hAnsi="Arial" w:cs="Arial"/>
          <w:b/>
          <w:bCs/>
          <w:iCs/>
          <w:sz w:val="20"/>
          <w:szCs w:val="20"/>
          <w:lang w:val="es-419" w:eastAsia="fr-FR"/>
        </w:rPr>
        <w:t>/ SE RIGE POR LAS NORMAS PROCESALES / FALTA DE LEGITIMACIÓN / EL PETICIONARIO NO ESTÁ CONSTITUIDO COMO PARTE CIVIL.</w:t>
      </w:r>
    </w:p>
    <w:p w14:paraId="039349CC" w14:textId="77777777" w:rsidR="00884DD1" w:rsidRPr="00884DD1" w:rsidRDefault="00884DD1" w:rsidP="00884DD1">
      <w:pPr>
        <w:spacing w:line="240" w:lineRule="auto"/>
        <w:rPr>
          <w:rFonts w:ascii="Arial" w:hAnsi="Arial" w:cs="Arial"/>
          <w:sz w:val="20"/>
          <w:szCs w:val="20"/>
          <w:lang w:val="es-419" w:eastAsia="es-ES"/>
        </w:rPr>
      </w:pPr>
    </w:p>
    <w:p w14:paraId="763E658C" w14:textId="16CC242A" w:rsidR="0030466E" w:rsidRPr="0030466E" w:rsidRDefault="0030466E" w:rsidP="0030466E">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30466E">
        <w:rPr>
          <w:rFonts w:ascii="Arial" w:hAnsi="Arial" w:cs="Arial"/>
          <w:sz w:val="20"/>
          <w:szCs w:val="20"/>
          <w:lang w:val="es-419" w:eastAsia="es-ES"/>
        </w:rPr>
        <w:t>la tutela está dirigida básicamente a que se ordene a la Fiscalía 149 IPMP con sede en Cali, le allegue copia del link del proceso que allí se adelanta y en el cual funge como víctima, con miras a proceder a presentar la demanda de constitución de parte civil.</w:t>
      </w:r>
    </w:p>
    <w:p w14:paraId="52CA9B0D" w14:textId="77777777" w:rsidR="0030466E" w:rsidRPr="0030466E" w:rsidRDefault="0030466E" w:rsidP="0030466E">
      <w:pPr>
        <w:spacing w:line="240" w:lineRule="auto"/>
        <w:rPr>
          <w:rFonts w:ascii="Arial" w:hAnsi="Arial" w:cs="Arial"/>
          <w:sz w:val="20"/>
          <w:szCs w:val="20"/>
          <w:lang w:val="es-419" w:eastAsia="es-ES"/>
        </w:rPr>
      </w:pPr>
    </w:p>
    <w:p w14:paraId="4482B741" w14:textId="6E5472D2" w:rsidR="00884DD1" w:rsidRPr="00884DD1" w:rsidRDefault="0030466E" w:rsidP="0030466E">
      <w:pPr>
        <w:spacing w:line="240" w:lineRule="auto"/>
        <w:rPr>
          <w:rFonts w:ascii="Arial" w:hAnsi="Arial" w:cs="Arial"/>
          <w:sz w:val="20"/>
          <w:szCs w:val="20"/>
          <w:lang w:val="es-419" w:eastAsia="es-ES"/>
        </w:rPr>
      </w:pPr>
      <w:r w:rsidRPr="0030466E">
        <w:rPr>
          <w:rFonts w:ascii="Arial" w:hAnsi="Arial" w:cs="Arial"/>
          <w:sz w:val="20"/>
          <w:szCs w:val="20"/>
          <w:lang w:val="es-419" w:eastAsia="es-ES"/>
        </w:rPr>
        <w:t>La jurisprudencia constitucional es contundente al resaltar el carácter subsidiario y residual de la acción constitucional, y que la misma solo es procedente de manera supletoria, es decir, cuando no existan otros medios ordinarios de defensa judicial a los cuales se pueda acudir</w:t>
      </w:r>
      <w:r>
        <w:rPr>
          <w:rFonts w:ascii="Arial" w:hAnsi="Arial" w:cs="Arial"/>
          <w:sz w:val="20"/>
          <w:szCs w:val="20"/>
          <w:lang w:val="es-419" w:eastAsia="es-ES"/>
        </w:rPr>
        <w:t>…</w:t>
      </w:r>
    </w:p>
    <w:p w14:paraId="65BD0F87" w14:textId="77777777" w:rsidR="00884DD1" w:rsidRPr="00884DD1" w:rsidRDefault="00884DD1" w:rsidP="00884DD1">
      <w:pPr>
        <w:spacing w:line="240" w:lineRule="auto"/>
        <w:rPr>
          <w:rFonts w:ascii="Arial" w:hAnsi="Arial" w:cs="Arial"/>
          <w:sz w:val="20"/>
          <w:szCs w:val="20"/>
          <w:lang w:val="es-419" w:eastAsia="es-ES"/>
        </w:rPr>
      </w:pPr>
    </w:p>
    <w:p w14:paraId="2109A2DC" w14:textId="209F9194" w:rsidR="00884DD1" w:rsidRPr="00884DD1" w:rsidRDefault="003A17E8" w:rsidP="00884DD1">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3A17E8">
        <w:rPr>
          <w:rFonts w:ascii="Arial" w:hAnsi="Arial" w:cs="Arial"/>
          <w:sz w:val="20"/>
          <w:szCs w:val="20"/>
          <w:lang w:val="es-419" w:eastAsia="es-ES"/>
        </w:rPr>
        <w:t>debe diferenciarse desde ahora entre un requerimiento a la luz de lo reglado en el canon 23 Constitucional, y cuando este se presenta en el curso de un trámite judicial, ya que tratándose de este último lo que está de por medio es el derecho de postulación que hace parte del debido proceso y del acceso a la Administración de Justicia, situación que lleva aparejada que la respuesta pretendida implique la toma de una determinación por parte del funcionario judicial, en cuyo caso su ejercicio está regulado por las normas procedimentales que establezca cada proceso.</w:t>
      </w:r>
    </w:p>
    <w:p w14:paraId="09B98C38" w14:textId="77777777" w:rsidR="00884DD1" w:rsidRPr="00884DD1" w:rsidRDefault="00884DD1" w:rsidP="00884DD1">
      <w:pPr>
        <w:spacing w:line="240" w:lineRule="auto"/>
        <w:rPr>
          <w:rFonts w:ascii="Arial" w:hAnsi="Arial" w:cs="Arial"/>
          <w:sz w:val="20"/>
          <w:szCs w:val="20"/>
          <w:lang w:val="es-419" w:eastAsia="es-ES"/>
        </w:rPr>
      </w:pPr>
    </w:p>
    <w:p w14:paraId="2E44FFF6" w14:textId="1C765136" w:rsidR="00884DD1" w:rsidRPr="00884DD1" w:rsidRDefault="00E87817" w:rsidP="00884DD1">
      <w:pPr>
        <w:spacing w:line="240" w:lineRule="auto"/>
        <w:rPr>
          <w:rFonts w:ascii="Arial" w:hAnsi="Arial" w:cs="Arial"/>
          <w:sz w:val="20"/>
          <w:szCs w:val="20"/>
          <w:lang w:val="es-419" w:eastAsia="es-ES"/>
        </w:rPr>
      </w:pPr>
      <w:r w:rsidRPr="00E87817">
        <w:rPr>
          <w:rFonts w:ascii="Arial" w:hAnsi="Arial" w:cs="Arial"/>
          <w:sz w:val="20"/>
          <w:szCs w:val="20"/>
          <w:lang w:val="es-419" w:eastAsia="es-ES"/>
        </w:rPr>
        <w:t>Al respecto, la Corte Constitucional en Sentencia T-215A de 2011 sostuvo que: “el juez o magistrado que conduce un proceso judicial está sometido –como también las partes y los intervinientes– a las reglas del mismo, fijadas por la ley, lo que significa que las disposiciones legales contempladas para las actuaciones administrativas no son necesariamente las mismas que debe observar el juez cuando le son presentadas peticiones relativas a puntos que habrán de ser resueltos en su oportunidad procesal y con arreglo a las normas propias de cada juicio</w:t>
      </w:r>
      <w:r>
        <w:rPr>
          <w:rFonts w:ascii="Arial" w:hAnsi="Arial" w:cs="Arial"/>
          <w:sz w:val="20"/>
          <w:szCs w:val="20"/>
          <w:lang w:val="es-419" w:eastAsia="es-ES"/>
        </w:rPr>
        <w:t>…”</w:t>
      </w:r>
    </w:p>
    <w:p w14:paraId="281C3C03" w14:textId="77777777" w:rsidR="00884DD1" w:rsidRPr="00884DD1" w:rsidRDefault="00884DD1" w:rsidP="00884DD1">
      <w:pPr>
        <w:spacing w:line="240" w:lineRule="auto"/>
        <w:rPr>
          <w:rFonts w:ascii="Arial" w:hAnsi="Arial" w:cs="Arial"/>
          <w:sz w:val="20"/>
          <w:szCs w:val="20"/>
          <w:lang w:val="es-419" w:eastAsia="es-ES"/>
        </w:rPr>
      </w:pPr>
    </w:p>
    <w:p w14:paraId="0062CF8E" w14:textId="2B2CF04B" w:rsidR="00884DD1" w:rsidRPr="00884DD1" w:rsidRDefault="003A08D5" w:rsidP="00884DD1">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3A08D5">
        <w:rPr>
          <w:rFonts w:ascii="Arial" w:hAnsi="Arial" w:cs="Arial"/>
          <w:sz w:val="20"/>
          <w:szCs w:val="20"/>
          <w:lang w:val="es-419" w:eastAsia="es-ES"/>
        </w:rPr>
        <w:t>si bien es cierto, una persona puede ostentar la condición de víctima en el proceso penal que se surte ante la justicia penal militar, ello per se, no le da la prerrogativa de acceder al expediente, pues se requiere que se hubiese presentado la demanda de parte civil y que a su vez sea admitida como tal.</w:t>
      </w:r>
    </w:p>
    <w:p w14:paraId="69C124EB" w14:textId="77777777" w:rsidR="00884DD1" w:rsidRPr="00884DD1" w:rsidRDefault="00884DD1" w:rsidP="00884DD1">
      <w:pPr>
        <w:spacing w:line="240" w:lineRule="auto"/>
        <w:rPr>
          <w:rFonts w:ascii="Arial" w:hAnsi="Arial" w:cs="Arial"/>
          <w:sz w:val="20"/>
          <w:szCs w:val="20"/>
          <w:lang w:val="es-419" w:eastAsia="es-ES"/>
        </w:rPr>
      </w:pPr>
    </w:p>
    <w:p w14:paraId="31B23D44" w14:textId="77777777" w:rsidR="00884DD1" w:rsidRPr="00884DD1" w:rsidRDefault="00884DD1" w:rsidP="00884DD1">
      <w:pPr>
        <w:spacing w:line="240" w:lineRule="auto"/>
        <w:rPr>
          <w:rFonts w:ascii="Arial" w:hAnsi="Arial" w:cs="Arial"/>
          <w:sz w:val="20"/>
          <w:szCs w:val="20"/>
          <w:lang w:val="es-419" w:eastAsia="es-ES"/>
        </w:rPr>
      </w:pPr>
    </w:p>
    <w:p w14:paraId="1DE51F2A" w14:textId="77777777" w:rsidR="00884DD1" w:rsidRPr="00884DD1" w:rsidRDefault="00884DD1" w:rsidP="00884DD1">
      <w:pPr>
        <w:spacing w:line="240" w:lineRule="auto"/>
        <w:rPr>
          <w:rFonts w:ascii="Arial" w:hAnsi="Arial" w:cs="Arial"/>
          <w:sz w:val="20"/>
          <w:szCs w:val="20"/>
          <w:lang w:val="es-419" w:eastAsia="es-ES"/>
        </w:rPr>
      </w:pPr>
    </w:p>
    <w:p w14:paraId="79E95057" w14:textId="77777777" w:rsidR="00884DD1" w:rsidRPr="00884DD1" w:rsidRDefault="00884DD1" w:rsidP="00884DD1">
      <w:pPr>
        <w:spacing w:line="240" w:lineRule="auto"/>
        <w:jc w:val="center"/>
        <w:rPr>
          <w:b/>
          <w:sz w:val="16"/>
          <w:szCs w:val="12"/>
          <w:lang w:val="es-ES"/>
        </w:rPr>
      </w:pPr>
      <w:r w:rsidRPr="00884DD1">
        <w:rPr>
          <w:b/>
          <w:sz w:val="16"/>
          <w:szCs w:val="12"/>
          <w:lang w:val="es-ES"/>
        </w:rPr>
        <w:t>REPÚBLICA DE COLOMBIA</w:t>
      </w:r>
    </w:p>
    <w:p w14:paraId="06BC21C1" w14:textId="77777777" w:rsidR="00884DD1" w:rsidRPr="00884DD1" w:rsidRDefault="00884DD1" w:rsidP="00884DD1">
      <w:pPr>
        <w:spacing w:line="240" w:lineRule="auto"/>
        <w:jc w:val="center"/>
        <w:rPr>
          <w:b/>
          <w:sz w:val="16"/>
          <w:szCs w:val="12"/>
          <w:lang w:val="es-ES"/>
        </w:rPr>
      </w:pPr>
      <w:r w:rsidRPr="00884DD1">
        <w:rPr>
          <w:b/>
          <w:sz w:val="16"/>
          <w:szCs w:val="12"/>
          <w:lang w:val="es-ES"/>
        </w:rPr>
        <w:t>PEREIRA-RISARALDA</w:t>
      </w:r>
    </w:p>
    <w:p w14:paraId="7A679E3C" w14:textId="05B27CD4" w:rsidR="00884DD1" w:rsidRPr="00884DD1" w:rsidRDefault="00884DD1" w:rsidP="00884DD1">
      <w:pPr>
        <w:spacing w:line="240" w:lineRule="auto"/>
        <w:jc w:val="center"/>
        <w:rPr>
          <w:sz w:val="16"/>
          <w:szCs w:val="12"/>
          <w:lang w:val="es-ES"/>
        </w:rPr>
      </w:pPr>
      <w:r w:rsidRPr="00884DD1">
        <w:rPr>
          <w:noProof/>
          <w:szCs w:val="26"/>
          <w:lang w:val="es-ES"/>
        </w:rPr>
        <w:drawing>
          <wp:anchor distT="0" distB="0" distL="114300" distR="114300" simplePos="0" relativeHeight="251658240" behindDoc="1" locked="0" layoutInCell="1" allowOverlap="1" wp14:anchorId="18A32CDC" wp14:editId="7EE72CE6">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DD1">
        <w:rPr>
          <w:b/>
          <w:sz w:val="16"/>
          <w:szCs w:val="12"/>
          <w:lang w:val="es-ES"/>
        </w:rPr>
        <w:t>RAMA JUDICIAL</w:t>
      </w:r>
    </w:p>
    <w:p w14:paraId="742E5BAE" w14:textId="77777777" w:rsidR="00884DD1" w:rsidRPr="00884DD1" w:rsidRDefault="00884DD1" w:rsidP="00884DD1">
      <w:pPr>
        <w:spacing w:line="240" w:lineRule="auto"/>
        <w:jc w:val="center"/>
        <w:rPr>
          <w:rFonts w:ascii="Algerian" w:hAnsi="Algerian"/>
          <w:b/>
          <w:sz w:val="28"/>
          <w:szCs w:val="28"/>
          <w:lang w:val="es-ES"/>
        </w:rPr>
      </w:pPr>
      <w:r w:rsidRPr="00884DD1">
        <w:rPr>
          <w:rFonts w:ascii="Algerian" w:hAnsi="Algerian"/>
          <w:b/>
          <w:smallCaps/>
          <w:color w:val="000000"/>
          <w:sz w:val="28"/>
          <w:szCs w:val="28"/>
          <w:lang w:val="es-ES"/>
        </w:rPr>
        <w:t>TRIBUNAL SUPERIOR DE PEREIRA</w:t>
      </w:r>
    </w:p>
    <w:p w14:paraId="31801407" w14:textId="77777777" w:rsidR="00884DD1" w:rsidRPr="00884DD1" w:rsidRDefault="00884DD1" w:rsidP="00884DD1">
      <w:pPr>
        <w:tabs>
          <w:tab w:val="left" w:pos="1202"/>
        </w:tabs>
        <w:spacing w:after="120" w:line="240" w:lineRule="auto"/>
        <w:jc w:val="center"/>
        <w:rPr>
          <w:rFonts w:ascii="Algerian" w:hAnsi="Algerian"/>
          <w:b/>
          <w:sz w:val="28"/>
          <w:szCs w:val="28"/>
          <w:lang w:val="es-ES"/>
        </w:rPr>
      </w:pPr>
      <w:r w:rsidRPr="00884DD1">
        <w:rPr>
          <w:rFonts w:ascii="Algerian" w:hAnsi="Algerian"/>
          <w:b/>
          <w:sz w:val="28"/>
          <w:szCs w:val="28"/>
          <w:lang w:val="es-ES"/>
        </w:rPr>
        <w:t>SALA de decisión PENAL</w:t>
      </w:r>
    </w:p>
    <w:p w14:paraId="198D2716" w14:textId="77777777" w:rsidR="00884DD1" w:rsidRPr="00884DD1" w:rsidRDefault="00884DD1" w:rsidP="00884DD1">
      <w:pPr>
        <w:spacing w:line="240" w:lineRule="auto"/>
        <w:jc w:val="center"/>
        <w:rPr>
          <w:szCs w:val="20"/>
          <w:lang w:val="es-ES"/>
        </w:rPr>
      </w:pPr>
      <w:r w:rsidRPr="00884DD1">
        <w:rPr>
          <w:szCs w:val="20"/>
          <w:lang w:val="es-ES"/>
        </w:rPr>
        <w:t>Magistrado Ponente</w:t>
      </w:r>
    </w:p>
    <w:p w14:paraId="572148F6" w14:textId="77777777" w:rsidR="00884DD1" w:rsidRPr="00884DD1" w:rsidRDefault="00884DD1" w:rsidP="00884DD1">
      <w:pPr>
        <w:spacing w:line="240" w:lineRule="auto"/>
        <w:jc w:val="center"/>
        <w:rPr>
          <w:b/>
          <w:sz w:val="24"/>
          <w:lang w:val="es-ES"/>
        </w:rPr>
      </w:pPr>
      <w:r w:rsidRPr="00884DD1">
        <w:rPr>
          <w:b/>
          <w:sz w:val="24"/>
          <w:lang w:val="es-ES"/>
        </w:rPr>
        <w:t>CARLOS ALBERTO PAZ ZÚÑIGA</w:t>
      </w:r>
    </w:p>
    <w:p w14:paraId="32F8FAA2" w14:textId="77777777" w:rsidR="00884DD1" w:rsidRPr="00884DD1" w:rsidRDefault="00884DD1" w:rsidP="00884DD1">
      <w:pPr>
        <w:spacing w:line="276" w:lineRule="auto"/>
        <w:rPr>
          <w:rFonts w:cs="Tahoma"/>
          <w:position w:val="-4"/>
          <w:sz w:val="24"/>
          <w:lang w:val="es-ES"/>
        </w:rPr>
      </w:pPr>
    </w:p>
    <w:p w14:paraId="14B3D698" w14:textId="77777777" w:rsidR="00884DD1" w:rsidRPr="00884DD1" w:rsidRDefault="00884DD1" w:rsidP="00884DD1">
      <w:pPr>
        <w:spacing w:line="276" w:lineRule="auto"/>
        <w:rPr>
          <w:rFonts w:cs="Tahoma"/>
          <w:position w:val="-4"/>
          <w:sz w:val="24"/>
          <w:lang w:val="es-ES"/>
        </w:rPr>
      </w:pPr>
    </w:p>
    <w:p w14:paraId="77E32BE8" w14:textId="4304D4CF" w:rsidR="00C7582C" w:rsidRPr="00884DD1" w:rsidRDefault="00000FB3" w:rsidP="00884DD1">
      <w:pPr>
        <w:spacing w:line="276" w:lineRule="auto"/>
        <w:rPr>
          <w:rFonts w:cs="Tahoma"/>
          <w:spacing w:val="-6"/>
          <w:sz w:val="24"/>
        </w:rPr>
      </w:pPr>
      <w:r w:rsidRPr="00884DD1">
        <w:rPr>
          <w:rFonts w:cs="Tahoma"/>
          <w:spacing w:val="-6"/>
          <w:sz w:val="24"/>
        </w:rPr>
        <w:t>Pereira,</w:t>
      </w:r>
      <w:r w:rsidR="001B5334" w:rsidRPr="00884DD1">
        <w:rPr>
          <w:rFonts w:cs="Tahoma"/>
          <w:spacing w:val="-6"/>
          <w:sz w:val="24"/>
        </w:rPr>
        <w:t xml:space="preserve"> </w:t>
      </w:r>
      <w:r w:rsidR="00E43EEC" w:rsidRPr="00884DD1">
        <w:rPr>
          <w:rFonts w:cs="Tahoma"/>
          <w:spacing w:val="-6"/>
          <w:sz w:val="24"/>
        </w:rPr>
        <w:t>cuatro</w:t>
      </w:r>
      <w:r w:rsidR="000A33AC" w:rsidRPr="00884DD1">
        <w:rPr>
          <w:rFonts w:cs="Tahoma"/>
          <w:spacing w:val="-6"/>
          <w:sz w:val="24"/>
        </w:rPr>
        <w:t xml:space="preserve"> </w:t>
      </w:r>
      <w:r w:rsidR="00D3402A" w:rsidRPr="00884DD1">
        <w:rPr>
          <w:rFonts w:cs="Tahoma"/>
          <w:spacing w:val="-6"/>
          <w:sz w:val="24"/>
        </w:rPr>
        <w:t>(</w:t>
      </w:r>
      <w:r w:rsidR="000A33AC" w:rsidRPr="00884DD1">
        <w:rPr>
          <w:rFonts w:cs="Tahoma"/>
          <w:spacing w:val="-6"/>
          <w:sz w:val="24"/>
        </w:rPr>
        <w:t>0</w:t>
      </w:r>
      <w:r w:rsidR="00E43EEC" w:rsidRPr="00884DD1">
        <w:rPr>
          <w:rFonts w:cs="Tahoma"/>
          <w:spacing w:val="-6"/>
          <w:sz w:val="24"/>
        </w:rPr>
        <w:t>4</w:t>
      </w:r>
      <w:r w:rsidR="00D3402A" w:rsidRPr="00884DD1">
        <w:rPr>
          <w:rFonts w:cs="Tahoma"/>
          <w:spacing w:val="-6"/>
          <w:sz w:val="24"/>
        </w:rPr>
        <w:t xml:space="preserve">) </w:t>
      </w:r>
      <w:r w:rsidR="00C7582C" w:rsidRPr="00884DD1">
        <w:rPr>
          <w:rFonts w:cs="Tahoma"/>
          <w:spacing w:val="-6"/>
          <w:sz w:val="24"/>
        </w:rPr>
        <w:t>de</w:t>
      </w:r>
      <w:r w:rsidR="00827D0A" w:rsidRPr="00884DD1">
        <w:rPr>
          <w:rFonts w:cs="Tahoma"/>
          <w:spacing w:val="-6"/>
          <w:sz w:val="24"/>
        </w:rPr>
        <w:t xml:space="preserve"> </w:t>
      </w:r>
      <w:r w:rsidR="00345E6C" w:rsidRPr="00884DD1">
        <w:rPr>
          <w:rFonts w:cs="Tahoma"/>
          <w:spacing w:val="-6"/>
          <w:sz w:val="24"/>
        </w:rPr>
        <w:t xml:space="preserve">mayo </w:t>
      </w:r>
      <w:r w:rsidR="00A35B66" w:rsidRPr="00884DD1">
        <w:rPr>
          <w:rFonts w:cs="Tahoma"/>
          <w:spacing w:val="-6"/>
          <w:sz w:val="24"/>
        </w:rPr>
        <w:t xml:space="preserve">de </w:t>
      </w:r>
      <w:r w:rsidR="00C7582C" w:rsidRPr="00884DD1">
        <w:rPr>
          <w:rFonts w:cs="Tahoma"/>
          <w:spacing w:val="-6"/>
          <w:sz w:val="24"/>
        </w:rPr>
        <w:t xml:space="preserve">dos mil </w:t>
      </w:r>
      <w:r w:rsidR="00345E6C" w:rsidRPr="00884DD1">
        <w:rPr>
          <w:rFonts w:cs="Tahoma"/>
          <w:spacing w:val="-6"/>
          <w:sz w:val="24"/>
        </w:rPr>
        <w:t xml:space="preserve">veintitrés </w:t>
      </w:r>
      <w:r w:rsidR="003F5546" w:rsidRPr="00884DD1">
        <w:rPr>
          <w:rFonts w:cs="Tahoma"/>
          <w:spacing w:val="-6"/>
          <w:sz w:val="24"/>
        </w:rPr>
        <w:t>(20</w:t>
      </w:r>
      <w:r w:rsidR="00E5136D" w:rsidRPr="00884DD1">
        <w:rPr>
          <w:rFonts w:cs="Tahoma"/>
          <w:spacing w:val="-6"/>
          <w:sz w:val="24"/>
        </w:rPr>
        <w:t>2</w:t>
      </w:r>
      <w:r w:rsidR="00345E6C" w:rsidRPr="00884DD1">
        <w:rPr>
          <w:rFonts w:cs="Tahoma"/>
          <w:spacing w:val="-6"/>
          <w:sz w:val="24"/>
        </w:rPr>
        <w:t>3</w:t>
      </w:r>
      <w:r w:rsidR="00C7582C" w:rsidRPr="00884DD1">
        <w:rPr>
          <w:rFonts w:cs="Tahoma"/>
          <w:spacing w:val="-6"/>
          <w:sz w:val="24"/>
        </w:rPr>
        <w:t>)</w:t>
      </w:r>
    </w:p>
    <w:p w14:paraId="611859E4" w14:textId="77777777" w:rsidR="006643F8" w:rsidRPr="00884DD1" w:rsidRDefault="006643F8" w:rsidP="00884DD1">
      <w:pPr>
        <w:spacing w:line="276" w:lineRule="auto"/>
        <w:rPr>
          <w:rFonts w:cs="Tahoma"/>
          <w:spacing w:val="-6"/>
          <w:sz w:val="24"/>
        </w:rPr>
      </w:pPr>
    </w:p>
    <w:p w14:paraId="7E3D6E58" w14:textId="1630FD6E" w:rsidR="00C7582C" w:rsidRPr="00884DD1" w:rsidRDefault="00C7582C" w:rsidP="00E32CD9">
      <w:pPr>
        <w:spacing w:line="276" w:lineRule="auto"/>
        <w:ind w:left="5664" w:firstLine="708"/>
        <w:rPr>
          <w:rFonts w:cs="Tahoma"/>
          <w:spacing w:val="-6"/>
          <w:sz w:val="24"/>
        </w:rPr>
      </w:pPr>
      <w:r w:rsidRPr="00884DD1">
        <w:rPr>
          <w:rFonts w:cs="Tahoma"/>
          <w:spacing w:val="-6"/>
          <w:sz w:val="24"/>
        </w:rPr>
        <w:t>Acta de Aprobación No</w:t>
      </w:r>
      <w:r w:rsidR="000C64B2" w:rsidRPr="00884DD1">
        <w:rPr>
          <w:rFonts w:cs="Tahoma"/>
          <w:spacing w:val="-6"/>
          <w:sz w:val="24"/>
        </w:rPr>
        <w:t xml:space="preserve"> </w:t>
      </w:r>
      <w:r w:rsidR="00E43EEC" w:rsidRPr="00884DD1">
        <w:rPr>
          <w:rFonts w:cs="Tahoma"/>
          <w:spacing w:val="-6"/>
          <w:sz w:val="24"/>
        </w:rPr>
        <w:t>452</w:t>
      </w:r>
    </w:p>
    <w:p w14:paraId="15BF231A" w14:textId="70772EEA" w:rsidR="00263691" w:rsidRPr="00884DD1" w:rsidRDefault="00D06A1B" w:rsidP="00E32CD9">
      <w:pPr>
        <w:spacing w:line="276" w:lineRule="auto"/>
        <w:ind w:left="5664" w:firstLine="708"/>
        <w:rPr>
          <w:rFonts w:cs="Tahoma"/>
          <w:spacing w:val="-6"/>
          <w:sz w:val="24"/>
        </w:rPr>
      </w:pPr>
      <w:r w:rsidRPr="00884DD1">
        <w:rPr>
          <w:rFonts w:cs="Tahoma"/>
          <w:spacing w:val="-6"/>
          <w:sz w:val="24"/>
        </w:rPr>
        <w:t xml:space="preserve">Hora: </w:t>
      </w:r>
      <w:r w:rsidR="00E43EEC" w:rsidRPr="00884DD1">
        <w:rPr>
          <w:rFonts w:cs="Tahoma"/>
          <w:spacing w:val="-6"/>
          <w:sz w:val="24"/>
        </w:rPr>
        <w:t>9:00 a.m.</w:t>
      </w:r>
    </w:p>
    <w:p w14:paraId="60B25D1B" w14:textId="77777777" w:rsidR="00D3402A" w:rsidRPr="00884DD1" w:rsidRDefault="00D3402A" w:rsidP="00884DD1">
      <w:pPr>
        <w:spacing w:line="276" w:lineRule="auto"/>
        <w:jc w:val="center"/>
        <w:rPr>
          <w:rFonts w:cs="Tahoma"/>
          <w:spacing w:val="-6"/>
          <w:sz w:val="24"/>
        </w:rPr>
      </w:pPr>
    </w:p>
    <w:p w14:paraId="35AACBA5" w14:textId="77777777" w:rsidR="00D06A1B" w:rsidRPr="00884DD1" w:rsidRDefault="00D06A1B" w:rsidP="00884DD1">
      <w:pPr>
        <w:spacing w:line="276" w:lineRule="auto"/>
        <w:rPr>
          <w:rFonts w:ascii="Algerian" w:hAnsi="Algerian"/>
          <w:sz w:val="30"/>
          <w:szCs w:val="20"/>
          <w:lang w:val="es-ES"/>
        </w:rPr>
      </w:pPr>
      <w:r w:rsidRPr="00884DD1">
        <w:rPr>
          <w:rFonts w:ascii="Algerian" w:hAnsi="Algerian"/>
          <w:sz w:val="30"/>
          <w:szCs w:val="20"/>
          <w:lang w:val="es-ES"/>
        </w:rPr>
        <w:t>1.- VISTOS</w:t>
      </w:r>
    </w:p>
    <w:p w14:paraId="745355ED" w14:textId="77777777" w:rsidR="00E250C5" w:rsidRPr="00884DD1" w:rsidRDefault="00E250C5" w:rsidP="00884DD1">
      <w:pPr>
        <w:spacing w:line="276" w:lineRule="auto"/>
        <w:rPr>
          <w:rFonts w:cs="Tahoma"/>
          <w:spacing w:val="-6"/>
          <w:sz w:val="24"/>
        </w:rPr>
      </w:pPr>
    </w:p>
    <w:p w14:paraId="3C144EE6" w14:textId="2DD54D06" w:rsidR="008608B3" w:rsidRPr="00884DD1" w:rsidRDefault="00E250C5" w:rsidP="00884DD1">
      <w:pPr>
        <w:spacing w:line="276" w:lineRule="auto"/>
        <w:rPr>
          <w:rFonts w:cs="Tahoma"/>
          <w:spacing w:val="-6"/>
          <w:sz w:val="24"/>
        </w:rPr>
      </w:pPr>
      <w:r w:rsidRPr="00884DD1">
        <w:rPr>
          <w:rFonts w:cs="Tahoma"/>
          <w:spacing w:val="-6"/>
          <w:sz w:val="24"/>
        </w:rPr>
        <w:t xml:space="preserve">Procede </w:t>
      </w:r>
      <w:r w:rsidR="00F64B1B" w:rsidRPr="00884DD1">
        <w:rPr>
          <w:rFonts w:cs="Tahoma"/>
          <w:spacing w:val="-6"/>
          <w:sz w:val="24"/>
        </w:rPr>
        <w:t>esta Corporación</w:t>
      </w:r>
      <w:r w:rsidR="00F41049" w:rsidRPr="00884DD1">
        <w:rPr>
          <w:rFonts w:cs="Tahoma"/>
          <w:spacing w:val="-6"/>
          <w:sz w:val="24"/>
        </w:rPr>
        <w:t xml:space="preserve"> a</w:t>
      </w:r>
      <w:r w:rsidRPr="00884DD1">
        <w:rPr>
          <w:rFonts w:cs="Tahoma"/>
          <w:spacing w:val="-6"/>
          <w:sz w:val="24"/>
        </w:rPr>
        <w:t xml:space="preserve"> decidir la </w:t>
      </w:r>
      <w:r w:rsidRPr="00884DD1">
        <w:rPr>
          <w:rFonts w:cs="Tahoma"/>
          <w:b/>
          <w:spacing w:val="-6"/>
          <w:sz w:val="24"/>
        </w:rPr>
        <w:t>acción de tutela</w:t>
      </w:r>
      <w:r w:rsidRPr="00884DD1">
        <w:rPr>
          <w:rFonts w:cs="Tahoma"/>
          <w:spacing w:val="-6"/>
          <w:sz w:val="24"/>
        </w:rPr>
        <w:t xml:space="preserve"> instaurada </w:t>
      </w:r>
      <w:r w:rsidR="0058780C" w:rsidRPr="00884DD1">
        <w:rPr>
          <w:rFonts w:cs="Tahoma"/>
          <w:spacing w:val="-6"/>
          <w:sz w:val="24"/>
        </w:rPr>
        <w:t xml:space="preserve">por </w:t>
      </w:r>
      <w:r w:rsidR="00345E6C" w:rsidRPr="00884DD1">
        <w:rPr>
          <w:rFonts w:cs="Tahoma"/>
          <w:spacing w:val="-6"/>
          <w:sz w:val="24"/>
        </w:rPr>
        <w:t xml:space="preserve">el señor </w:t>
      </w:r>
      <w:r w:rsidR="00345E6C" w:rsidRPr="00884DD1">
        <w:rPr>
          <w:rFonts w:cs="Tahoma"/>
          <w:b/>
          <w:spacing w:val="-6"/>
          <w:sz w:val="24"/>
        </w:rPr>
        <w:t>ANDRÉS FELIPE VASCO LONDOÑO</w:t>
      </w:r>
      <w:r w:rsidR="002B2D3D" w:rsidRPr="00884DD1">
        <w:rPr>
          <w:rFonts w:cs="Tahoma"/>
          <w:spacing w:val="-6"/>
          <w:sz w:val="24"/>
        </w:rPr>
        <w:t>,</w:t>
      </w:r>
      <w:r w:rsidR="006A7510" w:rsidRPr="00884DD1">
        <w:rPr>
          <w:rFonts w:cs="Tahoma"/>
          <w:spacing w:val="-6"/>
          <w:sz w:val="24"/>
        </w:rPr>
        <w:t xml:space="preserve"> </w:t>
      </w:r>
      <w:r w:rsidR="000C64B2" w:rsidRPr="00884DD1">
        <w:rPr>
          <w:rFonts w:cs="Tahoma"/>
          <w:spacing w:val="-6"/>
          <w:sz w:val="24"/>
        </w:rPr>
        <w:t>c</w:t>
      </w:r>
      <w:r w:rsidRPr="00884DD1">
        <w:rPr>
          <w:rFonts w:cs="Tahoma"/>
          <w:spacing w:val="-6"/>
          <w:sz w:val="24"/>
        </w:rPr>
        <w:t xml:space="preserve">ontra </w:t>
      </w:r>
      <w:r w:rsidR="00345E6C" w:rsidRPr="00884DD1">
        <w:rPr>
          <w:rFonts w:cs="Tahoma"/>
          <w:spacing w:val="-6"/>
          <w:sz w:val="24"/>
        </w:rPr>
        <w:t xml:space="preserve">la </w:t>
      </w:r>
      <w:r w:rsidR="00345E6C" w:rsidRPr="00884DD1">
        <w:rPr>
          <w:rFonts w:cs="Tahoma"/>
          <w:b/>
          <w:spacing w:val="-6"/>
          <w:sz w:val="24"/>
        </w:rPr>
        <w:t xml:space="preserve">Fiscalía 149 de Instrucción Penal Militar y </w:t>
      </w:r>
      <w:r w:rsidR="00345E6C" w:rsidRPr="00884DD1">
        <w:rPr>
          <w:rFonts w:cs="Tahoma"/>
          <w:b/>
          <w:spacing w:val="-6"/>
          <w:sz w:val="24"/>
        </w:rPr>
        <w:lastRenderedPageBreak/>
        <w:t>Policial</w:t>
      </w:r>
      <w:r w:rsidR="00345E6C" w:rsidRPr="00884DD1">
        <w:rPr>
          <w:rFonts w:cs="Tahoma"/>
          <w:spacing w:val="-6"/>
          <w:sz w:val="24"/>
        </w:rPr>
        <w:t xml:space="preserve"> -en adelante </w:t>
      </w:r>
      <w:r w:rsidR="00345E6C" w:rsidRPr="00884DD1">
        <w:rPr>
          <w:rFonts w:cs="Tahoma"/>
          <w:b/>
          <w:spacing w:val="-6"/>
          <w:sz w:val="24"/>
        </w:rPr>
        <w:t>I</w:t>
      </w:r>
      <w:r w:rsidR="00550230" w:rsidRPr="00884DD1">
        <w:rPr>
          <w:rFonts w:cs="Tahoma"/>
          <w:b/>
          <w:spacing w:val="-6"/>
          <w:sz w:val="24"/>
        </w:rPr>
        <w:t>PMP</w:t>
      </w:r>
      <w:r w:rsidR="00345E6C" w:rsidRPr="00884DD1">
        <w:rPr>
          <w:rFonts w:cs="Tahoma"/>
          <w:spacing w:val="-6"/>
          <w:sz w:val="24"/>
        </w:rPr>
        <w:t>-</w:t>
      </w:r>
      <w:r w:rsidR="00F416C1" w:rsidRPr="00884DD1">
        <w:rPr>
          <w:rFonts w:cs="Tahoma"/>
          <w:spacing w:val="-6"/>
          <w:sz w:val="24"/>
        </w:rPr>
        <w:t xml:space="preserve">, </w:t>
      </w:r>
      <w:r w:rsidRPr="00884DD1">
        <w:rPr>
          <w:rFonts w:cs="Tahoma"/>
          <w:spacing w:val="-6"/>
          <w:sz w:val="24"/>
        </w:rPr>
        <w:t>al considerar vulnerado</w:t>
      </w:r>
      <w:r w:rsidR="00A72E6E" w:rsidRPr="00884DD1">
        <w:rPr>
          <w:rFonts w:cs="Tahoma"/>
          <w:spacing w:val="-6"/>
          <w:sz w:val="24"/>
        </w:rPr>
        <w:t>s</w:t>
      </w:r>
      <w:r w:rsidR="00531D3A" w:rsidRPr="00884DD1">
        <w:rPr>
          <w:rFonts w:cs="Tahoma"/>
          <w:spacing w:val="-6"/>
          <w:sz w:val="24"/>
        </w:rPr>
        <w:t xml:space="preserve"> </w:t>
      </w:r>
      <w:r w:rsidR="004670D5" w:rsidRPr="00884DD1">
        <w:rPr>
          <w:rFonts w:cs="Tahoma"/>
          <w:spacing w:val="-6"/>
          <w:sz w:val="24"/>
        </w:rPr>
        <w:t xml:space="preserve">sus derechos fundamentales </w:t>
      </w:r>
      <w:r w:rsidR="00345E6C" w:rsidRPr="00884DD1">
        <w:rPr>
          <w:rFonts w:cs="Tahoma"/>
          <w:spacing w:val="-6"/>
          <w:sz w:val="24"/>
        </w:rPr>
        <w:t xml:space="preserve">de acceso a la Administración de Justicia, </w:t>
      </w:r>
      <w:r w:rsidR="004670D5" w:rsidRPr="00884DD1">
        <w:rPr>
          <w:rFonts w:cs="Tahoma"/>
          <w:spacing w:val="-6"/>
          <w:sz w:val="24"/>
        </w:rPr>
        <w:t>debido proceso</w:t>
      </w:r>
      <w:r w:rsidR="00345E6C" w:rsidRPr="00884DD1">
        <w:rPr>
          <w:rFonts w:cs="Tahoma"/>
          <w:spacing w:val="-6"/>
          <w:sz w:val="24"/>
        </w:rPr>
        <w:t xml:space="preserve"> y de audiencia.</w:t>
      </w:r>
    </w:p>
    <w:p w14:paraId="7223934F" w14:textId="77777777" w:rsidR="004670D5" w:rsidRPr="00884DD1" w:rsidRDefault="004670D5" w:rsidP="00884DD1">
      <w:pPr>
        <w:spacing w:line="276" w:lineRule="auto"/>
        <w:rPr>
          <w:rFonts w:cs="Tahoma"/>
          <w:spacing w:val="-6"/>
          <w:sz w:val="24"/>
        </w:rPr>
      </w:pPr>
    </w:p>
    <w:p w14:paraId="59D74205" w14:textId="77777777" w:rsidR="000022FE" w:rsidRPr="00884DD1" w:rsidRDefault="00D06A1B" w:rsidP="00884DD1">
      <w:pPr>
        <w:spacing w:line="276" w:lineRule="auto"/>
        <w:rPr>
          <w:rFonts w:ascii="Algerian" w:hAnsi="Algerian" w:cs="Tahoma"/>
          <w:sz w:val="30"/>
          <w:szCs w:val="20"/>
          <w:lang w:val="es-ES"/>
        </w:rPr>
      </w:pPr>
      <w:r w:rsidRPr="00884DD1">
        <w:rPr>
          <w:rFonts w:ascii="Algerian" w:hAnsi="Algerian"/>
          <w:sz w:val="30"/>
          <w:szCs w:val="20"/>
          <w:lang w:val="es-ES"/>
        </w:rPr>
        <w:t xml:space="preserve">2.- SOLICITUD </w:t>
      </w:r>
    </w:p>
    <w:p w14:paraId="320CB1A1" w14:textId="77777777" w:rsidR="000022FE" w:rsidRPr="00884DD1" w:rsidRDefault="000022FE" w:rsidP="00884DD1">
      <w:pPr>
        <w:spacing w:line="276" w:lineRule="auto"/>
        <w:rPr>
          <w:rFonts w:cs="Tahoma"/>
          <w:spacing w:val="-6"/>
          <w:sz w:val="24"/>
        </w:rPr>
      </w:pPr>
    </w:p>
    <w:p w14:paraId="6B524814" w14:textId="193B4C83" w:rsidR="00345E6C" w:rsidRPr="00884DD1" w:rsidRDefault="00ED3161" w:rsidP="00884DD1">
      <w:pPr>
        <w:spacing w:line="276" w:lineRule="auto"/>
        <w:rPr>
          <w:rFonts w:cs="Tahoma"/>
          <w:spacing w:val="-6"/>
          <w:sz w:val="24"/>
        </w:rPr>
      </w:pPr>
      <w:r w:rsidRPr="00884DD1">
        <w:rPr>
          <w:rFonts w:cs="Tahoma"/>
          <w:spacing w:val="-6"/>
          <w:sz w:val="24"/>
        </w:rPr>
        <w:t xml:space="preserve">De </w:t>
      </w:r>
      <w:r w:rsidR="004670D5" w:rsidRPr="00884DD1">
        <w:rPr>
          <w:rFonts w:cs="Tahoma"/>
          <w:spacing w:val="-6"/>
          <w:sz w:val="24"/>
        </w:rPr>
        <w:t xml:space="preserve">la información </w:t>
      </w:r>
      <w:r w:rsidR="008608B3" w:rsidRPr="00884DD1">
        <w:rPr>
          <w:rFonts w:cs="Tahoma"/>
          <w:spacing w:val="-6"/>
          <w:sz w:val="24"/>
        </w:rPr>
        <w:t xml:space="preserve">aportada por </w:t>
      </w:r>
      <w:r w:rsidR="00345E6C" w:rsidRPr="00884DD1">
        <w:rPr>
          <w:rFonts w:cs="Tahoma"/>
          <w:spacing w:val="-6"/>
          <w:sz w:val="24"/>
        </w:rPr>
        <w:t>el señor</w:t>
      </w:r>
      <w:r w:rsidRPr="00884DD1">
        <w:rPr>
          <w:rFonts w:cs="Tahoma"/>
          <w:spacing w:val="-6"/>
          <w:sz w:val="24"/>
        </w:rPr>
        <w:t xml:space="preserve"> </w:t>
      </w:r>
      <w:r w:rsidR="00345E6C" w:rsidRPr="00884DD1">
        <w:rPr>
          <w:rFonts w:cs="Tahoma"/>
          <w:b/>
          <w:spacing w:val="-6"/>
          <w:sz w:val="24"/>
        </w:rPr>
        <w:t>VASCO LONDOÑO</w:t>
      </w:r>
      <w:r w:rsidRPr="00884DD1">
        <w:rPr>
          <w:rFonts w:cs="Tahoma"/>
          <w:spacing w:val="-6"/>
          <w:sz w:val="24"/>
        </w:rPr>
        <w:t xml:space="preserve">, </w:t>
      </w:r>
      <w:r w:rsidR="00345E6C" w:rsidRPr="00884DD1">
        <w:rPr>
          <w:rFonts w:cs="Tahoma"/>
          <w:spacing w:val="-6"/>
          <w:sz w:val="24"/>
        </w:rPr>
        <w:t xml:space="preserve">se extrae que con ocasión de la denuncia que impetró contra el patrullero de la Policía JAVA, por hechos ocurridos en agosto 28 de 2013, donde resultó lesionado, el Juzgado 159 IPMP remitió </w:t>
      </w:r>
      <w:r w:rsidR="00B93123" w:rsidRPr="00884DD1">
        <w:rPr>
          <w:rFonts w:cs="Tahoma"/>
          <w:spacing w:val="-6"/>
          <w:sz w:val="24"/>
        </w:rPr>
        <w:t xml:space="preserve">el </w:t>
      </w:r>
      <w:r w:rsidR="007A0AB3" w:rsidRPr="00884DD1">
        <w:rPr>
          <w:rFonts w:cs="Tahoma"/>
          <w:spacing w:val="-6"/>
          <w:sz w:val="24"/>
        </w:rPr>
        <w:t xml:space="preserve">expediente </w:t>
      </w:r>
      <w:r w:rsidR="00345E6C" w:rsidRPr="00884DD1">
        <w:rPr>
          <w:rFonts w:cs="Tahoma"/>
          <w:spacing w:val="-6"/>
          <w:sz w:val="24"/>
        </w:rPr>
        <w:t xml:space="preserve">a la Fiscalía 149 IPMP de Cali, despacho ante el cual solicitó se le hiciera entrega del </w:t>
      </w:r>
      <w:r w:rsidR="00B92A00" w:rsidRPr="00884DD1">
        <w:rPr>
          <w:rFonts w:cs="Tahoma"/>
          <w:spacing w:val="-6"/>
          <w:sz w:val="24"/>
        </w:rPr>
        <w:t xml:space="preserve">link del </w:t>
      </w:r>
      <w:r w:rsidR="00345E6C" w:rsidRPr="00884DD1">
        <w:rPr>
          <w:rFonts w:cs="Tahoma"/>
          <w:spacing w:val="-6"/>
          <w:sz w:val="24"/>
        </w:rPr>
        <w:t>expediente</w:t>
      </w:r>
      <w:r w:rsidR="00B92A00" w:rsidRPr="00884DD1">
        <w:rPr>
          <w:rFonts w:cs="Tahoma"/>
          <w:spacing w:val="-6"/>
          <w:sz w:val="24"/>
        </w:rPr>
        <w:t xml:space="preserve"> </w:t>
      </w:r>
      <w:r w:rsidR="00345E6C" w:rsidRPr="00884DD1">
        <w:rPr>
          <w:rFonts w:cs="Tahoma"/>
          <w:spacing w:val="-6"/>
          <w:sz w:val="24"/>
        </w:rPr>
        <w:t>respectivo</w:t>
      </w:r>
      <w:r w:rsidR="00B93123" w:rsidRPr="00884DD1">
        <w:rPr>
          <w:rFonts w:cs="Tahoma"/>
          <w:spacing w:val="-6"/>
          <w:sz w:val="24"/>
        </w:rPr>
        <w:t xml:space="preserve"> que </w:t>
      </w:r>
      <w:r w:rsidR="00345E6C" w:rsidRPr="00884DD1">
        <w:rPr>
          <w:rFonts w:cs="Tahoma"/>
          <w:spacing w:val="-6"/>
          <w:sz w:val="24"/>
        </w:rPr>
        <w:t xml:space="preserve">requiere para obtener los elementos de juicio necesarios para elaborar la demanda de parte civil, pero se le informa que no se accede a ello precisamente por no haberse constituido como tal, al contar dicha jurisdicción con una normativa propia que les impide la expedición de copias hasta que se constituya </w:t>
      </w:r>
      <w:r w:rsidR="00B93123" w:rsidRPr="00884DD1">
        <w:rPr>
          <w:rFonts w:cs="Tahoma"/>
          <w:spacing w:val="-6"/>
          <w:sz w:val="24"/>
        </w:rPr>
        <w:t>en tal condición</w:t>
      </w:r>
      <w:r w:rsidR="00345E6C" w:rsidRPr="00884DD1">
        <w:rPr>
          <w:rFonts w:cs="Tahoma"/>
          <w:spacing w:val="-6"/>
          <w:sz w:val="24"/>
        </w:rPr>
        <w:t xml:space="preserve">, y por </w:t>
      </w:r>
      <w:r w:rsidR="00B93123" w:rsidRPr="00884DD1">
        <w:rPr>
          <w:rFonts w:cs="Tahoma"/>
          <w:spacing w:val="-6"/>
          <w:sz w:val="24"/>
        </w:rPr>
        <w:t xml:space="preserve">tal motivo </w:t>
      </w:r>
      <w:r w:rsidR="00345E6C" w:rsidRPr="00884DD1">
        <w:rPr>
          <w:rFonts w:cs="Tahoma"/>
          <w:spacing w:val="-6"/>
          <w:sz w:val="24"/>
        </w:rPr>
        <w:t>se le imposibilita acceder a sus derechos como víctima y se sacrifica el derecho sustancial.</w:t>
      </w:r>
    </w:p>
    <w:p w14:paraId="08AAEDDE" w14:textId="77777777" w:rsidR="00345E6C" w:rsidRPr="00884DD1" w:rsidRDefault="00345E6C" w:rsidP="00884DD1">
      <w:pPr>
        <w:spacing w:line="276" w:lineRule="auto"/>
        <w:rPr>
          <w:rFonts w:cs="Tahoma"/>
          <w:spacing w:val="-6"/>
          <w:sz w:val="24"/>
        </w:rPr>
      </w:pPr>
    </w:p>
    <w:p w14:paraId="6A3D8EC3" w14:textId="6AF8B592" w:rsidR="00C622BB" w:rsidRPr="00884DD1" w:rsidRDefault="00345E6C" w:rsidP="00884DD1">
      <w:pPr>
        <w:spacing w:line="276" w:lineRule="auto"/>
        <w:rPr>
          <w:rFonts w:cs="Tahoma"/>
          <w:spacing w:val="-6"/>
          <w:sz w:val="24"/>
        </w:rPr>
      </w:pPr>
      <w:r w:rsidRPr="00884DD1">
        <w:rPr>
          <w:rFonts w:cs="Tahoma"/>
          <w:spacing w:val="-6"/>
          <w:sz w:val="24"/>
        </w:rPr>
        <w:t>Pide se amparen los derechos que estima vulnerados y se ordene a la Fiscalía accionada que le allegue copia del expediente digital</w:t>
      </w:r>
      <w:r w:rsidR="00C622BB" w:rsidRPr="00884DD1">
        <w:rPr>
          <w:rFonts w:cs="Tahoma"/>
          <w:spacing w:val="-6"/>
          <w:sz w:val="24"/>
        </w:rPr>
        <w:t xml:space="preserve"> y se le informe cuál es el estado del proceso.</w:t>
      </w:r>
    </w:p>
    <w:p w14:paraId="2B14F80C" w14:textId="77777777" w:rsidR="00310094" w:rsidRPr="00884DD1" w:rsidRDefault="00310094" w:rsidP="00884DD1">
      <w:pPr>
        <w:spacing w:line="276" w:lineRule="auto"/>
        <w:rPr>
          <w:rFonts w:cs="Tahoma"/>
          <w:spacing w:val="-6"/>
          <w:sz w:val="24"/>
        </w:rPr>
      </w:pPr>
    </w:p>
    <w:p w14:paraId="5E7CAEFD" w14:textId="77777777" w:rsidR="00D06A1B" w:rsidRPr="00884DD1" w:rsidRDefault="00D06A1B" w:rsidP="00884DD1">
      <w:pPr>
        <w:spacing w:line="276" w:lineRule="auto"/>
        <w:rPr>
          <w:rFonts w:ascii="Algerian" w:hAnsi="Algerian"/>
          <w:sz w:val="30"/>
          <w:szCs w:val="20"/>
          <w:lang w:val="es-ES"/>
        </w:rPr>
      </w:pPr>
      <w:r w:rsidRPr="00884DD1">
        <w:rPr>
          <w:rFonts w:ascii="Algerian" w:hAnsi="Algerian"/>
          <w:sz w:val="30"/>
          <w:szCs w:val="20"/>
          <w:lang w:val="es-ES"/>
        </w:rPr>
        <w:t>3.- CONTESTACIÓN</w:t>
      </w:r>
    </w:p>
    <w:p w14:paraId="7051F673" w14:textId="77777777" w:rsidR="00D06A1B" w:rsidRPr="00884DD1" w:rsidRDefault="00D06A1B" w:rsidP="00884DD1">
      <w:pPr>
        <w:spacing w:line="276" w:lineRule="auto"/>
        <w:rPr>
          <w:rFonts w:cs="Tahoma"/>
          <w:spacing w:val="-6"/>
          <w:sz w:val="24"/>
        </w:rPr>
      </w:pPr>
    </w:p>
    <w:p w14:paraId="1368921E" w14:textId="4715CD61" w:rsidR="005A792F" w:rsidRPr="00884DD1" w:rsidRDefault="00F65E4B" w:rsidP="00884DD1">
      <w:pPr>
        <w:spacing w:line="276" w:lineRule="auto"/>
        <w:rPr>
          <w:rFonts w:cs="Tahoma"/>
          <w:spacing w:val="-6"/>
          <w:sz w:val="24"/>
        </w:rPr>
      </w:pPr>
      <w:r w:rsidRPr="00884DD1">
        <w:rPr>
          <w:rFonts w:cs="Tahoma"/>
          <w:spacing w:val="-6"/>
          <w:sz w:val="24"/>
        </w:rPr>
        <w:t xml:space="preserve">La </w:t>
      </w:r>
      <w:r w:rsidR="00372745" w:rsidRPr="00884DD1">
        <w:rPr>
          <w:rFonts w:cs="Tahoma"/>
          <w:spacing w:val="-6"/>
          <w:sz w:val="24"/>
        </w:rPr>
        <w:t>Corporación</w:t>
      </w:r>
      <w:r w:rsidR="00BC4075" w:rsidRPr="00884DD1">
        <w:rPr>
          <w:rFonts w:cs="Tahoma"/>
          <w:spacing w:val="-6"/>
          <w:sz w:val="24"/>
        </w:rPr>
        <w:t>,</w:t>
      </w:r>
      <w:r w:rsidR="0087110E" w:rsidRPr="00884DD1">
        <w:rPr>
          <w:rFonts w:cs="Tahoma"/>
          <w:spacing w:val="-6"/>
          <w:sz w:val="24"/>
        </w:rPr>
        <w:t xml:space="preserve"> </w:t>
      </w:r>
      <w:r w:rsidR="00DC5701" w:rsidRPr="00884DD1">
        <w:rPr>
          <w:rFonts w:cs="Tahoma"/>
          <w:spacing w:val="-6"/>
          <w:sz w:val="24"/>
        </w:rPr>
        <w:t>asumi</w:t>
      </w:r>
      <w:r w:rsidR="00B93123" w:rsidRPr="00884DD1">
        <w:rPr>
          <w:rFonts w:cs="Tahoma"/>
          <w:spacing w:val="-6"/>
          <w:sz w:val="24"/>
        </w:rPr>
        <w:t xml:space="preserve">ó </w:t>
      </w:r>
      <w:r w:rsidR="00390F3A" w:rsidRPr="00884DD1">
        <w:rPr>
          <w:rFonts w:cs="Tahoma"/>
          <w:spacing w:val="-6"/>
          <w:sz w:val="24"/>
        </w:rPr>
        <w:t xml:space="preserve">a prevención </w:t>
      </w:r>
      <w:r w:rsidR="00B93123" w:rsidRPr="00884DD1">
        <w:rPr>
          <w:rFonts w:cs="Tahoma"/>
          <w:spacing w:val="-6"/>
          <w:sz w:val="24"/>
        </w:rPr>
        <w:t>el conocimiento de la acción</w:t>
      </w:r>
      <w:r w:rsidR="00DC5701" w:rsidRPr="00884DD1">
        <w:rPr>
          <w:rFonts w:cs="Tahoma"/>
          <w:spacing w:val="-6"/>
          <w:sz w:val="24"/>
        </w:rPr>
        <w:t xml:space="preserve">, y </w:t>
      </w:r>
      <w:r w:rsidR="00255B57" w:rsidRPr="00884DD1">
        <w:rPr>
          <w:rFonts w:cs="Tahoma"/>
          <w:spacing w:val="-6"/>
          <w:sz w:val="24"/>
        </w:rPr>
        <w:t xml:space="preserve">una vez </w:t>
      </w:r>
      <w:r w:rsidR="001D6F24" w:rsidRPr="00884DD1">
        <w:rPr>
          <w:rFonts w:cs="Tahoma"/>
          <w:spacing w:val="-6"/>
          <w:sz w:val="24"/>
        </w:rPr>
        <w:t xml:space="preserve">admitida la demanda, </w:t>
      </w:r>
      <w:r w:rsidR="00D21AED" w:rsidRPr="00884DD1">
        <w:rPr>
          <w:rFonts w:cs="Tahoma"/>
          <w:spacing w:val="-6"/>
          <w:sz w:val="24"/>
        </w:rPr>
        <w:t xml:space="preserve">corrió traslado de </w:t>
      </w:r>
      <w:r w:rsidR="00255B57" w:rsidRPr="00884DD1">
        <w:rPr>
          <w:rFonts w:cs="Tahoma"/>
          <w:spacing w:val="-6"/>
          <w:sz w:val="24"/>
        </w:rPr>
        <w:t>la misma</w:t>
      </w:r>
      <w:r w:rsidR="001D6F24" w:rsidRPr="00884DD1">
        <w:rPr>
          <w:rFonts w:cs="Tahoma"/>
          <w:spacing w:val="-6"/>
          <w:sz w:val="24"/>
        </w:rPr>
        <w:t xml:space="preserve"> a</w:t>
      </w:r>
      <w:r w:rsidR="00E60397" w:rsidRPr="00884DD1">
        <w:rPr>
          <w:rFonts w:cs="Tahoma"/>
          <w:spacing w:val="-6"/>
          <w:sz w:val="24"/>
        </w:rPr>
        <w:t xml:space="preserve"> la Fiscalía accionada, y al respecto se informó lo siguiente:</w:t>
      </w:r>
    </w:p>
    <w:p w14:paraId="22A7D0F2" w14:textId="1B07A42A" w:rsidR="00E60397" w:rsidRPr="00884DD1" w:rsidRDefault="00E60397" w:rsidP="00884DD1">
      <w:pPr>
        <w:spacing w:line="276" w:lineRule="auto"/>
        <w:rPr>
          <w:rFonts w:cs="Tahoma"/>
          <w:spacing w:val="-6"/>
          <w:sz w:val="24"/>
        </w:rPr>
      </w:pPr>
    </w:p>
    <w:p w14:paraId="0F31A758" w14:textId="1AB775CA" w:rsidR="00E60397" w:rsidRPr="00884DD1" w:rsidRDefault="00E60397" w:rsidP="00884DD1">
      <w:pPr>
        <w:spacing w:line="276" w:lineRule="auto"/>
        <w:rPr>
          <w:rFonts w:cs="Tahoma"/>
          <w:spacing w:val="-6"/>
          <w:sz w:val="24"/>
        </w:rPr>
      </w:pPr>
      <w:r w:rsidRPr="00884DD1">
        <w:rPr>
          <w:rFonts w:cs="Tahoma"/>
          <w:spacing w:val="-6"/>
          <w:sz w:val="24"/>
        </w:rPr>
        <w:t>-. La Delegada de la Procuraduría 231 Judicial I Penal emitió concepto por medio del cual refiere que revisado el asunto se tiene que por auto de junio 17 de 2022, el Juzgado 159 IPMP resolvió la situación jurídica del procesado y por auto de septiembre 08 de 2022, ordenó remitir la actuación a la Fiscalía 149 I</w:t>
      </w:r>
      <w:r w:rsidR="00B93123" w:rsidRPr="00884DD1">
        <w:rPr>
          <w:rFonts w:cs="Tahoma"/>
          <w:spacing w:val="-6"/>
          <w:sz w:val="24"/>
        </w:rPr>
        <w:t xml:space="preserve">PMP </w:t>
      </w:r>
      <w:r w:rsidRPr="00884DD1">
        <w:rPr>
          <w:rFonts w:cs="Tahoma"/>
          <w:spacing w:val="-6"/>
          <w:sz w:val="24"/>
        </w:rPr>
        <w:t>con sede en Cali, para que se surta la etapa de calificación, despacho ante el cual no interviene, sin advertirse que por parte del Juzgado 159 IPMP se hubiere quebrantado derecho fundamental alguno.</w:t>
      </w:r>
    </w:p>
    <w:p w14:paraId="246F16F6" w14:textId="54D0A159" w:rsidR="00E60397" w:rsidRPr="00884DD1" w:rsidRDefault="00E60397" w:rsidP="00884DD1">
      <w:pPr>
        <w:spacing w:line="276" w:lineRule="auto"/>
        <w:rPr>
          <w:rFonts w:cs="Tahoma"/>
          <w:spacing w:val="-6"/>
          <w:sz w:val="24"/>
        </w:rPr>
      </w:pPr>
    </w:p>
    <w:p w14:paraId="62CAC632" w14:textId="7A68E87A" w:rsidR="00E60397" w:rsidRPr="00884DD1" w:rsidRDefault="00E60397" w:rsidP="00884DD1">
      <w:pPr>
        <w:spacing w:line="276" w:lineRule="auto"/>
        <w:rPr>
          <w:rFonts w:cs="Tahoma"/>
          <w:spacing w:val="-6"/>
          <w:sz w:val="24"/>
        </w:rPr>
      </w:pPr>
      <w:r w:rsidRPr="00884DD1">
        <w:rPr>
          <w:rFonts w:cs="Tahoma"/>
          <w:spacing w:val="-6"/>
          <w:sz w:val="24"/>
        </w:rPr>
        <w:t xml:space="preserve">-. El Fiscal 149 IPMP de Cali, </w:t>
      </w:r>
      <w:r w:rsidR="007A0AB3" w:rsidRPr="00884DD1">
        <w:rPr>
          <w:rFonts w:cs="Tahoma"/>
          <w:spacing w:val="-6"/>
          <w:sz w:val="24"/>
        </w:rPr>
        <w:t xml:space="preserve">manifestó </w:t>
      </w:r>
      <w:r w:rsidRPr="00884DD1">
        <w:rPr>
          <w:rFonts w:cs="Tahoma"/>
          <w:spacing w:val="-6"/>
          <w:sz w:val="24"/>
        </w:rPr>
        <w:t xml:space="preserve">que con ocasión de solicitudes que elevó el abogado  GERARDO BERNAL MONTENEGRO, amén del poder que arrimó en su momento ante el Juzgado 159 IPMP, se le requirió por auto de octubre 04 para que acreditara conforme el canon 305 y ss. de la ley 522/99 la calidad de sujeto procesal, y posteriormente a raíz de llamada donde se indicó por parte de su dependiente la imposibilidad de acudir a Cali para conocer el </w:t>
      </w:r>
      <w:r w:rsidR="007A0AB3" w:rsidRPr="00884DD1">
        <w:rPr>
          <w:rFonts w:cs="Tahoma"/>
          <w:spacing w:val="-6"/>
          <w:sz w:val="24"/>
        </w:rPr>
        <w:t>expediente</w:t>
      </w:r>
      <w:r w:rsidRPr="00884DD1">
        <w:rPr>
          <w:rFonts w:cs="Tahoma"/>
          <w:spacing w:val="-6"/>
          <w:sz w:val="24"/>
        </w:rPr>
        <w:t xml:space="preserve">, por auto de octubre 19 se le reiteró la negativa de expedirle copias dada la normativa especial que </w:t>
      </w:r>
      <w:r w:rsidR="00B93123" w:rsidRPr="00884DD1">
        <w:rPr>
          <w:rFonts w:cs="Tahoma"/>
          <w:spacing w:val="-6"/>
          <w:sz w:val="24"/>
        </w:rPr>
        <w:t xml:space="preserve">los </w:t>
      </w:r>
      <w:r w:rsidRPr="00884DD1">
        <w:rPr>
          <w:rFonts w:cs="Tahoma"/>
          <w:spacing w:val="-6"/>
          <w:sz w:val="24"/>
        </w:rPr>
        <w:t xml:space="preserve">rige </w:t>
      </w:r>
      <w:r w:rsidR="00B93123" w:rsidRPr="00884DD1">
        <w:rPr>
          <w:rFonts w:cs="Tahoma"/>
          <w:spacing w:val="-6"/>
          <w:sz w:val="24"/>
        </w:rPr>
        <w:t>-</w:t>
      </w:r>
      <w:r w:rsidRPr="00884DD1">
        <w:rPr>
          <w:rFonts w:cs="Tahoma"/>
          <w:spacing w:val="-6"/>
          <w:sz w:val="24"/>
        </w:rPr>
        <w:t>Código Penal Militar</w:t>
      </w:r>
      <w:r w:rsidR="00B93123" w:rsidRPr="00884DD1">
        <w:rPr>
          <w:rFonts w:cs="Tahoma"/>
          <w:spacing w:val="-6"/>
          <w:sz w:val="24"/>
        </w:rPr>
        <w:t>-</w:t>
      </w:r>
      <w:r w:rsidR="00EC304F" w:rsidRPr="00884DD1">
        <w:rPr>
          <w:rFonts w:cs="Tahoma"/>
          <w:spacing w:val="-6"/>
          <w:sz w:val="24"/>
        </w:rPr>
        <w:t xml:space="preserve">. Aduce que en dicha actuación </w:t>
      </w:r>
      <w:r w:rsidRPr="00884DD1">
        <w:rPr>
          <w:rFonts w:cs="Tahoma"/>
          <w:spacing w:val="-6"/>
          <w:sz w:val="24"/>
        </w:rPr>
        <w:t xml:space="preserve">solo pueden intervenir, entre otros, el apoderado de la aludida parte, </w:t>
      </w:r>
      <w:r w:rsidRPr="00884DD1">
        <w:rPr>
          <w:rFonts w:cs="Tahoma"/>
          <w:b/>
          <w:bCs/>
          <w:i/>
          <w:iCs/>
          <w:spacing w:val="-6"/>
          <w:sz w:val="24"/>
        </w:rPr>
        <w:t>y se prohíbe la exp</w:t>
      </w:r>
      <w:r w:rsidR="00EC304F" w:rsidRPr="00884DD1">
        <w:rPr>
          <w:rFonts w:cs="Tahoma"/>
          <w:b/>
          <w:bCs/>
          <w:i/>
          <w:iCs/>
          <w:spacing w:val="-6"/>
          <w:sz w:val="24"/>
        </w:rPr>
        <w:t>e</w:t>
      </w:r>
      <w:r w:rsidRPr="00884DD1">
        <w:rPr>
          <w:rFonts w:cs="Tahoma"/>
          <w:b/>
          <w:bCs/>
          <w:i/>
          <w:iCs/>
          <w:spacing w:val="-6"/>
          <w:sz w:val="24"/>
        </w:rPr>
        <w:t>dición de copias a quien no sea considerado sujeto procesal.</w:t>
      </w:r>
      <w:r w:rsidR="00EC304F" w:rsidRPr="00884DD1">
        <w:rPr>
          <w:rFonts w:cs="Tahoma"/>
          <w:spacing w:val="-6"/>
          <w:sz w:val="24"/>
        </w:rPr>
        <w:t xml:space="preserve"> En este caso las víctimas, si bien son representadas por un abogado, aun no están acreditadas por medio de la demanda de parte civil y por consiguiente no tienen derecho a la expedición de las copias, sin que con ello se haya quebrantado derecho alguno, máxime que la tutela es improcedente al no cumplirse el requisito de la inmediatez, y pide por lo tanto que así sea decretado.</w:t>
      </w:r>
    </w:p>
    <w:p w14:paraId="653113EF" w14:textId="77777777" w:rsidR="008A6210" w:rsidRPr="00884DD1" w:rsidRDefault="008A6210" w:rsidP="00884DD1">
      <w:pPr>
        <w:spacing w:line="276" w:lineRule="auto"/>
        <w:rPr>
          <w:rFonts w:cs="Tahoma"/>
          <w:spacing w:val="-6"/>
          <w:sz w:val="24"/>
        </w:rPr>
      </w:pPr>
    </w:p>
    <w:p w14:paraId="26D6B75B" w14:textId="77777777" w:rsidR="00D06A1B" w:rsidRPr="00884DD1" w:rsidRDefault="00D06A1B" w:rsidP="00884DD1">
      <w:pPr>
        <w:spacing w:line="276" w:lineRule="auto"/>
        <w:rPr>
          <w:rFonts w:ascii="Algerian" w:hAnsi="Algerian"/>
          <w:sz w:val="30"/>
          <w:szCs w:val="20"/>
          <w:lang w:val="es-ES"/>
        </w:rPr>
      </w:pPr>
      <w:r w:rsidRPr="00884DD1">
        <w:rPr>
          <w:rFonts w:ascii="Algerian" w:hAnsi="Algerian"/>
          <w:sz w:val="30"/>
          <w:szCs w:val="20"/>
          <w:lang w:val="es-ES"/>
        </w:rPr>
        <w:t>4.- PRUEBAS</w:t>
      </w:r>
    </w:p>
    <w:p w14:paraId="1644D762" w14:textId="77777777" w:rsidR="007749AD" w:rsidRPr="00884DD1" w:rsidRDefault="007749AD" w:rsidP="00884DD1">
      <w:pPr>
        <w:spacing w:line="276" w:lineRule="auto"/>
        <w:rPr>
          <w:rFonts w:cs="Tahoma"/>
          <w:spacing w:val="-6"/>
          <w:position w:val="4"/>
          <w:sz w:val="24"/>
        </w:rPr>
      </w:pPr>
    </w:p>
    <w:p w14:paraId="6A077C5A" w14:textId="77777777" w:rsidR="00E823C3" w:rsidRPr="00884DD1" w:rsidRDefault="008E71EC" w:rsidP="00884DD1">
      <w:pPr>
        <w:spacing w:line="276" w:lineRule="auto"/>
        <w:rPr>
          <w:rFonts w:cs="Tahoma"/>
          <w:spacing w:val="-6"/>
          <w:position w:val="4"/>
          <w:sz w:val="24"/>
        </w:rPr>
      </w:pPr>
      <w:r w:rsidRPr="00884DD1">
        <w:rPr>
          <w:rFonts w:cs="Tahoma"/>
          <w:spacing w:val="-6"/>
          <w:position w:val="4"/>
          <w:sz w:val="24"/>
        </w:rPr>
        <w:t>Se tuvieron como tal los documentos aportados por las partes</w:t>
      </w:r>
      <w:r w:rsidR="00C13E58" w:rsidRPr="00884DD1">
        <w:rPr>
          <w:rFonts w:cs="Tahoma"/>
          <w:spacing w:val="-6"/>
          <w:position w:val="4"/>
          <w:sz w:val="24"/>
        </w:rPr>
        <w:t>.</w:t>
      </w:r>
      <w:r w:rsidR="00C544C8" w:rsidRPr="00884DD1">
        <w:rPr>
          <w:rFonts w:cs="Tahoma"/>
          <w:spacing w:val="-6"/>
          <w:position w:val="4"/>
          <w:sz w:val="24"/>
        </w:rPr>
        <w:t xml:space="preserve"> </w:t>
      </w:r>
    </w:p>
    <w:p w14:paraId="3C3A79EA" w14:textId="77777777" w:rsidR="009A13FE" w:rsidRPr="00884DD1" w:rsidRDefault="009A13FE" w:rsidP="00884DD1">
      <w:pPr>
        <w:spacing w:line="276" w:lineRule="auto"/>
        <w:rPr>
          <w:rStyle w:val="Algerian"/>
          <w:rFonts w:ascii="Tahoma" w:hAnsi="Tahoma" w:cs="Tahoma"/>
          <w:spacing w:val="-6"/>
          <w:position w:val="4"/>
          <w:sz w:val="24"/>
        </w:rPr>
      </w:pPr>
    </w:p>
    <w:p w14:paraId="2A63CB18" w14:textId="77777777" w:rsidR="00D06A1B" w:rsidRPr="00884DD1" w:rsidRDefault="00D06A1B" w:rsidP="00884DD1">
      <w:pPr>
        <w:spacing w:line="276" w:lineRule="auto"/>
        <w:rPr>
          <w:rStyle w:val="Algerian"/>
          <w:rFonts w:ascii="Tahoma" w:hAnsi="Tahoma" w:cs="Tahoma"/>
          <w:spacing w:val="-6"/>
          <w:position w:val="4"/>
          <w:sz w:val="24"/>
        </w:rPr>
      </w:pPr>
      <w:r w:rsidRPr="00884DD1">
        <w:rPr>
          <w:rFonts w:ascii="Algerian" w:hAnsi="Algerian"/>
          <w:sz w:val="30"/>
          <w:szCs w:val="20"/>
          <w:lang w:val="es-ES"/>
        </w:rPr>
        <w:t>5.-</w:t>
      </w:r>
      <w:r w:rsidRPr="00884DD1">
        <w:rPr>
          <w:rStyle w:val="Algerian"/>
          <w:rFonts w:ascii="Tahoma" w:hAnsi="Tahoma" w:cs="Tahoma"/>
          <w:spacing w:val="-6"/>
          <w:position w:val="4"/>
          <w:sz w:val="24"/>
        </w:rPr>
        <w:t xml:space="preserve"> </w:t>
      </w:r>
      <w:r w:rsidR="008E73B3" w:rsidRPr="00884DD1">
        <w:rPr>
          <w:rStyle w:val="Algerian"/>
          <w:rFonts w:ascii="Tahoma" w:hAnsi="Tahoma" w:cs="Tahoma"/>
          <w:spacing w:val="-6"/>
          <w:position w:val="4"/>
          <w:sz w:val="24"/>
        </w:rPr>
        <w:t xml:space="preserve">Para resolver, </w:t>
      </w:r>
      <w:r w:rsidRPr="00884DD1">
        <w:rPr>
          <w:rFonts w:ascii="Algerian" w:hAnsi="Algerian"/>
          <w:sz w:val="30"/>
          <w:szCs w:val="20"/>
          <w:lang w:val="es-ES"/>
        </w:rPr>
        <w:t>SE CONSIDERA</w:t>
      </w:r>
    </w:p>
    <w:p w14:paraId="51731D54" w14:textId="77777777" w:rsidR="00D06A1B" w:rsidRPr="00884DD1" w:rsidRDefault="00D06A1B" w:rsidP="00884DD1">
      <w:pPr>
        <w:spacing w:line="276" w:lineRule="auto"/>
        <w:rPr>
          <w:rFonts w:cs="Tahoma"/>
          <w:spacing w:val="-6"/>
          <w:position w:val="4"/>
          <w:sz w:val="24"/>
        </w:rPr>
      </w:pPr>
    </w:p>
    <w:p w14:paraId="4838EF8A" w14:textId="589341CD" w:rsidR="00863397" w:rsidRPr="00884DD1" w:rsidRDefault="00863397" w:rsidP="00884DD1">
      <w:pPr>
        <w:spacing w:line="276" w:lineRule="auto"/>
        <w:rPr>
          <w:rFonts w:cs="Tahoma"/>
          <w:spacing w:val="-6"/>
          <w:sz w:val="24"/>
        </w:rPr>
      </w:pPr>
      <w:r w:rsidRPr="00884DD1">
        <w:rPr>
          <w:rFonts w:cs="Tahoma"/>
          <w:spacing w:val="-6"/>
          <w:sz w:val="24"/>
        </w:rPr>
        <w:t>El Tribunal es competente para fallar est</w:t>
      </w:r>
      <w:r w:rsidR="007A0AB3" w:rsidRPr="00884DD1">
        <w:rPr>
          <w:rFonts w:cs="Tahoma"/>
          <w:spacing w:val="-6"/>
          <w:sz w:val="24"/>
        </w:rPr>
        <w:t xml:space="preserve">a tutela </w:t>
      </w:r>
      <w:r w:rsidRPr="00884DD1">
        <w:rPr>
          <w:rFonts w:cs="Tahoma"/>
          <w:spacing w:val="-6"/>
          <w:sz w:val="24"/>
        </w:rPr>
        <w:t>de conformidad con la facultad consagrada en la Constitución Política en su artículo 86 y en los Decretos 2591/91 y 1382 de 2000, modificado por el 1069 de 2015, y éste a su vez por el 1983 de 2017 y el 333 de 2021.</w:t>
      </w:r>
    </w:p>
    <w:p w14:paraId="24504BC9" w14:textId="77777777" w:rsidR="00550230" w:rsidRPr="00884DD1" w:rsidRDefault="00550230" w:rsidP="00884DD1">
      <w:pPr>
        <w:spacing w:line="276" w:lineRule="auto"/>
        <w:rPr>
          <w:rFonts w:cs="Tahoma"/>
          <w:spacing w:val="-6"/>
          <w:sz w:val="24"/>
        </w:rPr>
      </w:pPr>
    </w:p>
    <w:p w14:paraId="7E8554A5" w14:textId="77777777" w:rsidR="00D06A1B" w:rsidRPr="00884DD1" w:rsidRDefault="00D06A1B" w:rsidP="00884DD1">
      <w:pPr>
        <w:spacing w:line="276" w:lineRule="auto"/>
        <w:rPr>
          <w:rFonts w:cs="Tahoma"/>
          <w:b/>
          <w:bCs/>
          <w:spacing w:val="-6"/>
          <w:position w:val="-6"/>
          <w:sz w:val="24"/>
        </w:rPr>
      </w:pPr>
      <w:r w:rsidRPr="00884DD1">
        <w:rPr>
          <w:rFonts w:cs="Tahoma"/>
          <w:b/>
          <w:bCs/>
          <w:spacing w:val="-6"/>
          <w:position w:val="-6"/>
          <w:sz w:val="24"/>
        </w:rPr>
        <w:t xml:space="preserve">5.1.- Problema planteado </w:t>
      </w:r>
    </w:p>
    <w:p w14:paraId="5C0D27D0" w14:textId="77777777" w:rsidR="00D06A1B" w:rsidRPr="00884DD1" w:rsidRDefault="00D06A1B" w:rsidP="00884DD1">
      <w:pPr>
        <w:spacing w:line="276" w:lineRule="auto"/>
        <w:rPr>
          <w:rFonts w:cs="Tahoma"/>
          <w:bCs/>
          <w:spacing w:val="-6"/>
          <w:position w:val="-6"/>
          <w:sz w:val="24"/>
        </w:rPr>
      </w:pPr>
    </w:p>
    <w:p w14:paraId="7FBD49B9" w14:textId="069EAD98" w:rsidR="005A792F" w:rsidRPr="00884DD1" w:rsidRDefault="005A792F" w:rsidP="00884DD1">
      <w:pPr>
        <w:spacing w:line="276" w:lineRule="auto"/>
        <w:rPr>
          <w:rFonts w:cs="Tahoma"/>
          <w:spacing w:val="-6"/>
          <w:position w:val="-6"/>
          <w:sz w:val="24"/>
        </w:rPr>
      </w:pPr>
      <w:r w:rsidRPr="00884DD1">
        <w:rPr>
          <w:rFonts w:cs="Tahoma"/>
          <w:spacing w:val="-6"/>
          <w:position w:val="-6"/>
          <w:sz w:val="24"/>
        </w:rPr>
        <w:t xml:space="preserve">Corresponde establecer a la Sala si </w:t>
      </w:r>
      <w:r w:rsidR="0064657F" w:rsidRPr="00884DD1">
        <w:rPr>
          <w:rFonts w:cs="Tahoma"/>
          <w:spacing w:val="-6"/>
          <w:position w:val="-6"/>
          <w:sz w:val="24"/>
        </w:rPr>
        <w:t>por parte de</w:t>
      </w:r>
      <w:r w:rsidR="007E2CBE" w:rsidRPr="00884DD1">
        <w:rPr>
          <w:rFonts w:cs="Tahoma"/>
          <w:spacing w:val="-6"/>
          <w:position w:val="-6"/>
          <w:sz w:val="24"/>
        </w:rPr>
        <w:t xml:space="preserve"> la Fiscalía 149 IPMP de Cali</w:t>
      </w:r>
      <w:r w:rsidR="00467501" w:rsidRPr="00884DD1">
        <w:rPr>
          <w:rFonts w:cs="Tahoma"/>
          <w:spacing w:val="-6"/>
          <w:position w:val="-6"/>
          <w:sz w:val="24"/>
        </w:rPr>
        <w:t xml:space="preserve">, </w:t>
      </w:r>
      <w:r w:rsidR="005A27D6" w:rsidRPr="00884DD1">
        <w:rPr>
          <w:rFonts w:cs="Tahoma"/>
          <w:spacing w:val="-6"/>
          <w:position w:val="-6"/>
          <w:sz w:val="24"/>
        </w:rPr>
        <w:t xml:space="preserve">se </w:t>
      </w:r>
      <w:r w:rsidRPr="00884DD1">
        <w:rPr>
          <w:rFonts w:cs="Tahoma"/>
          <w:spacing w:val="-6"/>
          <w:position w:val="-6"/>
          <w:sz w:val="24"/>
        </w:rPr>
        <w:t xml:space="preserve">vulneraron los derechos fundamentales que </w:t>
      </w:r>
      <w:r w:rsidR="00441E90" w:rsidRPr="00884DD1">
        <w:rPr>
          <w:rFonts w:cs="Tahoma"/>
          <w:spacing w:val="-6"/>
          <w:position w:val="-6"/>
          <w:sz w:val="24"/>
        </w:rPr>
        <w:t xml:space="preserve">observa </w:t>
      </w:r>
      <w:r w:rsidRPr="00884DD1">
        <w:rPr>
          <w:rFonts w:cs="Tahoma"/>
          <w:spacing w:val="-6"/>
          <w:position w:val="-6"/>
          <w:sz w:val="24"/>
        </w:rPr>
        <w:t>conculcados</w:t>
      </w:r>
      <w:r w:rsidR="00107B62" w:rsidRPr="00884DD1">
        <w:rPr>
          <w:rFonts w:cs="Tahoma"/>
          <w:spacing w:val="-6"/>
          <w:position w:val="-6"/>
          <w:sz w:val="24"/>
        </w:rPr>
        <w:t xml:space="preserve"> </w:t>
      </w:r>
      <w:r w:rsidR="00C95643" w:rsidRPr="00884DD1">
        <w:rPr>
          <w:rFonts w:cs="Tahoma"/>
          <w:spacing w:val="-6"/>
          <w:position w:val="-6"/>
          <w:sz w:val="24"/>
        </w:rPr>
        <w:t>la</w:t>
      </w:r>
      <w:r w:rsidR="00987A58" w:rsidRPr="00884DD1">
        <w:rPr>
          <w:rFonts w:cs="Tahoma"/>
          <w:spacing w:val="-6"/>
          <w:position w:val="-6"/>
          <w:sz w:val="24"/>
        </w:rPr>
        <w:t xml:space="preserve"> </w:t>
      </w:r>
      <w:r w:rsidR="0045386D" w:rsidRPr="00884DD1">
        <w:rPr>
          <w:rFonts w:cs="Tahoma"/>
          <w:spacing w:val="-6"/>
          <w:position w:val="-6"/>
          <w:sz w:val="24"/>
        </w:rPr>
        <w:t>parte demandante</w:t>
      </w:r>
      <w:r w:rsidRPr="00884DD1">
        <w:rPr>
          <w:rFonts w:cs="Tahoma"/>
          <w:spacing w:val="-6"/>
          <w:position w:val="-6"/>
          <w:sz w:val="24"/>
        </w:rPr>
        <w:t>.</w:t>
      </w:r>
    </w:p>
    <w:p w14:paraId="1BC24561" w14:textId="77777777" w:rsidR="00107B62" w:rsidRPr="00884DD1" w:rsidRDefault="00107B62" w:rsidP="00884DD1">
      <w:pPr>
        <w:spacing w:line="276" w:lineRule="auto"/>
        <w:rPr>
          <w:rFonts w:cs="Tahoma"/>
          <w:b/>
          <w:bCs/>
          <w:spacing w:val="-6"/>
          <w:position w:val="-6"/>
          <w:sz w:val="24"/>
        </w:rPr>
      </w:pPr>
    </w:p>
    <w:p w14:paraId="06EC67CB" w14:textId="77777777" w:rsidR="0058780C" w:rsidRPr="00884DD1" w:rsidRDefault="0058780C" w:rsidP="00884DD1">
      <w:pPr>
        <w:spacing w:line="276" w:lineRule="auto"/>
        <w:rPr>
          <w:rFonts w:cs="Tahoma"/>
          <w:b/>
          <w:bCs/>
          <w:spacing w:val="-6"/>
          <w:sz w:val="24"/>
        </w:rPr>
      </w:pPr>
      <w:r w:rsidRPr="00884DD1">
        <w:rPr>
          <w:rFonts w:cs="Tahoma"/>
          <w:b/>
          <w:bCs/>
          <w:spacing w:val="-6"/>
          <w:sz w:val="24"/>
        </w:rPr>
        <w:t>5.2.- Solución a la controversia</w:t>
      </w:r>
    </w:p>
    <w:p w14:paraId="36568A26" w14:textId="77777777" w:rsidR="00CB703B" w:rsidRPr="00884DD1" w:rsidRDefault="00CB703B" w:rsidP="00884DD1">
      <w:pPr>
        <w:spacing w:line="276" w:lineRule="auto"/>
        <w:rPr>
          <w:rFonts w:cs="Tahoma"/>
          <w:spacing w:val="-6"/>
          <w:sz w:val="24"/>
        </w:rPr>
      </w:pPr>
    </w:p>
    <w:p w14:paraId="414024FC" w14:textId="78F4884A" w:rsidR="00DB3B9E" w:rsidRPr="00884DD1" w:rsidRDefault="00DB3B9E" w:rsidP="00884DD1">
      <w:pPr>
        <w:spacing w:line="276" w:lineRule="auto"/>
        <w:rPr>
          <w:rFonts w:cs="Tahoma"/>
          <w:spacing w:val="-4"/>
          <w:position w:val="-4"/>
          <w:sz w:val="24"/>
        </w:rPr>
      </w:pPr>
      <w:r w:rsidRPr="00884DD1">
        <w:rPr>
          <w:rFonts w:cs="Tahoma"/>
          <w:spacing w:val="-4"/>
          <w:position w:val="-4"/>
          <w:sz w:val="24"/>
        </w:rPr>
        <w:t>De acuerdo con el artículo 86 de la Constitución Política, toda persona podrá acudir a la tutela para reclamar la protección a sus derechos constitucionales fundamentales, y procederá contra toda acción u omisión de las autoridades públicas, o particulares según se trate, siempre que: “</w:t>
      </w:r>
      <w:r w:rsidRPr="00162E90">
        <w:rPr>
          <w:rFonts w:cs="Tahoma"/>
          <w:spacing w:val="-4"/>
          <w:position w:val="-4"/>
          <w:sz w:val="22"/>
        </w:rPr>
        <w:t>el afectado no disponga de otro medio de defensa judicial, salvo que aquélla se utilice como mecanismo transitorio para evitar un perjuicio irremediable</w:t>
      </w:r>
      <w:r w:rsidRPr="00884DD1">
        <w:rPr>
          <w:rFonts w:cs="Tahoma"/>
          <w:spacing w:val="-4"/>
          <w:position w:val="-4"/>
          <w:sz w:val="24"/>
        </w:rPr>
        <w:t xml:space="preserve">”. Se advierte entonces que la acción de tutela ha sido por excelencia el </w:t>
      </w:r>
      <w:r w:rsidR="007A0AB3" w:rsidRPr="00884DD1">
        <w:rPr>
          <w:rFonts w:cs="Tahoma"/>
          <w:spacing w:val="-4"/>
          <w:position w:val="-4"/>
          <w:sz w:val="24"/>
        </w:rPr>
        <w:t xml:space="preserve">medio </w:t>
      </w:r>
      <w:r w:rsidRPr="00884DD1">
        <w:rPr>
          <w:rFonts w:cs="Tahoma"/>
          <w:spacing w:val="-4"/>
          <w:position w:val="-4"/>
          <w:sz w:val="24"/>
        </w:rPr>
        <w:t xml:space="preserve">más expedito en materia de protección de derechos fundamentales, gracias a ella el Estado Colombiano logró optimizarlos y hacerlos valer a todas las personas sin discriminación alguna. </w:t>
      </w:r>
    </w:p>
    <w:p w14:paraId="54D79F41" w14:textId="77777777" w:rsidR="00DB3B9E" w:rsidRPr="00884DD1" w:rsidRDefault="00DB3B9E" w:rsidP="00884DD1">
      <w:pPr>
        <w:spacing w:line="276" w:lineRule="auto"/>
        <w:rPr>
          <w:rFonts w:cs="Tahoma"/>
          <w:spacing w:val="-4"/>
          <w:position w:val="-4"/>
          <w:sz w:val="24"/>
        </w:rPr>
      </w:pPr>
    </w:p>
    <w:p w14:paraId="76324901" w14:textId="7E960F9F" w:rsidR="00A075F1" w:rsidRPr="00884DD1" w:rsidRDefault="00DB3B9E" w:rsidP="00884DD1">
      <w:pPr>
        <w:spacing w:line="276" w:lineRule="auto"/>
        <w:rPr>
          <w:rFonts w:cs="Tahoma"/>
          <w:spacing w:val="-6"/>
          <w:sz w:val="24"/>
        </w:rPr>
      </w:pPr>
      <w:r w:rsidRPr="00884DD1">
        <w:rPr>
          <w:rFonts w:cs="Tahoma"/>
          <w:spacing w:val="-6"/>
          <w:sz w:val="24"/>
        </w:rPr>
        <w:t xml:space="preserve">En lo que respecta al caso sub examine, de acuerdo con las manifestaciones realizadas por el accionante, se tiene que la tutela está dirigida básicamente a </w:t>
      </w:r>
      <w:r w:rsidR="004A295B" w:rsidRPr="00884DD1">
        <w:rPr>
          <w:rFonts w:cs="Tahoma"/>
          <w:spacing w:val="-6"/>
          <w:sz w:val="24"/>
        </w:rPr>
        <w:t xml:space="preserve">que </w:t>
      </w:r>
      <w:r w:rsidR="00390F3A" w:rsidRPr="00884DD1">
        <w:rPr>
          <w:rFonts w:cs="Tahoma"/>
          <w:spacing w:val="-6"/>
          <w:sz w:val="24"/>
        </w:rPr>
        <w:t xml:space="preserve">se ordene a </w:t>
      </w:r>
      <w:r w:rsidR="004A295B" w:rsidRPr="00884DD1">
        <w:rPr>
          <w:rFonts w:cs="Tahoma"/>
          <w:spacing w:val="-6"/>
          <w:sz w:val="24"/>
        </w:rPr>
        <w:t xml:space="preserve">la Fiscalía 149 IPMP con sede en Cali, le allegue copia del link </w:t>
      </w:r>
      <w:r w:rsidR="00A075F1" w:rsidRPr="00884DD1">
        <w:rPr>
          <w:rFonts w:cs="Tahoma"/>
          <w:spacing w:val="-6"/>
          <w:sz w:val="24"/>
        </w:rPr>
        <w:t>del proceso que allí se adelanta y en el cual funge como víctima, con miras a proceder a presentar la demanda de constitución de parte civil.</w:t>
      </w:r>
    </w:p>
    <w:p w14:paraId="54E4C717" w14:textId="77777777" w:rsidR="00A075F1" w:rsidRPr="00884DD1" w:rsidRDefault="00A075F1" w:rsidP="00884DD1">
      <w:pPr>
        <w:spacing w:line="276" w:lineRule="auto"/>
        <w:rPr>
          <w:rFonts w:cs="Tahoma"/>
          <w:spacing w:val="-2"/>
          <w:position w:val="-4"/>
          <w:sz w:val="24"/>
        </w:rPr>
      </w:pPr>
    </w:p>
    <w:p w14:paraId="67B6A5CE" w14:textId="72B3C3CE" w:rsidR="00A075F1" w:rsidRPr="00884DD1" w:rsidRDefault="00A075F1" w:rsidP="00884DD1">
      <w:pPr>
        <w:spacing w:line="276" w:lineRule="auto"/>
        <w:rPr>
          <w:rFonts w:cs="Tahoma"/>
          <w:spacing w:val="-2"/>
          <w:position w:val="-4"/>
          <w:sz w:val="24"/>
        </w:rPr>
      </w:pPr>
      <w:r w:rsidRPr="00884DD1">
        <w:rPr>
          <w:rFonts w:cs="Tahoma"/>
          <w:spacing w:val="-2"/>
          <w:position w:val="-4"/>
          <w:sz w:val="24"/>
        </w:rPr>
        <w:t>La jurisprudencia constitucional es contundente al resaltar el carácter subsidiario y residual de la acción constitucional, y que la misma solo es procedente de manera supletoria, es decir, cuando no existan otros me</w:t>
      </w:r>
      <w:r w:rsidR="007A0AB3" w:rsidRPr="00884DD1">
        <w:rPr>
          <w:rFonts w:cs="Tahoma"/>
          <w:spacing w:val="-2"/>
          <w:position w:val="-4"/>
          <w:sz w:val="24"/>
        </w:rPr>
        <w:t xml:space="preserve">dios </w:t>
      </w:r>
      <w:r w:rsidRPr="00884DD1">
        <w:rPr>
          <w:rFonts w:cs="Tahoma"/>
          <w:spacing w:val="-2"/>
          <w:position w:val="-4"/>
          <w:sz w:val="24"/>
        </w:rPr>
        <w:t xml:space="preserve">ordinarios de defensa judicial a los cuales se pueda acudir, y no sea usada como una forma de evadirlos: </w:t>
      </w:r>
    </w:p>
    <w:p w14:paraId="6503B19E" w14:textId="77777777" w:rsidR="00A075F1" w:rsidRPr="00884DD1" w:rsidRDefault="00A075F1" w:rsidP="00884DD1">
      <w:pPr>
        <w:spacing w:line="276" w:lineRule="auto"/>
        <w:rPr>
          <w:rFonts w:cs="Tahoma"/>
          <w:spacing w:val="-2"/>
          <w:position w:val="-4"/>
          <w:sz w:val="24"/>
        </w:rPr>
      </w:pPr>
    </w:p>
    <w:p w14:paraId="59C1D5CF" w14:textId="77777777" w:rsidR="00A075F1" w:rsidRPr="00162E90" w:rsidRDefault="00A075F1" w:rsidP="00162E90">
      <w:pPr>
        <w:pStyle w:val="Textoindependiente3"/>
        <w:spacing w:after="0" w:line="240" w:lineRule="auto"/>
        <w:ind w:left="426" w:right="420"/>
        <w:rPr>
          <w:rFonts w:cs="Tahoma"/>
          <w:bCs/>
          <w:spacing w:val="2"/>
          <w:sz w:val="22"/>
          <w:szCs w:val="24"/>
        </w:rPr>
      </w:pPr>
      <w:r w:rsidRPr="00162E90">
        <w:rPr>
          <w:rFonts w:cs="Tahoma"/>
          <w:bCs/>
          <w:spacing w:val="2"/>
          <w:sz w:val="22"/>
          <w:szCs w:val="24"/>
        </w:rPr>
        <w:t xml:space="preserve">“[…] La acción de tutela es un mecanismo de protección de derechos fundamentales cuyas características y condiciones son definidas por la misma Carta Política. </w:t>
      </w:r>
      <w:r w:rsidRPr="00162E90">
        <w:rPr>
          <w:rFonts w:cs="Tahoma"/>
          <w:b/>
          <w:bCs/>
          <w:spacing w:val="2"/>
          <w:sz w:val="22"/>
          <w:szCs w:val="24"/>
        </w:rPr>
        <w:t>Dentro de estos requisitos se encuentran la subsidiariedad</w:t>
      </w:r>
      <w:r w:rsidRPr="00162E90">
        <w:rPr>
          <w:rFonts w:cs="Tahoma"/>
          <w:bCs/>
          <w:spacing w:val="2"/>
          <w:sz w:val="22"/>
          <w:szCs w:val="24"/>
        </w:rPr>
        <w:t xml:space="preserve"> y la inmediatez. </w:t>
      </w:r>
    </w:p>
    <w:p w14:paraId="7C34571D" w14:textId="77777777" w:rsidR="00A075F1" w:rsidRPr="00162E90" w:rsidRDefault="00A075F1" w:rsidP="00162E90">
      <w:pPr>
        <w:pStyle w:val="Textoindependiente3"/>
        <w:spacing w:after="0" w:line="240" w:lineRule="auto"/>
        <w:ind w:left="426" w:right="420"/>
        <w:rPr>
          <w:rFonts w:cs="Tahoma"/>
          <w:bCs/>
          <w:spacing w:val="2"/>
          <w:sz w:val="22"/>
          <w:szCs w:val="24"/>
        </w:rPr>
      </w:pPr>
    </w:p>
    <w:p w14:paraId="7EFEE978" w14:textId="77777777" w:rsidR="00A075F1" w:rsidRPr="00162E90" w:rsidRDefault="00A075F1" w:rsidP="00162E90">
      <w:pPr>
        <w:pStyle w:val="Textoindependiente3"/>
        <w:spacing w:after="0" w:line="240" w:lineRule="auto"/>
        <w:ind w:left="426" w:right="420"/>
        <w:rPr>
          <w:rFonts w:cs="Tahoma"/>
          <w:bCs/>
          <w:spacing w:val="2"/>
          <w:sz w:val="22"/>
          <w:szCs w:val="24"/>
        </w:rPr>
      </w:pPr>
      <w:r w:rsidRPr="00162E90">
        <w:rPr>
          <w:rFonts w:cs="Tahoma"/>
          <w:bCs/>
          <w:spacing w:val="2"/>
          <w:sz w:val="22"/>
          <w:szCs w:val="24"/>
        </w:rPr>
        <w:t xml:space="preserve">El primero está relacionado con la necesidad que en cada caso concreto se acredite que el afectado no cuenta con otro mecanismo de protección de sus derechos o que, en razón a la inminencia de un perjuicio irremediable, dicho instrumento pierde </w:t>
      </w:r>
      <w:r w:rsidRPr="00162E90">
        <w:rPr>
          <w:rFonts w:cs="Tahoma"/>
          <w:bCs/>
          <w:spacing w:val="2"/>
          <w:sz w:val="22"/>
          <w:szCs w:val="24"/>
        </w:rPr>
        <w:lastRenderedPageBreak/>
        <w:t>su idoneidad para garantizar la eficacia de los postulados constitucionales, caso en el cual la Carta prevé la procedencia excepcional y transitoria.</w:t>
      </w:r>
      <w:r w:rsidRPr="00162E90">
        <w:rPr>
          <w:rStyle w:val="Refdenotaalpie"/>
          <w:rFonts w:ascii="Tahoma" w:hAnsi="Tahoma" w:cs="Tahoma"/>
          <w:bCs/>
          <w:spacing w:val="2"/>
          <w:sz w:val="22"/>
          <w:szCs w:val="24"/>
        </w:rPr>
        <w:footnoteReference w:id="1"/>
      </w:r>
      <w:r w:rsidRPr="00162E90">
        <w:rPr>
          <w:rFonts w:cs="Tahoma"/>
          <w:bCs/>
          <w:spacing w:val="2"/>
          <w:sz w:val="22"/>
          <w:szCs w:val="24"/>
        </w:rPr>
        <w:t xml:space="preserve"> </w:t>
      </w:r>
    </w:p>
    <w:p w14:paraId="144F9D34" w14:textId="77777777" w:rsidR="00A075F1" w:rsidRPr="00162E90" w:rsidRDefault="00A075F1" w:rsidP="00162E90">
      <w:pPr>
        <w:pStyle w:val="Textoindependiente3"/>
        <w:spacing w:after="0" w:line="240" w:lineRule="auto"/>
        <w:ind w:left="426" w:right="420"/>
        <w:rPr>
          <w:rFonts w:cs="Tahoma"/>
          <w:bCs/>
          <w:spacing w:val="2"/>
          <w:sz w:val="22"/>
          <w:szCs w:val="24"/>
        </w:rPr>
      </w:pPr>
    </w:p>
    <w:p w14:paraId="4D4E8A10" w14:textId="77777777" w:rsidR="00A075F1" w:rsidRPr="00162E90" w:rsidRDefault="00A075F1" w:rsidP="00162E90">
      <w:pPr>
        <w:pStyle w:val="Textoindependiente3"/>
        <w:spacing w:after="0" w:line="240" w:lineRule="auto"/>
        <w:ind w:left="426" w:right="420"/>
        <w:rPr>
          <w:rFonts w:cs="Tahoma"/>
          <w:bCs/>
          <w:spacing w:val="2"/>
          <w:sz w:val="22"/>
          <w:szCs w:val="24"/>
        </w:rPr>
      </w:pPr>
      <w:r w:rsidRPr="00162E90">
        <w:rPr>
          <w:rFonts w:cs="Tahoma"/>
          <w:b/>
          <w:bCs/>
          <w:spacing w:val="2"/>
          <w:sz w:val="22"/>
          <w:szCs w:val="24"/>
        </w:rPr>
        <w:t>El fundamento constitucional de la subsidiariedad, bajo esta perspectiva, consiste en impedir que la acción de tutela, que tiene un campo restrictivo de aplicación, se convierta en un mecanismo principal de protección de los derechos fundamentales”</w:t>
      </w:r>
      <w:r w:rsidRPr="00162E90">
        <w:rPr>
          <w:rFonts w:cs="Tahoma"/>
          <w:bCs/>
          <w:spacing w:val="2"/>
          <w:sz w:val="22"/>
          <w:szCs w:val="24"/>
        </w:rPr>
        <w:t>.</w:t>
      </w:r>
      <w:r w:rsidRPr="00162E90">
        <w:rPr>
          <w:rFonts w:cs="Tahoma"/>
          <w:color w:val="000000"/>
          <w:sz w:val="22"/>
          <w:szCs w:val="24"/>
          <w:vertAlign w:val="superscript"/>
        </w:rPr>
        <w:footnoteReference w:id="2"/>
      </w:r>
      <w:r w:rsidRPr="00162E90">
        <w:rPr>
          <w:rFonts w:cs="Tahoma"/>
          <w:bCs/>
          <w:spacing w:val="2"/>
          <w:sz w:val="22"/>
          <w:szCs w:val="24"/>
        </w:rPr>
        <w:t xml:space="preserve"> </w:t>
      </w:r>
    </w:p>
    <w:p w14:paraId="340EECA9" w14:textId="4F27B705" w:rsidR="00A075F1" w:rsidRPr="00884DD1" w:rsidRDefault="00A075F1" w:rsidP="00884DD1">
      <w:pPr>
        <w:spacing w:line="276" w:lineRule="auto"/>
        <w:rPr>
          <w:rFonts w:cs="Tahoma"/>
          <w:spacing w:val="-6"/>
          <w:sz w:val="24"/>
        </w:rPr>
      </w:pPr>
    </w:p>
    <w:p w14:paraId="52A95A1E" w14:textId="79B5C409" w:rsidR="00C271BB" w:rsidRPr="00884DD1" w:rsidRDefault="00C271BB" w:rsidP="00884DD1">
      <w:pPr>
        <w:spacing w:line="276" w:lineRule="auto"/>
        <w:rPr>
          <w:rFonts w:cs="Tahoma"/>
          <w:spacing w:val="-4"/>
          <w:sz w:val="24"/>
        </w:rPr>
      </w:pPr>
      <w:r w:rsidRPr="00884DD1">
        <w:rPr>
          <w:rFonts w:cs="Tahoma"/>
          <w:spacing w:val="-4"/>
          <w:sz w:val="24"/>
        </w:rPr>
        <w:t xml:space="preserve">De igual manera, </w:t>
      </w:r>
      <w:bookmarkStart w:id="1" w:name="_Hlk140647886"/>
      <w:r w:rsidRPr="00884DD1">
        <w:rPr>
          <w:rFonts w:cs="Tahoma"/>
          <w:spacing w:val="-4"/>
          <w:sz w:val="24"/>
        </w:rPr>
        <w:t xml:space="preserve">debe diferenciarse desde ahora entre un requerimiento a la luz de lo reglado en el canon 23 Constitucional, y cuando este se presenta en el curso de un trámite judicial, ya que tratándose de este último lo que está de por medio es el </w:t>
      </w:r>
      <w:r w:rsidRPr="00884DD1">
        <w:rPr>
          <w:rFonts w:cs="Tahoma"/>
          <w:b/>
          <w:bCs/>
          <w:i/>
          <w:iCs/>
          <w:spacing w:val="-4"/>
          <w:sz w:val="24"/>
        </w:rPr>
        <w:t>derecho de postulación</w:t>
      </w:r>
      <w:r w:rsidR="00537439" w:rsidRPr="00884DD1">
        <w:rPr>
          <w:rFonts w:cs="Tahoma"/>
          <w:spacing w:val="-6"/>
          <w:sz w:val="24"/>
          <w:vertAlign w:val="superscript"/>
        </w:rPr>
        <w:footnoteReference w:id="3"/>
      </w:r>
      <w:r w:rsidR="00537439" w:rsidRPr="00884DD1">
        <w:rPr>
          <w:rFonts w:cs="Tahoma"/>
          <w:spacing w:val="-6"/>
          <w:sz w:val="24"/>
        </w:rPr>
        <w:t xml:space="preserve"> </w:t>
      </w:r>
      <w:r w:rsidRPr="00884DD1">
        <w:rPr>
          <w:rFonts w:cs="Tahoma"/>
          <w:spacing w:val="-4"/>
          <w:sz w:val="24"/>
        </w:rPr>
        <w:t>que hace parte del debido proceso y del acceso a la Administración de Justicia, situación que lleva aparejada que la respuesta pretendida implique la toma de una determinación por parte del funcionario judicial</w:t>
      </w:r>
      <w:r w:rsidR="00390F3A" w:rsidRPr="00884DD1">
        <w:rPr>
          <w:rFonts w:cs="Tahoma"/>
          <w:spacing w:val="-4"/>
          <w:sz w:val="24"/>
        </w:rPr>
        <w:t>, en cuyo</w:t>
      </w:r>
      <w:r w:rsidRPr="00884DD1">
        <w:rPr>
          <w:rFonts w:cs="Tahoma"/>
          <w:spacing w:val="-6"/>
          <w:sz w:val="24"/>
        </w:rPr>
        <w:t xml:space="preserve"> caso </w:t>
      </w:r>
      <w:r w:rsidRPr="00884DD1">
        <w:rPr>
          <w:rFonts w:cs="Tahoma"/>
          <w:spacing w:val="-4"/>
          <w:sz w:val="24"/>
        </w:rPr>
        <w:t xml:space="preserve">su ejercicio está regulado por las normas procedimentales que </w:t>
      </w:r>
      <w:r w:rsidR="006D70C5" w:rsidRPr="00884DD1">
        <w:rPr>
          <w:rFonts w:cs="Tahoma"/>
          <w:spacing w:val="-4"/>
          <w:sz w:val="24"/>
        </w:rPr>
        <w:t xml:space="preserve">establezca </w:t>
      </w:r>
      <w:r w:rsidRPr="00884DD1">
        <w:rPr>
          <w:rFonts w:cs="Tahoma"/>
          <w:spacing w:val="-4"/>
          <w:sz w:val="24"/>
        </w:rPr>
        <w:t xml:space="preserve">cada proceso. </w:t>
      </w:r>
    </w:p>
    <w:bookmarkEnd w:id="1"/>
    <w:p w14:paraId="476B8A89" w14:textId="1561593E" w:rsidR="00C271BB" w:rsidRPr="00884DD1" w:rsidRDefault="00C271BB" w:rsidP="00884DD1">
      <w:pPr>
        <w:spacing w:line="276" w:lineRule="auto"/>
        <w:rPr>
          <w:rFonts w:cs="Tahoma"/>
          <w:spacing w:val="-4"/>
          <w:sz w:val="24"/>
        </w:rPr>
      </w:pPr>
    </w:p>
    <w:p w14:paraId="51D48639" w14:textId="77777777" w:rsidR="00C271BB" w:rsidRPr="00884DD1" w:rsidRDefault="00C271BB" w:rsidP="00884DD1">
      <w:pPr>
        <w:spacing w:line="276" w:lineRule="auto"/>
        <w:rPr>
          <w:rFonts w:cs="Tahoma"/>
          <w:spacing w:val="-4"/>
          <w:sz w:val="24"/>
        </w:rPr>
      </w:pPr>
      <w:r w:rsidRPr="00884DD1">
        <w:rPr>
          <w:rFonts w:cs="Tahoma"/>
          <w:spacing w:val="-4"/>
          <w:sz w:val="24"/>
        </w:rPr>
        <w:t>Al respecto, la Corte Constitucional en Sentencia T-215A de 2011 sostuvo que: “</w:t>
      </w:r>
      <w:r w:rsidRPr="00162E90">
        <w:rPr>
          <w:rFonts w:cs="Tahoma"/>
          <w:spacing w:val="-4"/>
          <w:sz w:val="22"/>
        </w:rPr>
        <w:t>el juez o magistrado que conduce un proceso judicial está sometido –como también las partes y los intervinientes– a las reglas del mismo, fijadas por la ley, lo que significa que las disposiciones legales contempladas para las actuaciones administrativas no son necesariamente las mismas que debe observar el juez cuando le son presentadas peticiones relativas a puntos que habrán de ser resueltos en su oportunidad procesal y con arreglo a las normas propias de cada juicio (artículo 29 C.P.)</w:t>
      </w:r>
      <w:r w:rsidRPr="00884DD1">
        <w:rPr>
          <w:rFonts w:cs="Tahoma"/>
          <w:spacing w:val="-4"/>
          <w:sz w:val="24"/>
        </w:rPr>
        <w:t>”, postura que acogió la Sala de Casación Penal en sede de tutela -STP SP, 20 nov. 2021, Rad. 126198- para expresar que: “</w:t>
      </w:r>
      <w:r w:rsidRPr="00162E90">
        <w:rPr>
          <w:rFonts w:cs="Tahoma"/>
          <w:spacing w:val="-4"/>
          <w:sz w:val="22"/>
        </w:rPr>
        <w:t>en los eventos en los cuales los sujetos procesales elevan peticiones dentro del proceso, estas no deben ser entendidas como el ejercicio del derecho fundamental de petición, sino del derecho de postulación, el que ciertamente tiene cabida dentro de la garantía del debido proceso y, por tanto, su ejercicio está regulado por las normas procesales que determinan la oportunidad de su ejercicio</w:t>
      </w:r>
      <w:r w:rsidRPr="00884DD1">
        <w:rPr>
          <w:rFonts w:cs="Tahoma"/>
          <w:spacing w:val="-4"/>
          <w:sz w:val="24"/>
        </w:rPr>
        <w:t>”.</w:t>
      </w:r>
    </w:p>
    <w:p w14:paraId="5F2170A4" w14:textId="77777777" w:rsidR="000104DA" w:rsidRPr="00884DD1" w:rsidRDefault="000104DA" w:rsidP="00884DD1">
      <w:pPr>
        <w:spacing w:line="276" w:lineRule="auto"/>
        <w:rPr>
          <w:rFonts w:cs="Tahoma"/>
          <w:spacing w:val="-6"/>
          <w:sz w:val="24"/>
        </w:rPr>
      </w:pPr>
    </w:p>
    <w:p w14:paraId="2D41B782" w14:textId="37783097" w:rsidR="000104DA" w:rsidRPr="00884DD1" w:rsidRDefault="000104DA" w:rsidP="00884DD1">
      <w:pPr>
        <w:spacing w:line="276" w:lineRule="auto"/>
        <w:rPr>
          <w:rFonts w:cs="Tahoma"/>
          <w:spacing w:val="-6"/>
          <w:sz w:val="24"/>
        </w:rPr>
      </w:pPr>
      <w:r w:rsidRPr="00884DD1">
        <w:rPr>
          <w:rFonts w:cs="Tahoma"/>
          <w:spacing w:val="-6"/>
          <w:sz w:val="24"/>
        </w:rPr>
        <w:t xml:space="preserve">En este </w:t>
      </w:r>
      <w:r w:rsidR="00390F3A" w:rsidRPr="00884DD1">
        <w:rPr>
          <w:rFonts w:cs="Tahoma"/>
          <w:spacing w:val="-6"/>
          <w:sz w:val="24"/>
        </w:rPr>
        <w:t>asunto</w:t>
      </w:r>
      <w:r w:rsidRPr="00884DD1">
        <w:rPr>
          <w:rFonts w:cs="Tahoma"/>
          <w:spacing w:val="-6"/>
          <w:sz w:val="24"/>
        </w:rPr>
        <w:t xml:space="preserve">, se evidencia que por parte del abogado GERARDO BERNAL MONTENEGRO, quien funge como apoderado del señor </w:t>
      </w:r>
      <w:r w:rsidRPr="00884DD1">
        <w:rPr>
          <w:rFonts w:cs="Tahoma"/>
          <w:b/>
          <w:spacing w:val="-6"/>
          <w:sz w:val="24"/>
        </w:rPr>
        <w:t>ANDRÉS FELIPE VASCO</w:t>
      </w:r>
      <w:r w:rsidRPr="00884DD1">
        <w:rPr>
          <w:rFonts w:cs="Tahoma"/>
          <w:spacing w:val="-6"/>
          <w:sz w:val="24"/>
        </w:rPr>
        <w:t>, se elevó solicitud</w:t>
      </w:r>
      <w:r w:rsidR="00390F3A" w:rsidRPr="00884DD1">
        <w:rPr>
          <w:rFonts w:cs="Tahoma"/>
          <w:spacing w:val="-6"/>
          <w:sz w:val="24"/>
        </w:rPr>
        <w:t>, inicialmente al Juzgado 159 IPM</w:t>
      </w:r>
      <w:r w:rsidR="00550230" w:rsidRPr="00884DD1">
        <w:rPr>
          <w:rFonts w:cs="Tahoma"/>
          <w:spacing w:val="-6"/>
          <w:sz w:val="24"/>
        </w:rPr>
        <w:t>P</w:t>
      </w:r>
      <w:r w:rsidR="00390F3A" w:rsidRPr="00884DD1">
        <w:rPr>
          <w:rFonts w:cs="Tahoma"/>
          <w:spacing w:val="-6"/>
          <w:sz w:val="24"/>
        </w:rPr>
        <w:t xml:space="preserve"> de esta capital y remitida posteriormente</w:t>
      </w:r>
      <w:r w:rsidRPr="00884DD1">
        <w:rPr>
          <w:rFonts w:cs="Tahoma"/>
          <w:spacing w:val="-6"/>
          <w:sz w:val="24"/>
        </w:rPr>
        <w:t xml:space="preserve"> a la Fiscalía 149 IPMP de Cali</w:t>
      </w:r>
      <w:r w:rsidR="00390F3A" w:rsidRPr="00884DD1">
        <w:rPr>
          <w:rFonts w:cs="Tahoma"/>
          <w:spacing w:val="-6"/>
          <w:sz w:val="24"/>
        </w:rPr>
        <w:t xml:space="preserve"> -donde se encuentra actualmente la actuación- </w:t>
      </w:r>
      <w:r w:rsidRPr="00884DD1">
        <w:rPr>
          <w:rFonts w:cs="Tahoma"/>
          <w:spacing w:val="-6"/>
          <w:sz w:val="24"/>
        </w:rPr>
        <w:t>con el fin de que procediera a reconocerlo como apoderado de</w:t>
      </w:r>
      <w:r w:rsidR="00390F3A" w:rsidRPr="00884DD1">
        <w:rPr>
          <w:rFonts w:cs="Tahoma"/>
          <w:spacing w:val="-6"/>
          <w:sz w:val="24"/>
        </w:rPr>
        <w:t xml:space="preserve">l accionante así como de </w:t>
      </w:r>
      <w:r w:rsidRPr="00884DD1">
        <w:rPr>
          <w:rFonts w:cs="Tahoma"/>
          <w:spacing w:val="-6"/>
          <w:sz w:val="24"/>
        </w:rPr>
        <w:t xml:space="preserve">otras personas que consideran tener la condición de víctimas dentro del </w:t>
      </w:r>
      <w:r w:rsidR="007A0AB3" w:rsidRPr="00884DD1">
        <w:rPr>
          <w:rFonts w:cs="Tahoma"/>
          <w:spacing w:val="-6"/>
          <w:sz w:val="24"/>
        </w:rPr>
        <w:t xml:space="preserve">expediente </w:t>
      </w:r>
      <w:r w:rsidRPr="00884DD1">
        <w:rPr>
          <w:rFonts w:cs="Tahoma"/>
          <w:spacing w:val="-6"/>
          <w:sz w:val="24"/>
        </w:rPr>
        <w:t xml:space="preserve">que allí se surte, a la vez que </w:t>
      </w:r>
      <w:r w:rsidR="00390F3A" w:rsidRPr="00884DD1">
        <w:rPr>
          <w:rFonts w:cs="Tahoma"/>
          <w:spacing w:val="-6"/>
          <w:sz w:val="24"/>
        </w:rPr>
        <w:t xml:space="preserve">pidió </w:t>
      </w:r>
      <w:r w:rsidRPr="00884DD1">
        <w:rPr>
          <w:rFonts w:cs="Tahoma"/>
          <w:spacing w:val="-6"/>
          <w:sz w:val="24"/>
        </w:rPr>
        <w:t xml:space="preserve">copia del LINK del </w:t>
      </w:r>
      <w:r w:rsidR="00390F3A" w:rsidRPr="00884DD1">
        <w:rPr>
          <w:rFonts w:cs="Tahoma"/>
          <w:spacing w:val="-6"/>
          <w:sz w:val="24"/>
        </w:rPr>
        <w:t>expediente</w:t>
      </w:r>
      <w:r w:rsidRPr="00884DD1">
        <w:rPr>
          <w:rFonts w:cs="Tahoma"/>
          <w:spacing w:val="-6"/>
          <w:sz w:val="24"/>
        </w:rPr>
        <w:t>, con miras a presentar la demanda de constitución de parte civil. En ese entendido, lo que se reclama por vía constituci</w:t>
      </w:r>
      <w:r w:rsidR="00537439" w:rsidRPr="00884DD1">
        <w:rPr>
          <w:rFonts w:cs="Tahoma"/>
          <w:spacing w:val="-6"/>
          <w:sz w:val="24"/>
        </w:rPr>
        <w:t>onal</w:t>
      </w:r>
      <w:r w:rsidRPr="00884DD1">
        <w:rPr>
          <w:rFonts w:cs="Tahoma"/>
          <w:spacing w:val="-6"/>
          <w:sz w:val="24"/>
        </w:rPr>
        <w:t xml:space="preserve">, es la preservación del derecho de postulación, como integrante del debido proceso, por cuanto la entidad accionada se ha negado a lo </w:t>
      </w:r>
      <w:r w:rsidR="007A0AB3" w:rsidRPr="00884DD1">
        <w:rPr>
          <w:rFonts w:cs="Tahoma"/>
          <w:spacing w:val="-6"/>
          <w:sz w:val="24"/>
        </w:rPr>
        <w:t xml:space="preserve">pedido </w:t>
      </w:r>
      <w:r w:rsidR="00390F3A" w:rsidRPr="00884DD1">
        <w:rPr>
          <w:rFonts w:cs="Tahoma"/>
          <w:spacing w:val="-6"/>
          <w:sz w:val="24"/>
        </w:rPr>
        <w:t>por el letrado</w:t>
      </w:r>
      <w:r w:rsidRPr="00884DD1">
        <w:rPr>
          <w:rFonts w:cs="Tahoma"/>
          <w:spacing w:val="-6"/>
          <w:sz w:val="24"/>
        </w:rPr>
        <w:t>.</w:t>
      </w:r>
    </w:p>
    <w:p w14:paraId="323DFD64" w14:textId="5891B0D5" w:rsidR="000104DA" w:rsidRPr="00884DD1" w:rsidRDefault="000104DA" w:rsidP="00884DD1">
      <w:pPr>
        <w:spacing w:line="276" w:lineRule="auto"/>
        <w:rPr>
          <w:rFonts w:cs="Tahoma"/>
          <w:spacing w:val="-6"/>
          <w:sz w:val="24"/>
        </w:rPr>
      </w:pPr>
    </w:p>
    <w:p w14:paraId="28E2636A" w14:textId="10A4594D" w:rsidR="000B644D" w:rsidRPr="00884DD1" w:rsidRDefault="00537439" w:rsidP="00884DD1">
      <w:pPr>
        <w:spacing w:line="276" w:lineRule="auto"/>
        <w:rPr>
          <w:rFonts w:cs="Tahoma"/>
          <w:spacing w:val="-6"/>
          <w:sz w:val="24"/>
        </w:rPr>
      </w:pPr>
      <w:r w:rsidRPr="00884DD1">
        <w:rPr>
          <w:rFonts w:cs="Tahoma"/>
          <w:spacing w:val="-6"/>
          <w:sz w:val="24"/>
        </w:rPr>
        <w:t xml:space="preserve">Del estudio de la actuación, </w:t>
      </w:r>
      <w:r w:rsidR="006D70C5" w:rsidRPr="00884DD1">
        <w:rPr>
          <w:rFonts w:cs="Tahoma"/>
          <w:spacing w:val="-6"/>
          <w:sz w:val="24"/>
        </w:rPr>
        <w:t xml:space="preserve">advierte </w:t>
      </w:r>
      <w:r w:rsidRPr="00884DD1">
        <w:rPr>
          <w:rFonts w:cs="Tahoma"/>
          <w:spacing w:val="-6"/>
          <w:sz w:val="24"/>
        </w:rPr>
        <w:t xml:space="preserve">la Sala que </w:t>
      </w:r>
      <w:r w:rsidR="000104DA" w:rsidRPr="00884DD1">
        <w:rPr>
          <w:rFonts w:cs="Tahoma"/>
          <w:spacing w:val="-6"/>
          <w:sz w:val="24"/>
        </w:rPr>
        <w:t>se cumplen los presupuestos para proceder al análisis de fondo de la situación problemática, por cuan</w:t>
      </w:r>
      <w:r w:rsidR="00390F3A" w:rsidRPr="00884DD1">
        <w:rPr>
          <w:rFonts w:cs="Tahoma"/>
          <w:spacing w:val="-6"/>
          <w:sz w:val="24"/>
        </w:rPr>
        <w:t>t</w:t>
      </w:r>
      <w:r w:rsidR="000104DA" w:rsidRPr="00884DD1">
        <w:rPr>
          <w:rFonts w:cs="Tahoma"/>
          <w:spacing w:val="-6"/>
          <w:sz w:val="24"/>
        </w:rPr>
        <w:t>o de lo arrimado, se tiene que la petición elevada por el abogado del actor fue despachada mediante autos de sustanciación de octubre 04 y 19 de 2022,</w:t>
      </w:r>
      <w:r w:rsidR="000B644D" w:rsidRPr="00884DD1">
        <w:rPr>
          <w:rFonts w:cs="Tahoma"/>
          <w:spacing w:val="-6"/>
          <w:sz w:val="24"/>
        </w:rPr>
        <w:t xml:space="preserve"> determinaciones contra la</w:t>
      </w:r>
      <w:r w:rsidR="00390F3A" w:rsidRPr="00884DD1">
        <w:rPr>
          <w:rFonts w:cs="Tahoma"/>
          <w:spacing w:val="-6"/>
          <w:sz w:val="24"/>
        </w:rPr>
        <w:t>s</w:t>
      </w:r>
      <w:r w:rsidR="000B644D" w:rsidRPr="00884DD1">
        <w:rPr>
          <w:rFonts w:cs="Tahoma"/>
          <w:spacing w:val="-6"/>
          <w:sz w:val="24"/>
        </w:rPr>
        <w:t xml:space="preserve"> cual</w:t>
      </w:r>
      <w:r w:rsidR="00390F3A" w:rsidRPr="00884DD1">
        <w:rPr>
          <w:rFonts w:cs="Tahoma"/>
          <w:spacing w:val="-6"/>
          <w:sz w:val="24"/>
        </w:rPr>
        <w:t>es</w:t>
      </w:r>
      <w:r w:rsidR="000B644D" w:rsidRPr="00884DD1">
        <w:rPr>
          <w:rFonts w:cs="Tahoma"/>
          <w:spacing w:val="-6"/>
          <w:sz w:val="24"/>
        </w:rPr>
        <w:t xml:space="preserve"> no proced</w:t>
      </w:r>
      <w:r w:rsidR="00390F3A" w:rsidRPr="00884DD1">
        <w:rPr>
          <w:rFonts w:cs="Tahoma"/>
          <w:spacing w:val="-6"/>
          <w:sz w:val="24"/>
        </w:rPr>
        <w:t>ía</w:t>
      </w:r>
      <w:r w:rsidR="000B644D" w:rsidRPr="00884DD1">
        <w:rPr>
          <w:rFonts w:cs="Tahoma"/>
          <w:spacing w:val="-6"/>
          <w:sz w:val="24"/>
        </w:rPr>
        <w:t xml:space="preserve"> recurso alguno </w:t>
      </w:r>
      <w:r w:rsidR="000B644D" w:rsidRPr="00884DD1">
        <w:rPr>
          <w:rFonts w:cs="Tahoma"/>
          <w:spacing w:val="-6"/>
          <w:sz w:val="24"/>
        </w:rPr>
        <w:lastRenderedPageBreak/>
        <w:t xml:space="preserve">y por </w:t>
      </w:r>
      <w:r w:rsidR="000104DA" w:rsidRPr="00884DD1">
        <w:rPr>
          <w:rFonts w:cs="Tahoma"/>
          <w:spacing w:val="-6"/>
          <w:sz w:val="24"/>
        </w:rPr>
        <w:t>medio de l</w:t>
      </w:r>
      <w:r w:rsidR="000B644D" w:rsidRPr="00884DD1">
        <w:rPr>
          <w:rFonts w:cs="Tahoma"/>
          <w:spacing w:val="-6"/>
          <w:sz w:val="24"/>
        </w:rPr>
        <w:t>a</w:t>
      </w:r>
      <w:r w:rsidR="000104DA" w:rsidRPr="00884DD1">
        <w:rPr>
          <w:rFonts w:cs="Tahoma"/>
          <w:spacing w:val="-6"/>
          <w:sz w:val="24"/>
        </w:rPr>
        <w:t xml:space="preserve">s cuales se le negó la expedición de las copias del proceso, en tanto para que ello sea viable, </w:t>
      </w:r>
      <w:r w:rsidR="000104DA" w:rsidRPr="00884DD1">
        <w:rPr>
          <w:rFonts w:cs="Tahoma"/>
          <w:b/>
          <w:bCs/>
          <w:i/>
          <w:iCs/>
          <w:spacing w:val="-6"/>
          <w:sz w:val="24"/>
        </w:rPr>
        <w:t>se requiere haber sido reconocido como parte civil</w:t>
      </w:r>
      <w:r w:rsidR="000104DA" w:rsidRPr="00884DD1">
        <w:rPr>
          <w:rFonts w:cs="Tahoma"/>
          <w:spacing w:val="-6"/>
          <w:sz w:val="24"/>
        </w:rPr>
        <w:t xml:space="preserve">, lo que </w:t>
      </w:r>
      <w:r w:rsidR="00550230" w:rsidRPr="00884DD1">
        <w:rPr>
          <w:rFonts w:cs="Tahoma"/>
          <w:spacing w:val="-6"/>
          <w:sz w:val="24"/>
        </w:rPr>
        <w:t>hasta el momento</w:t>
      </w:r>
      <w:r w:rsidR="000104DA" w:rsidRPr="00884DD1">
        <w:rPr>
          <w:rFonts w:cs="Tahoma"/>
          <w:spacing w:val="-6"/>
          <w:sz w:val="24"/>
        </w:rPr>
        <w:t xml:space="preserve"> no ha ocurrido</w:t>
      </w:r>
      <w:r w:rsidR="000B644D" w:rsidRPr="00884DD1">
        <w:rPr>
          <w:rFonts w:cs="Tahoma"/>
          <w:spacing w:val="-6"/>
          <w:sz w:val="24"/>
        </w:rPr>
        <w:t xml:space="preserve">. </w:t>
      </w:r>
      <w:r w:rsidR="006D70C5" w:rsidRPr="00884DD1">
        <w:rPr>
          <w:rFonts w:cs="Tahoma"/>
          <w:spacing w:val="-6"/>
          <w:sz w:val="24"/>
        </w:rPr>
        <w:t xml:space="preserve">Así mismo, </w:t>
      </w:r>
      <w:r w:rsidR="000B644D" w:rsidRPr="00884DD1">
        <w:rPr>
          <w:rFonts w:cs="Tahoma"/>
          <w:spacing w:val="-6"/>
          <w:sz w:val="24"/>
        </w:rPr>
        <w:t xml:space="preserve">se </w:t>
      </w:r>
      <w:r w:rsidR="007A0AB3" w:rsidRPr="00884DD1">
        <w:rPr>
          <w:rFonts w:cs="Tahoma"/>
          <w:spacing w:val="-6"/>
          <w:sz w:val="24"/>
        </w:rPr>
        <w:t xml:space="preserve">aprecia </w:t>
      </w:r>
      <w:r w:rsidR="000B644D" w:rsidRPr="00884DD1">
        <w:rPr>
          <w:rFonts w:cs="Tahoma"/>
          <w:spacing w:val="-6"/>
          <w:sz w:val="24"/>
        </w:rPr>
        <w:t xml:space="preserve">superado el tamiz de la inmediatez, por cuanto si bien la última decisión data de octubre 19 de 2022, </w:t>
      </w:r>
      <w:r w:rsidR="006D70C5" w:rsidRPr="00884DD1">
        <w:rPr>
          <w:rFonts w:cs="Tahoma"/>
          <w:spacing w:val="-6"/>
          <w:sz w:val="24"/>
        </w:rPr>
        <w:t>la tutela fue interpuesta dentro de los seis meses siguientes a esa última decisión, por lo que se considera impetrada en un lapso prudente, como así lo ha sostenido la Corte Constitucional</w:t>
      </w:r>
      <w:r w:rsidR="006D70C5" w:rsidRPr="00884DD1">
        <w:rPr>
          <w:rFonts w:cs="Tahoma"/>
          <w:spacing w:val="-6"/>
          <w:sz w:val="24"/>
          <w:vertAlign w:val="superscript"/>
        </w:rPr>
        <w:footnoteReference w:id="4"/>
      </w:r>
      <w:r w:rsidR="006D70C5" w:rsidRPr="00884DD1">
        <w:rPr>
          <w:rFonts w:cs="Tahoma"/>
          <w:spacing w:val="-6"/>
          <w:sz w:val="24"/>
        </w:rPr>
        <w:t xml:space="preserve">, e igualmente por cuanto </w:t>
      </w:r>
      <w:r w:rsidR="000B644D" w:rsidRPr="00884DD1">
        <w:rPr>
          <w:rFonts w:cs="Tahoma"/>
          <w:spacing w:val="-6"/>
          <w:sz w:val="24"/>
        </w:rPr>
        <w:t>a la hora de hora</w:t>
      </w:r>
      <w:r w:rsidR="00390F3A" w:rsidRPr="00884DD1">
        <w:rPr>
          <w:rFonts w:cs="Tahoma"/>
          <w:spacing w:val="-6"/>
          <w:sz w:val="24"/>
        </w:rPr>
        <w:t xml:space="preserve">, acorde con lo planteado por el </w:t>
      </w:r>
      <w:r w:rsidR="000B644D" w:rsidRPr="00884DD1">
        <w:rPr>
          <w:rFonts w:cs="Tahoma"/>
          <w:spacing w:val="-6"/>
          <w:sz w:val="24"/>
        </w:rPr>
        <w:t>actor, aun se conculca su derecho fundamental del debido proceso y de acceso a la Administración de Justicia</w:t>
      </w:r>
      <w:r w:rsidR="00390F3A" w:rsidRPr="00884DD1">
        <w:rPr>
          <w:rFonts w:cs="Tahoma"/>
          <w:spacing w:val="-6"/>
          <w:sz w:val="24"/>
        </w:rPr>
        <w:t>, sin existir otro me</w:t>
      </w:r>
      <w:r w:rsidR="006D70C5" w:rsidRPr="00884DD1">
        <w:rPr>
          <w:rFonts w:cs="Tahoma"/>
          <w:spacing w:val="-6"/>
          <w:sz w:val="24"/>
        </w:rPr>
        <w:t xml:space="preserve">canismo </w:t>
      </w:r>
      <w:r w:rsidR="00390F3A" w:rsidRPr="00884DD1">
        <w:rPr>
          <w:rFonts w:cs="Tahoma"/>
          <w:spacing w:val="-6"/>
          <w:sz w:val="24"/>
        </w:rPr>
        <w:t>de defensa a su alcance.</w:t>
      </w:r>
    </w:p>
    <w:p w14:paraId="78FDF3D5" w14:textId="77777777" w:rsidR="000B644D" w:rsidRPr="00884DD1" w:rsidRDefault="000B644D" w:rsidP="00884DD1">
      <w:pPr>
        <w:spacing w:line="276" w:lineRule="auto"/>
        <w:rPr>
          <w:rFonts w:cs="Tahoma"/>
          <w:spacing w:val="-6"/>
          <w:sz w:val="24"/>
        </w:rPr>
      </w:pPr>
    </w:p>
    <w:p w14:paraId="1D5845FA" w14:textId="5BD46791" w:rsidR="00C271BB" w:rsidRPr="00884DD1" w:rsidRDefault="00C271BB" w:rsidP="00884DD1">
      <w:pPr>
        <w:spacing w:line="276" w:lineRule="auto"/>
        <w:rPr>
          <w:rFonts w:cs="Tahoma"/>
          <w:spacing w:val="-6"/>
          <w:sz w:val="24"/>
        </w:rPr>
      </w:pPr>
      <w:r w:rsidRPr="00884DD1">
        <w:rPr>
          <w:rFonts w:cs="Tahoma"/>
          <w:spacing w:val="-6"/>
          <w:sz w:val="24"/>
        </w:rPr>
        <w:t>De vieja data la Corte Constitucional</w:t>
      </w:r>
      <w:r w:rsidRPr="00884DD1">
        <w:rPr>
          <w:rFonts w:cs="Tahoma"/>
          <w:spacing w:val="-6"/>
          <w:sz w:val="24"/>
          <w:vertAlign w:val="superscript"/>
        </w:rPr>
        <w:footnoteReference w:id="5"/>
      </w:r>
      <w:r w:rsidRPr="00884DD1">
        <w:rPr>
          <w:rFonts w:cs="Tahoma"/>
          <w:spacing w:val="-6"/>
          <w:sz w:val="24"/>
        </w:rPr>
        <w:t xml:space="preserve"> ha indicado que ”</w:t>
      </w:r>
      <w:r w:rsidRPr="00162E90">
        <w:rPr>
          <w:rFonts w:cs="Tahoma"/>
          <w:spacing w:val="-6"/>
          <w:sz w:val="22"/>
        </w:rPr>
        <w:t>constituirse en parte civil y/o tener acceso al expediente y aportar pruebas, forma parte del derecho a acceder a la justicia (art. 229 C.P.), y es esta una expresión válida de fortalecimiento de la justicia, la igualdad y el conocimiento (Preámbulo de la Carta)</w:t>
      </w:r>
      <w:r w:rsidRPr="00884DD1">
        <w:rPr>
          <w:rFonts w:cs="Tahoma"/>
          <w:spacing w:val="-6"/>
          <w:sz w:val="24"/>
        </w:rPr>
        <w:t xml:space="preserve">”, </w:t>
      </w:r>
      <w:r w:rsidR="007A0AB3" w:rsidRPr="00884DD1">
        <w:rPr>
          <w:rFonts w:cs="Tahoma"/>
          <w:spacing w:val="-6"/>
          <w:sz w:val="24"/>
        </w:rPr>
        <w:t xml:space="preserve">y también </w:t>
      </w:r>
      <w:r w:rsidR="00537439" w:rsidRPr="00884DD1">
        <w:rPr>
          <w:rFonts w:cs="Tahoma"/>
          <w:spacing w:val="-6"/>
          <w:sz w:val="24"/>
        </w:rPr>
        <w:t xml:space="preserve">la Sala de Casación Penal, con fundamento en ello ha referido </w:t>
      </w:r>
      <w:r w:rsidR="007A0AB3" w:rsidRPr="00884DD1">
        <w:rPr>
          <w:rFonts w:cs="Tahoma"/>
          <w:spacing w:val="-6"/>
          <w:sz w:val="24"/>
        </w:rPr>
        <w:t xml:space="preserve">que </w:t>
      </w:r>
      <w:r w:rsidR="00537439" w:rsidRPr="00884DD1">
        <w:rPr>
          <w:rFonts w:cs="Tahoma"/>
          <w:spacing w:val="-6"/>
          <w:sz w:val="24"/>
        </w:rPr>
        <w:t>“</w:t>
      </w:r>
      <w:r w:rsidR="007A0AB3" w:rsidRPr="00162E90">
        <w:rPr>
          <w:rFonts w:cs="Tahoma"/>
          <w:spacing w:val="-6"/>
          <w:sz w:val="22"/>
        </w:rPr>
        <w:t xml:space="preserve">[…] </w:t>
      </w:r>
      <w:r w:rsidRPr="00162E90">
        <w:rPr>
          <w:rFonts w:cs="Tahoma"/>
          <w:spacing w:val="-6"/>
          <w:sz w:val="22"/>
        </w:rPr>
        <w:t>si alguien ha sido víctima o perjudicado por un hecho investigado por la justicia penal militar, tiene derecho a acceder al proceso penal</w:t>
      </w:r>
      <w:r w:rsidRPr="00884DD1">
        <w:rPr>
          <w:rFonts w:cs="Tahoma"/>
          <w:spacing w:val="-6"/>
          <w:sz w:val="24"/>
          <w:vertAlign w:val="superscript"/>
        </w:rPr>
        <w:footnoteReference w:id="6"/>
      </w:r>
      <w:r w:rsidRPr="00884DD1">
        <w:rPr>
          <w:rFonts w:cs="Tahoma"/>
          <w:spacing w:val="-6"/>
          <w:sz w:val="24"/>
        </w:rPr>
        <w:t>.</w:t>
      </w:r>
    </w:p>
    <w:p w14:paraId="24B7807A" w14:textId="6D5AF7C2" w:rsidR="000B644D" w:rsidRPr="00884DD1" w:rsidRDefault="000B644D" w:rsidP="00884DD1">
      <w:pPr>
        <w:spacing w:line="276" w:lineRule="auto"/>
        <w:rPr>
          <w:rFonts w:cs="Tahoma"/>
          <w:spacing w:val="-6"/>
          <w:sz w:val="24"/>
        </w:rPr>
      </w:pPr>
    </w:p>
    <w:p w14:paraId="3AD3B39F" w14:textId="3D497DEB" w:rsidR="003B17E2" w:rsidRPr="00884DD1" w:rsidRDefault="00537439" w:rsidP="00884DD1">
      <w:pPr>
        <w:spacing w:line="276" w:lineRule="auto"/>
        <w:rPr>
          <w:rFonts w:cs="Tahoma"/>
          <w:spacing w:val="-6"/>
          <w:sz w:val="24"/>
        </w:rPr>
      </w:pPr>
      <w:r w:rsidRPr="00884DD1">
        <w:rPr>
          <w:rFonts w:cs="Tahoma"/>
          <w:spacing w:val="-6"/>
          <w:sz w:val="24"/>
        </w:rPr>
        <w:t xml:space="preserve">El Código Penal Militar </w:t>
      </w:r>
      <w:r w:rsidRPr="00884DD1">
        <w:rPr>
          <w:rFonts w:cs="Tahoma"/>
          <w:b/>
          <w:bCs/>
          <w:spacing w:val="-6"/>
          <w:sz w:val="24"/>
        </w:rPr>
        <w:t>-Ley 522 de 1999-</w:t>
      </w:r>
      <w:r w:rsidRPr="00884DD1">
        <w:rPr>
          <w:rFonts w:cs="Tahoma"/>
          <w:spacing w:val="-6"/>
          <w:sz w:val="24"/>
        </w:rPr>
        <w:t xml:space="preserve"> égida bajo la cual se desarrolla el proceso en el cual el actor pretende se le aporte el Link o copias del mismo, reguló la reserva sumarial durante las etapas de instrucción e investigación</w:t>
      </w:r>
      <w:r w:rsidR="00390F3A" w:rsidRPr="00884DD1">
        <w:rPr>
          <w:rFonts w:cs="Tahoma"/>
          <w:spacing w:val="-6"/>
          <w:sz w:val="24"/>
        </w:rPr>
        <w:t>, véase</w:t>
      </w:r>
      <w:r w:rsidRPr="00884DD1">
        <w:rPr>
          <w:rFonts w:cs="Tahoma"/>
          <w:spacing w:val="-6"/>
          <w:sz w:val="24"/>
        </w:rPr>
        <w:t>:</w:t>
      </w:r>
    </w:p>
    <w:p w14:paraId="39130CDC" w14:textId="77777777" w:rsidR="003B17E2" w:rsidRPr="00884DD1" w:rsidRDefault="003B17E2" w:rsidP="00884DD1">
      <w:pPr>
        <w:spacing w:line="276" w:lineRule="auto"/>
        <w:rPr>
          <w:rFonts w:cs="Tahoma"/>
          <w:spacing w:val="-6"/>
          <w:sz w:val="24"/>
        </w:rPr>
      </w:pPr>
    </w:p>
    <w:p w14:paraId="5B7ABA89" w14:textId="4770636F" w:rsidR="003B17E2" w:rsidRPr="00884DD1" w:rsidRDefault="003B17E2" w:rsidP="00884DD1">
      <w:pPr>
        <w:spacing w:line="276" w:lineRule="auto"/>
        <w:rPr>
          <w:rFonts w:cs="Tahoma"/>
          <w:sz w:val="24"/>
        </w:rPr>
      </w:pPr>
      <w:r w:rsidRPr="00884DD1">
        <w:rPr>
          <w:rFonts w:cs="Tahoma"/>
          <w:spacing w:val="-6"/>
          <w:sz w:val="24"/>
        </w:rPr>
        <w:t xml:space="preserve">Durante la instrucción, el </w:t>
      </w:r>
      <w:r w:rsidRPr="00884DD1">
        <w:rPr>
          <w:rFonts w:cs="Tahoma"/>
          <w:sz w:val="24"/>
        </w:rPr>
        <w:t xml:space="preserve">Artículo 461, relativo a la </w:t>
      </w:r>
      <w:r w:rsidRPr="00884DD1">
        <w:rPr>
          <w:rFonts w:cs="Tahoma"/>
          <w:i/>
          <w:iCs/>
          <w:sz w:val="24"/>
        </w:rPr>
        <w:t>Reserva del sumario, dispone: “</w:t>
      </w:r>
      <w:r w:rsidRPr="00162E90">
        <w:rPr>
          <w:rFonts w:cs="Tahoma"/>
          <w:sz w:val="22"/>
        </w:rPr>
        <w:t xml:space="preserve">El sumario es reservado en su instrucción. Solamente podrán intervenir el funcionario de instrucción, el juez del conocimiento el fiscal, los secretarios, el agente del Ministerio Público, el procesado, su defensor, </w:t>
      </w:r>
      <w:r w:rsidRPr="00162E90">
        <w:rPr>
          <w:rFonts w:cs="Tahoma"/>
          <w:b/>
          <w:sz w:val="22"/>
        </w:rPr>
        <w:t>el apoderado de la parte civil</w:t>
      </w:r>
      <w:r w:rsidRPr="00162E90">
        <w:rPr>
          <w:rFonts w:cs="Tahoma"/>
          <w:sz w:val="22"/>
        </w:rPr>
        <w:t>, los peritos y sus asesores</w:t>
      </w:r>
      <w:r w:rsidRPr="00884DD1">
        <w:rPr>
          <w:rFonts w:cs="Tahoma"/>
          <w:sz w:val="24"/>
        </w:rPr>
        <w:t>”.</w:t>
      </w:r>
    </w:p>
    <w:p w14:paraId="5E0590A9" w14:textId="1BB0F24B" w:rsidR="003B17E2" w:rsidRPr="00884DD1" w:rsidRDefault="003B17E2" w:rsidP="00884DD1">
      <w:pPr>
        <w:spacing w:line="276" w:lineRule="auto"/>
        <w:rPr>
          <w:rFonts w:cs="Tahoma"/>
          <w:spacing w:val="-6"/>
          <w:sz w:val="24"/>
        </w:rPr>
      </w:pPr>
    </w:p>
    <w:p w14:paraId="4AF3DB7D" w14:textId="7889EF1A" w:rsidR="003B17E2" w:rsidRPr="00884DD1" w:rsidRDefault="00390F3A" w:rsidP="00884DD1">
      <w:pPr>
        <w:spacing w:line="276" w:lineRule="auto"/>
        <w:rPr>
          <w:rFonts w:cs="Tahoma"/>
          <w:sz w:val="24"/>
        </w:rPr>
      </w:pPr>
      <w:r w:rsidRPr="00884DD1">
        <w:rPr>
          <w:rFonts w:cs="Tahoma"/>
          <w:spacing w:val="-6"/>
          <w:sz w:val="24"/>
        </w:rPr>
        <w:t xml:space="preserve">En la </w:t>
      </w:r>
      <w:r w:rsidR="003B17E2" w:rsidRPr="00884DD1">
        <w:rPr>
          <w:rFonts w:cs="Tahoma"/>
          <w:spacing w:val="-6"/>
          <w:sz w:val="24"/>
        </w:rPr>
        <w:t xml:space="preserve">etapa de investigación, el canon 399, relativo a la </w:t>
      </w:r>
      <w:r w:rsidR="003B17E2" w:rsidRPr="00884DD1">
        <w:rPr>
          <w:rFonts w:cs="Tahoma"/>
          <w:i/>
          <w:spacing w:val="-6"/>
          <w:sz w:val="24"/>
        </w:rPr>
        <w:t>Reserva</w:t>
      </w:r>
      <w:r w:rsidR="003B17E2" w:rsidRPr="00884DD1">
        <w:rPr>
          <w:rFonts w:cs="Tahoma"/>
          <w:spacing w:val="-6"/>
          <w:sz w:val="24"/>
        </w:rPr>
        <w:t>, señala: “</w:t>
      </w:r>
      <w:r w:rsidR="003B17E2" w:rsidRPr="00162E90">
        <w:rPr>
          <w:rFonts w:cs="Tahoma"/>
          <w:sz w:val="22"/>
        </w:rPr>
        <w:t xml:space="preserve">La investigación sólo podrá ser conocida por los funcionarios y empleados que la adelanten, los peritos cuando lo necesitan para rendir su dictamen </w:t>
      </w:r>
      <w:r w:rsidR="003B17E2" w:rsidRPr="00162E90">
        <w:rPr>
          <w:rFonts w:cs="Tahoma"/>
          <w:b/>
          <w:sz w:val="22"/>
        </w:rPr>
        <w:t>y las partes que intervengan en el proceso</w:t>
      </w:r>
      <w:r w:rsidR="003B17E2" w:rsidRPr="00162E90">
        <w:rPr>
          <w:rFonts w:cs="Tahoma"/>
          <w:sz w:val="22"/>
        </w:rPr>
        <w:t>, para cumplimiento de sus deberes</w:t>
      </w:r>
      <w:r w:rsidR="003B17E2" w:rsidRPr="00884DD1">
        <w:rPr>
          <w:rFonts w:cs="Tahoma"/>
          <w:sz w:val="24"/>
        </w:rPr>
        <w:t xml:space="preserve">”; así mismo el artículo 462, atinente a la atinente a la </w:t>
      </w:r>
      <w:r w:rsidR="003B17E2" w:rsidRPr="00884DD1">
        <w:rPr>
          <w:rFonts w:cs="Tahoma"/>
          <w:i/>
          <w:sz w:val="24"/>
        </w:rPr>
        <w:t>Prohibición de expedir copias</w:t>
      </w:r>
      <w:r w:rsidR="003B17E2" w:rsidRPr="00884DD1">
        <w:rPr>
          <w:rFonts w:cs="Tahoma"/>
          <w:sz w:val="24"/>
        </w:rPr>
        <w:t>, contempla: “</w:t>
      </w:r>
      <w:r w:rsidR="003B17E2" w:rsidRPr="00162E90">
        <w:rPr>
          <w:rFonts w:cs="Tahoma"/>
          <w:sz w:val="22"/>
        </w:rPr>
        <w:t xml:space="preserve">Durante la investigación ningún funcionario puede expedir copia de las diligencias practicadas, salvo que las solicite autoridad competente para investigar y conocer de procesos judiciales, administrativos o disciplinarios o para dar trámite al recurso de hecho./ </w:t>
      </w:r>
      <w:r w:rsidR="003B17E2" w:rsidRPr="00162E90">
        <w:rPr>
          <w:rFonts w:cs="Tahoma"/>
          <w:b/>
          <w:sz w:val="22"/>
        </w:rPr>
        <w:t>Los sujetos procesales, tienen derecho a que se les expida copia autorizada de la actuación para su uso exclusivo y para el cumplimiento de sus funciones</w:t>
      </w:r>
      <w:r w:rsidR="003B17E2" w:rsidRPr="00162E90">
        <w:rPr>
          <w:rFonts w:cs="Tahoma"/>
          <w:sz w:val="22"/>
        </w:rPr>
        <w:t>./ El hecho de ser sujeto procesal impone la obligación de guardar la reserva sumarial, sin necesidad de diligencia especial</w:t>
      </w:r>
      <w:r w:rsidR="003B17E2" w:rsidRPr="00884DD1">
        <w:rPr>
          <w:rFonts w:cs="Tahoma"/>
          <w:sz w:val="24"/>
        </w:rPr>
        <w:t>”.</w:t>
      </w:r>
    </w:p>
    <w:p w14:paraId="660390ED" w14:textId="31DBC5EA" w:rsidR="009142FD" w:rsidRPr="00884DD1" w:rsidRDefault="009142FD" w:rsidP="00884DD1">
      <w:pPr>
        <w:spacing w:line="276" w:lineRule="auto"/>
        <w:rPr>
          <w:rFonts w:cs="Tahoma"/>
          <w:sz w:val="24"/>
        </w:rPr>
      </w:pPr>
    </w:p>
    <w:p w14:paraId="386D1DC7" w14:textId="7487C1B8" w:rsidR="009142FD" w:rsidRPr="00884DD1" w:rsidRDefault="009142FD" w:rsidP="00884DD1">
      <w:pPr>
        <w:spacing w:line="276" w:lineRule="auto"/>
        <w:rPr>
          <w:rFonts w:cs="Tahoma"/>
          <w:sz w:val="24"/>
        </w:rPr>
      </w:pPr>
      <w:r w:rsidRPr="00884DD1">
        <w:rPr>
          <w:rFonts w:cs="Tahoma"/>
          <w:sz w:val="24"/>
        </w:rPr>
        <w:t xml:space="preserve">Igualmente, a voces del canon 463, la vulneración a la reserva sumarial, </w:t>
      </w:r>
      <w:r w:rsidR="006D70C5" w:rsidRPr="00884DD1">
        <w:rPr>
          <w:rFonts w:cs="Tahoma"/>
          <w:sz w:val="24"/>
        </w:rPr>
        <w:t xml:space="preserve">reviste </w:t>
      </w:r>
      <w:r w:rsidRPr="00884DD1">
        <w:rPr>
          <w:rFonts w:cs="Tahoma"/>
          <w:sz w:val="24"/>
        </w:rPr>
        <w:t>diversas sanciones para quien incurra en ello, el cual dispone: “</w:t>
      </w:r>
      <w:r w:rsidRPr="00162E90">
        <w:rPr>
          <w:rFonts w:cs="Tahoma"/>
          <w:sz w:val="22"/>
        </w:rPr>
        <w:t xml:space="preserve">El que revele en todo o en parte el contenido del sumario a personas no autorizadas, mientras no se hubiere iniciado el juicio, incurrirá en multa de uno (1) a cinco (5) salarios mínimos legales mensuales vigentes impuesta por el juez que conoce el proceso. Si del hecho fuere responsable algunos de los empleados que han conocido del sumario en ejercicio de su cargo, incurrirá, además, en la </w:t>
      </w:r>
      <w:r w:rsidRPr="00162E90">
        <w:rPr>
          <w:rFonts w:cs="Tahoma"/>
          <w:sz w:val="22"/>
        </w:rPr>
        <w:lastRenderedPageBreak/>
        <w:t>pena de suspensión del empleo que ejerza por un período de ocho (8) días a dos (2) meses. De estos hechos conocerá el juez de la causa mediante el procedimiento del artículo 258 del Código de Procedimiento Penal y normas que lo modifiquen</w:t>
      </w:r>
      <w:r w:rsidRPr="00884DD1">
        <w:rPr>
          <w:rFonts w:cs="Tahoma"/>
          <w:sz w:val="24"/>
        </w:rPr>
        <w:t>”.</w:t>
      </w:r>
    </w:p>
    <w:p w14:paraId="6A3694B5" w14:textId="48997B73" w:rsidR="003B17E2" w:rsidRPr="00884DD1" w:rsidRDefault="003B17E2" w:rsidP="00884DD1">
      <w:pPr>
        <w:spacing w:line="276" w:lineRule="auto"/>
        <w:rPr>
          <w:rFonts w:cs="Tahoma"/>
          <w:spacing w:val="-6"/>
          <w:sz w:val="24"/>
        </w:rPr>
      </w:pPr>
    </w:p>
    <w:p w14:paraId="5FCAB16C" w14:textId="74BCE656" w:rsidR="009142FD" w:rsidRPr="00884DD1" w:rsidRDefault="009142FD" w:rsidP="00884DD1">
      <w:pPr>
        <w:spacing w:line="276" w:lineRule="auto"/>
        <w:rPr>
          <w:rFonts w:cs="Tahoma"/>
          <w:spacing w:val="-6"/>
          <w:sz w:val="24"/>
        </w:rPr>
      </w:pPr>
      <w:r w:rsidRPr="00884DD1">
        <w:rPr>
          <w:rFonts w:cs="Tahoma"/>
          <w:spacing w:val="-6"/>
          <w:sz w:val="24"/>
        </w:rPr>
        <w:t xml:space="preserve">Surge de lo antes mencionado, que la reserva del sumario </w:t>
      </w:r>
      <w:r w:rsidR="007A0AB3" w:rsidRPr="00884DD1">
        <w:rPr>
          <w:rFonts w:cs="Tahoma"/>
          <w:spacing w:val="-6"/>
          <w:sz w:val="24"/>
        </w:rPr>
        <w:t xml:space="preserve">a cargo de la justicia </w:t>
      </w:r>
      <w:r w:rsidR="00537439" w:rsidRPr="00884DD1">
        <w:rPr>
          <w:rFonts w:cs="Tahoma"/>
          <w:spacing w:val="-6"/>
          <w:sz w:val="24"/>
        </w:rPr>
        <w:t xml:space="preserve">penal militar se </w:t>
      </w:r>
      <w:r w:rsidRPr="00884DD1">
        <w:rPr>
          <w:rFonts w:cs="Tahoma"/>
          <w:spacing w:val="-6"/>
          <w:sz w:val="24"/>
        </w:rPr>
        <w:t xml:space="preserve">quebranta al permitirse </w:t>
      </w:r>
      <w:r w:rsidR="00537439" w:rsidRPr="00884DD1">
        <w:rPr>
          <w:rFonts w:cs="Tahoma"/>
          <w:spacing w:val="-6"/>
          <w:sz w:val="24"/>
        </w:rPr>
        <w:t xml:space="preserve">el acceso a </w:t>
      </w:r>
      <w:r w:rsidRPr="00884DD1">
        <w:rPr>
          <w:rFonts w:cs="Tahoma"/>
          <w:spacing w:val="-6"/>
          <w:sz w:val="24"/>
        </w:rPr>
        <w:t xml:space="preserve">la </w:t>
      </w:r>
      <w:r w:rsidR="00537439" w:rsidRPr="00884DD1">
        <w:rPr>
          <w:rFonts w:cs="Tahoma"/>
          <w:spacing w:val="-6"/>
          <w:sz w:val="24"/>
        </w:rPr>
        <w:t xml:space="preserve">información </w:t>
      </w:r>
      <w:r w:rsidRPr="00884DD1">
        <w:rPr>
          <w:rFonts w:cs="Tahoma"/>
          <w:spacing w:val="-6"/>
          <w:sz w:val="24"/>
        </w:rPr>
        <w:t xml:space="preserve">allí contenida </w:t>
      </w:r>
      <w:r w:rsidR="00537439" w:rsidRPr="00884DD1">
        <w:rPr>
          <w:rFonts w:cs="Tahoma"/>
          <w:spacing w:val="-6"/>
          <w:sz w:val="24"/>
        </w:rPr>
        <w:t>a personas no autorizadas</w:t>
      </w:r>
      <w:r w:rsidRPr="00884DD1">
        <w:rPr>
          <w:rFonts w:cs="Tahoma"/>
          <w:spacing w:val="-6"/>
          <w:sz w:val="24"/>
        </w:rPr>
        <w:t xml:space="preserve">, y </w:t>
      </w:r>
      <w:r w:rsidR="00390F3A" w:rsidRPr="00884DD1">
        <w:rPr>
          <w:rFonts w:cs="Tahoma"/>
          <w:spacing w:val="-6"/>
          <w:sz w:val="24"/>
        </w:rPr>
        <w:t xml:space="preserve">de contera, no puede </w:t>
      </w:r>
      <w:r w:rsidRPr="00884DD1">
        <w:rPr>
          <w:rFonts w:cs="Tahoma"/>
          <w:spacing w:val="-6"/>
          <w:sz w:val="24"/>
        </w:rPr>
        <w:t>expedirse copias de actuado, cuando no se ostenta la condición de sujeto procesal.</w:t>
      </w:r>
    </w:p>
    <w:p w14:paraId="1E6E1C21" w14:textId="0139DD3B" w:rsidR="009142FD" w:rsidRPr="00884DD1" w:rsidRDefault="009142FD" w:rsidP="00884DD1">
      <w:pPr>
        <w:spacing w:line="276" w:lineRule="auto"/>
        <w:rPr>
          <w:rFonts w:cs="Tahoma"/>
          <w:spacing w:val="-6"/>
          <w:sz w:val="24"/>
        </w:rPr>
      </w:pPr>
    </w:p>
    <w:p w14:paraId="2C30923A" w14:textId="34A40A91" w:rsidR="000A2590" w:rsidRPr="00884DD1" w:rsidRDefault="009142FD" w:rsidP="00884DD1">
      <w:pPr>
        <w:spacing w:line="276" w:lineRule="auto"/>
        <w:rPr>
          <w:rFonts w:cs="Tahoma"/>
          <w:spacing w:val="-6"/>
          <w:sz w:val="24"/>
        </w:rPr>
      </w:pPr>
      <w:r w:rsidRPr="00884DD1">
        <w:rPr>
          <w:rFonts w:cs="Tahoma"/>
          <w:spacing w:val="-6"/>
          <w:sz w:val="24"/>
        </w:rPr>
        <w:t>En este en</w:t>
      </w:r>
      <w:r w:rsidR="007A0AB3" w:rsidRPr="00884DD1">
        <w:rPr>
          <w:rFonts w:cs="Tahoma"/>
          <w:spacing w:val="-6"/>
          <w:sz w:val="24"/>
        </w:rPr>
        <w:t xml:space="preserve"> evento </w:t>
      </w:r>
      <w:r w:rsidRPr="00884DD1">
        <w:rPr>
          <w:rFonts w:cs="Tahoma"/>
          <w:spacing w:val="-6"/>
          <w:sz w:val="24"/>
        </w:rPr>
        <w:t xml:space="preserve">en particular, se tiene que el señor </w:t>
      </w:r>
      <w:r w:rsidRPr="00884DD1">
        <w:rPr>
          <w:rFonts w:cs="Tahoma"/>
          <w:b/>
          <w:spacing w:val="-6"/>
          <w:sz w:val="24"/>
        </w:rPr>
        <w:t>ANDRÉS FELIPE VASCO</w:t>
      </w:r>
      <w:r w:rsidR="00F132C7" w:rsidRPr="00884DD1">
        <w:rPr>
          <w:rFonts w:cs="Tahoma"/>
          <w:spacing w:val="-6"/>
          <w:sz w:val="24"/>
        </w:rPr>
        <w:t xml:space="preserve"> y otros</w:t>
      </w:r>
      <w:r w:rsidRPr="00884DD1">
        <w:rPr>
          <w:rFonts w:cs="Tahoma"/>
          <w:spacing w:val="-6"/>
          <w:sz w:val="24"/>
        </w:rPr>
        <w:t>, le confiri</w:t>
      </w:r>
      <w:r w:rsidR="00F132C7" w:rsidRPr="00884DD1">
        <w:rPr>
          <w:rFonts w:cs="Tahoma"/>
          <w:spacing w:val="-6"/>
          <w:sz w:val="24"/>
        </w:rPr>
        <w:t>eron</w:t>
      </w:r>
      <w:r w:rsidRPr="00884DD1">
        <w:rPr>
          <w:rFonts w:cs="Tahoma"/>
          <w:spacing w:val="-6"/>
          <w:sz w:val="24"/>
        </w:rPr>
        <w:t xml:space="preserve"> poder al abogado GERARDO BERNAL MONTENEGRO</w:t>
      </w:r>
      <w:r w:rsidR="00F132C7" w:rsidRPr="00884DD1">
        <w:rPr>
          <w:rFonts w:cs="Tahoma"/>
          <w:spacing w:val="-6"/>
          <w:sz w:val="24"/>
        </w:rPr>
        <w:t xml:space="preserve"> en junio 01 de 2022 para que solicitara su </w:t>
      </w:r>
      <w:r w:rsidR="006D70C5" w:rsidRPr="00884DD1">
        <w:rPr>
          <w:rFonts w:cs="Tahoma"/>
          <w:spacing w:val="-6"/>
          <w:sz w:val="24"/>
        </w:rPr>
        <w:t xml:space="preserve">acreditación </w:t>
      </w:r>
      <w:r w:rsidR="00F132C7" w:rsidRPr="00884DD1">
        <w:rPr>
          <w:rFonts w:cs="Tahoma"/>
          <w:spacing w:val="-6"/>
          <w:sz w:val="24"/>
        </w:rPr>
        <w:t>en calidad de víctimas dentro de</w:t>
      </w:r>
      <w:r w:rsidR="007A0AB3" w:rsidRPr="00884DD1">
        <w:rPr>
          <w:rFonts w:cs="Tahoma"/>
          <w:spacing w:val="-6"/>
          <w:sz w:val="24"/>
        </w:rPr>
        <w:t xml:space="preserve"> la actuación </w:t>
      </w:r>
      <w:r w:rsidR="00F132C7" w:rsidRPr="00884DD1">
        <w:rPr>
          <w:rFonts w:cs="Tahoma"/>
          <w:spacing w:val="-6"/>
          <w:sz w:val="24"/>
        </w:rPr>
        <w:t xml:space="preserve">que se surte actualmente ante la Fiscalía 149 IPMP de Cali, </w:t>
      </w:r>
      <w:r w:rsidR="000A2590" w:rsidRPr="00884DD1">
        <w:rPr>
          <w:rFonts w:cs="Tahoma"/>
          <w:spacing w:val="-6"/>
          <w:sz w:val="24"/>
        </w:rPr>
        <w:t xml:space="preserve">y con fundamento en el mismo </w:t>
      </w:r>
      <w:r w:rsidR="007A0AB3" w:rsidRPr="00884DD1">
        <w:rPr>
          <w:rFonts w:cs="Tahoma"/>
          <w:spacing w:val="-6"/>
          <w:sz w:val="24"/>
        </w:rPr>
        <w:t xml:space="preserve">pidió </w:t>
      </w:r>
      <w:r w:rsidR="000A2590" w:rsidRPr="00884DD1">
        <w:rPr>
          <w:rFonts w:cs="Tahoma"/>
          <w:spacing w:val="-6"/>
          <w:sz w:val="24"/>
        </w:rPr>
        <w:t xml:space="preserve">se le allegara el link </w:t>
      </w:r>
      <w:r w:rsidR="007A0AB3" w:rsidRPr="00884DD1">
        <w:rPr>
          <w:rFonts w:cs="Tahoma"/>
          <w:spacing w:val="-6"/>
          <w:sz w:val="24"/>
        </w:rPr>
        <w:t>respectivo</w:t>
      </w:r>
      <w:r w:rsidR="000A2590" w:rsidRPr="00884DD1">
        <w:rPr>
          <w:rFonts w:cs="Tahoma"/>
          <w:spacing w:val="-6"/>
          <w:sz w:val="24"/>
        </w:rPr>
        <w:t xml:space="preserve">.  Tal petición fue resuelta por auto de octubre 04 de 2022 por la aludida Fiscalía donde se le indicó que acorde con el canon 305 y ss. de la Ley 522 de 1999, debía cumplir con las ritualidades pertinentes para  constituirse como sujeto procesal, para lo cual se le </w:t>
      </w:r>
      <w:r w:rsidR="00390F3A" w:rsidRPr="00884DD1">
        <w:rPr>
          <w:rFonts w:cs="Tahoma"/>
          <w:b/>
          <w:spacing w:val="-6"/>
          <w:sz w:val="24"/>
        </w:rPr>
        <w:t xml:space="preserve">AUTORIZÓ EL ACCESO AL EXPEDIENTE </w:t>
      </w:r>
      <w:r w:rsidR="000A2590" w:rsidRPr="00884DD1">
        <w:rPr>
          <w:rFonts w:cs="Tahoma"/>
          <w:spacing w:val="-6"/>
          <w:sz w:val="24"/>
        </w:rPr>
        <w:t>que quedaría a su disposición en la Secretaría del despacho para que tuviera conocimiento de lo actuado y presentara la respectiva demanda de constitución de parte civil, para luego de ello, ser considerado como sujeto procesal.</w:t>
      </w:r>
    </w:p>
    <w:p w14:paraId="1457D51D" w14:textId="0897879D" w:rsidR="000A2590" w:rsidRPr="00884DD1" w:rsidRDefault="000A2590" w:rsidP="00884DD1">
      <w:pPr>
        <w:spacing w:line="276" w:lineRule="auto"/>
        <w:rPr>
          <w:rFonts w:cs="Tahoma"/>
          <w:spacing w:val="-6"/>
          <w:sz w:val="24"/>
        </w:rPr>
      </w:pPr>
    </w:p>
    <w:p w14:paraId="383A4FDA" w14:textId="69B5CBE4" w:rsidR="000A2590" w:rsidRPr="00884DD1" w:rsidRDefault="000A2590" w:rsidP="00884DD1">
      <w:pPr>
        <w:spacing w:line="276" w:lineRule="auto"/>
        <w:rPr>
          <w:rFonts w:cs="Tahoma"/>
          <w:spacing w:val="-6"/>
          <w:sz w:val="24"/>
        </w:rPr>
      </w:pPr>
      <w:r w:rsidRPr="00884DD1">
        <w:rPr>
          <w:rFonts w:cs="Tahoma"/>
          <w:spacing w:val="-6"/>
          <w:sz w:val="24"/>
        </w:rPr>
        <w:t>A ese respecto, se tiene que en efecto el canon 305 aludido, dispone: “</w:t>
      </w:r>
      <w:r w:rsidRPr="00162E90">
        <w:rPr>
          <w:rFonts w:cs="Tahoma"/>
          <w:spacing w:val="-6"/>
          <w:sz w:val="22"/>
        </w:rPr>
        <w:t>La constitución de parte civil en el proceso penal militar tiene por objeto contribuir a la búsqueda de la verdad de los hechos. Esta podrá constituirse por el perjudicado con el delito y por intermedio de abogado titulado, desde el momento de la apertura de la investigación hasta antes de que se dicte el auto que señala fecha y hora para la iniciación de la audiencia pública de juzgamiento</w:t>
      </w:r>
      <w:r w:rsidRPr="00884DD1">
        <w:rPr>
          <w:rFonts w:cs="Tahoma"/>
          <w:spacing w:val="-6"/>
          <w:sz w:val="24"/>
        </w:rPr>
        <w:t>”</w:t>
      </w:r>
      <w:r w:rsidR="008A350E" w:rsidRPr="00884DD1">
        <w:rPr>
          <w:rFonts w:cs="Tahoma"/>
          <w:spacing w:val="-6"/>
          <w:sz w:val="24"/>
        </w:rPr>
        <w:t>; a su vez el dispositivo 306 señala los requisitos de la aludida demanda y el canon 309 contempla las facultades de quien es reconocido como parte civil</w:t>
      </w:r>
      <w:r w:rsidR="00390F3A" w:rsidRPr="00884DD1">
        <w:rPr>
          <w:rFonts w:cs="Tahoma"/>
          <w:spacing w:val="-6"/>
          <w:sz w:val="24"/>
        </w:rPr>
        <w:t>, al decir</w:t>
      </w:r>
      <w:r w:rsidR="008A350E" w:rsidRPr="00884DD1">
        <w:rPr>
          <w:rFonts w:cs="Tahoma"/>
          <w:spacing w:val="-6"/>
          <w:sz w:val="24"/>
        </w:rPr>
        <w:t>: “</w:t>
      </w:r>
      <w:r w:rsidR="008A350E" w:rsidRPr="00162E90">
        <w:rPr>
          <w:rFonts w:cs="Tahoma"/>
          <w:b/>
          <w:spacing w:val="-6"/>
          <w:sz w:val="22"/>
        </w:rPr>
        <w:t>Admitida la demanda de parte civil, ésta quedará facultada para solicitar la práctica de pruebas</w:t>
      </w:r>
      <w:r w:rsidR="008A350E" w:rsidRPr="00162E90">
        <w:rPr>
          <w:rFonts w:cs="Tahoma"/>
          <w:spacing w:val="-6"/>
          <w:sz w:val="22"/>
        </w:rPr>
        <w:t xml:space="preserve"> orientadas a demostrar la existencia del hecho punible, la identidad de los autores o partícipes, y su responsabilidad. Podrá igualmente </w:t>
      </w:r>
      <w:r w:rsidR="008A350E" w:rsidRPr="00162E90">
        <w:rPr>
          <w:rFonts w:cs="Tahoma"/>
          <w:b/>
          <w:spacing w:val="-6"/>
          <w:sz w:val="22"/>
        </w:rPr>
        <w:t>interponer recursos</w:t>
      </w:r>
      <w:r w:rsidR="008A350E" w:rsidRPr="00162E90">
        <w:rPr>
          <w:rFonts w:cs="Tahoma"/>
          <w:spacing w:val="-6"/>
          <w:sz w:val="22"/>
        </w:rPr>
        <w:t xml:space="preserve"> contra las providencias que resuelvan sobre las materias de que trata este artículo</w:t>
      </w:r>
      <w:r w:rsidR="008A350E" w:rsidRPr="00884DD1">
        <w:rPr>
          <w:rFonts w:cs="Tahoma"/>
          <w:spacing w:val="-6"/>
          <w:sz w:val="24"/>
        </w:rPr>
        <w:t>”.</w:t>
      </w:r>
    </w:p>
    <w:p w14:paraId="37D9D47E" w14:textId="45CAD26D" w:rsidR="000A2590" w:rsidRPr="00884DD1" w:rsidRDefault="000A2590" w:rsidP="00884DD1">
      <w:pPr>
        <w:spacing w:line="276" w:lineRule="auto"/>
        <w:rPr>
          <w:rFonts w:cs="Tahoma"/>
          <w:spacing w:val="-6"/>
          <w:sz w:val="24"/>
        </w:rPr>
      </w:pPr>
    </w:p>
    <w:p w14:paraId="0B317AFD" w14:textId="58DA70B2" w:rsidR="008A350E" w:rsidRPr="00884DD1" w:rsidRDefault="008A350E" w:rsidP="00884DD1">
      <w:pPr>
        <w:spacing w:line="276" w:lineRule="auto"/>
        <w:rPr>
          <w:rFonts w:cs="Tahoma"/>
          <w:sz w:val="24"/>
        </w:rPr>
      </w:pPr>
      <w:r w:rsidRPr="00884DD1">
        <w:rPr>
          <w:rFonts w:cs="Tahoma"/>
          <w:spacing w:val="-6"/>
          <w:sz w:val="24"/>
        </w:rPr>
        <w:t xml:space="preserve">La Sala de Casación Penal en sede de tutelas, y en punto de la expedición de copias con miras a la constitución de parte civil en el proceso que se tramita ante la justicia penal militar, ha indicado: </w:t>
      </w:r>
    </w:p>
    <w:p w14:paraId="42C1C02B" w14:textId="77777777" w:rsidR="008A350E" w:rsidRPr="00884DD1" w:rsidRDefault="008A350E" w:rsidP="00884DD1">
      <w:pPr>
        <w:pStyle w:val="Sangra3detindependiente"/>
        <w:spacing w:after="0" w:line="276" w:lineRule="auto"/>
        <w:ind w:left="0" w:right="51"/>
        <w:jc w:val="both"/>
        <w:rPr>
          <w:rFonts w:ascii="Tahoma" w:hAnsi="Tahoma" w:cs="Tahoma"/>
          <w:sz w:val="24"/>
          <w:szCs w:val="24"/>
          <w:lang w:val="es-ES"/>
        </w:rPr>
      </w:pPr>
    </w:p>
    <w:p w14:paraId="1DF617E7" w14:textId="09D2A966" w:rsidR="008A350E" w:rsidRPr="00162E90" w:rsidRDefault="008A350E" w:rsidP="00162E90">
      <w:pPr>
        <w:pStyle w:val="Sangra3detindependiente"/>
        <w:spacing w:after="0"/>
        <w:ind w:left="426" w:right="420"/>
        <w:jc w:val="both"/>
        <w:rPr>
          <w:rFonts w:ascii="Tahoma" w:hAnsi="Tahoma" w:cs="Tahoma"/>
          <w:sz w:val="22"/>
          <w:szCs w:val="24"/>
          <w:lang w:val="es-ES"/>
        </w:rPr>
      </w:pPr>
      <w:r w:rsidRPr="00162E90">
        <w:rPr>
          <w:rFonts w:ascii="Tahoma" w:hAnsi="Tahoma" w:cs="Tahoma"/>
          <w:sz w:val="22"/>
          <w:szCs w:val="24"/>
          <w:lang w:val="es-ES"/>
        </w:rPr>
        <w:t>“En segundo término, analiza la Colegiatura si además del acceso al plenario, debe disponerse que se le suministren copias de éste al referido abogado. La Sala de Casación Penal ha ratificado en varias oportunidades el derecho que les asiste a los perjudicados por una conducta punible, de obtener dichas copias (CSJ STP, 22 Nov 2007, Rad. 33999; reiterada entre muchas otras, en CSJ STP, 26 Ene 2012, Rad. 57826).</w:t>
      </w:r>
    </w:p>
    <w:p w14:paraId="04FFAA13" w14:textId="77777777" w:rsidR="008A350E" w:rsidRPr="00162E90" w:rsidRDefault="008A350E" w:rsidP="00162E90">
      <w:pPr>
        <w:pStyle w:val="Sangra3detindependiente"/>
        <w:spacing w:after="0"/>
        <w:ind w:left="426" w:right="420"/>
        <w:jc w:val="both"/>
        <w:rPr>
          <w:rFonts w:ascii="Tahoma" w:hAnsi="Tahoma" w:cs="Tahoma"/>
          <w:sz w:val="22"/>
          <w:szCs w:val="24"/>
          <w:lang w:val="es-ES"/>
        </w:rPr>
      </w:pPr>
    </w:p>
    <w:p w14:paraId="5F2C545F" w14:textId="36DE54A7" w:rsidR="008A350E" w:rsidRPr="00162E90" w:rsidRDefault="008A350E" w:rsidP="00162E90">
      <w:pPr>
        <w:pStyle w:val="Sangra3detindependiente"/>
        <w:spacing w:after="0"/>
        <w:ind w:left="426" w:right="420"/>
        <w:jc w:val="both"/>
        <w:rPr>
          <w:rFonts w:ascii="Tahoma" w:hAnsi="Tahoma" w:cs="Tahoma"/>
          <w:sz w:val="22"/>
          <w:szCs w:val="24"/>
          <w:lang w:val="es-ES"/>
        </w:rPr>
      </w:pPr>
      <w:r w:rsidRPr="00162E90">
        <w:rPr>
          <w:rFonts w:ascii="Tahoma" w:hAnsi="Tahoma" w:cs="Tahoma"/>
          <w:b/>
          <w:bCs/>
          <w:sz w:val="22"/>
          <w:szCs w:val="24"/>
          <w:lang w:val="es-ES"/>
        </w:rPr>
        <w:t>Sin embargo</w:t>
      </w:r>
      <w:r w:rsidRPr="00162E90">
        <w:rPr>
          <w:rFonts w:ascii="Tahoma" w:hAnsi="Tahoma" w:cs="Tahoma"/>
          <w:sz w:val="22"/>
          <w:szCs w:val="24"/>
          <w:lang w:val="es-ES"/>
        </w:rPr>
        <w:t xml:space="preserve">, en </w:t>
      </w:r>
      <w:r w:rsidRPr="00162E90">
        <w:rPr>
          <w:rFonts w:ascii="Tahoma" w:hAnsi="Tahoma" w:cs="Tahoma"/>
          <w:b/>
          <w:bCs/>
          <w:sz w:val="22"/>
          <w:szCs w:val="24"/>
          <w:lang w:val="es-ES"/>
        </w:rPr>
        <w:t>todos los casos</w:t>
      </w:r>
      <w:r w:rsidRPr="00162E90">
        <w:rPr>
          <w:rFonts w:ascii="Tahoma" w:hAnsi="Tahoma" w:cs="Tahoma"/>
          <w:sz w:val="22"/>
          <w:szCs w:val="24"/>
          <w:lang w:val="es-ES"/>
        </w:rPr>
        <w:t xml:space="preserve"> en los que ha analizado tal situación y ha concedido el amparo deprecado, se ha tratado de </w:t>
      </w:r>
      <w:r w:rsidRPr="00162E90">
        <w:rPr>
          <w:rFonts w:ascii="Tahoma" w:hAnsi="Tahoma" w:cs="Tahoma"/>
          <w:b/>
          <w:sz w:val="22"/>
          <w:szCs w:val="24"/>
          <w:lang w:val="es-ES"/>
        </w:rPr>
        <w:t>víctimas debidamente reconocidas,</w:t>
      </w:r>
      <w:r w:rsidRPr="00162E90">
        <w:rPr>
          <w:rFonts w:ascii="Tahoma" w:hAnsi="Tahoma" w:cs="Tahoma"/>
          <w:sz w:val="22"/>
          <w:szCs w:val="24"/>
          <w:lang w:val="es-ES"/>
        </w:rPr>
        <w:t xml:space="preserve"> que han agotado el mecanismo dispuesto en cada régimen procesal, para acreditar sumariamente la condición que alegan ostentar.</w:t>
      </w:r>
    </w:p>
    <w:p w14:paraId="0A6250A8" w14:textId="77777777" w:rsidR="008A350E" w:rsidRPr="00162E90" w:rsidRDefault="008A350E" w:rsidP="00162E90">
      <w:pPr>
        <w:pStyle w:val="Sangra3detindependiente"/>
        <w:spacing w:after="0"/>
        <w:ind w:left="426" w:right="420"/>
        <w:jc w:val="both"/>
        <w:rPr>
          <w:rFonts w:ascii="Tahoma" w:hAnsi="Tahoma" w:cs="Tahoma"/>
          <w:sz w:val="22"/>
          <w:szCs w:val="24"/>
          <w:lang w:val="es-ES"/>
        </w:rPr>
      </w:pPr>
    </w:p>
    <w:p w14:paraId="56D8A9FB" w14:textId="1CD8C31C" w:rsidR="008A350E" w:rsidRPr="00162E90" w:rsidRDefault="008A350E" w:rsidP="00162E90">
      <w:pPr>
        <w:pStyle w:val="Sangra3detindependiente"/>
        <w:spacing w:after="0"/>
        <w:ind w:left="426" w:right="420"/>
        <w:jc w:val="both"/>
        <w:rPr>
          <w:rFonts w:ascii="Tahoma" w:hAnsi="Tahoma" w:cs="Tahoma"/>
          <w:sz w:val="22"/>
          <w:szCs w:val="24"/>
          <w:lang w:val="es-ES"/>
        </w:rPr>
      </w:pPr>
      <w:r w:rsidRPr="00162E90">
        <w:rPr>
          <w:rFonts w:ascii="Tahoma" w:hAnsi="Tahoma" w:cs="Tahoma"/>
          <w:b/>
          <w:sz w:val="22"/>
          <w:szCs w:val="24"/>
          <w:lang w:val="es-ES"/>
        </w:rPr>
        <w:lastRenderedPageBreak/>
        <w:t xml:space="preserve">La Corte ratifica el criterio expuesto en dichos pronunciamientos, en el sentido de que las personas afectadas por un delito tienen la facultad de participar activamente de los procesos penales </w:t>
      </w:r>
      <w:r w:rsidRPr="00162E90">
        <w:rPr>
          <w:rFonts w:ascii="Tahoma" w:hAnsi="Tahoma" w:cs="Tahoma"/>
          <w:sz w:val="22"/>
          <w:szCs w:val="24"/>
          <w:lang w:val="es-ES"/>
        </w:rPr>
        <w:t xml:space="preserve">correspondientes, en atención a las garantías a la verdad, justicia y reparación, de las cuales son titulares. </w:t>
      </w:r>
    </w:p>
    <w:p w14:paraId="50FDF400" w14:textId="77777777" w:rsidR="008A350E" w:rsidRPr="00162E90" w:rsidRDefault="008A350E" w:rsidP="00162E90">
      <w:pPr>
        <w:spacing w:line="240" w:lineRule="auto"/>
        <w:ind w:left="426" w:right="420" w:firstLine="709"/>
        <w:rPr>
          <w:rFonts w:cs="Tahoma"/>
          <w:sz w:val="22"/>
          <w:lang w:eastAsia="x-none"/>
        </w:rPr>
      </w:pPr>
    </w:p>
    <w:p w14:paraId="39867A78" w14:textId="77777777" w:rsidR="008A350E" w:rsidRPr="00162E90" w:rsidRDefault="008A350E" w:rsidP="00162E90">
      <w:pPr>
        <w:pStyle w:val="Sangra3detindependiente"/>
        <w:spacing w:after="0"/>
        <w:ind w:left="426" w:right="420"/>
        <w:jc w:val="both"/>
        <w:rPr>
          <w:rFonts w:ascii="Tahoma" w:hAnsi="Tahoma" w:cs="Tahoma"/>
          <w:sz w:val="22"/>
          <w:szCs w:val="24"/>
          <w:lang w:val="es-ES"/>
        </w:rPr>
      </w:pPr>
      <w:r w:rsidRPr="00162E90">
        <w:rPr>
          <w:rFonts w:ascii="Tahoma" w:hAnsi="Tahoma" w:cs="Tahoma"/>
          <w:sz w:val="22"/>
          <w:szCs w:val="24"/>
          <w:lang w:val="es-ES"/>
        </w:rPr>
        <w:t xml:space="preserve">No obstante, </w:t>
      </w:r>
      <w:r w:rsidRPr="00162E90">
        <w:rPr>
          <w:rFonts w:ascii="Tahoma" w:hAnsi="Tahoma" w:cs="Tahoma"/>
          <w:b/>
          <w:sz w:val="22"/>
          <w:szCs w:val="24"/>
          <w:lang w:val="es-ES"/>
        </w:rPr>
        <w:t>el ejercicio de estas prerrogativas requiere un mínimo deber de diligencia, que se concreta en la necesidad de que demuestren sumariamente su condición de víctimas</w:t>
      </w:r>
      <w:r w:rsidRPr="00162E90">
        <w:rPr>
          <w:rFonts w:ascii="Tahoma" w:hAnsi="Tahoma" w:cs="Tahoma"/>
          <w:sz w:val="22"/>
          <w:szCs w:val="24"/>
          <w:lang w:val="es-ES"/>
        </w:rPr>
        <w:t xml:space="preserve">; lo que, en actuaciones </w:t>
      </w:r>
      <w:proofErr w:type="spellStart"/>
      <w:r w:rsidRPr="00162E90">
        <w:rPr>
          <w:rFonts w:ascii="Tahoma" w:hAnsi="Tahoma" w:cs="Tahoma"/>
          <w:sz w:val="22"/>
          <w:szCs w:val="24"/>
          <w:lang w:val="es-ES"/>
        </w:rPr>
        <w:t>rituadas</w:t>
      </w:r>
      <w:proofErr w:type="spellEnd"/>
      <w:r w:rsidRPr="00162E90">
        <w:rPr>
          <w:rFonts w:ascii="Tahoma" w:hAnsi="Tahoma" w:cs="Tahoma"/>
          <w:sz w:val="22"/>
          <w:szCs w:val="24"/>
          <w:lang w:val="es-ES"/>
        </w:rPr>
        <w:t xml:space="preserve"> bajo la égida de la Ley 522 de 1999, ante la jurisdicción penal militar –e igualmente las regidas por la Ley 600 de 2000-, </w:t>
      </w:r>
      <w:r w:rsidRPr="00162E90">
        <w:rPr>
          <w:rFonts w:ascii="Tahoma" w:hAnsi="Tahoma" w:cs="Tahoma"/>
          <w:b/>
          <w:sz w:val="22"/>
          <w:szCs w:val="24"/>
          <w:lang w:val="es-ES"/>
        </w:rPr>
        <w:t>exige su previa constitución como parte civil</w:t>
      </w:r>
      <w:r w:rsidRPr="00162E90">
        <w:rPr>
          <w:rFonts w:ascii="Tahoma" w:hAnsi="Tahoma" w:cs="Tahoma"/>
          <w:sz w:val="22"/>
          <w:szCs w:val="24"/>
          <w:lang w:val="es-ES"/>
        </w:rPr>
        <w:t xml:space="preserve">. </w:t>
      </w:r>
    </w:p>
    <w:p w14:paraId="77151898" w14:textId="77777777" w:rsidR="008A350E" w:rsidRPr="00162E90" w:rsidRDefault="008A350E" w:rsidP="00162E90">
      <w:pPr>
        <w:pStyle w:val="Sangra3detindependiente"/>
        <w:spacing w:after="0"/>
        <w:ind w:left="426" w:right="420"/>
        <w:jc w:val="both"/>
        <w:rPr>
          <w:rFonts w:ascii="Tahoma" w:hAnsi="Tahoma" w:cs="Tahoma"/>
          <w:sz w:val="22"/>
          <w:szCs w:val="24"/>
          <w:lang w:val="es-ES"/>
        </w:rPr>
      </w:pPr>
    </w:p>
    <w:p w14:paraId="7F5D7899" w14:textId="7E63F9E8" w:rsidR="008A350E" w:rsidRPr="00162E90" w:rsidRDefault="008A350E" w:rsidP="00162E90">
      <w:pPr>
        <w:pStyle w:val="Sangra3detindependiente"/>
        <w:spacing w:after="0"/>
        <w:ind w:left="426" w:right="420"/>
        <w:jc w:val="both"/>
        <w:rPr>
          <w:rFonts w:ascii="Tahoma" w:hAnsi="Tahoma" w:cs="Tahoma"/>
          <w:sz w:val="22"/>
          <w:szCs w:val="24"/>
          <w:lang w:val="es-ES"/>
        </w:rPr>
      </w:pPr>
      <w:r w:rsidRPr="00162E90">
        <w:rPr>
          <w:rFonts w:ascii="Tahoma" w:hAnsi="Tahoma" w:cs="Tahoma"/>
          <w:b/>
          <w:sz w:val="22"/>
          <w:szCs w:val="24"/>
          <w:lang w:val="es-ES"/>
        </w:rPr>
        <w:t>Sin el agotamiento de tal requisito, no es posible acceder a las copias pretendidas, dado que esta atribución está reservada para los sujetos procesales</w:t>
      </w:r>
      <w:r w:rsidRPr="00162E90">
        <w:rPr>
          <w:rFonts w:ascii="Tahoma" w:hAnsi="Tahoma" w:cs="Tahoma"/>
          <w:sz w:val="22"/>
          <w:szCs w:val="24"/>
          <w:lang w:val="es-ES"/>
        </w:rPr>
        <w:t>”</w:t>
      </w:r>
      <w:r w:rsidRPr="00162E90">
        <w:rPr>
          <w:rFonts w:ascii="Tahoma" w:hAnsi="Tahoma" w:cs="Tahoma"/>
          <w:spacing w:val="-6"/>
          <w:sz w:val="22"/>
          <w:szCs w:val="24"/>
          <w:vertAlign w:val="superscript"/>
        </w:rPr>
        <w:t xml:space="preserve"> </w:t>
      </w:r>
      <w:r w:rsidRPr="00162E90">
        <w:rPr>
          <w:rFonts w:ascii="Tahoma" w:hAnsi="Tahoma" w:cs="Tahoma"/>
          <w:spacing w:val="-6"/>
          <w:sz w:val="22"/>
          <w:szCs w:val="24"/>
          <w:vertAlign w:val="superscript"/>
        </w:rPr>
        <w:footnoteReference w:id="7"/>
      </w:r>
      <w:r w:rsidRPr="00162E90">
        <w:rPr>
          <w:rFonts w:ascii="Tahoma" w:hAnsi="Tahoma" w:cs="Tahoma"/>
          <w:sz w:val="22"/>
          <w:szCs w:val="24"/>
          <w:lang w:val="es-ES"/>
        </w:rPr>
        <w:t>. -negrillas de la Sala-</w:t>
      </w:r>
    </w:p>
    <w:p w14:paraId="6F56250F" w14:textId="77777777" w:rsidR="008A350E" w:rsidRPr="00884DD1" w:rsidRDefault="008A350E" w:rsidP="00884DD1">
      <w:pPr>
        <w:pStyle w:val="Sangra3detindependiente"/>
        <w:spacing w:line="276" w:lineRule="auto"/>
        <w:ind w:left="0" w:right="51"/>
        <w:jc w:val="both"/>
        <w:rPr>
          <w:rFonts w:ascii="Tahoma" w:hAnsi="Tahoma" w:cs="Tahoma"/>
          <w:sz w:val="24"/>
          <w:szCs w:val="24"/>
          <w:lang w:val="es-ES"/>
        </w:rPr>
      </w:pPr>
    </w:p>
    <w:p w14:paraId="0A484964" w14:textId="4F335016" w:rsidR="00936948" w:rsidRPr="00884DD1" w:rsidRDefault="008A350E" w:rsidP="00884DD1">
      <w:pPr>
        <w:spacing w:line="276" w:lineRule="auto"/>
        <w:rPr>
          <w:rFonts w:cs="Tahoma"/>
          <w:spacing w:val="-6"/>
          <w:sz w:val="24"/>
        </w:rPr>
      </w:pPr>
      <w:r w:rsidRPr="00884DD1">
        <w:rPr>
          <w:rFonts w:cs="Tahoma"/>
          <w:spacing w:val="-6"/>
          <w:sz w:val="24"/>
        </w:rPr>
        <w:t xml:space="preserve">De todo lo anterior, se desprende que si bien es cierto, una persona puede ostentar la condición de víctima en el proceso penal que se surte ante la justicia penal militar, ello </w:t>
      </w:r>
      <w:r w:rsidRPr="00884DD1">
        <w:rPr>
          <w:rFonts w:cs="Tahoma"/>
          <w:i/>
          <w:spacing w:val="-6"/>
          <w:sz w:val="24"/>
        </w:rPr>
        <w:t>per se</w:t>
      </w:r>
      <w:r w:rsidRPr="00884DD1">
        <w:rPr>
          <w:rFonts w:cs="Tahoma"/>
          <w:spacing w:val="-6"/>
          <w:sz w:val="24"/>
        </w:rPr>
        <w:t>,</w:t>
      </w:r>
      <w:r w:rsidR="00936948" w:rsidRPr="00884DD1">
        <w:rPr>
          <w:rFonts w:cs="Tahoma"/>
          <w:spacing w:val="-6"/>
          <w:sz w:val="24"/>
        </w:rPr>
        <w:t xml:space="preserve"> no</w:t>
      </w:r>
      <w:r w:rsidRPr="00884DD1">
        <w:rPr>
          <w:rFonts w:cs="Tahoma"/>
          <w:spacing w:val="-6"/>
          <w:sz w:val="24"/>
        </w:rPr>
        <w:t xml:space="preserve"> le da la prerrogativa de acceder </w:t>
      </w:r>
      <w:r w:rsidR="004450A3" w:rsidRPr="00884DD1">
        <w:rPr>
          <w:rFonts w:cs="Tahoma"/>
          <w:spacing w:val="-6"/>
          <w:sz w:val="24"/>
        </w:rPr>
        <w:t xml:space="preserve">al </w:t>
      </w:r>
      <w:r w:rsidR="007A0AB3" w:rsidRPr="00884DD1">
        <w:rPr>
          <w:rFonts w:cs="Tahoma"/>
          <w:spacing w:val="-6"/>
          <w:sz w:val="24"/>
        </w:rPr>
        <w:t>expediente</w:t>
      </w:r>
      <w:r w:rsidR="004450A3" w:rsidRPr="00884DD1">
        <w:rPr>
          <w:rFonts w:cs="Tahoma"/>
          <w:spacing w:val="-6"/>
          <w:sz w:val="24"/>
        </w:rPr>
        <w:t xml:space="preserve">, </w:t>
      </w:r>
      <w:r w:rsidR="00936948" w:rsidRPr="00884DD1">
        <w:rPr>
          <w:rFonts w:cs="Tahoma"/>
          <w:spacing w:val="-6"/>
          <w:sz w:val="24"/>
        </w:rPr>
        <w:t>pues se requiere que se hubiese presentado la demanda de parte civil y que a su vez sea admitida como tal.</w:t>
      </w:r>
    </w:p>
    <w:p w14:paraId="78FCE771" w14:textId="77777777" w:rsidR="00936948" w:rsidRPr="00884DD1" w:rsidRDefault="00936948" w:rsidP="00884DD1">
      <w:pPr>
        <w:spacing w:line="276" w:lineRule="auto"/>
        <w:rPr>
          <w:rFonts w:cs="Tahoma"/>
          <w:spacing w:val="-6"/>
          <w:sz w:val="24"/>
        </w:rPr>
      </w:pPr>
    </w:p>
    <w:p w14:paraId="7112C7B1" w14:textId="0108BFC9" w:rsidR="008A350E" w:rsidRPr="00884DD1" w:rsidRDefault="0045766C" w:rsidP="00884DD1">
      <w:pPr>
        <w:spacing w:line="276" w:lineRule="auto"/>
        <w:rPr>
          <w:rFonts w:cs="Tahoma"/>
          <w:spacing w:val="-6"/>
          <w:sz w:val="24"/>
        </w:rPr>
      </w:pPr>
      <w:r w:rsidRPr="00884DD1">
        <w:rPr>
          <w:rFonts w:cs="Tahoma"/>
          <w:spacing w:val="-6"/>
          <w:sz w:val="24"/>
        </w:rPr>
        <w:t>L</w:t>
      </w:r>
      <w:r w:rsidR="004450A3" w:rsidRPr="00884DD1">
        <w:rPr>
          <w:rFonts w:cs="Tahoma"/>
          <w:spacing w:val="-6"/>
          <w:sz w:val="24"/>
        </w:rPr>
        <w:t xml:space="preserve">a decisión que adoptó la Fiscalía 149 IPMP de Cali, ante la petición del apoderado del señor </w:t>
      </w:r>
      <w:r w:rsidR="004450A3" w:rsidRPr="00884DD1">
        <w:rPr>
          <w:rFonts w:cs="Tahoma"/>
          <w:b/>
          <w:spacing w:val="-6"/>
          <w:sz w:val="24"/>
        </w:rPr>
        <w:t>VASCO LONDOÑO</w:t>
      </w:r>
      <w:r w:rsidR="004450A3" w:rsidRPr="00884DD1">
        <w:rPr>
          <w:rFonts w:cs="Tahoma"/>
          <w:spacing w:val="-6"/>
          <w:sz w:val="24"/>
        </w:rPr>
        <w:t>, fue autorizar</w:t>
      </w:r>
      <w:r w:rsidR="006D70C5" w:rsidRPr="00884DD1">
        <w:rPr>
          <w:rFonts w:cs="Tahoma"/>
          <w:spacing w:val="-6"/>
          <w:sz w:val="24"/>
        </w:rPr>
        <w:t xml:space="preserve">lo </w:t>
      </w:r>
      <w:r w:rsidR="004450A3" w:rsidRPr="00884DD1">
        <w:rPr>
          <w:rFonts w:cs="Tahoma"/>
          <w:spacing w:val="-6"/>
          <w:sz w:val="24"/>
        </w:rPr>
        <w:t xml:space="preserve">para que pudiera </w:t>
      </w:r>
      <w:r w:rsidRPr="00884DD1">
        <w:rPr>
          <w:rFonts w:cs="Tahoma"/>
          <w:i/>
          <w:iCs/>
          <w:spacing w:val="-6"/>
          <w:sz w:val="24"/>
        </w:rPr>
        <w:t>acceder al expediente</w:t>
      </w:r>
      <w:r w:rsidR="004450A3" w:rsidRPr="00884DD1">
        <w:rPr>
          <w:rFonts w:cs="Tahoma"/>
          <w:spacing w:val="-6"/>
          <w:sz w:val="24"/>
        </w:rPr>
        <w:t xml:space="preserve">, amén del poder que para tal efecto le otorgó el acá accionante, con miras a la </w:t>
      </w:r>
      <w:r w:rsidR="006D70C5" w:rsidRPr="00884DD1">
        <w:rPr>
          <w:rFonts w:cs="Tahoma"/>
          <w:spacing w:val="-6"/>
          <w:sz w:val="24"/>
        </w:rPr>
        <w:t xml:space="preserve">interposición </w:t>
      </w:r>
      <w:r w:rsidR="004450A3" w:rsidRPr="00884DD1">
        <w:rPr>
          <w:rFonts w:cs="Tahoma"/>
          <w:spacing w:val="-6"/>
          <w:sz w:val="24"/>
        </w:rPr>
        <w:t>de la demanda de constitución de parte civil.</w:t>
      </w:r>
    </w:p>
    <w:p w14:paraId="383EA165" w14:textId="55C2708A" w:rsidR="004450A3" w:rsidRPr="00884DD1" w:rsidRDefault="004450A3" w:rsidP="00884DD1">
      <w:pPr>
        <w:spacing w:line="276" w:lineRule="auto"/>
        <w:rPr>
          <w:rFonts w:cs="Tahoma"/>
          <w:spacing w:val="-6"/>
          <w:sz w:val="24"/>
        </w:rPr>
      </w:pPr>
    </w:p>
    <w:p w14:paraId="18057001" w14:textId="1FBEBDB4" w:rsidR="00AB303A" w:rsidRPr="00884DD1" w:rsidRDefault="004450A3" w:rsidP="00884DD1">
      <w:pPr>
        <w:spacing w:line="276" w:lineRule="auto"/>
        <w:rPr>
          <w:rFonts w:cs="Tahoma"/>
          <w:spacing w:val="-6"/>
          <w:sz w:val="24"/>
        </w:rPr>
      </w:pPr>
      <w:r w:rsidRPr="00884DD1">
        <w:rPr>
          <w:rFonts w:cs="Tahoma"/>
          <w:spacing w:val="-6"/>
          <w:sz w:val="24"/>
        </w:rPr>
        <w:t xml:space="preserve">Pero tal poder no lo </w:t>
      </w:r>
      <w:r w:rsidR="007A0AB3" w:rsidRPr="00884DD1">
        <w:rPr>
          <w:rFonts w:cs="Tahoma"/>
          <w:spacing w:val="-6"/>
          <w:sz w:val="24"/>
        </w:rPr>
        <w:t>autoriza</w:t>
      </w:r>
      <w:r w:rsidRPr="00884DD1">
        <w:rPr>
          <w:rFonts w:cs="Tahoma"/>
          <w:spacing w:val="-6"/>
          <w:sz w:val="24"/>
        </w:rPr>
        <w:t xml:space="preserve">, sin haber sido </w:t>
      </w:r>
      <w:r w:rsidR="00AB303A" w:rsidRPr="00884DD1">
        <w:rPr>
          <w:rFonts w:cs="Tahoma"/>
          <w:spacing w:val="-6"/>
          <w:sz w:val="24"/>
        </w:rPr>
        <w:t>admitida la aludida demanda</w:t>
      </w:r>
      <w:r w:rsidR="00390F3A" w:rsidRPr="00884DD1">
        <w:rPr>
          <w:rFonts w:cs="Tahoma"/>
          <w:spacing w:val="-6"/>
          <w:sz w:val="24"/>
        </w:rPr>
        <w:t>,</w:t>
      </w:r>
      <w:r w:rsidR="00AB303A" w:rsidRPr="00884DD1">
        <w:rPr>
          <w:rFonts w:cs="Tahoma"/>
          <w:spacing w:val="-6"/>
          <w:sz w:val="24"/>
        </w:rPr>
        <w:t xml:space="preserve"> </w:t>
      </w:r>
      <w:r w:rsidRPr="00884DD1">
        <w:rPr>
          <w:rFonts w:cs="Tahoma"/>
          <w:spacing w:val="-6"/>
          <w:sz w:val="24"/>
        </w:rPr>
        <w:t xml:space="preserve">para pedir copia del link de la actuación o lo que es </w:t>
      </w:r>
      <w:r w:rsidR="006D70C5" w:rsidRPr="00884DD1">
        <w:rPr>
          <w:rFonts w:cs="Tahoma"/>
          <w:spacing w:val="-6"/>
          <w:sz w:val="24"/>
        </w:rPr>
        <w:t xml:space="preserve">igual, a </w:t>
      </w:r>
      <w:r w:rsidRPr="00884DD1">
        <w:rPr>
          <w:rFonts w:cs="Tahoma"/>
          <w:spacing w:val="-6"/>
          <w:sz w:val="24"/>
        </w:rPr>
        <w:t>las copias d</w:t>
      </w:r>
      <w:r w:rsidR="007A0AB3" w:rsidRPr="00884DD1">
        <w:rPr>
          <w:rFonts w:cs="Tahoma"/>
          <w:spacing w:val="-6"/>
          <w:sz w:val="24"/>
        </w:rPr>
        <w:t>e la actuación penal</w:t>
      </w:r>
      <w:r w:rsidRPr="00884DD1">
        <w:rPr>
          <w:rFonts w:cs="Tahoma"/>
          <w:spacing w:val="-6"/>
          <w:sz w:val="24"/>
        </w:rPr>
        <w:t>, en tanto a ello t</w:t>
      </w:r>
      <w:r w:rsidR="0045766C" w:rsidRPr="00884DD1">
        <w:rPr>
          <w:rFonts w:cs="Tahoma"/>
          <w:spacing w:val="-6"/>
          <w:sz w:val="24"/>
        </w:rPr>
        <w:t>endría</w:t>
      </w:r>
      <w:r w:rsidRPr="00884DD1">
        <w:rPr>
          <w:rFonts w:cs="Tahoma"/>
          <w:spacing w:val="-6"/>
          <w:sz w:val="24"/>
        </w:rPr>
        <w:t xml:space="preserve"> derecho, como a otras facultades que le otorga la disposición castrense, luego de que sea acreditado como </w:t>
      </w:r>
      <w:r w:rsidR="00AB303A" w:rsidRPr="00884DD1">
        <w:rPr>
          <w:rFonts w:cs="Tahoma"/>
          <w:spacing w:val="-6"/>
          <w:sz w:val="24"/>
        </w:rPr>
        <w:t xml:space="preserve">tal y adquiera a partir de </w:t>
      </w:r>
      <w:r w:rsidR="00390F3A" w:rsidRPr="00884DD1">
        <w:rPr>
          <w:rFonts w:cs="Tahoma"/>
          <w:spacing w:val="-6"/>
          <w:sz w:val="24"/>
        </w:rPr>
        <w:t xml:space="preserve">ese </w:t>
      </w:r>
      <w:r w:rsidR="00AB303A" w:rsidRPr="00884DD1">
        <w:rPr>
          <w:rFonts w:cs="Tahoma"/>
          <w:spacing w:val="-6"/>
          <w:sz w:val="24"/>
        </w:rPr>
        <w:t>momento la calidad de sujeto procesal.</w:t>
      </w:r>
    </w:p>
    <w:p w14:paraId="4889BD30" w14:textId="77777777" w:rsidR="00AB303A" w:rsidRPr="00884DD1" w:rsidRDefault="00AB303A" w:rsidP="00884DD1">
      <w:pPr>
        <w:spacing w:line="276" w:lineRule="auto"/>
        <w:rPr>
          <w:rFonts w:cs="Tahoma"/>
          <w:spacing w:val="-6"/>
          <w:sz w:val="24"/>
        </w:rPr>
      </w:pPr>
    </w:p>
    <w:p w14:paraId="288F1D8A" w14:textId="73F5E2D1" w:rsidR="004450A3" w:rsidRPr="00884DD1" w:rsidRDefault="00AB303A" w:rsidP="00884DD1">
      <w:pPr>
        <w:spacing w:line="276" w:lineRule="auto"/>
        <w:rPr>
          <w:rFonts w:cs="Tahoma"/>
          <w:spacing w:val="-6"/>
          <w:sz w:val="24"/>
        </w:rPr>
      </w:pPr>
      <w:r w:rsidRPr="00884DD1">
        <w:rPr>
          <w:rFonts w:cs="Tahoma"/>
          <w:spacing w:val="-6"/>
          <w:sz w:val="24"/>
        </w:rPr>
        <w:t xml:space="preserve">El procedimiento reglado en la Ley 522 de 1999, </w:t>
      </w:r>
      <w:r w:rsidR="00851B72" w:rsidRPr="00884DD1">
        <w:rPr>
          <w:rFonts w:cs="Tahoma"/>
          <w:b/>
          <w:bCs/>
          <w:spacing w:val="-6"/>
          <w:sz w:val="24"/>
        </w:rPr>
        <w:t>-mientras entra a regir la Ley 1407 de  2010-</w:t>
      </w:r>
      <w:r w:rsidR="00851B72" w:rsidRPr="00884DD1">
        <w:rPr>
          <w:rFonts w:cs="Tahoma"/>
          <w:spacing w:val="-6"/>
          <w:sz w:val="24"/>
        </w:rPr>
        <w:t xml:space="preserve"> </w:t>
      </w:r>
      <w:r w:rsidRPr="00884DD1">
        <w:rPr>
          <w:rFonts w:cs="Tahoma"/>
          <w:spacing w:val="-6"/>
          <w:sz w:val="24"/>
        </w:rPr>
        <w:t xml:space="preserve">es </w:t>
      </w:r>
      <w:r w:rsidR="00851B72" w:rsidRPr="00884DD1">
        <w:rPr>
          <w:rFonts w:cs="Tahoma"/>
          <w:spacing w:val="-6"/>
          <w:sz w:val="24"/>
        </w:rPr>
        <w:t xml:space="preserve">de carácter </w:t>
      </w:r>
      <w:r w:rsidRPr="00884DD1">
        <w:rPr>
          <w:rFonts w:cs="Tahoma"/>
          <w:spacing w:val="-6"/>
          <w:sz w:val="24"/>
        </w:rPr>
        <w:t>especial</w:t>
      </w:r>
      <w:r w:rsidR="00390F3A" w:rsidRPr="00884DD1">
        <w:rPr>
          <w:rFonts w:cs="Tahoma"/>
          <w:spacing w:val="-6"/>
          <w:sz w:val="24"/>
        </w:rPr>
        <w:t xml:space="preserve"> y co</w:t>
      </w:r>
      <w:r w:rsidR="006D70C5" w:rsidRPr="00884DD1">
        <w:rPr>
          <w:rFonts w:cs="Tahoma"/>
          <w:spacing w:val="-6"/>
          <w:sz w:val="24"/>
        </w:rPr>
        <w:t xml:space="preserve">mporta </w:t>
      </w:r>
      <w:r w:rsidR="00390F3A" w:rsidRPr="00884DD1">
        <w:rPr>
          <w:rFonts w:cs="Tahoma"/>
          <w:spacing w:val="-6"/>
          <w:sz w:val="24"/>
        </w:rPr>
        <w:t xml:space="preserve">normas propias como lo refiere el </w:t>
      </w:r>
      <w:r w:rsidR="00F43369" w:rsidRPr="00884DD1">
        <w:rPr>
          <w:rFonts w:cs="Tahoma"/>
          <w:spacing w:val="-6"/>
          <w:sz w:val="24"/>
        </w:rPr>
        <w:t xml:space="preserve"> accionante, </w:t>
      </w:r>
      <w:r w:rsidR="00390F3A" w:rsidRPr="00884DD1">
        <w:rPr>
          <w:rFonts w:cs="Tahoma"/>
          <w:spacing w:val="-6"/>
          <w:sz w:val="24"/>
        </w:rPr>
        <w:t>y en estas, se</w:t>
      </w:r>
      <w:r w:rsidR="00F43369" w:rsidRPr="00884DD1">
        <w:rPr>
          <w:rFonts w:cs="Tahoma"/>
          <w:spacing w:val="-6"/>
          <w:sz w:val="24"/>
        </w:rPr>
        <w:t xml:space="preserve"> </w:t>
      </w:r>
      <w:r w:rsidRPr="00884DD1">
        <w:rPr>
          <w:rFonts w:cs="Tahoma"/>
          <w:spacing w:val="-6"/>
          <w:sz w:val="24"/>
        </w:rPr>
        <w:t xml:space="preserve">regula la actuación que debe surtirse en aquellos procesos que se </w:t>
      </w:r>
      <w:r w:rsidR="00390F3A" w:rsidRPr="00884DD1">
        <w:rPr>
          <w:rFonts w:cs="Tahoma"/>
          <w:spacing w:val="-6"/>
          <w:sz w:val="24"/>
        </w:rPr>
        <w:t xml:space="preserve">adelantan </w:t>
      </w:r>
      <w:r w:rsidRPr="00884DD1">
        <w:rPr>
          <w:rFonts w:cs="Tahoma"/>
          <w:spacing w:val="-6"/>
          <w:sz w:val="24"/>
        </w:rPr>
        <w:t>en contra de miembros de la Policía Nacional o de la Fuerza Pública, y de contera</w:t>
      </w:r>
      <w:r w:rsidR="00B00E29" w:rsidRPr="00884DD1">
        <w:rPr>
          <w:rFonts w:cs="Tahoma"/>
          <w:spacing w:val="-6"/>
          <w:sz w:val="24"/>
        </w:rPr>
        <w:t xml:space="preserve">, para que se proceda a la </w:t>
      </w:r>
      <w:r w:rsidRPr="00884DD1">
        <w:rPr>
          <w:rFonts w:cs="Tahoma"/>
          <w:spacing w:val="-6"/>
          <w:sz w:val="24"/>
        </w:rPr>
        <w:t xml:space="preserve">expedición de copias, debe </w:t>
      </w:r>
      <w:r w:rsidR="00B00E29" w:rsidRPr="00884DD1">
        <w:rPr>
          <w:rFonts w:cs="Tahoma"/>
          <w:spacing w:val="-6"/>
          <w:sz w:val="24"/>
        </w:rPr>
        <w:t>acatarse lo allí contemplado por quien las requiera</w:t>
      </w:r>
      <w:r w:rsidRPr="00884DD1">
        <w:rPr>
          <w:rFonts w:cs="Tahoma"/>
          <w:spacing w:val="-6"/>
          <w:sz w:val="24"/>
        </w:rPr>
        <w:t xml:space="preserve">, y en ese orden, si el poder que por parte del señor </w:t>
      </w:r>
      <w:r w:rsidRPr="00884DD1">
        <w:rPr>
          <w:rFonts w:cs="Tahoma"/>
          <w:b/>
          <w:spacing w:val="-6"/>
          <w:sz w:val="24"/>
        </w:rPr>
        <w:t>ANDRÉS VASCO LONDOÑO</w:t>
      </w:r>
      <w:r w:rsidRPr="00884DD1">
        <w:rPr>
          <w:rFonts w:cs="Tahoma"/>
          <w:spacing w:val="-6"/>
          <w:sz w:val="24"/>
        </w:rPr>
        <w:t xml:space="preserve">, lo fue para que se </w:t>
      </w:r>
      <w:r w:rsidR="00851B72" w:rsidRPr="00884DD1">
        <w:rPr>
          <w:rFonts w:cs="Tahoma"/>
          <w:spacing w:val="-6"/>
          <w:sz w:val="24"/>
        </w:rPr>
        <w:t>solicitar</w:t>
      </w:r>
      <w:r w:rsidR="00B00E29" w:rsidRPr="00884DD1">
        <w:rPr>
          <w:rFonts w:cs="Tahoma"/>
          <w:spacing w:val="-6"/>
          <w:sz w:val="24"/>
        </w:rPr>
        <w:t xml:space="preserve">a su </w:t>
      </w:r>
      <w:r w:rsidR="00851B72" w:rsidRPr="00884DD1">
        <w:rPr>
          <w:rFonts w:cs="Tahoma"/>
          <w:spacing w:val="-6"/>
          <w:sz w:val="24"/>
        </w:rPr>
        <w:t xml:space="preserve">reconocimiento como víctima, </w:t>
      </w:r>
      <w:r w:rsidR="00B00E29" w:rsidRPr="00884DD1">
        <w:rPr>
          <w:rFonts w:cs="Tahoma"/>
          <w:spacing w:val="-6"/>
          <w:sz w:val="24"/>
        </w:rPr>
        <w:t xml:space="preserve">el </w:t>
      </w:r>
      <w:r w:rsidR="00851B72" w:rsidRPr="00884DD1">
        <w:rPr>
          <w:rFonts w:cs="Tahoma"/>
          <w:spacing w:val="-6"/>
          <w:sz w:val="24"/>
        </w:rPr>
        <w:t>deber</w:t>
      </w:r>
      <w:r w:rsidR="00B00E29" w:rsidRPr="00884DD1">
        <w:rPr>
          <w:rFonts w:cs="Tahoma"/>
          <w:spacing w:val="-6"/>
          <w:sz w:val="24"/>
        </w:rPr>
        <w:t xml:space="preserve"> de quien lo asiste judicialmente</w:t>
      </w:r>
      <w:r w:rsidR="00851B72" w:rsidRPr="00884DD1">
        <w:rPr>
          <w:rFonts w:cs="Tahoma"/>
          <w:spacing w:val="-6"/>
          <w:sz w:val="24"/>
        </w:rPr>
        <w:t xml:space="preserve">, es el de acudir a tal despacho para </w:t>
      </w:r>
      <w:r w:rsidR="0045766C" w:rsidRPr="00884DD1">
        <w:rPr>
          <w:rFonts w:cs="Tahoma"/>
          <w:i/>
          <w:iCs/>
          <w:spacing w:val="-6"/>
          <w:sz w:val="24"/>
        </w:rPr>
        <w:t>acceder al expediente</w:t>
      </w:r>
      <w:r w:rsidR="00851B72" w:rsidRPr="00884DD1">
        <w:rPr>
          <w:rFonts w:cs="Tahoma"/>
          <w:spacing w:val="-6"/>
          <w:sz w:val="24"/>
        </w:rPr>
        <w:t>, a lo cual tiene derecho</w:t>
      </w:r>
      <w:r w:rsidR="00B00E29" w:rsidRPr="00884DD1">
        <w:rPr>
          <w:rFonts w:cs="Tahoma"/>
          <w:spacing w:val="-6"/>
          <w:sz w:val="24"/>
        </w:rPr>
        <w:t>, como viene de verse.</w:t>
      </w:r>
    </w:p>
    <w:p w14:paraId="3986E9AC" w14:textId="07BF325F" w:rsidR="00851B72" w:rsidRPr="00884DD1" w:rsidRDefault="00851B72" w:rsidP="00884DD1">
      <w:pPr>
        <w:spacing w:line="276" w:lineRule="auto"/>
        <w:rPr>
          <w:rFonts w:cs="Tahoma"/>
          <w:spacing w:val="-6"/>
          <w:sz w:val="24"/>
        </w:rPr>
      </w:pPr>
    </w:p>
    <w:p w14:paraId="6D7F5F2A" w14:textId="1F8BE43F" w:rsidR="004450A3" w:rsidRPr="00884DD1" w:rsidRDefault="00B00E29" w:rsidP="00884DD1">
      <w:pPr>
        <w:spacing w:line="276" w:lineRule="auto"/>
        <w:rPr>
          <w:rFonts w:cs="Tahoma"/>
          <w:spacing w:val="-6"/>
          <w:sz w:val="24"/>
        </w:rPr>
      </w:pPr>
      <w:r w:rsidRPr="00884DD1">
        <w:rPr>
          <w:rFonts w:cs="Tahoma"/>
          <w:spacing w:val="-6"/>
          <w:sz w:val="24"/>
        </w:rPr>
        <w:t>Por lo antes mencionado</w:t>
      </w:r>
      <w:r w:rsidR="00851B72" w:rsidRPr="00884DD1">
        <w:rPr>
          <w:rFonts w:cs="Tahoma"/>
          <w:spacing w:val="-6"/>
          <w:sz w:val="24"/>
        </w:rPr>
        <w:t xml:space="preserve">, y sin lugar a mayores </w:t>
      </w:r>
      <w:r w:rsidRPr="00884DD1">
        <w:rPr>
          <w:rFonts w:cs="Tahoma"/>
          <w:spacing w:val="-6"/>
          <w:sz w:val="24"/>
        </w:rPr>
        <w:t>disquisiciones</w:t>
      </w:r>
      <w:r w:rsidR="00851B72" w:rsidRPr="00884DD1">
        <w:rPr>
          <w:rFonts w:cs="Tahoma"/>
          <w:spacing w:val="-6"/>
          <w:sz w:val="24"/>
        </w:rPr>
        <w:t xml:space="preserve">, considera la Sala que en este </w:t>
      </w:r>
      <w:r w:rsidR="007A0AB3" w:rsidRPr="00884DD1">
        <w:rPr>
          <w:rFonts w:cs="Tahoma"/>
          <w:spacing w:val="-6"/>
          <w:sz w:val="24"/>
        </w:rPr>
        <w:t xml:space="preserve">evento </w:t>
      </w:r>
      <w:r w:rsidR="00851B72" w:rsidRPr="00884DD1">
        <w:rPr>
          <w:rFonts w:cs="Tahoma"/>
          <w:spacing w:val="-6"/>
          <w:sz w:val="24"/>
        </w:rPr>
        <w:t xml:space="preserve">la Fiscalía 149 IMPM de Cali, no ha vulnerado los derechos fundamentales que reclama el señor </w:t>
      </w:r>
      <w:r w:rsidR="00851B72" w:rsidRPr="00884DD1">
        <w:rPr>
          <w:rFonts w:cs="Tahoma"/>
          <w:b/>
          <w:spacing w:val="-6"/>
          <w:sz w:val="24"/>
        </w:rPr>
        <w:t>ANDRÉS FELIPE VASCO</w:t>
      </w:r>
      <w:r w:rsidR="00851B72" w:rsidRPr="00884DD1">
        <w:rPr>
          <w:rFonts w:cs="Tahoma"/>
          <w:spacing w:val="-6"/>
          <w:sz w:val="24"/>
        </w:rPr>
        <w:t xml:space="preserve">, en tanto no se le ha negado el acceso al proceso que se adelanta </w:t>
      </w:r>
      <w:r w:rsidRPr="00884DD1">
        <w:rPr>
          <w:rFonts w:cs="Tahoma"/>
          <w:spacing w:val="-6"/>
          <w:sz w:val="24"/>
        </w:rPr>
        <w:t xml:space="preserve">y </w:t>
      </w:r>
      <w:r w:rsidR="00851B72" w:rsidRPr="00884DD1">
        <w:rPr>
          <w:rFonts w:cs="Tahoma"/>
          <w:spacing w:val="-6"/>
          <w:sz w:val="24"/>
        </w:rPr>
        <w:t xml:space="preserve">donde al parecer ostenta la condición de víctima, </w:t>
      </w:r>
      <w:r w:rsidRPr="00884DD1">
        <w:rPr>
          <w:rFonts w:cs="Tahoma"/>
          <w:spacing w:val="-6"/>
          <w:sz w:val="24"/>
        </w:rPr>
        <w:t xml:space="preserve">mismo al que </w:t>
      </w:r>
      <w:r w:rsidR="00851B72" w:rsidRPr="00884DD1">
        <w:rPr>
          <w:rFonts w:cs="Tahoma"/>
          <w:spacing w:val="-6"/>
          <w:sz w:val="24"/>
        </w:rPr>
        <w:t xml:space="preserve">podrá su </w:t>
      </w:r>
      <w:r w:rsidRPr="00884DD1">
        <w:rPr>
          <w:rFonts w:cs="Tahoma"/>
          <w:spacing w:val="-6"/>
          <w:sz w:val="24"/>
        </w:rPr>
        <w:t xml:space="preserve">apoderado </w:t>
      </w:r>
      <w:r w:rsidR="00851B72" w:rsidRPr="00884DD1">
        <w:rPr>
          <w:rFonts w:cs="Tahoma"/>
          <w:spacing w:val="-6"/>
          <w:sz w:val="24"/>
        </w:rPr>
        <w:t>para su revisión y posterior presentación de la demanda pertinente. Por ello, se negará el amparo reclamado.</w:t>
      </w:r>
    </w:p>
    <w:p w14:paraId="308FB387" w14:textId="4FAB8288" w:rsidR="00DB3B9E" w:rsidRPr="00884DD1" w:rsidRDefault="00DB3B9E" w:rsidP="00884DD1">
      <w:pPr>
        <w:spacing w:line="276" w:lineRule="auto"/>
        <w:rPr>
          <w:rFonts w:cs="Tahoma"/>
          <w:spacing w:val="-4"/>
          <w:sz w:val="24"/>
        </w:rPr>
      </w:pPr>
    </w:p>
    <w:p w14:paraId="13E70BB3" w14:textId="77777777" w:rsidR="00DB3B9E" w:rsidRPr="00884DD1" w:rsidRDefault="00DB3B9E" w:rsidP="00884DD1">
      <w:pPr>
        <w:spacing w:line="276" w:lineRule="auto"/>
        <w:rPr>
          <w:rFonts w:ascii="Algerian" w:hAnsi="Algerian" w:cs="Tahoma"/>
          <w:sz w:val="30"/>
          <w:szCs w:val="20"/>
          <w:lang w:val="es-ES"/>
        </w:rPr>
      </w:pPr>
      <w:r w:rsidRPr="00884DD1">
        <w:rPr>
          <w:rFonts w:ascii="Algerian" w:hAnsi="Algerian" w:cs="Tahoma"/>
          <w:sz w:val="30"/>
          <w:szCs w:val="20"/>
          <w:lang w:val="es-ES"/>
        </w:rPr>
        <w:t xml:space="preserve">6.- DECISIÓN </w:t>
      </w:r>
    </w:p>
    <w:p w14:paraId="21B89AB6" w14:textId="77777777" w:rsidR="00DB3B9E" w:rsidRPr="00884DD1" w:rsidRDefault="00DB3B9E" w:rsidP="00884DD1">
      <w:pPr>
        <w:spacing w:line="276" w:lineRule="auto"/>
        <w:rPr>
          <w:rFonts w:cs="Tahoma"/>
          <w:spacing w:val="-4"/>
          <w:sz w:val="24"/>
        </w:rPr>
      </w:pPr>
    </w:p>
    <w:p w14:paraId="4213F2F0" w14:textId="77777777" w:rsidR="00DB3B9E" w:rsidRPr="00884DD1" w:rsidRDefault="00DB3B9E" w:rsidP="00884DD1">
      <w:pPr>
        <w:spacing w:line="276" w:lineRule="auto"/>
        <w:rPr>
          <w:rFonts w:cs="Tahoma"/>
          <w:spacing w:val="-4"/>
          <w:sz w:val="24"/>
        </w:rPr>
      </w:pPr>
      <w:r w:rsidRPr="00884DD1">
        <w:rPr>
          <w:rFonts w:cs="Tahoma"/>
          <w:spacing w:val="-4"/>
          <w:sz w:val="24"/>
        </w:rPr>
        <w:t xml:space="preserve">Por lo expuesto, el Tribunal Superior del Distrito Judicial de Pereira, Sala de Decisión Penal, administrando justicia en nombre de la República, por mandato de la Constitución y de la Ley,  </w:t>
      </w:r>
    </w:p>
    <w:p w14:paraId="125BAB38" w14:textId="77777777" w:rsidR="00DB3B9E" w:rsidRPr="00884DD1" w:rsidRDefault="00DB3B9E" w:rsidP="00884DD1">
      <w:pPr>
        <w:spacing w:line="276" w:lineRule="auto"/>
        <w:rPr>
          <w:rFonts w:cs="Tahoma"/>
          <w:spacing w:val="-4"/>
          <w:sz w:val="24"/>
        </w:rPr>
      </w:pPr>
    </w:p>
    <w:p w14:paraId="61C44880" w14:textId="77777777" w:rsidR="00DB3B9E" w:rsidRPr="00884DD1" w:rsidRDefault="00DB3B9E" w:rsidP="00884DD1">
      <w:pPr>
        <w:spacing w:line="276" w:lineRule="auto"/>
        <w:rPr>
          <w:rFonts w:ascii="Algerian" w:hAnsi="Algerian" w:cs="Tahoma"/>
          <w:sz w:val="30"/>
          <w:szCs w:val="20"/>
          <w:lang w:val="es-ES"/>
        </w:rPr>
      </w:pPr>
      <w:r w:rsidRPr="00884DD1">
        <w:rPr>
          <w:rFonts w:ascii="Algerian" w:hAnsi="Algerian" w:cs="Tahoma"/>
          <w:sz w:val="30"/>
          <w:szCs w:val="20"/>
          <w:lang w:val="es-ES"/>
        </w:rPr>
        <w:t>FALLA</w:t>
      </w:r>
    </w:p>
    <w:p w14:paraId="421E4971" w14:textId="77777777" w:rsidR="00DB3B9E" w:rsidRPr="00884DD1" w:rsidRDefault="00DB3B9E" w:rsidP="00884DD1">
      <w:pPr>
        <w:spacing w:line="276" w:lineRule="auto"/>
        <w:rPr>
          <w:rFonts w:cs="Tahoma"/>
          <w:spacing w:val="-4"/>
          <w:sz w:val="24"/>
        </w:rPr>
      </w:pPr>
    </w:p>
    <w:p w14:paraId="1EF43FF5" w14:textId="1450E393" w:rsidR="00DB3B9E" w:rsidRPr="00884DD1" w:rsidRDefault="00DB3B9E" w:rsidP="00884DD1">
      <w:pPr>
        <w:spacing w:line="276" w:lineRule="auto"/>
        <w:rPr>
          <w:rFonts w:cs="Tahoma"/>
          <w:spacing w:val="-4"/>
          <w:sz w:val="24"/>
        </w:rPr>
      </w:pPr>
      <w:r w:rsidRPr="00884DD1">
        <w:rPr>
          <w:rFonts w:cs="Tahoma"/>
          <w:b/>
          <w:spacing w:val="-4"/>
          <w:sz w:val="24"/>
        </w:rPr>
        <w:t xml:space="preserve">PRIMERO: </w:t>
      </w:r>
      <w:r w:rsidR="00851B72" w:rsidRPr="00884DD1">
        <w:rPr>
          <w:rFonts w:cs="Tahoma"/>
          <w:b/>
          <w:spacing w:val="-4"/>
          <w:sz w:val="24"/>
        </w:rPr>
        <w:t xml:space="preserve">SE NIEGA </w:t>
      </w:r>
      <w:r w:rsidR="00851B72" w:rsidRPr="00884DD1">
        <w:rPr>
          <w:rFonts w:cs="Tahoma"/>
          <w:spacing w:val="-4"/>
          <w:sz w:val="24"/>
        </w:rPr>
        <w:t xml:space="preserve">la tutela impetrada por el señor </w:t>
      </w:r>
      <w:r w:rsidR="00851B72" w:rsidRPr="00884DD1">
        <w:rPr>
          <w:rFonts w:cs="Tahoma"/>
          <w:b/>
          <w:spacing w:val="-4"/>
          <w:sz w:val="24"/>
        </w:rPr>
        <w:t>ANDRÉS FELIPE VASCO LONDOÑO</w:t>
      </w:r>
      <w:r w:rsidRPr="00884DD1">
        <w:rPr>
          <w:rFonts w:cs="Tahoma"/>
          <w:spacing w:val="-4"/>
          <w:sz w:val="24"/>
        </w:rPr>
        <w:t xml:space="preserve">, </w:t>
      </w:r>
      <w:r w:rsidR="00851B72" w:rsidRPr="00884DD1">
        <w:rPr>
          <w:rFonts w:cs="Tahoma"/>
          <w:spacing w:val="-4"/>
          <w:sz w:val="24"/>
        </w:rPr>
        <w:t>en contra de la Fiscalía 1549 IPMP de Cali, al no evidenciarse la vulneración de sus derechos fundamentales.</w:t>
      </w:r>
    </w:p>
    <w:p w14:paraId="27CEC769" w14:textId="77777777" w:rsidR="00851B72" w:rsidRPr="00884DD1" w:rsidRDefault="00851B72" w:rsidP="00884DD1">
      <w:pPr>
        <w:spacing w:line="276" w:lineRule="auto"/>
        <w:rPr>
          <w:rFonts w:cs="Tahoma"/>
          <w:b/>
          <w:spacing w:val="-4"/>
          <w:sz w:val="24"/>
        </w:rPr>
      </w:pPr>
    </w:p>
    <w:p w14:paraId="6EC2275A" w14:textId="62B9A1C1" w:rsidR="00DB3B9E" w:rsidRPr="00884DD1" w:rsidRDefault="00851B72" w:rsidP="00884DD1">
      <w:pPr>
        <w:spacing w:line="276" w:lineRule="auto"/>
        <w:rPr>
          <w:rFonts w:cs="Tahoma"/>
          <w:spacing w:val="-4"/>
          <w:sz w:val="24"/>
        </w:rPr>
      </w:pPr>
      <w:r w:rsidRPr="00884DD1">
        <w:rPr>
          <w:rFonts w:cs="Tahoma"/>
          <w:b/>
          <w:spacing w:val="-4"/>
          <w:sz w:val="24"/>
        </w:rPr>
        <w:t>SEGUNDO</w:t>
      </w:r>
      <w:r w:rsidR="00DB3B9E" w:rsidRPr="00884DD1">
        <w:rPr>
          <w:rFonts w:cs="Tahoma"/>
          <w:b/>
          <w:spacing w:val="-4"/>
          <w:sz w:val="24"/>
        </w:rPr>
        <w:t>:</w:t>
      </w:r>
      <w:r w:rsidR="00DB3B9E" w:rsidRPr="00884DD1">
        <w:rPr>
          <w:rFonts w:cs="Tahoma"/>
          <w:spacing w:val="-4"/>
          <w:sz w:val="24"/>
        </w:rPr>
        <w:t xml:space="preserve"> </w:t>
      </w:r>
      <w:r w:rsidR="00DB3B9E" w:rsidRPr="00884DD1">
        <w:rPr>
          <w:rFonts w:cs="Tahoma"/>
          <w:bCs/>
          <w:spacing w:val="-4"/>
          <w:sz w:val="24"/>
        </w:rPr>
        <w:t>Si el fallo no fuere impugnado, remítase</w:t>
      </w:r>
      <w:r w:rsidR="00DB3B9E" w:rsidRPr="00884DD1">
        <w:rPr>
          <w:rFonts w:cs="Tahoma"/>
          <w:spacing w:val="-4"/>
          <w:sz w:val="24"/>
        </w:rPr>
        <w:t xml:space="preserve"> el expediente a la H. Corte Constitucional para su eventual revisión. </w:t>
      </w:r>
    </w:p>
    <w:p w14:paraId="47530EAD" w14:textId="77777777" w:rsidR="00884DD1" w:rsidRPr="00884DD1" w:rsidRDefault="00884DD1" w:rsidP="00884DD1">
      <w:pPr>
        <w:spacing w:line="276" w:lineRule="auto"/>
        <w:rPr>
          <w:rFonts w:eastAsia="SimSun" w:cs="Tahoma"/>
          <w:position w:val="-6"/>
          <w:sz w:val="24"/>
          <w:lang w:val="es-ES"/>
        </w:rPr>
      </w:pPr>
      <w:bookmarkStart w:id="2" w:name="_Hlk139017540"/>
    </w:p>
    <w:p w14:paraId="5866D1D2" w14:textId="77777777" w:rsidR="00884DD1" w:rsidRPr="00884DD1" w:rsidRDefault="00884DD1" w:rsidP="00884DD1">
      <w:pPr>
        <w:spacing w:line="276" w:lineRule="auto"/>
        <w:rPr>
          <w:rFonts w:ascii="Algerian" w:hAnsi="Algerian" w:cs="Tahoma"/>
          <w:sz w:val="30"/>
          <w:szCs w:val="20"/>
          <w:lang w:val="es-ES"/>
        </w:rPr>
      </w:pPr>
      <w:r w:rsidRPr="00884DD1">
        <w:rPr>
          <w:rFonts w:ascii="Algerian" w:hAnsi="Algerian" w:cs="Tahoma"/>
          <w:sz w:val="30"/>
          <w:szCs w:val="20"/>
          <w:lang w:val="es-ES"/>
        </w:rPr>
        <w:t>NOTIFÍQUESE Y CÚMPLASE</w:t>
      </w:r>
    </w:p>
    <w:p w14:paraId="7B8C505C" w14:textId="77777777" w:rsidR="00884DD1" w:rsidRPr="00884DD1" w:rsidRDefault="00884DD1" w:rsidP="00884DD1">
      <w:pPr>
        <w:spacing w:line="276" w:lineRule="auto"/>
        <w:rPr>
          <w:rFonts w:cs="Tahoma"/>
          <w:position w:val="-6"/>
          <w:sz w:val="24"/>
          <w:lang w:val="es-ES"/>
        </w:rPr>
      </w:pPr>
    </w:p>
    <w:p w14:paraId="50F3C8EA" w14:textId="77777777" w:rsidR="00884DD1" w:rsidRPr="00884DD1" w:rsidRDefault="00884DD1" w:rsidP="00884DD1">
      <w:pPr>
        <w:spacing w:line="276" w:lineRule="auto"/>
        <w:rPr>
          <w:rFonts w:cs="Tahoma"/>
          <w:position w:val="-4"/>
          <w:sz w:val="24"/>
          <w:lang w:val="es-ES"/>
        </w:rPr>
      </w:pPr>
    </w:p>
    <w:p w14:paraId="336F9DA3" w14:textId="77777777" w:rsidR="00884DD1" w:rsidRPr="00884DD1" w:rsidRDefault="00884DD1" w:rsidP="00884DD1">
      <w:pPr>
        <w:spacing w:line="276" w:lineRule="auto"/>
        <w:rPr>
          <w:rFonts w:cs="Tahoma"/>
          <w:position w:val="-4"/>
          <w:sz w:val="24"/>
          <w:lang w:val="es-ES"/>
        </w:rPr>
      </w:pPr>
    </w:p>
    <w:p w14:paraId="5BFF4DE1" w14:textId="77777777" w:rsidR="00884DD1" w:rsidRPr="00884DD1" w:rsidRDefault="00884DD1" w:rsidP="00884DD1">
      <w:pPr>
        <w:spacing w:line="276" w:lineRule="auto"/>
        <w:jc w:val="center"/>
        <w:rPr>
          <w:rFonts w:cs="Tahoma"/>
          <w:b/>
          <w:position w:val="-4"/>
          <w:sz w:val="24"/>
          <w:lang w:val="es-ES_tradnl"/>
        </w:rPr>
      </w:pPr>
      <w:r w:rsidRPr="00884DD1">
        <w:rPr>
          <w:rFonts w:cs="Tahoma"/>
          <w:b/>
          <w:position w:val="-4"/>
          <w:sz w:val="24"/>
          <w:lang w:val="es-ES_tradnl"/>
        </w:rPr>
        <w:t>CARLOS ARTURO PAZ ZÚÑIGA</w:t>
      </w:r>
    </w:p>
    <w:p w14:paraId="6C5B9E81" w14:textId="77777777" w:rsidR="00884DD1" w:rsidRPr="00884DD1" w:rsidRDefault="00884DD1" w:rsidP="00884DD1">
      <w:pPr>
        <w:spacing w:line="276" w:lineRule="auto"/>
        <w:jc w:val="center"/>
        <w:rPr>
          <w:rFonts w:cs="Tahoma"/>
          <w:position w:val="-4"/>
          <w:sz w:val="24"/>
          <w:lang w:val="es-ES_tradnl"/>
        </w:rPr>
      </w:pPr>
      <w:r w:rsidRPr="00884DD1">
        <w:rPr>
          <w:rFonts w:cs="Tahoma"/>
          <w:position w:val="-4"/>
          <w:sz w:val="24"/>
          <w:lang w:val="es-ES_tradnl"/>
        </w:rPr>
        <w:t xml:space="preserve">Magistrado </w:t>
      </w:r>
    </w:p>
    <w:p w14:paraId="11DCBF0A" w14:textId="77777777" w:rsidR="00884DD1" w:rsidRPr="00884DD1" w:rsidRDefault="00884DD1" w:rsidP="00884DD1">
      <w:pPr>
        <w:spacing w:line="276" w:lineRule="auto"/>
        <w:rPr>
          <w:rFonts w:cs="Tahoma"/>
          <w:position w:val="-4"/>
          <w:sz w:val="24"/>
          <w:lang w:val="es-ES_tradnl"/>
        </w:rPr>
      </w:pPr>
    </w:p>
    <w:p w14:paraId="5C99A5FE" w14:textId="77777777" w:rsidR="00884DD1" w:rsidRPr="00884DD1" w:rsidRDefault="00884DD1" w:rsidP="00884DD1">
      <w:pPr>
        <w:spacing w:line="276" w:lineRule="auto"/>
        <w:rPr>
          <w:rFonts w:cs="Tahoma"/>
          <w:position w:val="-4"/>
          <w:sz w:val="24"/>
          <w:lang w:val="es-ES_tradnl"/>
        </w:rPr>
      </w:pPr>
    </w:p>
    <w:p w14:paraId="0D81E66E" w14:textId="77777777" w:rsidR="00884DD1" w:rsidRPr="00884DD1" w:rsidRDefault="00884DD1" w:rsidP="00884DD1">
      <w:pPr>
        <w:spacing w:line="276" w:lineRule="auto"/>
        <w:rPr>
          <w:rFonts w:cs="Tahoma"/>
          <w:position w:val="-4"/>
          <w:sz w:val="24"/>
          <w:lang w:val="es-ES_tradnl"/>
        </w:rPr>
      </w:pPr>
    </w:p>
    <w:p w14:paraId="4B71C5AE" w14:textId="77777777" w:rsidR="00884DD1" w:rsidRPr="00884DD1" w:rsidRDefault="00884DD1" w:rsidP="00884DD1">
      <w:pPr>
        <w:spacing w:line="276" w:lineRule="auto"/>
        <w:jc w:val="center"/>
        <w:rPr>
          <w:rFonts w:cs="Tahoma"/>
          <w:b/>
          <w:position w:val="-4"/>
          <w:sz w:val="24"/>
          <w:lang w:val="es-ES_tradnl"/>
        </w:rPr>
      </w:pPr>
      <w:r w:rsidRPr="00884DD1">
        <w:rPr>
          <w:rFonts w:cs="Tahoma"/>
          <w:b/>
          <w:position w:val="-4"/>
          <w:sz w:val="24"/>
          <w:lang w:val="es-ES_tradnl"/>
        </w:rPr>
        <w:t>JULIÁN RIVERA LOAIZA</w:t>
      </w:r>
    </w:p>
    <w:p w14:paraId="66B97522" w14:textId="77777777" w:rsidR="00884DD1" w:rsidRPr="00884DD1" w:rsidRDefault="00884DD1" w:rsidP="00884DD1">
      <w:pPr>
        <w:spacing w:line="276" w:lineRule="auto"/>
        <w:jc w:val="center"/>
        <w:rPr>
          <w:rFonts w:cs="Tahoma"/>
          <w:position w:val="-4"/>
          <w:sz w:val="24"/>
          <w:lang w:val="es-ES_tradnl"/>
        </w:rPr>
      </w:pPr>
      <w:r w:rsidRPr="00884DD1">
        <w:rPr>
          <w:rFonts w:cs="Tahoma"/>
          <w:position w:val="-4"/>
          <w:sz w:val="24"/>
          <w:lang w:val="es-ES_tradnl"/>
        </w:rPr>
        <w:t xml:space="preserve">Magistrado </w:t>
      </w:r>
    </w:p>
    <w:p w14:paraId="73CF79C8" w14:textId="77777777" w:rsidR="00884DD1" w:rsidRPr="00884DD1" w:rsidRDefault="00884DD1" w:rsidP="00884DD1">
      <w:pPr>
        <w:spacing w:line="276" w:lineRule="auto"/>
        <w:rPr>
          <w:rFonts w:cs="Tahoma"/>
          <w:position w:val="-4"/>
          <w:sz w:val="24"/>
          <w:lang w:val="es-ES_tradnl"/>
        </w:rPr>
      </w:pPr>
    </w:p>
    <w:p w14:paraId="797FE517" w14:textId="77777777" w:rsidR="00884DD1" w:rsidRPr="00884DD1" w:rsidRDefault="00884DD1" w:rsidP="00884DD1">
      <w:pPr>
        <w:spacing w:line="276" w:lineRule="auto"/>
        <w:rPr>
          <w:rFonts w:cs="Tahoma"/>
          <w:position w:val="-4"/>
          <w:sz w:val="24"/>
          <w:lang w:val="es-ES_tradnl"/>
        </w:rPr>
      </w:pPr>
    </w:p>
    <w:p w14:paraId="3A8491E0" w14:textId="77777777" w:rsidR="00884DD1" w:rsidRPr="00884DD1" w:rsidRDefault="00884DD1" w:rsidP="00884DD1">
      <w:pPr>
        <w:spacing w:line="276" w:lineRule="auto"/>
        <w:rPr>
          <w:rFonts w:cs="Tahoma"/>
          <w:position w:val="-4"/>
          <w:sz w:val="24"/>
          <w:lang w:val="es-ES_tradnl"/>
        </w:rPr>
      </w:pPr>
    </w:p>
    <w:p w14:paraId="0ADD1538" w14:textId="77777777" w:rsidR="00884DD1" w:rsidRPr="00884DD1" w:rsidRDefault="00884DD1" w:rsidP="00884DD1">
      <w:pPr>
        <w:spacing w:line="276" w:lineRule="auto"/>
        <w:jc w:val="center"/>
        <w:rPr>
          <w:rFonts w:cs="Tahoma"/>
          <w:b/>
          <w:position w:val="-4"/>
          <w:sz w:val="24"/>
          <w:lang w:val="es-ES_tradnl"/>
        </w:rPr>
      </w:pPr>
      <w:r w:rsidRPr="00884DD1">
        <w:rPr>
          <w:rFonts w:cs="Tahoma"/>
          <w:b/>
          <w:position w:val="-4"/>
          <w:sz w:val="24"/>
          <w:lang w:val="es-ES_tradnl"/>
        </w:rPr>
        <w:t>MANUEL YARZAGARAY BANDERA</w:t>
      </w:r>
    </w:p>
    <w:p w14:paraId="260660E6" w14:textId="01559F6F" w:rsidR="001A0754" w:rsidRPr="00884DD1" w:rsidRDefault="00884DD1" w:rsidP="00884DD1">
      <w:pPr>
        <w:spacing w:line="276" w:lineRule="auto"/>
        <w:jc w:val="center"/>
        <w:rPr>
          <w:rFonts w:cs="Tahoma"/>
          <w:position w:val="-4"/>
          <w:sz w:val="24"/>
          <w:lang w:val="es-ES_tradnl"/>
        </w:rPr>
      </w:pPr>
      <w:r w:rsidRPr="00884DD1">
        <w:rPr>
          <w:rFonts w:cs="Tahoma"/>
          <w:position w:val="-4"/>
          <w:sz w:val="24"/>
          <w:lang w:val="es-ES_tradnl"/>
        </w:rPr>
        <w:t>Magistrado</w:t>
      </w:r>
      <w:bookmarkEnd w:id="2"/>
    </w:p>
    <w:sectPr w:rsidR="001A0754" w:rsidRPr="00884DD1" w:rsidSect="0084409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9456" w14:textId="77777777" w:rsidR="00CF2242" w:rsidRDefault="00CF2242">
      <w:r>
        <w:separator/>
      </w:r>
    </w:p>
  </w:endnote>
  <w:endnote w:type="continuationSeparator" w:id="0">
    <w:p w14:paraId="35ECFCB5" w14:textId="77777777" w:rsidR="00CF2242" w:rsidRDefault="00CF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9A7C" w14:textId="77777777" w:rsidR="00310094" w:rsidRPr="00844095" w:rsidRDefault="00310094" w:rsidP="00844095">
    <w:pPr>
      <w:pStyle w:val="Encabezado"/>
      <w:tabs>
        <w:tab w:val="clear" w:pos="8838"/>
        <w:tab w:val="right" w:pos="8505"/>
      </w:tabs>
      <w:spacing w:line="240" w:lineRule="auto"/>
      <w:jc w:val="right"/>
      <w:rPr>
        <w:rFonts w:ascii="Arial" w:hAnsi="Arial" w:cs="Arial"/>
        <w:sz w:val="18"/>
      </w:rPr>
    </w:pPr>
    <w:r w:rsidRPr="00844095">
      <w:rPr>
        <w:rFonts w:ascii="Arial" w:hAnsi="Arial" w:cs="Arial"/>
        <w:sz w:val="18"/>
      </w:rPr>
      <w:t xml:space="preserve">Página </w:t>
    </w:r>
    <w:r w:rsidRPr="00844095">
      <w:rPr>
        <w:rFonts w:ascii="Arial" w:hAnsi="Arial" w:cs="Arial"/>
        <w:sz w:val="18"/>
      </w:rPr>
      <w:fldChar w:fldCharType="begin"/>
    </w:r>
    <w:r w:rsidRPr="00844095">
      <w:rPr>
        <w:rFonts w:ascii="Arial" w:hAnsi="Arial" w:cs="Arial"/>
        <w:sz w:val="18"/>
      </w:rPr>
      <w:instrText xml:space="preserve"> PAGE </w:instrText>
    </w:r>
    <w:r w:rsidRPr="00844095">
      <w:rPr>
        <w:rFonts w:ascii="Arial" w:hAnsi="Arial" w:cs="Arial"/>
        <w:sz w:val="18"/>
      </w:rPr>
      <w:fldChar w:fldCharType="separate"/>
    </w:r>
    <w:r w:rsidR="0060028A" w:rsidRPr="00844095">
      <w:rPr>
        <w:rFonts w:ascii="Arial" w:hAnsi="Arial" w:cs="Arial"/>
        <w:sz w:val="18"/>
      </w:rPr>
      <w:t>13</w:t>
    </w:r>
    <w:r w:rsidRPr="00844095">
      <w:rPr>
        <w:rFonts w:ascii="Arial" w:hAnsi="Arial" w:cs="Arial"/>
        <w:sz w:val="18"/>
      </w:rPr>
      <w:fldChar w:fldCharType="end"/>
    </w:r>
    <w:r w:rsidRPr="00844095">
      <w:rPr>
        <w:rFonts w:ascii="Arial" w:hAnsi="Arial" w:cs="Arial"/>
        <w:sz w:val="18"/>
      </w:rPr>
      <w:t xml:space="preserve"> de </w:t>
    </w:r>
    <w:r w:rsidRPr="00844095">
      <w:rPr>
        <w:rFonts w:ascii="Arial" w:hAnsi="Arial" w:cs="Arial"/>
        <w:sz w:val="18"/>
      </w:rPr>
      <w:fldChar w:fldCharType="begin"/>
    </w:r>
    <w:r w:rsidRPr="00844095">
      <w:rPr>
        <w:rFonts w:ascii="Arial" w:hAnsi="Arial" w:cs="Arial"/>
        <w:sz w:val="18"/>
      </w:rPr>
      <w:instrText xml:space="preserve"> NUMPAGES </w:instrText>
    </w:r>
    <w:r w:rsidRPr="00844095">
      <w:rPr>
        <w:rFonts w:ascii="Arial" w:hAnsi="Arial" w:cs="Arial"/>
        <w:sz w:val="18"/>
      </w:rPr>
      <w:fldChar w:fldCharType="separate"/>
    </w:r>
    <w:r w:rsidR="0060028A" w:rsidRPr="00844095">
      <w:rPr>
        <w:rFonts w:ascii="Arial" w:hAnsi="Arial" w:cs="Arial"/>
        <w:sz w:val="18"/>
      </w:rPr>
      <w:t>13</w:t>
    </w:r>
    <w:r w:rsidRPr="00844095">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AE3B" w14:textId="77777777" w:rsidR="00CF2242" w:rsidRDefault="00CF2242">
      <w:r>
        <w:separator/>
      </w:r>
    </w:p>
  </w:footnote>
  <w:footnote w:type="continuationSeparator" w:id="0">
    <w:p w14:paraId="0AA40A58" w14:textId="77777777" w:rsidR="00CF2242" w:rsidRDefault="00CF2242">
      <w:r>
        <w:continuationSeparator/>
      </w:r>
    </w:p>
  </w:footnote>
  <w:footnote w:id="1">
    <w:p w14:paraId="007B443A" w14:textId="77777777" w:rsidR="00A075F1" w:rsidRPr="00844095" w:rsidRDefault="00A075F1" w:rsidP="00844095">
      <w:pPr>
        <w:pStyle w:val="Textonotapie"/>
        <w:rPr>
          <w:rFonts w:ascii="Arial" w:hAnsi="Arial" w:cs="Arial"/>
          <w:sz w:val="18"/>
        </w:rPr>
      </w:pPr>
      <w:r w:rsidRPr="00844095">
        <w:rPr>
          <w:rStyle w:val="Refdenotaalpie"/>
          <w:rFonts w:ascii="Arial" w:hAnsi="Arial" w:cs="Arial"/>
          <w:sz w:val="18"/>
        </w:rPr>
        <w:footnoteRef/>
      </w:r>
      <w:r w:rsidRPr="00844095">
        <w:rPr>
          <w:rFonts w:ascii="Arial" w:hAnsi="Arial" w:cs="Arial"/>
          <w:sz w:val="18"/>
        </w:rPr>
        <w:t xml:space="preserve"> En relación con la subsidiariedad de la acción de tutela pueden consultarse, entre otras, las sentencias T-297/97, M.P. Antonio Barrera Carbonell, T-449/98, M.P. Alfredo Beltrán Sierra y T-300/04, M.P. Eduardo Montealegre Lynett. </w:t>
      </w:r>
    </w:p>
  </w:footnote>
  <w:footnote w:id="2">
    <w:p w14:paraId="13F523B7" w14:textId="77777777" w:rsidR="00A075F1" w:rsidRPr="00844095" w:rsidRDefault="00A075F1" w:rsidP="00844095">
      <w:pPr>
        <w:pStyle w:val="Textonotapie"/>
        <w:rPr>
          <w:rFonts w:ascii="Arial" w:hAnsi="Arial" w:cs="Arial"/>
          <w:sz w:val="18"/>
        </w:rPr>
      </w:pPr>
      <w:r w:rsidRPr="00844095">
        <w:rPr>
          <w:rFonts w:ascii="Arial" w:hAnsi="Arial" w:cs="Arial"/>
          <w:sz w:val="18"/>
          <w:vertAlign w:val="superscript"/>
        </w:rPr>
        <w:footnoteRef/>
      </w:r>
      <w:r w:rsidRPr="00844095">
        <w:rPr>
          <w:rFonts w:ascii="Arial" w:hAnsi="Arial" w:cs="Arial"/>
          <w:sz w:val="18"/>
        </w:rPr>
        <w:t xml:space="preserve"> Sentencias T-315 de 2005.</w:t>
      </w:r>
    </w:p>
  </w:footnote>
  <w:footnote w:id="3">
    <w:p w14:paraId="7FEEA487" w14:textId="2536A6A9" w:rsidR="00537439" w:rsidRPr="00844095" w:rsidRDefault="00537439" w:rsidP="00844095">
      <w:pPr>
        <w:pStyle w:val="Textonotapie"/>
        <w:rPr>
          <w:rFonts w:ascii="Arial" w:hAnsi="Arial" w:cs="Arial"/>
          <w:sz w:val="18"/>
        </w:rPr>
      </w:pPr>
      <w:r w:rsidRPr="00844095">
        <w:rPr>
          <w:rFonts w:ascii="Arial" w:hAnsi="Arial" w:cs="Arial"/>
          <w:sz w:val="18"/>
          <w:vertAlign w:val="superscript"/>
        </w:rPr>
        <w:footnoteRef/>
      </w:r>
      <w:r w:rsidRPr="00844095">
        <w:rPr>
          <w:rFonts w:ascii="Arial" w:hAnsi="Arial" w:cs="Arial"/>
          <w:sz w:val="18"/>
        </w:rPr>
        <w:t xml:space="preserve"> CSJ STP, 12 nov. 2020, rad. 113193, reiterado en CSJSTP, 21 ene. 2021, rad. 114177.</w:t>
      </w:r>
    </w:p>
  </w:footnote>
  <w:footnote w:id="4">
    <w:p w14:paraId="5F5827F2" w14:textId="2CE34222" w:rsidR="006D70C5" w:rsidRPr="00844095" w:rsidRDefault="006D70C5" w:rsidP="00844095">
      <w:pPr>
        <w:pStyle w:val="Textonotapie"/>
        <w:rPr>
          <w:rFonts w:ascii="Arial" w:hAnsi="Arial" w:cs="Arial"/>
          <w:sz w:val="18"/>
        </w:rPr>
      </w:pPr>
      <w:r w:rsidRPr="00844095">
        <w:rPr>
          <w:rFonts w:ascii="Arial" w:hAnsi="Arial" w:cs="Arial"/>
          <w:sz w:val="18"/>
          <w:vertAlign w:val="superscript"/>
        </w:rPr>
        <w:footnoteRef/>
      </w:r>
      <w:r w:rsidRPr="00844095">
        <w:rPr>
          <w:rFonts w:ascii="Arial" w:hAnsi="Arial" w:cs="Arial"/>
          <w:sz w:val="18"/>
        </w:rPr>
        <w:t xml:space="preserve"> Véase entre otras </w:t>
      </w:r>
      <w:r w:rsidR="009C0FCD" w:rsidRPr="00844095">
        <w:rPr>
          <w:rFonts w:ascii="Arial" w:hAnsi="Arial" w:cs="Arial"/>
          <w:sz w:val="18"/>
        </w:rPr>
        <w:t>la sentencia SU-332 de 2019</w:t>
      </w:r>
      <w:r w:rsidRPr="00844095">
        <w:rPr>
          <w:rFonts w:ascii="Arial" w:hAnsi="Arial" w:cs="Arial"/>
          <w:sz w:val="18"/>
        </w:rPr>
        <w:t>.</w:t>
      </w:r>
    </w:p>
  </w:footnote>
  <w:footnote w:id="5">
    <w:p w14:paraId="7D2ECD51" w14:textId="03889CD7" w:rsidR="00C271BB" w:rsidRPr="00844095" w:rsidRDefault="00C271BB" w:rsidP="00844095">
      <w:pPr>
        <w:pStyle w:val="Textonotapie"/>
        <w:rPr>
          <w:rFonts w:ascii="Arial" w:hAnsi="Arial" w:cs="Arial"/>
          <w:sz w:val="18"/>
        </w:rPr>
      </w:pPr>
      <w:r w:rsidRPr="00844095">
        <w:rPr>
          <w:rFonts w:ascii="Arial" w:hAnsi="Arial" w:cs="Arial"/>
          <w:sz w:val="18"/>
          <w:vertAlign w:val="superscript"/>
        </w:rPr>
        <w:footnoteRef/>
      </w:r>
      <w:r w:rsidRPr="00844095">
        <w:rPr>
          <w:rFonts w:ascii="Arial" w:hAnsi="Arial" w:cs="Arial"/>
          <w:sz w:val="18"/>
        </w:rPr>
        <w:t xml:space="preserve"> CC, T-275 de 1994.</w:t>
      </w:r>
    </w:p>
  </w:footnote>
  <w:footnote w:id="6">
    <w:p w14:paraId="33AF4B62" w14:textId="2CF038AB" w:rsidR="00C271BB" w:rsidRPr="00844095" w:rsidRDefault="00C271BB" w:rsidP="00844095">
      <w:pPr>
        <w:pStyle w:val="Textonotapie"/>
        <w:rPr>
          <w:rFonts w:ascii="Arial" w:hAnsi="Arial" w:cs="Arial"/>
          <w:sz w:val="18"/>
        </w:rPr>
      </w:pPr>
      <w:r w:rsidRPr="00844095">
        <w:rPr>
          <w:rFonts w:ascii="Arial" w:hAnsi="Arial" w:cs="Arial"/>
          <w:sz w:val="18"/>
          <w:vertAlign w:val="superscript"/>
        </w:rPr>
        <w:footnoteRef/>
      </w:r>
      <w:r w:rsidRPr="00844095">
        <w:rPr>
          <w:rFonts w:ascii="Arial" w:hAnsi="Arial" w:cs="Arial"/>
          <w:sz w:val="18"/>
        </w:rPr>
        <w:t xml:space="preserve"> CSJ AP, 30 mar. 2016, rad. 47039.</w:t>
      </w:r>
    </w:p>
  </w:footnote>
  <w:footnote w:id="7">
    <w:p w14:paraId="54ACA5DD" w14:textId="207CC65D" w:rsidR="008A350E" w:rsidRDefault="008A350E" w:rsidP="00844095">
      <w:pPr>
        <w:pStyle w:val="Textonotapie"/>
      </w:pPr>
      <w:r w:rsidRPr="00844095">
        <w:rPr>
          <w:rFonts w:ascii="Arial" w:hAnsi="Arial" w:cs="Arial"/>
          <w:sz w:val="18"/>
          <w:vertAlign w:val="superscript"/>
        </w:rPr>
        <w:footnoteRef/>
      </w:r>
      <w:r w:rsidRPr="00844095">
        <w:rPr>
          <w:rFonts w:ascii="Arial" w:hAnsi="Arial" w:cs="Arial"/>
          <w:sz w:val="18"/>
        </w:rPr>
        <w:t xml:space="preserve"> CSJ STO, 18 jun. 2015, rad. 80294.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5FA2" w14:textId="43196C3F" w:rsidR="00310094" w:rsidRPr="00844095" w:rsidRDefault="00844095" w:rsidP="00844095">
    <w:pPr>
      <w:pStyle w:val="Encabezado"/>
      <w:tabs>
        <w:tab w:val="clear" w:pos="8838"/>
        <w:tab w:val="right" w:pos="8505"/>
      </w:tabs>
      <w:spacing w:line="240" w:lineRule="auto"/>
      <w:jc w:val="right"/>
      <w:rPr>
        <w:rFonts w:ascii="Arial" w:hAnsi="Arial" w:cs="Arial"/>
        <w:sz w:val="18"/>
      </w:rPr>
    </w:pPr>
    <w:r w:rsidRPr="00844095">
      <w:rPr>
        <w:rFonts w:ascii="Arial" w:hAnsi="Arial" w:cs="Arial"/>
        <w:sz w:val="18"/>
      </w:rPr>
      <w:t xml:space="preserve">Sentencia de tutela </w:t>
    </w:r>
    <w:r w:rsidR="00310094" w:rsidRPr="00844095">
      <w:rPr>
        <w:rFonts w:ascii="Arial" w:hAnsi="Arial" w:cs="Arial"/>
        <w:sz w:val="18"/>
      </w:rPr>
      <w:t xml:space="preserve">1ª </w:t>
    </w:r>
    <w:r w:rsidRPr="00844095">
      <w:rPr>
        <w:rFonts w:ascii="Arial" w:hAnsi="Arial" w:cs="Arial"/>
        <w:sz w:val="18"/>
      </w:rPr>
      <w:t xml:space="preserve">instancia </w:t>
    </w:r>
    <w:r w:rsidR="00310094" w:rsidRPr="00844095">
      <w:rPr>
        <w:rFonts w:ascii="Arial" w:hAnsi="Arial" w:cs="Arial"/>
        <w:sz w:val="18"/>
      </w:rPr>
      <w:t xml:space="preserve">N° </w:t>
    </w:r>
    <w:r w:rsidR="000A33AC" w:rsidRPr="00844095">
      <w:rPr>
        <w:rFonts w:ascii="Arial" w:hAnsi="Arial" w:cs="Arial"/>
        <w:sz w:val="18"/>
      </w:rPr>
      <w:t>018</w:t>
    </w:r>
  </w:p>
  <w:p w14:paraId="6E5592AE" w14:textId="2E9B3462" w:rsidR="00310094" w:rsidRPr="00844095" w:rsidRDefault="00844095" w:rsidP="00844095">
    <w:pPr>
      <w:pStyle w:val="Encabezado"/>
      <w:tabs>
        <w:tab w:val="clear" w:pos="8838"/>
        <w:tab w:val="right" w:pos="8505"/>
      </w:tabs>
      <w:spacing w:line="240" w:lineRule="auto"/>
      <w:jc w:val="right"/>
      <w:rPr>
        <w:rFonts w:ascii="Arial" w:hAnsi="Arial" w:cs="Arial"/>
        <w:sz w:val="18"/>
      </w:rPr>
    </w:pPr>
    <w:r w:rsidRPr="00844095">
      <w:rPr>
        <w:rFonts w:ascii="Arial" w:hAnsi="Arial" w:cs="Arial"/>
        <w:sz w:val="18"/>
      </w:rPr>
      <w:t>Radicación</w:t>
    </w:r>
    <w:r w:rsidR="00310094" w:rsidRPr="00844095">
      <w:rPr>
        <w:rFonts w:ascii="Arial" w:hAnsi="Arial" w:cs="Arial"/>
        <w:sz w:val="18"/>
      </w:rPr>
      <w:t xml:space="preserve">: </w:t>
    </w:r>
    <w:r w:rsidR="0058780C" w:rsidRPr="00844095">
      <w:rPr>
        <w:rFonts w:ascii="Arial" w:hAnsi="Arial" w:cs="Arial"/>
        <w:sz w:val="18"/>
      </w:rPr>
      <w:t>660012204000 202</w:t>
    </w:r>
    <w:r w:rsidR="00345E6C" w:rsidRPr="00844095">
      <w:rPr>
        <w:rFonts w:ascii="Arial" w:hAnsi="Arial" w:cs="Arial"/>
        <w:sz w:val="18"/>
      </w:rPr>
      <w:t>3</w:t>
    </w:r>
    <w:r w:rsidR="0058780C" w:rsidRPr="00844095">
      <w:rPr>
        <w:rFonts w:ascii="Arial" w:hAnsi="Arial" w:cs="Arial"/>
        <w:sz w:val="18"/>
      </w:rPr>
      <w:t xml:space="preserve"> 00</w:t>
    </w:r>
    <w:r w:rsidR="00F416C1" w:rsidRPr="00844095">
      <w:rPr>
        <w:rFonts w:ascii="Arial" w:hAnsi="Arial" w:cs="Arial"/>
        <w:sz w:val="18"/>
      </w:rPr>
      <w:t>0</w:t>
    </w:r>
    <w:r w:rsidR="00345E6C" w:rsidRPr="00844095">
      <w:rPr>
        <w:rFonts w:ascii="Arial" w:hAnsi="Arial" w:cs="Arial"/>
        <w:sz w:val="18"/>
      </w:rPr>
      <w:t>71</w:t>
    </w:r>
    <w:r w:rsidR="0058780C" w:rsidRPr="00844095">
      <w:rPr>
        <w:rFonts w:ascii="Arial" w:hAnsi="Arial" w:cs="Arial"/>
        <w:sz w:val="18"/>
      </w:rPr>
      <w:t xml:space="preserve"> 00</w:t>
    </w:r>
  </w:p>
  <w:p w14:paraId="63E90C54" w14:textId="56C0EBB2" w:rsidR="00310094" w:rsidRPr="00844095" w:rsidRDefault="00844095" w:rsidP="00844095">
    <w:pPr>
      <w:pStyle w:val="Encabezado"/>
      <w:tabs>
        <w:tab w:val="clear" w:pos="8838"/>
        <w:tab w:val="right" w:pos="8505"/>
      </w:tabs>
      <w:spacing w:line="240" w:lineRule="auto"/>
      <w:jc w:val="right"/>
      <w:rPr>
        <w:rFonts w:ascii="Arial" w:hAnsi="Arial" w:cs="Arial"/>
        <w:sz w:val="18"/>
      </w:rPr>
    </w:pPr>
    <w:r w:rsidRPr="00844095">
      <w:rPr>
        <w:rFonts w:ascii="Arial" w:hAnsi="Arial" w:cs="Arial"/>
        <w:sz w:val="18"/>
      </w:rPr>
      <w:t>Accionante</w:t>
    </w:r>
    <w:r w:rsidR="00310094" w:rsidRPr="00844095">
      <w:rPr>
        <w:rFonts w:ascii="Arial" w:hAnsi="Arial" w:cs="Arial"/>
        <w:sz w:val="18"/>
      </w:rPr>
      <w:t>:</w:t>
    </w:r>
    <w:r w:rsidRPr="00844095">
      <w:rPr>
        <w:rFonts w:ascii="Arial" w:hAnsi="Arial" w:cs="Arial"/>
        <w:sz w:val="18"/>
      </w:rPr>
      <w:t xml:space="preserve"> Andrés Felipe Vasco Londoño</w:t>
    </w:r>
  </w:p>
  <w:p w14:paraId="7E8ADABD" w14:textId="037702C3" w:rsidR="00310094" w:rsidRPr="00844095" w:rsidRDefault="00844095" w:rsidP="00844095">
    <w:pPr>
      <w:pStyle w:val="Encabezado"/>
      <w:tabs>
        <w:tab w:val="clear" w:pos="8838"/>
        <w:tab w:val="right" w:pos="8505"/>
      </w:tabs>
      <w:spacing w:line="240" w:lineRule="auto"/>
      <w:jc w:val="right"/>
      <w:rPr>
        <w:rFonts w:ascii="Arial" w:hAnsi="Arial" w:cs="Arial"/>
        <w:sz w:val="18"/>
      </w:rPr>
    </w:pPr>
    <w:r w:rsidRPr="00844095">
      <w:rPr>
        <w:rFonts w:ascii="Arial" w:hAnsi="Arial" w:cs="Arial"/>
        <w:sz w:val="18"/>
      </w:rPr>
      <w:t>Niega amparo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7F7"/>
    <w:multiLevelType w:val="multilevel"/>
    <w:tmpl w:val="F072E4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D6D1DA9"/>
    <w:multiLevelType w:val="hybridMultilevel"/>
    <w:tmpl w:val="DEE477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16D08"/>
    <w:multiLevelType w:val="multilevel"/>
    <w:tmpl w:val="FBBAB93C"/>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i w:val="0"/>
        <w:color w:val="auto"/>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F4C0B70"/>
    <w:multiLevelType w:val="singleLevel"/>
    <w:tmpl w:val="D8BC335C"/>
    <w:lvl w:ilvl="0">
      <w:start w:val="1"/>
      <w:numFmt w:val="decimal"/>
      <w:lvlText w:val="%1."/>
      <w:legacy w:legacy="1" w:legacySpace="120" w:legacyIndent="435"/>
      <w:lvlJc w:val="left"/>
      <w:pPr>
        <w:ind w:left="795" w:hanging="435"/>
      </w:pPr>
    </w:lvl>
  </w:abstractNum>
  <w:abstractNum w:abstractNumId="4" w15:restartNumberingAfterBreak="0">
    <w:nsid w:val="45FF1846"/>
    <w:multiLevelType w:val="hybridMultilevel"/>
    <w:tmpl w:val="24EE0DE4"/>
    <w:lvl w:ilvl="0" w:tplc="1CAEABF4">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6B2E87"/>
    <w:multiLevelType w:val="hybridMultilevel"/>
    <w:tmpl w:val="395E52B6"/>
    <w:lvl w:ilvl="0" w:tplc="CAB62FB2">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9F"/>
    <w:rsid w:val="0000015A"/>
    <w:rsid w:val="00000FB3"/>
    <w:rsid w:val="000022FE"/>
    <w:rsid w:val="0000431A"/>
    <w:rsid w:val="000104DA"/>
    <w:rsid w:val="000119BA"/>
    <w:rsid w:val="00017741"/>
    <w:rsid w:val="00026364"/>
    <w:rsid w:val="000264F4"/>
    <w:rsid w:val="0002715C"/>
    <w:rsid w:val="00030D90"/>
    <w:rsid w:val="00033EA8"/>
    <w:rsid w:val="00034617"/>
    <w:rsid w:val="00034A66"/>
    <w:rsid w:val="000370CD"/>
    <w:rsid w:val="00045BE2"/>
    <w:rsid w:val="00050277"/>
    <w:rsid w:val="00050C34"/>
    <w:rsid w:val="00051438"/>
    <w:rsid w:val="000518CE"/>
    <w:rsid w:val="00054B90"/>
    <w:rsid w:val="00056FD6"/>
    <w:rsid w:val="00061167"/>
    <w:rsid w:val="00062819"/>
    <w:rsid w:val="00064146"/>
    <w:rsid w:val="0006415A"/>
    <w:rsid w:val="000648B1"/>
    <w:rsid w:val="000712AC"/>
    <w:rsid w:val="00073DE3"/>
    <w:rsid w:val="00073EF3"/>
    <w:rsid w:val="0008297D"/>
    <w:rsid w:val="000849CA"/>
    <w:rsid w:val="000860E8"/>
    <w:rsid w:val="0008766B"/>
    <w:rsid w:val="000938B2"/>
    <w:rsid w:val="00094AB1"/>
    <w:rsid w:val="000956C1"/>
    <w:rsid w:val="00096C00"/>
    <w:rsid w:val="00096CF1"/>
    <w:rsid w:val="00096D9D"/>
    <w:rsid w:val="00097504"/>
    <w:rsid w:val="000A0D33"/>
    <w:rsid w:val="000A2590"/>
    <w:rsid w:val="000A27DA"/>
    <w:rsid w:val="000A33AC"/>
    <w:rsid w:val="000A5733"/>
    <w:rsid w:val="000A6A10"/>
    <w:rsid w:val="000B195A"/>
    <w:rsid w:val="000B2665"/>
    <w:rsid w:val="000B48BB"/>
    <w:rsid w:val="000B5E25"/>
    <w:rsid w:val="000B644D"/>
    <w:rsid w:val="000B6EE9"/>
    <w:rsid w:val="000B70BB"/>
    <w:rsid w:val="000C1BCD"/>
    <w:rsid w:val="000C22C3"/>
    <w:rsid w:val="000C2B5A"/>
    <w:rsid w:val="000C2EF0"/>
    <w:rsid w:val="000C385E"/>
    <w:rsid w:val="000C56E7"/>
    <w:rsid w:val="000C64B2"/>
    <w:rsid w:val="000C6E2D"/>
    <w:rsid w:val="000D087E"/>
    <w:rsid w:val="000D3550"/>
    <w:rsid w:val="000D57A4"/>
    <w:rsid w:val="000E0538"/>
    <w:rsid w:val="000E10C1"/>
    <w:rsid w:val="000E1BC5"/>
    <w:rsid w:val="000E26C0"/>
    <w:rsid w:val="000E4362"/>
    <w:rsid w:val="000E69E7"/>
    <w:rsid w:val="000F0804"/>
    <w:rsid w:val="000F0BB4"/>
    <w:rsid w:val="000F1975"/>
    <w:rsid w:val="000F1A7D"/>
    <w:rsid w:val="000F2D87"/>
    <w:rsid w:val="000F4766"/>
    <w:rsid w:val="000F7E72"/>
    <w:rsid w:val="0010023F"/>
    <w:rsid w:val="00103CAD"/>
    <w:rsid w:val="00103FA6"/>
    <w:rsid w:val="00106B39"/>
    <w:rsid w:val="001078CF"/>
    <w:rsid w:val="00107B62"/>
    <w:rsid w:val="00110BDB"/>
    <w:rsid w:val="00111A5A"/>
    <w:rsid w:val="0011422C"/>
    <w:rsid w:val="00114D5D"/>
    <w:rsid w:val="00120120"/>
    <w:rsid w:val="001220BD"/>
    <w:rsid w:val="001220C1"/>
    <w:rsid w:val="00122C56"/>
    <w:rsid w:val="00127305"/>
    <w:rsid w:val="00127618"/>
    <w:rsid w:val="00130B4A"/>
    <w:rsid w:val="001315C6"/>
    <w:rsid w:val="001345B6"/>
    <w:rsid w:val="001376DB"/>
    <w:rsid w:val="00141EAD"/>
    <w:rsid w:val="001437DC"/>
    <w:rsid w:val="0015059E"/>
    <w:rsid w:val="00151FAC"/>
    <w:rsid w:val="001536E1"/>
    <w:rsid w:val="00153857"/>
    <w:rsid w:val="001562DF"/>
    <w:rsid w:val="00157ECC"/>
    <w:rsid w:val="00160E6E"/>
    <w:rsid w:val="00162E90"/>
    <w:rsid w:val="00163F05"/>
    <w:rsid w:val="00164D5A"/>
    <w:rsid w:val="00166091"/>
    <w:rsid w:val="00170048"/>
    <w:rsid w:val="001700FB"/>
    <w:rsid w:val="001711D4"/>
    <w:rsid w:val="001726D3"/>
    <w:rsid w:val="00172D67"/>
    <w:rsid w:val="00175306"/>
    <w:rsid w:val="00175C9D"/>
    <w:rsid w:val="001762AA"/>
    <w:rsid w:val="001807F6"/>
    <w:rsid w:val="00180F31"/>
    <w:rsid w:val="001812D6"/>
    <w:rsid w:val="001817B9"/>
    <w:rsid w:val="0018215B"/>
    <w:rsid w:val="00183749"/>
    <w:rsid w:val="00184007"/>
    <w:rsid w:val="00191DD6"/>
    <w:rsid w:val="001931DF"/>
    <w:rsid w:val="0019528B"/>
    <w:rsid w:val="00196FB1"/>
    <w:rsid w:val="001A02D7"/>
    <w:rsid w:val="001A0754"/>
    <w:rsid w:val="001A089A"/>
    <w:rsid w:val="001A0C86"/>
    <w:rsid w:val="001A0FC4"/>
    <w:rsid w:val="001A29C2"/>
    <w:rsid w:val="001A77EE"/>
    <w:rsid w:val="001A7D5F"/>
    <w:rsid w:val="001B0F40"/>
    <w:rsid w:val="001B35F1"/>
    <w:rsid w:val="001B4CA4"/>
    <w:rsid w:val="001B5334"/>
    <w:rsid w:val="001B5EC8"/>
    <w:rsid w:val="001B6319"/>
    <w:rsid w:val="001B7BDF"/>
    <w:rsid w:val="001C0C0B"/>
    <w:rsid w:val="001C1D7E"/>
    <w:rsid w:val="001C1F28"/>
    <w:rsid w:val="001C2E37"/>
    <w:rsid w:val="001C2F9C"/>
    <w:rsid w:val="001C5149"/>
    <w:rsid w:val="001C60A5"/>
    <w:rsid w:val="001D432B"/>
    <w:rsid w:val="001D4CDA"/>
    <w:rsid w:val="001D4D5F"/>
    <w:rsid w:val="001D6258"/>
    <w:rsid w:val="001D6F24"/>
    <w:rsid w:val="001E38EA"/>
    <w:rsid w:val="001E4A7B"/>
    <w:rsid w:val="001E64FE"/>
    <w:rsid w:val="001E6784"/>
    <w:rsid w:val="001E70EE"/>
    <w:rsid w:val="001E7A89"/>
    <w:rsid w:val="001E7C57"/>
    <w:rsid w:val="001F0A15"/>
    <w:rsid w:val="001F29A8"/>
    <w:rsid w:val="001F2C10"/>
    <w:rsid w:val="001F3CE6"/>
    <w:rsid w:val="001F4214"/>
    <w:rsid w:val="001F5C6B"/>
    <w:rsid w:val="001F60BC"/>
    <w:rsid w:val="001F7C69"/>
    <w:rsid w:val="0021078E"/>
    <w:rsid w:val="00211463"/>
    <w:rsid w:val="002131C7"/>
    <w:rsid w:val="00214FDC"/>
    <w:rsid w:val="002161F7"/>
    <w:rsid w:val="00216C8E"/>
    <w:rsid w:val="0022159B"/>
    <w:rsid w:val="0022281D"/>
    <w:rsid w:val="00222EA6"/>
    <w:rsid w:val="002233B1"/>
    <w:rsid w:val="0022535A"/>
    <w:rsid w:val="002254DA"/>
    <w:rsid w:val="00230AD4"/>
    <w:rsid w:val="00237617"/>
    <w:rsid w:val="0023794F"/>
    <w:rsid w:val="002408B4"/>
    <w:rsid w:val="00241499"/>
    <w:rsid w:val="00241661"/>
    <w:rsid w:val="00242081"/>
    <w:rsid w:val="00243365"/>
    <w:rsid w:val="00244284"/>
    <w:rsid w:val="00246A5B"/>
    <w:rsid w:val="00247736"/>
    <w:rsid w:val="00253A42"/>
    <w:rsid w:val="00254BC6"/>
    <w:rsid w:val="00255B57"/>
    <w:rsid w:val="00256B54"/>
    <w:rsid w:val="002629EA"/>
    <w:rsid w:val="00262BE9"/>
    <w:rsid w:val="00263691"/>
    <w:rsid w:val="00263ED6"/>
    <w:rsid w:val="0026436C"/>
    <w:rsid w:val="00264415"/>
    <w:rsid w:val="0026574F"/>
    <w:rsid w:val="00266CA4"/>
    <w:rsid w:val="002677F1"/>
    <w:rsid w:val="00267C8D"/>
    <w:rsid w:val="00267D13"/>
    <w:rsid w:val="00267E45"/>
    <w:rsid w:val="00273B1A"/>
    <w:rsid w:val="002749BE"/>
    <w:rsid w:val="00280055"/>
    <w:rsid w:val="002811B8"/>
    <w:rsid w:val="002816DC"/>
    <w:rsid w:val="00281D7F"/>
    <w:rsid w:val="002823AB"/>
    <w:rsid w:val="00284A2F"/>
    <w:rsid w:val="00285CD9"/>
    <w:rsid w:val="002905F1"/>
    <w:rsid w:val="00295A0C"/>
    <w:rsid w:val="002A21C3"/>
    <w:rsid w:val="002A3931"/>
    <w:rsid w:val="002A6A24"/>
    <w:rsid w:val="002B2866"/>
    <w:rsid w:val="002B2D3D"/>
    <w:rsid w:val="002B66D6"/>
    <w:rsid w:val="002B738B"/>
    <w:rsid w:val="002C230A"/>
    <w:rsid w:val="002C7E45"/>
    <w:rsid w:val="002D1717"/>
    <w:rsid w:val="002D1CE1"/>
    <w:rsid w:val="002D3007"/>
    <w:rsid w:val="002D55EB"/>
    <w:rsid w:val="002D71F7"/>
    <w:rsid w:val="002E1231"/>
    <w:rsid w:val="002E221B"/>
    <w:rsid w:val="002E5DD4"/>
    <w:rsid w:val="002E66AF"/>
    <w:rsid w:val="002F0636"/>
    <w:rsid w:val="002F09CF"/>
    <w:rsid w:val="002F11E0"/>
    <w:rsid w:val="002F32B5"/>
    <w:rsid w:val="002F5573"/>
    <w:rsid w:val="002F5EF2"/>
    <w:rsid w:val="002F60F2"/>
    <w:rsid w:val="00301D4E"/>
    <w:rsid w:val="0030332F"/>
    <w:rsid w:val="003044D7"/>
    <w:rsid w:val="0030466E"/>
    <w:rsid w:val="003062A1"/>
    <w:rsid w:val="003069F1"/>
    <w:rsid w:val="00306BD8"/>
    <w:rsid w:val="00310094"/>
    <w:rsid w:val="00311969"/>
    <w:rsid w:val="00312275"/>
    <w:rsid w:val="00312641"/>
    <w:rsid w:val="00314F8F"/>
    <w:rsid w:val="003154F0"/>
    <w:rsid w:val="00317457"/>
    <w:rsid w:val="00320FD0"/>
    <w:rsid w:val="003210BB"/>
    <w:rsid w:val="00321D6B"/>
    <w:rsid w:val="00322DB4"/>
    <w:rsid w:val="00323F02"/>
    <w:rsid w:val="0033172C"/>
    <w:rsid w:val="00332596"/>
    <w:rsid w:val="00332919"/>
    <w:rsid w:val="00337707"/>
    <w:rsid w:val="003412D7"/>
    <w:rsid w:val="003431F3"/>
    <w:rsid w:val="0034501A"/>
    <w:rsid w:val="00345E6C"/>
    <w:rsid w:val="00346FD5"/>
    <w:rsid w:val="00350F0E"/>
    <w:rsid w:val="003521ED"/>
    <w:rsid w:val="00353F1B"/>
    <w:rsid w:val="003543FF"/>
    <w:rsid w:val="003546D7"/>
    <w:rsid w:val="00356D46"/>
    <w:rsid w:val="00356D6A"/>
    <w:rsid w:val="00363761"/>
    <w:rsid w:val="00365EEA"/>
    <w:rsid w:val="003677C9"/>
    <w:rsid w:val="003702F4"/>
    <w:rsid w:val="00370F41"/>
    <w:rsid w:val="00371752"/>
    <w:rsid w:val="00372745"/>
    <w:rsid w:val="0037308A"/>
    <w:rsid w:val="00375D5D"/>
    <w:rsid w:val="00375E41"/>
    <w:rsid w:val="00376038"/>
    <w:rsid w:val="00376BF4"/>
    <w:rsid w:val="0037743F"/>
    <w:rsid w:val="00380269"/>
    <w:rsid w:val="00380E85"/>
    <w:rsid w:val="0038229E"/>
    <w:rsid w:val="003838B0"/>
    <w:rsid w:val="00383F50"/>
    <w:rsid w:val="0038522D"/>
    <w:rsid w:val="003860BC"/>
    <w:rsid w:val="00386996"/>
    <w:rsid w:val="003879D2"/>
    <w:rsid w:val="00390F3A"/>
    <w:rsid w:val="00392163"/>
    <w:rsid w:val="00392252"/>
    <w:rsid w:val="00393208"/>
    <w:rsid w:val="003958EE"/>
    <w:rsid w:val="00396A4A"/>
    <w:rsid w:val="003A08D5"/>
    <w:rsid w:val="003A17E8"/>
    <w:rsid w:val="003A1FFB"/>
    <w:rsid w:val="003A3560"/>
    <w:rsid w:val="003A3738"/>
    <w:rsid w:val="003A3757"/>
    <w:rsid w:val="003A3D87"/>
    <w:rsid w:val="003A53E2"/>
    <w:rsid w:val="003A6BA4"/>
    <w:rsid w:val="003B008E"/>
    <w:rsid w:val="003B17E2"/>
    <w:rsid w:val="003B2100"/>
    <w:rsid w:val="003B2445"/>
    <w:rsid w:val="003B74BF"/>
    <w:rsid w:val="003B7621"/>
    <w:rsid w:val="003B7F49"/>
    <w:rsid w:val="003C06F8"/>
    <w:rsid w:val="003C097D"/>
    <w:rsid w:val="003C256E"/>
    <w:rsid w:val="003C36EF"/>
    <w:rsid w:val="003C3889"/>
    <w:rsid w:val="003C6980"/>
    <w:rsid w:val="003C69DC"/>
    <w:rsid w:val="003C7476"/>
    <w:rsid w:val="003D0DC6"/>
    <w:rsid w:val="003D14AA"/>
    <w:rsid w:val="003D2530"/>
    <w:rsid w:val="003D37DE"/>
    <w:rsid w:val="003D3F86"/>
    <w:rsid w:val="003D5D34"/>
    <w:rsid w:val="003D6D6E"/>
    <w:rsid w:val="003E05B7"/>
    <w:rsid w:val="003E09AF"/>
    <w:rsid w:val="003E20CA"/>
    <w:rsid w:val="003E2608"/>
    <w:rsid w:val="003E3753"/>
    <w:rsid w:val="003E4917"/>
    <w:rsid w:val="003E64DD"/>
    <w:rsid w:val="003E7687"/>
    <w:rsid w:val="003F0B8C"/>
    <w:rsid w:val="003F5546"/>
    <w:rsid w:val="003F7699"/>
    <w:rsid w:val="003F7C8C"/>
    <w:rsid w:val="0040306D"/>
    <w:rsid w:val="00403EA1"/>
    <w:rsid w:val="004078AD"/>
    <w:rsid w:val="0041021A"/>
    <w:rsid w:val="00410229"/>
    <w:rsid w:val="00410E71"/>
    <w:rsid w:val="00413AB4"/>
    <w:rsid w:val="004220EE"/>
    <w:rsid w:val="00423851"/>
    <w:rsid w:val="0042436C"/>
    <w:rsid w:val="00424F77"/>
    <w:rsid w:val="0043157D"/>
    <w:rsid w:val="0043264A"/>
    <w:rsid w:val="00434DE9"/>
    <w:rsid w:val="00441E90"/>
    <w:rsid w:val="00442046"/>
    <w:rsid w:val="00442FF2"/>
    <w:rsid w:val="00444047"/>
    <w:rsid w:val="004450A3"/>
    <w:rsid w:val="004469B1"/>
    <w:rsid w:val="004500C0"/>
    <w:rsid w:val="0045296E"/>
    <w:rsid w:val="00453047"/>
    <w:rsid w:val="004534F9"/>
    <w:rsid w:val="0045376D"/>
    <w:rsid w:val="0045386D"/>
    <w:rsid w:val="0045435A"/>
    <w:rsid w:val="00454B67"/>
    <w:rsid w:val="00456914"/>
    <w:rsid w:val="00457144"/>
    <w:rsid w:val="0045766C"/>
    <w:rsid w:val="004612CF"/>
    <w:rsid w:val="00461597"/>
    <w:rsid w:val="00463AA3"/>
    <w:rsid w:val="00464DD0"/>
    <w:rsid w:val="004670D5"/>
    <w:rsid w:val="00467501"/>
    <w:rsid w:val="0047027F"/>
    <w:rsid w:val="004706D8"/>
    <w:rsid w:val="00470C81"/>
    <w:rsid w:val="004724E4"/>
    <w:rsid w:val="00472CA4"/>
    <w:rsid w:val="00474F95"/>
    <w:rsid w:val="004765F4"/>
    <w:rsid w:val="0047663B"/>
    <w:rsid w:val="00476CA3"/>
    <w:rsid w:val="00483A04"/>
    <w:rsid w:val="00484162"/>
    <w:rsid w:val="004841A1"/>
    <w:rsid w:val="00490164"/>
    <w:rsid w:val="004921BF"/>
    <w:rsid w:val="00493AF9"/>
    <w:rsid w:val="0049658A"/>
    <w:rsid w:val="00497382"/>
    <w:rsid w:val="004A295B"/>
    <w:rsid w:val="004A4006"/>
    <w:rsid w:val="004A5943"/>
    <w:rsid w:val="004B2F45"/>
    <w:rsid w:val="004B3BA9"/>
    <w:rsid w:val="004B7DCC"/>
    <w:rsid w:val="004C0250"/>
    <w:rsid w:val="004C22D4"/>
    <w:rsid w:val="004C3E69"/>
    <w:rsid w:val="004C402E"/>
    <w:rsid w:val="004C47FB"/>
    <w:rsid w:val="004C4E94"/>
    <w:rsid w:val="004C540A"/>
    <w:rsid w:val="004C7EE4"/>
    <w:rsid w:val="004D14C6"/>
    <w:rsid w:val="004D4CE6"/>
    <w:rsid w:val="004D649B"/>
    <w:rsid w:val="004E0D23"/>
    <w:rsid w:val="004E0ECD"/>
    <w:rsid w:val="004E189A"/>
    <w:rsid w:val="004E1F9C"/>
    <w:rsid w:val="004E2CDE"/>
    <w:rsid w:val="004E4944"/>
    <w:rsid w:val="004F0D7E"/>
    <w:rsid w:val="004F0EB2"/>
    <w:rsid w:val="004F1736"/>
    <w:rsid w:val="004F2A92"/>
    <w:rsid w:val="004F4720"/>
    <w:rsid w:val="004F5254"/>
    <w:rsid w:val="00500D70"/>
    <w:rsid w:val="00501F8A"/>
    <w:rsid w:val="00503DA8"/>
    <w:rsid w:val="00506D90"/>
    <w:rsid w:val="00507227"/>
    <w:rsid w:val="00513C1B"/>
    <w:rsid w:val="005142E5"/>
    <w:rsid w:val="00514D3F"/>
    <w:rsid w:val="00516FE4"/>
    <w:rsid w:val="00520900"/>
    <w:rsid w:val="00521951"/>
    <w:rsid w:val="0052285F"/>
    <w:rsid w:val="005242FA"/>
    <w:rsid w:val="00524E67"/>
    <w:rsid w:val="00525535"/>
    <w:rsid w:val="00526828"/>
    <w:rsid w:val="005272D3"/>
    <w:rsid w:val="00527666"/>
    <w:rsid w:val="00527E11"/>
    <w:rsid w:val="005311D6"/>
    <w:rsid w:val="00531D3A"/>
    <w:rsid w:val="00534943"/>
    <w:rsid w:val="00535A7D"/>
    <w:rsid w:val="00535A90"/>
    <w:rsid w:val="00537439"/>
    <w:rsid w:val="00537C1F"/>
    <w:rsid w:val="00540D19"/>
    <w:rsid w:val="00541161"/>
    <w:rsid w:val="00541255"/>
    <w:rsid w:val="005419AF"/>
    <w:rsid w:val="00542FF8"/>
    <w:rsid w:val="005473D6"/>
    <w:rsid w:val="00550230"/>
    <w:rsid w:val="00550677"/>
    <w:rsid w:val="00552B87"/>
    <w:rsid w:val="00553CC2"/>
    <w:rsid w:val="0055480C"/>
    <w:rsid w:val="00556619"/>
    <w:rsid w:val="00557710"/>
    <w:rsid w:val="00561016"/>
    <w:rsid w:val="00561B06"/>
    <w:rsid w:val="00563960"/>
    <w:rsid w:val="0056409F"/>
    <w:rsid w:val="005642E0"/>
    <w:rsid w:val="00564626"/>
    <w:rsid w:val="00566AAA"/>
    <w:rsid w:val="005670D3"/>
    <w:rsid w:val="005671F2"/>
    <w:rsid w:val="00570828"/>
    <w:rsid w:val="0057083B"/>
    <w:rsid w:val="005708F0"/>
    <w:rsid w:val="00572AA3"/>
    <w:rsid w:val="00575DAD"/>
    <w:rsid w:val="00577124"/>
    <w:rsid w:val="005820C2"/>
    <w:rsid w:val="0058253C"/>
    <w:rsid w:val="00583018"/>
    <w:rsid w:val="005830FF"/>
    <w:rsid w:val="0058780C"/>
    <w:rsid w:val="00593172"/>
    <w:rsid w:val="00596173"/>
    <w:rsid w:val="00596B87"/>
    <w:rsid w:val="005A099A"/>
    <w:rsid w:val="005A21E3"/>
    <w:rsid w:val="005A25DD"/>
    <w:rsid w:val="005A27D6"/>
    <w:rsid w:val="005A3449"/>
    <w:rsid w:val="005A3F41"/>
    <w:rsid w:val="005A45FE"/>
    <w:rsid w:val="005A4889"/>
    <w:rsid w:val="005A6168"/>
    <w:rsid w:val="005A64F9"/>
    <w:rsid w:val="005A78B9"/>
    <w:rsid w:val="005A792F"/>
    <w:rsid w:val="005B5A8C"/>
    <w:rsid w:val="005B698A"/>
    <w:rsid w:val="005C2A56"/>
    <w:rsid w:val="005C65E3"/>
    <w:rsid w:val="005C7371"/>
    <w:rsid w:val="005C7748"/>
    <w:rsid w:val="005D0AF1"/>
    <w:rsid w:val="005D551F"/>
    <w:rsid w:val="005D7A16"/>
    <w:rsid w:val="005E0E8A"/>
    <w:rsid w:val="005E2E54"/>
    <w:rsid w:val="005E31E3"/>
    <w:rsid w:val="005E6683"/>
    <w:rsid w:val="005E782A"/>
    <w:rsid w:val="005F0BCC"/>
    <w:rsid w:val="005F0D8F"/>
    <w:rsid w:val="005F1693"/>
    <w:rsid w:val="005F3DBA"/>
    <w:rsid w:val="005F4500"/>
    <w:rsid w:val="005F4518"/>
    <w:rsid w:val="005F486B"/>
    <w:rsid w:val="005F4C43"/>
    <w:rsid w:val="005F4D9F"/>
    <w:rsid w:val="005F57ED"/>
    <w:rsid w:val="0060028A"/>
    <w:rsid w:val="006012E6"/>
    <w:rsid w:val="00601B76"/>
    <w:rsid w:val="00602567"/>
    <w:rsid w:val="00602763"/>
    <w:rsid w:val="00605DBE"/>
    <w:rsid w:val="00606D2A"/>
    <w:rsid w:val="00607AB7"/>
    <w:rsid w:val="00610070"/>
    <w:rsid w:val="00610203"/>
    <w:rsid w:val="00613DDA"/>
    <w:rsid w:val="00614C8A"/>
    <w:rsid w:val="00615593"/>
    <w:rsid w:val="00615612"/>
    <w:rsid w:val="006176EF"/>
    <w:rsid w:val="006240AE"/>
    <w:rsid w:val="006244FC"/>
    <w:rsid w:val="00625813"/>
    <w:rsid w:val="006263FA"/>
    <w:rsid w:val="0063350C"/>
    <w:rsid w:val="0063408E"/>
    <w:rsid w:val="0063478F"/>
    <w:rsid w:val="00635B03"/>
    <w:rsid w:val="00636704"/>
    <w:rsid w:val="006419F6"/>
    <w:rsid w:val="00645CA7"/>
    <w:rsid w:val="0064657F"/>
    <w:rsid w:val="00646C6A"/>
    <w:rsid w:val="00646F46"/>
    <w:rsid w:val="006503D8"/>
    <w:rsid w:val="00650803"/>
    <w:rsid w:val="00651468"/>
    <w:rsid w:val="00652606"/>
    <w:rsid w:val="00652EC9"/>
    <w:rsid w:val="00652EF7"/>
    <w:rsid w:val="00657E38"/>
    <w:rsid w:val="006640C7"/>
    <w:rsid w:val="006643F8"/>
    <w:rsid w:val="00664FC1"/>
    <w:rsid w:val="00666262"/>
    <w:rsid w:val="0066636F"/>
    <w:rsid w:val="00666923"/>
    <w:rsid w:val="00666EE1"/>
    <w:rsid w:val="00670D6F"/>
    <w:rsid w:val="00671A19"/>
    <w:rsid w:val="00671FFD"/>
    <w:rsid w:val="00672B7A"/>
    <w:rsid w:val="00673655"/>
    <w:rsid w:val="00673975"/>
    <w:rsid w:val="00673E29"/>
    <w:rsid w:val="00674B5E"/>
    <w:rsid w:val="00674E6D"/>
    <w:rsid w:val="00676910"/>
    <w:rsid w:val="00681D3B"/>
    <w:rsid w:val="00683C76"/>
    <w:rsid w:val="00685C8D"/>
    <w:rsid w:val="00686C3C"/>
    <w:rsid w:val="00692808"/>
    <w:rsid w:val="00694F68"/>
    <w:rsid w:val="006952E3"/>
    <w:rsid w:val="006A1659"/>
    <w:rsid w:val="006A16F4"/>
    <w:rsid w:val="006A4564"/>
    <w:rsid w:val="006A6641"/>
    <w:rsid w:val="006A7510"/>
    <w:rsid w:val="006B0960"/>
    <w:rsid w:val="006B0C82"/>
    <w:rsid w:val="006B0FF9"/>
    <w:rsid w:val="006B134C"/>
    <w:rsid w:val="006B1B55"/>
    <w:rsid w:val="006B42E9"/>
    <w:rsid w:val="006B591F"/>
    <w:rsid w:val="006B634F"/>
    <w:rsid w:val="006C11C1"/>
    <w:rsid w:val="006C18D9"/>
    <w:rsid w:val="006C252A"/>
    <w:rsid w:val="006C2D7A"/>
    <w:rsid w:val="006C3A25"/>
    <w:rsid w:val="006D29F5"/>
    <w:rsid w:val="006D4B19"/>
    <w:rsid w:val="006D4C60"/>
    <w:rsid w:val="006D5954"/>
    <w:rsid w:val="006D5DE2"/>
    <w:rsid w:val="006D6194"/>
    <w:rsid w:val="006D6CB4"/>
    <w:rsid w:val="006D70C5"/>
    <w:rsid w:val="006E12D4"/>
    <w:rsid w:val="006E57FE"/>
    <w:rsid w:val="006E6DF7"/>
    <w:rsid w:val="006F24FF"/>
    <w:rsid w:val="006F43C0"/>
    <w:rsid w:val="006F61DC"/>
    <w:rsid w:val="006F67B7"/>
    <w:rsid w:val="00700183"/>
    <w:rsid w:val="0070240D"/>
    <w:rsid w:val="00704F0F"/>
    <w:rsid w:val="0070591C"/>
    <w:rsid w:val="00706919"/>
    <w:rsid w:val="00706CD9"/>
    <w:rsid w:val="00707178"/>
    <w:rsid w:val="0070730A"/>
    <w:rsid w:val="0070740D"/>
    <w:rsid w:val="00707989"/>
    <w:rsid w:val="00707F95"/>
    <w:rsid w:val="00710B29"/>
    <w:rsid w:val="0071149C"/>
    <w:rsid w:val="00711973"/>
    <w:rsid w:val="007141D8"/>
    <w:rsid w:val="00716EA7"/>
    <w:rsid w:val="00721B74"/>
    <w:rsid w:val="007235CF"/>
    <w:rsid w:val="00723ACA"/>
    <w:rsid w:val="00727A02"/>
    <w:rsid w:val="00727B42"/>
    <w:rsid w:val="00732ACA"/>
    <w:rsid w:val="00732AFB"/>
    <w:rsid w:val="00732E12"/>
    <w:rsid w:val="00733375"/>
    <w:rsid w:val="007334F1"/>
    <w:rsid w:val="00733D46"/>
    <w:rsid w:val="007377B6"/>
    <w:rsid w:val="007438F1"/>
    <w:rsid w:val="0074443A"/>
    <w:rsid w:val="00745F85"/>
    <w:rsid w:val="00746509"/>
    <w:rsid w:val="00746CC9"/>
    <w:rsid w:val="00750855"/>
    <w:rsid w:val="007550E2"/>
    <w:rsid w:val="00755548"/>
    <w:rsid w:val="00755AD6"/>
    <w:rsid w:val="007562FF"/>
    <w:rsid w:val="0075638F"/>
    <w:rsid w:val="00756638"/>
    <w:rsid w:val="00756DF0"/>
    <w:rsid w:val="00757AFE"/>
    <w:rsid w:val="007609A4"/>
    <w:rsid w:val="00762264"/>
    <w:rsid w:val="00762D33"/>
    <w:rsid w:val="00764396"/>
    <w:rsid w:val="00764CF1"/>
    <w:rsid w:val="00765E3A"/>
    <w:rsid w:val="00766B28"/>
    <w:rsid w:val="00772F4A"/>
    <w:rsid w:val="00773498"/>
    <w:rsid w:val="00773E6A"/>
    <w:rsid w:val="007749AD"/>
    <w:rsid w:val="00776849"/>
    <w:rsid w:val="007772EB"/>
    <w:rsid w:val="007803F0"/>
    <w:rsid w:val="0078064C"/>
    <w:rsid w:val="00782406"/>
    <w:rsid w:val="00786D20"/>
    <w:rsid w:val="00796DE7"/>
    <w:rsid w:val="007A0AB3"/>
    <w:rsid w:val="007A16D2"/>
    <w:rsid w:val="007A3148"/>
    <w:rsid w:val="007A326A"/>
    <w:rsid w:val="007A6DEF"/>
    <w:rsid w:val="007B3581"/>
    <w:rsid w:val="007B407D"/>
    <w:rsid w:val="007B6827"/>
    <w:rsid w:val="007B712B"/>
    <w:rsid w:val="007B7555"/>
    <w:rsid w:val="007C0CFE"/>
    <w:rsid w:val="007C0F4E"/>
    <w:rsid w:val="007C28BC"/>
    <w:rsid w:val="007C4961"/>
    <w:rsid w:val="007C7C18"/>
    <w:rsid w:val="007D0319"/>
    <w:rsid w:val="007D1905"/>
    <w:rsid w:val="007D217E"/>
    <w:rsid w:val="007D507D"/>
    <w:rsid w:val="007D5B91"/>
    <w:rsid w:val="007D774E"/>
    <w:rsid w:val="007E0351"/>
    <w:rsid w:val="007E2619"/>
    <w:rsid w:val="007E2BFF"/>
    <w:rsid w:val="007E2CBE"/>
    <w:rsid w:val="007E4EA4"/>
    <w:rsid w:val="007E7628"/>
    <w:rsid w:val="007E79E3"/>
    <w:rsid w:val="007F3000"/>
    <w:rsid w:val="007F4146"/>
    <w:rsid w:val="00801FC5"/>
    <w:rsid w:val="00806204"/>
    <w:rsid w:val="008062B5"/>
    <w:rsid w:val="00813D35"/>
    <w:rsid w:val="008146C4"/>
    <w:rsid w:val="00814C04"/>
    <w:rsid w:val="00815164"/>
    <w:rsid w:val="008177EF"/>
    <w:rsid w:val="00821F18"/>
    <w:rsid w:val="0082201C"/>
    <w:rsid w:val="00822B53"/>
    <w:rsid w:val="00823613"/>
    <w:rsid w:val="00823B10"/>
    <w:rsid w:val="00824BED"/>
    <w:rsid w:val="00826A87"/>
    <w:rsid w:val="00827D0A"/>
    <w:rsid w:val="008300F4"/>
    <w:rsid w:val="00833DC3"/>
    <w:rsid w:val="00834846"/>
    <w:rsid w:val="0083730E"/>
    <w:rsid w:val="00840637"/>
    <w:rsid w:val="008418D3"/>
    <w:rsid w:val="00844095"/>
    <w:rsid w:val="008446EC"/>
    <w:rsid w:val="008473C2"/>
    <w:rsid w:val="00850826"/>
    <w:rsid w:val="0085159C"/>
    <w:rsid w:val="00851B72"/>
    <w:rsid w:val="00851F38"/>
    <w:rsid w:val="008531D2"/>
    <w:rsid w:val="00854F39"/>
    <w:rsid w:val="00855A10"/>
    <w:rsid w:val="00855D5A"/>
    <w:rsid w:val="008560E4"/>
    <w:rsid w:val="008561CF"/>
    <w:rsid w:val="00857AED"/>
    <w:rsid w:val="008608B3"/>
    <w:rsid w:val="00861EB7"/>
    <w:rsid w:val="00862B31"/>
    <w:rsid w:val="00863397"/>
    <w:rsid w:val="0086371A"/>
    <w:rsid w:val="00864253"/>
    <w:rsid w:val="0086443D"/>
    <w:rsid w:val="0086610B"/>
    <w:rsid w:val="0087110E"/>
    <w:rsid w:val="0087358D"/>
    <w:rsid w:val="0087556C"/>
    <w:rsid w:val="0087689B"/>
    <w:rsid w:val="00876F81"/>
    <w:rsid w:val="008806F1"/>
    <w:rsid w:val="0088339B"/>
    <w:rsid w:val="008834A2"/>
    <w:rsid w:val="00884DD1"/>
    <w:rsid w:val="0088660C"/>
    <w:rsid w:val="008874B0"/>
    <w:rsid w:val="00887581"/>
    <w:rsid w:val="0089008F"/>
    <w:rsid w:val="008903D1"/>
    <w:rsid w:val="0089332B"/>
    <w:rsid w:val="0089477E"/>
    <w:rsid w:val="00896DA1"/>
    <w:rsid w:val="00896EC2"/>
    <w:rsid w:val="00896F1D"/>
    <w:rsid w:val="008A1613"/>
    <w:rsid w:val="008A25CB"/>
    <w:rsid w:val="008A350E"/>
    <w:rsid w:val="008A4AE0"/>
    <w:rsid w:val="008A530D"/>
    <w:rsid w:val="008A6210"/>
    <w:rsid w:val="008A6772"/>
    <w:rsid w:val="008A7811"/>
    <w:rsid w:val="008B22DB"/>
    <w:rsid w:val="008B5D86"/>
    <w:rsid w:val="008B6F14"/>
    <w:rsid w:val="008C0313"/>
    <w:rsid w:val="008C078B"/>
    <w:rsid w:val="008C0F2B"/>
    <w:rsid w:val="008C162F"/>
    <w:rsid w:val="008C3194"/>
    <w:rsid w:val="008C499D"/>
    <w:rsid w:val="008C6141"/>
    <w:rsid w:val="008C7395"/>
    <w:rsid w:val="008D118E"/>
    <w:rsid w:val="008D19EA"/>
    <w:rsid w:val="008D1F61"/>
    <w:rsid w:val="008D2061"/>
    <w:rsid w:val="008D25CF"/>
    <w:rsid w:val="008D2899"/>
    <w:rsid w:val="008D47BA"/>
    <w:rsid w:val="008D5BB2"/>
    <w:rsid w:val="008D5E14"/>
    <w:rsid w:val="008E11CB"/>
    <w:rsid w:val="008E1212"/>
    <w:rsid w:val="008E181C"/>
    <w:rsid w:val="008E2050"/>
    <w:rsid w:val="008E2A9B"/>
    <w:rsid w:val="008E35F4"/>
    <w:rsid w:val="008E44F2"/>
    <w:rsid w:val="008E7195"/>
    <w:rsid w:val="008E71EC"/>
    <w:rsid w:val="008E73B3"/>
    <w:rsid w:val="008E7462"/>
    <w:rsid w:val="008E77DB"/>
    <w:rsid w:val="008E7837"/>
    <w:rsid w:val="008F10FD"/>
    <w:rsid w:val="008F1A15"/>
    <w:rsid w:val="008F389D"/>
    <w:rsid w:val="008F4738"/>
    <w:rsid w:val="008F78E4"/>
    <w:rsid w:val="00900BE1"/>
    <w:rsid w:val="0090158C"/>
    <w:rsid w:val="00901915"/>
    <w:rsid w:val="00902F68"/>
    <w:rsid w:val="0090332F"/>
    <w:rsid w:val="00904FFF"/>
    <w:rsid w:val="00905968"/>
    <w:rsid w:val="00906AE2"/>
    <w:rsid w:val="00912078"/>
    <w:rsid w:val="00913644"/>
    <w:rsid w:val="009142FD"/>
    <w:rsid w:val="00914736"/>
    <w:rsid w:val="009149C6"/>
    <w:rsid w:val="00915FC0"/>
    <w:rsid w:val="00920CBA"/>
    <w:rsid w:val="00923B96"/>
    <w:rsid w:val="00933B40"/>
    <w:rsid w:val="00933E2A"/>
    <w:rsid w:val="00934AB0"/>
    <w:rsid w:val="00935202"/>
    <w:rsid w:val="00936106"/>
    <w:rsid w:val="00936948"/>
    <w:rsid w:val="0093785D"/>
    <w:rsid w:val="00940C80"/>
    <w:rsid w:val="00941064"/>
    <w:rsid w:val="0094388B"/>
    <w:rsid w:val="00943E92"/>
    <w:rsid w:val="00944537"/>
    <w:rsid w:val="009452C4"/>
    <w:rsid w:val="00947553"/>
    <w:rsid w:val="00951011"/>
    <w:rsid w:val="0095439D"/>
    <w:rsid w:val="00954417"/>
    <w:rsid w:val="00955B20"/>
    <w:rsid w:val="00956C9C"/>
    <w:rsid w:val="00957AE2"/>
    <w:rsid w:val="0096051C"/>
    <w:rsid w:val="00960F32"/>
    <w:rsid w:val="00961294"/>
    <w:rsid w:val="00964A77"/>
    <w:rsid w:val="0096702F"/>
    <w:rsid w:val="00967A01"/>
    <w:rsid w:val="00967F90"/>
    <w:rsid w:val="00967FE7"/>
    <w:rsid w:val="00972565"/>
    <w:rsid w:val="0097346D"/>
    <w:rsid w:val="00973564"/>
    <w:rsid w:val="00974826"/>
    <w:rsid w:val="009749C0"/>
    <w:rsid w:val="00977D6E"/>
    <w:rsid w:val="0098123B"/>
    <w:rsid w:val="00982646"/>
    <w:rsid w:val="00983E24"/>
    <w:rsid w:val="00984BD5"/>
    <w:rsid w:val="00985B01"/>
    <w:rsid w:val="00985FA5"/>
    <w:rsid w:val="00987A58"/>
    <w:rsid w:val="00990692"/>
    <w:rsid w:val="00990E4D"/>
    <w:rsid w:val="00991AFD"/>
    <w:rsid w:val="00992BA2"/>
    <w:rsid w:val="00996A1C"/>
    <w:rsid w:val="009A0B3D"/>
    <w:rsid w:val="009A1124"/>
    <w:rsid w:val="009A13FE"/>
    <w:rsid w:val="009A2C97"/>
    <w:rsid w:val="009A2F00"/>
    <w:rsid w:val="009A6530"/>
    <w:rsid w:val="009A7680"/>
    <w:rsid w:val="009B058F"/>
    <w:rsid w:val="009B2A7B"/>
    <w:rsid w:val="009B6040"/>
    <w:rsid w:val="009C0FCD"/>
    <w:rsid w:val="009C469D"/>
    <w:rsid w:val="009C5C03"/>
    <w:rsid w:val="009C6099"/>
    <w:rsid w:val="009C6335"/>
    <w:rsid w:val="009C6CB9"/>
    <w:rsid w:val="009D0B46"/>
    <w:rsid w:val="009D0CA3"/>
    <w:rsid w:val="009D0D58"/>
    <w:rsid w:val="009D2521"/>
    <w:rsid w:val="009D3676"/>
    <w:rsid w:val="009D3EB2"/>
    <w:rsid w:val="009D3F4C"/>
    <w:rsid w:val="009D42D0"/>
    <w:rsid w:val="009D4688"/>
    <w:rsid w:val="009D4824"/>
    <w:rsid w:val="009D78BD"/>
    <w:rsid w:val="009D7F6F"/>
    <w:rsid w:val="009E193A"/>
    <w:rsid w:val="009E47B7"/>
    <w:rsid w:val="009E680F"/>
    <w:rsid w:val="009E6C89"/>
    <w:rsid w:val="009F07C4"/>
    <w:rsid w:val="009F0CE7"/>
    <w:rsid w:val="009F2484"/>
    <w:rsid w:val="009F29B6"/>
    <w:rsid w:val="009F3325"/>
    <w:rsid w:val="009F3E67"/>
    <w:rsid w:val="009F6FAC"/>
    <w:rsid w:val="00A00A8D"/>
    <w:rsid w:val="00A00AE9"/>
    <w:rsid w:val="00A01A1B"/>
    <w:rsid w:val="00A01F86"/>
    <w:rsid w:val="00A0249C"/>
    <w:rsid w:val="00A026C4"/>
    <w:rsid w:val="00A03154"/>
    <w:rsid w:val="00A03F04"/>
    <w:rsid w:val="00A0555D"/>
    <w:rsid w:val="00A05921"/>
    <w:rsid w:val="00A075F1"/>
    <w:rsid w:val="00A07FBA"/>
    <w:rsid w:val="00A10AC8"/>
    <w:rsid w:val="00A12936"/>
    <w:rsid w:val="00A13770"/>
    <w:rsid w:val="00A14198"/>
    <w:rsid w:val="00A164CF"/>
    <w:rsid w:val="00A16C74"/>
    <w:rsid w:val="00A1769D"/>
    <w:rsid w:val="00A21E8A"/>
    <w:rsid w:val="00A21FDE"/>
    <w:rsid w:val="00A22658"/>
    <w:rsid w:val="00A23DF7"/>
    <w:rsid w:val="00A25F17"/>
    <w:rsid w:val="00A267FA"/>
    <w:rsid w:val="00A30D68"/>
    <w:rsid w:val="00A310F1"/>
    <w:rsid w:val="00A3111F"/>
    <w:rsid w:val="00A3210F"/>
    <w:rsid w:val="00A336D9"/>
    <w:rsid w:val="00A35B66"/>
    <w:rsid w:val="00A35C7E"/>
    <w:rsid w:val="00A41A08"/>
    <w:rsid w:val="00A41F62"/>
    <w:rsid w:val="00A44986"/>
    <w:rsid w:val="00A44ACD"/>
    <w:rsid w:val="00A47CAD"/>
    <w:rsid w:val="00A5217A"/>
    <w:rsid w:val="00A5251C"/>
    <w:rsid w:val="00A52A32"/>
    <w:rsid w:val="00A52C22"/>
    <w:rsid w:val="00A535E4"/>
    <w:rsid w:val="00A56FE9"/>
    <w:rsid w:val="00A611EC"/>
    <w:rsid w:val="00A616C0"/>
    <w:rsid w:val="00A62734"/>
    <w:rsid w:val="00A63D69"/>
    <w:rsid w:val="00A6410A"/>
    <w:rsid w:val="00A650F8"/>
    <w:rsid w:val="00A67845"/>
    <w:rsid w:val="00A67A7B"/>
    <w:rsid w:val="00A722FF"/>
    <w:rsid w:val="00A72E6E"/>
    <w:rsid w:val="00A7421B"/>
    <w:rsid w:val="00A742BF"/>
    <w:rsid w:val="00A7525B"/>
    <w:rsid w:val="00A828E3"/>
    <w:rsid w:val="00A842BC"/>
    <w:rsid w:val="00A85CE0"/>
    <w:rsid w:val="00A86592"/>
    <w:rsid w:val="00A86926"/>
    <w:rsid w:val="00A86C39"/>
    <w:rsid w:val="00A90BE3"/>
    <w:rsid w:val="00A92F66"/>
    <w:rsid w:val="00A93022"/>
    <w:rsid w:val="00A93992"/>
    <w:rsid w:val="00A966A1"/>
    <w:rsid w:val="00A96B9B"/>
    <w:rsid w:val="00A9797A"/>
    <w:rsid w:val="00A97DE3"/>
    <w:rsid w:val="00A97FE1"/>
    <w:rsid w:val="00AA0E41"/>
    <w:rsid w:val="00AA2829"/>
    <w:rsid w:val="00AA36FC"/>
    <w:rsid w:val="00AA587D"/>
    <w:rsid w:val="00AA736A"/>
    <w:rsid w:val="00AB14D3"/>
    <w:rsid w:val="00AB303A"/>
    <w:rsid w:val="00AB3A49"/>
    <w:rsid w:val="00AB667B"/>
    <w:rsid w:val="00AB7B29"/>
    <w:rsid w:val="00AB7B4A"/>
    <w:rsid w:val="00AC0086"/>
    <w:rsid w:val="00AC046C"/>
    <w:rsid w:val="00AC58C6"/>
    <w:rsid w:val="00AC7C46"/>
    <w:rsid w:val="00AD35C1"/>
    <w:rsid w:val="00AD67FF"/>
    <w:rsid w:val="00AE2136"/>
    <w:rsid w:val="00AE274F"/>
    <w:rsid w:val="00AE2852"/>
    <w:rsid w:val="00AE33C8"/>
    <w:rsid w:val="00AF2FC1"/>
    <w:rsid w:val="00AF6049"/>
    <w:rsid w:val="00AF6972"/>
    <w:rsid w:val="00B004EE"/>
    <w:rsid w:val="00B00E29"/>
    <w:rsid w:val="00B01545"/>
    <w:rsid w:val="00B03CC4"/>
    <w:rsid w:val="00B0436A"/>
    <w:rsid w:val="00B04754"/>
    <w:rsid w:val="00B053B1"/>
    <w:rsid w:val="00B0638C"/>
    <w:rsid w:val="00B07602"/>
    <w:rsid w:val="00B103D9"/>
    <w:rsid w:val="00B11215"/>
    <w:rsid w:val="00B155C6"/>
    <w:rsid w:val="00B1733F"/>
    <w:rsid w:val="00B17D85"/>
    <w:rsid w:val="00B2010A"/>
    <w:rsid w:val="00B21C7C"/>
    <w:rsid w:val="00B22077"/>
    <w:rsid w:val="00B226B4"/>
    <w:rsid w:val="00B226C2"/>
    <w:rsid w:val="00B30688"/>
    <w:rsid w:val="00B30FC8"/>
    <w:rsid w:val="00B33F32"/>
    <w:rsid w:val="00B3477D"/>
    <w:rsid w:val="00B34AD8"/>
    <w:rsid w:val="00B40339"/>
    <w:rsid w:val="00B41203"/>
    <w:rsid w:val="00B4232F"/>
    <w:rsid w:val="00B4614D"/>
    <w:rsid w:val="00B46AFA"/>
    <w:rsid w:val="00B52543"/>
    <w:rsid w:val="00B53E38"/>
    <w:rsid w:val="00B56AFF"/>
    <w:rsid w:val="00B57380"/>
    <w:rsid w:val="00B62982"/>
    <w:rsid w:val="00B64773"/>
    <w:rsid w:val="00B647B0"/>
    <w:rsid w:val="00B66B7A"/>
    <w:rsid w:val="00B71094"/>
    <w:rsid w:val="00B7182F"/>
    <w:rsid w:val="00B725D4"/>
    <w:rsid w:val="00B755E9"/>
    <w:rsid w:val="00B772D7"/>
    <w:rsid w:val="00B77414"/>
    <w:rsid w:val="00B77A83"/>
    <w:rsid w:val="00B805D3"/>
    <w:rsid w:val="00B838DA"/>
    <w:rsid w:val="00B839E2"/>
    <w:rsid w:val="00B83B69"/>
    <w:rsid w:val="00B92A00"/>
    <w:rsid w:val="00B93123"/>
    <w:rsid w:val="00B93260"/>
    <w:rsid w:val="00B94099"/>
    <w:rsid w:val="00B9501D"/>
    <w:rsid w:val="00BA0AB8"/>
    <w:rsid w:val="00BA0EF5"/>
    <w:rsid w:val="00BA4204"/>
    <w:rsid w:val="00BA716C"/>
    <w:rsid w:val="00BB177E"/>
    <w:rsid w:val="00BC1B0C"/>
    <w:rsid w:val="00BC4075"/>
    <w:rsid w:val="00BC5C95"/>
    <w:rsid w:val="00BC61C7"/>
    <w:rsid w:val="00BD095B"/>
    <w:rsid w:val="00BD0E52"/>
    <w:rsid w:val="00BD2C89"/>
    <w:rsid w:val="00BD3163"/>
    <w:rsid w:val="00BD355D"/>
    <w:rsid w:val="00BD4434"/>
    <w:rsid w:val="00BE06FD"/>
    <w:rsid w:val="00BE07D6"/>
    <w:rsid w:val="00BE0C21"/>
    <w:rsid w:val="00BE1377"/>
    <w:rsid w:val="00BE2396"/>
    <w:rsid w:val="00BE3707"/>
    <w:rsid w:val="00BE38A8"/>
    <w:rsid w:val="00BE6365"/>
    <w:rsid w:val="00BF20B2"/>
    <w:rsid w:val="00BF2444"/>
    <w:rsid w:val="00BF2483"/>
    <w:rsid w:val="00BF2802"/>
    <w:rsid w:val="00BF41B0"/>
    <w:rsid w:val="00BF4332"/>
    <w:rsid w:val="00BF65CE"/>
    <w:rsid w:val="00C042CC"/>
    <w:rsid w:val="00C05F77"/>
    <w:rsid w:val="00C07607"/>
    <w:rsid w:val="00C102F9"/>
    <w:rsid w:val="00C103DA"/>
    <w:rsid w:val="00C1326D"/>
    <w:rsid w:val="00C13E58"/>
    <w:rsid w:val="00C1470B"/>
    <w:rsid w:val="00C14BEE"/>
    <w:rsid w:val="00C14EEB"/>
    <w:rsid w:val="00C16A61"/>
    <w:rsid w:val="00C17348"/>
    <w:rsid w:val="00C17DD5"/>
    <w:rsid w:val="00C20B7E"/>
    <w:rsid w:val="00C2128E"/>
    <w:rsid w:val="00C21E54"/>
    <w:rsid w:val="00C21E66"/>
    <w:rsid w:val="00C22022"/>
    <w:rsid w:val="00C2295E"/>
    <w:rsid w:val="00C2373F"/>
    <w:rsid w:val="00C239EC"/>
    <w:rsid w:val="00C2574C"/>
    <w:rsid w:val="00C25FE9"/>
    <w:rsid w:val="00C26800"/>
    <w:rsid w:val="00C271BB"/>
    <w:rsid w:val="00C27C05"/>
    <w:rsid w:val="00C27E98"/>
    <w:rsid w:val="00C300C6"/>
    <w:rsid w:val="00C3494E"/>
    <w:rsid w:val="00C35A49"/>
    <w:rsid w:val="00C372EB"/>
    <w:rsid w:val="00C372F0"/>
    <w:rsid w:val="00C40FCC"/>
    <w:rsid w:val="00C43B5C"/>
    <w:rsid w:val="00C445E4"/>
    <w:rsid w:val="00C44946"/>
    <w:rsid w:val="00C45BC1"/>
    <w:rsid w:val="00C466E2"/>
    <w:rsid w:val="00C47262"/>
    <w:rsid w:val="00C50870"/>
    <w:rsid w:val="00C52225"/>
    <w:rsid w:val="00C52350"/>
    <w:rsid w:val="00C544C8"/>
    <w:rsid w:val="00C54C1D"/>
    <w:rsid w:val="00C54DE9"/>
    <w:rsid w:val="00C622BB"/>
    <w:rsid w:val="00C64480"/>
    <w:rsid w:val="00C70FFE"/>
    <w:rsid w:val="00C7582C"/>
    <w:rsid w:val="00C766D1"/>
    <w:rsid w:val="00C77A96"/>
    <w:rsid w:val="00C8245E"/>
    <w:rsid w:val="00C83E1D"/>
    <w:rsid w:val="00C83E67"/>
    <w:rsid w:val="00C83FC8"/>
    <w:rsid w:val="00C8407C"/>
    <w:rsid w:val="00C85736"/>
    <w:rsid w:val="00C85899"/>
    <w:rsid w:val="00C9045B"/>
    <w:rsid w:val="00C91738"/>
    <w:rsid w:val="00C921C7"/>
    <w:rsid w:val="00C9337C"/>
    <w:rsid w:val="00C94055"/>
    <w:rsid w:val="00C955D6"/>
    <w:rsid w:val="00C95643"/>
    <w:rsid w:val="00C96785"/>
    <w:rsid w:val="00CA0177"/>
    <w:rsid w:val="00CA1448"/>
    <w:rsid w:val="00CA1D3A"/>
    <w:rsid w:val="00CA39CE"/>
    <w:rsid w:val="00CA5958"/>
    <w:rsid w:val="00CA6B17"/>
    <w:rsid w:val="00CA7BD5"/>
    <w:rsid w:val="00CB00B1"/>
    <w:rsid w:val="00CB01F7"/>
    <w:rsid w:val="00CB02C9"/>
    <w:rsid w:val="00CB081B"/>
    <w:rsid w:val="00CB1554"/>
    <w:rsid w:val="00CB1A97"/>
    <w:rsid w:val="00CB4E53"/>
    <w:rsid w:val="00CB5649"/>
    <w:rsid w:val="00CB5FA7"/>
    <w:rsid w:val="00CB6E0F"/>
    <w:rsid w:val="00CB703B"/>
    <w:rsid w:val="00CC1949"/>
    <w:rsid w:val="00CC43D5"/>
    <w:rsid w:val="00CC5085"/>
    <w:rsid w:val="00CC5423"/>
    <w:rsid w:val="00CC7620"/>
    <w:rsid w:val="00CC79B4"/>
    <w:rsid w:val="00CC7B87"/>
    <w:rsid w:val="00CD13EB"/>
    <w:rsid w:val="00CD1AB9"/>
    <w:rsid w:val="00CE28FB"/>
    <w:rsid w:val="00CE2FB3"/>
    <w:rsid w:val="00CE384B"/>
    <w:rsid w:val="00CE393C"/>
    <w:rsid w:val="00CE75CC"/>
    <w:rsid w:val="00CF118F"/>
    <w:rsid w:val="00CF131E"/>
    <w:rsid w:val="00CF2242"/>
    <w:rsid w:val="00CF2F2B"/>
    <w:rsid w:val="00CF3B6C"/>
    <w:rsid w:val="00CF558C"/>
    <w:rsid w:val="00CF591E"/>
    <w:rsid w:val="00CF6650"/>
    <w:rsid w:val="00CF6833"/>
    <w:rsid w:val="00D00805"/>
    <w:rsid w:val="00D0400C"/>
    <w:rsid w:val="00D06A1B"/>
    <w:rsid w:val="00D106E8"/>
    <w:rsid w:val="00D10B0E"/>
    <w:rsid w:val="00D13753"/>
    <w:rsid w:val="00D13956"/>
    <w:rsid w:val="00D1697E"/>
    <w:rsid w:val="00D21AED"/>
    <w:rsid w:val="00D23909"/>
    <w:rsid w:val="00D2459A"/>
    <w:rsid w:val="00D24F41"/>
    <w:rsid w:val="00D25746"/>
    <w:rsid w:val="00D261BF"/>
    <w:rsid w:val="00D2729F"/>
    <w:rsid w:val="00D311AD"/>
    <w:rsid w:val="00D317A2"/>
    <w:rsid w:val="00D32519"/>
    <w:rsid w:val="00D3402A"/>
    <w:rsid w:val="00D351FD"/>
    <w:rsid w:val="00D35BD4"/>
    <w:rsid w:val="00D41894"/>
    <w:rsid w:val="00D4235E"/>
    <w:rsid w:val="00D4323C"/>
    <w:rsid w:val="00D43393"/>
    <w:rsid w:val="00D463E7"/>
    <w:rsid w:val="00D47D7A"/>
    <w:rsid w:val="00D572A0"/>
    <w:rsid w:val="00D576F3"/>
    <w:rsid w:val="00D60E1F"/>
    <w:rsid w:val="00D6113B"/>
    <w:rsid w:val="00D61EEA"/>
    <w:rsid w:val="00D6405E"/>
    <w:rsid w:val="00D65A15"/>
    <w:rsid w:val="00D70ACD"/>
    <w:rsid w:val="00D70E3C"/>
    <w:rsid w:val="00D73BAE"/>
    <w:rsid w:val="00D74BB3"/>
    <w:rsid w:val="00D7570B"/>
    <w:rsid w:val="00D76058"/>
    <w:rsid w:val="00D80111"/>
    <w:rsid w:val="00D83D65"/>
    <w:rsid w:val="00D848CB"/>
    <w:rsid w:val="00D8720F"/>
    <w:rsid w:val="00D905CA"/>
    <w:rsid w:val="00D90DB5"/>
    <w:rsid w:val="00D914C1"/>
    <w:rsid w:val="00D926FB"/>
    <w:rsid w:val="00D92C3C"/>
    <w:rsid w:val="00D93377"/>
    <w:rsid w:val="00D94A9A"/>
    <w:rsid w:val="00D95C25"/>
    <w:rsid w:val="00D95D60"/>
    <w:rsid w:val="00D96EBF"/>
    <w:rsid w:val="00D97074"/>
    <w:rsid w:val="00DA1D6A"/>
    <w:rsid w:val="00DA3166"/>
    <w:rsid w:val="00DA317A"/>
    <w:rsid w:val="00DA330C"/>
    <w:rsid w:val="00DA4C9A"/>
    <w:rsid w:val="00DA63F8"/>
    <w:rsid w:val="00DA758D"/>
    <w:rsid w:val="00DA787C"/>
    <w:rsid w:val="00DB060E"/>
    <w:rsid w:val="00DB36CD"/>
    <w:rsid w:val="00DB3B9E"/>
    <w:rsid w:val="00DC13EF"/>
    <w:rsid w:val="00DC40C2"/>
    <w:rsid w:val="00DC46F9"/>
    <w:rsid w:val="00DC4906"/>
    <w:rsid w:val="00DC4D82"/>
    <w:rsid w:val="00DC5701"/>
    <w:rsid w:val="00DC724B"/>
    <w:rsid w:val="00DC783D"/>
    <w:rsid w:val="00DD321D"/>
    <w:rsid w:val="00DD3835"/>
    <w:rsid w:val="00DD49F7"/>
    <w:rsid w:val="00DD6BD5"/>
    <w:rsid w:val="00DE0636"/>
    <w:rsid w:val="00DE228C"/>
    <w:rsid w:val="00DE2FF9"/>
    <w:rsid w:val="00DE3C8E"/>
    <w:rsid w:val="00DE5E02"/>
    <w:rsid w:val="00DE60D7"/>
    <w:rsid w:val="00DE642F"/>
    <w:rsid w:val="00DE7630"/>
    <w:rsid w:val="00DF017C"/>
    <w:rsid w:val="00DF057D"/>
    <w:rsid w:val="00DF1711"/>
    <w:rsid w:val="00DF43AE"/>
    <w:rsid w:val="00DF4536"/>
    <w:rsid w:val="00DF4E19"/>
    <w:rsid w:val="00DF57B3"/>
    <w:rsid w:val="00DF5EA3"/>
    <w:rsid w:val="00DF72A8"/>
    <w:rsid w:val="00DF78B9"/>
    <w:rsid w:val="00E0038D"/>
    <w:rsid w:val="00E01B49"/>
    <w:rsid w:val="00E01E8E"/>
    <w:rsid w:val="00E05966"/>
    <w:rsid w:val="00E10AA0"/>
    <w:rsid w:val="00E1144C"/>
    <w:rsid w:val="00E12DB4"/>
    <w:rsid w:val="00E1384F"/>
    <w:rsid w:val="00E1617C"/>
    <w:rsid w:val="00E17D4B"/>
    <w:rsid w:val="00E214C7"/>
    <w:rsid w:val="00E228F5"/>
    <w:rsid w:val="00E22F1D"/>
    <w:rsid w:val="00E250C5"/>
    <w:rsid w:val="00E25ABC"/>
    <w:rsid w:val="00E303D6"/>
    <w:rsid w:val="00E30BC8"/>
    <w:rsid w:val="00E31416"/>
    <w:rsid w:val="00E31A5B"/>
    <w:rsid w:val="00E32491"/>
    <w:rsid w:val="00E32CD9"/>
    <w:rsid w:val="00E32D20"/>
    <w:rsid w:val="00E33329"/>
    <w:rsid w:val="00E3629C"/>
    <w:rsid w:val="00E36C82"/>
    <w:rsid w:val="00E379E4"/>
    <w:rsid w:val="00E37B60"/>
    <w:rsid w:val="00E41C1C"/>
    <w:rsid w:val="00E42F04"/>
    <w:rsid w:val="00E43EEC"/>
    <w:rsid w:val="00E4666E"/>
    <w:rsid w:val="00E47DE5"/>
    <w:rsid w:val="00E47EB3"/>
    <w:rsid w:val="00E5136D"/>
    <w:rsid w:val="00E5261B"/>
    <w:rsid w:val="00E52EC6"/>
    <w:rsid w:val="00E5353A"/>
    <w:rsid w:val="00E54042"/>
    <w:rsid w:val="00E54FD5"/>
    <w:rsid w:val="00E56007"/>
    <w:rsid w:val="00E60397"/>
    <w:rsid w:val="00E625D3"/>
    <w:rsid w:val="00E629EA"/>
    <w:rsid w:val="00E652C0"/>
    <w:rsid w:val="00E72465"/>
    <w:rsid w:val="00E74616"/>
    <w:rsid w:val="00E76E77"/>
    <w:rsid w:val="00E776AF"/>
    <w:rsid w:val="00E823C3"/>
    <w:rsid w:val="00E83646"/>
    <w:rsid w:val="00E85822"/>
    <w:rsid w:val="00E85842"/>
    <w:rsid w:val="00E859C9"/>
    <w:rsid w:val="00E868CA"/>
    <w:rsid w:val="00E86BFE"/>
    <w:rsid w:val="00E86FFE"/>
    <w:rsid w:val="00E87817"/>
    <w:rsid w:val="00E917C0"/>
    <w:rsid w:val="00E92D35"/>
    <w:rsid w:val="00E956DC"/>
    <w:rsid w:val="00E95B1F"/>
    <w:rsid w:val="00E9757E"/>
    <w:rsid w:val="00E976E5"/>
    <w:rsid w:val="00EA1A87"/>
    <w:rsid w:val="00EA2521"/>
    <w:rsid w:val="00EA5ADE"/>
    <w:rsid w:val="00EA5E76"/>
    <w:rsid w:val="00EA6612"/>
    <w:rsid w:val="00EA6AE3"/>
    <w:rsid w:val="00EB0B4F"/>
    <w:rsid w:val="00EB10D4"/>
    <w:rsid w:val="00EB74F4"/>
    <w:rsid w:val="00EC304F"/>
    <w:rsid w:val="00EC3B46"/>
    <w:rsid w:val="00EC3EFE"/>
    <w:rsid w:val="00EC4475"/>
    <w:rsid w:val="00EC5873"/>
    <w:rsid w:val="00EC7533"/>
    <w:rsid w:val="00EC75E1"/>
    <w:rsid w:val="00ED165D"/>
    <w:rsid w:val="00ED3060"/>
    <w:rsid w:val="00ED3161"/>
    <w:rsid w:val="00ED3661"/>
    <w:rsid w:val="00ED3DA9"/>
    <w:rsid w:val="00ED4821"/>
    <w:rsid w:val="00ED484F"/>
    <w:rsid w:val="00ED64B0"/>
    <w:rsid w:val="00ED6DE0"/>
    <w:rsid w:val="00ED6F33"/>
    <w:rsid w:val="00ED79FE"/>
    <w:rsid w:val="00ED7AFD"/>
    <w:rsid w:val="00EE16AB"/>
    <w:rsid w:val="00EE2013"/>
    <w:rsid w:val="00EE315C"/>
    <w:rsid w:val="00EE50FA"/>
    <w:rsid w:val="00EE698E"/>
    <w:rsid w:val="00EF23C9"/>
    <w:rsid w:val="00EF55B1"/>
    <w:rsid w:val="00EF79EB"/>
    <w:rsid w:val="00F02000"/>
    <w:rsid w:val="00F05F26"/>
    <w:rsid w:val="00F07F29"/>
    <w:rsid w:val="00F10571"/>
    <w:rsid w:val="00F11018"/>
    <w:rsid w:val="00F117C7"/>
    <w:rsid w:val="00F11B16"/>
    <w:rsid w:val="00F132C7"/>
    <w:rsid w:val="00F146DD"/>
    <w:rsid w:val="00F15FC5"/>
    <w:rsid w:val="00F16E52"/>
    <w:rsid w:val="00F2227B"/>
    <w:rsid w:val="00F2258F"/>
    <w:rsid w:val="00F23251"/>
    <w:rsid w:val="00F2395A"/>
    <w:rsid w:val="00F24B58"/>
    <w:rsid w:val="00F24F54"/>
    <w:rsid w:val="00F2574F"/>
    <w:rsid w:val="00F27163"/>
    <w:rsid w:val="00F27FA2"/>
    <w:rsid w:val="00F305B4"/>
    <w:rsid w:val="00F31A0B"/>
    <w:rsid w:val="00F31EB9"/>
    <w:rsid w:val="00F35043"/>
    <w:rsid w:val="00F35D79"/>
    <w:rsid w:val="00F362D3"/>
    <w:rsid w:val="00F36F60"/>
    <w:rsid w:val="00F406E2"/>
    <w:rsid w:val="00F4096F"/>
    <w:rsid w:val="00F409BD"/>
    <w:rsid w:val="00F41049"/>
    <w:rsid w:val="00F416C1"/>
    <w:rsid w:val="00F41C7D"/>
    <w:rsid w:val="00F43369"/>
    <w:rsid w:val="00F44539"/>
    <w:rsid w:val="00F44A45"/>
    <w:rsid w:val="00F466B0"/>
    <w:rsid w:val="00F52959"/>
    <w:rsid w:val="00F53712"/>
    <w:rsid w:val="00F5413E"/>
    <w:rsid w:val="00F55E3C"/>
    <w:rsid w:val="00F56A50"/>
    <w:rsid w:val="00F61916"/>
    <w:rsid w:val="00F62258"/>
    <w:rsid w:val="00F63018"/>
    <w:rsid w:val="00F639A4"/>
    <w:rsid w:val="00F64B1B"/>
    <w:rsid w:val="00F65E4B"/>
    <w:rsid w:val="00F6607A"/>
    <w:rsid w:val="00F67587"/>
    <w:rsid w:val="00F72AB9"/>
    <w:rsid w:val="00F74687"/>
    <w:rsid w:val="00F74C7F"/>
    <w:rsid w:val="00F74F1F"/>
    <w:rsid w:val="00F75011"/>
    <w:rsid w:val="00F751A3"/>
    <w:rsid w:val="00F76F96"/>
    <w:rsid w:val="00F77E26"/>
    <w:rsid w:val="00F80064"/>
    <w:rsid w:val="00F82671"/>
    <w:rsid w:val="00F82C42"/>
    <w:rsid w:val="00F831A2"/>
    <w:rsid w:val="00F83491"/>
    <w:rsid w:val="00F84152"/>
    <w:rsid w:val="00F843EC"/>
    <w:rsid w:val="00F84EE0"/>
    <w:rsid w:val="00F91812"/>
    <w:rsid w:val="00F93893"/>
    <w:rsid w:val="00FA0A1D"/>
    <w:rsid w:val="00FA2117"/>
    <w:rsid w:val="00FA35F6"/>
    <w:rsid w:val="00FA4140"/>
    <w:rsid w:val="00FA4482"/>
    <w:rsid w:val="00FA47C6"/>
    <w:rsid w:val="00FA6674"/>
    <w:rsid w:val="00FA73A3"/>
    <w:rsid w:val="00FA78BD"/>
    <w:rsid w:val="00FA791D"/>
    <w:rsid w:val="00FA7A7F"/>
    <w:rsid w:val="00FB03D6"/>
    <w:rsid w:val="00FB0FF2"/>
    <w:rsid w:val="00FB22D3"/>
    <w:rsid w:val="00FB2BD9"/>
    <w:rsid w:val="00FB57E2"/>
    <w:rsid w:val="00FB5E0D"/>
    <w:rsid w:val="00FB6C4E"/>
    <w:rsid w:val="00FB6CE8"/>
    <w:rsid w:val="00FC1395"/>
    <w:rsid w:val="00FC1665"/>
    <w:rsid w:val="00FC18BF"/>
    <w:rsid w:val="00FC2FFA"/>
    <w:rsid w:val="00FC3836"/>
    <w:rsid w:val="00FC55D5"/>
    <w:rsid w:val="00FC6077"/>
    <w:rsid w:val="00FC78A0"/>
    <w:rsid w:val="00FD1049"/>
    <w:rsid w:val="00FD1347"/>
    <w:rsid w:val="00FD1EB7"/>
    <w:rsid w:val="00FD539F"/>
    <w:rsid w:val="00FD58A6"/>
    <w:rsid w:val="00FD5A5C"/>
    <w:rsid w:val="00FD5AF6"/>
    <w:rsid w:val="00FD5EDD"/>
    <w:rsid w:val="00FE0015"/>
    <w:rsid w:val="00FE01F5"/>
    <w:rsid w:val="00FE1563"/>
    <w:rsid w:val="00FE22EE"/>
    <w:rsid w:val="00FE2CAF"/>
    <w:rsid w:val="00FE45F8"/>
    <w:rsid w:val="00FE5541"/>
    <w:rsid w:val="00FF083E"/>
    <w:rsid w:val="00FF16D7"/>
    <w:rsid w:val="00FF2F33"/>
    <w:rsid w:val="00FF4998"/>
    <w:rsid w:val="00FF5C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BB41"/>
  <w15:chartTrackingRefBased/>
  <w15:docId w15:val="{544B9799-422C-4C48-8B02-2646BEC6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210"/>
    <w:pPr>
      <w:spacing w:line="360" w:lineRule="auto"/>
      <w:jc w:val="both"/>
    </w:pPr>
    <w:rPr>
      <w:rFonts w:ascii="Tahoma" w:eastAsia="Times New Roman" w:hAnsi="Tahoma"/>
      <w:sz w:val="26"/>
      <w:szCs w:val="24"/>
      <w:lang w:val="es-MX" w:eastAsia="es-MX"/>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paragraph" w:styleId="Ttulo3">
    <w:name w:val="heading 3"/>
    <w:basedOn w:val="Normal"/>
    <w:next w:val="Normal"/>
    <w:link w:val="Ttulo3Car"/>
    <w:semiHidden/>
    <w:unhideWhenUsed/>
    <w:qFormat/>
    <w:rsid w:val="00B53E38"/>
    <w:pPr>
      <w:keepNext/>
      <w:spacing w:before="240" w:after="60"/>
      <w:outlineLvl w:val="2"/>
    </w:pPr>
    <w:rPr>
      <w:rFonts w:ascii="Calibri Light" w:hAnsi="Calibri Light"/>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613DDA"/>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referenc"/>
    <w:basedOn w:val="Normal"/>
    <w:link w:val="TextonotapieCar1"/>
    <w:autoRedefine/>
    <w:uiPriority w:val="99"/>
    <w:qFormat/>
    <w:rsid w:val="00535A7D"/>
    <w:pPr>
      <w:overflowPunct w:val="0"/>
      <w:autoSpaceDE w:val="0"/>
      <w:autoSpaceDN w:val="0"/>
      <w:adjustRightInd w:val="0"/>
      <w:spacing w:line="240" w:lineRule="auto"/>
      <w:textAlignment w:val="baseline"/>
    </w:pPr>
    <w:rPr>
      <w:rFonts w:ascii="Verdana" w:hAnsi="Verdana"/>
      <w:sz w:val="20"/>
      <w:szCs w:val="20"/>
      <w:lang w:eastAsia="x-none"/>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 de nota al pie 2,Texto de nota al pie,referencia nota al pie,Footnotes refss,Appel note de bas de page,Ref,de nota al pie,Fago Fußnotenzeichen,Pie de Página,FC,Footnote number,BVI fnr,4_G,16 Point,Superscript 6 Point,Ref1,F,f,FZ"/>
    <w:link w:val="4GChar"/>
    <w:uiPriority w:val="99"/>
    <w:qFormat/>
    <w:rsid w:val="00214FDC"/>
    <w:rPr>
      <w:rFonts w:ascii="Verdana" w:hAnsi="Verdana"/>
      <w:sz w:val="20"/>
      <w:vertAlign w:val="superscript"/>
    </w:rPr>
  </w:style>
  <w:style w:type="paragraph" w:customStyle="1" w:styleId="TtuloAlgerian">
    <w:name w:val="Título Algerian"/>
    <w:basedOn w:val="Normal"/>
    <w:next w:val="Normal"/>
    <w:autoRedefine/>
    <w:rsid w:val="0089332B"/>
    <w:rPr>
      <w:rFonts w:ascii="Algerian" w:hAnsi="Algerian"/>
      <w:sz w:val="30"/>
    </w:rPr>
  </w:style>
  <w:style w:type="character" w:customStyle="1" w:styleId="Numeracinttulo">
    <w:name w:val="Numeración título"/>
    <w:rsid w:val="00490164"/>
    <w:rPr>
      <w:rFonts w:ascii="Tahoma" w:hAnsi="Tahoma"/>
      <w:b/>
      <w:sz w:val="24"/>
    </w:rPr>
  </w:style>
  <w:style w:type="character" w:customStyle="1" w:styleId="Algerian">
    <w:name w:val="Algerian"/>
    <w:rsid w:val="00490164"/>
    <w:rPr>
      <w:rFonts w:ascii="Algerian" w:hAnsi="Algerian"/>
      <w:sz w:val="30"/>
    </w:rPr>
  </w:style>
  <w:style w:type="paragraph" w:styleId="Encabezado">
    <w:name w:val="header"/>
    <w:basedOn w:val="Normal"/>
    <w:link w:val="EncabezadoCar"/>
    <w:rsid w:val="00D2729F"/>
    <w:pPr>
      <w:tabs>
        <w:tab w:val="center" w:pos="4419"/>
        <w:tab w:val="right" w:pos="8838"/>
      </w:tabs>
    </w:pPr>
  </w:style>
  <w:style w:type="paragraph" w:styleId="Cita">
    <w:name w:val="Quote"/>
    <w:basedOn w:val="Normal"/>
    <w:next w:val="Normal"/>
    <w:link w:val="CitaCar"/>
    <w:uiPriority w:val="29"/>
    <w:qFormat/>
    <w:rsid w:val="00D2729F"/>
    <w:pPr>
      <w:ind w:left="708"/>
    </w:pPr>
    <w:rPr>
      <w:rFonts w:ascii="Verdana" w:hAnsi="Verdana"/>
      <w:bCs/>
      <w:sz w:val="20"/>
    </w:rPr>
  </w:style>
  <w:style w:type="paragraph" w:styleId="Textoindependiente3">
    <w:name w:val="Body Text 3"/>
    <w:basedOn w:val="Normal"/>
    <w:link w:val="Textoindependiente3Car"/>
    <w:rsid w:val="00D2729F"/>
    <w:pPr>
      <w:spacing w:after="120"/>
    </w:pPr>
    <w:rPr>
      <w:sz w:val="16"/>
      <w:szCs w:val="16"/>
      <w:lang w:val="es-ES"/>
    </w:rPr>
  </w:style>
  <w:style w:type="character" w:customStyle="1" w:styleId="Textoindependiente3Car">
    <w:name w:val="Texto independiente 3 Car"/>
    <w:link w:val="Textoindependiente3"/>
    <w:rsid w:val="00C7582C"/>
    <w:rPr>
      <w:rFonts w:ascii="Tahoma" w:eastAsia="Times New Roman" w:hAnsi="Tahoma"/>
      <w:sz w:val="16"/>
      <w:szCs w:val="16"/>
      <w:lang w:val="es-ES" w:eastAsia="es-MX"/>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referenc Car"/>
    <w:link w:val="Textonotapie"/>
    <w:uiPriority w:val="99"/>
    <w:qFormat/>
    <w:rsid w:val="00535A7D"/>
    <w:rPr>
      <w:rFonts w:ascii="Verdana" w:eastAsia="Times New Roman" w:hAnsi="Verdana"/>
      <w:lang w:val="es-MX" w:eastAsia="x-none"/>
    </w:rPr>
  </w:style>
  <w:style w:type="character" w:customStyle="1" w:styleId="PiedepginaCar">
    <w:name w:val="Pie de página Car"/>
    <w:link w:val="Piedepgina"/>
    <w:locked/>
    <w:rsid w:val="00613DDA"/>
    <w:rPr>
      <w:rFonts w:ascii="Courier New" w:eastAsia="Times New Roman" w:hAnsi="Courier New"/>
      <w:sz w:val="16"/>
      <w:lang w:bidi="ar-SA"/>
    </w:rPr>
  </w:style>
  <w:style w:type="paragraph" w:styleId="Textodeglobo">
    <w:name w:val="Balloon Text"/>
    <w:basedOn w:val="Normal"/>
    <w:link w:val="TextodegloboCar"/>
    <w:rsid w:val="00D3402A"/>
    <w:pPr>
      <w:spacing w:line="240" w:lineRule="auto"/>
    </w:pPr>
    <w:rPr>
      <w:rFonts w:ascii="Segoe UI" w:hAnsi="Segoe UI"/>
      <w:sz w:val="18"/>
      <w:szCs w:val="18"/>
    </w:rPr>
  </w:style>
  <w:style w:type="character" w:customStyle="1" w:styleId="TextodegloboCar">
    <w:name w:val="Texto de globo Car"/>
    <w:link w:val="Textodeglobo"/>
    <w:rsid w:val="00D3402A"/>
    <w:rPr>
      <w:rFonts w:ascii="Segoe UI" w:eastAsia="Times New Roman" w:hAnsi="Segoe UI" w:cs="Segoe UI"/>
      <w:sz w:val="18"/>
      <w:szCs w:val="18"/>
      <w:lang w:val="es-MX" w:eastAsia="es-MX"/>
    </w:rPr>
  </w:style>
  <w:style w:type="paragraph" w:styleId="Textoindependiente">
    <w:name w:val="Body Text"/>
    <w:basedOn w:val="Normal"/>
    <w:link w:val="TextoindependienteCar"/>
    <w:rsid w:val="00A22658"/>
    <w:pPr>
      <w:spacing w:after="120"/>
    </w:pPr>
  </w:style>
  <w:style w:type="character" w:customStyle="1" w:styleId="TextoindependienteCar">
    <w:name w:val="Texto independiente Car"/>
    <w:link w:val="Textoindependiente"/>
    <w:rsid w:val="00A22658"/>
    <w:rPr>
      <w:rFonts w:ascii="Tahoma" w:eastAsia="Times New Roman" w:hAnsi="Tahoma"/>
      <w:sz w:val="26"/>
      <w:szCs w:val="24"/>
      <w:lang w:val="es-MX" w:eastAsia="es-MX"/>
    </w:rPr>
  </w:style>
  <w:style w:type="paragraph" w:styleId="Prrafodelista">
    <w:name w:val="List Paragraph"/>
    <w:basedOn w:val="Normal"/>
    <w:uiPriority w:val="34"/>
    <w:qFormat/>
    <w:rsid w:val="00602567"/>
    <w:pPr>
      <w:ind w:left="708"/>
    </w:pPr>
  </w:style>
  <w:style w:type="table" w:styleId="Tablaconcuadrcula">
    <w:name w:val="Table Grid"/>
    <w:basedOn w:val="Tablanormal"/>
    <w:rsid w:val="0060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27B42"/>
  </w:style>
  <w:style w:type="paragraph" w:styleId="Textodebloque">
    <w:name w:val="Block Text"/>
    <w:basedOn w:val="Normal"/>
    <w:uiPriority w:val="99"/>
    <w:unhideWhenUsed/>
    <w:rsid w:val="00727B42"/>
    <w:pPr>
      <w:spacing w:before="100" w:beforeAutospacing="1" w:after="100" w:afterAutospacing="1" w:line="240" w:lineRule="auto"/>
      <w:jc w:val="left"/>
    </w:pPr>
    <w:rPr>
      <w:rFonts w:ascii="Times New Roman" w:hAnsi="Times New Roman"/>
      <w:sz w:val="24"/>
      <w:lang w:val="es-ES_tradnl" w:eastAsia="es-ES_tradnl"/>
    </w:rPr>
  </w:style>
  <w:style w:type="paragraph" w:styleId="Textoindependiente2">
    <w:name w:val="Body Text 2"/>
    <w:basedOn w:val="Normal"/>
    <w:link w:val="Textoindependiente2Car"/>
    <w:rsid w:val="00454B67"/>
    <w:pPr>
      <w:spacing w:after="120" w:line="480" w:lineRule="auto"/>
    </w:pPr>
  </w:style>
  <w:style w:type="character" w:customStyle="1" w:styleId="Textoindependiente2Car">
    <w:name w:val="Texto independiente 2 Car"/>
    <w:link w:val="Textoindependiente2"/>
    <w:rsid w:val="00454B67"/>
    <w:rPr>
      <w:rFonts w:ascii="Tahoma" w:eastAsia="Times New Roman" w:hAnsi="Tahoma"/>
      <w:sz w:val="26"/>
      <w:szCs w:val="24"/>
      <w:lang w:val="es-MX" w:eastAsia="es-MX"/>
    </w:rPr>
  </w:style>
  <w:style w:type="paragraph" w:styleId="Sangradetextonormal">
    <w:name w:val="Body Text Indent"/>
    <w:basedOn w:val="Normal"/>
    <w:link w:val="SangradetextonormalCar"/>
    <w:rsid w:val="00454B67"/>
    <w:pPr>
      <w:spacing w:after="120"/>
      <w:ind w:left="283"/>
    </w:pPr>
  </w:style>
  <w:style w:type="character" w:customStyle="1" w:styleId="SangradetextonormalCar">
    <w:name w:val="Sangría de texto normal Car"/>
    <w:link w:val="Sangradetextonormal"/>
    <w:rsid w:val="00454B67"/>
    <w:rPr>
      <w:rFonts w:ascii="Tahoma" w:eastAsia="Times New Roman" w:hAnsi="Tahoma"/>
      <w:sz w:val="26"/>
      <w:szCs w:val="24"/>
      <w:lang w:val="es-MX" w:eastAsia="es-MX"/>
    </w:rPr>
  </w:style>
  <w:style w:type="character" w:customStyle="1" w:styleId="Ttulo3Car">
    <w:name w:val="Título 3 Car"/>
    <w:link w:val="Ttulo3"/>
    <w:semiHidden/>
    <w:rsid w:val="00B53E38"/>
    <w:rPr>
      <w:rFonts w:ascii="Calibri Light" w:eastAsia="Times New Roman" w:hAnsi="Calibri Light" w:cs="Times New Roman"/>
      <w:b/>
      <w:bCs/>
      <w:sz w:val="26"/>
      <w:szCs w:val="26"/>
      <w:lang w:val="es-MX" w:eastAsia="es-MX"/>
    </w:rPr>
  </w:style>
  <w:style w:type="paragraph" w:customStyle="1" w:styleId="Estilo1">
    <w:name w:val="Estilo1"/>
    <w:rsid w:val="00B53E38"/>
    <w:pPr>
      <w:keepNext/>
      <w:overflowPunct w:val="0"/>
      <w:autoSpaceDE w:val="0"/>
      <w:autoSpaceDN w:val="0"/>
      <w:adjustRightInd w:val="0"/>
      <w:jc w:val="center"/>
      <w:textAlignment w:val="baseline"/>
    </w:pPr>
    <w:rPr>
      <w:rFonts w:ascii="Arial" w:eastAsia="Times New Roman" w:hAnsi="Arial" w:cs="Arial"/>
      <w:b/>
      <w:bCs/>
      <w:sz w:val="28"/>
      <w:szCs w:val="28"/>
      <w:lang w:val="en-US" w:eastAsia="es-ES"/>
    </w:rPr>
  </w:style>
  <w:style w:type="paragraph" w:customStyle="1" w:styleId="Textoindependiente21">
    <w:name w:val="Texto independiente 21"/>
    <w:basedOn w:val="Normal"/>
    <w:rsid w:val="0034501A"/>
    <w:pPr>
      <w:overflowPunct w:val="0"/>
      <w:autoSpaceDE w:val="0"/>
      <w:autoSpaceDN w:val="0"/>
      <w:adjustRightInd w:val="0"/>
      <w:spacing w:line="240" w:lineRule="auto"/>
      <w:textAlignment w:val="baseline"/>
    </w:pPr>
    <w:rPr>
      <w:rFonts w:ascii="Times New Roman" w:hAnsi="Times New Roman"/>
      <w:sz w:val="28"/>
      <w:szCs w:val="20"/>
      <w:lang w:val="es-ES" w:eastAsia="es-ES"/>
    </w:rPr>
  </w:style>
  <w:style w:type="paragraph" w:styleId="NormalWeb">
    <w:name w:val="Normal (Web)"/>
    <w:basedOn w:val="Normal"/>
    <w:uiPriority w:val="99"/>
    <w:rsid w:val="003C36EF"/>
    <w:pPr>
      <w:spacing w:before="100" w:beforeAutospacing="1" w:after="100" w:afterAutospacing="1" w:line="240" w:lineRule="auto"/>
      <w:jc w:val="left"/>
    </w:pPr>
    <w:rPr>
      <w:rFonts w:ascii="Times New Roman" w:hAnsi="Times New Roman"/>
      <w:sz w:val="24"/>
      <w:lang w:val="es-CO" w:eastAsia="es-CO"/>
    </w:rPr>
  </w:style>
  <w:style w:type="paragraph" w:customStyle="1" w:styleId="Default">
    <w:name w:val="Default"/>
    <w:rsid w:val="003C36EF"/>
    <w:pPr>
      <w:autoSpaceDE w:val="0"/>
      <w:autoSpaceDN w:val="0"/>
      <w:adjustRightInd w:val="0"/>
    </w:pPr>
    <w:rPr>
      <w:rFonts w:ascii="Arial" w:hAnsi="Arial" w:cs="Arial"/>
      <w:color w:val="000000"/>
      <w:sz w:val="24"/>
      <w:szCs w:val="24"/>
    </w:rPr>
  </w:style>
  <w:style w:type="character" w:customStyle="1" w:styleId="TextonotapieCar1Car">
    <w:name w:val="Texto nota pie Car1 Car"/>
    <w:aliases w:val="Texto nota pie Car Car Car,Footnote Text Char Char Char Char Char Car Car,Footnote Text Char Char Char Char Car Car,Footnote reference Car Car,FA Fu Car Car,texto de nota al pie Car Car"/>
    <w:uiPriority w:val="99"/>
    <w:rsid w:val="00B17D85"/>
    <w:rPr>
      <w:lang w:val="es-ES" w:eastAsia="ar-SA"/>
    </w:rPr>
  </w:style>
  <w:style w:type="character" w:customStyle="1" w:styleId="EncabezadoCar">
    <w:name w:val="Encabezado Car"/>
    <w:link w:val="Encabezado"/>
    <w:rsid w:val="00C2128E"/>
    <w:rPr>
      <w:rFonts w:ascii="Tahoma" w:eastAsia="Times New Roman" w:hAnsi="Tahoma"/>
      <w:sz w:val="26"/>
      <w:szCs w:val="24"/>
      <w:lang w:val="es-MX" w:eastAsia="es-MX"/>
    </w:rPr>
  </w:style>
  <w:style w:type="character" w:customStyle="1" w:styleId="Refdenotaalpie1Car1">
    <w:name w:val="Ref. de nota al pie1 Car1"/>
    <w:aliases w:val="Texto de nota al pie Car,Footnotes refss Car,Appel note de bas de page Car,Ref. de nota al pie 2 Car,Footnote number Car,BVI fnr Car,f Car,4_G Car,16 Point Car,Superscript 6 Point Car,Texto nota al pie Car"/>
    <w:uiPriority w:val="99"/>
    <w:semiHidden/>
    <w:locked/>
    <w:rsid w:val="007334F1"/>
    <w:rPr>
      <w:lang w:eastAsia="es-ES"/>
    </w:rPr>
  </w:style>
  <w:style w:type="character" w:styleId="nfasis">
    <w:name w:val="Emphasis"/>
    <w:uiPriority w:val="20"/>
    <w:qFormat/>
    <w:rsid w:val="00501F8A"/>
    <w:rPr>
      <w:i/>
      <w:iCs/>
    </w:rPr>
  </w:style>
  <w:style w:type="character" w:customStyle="1" w:styleId="CitaCar">
    <w:name w:val="Cita Car"/>
    <w:link w:val="Cita"/>
    <w:uiPriority w:val="29"/>
    <w:rsid w:val="003D37DE"/>
    <w:rPr>
      <w:rFonts w:ascii="Verdana" w:eastAsia="Times New Roman" w:hAnsi="Verdana"/>
      <w:bCs/>
      <w:szCs w:val="24"/>
      <w:lang w:val="es-MX" w:eastAsia="es-MX"/>
    </w:rPr>
  </w:style>
  <w:style w:type="character" w:styleId="Hipervnculo">
    <w:name w:val="Hyperlink"/>
    <w:uiPriority w:val="99"/>
    <w:unhideWhenUsed/>
    <w:rsid w:val="00C239EC"/>
    <w:rPr>
      <w:color w:val="0000FF"/>
      <w:u w:val="single"/>
    </w:rPr>
  </w:style>
  <w:style w:type="character" w:customStyle="1" w:styleId="iaj">
    <w:name w:val="i_aj"/>
    <w:rsid w:val="00C239EC"/>
  </w:style>
  <w:style w:type="paragraph" w:customStyle="1" w:styleId="indentfl1punto5">
    <w:name w:val="indent_fl_1punto5"/>
    <w:basedOn w:val="Normal"/>
    <w:rsid w:val="00EC75E1"/>
    <w:pPr>
      <w:spacing w:before="100" w:beforeAutospacing="1" w:after="100" w:afterAutospacing="1" w:line="240" w:lineRule="auto"/>
      <w:jc w:val="left"/>
    </w:pPr>
    <w:rPr>
      <w:rFonts w:ascii="Times New Roman" w:hAnsi="Times New Roman"/>
      <w:sz w:val="24"/>
      <w:lang w:val="es-CO" w:eastAsia="es-CO"/>
    </w:rPr>
  </w:style>
  <w:style w:type="character" w:customStyle="1" w:styleId="letra14pt">
    <w:name w:val="letra14pt"/>
    <w:basedOn w:val="Fuentedeprrafopredeter"/>
    <w:rsid w:val="00EC75E1"/>
  </w:style>
  <w:style w:type="paragraph" w:customStyle="1" w:styleId="centrado">
    <w:name w:val="centrado"/>
    <w:basedOn w:val="Normal"/>
    <w:rsid w:val="00EC75E1"/>
    <w:pPr>
      <w:spacing w:before="100" w:beforeAutospacing="1" w:after="100" w:afterAutospacing="1" w:line="240" w:lineRule="auto"/>
      <w:jc w:val="left"/>
    </w:pPr>
    <w:rPr>
      <w:rFonts w:ascii="Times New Roman" w:hAnsi="Times New Roman"/>
      <w:sz w:val="24"/>
      <w:lang w:val="es-CO" w:eastAsia="es-CO"/>
    </w:rPr>
  </w:style>
  <w:style w:type="character" w:customStyle="1" w:styleId="baj">
    <w:name w:val="b_aj"/>
    <w:basedOn w:val="Fuentedeprrafopredeter"/>
    <w:rsid w:val="00EC75E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B703B"/>
    <w:pPr>
      <w:spacing w:line="240" w:lineRule="auto"/>
    </w:pPr>
    <w:rPr>
      <w:rFonts w:ascii="Verdana" w:eastAsia="Batang" w:hAnsi="Verdana"/>
      <w:sz w:val="20"/>
      <w:szCs w:val="20"/>
      <w:vertAlign w:val="superscript"/>
      <w:lang w:val="es-CO" w:eastAsia="es-CO"/>
    </w:rPr>
  </w:style>
  <w:style w:type="paragraph" w:styleId="Sangra3detindependiente">
    <w:name w:val="Body Text Indent 3"/>
    <w:basedOn w:val="Normal"/>
    <w:link w:val="Sangra3detindependienteCar"/>
    <w:rsid w:val="008A350E"/>
    <w:pPr>
      <w:spacing w:after="120" w:line="240" w:lineRule="auto"/>
      <w:ind w:left="283"/>
      <w:jc w:val="left"/>
    </w:pPr>
    <w:rPr>
      <w:rFonts w:ascii="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8A350E"/>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29532">
      <w:bodyDiv w:val="1"/>
      <w:marLeft w:val="0"/>
      <w:marRight w:val="0"/>
      <w:marTop w:val="0"/>
      <w:marBottom w:val="0"/>
      <w:divBdr>
        <w:top w:val="none" w:sz="0" w:space="0" w:color="auto"/>
        <w:left w:val="none" w:sz="0" w:space="0" w:color="auto"/>
        <w:bottom w:val="none" w:sz="0" w:space="0" w:color="auto"/>
        <w:right w:val="none" w:sz="0" w:space="0" w:color="auto"/>
      </w:divBdr>
    </w:div>
    <w:div w:id="577639549">
      <w:bodyDiv w:val="1"/>
      <w:marLeft w:val="0"/>
      <w:marRight w:val="0"/>
      <w:marTop w:val="0"/>
      <w:marBottom w:val="0"/>
      <w:divBdr>
        <w:top w:val="none" w:sz="0" w:space="0" w:color="auto"/>
        <w:left w:val="none" w:sz="0" w:space="0" w:color="auto"/>
        <w:bottom w:val="none" w:sz="0" w:space="0" w:color="auto"/>
        <w:right w:val="none" w:sz="0" w:space="0" w:color="auto"/>
      </w:divBdr>
    </w:div>
    <w:div w:id="584220402">
      <w:bodyDiv w:val="1"/>
      <w:marLeft w:val="0"/>
      <w:marRight w:val="0"/>
      <w:marTop w:val="0"/>
      <w:marBottom w:val="0"/>
      <w:divBdr>
        <w:top w:val="none" w:sz="0" w:space="0" w:color="auto"/>
        <w:left w:val="none" w:sz="0" w:space="0" w:color="auto"/>
        <w:bottom w:val="none" w:sz="0" w:space="0" w:color="auto"/>
        <w:right w:val="none" w:sz="0" w:space="0" w:color="auto"/>
      </w:divBdr>
    </w:div>
    <w:div w:id="819272033">
      <w:bodyDiv w:val="1"/>
      <w:marLeft w:val="0"/>
      <w:marRight w:val="0"/>
      <w:marTop w:val="0"/>
      <w:marBottom w:val="0"/>
      <w:divBdr>
        <w:top w:val="none" w:sz="0" w:space="0" w:color="auto"/>
        <w:left w:val="none" w:sz="0" w:space="0" w:color="auto"/>
        <w:bottom w:val="none" w:sz="0" w:space="0" w:color="auto"/>
        <w:right w:val="none" w:sz="0" w:space="0" w:color="auto"/>
      </w:divBdr>
    </w:div>
    <w:div w:id="947733445">
      <w:bodyDiv w:val="1"/>
      <w:marLeft w:val="0"/>
      <w:marRight w:val="0"/>
      <w:marTop w:val="0"/>
      <w:marBottom w:val="0"/>
      <w:divBdr>
        <w:top w:val="none" w:sz="0" w:space="0" w:color="auto"/>
        <w:left w:val="none" w:sz="0" w:space="0" w:color="auto"/>
        <w:bottom w:val="none" w:sz="0" w:space="0" w:color="auto"/>
        <w:right w:val="none" w:sz="0" w:space="0" w:color="auto"/>
      </w:divBdr>
    </w:div>
    <w:div w:id="1366515822">
      <w:bodyDiv w:val="1"/>
      <w:marLeft w:val="0"/>
      <w:marRight w:val="0"/>
      <w:marTop w:val="0"/>
      <w:marBottom w:val="0"/>
      <w:divBdr>
        <w:top w:val="none" w:sz="0" w:space="0" w:color="auto"/>
        <w:left w:val="none" w:sz="0" w:space="0" w:color="auto"/>
        <w:bottom w:val="none" w:sz="0" w:space="0" w:color="auto"/>
        <w:right w:val="none" w:sz="0" w:space="0" w:color="auto"/>
      </w:divBdr>
    </w:div>
    <w:div w:id="1383334776">
      <w:bodyDiv w:val="1"/>
      <w:marLeft w:val="0"/>
      <w:marRight w:val="0"/>
      <w:marTop w:val="0"/>
      <w:marBottom w:val="0"/>
      <w:divBdr>
        <w:top w:val="none" w:sz="0" w:space="0" w:color="auto"/>
        <w:left w:val="none" w:sz="0" w:space="0" w:color="auto"/>
        <w:bottom w:val="none" w:sz="0" w:space="0" w:color="auto"/>
        <w:right w:val="none" w:sz="0" w:space="0" w:color="auto"/>
      </w:divBdr>
    </w:div>
    <w:div w:id="1387529404">
      <w:bodyDiv w:val="1"/>
      <w:marLeft w:val="0"/>
      <w:marRight w:val="0"/>
      <w:marTop w:val="0"/>
      <w:marBottom w:val="0"/>
      <w:divBdr>
        <w:top w:val="none" w:sz="0" w:space="0" w:color="auto"/>
        <w:left w:val="none" w:sz="0" w:space="0" w:color="auto"/>
        <w:bottom w:val="none" w:sz="0" w:space="0" w:color="auto"/>
        <w:right w:val="none" w:sz="0" w:space="0" w:color="auto"/>
      </w:divBdr>
    </w:div>
    <w:div w:id="1434665612">
      <w:bodyDiv w:val="1"/>
      <w:marLeft w:val="0"/>
      <w:marRight w:val="0"/>
      <w:marTop w:val="0"/>
      <w:marBottom w:val="0"/>
      <w:divBdr>
        <w:top w:val="none" w:sz="0" w:space="0" w:color="auto"/>
        <w:left w:val="none" w:sz="0" w:space="0" w:color="auto"/>
        <w:bottom w:val="none" w:sz="0" w:space="0" w:color="auto"/>
        <w:right w:val="none" w:sz="0" w:space="0" w:color="auto"/>
      </w:divBdr>
    </w:div>
    <w:div w:id="16979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0BA8-8E7D-41AD-979B-3FCFCF00E1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22CE6-1005-4891-8A19-844381EE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AB311-D47A-4E50-B6B0-6AA43AF6BFA0}">
  <ds:schemaRefs>
    <ds:schemaRef ds:uri="http://schemas.microsoft.com/sharepoint/v3/contenttype/forms"/>
  </ds:schemaRefs>
</ds:datastoreItem>
</file>

<file path=customXml/itemProps4.xml><?xml version="1.0" encoding="utf-8"?>
<ds:datastoreItem xmlns:ds="http://schemas.openxmlformats.org/officeDocument/2006/customXml" ds:itemID="{8E8B04A0-AC96-44C5-9F82-A9E571D6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3419</Words>
  <Characters>18806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25</cp:revision>
  <cp:lastPrinted>2020-03-19T13:47:00Z</cp:lastPrinted>
  <dcterms:created xsi:type="dcterms:W3CDTF">2023-05-02T21:39:00Z</dcterms:created>
  <dcterms:modified xsi:type="dcterms:W3CDTF">2023-07-19T20:16:00Z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