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B64E2A" w:rsidRPr="00B64E2A" w:rsidRDefault="00B64E2A" w:rsidP="00B64E2A">
      <w:pPr>
        <w:pStyle w:val="Puesto"/>
        <w:spacing w:line="240" w:lineRule="auto"/>
        <w:jc w:val="both"/>
        <w:rPr>
          <w:rFonts w:ascii="Tahoma" w:hAnsi="Tahoma" w:cs="Tahoma"/>
          <w:b w:val="0"/>
          <w:sz w:val="20"/>
        </w:rPr>
      </w:pPr>
      <w:r w:rsidRPr="00B64E2A">
        <w:rPr>
          <w:rFonts w:ascii="Tahoma" w:hAnsi="Tahoma" w:cs="Tahoma"/>
          <w:b w:val="0"/>
          <w:sz w:val="20"/>
        </w:rPr>
        <w:t xml:space="preserve">Providencia: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5D54F1">
        <w:rPr>
          <w:rFonts w:ascii="Tahoma" w:hAnsi="Tahoma" w:cs="Tahoma"/>
          <w:b w:val="0"/>
          <w:sz w:val="20"/>
        </w:rPr>
        <w:t>Sentencia</w:t>
      </w:r>
      <w:r w:rsidR="007F721C">
        <w:rPr>
          <w:rFonts w:ascii="Tahoma" w:hAnsi="Tahoma" w:cs="Tahoma"/>
          <w:b w:val="0"/>
          <w:sz w:val="20"/>
        </w:rPr>
        <w:t xml:space="preserve"> </w:t>
      </w:r>
      <w:r w:rsidR="00D92B6B">
        <w:rPr>
          <w:rFonts w:ascii="Tahoma" w:hAnsi="Tahoma" w:cs="Tahoma"/>
          <w:b w:val="0"/>
          <w:sz w:val="20"/>
        </w:rPr>
        <w:t xml:space="preserve">de tutela del </w:t>
      </w:r>
      <w:r w:rsidR="005D54F1">
        <w:rPr>
          <w:rFonts w:ascii="Tahoma" w:hAnsi="Tahoma" w:cs="Tahoma"/>
          <w:b w:val="0"/>
          <w:sz w:val="20"/>
        </w:rPr>
        <w:t>2</w:t>
      </w:r>
      <w:r w:rsidR="00D92B6B">
        <w:rPr>
          <w:rFonts w:ascii="Tahoma" w:hAnsi="Tahoma" w:cs="Tahoma"/>
          <w:b w:val="0"/>
          <w:sz w:val="20"/>
        </w:rPr>
        <w:t>4</w:t>
      </w:r>
      <w:r w:rsidR="007F721C">
        <w:rPr>
          <w:rFonts w:ascii="Tahoma" w:hAnsi="Tahoma" w:cs="Tahoma"/>
          <w:b w:val="0"/>
          <w:sz w:val="20"/>
        </w:rPr>
        <w:t xml:space="preserve"> de </w:t>
      </w:r>
      <w:r w:rsidR="00492B8D">
        <w:rPr>
          <w:rFonts w:ascii="Tahoma" w:hAnsi="Tahoma" w:cs="Tahoma"/>
          <w:b w:val="0"/>
          <w:sz w:val="20"/>
        </w:rPr>
        <w:t>febrero de 2014</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Radicación No. :</w:t>
      </w:r>
      <w:r w:rsidRPr="00B64E2A">
        <w:rPr>
          <w:rFonts w:ascii="Tahoma" w:hAnsi="Tahoma" w:cs="Tahoma"/>
          <w:b w:val="0"/>
          <w:sz w:val="20"/>
        </w:rPr>
        <w:tab/>
      </w:r>
      <w:r w:rsidRPr="00B64E2A">
        <w:rPr>
          <w:rFonts w:ascii="Tahoma" w:hAnsi="Tahoma" w:cs="Tahoma"/>
          <w:b w:val="0"/>
          <w:sz w:val="20"/>
        </w:rPr>
        <w:tab/>
      </w:r>
      <w:r w:rsidR="00FC0800" w:rsidRPr="00B64E2A">
        <w:rPr>
          <w:rFonts w:ascii="Tahoma" w:hAnsi="Tahoma" w:cs="Tahoma"/>
          <w:b w:val="0"/>
          <w:sz w:val="20"/>
          <w:szCs w:val="20"/>
        </w:rPr>
        <w:t>66</w:t>
      </w:r>
      <w:r w:rsidR="0083123E" w:rsidRPr="00B64E2A">
        <w:rPr>
          <w:rFonts w:ascii="Tahoma" w:hAnsi="Tahoma" w:cs="Tahoma"/>
          <w:b w:val="0"/>
          <w:sz w:val="20"/>
          <w:szCs w:val="20"/>
        </w:rPr>
        <w:t>001</w:t>
      </w:r>
      <w:r w:rsidR="00FC0800" w:rsidRPr="00B64E2A">
        <w:rPr>
          <w:rFonts w:ascii="Tahoma" w:hAnsi="Tahoma" w:cs="Tahoma"/>
          <w:b w:val="0"/>
          <w:sz w:val="20"/>
          <w:szCs w:val="20"/>
        </w:rPr>
        <w:t>-31-05-00</w:t>
      </w:r>
      <w:r w:rsidR="00D92B6B">
        <w:rPr>
          <w:rFonts w:ascii="Tahoma" w:hAnsi="Tahoma" w:cs="Tahoma"/>
          <w:b w:val="0"/>
          <w:sz w:val="20"/>
          <w:szCs w:val="20"/>
        </w:rPr>
        <w:t>3</w:t>
      </w:r>
      <w:r w:rsidR="00FC0800" w:rsidRPr="00B64E2A">
        <w:rPr>
          <w:rFonts w:ascii="Tahoma" w:hAnsi="Tahoma" w:cs="Tahoma"/>
          <w:b w:val="0"/>
          <w:sz w:val="20"/>
          <w:szCs w:val="20"/>
        </w:rPr>
        <w:t>-20</w:t>
      </w:r>
      <w:r w:rsidR="00AB08AC">
        <w:rPr>
          <w:rFonts w:ascii="Tahoma" w:hAnsi="Tahoma" w:cs="Tahoma"/>
          <w:b w:val="0"/>
          <w:sz w:val="20"/>
          <w:szCs w:val="20"/>
        </w:rPr>
        <w:t>1</w:t>
      </w:r>
      <w:r w:rsidR="00D92B6B">
        <w:rPr>
          <w:rFonts w:ascii="Tahoma" w:hAnsi="Tahoma" w:cs="Tahoma"/>
          <w:b w:val="0"/>
          <w:sz w:val="20"/>
          <w:szCs w:val="20"/>
        </w:rPr>
        <w:t>3</w:t>
      </w:r>
      <w:r w:rsidR="00FC0800" w:rsidRPr="00B64E2A">
        <w:rPr>
          <w:rFonts w:ascii="Tahoma" w:hAnsi="Tahoma" w:cs="Tahoma"/>
          <w:b w:val="0"/>
          <w:sz w:val="20"/>
          <w:szCs w:val="20"/>
        </w:rPr>
        <w:t>-0</w:t>
      </w:r>
      <w:r w:rsidR="00D92B6B">
        <w:rPr>
          <w:rFonts w:ascii="Tahoma" w:hAnsi="Tahoma" w:cs="Tahoma"/>
          <w:b w:val="0"/>
          <w:sz w:val="20"/>
          <w:szCs w:val="20"/>
        </w:rPr>
        <w:t>0751</w:t>
      </w:r>
      <w:r w:rsidR="00FC0800" w:rsidRPr="00B64E2A">
        <w:rPr>
          <w:rFonts w:ascii="Tahoma" w:hAnsi="Tahoma" w:cs="Tahoma"/>
          <w:b w:val="0"/>
          <w:sz w:val="20"/>
          <w:szCs w:val="20"/>
        </w:rPr>
        <w:t>-01</w:t>
      </w:r>
      <w:r w:rsidRPr="00B64E2A">
        <w:rPr>
          <w:rFonts w:ascii="Tahoma" w:hAnsi="Tahoma" w:cs="Tahoma"/>
          <w:b w:val="0"/>
          <w:sz w:val="20"/>
        </w:rPr>
        <w:t xml:space="preserve"> </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 xml:space="preserve">Proceso: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D92B6B">
        <w:rPr>
          <w:rFonts w:ascii="Tahoma" w:hAnsi="Tahoma" w:cs="Tahoma"/>
          <w:b w:val="0"/>
          <w:sz w:val="20"/>
        </w:rPr>
        <w:t>ACCIÓN DE TUTELA</w:t>
      </w:r>
    </w:p>
    <w:p w:rsidR="00782D3A" w:rsidRPr="00B64E2A" w:rsidRDefault="00D92B6B">
      <w:pPr>
        <w:pStyle w:val="Puesto"/>
        <w:spacing w:line="240" w:lineRule="auto"/>
        <w:jc w:val="both"/>
        <w:rPr>
          <w:rFonts w:ascii="Tahoma" w:hAnsi="Tahoma" w:cs="Tahoma"/>
          <w:b w:val="0"/>
          <w:sz w:val="20"/>
        </w:rPr>
      </w:pPr>
      <w:r>
        <w:rPr>
          <w:rFonts w:ascii="Tahoma" w:hAnsi="Tahoma" w:cs="Tahoma"/>
          <w:b w:val="0"/>
          <w:sz w:val="20"/>
        </w:rPr>
        <w:t>Accion</w:t>
      </w:r>
      <w:r w:rsidR="00782D3A" w:rsidRPr="00B64E2A">
        <w:rPr>
          <w:rFonts w:ascii="Tahoma" w:hAnsi="Tahoma" w:cs="Tahoma"/>
          <w:b w:val="0"/>
          <w:sz w:val="20"/>
        </w:rPr>
        <w:t>ante</w:t>
      </w:r>
      <w:r w:rsidR="00782D3A" w:rsidRPr="00B64E2A">
        <w:rPr>
          <w:rFonts w:ascii="Tahoma" w:hAnsi="Tahoma" w:cs="Tahoma"/>
          <w:b w:val="0"/>
          <w:sz w:val="20"/>
        </w:rPr>
        <w:tab/>
      </w:r>
      <w:r w:rsidR="00782D3A" w:rsidRPr="00B64E2A">
        <w:rPr>
          <w:rFonts w:ascii="Tahoma" w:hAnsi="Tahoma" w:cs="Tahoma"/>
          <w:b w:val="0"/>
          <w:sz w:val="20"/>
        </w:rPr>
        <w:tab/>
      </w:r>
      <w:r w:rsidR="00782D3A" w:rsidRPr="00B64E2A">
        <w:rPr>
          <w:rFonts w:ascii="Tahoma" w:hAnsi="Tahoma" w:cs="Tahoma"/>
          <w:b w:val="0"/>
          <w:sz w:val="20"/>
        </w:rPr>
        <w:tab/>
      </w:r>
      <w:r w:rsidR="000F3F54">
        <w:rPr>
          <w:rFonts w:ascii="Tahoma" w:hAnsi="Tahoma" w:cs="Tahoma"/>
          <w:b w:val="0"/>
          <w:sz w:val="20"/>
        </w:rPr>
        <w:t>JUDITH MARIA</w:t>
      </w:r>
      <w:r>
        <w:rPr>
          <w:rFonts w:ascii="Tahoma" w:hAnsi="Tahoma" w:cs="Tahoma"/>
          <w:b w:val="0"/>
          <w:sz w:val="20"/>
        </w:rPr>
        <w:t xml:space="preserve"> CALLE GUERRA</w:t>
      </w:r>
      <w:r w:rsidR="002643DF">
        <w:rPr>
          <w:rFonts w:ascii="Tahoma" w:hAnsi="Tahoma" w:cs="Tahoma"/>
          <w:b w:val="0"/>
          <w:sz w:val="20"/>
        </w:rPr>
        <w:t xml:space="preserve"> </w:t>
      </w:r>
      <w:bookmarkStart w:id="0" w:name="_GoBack"/>
      <w:bookmarkEnd w:id="0"/>
    </w:p>
    <w:p w:rsidR="00782D3A" w:rsidRPr="00B64E2A" w:rsidRDefault="00D92B6B" w:rsidP="00A01BB0">
      <w:pPr>
        <w:pStyle w:val="Puesto"/>
        <w:spacing w:line="240" w:lineRule="auto"/>
        <w:ind w:left="2832" w:hanging="2832"/>
        <w:jc w:val="both"/>
        <w:rPr>
          <w:rFonts w:ascii="Tahoma" w:hAnsi="Tahoma" w:cs="Tahoma"/>
          <w:b w:val="0"/>
          <w:sz w:val="20"/>
        </w:rPr>
      </w:pPr>
      <w:r>
        <w:rPr>
          <w:rFonts w:ascii="Tahoma" w:hAnsi="Tahoma" w:cs="Tahoma"/>
          <w:b w:val="0"/>
          <w:sz w:val="20"/>
        </w:rPr>
        <w:t>Accion</w:t>
      </w:r>
      <w:r w:rsidR="00782D3A" w:rsidRPr="00B64E2A">
        <w:rPr>
          <w:rFonts w:ascii="Tahoma" w:hAnsi="Tahoma" w:cs="Tahoma"/>
          <w:b w:val="0"/>
          <w:sz w:val="20"/>
        </w:rPr>
        <w:t>ado:</w:t>
      </w:r>
      <w:r w:rsidR="00782D3A" w:rsidRPr="00B64E2A">
        <w:rPr>
          <w:rFonts w:ascii="Tahoma" w:hAnsi="Tahoma" w:cs="Tahoma"/>
          <w:b w:val="0"/>
          <w:sz w:val="20"/>
        </w:rPr>
        <w:tab/>
      </w:r>
      <w:r w:rsidR="00492B8D">
        <w:rPr>
          <w:rFonts w:ascii="Tahoma" w:hAnsi="Tahoma" w:cs="Tahoma"/>
          <w:b w:val="0"/>
          <w:sz w:val="20"/>
        </w:rPr>
        <w:t>Guiomar Stella Vásquez Garcés</w:t>
      </w:r>
      <w:r w:rsidR="0083123E" w:rsidRPr="00B64E2A">
        <w:rPr>
          <w:rFonts w:ascii="Tahoma" w:hAnsi="Tahoma" w:cs="Tahoma"/>
          <w:b w:val="0"/>
          <w:sz w:val="20"/>
        </w:rPr>
        <w:t xml:space="preserve"> </w:t>
      </w:r>
      <w:r w:rsidR="00782D3A" w:rsidRPr="00B64E2A">
        <w:rPr>
          <w:rFonts w:ascii="Tahoma" w:hAnsi="Tahoma" w:cs="Tahoma"/>
          <w:b w:val="0"/>
          <w:sz w:val="20"/>
        </w:rPr>
        <w:t xml:space="preserve"> </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 xml:space="preserve">Juzgado de origen: </w:t>
      </w:r>
      <w:r w:rsidRPr="00B64E2A">
        <w:rPr>
          <w:rFonts w:ascii="Tahoma" w:hAnsi="Tahoma" w:cs="Tahoma"/>
          <w:b w:val="0"/>
          <w:sz w:val="20"/>
        </w:rPr>
        <w:tab/>
      </w:r>
      <w:r w:rsidRPr="00B64E2A">
        <w:rPr>
          <w:rFonts w:ascii="Tahoma" w:hAnsi="Tahoma" w:cs="Tahoma"/>
          <w:b w:val="0"/>
          <w:sz w:val="20"/>
        </w:rPr>
        <w:tab/>
      </w:r>
      <w:r w:rsidR="00492B8D">
        <w:rPr>
          <w:rFonts w:ascii="Tahoma" w:hAnsi="Tahoma" w:cs="Tahoma"/>
          <w:b w:val="0"/>
          <w:sz w:val="20"/>
        </w:rPr>
        <w:t xml:space="preserve">Juzgado </w:t>
      </w:r>
      <w:r w:rsidR="00D92B6B">
        <w:rPr>
          <w:rFonts w:ascii="Tahoma" w:hAnsi="Tahoma" w:cs="Tahoma"/>
          <w:b w:val="0"/>
          <w:sz w:val="20"/>
        </w:rPr>
        <w:t>Tercero</w:t>
      </w:r>
      <w:r w:rsidR="0083123E" w:rsidRPr="00B64E2A">
        <w:rPr>
          <w:rFonts w:ascii="Tahoma" w:hAnsi="Tahoma" w:cs="Tahoma"/>
          <w:b w:val="0"/>
          <w:sz w:val="20"/>
        </w:rPr>
        <w:t xml:space="preserve"> </w:t>
      </w:r>
      <w:r w:rsidR="00FC0800" w:rsidRPr="00B64E2A">
        <w:rPr>
          <w:rFonts w:ascii="Tahoma" w:hAnsi="Tahoma" w:cs="Tahoma"/>
          <w:b w:val="0"/>
          <w:sz w:val="20"/>
        </w:rPr>
        <w:t xml:space="preserve">Laboral del Circuito de </w:t>
      </w:r>
      <w:r w:rsidR="0083123E" w:rsidRPr="00B64E2A">
        <w:rPr>
          <w:rFonts w:ascii="Tahoma" w:hAnsi="Tahoma" w:cs="Tahoma"/>
          <w:b w:val="0"/>
          <w:sz w:val="20"/>
        </w:rPr>
        <w:t>Pereira</w:t>
      </w:r>
      <w:r w:rsidR="00FC0800" w:rsidRPr="00B64E2A">
        <w:rPr>
          <w:rFonts w:ascii="Tahoma" w:hAnsi="Tahoma" w:cs="Tahoma"/>
          <w:b w:val="0"/>
          <w:sz w:val="20"/>
        </w:rPr>
        <w:t xml:space="preserve"> (Risaralda) </w:t>
      </w:r>
    </w:p>
    <w:p w:rsidR="00FC0800" w:rsidRDefault="00FC0800">
      <w:pPr>
        <w:pStyle w:val="Puesto"/>
        <w:spacing w:line="240" w:lineRule="auto"/>
        <w:jc w:val="both"/>
        <w:rPr>
          <w:rFonts w:ascii="Tahoma" w:hAnsi="Tahoma" w:cs="Tahoma"/>
          <w:b w:val="0"/>
          <w:sz w:val="20"/>
        </w:rPr>
      </w:pPr>
      <w:r w:rsidRPr="00B64E2A">
        <w:rPr>
          <w:rFonts w:ascii="Tahoma" w:hAnsi="Tahoma" w:cs="Tahoma"/>
          <w:b w:val="0"/>
          <w:sz w:val="20"/>
        </w:rPr>
        <w:t>Magistrado Ponente:</w:t>
      </w:r>
      <w:r w:rsidRPr="00B64E2A">
        <w:rPr>
          <w:rFonts w:ascii="Tahoma" w:hAnsi="Tahoma" w:cs="Tahoma"/>
          <w:b w:val="0"/>
          <w:sz w:val="20"/>
        </w:rPr>
        <w:tab/>
      </w:r>
      <w:r w:rsidRPr="00B64E2A">
        <w:rPr>
          <w:rFonts w:ascii="Tahoma" w:hAnsi="Tahoma" w:cs="Tahoma"/>
          <w:b w:val="0"/>
          <w:sz w:val="20"/>
        </w:rPr>
        <w:tab/>
        <w:t xml:space="preserve">Dr. </w:t>
      </w:r>
      <w:r w:rsidR="00B64E2A" w:rsidRPr="00B64E2A">
        <w:rPr>
          <w:rFonts w:ascii="Tahoma" w:hAnsi="Tahoma" w:cs="Tahoma"/>
          <w:b w:val="0"/>
          <w:sz w:val="20"/>
        </w:rPr>
        <w:t>JULIO CÉSAR SALAZAR MUÑOZ</w:t>
      </w:r>
    </w:p>
    <w:p w:rsidR="00492B8D" w:rsidRPr="00492B8D" w:rsidRDefault="00492B8D">
      <w:pPr>
        <w:pStyle w:val="Puesto"/>
        <w:spacing w:line="240" w:lineRule="auto"/>
        <w:jc w:val="both"/>
        <w:rPr>
          <w:rFonts w:ascii="Tahoma" w:hAnsi="Tahoma" w:cs="Tahoma"/>
          <w:sz w:val="20"/>
        </w:rPr>
      </w:pPr>
      <w:r>
        <w:rPr>
          <w:rFonts w:ascii="Tahoma" w:hAnsi="Tahoma" w:cs="Tahoma"/>
          <w:sz w:val="20"/>
        </w:rPr>
        <w:t>SALVAMENTO DE VOTO:</w:t>
      </w:r>
      <w:r>
        <w:rPr>
          <w:rFonts w:ascii="Tahoma" w:hAnsi="Tahoma" w:cs="Tahoma"/>
          <w:sz w:val="20"/>
        </w:rPr>
        <w:tab/>
        <w:t>Dra. ANA LUCÍA CAICEDO CALDERÓN</w:t>
      </w:r>
    </w:p>
    <w:p w:rsidR="003202EC" w:rsidRDefault="0083123E" w:rsidP="003202EC">
      <w:pPr>
        <w:pStyle w:val="Puesto"/>
        <w:spacing w:line="240" w:lineRule="auto"/>
        <w:ind w:left="2805" w:hanging="2805"/>
        <w:jc w:val="both"/>
        <w:rPr>
          <w:rFonts w:ascii="Tahoma" w:hAnsi="Tahoma" w:cs="Tahoma"/>
          <w:b w:val="0"/>
          <w:sz w:val="18"/>
          <w:szCs w:val="18"/>
        </w:rPr>
      </w:pPr>
      <w:proofErr w:type="gramStart"/>
      <w:r w:rsidRPr="003202EC">
        <w:rPr>
          <w:rFonts w:ascii="Tahoma" w:hAnsi="Tahoma" w:cs="Tahoma"/>
          <w:sz w:val="20"/>
          <w:szCs w:val="20"/>
        </w:rPr>
        <w:t>Tema :</w:t>
      </w:r>
      <w:proofErr w:type="gramEnd"/>
      <w:r w:rsidRPr="003202EC">
        <w:rPr>
          <w:rFonts w:ascii="Tahoma" w:hAnsi="Tahoma" w:cs="Tahoma"/>
          <w:sz w:val="20"/>
          <w:szCs w:val="20"/>
        </w:rPr>
        <w:t xml:space="preserve"> </w:t>
      </w:r>
      <w:r w:rsidRPr="003202EC">
        <w:rPr>
          <w:rFonts w:ascii="Tahoma" w:hAnsi="Tahoma" w:cs="Tahoma"/>
          <w:sz w:val="20"/>
          <w:szCs w:val="20"/>
        </w:rPr>
        <w:tab/>
      </w:r>
      <w:r w:rsidR="003202EC" w:rsidRPr="003202EC">
        <w:rPr>
          <w:rFonts w:ascii="Tahoma" w:hAnsi="Tahoma" w:cs="Tahoma"/>
          <w:sz w:val="20"/>
          <w:szCs w:val="20"/>
        </w:rPr>
        <w:t>DEPENDENCIA ECONOMICA.- PRESUNCIÓN DE VERACIDAD</w:t>
      </w:r>
      <w:r w:rsidR="00D84A29" w:rsidRPr="003202EC">
        <w:rPr>
          <w:rFonts w:ascii="Tahoma" w:hAnsi="Tahoma" w:cs="Tahoma"/>
          <w:sz w:val="20"/>
          <w:szCs w:val="20"/>
        </w:rPr>
        <w:t>:</w:t>
      </w:r>
      <w:r w:rsidR="003202EC" w:rsidRPr="003202EC">
        <w:rPr>
          <w:rFonts w:ascii="Tahoma" w:hAnsi="Tahoma" w:cs="Tahoma"/>
          <w:sz w:val="18"/>
          <w:szCs w:val="18"/>
        </w:rPr>
        <w:t xml:space="preserve"> </w:t>
      </w:r>
      <w:r w:rsidR="003202EC" w:rsidRPr="003202EC">
        <w:rPr>
          <w:rFonts w:ascii="Tahoma" w:hAnsi="Tahoma" w:cs="Tahoma"/>
          <w:b w:val="0"/>
          <w:sz w:val="18"/>
          <w:szCs w:val="18"/>
        </w:rPr>
        <w:t xml:space="preserve">Se duele </w:t>
      </w:r>
      <w:smartTag w:uri="urn:schemas-microsoft-com:office:smarttags" w:element="PersonName">
        <w:smartTagPr>
          <w:attr w:name="ProductID" w:val="la Sala"/>
        </w:smartTagPr>
        <w:r w:rsidR="003202EC" w:rsidRPr="003202EC">
          <w:rPr>
            <w:rFonts w:ascii="Tahoma" w:hAnsi="Tahoma" w:cs="Tahoma"/>
            <w:b w:val="0"/>
            <w:sz w:val="18"/>
            <w:szCs w:val="18"/>
          </w:rPr>
          <w:t>la Sala</w:t>
        </w:r>
      </w:smartTag>
      <w:r w:rsidR="003202EC" w:rsidRPr="003202EC">
        <w:rPr>
          <w:rFonts w:ascii="Tahoma" w:hAnsi="Tahoma" w:cs="Tahoma"/>
          <w:b w:val="0"/>
          <w:sz w:val="18"/>
          <w:szCs w:val="18"/>
        </w:rPr>
        <w:t xml:space="preserve"> mayoritaria de que al plenario no se aportó prueba de la dependencia económica porque la declaración extrajuicio que se arrimó apenas da cuenta de la convivencia de la hija discapacitada con su padre. Resulta contradictoria esta conclusión con la aplicación de la presunción de veracidad que aplicó líneas atrás, en virtud de la cual se presumen ciertos todos los hechos de la demanda y cuyos efectos sólo quedan sin vigor cuando en el expediente existe prueba en contrario. Pero como si lo anterior fuera poco, la presunción de la dependencia económica se refuerza con las condiciones particulares de la demandante al acreditar que es mujer adulta discapacitada mental definitiva desde el nacimiento, con una pérdida de capacidad laboral del 61.30%, quien siempre vivió bajo el mismo techo de sus padres. Sin duda todas estas circunstancias hacían presumir sin mayor esfuerzo la dependencia económica, aun sin aplicar el artículo 20 del Decreto 2591/91. </w:t>
      </w:r>
    </w:p>
    <w:p w:rsidR="00F13051" w:rsidRDefault="00F13051" w:rsidP="003202EC">
      <w:pPr>
        <w:pStyle w:val="Puesto"/>
        <w:spacing w:line="240" w:lineRule="auto"/>
        <w:ind w:left="2805" w:hanging="2805"/>
        <w:jc w:val="both"/>
        <w:rPr>
          <w:rFonts w:ascii="Tahoma" w:hAnsi="Tahoma" w:cs="Tahoma"/>
          <w:b w:val="0"/>
          <w:sz w:val="18"/>
          <w:szCs w:val="18"/>
        </w:rPr>
      </w:pPr>
    </w:p>
    <w:p w:rsidR="00F13051" w:rsidRPr="00F13051" w:rsidRDefault="00F13051" w:rsidP="00F13051">
      <w:pPr>
        <w:ind w:left="2805" w:right="335"/>
        <w:jc w:val="both"/>
        <w:rPr>
          <w:rFonts w:ascii="Tahoma" w:hAnsi="Tahoma" w:cs="Tahoma"/>
          <w:sz w:val="18"/>
          <w:szCs w:val="18"/>
        </w:rPr>
      </w:pPr>
      <w:r w:rsidRPr="00F13051">
        <w:rPr>
          <w:rFonts w:ascii="Tahoma" w:hAnsi="Tahoma" w:cs="Tahoma"/>
          <w:b/>
          <w:sz w:val="18"/>
          <w:szCs w:val="18"/>
        </w:rPr>
        <w:t xml:space="preserve">OMISIÓN EN LA APLICACIÓN DE PERSPECTIVA A DE GÉNERO: </w:t>
      </w:r>
      <w:smartTag w:uri="urn:schemas-microsoft-com:office:smarttags" w:element="PersonName">
        <w:smartTagPr>
          <w:attr w:name="ProductID" w:val="la Sala"/>
        </w:smartTagPr>
        <w:r w:rsidRPr="00F13051">
          <w:rPr>
            <w:rFonts w:ascii="Tahoma" w:hAnsi="Tahoma" w:cs="Tahoma"/>
            <w:sz w:val="18"/>
            <w:szCs w:val="18"/>
          </w:rPr>
          <w:t>La Sala</w:t>
        </w:r>
      </w:smartTag>
      <w:r w:rsidRPr="00F13051">
        <w:rPr>
          <w:rFonts w:ascii="Tahoma" w:hAnsi="Tahoma" w:cs="Tahoma"/>
          <w:sz w:val="18"/>
          <w:szCs w:val="18"/>
        </w:rPr>
        <w:t xml:space="preserve"> mayoritaria dejó a un lado el hecho de que la </w:t>
      </w:r>
      <w:proofErr w:type="spellStart"/>
      <w:r w:rsidRPr="00F13051">
        <w:rPr>
          <w:rFonts w:ascii="Tahoma" w:hAnsi="Tahoma" w:cs="Tahoma"/>
          <w:sz w:val="18"/>
          <w:szCs w:val="18"/>
        </w:rPr>
        <w:t>tutelante</w:t>
      </w:r>
      <w:proofErr w:type="spellEnd"/>
      <w:r w:rsidRPr="00F13051">
        <w:rPr>
          <w:rFonts w:ascii="Tahoma" w:hAnsi="Tahoma" w:cs="Tahoma"/>
          <w:sz w:val="18"/>
          <w:szCs w:val="18"/>
        </w:rPr>
        <w:t xml:space="preserve"> es </w:t>
      </w:r>
      <w:r w:rsidRPr="00F13051">
        <w:rPr>
          <w:rFonts w:ascii="Tahoma" w:hAnsi="Tahoma" w:cs="Tahoma"/>
          <w:b/>
          <w:sz w:val="18"/>
          <w:szCs w:val="18"/>
        </w:rPr>
        <w:t xml:space="preserve">mujer en condiciones de vulnerabilidad, </w:t>
      </w:r>
      <w:r w:rsidRPr="00F13051">
        <w:rPr>
          <w:rFonts w:ascii="Tahoma" w:hAnsi="Tahoma" w:cs="Tahoma"/>
          <w:sz w:val="18"/>
          <w:szCs w:val="18"/>
        </w:rPr>
        <w:t xml:space="preserve">por tratarse de una mayor adulta con discapacidad mental definitiva y pérdida de capacidad laboral superior al 61 % incapaz de </w:t>
      </w:r>
      <w:proofErr w:type="spellStart"/>
      <w:r w:rsidRPr="00F13051">
        <w:rPr>
          <w:rFonts w:ascii="Tahoma" w:hAnsi="Tahoma" w:cs="Tahoma"/>
          <w:sz w:val="18"/>
          <w:szCs w:val="18"/>
        </w:rPr>
        <w:t>autosostenerse</w:t>
      </w:r>
      <w:proofErr w:type="spellEnd"/>
      <w:r w:rsidRPr="00F13051">
        <w:rPr>
          <w:rFonts w:ascii="Tahoma" w:hAnsi="Tahoma" w:cs="Tahoma"/>
          <w:sz w:val="18"/>
          <w:szCs w:val="18"/>
        </w:rPr>
        <w:t xml:space="preserve"> y/o </w:t>
      </w:r>
      <w:proofErr w:type="spellStart"/>
      <w:r w:rsidRPr="00F13051">
        <w:rPr>
          <w:rFonts w:ascii="Tahoma" w:hAnsi="Tahoma" w:cs="Tahoma"/>
          <w:sz w:val="18"/>
          <w:szCs w:val="18"/>
        </w:rPr>
        <w:t>autodeterminarse</w:t>
      </w:r>
      <w:proofErr w:type="spellEnd"/>
      <w:r w:rsidRPr="00F13051">
        <w:rPr>
          <w:rFonts w:ascii="Tahoma" w:hAnsi="Tahoma" w:cs="Tahoma"/>
          <w:sz w:val="18"/>
          <w:szCs w:val="18"/>
        </w:rPr>
        <w:t xml:space="preserve">, de manera que al asunto debió aplicarse criterios de perspectiva de género. </w:t>
      </w:r>
    </w:p>
    <w:p w:rsidR="00F13051" w:rsidRPr="003202EC" w:rsidRDefault="00F13051" w:rsidP="003202EC">
      <w:pPr>
        <w:pStyle w:val="Puesto"/>
        <w:spacing w:line="240" w:lineRule="auto"/>
        <w:ind w:left="2805" w:hanging="2805"/>
        <w:jc w:val="both"/>
        <w:rPr>
          <w:rFonts w:ascii="Tahoma" w:hAnsi="Tahoma" w:cs="Tahoma"/>
          <w:b w:val="0"/>
          <w:sz w:val="18"/>
          <w:szCs w:val="18"/>
        </w:rPr>
      </w:pPr>
    </w:p>
    <w:p w:rsidR="003202EC" w:rsidRPr="00270FD4" w:rsidRDefault="003202EC" w:rsidP="00270FD4">
      <w:pPr>
        <w:pStyle w:val="Puesto"/>
        <w:spacing w:line="240" w:lineRule="auto"/>
        <w:ind w:left="2805" w:hanging="2805"/>
        <w:jc w:val="both"/>
        <w:rPr>
          <w:rFonts w:ascii="Tahoma" w:hAnsi="Tahoma" w:cs="Tahoma"/>
          <w:b w:val="0"/>
          <w:sz w:val="18"/>
          <w:szCs w:val="18"/>
        </w:rPr>
      </w:pPr>
    </w:p>
    <w:p w:rsidR="002643DF" w:rsidRPr="00270FD4" w:rsidRDefault="002643DF" w:rsidP="002643DF">
      <w:pPr>
        <w:rPr>
          <w:sz w:val="18"/>
          <w:szCs w:val="18"/>
          <w:lang w:val="es-CO" w:eastAsia="es-MX"/>
        </w:rPr>
      </w:pPr>
    </w:p>
    <w:p w:rsidR="00D84A29" w:rsidRDefault="00D84A29" w:rsidP="002643DF">
      <w:pPr>
        <w:rPr>
          <w:lang w:val="es-CO" w:eastAsia="es-MX"/>
        </w:rPr>
      </w:pPr>
    </w:p>
    <w:p w:rsidR="00CC6202" w:rsidRDefault="00CC6202" w:rsidP="002643DF">
      <w:pPr>
        <w:rPr>
          <w:lang w:val="es-CO" w:eastAsia="es-MX"/>
        </w:rPr>
      </w:pPr>
    </w:p>
    <w:p w:rsidR="00782D3A" w:rsidRPr="00B64E2A" w:rsidRDefault="004E5FAC" w:rsidP="00891AF1">
      <w:pPr>
        <w:pStyle w:val="Ttulo1"/>
        <w:widowControl/>
        <w:autoSpaceDE/>
        <w:autoSpaceDN/>
        <w:adjustRightInd/>
        <w:spacing w:line="360" w:lineRule="auto"/>
        <w:rPr>
          <w:rFonts w:ascii="Tahoma" w:hAnsi="Tahoma" w:cs="Tahoma"/>
          <w:bCs/>
          <w:u w:val="single"/>
        </w:rPr>
      </w:pPr>
      <w:r>
        <w:rPr>
          <w:rFonts w:ascii="Tahoma" w:hAnsi="Tahoma" w:cs="Tahoma"/>
          <w:bCs/>
          <w:u w:val="single"/>
        </w:rPr>
        <w:t>SALVAMENTO</w:t>
      </w:r>
      <w:r w:rsidR="00782D3A" w:rsidRPr="00B64E2A">
        <w:rPr>
          <w:rFonts w:ascii="Tahoma" w:hAnsi="Tahoma" w:cs="Tahoma"/>
          <w:bCs/>
          <w:u w:val="single"/>
        </w:rPr>
        <w:t xml:space="preserve"> DE VOTO</w:t>
      </w:r>
    </w:p>
    <w:p w:rsidR="00CC6202" w:rsidRDefault="00CC6202">
      <w:pPr>
        <w:spacing w:line="360" w:lineRule="auto"/>
        <w:jc w:val="both"/>
        <w:rPr>
          <w:rFonts w:ascii="Tahoma" w:hAnsi="Tahoma" w:cs="Tahoma"/>
        </w:rPr>
      </w:pPr>
    </w:p>
    <w:p w:rsidR="00845996" w:rsidRDefault="004E5FAC">
      <w:pPr>
        <w:spacing w:line="360" w:lineRule="auto"/>
        <w:jc w:val="both"/>
        <w:rPr>
          <w:rFonts w:ascii="Tahoma" w:hAnsi="Tahoma" w:cs="Tahoma"/>
        </w:rPr>
      </w:pPr>
      <w:r>
        <w:rPr>
          <w:rFonts w:ascii="Tahoma" w:hAnsi="Tahoma" w:cs="Tahoma"/>
        </w:rPr>
        <w:t xml:space="preserve">Con mi acostumbrado respeto, </w:t>
      </w:r>
      <w:r w:rsidR="00845996">
        <w:rPr>
          <w:rFonts w:ascii="Tahoma" w:hAnsi="Tahoma" w:cs="Tahoma"/>
        </w:rPr>
        <w:t>me aparto de</w:t>
      </w:r>
      <w:r w:rsidR="00D92B6B">
        <w:rPr>
          <w:rFonts w:ascii="Tahoma" w:hAnsi="Tahoma" w:cs="Tahoma"/>
        </w:rPr>
        <w:t xml:space="preserve"> la decisión de negar el amparo deprecado en la acción de tutela por </w:t>
      </w:r>
      <w:r w:rsidR="00845996">
        <w:rPr>
          <w:rFonts w:ascii="Tahoma" w:hAnsi="Tahoma" w:cs="Tahoma"/>
        </w:rPr>
        <w:t xml:space="preserve">las siguientes razones: </w:t>
      </w:r>
    </w:p>
    <w:p w:rsidR="00845996" w:rsidRDefault="00845996">
      <w:pPr>
        <w:spacing w:line="360" w:lineRule="auto"/>
        <w:jc w:val="both"/>
        <w:rPr>
          <w:rFonts w:ascii="Tahoma" w:hAnsi="Tahoma" w:cs="Tahoma"/>
        </w:rPr>
      </w:pPr>
    </w:p>
    <w:p w:rsidR="00562170" w:rsidRDefault="00D92B6B" w:rsidP="00B25AA7">
      <w:pPr>
        <w:pStyle w:val="Textoindependiente21"/>
        <w:numPr>
          <w:ilvl w:val="0"/>
          <w:numId w:val="11"/>
        </w:numPr>
        <w:spacing w:line="360" w:lineRule="auto"/>
        <w:rPr>
          <w:rFonts w:ascii="Tahoma" w:hAnsi="Tahoma" w:cs="Tahoma"/>
          <w:b w:val="0"/>
          <w:sz w:val="24"/>
          <w:szCs w:val="24"/>
        </w:rPr>
      </w:pPr>
      <w:r>
        <w:rPr>
          <w:rFonts w:ascii="Tahoma" w:hAnsi="Tahoma" w:cs="Tahoma"/>
          <w:sz w:val="24"/>
          <w:szCs w:val="24"/>
        </w:rPr>
        <w:t>Violación de la presunción de veracidad consagrada en el artículo 20 del Decreto 2591 de 1.991.- Violaci</w:t>
      </w:r>
      <w:r w:rsidR="000F3F54">
        <w:rPr>
          <w:rFonts w:ascii="Tahoma" w:hAnsi="Tahoma" w:cs="Tahoma"/>
          <w:sz w:val="24"/>
          <w:szCs w:val="24"/>
        </w:rPr>
        <w:t xml:space="preserve">ón del </w:t>
      </w:r>
      <w:r w:rsidR="00A470C5" w:rsidRPr="00B25AA7">
        <w:rPr>
          <w:rFonts w:ascii="Tahoma" w:hAnsi="Tahoma" w:cs="Tahoma"/>
          <w:sz w:val="24"/>
          <w:szCs w:val="24"/>
        </w:rPr>
        <w:t>principio de buena fe</w:t>
      </w:r>
      <w:r w:rsidR="000F3F54">
        <w:rPr>
          <w:rFonts w:ascii="Tahoma" w:hAnsi="Tahoma" w:cs="Tahoma"/>
          <w:sz w:val="24"/>
          <w:szCs w:val="24"/>
        </w:rPr>
        <w:t>:</w:t>
      </w:r>
      <w:r w:rsidR="00A470C5" w:rsidRPr="00F37BC7">
        <w:rPr>
          <w:sz w:val="24"/>
          <w:szCs w:val="24"/>
        </w:rPr>
        <w:t xml:space="preserve"> </w:t>
      </w:r>
      <w:r w:rsidR="00B25AA7">
        <w:rPr>
          <w:rFonts w:ascii="Tahoma" w:hAnsi="Tahoma" w:cs="Tahoma"/>
          <w:b w:val="0"/>
          <w:sz w:val="24"/>
          <w:szCs w:val="24"/>
        </w:rPr>
        <w:t>Comencemos por de</w:t>
      </w:r>
      <w:r w:rsidR="000F3F54">
        <w:rPr>
          <w:rFonts w:ascii="Tahoma" w:hAnsi="Tahoma" w:cs="Tahoma"/>
          <w:b w:val="0"/>
          <w:sz w:val="24"/>
          <w:szCs w:val="24"/>
        </w:rPr>
        <w:t xml:space="preserve">stacar que el amparo constitucional lo solicita </w:t>
      </w:r>
      <w:r w:rsidR="000F3F54" w:rsidRPr="000F3F54">
        <w:rPr>
          <w:rFonts w:ascii="Tahoma" w:hAnsi="Tahoma" w:cs="Tahoma"/>
          <w:sz w:val="24"/>
          <w:szCs w:val="24"/>
        </w:rPr>
        <w:t>una mujer en condiciones de vulnerabilidad</w:t>
      </w:r>
      <w:r w:rsidR="000F3F54">
        <w:rPr>
          <w:rFonts w:ascii="Tahoma" w:hAnsi="Tahoma" w:cs="Tahoma"/>
          <w:sz w:val="24"/>
          <w:szCs w:val="24"/>
        </w:rPr>
        <w:t>,</w:t>
      </w:r>
      <w:r w:rsidR="000F3F54">
        <w:rPr>
          <w:rFonts w:ascii="Tahoma" w:hAnsi="Tahoma" w:cs="Tahoma"/>
          <w:b w:val="0"/>
          <w:sz w:val="24"/>
          <w:szCs w:val="24"/>
        </w:rPr>
        <w:t xml:space="preserve"> de 57 años de edad, </w:t>
      </w:r>
      <w:r w:rsidR="000F3F54" w:rsidRPr="000F3F54">
        <w:rPr>
          <w:rFonts w:ascii="Tahoma" w:hAnsi="Tahoma" w:cs="Tahoma"/>
          <w:sz w:val="24"/>
          <w:szCs w:val="24"/>
        </w:rPr>
        <w:t>discapacitada mental,</w:t>
      </w:r>
      <w:r w:rsidR="000F3F54">
        <w:rPr>
          <w:rFonts w:ascii="Tahoma" w:hAnsi="Tahoma" w:cs="Tahoma"/>
          <w:b w:val="0"/>
          <w:sz w:val="24"/>
          <w:szCs w:val="24"/>
        </w:rPr>
        <w:t xml:space="preserve"> quien a través de su tutora legal, solicita que a través de la acción de tutela COLPENSIONES reconozca en su favor la pensión de sobrevivientes, causada en su favor por la muerte de su padre. </w:t>
      </w:r>
      <w:r w:rsidR="00C26D24">
        <w:rPr>
          <w:rFonts w:ascii="Tahoma" w:hAnsi="Tahoma" w:cs="Tahoma"/>
          <w:b w:val="0"/>
          <w:sz w:val="24"/>
          <w:szCs w:val="24"/>
        </w:rPr>
        <w:t>E</w:t>
      </w:r>
      <w:r w:rsidR="000F3F54">
        <w:rPr>
          <w:rFonts w:ascii="Tahoma" w:hAnsi="Tahoma" w:cs="Tahoma"/>
          <w:b w:val="0"/>
          <w:sz w:val="24"/>
          <w:szCs w:val="24"/>
        </w:rPr>
        <w:t xml:space="preserve">n primera instancia </w:t>
      </w:r>
      <w:r w:rsidR="00C26D24">
        <w:rPr>
          <w:rFonts w:ascii="Tahoma" w:hAnsi="Tahoma" w:cs="Tahoma"/>
          <w:b w:val="0"/>
          <w:sz w:val="24"/>
          <w:szCs w:val="24"/>
        </w:rPr>
        <w:t xml:space="preserve">se denegó el amparo porque la accionante no demostró la dependencia económica frente a su fallecido padre ni la ocurrencia de un perjuicio irremediable, decisión que fue confirmada por </w:t>
      </w:r>
      <w:smartTag w:uri="urn:schemas-microsoft-com:office:smarttags" w:element="PersonName">
        <w:smartTagPr>
          <w:attr w:name="ProductID" w:val="la Sala"/>
        </w:smartTagPr>
        <w:r w:rsidR="00C26D24">
          <w:rPr>
            <w:rFonts w:ascii="Tahoma" w:hAnsi="Tahoma" w:cs="Tahoma"/>
            <w:b w:val="0"/>
            <w:sz w:val="24"/>
            <w:szCs w:val="24"/>
          </w:rPr>
          <w:t>la Sala</w:t>
        </w:r>
      </w:smartTag>
      <w:r w:rsidR="00C26D24">
        <w:rPr>
          <w:rFonts w:ascii="Tahoma" w:hAnsi="Tahoma" w:cs="Tahoma"/>
          <w:b w:val="0"/>
          <w:sz w:val="24"/>
          <w:szCs w:val="24"/>
        </w:rPr>
        <w:t xml:space="preserve"> mayoritaria a pesar de que su análisis sólo se limitó a la supuesta falta de prueba de la dependencia económica. Dicha decisión </w:t>
      </w:r>
      <w:r w:rsidR="00404B8D">
        <w:rPr>
          <w:rFonts w:ascii="Tahoma" w:hAnsi="Tahoma" w:cs="Tahoma"/>
          <w:b w:val="0"/>
          <w:i/>
          <w:sz w:val="24"/>
          <w:szCs w:val="24"/>
        </w:rPr>
        <w:t xml:space="preserve">–la de segunda instancia- </w:t>
      </w:r>
      <w:r w:rsidR="00404B8D">
        <w:rPr>
          <w:rFonts w:ascii="Tahoma" w:hAnsi="Tahoma" w:cs="Tahoma"/>
          <w:b w:val="0"/>
          <w:sz w:val="24"/>
          <w:szCs w:val="24"/>
        </w:rPr>
        <w:t xml:space="preserve">se toma a pesar de que se reconoce dos situaciones </w:t>
      </w:r>
      <w:r w:rsidR="00404B8D">
        <w:rPr>
          <w:rFonts w:ascii="Tahoma" w:hAnsi="Tahoma" w:cs="Tahoma"/>
          <w:b w:val="0"/>
          <w:sz w:val="24"/>
          <w:szCs w:val="24"/>
        </w:rPr>
        <w:lastRenderedPageBreak/>
        <w:t xml:space="preserve">importantes: </w:t>
      </w:r>
      <w:r w:rsidR="00404B8D">
        <w:rPr>
          <w:rFonts w:ascii="Tahoma" w:hAnsi="Tahoma" w:cs="Tahoma"/>
          <w:b w:val="0"/>
          <w:i/>
          <w:sz w:val="24"/>
          <w:szCs w:val="24"/>
        </w:rPr>
        <w:t xml:space="preserve">i) </w:t>
      </w:r>
      <w:r w:rsidR="00404B8D">
        <w:rPr>
          <w:rFonts w:ascii="Tahoma" w:hAnsi="Tahoma" w:cs="Tahoma"/>
          <w:b w:val="0"/>
          <w:sz w:val="24"/>
          <w:szCs w:val="24"/>
        </w:rPr>
        <w:t>que la falta de contestación de la demanda de tutela por parte de COLPENSIONES hace presumir ciertos los hechos narrados por la actora, de conformidad al artículo 20 del Decreto 259</w:t>
      </w:r>
      <w:r w:rsidR="00562170">
        <w:rPr>
          <w:rFonts w:ascii="Tahoma" w:hAnsi="Tahoma" w:cs="Tahoma"/>
          <w:b w:val="0"/>
          <w:sz w:val="24"/>
          <w:szCs w:val="24"/>
        </w:rPr>
        <w:t xml:space="preserve">1 de 1.991, entre los cuales se encuentra la dependencia económica; y, </w:t>
      </w:r>
      <w:r w:rsidR="00562170">
        <w:rPr>
          <w:rFonts w:ascii="Tahoma" w:hAnsi="Tahoma" w:cs="Tahoma"/>
          <w:b w:val="0"/>
          <w:i/>
          <w:sz w:val="24"/>
          <w:szCs w:val="24"/>
        </w:rPr>
        <w:t xml:space="preserve">ii) </w:t>
      </w:r>
      <w:r w:rsidR="00562170">
        <w:rPr>
          <w:rFonts w:ascii="Tahoma" w:hAnsi="Tahoma" w:cs="Tahoma"/>
          <w:b w:val="0"/>
          <w:sz w:val="24"/>
          <w:szCs w:val="24"/>
        </w:rPr>
        <w:t xml:space="preserve">que la actora es un sujeto de especial protección por parte del Estado por haber sido declarada judicialmente con discapacidad mental definitiva y con una pérdida de capacidad laboral del 61.30%. </w:t>
      </w:r>
    </w:p>
    <w:p w:rsidR="00562170" w:rsidRDefault="00562170" w:rsidP="00562170">
      <w:pPr>
        <w:pStyle w:val="Textoindependiente21"/>
        <w:spacing w:line="360" w:lineRule="auto"/>
        <w:ind w:left="360" w:firstLine="0"/>
        <w:rPr>
          <w:rFonts w:ascii="Tahoma" w:hAnsi="Tahoma" w:cs="Tahoma"/>
          <w:b w:val="0"/>
          <w:sz w:val="24"/>
          <w:szCs w:val="24"/>
        </w:rPr>
      </w:pPr>
    </w:p>
    <w:p w:rsidR="000F0FBE" w:rsidRDefault="00562170" w:rsidP="00562170">
      <w:pPr>
        <w:pStyle w:val="Textoindependiente21"/>
        <w:spacing w:line="360" w:lineRule="auto"/>
        <w:ind w:left="708" w:firstLine="0"/>
        <w:rPr>
          <w:rFonts w:ascii="Tahoma" w:hAnsi="Tahoma" w:cs="Tahoma"/>
          <w:b w:val="0"/>
          <w:sz w:val="24"/>
          <w:szCs w:val="24"/>
        </w:rPr>
      </w:pPr>
      <w:r>
        <w:rPr>
          <w:rFonts w:ascii="Tahoma" w:hAnsi="Tahoma" w:cs="Tahoma"/>
          <w:b w:val="0"/>
          <w:sz w:val="24"/>
          <w:szCs w:val="24"/>
        </w:rPr>
        <w:t xml:space="preserve">Se duele </w:t>
      </w:r>
      <w:smartTag w:uri="urn:schemas-microsoft-com:office:smarttags" w:element="PersonName">
        <w:smartTagPr>
          <w:attr w:name="ProductID" w:val="la Sala"/>
        </w:smartTagPr>
        <w:r>
          <w:rPr>
            <w:rFonts w:ascii="Tahoma" w:hAnsi="Tahoma" w:cs="Tahoma"/>
            <w:b w:val="0"/>
            <w:sz w:val="24"/>
            <w:szCs w:val="24"/>
          </w:rPr>
          <w:t>la Sala</w:t>
        </w:r>
      </w:smartTag>
      <w:r>
        <w:rPr>
          <w:rFonts w:ascii="Tahoma" w:hAnsi="Tahoma" w:cs="Tahoma"/>
          <w:b w:val="0"/>
          <w:sz w:val="24"/>
          <w:szCs w:val="24"/>
        </w:rPr>
        <w:t xml:space="preserve"> mayoritaria de que al plenario no se aportó prueba de la dependencia económica porque la declaración extrajuicio que se arrimó apenas da cuenta de la convivencia de la hija discapacitada con su padre. </w:t>
      </w:r>
      <w:r w:rsidR="003B0DB1">
        <w:rPr>
          <w:rFonts w:ascii="Tahoma" w:hAnsi="Tahoma" w:cs="Tahoma"/>
          <w:b w:val="0"/>
          <w:sz w:val="24"/>
          <w:szCs w:val="24"/>
        </w:rPr>
        <w:t xml:space="preserve">Resulta contradictoria esta conclusión con la aplicación de la presunción de veracidad que aplicó líneas atrás, en virtud de la cual se presumen ciertos todos los hechos de la demanda y cuyos efectos sólo quedan sin vigor cuando en el expediente </w:t>
      </w:r>
      <w:r w:rsidR="000F0FBE">
        <w:rPr>
          <w:rFonts w:ascii="Tahoma" w:hAnsi="Tahoma" w:cs="Tahoma"/>
          <w:b w:val="0"/>
          <w:sz w:val="24"/>
          <w:szCs w:val="24"/>
        </w:rPr>
        <w:t>existe prueba en contrario</w:t>
      </w:r>
      <w:r w:rsidR="003202EC">
        <w:rPr>
          <w:rFonts w:ascii="Tahoma" w:hAnsi="Tahoma" w:cs="Tahoma"/>
          <w:b w:val="0"/>
          <w:sz w:val="24"/>
          <w:szCs w:val="24"/>
        </w:rPr>
        <w:t xml:space="preserve">. </w:t>
      </w:r>
      <w:r w:rsidR="000F0FBE">
        <w:rPr>
          <w:rFonts w:ascii="Tahoma" w:hAnsi="Tahoma" w:cs="Tahoma"/>
          <w:b w:val="0"/>
          <w:sz w:val="24"/>
          <w:szCs w:val="24"/>
        </w:rPr>
        <w:t xml:space="preserve">Pero como si lo anterior fuera poco, la presunción de la dependencia económica se refuerza con las condiciones particulares de la demandante al acreditar que es mujer adulta discapacitada mental definitiva desde el nacimiento, con una pérdida de capacidad laboral del 61.30%, quien siempre vivió bajo el mismo techo de sus padres. Sin duda todas estas circunstancias hacían presumir sin mayor esfuerzo la dependencia económica, aun sin aplicar el artículo 20 del Decreto 2591/91. </w:t>
      </w:r>
    </w:p>
    <w:p w:rsidR="000F0FBE" w:rsidRDefault="000F0FBE" w:rsidP="00562170">
      <w:pPr>
        <w:pStyle w:val="Textoindependiente21"/>
        <w:spacing w:line="360" w:lineRule="auto"/>
        <w:ind w:left="708" w:firstLine="0"/>
        <w:rPr>
          <w:rFonts w:ascii="Tahoma" w:hAnsi="Tahoma" w:cs="Tahoma"/>
          <w:b w:val="0"/>
          <w:sz w:val="24"/>
          <w:szCs w:val="24"/>
        </w:rPr>
      </w:pPr>
    </w:p>
    <w:p w:rsidR="007E52B9" w:rsidRDefault="00E80801" w:rsidP="00562170">
      <w:pPr>
        <w:pStyle w:val="Textoindependiente21"/>
        <w:spacing w:line="360" w:lineRule="auto"/>
        <w:ind w:left="708" w:firstLine="0"/>
        <w:rPr>
          <w:rFonts w:ascii="Tahoma" w:hAnsi="Tahoma" w:cs="Tahoma"/>
          <w:b w:val="0"/>
          <w:sz w:val="24"/>
          <w:szCs w:val="24"/>
        </w:rPr>
      </w:pPr>
      <w:r>
        <w:rPr>
          <w:rFonts w:ascii="Tahoma" w:hAnsi="Tahoma" w:cs="Tahoma"/>
          <w:b w:val="0"/>
          <w:sz w:val="24"/>
          <w:szCs w:val="24"/>
        </w:rPr>
        <w:t xml:space="preserve">Con la negativa del amparo </w:t>
      </w:r>
      <w:smartTag w:uri="urn:schemas-microsoft-com:office:smarttags" w:element="PersonName">
        <w:smartTagPr>
          <w:attr w:name="ProductID" w:val="la Sala"/>
        </w:smartTagPr>
        <w:r>
          <w:rPr>
            <w:rFonts w:ascii="Tahoma" w:hAnsi="Tahoma" w:cs="Tahoma"/>
            <w:b w:val="0"/>
            <w:sz w:val="24"/>
            <w:szCs w:val="24"/>
          </w:rPr>
          <w:t>la Sala</w:t>
        </w:r>
      </w:smartTag>
      <w:r>
        <w:rPr>
          <w:rFonts w:ascii="Tahoma" w:hAnsi="Tahoma" w:cs="Tahoma"/>
          <w:b w:val="0"/>
          <w:sz w:val="24"/>
          <w:szCs w:val="24"/>
        </w:rPr>
        <w:t xml:space="preserve"> mayoritaria no solo viola la presunción de veracidad sino el principio de buena fe, al poner en tela de juicio </w:t>
      </w:r>
      <w:r w:rsidR="003202EC">
        <w:rPr>
          <w:rFonts w:ascii="Tahoma" w:hAnsi="Tahoma" w:cs="Tahoma"/>
          <w:b w:val="0"/>
          <w:sz w:val="24"/>
          <w:szCs w:val="24"/>
        </w:rPr>
        <w:t xml:space="preserve">de </w:t>
      </w:r>
      <w:r>
        <w:rPr>
          <w:rFonts w:ascii="Tahoma" w:hAnsi="Tahoma" w:cs="Tahoma"/>
          <w:b w:val="0"/>
          <w:sz w:val="24"/>
          <w:szCs w:val="24"/>
        </w:rPr>
        <w:t xml:space="preserve">que pese a las características que rodean a la </w:t>
      </w:r>
      <w:proofErr w:type="spellStart"/>
      <w:r>
        <w:rPr>
          <w:rFonts w:ascii="Tahoma" w:hAnsi="Tahoma" w:cs="Tahoma"/>
          <w:b w:val="0"/>
          <w:sz w:val="24"/>
          <w:szCs w:val="24"/>
        </w:rPr>
        <w:t>tutelante</w:t>
      </w:r>
      <w:proofErr w:type="spellEnd"/>
      <w:r>
        <w:rPr>
          <w:rFonts w:ascii="Tahoma" w:hAnsi="Tahoma" w:cs="Tahoma"/>
          <w:b w:val="0"/>
          <w:sz w:val="24"/>
          <w:szCs w:val="24"/>
        </w:rPr>
        <w:t xml:space="preserve">, se requería más pruebas de dependencia al resultar insuficiente sus propias condiciones personales. </w:t>
      </w:r>
      <w:r w:rsidR="003202EC">
        <w:rPr>
          <w:rFonts w:ascii="Tahoma" w:hAnsi="Tahoma" w:cs="Tahoma"/>
          <w:b w:val="0"/>
          <w:sz w:val="24"/>
          <w:szCs w:val="24"/>
        </w:rPr>
        <w:t xml:space="preserve">Si </w:t>
      </w:r>
      <w:smartTag w:uri="urn:schemas-microsoft-com:office:smarttags" w:element="PersonName">
        <w:smartTagPr>
          <w:attr w:name="ProductID" w:val="la Sala"/>
        </w:smartTagPr>
        <w:r w:rsidR="003202EC">
          <w:rPr>
            <w:rFonts w:ascii="Tahoma" w:hAnsi="Tahoma" w:cs="Tahoma"/>
            <w:b w:val="0"/>
            <w:sz w:val="24"/>
            <w:szCs w:val="24"/>
          </w:rPr>
          <w:t>la Sala</w:t>
        </w:r>
      </w:smartTag>
      <w:r w:rsidR="003202EC">
        <w:rPr>
          <w:rFonts w:ascii="Tahoma" w:hAnsi="Tahoma" w:cs="Tahoma"/>
          <w:b w:val="0"/>
          <w:sz w:val="24"/>
          <w:szCs w:val="24"/>
        </w:rPr>
        <w:t xml:space="preserve"> mayoritaria consideraba que se requerían más pruebas de la dependencia, debió por lo menos tutelar en forma transitoria a fin de que en un proceso ordinario se definiera si la </w:t>
      </w:r>
      <w:proofErr w:type="spellStart"/>
      <w:r w:rsidR="003202EC">
        <w:rPr>
          <w:rFonts w:ascii="Tahoma" w:hAnsi="Tahoma" w:cs="Tahoma"/>
          <w:b w:val="0"/>
          <w:sz w:val="24"/>
          <w:szCs w:val="24"/>
        </w:rPr>
        <w:t>tutelante</w:t>
      </w:r>
      <w:proofErr w:type="spellEnd"/>
      <w:r w:rsidR="003202EC">
        <w:rPr>
          <w:rFonts w:ascii="Tahoma" w:hAnsi="Tahoma" w:cs="Tahoma"/>
          <w:b w:val="0"/>
          <w:sz w:val="24"/>
          <w:szCs w:val="24"/>
        </w:rPr>
        <w:t xml:space="preserve"> acredita su condición de beneficiaria de su fallecido padre, pero no exponerla a quedarse sin manutención durante todo el tiempo que dura un proceso ordinario que en el mejor de los casos entre la primera y segunda instancia como mínimo se va año y medio.</w:t>
      </w:r>
    </w:p>
    <w:p w:rsidR="007E52B9" w:rsidRPr="007E52B9" w:rsidRDefault="007E52B9" w:rsidP="007E52B9">
      <w:pPr>
        <w:spacing w:line="360" w:lineRule="auto"/>
        <w:ind w:left="360" w:right="335"/>
        <w:jc w:val="both"/>
        <w:rPr>
          <w:rFonts w:ascii="Tahoma" w:hAnsi="Tahoma" w:cs="Tahoma"/>
        </w:rPr>
      </w:pPr>
    </w:p>
    <w:p w:rsidR="00330418" w:rsidRDefault="00330418" w:rsidP="00330418">
      <w:pPr>
        <w:numPr>
          <w:ilvl w:val="0"/>
          <w:numId w:val="11"/>
        </w:numPr>
        <w:spacing w:line="360" w:lineRule="auto"/>
        <w:ind w:right="335"/>
        <w:jc w:val="both"/>
        <w:rPr>
          <w:rFonts w:ascii="Tahoma" w:hAnsi="Tahoma" w:cs="Tahoma"/>
        </w:rPr>
      </w:pPr>
      <w:r>
        <w:rPr>
          <w:rFonts w:ascii="Tahoma" w:hAnsi="Tahoma" w:cs="Tahoma"/>
          <w:b/>
        </w:rPr>
        <w:t>Omisión en la aplicación de perspectiva a de género</w:t>
      </w:r>
      <w:r w:rsidR="00BC0635">
        <w:rPr>
          <w:rFonts w:ascii="Tahoma" w:hAnsi="Tahoma" w:cs="Tahoma"/>
          <w:b/>
        </w:rPr>
        <w:t xml:space="preserve">: </w:t>
      </w:r>
      <w:smartTag w:uri="urn:schemas-microsoft-com:office:smarttags" w:element="PersonName">
        <w:smartTagPr>
          <w:attr w:name="ProductID" w:val="la Sala"/>
        </w:smartTagPr>
        <w:r w:rsidR="007E52B9">
          <w:rPr>
            <w:rFonts w:ascii="Tahoma" w:hAnsi="Tahoma" w:cs="Tahoma"/>
          </w:rPr>
          <w:t>La Sala</w:t>
        </w:r>
      </w:smartTag>
      <w:r w:rsidR="007E52B9">
        <w:rPr>
          <w:rFonts w:ascii="Tahoma" w:hAnsi="Tahoma" w:cs="Tahoma"/>
        </w:rPr>
        <w:t xml:space="preserve"> mayoritaria dejó a un lado el hecho de que la </w:t>
      </w:r>
      <w:proofErr w:type="spellStart"/>
      <w:r w:rsidR="007E52B9">
        <w:rPr>
          <w:rFonts w:ascii="Tahoma" w:hAnsi="Tahoma" w:cs="Tahoma"/>
        </w:rPr>
        <w:t>tutelante</w:t>
      </w:r>
      <w:proofErr w:type="spellEnd"/>
      <w:r w:rsidR="007E52B9">
        <w:rPr>
          <w:rFonts w:ascii="Tahoma" w:hAnsi="Tahoma" w:cs="Tahoma"/>
        </w:rPr>
        <w:t xml:space="preserve"> es </w:t>
      </w:r>
      <w:r w:rsidR="00BC0635" w:rsidRPr="00BC0635">
        <w:rPr>
          <w:rFonts w:ascii="Tahoma" w:hAnsi="Tahoma" w:cs="Tahoma"/>
          <w:b/>
        </w:rPr>
        <w:t xml:space="preserve">mujer </w:t>
      </w:r>
      <w:r w:rsidR="007E52B9">
        <w:rPr>
          <w:rFonts w:ascii="Tahoma" w:hAnsi="Tahoma" w:cs="Tahoma"/>
          <w:b/>
        </w:rPr>
        <w:t xml:space="preserve">en </w:t>
      </w:r>
      <w:r w:rsidR="007E52B9">
        <w:rPr>
          <w:rFonts w:ascii="Tahoma" w:hAnsi="Tahoma" w:cs="Tahoma"/>
          <w:b/>
        </w:rPr>
        <w:lastRenderedPageBreak/>
        <w:t xml:space="preserve">condiciones de vulnerabilidad, </w:t>
      </w:r>
      <w:r w:rsidR="007E52B9">
        <w:rPr>
          <w:rFonts w:ascii="Tahoma" w:hAnsi="Tahoma" w:cs="Tahoma"/>
        </w:rPr>
        <w:t xml:space="preserve">por tratarse de una mayor adulta con discapacidad mental definitiva y pérdida de capacidad laboral superior al 61 % incapaz de autosostenerse y/o autodeterminarse, de manera que al asunto debió </w:t>
      </w:r>
      <w:r w:rsidR="00BC0635">
        <w:rPr>
          <w:rFonts w:ascii="Tahoma" w:hAnsi="Tahoma" w:cs="Tahoma"/>
        </w:rPr>
        <w:t>aplica</w:t>
      </w:r>
      <w:r w:rsidR="007E52B9">
        <w:rPr>
          <w:rFonts w:ascii="Tahoma" w:hAnsi="Tahoma" w:cs="Tahoma"/>
        </w:rPr>
        <w:t xml:space="preserve">rse criterios </w:t>
      </w:r>
      <w:r w:rsidR="00BC0635">
        <w:rPr>
          <w:rFonts w:ascii="Tahoma" w:hAnsi="Tahoma" w:cs="Tahoma"/>
        </w:rPr>
        <w:t xml:space="preserve">de perspectiva de género. </w:t>
      </w:r>
    </w:p>
    <w:p w:rsidR="003202EC" w:rsidRDefault="003202EC" w:rsidP="003202EC">
      <w:pPr>
        <w:spacing w:line="360" w:lineRule="auto"/>
        <w:ind w:left="360" w:right="335"/>
        <w:jc w:val="both"/>
        <w:rPr>
          <w:rFonts w:ascii="Tahoma" w:hAnsi="Tahoma" w:cs="Tahoma"/>
        </w:rPr>
      </w:pPr>
    </w:p>
    <w:p w:rsidR="00B25AA7" w:rsidRDefault="001458C0" w:rsidP="001833DA">
      <w:pPr>
        <w:spacing w:line="360" w:lineRule="auto"/>
        <w:ind w:right="335"/>
        <w:jc w:val="both"/>
        <w:rPr>
          <w:rFonts w:ascii="Tahoma" w:hAnsi="Tahoma" w:cs="Tahoma"/>
          <w:b/>
        </w:rPr>
      </w:pPr>
      <w:r>
        <w:rPr>
          <w:rFonts w:ascii="Tahoma" w:hAnsi="Tahoma" w:cs="Tahoma"/>
          <w:b/>
        </w:rPr>
        <w:t xml:space="preserve">Conclusión: </w:t>
      </w:r>
    </w:p>
    <w:p w:rsidR="001458C0" w:rsidRPr="001458C0" w:rsidRDefault="001458C0" w:rsidP="001833DA">
      <w:pPr>
        <w:spacing w:line="360" w:lineRule="auto"/>
        <w:ind w:right="335"/>
        <w:jc w:val="both"/>
        <w:rPr>
          <w:rFonts w:ascii="Tahoma" w:hAnsi="Tahoma" w:cs="Tahoma"/>
          <w:b/>
        </w:rPr>
      </w:pPr>
    </w:p>
    <w:p w:rsidR="003202EC" w:rsidRDefault="00562945" w:rsidP="001833DA">
      <w:pPr>
        <w:spacing w:line="360" w:lineRule="auto"/>
        <w:ind w:right="335"/>
        <w:jc w:val="both"/>
        <w:rPr>
          <w:rFonts w:ascii="Tahoma" w:hAnsi="Tahoma" w:cs="Tahoma"/>
        </w:rPr>
      </w:pPr>
      <w:r>
        <w:rPr>
          <w:rFonts w:ascii="Tahoma" w:hAnsi="Tahoma" w:cs="Tahoma"/>
        </w:rPr>
        <w:t xml:space="preserve">Por todas las razones anteriores </w:t>
      </w:r>
      <w:r w:rsidR="001833DA">
        <w:rPr>
          <w:rFonts w:ascii="Tahoma" w:hAnsi="Tahoma" w:cs="Tahoma"/>
        </w:rPr>
        <w:t xml:space="preserve">considero que </w:t>
      </w:r>
      <w:r w:rsidR="0039601D">
        <w:rPr>
          <w:rFonts w:ascii="Tahoma" w:hAnsi="Tahoma" w:cs="Tahoma"/>
        </w:rPr>
        <w:t xml:space="preserve">debió </w:t>
      </w:r>
      <w:r w:rsidR="007E52B9">
        <w:rPr>
          <w:rFonts w:ascii="Tahoma" w:hAnsi="Tahoma" w:cs="Tahoma"/>
        </w:rPr>
        <w:t xml:space="preserve">tutelarse TRANSITORIAMENTE los derechos fundamentales a la salud, a la vida digna, al mínimo vital y la seguridad social de la </w:t>
      </w:r>
      <w:proofErr w:type="spellStart"/>
      <w:r w:rsidR="007E52B9">
        <w:rPr>
          <w:rFonts w:ascii="Tahoma" w:hAnsi="Tahoma" w:cs="Tahoma"/>
        </w:rPr>
        <w:t>tutelante</w:t>
      </w:r>
      <w:proofErr w:type="spellEnd"/>
      <w:r w:rsidR="007E52B9">
        <w:rPr>
          <w:rFonts w:ascii="Tahoma" w:hAnsi="Tahoma" w:cs="Tahoma"/>
        </w:rPr>
        <w:t xml:space="preserve"> ordenando el reconocimiento de la pensión de sobrevivientes  en su favor por un lapso de 4 meses dentro de los cuales le correspondía a aquella interponer el respectivo proceso ordinario laboral para </w:t>
      </w:r>
      <w:r w:rsidR="003202EC">
        <w:rPr>
          <w:rFonts w:ascii="Tahoma" w:hAnsi="Tahoma" w:cs="Tahoma"/>
        </w:rPr>
        <w:t xml:space="preserve">la definición final de su derecho. </w:t>
      </w:r>
    </w:p>
    <w:p w:rsidR="003202EC" w:rsidRDefault="003202EC" w:rsidP="001833DA">
      <w:pPr>
        <w:spacing w:line="360" w:lineRule="auto"/>
        <w:ind w:right="335"/>
        <w:jc w:val="both"/>
        <w:rPr>
          <w:rFonts w:ascii="Tahoma" w:hAnsi="Tahoma" w:cs="Tahoma"/>
        </w:rPr>
      </w:pPr>
    </w:p>
    <w:p w:rsidR="00782D3A" w:rsidRPr="00B64E2A" w:rsidRDefault="00782D3A">
      <w:pPr>
        <w:pStyle w:val="Textoindependiente"/>
        <w:autoSpaceDE/>
        <w:autoSpaceDN/>
        <w:adjustRightInd/>
        <w:spacing w:line="360" w:lineRule="auto"/>
        <w:rPr>
          <w:rFonts w:ascii="Tahoma" w:hAnsi="Tahoma" w:cs="Tahoma"/>
          <w:lang w:val="es-ES"/>
        </w:rPr>
      </w:pPr>
      <w:r w:rsidRPr="00B64E2A">
        <w:rPr>
          <w:rFonts w:ascii="Tahoma" w:hAnsi="Tahoma" w:cs="Tahoma"/>
          <w:lang w:val="es-ES"/>
        </w:rPr>
        <w:t xml:space="preserve">En estos términos sustento mi </w:t>
      </w:r>
      <w:r w:rsidR="00496E67">
        <w:rPr>
          <w:rFonts w:ascii="Tahoma" w:hAnsi="Tahoma" w:cs="Tahoma"/>
          <w:lang w:val="es-ES"/>
        </w:rPr>
        <w:t>salvamento</w:t>
      </w:r>
      <w:r w:rsidRPr="00B64E2A">
        <w:rPr>
          <w:rFonts w:ascii="Tahoma" w:hAnsi="Tahoma" w:cs="Tahoma"/>
          <w:lang w:val="es-ES"/>
        </w:rPr>
        <w:t xml:space="preserve"> </w:t>
      </w:r>
      <w:r w:rsidR="00562945">
        <w:rPr>
          <w:rFonts w:ascii="Tahoma" w:hAnsi="Tahoma" w:cs="Tahoma"/>
          <w:lang w:val="es-ES"/>
        </w:rPr>
        <w:t xml:space="preserve">parcial </w:t>
      </w:r>
      <w:r w:rsidRPr="00B64E2A">
        <w:rPr>
          <w:rFonts w:ascii="Tahoma" w:hAnsi="Tahoma" w:cs="Tahoma"/>
          <w:lang w:val="es-ES"/>
        </w:rPr>
        <w:t>de voto.</w:t>
      </w:r>
    </w:p>
    <w:p w:rsidR="00782D3A" w:rsidRPr="00B64E2A" w:rsidRDefault="00782D3A">
      <w:pPr>
        <w:pStyle w:val="Textoindependiente"/>
        <w:autoSpaceDE/>
        <w:autoSpaceDN/>
        <w:adjustRightInd/>
        <w:spacing w:line="360" w:lineRule="auto"/>
        <w:rPr>
          <w:rFonts w:ascii="Tahoma" w:hAnsi="Tahoma" w:cs="Tahoma"/>
          <w:lang w:val="es-ES"/>
        </w:rPr>
      </w:pPr>
    </w:p>
    <w:p w:rsidR="00782D3A" w:rsidRPr="00B64E2A" w:rsidRDefault="00782D3A">
      <w:pPr>
        <w:pStyle w:val="Textoindependiente"/>
        <w:autoSpaceDE/>
        <w:autoSpaceDN/>
        <w:adjustRightInd/>
        <w:spacing w:line="360" w:lineRule="auto"/>
        <w:rPr>
          <w:rFonts w:ascii="Tahoma" w:hAnsi="Tahoma" w:cs="Tahoma"/>
          <w:lang w:val="es-ES"/>
        </w:rPr>
      </w:pPr>
    </w:p>
    <w:p w:rsidR="00782D3A" w:rsidRPr="00B64E2A" w:rsidRDefault="00782D3A">
      <w:pPr>
        <w:widowControl w:val="0"/>
        <w:autoSpaceDE w:val="0"/>
        <w:autoSpaceDN w:val="0"/>
        <w:adjustRightInd w:val="0"/>
        <w:spacing w:line="360" w:lineRule="auto"/>
        <w:jc w:val="both"/>
        <w:rPr>
          <w:rFonts w:ascii="Tahoma" w:hAnsi="Tahoma" w:cs="Tahoma"/>
        </w:rPr>
      </w:pPr>
    </w:p>
    <w:p w:rsidR="00782D3A" w:rsidRPr="00B64E2A" w:rsidRDefault="00782D3A">
      <w:pPr>
        <w:widowControl w:val="0"/>
        <w:autoSpaceDE w:val="0"/>
        <w:autoSpaceDN w:val="0"/>
        <w:adjustRightInd w:val="0"/>
        <w:spacing w:line="360" w:lineRule="auto"/>
        <w:jc w:val="both"/>
        <w:rPr>
          <w:rFonts w:ascii="Tahoma" w:hAnsi="Tahoma" w:cs="Tahoma"/>
        </w:rPr>
      </w:pPr>
    </w:p>
    <w:p w:rsidR="00782D3A" w:rsidRPr="00B64E2A" w:rsidRDefault="00782D3A">
      <w:pPr>
        <w:pStyle w:val="Ttulo3"/>
        <w:rPr>
          <w:rFonts w:ascii="Tahoma" w:hAnsi="Tahoma" w:cs="Tahoma"/>
        </w:rPr>
      </w:pPr>
      <w:r w:rsidRPr="00B64E2A">
        <w:rPr>
          <w:rFonts w:ascii="Tahoma" w:hAnsi="Tahoma" w:cs="Tahoma"/>
        </w:rPr>
        <w:t>ANA LUCÍA CAICEDO CALDERÓN</w:t>
      </w:r>
    </w:p>
    <w:sectPr w:rsidR="00782D3A" w:rsidRPr="00B64E2A" w:rsidSect="00E03CAC">
      <w:footerReference w:type="even" r:id="rId7"/>
      <w:footerReference w:type="default" r:id="rId8"/>
      <w:pgSz w:w="12242" w:h="18722" w:code="119"/>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67" w:rsidRDefault="00900467">
      <w:r>
        <w:separator/>
      </w:r>
    </w:p>
  </w:endnote>
  <w:endnote w:type="continuationSeparator" w:id="0">
    <w:p w:rsidR="00900467" w:rsidRDefault="0090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B1" w:rsidRDefault="003B0D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0DB1" w:rsidRDefault="003B0D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B1" w:rsidRDefault="003B0D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2EA1">
      <w:rPr>
        <w:rStyle w:val="Nmerodepgina"/>
        <w:noProof/>
      </w:rPr>
      <w:t>3</w:t>
    </w:r>
    <w:r>
      <w:rPr>
        <w:rStyle w:val="Nmerodepgina"/>
      </w:rPr>
      <w:fldChar w:fldCharType="end"/>
    </w:r>
  </w:p>
  <w:p w:rsidR="003B0DB1" w:rsidRDefault="003B0D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67" w:rsidRDefault="00900467">
      <w:r>
        <w:separator/>
      </w:r>
    </w:p>
  </w:footnote>
  <w:footnote w:type="continuationSeparator" w:id="0">
    <w:p w:rsidR="00900467" w:rsidRDefault="00900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3459A"/>
    <w:rsid w:val="00085817"/>
    <w:rsid w:val="0009221C"/>
    <w:rsid w:val="00095BCE"/>
    <w:rsid w:val="000A56AE"/>
    <w:rsid w:val="000B2D41"/>
    <w:rsid w:val="000F0FBE"/>
    <w:rsid w:val="000F3F54"/>
    <w:rsid w:val="00101DB8"/>
    <w:rsid w:val="00103495"/>
    <w:rsid w:val="00107A5B"/>
    <w:rsid w:val="001103D7"/>
    <w:rsid w:val="00115AFF"/>
    <w:rsid w:val="00143C13"/>
    <w:rsid w:val="0014401B"/>
    <w:rsid w:val="001458C0"/>
    <w:rsid w:val="00151543"/>
    <w:rsid w:val="0015266D"/>
    <w:rsid w:val="00156484"/>
    <w:rsid w:val="001635F2"/>
    <w:rsid w:val="00167F2A"/>
    <w:rsid w:val="00173C9C"/>
    <w:rsid w:val="00175000"/>
    <w:rsid w:val="001801DE"/>
    <w:rsid w:val="001811C6"/>
    <w:rsid w:val="001833DA"/>
    <w:rsid w:val="00184377"/>
    <w:rsid w:val="001A56E3"/>
    <w:rsid w:val="001B051C"/>
    <w:rsid w:val="001B1CEB"/>
    <w:rsid w:val="001C0EBE"/>
    <w:rsid w:val="001C3B62"/>
    <w:rsid w:val="001C57CD"/>
    <w:rsid w:val="001D0F0B"/>
    <w:rsid w:val="001D0F87"/>
    <w:rsid w:val="001D1760"/>
    <w:rsid w:val="001D1D11"/>
    <w:rsid w:val="001D688D"/>
    <w:rsid w:val="001E48DE"/>
    <w:rsid w:val="001E6555"/>
    <w:rsid w:val="00207427"/>
    <w:rsid w:val="00210B65"/>
    <w:rsid w:val="00210FDE"/>
    <w:rsid w:val="00215A3D"/>
    <w:rsid w:val="00221E3E"/>
    <w:rsid w:val="002228D3"/>
    <w:rsid w:val="00222EC4"/>
    <w:rsid w:val="00231DFB"/>
    <w:rsid w:val="00233C49"/>
    <w:rsid w:val="002375A5"/>
    <w:rsid w:val="00253F96"/>
    <w:rsid w:val="002643C2"/>
    <w:rsid w:val="002643DF"/>
    <w:rsid w:val="00270FD4"/>
    <w:rsid w:val="0028043A"/>
    <w:rsid w:val="00283CAB"/>
    <w:rsid w:val="0028567C"/>
    <w:rsid w:val="002A352D"/>
    <w:rsid w:val="002B2E70"/>
    <w:rsid w:val="002B56C7"/>
    <w:rsid w:val="002C7A6B"/>
    <w:rsid w:val="002D2E4D"/>
    <w:rsid w:val="002E7F43"/>
    <w:rsid w:val="002F2E49"/>
    <w:rsid w:val="002F5C36"/>
    <w:rsid w:val="003021B2"/>
    <w:rsid w:val="003202EC"/>
    <w:rsid w:val="003224A8"/>
    <w:rsid w:val="0032775E"/>
    <w:rsid w:val="00330418"/>
    <w:rsid w:val="00331463"/>
    <w:rsid w:val="003325AA"/>
    <w:rsid w:val="00363522"/>
    <w:rsid w:val="0039601D"/>
    <w:rsid w:val="003A53D9"/>
    <w:rsid w:val="003A6AB6"/>
    <w:rsid w:val="003B0DB1"/>
    <w:rsid w:val="003D4F25"/>
    <w:rsid w:val="003F2EA1"/>
    <w:rsid w:val="004016FB"/>
    <w:rsid w:val="00404B8D"/>
    <w:rsid w:val="00411366"/>
    <w:rsid w:val="00444FCD"/>
    <w:rsid w:val="00486255"/>
    <w:rsid w:val="00487899"/>
    <w:rsid w:val="00492B8D"/>
    <w:rsid w:val="00496E67"/>
    <w:rsid w:val="004A7232"/>
    <w:rsid w:val="004B7D6A"/>
    <w:rsid w:val="004C1DC8"/>
    <w:rsid w:val="004C6835"/>
    <w:rsid w:val="004D1C41"/>
    <w:rsid w:val="004D24A4"/>
    <w:rsid w:val="004E04F9"/>
    <w:rsid w:val="004E0D5E"/>
    <w:rsid w:val="004E24AF"/>
    <w:rsid w:val="004E3EBD"/>
    <w:rsid w:val="004E5FAC"/>
    <w:rsid w:val="00504CB1"/>
    <w:rsid w:val="00510B20"/>
    <w:rsid w:val="0051471B"/>
    <w:rsid w:val="00520C5C"/>
    <w:rsid w:val="00544CB6"/>
    <w:rsid w:val="00554071"/>
    <w:rsid w:val="00554F04"/>
    <w:rsid w:val="00562170"/>
    <w:rsid w:val="00562945"/>
    <w:rsid w:val="00564C19"/>
    <w:rsid w:val="0056685B"/>
    <w:rsid w:val="00571A61"/>
    <w:rsid w:val="00583F42"/>
    <w:rsid w:val="00593D49"/>
    <w:rsid w:val="005970F5"/>
    <w:rsid w:val="005A6189"/>
    <w:rsid w:val="005B4CD3"/>
    <w:rsid w:val="005D0315"/>
    <w:rsid w:val="005D54F1"/>
    <w:rsid w:val="005D68CB"/>
    <w:rsid w:val="005D6C17"/>
    <w:rsid w:val="005D73E1"/>
    <w:rsid w:val="005F3741"/>
    <w:rsid w:val="00601BB9"/>
    <w:rsid w:val="00610145"/>
    <w:rsid w:val="006235BE"/>
    <w:rsid w:val="00630D70"/>
    <w:rsid w:val="00635677"/>
    <w:rsid w:val="006532E4"/>
    <w:rsid w:val="00676FC1"/>
    <w:rsid w:val="0068326B"/>
    <w:rsid w:val="00690631"/>
    <w:rsid w:val="006959D3"/>
    <w:rsid w:val="006A38A3"/>
    <w:rsid w:val="006B6D45"/>
    <w:rsid w:val="00701725"/>
    <w:rsid w:val="00710C43"/>
    <w:rsid w:val="00757AFF"/>
    <w:rsid w:val="00760339"/>
    <w:rsid w:val="00762F4A"/>
    <w:rsid w:val="00777535"/>
    <w:rsid w:val="00777A28"/>
    <w:rsid w:val="00782D3A"/>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762A"/>
    <w:rsid w:val="008741B6"/>
    <w:rsid w:val="008768A2"/>
    <w:rsid w:val="00880685"/>
    <w:rsid w:val="00891AF1"/>
    <w:rsid w:val="008C09D3"/>
    <w:rsid w:val="008C29B3"/>
    <w:rsid w:val="008C4E88"/>
    <w:rsid w:val="008E4C4A"/>
    <w:rsid w:val="008F0F3E"/>
    <w:rsid w:val="008F5548"/>
    <w:rsid w:val="00900467"/>
    <w:rsid w:val="009046D3"/>
    <w:rsid w:val="00905052"/>
    <w:rsid w:val="00911C53"/>
    <w:rsid w:val="009160A9"/>
    <w:rsid w:val="00933715"/>
    <w:rsid w:val="0094648D"/>
    <w:rsid w:val="009515AB"/>
    <w:rsid w:val="00975EBA"/>
    <w:rsid w:val="00993F8A"/>
    <w:rsid w:val="009A1FF7"/>
    <w:rsid w:val="009B280C"/>
    <w:rsid w:val="009D02D0"/>
    <w:rsid w:val="009E5B67"/>
    <w:rsid w:val="00A01BB0"/>
    <w:rsid w:val="00A07081"/>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6ED8"/>
    <w:rsid w:val="00B0436C"/>
    <w:rsid w:val="00B25AA7"/>
    <w:rsid w:val="00B412A6"/>
    <w:rsid w:val="00B43BEF"/>
    <w:rsid w:val="00B517E1"/>
    <w:rsid w:val="00B57D8E"/>
    <w:rsid w:val="00B629B3"/>
    <w:rsid w:val="00B634C4"/>
    <w:rsid w:val="00B64E2A"/>
    <w:rsid w:val="00B7056E"/>
    <w:rsid w:val="00B9678B"/>
    <w:rsid w:val="00BA6CE9"/>
    <w:rsid w:val="00BC0635"/>
    <w:rsid w:val="00BD21AA"/>
    <w:rsid w:val="00C0743D"/>
    <w:rsid w:val="00C13D23"/>
    <w:rsid w:val="00C213B4"/>
    <w:rsid w:val="00C24428"/>
    <w:rsid w:val="00C26D24"/>
    <w:rsid w:val="00C4311E"/>
    <w:rsid w:val="00C5365D"/>
    <w:rsid w:val="00C54201"/>
    <w:rsid w:val="00C64469"/>
    <w:rsid w:val="00C83E77"/>
    <w:rsid w:val="00C9423D"/>
    <w:rsid w:val="00CB739E"/>
    <w:rsid w:val="00CC6202"/>
    <w:rsid w:val="00D0739D"/>
    <w:rsid w:val="00D308BA"/>
    <w:rsid w:val="00D53E2F"/>
    <w:rsid w:val="00D66131"/>
    <w:rsid w:val="00D75804"/>
    <w:rsid w:val="00D80C31"/>
    <w:rsid w:val="00D84A29"/>
    <w:rsid w:val="00D87041"/>
    <w:rsid w:val="00D92B6B"/>
    <w:rsid w:val="00D935F4"/>
    <w:rsid w:val="00DA45EF"/>
    <w:rsid w:val="00DB49AA"/>
    <w:rsid w:val="00DC03CB"/>
    <w:rsid w:val="00DF58E1"/>
    <w:rsid w:val="00E03CAC"/>
    <w:rsid w:val="00E068D8"/>
    <w:rsid w:val="00E148E0"/>
    <w:rsid w:val="00E178A4"/>
    <w:rsid w:val="00E25ADB"/>
    <w:rsid w:val="00E5165C"/>
    <w:rsid w:val="00E568CD"/>
    <w:rsid w:val="00E56E2D"/>
    <w:rsid w:val="00E62799"/>
    <w:rsid w:val="00E63B7B"/>
    <w:rsid w:val="00E73B32"/>
    <w:rsid w:val="00E80801"/>
    <w:rsid w:val="00E85A20"/>
    <w:rsid w:val="00EC1ED2"/>
    <w:rsid w:val="00EE6FBF"/>
    <w:rsid w:val="00F01155"/>
    <w:rsid w:val="00F13051"/>
    <w:rsid w:val="00F13218"/>
    <w:rsid w:val="00F22F5B"/>
    <w:rsid w:val="00F308E1"/>
    <w:rsid w:val="00F366BD"/>
    <w:rsid w:val="00F37BC7"/>
    <w:rsid w:val="00F47ADB"/>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B5D0D2A-DBA0-422E-B717-37D99367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basedOn w:val="Fuentedeprrafopredeter"/>
    <w:rsid w:val="00B634C4"/>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5106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3</cp:revision>
  <cp:lastPrinted>2014-02-25T21:28:00Z</cp:lastPrinted>
  <dcterms:created xsi:type="dcterms:W3CDTF">2017-05-24T14:43:00Z</dcterms:created>
  <dcterms:modified xsi:type="dcterms:W3CDTF">2017-07-13T16:44:00Z</dcterms:modified>
</cp:coreProperties>
</file>