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B64E2A" w:rsidRPr="00B64E2A" w:rsidRDefault="00B64E2A" w:rsidP="00B64E2A">
      <w:pPr>
        <w:pStyle w:val="Puesto"/>
        <w:spacing w:line="240" w:lineRule="auto"/>
        <w:jc w:val="both"/>
        <w:rPr>
          <w:rFonts w:ascii="Tahoma" w:hAnsi="Tahoma" w:cs="Tahoma"/>
          <w:b w:val="0"/>
          <w:sz w:val="20"/>
        </w:rPr>
      </w:pPr>
      <w:r w:rsidRPr="00B64E2A">
        <w:rPr>
          <w:rFonts w:ascii="Tahoma" w:hAnsi="Tahoma" w:cs="Tahoma"/>
          <w:b w:val="0"/>
          <w:sz w:val="20"/>
        </w:rPr>
        <w:t xml:space="preserve">Providencia: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5D54F1">
        <w:rPr>
          <w:rFonts w:ascii="Tahoma" w:hAnsi="Tahoma" w:cs="Tahoma"/>
          <w:b w:val="0"/>
          <w:sz w:val="20"/>
        </w:rPr>
        <w:t>Sentencia</w:t>
      </w:r>
      <w:r w:rsidR="007F721C">
        <w:rPr>
          <w:rFonts w:ascii="Tahoma" w:hAnsi="Tahoma" w:cs="Tahoma"/>
          <w:b w:val="0"/>
          <w:sz w:val="20"/>
        </w:rPr>
        <w:t xml:space="preserve"> </w:t>
      </w:r>
      <w:r w:rsidR="00D92B6B">
        <w:rPr>
          <w:rFonts w:ascii="Tahoma" w:hAnsi="Tahoma" w:cs="Tahoma"/>
          <w:b w:val="0"/>
          <w:sz w:val="20"/>
        </w:rPr>
        <w:t xml:space="preserve">de tutela del </w:t>
      </w:r>
      <w:r w:rsidR="005D54F1">
        <w:rPr>
          <w:rFonts w:ascii="Tahoma" w:hAnsi="Tahoma" w:cs="Tahoma"/>
          <w:b w:val="0"/>
          <w:sz w:val="20"/>
        </w:rPr>
        <w:t>2</w:t>
      </w:r>
      <w:r w:rsidR="00C332D5">
        <w:rPr>
          <w:rFonts w:ascii="Tahoma" w:hAnsi="Tahoma" w:cs="Tahoma"/>
          <w:b w:val="0"/>
          <w:sz w:val="20"/>
        </w:rPr>
        <w:t>2</w:t>
      </w:r>
      <w:r w:rsidR="007F721C">
        <w:rPr>
          <w:rFonts w:ascii="Tahoma" w:hAnsi="Tahoma" w:cs="Tahoma"/>
          <w:b w:val="0"/>
          <w:sz w:val="20"/>
        </w:rPr>
        <w:t xml:space="preserve"> de </w:t>
      </w:r>
      <w:r w:rsidR="00C332D5">
        <w:rPr>
          <w:rFonts w:ascii="Tahoma" w:hAnsi="Tahoma" w:cs="Tahoma"/>
          <w:b w:val="0"/>
          <w:sz w:val="20"/>
        </w:rPr>
        <w:t>mayo de 2015</w:t>
      </w:r>
      <w:bookmarkStart w:id="0" w:name="_GoBack"/>
      <w:bookmarkEnd w:id="0"/>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Radicación No. :</w:t>
      </w:r>
      <w:r w:rsidRPr="00B64E2A">
        <w:rPr>
          <w:rFonts w:ascii="Tahoma" w:hAnsi="Tahoma" w:cs="Tahoma"/>
          <w:b w:val="0"/>
          <w:sz w:val="20"/>
        </w:rPr>
        <w:tab/>
      </w:r>
      <w:r w:rsidRPr="00B64E2A">
        <w:rPr>
          <w:rFonts w:ascii="Tahoma" w:hAnsi="Tahoma" w:cs="Tahoma"/>
          <w:b w:val="0"/>
          <w:sz w:val="20"/>
        </w:rPr>
        <w:tab/>
      </w:r>
      <w:r w:rsidR="00FC0800" w:rsidRPr="00B64E2A">
        <w:rPr>
          <w:rFonts w:ascii="Tahoma" w:hAnsi="Tahoma" w:cs="Tahoma"/>
          <w:b w:val="0"/>
          <w:sz w:val="20"/>
          <w:szCs w:val="20"/>
        </w:rPr>
        <w:t>66</w:t>
      </w:r>
      <w:r w:rsidR="00C332D5">
        <w:rPr>
          <w:rFonts w:ascii="Tahoma" w:hAnsi="Tahoma" w:cs="Tahoma"/>
          <w:b w:val="0"/>
          <w:sz w:val="20"/>
          <w:szCs w:val="20"/>
        </w:rPr>
        <w:t>001</w:t>
      </w:r>
      <w:r w:rsidR="00FC0800" w:rsidRPr="00B64E2A">
        <w:rPr>
          <w:rFonts w:ascii="Tahoma" w:hAnsi="Tahoma" w:cs="Tahoma"/>
          <w:b w:val="0"/>
          <w:sz w:val="20"/>
          <w:szCs w:val="20"/>
        </w:rPr>
        <w:t>-31-05-00</w:t>
      </w:r>
      <w:r w:rsidR="00C332D5">
        <w:rPr>
          <w:rFonts w:ascii="Tahoma" w:hAnsi="Tahoma" w:cs="Tahoma"/>
          <w:b w:val="0"/>
          <w:sz w:val="20"/>
          <w:szCs w:val="20"/>
        </w:rPr>
        <w:t>0</w:t>
      </w:r>
      <w:r w:rsidR="00FC0800" w:rsidRPr="00B64E2A">
        <w:rPr>
          <w:rFonts w:ascii="Tahoma" w:hAnsi="Tahoma" w:cs="Tahoma"/>
          <w:b w:val="0"/>
          <w:sz w:val="20"/>
          <w:szCs w:val="20"/>
        </w:rPr>
        <w:t>-20</w:t>
      </w:r>
      <w:r w:rsidR="00AB08AC">
        <w:rPr>
          <w:rFonts w:ascii="Tahoma" w:hAnsi="Tahoma" w:cs="Tahoma"/>
          <w:b w:val="0"/>
          <w:sz w:val="20"/>
          <w:szCs w:val="20"/>
        </w:rPr>
        <w:t>1</w:t>
      </w:r>
      <w:r w:rsidR="00C332D5">
        <w:rPr>
          <w:rFonts w:ascii="Tahoma" w:hAnsi="Tahoma" w:cs="Tahoma"/>
          <w:b w:val="0"/>
          <w:sz w:val="20"/>
          <w:szCs w:val="20"/>
        </w:rPr>
        <w:t>5</w:t>
      </w:r>
      <w:r w:rsidR="00FC0800" w:rsidRPr="00B64E2A">
        <w:rPr>
          <w:rFonts w:ascii="Tahoma" w:hAnsi="Tahoma" w:cs="Tahoma"/>
          <w:b w:val="0"/>
          <w:sz w:val="20"/>
          <w:szCs w:val="20"/>
        </w:rPr>
        <w:t>-0</w:t>
      </w:r>
      <w:r w:rsidR="00D92B6B">
        <w:rPr>
          <w:rFonts w:ascii="Tahoma" w:hAnsi="Tahoma" w:cs="Tahoma"/>
          <w:b w:val="0"/>
          <w:sz w:val="20"/>
          <w:szCs w:val="20"/>
        </w:rPr>
        <w:t>0</w:t>
      </w:r>
      <w:r w:rsidR="00C332D5">
        <w:rPr>
          <w:rFonts w:ascii="Tahoma" w:hAnsi="Tahoma" w:cs="Tahoma"/>
          <w:b w:val="0"/>
          <w:sz w:val="20"/>
          <w:szCs w:val="20"/>
        </w:rPr>
        <w:t>093-00</w:t>
      </w:r>
      <w:r w:rsidRPr="00B64E2A">
        <w:rPr>
          <w:rFonts w:ascii="Tahoma" w:hAnsi="Tahoma" w:cs="Tahoma"/>
          <w:b w:val="0"/>
          <w:sz w:val="20"/>
        </w:rPr>
        <w:t xml:space="preserve"> </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 xml:space="preserve">Proceso: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D92B6B">
        <w:rPr>
          <w:rFonts w:ascii="Tahoma" w:hAnsi="Tahoma" w:cs="Tahoma"/>
          <w:b w:val="0"/>
          <w:sz w:val="20"/>
        </w:rPr>
        <w:t>ACCIÓN DE TUTELA</w:t>
      </w:r>
    </w:p>
    <w:p w:rsidR="00782D3A" w:rsidRPr="00B64E2A" w:rsidRDefault="00D92B6B">
      <w:pPr>
        <w:pStyle w:val="Puesto"/>
        <w:spacing w:line="240" w:lineRule="auto"/>
        <w:jc w:val="both"/>
        <w:rPr>
          <w:rFonts w:ascii="Tahoma" w:hAnsi="Tahoma" w:cs="Tahoma"/>
          <w:b w:val="0"/>
          <w:sz w:val="20"/>
        </w:rPr>
      </w:pPr>
      <w:r>
        <w:rPr>
          <w:rFonts w:ascii="Tahoma" w:hAnsi="Tahoma" w:cs="Tahoma"/>
          <w:b w:val="0"/>
          <w:sz w:val="20"/>
        </w:rPr>
        <w:t>Accion</w:t>
      </w:r>
      <w:r w:rsidR="00782D3A" w:rsidRPr="00B64E2A">
        <w:rPr>
          <w:rFonts w:ascii="Tahoma" w:hAnsi="Tahoma" w:cs="Tahoma"/>
          <w:b w:val="0"/>
          <w:sz w:val="20"/>
        </w:rPr>
        <w:t>ante</w:t>
      </w:r>
      <w:r w:rsidR="00782D3A" w:rsidRPr="00B64E2A">
        <w:rPr>
          <w:rFonts w:ascii="Tahoma" w:hAnsi="Tahoma" w:cs="Tahoma"/>
          <w:b w:val="0"/>
          <w:sz w:val="20"/>
        </w:rPr>
        <w:tab/>
      </w:r>
      <w:r w:rsidR="00782D3A" w:rsidRPr="00B64E2A">
        <w:rPr>
          <w:rFonts w:ascii="Tahoma" w:hAnsi="Tahoma" w:cs="Tahoma"/>
          <w:b w:val="0"/>
          <w:sz w:val="20"/>
        </w:rPr>
        <w:tab/>
      </w:r>
      <w:r w:rsidR="00782D3A" w:rsidRPr="00B64E2A">
        <w:rPr>
          <w:rFonts w:ascii="Tahoma" w:hAnsi="Tahoma" w:cs="Tahoma"/>
          <w:b w:val="0"/>
          <w:sz w:val="20"/>
        </w:rPr>
        <w:tab/>
      </w:r>
      <w:r w:rsidR="00C332D5">
        <w:rPr>
          <w:rFonts w:ascii="Tahoma" w:hAnsi="Tahoma" w:cs="Tahoma"/>
          <w:b w:val="0"/>
          <w:sz w:val="20"/>
        </w:rPr>
        <w:t>ALBA NELLY HERRERA CARDONA</w:t>
      </w:r>
      <w:r w:rsidR="002643DF">
        <w:rPr>
          <w:rFonts w:ascii="Tahoma" w:hAnsi="Tahoma" w:cs="Tahoma"/>
          <w:b w:val="0"/>
          <w:sz w:val="20"/>
        </w:rPr>
        <w:t xml:space="preserve"> </w:t>
      </w:r>
    </w:p>
    <w:p w:rsidR="00782D3A" w:rsidRPr="00B64E2A" w:rsidRDefault="00D92B6B" w:rsidP="00A01BB0">
      <w:pPr>
        <w:pStyle w:val="Puesto"/>
        <w:spacing w:line="240" w:lineRule="auto"/>
        <w:ind w:left="2832" w:hanging="2832"/>
        <w:jc w:val="both"/>
        <w:rPr>
          <w:rFonts w:ascii="Tahoma" w:hAnsi="Tahoma" w:cs="Tahoma"/>
          <w:b w:val="0"/>
          <w:sz w:val="20"/>
        </w:rPr>
      </w:pPr>
      <w:r>
        <w:rPr>
          <w:rFonts w:ascii="Tahoma" w:hAnsi="Tahoma" w:cs="Tahoma"/>
          <w:b w:val="0"/>
          <w:sz w:val="20"/>
        </w:rPr>
        <w:t>Accion</w:t>
      </w:r>
      <w:r w:rsidR="00782D3A" w:rsidRPr="00B64E2A">
        <w:rPr>
          <w:rFonts w:ascii="Tahoma" w:hAnsi="Tahoma" w:cs="Tahoma"/>
          <w:b w:val="0"/>
          <w:sz w:val="20"/>
        </w:rPr>
        <w:t>ado:</w:t>
      </w:r>
      <w:r w:rsidR="00782D3A" w:rsidRPr="00B64E2A">
        <w:rPr>
          <w:rFonts w:ascii="Tahoma" w:hAnsi="Tahoma" w:cs="Tahoma"/>
          <w:b w:val="0"/>
          <w:sz w:val="20"/>
        </w:rPr>
        <w:tab/>
      </w:r>
      <w:r w:rsidR="00C332D5">
        <w:rPr>
          <w:rFonts w:ascii="Tahoma" w:hAnsi="Tahoma" w:cs="Tahoma"/>
          <w:b w:val="0"/>
          <w:sz w:val="20"/>
        </w:rPr>
        <w:t>Ministerio de Vivienda, FONVIVIENDA y Otros</w:t>
      </w:r>
      <w:r w:rsidR="0083123E" w:rsidRPr="00B64E2A">
        <w:rPr>
          <w:rFonts w:ascii="Tahoma" w:hAnsi="Tahoma" w:cs="Tahoma"/>
          <w:b w:val="0"/>
          <w:sz w:val="20"/>
        </w:rPr>
        <w:t xml:space="preserve"> </w:t>
      </w:r>
      <w:r w:rsidR="00782D3A" w:rsidRPr="00B64E2A">
        <w:rPr>
          <w:rFonts w:ascii="Tahoma" w:hAnsi="Tahoma" w:cs="Tahoma"/>
          <w:b w:val="0"/>
          <w:sz w:val="20"/>
        </w:rPr>
        <w:t xml:space="preserve"> </w:t>
      </w:r>
    </w:p>
    <w:p w:rsidR="00FC0800" w:rsidRDefault="00FC0800">
      <w:pPr>
        <w:pStyle w:val="Puesto"/>
        <w:spacing w:line="240" w:lineRule="auto"/>
        <w:jc w:val="both"/>
        <w:rPr>
          <w:rFonts w:ascii="Tahoma" w:hAnsi="Tahoma" w:cs="Tahoma"/>
          <w:b w:val="0"/>
          <w:sz w:val="20"/>
        </w:rPr>
      </w:pPr>
      <w:r w:rsidRPr="00B64E2A">
        <w:rPr>
          <w:rFonts w:ascii="Tahoma" w:hAnsi="Tahoma" w:cs="Tahoma"/>
          <w:b w:val="0"/>
          <w:sz w:val="20"/>
        </w:rPr>
        <w:t>Magistrado Ponente:</w:t>
      </w:r>
      <w:r w:rsidRPr="00B64E2A">
        <w:rPr>
          <w:rFonts w:ascii="Tahoma" w:hAnsi="Tahoma" w:cs="Tahoma"/>
          <w:b w:val="0"/>
          <w:sz w:val="20"/>
        </w:rPr>
        <w:tab/>
      </w:r>
      <w:r w:rsidRPr="00B64E2A">
        <w:rPr>
          <w:rFonts w:ascii="Tahoma" w:hAnsi="Tahoma" w:cs="Tahoma"/>
          <w:b w:val="0"/>
          <w:sz w:val="20"/>
        </w:rPr>
        <w:tab/>
        <w:t xml:space="preserve">Dr. </w:t>
      </w:r>
      <w:r w:rsidR="00C332D5">
        <w:rPr>
          <w:rFonts w:ascii="Tahoma" w:hAnsi="Tahoma" w:cs="Tahoma"/>
          <w:b w:val="0"/>
          <w:sz w:val="20"/>
        </w:rPr>
        <w:t>JULIO CÉSAR SALAZAR MUÑOZ</w:t>
      </w:r>
    </w:p>
    <w:p w:rsidR="00492B8D" w:rsidRPr="00492B8D" w:rsidRDefault="00492B8D">
      <w:pPr>
        <w:pStyle w:val="Puesto"/>
        <w:spacing w:line="240" w:lineRule="auto"/>
        <w:jc w:val="both"/>
        <w:rPr>
          <w:rFonts w:ascii="Tahoma" w:hAnsi="Tahoma" w:cs="Tahoma"/>
          <w:sz w:val="20"/>
        </w:rPr>
      </w:pPr>
      <w:r>
        <w:rPr>
          <w:rFonts w:ascii="Tahoma" w:hAnsi="Tahoma" w:cs="Tahoma"/>
          <w:sz w:val="20"/>
        </w:rPr>
        <w:t>SALVAMENTO DE VOTO:</w:t>
      </w:r>
      <w:r>
        <w:rPr>
          <w:rFonts w:ascii="Tahoma" w:hAnsi="Tahoma" w:cs="Tahoma"/>
          <w:sz w:val="20"/>
        </w:rPr>
        <w:tab/>
        <w:t>Dra. ANA LUCÍA CAICEDO CALDERÓN</w:t>
      </w:r>
    </w:p>
    <w:p w:rsidR="00B67809" w:rsidRPr="00B67809" w:rsidRDefault="0083123E" w:rsidP="00B67809">
      <w:pPr>
        <w:pStyle w:val="Puesto"/>
        <w:spacing w:line="240" w:lineRule="auto"/>
        <w:ind w:left="2805" w:hanging="2805"/>
        <w:jc w:val="both"/>
        <w:rPr>
          <w:rFonts w:ascii="Tahoma" w:hAnsi="Tahoma" w:cs="Tahoma"/>
          <w:sz w:val="18"/>
          <w:szCs w:val="18"/>
        </w:rPr>
      </w:pPr>
      <w:r w:rsidRPr="003202EC">
        <w:rPr>
          <w:rFonts w:ascii="Tahoma" w:hAnsi="Tahoma" w:cs="Tahoma"/>
          <w:sz w:val="20"/>
          <w:szCs w:val="20"/>
        </w:rPr>
        <w:t xml:space="preserve">Tema : </w:t>
      </w:r>
      <w:r w:rsidRPr="003202EC">
        <w:rPr>
          <w:rFonts w:ascii="Tahoma" w:hAnsi="Tahoma" w:cs="Tahoma"/>
          <w:sz w:val="20"/>
          <w:szCs w:val="20"/>
        </w:rPr>
        <w:tab/>
      </w:r>
      <w:r w:rsidR="002162F7">
        <w:rPr>
          <w:rFonts w:ascii="Tahoma" w:hAnsi="Tahoma" w:cs="Tahoma"/>
          <w:sz w:val="20"/>
          <w:szCs w:val="20"/>
        </w:rPr>
        <w:t>APLICACIÓN DE PERSPECTIVA DE GÉNERO FRENTE A UNA MUJER DESPLAZADA</w:t>
      </w:r>
      <w:r w:rsidR="00D84A29" w:rsidRPr="003202EC">
        <w:rPr>
          <w:rFonts w:ascii="Tahoma" w:hAnsi="Tahoma" w:cs="Tahoma"/>
          <w:sz w:val="20"/>
          <w:szCs w:val="20"/>
        </w:rPr>
        <w:t>:</w:t>
      </w:r>
      <w:r w:rsidR="003202EC" w:rsidRPr="003202EC">
        <w:rPr>
          <w:rFonts w:ascii="Tahoma" w:hAnsi="Tahoma" w:cs="Tahoma"/>
          <w:sz w:val="18"/>
          <w:szCs w:val="18"/>
        </w:rPr>
        <w:t xml:space="preserve"> </w:t>
      </w:r>
      <w:r w:rsidR="00B67809">
        <w:rPr>
          <w:rFonts w:ascii="Tahoma" w:hAnsi="Tahoma" w:cs="Tahoma"/>
          <w:b w:val="0"/>
          <w:sz w:val="18"/>
          <w:szCs w:val="18"/>
        </w:rPr>
        <w:t>N</w:t>
      </w:r>
      <w:r w:rsidR="00B67809" w:rsidRPr="00B67809">
        <w:rPr>
          <w:rFonts w:ascii="Tahoma" w:hAnsi="Tahoma" w:cs="Tahoma"/>
          <w:b w:val="0"/>
          <w:sz w:val="18"/>
          <w:szCs w:val="18"/>
        </w:rPr>
        <w:t xml:space="preserve">o podía pasar por alto la Sala mayoritaria que estamos ante una mujer cabeza de familia desplazada desde hace 10 años, lo que de suyo implica que en esta acción de tutela se aplique criterios de perspectiva de género, en cumplimiento de la ley 1257 de 2008, el artículo 13 de la Constitución Política, la Convención </w:t>
      </w:r>
      <w:r w:rsidR="00B67809" w:rsidRPr="00B67809">
        <w:rPr>
          <w:rFonts w:ascii="Tahoma" w:hAnsi="Tahoma" w:cs="Tahoma"/>
          <w:b w:val="0"/>
          <w:sz w:val="18"/>
          <w:szCs w:val="18"/>
          <w:lang w:val="es-MX"/>
        </w:rPr>
        <w:t>sobre eliminación de todas las forma de discriminación en la mujer “CEDAW” , la Convención Interamericana para prevenir, sancionar y erradicar la violencia en las mujeres Belem do Pará, entre otros.</w:t>
      </w:r>
    </w:p>
    <w:p w:rsidR="00B67809" w:rsidRPr="00B67809" w:rsidRDefault="00B67809" w:rsidP="00B67809">
      <w:pPr>
        <w:ind w:left="2805"/>
        <w:jc w:val="both"/>
        <w:rPr>
          <w:rFonts w:ascii="Tahoma" w:hAnsi="Tahoma" w:cs="Tahoma"/>
          <w:sz w:val="18"/>
          <w:szCs w:val="18"/>
        </w:rPr>
      </w:pPr>
    </w:p>
    <w:p w:rsidR="00B67809" w:rsidRPr="00B67809" w:rsidRDefault="00B67809" w:rsidP="00B67809">
      <w:pPr>
        <w:ind w:left="2805"/>
        <w:jc w:val="both"/>
        <w:rPr>
          <w:rFonts w:ascii="Tahoma" w:hAnsi="Tahoma" w:cs="Tahoma"/>
          <w:sz w:val="18"/>
          <w:szCs w:val="18"/>
        </w:rPr>
      </w:pPr>
      <w:r w:rsidRPr="00B67809">
        <w:rPr>
          <w:rFonts w:ascii="Tahoma" w:hAnsi="Tahoma" w:cs="Tahoma"/>
          <w:sz w:val="18"/>
          <w:szCs w:val="18"/>
        </w:rPr>
        <w:t xml:space="preserve"> En ese sentido, la sola condición de ser mujer  desplazada, es motivo suficiente para inferir que existe perjuicio irremediable desde el mismo momento en que fue desplazada y que dicha condición persiste en el tiempo dada sus condiciones de vulnerabilidad.   </w:t>
      </w:r>
      <w:r w:rsidRPr="00B67809">
        <w:rPr>
          <w:rFonts w:ascii="Tahoma" w:hAnsi="Tahoma" w:cs="Tahoma"/>
          <w:b/>
          <w:sz w:val="18"/>
          <w:szCs w:val="18"/>
        </w:rPr>
        <w:t>A su vez, esas condiciones de vulnerabilidad no se pueden considerar superadas bajo el insensible y falaz argumento de que en la familia de la actora existen cuatro personas productivas, como si en Colombia eso fuera suficiente para auto sostenerse.</w:t>
      </w:r>
      <w:r w:rsidRPr="00B67809">
        <w:rPr>
          <w:rFonts w:ascii="Tahoma" w:hAnsi="Tahoma" w:cs="Tahoma"/>
          <w:sz w:val="18"/>
          <w:szCs w:val="18"/>
        </w:rPr>
        <w:t xml:space="preserve"> Las cifras del DANE demuestran que en lo que va corrido de este año la tasa de desempleo se ubica en el 9.9%, de manera que existen millones de colombianos en edad productiva que no obstante esa cualidad </w:t>
      </w:r>
      <w:r w:rsidRPr="00B67809">
        <w:rPr>
          <w:rFonts w:ascii="Tahoma" w:hAnsi="Tahoma" w:cs="Tahoma"/>
          <w:i/>
          <w:sz w:val="18"/>
          <w:szCs w:val="18"/>
        </w:rPr>
        <w:t xml:space="preserve">–productiva- </w:t>
      </w:r>
      <w:r w:rsidRPr="00B67809">
        <w:rPr>
          <w:rFonts w:ascii="Tahoma" w:hAnsi="Tahoma" w:cs="Tahoma"/>
          <w:sz w:val="18"/>
          <w:szCs w:val="18"/>
        </w:rPr>
        <w:t>no pueden auto sostenerse. Utilizar este tipo de argumentos no solo muestra una gran insensibilidad sino un desconocimiento de la realidad del país.</w:t>
      </w:r>
    </w:p>
    <w:p w:rsidR="003202EC" w:rsidRDefault="003202EC" w:rsidP="00270FD4">
      <w:pPr>
        <w:pStyle w:val="Puesto"/>
        <w:spacing w:line="240" w:lineRule="auto"/>
        <w:ind w:left="2805" w:hanging="2805"/>
        <w:jc w:val="both"/>
        <w:rPr>
          <w:rFonts w:ascii="Tahoma" w:hAnsi="Tahoma" w:cs="Tahoma"/>
          <w:b w:val="0"/>
          <w:sz w:val="18"/>
          <w:szCs w:val="18"/>
        </w:rPr>
      </w:pPr>
    </w:p>
    <w:p w:rsidR="00B67809" w:rsidRPr="00270FD4" w:rsidRDefault="00B67809" w:rsidP="00270FD4">
      <w:pPr>
        <w:pStyle w:val="Puesto"/>
        <w:spacing w:line="240" w:lineRule="auto"/>
        <w:ind w:left="2805" w:hanging="2805"/>
        <w:jc w:val="both"/>
        <w:rPr>
          <w:rFonts w:ascii="Tahoma" w:hAnsi="Tahoma" w:cs="Tahoma"/>
          <w:b w:val="0"/>
          <w:sz w:val="18"/>
          <w:szCs w:val="18"/>
        </w:rPr>
      </w:pPr>
    </w:p>
    <w:p w:rsidR="002643DF" w:rsidRPr="00270FD4" w:rsidRDefault="002643DF" w:rsidP="002643DF">
      <w:pPr>
        <w:rPr>
          <w:sz w:val="18"/>
          <w:szCs w:val="18"/>
          <w:lang w:val="es-CO" w:eastAsia="es-MX"/>
        </w:rPr>
      </w:pPr>
    </w:p>
    <w:p w:rsidR="00CC6202" w:rsidRDefault="00CC6202" w:rsidP="002643DF">
      <w:pPr>
        <w:rPr>
          <w:lang w:val="es-CO" w:eastAsia="es-MX"/>
        </w:rPr>
      </w:pPr>
    </w:p>
    <w:p w:rsidR="00782D3A" w:rsidRPr="00B64E2A" w:rsidRDefault="004E5FAC" w:rsidP="00891AF1">
      <w:pPr>
        <w:pStyle w:val="Ttulo1"/>
        <w:widowControl/>
        <w:autoSpaceDE/>
        <w:autoSpaceDN/>
        <w:adjustRightInd/>
        <w:spacing w:line="360" w:lineRule="auto"/>
        <w:rPr>
          <w:rFonts w:ascii="Tahoma" w:hAnsi="Tahoma" w:cs="Tahoma"/>
          <w:bCs/>
          <w:u w:val="single"/>
        </w:rPr>
      </w:pPr>
      <w:r>
        <w:rPr>
          <w:rFonts w:ascii="Tahoma" w:hAnsi="Tahoma" w:cs="Tahoma"/>
          <w:bCs/>
          <w:u w:val="single"/>
        </w:rPr>
        <w:t>SALVAMENTO</w:t>
      </w:r>
      <w:r w:rsidR="00782D3A" w:rsidRPr="00B64E2A">
        <w:rPr>
          <w:rFonts w:ascii="Tahoma" w:hAnsi="Tahoma" w:cs="Tahoma"/>
          <w:bCs/>
          <w:u w:val="single"/>
        </w:rPr>
        <w:t xml:space="preserve"> DE VOTO</w:t>
      </w:r>
    </w:p>
    <w:p w:rsidR="00CC6202" w:rsidRDefault="00CC6202">
      <w:pPr>
        <w:spacing w:line="360" w:lineRule="auto"/>
        <w:jc w:val="both"/>
        <w:rPr>
          <w:rFonts w:ascii="Tahoma" w:hAnsi="Tahoma" w:cs="Tahoma"/>
        </w:rPr>
      </w:pPr>
    </w:p>
    <w:p w:rsidR="001129BB" w:rsidRDefault="004E5FAC">
      <w:pPr>
        <w:spacing w:line="360" w:lineRule="auto"/>
        <w:jc w:val="both"/>
        <w:rPr>
          <w:rFonts w:ascii="Tahoma" w:hAnsi="Tahoma" w:cs="Tahoma"/>
        </w:rPr>
      </w:pPr>
      <w:r>
        <w:rPr>
          <w:rFonts w:ascii="Tahoma" w:hAnsi="Tahoma" w:cs="Tahoma"/>
        </w:rPr>
        <w:t xml:space="preserve">Con mi acostumbrado respeto, </w:t>
      </w:r>
      <w:r w:rsidR="00845996">
        <w:rPr>
          <w:rFonts w:ascii="Tahoma" w:hAnsi="Tahoma" w:cs="Tahoma"/>
        </w:rPr>
        <w:t>me aparto de</w:t>
      </w:r>
      <w:r w:rsidR="00D92B6B">
        <w:rPr>
          <w:rFonts w:ascii="Tahoma" w:hAnsi="Tahoma" w:cs="Tahoma"/>
        </w:rPr>
        <w:t xml:space="preserve"> la decisión </w:t>
      </w:r>
      <w:r w:rsidR="00C332D5">
        <w:rPr>
          <w:rFonts w:ascii="Tahoma" w:hAnsi="Tahoma" w:cs="Tahoma"/>
        </w:rPr>
        <w:t xml:space="preserve">mayoritaria </w:t>
      </w:r>
      <w:r w:rsidR="00D92B6B">
        <w:rPr>
          <w:rFonts w:ascii="Tahoma" w:hAnsi="Tahoma" w:cs="Tahoma"/>
        </w:rPr>
        <w:t xml:space="preserve">de </w:t>
      </w:r>
      <w:r w:rsidR="00C332D5">
        <w:rPr>
          <w:rFonts w:ascii="Tahoma" w:hAnsi="Tahoma" w:cs="Tahoma"/>
        </w:rPr>
        <w:t xml:space="preserve">negar la tutela del derecho a una vivienda digna </w:t>
      </w:r>
      <w:r w:rsidR="001129BB">
        <w:rPr>
          <w:rFonts w:ascii="Tahoma" w:hAnsi="Tahoma" w:cs="Tahoma"/>
        </w:rPr>
        <w:t xml:space="preserve">bajo el argumento de </w:t>
      </w:r>
      <w:r w:rsidR="00C332D5">
        <w:rPr>
          <w:rFonts w:ascii="Tahoma" w:hAnsi="Tahoma" w:cs="Tahoma"/>
        </w:rPr>
        <w:t>que FONVIVIENDA no lo vulneró,  y en cambio</w:t>
      </w:r>
      <w:r w:rsidR="00602372">
        <w:rPr>
          <w:rFonts w:ascii="Tahoma" w:hAnsi="Tahoma" w:cs="Tahoma"/>
        </w:rPr>
        <w:t xml:space="preserve"> proteger únicamente el derecho de petición a efectos de que esa entidad resuelva los recursos de reposición y apelación interpuestos por la actora contra la resolución que rechazó su postulación en el proyecto habitacional San </w:t>
      </w:r>
      <w:r w:rsidR="00B67809">
        <w:rPr>
          <w:rFonts w:ascii="Tahoma" w:hAnsi="Tahoma" w:cs="Tahoma"/>
        </w:rPr>
        <w:t>Joaquín</w:t>
      </w:r>
      <w:r w:rsidR="00602372">
        <w:rPr>
          <w:rFonts w:ascii="Tahoma" w:hAnsi="Tahoma" w:cs="Tahoma"/>
        </w:rPr>
        <w:t xml:space="preserve"> (Dosquebradas). La ratio</w:t>
      </w:r>
      <w:r w:rsidR="001B6831">
        <w:rPr>
          <w:rFonts w:ascii="Tahoma" w:hAnsi="Tahoma" w:cs="Tahoma"/>
        </w:rPr>
        <w:t xml:space="preserve"> </w:t>
      </w:r>
      <w:r w:rsidR="00B67809">
        <w:rPr>
          <w:rFonts w:ascii="Tahoma" w:hAnsi="Tahoma" w:cs="Tahoma"/>
        </w:rPr>
        <w:t>deciden di</w:t>
      </w:r>
      <w:r w:rsidR="001B6831">
        <w:rPr>
          <w:rFonts w:ascii="Tahoma" w:hAnsi="Tahoma" w:cs="Tahoma"/>
        </w:rPr>
        <w:t xml:space="preserve"> de la sente</w:t>
      </w:r>
      <w:r w:rsidR="00602372">
        <w:rPr>
          <w:rFonts w:ascii="Tahoma" w:hAnsi="Tahoma" w:cs="Tahoma"/>
        </w:rPr>
        <w:t xml:space="preserve">ncia mayoritaria descansa en dos razones: </w:t>
      </w:r>
      <w:r w:rsidR="001129BB">
        <w:rPr>
          <w:rFonts w:ascii="Tahoma" w:hAnsi="Tahoma" w:cs="Tahoma"/>
          <w:i/>
        </w:rPr>
        <w:t>i)</w:t>
      </w:r>
      <w:r w:rsidR="00602372">
        <w:rPr>
          <w:rFonts w:ascii="Tahoma" w:hAnsi="Tahoma" w:cs="Tahoma"/>
        </w:rPr>
        <w:t xml:space="preserve"> La improcedencia de la acción de tutela para reclamar asignación de </w:t>
      </w:r>
      <w:r w:rsidR="00B67809">
        <w:rPr>
          <w:rFonts w:ascii="Tahoma" w:hAnsi="Tahoma" w:cs="Tahoma"/>
        </w:rPr>
        <w:t>subsidios</w:t>
      </w:r>
      <w:r w:rsidR="00602372">
        <w:rPr>
          <w:rFonts w:ascii="Tahoma" w:hAnsi="Tahoma" w:cs="Tahoma"/>
        </w:rPr>
        <w:t xml:space="preserve"> de vivienda; y </w:t>
      </w:r>
      <w:r w:rsidR="00602372">
        <w:rPr>
          <w:rFonts w:ascii="Tahoma" w:hAnsi="Tahoma" w:cs="Tahoma"/>
          <w:i/>
        </w:rPr>
        <w:t xml:space="preserve">ii) </w:t>
      </w:r>
      <w:r w:rsidR="001B6831">
        <w:rPr>
          <w:rFonts w:ascii="Tahoma" w:hAnsi="Tahoma" w:cs="Tahoma"/>
        </w:rPr>
        <w:t>qu</w:t>
      </w:r>
      <w:r w:rsidR="001129BB">
        <w:rPr>
          <w:rFonts w:ascii="Tahoma" w:hAnsi="Tahoma" w:cs="Tahoma"/>
        </w:rPr>
        <w:t xml:space="preserve">e </w:t>
      </w:r>
      <w:r w:rsidR="001B6831">
        <w:rPr>
          <w:rFonts w:ascii="Tahoma" w:hAnsi="Tahoma" w:cs="Tahoma"/>
        </w:rPr>
        <w:t xml:space="preserve">la actora </w:t>
      </w:r>
      <w:r w:rsidR="001129BB">
        <w:rPr>
          <w:rFonts w:ascii="Tahoma" w:hAnsi="Tahoma" w:cs="Tahoma"/>
        </w:rPr>
        <w:t xml:space="preserve">no </w:t>
      </w:r>
      <w:r w:rsidR="001B6831">
        <w:rPr>
          <w:rFonts w:ascii="Tahoma" w:hAnsi="Tahoma" w:cs="Tahoma"/>
        </w:rPr>
        <w:t>demostró</w:t>
      </w:r>
      <w:r w:rsidR="001129BB">
        <w:rPr>
          <w:rFonts w:ascii="Tahoma" w:hAnsi="Tahoma" w:cs="Tahoma"/>
        </w:rPr>
        <w:t xml:space="preserve"> un perjuicio irremediable, </w:t>
      </w:r>
      <w:r w:rsidR="001B6831">
        <w:rPr>
          <w:rFonts w:ascii="Tahoma" w:hAnsi="Tahoma" w:cs="Tahoma"/>
        </w:rPr>
        <w:t xml:space="preserve">toda vez que el desplazamiento ocurrió hace más de 10 años y su grupo familiar lo conforman cuatro personas mayores de edad en plena etapa productiva. </w:t>
      </w:r>
    </w:p>
    <w:p w:rsidR="001129BB" w:rsidRDefault="001129BB">
      <w:pPr>
        <w:spacing w:line="360" w:lineRule="auto"/>
        <w:jc w:val="both"/>
        <w:rPr>
          <w:rFonts w:ascii="Tahoma" w:hAnsi="Tahoma" w:cs="Tahoma"/>
        </w:rPr>
      </w:pPr>
    </w:p>
    <w:p w:rsidR="00C25C9B" w:rsidRDefault="001129BB" w:rsidP="00C25C9B">
      <w:pPr>
        <w:spacing w:line="360" w:lineRule="auto"/>
        <w:jc w:val="both"/>
        <w:rPr>
          <w:rFonts w:ascii="Tahoma" w:hAnsi="Tahoma" w:cs="Tahoma"/>
        </w:rPr>
      </w:pPr>
      <w:r>
        <w:rPr>
          <w:rFonts w:ascii="Tahoma" w:hAnsi="Tahoma" w:cs="Tahoma"/>
        </w:rPr>
        <w:t>Para mejor proveer, hay que decir que la actora pretendía que</w:t>
      </w:r>
      <w:r w:rsidR="00254A67">
        <w:rPr>
          <w:rFonts w:ascii="Tahoma" w:hAnsi="Tahoma" w:cs="Tahoma"/>
        </w:rPr>
        <w:t xml:space="preserve"> se tutele su derecho </w:t>
      </w:r>
      <w:r w:rsidR="001B6831">
        <w:rPr>
          <w:rFonts w:ascii="Tahoma" w:hAnsi="Tahoma" w:cs="Tahoma"/>
        </w:rPr>
        <w:t xml:space="preserve">a una vivienda digna ante el rechazo de su postulación en el proyecto habitacional San Joaquín al cual su grupo familiar había </w:t>
      </w:r>
      <w:r w:rsidR="00B67809">
        <w:rPr>
          <w:rFonts w:ascii="Tahoma" w:hAnsi="Tahoma" w:cs="Tahoma"/>
        </w:rPr>
        <w:t>calificado</w:t>
      </w:r>
      <w:r w:rsidR="001B6831">
        <w:rPr>
          <w:rFonts w:ascii="Tahoma" w:hAnsi="Tahoma" w:cs="Tahoma"/>
        </w:rPr>
        <w:t xml:space="preserve"> como potencial beneficiario a una vivienda gratuita. </w:t>
      </w:r>
      <w:r w:rsidR="00C25C9B">
        <w:rPr>
          <w:rFonts w:ascii="Tahoma" w:hAnsi="Tahoma" w:cs="Tahoma"/>
        </w:rPr>
        <w:t xml:space="preserve">Dicho rechazo por parte de FONVIVIENDA, se debió a un cruce </w:t>
      </w:r>
      <w:r w:rsidR="00C25C9B">
        <w:rPr>
          <w:rFonts w:ascii="Tahoma" w:hAnsi="Tahoma" w:cs="Tahoma"/>
        </w:rPr>
        <w:lastRenderedPageBreak/>
        <w:t xml:space="preserve">de  información relacionado con la base de datos de la Registraduría Nacional en relación con la cédula de ciudadanía del señor Mauricio </w:t>
      </w:r>
      <w:r w:rsidR="00B67809">
        <w:rPr>
          <w:rFonts w:ascii="Tahoma" w:hAnsi="Tahoma" w:cs="Tahoma"/>
        </w:rPr>
        <w:t>Alejandro</w:t>
      </w:r>
      <w:r w:rsidR="00C25C9B">
        <w:rPr>
          <w:rFonts w:ascii="Tahoma" w:hAnsi="Tahoma" w:cs="Tahoma"/>
        </w:rPr>
        <w:t xml:space="preserve"> Morales Herrera, h</w:t>
      </w:r>
      <w:r w:rsidR="00B87A9D">
        <w:rPr>
          <w:rFonts w:ascii="Tahoma" w:hAnsi="Tahoma" w:cs="Tahoma"/>
        </w:rPr>
        <w:t>ij</w:t>
      </w:r>
      <w:r w:rsidR="00C25C9B">
        <w:rPr>
          <w:rFonts w:ascii="Tahoma" w:hAnsi="Tahoma" w:cs="Tahoma"/>
        </w:rPr>
        <w:t xml:space="preserve">o de la demandante, la cual aparece como </w:t>
      </w:r>
      <w:r w:rsidR="00B67809">
        <w:rPr>
          <w:rFonts w:ascii="Tahoma" w:hAnsi="Tahoma" w:cs="Tahoma"/>
          <w:i/>
        </w:rPr>
        <w:t>“cancelado</w:t>
      </w:r>
      <w:r w:rsidR="00C25C9B">
        <w:rPr>
          <w:rFonts w:ascii="Tahoma" w:hAnsi="Tahoma" w:cs="Tahoma"/>
          <w:i/>
        </w:rPr>
        <w:t xml:space="preserve"> por muerte-</w:t>
      </w:r>
      <w:r w:rsidR="00B67809">
        <w:rPr>
          <w:rFonts w:ascii="Tahoma" w:hAnsi="Tahoma" w:cs="Tahoma"/>
          <w:i/>
        </w:rPr>
        <w:t>no</w:t>
      </w:r>
      <w:r w:rsidR="00C25C9B">
        <w:rPr>
          <w:rFonts w:ascii="Tahoma" w:hAnsi="Tahoma" w:cs="Tahoma"/>
          <w:i/>
        </w:rPr>
        <w:t xml:space="preserve"> expedida”,  </w:t>
      </w:r>
      <w:r w:rsidR="00C25C9B">
        <w:rPr>
          <w:rFonts w:ascii="Tahoma" w:hAnsi="Tahoma" w:cs="Tahoma"/>
        </w:rPr>
        <w:t xml:space="preserve">situación que en concepto de la actora en nada debe </w:t>
      </w:r>
      <w:r w:rsidR="00B67809">
        <w:rPr>
          <w:rFonts w:ascii="Tahoma" w:hAnsi="Tahoma" w:cs="Tahoma"/>
        </w:rPr>
        <w:t>influir</w:t>
      </w:r>
      <w:r w:rsidR="00C25C9B">
        <w:rPr>
          <w:rFonts w:ascii="Tahoma" w:hAnsi="Tahoma" w:cs="Tahoma"/>
        </w:rPr>
        <w:t xml:space="preserve"> en su </w:t>
      </w:r>
      <w:r w:rsidR="00B67809">
        <w:rPr>
          <w:rFonts w:ascii="Tahoma" w:hAnsi="Tahoma" w:cs="Tahoma"/>
        </w:rPr>
        <w:t>postulación</w:t>
      </w:r>
      <w:r w:rsidR="00C25C9B">
        <w:rPr>
          <w:rFonts w:ascii="Tahoma" w:hAnsi="Tahoma" w:cs="Tahoma"/>
        </w:rPr>
        <w:t xml:space="preserve"> toda vez que cumplió con todos los requisitos y en su oportunidad adjuntó el registro de </w:t>
      </w:r>
      <w:r w:rsidR="00B67809">
        <w:rPr>
          <w:rFonts w:ascii="Tahoma" w:hAnsi="Tahoma" w:cs="Tahoma"/>
        </w:rPr>
        <w:t>defunción</w:t>
      </w:r>
      <w:r w:rsidR="00C25C9B">
        <w:rPr>
          <w:rFonts w:ascii="Tahoma" w:hAnsi="Tahoma" w:cs="Tahoma"/>
        </w:rPr>
        <w:t xml:space="preserve"> de su hijo. </w:t>
      </w:r>
    </w:p>
    <w:p w:rsidR="00C25C9B" w:rsidRDefault="00C25C9B" w:rsidP="00C25C9B">
      <w:pPr>
        <w:spacing w:line="360" w:lineRule="auto"/>
        <w:jc w:val="both"/>
        <w:rPr>
          <w:rFonts w:ascii="Tahoma" w:hAnsi="Tahoma" w:cs="Tahoma"/>
        </w:rPr>
      </w:pPr>
    </w:p>
    <w:p w:rsidR="00397394" w:rsidRDefault="00397394" w:rsidP="00C25C9B">
      <w:pPr>
        <w:spacing w:line="360" w:lineRule="auto"/>
        <w:jc w:val="both"/>
        <w:rPr>
          <w:rFonts w:ascii="Tahoma" w:hAnsi="Tahoma" w:cs="Tahoma"/>
        </w:rPr>
      </w:pPr>
    </w:p>
    <w:p w:rsidR="003E7572" w:rsidRDefault="00920C4F">
      <w:pPr>
        <w:spacing w:line="360" w:lineRule="auto"/>
        <w:jc w:val="both"/>
        <w:rPr>
          <w:rFonts w:ascii="Tahoma" w:hAnsi="Tahoma" w:cs="Tahoma"/>
        </w:rPr>
      </w:pPr>
      <w:r>
        <w:rPr>
          <w:rFonts w:ascii="Tahoma" w:hAnsi="Tahoma" w:cs="Tahoma"/>
        </w:rPr>
        <w:t xml:space="preserve">Como puede verse, la acción de tutela no se dirige a que se le asigne un subsidio de vivienda, como parece insinuarlo la decisión mayoritaria, sino </w:t>
      </w:r>
      <w:r w:rsidR="00B67809">
        <w:rPr>
          <w:rFonts w:ascii="Tahoma" w:hAnsi="Tahoma" w:cs="Tahoma"/>
        </w:rPr>
        <w:t>simplemente</w:t>
      </w:r>
      <w:r>
        <w:rPr>
          <w:rFonts w:ascii="Tahoma" w:hAnsi="Tahoma" w:cs="Tahoma"/>
        </w:rPr>
        <w:t xml:space="preserve"> a que no se pongan trabas administrativas a su postulación, toda vez que el cruce de información entre dos entidades públicas (FONVIVIENDA y la Registraduría Nacional del Estado civil) le ha impedido a su grupo familiar estar en la lista de posibles postulados, a pesar de cumplir con todos los requisitos. Luego entonces, la acción de tutela se abría paso toda vez que si uno de los requisitos era adjuntar el registro civil de </w:t>
      </w:r>
      <w:r w:rsidR="00B67809">
        <w:rPr>
          <w:rFonts w:ascii="Tahoma" w:hAnsi="Tahoma" w:cs="Tahoma"/>
        </w:rPr>
        <w:t>defunción</w:t>
      </w:r>
      <w:r>
        <w:rPr>
          <w:rFonts w:ascii="Tahoma" w:hAnsi="Tahoma" w:cs="Tahoma"/>
        </w:rPr>
        <w:t xml:space="preserve"> del hijo fallecido, y éste se aportó por la actora, y además cumplió con las demás exigencias, no se ve una causal de rechazo de su postulación, ni menos que en ello tenga </w:t>
      </w:r>
      <w:r w:rsidR="003E7572">
        <w:rPr>
          <w:rFonts w:ascii="Tahoma" w:hAnsi="Tahoma" w:cs="Tahoma"/>
        </w:rPr>
        <w:t xml:space="preserve">nada que ver la actora. En consecuencia se viola el derecho al </w:t>
      </w:r>
      <w:r w:rsidR="00B67809">
        <w:rPr>
          <w:rFonts w:ascii="Tahoma" w:hAnsi="Tahoma" w:cs="Tahoma"/>
        </w:rPr>
        <w:t>debido</w:t>
      </w:r>
      <w:r w:rsidR="003E7572">
        <w:rPr>
          <w:rFonts w:ascii="Tahoma" w:hAnsi="Tahoma" w:cs="Tahoma"/>
        </w:rPr>
        <w:t xml:space="preserve"> proceso administrativo y por esta vía se termina violando el derecho a una vivienda digna de la actora. </w:t>
      </w:r>
    </w:p>
    <w:p w:rsidR="003E7572" w:rsidRDefault="003E7572">
      <w:pPr>
        <w:spacing w:line="360" w:lineRule="auto"/>
        <w:jc w:val="both"/>
        <w:rPr>
          <w:rFonts w:ascii="Tahoma" w:hAnsi="Tahoma" w:cs="Tahoma"/>
        </w:rPr>
      </w:pPr>
    </w:p>
    <w:p w:rsidR="003E7572" w:rsidRPr="003E7572" w:rsidRDefault="003E7572" w:rsidP="003E7572">
      <w:pPr>
        <w:spacing w:line="360" w:lineRule="auto"/>
        <w:jc w:val="both"/>
        <w:rPr>
          <w:rFonts w:ascii="Tahoma" w:hAnsi="Tahoma" w:cs="Tahoma"/>
        </w:rPr>
      </w:pPr>
      <w:r>
        <w:rPr>
          <w:rFonts w:ascii="Tahoma" w:hAnsi="Tahoma" w:cs="Tahoma"/>
        </w:rPr>
        <w:t xml:space="preserve">Pero además, no podía pasar por alto la Sala mayoritaria </w:t>
      </w:r>
      <w:r w:rsidR="00BF602C">
        <w:rPr>
          <w:rFonts w:ascii="Tahoma" w:hAnsi="Tahoma" w:cs="Tahoma"/>
        </w:rPr>
        <w:t xml:space="preserve">que estamos ante una </w:t>
      </w:r>
      <w:r w:rsidR="00BF602C" w:rsidRPr="003E7572">
        <w:rPr>
          <w:rFonts w:ascii="Tahoma" w:hAnsi="Tahoma" w:cs="Tahoma"/>
          <w:b/>
        </w:rPr>
        <w:t>mujer cabeza de familia desplazada</w:t>
      </w:r>
      <w:r w:rsidR="00BF602C">
        <w:rPr>
          <w:rFonts w:ascii="Tahoma" w:hAnsi="Tahoma" w:cs="Tahoma"/>
        </w:rPr>
        <w:t xml:space="preserve"> </w:t>
      </w:r>
      <w:r>
        <w:rPr>
          <w:rFonts w:ascii="Tahoma" w:hAnsi="Tahoma" w:cs="Tahoma"/>
        </w:rPr>
        <w:t>desde hace 10 años</w:t>
      </w:r>
      <w:r w:rsidR="00BF602C">
        <w:rPr>
          <w:rFonts w:ascii="Tahoma" w:hAnsi="Tahoma" w:cs="Tahoma"/>
        </w:rPr>
        <w:t xml:space="preserve">, </w:t>
      </w:r>
      <w:r w:rsidR="00BF602C" w:rsidRPr="00BF602C">
        <w:rPr>
          <w:rFonts w:ascii="Tahoma" w:hAnsi="Tahoma" w:cs="Tahoma"/>
          <w:b/>
        </w:rPr>
        <w:t>lo que de suyo implica que en esta acción de tutela se aplique criterios de perspectiva de género</w:t>
      </w:r>
      <w:r>
        <w:rPr>
          <w:rFonts w:ascii="Tahoma" w:hAnsi="Tahoma" w:cs="Tahoma"/>
        </w:rPr>
        <w:t xml:space="preserve">, en cumplimiento de la ley 1257 de 2008, el artículo 13 de la Constitución Política, la Convención </w:t>
      </w:r>
      <w:r w:rsidRPr="003E7572">
        <w:rPr>
          <w:rFonts w:ascii="Tahoma" w:hAnsi="Tahoma" w:cs="Tahoma"/>
          <w:lang w:val="es-MX"/>
        </w:rPr>
        <w:t>sobre eliminación de todas las forma de discriminación en la mujer</w:t>
      </w:r>
      <w:r>
        <w:rPr>
          <w:rFonts w:ascii="Tahoma" w:hAnsi="Tahoma" w:cs="Tahoma"/>
          <w:lang w:val="es-MX"/>
        </w:rPr>
        <w:t xml:space="preserve"> “CEDAW”</w:t>
      </w:r>
      <w:r w:rsidRPr="003E7572">
        <w:rPr>
          <w:rFonts w:ascii="Tahoma" w:hAnsi="Tahoma" w:cs="Tahoma"/>
          <w:lang w:val="es-MX"/>
        </w:rPr>
        <w:t xml:space="preserve"> </w:t>
      </w:r>
      <w:r>
        <w:rPr>
          <w:rFonts w:ascii="Tahoma" w:hAnsi="Tahoma" w:cs="Tahoma"/>
          <w:lang w:val="es-MX"/>
        </w:rPr>
        <w:t xml:space="preserve">, la </w:t>
      </w:r>
      <w:r w:rsidRPr="003E7572">
        <w:rPr>
          <w:rFonts w:ascii="Tahoma" w:hAnsi="Tahoma" w:cs="Tahoma"/>
          <w:lang w:val="es-MX"/>
        </w:rPr>
        <w:t>Convención Interamericana para prevenir, sancionar y erradicar la violencia en las mujeres Belem do Pará</w:t>
      </w:r>
      <w:r w:rsidR="00B87A9D">
        <w:rPr>
          <w:rFonts w:ascii="Tahoma" w:hAnsi="Tahoma" w:cs="Tahoma"/>
          <w:lang w:val="es-MX"/>
        </w:rPr>
        <w:t>, entre otros.</w:t>
      </w:r>
    </w:p>
    <w:p w:rsidR="003E7572" w:rsidRDefault="003E7572">
      <w:pPr>
        <w:spacing w:line="360" w:lineRule="auto"/>
        <w:jc w:val="both"/>
        <w:rPr>
          <w:rFonts w:ascii="Tahoma" w:hAnsi="Tahoma" w:cs="Tahoma"/>
        </w:rPr>
      </w:pPr>
    </w:p>
    <w:p w:rsidR="00383DC4" w:rsidRDefault="00BF602C">
      <w:pPr>
        <w:spacing w:line="360" w:lineRule="auto"/>
        <w:jc w:val="both"/>
        <w:rPr>
          <w:rFonts w:ascii="Tahoma" w:hAnsi="Tahoma" w:cs="Tahoma"/>
        </w:rPr>
      </w:pPr>
      <w:r>
        <w:rPr>
          <w:rFonts w:ascii="Tahoma" w:hAnsi="Tahoma" w:cs="Tahoma"/>
        </w:rPr>
        <w:t xml:space="preserve"> En ese sentido, la sola condición de ser mujer  desplazada, es motivo suficiente para inferir que existe perjuicio irremediable desde el mismo momento en que fue desplazada y que dicha condición persiste en el tiempo dada sus condiciones de vulnerabilidad.   </w:t>
      </w:r>
      <w:r w:rsidRPr="00B67809">
        <w:rPr>
          <w:rFonts w:ascii="Tahoma" w:hAnsi="Tahoma" w:cs="Tahoma"/>
          <w:b/>
        </w:rPr>
        <w:t xml:space="preserve">A su vez, esas condiciones de vulnerabilidad </w:t>
      </w:r>
      <w:r w:rsidR="00B87A9D" w:rsidRPr="00B67809">
        <w:rPr>
          <w:rFonts w:ascii="Tahoma" w:hAnsi="Tahoma" w:cs="Tahoma"/>
          <w:b/>
        </w:rPr>
        <w:t xml:space="preserve">no se pueden considerar superadas bajo el insensible y falaz argumento de que en la familia de la actora </w:t>
      </w:r>
      <w:r w:rsidR="00B67809" w:rsidRPr="00B67809">
        <w:rPr>
          <w:rFonts w:ascii="Tahoma" w:hAnsi="Tahoma" w:cs="Tahoma"/>
          <w:b/>
        </w:rPr>
        <w:t>existen</w:t>
      </w:r>
      <w:r w:rsidR="00B87A9D" w:rsidRPr="00B67809">
        <w:rPr>
          <w:rFonts w:ascii="Tahoma" w:hAnsi="Tahoma" w:cs="Tahoma"/>
          <w:b/>
        </w:rPr>
        <w:t xml:space="preserve"> cuatro personas productivas, como si en </w:t>
      </w:r>
      <w:r w:rsidR="00B87A9D" w:rsidRPr="00B67809">
        <w:rPr>
          <w:rFonts w:ascii="Tahoma" w:hAnsi="Tahoma" w:cs="Tahoma"/>
          <w:b/>
        </w:rPr>
        <w:lastRenderedPageBreak/>
        <w:t>Colombia eso fuera suficiente para auto</w:t>
      </w:r>
      <w:r w:rsidR="00383DC4" w:rsidRPr="00B67809">
        <w:rPr>
          <w:rFonts w:ascii="Tahoma" w:hAnsi="Tahoma" w:cs="Tahoma"/>
          <w:b/>
        </w:rPr>
        <w:t xml:space="preserve"> </w:t>
      </w:r>
      <w:r w:rsidR="00B67809" w:rsidRPr="00B67809">
        <w:rPr>
          <w:rFonts w:ascii="Tahoma" w:hAnsi="Tahoma" w:cs="Tahoma"/>
          <w:b/>
        </w:rPr>
        <w:t>sostenerse</w:t>
      </w:r>
      <w:r w:rsidR="00B87A9D" w:rsidRPr="00B67809">
        <w:rPr>
          <w:rFonts w:ascii="Tahoma" w:hAnsi="Tahoma" w:cs="Tahoma"/>
          <w:b/>
        </w:rPr>
        <w:t>.</w:t>
      </w:r>
      <w:r w:rsidR="00B87A9D">
        <w:rPr>
          <w:rFonts w:ascii="Tahoma" w:hAnsi="Tahoma" w:cs="Tahoma"/>
        </w:rPr>
        <w:t xml:space="preserve"> Las cifras del DANE demuestran que en lo que va corrido de este año la tasa de desempleo se ubica en el 9.9%, de manera que existen millones de colombianos en edad productiva que no </w:t>
      </w:r>
      <w:r w:rsidR="00B67809">
        <w:rPr>
          <w:rFonts w:ascii="Tahoma" w:hAnsi="Tahoma" w:cs="Tahoma"/>
        </w:rPr>
        <w:t>obstante</w:t>
      </w:r>
      <w:r w:rsidR="00B87A9D">
        <w:rPr>
          <w:rFonts w:ascii="Tahoma" w:hAnsi="Tahoma" w:cs="Tahoma"/>
        </w:rPr>
        <w:t xml:space="preserve"> esa cualidad </w:t>
      </w:r>
      <w:r w:rsidR="00B87A9D">
        <w:rPr>
          <w:rFonts w:ascii="Tahoma" w:hAnsi="Tahoma" w:cs="Tahoma"/>
          <w:i/>
        </w:rPr>
        <w:t xml:space="preserve">–productiva- </w:t>
      </w:r>
      <w:r w:rsidR="00383DC4">
        <w:rPr>
          <w:rFonts w:ascii="Tahoma" w:hAnsi="Tahoma" w:cs="Tahoma"/>
        </w:rPr>
        <w:t xml:space="preserve">no pueden auto sostenerse. </w:t>
      </w:r>
      <w:r w:rsidR="00B87A9D">
        <w:rPr>
          <w:rFonts w:ascii="Tahoma" w:hAnsi="Tahoma" w:cs="Tahoma"/>
        </w:rPr>
        <w:t xml:space="preserve">Utilizar </w:t>
      </w:r>
      <w:r w:rsidR="00383DC4">
        <w:rPr>
          <w:rFonts w:ascii="Tahoma" w:hAnsi="Tahoma" w:cs="Tahoma"/>
        </w:rPr>
        <w:t xml:space="preserve">este tipo de </w:t>
      </w:r>
      <w:r w:rsidR="00B87A9D">
        <w:rPr>
          <w:rFonts w:ascii="Tahoma" w:hAnsi="Tahoma" w:cs="Tahoma"/>
        </w:rPr>
        <w:t xml:space="preserve">argumentos </w:t>
      </w:r>
      <w:r w:rsidR="00383DC4">
        <w:rPr>
          <w:rFonts w:ascii="Tahoma" w:hAnsi="Tahoma" w:cs="Tahoma"/>
        </w:rPr>
        <w:t xml:space="preserve">no solo muestra una gran insensibilidad </w:t>
      </w:r>
      <w:r w:rsidR="00B67809">
        <w:rPr>
          <w:rFonts w:ascii="Tahoma" w:hAnsi="Tahoma" w:cs="Tahoma"/>
        </w:rPr>
        <w:t>sino</w:t>
      </w:r>
      <w:r w:rsidR="00383DC4">
        <w:rPr>
          <w:rFonts w:ascii="Tahoma" w:hAnsi="Tahoma" w:cs="Tahoma"/>
        </w:rPr>
        <w:t xml:space="preserve"> un </w:t>
      </w:r>
      <w:r w:rsidR="00B67809">
        <w:rPr>
          <w:rFonts w:ascii="Tahoma" w:hAnsi="Tahoma" w:cs="Tahoma"/>
        </w:rPr>
        <w:t>desconocimiento</w:t>
      </w:r>
      <w:r w:rsidR="00383DC4">
        <w:rPr>
          <w:rFonts w:ascii="Tahoma" w:hAnsi="Tahoma" w:cs="Tahoma"/>
        </w:rPr>
        <w:t xml:space="preserve"> de la realidad del país.</w:t>
      </w:r>
    </w:p>
    <w:p w:rsidR="00383DC4" w:rsidRDefault="00383DC4">
      <w:pPr>
        <w:spacing w:line="360" w:lineRule="auto"/>
        <w:jc w:val="both"/>
        <w:rPr>
          <w:rFonts w:ascii="Tahoma" w:hAnsi="Tahoma" w:cs="Tahoma"/>
        </w:rPr>
      </w:pPr>
    </w:p>
    <w:p w:rsidR="00BF602C" w:rsidRDefault="00383DC4">
      <w:pPr>
        <w:spacing w:line="360" w:lineRule="auto"/>
        <w:jc w:val="both"/>
        <w:rPr>
          <w:rFonts w:ascii="Tahoma" w:hAnsi="Tahoma" w:cs="Tahoma"/>
        </w:rPr>
      </w:pPr>
      <w:r>
        <w:rPr>
          <w:rFonts w:ascii="Tahoma" w:hAnsi="Tahoma" w:cs="Tahoma"/>
        </w:rPr>
        <w:t xml:space="preserve">Finalmente, la orden de </w:t>
      </w:r>
      <w:r w:rsidR="00B67809">
        <w:rPr>
          <w:rFonts w:ascii="Tahoma" w:hAnsi="Tahoma" w:cs="Tahoma"/>
        </w:rPr>
        <w:t>que</w:t>
      </w:r>
      <w:r>
        <w:rPr>
          <w:rFonts w:ascii="Tahoma" w:hAnsi="Tahoma" w:cs="Tahoma"/>
        </w:rPr>
        <w:t xml:space="preserve"> </w:t>
      </w:r>
      <w:r w:rsidR="00B67809">
        <w:rPr>
          <w:rFonts w:ascii="Tahoma" w:hAnsi="Tahoma" w:cs="Tahoma"/>
        </w:rPr>
        <w:t>resuelvan</w:t>
      </w:r>
      <w:r>
        <w:rPr>
          <w:rFonts w:ascii="Tahoma" w:hAnsi="Tahoma" w:cs="Tahoma"/>
        </w:rPr>
        <w:t xml:space="preserve"> los recursos de la </w:t>
      </w:r>
      <w:r w:rsidR="00B67809">
        <w:rPr>
          <w:rFonts w:ascii="Tahoma" w:hAnsi="Tahoma" w:cs="Tahoma"/>
        </w:rPr>
        <w:t>vía</w:t>
      </w:r>
      <w:r>
        <w:rPr>
          <w:rFonts w:ascii="Tahoma" w:hAnsi="Tahoma" w:cs="Tahoma"/>
        </w:rPr>
        <w:t xml:space="preserve"> gubernativa que la actora presentó, en nada </w:t>
      </w:r>
      <w:r w:rsidR="00B67809">
        <w:rPr>
          <w:rFonts w:ascii="Tahoma" w:hAnsi="Tahoma" w:cs="Tahoma"/>
        </w:rPr>
        <w:t>contribuye</w:t>
      </w:r>
      <w:r>
        <w:rPr>
          <w:rFonts w:ascii="Tahoma" w:hAnsi="Tahoma" w:cs="Tahoma"/>
        </w:rPr>
        <w:t xml:space="preserve"> a superar la violación del derecho a una vida digna por parte de FONVIVIENDA,  pues es evidente que siendo este organismo parte del </w:t>
      </w:r>
      <w:r w:rsidRPr="00383DC4">
        <w:rPr>
          <w:rFonts w:ascii="Tahoma" w:hAnsi="Tahoma" w:cs="Tahoma"/>
        </w:rPr>
        <w:t>Sistema Nacional de Atención Integral a la Población Desplazada SNAIPD</w:t>
      </w:r>
      <w:r>
        <w:t>,</w:t>
      </w:r>
      <w:r>
        <w:rPr>
          <w:rFonts w:ascii="Tahoma" w:hAnsi="Tahoma" w:cs="Tahoma"/>
        </w:rPr>
        <w:t xml:space="preserve"> viola derechos fundamentales de las mujeres desplazadas cuando sin justificación alguna </w:t>
      </w:r>
      <w:r w:rsidR="00B67809">
        <w:rPr>
          <w:rFonts w:ascii="Tahoma" w:hAnsi="Tahoma" w:cs="Tahoma"/>
        </w:rPr>
        <w:t>impone cargas y trabas</w:t>
      </w:r>
      <w:r>
        <w:rPr>
          <w:rFonts w:ascii="Tahoma" w:hAnsi="Tahoma" w:cs="Tahoma"/>
        </w:rPr>
        <w:t xml:space="preserve"> administrativas a </w:t>
      </w:r>
      <w:r w:rsidR="00B67809">
        <w:rPr>
          <w:rFonts w:ascii="Tahoma" w:hAnsi="Tahoma" w:cs="Tahoma"/>
        </w:rPr>
        <w:t xml:space="preserve">aquellas, como en efecto se hizo en este caso, a pesar de que la actora cumplió con todos los requisitos para que fuera tenida en cuenta su postulación. Lo anterior </w:t>
      </w:r>
      <w:r>
        <w:rPr>
          <w:rFonts w:ascii="Tahoma" w:hAnsi="Tahoma" w:cs="Tahoma"/>
        </w:rPr>
        <w:t>confo</w:t>
      </w:r>
      <w:r w:rsidR="00B67809">
        <w:rPr>
          <w:rFonts w:ascii="Tahoma" w:hAnsi="Tahoma" w:cs="Tahoma"/>
        </w:rPr>
        <w:t>rmi</w:t>
      </w:r>
      <w:r>
        <w:rPr>
          <w:rFonts w:ascii="Tahoma" w:hAnsi="Tahoma" w:cs="Tahoma"/>
        </w:rPr>
        <w:t xml:space="preserve">dad </w:t>
      </w:r>
      <w:r w:rsidR="00B67809">
        <w:rPr>
          <w:rFonts w:ascii="Tahoma" w:hAnsi="Tahoma" w:cs="Tahoma"/>
        </w:rPr>
        <w:t>a</w:t>
      </w:r>
      <w:r>
        <w:rPr>
          <w:rFonts w:ascii="Tahoma" w:hAnsi="Tahoma" w:cs="Tahoma"/>
        </w:rPr>
        <w:t xml:space="preserve"> lo establecido por la Corte Constitucional en al Auto 092 de 2008. </w:t>
      </w:r>
    </w:p>
    <w:p w:rsidR="00B67809" w:rsidRDefault="00B67809">
      <w:pPr>
        <w:spacing w:line="360" w:lineRule="auto"/>
        <w:jc w:val="both"/>
        <w:rPr>
          <w:rFonts w:ascii="Tahoma" w:hAnsi="Tahoma" w:cs="Tahoma"/>
        </w:rPr>
      </w:pPr>
    </w:p>
    <w:p w:rsidR="004F7614" w:rsidRDefault="00BF602C" w:rsidP="00B67809">
      <w:pPr>
        <w:spacing w:line="360" w:lineRule="auto"/>
        <w:jc w:val="both"/>
        <w:rPr>
          <w:rFonts w:ascii="Tahoma" w:hAnsi="Tahoma" w:cs="Tahoma"/>
        </w:rPr>
      </w:pPr>
      <w:r>
        <w:rPr>
          <w:rFonts w:ascii="Tahoma" w:hAnsi="Tahoma" w:cs="Tahoma"/>
        </w:rPr>
        <w:t xml:space="preserve">En consecuencia, debió tutelarse el derecho </w:t>
      </w:r>
      <w:r w:rsidR="00B67809">
        <w:rPr>
          <w:rFonts w:ascii="Tahoma" w:hAnsi="Tahoma" w:cs="Tahoma"/>
        </w:rPr>
        <w:t xml:space="preserve">a una vivienda digna en la forma pedida en la demanda. </w:t>
      </w:r>
      <w:r w:rsidR="003E4618">
        <w:rPr>
          <w:rFonts w:ascii="Tahoma" w:hAnsi="Tahoma" w:cs="Tahoma"/>
        </w:rPr>
        <w:t xml:space="preserve">En subsidio de lo anterior, se debió </w:t>
      </w:r>
      <w:proofErr w:type="spellStart"/>
      <w:r w:rsidR="003E4618">
        <w:rPr>
          <w:rFonts w:ascii="Tahoma" w:hAnsi="Tahoma" w:cs="Tahoma"/>
        </w:rPr>
        <w:t>nulitar</w:t>
      </w:r>
      <w:proofErr w:type="spellEnd"/>
      <w:r w:rsidR="003E4618">
        <w:rPr>
          <w:rFonts w:ascii="Tahoma" w:hAnsi="Tahoma" w:cs="Tahoma"/>
        </w:rPr>
        <w:t xml:space="preserve"> todo lo actuado para vincular a la </w:t>
      </w:r>
      <w:proofErr w:type="spellStart"/>
      <w:r w:rsidR="003E4618">
        <w:rPr>
          <w:rFonts w:ascii="Tahoma" w:hAnsi="Tahoma" w:cs="Tahoma"/>
        </w:rPr>
        <w:t>Registraduría</w:t>
      </w:r>
      <w:proofErr w:type="spellEnd"/>
      <w:r w:rsidR="003E4618">
        <w:rPr>
          <w:rFonts w:ascii="Tahoma" w:hAnsi="Tahoma" w:cs="Tahoma"/>
        </w:rPr>
        <w:t xml:space="preserve"> del Estado Civil a efectos de aclarar lo relacionado con la cédula del fallecido hijo de la demandante.</w:t>
      </w:r>
    </w:p>
    <w:p w:rsidR="000A247F" w:rsidRDefault="000A247F">
      <w:pPr>
        <w:pStyle w:val="Textoindependiente"/>
        <w:autoSpaceDE/>
        <w:autoSpaceDN/>
        <w:adjustRightInd/>
        <w:spacing w:line="360" w:lineRule="auto"/>
        <w:rPr>
          <w:rFonts w:ascii="Tahoma" w:hAnsi="Tahoma" w:cs="Tahoma"/>
          <w:lang w:val="es-ES"/>
        </w:rPr>
      </w:pPr>
    </w:p>
    <w:p w:rsidR="00782D3A" w:rsidRPr="00B64E2A" w:rsidRDefault="00782D3A">
      <w:pPr>
        <w:pStyle w:val="Textoindependiente"/>
        <w:autoSpaceDE/>
        <w:autoSpaceDN/>
        <w:adjustRightInd/>
        <w:spacing w:line="360" w:lineRule="auto"/>
        <w:rPr>
          <w:rFonts w:ascii="Tahoma" w:hAnsi="Tahoma" w:cs="Tahoma"/>
          <w:lang w:val="es-ES"/>
        </w:rPr>
      </w:pPr>
      <w:r w:rsidRPr="00B64E2A">
        <w:rPr>
          <w:rFonts w:ascii="Tahoma" w:hAnsi="Tahoma" w:cs="Tahoma"/>
          <w:lang w:val="es-ES"/>
        </w:rPr>
        <w:t xml:space="preserve">En estos términos sustento mi </w:t>
      </w:r>
      <w:r w:rsidR="00496E67">
        <w:rPr>
          <w:rFonts w:ascii="Tahoma" w:hAnsi="Tahoma" w:cs="Tahoma"/>
          <w:lang w:val="es-ES"/>
        </w:rPr>
        <w:t>salvamento</w:t>
      </w:r>
      <w:r w:rsidRPr="00B64E2A">
        <w:rPr>
          <w:rFonts w:ascii="Tahoma" w:hAnsi="Tahoma" w:cs="Tahoma"/>
          <w:lang w:val="es-ES"/>
        </w:rPr>
        <w:t xml:space="preserve"> </w:t>
      </w:r>
      <w:r w:rsidR="00562945">
        <w:rPr>
          <w:rFonts w:ascii="Tahoma" w:hAnsi="Tahoma" w:cs="Tahoma"/>
          <w:lang w:val="es-ES"/>
        </w:rPr>
        <w:t xml:space="preserve">parcial </w:t>
      </w:r>
      <w:r w:rsidRPr="00B64E2A">
        <w:rPr>
          <w:rFonts w:ascii="Tahoma" w:hAnsi="Tahoma" w:cs="Tahoma"/>
          <w:lang w:val="es-ES"/>
        </w:rPr>
        <w:t>de voto.</w:t>
      </w:r>
    </w:p>
    <w:p w:rsidR="00782D3A" w:rsidRPr="00B64E2A" w:rsidRDefault="00782D3A">
      <w:pPr>
        <w:pStyle w:val="Textoindependiente"/>
        <w:autoSpaceDE/>
        <w:autoSpaceDN/>
        <w:adjustRightInd/>
        <w:spacing w:line="360" w:lineRule="auto"/>
        <w:rPr>
          <w:rFonts w:ascii="Tahoma" w:hAnsi="Tahoma" w:cs="Tahoma"/>
          <w:lang w:val="es-ES"/>
        </w:rPr>
      </w:pPr>
    </w:p>
    <w:p w:rsidR="000A247F" w:rsidRDefault="000A247F">
      <w:pPr>
        <w:pStyle w:val="Ttulo3"/>
        <w:rPr>
          <w:rFonts w:ascii="Tahoma" w:hAnsi="Tahoma" w:cs="Tahoma"/>
        </w:rPr>
      </w:pPr>
    </w:p>
    <w:p w:rsidR="00782D3A" w:rsidRPr="00B64E2A" w:rsidRDefault="00782D3A">
      <w:pPr>
        <w:pStyle w:val="Ttulo3"/>
        <w:rPr>
          <w:rFonts w:ascii="Tahoma" w:hAnsi="Tahoma" w:cs="Tahoma"/>
        </w:rPr>
      </w:pPr>
      <w:r w:rsidRPr="00B64E2A">
        <w:rPr>
          <w:rFonts w:ascii="Tahoma" w:hAnsi="Tahoma" w:cs="Tahoma"/>
        </w:rPr>
        <w:t>ANA LUCÍA CAICEDO CALDERÓN</w:t>
      </w:r>
    </w:p>
    <w:sectPr w:rsidR="00782D3A" w:rsidRPr="00B64E2A" w:rsidSect="00641847">
      <w:footerReference w:type="even" r:id="rId7"/>
      <w:footerReference w:type="default" r:id="rId8"/>
      <w:pgSz w:w="12242" w:h="18722" w:code="121"/>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86" w:rsidRDefault="00054B86">
      <w:r>
        <w:separator/>
      </w:r>
    </w:p>
  </w:endnote>
  <w:endnote w:type="continuationSeparator" w:id="0">
    <w:p w:rsidR="00054B86" w:rsidRDefault="0005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C" w:rsidRDefault="00CC2E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2EFC" w:rsidRDefault="00CC2E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C" w:rsidRDefault="00CC2E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59B7">
      <w:rPr>
        <w:rStyle w:val="Nmerodepgina"/>
        <w:noProof/>
      </w:rPr>
      <w:t>3</w:t>
    </w:r>
    <w:r>
      <w:rPr>
        <w:rStyle w:val="Nmerodepgina"/>
      </w:rPr>
      <w:fldChar w:fldCharType="end"/>
    </w:r>
  </w:p>
  <w:p w:rsidR="00CC2EFC" w:rsidRDefault="00CC2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86" w:rsidRDefault="00054B86">
      <w:r>
        <w:separator/>
      </w:r>
    </w:p>
  </w:footnote>
  <w:footnote w:type="continuationSeparator" w:id="0">
    <w:p w:rsidR="00054B86" w:rsidRDefault="00054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3459A"/>
    <w:rsid w:val="00054B86"/>
    <w:rsid w:val="00085817"/>
    <w:rsid w:val="0009221C"/>
    <w:rsid w:val="00095BCE"/>
    <w:rsid w:val="000A247F"/>
    <w:rsid w:val="000A56AE"/>
    <w:rsid w:val="000B2D41"/>
    <w:rsid w:val="000F0FBE"/>
    <w:rsid w:val="000F3F54"/>
    <w:rsid w:val="000F62B6"/>
    <w:rsid w:val="00101DB8"/>
    <w:rsid w:val="00103495"/>
    <w:rsid w:val="00107A5B"/>
    <w:rsid w:val="001103D7"/>
    <w:rsid w:val="0011190D"/>
    <w:rsid w:val="001129BB"/>
    <w:rsid w:val="00115AFF"/>
    <w:rsid w:val="00143C13"/>
    <w:rsid w:val="0014401B"/>
    <w:rsid w:val="001458C0"/>
    <w:rsid w:val="00151543"/>
    <w:rsid w:val="0015266D"/>
    <w:rsid w:val="00156484"/>
    <w:rsid w:val="001635F2"/>
    <w:rsid w:val="00167F2A"/>
    <w:rsid w:val="00173C9C"/>
    <w:rsid w:val="00175000"/>
    <w:rsid w:val="001801DE"/>
    <w:rsid w:val="001811C6"/>
    <w:rsid w:val="001833DA"/>
    <w:rsid w:val="00184377"/>
    <w:rsid w:val="001A56E3"/>
    <w:rsid w:val="001B051C"/>
    <w:rsid w:val="001B1CEB"/>
    <w:rsid w:val="001B6831"/>
    <w:rsid w:val="001C0EBE"/>
    <w:rsid w:val="001C3B62"/>
    <w:rsid w:val="001C57CD"/>
    <w:rsid w:val="001D0F0B"/>
    <w:rsid w:val="001D1760"/>
    <w:rsid w:val="001D1D11"/>
    <w:rsid w:val="001D688D"/>
    <w:rsid w:val="001E48DE"/>
    <w:rsid w:val="001E6555"/>
    <w:rsid w:val="00207427"/>
    <w:rsid w:val="00210B65"/>
    <w:rsid w:val="00210FDE"/>
    <w:rsid w:val="00215A3D"/>
    <w:rsid w:val="002162F7"/>
    <w:rsid w:val="00221E3E"/>
    <w:rsid w:val="002228D3"/>
    <w:rsid w:val="00222EC4"/>
    <w:rsid w:val="002249D5"/>
    <w:rsid w:val="00231DFB"/>
    <w:rsid w:val="00233C49"/>
    <w:rsid w:val="002375A5"/>
    <w:rsid w:val="00253F96"/>
    <w:rsid w:val="00254A67"/>
    <w:rsid w:val="002559B7"/>
    <w:rsid w:val="002643C2"/>
    <w:rsid w:val="002643DF"/>
    <w:rsid w:val="00270FD4"/>
    <w:rsid w:val="0028043A"/>
    <w:rsid w:val="00283CAB"/>
    <w:rsid w:val="0028567C"/>
    <w:rsid w:val="002A352D"/>
    <w:rsid w:val="002B2E70"/>
    <w:rsid w:val="002B56C7"/>
    <w:rsid w:val="002C7A6B"/>
    <w:rsid w:val="002D2E4D"/>
    <w:rsid w:val="002D44A7"/>
    <w:rsid w:val="002E7F43"/>
    <w:rsid w:val="002F2E49"/>
    <w:rsid w:val="002F5C36"/>
    <w:rsid w:val="003021B2"/>
    <w:rsid w:val="003202EC"/>
    <w:rsid w:val="003224A8"/>
    <w:rsid w:val="0032775E"/>
    <w:rsid w:val="00330418"/>
    <w:rsid w:val="00331463"/>
    <w:rsid w:val="003325AA"/>
    <w:rsid w:val="00363522"/>
    <w:rsid w:val="00383DC4"/>
    <w:rsid w:val="0039601D"/>
    <w:rsid w:val="00397394"/>
    <w:rsid w:val="003A53D9"/>
    <w:rsid w:val="003A6AB6"/>
    <w:rsid w:val="003B0DB1"/>
    <w:rsid w:val="003D4F25"/>
    <w:rsid w:val="003E1580"/>
    <w:rsid w:val="003E4618"/>
    <w:rsid w:val="003E7572"/>
    <w:rsid w:val="004016FB"/>
    <w:rsid w:val="00404B8D"/>
    <w:rsid w:val="00411366"/>
    <w:rsid w:val="00444FCD"/>
    <w:rsid w:val="0048586B"/>
    <w:rsid w:val="00486255"/>
    <w:rsid w:val="00487899"/>
    <w:rsid w:val="00492B8D"/>
    <w:rsid w:val="00496E67"/>
    <w:rsid w:val="004A7232"/>
    <w:rsid w:val="004B7D6A"/>
    <w:rsid w:val="004C1DC8"/>
    <w:rsid w:val="004C6835"/>
    <w:rsid w:val="004D1C41"/>
    <w:rsid w:val="004D24A4"/>
    <w:rsid w:val="004E04F9"/>
    <w:rsid w:val="004E0D5E"/>
    <w:rsid w:val="004E24AF"/>
    <w:rsid w:val="004E5FAC"/>
    <w:rsid w:val="004F7614"/>
    <w:rsid w:val="00504CB1"/>
    <w:rsid w:val="0051047A"/>
    <w:rsid w:val="00510B20"/>
    <w:rsid w:val="0051471B"/>
    <w:rsid w:val="00520C5C"/>
    <w:rsid w:val="00544CB6"/>
    <w:rsid w:val="00554071"/>
    <w:rsid w:val="00554F04"/>
    <w:rsid w:val="00562170"/>
    <w:rsid w:val="00562945"/>
    <w:rsid w:val="00564C19"/>
    <w:rsid w:val="0056685B"/>
    <w:rsid w:val="00571A61"/>
    <w:rsid w:val="00583F42"/>
    <w:rsid w:val="00593D49"/>
    <w:rsid w:val="005970F5"/>
    <w:rsid w:val="005A6189"/>
    <w:rsid w:val="005B4CD3"/>
    <w:rsid w:val="005D0315"/>
    <w:rsid w:val="005D54F1"/>
    <w:rsid w:val="005D68CB"/>
    <w:rsid w:val="005D6C17"/>
    <w:rsid w:val="005D73E1"/>
    <w:rsid w:val="005F3741"/>
    <w:rsid w:val="00601BB9"/>
    <w:rsid w:val="00602372"/>
    <w:rsid w:val="00610145"/>
    <w:rsid w:val="006235BE"/>
    <w:rsid w:val="00630D70"/>
    <w:rsid w:val="00635677"/>
    <w:rsid w:val="00641847"/>
    <w:rsid w:val="006532E4"/>
    <w:rsid w:val="00676FC1"/>
    <w:rsid w:val="0068326B"/>
    <w:rsid w:val="00690631"/>
    <w:rsid w:val="006959D3"/>
    <w:rsid w:val="006A38A3"/>
    <w:rsid w:val="006B6D45"/>
    <w:rsid w:val="00701725"/>
    <w:rsid w:val="00710C43"/>
    <w:rsid w:val="00757AFF"/>
    <w:rsid w:val="00760339"/>
    <w:rsid w:val="00762F4A"/>
    <w:rsid w:val="00777535"/>
    <w:rsid w:val="00777A28"/>
    <w:rsid w:val="00782D3A"/>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762A"/>
    <w:rsid w:val="008741B6"/>
    <w:rsid w:val="008758B5"/>
    <w:rsid w:val="008768A2"/>
    <w:rsid w:val="00880685"/>
    <w:rsid w:val="00891AF1"/>
    <w:rsid w:val="008C09D3"/>
    <w:rsid w:val="008C29B3"/>
    <w:rsid w:val="008C4E88"/>
    <w:rsid w:val="008E4C4A"/>
    <w:rsid w:val="008F0F3E"/>
    <w:rsid w:val="008F5548"/>
    <w:rsid w:val="009046D3"/>
    <w:rsid w:val="00905052"/>
    <w:rsid w:val="00911C53"/>
    <w:rsid w:val="009160A9"/>
    <w:rsid w:val="00920C4F"/>
    <w:rsid w:val="00933715"/>
    <w:rsid w:val="0094648D"/>
    <w:rsid w:val="009515AB"/>
    <w:rsid w:val="00975EBA"/>
    <w:rsid w:val="00993F8A"/>
    <w:rsid w:val="009A1FF7"/>
    <w:rsid w:val="009B280C"/>
    <w:rsid w:val="009D02D0"/>
    <w:rsid w:val="009E5B67"/>
    <w:rsid w:val="00A01BB0"/>
    <w:rsid w:val="00A07081"/>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D5908"/>
    <w:rsid w:val="00AF6ED8"/>
    <w:rsid w:val="00B0436C"/>
    <w:rsid w:val="00B25AA7"/>
    <w:rsid w:val="00B412A6"/>
    <w:rsid w:val="00B43BEF"/>
    <w:rsid w:val="00B517E1"/>
    <w:rsid w:val="00B57D8E"/>
    <w:rsid w:val="00B629B3"/>
    <w:rsid w:val="00B634C4"/>
    <w:rsid w:val="00B64E2A"/>
    <w:rsid w:val="00B67809"/>
    <w:rsid w:val="00B7056E"/>
    <w:rsid w:val="00B87A9D"/>
    <w:rsid w:val="00B9678B"/>
    <w:rsid w:val="00BA6CE9"/>
    <w:rsid w:val="00BC0635"/>
    <w:rsid w:val="00BD21AA"/>
    <w:rsid w:val="00BF602C"/>
    <w:rsid w:val="00C06A62"/>
    <w:rsid w:val="00C0743D"/>
    <w:rsid w:val="00C13D23"/>
    <w:rsid w:val="00C213B4"/>
    <w:rsid w:val="00C24428"/>
    <w:rsid w:val="00C25C9B"/>
    <w:rsid w:val="00C26D24"/>
    <w:rsid w:val="00C332D5"/>
    <w:rsid w:val="00C4311E"/>
    <w:rsid w:val="00C5365D"/>
    <w:rsid w:val="00C54201"/>
    <w:rsid w:val="00C56F27"/>
    <w:rsid w:val="00C64469"/>
    <w:rsid w:val="00C83E77"/>
    <w:rsid w:val="00C926C9"/>
    <w:rsid w:val="00C9423D"/>
    <w:rsid w:val="00CB2F3B"/>
    <w:rsid w:val="00CB739E"/>
    <w:rsid w:val="00CC2EFC"/>
    <w:rsid w:val="00CC6202"/>
    <w:rsid w:val="00D0739D"/>
    <w:rsid w:val="00D308BA"/>
    <w:rsid w:val="00D53E2F"/>
    <w:rsid w:val="00D66131"/>
    <w:rsid w:val="00D75804"/>
    <w:rsid w:val="00D80C31"/>
    <w:rsid w:val="00D84A29"/>
    <w:rsid w:val="00D87041"/>
    <w:rsid w:val="00D92B6B"/>
    <w:rsid w:val="00D935F4"/>
    <w:rsid w:val="00DA45EF"/>
    <w:rsid w:val="00DB49AA"/>
    <w:rsid w:val="00DC03CB"/>
    <w:rsid w:val="00DF58E1"/>
    <w:rsid w:val="00E03CAC"/>
    <w:rsid w:val="00E068D8"/>
    <w:rsid w:val="00E148E0"/>
    <w:rsid w:val="00E178A4"/>
    <w:rsid w:val="00E20498"/>
    <w:rsid w:val="00E25ADB"/>
    <w:rsid w:val="00E5165C"/>
    <w:rsid w:val="00E568CD"/>
    <w:rsid w:val="00E56E2D"/>
    <w:rsid w:val="00E62799"/>
    <w:rsid w:val="00E63B7B"/>
    <w:rsid w:val="00E73B32"/>
    <w:rsid w:val="00E80801"/>
    <w:rsid w:val="00E85A20"/>
    <w:rsid w:val="00EC1ED2"/>
    <w:rsid w:val="00EE6123"/>
    <w:rsid w:val="00EE6FBF"/>
    <w:rsid w:val="00F01155"/>
    <w:rsid w:val="00F13218"/>
    <w:rsid w:val="00F22F5B"/>
    <w:rsid w:val="00F308E1"/>
    <w:rsid w:val="00F366BD"/>
    <w:rsid w:val="00F37BC7"/>
    <w:rsid w:val="00F47ADB"/>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67BC9-B4C0-4645-BBDA-748E331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 w:type="paragraph" w:styleId="Textodeglobo">
    <w:name w:val="Balloon Text"/>
    <w:basedOn w:val="Normal"/>
    <w:link w:val="TextodegloboCar"/>
    <w:rsid w:val="000F62B6"/>
    <w:rPr>
      <w:rFonts w:ascii="Segoe UI" w:hAnsi="Segoe UI" w:cs="Segoe UI"/>
      <w:sz w:val="18"/>
      <w:szCs w:val="18"/>
    </w:rPr>
  </w:style>
  <w:style w:type="character" w:customStyle="1" w:styleId="TextodegloboCar">
    <w:name w:val="Texto de globo Car"/>
    <w:basedOn w:val="Fuentedeprrafopredeter"/>
    <w:link w:val="Textodeglobo"/>
    <w:rsid w:val="000F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8462">
      <w:bodyDiv w:val="1"/>
      <w:marLeft w:val="0"/>
      <w:marRight w:val="0"/>
      <w:marTop w:val="0"/>
      <w:marBottom w:val="0"/>
      <w:divBdr>
        <w:top w:val="none" w:sz="0" w:space="0" w:color="auto"/>
        <w:left w:val="none" w:sz="0" w:space="0" w:color="auto"/>
        <w:bottom w:val="none" w:sz="0" w:space="0" w:color="auto"/>
        <w:right w:val="none" w:sz="0" w:space="0" w:color="auto"/>
      </w:divBdr>
    </w:div>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3</cp:revision>
  <cp:lastPrinted>2015-05-29T21:58:00Z</cp:lastPrinted>
  <dcterms:created xsi:type="dcterms:W3CDTF">2015-05-29T22:12:00Z</dcterms:created>
  <dcterms:modified xsi:type="dcterms:W3CDTF">2017-07-13T16:44:00Z</dcterms:modified>
</cp:coreProperties>
</file>