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31" w:rsidRPr="00ED3F31" w:rsidRDefault="00ED3F31" w:rsidP="00ED3F31">
      <w:pPr>
        <w:spacing w:line="360" w:lineRule="auto"/>
        <w:jc w:val="center"/>
        <w:rPr>
          <w:rFonts w:ascii="Arial" w:hAnsi="Arial" w:cs="Arial"/>
          <w:b/>
          <w:bCs/>
          <w:sz w:val="28"/>
          <w:szCs w:val="28"/>
        </w:rPr>
      </w:pPr>
      <w:r w:rsidRPr="00ED3F31">
        <w:rPr>
          <w:rFonts w:ascii="Arial" w:hAnsi="Arial" w:cs="Arial"/>
          <w:b/>
          <w:bCs/>
          <w:sz w:val="28"/>
          <w:szCs w:val="28"/>
        </w:rPr>
        <w:t>TRIBUNAL SUPERIOR DE PEREIRA</w:t>
      </w:r>
    </w:p>
    <w:p w:rsidR="00ED3F31" w:rsidRPr="00ED3F31" w:rsidRDefault="00ED3F31" w:rsidP="00ED3F31">
      <w:pPr>
        <w:spacing w:line="360" w:lineRule="auto"/>
        <w:jc w:val="center"/>
        <w:rPr>
          <w:rFonts w:ascii="Arial" w:hAnsi="Arial" w:cs="Arial"/>
          <w:b/>
          <w:bCs/>
          <w:sz w:val="28"/>
          <w:szCs w:val="28"/>
        </w:rPr>
      </w:pPr>
      <w:r w:rsidRPr="00ED3F31">
        <w:rPr>
          <w:rFonts w:ascii="Arial" w:hAnsi="Arial" w:cs="Arial"/>
          <w:b/>
          <w:bCs/>
          <w:sz w:val="28"/>
          <w:szCs w:val="28"/>
        </w:rPr>
        <w:t>Sala de Decisión Civil Familia</w:t>
      </w:r>
    </w:p>
    <w:p w:rsidR="00ED3F31" w:rsidRPr="00ED3F31" w:rsidRDefault="00ED3F31" w:rsidP="00ED3F31">
      <w:pPr>
        <w:spacing w:line="360" w:lineRule="auto"/>
        <w:jc w:val="center"/>
        <w:rPr>
          <w:rFonts w:ascii="Arial" w:hAnsi="Arial" w:cs="Arial"/>
          <w:bCs/>
          <w:sz w:val="28"/>
          <w:szCs w:val="28"/>
        </w:rPr>
      </w:pPr>
    </w:p>
    <w:p w:rsidR="00ED3F31" w:rsidRPr="00ED3F31" w:rsidRDefault="00ED3F31" w:rsidP="00ED3F31">
      <w:pPr>
        <w:spacing w:line="360" w:lineRule="auto"/>
        <w:jc w:val="center"/>
        <w:rPr>
          <w:rFonts w:ascii="Arial" w:hAnsi="Arial" w:cs="Arial"/>
          <w:bCs/>
          <w:sz w:val="28"/>
          <w:szCs w:val="28"/>
        </w:rPr>
      </w:pPr>
      <w:r w:rsidRPr="00ED3F31">
        <w:rPr>
          <w:rFonts w:ascii="Arial" w:hAnsi="Arial" w:cs="Arial"/>
          <w:bCs/>
          <w:sz w:val="28"/>
          <w:szCs w:val="28"/>
        </w:rPr>
        <w:t xml:space="preserve">Magistrado Ponente: </w:t>
      </w:r>
    </w:p>
    <w:p w:rsidR="00ED3F31" w:rsidRPr="00ED3F31" w:rsidRDefault="00ED3F31" w:rsidP="00ED3F31">
      <w:pPr>
        <w:spacing w:line="360" w:lineRule="auto"/>
        <w:jc w:val="center"/>
        <w:rPr>
          <w:rFonts w:ascii="Arial" w:hAnsi="Arial" w:cs="Arial"/>
          <w:b/>
          <w:bCs/>
          <w:sz w:val="24"/>
          <w:szCs w:val="24"/>
        </w:rPr>
      </w:pPr>
      <w:r w:rsidRPr="00ED3F31">
        <w:rPr>
          <w:rFonts w:ascii="Arial" w:hAnsi="Arial" w:cs="Arial"/>
          <w:b/>
          <w:bCs/>
          <w:sz w:val="24"/>
          <w:szCs w:val="24"/>
        </w:rPr>
        <w:t>EDDER JIMMY SÁNCHEZ CALAMBÁS</w:t>
      </w:r>
    </w:p>
    <w:p w:rsidR="00ED3F31" w:rsidRPr="00ED3F31" w:rsidRDefault="00ED3F31" w:rsidP="00ED3F31">
      <w:pPr>
        <w:spacing w:line="360" w:lineRule="auto"/>
        <w:rPr>
          <w:rFonts w:ascii="Arial" w:hAnsi="Arial" w:cs="Arial"/>
          <w:bCs/>
          <w:sz w:val="28"/>
          <w:szCs w:val="28"/>
        </w:rPr>
      </w:pPr>
    </w:p>
    <w:p w:rsidR="00ED3F31" w:rsidRPr="00ED3F31" w:rsidRDefault="00ED3F31" w:rsidP="00ED3F31">
      <w:pPr>
        <w:spacing w:line="360" w:lineRule="auto"/>
        <w:jc w:val="center"/>
        <w:rPr>
          <w:rFonts w:ascii="Arial" w:hAnsi="Arial" w:cs="Arial"/>
          <w:bCs/>
          <w:sz w:val="28"/>
          <w:szCs w:val="28"/>
        </w:rPr>
      </w:pPr>
      <w:r w:rsidRPr="00ED3F31">
        <w:rPr>
          <w:rFonts w:ascii="Arial" w:hAnsi="Arial" w:cs="Arial"/>
          <w:bCs/>
          <w:sz w:val="28"/>
          <w:szCs w:val="28"/>
        </w:rPr>
        <w:t xml:space="preserve">Pereira, </w:t>
      </w:r>
      <w:r w:rsidR="00981E7C">
        <w:rPr>
          <w:rFonts w:ascii="Arial" w:hAnsi="Arial" w:cs="Arial"/>
          <w:bCs/>
          <w:sz w:val="28"/>
          <w:szCs w:val="28"/>
        </w:rPr>
        <w:t>nueve</w:t>
      </w:r>
      <w:r w:rsidRPr="00ED3F31">
        <w:rPr>
          <w:rFonts w:ascii="Arial" w:hAnsi="Arial" w:cs="Arial"/>
          <w:bCs/>
          <w:sz w:val="28"/>
          <w:szCs w:val="28"/>
        </w:rPr>
        <w:t xml:space="preserve"> (</w:t>
      </w:r>
      <w:r w:rsidR="00981E7C">
        <w:rPr>
          <w:rFonts w:ascii="Arial" w:hAnsi="Arial" w:cs="Arial"/>
          <w:bCs/>
          <w:sz w:val="28"/>
          <w:szCs w:val="28"/>
        </w:rPr>
        <w:t>9</w:t>
      </w:r>
      <w:r w:rsidRPr="00ED3F31">
        <w:rPr>
          <w:rFonts w:ascii="Arial" w:hAnsi="Arial" w:cs="Arial"/>
          <w:bCs/>
          <w:sz w:val="28"/>
          <w:szCs w:val="28"/>
        </w:rPr>
        <w:t>) de diciembre de dos mil quince (2015)</w:t>
      </w:r>
    </w:p>
    <w:p w:rsidR="00ED3F31" w:rsidRPr="00ED3F31" w:rsidRDefault="00ED3F31" w:rsidP="00ED3F31">
      <w:pPr>
        <w:spacing w:line="360" w:lineRule="auto"/>
        <w:jc w:val="center"/>
        <w:rPr>
          <w:rFonts w:ascii="Arial" w:hAnsi="Arial" w:cs="Arial"/>
          <w:sz w:val="28"/>
          <w:szCs w:val="28"/>
        </w:rPr>
      </w:pPr>
      <w:r w:rsidRPr="00ED3F31">
        <w:rPr>
          <w:rFonts w:ascii="Arial" w:hAnsi="Arial" w:cs="Arial"/>
          <w:sz w:val="28"/>
          <w:szCs w:val="28"/>
        </w:rPr>
        <w:t xml:space="preserve">Acta No. </w:t>
      </w:r>
      <w:r w:rsidR="00981E7C">
        <w:rPr>
          <w:rFonts w:ascii="Arial" w:hAnsi="Arial" w:cs="Arial"/>
          <w:sz w:val="28"/>
          <w:szCs w:val="28"/>
        </w:rPr>
        <w:t>598 de 9-</w:t>
      </w:r>
      <w:r w:rsidRPr="00ED3F31">
        <w:rPr>
          <w:rFonts w:ascii="Arial" w:hAnsi="Arial" w:cs="Arial"/>
          <w:sz w:val="28"/>
          <w:szCs w:val="28"/>
        </w:rPr>
        <w:t>12-2015</w:t>
      </w:r>
    </w:p>
    <w:p w:rsidR="00ED3F31" w:rsidRPr="00ED3F31" w:rsidRDefault="00ED3F31" w:rsidP="00ED3F31">
      <w:pPr>
        <w:spacing w:line="360" w:lineRule="auto"/>
        <w:jc w:val="center"/>
        <w:rPr>
          <w:rFonts w:ascii="Arial" w:hAnsi="Arial" w:cs="Arial"/>
          <w:sz w:val="28"/>
          <w:szCs w:val="28"/>
        </w:rPr>
      </w:pPr>
      <w:r w:rsidRPr="00ED3F31">
        <w:rPr>
          <w:rFonts w:ascii="Arial" w:hAnsi="Arial" w:cs="Arial"/>
          <w:sz w:val="28"/>
          <w:szCs w:val="28"/>
        </w:rPr>
        <w:t>Expediente Nº 66001-22-13-000-2015-00900-00</w:t>
      </w:r>
    </w:p>
    <w:p w:rsidR="00ED3F31" w:rsidRPr="00ED3F31" w:rsidRDefault="00ED3F31" w:rsidP="00ED3F31">
      <w:pPr>
        <w:spacing w:line="360" w:lineRule="auto"/>
        <w:jc w:val="center"/>
        <w:rPr>
          <w:rFonts w:ascii="Arial" w:hAnsi="Arial" w:cs="Arial"/>
          <w:sz w:val="28"/>
          <w:szCs w:val="28"/>
        </w:rPr>
      </w:pPr>
    </w:p>
    <w:p w:rsidR="00ED3F31" w:rsidRPr="00ED3F31" w:rsidRDefault="00ED3F31" w:rsidP="00ED3F31">
      <w:pPr>
        <w:pStyle w:val="Sinespaciado1"/>
        <w:spacing w:line="360" w:lineRule="auto"/>
        <w:ind w:firstLine="2835"/>
        <w:rPr>
          <w:rFonts w:ascii="Arial" w:hAnsi="Arial" w:cs="Arial"/>
          <w:b/>
          <w:sz w:val="28"/>
          <w:szCs w:val="28"/>
          <w:lang w:val="es-ES" w:eastAsia="es-ES"/>
        </w:rPr>
      </w:pPr>
      <w:r w:rsidRPr="00ED3F31">
        <w:rPr>
          <w:rFonts w:ascii="Arial" w:hAnsi="Arial" w:cs="Arial"/>
          <w:b/>
          <w:sz w:val="28"/>
          <w:szCs w:val="28"/>
          <w:lang w:val="es-ES" w:eastAsia="es-ES"/>
        </w:rPr>
        <w:t>I. Asunto</w:t>
      </w:r>
    </w:p>
    <w:p w:rsidR="00ED3F31" w:rsidRPr="00ED3F31" w:rsidRDefault="00ED3F31" w:rsidP="00ED3F31">
      <w:pPr>
        <w:pStyle w:val="Sinespaciado1"/>
        <w:spacing w:line="360" w:lineRule="auto"/>
        <w:rPr>
          <w:rFonts w:ascii="Arial" w:hAnsi="Arial" w:cs="Arial"/>
          <w:b/>
          <w:sz w:val="28"/>
          <w:szCs w:val="28"/>
          <w:lang w:val="es-ES" w:eastAsia="es-ES"/>
        </w:rPr>
      </w:pPr>
    </w:p>
    <w:p w:rsidR="00ED3F31" w:rsidRPr="00ED3F31" w:rsidRDefault="00ED3F31" w:rsidP="00ED3F31">
      <w:pPr>
        <w:pStyle w:val="Sinespaciado1"/>
        <w:spacing w:line="360" w:lineRule="auto"/>
        <w:ind w:firstLine="2835"/>
        <w:jc w:val="both"/>
        <w:rPr>
          <w:rFonts w:ascii="Arial" w:hAnsi="Arial" w:cs="Arial"/>
          <w:sz w:val="28"/>
          <w:szCs w:val="28"/>
          <w:lang w:val="es-ES" w:eastAsia="es-ES"/>
        </w:rPr>
      </w:pPr>
      <w:r w:rsidRPr="00ED3F31">
        <w:rPr>
          <w:rFonts w:ascii="Arial" w:hAnsi="Arial" w:cs="Arial"/>
          <w:sz w:val="28"/>
          <w:szCs w:val="28"/>
          <w:lang w:val="es-ES" w:eastAsia="es-ES"/>
        </w:rPr>
        <w:t>Decide el Tribunal la acción de tutela presentada por el ciudadano Javier Elías Arias Idárraga, contra el Juzgado Cuarto Civil del Circuito de Pereira, a la que se vinculó al Agente del Ministerio Publico – Procuraduría Provincial de Pereira, Alcalde del Municipio de Pereira y a la Defensoría Regional del Pueblo.</w:t>
      </w:r>
    </w:p>
    <w:p w:rsidR="00ED3F31" w:rsidRPr="00ED3F31" w:rsidRDefault="00ED3F31" w:rsidP="00ED3F31">
      <w:pPr>
        <w:pStyle w:val="Sinespaciado1"/>
        <w:spacing w:line="360" w:lineRule="auto"/>
        <w:ind w:firstLine="2835"/>
        <w:jc w:val="both"/>
        <w:rPr>
          <w:rFonts w:ascii="Arial" w:hAnsi="Arial" w:cs="Arial"/>
          <w:sz w:val="28"/>
          <w:szCs w:val="28"/>
          <w:lang w:val="es-ES" w:eastAsia="es-ES"/>
        </w:rPr>
      </w:pPr>
    </w:p>
    <w:p w:rsidR="00ED3F31" w:rsidRPr="00ED3F31" w:rsidRDefault="00ED3F31" w:rsidP="00ED3F31">
      <w:pPr>
        <w:pStyle w:val="Sinespaciado1"/>
        <w:spacing w:line="360" w:lineRule="auto"/>
        <w:ind w:firstLine="2835"/>
        <w:rPr>
          <w:rFonts w:ascii="Arial" w:hAnsi="Arial" w:cs="Arial"/>
          <w:b/>
          <w:sz w:val="28"/>
          <w:szCs w:val="28"/>
          <w:lang w:val="es-ES" w:eastAsia="es-ES"/>
        </w:rPr>
      </w:pPr>
      <w:r w:rsidRPr="00ED3F31">
        <w:rPr>
          <w:rFonts w:ascii="Arial" w:hAnsi="Arial" w:cs="Arial"/>
          <w:b/>
          <w:sz w:val="28"/>
          <w:szCs w:val="28"/>
          <w:lang w:val="es-ES" w:eastAsia="es-ES"/>
        </w:rPr>
        <w:t>II. Antecedentes</w:t>
      </w:r>
    </w:p>
    <w:p w:rsidR="00ED3F31" w:rsidRPr="00ED3F31" w:rsidRDefault="00ED3F31" w:rsidP="00ED3F31">
      <w:pPr>
        <w:pStyle w:val="Sinespaciado1"/>
        <w:spacing w:line="360" w:lineRule="auto"/>
        <w:jc w:val="both"/>
        <w:rPr>
          <w:rFonts w:ascii="Arial" w:hAnsi="Arial" w:cs="Arial"/>
          <w:b/>
          <w:sz w:val="26"/>
          <w:szCs w:val="26"/>
          <w:lang w:val="es-ES" w:eastAsia="es-ES"/>
        </w:rPr>
      </w:pPr>
    </w:p>
    <w:p w:rsidR="00ED3F31" w:rsidRPr="00ED3F31" w:rsidRDefault="00ED3F31" w:rsidP="00ED3F31">
      <w:pPr>
        <w:pStyle w:val="Sinespaciado1"/>
        <w:spacing w:line="360" w:lineRule="auto"/>
        <w:ind w:firstLine="2835"/>
        <w:jc w:val="both"/>
        <w:rPr>
          <w:rFonts w:ascii="Arial" w:hAnsi="Arial" w:cs="Arial"/>
          <w:sz w:val="28"/>
          <w:szCs w:val="28"/>
        </w:rPr>
      </w:pPr>
      <w:r w:rsidRPr="00ED3F31">
        <w:rPr>
          <w:rFonts w:ascii="Arial" w:hAnsi="Arial" w:cs="Arial"/>
          <w:sz w:val="28"/>
          <w:szCs w:val="28"/>
        </w:rPr>
        <w:t>1. El gestor constitucional invoca amparo de los derechos fundamentales al debido proceso, la igualdad y la debida administración de justicia, presuntamente vulnerados por la autoridad judicial encartada.</w:t>
      </w:r>
    </w:p>
    <w:p w:rsidR="00ED3F31" w:rsidRPr="00ED3F31" w:rsidRDefault="00ED3F31" w:rsidP="00ED3F31">
      <w:pPr>
        <w:pStyle w:val="Sinespaciado1"/>
        <w:spacing w:line="360" w:lineRule="auto"/>
        <w:ind w:firstLine="708"/>
        <w:jc w:val="both"/>
        <w:rPr>
          <w:rFonts w:ascii="Arial" w:hAnsi="Arial" w:cs="Arial"/>
          <w:sz w:val="26"/>
          <w:szCs w:val="26"/>
        </w:rPr>
      </w:pPr>
    </w:p>
    <w:p w:rsidR="00ED3F31" w:rsidRPr="00ED3F31" w:rsidRDefault="00ED3F31" w:rsidP="00ED3F31">
      <w:pPr>
        <w:pStyle w:val="Sinespaciado1"/>
        <w:spacing w:line="360" w:lineRule="auto"/>
        <w:ind w:firstLine="2835"/>
        <w:jc w:val="both"/>
        <w:rPr>
          <w:rFonts w:ascii="Arial" w:hAnsi="Arial" w:cs="Arial"/>
          <w:sz w:val="28"/>
          <w:szCs w:val="28"/>
        </w:rPr>
      </w:pPr>
      <w:r w:rsidRPr="00ED3F31">
        <w:rPr>
          <w:rFonts w:ascii="Arial" w:hAnsi="Arial" w:cs="Arial"/>
          <w:sz w:val="28"/>
          <w:szCs w:val="28"/>
        </w:rPr>
        <w:t xml:space="preserve">2. Adujo como fundamento de su reclamo, que presentó las siguientes acciones populares: </w:t>
      </w:r>
      <w:r w:rsidRPr="00ED3F31">
        <w:rPr>
          <w:rFonts w:ascii="Arial" w:hAnsi="Arial" w:cs="Arial"/>
          <w:sz w:val="24"/>
          <w:szCs w:val="24"/>
        </w:rPr>
        <w:t>“(…) 2015- 1143, 01137, 1124, 1125, 1127,1128, 1129, 1130, 1133, 1132, 1126, 1134, 1135, 1136, y 2015 1122 (…)”</w:t>
      </w:r>
      <w:r w:rsidRPr="00ED3F31">
        <w:rPr>
          <w:rFonts w:ascii="Arial" w:hAnsi="Arial" w:cs="Arial"/>
          <w:sz w:val="28"/>
          <w:szCs w:val="28"/>
        </w:rPr>
        <w:t>, que correspondió tramitar al Juzgado tutelado, el cual incumple los términos de los artículos 5 y 84 de la Ley 472 de 1998.</w:t>
      </w:r>
    </w:p>
    <w:p w:rsidR="00ED3F31" w:rsidRPr="00ED3F31" w:rsidRDefault="00ED3F31" w:rsidP="00ED3F31">
      <w:pPr>
        <w:pStyle w:val="Sinespaciado1"/>
        <w:spacing w:line="360" w:lineRule="auto"/>
        <w:ind w:firstLine="2835"/>
        <w:jc w:val="both"/>
        <w:rPr>
          <w:rFonts w:ascii="Arial" w:hAnsi="Arial" w:cs="Arial"/>
          <w:sz w:val="28"/>
          <w:szCs w:val="28"/>
        </w:rPr>
      </w:pPr>
      <w:r w:rsidRPr="00ED3F31">
        <w:rPr>
          <w:rFonts w:ascii="Arial" w:hAnsi="Arial" w:cs="Arial"/>
          <w:sz w:val="28"/>
          <w:szCs w:val="28"/>
        </w:rPr>
        <w:lastRenderedPageBreak/>
        <w:t xml:space="preserve">3. Solicita en consecuencia, (i) se ordene al accionado que de manera inmediata resuelva sobre la admisión o rechazo de sus acciones con términos perentorios, (ii) enviar copia de su acción a la oficina judicial de reparto en Manizales para que tramite tutela frente a la Defensoría del Pueblo de esa ciudad y (iii) se escanee copia de la tutela y el fallo a su correo electrónico. </w:t>
      </w:r>
    </w:p>
    <w:p w:rsidR="00ED3F31" w:rsidRPr="00ED3F31" w:rsidRDefault="00ED3F31" w:rsidP="00950C6C">
      <w:pPr>
        <w:pStyle w:val="Sinespaciado1"/>
        <w:spacing w:line="360" w:lineRule="auto"/>
        <w:jc w:val="both"/>
        <w:rPr>
          <w:rFonts w:ascii="Arial" w:hAnsi="Arial" w:cs="Arial"/>
          <w:sz w:val="26"/>
          <w:szCs w:val="26"/>
          <w:lang w:val="es-ES"/>
        </w:rPr>
      </w:pPr>
    </w:p>
    <w:p w:rsidR="00ED3F31" w:rsidRPr="00ED3F31" w:rsidRDefault="00ED3F31" w:rsidP="00ED3F31">
      <w:pPr>
        <w:pStyle w:val="Sinespaciado1"/>
        <w:spacing w:line="360" w:lineRule="auto"/>
        <w:ind w:firstLine="2835"/>
        <w:jc w:val="both"/>
        <w:rPr>
          <w:rFonts w:ascii="Arial" w:hAnsi="Arial" w:cs="Arial"/>
          <w:sz w:val="28"/>
          <w:szCs w:val="28"/>
          <w:lang w:val="es-ES"/>
        </w:rPr>
      </w:pPr>
      <w:r w:rsidRPr="00ED3F31">
        <w:rPr>
          <w:rFonts w:ascii="Arial" w:hAnsi="Arial" w:cs="Arial"/>
          <w:sz w:val="28"/>
          <w:szCs w:val="28"/>
          <w:lang w:val="es-ES"/>
        </w:rPr>
        <w:t>4. Por auto del 27 de noviembre de 2015 se admitió la demanda en contra de la autoridad judicial accionada, disponiéndose la vinculación del Agente del Ministerio Público, del Alcalde Municipal de Pereira y del Defensor del Pueblo Regional Risaralda, ordenándose también su notificación, su traslado y la remisión de copias de las piezas procesales que se estimen convenientes para la resolución del presente resguardo Constitucional, no así la vinculación de la Defensoría del Pueblo de la ciudad de Manizales, por cuanto de los hechos y pretensiones no se advierte que contra ella se dirija.</w:t>
      </w:r>
    </w:p>
    <w:p w:rsidR="00ED3F31" w:rsidRPr="00ED3F31" w:rsidRDefault="00ED3F31" w:rsidP="00ED3F31">
      <w:pPr>
        <w:pStyle w:val="Sinespaciado1"/>
        <w:spacing w:line="360" w:lineRule="auto"/>
        <w:ind w:firstLine="2835"/>
        <w:jc w:val="both"/>
        <w:rPr>
          <w:rFonts w:ascii="Arial" w:hAnsi="Arial" w:cs="Arial"/>
          <w:sz w:val="28"/>
          <w:szCs w:val="28"/>
          <w:lang w:val="es-ES"/>
        </w:rPr>
      </w:pPr>
    </w:p>
    <w:p w:rsidR="00ED3F31" w:rsidRPr="00ED3F31" w:rsidRDefault="00ED3F31" w:rsidP="00ED3F31">
      <w:pPr>
        <w:pStyle w:val="Sinespaciado1"/>
        <w:spacing w:line="360" w:lineRule="auto"/>
        <w:ind w:firstLine="2835"/>
        <w:jc w:val="both"/>
        <w:rPr>
          <w:rFonts w:ascii="Arial" w:hAnsi="Arial" w:cs="Arial"/>
          <w:sz w:val="28"/>
          <w:szCs w:val="28"/>
          <w:lang w:val="es-ES"/>
        </w:rPr>
      </w:pPr>
      <w:r w:rsidRPr="00ED3F31">
        <w:rPr>
          <w:rFonts w:ascii="Arial" w:hAnsi="Arial" w:cs="Arial"/>
          <w:sz w:val="28"/>
          <w:szCs w:val="28"/>
          <w:lang w:val="es-ES"/>
        </w:rPr>
        <w:t>4.1.</w:t>
      </w:r>
      <w:r w:rsidRPr="00ED3F31">
        <w:rPr>
          <w:rFonts w:ascii="Arial" w:hAnsi="Arial" w:cs="Arial"/>
          <w:sz w:val="28"/>
          <w:szCs w:val="28"/>
          <w:lang w:val="es-ES"/>
        </w:rPr>
        <w:tab/>
        <w:t xml:space="preserve">El despacho judicial accionado allegó las copias solicitadas, informando que el radicado 2015-1143 no corresponde a una acción popular y es un proceso ejecutivo </w:t>
      </w:r>
      <w:r w:rsidR="00CE6C8B">
        <w:rPr>
          <w:rFonts w:ascii="Arial" w:hAnsi="Arial" w:cs="Arial"/>
          <w:sz w:val="28"/>
          <w:szCs w:val="28"/>
          <w:lang w:val="es-ES"/>
        </w:rPr>
        <w:t>de</w:t>
      </w:r>
      <w:r w:rsidRPr="00ED3F31">
        <w:rPr>
          <w:rFonts w:ascii="Arial" w:hAnsi="Arial" w:cs="Arial"/>
          <w:sz w:val="28"/>
          <w:szCs w:val="28"/>
          <w:lang w:val="es-ES"/>
        </w:rPr>
        <w:t xml:space="preserve"> Titularizadora Colombiana S. A. contra Miller Lady Betancur Idárraga.</w:t>
      </w:r>
    </w:p>
    <w:p w:rsidR="00ED3F31" w:rsidRPr="00ED3F31" w:rsidRDefault="00ED3F31" w:rsidP="00ED3F31">
      <w:pPr>
        <w:pStyle w:val="Sinespaciado1"/>
        <w:spacing w:line="360" w:lineRule="auto"/>
        <w:ind w:firstLine="2835"/>
        <w:jc w:val="both"/>
        <w:rPr>
          <w:rFonts w:ascii="Arial" w:hAnsi="Arial" w:cs="Arial"/>
          <w:sz w:val="28"/>
          <w:szCs w:val="28"/>
          <w:lang w:val="es-ES"/>
        </w:rPr>
      </w:pPr>
    </w:p>
    <w:p w:rsidR="00ED3F31" w:rsidRDefault="00ED3F31" w:rsidP="00ED3F31">
      <w:pPr>
        <w:pStyle w:val="Sinespaciado1"/>
        <w:spacing w:line="360" w:lineRule="auto"/>
        <w:ind w:firstLine="2835"/>
        <w:jc w:val="both"/>
        <w:rPr>
          <w:rFonts w:ascii="Arial" w:hAnsi="Arial" w:cs="Arial"/>
          <w:sz w:val="28"/>
          <w:szCs w:val="28"/>
        </w:rPr>
      </w:pPr>
      <w:r w:rsidRPr="00ED3F31">
        <w:rPr>
          <w:rFonts w:ascii="Arial" w:hAnsi="Arial" w:cs="Arial"/>
          <w:sz w:val="28"/>
          <w:szCs w:val="28"/>
          <w:lang w:val="es-ES"/>
        </w:rPr>
        <w:t>4.2.</w:t>
      </w:r>
      <w:r w:rsidRPr="00ED3F31">
        <w:rPr>
          <w:rFonts w:ascii="Arial" w:hAnsi="Arial" w:cs="Arial"/>
          <w:sz w:val="28"/>
          <w:szCs w:val="28"/>
          <w:lang w:val="es-ES"/>
        </w:rPr>
        <w:tab/>
      </w:r>
      <w:r w:rsidRPr="00ED3F31">
        <w:rPr>
          <w:rFonts w:ascii="Arial" w:hAnsi="Arial" w:cs="Arial"/>
          <w:sz w:val="28"/>
          <w:szCs w:val="28"/>
        </w:rPr>
        <w:t>Señaló la Procuraduría Regional que la situación alegada por el accionante es ajena a esa Agencia del Ministerio Público, toda vez que su intervención está orientada a verificar como ente de control la defensa de los intereses y derechos colectivos. Pidió su desvinculación del asunto.</w:t>
      </w:r>
    </w:p>
    <w:p w:rsidR="00CE6C8B" w:rsidRPr="00ED3F31" w:rsidRDefault="00CE6C8B" w:rsidP="00ED3F31">
      <w:pPr>
        <w:pStyle w:val="Sinespaciado1"/>
        <w:spacing w:line="360" w:lineRule="auto"/>
        <w:ind w:firstLine="2835"/>
        <w:jc w:val="both"/>
        <w:rPr>
          <w:rFonts w:ascii="Arial" w:hAnsi="Arial" w:cs="Arial"/>
          <w:sz w:val="28"/>
          <w:szCs w:val="28"/>
          <w:lang w:val="es-ES"/>
        </w:rPr>
      </w:pPr>
    </w:p>
    <w:p w:rsidR="00ED3F31" w:rsidRPr="00ED3F31" w:rsidRDefault="00ED3F31" w:rsidP="00ED3F31">
      <w:pPr>
        <w:pStyle w:val="Sinespaciado1"/>
        <w:spacing w:line="360" w:lineRule="auto"/>
        <w:ind w:firstLine="2835"/>
        <w:jc w:val="both"/>
        <w:rPr>
          <w:rFonts w:ascii="Arial" w:hAnsi="Arial" w:cs="Arial"/>
          <w:sz w:val="28"/>
          <w:szCs w:val="28"/>
        </w:rPr>
      </w:pPr>
      <w:r w:rsidRPr="00ED3F31">
        <w:rPr>
          <w:rFonts w:ascii="Arial" w:hAnsi="Arial" w:cs="Arial"/>
          <w:sz w:val="28"/>
          <w:szCs w:val="28"/>
          <w:lang w:val="es-ES"/>
        </w:rPr>
        <w:lastRenderedPageBreak/>
        <w:t>4.3.</w:t>
      </w:r>
      <w:r w:rsidRPr="00ED3F31">
        <w:rPr>
          <w:rFonts w:ascii="Arial" w:hAnsi="Arial" w:cs="Arial"/>
          <w:sz w:val="28"/>
          <w:szCs w:val="28"/>
          <w:lang w:val="es-ES"/>
        </w:rPr>
        <w:tab/>
        <w:t>Los demás vinculados guardaron silencio</w:t>
      </w:r>
    </w:p>
    <w:p w:rsidR="00ED3F31" w:rsidRDefault="00ED3F31" w:rsidP="00ED3F31">
      <w:pPr>
        <w:pStyle w:val="Sinespaciado1"/>
        <w:spacing w:line="360" w:lineRule="auto"/>
        <w:ind w:firstLine="708"/>
        <w:jc w:val="both"/>
        <w:rPr>
          <w:rFonts w:ascii="Arial" w:hAnsi="Arial" w:cs="Arial"/>
          <w:sz w:val="28"/>
          <w:szCs w:val="28"/>
        </w:rPr>
      </w:pPr>
    </w:p>
    <w:p w:rsidR="00CE6C8B" w:rsidRDefault="00CE6C8B" w:rsidP="00ED3F31">
      <w:pPr>
        <w:pStyle w:val="Sinespaciado1"/>
        <w:spacing w:line="360" w:lineRule="auto"/>
        <w:ind w:firstLine="708"/>
        <w:jc w:val="both"/>
        <w:rPr>
          <w:rFonts w:ascii="Arial" w:hAnsi="Arial" w:cs="Arial"/>
          <w:sz w:val="28"/>
          <w:szCs w:val="28"/>
        </w:rPr>
      </w:pPr>
    </w:p>
    <w:p w:rsidR="00ED3F31" w:rsidRPr="00ED3F31" w:rsidRDefault="00ED3F31" w:rsidP="00ED3F31">
      <w:pPr>
        <w:pStyle w:val="Sinespaciado1"/>
        <w:spacing w:line="360" w:lineRule="auto"/>
        <w:ind w:firstLine="2835"/>
        <w:rPr>
          <w:rFonts w:ascii="Arial" w:hAnsi="Arial" w:cs="Arial"/>
          <w:b/>
          <w:spacing w:val="-3"/>
          <w:sz w:val="28"/>
          <w:szCs w:val="28"/>
        </w:rPr>
      </w:pPr>
      <w:r w:rsidRPr="00ED3F31">
        <w:rPr>
          <w:rFonts w:ascii="Arial" w:hAnsi="Arial" w:cs="Arial"/>
          <w:b/>
          <w:spacing w:val="-3"/>
          <w:sz w:val="28"/>
          <w:szCs w:val="28"/>
        </w:rPr>
        <w:t>III. Consideraciones de la Sala</w:t>
      </w:r>
    </w:p>
    <w:p w:rsidR="00ED3F31" w:rsidRPr="00950C6C" w:rsidRDefault="00ED3F31" w:rsidP="00ED3F31">
      <w:pPr>
        <w:pStyle w:val="Sinespaciado1"/>
        <w:spacing w:line="360" w:lineRule="auto"/>
        <w:ind w:firstLine="708"/>
        <w:jc w:val="both"/>
        <w:rPr>
          <w:rFonts w:ascii="Arial" w:hAnsi="Arial" w:cs="Arial"/>
          <w:spacing w:val="-3"/>
          <w:sz w:val="28"/>
          <w:szCs w:val="28"/>
        </w:rPr>
      </w:pPr>
    </w:p>
    <w:p w:rsidR="00ED3F31" w:rsidRP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t>1.</w:t>
      </w:r>
      <w:r w:rsidRPr="00ED3F31">
        <w:rPr>
          <w:rFonts w:ascii="Arial" w:hAnsi="Arial" w:cs="Arial"/>
          <w:sz w:val="28"/>
          <w:szCs w:val="28"/>
        </w:rPr>
        <w:tab/>
        <w:t>Esta Corporación es competente para conocer de la tutela, de conformidad con lo previsto en los artículos 86 de la Carta Política, Decreto 2591 de 1991 y los pertinentes del Decreto 1382 de 2000.</w:t>
      </w:r>
    </w:p>
    <w:p w:rsidR="00ED3F31" w:rsidRPr="00ED3F31" w:rsidRDefault="00ED3F31" w:rsidP="00ED3F31">
      <w:pPr>
        <w:pStyle w:val="Sinespaciado2"/>
        <w:spacing w:line="360" w:lineRule="auto"/>
        <w:ind w:firstLine="708"/>
        <w:jc w:val="both"/>
        <w:rPr>
          <w:rFonts w:ascii="Arial" w:hAnsi="Arial" w:cs="Arial"/>
          <w:sz w:val="28"/>
          <w:szCs w:val="28"/>
        </w:rPr>
      </w:pPr>
    </w:p>
    <w:p w:rsidR="00ED3F31" w:rsidRPr="00ED3F31" w:rsidRDefault="00ED3F31" w:rsidP="00ED3F31">
      <w:pPr>
        <w:pStyle w:val="Sinespaciado3"/>
        <w:spacing w:line="360" w:lineRule="auto"/>
        <w:ind w:firstLine="2835"/>
        <w:jc w:val="both"/>
        <w:rPr>
          <w:rFonts w:ascii="Arial" w:hAnsi="Arial" w:cs="Arial"/>
          <w:spacing w:val="-3"/>
          <w:sz w:val="28"/>
          <w:szCs w:val="28"/>
        </w:rPr>
      </w:pPr>
      <w:r w:rsidRPr="00ED3F31">
        <w:rPr>
          <w:rFonts w:ascii="Arial" w:hAnsi="Arial" w:cs="Arial"/>
          <w:sz w:val="28"/>
          <w:szCs w:val="28"/>
        </w:rPr>
        <w:t>2.</w:t>
      </w:r>
      <w:r w:rsidRPr="00ED3F31">
        <w:rPr>
          <w:rFonts w:ascii="Arial" w:hAnsi="Arial" w:cs="Arial"/>
          <w:sz w:val="28"/>
          <w:szCs w:val="28"/>
        </w:rPr>
        <w:tab/>
      </w:r>
      <w:r w:rsidRPr="00ED3F31">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D3F31">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ED3F31" w:rsidRPr="00ED3F31" w:rsidRDefault="00ED3F31" w:rsidP="00ED3F31">
      <w:pPr>
        <w:pStyle w:val="Sinespaciado2"/>
        <w:spacing w:line="360" w:lineRule="auto"/>
        <w:ind w:firstLine="708"/>
        <w:jc w:val="both"/>
        <w:rPr>
          <w:rFonts w:ascii="Arial" w:hAnsi="Arial" w:cs="Arial"/>
          <w:sz w:val="26"/>
          <w:szCs w:val="26"/>
        </w:rPr>
      </w:pPr>
    </w:p>
    <w:p w:rsidR="00ED3F31" w:rsidRP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t>3.</w:t>
      </w:r>
      <w:r w:rsidRPr="00ED3F31">
        <w:rPr>
          <w:rFonts w:ascii="Arial" w:hAnsi="Arial" w:cs="Arial"/>
          <w:sz w:val="28"/>
          <w:szCs w:val="28"/>
        </w:rPr>
        <w:tab/>
        <w:t xml:space="preserve">Se acude en esta oportunidad en procura de los derechos fundamentales </w:t>
      </w:r>
      <w:r w:rsidRPr="00ED3F31">
        <w:rPr>
          <w:rFonts w:ascii="Arial" w:hAnsi="Arial" w:cs="Arial"/>
          <w:i/>
          <w:sz w:val="24"/>
          <w:szCs w:val="24"/>
        </w:rPr>
        <w:t>“al debido proceso, la igualdad y la debida administración de justicia”</w:t>
      </w:r>
      <w:r w:rsidRPr="00ED3F31">
        <w:rPr>
          <w:rFonts w:ascii="Arial" w:hAnsi="Arial" w:cs="Arial"/>
          <w:i/>
          <w:sz w:val="28"/>
          <w:szCs w:val="28"/>
        </w:rPr>
        <w:t xml:space="preserve">, </w:t>
      </w:r>
      <w:r w:rsidRPr="00ED3F31">
        <w:rPr>
          <w:rFonts w:ascii="Arial" w:hAnsi="Arial" w:cs="Arial"/>
          <w:sz w:val="28"/>
          <w:szCs w:val="28"/>
        </w:rPr>
        <w:t>bajo la premisa de una tardanza del despacho judicial accionado en decidir sobre la admisión de las demandas constitucionales de acción popular presentadas por el accionante.</w:t>
      </w:r>
    </w:p>
    <w:p w:rsidR="00ED3F31" w:rsidRPr="00ED3F31" w:rsidRDefault="00ED3F31" w:rsidP="00ED3F31">
      <w:pPr>
        <w:pStyle w:val="Sinespaciado2"/>
        <w:spacing w:line="360" w:lineRule="auto"/>
        <w:ind w:firstLine="708"/>
        <w:jc w:val="both"/>
        <w:rPr>
          <w:rFonts w:ascii="Arial" w:hAnsi="Arial" w:cs="Arial"/>
          <w:sz w:val="26"/>
          <w:szCs w:val="26"/>
        </w:rPr>
      </w:pPr>
    </w:p>
    <w:p w:rsidR="00ED3F31" w:rsidRPr="00B41645" w:rsidRDefault="00ED3F31" w:rsidP="007D4376">
      <w:pPr>
        <w:pStyle w:val="Sinespaciado2"/>
        <w:spacing w:line="360" w:lineRule="auto"/>
        <w:ind w:firstLine="2835"/>
        <w:jc w:val="both"/>
        <w:rPr>
          <w:sz w:val="24"/>
          <w:szCs w:val="24"/>
        </w:rPr>
      </w:pPr>
      <w:r w:rsidRPr="00ED3F31">
        <w:rPr>
          <w:rFonts w:ascii="Arial" w:hAnsi="Arial" w:cs="Arial"/>
          <w:sz w:val="28"/>
          <w:szCs w:val="28"/>
        </w:rPr>
        <w:lastRenderedPageBreak/>
        <w:t>4.</w:t>
      </w:r>
      <w:r w:rsidRPr="00ED3F31">
        <w:rPr>
          <w:rFonts w:ascii="Arial" w:hAnsi="Arial" w:cs="Arial"/>
          <w:sz w:val="28"/>
          <w:szCs w:val="28"/>
        </w:rPr>
        <w:tab/>
        <w:t>La Sala de Casación Civil de la Corte Suprema de Justicia, en diversas op</w:t>
      </w:r>
      <w:r w:rsidR="00B41645">
        <w:rPr>
          <w:rFonts w:ascii="Arial" w:hAnsi="Arial" w:cs="Arial"/>
          <w:sz w:val="28"/>
          <w:szCs w:val="28"/>
        </w:rPr>
        <w:t xml:space="preserve">ortunidades, ha manifestado </w:t>
      </w:r>
      <w:r w:rsidR="00B26649" w:rsidRPr="00B26649">
        <w:rPr>
          <w:rFonts w:ascii="Arial" w:hAnsi="Arial" w:cs="Arial"/>
          <w:sz w:val="24"/>
          <w:szCs w:val="24"/>
        </w:rPr>
        <w:t>“(…)</w:t>
      </w:r>
      <w:r w:rsidR="007D4376">
        <w:rPr>
          <w:rFonts w:ascii="Arial" w:hAnsi="Arial" w:cs="Arial"/>
          <w:sz w:val="24"/>
          <w:szCs w:val="24"/>
        </w:rPr>
        <w:t xml:space="preserve"> </w:t>
      </w:r>
      <w:r w:rsidR="00B41645">
        <w:rPr>
          <w:rFonts w:ascii="Arial" w:hAnsi="Arial" w:cs="Arial"/>
          <w:sz w:val="24"/>
          <w:szCs w:val="24"/>
        </w:rPr>
        <w:t xml:space="preserve">que </w:t>
      </w:r>
      <w:r w:rsidR="00B26649" w:rsidRPr="00B26649">
        <w:rPr>
          <w:rFonts w:ascii="Arial" w:hAnsi="Arial" w:cs="Arial"/>
          <w:color w:val="000000"/>
          <w:sz w:val="24"/>
          <w:szCs w:val="24"/>
        </w:rPr>
        <w:t xml:space="preserve">la congestión y mora judiciales afectan gravemente el disfrute del derecho fundamental de acceso a la administración de </w:t>
      </w:r>
      <w:r w:rsidR="00B26649" w:rsidRPr="00B41645">
        <w:rPr>
          <w:rFonts w:ascii="Arial" w:hAnsi="Arial" w:cs="Arial"/>
          <w:sz w:val="24"/>
          <w:szCs w:val="24"/>
        </w:rPr>
        <w:t>justicia y al debido proceso, en los términos de los artículos 29, 228 y 229 superiores</w:t>
      </w:r>
      <w:bookmarkStart w:id="0" w:name="_ftnref1"/>
      <w:bookmarkEnd w:id="0"/>
      <w:r w:rsidR="00B26649" w:rsidRPr="00B41645">
        <w:rPr>
          <w:rFonts w:ascii="Arial" w:hAnsi="Arial" w:cs="Arial"/>
          <w:sz w:val="24"/>
          <w:szCs w:val="24"/>
        </w:rPr>
        <w:t>.</w:t>
      </w:r>
      <w:r w:rsidR="007D4376" w:rsidRPr="00B41645">
        <w:rPr>
          <w:rFonts w:ascii="Arial" w:hAnsi="Arial" w:cs="Arial"/>
          <w:sz w:val="24"/>
          <w:szCs w:val="24"/>
        </w:rPr>
        <w:t xml:space="preserve"> </w:t>
      </w:r>
      <w:r w:rsidR="00B26649" w:rsidRPr="00B41645">
        <w:rPr>
          <w:rFonts w:ascii="Arial" w:hAnsi="Arial" w:cs="Arial"/>
          <w:sz w:val="24"/>
          <w:szCs w:val="24"/>
        </w:rPr>
        <w:t>La mora judicial tiene fundamento cuando la actuación del juzgador desconoce los términos legales y carece de un motivo probado y razonable, evento en el cual se vulnera el derecho al debido proceso y se obstaculiza el acceso a la administración de justicia.</w:t>
      </w:r>
      <w:r w:rsidR="007D4376" w:rsidRPr="00B41645">
        <w:rPr>
          <w:rFonts w:ascii="Arial" w:hAnsi="Arial" w:cs="Arial"/>
          <w:sz w:val="24"/>
          <w:szCs w:val="24"/>
        </w:rPr>
        <w:t xml:space="preserve"> </w:t>
      </w:r>
      <w:r w:rsidR="00B26649" w:rsidRPr="00B41645">
        <w:rPr>
          <w:rFonts w:ascii="Arial" w:hAnsi="Arial" w:cs="Arial"/>
          <w:sz w:val="24"/>
          <w:szCs w:val="24"/>
        </w:rPr>
        <w:t>No obstante, para establecer si la mora en la decisión oportuna de las autoridades es violatoria de derechos fundamentales, es preciso acudir a un análisis sobre la razonabilidad del plazo y establecer el carácter</w:t>
      </w:r>
      <w:r w:rsidR="00B26649" w:rsidRPr="00B41645">
        <w:rPr>
          <w:rStyle w:val="apple-converted-space"/>
          <w:rFonts w:ascii="Arial" w:hAnsi="Arial" w:cs="Arial"/>
          <w:sz w:val="24"/>
          <w:szCs w:val="24"/>
        </w:rPr>
        <w:t> </w:t>
      </w:r>
      <w:r w:rsidR="00B26649" w:rsidRPr="00B41645">
        <w:rPr>
          <w:rFonts w:ascii="Arial" w:hAnsi="Arial" w:cs="Arial"/>
          <w:sz w:val="24"/>
          <w:szCs w:val="24"/>
        </w:rPr>
        <w:t>injustificado</w:t>
      </w:r>
      <w:r w:rsidR="00B26649" w:rsidRPr="00B41645">
        <w:rPr>
          <w:rStyle w:val="apple-converted-space"/>
          <w:rFonts w:ascii="Arial" w:hAnsi="Arial" w:cs="Arial"/>
          <w:sz w:val="24"/>
          <w:szCs w:val="24"/>
        </w:rPr>
        <w:t> </w:t>
      </w:r>
      <w:r w:rsidR="00B26649" w:rsidRPr="00B41645">
        <w:rPr>
          <w:rFonts w:ascii="Arial" w:hAnsi="Arial" w:cs="Arial"/>
          <w:sz w:val="24"/>
          <w:szCs w:val="24"/>
        </w:rPr>
        <w:t>en el incumplimiento de los términos</w:t>
      </w:r>
      <w:bookmarkStart w:id="1" w:name="_ftnref2"/>
      <w:bookmarkEnd w:id="1"/>
      <w:proofErr w:type="gramStart"/>
      <w:r w:rsidR="00B26649" w:rsidRPr="00B41645">
        <w:rPr>
          <w:rFonts w:ascii="Arial" w:hAnsi="Arial" w:cs="Arial"/>
          <w:sz w:val="24"/>
          <w:szCs w:val="24"/>
        </w:rPr>
        <w:t>.(</w:t>
      </w:r>
      <w:proofErr w:type="gramEnd"/>
      <w:r w:rsidR="00B26649" w:rsidRPr="00B41645">
        <w:rPr>
          <w:rFonts w:ascii="Arial" w:hAnsi="Arial" w:cs="Arial"/>
          <w:sz w:val="24"/>
          <w:szCs w:val="24"/>
        </w:rPr>
        <w:t>…)”</w:t>
      </w:r>
      <w:r w:rsidRPr="00B41645">
        <w:rPr>
          <w:rStyle w:val="Refdenotaalpie"/>
          <w:rFonts w:ascii="Arial" w:hAnsi="Arial"/>
          <w:sz w:val="28"/>
          <w:szCs w:val="28"/>
        </w:rPr>
        <w:footnoteReference w:id="1"/>
      </w:r>
      <w:r w:rsidRPr="00B41645">
        <w:rPr>
          <w:rFonts w:ascii="Arial" w:hAnsi="Arial" w:cs="Arial"/>
          <w:sz w:val="28"/>
          <w:szCs w:val="28"/>
        </w:rPr>
        <w:t>.</w:t>
      </w:r>
    </w:p>
    <w:p w:rsidR="00ED3F31" w:rsidRPr="00ED3F31" w:rsidRDefault="00ED3F31" w:rsidP="00ED3F31">
      <w:pPr>
        <w:pStyle w:val="Sinespaciado2"/>
        <w:spacing w:line="360" w:lineRule="auto"/>
        <w:ind w:firstLine="708"/>
        <w:jc w:val="both"/>
        <w:rPr>
          <w:rFonts w:ascii="Arial" w:hAnsi="Arial" w:cs="Arial"/>
          <w:sz w:val="26"/>
          <w:szCs w:val="26"/>
        </w:rPr>
      </w:pPr>
    </w:p>
    <w:p w:rsid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t>5.</w:t>
      </w:r>
      <w:r w:rsidRPr="00ED3F31">
        <w:rPr>
          <w:rFonts w:ascii="Arial" w:hAnsi="Arial" w:cs="Arial"/>
          <w:sz w:val="28"/>
          <w:szCs w:val="28"/>
        </w:rPr>
        <w:tab/>
        <w:t>Situación que también ha sido precisada por la Corte Constitucional, señalando que</w:t>
      </w:r>
      <w:r w:rsidRPr="00ED3F31">
        <w:rPr>
          <w:sz w:val="28"/>
          <w:szCs w:val="28"/>
        </w:rPr>
        <w:t xml:space="preserve"> </w:t>
      </w:r>
      <w:r w:rsidRPr="00ED3F31">
        <w:rPr>
          <w:i/>
          <w:sz w:val="28"/>
          <w:szCs w:val="28"/>
        </w:rPr>
        <w:t>“</w:t>
      </w:r>
      <w:r w:rsidRPr="00ED3F31">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ED3F31">
        <w:rPr>
          <w:rStyle w:val="Refdenotaalpie"/>
          <w:rFonts w:ascii="Arial" w:hAnsi="Arial"/>
          <w:i/>
          <w:sz w:val="24"/>
          <w:szCs w:val="24"/>
        </w:rPr>
        <w:footnoteReference w:id="2"/>
      </w:r>
      <w:r w:rsidRPr="00ED3F31">
        <w:rPr>
          <w:rFonts w:ascii="Arial" w:hAnsi="Arial" w:cs="Arial"/>
          <w:i/>
          <w:sz w:val="24"/>
          <w:szCs w:val="24"/>
        </w:rPr>
        <w:t>.</w:t>
      </w:r>
    </w:p>
    <w:p w:rsidR="00B26649" w:rsidRPr="00ED3F31" w:rsidRDefault="00B26649" w:rsidP="00ED3F31">
      <w:pPr>
        <w:pStyle w:val="Sinespaciado2"/>
        <w:spacing w:line="360" w:lineRule="auto"/>
        <w:ind w:firstLine="2835"/>
        <w:jc w:val="both"/>
        <w:rPr>
          <w:rFonts w:ascii="Arial" w:hAnsi="Arial" w:cs="Arial"/>
          <w:sz w:val="28"/>
          <w:szCs w:val="28"/>
        </w:rPr>
      </w:pPr>
    </w:p>
    <w:p w:rsidR="00ED3F31" w:rsidRPr="00ED3F31" w:rsidRDefault="00ED3F31" w:rsidP="00ED3F31">
      <w:pPr>
        <w:pStyle w:val="Sinespaciado2"/>
        <w:spacing w:line="360" w:lineRule="auto"/>
        <w:ind w:firstLine="2835"/>
        <w:jc w:val="both"/>
        <w:rPr>
          <w:rFonts w:ascii="Arial" w:hAnsi="Arial" w:cs="Arial"/>
          <w:i/>
          <w:sz w:val="24"/>
          <w:szCs w:val="24"/>
        </w:rPr>
      </w:pPr>
      <w:r w:rsidRPr="00ED3F31">
        <w:rPr>
          <w:rFonts w:ascii="Arial" w:hAnsi="Arial" w:cs="Arial"/>
          <w:sz w:val="28"/>
          <w:szCs w:val="28"/>
        </w:rPr>
        <w:t>6.</w:t>
      </w:r>
      <w:r w:rsidRPr="00ED3F31">
        <w:rPr>
          <w:rFonts w:ascii="Arial" w:hAnsi="Arial" w:cs="Arial"/>
          <w:sz w:val="28"/>
          <w:szCs w:val="28"/>
        </w:rPr>
        <w:tab/>
        <w:t>En el caso sub júdice el ruego tuitivo tiene origen en la mora, que a juicio del actor, habría incurrido el Juzgado Cuarto Civil del Circuito de esta localidad, en admitir sus demandas de acción popular, vulnerando entonces los postulados de la Ley 472 de 1998, que propiamente en su artículo 20 señala:</w:t>
      </w:r>
      <w:r w:rsidRPr="00ED3F31">
        <w:rPr>
          <w:rFonts w:ascii="Arial" w:hAnsi="Arial" w:cs="Arial"/>
          <w:sz w:val="26"/>
          <w:szCs w:val="26"/>
        </w:rPr>
        <w:t xml:space="preserve"> </w:t>
      </w:r>
      <w:r w:rsidRPr="00ED3F31">
        <w:rPr>
          <w:rFonts w:ascii="Arial" w:hAnsi="Arial" w:cs="Arial"/>
          <w:sz w:val="24"/>
          <w:szCs w:val="24"/>
        </w:rPr>
        <w:t>“</w:t>
      </w:r>
      <w:r w:rsidRPr="00ED3F31">
        <w:rPr>
          <w:rFonts w:ascii="Arial" w:hAnsi="Arial" w:cs="Arial"/>
          <w:i/>
          <w:sz w:val="24"/>
          <w:szCs w:val="24"/>
        </w:rPr>
        <w:t>Dentro de los tres (3) días hábiles siguientes a la presentación de la demanda o petición inicial, el juez competente se pronunciará sobre su admisión.”</w:t>
      </w:r>
    </w:p>
    <w:p w:rsidR="00ED3F31" w:rsidRPr="00ED3F31" w:rsidRDefault="00ED3F31" w:rsidP="00ED3F31">
      <w:pPr>
        <w:pStyle w:val="Sinespaciado2"/>
        <w:spacing w:line="360" w:lineRule="auto"/>
        <w:ind w:firstLine="708"/>
        <w:jc w:val="both"/>
        <w:rPr>
          <w:rFonts w:ascii="Arial" w:hAnsi="Arial" w:cs="Arial"/>
          <w:sz w:val="26"/>
          <w:szCs w:val="26"/>
        </w:rPr>
      </w:pPr>
    </w:p>
    <w:p w:rsidR="00ED3F31" w:rsidRP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lastRenderedPageBreak/>
        <w:t>7.</w:t>
      </w:r>
      <w:r w:rsidRPr="00ED3F31">
        <w:rPr>
          <w:rFonts w:ascii="Arial" w:hAnsi="Arial" w:cs="Arial"/>
          <w:sz w:val="28"/>
          <w:szCs w:val="28"/>
        </w:rPr>
        <w:tab/>
        <w:t>Examinadas las copias aportadas en esta instancia, advierte esta Corporación que el 18</w:t>
      </w:r>
      <w:r w:rsidR="007D4376">
        <w:rPr>
          <w:rFonts w:ascii="Arial" w:hAnsi="Arial" w:cs="Arial"/>
          <w:sz w:val="28"/>
          <w:szCs w:val="28"/>
        </w:rPr>
        <w:t>-11-2015</w:t>
      </w:r>
      <w:r w:rsidRPr="00ED3F31">
        <w:rPr>
          <w:rFonts w:ascii="Arial" w:hAnsi="Arial" w:cs="Arial"/>
          <w:sz w:val="28"/>
          <w:szCs w:val="28"/>
        </w:rPr>
        <w:t>, el señor Javier Elías Arias Idárraga radicó demandas de acción popular bajo los números</w:t>
      </w:r>
      <w:r w:rsidRPr="00ED3F31">
        <w:rPr>
          <w:rFonts w:ascii="Arial" w:hAnsi="Arial" w:cs="Arial"/>
          <w:sz w:val="24"/>
          <w:szCs w:val="24"/>
        </w:rPr>
        <w:t>: “2015 – 1122, 1124, 1125, 1126, 1127,1128, 1129, 1130, , 1132, 1133, 1134, 1135, 1136, y 1137</w:t>
      </w:r>
      <w:r w:rsidRPr="00ED3F31">
        <w:rPr>
          <w:rFonts w:ascii="Arial" w:hAnsi="Arial" w:cs="Arial"/>
          <w:sz w:val="28"/>
          <w:szCs w:val="28"/>
        </w:rPr>
        <w:t>”, ante la Oficina Judicial Seccional Risaralda, siendo asignado su conocimiento al Juzgado Cuarto Civil del Circuito de la ciudad, que las recepcionó, inadmitiéndolas todas, excepto la “</w:t>
      </w:r>
      <w:r w:rsidRPr="00ED3F31">
        <w:rPr>
          <w:rFonts w:ascii="Arial" w:hAnsi="Arial" w:cs="Arial"/>
          <w:sz w:val="24"/>
          <w:szCs w:val="24"/>
        </w:rPr>
        <w:t>2015 – 1133</w:t>
      </w:r>
      <w:r w:rsidRPr="00ED3F31">
        <w:rPr>
          <w:rFonts w:ascii="Arial" w:hAnsi="Arial" w:cs="Arial"/>
          <w:sz w:val="28"/>
          <w:szCs w:val="28"/>
        </w:rPr>
        <w:t>” que admitió, según providencias calendadas 27-11-2015, notificadas en estado del 01-12-2015.</w:t>
      </w:r>
    </w:p>
    <w:p w:rsidR="00ED3F31" w:rsidRPr="00ED3F31" w:rsidRDefault="00ED3F31" w:rsidP="00ED3F31">
      <w:pPr>
        <w:pStyle w:val="Sinespaciado2"/>
        <w:spacing w:line="360" w:lineRule="auto"/>
        <w:ind w:firstLine="708"/>
        <w:jc w:val="both"/>
        <w:rPr>
          <w:rFonts w:ascii="Arial" w:hAnsi="Arial" w:cs="Arial"/>
          <w:sz w:val="26"/>
          <w:szCs w:val="26"/>
        </w:rPr>
      </w:pPr>
    </w:p>
    <w:p w:rsidR="00ED3F31" w:rsidRP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t>8.</w:t>
      </w:r>
      <w:r w:rsidRPr="00ED3F31">
        <w:rPr>
          <w:rFonts w:ascii="Arial" w:hAnsi="Arial" w:cs="Arial"/>
          <w:sz w:val="28"/>
          <w:szCs w:val="28"/>
        </w:rPr>
        <w:tab/>
        <w:t>Surge de lo anterior, que aunque la formulación de la acción de amparo fue el 27-11-2015, la funcionaria encartada, por autos de la misma calenda dio trámite a las acciones populares promovidas por el señor Javier Elías Arias Idárraga objeto de esta acción constitucional, excepto la que aduce el accionante responde “2015-1143”, toda vez que según informa el despacho judicial querellado, es un proceso ejecutivo.</w:t>
      </w:r>
    </w:p>
    <w:p w:rsidR="00ED3F31" w:rsidRPr="00ED3F31" w:rsidRDefault="00ED3F31" w:rsidP="00ED3F31">
      <w:pPr>
        <w:pStyle w:val="Sinespaciado2"/>
        <w:spacing w:line="360" w:lineRule="auto"/>
        <w:ind w:firstLine="2835"/>
        <w:jc w:val="both"/>
        <w:rPr>
          <w:rFonts w:ascii="Arial" w:hAnsi="Arial" w:cs="Arial"/>
          <w:sz w:val="28"/>
          <w:szCs w:val="28"/>
        </w:rPr>
      </w:pPr>
    </w:p>
    <w:p w:rsidR="00ED3F31" w:rsidRP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t>9.</w:t>
      </w:r>
      <w:r w:rsidRPr="00ED3F31">
        <w:rPr>
          <w:rFonts w:ascii="Arial" w:hAnsi="Arial" w:cs="Arial"/>
          <w:sz w:val="28"/>
          <w:szCs w:val="28"/>
        </w:rPr>
        <w:tab/>
        <w:t>Ciertamente la Jueza accionada incumplió el término señalado por la Ley 472 de 1998 en su artículo 20:</w:t>
      </w:r>
      <w:r w:rsidRPr="00ED3F31">
        <w:rPr>
          <w:rFonts w:ascii="Arial" w:hAnsi="Arial" w:cs="Arial"/>
          <w:sz w:val="26"/>
          <w:szCs w:val="26"/>
        </w:rPr>
        <w:t xml:space="preserve"> </w:t>
      </w:r>
      <w:r w:rsidRPr="00ED3F31">
        <w:rPr>
          <w:rFonts w:ascii="Arial" w:hAnsi="Arial" w:cs="Arial"/>
          <w:sz w:val="24"/>
          <w:szCs w:val="24"/>
        </w:rPr>
        <w:t>“</w:t>
      </w:r>
      <w:r w:rsidRPr="00ED3F31">
        <w:rPr>
          <w:rFonts w:ascii="Arial" w:hAnsi="Arial" w:cs="Arial"/>
          <w:i/>
          <w:sz w:val="24"/>
          <w:szCs w:val="24"/>
        </w:rPr>
        <w:t>Dentro de los tres (3) días hábiles siguientes a la presentación de la demanda o petición inicial, el juez competente se pronunciará sobre su admisión.”</w:t>
      </w:r>
      <w:r w:rsidRPr="00ED3F31">
        <w:rPr>
          <w:rFonts w:ascii="Arial" w:hAnsi="Arial" w:cs="Arial"/>
          <w:sz w:val="24"/>
          <w:szCs w:val="24"/>
        </w:rPr>
        <w:t xml:space="preserve">, </w:t>
      </w:r>
      <w:r w:rsidRPr="00ED3F31">
        <w:rPr>
          <w:rFonts w:ascii="Arial" w:hAnsi="Arial" w:cs="Arial"/>
          <w:sz w:val="28"/>
          <w:szCs w:val="28"/>
        </w:rPr>
        <w:t>puesto que las demandas populares fueron presentadas el día 18-11-2015 y el pronunciamiento sobre su admisión o inadmisión tuvo lugar el 27-12-2015, superando el plazo dispuesto para el efecto.</w:t>
      </w:r>
    </w:p>
    <w:p w:rsidR="00ED3F31" w:rsidRPr="00ED3F31" w:rsidRDefault="00ED3F31" w:rsidP="00ED3F31">
      <w:pPr>
        <w:pStyle w:val="Sinespaciado2"/>
        <w:spacing w:line="360" w:lineRule="auto"/>
        <w:ind w:firstLine="708"/>
        <w:jc w:val="both"/>
        <w:rPr>
          <w:rFonts w:ascii="Arial" w:hAnsi="Arial" w:cs="Arial"/>
          <w:sz w:val="26"/>
          <w:szCs w:val="26"/>
        </w:rPr>
      </w:pPr>
    </w:p>
    <w:p w:rsidR="00ED3F31" w:rsidRP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t>10.</w:t>
      </w:r>
      <w:r w:rsidRPr="00ED3F31">
        <w:rPr>
          <w:rFonts w:ascii="Arial" w:hAnsi="Arial" w:cs="Arial"/>
          <w:sz w:val="28"/>
          <w:szCs w:val="28"/>
        </w:rPr>
        <w:tab/>
        <w:t xml:space="preserve">Sin embargo ha de decirse que conforme a la jurisprudencia citada, no existe mora judicial por el solo transcurso del tiempo, sino que esta debe ser injustificada, debe estar probada la </w:t>
      </w:r>
      <w:r w:rsidRPr="00ED3F31">
        <w:rPr>
          <w:rFonts w:ascii="Arial" w:hAnsi="Arial" w:cs="Arial"/>
          <w:sz w:val="28"/>
          <w:szCs w:val="28"/>
        </w:rPr>
        <w:lastRenderedPageBreak/>
        <w:t>negligencia de la autoridad judicial demandada y que sea probable la existencia de un perjuicio irremediable</w:t>
      </w:r>
      <w:r w:rsidRPr="00ED3F31">
        <w:rPr>
          <w:rStyle w:val="Refdenotaalpie"/>
          <w:rFonts w:ascii="Arial" w:hAnsi="Arial"/>
          <w:sz w:val="28"/>
          <w:szCs w:val="28"/>
        </w:rPr>
        <w:footnoteReference w:id="3"/>
      </w:r>
      <w:r w:rsidRPr="00ED3F31">
        <w:rPr>
          <w:rFonts w:ascii="Arial" w:hAnsi="Arial" w:cs="Arial"/>
          <w:sz w:val="28"/>
          <w:szCs w:val="28"/>
        </w:rPr>
        <w:t>. Y si bien la jueza accionada no justificó la mora en que incurrió su despacho al no emitir el proveído del caso en el término dispuesto en la ley, en todo caso, lo cierto es que el hecho vulnerador del derecho fundamental argüido por el quejoso se encuentra superado.</w:t>
      </w:r>
    </w:p>
    <w:p w:rsidR="00ED3F31" w:rsidRPr="00ED3F31" w:rsidRDefault="00ED3F31" w:rsidP="00ED3F31">
      <w:pPr>
        <w:pStyle w:val="Sinespaciado2"/>
        <w:spacing w:line="360" w:lineRule="auto"/>
        <w:ind w:firstLine="708"/>
        <w:jc w:val="both"/>
        <w:rPr>
          <w:rFonts w:ascii="Arial" w:hAnsi="Arial" w:cs="Arial"/>
          <w:sz w:val="26"/>
          <w:szCs w:val="26"/>
        </w:rPr>
      </w:pPr>
    </w:p>
    <w:p w:rsidR="00ED3F31" w:rsidRPr="00ED3F31" w:rsidRDefault="00ED3F31" w:rsidP="00ED3F31">
      <w:pPr>
        <w:pStyle w:val="Sinespaciado1"/>
        <w:spacing w:line="360" w:lineRule="auto"/>
        <w:ind w:firstLine="2835"/>
        <w:jc w:val="both"/>
        <w:rPr>
          <w:rFonts w:ascii="Arial" w:hAnsi="Arial" w:cs="Arial"/>
          <w:spacing w:val="-3"/>
          <w:sz w:val="28"/>
          <w:szCs w:val="28"/>
          <w:lang w:val="es-ES"/>
        </w:rPr>
      </w:pPr>
      <w:r w:rsidRPr="00ED3F31">
        <w:rPr>
          <w:rFonts w:ascii="Arial" w:hAnsi="Arial" w:cs="Arial"/>
          <w:sz w:val="28"/>
          <w:szCs w:val="28"/>
          <w:lang w:val="es-ES_tradnl"/>
        </w:rPr>
        <w:t>11.</w:t>
      </w:r>
      <w:r w:rsidRPr="00ED3F31">
        <w:rPr>
          <w:rFonts w:ascii="Arial" w:hAnsi="Arial" w:cs="Arial"/>
          <w:sz w:val="28"/>
          <w:szCs w:val="28"/>
          <w:lang w:val="es-ES_tradnl"/>
        </w:rPr>
        <w:tab/>
        <w:t xml:space="preserve">De otro lado, la </w:t>
      </w:r>
      <w:r w:rsidRPr="00ED3F31">
        <w:rPr>
          <w:rFonts w:ascii="Arial" w:hAnsi="Arial" w:cs="Arial"/>
          <w:sz w:val="28"/>
          <w:szCs w:val="28"/>
        </w:rPr>
        <w:t>petición relacionada con la Defensoría del Pueblo de Manizales, fue resuelta en el auto admisorio de la presente demanda</w:t>
      </w:r>
      <w:r w:rsidRPr="00ED3F31">
        <w:rPr>
          <w:rFonts w:ascii="Arial" w:hAnsi="Arial" w:cs="Arial"/>
          <w:spacing w:val="-3"/>
          <w:sz w:val="28"/>
          <w:szCs w:val="28"/>
          <w:lang w:val="es-ES"/>
        </w:rPr>
        <w:t>, precisando que de los hechos y pretensiones no se advirtió que contra ella se dirigiera el amparo constitucional.</w:t>
      </w:r>
    </w:p>
    <w:p w:rsidR="00ED3F31" w:rsidRPr="00ED3F31" w:rsidRDefault="00ED3F31" w:rsidP="00ED3F31">
      <w:pPr>
        <w:pStyle w:val="Sinespaciado1"/>
        <w:spacing w:line="360" w:lineRule="auto"/>
        <w:ind w:firstLine="708"/>
        <w:jc w:val="both"/>
        <w:rPr>
          <w:rFonts w:ascii="Arial" w:hAnsi="Arial" w:cs="Arial"/>
          <w:spacing w:val="-3"/>
          <w:sz w:val="26"/>
          <w:szCs w:val="26"/>
          <w:lang w:val="es-ES"/>
        </w:rPr>
      </w:pPr>
    </w:p>
    <w:p w:rsidR="00ED3F31" w:rsidRPr="00ED3F31" w:rsidRDefault="00ED3F31" w:rsidP="00ED3F31">
      <w:pPr>
        <w:pStyle w:val="Sinespaciado1"/>
        <w:spacing w:line="360" w:lineRule="auto"/>
        <w:ind w:firstLine="2835"/>
        <w:jc w:val="both"/>
        <w:rPr>
          <w:rFonts w:ascii="Arial" w:hAnsi="Arial" w:cs="Arial"/>
          <w:spacing w:val="-3"/>
          <w:sz w:val="28"/>
          <w:szCs w:val="28"/>
          <w:lang w:val="es-ES"/>
        </w:rPr>
      </w:pPr>
      <w:r w:rsidRPr="00ED3F31">
        <w:rPr>
          <w:rFonts w:ascii="Arial" w:hAnsi="Arial" w:cs="Arial"/>
          <w:spacing w:val="-3"/>
          <w:sz w:val="28"/>
          <w:szCs w:val="28"/>
          <w:lang w:val="es-ES"/>
        </w:rPr>
        <w:t>12.</w:t>
      </w:r>
      <w:r w:rsidRPr="00ED3F31">
        <w:rPr>
          <w:rFonts w:ascii="Arial" w:hAnsi="Arial" w:cs="Arial"/>
          <w:spacing w:val="-3"/>
          <w:sz w:val="28"/>
          <w:szCs w:val="28"/>
          <w:lang w:val="es-ES"/>
        </w:rPr>
        <w:tab/>
        <w:t>Así las cosas, en resumen: (i) se declarará la carencia actual de objeto por hecho superado</w:t>
      </w:r>
      <w:r w:rsidR="008A0C86">
        <w:rPr>
          <w:rFonts w:ascii="Arial" w:hAnsi="Arial" w:cs="Arial"/>
          <w:spacing w:val="-3"/>
          <w:sz w:val="28"/>
          <w:szCs w:val="28"/>
          <w:lang w:val="es-ES"/>
        </w:rPr>
        <w:t xml:space="preserve"> respecto de las acciones populares radicadas a los números: </w:t>
      </w:r>
      <w:r w:rsidR="008A0C86" w:rsidRPr="00ED3F31">
        <w:rPr>
          <w:rFonts w:ascii="Arial" w:hAnsi="Arial" w:cs="Arial"/>
          <w:sz w:val="24"/>
          <w:szCs w:val="24"/>
        </w:rPr>
        <w:t>“2015 – 1122, 1124, 1125, 1126, 1127,1128, 1129, 1130, , 1132, 1133, 1134, 1135, 1136, y 1137</w:t>
      </w:r>
      <w:r w:rsidR="008A0C86">
        <w:rPr>
          <w:rFonts w:ascii="Arial" w:hAnsi="Arial" w:cs="Arial"/>
          <w:sz w:val="28"/>
          <w:szCs w:val="28"/>
        </w:rPr>
        <w:t>”;</w:t>
      </w:r>
      <w:r w:rsidRPr="00ED3F31">
        <w:rPr>
          <w:rFonts w:ascii="Arial" w:hAnsi="Arial" w:cs="Arial"/>
          <w:spacing w:val="-3"/>
          <w:sz w:val="28"/>
          <w:szCs w:val="28"/>
          <w:lang w:val="es-ES"/>
        </w:rPr>
        <w:t xml:space="preserve"> (ii) </w:t>
      </w:r>
      <w:r w:rsidR="008A0C86">
        <w:rPr>
          <w:rFonts w:ascii="Arial" w:hAnsi="Arial" w:cs="Arial"/>
          <w:spacing w:val="-3"/>
          <w:sz w:val="28"/>
          <w:szCs w:val="28"/>
          <w:lang w:val="es-ES"/>
        </w:rPr>
        <w:t>se declarará improcedente la referente a la que corresponde al número “</w:t>
      </w:r>
      <w:r w:rsidR="008A0C86" w:rsidRPr="008A0C86">
        <w:rPr>
          <w:rFonts w:ascii="Arial" w:hAnsi="Arial" w:cs="Arial"/>
          <w:spacing w:val="-3"/>
          <w:sz w:val="24"/>
          <w:szCs w:val="24"/>
          <w:lang w:val="es-ES"/>
        </w:rPr>
        <w:t>2015 – 1143</w:t>
      </w:r>
      <w:r w:rsidR="008A0C86">
        <w:rPr>
          <w:rFonts w:ascii="Arial" w:hAnsi="Arial" w:cs="Arial"/>
          <w:spacing w:val="-3"/>
          <w:sz w:val="24"/>
          <w:szCs w:val="24"/>
          <w:lang w:val="es-ES"/>
        </w:rPr>
        <w:t>”</w:t>
      </w:r>
      <w:r w:rsidR="008A0C86">
        <w:rPr>
          <w:rFonts w:ascii="Arial" w:hAnsi="Arial" w:cs="Arial"/>
          <w:spacing w:val="-3"/>
          <w:sz w:val="28"/>
          <w:szCs w:val="28"/>
          <w:lang w:val="es-ES"/>
        </w:rPr>
        <w:t xml:space="preserve"> y (iii) </w:t>
      </w:r>
      <w:r w:rsidRPr="00ED3F31">
        <w:rPr>
          <w:rFonts w:ascii="Arial" w:hAnsi="Arial" w:cs="Arial"/>
          <w:spacing w:val="-3"/>
          <w:sz w:val="28"/>
          <w:szCs w:val="28"/>
          <w:lang w:val="es-ES"/>
        </w:rPr>
        <w:t xml:space="preserve">se ordenará </w:t>
      </w:r>
      <w:r w:rsidRPr="00ED3F31">
        <w:rPr>
          <w:rFonts w:ascii="Arial" w:hAnsi="Arial" w:cs="Arial"/>
          <w:spacing w:val="3"/>
          <w:sz w:val="28"/>
          <w:szCs w:val="28"/>
        </w:rPr>
        <w:t xml:space="preserve">que por Secretaría se </w:t>
      </w:r>
      <w:r w:rsidRPr="00ED3F31">
        <w:rPr>
          <w:rFonts w:ascii="Arial" w:hAnsi="Arial" w:cs="Arial"/>
          <w:sz w:val="28"/>
          <w:szCs w:val="28"/>
        </w:rPr>
        <w:t xml:space="preserve">escanee copia de la tutela y el fallo </w:t>
      </w:r>
      <w:r w:rsidRPr="00ED3F31">
        <w:rPr>
          <w:rFonts w:ascii="Arial" w:hAnsi="Arial" w:cs="Arial"/>
          <w:spacing w:val="3"/>
          <w:sz w:val="28"/>
          <w:szCs w:val="28"/>
        </w:rPr>
        <w:t>al correo electrónico suministrado.</w:t>
      </w:r>
    </w:p>
    <w:p w:rsidR="00ED3F31" w:rsidRDefault="00ED3F31" w:rsidP="00ED3F31">
      <w:pPr>
        <w:pStyle w:val="Sinespaciado1"/>
        <w:spacing w:line="360" w:lineRule="auto"/>
        <w:ind w:firstLine="2835"/>
        <w:jc w:val="both"/>
        <w:rPr>
          <w:rFonts w:ascii="Arial" w:hAnsi="Arial" w:cs="Arial"/>
          <w:sz w:val="26"/>
          <w:szCs w:val="26"/>
        </w:rPr>
      </w:pPr>
    </w:p>
    <w:p w:rsidR="00CE6C8B" w:rsidRPr="00ED3F31" w:rsidRDefault="00CE6C8B" w:rsidP="00ED3F31">
      <w:pPr>
        <w:pStyle w:val="Sinespaciado1"/>
        <w:spacing w:line="360" w:lineRule="auto"/>
        <w:ind w:firstLine="2835"/>
        <w:jc w:val="both"/>
        <w:rPr>
          <w:rFonts w:ascii="Arial" w:hAnsi="Arial" w:cs="Arial"/>
          <w:sz w:val="26"/>
          <w:szCs w:val="26"/>
        </w:rPr>
      </w:pPr>
    </w:p>
    <w:p w:rsidR="00ED3F31" w:rsidRDefault="00ED3F31" w:rsidP="00ED3F31">
      <w:pPr>
        <w:pStyle w:val="Sinespaciado2"/>
        <w:spacing w:line="360" w:lineRule="auto"/>
        <w:ind w:firstLine="2835"/>
        <w:rPr>
          <w:rFonts w:ascii="Arial" w:hAnsi="Arial" w:cs="Arial"/>
          <w:b/>
          <w:bCs/>
          <w:sz w:val="28"/>
          <w:szCs w:val="28"/>
        </w:rPr>
      </w:pPr>
      <w:r w:rsidRPr="00ED3F31">
        <w:rPr>
          <w:rFonts w:ascii="Arial" w:hAnsi="Arial" w:cs="Arial"/>
          <w:b/>
          <w:bCs/>
          <w:sz w:val="28"/>
          <w:szCs w:val="28"/>
        </w:rPr>
        <w:t>IV. Decisión</w:t>
      </w:r>
    </w:p>
    <w:p w:rsidR="00261BE5" w:rsidRPr="00ED3F31" w:rsidRDefault="00261BE5" w:rsidP="00ED3F31">
      <w:pPr>
        <w:pStyle w:val="Sinespaciado2"/>
        <w:spacing w:line="360" w:lineRule="auto"/>
        <w:ind w:firstLine="2835"/>
        <w:rPr>
          <w:rFonts w:ascii="Arial" w:hAnsi="Arial" w:cs="Arial"/>
          <w:b/>
          <w:bCs/>
          <w:sz w:val="28"/>
          <w:szCs w:val="28"/>
        </w:rPr>
      </w:pPr>
    </w:p>
    <w:p w:rsidR="00ED3F31" w:rsidRPr="00ED3F31" w:rsidRDefault="00ED3F31" w:rsidP="00ED3F31">
      <w:pPr>
        <w:pStyle w:val="Sinespaciado2"/>
        <w:spacing w:line="360" w:lineRule="auto"/>
        <w:ind w:firstLine="2835"/>
        <w:jc w:val="both"/>
        <w:rPr>
          <w:rFonts w:ascii="Arial" w:hAnsi="Arial" w:cs="Arial"/>
          <w:sz w:val="28"/>
          <w:szCs w:val="28"/>
        </w:rPr>
      </w:pPr>
      <w:r w:rsidRPr="00ED3F31">
        <w:rPr>
          <w:rFonts w:ascii="Arial" w:hAnsi="Arial" w:cs="Arial"/>
          <w:sz w:val="28"/>
          <w:szCs w:val="28"/>
        </w:rPr>
        <w:t>En mérito de lo expuesto, la Sala de Decisión Civil Familia del Tribunal Superior de Pereira, administrando justicia en nombre de la República y por autoridad de la ley,</w:t>
      </w:r>
    </w:p>
    <w:p w:rsidR="00ED3F31" w:rsidRDefault="00ED3F31" w:rsidP="00ED3F31">
      <w:pPr>
        <w:pStyle w:val="Sinespaciado2"/>
        <w:spacing w:line="360" w:lineRule="auto"/>
        <w:ind w:firstLine="708"/>
        <w:jc w:val="both"/>
        <w:rPr>
          <w:rFonts w:ascii="Arial" w:hAnsi="Arial" w:cs="Arial"/>
          <w:sz w:val="26"/>
          <w:szCs w:val="26"/>
        </w:rPr>
      </w:pPr>
    </w:p>
    <w:p w:rsidR="00CE6C8B" w:rsidRDefault="00CE6C8B" w:rsidP="00ED3F31">
      <w:pPr>
        <w:pStyle w:val="Sinespaciado2"/>
        <w:spacing w:line="360" w:lineRule="auto"/>
        <w:ind w:firstLine="708"/>
        <w:jc w:val="both"/>
        <w:rPr>
          <w:rFonts w:ascii="Arial" w:hAnsi="Arial" w:cs="Arial"/>
          <w:sz w:val="26"/>
          <w:szCs w:val="26"/>
        </w:rPr>
      </w:pPr>
    </w:p>
    <w:p w:rsidR="00ED3F31" w:rsidRPr="00ED3F31" w:rsidRDefault="00ED3F31" w:rsidP="00ED3F31">
      <w:pPr>
        <w:pStyle w:val="Sinespaciado2"/>
        <w:spacing w:line="360" w:lineRule="auto"/>
        <w:ind w:firstLine="2835"/>
        <w:rPr>
          <w:rFonts w:ascii="Arial" w:hAnsi="Arial" w:cs="Arial"/>
          <w:b/>
          <w:spacing w:val="-3"/>
          <w:sz w:val="28"/>
          <w:szCs w:val="28"/>
        </w:rPr>
      </w:pPr>
      <w:r w:rsidRPr="00ED3F31">
        <w:rPr>
          <w:rFonts w:ascii="Arial" w:hAnsi="Arial" w:cs="Arial"/>
          <w:b/>
          <w:spacing w:val="-3"/>
          <w:sz w:val="28"/>
          <w:szCs w:val="28"/>
        </w:rPr>
        <w:lastRenderedPageBreak/>
        <w:t>RESUELVE:</w:t>
      </w:r>
    </w:p>
    <w:p w:rsidR="00ED3F31" w:rsidRPr="00CE6C8B" w:rsidRDefault="00ED3F31" w:rsidP="00ED3F31">
      <w:pPr>
        <w:pStyle w:val="Sinespaciado2"/>
        <w:spacing w:line="360" w:lineRule="auto"/>
        <w:jc w:val="both"/>
        <w:rPr>
          <w:rFonts w:ascii="Arial" w:hAnsi="Arial" w:cs="Arial"/>
          <w:spacing w:val="-3"/>
          <w:sz w:val="22"/>
          <w:szCs w:val="22"/>
        </w:rPr>
      </w:pPr>
    </w:p>
    <w:p w:rsidR="00ED3F31" w:rsidRPr="00ED3F31" w:rsidRDefault="00ED3F31" w:rsidP="00ED3F31">
      <w:pPr>
        <w:pStyle w:val="Sinespaciado1"/>
        <w:spacing w:line="360" w:lineRule="auto"/>
        <w:ind w:firstLine="2835"/>
        <w:jc w:val="both"/>
        <w:rPr>
          <w:rFonts w:ascii="Arial" w:hAnsi="Arial" w:cs="Arial"/>
          <w:sz w:val="28"/>
          <w:szCs w:val="28"/>
          <w:lang w:val="es-ES" w:eastAsia="es-ES"/>
        </w:rPr>
      </w:pPr>
      <w:r w:rsidRPr="00ED3F31">
        <w:rPr>
          <w:rFonts w:ascii="Arial" w:hAnsi="Arial" w:cs="Arial"/>
          <w:b/>
          <w:spacing w:val="-3"/>
          <w:sz w:val="28"/>
          <w:szCs w:val="28"/>
        </w:rPr>
        <w:t xml:space="preserve">Primero: </w:t>
      </w:r>
      <w:r w:rsidRPr="003F7FA2">
        <w:rPr>
          <w:rFonts w:ascii="Arial" w:hAnsi="Arial" w:cs="Arial"/>
          <w:b/>
          <w:spacing w:val="-3"/>
          <w:sz w:val="24"/>
          <w:szCs w:val="24"/>
        </w:rPr>
        <w:t>DECLARAR</w:t>
      </w:r>
      <w:r w:rsidRPr="00ED3F31">
        <w:rPr>
          <w:rFonts w:ascii="Arial" w:hAnsi="Arial" w:cs="Arial"/>
          <w:spacing w:val="-3"/>
          <w:sz w:val="28"/>
          <w:szCs w:val="28"/>
        </w:rPr>
        <w:t xml:space="preserve"> la carencia actual de objeto por hecho superado d</w:t>
      </w:r>
      <w:r w:rsidRPr="00ED3F31">
        <w:rPr>
          <w:rFonts w:ascii="Arial" w:hAnsi="Arial" w:cs="Arial"/>
          <w:bCs/>
          <w:spacing w:val="-3"/>
          <w:sz w:val="28"/>
          <w:szCs w:val="28"/>
          <w:lang w:val="es-ES"/>
        </w:rPr>
        <w:t>e</w:t>
      </w:r>
      <w:r w:rsidRPr="00ED3F31">
        <w:rPr>
          <w:rFonts w:ascii="Arial" w:hAnsi="Arial" w:cs="Arial"/>
          <w:spacing w:val="-3"/>
          <w:sz w:val="28"/>
          <w:szCs w:val="28"/>
          <w:lang w:val="es-ES"/>
        </w:rPr>
        <w:t xml:space="preserve">l amparo constitucional invocado </w:t>
      </w:r>
      <w:r w:rsidRPr="00ED3F31">
        <w:rPr>
          <w:rFonts w:ascii="Arial" w:hAnsi="Arial" w:cs="Arial"/>
          <w:sz w:val="28"/>
          <w:szCs w:val="28"/>
        </w:rPr>
        <w:t xml:space="preserve">por el señor </w:t>
      </w:r>
      <w:r w:rsidRPr="00ED3F31">
        <w:rPr>
          <w:rFonts w:ascii="Arial" w:hAnsi="Arial" w:cs="Arial"/>
          <w:sz w:val="28"/>
          <w:szCs w:val="28"/>
          <w:lang w:val="es-ES" w:eastAsia="es-ES"/>
        </w:rPr>
        <w:t>Javier Elías Arias Idárraga, contra el Juzgado Cuarto Civil del Circuito de Pereira</w:t>
      </w:r>
      <w:r w:rsidRPr="00ED3F31">
        <w:rPr>
          <w:rFonts w:ascii="Arial" w:hAnsi="Arial" w:cs="Arial"/>
          <w:sz w:val="28"/>
          <w:szCs w:val="28"/>
        </w:rPr>
        <w:t xml:space="preserve">, </w:t>
      </w:r>
      <w:r w:rsidR="008A0C86">
        <w:rPr>
          <w:rFonts w:ascii="Arial" w:hAnsi="Arial" w:cs="Arial"/>
          <w:spacing w:val="-3"/>
          <w:sz w:val="28"/>
          <w:szCs w:val="28"/>
          <w:lang w:val="es-ES"/>
        </w:rPr>
        <w:t xml:space="preserve">respecto de las acciones populares radicadas a los números: </w:t>
      </w:r>
      <w:r w:rsidR="008A0C86" w:rsidRPr="00ED3F31">
        <w:rPr>
          <w:rFonts w:ascii="Arial" w:hAnsi="Arial" w:cs="Arial"/>
          <w:sz w:val="24"/>
          <w:szCs w:val="24"/>
        </w:rPr>
        <w:t>“2015 – 1122, 1124, 1125, 1126, 1127,1128, 1129, 1130, 1132, 1133, 1134, 1135, 1136, y 1137</w:t>
      </w:r>
      <w:r w:rsidR="008A0C86">
        <w:rPr>
          <w:rFonts w:ascii="Arial" w:hAnsi="Arial" w:cs="Arial"/>
          <w:sz w:val="28"/>
          <w:szCs w:val="28"/>
        </w:rPr>
        <w:t>”</w:t>
      </w:r>
      <w:r w:rsidR="008A0C86" w:rsidRPr="00ED3F31">
        <w:rPr>
          <w:rFonts w:ascii="Arial" w:hAnsi="Arial" w:cs="Arial"/>
          <w:spacing w:val="-3"/>
          <w:sz w:val="28"/>
          <w:szCs w:val="28"/>
          <w:lang w:val="es-ES"/>
        </w:rPr>
        <w:t xml:space="preserve"> </w:t>
      </w:r>
      <w:r w:rsidRPr="00ED3F31">
        <w:rPr>
          <w:rFonts w:ascii="Arial" w:hAnsi="Arial" w:cs="Arial"/>
          <w:sz w:val="28"/>
          <w:szCs w:val="28"/>
        </w:rPr>
        <w:t>por las razones expuestas en esta providencia.</w:t>
      </w:r>
    </w:p>
    <w:p w:rsidR="00ED3F31" w:rsidRPr="00CE6C8B" w:rsidRDefault="00ED3F31" w:rsidP="00ED3F31">
      <w:pPr>
        <w:tabs>
          <w:tab w:val="left" w:pos="-720"/>
        </w:tabs>
        <w:suppressAutoHyphens/>
        <w:spacing w:line="360" w:lineRule="auto"/>
        <w:ind w:firstLine="2835"/>
        <w:jc w:val="both"/>
        <w:rPr>
          <w:rFonts w:ascii="Arial" w:hAnsi="Arial" w:cs="Arial"/>
          <w:b/>
          <w:spacing w:val="-3"/>
          <w:sz w:val="22"/>
          <w:szCs w:val="22"/>
        </w:rPr>
      </w:pPr>
    </w:p>
    <w:p w:rsidR="008A0C86" w:rsidRPr="008A0C86" w:rsidRDefault="00ED3F31" w:rsidP="00ED3F31">
      <w:pPr>
        <w:tabs>
          <w:tab w:val="left" w:pos="-720"/>
        </w:tabs>
        <w:suppressAutoHyphens/>
        <w:spacing w:line="360" w:lineRule="auto"/>
        <w:ind w:firstLine="2835"/>
        <w:jc w:val="both"/>
        <w:rPr>
          <w:rFonts w:ascii="Arial" w:hAnsi="Arial" w:cs="Arial"/>
          <w:spacing w:val="-3"/>
          <w:sz w:val="28"/>
          <w:szCs w:val="28"/>
        </w:rPr>
      </w:pPr>
      <w:r w:rsidRPr="00ED3F31">
        <w:rPr>
          <w:rFonts w:ascii="Arial" w:hAnsi="Arial" w:cs="Arial"/>
          <w:b/>
          <w:spacing w:val="-3"/>
          <w:sz w:val="28"/>
          <w:szCs w:val="28"/>
        </w:rPr>
        <w:t>Segundo:</w:t>
      </w:r>
      <w:r w:rsidRPr="00ED3F31">
        <w:rPr>
          <w:rFonts w:ascii="Arial" w:hAnsi="Arial" w:cs="Arial"/>
          <w:spacing w:val="-3"/>
          <w:sz w:val="28"/>
          <w:szCs w:val="28"/>
        </w:rPr>
        <w:t xml:space="preserve"> </w:t>
      </w:r>
      <w:r w:rsidR="008A0C86" w:rsidRPr="008A0C86">
        <w:rPr>
          <w:rFonts w:ascii="Arial" w:hAnsi="Arial" w:cs="Arial"/>
          <w:b/>
          <w:spacing w:val="-3"/>
          <w:sz w:val="24"/>
          <w:szCs w:val="24"/>
        </w:rPr>
        <w:t>DECLARAR</w:t>
      </w:r>
      <w:r w:rsidR="008A0C86">
        <w:rPr>
          <w:rFonts w:ascii="Arial" w:hAnsi="Arial" w:cs="Arial"/>
          <w:b/>
          <w:spacing w:val="-3"/>
          <w:sz w:val="28"/>
          <w:szCs w:val="28"/>
        </w:rPr>
        <w:t xml:space="preserve"> </w:t>
      </w:r>
      <w:r w:rsidR="008A0C86">
        <w:rPr>
          <w:rFonts w:ascii="Arial" w:hAnsi="Arial" w:cs="Arial"/>
          <w:spacing w:val="-3"/>
          <w:sz w:val="28"/>
          <w:szCs w:val="28"/>
        </w:rPr>
        <w:t>improcedente lo</w:t>
      </w:r>
      <w:r w:rsidR="008A0C86">
        <w:rPr>
          <w:rFonts w:ascii="Arial" w:hAnsi="Arial" w:cs="Arial"/>
          <w:spacing w:val="-3"/>
          <w:sz w:val="28"/>
          <w:szCs w:val="28"/>
        </w:rPr>
        <w:t xml:space="preserve"> referente a</w:t>
      </w:r>
      <w:r w:rsidR="00CE6C8B">
        <w:rPr>
          <w:rFonts w:ascii="Arial" w:hAnsi="Arial" w:cs="Arial"/>
          <w:spacing w:val="-3"/>
          <w:sz w:val="28"/>
          <w:szCs w:val="28"/>
        </w:rPr>
        <w:t>l</w:t>
      </w:r>
      <w:r w:rsidR="008A0C86">
        <w:rPr>
          <w:rFonts w:ascii="Arial" w:hAnsi="Arial" w:cs="Arial"/>
          <w:spacing w:val="-3"/>
          <w:sz w:val="28"/>
          <w:szCs w:val="28"/>
        </w:rPr>
        <w:t xml:space="preserve"> </w:t>
      </w:r>
      <w:r w:rsidR="00CE6C8B">
        <w:rPr>
          <w:rFonts w:ascii="Arial" w:hAnsi="Arial" w:cs="Arial"/>
          <w:spacing w:val="-3"/>
          <w:sz w:val="28"/>
          <w:szCs w:val="28"/>
        </w:rPr>
        <w:t>radicado Nº</w:t>
      </w:r>
      <w:r w:rsidR="008A0C86">
        <w:rPr>
          <w:rFonts w:ascii="Arial" w:hAnsi="Arial" w:cs="Arial"/>
          <w:spacing w:val="-3"/>
          <w:sz w:val="28"/>
          <w:szCs w:val="28"/>
        </w:rPr>
        <w:t xml:space="preserve"> “</w:t>
      </w:r>
      <w:r w:rsidR="008A0C86" w:rsidRPr="008A0C86">
        <w:rPr>
          <w:rFonts w:ascii="Arial" w:hAnsi="Arial" w:cs="Arial"/>
          <w:spacing w:val="-3"/>
          <w:sz w:val="24"/>
          <w:szCs w:val="24"/>
        </w:rPr>
        <w:t>2015 – 1143</w:t>
      </w:r>
      <w:r w:rsidR="008A0C86">
        <w:rPr>
          <w:rFonts w:ascii="Arial" w:hAnsi="Arial" w:cs="Arial"/>
          <w:spacing w:val="-3"/>
          <w:sz w:val="24"/>
          <w:szCs w:val="24"/>
        </w:rPr>
        <w:t>”</w:t>
      </w:r>
      <w:r w:rsidR="008A0C86">
        <w:rPr>
          <w:rFonts w:ascii="Arial" w:hAnsi="Arial" w:cs="Arial"/>
          <w:spacing w:val="-3"/>
          <w:sz w:val="24"/>
          <w:szCs w:val="24"/>
        </w:rPr>
        <w:t xml:space="preserve">, </w:t>
      </w:r>
      <w:r w:rsidR="008A0C86" w:rsidRPr="008A0C86">
        <w:rPr>
          <w:rFonts w:ascii="Arial" w:hAnsi="Arial" w:cs="Arial"/>
          <w:spacing w:val="-3"/>
          <w:sz w:val="28"/>
          <w:szCs w:val="28"/>
        </w:rPr>
        <w:t>por lo indicado en la parte motiva.</w:t>
      </w:r>
    </w:p>
    <w:p w:rsidR="008A0C86" w:rsidRPr="00CE6C8B" w:rsidRDefault="008A0C86" w:rsidP="00ED3F31">
      <w:pPr>
        <w:tabs>
          <w:tab w:val="left" w:pos="-720"/>
        </w:tabs>
        <w:suppressAutoHyphens/>
        <w:spacing w:line="360" w:lineRule="auto"/>
        <w:ind w:firstLine="2835"/>
        <w:jc w:val="both"/>
        <w:rPr>
          <w:rFonts w:ascii="Arial" w:hAnsi="Arial" w:cs="Arial"/>
          <w:b/>
          <w:spacing w:val="-3"/>
          <w:sz w:val="22"/>
          <w:szCs w:val="22"/>
        </w:rPr>
      </w:pPr>
    </w:p>
    <w:p w:rsidR="00ED3F31" w:rsidRPr="00ED3F31" w:rsidRDefault="003F7FA2" w:rsidP="00ED3F31">
      <w:pPr>
        <w:tabs>
          <w:tab w:val="left" w:pos="-720"/>
        </w:tabs>
        <w:suppressAutoHyphens/>
        <w:spacing w:line="360" w:lineRule="auto"/>
        <w:ind w:firstLine="2835"/>
        <w:jc w:val="both"/>
        <w:rPr>
          <w:rFonts w:ascii="Arial" w:hAnsi="Arial" w:cs="Arial"/>
          <w:spacing w:val="-3"/>
          <w:sz w:val="28"/>
          <w:szCs w:val="28"/>
        </w:rPr>
      </w:pPr>
      <w:r w:rsidRPr="00ED3F31">
        <w:rPr>
          <w:rFonts w:ascii="Arial" w:hAnsi="Arial" w:cs="Arial"/>
          <w:b/>
          <w:spacing w:val="-3"/>
          <w:sz w:val="28"/>
          <w:szCs w:val="28"/>
        </w:rPr>
        <w:t>Tercero:</w:t>
      </w:r>
      <w:r>
        <w:rPr>
          <w:rFonts w:ascii="Arial" w:hAnsi="Arial" w:cs="Arial"/>
          <w:b/>
          <w:spacing w:val="-3"/>
          <w:sz w:val="28"/>
          <w:szCs w:val="28"/>
        </w:rPr>
        <w:t xml:space="preserve"> </w:t>
      </w:r>
      <w:r w:rsidR="00ED3F31" w:rsidRPr="00ED3F31">
        <w:rPr>
          <w:rFonts w:ascii="Arial" w:hAnsi="Arial" w:cs="Arial"/>
          <w:b/>
          <w:spacing w:val="-3"/>
          <w:sz w:val="24"/>
          <w:szCs w:val="24"/>
        </w:rPr>
        <w:t xml:space="preserve">ORDENAR </w:t>
      </w:r>
      <w:r w:rsidR="00ED3F31" w:rsidRPr="00ED3F31">
        <w:rPr>
          <w:rFonts w:ascii="Arial" w:hAnsi="Arial" w:cs="Arial"/>
          <w:spacing w:val="-3"/>
          <w:sz w:val="28"/>
          <w:szCs w:val="28"/>
        </w:rPr>
        <w:t>que por secretaría se escane</w:t>
      </w:r>
      <w:r w:rsidR="00261BE5">
        <w:rPr>
          <w:rFonts w:ascii="Arial" w:hAnsi="Arial" w:cs="Arial"/>
          <w:spacing w:val="-3"/>
          <w:sz w:val="28"/>
          <w:szCs w:val="28"/>
        </w:rPr>
        <w:t xml:space="preserve">e copia de la tutela y el fallo y enviarlo </w:t>
      </w:r>
      <w:r w:rsidR="00ED3F31" w:rsidRPr="00ED3F31">
        <w:rPr>
          <w:rFonts w:ascii="Arial" w:hAnsi="Arial" w:cs="Arial"/>
          <w:spacing w:val="-3"/>
          <w:sz w:val="28"/>
          <w:szCs w:val="28"/>
        </w:rPr>
        <w:t>al correo electrónico suministrado por el actor.</w:t>
      </w:r>
    </w:p>
    <w:p w:rsidR="00ED3F31" w:rsidRPr="00CE6C8B" w:rsidRDefault="00ED3F31" w:rsidP="00ED3F31">
      <w:pPr>
        <w:tabs>
          <w:tab w:val="left" w:pos="-720"/>
        </w:tabs>
        <w:suppressAutoHyphens/>
        <w:spacing w:line="360" w:lineRule="auto"/>
        <w:ind w:firstLine="2835"/>
        <w:jc w:val="both"/>
        <w:rPr>
          <w:rFonts w:ascii="Arial" w:hAnsi="Arial" w:cs="Arial"/>
          <w:spacing w:val="-3"/>
          <w:sz w:val="22"/>
          <w:szCs w:val="22"/>
        </w:rPr>
      </w:pPr>
    </w:p>
    <w:p w:rsidR="00ED3F31" w:rsidRPr="00ED3F31" w:rsidRDefault="003F7FA2" w:rsidP="00ED3F31">
      <w:pPr>
        <w:tabs>
          <w:tab w:val="left" w:pos="-720"/>
        </w:tabs>
        <w:suppressAutoHyphens/>
        <w:spacing w:line="360" w:lineRule="auto"/>
        <w:ind w:firstLine="2835"/>
        <w:jc w:val="both"/>
        <w:rPr>
          <w:rFonts w:ascii="Arial" w:hAnsi="Arial" w:cs="Arial"/>
          <w:b/>
          <w:spacing w:val="-3"/>
          <w:sz w:val="28"/>
          <w:szCs w:val="28"/>
        </w:rPr>
      </w:pPr>
      <w:r w:rsidRPr="00ED3F31">
        <w:rPr>
          <w:rFonts w:ascii="Arial" w:hAnsi="Arial" w:cs="Arial"/>
          <w:b/>
          <w:spacing w:val="-3"/>
          <w:sz w:val="28"/>
          <w:szCs w:val="28"/>
        </w:rPr>
        <w:t>Cuarto</w:t>
      </w:r>
      <w:r>
        <w:rPr>
          <w:rFonts w:ascii="Arial" w:hAnsi="Arial" w:cs="Arial"/>
          <w:b/>
          <w:spacing w:val="-3"/>
          <w:sz w:val="28"/>
          <w:szCs w:val="28"/>
        </w:rPr>
        <w:t>:</w:t>
      </w:r>
      <w:r w:rsidRPr="00ED3F31">
        <w:rPr>
          <w:rFonts w:ascii="Arial" w:hAnsi="Arial" w:cs="Arial"/>
          <w:spacing w:val="-3"/>
          <w:sz w:val="28"/>
          <w:szCs w:val="28"/>
        </w:rPr>
        <w:t xml:space="preserve"> </w:t>
      </w:r>
      <w:r w:rsidR="00ED3F31" w:rsidRPr="00ED3F31">
        <w:rPr>
          <w:rFonts w:ascii="Arial" w:hAnsi="Arial" w:cs="Arial"/>
          <w:spacing w:val="-3"/>
          <w:sz w:val="28"/>
          <w:szCs w:val="28"/>
        </w:rPr>
        <w:t>Notifíquese esta decisión a las partes por el medio más expedito posible (Art. 5o. del Decreto 306 de 1992).</w:t>
      </w:r>
    </w:p>
    <w:p w:rsidR="00ED3F31" w:rsidRPr="00CE6C8B" w:rsidRDefault="00ED3F31" w:rsidP="00ED3F31">
      <w:pPr>
        <w:tabs>
          <w:tab w:val="left" w:pos="-720"/>
        </w:tabs>
        <w:suppressAutoHyphens/>
        <w:spacing w:line="360" w:lineRule="auto"/>
        <w:jc w:val="both"/>
        <w:rPr>
          <w:rFonts w:ascii="Arial" w:hAnsi="Arial" w:cs="Arial"/>
          <w:b/>
          <w:spacing w:val="-3"/>
          <w:sz w:val="22"/>
          <w:szCs w:val="22"/>
        </w:rPr>
      </w:pPr>
    </w:p>
    <w:p w:rsidR="00ED3F31" w:rsidRPr="00ED3F31" w:rsidRDefault="003F7FA2" w:rsidP="00ED3F31">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Quinto</w:t>
      </w:r>
      <w:r w:rsidR="00ED3F31" w:rsidRPr="00ED3F31">
        <w:rPr>
          <w:rFonts w:ascii="Arial" w:hAnsi="Arial" w:cs="Arial"/>
          <w:b/>
          <w:spacing w:val="-3"/>
          <w:sz w:val="28"/>
          <w:szCs w:val="28"/>
        </w:rPr>
        <w:t>:</w:t>
      </w:r>
      <w:r w:rsidR="00ED3F31" w:rsidRPr="00ED3F31">
        <w:rPr>
          <w:rFonts w:ascii="Arial" w:hAnsi="Arial" w:cs="Arial"/>
          <w:spacing w:val="-3"/>
          <w:sz w:val="28"/>
          <w:szCs w:val="28"/>
        </w:rPr>
        <w:t xml:space="preserve"> Si no fuere impugnada esta decisión, remítase el expediente a la Honorable Corte Constitucional para su eventual revisión.</w:t>
      </w:r>
    </w:p>
    <w:p w:rsidR="00ED3F31" w:rsidRPr="00CE6C8B" w:rsidRDefault="00ED3F31" w:rsidP="00ED3F31">
      <w:pPr>
        <w:pStyle w:val="Sinespaciado2"/>
        <w:spacing w:line="360" w:lineRule="auto"/>
        <w:jc w:val="both"/>
        <w:rPr>
          <w:rFonts w:ascii="Arial" w:hAnsi="Arial" w:cs="Arial"/>
          <w:spacing w:val="-3"/>
          <w:sz w:val="22"/>
          <w:szCs w:val="22"/>
          <w:lang w:val="es-CO"/>
        </w:rPr>
      </w:pPr>
    </w:p>
    <w:p w:rsidR="00ED3F31" w:rsidRPr="00ED3F31" w:rsidRDefault="00ED3F31" w:rsidP="004178DB">
      <w:pPr>
        <w:pStyle w:val="Sinespaciado2"/>
        <w:spacing w:line="360" w:lineRule="auto"/>
        <w:jc w:val="both"/>
        <w:rPr>
          <w:rFonts w:ascii="Arial" w:hAnsi="Arial" w:cs="Arial"/>
          <w:spacing w:val="-3"/>
          <w:sz w:val="28"/>
          <w:szCs w:val="28"/>
        </w:rPr>
      </w:pPr>
      <w:r w:rsidRPr="00ED3F31">
        <w:rPr>
          <w:rFonts w:ascii="Arial" w:hAnsi="Arial" w:cs="Arial"/>
          <w:spacing w:val="-3"/>
          <w:sz w:val="28"/>
          <w:szCs w:val="28"/>
        </w:rPr>
        <w:t>Cópiese y notifíquese</w:t>
      </w:r>
    </w:p>
    <w:p w:rsidR="00ED3F31" w:rsidRPr="00ED3F31" w:rsidRDefault="00ED3F31" w:rsidP="00ED3F31">
      <w:pPr>
        <w:pStyle w:val="Sinespaciado2"/>
        <w:spacing w:line="360" w:lineRule="auto"/>
        <w:ind w:firstLine="708"/>
        <w:jc w:val="both"/>
        <w:rPr>
          <w:rFonts w:ascii="Arial" w:hAnsi="Arial" w:cs="Arial"/>
          <w:spacing w:val="-3"/>
          <w:sz w:val="28"/>
          <w:szCs w:val="28"/>
        </w:rPr>
      </w:pPr>
    </w:p>
    <w:p w:rsidR="00ED3F31" w:rsidRPr="00ED3F31" w:rsidRDefault="00ED3F31" w:rsidP="004178DB">
      <w:pPr>
        <w:pStyle w:val="Sinespaciado2"/>
        <w:spacing w:line="360" w:lineRule="auto"/>
        <w:jc w:val="both"/>
        <w:rPr>
          <w:rFonts w:ascii="Arial" w:hAnsi="Arial" w:cs="Arial"/>
          <w:spacing w:val="-3"/>
          <w:sz w:val="28"/>
          <w:szCs w:val="28"/>
        </w:rPr>
      </w:pPr>
      <w:bookmarkStart w:id="2" w:name="_GoBack"/>
      <w:bookmarkEnd w:id="2"/>
      <w:r w:rsidRPr="00ED3F31">
        <w:rPr>
          <w:rFonts w:ascii="Arial" w:hAnsi="Arial" w:cs="Arial"/>
          <w:spacing w:val="-3"/>
          <w:sz w:val="28"/>
          <w:szCs w:val="28"/>
        </w:rPr>
        <w:t>Los Magistrados,</w:t>
      </w:r>
    </w:p>
    <w:p w:rsidR="00CE6C8B" w:rsidRDefault="00CE6C8B" w:rsidP="00ED3F31">
      <w:pPr>
        <w:pStyle w:val="Sinespaciado2"/>
        <w:spacing w:line="360" w:lineRule="auto"/>
        <w:ind w:firstLine="708"/>
        <w:jc w:val="both"/>
        <w:rPr>
          <w:rFonts w:ascii="Arial" w:hAnsi="Arial" w:cs="Arial"/>
          <w:spacing w:val="-3"/>
          <w:sz w:val="28"/>
          <w:szCs w:val="28"/>
        </w:rPr>
      </w:pPr>
    </w:p>
    <w:p w:rsidR="00ED3F31" w:rsidRPr="00ED3F31" w:rsidRDefault="00ED3F31" w:rsidP="00ED3F31">
      <w:pPr>
        <w:pStyle w:val="Sinespaciado2"/>
        <w:spacing w:line="360" w:lineRule="auto"/>
        <w:ind w:firstLine="2835"/>
        <w:rPr>
          <w:rFonts w:ascii="Arial" w:hAnsi="Arial" w:cs="Arial"/>
          <w:b/>
          <w:spacing w:val="-3"/>
          <w:sz w:val="22"/>
          <w:szCs w:val="22"/>
        </w:rPr>
      </w:pPr>
      <w:r w:rsidRPr="00ED3F31">
        <w:rPr>
          <w:rFonts w:ascii="Arial" w:hAnsi="Arial" w:cs="Arial"/>
          <w:b/>
          <w:spacing w:val="-3"/>
          <w:sz w:val="22"/>
          <w:szCs w:val="22"/>
        </w:rPr>
        <w:t>EDDER JIMMY SÁNCHEZ CALAMBÁS</w:t>
      </w:r>
    </w:p>
    <w:p w:rsidR="00ED3F31" w:rsidRDefault="00ED3F31" w:rsidP="00ED3F31">
      <w:pPr>
        <w:pStyle w:val="Sinespaciado2"/>
        <w:spacing w:line="360" w:lineRule="auto"/>
        <w:ind w:firstLine="708"/>
        <w:jc w:val="center"/>
        <w:rPr>
          <w:rFonts w:ascii="Arial" w:hAnsi="Arial" w:cs="Arial"/>
          <w:b/>
          <w:spacing w:val="-3"/>
          <w:sz w:val="22"/>
          <w:szCs w:val="22"/>
        </w:rPr>
      </w:pPr>
    </w:p>
    <w:p w:rsidR="00261BE5" w:rsidRDefault="00261BE5" w:rsidP="00ED3F31">
      <w:pPr>
        <w:pStyle w:val="Sinespaciado2"/>
        <w:spacing w:line="360" w:lineRule="auto"/>
        <w:ind w:firstLine="708"/>
        <w:jc w:val="center"/>
        <w:rPr>
          <w:rFonts w:ascii="Arial" w:hAnsi="Arial" w:cs="Arial"/>
          <w:b/>
          <w:spacing w:val="-3"/>
          <w:sz w:val="22"/>
          <w:szCs w:val="22"/>
        </w:rPr>
      </w:pPr>
    </w:p>
    <w:p w:rsidR="00CE6C8B" w:rsidRPr="00ED3F31" w:rsidRDefault="00CE6C8B" w:rsidP="00ED3F31">
      <w:pPr>
        <w:pStyle w:val="Sinespaciado2"/>
        <w:spacing w:line="360" w:lineRule="auto"/>
        <w:ind w:firstLine="708"/>
        <w:jc w:val="center"/>
        <w:rPr>
          <w:rFonts w:ascii="Arial" w:hAnsi="Arial" w:cs="Arial"/>
          <w:b/>
          <w:spacing w:val="-3"/>
          <w:sz w:val="22"/>
          <w:szCs w:val="22"/>
        </w:rPr>
      </w:pPr>
    </w:p>
    <w:p w:rsidR="006A0C43" w:rsidRPr="00ED3F31" w:rsidRDefault="00ED3F31" w:rsidP="00ED3F31">
      <w:pPr>
        <w:pStyle w:val="Sinespaciado2"/>
        <w:tabs>
          <w:tab w:val="left" w:pos="4695"/>
        </w:tabs>
        <w:spacing w:line="360" w:lineRule="auto"/>
        <w:rPr>
          <w:rFonts w:ascii="Arial" w:hAnsi="Arial" w:cs="Arial"/>
          <w:b/>
          <w:sz w:val="22"/>
          <w:szCs w:val="22"/>
        </w:rPr>
      </w:pPr>
      <w:r w:rsidRPr="00ED3F31">
        <w:rPr>
          <w:rFonts w:ascii="Arial" w:hAnsi="Arial" w:cs="Arial"/>
          <w:b/>
          <w:spacing w:val="-3"/>
          <w:sz w:val="22"/>
          <w:szCs w:val="22"/>
        </w:rPr>
        <w:t xml:space="preserve">JAIME ALBERTO SARAZA NARANJO  </w:t>
      </w:r>
      <w:r w:rsidRPr="00ED3F31">
        <w:rPr>
          <w:rFonts w:ascii="Arial" w:hAnsi="Arial" w:cs="Arial"/>
          <w:b/>
          <w:spacing w:val="-3"/>
          <w:sz w:val="22"/>
          <w:szCs w:val="22"/>
        </w:rPr>
        <w:tab/>
      </w:r>
      <w:r w:rsidRPr="00ED3F31">
        <w:rPr>
          <w:rFonts w:ascii="Arial" w:hAnsi="Arial" w:cs="Arial"/>
          <w:b/>
          <w:sz w:val="22"/>
          <w:szCs w:val="22"/>
        </w:rPr>
        <w:t>CLAUDIA MARÍA ARCILA RÍOS</w:t>
      </w:r>
    </w:p>
    <w:sectPr w:rsidR="006A0C43" w:rsidRPr="00ED3F31" w:rsidSect="00ED3F31">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17" w:rsidRDefault="00656F17" w:rsidP="00D9667D">
      <w:r>
        <w:separator/>
      </w:r>
    </w:p>
  </w:endnote>
  <w:endnote w:type="continuationSeparator" w:id="0">
    <w:p w:rsidR="00656F17" w:rsidRDefault="00656F17"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178DB">
      <w:rPr>
        <w:rFonts w:ascii="Arial" w:hAnsi="Arial" w:cs="Arial"/>
        <w:noProof/>
        <w:sz w:val="22"/>
        <w:szCs w:val="22"/>
      </w:rPr>
      <w:t>7</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17" w:rsidRDefault="00656F17" w:rsidP="00D9667D">
      <w:r>
        <w:separator/>
      </w:r>
    </w:p>
  </w:footnote>
  <w:footnote w:type="continuationSeparator" w:id="0">
    <w:p w:rsidR="00656F17" w:rsidRDefault="00656F17" w:rsidP="00D9667D">
      <w:r>
        <w:continuationSeparator/>
      </w:r>
    </w:p>
  </w:footnote>
  <w:footnote w:id="1">
    <w:p w:rsidR="00ED3F31" w:rsidRPr="00880910" w:rsidRDefault="00ED3F31" w:rsidP="00ED3F31">
      <w:pPr>
        <w:pStyle w:val="Textonotapie"/>
        <w:rPr>
          <w:rFonts w:ascii="Arial" w:hAnsi="Arial" w:cs="Arial"/>
          <w:lang w:val="es-CO"/>
        </w:rPr>
      </w:pPr>
      <w:r w:rsidRPr="00880910">
        <w:rPr>
          <w:rStyle w:val="Refdenotaalpie"/>
          <w:rFonts w:ascii="Arial" w:hAnsi="Arial" w:cs="Arial"/>
        </w:rPr>
        <w:footnoteRef/>
      </w:r>
      <w:r w:rsidRPr="00880910">
        <w:rPr>
          <w:rFonts w:ascii="Arial" w:hAnsi="Arial" w:cs="Arial"/>
        </w:rPr>
        <w:t xml:space="preserve"> Corte Suprema de Justicia. Sala de</w:t>
      </w:r>
      <w:r w:rsidR="00B26649">
        <w:rPr>
          <w:rFonts w:ascii="Arial" w:hAnsi="Arial" w:cs="Arial"/>
        </w:rPr>
        <w:t xml:space="preserve"> Casación Civil. Sentencia del </w:t>
      </w:r>
      <w:r w:rsidRPr="00880910">
        <w:rPr>
          <w:rFonts w:ascii="Arial" w:hAnsi="Arial" w:cs="Arial"/>
        </w:rPr>
        <w:t xml:space="preserve">9 de </w:t>
      </w:r>
      <w:r w:rsidR="00CE6C8B">
        <w:rPr>
          <w:rFonts w:ascii="Arial" w:hAnsi="Arial" w:cs="Arial"/>
        </w:rPr>
        <w:t>diciembr</w:t>
      </w:r>
      <w:r w:rsidR="00B26649">
        <w:rPr>
          <w:rFonts w:ascii="Arial" w:hAnsi="Arial" w:cs="Arial"/>
        </w:rPr>
        <w:t>e de 2013</w:t>
      </w:r>
      <w:r w:rsidRPr="00880910">
        <w:rPr>
          <w:rFonts w:ascii="Arial" w:hAnsi="Arial" w:cs="Arial"/>
        </w:rPr>
        <w:t xml:space="preserve">. </w:t>
      </w:r>
      <w:proofErr w:type="spellStart"/>
      <w:r w:rsidRPr="00880910">
        <w:rPr>
          <w:rFonts w:ascii="Arial" w:hAnsi="Arial" w:cs="Arial"/>
        </w:rPr>
        <w:t>Exp</w:t>
      </w:r>
      <w:proofErr w:type="spellEnd"/>
      <w:r w:rsidRPr="00880910">
        <w:rPr>
          <w:rFonts w:ascii="Arial" w:hAnsi="Arial" w:cs="Arial"/>
        </w:rPr>
        <w:t>: 11001</w:t>
      </w:r>
      <w:r w:rsidR="00B26649">
        <w:rPr>
          <w:rFonts w:ascii="Arial" w:hAnsi="Arial" w:cs="Arial"/>
        </w:rPr>
        <w:t>-</w:t>
      </w:r>
      <w:r w:rsidRPr="00880910">
        <w:rPr>
          <w:rFonts w:ascii="Arial" w:hAnsi="Arial" w:cs="Arial"/>
        </w:rPr>
        <w:t>22</w:t>
      </w:r>
      <w:r w:rsidR="00B26649">
        <w:rPr>
          <w:rFonts w:ascii="Arial" w:hAnsi="Arial" w:cs="Arial"/>
        </w:rPr>
        <w:t>-03-000-2013-01925-01</w:t>
      </w:r>
      <w:r w:rsidRPr="00880910">
        <w:rPr>
          <w:rFonts w:ascii="Arial" w:hAnsi="Arial" w:cs="Arial"/>
        </w:rPr>
        <w:t>.</w:t>
      </w:r>
      <w:r w:rsidR="00B26649">
        <w:rPr>
          <w:rFonts w:ascii="Arial" w:hAnsi="Arial" w:cs="Arial"/>
        </w:rPr>
        <w:t xml:space="preserve"> M. P. Luis Armando Tolosa </w:t>
      </w:r>
      <w:proofErr w:type="spellStart"/>
      <w:r w:rsidR="00B26649">
        <w:rPr>
          <w:rFonts w:ascii="Arial" w:hAnsi="Arial" w:cs="Arial"/>
        </w:rPr>
        <w:t>Villabona</w:t>
      </w:r>
      <w:proofErr w:type="spellEnd"/>
      <w:r w:rsidR="00B26649">
        <w:rPr>
          <w:rFonts w:ascii="Arial" w:hAnsi="Arial" w:cs="Arial"/>
        </w:rPr>
        <w:t>.</w:t>
      </w:r>
    </w:p>
  </w:footnote>
  <w:footnote w:id="2">
    <w:p w:rsidR="00ED3F31" w:rsidRPr="00114577" w:rsidRDefault="00ED3F31" w:rsidP="00ED3F31">
      <w:pPr>
        <w:pStyle w:val="Textonotapie"/>
        <w:rPr>
          <w:rFonts w:ascii="Arial" w:hAnsi="Arial" w:cs="Arial"/>
          <w:lang w:val="es-CO"/>
        </w:rPr>
      </w:pPr>
      <w:r w:rsidRPr="00114577">
        <w:rPr>
          <w:rStyle w:val="Refdenotaalpie"/>
          <w:rFonts w:ascii="Arial" w:hAnsi="Arial" w:cs="Arial"/>
        </w:rPr>
        <w:footnoteRef/>
      </w:r>
      <w:r w:rsidRPr="00114577">
        <w:rPr>
          <w:rFonts w:ascii="Arial" w:hAnsi="Arial" w:cs="Arial"/>
        </w:rPr>
        <w:t xml:space="preserve"> </w:t>
      </w:r>
      <w:r w:rsidRPr="00114577">
        <w:rPr>
          <w:rFonts w:ascii="Arial" w:hAnsi="Arial" w:cs="Arial"/>
          <w:lang w:val="es-CO"/>
        </w:rPr>
        <w:t>Sentencia T-230 de 2013, M.P. Luís Guillermo Guerrero Pérez.</w:t>
      </w:r>
    </w:p>
  </w:footnote>
  <w:footnote w:id="3">
    <w:p w:rsidR="00ED3F31" w:rsidRPr="00384DDE" w:rsidRDefault="00ED3F31" w:rsidP="00ED3F31">
      <w:pPr>
        <w:pStyle w:val="Textonotapie"/>
        <w:rPr>
          <w:rFonts w:ascii="Arial" w:hAnsi="Arial" w:cs="Arial"/>
          <w:lang w:val="es-CO"/>
        </w:rPr>
      </w:pPr>
      <w:r w:rsidRPr="00384DDE">
        <w:rPr>
          <w:rStyle w:val="Refdenotaalpie"/>
          <w:rFonts w:ascii="Arial" w:hAnsi="Arial" w:cs="Arial"/>
        </w:rPr>
        <w:footnoteRef/>
      </w:r>
      <w:r w:rsidRPr="00384DDE">
        <w:rPr>
          <w:rFonts w:ascii="Arial" w:hAnsi="Arial" w:cs="Arial"/>
        </w:rPr>
        <w:t xml:space="preserve"> </w:t>
      </w:r>
      <w:r w:rsidRPr="00384DDE">
        <w:rPr>
          <w:rFonts w:ascii="Arial" w:hAnsi="Arial" w:cs="Arial"/>
          <w:lang w:val="es-CO"/>
        </w:rPr>
        <w:t>Consejo de Estado – Sala de lo Contencioso Administrativo Se</w:t>
      </w:r>
      <w:r w:rsidR="008A0C86">
        <w:rPr>
          <w:rFonts w:ascii="Arial" w:hAnsi="Arial" w:cs="Arial"/>
          <w:lang w:val="es-CO"/>
        </w:rPr>
        <w:t>cción Cuarta, Sentencia del 23 de enero de 2014. Radicado Nº 11001-03-15-000-2013-02547-00 C. P. Martha Teresa Briceño de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903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66001-22-13-000-2015-00</w:t>
    </w:r>
    <w:r w:rsidR="00E46AFB">
      <w:rPr>
        <w:rFonts w:ascii="Arial" w:hAnsi="Arial" w:cs="Arial"/>
        <w:sz w:val="16"/>
        <w:szCs w:val="16"/>
      </w:rPr>
      <w:t>900</w:t>
    </w:r>
    <w:r>
      <w:rPr>
        <w:rFonts w:ascii="Arial" w:hAnsi="Arial" w:cs="Arial"/>
        <w:sz w:val="16"/>
        <w:szCs w:val="16"/>
      </w:rPr>
      <w:t>-00</w:t>
    </w:r>
  </w:p>
  <w:p w:rsidR="004903EA" w:rsidRDefault="004903EA">
    <w:pPr>
      <w:pStyle w:val="Encabezado"/>
      <w:rPr>
        <w:rFonts w:ascii="Arial" w:hAnsi="Arial" w:cs="Arial"/>
        <w:sz w:val="16"/>
        <w:szCs w:val="16"/>
      </w:rPr>
    </w:pP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1">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9">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10B72"/>
    <w:rsid w:val="00012576"/>
    <w:rsid w:val="00012913"/>
    <w:rsid w:val="00017295"/>
    <w:rsid w:val="000246BF"/>
    <w:rsid w:val="00024F7D"/>
    <w:rsid w:val="00025D82"/>
    <w:rsid w:val="00035FC1"/>
    <w:rsid w:val="000361EC"/>
    <w:rsid w:val="00042070"/>
    <w:rsid w:val="0005513B"/>
    <w:rsid w:val="00060DE2"/>
    <w:rsid w:val="00067C3F"/>
    <w:rsid w:val="0008607F"/>
    <w:rsid w:val="000951BC"/>
    <w:rsid w:val="000A0CE7"/>
    <w:rsid w:val="000A115E"/>
    <w:rsid w:val="000A2B37"/>
    <w:rsid w:val="000B39FC"/>
    <w:rsid w:val="000B469E"/>
    <w:rsid w:val="000B7A61"/>
    <w:rsid w:val="000C190A"/>
    <w:rsid w:val="000C2095"/>
    <w:rsid w:val="000C2F51"/>
    <w:rsid w:val="000C3E7A"/>
    <w:rsid w:val="000D414F"/>
    <w:rsid w:val="000E7BED"/>
    <w:rsid w:val="001058EE"/>
    <w:rsid w:val="00114577"/>
    <w:rsid w:val="001402E9"/>
    <w:rsid w:val="00146593"/>
    <w:rsid w:val="00157A2A"/>
    <w:rsid w:val="00161C74"/>
    <w:rsid w:val="00164776"/>
    <w:rsid w:val="00186285"/>
    <w:rsid w:val="00196037"/>
    <w:rsid w:val="001A0138"/>
    <w:rsid w:val="001A4E49"/>
    <w:rsid w:val="001B017D"/>
    <w:rsid w:val="001D3F53"/>
    <w:rsid w:val="001E3008"/>
    <w:rsid w:val="001E4180"/>
    <w:rsid w:val="001E4C96"/>
    <w:rsid w:val="001F201A"/>
    <w:rsid w:val="001F7DCB"/>
    <w:rsid w:val="00201AC5"/>
    <w:rsid w:val="0020212D"/>
    <w:rsid w:val="002027EA"/>
    <w:rsid w:val="00203CD2"/>
    <w:rsid w:val="002161C8"/>
    <w:rsid w:val="00223B13"/>
    <w:rsid w:val="00236B17"/>
    <w:rsid w:val="0025451A"/>
    <w:rsid w:val="0025470B"/>
    <w:rsid w:val="00257B39"/>
    <w:rsid w:val="00261BE5"/>
    <w:rsid w:val="00265361"/>
    <w:rsid w:val="00284EB8"/>
    <w:rsid w:val="002960F3"/>
    <w:rsid w:val="00297D97"/>
    <w:rsid w:val="002A2BE9"/>
    <w:rsid w:val="002B5BD4"/>
    <w:rsid w:val="002D0316"/>
    <w:rsid w:val="002D0E7C"/>
    <w:rsid w:val="002D2BDE"/>
    <w:rsid w:val="002F4A85"/>
    <w:rsid w:val="002F5584"/>
    <w:rsid w:val="002F5CE2"/>
    <w:rsid w:val="00303D0F"/>
    <w:rsid w:val="00304313"/>
    <w:rsid w:val="003104DF"/>
    <w:rsid w:val="00310CC8"/>
    <w:rsid w:val="003117DF"/>
    <w:rsid w:val="0031259B"/>
    <w:rsid w:val="00321999"/>
    <w:rsid w:val="0032531B"/>
    <w:rsid w:val="0033685A"/>
    <w:rsid w:val="0034015B"/>
    <w:rsid w:val="003413F5"/>
    <w:rsid w:val="003458B0"/>
    <w:rsid w:val="00350EF9"/>
    <w:rsid w:val="003518D1"/>
    <w:rsid w:val="00365080"/>
    <w:rsid w:val="0037231F"/>
    <w:rsid w:val="00393DCB"/>
    <w:rsid w:val="003A3176"/>
    <w:rsid w:val="003A61B7"/>
    <w:rsid w:val="003B2A3A"/>
    <w:rsid w:val="003B3FE8"/>
    <w:rsid w:val="003C3BAA"/>
    <w:rsid w:val="003C4C10"/>
    <w:rsid w:val="003E3153"/>
    <w:rsid w:val="003E321A"/>
    <w:rsid w:val="003F6C22"/>
    <w:rsid w:val="003F7FA2"/>
    <w:rsid w:val="00403007"/>
    <w:rsid w:val="0040612B"/>
    <w:rsid w:val="004178DB"/>
    <w:rsid w:val="004208EA"/>
    <w:rsid w:val="004210D8"/>
    <w:rsid w:val="00424C60"/>
    <w:rsid w:val="00427337"/>
    <w:rsid w:val="004434AA"/>
    <w:rsid w:val="00450740"/>
    <w:rsid w:val="00464E85"/>
    <w:rsid w:val="00471514"/>
    <w:rsid w:val="004743D9"/>
    <w:rsid w:val="004903EA"/>
    <w:rsid w:val="00495DF5"/>
    <w:rsid w:val="004A745E"/>
    <w:rsid w:val="004A78B0"/>
    <w:rsid w:val="004B1D52"/>
    <w:rsid w:val="004B4E91"/>
    <w:rsid w:val="004D29EB"/>
    <w:rsid w:val="004D58B5"/>
    <w:rsid w:val="004F17B8"/>
    <w:rsid w:val="00512FB8"/>
    <w:rsid w:val="00513A41"/>
    <w:rsid w:val="0051436C"/>
    <w:rsid w:val="00516F4C"/>
    <w:rsid w:val="00520160"/>
    <w:rsid w:val="005238E8"/>
    <w:rsid w:val="00525889"/>
    <w:rsid w:val="0055278A"/>
    <w:rsid w:val="00560FBD"/>
    <w:rsid w:val="005643A9"/>
    <w:rsid w:val="00580731"/>
    <w:rsid w:val="00582575"/>
    <w:rsid w:val="005A66A0"/>
    <w:rsid w:val="005B7800"/>
    <w:rsid w:val="005C060F"/>
    <w:rsid w:val="005C5126"/>
    <w:rsid w:val="005C59D0"/>
    <w:rsid w:val="005E2B61"/>
    <w:rsid w:val="00614231"/>
    <w:rsid w:val="00614CAC"/>
    <w:rsid w:val="006242A9"/>
    <w:rsid w:val="00627307"/>
    <w:rsid w:val="00634992"/>
    <w:rsid w:val="0064013A"/>
    <w:rsid w:val="00642C5E"/>
    <w:rsid w:val="00644F14"/>
    <w:rsid w:val="00655917"/>
    <w:rsid w:val="00656F17"/>
    <w:rsid w:val="00666416"/>
    <w:rsid w:val="006747F2"/>
    <w:rsid w:val="006835A1"/>
    <w:rsid w:val="0069229A"/>
    <w:rsid w:val="006A0C43"/>
    <w:rsid w:val="006A0C9C"/>
    <w:rsid w:val="006A5E40"/>
    <w:rsid w:val="006C1E84"/>
    <w:rsid w:val="006C49B9"/>
    <w:rsid w:val="006D0450"/>
    <w:rsid w:val="006D0676"/>
    <w:rsid w:val="006D289F"/>
    <w:rsid w:val="006E1A88"/>
    <w:rsid w:val="006F00A0"/>
    <w:rsid w:val="006F693B"/>
    <w:rsid w:val="00700514"/>
    <w:rsid w:val="007054B5"/>
    <w:rsid w:val="00705976"/>
    <w:rsid w:val="00706DAD"/>
    <w:rsid w:val="00711990"/>
    <w:rsid w:val="0072089C"/>
    <w:rsid w:val="00723C50"/>
    <w:rsid w:val="0072476E"/>
    <w:rsid w:val="00746D3B"/>
    <w:rsid w:val="007470DE"/>
    <w:rsid w:val="00751ADE"/>
    <w:rsid w:val="00754452"/>
    <w:rsid w:val="00763AC7"/>
    <w:rsid w:val="007648F3"/>
    <w:rsid w:val="00767490"/>
    <w:rsid w:val="007824AB"/>
    <w:rsid w:val="00782873"/>
    <w:rsid w:val="007A75C6"/>
    <w:rsid w:val="007B73E6"/>
    <w:rsid w:val="007C0B94"/>
    <w:rsid w:val="007C59EC"/>
    <w:rsid w:val="007C7B4A"/>
    <w:rsid w:val="007C7FF3"/>
    <w:rsid w:val="007D2CB5"/>
    <w:rsid w:val="007D2E3C"/>
    <w:rsid w:val="007D4376"/>
    <w:rsid w:val="007D7697"/>
    <w:rsid w:val="007E6182"/>
    <w:rsid w:val="00820C6C"/>
    <w:rsid w:val="00822A42"/>
    <w:rsid w:val="00824AF2"/>
    <w:rsid w:val="008264BF"/>
    <w:rsid w:val="00833615"/>
    <w:rsid w:val="008471BB"/>
    <w:rsid w:val="00861875"/>
    <w:rsid w:val="00862452"/>
    <w:rsid w:val="00872866"/>
    <w:rsid w:val="00880910"/>
    <w:rsid w:val="00886E34"/>
    <w:rsid w:val="00893370"/>
    <w:rsid w:val="008A0075"/>
    <w:rsid w:val="008A0C86"/>
    <w:rsid w:val="008B76E0"/>
    <w:rsid w:val="008C03F7"/>
    <w:rsid w:val="008E32C5"/>
    <w:rsid w:val="00906838"/>
    <w:rsid w:val="00912608"/>
    <w:rsid w:val="0091427F"/>
    <w:rsid w:val="00914C4F"/>
    <w:rsid w:val="00924B71"/>
    <w:rsid w:val="00936CC9"/>
    <w:rsid w:val="00950C6C"/>
    <w:rsid w:val="00953DE2"/>
    <w:rsid w:val="00954305"/>
    <w:rsid w:val="0096113D"/>
    <w:rsid w:val="00965EB9"/>
    <w:rsid w:val="00967DC7"/>
    <w:rsid w:val="00977908"/>
    <w:rsid w:val="00981B49"/>
    <w:rsid w:val="00981E7C"/>
    <w:rsid w:val="00991415"/>
    <w:rsid w:val="00995A95"/>
    <w:rsid w:val="00996ACD"/>
    <w:rsid w:val="009A5CE9"/>
    <w:rsid w:val="009B4A45"/>
    <w:rsid w:val="009C553E"/>
    <w:rsid w:val="009D1F64"/>
    <w:rsid w:val="009D3A05"/>
    <w:rsid w:val="009E15EB"/>
    <w:rsid w:val="009E77C9"/>
    <w:rsid w:val="009F0154"/>
    <w:rsid w:val="00A002A1"/>
    <w:rsid w:val="00A02AA2"/>
    <w:rsid w:val="00A03757"/>
    <w:rsid w:val="00A058D9"/>
    <w:rsid w:val="00A15BBE"/>
    <w:rsid w:val="00A20C17"/>
    <w:rsid w:val="00A23044"/>
    <w:rsid w:val="00A24FAC"/>
    <w:rsid w:val="00A31968"/>
    <w:rsid w:val="00A342E0"/>
    <w:rsid w:val="00A45A2B"/>
    <w:rsid w:val="00A55B85"/>
    <w:rsid w:val="00A65D83"/>
    <w:rsid w:val="00A664FB"/>
    <w:rsid w:val="00A67D73"/>
    <w:rsid w:val="00A74BB3"/>
    <w:rsid w:val="00A86097"/>
    <w:rsid w:val="00AA43CD"/>
    <w:rsid w:val="00AA45E1"/>
    <w:rsid w:val="00AA7D59"/>
    <w:rsid w:val="00AB14DE"/>
    <w:rsid w:val="00AB6544"/>
    <w:rsid w:val="00AB7156"/>
    <w:rsid w:val="00AD2A3A"/>
    <w:rsid w:val="00AE0DCA"/>
    <w:rsid w:val="00AE4947"/>
    <w:rsid w:val="00AE5038"/>
    <w:rsid w:val="00AE76D1"/>
    <w:rsid w:val="00AF289C"/>
    <w:rsid w:val="00AF532B"/>
    <w:rsid w:val="00B20A76"/>
    <w:rsid w:val="00B21E2D"/>
    <w:rsid w:val="00B26649"/>
    <w:rsid w:val="00B26C1F"/>
    <w:rsid w:val="00B35140"/>
    <w:rsid w:val="00B41645"/>
    <w:rsid w:val="00B63844"/>
    <w:rsid w:val="00B64904"/>
    <w:rsid w:val="00B65E3C"/>
    <w:rsid w:val="00B703C6"/>
    <w:rsid w:val="00B75ACD"/>
    <w:rsid w:val="00B83501"/>
    <w:rsid w:val="00B83B35"/>
    <w:rsid w:val="00B84DD8"/>
    <w:rsid w:val="00B860AD"/>
    <w:rsid w:val="00B949E7"/>
    <w:rsid w:val="00B97631"/>
    <w:rsid w:val="00BA0BA6"/>
    <w:rsid w:val="00BA1758"/>
    <w:rsid w:val="00BA233F"/>
    <w:rsid w:val="00BA2D2A"/>
    <w:rsid w:val="00BB0DA7"/>
    <w:rsid w:val="00BC2A9A"/>
    <w:rsid w:val="00BC33AD"/>
    <w:rsid w:val="00BC498D"/>
    <w:rsid w:val="00BD0E68"/>
    <w:rsid w:val="00BE15B9"/>
    <w:rsid w:val="00BE2F0E"/>
    <w:rsid w:val="00BF324E"/>
    <w:rsid w:val="00BF38D6"/>
    <w:rsid w:val="00C00644"/>
    <w:rsid w:val="00C01944"/>
    <w:rsid w:val="00C074F8"/>
    <w:rsid w:val="00C308B1"/>
    <w:rsid w:val="00C32341"/>
    <w:rsid w:val="00C32853"/>
    <w:rsid w:val="00C47BFF"/>
    <w:rsid w:val="00C63B69"/>
    <w:rsid w:val="00C63CC1"/>
    <w:rsid w:val="00C77FE0"/>
    <w:rsid w:val="00C86269"/>
    <w:rsid w:val="00C931F4"/>
    <w:rsid w:val="00CA3774"/>
    <w:rsid w:val="00CB7374"/>
    <w:rsid w:val="00CE45C9"/>
    <w:rsid w:val="00CE567A"/>
    <w:rsid w:val="00CE637B"/>
    <w:rsid w:val="00CE6C8B"/>
    <w:rsid w:val="00CE7C6E"/>
    <w:rsid w:val="00CF050C"/>
    <w:rsid w:val="00D0161E"/>
    <w:rsid w:val="00D063A2"/>
    <w:rsid w:val="00D12DFD"/>
    <w:rsid w:val="00D159EF"/>
    <w:rsid w:val="00D25833"/>
    <w:rsid w:val="00D363CF"/>
    <w:rsid w:val="00D429CD"/>
    <w:rsid w:val="00D668B7"/>
    <w:rsid w:val="00D722BE"/>
    <w:rsid w:val="00D76F22"/>
    <w:rsid w:val="00D7720E"/>
    <w:rsid w:val="00D81433"/>
    <w:rsid w:val="00D82C8C"/>
    <w:rsid w:val="00D841CD"/>
    <w:rsid w:val="00D86727"/>
    <w:rsid w:val="00D87A34"/>
    <w:rsid w:val="00D907CB"/>
    <w:rsid w:val="00D95A53"/>
    <w:rsid w:val="00D9667D"/>
    <w:rsid w:val="00D9732A"/>
    <w:rsid w:val="00DA3D17"/>
    <w:rsid w:val="00DC708F"/>
    <w:rsid w:val="00DD770A"/>
    <w:rsid w:val="00DE1D60"/>
    <w:rsid w:val="00DE49D6"/>
    <w:rsid w:val="00DE53FB"/>
    <w:rsid w:val="00E07E97"/>
    <w:rsid w:val="00E114D1"/>
    <w:rsid w:val="00E11BCA"/>
    <w:rsid w:val="00E2298E"/>
    <w:rsid w:val="00E25B5B"/>
    <w:rsid w:val="00E339ED"/>
    <w:rsid w:val="00E46425"/>
    <w:rsid w:val="00E46AFB"/>
    <w:rsid w:val="00E47B64"/>
    <w:rsid w:val="00E5011D"/>
    <w:rsid w:val="00E5593C"/>
    <w:rsid w:val="00E81278"/>
    <w:rsid w:val="00E8358D"/>
    <w:rsid w:val="00EA0995"/>
    <w:rsid w:val="00EA7A74"/>
    <w:rsid w:val="00EB4738"/>
    <w:rsid w:val="00EB5466"/>
    <w:rsid w:val="00EB59B9"/>
    <w:rsid w:val="00EB6B2C"/>
    <w:rsid w:val="00EB72D3"/>
    <w:rsid w:val="00ED3F31"/>
    <w:rsid w:val="00EF226B"/>
    <w:rsid w:val="00EF6737"/>
    <w:rsid w:val="00F05F25"/>
    <w:rsid w:val="00F13E01"/>
    <w:rsid w:val="00F1431E"/>
    <w:rsid w:val="00F20F34"/>
    <w:rsid w:val="00F23FF7"/>
    <w:rsid w:val="00F266B8"/>
    <w:rsid w:val="00F352C2"/>
    <w:rsid w:val="00F37D56"/>
    <w:rsid w:val="00F418B6"/>
    <w:rsid w:val="00F51546"/>
    <w:rsid w:val="00F52AA6"/>
    <w:rsid w:val="00F56658"/>
    <w:rsid w:val="00F62C8F"/>
    <w:rsid w:val="00F6330F"/>
    <w:rsid w:val="00F6474A"/>
    <w:rsid w:val="00F70136"/>
    <w:rsid w:val="00F82677"/>
    <w:rsid w:val="00F86471"/>
    <w:rsid w:val="00F8648A"/>
    <w:rsid w:val="00F90F80"/>
    <w:rsid w:val="00FC55A8"/>
    <w:rsid w:val="00FC67E5"/>
    <w:rsid w:val="00FD4235"/>
    <w:rsid w:val="00FE04AA"/>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7D"/>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D9667D"/>
    <w:rPr>
      <w:rFonts w:cs="Times New Roman"/>
      <w:vertAlign w:val="superscript"/>
    </w:rPr>
  </w:style>
  <w:style w:type="paragraph" w:customStyle="1" w:styleId="Sinespaciado1">
    <w:name w:val="Sin espaciado1"/>
    <w:link w:val="NoSpacingChar"/>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paragraph" w:styleId="NormalWeb">
    <w:name w:val="Normal (Web)"/>
    <w:basedOn w:val="Normal"/>
    <w:uiPriority w:val="99"/>
    <w:unhideWhenUsed/>
    <w:rsid w:val="00B26649"/>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2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4345">
      <w:bodyDiv w:val="1"/>
      <w:marLeft w:val="0"/>
      <w:marRight w:val="0"/>
      <w:marTop w:val="0"/>
      <w:marBottom w:val="0"/>
      <w:divBdr>
        <w:top w:val="none" w:sz="0" w:space="0" w:color="auto"/>
        <w:left w:val="none" w:sz="0" w:space="0" w:color="auto"/>
        <w:bottom w:val="none" w:sz="0" w:space="0" w:color="auto"/>
        <w:right w:val="none" w:sz="0" w:space="0" w:color="auto"/>
      </w:divBdr>
    </w:div>
    <w:div w:id="14705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7A25-A48A-4CC6-BF63-8283A3B2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Carlos Alberto Ospina G.</cp:lastModifiedBy>
  <cp:revision>44</cp:revision>
  <cp:lastPrinted>2015-12-09T20:01:00Z</cp:lastPrinted>
  <dcterms:created xsi:type="dcterms:W3CDTF">2015-12-04T23:45:00Z</dcterms:created>
  <dcterms:modified xsi:type="dcterms:W3CDTF">2015-12-09T20:07:00Z</dcterms:modified>
</cp:coreProperties>
</file>