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8E" w:rsidRPr="00E81501" w:rsidRDefault="00E0698E" w:rsidP="00E0698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E0698E" w:rsidRDefault="00E0698E" w:rsidP="00E0698E">
      <w:pPr>
        <w:pStyle w:val="Puesto"/>
        <w:spacing w:line="240" w:lineRule="auto"/>
        <w:jc w:val="both"/>
        <w:rPr>
          <w:rFonts w:ascii="Tahoma" w:hAnsi="Tahoma" w:cs="Tahoma"/>
          <w:sz w:val="18"/>
          <w:szCs w:val="18"/>
        </w:rPr>
      </w:pP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Pr>
          <w:rFonts w:ascii="Tahoma" w:hAnsi="Tahoma" w:cs="Tahoma"/>
          <w:b w:val="0"/>
          <w:bCs/>
          <w:sz w:val="18"/>
          <w:szCs w:val="18"/>
        </w:rPr>
        <w:t>30 de octubre</w:t>
      </w:r>
      <w:r w:rsidRPr="00E81501">
        <w:rPr>
          <w:rFonts w:ascii="Tahoma" w:hAnsi="Tahoma" w:cs="Tahoma"/>
          <w:b w:val="0"/>
          <w:bCs/>
          <w:sz w:val="18"/>
          <w:szCs w:val="18"/>
        </w:rPr>
        <w:t xml:space="preserve"> de 2015</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sidRPr="00E81501">
        <w:rPr>
          <w:rFonts w:ascii="Tahoma" w:hAnsi="Tahoma" w:cs="Tahoma"/>
          <w:b w:val="0"/>
          <w:sz w:val="18"/>
          <w:szCs w:val="18"/>
        </w:rPr>
        <w:tab/>
      </w:r>
      <w:r>
        <w:rPr>
          <w:rFonts w:ascii="Tahoma" w:hAnsi="Tahoma" w:cs="Tahoma"/>
          <w:b w:val="0"/>
          <w:sz w:val="18"/>
          <w:szCs w:val="18"/>
        </w:rPr>
        <w:tab/>
        <w:t>66170</w:t>
      </w:r>
      <w:r w:rsidRPr="00E81501">
        <w:rPr>
          <w:rFonts w:ascii="Tahoma" w:hAnsi="Tahoma" w:cs="Tahoma"/>
          <w:b w:val="0"/>
          <w:sz w:val="18"/>
          <w:szCs w:val="18"/>
        </w:rPr>
        <w:t>-31-05-00</w:t>
      </w:r>
      <w:r>
        <w:rPr>
          <w:rFonts w:ascii="Tahoma" w:hAnsi="Tahoma" w:cs="Tahoma"/>
          <w:b w:val="0"/>
          <w:sz w:val="18"/>
          <w:szCs w:val="18"/>
        </w:rPr>
        <w:t>1</w:t>
      </w:r>
      <w:r w:rsidRPr="00E81501">
        <w:rPr>
          <w:rFonts w:ascii="Tahoma" w:hAnsi="Tahoma" w:cs="Tahoma"/>
          <w:b w:val="0"/>
          <w:sz w:val="18"/>
          <w:szCs w:val="18"/>
        </w:rPr>
        <w:t>-201</w:t>
      </w:r>
      <w:r>
        <w:rPr>
          <w:rFonts w:ascii="Tahoma" w:hAnsi="Tahoma" w:cs="Tahoma"/>
          <w:b w:val="0"/>
          <w:sz w:val="18"/>
          <w:szCs w:val="18"/>
        </w:rPr>
        <w:t>3-00246</w:t>
      </w:r>
      <w:r w:rsidRPr="00E81501">
        <w:rPr>
          <w:rFonts w:ascii="Tahoma" w:hAnsi="Tahoma" w:cs="Tahoma"/>
          <w:b w:val="0"/>
          <w:sz w:val="18"/>
          <w:szCs w:val="18"/>
        </w:rPr>
        <w:t>-01</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Pr>
          <w:rFonts w:ascii="Tahoma" w:hAnsi="Tahoma" w:cs="Tahoma"/>
          <w:b w:val="0"/>
          <w:sz w:val="18"/>
          <w:szCs w:val="18"/>
        </w:rPr>
        <w:t>María Leonor Ortega Matallana</w:t>
      </w:r>
      <w:r w:rsidRPr="00E81501">
        <w:rPr>
          <w:rFonts w:ascii="Tahoma" w:hAnsi="Tahoma" w:cs="Tahoma"/>
          <w:b w:val="0"/>
          <w:sz w:val="18"/>
          <w:szCs w:val="18"/>
        </w:rPr>
        <w:t xml:space="preserve">    </w:t>
      </w:r>
    </w:p>
    <w:p w:rsidR="00E0698E" w:rsidRPr="00E81501" w:rsidRDefault="00E0698E" w:rsidP="00E0698E">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Promotora la Aurora S.A.</w:t>
      </w:r>
      <w:r w:rsidRPr="00E81501">
        <w:rPr>
          <w:rFonts w:ascii="Tahoma" w:hAnsi="Tahoma" w:cs="Tahoma"/>
          <w:b w:val="0"/>
          <w:sz w:val="18"/>
          <w:szCs w:val="18"/>
        </w:rPr>
        <w:t xml:space="preserve">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Pr>
          <w:rFonts w:ascii="Tahoma" w:hAnsi="Tahoma" w:cs="Tahoma"/>
          <w:b w:val="0"/>
          <w:sz w:val="18"/>
          <w:szCs w:val="18"/>
        </w:rPr>
        <w:tab/>
        <w:t>Laboral del Circuito de Dosquebradas</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E0698E" w:rsidRPr="00E0698E" w:rsidRDefault="00E0698E" w:rsidP="00E0698E">
      <w:pPr>
        <w:widowControl w:val="0"/>
        <w:autoSpaceDE w:val="0"/>
        <w:autoSpaceDN w:val="0"/>
        <w:adjustRightInd w:val="0"/>
        <w:spacing w:line="240" w:lineRule="auto"/>
        <w:ind w:left="2124" w:hanging="2124"/>
        <w:jc w:val="both"/>
        <w:rPr>
          <w:rFonts w:ascii="Tahoma" w:hAnsi="Tahoma" w:cs="Tahoma"/>
          <w:sz w:val="18"/>
          <w:szCs w:val="18"/>
        </w:rPr>
      </w:pPr>
      <w:r w:rsidRPr="00E0698E">
        <w:rPr>
          <w:rFonts w:ascii="Tahoma" w:hAnsi="Tahoma" w:cs="Tahoma"/>
          <w:b/>
          <w:sz w:val="18"/>
          <w:szCs w:val="18"/>
        </w:rPr>
        <w:t>Tema:</w:t>
      </w:r>
      <w:r w:rsidRPr="00E0698E">
        <w:rPr>
          <w:rFonts w:ascii="Tahoma" w:hAnsi="Tahoma" w:cs="Tahoma"/>
          <w:b/>
          <w:sz w:val="18"/>
          <w:szCs w:val="18"/>
        </w:rPr>
        <w:tab/>
      </w:r>
      <w:r w:rsidRPr="00E0698E">
        <w:rPr>
          <w:rFonts w:ascii="Tahoma" w:hAnsi="Tahoma" w:cs="Tahoma"/>
          <w:b/>
          <w:caps/>
          <w:sz w:val="18"/>
          <w:szCs w:val="18"/>
        </w:rPr>
        <w:t xml:space="preserve">factor salarial: </w:t>
      </w:r>
      <w:r w:rsidRPr="00E0698E">
        <w:rPr>
          <w:rFonts w:ascii="Tahoma" w:hAnsi="Tahoma" w:cs="Tahoma"/>
          <w:sz w:val="18"/>
          <w:szCs w:val="18"/>
        </w:rPr>
        <w:t xml:space="preserve">No se discute que el porcentaje sobre las ventas, lo mismo que las comisiones, son factores que tienen la naturaleza de salariales y que, en tal virtud, deben ser tomados en cuenta por el empleador a la hora de liquidar las prestaciones sociales a que tienen derecho sus trabajadores. (…) considera la Sala que acierta el juez laboral al condenar a la empresa, pues no se puede perder de vista que era ésta la encargada de programar las denominadas “brigadas de venta”, y aunque al parecer la trabajadora era quien en últimas definía a qué municipio quería desplazarse a realizar las ventas, lo cierto es que ello no le resta valor alguno al hecho de que la empresa que figura como empleadora sirvió de puente para suministrar personal de ventas a otras empresas con las que comparte no solo el nombre de raíz, sino también un mismo objeto social. En tal orden, los acuerdos comerciales celebrados entre estas empresas que pertenecen a un mismo ramo, bajo ninguna circunstancia pueden menoscabar los derechos laborales de sus trabajadores; por consiguiente, se confirmará este punto de la sentencia atacada. </w:t>
      </w:r>
    </w:p>
    <w:p w:rsidR="00E0698E" w:rsidRDefault="00E0698E" w:rsidP="00E0698E">
      <w:pPr>
        <w:widowControl w:val="0"/>
        <w:autoSpaceDE w:val="0"/>
        <w:autoSpaceDN w:val="0"/>
        <w:adjustRightInd w:val="0"/>
        <w:spacing w:line="240" w:lineRule="auto"/>
        <w:ind w:left="2124" w:hanging="2124"/>
        <w:jc w:val="both"/>
        <w:rPr>
          <w:rFonts w:ascii="Tahoma" w:hAnsi="Tahoma" w:cs="Tahoma"/>
          <w:b/>
          <w:sz w:val="24"/>
          <w:szCs w:val="24"/>
          <w:lang w:val="es-CO"/>
        </w:rPr>
      </w:pPr>
    </w:p>
    <w:p w:rsidR="00E0698E" w:rsidRPr="00E81501" w:rsidRDefault="00E0698E" w:rsidP="00E0698E">
      <w:pPr>
        <w:spacing w:line="276" w:lineRule="auto"/>
        <w:ind w:left="2124" w:hanging="2124"/>
        <w:jc w:val="center"/>
        <w:rPr>
          <w:rFonts w:ascii="Tahoma" w:hAnsi="Tahoma" w:cs="Tahoma"/>
          <w:b/>
          <w:lang w:val="es-CO"/>
        </w:rPr>
      </w:pPr>
      <w:r w:rsidRPr="00E81501">
        <w:rPr>
          <w:rFonts w:ascii="Tahoma" w:hAnsi="Tahoma" w:cs="Tahoma"/>
          <w:b/>
          <w:lang w:val="es-CO"/>
        </w:rPr>
        <w:t>TRIBUNAL SUPERIOR DEL DISTRITO JUDICIAL DE PEREIRA</w:t>
      </w:r>
    </w:p>
    <w:p w:rsidR="00E0698E" w:rsidRDefault="00E0698E" w:rsidP="000B2605">
      <w:pPr>
        <w:spacing w:line="276" w:lineRule="auto"/>
        <w:ind w:left="2124" w:hanging="2124"/>
        <w:jc w:val="center"/>
        <w:rPr>
          <w:rFonts w:ascii="Tahoma" w:hAnsi="Tahoma" w:cs="Tahoma"/>
          <w:b/>
          <w:lang w:val="es-CO"/>
        </w:rPr>
      </w:pPr>
      <w:r w:rsidRPr="00E81501">
        <w:rPr>
          <w:rFonts w:ascii="Tahoma" w:hAnsi="Tahoma" w:cs="Tahoma"/>
          <w:b/>
          <w:lang w:val="es-CO"/>
        </w:rPr>
        <w:t>SALA LABORAL</w:t>
      </w:r>
    </w:p>
    <w:p w:rsidR="000B2605" w:rsidRPr="000B2605" w:rsidRDefault="000B2605" w:rsidP="000B2605">
      <w:pPr>
        <w:spacing w:line="240" w:lineRule="auto"/>
        <w:ind w:left="2124" w:hanging="2124"/>
        <w:jc w:val="center"/>
        <w:rPr>
          <w:rFonts w:ascii="Tahoma" w:hAnsi="Tahoma" w:cs="Tahoma"/>
          <w:b/>
          <w:lang w:val="es-CO"/>
        </w:rPr>
      </w:pPr>
    </w:p>
    <w:p w:rsidR="00E0698E" w:rsidRPr="00E81501" w:rsidRDefault="00E0698E" w:rsidP="00E0698E">
      <w:pPr>
        <w:spacing w:line="276" w:lineRule="auto"/>
        <w:ind w:left="2124" w:hanging="2124"/>
        <w:jc w:val="center"/>
        <w:rPr>
          <w:rFonts w:ascii="Tahoma" w:hAnsi="Tahoma" w:cs="Tahoma"/>
          <w:lang w:val="es-CO"/>
        </w:rPr>
      </w:pPr>
      <w:r w:rsidRPr="00E81501">
        <w:rPr>
          <w:rFonts w:ascii="Tahoma" w:hAnsi="Tahoma" w:cs="Tahoma"/>
          <w:lang w:val="es-CO"/>
        </w:rPr>
        <w:t>Magistrada Ponente: Ana Lucía Caicedo Calderón</w:t>
      </w:r>
    </w:p>
    <w:p w:rsidR="00E0698E" w:rsidRPr="00E81501" w:rsidRDefault="00E0698E" w:rsidP="00E0698E">
      <w:pPr>
        <w:spacing w:line="276" w:lineRule="auto"/>
        <w:ind w:left="2124" w:hanging="2124"/>
        <w:jc w:val="center"/>
        <w:rPr>
          <w:rFonts w:ascii="Tahoma" w:hAnsi="Tahoma" w:cs="Tahoma"/>
          <w:lang w:val="es-CO"/>
        </w:rPr>
      </w:pPr>
      <w:r w:rsidRPr="00E81501">
        <w:rPr>
          <w:rFonts w:ascii="Tahoma" w:hAnsi="Tahoma" w:cs="Tahoma"/>
          <w:lang w:val="es-CO"/>
        </w:rPr>
        <w:t>Acta No. ____</w:t>
      </w:r>
    </w:p>
    <w:p w:rsidR="00062A58" w:rsidRPr="00E81501" w:rsidRDefault="00E0698E" w:rsidP="00E0698E">
      <w:pPr>
        <w:spacing w:line="276" w:lineRule="auto"/>
        <w:ind w:left="2124" w:hanging="2124"/>
        <w:jc w:val="center"/>
        <w:rPr>
          <w:rFonts w:ascii="Tahoma" w:hAnsi="Tahoma" w:cs="Tahoma"/>
          <w:lang w:val="es-CO"/>
        </w:rPr>
      </w:pPr>
      <w:r>
        <w:rPr>
          <w:rFonts w:ascii="Tahoma" w:hAnsi="Tahoma" w:cs="Tahoma"/>
          <w:lang w:val="es-CO"/>
        </w:rPr>
        <w:t>(Octubre 30</w:t>
      </w:r>
      <w:r w:rsidRPr="00E81501">
        <w:rPr>
          <w:rFonts w:ascii="Tahoma" w:hAnsi="Tahoma" w:cs="Tahoma"/>
          <w:lang w:val="es-CO"/>
        </w:rPr>
        <w:t xml:space="preserve"> de 2015)</w:t>
      </w:r>
    </w:p>
    <w:p w:rsidR="00E0698E" w:rsidRPr="00E81501" w:rsidRDefault="00E0698E" w:rsidP="000B2605">
      <w:pPr>
        <w:spacing w:line="240" w:lineRule="auto"/>
        <w:jc w:val="center"/>
        <w:rPr>
          <w:rFonts w:ascii="Tahoma" w:hAnsi="Tahoma" w:cs="Tahoma"/>
          <w:lang w:val="es-CO"/>
        </w:rPr>
      </w:pPr>
    </w:p>
    <w:p w:rsidR="000B2605" w:rsidRDefault="00E0698E" w:rsidP="00E0698E">
      <w:pPr>
        <w:spacing w:line="276" w:lineRule="auto"/>
        <w:ind w:firstLine="708"/>
        <w:jc w:val="both"/>
        <w:rPr>
          <w:rFonts w:ascii="Tahoma" w:hAnsi="Tahoma" w:cs="Tahoma"/>
        </w:rPr>
      </w:pPr>
      <w:r w:rsidRPr="00062A58">
        <w:rPr>
          <w:rFonts w:ascii="Tahoma" w:hAnsi="Tahoma" w:cs="Tahoma"/>
          <w:lang w:val="es-ES_tradnl"/>
        </w:rPr>
        <w:t xml:space="preserve">Siendo </w:t>
      </w:r>
      <w:r w:rsidR="00703F1F" w:rsidRPr="00062A58">
        <w:rPr>
          <w:rFonts w:ascii="Tahoma" w:hAnsi="Tahoma" w:cs="Tahoma"/>
          <w:lang w:val="es-ES_tradnl"/>
        </w:rPr>
        <w:t>las 10:00 a.m. de hoy, viernes 30</w:t>
      </w:r>
      <w:r w:rsidRPr="00062A58">
        <w:rPr>
          <w:rFonts w:ascii="Tahoma" w:hAnsi="Tahoma" w:cs="Tahoma"/>
          <w:lang w:val="es-ES_tradnl"/>
        </w:rPr>
        <w:t xml:space="preserve"> d</w:t>
      </w:r>
      <w:r w:rsidR="00703F1F" w:rsidRPr="00062A58">
        <w:rPr>
          <w:rFonts w:ascii="Tahoma" w:hAnsi="Tahoma" w:cs="Tahoma"/>
          <w:lang w:val="es-ES_tradnl"/>
        </w:rPr>
        <w:t>e octubre</w:t>
      </w:r>
      <w:r w:rsidRPr="00062A58">
        <w:rPr>
          <w:rFonts w:ascii="Tahoma" w:hAnsi="Tahoma" w:cs="Tahoma"/>
          <w:lang w:val="es-ES_tradnl"/>
        </w:rPr>
        <w:t xml:space="preserve"> de 2015, la Sala de Decisión Laboral del Tribunal Superior de Pereira se constituye en audiencia pública de juzgamiento en el proceso ordinario laboral instaurado por </w:t>
      </w:r>
      <w:r w:rsidR="00062A58" w:rsidRPr="00062A58">
        <w:rPr>
          <w:rFonts w:ascii="Tahoma" w:hAnsi="Tahoma" w:cs="Tahoma"/>
          <w:b/>
        </w:rPr>
        <w:t xml:space="preserve">María Leonor Ortega </w:t>
      </w:r>
      <w:proofErr w:type="spellStart"/>
      <w:r w:rsidR="00062A58" w:rsidRPr="00062A58">
        <w:rPr>
          <w:rFonts w:ascii="Tahoma" w:hAnsi="Tahoma" w:cs="Tahoma"/>
          <w:b/>
        </w:rPr>
        <w:t>Matallana</w:t>
      </w:r>
      <w:proofErr w:type="spellEnd"/>
      <w:r w:rsidRPr="00062A58">
        <w:rPr>
          <w:rFonts w:ascii="Tahoma" w:hAnsi="Tahoma" w:cs="Tahoma"/>
        </w:rPr>
        <w:t xml:space="preserve"> </w:t>
      </w:r>
      <w:r w:rsidRPr="00062A58">
        <w:rPr>
          <w:rFonts w:ascii="Tahoma" w:hAnsi="Tahoma" w:cs="Tahoma"/>
          <w:lang w:val="es-ES_tradnl"/>
        </w:rPr>
        <w:t>en contra de</w:t>
      </w:r>
      <w:r w:rsidR="00062A58">
        <w:rPr>
          <w:rFonts w:ascii="Tahoma" w:hAnsi="Tahoma" w:cs="Tahoma"/>
          <w:lang w:val="es-ES_tradnl"/>
        </w:rPr>
        <w:t xml:space="preserve"> </w:t>
      </w:r>
      <w:r w:rsidR="00062A58" w:rsidRPr="00062A58">
        <w:rPr>
          <w:rFonts w:ascii="Tahoma" w:hAnsi="Tahoma" w:cs="Tahoma"/>
          <w:b/>
        </w:rPr>
        <w:t>Promotora la Aurora S.A.</w:t>
      </w:r>
      <w:r w:rsidR="000B2605">
        <w:rPr>
          <w:rFonts w:ascii="Tahoma" w:hAnsi="Tahoma" w:cs="Tahoma"/>
        </w:rPr>
        <w:t xml:space="preserve"> </w:t>
      </w:r>
    </w:p>
    <w:p w:rsidR="000B2605" w:rsidRDefault="000B2605" w:rsidP="00E0698E">
      <w:pPr>
        <w:spacing w:line="276" w:lineRule="auto"/>
        <w:ind w:firstLine="708"/>
        <w:jc w:val="both"/>
        <w:rPr>
          <w:rFonts w:ascii="Tahoma" w:hAnsi="Tahoma" w:cs="Tahoma"/>
        </w:rPr>
      </w:pPr>
    </w:p>
    <w:p w:rsidR="00E0698E" w:rsidRPr="00062A58" w:rsidRDefault="00E0698E" w:rsidP="00E0698E">
      <w:pPr>
        <w:spacing w:line="276" w:lineRule="auto"/>
        <w:ind w:firstLine="708"/>
        <w:jc w:val="both"/>
        <w:rPr>
          <w:rFonts w:ascii="Tahoma" w:hAnsi="Tahoma" w:cs="Tahoma"/>
          <w:lang w:val="es-ES_tradnl"/>
        </w:rPr>
      </w:pPr>
      <w:r w:rsidRPr="00062A58">
        <w:rPr>
          <w:rFonts w:ascii="Tahoma" w:hAnsi="Tahoma" w:cs="Tahoma"/>
          <w:lang w:val="es-ES_tradnl"/>
        </w:rPr>
        <w:t>Para el efecto, se verifica la asistencia de las partes a la presente diligencia: Por la parte demandante… Por la demandada…</w:t>
      </w:r>
    </w:p>
    <w:p w:rsidR="00E0698E" w:rsidRPr="00E81501" w:rsidRDefault="00E0698E" w:rsidP="000B2605">
      <w:pPr>
        <w:widowControl w:val="0"/>
        <w:autoSpaceDE w:val="0"/>
        <w:autoSpaceDN w:val="0"/>
        <w:adjustRightInd w:val="0"/>
        <w:spacing w:line="240" w:lineRule="auto"/>
        <w:jc w:val="center"/>
        <w:rPr>
          <w:rFonts w:ascii="Tahoma" w:hAnsi="Tahoma" w:cs="Tahoma"/>
          <w:b/>
        </w:rPr>
      </w:pPr>
    </w:p>
    <w:p w:rsidR="00E0698E" w:rsidRPr="00E81501" w:rsidRDefault="00E0698E"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Alegatos de conclusión</w:t>
      </w:r>
    </w:p>
    <w:p w:rsidR="00E0698E" w:rsidRPr="00E81501" w:rsidRDefault="00E0698E" w:rsidP="00E0698E">
      <w:pPr>
        <w:widowControl w:val="0"/>
        <w:autoSpaceDE w:val="0"/>
        <w:autoSpaceDN w:val="0"/>
        <w:adjustRightInd w:val="0"/>
        <w:spacing w:line="240" w:lineRule="auto"/>
        <w:jc w:val="center"/>
        <w:rPr>
          <w:rFonts w:ascii="Tahoma" w:hAnsi="Tahoma" w:cs="Tahoma"/>
          <w:b/>
        </w:rPr>
      </w:pPr>
    </w:p>
    <w:p w:rsidR="00E0698E" w:rsidRPr="00E81501" w:rsidRDefault="00E0698E" w:rsidP="00E0698E">
      <w:pPr>
        <w:spacing w:line="276" w:lineRule="auto"/>
        <w:ind w:firstLine="708"/>
        <w:jc w:val="both"/>
        <w:rPr>
          <w:rFonts w:ascii="Tahoma" w:hAnsi="Tahoma" w:cs="Tahoma"/>
          <w:lang w:val="es-ES_tradnl"/>
        </w:rPr>
      </w:pPr>
      <w:r w:rsidRPr="00E8150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0698E" w:rsidRPr="00E81501" w:rsidRDefault="00E0698E" w:rsidP="000B2605">
      <w:pPr>
        <w:widowControl w:val="0"/>
        <w:autoSpaceDE w:val="0"/>
        <w:autoSpaceDN w:val="0"/>
        <w:adjustRightInd w:val="0"/>
        <w:spacing w:line="240" w:lineRule="auto"/>
        <w:jc w:val="center"/>
        <w:rPr>
          <w:rFonts w:ascii="Tahoma" w:hAnsi="Tahoma" w:cs="Tahoma"/>
          <w:b/>
        </w:rPr>
      </w:pPr>
    </w:p>
    <w:p w:rsidR="00E0698E" w:rsidRPr="00E81501" w:rsidRDefault="00E0698E"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SENTENCIA</w:t>
      </w:r>
    </w:p>
    <w:p w:rsidR="00E0698E" w:rsidRPr="00E81501" w:rsidRDefault="00E0698E" w:rsidP="000B2605">
      <w:pPr>
        <w:widowControl w:val="0"/>
        <w:autoSpaceDE w:val="0"/>
        <w:autoSpaceDN w:val="0"/>
        <w:adjustRightInd w:val="0"/>
        <w:spacing w:line="240" w:lineRule="auto"/>
        <w:jc w:val="center"/>
        <w:rPr>
          <w:rFonts w:ascii="Tahoma" w:hAnsi="Tahoma" w:cs="Tahoma"/>
          <w:b/>
        </w:rPr>
      </w:pPr>
    </w:p>
    <w:p w:rsidR="00062A58" w:rsidRPr="00E81501" w:rsidRDefault="00E0698E" w:rsidP="00E0698E">
      <w:pPr>
        <w:widowControl w:val="0"/>
        <w:autoSpaceDE w:val="0"/>
        <w:autoSpaceDN w:val="0"/>
        <w:adjustRightInd w:val="0"/>
        <w:spacing w:line="276" w:lineRule="auto"/>
        <w:ind w:firstLine="708"/>
        <w:jc w:val="both"/>
        <w:rPr>
          <w:rFonts w:ascii="Tahoma" w:hAnsi="Tahoma" w:cs="Tahoma"/>
        </w:rPr>
      </w:pPr>
      <w:r w:rsidRPr="00E81501">
        <w:rPr>
          <w:rFonts w:ascii="Tahoma" w:hAnsi="Tahoma" w:cs="Tahoma"/>
        </w:rPr>
        <w:t xml:space="preserve">Como quiera que los fundamentos de los argumentos expuestos en las alegaciones </w:t>
      </w:r>
      <w:r w:rsidR="00062A58">
        <w:rPr>
          <w:rFonts w:ascii="Tahoma" w:hAnsi="Tahoma" w:cs="Tahoma"/>
        </w:rPr>
        <w:t>han sido tenidos</w:t>
      </w:r>
      <w:r w:rsidRPr="00E81501">
        <w:rPr>
          <w:rFonts w:ascii="Tahoma" w:hAnsi="Tahoma" w:cs="Tahoma"/>
        </w:rPr>
        <w:t xml:space="preserve"> en cuenta en la discusión del proyecto, procede la Sala a resolver el </w:t>
      </w:r>
      <w:r w:rsidR="00062A58">
        <w:rPr>
          <w:rFonts w:ascii="Tahoma" w:hAnsi="Tahoma" w:cs="Tahoma"/>
        </w:rPr>
        <w:t xml:space="preserve">recurso de apelación propuesto por ambas partes en contra </w:t>
      </w:r>
      <w:r w:rsidRPr="00E81501">
        <w:rPr>
          <w:rFonts w:ascii="Tahoma" w:hAnsi="Tahoma" w:cs="Tahoma"/>
        </w:rPr>
        <w:t>de la sentencia</w:t>
      </w:r>
      <w:r w:rsidR="00062A58">
        <w:rPr>
          <w:rFonts w:ascii="Tahoma" w:hAnsi="Tahoma" w:cs="Tahoma"/>
        </w:rPr>
        <w:t xml:space="preserve"> emitida por el Juzgado Laboral</w:t>
      </w:r>
      <w:r w:rsidRPr="00E81501">
        <w:rPr>
          <w:rFonts w:ascii="Tahoma" w:hAnsi="Tahoma" w:cs="Tahoma"/>
        </w:rPr>
        <w:t xml:space="preserve"> </w:t>
      </w:r>
      <w:r w:rsidR="00062A58">
        <w:rPr>
          <w:rFonts w:ascii="Tahoma" w:hAnsi="Tahoma" w:cs="Tahoma"/>
        </w:rPr>
        <w:t>del Circuito de Dosquebradas el día 03 de octubre</w:t>
      </w:r>
      <w:r w:rsidRPr="00E81501">
        <w:rPr>
          <w:rFonts w:ascii="Tahoma" w:hAnsi="Tahoma" w:cs="Tahoma"/>
        </w:rPr>
        <w:t xml:space="preserve"> de 2014.</w:t>
      </w:r>
    </w:p>
    <w:p w:rsidR="00E0698E" w:rsidRPr="00E81501" w:rsidRDefault="00E0698E" w:rsidP="00E0698E">
      <w:pPr>
        <w:widowControl w:val="0"/>
        <w:autoSpaceDE w:val="0"/>
        <w:autoSpaceDN w:val="0"/>
        <w:adjustRightInd w:val="0"/>
        <w:spacing w:line="240" w:lineRule="auto"/>
        <w:jc w:val="both"/>
        <w:rPr>
          <w:rFonts w:ascii="Tahoma" w:hAnsi="Tahoma" w:cs="Tahoma"/>
          <w:b/>
          <w:lang w:val="es-CO"/>
        </w:rPr>
      </w:pPr>
    </w:p>
    <w:p w:rsidR="00E0698E" w:rsidRPr="00E81501" w:rsidRDefault="00E0698E" w:rsidP="00E0698E">
      <w:pPr>
        <w:spacing w:line="276" w:lineRule="auto"/>
        <w:jc w:val="center"/>
        <w:rPr>
          <w:rFonts w:ascii="Tahoma" w:hAnsi="Tahoma" w:cs="Tahoma"/>
          <w:b/>
          <w:lang w:val="es-CO"/>
        </w:rPr>
      </w:pPr>
      <w:r w:rsidRPr="00E81501">
        <w:rPr>
          <w:rFonts w:ascii="Tahoma" w:hAnsi="Tahoma" w:cs="Tahoma"/>
          <w:b/>
          <w:lang w:val="es-CO"/>
        </w:rPr>
        <w:t>PROBLEMA JURIDICO A RESOLVER</w:t>
      </w:r>
    </w:p>
    <w:p w:rsidR="00E0698E" w:rsidRPr="00E81501" w:rsidRDefault="00E0698E" w:rsidP="000B2605">
      <w:pPr>
        <w:spacing w:line="240" w:lineRule="auto"/>
        <w:rPr>
          <w:rFonts w:ascii="Tahoma" w:hAnsi="Tahoma" w:cs="Tahoma"/>
          <w:b/>
          <w:lang w:val="es-CO"/>
        </w:rPr>
      </w:pPr>
    </w:p>
    <w:p w:rsidR="000B2605" w:rsidRDefault="00062A58" w:rsidP="000B2605">
      <w:pPr>
        <w:spacing w:line="276" w:lineRule="auto"/>
        <w:ind w:firstLine="708"/>
        <w:jc w:val="both"/>
        <w:rPr>
          <w:rFonts w:ascii="Tahoma" w:hAnsi="Tahoma" w:cs="Tahoma"/>
          <w:lang w:val="es-CO"/>
        </w:rPr>
      </w:pPr>
      <w:r>
        <w:rPr>
          <w:rFonts w:ascii="Tahoma" w:hAnsi="Tahoma" w:cs="Tahoma"/>
          <w:lang w:val="es-CO"/>
        </w:rPr>
        <w:t>E</w:t>
      </w:r>
      <w:r w:rsidR="00E0698E" w:rsidRPr="00E81501">
        <w:rPr>
          <w:rFonts w:ascii="Tahoma" w:hAnsi="Tahoma" w:cs="Tahoma"/>
          <w:lang w:val="es-CO"/>
        </w:rPr>
        <w:t xml:space="preserve">l problema jurídico se contrae a </w:t>
      </w:r>
      <w:r>
        <w:rPr>
          <w:rFonts w:ascii="Tahoma" w:hAnsi="Tahoma" w:cs="Tahoma"/>
          <w:lang w:val="es-CO"/>
        </w:rPr>
        <w:t>verificar si las llamadas comisiones por ventas en brigadas constituyen factor salarial y debieron ser tenidas en cuenta por el empleador al momento de liquidar las prestaciones sociales a que tiene derecho la promotora del presente litigio.</w:t>
      </w:r>
    </w:p>
    <w:p w:rsidR="000B2605" w:rsidRPr="000B2605" w:rsidRDefault="000B2605" w:rsidP="000B2605">
      <w:pPr>
        <w:spacing w:line="240" w:lineRule="auto"/>
        <w:ind w:firstLine="708"/>
        <w:jc w:val="both"/>
        <w:rPr>
          <w:rFonts w:ascii="Tahoma" w:hAnsi="Tahoma" w:cs="Tahoma"/>
          <w:lang w:val="es-CO"/>
        </w:rPr>
      </w:pPr>
    </w:p>
    <w:p w:rsidR="004447B1" w:rsidRDefault="00452117" w:rsidP="00781C89">
      <w:pPr>
        <w:pStyle w:val="Prrafodelista"/>
        <w:numPr>
          <w:ilvl w:val="0"/>
          <w:numId w:val="1"/>
        </w:numPr>
        <w:spacing w:line="276" w:lineRule="auto"/>
        <w:ind w:left="0" w:firstLine="0"/>
        <w:jc w:val="center"/>
        <w:rPr>
          <w:rFonts w:ascii="Tahoma" w:hAnsi="Tahoma" w:cs="Tahoma"/>
          <w:b/>
          <w:lang w:val="es-CO"/>
        </w:rPr>
      </w:pPr>
      <w:r w:rsidRPr="00452117">
        <w:rPr>
          <w:rFonts w:ascii="Tahoma" w:hAnsi="Tahoma" w:cs="Tahoma"/>
          <w:b/>
          <w:lang w:val="es-CO"/>
        </w:rPr>
        <w:t>LA DEMANDA Y SU CONTESTACIÓN</w:t>
      </w:r>
    </w:p>
    <w:p w:rsidR="00452117" w:rsidRPr="00452117" w:rsidRDefault="00452117" w:rsidP="00781C89">
      <w:pPr>
        <w:spacing w:line="276" w:lineRule="auto"/>
        <w:jc w:val="both"/>
        <w:rPr>
          <w:rFonts w:ascii="Tahoma" w:hAnsi="Tahoma" w:cs="Tahoma"/>
          <w:lang w:val="es-CO"/>
        </w:rPr>
      </w:pPr>
    </w:p>
    <w:p w:rsidR="00576A26" w:rsidRDefault="00964B27" w:rsidP="00781C89">
      <w:pPr>
        <w:spacing w:line="276" w:lineRule="auto"/>
        <w:jc w:val="both"/>
        <w:rPr>
          <w:rFonts w:ascii="Tahoma" w:hAnsi="Tahoma" w:cs="Tahoma"/>
          <w:lang w:val="es-CO"/>
        </w:rPr>
      </w:pPr>
      <w:r>
        <w:rPr>
          <w:rFonts w:ascii="Tahoma" w:hAnsi="Tahoma" w:cs="Tahoma"/>
          <w:lang w:val="es-CO"/>
        </w:rPr>
        <w:lastRenderedPageBreak/>
        <w:tab/>
        <w:t>La controversia que</w:t>
      </w:r>
      <w:r w:rsidR="004B2DBE">
        <w:rPr>
          <w:rFonts w:ascii="Tahoma" w:hAnsi="Tahoma" w:cs="Tahoma"/>
          <w:lang w:val="es-CO"/>
        </w:rPr>
        <w:t xml:space="preserve"> se suscita</w:t>
      </w:r>
      <w:r>
        <w:rPr>
          <w:rFonts w:ascii="Tahoma" w:hAnsi="Tahoma" w:cs="Tahoma"/>
          <w:lang w:val="es-CO"/>
        </w:rPr>
        <w:t xml:space="preserve"> entre las partes no gira en torno a la existencia</w:t>
      </w:r>
      <w:r w:rsidR="00CE28C1">
        <w:rPr>
          <w:rFonts w:ascii="Tahoma" w:hAnsi="Tahoma" w:cs="Tahoma"/>
          <w:lang w:val="es-CO"/>
        </w:rPr>
        <w:t xml:space="preserve"> o no</w:t>
      </w:r>
      <w:r>
        <w:rPr>
          <w:rFonts w:ascii="Tahoma" w:hAnsi="Tahoma" w:cs="Tahoma"/>
          <w:lang w:val="es-CO"/>
        </w:rPr>
        <w:t xml:space="preserve"> del contrato de trabajo de modalidad escrita y a término fijo de tres (3) meses</w:t>
      </w:r>
      <w:r w:rsidR="004B2DBE">
        <w:rPr>
          <w:rFonts w:ascii="Tahoma" w:hAnsi="Tahoma" w:cs="Tahoma"/>
          <w:lang w:val="es-CO"/>
        </w:rPr>
        <w:t xml:space="preserve"> celebrad</w:t>
      </w:r>
      <w:r w:rsidR="00CE28C1">
        <w:rPr>
          <w:rFonts w:ascii="Tahoma" w:hAnsi="Tahoma" w:cs="Tahoma"/>
          <w:lang w:val="es-CO"/>
        </w:rPr>
        <w:t>o</w:t>
      </w:r>
      <w:r w:rsidR="00DA29DB">
        <w:rPr>
          <w:rFonts w:ascii="Tahoma" w:hAnsi="Tahoma" w:cs="Tahoma"/>
          <w:lang w:val="es-CO"/>
        </w:rPr>
        <w:t xml:space="preserve"> </w:t>
      </w:r>
      <w:r w:rsidR="00764218">
        <w:rPr>
          <w:rFonts w:ascii="Tahoma" w:hAnsi="Tahoma" w:cs="Tahoma"/>
          <w:lang w:val="es-CO"/>
        </w:rPr>
        <w:t>entre la señora MARÍA LEONOR ORTEGA MATALLANA</w:t>
      </w:r>
      <w:r w:rsidR="004B2DBE">
        <w:rPr>
          <w:rFonts w:ascii="Tahoma" w:hAnsi="Tahoma" w:cs="Tahoma"/>
          <w:lang w:val="es-CO"/>
        </w:rPr>
        <w:t xml:space="preserve"> y la sociedad PROMOTORA LA AURORA S.A.</w:t>
      </w:r>
      <w:r w:rsidR="00CE28C1">
        <w:rPr>
          <w:rFonts w:ascii="Tahoma" w:hAnsi="Tahoma" w:cs="Tahoma"/>
          <w:lang w:val="es-CO"/>
        </w:rPr>
        <w:t>,</w:t>
      </w:r>
      <w:r w:rsidR="00764218">
        <w:rPr>
          <w:rFonts w:ascii="Tahoma" w:hAnsi="Tahoma" w:cs="Tahoma"/>
          <w:lang w:val="es-CO"/>
        </w:rPr>
        <w:t xml:space="preserve"> puesto que</w:t>
      </w:r>
      <w:r w:rsidR="00576A26">
        <w:rPr>
          <w:rFonts w:ascii="Tahoma" w:hAnsi="Tahoma" w:cs="Tahoma"/>
          <w:lang w:val="es-CO"/>
        </w:rPr>
        <w:t xml:space="preserve"> aquella circunstancia fáctica, lo mismo que los extremos de la relación laboral y el cargo que ocupó la demandante en ejecución del contrato, son</w:t>
      </w:r>
      <w:r w:rsidR="00DA29DB">
        <w:rPr>
          <w:rFonts w:ascii="Tahoma" w:hAnsi="Tahoma" w:cs="Tahoma"/>
          <w:lang w:val="es-CO"/>
        </w:rPr>
        <w:t xml:space="preserve"> </w:t>
      </w:r>
      <w:r w:rsidR="00764218">
        <w:rPr>
          <w:rFonts w:ascii="Tahoma" w:hAnsi="Tahoma" w:cs="Tahoma"/>
          <w:lang w:val="es-CO"/>
        </w:rPr>
        <w:t>todos aspectos</w:t>
      </w:r>
      <w:r w:rsidR="00576A26">
        <w:rPr>
          <w:rFonts w:ascii="Tahoma" w:hAnsi="Tahoma" w:cs="Tahoma"/>
          <w:lang w:val="es-CO"/>
        </w:rPr>
        <w:t xml:space="preserve"> que</w:t>
      </w:r>
      <w:r w:rsidR="00764218">
        <w:rPr>
          <w:rFonts w:ascii="Tahoma" w:hAnsi="Tahoma" w:cs="Tahoma"/>
          <w:lang w:val="es-CO"/>
        </w:rPr>
        <w:t xml:space="preserve"> han sido</w:t>
      </w:r>
      <w:r>
        <w:rPr>
          <w:rFonts w:ascii="Tahoma" w:hAnsi="Tahoma" w:cs="Tahoma"/>
          <w:lang w:val="es-CO"/>
        </w:rPr>
        <w:t xml:space="preserve"> expresamente aceptados por la sociedad convocada al presente juicio</w:t>
      </w:r>
      <w:r w:rsidR="00764218">
        <w:rPr>
          <w:rFonts w:ascii="Tahoma" w:hAnsi="Tahoma" w:cs="Tahoma"/>
          <w:lang w:val="es-CO"/>
        </w:rPr>
        <w:t xml:space="preserve"> laboral</w:t>
      </w:r>
      <w:r>
        <w:rPr>
          <w:rFonts w:ascii="Tahoma" w:hAnsi="Tahoma" w:cs="Tahoma"/>
          <w:lang w:val="es-CO"/>
        </w:rPr>
        <w:t>.</w:t>
      </w:r>
    </w:p>
    <w:p w:rsidR="00576A26" w:rsidRDefault="00576A26" w:rsidP="000B2605">
      <w:pPr>
        <w:spacing w:line="240" w:lineRule="auto"/>
        <w:jc w:val="both"/>
        <w:rPr>
          <w:rFonts w:ascii="Tahoma" w:hAnsi="Tahoma" w:cs="Tahoma"/>
          <w:lang w:val="es-CO"/>
        </w:rPr>
      </w:pPr>
    </w:p>
    <w:p w:rsidR="00764218" w:rsidRDefault="00576A26" w:rsidP="00781C89">
      <w:pPr>
        <w:spacing w:line="276" w:lineRule="auto"/>
        <w:jc w:val="both"/>
        <w:rPr>
          <w:rFonts w:ascii="Tahoma" w:hAnsi="Tahoma" w:cs="Tahoma"/>
          <w:lang w:val="es-CO"/>
        </w:rPr>
      </w:pPr>
      <w:r>
        <w:rPr>
          <w:rFonts w:ascii="Tahoma" w:hAnsi="Tahoma" w:cs="Tahoma"/>
          <w:lang w:val="es-CO"/>
        </w:rPr>
        <w:tab/>
      </w:r>
      <w:r w:rsidR="004B2DBE">
        <w:rPr>
          <w:rFonts w:ascii="Tahoma" w:hAnsi="Tahoma" w:cs="Tahoma"/>
          <w:lang w:val="es-CO"/>
        </w:rPr>
        <w:t>En ese orden</w:t>
      </w:r>
      <w:r w:rsidR="00CE28C1">
        <w:rPr>
          <w:rFonts w:ascii="Tahoma" w:hAnsi="Tahoma" w:cs="Tahoma"/>
          <w:lang w:val="es-CO"/>
        </w:rPr>
        <w:t xml:space="preserve"> de ideas</w:t>
      </w:r>
      <w:r w:rsidR="00DA29DB">
        <w:rPr>
          <w:rFonts w:ascii="Tahoma" w:hAnsi="Tahoma" w:cs="Tahoma"/>
          <w:lang w:val="es-CO"/>
        </w:rPr>
        <w:t>, se centró</w:t>
      </w:r>
      <w:r w:rsidR="004B2DBE">
        <w:rPr>
          <w:rFonts w:ascii="Tahoma" w:hAnsi="Tahoma" w:cs="Tahoma"/>
          <w:lang w:val="es-CO"/>
        </w:rPr>
        <w:t xml:space="preserve"> la materia del litigio en el monto del salari</w:t>
      </w:r>
      <w:r w:rsidR="00DD1E3C">
        <w:rPr>
          <w:rFonts w:ascii="Tahoma" w:hAnsi="Tahoma" w:cs="Tahoma"/>
          <w:lang w:val="es-CO"/>
        </w:rPr>
        <w:t xml:space="preserve">o base de la liquidación de </w:t>
      </w:r>
      <w:r w:rsidR="004B2DBE">
        <w:rPr>
          <w:rFonts w:ascii="Tahoma" w:hAnsi="Tahoma" w:cs="Tahoma"/>
          <w:lang w:val="es-CO"/>
        </w:rPr>
        <w:t>p</w:t>
      </w:r>
      <w:r w:rsidR="00CE28C1">
        <w:rPr>
          <w:rFonts w:ascii="Tahoma" w:hAnsi="Tahoma" w:cs="Tahoma"/>
          <w:lang w:val="es-CO"/>
        </w:rPr>
        <w:t>restaciones s</w:t>
      </w:r>
      <w:r w:rsidR="004B2DBE">
        <w:rPr>
          <w:rFonts w:ascii="Tahoma" w:hAnsi="Tahoma" w:cs="Tahoma"/>
          <w:lang w:val="es-CO"/>
        </w:rPr>
        <w:t>ociales</w:t>
      </w:r>
      <w:r w:rsidR="00764218">
        <w:rPr>
          <w:rFonts w:ascii="Tahoma" w:hAnsi="Tahoma" w:cs="Tahoma"/>
          <w:lang w:val="es-CO"/>
        </w:rPr>
        <w:t xml:space="preserve"> y el pago de la indemnización por despido injusto, como quiera</w:t>
      </w:r>
      <w:r>
        <w:rPr>
          <w:rFonts w:ascii="Tahoma" w:hAnsi="Tahoma" w:cs="Tahoma"/>
          <w:lang w:val="es-CO"/>
        </w:rPr>
        <w:t xml:space="preserve"> que la actora</w:t>
      </w:r>
      <w:r w:rsidR="00764218">
        <w:rPr>
          <w:rFonts w:ascii="Tahoma" w:hAnsi="Tahoma" w:cs="Tahoma"/>
          <w:lang w:val="es-CO"/>
        </w:rPr>
        <w:t xml:space="preserve"> recl</w:t>
      </w:r>
      <w:r>
        <w:rPr>
          <w:rFonts w:ascii="Tahoma" w:hAnsi="Tahoma" w:cs="Tahoma"/>
          <w:lang w:val="es-CO"/>
        </w:rPr>
        <w:t>ama que para establecer</w:t>
      </w:r>
      <w:r w:rsidR="00DA29DB">
        <w:rPr>
          <w:rFonts w:ascii="Tahoma" w:hAnsi="Tahoma" w:cs="Tahoma"/>
          <w:lang w:val="es-CO"/>
        </w:rPr>
        <w:t xml:space="preserve">se dicha base, el empleador </w:t>
      </w:r>
      <w:r>
        <w:rPr>
          <w:rFonts w:ascii="Tahoma" w:hAnsi="Tahoma" w:cs="Tahoma"/>
          <w:lang w:val="es-CO"/>
        </w:rPr>
        <w:t>ha debido tomar</w:t>
      </w:r>
      <w:r w:rsidR="00764218">
        <w:rPr>
          <w:rFonts w:ascii="Tahoma" w:hAnsi="Tahoma" w:cs="Tahoma"/>
          <w:lang w:val="es-CO"/>
        </w:rPr>
        <w:t xml:space="preserve"> como factor salarial lo correspondiente al emolumento mensual pagado por concepto de </w:t>
      </w:r>
      <w:r>
        <w:rPr>
          <w:rFonts w:ascii="Tahoma" w:hAnsi="Tahoma" w:cs="Tahoma"/>
          <w:lang w:val="es-CO"/>
        </w:rPr>
        <w:t>lo que denominaron</w:t>
      </w:r>
      <w:r w:rsidR="00764218">
        <w:rPr>
          <w:rFonts w:ascii="Tahoma" w:hAnsi="Tahoma" w:cs="Tahoma"/>
          <w:lang w:val="es-CO"/>
        </w:rPr>
        <w:t xml:space="preserve"> las partes “comisión por ventas en brigadas”</w:t>
      </w:r>
      <w:r>
        <w:rPr>
          <w:rFonts w:ascii="Tahoma" w:hAnsi="Tahoma" w:cs="Tahoma"/>
          <w:lang w:val="es-CO"/>
        </w:rPr>
        <w:t xml:space="preserve"> cuyo </w:t>
      </w:r>
      <w:r w:rsidR="00EA6BA2">
        <w:rPr>
          <w:rFonts w:ascii="Tahoma" w:hAnsi="Tahoma" w:cs="Tahoma"/>
          <w:lang w:val="es-CO"/>
        </w:rPr>
        <w:t>monto</w:t>
      </w:r>
      <w:r w:rsidR="00D85C70">
        <w:rPr>
          <w:rFonts w:ascii="Tahoma" w:hAnsi="Tahoma" w:cs="Tahoma"/>
          <w:lang w:val="es-CO"/>
        </w:rPr>
        <w:t xml:space="preserve"> mensual</w:t>
      </w:r>
      <w:r w:rsidR="00DA29DB">
        <w:rPr>
          <w:rFonts w:ascii="Tahoma" w:hAnsi="Tahoma" w:cs="Tahoma"/>
          <w:lang w:val="es-CO"/>
        </w:rPr>
        <w:t xml:space="preserve"> </w:t>
      </w:r>
      <w:r>
        <w:rPr>
          <w:rFonts w:ascii="Tahoma" w:hAnsi="Tahoma" w:cs="Tahoma"/>
          <w:lang w:val="es-CO"/>
        </w:rPr>
        <w:t>ascendía</w:t>
      </w:r>
      <w:r w:rsidR="00EA6BA2">
        <w:rPr>
          <w:rFonts w:ascii="Tahoma" w:hAnsi="Tahoma" w:cs="Tahoma"/>
          <w:lang w:val="es-CO"/>
        </w:rPr>
        <w:t xml:space="preserve"> a la suma de </w:t>
      </w:r>
      <w:r w:rsidR="00764218">
        <w:rPr>
          <w:rFonts w:ascii="Tahoma" w:hAnsi="Tahoma" w:cs="Tahoma"/>
          <w:lang w:val="es-CO"/>
        </w:rPr>
        <w:t>$500.000</w:t>
      </w:r>
      <w:r w:rsidR="00EA6BA2">
        <w:rPr>
          <w:rFonts w:ascii="Tahoma" w:hAnsi="Tahoma" w:cs="Tahoma"/>
          <w:lang w:val="es-CO"/>
        </w:rPr>
        <w:t xml:space="preserve"> en promedio. </w:t>
      </w:r>
    </w:p>
    <w:p w:rsidR="00764218" w:rsidRDefault="00764218" w:rsidP="000B2605">
      <w:pPr>
        <w:spacing w:line="240" w:lineRule="auto"/>
        <w:jc w:val="both"/>
        <w:rPr>
          <w:rFonts w:ascii="Tahoma" w:hAnsi="Tahoma" w:cs="Tahoma"/>
          <w:lang w:val="es-CO"/>
        </w:rPr>
      </w:pPr>
    </w:p>
    <w:p w:rsidR="004B2DBE" w:rsidRDefault="00764218" w:rsidP="00781C89">
      <w:pPr>
        <w:spacing w:line="276" w:lineRule="auto"/>
        <w:jc w:val="both"/>
        <w:rPr>
          <w:rFonts w:ascii="Tahoma" w:hAnsi="Tahoma" w:cs="Tahoma"/>
          <w:lang w:val="es-CO"/>
        </w:rPr>
      </w:pPr>
      <w:r>
        <w:rPr>
          <w:rFonts w:ascii="Tahoma" w:hAnsi="Tahoma" w:cs="Tahoma"/>
          <w:lang w:val="es-CO"/>
        </w:rPr>
        <w:tab/>
        <w:t>Por su parte, la empresa</w:t>
      </w:r>
      <w:r w:rsidR="00EA6BA2">
        <w:rPr>
          <w:rFonts w:ascii="Tahoma" w:hAnsi="Tahoma" w:cs="Tahoma"/>
          <w:lang w:val="es-CO"/>
        </w:rPr>
        <w:t xml:space="preserve"> demandada</w:t>
      </w:r>
      <w:r w:rsidR="00DD1E3C">
        <w:rPr>
          <w:rFonts w:ascii="Tahoma" w:hAnsi="Tahoma" w:cs="Tahoma"/>
          <w:lang w:val="es-CO"/>
        </w:rPr>
        <w:t xml:space="preserve"> se opuso</w:t>
      </w:r>
      <w:r>
        <w:rPr>
          <w:rFonts w:ascii="Tahoma" w:hAnsi="Tahoma" w:cs="Tahoma"/>
          <w:lang w:val="es-CO"/>
        </w:rPr>
        <w:t xml:space="preserve"> a la prosperidad de aquella pretensión, aduciend</w:t>
      </w:r>
      <w:r w:rsidR="00EA6BA2">
        <w:rPr>
          <w:rFonts w:ascii="Tahoma" w:hAnsi="Tahoma" w:cs="Tahoma"/>
          <w:lang w:val="es-CO"/>
        </w:rPr>
        <w:t xml:space="preserve">o en su defensa que lo pagado por concepto de </w:t>
      </w:r>
      <w:r w:rsidR="00EA6BA2" w:rsidRPr="00D85C70">
        <w:rPr>
          <w:rFonts w:ascii="Tahoma" w:hAnsi="Tahoma" w:cs="Tahoma"/>
          <w:i/>
          <w:lang w:val="es-CO"/>
        </w:rPr>
        <w:t>“comisión por ventas en brigadas”</w:t>
      </w:r>
      <w:r w:rsidR="00EA6BA2">
        <w:rPr>
          <w:rFonts w:ascii="Tahoma" w:hAnsi="Tahoma" w:cs="Tahoma"/>
          <w:lang w:val="es-CO"/>
        </w:rPr>
        <w:t xml:space="preserve"> constituye un beneficio adicional y extracont</w:t>
      </w:r>
      <w:r w:rsidR="00DD1E3C">
        <w:rPr>
          <w:rFonts w:ascii="Tahoma" w:hAnsi="Tahoma" w:cs="Tahoma"/>
          <w:lang w:val="es-CO"/>
        </w:rPr>
        <w:t>ractual pactado entre la</w:t>
      </w:r>
      <w:r w:rsidR="00EA6BA2">
        <w:rPr>
          <w:rFonts w:ascii="Tahoma" w:hAnsi="Tahoma" w:cs="Tahoma"/>
          <w:lang w:val="es-CO"/>
        </w:rPr>
        <w:t xml:space="preserve"> empresa y sus trabajadores como incentivo para que estos incrementen sus ingresos mensuales y</w:t>
      </w:r>
      <w:r w:rsidR="007C0F5B">
        <w:rPr>
          <w:rFonts w:ascii="Tahoma" w:hAnsi="Tahoma" w:cs="Tahoma"/>
          <w:lang w:val="es-CO"/>
        </w:rPr>
        <w:t>,</w:t>
      </w:r>
      <w:r w:rsidR="00EA6BA2">
        <w:rPr>
          <w:rFonts w:ascii="Tahoma" w:hAnsi="Tahoma" w:cs="Tahoma"/>
          <w:lang w:val="es-CO"/>
        </w:rPr>
        <w:t xml:space="preserve"> en sentido estricto</w:t>
      </w:r>
      <w:r w:rsidR="007C0F5B">
        <w:rPr>
          <w:rFonts w:ascii="Tahoma" w:hAnsi="Tahoma" w:cs="Tahoma"/>
          <w:lang w:val="es-CO"/>
        </w:rPr>
        <w:t>,</w:t>
      </w:r>
      <w:r w:rsidR="00EA6BA2">
        <w:rPr>
          <w:rFonts w:ascii="Tahoma" w:hAnsi="Tahoma" w:cs="Tahoma"/>
          <w:lang w:val="es-CO"/>
        </w:rPr>
        <w:t xml:space="preserve"> no tiene el carácter </w:t>
      </w:r>
      <w:r w:rsidR="00D85C70">
        <w:rPr>
          <w:rFonts w:ascii="Tahoma" w:hAnsi="Tahoma" w:cs="Tahoma"/>
          <w:lang w:val="es-CO"/>
        </w:rPr>
        <w:t>de comisión</w:t>
      </w:r>
      <w:r w:rsidR="00EA6BA2">
        <w:rPr>
          <w:rFonts w:ascii="Tahoma" w:hAnsi="Tahoma" w:cs="Tahoma"/>
          <w:lang w:val="es-CO"/>
        </w:rPr>
        <w:t>, por lo tanto</w:t>
      </w:r>
      <w:r w:rsidR="00D85C70">
        <w:rPr>
          <w:rFonts w:ascii="Tahoma" w:hAnsi="Tahoma" w:cs="Tahoma"/>
          <w:lang w:val="es-CO"/>
        </w:rPr>
        <w:t>,</w:t>
      </w:r>
      <w:r w:rsidR="00EA6BA2">
        <w:rPr>
          <w:rFonts w:ascii="Tahoma" w:hAnsi="Tahoma" w:cs="Tahoma"/>
          <w:lang w:val="es-CO"/>
        </w:rPr>
        <w:t xml:space="preserve"> no es</w:t>
      </w:r>
      <w:r w:rsidR="00D85C70">
        <w:rPr>
          <w:rFonts w:ascii="Tahoma" w:hAnsi="Tahoma" w:cs="Tahoma"/>
          <w:lang w:val="es-CO"/>
        </w:rPr>
        <w:t xml:space="preserve"> un emolumento</w:t>
      </w:r>
      <w:r w:rsidR="007C0F5B">
        <w:rPr>
          <w:rFonts w:ascii="Tahoma" w:hAnsi="Tahoma" w:cs="Tahoma"/>
          <w:lang w:val="es-CO"/>
        </w:rPr>
        <w:t xml:space="preserve"> que pueda considerarse</w:t>
      </w:r>
      <w:r w:rsidR="00EA6BA2">
        <w:rPr>
          <w:rFonts w:ascii="Tahoma" w:hAnsi="Tahoma" w:cs="Tahoma"/>
          <w:lang w:val="es-CO"/>
        </w:rPr>
        <w:t xml:space="preserve"> constitutivo de salario, ya que ni siquiera es pagado directamente por e</w:t>
      </w:r>
      <w:r w:rsidR="00DD1E3C">
        <w:rPr>
          <w:rFonts w:ascii="Tahoma" w:hAnsi="Tahoma" w:cs="Tahoma"/>
          <w:lang w:val="es-CO"/>
        </w:rPr>
        <w:t>l empleador, sino por la empresa beneficiaria</w:t>
      </w:r>
      <w:r w:rsidR="00EA6BA2">
        <w:rPr>
          <w:rFonts w:ascii="Tahoma" w:hAnsi="Tahoma" w:cs="Tahoma"/>
          <w:lang w:val="es-CO"/>
        </w:rPr>
        <w:t xml:space="preserve"> de las ventas efectuadas por el respectivo trabajador</w:t>
      </w:r>
      <w:r w:rsidR="00D85C70">
        <w:rPr>
          <w:rFonts w:ascii="Tahoma" w:hAnsi="Tahoma" w:cs="Tahoma"/>
          <w:lang w:val="es-CO"/>
        </w:rPr>
        <w:t>.</w:t>
      </w:r>
      <w:r w:rsidR="00A25D79">
        <w:rPr>
          <w:rFonts w:ascii="Tahoma" w:hAnsi="Tahoma" w:cs="Tahoma"/>
          <w:lang w:val="es-CO"/>
        </w:rPr>
        <w:t xml:space="preserve"> Al respecto de la indemnización por despido i</w:t>
      </w:r>
      <w:r w:rsidR="00DA29DB">
        <w:rPr>
          <w:rFonts w:ascii="Tahoma" w:hAnsi="Tahoma" w:cs="Tahoma"/>
          <w:lang w:val="es-CO"/>
        </w:rPr>
        <w:t xml:space="preserve">njusto, aseguró que el preaviso </w:t>
      </w:r>
      <w:r w:rsidR="00DD1E3C">
        <w:rPr>
          <w:rFonts w:ascii="Tahoma" w:hAnsi="Tahoma" w:cs="Tahoma"/>
          <w:lang w:val="es-CO"/>
        </w:rPr>
        <w:t xml:space="preserve">de terminación del </w:t>
      </w:r>
      <w:r w:rsidR="00A25D79">
        <w:rPr>
          <w:rFonts w:ascii="Tahoma" w:hAnsi="Tahoma" w:cs="Tahoma"/>
          <w:lang w:val="es-CO"/>
        </w:rPr>
        <w:t xml:space="preserve">contrato de trabajo se efectuó dentro del término preceptuado en el artículo 46 del C.S.T. </w:t>
      </w:r>
      <w:r w:rsidR="00DD1E3C">
        <w:rPr>
          <w:rFonts w:ascii="Tahoma" w:hAnsi="Tahoma" w:cs="Tahoma"/>
          <w:lang w:val="es-CO"/>
        </w:rPr>
        <w:t>En ese orden</w:t>
      </w:r>
      <w:r w:rsidR="007C0F5B">
        <w:rPr>
          <w:rFonts w:ascii="Tahoma" w:hAnsi="Tahoma" w:cs="Tahoma"/>
          <w:lang w:val="es-CO"/>
        </w:rPr>
        <w:t>, p</w:t>
      </w:r>
      <w:r w:rsidR="00DD1E3C">
        <w:rPr>
          <w:rFonts w:ascii="Tahoma" w:hAnsi="Tahoma" w:cs="Tahoma"/>
          <w:lang w:val="es-CO"/>
        </w:rPr>
        <w:t>ropone como medios exceptivos los</w:t>
      </w:r>
      <w:r w:rsidR="007C0F5B">
        <w:rPr>
          <w:rFonts w:ascii="Tahoma" w:hAnsi="Tahoma" w:cs="Tahoma"/>
          <w:lang w:val="es-CO"/>
        </w:rPr>
        <w:t xml:space="preserve"> de ausencia del derecho reclamado, transacción, cosa juzgada, pago total, cobro de lo </w:t>
      </w:r>
      <w:r w:rsidR="00DD1E3C">
        <w:rPr>
          <w:rFonts w:ascii="Tahoma" w:hAnsi="Tahoma" w:cs="Tahoma"/>
          <w:lang w:val="es-CO"/>
        </w:rPr>
        <w:t xml:space="preserve">no debido, mala fe de la actora, </w:t>
      </w:r>
      <w:r w:rsidR="00077746">
        <w:rPr>
          <w:rFonts w:ascii="Tahoma" w:hAnsi="Tahoma" w:cs="Tahoma"/>
          <w:lang w:val="es-CO"/>
        </w:rPr>
        <w:t>buena fe del accionado y abuso del derecho.</w:t>
      </w:r>
    </w:p>
    <w:p w:rsidR="00077746" w:rsidRDefault="00077746" w:rsidP="00781C89">
      <w:pPr>
        <w:spacing w:line="276" w:lineRule="auto"/>
        <w:jc w:val="both"/>
        <w:rPr>
          <w:rFonts w:ascii="Tahoma" w:hAnsi="Tahoma" w:cs="Tahoma"/>
          <w:lang w:val="es-CO"/>
        </w:rPr>
      </w:pPr>
    </w:p>
    <w:p w:rsidR="00077746" w:rsidRPr="00077746" w:rsidRDefault="00077746" w:rsidP="00781C89">
      <w:pPr>
        <w:pStyle w:val="Prrafodelista"/>
        <w:numPr>
          <w:ilvl w:val="0"/>
          <w:numId w:val="1"/>
        </w:numPr>
        <w:spacing w:line="276" w:lineRule="auto"/>
        <w:ind w:left="0" w:firstLine="0"/>
        <w:jc w:val="center"/>
        <w:rPr>
          <w:rFonts w:ascii="Tahoma" w:hAnsi="Tahoma" w:cs="Tahoma"/>
          <w:b/>
          <w:lang w:val="es-CO"/>
        </w:rPr>
      </w:pPr>
      <w:r w:rsidRPr="00077746">
        <w:rPr>
          <w:rFonts w:ascii="Tahoma" w:hAnsi="Tahoma" w:cs="Tahoma"/>
          <w:b/>
          <w:lang w:val="es-CO"/>
        </w:rPr>
        <w:t>SENTENCIA DE PRIMER GRADO</w:t>
      </w:r>
    </w:p>
    <w:p w:rsidR="00077746" w:rsidRDefault="00077746" w:rsidP="000B2605">
      <w:pPr>
        <w:spacing w:line="240" w:lineRule="auto"/>
        <w:jc w:val="both"/>
        <w:rPr>
          <w:rFonts w:ascii="Tahoma" w:hAnsi="Tahoma" w:cs="Tahoma"/>
          <w:lang w:val="es-CO"/>
        </w:rPr>
      </w:pPr>
    </w:p>
    <w:p w:rsidR="00CE47DF" w:rsidRDefault="00077746" w:rsidP="00781C89">
      <w:pPr>
        <w:spacing w:line="276" w:lineRule="auto"/>
        <w:jc w:val="both"/>
        <w:rPr>
          <w:rFonts w:ascii="Tahoma" w:hAnsi="Tahoma" w:cs="Tahoma"/>
          <w:lang w:val="es-CO"/>
        </w:rPr>
      </w:pPr>
      <w:r>
        <w:rPr>
          <w:rFonts w:ascii="Tahoma" w:hAnsi="Tahoma" w:cs="Tahoma"/>
          <w:lang w:val="es-CO"/>
        </w:rPr>
        <w:tab/>
      </w:r>
      <w:r w:rsidR="00E34B85">
        <w:rPr>
          <w:rFonts w:ascii="Tahoma" w:hAnsi="Tahoma" w:cs="Tahoma"/>
          <w:lang w:val="es-CO"/>
        </w:rPr>
        <w:t xml:space="preserve">En sede de primer grado se fulminó condena en contra de la PROMOTORA LA AURORA S.A., </w:t>
      </w:r>
      <w:r w:rsidR="007813CB">
        <w:rPr>
          <w:rFonts w:ascii="Tahoma" w:hAnsi="Tahoma" w:cs="Tahoma"/>
          <w:lang w:val="es-CO"/>
        </w:rPr>
        <w:t>a la que</w:t>
      </w:r>
      <w:r w:rsidR="00CE47DF">
        <w:rPr>
          <w:rFonts w:ascii="Tahoma" w:hAnsi="Tahoma" w:cs="Tahoma"/>
          <w:lang w:val="es-CO"/>
        </w:rPr>
        <w:t xml:space="preserve"> el juez</w:t>
      </w:r>
      <w:r w:rsidR="007813CB">
        <w:rPr>
          <w:rFonts w:ascii="Tahoma" w:hAnsi="Tahoma" w:cs="Tahoma"/>
          <w:lang w:val="es-CO"/>
        </w:rPr>
        <w:t xml:space="preserve"> condenó al pago de la suma de </w:t>
      </w:r>
      <w:r w:rsidR="007813CB" w:rsidRPr="00DA29DB">
        <w:rPr>
          <w:rFonts w:ascii="Tahoma" w:hAnsi="Tahoma" w:cs="Tahoma"/>
          <w:b/>
          <w:lang w:val="es-CO"/>
        </w:rPr>
        <w:t>VEINTICUATRO MILLONES SEISCIENTOS VEINTIOCHO MIL QUINIENTOS CINCUENTA Y OCHO ($24.628.558)</w:t>
      </w:r>
      <w:r w:rsidR="00DA29DB">
        <w:rPr>
          <w:rFonts w:ascii="Tahoma" w:hAnsi="Tahoma" w:cs="Tahoma"/>
          <w:b/>
          <w:lang w:val="es-CO"/>
        </w:rPr>
        <w:t xml:space="preserve"> </w:t>
      </w:r>
      <w:r w:rsidR="00DA29DB" w:rsidRPr="00DA29DB">
        <w:rPr>
          <w:rFonts w:ascii="Tahoma" w:hAnsi="Tahoma" w:cs="Tahoma"/>
          <w:lang w:val="es-CO"/>
        </w:rPr>
        <w:t>por concepto de la indemnización por despido injusto</w:t>
      </w:r>
      <w:r w:rsidR="00DA29DB">
        <w:rPr>
          <w:rFonts w:ascii="Tahoma" w:hAnsi="Tahoma" w:cs="Tahoma"/>
          <w:lang w:val="es-CO"/>
        </w:rPr>
        <w:t xml:space="preserve"> y</w:t>
      </w:r>
      <w:r w:rsidR="00DA29DB">
        <w:rPr>
          <w:rFonts w:ascii="Tahoma" w:hAnsi="Tahoma" w:cs="Tahoma"/>
          <w:b/>
          <w:lang w:val="es-CO"/>
        </w:rPr>
        <w:t xml:space="preserve"> </w:t>
      </w:r>
      <w:r w:rsidR="00DA29DB">
        <w:rPr>
          <w:rFonts w:ascii="Tahoma" w:hAnsi="Tahoma" w:cs="Tahoma"/>
          <w:lang w:val="es-CO"/>
        </w:rPr>
        <w:t>por el</w:t>
      </w:r>
      <w:r w:rsidR="007813CB">
        <w:rPr>
          <w:rFonts w:ascii="Tahoma" w:hAnsi="Tahoma" w:cs="Tahoma"/>
          <w:lang w:val="es-CO"/>
        </w:rPr>
        <w:t xml:space="preserve"> reajuste de </w:t>
      </w:r>
      <w:r w:rsidR="00DA29DB">
        <w:rPr>
          <w:rFonts w:ascii="Tahoma" w:hAnsi="Tahoma" w:cs="Tahoma"/>
          <w:lang w:val="es-CO"/>
        </w:rPr>
        <w:t>cesantías, prima de servicios e</w:t>
      </w:r>
      <w:r w:rsidR="00CE47DF">
        <w:rPr>
          <w:rFonts w:ascii="Tahoma" w:hAnsi="Tahoma" w:cs="Tahoma"/>
          <w:lang w:val="es-CO"/>
        </w:rPr>
        <w:t xml:space="preserve"> </w:t>
      </w:r>
      <w:r w:rsidR="007813CB">
        <w:rPr>
          <w:rFonts w:ascii="Tahoma" w:hAnsi="Tahoma" w:cs="Tahoma"/>
          <w:lang w:val="es-CO"/>
        </w:rPr>
        <w:t>intereses a las cesantías</w:t>
      </w:r>
      <w:r w:rsidR="00CE47DF">
        <w:rPr>
          <w:rFonts w:ascii="Tahoma" w:hAnsi="Tahoma" w:cs="Tahoma"/>
          <w:lang w:val="es-CO"/>
        </w:rPr>
        <w:t>,</w:t>
      </w:r>
      <w:r w:rsidR="007813CB">
        <w:rPr>
          <w:rFonts w:ascii="Tahoma" w:hAnsi="Tahoma" w:cs="Tahoma"/>
          <w:lang w:val="es-CO"/>
        </w:rPr>
        <w:t xml:space="preserve"> y le ordenó que </w:t>
      </w:r>
      <w:r w:rsidR="00CE47DF">
        <w:rPr>
          <w:rFonts w:ascii="Tahoma" w:hAnsi="Tahoma" w:cs="Tahoma"/>
          <w:lang w:val="es-CO"/>
        </w:rPr>
        <w:t xml:space="preserve">pagara a la </w:t>
      </w:r>
      <w:r w:rsidR="00CE47DF" w:rsidRPr="00CE47DF">
        <w:rPr>
          <w:rFonts w:ascii="Tahoma" w:hAnsi="Tahoma" w:cs="Tahoma"/>
          <w:b/>
          <w:lang w:val="es-CO"/>
        </w:rPr>
        <w:t>AFP PORVENIR</w:t>
      </w:r>
      <w:r w:rsidR="00CE47DF">
        <w:rPr>
          <w:rFonts w:ascii="Tahoma" w:hAnsi="Tahoma" w:cs="Tahoma"/>
          <w:lang w:val="es-CO"/>
        </w:rPr>
        <w:t xml:space="preserve"> lo dejado de aportar por conceptos cotizaciones mensuales del actor al subsistema de pensiones. </w:t>
      </w:r>
    </w:p>
    <w:p w:rsidR="00DA29DB" w:rsidRDefault="00DA29DB" w:rsidP="000B2605">
      <w:pPr>
        <w:spacing w:line="240" w:lineRule="auto"/>
        <w:jc w:val="both"/>
        <w:rPr>
          <w:rFonts w:ascii="Tahoma" w:hAnsi="Tahoma" w:cs="Tahoma"/>
          <w:lang w:val="es-CO"/>
        </w:rPr>
      </w:pPr>
    </w:p>
    <w:p w:rsidR="00DA29DB" w:rsidRDefault="00DA29DB" w:rsidP="00781C89">
      <w:pPr>
        <w:spacing w:line="276" w:lineRule="auto"/>
        <w:ind w:firstLine="708"/>
        <w:jc w:val="both"/>
        <w:rPr>
          <w:rFonts w:ascii="Tahoma" w:hAnsi="Tahoma" w:cs="Tahoma"/>
        </w:rPr>
      </w:pPr>
      <w:r w:rsidRPr="00BB0009">
        <w:rPr>
          <w:rFonts w:ascii="Tahoma" w:hAnsi="Tahoma" w:cs="Tahoma"/>
        </w:rPr>
        <w:t xml:space="preserve">De acuerdo a lo expuesto por el operador judicial de primera instancia, para la fecha en que la empresa dio preaviso al demandante de su decisión de no prorrogarle el contrato de trabajo a término fijo,  ya había fenecido la oportunidad legal para hacerlo; en tal sentido, condenó al pago de la indemnización por despido ilegal o injusto, la cual calculó en la suma de </w:t>
      </w:r>
      <w:r w:rsidRPr="008D0CB4">
        <w:rPr>
          <w:rFonts w:ascii="Tahoma" w:hAnsi="Tahoma" w:cs="Tahoma"/>
          <w:b/>
        </w:rPr>
        <w:t xml:space="preserve">$21.473.652. </w:t>
      </w:r>
    </w:p>
    <w:p w:rsidR="00DA29DB" w:rsidRDefault="00DA29DB" w:rsidP="000B2605">
      <w:pPr>
        <w:spacing w:line="240" w:lineRule="auto"/>
        <w:ind w:firstLine="709"/>
        <w:jc w:val="both"/>
        <w:rPr>
          <w:rFonts w:ascii="Tahoma" w:hAnsi="Tahoma" w:cs="Tahoma"/>
        </w:rPr>
      </w:pPr>
    </w:p>
    <w:p w:rsidR="00DA29DB" w:rsidRDefault="00DA29DB" w:rsidP="00781C89">
      <w:pPr>
        <w:spacing w:line="276" w:lineRule="auto"/>
        <w:ind w:firstLine="708"/>
        <w:jc w:val="both"/>
        <w:rPr>
          <w:rFonts w:ascii="Tahoma" w:hAnsi="Tahoma" w:cs="Tahoma"/>
        </w:rPr>
      </w:pPr>
      <w:r w:rsidRPr="00BB0009">
        <w:rPr>
          <w:rFonts w:ascii="Tahoma" w:hAnsi="Tahoma" w:cs="Tahoma"/>
        </w:rPr>
        <w:t>De otra parte, al respecto del salario base de liquidación, consideró que además del salario básico por u</w:t>
      </w:r>
      <w:r w:rsidR="000B2605">
        <w:rPr>
          <w:rFonts w:ascii="Tahoma" w:hAnsi="Tahoma" w:cs="Tahoma"/>
        </w:rPr>
        <w:t xml:space="preserve">n monto mensual de $780.000, la </w:t>
      </w:r>
      <w:r w:rsidRPr="00BB0009">
        <w:rPr>
          <w:rFonts w:ascii="Tahoma" w:hAnsi="Tahoma" w:cs="Tahoma"/>
        </w:rPr>
        <w:t xml:space="preserve">demandante </w:t>
      </w:r>
      <w:r>
        <w:rPr>
          <w:rFonts w:ascii="Tahoma" w:hAnsi="Tahoma" w:cs="Tahoma"/>
        </w:rPr>
        <w:t>percibió además</w:t>
      </w:r>
      <w:r w:rsidRPr="00BB0009">
        <w:rPr>
          <w:rFonts w:ascii="Tahoma" w:hAnsi="Tahoma" w:cs="Tahoma"/>
        </w:rPr>
        <w:t xml:space="preserve"> la suma </w:t>
      </w:r>
      <w:r>
        <w:rPr>
          <w:rFonts w:ascii="Tahoma" w:hAnsi="Tahoma" w:cs="Tahoma"/>
        </w:rPr>
        <w:t>de $509.471</w:t>
      </w:r>
      <w:r w:rsidRPr="00BB0009">
        <w:rPr>
          <w:rFonts w:ascii="Tahoma" w:hAnsi="Tahoma" w:cs="Tahoma"/>
        </w:rPr>
        <w:t xml:space="preserve"> por comisiones y </w:t>
      </w:r>
      <w:r>
        <w:rPr>
          <w:rFonts w:ascii="Tahoma" w:hAnsi="Tahoma" w:cs="Tahoma"/>
        </w:rPr>
        <w:t>$500</w:t>
      </w:r>
      <w:r w:rsidRPr="00BB0009">
        <w:rPr>
          <w:rFonts w:ascii="Tahoma" w:hAnsi="Tahoma" w:cs="Tahoma"/>
        </w:rPr>
        <w:t>.000 por</w:t>
      </w:r>
      <w:r>
        <w:rPr>
          <w:rFonts w:ascii="Tahoma" w:hAnsi="Tahoma" w:cs="Tahoma"/>
        </w:rPr>
        <w:t xml:space="preserve"> </w:t>
      </w:r>
      <w:r w:rsidRPr="00BB0009">
        <w:rPr>
          <w:rFonts w:ascii="Tahoma" w:hAnsi="Tahoma" w:cs="Tahoma"/>
        </w:rPr>
        <w:t>“ventas en brigadas”</w:t>
      </w:r>
      <w:r>
        <w:rPr>
          <w:rFonts w:ascii="Tahoma" w:hAnsi="Tahoma" w:cs="Tahoma"/>
        </w:rPr>
        <w:t xml:space="preserve">, para un salario mensual promedio de $1.789.471; dicha información la sustrajo directamente de </w:t>
      </w:r>
      <w:r w:rsidR="00DD1E3C">
        <w:rPr>
          <w:rFonts w:ascii="Tahoma" w:hAnsi="Tahoma" w:cs="Tahoma"/>
        </w:rPr>
        <w:t xml:space="preserve">la certificación de ingresos de la demandante, expedida el 11 de julio de 2013 por el área de talento humano de la empresa demanda y visible a folio </w:t>
      </w:r>
      <w:r w:rsidR="008B5EF7">
        <w:rPr>
          <w:rFonts w:ascii="Tahoma" w:hAnsi="Tahoma" w:cs="Tahoma"/>
        </w:rPr>
        <w:t>19 del expediente</w:t>
      </w:r>
      <w:r>
        <w:rPr>
          <w:rFonts w:ascii="Tahoma" w:hAnsi="Tahoma" w:cs="Tahoma"/>
        </w:rPr>
        <w:t>,</w:t>
      </w:r>
      <w:r w:rsidR="008B5EF7">
        <w:rPr>
          <w:rFonts w:ascii="Tahoma" w:hAnsi="Tahoma" w:cs="Tahoma"/>
        </w:rPr>
        <w:t xml:space="preserve"> lo mismo que de los datos registrados en el</w:t>
      </w:r>
      <w:r>
        <w:rPr>
          <w:rFonts w:ascii="Tahoma" w:hAnsi="Tahoma" w:cs="Tahoma"/>
        </w:rPr>
        <w:t xml:space="preserve"> acta de liqu</w:t>
      </w:r>
      <w:r w:rsidR="008B5EF7">
        <w:rPr>
          <w:rFonts w:ascii="Tahoma" w:hAnsi="Tahoma" w:cs="Tahoma"/>
        </w:rPr>
        <w:t>idación del contrato de trabajo obrante a folio 18.</w:t>
      </w:r>
    </w:p>
    <w:p w:rsidR="000B2605" w:rsidRDefault="000B2605" w:rsidP="000B2605">
      <w:pPr>
        <w:spacing w:line="240" w:lineRule="auto"/>
        <w:ind w:firstLine="708"/>
        <w:jc w:val="both"/>
        <w:rPr>
          <w:rFonts w:ascii="Tahoma" w:hAnsi="Tahoma" w:cs="Tahoma"/>
        </w:rPr>
      </w:pPr>
    </w:p>
    <w:p w:rsidR="00DA29DB" w:rsidRDefault="00DA29DB" w:rsidP="00781C89">
      <w:pPr>
        <w:spacing w:line="276" w:lineRule="auto"/>
        <w:ind w:firstLine="708"/>
        <w:jc w:val="both"/>
        <w:rPr>
          <w:rFonts w:ascii="Tahoma" w:hAnsi="Tahoma" w:cs="Tahoma"/>
        </w:rPr>
      </w:pPr>
      <w:r>
        <w:rPr>
          <w:rFonts w:ascii="Tahoma" w:hAnsi="Tahoma" w:cs="Tahoma"/>
        </w:rPr>
        <w:t>Advirtió el juez, que para</w:t>
      </w:r>
      <w:r w:rsidR="008B5EF7">
        <w:rPr>
          <w:rFonts w:ascii="Tahoma" w:hAnsi="Tahoma" w:cs="Tahoma"/>
        </w:rPr>
        <w:t xml:space="preserve"> efectos de</w:t>
      </w:r>
      <w:r>
        <w:rPr>
          <w:rFonts w:ascii="Tahoma" w:hAnsi="Tahoma" w:cs="Tahoma"/>
        </w:rPr>
        <w:t xml:space="preserve"> la liquidación de las prestaciones sociales y las cotizaciones en pensiones, la empresa demandada sólo tuvo en cuenta las sumas correspondientes al salario básico y el promedio de las comisiones</w:t>
      </w:r>
      <w:r w:rsidR="008B5EF7">
        <w:rPr>
          <w:rFonts w:ascii="Tahoma" w:hAnsi="Tahoma" w:cs="Tahoma"/>
        </w:rPr>
        <w:t xml:space="preserve"> generales</w:t>
      </w:r>
      <w:r>
        <w:rPr>
          <w:rFonts w:ascii="Tahoma" w:hAnsi="Tahoma" w:cs="Tahoma"/>
        </w:rPr>
        <w:t>, y excluyó lo que mensualmente devengó la demandante por concepto de “vent</w:t>
      </w:r>
      <w:r w:rsidR="008B5EF7">
        <w:rPr>
          <w:rFonts w:ascii="Tahoma" w:hAnsi="Tahoma" w:cs="Tahoma"/>
        </w:rPr>
        <w:t>as en brigadas”; emolumento que</w:t>
      </w:r>
      <w:r>
        <w:rPr>
          <w:rFonts w:ascii="Tahoma" w:hAnsi="Tahoma" w:cs="Tahoma"/>
        </w:rPr>
        <w:t xml:space="preserve"> a la luz del artículo 127 del C.S.T., tiene </w:t>
      </w:r>
      <w:r w:rsidR="008B5EF7">
        <w:rPr>
          <w:rFonts w:ascii="Tahoma" w:hAnsi="Tahoma" w:cs="Tahoma"/>
        </w:rPr>
        <w:t>todo el carácter de salarial porque</w:t>
      </w:r>
      <w:r>
        <w:rPr>
          <w:rFonts w:ascii="Tahoma" w:hAnsi="Tahoma" w:cs="Tahoma"/>
        </w:rPr>
        <w:t xml:space="preserve"> fue la retribución que percibió la demandante por concepto del porcentaje sobre sus ventas. </w:t>
      </w:r>
    </w:p>
    <w:p w:rsidR="00DA29DB" w:rsidRDefault="00DA29DB" w:rsidP="000B2605">
      <w:pPr>
        <w:spacing w:line="240" w:lineRule="auto"/>
        <w:ind w:firstLine="708"/>
        <w:jc w:val="both"/>
        <w:rPr>
          <w:rFonts w:ascii="Tahoma" w:hAnsi="Tahoma" w:cs="Tahoma"/>
        </w:rPr>
      </w:pPr>
    </w:p>
    <w:p w:rsidR="00DA29DB" w:rsidRPr="008D0CB4" w:rsidRDefault="008B5EF7" w:rsidP="00781C89">
      <w:pPr>
        <w:spacing w:line="276" w:lineRule="auto"/>
        <w:ind w:firstLine="708"/>
        <w:jc w:val="both"/>
        <w:rPr>
          <w:rFonts w:ascii="Tahoma" w:hAnsi="Tahoma" w:cs="Tahoma"/>
        </w:rPr>
      </w:pPr>
      <w:r>
        <w:rPr>
          <w:rFonts w:ascii="Tahoma" w:hAnsi="Tahoma" w:cs="Tahoma"/>
        </w:rPr>
        <w:t>En efecto, señaló el juez,</w:t>
      </w:r>
      <w:r w:rsidR="000B2605">
        <w:rPr>
          <w:rFonts w:ascii="Tahoma" w:hAnsi="Tahoma" w:cs="Tahoma"/>
        </w:rPr>
        <w:t xml:space="preserve"> que</w:t>
      </w:r>
      <w:r>
        <w:rPr>
          <w:rFonts w:ascii="Tahoma" w:hAnsi="Tahoma" w:cs="Tahoma"/>
        </w:rPr>
        <w:t xml:space="preserve"> </w:t>
      </w:r>
      <w:r w:rsidR="00DA29DB">
        <w:rPr>
          <w:rFonts w:ascii="Tahoma" w:hAnsi="Tahoma" w:cs="Tahoma"/>
        </w:rPr>
        <w:t xml:space="preserve">el hecho de que las ventas de planes </w:t>
      </w:r>
      <w:proofErr w:type="spellStart"/>
      <w:r w:rsidR="00DA29DB">
        <w:rPr>
          <w:rFonts w:ascii="Tahoma" w:hAnsi="Tahoma" w:cs="Tahoma"/>
        </w:rPr>
        <w:t>exequiales</w:t>
      </w:r>
      <w:proofErr w:type="spellEnd"/>
      <w:r w:rsidR="00DA29DB">
        <w:rPr>
          <w:rFonts w:ascii="Tahoma" w:hAnsi="Tahoma" w:cs="Tahoma"/>
        </w:rPr>
        <w:t xml:space="preserve"> se </w:t>
      </w:r>
      <w:r>
        <w:rPr>
          <w:rFonts w:ascii="Tahoma" w:hAnsi="Tahoma" w:cs="Tahoma"/>
        </w:rPr>
        <w:t>realizaran</w:t>
      </w:r>
      <w:r w:rsidR="00DA29DB">
        <w:rPr>
          <w:rFonts w:ascii="Tahoma" w:hAnsi="Tahoma" w:cs="Tahoma"/>
        </w:rPr>
        <w:t xml:space="preserve"> a favor de empresas ubicadas por fuera de la sede oficial del empleador, no tiene ninguna incidencia en la decisión, pues a</w:t>
      </w:r>
      <w:r>
        <w:rPr>
          <w:rFonts w:ascii="Tahoma" w:hAnsi="Tahoma" w:cs="Tahoma"/>
        </w:rPr>
        <w:t xml:space="preserve"> su</w:t>
      </w:r>
      <w:r w:rsidR="00DA29DB">
        <w:rPr>
          <w:rFonts w:ascii="Tahoma" w:hAnsi="Tahoma" w:cs="Tahoma"/>
        </w:rPr>
        <w:t xml:space="preserve"> juicio, los vendedores que salían en brigada entre los días jueves y domingos de cada semana, ejecutaron la labor al beneficio de terceras personas, pero siempre por cuenta y disposición de la empresa demandada, sin que en ello se vea la necesaria connotación de independencia del</w:t>
      </w:r>
      <w:r>
        <w:rPr>
          <w:rFonts w:ascii="Tahoma" w:hAnsi="Tahoma" w:cs="Tahoma"/>
        </w:rPr>
        <w:t xml:space="preserve"> trabajador a la hora de prestar</w:t>
      </w:r>
      <w:r w:rsidR="00DA29DB">
        <w:rPr>
          <w:rFonts w:ascii="Tahoma" w:hAnsi="Tahoma" w:cs="Tahoma"/>
        </w:rPr>
        <w:t xml:space="preserve"> sus servicio</w:t>
      </w:r>
      <w:r>
        <w:rPr>
          <w:rFonts w:ascii="Tahoma" w:hAnsi="Tahoma" w:cs="Tahoma"/>
        </w:rPr>
        <w:t>s</w:t>
      </w:r>
      <w:r w:rsidR="00DA29DB">
        <w:rPr>
          <w:rFonts w:ascii="Tahoma" w:hAnsi="Tahoma" w:cs="Tahoma"/>
        </w:rPr>
        <w:t xml:space="preserve">, pues los acuerdos comerciales de suministro de personal entre empresas, bajo ninguna circunstancia puede llegar a afectar los derechos prestacionales del trabajador. En ese orden, condenó a la demandada al pago de la suma de $2.318.725 por concepto del reajuste de las prestaciones sociales, liquidadas sobre la base de un salario que incluye lo correspondiente a las comisiones por ventas en brigadas.   </w:t>
      </w:r>
    </w:p>
    <w:p w:rsidR="00DA29DB" w:rsidRPr="006405CA" w:rsidRDefault="00DA29DB" w:rsidP="00781C89">
      <w:pPr>
        <w:spacing w:line="276" w:lineRule="auto"/>
        <w:ind w:firstLine="709"/>
        <w:jc w:val="both"/>
        <w:rPr>
          <w:rFonts w:ascii="Tahoma" w:hAnsi="Tahoma" w:cs="Tahoma"/>
        </w:rPr>
      </w:pPr>
      <w:r>
        <w:t xml:space="preserve"> </w:t>
      </w:r>
    </w:p>
    <w:p w:rsidR="00DA29DB" w:rsidRDefault="00DA29DB" w:rsidP="00781C89">
      <w:pPr>
        <w:spacing w:line="276" w:lineRule="auto"/>
        <w:ind w:firstLine="709"/>
        <w:jc w:val="both"/>
        <w:rPr>
          <w:rFonts w:ascii="Tahoma" w:hAnsi="Tahoma" w:cs="Tahoma"/>
        </w:rPr>
      </w:pPr>
      <w:r w:rsidRPr="006405CA">
        <w:rPr>
          <w:rFonts w:ascii="Tahoma" w:hAnsi="Tahoma" w:cs="Tahoma"/>
        </w:rPr>
        <w:t>No obstante lo anterior, el juez no advirtió mala fe del empleador, por lo que lo exoneró del pago de la indemnización moratoria prevista en el artículo 65 del C.S.T. por la falta de pago de las prestaciones.</w:t>
      </w:r>
    </w:p>
    <w:p w:rsidR="00DA29DB" w:rsidRDefault="00DA29DB" w:rsidP="000B2605">
      <w:pPr>
        <w:spacing w:line="240" w:lineRule="auto"/>
        <w:ind w:firstLine="709"/>
        <w:jc w:val="both"/>
        <w:rPr>
          <w:rFonts w:ascii="Tahoma" w:hAnsi="Tahoma" w:cs="Tahoma"/>
        </w:rPr>
      </w:pPr>
    </w:p>
    <w:p w:rsidR="00DA29DB" w:rsidRPr="00DA29DB" w:rsidRDefault="00DA29DB" w:rsidP="00781C89">
      <w:pPr>
        <w:pStyle w:val="Prrafodelista"/>
        <w:numPr>
          <w:ilvl w:val="0"/>
          <w:numId w:val="1"/>
        </w:numPr>
        <w:spacing w:line="276" w:lineRule="auto"/>
        <w:ind w:left="0" w:firstLine="0"/>
        <w:jc w:val="center"/>
        <w:rPr>
          <w:rFonts w:ascii="Tahoma" w:hAnsi="Tahoma" w:cs="Tahoma"/>
          <w:b/>
        </w:rPr>
      </w:pPr>
      <w:r w:rsidRPr="00DA29DB">
        <w:rPr>
          <w:rFonts w:ascii="Tahoma" w:hAnsi="Tahoma" w:cs="Tahoma"/>
          <w:b/>
        </w:rPr>
        <w:t>APELACIÓN</w:t>
      </w:r>
    </w:p>
    <w:p w:rsidR="00DA29DB" w:rsidRDefault="00DA29DB" w:rsidP="000B2605">
      <w:pPr>
        <w:spacing w:line="240" w:lineRule="auto"/>
        <w:ind w:firstLine="709"/>
        <w:jc w:val="both"/>
        <w:rPr>
          <w:rFonts w:ascii="Tahoma" w:hAnsi="Tahoma" w:cs="Tahoma"/>
        </w:rPr>
      </w:pPr>
    </w:p>
    <w:p w:rsidR="00DA29DB" w:rsidRDefault="00DA29DB" w:rsidP="00781C89">
      <w:pPr>
        <w:spacing w:line="276" w:lineRule="auto"/>
        <w:ind w:firstLine="709"/>
        <w:jc w:val="both"/>
        <w:rPr>
          <w:rFonts w:ascii="Tahoma" w:hAnsi="Tahoma" w:cs="Tahoma"/>
        </w:rPr>
      </w:pPr>
      <w:r>
        <w:rPr>
          <w:rFonts w:ascii="Tahoma" w:hAnsi="Tahoma" w:cs="Tahoma"/>
        </w:rPr>
        <w:t>El recurso de apelación es promovido por ambas partes. De un lado el demandante, quien se muestra inconforme con la exoneración de la indemnización moratoria por el pago incompleto de las prestaciones sociales (prima de servicios, cesantías y aportes a pensiones), pu</w:t>
      </w:r>
      <w:r w:rsidR="008B5EF7">
        <w:rPr>
          <w:rFonts w:ascii="Tahoma" w:hAnsi="Tahoma" w:cs="Tahoma"/>
        </w:rPr>
        <w:t>es le parece injustificable que</w:t>
      </w:r>
      <w:r>
        <w:rPr>
          <w:rFonts w:ascii="Tahoma" w:hAnsi="Tahoma" w:cs="Tahoma"/>
        </w:rPr>
        <w:t xml:space="preserve"> durante toda la relación laboral, la empresa demandada hubiese omitido incluir en la liquidación de prestaciones el promedio de los porcentajes sobre las ventas en brigadas; y que sobre la base de cuestionables explicaciones, haya pretendido restarle</w:t>
      </w:r>
      <w:r w:rsidR="008B5EF7">
        <w:rPr>
          <w:rFonts w:ascii="Tahoma" w:hAnsi="Tahoma" w:cs="Tahoma"/>
        </w:rPr>
        <w:t xml:space="preserve"> el</w:t>
      </w:r>
      <w:r>
        <w:rPr>
          <w:rFonts w:ascii="Tahoma" w:hAnsi="Tahoma" w:cs="Tahoma"/>
        </w:rPr>
        <w:t xml:space="preserve"> valor salarial a ese tipo de comisiones. </w:t>
      </w:r>
    </w:p>
    <w:p w:rsidR="00DA29DB" w:rsidRDefault="00DA29DB" w:rsidP="000B2605">
      <w:pPr>
        <w:spacing w:line="240" w:lineRule="auto"/>
        <w:ind w:firstLine="709"/>
        <w:jc w:val="both"/>
        <w:rPr>
          <w:rFonts w:ascii="Tahoma" w:hAnsi="Tahoma" w:cs="Tahoma"/>
        </w:rPr>
      </w:pPr>
    </w:p>
    <w:p w:rsidR="00F13AE7" w:rsidRDefault="00DA29DB" w:rsidP="00F13AE7">
      <w:pPr>
        <w:spacing w:line="276" w:lineRule="auto"/>
        <w:ind w:firstLine="708"/>
        <w:jc w:val="both"/>
        <w:rPr>
          <w:rFonts w:ascii="Tahoma" w:hAnsi="Tahoma" w:cs="Tahoma"/>
        </w:rPr>
      </w:pPr>
      <w:r>
        <w:rPr>
          <w:rFonts w:ascii="Tahoma" w:hAnsi="Tahoma" w:cs="Tahoma"/>
        </w:rPr>
        <w:t xml:space="preserve">La empresa demandada, por su lado, insistió en que </w:t>
      </w:r>
      <w:r w:rsidR="008B5EF7">
        <w:rPr>
          <w:rFonts w:ascii="Tahoma" w:hAnsi="Tahoma" w:cs="Tahoma"/>
        </w:rPr>
        <w:t xml:space="preserve">la participación en las brigadas era </w:t>
      </w:r>
      <w:r w:rsidR="00F13AE7">
        <w:rPr>
          <w:rFonts w:ascii="Tahoma" w:hAnsi="Tahoma" w:cs="Tahoma"/>
        </w:rPr>
        <w:t>total y absolutamente</w:t>
      </w:r>
      <w:r w:rsidR="008B5EF7">
        <w:rPr>
          <w:rFonts w:ascii="Tahoma" w:hAnsi="Tahoma" w:cs="Tahoma"/>
        </w:rPr>
        <w:t xml:space="preserve"> </w:t>
      </w:r>
      <w:r>
        <w:rPr>
          <w:rFonts w:ascii="Tahoma" w:hAnsi="Tahoma" w:cs="Tahoma"/>
        </w:rPr>
        <w:t xml:space="preserve">voluntaria </w:t>
      </w:r>
      <w:r w:rsidR="00F13AE7">
        <w:rPr>
          <w:rFonts w:ascii="Tahoma" w:hAnsi="Tahoma" w:cs="Tahoma"/>
        </w:rPr>
        <w:t>para los trabajadores de la</w:t>
      </w:r>
      <w:r w:rsidR="008B5EF7">
        <w:rPr>
          <w:rFonts w:ascii="Tahoma" w:hAnsi="Tahoma" w:cs="Tahoma"/>
        </w:rPr>
        <w:t xml:space="preserve"> empresa</w:t>
      </w:r>
      <w:r>
        <w:rPr>
          <w:rFonts w:ascii="Tahoma" w:hAnsi="Tahoma" w:cs="Tahoma"/>
        </w:rPr>
        <w:t>; y</w:t>
      </w:r>
      <w:r w:rsidR="00F13AE7">
        <w:rPr>
          <w:rFonts w:ascii="Tahoma" w:hAnsi="Tahoma" w:cs="Tahoma"/>
        </w:rPr>
        <w:t xml:space="preserve"> que estos</w:t>
      </w:r>
      <w:r>
        <w:rPr>
          <w:rFonts w:ascii="Tahoma" w:hAnsi="Tahoma" w:cs="Tahoma"/>
        </w:rPr>
        <w:t>, i</w:t>
      </w:r>
      <w:r w:rsidR="00F13AE7">
        <w:rPr>
          <w:rFonts w:ascii="Tahoma" w:hAnsi="Tahoma" w:cs="Tahoma"/>
        </w:rPr>
        <w:t>ncluida la demandante, tenían plena libertad para decidir su participación o no en los equipos de ventas. Asimismo, señaló que las “brigadas” se llevaban a cabo siempre</w:t>
      </w:r>
      <w:r>
        <w:rPr>
          <w:rFonts w:ascii="Tahoma" w:hAnsi="Tahoma" w:cs="Tahoma"/>
        </w:rPr>
        <w:t xml:space="preserve"> por fuera de</w:t>
      </w:r>
      <w:r w:rsidR="00F13AE7">
        <w:rPr>
          <w:rFonts w:ascii="Tahoma" w:hAnsi="Tahoma" w:cs="Tahoma"/>
        </w:rPr>
        <w:t>l habitual horario de trabajo, y que los productos promocionados</w:t>
      </w:r>
      <w:r>
        <w:rPr>
          <w:rFonts w:ascii="Tahoma" w:hAnsi="Tahoma" w:cs="Tahoma"/>
        </w:rPr>
        <w:t xml:space="preserve"> </w:t>
      </w:r>
      <w:r w:rsidR="00F13AE7">
        <w:rPr>
          <w:rFonts w:ascii="Tahoma" w:hAnsi="Tahoma" w:cs="Tahoma"/>
        </w:rPr>
        <w:t>eran</w:t>
      </w:r>
      <w:r>
        <w:rPr>
          <w:rFonts w:ascii="Tahoma" w:hAnsi="Tahoma" w:cs="Tahoma"/>
        </w:rPr>
        <w:t xml:space="preserve"> ofertados por</w:t>
      </w:r>
      <w:r w:rsidR="00F13AE7">
        <w:rPr>
          <w:rFonts w:ascii="Tahoma" w:hAnsi="Tahoma" w:cs="Tahoma"/>
        </w:rPr>
        <w:t xml:space="preserve"> otras empresas del ramo, que pagaban a los brigadistas un porcentaje sobre sus ventas, en razón de cual no existen</w:t>
      </w:r>
      <w:r>
        <w:rPr>
          <w:rFonts w:ascii="Tahoma" w:hAnsi="Tahoma" w:cs="Tahoma"/>
        </w:rPr>
        <w:t xml:space="preserve"> razones jurídicas para</w:t>
      </w:r>
      <w:r w:rsidR="00F13AE7">
        <w:rPr>
          <w:rFonts w:ascii="Tahoma" w:hAnsi="Tahoma" w:cs="Tahoma"/>
        </w:rPr>
        <w:t xml:space="preserve"> que en segunda instancia se mantenga la condena por concepto del reajuste.</w:t>
      </w:r>
      <w:r>
        <w:rPr>
          <w:rFonts w:ascii="Tahoma" w:hAnsi="Tahoma" w:cs="Tahoma"/>
        </w:rPr>
        <w:t xml:space="preserve"> </w:t>
      </w:r>
    </w:p>
    <w:p w:rsidR="00F13AE7" w:rsidRDefault="00F13AE7" w:rsidP="000B2605">
      <w:pPr>
        <w:spacing w:line="240" w:lineRule="auto"/>
        <w:ind w:firstLine="708"/>
        <w:jc w:val="both"/>
        <w:rPr>
          <w:rFonts w:ascii="Tahoma" w:hAnsi="Tahoma" w:cs="Tahoma"/>
        </w:rPr>
      </w:pPr>
    </w:p>
    <w:p w:rsidR="000B2605" w:rsidRDefault="002F5F38" w:rsidP="00781C89">
      <w:pPr>
        <w:spacing w:line="276" w:lineRule="auto"/>
        <w:ind w:firstLine="708"/>
        <w:jc w:val="both"/>
        <w:rPr>
          <w:rFonts w:ascii="Tahoma" w:hAnsi="Tahoma" w:cs="Tahoma"/>
        </w:rPr>
      </w:pPr>
      <w:r>
        <w:rPr>
          <w:rFonts w:ascii="Tahoma" w:hAnsi="Tahoma" w:cs="Tahoma"/>
        </w:rPr>
        <w:t>En todo caso, si no se accediera a este punto de la apelación</w:t>
      </w:r>
      <w:r w:rsidR="00DA29DB">
        <w:rPr>
          <w:rFonts w:ascii="Tahoma" w:hAnsi="Tahoma" w:cs="Tahoma"/>
        </w:rPr>
        <w:t xml:space="preserve">, </w:t>
      </w:r>
      <w:r>
        <w:rPr>
          <w:rFonts w:ascii="Tahoma" w:hAnsi="Tahoma" w:cs="Tahoma"/>
        </w:rPr>
        <w:t xml:space="preserve">pide que se revise </w:t>
      </w:r>
      <w:r w:rsidR="00DA29DB">
        <w:rPr>
          <w:rFonts w:ascii="Tahoma" w:hAnsi="Tahoma" w:cs="Tahoma"/>
        </w:rPr>
        <w:t>el monto de la liquidación practicada por el fallador de primera instancia, puesto que la certificación expedida por la oficina de personal, que fue la base de la liquidación, no refleja la variabilidad del monto de las cot</w:t>
      </w:r>
      <w:r w:rsidR="0070166C">
        <w:rPr>
          <w:rFonts w:ascii="Tahoma" w:hAnsi="Tahoma" w:cs="Tahoma"/>
        </w:rPr>
        <w:t xml:space="preserve">izaciones mensuales, la cual </w:t>
      </w:r>
      <w:r w:rsidR="00DA29DB">
        <w:rPr>
          <w:rFonts w:ascii="Tahoma" w:hAnsi="Tahoma" w:cs="Tahoma"/>
        </w:rPr>
        <w:t>puede</w:t>
      </w:r>
      <w:r>
        <w:rPr>
          <w:rFonts w:ascii="Tahoma" w:hAnsi="Tahoma" w:cs="Tahoma"/>
        </w:rPr>
        <w:t xml:space="preserve"> ser extraída</w:t>
      </w:r>
      <w:r w:rsidR="00DA29DB">
        <w:rPr>
          <w:rFonts w:ascii="Tahoma" w:hAnsi="Tahoma" w:cs="Tahoma"/>
        </w:rPr>
        <w:t xml:space="preserve"> de la abundante prueba documental allegada al proceso, que ind</w:t>
      </w:r>
      <w:r>
        <w:rPr>
          <w:rFonts w:ascii="Tahoma" w:hAnsi="Tahoma" w:cs="Tahoma"/>
        </w:rPr>
        <w:t xml:space="preserve">ica que la condena debió ser por el </w:t>
      </w:r>
      <w:r w:rsidR="00DA29DB">
        <w:rPr>
          <w:rFonts w:ascii="Tahoma" w:hAnsi="Tahoma" w:cs="Tahoma"/>
        </w:rPr>
        <w:t>orden de $860.208</w:t>
      </w:r>
      <w:r>
        <w:rPr>
          <w:rFonts w:ascii="Tahoma" w:hAnsi="Tahoma" w:cs="Tahoma"/>
        </w:rPr>
        <w:t>,</w:t>
      </w:r>
      <w:r w:rsidR="00DA29DB">
        <w:rPr>
          <w:rFonts w:ascii="Tahoma" w:hAnsi="Tahoma" w:cs="Tahoma"/>
        </w:rPr>
        <w:t xml:space="preserve"> y no de $2.318.725, que fue lo calculado por el Despacho</w:t>
      </w:r>
      <w:r>
        <w:rPr>
          <w:rFonts w:ascii="Tahoma" w:hAnsi="Tahoma" w:cs="Tahoma"/>
        </w:rPr>
        <w:t xml:space="preserve"> de primera instancia</w:t>
      </w:r>
      <w:r w:rsidR="00DA29DB">
        <w:rPr>
          <w:rFonts w:ascii="Tahoma" w:hAnsi="Tahoma" w:cs="Tahoma"/>
        </w:rPr>
        <w:t>.</w:t>
      </w:r>
    </w:p>
    <w:p w:rsidR="002F5F38" w:rsidRDefault="002F5F38" w:rsidP="00781C89">
      <w:pPr>
        <w:spacing w:line="276" w:lineRule="auto"/>
        <w:ind w:firstLine="708"/>
        <w:jc w:val="both"/>
        <w:rPr>
          <w:rFonts w:ascii="Tahoma" w:hAnsi="Tahoma" w:cs="Tahoma"/>
        </w:rPr>
      </w:pPr>
    </w:p>
    <w:p w:rsidR="002F5F38" w:rsidRDefault="002F5F38" w:rsidP="002F5F38">
      <w:pPr>
        <w:pStyle w:val="Prrafodelista"/>
        <w:numPr>
          <w:ilvl w:val="0"/>
          <w:numId w:val="1"/>
        </w:numPr>
        <w:spacing w:line="276" w:lineRule="auto"/>
        <w:ind w:left="0" w:firstLine="0"/>
        <w:jc w:val="center"/>
        <w:rPr>
          <w:rFonts w:ascii="Tahoma" w:hAnsi="Tahoma" w:cs="Tahoma"/>
          <w:b/>
        </w:rPr>
      </w:pPr>
      <w:r w:rsidRPr="002F5F38">
        <w:rPr>
          <w:rFonts w:ascii="Tahoma" w:hAnsi="Tahoma" w:cs="Tahoma"/>
          <w:b/>
        </w:rPr>
        <w:t>CONSIDERACIONES</w:t>
      </w:r>
    </w:p>
    <w:p w:rsidR="002F5F38" w:rsidRDefault="002F5F38" w:rsidP="002F5F38">
      <w:pPr>
        <w:spacing w:line="276" w:lineRule="auto"/>
        <w:jc w:val="center"/>
        <w:rPr>
          <w:rFonts w:ascii="Tahoma" w:hAnsi="Tahoma" w:cs="Tahoma"/>
          <w:b/>
        </w:rPr>
      </w:pPr>
    </w:p>
    <w:p w:rsidR="002B58CA" w:rsidRPr="002B58CA" w:rsidRDefault="002B58CA" w:rsidP="002B58CA">
      <w:pPr>
        <w:pStyle w:val="Prrafodelista"/>
        <w:numPr>
          <w:ilvl w:val="1"/>
          <w:numId w:val="1"/>
        </w:numPr>
        <w:spacing w:line="276" w:lineRule="auto"/>
        <w:jc w:val="both"/>
        <w:rPr>
          <w:rFonts w:ascii="Tahoma" w:hAnsi="Tahoma" w:cs="Tahoma"/>
          <w:b/>
        </w:rPr>
      </w:pPr>
      <w:r>
        <w:rPr>
          <w:rFonts w:ascii="Tahoma" w:hAnsi="Tahoma" w:cs="Tahoma"/>
          <w:b/>
        </w:rPr>
        <w:t>FACTORES SALARIALES</w:t>
      </w:r>
      <w:r w:rsidR="002F5F38" w:rsidRPr="002B58CA">
        <w:rPr>
          <w:rFonts w:ascii="Tahoma" w:hAnsi="Tahoma" w:cs="Tahoma"/>
          <w:b/>
        </w:rPr>
        <w:tab/>
      </w:r>
    </w:p>
    <w:p w:rsidR="002B58CA" w:rsidRDefault="002B58CA" w:rsidP="000B2605">
      <w:pPr>
        <w:spacing w:line="240" w:lineRule="auto"/>
        <w:jc w:val="both"/>
        <w:rPr>
          <w:rFonts w:ascii="Tahoma" w:hAnsi="Tahoma" w:cs="Tahoma"/>
          <w:b/>
        </w:rPr>
      </w:pPr>
    </w:p>
    <w:p w:rsidR="002F5F38" w:rsidRDefault="002B58CA" w:rsidP="000B2605">
      <w:pPr>
        <w:spacing w:line="276" w:lineRule="auto"/>
        <w:jc w:val="both"/>
        <w:rPr>
          <w:rFonts w:ascii="Tahoma" w:hAnsi="Tahoma" w:cs="Tahoma"/>
        </w:rPr>
      </w:pPr>
      <w:r>
        <w:rPr>
          <w:rFonts w:ascii="Tahoma" w:hAnsi="Tahoma" w:cs="Tahoma"/>
        </w:rPr>
        <w:tab/>
      </w:r>
      <w:r w:rsidR="002F5F38" w:rsidRPr="002F5F38">
        <w:rPr>
          <w:rFonts w:ascii="Tahoma" w:hAnsi="Tahoma" w:cs="Tahoma"/>
        </w:rPr>
        <w:t>No se discute que el porcentaje sobre las ventas, lo mismo que las comisiones, son factores que tienen la naturaleza de salariales y que, en tal virtud, deben ser tomados en cuenta por el empleador a la hora de liquidar las prestaciones sociales a que tienen derecho sus trabajadores.</w:t>
      </w:r>
    </w:p>
    <w:p w:rsidR="00BF7958" w:rsidRDefault="002F5F38" w:rsidP="00781C89">
      <w:pPr>
        <w:spacing w:line="276" w:lineRule="auto"/>
        <w:ind w:firstLine="708"/>
        <w:jc w:val="both"/>
        <w:rPr>
          <w:rFonts w:ascii="Tahoma" w:hAnsi="Tahoma" w:cs="Tahoma"/>
        </w:rPr>
      </w:pPr>
      <w:r>
        <w:rPr>
          <w:rFonts w:ascii="Tahoma" w:hAnsi="Tahoma" w:cs="Tahoma"/>
        </w:rPr>
        <w:t>Ahora, el caso acabado de ventilar exterioriza unas circunstancias que en apariencia lo hacen</w:t>
      </w:r>
      <w:r w:rsidR="00BF7958">
        <w:rPr>
          <w:rFonts w:ascii="Tahoma" w:hAnsi="Tahoma" w:cs="Tahoma"/>
        </w:rPr>
        <w:t xml:space="preserve"> algo</w:t>
      </w:r>
      <w:r>
        <w:rPr>
          <w:rFonts w:ascii="Tahoma" w:hAnsi="Tahoma" w:cs="Tahoma"/>
        </w:rPr>
        <w:t xml:space="preserve"> especial</w:t>
      </w:r>
      <w:r w:rsidR="00BF7958">
        <w:rPr>
          <w:rFonts w:ascii="Tahoma" w:hAnsi="Tahoma" w:cs="Tahoma"/>
        </w:rPr>
        <w:t>. E</w:t>
      </w:r>
      <w:r>
        <w:rPr>
          <w:rFonts w:ascii="Tahoma" w:hAnsi="Tahoma" w:cs="Tahoma"/>
        </w:rPr>
        <w:t>n efecto, todo demuestra que los trabajadores de la PROMOTORA LA AUR</w:t>
      </w:r>
      <w:r w:rsidR="00BF7958">
        <w:rPr>
          <w:rFonts w:ascii="Tahoma" w:hAnsi="Tahoma" w:cs="Tahoma"/>
        </w:rPr>
        <w:t xml:space="preserve">ORA S.A., con sede en el </w:t>
      </w:r>
      <w:r>
        <w:rPr>
          <w:rFonts w:ascii="Tahoma" w:hAnsi="Tahoma" w:cs="Tahoma"/>
        </w:rPr>
        <w:t>municipio de Dosquebradas</w:t>
      </w:r>
      <w:r w:rsidR="00BF7958">
        <w:rPr>
          <w:rFonts w:ascii="Tahoma" w:hAnsi="Tahoma" w:cs="Tahoma"/>
        </w:rPr>
        <w:t xml:space="preserve"> (</w:t>
      </w:r>
      <w:proofErr w:type="spellStart"/>
      <w:r w:rsidR="00BF7958">
        <w:rPr>
          <w:rFonts w:ascii="Tahoma" w:hAnsi="Tahoma" w:cs="Tahoma"/>
        </w:rPr>
        <w:t>Ris</w:t>
      </w:r>
      <w:proofErr w:type="spellEnd"/>
      <w:r w:rsidR="00BF7958">
        <w:rPr>
          <w:rFonts w:ascii="Tahoma" w:hAnsi="Tahoma" w:cs="Tahoma"/>
        </w:rPr>
        <w:t>.), entre los días jueves y domingo de cada semana, se desplazaban a municipios por fuera de la zona de inf</w:t>
      </w:r>
      <w:r w:rsidR="00D17615">
        <w:rPr>
          <w:rFonts w:ascii="Tahoma" w:hAnsi="Tahoma" w:cs="Tahoma"/>
        </w:rPr>
        <w:t>luencia de su</w:t>
      </w:r>
      <w:r w:rsidR="00BF7958">
        <w:rPr>
          <w:rFonts w:ascii="Tahoma" w:hAnsi="Tahoma" w:cs="Tahoma"/>
        </w:rPr>
        <w:t xml:space="preserve"> empresa</w:t>
      </w:r>
      <w:r w:rsidR="00796F78">
        <w:rPr>
          <w:rFonts w:ascii="Tahoma" w:hAnsi="Tahoma" w:cs="Tahoma"/>
        </w:rPr>
        <w:t>,</w:t>
      </w:r>
      <w:r w:rsidR="00BF7958">
        <w:rPr>
          <w:rFonts w:ascii="Tahoma" w:hAnsi="Tahoma" w:cs="Tahoma"/>
        </w:rPr>
        <w:t xml:space="preserve"> y una vez allí instalados</w:t>
      </w:r>
      <w:r w:rsidR="00796F78">
        <w:rPr>
          <w:rFonts w:ascii="Tahoma" w:hAnsi="Tahoma" w:cs="Tahoma"/>
        </w:rPr>
        <w:t>,</w:t>
      </w:r>
      <w:r w:rsidR="00BF7958">
        <w:rPr>
          <w:rFonts w:ascii="Tahoma" w:hAnsi="Tahoma" w:cs="Tahoma"/>
        </w:rPr>
        <w:t xml:space="preserve"> promocionaban planes </w:t>
      </w:r>
      <w:proofErr w:type="spellStart"/>
      <w:r w:rsidR="00BF7958">
        <w:rPr>
          <w:rFonts w:ascii="Tahoma" w:hAnsi="Tahoma" w:cs="Tahoma"/>
        </w:rPr>
        <w:t>exequiales</w:t>
      </w:r>
      <w:proofErr w:type="spellEnd"/>
      <w:r w:rsidR="00BF7958">
        <w:rPr>
          <w:rFonts w:ascii="Tahoma" w:hAnsi="Tahoma" w:cs="Tahoma"/>
        </w:rPr>
        <w:t xml:space="preserve"> ofertados por empresas </w:t>
      </w:r>
      <w:r w:rsidR="00D17615">
        <w:rPr>
          <w:rFonts w:ascii="Tahoma" w:hAnsi="Tahoma" w:cs="Tahoma"/>
        </w:rPr>
        <w:t>diferentes a su genuino</w:t>
      </w:r>
      <w:r w:rsidR="00BF7958">
        <w:rPr>
          <w:rFonts w:ascii="Tahoma" w:hAnsi="Tahoma" w:cs="Tahoma"/>
        </w:rPr>
        <w:t xml:space="preserve"> empleador.</w:t>
      </w:r>
      <w:r w:rsidR="00D17615">
        <w:rPr>
          <w:rFonts w:ascii="Tahoma" w:hAnsi="Tahoma" w:cs="Tahoma"/>
        </w:rPr>
        <w:t xml:space="preserve"> </w:t>
      </w:r>
      <w:r w:rsidR="00BF7958">
        <w:rPr>
          <w:rFonts w:ascii="Tahoma" w:hAnsi="Tahoma" w:cs="Tahoma"/>
        </w:rPr>
        <w:t>Los trabajadores, incluida la demandante, obtenían por esas</w:t>
      </w:r>
      <w:r w:rsidR="00D17615">
        <w:rPr>
          <w:rFonts w:ascii="Tahoma" w:hAnsi="Tahoma" w:cs="Tahoma"/>
        </w:rPr>
        <w:t xml:space="preserve"> ventas un </w:t>
      </w:r>
      <w:r w:rsidR="00D17615">
        <w:rPr>
          <w:rFonts w:ascii="Tahoma" w:hAnsi="Tahoma" w:cs="Tahoma"/>
        </w:rPr>
        <w:lastRenderedPageBreak/>
        <w:t xml:space="preserve">porcentaje que, según lo dicho por la demandada, lo pagaba directamente la empresa beneficiaria de la venta. </w:t>
      </w:r>
      <w:r w:rsidR="00BF7958">
        <w:rPr>
          <w:rFonts w:ascii="Tahoma" w:hAnsi="Tahoma" w:cs="Tahoma"/>
        </w:rPr>
        <w:t xml:space="preserve"> </w:t>
      </w:r>
    </w:p>
    <w:p w:rsidR="00BF7958" w:rsidRDefault="00BF7958" w:rsidP="00781C89">
      <w:pPr>
        <w:spacing w:line="276" w:lineRule="auto"/>
        <w:ind w:firstLine="708"/>
        <w:jc w:val="both"/>
        <w:rPr>
          <w:rFonts w:ascii="Tahoma" w:hAnsi="Tahoma" w:cs="Tahoma"/>
        </w:rPr>
      </w:pPr>
    </w:p>
    <w:p w:rsidR="00796F78" w:rsidRDefault="00D17615" w:rsidP="00781C89">
      <w:pPr>
        <w:spacing w:line="276" w:lineRule="auto"/>
        <w:ind w:firstLine="708"/>
        <w:jc w:val="both"/>
        <w:rPr>
          <w:rFonts w:ascii="Tahoma" w:hAnsi="Tahoma" w:cs="Tahoma"/>
        </w:rPr>
      </w:pPr>
      <w:r>
        <w:rPr>
          <w:rFonts w:ascii="Tahoma" w:hAnsi="Tahoma" w:cs="Tahoma"/>
        </w:rPr>
        <w:t xml:space="preserve">Para el caso específico de la demandante, la copiosa prueba documental que obra en el expediente revela que la señora MARIA LEONOR ORTEGA viajaba hasta cinco veces por </w:t>
      </w:r>
      <w:r w:rsidR="0070166C">
        <w:rPr>
          <w:rFonts w:ascii="Tahoma" w:hAnsi="Tahoma" w:cs="Tahoma"/>
        </w:rPr>
        <w:t>mes</w:t>
      </w:r>
      <w:r>
        <w:rPr>
          <w:rFonts w:ascii="Tahoma" w:hAnsi="Tahoma" w:cs="Tahoma"/>
        </w:rPr>
        <w:t xml:space="preserve"> a la ciudad de Manizales, pasaba por</w:t>
      </w:r>
      <w:r w:rsidR="005D08F9">
        <w:rPr>
          <w:rFonts w:ascii="Tahoma" w:hAnsi="Tahoma" w:cs="Tahoma"/>
        </w:rPr>
        <w:t xml:space="preserve"> Santa Rosa,</w:t>
      </w:r>
      <w:r>
        <w:rPr>
          <w:rFonts w:ascii="Tahoma" w:hAnsi="Tahoma" w:cs="Tahoma"/>
        </w:rPr>
        <w:t xml:space="preserve"> Chinchiná y </w:t>
      </w:r>
      <w:proofErr w:type="spellStart"/>
      <w:r>
        <w:rPr>
          <w:rFonts w:ascii="Tahoma" w:hAnsi="Tahoma" w:cs="Tahoma"/>
        </w:rPr>
        <w:t>Villamaria</w:t>
      </w:r>
      <w:proofErr w:type="spellEnd"/>
      <w:r>
        <w:rPr>
          <w:rFonts w:ascii="Tahoma" w:hAnsi="Tahoma" w:cs="Tahoma"/>
        </w:rPr>
        <w:t>, pueblos vecinos de e</w:t>
      </w:r>
      <w:r w:rsidR="005D08F9">
        <w:rPr>
          <w:rFonts w:ascii="Tahoma" w:hAnsi="Tahoma" w:cs="Tahoma"/>
        </w:rPr>
        <w:t>sa localidad</w:t>
      </w:r>
      <w:r>
        <w:rPr>
          <w:rFonts w:ascii="Tahoma" w:hAnsi="Tahoma" w:cs="Tahoma"/>
        </w:rPr>
        <w:t>, y en cada una de esos municipios vendía los productos ofrecidos por distintas compañías</w:t>
      </w:r>
      <w:r w:rsidR="005D08F9">
        <w:rPr>
          <w:rFonts w:ascii="Tahoma" w:hAnsi="Tahoma" w:cs="Tahoma"/>
        </w:rPr>
        <w:t xml:space="preserve"> </w:t>
      </w:r>
      <w:proofErr w:type="spellStart"/>
      <w:r w:rsidR="005D08F9">
        <w:rPr>
          <w:rFonts w:ascii="Tahoma" w:hAnsi="Tahoma" w:cs="Tahoma"/>
        </w:rPr>
        <w:t>exequiales</w:t>
      </w:r>
      <w:proofErr w:type="spellEnd"/>
      <w:r w:rsidR="005D08F9">
        <w:rPr>
          <w:rFonts w:ascii="Tahoma" w:hAnsi="Tahoma" w:cs="Tahoma"/>
        </w:rPr>
        <w:t>, que</w:t>
      </w:r>
      <w:r>
        <w:rPr>
          <w:rFonts w:ascii="Tahoma" w:hAnsi="Tahoma" w:cs="Tahoma"/>
        </w:rPr>
        <w:t xml:space="preserve"> curiosa</w:t>
      </w:r>
      <w:r w:rsidR="005D08F9">
        <w:rPr>
          <w:rFonts w:ascii="Tahoma" w:hAnsi="Tahoma" w:cs="Tahoma"/>
        </w:rPr>
        <w:t>mente</w:t>
      </w:r>
      <w:r>
        <w:rPr>
          <w:rFonts w:ascii="Tahoma" w:hAnsi="Tahoma" w:cs="Tahoma"/>
        </w:rPr>
        <w:t xml:space="preserve"> tienen en común el nombre de “Aurora”</w:t>
      </w:r>
      <w:r w:rsidR="005D08F9">
        <w:rPr>
          <w:rFonts w:ascii="Tahoma" w:hAnsi="Tahoma" w:cs="Tahoma"/>
        </w:rPr>
        <w:t xml:space="preserve">: </w:t>
      </w:r>
      <w:r w:rsidR="005D08F9" w:rsidRPr="005D08F9">
        <w:rPr>
          <w:rFonts w:ascii="Tahoma" w:hAnsi="Tahoma" w:cs="Tahoma"/>
          <w:caps/>
        </w:rPr>
        <w:t>La Aurora Funerales y Capillas S.A.</w:t>
      </w:r>
      <w:r w:rsidR="005D08F9">
        <w:rPr>
          <w:rFonts w:ascii="Tahoma" w:hAnsi="Tahoma" w:cs="Tahoma"/>
          <w:caps/>
        </w:rPr>
        <w:t>s</w:t>
      </w:r>
      <w:r w:rsidR="00796F78">
        <w:rPr>
          <w:rFonts w:ascii="Tahoma" w:hAnsi="Tahoma" w:cs="Tahoma"/>
          <w:caps/>
        </w:rPr>
        <w:t>,</w:t>
      </w:r>
      <w:r w:rsidR="00796F78">
        <w:rPr>
          <w:rFonts w:ascii="Tahoma" w:hAnsi="Tahoma" w:cs="Tahoma"/>
        </w:rPr>
        <w:t xml:space="preserve"> con sede en Manizales;</w:t>
      </w:r>
      <w:r w:rsidR="005D08F9">
        <w:rPr>
          <w:rFonts w:ascii="Tahoma" w:hAnsi="Tahoma" w:cs="Tahoma"/>
        </w:rPr>
        <w:t xml:space="preserve"> OSP AURORA INVERSIONES S.A.S.</w:t>
      </w:r>
      <w:r w:rsidR="00796F78">
        <w:rPr>
          <w:rFonts w:ascii="Tahoma" w:hAnsi="Tahoma" w:cs="Tahoma"/>
        </w:rPr>
        <w:t>, con sede en Santa Rosa;</w:t>
      </w:r>
      <w:r w:rsidR="005D08F9">
        <w:rPr>
          <w:rFonts w:ascii="Tahoma" w:hAnsi="Tahoma" w:cs="Tahoma"/>
        </w:rPr>
        <w:t xml:space="preserve"> LA AURORA F &amp;</w:t>
      </w:r>
      <w:r w:rsidR="00796F78">
        <w:rPr>
          <w:rFonts w:ascii="Tahoma" w:hAnsi="Tahoma" w:cs="Tahoma"/>
        </w:rPr>
        <w:t xml:space="preserve"> C S.A.S. de</w:t>
      </w:r>
      <w:r w:rsidR="005D08F9">
        <w:rPr>
          <w:rFonts w:ascii="Tahoma" w:hAnsi="Tahoma" w:cs="Tahoma"/>
        </w:rPr>
        <w:t xml:space="preserve"> </w:t>
      </w:r>
      <w:proofErr w:type="spellStart"/>
      <w:r w:rsidR="005D08F9">
        <w:rPr>
          <w:rFonts w:ascii="Tahoma" w:hAnsi="Tahoma" w:cs="Tahoma"/>
        </w:rPr>
        <w:t>Villamaria</w:t>
      </w:r>
      <w:proofErr w:type="spellEnd"/>
      <w:r w:rsidR="005D08F9">
        <w:rPr>
          <w:rFonts w:ascii="Tahoma" w:hAnsi="Tahoma" w:cs="Tahoma"/>
        </w:rPr>
        <w:t>, etc.). En recompensa de aquellas ventas, la demandante recibía un porcentaje</w:t>
      </w:r>
      <w:r w:rsidR="00796F78">
        <w:rPr>
          <w:rFonts w:ascii="Tahoma" w:hAnsi="Tahoma" w:cs="Tahoma"/>
        </w:rPr>
        <w:t>,</w:t>
      </w:r>
      <w:r w:rsidR="005D08F9">
        <w:rPr>
          <w:rFonts w:ascii="Tahoma" w:hAnsi="Tahoma" w:cs="Tahoma"/>
        </w:rPr>
        <w:t xml:space="preserve"> que para el caso de Manizales, por dar algún ejemplo, l</w:t>
      </w:r>
      <w:r w:rsidR="00796F78">
        <w:rPr>
          <w:rFonts w:ascii="Tahoma" w:hAnsi="Tahoma" w:cs="Tahoma"/>
        </w:rPr>
        <w:t>e representó</w:t>
      </w:r>
      <w:r w:rsidR="005D08F9">
        <w:rPr>
          <w:rFonts w:ascii="Tahoma" w:hAnsi="Tahoma" w:cs="Tahoma"/>
        </w:rPr>
        <w:t xml:space="preserve"> ingresos de hasta un millón de pesos mensuales en algunos meses del año 2012.  </w:t>
      </w:r>
    </w:p>
    <w:p w:rsidR="00796F78" w:rsidRDefault="00796F78" w:rsidP="00781C89">
      <w:pPr>
        <w:spacing w:line="276" w:lineRule="auto"/>
        <w:ind w:firstLine="708"/>
        <w:jc w:val="both"/>
        <w:rPr>
          <w:rFonts w:ascii="Tahoma" w:hAnsi="Tahoma" w:cs="Tahoma"/>
        </w:rPr>
      </w:pPr>
    </w:p>
    <w:p w:rsidR="009B0F96" w:rsidRDefault="00796F78" w:rsidP="00781C89">
      <w:pPr>
        <w:spacing w:line="276" w:lineRule="auto"/>
        <w:ind w:firstLine="708"/>
        <w:jc w:val="both"/>
        <w:rPr>
          <w:rFonts w:ascii="Tahoma" w:hAnsi="Tahoma" w:cs="Tahoma"/>
        </w:rPr>
      </w:pPr>
      <w:r>
        <w:rPr>
          <w:rFonts w:ascii="Tahoma" w:hAnsi="Tahoma" w:cs="Tahoma"/>
        </w:rPr>
        <w:t>Ahora bien, invocando en su defensa la libertad que la trabajadora tenía a la hora de elegir</w:t>
      </w:r>
      <w:r w:rsidR="001A3FA4">
        <w:rPr>
          <w:rFonts w:ascii="Tahoma" w:hAnsi="Tahoma" w:cs="Tahoma"/>
        </w:rPr>
        <w:t xml:space="preserve"> si participaba o no de las brigadas de ventas en otros m</w:t>
      </w:r>
      <w:r w:rsidR="009F7E61">
        <w:rPr>
          <w:rFonts w:ascii="Tahoma" w:hAnsi="Tahoma" w:cs="Tahoma"/>
        </w:rPr>
        <w:t>unicipios y el</w:t>
      </w:r>
      <w:r w:rsidR="001A3FA4">
        <w:rPr>
          <w:rFonts w:ascii="Tahoma" w:hAnsi="Tahoma" w:cs="Tahoma"/>
        </w:rPr>
        <w:t xml:space="preserve"> hecho </w:t>
      </w:r>
      <w:r w:rsidR="009F7E61">
        <w:rPr>
          <w:rFonts w:ascii="Tahoma" w:hAnsi="Tahoma" w:cs="Tahoma"/>
        </w:rPr>
        <w:t>de que las comisiones por “ventas en brigada”</w:t>
      </w:r>
      <w:r w:rsidR="00B3297B">
        <w:rPr>
          <w:rFonts w:ascii="Tahoma" w:hAnsi="Tahoma" w:cs="Tahoma"/>
        </w:rPr>
        <w:t xml:space="preserve"> eran pagadas por</w:t>
      </w:r>
      <w:r w:rsidR="009F7E61">
        <w:rPr>
          <w:rFonts w:ascii="Tahoma" w:hAnsi="Tahoma" w:cs="Tahoma"/>
        </w:rPr>
        <w:t xml:space="preserve"> otras compañías funerarias ajenas al empleador, la empresa demandada pretende librarse de la condena que le fue impuesta en sede de primer grado. </w:t>
      </w:r>
    </w:p>
    <w:p w:rsidR="009B0F96" w:rsidRDefault="009B0F96" w:rsidP="00781C89">
      <w:pPr>
        <w:spacing w:line="276" w:lineRule="auto"/>
        <w:ind w:firstLine="708"/>
        <w:jc w:val="both"/>
        <w:rPr>
          <w:rFonts w:ascii="Tahoma" w:hAnsi="Tahoma" w:cs="Tahoma"/>
        </w:rPr>
      </w:pPr>
    </w:p>
    <w:p w:rsidR="000B2605" w:rsidRDefault="009F7E61" w:rsidP="00781C89">
      <w:pPr>
        <w:spacing w:line="276" w:lineRule="auto"/>
        <w:ind w:firstLine="708"/>
        <w:jc w:val="both"/>
        <w:rPr>
          <w:rFonts w:ascii="Tahoma" w:hAnsi="Tahoma" w:cs="Tahoma"/>
        </w:rPr>
      </w:pPr>
      <w:r>
        <w:rPr>
          <w:rFonts w:ascii="Tahoma" w:hAnsi="Tahoma" w:cs="Tahoma"/>
        </w:rPr>
        <w:t xml:space="preserve">Puestas así las cosas, considera la Sala que </w:t>
      </w:r>
      <w:r w:rsidR="009B0F96">
        <w:rPr>
          <w:rFonts w:ascii="Tahoma" w:hAnsi="Tahoma" w:cs="Tahoma"/>
        </w:rPr>
        <w:t>acierta</w:t>
      </w:r>
      <w:r>
        <w:rPr>
          <w:rFonts w:ascii="Tahoma" w:hAnsi="Tahoma" w:cs="Tahoma"/>
        </w:rPr>
        <w:t xml:space="preserve"> el juez laboral </w:t>
      </w:r>
      <w:r w:rsidR="009B0F96">
        <w:rPr>
          <w:rFonts w:ascii="Tahoma" w:hAnsi="Tahoma" w:cs="Tahoma"/>
        </w:rPr>
        <w:t xml:space="preserve">al </w:t>
      </w:r>
      <w:r>
        <w:rPr>
          <w:rFonts w:ascii="Tahoma" w:hAnsi="Tahoma" w:cs="Tahoma"/>
        </w:rPr>
        <w:t>condena</w:t>
      </w:r>
      <w:r w:rsidR="009B0F96">
        <w:rPr>
          <w:rFonts w:ascii="Tahoma" w:hAnsi="Tahoma" w:cs="Tahoma"/>
        </w:rPr>
        <w:t>r a la empresa</w:t>
      </w:r>
      <w:r w:rsidR="0027534C">
        <w:rPr>
          <w:rFonts w:ascii="Tahoma" w:hAnsi="Tahoma" w:cs="Tahoma"/>
        </w:rPr>
        <w:t xml:space="preserve">, pues </w:t>
      </w:r>
      <w:r>
        <w:rPr>
          <w:rFonts w:ascii="Tahoma" w:hAnsi="Tahoma" w:cs="Tahoma"/>
        </w:rPr>
        <w:t xml:space="preserve">no se puede </w:t>
      </w:r>
      <w:r w:rsidR="0027534C">
        <w:rPr>
          <w:rFonts w:ascii="Tahoma" w:hAnsi="Tahoma" w:cs="Tahoma"/>
        </w:rPr>
        <w:t>perder de vista</w:t>
      </w:r>
      <w:r w:rsidR="009B0F96">
        <w:rPr>
          <w:rFonts w:ascii="Tahoma" w:hAnsi="Tahoma" w:cs="Tahoma"/>
        </w:rPr>
        <w:t xml:space="preserve"> que era</w:t>
      </w:r>
      <w:r w:rsidR="0027534C">
        <w:rPr>
          <w:rFonts w:ascii="Tahoma" w:hAnsi="Tahoma" w:cs="Tahoma"/>
        </w:rPr>
        <w:t xml:space="preserve"> é</w:t>
      </w:r>
      <w:r w:rsidR="009B0F96">
        <w:rPr>
          <w:rFonts w:ascii="Tahoma" w:hAnsi="Tahoma" w:cs="Tahoma"/>
        </w:rPr>
        <w:t>sta</w:t>
      </w:r>
      <w:r>
        <w:rPr>
          <w:rFonts w:ascii="Tahoma" w:hAnsi="Tahoma" w:cs="Tahoma"/>
        </w:rPr>
        <w:t xml:space="preserve"> la encargada de programar las denominadas “brigadas</w:t>
      </w:r>
      <w:r w:rsidR="009B0F96">
        <w:rPr>
          <w:rFonts w:ascii="Tahoma" w:hAnsi="Tahoma" w:cs="Tahoma"/>
        </w:rPr>
        <w:t xml:space="preserve"> de venta</w:t>
      </w:r>
      <w:r>
        <w:rPr>
          <w:rFonts w:ascii="Tahoma" w:hAnsi="Tahoma" w:cs="Tahoma"/>
        </w:rPr>
        <w:t>”</w:t>
      </w:r>
      <w:r w:rsidR="009B0F96">
        <w:rPr>
          <w:rFonts w:ascii="Tahoma" w:hAnsi="Tahoma" w:cs="Tahoma"/>
        </w:rPr>
        <w:t xml:space="preserve">, y aunque </w:t>
      </w:r>
      <w:r w:rsidR="00B3297B">
        <w:rPr>
          <w:rFonts w:ascii="Tahoma" w:hAnsi="Tahoma" w:cs="Tahoma"/>
        </w:rPr>
        <w:t xml:space="preserve">al </w:t>
      </w:r>
      <w:r w:rsidR="009B0F96">
        <w:rPr>
          <w:rFonts w:ascii="Tahoma" w:hAnsi="Tahoma" w:cs="Tahoma"/>
        </w:rPr>
        <w:t>parece</w:t>
      </w:r>
      <w:r w:rsidR="00B3297B">
        <w:rPr>
          <w:rFonts w:ascii="Tahoma" w:hAnsi="Tahoma" w:cs="Tahoma"/>
        </w:rPr>
        <w:t>r</w:t>
      </w:r>
      <w:r w:rsidR="009B0F96">
        <w:rPr>
          <w:rFonts w:ascii="Tahoma" w:hAnsi="Tahoma" w:cs="Tahoma"/>
        </w:rPr>
        <w:t xml:space="preserve"> la</w:t>
      </w:r>
      <w:r>
        <w:rPr>
          <w:rFonts w:ascii="Tahoma" w:hAnsi="Tahoma" w:cs="Tahoma"/>
        </w:rPr>
        <w:t xml:space="preserve"> trabajador</w:t>
      </w:r>
      <w:r w:rsidR="009B0F96">
        <w:rPr>
          <w:rFonts w:ascii="Tahoma" w:hAnsi="Tahoma" w:cs="Tahoma"/>
        </w:rPr>
        <w:t>a</w:t>
      </w:r>
      <w:r>
        <w:rPr>
          <w:rFonts w:ascii="Tahoma" w:hAnsi="Tahoma" w:cs="Tahoma"/>
        </w:rPr>
        <w:t xml:space="preserve"> era quien en últimas</w:t>
      </w:r>
      <w:r w:rsidR="00B3297B">
        <w:rPr>
          <w:rFonts w:ascii="Tahoma" w:hAnsi="Tahoma" w:cs="Tahoma"/>
        </w:rPr>
        <w:t xml:space="preserve"> definía</w:t>
      </w:r>
      <w:r w:rsidR="0027534C">
        <w:rPr>
          <w:rFonts w:ascii="Tahoma" w:hAnsi="Tahoma" w:cs="Tahoma"/>
        </w:rPr>
        <w:t xml:space="preserve"> a qué</w:t>
      </w:r>
      <w:r>
        <w:rPr>
          <w:rFonts w:ascii="Tahoma" w:hAnsi="Tahoma" w:cs="Tahoma"/>
        </w:rPr>
        <w:t xml:space="preserve"> municipio</w:t>
      </w:r>
      <w:r w:rsidR="009B0F96">
        <w:rPr>
          <w:rFonts w:ascii="Tahoma" w:hAnsi="Tahoma" w:cs="Tahoma"/>
        </w:rPr>
        <w:t xml:space="preserve"> quería</w:t>
      </w:r>
      <w:r>
        <w:rPr>
          <w:rFonts w:ascii="Tahoma" w:hAnsi="Tahoma" w:cs="Tahoma"/>
        </w:rPr>
        <w:t xml:space="preserve"> desplazarse</w:t>
      </w:r>
      <w:r w:rsidR="009B0F96">
        <w:rPr>
          <w:rFonts w:ascii="Tahoma" w:hAnsi="Tahoma" w:cs="Tahoma"/>
        </w:rPr>
        <w:t xml:space="preserve"> a realizar las ventas</w:t>
      </w:r>
      <w:r>
        <w:rPr>
          <w:rFonts w:ascii="Tahoma" w:hAnsi="Tahoma" w:cs="Tahoma"/>
        </w:rPr>
        <w:t>, lo cierto es</w:t>
      </w:r>
      <w:r w:rsidR="009B0F96">
        <w:rPr>
          <w:rFonts w:ascii="Tahoma" w:hAnsi="Tahoma" w:cs="Tahoma"/>
        </w:rPr>
        <w:t xml:space="preserve"> que</w:t>
      </w:r>
      <w:r>
        <w:rPr>
          <w:rFonts w:ascii="Tahoma" w:hAnsi="Tahoma" w:cs="Tahoma"/>
        </w:rPr>
        <w:t xml:space="preserve"> ello no le resta valor</w:t>
      </w:r>
      <w:r w:rsidR="0027534C">
        <w:rPr>
          <w:rFonts w:ascii="Tahoma" w:hAnsi="Tahoma" w:cs="Tahoma"/>
        </w:rPr>
        <w:t xml:space="preserve"> alguno</w:t>
      </w:r>
      <w:r>
        <w:rPr>
          <w:rFonts w:ascii="Tahoma" w:hAnsi="Tahoma" w:cs="Tahoma"/>
        </w:rPr>
        <w:t xml:space="preserve"> al hecho de que la empresa</w:t>
      </w:r>
      <w:r w:rsidR="009B0F96">
        <w:rPr>
          <w:rFonts w:ascii="Tahoma" w:hAnsi="Tahoma" w:cs="Tahoma"/>
        </w:rPr>
        <w:t xml:space="preserve"> que figura como empleadora</w:t>
      </w:r>
      <w:r>
        <w:rPr>
          <w:rFonts w:ascii="Tahoma" w:hAnsi="Tahoma" w:cs="Tahoma"/>
        </w:rPr>
        <w:t xml:space="preserve"> sirvió de puente para suministrar personal de ventas a otras empresas</w:t>
      </w:r>
      <w:r w:rsidR="009B0F96">
        <w:rPr>
          <w:rFonts w:ascii="Tahoma" w:hAnsi="Tahoma" w:cs="Tahoma"/>
        </w:rPr>
        <w:t xml:space="preserve"> con las que comparte no solo el nombre de raíz, sino también un mismo objeto social. En tal orden, los acuerdos comerciales celebrados entre estas empresas</w:t>
      </w:r>
      <w:r w:rsidR="002B58CA">
        <w:rPr>
          <w:rFonts w:ascii="Tahoma" w:hAnsi="Tahoma" w:cs="Tahoma"/>
        </w:rPr>
        <w:t xml:space="preserve"> que pertenecen a un mismo</w:t>
      </w:r>
      <w:r w:rsidR="00B3297B">
        <w:rPr>
          <w:rFonts w:ascii="Tahoma" w:hAnsi="Tahoma" w:cs="Tahoma"/>
        </w:rPr>
        <w:t xml:space="preserve"> ramo</w:t>
      </w:r>
      <w:r w:rsidR="009B0F96">
        <w:rPr>
          <w:rFonts w:ascii="Tahoma" w:hAnsi="Tahoma" w:cs="Tahoma"/>
        </w:rPr>
        <w:t>, bajo ninguna circunstancia pueden menoscabar los derechos laborales de sus trabajadores</w:t>
      </w:r>
      <w:r w:rsidR="002B58CA">
        <w:rPr>
          <w:rFonts w:ascii="Tahoma" w:hAnsi="Tahoma" w:cs="Tahoma"/>
        </w:rPr>
        <w:t>;</w:t>
      </w:r>
      <w:r w:rsidR="00B3297B">
        <w:rPr>
          <w:rFonts w:ascii="Tahoma" w:hAnsi="Tahoma" w:cs="Tahoma"/>
        </w:rPr>
        <w:t xml:space="preserve"> por consiguiente, se confirmará este punto de la sentencia</w:t>
      </w:r>
      <w:r w:rsidR="002B58CA">
        <w:rPr>
          <w:rFonts w:ascii="Tahoma" w:hAnsi="Tahoma" w:cs="Tahoma"/>
        </w:rPr>
        <w:t xml:space="preserve"> atacada</w:t>
      </w:r>
      <w:r w:rsidR="00B3297B">
        <w:rPr>
          <w:rFonts w:ascii="Tahoma" w:hAnsi="Tahoma" w:cs="Tahoma"/>
        </w:rPr>
        <w:t>.</w:t>
      </w:r>
    </w:p>
    <w:p w:rsidR="002B58CA" w:rsidRDefault="00B3297B" w:rsidP="00781C89">
      <w:pPr>
        <w:spacing w:line="276" w:lineRule="auto"/>
        <w:ind w:firstLine="708"/>
        <w:jc w:val="both"/>
        <w:rPr>
          <w:rFonts w:ascii="Tahoma" w:hAnsi="Tahoma" w:cs="Tahoma"/>
        </w:rPr>
      </w:pPr>
      <w:r>
        <w:rPr>
          <w:rFonts w:ascii="Tahoma" w:hAnsi="Tahoma" w:cs="Tahoma"/>
        </w:rPr>
        <w:t xml:space="preserve"> </w:t>
      </w:r>
    </w:p>
    <w:p w:rsidR="00452117" w:rsidRPr="002B58CA" w:rsidRDefault="002B58CA" w:rsidP="002B58CA">
      <w:pPr>
        <w:pStyle w:val="Prrafodelista"/>
        <w:numPr>
          <w:ilvl w:val="1"/>
          <w:numId w:val="1"/>
        </w:numPr>
        <w:spacing w:line="276" w:lineRule="auto"/>
        <w:jc w:val="both"/>
        <w:rPr>
          <w:rFonts w:ascii="Tahoma" w:hAnsi="Tahoma" w:cs="Tahoma"/>
          <w:b/>
        </w:rPr>
      </w:pPr>
      <w:r w:rsidRPr="002B58CA">
        <w:rPr>
          <w:rFonts w:ascii="Tahoma" w:hAnsi="Tahoma" w:cs="Tahoma"/>
          <w:b/>
        </w:rPr>
        <w:t>SALARIO BASE DE LA LIQUIDACIÓN DE PRESTACIONES</w:t>
      </w:r>
      <w:r w:rsidR="00B3297B" w:rsidRPr="002B58CA">
        <w:rPr>
          <w:rFonts w:ascii="Tahoma" w:hAnsi="Tahoma" w:cs="Tahoma"/>
          <w:b/>
        </w:rPr>
        <w:t xml:space="preserve"> </w:t>
      </w:r>
      <w:r w:rsidR="009B0F96" w:rsidRPr="002B58CA">
        <w:rPr>
          <w:rFonts w:ascii="Tahoma" w:hAnsi="Tahoma" w:cs="Tahoma"/>
          <w:b/>
        </w:rPr>
        <w:t xml:space="preserve">  </w:t>
      </w:r>
    </w:p>
    <w:p w:rsidR="009B0F96" w:rsidRDefault="009B0F96" w:rsidP="00781C89">
      <w:pPr>
        <w:spacing w:line="276" w:lineRule="auto"/>
        <w:ind w:firstLine="708"/>
        <w:jc w:val="both"/>
        <w:rPr>
          <w:rFonts w:ascii="Tahoma" w:hAnsi="Tahoma" w:cs="Tahoma"/>
        </w:rPr>
      </w:pPr>
    </w:p>
    <w:p w:rsidR="002B58CA" w:rsidRDefault="000804B1" w:rsidP="002B58CA">
      <w:pPr>
        <w:spacing w:line="276" w:lineRule="auto"/>
        <w:ind w:firstLine="708"/>
        <w:jc w:val="both"/>
        <w:rPr>
          <w:rFonts w:ascii="Tahoma" w:hAnsi="Tahoma" w:cs="Tahoma"/>
        </w:rPr>
      </w:pPr>
      <w:r>
        <w:rPr>
          <w:rFonts w:ascii="Tahoma" w:hAnsi="Tahoma" w:cs="Tahoma"/>
        </w:rPr>
        <w:t>En relación al</w:t>
      </w:r>
      <w:r w:rsidR="002B58CA">
        <w:rPr>
          <w:rFonts w:ascii="Tahoma" w:hAnsi="Tahoma" w:cs="Tahoma"/>
        </w:rPr>
        <w:t xml:space="preserve"> monto</w:t>
      </w:r>
      <w:r w:rsidR="003E5F94">
        <w:rPr>
          <w:rFonts w:ascii="Tahoma" w:hAnsi="Tahoma" w:cs="Tahoma"/>
        </w:rPr>
        <w:t xml:space="preserve"> de la condena por</w:t>
      </w:r>
      <w:r w:rsidR="002B58CA">
        <w:rPr>
          <w:rFonts w:ascii="Tahoma" w:hAnsi="Tahoma" w:cs="Tahoma"/>
        </w:rPr>
        <w:t xml:space="preserve"> reajuste, en verdad que</w:t>
      </w:r>
      <w:r w:rsidR="003E5F94">
        <w:rPr>
          <w:rFonts w:ascii="Tahoma" w:hAnsi="Tahoma" w:cs="Tahoma"/>
        </w:rPr>
        <w:t xml:space="preserve"> se aprecia que las certificaciones</w:t>
      </w:r>
      <w:r w:rsidR="002B58CA">
        <w:rPr>
          <w:rFonts w:ascii="Tahoma" w:hAnsi="Tahoma" w:cs="Tahoma"/>
        </w:rPr>
        <w:t xml:space="preserve"> que sirvieron de base para la liquidación de las prestaciones, no</w:t>
      </w:r>
      <w:r w:rsidR="003E5F94">
        <w:rPr>
          <w:rFonts w:ascii="Tahoma" w:hAnsi="Tahoma" w:cs="Tahoma"/>
        </w:rPr>
        <w:t xml:space="preserve"> alcanzan a reflejar</w:t>
      </w:r>
      <w:r w:rsidR="002B58CA">
        <w:rPr>
          <w:rFonts w:ascii="Tahoma" w:hAnsi="Tahoma" w:cs="Tahoma"/>
        </w:rPr>
        <w:t xml:space="preserve"> la variabilidad del ingreso mensual de la trabajadora, razón por la </w:t>
      </w:r>
      <w:r w:rsidR="003E5F94">
        <w:rPr>
          <w:rFonts w:ascii="Tahoma" w:hAnsi="Tahoma" w:cs="Tahoma"/>
        </w:rPr>
        <w:t>cual</w:t>
      </w:r>
      <w:r w:rsidR="002B58CA">
        <w:rPr>
          <w:rFonts w:ascii="Tahoma" w:hAnsi="Tahoma" w:cs="Tahoma"/>
        </w:rPr>
        <w:t>, a efectos de calcular el monto de lo que debió pagar la demandada por concepto de prima de servicio, cesantías e intereses a las cesantías</w:t>
      </w:r>
      <w:r>
        <w:rPr>
          <w:rFonts w:ascii="Tahoma" w:hAnsi="Tahoma" w:cs="Tahoma"/>
        </w:rPr>
        <w:t>, e</w:t>
      </w:r>
      <w:r w:rsidR="002B58CA">
        <w:rPr>
          <w:rFonts w:ascii="Tahoma" w:hAnsi="Tahoma" w:cs="Tahoma"/>
        </w:rPr>
        <w:t xml:space="preserve">l juez debió efectuar la </w:t>
      </w:r>
      <w:r>
        <w:rPr>
          <w:rFonts w:ascii="Tahoma" w:hAnsi="Tahoma" w:cs="Tahoma"/>
        </w:rPr>
        <w:t xml:space="preserve">liquidación </w:t>
      </w:r>
      <w:r w:rsidR="002B58CA">
        <w:rPr>
          <w:rFonts w:ascii="Tahoma" w:hAnsi="Tahoma" w:cs="Tahoma"/>
        </w:rPr>
        <w:t>con base en el promedio de las comisiones por ventas en brigadas;</w:t>
      </w:r>
      <w:r w:rsidR="003E5F94">
        <w:rPr>
          <w:rFonts w:ascii="Tahoma" w:hAnsi="Tahoma" w:cs="Tahoma"/>
        </w:rPr>
        <w:t xml:space="preserve"> lo cual se</w:t>
      </w:r>
      <w:r>
        <w:rPr>
          <w:rFonts w:ascii="Tahoma" w:hAnsi="Tahoma" w:cs="Tahoma"/>
        </w:rPr>
        <w:t xml:space="preserve"> puede</w:t>
      </w:r>
      <w:r w:rsidR="003E5F94">
        <w:rPr>
          <w:rFonts w:ascii="Tahoma" w:hAnsi="Tahoma" w:cs="Tahoma"/>
        </w:rPr>
        <w:t xml:space="preserve"> extraer </w:t>
      </w:r>
      <w:r w:rsidR="002B58CA">
        <w:rPr>
          <w:rFonts w:ascii="Tahoma" w:hAnsi="Tahoma" w:cs="Tahoma"/>
        </w:rPr>
        <w:t>de la abundante p</w:t>
      </w:r>
      <w:r>
        <w:rPr>
          <w:rFonts w:ascii="Tahoma" w:hAnsi="Tahoma" w:cs="Tahoma"/>
        </w:rPr>
        <w:t>rueba documental que obra</w:t>
      </w:r>
      <w:r w:rsidR="002B58CA">
        <w:rPr>
          <w:rFonts w:ascii="Tahoma" w:hAnsi="Tahoma" w:cs="Tahoma"/>
        </w:rPr>
        <w:t xml:space="preserve"> entre los folios 337 y 583, que</w:t>
      </w:r>
      <w:r w:rsidR="003E5F94">
        <w:rPr>
          <w:rFonts w:ascii="Tahoma" w:hAnsi="Tahoma" w:cs="Tahoma"/>
        </w:rPr>
        <w:t xml:space="preserve"> se refiere a</w:t>
      </w:r>
      <w:r w:rsidR="002B58CA">
        <w:rPr>
          <w:rFonts w:ascii="Tahoma" w:hAnsi="Tahoma" w:cs="Tahoma"/>
        </w:rPr>
        <w:t xml:space="preserve"> la liquidación diaria de aquellas comisiones</w:t>
      </w:r>
      <w:r w:rsidR="003E5F94">
        <w:rPr>
          <w:rFonts w:ascii="Tahoma" w:hAnsi="Tahoma" w:cs="Tahoma"/>
        </w:rPr>
        <w:t xml:space="preserve">. </w:t>
      </w:r>
    </w:p>
    <w:p w:rsidR="003E5F94" w:rsidRDefault="003E5F94" w:rsidP="000B2605">
      <w:pPr>
        <w:spacing w:line="240" w:lineRule="auto"/>
        <w:ind w:firstLine="708"/>
        <w:jc w:val="both"/>
        <w:rPr>
          <w:rFonts w:ascii="Tahoma" w:hAnsi="Tahoma" w:cs="Tahoma"/>
        </w:rPr>
      </w:pPr>
    </w:p>
    <w:p w:rsidR="000B2605" w:rsidRDefault="000B2605" w:rsidP="000B2605">
      <w:pPr>
        <w:spacing w:line="240" w:lineRule="auto"/>
        <w:ind w:firstLine="708"/>
        <w:jc w:val="both"/>
        <w:rPr>
          <w:rFonts w:ascii="Tahoma" w:hAnsi="Tahoma" w:cs="Tahoma"/>
        </w:rPr>
      </w:pPr>
    </w:p>
    <w:p w:rsidR="003E5F94" w:rsidRDefault="003E5F94" w:rsidP="002B58CA">
      <w:pPr>
        <w:spacing w:line="276" w:lineRule="auto"/>
        <w:ind w:firstLine="708"/>
        <w:jc w:val="both"/>
        <w:rPr>
          <w:rFonts w:ascii="Tahoma" w:hAnsi="Tahoma" w:cs="Tahoma"/>
        </w:rPr>
      </w:pPr>
      <w:r>
        <w:rPr>
          <w:rFonts w:ascii="Tahoma" w:hAnsi="Tahoma" w:cs="Tahoma"/>
        </w:rPr>
        <w:t>La Sala efectuó el cálculo respectivo, el cual se aprecia en los</w:t>
      </w:r>
      <w:r w:rsidR="00D026C9">
        <w:rPr>
          <w:rFonts w:ascii="Tahoma" w:hAnsi="Tahoma" w:cs="Tahoma"/>
        </w:rPr>
        <w:t xml:space="preserve"> respectivos</w:t>
      </w:r>
      <w:r>
        <w:rPr>
          <w:rFonts w:ascii="Tahoma" w:hAnsi="Tahoma" w:cs="Tahoma"/>
        </w:rPr>
        <w:t xml:space="preserve"> cuadros</w:t>
      </w:r>
      <w:r w:rsidR="00D026C9">
        <w:rPr>
          <w:rFonts w:ascii="Tahoma" w:hAnsi="Tahoma" w:cs="Tahoma"/>
        </w:rPr>
        <w:t xml:space="preserve"> ahora</w:t>
      </w:r>
      <w:r>
        <w:rPr>
          <w:rFonts w:ascii="Tahoma" w:hAnsi="Tahoma" w:cs="Tahoma"/>
        </w:rPr>
        <w:t xml:space="preserve"> en manos de las partes, lo que nos arrojó los siguientes salarios promedio:</w:t>
      </w:r>
    </w:p>
    <w:p w:rsidR="000B2605" w:rsidRDefault="000B2605" w:rsidP="002B58CA">
      <w:pPr>
        <w:spacing w:line="276" w:lineRule="auto"/>
        <w:ind w:firstLine="708"/>
        <w:jc w:val="both"/>
        <w:rPr>
          <w:rFonts w:ascii="Tahoma" w:hAnsi="Tahoma" w:cs="Tahoma"/>
        </w:rPr>
      </w:pPr>
    </w:p>
    <w:p w:rsidR="000B2605" w:rsidRDefault="000B2605" w:rsidP="00C110BA">
      <w:pPr>
        <w:spacing w:line="240" w:lineRule="auto"/>
        <w:ind w:firstLine="708"/>
        <w:jc w:val="both"/>
        <w:rPr>
          <w:rFonts w:ascii="Tahoma" w:hAnsi="Tahoma" w:cs="Tahoma"/>
        </w:rPr>
      </w:pPr>
    </w:p>
    <w:tbl>
      <w:tblPr>
        <w:tblStyle w:val="Tablaconcuadrcula"/>
        <w:tblW w:w="0" w:type="auto"/>
        <w:tblInd w:w="817" w:type="dxa"/>
        <w:tblLook w:val="04A0" w:firstRow="1" w:lastRow="0" w:firstColumn="1" w:lastColumn="0" w:noHBand="0" w:noVBand="1"/>
      </w:tblPr>
      <w:tblGrid>
        <w:gridCol w:w="709"/>
        <w:gridCol w:w="1134"/>
        <w:gridCol w:w="1560"/>
        <w:gridCol w:w="2268"/>
        <w:gridCol w:w="1276"/>
      </w:tblGrid>
      <w:tr w:rsidR="003E5F94" w:rsidTr="00B76BF0">
        <w:tc>
          <w:tcPr>
            <w:tcW w:w="709" w:type="dxa"/>
          </w:tcPr>
          <w:p w:rsidR="003E5F94" w:rsidRPr="00B76BF0" w:rsidRDefault="003E5F94" w:rsidP="00B76BF0">
            <w:pPr>
              <w:spacing w:line="276" w:lineRule="auto"/>
              <w:jc w:val="center"/>
              <w:rPr>
                <w:rFonts w:ascii="Tahoma" w:hAnsi="Tahoma" w:cs="Tahoma"/>
                <w:b/>
                <w:sz w:val="20"/>
                <w:szCs w:val="20"/>
              </w:rPr>
            </w:pPr>
            <w:r w:rsidRPr="00B76BF0">
              <w:rPr>
                <w:rFonts w:ascii="Tahoma" w:hAnsi="Tahoma" w:cs="Tahoma"/>
                <w:b/>
                <w:sz w:val="20"/>
                <w:szCs w:val="20"/>
              </w:rPr>
              <w:t>AÑO</w:t>
            </w:r>
          </w:p>
        </w:tc>
        <w:tc>
          <w:tcPr>
            <w:tcW w:w="1134" w:type="dxa"/>
          </w:tcPr>
          <w:p w:rsidR="003E5F94" w:rsidRPr="00B76BF0" w:rsidRDefault="003E5F94" w:rsidP="00B76BF0">
            <w:pPr>
              <w:spacing w:line="276" w:lineRule="auto"/>
              <w:jc w:val="center"/>
              <w:rPr>
                <w:rFonts w:ascii="Tahoma" w:hAnsi="Tahoma" w:cs="Tahoma"/>
                <w:b/>
                <w:sz w:val="20"/>
                <w:szCs w:val="20"/>
              </w:rPr>
            </w:pPr>
            <w:r w:rsidRPr="00B76BF0">
              <w:rPr>
                <w:rFonts w:ascii="Tahoma" w:hAnsi="Tahoma" w:cs="Tahoma"/>
                <w:b/>
                <w:sz w:val="20"/>
                <w:szCs w:val="20"/>
              </w:rPr>
              <w:t>SALARIO BASICO</w:t>
            </w:r>
          </w:p>
        </w:tc>
        <w:tc>
          <w:tcPr>
            <w:tcW w:w="1417" w:type="dxa"/>
          </w:tcPr>
          <w:p w:rsidR="003E5F94" w:rsidRPr="00B76BF0" w:rsidRDefault="003E5F94" w:rsidP="00B76BF0">
            <w:pPr>
              <w:spacing w:line="276" w:lineRule="auto"/>
              <w:jc w:val="center"/>
              <w:rPr>
                <w:rFonts w:ascii="Tahoma" w:hAnsi="Tahoma" w:cs="Tahoma"/>
                <w:b/>
                <w:sz w:val="20"/>
                <w:szCs w:val="20"/>
              </w:rPr>
            </w:pPr>
            <w:r w:rsidRPr="00B76BF0">
              <w:rPr>
                <w:rFonts w:ascii="Tahoma" w:hAnsi="Tahoma" w:cs="Tahoma"/>
                <w:b/>
                <w:sz w:val="20"/>
                <w:szCs w:val="20"/>
              </w:rPr>
              <w:t>COMISIONES</w:t>
            </w:r>
          </w:p>
          <w:p w:rsidR="003E5F94" w:rsidRPr="00B76BF0" w:rsidRDefault="003E5F94" w:rsidP="00B76BF0">
            <w:pPr>
              <w:spacing w:line="276" w:lineRule="auto"/>
              <w:jc w:val="center"/>
              <w:rPr>
                <w:rFonts w:ascii="Tahoma" w:hAnsi="Tahoma" w:cs="Tahoma"/>
                <w:b/>
                <w:sz w:val="20"/>
                <w:szCs w:val="20"/>
              </w:rPr>
            </w:pPr>
            <w:r w:rsidRPr="00B76BF0">
              <w:rPr>
                <w:rFonts w:ascii="Tahoma" w:hAnsi="Tahoma" w:cs="Tahoma"/>
                <w:b/>
                <w:sz w:val="20"/>
                <w:szCs w:val="20"/>
              </w:rPr>
              <w:t>GENERALES</w:t>
            </w:r>
          </w:p>
        </w:tc>
        <w:tc>
          <w:tcPr>
            <w:tcW w:w="2268" w:type="dxa"/>
          </w:tcPr>
          <w:p w:rsidR="003E5F94" w:rsidRPr="00B76BF0" w:rsidRDefault="003E5F94" w:rsidP="00B76BF0">
            <w:pPr>
              <w:spacing w:line="276" w:lineRule="auto"/>
              <w:jc w:val="center"/>
              <w:rPr>
                <w:rFonts w:ascii="Tahoma" w:hAnsi="Tahoma" w:cs="Tahoma"/>
                <w:b/>
                <w:sz w:val="20"/>
                <w:szCs w:val="20"/>
              </w:rPr>
            </w:pPr>
            <w:r w:rsidRPr="00B76BF0">
              <w:rPr>
                <w:rFonts w:ascii="Tahoma" w:hAnsi="Tahoma" w:cs="Tahoma"/>
                <w:b/>
                <w:sz w:val="20"/>
                <w:szCs w:val="20"/>
              </w:rPr>
              <w:t>COMISIONES POR</w:t>
            </w:r>
          </w:p>
          <w:p w:rsidR="003E5F94" w:rsidRPr="00B76BF0" w:rsidRDefault="003E5F94" w:rsidP="00B76BF0">
            <w:pPr>
              <w:spacing w:line="276" w:lineRule="auto"/>
              <w:jc w:val="center"/>
              <w:rPr>
                <w:rFonts w:ascii="Tahoma" w:hAnsi="Tahoma" w:cs="Tahoma"/>
                <w:b/>
                <w:sz w:val="20"/>
                <w:szCs w:val="20"/>
              </w:rPr>
            </w:pPr>
            <w:r w:rsidRPr="00B76BF0">
              <w:rPr>
                <w:rFonts w:ascii="Tahoma" w:hAnsi="Tahoma" w:cs="Tahoma"/>
                <w:b/>
                <w:sz w:val="20"/>
                <w:szCs w:val="20"/>
              </w:rPr>
              <w:t>VENTAS EN BRIGADAS</w:t>
            </w:r>
          </w:p>
        </w:tc>
        <w:tc>
          <w:tcPr>
            <w:tcW w:w="1276" w:type="dxa"/>
          </w:tcPr>
          <w:p w:rsidR="003E5F94" w:rsidRPr="00B76BF0" w:rsidRDefault="003E5F94" w:rsidP="00B76BF0">
            <w:pPr>
              <w:spacing w:line="276" w:lineRule="auto"/>
              <w:jc w:val="center"/>
              <w:rPr>
                <w:rFonts w:ascii="Tahoma" w:hAnsi="Tahoma" w:cs="Tahoma"/>
                <w:b/>
                <w:sz w:val="20"/>
                <w:szCs w:val="20"/>
              </w:rPr>
            </w:pPr>
            <w:r w:rsidRPr="00B76BF0">
              <w:rPr>
                <w:rFonts w:ascii="Tahoma" w:hAnsi="Tahoma" w:cs="Tahoma"/>
                <w:b/>
                <w:sz w:val="20"/>
                <w:szCs w:val="20"/>
              </w:rPr>
              <w:t>TOTAL</w:t>
            </w:r>
          </w:p>
        </w:tc>
      </w:tr>
      <w:tr w:rsidR="003E5F94" w:rsidTr="00B76BF0">
        <w:tc>
          <w:tcPr>
            <w:tcW w:w="709" w:type="dxa"/>
          </w:tcPr>
          <w:p w:rsidR="003E5F94" w:rsidRPr="00B76BF0" w:rsidRDefault="003E5F94" w:rsidP="00B76BF0">
            <w:pPr>
              <w:spacing w:line="276" w:lineRule="auto"/>
              <w:jc w:val="center"/>
              <w:rPr>
                <w:rFonts w:ascii="Tahoma" w:hAnsi="Tahoma" w:cs="Tahoma"/>
                <w:sz w:val="20"/>
                <w:szCs w:val="20"/>
              </w:rPr>
            </w:pPr>
            <w:r w:rsidRPr="00B76BF0">
              <w:rPr>
                <w:rFonts w:ascii="Tahoma" w:hAnsi="Tahoma" w:cs="Tahoma"/>
                <w:sz w:val="20"/>
                <w:szCs w:val="20"/>
              </w:rPr>
              <w:t>2010</w:t>
            </w:r>
          </w:p>
        </w:tc>
        <w:tc>
          <w:tcPr>
            <w:tcW w:w="1134" w:type="dxa"/>
          </w:tcPr>
          <w:p w:rsidR="003E5F94" w:rsidRPr="00B76BF0" w:rsidRDefault="003E5F94" w:rsidP="00B76BF0">
            <w:pPr>
              <w:spacing w:line="276" w:lineRule="auto"/>
              <w:jc w:val="center"/>
              <w:rPr>
                <w:rFonts w:ascii="Tahoma" w:hAnsi="Tahoma" w:cs="Tahoma"/>
                <w:sz w:val="20"/>
                <w:szCs w:val="20"/>
              </w:rPr>
            </w:pPr>
            <w:r w:rsidRPr="00B76BF0">
              <w:rPr>
                <w:rFonts w:ascii="Tahoma" w:hAnsi="Tahoma" w:cs="Tahoma"/>
                <w:sz w:val="20"/>
                <w:szCs w:val="20"/>
              </w:rPr>
              <w:t>$670.000</w:t>
            </w:r>
          </w:p>
        </w:tc>
        <w:tc>
          <w:tcPr>
            <w:tcW w:w="1417" w:type="dxa"/>
          </w:tcPr>
          <w:p w:rsidR="003E5F94" w:rsidRPr="00B76BF0" w:rsidRDefault="003E5F94" w:rsidP="00B76BF0">
            <w:pPr>
              <w:spacing w:line="276" w:lineRule="auto"/>
              <w:jc w:val="center"/>
              <w:rPr>
                <w:rFonts w:ascii="Tahoma" w:hAnsi="Tahoma" w:cs="Tahoma"/>
                <w:sz w:val="20"/>
                <w:szCs w:val="20"/>
              </w:rPr>
            </w:pPr>
            <w:r w:rsidRPr="00B76BF0">
              <w:rPr>
                <w:rFonts w:ascii="Tahoma" w:hAnsi="Tahoma" w:cs="Tahoma"/>
                <w:sz w:val="20"/>
                <w:szCs w:val="20"/>
              </w:rPr>
              <w:t>$500.000</w:t>
            </w:r>
          </w:p>
        </w:tc>
        <w:tc>
          <w:tcPr>
            <w:tcW w:w="2268" w:type="dxa"/>
          </w:tcPr>
          <w:p w:rsidR="003E5F94" w:rsidRPr="00B76BF0" w:rsidRDefault="003E5F94" w:rsidP="00B76BF0">
            <w:pPr>
              <w:spacing w:line="276" w:lineRule="auto"/>
              <w:jc w:val="center"/>
              <w:rPr>
                <w:rFonts w:ascii="Tahoma" w:hAnsi="Tahoma" w:cs="Tahoma"/>
                <w:sz w:val="20"/>
                <w:szCs w:val="20"/>
              </w:rPr>
            </w:pPr>
            <w:r w:rsidRPr="00B76BF0">
              <w:rPr>
                <w:rFonts w:ascii="Tahoma" w:hAnsi="Tahoma" w:cs="Tahoma"/>
                <w:sz w:val="20"/>
                <w:szCs w:val="20"/>
              </w:rPr>
              <w:t>$122.</w:t>
            </w:r>
            <w:r w:rsidR="00B76BF0" w:rsidRPr="00B76BF0">
              <w:rPr>
                <w:rFonts w:ascii="Tahoma" w:hAnsi="Tahoma" w:cs="Tahoma"/>
                <w:sz w:val="20"/>
                <w:szCs w:val="20"/>
              </w:rPr>
              <w:t>445</w:t>
            </w:r>
          </w:p>
        </w:tc>
        <w:tc>
          <w:tcPr>
            <w:tcW w:w="1276" w:type="dxa"/>
          </w:tcPr>
          <w:p w:rsidR="003E5F94"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$1.292.445</w:t>
            </w:r>
          </w:p>
        </w:tc>
      </w:tr>
      <w:tr w:rsidR="003E5F94" w:rsidTr="00B76BF0">
        <w:tc>
          <w:tcPr>
            <w:tcW w:w="709" w:type="dxa"/>
          </w:tcPr>
          <w:p w:rsidR="003E5F94"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2011</w:t>
            </w:r>
          </w:p>
        </w:tc>
        <w:tc>
          <w:tcPr>
            <w:tcW w:w="1134" w:type="dxa"/>
          </w:tcPr>
          <w:p w:rsidR="003E5F94"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$700.000</w:t>
            </w:r>
          </w:p>
        </w:tc>
        <w:tc>
          <w:tcPr>
            <w:tcW w:w="1417" w:type="dxa"/>
          </w:tcPr>
          <w:p w:rsidR="003E5F94"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$500.000</w:t>
            </w:r>
          </w:p>
        </w:tc>
        <w:tc>
          <w:tcPr>
            <w:tcW w:w="2268" w:type="dxa"/>
          </w:tcPr>
          <w:p w:rsidR="003E5F94"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$205.735</w:t>
            </w:r>
          </w:p>
        </w:tc>
        <w:tc>
          <w:tcPr>
            <w:tcW w:w="1276" w:type="dxa"/>
          </w:tcPr>
          <w:p w:rsidR="003E5F94"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$1.405.735</w:t>
            </w:r>
          </w:p>
        </w:tc>
      </w:tr>
      <w:tr w:rsidR="00B76BF0" w:rsidTr="00B76BF0">
        <w:tc>
          <w:tcPr>
            <w:tcW w:w="709"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2012</w:t>
            </w:r>
          </w:p>
        </w:tc>
        <w:tc>
          <w:tcPr>
            <w:tcW w:w="1134"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$740.000</w:t>
            </w:r>
          </w:p>
        </w:tc>
        <w:tc>
          <w:tcPr>
            <w:tcW w:w="1417"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$500.000</w:t>
            </w:r>
          </w:p>
        </w:tc>
        <w:tc>
          <w:tcPr>
            <w:tcW w:w="2268"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$520.467</w:t>
            </w:r>
          </w:p>
        </w:tc>
        <w:tc>
          <w:tcPr>
            <w:tcW w:w="1276"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$1760.467</w:t>
            </w:r>
          </w:p>
        </w:tc>
      </w:tr>
      <w:tr w:rsidR="00B76BF0" w:rsidTr="00B76BF0">
        <w:tc>
          <w:tcPr>
            <w:tcW w:w="709"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2013</w:t>
            </w:r>
          </w:p>
        </w:tc>
        <w:tc>
          <w:tcPr>
            <w:tcW w:w="1134"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$780.000</w:t>
            </w:r>
          </w:p>
        </w:tc>
        <w:tc>
          <w:tcPr>
            <w:tcW w:w="1417"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$500.000</w:t>
            </w:r>
          </w:p>
        </w:tc>
        <w:tc>
          <w:tcPr>
            <w:tcW w:w="2268"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$538.370</w:t>
            </w:r>
            <w:r w:rsidR="00D026C9">
              <w:rPr>
                <w:rFonts w:ascii="Tahoma" w:hAnsi="Tahoma" w:cs="Tahoma"/>
                <w:sz w:val="20"/>
                <w:szCs w:val="20"/>
              </w:rPr>
              <w:t>*</w:t>
            </w:r>
          </w:p>
        </w:tc>
        <w:tc>
          <w:tcPr>
            <w:tcW w:w="1276" w:type="dxa"/>
          </w:tcPr>
          <w:p w:rsidR="00B76BF0" w:rsidRPr="00B76BF0" w:rsidRDefault="00B76BF0" w:rsidP="00B76BF0">
            <w:pPr>
              <w:spacing w:line="276" w:lineRule="auto"/>
              <w:jc w:val="center"/>
              <w:rPr>
                <w:rFonts w:ascii="Tahoma" w:hAnsi="Tahoma" w:cs="Tahoma"/>
                <w:sz w:val="20"/>
                <w:szCs w:val="20"/>
              </w:rPr>
            </w:pPr>
            <w:r w:rsidRPr="00B76BF0">
              <w:rPr>
                <w:rFonts w:ascii="Tahoma" w:hAnsi="Tahoma" w:cs="Tahoma"/>
                <w:sz w:val="20"/>
                <w:szCs w:val="20"/>
              </w:rPr>
              <w:t>$1.818.370</w:t>
            </w:r>
          </w:p>
        </w:tc>
      </w:tr>
    </w:tbl>
    <w:p w:rsidR="003E5F94" w:rsidRDefault="003E5F94" w:rsidP="0027534C">
      <w:pPr>
        <w:spacing w:line="240" w:lineRule="auto"/>
        <w:ind w:firstLine="708"/>
        <w:jc w:val="both"/>
        <w:rPr>
          <w:rFonts w:ascii="Tahoma" w:hAnsi="Tahoma" w:cs="Tahoma"/>
        </w:rPr>
      </w:pPr>
    </w:p>
    <w:p w:rsidR="00B76BF0" w:rsidRDefault="00B76BF0" w:rsidP="0027534C">
      <w:pPr>
        <w:pStyle w:val="Prrafodelista"/>
        <w:numPr>
          <w:ilvl w:val="0"/>
          <w:numId w:val="3"/>
        </w:numPr>
        <w:spacing w:line="240" w:lineRule="auto"/>
        <w:ind w:left="0" w:firstLine="567"/>
        <w:jc w:val="both"/>
        <w:rPr>
          <w:rFonts w:ascii="Tahoma" w:hAnsi="Tahoma" w:cs="Tahoma"/>
          <w:lang w:val="es-CO"/>
        </w:rPr>
      </w:pPr>
      <w:r w:rsidRPr="00D026C9">
        <w:rPr>
          <w:rFonts w:ascii="Tahoma" w:hAnsi="Tahoma" w:cs="Tahoma"/>
          <w:lang w:val="es-CO"/>
        </w:rPr>
        <w:t>En lo que corresponde al promedio de las ventas en brigada del año 2013, último año de servicios, se toma como base el promedio certificado por la empresa en julio de ese año (</w:t>
      </w:r>
      <w:proofErr w:type="spellStart"/>
      <w:r w:rsidRPr="00D026C9">
        <w:rPr>
          <w:rFonts w:ascii="Tahoma" w:hAnsi="Tahoma" w:cs="Tahoma"/>
          <w:lang w:val="es-CO"/>
        </w:rPr>
        <w:t>Fl</w:t>
      </w:r>
      <w:proofErr w:type="spellEnd"/>
      <w:r w:rsidRPr="00D026C9">
        <w:rPr>
          <w:rFonts w:ascii="Tahoma" w:hAnsi="Tahoma" w:cs="Tahoma"/>
          <w:lang w:val="es-CO"/>
        </w:rPr>
        <w:t xml:space="preserve">. 20), </w:t>
      </w:r>
      <w:r w:rsidRPr="00D026C9">
        <w:rPr>
          <w:rFonts w:ascii="Tahoma" w:hAnsi="Tahoma" w:cs="Tahoma"/>
          <w:lang w:val="es-CO"/>
        </w:rPr>
        <w:lastRenderedPageBreak/>
        <w:t>que a</w:t>
      </w:r>
      <w:r w:rsidR="000804B1">
        <w:rPr>
          <w:rFonts w:ascii="Tahoma" w:hAnsi="Tahoma" w:cs="Tahoma"/>
          <w:lang w:val="es-CO"/>
        </w:rPr>
        <w:t>l no haber sido tachado</w:t>
      </w:r>
      <w:r w:rsidR="00B0554A" w:rsidRPr="00D026C9">
        <w:rPr>
          <w:rFonts w:ascii="Tahoma" w:hAnsi="Tahoma" w:cs="Tahoma"/>
          <w:lang w:val="es-CO"/>
        </w:rPr>
        <w:t xml:space="preserve"> de falso, constituye plena prueba del ingreso promedio</w:t>
      </w:r>
      <w:r w:rsidR="000804B1">
        <w:rPr>
          <w:rFonts w:ascii="Tahoma" w:hAnsi="Tahoma" w:cs="Tahoma"/>
          <w:lang w:val="es-CO"/>
        </w:rPr>
        <w:t xml:space="preserve"> para ese año</w:t>
      </w:r>
      <w:r w:rsidR="00B0554A" w:rsidRPr="00D026C9">
        <w:rPr>
          <w:rFonts w:ascii="Tahoma" w:hAnsi="Tahoma" w:cs="Tahoma"/>
          <w:lang w:val="es-CO"/>
        </w:rPr>
        <w:t>.</w:t>
      </w:r>
    </w:p>
    <w:p w:rsidR="000B2605" w:rsidRDefault="000B2605" w:rsidP="000B2605">
      <w:pPr>
        <w:pStyle w:val="Prrafodelista"/>
        <w:spacing w:line="240" w:lineRule="auto"/>
        <w:ind w:left="567"/>
        <w:jc w:val="both"/>
        <w:rPr>
          <w:rFonts w:ascii="Tahoma" w:hAnsi="Tahoma" w:cs="Tahoma"/>
          <w:lang w:val="es-CO"/>
        </w:rPr>
      </w:pPr>
    </w:p>
    <w:p w:rsidR="000B2605" w:rsidRPr="00D026C9" w:rsidRDefault="000B2605" w:rsidP="000B2605">
      <w:pPr>
        <w:pStyle w:val="Prrafodelista"/>
        <w:spacing w:line="240" w:lineRule="auto"/>
        <w:ind w:left="567"/>
        <w:jc w:val="both"/>
        <w:rPr>
          <w:rFonts w:ascii="Tahoma" w:hAnsi="Tahoma" w:cs="Tahoma"/>
          <w:lang w:val="es-CO"/>
        </w:rPr>
      </w:pPr>
      <w:r>
        <w:rPr>
          <w:rFonts w:ascii="Tahoma" w:hAnsi="Tahoma" w:cs="Tahoma"/>
          <w:lang w:val="es-CO"/>
        </w:rPr>
        <w:t>Tomando los valores anteriores, procedimos a recalcular las prestaciones laborales, así:</w:t>
      </w:r>
    </w:p>
    <w:p w:rsidR="00D026C9" w:rsidRDefault="00D026C9" w:rsidP="00B76BF0">
      <w:pPr>
        <w:jc w:val="both"/>
        <w:rPr>
          <w:rFonts w:ascii="Tahoma" w:hAnsi="Tahoma" w:cs="Tahoma"/>
          <w:lang w:val="es-CO"/>
        </w:rPr>
      </w:pPr>
    </w:p>
    <w:tbl>
      <w:tblPr>
        <w:tblStyle w:val="Tablaconcuadrcula"/>
        <w:tblW w:w="0" w:type="auto"/>
        <w:tblInd w:w="250" w:type="dxa"/>
        <w:tblLook w:val="04A0" w:firstRow="1" w:lastRow="0" w:firstColumn="1" w:lastColumn="0" w:noHBand="0" w:noVBand="1"/>
      </w:tblPr>
      <w:tblGrid>
        <w:gridCol w:w="581"/>
        <w:gridCol w:w="1161"/>
        <w:gridCol w:w="1255"/>
        <w:gridCol w:w="1428"/>
        <w:gridCol w:w="1431"/>
        <w:gridCol w:w="1389"/>
        <w:gridCol w:w="1506"/>
      </w:tblGrid>
      <w:tr w:rsidR="000804B1" w:rsidTr="000804B1">
        <w:tc>
          <w:tcPr>
            <w:tcW w:w="541" w:type="dxa"/>
          </w:tcPr>
          <w:p w:rsidR="00D026C9" w:rsidRPr="000804B1" w:rsidRDefault="00D026C9" w:rsidP="009F183E">
            <w:pPr>
              <w:jc w:val="center"/>
              <w:rPr>
                <w:rFonts w:cs="Tahoma"/>
                <w:b/>
                <w:caps/>
                <w:sz w:val="18"/>
                <w:szCs w:val="18"/>
                <w:lang w:val="es-CO"/>
              </w:rPr>
            </w:pPr>
            <w:r w:rsidRPr="000804B1">
              <w:rPr>
                <w:rFonts w:cs="Tahoma"/>
                <w:b/>
                <w:caps/>
                <w:sz w:val="18"/>
                <w:szCs w:val="18"/>
                <w:lang w:val="es-CO"/>
              </w:rPr>
              <w:t>Año</w:t>
            </w:r>
          </w:p>
        </w:tc>
        <w:tc>
          <w:tcPr>
            <w:tcW w:w="1161" w:type="dxa"/>
          </w:tcPr>
          <w:p w:rsidR="00D026C9" w:rsidRPr="000804B1" w:rsidRDefault="00D026C9" w:rsidP="009F183E">
            <w:pPr>
              <w:jc w:val="center"/>
              <w:rPr>
                <w:rFonts w:cs="Tahoma"/>
                <w:b/>
                <w:caps/>
                <w:sz w:val="18"/>
                <w:szCs w:val="18"/>
                <w:lang w:val="es-CO"/>
              </w:rPr>
            </w:pPr>
            <w:r w:rsidRPr="000804B1">
              <w:rPr>
                <w:rFonts w:cs="Tahoma"/>
                <w:b/>
                <w:caps/>
                <w:sz w:val="18"/>
                <w:szCs w:val="18"/>
                <w:lang w:val="es-CO"/>
              </w:rPr>
              <w:t>Cesantías</w:t>
            </w:r>
          </w:p>
        </w:tc>
        <w:tc>
          <w:tcPr>
            <w:tcW w:w="1255" w:type="dxa"/>
          </w:tcPr>
          <w:p w:rsidR="00D026C9" w:rsidRPr="000804B1" w:rsidRDefault="00D026C9" w:rsidP="009F183E">
            <w:pPr>
              <w:jc w:val="center"/>
              <w:rPr>
                <w:rFonts w:cs="Tahoma"/>
                <w:b/>
                <w:caps/>
                <w:sz w:val="18"/>
                <w:szCs w:val="18"/>
                <w:lang w:val="es-CO"/>
              </w:rPr>
            </w:pPr>
            <w:r w:rsidRPr="000804B1">
              <w:rPr>
                <w:rFonts w:cs="Tahoma"/>
                <w:b/>
                <w:caps/>
                <w:sz w:val="18"/>
                <w:szCs w:val="18"/>
                <w:lang w:val="es-CO"/>
              </w:rPr>
              <w:t>Intereses</w:t>
            </w:r>
          </w:p>
        </w:tc>
        <w:tc>
          <w:tcPr>
            <w:tcW w:w="1428" w:type="dxa"/>
          </w:tcPr>
          <w:p w:rsidR="00D026C9" w:rsidRPr="000804B1" w:rsidRDefault="00D026C9" w:rsidP="009F183E">
            <w:pPr>
              <w:jc w:val="center"/>
              <w:rPr>
                <w:rFonts w:cs="Tahoma"/>
                <w:b/>
                <w:caps/>
                <w:sz w:val="18"/>
                <w:szCs w:val="18"/>
                <w:lang w:val="es-CO"/>
              </w:rPr>
            </w:pPr>
            <w:r w:rsidRPr="000804B1">
              <w:rPr>
                <w:rFonts w:cs="Tahoma"/>
                <w:b/>
                <w:caps/>
                <w:sz w:val="18"/>
                <w:szCs w:val="18"/>
                <w:lang w:val="es-CO"/>
              </w:rPr>
              <w:t>Prima de servicios 1 y 2</w:t>
            </w:r>
          </w:p>
        </w:tc>
        <w:tc>
          <w:tcPr>
            <w:tcW w:w="1431" w:type="dxa"/>
          </w:tcPr>
          <w:p w:rsidR="00D026C9" w:rsidRPr="000804B1" w:rsidRDefault="00D026C9" w:rsidP="009F183E">
            <w:pPr>
              <w:jc w:val="center"/>
              <w:rPr>
                <w:rFonts w:cs="Tahoma"/>
                <w:b/>
                <w:caps/>
                <w:sz w:val="18"/>
                <w:szCs w:val="18"/>
                <w:lang w:val="es-CO"/>
              </w:rPr>
            </w:pPr>
            <w:r w:rsidRPr="000804B1">
              <w:rPr>
                <w:rFonts w:cs="Tahoma"/>
                <w:b/>
                <w:caps/>
                <w:sz w:val="18"/>
                <w:szCs w:val="18"/>
                <w:lang w:val="es-CO"/>
              </w:rPr>
              <w:t>Total de lo pagado</w:t>
            </w:r>
          </w:p>
        </w:tc>
        <w:tc>
          <w:tcPr>
            <w:tcW w:w="1389" w:type="dxa"/>
          </w:tcPr>
          <w:p w:rsidR="00D026C9" w:rsidRPr="000804B1" w:rsidRDefault="00D026C9" w:rsidP="009F183E">
            <w:pPr>
              <w:jc w:val="center"/>
              <w:rPr>
                <w:rFonts w:cs="Tahoma"/>
                <w:b/>
                <w:caps/>
                <w:sz w:val="18"/>
                <w:szCs w:val="18"/>
                <w:lang w:val="es-CO"/>
              </w:rPr>
            </w:pPr>
            <w:r w:rsidRPr="000804B1">
              <w:rPr>
                <w:rFonts w:cs="Tahoma"/>
                <w:b/>
                <w:caps/>
                <w:sz w:val="18"/>
                <w:szCs w:val="18"/>
                <w:lang w:val="es-CO"/>
              </w:rPr>
              <w:t>Lo que se debió pagar</w:t>
            </w:r>
          </w:p>
        </w:tc>
        <w:tc>
          <w:tcPr>
            <w:tcW w:w="1265" w:type="dxa"/>
          </w:tcPr>
          <w:p w:rsidR="00D026C9" w:rsidRPr="000804B1" w:rsidRDefault="00D026C9" w:rsidP="009F183E">
            <w:pPr>
              <w:jc w:val="center"/>
              <w:rPr>
                <w:rFonts w:cs="Tahoma"/>
                <w:b/>
                <w:caps/>
                <w:sz w:val="18"/>
                <w:szCs w:val="18"/>
                <w:lang w:val="es-CO"/>
              </w:rPr>
            </w:pPr>
            <w:r w:rsidRPr="000804B1">
              <w:rPr>
                <w:rFonts w:cs="Tahoma"/>
                <w:b/>
                <w:caps/>
                <w:sz w:val="18"/>
                <w:szCs w:val="18"/>
                <w:lang w:val="es-CO"/>
              </w:rPr>
              <w:t>D</w:t>
            </w:r>
            <w:r w:rsidR="000804B1">
              <w:rPr>
                <w:rFonts w:cs="Tahoma"/>
                <w:b/>
                <w:caps/>
                <w:sz w:val="18"/>
                <w:szCs w:val="18"/>
                <w:lang w:val="es-CO"/>
              </w:rPr>
              <w:t>if/</w:t>
            </w:r>
          </w:p>
        </w:tc>
      </w:tr>
      <w:tr w:rsidR="000804B1" w:rsidTr="000804B1">
        <w:tc>
          <w:tcPr>
            <w:tcW w:w="541" w:type="dxa"/>
          </w:tcPr>
          <w:p w:rsidR="00D026C9" w:rsidRPr="000804B1" w:rsidRDefault="00D026C9" w:rsidP="009F183E">
            <w:pPr>
              <w:jc w:val="center"/>
              <w:rPr>
                <w:rFonts w:cs="Tahoma"/>
                <w:b/>
                <w:sz w:val="18"/>
                <w:szCs w:val="18"/>
                <w:lang w:val="es-CO"/>
              </w:rPr>
            </w:pPr>
            <w:r w:rsidRPr="000804B1">
              <w:rPr>
                <w:rFonts w:cs="Tahoma"/>
                <w:b/>
                <w:sz w:val="18"/>
                <w:szCs w:val="18"/>
                <w:lang w:val="es-CO"/>
              </w:rPr>
              <w:t>2010</w:t>
            </w:r>
          </w:p>
        </w:tc>
        <w:tc>
          <w:tcPr>
            <w:tcW w:w="1161" w:type="dxa"/>
          </w:tcPr>
          <w:p w:rsidR="00D026C9" w:rsidRPr="000804B1" w:rsidRDefault="00D026C9" w:rsidP="009F183E">
            <w:pPr>
              <w:jc w:val="center"/>
              <w:rPr>
                <w:rFonts w:cs="Tahoma"/>
                <w:sz w:val="18"/>
                <w:szCs w:val="18"/>
                <w:lang w:val="es-CO"/>
              </w:rPr>
            </w:pPr>
            <w:r w:rsidRPr="000804B1">
              <w:rPr>
                <w:rFonts w:cs="Tahoma"/>
                <w:sz w:val="18"/>
                <w:szCs w:val="18"/>
                <w:lang w:val="es-CO"/>
              </w:rPr>
              <w:t>$357.187</w:t>
            </w:r>
          </w:p>
        </w:tc>
        <w:tc>
          <w:tcPr>
            <w:tcW w:w="1255" w:type="dxa"/>
          </w:tcPr>
          <w:p w:rsidR="00D026C9" w:rsidRPr="000804B1" w:rsidRDefault="00D026C9" w:rsidP="009F183E">
            <w:pPr>
              <w:jc w:val="center"/>
              <w:rPr>
                <w:rFonts w:cs="Tahoma"/>
                <w:sz w:val="18"/>
                <w:szCs w:val="18"/>
                <w:lang w:val="es-CO"/>
              </w:rPr>
            </w:pPr>
            <w:r w:rsidRPr="000804B1">
              <w:rPr>
                <w:rFonts w:cs="Tahoma"/>
                <w:sz w:val="18"/>
                <w:szCs w:val="18"/>
                <w:lang w:val="es-CO"/>
              </w:rPr>
              <w:t>$17.859</w:t>
            </w:r>
          </w:p>
        </w:tc>
        <w:tc>
          <w:tcPr>
            <w:tcW w:w="1428" w:type="dxa"/>
          </w:tcPr>
          <w:p w:rsidR="00D026C9" w:rsidRPr="000804B1" w:rsidRDefault="00D026C9" w:rsidP="009F183E">
            <w:pPr>
              <w:jc w:val="center"/>
              <w:rPr>
                <w:rFonts w:cs="Tahoma"/>
                <w:sz w:val="18"/>
                <w:szCs w:val="18"/>
                <w:lang w:val="es-CO"/>
              </w:rPr>
            </w:pPr>
            <w:r w:rsidRPr="000804B1">
              <w:rPr>
                <w:rFonts w:cs="Tahoma"/>
                <w:sz w:val="18"/>
                <w:szCs w:val="18"/>
                <w:lang w:val="es-CO"/>
              </w:rPr>
              <w:t>$537.279</w:t>
            </w:r>
          </w:p>
        </w:tc>
        <w:tc>
          <w:tcPr>
            <w:tcW w:w="1431" w:type="dxa"/>
          </w:tcPr>
          <w:p w:rsidR="00D026C9" w:rsidRPr="000804B1" w:rsidRDefault="00D026C9" w:rsidP="009F183E">
            <w:pPr>
              <w:jc w:val="center"/>
              <w:rPr>
                <w:rFonts w:cs="Tahoma"/>
                <w:sz w:val="18"/>
                <w:szCs w:val="18"/>
                <w:lang w:val="es-CO"/>
              </w:rPr>
            </w:pPr>
            <w:r w:rsidRPr="000804B1">
              <w:rPr>
                <w:rFonts w:cs="Tahoma"/>
                <w:sz w:val="18"/>
                <w:szCs w:val="18"/>
                <w:lang w:val="es-CO"/>
              </w:rPr>
              <w:t>$912.325</w:t>
            </w:r>
          </w:p>
        </w:tc>
        <w:tc>
          <w:tcPr>
            <w:tcW w:w="1389" w:type="dxa"/>
          </w:tcPr>
          <w:p w:rsidR="00D026C9" w:rsidRPr="000804B1" w:rsidRDefault="009F183E" w:rsidP="009F183E">
            <w:pPr>
              <w:jc w:val="center"/>
              <w:rPr>
                <w:rFonts w:cs="Tahoma"/>
                <w:sz w:val="18"/>
                <w:szCs w:val="18"/>
                <w:lang w:val="es-CO"/>
              </w:rPr>
            </w:pPr>
            <w:r w:rsidRPr="000804B1">
              <w:rPr>
                <w:rFonts w:cs="Tahoma"/>
                <w:sz w:val="18"/>
                <w:szCs w:val="18"/>
                <w:lang w:val="es-CO"/>
              </w:rPr>
              <w:t>$1.103.961,93</w:t>
            </w:r>
          </w:p>
        </w:tc>
        <w:tc>
          <w:tcPr>
            <w:tcW w:w="1265" w:type="dxa"/>
          </w:tcPr>
          <w:p w:rsidR="000804B1" w:rsidRPr="000804B1" w:rsidRDefault="000804B1" w:rsidP="000804B1">
            <w:pPr>
              <w:jc w:val="center"/>
              <w:rPr>
                <w:rFonts w:ascii="Calibri" w:hAnsi="Calibri"/>
                <w:color w:val="000000"/>
                <w:sz w:val="18"/>
                <w:szCs w:val="18"/>
              </w:rPr>
            </w:pPr>
            <w:r w:rsidRPr="000804B1">
              <w:rPr>
                <w:rFonts w:ascii="Calibri" w:hAnsi="Calibri"/>
                <w:color w:val="000000"/>
                <w:sz w:val="18"/>
                <w:szCs w:val="18"/>
              </w:rPr>
              <w:t>$191.636,93</w:t>
            </w:r>
          </w:p>
          <w:p w:rsidR="00D026C9" w:rsidRPr="000804B1" w:rsidRDefault="00D026C9" w:rsidP="009F183E">
            <w:pPr>
              <w:jc w:val="center"/>
              <w:rPr>
                <w:rFonts w:cs="Tahoma"/>
                <w:sz w:val="18"/>
                <w:szCs w:val="18"/>
                <w:lang w:val="es-CO"/>
              </w:rPr>
            </w:pPr>
          </w:p>
        </w:tc>
      </w:tr>
      <w:tr w:rsidR="000804B1" w:rsidTr="000804B1">
        <w:tc>
          <w:tcPr>
            <w:tcW w:w="541" w:type="dxa"/>
          </w:tcPr>
          <w:p w:rsidR="00D026C9" w:rsidRPr="000804B1" w:rsidRDefault="00D026C9" w:rsidP="009F183E">
            <w:pPr>
              <w:jc w:val="center"/>
              <w:rPr>
                <w:rFonts w:cs="Tahoma"/>
                <w:b/>
                <w:sz w:val="18"/>
                <w:szCs w:val="18"/>
                <w:lang w:val="es-CO"/>
              </w:rPr>
            </w:pPr>
            <w:r w:rsidRPr="000804B1">
              <w:rPr>
                <w:rFonts w:cs="Tahoma"/>
                <w:b/>
                <w:sz w:val="18"/>
                <w:szCs w:val="18"/>
                <w:lang w:val="es-CO"/>
              </w:rPr>
              <w:t>2011</w:t>
            </w:r>
          </w:p>
        </w:tc>
        <w:tc>
          <w:tcPr>
            <w:tcW w:w="1161" w:type="dxa"/>
          </w:tcPr>
          <w:p w:rsidR="00D026C9" w:rsidRPr="000804B1" w:rsidRDefault="00D026C9" w:rsidP="009F183E">
            <w:pPr>
              <w:jc w:val="center"/>
              <w:rPr>
                <w:rFonts w:cs="Tahoma"/>
                <w:sz w:val="18"/>
                <w:szCs w:val="18"/>
                <w:lang w:val="es-CO"/>
              </w:rPr>
            </w:pPr>
            <w:r w:rsidRPr="000804B1">
              <w:rPr>
                <w:rFonts w:cs="Tahoma"/>
                <w:sz w:val="18"/>
                <w:szCs w:val="18"/>
                <w:lang w:val="es-CO"/>
              </w:rPr>
              <w:t>$973.860</w:t>
            </w:r>
          </w:p>
        </w:tc>
        <w:tc>
          <w:tcPr>
            <w:tcW w:w="1255" w:type="dxa"/>
          </w:tcPr>
          <w:p w:rsidR="00D026C9" w:rsidRPr="000804B1" w:rsidRDefault="00D026C9" w:rsidP="009F183E">
            <w:pPr>
              <w:jc w:val="center"/>
              <w:rPr>
                <w:rFonts w:cs="Tahoma"/>
                <w:sz w:val="18"/>
                <w:szCs w:val="18"/>
                <w:lang w:val="es-CO"/>
              </w:rPr>
            </w:pPr>
            <w:r w:rsidRPr="000804B1">
              <w:rPr>
                <w:rFonts w:cs="Tahoma"/>
                <w:sz w:val="18"/>
                <w:szCs w:val="18"/>
                <w:lang w:val="es-CO"/>
              </w:rPr>
              <w:t>$161.540</w:t>
            </w:r>
          </w:p>
        </w:tc>
        <w:tc>
          <w:tcPr>
            <w:tcW w:w="1428" w:type="dxa"/>
          </w:tcPr>
          <w:p w:rsidR="00D026C9" w:rsidRPr="000804B1" w:rsidRDefault="00D026C9" w:rsidP="009F183E">
            <w:pPr>
              <w:jc w:val="center"/>
              <w:rPr>
                <w:rFonts w:cs="Tahoma"/>
                <w:sz w:val="18"/>
                <w:szCs w:val="18"/>
                <w:lang w:val="es-CO"/>
              </w:rPr>
            </w:pPr>
            <w:r w:rsidRPr="000804B1">
              <w:rPr>
                <w:rFonts w:cs="Tahoma"/>
                <w:sz w:val="18"/>
                <w:szCs w:val="18"/>
                <w:lang w:val="es-CO"/>
              </w:rPr>
              <w:t>$700.000</w:t>
            </w:r>
          </w:p>
        </w:tc>
        <w:tc>
          <w:tcPr>
            <w:tcW w:w="1431" w:type="dxa"/>
          </w:tcPr>
          <w:p w:rsidR="00D026C9" w:rsidRPr="000804B1" w:rsidRDefault="00D026C9" w:rsidP="009F183E">
            <w:pPr>
              <w:jc w:val="center"/>
              <w:rPr>
                <w:rFonts w:cs="Tahoma"/>
                <w:sz w:val="18"/>
                <w:szCs w:val="18"/>
                <w:lang w:val="es-CO"/>
              </w:rPr>
            </w:pPr>
            <w:r w:rsidRPr="000804B1">
              <w:rPr>
                <w:rFonts w:cs="Tahoma"/>
                <w:sz w:val="18"/>
                <w:szCs w:val="18"/>
                <w:lang w:val="es-CO"/>
              </w:rPr>
              <w:t>$1.835.400</w:t>
            </w:r>
          </w:p>
        </w:tc>
        <w:tc>
          <w:tcPr>
            <w:tcW w:w="1389" w:type="dxa"/>
          </w:tcPr>
          <w:p w:rsidR="00D026C9" w:rsidRPr="000804B1" w:rsidRDefault="009F183E" w:rsidP="009F183E">
            <w:pPr>
              <w:jc w:val="center"/>
              <w:rPr>
                <w:rFonts w:cs="Tahoma"/>
                <w:sz w:val="18"/>
                <w:szCs w:val="18"/>
                <w:lang w:val="es-CO"/>
              </w:rPr>
            </w:pPr>
            <w:r w:rsidRPr="000804B1">
              <w:rPr>
                <w:rFonts w:cs="Tahoma"/>
                <w:sz w:val="18"/>
                <w:szCs w:val="18"/>
                <w:lang w:val="es-CO"/>
              </w:rPr>
              <w:t>$2.980.158,2</w:t>
            </w:r>
          </w:p>
        </w:tc>
        <w:tc>
          <w:tcPr>
            <w:tcW w:w="1265" w:type="dxa"/>
          </w:tcPr>
          <w:p w:rsidR="000804B1" w:rsidRPr="000804B1" w:rsidRDefault="000804B1" w:rsidP="000804B1">
            <w:pPr>
              <w:jc w:val="center"/>
              <w:rPr>
                <w:rFonts w:ascii="Calibri" w:hAnsi="Calibri"/>
                <w:color w:val="000000"/>
                <w:sz w:val="18"/>
                <w:szCs w:val="18"/>
              </w:rPr>
            </w:pPr>
            <w:r w:rsidRPr="000804B1">
              <w:rPr>
                <w:rFonts w:ascii="Calibri" w:hAnsi="Calibri"/>
                <w:color w:val="000000"/>
                <w:sz w:val="18"/>
                <w:szCs w:val="18"/>
              </w:rPr>
              <w:t>$1.144.758,20</w:t>
            </w:r>
          </w:p>
          <w:p w:rsidR="00D026C9" w:rsidRPr="000804B1" w:rsidRDefault="00D026C9" w:rsidP="009F183E">
            <w:pPr>
              <w:jc w:val="center"/>
              <w:rPr>
                <w:rFonts w:cs="Tahoma"/>
                <w:sz w:val="18"/>
                <w:szCs w:val="18"/>
                <w:lang w:val="es-CO"/>
              </w:rPr>
            </w:pPr>
          </w:p>
        </w:tc>
      </w:tr>
      <w:tr w:rsidR="000804B1" w:rsidTr="000804B1">
        <w:tc>
          <w:tcPr>
            <w:tcW w:w="541" w:type="dxa"/>
          </w:tcPr>
          <w:p w:rsidR="00D026C9" w:rsidRPr="000804B1" w:rsidRDefault="00D026C9" w:rsidP="009F183E">
            <w:pPr>
              <w:jc w:val="center"/>
              <w:rPr>
                <w:rFonts w:cs="Tahoma"/>
                <w:b/>
                <w:sz w:val="18"/>
                <w:szCs w:val="18"/>
                <w:lang w:val="es-CO"/>
              </w:rPr>
            </w:pPr>
            <w:r w:rsidRPr="000804B1">
              <w:rPr>
                <w:rFonts w:cs="Tahoma"/>
                <w:b/>
                <w:sz w:val="18"/>
                <w:szCs w:val="18"/>
                <w:lang w:val="es-CO"/>
              </w:rPr>
              <w:t>2012</w:t>
            </w:r>
          </w:p>
        </w:tc>
        <w:tc>
          <w:tcPr>
            <w:tcW w:w="1161" w:type="dxa"/>
          </w:tcPr>
          <w:p w:rsidR="00D026C9" w:rsidRPr="000804B1" w:rsidRDefault="00D026C9" w:rsidP="009F183E">
            <w:pPr>
              <w:jc w:val="center"/>
              <w:rPr>
                <w:rFonts w:cs="Tahoma"/>
                <w:sz w:val="18"/>
                <w:szCs w:val="18"/>
                <w:lang w:val="es-CO"/>
              </w:rPr>
            </w:pPr>
            <w:r w:rsidRPr="000804B1">
              <w:rPr>
                <w:rFonts w:cs="Tahoma"/>
                <w:sz w:val="18"/>
                <w:szCs w:val="18"/>
                <w:lang w:val="es-CO"/>
              </w:rPr>
              <w:t>$1.346.170</w:t>
            </w:r>
          </w:p>
        </w:tc>
        <w:tc>
          <w:tcPr>
            <w:tcW w:w="1255" w:type="dxa"/>
          </w:tcPr>
          <w:p w:rsidR="00D026C9" w:rsidRPr="000804B1" w:rsidRDefault="00D026C9" w:rsidP="009F183E">
            <w:pPr>
              <w:jc w:val="center"/>
              <w:rPr>
                <w:rFonts w:cs="Tahoma"/>
                <w:sz w:val="18"/>
                <w:szCs w:val="18"/>
                <w:lang w:val="es-CO"/>
              </w:rPr>
            </w:pPr>
            <w:r w:rsidRPr="000804B1">
              <w:rPr>
                <w:rFonts w:cs="Tahoma"/>
                <w:sz w:val="18"/>
                <w:szCs w:val="18"/>
                <w:lang w:val="es-CO"/>
              </w:rPr>
              <w:t>$154.736,2</w:t>
            </w:r>
          </w:p>
        </w:tc>
        <w:tc>
          <w:tcPr>
            <w:tcW w:w="1428" w:type="dxa"/>
          </w:tcPr>
          <w:p w:rsidR="00D026C9" w:rsidRPr="000804B1" w:rsidRDefault="00D026C9" w:rsidP="009F183E">
            <w:pPr>
              <w:jc w:val="center"/>
              <w:rPr>
                <w:rFonts w:cs="Tahoma"/>
                <w:sz w:val="18"/>
                <w:szCs w:val="18"/>
                <w:lang w:val="es-CO"/>
              </w:rPr>
            </w:pPr>
            <w:r w:rsidRPr="000804B1">
              <w:rPr>
                <w:rFonts w:cs="Tahoma"/>
                <w:sz w:val="18"/>
                <w:szCs w:val="18"/>
                <w:lang w:val="es-CO"/>
              </w:rPr>
              <w:t>$1.085.638</w:t>
            </w:r>
          </w:p>
        </w:tc>
        <w:tc>
          <w:tcPr>
            <w:tcW w:w="1431" w:type="dxa"/>
          </w:tcPr>
          <w:p w:rsidR="00D026C9" w:rsidRPr="000804B1" w:rsidRDefault="00D026C9" w:rsidP="009F183E">
            <w:pPr>
              <w:jc w:val="center"/>
              <w:rPr>
                <w:rFonts w:cs="Tahoma"/>
                <w:sz w:val="18"/>
                <w:szCs w:val="18"/>
                <w:lang w:val="es-CO"/>
              </w:rPr>
            </w:pPr>
            <w:r w:rsidRPr="000804B1">
              <w:rPr>
                <w:rFonts w:cs="Tahoma"/>
                <w:sz w:val="18"/>
                <w:szCs w:val="18"/>
                <w:lang w:val="es-CO"/>
              </w:rPr>
              <w:t>$2.586.544,2</w:t>
            </w:r>
          </w:p>
        </w:tc>
        <w:tc>
          <w:tcPr>
            <w:tcW w:w="1389" w:type="dxa"/>
          </w:tcPr>
          <w:p w:rsidR="00D026C9" w:rsidRPr="000804B1" w:rsidRDefault="000804B1" w:rsidP="009F183E">
            <w:pPr>
              <w:jc w:val="center"/>
              <w:rPr>
                <w:rFonts w:cs="Tahoma"/>
                <w:sz w:val="18"/>
                <w:szCs w:val="18"/>
                <w:lang w:val="es-CO"/>
              </w:rPr>
            </w:pPr>
            <w:r w:rsidRPr="000804B1">
              <w:rPr>
                <w:rFonts w:cs="Tahoma"/>
                <w:sz w:val="18"/>
                <w:szCs w:val="18"/>
                <w:lang w:val="es-CO"/>
              </w:rPr>
              <w:t>$3.732.202,04</w:t>
            </w:r>
          </w:p>
        </w:tc>
        <w:tc>
          <w:tcPr>
            <w:tcW w:w="1265" w:type="dxa"/>
          </w:tcPr>
          <w:p w:rsidR="000804B1" w:rsidRPr="000804B1" w:rsidRDefault="000804B1" w:rsidP="000804B1">
            <w:pPr>
              <w:jc w:val="center"/>
              <w:rPr>
                <w:rFonts w:ascii="Calibri" w:hAnsi="Calibri"/>
                <w:color w:val="000000"/>
                <w:sz w:val="18"/>
                <w:szCs w:val="18"/>
              </w:rPr>
            </w:pPr>
            <w:r w:rsidRPr="000804B1">
              <w:rPr>
                <w:rFonts w:ascii="Calibri" w:hAnsi="Calibri"/>
                <w:color w:val="000000"/>
                <w:sz w:val="18"/>
                <w:szCs w:val="18"/>
              </w:rPr>
              <w:t>$1.145.657,84</w:t>
            </w:r>
          </w:p>
          <w:p w:rsidR="00D026C9" w:rsidRPr="000804B1" w:rsidRDefault="00D026C9" w:rsidP="009F183E">
            <w:pPr>
              <w:jc w:val="center"/>
              <w:rPr>
                <w:rFonts w:cs="Tahoma"/>
                <w:sz w:val="18"/>
                <w:szCs w:val="18"/>
                <w:lang w:val="es-CO"/>
              </w:rPr>
            </w:pPr>
          </w:p>
        </w:tc>
      </w:tr>
      <w:tr w:rsidR="000804B1" w:rsidTr="000804B1">
        <w:tc>
          <w:tcPr>
            <w:tcW w:w="541" w:type="dxa"/>
            <w:tcBorders>
              <w:bottom w:val="single" w:sz="4" w:space="0" w:color="auto"/>
            </w:tcBorders>
          </w:tcPr>
          <w:p w:rsidR="00D026C9" w:rsidRPr="000804B1" w:rsidRDefault="00D026C9" w:rsidP="009F183E">
            <w:pPr>
              <w:jc w:val="center"/>
              <w:rPr>
                <w:rFonts w:cs="Tahoma"/>
                <w:b/>
                <w:sz w:val="18"/>
                <w:szCs w:val="18"/>
                <w:lang w:val="es-CO"/>
              </w:rPr>
            </w:pPr>
            <w:r w:rsidRPr="000804B1">
              <w:rPr>
                <w:rFonts w:cs="Tahoma"/>
                <w:b/>
                <w:sz w:val="18"/>
                <w:szCs w:val="18"/>
                <w:lang w:val="es-CO"/>
              </w:rPr>
              <w:t>2013</w:t>
            </w:r>
          </w:p>
        </w:tc>
        <w:tc>
          <w:tcPr>
            <w:tcW w:w="1161" w:type="dxa"/>
            <w:tcBorders>
              <w:bottom w:val="single" w:sz="4" w:space="0" w:color="auto"/>
            </w:tcBorders>
          </w:tcPr>
          <w:p w:rsidR="00D026C9" w:rsidRPr="000804B1" w:rsidRDefault="009F183E" w:rsidP="009F183E">
            <w:pPr>
              <w:jc w:val="center"/>
              <w:rPr>
                <w:rFonts w:cs="Tahoma"/>
                <w:sz w:val="18"/>
                <w:szCs w:val="18"/>
                <w:lang w:val="es-CO"/>
              </w:rPr>
            </w:pPr>
            <w:r w:rsidRPr="000804B1">
              <w:rPr>
                <w:rFonts w:cs="Tahoma"/>
                <w:sz w:val="18"/>
                <w:szCs w:val="18"/>
                <w:lang w:val="es-CO"/>
              </w:rPr>
              <w:t>$797.094</w:t>
            </w:r>
          </w:p>
        </w:tc>
        <w:tc>
          <w:tcPr>
            <w:tcW w:w="1255" w:type="dxa"/>
            <w:tcBorders>
              <w:bottom w:val="single" w:sz="4" w:space="0" w:color="auto"/>
            </w:tcBorders>
          </w:tcPr>
          <w:p w:rsidR="00D026C9" w:rsidRPr="000804B1" w:rsidRDefault="009F183E" w:rsidP="009F183E">
            <w:pPr>
              <w:jc w:val="center"/>
              <w:rPr>
                <w:rFonts w:cs="Tahoma"/>
                <w:sz w:val="18"/>
                <w:szCs w:val="18"/>
                <w:lang w:val="es-CO"/>
              </w:rPr>
            </w:pPr>
            <w:r w:rsidRPr="000804B1">
              <w:rPr>
                <w:rFonts w:cs="Tahoma"/>
                <w:sz w:val="18"/>
                <w:szCs w:val="18"/>
                <w:lang w:val="es-CO"/>
              </w:rPr>
              <w:t>$56.062</w:t>
            </w:r>
          </w:p>
        </w:tc>
        <w:tc>
          <w:tcPr>
            <w:tcW w:w="1428" w:type="dxa"/>
            <w:tcBorders>
              <w:bottom w:val="single" w:sz="4" w:space="0" w:color="auto"/>
            </w:tcBorders>
          </w:tcPr>
          <w:p w:rsidR="00D026C9" w:rsidRPr="000804B1" w:rsidRDefault="009F183E" w:rsidP="009F183E">
            <w:pPr>
              <w:jc w:val="center"/>
              <w:rPr>
                <w:rFonts w:cs="Tahoma"/>
                <w:sz w:val="18"/>
                <w:szCs w:val="18"/>
                <w:lang w:val="es-CO"/>
              </w:rPr>
            </w:pPr>
            <w:r w:rsidRPr="000804B1">
              <w:rPr>
                <w:rFonts w:cs="Tahoma"/>
                <w:sz w:val="18"/>
                <w:szCs w:val="18"/>
                <w:lang w:val="es-CO"/>
              </w:rPr>
              <w:t>$512.959</w:t>
            </w:r>
          </w:p>
        </w:tc>
        <w:tc>
          <w:tcPr>
            <w:tcW w:w="1431" w:type="dxa"/>
            <w:tcBorders>
              <w:bottom w:val="single" w:sz="4" w:space="0" w:color="auto"/>
            </w:tcBorders>
          </w:tcPr>
          <w:p w:rsidR="00D026C9" w:rsidRPr="000804B1" w:rsidRDefault="009F183E" w:rsidP="009F183E">
            <w:pPr>
              <w:jc w:val="center"/>
              <w:rPr>
                <w:rFonts w:cs="Tahoma"/>
                <w:sz w:val="18"/>
                <w:szCs w:val="18"/>
                <w:lang w:val="es-CO"/>
              </w:rPr>
            </w:pPr>
            <w:r w:rsidRPr="000804B1">
              <w:rPr>
                <w:rFonts w:cs="Tahoma"/>
                <w:sz w:val="18"/>
                <w:szCs w:val="18"/>
                <w:lang w:val="es-CO"/>
              </w:rPr>
              <w:t>$1.366.115</w:t>
            </w:r>
          </w:p>
        </w:tc>
        <w:tc>
          <w:tcPr>
            <w:tcW w:w="1389" w:type="dxa"/>
          </w:tcPr>
          <w:p w:rsidR="00D026C9" w:rsidRPr="000804B1" w:rsidRDefault="000804B1" w:rsidP="009F183E">
            <w:pPr>
              <w:jc w:val="center"/>
              <w:rPr>
                <w:rFonts w:cs="Tahoma"/>
                <w:sz w:val="18"/>
                <w:szCs w:val="18"/>
                <w:lang w:val="es-CO"/>
              </w:rPr>
            </w:pPr>
            <w:r w:rsidRPr="000804B1">
              <w:rPr>
                <w:rFonts w:cs="Tahoma"/>
                <w:sz w:val="18"/>
                <w:szCs w:val="18"/>
                <w:lang w:val="es-CO"/>
              </w:rPr>
              <w:t>$2.521.471,73</w:t>
            </w:r>
          </w:p>
        </w:tc>
        <w:tc>
          <w:tcPr>
            <w:tcW w:w="1265" w:type="dxa"/>
          </w:tcPr>
          <w:p w:rsidR="000804B1" w:rsidRPr="000804B1" w:rsidRDefault="000804B1" w:rsidP="000804B1">
            <w:pPr>
              <w:jc w:val="center"/>
              <w:rPr>
                <w:rFonts w:ascii="Calibri" w:hAnsi="Calibri"/>
                <w:color w:val="000000"/>
                <w:sz w:val="18"/>
                <w:szCs w:val="18"/>
              </w:rPr>
            </w:pPr>
            <w:r w:rsidRPr="000804B1">
              <w:rPr>
                <w:rFonts w:ascii="Calibri" w:hAnsi="Calibri"/>
                <w:color w:val="000000"/>
                <w:sz w:val="18"/>
                <w:szCs w:val="18"/>
              </w:rPr>
              <w:t>$1.155.356,73</w:t>
            </w:r>
          </w:p>
          <w:p w:rsidR="00D026C9" w:rsidRPr="000804B1" w:rsidRDefault="00D026C9" w:rsidP="009F183E">
            <w:pPr>
              <w:jc w:val="center"/>
              <w:rPr>
                <w:rFonts w:cs="Tahoma"/>
                <w:sz w:val="18"/>
                <w:szCs w:val="18"/>
                <w:lang w:val="es-CO"/>
              </w:rPr>
            </w:pPr>
          </w:p>
        </w:tc>
      </w:tr>
      <w:tr w:rsidR="000804B1" w:rsidTr="000804B1">
        <w:tc>
          <w:tcPr>
            <w:tcW w:w="541" w:type="dxa"/>
            <w:tcBorders>
              <w:left w:val="nil"/>
              <w:bottom w:val="nil"/>
              <w:right w:val="nil"/>
            </w:tcBorders>
          </w:tcPr>
          <w:p w:rsidR="000804B1" w:rsidRPr="000804B1" w:rsidRDefault="000804B1" w:rsidP="009F183E">
            <w:pPr>
              <w:jc w:val="center"/>
              <w:rPr>
                <w:rFonts w:cs="Tahoma"/>
                <w:b/>
                <w:sz w:val="18"/>
                <w:szCs w:val="18"/>
                <w:lang w:val="es-CO"/>
              </w:rPr>
            </w:pPr>
          </w:p>
        </w:tc>
        <w:tc>
          <w:tcPr>
            <w:tcW w:w="1161" w:type="dxa"/>
            <w:tcBorders>
              <w:left w:val="nil"/>
              <w:bottom w:val="nil"/>
              <w:right w:val="nil"/>
            </w:tcBorders>
          </w:tcPr>
          <w:p w:rsidR="000804B1" w:rsidRPr="000804B1" w:rsidRDefault="000804B1" w:rsidP="009F183E">
            <w:pPr>
              <w:jc w:val="center"/>
              <w:rPr>
                <w:rFonts w:cs="Tahoma"/>
                <w:sz w:val="18"/>
                <w:szCs w:val="18"/>
                <w:lang w:val="es-CO"/>
              </w:rPr>
            </w:pPr>
          </w:p>
        </w:tc>
        <w:tc>
          <w:tcPr>
            <w:tcW w:w="1255" w:type="dxa"/>
            <w:tcBorders>
              <w:left w:val="nil"/>
              <w:bottom w:val="nil"/>
              <w:right w:val="nil"/>
            </w:tcBorders>
          </w:tcPr>
          <w:p w:rsidR="000804B1" w:rsidRPr="000804B1" w:rsidRDefault="000804B1" w:rsidP="009F183E">
            <w:pPr>
              <w:jc w:val="center"/>
              <w:rPr>
                <w:rFonts w:cs="Tahoma"/>
                <w:sz w:val="18"/>
                <w:szCs w:val="18"/>
                <w:lang w:val="es-CO"/>
              </w:rPr>
            </w:pPr>
          </w:p>
        </w:tc>
        <w:tc>
          <w:tcPr>
            <w:tcW w:w="1428" w:type="dxa"/>
            <w:tcBorders>
              <w:left w:val="nil"/>
              <w:bottom w:val="nil"/>
              <w:right w:val="nil"/>
            </w:tcBorders>
          </w:tcPr>
          <w:p w:rsidR="000804B1" w:rsidRPr="000804B1" w:rsidRDefault="000804B1" w:rsidP="009F183E">
            <w:pPr>
              <w:jc w:val="center"/>
              <w:rPr>
                <w:rFonts w:cs="Tahoma"/>
                <w:sz w:val="18"/>
                <w:szCs w:val="18"/>
                <w:lang w:val="es-CO"/>
              </w:rPr>
            </w:pPr>
          </w:p>
        </w:tc>
        <w:tc>
          <w:tcPr>
            <w:tcW w:w="1431" w:type="dxa"/>
            <w:tcBorders>
              <w:left w:val="nil"/>
              <w:bottom w:val="nil"/>
            </w:tcBorders>
          </w:tcPr>
          <w:p w:rsidR="000804B1" w:rsidRPr="000804B1" w:rsidRDefault="000804B1" w:rsidP="009F183E">
            <w:pPr>
              <w:jc w:val="center"/>
              <w:rPr>
                <w:rFonts w:cs="Tahoma"/>
                <w:sz w:val="18"/>
                <w:szCs w:val="18"/>
                <w:lang w:val="es-CO"/>
              </w:rPr>
            </w:pPr>
          </w:p>
        </w:tc>
        <w:tc>
          <w:tcPr>
            <w:tcW w:w="1389" w:type="dxa"/>
          </w:tcPr>
          <w:p w:rsidR="000804B1" w:rsidRPr="000804B1" w:rsidRDefault="000804B1" w:rsidP="009F183E">
            <w:pPr>
              <w:jc w:val="center"/>
              <w:rPr>
                <w:rFonts w:cs="Tahoma"/>
                <w:b/>
                <w:lang w:val="es-CO"/>
              </w:rPr>
            </w:pPr>
            <w:r w:rsidRPr="000804B1">
              <w:rPr>
                <w:rFonts w:cs="Tahoma"/>
                <w:b/>
                <w:lang w:val="es-CO"/>
              </w:rPr>
              <w:t>TOTAL DIF/</w:t>
            </w:r>
          </w:p>
        </w:tc>
        <w:tc>
          <w:tcPr>
            <w:tcW w:w="1265" w:type="dxa"/>
          </w:tcPr>
          <w:p w:rsidR="000804B1" w:rsidRPr="000804B1" w:rsidRDefault="000804B1" w:rsidP="000804B1">
            <w:pPr>
              <w:jc w:val="center"/>
              <w:rPr>
                <w:rFonts w:ascii="Calibri" w:hAnsi="Calibri"/>
                <w:b/>
                <w:color w:val="000000"/>
              </w:rPr>
            </w:pPr>
            <w:r w:rsidRPr="000804B1">
              <w:rPr>
                <w:rFonts w:ascii="Calibri" w:hAnsi="Calibri"/>
                <w:b/>
                <w:color w:val="000000"/>
              </w:rPr>
              <w:t>$3.637.409,70</w:t>
            </w:r>
          </w:p>
        </w:tc>
      </w:tr>
    </w:tbl>
    <w:p w:rsidR="00D026C9" w:rsidRDefault="00D026C9" w:rsidP="000B2605">
      <w:pPr>
        <w:spacing w:line="240" w:lineRule="auto"/>
        <w:jc w:val="both"/>
        <w:rPr>
          <w:rFonts w:ascii="Tahoma" w:hAnsi="Tahoma" w:cs="Tahoma"/>
          <w:lang w:val="es-CO"/>
        </w:rPr>
      </w:pPr>
    </w:p>
    <w:p w:rsidR="000804B1" w:rsidRDefault="000804B1" w:rsidP="00A23937">
      <w:pPr>
        <w:spacing w:line="276" w:lineRule="auto"/>
        <w:jc w:val="both"/>
        <w:rPr>
          <w:rFonts w:ascii="Tahoma" w:hAnsi="Tahoma" w:cs="Tahoma"/>
          <w:lang w:val="es-CO"/>
        </w:rPr>
      </w:pPr>
      <w:r>
        <w:rPr>
          <w:rFonts w:ascii="Tahoma" w:hAnsi="Tahoma" w:cs="Tahoma"/>
          <w:lang w:val="es-CO"/>
        </w:rPr>
        <w:tab/>
        <w:t>Lo anterior nos arroja una suma superior a la determinada en sede de primer grado, por lo que no habrá lugar a modificar el monto de la condena en esta sede de apelaciones.</w:t>
      </w:r>
    </w:p>
    <w:p w:rsidR="000804B1" w:rsidRDefault="000804B1" w:rsidP="00B76BF0">
      <w:pPr>
        <w:jc w:val="both"/>
        <w:rPr>
          <w:rFonts w:ascii="Tahoma" w:hAnsi="Tahoma" w:cs="Tahoma"/>
          <w:lang w:val="es-CO"/>
        </w:rPr>
      </w:pPr>
    </w:p>
    <w:p w:rsidR="000804B1" w:rsidRDefault="0027534C" w:rsidP="00A23937">
      <w:pPr>
        <w:pStyle w:val="Prrafodelista"/>
        <w:numPr>
          <w:ilvl w:val="1"/>
          <w:numId w:val="1"/>
        </w:numPr>
        <w:spacing w:line="276" w:lineRule="auto"/>
        <w:jc w:val="both"/>
        <w:rPr>
          <w:rFonts w:ascii="Tahoma" w:hAnsi="Tahoma" w:cs="Tahoma"/>
          <w:b/>
          <w:lang w:val="es-CO"/>
        </w:rPr>
      </w:pPr>
      <w:r w:rsidRPr="0027534C">
        <w:rPr>
          <w:rFonts w:ascii="Tahoma" w:hAnsi="Tahoma" w:cs="Tahoma"/>
          <w:b/>
          <w:lang w:val="es-CO"/>
        </w:rPr>
        <w:t>INDEMNIZACIÓN MORATORIA POR</w:t>
      </w:r>
      <w:r w:rsidR="00062A58">
        <w:rPr>
          <w:rFonts w:ascii="Tahoma" w:hAnsi="Tahoma" w:cs="Tahoma"/>
          <w:b/>
          <w:lang w:val="es-CO"/>
        </w:rPr>
        <w:t xml:space="preserve"> EL</w:t>
      </w:r>
      <w:r w:rsidRPr="0027534C">
        <w:rPr>
          <w:rFonts w:ascii="Tahoma" w:hAnsi="Tahoma" w:cs="Tahoma"/>
          <w:b/>
          <w:lang w:val="es-CO"/>
        </w:rPr>
        <w:t xml:space="preserve"> PAGO</w:t>
      </w:r>
      <w:r>
        <w:rPr>
          <w:rFonts w:ascii="Tahoma" w:hAnsi="Tahoma" w:cs="Tahoma"/>
          <w:b/>
          <w:lang w:val="es-CO"/>
        </w:rPr>
        <w:t xml:space="preserve"> INCOMPLETO DE LAS PRESTACIONES</w:t>
      </w:r>
      <w:r w:rsidR="00062A58">
        <w:rPr>
          <w:rFonts w:ascii="Tahoma" w:hAnsi="Tahoma" w:cs="Tahoma"/>
          <w:b/>
          <w:lang w:val="es-CO"/>
        </w:rPr>
        <w:t xml:space="preserve"> SOCIALES</w:t>
      </w:r>
      <w:r>
        <w:rPr>
          <w:rFonts w:ascii="Tahoma" w:hAnsi="Tahoma" w:cs="Tahoma"/>
          <w:b/>
          <w:lang w:val="es-CO"/>
        </w:rPr>
        <w:t>.</w:t>
      </w:r>
    </w:p>
    <w:p w:rsidR="0027534C" w:rsidRDefault="0027534C" w:rsidP="000B2605">
      <w:pPr>
        <w:pStyle w:val="Prrafodelista"/>
        <w:spacing w:line="240" w:lineRule="auto"/>
        <w:ind w:left="1425"/>
        <w:jc w:val="both"/>
        <w:rPr>
          <w:rFonts w:ascii="Tahoma" w:hAnsi="Tahoma" w:cs="Tahoma"/>
          <w:b/>
          <w:lang w:val="es-CO"/>
        </w:rPr>
      </w:pPr>
    </w:p>
    <w:p w:rsidR="00A23937" w:rsidRDefault="0027534C" w:rsidP="00A23937">
      <w:pPr>
        <w:pStyle w:val="Prrafodelista"/>
        <w:spacing w:line="276" w:lineRule="auto"/>
        <w:ind w:left="0"/>
        <w:jc w:val="both"/>
        <w:rPr>
          <w:rFonts w:ascii="Tahoma" w:hAnsi="Tahoma" w:cs="Tahoma"/>
          <w:lang w:val="es-CO"/>
        </w:rPr>
      </w:pPr>
      <w:r>
        <w:rPr>
          <w:rFonts w:ascii="Tahoma" w:hAnsi="Tahoma" w:cs="Tahoma"/>
          <w:b/>
          <w:lang w:val="es-CO"/>
        </w:rPr>
        <w:tab/>
      </w:r>
      <w:r w:rsidRPr="001378F8">
        <w:rPr>
          <w:rFonts w:ascii="Tahoma" w:hAnsi="Tahoma" w:cs="Tahoma"/>
          <w:lang w:val="es-CO"/>
        </w:rPr>
        <w:t>En este punto conviene precisar que la</w:t>
      </w:r>
      <w:r w:rsidR="00A23937">
        <w:rPr>
          <w:rFonts w:ascii="Tahoma" w:hAnsi="Tahoma" w:cs="Tahoma"/>
          <w:lang w:val="es-CO"/>
        </w:rPr>
        <w:t>s comisiones por ventas en brigadas</w:t>
      </w:r>
      <w:r w:rsidRPr="001378F8">
        <w:rPr>
          <w:rFonts w:ascii="Tahoma" w:hAnsi="Tahoma" w:cs="Tahoma"/>
          <w:lang w:val="es-CO"/>
        </w:rPr>
        <w:t>, si bien no</w:t>
      </w:r>
      <w:r w:rsidR="00A23937">
        <w:rPr>
          <w:rFonts w:ascii="Tahoma" w:hAnsi="Tahoma" w:cs="Tahoma"/>
          <w:lang w:val="es-CO"/>
        </w:rPr>
        <w:t xml:space="preserve"> han</w:t>
      </w:r>
      <w:r w:rsidRPr="001378F8">
        <w:rPr>
          <w:rFonts w:ascii="Tahoma" w:hAnsi="Tahoma" w:cs="Tahoma"/>
          <w:lang w:val="es-CO"/>
        </w:rPr>
        <w:t xml:space="preserve"> de</w:t>
      </w:r>
      <w:r w:rsidR="00A23937">
        <w:rPr>
          <w:rFonts w:ascii="Tahoma" w:hAnsi="Tahoma" w:cs="Tahoma"/>
          <w:lang w:val="es-CO"/>
        </w:rPr>
        <w:t>bido ser excluidas como</w:t>
      </w:r>
      <w:r w:rsidRPr="001378F8">
        <w:rPr>
          <w:rFonts w:ascii="Tahoma" w:hAnsi="Tahoma" w:cs="Tahoma"/>
          <w:lang w:val="es-CO"/>
        </w:rPr>
        <w:t xml:space="preserve"> factor prestacional</w:t>
      </w:r>
      <w:r w:rsidR="00A23937">
        <w:rPr>
          <w:rFonts w:ascii="Tahoma" w:hAnsi="Tahoma" w:cs="Tahoma"/>
          <w:lang w:val="es-CO"/>
        </w:rPr>
        <w:t xml:space="preserve"> a favor del trabajador</w:t>
      </w:r>
      <w:r w:rsidRPr="001378F8">
        <w:rPr>
          <w:rFonts w:ascii="Tahoma" w:hAnsi="Tahoma" w:cs="Tahoma"/>
          <w:lang w:val="es-CO"/>
        </w:rPr>
        <w:t>,</w:t>
      </w:r>
      <w:r w:rsidR="001378F8">
        <w:rPr>
          <w:rFonts w:ascii="Tahoma" w:hAnsi="Tahoma" w:cs="Tahoma"/>
          <w:lang w:val="es-CO"/>
        </w:rPr>
        <w:t xml:space="preserve"> su supresión obedece </w:t>
      </w:r>
      <w:r w:rsidR="00A23937">
        <w:rPr>
          <w:rFonts w:ascii="Tahoma" w:hAnsi="Tahoma" w:cs="Tahoma"/>
          <w:lang w:val="es-CO"/>
        </w:rPr>
        <w:t xml:space="preserve">a un mal juicio jurídico del empleador, quien siempre actuó convencido de que en virtud al hecho de que el servicio lo prestara la trabajadora a un tercero, lo exoneraba a él de cualquier responsabilidad laboral. Ello sumado a la circunstancia probada de que el trabajador tenía algún margen de libertad para aprovechar su tiempo entre viernes y domingo, y tal parece que podía negarse a participar de mentadas brigadas, lo cual ayuda a mantener en alto la presunción de buena fe de la empresa demandada. </w:t>
      </w:r>
    </w:p>
    <w:p w:rsidR="00A23937" w:rsidRDefault="00A23937" w:rsidP="000B2605">
      <w:pPr>
        <w:pStyle w:val="Prrafodelista"/>
        <w:spacing w:line="240" w:lineRule="auto"/>
        <w:ind w:left="0"/>
        <w:jc w:val="both"/>
        <w:rPr>
          <w:rFonts w:ascii="Tahoma" w:hAnsi="Tahoma" w:cs="Tahoma"/>
          <w:lang w:val="es-CO"/>
        </w:rPr>
      </w:pPr>
    </w:p>
    <w:p w:rsidR="00E0698E" w:rsidRDefault="00A23937" w:rsidP="00A23937">
      <w:pPr>
        <w:pStyle w:val="Prrafodelista"/>
        <w:spacing w:line="276" w:lineRule="auto"/>
        <w:ind w:left="0"/>
        <w:jc w:val="both"/>
        <w:rPr>
          <w:rFonts w:ascii="Tahoma" w:hAnsi="Tahoma" w:cs="Tahoma"/>
          <w:lang w:val="es-CO"/>
        </w:rPr>
      </w:pPr>
      <w:r>
        <w:rPr>
          <w:rFonts w:ascii="Tahoma" w:hAnsi="Tahoma" w:cs="Tahoma"/>
          <w:lang w:val="es-CO"/>
        </w:rPr>
        <w:tab/>
        <w:t>Corolario de todo lo expuesto, se confirmará la sentencia de primer grado. Como quiera ninguno de los recursos prosperó y se mantuvo el sentido de decisión de primer grado, no se generaron costas en esta instancia.</w:t>
      </w:r>
    </w:p>
    <w:p w:rsidR="00E0698E" w:rsidRDefault="00E0698E" w:rsidP="000B2605">
      <w:pPr>
        <w:pStyle w:val="Prrafodelista"/>
        <w:spacing w:line="240" w:lineRule="auto"/>
        <w:ind w:left="0"/>
        <w:jc w:val="both"/>
        <w:rPr>
          <w:rFonts w:ascii="Tahoma" w:hAnsi="Tahoma" w:cs="Tahoma"/>
          <w:lang w:val="es-CO"/>
        </w:rPr>
      </w:pPr>
    </w:p>
    <w:p w:rsidR="00E0698E" w:rsidRPr="00E81501" w:rsidRDefault="00E0698E" w:rsidP="00E0698E">
      <w:pPr>
        <w:pStyle w:val="Sangradetextonormal"/>
        <w:spacing w:line="276" w:lineRule="auto"/>
        <w:rPr>
          <w:sz w:val="22"/>
          <w:szCs w:val="22"/>
        </w:rPr>
      </w:pPr>
      <w:r w:rsidRPr="00E81501">
        <w:rPr>
          <w:sz w:val="22"/>
          <w:szCs w:val="22"/>
        </w:rPr>
        <w:t xml:space="preserve">En mérito de  lo expuesto, el </w:t>
      </w:r>
      <w:r w:rsidRPr="00E81501">
        <w:rPr>
          <w:b/>
          <w:sz w:val="22"/>
          <w:szCs w:val="22"/>
        </w:rPr>
        <w:t>Tribunal Superior del Distrito Judicial de Pereira (Risaralda)</w:t>
      </w:r>
      <w:r w:rsidRPr="00E81501">
        <w:rPr>
          <w:sz w:val="22"/>
          <w:szCs w:val="22"/>
        </w:rPr>
        <w:t xml:space="preserve">, </w:t>
      </w:r>
      <w:r w:rsidRPr="00E81501">
        <w:rPr>
          <w:b/>
          <w:sz w:val="22"/>
          <w:szCs w:val="22"/>
        </w:rPr>
        <w:t>Sala laboral</w:t>
      </w:r>
      <w:r w:rsidRPr="00E81501">
        <w:rPr>
          <w:sz w:val="22"/>
          <w:szCs w:val="22"/>
        </w:rPr>
        <w:t>, administrando justicia en nombre de la República  y por autoridad de la Ley,</w:t>
      </w:r>
    </w:p>
    <w:p w:rsidR="00E0698E" w:rsidRPr="00E81501" w:rsidRDefault="00E0698E" w:rsidP="000B2605">
      <w:pPr>
        <w:tabs>
          <w:tab w:val="left" w:pos="-720"/>
        </w:tabs>
        <w:suppressAutoHyphens/>
        <w:spacing w:line="240" w:lineRule="auto"/>
        <w:ind w:right="28"/>
        <w:jc w:val="both"/>
        <w:rPr>
          <w:rFonts w:ascii="Tahoma" w:hAnsi="Tahoma" w:cs="Tahoma"/>
          <w:b/>
          <w:spacing w:val="-2"/>
        </w:rPr>
      </w:pPr>
    </w:p>
    <w:p w:rsidR="00E0698E" w:rsidRPr="00344197" w:rsidRDefault="00E0698E" w:rsidP="00E0698E">
      <w:pPr>
        <w:widowControl w:val="0"/>
        <w:autoSpaceDE w:val="0"/>
        <w:autoSpaceDN w:val="0"/>
        <w:adjustRightInd w:val="0"/>
        <w:spacing w:line="276" w:lineRule="auto"/>
        <w:jc w:val="center"/>
        <w:rPr>
          <w:rFonts w:ascii="Tahoma" w:hAnsi="Tahoma" w:cs="Tahoma"/>
          <w:b/>
        </w:rPr>
      </w:pPr>
      <w:r w:rsidRPr="00344197">
        <w:rPr>
          <w:rFonts w:ascii="Tahoma" w:hAnsi="Tahoma" w:cs="Tahoma"/>
          <w:b/>
        </w:rPr>
        <w:t>R E S U E L V E:</w:t>
      </w:r>
    </w:p>
    <w:p w:rsidR="00E0698E" w:rsidRDefault="00A23937" w:rsidP="00A23937">
      <w:pPr>
        <w:pStyle w:val="Prrafodelista"/>
        <w:spacing w:line="276" w:lineRule="auto"/>
        <w:ind w:left="0"/>
        <w:jc w:val="both"/>
        <w:rPr>
          <w:rFonts w:ascii="Tahoma" w:hAnsi="Tahoma" w:cs="Tahoma"/>
          <w:lang w:val="es-CO"/>
        </w:rPr>
      </w:pPr>
      <w:r>
        <w:rPr>
          <w:rFonts w:ascii="Tahoma" w:hAnsi="Tahoma" w:cs="Tahoma"/>
          <w:lang w:val="es-CO"/>
        </w:rPr>
        <w:t xml:space="preserve"> </w:t>
      </w:r>
    </w:p>
    <w:p w:rsidR="00E0698E" w:rsidRPr="00344197" w:rsidRDefault="00E0698E" w:rsidP="000B2605">
      <w:pPr>
        <w:spacing w:line="276" w:lineRule="auto"/>
        <w:ind w:firstLine="708"/>
        <w:jc w:val="both"/>
        <w:rPr>
          <w:rFonts w:ascii="Tahoma" w:hAnsi="Tahoma" w:cs="Tahoma"/>
        </w:rPr>
      </w:pPr>
      <w:r w:rsidRPr="00344197">
        <w:rPr>
          <w:rFonts w:ascii="Tahoma" w:hAnsi="Tahoma" w:cs="Tahoma"/>
          <w:b/>
          <w:u w:val="single"/>
        </w:rPr>
        <w:t>PRIMERO</w:t>
      </w:r>
      <w:r w:rsidRPr="00344197">
        <w:rPr>
          <w:rFonts w:ascii="Tahoma" w:hAnsi="Tahoma" w:cs="Tahoma"/>
          <w:b/>
        </w:rPr>
        <w:t>.- CONFIRMAR</w:t>
      </w:r>
      <w:r>
        <w:rPr>
          <w:rFonts w:ascii="Tahoma" w:hAnsi="Tahoma" w:cs="Tahoma"/>
        </w:rPr>
        <w:t xml:space="preserve"> la sentencia proferida el pasado 3 de octubre de </w:t>
      </w:r>
      <w:r w:rsidRPr="00344197">
        <w:rPr>
          <w:rFonts w:ascii="Tahoma" w:hAnsi="Tahoma" w:cs="Tahoma"/>
        </w:rPr>
        <w:t xml:space="preserve">2014 por el Juzgado </w:t>
      </w:r>
      <w:r>
        <w:rPr>
          <w:rFonts w:ascii="Tahoma" w:hAnsi="Tahoma" w:cs="Tahoma"/>
        </w:rPr>
        <w:t>Laboral de Dosquebradas</w:t>
      </w:r>
      <w:r w:rsidRPr="00344197">
        <w:rPr>
          <w:rFonts w:ascii="Tahoma" w:hAnsi="Tahoma" w:cs="Tahoma"/>
        </w:rPr>
        <w:t>, dentro del proceso ordinario laboral promovido por</w:t>
      </w:r>
      <w:r w:rsidRPr="00344197">
        <w:rPr>
          <w:rFonts w:ascii="Tahoma" w:hAnsi="Tahoma" w:cs="Tahoma"/>
          <w:b/>
        </w:rPr>
        <w:t xml:space="preserve"> </w:t>
      </w:r>
      <w:r>
        <w:rPr>
          <w:rFonts w:ascii="Tahoma" w:hAnsi="Tahoma" w:cs="Tahoma"/>
          <w:b/>
        </w:rPr>
        <w:t>MARIA LEONOR ORTEGA MATALLANA</w:t>
      </w:r>
      <w:r w:rsidRPr="00344197">
        <w:rPr>
          <w:rFonts w:ascii="Tahoma" w:hAnsi="Tahoma" w:cs="Tahoma"/>
        </w:rPr>
        <w:t xml:space="preserve"> </w:t>
      </w:r>
      <w:r w:rsidRPr="00344197">
        <w:rPr>
          <w:rFonts w:ascii="Tahoma" w:hAnsi="Tahoma" w:cs="Tahoma"/>
          <w:lang w:val="es-ES_tradnl"/>
        </w:rPr>
        <w:t>en</w:t>
      </w:r>
      <w:r w:rsidRPr="00344197">
        <w:rPr>
          <w:rFonts w:ascii="Tahoma" w:hAnsi="Tahoma" w:cs="Tahoma"/>
          <w:b/>
        </w:rPr>
        <w:t xml:space="preserve"> </w:t>
      </w:r>
      <w:r w:rsidRPr="00344197">
        <w:rPr>
          <w:rFonts w:ascii="Tahoma" w:hAnsi="Tahoma" w:cs="Tahoma"/>
        </w:rPr>
        <w:t xml:space="preserve">contra de </w:t>
      </w:r>
      <w:r>
        <w:rPr>
          <w:rFonts w:ascii="Tahoma" w:hAnsi="Tahoma" w:cs="Tahoma"/>
          <w:b/>
        </w:rPr>
        <w:t>PROMOTORA LA AURORA S.A.</w:t>
      </w:r>
    </w:p>
    <w:p w:rsidR="00E0698E" w:rsidRPr="00344197" w:rsidRDefault="00E0698E" w:rsidP="00E0698E">
      <w:pPr>
        <w:spacing w:line="276" w:lineRule="auto"/>
        <w:ind w:firstLine="709"/>
        <w:jc w:val="both"/>
        <w:rPr>
          <w:rFonts w:ascii="Tahoma" w:hAnsi="Tahoma" w:cs="Tahoma"/>
          <w:u w:val="single"/>
        </w:rPr>
      </w:pPr>
      <w:r w:rsidRPr="00344197">
        <w:rPr>
          <w:rFonts w:ascii="Tahoma" w:hAnsi="Tahoma" w:cs="Tahoma"/>
          <w:b/>
          <w:u w:val="single"/>
        </w:rPr>
        <w:t>SEGUNDO.</w:t>
      </w:r>
      <w:r w:rsidRPr="00344197">
        <w:rPr>
          <w:rFonts w:ascii="Tahoma" w:hAnsi="Tahoma" w:cs="Tahoma"/>
          <w:b/>
        </w:rPr>
        <w:t xml:space="preserve">- </w:t>
      </w:r>
      <w:r w:rsidRPr="00344197">
        <w:rPr>
          <w:rFonts w:ascii="Tahoma" w:hAnsi="Tahoma" w:cs="Tahoma"/>
        </w:rPr>
        <w:t>Sin costas en esta instancia.</w:t>
      </w:r>
    </w:p>
    <w:p w:rsidR="00E0698E" w:rsidRPr="00344197" w:rsidRDefault="00E0698E" w:rsidP="00E0698E">
      <w:pPr>
        <w:tabs>
          <w:tab w:val="left" w:pos="-720"/>
        </w:tabs>
        <w:suppressAutoHyphens/>
        <w:ind w:right="28"/>
        <w:jc w:val="both"/>
        <w:rPr>
          <w:rFonts w:ascii="Tahoma" w:hAnsi="Tahoma" w:cs="Tahoma"/>
        </w:rPr>
      </w:pPr>
    </w:p>
    <w:p w:rsidR="00E0698E" w:rsidRPr="00344197" w:rsidRDefault="00E0698E" w:rsidP="00E0698E">
      <w:pPr>
        <w:widowControl w:val="0"/>
        <w:autoSpaceDE w:val="0"/>
        <w:autoSpaceDN w:val="0"/>
        <w:adjustRightInd w:val="0"/>
        <w:spacing w:line="276" w:lineRule="auto"/>
        <w:jc w:val="both"/>
        <w:rPr>
          <w:rFonts w:ascii="Tahoma" w:hAnsi="Tahoma" w:cs="Tahoma"/>
        </w:rPr>
      </w:pPr>
      <w:r w:rsidRPr="00344197">
        <w:rPr>
          <w:rFonts w:ascii="Tahoma" w:hAnsi="Tahoma" w:cs="Tahoma"/>
          <w:b/>
        </w:rPr>
        <w:tab/>
      </w:r>
      <w:r w:rsidRPr="00344197">
        <w:rPr>
          <w:rFonts w:ascii="Tahoma" w:hAnsi="Tahoma" w:cs="Tahoma"/>
          <w:b/>
          <w:bCs/>
        </w:rPr>
        <w:t>Notificación surtida en estrados.</w:t>
      </w:r>
      <w:r>
        <w:rPr>
          <w:rFonts w:ascii="Tahoma" w:hAnsi="Tahoma" w:cs="Tahoma"/>
          <w:b/>
          <w:bCs/>
        </w:rPr>
        <w:t xml:space="preserve"> </w:t>
      </w:r>
      <w:r w:rsidRPr="00344197">
        <w:rPr>
          <w:rFonts w:ascii="Tahoma" w:hAnsi="Tahoma" w:cs="Tahoma"/>
          <w:b/>
        </w:rPr>
        <w:t>Cúmplase</w:t>
      </w:r>
      <w:r w:rsidRPr="00344197">
        <w:rPr>
          <w:rFonts w:ascii="Tahoma" w:hAnsi="Tahoma" w:cs="Tahoma"/>
        </w:rPr>
        <w:t xml:space="preserve"> y </w:t>
      </w:r>
      <w:r w:rsidRPr="00344197">
        <w:rPr>
          <w:rFonts w:ascii="Tahoma" w:hAnsi="Tahoma" w:cs="Tahoma"/>
          <w:b/>
        </w:rPr>
        <w:t>devuélvase</w:t>
      </w:r>
      <w:r w:rsidRPr="00344197">
        <w:rPr>
          <w:rFonts w:ascii="Tahoma" w:hAnsi="Tahoma" w:cs="Tahoma"/>
        </w:rPr>
        <w:t xml:space="preserve"> el expediente al Juzgado de origen.</w:t>
      </w:r>
    </w:p>
    <w:p w:rsidR="00E0698E" w:rsidRPr="00344197" w:rsidRDefault="00E0698E" w:rsidP="00E0698E">
      <w:pPr>
        <w:widowControl w:val="0"/>
        <w:autoSpaceDE w:val="0"/>
        <w:autoSpaceDN w:val="0"/>
        <w:adjustRightInd w:val="0"/>
        <w:ind w:firstLine="708"/>
        <w:jc w:val="both"/>
        <w:rPr>
          <w:rFonts w:ascii="Tahoma" w:hAnsi="Tahoma" w:cs="Tahoma"/>
        </w:rPr>
      </w:pPr>
    </w:p>
    <w:p w:rsidR="00E0698E" w:rsidRPr="00344197" w:rsidRDefault="00E0698E" w:rsidP="00E0698E">
      <w:pPr>
        <w:widowControl w:val="0"/>
        <w:autoSpaceDE w:val="0"/>
        <w:autoSpaceDN w:val="0"/>
        <w:adjustRightInd w:val="0"/>
        <w:spacing w:line="276" w:lineRule="auto"/>
        <w:jc w:val="both"/>
        <w:rPr>
          <w:rFonts w:ascii="Tahoma" w:hAnsi="Tahoma" w:cs="Tahoma"/>
        </w:rPr>
      </w:pPr>
      <w:r w:rsidRPr="00344197">
        <w:rPr>
          <w:rFonts w:ascii="Tahoma" w:hAnsi="Tahoma" w:cs="Tahoma"/>
        </w:rPr>
        <w:tab/>
        <w:t xml:space="preserve">No siendo otro el objeto de la presente diligencia, se termina siendo las </w:t>
      </w:r>
      <w:r w:rsidRPr="00344197">
        <w:rPr>
          <w:rFonts w:ascii="Tahoma" w:hAnsi="Tahoma" w:cs="Tahoma"/>
          <w:u w:val="single"/>
        </w:rPr>
        <w:t>_____ DE LA MAÑANA</w:t>
      </w:r>
      <w:r w:rsidRPr="00344197">
        <w:rPr>
          <w:rFonts w:ascii="Tahoma" w:hAnsi="Tahoma" w:cs="Tahoma"/>
        </w:rPr>
        <w:t>, se levanta el acta y firman las personas que en la misma intervinieron.</w:t>
      </w:r>
    </w:p>
    <w:p w:rsidR="00E0698E" w:rsidRPr="00344197" w:rsidRDefault="00E0698E" w:rsidP="00E0698E">
      <w:pPr>
        <w:jc w:val="both"/>
        <w:rPr>
          <w:rFonts w:ascii="Tahoma" w:hAnsi="Tahoma" w:cs="Tahoma"/>
        </w:rPr>
      </w:pPr>
    </w:p>
    <w:p w:rsidR="00E0698E" w:rsidRPr="00344197" w:rsidRDefault="00E0698E" w:rsidP="00E0698E">
      <w:pPr>
        <w:spacing w:line="276" w:lineRule="auto"/>
        <w:ind w:firstLine="708"/>
        <w:jc w:val="both"/>
        <w:rPr>
          <w:rFonts w:ascii="Tahoma" w:hAnsi="Tahoma" w:cs="Tahoma"/>
        </w:rPr>
      </w:pPr>
      <w:r w:rsidRPr="00344197">
        <w:rPr>
          <w:rFonts w:ascii="Tahoma" w:hAnsi="Tahoma" w:cs="Tahoma"/>
        </w:rPr>
        <w:t>La Magistrada,</w:t>
      </w:r>
    </w:p>
    <w:p w:rsidR="00E0698E" w:rsidRPr="00344197" w:rsidRDefault="00E0698E" w:rsidP="00E0698E">
      <w:pPr>
        <w:spacing w:line="276" w:lineRule="auto"/>
        <w:rPr>
          <w:rFonts w:ascii="Tahoma" w:hAnsi="Tahoma" w:cs="Tahoma"/>
        </w:rPr>
      </w:pPr>
    </w:p>
    <w:p w:rsidR="00BE2B7B" w:rsidRDefault="00BE2B7B" w:rsidP="00E0698E">
      <w:pPr>
        <w:pStyle w:val="Ttulo3"/>
        <w:spacing w:before="0" w:line="276" w:lineRule="auto"/>
        <w:jc w:val="center"/>
        <w:rPr>
          <w:rFonts w:ascii="Tahoma" w:hAnsi="Tahoma" w:cs="Tahoma"/>
          <w:b/>
          <w:color w:val="auto"/>
          <w:sz w:val="22"/>
          <w:szCs w:val="22"/>
        </w:rPr>
      </w:pPr>
    </w:p>
    <w:p w:rsidR="00BE2B7B" w:rsidRDefault="00BE2B7B" w:rsidP="00E0698E">
      <w:pPr>
        <w:pStyle w:val="Ttulo3"/>
        <w:spacing w:before="0" w:line="276" w:lineRule="auto"/>
        <w:jc w:val="center"/>
        <w:rPr>
          <w:rFonts w:ascii="Tahoma" w:hAnsi="Tahoma" w:cs="Tahoma"/>
          <w:b/>
          <w:color w:val="auto"/>
          <w:sz w:val="22"/>
          <w:szCs w:val="22"/>
        </w:rPr>
      </w:pPr>
    </w:p>
    <w:p w:rsidR="00E0698E" w:rsidRPr="00344197" w:rsidRDefault="00E0698E" w:rsidP="00E0698E">
      <w:pPr>
        <w:pStyle w:val="Ttulo3"/>
        <w:spacing w:before="0" w:line="276" w:lineRule="auto"/>
        <w:jc w:val="center"/>
        <w:rPr>
          <w:rFonts w:ascii="Tahoma" w:hAnsi="Tahoma" w:cs="Tahoma"/>
          <w:b/>
          <w:bCs/>
          <w:color w:val="auto"/>
          <w:sz w:val="22"/>
          <w:szCs w:val="22"/>
        </w:rPr>
      </w:pPr>
      <w:r w:rsidRPr="00344197">
        <w:rPr>
          <w:rFonts w:ascii="Tahoma" w:hAnsi="Tahoma" w:cs="Tahoma"/>
          <w:b/>
          <w:color w:val="auto"/>
          <w:sz w:val="22"/>
          <w:szCs w:val="22"/>
        </w:rPr>
        <w:t>ANA LUCÍA CAICEDO CALDERÓN</w:t>
      </w:r>
    </w:p>
    <w:p w:rsidR="00E0698E" w:rsidRPr="00344197" w:rsidRDefault="00E0698E" w:rsidP="00E0698E">
      <w:pPr>
        <w:spacing w:line="276" w:lineRule="auto"/>
        <w:rPr>
          <w:rFonts w:ascii="Tahoma" w:hAnsi="Tahoma" w:cs="Tahoma"/>
        </w:rPr>
      </w:pPr>
    </w:p>
    <w:p w:rsidR="00E0698E" w:rsidRPr="00344197" w:rsidRDefault="00E0698E" w:rsidP="00E0698E">
      <w:pPr>
        <w:spacing w:line="276" w:lineRule="auto"/>
        <w:ind w:firstLine="708"/>
        <w:rPr>
          <w:rFonts w:ascii="Tahoma" w:hAnsi="Tahoma" w:cs="Tahoma"/>
        </w:rPr>
      </w:pPr>
      <w:r w:rsidRPr="00344197">
        <w:rPr>
          <w:rFonts w:ascii="Tahoma" w:hAnsi="Tahoma" w:cs="Tahoma"/>
        </w:rPr>
        <w:t>Los Magistrados,</w:t>
      </w:r>
    </w:p>
    <w:p w:rsidR="00E0698E" w:rsidRPr="00344197" w:rsidRDefault="00E0698E" w:rsidP="00E0698E">
      <w:pPr>
        <w:spacing w:line="276" w:lineRule="auto"/>
        <w:rPr>
          <w:rFonts w:ascii="Tahoma" w:hAnsi="Tahoma" w:cs="Tahoma"/>
          <w:b/>
        </w:rPr>
      </w:pPr>
    </w:p>
    <w:p w:rsidR="00E0698E" w:rsidRPr="00344197" w:rsidRDefault="00E0698E" w:rsidP="00E0698E">
      <w:pPr>
        <w:spacing w:line="276" w:lineRule="auto"/>
        <w:jc w:val="center"/>
        <w:rPr>
          <w:rFonts w:ascii="Tahoma" w:hAnsi="Tahoma" w:cs="Tahoma"/>
          <w:b/>
        </w:rPr>
      </w:pPr>
    </w:p>
    <w:p w:rsidR="00E0698E" w:rsidRPr="00344197" w:rsidRDefault="00E0698E" w:rsidP="00E0698E">
      <w:pPr>
        <w:spacing w:line="276" w:lineRule="auto"/>
        <w:jc w:val="center"/>
        <w:rPr>
          <w:rFonts w:ascii="Tahoma" w:hAnsi="Tahoma" w:cs="Tahoma"/>
          <w:b/>
        </w:rPr>
      </w:pPr>
      <w:r w:rsidRPr="00344197">
        <w:rPr>
          <w:rFonts w:ascii="Tahoma" w:hAnsi="Tahoma" w:cs="Tahoma"/>
          <w:b/>
        </w:rPr>
        <w:t>JULIO CÉSAR SALAZAR MUÑOZ     FRANCISCO JAVIER TAMAYO TABARES</w:t>
      </w:r>
    </w:p>
    <w:p w:rsidR="00E0698E" w:rsidRPr="00344197" w:rsidRDefault="00E0698E" w:rsidP="00E0698E">
      <w:pPr>
        <w:spacing w:line="276" w:lineRule="auto"/>
        <w:rPr>
          <w:rFonts w:ascii="Tahoma" w:hAnsi="Tahoma" w:cs="Tahoma"/>
        </w:rPr>
      </w:pPr>
    </w:p>
    <w:p w:rsidR="00E0698E" w:rsidRPr="00344197" w:rsidRDefault="00E0698E" w:rsidP="00E0698E">
      <w:pPr>
        <w:spacing w:line="276" w:lineRule="auto"/>
        <w:jc w:val="center"/>
        <w:rPr>
          <w:rFonts w:ascii="Tahoma" w:hAnsi="Tahoma" w:cs="Tahoma"/>
        </w:rPr>
      </w:pPr>
    </w:p>
    <w:p w:rsidR="00E0698E" w:rsidRPr="00344197" w:rsidRDefault="00E0698E" w:rsidP="00E0698E">
      <w:pPr>
        <w:spacing w:line="276" w:lineRule="auto"/>
        <w:jc w:val="center"/>
        <w:rPr>
          <w:rFonts w:ascii="Tahoma" w:hAnsi="Tahoma" w:cs="Tahoma"/>
          <w:b/>
        </w:rPr>
      </w:pPr>
      <w:r w:rsidRPr="00344197">
        <w:rPr>
          <w:rFonts w:ascii="Tahoma" w:hAnsi="Tahoma" w:cs="Tahoma"/>
          <w:b/>
        </w:rPr>
        <w:t>JELYNE MONSALVE OSPINA.</w:t>
      </w:r>
    </w:p>
    <w:p w:rsidR="00E0698E" w:rsidRPr="00344197" w:rsidRDefault="00E0698E" w:rsidP="00E0698E">
      <w:pPr>
        <w:spacing w:line="276" w:lineRule="auto"/>
        <w:jc w:val="center"/>
        <w:rPr>
          <w:rFonts w:ascii="Tahoma" w:hAnsi="Tahoma" w:cs="Tahoma"/>
        </w:rPr>
      </w:pPr>
      <w:r w:rsidRPr="00344197">
        <w:rPr>
          <w:rFonts w:ascii="Tahoma" w:hAnsi="Tahoma" w:cs="Tahoma"/>
        </w:rPr>
        <w:t>Secretaria Ad-Hoc.</w:t>
      </w:r>
    </w:p>
    <w:p w:rsidR="00E0698E" w:rsidRDefault="00E0698E" w:rsidP="00A23937">
      <w:pPr>
        <w:pStyle w:val="Prrafodelista"/>
        <w:spacing w:line="276" w:lineRule="auto"/>
        <w:ind w:left="0"/>
        <w:jc w:val="both"/>
        <w:rPr>
          <w:rFonts w:ascii="Tahoma" w:hAnsi="Tahoma" w:cs="Tahoma"/>
          <w:lang w:val="es-CO"/>
        </w:rPr>
      </w:pPr>
    </w:p>
    <w:p w:rsidR="00A23937" w:rsidRDefault="00A23937" w:rsidP="00A23937">
      <w:pPr>
        <w:pStyle w:val="Prrafodelista"/>
        <w:spacing w:line="276" w:lineRule="auto"/>
        <w:ind w:left="0"/>
        <w:jc w:val="both"/>
        <w:rPr>
          <w:rFonts w:ascii="Tahoma" w:hAnsi="Tahoma" w:cs="Tahoma"/>
          <w:lang w:val="es-CO"/>
        </w:rPr>
      </w:pPr>
    </w:p>
    <w:p w:rsidR="0027534C" w:rsidRDefault="00A23937" w:rsidP="0027534C">
      <w:pPr>
        <w:pStyle w:val="Prrafodelista"/>
        <w:ind w:left="0"/>
        <w:jc w:val="both"/>
        <w:rPr>
          <w:rFonts w:ascii="Tahoma" w:hAnsi="Tahoma" w:cs="Tahoma"/>
          <w:lang w:val="es-CO"/>
        </w:rPr>
      </w:pPr>
      <w:r>
        <w:rPr>
          <w:rFonts w:ascii="Tahoma" w:hAnsi="Tahoma" w:cs="Tahoma"/>
          <w:lang w:val="es-CO"/>
        </w:rPr>
        <w:t xml:space="preserve"> </w:t>
      </w:r>
      <w:r w:rsidR="0027534C" w:rsidRPr="001378F8">
        <w:rPr>
          <w:rFonts w:ascii="Tahoma" w:hAnsi="Tahoma" w:cs="Tahoma"/>
          <w:lang w:val="es-CO"/>
        </w:rPr>
        <w:t xml:space="preserve"> </w:t>
      </w: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bookmarkStart w:id="0" w:name="_GoBack"/>
      <w:bookmarkEnd w:id="0"/>
    </w:p>
    <w:p w:rsidR="00BE2B7B" w:rsidRDefault="00BE2B7B" w:rsidP="0027534C">
      <w:pPr>
        <w:pStyle w:val="Prrafodelista"/>
        <w:ind w:left="0"/>
        <w:jc w:val="both"/>
        <w:rPr>
          <w:rFonts w:ascii="Tahoma" w:hAnsi="Tahoma" w:cs="Tahoma"/>
          <w:lang w:val="es-CO"/>
        </w:rPr>
      </w:pPr>
    </w:p>
    <w:p w:rsidR="007F73EC" w:rsidRDefault="007F73EC" w:rsidP="0027534C">
      <w:pPr>
        <w:pStyle w:val="Prrafodelista"/>
        <w:ind w:left="0"/>
        <w:jc w:val="both"/>
        <w:rPr>
          <w:rFonts w:ascii="Tahoma" w:hAnsi="Tahoma" w:cs="Tahoma"/>
          <w:lang w:val="es-CO"/>
        </w:rPr>
      </w:pPr>
    </w:p>
    <w:p w:rsidR="00BE2B7B" w:rsidRDefault="00BE2B7B" w:rsidP="0027534C">
      <w:pPr>
        <w:pStyle w:val="Prrafodelista"/>
        <w:ind w:left="0"/>
        <w:jc w:val="both"/>
        <w:rPr>
          <w:rFonts w:ascii="Tahoma" w:hAnsi="Tahoma" w:cs="Tahoma"/>
          <w:lang w:val="es-CO"/>
        </w:rPr>
      </w:pPr>
    </w:p>
    <w:tbl>
      <w:tblPr>
        <w:tblW w:w="5000" w:type="pct"/>
        <w:tblCellMar>
          <w:left w:w="30" w:type="dxa"/>
          <w:right w:w="30" w:type="dxa"/>
        </w:tblCellMar>
        <w:tblLook w:val="0000" w:firstRow="0" w:lastRow="0" w:firstColumn="0" w:lastColumn="0" w:noHBand="0" w:noVBand="0"/>
      </w:tblPr>
      <w:tblGrid>
        <w:gridCol w:w="352"/>
        <w:gridCol w:w="374"/>
        <w:gridCol w:w="420"/>
        <w:gridCol w:w="407"/>
        <w:gridCol w:w="752"/>
        <w:gridCol w:w="415"/>
        <w:gridCol w:w="454"/>
        <w:gridCol w:w="724"/>
        <w:gridCol w:w="312"/>
        <w:gridCol w:w="324"/>
        <w:gridCol w:w="724"/>
        <w:gridCol w:w="333"/>
        <w:gridCol w:w="348"/>
        <w:gridCol w:w="762"/>
        <w:gridCol w:w="392"/>
        <w:gridCol w:w="404"/>
        <w:gridCol w:w="779"/>
        <w:gridCol w:w="1131"/>
      </w:tblGrid>
      <w:tr w:rsidR="00BE2B7B" w:rsidRPr="007F73EC" w:rsidTr="007F73EC">
        <w:tblPrEx>
          <w:tblCellMar>
            <w:top w:w="0" w:type="dxa"/>
            <w:bottom w:w="0" w:type="dxa"/>
          </w:tblCellMar>
        </w:tblPrEx>
        <w:trPr>
          <w:trHeight w:val="610"/>
        </w:trPr>
        <w:tc>
          <w:tcPr>
            <w:tcW w:w="168" w:type="pct"/>
            <w:vAlign w:val="center"/>
          </w:tcPr>
          <w:p w:rsidR="007F73EC" w:rsidRPr="00BE2B7B" w:rsidRDefault="007F73EC" w:rsidP="007F73EC">
            <w:pPr>
              <w:autoSpaceDE w:val="0"/>
              <w:autoSpaceDN w:val="0"/>
              <w:adjustRightInd w:val="0"/>
              <w:spacing w:line="240" w:lineRule="auto"/>
              <w:jc w:val="center"/>
              <w:rPr>
                <w:rFonts w:ascii="Arial Narrow" w:hAnsi="Arial Narrow" w:cs="Calibri"/>
                <w:b/>
                <w:bCs/>
                <w:color w:val="000000"/>
                <w:sz w:val="16"/>
                <w:szCs w:val="16"/>
              </w:rPr>
            </w:pPr>
            <w:r w:rsidRPr="00BE2B7B">
              <w:rPr>
                <w:rFonts w:ascii="Arial Narrow" w:hAnsi="Arial Narrow" w:cs="Calibri"/>
                <w:b/>
                <w:bCs/>
                <w:color w:val="000000"/>
                <w:sz w:val="16"/>
                <w:szCs w:val="16"/>
              </w:rPr>
              <w:lastRenderedPageBreak/>
              <w:t>AÑO</w:t>
            </w:r>
          </w:p>
        </w:tc>
        <w:tc>
          <w:tcPr>
            <w:tcW w:w="182" w:type="pct"/>
            <w:vAlign w:val="center"/>
          </w:tcPr>
          <w:p w:rsidR="007F73EC" w:rsidRPr="00BE2B7B" w:rsidRDefault="007F73EC" w:rsidP="007F73EC">
            <w:pPr>
              <w:autoSpaceDE w:val="0"/>
              <w:autoSpaceDN w:val="0"/>
              <w:adjustRightInd w:val="0"/>
              <w:spacing w:line="240" w:lineRule="auto"/>
              <w:jc w:val="center"/>
              <w:rPr>
                <w:rFonts w:ascii="Arial Narrow" w:hAnsi="Arial Narrow" w:cs="Calibri"/>
                <w:color w:val="000000"/>
                <w:sz w:val="16"/>
                <w:szCs w:val="16"/>
              </w:rPr>
            </w:pPr>
            <w:r w:rsidRPr="00BE2B7B">
              <w:rPr>
                <w:rFonts w:ascii="Arial Narrow" w:hAnsi="Arial Narrow" w:cs="Calibri"/>
                <w:color w:val="000000"/>
                <w:sz w:val="16"/>
                <w:szCs w:val="16"/>
              </w:rPr>
              <w:t>MES</w:t>
            </w:r>
          </w:p>
        </w:tc>
        <w:tc>
          <w:tcPr>
            <w:tcW w:w="387" w:type="pct"/>
            <w:gridSpan w:val="2"/>
            <w:shd w:val="solid" w:color="FFFF00"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b/>
                <w:bCs/>
                <w:color w:val="000000"/>
                <w:sz w:val="16"/>
                <w:szCs w:val="16"/>
              </w:rPr>
            </w:pPr>
            <w:r w:rsidRPr="00BE2B7B">
              <w:rPr>
                <w:rFonts w:ascii="Arial Narrow" w:hAnsi="Arial Narrow" w:cs="Calibri"/>
                <w:b/>
                <w:bCs/>
                <w:color w:val="000000"/>
                <w:sz w:val="16"/>
                <w:szCs w:val="16"/>
              </w:rPr>
              <w:t>MANIZALES</w:t>
            </w:r>
          </w:p>
        </w:tc>
        <w:tc>
          <w:tcPr>
            <w:tcW w:w="425" w:type="pct"/>
            <w:shd w:val="solid" w:color="FFFF99"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color w:val="000000"/>
                <w:sz w:val="16"/>
                <w:szCs w:val="16"/>
              </w:rPr>
            </w:pPr>
            <w:r w:rsidRPr="00BE2B7B">
              <w:rPr>
                <w:rFonts w:ascii="Arial Narrow" w:hAnsi="Arial Narrow" w:cs="Calibri"/>
                <w:color w:val="000000"/>
                <w:sz w:val="16"/>
                <w:szCs w:val="16"/>
              </w:rPr>
              <w:t>COMISIÓN</w:t>
            </w:r>
          </w:p>
        </w:tc>
        <w:tc>
          <w:tcPr>
            <w:tcW w:w="392" w:type="pct"/>
            <w:gridSpan w:val="2"/>
            <w:shd w:val="solid" w:color="99CCFF"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b/>
                <w:bCs/>
                <w:color w:val="000000"/>
                <w:sz w:val="16"/>
                <w:szCs w:val="16"/>
              </w:rPr>
            </w:pPr>
            <w:r w:rsidRPr="00BE2B7B">
              <w:rPr>
                <w:rFonts w:ascii="Arial Narrow" w:hAnsi="Arial Narrow" w:cs="Calibri"/>
                <w:b/>
                <w:bCs/>
                <w:color w:val="000000"/>
                <w:sz w:val="16"/>
                <w:szCs w:val="16"/>
              </w:rPr>
              <w:t>VILLAMARIA</w:t>
            </w:r>
          </w:p>
        </w:tc>
        <w:tc>
          <w:tcPr>
            <w:tcW w:w="379" w:type="pct"/>
            <w:shd w:val="solid" w:color="FFFF99"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color w:val="000000"/>
                <w:sz w:val="16"/>
                <w:szCs w:val="16"/>
              </w:rPr>
            </w:pPr>
            <w:r w:rsidRPr="00BE2B7B">
              <w:rPr>
                <w:rFonts w:ascii="Arial Narrow" w:hAnsi="Arial Narrow" w:cs="Calibri"/>
                <w:color w:val="000000"/>
                <w:sz w:val="16"/>
                <w:szCs w:val="16"/>
              </w:rPr>
              <w:t>COMISIÓN</w:t>
            </w:r>
          </w:p>
        </w:tc>
        <w:tc>
          <w:tcPr>
            <w:tcW w:w="388" w:type="pct"/>
            <w:gridSpan w:val="2"/>
            <w:shd w:val="solid" w:color="008000"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b/>
                <w:bCs/>
                <w:color w:val="000000"/>
                <w:sz w:val="16"/>
                <w:szCs w:val="16"/>
              </w:rPr>
            </w:pPr>
            <w:r w:rsidRPr="00BE2B7B">
              <w:rPr>
                <w:rFonts w:ascii="Arial Narrow" w:hAnsi="Arial Narrow" w:cs="Calibri"/>
                <w:b/>
                <w:bCs/>
                <w:color w:val="000000"/>
                <w:sz w:val="16"/>
                <w:szCs w:val="16"/>
              </w:rPr>
              <w:t>SANTA ROSA</w:t>
            </w:r>
          </w:p>
        </w:tc>
        <w:tc>
          <w:tcPr>
            <w:tcW w:w="383" w:type="pct"/>
            <w:shd w:val="solid" w:color="FFFF99"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color w:val="000000"/>
                <w:sz w:val="16"/>
                <w:szCs w:val="16"/>
              </w:rPr>
            </w:pPr>
            <w:r w:rsidRPr="00BE2B7B">
              <w:rPr>
                <w:rFonts w:ascii="Arial Narrow" w:hAnsi="Arial Narrow" w:cs="Calibri"/>
                <w:color w:val="000000"/>
                <w:sz w:val="16"/>
                <w:szCs w:val="16"/>
              </w:rPr>
              <w:t>COMISIÓN</w:t>
            </w:r>
          </w:p>
        </w:tc>
        <w:tc>
          <w:tcPr>
            <w:tcW w:w="379" w:type="pct"/>
            <w:gridSpan w:val="2"/>
            <w:shd w:val="solid" w:color="FF0000"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b/>
                <w:bCs/>
                <w:color w:val="000000"/>
                <w:sz w:val="16"/>
                <w:szCs w:val="16"/>
              </w:rPr>
            </w:pPr>
            <w:r w:rsidRPr="00BE2B7B">
              <w:rPr>
                <w:rFonts w:ascii="Arial Narrow" w:hAnsi="Arial Narrow" w:cs="Calibri"/>
                <w:b/>
                <w:bCs/>
                <w:color w:val="000000"/>
                <w:sz w:val="16"/>
                <w:szCs w:val="16"/>
              </w:rPr>
              <w:t>ARMENIA</w:t>
            </w:r>
          </w:p>
        </w:tc>
        <w:tc>
          <w:tcPr>
            <w:tcW w:w="463" w:type="pct"/>
            <w:shd w:val="solid" w:color="FFFF99"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color w:val="000000"/>
                <w:sz w:val="16"/>
                <w:szCs w:val="16"/>
              </w:rPr>
            </w:pPr>
            <w:r w:rsidRPr="00BE2B7B">
              <w:rPr>
                <w:rFonts w:ascii="Arial Narrow" w:hAnsi="Arial Narrow" w:cs="Calibri"/>
                <w:color w:val="000000"/>
                <w:sz w:val="16"/>
                <w:szCs w:val="16"/>
              </w:rPr>
              <w:t>COMISIÓN</w:t>
            </w:r>
          </w:p>
        </w:tc>
        <w:tc>
          <w:tcPr>
            <w:tcW w:w="388" w:type="pct"/>
            <w:gridSpan w:val="2"/>
            <w:shd w:val="solid" w:color="FF00FF"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b/>
                <w:bCs/>
                <w:color w:val="000000"/>
                <w:sz w:val="16"/>
                <w:szCs w:val="16"/>
              </w:rPr>
            </w:pPr>
            <w:r w:rsidRPr="00BE2B7B">
              <w:rPr>
                <w:rFonts w:ascii="Arial Narrow" w:hAnsi="Arial Narrow" w:cs="Calibri"/>
                <w:b/>
                <w:bCs/>
                <w:color w:val="000000"/>
                <w:sz w:val="16"/>
                <w:szCs w:val="16"/>
              </w:rPr>
              <w:t>CHINCHINÁ</w:t>
            </w:r>
          </w:p>
        </w:tc>
        <w:tc>
          <w:tcPr>
            <w:tcW w:w="439" w:type="pct"/>
            <w:shd w:val="solid" w:color="FFFF99" w:fill="auto"/>
            <w:vAlign w:val="center"/>
          </w:tcPr>
          <w:p w:rsidR="007F73EC" w:rsidRPr="00BE2B7B" w:rsidRDefault="007F73EC" w:rsidP="007F73EC">
            <w:pPr>
              <w:autoSpaceDE w:val="0"/>
              <w:autoSpaceDN w:val="0"/>
              <w:adjustRightInd w:val="0"/>
              <w:spacing w:line="240" w:lineRule="auto"/>
              <w:jc w:val="center"/>
              <w:rPr>
                <w:rFonts w:ascii="Arial Narrow" w:hAnsi="Arial Narrow" w:cs="Calibri"/>
                <w:color w:val="000000"/>
                <w:sz w:val="16"/>
                <w:szCs w:val="16"/>
              </w:rPr>
            </w:pPr>
            <w:r w:rsidRPr="00BE2B7B">
              <w:rPr>
                <w:rFonts w:ascii="Arial Narrow" w:hAnsi="Arial Narrow" w:cs="Calibri"/>
                <w:color w:val="000000"/>
                <w:sz w:val="16"/>
                <w:szCs w:val="16"/>
              </w:rPr>
              <w:t>COMISIÓN</w:t>
            </w:r>
          </w:p>
        </w:tc>
        <w:tc>
          <w:tcPr>
            <w:tcW w:w="626" w:type="pct"/>
            <w:vAlign w:val="center"/>
          </w:tcPr>
          <w:p w:rsidR="007F73EC" w:rsidRPr="00BE2B7B" w:rsidRDefault="007F73EC" w:rsidP="007F73EC">
            <w:pPr>
              <w:autoSpaceDE w:val="0"/>
              <w:autoSpaceDN w:val="0"/>
              <w:adjustRightInd w:val="0"/>
              <w:spacing w:line="240" w:lineRule="auto"/>
              <w:jc w:val="center"/>
              <w:rPr>
                <w:rFonts w:ascii="Arial Narrow" w:hAnsi="Arial Narrow" w:cs="Calibri"/>
                <w:b/>
                <w:bCs/>
                <w:color w:val="000000"/>
                <w:sz w:val="16"/>
                <w:szCs w:val="16"/>
              </w:rPr>
            </w:pPr>
            <w:r w:rsidRPr="00BE2B7B">
              <w:rPr>
                <w:rFonts w:ascii="Arial Narrow" w:hAnsi="Arial Narrow" w:cs="Calibri"/>
                <w:b/>
                <w:bCs/>
                <w:color w:val="000000"/>
                <w:sz w:val="16"/>
                <w:szCs w:val="16"/>
              </w:rPr>
              <w:t>PROMEDIO POR AÑO</w:t>
            </w: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2010</w:t>
            </w: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8</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$ 7.656 </w:t>
            </w: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31</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9</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21</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$ 77.757 </w:t>
            </w: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$ 1.716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28</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10</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12</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$ 241.553 </w:t>
            </w: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$ 2.244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19</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$ 171.949 </w:t>
            </w: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30</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12</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$ 104.380 </w:t>
            </w: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15</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$ 4.972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28</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30</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7F73EC" w:rsidRPr="007F73EC" w:rsidTr="007F73EC">
        <w:tblPrEx>
          <w:tblCellMar>
            <w:top w:w="0" w:type="dxa"/>
            <w:bottom w:w="0" w:type="dxa"/>
          </w:tblCellMar>
        </w:tblPrEx>
        <w:trPr>
          <w:trHeight w:val="319"/>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378" w:type="pct"/>
            <w:gridSpan w:val="2"/>
            <w:shd w:val="solid" w:color="FFFF99" w:fill="auto"/>
          </w:tcPr>
          <w:p w:rsidR="007F73EC" w:rsidRPr="00BE2B7B" w:rsidRDefault="007F73EC">
            <w:pPr>
              <w:autoSpaceDE w:val="0"/>
              <w:autoSpaceDN w:val="0"/>
              <w:adjustRightInd w:val="0"/>
              <w:spacing w:line="240" w:lineRule="auto"/>
              <w:jc w:val="center"/>
              <w:rPr>
                <w:rFonts w:ascii="Arial Narrow" w:hAnsi="Arial Narrow" w:cs="Bookman Old Style"/>
                <w:b/>
                <w:bCs/>
                <w:color w:val="000000"/>
                <w:sz w:val="14"/>
                <w:szCs w:val="14"/>
              </w:rPr>
            </w:pPr>
            <w:r w:rsidRPr="00BE2B7B">
              <w:rPr>
                <w:rFonts w:ascii="Arial Narrow" w:hAnsi="Arial Narrow" w:cs="Bookman Old Style"/>
                <w:b/>
                <w:bCs/>
                <w:color w:val="000000"/>
                <w:sz w:val="14"/>
                <w:szCs w:val="14"/>
              </w:rPr>
              <w:t>PROMEDIO AÑO</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2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$ 120.659 </w:t>
            </w: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20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7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8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6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$ 1.786,40 </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3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626" w:type="pct"/>
            <w:shd w:val="solid" w:color="FFFF00" w:fill="auto"/>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 xml:space="preserve">$ 122.445 </w:t>
            </w: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2011</w:t>
            </w: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11</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$ 39.120 </w:t>
            </w: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19</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$ 4.752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$ 2.904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2</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$ 69.066 </w:t>
            </w: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15</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$ 10.358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15</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3</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8</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$ 148.628 </w:t>
            </w: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$ 67.353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15</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22/29</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30</w:t>
            </w: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$ 64.998 </w:t>
            </w: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19</w:t>
            </w: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$ 5.275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5</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$ 482.233 </w:t>
            </w: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$ 3.960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24/31</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6</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$ 306.631 </w:t>
            </w: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$ 1.782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$ 15.110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21</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28</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7</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12</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$ 175.985 </w:t>
            </w: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right"/>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right"/>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right"/>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right"/>
              <w:rPr>
                <w:rFonts w:ascii="Arial Narrow" w:hAnsi="Arial Narrow" w:cs="Bookman Old Style"/>
                <w:color w:val="000000"/>
                <w:sz w:val="16"/>
                <w:szCs w:val="16"/>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8</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$ 184.109 </w:t>
            </w: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$ 5.795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23/30</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20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31</w:t>
            </w: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9</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$ 248.746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20</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28</w:t>
            </w:r>
          </w:p>
        </w:tc>
        <w:tc>
          <w:tcPr>
            <w:tcW w:w="379" w:type="pct"/>
            <w:shd w:val="clear" w:color="auto" w:fill="FFFFFF" w:themeFill="background1"/>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$ 5.601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28</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$ 1.122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$ 2.944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$ 6.039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20</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27</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clear" w:color="auto" w:fill="FFFFFF" w:themeFill="background1"/>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10</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4</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11</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$ 115.662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4</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11</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$ 32.966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$ 1.716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12</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$ 7.722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19</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$ 1.901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25</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25</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19</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8</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$ 173.261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$ 70.031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$ 12.879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$ 17.896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w:t>
            </w: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$ 29.358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15</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22/29</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29</w:t>
            </w: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w:t>
            </w: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12</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$ 211.925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$ 62.115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27</w:t>
            </w: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$ 3.168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$ 47.241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20</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20</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21</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7F73EC" w:rsidRPr="007F73EC" w:rsidTr="007F73EC">
        <w:tblPrEx>
          <w:tblCellMar>
            <w:top w:w="0" w:type="dxa"/>
            <w:bottom w:w="0" w:type="dxa"/>
          </w:tblCellMar>
        </w:tblPrEx>
        <w:trPr>
          <w:trHeight w:val="290"/>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378" w:type="pct"/>
            <w:gridSpan w:val="2"/>
            <w:shd w:val="solid" w:color="FFFF99" w:fill="auto"/>
          </w:tcPr>
          <w:p w:rsidR="007F73EC" w:rsidRPr="00BE2B7B" w:rsidRDefault="007F73EC">
            <w:pPr>
              <w:autoSpaceDE w:val="0"/>
              <w:autoSpaceDN w:val="0"/>
              <w:adjustRightInd w:val="0"/>
              <w:spacing w:line="240" w:lineRule="auto"/>
              <w:jc w:val="center"/>
              <w:rPr>
                <w:rFonts w:ascii="Arial Narrow" w:hAnsi="Arial Narrow" w:cs="Bookman Old Style"/>
                <w:b/>
                <w:bCs/>
                <w:color w:val="000000"/>
                <w:sz w:val="14"/>
                <w:szCs w:val="14"/>
              </w:rPr>
            </w:pPr>
            <w:r w:rsidRPr="00BE2B7B">
              <w:rPr>
                <w:rFonts w:ascii="Arial Narrow" w:hAnsi="Arial Narrow" w:cs="Bookman Old Style"/>
                <w:b/>
                <w:bCs/>
                <w:color w:val="000000"/>
                <w:sz w:val="14"/>
                <w:szCs w:val="14"/>
              </w:rPr>
              <w:t>PROMEDIO AÑO</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2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$ 185.030 </w:t>
            </w: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20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7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$ 14.226 </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8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$ 2.888 </w:t>
            </w: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6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3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$ 3.591,08</w:t>
            </w:r>
          </w:p>
        </w:tc>
        <w:tc>
          <w:tcPr>
            <w:tcW w:w="626" w:type="pct"/>
            <w:shd w:val="solid" w:color="FFFF00" w:fill="auto"/>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 xml:space="preserve">$ 205.735,00 </w:t>
            </w: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2012</w:t>
            </w: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$ 171.562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$ 21.252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$ 19.602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$ 2.475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2</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21</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28</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$ 79.716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21</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$ 5.346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29</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$ 4.224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$ 1.386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28</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3</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$ 95.868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$ 48.864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$ 5.082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20</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27</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20</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27</w:t>
            </w: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$ 152.301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$ 95.811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11</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$ 14.458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25</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$ 2.112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5</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29</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$ 204.054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22</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$ 5.445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8</w:t>
            </w: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$ 22.935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w:t>
            </w: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6</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12</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$ 201.699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$ 5.379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$ 55.135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7</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31</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$ 887.209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8</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$ 10.054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8</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$ 1.683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9</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4</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11</w:t>
            </w:r>
          </w:p>
        </w:tc>
        <w:tc>
          <w:tcPr>
            <w:tcW w:w="42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 xml:space="preserve">$ 1.123.739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clear" w:color="auto" w:fill="FFFFFF" w:themeFill="background1"/>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25</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$ 5.284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12</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$ 14.729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clear" w:color="auto" w:fill="FFFFFF" w:themeFill="background1"/>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25</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10</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42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 xml:space="preserve">$ 1.243.218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$ 22.036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9</w:t>
            </w: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$ 35.987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23/30</w:t>
            </w: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$ 793.908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$ 3.650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$ 1.716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27</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12</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11</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$ 870.761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$ 11.962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$ 1.452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$ 1.122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$ 2.373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18</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7F73EC" w:rsidRPr="007F73EC" w:rsidTr="007F73EC">
        <w:tblPrEx>
          <w:tblCellMar>
            <w:top w:w="0" w:type="dxa"/>
            <w:bottom w:w="0" w:type="dxa"/>
          </w:tblCellMar>
        </w:tblPrEx>
        <w:trPr>
          <w:trHeight w:val="348"/>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378" w:type="pct"/>
            <w:gridSpan w:val="2"/>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PROMEDIO AÑO</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2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$ 486.174 </w:t>
            </w: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20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7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$ 16.172 </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8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$ 121 </w:t>
            </w: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6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$ 6.288,17 </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3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$ 11.710,92</w:t>
            </w:r>
          </w:p>
        </w:tc>
        <w:tc>
          <w:tcPr>
            <w:tcW w:w="626" w:type="pct"/>
            <w:shd w:val="solid" w:color="FFFF00" w:fill="auto"/>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 xml:space="preserve">$ 520.466,09 </w:t>
            </w: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2013</w:t>
            </w: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8</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$ 91.198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8</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$ 1.386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2</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12</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$ 3.498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3</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12</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$ 14.652 </w:t>
            </w: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16</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$ 18.797 </w:t>
            </w: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24</w:t>
            </w: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$ 4.749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30</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5</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7</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$ 5.643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21</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$ 3.036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15</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$ 18.818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6</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17</w:t>
            </w: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$ 2.574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13</w:t>
            </w: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$ 23.384 </w:t>
            </w: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6</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19</w:t>
            </w: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$ 6.270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19</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26</w:t>
            </w: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7</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23</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30</w:t>
            </w: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$ 545.414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30</w:t>
            </w: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$ 7.062 </w:t>
            </w: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10</w:t>
            </w: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$ 28.966 </w:t>
            </w: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30</w:t>
            </w:r>
          </w:p>
        </w:tc>
        <w:tc>
          <w:tcPr>
            <w:tcW w:w="196"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196" w:type="pct"/>
          </w:tcPr>
          <w:p w:rsidR="007F73EC" w:rsidRPr="00BE2B7B" w:rsidRDefault="007F73EC">
            <w:pPr>
              <w:autoSpaceDE w:val="0"/>
              <w:autoSpaceDN w:val="0"/>
              <w:adjustRightInd w:val="0"/>
              <w:spacing w:line="240" w:lineRule="auto"/>
              <w:jc w:val="right"/>
              <w:rPr>
                <w:rFonts w:ascii="Arial Narrow" w:hAnsi="Arial Narrow" w:cs="Bookman Old Style"/>
                <w:color w:val="000000"/>
                <w:sz w:val="14"/>
                <w:szCs w:val="14"/>
              </w:rPr>
            </w:pPr>
          </w:p>
        </w:tc>
        <w:tc>
          <w:tcPr>
            <w:tcW w:w="439" w:type="pct"/>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b/>
                <w:color w:val="000000"/>
                <w:sz w:val="16"/>
                <w:szCs w:val="16"/>
              </w:rPr>
            </w:pPr>
            <w:r w:rsidRPr="00BE2B7B">
              <w:rPr>
                <w:rFonts w:ascii="Arial Narrow" w:hAnsi="Arial Narrow" w:cs="Bookman Old Style"/>
                <w:b/>
                <w:color w:val="000000"/>
                <w:sz w:val="16"/>
                <w:szCs w:val="16"/>
              </w:rPr>
              <w:t>8</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5</w:t>
            </w: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$ 1.980 </w:t>
            </w: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r w:rsidRPr="00BE2B7B">
              <w:rPr>
                <w:rFonts w:ascii="Arial Narrow" w:hAnsi="Arial Narrow" w:cs="Bookman Old Style"/>
                <w:color w:val="000000"/>
                <w:sz w:val="14"/>
                <w:szCs w:val="14"/>
              </w:rPr>
              <w:t>14</w:t>
            </w: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r w:rsidRPr="007F73EC">
              <w:rPr>
                <w:rFonts w:ascii="Arial Narrow" w:hAnsi="Arial Narrow" w:cs="Bookman Old Style"/>
                <w:color w:val="000000"/>
                <w:sz w:val="16"/>
                <w:szCs w:val="16"/>
              </w:rPr>
              <w:t xml:space="preserve">$ 2.079 </w:t>
            </w: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BE2B7B" w:rsidRPr="007F73EC" w:rsidTr="007F73EC">
        <w:tblPrEx>
          <w:tblCellMar>
            <w:top w:w="0" w:type="dxa"/>
            <w:bottom w:w="0" w:type="dxa"/>
          </w:tblCellMar>
        </w:tblPrEx>
        <w:trPr>
          <w:trHeight w:val="192"/>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182"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25"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205"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7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38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87"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63"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191"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196" w:type="pct"/>
            <w:shd w:val="solid" w:color="C0C0C0" w:fill="auto"/>
          </w:tcPr>
          <w:p w:rsidR="007F73EC" w:rsidRPr="00BE2B7B" w:rsidRDefault="007F73EC">
            <w:pPr>
              <w:autoSpaceDE w:val="0"/>
              <w:autoSpaceDN w:val="0"/>
              <w:adjustRightInd w:val="0"/>
              <w:spacing w:line="240" w:lineRule="auto"/>
              <w:jc w:val="center"/>
              <w:rPr>
                <w:rFonts w:ascii="Arial Narrow" w:hAnsi="Arial Narrow" w:cs="Bookman Old Style"/>
                <w:color w:val="000000"/>
                <w:sz w:val="14"/>
                <w:szCs w:val="14"/>
              </w:rPr>
            </w:pPr>
          </w:p>
        </w:tc>
        <w:tc>
          <w:tcPr>
            <w:tcW w:w="439" w:type="pct"/>
            <w:shd w:val="solid" w:color="C0C0C0" w:fill="auto"/>
          </w:tcPr>
          <w:p w:rsidR="007F73EC" w:rsidRPr="007F73EC" w:rsidRDefault="007F73EC">
            <w:pPr>
              <w:autoSpaceDE w:val="0"/>
              <w:autoSpaceDN w:val="0"/>
              <w:adjustRightInd w:val="0"/>
              <w:spacing w:line="240" w:lineRule="auto"/>
              <w:jc w:val="center"/>
              <w:rPr>
                <w:rFonts w:ascii="Arial Narrow" w:hAnsi="Arial Narrow" w:cs="Bookman Old Style"/>
                <w:color w:val="000000"/>
                <w:sz w:val="16"/>
                <w:szCs w:val="16"/>
              </w:rPr>
            </w:pPr>
          </w:p>
        </w:tc>
        <w:tc>
          <w:tcPr>
            <w:tcW w:w="626"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r>
      <w:tr w:rsidR="007F73EC" w:rsidRPr="007F73EC" w:rsidTr="007F73EC">
        <w:tblPrEx>
          <w:tblCellMar>
            <w:top w:w="0" w:type="dxa"/>
            <w:bottom w:w="0" w:type="dxa"/>
          </w:tblCellMar>
        </w:tblPrEx>
        <w:trPr>
          <w:trHeight w:val="290"/>
        </w:trPr>
        <w:tc>
          <w:tcPr>
            <w:tcW w:w="168" w:type="pct"/>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p>
        </w:tc>
        <w:tc>
          <w:tcPr>
            <w:tcW w:w="378" w:type="pct"/>
            <w:gridSpan w:val="2"/>
            <w:shd w:val="solid" w:color="FFFF99" w:fill="auto"/>
          </w:tcPr>
          <w:p w:rsidR="007F73EC" w:rsidRPr="00BE2B7B" w:rsidRDefault="007F73EC">
            <w:pPr>
              <w:autoSpaceDE w:val="0"/>
              <w:autoSpaceDN w:val="0"/>
              <w:adjustRightInd w:val="0"/>
              <w:spacing w:line="240" w:lineRule="auto"/>
              <w:jc w:val="center"/>
              <w:rPr>
                <w:rFonts w:ascii="Arial Narrow" w:hAnsi="Arial Narrow" w:cs="Bookman Old Style"/>
                <w:b/>
                <w:bCs/>
                <w:color w:val="000000"/>
                <w:sz w:val="14"/>
                <w:szCs w:val="14"/>
              </w:rPr>
            </w:pPr>
            <w:r w:rsidRPr="00BE2B7B">
              <w:rPr>
                <w:rFonts w:ascii="Arial Narrow" w:hAnsi="Arial Narrow" w:cs="Bookman Old Style"/>
                <w:b/>
                <w:bCs/>
                <w:color w:val="000000"/>
                <w:sz w:val="14"/>
                <w:szCs w:val="14"/>
              </w:rPr>
              <w:t>PROMEDIO AÑO</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2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$ 79.577 </w:t>
            </w: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205"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7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$ 6.512 </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38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$ 6.923 </w:t>
            </w:r>
          </w:p>
        </w:tc>
        <w:tc>
          <w:tcPr>
            <w:tcW w:w="187"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63"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xml:space="preserve">$ 437,25 </w:t>
            </w:r>
          </w:p>
        </w:tc>
        <w:tc>
          <w:tcPr>
            <w:tcW w:w="191"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196"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p>
        </w:tc>
        <w:tc>
          <w:tcPr>
            <w:tcW w:w="439" w:type="pct"/>
            <w:shd w:val="solid" w:color="FFFF99" w:fill="auto"/>
          </w:tcPr>
          <w:p w:rsidR="007F73EC" w:rsidRPr="007F73EC" w:rsidRDefault="007F73EC">
            <w:pPr>
              <w:autoSpaceDE w:val="0"/>
              <w:autoSpaceDN w:val="0"/>
              <w:adjustRightInd w:val="0"/>
              <w:spacing w:line="240" w:lineRule="auto"/>
              <w:jc w:val="center"/>
              <w:rPr>
                <w:rFonts w:ascii="Arial Narrow" w:hAnsi="Arial Narrow" w:cs="Bookman Old Style"/>
                <w:b/>
                <w:bCs/>
                <w:color w:val="000000"/>
                <w:sz w:val="16"/>
                <w:szCs w:val="16"/>
              </w:rPr>
            </w:pPr>
            <w:r w:rsidRPr="007F73EC">
              <w:rPr>
                <w:rFonts w:ascii="Arial Narrow" w:hAnsi="Arial Narrow" w:cs="Bookman Old Style"/>
                <w:b/>
                <w:bCs/>
                <w:color w:val="000000"/>
                <w:sz w:val="16"/>
                <w:szCs w:val="16"/>
              </w:rPr>
              <w:t>$ 3.989,50</w:t>
            </w:r>
          </w:p>
        </w:tc>
        <w:tc>
          <w:tcPr>
            <w:tcW w:w="626" w:type="pct"/>
            <w:shd w:val="solid" w:color="FFFF00" w:fill="auto"/>
          </w:tcPr>
          <w:p w:rsidR="007F73EC" w:rsidRPr="007F73EC" w:rsidRDefault="007F73EC">
            <w:pPr>
              <w:autoSpaceDE w:val="0"/>
              <w:autoSpaceDN w:val="0"/>
              <w:adjustRightInd w:val="0"/>
              <w:spacing w:line="240" w:lineRule="auto"/>
              <w:jc w:val="center"/>
              <w:rPr>
                <w:rFonts w:ascii="Arial Narrow" w:hAnsi="Arial Narrow" w:cs="Calibri"/>
                <w:b/>
                <w:bCs/>
                <w:color w:val="000000"/>
                <w:sz w:val="16"/>
                <w:szCs w:val="16"/>
              </w:rPr>
            </w:pPr>
            <w:r w:rsidRPr="007F73EC">
              <w:rPr>
                <w:rFonts w:ascii="Arial Narrow" w:hAnsi="Arial Narrow" w:cs="Calibri"/>
                <w:b/>
                <w:bCs/>
                <w:color w:val="000000"/>
                <w:sz w:val="16"/>
                <w:szCs w:val="16"/>
              </w:rPr>
              <w:t xml:space="preserve">$ 97.438 </w:t>
            </w:r>
          </w:p>
        </w:tc>
      </w:tr>
    </w:tbl>
    <w:p w:rsidR="00BE2B7B" w:rsidRPr="001378F8" w:rsidRDefault="00BE2B7B" w:rsidP="0027534C">
      <w:pPr>
        <w:pStyle w:val="Prrafodelista"/>
        <w:ind w:left="0"/>
        <w:jc w:val="both"/>
        <w:rPr>
          <w:rFonts w:ascii="Tahoma" w:hAnsi="Tahoma" w:cs="Tahoma"/>
          <w:lang w:val="es-CO"/>
        </w:rPr>
      </w:pPr>
    </w:p>
    <w:sectPr w:rsidR="00BE2B7B" w:rsidRPr="001378F8" w:rsidSect="00BE2B7B">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16" w:rsidRDefault="00AA2316" w:rsidP="00062A58">
      <w:pPr>
        <w:spacing w:line="240" w:lineRule="auto"/>
      </w:pPr>
      <w:r>
        <w:separator/>
      </w:r>
    </w:p>
  </w:endnote>
  <w:endnote w:type="continuationSeparator" w:id="0">
    <w:p w:rsidR="00AA2316" w:rsidRDefault="00AA2316" w:rsidP="0006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44222"/>
      <w:docPartObj>
        <w:docPartGallery w:val="Page Numbers (Bottom of Page)"/>
        <w:docPartUnique/>
      </w:docPartObj>
    </w:sdtPr>
    <w:sdtEndPr/>
    <w:sdtContent>
      <w:p w:rsidR="00062A58" w:rsidRDefault="00062A58">
        <w:pPr>
          <w:pStyle w:val="Piedepgina"/>
          <w:jc w:val="right"/>
        </w:pPr>
        <w:r>
          <w:fldChar w:fldCharType="begin"/>
        </w:r>
        <w:r>
          <w:instrText>PAGE   \* MERGEFORMAT</w:instrText>
        </w:r>
        <w:r>
          <w:fldChar w:fldCharType="separate"/>
        </w:r>
        <w:r w:rsidR="00BE2B7B">
          <w:rPr>
            <w:noProof/>
          </w:rPr>
          <w:t>7</w:t>
        </w:r>
        <w:r>
          <w:fldChar w:fldCharType="end"/>
        </w:r>
      </w:p>
    </w:sdtContent>
  </w:sdt>
  <w:p w:rsidR="00062A58" w:rsidRDefault="00062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16" w:rsidRDefault="00AA2316" w:rsidP="00062A58">
      <w:pPr>
        <w:spacing w:line="240" w:lineRule="auto"/>
      </w:pPr>
      <w:r>
        <w:separator/>
      </w:r>
    </w:p>
  </w:footnote>
  <w:footnote w:type="continuationSeparator" w:id="0">
    <w:p w:rsidR="00AA2316" w:rsidRDefault="00AA2316" w:rsidP="00062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58" w:rsidRPr="00BE2B7B" w:rsidRDefault="00062A58">
    <w:pPr>
      <w:pStyle w:val="Encabezado"/>
      <w:rPr>
        <w:i/>
        <w:sz w:val="12"/>
        <w:szCs w:val="12"/>
        <w:lang w:val="es-CO"/>
      </w:rPr>
    </w:pPr>
    <w:r w:rsidRPr="00BE2B7B">
      <w:rPr>
        <w:i/>
        <w:sz w:val="12"/>
        <w:szCs w:val="12"/>
        <w:lang w:val="es-CO"/>
      </w:rPr>
      <w:t>Demandante: María Leonor Ortega Matallana</w:t>
    </w:r>
  </w:p>
  <w:p w:rsidR="00062A58" w:rsidRPr="00BE2B7B" w:rsidRDefault="00062A58">
    <w:pPr>
      <w:pStyle w:val="Encabezado"/>
      <w:rPr>
        <w:i/>
        <w:sz w:val="12"/>
        <w:szCs w:val="12"/>
        <w:lang w:val="es-CO"/>
      </w:rPr>
    </w:pPr>
    <w:r w:rsidRPr="00BE2B7B">
      <w:rPr>
        <w:i/>
        <w:sz w:val="12"/>
        <w:szCs w:val="12"/>
        <w:lang w:val="es-CO"/>
      </w:rPr>
      <w:t>Demandado: Promotora la Aurora S.A.</w:t>
    </w:r>
  </w:p>
  <w:p w:rsidR="00062A58" w:rsidRPr="00BE2B7B" w:rsidRDefault="00062A58">
    <w:pPr>
      <w:pStyle w:val="Encabezado"/>
      <w:rPr>
        <w:i/>
        <w:sz w:val="12"/>
        <w:szCs w:val="12"/>
        <w:lang w:val="es-CO"/>
      </w:rPr>
    </w:pPr>
    <w:r w:rsidRPr="00BE2B7B">
      <w:rPr>
        <w:i/>
        <w:sz w:val="12"/>
        <w:szCs w:val="12"/>
        <w:lang w:val="es-CO"/>
      </w:rPr>
      <w:t>Rad.: 2013-000246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59CD"/>
    <w:multiLevelType w:val="multilevel"/>
    <w:tmpl w:val="F8E86F7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
    <w:nsid w:val="1CAA5C44"/>
    <w:multiLevelType w:val="hybridMultilevel"/>
    <w:tmpl w:val="AFEA4B12"/>
    <w:lvl w:ilvl="0" w:tplc="FFF031D8">
      <w:start w:val="780"/>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1DB60E95"/>
    <w:multiLevelType w:val="hybridMultilevel"/>
    <w:tmpl w:val="6D1E999C"/>
    <w:lvl w:ilvl="0" w:tplc="B8866170">
      <w:start w:val="780"/>
      <w:numFmt w:val="bullet"/>
      <w:lvlText w:val=""/>
      <w:lvlJc w:val="left"/>
      <w:pPr>
        <w:ind w:left="1065" w:hanging="360"/>
      </w:pPr>
      <w:rPr>
        <w:rFonts w:ascii="Symbol" w:eastAsiaTheme="minorHAnsi" w:hAnsi="Symbol"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9D"/>
    <w:rsid w:val="000120DB"/>
    <w:rsid w:val="00014BDE"/>
    <w:rsid w:val="00062A58"/>
    <w:rsid w:val="00077746"/>
    <w:rsid w:val="000804B1"/>
    <w:rsid w:val="000B2605"/>
    <w:rsid w:val="001378F8"/>
    <w:rsid w:val="001A3FA4"/>
    <w:rsid w:val="0027534C"/>
    <w:rsid w:val="002B58CA"/>
    <w:rsid w:val="002D279D"/>
    <w:rsid w:val="002F5F38"/>
    <w:rsid w:val="003E5F94"/>
    <w:rsid w:val="004447B1"/>
    <w:rsid w:val="00452117"/>
    <w:rsid w:val="004747B7"/>
    <w:rsid w:val="004B2DBE"/>
    <w:rsid w:val="0055229D"/>
    <w:rsid w:val="00567113"/>
    <w:rsid w:val="00576A26"/>
    <w:rsid w:val="005D08F9"/>
    <w:rsid w:val="006E5B41"/>
    <w:rsid w:val="0070166C"/>
    <w:rsid w:val="00703F1F"/>
    <w:rsid w:val="00764218"/>
    <w:rsid w:val="007813CB"/>
    <w:rsid w:val="00781C89"/>
    <w:rsid w:val="00796F78"/>
    <w:rsid w:val="007C0F5B"/>
    <w:rsid w:val="007F73EC"/>
    <w:rsid w:val="00807F7C"/>
    <w:rsid w:val="00873CEB"/>
    <w:rsid w:val="008B5EF7"/>
    <w:rsid w:val="00964B27"/>
    <w:rsid w:val="009B0F96"/>
    <w:rsid w:val="009F183E"/>
    <w:rsid w:val="009F7E61"/>
    <w:rsid w:val="00A23937"/>
    <w:rsid w:val="00A25D79"/>
    <w:rsid w:val="00AA2316"/>
    <w:rsid w:val="00B0554A"/>
    <w:rsid w:val="00B3297B"/>
    <w:rsid w:val="00B76BF0"/>
    <w:rsid w:val="00B97BDA"/>
    <w:rsid w:val="00BE2B7B"/>
    <w:rsid w:val="00BF7958"/>
    <w:rsid w:val="00C110BA"/>
    <w:rsid w:val="00C2202C"/>
    <w:rsid w:val="00C972F5"/>
    <w:rsid w:val="00CE28C1"/>
    <w:rsid w:val="00CE47DF"/>
    <w:rsid w:val="00D026C9"/>
    <w:rsid w:val="00D17615"/>
    <w:rsid w:val="00D33D6C"/>
    <w:rsid w:val="00D65274"/>
    <w:rsid w:val="00D83452"/>
    <w:rsid w:val="00D85C70"/>
    <w:rsid w:val="00DA29DB"/>
    <w:rsid w:val="00DD1E3C"/>
    <w:rsid w:val="00E0698E"/>
    <w:rsid w:val="00E34B85"/>
    <w:rsid w:val="00EA6BA2"/>
    <w:rsid w:val="00F13AE7"/>
    <w:rsid w:val="00F90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8861A-4509-47DC-8E80-3D66205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13"/>
  </w:style>
  <w:style w:type="paragraph" w:styleId="Ttulo3">
    <w:name w:val="heading 3"/>
    <w:basedOn w:val="Normal"/>
    <w:next w:val="Normal"/>
    <w:link w:val="Ttulo3Car"/>
    <w:uiPriority w:val="9"/>
    <w:semiHidden/>
    <w:unhideWhenUsed/>
    <w:qFormat/>
    <w:rsid w:val="00E069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117"/>
    <w:pPr>
      <w:ind w:left="720"/>
      <w:contextualSpacing/>
    </w:pPr>
  </w:style>
  <w:style w:type="table" w:styleId="Tablaconcuadrcula">
    <w:name w:val="Table Grid"/>
    <w:basedOn w:val="Tablanormal"/>
    <w:uiPriority w:val="39"/>
    <w:rsid w:val="003E5F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0698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0698E"/>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0698E"/>
    <w:rPr>
      <w:rFonts w:ascii="Tahoma" w:eastAsia="Times New Roman" w:hAnsi="Tahoma" w:cs="Tahoma"/>
      <w:sz w:val="24"/>
      <w:szCs w:val="24"/>
      <w:lang w:eastAsia="es-ES"/>
    </w:rPr>
  </w:style>
  <w:style w:type="paragraph" w:styleId="Puesto">
    <w:name w:val="Title"/>
    <w:basedOn w:val="Normal"/>
    <w:link w:val="PuestoCar"/>
    <w:qFormat/>
    <w:rsid w:val="00E0698E"/>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0698E"/>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062A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2A58"/>
  </w:style>
  <w:style w:type="paragraph" w:styleId="Piedepgina">
    <w:name w:val="footer"/>
    <w:basedOn w:val="Normal"/>
    <w:link w:val="PiedepginaCar"/>
    <w:uiPriority w:val="99"/>
    <w:unhideWhenUsed/>
    <w:rsid w:val="00062A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2A58"/>
  </w:style>
  <w:style w:type="paragraph" w:styleId="Textodeglobo">
    <w:name w:val="Balloon Text"/>
    <w:basedOn w:val="Normal"/>
    <w:link w:val="TextodegloboCar"/>
    <w:uiPriority w:val="99"/>
    <w:semiHidden/>
    <w:unhideWhenUsed/>
    <w:rsid w:val="00062A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13">
      <w:bodyDiv w:val="1"/>
      <w:marLeft w:val="0"/>
      <w:marRight w:val="0"/>
      <w:marTop w:val="0"/>
      <w:marBottom w:val="0"/>
      <w:divBdr>
        <w:top w:val="none" w:sz="0" w:space="0" w:color="auto"/>
        <w:left w:val="none" w:sz="0" w:space="0" w:color="auto"/>
        <w:bottom w:val="none" w:sz="0" w:space="0" w:color="auto"/>
        <w:right w:val="none" w:sz="0" w:space="0" w:color="auto"/>
      </w:divBdr>
    </w:div>
    <w:div w:id="425268851">
      <w:bodyDiv w:val="1"/>
      <w:marLeft w:val="0"/>
      <w:marRight w:val="0"/>
      <w:marTop w:val="0"/>
      <w:marBottom w:val="0"/>
      <w:divBdr>
        <w:top w:val="none" w:sz="0" w:space="0" w:color="auto"/>
        <w:left w:val="none" w:sz="0" w:space="0" w:color="auto"/>
        <w:bottom w:val="none" w:sz="0" w:space="0" w:color="auto"/>
        <w:right w:val="none" w:sz="0" w:space="0" w:color="auto"/>
      </w:divBdr>
    </w:div>
    <w:div w:id="551354952">
      <w:bodyDiv w:val="1"/>
      <w:marLeft w:val="0"/>
      <w:marRight w:val="0"/>
      <w:marTop w:val="0"/>
      <w:marBottom w:val="0"/>
      <w:divBdr>
        <w:top w:val="none" w:sz="0" w:space="0" w:color="auto"/>
        <w:left w:val="none" w:sz="0" w:space="0" w:color="auto"/>
        <w:bottom w:val="none" w:sz="0" w:space="0" w:color="auto"/>
        <w:right w:val="none" w:sz="0" w:space="0" w:color="auto"/>
      </w:divBdr>
    </w:div>
    <w:div w:id="935020772">
      <w:bodyDiv w:val="1"/>
      <w:marLeft w:val="0"/>
      <w:marRight w:val="0"/>
      <w:marTop w:val="0"/>
      <w:marBottom w:val="0"/>
      <w:divBdr>
        <w:top w:val="none" w:sz="0" w:space="0" w:color="auto"/>
        <w:left w:val="none" w:sz="0" w:space="0" w:color="auto"/>
        <w:bottom w:val="none" w:sz="0" w:space="0" w:color="auto"/>
        <w:right w:val="none" w:sz="0" w:space="0" w:color="auto"/>
      </w:divBdr>
    </w:div>
    <w:div w:id="1321499583">
      <w:bodyDiv w:val="1"/>
      <w:marLeft w:val="0"/>
      <w:marRight w:val="0"/>
      <w:marTop w:val="0"/>
      <w:marBottom w:val="0"/>
      <w:divBdr>
        <w:top w:val="none" w:sz="0" w:space="0" w:color="auto"/>
        <w:left w:val="none" w:sz="0" w:space="0" w:color="auto"/>
        <w:bottom w:val="none" w:sz="0" w:space="0" w:color="auto"/>
        <w:right w:val="none" w:sz="0" w:space="0" w:color="auto"/>
      </w:divBdr>
    </w:div>
    <w:div w:id="16162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13F2-0094-40C1-A1F4-E6489FA6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3164</Words>
  <Characters>17406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Laboral</dc:creator>
  <cp:lastModifiedBy>Sala Laboral</cp:lastModifiedBy>
  <cp:revision>7</cp:revision>
  <cp:lastPrinted>2015-10-28T21:28:00Z</cp:lastPrinted>
  <dcterms:created xsi:type="dcterms:W3CDTF">2015-10-23T17:14:00Z</dcterms:created>
  <dcterms:modified xsi:type="dcterms:W3CDTF">2015-10-28T21:29:00Z</dcterms:modified>
</cp:coreProperties>
</file>