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CB4" w:rsidRPr="002556E2" w:rsidRDefault="00762CB4" w:rsidP="00762CB4">
      <w:pPr>
        <w:tabs>
          <w:tab w:val="left" w:pos="1985"/>
          <w:tab w:val="left" w:pos="2694"/>
        </w:tabs>
        <w:autoSpaceDE w:val="0"/>
        <w:autoSpaceDN w:val="0"/>
        <w:adjustRightInd w:val="0"/>
        <w:jc w:val="both"/>
        <w:rPr>
          <w:rFonts w:ascii="Tahoma" w:hAnsi="Tahoma" w:cs="Tahoma"/>
          <w:sz w:val="18"/>
          <w:szCs w:val="18"/>
        </w:rPr>
      </w:pPr>
      <w:r w:rsidRPr="002556E2">
        <w:rPr>
          <w:rFonts w:ascii="Tahoma" w:hAnsi="Tahoma" w:cs="Tahoma"/>
          <w:b/>
          <w:sz w:val="18"/>
          <w:szCs w:val="18"/>
        </w:rPr>
        <w:t>Providencia</w:t>
      </w:r>
      <w:r w:rsidRPr="002556E2">
        <w:rPr>
          <w:rFonts w:ascii="Tahoma" w:hAnsi="Tahoma" w:cs="Tahoma"/>
          <w:sz w:val="18"/>
          <w:szCs w:val="18"/>
        </w:rPr>
        <w:t xml:space="preserve">: </w:t>
      </w:r>
      <w:r w:rsidRPr="002556E2">
        <w:rPr>
          <w:rFonts w:ascii="Tahoma" w:hAnsi="Tahoma" w:cs="Tahoma"/>
          <w:sz w:val="18"/>
          <w:szCs w:val="18"/>
        </w:rPr>
        <w:tab/>
      </w:r>
      <w:r w:rsidR="002F07AA">
        <w:rPr>
          <w:rFonts w:ascii="Tahoma" w:hAnsi="Tahoma" w:cs="Tahoma"/>
          <w:sz w:val="18"/>
          <w:szCs w:val="18"/>
        </w:rPr>
        <w:t>Auto</w:t>
      </w:r>
      <w:r w:rsidRPr="002556E2">
        <w:rPr>
          <w:rFonts w:ascii="Tahoma" w:hAnsi="Tahoma" w:cs="Tahoma"/>
          <w:sz w:val="18"/>
          <w:szCs w:val="18"/>
        </w:rPr>
        <w:t xml:space="preserve"> del </w:t>
      </w:r>
      <w:r w:rsidR="00A41031">
        <w:rPr>
          <w:rFonts w:ascii="Tahoma" w:hAnsi="Tahoma" w:cs="Tahoma"/>
          <w:sz w:val="18"/>
          <w:szCs w:val="18"/>
        </w:rPr>
        <w:t>8</w:t>
      </w:r>
      <w:r>
        <w:rPr>
          <w:rFonts w:ascii="Tahoma" w:hAnsi="Tahoma" w:cs="Tahoma"/>
          <w:sz w:val="18"/>
          <w:szCs w:val="18"/>
        </w:rPr>
        <w:t xml:space="preserve"> de </w:t>
      </w:r>
      <w:r w:rsidR="00A41031">
        <w:rPr>
          <w:rFonts w:ascii="Tahoma" w:hAnsi="Tahoma" w:cs="Tahoma"/>
          <w:sz w:val="18"/>
          <w:szCs w:val="18"/>
        </w:rPr>
        <w:t>octubre</w:t>
      </w:r>
      <w:r>
        <w:rPr>
          <w:rFonts w:ascii="Tahoma" w:hAnsi="Tahoma" w:cs="Tahoma"/>
          <w:sz w:val="18"/>
          <w:szCs w:val="18"/>
        </w:rPr>
        <w:t xml:space="preserve"> </w:t>
      </w:r>
      <w:r w:rsidRPr="002556E2">
        <w:rPr>
          <w:rFonts w:ascii="Tahoma" w:hAnsi="Tahoma" w:cs="Tahoma"/>
          <w:sz w:val="18"/>
          <w:szCs w:val="18"/>
        </w:rPr>
        <w:t>de 201</w:t>
      </w:r>
      <w:r w:rsidR="004264CA">
        <w:rPr>
          <w:rFonts w:ascii="Tahoma" w:hAnsi="Tahoma" w:cs="Tahoma"/>
          <w:sz w:val="18"/>
          <w:szCs w:val="18"/>
        </w:rPr>
        <w:t>5</w:t>
      </w:r>
    </w:p>
    <w:p w:rsidR="00762CB4" w:rsidRPr="002556E2" w:rsidRDefault="00762CB4" w:rsidP="00762CB4">
      <w:pPr>
        <w:tabs>
          <w:tab w:val="left" w:pos="1985"/>
          <w:tab w:val="left" w:pos="2694"/>
        </w:tabs>
        <w:autoSpaceDE w:val="0"/>
        <w:autoSpaceDN w:val="0"/>
        <w:adjustRightInd w:val="0"/>
        <w:jc w:val="both"/>
        <w:rPr>
          <w:rFonts w:ascii="Tahoma" w:hAnsi="Tahoma" w:cs="Tahoma"/>
          <w:sz w:val="18"/>
          <w:szCs w:val="18"/>
        </w:rPr>
      </w:pPr>
      <w:r w:rsidRPr="002556E2">
        <w:rPr>
          <w:rFonts w:ascii="Tahoma" w:hAnsi="Tahoma" w:cs="Tahoma"/>
          <w:b/>
          <w:sz w:val="18"/>
          <w:szCs w:val="18"/>
        </w:rPr>
        <w:t>Radicación No</w:t>
      </w:r>
      <w:r w:rsidRPr="002556E2">
        <w:rPr>
          <w:rFonts w:ascii="Tahoma" w:hAnsi="Tahoma" w:cs="Tahoma"/>
          <w:sz w:val="18"/>
          <w:szCs w:val="18"/>
        </w:rPr>
        <w:t>.:</w:t>
      </w:r>
      <w:r w:rsidRPr="002556E2">
        <w:rPr>
          <w:rFonts w:ascii="Tahoma" w:hAnsi="Tahoma" w:cs="Tahoma"/>
          <w:sz w:val="18"/>
          <w:szCs w:val="18"/>
        </w:rPr>
        <w:tab/>
        <w:t>66001-31-05-00</w:t>
      </w:r>
      <w:r w:rsidR="00A41031">
        <w:rPr>
          <w:rFonts w:ascii="Tahoma" w:hAnsi="Tahoma" w:cs="Tahoma"/>
          <w:sz w:val="18"/>
          <w:szCs w:val="18"/>
        </w:rPr>
        <w:t>1</w:t>
      </w:r>
      <w:r w:rsidR="009F2616">
        <w:rPr>
          <w:rFonts w:ascii="Tahoma" w:hAnsi="Tahoma" w:cs="Tahoma"/>
          <w:sz w:val="18"/>
          <w:szCs w:val="18"/>
        </w:rPr>
        <w:t>-2015</w:t>
      </w:r>
      <w:r w:rsidRPr="002556E2">
        <w:rPr>
          <w:rFonts w:ascii="Tahoma" w:hAnsi="Tahoma" w:cs="Tahoma"/>
          <w:sz w:val="18"/>
          <w:szCs w:val="18"/>
        </w:rPr>
        <w:t>-00</w:t>
      </w:r>
      <w:r w:rsidR="00A41031">
        <w:rPr>
          <w:rFonts w:ascii="Tahoma" w:hAnsi="Tahoma" w:cs="Tahoma"/>
          <w:sz w:val="18"/>
          <w:szCs w:val="18"/>
        </w:rPr>
        <w:t>473</w:t>
      </w:r>
      <w:r w:rsidR="00833017">
        <w:rPr>
          <w:rFonts w:ascii="Tahoma" w:hAnsi="Tahoma" w:cs="Tahoma"/>
          <w:sz w:val="18"/>
          <w:szCs w:val="18"/>
        </w:rPr>
        <w:t>-01</w:t>
      </w:r>
    </w:p>
    <w:p w:rsidR="00762CB4" w:rsidRPr="002556E2" w:rsidRDefault="00762CB4" w:rsidP="00762CB4">
      <w:pPr>
        <w:tabs>
          <w:tab w:val="left" w:pos="1985"/>
          <w:tab w:val="left" w:pos="2694"/>
        </w:tabs>
        <w:autoSpaceDE w:val="0"/>
        <w:autoSpaceDN w:val="0"/>
        <w:adjustRightInd w:val="0"/>
        <w:jc w:val="both"/>
        <w:rPr>
          <w:rFonts w:ascii="Tahoma" w:hAnsi="Tahoma" w:cs="Tahoma"/>
          <w:sz w:val="18"/>
          <w:szCs w:val="18"/>
        </w:rPr>
      </w:pPr>
      <w:r w:rsidRPr="002556E2">
        <w:rPr>
          <w:rFonts w:ascii="Tahoma" w:hAnsi="Tahoma" w:cs="Tahoma"/>
          <w:b/>
          <w:sz w:val="18"/>
          <w:szCs w:val="18"/>
        </w:rPr>
        <w:t>Proceso</w:t>
      </w:r>
      <w:r w:rsidRPr="002556E2">
        <w:rPr>
          <w:rFonts w:ascii="Tahoma" w:hAnsi="Tahoma" w:cs="Tahoma"/>
          <w:sz w:val="18"/>
          <w:szCs w:val="18"/>
        </w:rPr>
        <w:t>:</w:t>
      </w:r>
      <w:r w:rsidRPr="002556E2">
        <w:rPr>
          <w:rFonts w:ascii="Tahoma" w:hAnsi="Tahoma" w:cs="Tahoma"/>
          <w:sz w:val="18"/>
          <w:szCs w:val="18"/>
        </w:rPr>
        <w:tab/>
        <w:t>Acción de Tutela</w:t>
      </w:r>
    </w:p>
    <w:p w:rsidR="00762CB4" w:rsidRPr="002556E2" w:rsidRDefault="00762CB4" w:rsidP="00762CB4">
      <w:pPr>
        <w:tabs>
          <w:tab w:val="left" w:pos="1985"/>
          <w:tab w:val="left" w:pos="2694"/>
        </w:tabs>
        <w:autoSpaceDE w:val="0"/>
        <w:autoSpaceDN w:val="0"/>
        <w:adjustRightInd w:val="0"/>
        <w:jc w:val="both"/>
        <w:rPr>
          <w:rFonts w:ascii="Tahoma" w:hAnsi="Tahoma" w:cs="Tahoma"/>
          <w:sz w:val="18"/>
          <w:szCs w:val="18"/>
        </w:rPr>
      </w:pPr>
      <w:r w:rsidRPr="002556E2">
        <w:rPr>
          <w:rFonts w:ascii="Tahoma" w:hAnsi="Tahoma" w:cs="Tahoma"/>
          <w:b/>
          <w:sz w:val="18"/>
          <w:szCs w:val="18"/>
        </w:rPr>
        <w:t>Accionante</w:t>
      </w:r>
      <w:r w:rsidRPr="002556E2">
        <w:rPr>
          <w:rFonts w:ascii="Tahoma" w:hAnsi="Tahoma" w:cs="Tahoma"/>
          <w:sz w:val="18"/>
          <w:szCs w:val="18"/>
        </w:rPr>
        <w:t>:</w:t>
      </w:r>
      <w:r w:rsidRPr="002556E2">
        <w:rPr>
          <w:rFonts w:ascii="Tahoma" w:hAnsi="Tahoma" w:cs="Tahoma"/>
          <w:sz w:val="18"/>
          <w:szCs w:val="18"/>
        </w:rPr>
        <w:tab/>
      </w:r>
      <w:r w:rsidR="00A41031">
        <w:rPr>
          <w:rFonts w:ascii="Tahoma" w:hAnsi="Tahoma" w:cs="Tahoma"/>
          <w:sz w:val="18"/>
          <w:szCs w:val="18"/>
        </w:rPr>
        <w:t xml:space="preserve">Gloria Nancy Correa </w:t>
      </w:r>
      <w:proofErr w:type="spellStart"/>
      <w:r w:rsidR="00A41031">
        <w:rPr>
          <w:rFonts w:ascii="Tahoma" w:hAnsi="Tahoma" w:cs="Tahoma"/>
          <w:sz w:val="18"/>
          <w:szCs w:val="18"/>
        </w:rPr>
        <w:t>Aristizabal</w:t>
      </w:r>
      <w:proofErr w:type="spellEnd"/>
      <w:r>
        <w:rPr>
          <w:rFonts w:ascii="Tahoma" w:hAnsi="Tahoma" w:cs="Tahoma"/>
          <w:sz w:val="18"/>
          <w:szCs w:val="18"/>
        </w:rPr>
        <w:t xml:space="preserve"> </w:t>
      </w:r>
    </w:p>
    <w:p w:rsidR="00762CB4" w:rsidRPr="009F2616" w:rsidRDefault="00762CB4" w:rsidP="00762CB4">
      <w:pPr>
        <w:tabs>
          <w:tab w:val="left" w:pos="1985"/>
          <w:tab w:val="left" w:pos="2694"/>
        </w:tabs>
        <w:autoSpaceDE w:val="0"/>
        <w:autoSpaceDN w:val="0"/>
        <w:adjustRightInd w:val="0"/>
        <w:jc w:val="both"/>
        <w:rPr>
          <w:rFonts w:ascii="Tahoma" w:hAnsi="Tahoma" w:cs="Tahoma"/>
          <w:sz w:val="18"/>
          <w:szCs w:val="18"/>
        </w:rPr>
      </w:pPr>
      <w:r w:rsidRPr="002556E2">
        <w:rPr>
          <w:rFonts w:ascii="Tahoma" w:hAnsi="Tahoma" w:cs="Tahoma"/>
          <w:b/>
          <w:sz w:val="18"/>
          <w:szCs w:val="18"/>
        </w:rPr>
        <w:t>Accionado</w:t>
      </w:r>
      <w:r w:rsidR="009F2616">
        <w:rPr>
          <w:rFonts w:ascii="Tahoma" w:hAnsi="Tahoma" w:cs="Tahoma"/>
          <w:sz w:val="18"/>
          <w:szCs w:val="18"/>
        </w:rPr>
        <w:t>:</w:t>
      </w:r>
      <w:r w:rsidR="009F2616">
        <w:rPr>
          <w:rFonts w:ascii="Tahoma" w:hAnsi="Tahoma" w:cs="Tahoma"/>
          <w:sz w:val="18"/>
          <w:szCs w:val="18"/>
        </w:rPr>
        <w:tab/>
      </w:r>
      <w:r w:rsidR="00A41031">
        <w:rPr>
          <w:rFonts w:ascii="Tahoma" w:hAnsi="Tahoma" w:cs="Tahoma"/>
          <w:sz w:val="18"/>
          <w:szCs w:val="18"/>
        </w:rPr>
        <w:t>Colpensiones y otros</w:t>
      </w:r>
      <w:r w:rsidR="002A699D">
        <w:rPr>
          <w:rFonts w:ascii="Tahoma" w:hAnsi="Tahoma" w:cs="Tahoma"/>
          <w:sz w:val="18"/>
          <w:szCs w:val="18"/>
        </w:rPr>
        <w:t xml:space="preserve"> </w:t>
      </w:r>
      <w:r w:rsidRPr="002A699D">
        <w:rPr>
          <w:rFonts w:ascii="Tahoma" w:hAnsi="Tahoma" w:cs="Tahoma"/>
          <w:b/>
          <w:sz w:val="18"/>
          <w:szCs w:val="18"/>
        </w:rPr>
        <w:t xml:space="preserve"> </w:t>
      </w:r>
    </w:p>
    <w:p w:rsidR="00762CB4" w:rsidRPr="002556E2" w:rsidRDefault="00762CB4" w:rsidP="00762CB4">
      <w:pPr>
        <w:tabs>
          <w:tab w:val="left" w:pos="1985"/>
          <w:tab w:val="left" w:pos="2694"/>
        </w:tabs>
        <w:autoSpaceDE w:val="0"/>
        <w:autoSpaceDN w:val="0"/>
        <w:adjustRightInd w:val="0"/>
        <w:jc w:val="both"/>
        <w:rPr>
          <w:rFonts w:ascii="Tahoma" w:hAnsi="Tahoma" w:cs="Tahoma"/>
          <w:sz w:val="18"/>
          <w:szCs w:val="18"/>
        </w:rPr>
      </w:pPr>
      <w:r w:rsidRPr="002556E2">
        <w:rPr>
          <w:rFonts w:ascii="Tahoma" w:hAnsi="Tahoma" w:cs="Tahoma"/>
          <w:b/>
          <w:sz w:val="18"/>
          <w:szCs w:val="18"/>
        </w:rPr>
        <w:t>Magistrada ponente</w:t>
      </w:r>
      <w:r w:rsidRPr="002556E2">
        <w:rPr>
          <w:rFonts w:ascii="Tahoma" w:hAnsi="Tahoma" w:cs="Tahoma"/>
          <w:sz w:val="18"/>
          <w:szCs w:val="18"/>
        </w:rPr>
        <w:t>:</w:t>
      </w:r>
      <w:r w:rsidRPr="002556E2">
        <w:rPr>
          <w:rFonts w:ascii="Tahoma" w:hAnsi="Tahoma" w:cs="Tahoma"/>
          <w:sz w:val="18"/>
          <w:szCs w:val="18"/>
        </w:rPr>
        <w:tab/>
        <w:t>Dra. Ana Lucía Caicedo Calderón</w:t>
      </w:r>
    </w:p>
    <w:p w:rsidR="00762CB4" w:rsidRPr="002556E2" w:rsidRDefault="00762CB4" w:rsidP="00762CB4">
      <w:pPr>
        <w:tabs>
          <w:tab w:val="left" w:pos="1843"/>
          <w:tab w:val="left" w:pos="2694"/>
        </w:tabs>
        <w:autoSpaceDE w:val="0"/>
        <w:autoSpaceDN w:val="0"/>
        <w:adjustRightInd w:val="0"/>
        <w:jc w:val="both"/>
        <w:rPr>
          <w:rFonts w:ascii="Tahoma" w:hAnsi="Tahoma" w:cs="Tahoma"/>
          <w:sz w:val="18"/>
          <w:szCs w:val="18"/>
        </w:rPr>
      </w:pPr>
      <w:r w:rsidRPr="002556E2">
        <w:rPr>
          <w:rFonts w:ascii="Tahoma" w:hAnsi="Tahoma" w:cs="Tahoma"/>
          <w:b/>
          <w:sz w:val="18"/>
          <w:szCs w:val="18"/>
        </w:rPr>
        <w:t>Juzgado de origen</w:t>
      </w:r>
      <w:r w:rsidRPr="002556E2">
        <w:rPr>
          <w:rFonts w:ascii="Tahoma" w:hAnsi="Tahoma" w:cs="Tahoma"/>
          <w:sz w:val="18"/>
          <w:szCs w:val="18"/>
        </w:rPr>
        <w:t>:</w:t>
      </w:r>
      <w:r w:rsidRPr="002556E2">
        <w:rPr>
          <w:rFonts w:ascii="Tahoma" w:hAnsi="Tahoma" w:cs="Tahoma"/>
          <w:sz w:val="18"/>
          <w:szCs w:val="18"/>
        </w:rPr>
        <w:tab/>
        <w:t xml:space="preserve">  Juzgado </w:t>
      </w:r>
      <w:r w:rsidR="00A41031">
        <w:rPr>
          <w:rFonts w:ascii="Tahoma" w:hAnsi="Tahoma" w:cs="Tahoma"/>
          <w:sz w:val="18"/>
          <w:szCs w:val="18"/>
        </w:rPr>
        <w:t>Primero</w:t>
      </w:r>
      <w:r w:rsidRPr="002556E2">
        <w:rPr>
          <w:rFonts w:ascii="Tahoma" w:hAnsi="Tahoma" w:cs="Tahoma"/>
          <w:sz w:val="18"/>
          <w:szCs w:val="18"/>
        </w:rPr>
        <w:t xml:space="preserve"> Laboral del Circuito de Pereira</w:t>
      </w:r>
    </w:p>
    <w:p w:rsidR="00F743BC" w:rsidRPr="000C269B" w:rsidRDefault="00F743BC" w:rsidP="00F743BC">
      <w:pPr>
        <w:pStyle w:val="Puesto"/>
        <w:ind w:left="2805" w:hanging="2805"/>
        <w:jc w:val="both"/>
        <w:rPr>
          <w:rFonts w:ascii="Tahoma" w:hAnsi="Tahoma" w:cs="Tahoma"/>
          <w:sz w:val="18"/>
          <w:szCs w:val="18"/>
        </w:rPr>
      </w:pPr>
      <w:r w:rsidRPr="00B05D1A">
        <w:rPr>
          <w:rFonts w:ascii="Tahoma" w:hAnsi="Tahoma" w:cs="Tahoma"/>
          <w:sz w:val="18"/>
          <w:szCs w:val="18"/>
        </w:rPr>
        <w:t xml:space="preserve">Tema: </w:t>
      </w:r>
      <w:r w:rsidRPr="00B05D1A">
        <w:rPr>
          <w:rFonts w:ascii="Tahoma" w:hAnsi="Tahoma" w:cs="Tahoma"/>
          <w:sz w:val="18"/>
          <w:szCs w:val="18"/>
        </w:rPr>
        <w:tab/>
      </w:r>
    </w:p>
    <w:p w:rsidR="002D7A2B" w:rsidRDefault="00F743BC" w:rsidP="002D7A2B">
      <w:pPr>
        <w:pStyle w:val="Puesto"/>
        <w:tabs>
          <w:tab w:val="left" w:pos="5400"/>
        </w:tabs>
        <w:spacing w:line="240" w:lineRule="auto"/>
        <w:ind w:left="1985" w:hanging="1985"/>
        <w:jc w:val="both"/>
        <w:rPr>
          <w:rFonts w:ascii="Tahoma" w:hAnsi="Tahoma" w:cs="Tahoma"/>
          <w:b w:val="0"/>
          <w:sz w:val="18"/>
          <w:szCs w:val="18"/>
        </w:rPr>
      </w:pPr>
      <w:r w:rsidRPr="00F743BC">
        <w:rPr>
          <w:rFonts w:ascii="Tahoma" w:hAnsi="Tahoma" w:cs="Tahoma"/>
          <w:sz w:val="18"/>
          <w:szCs w:val="18"/>
        </w:rPr>
        <w:tab/>
      </w:r>
      <w:r w:rsidR="002D7A2B" w:rsidRPr="004627B8">
        <w:rPr>
          <w:rFonts w:ascii="Tahoma" w:hAnsi="Tahoma" w:cs="Tahoma"/>
          <w:sz w:val="18"/>
          <w:szCs w:val="18"/>
        </w:rPr>
        <w:t>Debida integración del contradictorio y la vinculación de terceros con interés legítimo por parte del juez de tutela</w:t>
      </w:r>
      <w:r w:rsidR="002D7A2B">
        <w:rPr>
          <w:rFonts w:ascii="Tahoma" w:hAnsi="Tahoma" w:cs="Tahoma"/>
          <w:sz w:val="18"/>
          <w:szCs w:val="18"/>
        </w:rPr>
        <w:t>:</w:t>
      </w:r>
      <w:r w:rsidR="002D7A2B" w:rsidRPr="005F6F95">
        <w:rPr>
          <w:rFonts w:ascii="Tahoma" w:hAnsi="Tahoma" w:cs="Tahoma"/>
          <w:sz w:val="18"/>
          <w:szCs w:val="18"/>
        </w:rPr>
        <w:t xml:space="preserve"> </w:t>
      </w:r>
      <w:r w:rsidR="002D7A2B">
        <w:rPr>
          <w:rFonts w:ascii="Tahoma" w:hAnsi="Tahoma" w:cs="Tahoma"/>
          <w:b w:val="0"/>
          <w:sz w:val="18"/>
          <w:szCs w:val="18"/>
        </w:rPr>
        <w:t xml:space="preserve">Con el fin de </w:t>
      </w:r>
      <w:r w:rsidR="002D7A2B" w:rsidRPr="005F6F95">
        <w:rPr>
          <w:rFonts w:ascii="Tahoma" w:hAnsi="Tahoma" w:cs="Tahoma"/>
          <w:b w:val="0"/>
          <w:sz w:val="18"/>
          <w:szCs w:val="18"/>
        </w:rPr>
        <w:t xml:space="preserve">garantizar el respeto por </w:t>
      </w:r>
      <w:r w:rsidR="002D7A2B">
        <w:rPr>
          <w:rFonts w:ascii="Tahoma" w:hAnsi="Tahoma" w:cs="Tahoma"/>
          <w:b w:val="0"/>
          <w:sz w:val="18"/>
          <w:szCs w:val="18"/>
        </w:rPr>
        <w:t>el debido proceso</w:t>
      </w:r>
      <w:r w:rsidR="002D7A2B" w:rsidRPr="005F6F95">
        <w:rPr>
          <w:rFonts w:ascii="Tahoma" w:hAnsi="Tahoma" w:cs="Tahoma"/>
          <w:b w:val="0"/>
          <w:sz w:val="18"/>
          <w:szCs w:val="18"/>
        </w:rPr>
        <w:t xml:space="preserve"> el juez constitucional está llamado a hacer uso de las facultades oficiosas </w:t>
      </w:r>
      <w:r w:rsidR="002D7A2B">
        <w:rPr>
          <w:rFonts w:ascii="Tahoma" w:hAnsi="Tahoma" w:cs="Tahoma"/>
          <w:b w:val="0"/>
          <w:sz w:val="18"/>
          <w:szCs w:val="18"/>
        </w:rPr>
        <w:t xml:space="preserve">con las que cuenta </w:t>
      </w:r>
      <w:r w:rsidR="002D7A2B" w:rsidRPr="005F6F95">
        <w:rPr>
          <w:rFonts w:ascii="Tahoma" w:hAnsi="Tahoma" w:cs="Tahoma"/>
          <w:b w:val="0"/>
          <w:sz w:val="18"/>
          <w:szCs w:val="18"/>
        </w:rPr>
        <w:t xml:space="preserve">en materia de tutela, siendo una de ellas la vinculación al trámite </w:t>
      </w:r>
      <w:r w:rsidR="002D7A2B">
        <w:rPr>
          <w:rFonts w:ascii="Tahoma" w:hAnsi="Tahoma" w:cs="Tahoma"/>
          <w:b w:val="0"/>
          <w:sz w:val="18"/>
          <w:szCs w:val="18"/>
        </w:rPr>
        <w:t>a</w:t>
      </w:r>
      <w:r w:rsidR="002D7A2B" w:rsidRPr="005F6F95">
        <w:rPr>
          <w:rFonts w:ascii="Tahoma" w:hAnsi="Tahoma" w:cs="Tahoma"/>
          <w:b w:val="0"/>
          <w:sz w:val="18"/>
          <w:szCs w:val="18"/>
        </w:rPr>
        <w:t xml:space="preserve"> los terceros que puedan estar involucradas con la vulneración de los derechos sobre los cuales se busca la protección</w:t>
      </w:r>
      <w:r w:rsidR="002D7A2B">
        <w:rPr>
          <w:rFonts w:ascii="Tahoma" w:hAnsi="Tahoma" w:cs="Tahoma"/>
          <w:b w:val="0"/>
          <w:sz w:val="18"/>
          <w:szCs w:val="18"/>
        </w:rPr>
        <w:t xml:space="preserve">, o </w:t>
      </w:r>
      <w:r w:rsidR="002D7A2B" w:rsidRPr="005F6F95">
        <w:rPr>
          <w:rFonts w:ascii="Tahoma" w:hAnsi="Tahoma" w:cs="Tahoma"/>
          <w:b w:val="0"/>
          <w:sz w:val="18"/>
          <w:szCs w:val="18"/>
        </w:rPr>
        <w:t>que puedan verse afectad</w:t>
      </w:r>
      <w:r w:rsidR="002D7A2B">
        <w:rPr>
          <w:rFonts w:ascii="Tahoma" w:hAnsi="Tahoma" w:cs="Tahoma"/>
          <w:b w:val="0"/>
          <w:sz w:val="18"/>
          <w:szCs w:val="18"/>
        </w:rPr>
        <w:t>o</w:t>
      </w:r>
      <w:r w:rsidR="002D7A2B" w:rsidRPr="005F6F95">
        <w:rPr>
          <w:rFonts w:ascii="Tahoma" w:hAnsi="Tahoma" w:cs="Tahoma"/>
          <w:b w:val="0"/>
          <w:sz w:val="18"/>
          <w:szCs w:val="18"/>
        </w:rPr>
        <w:t xml:space="preserve">s </w:t>
      </w:r>
      <w:r w:rsidR="002D7A2B">
        <w:rPr>
          <w:rFonts w:ascii="Tahoma" w:hAnsi="Tahoma" w:cs="Tahoma"/>
          <w:b w:val="0"/>
          <w:sz w:val="18"/>
          <w:szCs w:val="18"/>
        </w:rPr>
        <w:t xml:space="preserve">con </w:t>
      </w:r>
      <w:r w:rsidR="002D7A2B" w:rsidRPr="005F6F95">
        <w:rPr>
          <w:rFonts w:ascii="Tahoma" w:hAnsi="Tahoma" w:cs="Tahoma"/>
          <w:b w:val="0"/>
          <w:sz w:val="18"/>
          <w:szCs w:val="18"/>
        </w:rPr>
        <w:t xml:space="preserve">una eventual orden de amparo, </w:t>
      </w:r>
      <w:r w:rsidR="002D7A2B">
        <w:rPr>
          <w:rFonts w:ascii="Tahoma" w:hAnsi="Tahoma" w:cs="Tahoma"/>
          <w:b w:val="0"/>
          <w:sz w:val="18"/>
          <w:szCs w:val="18"/>
        </w:rPr>
        <w:t xml:space="preserve">para que </w:t>
      </w:r>
      <w:r w:rsidR="002D7A2B" w:rsidRPr="005F6F95">
        <w:rPr>
          <w:rFonts w:ascii="Tahoma" w:hAnsi="Tahoma" w:cs="Tahoma"/>
          <w:b w:val="0"/>
          <w:sz w:val="18"/>
          <w:szCs w:val="18"/>
        </w:rPr>
        <w:t xml:space="preserve">puedan ejercer garantías procesales de orden constitucional materializadas </w:t>
      </w:r>
      <w:r w:rsidR="002D7A2B">
        <w:rPr>
          <w:rFonts w:ascii="Tahoma" w:hAnsi="Tahoma" w:cs="Tahoma"/>
          <w:b w:val="0"/>
          <w:sz w:val="18"/>
          <w:szCs w:val="18"/>
        </w:rPr>
        <w:t>co</w:t>
      </w:r>
      <w:r w:rsidR="002D7A2B" w:rsidRPr="005F6F95">
        <w:rPr>
          <w:rFonts w:ascii="Tahoma" w:hAnsi="Tahoma" w:cs="Tahoma"/>
          <w:b w:val="0"/>
          <w:sz w:val="18"/>
          <w:szCs w:val="18"/>
        </w:rPr>
        <w:t>n su oportuna intervención.</w:t>
      </w:r>
    </w:p>
    <w:p w:rsidR="00333582" w:rsidRPr="009C285B" w:rsidRDefault="00333582" w:rsidP="002D7A2B">
      <w:pPr>
        <w:tabs>
          <w:tab w:val="left" w:pos="2127"/>
          <w:tab w:val="left" w:pos="2694"/>
        </w:tabs>
        <w:autoSpaceDE w:val="0"/>
        <w:autoSpaceDN w:val="0"/>
        <w:adjustRightInd w:val="0"/>
        <w:ind w:left="1985" w:hanging="2127"/>
        <w:jc w:val="both"/>
        <w:rPr>
          <w:rFonts w:ascii="Tahoma" w:hAnsi="Tahoma" w:cs="Tahoma"/>
          <w:b/>
          <w:bCs/>
        </w:rPr>
      </w:pPr>
    </w:p>
    <w:p w:rsidR="00762CB4" w:rsidRPr="009C285B" w:rsidRDefault="00762CB4" w:rsidP="009C285B">
      <w:pPr>
        <w:keepNext/>
        <w:widowControl w:val="0"/>
        <w:autoSpaceDE w:val="0"/>
        <w:autoSpaceDN w:val="0"/>
        <w:adjustRightInd w:val="0"/>
        <w:spacing w:line="276" w:lineRule="auto"/>
        <w:jc w:val="center"/>
        <w:rPr>
          <w:rFonts w:ascii="Tahoma" w:hAnsi="Tahoma" w:cs="Tahoma"/>
          <w:b/>
          <w:bCs/>
        </w:rPr>
      </w:pPr>
      <w:r w:rsidRPr="009C285B">
        <w:rPr>
          <w:rFonts w:ascii="Tahoma" w:hAnsi="Tahoma" w:cs="Tahoma"/>
          <w:b/>
          <w:bCs/>
        </w:rPr>
        <w:t>TRIBUNAL SUPERIOR DEL DISTRITO JUDICIAL DE PEREIRA</w:t>
      </w:r>
    </w:p>
    <w:p w:rsidR="00762CB4" w:rsidRPr="009C285B" w:rsidRDefault="00762CB4" w:rsidP="009C285B">
      <w:pPr>
        <w:keepNext/>
        <w:widowControl w:val="0"/>
        <w:autoSpaceDE w:val="0"/>
        <w:autoSpaceDN w:val="0"/>
        <w:adjustRightInd w:val="0"/>
        <w:spacing w:line="276" w:lineRule="auto"/>
        <w:jc w:val="center"/>
        <w:rPr>
          <w:rFonts w:ascii="Tahoma" w:hAnsi="Tahoma" w:cs="Tahoma"/>
          <w:b/>
          <w:bCs/>
        </w:rPr>
      </w:pPr>
      <w:r w:rsidRPr="009C285B">
        <w:rPr>
          <w:rFonts w:ascii="Tahoma" w:hAnsi="Tahoma" w:cs="Tahoma"/>
          <w:b/>
          <w:bCs/>
        </w:rPr>
        <w:t xml:space="preserve">SALA </w:t>
      </w:r>
      <w:r w:rsidR="00102E8C">
        <w:rPr>
          <w:rFonts w:ascii="Tahoma" w:hAnsi="Tahoma" w:cs="Tahoma"/>
          <w:b/>
          <w:bCs/>
        </w:rPr>
        <w:t xml:space="preserve">UNITARIA DE DECISIÓN </w:t>
      </w:r>
      <w:r w:rsidRPr="009C285B">
        <w:rPr>
          <w:rFonts w:ascii="Tahoma" w:hAnsi="Tahoma" w:cs="Tahoma"/>
          <w:b/>
          <w:bCs/>
        </w:rPr>
        <w:t>LABORAL</w:t>
      </w:r>
    </w:p>
    <w:p w:rsidR="00762CB4" w:rsidRPr="009C285B" w:rsidRDefault="00762CB4" w:rsidP="009C285B">
      <w:pPr>
        <w:autoSpaceDE w:val="0"/>
        <w:autoSpaceDN w:val="0"/>
        <w:adjustRightInd w:val="0"/>
        <w:spacing w:line="276" w:lineRule="auto"/>
        <w:jc w:val="center"/>
        <w:rPr>
          <w:rFonts w:ascii="Tahoma" w:hAnsi="Tahoma" w:cs="Tahoma"/>
        </w:rPr>
      </w:pPr>
    </w:p>
    <w:p w:rsidR="00762CB4" w:rsidRPr="009C285B" w:rsidRDefault="00762CB4" w:rsidP="009C285B">
      <w:pPr>
        <w:autoSpaceDE w:val="0"/>
        <w:autoSpaceDN w:val="0"/>
        <w:adjustRightInd w:val="0"/>
        <w:spacing w:line="276" w:lineRule="auto"/>
        <w:jc w:val="center"/>
        <w:rPr>
          <w:rFonts w:ascii="Tahoma" w:hAnsi="Tahoma" w:cs="Tahoma"/>
          <w:b/>
          <w:bCs/>
        </w:rPr>
      </w:pPr>
      <w:r w:rsidRPr="009C285B">
        <w:rPr>
          <w:rFonts w:ascii="Tahoma" w:hAnsi="Tahoma" w:cs="Tahoma"/>
        </w:rPr>
        <w:t>Magistrada Ponente:</w:t>
      </w:r>
      <w:r w:rsidRPr="009C285B">
        <w:rPr>
          <w:rFonts w:ascii="Tahoma" w:hAnsi="Tahoma" w:cs="Tahoma"/>
          <w:b/>
          <w:bCs/>
        </w:rPr>
        <w:t xml:space="preserve"> Ana Lucía Caicedo Calderón</w:t>
      </w:r>
    </w:p>
    <w:p w:rsidR="00762CB4" w:rsidRPr="009C285B" w:rsidRDefault="00762CB4" w:rsidP="009C285B">
      <w:pPr>
        <w:spacing w:line="276" w:lineRule="auto"/>
        <w:jc w:val="center"/>
        <w:rPr>
          <w:rFonts w:ascii="Tahoma" w:hAnsi="Tahoma" w:cs="Tahoma"/>
          <w:b/>
        </w:rPr>
      </w:pPr>
    </w:p>
    <w:p w:rsidR="00762CB4" w:rsidRDefault="002D7A2B" w:rsidP="009C285B">
      <w:pPr>
        <w:spacing w:line="276" w:lineRule="auto"/>
        <w:jc w:val="center"/>
        <w:rPr>
          <w:rFonts w:ascii="Tahoma" w:hAnsi="Tahoma" w:cs="Tahoma"/>
          <w:b/>
        </w:rPr>
      </w:pPr>
      <w:r w:rsidRPr="009C285B">
        <w:rPr>
          <w:rFonts w:ascii="Tahoma" w:hAnsi="Tahoma" w:cs="Tahoma"/>
          <w:b/>
        </w:rPr>
        <w:t xml:space="preserve"> </w:t>
      </w:r>
      <w:r w:rsidR="00762CB4" w:rsidRPr="009C285B">
        <w:rPr>
          <w:rFonts w:ascii="Tahoma" w:hAnsi="Tahoma" w:cs="Tahoma"/>
          <w:b/>
        </w:rPr>
        <w:t>(</w:t>
      </w:r>
      <w:r w:rsidR="00A41031" w:rsidRPr="009C285B">
        <w:rPr>
          <w:rFonts w:ascii="Tahoma" w:hAnsi="Tahoma" w:cs="Tahoma"/>
          <w:b/>
        </w:rPr>
        <w:t>Octubre 8</w:t>
      </w:r>
      <w:r w:rsidR="00EC7C31" w:rsidRPr="009C285B">
        <w:rPr>
          <w:rFonts w:ascii="Tahoma" w:hAnsi="Tahoma" w:cs="Tahoma"/>
          <w:b/>
        </w:rPr>
        <w:t xml:space="preserve"> </w:t>
      </w:r>
      <w:r w:rsidR="004264CA" w:rsidRPr="009C285B">
        <w:rPr>
          <w:rFonts w:ascii="Tahoma" w:hAnsi="Tahoma" w:cs="Tahoma"/>
          <w:b/>
        </w:rPr>
        <w:t>de 2015</w:t>
      </w:r>
      <w:r w:rsidR="00762CB4" w:rsidRPr="009C285B">
        <w:rPr>
          <w:rFonts w:ascii="Tahoma" w:hAnsi="Tahoma" w:cs="Tahoma"/>
          <w:b/>
        </w:rPr>
        <w:t>)</w:t>
      </w:r>
    </w:p>
    <w:p w:rsidR="002D7A2B" w:rsidRDefault="002D7A2B" w:rsidP="009C285B">
      <w:pPr>
        <w:spacing w:line="276" w:lineRule="auto"/>
        <w:jc w:val="center"/>
        <w:rPr>
          <w:rFonts w:ascii="Tahoma" w:hAnsi="Tahoma" w:cs="Tahoma"/>
          <w:b/>
        </w:rPr>
      </w:pPr>
    </w:p>
    <w:p w:rsidR="002D7A2B" w:rsidRPr="009C285B" w:rsidRDefault="002D7A2B" w:rsidP="009C285B">
      <w:pPr>
        <w:spacing w:line="276" w:lineRule="auto"/>
        <w:jc w:val="center"/>
        <w:rPr>
          <w:rFonts w:ascii="Tahoma" w:hAnsi="Tahoma" w:cs="Tahoma"/>
          <w:b/>
        </w:rPr>
      </w:pPr>
      <w:r>
        <w:rPr>
          <w:rFonts w:ascii="Tahoma" w:hAnsi="Tahoma" w:cs="Tahoma"/>
          <w:b/>
        </w:rPr>
        <w:t>PUNTO A TRATAR</w:t>
      </w:r>
    </w:p>
    <w:p w:rsidR="00762CB4" w:rsidRPr="009C285B" w:rsidRDefault="00762CB4" w:rsidP="009C285B">
      <w:pPr>
        <w:spacing w:line="276" w:lineRule="auto"/>
        <w:jc w:val="center"/>
        <w:rPr>
          <w:rFonts w:ascii="Tahoma" w:hAnsi="Tahoma" w:cs="Tahoma"/>
          <w:b/>
        </w:rPr>
      </w:pPr>
    </w:p>
    <w:p w:rsidR="00762CB4" w:rsidRDefault="002D7A2B" w:rsidP="002D7A2B">
      <w:pPr>
        <w:spacing w:line="276" w:lineRule="auto"/>
        <w:ind w:right="3" w:firstLine="708"/>
        <w:jc w:val="both"/>
        <w:rPr>
          <w:rFonts w:ascii="Tahoma" w:hAnsi="Tahoma" w:cs="Tahoma"/>
        </w:rPr>
      </w:pPr>
      <w:r w:rsidRPr="002D7A2B">
        <w:rPr>
          <w:rFonts w:ascii="Tahoma" w:hAnsi="Tahoma" w:cs="Tahoma"/>
        </w:rPr>
        <w:t>Mediante la presente providencia se entra a integrar debidamente el contradictorio toda vez que del estudio preliminar de este ca</w:t>
      </w:r>
      <w:r w:rsidR="006C290A">
        <w:rPr>
          <w:rFonts w:ascii="Tahoma" w:hAnsi="Tahoma" w:cs="Tahoma"/>
        </w:rPr>
        <w:t>so, se observa que existe una entidad que no se vinculó</w:t>
      </w:r>
      <w:r w:rsidRPr="002D7A2B">
        <w:rPr>
          <w:rFonts w:ascii="Tahoma" w:hAnsi="Tahoma" w:cs="Tahoma"/>
        </w:rPr>
        <w:t xml:space="preserve"> a la acción. Para ello se tienen en cuenta los siguientes antecedentes:</w:t>
      </w:r>
    </w:p>
    <w:p w:rsidR="002D7A2B" w:rsidRPr="009C285B" w:rsidRDefault="002D7A2B" w:rsidP="002D7A2B">
      <w:pPr>
        <w:spacing w:line="276" w:lineRule="auto"/>
        <w:ind w:right="3" w:firstLine="708"/>
        <w:jc w:val="both"/>
        <w:rPr>
          <w:rFonts w:ascii="Tahoma" w:hAnsi="Tahoma" w:cs="Tahoma"/>
        </w:rPr>
      </w:pPr>
    </w:p>
    <w:p w:rsidR="00762CB4" w:rsidRPr="009C285B" w:rsidRDefault="002D7A2B" w:rsidP="002D7A2B">
      <w:pPr>
        <w:pStyle w:val="Ttulo5"/>
        <w:tabs>
          <w:tab w:val="left" w:pos="900"/>
        </w:tabs>
        <w:spacing w:line="276" w:lineRule="auto"/>
        <w:ind w:left="720"/>
        <w:rPr>
          <w:rFonts w:ascii="Tahoma" w:hAnsi="Tahoma" w:cs="Tahoma"/>
          <w:sz w:val="24"/>
        </w:rPr>
      </w:pPr>
      <w:r w:rsidRPr="009C285B">
        <w:rPr>
          <w:rFonts w:ascii="Tahoma" w:hAnsi="Tahoma" w:cs="Tahoma"/>
          <w:sz w:val="24"/>
        </w:rPr>
        <w:t>LA DEMANDA</w:t>
      </w:r>
      <w:r>
        <w:rPr>
          <w:rFonts w:ascii="Tahoma" w:hAnsi="Tahoma" w:cs="Tahoma"/>
          <w:sz w:val="24"/>
        </w:rPr>
        <w:t xml:space="preserve"> Y SU CONTESTACIÓN</w:t>
      </w:r>
    </w:p>
    <w:p w:rsidR="00762CB4" w:rsidRPr="009C285B" w:rsidRDefault="00762CB4" w:rsidP="009C285B">
      <w:pPr>
        <w:tabs>
          <w:tab w:val="left" w:pos="1080"/>
        </w:tabs>
        <w:spacing w:line="276" w:lineRule="auto"/>
        <w:jc w:val="both"/>
        <w:rPr>
          <w:rFonts w:ascii="Tahoma" w:hAnsi="Tahoma" w:cs="Tahoma"/>
          <w:iCs/>
        </w:rPr>
      </w:pPr>
    </w:p>
    <w:p w:rsidR="009C285B" w:rsidRDefault="00762CB4" w:rsidP="005376B2">
      <w:pPr>
        <w:pStyle w:val="Sinespaciado"/>
        <w:spacing w:line="276" w:lineRule="auto"/>
        <w:jc w:val="both"/>
        <w:rPr>
          <w:rFonts w:ascii="Tahoma" w:hAnsi="Tahoma" w:cs="Tahoma"/>
        </w:rPr>
      </w:pPr>
      <w:r w:rsidRPr="009C285B">
        <w:rPr>
          <w:rFonts w:ascii="Tahoma" w:hAnsi="Tahoma" w:cs="Tahoma"/>
          <w:lang w:val="es-ES_tradnl"/>
        </w:rPr>
        <w:t xml:space="preserve">        </w:t>
      </w:r>
      <w:r w:rsidR="009C285B" w:rsidRPr="009C285B">
        <w:rPr>
          <w:rFonts w:ascii="Tahoma" w:hAnsi="Tahoma" w:cs="Tahoma"/>
        </w:rPr>
        <w:t xml:space="preserve">La actora, a través de su apoderada judicial, manifestó que se encuentra afiliada al Sistema General de Seguridad Social, en Salud a la EPS </w:t>
      </w:r>
      <w:proofErr w:type="spellStart"/>
      <w:r w:rsidR="009C285B" w:rsidRPr="009C285B">
        <w:rPr>
          <w:rFonts w:ascii="Tahoma" w:hAnsi="Tahoma" w:cs="Tahoma"/>
        </w:rPr>
        <w:t>Saludcoop</w:t>
      </w:r>
      <w:proofErr w:type="spellEnd"/>
      <w:r w:rsidR="009C285B" w:rsidRPr="009C285B">
        <w:rPr>
          <w:rFonts w:ascii="Tahoma" w:hAnsi="Tahoma" w:cs="Tahoma"/>
        </w:rPr>
        <w:t xml:space="preserve"> y en Pensiones a Colpensiones, como trabajadora dependiente de la empresa </w:t>
      </w:r>
      <w:proofErr w:type="spellStart"/>
      <w:r w:rsidR="009C285B" w:rsidRPr="009C285B">
        <w:rPr>
          <w:rFonts w:ascii="Tahoma" w:hAnsi="Tahoma" w:cs="Tahoma"/>
        </w:rPr>
        <w:t>Casalimpia</w:t>
      </w:r>
      <w:proofErr w:type="spellEnd"/>
      <w:r w:rsidR="009C285B" w:rsidRPr="009C285B">
        <w:rPr>
          <w:rFonts w:ascii="Tahoma" w:hAnsi="Tahoma" w:cs="Tahoma"/>
        </w:rPr>
        <w:t xml:space="preserve"> S.A. </w:t>
      </w:r>
    </w:p>
    <w:p w:rsidR="002D7A2B" w:rsidRPr="009C285B" w:rsidRDefault="002D7A2B" w:rsidP="00FC1077">
      <w:pPr>
        <w:pStyle w:val="Sinespaciado"/>
      </w:pPr>
    </w:p>
    <w:p w:rsidR="009C285B" w:rsidRPr="009C285B" w:rsidRDefault="009C285B" w:rsidP="009C285B">
      <w:pPr>
        <w:spacing w:line="276" w:lineRule="auto"/>
        <w:ind w:right="-187" w:firstLine="708"/>
        <w:jc w:val="both"/>
        <w:rPr>
          <w:rFonts w:ascii="Tahoma" w:hAnsi="Tahoma" w:cs="Tahoma"/>
        </w:rPr>
      </w:pPr>
      <w:r w:rsidRPr="009C285B">
        <w:rPr>
          <w:rFonts w:ascii="Tahoma" w:hAnsi="Tahoma" w:cs="Tahoma"/>
        </w:rPr>
        <w:t>Afirmó que desde hace un tiempo padece varias patologías de tipo degenerativo e incapacitantes, entre las que se encuentran síndrome de espalda fallida, restricción de movimiento de columna, artropatía inflamatoria y trastorno depresivo recurrente. Por tanto,  el médico laboral de Colpensiones, el 26 de diciembre de 2013, le otorgó una merma de capacidad laboral del 31.75%, la cual fue apelada ante la Junta Regional de Invalidez, entidad que la calificó mediante el dictamen No. 450-2014 del 26 de junio de 2014, con una pérdida de la capacidad laboral de 45.68%, porcentaje confirmado por la Junta Nacional, mediante dictamen No. 24695145 del 19 de marzo de 2015, previa apelación, quedando este último en firme, por no contar con más recursos.</w:t>
      </w:r>
    </w:p>
    <w:p w:rsidR="009C285B" w:rsidRPr="009C285B" w:rsidRDefault="009C285B" w:rsidP="009C285B">
      <w:pPr>
        <w:pStyle w:val="Sinespaciado"/>
        <w:spacing w:line="276" w:lineRule="auto"/>
        <w:rPr>
          <w:rFonts w:ascii="Tahoma" w:hAnsi="Tahoma" w:cs="Tahoma"/>
        </w:rPr>
      </w:pPr>
    </w:p>
    <w:p w:rsidR="009C285B" w:rsidRPr="009C285B" w:rsidRDefault="009C285B" w:rsidP="009C285B">
      <w:pPr>
        <w:spacing w:line="276" w:lineRule="auto"/>
        <w:ind w:right="-187" w:firstLine="708"/>
        <w:jc w:val="both"/>
        <w:rPr>
          <w:rFonts w:ascii="Tahoma" w:hAnsi="Tahoma" w:cs="Tahoma"/>
        </w:rPr>
      </w:pPr>
      <w:r w:rsidRPr="009C285B">
        <w:rPr>
          <w:rFonts w:ascii="Tahoma" w:hAnsi="Tahoma" w:cs="Tahoma"/>
        </w:rPr>
        <w:t xml:space="preserve">Agregó que el 4 de mayo de 2015, el médico laboral de </w:t>
      </w:r>
      <w:proofErr w:type="spellStart"/>
      <w:r w:rsidRPr="009C285B">
        <w:rPr>
          <w:rFonts w:ascii="Tahoma" w:hAnsi="Tahoma" w:cs="Tahoma"/>
        </w:rPr>
        <w:t>Saludcoop</w:t>
      </w:r>
      <w:proofErr w:type="spellEnd"/>
      <w:r w:rsidRPr="009C285B">
        <w:rPr>
          <w:rFonts w:ascii="Tahoma" w:hAnsi="Tahoma" w:cs="Tahoma"/>
        </w:rPr>
        <w:t xml:space="preserve">, decidió reintegrarla a laborar. No obstante, al retomar sus labores, debido a sus quebrantos </w:t>
      </w:r>
      <w:r w:rsidRPr="009C285B">
        <w:rPr>
          <w:rFonts w:ascii="Tahoma" w:hAnsi="Tahoma" w:cs="Tahoma"/>
        </w:rPr>
        <w:lastRenderedPageBreak/>
        <w:t xml:space="preserve">de salud, fue nuevamente incapacitada por su médico tratante de la EPS, por lo que a la fecha de la presentación de la tutela llevaba más de 1.172 días de incapacidad continuas y de origen común, los cuales no han sido cancelados ni por Colpensiones ni por la EPS </w:t>
      </w:r>
      <w:proofErr w:type="spellStart"/>
      <w:r w:rsidRPr="009C285B">
        <w:rPr>
          <w:rFonts w:ascii="Tahoma" w:hAnsi="Tahoma" w:cs="Tahoma"/>
        </w:rPr>
        <w:t>Saludcoop</w:t>
      </w:r>
      <w:proofErr w:type="spellEnd"/>
      <w:r w:rsidRPr="009C285B">
        <w:rPr>
          <w:rFonts w:ascii="Tahoma" w:hAnsi="Tahoma" w:cs="Tahoma"/>
        </w:rPr>
        <w:t>, argumentando la primera que al existir una calificación en firme no puede seguir cancelando incapacidades, y la EPS, por su parte, no las cancela al asegurar que ya superó los 180 días, por lo que ya no es su responsabilidad.</w:t>
      </w:r>
    </w:p>
    <w:p w:rsidR="009C285B" w:rsidRPr="009C285B" w:rsidRDefault="009C285B" w:rsidP="009C285B">
      <w:pPr>
        <w:pStyle w:val="Sinespaciado"/>
        <w:spacing w:line="276" w:lineRule="auto"/>
        <w:rPr>
          <w:rFonts w:ascii="Tahoma" w:hAnsi="Tahoma" w:cs="Tahoma"/>
        </w:rPr>
      </w:pPr>
    </w:p>
    <w:p w:rsidR="00316F64" w:rsidRDefault="002D7A2B" w:rsidP="002D7A2B">
      <w:pPr>
        <w:tabs>
          <w:tab w:val="left" w:pos="180"/>
        </w:tabs>
        <w:suppressAutoHyphens/>
        <w:spacing w:line="276" w:lineRule="auto"/>
        <w:ind w:right="-7"/>
        <w:jc w:val="center"/>
        <w:rPr>
          <w:rFonts w:ascii="Tahoma" w:hAnsi="Tahoma" w:cs="Tahoma"/>
          <w:b/>
          <w:spacing w:val="-2"/>
        </w:rPr>
      </w:pPr>
      <w:r w:rsidRPr="009C285B">
        <w:rPr>
          <w:rFonts w:ascii="Tahoma" w:hAnsi="Tahoma" w:cs="Tahoma"/>
          <w:b/>
          <w:spacing w:val="-2"/>
        </w:rPr>
        <w:t>CONSIDERACIONES</w:t>
      </w:r>
    </w:p>
    <w:p w:rsidR="002D7A2B" w:rsidRPr="009C285B" w:rsidRDefault="002D7A2B" w:rsidP="002D7A2B">
      <w:pPr>
        <w:tabs>
          <w:tab w:val="left" w:pos="180"/>
        </w:tabs>
        <w:suppressAutoHyphens/>
        <w:spacing w:line="276" w:lineRule="auto"/>
        <w:ind w:right="-7"/>
        <w:jc w:val="center"/>
        <w:rPr>
          <w:rFonts w:ascii="Tahoma" w:hAnsi="Tahoma" w:cs="Tahoma"/>
          <w:spacing w:val="-2"/>
        </w:rPr>
      </w:pPr>
    </w:p>
    <w:p w:rsidR="00762CB4" w:rsidRDefault="002D7A2B" w:rsidP="005376B2">
      <w:pPr>
        <w:pStyle w:val="Default"/>
        <w:numPr>
          <w:ilvl w:val="0"/>
          <w:numId w:val="3"/>
        </w:numPr>
        <w:tabs>
          <w:tab w:val="left" w:pos="993"/>
        </w:tabs>
        <w:spacing w:line="276" w:lineRule="auto"/>
        <w:ind w:hanging="11"/>
        <w:jc w:val="both"/>
        <w:rPr>
          <w:rFonts w:ascii="Tahoma" w:hAnsi="Tahoma" w:cs="Tahoma"/>
          <w:b/>
          <w:color w:val="auto"/>
        </w:rPr>
      </w:pPr>
      <w:r>
        <w:rPr>
          <w:rFonts w:ascii="Tahoma" w:hAnsi="Tahoma" w:cs="Tahoma"/>
          <w:b/>
          <w:color w:val="auto"/>
        </w:rPr>
        <w:t>Problema jurídico</w:t>
      </w:r>
    </w:p>
    <w:p w:rsidR="002D7A2B" w:rsidRDefault="002D7A2B" w:rsidP="002D7A2B">
      <w:pPr>
        <w:pStyle w:val="Default"/>
        <w:tabs>
          <w:tab w:val="left" w:pos="1134"/>
        </w:tabs>
        <w:spacing w:line="276" w:lineRule="auto"/>
        <w:ind w:left="720"/>
        <w:jc w:val="both"/>
        <w:rPr>
          <w:rFonts w:ascii="Tahoma" w:hAnsi="Tahoma" w:cs="Tahoma"/>
          <w:b/>
          <w:color w:val="auto"/>
        </w:rPr>
      </w:pPr>
    </w:p>
    <w:p w:rsidR="002D7A2B" w:rsidRDefault="002D7A2B" w:rsidP="005376B2">
      <w:pPr>
        <w:pStyle w:val="Default"/>
        <w:tabs>
          <w:tab w:val="left" w:pos="1134"/>
        </w:tabs>
        <w:spacing w:line="276" w:lineRule="auto"/>
        <w:ind w:firstLine="709"/>
        <w:jc w:val="both"/>
        <w:rPr>
          <w:rFonts w:ascii="Tahoma" w:hAnsi="Tahoma" w:cs="Tahoma"/>
          <w:color w:val="auto"/>
        </w:rPr>
      </w:pPr>
      <w:r w:rsidRPr="002D7A2B">
        <w:rPr>
          <w:rFonts w:ascii="Tahoma" w:hAnsi="Tahoma" w:cs="Tahoma"/>
          <w:color w:val="auto"/>
        </w:rPr>
        <w:t>¿La falta de vinculación de los sujetos que intervinieron directa e indirectamente en los hechos que dieron origen a esta acción de tutela, genera la nulidad en el trámite de tutela?</w:t>
      </w:r>
    </w:p>
    <w:p w:rsidR="002D7A2B" w:rsidRPr="002D7A2B" w:rsidRDefault="002D7A2B" w:rsidP="005376B2">
      <w:pPr>
        <w:pStyle w:val="Default"/>
        <w:tabs>
          <w:tab w:val="left" w:pos="1134"/>
        </w:tabs>
        <w:spacing w:line="276" w:lineRule="auto"/>
        <w:ind w:firstLine="709"/>
        <w:jc w:val="both"/>
        <w:rPr>
          <w:rFonts w:ascii="Tahoma" w:hAnsi="Tahoma" w:cs="Tahoma"/>
          <w:color w:val="auto"/>
        </w:rPr>
      </w:pPr>
    </w:p>
    <w:p w:rsidR="005376B2" w:rsidRPr="005376B2" w:rsidRDefault="005376B2" w:rsidP="005376B2">
      <w:pPr>
        <w:pStyle w:val="Textoindependiente"/>
        <w:numPr>
          <w:ilvl w:val="0"/>
          <w:numId w:val="3"/>
        </w:numPr>
        <w:tabs>
          <w:tab w:val="left" w:pos="993"/>
        </w:tabs>
        <w:overflowPunct w:val="0"/>
        <w:autoSpaceDE w:val="0"/>
        <w:autoSpaceDN w:val="0"/>
        <w:adjustRightInd w:val="0"/>
        <w:spacing w:line="276" w:lineRule="auto"/>
        <w:ind w:hanging="11"/>
        <w:textAlignment w:val="baseline"/>
        <w:rPr>
          <w:rFonts w:ascii="Tahoma" w:hAnsi="Tahoma" w:cs="Tahoma"/>
          <w:b/>
          <w:sz w:val="24"/>
          <w:u w:val="none"/>
        </w:rPr>
      </w:pPr>
      <w:r w:rsidRPr="005376B2">
        <w:rPr>
          <w:rFonts w:ascii="Tahoma" w:hAnsi="Tahoma" w:cs="Tahoma"/>
          <w:b/>
          <w:sz w:val="24"/>
          <w:u w:val="none"/>
        </w:rPr>
        <w:t>La debida integración del contradictorio</w:t>
      </w:r>
    </w:p>
    <w:p w:rsidR="005376B2" w:rsidRPr="005376B2" w:rsidRDefault="005376B2" w:rsidP="005376B2">
      <w:pPr>
        <w:pStyle w:val="Textoindependiente"/>
        <w:spacing w:line="276" w:lineRule="auto"/>
        <w:jc w:val="left"/>
        <w:rPr>
          <w:rFonts w:ascii="Tahoma" w:hAnsi="Tahoma" w:cs="Tahoma"/>
          <w:sz w:val="24"/>
          <w:u w:val="none"/>
        </w:rPr>
      </w:pPr>
    </w:p>
    <w:p w:rsidR="005376B2" w:rsidRPr="005376B2" w:rsidRDefault="005376B2" w:rsidP="005376B2">
      <w:pPr>
        <w:pStyle w:val="Textoindependiente"/>
        <w:spacing w:line="276" w:lineRule="auto"/>
        <w:ind w:firstLine="708"/>
        <w:rPr>
          <w:rFonts w:ascii="Tahoma" w:hAnsi="Tahoma" w:cs="Tahoma"/>
          <w:sz w:val="24"/>
          <w:u w:val="none"/>
        </w:rPr>
      </w:pPr>
      <w:r w:rsidRPr="005376B2">
        <w:rPr>
          <w:rFonts w:ascii="Tahoma" w:hAnsi="Tahoma" w:cs="Tahoma"/>
          <w:bCs/>
          <w:sz w:val="24"/>
          <w:u w:val="none"/>
        </w:rPr>
        <w:t>Ha sido una postura pacífica de esta Sala</w:t>
      </w:r>
      <w:r w:rsidRPr="005376B2">
        <w:rPr>
          <w:rStyle w:val="Refdenotaalpie"/>
          <w:rFonts w:ascii="Tahoma" w:hAnsi="Tahoma" w:cs="Tahoma"/>
          <w:bCs/>
          <w:sz w:val="24"/>
          <w:u w:val="none"/>
        </w:rPr>
        <w:footnoteReference w:id="1"/>
      </w:r>
      <w:r w:rsidRPr="005376B2">
        <w:rPr>
          <w:rFonts w:ascii="Tahoma" w:hAnsi="Tahoma" w:cs="Tahoma"/>
          <w:bCs/>
          <w:sz w:val="24"/>
          <w:u w:val="none"/>
        </w:rPr>
        <w:t xml:space="preserve"> que </w:t>
      </w:r>
      <w:r w:rsidRPr="005376B2">
        <w:rPr>
          <w:rFonts w:ascii="Tahoma" w:hAnsi="Tahoma" w:cs="Tahoma"/>
          <w:sz w:val="24"/>
          <w:u w:val="none"/>
        </w:rPr>
        <w:t xml:space="preserve">la acción de tutela y las actuaciones que ella genera no se encuentran sujetas a fórmulas sacramentales, solemnidades, ni requisitos especiales que terminen por obstaculizar la finalidad con que la misma fue concebida, que no es otra, que el resguardo inmediato de los derechos fundamentales; sin embargo, también ha expresado que tal informalidad no puede implicar el quebrantamiento del debido proceso, en cuyo contenido constitucionalmente protegido se incorporan los derechos de defensa y contradicción.  </w:t>
      </w:r>
    </w:p>
    <w:p w:rsidR="005376B2" w:rsidRPr="005376B2" w:rsidRDefault="005376B2" w:rsidP="005376B2">
      <w:pPr>
        <w:pStyle w:val="Textoindependiente"/>
        <w:spacing w:line="276" w:lineRule="auto"/>
        <w:rPr>
          <w:rFonts w:ascii="Tahoma" w:hAnsi="Tahoma" w:cs="Tahoma"/>
          <w:sz w:val="24"/>
          <w:u w:val="none"/>
        </w:rPr>
      </w:pPr>
    </w:p>
    <w:p w:rsidR="005376B2" w:rsidRPr="005376B2" w:rsidRDefault="005376B2" w:rsidP="005376B2">
      <w:pPr>
        <w:pStyle w:val="Textoindependiente"/>
        <w:spacing w:line="276" w:lineRule="auto"/>
        <w:ind w:firstLine="708"/>
        <w:rPr>
          <w:rFonts w:ascii="Tahoma" w:hAnsi="Tahoma" w:cs="Tahoma"/>
          <w:sz w:val="24"/>
          <w:u w:val="none"/>
        </w:rPr>
      </w:pPr>
      <w:r w:rsidRPr="005376B2">
        <w:rPr>
          <w:rFonts w:ascii="Tahoma" w:hAnsi="Tahoma" w:cs="Tahoma"/>
          <w:sz w:val="24"/>
          <w:u w:val="none"/>
        </w:rPr>
        <w:t>Es así que en procura de garantizar el respeto por dichas prerrogativas, el juez constitucional está llamado a hacer uso de las amplias facultades oficiosas que,  en materia de tutela,  ha sido revestido, siendo una de ellas, la vinculación al trámite de tutela a otras personas naturales o jurídicas involucrada</w:t>
      </w:r>
      <w:r w:rsidR="00DE0BF0">
        <w:rPr>
          <w:rFonts w:ascii="Tahoma" w:hAnsi="Tahoma" w:cs="Tahoma"/>
          <w:sz w:val="24"/>
          <w:u w:val="none"/>
        </w:rPr>
        <w:t>s</w:t>
      </w:r>
      <w:r w:rsidRPr="005376B2">
        <w:rPr>
          <w:rFonts w:ascii="Tahoma" w:hAnsi="Tahoma" w:cs="Tahoma"/>
          <w:sz w:val="24"/>
          <w:u w:val="none"/>
        </w:rPr>
        <w:t xml:space="preserve"> en la supuesta violación que dio lugar a la demanda de tutela y/o con interés en el proceso, pues no en vano, el parágrafo del artículo 29 del Decreto 2591 de 1991, prohíbe las sentencias inhibitorias.</w:t>
      </w:r>
    </w:p>
    <w:p w:rsidR="005376B2" w:rsidRPr="005376B2" w:rsidRDefault="005376B2" w:rsidP="005376B2">
      <w:pPr>
        <w:pStyle w:val="Textoindependiente"/>
        <w:spacing w:line="276" w:lineRule="auto"/>
        <w:rPr>
          <w:rFonts w:ascii="Tahoma" w:hAnsi="Tahoma" w:cs="Tahoma"/>
          <w:sz w:val="24"/>
          <w:u w:val="none"/>
        </w:rPr>
      </w:pPr>
    </w:p>
    <w:p w:rsidR="005376B2" w:rsidRPr="005376B2" w:rsidRDefault="005376B2" w:rsidP="005376B2">
      <w:pPr>
        <w:pStyle w:val="Textoindependiente"/>
        <w:spacing w:line="276" w:lineRule="auto"/>
        <w:ind w:firstLine="708"/>
        <w:rPr>
          <w:rFonts w:ascii="Tahoma" w:hAnsi="Tahoma" w:cs="Tahoma"/>
          <w:sz w:val="24"/>
          <w:u w:val="none"/>
        </w:rPr>
      </w:pPr>
      <w:r w:rsidRPr="005376B2">
        <w:rPr>
          <w:rFonts w:ascii="Tahoma" w:hAnsi="Tahoma" w:cs="Tahoma"/>
          <w:sz w:val="24"/>
          <w:u w:val="none"/>
        </w:rPr>
        <w:t>Lo anterior, no tiene otra finalidad que permitir que las personas naturales o jurídicas que puedan estar involucradas con la vulneración de los derechos sobre los cuales se busca la protección, así como aquéllas que puedan verse afectadas por el cumplimiento de una eventual orden de amparo, o por las decisiones que adopte el juez constitucional, puedan ejercer garantías procesales de orden constitucional materializadas en su oportuna intervención al trámite, con el fin de pronunciarse sobre las pretensiones de la demanda, aportar y solicitar las pruebas que consideren pertinentes, y en fin, hacer uso de los medios de defensa y contradicción que ofrece el ordenamiento jurídico.</w:t>
      </w:r>
    </w:p>
    <w:p w:rsidR="005376B2" w:rsidRPr="005376B2" w:rsidRDefault="005376B2" w:rsidP="005376B2">
      <w:pPr>
        <w:pStyle w:val="Textoindependiente"/>
        <w:spacing w:line="276" w:lineRule="auto"/>
        <w:rPr>
          <w:rFonts w:ascii="Tahoma" w:hAnsi="Tahoma" w:cs="Tahoma"/>
          <w:sz w:val="24"/>
          <w:u w:val="none"/>
        </w:rPr>
      </w:pPr>
    </w:p>
    <w:p w:rsidR="005376B2" w:rsidRPr="005376B2" w:rsidRDefault="005376B2" w:rsidP="005376B2">
      <w:pPr>
        <w:pStyle w:val="Textoindependiente"/>
        <w:spacing w:line="276" w:lineRule="auto"/>
        <w:ind w:firstLine="708"/>
        <w:rPr>
          <w:rFonts w:ascii="Tahoma" w:hAnsi="Tahoma" w:cs="Tahoma"/>
          <w:sz w:val="24"/>
          <w:u w:val="none"/>
        </w:rPr>
      </w:pPr>
      <w:r w:rsidRPr="005376B2">
        <w:rPr>
          <w:rFonts w:ascii="Tahoma" w:hAnsi="Tahoma" w:cs="Tahoma"/>
          <w:sz w:val="24"/>
          <w:u w:val="none"/>
        </w:rPr>
        <w:t>Al efecto dijo la Corte Constitucional en Auto-055 de 1997, ratificado en la providencia 191 de 2011, lo siguiente:</w:t>
      </w:r>
    </w:p>
    <w:p w:rsidR="005376B2" w:rsidRPr="005376B2" w:rsidRDefault="005376B2" w:rsidP="005376B2">
      <w:pPr>
        <w:pStyle w:val="Textoindependiente"/>
        <w:spacing w:line="276" w:lineRule="auto"/>
        <w:jc w:val="left"/>
        <w:rPr>
          <w:rFonts w:ascii="Tahoma" w:hAnsi="Tahoma" w:cs="Tahoma"/>
          <w:sz w:val="24"/>
          <w:u w:val="none"/>
        </w:rPr>
      </w:pPr>
    </w:p>
    <w:p w:rsidR="005376B2" w:rsidRPr="005376B2" w:rsidRDefault="005376B2" w:rsidP="005376B2">
      <w:pPr>
        <w:pStyle w:val="Textoindependiente"/>
        <w:ind w:left="708" w:right="476"/>
        <w:rPr>
          <w:rStyle w:val="Refdenotaalpie"/>
          <w:rFonts w:ascii="Arial Narrow" w:hAnsi="Arial Narrow" w:cs="Tahoma"/>
          <w:i/>
          <w:sz w:val="24"/>
          <w:u w:val="none"/>
        </w:rPr>
      </w:pPr>
      <w:r w:rsidRPr="005376B2">
        <w:rPr>
          <w:rFonts w:ascii="Arial Narrow" w:hAnsi="Arial Narrow" w:cs="Tahoma"/>
          <w:i/>
          <w:sz w:val="24"/>
          <w:u w:val="none"/>
        </w:rPr>
        <w:t>“Y respecto de los terceros, los artículos 13 y 16 del Decreto 2591 de 1991 permiten que el tercero con interés legítimo en el proceso intervenga como coadyuvante del actor o de la persona o autoridad pública contra quien se hubiere dirigido la demanda de tutela y le ordenan al juez que se le notifiquen las providencias que se emitan.  Nótese como la ley no solo permite la intervención del tercero, bien sea para demandar también protección constitucional o para que oponerse a ella, sino que respecto de él extiende la cobertura de los actos de comunicación procesal”.</w:t>
      </w:r>
      <w:r w:rsidRPr="005376B2">
        <w:rPr>
          <w:rStyle w:val="Refdenotaalpie"/>
          <w:rFonts w:ascii="Arial Narrow" w:hAnsi="Arial Narrow" w:cs="Tahoma"/>
          <w:i/>
          <w:sz w:val="24"/>
          <w:u w:val="none"/>
        </w:rPr>
        <w:t xml:space="preserve"> </w:t>
      </w:r>
    </w:p>
    <w:p w:rsidR="005376B2" w:rsidRPr="005376B2" w:rsidRDefault="005376B2" w:rsidP="005376B2">
      <w:pPr>
        <w:pStyle w:val="Textoindependiente"/>
        <w:spacing w:line="276" w:lineRule="auto"/>
        <w:ind w:left="426" w:right="476"/>
        <w:rPr>
          <w:rStyle w:val="Refdenotaalpie"/>
          <w:rFonts w:ascii="Tahoma" w:hAnsi="Tahoma" w:cs="Tahoma"/>
          <w:i/>
          <w:sz w:val="24"/>
          <w:u w:val="none"/>
        </w:rPr>
      </w:pPr>
    </w:p>
    <w:p w:rsidR="005376B2" w:rsidRPr="005376B2" w:rsidRDefault="005376B2" w:rsidP="005376B2">
      <w:pPr>
        <w:pStyle w:val="Textoindependiente"/>
        <w:spacing w:line="276" w:lineRule="auto"/>
        <w:ind w:right="51" w:firstLine="708"/>
        <w:rPr>
          <w:rFonts w:ascii="Tahoma" w:hAnsi="Tahoma" w:cs="Tahoma"/>
          <w:sz w:val="24"/>
          <w:u w:val="none"/>
        </w:rPr>
      </w:pPr>
      <w:r w:rsidRPr="005376B2">
        <w:rPr>
          <w:rFonts w:ascii="Tahoma" w:hAnsi="Tahoma" w:cs="Tahoma"/>
          <w:sz w:val="24"/>
          <w:u w:val="none"/>
        </w:rPr>
        <w:t xml:space="preserve">Así las cosas, resulta evidente que la falta de vinculación o de notificación de las actuaciones procesales efectuadas en el trámite de una tutela a las personas con interés legítimo, en las resultas de la acción de tutela, bien como parte o bien como tercero, genera una nulidad que impide atener de fondo el asunto, pero que puede ser subsanada con la efectiva la integración del contradictorio. </w:t>
      </w:r>
    </w:p>
    <w:p w:rsidR="005376B2" w:rsidRPr="005376B2" w:rsidRDefault="005376B2" w:rsidP="005376B2">
      <w:pPr>
        <w:pStyle w:val="Textoindependiente"/>
        <w:spacing w:line="276" w:lineRule="auto"/>
        <w:ind w:right="51" w:firstLine="708"/>
        <w:rPr>
          <w:rFonts w:ascii="Tahoma" w:hAnsi="Tahoma" w:cs="Tahoma"/>
          <w:sz w:val="24"/>
          <w:u w:val="none"/>
        </w:rPr>
      </w:pPr>
    </w:p>
    <w:p w:rsidR="005376B2" w:rsidRPr="005376B2" w:rsidRDefault="005376B2" w:rsidP="005376B2">
      <w:pPr>
        <w:spacing w:line="276" w:lineRule="auto"/>
        <w:ind w:right="-27" w:firstLine="708"/>
        <w:jc w:val="both"/>
        <w:rPr>
          <w:rFonts w:ascii="Tahoma" w:hAnsi="Tahoma" w:cs="Tahoma"/>
        </w:rPr>
      </w:pPr>
      <w:r w:rsidRPr="005376B2">
        <w:rPr>
          <w:rFonts w:ascii="Tahoma" w:hAnsi="Tahoma" w:cs="Tahoma"/>
          <w:b/>
        </w:rPr>
        <w:t>3. Caso concreto</w:t>
      </w:r>
    </w:p>
    <w:p w:rsidR="005376B2" w:rsidRPr="005376B2" w:rsidRDefault="005376B2" w:rsidP="005376B2">
      <w:pPr>
        <w:spacing w:line="276" w:lineRule="auto"/>
        <w:jc w:val="both"/>
        <w:rPr>
          <w:rFonts w:ascii="Tahoma" w:hAnsi="Tahoma" w:cs="Tahoma"/>
        </w:rPr>
      </w:pPr>
    </w:p>
    <w:p w:rsidR="005376B2" w:rsidRDefault="005376B2" w:rsidP="005376B2">
      <w:pPr>
        <w:spacing w:line="276" w:lineRule="auto"/>
        <w:ind w:firstLine="1080"/>
        <w:jc w:val="both"/>
        <w:rPr>
          <w:rFonts w:ascii="Tahoma" w:hAnsi="Tahoma" w:cs="Tahoma"/>
          <w:lang w:eastAsia="es-CO"/>
        </w:rPr>
      </w:pPr>
      <w:r w:rsidRPr="005376B2">
        <w:rPr>
          <w:rFonts w:ascii="Tahoma" w:hAnsi="Tahoma" w:cs="Tahoma"/>
          <w:lang w:eastAsia="es-CO"/>
        </w:rPr>
        <w:t>Revisado el conte</w:t>
      </w:r>
      <w:r w:rsidR="00DE0BF0">
        <w:rPr>
          <w:rFonts w:ascii="Tahoma" w:hAnsi="Tahoma" w:cs="Tahoma"/>
          <w:lang w:eastAsia="es-CO"/>
        </w:rPr>
        <w:t>nido de la demanda de tutela y las contestaciones,</w:t>
      </w:r>
      <w:r w:rsidRPr="005376B2">
        <w:rPr>
          <w:rFonts w:ascii="Tahoma" w:hAnsi="Tahoma" w:cs="Tahoma"/>
          <w:lang w:eastAsia="es-CO"/>
        </w:rPr>
        <w:t xml:space="preserve"> se evidencia que </w:t>
      </w:r>
      <w:r w:rsidR="006C290A">
        <w:rPr>
          <w:rFonts w:ascii="Tahoma" w:hAnsi="Tahoma" w:cs="Tahoma"/>
          <w:lang w:eastAsia="es-CO"/>
        </w:rPr>
        <w:t>dentro del</w:t>
      </w:r>
      <w:r w:rsidR="00DE0BF0">
        <w:rPr>
          <w:rFonts w:ascii="Tahoma" w:hAnsi="Tahoma" w:cs="Tahoma"/>
          <w:lang w:eastAsia="es-CO"/>
        </w:rPr>
        <w:t xml:space="preserve"> problema jurídico a resolver en la presente acción, </w:t>
      </w:r>
      <w:r w:rsidR="006C290A">
        <w:rPr>
          <w:rFonts w:ascii="Tahoma" w:hAnsi="Tahoma" w:cs="Tahoma"/>
          <w:lang w:eastAsia="es-CO"/>
        </w:rPr>
        <w:t xml:space="preserve">está involucrado el </w:t>
      </w:r>
      <w:r w:rsidR="00DE0BF0">
        <w:rPr>
          <w:rFonts w:ascii="Tahoma" w:hAnsi="Tahoma" w:cs="Tahoma"/>
          <w:lang w:eastAsia="es-CO"/>
        </w:rPr>
        <w:t>dictamen No. 24695145 del 19 de marzo de 2015,</w:t>
      </w:r>
      <w:r w:rsidR="006C290A">
        <w:rPr>
          <w:rFonts w:ascii="Tahoma" w:hAnsi="Tahoma" w:cs="Tahoma"/>
          <w:lang w:eastAsia="es-CO"/>
        </w:rPr>
        <w:t xml:space="preserve"> proferido por la Junta Nacional de Calificación de Invalidez,</w:t>
      </w:r>
      <w:r w:rsidR="00DE0BF0">
        <w:rPr>
          <w:rFonts w:ascii="Tahoma" w:hAnsi="Tahoma" w:cs="Tahoma"/>
          <w:lang w:eastAsia="es-CO"/>
        </w:rPr>
        <w:t xml:space="preserve"> por lo que en una eventual condena que ampare los derechos fundamentales cuya protección</w:t>
      </w:r>
      <w:r w:rsidRPr="005376B2">
        <w:rPr>
          <w:rFonts w:ascii="Tahoma" w:hAnsi="Tahoma" w:cs="Tahoma"/>
          <w:lang w:eastAsia="es-CO"/>
        </w:rPr>
        <w:t xml:space="preserve"> se solicita,</w:t>
      </w:r>
      <w:r w:rsidR="00DE0BF0">
        <w:rPr>
          <w:rFonts w:ascii="Tahoma" w:hAnsi="Tahoma" w:cs="Tahoma"/>
          <w:lang w:eastAsia="es-CO"/>
        </w:rPr>
        <w:t xml:space="preserve"> podría verse involucrada </w:t>
      </w:r>
      <w:r w:rsidR="006C290A">
        <w:rPr>
          <w:rFonts w:ascii="Tahoma" w:hAnsi="Tahoma" w:cs="Tahoma"/>
          <w:lang w:eastAsia="es-CO"/>
        </w:rPr>
        <w:t>dicha entidad</w:t>
      </w:r>
      <w:r w:rsidR="00DE0BF0">
        <w:rPr>
          <w:rFonts w:ascii="Tahoma" w:hAnsi="Tahoma" w:cs="Tahoma"/>
          <w:lang w:eastAsia="es-CO"/>
        </w:rPr>
        <w:t xml:space="preserve">, </w:t>
      </w:r>
      <w:r w:rsidR="006C290A">
        <w:rPr>
          <w:rFonts w:ascii="Tahoma" w:hAnsi="Tahoma" w:cs="Tahoma"/>
          <w:lang w:eastAsia="es-CO"/>
        </w:rPr>
        <w:t>y por tanto</w:t>
      </w:r>
      <w:r w:rsidR="00DE0BF0">
        <w:rPr>
          <w:rFonts w:ascii="Tahoma" w:hAnsi="Tahoma" w:cs="Tahoma"/>
          <w:lang w:eastAsia="es-CO"/>
        </w:rPr>
        <w:t xml:space="preserve"> </w:t>
      </w:r>
      <w:r w:rsidR="006C290A">
        <w:rPr>
          <w:rFonts w:ascii="Tahoma" w:hAnsi="Tahoma" w:cs="Tahoma"/>
          <w:lang w:eastAsia="es-CO"/>
        </w:rPr>
        <w:t>se requiere su intervención dentro de esta acción para que ejerza su derecho de defensa.</w:t>
      </w:r>
    </w:p>
    <w:p w:rsidR="00E43AD5" w:rsidRDefault="00E43AD5" w:rsidP="005376B2">
      <w:pPr>
        <w:spacing w:line="276" w:lineRule="auto"/>
        <w:ind w:firstLine="1080"/>
        <w:jc w:val="both"/>
        <w:rPr>
          <w:rFonts w:ascii="Tahoma" w:hAnsi="Tahoma" w:cs="Tahoma"/>
          <w:lang w:eastAsia="es-CO"/>
        </w:rPr>
      </w:pPr>
    </w:p>
    <w:p w:rsidR="00E43AD5" w:rsidRDefault="00E43AD5" w:rsidP="00E43AD5">
      <w:pPr>
        <w:pStyle w:val="Sinespaciado"/>
        <w:spacing w:line="276" w:lineRule="auto"/>
        <w:ind w:firstLine="709"/>
        <w:jc w:val="both"/>
        <w:rPr>
          <w:rFonts w:ascii="Tahoma" w:hAnsi="Tahoma" w:cs="Tahoma"/>
        </w:rPr>
      </w:pPr>
      <w:r>
        <w:rPr>
          <w:rFonts w:ascii="Tahoma" w:hAnsi="Tahoma" w:cs="Tahoma"/>
          <w:lang w:eastAsia="es-CO"/>
        </w:rPr>
        <w:t xml:space="preserve">Dicho planteamiento encuentra respaldo en la postura de </w:t>
      </w:r>
      <w:r>
        <w:rPr>
          <w:rFonts w:ascii="Tahoma" w:hAnsi="Tahoma" w:cs="Tahoma"/>
        </w:rPr>
        <w:t xml:space="preserve">la Corte Constitucional, por la que en su amplia jurisprudencia ha ordenado la emisión de un nuevo dictamen, aunque no haya transcurrido un año desde la calificación controvertida, en aquellos casos en los cuales hubo una vulneración al debido proceso por parte de la autoridad encargada de emitir el dictamen, por lo que habría lugar a dejar sin efecto la calificación, para ser reemplazada con la ordenada por el alto tribunal. De esta manera, lo consideró en la sentencia T-800 de 2012, Magistrado Ponente Jorge Iván Palacio </w:t>
      </w:r>
      <w:proofErr w:type="spellStart"/>
      <w:r>
        <w:rPr>
          <w:rFonts w:ascii="Tahoma" w:hAnsi="Tahoma" w:cs="Tahoma"/>
        </w:rPr>
        <w:t>Palacio</w:t>
      </w:r>
      <w:proofErr w:type="spellEnd"/>
      <w:r>
        <w:rPr>
          <w:rFonts w:ascii="Tahoma" w:hAnsi="Tahoma" w:cs="Tahoma"/>
        </w:rPr>
        <w:t>, misma que fue acogida por esta Sala, tutelando el derecho fundamental al debido proceso de quien actuaba como actor, al ordenar la emisión de un nuevo dictamen, por haber sido producido el último, omitiendo la motivación que debe contener (Tutela del 23 de junio de 2015, radicado No. 2015-00107, Magistrada Ponente quien en el presente cumple igual encargo).</w:t>
      </w:r>
    </w:p>
    <w:p w:rsidR="00E43AD5" w:rsidRPr="005376B2" w:rsidRDefault="00E43AD5" w:rsidP="005376B2">
      <w:pPr>
        <w:spacing w:line="276" w:lineRule="auto"/>
        <w:ind w:firstLine="1080"/>
        <w:jc w:val="both"/>
        <w:rPr>
          <w:rFonts w:ascii="Tahoma" w:hAnsi="Tahoma" w:cs="Tahoma"/>
          <w:lang w:eastAsia="es-CO"/>
        </w:rPr>
      </w:pPr>
    </w:p>
    <w:p w:rsidR="00E43AD5" w:rsidRDefault="005376B2" w:rsidP="005376B2">
      <w:pPr>
        <w:spacing w:line="276" w:lineRule="auto"/>
        <w:ind w:firstLine="1080"/>
        <w:jc w:val="both"/>
        <w:rPr>
          <w:rFonts w:ascii="Tahoma" w:hAnsi="Tahoma" w:cs="Tahoma"/>
          <w:lang w:eastAsia="es-CO"/>
        </w:rPr>
      </w:pPr>
      <w:r w:rsidRPr="005376B2">
        <w:rPr>
          <w:rFonts w:ascii="Tahoma" w:hAnsi="Tahoma" w:cs="Tahoma"/>
          <w:lang w:eastAsia="es-CO"/>
        </w:rPr>
        <w:t xml:space="preserve">En ese orden de ideas, considera </w:t>
      </w:r>
      <w:r w:rsidR="00345CF4" w:rsidRPr="00345CF4">
        <w:rPr>
          <w:rFonts w:ascii="Tahoma" w:hAnsi="Tahoma" w:cs="Tahoma"/>
          <w:lang w:eastAsia="es-CO"/>
        </w:rPr>
        <w:t xml:space="preserve">la suscrita Magistrada </w:t>
      </w:r>
      <w:r w:rsidRPr="005376B2">
        <w:rPr>
          <w:rFonts w:ascii="Tahoma" w:hAnsi="Tahoma" w:cs="Tahoma"/>
          <w:lang w:eastAsia="es-CO"/>
        </w:rPr>
        <w:t>que se hace necesario v</w:t>
      </w:r>
      <w:r>
        <w:rPr>
          <w:rFonts w:ascii="Tahoma" w:hAnsi="Tahoma" w:cs="Tahoma"/>
          <w:lang w:eastAsia="es-CO"/>
        </w:rPr>
        <w:t xml:space="preserve">incular en calidad de demandada a la Junta Nacional de Calificación de Invalidez, para que exponga </w:t>
      </w:r>
      <w:r w:rsidR="00DE0BF0">
        <w:rPr>
          <w:rFonts w:ascii="Tahoma" w:hAnsi="Tahoma" w:cs="Tahoma"/>
          <w:lang w:eastAsia="es-CO"/>
        </w:rPr>
        <w:t>las razones que la llevaron a calificar a la actora con una pérdida de capac</w:t>
      </w:r>
      <w:r w:rsidR="00E43AD5">
        <w:rPr>
          <w:rFonts w:ascii="Tahoma" w:hAnsi="Tahoma" w:cs="Tahoma"/>
          <w:lang w:eastAsia="es-CO"/>
        </w:rPr>
        <w:t xml:space="preserve">idad laboral </w:t>
      </w:r>
      <w:r w:rsidR="00DE0BF0">
        <w:rPr>
          <w:rFonts w:ascii="Tahoma" w:hAnsi="Tahoma" w:cs="Tahoma"/>
          <w:lang w:eastAsia="es-CO"/>
        </w:rPr>
        <w:t xml:space="preserve">de 45,68% </w:t>
      </w:r>
      <w:r w:rsidR="006C290A">
        <w:rPr>
          <w:rFonts w:ascii="Tahoma" w:hAnsi="Tahoma" w:cs="Tahoma"/>
          <w:lang w:eastAsia="es-CO"/>
        </w:rPr>
        <w:t>el 19 de marzo de 2015.</w:t>
      </w:r>
    </w:p>
    <w:p w:rsidR="00345CF4" w:rsidRPr="006B5AE8" w:rsidRDefault="004157A7" w:rsidP="00345CF4">
      <w:pPr>
        <w:spacing w:line="360" w:lineRule="auto"/>
        <w:ind w:firstLine="1080"/>
        <w:jc w:val="both"/>
        <w:rPr>
          <w:rFonts w:ascii="Tahoma" w:hAnsi="Tahoma" w:cs="Tahoma"/>
          <w:lang w:eastAsia="es-CO"/>
        </w:rPr>
      </w:pPr>
      <w:r w:rsidRPr="005376B2">
        <w:rPr>
          <w:rFonts w:ascii="Tahoma" w:hAnsi="Tahoma" w:cs="Tahoma"/>
          <w:lang w:eastAsia="es-CO"/>
        </w:rPr>
        <w:lastRenderedPageBreak/>
        <w:t xml:space="preserve">Corolario de lo anterior, </w:t>
      </w:r>
      <w:r w:rsidR="00345CF4" w:rsidRPr="006B5AE8">
        <w:rPr>
          <w:rFonts w:ascii="Tahoma" w:hAnsi="Tahoma" w:cs="Tahoma"/>
          <w:b/>
          <w:lang w:eastAsia="es-CO"/>
        </w:rPr>
        <w:t xml:space="preserve">Sala </w:t>
      </w:r>
      <w:r w:rsidR="00345CF4">
        <w:rPr>
          <w:rFonts w:ascii="Tahoma" w:hAnsi="Tahoma" w:cs="Tahoma"/>
          <w:b/>
          <w:lang w:eastAsia="es-CO"/>
        </w:rPr>
        <w:t xml:space="preserve">Unitaria </w:t>
      </w:r>
      <w:r w:rsidR="00345CF4" w:rsidRPr="006B5AE8">
        <w:rPr>
          <w:rFonts w:ascii="Tahoma" w:hAnsi="Tahoma" w:cs="Tahoma"/>
          <w:b/>
          <w:lang w:eastAsia="es-CO"/>
        </w:rPr>
        <w:t>de Decisión Laboral del Tribunal Superior del Distrito Judicial de Pereira</w:t>
      </w:r>
      <w:r w:rsidR="00345CF4">
        <w:rPr>
          <w:rFonts w:ascii="Tahoma" w:hAnsi="Tahoma" w:cs="Tahoma"/>
          <w:lang w:eastAsia="es-CO"/>
        </w:rPr>
        <w:t>,</w:t>
      </w:r>
    </w:p>
    <w:p w:rsidR="004157A7" w:rsidRPr="005376B2" w:rsidRDefault="004157A7" w:rsidP="005376B2">
      <w:pPr>
        <w:spacing w:line="276" w:lineRule="auto"/>
        <w:ind w:firstLine="1080"/>
        <w:jc w:val="both"/>
        <w:rPr>
          <w:rFonts w:ascii="Tahoma" w:hAnsi="Tahoma" w:cs="Tahoma"/>
          <w:lang w:eastAsia="es-CO"/>
        </w:rPr>
      </w:pPr>
    </w:p>
    <w:p w:rsidR="004157A7" w:rsidRPr="005376B2" w:rsidRDefault="004157A7" w:rsidP="009C285B">
      <w:pPr>
        <w:pStyle w:val="Ttulo4"/>
        <w:spacing w:line="276" w:lineRule="auto"/>
        <w:jc w:val="center"/>
        <w:rPr>
          <w:rFonts w:ascii="Tahoma" w:hAnsi="Tahoma" w:cs="Tahoma"/>
          <w:b/>
          <w:i w:val="0"/>
          <w:color w:val="auto"/>
        </w:rPr>
      </w:pPr>
      <w:r w:rsidRPr="005376B2">
        <w:rPr>
          <w:rFonts w:ascii="Tahoma" w:hAnsi="Tahoma" w:cs="Tahoma"/>
          <w:b/>
          <w:i w:val="0"/>
          <w:color w:val="auto"/>
        </w:rPr>
        <w:t>RESUELVE</w:t>
      </w:r>
    </w:p>
    <w:p w:rsidR="004157A7" w:rsidRPr="005376B2" w:rsidRDefault="004157A7" w:rsidP="009C285B">
      <w:pPr>
        <w:pStyle w:val="Sinespaciado"/>
        <w:spacing w:line="276" w:lineRule="auto"/>
        <w:rPr>
          <w:rFonts w:ascii="Tahoma" w:hAnsi="Tahoma" w:cs="Tahoma"/>
        </w:rPr>
      </w:pPr>
    </w:p>
    <w:p w:rsidR="005376B2" w:rsidRPr="005376B2" w:rsidRDefault="005376B2" w:rsidP="005376B2">
      <w:pPr>
        <w:widowControl w:val="0"/>
        <w:spacing w:line="276" w:lineRule="auto"/>
        <w:ind w:firstLine="708"/>
        <w:jc w:val="both"/>
        <w:rPr>
          <w:rFonts w:ascii="Tahoma" w:hAnsi="Tahoma" w:cs="Tahoma"/>
          <w:b/>
        </w:rPr>
      </w:pPr>
      <w:r w:rsidRPr="005376B2">
        <w:rPr>
          <w:rFonts w:ascii="Tahoma" w:hAnsi="Tahoma" w:cs="Tahoma"/>
          <w:b/>
        </w:rPr>
        <w:t>PRIMERO: DECLARAR</w:t>
      </w:r>
      <w:r w:rsidRPr="005376B2">
        <w:rPr>
          <w:rFonts w:ascii="Tahoma" w:hAnsi="Tahoma" w:cs="Tahoma"/>
        </w:rPr>
        <w:t xml:space="preserve"> la nulidad de la actuación a partir del día siguiente a la notificación del auto </w:t>
      </w:r>
      <w:proofErr w:type="spellStart"/>
      <w:r w:rsidRPr="005376B2">
        <w:rPr>
          <w:rFonts w:ascii="Tahoma" w:hAnsi="Tahoma" w:cs="Tahoma"/>
        </w:rPr>
        <w:t>admisorio</w:t>
      </w:r>
      <w:proofErr w:type="spellEnd"/>
      <w:r w:rsidRPr="005376B2">
        <w:rPr>
          <w:rFonts w:ascii="Tahoma" w:hAnsi="Tahoma" w:cs="Tahoma"/>
        </w:rPr>
        <w:t xml:space="preserve"> proferido el día </w:t>
      </w:r>
      <w:r>
        <w:rPr>
          <w:rFonts w:ascii="Tahoma" w:hAnsi="Tahoma" w:cs="Tahoma"/>
        </w:rPr>
        <w:t>tre</w:t>
      </w:r>
      <w:r w:rsidRPr="005376B2">
        <w:rPr>
          <w:rFonts w:ascii="Tahoma" w:hAnsi="Tahoma" w:cs="Tahoma"/>
        </w:rPr>
        <w:t>s (</w:t>
      </w:r>
      <w:r>
        <w:rPr>
          <w:rFonts w:ascii="Tahoma" w:hAnsi="Tahoma" w:cs="Tahoma"/>
        </w:rPr>
        <w:t>3</w:t>
      </w:r>
      <w:r w:rsidRPr="005376B2">
        <w:rPr>
          <w:rFonts w:ascii="Tahoma" w:hAnsi="Tahoma" w:cs="Tahoma"/>
        </w:rPr>
        <w:t xml:space="preserve">) de </w:t>
      </w:r>
      <w:r>
        <w:rPr>
          <w:rFonts w:ascii="Tahoma" w:hAnsi="Tahoma" w:cs="Tahoma"/>
        </w:rPr>
        <w:t>septiembre</w:t>
      </w:r>
      <w:r w:rsidRPr="005376B2">
        <w:rPr>
          <w:rFonts w:ascii="Tahoma" w:hAnsi="Tahoma" w:cs="Tahoma"/>
        </w:rPr>
        <w:t xml:space="preserve"> de 2015 por el Juzgado </w:t>
      </w:r>
      <w:r>
        <w:rPr>
          <w:rFonts w:ascii="Tahoma" w:hAnsi="Tahoma" w:cs="Tahoma"/>
        </w:rPr>
        <w:t>Primer</w:t>
      </w:r>
      <w:r w:rsidRPr="005376B2">
        <w:rPr>
          <w:rFonts w:ascii="Tahoma" w:hAnsi="Tahoma" w:cs="Tahoma"/>
        </w:rPr>
        <w:t>o Laboral de Circuito, dentro de la acción de tutela iniciada por la señor</w:t>
      </w:r>
      <w:r>
        <w:rPr>
          <w:rFonts w:ascii="Tahoma" w:hAnsi="Tahoma" w:cs="Tahoma"/>
        </w:rPr>
        <w:t>a</w:t>
      </w:r>
      <w:r w:rsidRPr="005376B2">
        <w:rPr>
          <w:rFonts w:ascii="Tahoma" w:hAnsi="Tahoma" w:cs="Tahoma"/>
        </w:rPr>
        <w:t xml:space="preserve"> </w:t>
      </w:r>
      <w:r>
        <w:rPr>
          <w:rFonts w:ascii="Tahoma" w:hAnsi="Tahoma" w:cs="Tahoma"/>
          <w:b/>
        </w:rPr>
        <w:t xml:space="preserve">Gloria Nancy Correa </w:t>
      </w:r>
      <w:proofErr w:type="spellStart"/>
      <w:r>
        <w:rPr>
          <w:rFonts w:ascii="Tahoma" w:hAnsi="Tahoma" w:cs="Tahoma"/>
          <w:b/>
        </w:rPr>
        <w:t>Aristizabal</w:t>
      </w:r>
      <w:proofErr w:type="spellEnd"/>
      <w:r>
        <w:rPr>
          <w:rFonts w:ascii="Tahoma" w:hAnsi="Tahoma" w:cs="Tahoma"/>
          <w:b/>
        </w:rPr>
        <w:t xml:space="preserve"> </w:t>
      </w:r>
      <w:r w:rsidRPr="005376B2">
        <w:rPr>
          <w:rFonts w:ascii="Tahoma" w:hAnsi="Tahoma" w:cs="Tahoma"/>
        </w:rPr>
        <w:t xml:space="preserve">contra </w:t>
      </w:r>
      <w:r w:rsidRPr="005376B2">
        <w:rPr>
          <w:rFonts w:ascii="Tahoma" w:hAnsi="Tahoma" w:cs="Tahoma"/>
          <w:b/>
        </w:rPr>
        <w:t xml:space="preserve">Colpensiones </w:t>
      </w:r>
      <w:r>
        <w:rPr>
          <w:rFonts w:ascii="Tahoma" w:hAnsi="Tahoma" w:cs="Tahoma"/>
        </w:rPr>
        <w:t xml:space="preserve">y </w:t>
      </w:r>
      <w:proofErr w:type="spellStart"/>
      <w:r w:rsidRPr="005376B2">
        <w:rPr>
          <w:rFonts w:ascii="Tahoma" w:hAnsi="Tahoma" w:cs="Tahoma"/>
          <w:b/>
        </w:rPr>
        <w:t>Asalud</w:t>
      </w:r>
      <w:proofErr w:type="spellEnd"/>
      <w:r w:rsidRPr="005376B2">
        <w:rPr>
          <w:rFonts w:ascii="Tahoma" w:hAnsi="Tahoma" w:cs="Tahoma"/>
          <w:b/>
        </w:rPr>
        <w:t xml:space="preserve"> Ltda.</w:t>
      </w:r>
    </w:p>
    <w:p w:rsidR="005376B2" w:rsidRPr="005376B2" w:rsidRDefault="005376B2" w:rsidP="005376B2">
      <w:pPr>
        <w:widowControl w:val="0"/>
        <w:spacing w:line="276" w:lineRule="auto"/>
        <w:jc w:val="both"/>
        <w:rPr>
          <w:rFonts w:ascii="Tahoma" w:hAnsi="Tahoma" w:cs="Tahoma"/>
        </w:rPr>
      </w:pPr>
    </w:p>
    <w:p w:rsidR="005376B2" w:rsidRPr="005376B2" w:rsidRDefault="005376B2" w:rsidP="005376B2">
      <w:pPr>
        <w:widowControl w:val="0"/>
        <w:spacing w:line="276" w:lineRule="auto"/>
        <w:ind w:firstLine="708"/>
        <w:jc w:val="both"/>
        <w:rPr>
          <w:rFonts w:ascii="Tahoma" w:hAnsi="Tahoma" w:cs="Tahoma"/>
        </w:rPr>
      </w:pPr>
      <w:r w:rsidRPr="005376B2">
        <w:rPr>
          <w:rFonts w:ascii="Tahoma" w:hAnsi="Tahoma" w:cs="Tahoma"/>
          <w:b/>
        </w:rPr>
        <w:t xml:space="preserve">SEGUNDO: </w:t>
      </w:r>
      <w:r w:rsidRPr="005376B2">
        <w:rPr>
          <w:rFonts w:ascii="Tahoma" w:hAnsi="Tahoma" w:cs="Tahoma"/>
          <w:b/>
          <w:bCs/>
        </w:rPr>
        <w:t xml:space="preserve">REMITIR </w:t>
      </w:r>
      <w:r w:rsidRPr="005376B2">
        <w:rPr>
          <w:rFonts w:ascii="Tahoma" w:hAnsi="Tahoma" w:cs="Tahoma"/>
        </w:rPr>
        <w:t>el expediente al referido despacho</w:t>
      </w:r>
      <w:r w:rsidRPr="005376B2">
        <w:rPr>
          <w:rFonts w:ascii="Tahoma" w:hAnsi="Tahoma" w:cs="Tahoma"/>
          <w:b/>
          <w:bCs/>
        </w:rPr>
        <w:t xml:space="preserve"> </w:t>
      </w:r>
      <w:r w:rsidRPr="005376B2">
        <w:rPr>
          <w:rFonts w:ascii="Tahoma" w:hAnsi="Tahoma" w:cs="Tahoma"/>
          <w:bCs/>
        </w:rPr>
        <w:t xml:space="preserve">con el </w:t>
      </w:r>
      <w:r w:rsidRPr="005376B2">
        <w:rPr>
          <w:rFonts w:ascii="Tahoma" w:hAnsi="Tahoma" w:cs="Tahoma"/>
        </w:rPr>
        <w:t>fin de que subsane la falencia que dio lugar a la declaratoria de nulidad, vinculando a la presente acción de tutela a</w:t>
      </w:r>
      <w:r>
        <w:rPr>
          <w:rFonts w:ascii="Tahoma" w:hAnsi="Tahoma" w:cs="Tahoma"/>
        </w:rPr>
        <w:t xml:space="preserve"> la Junta Nacional de Calificación de Invalidez</w:t>
      </w:r>
      <w:r w:rsidRPr="005376B2">
        <w:rPr>
          <w:rFonts w:ascii="Tahoma" w:hAnsi="Tahoma" w:cs="Tahoma"/>
        </w:rPr>
        <w:t>, dejando a salvo la no</w:t>
      </w:r>
      <w:r>
        <w:rPr>
          <w:rFonts w:ascii="Tahoma" w:hAnsi="Tahoma" w:cs="Tahoma"/>
        </w:rPr>
        <w:t xml:space="preserve">tificación del auto </w:t>
      </w:r>
      <w:proofErr w:type="spellStart"/>
      <w:r>
        <w:rPr>
          <w:rFonts w:ascii="Tahoma" w:hAnsi="Tahoma" w:cs="Tahoma"/>
        </w:rPr>
        <w:t>admisorio</w:t>
      </w:r>
      <w:proofErr w:type="spellEnd"/>
      <w:r>
        <w:rPr>
          <w:rFonts w:ascii="Tahoma" w:hAnsi="Tahoma" w:cs="Tahoma"/>
        </w:rPr>
        <w:t xml:space="preserve"> a Colpensiones y </w:t>
      </w:r>
      <w:proofErr w:type="spellStart"/>
      <w:r>
        <w:rPr>
          <w:rFonts w:ascii="Tahoma" w:hAnsi="Tahoma" w:cs="Tahoma"/>
        </w:rPr>
        <w:t>Asalud</w:t>
      </w:r>
      <w:proofErr w:type="spellEnd"/>
      <w:r>
        <w:rPr>
          <w:rFonts w:ascii="Tahoma" w:hAnsi="Tahoma" w:cs="Tahoma"/>
        </w:rPr>
        <w:t xml:space="preserve"> </w:t>
      </w:r>
      <w:proofErr w:type="spellStart"/>
      <w:r>
        <w:rPr>
          <w:rFonts w:ascii="Tahoma" w:hAnsi="Tahoma" w:cs="Tahoma"/>
        </w:rPr>
        <w:t>Latda</w:t>
      </w:r>
      <w:proofErr w:type="spellEnd"/>
      <w:r>
        <w:rPr>
          <w:rFonts w:ascii="Tahoma" w:hAnsi="Tahoma" w:cs="Tahoma"/>
        </w:rPr>
        <w:t xml:space="preserve">, así como la vinculación de la EPS </w:t>
      </w:r>
      <w:proofErr w:type="spellStart"/>
      <w:r>
        <w:rPr>
          <w:rFonts w:ascii="Tahoma" w:hAnsi="Tahoma" w:cs="Tahoma"/>
        </w:rPr>
        <w:t>Saludcoop</w:t>
      </w:r>
      <w:proofErr w:type="spellEnd"/>
      <w:r>
        <w:rPr>
          <w:rFonts w:ascii="Tahoma" w:hAnsi="Tahoma" w:cs="Tahoma"/>
        </w:rPr>
        <w:t xml:space="preserve"> y la empresa </w:t>
      </w:r>
      <w:proofErr w:type="spellStart"/>
      <w:r>
        <w:rPr>
          <w:rFonts w:ascii="Tahoma" w:hAnsi="Tahoma" w:cs="Tahoma"/>
        </w:rPr>
        <w:t>Casalimpia</w:t>
      </w:r>
      <w:proofErr w:type="spellEnd"/>
      <w:r>
        <w:rPr>
          <w:rFonts w:ascii="Tahoma" w:hAnsi="Tahoma" w:cs="Tahoma"/>
        </w:rPr>
        <w:t xml:space="preserve"> S.A, con sus correspondientes contestaciones</w:t>
      </w:r>
      <w:r w:rsidRPr="005376B2">
        <w:rPr>
          <w:rFonts w:ascii="Tahoma" w:hAnsi="Tahoma" w:cs="Tahoma"/>
        </w:rPr>
        <w:t>.</w:t>
      </w:r>
    </w:p>
    <w:p w:rsidR="005376B2" w:rsidRPr="005376B2" w:rsidRDefault="005376B2" w:rsidP="005376B2">
      <w:pPr>
        <w:spacing w:line="276" w:lineRule="auto"/>
        <w:jc w:val="both"/>
        <w:rPr>
          <w:rFonts w:ascii="Tahoma" w:hAnsi="Tahoma" w:cs="Tahoma"/>
          <w:b/>
        </w:rPr>
      </w:pPr>
    </w:p>
    <w:p w:rsidR="005376B2" w:rsidRPr="005376B2" w:rsidRDefault="005376B2" w:rsidP="005376B2">
      <w:pPr>
        <w:spacing w:line="276" w:lineRule="auto"/>
        <w:ind w:firstLine="708"/>
        <w:jc w:val="both"/>
        <w:rPr>
          <w:rFonts w:ascii="Tahoma" w:hAnsi="Tahoma" w:cs="Tahoma"/>
        </w:rPr>
      </w:pPr>
      <w:r w:rsidRPr="005376B2">
        <w:rPr>
          <w:rFonts w:ascii="Tahoma" w:hAnsi="Tahoma" w:cs="Tahoma"/>
          <w:b/>
        </w:rPr>
        <w:t xml:space="preserve">TERCERO: NOTIFÍQUESE </w:t>
      </w:r>
      <w:r w:rsidRPr="005376B2">
        <w:rPr>
          <w:rFonts w:ascii="Tahoma" w:hAnsi="Tahoma" w:cs="Tahoma"/>
          <w:bCs/>
        </w:rPr>
        <w:t>esta decisión a las parte</w:t>
      </w:r>
      <w:r>
        <w:rPr>
          <w:rFonts w:ascii="Tahoma" w:hAnsi="Tahoma" w:cs="Tahoma"/>
          <w:bCs/>
        </w:rPr>
        <w:t>s</w:t>
      </w:r>
      <w:r w:rsidRPr="005376B2">
        <w:rPr>
          <w:rFonts w:ascii="Tahoma" w:hAnsi="Tahoma" w:cs="Tahoma"/>
          <w:bCs/>
        </w:rPr>
        <w:t xml:space="preserve"> por el medio más expedito.</w:t>
      </w:r>
    </w:p>
    <w:p w:rsidR="005376B2" w:rsidRPr="005376B2" w:rsidRDefault="005376B2" w:rsidP="005376B2">
      <w:pPr>
        <w:widowControl w:val="0"/>
        <w:spacing w:line="276" w:lineRule="auto"/>
        <w:rPr>
          <w:rFonts w:ascii="Tahoma" w:hAnsi="Tahoma" w:cs="Tahoma"/>
          <w:color w:val="CCFFFF"/>
        </w:rPr>
      </w:pPr>
    </w:p>
    <w:p w:rsidR="005376B2" w:rsidRPr="005376B2" w:rsidRDefault="005376B2" w:rsidP="005376B2">
      <w:pPr>
        <w:spacing w:line="276" w:lineRule="auto"/>
        <w:ind w:firstLine="708"/>
        <w:jc w:val="both"/>
        <w:rPr>
          <w:rFonts w:ascii="Tahoma" w:hAnsi="Tahoma" w:cs="Tahoma"/>
          <w:spacing w:val="-2"/>
        </w:rPr>
      </w:pPr>
      <w:r w:rsidRPr="005376B2">
        <w:rPr>
          <w:rFonts w:ascii="Tahoma" w:hAnsi="Tahoma" w:cs="Tahoma"/>
          <w:b/>
          <w:spacing w:val="-2"/>
        </w:rPr>
        <w:t>CÓPIESE, NOTIFÍQUESE Y CÚMPLASE.</w:t>
      </w:r>
      <w:r w:rsidRPr="005376B2">
        <w:rPr>
          <w:rFonts w:ascii="Tahoma" w:hAnsi="Tahoma" w:cs="Tahoma"/>
          <w:spacing w:val="-2"/>
        </w:rPr>
        <w:t xml:space="preserve"> </w:t>
      </w:r>
    </w:p>
    <w:p w:rsidR="004157A7" w:rsidRDefault="004157A7" w:rsidP="009C285B">
      <w:pPr>
        <w:pStyle w:val="Prrafodelista"/>
        <w:suppressAutoHyphens/>
        <w:spacing w:line="276" w:lineRule="auto"/>
        <w:jc w:val="both"/>
        <w:rPr>
          <w:rFonts w:ascii="Tahoma" w:hAnsi="Tahoma" w:cs="Tahoma"/>
        </w:rPr>
      </w:pPr>
    </w:p>
    <w:p w:rsidR="00102E8C" w:rsidRPr="005376B2" w:rsidRDefault="00102E8C" w:rsidP="009C285B">
      <w:pPr>
        <w:pStyle w:val="Prrafodelista"/>
        <w:suppressAutoHyphens/>
        <w:spacing w:line="276" w:lineRule="auto"/>
        <w:jc w:val="both"/>
        <w:rPr>
          <w:rFonts w:ascii="Tahoma" w:hAnsi="Tahoma" w:cs="Tahoma"/>
        </w:rPr>
      </w:pPr>
      <w:bookmarkStart w:id="0" w:name="_GoBack"/>
      <w:bookmarkEnd w:id="0"/>
    </w:p>
    <w:p w:rsidR="004157A7" w:rsidRPr="005376B2" w:rsidRDefault="00104ACF" w:rsidP="009C285B">
      <w:pPr>
        <w:spacing w:line="276" w:lineRule="auto"/>
        <w:ind w:left="785"/>
        <w:jc w:val="both"/>
        <w:rPr>
          <w:rFonts w:ascii="Tahoma" w:hAnsi="Tahoma" w:cs="Tahoma"/>
        </w:rPr>
      </w:pPr>
      <w:r w:rsidRPr="005376B2">
        <w:rPr>
          <w:rFonts w:ascii="Tahoma" w:hAnsi="Tahoma" w:cs="Tahoma"/>
        </w:rPr>
        <w:t>La magistrada</w:t>
      </w:r>
      <w:r w:rsidR="004157A7" w:rsidRPr="005376B2">
        <w:rPr>
          <w:rFonts w:ascii="Tahoma" w:hAnsi="Tahoma" w:cs="Tahoma"/>
        </w:rPr>
        <w:t xml:space="preserve">, </w:t>
      </w:r>
    </w:p>
    <w:p w:rsidR="004157A7" w:rsidRPr="005376B2" w:rsidRDefault="004157A7" w:rsidP="009C285B">
      <w:pPr>
        <w:spacing w:line="276" w:lineRule="auto"/>
        <w:jc w:val="both"/>
        <w:rPr>
          <w:rFonts w:ascii="Tahoma" w:hAnsi="Tahoma" w:cs="Tahoma"/>
        </w:rPr>
      </w:pPr>
    </w:p>
    <w:p w:rsidR="00CC747D" w:rsidRPr="005376B2" w:rsidRDefault="00CC747D" w:rsidP="009C285B">
      <w:pPr>
        <w:spacing w:line="276" w:lineRule="auto"/>
        <w:rPr>
          <w:rFonts w:ascii="Tahoma" w:hAnsi="Tahoma" w:cs="Tahoma"/>
          <w:b/>
        </w:rPr>
      </w:pPr>
    </w:p>
    <w:p w:rsidR="00CC747D" w:rsidRDefault="00CC747D" w:rsidP="009C285B">
      <w:pPr>
        <w:spacing w:line="276" w:lineRule="auto"/>
        <w:ind w:left="360"/>
        <w:jc w:val="center"/>
        <w:rPr>
          <w:rFonts w:ascii="Tahoma" w:hAnsi="Tahoma" w:cs="Tahoma"/>
          <w:b/>
        </w:rPr>
      </w:pPr>
    </w:p>
    <w:p w:rsidR="00102E8C" w:rsidRPr="005376B2" w:rsidRDefault="00102E8C" w:rsidP="009C285B">
      <w:pPr>
        <w:spacing w:line="276" w:lineRule="auto"/>
        <w:ind w:left="360"/>
        <w:jc w:val="center"/>
        <w:rPr>
          <w:rFonts w:ascii="Tahoma" w:hAnsi="Tahoma" w:cs="Tahoma"/>
          <w:b/>
        </w:rPr>
      </w:pPr>
    </w:p>
    <w:p w:rsidR="00CC747D" w:rsidRPr="005376B2" w:rsidRDefault="00CC747D" w:rsidP="009C285B">
      <w:pPr>
        <w:spacing w:line="276" w:lineRule="auto"/>
        <w:ind w:left="360"/>
        <w:jc w:val="center"/>
        <w:rPr>
          <w:rFonts w:ascii="Tahoma" w:hAnsi="Tahoma" w:cs="Tahoma"/>
          <w:b/>
        </w:rPr>
      </w:pPr>
    </w:p>
    <w:p w:rsidR="004157A7" w:rsidRPr="005376B2" w:rsidRDefault="004157A7" w:rsidP="009C285B">
      <w:pPr>
        <w:spacing w:line="276" w:lineRule="auto"/>
        <w:ind w:left="360"/>
        <w:jc w:val="center"/>
        <w:rPr>
          <w:rFonts w:ascii="Tahoma" w:hAnsi="Tahoma" w:cs="Tahoma"/>
          <w:b/>
        </w:rPr>
      </w:pPr>
      <w:r w:rsidRPr="005376B2">
        <w:rPr>
          <w:rFonts w:ascii="Tahoma" w:hAnsi="Tahoma" w:cs="Tahoma"/>
          <w:b/>
        </w:rPr>
        <w:t>ANA LUCÍA CAICEDO CALDERÓN</w:t>
      </w:r>
    </w:p>
    <w:p w:rsidR="00104ACF" w:rsidRPr="005376B2" w:rsidRDefault="00104ACF" w:rsidP="009C285B">
      <w:pPr>
        <w:spacing w:line="276" w:lineRule="auto"/>
        <w:rPr>
          <w:rFonts w:ascii="Tahoma" w:hAnsi="Tahoma" w:cs="Tahoma"/>
          <w:b/>
        </w:rPr>
      </w:pPr>
    </w:p>
    <w:p w:rsidR="004157A7" w:rsidRPr="005376B2" w:rsidRDefault="00104ACF" w:rsidP="00345CF4">
      <w:pPr>
        <w:spacing w:line="276" w:lineRule="auto"/>
        <w:rPr>
          <w:rFonts w:ascii="Tahoma" w:hAnsi="Tahoma" w:cs="Tahoma"/>
          <w:b/>
        </w:rPr>
      </w:pPr>
      <w:r w:rsidRPr="005376B2">
        <w:rPr>
          <w:rFonts w:ascii="Tahoma" w:hAnsi="Tahoma" w:cs="Tahoma"/>
          <w:b/>
        </w:rPr>
        <w:tab/>
      </w:r>
    </w:p>
    <w:p w:rsidR="004447B1" w:rsidRPr="005376B2" w:rsidRDefault="004447B1" w:rsidP="009C285B">
      <w:pPr>
        <w:spacing w:before="100" w:beforeAutospacing="1" w:after="100" w:afterAutospacing="1" w:line="276" w:lineRule="auto"/>
        <w:ind w:firstLine="708"/>
        <w:jc w:val="both"/>
        <w:rPr>
          <w:rFonts w:ascii="Tahoma" w:hAnsi="Tahoma" w:cs="Tahoma"/>
        </w:rPr>
      </w:pPr>
    </w:p>
    <w:sectPr w:rsidR="004447B1" w:rsidRPr="005376B2" w:rsidSect="004264CA">
      <w:headerReference w:type="default" r:id="rId8"/>
      <w:footerReference w:type="default" r:id="rId9"/>
      <w:footerReference w:type="first" r:id="rId10"/>
      <w:pgSz w:w="12242" w:h="18722" w:code="121"/>
      <w:pgMar w:top="1701" w:right="1701" w:bottom="1701"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982" w:rsidRDefault="001A2982" w:rsidP="00762CB4">
      <w:r>
        <w:separator/>
      </w:r>
    </w:p>
  </w:endnote>
  <w:endnote w:type="continuationSeparator" w:id="0">
    <w:p w:rsidR="001A2982" w:rsidRDefault="001A2982" w:rsidP="0076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D5A" w:rsidRPr="002556E2" w:rsidRDefault="00062D5A">
    <w:pPr>
      <w:pStyle w:val="Piedepgina"/>
      <w:jc w:val="right"/>
    </w:pPr>
    <w:r w:rsidRPr="002556E2">
      <w:fldChar w:fldCharType="begin"/>
    </w:r>
    <w:r w:rsidRPr="002556E2">
      <w:instrText>PAGE   \* MERGEFORMAT</w:instrText>
    </w:r>
    <w:r w:rsidRPr="002556E2">
      <w:fldChar w:fldCharType="separate"/>
    </w:r>
    <w:r w:rsidR="00102E8C">
      <w:rPr>
        <w:noProof/>
      </w:rPr>
      <w:t>3</w:t>
    </w:r>
    <w:r w:rsidRPr="002556E2">
      <w:fldChar w:fldCharType="end"/>
    </w:r>
  </w:p>
  <w:p w:rsidR="00062D5A" w:rsidRDefault="00062D5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D5A" w:rsidRDefault="00062D5A">
    <w:pPr>
      <w:pStyle w:val="Piedepgina"/>
      <w:jc w:val="right"/>
    </w:pPr>
    <w:r>
      <w:fldChar w:fldCharType="begin"/>
    </w:r>
    <w:r>
      <w:instrText>PAGE   \* MERGEFORMAT</w:instrText>
    </w:r>
    <w:r>
      <w:fldChar w:fldCharType="separate"/>
    </w:r>
    <w:r w:rsidR="00102E8C">
      <w:rPr>
        <w:noProof/>
      </w:rPr>
      <w:t>1</w:t>
    </w:r>
    <w:r>
      <w:fldChar w:fldCharType="end"/>
    </w:r>
  </w:p>
  <w:p w:rsidR="00062D5A" w:rsidRDefault="00062D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982" w:rsidRDefault="001A2982" w:rsidP="00762CB4">
      <w:r>
        <w:separator/>
      </w:r>
    </w:p>
  </w:footnote>
  <w:footnote w:type="continuationSeparator" w:id="0">
    <w:p w:rsidR="001A2982" w:rsidRDefault="001A2982" w:rsidP="00762CB4">
      <w:r>
        <w:continuationSeparator/>
      </w:r>
    </w:p>
  </w:footnote>
  <w:footnote w:id="1">
    <w:p w:rsidR="005376B2" w:rsidRPr="00506DD1" w:rsidRDefault="005376B2" w:rsidP="005376B2">
      <w:pPr>
        <w:pStyle w:val="Textonotapie"/>
        <w:rPr>
          <w:lang w:val="es-CO"/>
        </w:rPr>
      </w:pPr>
      <w:r>
        <w:rPr>
          <w:rStyle w:val="Refdenotaalpie"/>
        </w:rPr>
        <w:footnoteRef/>
      </w:r>
      <w:r>
        <w:t xml:space="preserve"> </w:t>
      </w:r>
      <w:r w:rsidRPr="00506DD1">
        <w:rPr>
          <w:sz w:val="16"/>
          <w:szCs w:val="16"/>
          <w:lang w:val="es-CO"/>
        </w:rPr>
        <w:t>Ver en otros el auto del</w:t>
      </w:r>
      <w:r>
        <w:rPr>
          <w:sz w:val="16"/>
          <w:szCs w:val="16"/>
          <w:lang w:val="es-CO"/>
        </w:rPr>
        <w:t xml:space="preserve"> 7 de abril de 2014, proferido dentro de la acción de tutela radicada bajo el número 2014-00021, con ponencia del Magistrado Julio César Salazar Muñoz.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5B" w:rsidRPr="003D0AE9" w:rsidRDefault="009C285B" w:rsidP="009C285B">
    <w:pPr>
      <w:pStyle w:val="Sinespaciado"/>
      <w:rPr>
        <w:sz w:val="14"/>
        <w:szCs w:val="14"/>
      </w:rPr>
    </w:pPr>
    <w:r>
      <w:rPr>
        <w:sz w:val="14"/>
        <w:szCs w:val="14"/>
      </w:rPr>
      <w:t xml:space="preserve">Radicado No.: </w:t>
    </w:r>
    <w:r w:rsidRPr="00AA697E">
      <w:rPr>
        <w:sz w:val="14"/>
        <w:szCs w:val="14"/>
      </w:rPr>
      <w:t>66001-31-05-001-2015-00473-01</w:t>
    </w:r>
  </w:p>
  <w:p w:rsidR="009C285B" w:rsidRPr="003D0AE9" w:rsidRDefault="009C285B" w:rsidP="009C285B">
    <w:pPr>
      <w:pStyle w:val="Sinespaciado"/>
      <w:rPr>
        <w:sz w:val="14"/>
        <w:szCs w:val="14"/>
      </w:rPr>
    </w:pPr>
    <w:r>
      <w:rPr>
        <w:sz w:val="14"/>
        <w:szCs w:val="14"/>
      </w:rPr>
      <w:t xml:space="preserve">Accionantes: Gloria Nancy Correa </w:t>
    </w:r>
    <w:proofErr w:type="spellStart"/>
    <w:r>
      <w:rPr>
        <w:sz w:val="14"/>
        <w:szCs w:val="14"/>
      </w:rPr>
      <w:t>Aristizabal</w:t>
    </w:r>
    <w:proofErr w:type="spellEnd"/>
  </w:p>
  <w:p w:rsidR="009C285B" w:rsidRPr="003D0AE9" w:rsidRDefault="009C285B" w:rsidP="009C285B">
    <w:pPr>
      <w:pStyle w:val="Sinespaciado"/>
      <w:rPr>
        <w:sz w:val="14"/>
        <w:szCs w:val="14"/>
      </w:rPr>
    </w:pPr>
    <w:r>
      <w:rPr>
        <w:sz w:val="14"/>
        <w:szCs w:val="14"/>
      </w:rPr>
      <w:t>Accionados: Colpensiones y otro</w:t>
    </w:r>
  </w:p>
  <w:p w:rsidR="00062D5A" w:rsidRDefault="00062D5A" w:rsidP="003531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256B0"/>
    <w:multiLevelType w:val="hybridMultilevel"/>
    <w:tmpl w:val="AA864710"/>
    <w:lvl w:ilvl="0" w:tplc="AA54F11A">
      <w:start w:val="1"/>
      <w:numFmt w:val="upperRoman"/>
      <w:lvlText w:val="%1."/>
      <w:lvlJc w:val="right"/>
      <w:pPr>
        <w:ind w:left="720" w:hanging="360"/>
      </w:pPr>
      <w:rPr>
        <w:b/>
      </w:rPr>
    </w:lvl>
    <w:lvl w:ilvl="1" w:tplc="BECE64A0">
      <w:start w:val="1"/>
      <w:numFmt w:val="decimal"/>
      <w:lvlText w:val="%2."/>
      <w:lvlJc w:val="left"/>
      <w:pPr>
        <w:tabs>
          <w:tab w:val="num" w:pos="1440"/>
        </w:tabs>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2A2D30AF"/>
    <w:multiLevelType w:val="hybridMultilevel"/>
    <w:tmpl w:val="E14231F4"/>
    <w:lvl w:ilvl="0" w:tplc="0C0A000F">
      <w:start w:val="1"/>
      <w:numFmt w:val="decimal"/>
      <w:lvlText w:val="%1."/>
      <w:lvlJc w:val="left"/>
      <w:pPr>
        <w:ind w:left="1500" w:hanging="360"/>
      </w:p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3">
    <w:nsid w:val="2AE1449E"/>
    <w:multiLevelType w:val="hybridMultilevel"/>
    <w:tmpl w:val="D5303070"/>
    <w:lvl w:ilvl="0" w:tplc="C0840908">
      <w:start w:val="1"/>
      <w:numFmt w:val="lowerRoman"/>
      <w:lvlText w:val="(%1)"/>
      <w:lvlJc w:val="left"/>
      <w:pPr>
        <w:ind w:left="1080" w:hanging="720"/>
      </w:pPr>
      <w:rPr>
        <w:rFonts w:ascii="Tahoma" w:hAnsi="Tahoma" w:cs="Tahoma"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EE419AF"/>
    <w:multiLevelType w:val="hybridMultilevel"/>
    <w:tmpl w:val="28827ED6"/>
    <w:lvl w:ilvl="0" w:tplc="5F6C1AF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87F25B2"/>
    <w:multiLevelType w:val="hybridMultilevel"/>
    <w:tmpl w:val="A7E0AAA0"/>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
    <w:nsid w:val="3F1F5084"/>
    <w:multiLevelType w:val="hybridMultilevel"/>
    <w:tmpl w:val="4664D3F0"/>
    <w:lvl w:ilvl="0" w:tplc="B706ED7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789763C"/>
    <w:multiLevelType w:val="hybridMultilevel"/>
    <w:tmpl w:val="50E4B86C"/>
    <w:lvl w:ilvl="0" w:tplc="0C0A000F">
      <w:start w:val="1"/>
      <w:numFmt w:val="decimal"/>
      <w:lvlText w:val="%1."/>
      <w:lvlJc w:val="left"/>
      <w:pPr>
        <w:ind w:left="1500" w:hanging="360"/>
      </w:p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8">
    <w:nsid w:val="651778C5"/>
    <w:multiLevelType w:val="hybridMultilevel"/>
    <w:tmpl w:val="E1B202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B4"/>
    <w:rsid w:val="00016B90"/>
    <w:rsid w:val="00021400"/>
    <w:rsid w:val="00025C7C"/>
    <w:rsid w:val="0003548C"/>
    <w:rsid w:val="000378A1"/>
    <w:rsid w:val="00047BCE"/>
    <w:rsid w:val="00055437"/>
    <w:rsid w:val="00062D5A"/>
    <w:rsid w:val="00070B7A"/>
    <w:rsid w:val="00086FF1"/>
    <w:rsid w:val="000918D1"/>
    <w:rsid w:val="000920B9"/>
    <w:rsid w:val="00097C91"/>
    <w:rsid w:val="000A4F27"/>
    <w:rsid w:val="000D6846"/>
    <w:rsid w:val="000E44EE"/>
    <w:rsid w:val="000E4DAA"/>
    <w:rsid w:val="000F2E8A"/>
    <w:rsid w:val="000F6A90"/>
    <w:rsid w:val="00102E8C"/>
    <w:rsid w:val="00104ACF"/>
    <w:rsid w:val="001167BC"/>
    <w:rsid w:val="001532C4"/>
    <w:rsid w:val="00172757"/>
    <w:rsid w:val="001846C3"/>
    <w:rsid w:val="001A2982"/>
    <w:rsid w:val="001A5103"/>
    <w:rsid w:val="001A6677"/>
    <w:rsid w:val="001A74FB"/>
    <w:rsid w:val="001B4799"/>
    <w:rsid w:val="001B63B0"/>
    <w:rsid w:val="001E1FA2"/>
    <w:rsid w:val="001E72DF"/>
    <w:rsid w:val="001F2010"/>
    <w:rsid w:val="001F4133"/>
    <w:rsid w:val="001F48F4"/>
    <w:rsid w:val="00236E71"/>
    <w:rsid w:val="0024437C"/>
    <w:rsid w:val="00254BDB"/>
    <w:rsid w:val="002658C1"/>
    <w:rsid w:val="00273863"/>
    <w:rsid w:val="002766FD"/>
    <w:rsid w:val="0028451B"/>
    <w:rsid w:val="00293440"/>
    <w:rsid w:val="002A5C61"/>
    <w:rsid w:val="002A699D"/>
    <w:rsid w:val="002C5387"/>
    <w:rsid w:val="002C58F8"/>
    <w:rsid w:val="002D7A2B"/>
    <w:rsid w:val="002E18F8"/>
    <w:rsid w:val="002E5CAA"/>
    <w:rsid w:val="002F07AA"/>
    <w:rsid w:val="002F54E3"/>
    <w:rsid w:val="002F5D08"/>
    <w:rsid w:val="002F7F5B"/>
    <w:rsid w:val="00305033"/>
    <w:rsid w:val="003146C0"/>
    <w:rsid w:val="00316F64"/>
    <w:rsid w:val="003333F1"/>
    <w:rsid w:val="00333582"/>
    <w:rsid w:val="00345CF4"/>
    <w:rsid w:val="003531DE"/>
    <w:rsid w:val="00361CC2"/>
    <w:rsid w:val="00390115"/>
    <w:rsid w:val="0039107C"/>
    <w:rsid w:val="00397419"/>
    <w:rsid w:val="003C520F"/>
    <w:rsid w:val="003C70CE"/>
    <w:rsid w:val="003D155F"/>
    <w:rsid w:val="003F1890"/>
    <w:rsid w:val="003F2926"/>
    <w:rsid w:val="004157A7"/>
    <w:rsid w:val="00415872"/>
    <w:rsid w:val="004264CA"/>
    <w:rsid w:val="00434AA3"/>
    <w:rsid w:val="0043634A"/>
    <w:rsid w:val="004447B1"/>
    <w:rsid w:val="00452646"/>
    <w:rsid w:val="00462E97"/>
    <w:rsid w:val="00484FC5"/>
    <w:rsid w:val="0049053D"/>
    <w:rsid w:val="004B6AE5"/>
    <w:rsid w:val="004C29A7"/>
    <w:rsid w:val="004E3650"/>
    <w:rsid w:val="005018B4"/>
    <w:rsid w:val="00520C3D"/>
    <w:rsid w:val="005376B2"/>
    <w:rsid w:val="005400E7"/>
    <w:rsid w:val="0054502E"/>
    <w:rsid w:val="00546D9C"/>
    <w:rsid w:val="00551D66"/>
    <w:rsid w:val="005842BB"/>
    <w:rsid w:val="00590F67"/>
    <w:rsid w:val="005A344E"/>
    <w:rsid w:val="005B6011"/>
    <w:rsid w:val="005D25BD"/>
    <w:rsid w:val="005D7918"/>
    <w:rsid w:val="005E6C25"/>
    <w:rsid w:val="006033E9"/>
    <w:rsid w:val="00611FB1"/>
    <w:rsid w:val="006355C2"/>
    <w:rsid w:val="0063716B"/>
    <w:rsid w:val="00660F97"/>
    <w:rsid w:val="00666C43"/>
    <w:rsid w:val="00672A3B"/>
    <w:rsid w:val="00686FF2"/>
    <w:rsid w:val="006963BC"/>
    <w:rsid w:val="006A3928"/>
    <w:rsid w:val="006C290A"/>
    <w:rsid w:val="006E3AD7"/>
    <w:rsid w:val="00714DB1"/>
    <w:rsid w:val="0072111C"/>
    <w:rsid w:val="00725772"/>
    <w:rsid w:val="007405C4"/>
    <w:rsid w:val="00754D94"/>
    <w:rsid w:val="00762CB4"/>
    <w:rsid w:val="00767CA2"/>
    <w:rsid w:val="007844F2"/>
    <w:rsid w:val="00793531"/>
    <w:rsid w:val="007D6E4A"/>
    <w:rsid w:val="00805A15"/>
    <w:rsid w:val="00807F7C"/>
    <w:rsid w:val="00810BAB"/>
    <w:rsid w:val="00816E35"/>
    <w:rsid w:val="00833017"/>
    <w:rsid w:val="00834AF3"/>
    <w:rsid w:val="008633A7"/>
    <w:rsid w:val="008639AB"/>
    <w:rsid w:val="00866EAE"/>
    <w:rsid w:val="00875D35"/>
    <w:rsid w:val="00882FAE"/>
    <w:rsid w:val="008950CD"/>
    <w:rsid w:val="008A1209"/>
    <w:rsid w:val="008B5791"/>
    <w:rsid w:val="008C14BB"/>
    <w:rsid w:val="008E6E61"/>
    <w:rsid w:val="008F4669"/>
    <w:rsid w:val="008F59C2"/>
    <w:rsid w:val="008F75A3"/>
    <w:rsid w:val="00907347"/>
    <w:rsid w:val="009146DC"/>
    <w:rsid w:val="00933C05"/>
    <w:rsid w:val="00960B06"/>
    <w:rsid w:val="009756C2"/>
    <w:rsid w:val="00977442"/>
    <w:rsid w:val="009837DE"/>
    <w:rsid w:val="00984217"/>
    <w:rsid w:val="009A289A"/>
    <w:rsid w:val="009A3154"/>
    <w:rsid w:val="009B549E"/>
    <w:rsid w:val="009C285B"/>
    <w:rsid w:val="009D5438"/>
    <w:rsid w:val="009F1147"/>
    <w:rsid w:val="009F2616"/>
    <w:rsid w:val="00A040C6"/>
    <w:rsid w:val="00A142CE"/>
    <w:rsid w:val="00A241E7"/>
    <w:rsid w:val="00A2765D"/>
    <w:rsid w:val="00A3390F"/>
    <w:rsid w:val="00A33C90"/>
    <w:rsid w:val="00A41031"/>
    <w:rsid w:val="00A94F4C"/>
    <w:rsid w:val="00AB4318"/>
    <w:rsid w:val="00AF1F72"/>
    <w:rsid w:val="00B243B0"/>
    <w:rsid w:val="00B400DC"/>
    <w:rsid w:val="00B43292"/>
    <w:rsid w:val="00B5212D"/>
    <w:rsid w:val="00B5522A"/>
    <w:rsid w:val="00B60E0A"/>
    <w:rsid w:val="00B72725"/>
    <w:rsid w:val="00B73CE3"/>
    <w:rsid w:val="00BC3C39"/>
    <w:rsid w:val="00BE1351"/>
    <w:rsid w:val="00BE74B1"/>
    <w:rsid w:val="00C307EB"/>
    <w:rsid w:val="00C43091"/>
    <w:rsid w:val="00C612F3"/>
    <w:rsid w:val="00C6215D"/>
    <w:rsid w:val="00C63E3C"/>
    <w:rsid w:val="00C939C0"/>
    <w:rsid w:val="00CC038A"/>
    <w:rsid w:val="00CC54A4"/>
    <w:rsid w:val="00CC747D"/>
    <w:rsid w:val="00CD0C3F"/>
    <w:rsid w:val="00D1269C"/>
    <w:rsid w:val="00D17682"/>
    <w:rsid w:val="00D21572"/>
    <w:rsid w:val="00D415FB"/>
    <w:rsid w:val="00D71409"/>
    <w:rsid w:val="00D7743D"/>
    <w:rsid w:val="00D87BD0"/>
    <w:rsid w:val="00D977EF"/>
    <w:rsid w:val="00DA4140"/>
    <w:rsid w:val="00DB1DC0"/>
    <w:rsid w:val="00DE0BF0"/>
    <w:rsid w:val="00DE39BB"/>
    <w:rsid w:val="00E069C2"/>
    <w:rsid w:val="00E07065"/>
    <w:rsid w:val="00E178D8"/>
    <w:rsid w:val="00E41826"/>
    <w:rsid w:val="00E42D88"/>
    <w:rsid w:val="00E43AD5"/>
    <w:rsid w:val="00E71E4F"/>
    <w:rsid w:val="00E84403"/>
    <w:rsid w:val="00E922DB"/>
    <w:rsid w:val="00EA5946"/>
    <w:rsid w:val="00EB293D"/>
    <w:rsid w:val="00EC6ED3"/>
    <w:rsid w:val="00EC7C31"/>
    <w:rsid w:val="00ED0BD4"/>
    <w:rsid w:val="00EE5E7A"/>
    <w:rsid w:val="00F0273E"/>
    <w:rsid w:val="00F263CB"/>
    <w:rsid w:val="00F45772"/>
    <w:rsid w:val="00F743BC"/>
    <w:rsid w:val="00F777EB"/>
    <w:rsid w:val="00F87112"/>
    <w:rsid w:val="00FC1077"/>
    <w:rsid w:val="00FC3760"/>
    <w:rsid w:val="00FC65A3"/>
    <w:rsid w:val="00FE07A9"/>
    <w:rsid w:val="00FE1A5D"/>
    <w:rsid w:val="00FF27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D0FF5-0C73-4A82-895F-AA5D8BB2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CB4"/>
    <w:pPr>
      <w:spacing w:after="0" w:line="240" w:lineRule="auto"/>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
    <w:semiHidden/>
    <w:unhideWhenUsed/>
    <w:qFormat/>
    <w:rsid w:val="004157A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762CB4"/>
    <w:pPr>
      <w:keepNext/>
      <w:spacing w:line="360" w:lineRule="auto"/>
      <w:jc w:val="center"/>
      <w:outlineLvl w:val="4"/>
    </w:pPr>
    <w:rPr>
      <w:rFonts w:ascii="Arial" w:hAnsi="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762CB4"/>
    <w:rPr>
      <w:rFonts w:ascii="Arial" w:eastAsia="Times New Roman" w:hAnsi="Arial" w:cs="Times New Roman"/>
      <w:b/>
      <w:sz w:val="28"/>
      <w:szCs w:val="24"/>
      <w:lang w:eastAsia="es-ES"/>
    </w:rPr>
  </w:style>
  <w:style w:type="paragraph" w:styleId="Textonotapie">
    <w:name w:val="footnote text"/>
    <w:aliases w:val="Footnote Text Char Char Char Char Char,Footnote Text Char Char Char Char,Footnote reference,FA Fu,Footnote Text Char Char Char,texto de nota al pie,Ref. de nota al pie1,Footnote Text Char,Texto de nota al pie,referencia nota al pie,BVI fn"/>
    <w:basedOn w:val="Normal"/>
    <w:link w:val="TextonotapieCar"/>
    <w:uiPriority w:val="99"/>
    <w:rsid w:val="00762CB4"/>
    <w:pPr>
      <w:overflowPunct w:val="0"/>
      <w:autoSpaceDE w:val="0"/>
      <w:autoSpaceDN w:val="0"/>
      <w:adjustRightInd w:val="0"/>
      <w:textAlignment w:val="baseline"/>
    </w:pPr>
    <w:rPr>
      <w:sz w:val="20"/>
      <w:szCs w:val="20"/>
      <w:lang w:val="es-ES_tradnl"/>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762CB4"/>
    <w:rPr>
      <w:rFonts w:ascii="Times New Roman" w:eastAsia="Times New Roman" w:hAnsi="Times New Roman" w:cs="Times New Roman"/>
      <w:sz w:val="20"/>
      <w:szCs w:val="20"/>
      <w:lang w:val="es-ES_tradnl" w:eastAsia="es-ES"/>
    </w:rPr>
  </w:style>
  <w:style w:type="character" w:styleId="Refdenotaalpie">
    <w:name w:val="footnote reference"/>
    <w:aliases w:val="Footnotes refss,Appel note de bas de page,Footnote number,f"/>
    <w:semiHidden/>
    <w:rsid w:val="00762CB4"/>
    <w:rPr>
      <w:vertAlign w:val="superscript"/>
    </w:rPr>
  </w:style>
  <w:style w:type="paragraph" w:styleId="Textoindependiente">
    <w:name w:val="Body Text"/>
    <w:basedOn w:val="Normal"/>
    <w:link w:val="TextoindependienteCar"/>
    <w:rsid w:val="00762CB4"/>
    <w:pPr>
      <w:jc w:val="both"/>
    </w:pPr>
    <w:rPr>
      <w:sz w:val="28"/>
      <w:u w:val="single"/>
    </w:rPr>
  </w:style>
  <w:style w:type="character" w:customStyle="1" w:styleId="TextoindependienteCar">
    <w:name w:val="Texto independiente Car"/>
    <w:basedOn w:val="Fuentedeprrafopredeter"/>
    <w:link w:val="Textoindependiente"/>
    <w:rsid w:val="00762CB4"/>
    <w:rPr>
      <w:rFonts w:ascii="Times New Roman" w:eastAsia="Times New Roman" w:hAnsi="Times New Roman" w:cs="Times New Roman"/>
      <w:sz w:val="28"/>
      <w:szCs w:val="24"/>
      <w:u w:val="single"/>
      <w:lang w:eastAsia="es-ES"/>
    </w:rPr>
  </w:style>
  <w:style w:type="paragraph" w:styleId="Prrafodelista">
    <w:name w:val="List Paragraph"/>
    <w:basedOn w:val="Normal"/>
    <w:qFormat/>
    <w:rsid w:val="00762CB4"/>
    <w:pPr>
      <w:ind w:left="720"/>
      <w:contextualSpacing/>
    </w:pPr>
  </w:style>
  <w:style w:type="paragraph" w:styleId="Piedepgina">
    <w:name w:val="footer"/>
    <w:basedOn w:val="Normal"/>
    <w:link w:val="PiedepginaCar"/>
    <w:unhideWhenUsed/>
    <w:rsid w:val="00762CB4"/>
    <w:pPr>
      <w:tabs>
        <w:tab w:val="center" w:pos="4419"/>
        <w:tab w:val="right" w:pos="8838"/>
      </w:tabs>
    </w:pPr>
  </w:style>
  <w:style w:type="character" w:customStyle="1" w:styleId="PiedepginaCar">
    <w:name w:val="Pie de página Car"/>
    <w:basedOn w:val="Fuentedeprrafopredeter"/>
    <w:link w:val="Piedepgina"/>
    <w:rsid w:val="00762CB4"/>
    <w:rPr>
      <w:rFonts w:ascii="Times New Roman" w:eastAsia="Times New Roman" w:hAnsi="Times New Roman" w:cs="Times New Roman"/>
      <w:sz w:val="24"/>
      <w:szCs w:val="24"/>
      <w:lang w:eastAsia="es-ES"/>
    </w:rPr>
  </w:style>
  <w:style w:type="paragraph" w:styleId="Encabezado">
    <w:name w:val="header"/>
    <w:basedOn w:val="Normal"/>
    <w:link w:val="EncabezadoCar"/>
    <w:unhideWhenUsed/>
    <w:rsid w:val="00762CB4"/>
    <w:pPr>
      <w:tabs>
        <w:tab w:val="center" w:pos="4419"/>
        <w:tab w:val="right" w:pos="8838"/>
      </w:tabs>
    </w:pPr>
  </w:style>
  <w:style w:type="character" w:customStyle="1" w:styleId="EncabezadoCar">
    <w:name w:val="Encabezado Car"/>
    <w:basedOn w:val="Fuentedeprrafopredeter"/>
    <w:link w:val="Encabezado"/>
    <w:rsid w:val="00762CB4"/>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nhideWhenUsed/>
    <w:rsid w:val="00762CB4"/>
    <w:pPr>
      <w:spacing w:after="120" w:line="480" w:lineRule="auto"/>
    </w:pPr>
  </w:style>
  <w:style w:type="character" w:customStyle="1" w:styleId="Textoindependiente2Car">
    <w:name w:val="Texto independiente 2 Car"/>
    <w:basedOn w:val="Fuentedeprrafopredeter"/>
    <w:link w:val="Textoindependiente2"/>
    <w:rsid w:val="00762CB4"/>
    <w:rPr>
      <w:rFonts w:ascii="Times New Roman" w:eastAsia="Times New Roman" w:hAnsi="Times New Roman" w:cs="Times New Roman"/>
      <w:sz w:val="24"/>
      <w:szCs w:val="24"/>
      <w:lang w:eastAsia="es-ES"/>
    </w:rPr>
  </w:style>
  <w:style w:type="paragraph" w:customStyle="1" w:styleId="Default">
    <w:name w:val="Default"/>
    <w:rsid w:val="00762CB4"/>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apple-style-span">
    <w:name w:val="apple-style-span"/>
    <w:rsid w:val="00762CB4"/>
    <w:rPr>
      <w:rFonts w:ascii="Times New Roman" w:hAnsi="Times New Roman" w:cs="Times New Roman" w:hint="default"/>
    </w:rPr>
  </w:style>
  <w:style w:type="paragraph" w:styleId="Sinespaciado">
    <w:name w:val="No Spacing"/>
    <w:uiPriority w:val="1"/>
    <w:qFormat/>
    <w:rsid w:val="00762CB4"/>
    <w:pPr>
      <w:spacing w:after="0"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semiHidden/>
    <w:rsid w:val="004157A7"/>
    <w:rPr>
      <w:rFonts w:asciiTheme="majorHAnsi" w:eastAsiaTheme="majorEastAsia" w:hAnsiTheme="majorHAnsi" w:cstheme="majorBidi"/>
      <w:i/>
      <w:iCs/>
      <w:color w:val="2E74B5" w:themeColor="accent1" w:themeShade="BF"/>
      <w:sz w:val="24"/>
      <w:szCs w:val="24"/>
      <w:lang w:eastAsia="es-ES"/>
    </w:rPr>
  </w:style>
  <w:style w:type="paragraph" w:styleId="Textosinformato">
    <w:name w:val="Plain Text"/>
    <w:basedOn w:val="Normal"/>
    <w:link w:val="TextosinformatoCar"/>
    <w:rsid w:val="004157A7"/>
    <w:pPr>
      <w:autoSpaceDE w:val="0"/>
      <w:autoSpaceDN w:val="0"/>
    </w:pPr>
    <w:rPr>
      <w:rFonts w:ascii="Courier New" w:hAnsi="Courier New"/>
      <w:sz w:val="20"/>
      <w:szCs w:val="20"/>
    </w:rPr>
  </w:style>
  <w:style w:type="character" w:customStyle="1" w:styleId="TextosinformatoCar">
    <w:name w:val="Texto sin formato Car"/>
    <w:basedOn w:val="Fuentedeprrafopredeter"/>
    <w:link w:val="Textosinformato"/>
    <w:rsid w:val="004157A7"/>
    <w:rPr>
      <w:rFonts w:ascii="Courier New" w:eastAsia="Times New Roman" w:hAnsi="Courier New" w:cs="Times New Roman"/>
      <w:sz w:val="20"/>
      <w:szCs w:val="20"/>
      <w:lang w:eastAsia="es-ES"/>
    </w:rPr>
  </w:style>
  <w:style w:type="character" w:customStyle="1" w:styleId="apple-converted-space">
    <w:name w:val="apple-converted-space"/>
    <w:basedOn w:val="Fuentedeprrafopredeter"/>
    <w:rsid w:val="00611FB1"/>
    <w:rPr>
      <w:rFonts w:cs="Times New Roman"/>
    </w:rPr>
  </w:style>
  <w:style w:type="paragraph" w:customStyle="1" w:styleId="q">
    <w:name w:val="q"/>
    <w:basedOn w:val="Normal"/>
    <w:rsid w:val="00611FB1"/>
    <w:pPr>
      <w:spacing w:before="100" w:beforeAutospacing="1" w:after="100" w:afterAutospacing="1"/>
    </w:pPr>
    <w:rPr>
      <w:lang w:val="es-CO" w:eastAsia="es-CO"/>
    </w:rPr>
  </w:style>
  <w:style w:type="character" w:customStyle="1" w:styleId="d">
    <w:name w:val="d"/>
    <w:basedOn w:val="Fuentedeprrafopredeter"/>
    <w:rsid w:val="00611FB1"/>
    <w:rPr>
      <w:rFonts w:cs="Times New Roman"/>
    </w:rPr>
  </w:style>
  <w:style w:type="character" w:customStyle="1" w:styleId="b">
    <w:name w:val="b"/>
    <w:basedOn w:val="Fuentedeprrafopredeter"/>
    <w:rsid w:val="00611FB1"/>
    <w:rPr>
      <w:rFonts w:cs="Times New Roman"/>
    </w:rPr>
  </w:style>
  <w:style w:type="character" w:customStyle="1" w:styleId="g">
    <w:name w:val="g"/>
    <w:basedOn w:val="Fuentedeprrafopredeter"/>
    <w:rsid w:val="00611FB1"/>
    <w:rPr>
      <w:rFonts w:cs="Times New Roman"/>
    </w:rPr>
  </w:style>
  <w:style w:type="character" w:styleId="Hipervnculo">
    <w:name w:val="Hyperlink"/>
    <w:basedOn w:val="Fuentedeprrafopredeter"/>
    <w:uiPriority w:val="99"/>
    <w:unhideWhenUsed/>
    <w:rsid w:val="00611FB1"/>
    <w:rPr>
      <w:color w:val="0000FF"/>
      <w:u w:val="single"/>
    </w:rPr>
  </w:style>
  <w:style w:type="paragraph" w:styleId="Textodeglobo">
    <w:name w:val="Balloon Text"/>
    <w:basedOn w:val="Normal"/>
    <w:link w:val="TextodegloboCar"/>
    <w:uiPriority w:val="99"/>
    <w:semiHidden/>
    <w:unhideWhenUsed/>
    <w:rsid w:val="00316F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6F64"/>
    <w:rPr>
      <w:rFonts w:ascii="Segoe UI" w:eastAsia="Times New Roman" w:hAnsi="Segoe UI" w:cs="Segoe UI"/>
      <w:sz w:val="18"/>
      <w:szCs w:val="18"/>
      <w:lang w:eastAsia="es-ES"/>
    </w:rPr>
  </w:style>
  <w:style w:type="paragraph" w:styleId="Puesto">
    <w:name w:val="Title"/>
    <w:basedOn w:val="Normal"/>
    <w:link w:val="PuestoCar"/>
    <w:qFormat/>
    <w:rsid w:val="00F743BC"/>
    <w:pPr>
      <w:widowControl w:val="0"/>
      <w:autoSpaceDE w:val="0"/>
      <w:autoSpaceDN w:val="0"/>
      <w:adjustRightInd w:val="0"/>
      <w:spacing w:line="360" w:lineRule="auto"/>
      <w:jc w:val="center"/>
    </w:pPr>
    <w:rPr>
      <w:rFonts w:ascii="Arial" w:hAnsi="Arial"/>
      <w:b/>
    </w:rPr>
  </w:style>
  <w:style w:type="character" w:customStyle="1" w:styleId="PuestoCar">
    <w:name w:val="Puesto Car"/>
    <w:basedOn w:val="Fuentedeprrafopredeter"/>
    <w:link w:val="Puesto"/>
    <w:rsid w:val="00F743BC"/>
    <w:rPr>
      <w:rFonts w:ascii="Arial" w:eastAsia="Times New Roman" w:hAnsi="Arial" w:cs="Times New Roman"/>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346611">
      <w:bodyDiv w:val="1"/>
      <w:marLeft w:val="0"/>
      <w:marRight w:val="0"/>
      <w:marTop w:val="0"/>
      <w:marBottom w:val="0"/>
      <w:divBdr>
        <w:top w:val="none" w:sz="0" w:space="0" w:color="auto"/>
        <w:left w:val="none" w:sz="0" w:space="0" w:color="auto"/>
        <w:bottom w:val="none" w:sz="0" w:space="0" w:color="auto"/>
        <w:right w:val="none" w:sz="0" w:space="0" w:color="auto"/>
      </w:divBdr>
    </w:div>
    <w:div w:id="633678673">
      <w:bodyDiv w:val="1"/>
      <w:marLeft w:val="0"/>
      <w:marRight w:val="0"/>
      <w:marTop w:val="0"/>
      <w:marBottom w:val="0"/>
      <w:divBdr>
        <w:top w:val="none" w:sz="0" w:space="0" w:color="auto"/>
        <w:left w:val="none" w:sz="0" w:space="0" w:color="auto"/>
        <w:bottom w:val="none" w:sz="0" w:space="0" w:color="auto"/>
        <w:right w:val="none" w:sz="0" w:space="0" w:color="auto"/>
      </w:divBdr>
      <w:divsChild>
        <w:div w:id="503126704">
          <w:marLeft w:val="0"/>
          <w:marRight w:val="0"/>
          <w:marTop w:val="0"/>
          <w:marBottom w:val="0"/>
          <w:divBdr>
            <w:top w:val="none" w:sz="0" w:space="0" w:color="auto"/>
            <w:left w:val="none" w:sz="0" w:space="0" w:color="auto"/>
            <w:bottom w:val="none" w:sz="0" w:space="0" w:color="auto"/>
            <w:right w:val="none" w:sz="0" w:space="0" w:color="auto"/>
          </w:divBdr>
          <w:divsChild>
            <w:div w:id="629283262">
              <w:marLeft w:val="0"/>
              <w:marRight w:val="0"/>
              <w:marTop w:val="0"/>
              <w:marBottom w:val="0"/>
              <w:divBdr>
                <w:top w:val="none" w:sz="0" w:space="0" w:color="auto"/>
                <w:left w:val="none" w:sz="0" w:space="0" w:color="auto"/>
                <w:bottom w:val="none" w:sz="0" w:space="0" w:color="auto"/>
                <w:right w:val="none" w:sz="0" w:space="0" w:color="auto"/>
              </w:divBdr>
              <w:divsChild>
                <w:div w:id="1139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23393">
      <w:bodyDiv w:val="1"/>
      <w:marLeft w:val="0"/>
      <w:marRight w:val="0"/>
      <w:marTop w:val="0"/>
      <w:marBottom w:val="0"/>
      <w:divBdr>
        <w:top w:val="none" w:sz="0" w:space="0" w:color="auto"/>
        <w:left w:val="none" w:sz="0" w:space="0" w:color="auto"/>
        <w:bottom w:val="none" w:sz="0" w:space="0" w:color="auto"/>
        <w:right w:val="none" w:sz="0" w:space="0" w:color="auto"/>
      </w:divBdr>
      <w:divsChild>
        <w:div w:id="187792210">
          <w:marLeft w:val="0"/>
          <w:marRight w:val="0"/>
          <w:marTop w:val="0"/>
          <w:marBottom w:val="0"/>
          <w:divBdr>
            <w:top w:val="none" w:sz="0" w:space="0" w:color="auto"/>
            <w:left w:val="none" w:sz="0" w:space="0" w:color="auto"/>
            <w:bottom w:val="none" w:sz="0" w:space="0" w:color="auto"/>
            <w:right w:val="none" w:sz="0" w:space="0" w:color="auto"/>
          </w:divBdr>
          <w:divsChild>
            <w:div w:id="1846745253">
              <w:marLeft w:val="0"/>
              <w:marRight w:val="0"/>
              <w:marTop w:val="0"/>
              <w:marBottom w:val="0"/>
              <w:divBdr>
                <w:top w:val="none" w:sz="0" w:space="0" w:color="auto"/>
                <w:left w:val="none" w:sz="0" w:space="0" w:color="auto"/>
                <w:bottom w:val="none" w:sz="0" w:space="0" w:color="auto"/>
                <w:right w:val="none" w:sz="0" w:space="0" w:color="auto"/>
              </w:divBdr>
              <w:divsChild>
                <w:div w:id="4392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3B4AD-40F7-4ADE-8044-7EDA30E0D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1389</Words>
  <Characters>7642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Richard Giovanny Diaz Moncayo</cp:lastModifiedBy>
  <cp:revision>5</cp:revision>
  <cp:lastPrinted>2015-10-08T21:26:00Z</cp:lastPrinted>
  <dcterms:created xsi:type="dcterms:W3CDTF">2015-10-08T20:56:00Z</dcterms:created>
  <dcterms:modified xsi:type="dcterms:W3CDTF">2015-10-08T21:29:00Z</dcterms:modified>
</cp:coreProperties>
</file>