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Providencia</w:t>
      </w:r>
      <w:r w:rsidRPr="002556E2">
        <w:rPr>
          <w:rFonts w:ascii="Tahoma" w:hAnsi="Tahoma" w:cs="Tahoma"/>
          <w:sz w:val="18"/>
          <w:szCs w:val="18"/>
        </w:rPr>
        <w:t xml:space="preserve">: </w:t>
      </w:r>
      <w:r w:rsidRPr="002556E2">
        <w:rPr>
          <w:rFonts w:ascii="Tahoma" w:hAnsi="Tahoma" w:cs="Tahoma"/>
          <w:sz w:val="18"/>
          <w:szCs w:val="18"/>
        </w:rPr>
        <w:tab/>
      </w:r>
      <w:r w:rsidR="002F07AA">
        <w:rPr>
          <w:rFonts w:ascii="Tahoma" w:hAnsi="Tahoma" w:cs="Tahoma"/>
          <w:sz w:val="18"/>
          <w:szCs w:val="18"/>
        </w:rPr>
        <w:t>Auto</w:t>
      </w:r>
      <w:r w:rsidRPr="002556E2">
        <w:rPr>
          <w:rFonts w:ascii="Tahoma" w:hAnsi="Tahoma" w:cs="Tahoma"/>
          <w:sz w:val="18"/>
          <w:szCs w:val="18"/>
        </w:rPr>
        <w:t xml:space="preserve"> del </w:t>
      </w:r>
      <w:r w:rsidR="00CC428C">
        <w:rPr>
          <w:rFonts w:ascii="Tahoma" w:hAnsi="Tahoma" w:cs="Tahoma"/>
          <w:sz w:val="18"/>
          <w:szCs w:val="18"/>
        </w:rPr>
        <w:t>21</w:t>
      </w:r>
      <w:r>
        <w:rPr>
          <w:rFonts w:ascii="Tahoma" w:hAnsi="Tahoma" w:cs="Tahoma"/>
          <w:sz w:val="18"/>
          <w:szCs w:val="18"/>
        </w:rPr>
        <w:t xml:space="preserve"> de </w:t>
      </w:r>
      <w:r w:rsidR="00A41031">
        <w:rPr>
          <w:rFonts w:ascii="Tahoma" w:hAnsi="Tahoma" w:cs="Tahoma"/>
          <w:sz w:val="18"/>
          <w:szCs w:val="18"/>
        </w:rPr>
        <w:t>octubre</w:t>
      </w:r>
      <w:r>
        <w:rPr>
          <w:rFonts w:ascii="Tahoma" w:hAnsi="Tahoma" w:cs="Tahoma"/>
          <w:sz w:val="18"/>
          <w:szCs w:val="18"/>
        </w:rPr>
        <w:t xml:space="preserve"> </w:t>
      </w:r>
      <w:r w:rsidRPr="002556E2">
        <w:rPr>
          <w:rFonts w:ascii="Tahoma" w:hAnsi="Tahoma" w:cs="Tahoma"/>
          <w:sz w:val="18"/>
          <w:szCs w:val="18"/>
        </w:rPr>
        <w:t>de 201</w:t>
      </w:r>
      <w:r w:rsidR="004264CA">
        <w:rPr>
          <w:rFonts w:ascii="Tahoma" w:hAnsi="Tahoma" w:cs="Tahoma"/>
          <w:sz w:val="18"/>
          <w:szCs w:val="18"/>
        </w:rPr>
        <w:t>5</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Radicación No</w:t>
      </w:r>
      <w:r w:rsidRPr="002556E2">
        <w:rPr>
          <w:rFonts w:ascii="Tahoma" w:hAnsi="Tahoma" w:cs="Tahoma"/>
          <w:sz w:val="18"/>
          <w:szCs w:val="18"/>
        </w:rPr>
        <w:t>.:</w:t>
      </w:r>
      <w:r w:rsidRPr="002556E2">
        <w:rPr>
          <w:rFonts w:ascii="Tahoma" w:hAnsi="Tahoma" w:cs="Tahoma"/>
          <w:sz w:val="18"/>
          <w:szCs w:val="18"/>
        </w:rPr>
        <w:tab/>
        <w:t>66001-31-05-00</w:t>
      </w:r>
      <w:r w:rsidR="00CC428C">
        <w:rPr>
          <w:rFonts w:ascii="Tahoma" w:hAnsi="Tahoma" w:cs="Tahoma"/>
          <w:sz w:val="18"/>
          <w:szCs w:val="18"/>
        </w:rPr>
        <w:t>5</w:t>
      </w:r>
      <w:r w:rsidR="009F2616">
        <w:rPr>
          <w:rFonts w:ascii="Tahoma" w:hAnsi="Tahoma" w:cs="Tahoma"/>
          <w:sz w:val="18"/>
          <w:szCs w:val="18"/>
        </w:rPr>
        <w:t>-2015</w:t>
      </w:r>
      <w:r w:rsidRPr="002556E2">
        <w:rPr>
          <w:rFonts w:ascii="Tahoma" w:hAnsi="Tahoma" w:cs="Tahoma"/>
          <w:sz w:val="18"/>
          <w:szCs w:val="18"/>
        </w:rPr>
        <w:t>-00</w:t>
      </w:r>
      <w:r w:rsidR="00CC428C">
        <w:rPr>
          <w:rFonts w:ascii="Tahoma" w:hAnsi="Tahoma" w:cs="Tahoma"/>
          <w:sz w:val="18"/>
          <w:szCs w:val="18"/>
        </w:rPr>
        <w:t>503</w:t>
      </w:r>
      <w:r w:rsidR="00833017">
        <w:rPr>
          <w:rFonts w:ascii="Tahoma" w:hAnsi="Tahoma" w:cs="Tahoma"/>
          <w:sz w:val="18"/>
          <w:szCs w:val="18"/>
        </w:rPr>
        <w:t>-01</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Proceso</w:t>
      </w:r>
      <w:r w:rsidRPr="002556E2">
        <w:rPr>
          <w:rFonts w:ascii="Tahoma" w:hAnsi="Tahoma" w:cs="Tahoma"/>
          <w:sz w:val="18"/>
          <w:szCs w:val="18"/>
        </w:rPr>
        <w:t>:</w:t>
      </w:r>
      <w:r w:rsidRPr="002556E2">
        <w:rPr>
          <w:rFonts w:ascii="Tahoma" w:hAnsi="Tahoma" w:cs="Tahoma"/>
          <w:sz w:val="18"/>
          <w:szCs w:val="18"/>
        </w:rPr>
        <w:tab/>
        <w:t>Acción de Tutela</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Accionante</w:t>
      </w:r>
      <w:r w:rsidRPr="002556E2">
        <w:rPr>
          <w:rFonts w:ascii="Tahoma" w:hAnsi="Tahoma" w:cs="Tahoma"/>
          <w:sz w:val="18"/>
          <w:szCs w:val="18"/>
        </w:rPr>
        <w:t>:</w:t>
      </w:r>
      <w:r w:rsidRPr="002556E2">
        <w:rPr>
          <w:rFonts w:ascii="Tahoma" w:hAnsi="Tahoma" w:cs="Tahoma"/>
          <w:sz w:val="18"/>
          <w:szCs w:val="18"/>
        </w:rPr>
        <w:tab/>
      </w:r>
      <w:r w:rsidR="00CC428C">
        <w:rPr>
          <w:rFonts w:ascii="Tahoma" w:hAnsi="Tahoma" w:cs="Tahoma"/>
          <w:sz w:val="18"/>
          <w:szCs w:val="18"/>
        </w:rPr>
        <w:t>Guillermo Londoño Vargas</w:t>
      </w:r>
    </w:p>
    <w:p w:rsidR="00762CB4" w:rsidRPr="009F2616"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Accionado</w:t>
      </w:r>
      <w:r w:rsidR="009F2616">
        <w:rPr>
          <w:rFonts w:ascii="Tahoma" w:hAnsi="Tahoma" w:cs="Tahoma"/>
          <w:sz w:val="18"/>
          <w:szCs w:val="18"/>
        </w:rPr>
        <w:t>:</w:t>
      </w:r>
      <w:r w:rsidR="009F2616">
        <w:rPr>
          <w:rFonts w:ascii="Tahoma" w:hAnsi="Tahoma" w:cs="Tahoma"/>
          <w:sz w:val="18"/>
          <w:szCs w:val="18"/>
        </w:rPr>
        <w:tab/>
      </w:r>
      <w:r w:rsidR="00CC428C">
        <w:rPr>
          <w:rFonts w:ascii="Tahoma" w:hAnsi="Tahoma" w:cs="Tahoma"/>
          <w:sz w:val="18"/>
          <w:szCs w:val="18"/>
        </w:rPr>
        <w:t>Juzgado Cuarto Municipal de Pequeñas Causas Laborales de Pereira</w:t>
      </w:r>
      <w:r w:rsidRPr="002A699D">
        <w:rPr>
          <w:rFonts w:ascii="Tahoma" w:hAnsi="Tahoma" w:cs="Tahoma"/>
          <w:b/>
          <w:sz w:val="18"/>
          <w:szCs w:val="18"/>
        </w:rPr>
        <w:t xml:space="preserve"> </w:t>
      </w:r>
    </w:p>
    <w:p w:rsidR="00762CB4" w:rsidRPr="002556E2" w:rsidRDefault="00762CB4" w:rsidP="00762CB4">
      <w:pPr>
        <w:tabs>
          <w:tab w:val="left" w:pos="1985"/>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Magistrada ponente</w:t>
      </w:r>
      <w:r w:rsidRPr="002556E2">
        <w:rPr>
          <w:rFonts w:ascii="Tahoma" w:hAnsi="Tahoma" w:cs="Tahoma"/>
          <w:sz w:val="18"/>
          <w:szCs w:val="18"/>
        </w:rPr>
        <w:t>:</w:t>
      </w:r>
      <w:r w:rsidRPr="002556E2">
        <w:rPr>
          <w:rFonts w:ascii="Tahoma" w:hAnsi="Tahoma" w:cs="Tahoma"/>
          <w:sz w:val="18"/>
          <w:szCs w:val="18"/>
        </w:rPr>
        <w:tab/>
        <w:t>Dra. Ana Lucía Caicedo Calderón</w:t>
      </w:r>
    </w:p>
    <w:p w:rsidR="00762CB4" w:rsidRPr="002556E2" w:rsidRDefault="00762CB4" w:rsidP="00762CB4">
      <w:pPr>
        <w:tabs>
          <w:tab w:val="left" w:pos="1843"/>
          <w:tab w:val="left" w:pos="2694"/>
        </w:tabs>
        <w:autoSpaceDE w:val="0"/>
        <w:autoSpaceDN w:val="0"/>
        <w:adjustRightInd w:val="0"/>
        <w:jc w:val="both"/>
        <w:rPr>
          <w:rFonts w:ascii="Tahoma" w:hAnsi="Tahoma" w:cs="Tahoma"/>
          <w:sz w:val="18"/>
          <w:szCs w:val="18"/>
        </w:rPr>
      </w:pPr>
      <w:r w:rsidRPr="002556E2">
        <w:rPr>
          <w:rFonts w:ascii="Tahoma" w:hAnsi="Tahoma" w:cs="Tahoma"/>
          <w:b/>
          <w:sz w:val="18"/>
          <w:szCs w:val="18"/>
        </w:rPr>
        <w:t>Juzgado de origen</w:t>
      </w:r>
      <w:r w:rsidRPr="002556E2">
        <w:rPr>
          <w:rFonts w:ascii="Tahoma" w:hAnsi="Tahoma" w:cs="Tahoma"/>
          <w:sz w:val="18"/>
          <w:szCs w:val="18"/>
        </w:rPr>
        <w:t>:</w:t>
      </w:r>
      <w:r w:rsidRPr="002556E2">
        <w:rPr>
          <w:rFonts w:ascii="Tahoma" w:hAnsi="Tahoma" w:cs="Tahoma"/>
          <w:sz w:val="18"/>
          <w:szCs w:val="18"/>
        </w:rPr>
        <w:tab/>
        <w:t xml:space="preserve">  Juzgado </w:t>
      </w:r>
      <w:r w:rsidR="00CC428C">
        <w:rPr>
          <w:rFonts w:ascii="Tahoma" w:hAnsi="Tahoma" w:cs="Tahoma"/>
          <w:sz w:val="18"/>
          <w:szCs w:val="18"/>
        </w:rPr>
        <w:t>Quinto</w:t>
      </w:r>
      <w:r w:rsidRPr="002556E2">
        <w:rPr>
          <w:rFonts w:ascii="Tahoma" w:hAnsi="Tahoma" w:cs="Tahoma"/>
          <w:sz w:val="18"/>
          <w:szCs w:val="18"/>
        </w:rPr>
        <w:t xml:space="preserve"> Laboral del Circuito de Pereira</w:t>
      </w:r>
    </w:p>
    <w:p w:rsidR="00F743BC" w:rsidRPr="000C269B" w:rsidRDefault="00F743BC" w:rsidP="00F743BC">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2D7A2B" w:rsidRDefault="00F743BC" w:rsidP="002D7A2B">
      <w:pPr>
        <w:pStyle w:val="Puesto"/>
        <w:tabs>
          <w:tab w:val="left" w:pos="5400"/>
        </w:tabs>
        <w:spacing w:line="240" w:lineRule="auto"/>
        <w:ind w:left="1985" w:hanging="1985"/>
        <w:jc w:val="both"/>
        <w:rPr>
          <w:rFonts w:ascii="Tahoma" w:hAnsi="Tahoma" w:cs="Tahoma"/>
          <w:b w:val="0"/>
          <w:sz w:val="18"/>
          <w:szCs w:val="18"/>
        </w:rPr>
      </w:pPr>
      <w:r w:rsidRPr="00F743BC">
        <w:rPr>
          <w:rFonts w:ascii="Tahoma" w:hAnsi="Tahoma" w:cs="Tahoma"/>
          <w:sz w:val="18"/>
          <w:szCs w:val="18"/>
        </w:rPr>
        <w:tab/>
      </w:r>
      <w:r w:rsidR="002D7A2B" w:rsidRPr="004627B8">
        <w:rPr>
          <w:rFonts w:ascii="Tahoma" w:hAnsi="Tahoma" w:cs="Tahoma"/>
          <w:sz w:val="18"/>
          <w:szCs w:val="18"/>
        </w:rPr>
        <w:t>Debida integración del contradictorio y la vinculación de terceros con interés legítimo por parte del juez de tutela</w:t>
      </w:r>
      <w:r w:rsidR="002D7A2B">
        <w:rPr>
          <w:rFonts w:ascii="Tahoma" w:hAnsi="Tahoma" w:cs="Tahoma"/>
          <w:sz w:val="18"/>
          <w:szCs w:val="18"/>
        </w:rPr>
        <w:t>:</w:t>
      </w:r>
      <w:r w:rsidR="002D7A2B" w:rsidRPr="005F6F95">
        <w:rPr>
          <w:rFonts w:ascii="Tahoma" w:hAnsi="Tahoma" w:cs="Tahoma"/>
          <w:sz w:val="18"/>
          <w:szCs w:val="18"/>
        </w:rPr>
        <w:t xml:space="preserve"> </w:t>
      </w:r>
      <w:r w:rsidR="002D7A2B">
        <w:rPr>
          <w:rFonts w:ascii="Tahoma" w:hAnsi="Tahoma" w:cs="Tahoma"/>
          <w:b w:val="0"/>
          <w:sz w:val="18"/>
          <w:szCs w:val="18"/>
        </w:rPr>
        <w:t xml:space="preserve">Con el fin de </w:t>
      </w:r>
      <w:r w:rsidR="002D7A2B" w:rsidRPr="005F6F95">
        <w:rPr>
          <w:rFonts w:ascii="Tahoma" w:hAnsi="Tahoma" w:cs="Tahoma"/>
          <w:b w:val="0"/>
          <w:sz w:val="18"/>
          <w:szCs w:val="18"/>
        </w:rPr>
        <w:t xml:space="preserve">garantizar el respeto por </w:t>
      </w:r>
      <w:r w:rsidR="002D7A2B">
        <w:rPr>
          <w:rFonts w:ascii="Tahoma" w:hAnsi="Tahoma" w:cs="Tahoma"/>
          <w:b w:val="0"/>
          <w:sz w:val="18"/>
          <w:szCs w:val="18"/>
        </w:rPr>
        <w:t>el debido proceso</w:t>
      </w:r>
      <w:r w:rsidR="002D7A2B" w:rsidRPr="005F6F95">
        <w:rPr>
          <w:rFonts w:ascii="Tahoma" w:hAnsi="Tahoma" w:cs="Tahoma"/>
          <w:b w:val="0"/>
          <w:sz w:val="18"/>
          <w:szCs w:val="18"/>
        </w:rPr>
        <w:t xml:space="preserve"> el juez constitucional está llamado a hacer uso de las facultades oficiosas </w:t>
      </w:r>
      <w:r w:rsidR="002D7A2B">
        <w:rPr>
          <w:rFonts w:ascii="Tahoma" w:hAnsi="Tahoma" w:cs="Tahoma"/>
          <w:b w:val="0"/>
          <w:sz w:val="18"/>
          <w:szCs w:val="18"/>
        </w:rPr>
        <w:t xml:space="preserve">con las que cuenta </w:t>
      </w:r>
      <w:r w:rsidR="002D7A2B" w:rsidRPr="005F6F95">
        <w:rPr>
          <w:rFonts w:ascii="Tahoma" w:hAnsi="Tahoma" w:cs="Tahoma"/>
          <w:b w:val="0"/>
          <w:sz w:val="18"/>
          <w:szCs w:val="18"/>
        </w:rPr>
        <w:t xml:space="preserve">en materia de tutela, siendo una de ellas la vinculación al trámite </w:t>
      </w:r>
      <w:r w:rsidR="002D7A2B">
        <w:rPr>
          <w:rFonts w:ascii="Tahoma" w:hAnsi="Tahoma" w:cs="Tahoma"/>
          <w:b w:val="0"/>
          <w:sz w:val="18"/>
          <w:szCs w:val="18"/>
        </w:rPr>
        <w:t>a</w:t>
      </w:r>
      <w:r w:rsidR="002D7A2B" w:rsidRPr="005F6F95">
        <w:rPr>
          <w:rFonts w:ascii="Tahoma" w:hAnsi="Tahoma" w:cs="Tahoma"/>
          <w:b w:val="0"/>
          <w:sz w:val="18"/>
          <w:szCs w:val="18"/>
        </w:rPr>
        <w:t xml:space="preserve"> los terceros que puedan estar involucradas con la vulneración de los derechos sobre los cuales se busca la protección</w:t>
      </w:r>
      <w:r w:rsidR="002D7A2B">
        <w:rPr>
          <w:rFonts w:ascii="Tahoma" w:hAnsi="Tahoma" w:cs="Tahoma"/>
          <w:b w:val="0"/>
          <w:sz w:val="18"/>
          <w:szCs w:val="18"/>
        </w:rPr>
        <w:t xml:space="preserve">, o </w:t>
      </w:r>
      <w:r w:rsidR="002D7A2B" w:rsidRPr="005F6F95">
        <w:rPr>
          <w:rFonts w:ascii="Tahoma" w:hAnsi="Tahoma" w:cs="Tahoma"/>
          <w:b w:val="0"/>
          <w:sz w:val="18"/>
          <w:szCs w:val="18"/>
        </w:rPr>
        <w:t>que puedan verse afectad</w:t>
      </w:r>
      <w:r w:rsidR="002D7A2B">
        <w:rPr>
          <w:rFonts w:ascii="Tahoma" w:hAnsi="Tahoma" w:cs="Tahoma"/>
          <w:b w:val="0"/>
          <w:sz w:val="18"/>
          <w:szCs w:val="18"/>
        </w:rPr>
        <w:t>o</w:t>
      </w:r>
      <w:r w:rsidR="002D7A2B" w:rsidRPr="005F6F95">
        <w:rPr>
          <w:rFonts w:ascii="Tahoma" w:hAnsi="Tahoma" w:cs="Tahoma"/>
          <w:b w:val="0"/>
          <w:sz w:val="18"/>
          <w:szCs w:val="18"/>
        </w:rPr>
        <w:t xml:space="preserve">s </w:t>
      </w:r>
      <w:r w:rsidR="002D7A2B">
        <w:rPr>
          <w:rFonts w:ascii="Tahoma" w:hAnsi="Tahoma" w:cs="Tahoma"/>
          <w:b w:val="0"/>
          <w:sz w:val="18"/>
          <w:szCs w:val="18"/>
        </w:rPr>
        <w:t xml:space="preserve">con </w:t>
      </w:r>
      <w:r w:rsidR="002D7A2B" w:rsidRPr="005F6F95">
        <w:rPr>
          <w:rFonts w:ascii="Tahoma" w:hAnsi="Tahoma" w:cs="Tahoma"/>
          <w:b w:val="0"/>
          <w:sz w:val="18"/>
          <w:szCs w:val="18"/>
        </w:rPr>
        <w:t xml:space="preserve">una eventual orden de amparo, </w:t>
      </w:r>
      <w:r w:rsidR="002D7A2B">
        <w:rPr>
          <w:rFonts w:ascii="Tahoma" w:hAnsi="Tahoma" w:cs="Tahoma"/>
          <w:b w:val="0"/>
          <w:sz w:val="18"/>
          <w:szCs w:val="18"/>
        </w:rPr>
        <w:t xml:space="preserve">para que </w:t>
      </w:r>
      <w:r w:rsidR="002D7A2B" w:rsidRPr="005F6F95">
        <w:rPr>
          <w:rFonts w:ascii="Tahoma" w:hAnsi="Tahoma" w:cs="Tahoma"/>
          <w:b w:val="0"/>
          <w:sz w:val="18"/>
          <w:szCs w:val="18"/>
        </w:rPr>
        <w:t xml:space="preserve">puedan ejercer garantías procesales de orden constitucional materializadas </w:t>
      </w:r>
      <w:r w:rsidR="002D7A2B">
        <w:rPr>
          <w:rFonts w:ascii="Tahoma" w:hAnsi="Tahoma" w:cs="Tahoma"/>
          <w:b w:val="0"/>
          <w:sz w:val="18"/>
          <w:szCs w:val="18"/>
        </w:rPr>
        <w:t>co</w:t>
      </w:r>
      <w:r w:rsidR="002D7A2B" w:rsidRPr="005F6F95">
        <w:rPr>
          <w:rFonts w:ascii="Tahoma" w:hAnsi="Tahoma" w:cs="Tahoma"/>
          <w:b w:val="0"/>
          <w:sz w:val="18"/>
          <w:szCs w:val="18"/>
        </w:rPr>
        <w:t>n su oportuna intervención.</w:t>
      </w:r>
    </w:p>
    <w:p w:rsidR="00333582" w:rsidRPr="009C285B" w:rsidRDefault="00333582" w:rsidP="002D7A2B">
      <w:pPr>
        <w:tabs>
          <w:tab w:val="left" w:pos="2127"/>
          <w:tab w:val="left" w:pos="2694"/>
        </w:tabs>
        <w:autoSpaceDE w:val="0"/>
        <w:autoSpaceDN w:val="0"/>
        <w:adjustRightInd w:val="0"/>
        <w:ind w:left="1985" w:hanging="2127"/>
        <w:jc w:val="both"/>
        <w:rPr>
          <w:rFonts w:ascii="Tahoma" w:hAnsi="Tahoma" w:cs="Tahoma"/>
          <w:b/>
          <w:bCs/>
        </w:rPr>
      </w:pP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TRIBUNAL SUPERIOR DEL DISTRITO JUDICIAL DE PEREIRA</w:t>
      </w:r>
    </w:p>
    <w:p w:rsidR="00762CB4" w:rsidRPr="009C285B" w:rsidRDefault="00762CB4" w:rsidP="009C285B">
      <w:pPr>
        <w:keepNext/>
        <w:widowControl w:val="0"/>
        <w:autoSpaceDE w:val="0"/>
        <w:autoSpaceDN w:val="0"/>
        <w:adjustRightInd w:val="0"/>
        <w:spacing w:line="276" w:lineRule="auto"/>
        <w:jc w:val="center"/>
        <w:rPr>
          <w:rFonts w:ascii="Tahoma" w:hAnsi="Tahoma" w:cs="Tahoma"/>
          <w:b/>
          <w:bCs/>
        </w:rPr>
      </w:pPr>
      <w:r w:rsidRPr="009C285B">
        <w:rPr>
          <w:rFonts w:ascii="Tahoma" w:hAnsi="Tahoma" w:cs="Tahoma"/>
          <w:b/>
          <w:bCs/>
        </w:rPr>
        <w:t>SALA</w:t>
      </w:r>
      <w:r w:rsidR="00CC428C">
        <w:rPr>
          <w:rFonts w:ascii="Tahoma" w:hAnsi="Tahoma" w:cs="Tahoma"/>
          <w:b/>
          <w:bCs/>
        </w:rPr>
        <w:t xml:space="preserve"> UNITARIA</w:t>
      </w:r>
      <w:r w:rsidRPr="009C285B">
        <w:rPr>
          <w:rFonts w:ascii="Tahoma" w:hAnsi="Tahoma" w:cs="Tahoma"/>
          <w:b/>
          <w:bCs/>
        </w:rPr>
        <w:t xml:space="preserve"> LABORAL</w:t>
      </w:r>
    </w:p>
    <w:p w:rsidR="00762CB4" w:rsidRPr="009C285B" w:rsidRDefault="00762CB4" w:rsidP="009C285B">
      <w:pPr>
        <w:autoSpaceDE w:val="0"/>
        <w:autoSpaceDN w:val="0"/>
        <w:adjustRightInd w:val="0"/>
        <w:spacing w:line="276" w:lineRule="auto"/>
        <w:jc w:val="center"/>
        <w:rPr>
          <w:rFonts w:ascii="Tahoma" w:hAnsi="Tahoma" w:cs="Tahoma"/>
        </w:rPr>
      </w:pPr>
    </w:p>
    <w:p w:rsidR="00762CB4" w:rsidRPr="009C285B" w:rsidRDefault="00762CB4" w:rsidP="009C285B">
      <w:pPr>
        <w:autoSpaceDE w:val="0"/>
        <w:autoSpaceDN w:val="0"/>
        <w:adjustRightInd w:val="0"/>
        <w:spacing w:line="276" w:lineRule="auto"/>
        <w:jc w:val="center"/>
        <w:rPr>
          <w:rFonts w:ascii="Tahoma" w:hAnsi="Tahoma" w:cs="Tahoma"/>
          <w:b/>
          <w:bCs/>
        </w:rPr>
      </w:pPr>
      <w:r w:rsidRPr="009C285B">
        <w:rPr>
          <w:rFonts w:ascii="Tahoma" w:hAnsi="Tahoma" w:cs="Tahoma"/>
        </w:rPr>
        <w:t>Magistrada Ponente:</w:t>
      </w:r>
      <w:r w:rsidRPr="009C285B">
        <w:rPr>
          <w:rFonts w:ascii="Tahoma" w:hAnsi="Tahoma" w:cs="Tahoma"/>
          <w:b/>
          <w:bCs/>
        </w:rPr>
        <w:t xml:space="preserve"> Ana Lucía Caicedo Calderón</w:t>
      </w:r>
    </w:p>
    <w:p w:rsidR="00762CB4" w:rsidRPr="009C285B" w:rsidRDefault="00762CB4" w:rsidP="009C285B">
      <w:pPr>
        <w:spacing w:line="276" w:lineRule="auto"/>
        <w:jc w:val="center"/>
        <w:rPr>
          <w:rFonts w:ascii="Tahoma" w:hAnsi="Tahoma" w:cs="Tahoma"/>
          <w:b/>
        </w:rPr>
      </w:pPr>
    </w:p>
    <w:p w:rsidR="00762CB4" w:rsidRDefault="002D7A2B" w:rsidP="009C285B">
      <w:pPr>
        <w:spacing w:line="276" w:lineRule="auto"/>
        <w:jc w:val="center"/>
        <w:rPr>
          <w:rFonts w:ascii="Tahoma" w:hAnsi="Tahoma" w:cs="Tahoma"/>
          <w:b/>
        </w:rPr>
      </w:pPr>
      <w:r w:rsidRPr="009C285B">
        <w:rPr>
          <w:rFonts w:ascii="Tahoma" w:hAnsi="Tahoma" w:cs="Tahoma"/>
          <w:b/>
        </w:rPr>
        <w:t xml:space="preserve"> </w:t>
      </w:r>
      <w:r w:rsidR="00762CB4" w:rsidRPr="009C285B">
        <w:rPr>
          <w:rFonts w:ascii="Tahoma" w:hAnsi="Tahoma" w:cs="Tahoma"/>
          <w:b/>
        </w:rPr>
        <w:t>(</w:t>
      </w:r>
      <w:r w:rsidR="00CC428C">
        <w:rPr>
          <w:rFonts w:ascii="Tahoma" w:hAnsi="Tahoma" w:cs="Tahoma"/>
          <w:b/>
        </w:rPr>
        <w:t>Octubre 21</w:t>
      </w:r>
      <w:r w:rsidR="00EC7C31" w:rsidRPr="009C285B">
        <w:rPr>
          <w:rFonts w:ascii="Tahoma" w:hAnsi="Tahoma" w:cs="Tahoma"/>
          <w:b/>
        </w:rPr>
        <w:t xml:space="preserve"> </w:t>
      </w:r>
      <w:r w:rsidR="004264CA" w:rsidRPr="009C285B">
        <w:rPr>
          <w:rFonts w:ascii="Tahoma" w:hAnsi="Tahoma" w:cs="Tahoma"/>
          <w:b/>
        </w:rPr>
        <w:t>de 2015</w:t>
      </w:r>
      <w:r w:rsidR="00762CB4" w:rsidRPr="009C285B">
        <w:rPr>
          <w:rFonts w:ascii="Tahoma" w:hAnsi="Tahoma" w:cs="Tahoma"/>
          <w:b/>
        </w:rPr>
        <w:t>)</w:t>
      </w:r>
    </w:p>
    <w:p w:rsidR="002D7A2B" w:rsidRDefault="002D7A2B" w:rsidP="009C285B">
      <w:pPr>
        <w:spacing w:line="276" w:lineRule="auto"/>
        <w:jc w:val="center"/>
        <w:rPr>
          <w:rFonts w:ascii="Tahoma" w:hAnsi="Tahoma" w:cs="Tahoma"/>
          <w:b/>
        </w:rPr>
      </w:pPr>
    </w:p>
    <w:p w:rsidR="002D7A2B" w:rsidRPr="009C285B" w:rsidRDefault="002D7A2B" w:rsidP="009C285B">
      <w:pPr>
        <w:spacing w:line="276" w:lineRule="auto"/>
        <w:jc w:val="center"/>
        <w:rPr>
          <w:rFonts w:ascii="Tahoma" w:hAnsi="Tahoma" w:cs="Tahoma"/>
          <w:b/>
        </w:rPr>
      </w:pPr>
      <w:r>
        <w:rPr>
          <w:rFonts w:ascii="Tahoma" w:hAnsi="Tahoma" w:cs="Tahoma"/>
          <w:b/>
        </w:rPr>
        <w:t>PUNTO A TRATAR</w:t>
      </w:r>
    </w:p>
    <w:p w:rsidR="00762CB4" w:rsidRPr="009C285B" w:rsidRDefault="00762CB4" w:rsidP="009C285B">
      <w:pPr>
        <w:spacing w:line="276" w:lineRule="auto"/>
        <w:jc w:val="center"/>
        <w:rPr>
          <w:rFonts w:ascii="Tahoma" w:hAnsi="Tahoma" w:cs="Tahoma"/>
          <w:b/>
        </w:rPr>
      </w:pPr>
    </w:p>
    <w:p w:rsidR="00762CB4" w:rsidRDefault="002D7A2B" w:rsidP="002D7A2B">
      <w:pPr>
        <w:spacing w:line="276" w:lineRule="auto"/>
        <w:ind w:right="3" w:firstLine="708"/>
        <w:jc w:val="both"/>
        <w:rPr>
          <w:rFonts w:ascii="Tahoma" w:hAnsi="Tahoma" w:cs="Tahoma"/>
        </w:rPr>
      </w:pPr>
      <w:r w:rsidRPr="002D7A2B">
        <w:rPr>
          <w:rFonts w:ascii="Tahoma" w:hAnsi="Tahoma" w:cs="Tahoma"/>
        </w:rPr>
        <w:t>Mediante la presente providencia se entra a integrar debidamente el contradictorio toda vez que del estudio preliminar de este ca</w:t>
      </w:r>
      <w:r w:rsidR="006C290A">
        <w:rPr>
          <w:rFonts w:ascii="Tahoma" w:hAnsi="Tahoma" w:cs="Tahoma"/>
        </w:rPr>
        <w:t>so, se observa que existe una entidad que no se vinculó</w:t>
      </w:r>
      <w:r w:rsidRPr="002D7A2B">
        <w:rPr>
          <w:rFonts w:ascii="Tahoma" w:hAnsi="Tahoma" w:cs="Tahoma"/>
        </w:rPr>
        <w:t xml:space="preserve"> a la acción. Para ello se tienen en cuenta los siguientes antecedentes:</w:t>
      </w:r>
    </w:p>
    <w:p w:rsidR="002D7A2B" w:rsidRPr="009C285B" w:rsidRDefault="002D7A2B" w:rsidP="002D7A2B">
      <w:pPr>
        <w:spacing w:line="276" w:lineRule="auto"/>
        <w:ind w:right="3" w:firstLine="708"/>
        <w:jc w:val="both"/>
        <w:rPr>
          <w:rFonts w:ascii="Tahoma" w:hAnsi="Tahoma" w:cs="Tahoma"/>
        </w:rPr>
      </w:pPr>
    </w:p>
    <w:p w:rsidR="00762CB4" w:rsidRPr="009C285B" w:rsidRDefault="002D7A2B" w:rsidP="002D7A2B">
      <w:pPr>
        <w:pStyle w:val="Ttulo5"/>
        <w:tabs>
          <w:tab w:val="left" w:pos="900"/>
        </w:tabs>
        <w:spacing w:line="276" w:lineRule="auto"/>
        <w:ind w:left="720"/>
        <w:rPr>
          <w:rFonts w:ascii="Tahoma" w:hAnsi="Tahoma" w:cs="Tahoma"/>
          <w:sz w:val="24"/>
        </w:rPr>
      </w:pPr>
      <w:r w:rsidRPr="009C285B">
        <w:rPr>
          <w:rFonts w:ascii="Tahoma" w:hAnsi="Tahoma" w:cs="Tahoma"/>
          <w:sz w:val="24"/>
        </w:rPr>
        <w:t>LA DEMANDA</w:t>
      </w:r>
      <w:r>
        <w:rPr>
          <w:rFonts w:ascii="Tahoma" w:hAnsi="Tahoma" w:cs="Tahoma"/>
          <w:sz w:val="24"/>
        </w:rPr>
        <w:t xml:space="preserve"> Y SU CONTESTACIÓN</w:t>
      </w:r>
    </w:p>
    <w:p w:rsidR="00762CB4" w:rsidRPr="009C285B" w:rsidRDefault="00762CB4" w:rsidP="009C285B">
      <w:pPr>
        <w:tabs>
          <w:tab w:val="left" w:pos="1080"/>
        </w:tabs>
        <w:spacing w:line="276" w:lineRule="auto"/>
        <w:jc w:val="both"/>
        <w:rPr>
          <w:rFonts w:ascii="Tahoma" w:hAnsi="Tahoma" w:cs="Tahoma"/>
          <w:iCs/>
        </w:rPr>
      </w:pPr>
    </w:p>
    <w:p w:rsidR="00CC428C" w:rsidRPr="00CC428C" w:rsidRDefault="00CC428C" w:rsidP="00CC428C">
      <w:pPr>
        <w:pStyle w:val="Sinespaciado"/>
        <w:spacing w:line="276" w:lineRule="auto"/>
        <w:ind w:firstLine="709"/>
        <w:jc w:val="both"/>
        <w:rPr>
          <w:rFonts w:ascii="Tahoma" w:hAnsi="Tahoma" w:cs="Tahoma"/>
          <w:lang w:val="es-ES_tradnl"/>
        </w:rPr>
      </w:pPr>
      <w:r w:rsidRPr="00CC428C">
        <w:rPr>
          <w:rFonts w:ascii="Tahoma" w:hAnsi="Tahoma" w:cs="Tahoma"/>
          <w:lang w:val="es-ES_tradnl"/>
        </w:rPr>
        <w:t xml:space="preserve">Manifestó el actor que adelantó ante el Juzgado Cuarto Municipal de Pequeñas Causas Laborales de Pereira, proceso ordinario laboral de única instancia en contra de </w:t>
      </w:r>
      <w:proofErr w:type="spellStart"/>
      <w:r w:rsidRPr="00CC428C">
        <w:rPr>
          <w:rFonts w:ascii="Tahoma" w:hAnsi="Tahoma" w:cs="Tahoma"/>
          <w:lang w:val="es-ES_tradnl"/>
        </w:rPr>
        <w:t>Colpensiones</w:t>
      </w:r>
      <w:proofErr w:type="spellEnd"/>
      <w:r w:rsidRPr="00CC428C">
        <w:rPr>
          <w:rFonts w:ascii="Tahoma" w:hAnsi="Tahoma" w:cs="Tahoma"/>
          <w:lang w:val="es-ES_tradnl"/>
        </w:rPr>
        <w:t>, con el fin de obtener el reconocimiento del incremento pensional por tener a su cargo a su cónyuge María Magdalena Marulanda Rodríguez, según disposición del acuerdo 049 de 1990. Así se dio fin a la actuación, mediante sentencia proferida el 11 de mayo de 2015, en la que se declaró probada, de oficio, la excepción de cosa juzgada por desistimiento de las pretensiones en un proceso anterior.</w:t>
      </w:r>
    </w:p>
    <w:p w:rsidR="00CC428C" w:rsidRPr="00CC428C" w:rsidRDefault="00CC428C" w:rsidP="00CC428C">
      <w:pPr>
        <w:pStyle w:val="Sinespaciado"/>
        <w:spacing w:line="276" w:lineRule="auto"/>
        <w:ind w:firstLine="709"/>
        <w:jc w:val="both"/>
        <w:rPr>
          <w:rFonts w:ascii="Tahoma" w:hAnsi="Tahoma" w:cs="Tahoma"/>
          <w:lang w:val="es-ES_tradnl"/>
        </w:rPr>
      </w:pPr>
    </w:p>
    <w:p w:rsidR="00CC428C" w:rsidRPr="00CC428C" w:rsidRDefault="00CC428C" w:rsidP="00CC428C">
      <w:pPr>
        <w:pStyle w:val="Sinespaciado"/>
        <w:spacing w:line="276" w:lineRule="auto"/>
        <w:ind w:firstLine="709"/>
        <w:jc w:val="both"/>
        <w:rPr>
          <w:rFonts w:ascii="Tahoma" w:hAnsi="Tahoma" w:cs="Tahoma"/>
          <w:lang w:val="es-ES_tradnl"/>
        </w:rPr>
      </w:pPr>
      <w:r w:rsidRPr="00CC428C">
        <w:rPr>
          <w:rFonts w:ascii="Tahoma" w:hAnsi="Tahoma" w:cs="Tahoma"/>
          <w:lang w:val="es-ES_tradnl"/>
        </w:rPr>
        <w:t>Afirmó que la Jueza aplicó irregularmente la figura del desistimiento, alargando sus efectos, por lo que incurrió en una vía de hecho, al extralimitar la excepción oficiosa de cosa juzgada, al darle ultra-actividad a una figura jurídica que solo regula hechos acaecidos con anterioridad.</w:t>
      </w:r>
    </w:p>
    <w:p w:rsidR="00CC428C" w:rsidRPr="00CC428C" w:rsidRDefault="00CC428C" w:rsidP="00CC428C">
      <w:pPr>
        <w:pStyle w:val="Sinespaciado"/>
        <w:spacing w:line="276" w:lineRule="auto"/>
        <w:ind w:firstLine="709"/>
        <w:jc w:val="both"/>
        <w:rPr>
          <w:rFonts w:ascii="Tahoma" w:hAnsi="Tahoma" w:cs="Tahoma"/>
          <w:lang w:val="es-ES_tradnl"/>
        </w:rPr>
      </w:pPr>
    </w:p>
    <w:p w:rsidR="009C285B" w:rsidRDefault="00CC428C" w:rsidP="00CC428C">
      <w:pPr>
        <w:pStyle w:val="Sinespaciado"/>
        <w:spacing w:line="276" w:lineRule="auto"/>
        <w:ind w:firstLine="709"/>
        <w:jc w:val="both"/>
        <w:rPr>
          <w:rFonts w:ascii="Tahoma" w:hAnsi="Tahoma" w:cs="Tahoma"/>
          <w:lang w:val="es-ES_tradnl"/>
        </w:rPr>
      </w:pPr>
      <w:r w:rsidRPr="00CC428C">
        <w:rPr>
          <w:rFonts w:ascii="Tahoma" w:hAnsi="Tahoma" w:cs="Tahoma"/>
          <w:lang w:val="es-ES_tradnl"/>
        </w:rPr>
        <w:t xml:space="preserve">Conforme a los hechos narrados anteriormente el actor solicitó por medio de la acción constitucional que se ordene al Juzgado Cuarto Municipal de Pequeñas Causas Laborales que no le imprima al desistimiento, que originó la aplicación de la </w:t>
      </w:r>
      <w:r w:rsidRPr="00CC428C">
        <w:rPr>
          <w:rFonts w:ascii="Tahoma" w:hAnsi="Tahoma" w:cs="Tahoma"/>
          <w:lang w:val="es-ES_tradnl"/>
        </w:rPr>
        <w:lastRenderedPageBreak/>
        <w:t>cosa juzgada, efectos hacia el futuro, sino hacia el pasado, y en consecuencia, estructure una nueva sentencia.</w:t>
      </w:r>
    </w:p>
    <w:p w:rsidR="00CC428C" w:rsidRPr="009C285B" w:rsidRDefault="00CC428C" w:rsidP="00CC428C">
      <w:pPr>
        <w:pStyle w:val="Sinespaciado"/>
        <w:spacing w:line="276" w:lineRule="auto"/>
        <w:ind w:firstLine="709"/>
        <w:jc w:val="both"/>
        <w:rPr>
          <w:rFonts w:ascii="Tahoma" w:hAnsi="Tahoma" w:cs="Tahoma"/>
        </w:rPr>
      </w:pPr>
    </w:p>
    <w:p w:rsidR="00316F64" w:rsidRDefault="002D7A2B" w:rsidP="002D7A2B">
      <w:pPr>
        <w:tabs>
          <w:tab w:val="left" w:pos="180"/>
        </w:tabs>
        <w:suppressAutoHyphens/>
        <w:spacing w:line="276" w:lineRule="auto"/>
        <w:ind w:right="-7"/>
        <w:jc w:val="center"/>
        <w:rPr>
          <w:rFonts w:ascii="Tahoma" w:hAnsi="Tahoma" w:cs="Tahoma"/>
          <w:b/>
          <w:spacing w:val="-2"/>
        </w:rPr>
      </w:pPr>
      <w:r w:rsidRPr="009C285B">
        <w:rPr>
          <w:rFonts w:ascii="Tahoma" w:hAnsi="Tahoma" w:cs="Tahoma"/>
          <w:b/>
          <w:spacing w:val="-2"/>
        </w:rPr>
        <w:t>CONSIDERACIONES</w:t>
      </w:r>
    </w:p>
    <w:p w:rsidR="002D7A2B" w:rsidRPr="009C285B" w:rsidRDefault="002D7A2B" w:rsidP="002D7A2B">
      <w:pPr>
        <w:tabs>
          <w:tab w:val="left" w:pos="180"/>
        </w:tabs>
        <w:suppressAutoHyphens/>
        <w:spacing w:line="276" w:lineRule="auto"/>
        <w:ind w:right="-7"/>
        <w:jc w:val="center"/>
        <w:rPr>
          <w:rFonts w:ascii="Tahoma" w:hAnsi="Tahoma" w:cs="Tahoma"/>
          <w:spacing w:val="-2"/>
        </w:rPr>
      </w:pPr>
    </w:p>
    <w:p w:rsidR="00762CB4" w:rsidRDefault="002D7A2B" w:rsidP="005376B2">
      <w:pPr>
        <w:pStyle w:val="Default"/>
        <w:numPr>
          <w:ilvl w:val="0"/>
          <w:numId w:val="3"/>
        </w:numPr>
        <w:tabs>
          <w:tab w:val="left" w:pos="993"/>
        </w:tabs>
        <w:spacing w:line="276" w:lineRule="auto"/>
        <w:ind w:hanging="11"/>
        <w:jc w:val="both"/>
        <w:rPr>
          <w:rFonts w:ascii="Tahoma" w:hAnsi="Tahoma" w:cs="Tahoma"/>
          <w:b/>
          <w:color w:val="auto"/>
        </w:rPr>
      </w:pPr>
      <w:r>
        <w:rPr>
          <w:rFonts w:ascii="Tahoma" w:hAnsi="Tahoma" w:cs="Tahoma"/>
          <w:b/>
          <w:color w:val="auto"/>
        </w:rPr>
        <w:t>Problema jurídico</w:t>
      </w:r>
    </w:p>
    <w:p w:rsidR="002D7A2B" w:rsidRDefault="002D7A2B" w:rsidP="002D7A2B">
      <w:pPr>
        <w:pStyle w:val="Default"/>
        <w:tabs>
          <w:tab w:val="left" w:pos="1134"/>
        </w:tabs>
        <w:spacing w:line="276" w:lineRule="auto"/>
        <w:ind w:left="720"/>
        <w:jc w:val="both"/>
        <w:rPr>
          <w:rFonts w:ascii="Tahoma" w:hAnsi="Tahoma" w:cs="Tahoma"/>
          <w:b/>
          <w:color w:val="auto"/>
        </w:rPr>
      </w:pPr>
    </w:p>
    <w:p w:rsidR="002D7A2B" w:rsidRDefault="002D7A2B" w:rsidP="005376B2">
      <w:pPr>
        <w:pStyle w:val="Default"/>
        <w:tabs>
          <w:tab w:val="left" w:pos="1134"/>
        </w:tabs>
        <w:spacing w:line="276" w:lineRule="auto"/>
        <w:ind w:firstLine="709"/>
        <w:jc w:val="both"/>
        <w:rPr>
          <w:rFonts w:ascii="Tahoma" w:hAnsi="Tahoma" w:cs="Tahoma"/>
          <w:color w:val="auto"/>
        </w:rPr>
      </w:pPr>
      <w:r w:rsidRPr="002D7A2B">
        <w:rPr>
          <w:rFonts w:ascii="Tahoma" w:hAnsi="Tahoma" w:cs="Tahoma"/>
          <w:color w:val="auto"/>
        </w:rPr>
        <w:t>¿La falta de vinculación de los sujetos que intervinieron directa e indirectamente en los hechos que dieron origen a esta acción de tutela, genera la nulidad en el trámite de tutela?</w:t>
      </w:r>
    </w:p>
    <w:p w:rsidR="002D7A2B" w:rsidRPr="002D7A2B" w:rsidRDefault="002D7A2B" w:rsidP="005376B2">
      <w:pPr>
        <w:pStyle w:val="Default"/>
        <w:tabs>
          <w:tab w:val="left" w:pos="1134"/>
        </w:tabs>
        <w:spacing w:line="276" w:lineRule="auto"/>
        <w:ind w:firstLine="709"/>
        <w:jc w:val="both"/>
        <w:rPr>
          <w:rFonts w:ascii="Tahoma" w:hAnsi="Tahoma" w:cs="Tahoma"/>
          <w:color w:val="auto"/>
        </w:rPr>
      </w:pPr>
    </w:p>
    <w:p w:rsidR="005376B2" w:rsidRPr="005376B2" w:rsidRDefault="005376B2" w:rsidP="005376B2">
      <w:pPr>
        <w:pStyle w:val="Textoindependiente"/>
        <w:numPr>
          <w:ilvl w:val="0"/>
          <w:numId w:val="3"/>
        </w:numPr>
        <w:tabs>
          <w:tab w:val="left" w:pos="993"/>
        </w:tabs>
        <w:overflowPunct w:val="0"/>
        <w:autoSpaceDE w:val="0"/>
        <w:autoSpaceDN w:val="0"/>
        <w:adjustRightInd w:val="0"/>
        <w:spacing w:line="276" w:lineRule="auto"/>
        <w:ind w:hanging="11"/>
        <w:textAlignment w:val="baseline"/>
        <w:rPr>
          <w:rFonts w:ascii="Tahoma" w:hAnsi="Tahoma" w:cs="Tahoma"/>
          <w:b/>
          <w:sz w:val="24"/>
          <w:u w:val="none"/>
        </w:rPr>
      </w:pPr>
      <w:r w:rsidRPr="005376B2">
        <w:rPr>
          <w:rFonts w:ascii="Tahoma" w:hAnsi="Tahoma" w:cs="Tahoma"/>
          <w:b/>
          <w:sz w:val="24"/>
          <w:u w:val="none"/>
        </w:rPr>
        <w:t>La debida integración del contradictorio</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bCs/>
          <w:sz w:val="24"/>
          <w:u w:val="none"/>
        </w:rPr>
        <w:t>Ha sido una postura pacífica de esta Sala</w:t>
      </w:r>
      <w:r w:rsidRPr="005376B2">
        <w:rPr>
          <w:rStyle w:val="Refdenotaalpie"/>
          <w:rFonts w:ascii="Tahoma" w:hAnsi="Tahoma" w:cs="Tahoma"/>
          <w:bCs/>
          <w:sz w:val="24"/>
          <w:u w:val="none"/>
        </w:rPr>
        <w:footnoteReference w:id="1"/>
      </w:r>
      <w:r w:rsidRPr="005376B2">
        <w:rPr>
          <w:rFonts w:ascii="Tahoma" w:hAnsi="Tahoma" w:cs="Tahoma"/>
          <w:bCs/>
          <w:sz w:val="24"/>
          <w:u w:val="none"/>
        </w:rPr>
        <w:t xml:space="preserve"> que </w:t>
      </w:r>
      <w:r w:rsidRPr="005376B2">
        <w:rPr>
          <w:rFonts w:ascii="Tahoma" w:hAnsi="Tahoma" w:cs="Tahoma"/>
          <w:sz w:val="24"/>
          <w:u w:val="none"/>
        </w:rPr>
        <w:t xml:space="preserve">la acción de tutela y las actuaciones que ella genera no se encuentran sujetas a fórmulas sacramentales, solemnidades, ni requisitos especiales que terminen por obstaculizar la finalidad con que la misma fue concebida, que no es otra, que el resguardo inmediato de los derechos fundamentales; sin embargo, también ha expresado que tal informalidad no puede implicar el quebrantamiento del debido proceso, en cuyo contenido constitucionalmente protegido se incorporan los derechos de defensa y contradicción.  </w:t>
      </w:r>
    </w:p>
    <w:p w:rsidR="005376B2" w:rsidRPr="005376B2" w:rsidRDefault="005376B2" w:rsidP="005376B2">
      <w:pPr>
        <w:pStyle w:val="Textoindependiente"/>
        <w:spacing w:line="276" w:lineRule="auto"/>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Es así que en procura de garantizar el respeto por dichas prerrogativas, el juez constitucional está llamado a hacer uso de las amplias facultades oficiosas que,  en materia de tutela,  ha sido revestido, siendo una de ellas, la vinculación al trámite de tutela a otras personas naturales o jurídicas involucrada</w:t>
      </w:r>
      <w:r w:rsidR="00DE0BF0">
        <w:rPr>
          <w:rFonts w:ascii="Tahoma" w:hAnsi="Tahoma" w:cs="Tahoma"/>
          <w:sz w:val="24"/>
          <w:u w:val="none"/>
        </w:rPr>
        <w:t>s</w:t>
      </w:r>
      <w:r w:rsidRPr="005376B2">
        <w:rPr>
          <w:rFonts w:ascii="Tahoma" w:hAnsi="Tahoma" w:cs="Tahoma"/>
          <w:sz w:val="24"/>
          <w:u w:val="none"/>
        </w:rPr>
        <w:t xml:space="preserve"> en la supuesta violación que dio lugar a la demanda de tutela y/o con interés en el proceso, pues no en vano, el parágrafo del artículo 29 del Decreto 2591 de 1991, prohíbe las sentencias inhibitorias.</w:t>
      </w:r>
    </w:p>
    <w:p w:rsidR="005376B2" w:rsidRPr="005376B2" w:rsidRDefault="005376B2" w:rsidP="005376B2">
      <w:pPr>
        <w:pStyle w:val="Textoindependiente"/>
        <w:spacing w:line="276" w:lineRule="auto"/>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Lo anterior, no tiene otra finalidad que permitir que las personas naturales o jurídicas que puedan estar involucradas con la vulneración de los derechos sobre los cuales se busca la protección, así como aquéllas que puedan verse afectadas por el cumplimiento de una eventual orden de amparo, o por las decisiones que adopte el juez constitucional, puedan ejercer garantías procesales de orden constitucional materializadas en su oportuna intervención al trámite, con el fin de pronunciarse sobre las pretensiones de la demanda, aportar y solicitar las pruebas que consideren pertinentes, y en fin, hacer uso de los medios de defensa y contradicción que ofrece el ordenamiento jurídico.</w:t>
      </w:r>
    </w:p>
    <w:p w:rsidR="005376B2" w:rsidRPr="005376B2" w:rsidRDefault="005376B2" w:rsidP="005376B2">
      <w:pPr>
        <w:pStyle w:val="Textoindependiente"/>
        <w:spacing w:line="276" w:lineRule="auto"/>
        <w:rPr>
          <w:rFonts w:ascii="Tahoma" w:hAnsi="Tahoma" w:cs="Tahoma"/>
          <w:sz w:val="24"/>
          <w:u w:val="none"/>
        </w:rPr>
      </w:pPr>
    </w:p>
    <w:p w:rsidR="005376B2" w:rsidRPr="005376B2" w:rsidRDefault="005376B2" w:rsidP="005376B2">
      <w:pPr>
        <w:pStyle w:val="Textoindependiente"/>
        <w:spacing w:line="276" w:lineRule="auto"/>
        <w:ind w:firstLine="708"/>
        <w:rPr>
          <w:rFonts w:ascii="Tahoma" w:hAnsi="Tahoma" w:cs="Tahoma"/>
          <w:sz w:val="24"/>
          <w:u w:val="none"/>
        </w:rPr>
      </w:pPr>
      <w:r w:rsidRPr="005376B2">
        <w:rPr>
          <w:rFonts w:ascii="Tahoma" w:hAnsi="Tahoma" w:cs="Tahoma"/>
          <w:sz w:val="24"/>
          <w:u w:val="none"/>
        </w:rPr>
        <w:t>Al efecto dijo la Corte Constitucional en Auto-055 de 1997, ratificado en la providencia 191 de 2011, lo siguiente:</w:t>
      </w:r>
    </w:p>
    <w:p w:rsidR="005376B2" w:rsidRPr="005376B2" w:rsidRDefault="005376B2" w:rsidP="005376B2">
      <w:pPr>
        <w:pStyle w:val="Textoindependiente"/>
        <w:spacing w:line="276" w:lineRule="auto"/>
        <w:jc w:val="left"/>
        <w:rPr>
          <w:rFonts w:ascii="Tahoma" w:hAnsi="Tahoma" w:cs="Tahoma"/>
          <w:sz w:val="24"/>
          <w:u w:val="none"/>
        </w:rPr>
      </w:pPr>
    </w:p>
    <w:p w:rsidR="005376B2" w:rsidRPr="005376B2" w:rsidRDefault="005376B2" w:rsidP="005376B2">
      <w:pPr>
        <w:pStyle w:val="Textoindependiente"/>
        <w:ind w:left="708" w:right="476"/>
        <w:rPr>
          <w:rStyle w:val="Refdenotaalpie"/>
          <w:rFonts w:ascii="Arial Narrow" w:hAnsi="Arial Narrow" w:cs="Tahoma"/>
          <w:i/>
          <w:sz w:val="24"/>
          <w:u w:val="none"/>
        </w:rPr>
      </w:pPr>
      <w:r w:rsidRPr="005376B2">
        <w:rPr>
          <w:rFonts w:ascii="Arial Narrow" w:hAnsi="Arial Narrow" w:cs="Tahoma"/>
          <w:i/>
          <w:sz w:val="24"/>
          <w:u w:val="none"/>
        </w:rPr>
        <w:lastRenderedPageBreak/>
        <w:t>“Y respecto de los terceros, los artículos 13 y 16 del Decreto 2591 de 1991 permiten que el tercero con interés legítimo en el proceso intervenga como coadyuvante del actor o de la persona o autoridad pública contra quien se hubiere dirigido la demanda de tutela y le ordenan al juez que se le notifiquen las providencias que se emitan.  Nótese como la ley no solo permite la intervención del tercero, bien sea para demandar también protección constitucional o para que oponerse a ella, sino que respecto de él extiende la cobertura de los actos de comunicación procesal”.</w:t>
      </w:r>
      <w:r w:rsidRPr="005376B2">
        <w:rPr>
          <w:rStyle w:val="Refdenotaalpie"/>
          <w:rFonts w:ascii="Arial Narrow" w:hAnsi="Arial Narrow" w:cs="Tahoma"/>
          <w:i/>
          <w:sz w:val="24"/>
          <w:u w:val="none"/>
        </w:rPr>
        <w:t xml:space="preserve"> </w:t>
      </w:r>
    </w:p>
    <w:p w:rsidR="005376B2" w:rsidRPr="005376B2" w:rsidRDefault="005376B2" w:rsidP="005376B2">
      <w:pPr>
        <w:pStyle w:val="Textoindependiente"/>
        <w:spacing w:line="276" w:lineRule="auto"/>
        <w:ind w:left="426" w:right="476"/>
        <w:rPr>
          <w:rStyle w:val="Refdenotaalpie"/>
          <w:rFonts w:ascii="Tahoma" w:hAnsi="Tahoma" w:cs="Tahoma"/>
          <w:i/>
          <w:sz w:val="24"/>
          <w:u w:val="none"/>
        </w:rPr>
      </w:pPr>
    </w:p>
    <w:p w:rsidR="005376B2" w:rsidRPr="005376B2" w:rsidRDefault="005376B2" w:rsidP="005376B2">
      <w:pPr>
        <w:pStyle w:val="Textoindependiente"/>
        <w:spacing w:line="276" w:lineRule="auto"/>
        <w:ind w:right="51" w:firstLine="708"/>
        <w:rPr>
          <w:rFonts w:ascii="Tahoma" w:hAnsi="Tahoma" w:cs="Tahoma"/>
          <w:sz w:val="24"/>
          <w:u w:val="none"/>
        </w:rPr>
      </w:pPr>
      <w:r w:rsidRPr="005376B2">
        <w:rPr>
          <w:rFonts w:ascii="Tahoma" w:hAnsi="Tahoma" w:cs="Tahoma"/>
          <w:sz w:val="24"/>
          <w:u w:val="none"/>
        </w:rPr>
        <w:t xml:space="preserve">Así las cosas, resulta evidente que la falta de vinculación o de notificación de las actuaciones procesales efectuadas en el trámite de una tutela a las personas con interés legítimo, en las resultas de la acción de tutela, bien como parte o bien como tercero, genera una nulidad que impide atener de fondo el asunto, pero que puede ser subsanada con la efectiva la integración del contradictorio. </w:t>
      </w:r>
    </w:p>
    <w:p w:rsidR="005376B2" w:rsidRPr="005376B2" w:rsidRDefault="005376B2" w:rsidP="005376B2">
      <w:pPr>
        <w:pStyle w:val="Textoindependiente"/>
        <w:spacing w:line="276" w:lineRule="auto"/>
        <w:ind w:right="51" w:firstLine="708"/>
        <w:rPr>
          <w:rFonts w:ascii="Tahoma" w:hAnsi="Tahoma" w:cs="Tahoma"/>
          <w:sz w:val="24"/>
          <w:u w:val="none"/>
        </w:rPr>
      </w:pPr>
    </w:p>
    <w:p w:rsidR="005376B2" w:rsidRPr="005376B2" w:rsidRDefault="005376B2" w:rsidP="005376B2">
      <w:pPr>
        <w:spacing w:line="276" w:lineRule="auto"/>
        <w:ind w:right="-27" w:firstLine="708"/>
        <w:jc w:val="both"/>
        <w:rPr>
          <w:rFonts w:ascii="Tahoma" w:hAnsi="Tahoma" w:cs="Tahoma"/>
        </w:rPr>
      </w:pPr>
      <w:r w:rsidRPr="005376B2">
        <w:rPr>
          <w:rFonts w:ascii="Tahoma" w:hAnsi="Tahoma" w:cs="Tahoma"/>
          <w:b/>
        </w:rPr>
        <w:t>3. Caso concreto</w:t>
      </w:r>
    </w:p>
    <w:p w:rsidR="005376B2" w:rsidRPr="005376B2" w:rsidRDefault="005376B2" w:rsidP="005376B2">
      <w:pPr>
        <w:spacing w:line="276" w:lineRule="auto"/>
        <w:jc w:val="both"/>
        <w:rPr>
          <w:rFonts w:ascii="Tahoma" w:hAnsi="Tahoma" w:cs="Tahoma"/>
        </w:rPr>
      </w:pPr>
    </w:p>
    <w:p w:rsidR="005376B2" w:rsidRDefault="005376B2" w:rsidP="005376B2">
      <w:pPr>
        <w:spacing w:line="276" w:lineRule="auto"/>
        <w:ind w:firstLine="1080"/>
        <w:jc w:val="both"/>
        <w:rPr>
          <w:rFonts w:ascii="Tahoma" w:hAnsi="Tahoma" w:cs="Tahoma"/>
          <w:lang w:eastAsia="es-CO"/>
        </w:rPr>
      </w:pPr>
      <w:r w:rsidRPr="005376B2">
        <w:rPr>
          <w:rFonts w:ascii="Tahoma" w:hAnsi="Tahoma" w:cs="Tahoma"/>
          <w:lang w:eastAsia="es-CO"/>
        </w:rPr>
        <w:t>Revisado el conte</w:t>
      </w:r>
      <w:r w:rsidR="00DE0BF0">
        <w:rPr>
          <w:rFonts w:ascii="Tahoma" w:hAnsi="Tahoma" w:cs="Tahoma"/>
          <w:lang w:eastAsia="es-CO"/>
        </w:rPr>
        <w:t>nido de la demanda de tutela,</w:t>
      </w:r>
      <w:r w:rsidRPr="005376B2">
        <w:rPr>
          <w:rFonts w:ascii="Tahoma" w:hAnsi="Tahoma" w:cs="Tahoma"/>
          <w:lang w:eastAsia="es-CO"/>
        </w:rPr>
        <w:t xml:space="preserve"> se evidencia que </w:t>
      </w:r>
      <w:r w:rsidR="00A12AA0">
        <w:rPr>
          <w:rFonts w:ascii="Tahoma" w:hAnsi="Tahoma" w:cs="Tahoma"/>
          <w:lang w:eastAsia="es-CO"/>
        </w:rPr>
        <w:t>la providencia objeto de controversia en</w:t>
      </w:r>
      <w:r w:rsidR="00DE0BF0">
        <w:rPr>
          <w:rFonts w:ascii="Tahoma" w:hAnsi="Tahoma" w:cs="Tahoma"/>
          <w:lang w:eastAsia="es-CO"/>
        </w:rPr>
        <w:t xml:space="preserve"> la presente acción</w:t>
      </w:r>
      <w:r w:rsidR="00A12AA0">
        <w:rPr>
          <w:rFonts w:ascii="Tahoma" w:hAnsi="Tahoma" w:cs="Tahoma"/>
          <w:lang w:eastAsia="es-CO"/>
        </w:rPr>
        <w:t xml:space="preserve"> y de la cual se solicita su modificación</w:t>
      </w:r>
      <w:r w:rsidR="00DE0BF0">
        <w:rPr>
          <w:rFonts w:ascii="Tahoma" w:hAnsi="Tahoma" w:cs="Tahoma"/>
          <w:lang w:eastAsia="es-CO"/>
        </w:rPr>
        <w:t xml:space="preserve">, </w:t>
      </w:r>
      <w:r w:rsidR="00A12AA0">
        <w:rPr>
          <w:rFonts w:ascii="Tahoma" w:hAnsi="Tahoma" w:cs="Tahoma"/>
          <w:lang w:eastAsia="es-CO"/>
        </w:rPr>
        <w:t>fue resultado de un proceso ordina laboral de única instancia promovido en contra de la Administradora Colombiana de Pensiones-</w:t>
      </w:r>
      <w:proofErr w:type="spellStart"/>
      <w:r w:rsidR="00A12AA0">
        <w:rPr>
          <w:rFonts w:ascii="Tahoma" w:hAnsi="Tahoma" w:cs="Tahoma"/>
          <w:lang w:eastAsia="es-CO"/>
        </w:rPr>
        <w:t>Colpensiones</w:t>
      </w:r>
      <w:proofErr w:type="spellEnd"/>
      <w:r w:rsidR="00A12AA0">
        <w:rPr>
          <w:rFonts w:ascii="Tahoma" w:hAnsi="Tahoma" w:cs="Tahoma"/>
          <w:lang w:eastAsia="es-CO"/>
        </w:rPr>
        <w:t>, en la que esta quedó a salvo de las pretensiones incoadas</w:t>
      </w:r>
      <w:r w:rsidR="006C290A">
        <w:rPr>
          <w:rFonts w:ascii="Tahoma" w:hAnsi="Tahoma" w:cs="Tahoma"/>
          <w:lang w:eastAsia="es-CO"/>
        </w:rPr>
        <w:t>,</w:t>
      </w:r>
      <w:r w:rsidR="00DE0BF0">
        <w:rPr>
          <w:rFonts w:ascii="Tahoma" w:hAnsi="Tahoma" w:cs="Tahoma"/>
          <w:lang w:eastAsia="es-CO"/>
        </w:rPr>
        <w:t xml:space="preserve"> por lo que en una eventual condena que ampare los derechos fundamentales cuya protección</w:t>
      </w:r>
      <w:r w:rsidRPr="005376B2">
        <w:rPr>
          <w:rFonts w:ascii="Tahoma" w:hAnsi="Tahoma" w:cs="Tahoma"/>
          <w:lang w:eastAsia="es-CO"/>
        </w:rPr>
        <w:t xml:space="preserve"> se solicita,</w:t>
      </w:r>
      <w:r w:rsidR="00A12AA0">
        <w:rPr>
          <w:rFonts w:ascii="Tahoma" w:hAnsi="Tahoma" w:cs="Tahoma"/>
          <w:lang w:eastAsia="es-CO"/>
        </w:rPr>
        <w:t xml:space="preserve"> </w:t>
      </w:r>
      <w:r w:rsidR="00DE0BF0">
        <w:rPr>
          <w:rFonts w:ascii="Tahoma" w:hAnsi="Tahoma" w:cs="Tahoma"/>
          <w:lang w:eastAsia="es-CO"/>
        </w:rPr>
        <w:t xml:space="preserve">podría verse </w:t>
      </w:r>
      <w:r w:rsidR="00A12AA0">
        <w:rPr>
          <w:rFonts w:ascii="Tahoma" w:hAnsi="Tahoma" w:cs="Tahoma"/>
          <w:lang w:eastAsia="es-CO"/>
        </w:rPr>
        <w:t>afectada</w:t>
      </w:r>
      <w:r w:rsidR="00DE0BF0">
        <w:rPr>
          <w:rFonts w:ascii="Tahoma" w:hAnsi="Tahoma" w:cs="Tahoma"/>
          <w:lang w:eastAsia="es-CO"/>
        </w:rPr>
        <w:t xml:space="preserve"> </w:t>
      </w:r>
      <w:r w:rsidR="006C290A">
        <w:rPr>
          <w:rFonts w:ascii="Tahoma" w:hAnsi="Tahoma" w:cs="Tahoma"/>
          <w:lang w:eastAsia="es-CO"/>
        </w:rPr>
        <w:t>dicha entidad</w:t>
      </w:r>
      <w:r w:rsidR="00DE0BF0">
        <w:rPr>
          <w:rFonts w:ascii="Tahoma" w:hAnsi="Tahoma" w:cs="Tahoma"/>
          <w:lang w:eastAsia="es-CO"/>
        </w:rPr>
        <w:t xml:space="preserve">, </w:t>
      </w:r>
      <w:r w:rsidR="006C290A">
        <w:rPr>
          <w:rFonts w:ascii="Tahoma" w:hAnsi="Tahoma" w:cs="Tahoma"/>
          <w:lang w:eastAsia="es-CO"/>
        </w:rPr>
        <w:t>y por tanto</w:t>
      </w:r>
      <w:r w:rsidR="00DE0BF0">
        <w:rPr>
          <w:rFonts w:ascii="Tahoma" w:hAnsi="Tahoma" w:cs="Tahoma"/>
          <w:lang w:eastAsia="es-CO"/>
        </w:rPr>
        <w:t xml:space="preserve"> </w:t>
      </w:r>
      <w:r w:rsidR="006C290A">
        <w:rPr>
          <w:rFonts w:ascii="Tahoma" w:hAnsi="Tahoma" w:cs="Tahoma"/>
          <w:lang w:eastAsia="es-CO"/>
        </w:rPr>
        <w:t>se requiere su intervención dentro de esta acción para que ejerza su derecho de defensa.</w:t>
      </w:r>
    </w:p>
    <w:p w:rsidR="00E43AD5" w:rsidRDefault="00E43AD5" w:rsidP="005376B2">
      <w:pPr>
        <w:spacing w:line="276" w:lineRule="auto"/>
        <w:ind w:firstLine="1080"/>
        <w:jc w:val="both"/>
        <w:rPr>
          <w:rFonts w:ascii="Tahoma" w:hAnsi="Tahoma" w:cs="Tahoma"/>
          <w:lang w:eastAsia="es-CO"/>
        </w:rPr>
      </w:pPr>
    </w:p>
    <w:p w:rsidR="00E43AD5" w:rsidRDefault="005376B2" w:rsidP="005376B2">
      <w:pPr>
        <w:spacing w:line="276" w:lineRule="auto"/>
        <w:ind w:firstLine="1080"/>
        <w:jc w:val="both"/>
        <w:rPr>
          <w:rFonts w:ascii="Tahoma" w:hAnsi="Tahoma" w:cs="Tahoma"/>
          <w:lang w:eastAsia="es-CO"/>
        </w:rPr>
      </w:pPr>
      <w:r w:rsidRPr="005376B2">
        <w:rPr>
          <w:rFonts w:ascii="Tahoma" w:hAnsi="Tahoma" w:cs="Tahoma"/>
          <w:lang w:eastAsia="es-CO"/>
        </w:rPr>
        <w:t xml:space="preserve">En ese orden de ideas, considera </w:t>
      </w:r>
      <w:r w:rsidR="00345CF4" w:rsidRPr="00345CF4">
        <w:rPr>
          <w:rFonts w:ascii="Tahoma" w:hAnsi="Tahoma" w:cs="Tahoma"/>
          <w:lang w:eastAsia="es-CO"/>
        </w:rPr>
        <w:t xml:space="preserve">la suscrita Magistrada </w:t>
      </w:r>
      <w:r w:rsidRPr="005376B2">
        <w:rPr>
          <w:rFonts w:ascii="Tahoma" w:hAnsi="Tahoma" w:cs="Tahoma"/>
          <w:lang w:eastAsia="es-CO"/>
        </w:rPr>
        <w:t>que se hace necesario v</w:t>
      </w:r>
      <w:r>
        <w:rPr>
          <w:rFonts w:ascii="Tahoma" w:hAnsi="Tahoma" w:cs="Tahoma"/>
          <w:lang w:eastAsia="es-CO"/>
        </w:rPr>
        <w:t>incular en calidad de demandada a la</w:t>
      </w:r>
      <w:r w:rsidR="00E20F43">
        <w:rPr>
          <w:rFonts w:ascii="Tahoma" w:hAnsi="Tahoma" w:cs="Tahoma"/>
          <w:lang w:eastAsia="es-CO"/>
        </w:rPr>
        <w:t xml:space="preserve"> Administradora Colombia de Pensiones-</w:t>
      </w:r>
      <w:proofErr w:type="spellStart"/>
      <w:r w:rsidR="00E20F43">
        <w:rPr>
          <w:rFonts w:ascii="Tahoma" w:hAnsi="Tahoma" w:cs="Tahoma"/>
          <w:lang w:eastAsia="es-CO"/>
        </w:rPr>
        <w:t>Colpensiones</w:t>
      </w:r>
      <w:proofErr w:type="spellEnd"/>
      <w:r>
        <w:rPr>
          <w:rFonts w:ascii="Tahoma" w:hAnsi="Tahoma" w:cs="Tahoma"/>
          <w:lang w:eastAsia="es-CO"/>
        </w:rPr>
        <w:t xml:space="preserve">, </w:t>
      </w:r>
      <w:r w:rsidR="00E20F43" w:rsidRPr="00E20F43">
        <w:rPr>
          <w:rFonts w:ascii="Tahoma" w:hAnsi="Tahoma" w:cs="Tahoma"/>
          <w:lang w:eastAsia="es-CO"/>
        </w:rPr>
        <w:t>en razón que puede resultar afectado con la decisión que se profiera.</w:t>
      </w:r>
    </w:p>
    <w:p w:rsidR="00CC428C" w:rsidRDefault="00CC428C" w:rsidP="005376B2">
      <w:pPr>
        <w:spacing w:line="276" w:lineRule="auto"/>
        <w:ind w:firstLine="1080"/>
        <w:jc w:val="both"/>
        <w:rPr>
          <w:rFonts w:ascii="Tahoma" w:hAnsi="Tahoma" w:cs="Tahoma"/>
          <w:lang w:eastAsia="es-CO"/>
        </w:rPr>
      </w:pPr>
    </w:p>
    <w:p w:rsidR="00345CF4" w:rsidRPr="006B5AE8" w:rsidRDefault="004157A7" w:rsidP="00345CF4">
      <w:pPr>
        <w:spacing w:line="360" w:lineRule="auto"/>
        <w:ind w:firstLine="1080"/>
        <w:jc w:val="both"/>
        <w:rPr>
          <w:rFonts w:ascii="Tahoma" w:hAnsi="Tahoma" w:cs="Tahoma"/>
          <w:lang w:eastAsia="es-CO"/>
        </w:rPr>
      </w:pPr>
      <w:r w:rsidRPr="005376B2">
        <w:rPr>
          <w:rFonts w:ascii="Tahoma" w:hAnsi="Tahoma" w:cs="Tahoma"/>
          <w:lang w:eastAsia="es-CO"/>
        </w:rPr>
        <w:t xml:space="preserve">Corolario de lo anterior, </w:t>
      </w:r>
      <w:r w:rsidR="00345CF4" w:rsidRPr="006B5AE8">
        <w:rPr>
          <w:rFonts w:ascii="Tahoma" w:hAnsi="Tahoma" w:cs="Tahoma"/>
          <w:b/>
          <w:lang w:eastAsia="es-CO"/>
        </w:rPr>
        <w:t xml:space="preserve">Sala </w:t>
      </w:r>
      <w:r w:rsidR="00345CF4">
        <w:rPr>
          <w:rFonts w:ascii="Tahoma" w:hAnsi="Tahoma" w:cs="Tahoma"/>
          <w:b/>
          <w:lang w:eastAsia="es-CO"/>
        </w:rPr>
        <w:t xml:space="preserve">Unitaria </w:t>
      </w:r>
      <w:r w:rsidR="00345CF4" w:rsidRPr="006B5AE8">
        <w:rPr>
          <w:rFonts w:ascii="Tahoma" w:hAnsi="Tahoma" w:cs="Tahoma"/>
          <w:b/>
          <w:lang w:eastAsia="es-CO"/>
        </w:rPr>
        <w:t>de Decisión Laboral del Tribunal Superior del Distrito Judicial de Pereira</w:t>
      </w:r>
      <w:r w:rsidR="00345CF4">
        <w:rPr>
          <w:rFonts w:ascii="Tahoma" w:hAnsi="Tahoma" w:cs="Tahoma"/>
          <w:lang w:eastAsia="es-CO"/>
        </w:rPr>
        <w:t>,</w:t>
      </w:r>
    </w:p>
    <w:p w:rsidR="004157A7" w:rsidRPr="005376B2" w:rsidRDefault="004157A7" w:rsidP="005376B2">
      <w:pPr>
        <w:spacing w:line="276" w:lineRule="auto"/>
        <w:ind w:firstLine="1080"/>
        <w:jc w:val="both"/>
        <w:rPr>
          <w:rFonts w:ascii="Tahoma" w:hAnsi="Tahoma" w:cs="Tahoma"/>
          <w:lang w:eastAsia="es-CO"/>
        </w:rPr>
      </w:pPr>
    </w:p>
    <w:p w:rsidR="004157A7" w:rsidRPr="005376B2" w:rsidRDefault="004157A7" w:rsidP="009C285B">
      <w:pPr>
        <w:pStyle w:val="Ttulo4"/>
        <w:spacing w:line="276" w:lineRule="auto"/>
        <w:jc w:val="center"/>
        <w:rPr>
          <w:rFonts w:ascii="Tahoma" w:hAnsi="Tahoma" w:cs="Tahoma"/>
          <w:b/>
          <w:i w:val="0"/>
          <w:color w:val="auto"/>
        </w:rPr>
      </w:pPr>
      <w:r w:rsidRPr="005376B2">
        <w:rPr>
          <w:rFonts w:ascii="Tahoma" w:hAnsi="Tahoma" w:cs="Tahoma"/>
          <w:b/>
          <w:i w:val="0"/>
          <w:color w:val="auto"/>
        </w:rPr>
        <w:t>RESUELVE</w:t>
      </w:r>
    </w:p>
    <w:p w:rsidR="004157A7" w:rsidRPr="005376B2" w:rsidRDefault="004157A7" w:rsidP="009C285B">
      <w:pPr>
        <w:pStyle w:val="Sinespaciado"/>
        <w:spacing w:line="276" w:lineRule="auto"/>
        <w:rPr>
          <w:rFonts w:ascii="Tahoma" w:hAnsi="Tahoma" w:cs="Tahoma"/>
        </w:rPr>
      </w:pPr>
    </w:p>
    <w:p w:rsidR="005376B2" w:rsidRPr="00CC428C" w:rsidRDefault="005376B2" w:rsidP="005376B2">
      <w:pPr>
        <w:widowControl w:val="0"/>
        <w:spacing w:line="276" w:lineRule="auto"/>
        <w:ind w:firstLine="708"/>
        <w:jc w:val="both"/>
        <w:rPr>
          <w:rFonts w:ascii="Tahoma" w:hAnsi="Tahoma" w:cs="Tahoma"/>
        </w:rPr>
      </w:pPr>
      <w:r w:rsidRPr="005376B2">
        <w:rPr>
          <w:rFonts w:ascii="Tahoma" w:hAnsi="Tahoma" w:cs="Tahoma"/>
          <w:b/>
        </w:rPr>
        <w:t>PRIMERO: DECLARAR</w:t>
      </w:r>
      <w:r w:rsidRPr="005376B2">
        <w:rPr>
          <w:rFonts w:ascii="Tahoma" w:hAnsi="Tahoma" w:cs="Tahoma"/>
        </w:rPr>
        <w:t xml:space="preserve"> la nulidad de la actuación a partir del día siguiente a la notificación del auto </w:t>
      </w:r>
      <w:proofErr w:type="spellStart"/>
      <w:r w:rsidRPr="005376B2">
        <w:rPr>
          <w:rFonts w:ascii="Tahoma" w:hAnsi="Tahoma" w:cs="Tahoma"/>
        </w:rPr>
        <w:t>admisorio</w:t>
      </w:r>
      <w:proofErr w:type="spellEnd"/>
      <w:r w:rsidRPr="005376B2">
        <w:rPr>
          <w:rFonts w:ascii="Tahoma" w:hAnsi="Tahoma" w:cs="Tahoma"/>
        </w:rPr>
        <w:t xml:space="preserve"> proferido el día </w:t>
      </w:r>
      <w:r w:rsidR="00CC428C">
        <w:rPr>
          <w:rFonts w:ascii="Tahoma" w:hAnsi="Tahoma" w:cs="Tahoma"/>
        </w:rPr>
        <w:t>veintiuno</w:t>
      </w:r>
      <w:r w:rsidR="00CC428C" w:rsidRPr="005376B2">
        <w:rPr>
          <w:rFonts w:ascii="Tahoma" w:hAnsi="Tahoma" w:cs="Tahoma"/>
        </w:rPr>
        <w:t xml:space="preserve"> </w:t>
      </w:r>
      <w:r w:rsidRPr="005376B2">
        <w:rPr>
          <w:rFonts w:ascii="Tahoma" w:hAnsi="Tahoma" w:cs="Tahoma"/>
        </w:rPr>
        <w:t>(</w:t>
      </w:r>
      <w:r w:rsidR="00CC428C">
        <w:rPr>
          <w:rFonts w:ascii="Tahoma" w:hAnsi="Tahoma" w:cs="Tahoma"/>
        </w:rPr>
        <w:t>21</w:t>
      </w:r>
      <w:r w:rsidRPr="005376B2">
        <w:rPr>
          <w:rFonts w:ascii="Tahoma" w:hAnsi="Tahoma" w:cs="Tahoma"/>
        </w:rPr>
        <w:t xml:space="preserve">) de </w:t>
      </w:r>
      <w:r>
        <w:rPr>
          <w:rFonts w:ascii="Tahoma" w:hAnsi="Tahoma" w:cs="Tahoma"/>
        </w:rPr>
        <w:t>septiembre</w:t>
      </w:r>
      <w:r w:rsidRPr="005376B2">
        <w:rPr>
          <w:rFonts w:ascii="Tahoma" w:hAnsi="Tahoma" w:cs="Tahoma"/>
        </w:rPr>
        <w:t xml:space="preserve"> de 2015 por el Juzgado </w:t>
      </w:r>
      <w:r w:rsidR="00CC428C">
        <w:rPr>
          <w:rFonts w:ascii="Tahoma" w:hAnsi="Tahoma" w:cs="Tahoma"/>
        </w:rPr>
        <w:t>Quinto</w:t>
      </w:r>
      <w:r w:rsidRPr="005376B2">
        <w:rPr>
          <w:rFonts w:ascii="Tahoma" w:hAnsi="Tahoma" w:cs="Tahoma"/>
        </w:rPr>
        <w:t xml:space="preserve"> Laboral de Circuito, dentro de la </w:t>
      </w:r>
      <w:r w:rsidR="00CC428C">
        <w:rPr>
          <w:rFonts w:ascii="Tahoma" w:hAnsi="Tahoma" w:cs="Tahoma"/>
        </w:rPr>
        <w:t>acción de tutela iniciada por el</w:t>
      </w:r>
      <w:r w:rsidRPr="005376B2">
        <w:rPr>
          <w:rFonts w:ascii="Tahoma" w:hAnsi="Tahoma" w:cs="Tahoma"/>
        </w:rPr>
        <w:t xml:space="preserve"> señor </w:t>
      </w:r>
      <w:r w:rsidR="00CC428C">
        <w:rPr>
          <w:rFonts w:ascii="Tahoma" w:hAnsi="Tahoma" w:cs="Tahoma"/>
          <w:b/>
        </w:rPr>
        <w:t>Guillermo Londoño Vargas</w:t>
      </w:r>
      <w:r>
        <w:rPr>
          <w:rFonts w:ascii="Tahoma" w:hAnsi="Tahoma" w:cs="Tahoma"/>
          <w:b/>
        </w:rPr>
        <w:t xml:space="preserve"> </w:t>
      </w:r>
      <w:r w:rsidRPr="005376B2">
        <w:rPr>
          <w:rFonts w:ascii="Tahoma" w:hAnsi="Tahoma" w:cs="Tahoma"/>
        </w:rPr>
        <w:t xml:space="preserve">contra </w:t>
      </w:r>
      <w:r w:rsidR="00CC428C" w:rsidRPr="00CC428C">
        <w:rPr>
          <w:rFonts w:ascii="Tahoma" w:hAnsi="Tahoma" w:cs="Tahoma"/>
        </w:rPr>
        <w:t>el</w:t>
      </w:r>
      <w:r w:rsidR="00CC428C">
        <w:rPr>
          <w:rFonts w:ascii="Tahoma" w:hAnsi="Tahoma" w:cs="Tahoma"/>
        </w:rPr>
        <w:t xml:space="preserve"> </w:t>
      </w:r>
      <w:r w:rsidR="00CC428C" w:rsidRPr="00CC428C">
        <w:rPr>
          <w:rFonts w:ascii="Tahoma" w:hAnsi="Tahoma" w:cs="Tahoma"/>
          <w:b/>
        </w:rPr>
        <w:t>Juzgado Cuarto Municipal de Pequeñas Causas Laborales</w:t>
      </w:r>
      <w:r w:rsidR="00A12AA0">
        <w:rPr>
          <w:rFonts w:ascii="Tahoma" w:hAnsi="Tahoma" w:cs="Tahoma"/>
          <w:b/>
        </w:rPr>
        <w:t xml:space="preserve"> de Pereira</w:t>
      </w:r>
      <w:r w:rsidR="00CC428C" w:rsidRPr="00CC428C">
        <w:rPr>
          <w:rFonts w:ascii="Tahoma" w:hAnsi="Tahoma" w:cs="Tahoma"/>
          <w:b/>
        </w:rPr>
        <w:t>.</w:t>
      </w:r>
    </w:p>
    <w:p w:rsidR="005376B2" w:rsidRPr="005376B2" w:rsidRDefault="005376B2" w:rsidP="005376B2">
      <w:pPr>
        <w:widowControl w:val="0"/>
        <w:spacing w:line="276" w:lineRule="auto"/>
        <w:jc w:val="both"/>
        <w:rPr>
          <w:rFonts w:ascii="Tahoma" w:hAnsi="Tahoma" w:cs="Tahoma"/>
        </w:rPr>
      </w:pPr>
    </w:p>
    <w:p w:rsidR="005376B2" w:rsidRPr="005376B2" w:rsidRDefault="005376B2" w:rsidP="005376B2">
      <w:pPr>
        <w:widowControl w:val="0"/>
        <w:spacing w:line="276" w:lineRule="auto"/>
        <w:ind w:firstLine="708"/>
        <w:jc w:val="both"/>
        <w:rPr>
          <w:rFonts w:ascii="Tahoma" w:hAnsi="Tahoma" w:cs="Tahoma"/>
        </w:rPr>
      </w:pPr>
      <w:r w:rsidRPr="005376B2">
        <w:rPr>
          <w:rFonts w:ascii="Tahoma" w:hAnsi="Tahoma" w:cs="Tahoma"/>
          <w:b/>
        </w:rPr>
        <w:t xml:space="preserve">SEGUNDO: </w:t>
      </w:r>
      <w:r w:rsidRPr="005376B2">
        <w:rPr>
          <w:rFonts w:ascii="Tahoma" w:hAnsi="Tahoma" w:cs="Tahoma"/>
          <w:b/>
          <w:bCs/>
        </w:rPr>
        <w:t xml:space="preserve">REMITIR </w:t>
      </w:r>
      <w:r w:rsidRPr="005376B2">
        <w:rPr>
          <w:rFonts w:ascii="Tahoma" w:hAnsi="Tahoma" w:cs="Tahoma"/>
        </w:rPr>
        <w:t>el expediente al referido despacho</w:t>
      </w:r>
      <w:r w:rsidRPr="005376B2">
        <w:rPr>
          <w:rFonts w:ascii="Tahoma" w:hAnsi="Tahoma" w:cs="Tahoma"/>
          <w:b/>
          <w:bCs/>
        </w:rPr>
        <w:t xml:space="preserve"> </w:t>
      </w:r>
      <w:r w:rsidRPr="005376B2">
        <w:rPr>
          <w:rFonts w:ascii="Tahoma" w:hAnsi="Tahoma" w:cs="Tahoma"/>
          <w:bCs/>
        </w:rPr>
        <w:t xml:space="preserve">con el </w:t>
      </w:r>
      <w:r w:rsidRPr="005376B2">
        <w:rPr>
          <w:rFonts w:ascii="Tahoma" w:hAnsi="Tahoma" w:cs="Tahoma"/>
        </w:rPr>
        <w:t>fin de que subsane la falencia que dio lugar a la declaratoria de nulidad, vinculando a la presente acción de tutela a</w:t>
      </w:r>
      <w:r w:rsidR="00A12AA0">
        <w:rPr>
          <w:rFonts w:ascii="Tahoma" w:hAnsi="Tahoma" w:cs="Tahoma"/>
        </w:rPr>
        <w:t xml:space="preserve"> la Administradora Colombiana de Pensiones-</w:t>
      </w:r>
      <w:proofErr w:type="spellStart"/>
      <w:r w:rsidR="00A12AA0">
        <w:rPr>
          <w:rFonts w:ascii="Tahoma" w:hAnsi="Tahoma" w:cs="Tahoma"/>
        </w:rPr>
        <w:t>Colpensiones</w:t>
      </w:r>
      <w:proofErr w:type="spellEnd"/>
      <w:r w:rsidR="00A12AA0">
        <w:rPr>
          <w:rFonts w:ascii="Tahoma" w:hAnsi="Tahoma" w:cs="Tahoma"/>
        </w:rPr>
        <w:t>,</w:t>
      </w:r>
      <w:r>
        <w:rPr>
          <w:rFonts w:ascii="Tahoma" w:hAnsi="Tahoma" w:cs="Tahoma"/>
        </w:rPr>
        <w:t xml:space="preserve"> </w:t>
      </w:r>
      <w:r w:rsidRPr="005376B2">
        <w:rPr>
          <w:rFonts w:ascii="Tahoma" w:hAnsi="Tahoma" w:cs="Tahoma"/>
        </w:rPr>
        <w:t>dejando a salvo la no</w:t>
      </w:r>
      <w:r>
        <w:rPr>
          <w:rFonts w:ascii="Tahoma" w:hAnsi="Tahoma" w:cs="Tahoma"/>
        </w:rPr>
        <w:t xml:space="preserve">tificación del auto </w:t>
      </w:r>
      <w:proofErr w:type="spellStart"/>
      <w:r>
        <w:rPr>
          <w:rFonts w:ascii="Tahoma" w:hAnsi="Tahoma" w:cs="Tahoma"/>
        </w:rPr>
        <w:t>admisorio</w:t>
      </w:r>
      <w:proofErr w:type="spellEnd"/>
      <w:r>
        <w:rPr>
          <w:rFonts w:ascii="Tahoma" w:hAnsi="Tahoma" w:cs="Tahoma"/>
        </w:rPr>
        <w:t xml:space="preserve"> a</w:t>
      </w:r>
      <w:r w:rsidR="00A12AA0">
        <w:rPr>
          <w:rFonts w:ascii="Tahoma" w:hAnsi="Tahoma" w:cs="Tahoma"/>
        </w:rPr>
        <w:t xml:space="preserve">l </w:t>
      </w:r>
      <w:r w:rsidR="00A12AA0" w:rsidRPr="00A12AA0">
        <w:rPr>
          <w:rFonts w:ascii="Tahoma" w:hAnsi="Tahoma" w:cs="Tahoma"/>
        </w:rPr>
        <w:t>Juzgado Cuarto Municipal de Peque</w:t>
      </w:r>
      <w:r w:rsidR="00A12AA0">
        <w:rPr>
          <w:rFonts w:ascii="Tahoma" w:hAnsi="Tahoma" w:cs="Tahoma"/>
        </w:rPr>
        <w:t>ñas Causas Laborales de Pereira</w:t>
      </w:r>
      <w:r>
        <w:rPr>
          <w:rFonts w:ascii="Tahoma" w:hAnsi="Tahoma" w:cs="Tahoma"/>
        </w:rPr>
        <w:t xml:space="preserve">, así como </w:t>
      </w:r>
      <w:r w:rsidR="00A12AA0">
        <w:rPr>
          <w:rFonts w:ascii="Tahoma" w:hAnsi="Tahoma" w:cs="Tahoma"/>
        </w:rPr>
        <w:t xml:space="preserve">el oficio al Juzgado </w:t>
      </w:r>
      <w:r w:rsidR="00A12AA0">
        <w:rPr>
          <w:rFonts w:ascii="Tahoma" w:hAnsi="Tahoma" w:cs="Tahoma"/>
        </w:rPr>
        <w:lastRenderedPageBreak/>
        <w:t>Segundo Laboral del Circuito de Pereira, con la respectiva remisión de la copia del desistimiento respecto a la pretensión de incremento pensional, dentro del proceso ordinario laboral radicado bajo el No. 2012-0229.</w:t>
      </w:r>
    </w:p>
    <w:p w:rsidR="005376B2" w:rsidRPr="005376B2" w:rsidRDefault="005376B2" w:rsidP="005376B2">
      <w:pPr>
        <w:spacing w:line="276" w:lineRule="auto"/>
        <w:jc w:val="both"/>
        <w:rPr>
          <w:rFonts w:ascii="Tahoma" w:hAnsi="Tahoma" w:cs="Tahoma"/>
          <w:b/>
        </w:rPr>
      </w:pPr>
    </w:p>
    <w:p w:rsidR="005376B2" w:rsidRPr="005376B2" w:rsidRDefault="005376B2" w:rsidP="005376B2">
      <w:pPr>
        <w:spacing w:line="276" w:lineRule="auto"/>
        <w:ind w:firstLine="708"/>
        <w:jc w:val="both"/>
        <w:rPr>
          <w:rFonts w:ascii="Tahoma" w:hAnsi="Tahoma" w:cs="Tahoma"/>
        </w:rPr>
      </w:pPr>
      <w:r w:rsidRPr="005376B2">
        <w:rPr>
          <w:rFonts w:ascii="Tahoma" w:hAnsi="Tahoma" w:cs="Tahoma"/>
          <w:b/>
        </w:rPr>
        <w:t xml:space="preserve">TERCERO: NOTIFÍQUESE </w:t>
      </w:r>
      <w:r w:rsidRPr="005376B2">
        <w:rPr>
          <w:rFonts w:ascii="Tahoma" w:hAnsi="Tahoma" w:cs="Tahoma"/>
          <w:bCs/>
        </w:rPr>
        <w:t>esta decisión a las parte</w:t>
      </w:r>
      <w:r>
        <w:rPr>
          <w:rFonts w:ascii="Tahoma" w:hAnsi="Tahoma" w:cs="Tahoma"/>
          <w:bCs/>
        </w:rPr>
        <w:t>s</w:t>
      </w:r>
      <w:r w:rsidRPr="005376B2">
        <w:rPr>
          <w:rFonts w:ascii="Tahoma" w:hAnsi="Tahoma" w:cs="Tahoma"/>
          <w:bCs/>
        </w:rPr>
        <w:t xml:space="preserve"> por el medio más expedito.</w:t>
      </w:r>
    </w:p>
    <w:p w:rsidR="005376B2" w:rsidRPr="005376B2" w:rsidRDefault="005376B2" w:rsidP="005376B2">
      <w:pPr>
        <w:widowControl w:val="0"/>
        <w:spacing w:line="276" w:lineRule="auto"/>
        <w:rPr>
          <w:rFonts w:ascii="Tahoma" w:hAnsi="Tahoma" w:cs="Tahoma"/>
          <w:color w:val="CCFFFF"/>
        </w:rPr>
      </w:pPr>
    </w:p>
    <w:p w:rsidR="005376B2" w:rsidRPr="005376B2" w:rsidRDefault="005376B2" w:rsidP="005376B2">
      <w:pPr>
        <w:spacing w:line="276" w:lineRule="auto"/>
        <w:ind w:firstLine="708"/>
        <w:jc w:val="both"/>
        <w:rPr>
          <w:rFonts w:ascii="Tahoma" w:hAnsi="Tahoma" w:cs="Tahoma"/>
          <w:spacing w:val="-2"/>
        </w:rPr>
      </w:pPr>
      <w:r w:rsidRPr="005376B2">
        <w:rPr>
          <w:rFonts w:ascii="Tahoma" w:hAnsi="Tahoma" w:cs="Tahoma"/>
          <w:b/>
          <w:spacing w:val="-2"/>
        </w:rPr>
        <w:t>CÓPIESE, NOTIFÍQUESE Y CÚMPLASE.</w:t>
      </w:r>
      <w:r w:rsidRPr="005376B2">
        <w:rPr>
          <w:rFonts w:ascii="Tahoma" w:hAnsi="Tahoma" w:cs="Tahoma"/>
          <w:spacing w:val="-2"/>
        </w:rPr>
        <w:t xml:space="preserve"> </w:t>
      </w:r>
    </w:p>
    <w:p w:rsidR="004157A7" w:rsidRPr="005376B2" w:rsidRDefault="004157A7" w:rsidP="009C285B">
      <w:pPr>
        <w:pStyle w:val="Prrafodelista"/>
        <w:suppressAutoHyphens/>
        <w:spacing w:line="276" w:lineRule="auto"/>
        <w:jc w:val="both"/>
        <w:rPr>
          <w:rFonts w:ascii="Tahoma" w:hAnsi="Tahoma" w:cs="Tahoma"/>
        </w:rPr>
      </w:pPr>
    </w:p>
    <w:p w:rsidR="004157A7" w:rsidRPr="005376B2" w:rsidRDefault="00104ACF" w:rsidP="009C285B">
      <w:pPr>
        <w:spacing w:line="276" w:lineRule="auto"/>
        <w:ind w:left="785"/>
        <w:jc w:val="both"/>
        <w:rPr>
          <w:rFonts w:ascii="Tahoma" w:hAnsi="Tahoma" w:cs="Tahoma"/>
        </w:rPr>
      </w:pPr>
      <w:r w:rsidRPr="005376B2">
        <w:rPr>
          <w:rFonts w:ascii="Tahoma" w:hAnsi="Tahoma" w:cs="Tahoma"/>
        </w:rPr>
        <w:t>La magistrada</w:t>
      </w:r>
      <w:r w:rsidR="004157A7" w:rsidRPr="005376B2">
        <w:rPr>
          <w:rFonts w:ascii="Tahoma" w:hAnsi="Tahoma" w:cs="Tahoma"/>
        </w:rPr>
        <w:t xml:space="preserve">, </w:t>
      </w:r>
    </w:p>
    <w:p w:rsidR="004157A7" w:rsidRPr="005376B2" w:rsidRDefault="004157A7" w:rsidP="009C285B">
      <w:pPr>
        <w:spacing w:line="276" w:lineRule="auto"/>
        <w:jc w:val="both"/>
        <w:rPr>
          <w:rFonts w:ascii="Tahoma" w:hAnsi="Tahoma" w:cs="Tahoma"/>
        </w:rPr>
      </w:pPr>
    </w:p>
    <w:p w:rsidR="00CC747D" w:rsidRPr="005376B2" w:rsidRDefault="00CC747D" w:rsidP="009C285B">
      <w:pPr>
        <w:spacing w:line="276" w:lineRule="auto"/>
        <w:rPr>
          <w:rFonts w:ascii="Tahoma" w:hAnsi="Tahoma" w:cs="Tahoma"/>
          <w:b/>
        </w:rPr>
      </w:pPr>
    </w:p>
    <w:p w:rsidR="00CC747D" w:rsidRPr="005376B2" w:rsidRDefault="00CC747D" w:rsidP="009C285B">
      <w:pPr>
        <w:spacing w:line="276" w:lineRule="auto"/>
        <w:ind w:left="360"/>
        <w:jc w:val="center"/>
        <w:rPr>
          <w:rFonts w:ascii="Tahoma" w:hAnsi="Tahoma" w:cs="Tahoma"/>
          <w:b/>
        </w:rPr>
      </w:pPr>
    </w:p>
    <w:p w:rsidR="00CC747D" w:rsidRPr="005376B2" w:rsidRDefault="00CC747D" w:rsidP="009C285B">
      <w:pPr>
        <w:spacing w:line="276" w:lineRule="auto"/>
        <w:ind w:left="360"/>
        <w:jc w:val="center"/>
        <w:rPr>
          <w:rFonts w:ascii="Tahoma" w:hAnsi="Tahoma" w:cs="Tahoma"/>
          <w:b/>
        </w:rPr>
      </w:pPr>
    </w:p>
    <w:p w:rsidR="004157A7" w:rsidRPr="005376B2" w:rsidRDefault="004157A7" w:rsidP="009C285B">
      <w:pPr>
        <w:spacing w:line="276" w:lineRule="auto"/>
        <w:ind w:left="360"/>
        <w:jc w:val="center"/>
        <w:rPr>
          <w:rFonts w:ascii="Tahoma" w:hAnsi="Tahoma" w:cs="Tahoma"/>
          <w:b/>
        </w:rPr>
      </w:pPr>
      <w:r w:rsidRPr="005376B2">
        <w:rPr>
          <w:rFonts w:ascii="Tahoma" w:hAnsi="Tahoma" w:cs="Tahoma"/>
          <w:b/>
        </w:rPr>
        <w:t>ANA LUCÍA CAICEDO CALDERÓN</w:t>
      </w:r>
    </w:p>
    <w:p w:rsidR="00104ACF" w:rsidRPr="005376B2" w:rsidRDefault="00104ACF" w:rsidP="009C285B">
      <w:pPr>
        <w:spacing w:line="276" w:lineRule="auto"/>
        <w:rPr>
          <w:rFonts w:ascii="Tahoma" w:hAnsi="Tahoma" w:cs="Tahoma"/>
          <w:b/>
        </w:rPr>
      </w:pPr>
    </w:p>
    <w:p w:rsidR="004157A7" w:rsidRPr="005376B2" w:rsidRDefault="00104ACF" w:rsidP="00345CF4">
      <w:pPr>
        <w:spacing w:line="276" w:lineRule="auto"/>
        <w:rPr>
          <w:rFonts w:ascii="Tahoma" w:hAnsi="Tahoma" w:cs="Tahoma"/>
          <w:b/>
        </w:rPr>
      </w:pPr>
      <w:r w:rsidRPr="005376B2">
        <w:rPr>
          <w:rFonts w:ascii="Tahoma" w:hAnsi="Tahoma" w:cs="Tahoma"/>
          <w:b/>
        </w:rPr>
        <w:tab/>
      </w:r>
    </w:p>
    <w:p w:rsidR="004447B1" w:rsidRPr="005376B2" w:rsidRDefault="004447B1" w:rsidP="009C285B">
      <w:pPr>
        <w:spacing w:before="100" w:beforeAutospacing="1" w:after="100" w:afterAutospacing="1" w:line="276" w:lineRule="auto"/>
        <w:ind w:firstLine="708"/>
        <w:jc w:val="both"/>
        <w:rPr>
          <w:rFonts w:ascii="Tahoma" w:hAnsi="Tahoma" w:cs="Tahoma"/>
        </w:rPr>
      </w:pPr>
      <w:bookmarkStart w:id="0" w:name="_GoBack"/>
      <w:bookmarkEnd w:id="0"/>
    </w:p>
    <w:sectPr w:rsidR="004447B1" w:rsidRPr="005376B2" w:rsidSect="004264CA">
      <w:headerReference w:type="default" r:id="rId8"/>
      <w:footerReference w:type="default" r:id="rId9"/>
      <w:footerReference w:type="first" r:id="rId10"/>
      <w:pgSz w:w="12242" w:h="18722" w:code="121"/>
      <w:pgMar w:top="1701" w:right="1701" w:bottom="1701"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47" w:rsidRDefault="00907347" w:rsidP="00762CB4">
      <w:r>
        <w:separator/>
      </w:r>
    </w:p>
  </w:endnote>
  <w:endnote w:type="continuationSeparator" w:id="0">
    <w:p w:rsidR="00907347" w:rsidRDefault="00907347" w:rsidP="0076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Pr="002556E2" w:rsidRDefault="00062D5A">
    <w:pPr>
      <w:pStyle w:val="Piedepgina"/>
      <w:jc w:val="right"/>
    </w:pPr>
    <w:r w:rsidRPr="002556E2">
      <w:fldChar w:fldCharType="begin"/>
    </w:r>
    <w:r w:rsidRPr="002556E2">
      <w:instrText>PAGE   \* MERGEFORMAT</w:instrText>
    </w:r>
    <w:r w:rsidRPr="002556E2">
      <w:fldChar w:fldCharType="separate"/>
    </w:r>
    <w:r w:rsidR="00E20F43">
      <w:rPr>
        <w:noProof/>
      </w:rPr>
      <w:t>3</w:t>
    </w:r>
    <w:r w:rsidRPr="002556E2">
      <w:fldChar w:fldCharType="end"/>
    </w:r>
  </w:p>
  <w:p w:rsidR="00062D5A" w:rsidRDefault="00062D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5A" w:rsidRDefault="00062D5A">
    <w:pPr>
      <w:pStyle w:val="Piedepgina"/>
      <w:jc w:val="right"/>
    </w:pPr>
    <w:r>
      <w:fldChar w:fldCharType="begin"/>
    </w:r>
    <w:r>
      <w:instrText>PAGE   \* MERGEFORMAT</w:instrText>
    </w:r>
    <w:r>
      <w:fldChar w:fldCharType="separate"/>
    </w:r>
    <w:r w:rsidR="00E20F43">
      <w:rPr>
        <w:noProof/>
      </w:rPr>
      <w:t>1</w:t>
    </w:r>
    <w:r>
      <w:fldChar w:fldCharType="end"/>
    </w:r>
  </w:p>
  <w:p w:rsidR="00062D5A" w:rsidRDefault="00062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47" w:rsidRDefault="00907347" w:rsidP="00762CB4">
      <w:r>
        <w:separator/>
      </w:r>
    </w:p>
  </w:footnote>
  <w:footnote w:type="continuationSeparator" w:id="0">
    <w:p w:rsidR="00907347" w:rsidRDefault="00907347" w:rsidP="00762CB4">
      <w:r>
        <w:continuationSeparator/>
      </w:r>
    </w:p>
  </w:footnote>
  <w:footnote w:id="1">
    <w:p w:rsidR="005376B2" w:rsidRPr="00506DD1" w:rsidRDefault="005376B2" w:rsidP="005376B2">
      <w:pPr>
        <w:pStyle w:val="Textonotapie"/>
        <w:rPr>
          <w:lang w:val="es-CO"/>
        </w:rPr>
      </w:pPr>
      <w:r>
        <w:rPr>
          <w:rStyle w:val="Refdenotaalpie"/>
        </w:rPr>
        <w:footnoteRef/>
      </w:r>
      <w:r>
        <w:t xml:space="preserve"> </w:t>
      </w:r>
      <w:r w:rsidRPr="00506DD1">
        <w:rPr>
          <w:sz w:val="16"/>
          <w:szCs w:val="16"/>
          <w:lang w:val="es-CO"/>
        </w:rPr>
        <w:t>Ver en otros el auto del</w:t>
      </w:r>
      <w:r>
        <w:rPr>
          <w:sz w:val="16"/>
          <w:szCs w:val="16"/>
          <w:lang w:val="es-CO"/>
        </w:rPr>
        <w:t xml:space="preserve"> 7 de abril de 2014, proferido dentro de la acción de tutela radicada bajo el número 2014-00021, con ponencia del Magistrado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5B" w:rsidRPr="003D0AE9" w:rsidRDefault="009C285B" w:rsidP="009C285B">
    <w:pPr>
      <w:pStyle w:val="Sinespaciado"/>
      <w:rPr>
        <w:sz w:val="14"/>
        <w:szCs w:val="14"/>
      </w:rPr>
    </w:pPr>
    <w:r>
      <w:rPr>
        <w:sz w:val="14"/>
        <w:szCs w:val="14"/>
      </w:rPr>
      <w:t xml:space="preserve">Radicado No.: </w:t>
    </w:r>
    <w:r w:rsidRPr="00AA697E">
      <w:rPr>
        <w:sz w:val="14"/>
        <w:szCs w:val="14"/>
      </w:rPr>
      <w:t>66001-31-05-00</w:t>
    </w:r>
    <w:r w:rsidR="00803D35">
      <w:rPr>
        <w:sz w:val="14"/>
        <w:szCs w:val="14"/>
      </w:rPr>
      <w:t>5-2015-00503</w:t>
    </w:r>
    <w:r w:rsidRPr="00AA697E">
      <w:rPr>
        <w:sz w:val="14"/>
        <w:szCs w:val="14"/>
      </w:rPr>
      <w:t>-01</w:t>
    </w:r>
  </w:p>
  <w:p w:rsidR="009C285B" w:rsidRPr="003D0AE9" w:rsidRDefault="009C285B" w:rsidP="009C285B">
    <w:pPr>
      <w:pStyle w:val="Sinespaciado"/>
      <w:rPr>
        <w:sz w:val="14"/>
        <w:szCs w:val="14"/>
      </w:rPr>
    </w:pPr>
    <w:r>
      <w:rPr>
        <w:sz w:val="14"/>
        <w:szCs w:val="14"/>
      </w:rPr>
      <w:t>Accionantes:</w:t>
    </w:r>
    <w:r w:rsidR="00803D35">
      <w:rPr>
        <w:sz w:val="14"/>
        <w:szCs w:val="14"/>
      </w:rPr>
      <w:t xml:space="preserve"> Guillermo Londoño Vargas</w:t>
    </w:r>
  </w:p>
  <w:p w:rsidR="009C285B" w:rsidRPr="003D0AE9" w:rsidRDefault="009C285B" w:rsidP="009C285B">
    <w:pPr>
      <w:pStyle w:val="Sinespaciado"/>
      <w:rPr>
        <w:sz w:val="14"/>
        <w:szCs w:val="14"/>
      </w:rPr>
    </w:pPr>
    <w:r>
      <w:rPr>
        <w:sz w:val="14"/>
        <w:szCs w:val="14"/>
      </w:rPr>
      <w:t xml:space="preserve">Accionados: </w:t>
    </w:r>
    <w:r w:rsidR="00803D35">
      <w:rPr>
        <w:sz w:val="14"/>
        <w:szCs w:val="14"/>
      </w:rPr>
      <w:t>Juzgado Cuarto Municipal de Pequeñas Causas Laborales de Pereira</w:t>
    </w:r>
  </w:p>
  <w:p w:rsidR="00062D5A" w:rsidRDefault="00062D5A" w:rsidP="003531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A2D30AF"/>
    <w:multiLevelType w:val="hybridMultilevel"/>
    <w:tmpl w:val="E14231F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
    <w:nsid w:val="2AE1449E"/>
    <w:multiLevelType w:val="hybridMultilevel"/>
    <w:tmpl w:val="D5303070"/>
    <w:lvl w:ilvl="0" w:tplc="C0840908">
      <w:start w:val="1"/>
      <w:numFmt w:val="lowerRoman"/>
      <w:lvlText w:val="(%1)"/>
      <w:lvlJc w:val="left"/>
      <w:pPr>
        <w:ind w:left="1080" w:hanging="720"/>
      </w:pPr>
      <w:rPr>
        <w:rFonts w:ascii="Tahoma" w:hAnsi="Tahoma" w:cs="Tahom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E419AF"/>
    <w:multiLevelType w:val="hybridMultilevel"/>
    <w:tmpl w:val="28827ED6"/>
    <w:lvl w:ilvl="0" w:tplc="5F6C1AF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7F25B2"/>
    <w:multiLevelType w:val="hybridMultilevel"/>
    <w:tmpl w:val="A7E0AAA0"/>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3F1F5084"/>
    <w:multiLevelType w:val="hybridMultilevel"/>
    <w:tmpl w:val="4664D3F0"/>
    <w:lvl w:ilvl="0" w:tplc="B706ED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789763C"/>
    <w:multiLevelType w:val="hybridMultilevel"/>
    <w:tmpl w:val="50E4B86C"/>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8">
    <w:nsid w:val="651778C5"/>
    <w:multiLevelType w:val="hybridMultilevel"/>
    <w:tmpl w:val="E1B20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B4"/>
    <w:rsid w:val="00016B90"/>
    <w:rsid w:val="00021400"/>
    <w:rsid w:val="00025C7C"/>
    <w:rsid w:val="0003548C"/>
    <w:rsid w:val="000378A1"/>
    <w:rsid w:val="00047BCE"/>
    <w:rsid w:val="00055437"/>
    <w:rsid w:val="00062D5A"/>
    <w:rsid w:val="00070B7A"/>
    <w:rsid w:val="00086FF1"/>
    <w:rsid w:val="000918D1"/>
    <w:rsid w:val="000920B9"/>
    <w:rsid w:val="00097C91"/>
    <w:rsid w:val="000A4F27"/>
    <w:rsid w:val="000D6846"/>
    <w:rsid w:val="000E44EE"/>
    <w:rsid w:val="000E4DAA"/>
    <w:rsid w:val="000F2E8A"/>
    <w:rsid w:val="000F6A90"/>
    <w:rsid w:val="00104ACF"/>
    <w:rsid w:val="001167BC"/>
    <w:rsid w:val="001532C4"/>
    <w:rsid w:val="00172757"/>
    <w:rsid w:val="001846C3"/>
    <w:rsid w:val="001A5103"/>
    <w:rsid w:val="001A6677"/>
    <w:rsid w:val="001A74FB"/>
    <w:rsid w:val="001B4799"/>
    <w:rsid w:val="001B63B0"/>
    <w:rsid w:val="001E1FA2"/>
    <w:rsid w:val="001E72DF"/>
    <w:rsid w:val="001F2010"/>
    <w:rsid w:val="001F4133"/>
    <w:rsid w:val="001F48F4"/>
    <w:rsid w:val="00236E71"/>
    <w:rsid w:val="0024437C"/>
    <w:rsid w:val="00254BDB"/>
    <w:rsid w:val="002658C1"/>
    <w:rsid w:val="00273863"/>
    <w:rsid w:val="002766FD"/>
    <w:rsid w:val="0028451B"/>
    <w:rsid w:val="00293440"/>
    <w:rsid w:val="002A5C61"/>
    <w:rsid w:val="002A699D"/>
    <w:rsid w:val="002C5387"/>
    <w:rsid w:val="002C58F8"/>
    <w:rsid w:val="002D7A2B"/>
    <w:rsid w:val="002E18F8"/>
    <w:rsid w:val="002E5CAA"/>
    <w:rsid w:val="002F07AA"/>
    <w:rsid w:val="002F54E3"/>
    <w:rsid w:val="002F5D08"/>
    <w:rsid w:val="002F7F5B"/>
    <w:rsid w:val="00305033"/>
    <w:rsid w:val="003146C0"/>
    <w:rsid w:val="00316F64"/>
    <w:rsid w:val="003333F1"/>
    <w:rsid w:val="00333582"/>
    <w:rsid w:val="00345CF4"/>
    <w:rsid w:val="003531DE"/>
    <w:rsid w:val="00361CC2"/>
    <w:rsid w:val="00390115"/>
    <w:rsid w:val="0039107C"/>
    <w:rsid w:val="00397419"/>
    <w:rsid w:val="003C520F"/>
    <w:rsid w:val="003C70CE"/>
    <w:rsid w:val="003D155F"/>
    <w:rsid w:val="003F1890"/>
    <w:rsid w:val="003F2926"/>
    <w:rsid w:val="004157A7"/>
    <w:rsid w:val="00415872"/>
    <w:rsid w:val="004264CA"/>
    <w:rsid w:val="00434AA3"/>
    <w:rsid w:val="0043634A"/>
    <w:rsid w:val="004447B1"/>
    <w:rsid w:val="00452646"/>
    <w:rsid w:val="00462E97"/>
    <w:rsid w:val="00484FC5"/>
    <w:rsid w:val="0049053D"/>
    <w:rsid w:val="004B6AE5"/>
    <w:rsid w:val="004C29A7"/>
    <w:rsid w:val="004E3650"/>
    <w:rsid w:val="005018B4"/>
    <w:rsid w:val="00520C3D"/>
    <w:rsid w:val="005376B2"/>
    <w:rsid w:val="005400E7"/>
    <w:rsid w:val="0054502E"/>
    <w:rsid w:val="00546D9C"/>
    <w:rsid w:val="00551D66"/>
    <w:rsid w:val="0055470E"/>
    <w:rsid w:val="005842BB"/>
    <w:rsid w:val="00590F67"/>
    <w:rsid w:val="005A344E"/>
    <w:rsid w:val="005B6011"/>
    <w:rsid w:val="005D25BD"/>
    <w:rsid w:val="005D7918"/>
    <w:rsid w:val="005E6C25"/>
    <w:rsid w:val="006033E9"/>
    <w:rsid w:val="00611FB1"/>
    <w:rsid w:val="006355C2"/>
    <w:rsid w:val="0063716B"/>
    <w:rsid w:val="00660F97"/>
    <w:rsid w:val="00666C43"/>
    <w:rsid w:val="00672A3B"/>
    <w:rsid w:val="00686FF2"/>
    <w:rsid w:val="006963BC"/>
    <w:rsid w:val="006A3928"/>
    <w:rsid w:val="006C290A"/>
    <w:rsid w:val="006E3AD7"/>
    <w:rsid w:val="00714DB1"/>
    <w:rsid w:val="0072111C"/>
    <w:rsid w:val="00725772"/>
    <w:rsid w:val="007405C4"/>
    <w:rsid w:val="00754D94"/>
    <w:rsid w:val="00762CB4"/>
    <w:rsid w:val="00767CA2"/>
    <w:rsid w:val="007844F2"/>
    <w:rsid w:val="00793531"/>
    <w:rsid w:val="007D6E4A"/>
    <w:rsid w:val="00803D35"/>
    <w:rsid w:val="00805A15"/>
    <w:rsid w:val="00807F7C"/>
    <w:rsid w:val="00810BAB"/>
    <w:rsid w:val="00816E35"/>
    <w:rsid w:val="00833017"/>
    <w:rsid w:val="00834AF3"/>
    <w:rsid w:val="008633A7"/>
    <w:rsid w:val="008639AB"/>
    <w:rsid w:val="00866EAE"/>
    <w:rsid w:val="00875D35"/>
    <w:rsid w:val="00882FAE"/>
    <w:rsid w:val="008950CD"/>
    <w:rsid w:val="008A1209"/>
    <w:rsid w:val="008B5791"/>
    <w:rsid w:val="008C14BB"/>
    <w:rsid w:val="008E6E61"/>
    <w:rsid w:val="008F4669"/>
    <w:rsid w:val="008F59C2"/>
    <w:rsid w:val="008F75A3"/>
    <w:rsid w:val="00907347"/>
    <w:rsid w:val="009146DC"/>
    <w:rsid w:val="00933C05"/>
    <w:rsid w:val="00960B06"/>
    <w:rsid w:val="009756C2"/>
    <w:rsid w:val="00977442"/>
    <w:rsid w:val="009837DE"/>
    <w:rsid w:val="00984217"/>
    <w:rsid w:val="009A289A"/>
    <w:rsid w:val="009A3154"/>
    <w:rsid w:val="009B549E"/>
    <w:rsid w:val="009C285B"/>
    <w:rsid w:val="009D5438"/>
    <w:rsid w:val="009F1147"/>
    <w:rsid w:val="009F2616"/>
    <w:rsid w:val="00A040C6"/>
    <w:rsid w:val="00A12AA0"/>
    <w:rsid w:val="00A142CE"/>
    <w:rsid w:val="00A241E7"/>
    <w:rsid w:val="00A2765D"/>
    <w:rsid w:val="00A3390F"/>
    <w:rsid w:val="00A33C90"/>
    <w:rsid w:val="00A41031"/>
    <w:rsid w:val="00A94F4C"/>
    <w:rsid w:val="00AB4318"/>
    <w:rsid w:val="00AF1F72"/>
    <w:rsid w:val="00B243B0"/>
    <w:rsid w:val="00B400DC"/>
    <w:rsid w:val="00B43292"/>
    <w:rsid w:val="00B5212D"/>
    <w:rsid w:val="00B5522A"/>
    <w:rsid w:val="00B60E0A"/>
    <w:rsid w:val="00B72725"/>
    <w:rsid w:val="00B73CE3"/>
    <w:rsid w:val="00BC3C39"/>
    <w:rsid w:val="00BE1351"/>
    <w:rsid w:val="00BE74B1"/>
    <w:rsid w:val="00C307EB"/>
    <w:rsid w:val="00C43091"/>
    <w:rsid w:val="00C612F3"/>
    <w:rsid w:val="00C6215D"/>
    <w:rsid w:val="00C63E3C"/>
    <w:rsid w:val="00C939C0"/>
    <w:rsid w:val="00CC038A"/>
    <w:rsid w:val="00CC428C"/>
    <w:rsid w:val="00CC54A4"/>
    <w:rsid w:val="00CC747D"/>
    <w:rsid w:val="00CD0C3F"/>
    <w:rsid w:val="00D1269C"/>
    <w:rsid w:val="00D17682"/>
    <w:rsid w:val="00D21572"/>
    <w:rsid w:val="00D415FB"/>
    <w:rsid w:val="00D71409"/>
    <w:rsid w:val="00D7743D"/>
    <w:rsid w:val="00D87BD0"/>
    <w:rsid w:val="00D977EF"/>
    <w:rsid w:val="00DA4140"/>
    <w:rsid w:val="00DB1DC0"/>
    <w:rsid w:val="00DE0BF0"/>
    <w:rsid w:val="00DE39BB"/>
    <w:rsid w:val="00E069C2"/>
    <w:rsid w:val="00E07065"/>
    <w:rsid w:val="00E178D8"/>
    <w:rsid w:val="00E20F43"/>
    <w:rsid w:val="00E41826"/>
    <w:rsid w:val="00E42D88"/>
    <w:rsid w:val="00E43AD5"/>
    <w:rsid w:val="00E71E4F"/>
    <w:rsid w:val="00E84403"/>
    <w:rsid w:val="00E922DB"/>
    <w:rsid w:val="00EA5946"/>
    <w:rsid w:val="00EB293D"/>
    <w:rsid w:val="00EC6ED3"/>
    <w:rsid w:val="00EC7C31"/>
    <w:rsid w:val="00ED0BD4"/>
    <w:rsid w:val="00EE5E7A"/>
    <w:rsid w:val="00F0273E"/>
    <w:rsid w:val="00F263CB"/>
    <w:rsid w:val="00F45772"/>
    <w:rsid w:val="00F743BC"/>
    <w:rsid w:val="00F777EB"/>
    <w:rsid w:val="00F87112"/>
    <w:rsid w:val="00FC1077"/>
    <w:rsid w:val="00FC3760"/>
    <w:rsid w:val="00FC65A3"/>
    <w:rsid w:val="00FE07A9"/>
    <w:rsid w:val="00FE1A5D"/>
    <w:rsid w:val="00FF2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0FF5-0C73-4A82-895F-AA5D8BB2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B4"/>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
    <w:semiHidden/>
    <w:unhideWhenUsed/>
    <w:qFormat/>
    <w:rsid w:val="004157A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62CB4"/>
    <w:pPr>
      <w:keepNext/>
      <w:spacing w:line="360" w:lineRule="auto"/>
      <w:jc w:val="center"/>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62CB4"/>
    <w:rPr>
      <w:rFonts w:ascii="Arial" w:eastAsia="Times New Roman" w:hAnsi="Arial" w:cs="Times New Roman"/>
      <w:b/>
      <w:sz w:val="28"/>
      <w:szCs w:val="24"/>
      <w:lang w:eastAsia="es-ES"/>
    </w:rPr>
  </w:style>
  <w:style w:type="paragraph" w:styleId="Textonotapie">
    <w:name w:val="footnote text"/>
    <w:aliases w:val="Footnote Text Char Char Char Char Char,Footnote Text Char Char Char Char,Footnote reference,FA Fu,Footnote Text Char Char Char,texto de nota al pie,Ref. de nota al pie1,Footnote Text Char,Texto de nota al pie,referencia nota al pie,BVI fn"/>
    <w:basedOn w:val="Normal"/>
    <w:link w:val="TextonotapieCar"/>
    <w:uiPriority w:val="99"/>
    <w:rsid w:val="00762CB4"/>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762CB4"/>
    <w:rPr>
      <w:rFonts w:ascii="Times New Roman" w:eastAsia="Times New Roman" w:hAnsi="Times New Roman" w:cs="Times New Roman"/>
      <w:sz w:val="20"/>
      <w:szCs w:val="20"/>
      <w:lang w:val="es-ES_tradnl" w:eastAsia="es-ES"/>
    </w:rPr>
  </w:style>
  <w:style w:type="character" w:styleId="Refdenotaalpie">
    <w:name w:val="footnote reference"/>
    <w:aliases w:val="Footnotes refss,Appel note de bas de page,Footnote number,f"/>
    <w:semiHidden/>
    <w:rsid w:val="00762CB4"/>
    <w:rPr>
      <w:vertAlign w:val="superscript"/>
    </w:rPr>
  </w:style>
  <w:style w:type="paragraph" w:styleId="Textoindependiente">
    <w:name w:val="Body Text"/>
    <w:basedOn w:val="Normal"/>
    <w:link w:val="TextoindependienteCar"/>
    <w:rsid w:val="00762CB4"/>
    <w:pPr>
      <w:jc w:val="both"/>
    </w:pPr>
    <w:rPr>
      <w:sz w:val="28"/>
      <w:u w:val="single"/>
    </w:rPr>
  </w:style>
  <w:style w:type="character" w:customStyle="1" w:styleId="TextoindependienteCar">
    <w:name w:val="Texto independiente Car"/>
    <w:basedOn w:val="Fuentedeprrafopredeter"/>
    <w:link w:val="Textoindependiente"/>
    <w:rsid w:val="00762CB4"/>
    <w:rPr>
      <w:rFonts w:ascii="Times New Roman" w:eastAsia="Times New Roman" w:hAnsi="Times New Roman" w:cs="Times New Roman"/>
      <w:sz w:val="28"/>
      <w:szCs w:val="24"/>
      <w:u w:val="single"/>
      <w:lang w:eastAsia="es-ES"/>
    </w:rPr>
  </w:style>
  <w:style w:type="paragraph" w:styleId="Prrafodelista">
    <w:name w:val="List Paragraph"/>
    <w:basedOn w:val="Normal"/>
    <w:qFormat/>
    <w:rsid w:val="00762CB4"/>
    <w:pPr>
      <w:ind w:left="720"/>
      <w:contextualSpacing/>
    </w:pPr>
  </w:style>
  <w:style w:type="paragraph" w:styleId="Piedepgina">
    <w:name w:val="footer"/>
    <w:basedOn w:val="Normal"/>
    <w:link w:val="PiedepginaCar"/>
    <w:unhideWhenUsed/>
    <w:rsid w:val="00762CB4"/>
    <w:pPr>
      <w:tabs>
        <w:tab w:val="center" w:pos="4419"/>
        <w:tab w:val="right" w:pos="8838"/>
      </w:tabs>
    </w:pPr>
  </w:style>
  <w:style w:type="character" w:customStyle="1" w:styleId="PiedepginaCar">
    <w:name w:val="Pie de página Car"/>
    <w:basedOn w:val="Fuentedeprrafopredeter"/>
    <w:link w:val="Piedepgina"/>
    <w:rsid w:val="00762CB4"/>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762CB4"/>
    <w:pPr>
      <w:tabs>
        <w:tab w:val="center" w:pos="4419"/>
        <w:tab w:val="right" w:pos="8838"/>
      </w:tabs>
    </w:pPr>
  </w:style>
  <w:style w:type="character" w:customStyle="1" w:styleId="EncabezadoCar">
    <w:name w:val="Encabezado Car"/>
    <w:basedOn w:val="Fuentedeprrafopredeter"/>
    <w:link w:val="Encabezado"/>
    <w:rsid w:val="00762CB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762CB4"/>
    <w:pPr>
      <w:spacing w:after="120" w:line="480" w:lineRule="auto"/>
    </w:pPr>
  </w:style>
  <w:style w:type="character" w:customStyle="1" w:styleId="Textoindependiente2Car">
    <w:name w:val="Texto independiente 2 Car"/>
    <w:basedOn w:val="Fuentedeprrafopredeter"/>
    <w:link w:val="Textoindependiente2"/>
    <w:rsid w:val="00762CB4"/>
    <w:rPr>
      <w:rFonts w:ascii="Times New Roman" w:eastAsia="Times New Roman" w:hAnsi="Times New Roman" w:cs="Times New Roman"/>
      <w:sz w:val="24"/>
      <w:szCs w:val="24"/>
      <w:lang w:eastAsia="es-ES"/>
    </w:rPr>
  </w:style>
  <w:style w:type="paragraph" w:customStyle="1" w:styleId="Default">
    <w:name w:val="Default"/>
    <w:rsid w:val="00762CB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pple-style-span">
    <w:name w:val="apple-style-span"/>
    <w:rsid w:val="00762CB4"/>
    <w:rPr>
      <w:rFonts w:ascii="Times New Roman" w:hAnsi="Times New Roman" w:cs="Times New Roman" w:hint="default"/>
    </w:rPr>
  </w:style>
  <w:style w:type="paragraph" w:styleId="Sinespaciado">
    <w:name w:val="No Spacing"/>
    <w:uiPriority w:val="1"/>
    <w:qFormat/>
    <w:rsid w:val="00762CB4"/>
    <w:pPr>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4157A7"/>
    <w:rPr>
      <w:rFonts w:asciiTheme="majorHAnsi" w:eastAsiaTheme="majorEastAsia" w:hAnsiTheme="majorHAnsi" w:cstheme="majorBidi"/>
      <w:i/>
      <w:iCs/>
      <w:color w:val="2E74B5" w:themeColor="accent1" w:themeShade="BF"/>
      <w:sz w:val="24"/>
      <w:szCs w:val="24"/>
      <w:lang w:eastAsia="es-ES"/>
    </w:rPr>
  </w:style>
  <w:style w:type="paragraph" w:styleId="Textosinformato">
    <w:name w:val="Plain Text"/>
    <w:basedOn w:val="Normal"/>
    <w:link w:val="TextosinformatoCar"/>
    <w:rsid w:val="004157A7"/>
    <w:pPr>
      <w:autoSpaceDE w:val="0"/>
      <w:autoSpaceDN w:val="0"/>
    </w:pPr>
    <w:rPr>
      <w:rFonts w:ascii="Courier New" w:hAnsi="Courier New"/>
      <w:sz w:val="20"/>
      <w:szCs w:val="20"/>
    </w:rPr>
  </w:style>
  <w:style w:type="character" w:customStyle="1" w:styleId="TextosinformatoCar">
    <w:name w:val="Texto sin formato Car"/>
    <w:basedOn w:val="Fuentedeprrafopredeter"/>
    <w:link w:val="Textosinformato"/>
    <w:rsid w:val="004157A7"/>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611FB1"/>
    <w:rPr>
      <w:rFonts w:cs="Times New Roman"/>
    </w:rPr>
  </w:style>
  <w:style w:type="paragraph" w:customStyle="1" w:styleId="q">
    <w:name w:val="q"/>
    <w:basedOn w:val="Normal"/>
    <w:rsid w:val="00611FB1"/>
    <w:pPr>
      <w:spacing w:before="100" w:beforeAutospacing="1" w:after="100" w:afterAutospacing="1"/>
    </w:pPr>
    <w:rPr>
      <w:lang w:val="es-CO" w:eastAsia="es-CO"/>
    </w:rPr>
  </w:style>
  <w:style w:type="character" w:customStyle="1" w:styleId="d">
    <w:name w:val="d"/>
    <w:basedOn w:val="Fuentedeprrafopredeter"/>
    <w:rsid w:val="00611FB1"/>
    <w:rPr>
      <w:rFonts w:cs="Times New Roman"/>
    </w:rPr>
  </w:style>
  <w:style w:type="character" w:customStyle="1" w:styleId="b">
    <w:name w:val="b"/>
    <w:basedOn w:val="Fuentedeprrafopredeter"/>
    <w:rsid w:val="00611FB1"/>
    <w:rPr>
      <w:rFonts w:cs="Times New Roman"/>
    </w:rPr>
  </w:style>
  <w:style w:type="character" w:customStyle="1" w:styleId="g">
    <w:name w:val="g"/>
    <w:basedOn w:val="Fuentedeprrafopredeter"/>
    <w:rsid w:val="00611FB1"/>
    <w:rPr>
      <w:rFonts w:cs="Times New Roman"/>
    </w:rPr>
  </w:style>
  <w:style w:type="character" w:styleId="Hipervnculo">
    <w:name w:val="Hyperlink"/>
    <w:basedOn w:val="Fuentedeprrafopredeter"/>
    <w:uiPriority w:val="99"/>
    <w:unhideWhenUsed/>
    <w:rsid w:val="00611FB1"/>
    <w:rPr>
      <w:color w:val="0000FF"/>
      <w:u w:val="single"/>
    </w:rPr>
  </w:style>
  <w:style w:type="paragraph" w:styleId="Textodeglobo">
    <w:name w:val="Balloon Text"/>
    <w:basedOn w:val="Normal"/>
    <w:link w:val="TextodegloboCar"/>
    <w:uiPriority w:val="99"/>
    <w:semiHidden/>
    <w:unhideWhenUsed/>
    <w:rsid w:val="00316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F64"/>
    <w:rPr>
      <w:rFonts w:ascii="Segoe UI" w:eastAsia="Times New Roman" w:hAnsi="Segoe UI" w:cs="Segoe UI"/>
      <w:sz w:val="18"/>
      <w:szCs w:val="18"/>
      <w:lang w:eastAsia="es-ES"/>
    </w:rPr>
  </w:style>
  <w:style w:type="paragraph" w:styleId="Puesto">
    <w:name w:val="Title"/>
    <w:basedOn w:val="Normal"/>
    <w:link w:val="PuestoCar"/>
    <w:qFormat/>
    <w:rsid w:val="00F743BC"/>
    <w:pPr>
      <w:widowControl w:val="0"/>
      <w:autoSpaceDE w:val="0"/>
      <w:autoSpaceDN w:val="0"/>
      <w:adjustRightInd w:val="0"/>
      <w:spacing w:line="360" w:lineRule="auto"/>
      <w:jc w:val="center"/>
    </w:pPr>
    <w:rPr>
      <w:rFonts w:ascii="Arial" w:hAnsi="Arial"/>
      <w:b/>
    </w:rPr>
  </w:style>
  <w:style w:type="character" w:customStyle="1" w:styleId="PuestoCar">
    <w:name w:val="Puesto Car"/>
    <w:basedOn w:val="Fuentedeprrafopredeter"/>
    <w:link w:val="Puesto"/>
    <w:rsid w:val="00F743BC"/>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6611">
      <w:bodyDiv w:val="1"/>
      <w:marLeft w:val="0"/>
      <w:marRight w:val="0"/>
      <w:marTop w:val="0"/>
      <w:marBottom w:val="0"/>
      <w:divBdr>
        <w:top w:val="none" w:sz="0" w:space="0" w:color="auto"/>
        <w:left w:val="none" w:sz="0" w:space="0" w:color="auto"/>
        <w:bottom w:val="none" w:sz="0" w:space="0" w:color="auto"/>
        <w:right w:val="none" w:sz="0" w:space="0" w:color="auto"/>
      </w:divBdr>
    </w:div>
    <w:div w:id="633678673">
      <w:bodyDiv w:val="1"/>
      <w:marLeft w:val="0"/>
      <w:marRight w:val="0"/>
      <w:marTop w:val="0"/>
      <w:marBottom w:val="0"/>
      <w:divBdr>
        <w:top w:val="none" w:sz="0" w:space="0" w:color="auto"/>
        <w:left w:val="none" w:sz="0" w:space="0" w:color="auto"/>
        <w:bottom w:val="none" w:sz="0" w:space="0" w:color="auto"/>
        <w:right w:val="none" w:sz="0" w:space="0" w:color="auto"/>
      </w:divBdr>
      <w:divsChild>
        <w:div w:id="503126704">
          <w:marLeft w:val="0"/>
          <w:marRight w:val="0"/>
          <w:marTop w:val="0"/>
          <w:marBottom w:val="0"/>
          <w:divBdr>
            <w:top w:val="none" w:sz="0" w:space="0" w:color="auto"/>
            <w:left w:val="none" w:sz="0" w:space="0" w:color="auto"/>
            <w:bottom w:val="none" w:sz="0" w:space="0" w:color="auto"/>
            <w:right w:val="none" w:sz="0" w:space="0" w:color="auto"/>
          </w:divBdr>
          <w:divsChild>
            <w:div w:id="629283262">
              <w:marLeft w:val="0"/>
              <w:marRight w:val="0"/>
              <w:marTop w:val="0"/>
              <w:marBottom w:val="0"/>
              <w:divBdr>
                <w:top w:val="none" w:sz="0" w:space="0" w:color="auto"/>
                <w:left w:val="none" w:sz="0" w:space="0" w:color="auto"/>
                <w:bottom w:val="none" w:sz="0" w:space="0" w:color="auto"/>
                <w:right w:val="none" w:sz="0" w:space="0" w:color="auto"/>
              </w:divBdr>
              <w:divsChild>
                <w:div w:id="1139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393">
      <w:bodyDiv w:val="1"/>
      <w:marLeft w:val="0"/>
      <w:marRight w:val="0"/>
      <w:marTop w:val="0"/>
      <w:marBottom w:val="0"/>
      <w:divBdr>
        <w:top w:val="none" w:sz="0" w:space="0" w:color="auto"/>
        <w:left w:val="none" w:sz="0" w:space="0" w:color="auto"/>
        <w:bottom w:val="none" w:sz="0" w:space="0" w:color="auto"/>
        <w:right w:val="none" w:sz="0" w:space="0" w:color="auto"/>
      </w:divBdr>
      <w:divsChild>
        <w:div w:id="187792210">
          <w:marLeft w:val="0"/>
          <w:marRight w:val="0"/>
          <w:marTop w:val="0"/>
          <w:marBottom w:val="0"/>
          <w:divBdr>
            <w:top w:val="none" w:sz="0" w:space="0" w:color="auto"/>
            <w:left w:val="none" w:sz="0" w:space="0" w:color="auto"/>
            <w:bottom w:val="none" w:sz="0" w:space="0" w:color="auto"/>
            <w:right w:val="none" w:sz="0" w:space="0" w:color="auto"/>
          </w:divBdr>
          <w:divsChild>
            <w:div w:id="1846745253">
              <w:marLeft w:val="0"/>
              <w:marRight w:val="0"/>
              <w:marTop w:val="0"/>
              <w:marBottom w:val="0"/>
              <w:divBdr>
                <w:top w:val="none" w:sz="0" w:space="0" w:color="auto"/>
                <w:left w:val="none" w:sz="0" w:space="0" w:color="auto"/>
                <w:bottom w:val="none" w:sz="0" w:space="0" w:color="auto"/>
                <w:right w:val="none" w:sz="0" w:space="0" w:color="auto"/>
              </w:divBdr>
              <w:divsChild>
                <w:div w:id="4392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E929-A455-44A4-BA30-30647D94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HP 1</cp:lastModifiedBy>
  <cp:revision>4</cp:revision>
  <cp:lastPrinted>2015-01-21T20:19:00Z</cp:lastPrinted>
  <dcterms:created xsi:type="dcterms:W3CDTF">2015-10-20T20:33:00Z</dcterms:created>
  <dcterms:modified xsi:type="dcterms:W3CDTF">2015-10-20T20:58:00Z</dcterms:modified>
</cp:coreProperties>
</file>