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A6" w:rsidRPr="00D414F2" w:rsidRDefault="000B61A6" w:rsidP="000B61A6">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r w:rsidRPr="00D414F2">
        <w:rPr>
          <w:rFonts w:ascii="Arial" w:hAnsi="Arial" w:cs="Arial"/>
          <w:sz w:val="20"/>
        </w:rPr>
        <w:t>SUBSIDIARIEDAD DE LA TUTELA/ Improcedencia al no formula</w:t>
      </w:r>
      <w:r w:rsidR="00D414F2">
        <w:rPr>
          <w:rFonts w:ascii="Arial" w:hAnsi="Arial" w:cs="Arial"/>
          <w:sz w:val="20"/>
        </w:rPr>
        <w:t>r recursos ordinarios contra la decisión judicial atacada</w:t>
      </w:r>
      <w:r w:rsidRPr="00D414F2">
        <w:rPr>
          <w:rFonts w:ascii="Arial" w:hAnsi="Arial" w:cs="Arial"/>
          <w:sz w:val="20"/>
        </w:rPr>
        <w:t xml:space="preserve"> por esta vía especial</w:t>
      </w:r>
    </w:p>
    <w:p w:rsidR="000B61A6" w:rsidRPr="00222D14" w:rsidRDefault="000B61A6" w:rsidP="000B61A6">
      <w:pPr>
        <w:jc w:val="both"/>
        <w:rPr>
          <w:rFonts w:ascii="Arial" w:hAnsi="Arial" w:cs="Arial"/>
          <w:i/>
          <w:spacing w:val="-4"/>
          <w:sz w:val="20"/>
          <w:szCs w:val="20"/>
        </w:rPr>
      </w:pPr>
    </w:p>
    <w:p w:rsidR="00222D14" w:rsidRPr="00222D14" w:rsidRDefault="000B61A6" w:rsidP="00222D14">
      <w:pPr>
        <w:jc w:val="both"/>
        <w:rPr>
          <w:rFonts w:ascii="Arial" w:hAnsi="Arial" w:cs="Arial"/>
          <w:spacing w:val="-4"/>
          <w:sz w:val="20"/>
          <w:szCs w:val="20"/>
        </w:rPr>
      </w:pPr>
      <w:r w:rsidRPr="00222D14">
        <w:rPr>
          <w:rFonts w:ascii="Arial" w:hAnsi="Arial" w:cs="Arial"/>
          <w:spacing w:val="-4"/>
          <w:sz w:val="20"/>
          <w:szCs w:val="20"/>
        </w:rPr>
        <w:t>“</w:t>
      </w:r>
      <w:r w:rsidR="00222D14" w:rsidRPr="00222D14">
        <w:rPr>
          <w:rFonts w:ascii="Arial" w:hAnsi="Arial" w:cs="Arial"/>
          <w:spacing w:val="-4"/>
          <w:sz w:val="20"/>
          <w:szCs w:val="20"/>
        </w:rPr>
        <w:t>Conforme al acervo probatorio el accionado con proveído del día</w:t>
      </w:r>
      <w:r w:rsidR="00D414F2">
        <w:rPr>
          <w:rFonts w:ascii="Arial" w:hAnsi="Arial" w:cs="Arial"/>
          <w:spacing w:val="-4"/>
          <w:sz w:val="20"/>
          <w:szCs w:val="20"/>
        </w:rPr>
        <w:t xml:space="preserve"> 22-01-2016 (…</w:t>
      </w:r>
      <w:r w:rsidR="00222D14" w:rsidRPr="00222D14">
        <w:rPr>
          <w:rFonts w:ascii="Arial" w:hAnsi="Arial" w:cs="Arial"/>
          <w:spacing w:val="-4"/>
          <w:sz w:val="20"/>
          <w:szCs w:val="20"/>
        </w:rPr>
        <w:t>), rechazó por extemporáneo el recurso de reposición formulado por el actor, tendiente a que se impusiera sanción económica a su favor, frente al cual, según se constató en esta instancia, no hizo reparo alguno, pretermitiendo así los términos de ley para atacar la referida decisión, dejando que adquiriera firmeza (Artículos 331 y 348 del CPC).</w:t>
      </w:r>
    </w:p>
    <w:p w:rsidR="00222D14" w:rsidRPr="00222D14" w:rsidRDefault="00222D14" w:rsidP="00222D14">
      <w:pPr>
        <w:jc w:val="both"/>
        <w:rPr>
          <w:rFonts w:ascii="Arial" w:hAnsi="Arial" w:cs="Arial"/>
          <w:spacing w:val="-4"/>
          <w:sz w:val="20"/>
          <w:szCs w:val="20"/>
        </w:rPr>
      </w:pPr>
    </w:p>
    <w:p w:rsidR="005725C5" w:rsidRDefault="00764AB2" w:rsidP="00222D14">
      <w:pPr>
        <w:jc w:val="both"/>
        <w:rPr>
          <w:rFonts w:ascii="Arial" w:hAnsi="Arial" w:cs="Arial"/>
          <w:spacing w:val="-4"/>
          <w:sz w:val="20"/>
          <w:szCs w:val="20"/>
        </w:rPr>
      </w:pPr>
      <w:r>
        <w:rPr>
          <w:rFonts w:ascii="Arial" w:hAnsi="Arial" w:cs="Arial"/>
          <w:spacing w:val="-4"/>
          <w:sz w:val="20"/>
          <w:szCs w:val="20"/>
        </w:rPr>
        <w:t xml:space="preserve">Evidente (…) </w:t>
      </w:r>
      <w:r w:rsidR="00222D14" w:rsidRPr="00222D14">
        <w:rPr>
          <w:rFonts w:ascii="Arial" w:hAnsi="Arial" w:cs="Arial"/>
          <w:spacing w:val="-4"/>
          <w:sz w:val="20"/>
          <w:szCs w:val="20"/>
        </w:rPr>
        <w:t>es la falta de agotamiento del supuesto de subsidiariedad</w:t>
      </w:r>
      <w:r>
        <w:rPr>
          <w:rFonts w:ascii="Arial" w:hAnsi="Arial" w:cs="Arial"/>
          <w:spacing w:val="-4"/>
          <w:sz w:val="20"/>
          <w:szCs w:val="20"/>
        </w:rPr>
        <w:t xml:space="preserve"> (…)</w:t>
      </w:r>
      <w:r w:rsidR="00222D14" w:rsidRPr="00222D14">
        <w:rPr>
          <w:rFonts w:ascii="Arial" w:hAnsi="Arial" w:cs="Arial"/>
          <w:spacing w:val="-4"/>
          <w:sz w:val="20"/>
          <w:szCs w:val="20"/>
        </w:rPr>
        <w:t xml:space="preserve"> la acción de tutela no pude implementarse como medio para sustituir los mecanismos ordinarios de defensa, cuando por negligencia, descuido o incuria no fueron</w:t>
      </w:r>
      <w:r w:rsidR="00B33274">
        <w:rPr>
          <w:rFonts w:ascii="Arial" w:hAnsi="Arial" w:cs="Arial"/>
          <w:spacing w:val="-4"/>
          <w:sz w:val="20"/>
          <w:szCs w:val="20"/>
        </w:rPr>
        <w:t xml:space="preserve"> utilizados a su debido tiempo.”</w:t>
      </w:r>
    </w:p>
    <w:p w:rsidR="00B33274" w:rsidRDefault="00B33274" w:rsidP="00222D14">
      <w:pPr>
        <w:jc w:val="both"/>
        <w:rPr>
          <w:rFonts w:ascii="Arial" w:hAnsi="Arial" w:cs="Arial"/>
          <w:spacing w:val="-4"/>
          <w:sz w:val="20"/>
          <w:szCs w:val="20"/>
        </w:rPr>
      </w:pPr>
    </w:p>
    <w:p w:rsidR="00B33274" w:rsidRDefault="00B33274" w:rsidP="00222D14">
      <w:pPr>
        <w:jc w:val="both"/>
        <w:rPr>
          <w:rFonts w:ascii="Arial" w:hAnsi="Arial" w:cs="Arial"/>
          <w:sz w:val="20"/>
          <w:szCs w:val="20"/>
        </w:rPr>
      </w:pPr>
      <w:r w:rsidRPr="00B87CC7">
        <w:rPr>
          <w:rFonts w:ascii="Arial" w:hAnsi="Arial" w:cs="Arial"/>
          <w:sz w:val="20"/>
          <w:szCs w:val="20"/>
        </w:rPr>
        <w:t>ACCIÓN DE TUTELA/ No es un medio para elevar quejas aisladas o sin fundamento</w:t>
      </w:r>
    </w:p>
    <w:p w:rsidR="00B33274" w:rsidRDefault="00B33274" w:rsidP="00222D14">
      <w:pPr>
        <w:jc w:val="both"/>
        <w:rPr>
          <w:rFonts w:ascii="Arial" w:hAnsi="Arial" w:cs="Arial"/>
          <w:spacing w:val="-4"/>
          <w:sz w:val="20"/>
          <w:szCs w:val="20"/>
        </w:rPr>
      </w:pPr>
    </w:p>
    <w:p w:rsidR="00B33274" w:rsidRPr="00222D14" w:rsidRDefault="00B33274" w:rsidP="00222D14">
      <w:pPr>
        <w:jc w:val="both"/>
        <w:rPr>
          <w:rFonts w:ascii="Arial" w:hAnsi="Arial" w:cs="Arial"/>
          <w:spacing w:val="-4"/>
          <w:sz w:val="20"/>
          <w:szCs w:val="20"/>
        </w:rPr>
      </w:pPr>
      <w:r>
        <w:rPr>
          <w:rFonts w:ascii="Arial" w:hAnsi="Arial" w:cs="Arial"/>
          <w:spacing w:val="-4"/>
          <w:sz w:val="20"/>
          <w:szCs w:val="20"/>
        </w:rPr>
        <w:t>“</w:t>
      </w:r>
      <w:r w:rsidRPr="00B33274">
        <w:rPr>
          <w:rFonts w:ascii="Arial" w:hAnsi="Arial" w:cs="Arial"/>
          <w:spacing w:val="-4"/>
          <w:sz w:val="20"/>
          <w:szCs w:val="20"/>
        </w:rPr>
        <w:t>Respecto a la pretensión de remitir copias de la acción a la Oficina Judicial de Manizales, hay que precisar, que en este caso la tutela no se dirigió contra la Defensoría del Pueblo de esa ciudad y tampoco de los hechos se advierte, conduc</w:t>
      </w:r>
      <w:r w:rsidR="00472BE0">
        <w:rPr>
          <w:rFonts w:ascii="Arial" w:hAnsi="Arial" w:cs="Arial"/>
          <w:spacing w:val="-4"/>
          <w:sz w:val="20"/>
          <w:szCs w:val="20"/>
        </w:rPr>
        <w:t>ta que amerite tramitarla (…)”</w:t>
      </w:r>
    </w:p>
    <w:p w:rsidR="00222D14" w:rsidRPr="00C613ED" w:rsidRDefault="00222D14" w:rsidP="00222D14">
      <w:pPr>
        <w:jc w:val="both"/>
        <w:rPr>
          <w:rFonts w:ascii="Arial" w:hAnsi="Arial" w:cs="Arial"/>
          <w:spacing w:val="-8"/>
          <w:sz w:val="17"/>
          <w:szCs w:val="17"/>
          <w:lang w:val="es-CO"/>
        </w:rPr>
      </w:pPr>
    </w:p>
    <w:p w:rsidR="005725C5" w:rsidRPr="00C613ED" w:rsidRDefault="005725C5" w:rsidP="000B61A6">
      <w:pPr>
        <w:jc w:val="both"/>
        <w:rPr>
          <w:rFonts w:ascii="Arial" w:hAnsi="Arial" w:cs="Arial"/>
          <w:spacing w:val="-8"/>
          <w:sz w:val="17"/>
          <w:szCs w:val="17"/>
          <w:lang w:val="es-CO"/>
        </w:rPr>
      </w:pPr>
      <w:r w:rsidRPr="00C613ED">
        <w:rPr>
          <w:rFonts w:ascii="Arial" w:hAnsi="Arial" w:cs="Arial"/>
          <w:spacing w:val="-8"/>
          <w:sz w:val="17"/>
          <w:szCs w:val="17"/>
          <w:lang w:val="es-CO"/>
        </w:rPr>
        <w:t xml:space="preserve">Citas: Corte Constitucional, sentencias T-134 de 1994, T-567 de 1998, C-590 de 2005, </w:t>
      </w:r>
      <w:r w:rsidR="00812009" w:rsidRPr="00C613ED">
        <w:rPr>
          <w:rFonts w:ascii="Arial" w:hAnsi="Arial" w:cs="Arial"/>
          <w:spacing w:val="-8"/>
          <w:sz w:val="17"/>
          <w:szCs w:val="17"/>
          <w:lang w:val="es-CO"/>
        </w:rPr>
        <w:t>T-429</w:t>
      </w:r>
      <w:r w:rsidRPr="00C613ED">
        <w:rPr>
          <w:rFonts w:ascii="Arial" w:hAnsi="Arial" w:cs="Arial"/>
          <w:spacing w:val="-8"/>
          <w:sz w:val="17"/>
          <w:szCs w:val="17"/>
          <w:lang w:val="es-CO"/>
        </w:rPr>
        <w:t xml:space="preserve">, </w:t>
      </w:r>
      <w:r w:rsidR="00812009" w:rsidRPr="00C613ED">
        <w:rPr>
          <w:rFonts w:ascii="Arial" w:hAnsi="Arial" w:cs="Arial"/>
          <w:spacing w:val="-8"/>
          <w:sz w:val="17"/>
          <w:szCs w:val="17"/>
          <w:lang w:val="es-CO"/>
        </w:rPr>
        <w:t xml:space="preserve">T-717 y </w:t>
      </w:r>
      <w:r w:rsidRPr="00C613ED">
        <w:rPr>
          <w:rFonts w:ascii="Arial" w:hAnsi="Arial" w:cs="Arial"/>
          <w:spacing w:val="-8"/>
          <w:sz w:val="17"/>
          <w:szCs w:val="17"/>
          <w:lang w:val="es-CO"/>
        </w:rPr>
        <w:t>T-917 de 2011, T-662 de 2013, T-103 de 2014, T-064 y T-307 de 2015; Corte Suprema de Justicia. Sala Civil, providencias del 2 de septiembre de 2014 –rad. 23001-22-14-000-2014-00097-01- y del 26 de noviembre de 2015 -rad. 66001-22-13-000-2015-00749-01-; Tribunal Superior de Pereira, Sala Civil – Familia, sentencias del 22 de septiembre de 2015 -rad. 2015-00490-00, 2015-</w:t>
      </w:r>
      <w:r w:rsidR="00654412" w:rsidRPr="00C613ED">
        <w:rPr>
          <w:rFonts w:ascii="Arial" w:hAnsi="Arial" w:cs="Arial"/>
          <w:spacing w:val="-8"/>
          <w:sz w:val="17"/>
          <w:szCs w:val="17"/>
          <w:lang w:val="es-CO"/>
        </w:rPr>
        <w:t xml:space="preserve">00495, 2015-00485 y 2015-00511-; </w:t>
      </w:r>
      <w:r w:rsidRPr="00C613ED">
        <w:rPr>
          <w:rFonts w:ascii="Arial" w:hAnsi="Arial" w:cs="Arial"/>
          <w:spacing w:val="-8"/>
          <w:sz w:val="17"/>
          <w:szCs w:val="17"/>
          <w:lang w:val="es-CO"/>
        </w:rPr>
        <w:t>doctrina: BOTERO MARINO, Catalina. “La acción de tutela en el ordenamiento constitucional colombiano”, Escuela Judicial Rodrigo Lara Bonilla, Ediprime Ltda., Bogotá D.C., 2006. QUINCHE RAMÍREZ, Manuel Fernando. “Vías de hecho, acción de tutela contra providencias”, Editorial Temis S.A., Bogotá D.C., 2013.</w:t>
      </w:r>
    </w:p>
    <w:p w:rsidR="00812009" w:rsidRDefault="00812009" w:rsidP="000F03A0">
      <w:pPr>
        <w:pStyle w:val="Textonotapie"/>
      </w:pPr>
    </w:p>
    <w:p w:rsidR="00486062" w:rsidRPr="00055048" w:rsidRDefault="00D0509A" w:rsidP="002403C8">
      <w:pPr>
        <w:pStyle w:val="Sinespaciado"/>
        <w:tabs>
          <w:tab w:val="left" w:pos="3579"/>
        </w:tabs>
        <w:spacing w:line="360" w:lineRule="auto"/>
        <w:jc w:val="center"/>
        <w:rPr>
          <w:rFonts w:ascii="Arial" w:hAnsi="Arial" w:cs="Arial"/>
          <w:w w:val="140"/>
          <w:sz w:val="14"/>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7949D4">
        <w:rPr>
          <w:rFonts w:ascii="Arial" w:hAnsi="Arial" w:cs="Arial"/>
          <w:sz w:val="22"/>
        </w:rPr>
        <w:t xml:space="preserve">Cuarto </w:t>
      </w:r>
      <w:r w:rsidRPr="00A00766">
        <w:rPr>
          <w:rFonts w:ascii="Arial" w:hAnsi="Arial" w:cs="Arial"/>
          <w:sz w:val="22"/>
        </w:rPr>
        <w:t>Civil del Circuito de Pereira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7949D4">
        <w:rPr>
          <w:rFonts w:ascii="Arial" w:hAnsi="Arial" w:cs="Arial"/>
          <w:sz w:val="22"/>
          <w:szCs w:val="22"/>
        </w:rPr>
        <w:t>Banco de Occidente - sucursal calle 19 No. 9-36-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7949D4">
        <w:rPr>
          <w:rFonts w:ascii="Arial" w:hAnsi="Arial" w:cs="Arial"/>
          <w:sz w:val="22"/>
        </w:rPr>
        <w:t xml:space="preserve">2016-00018-00 </w:t>
      </w:r>
      <w:r w:rsidRPr="00A00766">
        <w:rPr>
          <w:rFonts w:ascii="Arial" w:hAnsi="Arial" w:cs="Arial"/>
          <w:sz w:val="22"/>
        </w:rPr>
        <w:t>(Interno No.</w:t>
      </w:r>
      <w:r w:rsidR="007949D4">
        <w:rPr>
          <w:rFonts w:ascii="Arial" w:hAnsi="Arial" w:cs="Arial"/>
          <w:sz w:val="22"/>
        </w:rPr>
        <w:t>18</w:t>
      </w:r>
      <w:r w:rsidRPr="00A00766">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Procedencia - Subsidiaridad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8065F0">
        <w:rPr>
          <w:rFonts w:ascii="Arial" w:hAnsi="Arial"/>
          <w:sz w:val="22"/>
          <w:szCs w:val="22"/>
        </w:rPr>
        <w:t>47 de 05-02-2016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8065F0">
        <w:rPr>
          <w:rFonts w:ascii="Arial" w:hAnsi="Arial" w:cs="Arial"/>
          <w:iCs/>
          <w:smallCaps/>
          <w:szCs w:val="28"/>
          <w:lang w:val="es-CO"/>
        </w:rPr>
        <w:t>cinco</w:t>
      </w:r>
      <w:r w:rsidR="007949D4">
        <w:rPr>
          <w:rFonts w:ascii="Arial" w:hAnsi="Arial" w:cs="Arial"/>
          <w:iCs/>
          <w:smallCaps/>
          <w:szCs w:val="28"/>
          <w:lang w:val="es-CO"/>
        </w:rPr>
        <w:t xml:space="preserve"> </w:t>
      </w:r>
      <w:r w:rsidR="00437198">
        <w:rPr>
          <w:rFonts w:ascii="Arial" w:hAnsi="Arial" w:cs="Arial"/>
          <w:iCs/>
          <w:smallCaps/>
          <w:szCs w:val="28"/>
          <w:lang w:val="es-CO"/>
        </w:rPr>
        <w:t>(</w:t>
      </w:r>
      <w:r w:rsidR="008065F0">
        <w:rPr>
          <w:rFonts w:ascii="Arial" w:hAnsi="Arial" w:cs="Arial"/>
          <w:iCs/>
          <w:smallCaps/>
          <w:szCs w:val="28"/>
          <w:lang w:val="es-CO"/>
        </w:rPr>
        <w:t>05</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7949D4">
        <w:rPr>
          <w:rFonts w:ascii="Arial" w:hAnsi="Arial" w:cs="Arial"/>
          <w:iCs/>
          <w:smallCaps/>
          <w:szCs w:val="28"/>
          <w:lang w:val="es-CO"/>
        </w:rPr>
        <w:t xml:space="preserve">febrero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7949D4">
      <w:pPr>
        <w:pStyle w:val="Textoindependiente"/>
        <w:spacing w:line="360" w:lineRule="auto"/>
        <w:rPr>
          <w:rFonts w:ascii="Arial" w:hAnsi="Arial"/>
          <w:szCs w:val="24"/>
        </w:rPr>
      </w:pPr>
    </w:p>
    <w:p w:rsidR="007949D4" w:rsidRPr="007949D4" w:rsidRDefault="007949D4" w:rsidP="007949D4">
      <w:pPr>
        <w:pStyle w:val="Textoindependiente"/>
        <w:spacing w:line="360" w:lineRule="auto"/>
        <w:rPr>
          <w:rFonts w:ascii="Arial" w:hAnsi="Arial"/>
        </w:rPr>
      </w:pPr>
      <w:r w:rsidRPr="007949D4">
        <w:rPr>
          <w:rFonts w:ascii="Arial" w:hAnsi="Arial"/>
        </w:rPr>
        <w:t>La acción constitucional ya mencionada, adelantada la actuación respectiva con el trámite preferente y sumario, sin que se aprecien causales de nulidad que la invaliden.</w:t>
      </w:r>
    </w:p>
    <w:p w:rsidR="009C568C" w:rsidRPr="00BA69B4" w:rsidRDefault="009C568C"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EC57DE">
          <w:rPr>
            <w:rFonts w:ascii="Arial" w:hAnsi="Arial"/>
            <w:szCs w:val="24"/>
          </w:rPr>
          <w:lastRenderedPageBreak/>
          <w:t>LA SÍNTESIS DE</w:t>
        </w:r>
      </w:smartTag>
      <w:r w:rsidRPr="00EC57D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EC57DE" w:rsidRDefault="00AC2785" w:rsidP="00AC2785">
      <w:pPr>
        <w:spacing w:line="360" w:lineRule="auto"/>
        <w:jc w:val="both"/>
        <w:rPr>
          <w:rFonts w:ascii="Arial" w:hAnsi="Arial" w:cs="Arial"/>
          <w:color w:val="000000"/>
        </w:rPr>
      </w:pPr>
      <w:r>
        <w:rPr>
          <w:rFonts w:ascii="Arial" w:hAnsi="Arial" w:cs="Arial"/>
          <w:color w:val="000000"/>
        </w:rPr>
        <w:t>Se quejó el actor de la inobservancia del juzgado accionado</w:t>
      </w:r>
      <w:r w:rsidR="00B1245A">
        <w:rPr>
          <w:rFonts w:ascii="Arial" w:hAnsi="Arial" w:cs="Arial"/>
          <w:color w:val="000000"/>
        </w:rPr>
        <w:t>,</w:t>
      </w:r>
      <w:r>
        <w:rPr>
          <w:rFonts w:ascii="Arial" w:hAnsi="Arial" w:cs="Arial"/>
          <w:color w:val="000000"/>
        </w:rPr>
        <w:t xml:space="preserve"> </w:t>
      </w:r>
      <w:r w:rsidR="00B1245A">
        <w:rPr>
          <w:rFonts w:ascii="Arial" w:hAnsi="Arial" w:cs="Arial"/>
          <w:color w:val="000000"/>
        </w:rPr>
        <w:t xml:space="preserve">al dejar de sancionar </w:t>
      </w:r>
      <w:r>
        <w:rPr>
          <w:rFonts w:ascii="Arial" w:hAnsi="Arial" w:cs="Arial"/>
          <w:color w:val="000000"/>
        </w:rPr>
        <w:t xml:space="preserve">económicamente a la parte pasiva en la acción popular </w:t>
      </w:r>
      <w:r w:rsidR="007051BF">
        <w:rPr>
          <w:rFonts w:ascii="Arial" w:hAnsi="Arial" w:cs="Arial"/>
          <w:color w:val="000000"/>
        </w:rPr>
        <w:t>No.</w:t>
      </w:r>
      <w:r>
        <w:rPr>
          <w:rFonts w:ascii="Arial" w:hAnsi="Arial" w:cs="Arial"/>
          <w:color w:val="000000"/>
        </w:rPr>
        <w:t xml:space="preserve">2015-251-00, pese a que </w:t>
      </w:r>
      <w:r w:rsidR="007051BF">
        <w:rPr>
          <w:rFonts w:ascii="Arial" w:hAnsi="Arial" w:cs="Arial"/>
          <w:color w:val="000000"/>
        </w:rPr>
        <w:t>la nulidad formulada</w:t>
      </w:r>
      <w:r>
        <w:rPr>
          <w:rFonts w:ascii="Arial" w:hAnsi="Arial" w:cs="Arial"/>
          <w:color w:val="000000"/>
        </w:rPr>
        <w:t xml:space="preserve"> por aquella, no prosper</w:t>
      </w:r>
      <w:r w:rsidR="004A4E9F">
        <w:rPr>
          <w:rFonts w:ascii="Arial" w:hAnsi="Arial" w:cs="Arial"/>
          <w:color w:val="000000"/>
        </w:rPr>
        <w:t>ó (Folio 1, este cuaderno)</w:t>
      </w:r>
    </w:p>
    <w:p w:rsidR="00AC2785" w:rsidRPr="00BA69B4" w:rsidRDefault="00AC2785" w:rsidP="00AC2785">
      <w:pPr>
        <w:spacing w:line="360" w:lineRule="auto"/>
        <w:jc w:val="both"/>
        <w:rPr>
          <w:rFonts w:ascii="Arial" w:hAnsi="Arial"/>
          <w:lang w:val="es-CO"/>
        </w:rPr>
      </w:pPr>
    </w:p>
    <w:p w:rsidR="002B0607" w:rsidRPr="00BA69B4" w:rsidRDefault="002B0607" w:rsidP="0099045D">
      <w:pPr>
        <w:pStyle w:val="Textoindependiente"/>
        <w:spacing w:line="360" w:lineRule="auto"/>
        <w:rPr>
          <w:rFonts w:ascii="Arial" w:hAnsi="Arial"/>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 y la debida administración de justicia</w:t>
      </w:r>
      <w:r w:rsidR="004A4E9F">
        <w:rPr>
          <w:rFonts w:ascii="Arial" w:hAnsi="Arial" w:cs="Arial"/>
          <w:spacing w:val="-3"/>
          <w:lang w:val="es-ES_tradnl"/>
        </w:rPr>
        <w:t xml:space="preserve"> (Folio 1, 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B1245A">
        <w:rPr>
          <w:rFonts w:ascii="Arial" w:hAnsi="Arial" w:cs="Arial"/>
          <w:szCs w:val="24"/>
        </w:rPr>
        <w:t>,</w:t>
      </w:r>
      <w:r w:rsidR="00AD2BA8">
        <w:rPr>
          <w:rFonts w:ascii="Arial" w:hAnsi="Arial" w:cs="Arial"/>
          <w:szCs w:val="24"/>
        </w:rPr>
        <w:t xml:space="preserve"> </w:t>
      </w:r>
      <w:r w:rsidR="004A4E9F">
        <w:rPr>
          <w:rFonts w:ascii="Arial" w:hAnsi="Arial" w:cs="Arial"/>
          <w:szCs w:val="24"/>
        </w:rPr>
        <w:t xml:space="preserve">imponer a su favor y a cargo de la </w:t>
      </w:r>
      <w:r w:rsidR="004A4E9F" w:rsidRPr="005C4C0F">
        <w:rPr>
          <w:rFonts w:ascii="Arial" w:hAnsi="Arial" w:cs="Arial"/>
          <w:szCs w:val="24"/>
        </w:rPr>
        <w:t>parte pasiva en la acción popular</w:t>
      </w:r>
      <w:r w:rsidR="00B1245A">
        <w:rPr>
          <w:rFonts w:ascii="Arial" w:hAnsi="Arial" w:cs="Arial"/>
          <w:szCs w:val="24"/>
        </w:rPr>
        <w:t>,</w:t>
      </w:r>
      <w:r w:rsidR="004A4E9F" w:rsidRPr="005C4C0F">
        <w:rPr>
          <w:rFonts w:ascii="Arial" w:hAnsi="Arial" w:cs="Arial"/>
          <w:szCs w:val="24"/>
        </w:rPr>
        <w:t xml:space="preserve"> la sanción económica </w:t>
      </w:r>
      <w:r w:rsidR="00B1245A">
        <w:rPr>
          <w:rFonts w:ascii="Arial" w:hAnsi="Arial" w:cs="Arial"/>
          <w:szCs w:val="24"/>
        </w:rPr>
        <w:t xml:space="preserve">del </w:t>
      </w:r>
      <w:r w:rsidR="004A4E9F" w:rsidRPr="005C4C0F">
        <w:rPr>
          <w:rFonts w:ascii="Arial" w:hAnsi="Arial" w:cs="Arial"/>
          <w:szCs w:val="24"/>
        </w:rPr>
        <w:t>artículo 295 de la Ley 1437</w:t>
      </w:r>
      <w:r w:rsidR="00AD2BA8" w:rsidRPr="005C4C0F">
        <w:rPr>
          <w:rFonts w:ascii="Arial" w:hAnsi="Arial" w:cs="Arial"/>
          <w:szCs w:val="24"/>
        </w:rPr>
        <w:t xml:space="preserve">; (iii)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 xml:space="preserve">correo electrónico; y, </w:t>
      </w:r>
      <w:r w:rsidR="00AD2BA8" w:rsidRPr="005C4C0F">
        <w:rPr>
          <w:rFonts w:ascii="Arial" w:hAnsi="Arial" w:cs="Arial"/>
          <w:szCs w:val="24"/>
        </w:rPr>
        <w:t>(iv)</w:t>
      </w:r>
      <w:r w:rsidRPr="005C4C0F">
        <w:rPr>
          <w:rFonts w:ascii="Arial" w:hAnsi="Arial" w:cs="Arial"/>
          <w:szCs w:val="24"/>
        </w:rPr>
        <w:t xml:space="preserve"> Se envíe copia de la acción a la Oficina Judicial de Reparto de Manizales para que tramite tutela en contra de la Defensora del Pueblo</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(Folio 1, este cuaderno)</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20B87" w:rsidRPr="004B019A"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Pr>
          <w:rFonts w:ascii="Arial" w:hAnsi="Arial"/>
        </w:rPr>
        <w:t>26-01-2016</w:t>
      </w:r>
      <w:r w:rsidR="00DD597F">
        <w:rPr>
          <w:rFonts w:ascii="Arial" w:hAnsi="Arial"/>
        </w:rPr>
        <w:t>, co</w:t>
      </w:r>
      <w:r w:rsidR="00DD597F" w:rsidRPr="00704D44">
        <w:rPr>
          <w:rFonts w:ascii="Arial" w:hAnsi="Arial"/>
        </w:rPr>
        <w:t>n providencia</w:t>
      </w:r>
      <w:r w:rsidR="00DD597F">
        <w:rPr>
          <w:rFonts w:ascii="Arial" w:hAnsi="Arial"/>
        </w:rPr>
        <w:t xml:space="preserve"> </w:t>
      </w:r>
      <w:r>
        <w:rPr>
          <w:rFonts w:ascii="Arial" w:hAnsi="Arial"/>
        </w:rPr>
        <w:t xml:space="preserve">de ese mismo día </w:t>
      </w:r>
      <w:r w:rsidR="008E50E4" w:rsidRPr="008E5A62">
        <w:rPr>
          <w:rFonts w:ascii="Arial" w:hAnsi="Arial"/>
        </w:rPr>
        <w:t>se admiti</w:t>
      </w:r>
      <w:r>
        <w:rPr>
          <w:rFonts w:ascii="Arial" w:hAnsi="Arial"/>
        </w:rPr>
        <w:t xml:space="preserve">ó, </w:t>
      </w:r>
      <w:r w:rsidR="008E50E4" w:rsidRPr="008E5A62">
        <w:rPr>
          <w:rFonts w:ascii="Arial" w:hAnsi="Arial"/>
        </w:rPr>
        <w:t>se vincul</w:t>
      </w:r>
      <w:r w:rsidR="008E50E4">
        <w:rPr>
          <w:rFonts w:ascii="Arial" w:hAnsi="Arial"/>
        </w:rPr>
        <w:t xml:space="preserve">ó </w:t>
      </w:r>
      <w:r w:rsidR="008E50E4" w:rsidRPr="008E5A62">
        <w:rPr>
          <w:rFonts w:ascii="Arial" w:hAnsi="Arial"/>
        </w:rPr>
        <w:t xml:space="preserve">a </w:t>
      </w:r>
      <w:r w:rsidR="008E50E4">
        <w:rPr>
          <w:rFonts w:ascii="Arial" w:hAnsi="Arial"/>
        </w:rPr>
        <w:t>quienes se estimó conveniente</w:t>
      </w:r>
      <w:r w:rsidR="008E50E4" w:rsidRPr="008E5A62">
        <w:rPr>
          <w:rFonts w:ascii="Arial" w:hAnsi="Arial"/>
        </w:rPr>
        <w:t xml:space="preserve"> y se dispuso notificar a la</w:t>
      </w:r>
      <w:r w:rsidR="008E50E4">
        <w:rPr>
          <w:rFonts w:ascii="Arial" w:hAnsi="Arial"/>
        </w:rPr>
        <w:t>s</w:t>
      </w:r>
      <w:r w:rsidR="008E50E4" w:rsidRPr="008E5A62">
        <w:rPr>
          <w:rFonts w:ascii="Arial" w:hAnsi="Arial"/>
        </w:rPr>
        <w:t xml:space="preserve"> partes, entre otros ordenamientos</w:t>
      </w:r>
      <w:r w:rsidR="008E50E4">
        <w:rPr>
          <w:rFonts w:ascii="Arial" w:hAnsi="Arial"/>
        </w:rPr>
        <w:t xml:space="preserve"> (Folios 4 y 5, </w:t>
      </w:r>
      <w:r w:rsidR="00B1245A">
        <w:rPr>
          <w:rFonts w:ascii="Arial" w:hAnsi="Arial"/>
        </w:rPr>
        <w:t>ibídem</w:t>
      </w:r>
      <w:r w:rsidR="008E50E4">
        <w:rPr>
          <w:rFonts w:ascii="Arial" w:hAnsi="Arial"/>
        </w:rPr>
        <w:t>)</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8E50E4">
        <w:rPr>
          <w:rFonts w:ascii="Arial" w:hAnsi="Arial"/>
        </w:rPr>
        <w:t xml:space="preserve">(Folios </w:t>
      </w:r>
      <w:r>
        <w:rPr>
          <w:rFonts w:ascii="Arial" w:hAnsi="Arial"/>
        </w:rPr>
        <w:t>6 y 7</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50E4">
        <w:rPr>
          <w:rFonts w:ascii="Arial" w:hAnsi="Arial"/>
        </w:rPr>
        <w:t>C</w:t>
      </w:r>
      <w:r w:rsidR="008E50E4" w:rsidRPr="008E5A62">
        <w:rPr>
          <w:rFonts w:ascii="Arial" w:hAnsi="Arial"/>
        </w:rPr>
        <w:t xml:space="preserve">ontestaron </w:t>
      </w:r>
      <w:r w:rsidR="008E50E4" w:rsidRPr="00E859EA">
        <w:rPr>
          <w:rFonts w:ascii="Arial" w:hAnsi="Arial" w:cs="Arial"/>
          <w:spacing w:val="3"/>
        </w:rPr>
        <w:t>la Procuraduría General de la Nación Regional de Risaralda</w:t>
      </w:r>
      <w:r w:rsidR="008E50E4">
        <w:rPr>
          <w:rFonts w:ascii="Arial" w:hAnsi="Arial" w:cs="Arial"/>
          <w:spacing w:val="3"/>
        </w:rPr>
        <w:t xml:space="preserve"> (Folios </w:t>
      </w:r>
      <w:r>
        <w:rPr>
          <w:rFonts w:ascii="Arial" w:hAnsi="Arial" w:cs="Arial"/>
          <w:spacing w:val="3"/>
        </w:rPr>
        <w:t>8</w:t>
      </w:r>
      <w:r w:rsidR="008E50E4">
        <w:rPr>
          <w:rFonts w:ascii="Arial" w:hAnsi="Arial" w:cs="Arial"/>
          <w:spacing w:val="3"/>
        </w:rPr>
        <w:t xml:space="preserve">, </w:t>
      </w:r>
      <w:r w:rsidR="00B1245A">
        <w:rPr>
          <w:rFonts w:ascii="Arial" w:hAnsi="Arial" w:cs="Arial"/>
          <w:spacing w:val="3"/>
        </w:rPr>
        <w:t>ibídem</w:t>
      </w:r>
      <w:r w:rsidR="008E50E4">
        <w:rPr>
          <w:rFonts w:ascii="Arial" w:hAnsi="Arial" w:cs="Arial"/>
          <w:spacing w:val="3"/>
        </w:rPr>
        <w:t xml:space="preserve">), </w:t>
      </w:r>
      <w:r w:rsidR="00DD597F">
        <w:rPr>
          <w:rFonts w:ascii="Arial" w:hAnsi="Arial" w:cs="Arial"/>
          <w:spacing w:val="3"/>
        </w:rPr>
        <w:t xml:space="preserve">la </w:t>
      </w:r>
      <w:r w:rsidR="008E50E4">
        <w:rPr>
          <w:rFonts w:ascii="Arial" w:hAnsi="Arial" w:cs="Arial"/>
          <w:spacing w:val="3"/>
        </w:rPr>
        <w:t xml:space="preserve">Alcaldía de Pereira (Folios </w:t>
      </w:r>
      <w:r>
        <w:rPr>
          <w:rFonts w:ascii="Arial" w:hAnsi="Arial" w:cs="Arial"/>
          <w:spacing w:val="3"/>
        </w:rPr>
        <w:t xml:space="preserve">12 a </w:t>
      </w:r>
      <w:r w:rsidR="00264032">
        <w:rPr>
          <w:rFonts w:ascii="Arial" w:hAnsi="Arial" w:cs="Arial"/>
          <w:spacing w:val="3"/>
        </w:rPr>
        <w:t>15</w:t>
      </w:r>
      <w:r w:rsidR="008E50E4">
        <w:rPr>
          <w:rFonts w:ascii="Arial" w:hAnsi="Arial" w:cs="Arial"/>
          <w:spacing w:val="3"/>
        </w:rPr>
        <w:t xml:space="preserve">, </w:t>
      </w:r>
      <w:r w:rsidR="00B1245A">
        <w:rPr>
          <w:rFonts w:ascii="Arial" w:hAnsi="Arial" w:cs="Arial"/>
          <w:spacing w:val="3"/>
        </w:rPr>
        <w:t>ib.</w:t>
      </w:r>
      <w:r w:rsidR="008E50E4">
        <w:rPr>
          <w:rFonts w:ascii="Arial" w:hAnsi="Arial" w:cs="Arial"/>
          <w:spacing w:val="3"/>
        </w:rPr>
        <w:t>)</w:t>
      </w:r>
      <w:r w:rsidR="001A4C76">
        <w:rPr>
          <w:rFonts w:ascii="Arial" w:hAnsi="Arial" w:cs="Arial"/>
          <w:spacing w:val="3"/>
        </w:rPr>
        <w:t>,</w:t>
      </w:r>
      <w:r w:rsidR="00264032">
        <w:rPr>
          <w:rFonts w:ascii="Arial" w:hAnsi="Arial" w:cs="Arial"/>
          <w:spacing w:val="3"/>
        </w:rPr>
        <w:t xml:space="preserve"> el Banco de O</w:t>
      </w:r>
      <w:r w:rsidR="001A4C76">
        <w:rPr>
          <w:rFonts w:ascii="Arial" w:hAnsi="Arial" w:cs="Arial"/>
          <w:spacing w:val="3"/>
        </w:rPr>
        <w:t xml:space="preserve">ccidente (Folios 23 y 24, </w:t>
      </w:r>
      <w:r w:rsidR="00B1245A">
        <w:rPr>
          <w:rFonts w:ascii="Arial" w:hAnsi="Arial" w:cs="Arial"/>
          <w:spacing w:val="3"/>
        </w:rPr>
        <w:t>ib.</w:t>
      </w:r>
      <w:r w:rsidR="001A4C76">
        <w:rPr>
          <w:rFonts w:ascii="Arial" w:hAnsi="Arial" w:cs="Arial"/>
          <w:spacing w:val="3"/>
        </w:rPr>
        <w:t>) y</w:t>
      </w:r>
      <w:r w:rsidR="00264032">
        <w:rPr>
          <w:rFonts w:ascii="Arial" w:hAnsi="Arial" w:cs="Arial"/>
          <w:spacing w:val="3"/>
        </w:rPr>
        <w:t xml:space="preserve"> la Personería Municipal de Pereira (Folios 25 a 27, </w:t>
      </w:r>
      <w:r w:rsidR="00B1245A">
        <w:rPr>
          <w:rFonts w:ascii="Arial" w:hAnsi="Arial" w:cs="Arial"/>
          <w:spacing w:val="3"/>
        </w:rPr>
        <w:t>ib.</w:t>
      </w:r>
      <w:r w:rsidR="00264032">
        <w:rPr>
          <w:rFonts w:ascii="Arial" w:hAnsi="Arial" w:cs="Arial"/>
          <w:spacing w:val="3"/>
        </w:rPr>
        <w:t>)</w:t>
      </w:r>
      <w:r w:rsidR="00A75D4E" w:rsidRPr="004B019A">
        <w:rPr>
          <w:rFonts w:ascii="Arial" w:hAnsi="Arial" w:cs="Arial"/>
        </w:rPr>
        <w:t>.</w:t>
      </w:r>
      <w:r w:rsidR="001A4C76">
        <w:rPr>
          <w:rFonts w:ascii="Arial" w:hAnsi="Arial" w:cs="Arial"/>
        </w:rPr>
        <w:t xml:space="preserve"> El juzgado accionado arrimó copia del expediente de la acción popular (Folios 29 a 87, </w:t>
      </w:r>
      <w:r w:rsidR="00B1245A">
        <w:rPr>
          <w:rFonts w:ascii="Arial" w:hAnsi="Arial" w:cs="Arial"/>
        </w:rPr>
        <w:t>ib.</w:t>
      </w:r>
      <w:r w:rsidR="001A4C76">
        <w:rPr>
          <w:rFonts w:ascii="Arial" w:hAnsi="Arial" w:cs="Arial"/>
        </w:rPr>
        <w:t xml:space="preserve">). </w:t>
      </w:r>
    </w:p>
    <w:p w:rsidR="00B41B34" w:rsidRPr="00984EE4" w:rsidRDefault="00B41B34" w:rsidP="00B50331">
      <w:pPr>
        <w:spacing w:line="360" w:lineRule="auto"/>
        <w:jc w:val="both"/>
        <w:rPr>
          <w:rFonts w:ascii="Arial" w:hAnsi="Arial"/>
          <w:sz w:val="22"/>
        </w:rPr>
      </w:pP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Default="00310F89" w:rsidP="00310F89">
      <w:pPr>
        <w:pStyle w:val="Prrafodelista"/>
        <w:numPr>
          <w:ilvl w:val="1"/>
          <w:numId w:val="18"/>
        </w:numPr>
        <w:spacing w:line="360" w:lineRule="auto"/>
        <w:jc w:val="both"/>
        <w:rPr>
          <w:rFonts w:ascii="Arial" w:hAnsi="Arial"/>
        </w:rPr>
      </w:pPr>
      <w:r>
        <w:rPr>
          <w:rFonts w:ascii="Arial" w:hAnsi="Arial"/>
        </w:rPr>
        <w:t xml:space="preserve">La </w:t>
      </w:r>
      <w:r>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B1245A" w:rsidP="00310F89">
      <w:pPr>
        <w:spacing w:line="360" w:lineRule="auto"/>
        <w:jc w:val="both"/>
        <w:rPr>
          <w:rFonts w:ascii="Arial" w:hAnsi="Arial"/>
        </w:rPr>
      </w:pPr>
      <w:r>
        <w:rPr>
          <w:rFonts w:ascii="Arial" w:hAnsi="Arial"/>
        </w:rPr>
        <w:t xml:space="preserve">Mencionó </w:t>
      </w:r>
      <w:r w:rsidR="00310F89">
        <w:rPr>
          <w:rFonts w:ascii="Arial" w:hAnsi="Arial"/>
        </w:rPr>
        <w:t xml:space="preserve">su papel en las acciones populares, estima que la situación alegada, es ajena a su función, de allí que solicitó su desvinculación (Folio </w:t>
      </w:r>
      <w:r w:rsidR="00264032">
        <w:rPr>
          <w:rFonts w:ascii="Arial" w:hAnsi="Arial"/>
        </w:rPr>
        <w:t>18</w:t>
      </w:r>
      <w:r w:rsidR="00310F89">
        <w:rPr>
          <w:rFonts w:ascii="Arial" w:hAnsi="Arial"/>
        </w:rPr>
        <w:t xml:space="preserve">, </w:t>
      </w:r>
      <w:r>
        <w:rPr>
          <w:rFonts w:ascii="Arial" w:hAnsi="Arial"/>
        </w:rPr>
        <w:t>ib.</w:t>
      </w:r>
      <w:r w:rsidR="00310F89">
        <w:rPr>
          <w:rFonts w:ascii="Arial" w:hAnsi="Arial"/>
        </w:rPr>
        <w:t xml:space="preserve">). </w:t>
      </w:r>
    </w:p>
    <w:p w:rsidR="00264032" w:rsidRDefault="00264032" w:rsidP="00310F89">
      <w:pPr>
        <w:spacing w:line="360" w:lineRule="auto"/>
        <w:jc w:val="both"/>
        <w:rPr>
          <w:rFonts w:ascii="Arial" w:hAnsi="Arial"/>
        </w:rPr>
      </w:pPr>
    </w:p>
    <w:p w:rsidR="00264032" w:rsidRDefault="00264032" w:rsidP="00264032">
      <w:pPr>
        <w:pStyle w:val="Prrafodelista"/>
        <w:numPr>
          <w:ilvl w:val="1"/>
          <w:numId w:val="18"/>
        </w:numPr>
        <w:spacing w:line="360" w:lineRule="auto"/>
        <w:jc w:val="both"/>
        <w:rPr>
          <w:rFonts w:ascii="Arial" w:hAnsi="Arial"/>
        </w:rPr>
      </w:pPr>
      <w:r>
        <w:rPr>
          <w:rFonts w:ascii="Arial" w:hAnsi="Arial"/>
        </w:rPr>
        <w:t>La Alcaldía de Pereira</w:t>
      </w:r>
    </w:p>
    <w:p w:rsidR="00264032" w:rsidRDefault="00264032" w:rsidP="00264032">
      <w:pPr>
        <w:spacing w:line="360" w:lineRule="auto"/>
        <w:jc w:val="both"/>
        <w:rPr>
          <w:rFonts w:ascii="Arial" w:hAnsi="Arial"/>
        </w:rPr>
      </w:pPr>
    </w:p>
    <w:p w:rsidR="00264032" w:rsidRDefault="007D7647" w:rsidP="00264032">
      <w:pPr>
        <w:spacing w:line="360" w:lineRule="auto"/>
        <w:jc w:val="both"/>
        <w:rPr>
          <w:rFonts w:ascii="Arial" w:hAnsi="Arial"/>
        </w:rPr>
      </w:pPr>
      <w:r>
        <w:rPr>
          <w:rFonts w:ascii="Arial" w:hAnsi="Arial"/>
        </w:rPr>
        <w:t>Refirió</w:t>
      </w:r>
      <w:r>
        <w:rPr>
          <w:rFonts w:ascii="Arial" w:hAnsi="Arial"/>
          <w:lang w:val="es-CO"/>
        </w:rPr>
        <w:t xml:space="preserve"> </w:t>
      </w:r>
      <w:r>
        <w:rPr>
          <w:rFonts w:ascii="Arial" w:hAnsi="Arial"/>
        </w:rPr>
        <w:t xml:space="preserve">su falta de legitimación </w:t>
      </w:r>
      <w:r w:rsidR="00264032" w:rsidRPr="00E04790">
        <w:rPr>
          <w:rFonts w:ascii="Arial" w:hAnsi="Arial"/>
        </w:rPr>
        <w:t xml:space="preserve">en el extremo pasivo de esta acción, porque </w:t>
      </w:r>
      <w:r>
        <w:rPr>
          <w:rFonts w:ascii="Arial" w:hAnsi="Arial"/>
        </w:rPr>
        <w:t xml:space="preserve">no tiene </w:t>
      </w:r>
      <w:r w:rsidR="00FA0073" w:rsidRPr="00E04790">
        <w:rPr>
          <w:rFonts w:ascii="Arial" w:hAnsi="Arial"/>
        </w:rPr>
        <w:t xml:space="preserve">injerencia en la decisión </w:t>
      </w:r>
      <w:r w:rsidR="00E04790" w:rsidRPr="00E04790">
        <w:rPr>
          <w:rFonts w:ascii="Arial" w:hAnsi="Arial"/>
        </w:rPr>
        <w:t>que se requiere tomar por parte del accionado</w:t>
      </w:r>
      <w:r w:rsidR="00264032" w:rsidRPr="00E04790">
        <w:rPr>
          <w:rFonts w:ascii="Arial" w:hAnsi="Arial"/>
        </w:rPr>
        <w:t xml:space="preserve">; en esas condiciones estimó que debe negarse la tutela contra esa entidad (Folios </w:t>
      </w:r>
      <w:r w:rsidR="00E04790" w:rsidRPr="00E04790">
        <w:rPr>
          <w:rFonts w:ascii="Arial" w:hAnsi="Arial" w:cs="Arial"/>
          <w:spacing w:val="3"/>
        </w:rPr>
        <w:t>12 a 15</w:t>
      </w:r>
      <w:r w:rsidR="00264032" w:rsidRPr="00E04790">
        <w:rPr>
          <w:rFonts w:ascii="Arial" w:hAnsi="Arial" w:cs="Arial"/>
          <w:spacing w:val="3"/>
        </w:rPr>
        <w:t>,</w:t>
      </w:r>
      <w:r w:rsidR="00264032" w:rsidRPr="00E04790">
        <w:rPr>
          <w:rFonts w:ascii="Arial" w:hAnsi="Arial"/>
        </w:rPr>
        <w:t xml:space="preserve"> ib.).</w:t>
      </w:r>
    </w:p>
    <w:p w:rsidR="00E04790" w:rsidRDefault="00E04790" w:rsidP="00264032">
      <w:pPr>
        <w:spacing w:line="360" w:lineRule="auto"/>
        <w:jc w:val="both"/>
        <w:rPr>
          <w:rFonts w:ascii="Arial" w:hAnsi="Arial"/>
        </w:rPr>
      </w:pPr>
    </w:p>
    <w:p w:rsidR="00E04790" w:rsidRDefault="00E04790" w:rsidP="00E04790">
      <w:pPr>
        <w:pStyle w:val="Prrafodelista"/>
        <w:numPr>
          <w:ilvl w:val="1"/>
          <w:numId w:val="18"/>
        </w:numPr>
        <w:spacing w:line="360" w:lineRule="auto"/>
        <w:jc w:val="both"/>
        <w:rPr>
          <w:rFonts w:ascii="Arial" w:hAnsi="Arial"/>
        </w:rPr>
      </w:pPr>
      <w:r>
        <w:rPr>
          <w:rFonts w:ascii="Arial" w:hAnsi="Arial"/>
        </w:rPr>
        <w:t>El Banco de Occidente</w:t>
      </w:r>
    </w:p>
    <w:p w:rsidR="00970CD0" w:rsidRDefault="00970CD0" w:rsidP="00970CD0">
      <w:pPr>
        <w:pStyle w:val="Prrafodelista"/>
        <w:spacing w:line="360" w:lineRule="auto"/>
        <w:ind w:left="720"/>
        <w:jc w:val="both"/>
        <w:rPr>
          <w:rFonts w:ascii="Arial" w:hAnsi="Arial"/>
        </w:rPr>
      </w:pPr>
    </w:p>
    <w:p w:rsidR="00E04790" w:rsidRPr="00E04790" w:rsidRDefault="00CA2231" w:rsidP="00E04790">
      <w:pPr>
        <w:spacing w:line="360" w:lineRule="auto"/>
        <w:jc w:val="both"/>
        <w:rPr>
          <w:rFonts w:ascii="Arial" w:hAnsi="Arial"/>
        </w:rPr>
      </w:pPr>
      <w:r>
        <w:rPr>
          <w:rFonts w:ascii="Arial" w:hAnsi="Arial"/>
        </w:rPr>
        <w:t xml:space="preserve">Manifestó que no hay lugar a que se le imponga sanción económica alguna porque su intervención en la acción popular </w:t>
      </w:r>
      <w:r w:rsidR="00970CD0">
        <w:rPr>
          <w:rFonts w:ascii="Arial" w:hAnsi="Arial"/>
        </w:rPr>
        <w:t xml:space="preserve">fue </w:t>
      </w:r>
      <w:r>
        <w:rPr>
          <w:rFonts w:ascii="Arial" w:hAnsi="Arial"/>
        </w:rPr>
        <w:t xml:space="preserve">conforme a derecho; además, que es improcedente la tutela porque el actor </w:t>
      </w:r>
      <w:r w:rsidR="007D7647">
        <w:rPr>
          <w:rFonts w:ascii="Arial" w:hAnsi="Arial"/>
        </w:rPr>
        <w:t xml:space="preserve">omitió agotar </w:t>
      </w:r>
      <w:r w:rsidR="00970CD0">
        <w:rPr>
          <w:rFonts w:ascii="Arial" w:hAnsi="Arial"/>
        </w:rPr>
        <w:t>los mecanismos de ley.</w:t>
      </w:r>
      <w:r>
        <w:rPr>
          <w:rFonts w:ascii="Arial" w:hAnsi="Arial"/>
        </w:rPr>
        <w:t xml:space="preserve"> </w:t>
      </w:r>
    </w:p>
    <w:p w:rsidR="00DD597F" w:rsidRDefault="00DD597F" w:rsidP="00DD597F">
      <w:pPr>
        <w:pStyle w:val="Prrafodelista"/>
        <w:numPr>
          <w:ilvl w:val="1"/>
          <w:numId w:val="18"/>
        </w:numPr>
        <w:spacing w:line="360" w:lineRule="auto"/>
        <w:jc w:val="both"/>
        <w:rPr>
          <w:rFonts w:ascii="Arial" w:hAnsi="Arial"/>
        </w:rPr>
      </w:pPr>
      <w:r>
        <w:rPr>
          <w:rFonts w:ascii="Arial" w:hAnsi="Arial"/>
        </w:rPr>
        <w:t>La Personería Municipal de Pereira</w:t>
      </w:r>
    </w:p>
    <w:p w:rsidR="00DD597F" w:rsidRDefault="00DD597F" w:rsidP="00DD597F">
      <w:pPr>
        <w:pStyle w:val="Prrafodelista"/>
        <w:spacing w:line="360" w:lineRule="auto"/>
        <w:ind w:left="720"/>
        <w:jc w:val="both"/>
        <w:rPr>
          <w:rFonts w:ascii="Arial" w:hAnsi="Arial"/>
        </w:rPr>
      </w:pPr>
    </w:p>
    <w:p w:rsidR="00DD597F" w:rsidRDefault="00DD597F" w:rsidP="00DD597F">
      <w:pPr>
        <w:spacing w:line="360" w:lineRule="auto"/>
        <w:jc w:val="both"/>
        <w:rPr>
          <w:rFonts w:ascii="Arial" w:hAnsi="Arial"/>
        </w:rPr>
      </w:pPr>
      <w:r>
        <w:rPr>
          <w:rFonts w:ascii="Arial" w:hAnsi="Arial"/>
        </w:rPr>
        <w:t xml:space="preserve">Precisó </w:t>
      </w:r>
      <w:r w:rsidR="003D2915">
        <w:rPr>
          <w:rFonts w:ascii="Arial" w:hAnsi="Arial"/>
        </w:rPr>
        <w:t xml:space="preserve">que </w:t>
      </w:r>
      <w:r w:rsidR="001A4C76">
        <w:rPr>
          <w:rFonts w:ascii="Arial" w:hAnsi="Arial"/>
        </w:rPr>
        <w:t>el trámite de la acción popular es exclusivo del aparato judicial, por tanto</w:t>
      </w:r>
      <w:r w:rsidR="00970CD0">
        <w:rPr>
          <w:rFonts w:ascii="Arial" w:hAnsi="Arial"/>
        </w:rPr>
        <w:t xml:space="preserve">, no puede endilgársele responsabilidad frente a </w:t>
      </w:r>
      <w:r w:rsidR="007D7647">
        <w:rPr>
          <w:rFonts w:ascii="Arial" w:hAnsi="Arial"/>
        </w:rPr>
        <w:t xml:space="preserve">un asunto ajeno a </w:t>
      </w:r>
      <w:r w:rsidR="00970CD0">
        <w:rPr>
          <w:rFonts w:ascii="Arial" w:hAnsi="Arial"/>
        </w:rPr>
        <w:t>su competencia</w:t>
      </w:r>
      <w:r>
        <w:rPr>
          <w:rFonts w:ascii="Arial" w:hAnsi="Arial"/>
        </w:rPr>
        <w:t xml:space="preserve">. (Folios </w:t>
      </w:r>
      <w:r w:rsidR="001A4C76">
        <w:rPr>
          <w:rFonts w:ascii="Arial" w:hAnsi="Arial" w:cs="Arial"/>
          <w:spacing w:val="3"/>
        </w:rPr>
        <w:t>25 a 2</w:t>
      </w:r>
      <w:r w:rsidR="00582A15">
        <w:rPr>
          <w:rFonts w:ascii="Arial" w:hAnsi="Arial" w:cs="Arial"/>
          <w:spacing w:val="3"/>
        </w:rPr>
        <w:t>,</w:t>
      </w:r>
      <w:r>
        <w:rPr>
          <w:rFonts w:ascii="Arial" w:hAnsi="Arial"/>
        </w:rPr>
        <w:t xml:space="preserve"> </w:t>
      </w:r>
      <w:r w:rsidR="00582A15">
        <w:rPr>
          <w:rFonts w:ascii="Arial" w:hAnsi="Arial"/>
        </w:rPr>
        <w:t>ib.</w:t>
      </w:r>
      <w:r>
        <w:rPr>
          <w:rFonts w:ascii="Arial" w:hAnsi="Arial"/>
        </w:rPr>
        <w:t>)</w:t>
      </w:r>
      <w:r w:rsidRPr="00FF4929">
        <w:rPr>
          <w:rFonts w:ascii="Arial" w:hAnsi="Arial"/>
        </w:rPr>
        <w:t>.</w:t>
      </w:r>
    </w:p>
    <w:p w:rsidR="0038283B" w:rsidRDefault="0038283B" w:rsidP="006F4450">
      <w:pPr>
        <w:spacing w:line="360" w:lineRule="auto"/>
        <w:jc w:val="both"/>
        <w:rPr>
          <w:rFonts w:ascii="Arial" w:hAnsi="Arial"/>
          <w:highlight w:val="yellow"/>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Pr="00EE1C51" w:rsidRDefault="005427D5" w:rsidP="00CF429F">
      <w:pPr>
        <w:pStyle w:val="Sangra2detindependiente"/>
        <w:spacing w:after="0" w:line="360" w:lineRule="auto"/>
        <w:ind w:left="0"/>
        <w:jc w:val="both"/>
        <w:rPr>
          <w:rFonts w:ascii="Arial" w:hAnsi="Arial" w:cs="Arial"/>
          <w:sz w:val="24"/>
          <w:szCs w:val="24"/>
        </w:rPr>
      </w:pPr>
      <w:r w:rsidRPr="00EE1C51">
        <w:rPr>
          <w:rFonts w:ascii="Arial" w:hAnsi="Arial" w:cs="Arial"/>
          <w:sz w:val="24"/>
          <w:szCs w:val="24"/>
        </w:rPr>
        <w:t xml:space="preserve">Este Tribunal es competente para conocer la acción 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1A4C76">
        <w:rPr>
          <w:rFonts w:ascii="Arial" w:hAnsi="Arial" w:cs="Arial"/>
          <w:color w:val="000000"/>
          <w:sz w:val="24"/>
          <w:szCs w:val="24"/>
        </w:rPr>
        <w:t xml:space="preserve">Cuarto </w:t>
      </w:r>
      <w:r w:rsidR="00EE1C51" w:rsidRPr="00EE1C51">
        <w:rPr>
          <w:rFonts w:ascii="Arial" w:hAnsi="Arial" w:cs="Arial"/>
          <w:color w:val="000000"/>
          <w:sz w:val="24"/>
          <w:szCs w:val="24"/>
        </w:rPr>
        <w:t xml:space="preserve">Civil del Circuito de </w:t>
      </w:r>
      <w:r w:rsidR="00CB0B9E">
        <w:rPr>
          <w:rFonts w:ascii="Arial" w:hAnsi="Arial" w:cs="Arial"/>
          <w:color w:val="000000"/>
          <w:sz w:val="24"/>
          <w:szCs w:val="24"/>
        </w:rPr>
        <w:t xml:space="preserve">Pereira </w:t>
      </w:r>
      <w:r w:rsidRPr="00EE1C51">
        <w:rPr>
          <w:rFonts w:ascii="Arial" w:hAnsi="Arial" w:cs="Arial"/>
          <w:sz w:val="24"/>
          <w:szCs w:val="24"/>
        </w:rPr>
        <w:t>(Artículos 86 de la CP, 37 del Decreto 2591 de 1991 y Decreto 1382 de 2000).</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el proceso judicial en el 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1A4C76">
        <w:rPr>
          <w:rFonts w:ascii="Arial" w:hAnsi="Arial" w:cs="Arial"/>
          <w:color w:val="000000"/>
          <w:szCs w:val="24"/>
        </w:rPr>
        <w:t xml:space="preserve">Cuarto </w:t>
      </w:r>
      <w:r w:rsidR="00CB0B9E">
        <w:rPr>
          <w:rFonts w:ascii="Arial" w:hAnsi="Arial" w:cs="Arial"/>
          <w:szCs w:val="24"/>
        </w:rPr>
        <w:t xml:space="preserve">Civil del Circuito de 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del</w:t>
      </w:r>
      <w:r w:rsidR="003D2915">
        <w:rPr>
          <w:rFonts w:ascii="Arial" w:hAnsi="Arial" w:cs="Arial"/>
          <w:szCs w:val="24"/>
        </w:rPr>
        <w:t xml:space="preserve"> juicio</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1A4C76" w:rsidRPr="00AE73C7" w:rsidRDefault="001A4C76" w:rsidP="001A4C76">
      <w:pPr>
        <w:pStyle w:val="Textoindependiente"/>
        <w:spacing w:line="360" w:lineRule="auto"/>
        <w:rPr>
          <w:rFonts w:ascii="Arial" w:hAnsi="Arial" w:cs="Arial"/>
          <w:szCs w:val="24"/>
        </w:rPr>
      </w:pPr>
      <w:r>
        <w:rPr>
          <w:rFonts w:ascii="Arial" w:hAnsi="Arial" w:cs="Arial"/>
        </w:rPr>
        <w:t>Respecto de l</w:t>
      </w:r>
      <w:r w:rsidR="00FD49FE">
        <w:rPr>
          <w:rFonts w:ascii="Arial" w:hAnsi="Arial" w:cs="Arial"/>
          <w:szCs w:val="24"/>
        </w:rPr>
        <w:t xml:space="preserve">os </w:t>
      </w:r>
      <w:r>
        <w:rPr>
          <w:rFonts w:ascii="Arial" w:hAnsi="Arial" w:cs="Arial"/>
          <w:szCs w:val="24"/>
        </w:rPr>
        <w:t xml:space="preserve">litisconsortes </w:t>
      </w:r>
      <w:r w:rsidR="00FD49FE">
        <w:rPr>
          <w:rFonts w:ascii="Arial" w:hAnsi="Arial" w:cs="Arial"/>
          <w:szCs w:val="24"/>
        </w:rPr>
        <w:t xml:space="preserve">vinculados a este trámite, </w:t>
      </w:r>
      <w:r>
        <w:rPr>
          <w:rFonts w:ascii="Arial" w:hAnsi="Arial" w:cs="Arial"/>
          <w:szCs w:val="24"/>
        </w:rPr>
        <w:t xml:space="preserve">como eventuales afectados con la acción constitucional, no incurrieron en violación o amenaza alguna, por tanto se negará la tutela frente a ellos. </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C228CA">
        <w:rPr>
          <w:rFonts w:ascii="Arial" w:hAnsi="Arial" w:cs="Arial"/>
          <w:color w:val="000000"/>
        </w:rPr>
        <w:t xml:space="preserve">Cuarto </w:t>
      </w:r>
      <w:r w:rsidR="00CB0B9E">
        <w:rPr>
          <w:rFonts w:ascii="Arial" w:hAnsi="Arial" w:cs="Arial"/>
        </w:rPr>
        <w:t>Civil del Circuito de Pereira</w:t>
      </w:r>
      <w:r>
        <w:rPr>
          <w:rFonts w:ascii="Arial" w:hAnsi="Arial" w:cs="Arial"/>
          <w:spacing w:val="-3"/>
          <w:lang w:val="es-ES_tradnl"/>
        </w:rPr>
        <w:t xml:space="preserve"> 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228CA">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F5B57" w:rsidRPr="006A3AB9" w:rsidRDefault="00FF5B57"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62273B" w:rsidRPr="008740E9" w:rsidRDefault="0062273B" w:rsidP="0062273B">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62273B" w:rsidRPr="008740E9" w:rsidRDefault="0062273B" w:rsidP="0062273B">
      <w:pPr>
        <w:pStyle w:val="Textoindependiente"/>
        <w:tabs>
          <w:tab w:val="clear" w:pos="0"/>
        </w:tabs>
        <w:spacing w:line="360" w:lineRule="auto"/>
        <w:rPr>
          <w:rFonts w:ascii="Arial" w:hAnsi="Arial" w:cs="Arial"/>
          <w:szCs w:val="24"/>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FF5B57" w:rsidRDefault="007852BE" w:rsidP="00FF5B57">
      <w:pPr>
        <w:spacing w:line="360" w:lineRule="auto"/>
        <w:jc w:val="both"/>
        <w:rPr>
          <w:rFonts w:ascii="Arial" w:hAnsi="Arial" w:cs="Arial"/>
          <w:lang w:val="es-ES_tradnl"/>
        </w:rPr>
      </w:pPr>
      <w:r>
        <w:rPr>
          <w:rFonts w:ascii="Arial" w:hAnsi="Arial" w:cs="Arial"/>
          <w:lang w:val="es-ES_tradnl"/>
        </w:rPr>
        <w:t>Puesto q</w:t>
      </w:r>
      <w:r w:rsidR="00FF5B57">
        <w:rPr>
          <w:rFonts w:ascii="Arial" w:hAnsi="Arial" w:cs="Arial"/>
          <w:lang w:val="es-ES_tradnl"/>
        </w:rPr>
        <w:t xml:space="preserve">ue los requisitos generales de procedibilidad son concurrentes, esto es, </w:t>
      </w:r>
      <w:r w:rsidR="0096024C">
        <w:rPr>
          <w:rFonts w:ascii="Arial" w:hAnsi="Arial" w:cs="Arial"/>
          <w:lang w:val="es-ES_tradnl"/>
        </w:rPr>
        <w:t xml:space="preserve">incumplido </w:t>
      </w:r>
      <w:r w:rsidR="00FF5B57">
        <w:rPr>
          <w:rFonts w:ascii="Arial" w:hAnsi="Arial" w:cs="Arial"/>
          <w:lang w:val="es-ES_tradnl"/>
        </w:rPr>
        <w:t xml:space="preserve">uno, se torna </w:t>
      </w:r>
      <w:r w:rsidR="0096024C">
        <w:rPr>
          <w:rFonts w:ascii="Arial" w:hAnsi="Arial" w:cs="Arial"/>
          <w:lang w:val="es-ES_tradnl"/>
        </w:rPr>
        <w:t>inane</w:t>
      </w:r>
      <w:r w:rsidR="00FF5B57">
        <w:rPr>
          <w:rFonts w:ascii="Arial" w:hAnsi="Arial" w:cs="Arial"/>
          <w:lang w:val="es-ES_tradnl"/>
        </w:rPr>
        <w:t xml:space="preserve"> el examen de los demás, menos podrían revisarse los supuestos especiales, el análisis </w:t>
      </w:r>
      <w:r>
        <w:rPr>
          <w:rFonts w:ascii="Arial" w:hAnsi="Arial" w:cs="Arial"/>
          <w:lang w:val="es-ES_tradnl"/>
        </w:rPr>
        <w:t>que sigue se limitará a</w:t>
      </w:r>
      <w:r w:rsidR="00FF5B57">
        <w:rPr>
          <w:rFonts w:ascii="Arial" w:hAnsi="Arial" w:cs="Arial"/>
          <w:lang w:val="es-ES_tradnl"/>
        </w:rPr>
        <w:t xml:space="preserve"> la subsidiariedad, porque es el elemento que se </w:t>
      </w:r>
      <w:r>
        <w:rPr>
          <w:rFonts w:ascii="Arial" w:hAnsi="Arial" w:cs="Arial"/>
          <w:lang w:val="es-ES_tradnl"/>
        </w:rPr>
        <w:t xml:space="preserve">advierte </w:t>
      </w:r>
      <w:r w:rsidR="0096024C">
        <w:rPr>
          <w:rFonts w:ascii="Arial" w:hAnsi="Arial" w:cs="Arial"/>
          <w:lang w:val="es-ES_tradnl"/>
        </w:rPr>
        <w:t>ausente</w:t>
      </w:r>
      <w:r>
        <w:rPr>
          <w:rFonts w:ascii="Arial" w:hAnsi="Arial" w:cs="Arial"/>
          <w:lang w:val="es-ES_tradnl"/>
        </w:rPr>
        <w:t xml:space="preserve"> </w:t>
      </w:r>
      <w:r w:rsidR="00FF5B57">
        <w:rPr>
          <w:rFonts w:ascii="Arial" w:hAnsi="Arial" w:cs="Arial"/>
          <w:lang w:val="es-ES_tradnl"/>
        </w:rPr>
        <w:t>y resulta suficiente para el fracaso de</w:t>
      </w:r>
      <w:r w:rsidR="007D7647">
        <w:rPr>
          <w:rFonts w:ascii="Arial" w:hAnsi="Arial" w:cs="Arial"/>
          <w:lang w:val="es-ES_tradnl"/>
        </w:rPr>
        <w:t>l</w:t>
      </w:r>
      <w:r>
        <w:rPr>
          <w:rFonts w:ascii="Arial" w:hAnsi="Arial" w:cs="Arial"/>
          <w:lang w:val="es-ES_tradnl"/>
        </w:rPr>
        <w:t xml:space="preserve"> </w:t>
      </w:r>
      <w:r w:rsidR="00FF5B57">
        <w:rPr>
          <w:rFonts w:ascii="Arial" w:hAnsi="Arial" w:cs="Arial"/>
          <w:lang w:val="es-ES_tradnl"/>
        </w:rPr>
        <w:t>amparo.</w:t>
      </w:r>
    </w:p>
    <w:p w:rsidR="00FF5B57" w:rsidRDefault="00FF5B57" w:rsidP="00FF5B57">
      <w:pPr>
        <w:spacing w:line="360" w:lineRule="auto"/>
        <w:jc w:val="both"/>
        <w:rPr>
          <w:rFonts w:ascii="Arial" w:hAnsi="Arial" w:cs="Arial"/>
          <w:lang w:val="es-ES_tradnl"/>
        </w:rPr>
      </w:pPr>
    </w:p>
    <w:p w:rsidR="00B52F3D" w:rsidRDefault="00B52F3D" w:rsidP="00FF5B57">
      <w:pPr>
        <w:spacing w:line="360" w:lineRule="auto"/>
        <w:jc w:val="both"/>
        <w:rPr>
          <w:rFonts w:ascii="Arial" w:hAnsi="Arial" w:cs="Arial"/>
          <w:lang w:val="es-ES_tradnl"/>
        </w:rPr>
      </w:pPr>
      <w:r>
        <w:rPr>
          <w:rFonts w:ascii="Arial" w:hAnsi="Arial" w:cs="Arial"/>
          <w:lang w:val="es-ES_tradnl"/>
        </w:rPr>
        <w:t xml:space="preserve">El accionante se duele porque el juzgado accionado </w:t>
      </w:r>
      <w:r w:rsidR="007D7647">
        <w:rPr>
          <w:rFonts w:ascii="Arial" w:hAnsi="Arial" w:cs="Arial"/>
          <w:lang w:val="es-ES_tradnl"/>
        </w:rPr>
        <w:t>dejó de sancionar</w:t>
      </w:r>
      <w:r w:rsidR="003C693B">
        <w:rPr>
          <w:rFonts w:ascii="Arial" w:hAnsi="Arial" w:cs="Arial"/>
          <w:lang w:val="es-ES_tradnl"/>
        </w:rPr>
        <w:t xml:space="preserve"> económicamente a la parte pasiva en la acción popular</w:t>
      </w:r>
      <w:r w:rsidR="005C4C0F">
        <w:rPr>
          <w:rFonts w:ascii="Arial" w:hAnsi="Arial" w:cs="Arial"/>
          <w:lang w:val="es-ES_tradnl"/>
        </w:rPr>
        <w:t>,</w:t>
      </w:r>
      <w:r w:rsidR="003C693B">
        <w:rPr>
          <w:rFonts w:ascii="Arial" w:hAnsi="Arial" w:cs="Arial"/>
          <w:lang w:val="es-ES_tradnl"/>
        </w:rPr>
        <w:t xml:space="preserve"> a pesar </w:t>
      </w:r>
      <w:r w:rsidR="007D7647">
        <w:rPr>
          <w:rFonts w:ascii="Arial" w:hAnsi="Arial" w:cs="Arial"/>
          <w:lang w:val="es-ES_tradnl"/>
        </w:rPr>
        <w:t xml:space="preserve">del fracaso </w:t>
      </w:r>
      <w:r w:rsidR="003C693B">
        <w:rPr>
          <w:rFonts w:ascii="Arial" w:hAnsi="Arial" w:cs="Arial"/>
          <w:lang w:val="es-ES_tradnl"/>
        </w:rPr>
        <w:t xml:space="preserve">de la nulidad formulada, </w:t>
      </w:r>
      <w:r w:rsidR="007D7647">
        <w:rPr>
          <w:rFonts w:ascii="Arial" w:hAnsi="Arial" w:cs="Arial"/>
          <w:lang w:val="es-ES_tradnl"/>
        </w:rPr>
        <w:t xml:space="preserve">al omitir aplicar el </w:t>
      </w:r>
      <w:r w:rsidR="0021645F">
        <w:rPr>
          <w:rFonts w:ascii="Arial" w:hAnsi="Arial" w:cs="Arial"/>
          <w:lang w:val="es-ES_tradnl"/>
        </w:rPr>
        <w:t>artículo 295 (CPACA)</w:t>
      </w:r>
      <w:r w:rsidR="003C693B">
        <w:rPr>
          <w:rFonts w:ascii="Arial" w:hAnsi="Arial" w:cs="Arial"/>
          <w:lang w:val="es-ES_tradnl"/>
        </w:rPr>
        <w:t>.</w:t>
      </w:r>
    </w:p>
    <w:p w:rsidR="003C693B" w:rsidRDefault="003C693B" w:rsidP="00FF5B57">
      <w:pPr>
        <w:spacing w:line="360" w:lineRule="auto"/>
        <w:jc w:val="both"/>
        <w:rPr>
          <w:rFonts w:ascii="Arial" w:hAnsi="Arial" w:cs="Arial"/>
          <w:lang w:val="es-ES_tradnl"/>
        </w:rPr>
      </w:pPr>
    </w:p>
    <w:p w:rsidR="00CB3037" w:rsidRDefault="003C693B" w:rsidP="00630C9E">
      <w:pPr>
        <w:spacing w:line="360" w:lineRule="auto"/>
        <w:jc w:val="both"/>
        <w:rPr>
          <w:rFonts w:ascii="Arial" w:hAnsi="Arial" w:cs="Arial"/>
          <w:lang w:val="es-ES_tradnl"/>
        </w:rPr>
      </w:pPr>
      <w:r>
        <w:rPr>
          <w:rFonts w:ascii="Arial" w:hAnsi="Arial" w:cs="Arial"/>
          <w:lang w:val="es-ES_tradnl"/>
        </w:rPr>
        <w:t xml:space="preserve">Conforme </w:t>
      </w:r>
      <w:r w:rsidR="00036DF2">
        <w:rPr>
          <w:rFonts w:ascii="Arial" w:hAnsi="Arial" w:cs="Arial"/>
          <w:lang w:val="es-ES_tradnl"/>
        </w:rPr>
        <w:t>al acervo probatorio</w:t>
      </w:r>
      <w:r w:rsidR="0021645F">
        <w:rPr>
          <w:rFonts w:ascii="Arial" w:hAnsi="Arial" w:cs="Arial"/>
          <w:lang w:val="es-ES_tradnl"/>
        </w:rPr>
        <w:t xml:space="preserve"> el accionado con proveído del día 22-01-2016 (Folios 86 y 87, ib.), rechazó por extemporáneo el recurso de</w:t>
      </w:r>
      <w:r w:rsidR="00682E15">
        <w:rPr>
          <w:rFonts w:ascii="Arial" w:hAnsi="Arial" w:cs="Arial"/>
          <w:lang w:val="es-ES_tradnl"/>
        </w:rPr>
        <w:t xml:space="preserve"> reposición </w:t>
      </w:r>
      <w:r w:rsidR="0021645F">
        <w:rPr>
          <w:rFonts w:ascii="Arial" w:hAnsi="Arial" w:cs="Arial"/>
          <w:lang w:val="es-ES_tradnl"/>
        </w:rPr>
        <w:t xml:space="preserve">formulado </w:t>
      </w:r>
      <w:r w:rsidR="000157CC">
        <w:rPr>
          <w:rFonts w:ascii="Arial" w:hAnsi="Arial" w:cs="Arial"/>
          <w:lang w:val="es-ES_tradnl"/>
        </w:rPr>
        <w:t>por el actor</w:t>
      </w:r>
      <w:r w:rsidR="00682E15">
        <w:rPr>
          <w:rFonts w:ascii="Arial" w:hAnsi="Arial" w:cs="Arial"/>
          <w:lang w:val="es-ES_tradnl"/>
        </w:rPr>
        <w:t xml:space="preserve">, </w:t>
      </w:r>
      <w:r w:rsidR="005E7AAF">
        <w:rPr>
          <w:rFonts w:ascii="Arial" w:hAnsi="Arial" w:cs="Arial"/>
          <w:lang w:val="es-ES_tradnl"/>
        </w:rPr>
        <w:t xml:space="preserve">tendiente a que se impusiera sanción económica </w:t>
      </w:r>
      <w:r w:rsidR="000157CC">
        <w:rPr>
          <w:rFonts w:ascii="Arial" w:hAnsi="Arial" w:cs="Arial"/>
          <w:lang w:val="es-ES_tradnl"/>
        </w:rPr>
        <w:t>a su favor</w:t>
      </w:r>
      <w:r w:rsidR="005E7AAF">
        <w:rPr>
          <w:rFonts w:ascii="Arial" w:hAnsi="Arial" w:cs="Arial"/>
          <w:lang w:val="es-ES_tradnl"/>
        </w:rPr>
        <w:t xml:space="preserve">, </w:t>
      </w:r>
      <w:r w:rsidR="0021645F">
        <w:rPr>
          <w:rFonts w:ascii="Arial" w:hAnsi="Arial" w:cs="Arial"/>
          <w:lang w:val="es-ES_tradnl"/>
        </w:rPr>
        <w:t xml:space="preserve">frente al cual, según se constató en esta instancia, no hizo reparo alguno, pretermitiendo así los términos de ley para atacar la </w:t>
      </w:r>
      <w:r w:rsidR="00DB2C72">
        <w:rPr>
          <w:rFonts w:ascii="Arial" w:hAnsi="Arial" w:cs="Arial"/>
          <w:lang w:val="es-ES_tradnl"/>
        </w:rPr>
        <w:t xml:space="preserve">referida </w:t>
      </w:r>
      <w:r w:rsidR="0021645F">
        <w:rPr>
          <w:rFonts w:ascii="Arial" w:hAnsi="Arial" w:cs="Arial"/>
          <w:lang w:val="es-ES_tradnl"/>
        </w:rPr>
        <w:t>decisión</w:t>
      </w:r>
      <w:r w:rsidR="00DB2C72">
        <w:rPr>
          <w:rFonts w:ascii="Arial" w:hAnsi="Arial" w:cs="Arial"/>
          <w:lang w:val="es-CO"/>
        </w:rPr>
        <w:t xml:space="preserve">, dejando que adquiriera </w:t>
      </w:r>
      <w:r w:rsidR="0021645F">
        <w:rPr>
          <w:rFonts w:ascii="Arial" w:hAnsi="Arial" w:cs="Arial"/>
          <w:lang w:val="es-ES_tradnl"/>
        </w:rPr>
        <w:t>firmeza</w:t>
      </w:r>
      <w:r w:rsidR="00AD4298">
        <w:rPr>
          <w:rFonts w:ascii="Arial" w:hAnsi="Arial" w:cs="Arial"/>
          <w:lang w:val="es-ES_tradnl"/>
        </w:rPr>
        <w:t xml:space="preserve"> </w:t>
      </w:r>
      <w:r w:rsidR="003E0B3F">
        <w:rPr>
          <w:rFonts w:ascii="Arial" w:hAnsi="Arial" w:cs="Arial"/>
          <w:lang w:val="es-ES_tradnl"/>
        </w:rPr>
        <w:t>(</w:t>
      </w:r>
      <w:r w:rsidR="003E0B3F">
        <w:rPr>
          <w:rFonts w:ascii="Arial" w:hAnsi="Arial" w:cs="Arial"/>
          <w:bCs/>
          <w:lang w:val="es-CO"/>
        </w:rPr>
        <w:t xml:space="preserve">Artículos 331 </w:t>
      </w:r>
      <w:r w:rsidR="0021645F">
        <w:rPr>
          <w:rFonts w:ascii="Arial" w:hAnsi="Arial" w:cs="Arial"/>
          <w:bCs/>
          <w:lang w:val="es-CO"/>
        </w:rPr>
        <w:t xml:space="preserve">y 348 </w:t>
      </w:r>
      <w:r w:rsidR="003E0B3F">
        <w:rPr>
          <w:rFonts w:ascii="Arial" w:hAnsi="Arial" w:cs="Arial"/>
          <w:bCs/>
          <w:lang w:val="es-CO"/>
        </w:rPr>
        <w:t>del CPC)</w:t>
      </w:r>
      <w:r w:rsidR="00CB3037">
        <w:rPr>
          <w:rFonts w:ascii="Arial" w:hAnsi="Arial" w:cs="Arial"/>
          <w:bCs/>
          <w:lang w:val="es-CO"/>
        </w:rPr>
        <w:t>.</w:t>
      </w:r>
    </w:p>
    <w:p w:rsidR="00CB3037" w:rsidRDefault="00CB3037" w:rsidP="00630C9E">
      <w:pPr>
        <w:spacing w:line="360" w:lineRule="auto"/>
        <w:jc w:val="both"/>
        <w:rPr>
          <w:rFonts w:ascii="Arial" w:hAnsi="Arial" w:cs="Arial"/>
          <w:lang w:val="es-ES_tradnl"/>
        </w:rPr>
      </w:pPr>
    </w:p>
    <w:p w:rsidR="00EA7B29" w:rsidRPr="00CB3037" w:rsidRDefault="00EA7B29" w:rsidP="00630C9E">
      <w:pPr>
        <w:spacing w:line="360" w:lineRule="auto"/>
        <w:jc w:val="both"/>
        <w:rPr>
          <w:rFonts w:ascii="Arial" w:hAnsi="Arial" w:cs="Arial"/>
          <w:bCs/>
          <w:lang w:val="es-CO"/>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de</w:t>
      </w:r>
      <w:r w:rsidR="00C6598F">
        <w:rPr>
          <w:rFonts w:ascii="Arial" w:hAnsi="Arial" w:cs="Arial"/>
          <w:lang w:val="es-ES_tradnl"/>
        </w:rPr>
        <w:t xml:space="preserve"> agotamiento del supuesto de</w:t>
      </w:r>
      <w:r>
        <w:rPr>
          <w:rFonts w:ascii="Arial" w:hAnsi="Arial" w:cs="Arial"/>
          <w:lang w:val="es-ES_tradnl"/>
        </w:rPr>
        <w:t xml:space="preserv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w:t>
      </w:r>
      <w:r w:rsidR="003E0B3F">
        <w:rPr>
          <w:rFonts w:ascii="Arial" w:hAnsi="Arial"/>
        </w:rPr>
        <w:t xml:space="preserve">Corte Constitucional, </w:t>
      </w:r>
      <w:r w:rsidR="00630C9E">
        <w:rPr>
          <w:rFonts w:ascii="Arial" w:hAnsi="Arial"/>
        </w:rPr>
        <w:t xml:space="preserve">que reiteradamente </w:t>
      </w:r>
      <w:r w:rsidR="00C6598F">
        <w:rPr>
          <w:rFonts w:ascii="Arial" w:hAnsi="Arial"/>
        </w:rPr>
        <w:t>h</w:t>
      </w:r>
      <w:r w:rsidR="00630C9E">
        <w:rPr>
          <w:rFonts w:ascii="Arial" w:hAnsi="Arial"/>
        </w:rPr>
        <w:t>a referido que la acción de tutela no pude implementarse como medio para sustituir los mecanismos ordinarios de defensa, cuando por negligencia, descuido o incuria no fueron utilizados a su debido tiempo</w:t>
      </w:r>
      <w:r w:rsidR="00630C9E" w:rsidRPr="00FF4929">
        <w:rPr>
          <w:rStyle w:val="Refdenotaalpie"/>
          <w:rFonts w:ascii="Arial" w:hAnsi="Arial" w:cs="Arial"/>
          <w:sz w:val="22"/>
          <w:szCs w:val="22"/>
        </w:rPr>
        <w:footnoteReference w:id="14"/>
      </w:r>
      <w:r w:rsidR="00630C9E" w:rsidRPr="00FF4929">
        <w:rPr>
          <w:rFonts w:ascii="Arial" w:hAnsi="Arial" w:cs="Arial"/>
          <w:sz w:val="22"/>
          <w:szCs w:val="22"/>
        </w:rPr>
        <w:t>.</w:t>
      </w:r>
    </w:p>
    <w:p w:rsidR="00EA7B29" w:rsidRDefault="00EA7B29" w:rsidP="00EA7B29">
      <w:pPr>
        <w:spacing w:line="360" w:lineRule="auto"/>
        <w:jc w:val="both"/>
        <w:rPr>
          <w:rFonts w:ascii="Arial" w:hAnsi="Arial" w:cs="Arial"/>
        </w:rPr>
      </w:pPr>
    </w:p>
    <w:p w:rsidR="00EA7B29" w:rsidRDefault="00EA7B29" w:rsidP="00EA7B29">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5"/>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6"/>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 xml:space="preserve">por ende solo a la parte le es imputable tal </w:t>
      </w:r>
      <w:r w:rsidR="00CB3037">
        <w:rPr>
          <w:rFonts w:ascii="Arial" w:hAnsi="Arial"/>
        </w:rPr>
        <w:t>descuido</w:t>
      </w:r>
      <w:r>
        <w:rPr>
          <w:rFonts w:ascii="Arial" w:hAnsi="Arial"/>
        </w:rPr>
        <w:t>.</w:t>
      </w:r>
    </w:p>
    <w:p w:rsidR="00CB3037" w:rsidRDefault="00CB3037" w:rsidP="00EA7B29">
      <w:pPr>
        <w:spacing w:line="360" w:lineRule="auto"/>
        <w:ind w:right="51"/>
        <w:jc w:val="both"/>
        <w:rPr>
          <w:rFonts w:ascii="Arial" w:hAnsi="Arial"/>
        </w:rPr>
      </w:pPr>
    </w:p>
    <w:p w:rsidR="00630C9E" w:rsidRPr="00865B14" w:rsidRDefault="00630C9E" w:rsidP="00630C9E">
      <w:pPr>
        <w:spacing w:line="360" w:lineRule="auto"/>
        <w:jc w:val="both"/>
        <w:rPr>
          <w:rFonts w:ascii="Arial" w:hAnsi="Arial" w:cs="Arial"/>
          <w:lang w:val="es-ES_tradnl"/>
        </w:rPr>
      </w:pPr>
      <w:r>
        <w:rPr>
          <w:rFonts w:ascii="Arial" w:hAnsi="Arial" w:cs="Arial"/>
          <w:lang w:val="es-ES_tradnl"/>
        </w:rPr>
        <w:t xml:space="preserve">Acorde con lo expuesto, esta </w:t>
      </w:r>
      <w:r>
        <w:rPr>
          <w:rFonts w:ascii="Arial" w:hAnsi="Arial"/>
        </w:rPr>
        <w:t xml:space="preserve">acción </w:t>
      </w:r>
      <w:r w:rsidRPr="00486763">
        <w:rPr>
          <w:rFonts w:ascii="Arial" w:hAnsi="Arial"/>
        </w:rPr>
        <w:t xml:space="preserve">de tutela </w:t>
      </w:r>
      <w:r>
        <w:rPr>
          <w:rFonts w:ascii="Arial" w:hAnsi="Arial"/>
        </w:rPr>
        <w:t xml:space="preserve">es improcedente </w:t>
      </w:r>
      <w:r w:rsidRPr="00486763">
        <w:rPr>
          <w:rFonts w:ascii="Arial" w:hAnsi="Arial"/>
        </w:rPr>
        <w:t>toda vez que no</w:t>
      </w:r>
      <w:r>
        <w:rPr>
          <w:rFonts w:ascii="Arial" w:hAnsi="Arial"/>
        </w:rPr>
        <w:t xml:space="preserve"> </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procedibilidad, como lo es el de la subsidiariedad, </w:t>
      </w:r>
      <w:r w:rsidRPr="00483001">
        <w:rPr>
          <w:rFonts w:ascii="Arial" w:hAnsi="Arial"/>
        </w:rPr>
        <w:t xml:space="preserve">la parte actora, en el trámite de la acción </w:t>
      </w:r>
      <w:r>
        <w:rPr>
          <w:rFonts w:ascii="Arial" w:hAnsi="Arial"/>
        </w:rPr>
        <w:t>popular</w:t>
      </w:r>
      <w:r w:rsidRPr="00483001">
        <w:rPr>
          <w:rFonts w:ascii="Arial" w:hAnsi="Arial"/>
        </w:rPr>
        <w:t xml:space="preserve">, </w:t>
      </w:r>
      <w:r>
        <w:rPr>
          <w:rFonts w:ascii="Arial" w:hAnsi="Arial"/>
        </w:rPr>
        <w:t>no formuló en tiempo el recurso ordinario</w:t>
      </w:r>
      <w:r w:rsidRPr="00483001">
        <w:rPr>
          <w:rFonts w:ascii="Arial" w:hAnsi="Arial"/>
        </w:rPr>
        <w:t xml:space="preserve">. </w:t>
      </w:r>
    </w:p>
    <w:p w:rsidR="00630C9E" w:rsidRDefault="00630C9E" w:rsidP="00630C9E">
      <w:pPr>
        <w:spacing w:line="360" w:lineRule="auto"/>
        <w:ind w:right="51"/>
        <w:jc w:val="both"/>
        <w:rPr>
          <w:rFonts w:ascii="Arial" w:hAnsi="Arial"/>
        </w:rPr>
      </w:pPr>
    </w:p>
    <w:p w:rsidR="00CB3037" w:rsidRDefault="00CB3037" w:rsidP="00CB3037">
      <w:pPr>
        <w:pStyle w:val="Textoindependiente"/>
        <w:spacing w:line="360" w:lineRule="auto"/>
        <w:rPr>
          <w:rFonts w:ascii="Arial" w:hAnsi="Arial" w:cs="Arial"/>
          <w:spacing w:val="3"/>
        </w:rPr>
      </w:pPr>
      <w:r>
        <w:rPr>
          <w:rFonts w:ascii="Arial" w:hAnsi="Arial" w:cs="Arial"/>
          <w:iCs/>
          <w:color w:val="000000"/>
          <w:lang w:eastAsia="es-CO"/>
        </w:rPr>
        <w:t xml:space="preserve">Respecto a la pretensión de remitir copias de la acción a la Oficina Judicial de Manizales, hay que precisar, que en este caso la tutela no se dirigió contra la Defensoría del Pueblo de esa ciudad y tampoco de los hechos se advierte, conducta que amerite tramitarla, tal como se indicó en el proveído de 9-12-2015 (Folios 4 y 5, ib.).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17"/>
      </w:r>
      <w:r>
        <w:rPr>
          <w:rFonts w:ascii="Arial" w:hAnsi="Arial" w:cs="Arial"/>
          <w:spacing w:val="3"/>
        </w:rPr>
        <w:t>, resolvió negativamente esa petición, así:</w:t>
      </w:r>
    </w:p>
    <w:p w:rsidR="00CB3037" w:rsidRDefault="00CB3037" w:rsidP="00CB3037">
      <w:pPr>
        <w:pStyle w:val="Textoindependiente"/>
        <w:spacing w:line="360" w:lineRule="auto"/>
        <w:rPr>
          <w:rFonts w:ascii="Arial" w:hAnsi="Arial" w:cs="Arial"/>
          <w:spacing w:val="3"/>
        </w:rPr>
      </w:pPr>
    </w:p>
    <w:p w:rsidR="00CB3037" w:rsidRDefault="00CB3037" w:rsidP="00CB3037">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CB3037" w:rsidRDefault="00CB3037" w:rsidP="00CB3037">
      <w:pPr>
        <w:pStyle w:val="Textoindependiente"/>
        <w:spacing w:line="360" w:lineRule="auto"/>
        <w:rPr>
          <w:rFonts w:ascii="Arial" w:hAnsi="Arial" w:cs="Arial"/>
          <w:spacing w:val="3"/>
        </w:rPr>
      </w:pPr>
    </w:p>
    <w:p w:rsidR="00CB3037" w:rsidRDefault="00CB3037" w:rsidP="00CB3037">
      <w:pPr>
        <w:pStyle w:val="Textoindependiente"/>
        <w:spacing w:line="360" w:lineRule="auto"/>
        <w:rPr>
          <w:rFonts w:ascii="Arial" w:hAnsi="Arial" w:cs="Arial"/>
          <w:szCs w:val="23"/>
        </w:rPr>
      </w:pPr>
      <w:r>
        <w:rPr>
          <w:rFonts w:ascii="Arial" w:hAnsi="Arial" w:cs="Arial"/>
          <w:spacing w:val="3"/>
        </w:rPr>
        <w:t>Nugatoria que también</w:t>
      </w:r>
      <w:r>
        <w:rPr>
          <w:rFonts w:ascii="Arial" w:hAnsi="Arial" w:cs="Arial"/>
          <w:iCs/>
          <w:color w:val="000000"/>
          <w:lang w:eastAsia="es-CO"/>
        </w:rPr>
        <w:t xml:space="preserve"> </w:t>
      </w:r>
      <w:r w:rsidRPr="0024466D">
        <w:rPr>
          <w:rFonts w:ascii="Arial" w:hAnsi="Arial" w:cs="Arial"/>
          <w:spacing w:val="3"/>
        </w:rPr>
        <w:t>en anteriores oportunidades</w:t>
      </w:r>
      <w:r w:rsidRPr="0024466D">
        <w:rPr>
          <w:rStyle w:val="Refdenotaalpie"/>
          <w:rFonts w:ascii="Arial" w:eastAsia="Yu Gothic Light" w:hAnsi="Arial"/>
        </w:rPr>
        <w:footnoteReference w:id="18"/>
      </w:r>
      <w:r>
        <w:rPr>
          <w:rFonts w:ascii="Arial" w:hAnsi="Arial" w:cs="Arial"/>
          <w:spacing w:val="3"/>
          <w:vertAlign w:val="superscript"/>
        </w:rPr>
        <w:t>-</w:t>
      </w:r>
      <w:r>
        <w:rPr>
          <w:rStyle w:val="Refdenotaalpie"/>
          <w:rFonts w:ascii="Arial" w:hAnsi="Arial"/>
          <w:spacing w:val="3"/>
        </w:rPr>
        <w:footnoteReference w:id="19"/>
      </w:r>
      <w:r>
        <w:rPr>
          <w:rFonts w:ascii="Arial" w:hAnsi="Arial" w:cs="Arial"/>
          <w:spacing w:val="3"/>
          <w:vertAlign w:val="superscript"/>
        </w:rPr>
        <w:t>-</w:t>
      </w:r>
      <w:r>
        <w:rPr>
          <w:rStyle w:val="Refdenotaalpie"/>
          <w:rFonts w:ascii="Arial" w:hAnsi="Arial"/>
          <w:spacing w:val="3"/>
        </w:rPr>
        <w:footnoteReference w:id="20"/>
      </w:r>
      <w:r>
        <w:rPr>
          <w:rFonts w:ascii="Arial" w:hAnsi="Arial" w:cs="Arial"/>
          <w:spacing w:val="3"/>
        </w:rPr>
        <w:t xml:space="preserve"> ha sido patrocinada por </w:t>
      </w:r>
      <w:r w:rsidRPr="0024466D">
        <w:rPr>
          <w:rFonts w:ascii="Arial" w:hAnsi="Arial" w:cs="Arial"/>
          <w:spacing w:val="3"/>
        </w:rPr>
        <w:t xml:space="preserve">esta Sala </w:t>
      </w:r>
      <w:r w:rsidRPr="0024466D">
        <w:rPr>
          <w:rFonts w:ascii="Arial" w:hAnsi="Arial" w:cs="Arial"/>
        </w:rPr>
        <w:t>Especializada</w:t>
      </w:r>
      <w:r>
        <w:rPr>
          <w:rFonts w:ascii="Arial" w:hAnsi="Arial" w:cs="Arial"/>
        </w:rPr>
        <w:t>.</w:t>
      </w:r>
    </w:p>
    <w:p w:rsidR="00CB3037" w:rsidRDefault="00CB3037" w:rsidP="00CB3037">
      <w:pPr>
        <w:spacing w:line="360" w:lineRule="auto"/>
        <w:ind w:left="360" w:right="51" w:hanging="360"/>
        <w:jc w:val="both"/>
        <w:rPr>
          <w:rFonts w:ascii="Arial" w:hAnsi="Arial" w:cs="Arial"/>
        </w:rPr>
      </w:pPr>
    </w:p>
    <w:p w:rsidR="00CB3037" w:rsidRDefault="00CB3037" w:rsidP="00CB3037">
      <w:pPr>
        <w:spacing w:line="360" w:lineRule="auto"/>
        <w:ind w:right="51"/>
        <w:jc w:val="both"/>
        <w:rPr>
          <w:rFonts w:ascii="Arial" w:hAnsi="Arial" w:cs="Arial"/>
        </w:rPr>
      </w:pPr>
      <w:r>
        <w:rPr>
          <w:rFonts w:ascii="Arial" w:hAnsi="Arial" w:cs="Arial"/>
        </w:rPr>
        <w:t>Con relación a la entrega de copias físicas de todo lo actuado, se considera innecesario decretar su expedición, puesto que con la orden dada en proveído del 09-12-2015, en el sentido de remitirlas al correo electrónico del actor, se suple dicho pedimento.</w:t>
      </w:r>
    </w:p>
    <w:p w:rsidR="00630C9E" w:rsidRDefault="00630C9E" w:rsidP="00EA7B29">
      <w:pPr>
        <w:spacing w:line="360" w:lineRule="auto"/>
        <w:ind w:right="51"/>
        <w:jc w:val="both"/>
        <w:rPr>
          <w:rFonts w:ascii="Arial" w:hAnsi="Arial"/>
        </w:rPr>
      </w:pPr>
    </w:p>
    <w:p w:rsidR="005C4C0F" w:rsidRPr="008B43C6" w:rsidRDefault="005C4C0F" w:rsidP="00EA7B29">
      <w:pPr>
        <w:spacing w:line="360" w:lineRule="auto"/>
        <w:ind w:right="51"/>
        <w:jc w:val="both"/>
        <w:rPr>
          <w:rFonts w:ascii="Arial" w:hAnsi="Arial"/>
        </w:rPr>
      </w:pPr>
    </w:p>
    <w:p w:rsidR="00FF5B57" w:rsidRPr="00F36F9C"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FF5B57" w:rsidRDefault="00FF5B57"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 improcedente la acción constitucional invocada con estribo en que se incumplió el presupuesto de subsidiariedad</w:t>
      </w:r>
      <w:r>
        <w:rPr>
          <w:rFonts w:ascii="Arial" w:hAnsi="Arial" w:cs="Arial"/>
          <w:szCs w:val="24"/>
          <w:lang w:val="es-ES"/>
        </w:rPr>
        <w:t xml:space="preserve">; (ii) </w:t>
      </w:r>
      <w:r>
        <w:rPr>
          <w:rFonts w:ascii="Arial" w:hAnsi="Arial" w:cs="Arial"/>
        </w:rPr>
        <w:t xml:space="preserve">Se negará respecto a los vinculados; </w:t>
      </w:r>
      <w:r>
        <w:rPr>
          <w:rFonts w:ascii="Arial" w:hAnsi="Arial" w:cs="Arial"/>
          <w:szCs w:val="24"/>
          <w:lang w:val="es-ES"/>
        </w:rPr>
        <w:t>(iii)</w:t>
      </w:r>
      <w:r>
        <w:rPr>
          <w:rFonts w:ascii="Arial" w:hAnsi="Arial" w:cs="Arial"/>
        </w:rPr>
        <w:t xml:space="preserve"> Se denegará, lo atinente a remitir copias de la acción para que se tramiten tutelas contra la Defensoría del Pueblo de Manizales</w:t>
      </w:r>
      <w:r>
        <w:rPr>
          <w:rFonts w:ascii="Arial" w:hAnsi="Arial" w:cs="Arial"/>
          <w:szCs w:val="24"/>
          <w:lang w:val="es-ES"/>
        </w:rPr>
        <w:t>; y, iv) Se denegará también la entrega de copia física de lo actuado.</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Pr="00A30437" w:rsidRDefault="00FF5B57" w:rsidP="00FF5B57">
      <w:pPr>
        <w:tabs>
          <w:tab w:val="left" w:pos="-720"/>
        </w:tabs>
        <w:suppressAutoHyphens/>
        <w:spacing w:line="360" w:lineRule="auto"/>
        <w:jc w:val="both"/>
        <w:rPr>
          <w:rFonts w:ascii="Arial" w:hAnsi="Arial" w:cs="Arial"/>
        </w:rPr>
      </w:pPr>
    </w:p>
    <w:p w:rsidR="00A67757" w:rsidRDefault="00A67757" w:rsidP="00FF5B57">
      <w:pPr>
        <w:pStyle w:val="Textoindependiente"/>
        <w:spacing w:line="360" w:lineRule="auto"/>
        <w:jc w:val="center"/>
        <w:rPr>
          <w:rFonts w:ascii="Arial" w:hAnsi="Arial" w:cs="Arial"/>
          <w:bCs/>
          <w:smallCaps/>
          <w:szCs w:val="24"/>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A30437" w:rsidRDefault="00A67757" w:rsidP="00FF5B57">
      <w:pPr>
        <w:pStyle w:val="Textoindependiente"/>
        <w:spacing w:line="360" w:lineRule="auto"/>
        <w:jc w:val="center"/>
        <w:rPr>
          <w:rFonts w:ascii="Arial" w:hAnsi="Arial" w:cs="Arial"/>
          <w:bCs/>
          <w:smallCaps/>
          <w:szCs w:val="24"/>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 xml:space="preserve">DECLARAR improcedente </w:t>
      </w:r>
      <w:r w:rsidR="00CB3037">
        <w:rPr>
          <w:rFonts w:ascii="Arial" w:hAnsi="Arial" w:cs="Arial"/>
        </w:rPr>
        <w:t xml:space="preserve">la tutela </w:t>
      </w:r>
      <w:r w:rsidRPr="00A30437">
        <w:rPr>
          <w:rFonts w:ascii="Arial" w:hAnsi="Arial" w:cs="Arial"/>
        </w:rPr>
        <w:t>propuesta por haberse incumplido el requisito de subsidiariedad, como causal general de procedibilidad frente a decisiones judiciales</w:t>
      </w:r>
      <w:r w:rsidR="000144F9">
        <w:rPr>
          <w:rFonts w:ascii="Arial" w:hAnsi="Arial" w:cs="Arial"/>
        </w:rPr>
        <w:t>,</w:t>
      </w:r>
      <w:r w:rsidR="00CB3037">
        <w:rPr>
          <w:rFonts w:ascii="Arial" w:hAnsi="Arial" w:cs="Arial"/>
        </w:rPr>
        <w:t xml:space="preserve"> dentro de la acción popular 2015-00251-00.</w:t>
      </w:r>
    </w:p>
    <w:p w:rsidR="007C583C" w:rsidRDefault="007C583C" w:rsidP="00CB3037">
      <w:pPr>
        <w:pStyle w:val="Textoindependiente"/>
        <w:tabs>
          <w:tab w:val="clear" w:pos="708"/>
        </w:tabs>
        <w:spacing w:line="360" w:lineRule="auto"/>
        <w:rPr>
          <w:rFonts w:ascii="Arial" w:hAnsi="Arial" w:cs="Arial"/>
          <w:szCs w:val="24"/>
        </w:rPr>
      </w:pPr>
    </w:p>
    <w:p w:rsidR="000144F9" w:rsidRPr="003C1983" w:rsidRDefault="000144F9" w:rsidP="000144F9">
      <w:pPr>
        <w:pStyle w:val="Textoindependiente"/>
        <w:numPr>
          <w:ilvl w:val="0"/>
          <w:numId w:val="6"/>
        </w:numPr>
        <w:tabs>
          <w:tab w:val="clear" w:pos="720"/>
          <w:tab w:val="num" w:pos="360"/>
        </w:tabs>
        <w:spacing w:line="360" w:lineRule="auto"/>
        <w:ind w:left="360"/>
        <w:rPr>
          <w:rFonts w:ascii="Arial" w:hAnsi="Arial" w:cs="Arial"/>
          <w:szCs w:val="24"/>
        </w:rPr>
      </w:pPr>
      <w:r w:rsidRPr="003C1983">
        <w:rPr>
          <w:rFonts w:ascii="Arial" w:hAnsi="Arial" w:cs="Arial"/>
          <w:szCs w:val="24"/>
        </w:rPr>
        <w:t xml:space="preserve">NEGAR la acción de tutela promovida frente </w:t>
      </w:r>
      <w:r w:rsidRPr="003C1983">
        <w:rPr>
          <w:rFonts w:ascii="Arial" w:hAnsi="Arial" w:cs="Arial"/>
          <w:spacing w:val="3"/>
          <w:szCs w:val="24"/>
        </w:rPr>
        <w:t>a</w:t>
      </w:r>
      <w:r w:rsidR="00C6598F">
        <w:rPr>
          <w:rFonts w:ascii="Arial" w:hAnsi="Arial" w:cs="Arial"/>
          <w:spacing w:val="3"/>
          <w:szCs w:val="24"/>
        </w:rPr>
        <w:t>l Banco de Occidente -</w:t>
      </w:r>
      <w:r w:rsidR="005C4C0F">
        <w:rPr>
          <w:rFonts w:ascii="Arial" w:hAnsi="Arial" w:cs="Arial"/>
          <w:spacing w:val="3"/>
          <w:szCs w:val="24"/>
        </w:rPr>
        <w:t>Sucursal Calle 19</w:t>
      </w:r>
      <w:r w:rsidR="00C6598F">
        <w:rPr>
          <w:rFonts w:ascii="Arial" w:hAnsi="Arial" w:cs="Arial"/>
          <w:spacing w:val="3"/>
          <w:szCs w:val="24"/>
        </w:rPr>
        <w:t xml:space="preserve"> </w:t>
      </w:r>
      <w:r w:rsidR="005C4C0F">
        <w:rPr>
          <w:rFonts w:ascii="Arial" w:hAnsi="Arial" w:cs="Arial"/>
          <w:spacing w:val="3"/>
          <w:szCs w:val="24"/>
        </w:rPr>
        <w:t>No.9-36</w:t>
      </w:r>
      <w:r w:rsidR="00C6598F">
        <w:rPr>
          <w:rFonts w:ascii="Arial" w:hAnsi="Arial" w:cs="Arial"/>
          <w:spacing w:val="3"/>
          <w:szCs w:val="24"/>
        </w:rPr>
        <w:t>-</w:t>
      </w:r>
      <w:r w:rsidR="005C4C0F">
        <w:rPr>
          <w:rFonts w:ascii="Arial" w:hAnsi="Arial" w:cs="Arial"/>
          <w:spacing w:val="3"/>
          <w:szCs w:val="24"/>
        </w:rPr>
        <w:t xml:space="preserve">, </w:t>
      </w:r>
      <w:r w:rsidRPr="003C1983">
        <w:rPr>
          <w:rFonts w:ascii="Arial" w:hAnsi="Arial" w:cs="Arial"/>
          <w:spacing w:val="3"/>
          <w:szCs w:val="24"/>
        </w:rPr>
        <w:t xml:space="preserve">la Defensoría del Pueblo </w:t>
      </w:r>
      <w:r w:rsidR="005C4C0F">
        <w:rPr>
          <w:rFonts w:ascii="Arial" w:hAnsi="Arial" w:cs="Arial"/>
          <w:spacing w:val="3"/>
          <w:szCs w:val="24"/>
        </w:rPr>
        <w:t>-</w:t>
      </w:r>
      <w:r w:rsidRPr="003C1983">
        <w:rPr>
          <w:rFonts w:ascii="Arial" w:hAnsi="Arial" w:cs="Arial"/>
          <w:spacing w:val="3"/>
          <w:szCs w:val="24"/>
        </w:rPr>
        <w:t>Regional Risaralda</w:t>
      </w:r>
      <w:r w:rsidR="005C4C0F">
        <w:rPr>
          <w:rFonts w:ascii="Arial" w:hAnsi="Arial" w:cs="Arial"/>
          <w:spacing w:val="3"/>
          <w:szCs w:val="24"/>
        </w:rPr>
        <w:t>-</w:t>
      </w:r>
      <w:r w:rsidRPr="003C1983">
        <w:rPr>
          <w:rFonts w:ascii="Arial" w:hAnsi="Arial" w:cs="Arial"/>
          <w:spacing w:val="3"/>
          <w:szCs w:val="24"/>
        </w:rPr>
        <w:t xml:space="preserve">, a la Alcaldía de Pereira, </w:t>
      </w:r>
      <w:r w:rsidR="005C4C0F" w:rsidRPr="003C1983">
        <w:rPr>
          <w:rFonts w:ascii="Arial" w:hAnsi="Arial" w:cs="Arial"/>
          <w:spacing w:val="3"/>
          <w:szCs w:val="24"/>
        </w:rPr>
        <w:t xml:space="preserve">a la Personería Municipal de Pereira </w:t>
      </w:r>
      <w:r w:rsidR="005C4C0F">
        <w:rPr>
          <w:rFonts w:ascii="Arial" w:hAnsi="Arial" w:cs="Arial"/>
          <w:spacing w:val="3"/>
          <w:szCs w:val="24"/>
        </w:rPr>
        <w:t xml:space="preserve">y </w:t>
      </w:r>
      <w:r w:rsidRPr="003C1983">
        <w:rPr>
          <w:rFonts w:ascii="Arial" w:hAnsi="Arial" w:cs="Arial"/>
          <w:spacing w:val="3"/>
          <w:szCs w:val="24"/>
        </w:rPr>
        <w:t>a la Procuraduría General de la Nación -Regional de Risaralda-;</w:t>
      </w:r>
      <w:r w:rsidRPr="003C1983">
        <w:rPr>
          <w:rFonts w:ascii="Arial" w:hAnsi="Arial" w:cs="Arial"/>
          <w:szCs w:val="24"/>
        </w:rPr>
        <w:t xml:space="preserve"> por inexistencia de violación o amenaza a los derechos invocados.</w:t>
      </w:r>
    </w:p>
    <w:p w:rsidR="000144F9" w:rsidRPr="003C1983" w:rsidRDefault="000144F9" w:rsidP="000144F9">
      <w:pPr>
        <w:pStyle w:val="Textoindependiente"/>
        <w:tabs>
          <w:tab w:val="clear" w:pos="708"/>
        </w:tabs>
        <w:spacing w:line="360" w:lineRule="auto"/>
        <w:rPr>
          <w:rFonts w:ascii="Arial" w:hAnsi="Arial" w:cs="Arial"/>
          <w:szCs w:val="24"/>
        </w:rPr>
      </w:pPr>
    </w:p>
    <w:p w:rsidR="000144F9" w:rsidRPr="003C1983" w:rsidRDefault="000144F9" w:rsidP="000144F9">
      <w:pPr>
        <w:pStyle w:val="Textoindependiente"/>
        <w:numPr>
          <w:ilvl w:val="0"/>
          <w:numId w:val="6"/>
        </w:numPr>
        <w:tabs>
          <w:tab w:val="clear" w:pos="720"/>
          <w:tab w:val="num" w:pos="360"/>
        </w:tabs>
        <w:spacing w:line="360" w:lineRule="auto"/>
        <w:ind w:left="360"/>
        <w:rPr>
          <w:rFonts w:ascii="Arial" w:hAnsi="Arial" w:cs="Arial"/>
          <w:szCs w:val="24"/>
        </w:rPr>
      </w:pPr>
      <w:r w:rsidRPr="003C1983">
        <w:rPr>
          <w:rFonts w:ascii="Arial" w:hAnsi="Arial" w:cs="Arial"/>
          <w:szCs w:val="24"/>
        </w:rPr>
        <w:t>NEGAR la remisión de copias de la acción, para que se tramite tutela contra la Defensoría del Pueblo de Manizales.</w:t>
      </w:r>
    </w:p>
    <w:p w:rsidR="000144F9" w:rsidRPr="00A30437" w:rsidRDefault="000144F9"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E606C4" w:rsidRDefault="00626C89" w:rsidP="00FF5B57">
      <w:pPr>
        <w:pStyle w:val="Prrafodelista"/>
        <w:widowControl/>
        <w:autoSpaceDE/>
        <w:autoSpaceDN/>
        <w:adjustRightInd/>
        <w:spacing w:line="360" w:lineRule="auto"/>
        <w:ind w:left="360" w:right="51"/>
        <w:contextualSpacing/>
        <w:jc w:val="both"/>
        <w:rPr>
          <w:rFonts w:ascii="Arial" w:hAnsi="Arial"/>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Default="00DA569C" w:rsidP="00417DA5">
      <w:pPr>
        <w:pStyle w:val="Textoindependiente"/>
        <w:spacing w:line="360" w:lineRule="auto"/>
        <w:jc w:val="center"/>
        <w:rPr>
          <w:rFonts w:ascii="Arial" w:hAnsi="Arial"/>
          <w:szCs w:val="24"/>
        </w:rPr>
      </w:pPr>
    </w:p>
    <w:p w:rsidR="003E66CE" w:rsidRDefault="003E66CE" w:rsidP="00417DA5">
      <w:pPr>
        <w:pStyle w:val="Textoindependiente"/>
        <w:spacing w:line="360" w:lineRule="auto"/>
        <w:jc w:val="center"/>
        <w:rPr>
          <w:rFonts w:ascii="Arial" w:hAnsi="Arial"/>
          <w:szCs w:val="24"/>
        </w:rPr>
      </w:pPr>
    </w:p>
    <w:p w:rsidR="00B30152" w:rsidRPr="00417DA5" w:rsidRDefault="00B30152" w:rsidP="00417DA5">
      <w:pPr>
        <w:pStyle w:val="Textoindependiente"/>
        <w:spacing w:line="360" w:lineRule="auto"/>
        <w:jc w:val="center"/>
        <w:rPr>
          <w:rFonts w:ascii="Arial" w:hAnsi="Arial"/>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5C4C0F"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5C4C0F" w:rsidRPr="00417DA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E606C4"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E606C4" w:rsidRDefault="00E606C4" w:rsidP="005B4A1B">
      <w:pPr>
        <w:pStyle w:val="Textoindependiente"/>
        <w:spacing w:line="360" w:lineRule="auto"/>
        <w:jc w:val="right"/>
        <w:rPr>
          <w:rFonts w:ascii="Arial" w:hAnsi="Arial"/>
          <w:w w:val="150"/>
          <w:sz w:val="8"/>
          <w:szCs w:val="10"/>
          <w:lang w:val="en-US"/>
        </w:rPr>
      </w:pPr>
      <w:r w:rsidRPr="00984EE4">
        <w:rPr>
          <w:rFonts w:ascii="Arial" w:hAnsi="Arial"/>
          <w:w w:val="150"/>
          <w:sz w:val="8"/>
          <w:szCs w:val="10"/>
          <w:lang w:val="en-US"/>
        </w:rPr>
        <w:t>DGH/</w:t>
      </w:r>
      <w:r w:rsidR="005C4C0F">
        <w:rPr>
          <w:rFonts w:ascii="Arial" w:hAnsi="Arial"/>
          <w:w w:val="150"/>
          <w:sz w:val="8"/>
          <w:szCs w:val="10"/>
          <w:lang w:val="en-US"/>
        </w:rPr>
        <w:t>ODCD/2016</w:t>
      </w:r>
    </w:p>
    <w:p w:rsidR="00EA7B29" w:rsidRDefault="00EA7B29" w:rsidP="005B4A1B">
      <w:pPr>
        <w:pStyle w:val="Textoindependiente"/>
        <w:spacing w:line="360" w:lineRule="auto"/>
        <w:jc w:val="right"/>
        <w:rPr>
          <w:rFonts w:ascii="Arial" w:hAnsi="Arial"/>
          <w:w w:val="150"/>
          <w:sz w:val="8"/>
          <w:szCs w:val="10"/>
          <w:lang w:val="en-US"/>
        </w:rPr>
      </w:pPr>
    </w:p>
    <w:sectPr w:rsidR="00EA7B29" w:rsidSect="00A00C33">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A3" w:rsidRDefault="00A140A3" w:rsidP="0099045D">
      <w:r>
        <w:separator/>
      </w:r>
    </w:p>
  </w:endnote>
  <w:endnote w:type="continuationSeparator" w:id="0">
    <w:p w:rsidR="00A140A3" w:rsidRDefault="00A140A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A3" w:rsidRDefault="00A140A3" w:rsidP="0099045D">
      <w:r>
        <w:separator/>
      </w:r>
    </w:p>
  </w:footnote>
  <w:footnote w:type="continuationSeparator" w:id="0">
    <w:p w:rsidR="00A140A3" w:rsidRDefault="00A140A3" w:rsidP="0099045D">
      <w:r>
        <w:continuationSeparator/>
      </w:r>
    </w:p>
  </w:footnote>
  <w:footnote w:id="1">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F5B57" w:rsidRPr="005D1B2D" w:rsidRDefault="00FF5B57"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F5B57" w:rsidRPr="00567558" w:rsidRDefault="00FF5B57"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701C66" w:rsidRPr="00D73B3B" w:rsidRDefault="00701C66"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26-02-2014</w:t>
      </w:r>
      <w:r w:rsidRPr="0088104A">
        <w:rPr>
          <w:rFonts w:asciiTheme="minorHAnsi" w:hAnsiTheme="minorHAnsi" w:cs="Calibri"/>
        </w:rPr>
        <w:t>.</w:t>
      </w:r>
    </w:p>
  </w:footnote>
  <w:footnote w:id="10">
    <w:p w:rsidR="0062273B" w:rsidRDefault="0062273B"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62273B" w:rsidRDefault="0062273B"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sidR="00E71ABD">
        <w:rPr>
          <w:rFonts w:asciiTheme="minorHAnsi" w:hAnsiTheme="minorHAnsi" w:cs="Calibri"/>
          <w:lang w:val="es-CO"/>
        </w:rPr>
        <w:t>.</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62273B" w:rsidRPr="00574D09" w:rsidRDefault="0062273B"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630C9E" w:rsidRDefault="00630C9E" w:rsidP="00630C9E">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5">
    <w:p w:rsidR="00EA7B29" w:rsidRPr="008B43C6" w:rsidRDefault="00EA7B29" w:rsidP="00EA7B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6">
    <w:p w:rsidR="00EA7B29" w:rsidRPr="008B43C6" w:rsidRDefault="00EA7B29" w:rsidP="00EA7B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17">
    <w:p w:rsidR="00CB3037" w:rsidRPr="00066FAC" w:rsidRDefault="00CB3037" w:rsidP="00CB3037">
      <w:pPr>
        <w:pStyle w:val="Textonotapie"/>
        <w:jc w:val="both"/>
        <w:rPr>
          <w:rFonts w:asciiTheme="minorHAnsi" w:hAnsiTheme="minorHAnsi"/>
          <w:lang w:val="es-CO"/>
        </w:rPr>
      </w:pPr>
      <w:r w:rsidRPr="00066FAC">
        <w:rPr>
          <w:rStyle w:val="Refdenotaalpie"/>
          <w:rFonts w:asciiTheme="minorHAnsi" w:hAnsiTheme="minorHAnsi"/>
        </w:rPr>
        <w:footnoteRef/>
      </w:r>
      <w:r w:rsidRPr="00066FAC">
        <w:rPr>
          <w:rFonts w:asciiTheme="minorHAnsi" w:hAnsiTheme="minorHAnsi"/>
        </w:rPr>
        <w:t xml:space="preserve"> </w:t>
      </w:r>
      <w:r w:rsidRPr="00066FAC">
        <w:rPr>
          <w:rFonts w:asciiTheme="minorHAnsi" w:hAnsiTheme="minorHAnsi"/>
          <w:lang w:val="es-CO"/>
        </w:rPr>
        <w:t>CORTE SUPREMA DE JUSTICIA</w:t>
      </w:r>
      <w:r>
        <w:rPr>
          <w:rFonts w:asciiTheme="minorHAnsi" w:hAnsiTheme="minorHAnsi"/>
          <w:lang w:val="es-CO"/>
        </w:rPr>
        <w:t xml:space="preserve">. Sala de Casación Civil. Providencia STC16212-2015 del 26-01-2015, MP: Ariel Salazar Ramírez. </w:t>
      </w:r>
    </w:p>
  </w:footnote>
  <w:footnote w:id="18">
    <w:p w:rsidR="00CB3037" w:rsidRPr="00261711" w:rsidRDefault="00CB3037" w:rsidP="00CB3037">
      <w:pPr>
        <w:pStyle w:val="Textonotapie"/>
        <w:jc w:val="both"/>
        <w:rPr>
          <w:rFonts w:asciiTheme="minorHAnsi" w:hAnsiTheme="minorHAnsi"/>
          <w:lang w:val="es-CO"/>
        </w:rPr>
      </w:pPr>
      <w:r w:rsidRPr="00261711">
        <w:rPr>
          <w:rStyle w:val="Refdenotaalpie"/>
          <w:rFonts w:asciiTheme="minorHAnsi" w:hAnsiTheme="minorHAnsi"/>
        </w:rPr>
        <w:footnoteRef/>
      </w:r>
      <w:r w:rsidRPr="00261711">
        <w:rPr>
          <w:rFonts w:asciiTheme="minorHAnsi" w:hAnsiTheme="minorHAnsi"/>
        </w:rPr>
        <w:t xml:space="preserve"> </w:t>
      </w:r>
      <w:r w:rsidRPr="00261711">
        <w:rPr>
          <w:rFonts w:asciiTheme="minorHAnsi" w:hAnsiTheme="minorHAnsi" w:cs="Calibri"/>
          <w:lang w:val="es-CO"/>
        </w:rPr>
        <w:t>TRIBUNAL SUPERIOR DE PEREIRA, Sala Civil – Familia. Sentencias del</w:t>
      </w:r>
      <w:r w:rsidRPr="00261711">
        <w:rPr>
          <w:rFonts w:asciiTheme="minorHAnsi" w:hAnsiTheme="minorHAnsi" w:cs="Calibri"/>
        </w:rPr>
        <w:t xml:space="preserve"> 22-09-2015; MP: Jaime Alberto Saraza Naranjo, expedientes Nos. 2015-00490-00 y 2015-00495-00.</w:t>
      </w:r>
    </w:p>
  </w:footnote>
  <w:footnote w:id="19">
    <w:p w:rsidR="00CB3037" w:rsidRPr="00261711" w:rsidRDefault="00CB3037" w:rsidP="00CB3037">
      <w:pPr>
        <w:pStyle w:val="Textonotapie"/>
        <w:jc w:val="both"/>
        <w:rPr>
          <w:rFonts w:asciiTheme="minorHAnsi" w:hAnsiTheme="minorHAnsi"/>
          <w:lang w:val="es-CO"/>
        </w:rPr>
      </w:pPr>
      <w:r w:rsidRPr="00261711">
        <w:rPr>
          <w:rStyle w:val="Refdenotaalpie"/>
          <w:rFonts w:asciiTheme="minorHAnsi" w:hAnsiTheme="minorHAnsi"/>
        </w:rPr>
        <w:footnoteRef/>
      </w:r>
      <w:r w:rsidRPr="00261711">
        <w:rPr>
          <w:rFonts w:asciiTheme="minorHAnsi" w:hAnsiTheme="minorHAnsi"/>
        </w:rPr>
        <w:t xml:space="preserve"> </w:t>
      </w:r>
      <w:r w:rsidRPr="00261711">
        <w:rPr>
          <w:rFonts w:asciiTheme="minorHAnsi" w:hAnsiTheme="minorHAnsi" w:cs="Calibri"/>
          <w:lang w:val="es-CO"/>
        </w:rPr>
        <w:t>TRIBUNAL SUPERIOR DE PEREIRA, Sala Civil – Familia. Sentencias del</w:t>
      </w:r>
      <w:r w:rsidRPr="00261711">
        <w:rPr>
          <w:rFonts w:asciiTheme="minorHAnsi" w:hAnsiTheme="minorHAnsi" w:cs="Calibri"/>
        </w:rPr>
        <w:t xml:space="preserve"> 22-09-2015; MP: </w:t>
      </w:r>
      <w:r>
        <w:rPr>
          <w:rFonts w:asciiTheme="minorHAnsi" w:hAnsiTheme="minorHAnsi" w:cs="Calibri"/>
        </w:rPr>
        <w:t>Claudia María Arcila Ríos</w:t>
      </w:r>
      <w:r w:rsidRPr="00261711">
        <w:rPr>
          <w:rFonts w:asciiTheme="minorHAnsi" w:hAnsiTheme="minorHAnsi" w:cs="Calibri"/>
        </w:rPr>
        <w:t>, expedientes Nos. 2015-004</w:t>
      </w:r>
      <w:r>
        <w:rPr>
          <w:rFonts w:asciiTheme="minorHAnsi" w:hAnsiTheme="minorHAnsi" w:cs="Calibri"/>
        </w:rPr>
        <w:t>85</w:t>
      </w:r>
      <w:r w:rsidRPr="00261711">
        <w:rPr>
          <w:rFonts w:asciiTheme="minorHAnsi" w:hAnsiTheme="minorHAnsi" w:cs="Calibri"/>
        </w:rPr>
        <w:t>-00 y 2015-00</w:t>
      </w:r>
      <w:r>
        <w:rPr>
          <w:rFonts w:asciiTheme="minorHAnsi" w:hAnsiTheme="minorHAnsi" w:cs="Calibri"/>
        </w:rPr>
        <w:t>511</w:t>
      </w:r>
      <w:r w:rsidRPr="00261711">
        <w:rPr>
          <w:rFonts w:asciiTheme="minorHAnsi" w:hAnsiTheme="minorHAnsi" w:cs="Calibri"/>
        </w:rPr>
        <w:t>-00</w:t>
      </w:r>
      <w:r>
        <w:rPr>
          <w:rFonts w:asciiTheme="minorHAnsi" w:hAnsiTheme="minorHAnsi" w:cs="Calibri"/>
        </w:rPr>
        <w:t>.</w:t>
      </w:r>
    </w:p>
  </w:footnote>
  <w:footnote w:id="20">
    <w:p w:rsidR="00CB3037" w:rsidRPr="00070840" w:rsidRDefault="00CB3037" w:rsidP="00CB3037">
      <w:pPr>
        <w:pStyle w:val="Textonotapie"/>
        <w:jc w:val="both"/>
        <w:rPr>
          <w:rFonts w:asciiTheme="minorHAnsi" w:hAnsiTheme="minorHAnsi"/>
          <w:lang w:val="es-CO"/>
        </w:rPr>
      </w:pPr>
      <w:r w:rsidRPr="00070840">
        <w:rPr>
          <w:rStyle w:val="Refdenotaalpie"/>
          <w:rFonts w:asciiTheme="minorHAnsi" w:hAnsiTheme="minorHAnsi"/>
        </w:rPr>
        <w:footnoteRef/>
      </w:r>
      <w:r w:rsidRPr="00070840">
        <w:rPr>
          <w:rFonts w:asciiTheme="minorHAnsi" w:hAnsiTheme="minorHAnsi"/>
        </w:rPr>
        <w:t xml:space="preserve"> </w:t>
      </w:r>
      <w:r w:rsidRPr="00070840">
        <w:rPr>
          <w:rFonts w:asciiTheme="minorHAnsi" w:hAnsiTheme="minorHAnsi" w:cs="Calibri"/>
          <w:lang w:val="es-CO"/>
        </w:rPr>
        <w:t>TRIBUNAL SUPERIOR DE PEREIRA, Sala Civil – Familia. Sentencias del</w:t>
      </w:r>
      <w:r>
        <w:rPr>
          <w:rFonts w:asciiTheme="minorHAnsi" w:hAnsiTheme="minorHAnsi" w:cs="Calibri"/>
        </w:rPr>
        <w:t xml:space="preserve"> 16-10-2015,</w:t>
      </w:r>
      <w:r w:rsidRPr="00070840">
        <w:rPr>
          <w:rFonts w:asciiTheme="minorHAnsi" w:hAnsiTheme="minorHAnsi" w:cs="Calibri"/>
        </w:rPr>
        <w:t xml:space="preserve"> 23-10-2015</w:t>
      </w:r>
      <w:r>
        <w:rPr>
          <w:rFonts w:asciiTheme="minorHAnsi" w:hAnsiTheme="minorHAnsi" w:cs="Calibri"/>
        </w:rPr>
        <w:t xml:space="preserve"> y 14-01-2016</w:t>
      </w:r>
      <w:r w:rsidRPr="00070840">
        <w:rPr>
          <w:rFonts w:asciiTheme="minorHAnsi" w:hAnsiTheme="minorHAnsi" w:cs="Calibri"/>
        </w:rPr>
        <w:t xml:space="preserve">; MP: </w:t>
      </w:r>
      <w:r>
        <w:rPr>
          <w:rFonts w:asciiTheme="minorHAnsi" w:hAnsiTheme="minorHAnsi" w:cs="Calibri"/>
        </w:rPr>
        <w:t>Du</w:t>
      </w:r>
      <w:r w:rsidRPr="00070840">
        <w:rPr>
          <w:rFonts w:asciiTheme="minorHAnsi" w:hAnsiTheme="minorHAnsi" w:cs="Calibri"/>
        </w:rPr>
        <w:t>berney Grisales Herrar</w:t>
      </w:r>
      <w:r>
        <w:rPr>
          <w:rFonts w:asciiTheme="minorHAnsi" w:hAnsiTheme="minorHAnsi" w:cs="Calibri"/>
        </w:rPr>
        <w:t>a</w:t>
      </w:r>
      <w:r w:rsidRPr="00070840">
        <w:rPr>
          <w:rFonts w:asciiTheme="minorHAnsi" w:hAnsiTheme="minorHAnsi" w:cs="Calibri"/>
        </w:rPr>
        <w:t>, expedientes Nos. 2015-00</w:t>
      </w:r>
      <w:r>
        <w:rPr>
          <w:rFonts w:asciiTheme="minorHAnsi" w:hAnsiTheme="minorHAnsi" w:cs="Calibri"/>
        </w:rPr>
        <w:t>693-00 (4 Acumuladas),</w:t>
      </w:r>
      <w:r w:rsidRPr="00070840">
        <w:rPr>
          <w:rFonts w:asciiTheme="minorHAnsi" w:hAnsiTheme="minorHAnsi" w:cs="Calibri"/>
        </w:rPr>
        <w:t xml:space="preserve"> 2015-00</w:t>
      </w:r>
      <w:r>
        <w:rPr>
          <w:rFonts w:asciiTheme="minorHAnsi" w:hAnsiTheme="minorHAnsi" w:cs="Calibri"/>
        </w:rPr>
        <w:t>750</w:t>
      </w:r>
      <w:r w:rsidRPr="00070840">
        <w:rPr>
          <w:rFonts w:asciiTheme="minorHAnsi" w:hAnsiTheme="minorHAnsi" w:cs="Calibri"/>
        </w:rPr>
        <w:t>-00</w:t>
      </w:r>
      <w:r>
        <w:rPr>
          <w:rFonts w:asciiTheme="minorHAnsi" w:hAnsiTheme="minorHAnsi" w:cs="Calibri"/>
        </w:rPr>
        <w:t xml:space="preserve"> (21 Acumuladas) y 2015-00908-00 (19 Acumuladas)</w:t>
      </w:r>
      <w:r w:rsidRPr="00070840">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140A3">
      <w:rPr>
        <w:rFonts w:ascii="Calibri" w:hAnsi="Calibri" w:cs="Calibri"/>
        <w:i/>
        <w:noProof/>
        <w:sz w:val="20"/>
      </w:rPr>
      <w:t>1</w:t>
    </w:r>
    <w:r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2016-00018-00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2"/>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1A6"/>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468"/>
    <w:rsid w:val="000E60BB"/>
    <w:rsid w:val="000E6695"/>
    <w:rsid w:val="000E69FE"/>
    <w:rsid w:val="000E6B90"/>
    <w:rsid w:val="000E6F57"/>
    <w:rsid w:val="000F03A0"/>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2D14"/>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2BE0"/>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A93"/>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5C5"/>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412"/>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AB2"/>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009"/>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0C33"/>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A3"/>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45ED"/>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71E"/>
    <w:rsid w:val="00AE1E6D"/>
    <w:rsid w:val="00AE1F0F"/>
    <w:rsid w:val="00AE25B5"/>
    <w:rsid w:val="00AE25B7"/>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274"/>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3ED"/>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03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456"/>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4F2"/>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3C548-AB61-44BD-A323-C065ECF8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Pages>
  <Words>2572</Words>
  <Characters>14146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14</cp:revision>
  <cp:lastPrinted>2016-02-05T20:08:00Z</cp:lastPrinted>
  <dcterms:created xsi:type="dcterms:W3CDTF">2016-02-03T02:28:00Z</dcterms:created>
  <dcterms:modified xsi:type="dcterms:W3CDTF">2016-05-17T15:28:00Z</dcterms:modified>
</cp:coreProperties>
</file>