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D0" w:rsidRPr="0038445B" w:rsidRDefault="00127BD0" w:rsidP="00872FD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38445B">
        <w:rPr>
          <w:rFonts w:ascii="Arial" w:hAnsi="Arial" w:cs="Arial"/>
          <w:sz w:val="20"/>
        </w:rPr>
        <w:t xml:space="preserve">SUBSIDIARIEDAD ACCIÓN DE TUTELA/ Solicitud prematura/ Providencia que decida sobre la competencia de las acciones populares, es susceptible de recurso. </w:t>
      </w:r>
    </w:p>
    <w:p w:rsidR="00127BD0" w:rsidRPr="0038445B" w:rsidRDefault="00127BD0" w:rsidP="00872FD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127BD0" w:rsidRPr="0038445B" w:rsidRDefault="00127BD0" w:rsidP="00872FDE">
      <w:pPr>
        <w:jc w:val="both"/>
        <w:rPr>
          <w:rFonts w:ascii="Arial" w:hAnsi="Arial" w:cs="Arial"/>
          <w:spacing w:val="-3"/>
          <w:sz w:val="20"/>
          <w:szCs w:val="20"/>
          <w:lang w:val="es-ES_tradnl"/>
        </w:rPr>
      </w:pPr>
      <w:r w:rsidRPr="0038445B">
        <w:rPr>
          <w:rFonts w:ascii="Arial" w:hAnsi="Arial" w:cs="Arial"/>
          <w:spacing w:val="-3"/>
          <w:sz w:val="20"/>
          <w:szCs w:val="20"/>
          <w:lang w:val="es-ES_tradnl"/>
        </w:rPr>
        <w:t>“(…) hay que decir que a estas alturas de las diligencias, las citadas acciones constitucionales se tornan prematuras porque aún está pendiente de resolverse por parte de los despachos judiciales a los cuales fueron remitidos los procesos, si asumen su conocimiento o provocan el conflicto negativo de competencia, actuaciones que revelarán al actor, los juzgad</w:t>
      </w:r>
      <w:r w:rsidR="00E347E7" w:rsidRPr="0038445B">
        <w:rPr>
          <w:rFonts w:ascii="Arial" w:hAnsi="Arial" w:cs="Arial"/>
          <w:spacing w:val="-3"/>
          <w:sz w:val="20"/>
          <w:szCs w:val="20"/>
          <w:lang w:val="es-ES_tradnl"/>
        </w:rPr>
        <w:t>os que tramitarán sus acciones (…)</w:t>
      </w:r>
      <w:r w:rsidRPr="0038445B">
        <w:rPr>
          <w:rFonts w:ascii="Arial" w:hAnsi="Arial" w:cs="Arial"/>
          <w:spacing w:val="-3"/>
          <w:sz w:val="20"/>
          <w:szCs w:val="20"/>
          <w:lang w:val="es-ES_tradnl"/>
        </w:rPr>
        <w:t xml:space="preserve"> se debe declarar su improcedencia porque </w:t>
      </w:r>
      <w:r w:rsidR="00E347E7" w:rsidRPr="0038445B">
        <w:rPr>
          <w:rFonts w:ascii="Arial" w:hAnsi="Arial" w:cs="Arial"/>
          <w:spacing w:val="-3"/>
          <w:sz w:val="20"/>
          <w:szCs w:val="20"/>
          <w:lang w:val="es-ES_tradnl"/>
        </w:rPr>
        <w:t xml:space="preserve">(…) </w:t>
      </w:r>
      <w:r w:rsidRPr="0038445B">
        <w:rPr>
          <w:rFonts w:ascii="Arial" w:hAnsi="Arial" w:cs="Arial"/>
          <w:spacing w:val="-3"/>
          <w:sz w:val="20"/>
          <w:szCs w:val="20"/>
          <w:lang w:val="es-ES_tradnl"/>
        </w:rPr>
        <w:t>también se incumple el principio de subsidiariedad cuando los procesos aún se encuentran en trámite.</w:t>
      </w:r>
    </w:p>
    <w:p w:rsidR="00127BD0" w:rsidRPr="0038445B" w:rsidRDefault="00127BD0" w:rsidP="00872FDE">
      <w:pPr>
        <w:jc w:val="both"/>
        <w:rPr>
          <w:rFonts w:ascii="Arial" w:hAnsi="Arial" w:cs="Arial"/>
          <w:spacing w:val="-3"/>
          <w:sz w:val="20"/>
          <w:szCs w:val="20"/>
          <w:lang w:val="es-ES_tradnl"/>
        </w:rPr>
      </w:pPr>
    </w:p>
    <w:p w:rsidR="00127BD0" w:rsidRPr="0038445B" w:rsidRDefault="00127BD0" w:rsidP="00872FDE">
      <w:pPr>
        <w:jc w:val="both"/>
        <w:rPr>
          <w:rFonts w:ascii="Arial" w:hAnsi="Arial" w:cs="Arial"/>
          <w:spacing w:val="-3"/>
          <w:sz w:val="20"/>
          <w:szCs w:val="20"/>
          <w:lang w:val="es-ES_tradnl"/>
        </w:rPr>
      </w:pPr>
      <w:r w:rsidRPr="0038445B">
        <w:rPr>
          <w:rFonts w:ascii="Arial" w:hAnsi="Arial" w:cs="Arial"/>
          <w:spacing w:val="-3"/>
          <w:sz w:val="20"/>
          <w:szCs w:val="20"/>
          <w:lang w:val="es-ES_tradnl"/>
        </w:rPr>
        <w:t>(…) la acción de tutela no pude implementarse como medio para sustituir los mecanismos ordinarios de defensa, cuando por negligencia, descuido o incuria no fueron utilizados (…).”</w:t>
      </w:r>
    </w:p>
    <w:p w:rsidR="00EE2C0D" w:rsidRPr="0038445B" w:rsidRDefault="00EE2C0D" w:rsidP="00872FDE">
      <w:pPr>
        <w:jc w:val="both"/>
        <w:rPr>
          <w:rFonts w:ascii="Arial" w:hAnsi="Arial" w:cs="Arial"/>
          <w:spacing w:val="-3"/>
          <w:sz w:val="20"/>
          <w:szCs w:val="20"/>
          <w:lang w:val="es-ES_tradnl"/>
        </w:rPr>
      </w:pPr>
    </w:p>
    <w:p w:rsidR="00EE2C0D" w:rsidRPr="0038445B" w:rsidRDefault="003042D4" w:rsidP="00872FDE">
      <w:pPr>
        <w:jc w:val="both"/>
        <w:rPr>
          <w:rFonts w:ascii="Arial" w:hAnsi="Arial" w:cs="Arial"/>
          <w:sz w:val="20"/>
          <w:szCs w:val="20"/>
          <w:lang w:val="es-ES_tradnl"/>
        </w:rPr>
      </w:pPr>
      <w:r w:rsidRPr="0038445B">
        <w:rPr>
          <w:rFonts w:ascii="Arial" w:hAnsi="Arial" w:cs="Arial"/>
          <w:sz w:val="20"/>
          <w:szCs w:val="20"/>
          <w:lang w:val="es-ES_tradnl"/>
        </w:rPr>
        <w:t>DEFECTO SUSTANTIVO</w:t>
      </w:r>
      <w:r w:rsidR="00F703BB" w:rsidRPr="0038445B">
        <w:rPr>
          <w:rFonts w:ascii="Arial" w:hAnsi="Arial" w:cs="Arial"/>
          <w:sz w:val="20"/>
          <w:szCs w:val="20"/>
          <w:lang w:val="es-ES_tradnl"/>
        </w:rPr>
        <w:t xml:space="preserve">/ </w:t>
      </w:r>
      <w:r w:rsidR="00EC6D80" w:rsidRPr="0038445B">
        <w:rPr>
          <w:rFonts w:ascii="Arial" w:hAnsi="Arial" w:cs="Arial"/>
          <w:sz w:val="20"/>
          <w:szCs w:val="20"/>
          <w:lang w:val="es-ES_tradnl"/>
        </w:rPr>
        <w:t>N</w:t>
      </w:r>
      <w:r w:rsidR="00F703BB" w:rsidRPr="0038445B">
        <w:rPr>
          <w:rFonts w:ascii="Arial" w:hAnsi="Arial" w:cs="Arial"/>
          <w:sz w:val="20"/>
          <w:szCs w:val="20"/>
          <w:lang w:val="es-ES_tradnl"/>
        </w:rPr>
        <w:t>ormativa</w:t>
      </w:r>
      <w:r w:rsidR="00C3697C" w:rsidRPr="0038445B">
        <w:rPr>
          <w:rFonts w:ascii="Arial" w:hAnsi="Arial" w:cs="Arial"/>
          <w:sz w:val="20"/>
          <w:szCs w:val="20"/>
          <w:lang w:val="es-ES_tradnl"/>
        </w:rPr>
        <w:t xml:space="preserve"> adecuada sobre a la concesión del </w:t>
      </w:r>
      <w:r w:rsidR="00EC6D80" w:rsidRPr="0038445B">
        <w:rPr>
          <w:rFonts w:ascii="Arial" w:hAnsi="Arial" w:cs="Arial"/>
          <w:sz w:val="20"/>
          <w:szCs w:val="20"/>
          <w:lang w:val="es-ES_tradnl"/>
        </w:rPr>
        <w:t>recurso</w:t>
      </w:r>
      <w:r w:rsidR="00C3697C" w:rsidRPr="0038445B">
        <w:rPr>
          <w:rFonts w:ascii="Arial" w:hAnsi="Arial" w:cs="Arial"/>
          <w:sz w:val="20"/>
          <w:szCs w:val="20"/>
          <w:lang w:val="es-ES_tradnl"/>
        </w:rPr>
        <w:t xml:space="preserve"> de apelación en acciones populares</w:t>
      </w:r>
      <w:r w:rsidR="00EC6D80" w:rsidRPr="0038445B">
        <w:rPr>
          <w:rFonts w:ascii="Arial" w:hAnsi="Arial" w:cs="Arial"/>
          <w:sz w:val="20"/>
          <w:szCs w:val="20"/>
          <w:lang w:val="es-ES_tradnl"/>
        </w:rPr>
        <w:t>/ El</w:t>
      </w:r>
      <w:r w:rsidR="00F703BB" w:rsidRPr="0038445B">
        <w:rPr>
          <w:rFonts w:ascii="Arial" w:hAnsi="Arial" w:cs="Arial"/>
          <w:sz w:val="20"/>
          <w:szCs w:val="20"/>
          <w:lang w:val="es-ES_tradnl"/>
        </w:rPr>
        <w:t xml:space="preserve"> precedente jurisprudencial </w:t>
      </w:r>
      <w:r w:rsidR="00EC6D80" w:rsidRPr="0038445B">
        <w:rPr>
          <w:rFonts w:ascii="Arial" w:hAnsi="Arial" w:cs="Arial"/>
          <w:sz w:val="20"/>
          <w:szCs w:val="20"/>
          <w:lang w:val="es-ES_tradnl"/>
        </w:rPr>
        <w:t>aplicable en materia civil es el del órgano de cierre respectivo</w:t>
      </w:r>
      <w:r w:rsidR="00F703BB" w:rsidRPr="0038445B">
        <w:rPr>
          <w:rFonts w:ascii="Arial" w:hAnsi="Arial" w:cs="Arial"/>
          <w:sz w:val="20"/>
          <w:szCs w:val="20"/>
          <w:lang w:val="es-ES_tradnl"/>
        </w:rPr>
        <w:t xml:space="preserve"> </w:t>
      </w:r>
    </w:p>
    <w:p w:rsidR="003042D4" w:rsidRPr="0038445B" w:rsidRDefault="003042D4" w:rsidP="00872FDE">
      <w:pPr>
        <w:jc w:val="both"/>
        <w:rPr>
          <w:rFonts w:ascii="Arial" w:hAnsi="Arial" w:cs="Arial"/>
          <w:sz w:val="20"/>
          <w:szCs w:val="20"/>
          <w:lang w:val="es-ES_tradnl"/>
        </w:rPr>
      </w:pPr>
    </w:p>
    <w:p w:rsidR="00E64D79" w:rsidRPr="0038445B" w:rsidRDefault="003042D4" w:rsidP="00872FDE">
      <w:pPr>
        <w:jc w:val="both"/>
        <w:rPr>
          <w:rFonts w:ascii="Arial" w:hAnsi="Arial"/>
          <w:sz w:val="20"/>
          <w:szCs w:val="20"/>
        </w:rPr>
      </w:pPr>
      <w:r w:rsidRPr="0038445B">
        <w:rPr>
          <w:rFonts w:ascii="Arial" w:hAnsi="Arial" w:cs="Arial"/>
          <w:sz w:val="20"/>
          <w:szCs w:val="20"/>
          <w:lang w:val="es-ES_tradnl"/>
        </w:rPr>
        <w:t>“</w:t>
      </w:r>
      <w:r w:rsidR="00E64D79" w:rsidRPr="0038445B">
        <w:rPr>
          <w:rFonts w:ascii="Arial" w:hAnsi="Arial" w:cs="Arial"/>
          <w:sz w:val="20"/>
          <w:szCs w:val="20"/>
          <w:lang w:val="es-ES_tradnl"/>
        </w:rPr>
        <w:t>L</w:t>
      </w:r>
      <w:r w:rsidR="00F703BB" w:rsidRPr="0038445B">
        <w:rPr>
          <w:rFonts w:ascii="Arial" w:hAnsi="Arial" w:cs="Arial"/>
          <w:sz w:val="20"/>
          <w:szCs w:val="20"/>
          <w:lang w:val="es-ES_tradnl"/>
        </w:rPr>
        <w:t>a acción popular 2015-00489</w:t>
      </w:r>
      <w:r w:rsidR="003D0B5E" w:rsidRPr="0038445B">
        <w:rPr>
          <w:rFonts w:ascii="Arial" w:hAnsi="Arial" w:cs="Arial"/>
          <w:sz w:val="20"/>
          <w:szCs w:val="20"/>
          <w:lang w:val="es-ES_tradnl"/>
        </w:rPr>
        <w:t xml:space="preserve">(…) </w:t>
      </w:r>
      <w:r w:rsidR="00E64D79" w:rsidRPr="0038445B">
        <w:rPr>
          <w:rFonts w:ascii="Arial" w:hAnsi="Arial" w:cs="Arial"/>
          <w:sz w:val="20"/>
          <w:szCs w:val="20"/>
          <w:lang w:val="es-ES_tradnl"/>
        </w:rPr>
        <w:t xml:space="preserve">frente a la que, como se dijo previamente, se encuentra superado </w:t>
      </w:r>
      <w:r w:rsidR="00E64D79" w:rsidRPr="0038445B">
        <w:rPr>
          <w:rFonts w:ascii="Arial" w:hAnsi="Arial"/>
          <w:sz w:val="20"/>
          <w:szCs w:val="20"/>
        </w:rPr>
        <w:t>el estudio de los requisitos generales, por consiguiente, corresponde entonces proseguir con la revis</w:t>
      </w:r>
      <w:r w:rsidR="00F703BB" w:rsidRPr="0038445B">
        <w:rPr>
          <w:rFonts w:ascii="Arial" w:hAnsi="Arial"/>
          <w:sz w:val="20"/>
          <w:szCs w:val="20"/>
        </w:rPr>
        <w:t>ión de las causales especiales (…)</w:t>
      </w:r>
    </w:p>
    <w:p w:rsidR="00E64D79" w:rsidRPr="008E14FB" w:rsidRDefault="00E64D79" w:rsidP="00872FDE">
      <w:pPr>
        <w:pStyle w:val="Prrafodelista"/>
        <w:ind w:left="720"/>
        <w:jc w:val="both"/>
        <w:rPr>
          <w:rFonts w:ascii="Arial" w:hAnsi="Arial" w:cs="Arial"/>
          <w:sz w:val="20"/>
          <w:szCs w:val="20"/>
          <w:lang w:val="es-ES_tradnl"/>
        </w:rPr>
      </w:pPr>
    </w:p>
    <w:p w:rsidR="00E64D79" w:rsidRPr="008E14FB" w:rsidRDefault="00E64D79" w:rsidP="00872FDE">
      <w:pPr>
        <w:pStyle w:val="Textoindependiente"/>
        <w:spacing w:line="240" w:lineRule="auto"/>
        <w:rPr>
          <w:rFonts w:ascii="Arial" w:hAnsi="Arial"/>
          <w:sz w:val="20"/>
          <w:lang w:val="es-ES"/>
        </w:rPr>
      </w:pPr>
      <w:r w:rsidRPr="008E14FB">
        <w:rPr>
          <w:rFonts w:ascii="Arial" w:hAnsi="Arial"/>
          <w:sz w:val="20"/>
        </w:rPr>
        <w:t xml:space="preserve">De plano hay que decir que la Sala no encuentra asidero jurídico que dé lugar a la prosperidad del amparo incoado por el actor, pues es inexistente en la Ley 472 </w:t>
      </w:r>
      <w:r w:rsidRPr="008E14FB">
        <w:rPr>
          <w:rFonts w:ascii="Arial" w:hAnsi="Arial"/>
          <w:bCs/>
          <w:sz w:val="20"/>
          <w:lang w:val="es-CO"/>
        </w:rPr>
        <w:t xml:space="preserve">precepto alguno </w:t>
      </w:r>
      <w:r w:rsidRPr="008E14FB">
        <w:rPr>
          <w:rFonts w:ascii="Arial" w:hAnsi="Arial"/>
          <w:sz w:val="20"/>
        </w:rPr>
        <w:t xml:space="preserve">que permita formular el recurso de apelación contra actuación distinta de la sentencia dictada. Tampoco se concibe la aplicación de lo regulado en el CPC, respecto de los autos susceptibles de apelación, puesto que la norma que a él remite, es clara en señalar que únicamente se implementará </w:t>
      </w:r>
      <w:r w:rsidRPr="008E14FB">
        <w:rPr>
          <w:rFonts w:ascii="Arial" w:hAnsi="Arial"/>
          <w:sz w:val="20"/>
          <w:lang w:val="es-ES"/>
        </w:rPr>
        <w:t>en lo no regulado en la Ley especial (</w:t>
      </w:r>
      <w:r w:rsidR="000B5CE6" w:rsidRPr="008E14FB">
        <w:rPr>
          <w:rFonts w:ascii="Arial" w:hAnsi="Arial"/>
          <w:sz w:val="20"/>
          <w:lang w:val="es-ES"/>
        </w:rPr>
        <w:t>…</w:t>
      </w:r>
      <w:r w:rsidRPr="008E14FB">
        <w:rPr>
          <w:rFonts w:ascii="Arial" w:hAnsi="Arial"/>
          <w:sz w:val="20"/>
          <w:lang w:val="es-ES"/>
        </w:rPr>
        <w:t>)</w:t>
      </w:r>
    </w:p>
    <w:p w:rsidR="00E64D79" w:rsidRPr="008E14FB" w:rsidRDefault="00E64D79" w:rsidP="00872FDE">
      <w:pPr>
        <w:pStyle w:val="Textoindependiente"/>
        <w:spacing w:line="240" w:lineRule="auto"/>
        <w:rPr>
          <w:rFonts w:ascii="Arial" w:hAnsi="Arial"/>
          <w:sz w:val="20"/>
          <w:lang w:val="es-ES"/>
        </w:rPr>
      </w:pPr>
    </w:p>
    <w:p w:rsidR="00E64D79" w:rsidRPr="008E14FB" w:rsidRDefault="00E64D79" w:rsidP="00872FDE">
      <w:pPr>
        <w:pStyle w:val="Textoindependiente"/>
        <w:spacing w:line="240" w:lineRule="auto"/>
        <w:rPr>
          <w:rFonts w:ascii="Arial" w:hAnsi="Arial" w:cs="Arial"/>
          <w:sz w:val="20"/>
        </w:rPr>
      </w:pPr>
      <w:r w:rsidRPr="008E14FB">
        <w:rPr>
          <w:rFonts w:ascii="Arial" w:hAnsi="Arial"/>
          <w:sz w:val="20"/>
        </w:rPr>
        <w:t xml:space="preserve">Asimismo, no puede considerarse que la </w:t>
      </w:r>
      <w:r w:rsidRPr="008E14FB">
        <w:rPr>
          <w:rFonts w:ascii="Arial" w:hAnsi="Arial" w:cs="Arial"/>
          <w:sz w:val="20"/>
        </w:rPr>
        <w:t xml:space="preserve">decisión cuestionada por el accionante desconoce el precedente del Consejo de Estado, pues sus doctrinas no son vinculantes ya que hacen parte del criterio auxiliar de interpretación, como sí lo es la jurisprudencia de </w:t>
      </w:r>
      <w:r w:rsidRPr="008E14FB">
        <w:rPr>
          <w:rFonts w:ascii="Arial" w:hAnsi="Arial"/>
          <w:sz w:val="20"/>
        </w:rPr>
        <w:t xml:space="preserve">la </w:t>
      </w:r>
      <w:r w:rsidRPr="008E14FB">
        <w:rPr>
          <w:rFonts w:ascii="Arial" w:hAnsi="Arial" w:cs="Arial"/>
          <w:sz w:val="20"/>
        </w:rPr>
        <w:t>Sala de Casación Civil de la Corte Suprema de Justicia</w:t>
      </w:r>
      <w:r w:rsidRPr="008E14FB">
        <w:rPr>
          <w:rFonts w:ascii="Arial" w:hAnsi="Arial"/>
          <w:sz w:val="20"/>
        </w:rPr>
        <w:t xml:space="preserve">, </w:t>
      </w:r>
      <w:r w:rsidRPr="008E14FB">
        <w:rPr>
          <w:rFonts w:ascii="Arial" w:hAnsi="Arial" w:cs="Arial"/>
          <w:sz w:val="20"/>
        </w:rPr>
        <w:t xml:space="preserve">por tratarse de nuestro órgano de cierre, que en reciente pronunciamiento </w:t>
      </w:r>
      <w:r w:rsidRPr="008E14FB">
        <w:rPr>
          <w:rFonts w:ascii="Arial" w:hAnsi="Arial" w:cs="Arial"/>
          <w:sz w:val="20"/>
          <w:lang w:val="es-ES"/>
        </w:rPr>
        <w:t>(</w:t>
      </w:r>
      <w:r w:rsidR="00167709" w:rsidRPr="008E14FB">
        <w:rPr>
          <w:rFonts w:ascii="Arial" w:hAnsi="Arial" w:cs="Arial"/>
          <w:sz w:val="20"/>
          <w:lang w:val="es-ES"/>
        </w:rPr>
        <w:t xml:space="preserve">…) </w:t>
      </w:r>
      <w:r w:rsidRPr="008E14FB">
        <w:rPr>
          <w:rFonts w:ascii="Arial" w:hAnsi="Arial" w:cs="Arial"/>
          <w:sz w:val="20"/>
        </w:rPr>
        <w:t>hizo claridad sobre la improcedencia del recurso de apelación contra autos dictados en el curso de una acción popular.</w:t>
      </w:r>
      <w:r w:rsidR="000B5CE6" w:rsidRPr="008E14FB">
        <w:rPr>
          <w:rFonts w:ascii="Arial" w:hAnsi="Arial" w:cs="Arial"/>
          <w:sz w:val="20"/>
        </w:rPr>
        <w:t>”</w:t>
      </w:r>
      <w:r w:rsidRPr="008E14FB">
        <w:rPr>
          <w:rFonts w:ascii="Arial" w:hAnsi="Arial" w:cs="Arial"/>
          <w:sz w:val="20"/>
        </w:rPr>
        <w:t xml:space="preserve"> </w:t>
      </w:r>
    </w:p>
    <w:p w:rsidR="0038445B" w:rsidRPr="008E14FB" w:rsidRDefault="0038445B" w:rsidP="00872FDE">
      <w:pPr>
        <w:jc w:val="both"/>
        <w:rPr>
          <w:rFonts w:ascii="Arial" w:hAnsi="Arial" w:cs="Arial"/>
          <w:sz w:val="20"/>
          <w:szCs w:val="20"/>
        </w:rPr>
      </w:pPr>
    </w:p>
    <w:p w:rsidR="0038445B" w:rsidRPr="008E14FB" w:rsidRDefault="0038445B" w:rsidP="00872FDE">
      <w:pPr>
        <w:jc w:val="both"/>
        <w:rPr>
          <w:rFonts w:ascii="Arial" w:hAnsi="Arial" w:cs="Arial"/>
          <w:sz w:val="20"/>
          <w:szCs w:val="20"/>
        </w:rPr>
      </w:pPr>
      <w:r w:rsidRPr="008E14FB">
        <w:rPr>
          <w:rFonts w:ascii="Arial" w:hAnsi="Arial" w:cs="Arial"/>
          <w:sz w:val="20"/>
          <w:szCs w:val="20"/>
        </w:rPr>
        <w:t>ACCIÓN DE TUTELA/ No es un medio para elevar quejas aisladas o sin fundamento.</w:t>
      </w:r>
    </w:p>
    <w:p w:rsidR="0038445B" w:rsidRPr="008E14FB" w:rsidRDefault="0038445B" w:rsidP="00872FDE">
      <w:pPr>
        <w:jc w:val="both"/>
        <w:rPr>
          <w:rFonts w:ascii="Arial" w:hAnsi="Arial" w:cs="Arial"/>
          <w:sz w:val="20"/>
          <w:szCs w:val="20"/>
        </w:rPr>
      </w:pPr>
    </w:p>
    <w:p w:rsidR="00EE2C0D" w:rsidRPr="008E14FB" w:rsidRDefault="0038445B" w:rsidP="00872FDE">
      <w:pPr>
        <w:jc w:val="both"/>
        <w:rPr>
          <w:rFonts w:ascii="Arial" w:hAnsi="Arial" w:cs="Arial"/>
          <w:iCs/>
          <w:spacing w:val="-3"/>
          <w:sz w:val="20"/>
          <w:szCs w:val="20"/>
          <w:lang w:val="es-ES_tradnl" w:eastAsia="es-CO"/>
        </w:rPr>
      </w:pPr>
      <w:r w:rsidRPr="008E14FB">
        <w:rPr>
          <w:rFonts w:ascii="Arial" w:hAnsi="Arial" w:cs="Arial"/>
          <w:iCs/>
          <w:sz w:val="20"/>
          <w:lang w:eastAsia="es-CO"/>
        </w:rPr>
        <w:t>“</w:t>
      </w:r>
      <w:r w:rsidRPr="008E14FB">
        <w:rPr>
          <w:rFonts w:ascii="Arial" w:hAnsi="Arial" w:cs="Arial"/>
          <w:iCs/>
          <w:spacing w:val="-3"/>
          <w:sz w:val="20"/>
          <w:szCs w:val="20"/>
          <w:lang w:val="es-ES_tradnl" w:eastAsia="es-CO"/>
        </w:rPr>
        <w:t xml:space="preserve">En lo relativo a la pretensión de adelantar simultáneamente la presente acción frente a la Defensoría del Pueblo de Caldas, hay que precisar, que de los hechos no se advierte </w:t>
      </w:r>
      <w:r w:rsidR="00872FDE" w:rsidRPr="008E14FB">
        <w:rPr>
          <w:rFonts w:ascii="Arial" w:hAnsi="Arial" w:cs="Arial"/>
          <w:iCs/>
          <w:spacing w:val="-3"/>
          <w:sz w:val="20"/>
          <w:szCs w:val="20"/>
          <w:lang w:val="es-ES_tradnl" w:eastAsia="es-CO"/>
        </w:rPr>
        <w:t>conducta que amerite tramitarla (…)”</w:t>
      </w:r>
    </w:p>
    <w:p w:rsidR="00963EB4" w:rsidRPr="008E14FB" w:rsidRDefault="00963EB4" w:rsidP="00963E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963EB4" w:rsidRDefault="00963EB4" w:rsidP="0026008A">
      <w:pPr>
        <w:jc w:val="both"/>
        <w:rPr>
          <w:rFonts w:ascii="Arial" w:hAnsi="Arial" w:cs="Arial"/>
          <w:spacing w:val="-10"/>
          <w:sz w:val="17"/>
          <w:szCs w:val="17"/>
          <w:lang w:val="es-CO"/>
        </w:rPr>
      </w:pPr>
      <w:r w:rsidRPr="008E14FB">
        <w:rPr>
          <w:rFonts w:ascii="Arial" w:hAnsi="Arial" w:cs="Arial"/>
          <w:bCs/>
          <w:iCs/>
          <w:spacing w:val="-10"/>
          <w:sz w:val="17"/>
          <w:szCs w:val="17"/>
          <w:lang w:val="es-CO"/>
        </w:rPr>
        <w:t xml:space="preserve">Citas: </w:t>
      </w:r>
      <w:r w:rsidRPr="008E14FB">
        <w:rPr>
          <w:rFonts w:ascii="Arial" w:hAnsi="Arial" w:cs="Arial"/>
          <w:spacing w:val="-10"/>
          <w:sz w:val="17"/>
          <w:szCs w:val="17"/>
          <w:lang w:val="es-CO"/>
        </w:rPr>
        <w:t xml:space="preserve">Corte Constitucional, sentencias </w:t>
      </w:r>
      <w:r w:rsidR="007817D1" w:rsidRPr="008E14FB">
        <w:rPr>
          <w:rFonts w:ascii="Arial" w:hAnsi="Arial" w:cs="Arial"/>
          <w:spacing w:val="-10"/>
          <w:sz w:val="17"/>
          <w:szCs w:val="17"/>
          <w:lang w:val="es-CO"/>
        </w:rPr>
        <w:t xml:space="preserve">T-231 y </w:t>
      </w:r>
      <w:r w:rsidRPr="008E14FB">
        <w:rPr>
          <w:rFonts w:ascii="Arial" w:hAnsi="Arial" w:cs="Arial"/>
          <w:spacing w:val="-10"/>
          <w:sz w:val="17"/>
          <w:szCs w:val="17"/>
          <w:lang w:val="es-CO"/>
        </w:rPr>
        <w:t xml:space="preserve">T-134 de 1994, </w:t>
      </w:r>
      <w:r w:rsidR="00CF1D9C" w:rsidRPr="008E14FB">
        <w:rPr>
          <w:rFonts w:ascii="Arial" w:hAnsi="Arial" w:cs="Arial"/>
          <w:spacing w:val="-10"/>
          <w:sz w:val="17"/>
          <w:szCs w:val="17"/>
          <w:lang w:val="es-CO"/>
        </w:rPr>
        <w:t xml:space="preserve">T-123 de 1995, </w:t>
      </w:r>
      <w:r w:rsidRPr="008E14FB">
        <w:rPr>
          <w:rFonts w:ascii="Arial" w:hAnsi="Arial" w:cs="Arial"/>
          <w:spacing w:val="-10"/>
          <w:sz w:val="17"/>
          <w:szCs w:val="17"/>
          <w:lang w:val="es-CO"/>
        </w:rPr>
        <w:t>T-567 de 1998,</w:t>
      </w:r>
      <w:r w:rsidRPr="008E14FB">
        <w:rPr>
          <w:rFonts w:ascii="Arial" w:hAnsi="Arial" w:cs="Arial"/>
          <w:i/>
          <w:spacing w:val="-10"/>
          <w:sz w:val="17"/>
          <w:szCs w:val="17"/>
          <w:lang w:val="es-CO"/>
        </w:rPr>
        <w:t xml:space="preserve"> </w:t>
      </w:r>
      <w:r w:rsidRPr="008E14FB">
        <w:rPr>
          <w:rFonts w:ascii="Arial" w:hAnsi="Arial" w:cs="Arial"/>
          <w:spacing w:val="-10"/>
          <w:sz w:val="17"/>
          <w:szCs w:val="17"/>
          <w:lang w:val="es-CO"/>
        </w:rPr>
        <w:t xml:space="preserve">C-590 de 2005, </w:t>
      </w:r>
      <w:r w:rsidR="007817D1" w:rsidRPr="008E14FB">
        <w:rPr>
          <w:rFonts w:ascii="Arial" w:hAnsi="Arial" w:cs="Arial"/>
          <w:spacing w:val="-10"/>
          <w:sz w:val="17"/>
          <w:szCs w:val="17"/>
          <w:lang w:val="es-CO"/>
        </w:rPr>
        <w:t>T-211 y</w:t>
      </w:r>
      <w:r w:rsidR="00073222" w:rsidRPr="008E14FB">
        <w:rPr>
          <w:rFonts w:ascii="Arial" w:hAnsi="Arial" w:cs="Arial"/>
          <w:spacing w:val="-10"/>
          <w:sz w:val="17"/>
          <w:szCs w:val="17"/>
          <w:lang w:val="es-CO"/>
        </w:rPr>
        <w:t xml:space="preserve"> </w:t>
      </w:r>
      <w:r w:rsidR="009A0631" w:rsidRPr="008E14FB">
        <w:rPr>
          <w:rFonts w:ascii="Arial" w:hAnsi="Arial" w:cs="Arial"/>
          <w:spacing w:val="-10"/>
          <w:sz w:val="17"/>
          <w:szCs w:val="17"/>
          <w:lang w:val="es-CO"/>
        </w:rPr>
        <w:t xml:space="preserve">T-766 de 2008, T-161 de 2010, </w:t>
      </w:r>
      <w:r w:rsidR="008E14FB" w:rsidRPr="008E14FB">
        <w:rPr>
          <w:rFonts w:ascii="Arial" w:hAnsi="Arial" w:cs="Arial"/>
          <w:spacing w:val="-10"/>
          <w:sz w:val="17"/>
          <w:szCs w:val="17"/>
          <w:lang w:val="es-CO"/>
        </w:rPr>
        <w:t xml:space="preserve">T-082, </w:t>
      </w:r>
      <w:r w:rsidR="007C050F" w:rsidRPr="008E14FB">
        <w:rPr>
          <w:rFonts w:ascii="Arial" w:hAnsi="Arial" w:cs="Arial"/>
          <w:spacing w:val="-10"/>
          <w:sz w:val="17"/>
          <w:szCs w:val="17"/>
          <w:lang w:val="es-CO"/>
        </w:rPr>
        <w:t xml:space="preserve">T-794 </w:t>
      </w:r>
      <w:r w:rsidRPr="008E14FB">
        <w:rPr>
          <w:rFonts w:ascii="Arial" w:hAnsi="Arial" w:cs="Arial"/>
          <w:sz w:val="17"/>
          <w:szCs w:val="17"/>
        </w:rPr>
        <w:t xml:space="preserve">y </w:t>
      </w:r>
      <w:r w:rsidRPr="008E14FB">
        <w:rPr>
          <w:rFonts w:ascii="Arial" w:hAnsi="Arial" w:cs="Arial"/>
          <w:spacing w:val="-10"/>
          <w:sz w:val="17"/>
          <w:szCs w:val="17"/>
          <w:lang w:val="es-CO"/>
        </w:rPr>
        <w:t>T-917 de 2011</w:t>
      </w:r>
      <w:r w:rsidR="008E14FB" w:rsidRPr="008E14FB">
        <w:rPr>
          <w:rFonts w:ascii="Arial" w:hAnsi="Arial" w:cs="Arial"/>
          <w:spacing w:val="-10"/>
          <w:sz w:val="17"/>
          <w:szCs w:val="17"/>
          <w:lang w:val="es-CO"/>
        </w:rPr>
        <w:t>,</w:t>
      </w:r>
      <w:r w:rsidR="00B23DA0" w:rsidRPr="008E14FB">
        <w:rPr>
          <w:rFonts w:ascii="Arial" w:hAnsi="Arial" w:cs="Arial"/>
          <w:spacing w:val="-10"/>
          <w:sz w:val="17"/>
          <w:szCs w:val="17"/>
          <w:lang w:val="es-CO"/>
        </w:rPr>
        <w:t xml:space="preserve"> T-831 de 2012</w:t>
      </w:r>
      <w:r w:rsidRPr="008E14FB">
        <w:rPr>
          <w:rFonts w:ascii="Arial" w:hAnsi="Arial" w:cs="Arial"/>
          <w:i/>
          <w:spacing w:val="-10"/>
          <w:sz w:val="17"/>
          <w:szCs w:val="17"/>
          <w:lang w:val="es-CO"/>
        </w:rPr>
        <w:t xml:space="preserve"> </w:t>
      </w:r>
      <w:r w:rsidRPr="008E14FB">
        <w:rPr>
          <w:rFonts w:ascii="Arial" w:hAnsi="Arial" w:cs="Arial"/>
          <w:spacing w:val="-10"/>
          <w:sz w:val="17"/>
          <w:szCs w:val="17"/>
          <w:lang w:val="es-CO"/>
        </w:rPr>
        <w:t>T-662 de 2013,</w:t>
      </w:r>
      <w:r w:rsidRPr="008E14FB">
        <w:rPr>
          <w:rFonts w:ascii="Arial" w:hAnsi="Arial" w:cs="Arial"/>
          <w:i/>
          <w:spacing w:val="-10"/>
          <w:sz w:val="17"/>
          <w:szCs w:val="17"/>
          <w:lang w:val="es-CO"/>
        </w:rPr>
        <w:t xml:space="preserve"> </w:t>
      </w:r>
      <w:r w:rsidRPr="008E14FB">
        <w:rPr>
          <w:rFonts w:ascii="Arial" w:hAnsi="Arial" w:cs="Arial"/>
          <w:spacing w:val="-10"/>
          <w:sz w:val="17"/>
          <w:szCs w:val="17"/>
          <w:lang w:val="es-CO"/>
        </w:rPr>
        <w:t>T-103 de 2014,</w:t>
      </w:r>
      <w:r w:rsidRPr="008E14FB">
        <w:rPr>
          <w:rFonts w:ascii="Arial" w:hAnsi="Arial" w:cs="Arial"/>
          <w:i/>
          <w:spacing w:val="-10"/>
          <w:sz w:val="17"/>
          <w:szCs w:val="17"/>
          <w:lang w:val="es-CO"/>
        </w:rPr>
        <w:t xml:space="preserve"> </w:t>
      </w:r>
      <w:r w:rsidRPr="008E14FB">
        <w:rPr>
          <w:rFonts w:ascii="Arial" w:hAnsi="Arial" w:cs="Arial"/>
          <w:spacing w:val="-10"/>
          <w:sz w:val="17"/>
          <w:szCs w:val="17"/>
          <w:lang w:val="es-CO"/>
        </w:rPr>
        <w:t xml:space="preserve">T-064 </w:t>
      </w:r>
      <w:r w:rsidR="002408F6" w:rsidRPr="008E14FB">
        <w:rPr>
          <w:rFonts w:ascii="Arial" w:hAnsi="Arial" w:cs="Arial"/>
          <w:spacing w:val="-10"/>
          <w:sz w:val="17"/>
          <w:szCs w:val="17"/>
          <w:lang w:val="es-CO"/>
        </w:rPr>
        <w:t xml:space="preserve">,T-390 </w:t>
      </w:r>
      <w:r w:rsidRPr="008E14FB">
        <w:rPr>
          <w:rFonts w:ascii="Arial" w:hAnsi="Arial" w:cs="Arial"/>
          <w:spacing w:val="-10"/>
          <w:sz w:val="17"/>
          <w:szCs w:val="17"/>
          <w:lang w:val="es-CO"/>
        </w:rPr>
        <w:t>y T-307 de 2015; Corte Suprema de Justicia. Sala Civil, providencias del 2 de septiembre de 2014 –rad. 23001-22-14-000-2014-00097-01-, del 21 de mayo 2015 -rad. 6600122-13-000-2015-00081-01-</w:t>
      </w:r>
      <w:r w:rsidR="00010913" w:rsidRPr="008E14FB">
        <w:rPr>
          <w:rFonts w:ascii="Arial" w:hAnsi="Arial" w:cs="Arial"/>
          <w:spacing w:val="-10"/>
          <w:sz w:val="17"/>
          <w:szCs w:val="17"/>
          <w:lang w:val="es-CO"/>
        </w:rPr>
        <w:t>, del 8 de octubre de 2015 –</w:t>
      </w:r>
      <w:r w:rsidR="00165BFF" w:rsidRPr="008E14FB">
        <w:rPr>
          <w:rFonts w:ascii="Arial" w:hAnsi="Arial" w:cs="Arial"/>
          <w:spacing w:val="-10"/>
          <w:sz w:val="17"/>
          <w:szCs w:val="17"/>
          <w:lang w:val="es-CO"/>
        </w:rPr>
        <w:t>r</w:t>
      </w:r>
      <w:r w:rsidR="00010913" w:rsidRPr="008E14FB">
        <w:rPr>
          <w:rFonts w:ascii="Arial" w:hAnsi="Arial" w:cs="Arial"/>
          <w:spacing w:val="-10"/>
          <w:sz w:val="17"/>
          <w:szCs w:val="17"/>
          <w:lang w:val="es-CO"/>
        </w:rPr>
        <w:t>ad. 66001-22-13-000-2015-00470-01</w:t>
      </w:r>
      <w:r w:rsidRPr="008E14FB">
        <w:rPr>
          <w:rFonts w:ascii="Arial" w:hAnsi="Arial" w:cs="Arial"/>
          <w:spacing w:val="-10"/>
          <w:sz w:val="17"/>
          <w:szCs w:val="17"/>
          <w:lang w:val="es-CO"/>
        </w:rPr>
        <w:t xml:space="preserve"> y del 26 de noviembre de 2015 -rad. 66001-22-13-000-2015-00749-01-;</w:t>
      </w:r>
      <w:r w:rsidR="0026008A" w:rsidRPr="008E14FB">
        <w:rPr>
          <w:rFonts w:ascii="Arial" w:hAnsi="Arial" w:cs="Arial"/>
          <w:spacing w:val="-10"/>
          <w:sz w:val="17"/>
          <w:szCs w:val="17"/>
          <w:lang w:val="es-CO"/>
        </w:rPr>
        <w:t xml:space="preserve"> Tribunal Superior de Pereira, Sala Civil – Familia, providencias del 7 de noviembre de 2014 -rad. 2014-00232-</w:t>
      </w:r>
      <w:r w:rsidR="007F5814" w:rsidRPr="008E14FB">
        <w:rPr>
          <w:rFonts w:ascii="Arial" w:hAnsi="Arial" w:cs="Arial"/>
          <w:spacing w:val="-10"/>
          <w:sz w:val="17"/>
          <w:szCs w:val="17"/>
          <w:lang w:val="es-CO"/>
        </w:rPr>
        <w:t xml:space="preserve"> y del </w:t>
      </w:r>
      <w:r w:rsidR="0026008A" w:rsidRPr="008E14FB">
        <w:rPr>
          <w:rFonts w:ascii="Arial" w:hAnsi="Arial" w:cs="Arial"/>
          <w:spacing w:val="-10"/>
          <w:sz w:val="17"/>
          <w:szCs w:val="17"/>
          <w:lang w:val="es-CO"/>
        </w:rPr>
        <w:t>14</w:t>
      </w:r>
      <w:r w:rsidR="007F5814" w:rsidRPr="008E14FB">
        <w:rPr>
          <w:rFonts w:ascii="Arial" w:hAnsi="Arial" w:cs="Arial"/>
          <w:spacing w:val="-10"/>
          <w:sz w:val="17"/>
          <w:szCs w:val="17"/>
          <w:lang w:val="es-CO"/>
        </w:rPr>
        <w:t xml:space="preserve"> de diciembre de </w:t>
      </w:r>
      <w:r w:rsidR="0026008A" w:rsidRPr="008E14FB">
        <w:rPr>
          <w:rFonts w:ascii="Arial" w:hAnsi="Arial" w:cs="Arial"/>
          <w:spacing w:val="-10"/>
          <w:sz w:val="17"/>
          <w:szCs w:val="17"/>
          <w:lang w:val="es-CO"/>
        </w:rPr>
        <w:t>2015</w:t>
      </w:r>
      <w:r w:rsidR="007F5814" w:rsidRPr="008E14FB">
        <w:rPr>
          <w:rFonts w:ascii="Arial" w:hAnsi="Arial" w:cs="Arial"/>
          <w:spacing w:val="-10"/>
          <w:sz w:val="17"/>
          <w:szCs w:val="17"/>
          <w:lang w:val="es-CO"/>
        </w:rPr>
        <w:t xml:space="preserve"> -rad. 2015-00060-;</w:t>
      </w:r>
      <w:r w:rsidRPr="008E14FB">
        <w:rPr>
          <w:rFonts w:ascii="Arial" w:hAnsi="Arial" w:cs="Arial"/>
          <w:spacing w:val="-10"/>
          <w:sz w:val="17"/>
          <w:szCs w:val="17"/>
          <w:lang w:val="es-CO"/>
        </w:rPr>
        <w:t xml:space="preserve"> doctrina: BOTERO MARINO, Catalina. “La acción de tutela en el ordenamiento constitucional colombiano”, Escuela Judicial Rodrigo Lara Bonilla, Ediprime Ltda., Bogotá D.C., 2006</w:t>
      </w:r>
      <w:r w:rsidR="00A47A2A" w:rsidRPr="008E14FB">
        <w:rPr>
          <w:rFonts w:ascii="Arial" w:hAnsi="Arial" w:cs="Arial"/>
          <w:spacing w:val="-10"/>
          <w:sz w:val="17"/>
          <w:szCs w:val="17"/>
          <w:lang w:val="es-CO"/>
        </w:rPr>
        <w:t>. LÓPEZ MEDINA, Diego Eduardo. “El derecho de los jueces”, 8ª reimpresión de la 2</w:t>
      </w:r>
      <w:r w:rsidR="008E14FB">
        <w:rPr>
          <w:rFonts w:ascii="Arial" w:hAnsi="Arial" w:cs="Arial"/>
          <w:spacing w:val="-10"/>
          <w:sz w:val="17"/>
          <w:szCs w:val="17"/>
          <w:lang w:val="es-CO"/>
        </w:rPr>
        <w:t xml:space="preserve">ª edición, editorial Legis, </w:t>
      </w:r>
      <w:bookmarkStart w:id="0" w:name="_GoBack"/>
      <w:bookmarkEnd w:id="0"/>
      <w:r w:rsidR="00A47A2A" w:rsidRPr="008E14FB">
        <w:rPr>
          <w:rFonts w:ascii="Arial" w:hAnsi="Arial" w:cs="Arial"/>
          <w:spacing w:val="-10"/>
          <w:sz w:val="17"/>
          <w:szCs w:val="17"/>
          <w:lang w:val="es-CO"/>
        </w:rPr>
        <w:t>Bogotá D.C. 2009.</w:t>
      </w:r>
      <w:r w:rsidRPr="008E14FB">
        <w:rPr>
          <w:rFonts w:ascii="Arial" w:hAnsi="Arial" w:cs="Arial"/>
          <w:i/>
          <w:spacing w:val="-10"/>
          <w:sz w:val="17"/>
          <w:szCs w:val="17"/>
          <w:lang w:val="es-CO"/>
        </w:rPr>
        <w:t xml:space="preserve"> </w:t>
      </w:r>
      <w:r w:rsidRPr="008E14FB">
        <w:rPr>
          <w:rFonts w:ascii="Arial" w:hAnsi="Arial" w:cs="Arial"/>
          <w:spacing w:val="-10"/>
          <w:sz w:val="17"/>
          <w:szCs w:val="17"/>
          <w:lang w:val="es-CO"/>
        </w:rPr>
        <w:t xml:space="preserve">QUINCHE </w:t>
      </w:r>
      <w:r w:rsidRPr="00B209BF">
        <w:rPr>
          <w:rFonts w:ascii="Arial" w:hAnsi="Arial" w:cs="Arial"/>
          <w:spacing w:val="-10"/>
          <w:sz w:val="17"/>
          <w:szCs w:val="17"/>
          <w:lang w:val="es-CO"/>
        </w:rPr>
        <w:t>RAMÍREZ, Manuel Fernando. “Vías de hecho, acción de tutela contra providencias”, Editorial Temis S.A., Bogotá D.C., 2013.</w:t>
      </w:r>
    </w:p>
    <w:p w:rsidR="00963EB4" w:rsidRDefault="00963EB4" w:rsidP="00872FDE">
      <w:pPr>
        <w:pStyle w:val="Sinespaciado"/>
        <w:tabs>
          <w:tab w:val="left" w:pos="3579"/>
        </w:tabs>
        <w:spacing w:line="360" w:lineRule="auto"/>
        <w:rPr>
          <w:rFonts w:ascii="Arial" w:hAnsi="Arial" w:cs="Arial"/>
          <w:w w:val="140"/>
          <w:sz w:val="14"/>
        </w:rPr>
      </w:pPr>
    </w:p>
    <w:p w:rsidR="00963EB4" w:rsidRDefault="00963EB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E2C08">
        <w:rPr>
          <w:rFonts w:ascii="Arial" w:hAnsi="Arial" w:cs="Arial"/>
          <w:sz w:val="22"/>
        </w:rPr>
        <w:t xml:space="preserve">4º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2016-00031</w:t>
      </w:r>
      <w:r w:rsidR="007949D4">
        <w:rPr>
          <w:rFonts w:ascii="Arial" w:hAnsi="Arial" w:cs="Arial"/>
          <w:sz w:val="22"/>
        </w:rPr>
        <w:t xml:space="preserve">-00 </w:t>
      </w:r>
      <w:r w:rsidRPr="00A00766">
        <w:rPr>
          <w:rFonts w:ascii="Arial" w:hAnsi="Arial" w:cs="Arial"/>
          <w:sz w:val="22"/>
        </w:rPr>
        <w:t>(Interno No.</w:t>
      </w:r>
      <w:r w:rsidR="00152300">
        <w:rPr>
          <w:rFonts w:ascii="Arial" w:hAnsi="Arial" w:cs="Arial"/>
          <w:sz w:val="22"/>
        </w:rPr>
        <w:t>31</w:t>
      </w:r>
      <w:r w:rsidRPr="00A00766">
        <w:rPr>
          <w:rFonts w:ascii="Arial" w:hAnsi="Arial" w:cs="Arial"/>
          <w:sz w:val="22"/>
        </w:rPr>
        <w:t xml:space="preserve">) </w:t>
      </w:r>
      <w:r w:rsidR="00152300">
        <w:rPr>
          <w:rFonts w:ascii="Arial" w:hAnsi="Arial" w:cs="Arial"/>
          <w:sz w:val="22"/>
        </w:rPr>
        <w:t>y otras 8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4E2C08">
        <w:rPr>
          <w:rFonts w:ascii="Arial" w:hAnsi="Arial" w:cs="Arial"/>
          <w:sz w:val="22"/>
          <w:szCs w:val="22"/>
        </w:rPr>
        <w:t>-</w:t>
      </w:r>
      <w:r w:rsidR="004B019A">
        <w:rPr>
          <w:rFonts w:ascii="Arial" w:hAnsi="Arial" w:cs="Arial"/>
          <w:sz w:val="22"/>
          <w:szCs w:val="22"/>
        </w:rPr>
        <w:t xml:space="preserve"> Subsidiari</w:t>
      </w:r>
      <w:r w:rsidR="007D395F">
        <w:rPr>
          <w:rFonts w:ascii="Arial" w:hAnsi="Arial" w:cs="Arial"/>
          <w:sz w:val="22"/>
          <w:szCs w:val="22"/>
        </w:rPr>
        <w:t>e</w:t>
      </w:r>
      <w:r w:rsidR="004B019A">
        <w:rPr>
          <w:rFonts w:ascii="Arial" w:hAnsi="Arial" w:cs="Arial"/>
          <w:sz w:val="22"/>
          <w:szCs w:val="22"/>
        </w:rPr>
        <w:t>dad</w:t>
      </w:r>
      <w:r w:rsidR="004E2C08">
        <w:rPr>
          <w:rFonts w:ascii="Arial" w:hAnsi="Arial" w:cs="Arial"/>
          <w:sz w:val="22"/>
          <w:szCs w:val="22"/>
        </w:rPr>
        <w:t xml:space="preserve"> - Defecto sustantivo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lastRenderedPageBreak/>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86788">
        <w:rPr>
          <w:rFonts w:ascii="Arial" w:hAnsi="Arial"/>
          <w:sz w:val="22"/>
          <w:szCs w:val="22"/>
        </w:rPr>
        <w:t>56 de 10-02-2016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686788">
        <w:rPr>
          <w:rFonts w:ascii="Arial" w:hAnsi="Arial" w:cs="Arial"/>
          <w:iCs/>
          <w:smallCaps/>
          <w:szCs w:val="28"/>
          <w:lang w:val="es-CO"/>
        </w:rPr>
        <w:t>diez</w:t>
      </w:r>
      <w:r w:rsidR="0037396E">
        <w:rPr>
          <w:rFonts w:ascii="Arial" w:hAnsi="Arial" w:cs="Arial"/>
          <w:iCs/>
          <w:smallCaps/>
          <w:szCs w:val="28"/>
          <w:lang w:val="es-CO"/>
        </w:rPr>
        <w:t xml:space="preserve"> </w:t>
      </w:r>
      <w:r w:rsidR="00437198">
        <w:rPr>
          <w:rFonts w:ascii="Arial" w:hAnsi="Arial" w:cs="Arial"/>
          <w:iCs/>
          <w:smallCaps/>
          <w:szCs w:val="28"/>
          <w:lang w:val="es-CO"/>
        </w:rPr>
        <w:t>(</w:t>
      </w:r>
      <w:r w:rsidR="00686788">
        <w:rPr>
          <w:rFonts w:ascii="Arial" w:hAnsi="Arial" w:cs="Arial"/>
          <w:iCs/>
          <w:smallCaps/>
          <w:szCs w:val="28"/>
          <w:lang w:val="es-CO"/>
        </w:rPr>
        <w:t>10</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tbl>
      <w:tblPr>
        <w:tblW w:w="9674" w:type="dxa"/>
        <w:tblInd w:w="-50" w:type="dxa"/>
        <w:tblCellMar>
          <w:left w:w="70" w:type="dxa"/>
          <w:right w:w="70" w:type="dxa"/>
        </w:tblCellMar>
        <w:tblLook w:val="04A0" w:firstRow="1" w:lastRow="0" w:firstColumn="1" w:lastColumn="0" w:noHBand="0" w:noVBand="1"/>
      </w:tblPr>
      <w:tblGrid>
        <w:gridCol w:w="364"/>
        <w:gridCol w:w="1536"/>
        <w:gridCol w:w="364"/>
        <w:gridCol w:w="1538"/>
        <w:gridCol w:w="364"/>
        <w:gridCol w:w="1595"/>
        <w:gridCol w:w="364"/>
        <w:gridCol w:w="1576"/>
        <w:gridCol w:w="364"/>
        <w:gridCol w:w="1609"/>
      </w:tblGrid>
      <w:tr w:rsidR="00152300" w:rsidRPr="007A1EBA" w:rsidTr="004603C3">
        <w:trPr>
          <w:trHeight w:val="300"/>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300" w:rsidRPr="007A1EBA" w:rsidRDefault="00152300" w:rsidP="004603C3">
            <w:pPr>
              <w:jc w:val="center"/>
              <w:rPr>
                <w:rFonts w:ascii="Calibri" w:hAnsi="Calibri"/>
                <w:color w:val="000000"/>
                <w:sz w:val="22"/>
                <w:szCs w:val="22"/>
              </w:rPr>
            </w:pPr>
            <w:r w:rsidRPr="007A1EBA">
              <w:rPr>
                <w:rFonts w:ascii="Calibri" w:hAnsi="Calibri"/>
                <w:color w:val="000000"/>
                <w:sz w:val="22"/>
                <w:szCs w:val="22"/>
              </w:rPr>
              <w:t>Acciones de tutela radicadas</w:t>
            </w:r>
          </w:p>
        </w:tc>
      </w:tr>
      <w:tr w:rsidR="00152300" w:rsidRPr="007A1EBA" w:rsidTr="004603C3">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1</w:t>
            </w:r>
          </w:p>
        </w:tc>
        <w:tc>
          <w:tcPr>
            <w:tcW w:w="153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2016-00031-00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2</w:t>
            </w:r>
          </w:p>
        </w:tc>
        <w:tc>
          <w:tcPr>
            <w:tcW w:w="1538"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2016-00043-00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2016-00047-00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4</w:t>
            </w:r>
          </w:p>
        </w:tc>
        <w:tc>
          <w:tcPr>
            <w:tcW w:w="157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2016-00051-</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5</w:t>
            </w:r>
          </w:p>
        </w:tc>
        <w:tc>
          <w:tcPr>
            <w:tcW w:w="1609"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2016-00057-00</w:t>
            </w:r>
          </w:p>
        </w:tc>
      </w:tr>
      <w:tr w:rsidR="00152300" w:rsidRPr="007A1EBA" w:rsidTr="004603C3">
        <w:trPr>
          <w:gridAfter w:val="2"/>
          <w:wAfter w:w="1973" w:type="dxa"/>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6</w:t>
            </w:r>
          </w:p>
        </w:tc>
        <w:tc>
          <w:tcPr>
            <w:tcW w:w="153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2016-00060-00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7</w:t>
            </w:r>
          </w:p>
        </w:tc>
        <w:tc>
          <w:tcPr>
            <w:tcW w:w="1538"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2016-00065-00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2016-00068-00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9</w:t>
            </w:r>
          </w:p>
        </w:tc>
        <w:tc>
          <w:tcPr>
            <w:tcW w:w="157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603C3">
            <w:pPr>
              <w:rPr>
                <w:rFonts w:ascii="Calibri" w:hAnsi="Calibri"/>
                <w:color w:val="000000"/>
                <w:sz w:val="22"/>
                <w:szCs w:val="22"/>
              </w:rPr>
            </w:pPr>
            <w:r>
              <w:rPr>
                <w:rFonts w:ascii="Calibri" w:hAnsi="Calibri"/>
                <w:color w:val="000000"/>
                <w:sz w:val="22"/>
                <w:szCs w:val="22"/>
              </w:rPr>
              <w:t>2016-00074-00</w:t>
            </w:r>
          </w:p>
        </w:tc>
      </w:tr>
    </w:tbl>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que enseguida se detallan, que fueron </w:t>
      </w:r>
      <w:r>
        <w:rPr>
          <w:rFonts w:ascii="Arial" w:hAnsi="Arial" w:cs="Arial"/>
        </w:rPr>
        <w:t>rechazadas</w:t>
      </w:r>
      <w:r w:rsidR="00152300">
        <w:rPr>
          <w:rFonts w:ascii="Arial" w:hAnsi="Arial" w:cs="Arial"/>
        </w:rPr>
        <w:t xml:space="preserve">, por razones que no comparte, </w:t>
      </w:r>
      <w:r w:rsidR="004E2C08">
        <w:rPr>
          <w:rFonts w:ascii="Arial" w:hAnsi="Arial" w:cs="Arial"/>
        </w:rPr>
        <w:t>dice que no repusieron ni le concedieron la alzada</w:t>
      </w:r>
      <w:r w:rsidR="00152300">
        <w:rPr>
          <w:rFonts w:ascii="Arial" w:hAnsi="Arial" w:cs="Arial"/>
        </w:rPr>
        <w:t xml:space="preserve">. Refirió que </w:t>
      </w:r>
      <w:r w:rsidR="004E2C08">
        <w:rPr>
          <w:rFonts w:ascii="Arial" w:hAnsi="Arial" w:cs="Arial"/>
        </w:rPr>
        <w:t>ese actuar del juzgado contraviene</w:t>
      </w:r>
      <w:r w:rsidR="00152300">
        <w:rPr>
          <w:rFonts w:ascii="Arial" w:hAnsi="Arial" w:cs="Arial"/>
        </w:rPr>
        <w:t xml:space="preserve"> el artículo </w:t>
      </w:r>
      <w:r>
        <w:rPr>
          <w:rFonts w:ascii="Arial" w:hAnsi="Arial" w:cs="Arial"/>
        </w:rPr>
        <w:t>16</w:t>
      </w:r>
      <w:r w:rsidR="00152300">
        <w:rPr>
          <w:rFonts w:ascii="Arial" w:hAnsi="Arial" w:cs="Arial"/>
        </w:rPr>
        <w:t xml:space="preserve"> 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tbl>
      <w:tblPr>
        <w:tblW w:w="9826" w:type="dxa"/>
        <w:tblInd w:w="-187" w:type="dxa"/>
        <w:tblCellMar>
          <w:left w:w="70" w:type="dxa"/>
          <w:right w:w="70" w:type="dxa"/>
        </w:tblCellMar>
        <w:tblLook w:val="04A0" w:firstRow="1" w:lastRow="0" w:firstColumn="1" w:lastColumn="0" w:noHBand="0" w:noVBand="1"/>
      </w:tblPr>
      <w:tblGrid>
        <w:gridCol w:w="477"/>
        <w:gridCol w:w="1546"/>
        <w:gridCol w:w="364"/>
        <w:gridCol w:w="1540"/>
        <w:gridCol w:w="364"/>
        <w:gridCol w:w="1595"/>
        <w:gridCol w:w="364"/>
        <w:gridCol w:w="1580"/>
        <w:gridCol w:w="364"/>
        <w:gridCol w:w="1632"/>
      </w:tblGrid>
      <w:tr w:rsidR="00CD73B4" w:rsidRPr="007A1EBA" w:rsidTr="004603C3">
        <w:trPr>
          <w:trHeight w:val="300"/>
        </w:trPr>
        <w:tc>
          <w:tcPr>
            <w:tcW w:w="98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B4" w:rsidRPr="007A1EBA" w:rsidRDefault="00CD73B4" w:rsidP="004603C3">
            <w:pPr>
              <w:jc w:val="center"/>
              <w:rPr>
                <w:rFonts w:ascii="Calibri" w:hAnsi="Calibri"/>
                <w:color w:val="000000"/>
                <w:sz w:val="22"/>
                <w:szCs w:val="22"/>
              </w:rPr>
            </w:pPr>
            <w:r w:rsidRPr="007A1EBA">
              <w:rPr>
                <w:rFonts w:ascii="Calibri" w:hAnsi="Calibri"/>
                <w:color w:val="000000"/>
                <w:sz w:val="22"/>
                <w:szCs w:val="22"/>
              </w:rPr>
              <w:t>Acciones populares radicadas</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Pr>
                <w:rFonts w:ascii="Calibri" w:hAnsi="Calibri"/>
                <w:color w:val="000000"/>
                <w:sz w:val="22"/>
                <w:szCs w:val="22"/>
              </w:rPr>
              <w:t>2015-00937-00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Pr>
                <w:rFonts w:ascii="Calibri" w:hAnsi="Calibri"/>
                <w:color w:val="000000"/>
                <w:sz w:val="22"/>
                <w:szCs w:val="22"/>
              </w:rPr>
              <w:t>2015-00950-00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Pr>
                <w:rFonts w:ascii="Calibri" w:hAnsi="Calibri"/>
                <w:color w:val="000000"/>
                <w:sz w:val="22"/>
                <w:szCs w:val="22"/>
              </w:rPr>
              <w:t>2015-00942-00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4</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Pr>
                <w:rFonts w:ascii="Calibri" w:hAnsi="Calibri"/>
                <w:color w:val="000000"/>
                <w:sz w:val="22"/>
                <w:szCs w:val="22"/>
              </w:rPr>
              <w:t>2015-00925-00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5</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770</w:t>
            </w:r>
            <w:r w:rsidRPr="007A1EBA">
              <w:rPr>
                <w:rFonts w:ascii="Calibri" w:hAnsi="Calibri"/>
                <w:color w:val="000000"/>
                <w:sz w:val="22"/>
                <w:szCs w:val="22"/>
              </w:rPr>
              <w:t>-00</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6</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760</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7</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936</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w:t>
            </w:r>
            <w:r>
              <w:rPr>
                <w:rFonts w:ascii="Calibri" w:hAnsi="Calibri"/>
                <w:color w:val="000000"/>
                <w:sz w:val="22"/>
                <w:szCs w:val="22"/>
              </w:rPr>
              <w:t>1008</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9</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924</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10</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489</w:t>
            </w:r>
            <w:r w:rsidRPr="007A1EBA">
              <w:rPr>
                <w:rFonts w:ascii="Calibri" w:hAnsi="Calibri"/>
                <w:color w:val="000000"/>
                <w:sz w:val="22"/>
                <w:szCs w:val="22"/>
              </w:rPr>
              <w:t>-00</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11</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994</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12</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959</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13</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978</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14</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997</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15</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Pr>
                <w:rFonts w:ascii="Calibri" w:hAnsi="Calibri"/>
                <w:color w:val="000000"/>
                <w:sz w:val="22"/>
                <w:szCs w:val="22"/>
              </w:rPr>
              <w:t>2015-01007</w:t>
            </w:r>
            <w:r w:rsidRPr="007A1EBA">
              <w:rPr>
                <w:rFonts w:ascii="Calibri" w:hAnsi="Calibri"/>
                <w:color w:val="000000"/>
                <w:sz w:val="22"/>
                <w:szCs w:val="22"/>
              </w:rPr>
              <w:t>-00</w:t>
            </w:r>
          </w:p>
        </w:tc>
      </w:tr>
      <w:tr w:rsidR="00CD73B4" w:rsidRPr="007A1EBA" w:rsidTr="004603C3">
        <w:trPr>
          <w:gridAfter w:val="4"/>
          <w:wAfter w:w="3940" w:type="dxa"/>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16</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982</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17</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954</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18</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4603C3">
            <w:pPr>
              <w:rPr>
                <w:rFonts w:ascii="Calibri" w:hAnsi="Calibri"/>
                <w:color w:val="000000"/>
                <w:sz w:val="22"/>
                <w:szCs w:val="22"/>
              </w:rPr>
            </w:pPr>
            <w:r w:rsidRPr="007A1EBA">
              <w:rPr>
                <w:rFonts w:ascii="Calibri" w:hAnsi="Calibri"/>
                <w:color w:val="000000"/>
                <w:sz w:val="22"/>
                <w:szCs w:val="22"/>
              </w:rPr>
              <w:t>2015-00</w:t>
            </w:r>
            <w:r>
              <w:rPr>
                <w:rFonts w:ascii="Calibri" w:hAnsi="Calibri"/>
                <w:color w:val="000000"/>
                <w:sz w:val="22"/>
                <w:szCs w:val="22"/>
              </w:rPr>
              <w:t>967</w:t>
            </w:r>
            <w:r w:rsidRPr="007A1EBA">
              <w:rPr>
                <w:rFonts w:ascii="Calibri" w:hAnsi="Calibri"/>
                <w:color w:val="000000"/>
                <w:sz w:val="22"/>
                <w:szCs w:val="22"/>
              </w:rPr>
              <w:t>-00</w:t>
            </w:r>
          </w:p>
        </w:tc>
      </w:tr>
    </w:tbl>
    <w:p w:rsidR="00CD73B4" w:rsidRDefault="00CD73B4"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B1245A">
        <w:rPr>
          <w:rFonts w:ascii="Arial" w:hAnsi="Arial" w:cs="Arial"/>
          <w:szCs w:val="24"/>
        </w:rPr>
        <w:t>,</w:t>
      </w:r>
      <w:r w:rsidR="00AD2BA8">
        <w:rPr>
          <w:rFonts w:ascii="Arial" w:hAnsi="Arial" w:cs="Arial"/>
          <w:szCs w:val="24"/>
        </w:rPr>
        <w:t xml:space="preserve"> </w:t>
      </w:r>
      <w:r w:rsidR="00452E1F">
        <w:rPr>
          <w:rFonts w:ascii="Arial" w:hAnsi="Arial" w:cs="Arial"/>
          <w:szCs w:val="24"/>
        </w:rPr>
        <w:t>conceder las apelaciones formuladas</w:t>
      </w:r>
      <w:r w:rsidR="00CD73B4">
        <w:rPr>
          <w:rFonts w:ascii="Arial" w:hAnsi="Arial" w:cs="Arial"/>
          <w:szCs w:val="24"/>
        </w:rPr>
        <w:t xml:space="preserve"> y/o adelantar el trámite de las 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w:t>
      </w:r>
      <w:r w:rsidR="004E2C08">
        <w:rPr>
          <w:rFonts w:ascii="Arial" w:hAnsi="Arial" w:cs="Arial"/>
          <w:szCs w:val="24"/>
        </w:rPr>
        <w:t>,</w:t>
      </w:r>
      <w:r w:rsidR="00CD73B4">
        <w:rPr>
          <w:rFonts w:ascii="Arial" w:hAnsi="Arial" w:cs="Arial"/>
          <w:szCs w:val="24"/>
        </w:rPr>
        <w:t xml:space="preserve"> </w:t>
      </w:r>
      <w:r w:rsidR="008E6CF4">
        <w:rPr>
          <w:rFonts w:ascii="Arial" w:hAnsi="Arial" w:cs="Arial"/>
          <w:szCs w:val="24"/>
        </w:rPr>
        <w:t>simultáneamente</w:t>
      </w:r>
      <w:r w:rsidR="004E2C08">
        <w:rPr>
          <w:rFonts w:ascii="Arial" w:hAnsi="Arial" w:cs="Arial"/>
          <w:szCs w:val="24"/>
        </w:rPr>
        <w:t>,</w:t>
      </w:r>
      <w:r w:rsidR="008E6CF4">
        <w:rPr>
          <w:rFonts w:ascii="Arial" w:hAnsi="Arial" w:cs="Arial"/>
          <w:szCs w:val="24"/>
        </w:rPr>
        <w:t xml:space="preserv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Pr>
          <w:rFonts w:ascii="Arial" w:hAnsi="Arial"/>
        </w:rPr>
        <w:t>28-01-2016 correspondieron</w:t>
      </w:r>
      <w:r w:rsidRPr="00B74361">
        <w:rPr>
          <w:rFonts w:ascii="Arial" w:hAnsi="Arial"/>
        </w:rPr>
        <w:t xml:space="preserve"> a este Despacho</w:t>
      </w:r>
      <w:r>
        <w:rPr>
          <w:rFonts w:ascii="Arial" w:hAnsi="Arial"/>
        </w:rPr>
        <w:t xml:space="preserve"> las nueve tutelas aquí acumuladas</w:t>
      </w:r>
      <w:r w:rsidR="004E2C08">
        <w:rPr>
          <w:rFonts w:ascii="Arial" w:hAnsi="Arial"/>
        </w:rPr>
        <w:t xml:space="preserve">, y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w:t>
      </w:r>
      <w:r w:rsidR="004E2C08">
        <w:rPr>
          <w:rFonts w:ascii="Arial" w:hAnsi="Arial"/>
        </w:rPr>
        <w:t>ordenó vincular</w:t>
      </w:r>
      <w:r w:rsidRPr="008E5A62">
        <w:rPr>
          <w:rFonts w:ascii="Arial" w:hAnsi="Arial"/>
        </w:rPr>
        <w:t xml:space="preserve">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4 y 5,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Pr>
          <w:rFonts w:ascii="Arial" w:hAnsi="Arial"/>
        </w:rPr>
        <w:t>6 y 7,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Pr>
          <w:rFonts w:ascii="Arial" w:hAnsi="Arial" w:cs="Arial"/>
        </w:rPr>
        <w:t>,</w:t>
      </w:r>
      <w:r w:rsidRPr="003B7741">
        <w:rPr>
          <w:rFonts w:ascii="Arial" w:hAnsi="Arial"/>
        </w:rPr>
        <w:t xml:space="preserve"> </w:t>
      </w:r>
      <w:r>
        <w:rPr>
          <w:rFonts w:ascii="Arial" w:hAnsi="Arial"/>
        </w:rPr>
        <w:t>la Personería Municipal de Pereira</w:t>
      </w:r>
      <w:r w:rsidR="0045484E">
        <w:rPr>
          <w:rFonts w:ascii="Arial" w:hAnsi="Arial"/>
        </w:rPr>
        <w:t xml:space="preserve"> y</w:t>
      </w:r>
      <w:r>
        <w:rPr>
          <w:rFonts w:ascii="Arial" w:hAnsi="Arial"/>
        </w:rPr>
        <w:t xml:space="preserve"> la </w:t>
      </w:r>
      <w:r w:rsidRPr="003B7741">
        <w:rPr>
          <w:rFonts w:ascii="Arial" w:hAnsi="Arial"/>
        </w:rPr>
        <w:t>Alcaldía de Pereira</w:t>
      </w:r>
      <w:r>
        <w:rPr>
          <w:rFonts w:ascii="Arial" w:hAnsi="Arial"/>
        </w:rPr>
        <w:t xml:space="preserve"> </w:t>
      </w:r>
      <w:r w:rsidRPr="003B6DD2">
        <w:rPr>
          <w:rFonts w:ascii="Arial" w:hAnsi="Arial"/>
        </w:rPr>
        <w:t xml:space="preserve">(Folios </w:t>
      </w:r>
      <w:r>
        <w:rPr>
          <w:rFonts w:ascii="Arial" w:hAnsi="Arial"/>
        </w:rPr>
        <w:t>8, 12 a 14,</w:t>
      </w:r>
      <w:r w:rsidR="0045484E">
        <w:rPr>
          <w:rFonts w:ascii="Arial" w:hAnsi="Arial"/>
        </w:rPr>
        <w:t xml:space="preserve"> y</w:t>
      </w:r>
      <w:r>
        <w:rPr>
          <w:rFonts w:ascii="Arial" w:hAnsi="Arial"/>
        </w:rPr>
        <w:t xml:space="preserve"> 17 a 20</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 xml:space="preserve">la Defensoría del Pueblo Regional Risaralda </w:t>
      </w:r>
      <w:r w:rsidR="00D8627D">
        <w:rPr>
          <w:rFonts w:ascii="Arial" w:hAnsi="Arial"/>
        </w:rPr>
        <w:t>y el accionado guardaron</w:t>
      </w:r>
      <w:r>
        <w:rPr>
          <w:rFonts w:ascii="Arial" w:hAnsi="Arial"/>
        </w:rPr>
        <w:t xml:space="preserve"> silencio</w:t>
      </w:r>
      <w:r w:rsidR="00D8627D">
        <w:rPr>
          <w:rFonts w:ascii="Arial" w:hAnsi="Arial"/>
        </w:rPr>
        <w:t>, sin embargo, este último arrimó las copias requeridas (Folios 28 a 60, ib)</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B1245A" w:rsidP="00310F89">
      <w:pPr>
        <w:spacing w:line="360" w:lineRule="auto"/>
        <w:jc w:val="both"/>
        <w:rPr>
          <w:rFonts w:ascii="Arial" w:hAnsi="Arial"/>
        </w:rPr>
      </w:pPr>
      <w:r>
        <w:rPr>
          <w:rFonts w:ascii="Arial" w:hAnsi="Arial"/>
        </w:rPr>
        <w:t xml:space="preserve">Mencionó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 xml:space="preserve">(Folio </w:t>
      </w:r>
      <w:r w:rsidR="0045484E">
        <w:rPr>
          <w:rFonts w:ascii="Arial" w:hAnsi="Arial" w:cs="Arial"/>
          <w:spacing w:val="3"/>
        </w:rPr>
        <w:t>8</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E04790" w:rsidRDefault="0045484E" w:rsidP="00E04790">
      <w:pPr>
        <w:pStyle w:val="Prrafodelista"/>
        <w:numPr>
          <w:ilvl w:val="1"/>
          <w:numId w:val="18"/>
        </w:numPr>
        <w:spacing w:line="360" w:lineRule="auto"/>
        <w:jc w:val="both"/>
        <w:rPr>
          <w:rFonts w:ascii="Arial" w:hAnsi="Arial"/>
        </w:rPr>
      </w:pPr>
      <w:r>
        <w:rPr>
          <w:rFonts w:ascii="Arial" w:hAnsi="Arial"/>
        </w:rPr>
        <w:t xml:space="preserve">La </w:t>
      </w:r>
      <w:r w:rsidR="004E2C08">
        <w:rPr>
          <w:rFonts w:ascii="Arial" w:hAnsi="Arial"/>
        </w:rPr>
        <w:t>Personería Municipal de Pereira</w:t>
      </w:r>
    </w:p>
    <w:p w:rsidR="004E2C08" w:rsidRDefault="004E2C08" w:rsidP="004E2C08">
      <w:pPr>
        <w:pStyle w:val="Prrafodelista"/>
        <w:spacing w:line="360" w:lineRule="auto"/>
        <w:ind w:left="720"/>
        <w:jc w:val="both"/>
        <w:rPr>
          <w:rFonts w:ascii="Arial" w:hAnsi="Arial"/>
        </w:rPr>
      </w:pPr>
    </w:p>
    <w:p w:rsidR="00443A7E" w:rsidRDefault="0045484E" w:rsidP="00E04790">
      <w:pPr>
        <w:spacing w:line="360" w:lineRule="auto"/>
        <w:jc w:val="both"/>
        <w:rPr>
          <w:rFonts w:ascii="Arial" w:hAnsi="Arial"/>
        </w:rPr>
      </w:pPr>
      <w:r>
        <w:rPr>
          <w:rFonts w:ascii="Arial" w:hAnsi="Arial"/>
        </w:rPr>
        <w:t>Anotó que es el aparato judicial el competente para tramitar las acciones populares, y por tanto, no se le puede endilgar responsabilidad alguna en la vulneración de los derechos invocados</w:t>
      </w:r>
      <w:r w:rsidR="00443A7E">
        <w:rPr>
          <w:rFonts w:ascii="Arial" w:hAnsi="Arial"/>
        </w:rPr>
        <w:t xml:space="preserve"> (Folios </w:t>
      </w:r>
      <w:r>
        <w:rPr>
          <w:rFonts w:ascii="Arial" w:hAnsi="Arial"/>
        </w:rPr>
        <w:t>12 a 14</w:t>
      </w:r>
      <w:r w:rsidR="00443A7E">
        <w:rPr>
          <w:rFonts w:ascii="Arial" w:hAnsi="Arial"/>
        </w:rPr>
        <w:t>, ib.).</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(Folios 17 a 20,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Cuarto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D8627D">
        <w:rPr>
          <w:rFonts w:ascii="Arial" w:hAnsi="Arial" w:cs="Arial"/>
          <w:szCs w:val="24"/>
        </w:rPr>
        <w:t xml:space="preserve">Cuarto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Pr="00AE73C7" w:rsidRDefault="004E2C08" w:rsidP="001A4C76">
      <w:pPr>
        <w:pStyle w:val="Textoindependiente"/>
        <w:spacing w:line="360" w:lineRule="auto"/>
        <w:rPr>
          <w:rFonts w:ascii="Arial" w:hAnsi="Arial" w:cs="Arial"/>
          <w:szCs w:val="24"/>
        </w:rPr>
      </w:pPr>
      <w:r>
        <w:rPr>
          <w:rFonts w:ascii="Arial" w:hAnsi="Arial" w:cs="Arial"/>
        </w:rPr>
        <w:t xml:space="preserve">Como </w:t>
      </w:r>
      <w:r w:rsidR="001A4C76">
        <w:rPr>
          <w:rFonts w:ascii="Arial" w:hAnsi="Arial" w:cs="Arial"/>
        </w:rPr>
        <w:t>l</w:t>
      </w:r>
      <w:r w:rsidR="00FD49FE">
        <w:rPr>
          <w:rFonts w:ascii="Arial" w:hAnsi="Arial" w:cs="Arial"/>
          <w:szCs w:val="24"/>
        </w:rPr>
        <w:t xml:space="preserve">os </w:t>
      </w:r>
      <w:r w:rsidR="001A4C76">
        <w:rPr>
          <w:rFonts w:ascii="Arial" w:hAnsi="Arial" w:cs="Arial"/>
          <w:szCs w:val="24"/>
        </w:rPr>
        <w:t xml:space="preserve">litisconsortes </w:t>
      </w:r>
      <w:r w:rsidR="00FD49FE">
        <w:rPr>
          <w:rFonts w:ascii="Arial" w:hAnsi="Arial" w:cs="Arial"/>
          <w:szCs w:val="24"/>
        </w:rPr>
        <w:t xml:space="preserve">vinculados a este trámite, </w:t>
      </w:r>
      <w:r w:rsidR="001A4C76">
        <w:rPr>
          <w:rFonts w:ascii="Arial" w:hAnsi="Arial" w:cs="Arial"/>
          <w:szCs w:val="24"/>
        </w:rPr>
        <w:t>eventuales afectados con la acción constitucional, no incurrieron en violación o amenaza alguna, se n</w:t>
      </w:r>
      <w:r w:rsidR="000E62D3">
        <w:rPr>
          <w:rFonts w:ascii="Arial" w:hAnsi="Arial" w:cs="Arial"/>
          <w:szCs w:val="24"/>
        </w:rPr>
        <w:t>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DE74E7">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4E2C08" w:rsidRDefault="004E2C08" w:rsidP="004E2C0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Default="00DE74E7" w:rsidP="00FF5B57">
      <w:pPr>
        <w:pStyle w:val="Textoindependiente"/>
        <w:spacing w:line="360" w:lineRule="auto"/>
        <w:rPr>
          <w:rFonts w:ascii="Arial" w:hAnsi="Arial" w:cs="Arial"/>
          <w:szCs w:val="24"/>
        </w:rPr>
      </w:pPr>
    </w:p>
    <w:p w:rsidR="008215CB" w:rsidRPr="00DA7FE8" w:rsidRDefault="008215CB" w:rsidP="008215CB">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r w:rsidR="004E2C08">
        <w:rPr>
          <w:rFonts w:ascii="Arial" w:hAnsi="Arial" w:cs="Arial"/>
          <w:szCs w:val="22"/>
          <w:lang w:val="es-ES_tradnl"/>
        </w:rPr>
        <w:t xml:space="preserve"> o desconocimiento del precedente</w:t>
      </w:r>
    </w:p>
    <w:p w:rsidR="008215CB" w:rsidRDefault="008215CB" w:rsidP="008215CB">
      <w:pPr>
        <w:spacing w:line="360" w:lineRule="auto"/>
        <w:ind w:right="22"/>
        <w:jc w:val="both"/>
        <w:rPr>
          <w:rFonts w:ascii="Arial" w:hAnsi="Arial" w:cs="Arial"/>
          <w:szCs w:val="22"/>
          <w:lang w:val="es-ES_tradnl"/>
        </w:rPr>
      </w:pPr>
    </w:p>
    <w:p w:rsidR="008215CB" w:rsidRDefault="008215CB" w:rsidP="008215CB">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infralegal</w:t>
      </w:r>
      <w:r>
        <w:rPr>
          <w:rFonts w:ascii="Arial" w:hAnsi="Arial" w:cs="Arial"/>
        </w:rPr>
        <w:t xml:space="preserve">es,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8215CB" w:rsidRDefault="008215CB" w:rsidP="008215CB">
      <w:pPr>
        <w:ind w:left="567" w:right="22"/>
        <w:jc w:val="both"/>
        <w:rPr>
          <w:rFonts w:ascii="Arial" w:hAnsi="Arial" w:cs="Arial"/>
          <w:szCs w:val="22"/>
          <w:lang w:val="es-ES_tradnl"/>
        </w:rPr>
      </w:pPr>
    </w:p>
    <w:p w:rsidR="008215CB" w:rsidRPr="00CC793A" w:rsidRDefault="008215CB" w:rsidP="008215CB">
      <w:pPr>
        <w:ind w:left="567" w:right="567"/>
        <w:jc w:val="both"/>
        <w:rPr>
          <w:rFonts w:ascii="Arial" w:hAnsi="Arial" w:cs="Arial"/>
          <w:szCs w:val="22"/>
          <w:lang w:val="es-ES_tradnl"/>
        </w:rPr>
      </w:pPr>
      <w:r w:rsidRPr="00F756CF">
        <w:rPr>
          <w:rFonts w:ascii="Arial" w:hAnsi="Arial" w:cs="Arial"/>
        </w:rPr>
        <w:t xml:space="preserve">(i) aplica una disposición en el caso que perdió vigencia por cualquiera de la razones previstas por la normativa, por ejemplo, su inexequibilidad; (ii) aplica un precepto manifiestamente inaplicable al caso, por ejemplo porque el supuesto de hecho del que se ocupa no tiene conexidad material con los presupuestos del caso; (iii) a pesar del amplio margen hermenéutico que la Constitución le reconoce a las autoridades judiciales, realiza una interpretación contraevidente -interpretación </w:t>
      </w:r>
      <w:r w:rsidRPr="00F756CF">
        <w:rPr>
          <w:rFonts w:ascii="Arial" w:hAnsi="Arial" w:cs="Arial"/>
          <w:i/>
          <w:iCs/>
        </w:rPr>
        <w:t>contra legem</w:t>
      </w:r>
      <w:r w:rsidRPr="00F756CF">
        <w:rPr>
          <w:rFonts w:ascii="Arial" w:hAnsi="Arial" w:cs="Arial"/>
        </w:rPr>
        <w:t xml:space="preserve">- o claramente irrazonable o desproporcionada; (iv) </w:t>
      </w:r>
      <w:r w:rsidRPr="004E2C08">
        <w:rPr>
          <w:rFonts w:ascii="Arial" w:hAnsi="Arial" w:cs="Arial"/>
          <w:u w:val="single"/>
        </w:rPr>
        <w:t xml:space="preserve">se aparta del precedente judicial </w:t>
      </w:r>
      <w:r w:rsidR="004E2C08">
        <w:rPr>
          <w:rFonts w:ascii="Arial" w:hAnsi="Arial" w:cs="Arial"/>
          <w:u w:val="single"/>
        </w:rPr>
        <w:t>-</w:t>
      </w:r>
      <w:r w:rsidRPr="004E2C08">
        <w:rPr>
          <w:rFonts w:ascii="Arial" w:hAnsi="Arial" w:cs="Arial"/>
          <w:u w:val="single"/>
        </w:rPr>
        <w:t>horizontal o vertical- sin justificación suficiente</w:t>
      </w:r>
      <w:r w:rsidRPr="00F756CF">
        <w:rPr>
          <w:rFonts w:ascii="Arial" w:hAnsi="Arial" w:cs="Arial"/>
        </w:rPr>
        <w:t>; o (v) se abstiene de aplicar la excepción de inconstitucionalidad ante una violación manifiesta de la Constitución, siempre que su declaración haya sido solicitada por alguna de las partes en el proceso</w:t>
      </w:r>
      <w:r w:rsidRPr="00F756CF">
        <w:rPr>
          <w:rFonts w:ascii="Arial" w:hAnsi="Arial" w:cs="Arial"/>
          <w:vertAlign w:val="superscript"/>
        </w:rPr>
        <w:footnoteReference w:id="11"/>
      </w:r>
      <w:r w:rsidRPr="00F756CF">
        <w:rPr>
          <w:rFonts w:ascii="Arial" w:hAnsi="Arial" w:cs="Arial"/>
        </w:rPr>
        <w:t>.</w:t>
      </w:r>
      <w:r w:rsidRPr="00F756CF">
        <w:rPr>
          <w:rFonts w:ascii="Arial" w:hAnsi="Arial" w:cs="Arial"/>
          <w:szCs w:val="22"/>
          <w:lang w:val="es-ES_tradnl"/>
        </w:rPr>
        <w:t xml:space="preserve"> Las versalitas son de este Tribunal.</w:t>
      </w:r>
    </w:p>
    <w:p w:rsidR="008215CB" w:rsidRDefault="008215CB" w:rsidP="008215CB">
      <w:pPr>
        <w:pStyle w:val="Textoindependiente"/>
        <w:spacing w:line="360" w:lineRule="auto"/>
        <w:rPr>
          <w:rFonts w:ascii="Arial" w:hAnsi="Arial" w:cs="Arial"/>
        </w:rPr>
      </w:pPr>
    </w:p>
    <w:p w:rsidR="008215CB" w:rsidRPr="00A0082B" w:rsidRDefault="008215CB" w:rsidP="008215CB">
      <w:pPr>
        <w:pStyle w:val="Textoindependiente"/>
        <w:tabs>
          <w:tab w:val="clear" w:pos="0"/>
          <w:tab w:val="clear" w:pos="708"/>
          <w:tab w:val="left" w:pos="709"/>
        </w:tabs>
        <w:spacing w:line="360" w:lineRule="auto"/>
        <w:rPr>
          <w:rFonts w:ascii="Arial" w:hAnsi="Arial"/>
          <w:szCs w:val="24"/>
        </w:rPr>
      </w:pPr>
      <w:r>
        <w:rPr>
          <w:rFonts w:ascii="Arial" w:hAnsi="Arial" w:cs="Arial"/>
          <w:szCs w:val="24"/>
        </w:rPr>
        <w:t>Dados los supuesto fácticos que adelante se expondrán</w:t>
      </w:r>
      <w:r w:rsidRPr="00A0082B">
        <w:rPr>
          <w:rFonts w:ascii="Arial" w:hAnsi="Arial" w:cs="Arial"/>
          <w:szCs w:val="24"/>
        </w:rPr>
        <w:t xml:space="preserve">, importa memorar lo que se entiende por </w:t>
      </w:r>
      <w:r w:rsidRPr="00A0082B">
        <w:rPr>
          <w:rFonts w:ascii="Arial" w:hAnsi="Arial" w:cs="Arial"/>
          <w:bCs/>
          <w:szCs w:val="24"/>
        </w:rPr>
        <w:t>precedente</w:t>
      </w:r>
      <w:r w:rsidRPr="00A0082B">
        <w:rPr>
          <w:rFonts w:ascii="Arial" w:hAnsi="Arial" w:cs="Arial"/>
          <w:szCs w:val="24"/>
          <w:vertAlign w:val="superscript"/>
        </w:rPr>
        <w:footnoteReference w:id="12"/>
      </w:r>
      <w:r w:rsidRPr="00A0082B">
        <w:rPr>
          <w:rFonts w:ascii="Arial" w:hAnsi="Arial" w:cs="Arial"/>
          <w:bCs/>
          <w:szCs w:val="24"/>
        </w:rPr>
        <w:t>, acudiendo a la idea que tiene la Corte Constitucional</w:t>
      </w:r>
      <w:r w:rsidRPr="00A0082B">
        <w:rPr>
          <w:rFonts w:ascii="Arial" w:hAnsi="Arial" w:cs="Arial"/>
          <w:szCs w:val="24"/>
        </w:rPr>
        <w:t>, en estos términos “</w:t>
      </w:r>
      <w:r w:rsidRPr="00A0082B">
        <w:rPr>
          <w:rFonts w:ascii="Arial" w:hAnsi="Arial" w:cs="Arial"/>
          <w:i/>
          <w:sz w:val="22"/>
          <w:szCs w:val="24"/>
        </w:rPr>
        <w:t xml:space="preserve">(…) por regla general, es aquella sentencia o conjunto de sentencias que presentan similitudes con un caso nuevo objeto de escrutinio en materia de </w:t>
      </w:r>
      <w:r w:rsidRPr="00A0082B">
        <w:rPr>
          <w:rFonts w:ascii="Arial" w:hAnsi="Arial" w:cs="Arial"/>
          <w:b/>
          <w:bCs/>
          <w:i/>
          <w:sz w:val="22"/>
          <w:szCs w:val="24"/>
        </w:rPr>
        <w:t xml:space="preserve">(i) </w:t>
      </w:r>
      <w:r w:rsidRPr="00A0082B">
        <w:rPr>
          <w:rFonts w:ascii="Arial" w:hAnsi="Arial" w:cs="Arial"/>
          <w:i/>
          <w:sz w:val="22"/>
          <w:szCs w:val="24"/>
        </w:rPr>
        <w:t xml:space="preserve">patrones fácticos y </w:t>
      </w:r>
      <w:r w:rsidRPr="00A0082B">
        <w:rPr>
          <w:rFonts w:ascii="Arial" w:hAnsi="Arial" w:cs="Arial"/>
          <w:b/>
          <w:bCs/>
          <w:i/>
          <w:sz w:val="22"/>
          <w:szCs w:val="24"/>
        </w:rPr>
        <w:t xml:space="preserve">(ii) </w:t>
      </w:r>
      <w:r w:rsidRPr="00A0082B">
        <w:rPr>
          <w:rFonts w:ascii="Arial" w:hAnsi="Arial" w:cs="Arial"/>
          <w:i/>
          <w:sz w:val="22"/>
          <w:szCs w:val="24"/>
        </w:rPr>
        <w:t>problemas jurídicos, y en las que en su ratio decidendi se ha fijado una regla para resolver la controversia, que sirve también para solucionar el nuevo caso.”.</w:t>
      </w:r>
      <w:r w:rsidRPr="00A0082B">
        <w:rPr>
          <w:rFonts w:ascii="Arial" w:hAnsi="Arial" w:cs="Arial"/>
          <w:sz w:val="22"/>
          <w:szCs w:val="24"/>
        </w:rPr>
        <w:t xml:space="preserve">  </w:t>
      </w:r>
      <w:r w:rsidRPr="00A0082B">
        <w:rPr>
          <w:rFonts w:ascii="Arial" w:hAnsi="Arial" w:cs="Arial"/>
          <w:szCs w:val="24"/>
        </w:rPr>
        <w:t xml:space="preserve">La doctrina nacional más autorizada en esta materia, cuenta con la obra </w:t>
      </w:r>
      <w:r w:rsidRPr="00A0082B">
        <w:rPr>
          <w:rFonts w:ascii="Arial" w:hAnsi="Arial" w:cs="Arial"/>
          <w:szCs w:val="24"/>
          <w:lang w:eastAsia="es-MX"/>
        </w:rPr>
        <w:t>del profesor López Medina</w:t>
      </w:r>
      <w:r w:rsidRPr="00A0082B">
        <w:rPr>
          <w:rStyle w:val="Refdenotaalpie"/>
          <w:rFonts w:ascii="Arial" w:hAnsi="Arial" w:cs="Arial"/>
          <w:szCs w:val="22"/>
          <w:lang w:eastAsia="es-MX"/>
        </w:rPr>
        <w:footnoteReference w:id="13"/>
      </w:r>
      <w:r w:rsidRPr="00A0082B">
        <w:rPr>
          <w:rFonts w:ascii="Arial" w:hAnsi="Arial" w:cs="Arial"/>
          <w:szCs w:val="24"/>
          <w:lang w:eastAsia="es-MX"/>
        </w:rPr>
        <w:t>, que puede consultarse para mayor ilustración académica.</w:t>
      </w:r>
    </w:p>
    <w:p w:rsidR="008215CB" w:rsidRPr="00A0082B" w:rsidRDefault="008215CB" w:rsidP="008215CB">
      <w:pPr>
        <w:pStyle w:val="Textoindependiente"/>
        <w:tabs>
          <w:tab w:val="clear" w:pos="0"/>
          <w:tab w:val="clear" w:pos="708"/>
          <w:tab w:val="left" w:pos="709"/>
        </w:tabs>
        <w:spacing w:line="360" w:lineRule="auto"/>
        <w:rPr>
          <w:rFonts w:ascii="Arial" w:hAnsi="Arial"/>
          <w:szCs w:val="24"/>
        </w:rPr>
      </w:pPr>
    </w:p>
    <w:p w:rsidR="008215CB" w:rsidRPr="00A0082B" w:rsidRDefault="008215CB" w:rsidP="008215CB">
      <w:pPr>
        <w:pStyle w:val="Textoindependiente"/>
        <w:tabs>
          <w:tab w:val="clear" w:pos="0"/>
          <w:tab w:val="clear" w:pos="708"/>
          <w:tab w:val="left" w:pos="709"/>
        </w:tabs>
        <w:spacing w:line="360" w:lineRule="auto"/>
        <w:rPr>
          <w:rFonts w:ascii="Arial" w:hAnsi="Arial"/>
          <w:szCs w:val="24"/>
        </w:rPr>
      </w:pPr>
      <w:r w:rsidRPr="00A0082B">
        <w:rPr>
          <w:rFonts w:ascii="Arial" w:hAnsi="Arial" w:cs="Arial"/>
          <w:szCs w:val="24"/>
          <w:lang w:eastAsia="es-CO"/>
        </w:rPr>
        <w:t>En la teoría del derecho judicial y en particular nuestro Alto Tribunal constitucional, se distingue el precedente horizontal y el vertical</w:t>
      </w:r>
      <w:r w:rsidRPr="00A0082B">
        <w:rPr>
          <w:rFonts w:ascii="Arial" w:hAnsi="Arial" w:cs="Arial"/>
          <w:szCs w:val="24"/>
          <w:vertAlign w:val="superscript"/>
          <w:lang w:eastAsia="es-CO"/>
        </w:rPr>
        <w:footnoteReference w:id="14"/>
      </w:r>
      <w:r w:rsidRPr="00A0082B">
        <w:rPr>
          <w:rFonts w:ascii="Arial" w:hAnsi="Arial" w:cs="Arial"/>
          <w:szCs w:val="24"/>
          <w:lang w:eastAsia="es-CO"/>
        </w:rPr>
        <w:t>,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Corte Constitucional</w:t>
      </w:r>
      <w:r w:rsidRPr="00A0082B">
        <w:rPr>
          <w:rStyle w:val="Refdenotaalpie"/>
          <w:rFonts w:ascii="Arial" w:hAnsi="Arial"/>
          <w:szCs w:val="24"/>
          <w:lang w:eastAsia="es-CO"/>
        </w:rPr>
        <w:footnoteReference w:id="15"/>
      </w:r>
      <w:r w:rsidRPr="00A0082B">
        <w:rPr>
          <w:rFonts w:ascii="Arial" w:hAnsi="Arial" w:cs="Arial"/>
          <w:szCs w:val="24"/>
          <w:lang w:eastAsia="es-CO"/>
        </w:rPr>
        <w:t>.</w:t>
      </w:r>
    </w:p>
    <w:p w:rsidR="008215CB" w:rsidRPr="00A0082B" w:rsidRDefault="008215CB" w:rsidP="008215CB">
      <w:pPr>
        <w:pStyle w:val="Textoindependiente"/>
        <w:tabs>
          <w:tab w:val="clear" w:pos="0"/>
          <w:tab w:val="clear" w:pos="708"/>
          <w:tab w:val="left" w:pos="709"/>
        </w:tabs>
        <w:spacing w:line="360" w:lineRule="auto"/>
        <w:rPr>
          <w:rFonts w:ascii="Arial" w:hAnsi="Arial"/>
          <w:szCs w:val="24"/>
        </w:rPr>
      </w:pPr>
    </w:p>
    <w:p w:rsidR="008215CB" w:rsidRPr="00A0082B" w:rsidRDefault="008215CB" w:rsidP="008215CB">
      <w:pPr>
        <w:pStyle w:val="Textoindependiente"/>
        <w:tabs>
          <w:tab w:val="clear" w:pos="0"/>
          <w:tab w:val="clear" w:pos="708"/>
          <w:tab w:val="left" w:pos="709"/>
        </w:tabs>
        <w:spacing w:line="360" w:lineRule="auto"/>
        <w:rPr>
          <w:rFonts w:ascii="Arial" w:hAnsi="Arial" w:cs="Arial"/>
          <w:szCs w:val="24"/>
        </w:rPr>
      </w:pPr>
      <w:r w:rsidRPr="00A0082B">
        <w:rPr>
          <w:rFonts w:ascii="Arial" w:hAnsi="Arial"/>
          <w:szCs w:val="24"/>
        </w:rPr>
        <w:t>En la decisión aludida concluyó la Corporación en los siguientes términos: “</w:t>
      </w:r>
      <w:r w:rsidRPr="00A0082B">
        <w:rPr>
          <w:rFonts w:ascii="Arial" w:hAnsi="Arial" w:cs="Arial"/>
          <w:i/>
          <w:sz w:val="22"/>
          <w:szCs w:val="24"/>
          <w:lang w:eastAsia="es-CO"/>
        </w:rPr>
        <w:t>Así, para la mayoría de asuntos, el precedente vertical que deben seguir los funcionarios judiciales es determinado por la Corte Suprema de Justicia o por el Consejo de Estado, como órganos de cierre dentro de su respectiva jurisdicción</w:t>
      </w:r>
      <w:r w:rsidRPr="00A0082B">
        <w:rPr>
          <w:rFonts w:ascii="Arial" w:hAnsi="Arial" w:cs="Arial"/>
          <w:i/>
          <w:sz w:val="22"/>
          <w:szCs w:val="24"/>
          <w:vertAlign w:val="superscript"/>
          <w:lang w:eastAsia="es-CO"/>
        </w:rPr>
        <w:footnoteReference w:id="16"/>
      </w:r>
      <w:r w:rsidRPr="00A0082B">
        <w:rPr>
          <w:rFonts w:ascii="Arial" w:hAnsi="Arial" w:cs="Arial"/>
          <w:i/>
          <w:sz w:val="22"/>
          <w:szCs w:val="24"/>
          <w:lang w:eastAsia="es-CO"/>
        </w:rPr>
        <w:t>. En los casos en los que no son susceptibles de ser revisados por las autoridades mencionadas, son los tribunales los encargados de establecer criterios hermenéuticos para los operadores judiciales inferiores</w:t>
      </w:r>
      <w:r w:rsidRPr="00A0082B">
        <w:rPr>
          <w:rFonts w:ascii="Arial" w:hAnsi="Arial" w:cs="Arial"/>
          <w:i/>
          <w:sz w:val="22"/>
          <w:szCs w:val="24"/>
          <w:vertAlign w:val="superscript"/>
          <w:lang w:eastAsia="es-CO"/>
        </w:rPr>
        <w:footnoteReference w:id="17"/>
      </w:r>
      <w:r w:rsidRPr="00A0082B">
        <w:rPr>
          <w:rFonts w:ascii="Arial" w:hAnsi="Arial" w:cs="Arial"/>
          <w:i/>
          <w:sz w:val="22"/>
          <w:szCs w:val="24"/>
          <w:lang w:eastAsia="es-CO"/>
        </w:rPr>
        <w:t>.</w:t>
      </w:r>
      <w:r w:rsidRPr="00A0082B">
        <w:rPr>
          <w:rFonts w:ascii="Arial" w:hAnsi="Arial" w:cs="Arial"/>
          <w:sz w:val="22"/>
          <w:szCs w:val="24"/>
          <w:lang w:eastAsia="es-CO"/>
        </w:rPr>
        <w:t xml:space="preserve"> </w:t>
      </w:r>
      <w:r w:rsidRPr="00A0082B">
        <w:rPr>
          <w:rFonts w:ascii="Arial" w:hAnsi="Arial"/>
          <w:szCs w:val="24"/>
        </w:rPr>
        <w:t>También se tiene dicho que e</w:t>
      </w:r>
      <w:r w:rsidRPr="00A0082B">
        <w:rPr>
          <w:rFonts w:ascii="Arial" w:hAnsi="Arial" w:cs="Arial"/>
          <w:szCs w:val="24"/>
        </w:rPr>
        <w:t xml:space="preserve">l precedente no sólo es orientador sino </w:t>
      </w:r>
      <w:r w:rsidRPr="00A0082B">
        <w:rPr>
          <w:rFonts w:ascii="Arial" w:hAnsi="Arial" w:cs="Arial"/>
          <w:b/>
          <w:bCs/>
          <w:szCs w:val="24"/>
        </w:rPr>
        <w:t>obligatorio</w:t>
      </w:r>
      <w:r w:rsidRPr="00A0082B">
        <w:rPr>
          <w:rFonts w:ascii="Arial" w:hAnsi="Arial" w:cs="Arial"/>
          <w:szCs w:val="24"/>
        </w:rPr>
        <w:t>, aunque existe la posibilidad de discrepar, pero eso sí, atendiendo la debida carga argumental.</w:t>
      </w:r>
    </w:p>
    <w:p w:rsidR="008215CB" w:rsidRPr="00A0082B" w:rsidRDefault="008215CB" w:rsidP="008215CB">
      <w:pPr>
        <w:pStyle w:val="Textoindependiente"/>
        <w:tabs>
          <w:tab w:val="clear" w:pos="0"/>
          <w:tab w:val="clear" w:pos="708"/>
          <w:tab w:val="left" w:pos="709"/>
        </w:tabs>
        <w:spacing w:line="360" w:lineRule="auto"/>
        <w:rPr>
          <w:rFonts w:ascii="Arial" w:hAnsi="Arial" w:cs="Arial"/>
          <w:szCs w:val="24"/>
        </w:rPr>
      </w:pPr>
    </w:p>
    <w:p w:rsidR="008215CB" w:rsidRPr="00A0082B" w:rsidRDefault="008215CB" w:rsidP="008215CB">
      <w:pPr>
        <w:pStyle w:val="Textoindependiente"/>
        <w:tabs>
          <w:tab w:val="clear" w:pos="0"/>
          <w:tab w:val="clear" w:pos="708"/>
          <w:tab w:val="left" w:pos="709"/>
        </w:tabs>
        <w:spacing w:line="360" w:lineRule="auto"/>
        <w:rPr>
          <w:rFonts w:ascii="Arial" w:hAnsi="Arial" w:cs="Arial"/>
          <w:szCs w:val="24"/>
        </w:rPr>
      </w:pPr>
      <w:r w:rsidRPr="00A0082B">
        <w:rPr>
          <w:rFonts w:ascii="Arial" w:hAnsi="Arial" w:cs="Arial"/>
          <w:szCs w:val="24"/>
        </w:rPr>
        <w:t xml:space="preserve">En suma, la doctrina del precedente judicial y su nivel de obligatoriedad para las autoridades, buscan garantizar </w:t>
      </w:r>
      <w:r w:rsidRPr="00A0082B">
        <w:rPr>
          <w:rFonts w:ascii="Arial" w:hAnsi="Arial" w:cs="Arial"/>
          <w:szCs w:val="24"/>
          <w:lang w:eastAsia="es-CO"/>
        </w:rPr>
        <w:t>la confianza en las decisiones de los jueces, en armonía con los principios de seguridad jurídica, igualdad, buena fe y confianza legítima que imperan en nuestro sistema jurídico constitucional. Para finalizar esta ilustración dogmática, son oportunas y concisas las palabras de la Corte citada, sobre el tema:</w:t>
      </w:r>
    </w:p>
    <w:p w:rsidR="008215CB" w:rsidRPr="00A0082B" w:rsidRDefault="008215CB" w:rsidP="008215CB">
      <w:pPr>
        <w:pStyle w:val="Textoindependiente"/>
        <w:tabs>
          <w:tab w:val="clear" w:pos="0"/>
          <w:tab w:val="clear" w:pos="708"/>
          <w:tab w:val="left" w:pos="709"/>
        </w:tabs>
        <w:spacing w:line="240" w:lineRule="auto"/>
        <w:ind w:left="567"/>
        <w:rPr>
          <w:rFonts w:ascii="Arial" w:hAnsi="Arial" w:cs="Arial"/>
          <w:szCs w:val="24"/>
        </w:rPr>
      </w:pPr>
    </w:p>
    <w:p w:rsidR="008215CB" w:rsidRPr="00A41E5B" w:rsidRDefault="008215CB" w:rsidP="008215CB">
      <w:pPr>
        <w:pStyle w:val="Textoindependiente"/>
        <w:spacing w:line="240" w:lineRule="auto"/>
        <w:ind w:left="567" w:right="567"/>
        <w:rPr>
          <w:rFonts w:ascii="Arial" w:hAnsi="Arial" w:cs="Arial"/>
        </w:rPr>
      </w:pPr>
      <w:r w:rsidRPr="00A41E5B">
        <w:rPr>
          <w:rFonts w:ascii="Arial" w:hAnsi="Arial" w:cs="Arial"/>
          <w:szCs w:val="24"/>
          <w:lang w:eastAsia="es-CO"/>
        </w:rPr>
        <w:t xml:space="preserve">En resumen, los jueces tienen un deber de obligatorio cumplimiento y es el de </w:t>
      </w:r>
      <w:r w:rsidRPr="00A41E5B">
        <w:rPr>
          <w:rFonts w:ascii="Arial" w:hAnsi="Arial" w:cs="Arial"/>
          <w:bCs/>
          <w:szCs w:val="24"/>
          <w:lang w:eastAsia="es-CO"/>
        </w:rPr>
        <w:t xml:space="preserve">(i) </w:t>
      </w:r>
      <w:r w:rsidRPr="00A41E5B">
        <w:rPr>
          <w:rFonts w:ascii="Arial" w:hAnsi="Arial" w:cs="Arial"/>
          <w:szCs w:val="24"/>
          <w:lang w:eastAsia="es-CO"/>
        </w:rPr>
        <w:t xml:space="preserve">acoger las decisiones proferidas por los órganos de cierre en cada una de las jurisdicciones (ordinaria, contencioso administrativa o constitucional) cuando éstas constituyen precedentes, y/o </w:t>
      </w:r>
      <w:r w:rsidRPr="00A41E5B">
        <w:rPr>
          <w:rFonts w:ascii="Arial" w:hAnsi="Arial" w:cs="Arial"/>
          <w:bCs/>
          <w:szCs w:val="24"/>
          <w:lang w:eastAsia="es-CO"/>
        </w:rPr>
        <w:t xml:space="preserve">(ii) </w:t>
      </w:r>
      <w:r w:rsidRPr="00A41E5B">
        <w:rPr>
          <w:rFonts w:ascii="Arial" w:hAnsi="Arial" w:cs="Arial"/>
          <w:szCs w:val="24"/>
          <w:lang w:eastAsia="es-CO"/>
        </w:rPr>
        <w:t xml:space="preserve">sus propias decisiones en casos idénticos, por el respeto del trato igual al acceder a la justicia. Sin embargo, esta regla no es absoluta, ya que los jueces pueden apartarse de dicho precedente, pero cumpliendo la carga argumentativa antes descrita y construyendo una mejor respuesta al problema jurídico. </w:t>
      </w:r>
      <w:r w:rsidRPr="00A41E5B">
        <w:rPr>
          <w:rFonts w:ascii="Arial" w:hAnsi="Arial" w:cs="Arial"/>
          <w:szCs w:val="24"/>
          <w:u w:val="single"/>
          <w:lang w:eastAsia="es-CO"/>
        </w:rPr>
        <w:t xml:space="preserve">En este orden de ideas, por ejemplo, cuando un juez de inferior jerarquía se aparta de un precedente establecido en su jurisdicción por el órgano de cierre o de su propio precedente, </w:t>
      </w:r>
      <w:r w:rsidRPr="00A41E5B">
        <w:rPr>
          <w:rFonts w:ascii="Arial" w:hAnsi="Arial" w:cs="Arial"/>
          <w:smallCaps/>
          <w:szCs w:val="24"/>
          <w:u w:val="single"/>
          <w:lang w:eastAsia="es-CO"/>
        </w:rPr>
        <w:t>sin exponer un razonamiento proporcional y razonable para el efecto, incurre en la causal de procedibilidad de la tutela por defecto sustantivo o material</w:t>
      </w:r>
      <w:r w:rsidRPr="00A41E5B">
        <w:rPr>
          <w:rFonts w:ascii="Arial" w:hAnsi="Arial" w:cs="Arial"/>
          <w:szCs w:val="24"/>
          <w:lang w:eastAsia="es-CO"/>
        </w:rPr>
        <w:t xml:space="preserve">, que tiene como consecuencia, una vulneración de los derechos fundamentales a la igualdad y al debido proceso de las personas partícipes del proceso respectivo, entre otros.  Sublínea </w:t>
      </w:r>
      <w:r>
        <w:rPr>
          <w:rFonts w:ascii="Arial" w:hAnsi="Arial" w:cs="Arial"/>
          <w:szCs w:val="24"/>
          <w:lang w:eastAsia="es-CO"/>
        </w:rPr>
        <w:t xml:space="preserve">y versalitas </w:t>
      </w:r>
      <w:r w:rsidRPr="00A41E5B">
        <w:rPr>
          <w:rFonts w:ascii="Arial" w:hAnsi="Arial" w:cs="Arial"/>
          <w:szCs w:val="24"/>
          <w:lang w:eastAsia="es-CO"/>
        </w:rPr>
        <w:t>extratextual</w:t>
      </w:r>
      <w:r>
        <w:rPr>
          <w:rFonts w:ascii="Arial" w:hAnsi="Arial" w:cs="Arial"/>
          <w:szCs w:val="24"/>
          <w:lang w:eastAsia="es-CO"/>
        </w:rPr>
        <w:t>es</w:t>
      </w:r>
      <w:r w:rsidRPr="00A41E5B">
        <w:rPr>
          <w:rFonts w:ascii="Arial" w:hAnsi="Arial" w:cs="Arial"/>
          <w:szCs w:val="24"/>
          <w:lang w:eastAsia="es-CO"/>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w:t>
      </w:r>
      <w:r w:rsidR="004E2C08">
        <w:rPr>
          <w:rFonts w:ascii="Arial" w:hAnsi="Arial" w:cs="Arial"/>
          <w:szCs w:val="24"/>
        </w:rPr>
        <w:t>Política</w:t>
      </w:r>
      <w:r w:rsidRPr="00FF4929">
        <w:rPr>
          <w:rFonts w:ascii="Arial" w:hAnsi="Arial" w:cs="Arial"/>
          <w:szCs w:val="24"/>
        </w:rPr>
        <w:t xml:space="preserve">,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w:t>
      </w:r>
      <w:r w:rsidRPr="004E2C08">
        <w:rPr>
          <w:rFonts w:ascii="Arial" w:hAnsi="Arial" w:cs="Arial"/>
          <w:sz w:val="22"/>
          <w:szCs w:val="22"/>
        </w:rPr>
        <w:t xml:space="preserve">. </w:t>
      </w:r>
      <w:r w:rsidR="004E2C08" w:rsidRPr="004E2C08">
        <w:rPr>
          <w:rFonts w:ascii="Arial" w:hAnsi="Arial" w:cs="Arial"/>
          <w:sz w:val="22"/>
          <w:szCs w:val="22"/>
        </w:rPr>
        <w:t>Sublínea puesta a propósito</w:t>
      </w:r>
      <w:r w:rsidR="004E2C08">
        <w:rPr>
          <w:rFonts w:ascii="Arial" w:hAnsi="Arial" w:cs="Arial"/>
          <w:sz w:val="22"/>
          <w:szCs w:val="22"/>
        </w:rPr>
        <w:t>.</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1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19"/>
      </w:r>
      <w:r w:rsidRPr="00FF4929">
        <w:rPr>
          <w:rFonts w:ascii="Arial" w:hAnsi="Arial" w:cs="Arial"/>
          <w:lang w:val="es-ES_tradnl"/>
        </w:rPr>
        <w:t xml:space="preserve"> en su jurisprudencia</w:t>
      </w:r>
      <w:r w:rsidR="004E00A6">
        <w:rPr>
          <w:rFonts w:ascii="Arial" w:hAnsi="Arial" w:cs="Arial"/>
          <w:lang w:val="es-ES_tradnl"/>
        </w:rPr>
        <w:t>,</w:t>
      </w:r>
      <w:r w:rsidRPr="00FF4929">
        <w:rPr>
          <w:rFonts w:ascii="Arial" w:hAnsi="Arial" w:cs="Arial"/>
          <w:lang w:val="es-ES_tradnl"/>
        </w:rPr>
        <w:t xml:space="preserve">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2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2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22"/>
      </w:r>
      <w:r>
        <w:rPr>
          <w:rFonts w:ascii="Arial" w:hAnsi="Arial" w:cs="Arial"/>
          <w:vertAlign w:val="superscript"/>
          <w:lang w:val="es-ES_tradnl"/>
        </w:rPr>
        <w:t>-</w:t>
      </w:r>
      <w:r>
        <w:rPr>
          <w:rStyle w:val="Refdenotaalpie"/>
          <w:rFonts w:ascii="Arial" w:hAnsi="Arial"/>
          <w:lang w:val="es-ES_tradnl"/>
        </w:rPr>
        <w:footnoteReference w:id="2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8215CB" w:rsidRDefault="008215CB" w:rsidP="008215CB">
      <w:pPr>
        <w:pStyle w:val="Textoindependiente"/>
        <w:spacing w:line="360" w:lineRule="auto"/>
        <w:rPr>
          <w:rFonts w:ascii="Arial" w:hAnsi="Arial"/>
          <w:szCs w:val="24"/>
        </w:rPr>
      </w:pPr>
      <w:r>
        <w:rPr>
          <w:rFonts w:ascii="Arial" w:hAnsi="Arial"/>
          <w:szCs w:val="24"/>
        </w:rPr>
        <w:t>En la metodología enseñada por la doctrina constitucional, el primer examen consiste en verificar los presupuestos generales de procedibilidad, para determinar</w:t>
      </w:r>
      <w:r w:rsidR="00B0457F">
        <w:rPr>
          <w:rFonts w:ascii="Arial" w:hAnsi="Arial"/>
          <w:szCs w:val="24"/>
        </w:rPr>
        <w:t>,</w:t>
      </w:r>
      <w:r>
        <w:rPr>
          <w:rFonts w:ascii="Arial" w:hAnsi="Arial"/>
          <w:szCs w:val="24"/>
        </w:rPr>
        <w:t xml:space="preserve"> si hay lugar o no</w:t>
      </w:r>
      <w:r w:rsidR="00B0457F">
        <w:rPr>
          <w:rFonts w:ascii="Arial" w:hAnsi="Arial"/>
          <w:szCs w:val="24"/>
        </w:rPr>
        <w:t>,</w:t>
      </w:r>
      <w:r>
        <w:rPr>
          <w:rFonts w:ascii="Arial" w:hAnsi="Arial"/>
          <w:szCs w:val="24"/>
        </w:rPr>
        <w:t xml:space="preserve"> a estudiar de fondo el amparo </w:t>
      </w:r>
      <w:r w:rsidR="00B0457F">
        <w:rPr>
          <w:rFonts w:ascii="Arial" w:hAnsi="Arial"/>
          <w:szCs w:val="24"/>
        </w:rPr>
        <w:t>constitucional</w:t>
      </w:r>
      <w:r>
        <w:rPr>
          <w:rFonts w:ascii="Arial" w:hAnsi="Arial"/>
          <w:szCs w:val="24"/>
        </w:rPr>
        <w:t xml:space="preserve">. </w:t>
      </w:r>
    </w:p>
    <w:p w:rsidR="008215CB" w:rsidRDefault="008215CB" w:rsidP="008215CB">
      <w:pPr>
        <w:pStyle w:val="Textoindependiente"/>
        <w:spacing w:line="360" w:lineRule="auto"/>
        <w:rPr>
          <w:rFonts w:ascii="Arial" w:hAnsi="Arial"/>
          <w:szCs w:val="24"/>
        </w:rPr>
      </w:pPr>
    </w:p>
    <w:p w:rsidR="00A67D00" w:rsidRDefault="00A67D00" w:rsidP="00A67D00">
      <w:pPr>
        <w:pStyle w:val="Textoindependiente"/>
        <w:numPr>
          <w:ilvl w:val="1"/>
          <w:numId w:val="18"/>
        </w:numPr>
        <w:spacing w:line="360" w:lineRule="auto"/>
        <w:rPr>
          <w:rFonts w:ascii="Arial" w:hAnsi="Arial"/>
          <w:szCs w:val="24"/>
        </w:rPr>
      </w:pPr>
      <w:r>
        <w:rPr>
          <w:rFonts w:ascii="Arial" w:hAnsi="Arial"/>
          <w:szCs w:val="24"/>
        </w:rPr>
        <w:t xml:space="preserve">La improcedencia por faltar la subsidiariedad </w:t>
      </w:r>
    </w:p>
    <w:p w:rsidR="00A67D00" w:rsidRDefault="00A67D00" w:rsidP="00A67D00">
      <w:pPr>
        <w:pStyle w:val="Textoindependiente"/>
        <w:spacing w:line="360" w:lineRule="auto"/>
        <w:ind w:left="720"/>
        <w:rPr>
          <w:rFonts w:ascii="Arial" w:hAnsi="Arial"/>
          <w:szCs w:val="24"/>
        </w:rPr>
      </w:pPr>
    </w:p>
    <w:p w:rsidR="008215CB" w:rsidRDefault="008215CB" w:rsidP="008215CB">
      <w:pPr>
        <w:spacing w:line="360" w:lineRule="auto"/>
        <w:jc w:val="both"/>
        <w:rPr>
          <w:rFonts w:ascii="Arial" w:hAnsi="Arial" w:cs="Arial"/>
          <w:lang w:val="es-ES_tradnl"/>
        </w:rPr>
      </w:pPr>
      <w:r>
        <w:rPr>
          <w:rFonts w:ascii="Arial" w:hAnsi="Arial" w:cs="Arial"/>
          <w:lang w:val="es-ES_tradnl"/>
        </w:rPr>
        <w:t>Así entonces, como dichos requisitos son concurrentes, esto es, incumplido uno, se torna inane el examen de los demás, menos podrían revisarse los supuestos especiales</w:t>
      </w:r>
      <w:r w:rsidR="00316531">
        <w:rPr>
          <w:rFonts w:ascii="Arial" w:hAnsi="Arial" w:cs="Arial"/>
          <w:lang w:val="es-ES_tradnl"/>
        </w:rPr>
        <w:t>;</w:t>
      </w:r>
      <w:r>
        <w:rPr>
          <w:rFonts w:ascii="Arial" w:hAnsi="Arial" w:cs="Arial"/>
          <w:lang w:val="es-ES_tradnl"/>
        </w:rPr>
        <w:t xml:space="preserve"> </w:t>
      </w:r>
      <w:r w:rsidR="00B0457F">
        <w:rPr>
          <w:rFonts w:ascii="Arial" w:hAnsi="Arial" w:cs="Arial"/>
          <w:lang w:val="es-ES_tradnl"/>
        </w:rPr>
        <w:t>por consiguiente</w:t>
      </w:r>
      <w:r w:rsidR="00145195">
        <w:rPr>
          <w:rFonts w:ascii="Arial" w:hAnsi="Arial" w:cs="Arial"/>
          <w:lang w:val="es-ES_tradnl"/>
        </w:rPr>
        <w:t>,</w:t>
      </w:r>
      <w:r w:rsidR="00B0457F">
        <w:rPr>
          <w:rFonts w:ascii="Arial" w:hAnsi="Arial" w:cs="Arial"/>
          <w:lang w:val="es-ES_tradnl"/>
        </w:rPr>
        <w:t xml:space="preserve"> </w:t>
      </w:r>
      <w:r w:rsidR="007737B9">
        <w:rPr>
          <w:rFonts w:ascii="Arial" w:hAnsi="Arial" w:cs="Arial"/>
          <w:lang w:val="es-ES_tradnl"/>
        </w:rPr>
        <w:t xml:space="preserve">y </w:t>
      </w:r>
      <w:r>
        <w:rPr>
          <w:rFonts w:ascii="Arial" w:hAnsi="Arial" w:cs="Arial"/>
          <w:lang w:val="es-ES_tradnl"/>
        </w:rPr>
        <w:t>respecto de las acciones populares radicadas a los Nos.</w:t>
      </w:r>
      <w:r w:rsidRPr="00DE74E7">
        <w:rPr>
          <w:rFonts w:ascii="Arial" w:hAnsi="Arial" w:cs="Arial"/>
          <w:lang w:val="es-ES_tradnl"/>
        </w:rPr>
        <w:t>2015-00937-00</w:t>
      </w:r>
      <w:r>
        <w:rPr>
          <w:rFonts w:ascii="Arial" w:hAnsi="Arial" w:cs="Arial"/>
          <w:lang w:val="es-ES_tradnl"/>
        </w:rPr>
        <w:t xml:space="preserve">, </w:t>
      </w:r>
      <w:r w:rsidRPr="00DE74E7">
        <w:rPr>
          <w:rFonts w:ascii="Arial" w:hAnsi="Arial" w:cs="Arial"/>
          <w:lang w:val="es-ES_tradnl"/>
        </w:rPr>
        <w:t>2015-00950-00</w:t>
      </w:r>
      <w:r>
        <w:rPr>
          <w:rFonts w:ascii="Arial" w:hAnsi="Arial" w:cs="Arial"/>
          <w:lang w:val="es-ES_tradnl"/>
        </w:rPr>
        <w:t xml:space="preserve">, </w:t>
      </w:r>
      <w:r w:rsidRPr="00DE74E7">
        <w:rPr>
          <w:rFonts w:ascii="Arial" w:hAnsi="Arial" w:cs="Arial"/>
          <w:lang w:val="es-ES_tradnl"/>
        </w:rPr>
        <w:t>2015-00942-00</w:t>
      </w:r>
      <w:r>
        <w:rPr>
          <w:rFonts w:ascii="Arial" w:hAnsi="Arial" w:cs="Arial"/>
          <w:lang w:val="es-ES_tradnl"/>
        </w:rPr>
        <w:t xml:space="preserve">, </w:t>
      </w:r>
      <w:r w:rsidRPr="00DE74E7">
        <w:rPr>
          <w:rFonts w:ascii="Arial" w:hAnsi="Arial" w:cs="Arial"/>
          <w:lang w:val="es-ES_tradnl"/>
        </w:rPr>
        <w:t>2015-00925-00</w:t>
      </w:r>
      <w:r>
        <w:rPr>
          <w:rFonts w:ascii="Arial" w:hAnsi="Arial" w:cs="Arial"/>
          <w:lang w:val="es-ES_tradnl"/>
        </w:rPr>
        <w:t xml:space="preserve">, </w:t>
      </w:r>
      <w:r w:rsidRPr="00DE74E7">
        <w:rPr>
          <w:rFonts w:ascii="Arial" w:hAnsi="Arial" w:cs="Arial"/>
          <w:lang w:val="es-ES_tradnl"/>
        </w:rPr>
        <w:t>2015-00770-00</w:t>
      </w:r>
      <w:r>
        <w:rPr>
          <w:rFonts w:ascii="Arial" w:hAnsi="Arial" w:cs="Arial"/>
          <w:lang w:val="es-ES_tradnl"/>
        </w:rPr>
        <w:t xml:space="preserve">, </w:t>
      </w:r>
      <w:r w:rsidRPr="00DE74E7">
        <w:rPr>
          <w:rFonts w:ascii="Arial" w:hAnsi="Arial" w:cs="Arial"/>
          <w:lang w:val="es-ES_tradnl"/>
        </w:rPr>
        <w:t>2015-00760-00</w:t>
      </w:r>
      <w:r>
        <w:rPr>
          <w:rFonts w:ascii="Arial" w:hAnsi="Arial" w:cs="Arial"/>
          <w:lang w:val="es-ES_tradnl"/>
        </w:rPr>
        <w:t xml:space="preserve">, </w:t>
      </w:r>
      <w:r w:rsidRPr="00DE74E7">
        <w:rPr>
          <w:rFonts w:ascii="Arial" w:hAnsi="Arial" w:cs="Arial"/>
          <w:lang w:val="es-ES_tradnl"/>
        </w:rPr>
        <w:t>2015-00936-00</w:t>
      </w:r>
      <w:r>
        <w:rPr>
          <w:rFonts w:ascii="Arial" w:hAnsi="Arial" w:cs="Arial"/>
          <w:lang w:val="es-ES_tradnl"/>
        </w:rPr>
        <w:t xml:space="preserve">, </w:t>
      </w:r>
      <w:r w:rsidRPr="00DE74E7">
        <w:rPr>
          <w:rFonts w:ascii="Arial" w:hAnsi="Arial" w:cs="Arial"/>
          <w:lang w:val="es-ES_tradnl"/>
        </w:rPr>
        <w:t>2015-01008-00</w:t>
      </w:r>
      <w:r>
        <w:rPr>
          <w:rFonts w:ascii="Arial" w:hAnsi="Arial" w:cs="Arial"/>
          <w:lang w:val="es-ES_tradnl"/>
        </w:rPr>
        <w:t xml:space="preserve">, </w:t>
      </w:r>
      <w:r w:rsidRPr="00DE74E7">
        <w:rPr>
          <w:rFonts w:ascii="Arial" w:hAnsi="Arial" w:cs="Arial"/>
          <w:lang w:val="es-ES_tradnl"/>
        </w:rPr>
        <w:t>2015-00924-00</w:t>
      </w:r>
      <w:r>
        <w:rPr>
          <w:rFonts w:ascii="Arial" w:hAnsi="Arial" w:cs="Arial"/>
          <w:lang w:val="es-ES_tradnl"/>
        </w:rPr>
        <w:t xml:space="preserve">, </w:t>
      </w:r>
      <w:r w:rsidRPr="00DE74E7">
        <w:rPr>
          <w:rFonts w:ascii="Arial" w:hAnsi="Arial" w:cs="Arial"/>
          <w:lang w:val="es-ES_tradnl"/>
        </w:rPr>
        <w:t>2015-00994-00</w:t>
      </w:r>
      <w:r>
        <w:rPr>
          <w:rFonts w:ascii="Arial" w:hAnsi="Arial" w:cs="Arial"/>
          <w:lang w:val="es-ES_tradnl"/>
        </w:rPr>
        <w:t xml:space="preserve">, </w:t>
      </w:r>
      <w:r w:rsidRPr="00DE74E7">
        <w:rPr>
          <w:rFonts w:ascii="Arial" w:hAnsi="Arial" w:cs="Arial"/>
          <w:lang w:val="es-ES_tradnl"/>
        </w:rPr>
        <w:t>2015-00959-00</w:t>
      </w:r>
      <w:r>
        <w:rPr>
          <w:rFonts w:ascii="Arial" w:hAnsi="Arial" w:cs="Arial"/>
          <w:lang w:val="es-ES_tradnl"/>
        </w:rPr>
        <w:t xml:space="preserve">, </w:t>
      </w:r>
      <w:r w:rsidRPr="00DE74E7">
        <w:rPr>
          <w:rFonts w:ascii="Arial" w:hAnsi="Arial" w:cs="Arial"/>
          <w:lang w:val="es-ES_tradnl"/>
        </w:rPr>
        <w:t>2015-00978-00</w:t>
      </w:r>
      <w:r>
        <w:rPr>
          <w:rFonts w:ascii="Arial" w:hAnsi="Arial" w:cs="Arial"/>
          <w:lang w:val="es-ES_tradnl"/>
        </w:rPr>
        <w:t xml:space="preserve">, </w:t>
      </w:r>
      <w:r w:rsidRPr="00DE74E7">
        <w:rPr>
          <w:rFonts w:ascii="Arial" w:hAnsi="Arial" w:cs="Arial"/>
          <w:lang w:val="es-ES_tradnl"/>
        </w:rPr>
        <w:t>2015-00997-00</w:t>
      </w:r>
      <w:r>
        <w:rPr>
          <w:rFonts w:ascii="Arial" w:hAnsi="Arial" w:cs="Arial"/>
          <w:lang w:val="es-ES_tradnl"/>
        </w:rPr>
        <w:t xml:space="preserve">, </w:t>
      </w:r>
      <w:r w:rsidRPr="00DE74E7">
        <w:rPr>
          <w:rFonts w:ascii="Arial" w:hAnsi="Arial" w:cs="Arial"/>
          <w:lang w:val="es-ES_tradnl"/>
        </w:rPr>
        <w:t>2015-01007-00</w:t>
      </w:r>
      <w:r>
        <w:rPr>
          <w:rFonts w:ascii="Arial" w:hAnsi="Arial" w:cs="Arial"/>
          <w:lang w:val="es-ES_tradnl"/>
        </w:rPr>
        <w:t xml:space="preserve">, </w:t>
      </w:r>
      <w:r w:rsidRPr="00DE74E7">
        <w:rPr>
          <w:rFonts w:ascii="Arial" w:hAnsi="Arial" w:cs="Arial"/>
          <w:lang w:val="es-ES_tradnl"/>
        </w:rPr>
        <w:t>2015-00982-00</w:t>
      </w:r>
      <w:r>
        <w:rPr>
          <w:rFonts w:ascii="Arial" w:hAnsi="Arial" w:cs="Arial"/>
          <w:lang w:val="es-ES_tradnl"/>
        </w:rPr>
        <w:t xml:space="preserve">, </w:t>
      </w:r>
      <w:r w:rsidRPr="00DE74E7">
        <w:rPr>
          <w:rFonts w:ascii="Arial" w:hAnsi="Arial" w:cs="Arial"/>
          <w:lang w:val="es-ES_tradnl"/>
        </w:rPr>
        <w:t>2015-00954-00</w:t>
      </w:r>
      <w:r>
        <w:rPr>
          <w:rFonts w:ascii="Arial" w:hAnsi="Arial" w:cs="Arial"/>
          <w:lang w:val="es-ES_tradnl"/>
        </w:rPr>
        <w:t xml:space="preserve"> y </w:t>
      </w:r>
      <w:r w:rsidRPr="00DE74E7">
        <w:rPr>
          <w:rFonts w:ascii="Arial" w:hAnsi="Arial" w:cs="Arial"/>
          <w:lang w:val="es-ES_tradnl"/>
        </w:rPr>
        <w:t>2015-00967-00</w:t>
      </w:r>
      <w:r w:rsidR="00316531">
        <w:rPr>
          <w:rFonts w:ascii="Arial" w:hAnsi="Arial" w:cs="Arial"/>
          <w:lang w:val="es-ES_tradnl"/>
        </w:rPr>
        <w:t xml:space="preserve"> </w:t>
      </w:r>
      <w:r w:rsidR="00316531" w:rsidRPr="00271622">
        <w:rPr>
          <w:rFonts w:ascii="Arial" w:hAnsi="Arial" w:cs="Arial"/>
        </w:rPr>
        <w:t>(Folio</w:t>
      </w:r>
      <w:r w:rsidR="00316531">
        <w:rPr>
          <w:rFonts w:ascii="Arial" w:hAnsi="Arial" w:cs="Arial"/>
        </w:rPr>
        <w:t>s</w:t>
      </w:r>
      <w:r w:rsidR="00316531" w:rsidRPr="00271622">
        <w:rPr>
          <w:rFonts w:ascii="Arial" w:hAnsi="Arial" w:cs="Arial"/>
        </w:rPr>
        <w:t xml:space="preserve"> </w:t>
      </w:r>
      <w:r w:rsidR="00316531">
        <w:rPr>
          <w:rFonts w:ascii="Arial" w:hAnsi="Arial" w:cs="Arial"/>
        </w:rPr>
        <w:t>28 a 41 y 60</w:t>
      </w:r>
      <w:r w:rsidR="00316531" w:rsidRPr="00271622">
        <w:rPr>
          <w:rFonts w:ascii="Arial" w:hAnsi="Arial" w:cs="Arial"/>
        </w:rPr>
        <w:t>, ib.)</w:t>
      </w:r>
      <w:r>
        <w:rPr>
          <w:rFonts w:ascii="Arial" w:hAnsi="Arial" w:cs="Arial"/>
          <w:lang w:val="es-ES_tradnl"/>
        </w:rPr>
        <w:t xml:space="preserve">, </w:t>
      </w:r>
      <w:r w:rsidR="007737B9">
        <w:rPr>
          <w:rFonts w:ascii="Arial" w:hAnsi="Arial" w:cs="Arial"/>
          <w:lang w:val="es-ES_tradnl"/>
        </w:rPr>
        <w:t xml:space="preserve">se considera </w:t>
      </w:r>
      <w:r w:rsidR="00B0457F">
        <w:rPr>
          <w:rFonts w:ascii="Arial" w:hAnsi="Arial" w:cs="Arial"/>
          <w:lang w:val="es-ES_tradnl"/>
        </w:rPr>
        <w:t xml:space="preserve">que </w:t>
      </w:r>
      <w:r>
        <w:rPr>
          <w:rFonts w:ascii="Arial" w:hAnsi="Arial" w:cs="Arial"/>
          <w:lang w:val="es-ES_tradnl"/>
        </w:rPr>
        <w:t xml:space="preserve">el análisis </w:t>
      </w:r>
      <w:r w:rsidR="00B0457F">
        <w:rPr>
          <w:rFonts w:ascii="Arial" w:hAnsi="Arial" w:cs="Arial"/>
          <w:lang w:val="es-ES_tradnl"/>
        </w:rPr>
        <w:t xml:space="preserve">debe limitarse </w:t>
      </w:r>
      <w:r>
        <w:rPr>
          <w:rFonts w:ascii="Arial" w:hAnsi="Arial" w:cs="Arial"/>
          <w:lang w:val="es-ES_tradnl"/>
        </w:rPr>
        <w:t xml:space="preserve">a la subsidiariedad, porque es </w:t>
      </w:r>
      <w:r w:rsidRPr="004802FE">
        <w:rPr>
          <w:rFonts w:ascii="Arial" w:hAnsi="Arial" w:cs="Arial"/>
          <w:lang w:val="es-ES_tradnl"/>
        </w:rPr>
        <w:t>el elemento que se advierte ausente y resulta suficiente para el fracaso del amparo.</w:t>
      </w:r>
    </w:p>
    <w:p w:rsidR="007D395F" w:rsidRDefault="007D395F" w:rsidP="008215CB">
      <w:pPr>
        <w:spacing w:line="360" w:lineRule="auto"/>
        <w:jc w:val="both"/>
        <w:rPr>
          <w:rFonts w:ascii="Arial" w:hAnsi="Arial" w:cs="Arial"/>
          <w:lang w:val="es-ES_tradnl"/>
        </w:rPr>
      </w:pPr>
    </w:p>
    <w:p w:rsidR="007D395F" w:rsidRDefault="007D395F" w:rsidP="007D395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w:t>
      </w:r>
      <w:r>
        <w:rPr>
          <w:rFonts w:ascii="Arial" w:hAnsi="Arial" w:cs="Arial"/>
        </w:rPr>
        <w:t xml:space="preserve">citadas acciones </w:t>
      </w:r>
      <w:r w:rsidRPr="00301067">
        <w:rPr>
          <w:rFonts w:ascii="Arial" w:hAnsi="Arial" w:cs="Arial"/>
        </w:rPr>
        <w:t>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está pendiente de resolverse por parte de los despachos judiciales a los cuales fueron remitidos los procesos, si asumen su conocimiento o provocan el conflicto negativo de competencia, actuaciones que </w:t>
      </w:r>
      <w:r>
        <w:rPr>
          <w:rFonts w:ascii="Arial" w:hAnsi="Arial" w:cs="Arial"/>
          <w:bCs/>
        </w:rPr>
        <w:t>revelarán</w:t>
      </w:r>
      <w:r w:rsidRPr="00B0457F">
        <w:rPr>
          <w:rFonts w:ascii="Arial" w:hAnsi="Arial" w:cs="Arial"/>
        </w:rPr>
        <w:t xml:space="preserve"> </w:t>
      </w:r>
      <w:r>
        <w:rPr>
          <w:rFonts w:ascii="Arial" w:hAnsi="Arial" w:cs="Arial"/>
        </w:rPr>
        <w:t>al actor, los juzgados que tramitarán sus acciones, que conforme la sentencia T-103 de 2014</w:t>
      </w:r>
      <w:r>
        <w:rPr>
          <w:rStyle w:val="Refdenotaalpie"/>
          <w:rFonts w:ascii="Arial" w:hAnsi="Arial"/>
        </w:rPr>
        <w:footnoteReference w:id="24"/>
      </w:r>
      <w:r>
        <w:rPr>
          <w:rFonts w:ascii="Arial" w:hAnsi="Arial" w:cs="Arial"/>
        </w:rPr>
        <w:t>, se debe declarar su improcedencia porque bajo los lineamientos allí citados también se incumple el principio de subsidiariedad cuando los procesos aún se encuentran en trámite.</w:t>
      </w:r>
    </w:p>
    <w:p w:rsidR="007D395F" w:rsidRPr="00185704" w:rsidRDefault="007D395F" w:rsidP="007D395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rPr>
      </w:pPr>
    </w:p>
    <w:p w:rsidR="007D395F" w:rsidRDefault="007D395F" w:rsidP="007D395F">
      <w:pPr>
        <w:spacing w:line="360" w:lineRule="auto"/>
        <w:jc w:val="both"/>
        <w:rPr>
          <w:rFonts w:ascii="Arial" w:hAnsi="Arial" w:cs="Arial"/>
        </w:rPr>
      </w:pPr>
      <w:r>
        <w:rPr>
          <w:rFonts w:ascii="Arial" w:hAnsi="Arial" w:cs="Arial"/>
        </w:rPr>
        <w:t xml:space="preserve">Asimismo, no sobra advertir que frente a los autos mediante los cuales el accionado declaró </w:t>
      </w:r>
      <w:r w:rsidRPr="004E00A6">
        <w:rPr>
          <w:rFonts w:ascii="Arial" w:hAnsi="Arial" w:cs="Arial"/>
        </w:rPr>
        <w:t>“precluido el pago de las copias necesarias para incoar la queja y dispuso cumplir la orden impartida en los proveídos que rechazaron las demandas por competencia”</w:t>
      </w:r>
      <w:r>
        <w:rPr>
          <w:rFonts w:ascii="Arial" w:hAnsi="Arial" w:cs="Arial"/>
        </w:rPr>
        <w:t xml:space="preserve">, el </w:t>
      </w:r>
      <w:r w:rsidRPr="004E00A6">
        <w:rPr>
          <w:rFonts w:ascii="Arial" w:hAnsi="Arial" w:cs="Arial"/>
          <w:u w:val="single"/>
        </w:rPr>
        <w:t>actor no formuló recurso alguno</w:t>
      </w:r>
      <w:r>
        <w:rPr>
          <w:rFonts w:ascii="Arial" w:hAnsi="Arial" w:cs="Arial"/>
        </w:rPr>
        <w:t xml:space="preserve">, pretermitiendo los tiempos de ley para hacerlo y dando lugar a que adquirieran firmeza. </w:t>
      </w:r>
    </w:p>
    <w:p w:rsidR="007D395F" w:rsidRDefault="007D395F" w:rsidP="007D395F">
      <w:pPr>
        <w:spacing w:line="360" w:lineRule="auto"/>
        <w:jc w:val="both"/>
        <w:rPr>
          <w:rFonts w:ascii="Arial" w:hAnsi="Arial" w:cs="Arial"/>
        </w:rPr>
      </w:pPr>
    </w:p>
    <w:p w:rsidR="007D395F" w:rsidRDefault="007D395F" w:rsidP="007D395F">
      <w:pPr>
        <w:spacing w:line="360" w:lineRule="auto"/>
        <w:jc w:val="both"/>
        <w:rPr>
          <w:rFonts w:ascii="Arial" w:hAnsi="Arial" w:cs="Arial"/>
        </w:rPr>
      </w:pPr>
      <w:r>
        <w:rPr>
          <w:rFonts w:ascii="Arial" w:hAnsi="Arial" w:cs="Arial"/>
        </w:rPr>
        <w:t xml:space="preserve">Lo anterior, según se desprende de las copias de los procesos cuestionados, arrimadas por el accionado y de la certificación realizada por el mismo </w:t>
      </w:r>
      <w:r w:rsidRPr="00271622">
        <w:rPr>
          <w:rFonts w:ascii="Arial" w:hAnsi="Arial" w:cs="Arial"/>
        </w:rPr>
        <w:t>(Folio</w:t>
      </w:r>
      <w:r>
        <w:rPr>
          <w:rFonts w:ascii="Arial" w:hAnsi="Arial" w:cs="Arial"/>
        </w:rPr>
        <w:t>s</w:t>
      </w:r>
      <w:r w:rsidRPr="00271622">
        <w:rPr>
          <w:rFonts w:ascii="Arial" w:hAnsi="Arial" w:cs="Arial"/>
        </w:rPr>
        <w:t xml:space="preserve"> </w:t>
      </w:r>
      <w:r>
        <w:rPr>
          <w:rFonts w:ascii="Arial" w:hAnsi="Arial" w:cs="Arial"/>
        </w:rPr>
        <w:t>28 a 41 y 60</w:t>
      </w:r>
      <w:r w:rsidRPr="00271622">
        <w:rPr>
          <w:rFonts w:ascii="Arial" w:hAnsi="Arial" w:cs="Arial"/>
        </w:rPr>
        <w:t>, ib.)</w:t>
      </w:r>
      <w:r>
        <w:rPr>
          <w:rFonts w:ascii="Arial" w:hAnsi="Arial" w:cs="Arial"/>
        </w:rPr>
        <w:t>.</w:t>
      </w:r>
    </w:p>
    <w:p w:rsidR="007D395F" w:rsidRDefault="007D395F" w:rsidP="007D395F">
      <w:pPr>
        <w:spacing w:line="360" w:lineRule="auto"/>
        <w:jc w:val="both"/>
        <w:rPr>
          <w:rFonts w:ascii="Arial" w:hAnsi="Arial" w:cs="Arial"/>
        </w:rPr>
      </w:pPr>
    </w:p>
    <w:p w:rsidR="007D395F" w:rsidRDefault="007D395F" w:rsidP="007D395F">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referidas 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w:t>
      </w:r>
      <w:r>
        <w:rPr>
          <w:rFonts w:ascii="Arial" w:hAnsi="Arial"/>
        </w:rPr>
        <w:t>por incumplirse</w:t>
      </w:r>
      <w:r w:rsidRPr="00486763">
        <w:rPr>
          <w:rFonts w:ascii="Arial" w:hAnsi="Arial"/>
        </w:rPr>
        <w:t xml:space="preserve">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es el de subsidiariedad</w:t>
      </w:r>
      <w:r>
        <w:rPr>
          <w:rFonts w:ascii="Arial" w:hAnsi="Arial"/>
        </w:rPr>
        <w:t>, pues aún se encuentran en trámite las acciones populares, amén de que, no se formularon los recursos ordinarios contra el auto que decidió sobre las copias para el recurso de queja.</w:t>
      </w:r>
    </w:p>
    <w:p w:rsidR="00B0457F" w:rsidRDefault="00B0457F" w:rsidP="008215CB">
      <w:pPr>
        <w:spacing w:line="360" w:lineRule="auto"/>
        <w:jc w:val="both"/>
        <w:rPr>
          <w:rFonts w:ascii="Arial" w:hAnsi="Arial" w:cs="Arial"/>
          <w:lang w:val="es-ES_tradnl"/>
        </w:rPr>
      </w:pPr>
    </w:p>
    <w:p w:rsidR="00A67D00" w:rsidRDefault="00A67D00" w:rsidP="00A67D00">
      <w:pPr>
        <w:pStyle w:val="Prrafodelista"/>
        <w:numPr>
          <w:ilvl w:val="1"/>
          <w:numId w:val="18"/>
        </w:numPr>
        <w:spacing w:line="360" w:lineRule="auto"/>
        <w:jc w:val="both"/>
        <w:rPr>
          <w:rFonts w:ascii="Arial" w:hAnsi="Arial" w:cs="Arial"/>
          <w:lang w:val="es-ES_tradnl"/>
        </w:rPr>
      </w:pPr>
      <w:r>
        <w:rPr>
          <w:rFonts w:ascii="Arial" w:hAnsi="Arial" w:cs="Arial"/>
          <w:lang w:val="es-ES_tradnl"/>
        </w:rPr>
        <w:t>El defecto material o desconocimiento del precedente</w:t>
      </w:r>
    </w:p>
    <w:p w:rsidR="00A67D00" w:rsidRPr="00A67D00" w:rsidRDefault="00A67D00" w:rsidP="00A67D00">
      <w:pPr>
        <w:pStyle w:val="Prrafodelista"/>
        <w:spacing w:line="360" w:lineRule="auto"/>
        <w:ind w:left="720"/>
        <w:jc w:val="both"/>
        <w:rPr>
          <w:rFonts w:ascii="Arial" w:hAnsi="Arial" w:cs="Arial"/>
          <w:lang w:val="es-ES_tradnl"/>
        </w:rPr>
      </w:pPr>
    </w:p>
    <w:p w:rsidR="00145195" w:rsidRDefault="00145195" w:rsidP="00145195">
      <w:pPr>
        <w:spacing w:line="360" w:lineRule="auto"/>
        <w:jc w:val="both"/>
        <w:rPr>
          <w:rFonts w:ascii="Arial" w:hAnsi="Arial"/>
        </w:rPr>
      </w:pPr>
      <w:r w:rsidRPr="004802FE">
        <w:rPr>
          <w:rFonts w:ascii="Arial" w:hAnsi="Arial" w:cs="Arial"/>
          <w:lang w:val="es-ES_tradnl"/>
        </w:rPr>
        <w:t xml:space="preserve">No </w:t>
      </w:r>
      <w:r w:rsidR="00F20700" w:rsidRPr="004802FE">
        <w:rPr>
          <w:rFonts w:ascii="Arial" w:hAnsi="Arial" w:cs="Arial"/>
          <w:lang w:val="es-ES_tradnl"/>
        </w:rPr>
        <w:t>sucede lo mismo</w:t>
      </w:r>
      <w:r w:rsidRPr="004802FE">
        <w:rPr>
          <w:rFonts w:ascii="Arial" w:hAnsi="Arial" w:cs="Arial"/>
          <w:lang w:val="es-ES_tradnl"/>
        </w:rPr>
        <w:t xml:space="preserve"> con relación a la acción popular No.2015-00489-00</w:t>
      </w:r>
      <w:r w:rsidR="00316531">
        <w:rPr>
          <w:rFonts w:ascii="Arial" w:hAnsi="Arial" w:cs="Arial"/>
          <w:lang w:val="es-ES_tradnl"/>
        </w:rPr>
        <w:t xml:space="preserve"> (Folios </w:t>
      </w:r>
      <w:r w:rsidR="007737B9">
        <w:rPr>
          <w:rFonts w:ascii="Arial" w:hAnsi="Arial" w:cs="Arial"/>
          <w:lang w:val="es-ES_tradnl"/>
        </w:rPr>
        <w:t>42 a 59, ib.)</w:t>
      </w:r>
      <w:r w:rsidRPr="004802FE">
        <w:rPr>
          <w:rFonts w:ascii="Arial" w:hAnsi="Arial" w:cs="Arial"/>
          <w:lang w:val="es-ES_tradnl"/>
        </w:rPr>
        <w:t xml:space="preserve">, pues </w:t>
      </w:r>
      <w:r w:rsidR="00316531">
        <w:rPr>
          <w:rFonts w:ascii="Arial" w:hAnsi="Arial" w:cs="Arial"/>
          <w:lang w:val="es-ES_tradnl"/>
        </w:rPr>
        <w:t xml:space="preserve">están </w:t>
      </w:r>
      <w:r w:rsidRPr="004802FE">
        <w:rPr>
          <w:rFonts w:ascii="Arial" w:hAnsi="Arial" w:cs="Arial"/>
          <w:lang w:val="es-ES_tradnl"/>
        </w:rPr>
        <w:t>debidamente cumplidos los requisitos generales de procedibilidad</w:t>
      </w:r>
      <w:r w:rsidRPr="004802FE">
        <w:rPr>
          <w:rFonts w:ascii="Arial" w:hAnsi="Arial"/>
        </w:rPr>
        <w:t xml:space="preserve">. El asunto es de relevancia constitucional; se agotó </w:t>
      </w:r>
      <w:r w:rsidRPr="004802FE">
        <w:rPr>
          <w:rFonts w:ascii="Arial" w:hAnsi="Arial"/>
          <w:lang w:val="es-CO"/>
        </w:rPr>
        <w:t xml:space="preserve">el medio ordinario, recurso de reposición, </w:t>
      </w:r>
      <w:r w:rsidRPr="004802FE">
        <w:rPr>
          <w:rFonts w:ascii="Arial" w:hAnsi="Arial"/>
        </w:rPr>
        <w:t xml:space="preserve">ante la </w:t>
      </w:r>
      <w:r w:rsidRPr="004802FE">
        <w:rPr>
          <w:rFonts w:ascii="Arial" w:hAnsi="Arial"/>
          <w:i/>
        </w:rPr>
        <w:t>a quo</w:t>
      </w:r>
      <w:r w:rsidRPr="004802FE">
        <w:rPr>
          <w:rFonts w:ascii="Arial" w:hAnsi="Arial"/>
        </w:rPr>
        <w:t xml:space="preserve"> (Subsidiariedad); la decisión reprochada no es de tutela; hay inmediatez porque la providencia que resolvió el recurso de reposición y negó la apelación está fechada 28-01-2016 (Folio 57, ib.), </w:t>
      </w:r>
      <w:r w:rsidR="004E00A6">
        <w:rPr>
          <w:rFonts w:ascii="Arial" w:hAnsi="Arial"/>
        </w:rPr>
        <w:t xml:space="preserve">fue </w:t>
      </w:r>
      <w:r w:rsidRPr="004802FE">
        <w:rPr>
          <w:rFonts w:ascii="Arial" w:hAnsi="Arial"/>
        </w:rPr>
        <w:t>notificada por estado el día 29-01-2016; y la irregularidad realzada por la parte, resulta ser trascedente para el trámite del asunto.</w:t>
      </w:r>
    </w:p>
    <w:p w:rsidR="007D395F" w:rsidRPr="004802FE" w:rsidRDefault="007D395F" w:rsidP="00145195">
      <w:pPr>
        <w:spacing w:line="360" w:lineRule="auto"/>
        <w:jc w:val="both"/>
        <w:rPr>
          <w:rFonts w:ascii="Arial" w:hAnsi="Arial"/>
        </w:rPr>
      </w:pPr>
    </w:p>
    <w:p w:rsidR="00B0457F" w:rsidRDefault="00B0457F" w:rsidP="00B0457F">
      <w:pPr>
        <w:spacing w:line="360" w:lineRule="auto"/>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w:t>
      </w:r>
      <w:r w:rsidR="004E00A6">
        <w:rPr>
          <w:rFonts w:ascii="Arial" w:hAnsi="Arial" w:cs="Arial"/>
          <w:lang w:val="es-ES_tradnl"/>
        </w:rPr>
        <w:t xml:space="preserve">negó </w:t>
      </w:r>
      <w:r>
        <w:rPr>
          <w:rFonts w:ascii="Arial" w:hAnsi="Arial" w:cs="Arial"/>
          <w:lang w:val="es-ES_tradnl"/>
        </w:rPr>
        <w:t>los recursos de apelación que formuló contra los autos que rechazaron las acciones</w:t>
      </w:r>
      <w:r w:rsidR="001D69AE">
        <w:rPr>
          <w:rFonts w:ascii="Arial" w:hAnsi="Arial" w:cs="Arial"/>
          <w:lang w:val="es-ES_tradnl"/>
        </w:rPr>
        <w:t xml:space="preserve"> y </w:t>
      </w:r>
      <w:r>
        <w:rPr>
          <w:rFonts w:ascii="Arial" w:hAnsi="Arial" w:cs="Arial"/>
          <w:lang w:val="es-ES_tradnl"/>
        </w:rPr>
        <w:t>no asumió su conocimiento</w:t>
      </w:r>
      <w:r w:rsidR="004E00A6">
        <w:rPr>
          <w:rFonts w:ascii="Arial" w:hAnsi="Arial" w:cs="Arial"/>
          <w:lang w:val="es-ES_tradnl"/>
        </w:rPr>
        <w:t>,</w:t>
      </w:r>
      <w:r>
        <w:rPr>
          <w:rFonts w:ascii="Arial" w:hAnsi="Arial" w:cs="Arial"/>
          <w:lang w:val="es-ES_tradnl"/>
        </w:rPr>
        <w:t xml:space="preserve"> a pesar de haber sido elegido a prevención, conforme </w:t>
      </w:r>
      <w:r w:rsidR="004E00A6">
        <w:rPr>
          <w:rFonts w:ascii="Arial" w:hAnsi="Arial" w:cs="Arial"/>
          <w:lang w:val="es-ES_tradnl"/>
        </w:rPr>
        <w:t>al a</w:t>
      </w:r>
      <w:r>
        <w:rPr>
          <w:rFonts w:ascii="Arial" w:hAnsi="Arial" w:cs="Arial"/>
          <w:lang w:val="es-ES_tradnl"/>
        </w:rPr>
        <w:t xml:space="preserve">rtículo 16 de la Ley 472. </w:t>
      </w:r>
    </w:p>
    <w:p w:rsidR="00A67D00" w:rsidRDefault="00A67D00" w:rsidP="00B0457F">
      <w:pPr>
        <w:spacing w:line="360" w:lineRule="auto"/>
        <w:jc w:val="both"/>
        <w:rPr>
          <w:rFonts w:ascii="Arial" w:hAnsi="Arial" w:cs="Arial"/>
          <w:lang w:val="es-ES_tradnl"/>
        </w:rPr>
      </w:pPr>
    </w:p>
    <w:p w:rsidR="008215CB" w:rsidRDefault="007D395F" w:rsidP="009D7CC3">
      <w:pPr>
        <w:spacing w:line="360" w:lineRule="auto"/>
        <w:jc w:val="both"/>
        <w:rPr>
          <w:rFonts w:ascii="Arial" w:hAnsi="Arial"/>
        </w:rPr>
      </w:pPr>
      <w:r>
        <w:rPr>
          <w:rFonts w:ascii="Arial" w:hAnsi="Arial" w:cs="Arial"/>
          <w:lang w:val="es-ES_tradnl"/>
        </w:rPr>
        <w:t>L</w:t>
      </w:r>
      <w:r w:rsidR="00B0457F" w:rsidRPr="00316531">
        <w:rPr>
          <w:rFonts w:ascii="Arial" w:hAnsi="Arial" w:cs="Arial"/>
          <w:lang w:val="es-ES_tradnl"/>
        </w:rPr>
        <w:t>a acción popular 2015-00489-00</w:t>
      </w:r>
      <w:r w:rsidR="00F20700" w:rsidRPr="00316531">
        <w:rPr>
          <w:rFonts w:ascii="Arial" w:hAnsi="Arial" w:cs="Arial"/>
          <w:lang w:val="es-ES_tradnl"/>
        </w:rPr>
        <w:t xml:space="preserve">, </w:t>
      </w:r>
      <w:r w:rsidR="00316531">
        <w:rPr>
          <w:rFonts w:ascii="Arial" w:hAnsi="Arial" w:cs="Arial"/>
          <w:lang w:val="es-ES_tradnl"/>
        </w:rPr>
        <w:t xml:space="preserve">que corresponde a una de las </w:t>
      </w:r>
      <w:r w:rsidR="00F20700" w:rsidRPr="00316531">
        <w:rPr>
          <w:rFonts w:ascii="Arial" w:hAnsi="Arial" w:cs="Arial"/>
          <w:lang w:val="es-ES_tradnl"/>
        </w:rPr>
        <w:t>refe</w:t>
      </w:r>
      <w:r w:rsidR="004802FE" w:rsidRPr="00316531">
        <w:rPr>
          <w:rFonts w:ascii="Arial" w:hAnsi="Arial" w:cs="Arial"/>
          <w:lang w:val="es-ES_tradnl"/>
        </w:rPr>
        <w:t>rida</w:t>
      </w:r>
      <w:r w:rsidR="00316531">
        <w:rPr>
          <w:rFonts w:ascii="Arial" w:hAnsi="Arial" w:cs="Arial"/>
          <w:lang w:val="es-ES_tradnl"/>
        </w:rPr>
        <w:t>s</w:t>
      </w:r>
      <w:r w:rsidR="004802FE" w:rsidRPr="00316531">
        <w:rPr>
          <w:rFonts w:ascii="Arial" w:hAnsi="Arial" w:cs="Arial"/>
          <w:lang w:val="es-ES_tradnl"/>
        </w:rPr>
        <w:t xml:space="preserve"> en </w:t>
      </w:r>
      <w:r w:rsidR="001D69AE">
        <w:rPr>
          <w:rFonts w:ascii="Arial" w:hAnsi="Arial" w:cs="Arial"/>
          <w:lang w:val="es-ES_tradnl"/>
        </w:rPr>
        <w:t xml:space="preserve">la </w:t>
      </w:r>
      <w:r w:rsidR="004802FE" w:rsidRPr="00316531">
        <w:rPr>
          <w:rFonts w:ascii="Arial" w:hAnsi="Arial" w:cs="Arial"/>
          <w:lang w:val="es-ES_tradnl"/>
        </w:rPr>
        <w:t xml:space="preserve">tutela </w:t>
      </w:r>
      <w:r w:rsidR="001D69AE">
        <w:rPr>
          <w:rFonts w:ascii="Arial" w:hAnsi="Arial" w:cs="Arial"/>
          <w:lang w:val="es-ES_tradnl"/>
        </w:rPr>
        <w:t xml:space="preserve">radicada </w:t>
      </w:r>
      <w:r w:rsidR="004802FE" w:rsidRPr="00316531">
        <w:rPr>
          <w:rFonts w:ascii="Arial" w:hAnsi="Arial" w:cs="Arial"/>
          <w:lang w:val="es-ES_tradnl"/>
        </w:rPr>
        <w:t>No.</w:t>
      </w:r>
      <w:r w:rsidR="00F20700" w:rsidRPr="00316531">
        <w:rPr>
          <w:rFonts w:ascii="Arial" w:hAnsi="Arial" w:cs="Arial"/>
          <w:lang w:val="es-ES_tradnl"/>
        </w:rPr>
        <w:t>2016-00065-00</w:t>
      </w:r>
      <w:r w:rsidR="00850B19">
        <w:rPr>
          <w:rFonts w:ascii="Arial" w:hAnsi="Arial" w:cs="Arial"/>
          <w:lang w:val="es-ES_tradnl"/>
        </w:rPr>
        <w:t xml:space="preserve"> (</w:t>
      </w:r>
      <w:r w:rsidR="00850B19" w:rsidRPr="00850B19">
        <w:rPr>
          <w:rFonts w:ascii="Arial" w:hAnsi="Arial" w:cs="Arial"/>
          <w:lang w:val="es-CO"/>
        </w:rPr>
        <w:t>Tiene como pretensión exclusiva que se conceda el recurso de apelación form</w:t>
      </w:r>
      <w:r w:rsidR="00850B19">
        <w:rPr>
          <w:rFonts w:ascii="Arial" w:hAnsi="Arial" w:cs="Arial"/>
          <w:lang w:val="es-CO"/>
        </w:rPr>
        <w:t>ulado contra el auto que rechazó)</w:t>
      </w:r>
      <w:r w:rsidR="004802FE" w:rsidRPr="00316531">
        <w:rPr>
          <w:rFonts w:ascii="Arial" w:hAnsi="Arial" w:cs="Arial"/>
          <w:lang w:val="es-ES_tradnl"/>
        </w:rPr>
        <w:t>, acumulada a este asunto</w:t>
      </w:r>
      <w:r w:rsidR="00B0457F" w:rsidRPr="00316531">
        <w:rPr>
          <w:rFonts w:ascii="Arial" w:hAnsi="Arial" w:cs="Arial"/>
          <w:lang w:val="es-ES_tradnl"/>
        </w:rPr>
        <w:t xml:space="preserve">, </w:t>
      </w:r>
      <w:r w:rsidR="009D7CC3" w:rsidRPr="00316531">
        <w:rPr>
          <w:rFonts w:ascii="Arial" w:hAnsi="Arial" w:cs="Arial"/>
          <w:lang w:val="es-ES_tradnl"/>
        </w:rPr>
        <w:t xml:space="preserve">frente a la que, como se dijo previamente, se encuentra superado </w:t>
      </w:r>
      <w:r w:rsidR="008215CB" w:rsidRPr="00316531">
        <w:rPr>
          <w:rFonts w:ascii="Arial" w:hAnsi="Arial"/>
        </w:rPr>
        <w:t>el estudio de los requisitos generales</w:t>
      </w:r>
      <w:r w:rsidR="004802FE" w:rsidRPr="00316531">
        <w:rPr>
          <w:rFonts w:ascii="Arial" w:hAnsi="Arial"/>
        </w:rPr>
        <w:t>, por consiguiente,</w:t>
      </w:r>
      <w:r w:rsidR="008215CB" w:rsidRPr="00316531">
        <w:rPr>
          <w:rFonts w:ascii="Arial" w:hAnsi="Arial"/>
        </w:rPr>
        <w:t xml:space="preserve"> corresponde </w:t>
      </w:r>
      <w:r w:rsidR="009D7CC3" w:rsidRPr="00316531">
        <w:rPr>
          <w:rFonts w:ascii="Arial" w:hAnsi="Arial"/>
        </w:rPr>
        <w:t xml:space="preserve">entonces </w:t>
      </w:r>
      <w:r w:rsidR="008215CB" w:rsidRPr="00316531">
        <w:rPr>
          <w:rFonts w:ascii="Arial" w:hAnsi="Arial"/>
        </w:rPr>
        <w:t xml:space="preserve">proseguir con la revisión de las causales especiales, que se entiende se subsume en el </w:t>
      </w:r>
      <w:r w:rsidR="00850B19">
        <w:rPr>
          <w:rFonts w:ascii="Arial" w:hAnsi="Arial"/>
        </w:rPr>
        <w:t>“</w:t>
      </w:r>
      <w:r w:rsidR="008215CB" w:rsidRPr="00316531">
        <w:rPr>
          <w:rFonts w:ascii="Arial" w:hAnsi="Arial"/>
        </w:rPr>
        <w:t>defecto sustantivo por desconocimiento del precedente</w:t>
      </w:r>
      <w:r w:rsidR="00850B19">
        <w:rPr>
          <w:rFonts w:ascii="Arial" w:hAnsi="Arial"/>
        </w:rPr>
        <w:t>”</w:t>
      </w:r>
      <w:r w:rsidR="008215CB" w:rsidRPr="00316531">
        <w:rPr>
          <w:rFonts w:ascii="Arial" w:hAnsi="Arial"/>
        </w:rPr>
        <w:t xml:space="preserve">, pues el actor se duele de que </w:t>
      </w:r>
      <w:r w:rsidR="009D7CC3" w:rsidRPr="00316531">
        <w:rPr>
          <w:rFonts w:ascii="Arial" w:hAnsi="Arial"/>
        </w:rPr>
        <w:t>no fue concedida la apelación formulada contra el auto que rechazó la acción a pesar de ser un proceso de dos instancias</w:t>
      </w:r>
      <w:r w:rsidR="008215CB" w:rsidRPr="00316531">
        <w:rPr>
          <w:rFonts w:ascii="Arial" w:hAnsi="Arial"/>
        </w:rPr>
        <w:t>.</w:t>
      </w:r>
      <w:r w:rsidR="008215CB">
        <w:rPr>
          <w:rFonts w:ascii="Arial" w:hAnsi="Arial"/>
        </w:rPr>
        <w:t xml:space="preserve"> </w:t>
      </w:r>
    </w:p>
    <w:p w:rsidR="009D7CC3" w:rsidRDefault="009D7CC3" w:rsidP="009D7CC3">
      <w:pPr>
        <w:pStyle w:val="Textoindependiente"/>
        <w:spacing w:line="360" w:lineRule="auto"/>
        <w:rPr>
          <w:rFonts w:ascii="Arial" w:hAnsi="Arial"/>
          <w:szCs w:val="24"/>
        </w:rPr>
      </w:pPr>
    </w:p>
    <w:p w:rsidR="00EF29C9" w:rsidRDefault="00F20700" w:rsidP="00234A49">
      <w:pPr>
        <w:pStyle w:val="Textoindependiente"/>
        <w:spacing w:line="360" w:lineRule="auto"/>
        <w:rPr>
          <w:rFonts w:ascii="Arial" w:hAnsi="Arial"/>
          <w:szCs w:val="24"/>
          <w:lang w:val="es-ES"/>
        </w:rPr>
      </w:pPr>
      <w:r>
        <w:rPr>
          <w:rFonts w:ascii="Arial" w:hAnsi="Arial"/>
          <w:szCs w:val="24"/>
        </w:rPr>
        <w:t xml:space="preserve">De </w:t>
      </w:r>
      <w:r w:rsidR="00442FCC">
        <w:rPr>
          <w:rFonts w:ascii="Arial" w:hAnsi="Arial"/>
          <w:szCs w:val="24"/>
        </w:rPr>
        <w:t>plano hay que decir</w:t>
      </w:r>
      <w:r>
        <w:rPr>
          <w:rFonts w:ascii="Arial" w:hAnsi="Arial"/>
          <w:szCs w:val="24"/>
        </w:rPr>
        <w:t xml:space="preserve"> que la Sala no encuentra asidero </w:t>
      </w:r>
      <w:r w:rsidR="00F47096">
        <w:rPr>
          <w:rFonts w:ascii="Arial" w:hAnsi="Arial"/>
          <w:szCs w:val="24"/>
        </w:rPr>
        <w:t xml:space="preserve">jurídico </w:t>
      </w:r>
      <w:r>
        <w:rPr>
          <w:rFonts w:ascii="Arial" w:hAnsi="Arial"/>
          <w:szCs w:val="24"/>
        </w:rPr>
        <w:t xml:space="preserve">que dé lugar a la prosperidad del amparo incoado por el actor, pues es inexistente en la Ley 472 </w:t>
      </w:r>
      <w:r>
        <w:rPr>
          <w:rFonts w:ascii="Arial" w:hAnsi="Arial"/>
          <w:bCs/>
          <w:lang w:val="es-CO"/>
        </w:rPr>
        <w:t xml:space="preserve">precepto alguno </w:t>
      </w:r>
      <w:r>
        <w:rPr>
          <w:rFonts w:ascii="Arial" w:hAnsi="Arial"/>
          <w:szCs w:val="24"/>
        </w:rPr>
        <w:t xml:space="preserve">que permita formular </w:t>
      </w:r>
      <w:r w:rsidR="00442FCC">
        <w:rPr>
          <w:rFonts w:ascii="Arial" w:hAnsi="Arial"/>
          <w:szCs w:val="24"/>
        </w:rPr>
        <w:t xml:space="preserve">el recurso de </w:t>
      </w:r>
      <w:r>
        <w:rPr>
          <w:rFonts w:ascii="Arial" w:hAnsi="Arial"/>
          <w:szCs w:val="24"/>
        </w:rPr>
        <w:t>apelación contra actuación distinta de la sentencia dictada</w:t>
      </w:r>
      <w:r w:rsidR="00442FCC">
        <w:rPr>
          <w:rFonts w:ascii="Arial" w:hAnsi="Arial"/>
          <w:szCs w:val="24"/>
        </w:rPr>
        <w:t>.</w:t>
      </w:r>
      <w:r w:rsidR="00234A49">
        <w:rPr>
          <w:rFonts w:ascii="Arial" w:hAnsi="Arial"/>
          <w:szCs w:val="24"/>
        </w:rPr>
        <w:t xml:space="preserve"> Tampoco se </w:t>
      </w:r>
      <w:r w:rsidR="004802FE">
        <w:rPr>
          <w:rFonts w:ascii="Arial" w:hAnsi="Arial"/>
          <w:szCs w:val="24"/>
        </w:rPr>
        <w:t>concibe la aplicación de lo regulado en el CPC, respecto de los autos susceptibles de apelación, puesto que la norma que</w:t>
      </w:r>
      <w:r w:rsidR="00497F46">
        <w:rPr>
          <w:rFonts w:ascii="Arial" w:hAnsi="Arial"/>
          <w:szCs w:val="24"/>
        </w:rPr>
        <w:t xml:space="preserve"> a él</w:t>
      </w:r>
      <w:r w:rsidR="004802FE">
        <w:rPr>
          <w:rFonts w:ascii="Arial" w:hAnsi="Arial"/>
          <w:szCs w:val="24"/>
        </w:rPr>
        <w:t xml:space="preserve"> remite</w:t>
      </w:r>
      <w:r w:rsidR="00EF29C9">
        <w:rPr>
          <w:rFonts w:ascii="Arial" w:hAnsi="Arial"/>
          <w:szCs w:val="24"/>
        </w:rPr>
        <w:t>, es clara en señalar</w:t>
      </w:r>
      <w:r w:rsidR="004802FE">
        <w:rPr>
          <w:rFonts w:ascii="Arial" w:hAnsi="Arial"/>
          <w:szCs w:val="24"/>
        </w:rPr>
        <w:t xml:space="preserve"> que únicamente se implementará </w:t>
      </w:r>
      <w:r w:rsidR="00234A49" w:rsidRPr="00234A49">
        <w:rPr>
          <w:rFonts w:ascii="Arial" w:hAnsi="Arial"/>
          <w:lang w:val="es-ES"/>
        </w:rPr>
        <w:t xml:space="preserve">en lo no regulado </w:t>
      </w:r>
      <w:r w:rsidR="004802FE">
        <w:rPr>
          <w:rFonts w:ascii="Arial" w:hAnsi="Arial"/>
          <w:lang w:val="es-ES"/>
        </w:rPr>
        <w:t xml:space="preserve">en la Ley especial </w:t>
      </w:r>
      <w:r w:rsidR="00234A49" w:rsidRPr="00234A49">
        <w:rPr>
          <w:rFonts w:ascii="Arial" w:hAnsi="Arial"/>
          <w:szCs w:val="24"/>
          <w:lang w:val="es-ES"/>
        </w:rPr>
        <w:t>(</w:t>
      </w:r>
      <w:r w:rsidR="004802FE">
        <w:rPr>
          <w:rFonts w:ascii="Arial" w:hAnsi="Arial"/>
          <w:szCs w:val="24"/>
          <w:lang w:val="es-ES"/>
        </w:rPr>
        <w:t xml:space="preserve">Artículo </w:t>
      </w:r>
      <w:r w:rsidR="00234A49" w:rsidRPr="00234A49">
        <w:rPr>
          <w:rFonts w:ascii="Arial" w:hAnsi="Arial"/>
          <w:szCs w:val="24"/>
          <w:lang w:val="es-ES"/>
        </w:rPr>
        <w:t>44</w:t>
      </w:r>
      <w:r w:rsidR="004802FE">
        <w:rPr>
          <w:rFonts w:ascii="Arial" w:hAnsi="Arial"/>
          <w:szCs w:val="24"/>
          <w:lang w:val="es-ES"/>
        </w:rPr>
        <w:t>, ibídem</w:t>
      </w:r>
      <w:r w:rsidR="00234A49" w:rsidRPr="00234A49">
        <w:rPr>
          <w:rFonts w:ascii="Arial" w:hAnsi="Arial"/>
          <w:szCs w:val="24"/>
          <w:lang w:val="es-ES"/>
        </w:rPr>
        <w:t>)</w:t>
      </w:r>
      <w:r w:rsidR="00EF29C9">
        <w:rPr>
          <w:rFonts w:ascii="Arial" w:hAnsi="Arial"/>
          <w:szCs w:val="24"/>
          <w:lang w:val="es-ES"/>
        </w:rPr>
        <w:t>.</w:t>
      </w:r>
    </w:p>
    <w:p w:rsidR="00EF29C9" w:rsidRDefault="00EF29C9" w:rsidP="00234A49">
      <w:pPr>
        <w:pStyle w:val="Textoindependiente"/>
        <w:spacing w:line="360" w:lineRule="auto"/>
        <w:rPr>
          <w:rFonts w:ascii="Arial" w:hAnsi="Arial"/>
          <w:szCs w:val="24"/>
          <w:lang w:val="es-ES"/>
        </w:rPr>
      </w:pPr>
    </w:p>
    <w:p w:rsidR="00497F46" w:rsidRDefault="00EF29C9" w:rsidP="00EF29C9">
      <w:pPr>
        <w:pStyle w:val="Textoindependiente"/>
        <w:spacing w:line="360" w:lineRule="auto"/>
        <w:rPr>
          <w:rFonts w:ascii="Arial" w:hAnsi="Arial" w:cs="Arial"/>
          <w:szCs w:val="23"/>
        </w:rPr>
      </w:pPr>
      <w:r>
        <w:rPr>
          <w:rFonts w:ascii="Arial" w:hAnsi="Arial"/>
          <w:szCs w:val="24"/>
        </w:rPr>
        <w:t xml:space="preserve">Asimismo, </w:t>
      </w:r>
      <w:r w:rsidR="00D55C6A">
        <w:rPr>
          <w:rFonts w:ascii="Arial" w:hAnsi="Arial"/>
          <w:szCs w:val="24"/>
        </w:rPr>
        <w:t>n</w:t>
      </w:r>
      <w:r w:rsidR="00126CFA">
        <w:rPr>
          <w:rFonts w:ascii="Arial" w:hAnsi="Arial"/>
          <w:szCs w:val="24"/>
        </w:rPr>
        <w:t xml:space="preserve">o puede considerarse que </w:t>
      </w:r>
      <w:r w:rsidR="00F864FE">
        <w:rPr>
          <w:rFonts w:ascii="Arial" w:hAnsi="Arial"/>
          <w:szCs w:val="24"/>
        </w:rPr>
        <w:t xml:space="preserve">la </w:t>
      </w:r>
      <w:r w:rsidR="00F864FE">
        <w:rPr>
          <w:rFonts w:ascii="Arial" w:hAnsi="Arial" w:cs="Arial"/>
          <w:szCs w:val="23"/>
        </w:rPr>
        <w:t xml:space="preserve">decisión cuestionada por el accionante desconoce el precedente </w:t>
      </w:r>
      <w:r w:rsidR="00D55C6A">
        <w:rPr>
          <w:rFonts w:ascii="Arial" w:hAnsi="Arial" w:cs="Arial"/>
          <w:szCs w:val="23"/>
        </w:rPr>
        <w:t xml:space="preserve">del </w:t>
      </w:r>
      <w:r w:rsidR="00F864FE">
        <w:rPr>
          <w:rFonts w:ascii="Arial" w:hAnsi="Arial" w:cs="Arial"/>
          <w:szCs w:val="23"/>
        </w:rPr>
        <w:t>Consejo de Estado</w:t>
      </w:r>
      <w:r w:rsidR="00497F46">
        <w:rPr>
          <w:rFonts w:ascii="Arial" w:hAnsi="Arial" w:cs="Arial"/>
          <w:szCs w:val="23"/>
        </w:rPr>
        <w:t xml:space="preserve">, pues </w:t>
      </w:r>
      <w:r w:rsidR="001D69AE">
        <w:rPr>
          <w:rFonts w:ascii="Arial" w:hAnsi="Arial" w:cs="Arial"/>
          <w:szCs w:val="23"/>
        </w:rPr>
        <w:t xml:space="preserve">sus </w:t>
      </w:r>
      <w:r w:rsidR="00497F46">
        <w:rPr>
          <w:rFonts w:ascii="Arial" w:hAnsi="Arial" w:cs="Arial"/>
          <w:szCs w:val="23"/>
        </w:rPr>
        <w:t xml:space="preserve">doctrinas no </w:t>
      </w:r>
      <w:r w:rsidR="001D69AE">
        <w:rPr>
          <w:rFonts w:ascii="Arial" w:hAnsi="Arial" w:cs="Arial"/>
          <w:szCs w:val="23"/>
        </w:rPr>
        <w:t xml:space="preserve">son </w:t>
      </w:r>
      <w:r w:rsidR="00497F46">
        <w:rPr>
          <w:rFonts w:ascii="Arial" w:hAnsi="Arial" w:cs="Arial"/>
          <w:szCs w:val="23"/>
        </w:rPr>
        <w:t xml:space="preserve">vinculantes </w:t>
      </w:r>
      <w:r w:rsidR="001D69AE">
        <w:rPr>
          <w:rFonts w:ascii="Arial" w:hAnsi="Arial" w:cs="Arial"/>
          <w:szCs w:val="23"/>
        </w:rPr>
        <w:t xml:space="preserve">ya que </w:t>
      </w:r>
      <w:r w:rsidR="00497F46">
        <w:rPr>
          <w:rFonts w:ascii="Arial" w:hAnsi="Arial" w:cs="Arial"/>
        </w:rPr>
        <w:t xml:space="preserve">hacen parte del </w:t>
      </w:r>
      <w:r w:rsidR="00497F46" w:rsidRPr="00A75226">
        <w:rPr>
          <w:rFonts w:ascii="Arial" w:hAnsi="Arial" w:cs="Arial"/>
          <w:u w:val="single"/>
        </w:rPr>
        <w:t>criterio auxiliar de interpretación</w:t>
      </w:r>
      <w:r w:rsidR="00497F46">
        <w:rPr>
          <w:rStyle w:val="Refdenotaalpie"/>
          <w:rFonts w:ascii="Arial" w:hAnsi="Arial"/>
        </w:rPr>
        <w:footnoteReference w:id="25"/>
      </w:r>
      <w:r w:rsidR="00F864FE">
        <w:rPr>
          <w:rFonts w:ascii="Arial" w:hAnsi="Arial" w:cs="Arial"/>
          <w:szCs w:val="23"/>
        </w:rPr>
        <w:t xml:space="preserve">, </w:t>
      </w:r>
      <w:r w:rsidR="00497F46">
        <w:rPr>
          <w:rFonts w:ascii="Arial" w:hAnsi="Arial" w:cs="Arial"/>
          <w:szCs w:val="23"/>
        </w:rPr>
        <w:t>como sí lo es</w:t>
      </w:r>
      <w:r w:rsidR="00497F46">
        <w:rPr>
          <w:rStyle w:val="Refdenotaalpie"/>
          <w:rFonts w:ascii="Arial" w:hAnsi="Arial"/>
          <w:szCs w:val="24"/>
        </w:rPr>
        <w:footnoteReference w:id="26"/>
      </w:r>
      <w:r w:rsidR="00497F46">
        <w:rPr>
          <w:rFonts w:ascii="Arial" w:hAnsi="Arial"/>
          <w:szCs w:val="24"/>
          <w:vertAlign w:val="superscript"/>
        </w:rPr>
        <w:t>-</w:t>
      </w:r>
      <w:r w:rsidR="00497F46">
        <w:rPr>
          <w:rStyle w:val="Refdenotaalpie"/>
          <w:rFonts w:ascii="Arial" w:hAnsi="Arial"/>
          <w:szCs w:val="24"/>
        </w:rPr>
        <w:footnoteReference w:id="27"/>
      </w:r>
      <w:r w:rsidR="00497F46">
        <w:rPr>
          <w:rFonts w:ascii="Arial" w:hAnsi="Arial" w:cs="Arial"/>
          <w:szCs w:val="23"/>
        </w:rPr>
        <w:t xml:space="preserve"> la jurisprudencia de </w:t>
      </w:r>
      <w:r w:rsidR="00497F46">
        <w:rPr>
          <w:rFonts w:ascii="Arial" w:hAnsi="Arial"/>
          <w:szCs w:val="24"/>
        </w:rPr>
        <w:t xml:space="preserve">la </w:t>
      </w:r>
      <w:r w:rsidR="00497F46">
        <w:rPr>
          <w:rFonts w:ascii="Arial" w:hAnsi="Arial" w:cs="Arial"/>
        </w:rPr>
        <w:t xml:space="preserve">Sala de Casación Civil de la </w:t>
      </w:r>
      <w:r w:rsidR="00497F46">
        <w:rPr>
          <w:rFonts w:ascii="Arial" w:hAnsi="Arial" w:cs="Arial"/>
          <w:szCs w:val="23"/>
        </w:rPr>
        <w:t>Corte Suprema de Justicia</w:t>
      </w:r>
      <w:r w:rsidR="00497F46">
        <w:rPr>
          <w:rFonts w:ascii="Arial" w:hAnsi="Arial"/>
          <w:szCs w:val="24"/>
        </w:rPr>
        <w:t xml:space="preserve">, </w:t>
      </w:r>
      <w:r w:rsidR="00497F46">
        <w:rPr>
          <w:rFonts w:ascii="Arial" w:hAnsi="Arial" w:cs="Arial"/>
        </w:rPr>
        <w:t xml:space="preserve">por tratarse de nuestro órgano de cierre, </w:t>
      </w:r>
      <w:r>
        <w:rPr>
          <w:rFonts w:ascii="Arial" w:hAnsi="Arial" w:cs="Arial"/>
          <w:szCs w:val="23"/>
        </w:rPr>
        <w:t xml:space="preserve">que en reciente pronunciamiento </w:t>
      </w:r>
      <w:r w:rsidRPr="00EF29C9">
        <w:rPr>
          <w:rFonts w:ascii="Arial" w:hAnsi="Arial" w:cs="Arial"/>
          <w:szCs w:val="23"/>
          <w:lang w:val="es-ES"/>
        </w:rPr>
        <w:t>(2015)</w:t>
      </w:r>
      <w:r w:rsidRPr="00EF29C9">
        <w:rPr>
          <w:rFonts w:ascii="Arial" w:hAnsi="Arial" w:cs="Arial"/>
          <w:szCs w:val="23"/>
          <w:vertAlign w:val="superscript"/>
          <w:lang w:val="es-ES"/>
        </w:rPr>
        <w:footnoteReference w:id="28"/>
      </w:r>
      <w:r>
        <w:rPr>
          <w:rFonts w:ascii="Arial" w:hAnsi="Arial" w:cs="Arial"/>
          <w:szCs w:val="23"/>
        </w:rPr>
        <w:t xml:space="preserve"> hizo claridad sobre la improcedencia del recurso de apelación contra autos dictados en el curso de una acción popular. </w:t>
      </w:r>
    </w:p>
    <w:p w:rsidR="00497F46" w:rsidRDefault="00497F46" w:rsidP="00EF29C9">
      <w:pPr>
        <w:pStyle w:val="Textoindependiente"/>
        <w:spacing w:line="360" w:lineRule="auto"/>
        <w:rPr>
          <w:rFonts w:ascii="Arial" w:hAnsi="Arial" w:cs="Arial"/>
          <w:szCs w:val="23"/>
        </w:rPr>
      </w:pPr>
    </w:p>
    <w:p w:rsidR="009D7CC3" w:rsidRDefault="00EF29C9" w:rsidP="003E032C">
      <w:pPr>
        <w:pStyle w:val="Textoindependiente"/>
        <w:spacing w:line="360" w:lineRule="auto"/>
        <w:rPr>
          <w:rFonts w:ascii="Arial" w:hAnsi="Arial" w:cs="Arial"/>
        </w:rPr>
      </w:pPr>
      <w:r>
        <w:rPr>
          <w:rFonts w:ascii="Arial" w:hAnsi="Arial" w:cs="Arial"/>
          <w:szCs w:val="23"/>
        </w:rPr>
        <w:t>Criterio</w:t>
      </w:r>
      <w:r>
        <w:rPr>
          <w:rFonts w:ascii="Arial" w:hAnsi="Arial" w:cs="Arial"/>
          <w:szCs w:val="23"/>
          <w:lang w:val="es-ES"/>
        </w:rPr>
        <w:t xml:space="preserve"> que ha sido también expuesto</w:t>
      </w:r>
      <w:r w:rsidRPr="00EF29C9">
        <w:rPr>
          <w:rFonts w:ascii="Arial" w:hAnsi="Arial" w:cs="Arial"/>
          <w:szCs w:val="23"/>
          <w:lang w:val="es-ES"/>
        </w:rPr>
        <w:t xml:space="preserve"> </w:t>
      </w:r>
      <w:r w:rsidR="00F47096">
        <w:rPr>
          <w:rFonts w:ascii="Arial" w:hAnsi="Arial" w:cs="Arial"/>
          <w:szCs w:val="23"/>
          <w:lang w:val="es-ES"/>
        </w:rPr>
        <w:t xml:space="preserve">por esta </w:t>
      </w:r>
      <w:r w:rsidRPr="00EF29C9">
        <w:rPr>
          <w:rFonts w:ascii="Arial" w:hAnsi="Arial" w:cs="Arial"/>
          <w:szCs w:val="23"/>
          <w:lang w:val="es-ES"/>
        </w:rPr>
        <w:t>Sala Unitaria</w:t>
      </w:r>
      <w:r w:rsidR="00F47096">
        <w:rPr>
          <w:rFonts w:ascii="Arial" w:hAnsi="Arial" w:cs="Arial"/>
          <w:szCs w:val="23"/>
          <w:lang w:val="es-ES"/>
        </w:rPr>
        <w:t xml:space="preserve"> en dos ocasiones</w:t>
      </w:r>
      <w:r w:rsidRPr="00EF29C9">
        <w:rPr>
          <w:rFonts w:ascii="Arial" w:hAnsi="Arial" w:cs="Arial"/>
          <w:szCs w:val="23"/>
          <w:lang w:val="es-ES"/>
        </w:rPr>
        <w:t>, específicamente lo referente a la alzada contra el auto que rechazó la demanda</w:t>
      </w:r>
      <w:r w:rsidRPr="00EF29C9">
        <w:rPr>
          <w:rFonts w:ascii="Arial" w:hAnsi="Arial" w:cs="Arial"/>
          <w:szCs w:val="23"/>
          <w:vertAlign w:val="superscript"/>
          <w:lang w:val="es-ES"/>
        </w:rPr>
        <w:footnoteReference w:id="29"/>
      </w:r>
      <w:r w:rsidR="00606E24">
        <w:rPr>
          <w:rFonts w:ascii="Arial" w:hAnsi="Arial" w:cs="Arial"/>
          <w:szCs w:val="23"/>
          <w:lang w:val="es-ES"/>
        </w:rPr>
        <w:t xml:space="preserve"> y</w:t>
      </w:r>
      <w:r w:rsidR="00F47096">
        <w:rPr>
          <w:rFonts w:ascii="Arial" w:hAnsi="Arial" w:cs="Arial"/>
          <w:szCs w:val="23"/>
          <w:lang w:val="es-ES"/>
        </w:rPr>
        <w:t xml:space="preserve"> </w:t>
      </w:r>
      <w:r>
        <w:rPr>
          <w:rFonts w:ascii="Arial" w:hAnsi="Arial" w:cs="Arial"/>
          <w:szCs w:val="23"/>
          <w:lang w:val="es-ES"/>
        </w:rPr>
        <w:t>la improcedencia del recurso de queja</w:t>
      </w:r>
      <w:r w:rsidRPr="00EF29C9">
        <w:rPr>
          <w:rFonts w:ascii="Arial" w:hAnsi="Arial" w:cs="Arial"/>
          <w:szCs w:val="23"/>
          <w:vertAlign w:val="superscript"/>
          <w:lang w:val="es-ES"/>
        </w:rPr>
        <w:footnoteReference w:id="30"/>
      </w:r>
      <w:r w:rsidR="00497F46">
        <w:rPr>
          <w:rFonts w:ascii="Arial" w:hAnsi="Arial" w:cs="Arial"/>
          <w:szCs w:val="23"/>
          <w:lang w:val="es-ES"/>
        </w:rPr>
        <w:t>.</w:t>
      </w:r>
      <w:r w:rsidR="003E032C">
        <w:rPr>
          <w:rFonts w:ascii="Arial" w:hAnsi="Arial" w:cs="Arial"/>
          <w:szCs w:val="23"/>
          <w:lang w:val="es-ES"/>
        </w:rPr>
        <w:t xml:space="preserve"> </w:t>
      </w:r>
      <w:r w:rsidR="00F47096">
        <w:rPr>
          <w:rFonts w:ascii="Arial" w:hAnsi="Arial" w:cs="Arial"/>
          <w:szCs w:val="23"/>
          <w:lang w:val="es-ES"/>
        </w:rPr>
        <w:t xml:space="preserve">En suma, el parecer usado por el Despacho accionado no es arbitrario ni caprichoso. </w:t>
      </w:r>
      <w:r w:rsidR="003E032C">
        <w:rPr>
          <w:rFonts w:ascii="Arial" w:hAnsi="Arial"/>
        </w:rPr>
        <w:t>De manera que</w:t>
      </w:r>
      <w:r w:rsidR="009D7CC3" w:rsidRPr="00E92432">
        <w:rPr>
          <w:rFonts w:ascii="Arial" w:hAnsi="Arial"/>
        </w:rPr>
        <w:t xml:space="preserve">, </w:t>
      </w:r>
      <w:r w:rsidR="003E032C">
        <w:rPr>
          <w:rFonts w:ascii="Arial" w:hAnsi="Arial"/>
        </w:rPr>
        <w:t xml:space="preserve">se denegará </w:t>
      </w:r>
      <w:r w:rsidR="00F47096">
        <w:rPr>
          <w:rFonts w:ascii="Arial" w:hAnsi="Arial"/>
        </w:rPr>
        <w:t>la protección pedida</w:t>
      </w:r>
      <w:r w:rsidR="003E032C">
        <w:rPr>
          <w:rFonts w:ascii="Arial" w:hAnsi="Arial"/>
        </w:rPr>
        <w:t>, porque no se comprobó la vulneración de los derechos fundamentales invocados.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día 29</w:t>
      </w:r>
      <w:r w:rsidR="001C2249">
        <w:rPr>
          <w:rFonts w:ascii="Arial" w:hAnsi="Arial" w:cs="Arial"/>
        </w:rPr>
        <w:t xml:space="preserve">-01-2016,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7D395F" w:rsidRDefault="007D395F" w:rsidP="00CB3037">
      <w:pPr>
        <w:spacing w:line="360" w:lineRule="auto"/>
        <w:ind w:right="51"/>
        <w:jc w:val="both"/>
        <w:rPr>
          <w:rFonts w:ascii="Arial" w:hAnsi="Arial" w:cs="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sidR="002A7E33">
        <w:rPr>
          <w:rFonts w:ascii="Arial" w:hAnsi="Arial" w:cs="Arial"/>
          <w:iCs/>
          <w:color w:val="000000"/>
          <w:lang w:eastAsia="es-CO"/>
        </w:rPr>
        <w:t>Caldas</w:t>
      </w:r>
      <w:r>
        <w:rPr>
          <w:rFonts w:ascii="Arial" w:hAnsi="Arial" w:cs="Arial"/>
          <w:iCs/>
          <w:color w:val="000000"/>
          <w:lang w:eastAsia="es-CO"/>
        </w:rPr>
        <w:t xml:space="preserve">,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proveído de </w:t>
      </w:r>
      <w:r w:rsidR="00316531">
        <w:rPr>
          <w:rFonts w:ascii="Arial" w:hAnsi="Arial" w:cs="Arial"/>
          <w:iCs/>
          <w:color w:val="000000"/>
          <w:lang w:eastAsia="es-CO"/>
        </w:rPr>
        <w:t xml:space="preserve">29-01-2016 </w:t>
      </w:r>
      <w:r>
        <w:rPr>
          <w:rFonts w:ascii="Arial" w:hAnsi="Arial" w:cs="Arial"/>
          <w:iCs/>
          <w:color w:val="000000"/>
          <w:lang w:eastAsia="es-CO"/>
        </w:rPr>
        <w:t xml:space="preserve">(Folios 4 y 5, ib.).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31"/>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2A7E33" w:rsidRPr="002A7E33" w:rsidRDefault="002A7E33" w:rsidP="002A7E33">
      <w:pPr>
        <w:pStyle w:val="Textoindependiente"/>
        <w:spacing w:line="360" w:lineRule="auto"/>
        <w:ind w:left="400"/>
        <w:rPr>
          <w:rFonts w:ascii="Arial" w:hAnsi="Arial"/>
          <w:sz w:val="18"/>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(ii) Se denegará la acción constitucional radicada al No.2016-0006</w:t>
      </w:r>
      <w:r w:rsidR="00C1175D">
        <w:rPr>
          <w:rFonts w:ascii="Arial" w:hAnsi="Arial" w:cs="Arial"/>
        </w:rPr>
        <w:t>5</w:t>
      </w:r>
      <w:r w:rsidR="009102BF">
        <w:rPr>
          <w:rFonts w:ascii="Arial" w:hAnsi="Arial" w:cs="Arial"/>
        </w:rPr>
        <w:t>-00</w:t>
      </w:r>
      <w:r w:rsidR="00F47096">
        <w:rPr>
          <w:rFonts w:ascii="Arial" w:hAnsi="Arial" w:cs="Arial"/>
        </w:rPr>
        <w:t>,</w:t>
      </w:r>
      <w:r w:rsidR="009102BF">
        <w:rPr>
          <w:rFonts w:ascii="Arial" w:hAnsi="Arial" w:cs="Arial"/>
        </w:rPr>
        <w:t xml:space="preserve"> respecto de la </w:t>
      </w:r>
      <w:r w:rsidR="009102BF" w:rsidRPr="00316531">
        <w:rPr>
          <w:rFonts w:ascii="Arial" w:hAnsi="Arial" w:cs="Arial"/>
        </w:rPr>
        <w:t>acción popular 2015-00489-00</w:t>
      </w:r>
      <w:r w:rsidR="009102BF">
        <w:rPr>
          <w:rFonts w:ascii="Arial" w:hAnsi="Arial" w:cs="Arial"/>
        </w:rPr>
        <w:t xml:space="preserve">, porque es inexistentes el defecto </w:t>
      </w:r>
      <w:r w:rsidR="00F47096">
        <w:rPr>
          <w:rFonts w:ascii="Arial" w:hAnsi="Arial" w:cs="Arial"/>
        </w:rPr>
        <w:t>imputado</w:t>
      </w:r>
      <w:r w:rsidR="009102BF">
        <w:rPr>
          <w:rFonts w:ascii="Arial" w:hAnsi="Arial" w:cs="Arial"/>
        </w:rPr>
        <w:t>;</w:t>
      </w:r>
      <w:r>
        <w:rPr>
          <w:rFonts w:ascii="Arial" w:hAnsi="Arial" w:cs="Arial"/>
          <w:szCs w:val="24"/>
          <w:lang w:val="es-ES"/>
        </w:rPr>
        <w:t xml:space="preserve"> </w:t>
      </w:r>
      <w:r w:rsidR="009102BF">
        <w:rPr>
          <w:rFonts w:ascii="Arial" w:hAnsi="Arial" w:cs="Arial"/>
          <w:szCs w:val="24"/>
          <w:lang w:val="es-ES"/>
        </w:rPr>
        <w:t xml:space="preserve">y, </w:t>
      </w:r>
      <w:r>
        <w:rPr>
          <w:rFonts w:ascii="Arial" w:hAnsi="Arial" w:cs="Arial"/>
          <w:szCs w:val="24"/>
          <w:lang w:val="es-ES"/>
        </w:rPr>
        <w:t xml:space="preserve">(ii) </w:t>
      </w:r>
      <w:r>
        <w:rPr>
          <w:rFonts w:ascii="Arial" w:hAnsi="Arial" w:cs="Arial"/>
        </w:rPr>
        <w:t>Se negará respecto a los vinculados</w:t>
      </w:r>
      <w:r>
        <w:rPr>
          <w:rFonts w:ascii="Arial" w:hAnsi="Arial" w:cs="Arial"/>
          <w:szCs w:val="24"/>
          <w:lang w:val="es-ES"/>
        </w:rPr>
        <w:t>.</w:t>
      </w:r>
    </w:p>
    <w:p w:rsidR="00CB3037" w:rsidRPr="002A7E33"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6"/>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F47096" w:rsidRDefault="00FF5B57" w:rsidP="00FF5B57">
      <w:pPr>
        <w:tabs>
          <w:tab w:val="left" w:pos="-720"/>
        </w:tabs>
        <w:suppressAutoHyphens/>
        <w:spacing w:line="360" w:lineRule="auto"/>
        <w:jc w:val="both"/>
        <w:rPr>
          <w:rFonts w:ascii="Arial" w:hAnsi="Arial" w:cs="Arial"/>
          <w:sz w:val="1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2A7E33" w:rsidRDefault="00A67757" w:rsidP="00FF5B57">
      <w:pPr>
        <w:pStyle w:val="Textoindependiente"/>
        <w:spacing w:line="360" w:lineRule="auto"/>
        <w:jc w:val="center"/>
        <w:rPr>
          <w:rFonts w:ascii="Arial" w:hAnsi="Arial" w:cs="Arial"/>
          <w:bCs/>
          <w:smallCaps/>
          <w:sz w:val="18"/>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 xml:space="preserve">improcedentes </w:t>
      </w:r>
      <w:r w:rsidR="00F47096">
        <w:rPr>
          <w:rFonts w:ascii="Arial" w:hAnsi="Arial" w:cs="Arial"/>
        </w:rPr>
        <w:t xml:space="preserve">todas </w:t>
      </w:r>
      <w:r w:rsidR="009102BF">
        <w:rPr>
          <w:rFonts w:ascii="Arial" w:hAnsi="Arial" w:cs="Arial"/>
        </w:rPr>
        <w:t>las tutelas propuestas</w:t>
      </w:r>
      <w:r w:rsidR="00F47096">
        <w:rPr>
          <w:rFonts w:ascii="Arial" w:hAnsi="Arial" w:cs="Arial"/>
        </w:rPr>
        <w:t>,</w:t>
      </w:r>
      <w:r w:rsidR="009102BF">
        <w:rPr>
          <w:rFonts w:ascii="Arial" w:hAnsi="Arial" w:cs="Arial"/>
        </w:rPr>
        <w:t xml:space="preserve"> </w:t>
      </w:r>
      <w:r w:rsidR="00F47096">
        <w:rPr>
          <w:rFonts w:ascii="Arial" w:hAnsi="Arial" w:cs="Arial"/>
        </w:rPr>
        <w:t>salvo la radicada al No.2016-0006</w:t>
      </w:r>
      <w:r w:rsidR="00C1175D">
        <w:rPr>
          <w:rFonts w:ascii="Arial" w:hAnsi="Arial" w:cs="Arial"/>
        </w:rPr>
        <w:t>5</w:t>
      </w:r>
      <w:r w:rsidR="00F47096">
        <w:rPr>
          <w:rFonts w:ascii="Arial" w:hAnsi="Arial" w:cs="Arial"/>
        </w:rPr>
        <w:t xml:space="preserve">-00, </w:t>
      </w:r>
      <w:r w:rsidR="009102BF">
        <w:rPr>
          <w:rFonts w:ascii="Arial" w:hAnsi="Arial" w:cs="Arial"/>
        </w:rPr>
        <w:t>por haberse incumplido el requisito de subsidiariedad.</w:t>
      </w:r>
    </w:p>
    <w:p w:rsidR="009102BF" w:rsidRPr="002A7E33"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9102BF" w:rsidRPr="009102BF" w:rsidRDefault="009102BF"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 xml:space="preserve">DENEGAR la acción de tutela </w:t>
      </w:r>
      <w:r w:rsidR="00C1175D">
        <w:rPr>
          <w:rFonts w:ascii="Arial" w:hAnsi="Arial" w:cs="Arial"/>
        </w:rPr>
        <w:t>radicada al No.2016-00065</w:t>
      </w:r>
      <w:r>
        <w:rPr>
          <w:rFonts w:ascii="Arial" w:hAnsi="Arial" w:cs="Arial"/>
        </w:rPr>
        <w:t xml:space="preserve">-00, respecto de la </w:t>
      </w:r>
      <w:r w:rsidRPr="00316531">
        <w:rPr>
          <w:rFonts w:ascii="Arial" w:hAnsi="Arial" w:cs="Arial"/>
        </w:rPr>
        <w:t xml:space="preserve">acción popular </w:t>
      </w:r>
      <w:r>
        <w:rPr>
          <w:rFonts w:ascii="Arial" w:hAnsi="Arial" w:cs="Arial"/>
        </w:rPr>
        <w:t>No.</w:t>
      </w:r>
      <w:r w:rsidRPr="00316531">
        <w:rPr>
          <w:rFonts w:ascii="Arial" w:hAnsi="Arial" w:cs="Arial"/>
        </w:rPr>
        <w:t>2015-00489-00</w:t>
      </w:r>
      <w:r>
        <w:rPr>
          <w:rFonts w:ascii="Arial" w:hAnsi="Arial" w:cs="Arial"/>
        </w:rPr>
        <w:t xml:space="preserve">, </w:t>
      </w:r>
      <w:r>
        <w:rPr>
          <w:rFonts w:ascii="Arial" w:hAnsi="Arial" w:cs="Arial"/>
          <w:szCs w:val="24"/>
        </w:rPr>
        <w:t xml:space="preserve">por inexistencia de </w:t>
      </w:r>
      <w:r>
        <w:rPr>
          <w:rFonts w:ascii="Arial" w:hAnsi="Arial" w:cs="Arial"/>
          <w:szCs w:val="24"/>
          <w:lang w:val="es-ES"/>
        </w:rPr>
        <w:t xml:space="preserve">defecto </w:t>
      </w:r>
      <w:r>
        <w:rPr>
          <w:rFonts w:ascii="Arial" w:hAnsi="Arial" w:cs="Arial"/>
          <w:szCs w:val="24"/>
        </w:rPr>
        <w:t xml:space="preserve">sustantivo </w:t>
      </w:r>
      <w:r>
        <w:rPr>
          <w:rFonts w:ascii="Arial" w:hAnsi="Arial" w:cs="Arial"/>
          <w:szCs w:val="24"/>
          <w:lang w:val="es-ES"/>
        </w:rPr>
        <w:t xml:space="preserve">en la actuación </w:t>
      </w:r>
      <w:r w:rsidR="00F47096">
        <w:rPr>
          <w:rFonts w:ascii="Arial" w:hAnsi="Arial" w:cs="Arial"/>
          <w:szCs w:val="24"/>
          <w:lang w:val="es-ES"/>
        </w:rPr>
        <w:t>de</w:t>
      </w:r>
      <w:r>
        <w:rPr>
          <w:rFonts w:ascii="Arial" w:hAnsi="Arial" w:cs="Arial"/>
          <w:szCs w:val="24"/>
          <w:lang w:val="es-ES"/>
        </w:rPr>
        <w:t>l Juzgado Cuarto Civil del Circuito de Pereira</w:t>
      </w:r>
      <w:r>
        <w:rPr>
          <w:rFonts w:ascii="Arial" w:hAnsi="Arial" w:cs="Arial"/>
          <w:szCs w:val="24"/>
        </w:rPr>
        <w:t>.</w:t>
      </w:r>
    </w:p>
    <w:p w:rsidR="007657D5" w:rsidRPr="002A7E33"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2A7E33"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2A7E33"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2A7E33" w:rsidRDefault="00626C89" w:rsidP="00FF5B57">
      <w:pPr>
        <w:pStyle w:val="Prrafodelista"/>
        <w:widowControl/>
        <w:autoSpaceDE/>
        <w:autoSpaceDN/>
        <w:adjustRightInd/>
        <w:spacing w:line="360" w:lineRule="auto"/>
        <w:ind w:left="360" w:right="51"/>
        <w:contextualSpacing/>
        <w:jc w:val="both"/>
        <w:rPr>
          <w:rFonts w:ascii="Arial" w:hAnsi="Arial"/>
          <w:sz w:val="18"/>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2A7E33" w:rsidRDefault="00DA569C" w:rsidP="00417DA5">
      <w:pPr>
        <w:pStyle w:val="Textoindependiente"/>
        <w:spacing w:line="360" w:lineRule="auto"/>
        <w:jc w:val="center"/>
        <w:rPr>
          <w:rFonts w:ascii="Arial" w:hAnsi="Arial"/>
          <w:sz w:val="22"/>
          <w:szCs w:val="24"/>
        </w:rPr>
      </w:pPr>
    </w:p>
    <w:p w:rsidR="003E66CE" w:rsidRPr="002A7E33" w:rsidRDefault="003E66CE" w:rsidP="00417DA5">
      <w:pPr>
        <w:pStyle w:val="Textoindependiente"/>
        <w:spacing w:line="360" w:lineRule="auto"/>
        <w:jc w:val="center"/>
        <w:rPr>
          <w:rFonts w:ascii="Arial" w:hAnsi="Arial"/>
          <w:sz w:val="22"/>
          <w:szCs w:val="24"/>
        </w:rPr>
      </w:pPr>
    </w:p>
    <w:p w:rsidR="00B30152" w:rsidRPr="002A7E33"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2A7E33">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2D" w:rsidRDefault="00BE362D" w:rsidP="0099045D">
      <w:r>
        <w:separator/>
      </w:r>
    </w:p>
  </w:endnote>
  <w:endnote w:type="continuationSeparator" w:id="0">
    <w:p w:rsidR="00BE362D" w:rsidRDefault="00BE36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2D" w:rsidRDefault="00BE362D" w:rsidP="0099045D">
      <w:r>
        <w:separator/>
      </w:r>
    </w:p>
  </w:footnote>
  <w:footnote w:type="continuationSeparator" w:id="0">
    <w:p w:rsidR="00BE362D" w:rsidRDefault="00BE362D"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Pr="00052412" w:rsidRDefault="004603C3" w:rsidP="008215CB">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w:t>
      </w:r>
    </w:p>
  </w:footnote>
  <w:footnote w:id="9">
    <w:p w:rsidR="004603C3" w:rsidRPr="00052412" w:rsidRDefault="004603C3" w:rsidP="008215CB">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del 22-10-2012.</w:t>
      </w:r>
    </w:p>
  </w:footnote>
  <w:footnote w:id="10">
    <w:p w:rsidR="004603C3" w:rsidRPr="00052412" w:rsidRDefault="004603C3" w:rsidP="008215CB">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4603C3" w:rsidRDefault="004603C3" w:rsidP="008215CB">
      <w:pPr>
        <w:pStyle w:val="Textonotapie"/>
        <w:jc w:val="both"/>
      </w:pPr>
      <w:r w:rsidRPr="00DA14A6">
        <w:rPr>
          <w:rFonts w:asciiTheme="minorHAnsi" w:hAnsiTheme="minorHAnsi" w:cs="Calibri"/>
          <w:vertAlign w:val="superscript"/>
        </w:rPr>
        <w:footnoteRef/>
      </w:r>
      <w:r w:rsidRPr="00DA14A6">
        <w:rPr>
          <w:rFonts w:asciiTheme="minorHAnsi" w:hAnsiTheme="minorHAnsi" w:cs="Calibri"/>
        </w:rPr>
        <w:t xml:space="preserve"> </w:t>
      </w:r>
      <w:r w:rsidRPr="00052412">
        <w:rPr>
          <w:rFonts w:asciiTheme="minorHAnsi" w:hAnsiTheme="minorHAnsi" w:cs="Calibri"/>
          <w:lang w:val="es-MX"/>
        </w:rPr>
        <w:t>CORTE CONSTITUCIONAL.</w:t>
      </w:r>
      <w:r w:rsidRPr="00DA14A6">
        <w:rPr>
          <w:rFonts w:asciiTheme="minorHAnsi" w:hAnsiTheme="minorHAnsi" w:cs="Calibri"/>
        </w:rPr>
        <w:t xml:space="preserve"> </w:t>
      </w:r>
      <w:r w:rsidRPr="00DA14A6">
        <w:rPr>
          <w:rFonts w:asciiTheme="minorHAnsi" w:hAnsiTheme="minorHAnsi" w:cs="Calibri"/>
          <w:lang w:val="es-CO"/>
        </w:rPr>
        <w:t>Sentencia</w:t>
      </w:r>
      <w:r>
        <w:rPr>
          <w:rFonts w:asciiTheme="minorHAnsi" w:hAnsiTheme="minorHAnsi" w:cs="Calibri"/>
          <w:lang w:val="es-CO"/>
        </w:rPr>
        <w:t>s</w:t>
      </w:r>
      <w:r w:rsidRPr="00DA14A6">
        <w:rPr>
          <w:rFonts w:asciiTheme="minorHAnsi" w:hAnsiTheme="minorHAnsi" w:cs="Calibri"/>
          <w:lang w:val="es-CO"/>
        </w:rPr>
        <w:t xml:space="preserve"> T-087 de 2007</w:t>
      </w:r>
      <w:r>
        <w:rPr>
          <w:rFonts w:asciiTheme="minorHAnsi" w:hAnsiTheme="minorHAnsi" w:cs="Calibri"/>
          <w:lang w:val="es-CO"/>
        </w:rPr>
        <w:t>,</w:t>
      </w:r>
      <w:r w:rsidRPr="00DA14A6">
        <w:rPr>
          <w:rFonts w:asciiTheme="minorHAnsi" w:hAnsiTheme="minorHAnsi" w:cs="Calibri"/>
          <w:lang w:val="es-CO"/>
        </w:rPr>
        <w:t xml:space="preserve"> T-193 de 1995</w:t>
      </w:r>
      <w:r>
        <w:rPr>
          <w:rFonts w:asciiTheme="minorHAnsi" w:hAnsiTheme="minorHAnsi" w:cs="Calibri"/>
          <w:lang w:val="es-CO"/>
        </w:rPr>
        <w:t>,</w:t>
      </w:r>
      <w:r w:rsidRPr="00DA14A6">
        <w:rPr>
          <w:rFonts w:asciiTheme="minorHAnsi" w:hAnsiTheme="minorHAnsi" w:cs="Calibri"/>
          <w:lang w:val="es-CO"/>
        </w:rPr>
        <w:t xml:space="preserve"> T-1625 de 2000, T-522 de 2001</w:t>
      </w:r>
      <w:r>
        <w:rPr>
          <w:rFonts w:asciiTheme="minorHAnsi" w:hAnsiTheme="minorHAnsi" w:cs="Calibri"/>
          <w:lang w:val="es-CO"/>
        </w:rPr>
        <w:t>,</w:t>
      </w:r>
      <w:r w:rsidRPr="00DA14A6">
        <w:rPr>
          <w:rFonts w:asciiTheme="minorHAnsi" w:hAnsiTheme="minorHAnsi" w:cs="Calibri"/>
          <w:lang w:val="es-CO"/>
        </w:rPr>
        <w:t xml:space="preserve"> T-462 de 2003</w:t>
      </w:r>
      <w:r>
        <w:rPr>
          <w:rFonts w:asciiTheme="minorHAnsi" w:hAnsiTheme="minorHAnsi" w:cs="Calibri"/>
          <w:lang w:val="es-CO"/>
        </w:rPr>
        <w:t>,</w:t>
      </w:r>
      <w:r w:rsidRPr="00DA14A6">
        <w:rPr>
          <w:rFonts w:asciiTheme="minorHAnsi" w:hAnsiTheme="minorHAnsi" w:cs="Calibri"/>
          <w:lang w:val="es-CO"/>
        </w:rPr>
        <w:t xml:space="preserve"> T-292 de 2006, T-436 de 2009, T-161 de 2010 y SU-448 de 2011.</w:t>
      </w:r>
    </w:p>
  </w:footnote>
  <w:footnote w:id="12">
    <w:p w:rsidR="004603C3" w:rsidRDefault="004603C3" w:rsidP="008215CB">
      <w:pPr>
        <w:pStyle w:val="Textonotapie"/>
        <w:jc w:val="both"/>
      </w:pPr>
      <w:r w:rsidRPr="00DA14A6">
        <w:rPr>
          <w:rFonts w:asciiTheme="minorHAnsi" w:hAnsiTheme="minorHAnsi" w:cs="Calibri"/>
          <w:vertAlign w:val="superscript"/>
        </w:rPr>
        <w:footnoteRef/>
      </w:r>
      <w:r w:rsidRPr="00DA14A6">
        <w:rPr>
          <w:rFonts w:asciiTheme="minorHAnsi" w:hAnsiTheme="minorHAnsi" w:cs="Calibri"/>
        </w:rPr>
        <w:t xml:space="preserve"> </w:t>
      </w:r>
      <w:r w:rsidRPr="00DA14A6">
        <w:rPr>
          <w:rFonts w:asciiTheme="minorHAnsi" w:hAnsiTheme="minorHAnsi" w:cs="Calibri"/>
          <w:lang w:val="es-CO"/>
        </w:rPr>
        <w:t xml:space="preserve">Según el doctrinante Pierluigi Chiassoni en su libro “Desencanto para abogados realistas”, el precedente judicial puede ser entendido en cuatro acepciones; (i) precedente-sentencia, (ii) precedente-ratio, (iii) precedente-ratio autoritativo y </w:t>
      </w:r>
      <w:r w:rsidRPr="00DA14A6">
        <w:rPr>
          <w:rFonts w:asciiTheme="minorHAnsi" w:hAnsiTheme="minorHAnsi" w:cs="Calibri"/>
          <w:b/>
          <w:lang w:val="es-CO"/>
        </w:rPr>
        <w:t>(iv) precedente- ratio decidendi consolidada</w:t>
      </w:r>
      <w:r w:rsidRPr="00DA14A6">
        <w:rPr>
          <w:rFonts w:asciiTheme="minorHAnsi" w:hAnsiTheme="minorHAnsi" w:cs="Calibri"/>
          <w:lang w:val="es-CO"/>
        </w:rPr>
        <w:t xml:space="preserve"> o precedente orientación. Este último hace referencia a </w:t>
      </w:r>
      <w:r w:rsidRPr="00DA14A6">
        <w:rPr>
          <w:rFonts w:asciiTheme="minorHAnsi" w:hAnsiTheme="minorHAnsi" w:cs="Calibri"/>
          <w:i/>
          <w:lang w:val="es-CO"/>
        </w:rPr>
        <w:t>“es la ratio decidenci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DA14A6">
        <w:rPr>
          <w:rFonts w:asciiTheme="minorHAnsi" w:hAnsiTheme="minorHAnsi" w:cs="Calibri"/>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DA14A6">
          <w:rPr>
            <w:rFonts w:asciiTheme="minorHAnsi" w:hAnsiTheme="minorHAnsi" w:cs="Calibri"/>
            <w:lang w:val="es-CO"/>
          </w:rPr>
          <w:t>la Corte Constitucional</w:t>
        </w:r>
      </w:smartTag>
      <w:r w:rsidRPr="00DA14A6">
        <w:rPr>
          <w:rFonts w:asciiTheme="minorHAnsi" w:hAnsiTheme="minorHAnsi" w:cs="Calibri"/>
          <w:lang w:val="es-CO"/>
        </w:rPr>
        <w:t xml:space="preserve"> en el sentido en que debe ser una sentencia anterior que trata de hechos cuestiones y elemento muy similares al caso que se pretende resolver.</w:t>
      </w:r>
    </w:p>
  </w:footnote>
  <w:footnote w:id="13">
    <w:p w:rsidR="004603C3" w:rsidRDefault="004603C3" w:rsidP="008215CB">
      <w:pPr>
        <w:pStyle w:val="Textonotapie"/>
        <w:jc w:val="both"/>
      </w:pPr>
      <w:r w:rsidRPr="00DA14A6">
        <w:rPr>
          <w:rStyle w:val="Refdenotaalpie"/>
          <w:rFonts w:asciiTheme="minorHAnsi" w:hAnsiTheme="minorHAnsi" w:cs="Calibri"/>
        </w:rPr>
        <w:footnoteRef/>
      </w:r>
      <w:r w:rsidRPr="00DA14A6">
        <w:rPr>
          <w:rFonts w:asciiTheme="minorHAnsi" w:hAnsiTheme="minorHAnsi" w:cs="Calibri"/>
        </w:rPr>
        <w:t xml:space="preserve"> </w:t>
      </w:r>
      <w:r w:rsidRPr="00DA14A6">
        <w:rPr>
          <w:rFonts w:asciiTheme="minorHAnsi" w:hAnsiTheme="minorHAnsi" w:cs="Calibri"/>
          <w:lang w:val="es-CO"/>
        </w:rPr>
        <w:t>LÓPEZ MEDINA, Diego Eduardo. El derecho de los jueces, 8ª reimpresión de la 2ª edición, Bogotá DC, editorial Legis y Universidad de Los Andes, 2009, p.83.</w:t>
      </w:r>
    </w:p>
  </w:footnote>
  <w:footnote w:id="14">
    <w:p w:rsidR="004603C3" w:rsidRDefault="004603C3" w:rsidP="008215CB">
      <w:pPr>
        <w:pStyle w:val="Textonotapie"/>
        <w:jc w:val="both"/>
      </w:pPr>
      <w:r w:rsidRPr="00DA14A6">
        <w:rPr>
          <w:rFonts w:asciiTheme="minorHAnsi" w:hAnsiTheme="minorHAnsi" w:cs="Calibri"/>
          <w:vertAlign w:val="superscript"/>
        </w:rPr>
        <w:footnoteRef/>
      </w:r>
      <w:r>
        <w:rPr>
          <w:rFonts w:asciiTheme="minorHAnsi" w:hAnsiTheme="minorHAnsi" w:cs="Calibri"/>
        </w:rPr>
        <w:t xml:space="preserve"> </w:t>
      </w:r>
      <w:r w:rsidRPr="00052412">
        <w:rPr>
          <w:rFonts w:asciiTheme="minorHAnsi" w:hAnsiTheme="minorHAnsi" w:cs="Calibri"/>
          <w:lang w:val="es-MX"/>
        </w:rPr>
        <w:t>CORTE CONSTITUCIONAL.</w:t>
      </w:r>
      <w:r w:rsidRPr="00DA14A6">
        <w:rPr>
          <w:rFonts w:asciiTheme="minorHAnsi" w:hAnsiTheme="minorHAnsi" w:cs="Calibri"/>
        </w:rPr>
        <w:t xml:space="preserve"> </w:t>
      </w:r>
      <w:r w:rsidRPr="00DA14A6">
        <w:rPr>
          <w:rFonts w:asciiTheme="minorHAnsi" w:hAnsiTheme="minorHAnsi" w:cs="Calibri"/>
          <w:lang w:val="es-CO"/>
        </w:rPr>
        <w:t>Ver entre otras, sentencias T-794 de 2011, T-082 de 2011</w:t>
      </w:r>
      <w:r>
        <w:rPr>
          <w:rFonts w:asciiTheme="minorHAnsi" w:hAnsiTheme="minorHAnsi" w:cs="Calibri"/>
          <w:lang w:val="es-CO"/>
        </w:rPr>
        <w:t xml:space="preserve"> y</w:t>
      </w:r>
      <w:r w:rsidRPr="00DA14A6">
        <w:rPr>
          <w:rFonts w:asciiTheme="minorHAnsi" w:hAnsiTheme="minorHAnsi" w:cs="Calibri"/>
          <w:lang w:val="es-CO"/>
        </w:rPr>
        <w:t xml:space="preserve"> T-209 de 2011.</w:t>
      </w:r>
    </w:p>
  </w:footnote>
  <w:footnote w:id="15">
    <w:p w:rsidR="004603C3" w:rsidRDefault="004603C3" w:rsidP="008215CB">
      <w:pPr>
        <w:pStyle w:val="Textonotapie"/>
        <w:jc w:val="both"/>
      </w:pPr>
      <w:r w:rsidRPr="00DA14A6">
        <w:rPr>
          <w:rStyle w:val="Refdenotaalpie"/>
          <w:rFonts w:asciiTheme="minorHAnsi" w:hAnsiTheme="minorHAnsi" w:cs="Calibri"/>
        </w:rPr>
        <w:footnoteRef/>
      </w:r>
      <w:r w:rsidRPr="00DA14A6">
        <w:rPr>
          <w:rFonts w:asciiTheme="minorHAnsi" w:hAnsiTheme="minorHAnsi" w:cs="Calibri"/>
        </w:rPr>
        <w:t xml:space="preserve"> </w:t>
      </w:r>
      <w:r w:rsidRPr="00DA14A6">
        <w:rPr>
          <w:rFonts w:asciiTheme="minorHAnsi" w:hAnsiTheme="minorHAnsi" w:cs="Calibri"/>
          <w:lang w:val="es-MX"/>
        </w:rPr>
        <w:t>CORTE CONSTITUCIONAL. Sentencia T-831 del 22-10-2012, ob. cit.</w:t>
      </w:r>
    </w:p>
  </w:footnote>
  <w:footnote w:id="16">
    <w:p w:rsidR="004603C3" w:rsidRDefault="004603C3" w:rsidP="008215CB">
      <w:pPr>
        <w:pStyle w:val="Textonotapie"/>
        <w:jc w:val="both"/>
      </w:pPr>
      <w:r w:rsidRPr="00DA14A6">
        <w:rPr>
          <w:rFonts w:asciiTheme="minorHAnsi" w:hAnsiTheme="minorHAnsi" w:cs="Calibri"/>
          <w:vertAlign w:val="superscript"/>
        </w:rPr>
        <w:footnoteRef/>
      </w:r>
      <w:r w:rsidRPr="00DA14A6">
        <w:rPr>
          <w:rFonts w:asciiTheme="minorHAnsi" w:hAnsiTheme="minorHAnsi" w:cs="Calibri"/>
        </w:rPr>
        <w:t xml:space="preserve"> Ver entre otras, T-123 de </w:t>
      </w:r>
      <w:smartTag w:uri="urn:schemas-microsoft-com:office:smarttags" w:element="metricconverter">
        <w:smartTagPr>
          <w:attr w:name="ProductID" w:val="1995, M"/>
        </w:smartTagPr>
        <w:r w:rsidRPr="00DA14A6">
          <w:rPr>
            <w:rFonts w:asciiTheme="minorHAnsi" w:hAnsiTheme="minorHAnsi" w:cs="Calibri"/>
          </w:rPr>
          <w:t>1995, M</w:t>
        </w:r>
      </w:smartTag>
      <w:r w:rsidRPr="00DA14A6">
        <w:rPr>
          <w:rFonts w:asciiTheme="minorHAnsi" w:hAnsiTheme="minorHAnsi" w:cs="Calibri"/>
        </w:rPr>
        <w:t xml:space="preserve">.P. Eduardo Cifuentes Muñoz, T-766 de </w:t>
      </w:r>
      <w:smartTag w:uri="urn:schemas-microsoft-com:office:smarttags" w:element="metricconverter">
        <w:smartTagPr>
          <w:attr w:name="ProductID" w:val="2008 M"/>
        </w:smartTagPr>
        <w:r w:rsidRPr="00DA14A6">
          <w:rPr>
            <w:rFonts w:asciiTheme="minorHAnsi" w:hAnsiTheme="minorHAnsi" w:cs="Calibri"/>
          </w:rPr>
          <w:t>2008 M</w:t>
        </w:r>
      </w:smartTag>
      <w:r w:rsidRPr="00DA14A6">
        <w:rPr>
          <w:rFonts w:asciiTheme="minorHAnsi" w:hAnsiTheme="minorHAnsi" w:cs="Calibri"/>
        </w:rPr>
        <w:t xml:space="preserve">.P. Marco Gerardo Monroy Cabra y T-794 de </w:t>
      </w:r>
      <w:smartTag w:uri="urn:schemas-microsoft-com:office:smarttags" w:element="metricconverter">
        <w:smartTagPr>
          <w:attr w:name="ProductID" w:val="2011 M"/>
        </w:smartTagPr>
        <w:r w:rsidRPr="00DA14A6">
          <w:rPr>
            <w:rFonts w:asciiTheme="minorHAnsi" w:hAnsiTheme="minorHAnsi" w:cs="Calibri"/>
          </w:rPr>
          <w:t>2011</w:t>
        </w:r>
        <w:r w:rsidRPr="00DA14A6">
          <w:rPr>
            <w:rFonts w:asciiTheme="minorHAnsi" w:hAnsiTheme="minorHAnsi" w:cs="Calibri"/>
            <w:lang w:val="es-CO"/>
          </w:rPr>
          <w:t xml:space="preserve"> M</w:t>
        </w:r>
      </w:smartTag>
      <w:r w:rsidRPr="00DA14A6">
        <w:rPr>
          <w:rFonts w:asciiTheme="minorHAnsi" w:hAnsiTheme="minorHAnsi" w:cs="Calibri"/>
          <w:lang w:val="es-CO"/>
        </w:rPr>
        <w:t xml:space="preserve">.P. Jorge Iván Palacio. </w:t>
      </w:r>
    </w:p>
  </w:footnote>
  <w:footnote w:id="17">
    <w:p w:rsidR="004603C3" w:rsidRDefault="004603C3" w:rsidP="008215CB">
      <w:pPr>
        <w:pStyle w:val="Textonotapie"/>
        <w:jc w:val="both"/>
      </w:pPr>
      <w:r w:rsidRPr="00DA14A6">
        <w:rPr>
          <w:rFonts w:asciiTheme="minorHAnsi" w:hAnsiTheme="minorHAnsi" w:cs="Calibri"/>
          <w:vertAlign w:val="superscript"/>
        </w:rPr>
        <w:footnoteRef/>
      </w:r>
      <w:r w:rsidRPr="00DA14A6">
        <w:rPr>
          <w:rFonts w:asciiTheme="minorHAnsi" w:hAnsiTheme="minorHAnsi" w:cs="Calibri"/>
        </w:rPr>
        <w:t xml:space="preserve"> </w:t>
      </w:r>
      <w:r w:rsidRPr="00DA14A6">
        <w:rPr>
          <w:rFonts w:asciiTheme="minorHAnsi" w:hAnsiTheme="minorHAnsi" w:cs="Calibri"/>
          <w:lang w:val="es-CO"/>
        </w:rPr>
        <w:t xml:space="preserve">Ver, entre otras, las sentencias T-211 de </w:t>
      </w:r>
      <w:smartTag w:uri="urn:schemas-microsoft-com:office:smarttags" w:element="metricconverter">
        <w:smartTagPr>
          <w:attr w:name="ProductID" w:val="2008 M"/>
        </w:smartTagPr>
        <w:r w:rsidRPr="00DA14A6">
          <w:rPr>
            <w:rFonts w:asciiTheme="minorHAnsi" w:hAnsiTheme="minorHAnsi" w:cs="Calibri"/>
            <w:lang w:val="es-CO"/>
          </w:rPr>
          <w:t>2008 M</w:t>
        </w:r>
      </w:smartTag>
      <w:r w:rsidRPr="00DA14A6">
        <w:rPr>
          <w:rFonts w:asciiTheme="minorHAnsi" w:hAnsiTheme="minorHAnsi" w:cs="Calibri"/>
          <w:lang w:val="es-CO"/>
        </w:rPr>
        <w:t xml:space="preserve">.P. Jorge Ignacio Pretelt Chaljub, T-161 de </w:t>
      </w:r>
      <w:smartTag w:uri="urn:schemas-microsoft-com:office:smarttags" w:element="metricconverter">
        <w:smartTagPr>
          <w:attr w:name="ProductID" w:val="2010 M"/>
        </w:smartTagPr>
        <w:r w:rsidRPr="00DA14A6">
          <w:rPr>
            <w:rFonts w:asciiTheme="minorHAnsi" w:hAnsiTheme="minorHAnsi" w:cs="Calibri"/>
            <w:lang w:val="es-CO"/>
          </w:rPr>
          <w:t>2010 M</w:t>
        </w:r>
      </w:smartTag>
      <w:r w:rsidRPr="00DA14A6">
        <w:rPr>
          <w:rFonts w:asciiTheme="minorHAnsi" w:hAnsiTheme="minorHAnsi" w:cs="Calibri"/>
          <w:lang w:val="es-CO"/>
        </w:rPr>
        <w:t xml:space="preserve">.P. Jorge Iván Palacio Palacio y T-082 de </w:t>
      </w:r>
      <w:smartTag w:uri="urn:schemas-microsoft-com:office:smarttags" w:element="metricconverter">
        <w:smartTagPr>
          <w:attr w:name="ProductID" w:val="2011 M"/>
        </w:smartTagPr>
        <w:r w:rsidRPr="00DA14A6">
          <w:rPr>
            <w:rFonts w:asciiTheme="minorHAnsi" w:hAnsiTheme="minorHAnsi" w:cs="Calibri"/>
            <w:lang w:val="es-CO"/>
          </w:rPr>
          <w:t>2011 M</w:t>
        </w:r>
      </w:smartTag>
      <w:r w:rsidRPr="00DA14A6">
        <w:rPr>
          <w:rFonts w:asciiTheme="minorHAnsi" w:hAnsiTheme="minorHAnsi" w:cs="Calibri"/>
          <w:lang w:val="es-CO"/>
        </w:rPr>
        <w:t>.P, Jorge Ignacio Pretelt Chaljub.</w:t>
      </w:r>
    </w:p>
  </w:footnote>
  <w:footnote w:id="1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1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2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2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2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24">
    <w:p w:rsidR="007D395F" w:rsidRPr="009434C0" w:rsidRDefault="007D395F" w:rsidP="007D395F">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25">
    <w:p w:rsidR="00497F46" w:rsidRPr="003C1983" w:rsidRDefault="00497F46" w:rsidP="00497F46">
      <w:pPr>
        <w:pStyle w:val="Textonotapie"/>
        <w:jc w:val="both"/>
        <w:rPr>
          <w:rFonts w:asciiTheme="minorHAnsi" w:hAnsiTheme="minorHAnsi"/>
          <w:lang w:val="es-CO"/>
        </w:rPr>
      </w:pPr>
      <w:r w:rsidRPr="003C1983">
        <w:rPr>
          <w:rStyle w:val="Refdenotaalpie"/>
          <w:rFonts w:asciiTheme="minorHAnsi" w:hAnsiTheme="minorHAnsi"/>
        </w:rPr>
        <w:footnoteRef/>
      </w:r>
      <w:r w:rsidRPr="003C1983">
        <w:rPr>
          <w:rFonts w:asciiTheme="minorHAnsi" w:hAnsiTheme="minorHAnsi"/>
        </w:rPr>
        <w:t xml:space="preserve"> </w:t>
      </w:r>
      <w:r w:rsidR="007D395F">
        <w:rPr>
          <w:rFonts w:asciiTheme="minorHAnsi" w:hAnsiTheme="minorHAnsi"/>
          <w:lang w:val="es-CO"/>
        </w:rPr>
        <w:t>CORTE SUPREMA DE JUSTICIA.</w:t>
      </w:r>
      <w:r w:rsidRPr="003C1983">
        <w:rPr>
          <w:rFonts w:asciiTheme="minorHAnsi" w:hAnsiTheme="minorHAnsi"/>
          <w:lang w:val="es-CO"/>
        </w:rPr>
        <w:t xml:space="preserve"> Sala de Casación Civil</w:t>
      </w:r>
      <w:r w:rsidR="007D395F">
        <w:rPr>
          <w:rFonts w:asciiTheme="minorHAnsi" w:hAnsiTheme="minorHAnsi"/>
          <w:lang w:val="es-CO"/>
        </w:rPr>
        <w:t>. S</w:t>
      </w:r>
      <w:r w:rsidRPr="003C1983">
        <w:rPr>
          <w:rFonts w:asciiTheme="minorHAnsi" w:hAnsiTheme="minorHAnsi"/>
          <w:lang w:val="es-CO"/>
        </w:rPr>
        <w:t xml:space="preserve">entencia </w:t>
      </w:r>
      <w:r w:rsidR="007D395F" w:rsidRPr="003C1983">
        <w:rPr>
          <w:rFonts w:asciiTheme="minorHAnsi" w:hAnsiTheme="minorHAnsi"/>
          <w:lang w:val="es-CO"/>
        </w:rPr>
        <w:t>SC10304-2014</w:t>
      </w:r>
      <w:r w:rsidR="007D395F">
        <w:rPr>
          <w:rFonts w:asciiTheme="minorHAnsi" w:hAnsiTheme="minorHAnsi"/>
          <w:lang w:val="es-CO"/>
        </w:rPr>
        <w:t xml:space="preserve"> </w:t>
      </w:r>
      <w:r w:rsidRPr="003C1983">
        <w:rPr>
          <w:rFonts w:asciiTheme="minorHAnsi" w:hAnsiTheme="minorHAnsi"/>
          <w:lang w:val="es-CO"/>
        </w:rPr>
        <w:t>del 07-07-2014.</w:t>
      </w:r>
    </w:p>
  </w:footnote>
  <w:footnote w:id="26">
    <w:p w:rsidR="00497F46" w:rsidRPr="003C1983" w:rsidRDefault="00497F46" w:rsidP="00497F46">
      <w:pPr>
        <w:pStyle w:val="Textonotapie"/>
        <w:jc w:val="both"/>
        <w:rPr>
          <w:rFonts w:asciiTheme="minorHAnsi" w:hAnsiTheme="minorHAnsi"/>
          <w:lang w:val="es-CO"/>
        </w:rPr>
      </w:pPr>
      <w:r w:rsidRPr="003C1983">
        <w:rPr>
          <w:rStyle w:val="Refdenotaalpie"/>
          <w:rFonts w:asciiTheme="minorHAnsi" w:hAnsiTheme="minorHAnsi"/>
        </w:rPr>
        <w:footnoteRef/>
      </w:r>
      <w:r w:rsidRPr="003C1983">
        <w:rPr>
          <w:rFonts w:asciiTheme="minorHAnsi" w:hAnsiTheme="minorHAnsi"/>
        </w:rPr>
        <w:t xml:space="preserve"> </w:t>
      </w:r>
      <w:r w:rsidRPr="003C1983">
        <w:rPr>
          <w:rFonts w:asciiTheme="minorHAnsi" w:hAnsiTheme="minorHAnsi" w:cs="Calibri"/>
        </w:rPr>
        <w:t xml:space="preserve">CORTE SUPREMA DE JUSTICIA, </w:t>
      </w:r>
      <w:r w:rsidRPr="003C1983">
        <w:rPr>
          <w:rFonts w:asciiTheme="minorHAnsi" w:hAnsiTheme="minorHAnsi"/>
          <w:lang w:val="es-CO"/>
        </w:rPr>
        <w:t>Sala de Casación Civil</w:t>
      </w:r>
      <w:r w:rsidR="007D395F">
        <w:rPr>
          <w:rFonts w:asciiTheme="minorHAnsi" w:hAnsiTheme="minorHAnsi"/>
          <w:lang w:val="es-CO"/>
        </w:rPr>
        <w:t>. Ob.cit.</w:t>
      </w:r>
      <w:r w:rsidRPr="003C1983">
        <w:rPr>
          <w:rFonts w:asciiTheme="minorHAnsi" w:hAnsiTheme="minorHAnsi" w:cs="Calibri"/>
        </w:rPr>
        <w:t xml:space="preserve"> </w:t>
      </w:r>
    </w:p>
  </w:footnote>
  <w:footnote w:id="27">
    <w:p w:rsidR="00497F46" w:rsidRPr="003C1983" w:rsidRDefault="00497F46" w:rsidP="00497F46">
      <w:pPr>
        <w:pStyle w:val="Textonotapie"/>
        <w:jc w:val="both"/>
        <w:rPr>
          <w:rFonts w:asciiTheme="minorHAnsi" w:hAnsiTheme="minorHAnsi"/>
          <w:lang w:val="es-CO"/>
        </w:rPr>
      </w:pPr>
      <w:r w:rsidRPr="003C1983">
        <w:rPr>
          <w:rStyle w:val="Refdenotaalpie"/>
          <w:rFonts w:asciiTheme="minorHAnsi" w:hAnsiTheme="minorHAnsi"/>
        </w:rPr>
        <w:footnoteRef/>
      </w:r>
      <w:r w:rsidRPr="003C1983">
        <w:rPr>
          <w:rFonts w:asciiTheme="minorHAnsi" w:hAnsiTheme="minorHAnsi"/>
        </w:rPr>
        <w:t xml:space="preserve"> </w:t>
      </w:r>
      <w:r w:rsidRPr="003C1983">
        <w:rPr>
          <w:rFonts w:asciiTheme="minorHAnsi" w:hAnsiTheme="minorHAnsi" w:cs="Calibri"/>
          <w:lang w:val="es-MX"/>
        </w:rPr>
        <w:t>CORTE CONSTITUCIONAL. Sentencia T-390 de 2015</w:t>
      </w:r>
      <w:r w:rsidRPr="003C1983">
        <w:rPr>
          <w:rFonts w:asciiTheme="minorHAnsi" w:hAnsiTheme="minorHAnsi"/>
          <w:lang w:val="es-CO"/>
        </w:rPr>
        <w:t>.</w:t>
      </w:r>
    </w:p>
  </w:footnote>
  <w:footnote w:id="28">
    <w:p w:rsidR="00EF29C9" w:rsidRDefault="00EF29C9" w:rsidP="00EF29C9">
      <w:pPr>
        <w:pStyle w:val="Textonotapie"/>
        <w:jc w:val="both"/>
        <w:rPr>
          <w:lang w:val="es-CO"/>
        </w:rPr>
      </w:pPr>
      <w:r>
        <w:rPr>
          <w:rStyle w:val="Refdenotaalpie"/>
        </w:rPr>
        <w:footnoteRef/>
      </w:r>
      <w:r>
        <w:t xml:space="preserve"> </w:t>
      </w:r>
      <w:r>
        <w:rPr>
          <w:rFonts w:asciiTheme="minorHAnsi" w:hAnsiTheme="minorHAnsi" w:cs="Calibri"/>
        </w:rPr>
        <w:t>CORTE SUPREMA DE JUSTICIA, Sala de Casación Civil. Providencia STC13760-2015 del 08-10-2015</w:t>
      </w:r>
      <w:r w:rsidR="007D395F">
        <w:rPr>
          <w:rFonts w:asciiTheme="minorHAnsi" w:hAnsiTheme="minorHAnsi" w:cs="Calibri"/>
        </w:rPr>
        <w:t>.</w:t>
      </w:r>
      <w:r>
        <w:rPr>
          <w:rFonts w:asciiTheme="minorHAnsi" w:hAnsiTheme="minorHAnsi" w:cs="Calibri"/>
        </w:rPr>
        <w:t xml:space="preserve"> </w:t>
      </w:r>
    </w:p>
  </w:footnote>
  <w:footnote w:id="29">
    <w:p w:rsidR="00EF29C9" w:rsidRDefault="00EF29C9" w:rsidP="00EF29C9">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s="Calibri"/>
          <w:lang w:val="es-CO"/>
        </w:rPr>
        <w:t>TRIBUNAL SUPERIOR DE PEREIRA, Sala Civil – Familia. Providencia del</w:t>
      </w:r>
      <w:r>
        <w:rPr>
          <w:rFonts w:asciiTheme="minorHAnsi" w:hAnsiTheme="minorHAnsi" w:cs="Calibri"/>
        </w:rPr>
        <w:t xml:space="preserve"> 07-11-2014; MP: Duberney Grisales Herrera, expediente 2014-00232-01.</w:t>
      </w:r>
    </w:p>
  </w:footnote>
  <w:footnote w:id="30">
    <w:p w:rsidR="00EF29C9" w:rsidRDefault="00EF29C9" w:rsidP="00EF29C9">
      <w:pPr>
        <w:pStyle w:val="Textonotapie"/>
        <w:jc w:val="both"/>
        <w:rPr>
          <w:lang w:val="es-CO"/>
        </w:rPr>
      </w:pPr>
      <w:r>
        <w:rPr>
          <w:rStyle w:val="Refdenotaalpie"/>
        </w:rPr>
        <w:footnoteRef/>
      </w:r>
      <w:r>
        <w:t xml:space="preserve"> </w:t>
      </w:r>
      <w:r>
        <w:rPr>
          <w:rFonts w:asciiTheme="minorHAnsi" w:hAnsiTheme="minorHAnsi" w:cs="Calibri"/>
          <w:lang w:val="es-CO"/>
        </w:rPr>
        <w:t xml:space="preserve">TRIBUNAL SUPERIOR DE PEREIRA, Sala Civil – Familia. Providencia del </w:t>
      </w:r>
      <w:r w:rsidR="00497F46">
        <w:rPr>
          <w:rFonts w:asciiTheme="minorHAnsi" w:hAnsiTheme="minorHAnsi" w:cs="Calibri"/>
          <w:lang w:val="es-CO"/>
        </w:rPr>
        <w:t>14-12-2015</w:t>
      </w:r>
      <w:r>
        <w:rPr>
          <w:rFonts w:asciiTheme="minorHAnsi" w:hAnsiTheme="minorHAnsi" w:cs="Calibri"/>
        </w:rPr>
        <w:t>; MP: Dubern</w:t>
      </w:r>
      <w:r w:rsidR="00497F46">
        <w:rPr>
          <w:rFonts w:asciiTheme="minorHAnsi" w:hAnsiTheme="minorHAnsi" w:cs="Calibri"/>
        </w:rPr>
        <w:t>ey Grisales Herrera, expediente</w:t>
      </w:r>
      <w:r>
        <w:rPr>
          <w:rFonts w:asciiTheme="minorHAnsi" w:hAnsiTheme="minorHAnsi" w:cs="Calibri"/>
        </w:rPr>
        <w:t xml:space="preserve"> </w:t>
      </w:r>
      <w:r w:rsidR="00497F46" w:rsidRPr="00497F46">
        <w:rPr>
          <w:rFonts w:asciiTheme="minorHAnsi" w:hAnsiTheme="minorHAnsi" w:cs="Calibri"/>
          <w:lang w:val="es-CO"/>
        </w:rPr>
        <w:t>2015-00060-01</w:t>
      </w:r>
      <w:r>
        <w:rPr>
          <w:rFonts w:asciiTheme="minorHAnsi" w:hAnsiTheme="minorHAnsi" w:cs="Calibri"/>
        </w:rPr>
        <w:t>.</w:t>
      </w:r>
    </w:p>
  </w:footnote>
  <w:footnote w:id="31">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E362D">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2016-00031-00 LLRR – ACUMULADAS 8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0913"/>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22"/>
    <w:rsid w:val="00073248"/>
    <w:rsid w:val="000735CB"/>
    <w:rsid w:val="00073953"/>
    <w:rsid w:val="00074032"/>
    <w:rsid w:val="0007464B"/>
    <w:rsid w:val="000756CD"/>
    <w:rsid w:val="000769E5"/>
    <w:rsid w:val="000774AE"/>
    <w:rsid w:val="000803A5"/>
    <w:rsid w:val="00080DED"/>
    <w:rsid w:val="00081F32"/>
    <w:rsid w:val="00082813"/>
    <w:rsid w:val="0008332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CE6"/>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249"/>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BD0"/>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FF"/>
    <w:rsid w:val="00165C60"/>
    <w:rsid w:val="0016605C"/>
    <w:rsid w:val="00166D62"/>
    <w:rsid w:val="001672DF"/>
    <w:rsid w:val="00167709"/>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27A5"/>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08F6"/>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008A"/>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CED"/>
    <w:rsid w:val="002A5D8E"/>
    <w:rsid w:val="002A6014"/>
    <w:rsid w:val="002A6894"/>
    <w:rsid w:val="002A7D01"/>
    <w:rsid w:val="002A7E33"/>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2D4"/>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5C"/>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45B"/>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B5E"/>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E4"/>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6AB7"/>
    <w:rsid w:val="004D7268"/>
    <w:rsid w:val="004D7940"/>
    <w:rsid w:val="004D79C3"/>
    <w:rsid w:val="004E0055"/>
    <w:rsid w:val="004E00A6"/>
    <w:rsid w:val="004E02C5"/>
    <w:rsid w:val="004E048B"/>
    <w:rsid w:val="004E05C9"/>
    <w:rsid w:val="004E07D2"/>
    <w:rsid w:val="004E0905"/>
    <w:rsid w:val="004E113C"/>
    <w:rsid w:val="004E11A6"/>
    <w:rsid w:val="004E17CE"/>
    <w:rsid w:val="004E1A2F"/>
    <w:rsid w:val="004E1AC3"/>
    <w:rsid w:val="004E1D4F"/>
    <w:rsid w:val="004E1E5C"/>
    <w:rsid w:val="004E21F4"/>
    <w:rsid w:val="004E2C08"/>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920"/>
    <w:rsid w:val="004F1AB9"/>
    <w:rsid w:val="004F1CFF"/>
    <w:rsid w:val="004F2D5C"/>
    <w:rsid w:val="004F34AC"/>
    <w:rsid w:val="004F3CF7"/>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6E24"/>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788"/>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B5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AF9"/>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7B9"/>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7D1"/>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50F"/>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395F"/>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814"/>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C4E"/>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19"/>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2FDE"/>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14FB"/>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0B7C"/>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EB4"/>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631"/>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265"/>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47A2A"/>
    <w:rsid w:val="00A50109"/>
    <w:rsid w:val="00A50667"/>
    <w:rsid w:val="00A50B34"/>
    <w:rsid w:val="00A51F23"/>
    <w:rsid w:val="00A53426"/>
    <w:rsid w:val="00A5356E"/>
    <w:rsid w:val="00A545DC"/>
    <w:rsid w:val="00A54A13"/>
    <w:rsid w:val="00A54DB7"/>
    <w:rsid w:val="00A5623D"/>
    <w:rsid w:val="00A5662F"/>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D00"/>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4E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53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BF"/>
    <w:rsid w:val="00B20E23"/>
    <w:rsid w:val="00B212FF"/>
    <w:rsid w:val="00B21704"/>
    <w:rsid w:val="00B21AAA"/>
    <w:rsid w:val="00B22C13"/>
    <w:rsid w:val="00B22D06"/>
    <w:rsid w:val="00B22D1D"/>
    <w:rsid w:val="00B23AF4"/>
    <w:rsid w:val="00B23D95"/>
    <w:rsid w:val="00B23DA0"/>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455"/>
    <w:rsid w:val="00BE1AD5"/>
    <w:rsid w:val="00BE20F9"/>
    <w:rsid w:val="00BE21C2"/>
    <w:rsid w:val="00BE2D5A"/>
    <w:rsid w:val="00BE362D"/>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75D"/>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97C"/>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1D9C"/>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6C2"/>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7E7"/>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5F64"/>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D79"/>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56"/>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80"/>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82B"/>
    <w:rsid w:val="00ED6E3C"/>
    <w:rsid w:val="00ED73B0"/>
    <w:rsid w:val="00ED749D"/>
    <w:rsid w:val="00ED7F33"/>
    <w:rsid w:val="00EE056E"/>
    <w:rsid w:val="00EE0BFD"/>
    <w:rsid w:val="00EE1268"/>
    <w:rsid w:val="00EE1777"/>
    <w:rsid w:val="00EE1A0F"/>
    <w:rsid w:val="00EE1C51"/>
    <w:rsid w:val="00EE2420"/>
    <w:rsid w:val="00EE2673"/>
    <w:rsid w:val="00EE29B8"/>
    <w:rsid w:val="00EE2C0D"/>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B26"/>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096"/>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3BB"/>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B7E32"/>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B811-9F7E-4617-8F2F-455408A2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4186</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14</cp:revision>
  <cp:lastPrinted>2016-02-10T22:22:00Z</cp:lastPrinted>
  <dcterms:created xsi:type="dcterms:W3CDTF">2016-02-08T22:59:00Z</dcterms:created>
  <dcterms:modified xsi:type="dcterms:W3CDTF">2016-05-17T12:32:00Z</dcterms:modified>
</cp:coreProperties>
</file>