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5C" w:rsidRPr="00681F41" w:rsidRDefault="000B415C" w:rsidP="00681F41">
      <w:pPr>
        <w:widowControl/>
        <w:overflowPunct w:val="0"/>
        <w:ind w:left="540" w:right="560"/>
        <w:jc w:val="both"/>
        <w:textAlignment w:val="baseline"/>
        <w:rPr>
          <w:rFonts w:ascii="Arial" w:hAnsi="Arial" w:cs="Arial"/>
          <w:i/>
          <w:iCs/>
          <w:sz w:val="18"/>
          <w:szCs w:val="18"/>
          <w:lang w:val="es-ES_tradnl"/>
        </w:rPr>
      </w:pPr>
    </w:p>
    <w:p w:rsidR="000B415C" w:rsidRPr="00681F41" w:rsidRDefault="00B613E1" w:rsidP="00681F41">
      <w:pPr>
        <w:pStyle w:val="Textoindependiente"/>
        <w:spacing w:line="240" w:lineRule="auto"/>
        <w:rPr>
          <w:rFonts w:ascii="Arial" w:hAnsi="Arial" w:cs="Arial"/>
          <w:sz w:val="18"/>
          <w:szCs w:val="18"/>
        </w:rPr>
      </w:pPr>
      <w:r w:rsidRPr="00681F41">
        <w:rPr>
          <w:rFonts w:ascii="Arial" w:hAnsi="Arial" w:cs="Arial"/>
          <w:sz w:val="18"/>
          <w:szCs w:val="18"/>
        </w:rPr>
        <w:t>TUTELA CONTRA PROVIDENCIA JUDICIAL/ Improcedencia por subsidiariedad</w:t>
      </w:r>
      <w:r w:rsidR="00000946" w:rsidRPr="00681F41">
        <w:rPr>
          <w:rFonts w:ascii="Arial" w:hAnsi="Arial" w:cs="Arial"/>
          <w:sz w:val="18"/>
          <w:szCs w:val="18"/>
        </w:rPr>
        <w:t>,</w:t>
      </w:r>
      <w:r w:rsidR="00A31986" w:rsidRPr="00681F41">
        <w:rPr>
          <w:rFonts w:ascii="Arial" w:hAnsi="Arial" w:cs="Arial"/>
          <w:sz w:val="18"/>
          <w:szCs w:val="18"/>
        </w:rPr>
        <w:t xml:space="preserve"> no se utilizaron los recursos ordinarios para debatir</w:t>
      </w:r>
      <w:r w:rsidR="00F45BA9" w:rsidRPr="00681F41">
        <w:rPr>
          <w:rFonts w:ascii="Arial" w:hAnsi="Arial" w:cs="Arial"/>
          <w:sz w:val="18"/>
          <w:szCs w:val="18"/>
        </w:rPr>
        <w:t xml:space="preserve"> la decisión judicial</w:t>
      </w:r>
    </w:p>
    <w:p w:rsidR="000B415C" w:rsidRPr="00681F41" w:rsidRDefault="000B415C" w:rsidP="00681F41">
      <w:pPr>
        <w:jc w:val="both"/>
        <w:rPr>
          <w:rFonts w:ascii="Arial" w:hAnsi="Arial" w:cs="Arial"/>
          <w:sz w:val="18"/>
          <w:szCs w:val="18"/>
          <w:lang w:val="es-ES_tradnl"/>
        </w:rPr>
      </w:pPr>
    </w:p>
    <w:p w:rsidR="000B415C" w:rsidRPr="00681F41" w:rsidRDefault="00211E61" w:rsidP="00681F41">
      <w:pPr>
        <w:jc w:val="both"/>
        <w:rPr>
          <w:rFonts w:ascii="Arial" w:hAnsi="Arial" w:cs="Arial"/>
          <w:bCs/>
          <w:sz w:val="18"/>
          <w:szCs w:val="18"/>
          <w:lang w:val="es-CO"/>
        </w:rPr>
      </w:pPr>
      <w:r>
        <w:rPr>
          <w:rFonts w:ascii="Arial" w:hAnsi="Arial" w:cs="Arial"/>
          <w:sz w:val="18"/>
          <w:szCs w:val="18"/>
          <w:lang w:val="es-ES_tradnl"/>
        </w:rPr>
        <w:t>“</w:t>
      </w:r>
      <w:r w:rsidR="000B415C" w:rsidRPr="00681F41">
        <w:rPr>
          <w:rFonts w:ascii="Arial" w:hAnsi="Arial" w:cs="Arial"/>
          <w:sz w:val="18"/>
          <w:szCs w:val="18"/>
          <w:lang w:val="es-ES_tradnl"/>
        </w:rPr>
        <w:t xml:space="preserve">Conforme al acervo probatorio el accionante presentó tres (3) solicitudes de nulidad </w:t>
      </w:r>
      <w:r w:rsidR="00681F41">
        <w:rPr>
          <w:rFonts w:ascii="Arial" w:hAnsi="Arial" w:cs="Arial"/>
          <w:sz w:val="18"/>
          <w:szCs w:val="18"/>
          <w:lang w:val="es-ES_tradnl"/>
        </w:rPr>
        <w:t>(…)</w:t>
      </w:r>
      <w:r w:rsidR="000B415C" w:rsidRPr="00681F41">
        <w:rPr>
          <w:rFonts w:ascii="Arial" w:hAnsi="Arial" w:cs="Arial"/>
          <w:sz w:val="18"/>
          <w:szCs w:val="18"/>
          <w:lang w:val="es-ES_tradnl"/>
        </w:rPr>
        <w:t xml:space="preserve"> resueltas por el accionado con sendos proveídos </w:t>
      </w:r>
      <w:r w:rsidR="00681F41">
        <w:rPr>
          <w:rFonts w:ascii="Arial" w:hAnsi="Arial" w:cs="Arial"/>
          <w:sz w:val="18"/>
          <w:szCs w:val="18"/>
          <w:lang w:val="es-ES_tradnl"/>
        </w:rPr>
        <w:t>(..</w:t>
      </w:r>
      <w:r w:rsidR="000B415C" w:rsidRPr="00681F41">
        <w:rPr>
          <w:rFonts w:ascii="Arial" w:hAnsi="Arial" w:cs="Arial"/>
          <w:sz w:val="18"/>
          <w:szCs w:val="18"/>
          <w:lang w:val="es-ES_tradnl"/>
        </w:rPr>
        <w:t xml:space="preserve">.) en los que dispuso, respectivamente, (i) Rechazar de plano la nulidad propuesta por no estar contemplada en el artículo 140 del CPC; (ii) Declarar desierto el recurso formulado por no ajustarse al artículo 322-3 del CGP; y, (iii) agregar el escrito sin pronunciamiento debido a que perdió competencia por la apelación formulada; frente a los cuales no hizo reparo alguno, es decir, que esas decisiones adquirieron firmeza, pues </w:t>
      </w:r>
      <w:r w:rsidR="000B415C" w:rsidRPr="00681F41">
        <w:rPr>
          <w:rFonts w:ascii="Arial" w:hAnsi="Arial" w:cs="Arial"/>
          <w:sz w:val="18"/>
          <w:szCs w:val="18"/>
        </w:rPr>
        <w:t xml:space="preserve">el actor </w:t>
      </w:r>
      <w:r w:rsidR="000B415C" w:rsidRPr="00681F41">
        <w:rPr>
          <w:rFonts w:ascii="Arial" w:hAnsi="Arial" w:cs="Arial"/>
          <w:sz w:val="18"/>
          <w:szCs w:val="18"/>
          <w:lang w:val="es-ES_tradnl"/>
        </w:rPr>
        <w:t>omitió utilizar los mecanismos de ley para atacarlas (</w:t>
      </w:r>
      <w:r w:rsidR="002E50ED" w:rsidRPr="00681F41">
        <w:rPr>
          <w:rFonts w:ascii="Arial" w:hAnsi="Arial" w:cs="Arial"/>
          <w:bCs/>
          <w:sz w:val="18"/>
          <w:szCs w:val="18"/>
          <w:lang w:val="es-CO"/>
        </w:rPr>
        <w:t>…</w:t>
      </w:r>
      <w:r w:rsidR="000B415C" w:rsidRPr="00681F41">
        <w:rPr>
          <w:rFonts w:ascii="Arial" w:hAnsi="Arial" w:cs="Arial"/>
          <w:bCs/>
          <w:sz w:val="18"/>
          <w:szCs w:val="18"/>
          <w:lang w:val="es-CO"/>
        </w:rPr>
        <w:t>)</w:t>
      </w:r>
      <w:r w:rsidR="002E50ED" w:rsidRPr="00681F41">
        <w:rPr>
          <w:rFonts w:ascii="Arial" w:hAnsi="Arial" w:cs="Arial"/>
          <w:bCs/>
          <w:sz w:val="18"/>
          <w:szCs w:val="18"/>
          <w:lang w:val="es-CO"/>
        </w:rPr>
        <w:t>”</w:t>
      </w:r>
    </w:p>
    <w:p w:rsidR="00000946" w:rsidRPr="00681F41" w:rsidRDefault="00000946" w:rsidP="00681F41">
      <w:pPr>
        <w:jc w:val="both"/>
        <w:rPr>
          <w:rFonts w:ascii="Arial" w:hAnsi="Arial" w:cs="Arial"/>
          <w:bCs/>
          <w:sz w:val="18"/>
          <w:szCs w:val="18"/>
          <w:lang w:val="es-CO"/>
        </w:rPr>
      </w:pPr>
    </w:p>
    <w:p w:rsidR="00D41813" w:rsidRPr="00681F41" w:rsidRDefault="00D41813" w:rsidP="00681F41">
      <w:pPr>
        <w:jc w:val="both"/>
        <w:rPr>
          <w:rFonts w:ascii="Arial" w:hAnsi="Arial" w:cs="Arial"/>
          <w:sz w:val="18"/>
          <w:szCs w:val="18"/>
        </w:rPr>
      </w:pPr>
      <w:r w:rsidRPr="00681F41">
        <w:rPr>
          <w:rFonts w:ascii="Arial" w:hAnsi="Arial" w:cs="Arial"/>
          <w:sz w:val="18"/>
          <w:szCs w:val="18"/>
        </w:rPr>
        <w:t>SOLICITUD DE AMPARO/ Debe estar</w:t>
      </w:r>
      <w:r w:rsidR="00BC7EA3" w:rsidRPr="00681F41">
        <w:rPr>
          <w:rFonts w:ascii="Arial" w:hAnsi="Arial" w:cs="Arial"/>
          <w:sz w:val="18"/>
          <w:szCs w:val="18"/>
        </w:rPr>
        <w:t xml:space="preserve"> sustentada en hechos concretos</w:t>
      </w:r>
    </w:p>
    <w:p w:rsidR="00AC4B6B" w:rsidRPr="00681F41" w:rsidRDefault="00AC4B6B" w:rsidP="00681F41">
      <w:pPr>
        <w:ind w:right="51"/>
        <w:jc w:val="both"/>
        <w:rPr>
          <w:rFonts w:ascii="Arial" w:hAnsi="Arial" w:cs="Arial"/>
          <w:sz w:val="18"/>
          <w:szCs w:val="18"/>
        </w:rPr>
      </w:pPr>
    </w:p>
    <w:p w:rsidR="000B415C" w:rsidRPr="00681F41" w:rsidRDefault="00BA7EC2" w:rsidP="00681F41">
      <w:pPr>
        <w:pStyle w:val="Textoindependiente"/>
        <w:spacing w:line="240" w:lineRule="auto"/>
        <w:rPr>
          <w:rFonts w:ascii="Arial" w:hAnsi="Arial" w:cs="Arial"/>
          <w:spacing w:val="3"/>
          <w:sz w:val="18"/>
          <w:szCs w:val="18"/>
        </w:rPr>
      </w:pPr>
      <w:r>
        <w:rPr>
          <w:rFonts w:ascii="Arial" w:hAnsi="Arial" w:cs="Arial"/>
          <w:iCs/>
          <w:color w:val="000000"/>
          <w:sz w:val="18"/>
          <w:szCs w:val="18"/>
          <w:lang w:eastAsia="es-CO"/>
        </w:rPr>
        <w:t>“</w:t>
      </w:r>
      <w:bookmarkStart w:id="0" w:name="_GoBack"/>
      <w:bookmarkEnd w:id="0"/>
      <w:r w:rsidR="000B415C" w:rsidRPr="00681F41">
        <w:rPr>
          <w:rFonts w:ascii="Arial" w:hAnsi="Arial" w:cs="Arial"/>
          <w:iCs/>
          <w:color w:val="000000"/>
          <w:sz w:val="18"/>
          <w:szCs w:val="18"/>
          <w:lang w:eastAsia="es-CO"/>
        </w:rPr>
        <w:t>En lo relativo a la pretensión de adelantar simultáneamente la presente acción frente a la Defensoría del Pueblo de Caldas, hay que precisar, que de los hechos no se advierte conducta que amerite tramitarla</w:t>
      </w:r>
      <w:r w:rsidR="00D41813" w:rsidRPr="00681F41">
        <w:rPr>
          <w:rFonts w:ascii="Arial" w:hAnsi="Arial" w:cs="Arial"/>
          <w:iCs/>
          <w:color w:val="000000"/>
          <w:sz w:val="18"/>
          <w:szCs w:val="18"/>
          <w:lang w:eastAsia="es-CO"/>
        </w:rPr>
        <w:t xml:space="preserve"> (…)”</w:t>
      </w:r>
    </w:p>
    <w:p w:rsidR="00000946" w:rsidRPr="00681F41" w:rsidRDefault="00000946" w:rsidP="00681F41">
      <w:pPr>
        <w:pStyle w:val="Textoindependiente"/>
        <w:spacing w:line="240" w:lineRule="auto"/>
        <w:ind w:right="567"/>
        <w:rPr>
          <w:rFonts w:ascii="Arial" w:hAnsi="Arial" w:cs="Arial"/>
          <w:iCs/>
          <w:color w:val="000000"/>
          <w:sz w:val="18"/>
          <w:szCs w:val="18"/>
          <w:lang w:eastAsia="es-CO"/>
        </w:rPr>
      </w:pPr>
    </w:p>
    <w:p w:rsidR="005311C9" w:rsidRPr="00E16583" w:rsidRDefault="005311C9" w:rsidP="005311C9">
      <w:pPr>
        <w:pStyle w:val="Textonotapie"/>
        <w:jc w:val="both"/>
        <w:rPr>
          <w:rFonts w:ascii="Arial" w:hAnsi="Arial" w:cs="Arial"/>
          <w:sz w:val="15"/>
          <w:szCs w:val="15"/>
        </w:rPr>
      </w:pPr>
      <w:r w:rsidRPr="00032220">
        <w:rPr>
          <w:rFonts w:ascii="Arial" w:hAnsi="Arial" w:cs="Arial"/>
          <w:sz w:val="15"/>
          <w:szCs w:val="15"/>
        </w:rPr>
        <w:t>Citas: Corte Constitucional, sentencias T-134 de 1994, T-567 de 1998, C-590 de 2005, T-917 de 2011</w:t>
      </w:r>
      <w:r>
        <w:rPr>
          <w:rFonts w:ascii="Arial" w:hAnsi="Arial" w:cs="Arial"/>
          <w:sz w:val="15"/>
          <w:szCs w:val="15"/>
        </w:rPr>
        <w:t xml:space="preserve"> y</w:t>
      </w:r>
      <w:r w:rsidRPr="00032220">
        <w:rPr>
          <w:rFonts w:ascii="Arial" w:hAnsi="Arial" w:cs="Arial"/>
          <w:sz w:val="15"/>
          <w:szCs w:val="15"/>
        </w:rPr>
        <w:t xml:space="preserve"> T-103 de-2014</w:t>
      </w:r>
      <w:r w:rsidRPr="00E16583">
        <w:rPr>
          <w:rFonts w:ascii="Arial" w:hAnsi="Arial" w:cs="Arial"/>
          <w:sz w:val="15"/>
          <w:szCs w:val="15"/>
        </w:rPr>
        <w:t xml:space="preserve">; </w:t>
      </w:r>
      <w:r w:rsidRPr="00E16583">
        <w:rPr>
          <w:rFonts w:ascii="Arial" w:hAnsi="Arial" w:cs="Arial"/>
          <w:iCs/>
          <w:color w:val="000000"/>
          <w:sz w:val="15"/>
          <w:szCs w:val="15"/>
          <w:lang w:eastAsia="es-CO"/>
        </w:rPr>
        <w:t>Corte Suprema de Justicia, Sala Civil, providencia</w:t>
      </w:r>
      <w:r w:rsidRPr="00E16583">
        <w:rPr>
          <w:rFonts w:ascii="Arial" w:hAnsi="Arial" w:cs="Arial"/>
          <w:sz w:val="15"/>
          <w:szCs w:val="15"/>
          <w:lang w:val="es-CO"/>
        </w:rPr>
        <w:t xml:space="preserve"> STC 16212-2015 del 26 de enero de 2015</w:t>
      </w:r>
    </w:p>
    <w:p w:rsidR="00000946" w:rsidRDefault="00000946" w:rsidP="000B415C">
      <w:pPr>
        <w:pStyle w:val="Textoindependiente"/>
        <w:spacing w:line="240" w:lineRule="auto"/>
        <w:ind w:left="567" w:right="567"/>
        <w:rPr>
          <w:rFonts w:ascii="Arial" w:hAnsi="Arial" w:cs="Arial"/>
          <w:spacing w:val="3"/>
        </w:rPr>
      </w:pPr>
    </w:p>
    <w:p w:rsidR="000B415C" w:rsidRDefault="000B415C"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7B616A" w:rsidRDefault="00486062" w:rsidP="00ED7F33">
      <w:pPr>
        <w:spacing w:line="360" w:lineRule="auto"/>
        <w:jc w:val="center"/>
        <w:rPr>
          <w:rFonts w:ascii="Arial" w:hAnsi="Arial" w:cs="Arial"/>
          <w:w w:val="140"/>
          <w:sz w:val="18"/>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3859E7">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3859E7">
        <w:rPr>
          <w:rFonts w:ascii="Arial" w:hAnsi="Arial" w:cs="Arial"/>
          <w:sz w:val="22"/>
        </w:rPr>
        <w:t xml:space="preserve">Cuarto Civil del Circuito de Pereira, </w:t>
      </w:r>
      <w:r w:rsidR="0037396E">
        <w:rPr>
          <w:rFonts w:ascii="Arial" w:hAnsi="Arial" w:cs="Arial"/>
          <w:sz w:val="22"/>
        </w:rPr>
        <w:t>R.</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859E7">
        <w:rPr>
          <w:rFonts w:ascii="Arial" w:hAnsi="Arial" w:cs="Arial"/>
          <w:sz w:val="22"/>
          <w:szCs w:val="22"/>
        </w:rPr>
        <w:t>Andrés Mauricio Arboleda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859E7">
        <w:rPr>
          <w:rFonts w:ascii="Arial" w:hAnsi="Arial" w:cs="Arial"/>
          <w:sz w:val="22"/>
        </w:rPr>
        <w:t>2016-00272</w:t>
      </w:r>
      <w:r w:rsidR="00DA3959">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3859E7">
        <w:rPr>
          <w:rFonts w:ascii="Arial" w:hAnsi="Arial" w:cs="Arial"/>
          <w:sz w:val="22"/>
        </w:rPr>
        <w:t>272</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0966C2">
        <w:rPr>
          <w:rFonts w:ascii="Arial" w:hAnsi="Arial" w:cs="Arial"/>
          <w:sz w:val="22"/>
          <w:szCs w:val="22"/>
        </w:rPr>
        <w:t>–</w:t>
      </w:r>
      <w:r w:rsidR="004B019A">
        <w:rPr>
          <w:rFonts w:ascii="Arial" w:hAnsi="Arial" w:cs="Arial"/>
          <w:sz w:val="22"/>
          <w:szCs w:val="22"/>
        </w:rPr>
        <w:t xml:space="preserve"> Subsidiaridad</w:t>
      </w:r>
      <w:r w:rsidR="000966C2">
        <w:rPr>
          <w:rFonts w:ascii="Arial" w:hAnsi="Arial" w:cs="Arial"/>
          <w:sz w:val="22"/>
          <w:szCs w:val="22"/>
        </w:rPr>
        <w:t xml:space="preserve"> – Recursos ordinarios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D0845">
        <w:rPr>
          <w:rFonts w:ascii="Arial" w:hAnsi="Arial"/>
          <w:sz w:val="22"/>
          <w:szCs w:val="22"/>
        </w:rPr>
        <w:t>112 de 08-03-2016</w:t>
      </w:r>
    </w:p>
    <w:p w:rsidR="002060F5" w:rsidRPr="007B616A" w:rsidRDefault="002060F5" w:rsidP="002060F5">
      <w:pPr>
        <w:pBdr>
          <w:bottom w:val="double" w:sz="6" w:space="1" w:color="auto"/>
        </w:pBdr>
        <w:spacing w:line="360" w:lineRule="auto"/>
        <w:jc w:val="center"/>
        <w:rPr>
          <w:rFonts w:ascii="Arial" w:hAnsi="Arial" w:cs="Arial"/>
          <w:b/>
          <w:bCs/>
          <w:sz w:val="18"/>
          <w:szCs w:val="22"/>
        </w:rPr>
      </w:pPr>
    </w:p>
    <w:p w:rsidR="00D809D6" w:rsidRPr="007B616A" w:rsidRDefault="00D809D6" w:rsidP="00F373C4">
      <w:pPr>
        <w:spacing w:line="360" w:lineRule="auto"/>
        <w:jc w:val="center"/>
        <w:rPr>
          <w:rFonts w:ascii="Arial" w:hAnsi="Arial" w:cs="Arial"/>
          <w:b/>
          <w:bCs/>
          <w:sz w:val="18"/>
          <w:szCs w:val="22"/>
        </w:rPr>
      </w:pPr>
    </w:p>
    <w:p w:rsidR="006617DD" w:rsidRPr="005D0845" w:rsidRDefault="006617DD" w:rsidP="006617DD">
      <w:pPr>
        <w:spacing w:line="360" w:lineRule="auto"/>
        <w:jc w:val="center"/>
        <w:rPr>
          <w:rFonts w:ascii="Arial" w:hAnsi="Arial" w:cs="Arial"/>
          <w:iCs/>
          <w:sz w:val="28"/>
          <w:szCs w:val="28"/>
          <w:lang w:val="es-CO"/>
        </w:rPr>
      </w:pPr>
      <w:r w:rsidRPr="005D0845">
        <w:rPr>
          <w:rFonts w:ascii="Arial" w:hAnsi="Arial" w:cs="Arial"/>
          <w:iCs/>
          <w:smallCaps/>
          <w:sz w:val="28"/>
          <w:szCs w:val="28"/>
          <w:lang w:val="es-CO"/>
        </w:rPr>
        <w:t>Pereira, R</w:t>
      </w:r>
      <w:r w:rsidR="007949D4" w:rsidRPr="005D0845">
        <w:rPr>
          <w:rFonts w:ascii="Arial" w:hAnsi="Arial" w:cs="Arial"/>
          <w:iCs/>
          <w:smallCaps/>
          <w:sz w:val="28"/>
          <w:szCs w:val="28"/>
          <w:lang w:val="es-CO"/>
        </w:rPr>
        <w:t>.</w:t>
      </w:r>
      <w:r w:rsidRPr="005D0845">
        <w:rPr>
          <w:rFonts w:ascii="Arial" w:hAnsi="Arial" w:cs="Arial"/>
          <w:iCs/>
          <w:smallCaps/>
          <w:sz w:val="28"/>
          <w:szCs w:val="28"/>
          <w:lang w:val="es-CO"/>
        </w:rPr>
        <w:t xml:space="preserve">, </w:t>
      </w:r>
      <w:r w:rsidR="005D0845" w:rsidRPr="005D0845">
        <w:rPr>
          <w:rFonts w:ascii="Arial" w:hAnsi="Arial" w:cs="Arial"/>
          <w:iCs/>
          <w:smallCaps/>
          <w:sz w:val="28"/>
          <w:szCs w:val="28"/>
          <w:lang w:val="es-CO"/>
        </w:rPr>
        <w:t>ocho</w:t>
      </w:r>
      <w:r w:rsidR="00DF588F" w:rsidRPr="005D0845">
        <w:rPr>
          <w:rFonts w:ascii="Arial" w:hAnsi="Arial" w:cs="Arial"/>
          <w:iCs/>
          <w:smallCaps/>
          <w:sz w:val="28"/>
          <w:szCs w:val="28"/>
          <w:lang w:val="es-CO"/>
        </w:rPr>
        <w:t xml:space="preserve"> </w:t>
      </w:r>
      <w:r w:rsidR="00437198" w:rsidRPr="005D0845">
        <w:rPr>
          <w:rFonts w:ascii="Arial" w:hAnsi="Arial" w:cs="Arial"/>
          <w:iCs/>
          <w:smallCaps/>
          <w:sz w:val="28"/>
          <w:szCs w:val="28"/>
          <w:lang w:val="es-CO"/>
        </w:rPr>
        <w:t>(</w:t>
      </w:r>
      <w:r w:rsidR="005D0845" w:rsidRPr="005D0845">
        <w:rPr>
          <w:rFonts w:ascii="Arial" w:hAnsi="Arial" w:cs="Arial"/>
          <w:iCs/>
          <w:smallCaps/>
          <w:sz w:val="28"/>
          <w:szCs w:val="28"/>
          <w:lang w:val="es-CO"/>
        </w:rPr>
        <w:t>8</w:t>
      </w:r>
      <w:r w:rsidR="00AD2BA8" w:rsidRPr="005D0845">
        <w:rPr>
          <w:rFonts w:ascii="Arial" w:hAnsi="Arial" w:cs="Arial"/>
          <w:iCs/>
          <w:smallCaps/>
          <w:sz w:val="28"/>
          <w:szCs w:val="28"/>
          <w:lang w:val="es-CO"/>
        </w:rPr>
        <w:t>)</w:t>
      </w:r>
      <w:r w:rsidRPr="005D0845">
        <w:rPr>
          <w:rFonts w:ascii="Arial" w:hAnsi="Arial" w:cs="Arial"/>
          <w:iCs/>
          <w:smallCaps/>
          <w:sz w:val="28"/>
          <w:szCs w:val="28"/>
          <w:lang w:val="es-CO"/>
        </w:rPr>
        <w:t xml:space="preserve"> de </w:t>
      </w:r>
      <w:r w:rsidR="003859E7" w:rsidRPr="005D0845">
        <w:rPr>
          <w:rFonts w:ascii="Arial" w:hAnsi="Arial" w:cs="Arial"/>
          <w:iCs/>
          <w:smallCaps/>
          <w:sz w:val="28"/>
          <w:szCs w:val="28"/>
          <w:lang w:val="es-CO"/>
        </w:rPr>
        <w:t xml:space="preserve">marzo </w:t>
      </w:r>
      <w:r w:rsidRPr="005D0845">
        <w:rPr>
          <w:rFonts w:ascii="Arial" w:hAnsi="Arial" w:cs="Arial"/>
          <w:iCs/>
          <w:smallCaps/>
          <w:sz w:val="28"/>
          <w:szCs w:val="28"/>
          <w:lang w:val="es-CO"/>
        </w:rPr>
        <w:t xml:space="preserve">de dos mil </w:t>
      </w:r>
      <w:r w:rsidR="007949D4" w:rsidRPr="005D0845">
        <w:rPr>
          <w:rFonts w:ascii="Arial" w:hAnsi="Arial" w:cs="Arial"/>
          <w:iCs/>
          <w:smallCaps/>
          <w:sz w:val="28"/>
          <w:szCs w:val="28"/>
          <w:lang w:val="es-CO"/>
        </w:rPr>
        <w:t xml:space="preserve">dieciséis </w:t>
      </w:r>
      <w:r w:rsidRPr="005D0845">
        <w:rPr>
          <w:rFonts w:ascii="Arial" w:hAnsi="Arial" w:cs="Arial"/>
          <w:iCs/>
          <w:smallCaps/>
          <w:sz w:val="28"/>
          <w:szCs w:val="28"/>
          <w:lang w:val="es-CO"/>
        </w:rPr>
        <w:t>(</w:t>
      </w:r>
      <w:r w:rsidR="007949D4" w:rsidRPr="005D0845">
        <w:rPr>
          <w:rFonts w:ascii="Arial" w:hAnsi="Arial" w:cs="Arial"/>
          <w:iCs/>
          <w:smallCaps/>
          <w:sz w:val="28"/>
          <w:szCs w:val="28"/>
          <w:lang w:val="es-CO"/>
        </w:rPr>
        <w:t>2016</w:t>
      </w:r>
      <w:r w:rsidRPr="005D0845">
        <w:rPr>
          <w:rFonts w:ascii="Arial" w:hAnsi="Arial" w:cs="Arial"/>
          <w:iCs/>
          <w:smallCaps/>
          <w:sz w:val="28"/>
          <w:szCs w:val="28"/>
          <w:lang w:val="es-CO"/>
        </w:rPr>
        <w:t>)</w:t>
      </w:r>
      <w:r w:rsidRPr="005D0845">
        <w:rPr>
          <w:rFonts w:ascii="Arial" w:hAnsi="Arial" w:cs="Arial"/>
          <w:iCs/>
          <w:sz w:val="28"/>
          <w:szCs w:val="28"/>
          <w:lang w:val="es-CO"/>
        </w:rPr>
        <w:t>.</w:t>
      </w:r>
    </w:p>
    <w:p w:rsidR="0023398A" w:rsidRPr="005D0845" w:rsidRDefault="0023398A" w:rsidP="0099045D">
      <w:pPr>
        <w:spacing w:line="360" w:lineRule="auto"/>
        <w:jc w:val="center"/>
        <w:rPr>
          <w:rFonts w:ascii="Arial" w:hAnsi="Arial" w:cs="Arial"/>
          <w:b/>
          <w:bCs/>
          <w:lang w:val="es-CO"/>
        </w:rPr>
      </w:pPr>
    </w:p>
    <w:p w:rsidR="000147A2" w:rsidRPr="005D0845"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5D0845" w:rsidRDefault="00134F0A" w:rsidP="007949D4">
      <w:pPr>
        <w:pStyle w:val="Textoindependiente"/>
        <w:spacing w:line="360" w:lineRule="auto"/>
        <w:rPr>
          <w:rFonts w:ascii="Arial" w:hAnsi="Arial"/>
          <w:szCs w:val="24"/>
        </w:rPr>
      </w:pPr>
    </w:p>
    <w:p w:rsidR="007949D4" w:rsidRPr="007949D4" w:rsidRDefault="007949D4" w:rsidP="007949D4">
      <w:pPr>
        <w:pStyle w:val="Textoindependiente"/>
        <w:spacing w:line="360" w:lineRule="auto"/>
        <w:rPr>
          <w:rFonts w:ascii="Arial" w:hAnsi="Arial"/>
        </w:rPr>
      </w:pPr>
      <w:r w:rsidRPr="007949D4">
        <w:rPr>
          <w:rFonts w:ascii="Arial" w:hAnsi="Arial"/>
        </w:rPr>
        <w:t xml:space="preserve">La acción constitucional </w:t>
      </w:r>
      <w:r w:rsidR="003D747F">
        <w:rPr>
          <w:rFonts w:ascii="Arial" w:hAnsi="Arial"/>
        </w:rPr>
        <w:t>de la referencia</w:t>
      </w:r>
      <w:r w:rsidRPr="007949D4">
        <w:rPr>
          <w:rFonts w:ascii="Arial" w:hAnsi="Arial"/>
        </w:rPr>
        <w:t>, adelantada la actuación respectiva con el trámite preferente y sumario, sin que se aprecien causales de nulidad que la invaliden.</w:t>
      </w:r>
    </w:p>
    <w:p w:rsidR="009C568C" w:rsidRPr="005D0845" w:rsidRDefault="009C568C" w:rsidP="0099045D">
      <w:pPr>
        <w:pStyle w:val="Textoindependiente"/>
        <w:spacing w:line="360" w:lineRule="auto"/>
        <w:rPr>
          <w:rFonts w:ascii="Arial" w:hAnsi="Arial"/>
          <w:szCs w:val="24"/>
        </w:rPr>
      </w:pPr>
    </w:p>
    <w:p w:rsidR="000147A2" w:rsidRPr="005D0845"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Pr="005D0845" w:rsidRDefault="0099045D" w:rsidP="0099045D">
      <w:pPr>
        <w:pStyle w:val="Textoindependiente"/>
        <w:spacing w:line="360" w:lineRule="auto"/>
        <w:rPr>
          <w:rFonts w:ascii="Arial" w:hAnsi="Arial" w:cs="Arial"/>
          <w:szCs w:val="24"/>
        </w:rPr>
      </w:pPr>
    </w:p>
    <w:p w:rsidR="00EC57DE" w:rsidRDefault="00AC2785" w:rsidP="00AC2785">
      <w:pPr>
        <w:spacing w:line="360" w:lineRule="auto"/>
        <w:jc w:val="both"/>
        <w:rPr>
          <w:rFonts w:ascii="Arial" w:hAnsi="Arial" w:cs="Arial"/>
          <w:color w:val="000000"/>
        </w:rPr>
      </w:pPr>
      <w:r>
        <w:rPr>
          <w:rFonts w:ascii="Arial" w:hAnsi="Arial" w:cs="Arial"/>
          <w:color w:val="000000"/>
        </w:rPr>
        <w:t xml:space="preserve">Se quejó el actor de </w:t>
      </w:r>
      <w:r w:rsidR="0037396E">
        <w:rPr>
          <w:rFonts w:ascii="Arial" w:hAnsi="Arial" w:cs="Arial"/>
          <w:color w:val="000000"/>
        </w:rPr>
        <w:t xml:space="preserve">la desatención </w:t>
      </w:r>
      <w:r w:rsidR="00E45BA0">
        <w:rPr>
          <w:rFonts w:ascii="Arial" w:hAnsi="Arial" w:cs="Arial"/>
          <w:color w:val="000000"/>
        </w:rPr>
        <w:t xml:space="preserve">del </w:t>
      </w:r>
      <w:r w:rsidR="0037396E">
        <w:rPr>
          <w:rFonts w:ascii="Arial" w:hAnsi="Arial" w:cs="Arial"/>
          <w:color w:val="000000"/>
        </w:rPr>
        <w:t>Juzgado accionado</w:t>
      </w:r>
      <w:r w:rsidR="00E45BA0">
        <w:rPr>
          <w:rFonts w:ascii="Arial" w:hAnsi="Arial" w:cs="Arial"/>
          <w:color w:val="000000"/>
        </w:rPr>
        <w:t xml:space="preserve">, frente a </w:t>
      </w:r>
      <w:r w:rsidR="003859E7">
        <w:rPr>
          <w:rFonts w:ascii="Arial" w:hAnsi="Arial" w:cs="Arial"/>
          <w:color w:val="000000"/>
        </w:rPr>
        <w:t xml:space="preserve">las nulidades que en repetidas ocasiones presentó por </w:t>
      </w:r>
      <w:r w:rsidR="003859E7" w:rsidRPr="003859E7">
        <w:rPr>
          <w:rFonts w:ascii="Arial" w:hAnsi="Arial" w:cs="Arial"/>
          <w:i/>
          <w:color w:val="000000"/>
        </w:rPr>
        <w:t xml:space="preserve">“indebida acumulación de pretensiones e indebida </w:t>
      </w:r>
      <w:r w:rsidR="003859E7" w:rsidRPr="003859E7">
        <w:rPr>
          <w:rFonts w:ascii="Arial" w:hAnsi="Arial" w:cs="Arial"/>
          <w:i/>
          <w:color w:val="000000"/>
        </w:rPr>
        <w:lastRenderedPageBreak/>
        <w:t>notificación de terceros interesados”</w:t>
      </w:r>
      <w:r w:rsidR="003859E7">
        <w:rPr>
          <w:rFonts w:ascii="Arial" w:hAnsi="Arial" w:cs="Arial"/>
          <w:color w:val="000000"/>
        </w:rPr>
        <w:t xml:space="preserve"> </w:t>
      </w:r>
      <w:r w:rsidR="0037396E">
        <w:rPr>
          <w:rFonts w:ascii="Arial" w:hAnsi="Arial" w:cs="Arial"/>
          <w:color w:val="000000"/>
        </w:rPr>
        <w:t xml:space="preserve">en </w:t>
      </w:r>
      <w:r w:rsidR="003859E7">
        <w:rPr>
          <w:rFonts w:ascii="Arial" w:hAnsi="Arial" w:cs="Arial"/>
          <w:color w:val="000000"/>
        </w:rPr>
        <w:t>la acción popular No</w:t>
      </w:r>
      <w:r w:rsidR="00E45BA0">
        <w:rPr>
          <w:rFonts w:ascii="Arial" w:hAnsi="Arial" w:cs="Arial"/>
          <w:color w:val="000000"/>
        </w:rPr>
        <w:t>.</w:t>
      </w:r>
      <w:r w:rsidR="003859E7">
        <w:rPr>
          <w:rFonts w:ascii="Arial" w:hAnsi="Arial" w:cs="Arial"/>
          <w:color w:val="000000"/>
        </w:rPr>
        <w:t xml:space="preserve">2015-00032-00 </w:t>
      </w:r>
      <w:r w:rsidR="004A4E9F">
        <w:rPr>
          <w:rFonts w:ascii="Arial" w:hAnsi="Arial" w:cs="Arial"/>
          <w:color w:val="000000"/>
        </w:rPr>
        <w:t>(Folio 1, este cuaderno)</w:t>
      </w:r>
      <w:r w:rsidR="00E45BA0">
        <w:rPr>
          <w:rFonts w:ascii="Arial" w:hAnsi="Arial" w:cs="Arial"/>
          <w:color w:val="000000"/>
        </w:rPr>
        <w:t>.</w:t>
      </w:r>
    </w:p>
    <w:p w:rsidR="00AC2785" w:rsidRPr="005D0845" w:rsidRDefault="00AC2785" w:rsidP="00AC2785">
      <w:pPr>
        <w:spacing w:line="360" w:lineRule="auto"/>
        <w:jc w:val="both"/>
        <w:rPr>
          <w:rFonts w:ascii="Arial" w:hAnsi="Arial"/>
          <w:lang w:val="es-CO"/>
        </w:rPr>
      </w:pPr>
    </w:p>
    <w:p w:rsidR="002B0607" w:rsidRPr="005D0845"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5D0845"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este cuaderno)</w:t>
      </w:r>
      <w:r w:rsidR="002F2C09">
        <w:rPr>
          <w:rFonts w:ascii="Arial" w:hAnsi="Arial" w:cs="Arial"/>
          <w:spacing w:val="-3"/>
          <w:lang w:val="es-ES_tradnl"/>
        </w:rPr>
        <w:t xml:space="preserve">. </w:t>
      </w:r>
    </w:p>
    <w:p w:rsidR="003705F3" w:rsidRPr="005D0845"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Pr="005D0845"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7B616A" w:rsidRDefault="007B616A" w:rsidP="007B616A">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B1245A">
        <w:rPr>
          <w:rFonts w:ascii="Arial" w:hAnsi="Arial" w:cs="Arial"/>
          <w:szCs w:val="24"/>
        </w:rPr>
        <w:t>,</w:t>
      </w:r>
      <w:r w:rsidR="00AD2BA8">
        <w:rPr>
          <w:rFonts w:ascii="Arial" w:hAnsi="Arial" w:cs="Arial"/>
          <w:szCs w:val="24"/>
        </w:rPr>
        <w:t xml:space="preserve"> </w:t>
      </w:r>
      <w:r w:rsidR="003859E7">
        <w:rPr>
          <w:rFonts w:ascii="Arial" w:hAnsi="Arial" w:cs="Arial"/>
          <w:szCs w:val="24"/>
        </w:rPr>
        <w:t>decretar la nulidad de la acumulación y tramitar las acciones populares por separado</w:t>
      </w:r>
      <w:r w:rsidR="00AD2BA8" w:rsidRPr="005C4C0F">
        <w:rPr>
          <w:rFonts w:ascii="Arial" w:hAnsi="Arial" w:cs="Arial"/>
          <w:szCs w:val="24"/>
        </w:rPr>
        <w:t xml:space="preserve">; (iii) </w:t>
      </w:r>
      <w:r w:rsidR="003859E7">
        <w:rPr>
          <w:rFonts w:ascii="Arial" w:hAnsi="Arial" w:cs="Arial"/>
        </w:rPr>
        <w:t>Se envíe copia escaneada de esta acción a su correo electrónico y se le haga entrega de copia física; y, (iv) Se tramite, simultáneamente, tutela contra la Defensoría del Puebl</w:t>
      </w:r>
      <w:r w:rsidR="000966C2">
        <w:rPr>
          <w:rFonts w:ascii="Arial" w:hAnsi="Arial" w:cs="Arial"/>
        </w:rPr>
        <w:t>o de Caldas</w:t>
      </w:r>
      <w:r w:rsidR="003859E7">
        <w:rPr>
          <w:rFonts w:ascii="Arial" w:hAnsi="Arial" w:cs="Arial"/>
        </w:rPr>
        <w:t xml:space="preserve"> </w:t>
      </w:r>
      <w:r w:rsidR="00B1245A">
        <w:rPr>
          <w:rFonts w:ascii="Arial" w:hAnsi="Arial" w:cs="Arial"/>
          <w:szCs w:val="24"/>
        </w:rPr>
        <w:t>(Folio 1, este cuaderno)</w:t>
      </w:r>
      <w:r w:rsidR="000966C2">
        <w:rPr>
          <w:rFonts w:ascii="Arial" w:hAnsi="Arial" w:cs="Arial"/>
          <w:szCs w:val="24"/>
        </w:rPr>
        <w:t>.</w:t>
      </w:r>
    </w:p>
    <w:p w:rsidR="00CE71D8" w:rsidRPr="005D0845" w:rsidRDefault="00CE71D8" w:rsidP="000145EA">
      <w:pPr>
        <w:pStyle w:val="Sinespaciado"/>
        <w:spacing w:line="360" w:lineRule="auto"/>
        <w:jc w:val="both"/>
        <w:rPr>
          <w:rFonts w:ascii="Arial" w:hAnsi="Arial" w:cs="Arial"/>
          <w:szCs w:val="24"/>
        </w:rPr>
      </w:pPr>
    </w:p>
    <w:p w:rsidR="00CE71D8" w:rsidRPr="005D0845"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D0845" w:rsidRDefault="0035297D" w:rsidP="00704D44">
      <w:pPr>
        <w:pStyle w:val="Sinespaciado"/>
        <w:tabs>
          <w:tab w:val="left" w:pos="1200"/>
        </w:tabs>
        <w:spacing w:line="360" w:lineRule="auto"/>
        <w:jc w:val="both"/>
        <w:rPr>
          <w:rFonts w:ascii="Arial" w:hAnsi="Arial"/>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3859E7">
        <w:rPr>
          <w:rFonts w:ascii="Arial" w:hAnsi="Arial"/>
        </w:rPr>
        <w:t>23-0</w:t>
      </w:r>
      <w:r w:rsidR="000966C2">
        <w:rPr>
          <w:rFonts w:ascii="Arial" w:hAnsi="Arial"/>
        </w:rPr>
        <w:t>2</w:t>
      </w:r>
      <w:r>
        <w:rPr>
          <w:rFonts w:ascii="Arial" w:hAnsi="Arial"/>
        </w:rPr>
        <w:t>-2016</w:t>
      </w:r>
      <w:r w:rsidR="00DD597F">
        <w:rPr>
          <w:rFonts w:ascii="Arial" w:hAnsi="Arial"/>
        </w:rPr>
        <w:t>, co</w:t>
      </w:r>
      <w:r w:rsidR="00DD597F" w:rsidRPr="00704D44">
        <w:rPr>
          <w:rFonts w:ascii="Arial" w:hAnsi="Arial"/>
        </w:rPr>
        <w:t>n providencia</w:t>
      </w:r>
      <w:r w:rsidR="00DD597F">
        <w:rPr>
          <w:rFonts w:ascii="Arial" w:hAnsi="Arial"/>
        </w:rPr>
        <w:t xml:space="preserve"> </w:t>
      </w:r>
      <w:r>
        <w:rPr>
          <w:rFonts w:ascii="Arial" w:hAnsi="Arial"/>
        </w:rPr>
        <w:t xml:space="preserve">de ese mismo día </w:t>
      </w:r>
      <w:r w:rsidR="008E50E4" w:rsidRPr="008E5A62">
        <w:rPr>
          <w:rFonts w:ascii="Arial" w:hAnsi="Arial"/>
        </w:rPr>
        <w:t>se admiti</w:t>
      </w:r>
      <w:r>
        <w:rPr>
          <w:rFonts w:ascii="Arial" w:hAnsi="Arial"/>
        </w:rPr>
        <w:t xml:space="preserve">ó,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8E50E4">
        <w:rPr>
          <w:rFonts w:ascii="Arial" w:hAnsi="Arial"/>
        </w:rPr>
        <w:t xml:space="preserve"> (Folios 4 y 5,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8E50E4">
        <w:rPr>
          <w:rFonts w:ascii="Arial" w:hAnsi="Arial"/>
        </w:rPr>
        <w:t xml:space="preserve">(Folios </w:t>
      </w:r>
      <w:r w:rsidR="00127786">
        <w:rPr>
          <w:rFonts w:ascii="Arial" w:hAnsi="Arial"/>
        </w:rPr>
        <w:t>6</w:t>
      </w:r>
      <w:r w:rsidR="00C91FE9">
        <w:rPr>
          <w:rFonts w:ascii="Arial" w:hAnsi="Arial"/>
        </w:rPr>
        <w:t>, 7, 86 vto. y 87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50E4">
        <w:rPr>
          <w:rFonts w:ascii="Arial" w:hAnsi="Arial"/>
        </w:rPr>
        <w:t>C</w:t>
      </w:r>
      <w:r w:rsidR="008E50E4" w:rsidRPr="008E5A62">
        <w:rPr>
          <w:rFonts w:ascii="Arial" w:hAnsi="Arial"/>
        </w:rPr>
        <w:t xml:space="preserve">ontestaron </w:t>
      </w:r>
      <w:r w:rsidR="008E50E4" w:rsidRPr="00E859EA">
        <w:rPr>
          <w:rFonts w:ascii="Arial" w:hAnsi="Arial" w:cs="Arial"/>
          <w:spacing w:val="3"/>
        </w:rPr>
        <w:t xml:space="preserve">la </w:t>
      </w:r>
      <w:r w:rsidR="00C91FE9">
        <w:rPr>
          <w:rFonts w:ascii="Arial" w:hAnsi="Arial" w:cs="Arial"/>
          <w:spacing w:val="3"/>
        </w:rPr>
        <w:t>Defensoría del Pueblo Regional Risaralda</w:t>
      </w:r>
      <w:r w:rsidR="00127786">
        <w:rPr>
          <w:rFonts w:ascii="Arial" w:hAnsi="Arial" w:cs="Arial"/>
          <w:spacing w:val="3"/>
        </w:rPr>
        <w:t xml:space="preserve"> (Folio </w:t>
      </w:r>
      <w:r w:rsidR="00C91FE9">
        <w:rPr>
          <w:rFonts w:ascii="Arial" w:hAnsi="Arial" w:cs="Arial"/>
          <w:spacing w:val="3"/>
        </w:rPr>
        <w:t>82, Ibídem)</w:t>
      </w:r>
      <w:r w:rsidR="00CB54FB">
        <w:rPr>
          <w:rFonts w:ascii="Arial" w:hAnsi="Arial" w:cs="Arial"/>
          <w:spacing w:val="3"/>
        </w:rPr>
        <w:t xml:space="preserve">. </w:t>
      </w:r>
      <w:r w:rsidR="00C91FE9">
        <w:rPr>
          <w:rFonts w:ascii="Arial" w:hAnsi="Arial" w:cs="Arial"/>
          <w:spacing w:val="3"/>
        </w:rPr>
        <w:t xml:space="preserve">El señor Andrés Mauricio Arboleda y el banco BBVA Colombia SA -Sucursales calle 24 No.7-17 Local No.1 </w:t>
      </w:r>
      <w:r w:rsidR="0022199E">
        <w:rPr>
          <w:rFonts w:ascii="Arial" w:hAnsi="Arial" w:cs="Arial"/>
          <w:spacing w:val="3"/>
        </w:rPr>
        <w:t xml:space="preserve">y avenida 30 de agosto No.75-51 </w:t>
      </w:r>
      <w:r w:rsidR="00C91FE9">
        <w:rPr>
          <w:rFonts w:ascii="Arial" w:hAnsi="Arial" w:cs="Arial"/>
          <w:spacing w:val="3"/>
        </w:rPr>
        <w:t>de</w:t>
      </w:r>
      <w:r w:rsidR="0022199E">
        <w:rPr>
          <w:rFonts w:ascii="Arial" w:hAnsi="Arial" w:cs="Arial"/>
          <w:spacing w:val="3"/>
        </w:rPr>
        <w:t xml:space="preserve"> Pereira -, </w:t>
      </w:r>
      <w:r w:rsidR="00C91FE9">
        <w:rPr>
          <w:rFonts w:ascii="Arial" w:hAnsi="Arial" w:cs="Arial"/>
          <w:spacing w:val="3"/>
        </w:rPr>
        <w:t>guardaron silencio</w:t>
      </w:r>
      <w:r w:rsidR="00CB54FB">
        <w:rPr>
          <w:rFonts w:ascii="Arial" w:hAnsi="Arial" w:cs="Arial"/>
          <w:spacing w:val="3"/>
        </w:rPr>
        <w:t>.</w:t>
      </w:r>
      <w:r w:rsidR="001A4C76">
        <w:rPr>
          <w:rFonts w:ascii="Arial" w:hAnsi="Arial" w:cs="Arial"/>
        </w:rPr>
        <w:t xml:space="preserve"> </w:t>
      </w:r>
      <w:r w:rsidR="00C91FE9">
        <w:rPr>
          <w:rFonts w:ascii="Arial" w:hAnsi="Arial" w:cs="Arial"/>
        </w:rPr>
        <w:t>El despacho accionado arrimó las copias requeridas (Folios 9 a 81, ib.).</w:t>
      </w:r>
    </w:p>
    <w:p w:rsidR="00B41B34" w:rsidRPr="005D0845" w:rsidRDefault="00B41B34" w:rsidP="00B50331">
      <w:pPr>
        <w:spacing w:line="360" w:lineRule="auto"/>
        <w:jc w:val="both"/>
        <w:rPr>
          <w:rFonts w:ascii="Arial" w:hAnsi="Arial"/>
        </w:rPr>
      </w:pPr>
    </w:p>
    <w:p w:rsidR="00B41B34" w:rsidRPr="005D0845"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5D0845" w:rsidRDefault="006F4450" w:rsidP="006F4450">
      <w:pPr>
        <w:spacing w:line="360" w:lineRule="auto"/>
        <w:jc w:val="both"/>
        <w:rPr>
          <w:rFonts w:ascii="Arial" w:hAnsi="Arial"/>
        </w:rPr>
      </w:pPr>
    </w:p>
    <w:p w:rsidR="00CB54FB" w:rsidRDefault="009911F3" w:rsidP="00310F89">
      <w:pPr>
        <w:pStyle w:val="Prrafodelista"/>
        <w:numPr>
          <w:ilvl w:val="1"/>
          <w:numId w:val="18"/>
        </w:numPr>
        <w:spacing w:line="360" w:lineRule="auto"/>
        <w:jc w:val="both"/>
        <w:rPr>
          <w:rFonts w:ascii="Arial" w:hAnsi="Arial"/>
        </w:rPr>
      </w:pPr>
      <w:r>
        <w:rPr>
          <w:rFonts w:ascii="Arial" w:hAnsi="Arial"/>
        </w:rPr>
        <w:t>La Defensoría del Pueblo Regional Risaralda</w:t>
      </w:r>
    </w:p>
    <w:p w:rsidR="00CB54FB" w:rsidRPr="005D0845" w:rsidRDefault="00CB54FB" w:rsidP="00CB54FB">
      <w:pPr>
        <w:pStyle w:val="Prrafodelista"/>
        <w:spacing w:line="360" w:lineRule="auto"/>
        <w:ind w:left="720"/>
        <w:jc w:val="both"/>
        <w:rPr>
          <w:rFonts w:ascii="Arial" w:hAnsi="Arial"/>
        </w:rPr>
      </w:pPr>
    </w:p>
    <w:p w:rsidR="00310F89" w:rsidRDefault="00CB375B" w:rsidP="00310F89">
      <w:pPr>
        <w:spacing w:line="360" w:lineRule="auto"/>
        <w:jc w:val="both"/>
        <w:rPr>
          <w:rFonts w:ascii="Arial" w:hAnsi="Arial"/>
        </w:rPr>
      </w:pPr>
      <w:r>
        <w:rPr>
          <w:rFonts w:ascii="Arial" w:hAnsi="Arial"/>
        </w:rPr>
        <w:t xml:space="preserve">Expresó que la inconformidad del accionante se endilga a la conducta desplegada por el juzgado accionado, situación que lo exime de realizar un análisis al asunto </w:t>
      </w:r>
      <w:r w:rsidR="00C87D22">
        <w:rPr>
          <w:rFonts w:ascii="Arial" w:hAnsi="Arial" w:cs="Arial"/>
          <w:spacing w:val="3"/>
        </w:rPr>
        <w:t xml:space="preserve">(Folio </w:t>
      </w:r>
      <w:r w:rsidR="000966C2">
        <w:rPr>
          <w:rFonts w:ascii="Arial" w:hAnsi="Arial" w:cs="Arial"/>
          <w:spacing w:val="3"/>
        </w:rPr>
        <w:t>82,</w:t>
      </w:r>
      <w:r w:rsidR="00C87D22">
        <w:rPr>
          <w:rFonts w:ascii="Arial" w:hAnsi="Arial" w:cs="Arial"/>
          <w:spacing w:val="3"/>
        </w:rPr>
        <w:t xml:space="preserve"> ib.)</w:t>
      </w:r>
      <w:r w:rsidR="00310F89">
        <w:rPr>
          <w:rFonts w:ascii="Arial" w:hAnsi="Arial"/>
        </w:rPr>
        <w:t xml:space="preserve">. </w:t>
      </w:r>
    </w:p>
    <w:p w:rsidR="00C43553" w:rsidRPr="005D0845" w:rsidRDefault="00C43553" w:rsidP="00AE3CA9">
      <w:pPr>
        <w:spacing w:line="360" w:lineRule="auto"/>
        <w:jc w:val="both"/>
        <w:rPr>
          <w:rFonts w:ascii="Arial" w:hAnsi="Arial"/>
        </w:rPr>
      </w:pPr>
    </w:p>
    <w:p w:rsidR="00310F89" w:rsidRPr="005D0845"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5D0845"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5D0845"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9911F3">
        <w:rPr>
          <w:rFonts w:ascii="Arial" w:hAnsi="Arial" w:cs="Arial"/>
          <w:color w:val="000000"/>
          <w:sz w:val="24"/>
          <w:szCs w:val="24"/>
        </w:rPr>
        <w:t>Cuarto Civil del Circuito de Pereira</w:t>
      </w:r>
      <w:r w:rsidR="00FE2788">
        <w:rPr>
          <w:rFonts w:ascii="Arial" w:hAnsi="Arial" w:cs="Arial"/>
          <w:color w:val="000000"/>
          <w:sz w:val="24"/>
          <w:szCs w:val="24"/>
        </w:rPr>
        <w:t xml:space="preserve">, R. </w:t>
      </w:r>
      <w:r w:rsidRPr="00EE1C51">
        <w:rPr>
          <w:rFonts w:ascii="Arial" w:hAnsi="Arial" w:cs="Arial"/>
          <w:sz w:val="24"/>
          <w:szCs w:val="24"/>
        </w:rPr>
        <w:t>(Artículos 86 de la CP, 37 del Decreto 2591 de 1991).</w:t>
      </w:r>
    </w:p>
    <w:p w:rsidR="00CF429F" w:rsidRPr="005D0845"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9911F3">
        <w:rPr>
          <w:rFonts w:ascii="Arial" w:hAnsi="Arial" w:cs="Arial"/>
          <w:szCs w:val="24"/>
        </w:rPr>
        <w:t xml:space="preserve">el </w:t>
      </w:r>
      <w:r w:rsidR="001A4C76">
        <w:rPr>
          <w:rFonts w:ascii="Arial" w:hAnsi="Arial" w:cs="Arial"/>
          <w:szCs w:val="24"/>
        </w:rPr>
        <w:t>proceso</w:t>
      </w:r>
      <w:r w:rsidR="009911F3">
        <w:rPr>
          <w:rFonts w:ascii="Arial" w:hAnsi="Arial" w:cs="Arial"/>
          <w:szCs w:val="24"/>
        </w:rPr>
        <w:t xml:space="preserve"> </w:t>
      </w:r>
      <w:r w:rsidR="001A4C76">
        <w:rPr>
          <w:rFonts w:ascii="Arial" w:hAnsi="Arial" w:cs="Arial"/>
          <w:szCs w:val="24"/>
        </w:rPr>
        <w:t>judicial</w:t>
      </w:r>
      <w:r w:rsidR="00FE2788">
        <w:rPr>
          <w:rFonts w:ascii="Arial" w:hAnsi="Arial" w:cs="Arial"/>
          <w:szCs w:val="24"/>
        </w:rPr>
        <w:t xml:space="preserve"> </w:t>
      </w:r>
      <w:r w:rsidR="001A4C76">
        <w:rPr>
          <w:rFonts w:ascii="Arial" w:hAnsi="Arial" w:cs="Arial"/>
          <w:szCs w:val="24"/>
        </w:rPr>
        <w:t xml:space="preserve">en </w:t>
      </w:r>
      <w:r w:rsidR="009911F3">
        <w:rPr>
          <w:rFonts w:ascii="Arial" w:hAnsi="Arial" w:cs="Arial"/>
          <w:szCs w:val="24"/>
        </w:rPr>
        <w:t xml:space="preserve">el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9911F3">
        <w:rPr>
          <w:rFonts w:ascii="Arial" w:hAnsi="Arial" w:cs="Arial"/>
          <w:szCs w:val="24"/>
        </w:rPr>
        <w:t>Cuarto Civil del Circuito de Pereira</w:t>
      </w:r>
      <w:r w:rsidR="00FE2788">
        <w:rPr>
          <w:rFonts w:ascii="Arial" w:hAnsi="Arial" w:cs="Arial"/>
          <w:szCs w:val="24"/>
        </w:rPr>
        <w:t>, R.</w:t>
      </w:r>
      <w:r w:rsidR="00CB0B9E">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w:t>
      </w:r>
      <w:r w:rsidR="009911F3">
        <w:rPr>
          <w:rFonts w:ascii="Arial" w:hAnsi="Arial" w:cs="Arial"/>
          <w:szCs w:val="24"/>
        </w:rPr>
        <w:t>del juicio</w:t>
      </w:r>
      <w:r>
        <w:rPr>
          <w:rFonts w:ascii="Arial" w:hAnsi="Arial" w:cs="Arial"/>
          <w:szCs w:val="24"/>
        </w:rPr>
        <w:t>.</w:t>
      </w:r>
    </w:p>
    <w:p w:rsidR="00DF74B6" w:rsidRPr="007B616A" w:rsidRDefault="00DF74B6" w:rsidP="00DF74B6">
      <w:pPr>
        <w:pStyle w:val="Textoindependiente"/>
        <w:spacing w:line="360" w:lineRule="auto"/>
        <w:rPr>
          <w:rFonts w:ascii="Arial" w:hAnsi="Arial" w:cs="Arial"/>
          <w:sz w:val="18"/>
          <w:szCs w:val="24"/>
        </w:rPr>
      </w:pPr>
    </w:p>
    <w:p w:rsidR="001A4C76" w:rsidRPr="00AE73C7" w:rsidRDefault="001A4C76" w:rsidP="001A4C76">
      <w:pPr>
        <w:pStyle w:val="Textoindependiente"/>
        <w:spacing w:line="360" w:lineRule="auto"/>
        <w:rPr>
          <w:rFonts w:ascii="Arial" w:hAnsi="Arial" w:cs="Arial"/>
          <w:szCs w:val="24"/>
        </w:rPr>
      </w:pPr>
      <w:r>
        <w:rPr>
          <w:rFonts w:ascii="Arial" w:hAnsi="Arial" w:cs="Arial"/>
        </w:rPr>
        <w:t>Respecto de l</w:t>
      </w:r>
      <w:r w:rsidR="00FD49FE">
        <w:rPr>
          <w:rFonts w:ascii="Arial" w:hAnsi="Arial" w:cs="Arial"/>
          <w:szCs w:val="24"/>
        </w:rPr>
        <w:t xml:space="preserve">os </w:t>
      </w:r>
      <w:r>
        <w:rPr>
          <w:rFonts w:ascii="Arial" w:hAnsi="Arial" w:cs="Arial"/>
          <w:szCs w:val="24"/>
        </w:rPr>
        <w:t xml:space="preserve">litisconsortes </w:t>
      </w:r>
      <w:r w:rsidR="00FD49FE">
        <w:rPr>
          <w:rFonts w:ascii="Arial" w:hAnsi="Arial" w:cs="Arial"/>
          <w:szCs w:val="24"/>
        </w:rPr>
        <w:t xml:space="preserve">vinculados a este trámite, </w:t>
      </w:r>
      <w:r>
        <w:rPr>
          <w:rFonts w:ascii="Arial" w:hAnsi="Arial" w:cs="Arial"/>
          <w:szCs w:val="24"/>
        </w:rPr>
        <w:t>como eventuales afectados con la acción constitucional, no incurrieron en violación o amenaza alguna, por tanto se n</w:t>
      </w:r>
      <w:r w:rsidR="000E62D3">
        <w:rPr>
          <w:rFonts w:ascii="Arial" w:hAnsi="Arial" w:cs="Arial"/>
          <w:szCs w:val="24"/>
        </w:rPr>
        <w:t>egará la tutela frente a ellos.</w:t>
      </w:r>
    </w:p>
    <w:p w:rsidR="001A4C76" w:rsidRPr="005D0845"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B616A"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911F3">
        <w:rPr>
          <w:rFonts w:ascii="Arial" w:hAnsi="Arial" w:cs="Arial"/>
          <w:color w:val="000000"/>
        </w:rPr>
        <w:t xml:space="preserve">Cuarto Civil del Circuito </w:t>
      </w:r>
      <w:r w:rsidR="009911F3">
        <w:rPr>
          <w:rFonts w:ascii="Arial" w:hAnsi="Arial" w:cs="Arial"/>
        </w:rPr>
        <w:t>de Pereira</w:t>
      </w:r>
      <w:r w:rsidR="00C072A0">
        <w:rPr>
          <w:rFonts w:ascii="Arial" w:hAnsi="Arial" w:cs="Arial"/>
        </w:rPr>
        <w:t xml:space="preserve">,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9911F3">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5D084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5D0845"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Pr="007B616A"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7B616A" w:rsidRDefault="00FF5B57"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7B616A" w:rsidRPr="007B616A" w:rsidRDefault="007B616A"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7B616A" w:rsidRDefault="00FF5B57"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7B616A" w:rsidRDefault="0062273B" w:rsidP="0062273B">
      <w:pPr>
        <w:pStyle w:val="Textoindependiente"/>
        <w:spacing w:line="360" w:lineRule="auto"/>
        <w:rPr>
          <w:rFonts w:ascii="Arial" w:hAnsi="Arial" w:cs="Arial"/>
          <w:sz w:val="18"/>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7B616A" w:rsidRDefault="0062273B" w:rsidP="0062273B">
      <w:pPr>
        <w:pStyle w:val="Textoindependiente"/>
        <w:tabs>
          <w:tab w:val="clear" w:pos="0"/>
        </w:tabs>
        <w:spacing w:line="360" w:lineRule="auto"/>
        <w:rPr>
          <w:rFonts w:ascii="Arial" w:hAnsi="Arial" w:cs="Arial"/>
          <w:sz w:val="18"/>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7B616A" w:rsidRDefault="0062273B" w:rsidP="0062273B">
      <w:pPr>
        <w:pStyle w:val="Textoindependiente"/>
        <w:tabs>
          <w:tab w:val="clear" w:pos="0"/>
        </w:tabs>
        <w:spacing w:line="360" w:lineRule="auto"/>
        <w:rPr>
          <w:rFonts w:ascii="Arial" w:hAnsi="Arial" w:cs="Arial"/>
          <w:sz w:val="18"/>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9911F3" w:rsidRPr="007B616A" w:rsidRDefault="009911F3" w:rsidP="0062273B">
      <w:pPr>
        <w:widowControl/>
        <w:autoSpaceDE/>
        <w:autoSpaceDN/>
        <w:adjustRightInd/>
        <w:spacing w:line="360" w:lineRule="auto"/>
        <w:jc w:val="both"/>
        <w:rPr>
          <w:rFonts w:ascii="Arial" w:hAnsi="Arial" w:cs="Arial"/>
          <w:sz w:val="18"/>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7B616A" w:rsidRDefault="0062273B" w:rsidP="0062273B">
      <w:pPr>
        <w:widowControl/>
        <w:overflowPunct w:val="0"/>
        <w:spacing w:line="360" w:lineRule="auto"/>
        <w:ind w:left="540" w:right="560"/>
        <w:jc w:val="both"/>
        <w:textAlignment w:val="baseline"/>
        <w:rPr>
          <w:rFonts w:ascii="Arial" w:hAnsi="Arial" w:cs="Arial"/>
          <w:i/>
          <w:iCs/>
          <w:sz w:val="18"/>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5D0845"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62273B" w:rsidRPr="005D0845"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5D0845" w:rsidRDefault="00CB1C55" w:rsidP="0062273B">
      <w:pPr>
        <w:spacing w:line="360" w:lineRule="auto"/>
        <w:jc w:val="both"/>
        <w:rPr>
          <w:rFonts w:ascii="Arial" w:hAnsi="Arial" w:cs="Arial"/>
          <w:lang w:val="es-ES_tradnl"/>
        </w:rPr>
      </w:pPr>
    </w:p>
    <w:p w:rsidR="00CB1C55" w:rsidRPr="005D084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ANALIZA</w:t>
      </w:r>
      <w:r w:rsidR="000966C2">
        <w:rPr>
          <w:rFonts w:ascii="Arial" w:hAnsi="Arial"/>
          <w:szCs w:val="24"/>
        </w:rPr>
        <w:t>DO</w:t>
      </w:r>
    </w:p>
    <w:p w:rsidR="008139F4" w:rsidRPr="005D0845" w:rsidRDefault="008139F4" w:rsidP="008139F4">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procedibilidad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sidR="007D7647">
        <w:rPr>
          <w:rFonts w:ascii="Arial" w:hAnsi="Arial" w:cs="Arial"/>
          <w:lang w:val="es-ES_tradnl"/>
        </w:rPr>
        <w:t>l</w:t>
      </w:r>
      <w:r>
        <w:rPr>
          <w:rFonts w:ascii="Arial" w:hAnsi="Arial" w:cs="Arial"/>
          <w:lang w:val="es-ES_tradnl"/>
        </w:rPr>
        <w:t xml:space="preserve"> </w:t>
      </w:r>
      <w:r w:rsidR="00FF5B57">
        <w:rPr>
          <w:rFonts w:ascii="Arial" w:hAnsi="Arial" w:cs="Arial"/>
          <w:lang w:val="es-ES_tradnl"/>
        </w:rPr>
        <w:t>amparo.</w:t>
      </w:r>
    </w:p>
    <w:p w:rsidR="00FF5B57" w:rsidRPr="005D0845" w:rsidRDefault="00FF5B57" w:rsidP="00FF5B57">
      <w:pPr>
        <w:spacing w:line="360" w:lineRule="auto"/>
        <w:jc w:val="both"/>
        <w:rPr>
          <w:rFonts w:ascii="Arial" w:hAnsi="Arial" w:cs="Arial"/>
          <w:lang w:val="es-ES_tradnl"/>
        </w:rPr>
      </w:pPr>
    </w:p>
    <w:p w:rsidR="00B52F3D" w:rsidRDefault="00B52F3D" w:rsidP="00FF5B57">
      <w:pPr>
        <w:spacing w:line="360" w:lineRule="auto"/>
        <w:jc w:val="both"/>
        <w:rPr>
          <w:rFonts w:ascii="Arial" w:hAnsi="Arial" w:cs="Arial"/>
          <w:lang w:val="es-ES_tradnl"/>
        </w:rPr>
      </w:pPr>
      <w:r>
        <w:rPr>
          <w:rFonts w:ascii="Arial" w:hAnsi="Arial" w:cs="Arial"/>
          <w:lang w:val="es-ES_tradnl"/>
        </w:rPr>
        <w:t xml:space="preserve">El accionante se duele porque el juzgado accionado </w:t>
      </w:r>
      <w:r w:rsidR="009911F3">
        <w:rPr>
          <w:rFonts w:ascii="Arial" w:hAnsi="Arial" w:cs="Arial"/>
          <w:lang w:val="es-ES_tradnl"/>
        </w:rPr>
        <w:t>no declaró la nulidad de lo actuado en la acción popular No.2015-00032-00, a pesar de haberla formulado en repetidas ocasiones</w:t>
      </w:r>
      <w:r w:rsidR="000E62D3">
        <w:rPr>
          <w:rFonts w:ascii="Arial" w:hAnsi="Arial" w:cs="Arial"/>
          <w:lang w:val="es-ES_tradnl"/>
        </w:rPr>
        <w:t>.</w:t>
      </w:r>
    </w:p>
    <w:p w:rsidR="003C693B" w:rsidRPr="005D0845" w:rsidRDefault="003C693B" w:rsidP="00FF5B57">
      <w:pPr>
        <w:spacing w:line="360" w:lineRule="auto"/>
        <w:jc w:val="both"/>
        <w:rPr>
          <w:rFonts w:ascii="Arial" w:hAnsi="Arial" w:cs="Arial"/>
          <w:lang w:val="es-ES_tradnl"/>
        </w:rPr>
      </w:pPr>
    </w:p>
    <w:p w:rsidR="00B37151" w:rsidRDefault="003C693B" w:rsidP="00630C9E">
      <w:pPr>
        <w:spacing w:line="360" w:lineRule="auto"/>
        <w:jc w:val="both"/>
        <w:rPr>
          <w:rFonts w:ascii="Arial" w:hAnsi="Arial" w:cs="Arial"/>
          <w:bCs/>
          <w:lang w:val="es-CO"/>
        </w:rPr>
      </w:pPr>
      <w:r>
        <w:rPr>
          <w:rFonts w:ascii="Arial" w:hAnsi="Arial" w:cs="Arial"/>
          <w:lang w:val="es-ES_tradnl"/>
        </w:rPr>
        <w:t xml:space="preserve">Conforme </w:t>
      </w:r>
      <w:r w:rsidR="00036DF2">
        <w:rPr>
          <w:rFonts w:ascii="Arial" w:hAnsi="Arial" w:cs="Arial"/>
          <w:lang w:val="es-ES_tradnl"/>
        </w:rPr>
        <w:t>al acervo probatorio</w:t>
      </w:r>
      <w:r w:rsidR="009911F3">
        <w:rPr>
          <w:rFonts w:ascii="Arial" w:hAnsi="Arial" w:cs="Arial"/>
          <w:lang w:val="es-ES_tradnl"/>
        </w:rPr>
        <w:t xml:space="preserve"> </w:t>
      </w:r>
      <w:r w:rsidR="0021645F">
        <w:rPr>
          <w:rFonts w:ascii="Arial" w:hAnsi="Arial" w:cs="Arial"/>
          <w:lang w:val="es-ES_tradnl"/>
        </w:rPr>
        <w:t xml:space="preserve">el </w:t>
      </w:r>
      <w:r w:rsidR="009911F3">
        <w:rPr>
          <w:rFonts w:ascii="Arial" w:hAnsi="Arial" w:cs="Arial"/>
          <w:lang w:val="es-ES_tradnl"/>
        </w:rPr>
        <w:t xml:space="preserve">accionante </w:t>
      </w:r>
      <w:r w:rsidR="007B616A">
        <w:rPr>
          <w:rFonts w:ascii="Arial" w:hAnsi="Arial" w:cs="Arial"/>
          <w:lang w:val="es-ES_tradnl"/>
        </w:rPr>
        <w:t>presentó tres (3)</w:t>
      </w:r>
      <w:r w:rsidR="009911F3">
        <w:rPr>
          <w:rFonts w:ascii="Arial" w:hAnsi="Arial" w:cs="Arial"/>
          <w:lang w:val="es-ES_tradnl"/>
        </w:rPr>
        <w:t xml:space="preserve"> solicitudes de nulidad los días 25-09-2015, 26-01-2016 (</w:t>
      </w:r>
      <w:r w:rsidR="00F04B0C">
        <w:rPr>
          <w:rFonts w:ascii="Arial" w:hAnsi="Arial" w:cs="Arial"/>
          <w:lang w:val="es-ES_tradnl"/>
        </w:rPr>
        <w:t>J</w:t>
      </w:r>
      <w:r w:rsidR="009911F3">
        <w:rPr>
          <w:rFonts w:ascii="Arial" w:hAnsi="Arial" w:cs="Arial"/>
          <w:lang w:val="es-ES_tradnl"/>
        </w:rPr>
        <w:t xml:space="preserve">unto con recurso de </w:t>
      </w:r>
      <w:r w:rsidR="00852C35">
        <w:rPr>
          <w:rFonts w:ascii="Arial" w:hAnsi="Arial" w:cs="Arial"/>
          <w:lang w:val="es-ES_tradnl"/>
        </w:rPr>
        <w:t>apelación</w:t>
      </w:r>
      <w:r w:rsidR="009911F3">
        <w:rPr>
          <w:rFonts w:ascii="Arial" w:hAnsi="Arial" w:cs="Arial"/>
          <w:lang w:val="es-ES_tradnl"/>
        </w:rPr>
        <w:t xml:space="preserve"> contra la sentencia dictada) y </w:t>
      </w:r>
      <w:r w:rsidR="00852C35">
        <w:rPr>
          <w:rFonts w:ascii="Arial" w:hAnsi="Arial" w:cs="Arial"/>
          <w:lang w:val="es-ES_tradnl"/>
        </w:rPr>
        <w:t>10-02-2016 (Folios 32, 5</w:t>
      </w:r>
      <w:r w:rsidR="000966C2">
        <w:rPr>
          <w:rFonts w:ascii="Arial" w:hAnsi="Arial" w:cs="Arial"/>
          <w:lang w:val="es-ES_tradnl"/>
        </w:rPr>
        <w:t>1</w:t>
      </w:r>
      <w:r w:rsidR="00852C35">
        <w:rPr>
          <w:rFonts w:ascii="Arial" w:hAnsi="Arial" w:cs="Arial"/>
          <w:lang w:val="es-ES_tradnl"/>
        </w:rPr>
        <w:t xml:space="preserve"> y 68, ib.) resueltas por el accionado </w:t>
      </w:r>
      <w:r w:rsidR="0021645F">
        <w:rPr>
          <w:rFonts w:ascii="Arial" w:hAnsi="Arial" w:cs="Arial"/>
          <w:lang w:val="es-ES_tradnl"/>
        </w:rPr>
        <w:t xml:space="preserve">con </w:t>
      </w:r>
      <w:r w:rsidR="009911F3">
        <w:rPr>
          <w:rFonts w:ascii="Arial" w:hAnsi="Arial" w:cs="Arial"/>
          <w:lang w:val="es-ES_tradnl"/>
        </w:rPr>
        <w:t xml:space="preserve">sendos proveídos los días </w:t>
      </w:r>
      <w:r w:rsidR="00852C35">
        <w:rPr>
          <w:rFonts w:ascii="Arial" w:hAnsi="Arial" w:cs="Arial"/>
          <w:lang w:val="es-ES_tradnl"/>
        </w:rPr>
        <w:t xml:space="preserve">01-10-2015, 08-02-2016 y 18-02-2016 </w:t>
      </w:r>
      <w:r w:rsidR="000E62D3">
        <w:rPr>
          <w:rFonts w:ascii="Arial" w:hAnsi="Arial" w:cs="Arial"/>
          <w:lang w:val="es-ES_tradnl"/>
        </w:rPr>
        <w:t>(Folio</w:t>
      </w:r>
      <w:r w:rsidR="0021645F">
        <w:rPr>
          <w:rFonts w:ascii="Arial" w:hAnsi="Arial" w:cs="Arial"/>
          <w:lang w:val="es-ES_tradnl"/>
        </w:rPr>
        <w:t xml:space="preserve"> </w:t>
      </w:r>
      <w:r w:rsidR="00852C35">
        <w:rPr>
          <w:rFonts w:ascii="Arial" w:hAnsi="Arial" w:cs="Arial"/>
          <w:lang w:val="es-ES_tradnl"/>
        </w:rPr>
        <w:t xml:space="preserve">33, 66 </w:t>
      </w:r>
      <w:r w:rsidR="000966C2">
        <w:rPr>
          <w:rFonts w:ascii="Arial" w:hAnsi="Arial" w:cs="Arial"/>
          <w:lang w:val="es-ES_tradnl"/>
        </w:rPr>
        <w:t>-</w:t>
      </w:r>
      <w:r w:rsidR="00852C35">
        <w:rPr>
          <w:rFonts w:ascii="Arial" w:hAnsi="Arial" w:cs="Arial"/>
          <w:lang w:val="es-ES_tradnl"/>
        </w:rPr>
        <w:t xml:space="preserve"> 67, y 71</w:t>
      </w:r>
      <w:r w:rsidR="0021645F">
        <w:rPr>
          <w:rFonts w:ascii="Arial" w:hAnsi="Arial" w:cs="Arial"/>
          <w:lang w:val="es-ES_tradnl"/>
        </w:rPr>
        <w:t xml:space="preserve">, ib.), </w:t>
      </w:r>
      <w:r w:rsidR="00852C35">
        <w:rPr>
          <w:rFonts w:ascii="Arial" w:hAnsi="Arial" w:cs="Arial"/>
          <w:lang w:val="es-ES_tradnl"/>
        </w:rPr>
        <w:t>en los que dispuso</w:t>
      </w:r>
      <w:r w:rsidR="007B616A">
        <w:rPr>
          <w:rFonts w:ascii="Arial" w:hAnsi="Arial" w:cs="Arial"/>
          <w:lang w:val="es-ES_tradnl"/>
        </w:rPr>
        <w:t>,</w:t>
      </w:r>
      <w:r w:rsidR="00F04B0C">
        <w:rPr>
          <w:rFonts w:ascii="Arial" w:hAnsi="Arial" w:cs="Arial"/>
          <w:lang w:val="es-ES_tradnl"/>
        </w:rPr>
        <w:t xml:space="preserve"> respectivamente</w:t>
      </w:r>
      <w:r w:rsidR="007B616A">
        <w:rPr>
          <w:rFonts w:ascii="Arial" w:hAnsi="Arial" w:cs="Arial"/>
          <w:lang w:val="es-ES_tradnl"/>
        </w:rPr>
        <w:t>,</w:t>
      </w:r>
      <w:r w:rsidR="00852C35">
        <w:rPr>
          <w:rFonts w:ascii="Arial" w:hAnsi="Arial" w:cs="Arial"/>
          <w:lang w:val="es-ES_tradnl"/>
        </w:rPr>
        <w:t xml:space="preserve"> (i) </w:t>
      </w:r>
      <w:r w:rsidR="007B616A">
        <w:rPr>
          <w:rFonts w:ascii="Arial" w:hAnsi="Arial" w:cs="Arial"/>
          <w:lang w:val="es-ES_tradnl"/>
        </w:rPr>
        <w:t>R</w:t>
      </w:r>
      <w:r w:rsidR="00852C35">
        <w:rPr>
          <w:rFonts w:ascii="Arial" w:hAnsi="Arial" w:cs="Arial"/>
          <w:lang w:val="es-ES_tradnl"/>
        </w:rPr>
        <w:t>echazar de plano la nulidad propuesta por no estar contemplada en el art</w:t>
      </w:r>
      <w:r w:rsidR="007B616A">
        <w:rPr>
          <w:rFonts w:ascii="Arial" w:hAnsi="Arial" w:cs="Arial"/>
          <w:lang w:val="es-ES_tradnl"/>
        </w:rPr>
        <w:t>ículo 140 del CPC; (ii) D</w:t>
      </w:r>
      <w:r w:rsidR="00852C35">
        <w:rPr>
          <w:rFonts w:ascii="Arial" w:hAnsi="Arial" w:cs="Arial"/>
          <w:lang w:val="es-ES_tradnl"/>
        </w:rPr>
        <w:t xml:space="preserve">eclarar desierto el recurso formulado por </w:t>
      </w:r>
      <w:r w:rsidR="007B616A">
        <w:rPr>
          <w:rFonts w:ascii="Arial" w:hAnsi="Arial" w:cs="Arial"/>
          <w:lang w:val="es-ES_tradnl"/>
        </w:rPr>
        <w:t xml:space="preserve">no ajustarse al </w:t>
      </w:r>
      <w:r w:rsidR="00852C35">
        <w:rPr>
          <w:rFonts w:ascii="Arial" w:hAnsi="Arial" w:cs="Arial"/>
          <w:lang w:val="es-ES_tradnl"/>
        </w:rPr>
        <w:t>artículo 322-3 del CGP; y, (iii) agregar el escrito sin pronunciamiento debido a que perdió competencia por la apelación formulada;</w:t>
      </w:r>
      <w:r w:rsidR="000E62D3">
        <w:rPr>
          <w:rFonts w:ascii="Arial" w:hAnsi="Arial" w:cs="Arial"/>
          <w:lang w:val="es-ES_tradnl"/>
        </w:rPr>
        <w:t xml:space="preserve"> </w:t>
      </w:r>
      <w:r w:rsidR="000966C2">
        <w:rPr>
          <w:rFonts w:ascii="Arial" w:hAnsi="Arial" w:cs="Arial"/>
          <w:lang w:val="es-ES_tradnl"/>
        </w:rPr>
        <w:t xml:space="preserve">frente a los cuales no hizo </w:t>
      </w:r>
      <w:r w:rsidR="0021645F">
        <w:rPr>
          <w:rFonts w:ascii="Arial" w:hAnsi="Arial" w:cs="Arial"/>
          <w:lang w:val="es-ES_tradnl"/>
        </w:rPr>
        <w:t>reparo</w:t>
      </w:r>
      <w:r w:rsidR="000966C2">
        <w:rPr>
          <w:rFonts w:ascii="Arial" w:hAnsi="Arial" w:cs="Arial"/>
          <w:lang w:val="es-ES_tradnl"/>
        </w:rPr>
        <w:t xml:space="preserve"> alguno</w:t>
      </w:r>
      <w:r w:rsidR="0021645F">
        <w:rPr>
          <w:rFonts w:ascii="Arial" w:hAnsi="Arial" w:cs="Arial"/>
          <w:lang w:val="es-ES_tradnl"/>
        </w:rPr>
        <w:t xml:space="preserve">, </w:t>
      </w:r>
      <w:r w:rsidR="000966C2">
        <w:rPr>
          <w:rFonts w:ascii="Arial" w:hAnsi="Arial" w:cs="Arial"/>
          <w:lang w:val="es-ES_tradnl"/>
        </w:rPr>
        <w:t xml:space="preserve">es decir, que esas decisiones adquirieron firmeza, pues </w:t>
      </w:r>
      <w:r w:rsidR="000966C2">
        <w:rPr>
          <w:rFonts w:ascii="Arial" w:hAnsi="Arial" w:cs="Arial"/>
        </w:rPr>
        <w:t xml:space="preserve">el actor </w:t>
      </w:r>
      <w:r w:rsidR="000966C2">
        <w:rPr>
          <w:rFonts w:ascii="Arial" w:hAnsi="Arial" w:cs="Arial"/>
          <w:lang w:val="es-ES_tradnl"/>
        </w:rPr>
        <w:t>omitió</w:t>
      </w:r>
      <w:r w:rsidR="00EF3CEA">
        <w:rPr>
          <w:rFonts w:ascii="Arial" w:hAnsi="Arial" w:cs="Arial"/>
          <w:lang w:val="es-ES_tradnl"/>
        </w:rPr>
        <w:t xml:space="preserve"> utilizar los mecanismos de ley para</w:t>
      </w:r>
      <w:r w:rsidR="0021645F">
        <w:rPr>
          <w:rFonts w:ascii="Arial" w:hAnsi="Arial" w:cs="Arial"/>
          <w:lang w:val="es-ES_tradnl"/>
        </w:rPr>
        <w:t xml:space="preserve"> atacarla</w:t>
      </w:r>
      <w:r w:rsidR="00852C35">
        <w:rPr>
          <w:rFonts w:ascii="Arial" w:hAnsi="Arial" w:cs="Arial"/>
          <w:lang w:val="es-ES_tradnl"/>
        </w:rPr>
        <w:t>s</w:t>
      </w:r>
      <w:r w:rsidR="0021645F">
        <w:rPr>
          <w:rFonts w:ascii="Arial" w:hAnsi="Arial" w:cs="Arial"/>
          <w:lang w:val="es-ES_tradnl"/>
        </w:rPr>
        <w:t xml:space="preserve"> </w:t>
      </w:r>
      <w:r w:rsidR="003E0B3F">
        <w:rPr>
          <w:rFonts w:ascii="Arial" w:hAnsi="Arial" w:cs="Arial"/>
          <w:lang w:val="es-ES_tradnl"/>
        </w:rPr>
        <w:t>(</w:t>
      </w:r>
      <w:r w:rsidR="003E0B3F">
        <w:rPr>
          <w:rFonts w:ascii="Arial" w:hAnsi="Arial" w:cs="Arial"/>
          <w:bCs/>
          <w:lang w:val="es-CO"/>
        </w:rPr>
        <w:t xml:space="preserve">Artículos 331 </w:t>
      </w:r>
      <w:r w:rsidR="0021645F">
        <w:rPr>
          <w:rFonts w:ascii="Arial" w:hAnsi="Arial" w:cs="Arial"/>
          <w:bCs/>
          <w:lang w:val="es-CO"/>
        </w:rPr>
        <w:t xml:space="preserve">y 348 </w:t>
      </w:r>
      <w:r w:rsidR="003E0B3F">
        <w:rPr>
          <w:rFonts w:ascii="Arial" w:hAnsi="Arial" w:cs="Arial"/>
          <w:bCs/>
          <w:lang w:val="es-CO"/>
        </w:rPr>
        <w:t>del CPC</w:t>
      </w:r>
      <w:r w:rsidR="00F04B0C">
        <w:rPr>
          <w:rFonts w:ascii="Arial" w:hAnsi="Arial" w:cs="Arial"/>
          <w:bCs/>
          <w:lang w:val="es-CO"/>
        </w:rPr>
        <w:t xml:space="preserve"> y</w:t>
      </w:r>
      <w:r w:rsidR="00B37151">
        <w:rPr>
          <w:rFonts w:ascii="Arial" w:hAnsi="Arial" w:cs="Arial"/>
          <w:bCs/>
          <w:lang w:val="es-CO"/>
        </w:rPr>
        <w:t xml:space="preserve"> </w:t>
      </w:r>
      <w:r w:rsidR="00F04B0C">
        <w:rPr>
          <w:rFonts w:ascii="Arial" w:hAnsi="Arial" w:cs="Arial"/>
          <w:bCs/>
          <w:lang w:val="es-CO"/>
        </w:rPr>
        <w:t xml:space="preserve">302 y 318 del CGP, </w:t>
      </w:r>
      <w:r w:rsidR="00B37151">
        <w:rPr>
          <w:rFonts w:ascii="Arial" w:hAnsi="Arial" w:cs="Arial"/>
          <w:bCs/>
          <w:lang w:val="es-CO"/>
        </w:rPr>
        <w:t>aplicables por remisión del art. 44, L472</w:t>
      </w:r>
      <w:r w:rsidR="003E0B3F">
        <w:rPr>
          <w:rFonts w:ascii="Arial" w:hAnsi="Arial" w:cs="Arial"/>
          <w:bCs/>
          <w:lang w:val="es-CO"/>
        </w:rPr>
        <w:t>)</w:t>
      </w:r>
      <w:r w:rsidR="00B37151">
        <w:rPr>
          <w:rFonts w:ascii="Arial" w:hAnsi="Arial" w:cs="Arial"/>
          <w:bCs/>
          <w:lang w:val="es-CO"/>
        </w:rPr>
        <w:t>.</w:t>
      </w:r>
    </w:p>
    <w:p w:rsidR="007B616A" w:rsidRPr="005D0845" w:rsidRDefault="007B616A" w:rsidP="00630C9E">
      <w:pPr>
        <w:spacing w:line="360" w:lineRule="auto"/>
        <w:jc w:val="both"/>
        <w:rPr>
          <w:rFonts w:ascii="Arial" w:hAnsi="Arial" w:cs="Arial"/>
          <w:bCs/>
          <w:lang w:val="es-CO"/>
        </w:rPr>
      </w:pPr>
    </w:p>
    <w:p w:rsidR="00EA7B29" w:rsidRPr="00CB3037" w:rsidRDefault="00EA7B29" w:rsidP="00630C9E">
      <w:pPr>
        <w:spacing w:line="360" w:lineRule="auto"/>
        <w:jc w:val="both"/>
        <w:rPr>
          <w:rFonts w:ascii="Arial" w:hAnsi="Arial" w:cs="Arial"/>
          <w:bCs/>
          <w:lang w:val="es-CO"/>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de</w:t>
      </w:r>
      <w:r w:rsidR="00C6598F">
        <w:rPr>
          <w:rFonts w:ascii="Arial" w:hAnsi="Arial" w:cs="Arial"/>
          <w:lang w:val="es-ES_tradnl"/>
        </w:rPr>
        <w:t xml:space="preserve"> agotamiento del supuesto de</w:t>
      </w:r>
      <w:r>
        <w:rPr>
          <w:rFonts w:ascii="Arial" w:hAnsi="Arial" w:cs="Arial"/>
          <w:lang w:val="es-ES_tradnl"/>
        </w:rPr>
        <w:t xml:space="preserv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3E0B3F">
        <w:rPr>
          <w:rFonts w:ascii="Arial" w:hAnsi="Arial"/>
        </w:rPr>
        <w:t xml:space="preserve">Corte Constitucional, </w:t>
      </w:r>
      <w:r w:rsidR="00630C9E">
        <w:rPr>
          <w:rFonts w:ascii="Arial" w:hAnsi="Arial"/>
        </w:rPr>
        <w:t xml:space="preserve">que reiteradamente </w:t>
      </w:r>
      <w:r w:rsidR="00C6598F">
        <w:rPr>
          <w:rFonts w:ascii="Arial" w:hAnsi="Arial"/>
        </w:rPr>
        <w:t>h</w:t>
      </w:r>
      <w:r w:rsidR="00630C9E">
        <w:rPr>
          <w:rFonts w:ascii="Arial" w:hAnsi="Arial"/>
        </w:rPr>
        <w:t xml:space="preserve">a referido que la acción de tutela </w:t>
      </w:r>
      <w:r w:rsidR="004428F1">
        <w:rPr>
          <w:rFonts w:ascii="Arial" w:hAnsi="Arial"/>
        </w:rPr>
        <w:t xml:space="preserve">es improcedente cuando </w:t>
      </w:r>
      <w:r w:rsidR="00D93E02">
        <w:rPr>
          <w:rFonts w:ascii="Arial" w:hAnsi="Arial"/>
        </w:rPr>
        <w:t>por negligencia, descuido o incuria, no son utilizados los mecanismos ordinarios de defensa</w:t>
      </w:r>
      <w:r w:rsidR="00630C9E" w:rsidRPr="00FF4929">
        <w:rPr>
          <w:rStyle w:val="Refdenotaalpie"/>
          <w:rFonts w:ascii="Arial" w:hAnsi="Arial" w:cs="Arial"/>
          <w:sz w:val="22"/>
          <w:szCs w:val="22"/>
        </w:rPr>
        <w:footnoteReference w:id="14"/>
      </w:r>
      <w:r w:rsidR="00630C9E" w:rsidRPr="00FF4929">
        <w:rPr>
          <w:rFonts w:ascii="Arial" w:hAnsi="Arial" w:cs="Arial"/>
          <w:sz w:val="22"/>
          <w:szCs w:val="22"/>
        </w:rPr>
        <w:t>.</w:t>
      </w:r>
    </w:p>
    <w:p w:rsidR="00EA7B29" w:rsidRPr="005D0845" w:rsidRDefault="00EA7B29" w:rsidP="00EA7B29">
      <w:pPr>
        <w:spacing w:line="360" w:lineRule="auto"/>
        <w:jc w:val="both"/>
        <w:rPr>
          <w:rFonts w:ascii="Arial" w:hAnsi="Arial" w:cs="Arial"/>
        </w:rPr>
      </w:pPr>
    </w:p>
    <w:p w:rsidR="00EA7B29" w:rsidRDefault="00EA7B29" w:rsidP="00EA7B2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 xml:space="preserve">por ende solo a la parte le es imputable tal </w:t>
      </w:r>
      <w:r w:rsidR="00CB3037">
        <w:rPr>
          <w:rFonts w:ascii="Arial" w:hAnsi="Arial"/>
        </w:rPr>
        <w:t>descuido</w:t>
      </w:r>
      <w:r>
        <w:rPr>
          <w:rFonts w:ascii="Arial" w:hAnsi="Arial"/>
        </w:rPr>
        <w:t>.</w:t>
      </w:r>
    </w:p>
    <w:p w:rsidR="00CB3037" w:rsidRPr="005D0845" w:rsidRDefault="00CB3037" w:rsidP="00EA7B29">
      <w:pPr>
        <w:spacing w:line="360" w:lineRule="auto"/>
        <w:ind w:right="51"/>
        <w:jc w:val="both"/>
        <w:rPr>
          <w:rFonts w:ascii="Arial" w:hAnsi="Arial"/>
        </w:rPr>
      </w:pPr>
    </w:p>
    <w:p w:rsidR="00630C9E" w:rsidRDefault="001C2249" w:rsidP="00630C9E">
      <w:pPr>
        <w:spacing w:line="360" w:lineRule="auto"/>
        <w:ind w:right="51"/>
        <w:jc w:val="both"/>
        <w:rPr>
          <w:rFonts w:ascii="Arial" w:hAnsi="Arial"/>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Pr="00486763">
        <w:rPr>
          <w:rFonts w:ascii="Arial" w:hAnsi="Arial"/>
        </w:rPr>
        <w:t xml:space="preserve">toda vez que </w:t>
      </w:r>
      <w:r w:rsidR="004428F1">
        <w:rPr>
          <w:rFonts w:ascii="Arial" w:hAnsi="Arial"/>
        </w:rPr>
        <w:t>incumple</w:t>
      </w:r>
      <w:r w:rsidRPr="00486763">
        <w:rPr>
          <w:rFonts w:ascii="Arial" w:hAnsi="Arial"/>
        </w:rPr>
        <w:t xml:space="preserv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subsidiariedad, </w:t>
      </w:r>
      <w:r w:rsidRPr="00483001">
        <w:rPr>
          <w:rFonts w:ascii="Arial" w:hAnsi="Arial"/>
        </w:rPr>
        <w:t xml:space="preserve">la parte actora, en el trámite de la acción </w:t>
      </w:r>
      <w:r>
        <w:rPr>
          <w:rFonts w:ascii="Arial" w:hAnsi="Arial"/>
        </w:rPr>
        <w:t>popular 2015-</w:t>
      </w:r>
      <w:r w:rsidR="00F04B0C">
        <w:rPr>
          <w:rFonts w:ascii="Arial" w:hAnsi="Arial"/>
        </w:rPr>
        <w:t>00032</w:t>
      </w:r>
      <w:r>
        <w:rPr>
          <w:rFonts w:ascii="Arial" w:hAnsi="Arial"/>
        </w:rPr>
        <w:t>-00</w:t>
      </w:r>
      <w:r w:rsidRPr="00483001">
        <w:rPr>
          <w:rFonts w:ascii="Arial" w:hAnsi="Arial"/>
        </w:rPr>
        <w:t xml:space="preserve">, </w:t>
      </w:r>
      <w:r w:rsidR="004428F1">
        <w:rPr>
          <w:rFonts w:ascii="Arial" w:hAnsi="Arial"/>
        </w:rPr>
        <w:t xml:space="preserve">omitió formular </w:t>
      </w:r>
      <w:r w:rsidR="00F04B0C">
        <w:rPr>
          <w:rFonts w:ascii="Arial" w:hAnsi="Arial"/>
        </w:rPr>
        <w:t xml:space="preserve">los </w:t>
      </w:r>
      <w:r>
        <w:rPr>
          <w:rFonts w:ascii="Arial" w:hAnsi="Arial"/>
        </w:rPr>
        <w:t>recurso</w:t>
      </w:r>
      <w:r w:rsidR="00F04B0C">
        <w:rPr>
          <w:rFonts w:ascii="Arial" w:hAnsi="Arial"/>
        </w:rPr>
        <w:t>s</w:t>
      </w:r>
      <w:r>
        <w:rPr>
          <w:rFonts w:ascii="Arial" w:hAnsi="Arial"/>
        </w:rPr>
        <w:t xml:space="preserve"> ordinario</w:t>
      </w:r>
      <w:r w:rsidR="00F04B0C">
        <w:rPr>
          <w:rFonts w:ascii="Arial" w:hAnsi="Arial"/>
        </w:rPr>
        <w:t>s</w:t>
      </w:r>
      <w:r>
        <w:rPr>
          <w:rFonts w:ascii="Arial" w:hAnsi="Arial"/>
        </w:rPr>
        <w:t>.</w:t>
      </w:r>
    </w:p>
    <w:p w:rsidR="0037574D" w:rsidRPr="005D0845" w:rsidRDefault="0037574D" w:rsidP="00630C9E">
      <w:pPr>
        <w:spacing w:line="360" w:lineRule="auto"/>
        <w:ind w:right="51"/>
        <w:jc w:val="both"/>
        <w:rPr>
          <w:rFonts w:ascii="Arial" w:hAnsi="Arial"/>
        </w:rPr>
      </w:pPr>
    </w:p>
    <w:p w:rsidR="00F04B0C" w:rsidRDefault="00F04B0C" w:rsidP="00F04B0C">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23-02-2016 </w:t>
      </w:r>
      <w:r>
        <w:rPr>
          <w:rFonts w:ascii="Arial" w:hAnsi="Arial" w:cs="Arial"/>
          <w:iCs/>
          <w:color w:val="000000"/>
          <w:lang w:eastAsia="es-CO"/>
        </w:rPr>
        <w:t>(Folios 4 y 5, ib.)</w:t>
      </w:r>
      <w:r>
        <w:rPr>
          <w:rFonts w:ascii="Arial" w:hAnsi="Arial" w:cs="Arial"/>
        </w:rPr>
        <w:t>, en el sentido de escanearlas y remitirlas a su correo electrónico, se cumplió dicho pedimento.</w:t>
      </w:r>
    </w:p>
    <w:p w:rsidR="00F04B0C" w:rsidRPr="005D0845" w:rsidRDefault="00F04B0C" w:rsidP="00F04B0C">
      <w:pPr>
        <w:spacing w:line="360" w:lineRule="auto"/>
        <w:ind w:right="51"/>
        <w:jc w:val="both"/>
        <w:rPr>
          <w:rFonts w:ascii="Arial" w:hAnsi="Arial" w:cs="Arial"/>
        </w:rPr>
      </w:pPr>
    </w:p>
    <w:p w:rsidR="00F04B0C" w:rsidRDefault="00F04B0C" w:rsidP="00F04B0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adelantar simultáneamente la presente acción frente a la Defensoría del Pueblo de Caldas, hay que precisar, que de los hechos no se advierte conducta que amerite tramitarla, tal como se indicó en el referido 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7"/>
      </w:r>
      <w:r>
        <w:rPr>
          <w:rFonts w:ascii="Arial" w:hAnsi="Arial" w:cs="Arial"/>
          <w:spacing w:val="3"/>
        </w:rPr>
        <w:t>, resolvió negativamente esa petición, así:</w:t>
      </w:r>
    </w:p>
    <w:p w:rsidR="00F04B0C" w:rsidRPr="005D0845" w:rsidRDefault="00F04B0C" w:rsidP="00F04B0C">
      <w:pPr>
        <w:pStyle w:val="Textoindependiente"/>
        <w:spacing w:line="360" w:lineRule="auto"/>
        <w:rPr>
          <w:rFonts w:ascii="Arial" w:hAnsi="Arial" w:cs="Arial"/>
          <w:spacing w:val="3"/>
        </w:rPr>
      </w:pPr>
    </w:p>
    <w:p w:rsidR="00F04B0C" w:rsidRDefault="00F04B0C" w:rsidP="00F04B0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E7978" w:rsidRPr="00F04B0C" w:rsidRDefault="00CE7978" w:rsidP="00CE7978">
      <w:pPr>
        <w:pStyle w:val="Textoindependiente"/>
        <w:spacing w:line="360" w:lineRule="auto"/>
        <w:ind w:left="400"/>
        <w:rPr>
          <w:rFonts w:ascii="Arial" w:hAnsi="Arial"/>
          <w:sz w:val="16"/>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 improcedente la acción constitucional invocada con estribo en que se incumplió el presupuesto de subsidiariedad</w:t>
      </w:r>
      <w:r>
        <w:rPr>
          <w:rFonts w:ascii="Arial" w:hAnsi="Arial" w:cs="Arial"/>
          <w:szCs w:val="24"/>
          <w:lang w:val="es-ES"/>
        </w:rPr>
        <w:t>;</w:t>
      </w:r>
      <w:r w:rsidR="002E28CF">
        <w:rPr>
          <w:rFonts w:ascii="Arial" w:hAnsi="Arial" w:cs="Arial"/>
          <w:szCs w:val="24"/>
          <w:lang w:val="es-ES"/>
        </w:rPr>
        <w:t xml:space="preserve"> y,</w:t>
      </w:r>
      <w:r>
        <w:rPr>
          <w:rFonts w:ascii="Arial" w:hAnsi="Arial" w:cs="Arial"/>
          <w:szCs w:val="24"/>
          <w:lang w:val="es-ES"/>
        </w:rPr>
        <w:t xml:space="preserve"> (ii) </w:t>
      </w:r>
      <w:r>
        <w:rPr>
          <w:rFonts w:ascii="Arial" w:hAnsi="Arial" w:cs="Arial"/>
        </w:rPr>
        <w:t>Se negará respecto a los vinculados</w:t>
      </w:r>
      <w:r>
        <w:rPr>
          <w:rFonts w:ascii="Arial" w:hAnsi="Arial" w:cs="Arial"/>
          <w:szCs w:val="24"/>
          <w:lang w:val="es-ES"/>
        </w:rPr>
        <w:t>.</w:t>
      </w:r>
    </w:p>
    <w:p w:rsidR="00CB3037" w:rsidRPr="00F04B0C"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6"/>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F04B0C" w:rsidRDefault="00FF5B57" w:rsidP="00FF5B57">
      <w:pPr>
        <w:tabs>
          <w:tab w:val="left" w:pos="-720"/>
        </w:tabs>
        <w:suppressAutoHyphens/>
        <w:spacing w:line="360" w:lineRule="auto"/>
        <w:jc w:val="both"/>
        <w:rPr>
          <w:rFonts w:ascii="Arial" w:hAnsi="Arial" w:cs="Arial"/>
          <w:sz w:val="8"/>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F04B0C" w:rsidRDefault="00A67757" w:rsidP="00FF5B57">
      <w:pPr>
        <w:pStyle w:val="Textoindependiente"/>
        <w:spacing w:line="360" w:lineRule="auto"/>
        <w:jc w:val="center"/>
        <w:rPr>
          <w:rFonts w:ascii="Arial" w:hAnsi="Arial" w:cs="Arial"/>
          <w:bCs/>
          <w:smallCaps/>
          <w:sz w:val="16"/>
          <w:szCs w:val="24"/>
        </w:rPr>
      </w:pPr>
    </w:p>
    <w:p w:rsidR="007657D5" w:rsidRDefault="00FF5B57" w:rsidP="007657D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 xml:space="preserve">DECLARAR improcedente </w:t>
      </w:r>
      <w:r w:rsidR="00CB3037">
        <w:rPr>
          <w:rFonts w:ascii="Arial" w:hAnsi="Arial" w:cs="Arial"/>
        </w:rPr>
        <w:t xml:space="preserve">la tutela </w:t>
      </w:r>
      <w:r w:rsidRPr="00A30437">
        <w:rPr>
          <w:rFonts w:ascii="Arial" w:hAnsi="Arial" w:cs="Arial"/>
        </w:rPr>
        <w:t xml:space="preserve">propuesta por haberse incumplido </w:t>
      </w:r>
      <w:r w:rsidR="00F04B0C">
        <w:rPr>
          <w:rFonts w:ascii="Arial" w:hAnsi="Arial" w:cs="Arial"/>
        </w:rPr>
        <w:t>el requisito de subsidiariedad.</w:t>
      </w:r>
    </w:p>
    <w:p w:rsidR="007657D5" w:rsidRPr="00F04B0C" w:rsidRDefault="007657D5" w:rsidP="007657D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6"/>
        </w:rPr>
      </w:pPr>
    </w:p>
    <w:p w:rsidR="007657D5" w:rsidRPr="007657D5" w:rsidRDefault="000144F9" w:rsidP="007657D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657D5">
        <w:rPr>
          <w:rFonts w:ascii="Arial" w:hAnsi="Arial" w:cs="Arial"/>
        </w:rPr>
        <w:t xml:space="preserve">NEGAR la acción de tutela promovida frente </w:t>
      </w:r>
      <w:r w:rsidR="00101C6D" w:rsidRPr="007657D5">
        <w:rPr>
          <w:rFonts w:ascii="Arial" w:hAnsi="Arial" w:cs="Arial"/>
        </w:rPr>
        <w:t xml:space="preserve">a </w:t>
      </w:r>
      <w:r w:rsidR="00F04B0C">
        <w:rPr>
          <w:rFonts w:ascii="Arial" w:hAnsi="Arial" w:cs="Arial"/>
        </w:rPr>
        <w:t>Andrés Mauricio Arboleda, el Banco BBVA Colombia SA -sucursales calle 24 No.7-17 local No.1 y avenida 30 de agosto No.75-51 de Pereira- y la Defensoría del Pueblo Regional Risaralda</w:t>
      </w:r>
      <w:r w:rsidRPr="007657D5">
        <w:rPr>
          <w:rFonts w:ascii="Arial" w:hAnsi="Arial" w:cs="Arial"/>
          <w:spacing w:val="3"/>
        </w:rPr>
        <w:t>;</w:t>
      </w:r>
      <w:r w:rsidRPr="007657D5">
        <w:rPr>
          <w:rFonts w:ascii="Arial" w:hAnsi="Arial" w:cs="Arial"/>
        </w:rPr>
        <w:t xml:space="preserve"> por inexistencia de violación o amenaza a los derechos invocados.</w:t>
      </w:r>
      <w:r w:rsidR="007657D5" w:rsidRPr="007657D5">
        <w:rPr>
          <w:rFonts w:ascii="Arial" w:hAnsi="Arial" w:cs="Arial"/>
        </w:rPr>
        <w:t xml:space="preserve"> </w:t>
      </w:r>
    </w:p>
    <w:p w:rsidR="007657D5" w:rsidRPr="00F04B0C"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6"/>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37574D"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F04B0C"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6"/>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F04B0C" w:rsidRDefault="00626C89" w:rsidP="00FF5B57">
      <w:pPr>
        <w:pStyle w:val="Prrafodelista"/>
        <w:widowControl/>
        <w:autoSpaceDE/>
        <w:autoSpaceDN/>
        <w:adjustRightInd/>
        <w:spacing w:line="360" w:lineRule="auto"/>
        <w:ind w:left="360" w:right="51"/>
        <w:contextualSpacing/>
        <w:jc w:val="both"/>
        <w:rPr>
          <w:rFonts w:ascii="Arial" w:hAnsi="Arial"/>
          <w:sz w:val="10"/>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7B616A" w:rsidRDefault="00DA569C" w:rsidP="00417DA5">
      <w:pPr>
        <w:pStyle w:val="Textoindependiente"/>
        <w:spacing w:line="360" w:lineRule="auto"/>
        <w:jc w:val="center"/>
        <w:rPr>
          <w:rFonts w:ascii="Arial" w:hAnsi="Arial"/>
          <w:sz w:val="22"/>
          <w:szCs w:val="22"/>
        </w:rPr>
      </w:pPr>
    </w:p>
    <w:p w:rsidR="003E66CE" w:rsidRPr="007B616A" w:rsidRDefault="003E66CE" w:rsidP="00417DA5">
      <w:pPr>
        <w:pStyle w:val="Textoindependiente"/>
        <w:spacing w:line="360" w:lineRule="auto"/>
        <w:jc w:val="center"/>
        <w:rPr>
          <w:rFonts w:ascii="Arial" w:hAnsi="Arial"/>
          <w:sz w:val="22"/>
          <w:szCs w:val="22"/>
        </w:rPr>
      </w:pPr>
    </w:p>
    <w:p w:rsidR="00B30152" w:rsidRPr="007B616A" w:rsidRDefault="00B30152" w:rsidP="00417DA5">
      <w:pPr>
        <w:pStyle w:val="Textoindependiente"/>
        <w:spacing w:line="360" w:lineRule="auto"/>
        <w:jc w:val="center"/>
        <w:rPr>
          <w:rFonts w:ascii="Arial" w:hAnsi="Arial"/>
          <w:sz w:val="22"/>
          <w:szCs w:val="22"/>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37574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37574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37574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BE" w:rsidRDefault="00A274BE" w:rsidP="0099045D">
      <w:r>
        <w:separator/>
      </w:r>
    </w:p>
  </w:endnote>
  <w:endnote w:type="continuationSeparator" w:id="0">
    <w:p w:rsidR="00A274BE" w:rsidRDefault="00A274B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BE" w:rsidRDefault="00A274BE" w:rsidP="0099045D">
      <w:r>
        <w:separator/>
      </w:r>
    </w:p>
  </w:footnote>
  <w:footnote w:type="continuationSeparator" w:id="0">
    <w:p w:rsidR="00A274BE" w:rsidRDefault="00A274BE"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sidR="00E71ABD">
        <w:rPr>
          <w:rFonts w:asciiTheme="minorHAnsi" w:hAnsiTheme="minorHAnsi" w:cs="Calibri"/>
          <w:lang w:val="es-CO"/>
        </w:rPr>
        <w:t>.</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62273B" w:rsidRPr="00574D09" w:rsidRDefault="0062273B"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30C9E" w:rsidRDefault="00630C9E" w:rsidP="00630C9E">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7">
    <w:p w:rsidR="00F04B0C" w:rsidRDefault="00F04B0C" w:rsidP="00F04B0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274BE">
      <w:rPr>
        <w:rFonts w:ascii="Calibri" w:hAnsi="Calibri" w:cs="Calibri"/>
        <w:i/>
        <w:noProof/>
        <w:sz w:val="20"/>
      </w:rPr>
      <w:t>1</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3859E7">
      <w:rPr>
        <w:rFonts w:ascii="Calibri" w:hAnsi="Calibri" w:cs="Calibri"/>
        <w:i/>
        <w:sz w:val="20"/>
        <w:szCs w:val="22"/>
      </w:rPr>
      <w:t>00272</w:t>
    </w:r>
    <w:r w:rsidR="007949D4">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946"/>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47FA"/>
    <w:rsid w:val="00095798"/>
    <w:rsid w:val="00095EAB"/>
    <w:rsid w:val="000965B3"/>
    <w:rsid w:val="000966C2"/>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C"/>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1E61"/>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199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539"/>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0ED"/>
    <w:rsid w:val="002E5BE7"/>
    <w:rsid w:val="002E5C3E"/>
    <w:rsid w:val="002E6116"/>
    <w:rsid w:val="002E656F"/>
    <w:rsid w:val="002E708B"/>
    <w:rsid w:val="002E725E"/>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2A5E"/>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74D"/>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9E7"/>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254"/>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8F1"/>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5EB0"/>
    <w:rsid w:val="004A6046"/>
    <w:rsid w:val="004A6342"/>
    <w:rsid w:val="004A6376"/>
    <w:rsid w:val="004A6566"/>
    <w:rsid w:val="004B019A"/>
    <w:rsid w:val="004B0DF8"/>
    <w:rsid w:val="004B0E7B"/>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1C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0845"/>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1F41"/>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4B5"/>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77"/>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16A"/>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2C35"/>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3A3"/>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3B78"/>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1F3"/>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C80"/>
    <w:rsid w:val="00A21FF9"/>
    <w:rsid w:val="00A22D79"/>
    <w:rsid w:val="00A232B2"/>
    <w:rsid w:val="00A23635"/>
    <w:rsid w:val="00A239D1"/>
    <w:rsid w:val="00A2433D"/>
    <w:rsid w:val="00A24359"/>
    <w:rsid w:val="00A24959"/>
    <w:rsid w:val="00A26373"/>
    <w:rsid w:val="00A2674A"/>
    <w:rsid w:val="00A26A5B"/>
    <w:rsid w:val="00A26C55"/>
    <w:rsid w:val="00A274BE"/>
    <w:rsid w:val="00A276EA"/>
    <w:rsid w:val="00A27860"/>
    <w:rsid w:val="00A279FE"/>
    <w:rsid w:val="00A30E82"/>
    <w:rsid w:val="00A30FAB"/>
    <w:rsid w:val="00A31986"/>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2EAD"/>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4B6B"/>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0F2D"/>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3E1"/>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EC2"/>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C7EA3"/>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4B5"/>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1FE9"/>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5B"/>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97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813"/>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02"/>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959"/>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88F"/>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583"/>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5A9"/>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B0C"/>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5BA9"/>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8518966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531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A8C6-2E5C-4D9B-8BDB-90C94D4B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15</cp:revision>
  <cp:lastPrinted>2016-03-07T14:52:00Z</cp:lastPrinted>
  <dcterms:created xsi:type="dcterms:W3CDTF">2016-03-07T01:22:00Z</dcterms:created>
  <dcterms:modified xsi:type="dcterms:W3CDTF">2016-06-28T20:14:00Z</dcterms:modified>
</cp:coreProperties>
</file>