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98" w:rsidRPr="00C91BD9" w:rsidRDefault="006A5AC8" w:rsidP="00C91BD9">
      <w:pPr>
        <w:pStyle w:val="Textoindependiente"/>
        <w:spacing w:line="360" w:lineRule="auto"/>
        <w:rPr>
          <w:rFonts w:ascii="Arial" w:hAnsi="Arial"/>
        </w:rPr>
      </w:pPr>
      <w:r>
        <w:rPr>
          <w:rFonts w:ascii="Arial" w:hAnsi="Arial" w:cs="Arial"/>
          <w:bCs/>
          <w:spacing w:val="-6"/>
          <w:sz w:val="19"/>
          <w:szCs w:val="19"/>
        </w:rPr>
        <w:t xml:space="preserve">PRINCIPIO DE </w:t>
      </w:r>
      <w:bookmarkStart w:id="0" w:name="_GoBack"/>
      <w:bookmarkEnd w:id="0"/>
      <w:r w:rsidR="00B92398">
        <w:rPr>
          <w:rFonts w:ascii="Arial" w:hAnsi="Arial" w:cs="Arial"/>
          <w:bCs/>
          <w:spacing w:val="-6"/>
          <w:sz w:val="19"/>
          <w:szCs w:val="19"/>
        </w:rPr>
        <w:t xml:space="preserve">INMEDIATEZ/ </w:t>
      </w:r>
      <w:r w:rsidR="00773DFA">
        <w:rPr>
          <w:rFonts w:ascii="Arial" w:hAnsi="Arial" w:cs="Arial"/>
          <w:bCs/>
          <w:spacing w:val="-6"/>
          <w:sz w:val="19"/>
          <w:szCs w:val="19"/>
        </w:rPr>
        <w:t>I</w:t>
      </w:r>
      <w:r w:rsidR="00F66F96">
        <w:rPr>
          <w:rFonts w:ascii="Arial" w:hAnsi="Arial" w:cs="Arial"/>
          <w:bCs/>
          <w:spacing w:val="-6"/>
          <w:sz w:val="19"/>
          <w:szCs w:val="19"/>
        </w:rPr>
        <w:t>mprocedencia de la tutela por la superación del término</w:t>
      </w:r>
      <w:r w:rsidR="00E74E52">
        <w:rPr>
          <w:rFonts w:ascii="Arial" w:hAnsi="Arial" w:cs="Arial"/>
          <w:bCs/>
          <w:spacing w:val="-6"/>
          <w:sz w:val="19"/>
          <w:szCs w:val="19"/>
        </w:rPr>
        <w:t xml:space="preserve"> razonable para presentarla</w:t>
      </w:r>
      <w:r w:rsidR="007555EC">
        <w:rPr>
          <w:rFonts w:ascii="Arial" w:hAnsi="Arial" w:cs="Arial"/>
          <w:bCs/>
          <w:spacing w:val="-6"/>
          <w:sz w:val="19"/>
          <w:szCs w:val="19"/>
        </w:rPr>
        <w:t xml:space="preserve"> </w:t>
      </w:r>
      <w:r w:rsidR="00421AB8">
        <w:rPr>
          <w:rFonts w:ascii="Arial" w:hAnsi="Arial" w:cs="Arial"/>
          <w:bCs/>
          <w:spacing w:val="-6"/>
          <w:sz w:val="19"/>
          <w:szCs w:val="19"/>
        </w:rPr>
        <w:t xml:space="preserve"> </w:t>
      </w:r>
    </w:p>
    <w:p w:rsidR="00B92398" w:rsidRDefault="00B92398" w:rsidP="00B92398">
      <w:pPr>
        <w:ind w:right="51"/>
        <w:jc w:val="both"/>
        <w:rPr>
          <w:rFonts w:ascii="Arial" w:hAnsi="Arial" w:cs="Arial"/>
          <w:bCs/>
          <w:spacing w:val="-6"/>
          <w:sz w:val="19"/>
          <w:szCs w:val="19"/>
        </w:rPr>
      </w:pPr>
      <w:r>
        <w:rPr>
          <w:rFonts w:ascii="Arial" w:hAnsi="Arial" w:cs="Arial"/>
          <w:bCs/>
          <w:spacing w:val="-6"/>
          <w:sz w:val="19"/>
          <w:szCs w:val="19"/>
        </w:rPr>
        <w:t xml:space="preserve">  </w:t>
      </w:r>
    </w:p>
    <w:p w:rsidR="00AF4A36" w:rsidRPr="00AF4A36" w:rsidRDefault="00AF4A36" w:rsidP="00AF4A36">
      <w:pPr>
        <w:ind w:right="51"/>
        <w:jc w:val="both"/>
        <w:rPr>
          <w:rFonts w:ascii="Arial" w:hAnsi="Arial" w:cs="Arial"/>
          <w:bCs/>
          <w:spacing w:val="-6"/>
          <w:sz w:val="19"/>
          <w:szCs w:val="19"/>
        </w:rPr>
      </w:pPr>
      <w:r>
        <w:rPr>
          <w:rFonts w:ascii="Arial" w:hAnsi="Arial" w:cs="Arial"/>
          <w:bCs/>
          <w:spacing w:val="-6"/>
          <w:sz w:val="19"/>
          <w:szCs w:val="19"/>
        </w:rPr>
        <w:t>“</w:t>
      </w:r>
      <w:r w:rsidRPr="00AF4A36">
        <w:rPr>
          <w:rFonts w:ascii="Arial" w:hAnsi="Arial" w:cs="Arial"/>
          <w:bCs/>
          <w:spacing w:val="-6"/>
          <w:sz w:val="19"/>
          <w:szCs w:val="19"/>
        </w:rPr>
        <w:t>Tal fecha permite afirmar que la presente acción carece de inmediatez, pues su interposición desborda el plazo de los seis (6) meses fijado por la juris</w:t>
      </w:r>
      <w:r w:rsidR="00F66F96">
        <w:rPr>
          <w:rFonts w:ascii="Arial" w:hAnsi="Arial" w:cs="Arial"/>
          <w:bCs/>
          <w:spacing w:val="-6"/>
          <w:sz w:val="19"/>
          <w:szCs w:val="19"/>
        </w:rPr>
        <w:t>prudencia tanto constitucional como ordinaria</w:t>
      </w:r>
      <w:r w:rsidRPr="00AF4A36">
        <w:rPr>
          <w:rFonts w:ascii="Arial" w:hAnsi="Arial" w:cs="Arial"/>
          <w:bCs/>
          <w:spacing w:val="-6"/>
          <w:sz w:val="19"/>
          <w:szCs w:val="19"/>
        </w:rPr>
        <w:t>; como tiempo razonable para interponerla, ya que transcurrieron siete (7) meses desde la presentación de la petición.</w:t>
      </w:r>
      <w:r w:rsidR="00421AB8">
        <w:rPr>
          <w:rFonts w:ascii="Arial" w:hAnsi="Arial" w:cs="Arial"/>
          <w:bCs/>
          <w:spacing w:val="-6"/>
          <w:sz w:val="19"/>
          <w:szCs w:val="19"/>
        </w:rPr>
        <w:t>”</w:t>
      </w:r>
    </w:p>
    <w:p w:rsidR="00B92398" w:rsidRDefault="00B92398" w:rsidP="00B92398">
      <w:pPr>
        <w:jc w:val="both"/>
        <w:rPr>
          <w:rFonts w:ascii="Arial" w:hAnsi="Arial" w:cs="Arial"/>
          <w:spacing w:val="-6"/>
          <w:sz w:val="19"/>
          <w:szCs w:val="19"/>
          <w:u w:val="single"/>
        </w:rPr>
      </w:pPr>
    </w:p>
    <w:p w:rsidR="0040489F" w:rsidRDefault="00B92398" w:rsidP="00C91BD9">
      <w:pPr>
        <w:ind w:right="22"/>
        <w:jc w:val="both"/>
        <w:rPr>
          <w:rFonts w:ascii="Arial" w:hAnsi="Arial" w:cs="Arial"/>
          <w:w w:val="140"/>
          <w:sz w:val="14"/>
        </w:rPr>
      </w:pPr>
      <w:r>
        <w:rPr>
          <w:rFonts w:ascii="Arial" w:hAnsi="Arial" w:cs="Arial"/>
          <w:spacing w:val="-6"/>
          <w:sz w:val="17"/>
          <w:szCs w:val="17"/>
          <w:lang w:val="es-CO"/>
        </w:rPr>
        <w:t xml:space="preserve">Citas: </w:t>
      </w:r>
      <w:r w:rsidR="00E74E52" w:rsidRPr="00E74E52">
        <w:rPr>
          <w:rFonts w:ascii="Arial" w:hAnsi="Arial" w:cs="Arial"/>
          <w:spacing w:val="-6"/>
          <w:sz w:val="17"/>
          <w:szCs w:val="17"/>
          <w:lang w:val="es-CO"/>
        </w:rPr>
        <w:t>Corte Constitucional</w:t>
      </w:r>
      <w:r w:rsidR="00E74E52">
        <w:rPr>
          <w:rFonts w:ascii="Arial" w:hAnsi="Arial" w:cs="Arial"/>
          <w:spacing w:val="-6"/>
          <w:sz w:val="17"/>
          <w:szCs w:val="17"/>
          <w:lang w:val="es-CO"/>
        </w:rPr>
        <w:t>, s</w:t>
      </w:r>
      <w:r w:rsidR="00E74E52" w:rsidRPr="00E74E52">
        <w:rPr>
          <w:rFonts w:ascii="Arial" w:hAnsi="Arial" w:cs="Arial"/>
          <w:spacing w:val="-6"/>
          <w:sz w:val="17"/>
          <w:szCs w:val="17"/>
          <w:lang w:val="es-CO"/>
        </w:rPr>
        <w:t>entencia T-682 de</w:t>
      </w:r>
      <w:r w:rsidR="00E74E52">
        <w:rPr>
          <w:rFonts w:ascii="Arial" w:hAnsi="Arial" w:cs="Arial"/>
          <w:spacing w:val="-6"/>
          <w:sz w:val="17"/>
          <w:szCs w:val="17"/>
          <w:lang w:val="es-CO"/>
        </w:rPr>
        <w:t xml:space="preserve"> </w:t>
      </w:r>
      <w:r w:rsidR="00E74E52" w:rsidRPr="00E74E52">
        <w:rPr>
          <w:rFonts w:ascii="Arial" w:hAnsi="Arial" w:cs="Arial"/>
          <w:spacing w:val="-6"/>
          <w:sz w:val="17"/>
          <w:szCs w:val="17"/>
          <w:lang w:val="es-CO"/>
        </w:rPr>
        <w:t>2013</w:t>
      </w:r>
      <w:r>
        <w:rPr>
          <w:rFonts w:ascii="Arial" w:hAnsi="Arial" w:cs="Arial"/>
          <w:bCs/>
          <w:spacing w:val="-6"/>
          <w:sz w:val="17"/>
          <w:szCs w:val="17"/>
          <w:lang w:val="fr-FR"/>
        </w:rPr>
        <w:t xml:space="preserve">; </w:t>
      </w:r>
      <w:r>
        <w:rPr>
          <w:rFonts w:ascii="Arial" w:hAnsi="Arial" w:cs="Arial"/>
          <w:spacing w:val="-6"/>
          <w:sz w:val="17"/>
          <w:szCs w:val="17"/>
          <w:lang w:val="es-CO"/>
        </w:rPr>
        <w:t xml:space="preserve">Corte Suprema de Justicia, Sala Civil, sentencia </w:t>
      </w:r>
      <w:r>
        <w:rPr>
          <w:rFonts w:ascii="Arial" w:hAnsi="Arial" w:cs="Arial"/>
          <w:iCs/>
          <w:spacing w:val="-6"/>
          <w:sz w:val="17"/>
          <w:szCs w:val="17"/>
          <w:lang w:val="es-CO"/>
        </w:rPr>
        <w:t>de 29 de abril de 2009 -rad. 00624-00-.</w:t>
      </w:r>
    </w:p>
    <w:p w:rsidR="00AC23B4" w:rsidRPr="00055048" w:rsidRDefault="00AC23B4" w:rsidP="00AC23B4">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9776" behindDoc="0" locked="0" layoutInCell="1" allowOverlap="1" wp14:anchorId="2F0A4ABD" wp14:editId="38E20F40">
            <wp:simplePos x="0" y="0"/>
            <wp:positionH relativeFrom="column">
              <wp:posOffset>2806700</wp:posOffset>
            </wp:positionH>
            <wp:positionV relativeFrom="paragraph">
              <wp:posOffset>0</wp:posOffset>
            </wp:positionV>
            <wp:extent cx="351790" cy="351790"/>
            <wp:effectExtent l="0" t="0" r="0" b="0"/>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w w:val="140"/>
        </w:rPr>
        <w:br w:type="textWrapping" w:clear="all"/>
      </w:r>
      <w:r w:rsidRPr="00055048">
        <w:rPr>
          <w:rFonts w:ascii="Arial" w:hAnsi="Arial" w:cs="Arial"/>
          <w:w w:val="140"/>
          <w:sz w:val="14"/>
        </w:rPr>
        <w:t>REPUBLICA DE COLOMBIA</w:t>
      </w:r>
    </w:p>
    <w:p w:rsidR="00AC23B4" w:rsidRPr="00055048" w:rsidRDefault="00AC23B4" w:rsidP="00AC23B4">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AC23B4" w:rsidRPr="00055048" w:rsidRDefault="00AC23B4" w:rsidP="00AC23B4">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AC23B4" w:rsidRDefault="00AC23B4" w:rsidP="00AC23B4">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AC23B4" w:rsidRPr="007860C0" w:rsidRDefault="00AC23B4" w:rsidP="00AC23B4">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AC23B4" w:rsidRPr="006414F7" w:rsidRDefault="00AC23B4" w:rsidP="00AC23B4">
      <w:pPr>
        <w:spacing w:line="360" w:lineRule="auto"/>
        <w:jc w:val="center"/>
        <w:rPr>
          <w:rFonts w:ascii="Arial" w:hAnsi="Arial" w:cs="Arial"/>
          <w:w w:val="140"/>
          <w:szCs w:val="18"/>
        </w:rPr>
      </w:pPr>
    </w:p>
    <w:p w:rsidR="00AC23B4" w:rsidRPr="002060F5" w:rsidRDefault="00AC23B4" w:rsidP="00AC23B4">
      <w:pPr>
        <w:pStyle w:val="Textoindependiente"/>
        <w:spacing w:line="360" w:lineRule="auto"/>
        <w:rPr>
          <w:rFonts w:ascii="Arial" w:hAnsi="Arial" w:cs="Arial"/>
          <w:sz w:val="22"/>
          <w:szCs w:val="22"/>
        </w:rPr>
      </w:pPr>
      <w:r>
        <w:rPr>
          <w:rFonts w:ascii="Arial" w:hAnsi="Arial" w:cs="Arial"/>
          <w:sz w:val="22"/>
        </w:rPr>
        <w:tab/>
      </w:r>
      <w:r>
        <w:rPr>
          <w:rFonts w:ascii="Arial" w:hAnsi="Arial" w:cs="Arial"/>
          <w:sz w:val="22"/>
        </w:rPr>
        <w:tab/>
      </w:r>
      <w:r w:rsidRPr="002060F5">
        <w:rPr>
          <w:rFonts w:ascii="Arial" w:hAnsi="Arial" w:cs="Arial"/>
          <w:sz w:val="22"/>
          <w:szCs w:val="22"/>
        </w:rPr>
        <w:t>Asunto</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 Sentencia de tutela en primera instancia</w:t>
      </w:r>
    </w:p>
    <w:p w:rsidR="00AC23B4" w:rsidRPr="00F139D0" w:rsidRDefault="00AC23B4" w:rsidP="00AC23B4">
      <w:pPr>
        <w:pStyle w:val="Textoindependiente"/>
        <w:spacing w:line="360" w:lineRule="auto"/>
        <w:ind w:left="1416"/>
        <w:rPr>
          <w:rFonts w:ascii="Arial" w:hAnsi="Arial" w:cs="Arial"/>
          <w:sz w:val="22"/>
        </w:rPr>
      </w:pPr>
      <w:r w:rsidRPr="00F139D0">
        <w:rPr>
          <w:rFonts w:ascii="Arial" w:hAnsi="Arial" w:cs="Arial"/>
          <w:sz w:val="22"/>
        </w:rPr>
        <w:t>Accionante</w:t>
      </w:r>
      <w:r w:rsidRPr="00F139D0">
        <w:rPr>
          <w:rFonts w:ascii="Arial" w:hAnsi="Arial" w:cs="Arial"/>
          <w:sz w:val="22"/>
        </w:rPr>
        <w:tab/>
      </w:r>
      <w:r w:rsidRPr="00F139D0">
        <w:rPr>
          <w:rFonts w:ascii="Arial" w:hAnsi="Arial" w:cs="Arial"/>
          <w:sz w:val="22"/>
        </w:rPr>
        <w:tab/>
        <w:t xml:space="preserve">: </w:t>
      </w:r>
      <w:r w:rsidR="00CE2303">
        <w:rPr>
          <w:rFonts w:ascii="Arial" w:hAnsi="Arial" w:cs="Arial"/>
          <w:sz w:val="22"/>
        </w:rPr>
        <w:t>Francisco Javier Patiño Valencia</w:t>
      </w:r>
    </w:p>
    <w:p w:rsidR="00AC23B4" w:rsidRPr="00F139D0" w:rsidRDefault="00AC23B4" w:rsidP="00AC23B4">
      <w:pPr>
        <w:pStyle w:val="Textoindependiente"/>
        <w:spacing w:line="360" w:lineRule="auto"/>
        <w:ind w:left="1416"/>
        <w:rPr>
          <w:rFonts w:ascii="Arial" w:hAnsi="Arial" w:cs="Arial"/>
          <w:sz w:val="22"/>
        </w:rPr>
      </w:pPr>
      <w:r>
        <w:rPr>
          <w:rFonts w:ascii="Arial" w:hAnsi="Arial" w:cs="Arial"/>
          <w:sz w:val="22"/>
        </w:rPr>
        <w:t xml:space="preserve">Accionado </w:t>
      </w:r>
      <w:r w:rsidRPr="00F139D0">
        <w:rPr>
          <w:rFonts w:ascii="Arial" w:hAnsi="Arial" w:cs="Arial"/>
          <w:sz w:val="22"/>
        </w:rPr>
        <w:tab/>
      </w:r>
      <w:r w:rsidRPr="00F139D0">
        <w:rPr>
          <w:rFonts w:ascii="Arial" w:hAnsi="Arial" w:cs="Arial"/>
          <w:sz w:val="22"/>
        </w:rPr>
        <w:tab/>
        <w:t xml:space="preserve">: </w:t>
      </w:r>
      <w:r w:rsidR="00CE2303">
        <w:rPr>
          <w:rFonts w:ascii="Arial" w:hAnsi="Arial" w:cs="Arial"/>
          <w:sz w:val="22"/>
        </w:rPr>
        <w:t>Ministerio de Defensa Nacional y otros</w:t>
      </w:r>
    </w:p>
    <w:p w:rsidR="00AC23B4" w:rsidRPr="00F139D0" w:rsidRDefault="00AC23B4" w:rsidP="00AC23B4">
      <w:pPr>
        <w:pStyle w:val="Textoindependiente"/>
        <w:spacing w:line="360" w:lineRule="auto"/>
        <w:ind w:left="1416"/>
        <w:rPr>
          <w:rFonts w:ascii="Arial" w:hAnsi="Arial" w:cs="Arial"/>
          <w:sz w:val="22"/>
        </w:rPr>
      </w:pPr>
      <w:r w:rsidRPr="00F139D0">
        <w:rPr>
          <w:rFonts w:ascii="Arial" w:hAnsi="Arial" w:cs="Arial"/>
          <w:sz w:val="22"/>
        </w:rPr>
        <w:t>Radicación</w:t>
      </w:r>
      <w:r w:rsidRPr="00F139D0">
        <w:rPr>
          <w:rFonts w:ascii="Arial" w:hAnsi="Arial" w:cs="Arial"/>
          <w:sz w:val="22"/>
        </w:rPr>
        <w:tab/>
      </w:r>
      <w:r w:rsidRPr="00F139D0">
        <w:rPr>
          <w:rFonts w:ascii="Arial" w:hAnsi="Arial" w:cs="Arial"/>
          <w:sz w:val="22"/>
        </w:rPr>
        <w:tab/>
        <w:t xml:space="preserve">: </w:t>
      </w:r>
      <w:r>
        <w:rPr>
          <w:rFonts w:ascii="Arial" w:hAnsi="Arial" w:cs="Arial"/>
          <w:sz w:val="22"/>
        </w:rPr>
        <w:t>2016-</w:t>
      </w:r>
      <w:r w:rsidR="00CE2303">
        <w:rPr>
          <w:rFonts w:ascii="Arial" w:hAnsi="Arial" w:cs="Arial"/>
          <w:sz w:val="22"/>
        </w:rPr>
        <w:t>00362</w:t>
      </w:r>
      <w:r w:rsidRPr="00F139D0">
        <w:rPr>
          <w:rFonts w:ascii="Arial" w:hAnsi="Arial" w:cs="Arial"/>
          <w:sz w:val="22"/>
        </w:rPr>
        <w:t>-00 (Interno No.</w:t>
      </w:r>
      <w:r w:rsidR="00CE2303">
        <w:rPr>
          <w:rFonts w:ascii="Arial" w:hAnsi="Arial" w:cs="Arial"/>
          <w:sz w:val="22"/>
        </w:rPr>
        <w:t>362</w:t>
      </w:r>
      <w:r w:rsidRPr="00F139D0">
        <w:rPr>
          <w:rFonts w:ascii="Arial" w:hAnsi="Arial" w:cs="Arial"/>
          <w:sz w:val="22"/>
        </w:rPr>
        <w:t>)</w:t>
      </w:r>
    </w:p>
    <w:p w:rsidR="00AC23B4" w:rsidRDefault="00AC23B4" w:rsidP="00AC23B4">
      <w:pPr>
        <w:pStyle w:val="Textoindependiente"/>
        <w:spacing w:line="360" w:lineRule="auto"/>
        <w:rPr>
          <w:rFonts w:ascii="Arial" w:hAnsi="Arial"/>
          <w:sz w:val="22"/>
          <w:szCs w:val="22"/>
        </w:rPr>
      </w:pPr>
      <w:r w:rsidRPr="002060F5">
        <w:rPr>
          <w:rFonts w:ascii="Arial" w:hAnsi="Arial" w:cs="Arial"/>
          <w:sz w:val="22"/>
          <w:szCs w:val="22"/>
        </w:rPr>
        <w:tab/>
      </w:r>
      <w:r w:rsidRPr="002060F5">
        <w:rPr>
          <w:rFonts w:ascii="Arial" w:hAnsi="Arial" w:cs="Arial"/>
          <w:sz w:val="22"/>
          <w:szCs w:val="22"/>
        </w:rPr>
        <w:tab/>
      </w:r>
      <w:r w:rsidR="00CE2303" w:rsidRPr="001A4619">
        <w:rPr>
          <w:rFonts w:ascii="Arial" w:hAnsi="Arial" w:cs="Arial"/>
          <w:sz w:val="22"/>
          <w:szCs w:val="22"/>
        </w:rPr>
        <w:t>Temas</w:t>
      </w:r>
      <w:r w:rsidR="00CE2303" w:rsidRPr="001A4619">
        <w:rPr>
          <w:rFonts w:ascii="Arial" w:hAnsi="Arial" w:cs="Arial"/>
          <w:sz w:val="22"/>
          <w:szCs w:val="22"/>
        </w:rPr>
        <w:tab/>
      </w:r>
      <w:r w:rsidR="00CE2303" w:rsidRPr="001A4619">
        <w:rPr>
          <w:rFonts w:ascii="Arial" w:hAnsi="Arial" w:cs="Arial"/>
          <w:sz w:val="22"/>
          <w:szCs w:val="22"/>
        </w:rPr>
        <w:tab/>
      </w:r>
      <w:r w:rsidR="00CE2303" w:rsidRPr="001A4619">
        <w:rPr>
          <w:rFonts w:ascii="Arial" w:hAnsi="Arial" w:cs="Arial"/>
          <w:sz w:val="22"/>
          <w:szCs w:val="22"/>
        </w:rPr>
        <w:tab/>
        <w:t>: Inmediatez</w:t>
      </w:r>
      <w:r w:rsidR="00780C2A">
        <w:rPr>
          <w:rFonts w:ascii="Arial" w:hAnsi="Arial" w:cs="Arial"/>
          <w:sz w:val="22"/>
          <w:szCs w:val="22"/>
        </w:rPr>
        <w:t xml:space="preserve"> – Agencia oficiosa</w:t>
      </w:r>
    </w:p>
    <w:p w:rsidR="00AC23B4" w:rsidRPr="002060F5" w:rsidRDefault="00AC23B4" w:rsidP="00AC23B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2060F5">
        <w:rPr>
          <w:rFonts w:ascii="Arial" w:hAnsi="Arial"/>
          <w:sz w:val="22"/>
          <w:szCs w:val="22"/>
        </w:rPr>
        <w:t>Magistrado Ponente</w:t>
      </w:r>
      <w:r w:rsidRPr="002060F5">
        <w:rPr>
          <w:rFonts w:ascii="Arial" w:hAnsi="Arial"/>
          <w:sz w:val="22"/>
          <w:szCs w:val="22"/>
        </w:rPr>
        <w:tab/>
        <w:t xml:space="preserve">: </w:t>
      </w:r>
      <w:r w:rsidRPr="002060F5">
        <w:rPr>
          <w:rFonts w:ascii="Arial" w:hAnsi="Arial"/>
          <w:smallCaps/>
          <w:sz w:val="22"/>
          <w:szCs w:val="22"/>
        </w:rPr>
        <w:t>Duberney Grisales Herrera</w:t>
      </w:r>
    </w:p>
    <w:p w:rsidR="00AC23B4" w:rsidRPr="002060F5" w:rsidRDefault="00AC23B4" w:rsidP="00AC23B4">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4D24BF">
        <w:rPr>
          <w:rFonts w:ascii="Arial" w:hAnsi="Arial"/>
          <w:sz w:val="22"/>
          <w:szCs w:val="22"/>
        </w:rPr>
        <w:t>160 de 11-04-2016</w:t>
      </w:r>
    </w:p>
    <w:p w:rsidR="00AC23B4" w:rsidRDefault="00AC23B4" w:rsidP="00AC23B4">
      <w:pPr>
        <w:pBdr>
          <w:bottom w:val="double" w:sz="6" w:space="1" w:color="auto"/>
        </w:pBdr>
        <w:spacing w:line="360" w:lineRule="auto"/>
        <w:jc w:val="center"/>
        <w:rPr>
          <w:rFonts w:ascii="Arial" w:hAnsi="Arial" w:cs="Arial"/>
          <w:b/>
          <w:bCs/>
          <w:sz w:val="22"/>
          <w:szCs w:val="22"/>
        </w:rPr>
      </w:pPr>
    </w:p>
    <w:p w:rsidR="00AC23B4" w:rsidRDefault="00AC23B4" w:rsidP="00AC23B4">
      <w:pPr>
        <w:spacing w:line="360" w:lineRule="auto"/>
        <w:jc w:val="center"/>
        <w:rPr>
          <w:rFonts w:ascii="Arial" w:hAnsi="Arial" w:cs="Arial"/>
          <w:b/>
          <w:bCs/>
          <w:sz w:val="22"/>
          <w:szCs w:val="22"/>
        </w:rPr>
      </w:pPr>
    </w:p>
    <w:p w:rsidR="00AC23B4" w:rsidRPr="000B1B68" w:rsidRDefault="00AC23B4" w:rsidP="00AC23B4">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sidR="004D24BF">
        <w:rPr>
          <w:rFonts w:ascii="Arial" w:hAnsi="Arial" w:cs="Arial"/>
          <w:iCs/>
          <w:smallCaps/>
          <w:szCs w:val="28"/>
          <w:lang w:val="es-CO"/>
        </w:rPr>
        <w:t xml:space="preserve">once </w:t>
      </w:r>
      <w:r>
        <w:rPr>
          <w:rFonts w:ascii="Arial" w:hAnsi="Arial" w:cs="Arial"/>
          <w:iCs/>
          <w:smallCaps/>
          <w:szCs w:val="28"/>
          <w:lang w:val="es-CO"/>
        </w:rPr>
        <w:t>(</w:t>
      </w:r>
      <w:r w:rsidR="004D24BF">
        <w:rPr>
          <w:rFonts w:ascii="Arial" w:hAnsi="Arial" w:cs="Arial"/>
          <w:iCs/>
          <w:smallCaps/>
          <w:szCs w:val="28"/>
          <w:lang w:val="es-CO"/>
        </w:rPr>
        <w:t>11</w:t>
      </w:r>
      <w:r>
        <w:rPr>
          <w:rFonts w:ascii="Arial" w:hAnsi="Arial" w:cs="Arial"/>
          <w:iCs/>
          <w:smallCaps/>
          <w:szCs w:val="28"/>
          <w:lang w:val="es-CO"/>
        </w:rPr>
        <w:t>)</w:t>
      </w:r>
      <w:r w:rsidRPr="000B1B68">
        <w:rPr>
          <w:rFonts w:ascii="Arial" w:hAnsi="Arial" w:cs="Arial"/>
          <w:iCs/>
          <w:smallCaps/>
          <w:szCs w:val="28"/>
          <w:lang w:val="es-CO"/>
        </w:rPr>
        <w:t xml:space="preserve"> de </w:t>
      </w:r>
      <w:r w:rsidR="000D7A85">
        <w:rPr>
          <w:rFonts w:ascii="Arial" w:hAnsi="Arial" w:cs="Arial"/>
          <w:iCs/>
          <w:smallCaps/>
          <w:szCs w:val="28"/>
          <w:lang w:val="es-CO"/>
        </w:rPr>
        <w:t xml:space="preserve">abril </w:t>
      </w:r>
      <w:r>
        <w:rPr>
          <w:rFonts w:ascii="Arial" w:hAnsi="Arial" w:cs="Arial"/>
          <w:iCs/>
          <w:smallCaps/>
          <w:szCs w:val="28"/>
          <w:lang w:val="es-CO"/>
        </w:rPr>
        <w:t>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AC23B4" w:rsidRDefault="00AC23B4" w:rsidP="00AC23B4">
      <w:pPr>
        <w:spacing w:line="360" w:lineRule="auto"/>
        <w:jc w:val="center"/>
        <w:rPr>
          <w:rFonts w:ascii="Arial" w:hAnsi="Arial" w:cs="Arial"/>
          <w:b/>
          <w:bCs/>
          <w:lang w:val="es-CO"/>
        </w:rPr>
      </w:pPr>
    </w:p>
    <w:p w:rsidR="00AC23B4" w:rsidRPr="009C254F" w:rsidRDefault="00AC23B4" w:rsidP="00AC23B4">
      <w:pPr>
        <w:spacing w:line="360" w:lineRule="auto"/>
        <w:jc w:val="center"/>
        <w:rPr>
          <w:rFonts w:ascii="Arial" w:hAnsi="Arial" w:cs="Arial"/>
          <w:b/>
          <w:bCs/>
          <w:lang w:val="es-CO"/>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AC23B4" w:rsidRPr="00F9418E" w:rsidRDefault="00AC23B4" w:rsidP="00AC23B4">
      <w:pPr>
        <w:pStyle w:val="Textoindependiente"/>
        <w:spacing w:line="360" w:lineRule="auto"/>
        <w:rPr>
          <w:rFonts w:ascii="Arial" w:hAnsi="Arial"/>
          <w:szCs w:val="24"/>
        </w:rPr>
      </w:pPr>
    </w:p>
    <w:p w:rsidR="00AC23B4" w:rsidRPr="00F9418E" w:rsidRDefault="00AC23B4" w:rsidP="00AC23B4">
      <w:pPr>
        <w:pStyle w:val="Textoindependien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AC23B4" w:rsidRDefault="00AC23B4" w:rsidP="00AC23B4">
      <w:pPr>
        <w:pStyle w:val="Textoindependiente"/>
        <w:spacing w:line="360" w:lineRule="auto"/>
        <w:rPr>
          <w:rFonts w:ascii="Arial" w:hAnsi="Arial"/>
          <w:szCs w:val="24"/>
        </w:rPr>
      </w:pPr>
    </w:p>
    <w:p w:rsidR="00AC23B4" w:rsidRPr="00F9418E" w:rsidRDefault="00AC23B4" w:rsidP="00AC23B4">
      <w:pPr>
        <w:pStyle w:val="Textoindependiente"/>
        <w:spacing w:line="360" w:lineRule="auto"/>
        <w:rPr>
          <w:rFonts w:ascii="Arial" w:hAnsi="Arial"/>
          <w:szCs w:val="24"/>
        </w:rPr>
      </w:pPr>
    </w:p>
    <w:p w:rsidR="00AC23B4" w:rsidRPr="00F9418E" w:rsidRDefault="00AC23B4" w:rsidP="00AC23B4">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AC23B4" w:rsidRDefault="00AC23B4" w:rsidP="00AC23B4">
      <w:pPr>
        <w:pStyle w:val="Textoindependiente"/>
        <w:spacing w:line="360" w:lineRule="auto"/>
        <w:rPr>
          <w:rFonts w:ascii="Arial" w:hAnsi="Arial" w:cs="Arial"/>
          <w:szCs w:val="24"/>
        </w:rPr>
      </w:pPr>
    </w:p>
    <w:p w:rsidR="00AC23B4" w:rsidRDefault="00CE2303" w:rsidP="00AC23B4">
      <w:pPr>
        <w:spacing w:line="360" w:lineRule="auto"/>
        <w:jc w:val="both"/>
        <w:rPr>
          <w:rFonts w:ascii="Arial" w:hAnsi="Arial" w:cs="Arial"/>
        </w:rPr>
      </w:pPr>
      <w:r>
        <w:rPr>
          <w:rFonts w:ascii="Arial" w:hAnsi="Arial" w:cs="Arial"/>
          <w:lang w:val="es-CO"/>
        </w:rPr>
        <w:t>Se informó que el</w:t>
      </w:r>
      <w:r w:rsidR="00AC23B4">
        <w:rPr>
          <w:rFonts w:ascii="Arial" w:hAnsi="Arial" w:cs="Arial"/>
        </w:rPr>
        <w:t xml:space="preserve"> accionante </w:t>
      </w:r>
      <w:r w:rsidR="00DF2630">
        <w:rPr>
          <w:rFonts w:ascii="Arial" w:hAnsi="Arial" w:cs="Arial"/>
        </w:rPr>
        <w:t xml:space="preserve">el día 11-08-2015 </w:t>
      </w:r>
      <w:r w:rsidR="00AC23B4">
        <w:rPr>
          <w:rFonts w:ascii="Arial" w:hAnsi="Arial" w:cs="Arial"/>
        </w:rPr>
        <w:t xml:space="preserve">presentó derecho de petición </w:t>
      </w:r>
      <w:r w:rsidR="00DF2630">
        <w:rPr>
          <w:rFonts w:ascii="Arial" w:hAnsi="Arial" w:cs="Arial"/>
        </w:rPr>
        <w:t xml:space="preserve">ante el </w:t>
      </w:r>
      <w:r>
        <w:rPr>
          <w:rFonts w:ascii="Arial" w:hAnsi="Arial" w:cs="Arial"/>
        </w:rPr>
        <w:t xml:space="preserve">Distrito Militar No.51 de Bogotá (En adelante DM51) </w:t>
      </w:r>
      <w:r w:rsidR="00AC23B4">
        <w:rPr>
          <w:rFonts w:ascii="Arial" w:hAnsi="Arial" w:cs="Arial"/>
        </w:rPr>
        <w:t xml:space="preserve">y a la fecha de instaurada la acción no ha sido resuelto </w:t>
      </w:r>
      <w:r w:rsidR="00AC23B4" w:rsidRPr="00AF753A">
        <w:rPr>
          <w:rFonts w:ascii="Arial" w:hAnsi="Arial" w:cs="Arial"/>
        </w:rPr>
        <w:t>(Folio</w:t>
      </w:r>
      <w:r w:rsidR="00AC23B4">
        <w:rPr>
          <w:rFonts w:ascii="Arial" w:hAnsi="Arial" w:cs="Arial"/>
        </w:rPr>
        <w:t xml:space="preserve">s </w:t>
      </w:r>
      <w:r w:rsidR="000151F4">
        <w:rPr>
          <w:rFonts w:ascii="Arial" w:hAnsi="Arial" w:cs="Arial"/>
        </w:rPr>
        <w:t>1 a 7</w:t>
      </w:r>
      <w:r w:rsidR="00AC23B4" w:rsidRPr="00AF753A">
        <w:rPr>
          <w:rFonts w:ascii="Arial" w:hAnsi="Arial" w:cs="Arial"/>
        </w:rPr>
        <w:t xml:space="preserve">, </w:t>
      </w:r>
      <w:r w:rsidR="00DF2630">
        <w:rPr>
          <w:rFonts w:ascii="Arial" w:hAnsi="Arial" w:cs="Arial"/>
        </w:rPr>
        <w:t>este cuaderno</w:t>
      </w:r>
      <w:r w:rsidR="00AC23B4">
        <w:rPr>
          <w:rFonts w:ascii="Arial" w:hAnsi="Arial" w:cs="Arial"/>
        </w:rPr>
        <w:t>)</w:t>
      </w:r>
      <w:r w:rsidR="00AC23B4" w:rsidRPr="00AF753A">
        <w:rPr>
          <w:rFonts w:ascii="Arial" w:hAnsi="Arial" w:cs="Arial"/>
        </w:rPr>
        <w:t xml:space="preserve">. </w:t>
      </w:r>
    </w:p>
    <w:p w:rsidR="00AC23B4" w:rsidRDefault="00AC23B4" w:rsidP="00AC23B4">
      <w:pPr>
        <w:pStyle w:val="Textoindependiente"/>
        <w:spacing w:line="360" w:lineRule="auto"/>
        <w:rPr>
          <w:rFonts w:ascii="Arial" w:hAnsi="Arial"/>
          <w:szCs w:val="24"/>
          <w:lang w:val="es-ES"/>
        </w:rPr>
      </w:pPr>
    </w:p>
    <w:p w:rsidR="00AC23B4" w:rsidRPr="000C134E" w:rsidRDefault="00AC23B4" w:rsidP="00AC23B4">
      <w:pPr>
        <w:pStyle w:val="Textoindependiente"/>
        <w:spacing w:line="360" w:lineRule="auto"/>
        <w:rPr>
          <w:rFonts w:ascii="Arial" w:hAnsi="Arial"/>
          <w:szCs w:val="24"/>
          <w:lang w:val="es-ES"/>
        </w:rPr>
      </w:pPr>
    </w:p>
    <w:p w:rsidR="00AC23B4" w:rsidRPr="00F9418E" w:rsidRDefault="00AC23B4" w:rsidP="00AC23B4">
      <w:pPr>
        <w:pStyle w:val="Textoindependiente"/>
        <w:numPr>
          <w:ilvl w:val="0"/>
          <w:numId w:val="1"/>
        </w:numPr>
        <w:spacing w:line="360" w:lineRule="auto"/>
        <w:rPr>
          <w:rFonts w:ascii="Arial" w:hAnsi="Arial"/>
          <w:szCs w:val="24"/>
        </w:rPr>
      </w:pPr>
      <w:r w:rsidRPr="00F9418E">
        <w:rPr>
          <w:rFonts w:ascii="Arial" w:hAnsi="Arial"/>
          <w:szCs w:val="24"/>
        </w:rPr>
        <w:t xml:space="preserve">LOS DERECHOS </w:t>
      </w:r>
      <w:r>
        <w:rPr>
          <w:rFonts w:ascii="Arial" w:hAnsi="Arial"/>
          <w:szCs w:val="24"/>
        </w:rPr>
        <w:t>INVOCADOS</w:t>
      </w: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Considera la parte actora que se le vulnera</w:t>
      </w:r>
      <w:r w:rsidR="00DF2630">
        <w:rPr>
          <w:rFonts w:ascii="Arial" w:hAnsi="Arial" w:cs="Arial"/>
          <w:spacing w:val="-3"/>
          <w:lang w:val="es-ES_tradnl"/>
        </w:rPr>
        <w:t xml:space="preserve">n los derechos a la igualdad, debido proceso </w:t>
      </w:r>
      <w:r w:rsidR="00DF2630">
        <w:rPr>
          <w:rFonts w:ascii="Arial" w:hAnsi="Arial" w:cs="Arial"/>
          <w:spacing w:val="-3"/>
          <w:lang w:val="es-ES_tradnl"/>
        </w:rPr>
        <w:lastRenderedPageBreak/>
        <w:t xml:space="preserve">administrativo, educación, trabajo y </w:t>
      </w:r>
      <w:r>
        <w:rPr>
          <w:rFonts w:ascii="Arial" w:hAnsi="Arial" w:cs="Arial"/>
          <w:spacing w:val="-3"/>
          <w:lang w:val="es-ES_tradnl"/>
        </w:rPr>
        <w:t xml:space="preserve">petición </w:t>
      </w:r>
      <w:r>
        <w:rPr>
          <w:rFonts w:ascii="Arial" w:hAnsi="Arial" w:cs="Arial"/>
        </w:rPr>
        <w:t xml:space="preserve">(Folio </w:t>
      </w:r>
      <w:r w:rsidR="00DF2630">
        <w:rPr>
          <w:rFonts w:ascii="Arial" w:hAnsi="Arial" w:cs="Arial"/>
        </w:rPr>
        <w:t>1</w:t>
      </w:r>
      <w:r>
        <w:rPr>
          <w:rFonts w:ascii="Arial" w:hAnsi="Arial" w:cs="Arial"/>
        </w:rPr>
        <w:t xml:space="preserve">, </w:t>
      </w:r>
      <w:r w:rsidR="00DF2630">
        <w:rPr>
          <w:rFonts w:ascii="Arial" w:hAnsi="Arial" w:cs="Arial"/>
        </w:rPr>
        <w:t>este cuaderno</w:t>
      </w:r>
      <w:r>
        <w:rPr>
          <w:rFonts w:ascii="Arial" w:hAnsi="Arial" w:cs="Arial"/>
        </w:rPr>
        <w:t>)</w:t>
      </w:r>
      <w:r>
        <w:rPr>
          <w:rFonts w:ascii="Arial" w:hAnsi="Arial" w:cs="Arial"/>
          <w:spacing w:val="-3"/>
          <w:lang w:val="es-ES_tradnl"/>
        </w:rPr>
        <w:t xml:space="preserve">. </w:t>
      </w: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AC23B4" w:rsidRDefault="00AC23B4" w:rsidP="00AC23B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AC23B4" w:rsidRDefault="00AC23B4" w:rsidP="00AC23B4">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AC23B4" w:rsidRPr="00C37681" w:rsidRDefault="00AC23B4" w:rsidP="00AC23B4">
      <w:pPr>
        <w:pStyle w:val="Textoindependiente"/>
        <w:spacing w:line="360" w:lineRule="auto"/>
        <w:ind w:left="360"/>
        <w:rPr>
          <w:rFonts w:ascii="Arial" w:hAnsi="Arial"/>
          <w:szCs w:val="24"/>
        </w:rPr>
      </w:pPr>
    </w:p>
    <w:p w:rsidR="00AC23B4" w:rsidRDefault="00AC23B4" w:rsidP="00AC23B4">
      <w:pPr>
        <w:pStyle w:val="Sinespaciado"/>
        <w:spacing w:line="360" w:lineRule="auto"/>
        <w:jc w:val="both"/>
        <w:rPr>
          <w:rFonts w:ascii="Arial" w:hAnsi="Arial" w:cs="Arial"/>
          <w:szCs w:val="24"/>
        </w:rPr>
      </w:pPr>
      <w:r>
        <w:rPr>
          <w:rFonts w:ascii="Arial" w:hAnsi="Arial" w:cs="Arial"/>
          <w:szCs w:val="24"/>
        </w:rPr>
        <w:t>Solicitó: (i) Que se tutele</w:t>
      </w:r>
      <w:r w:rsidR="00DF2630">
        <w:rPr>
          <w:rFonts w:ascii="Arial" w:hAnsi="Arial" w:cs="Arial"/>
          <w:szCs w:val="24"/>
        </w:rPr>
        <w:t>n</w:t>
      </w:r>
      <w:r>
        <w:rPr>
          <w:rFonts w:ascii="Arial" w:hAnsi="Arial" w:cs="Arial"/>
          <w:szCs w:val="24"/>
        </w:rPr>
        <w:t xml:space="preserve"> </w:t>
      </w:r>
      <w:r w:rsidR="00DF2630">
        <w:rPr>
          <w:rFonts w:ascii="Arial" w:hAnsi="Arial" w:cs="Arial"/>
          <w:szCs w:val="24"/>
        </w:rPr>
        <w:t xml:space="preserve">los </w:t>
      </w:r>
      <w:r>
        <w:rPr>
          <w:rFonts w:ascii="Arial" w:hAnsi="Arial" w:cs="Arial"/>
          <w:szCs w:val="24"/>
        </w:rPr>
        <w:t>derecho</w:t>
      </w:r>
      <w:r w:rsidR="00DF2630">
        <w:rPr>
          <w:rFonts w:ascii="Arial" w:hAnsi="Arial" w:cs="Arial"/>
          <w:szCs w:val="24"/>
        </w:rPr>
        <w:t>s</w:t>
      </w:r>
      <w:r>
        <w:rPr>
          <w:rFonts w:ascii="Arial" w:hAnsi="Arial" w:cs="Arial"/>
          <w:szCs w:val="24"/>
        </w:rPr>
        <w:t xml:space="preserve"> invocado</w:t>
      </w:r>
      <w:r w:rsidR="00DF2630">
        <w:rPr>
          <w:rFonts w:ascii="Arial" w:hAnsi="Arial" w:cs="Arial"/>
          <w:szCs w:val="24"/>
        </w:rPr>
        <w:t>s</w:t>
      </w:r>
      <w:r>
        <w:rPr>
          <w:rFonts w:ascii="Arial" w:hAnsi="Arial" w:cs="Arial"/>
          <w:szCs w:val="24"/>
        </w:rPr>
        <w:t xml:space="preserve">; </w:t>
      </w:r>
      <w:r w:rsidR="00DF2630">
        <w:rPr>
          <w:rFonts w:ascii="Arial" w:hAnsi="Arial" w:cs="Arial"/>
          <w:szCs w:val="24"/>
        </w:rPr>
        <w:t xml:space="preserve">y, </w:t>
      </w:r>
      <w:r>
        <w:rPr>
          <w:rFonts w:ascii="Arial" w:hAnsi="Arial" w:cs="Arial"/>
          <w:szCs w:val="24"/>
        </w:rPr>
        <w:t xml:space="preserve">(ii) Se le ordene </w:t>
      </w:r>
      <w:r w:rsidR="00DF2630">
        <w:rPr>
          <w:rFonts w:ascii="Arial" w:hAnsi="Arial" w:cs="Arial"/>
          <w:szCs w:val="24"/>
        </w:rPr>
        <w:t xml:space="preserve">al DM51 </w:t>
      </w:r>
      <w:r>
        <w:rPr>
          <w:rFonts w:ascii="Arial" w:hAnsi="Arial" w:cs="Arial"/>
          <w:szCs w:val="24"/>
        </w:rPr>
        <w:t>dar r</w:t>
      </w:r>
      <w:r w:rsidR="00DF2630">
        <w:rPr>
          <w:rFonts w:ascii="Arial" w:hAnsi="Arial" w:cs="Arial"/>
          <w:szCs w:val="24"/>
        </w:rPr>
        <w:t xml:space="preserve">espuesta al derecho de petición y expedir sin cobro alguno la libreta militar </w:t>
      </w:r>
      <w:r>
        <w:rPr>
          <w:rFonts w:ascii="Arial" w:hAnsi="Arial" w:cs="Arial"/>
          <w:szCs w:val="24"/>
        </w:rPr>
        <w:t xml:space="preserve">(Folio </w:t>
      </w:r>
      <w:r w:rsidR="00DF2630">
        <w:rPr>
          <w:rFonts w:ascii="Arial" w:hAnsi="Arial" w:cs="Arial"/>
          <w:szCs w:val="24"/>
        </w:rPr>
        <w:t>1</w:t>
      </w:r>
      <w:r>
        <w:rPr>
          <w:rFonts w:ascii="Arial" w:hAnsi="Arial" w:cs="Arial"/>
          <w:szCs w:val="24"/>
        </w:rPr>
        <w:t xml:space="preserve">, </w:t>
      </w:r>
      <w:r w:rsidR="00DF2630">
        <w:rPr>
          <w:rFonts w:ascii="Arial" w:hAnsi="Arial" w:cs="Arial"/>
        </w:rPr>
        <w:t>este cuaderno</w:t>
      </w:r>
      <w:r>
        <w:rPr>
          <w:rFonts w:ascii="Arial" w:hAnsi="Arial" w:cs="Arial"/>
          <w:szCs w:val="24"/>
        </w:rPr>
        <w:t>).</w:t>
      </w:r>
    </w:p>
    <w:p w:rsidR="00AC23B4" w:rsidRDefault="00AC23B4" w:rsidP="00AC23B4">
      <w:pPr>
        <w:pStyle w:val="Sinespaciado"/>
        <w:spacing w:line="360" w:lineRule="auto"/>
        <w:jc w:val="both"/>
        <w:rPr>
          <w:rFonts w:ascii="Arial" w:hAnsi="Arial" w:cs="Arial"/>
          <w:szCs w:val="24"/>
        </w:rPr>
      </w:pPr>
    </w:p>
    <w:p w:rsidR="00AC23B4" w:rsidRPr="00B5411C" w:rsidRDefault="00AC23B4" w:rsidP="00AC23B4">
      <w:pPr>
        <w:pStyle w:val="Sinespaciado"/>
        <w:spacing w:line="360" w:lineRule="auto"/>
        <w:jc w:val="both"/>
        <w:rPr>
          <w:rFonts w:ascii="Arial" w:hAnsi="Arial" w:cs="Arial"/>
          <w:szCs w:val="24"/>
        </w:rPr>
      </w:pPr>
      <w:r>
        <w:rPr>
          <w:rFonts w:ascii="Arial" w:hAnsi="Arial" w:cs="Arial"/>
          <w:szCs w:val="24"/>
        </w:rPr>
        <w:t xml:space="preserve"> </w:t>
      </w:r>
    </w:p>
    <w:p w:rsidR="00AC23B4" w:rsidRPr="00704D44" w:rsidRDefault="00AC23B4" w:rsidP="00AC23B4">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AC23B4" w:rsidRPr="00704D44" w:rsidRDefault="00AC23B4" w:rsidP="00AC23B4">
      <w:pPr>
        <w:pStyle w:val="Sinespaciado"/>
        <w:tabs>
          <w:tab w:val="left" w:pos="1200"/>
        </w:tabs>
        <w:spacing w:line="360" w:lineRule="auto"/>
        <w:jc w:val="both"/>
        <w:rPr>
          <w:rFonts w:ascii="Arial" w:hAnsi="Arial"/>
          <w:szCs w:val="24"/>
        </w:rPr>
      </w:pPr>
    </w:p>
    <w:p w:rsidR="00AC23B4" w:rsidRDefault="00AC23B4" w:rsidP="00AC23B4">
      <w:pPr>
        <w:spacing w:line="360" w:lineRule="auto"/>
        <w:jc w:val="both"/>
        <w:rPr>
          <w:rFonts w:ascii="Arial" w:hAnsi="Arial"/>
        </w:rPr>
      </w:pPr>
      <w:r w:rsidRPr="008E5A62">
        <w:rPr>
          <w:rFonts w:ascii="Arial" w:hAnsi="Arial"/>
        </w:rPr>
        <w:t xml:space="preserve">En reparto ordinario del día </w:t>
      </w:r>
      <w:r w:rsidR="00DF2630">
        <w:rPr>
          <w:rFonts w:ascii="Arial" w:hAnsi="Arial"/>
        </w:rPr>
        <w:t xml:space="preserve">30-03-2016 </w:t>
      </w:r>
      <w:r w:rsidRPr="008E5A62">
        <w:rPr>
          <w:rFonts w:ascii="Arial" w:hAnsi="Arial"/>
        </w:rPr>
        <w:t xml:space="preserve">correspondió a este Despacho, con providencia </w:t>
      </w:r>
      <w:r>
        <w:rPr>
          <w:rFonts w:ascii="Arial" w:hAnsi="Arial"/>
        </w:rPr>
        <w:t>de ese día</w:t>
      </w:r>
      <w:r w:rsidRPr="008E5A62">
        <w:rPr>
          <w:rFonts w:ascii="Arial" w:hAnsi="Arial"/>
        </w:rPr>
        <w:t xml:space="preserve"> se admitió y se dispuso notificar a la partes, entre otros ordenamientos (Folio</w:t>
      </w:r>
      <w:r>
        <w:rPr>
          <w:rFonts w:ascii="Arial" w:hAnsi="Arial"/>
        </w:rPr>
        <w:t xml:space="preserve"> </w:t>
      </w:r>
      <w:r w:rsidR="00DF2630">
        <w:rPr>
          <w:rFonts w:ascii="Arial" w:hAnsi="Arial"/>
        </w:rPr>
        <w:t>14</w:t>
      </w:r>
      <w:r w:rsidRPr="008E5A62">
        <w:rPr>
          <w:rFonts w:ascii="Arial" w:hAnsi="Arial"/>
        </w:rPr>
        <w:t xml:space="preserve">, </w:t>
      </w:r>
      <w:r w:rsidR="00DF2630">
        <w:rPr>
          <w:rFonts w:ascii="Arial" w:hAnsi="Arial"/>
        </w:rPr>
        <w:t>ibídem</w:t>
      </w:r>
      <w:r w:rsidRPr="008E5A62">
        <w:rPr>
          <w:rFonts w:ascii="Arial" w:hAnsi="Arial"/>
        </w:rPr>
        <w:t xml:space="preserve">). Fueron debidamente </w:t>
      </w:r>
      <w:r>
        <w:rPr>
          <w:rFonts w:ascii="Arial" w:hAnsi="Arial"/>
        </w:rPr>
        <w:t xml:space="preserve">enterados </w:t>
      </w:r>
      <w:r w:rsidRPr="008E5A62">
        <w:rPr>
          <w:rFonts w:ascii="Arial" w:hAnsi="Arial"/>
        </w:rPr>
        <w:t>lo</w:t>
      </w:r>
      <w:r>
        <w:rPr>
          <w:rFonts w:ascii="Arial" w:hAnsi="Arial"/>
        </w:rPr>
        <w:t xml:space="preserve">s extremos de la acción (Folio </w:t>
      </w:r>
      <w:r w:rsidR="00DF2630">
        <w:rPr>
          <w:rFonts w:ascii="Arial" w:hAnsi="Arial"/>
        </w:rPr>
        <w:t>15, 16, 20 y 21</w:t>
      </w:r>
      <w:r>
        <w:rPr>
          <w:rFonts w:ascii="Arial" w:hAnsi="Arial"/>
        </w:rPr>
        <w:t>,</w:t>
      </w:r>
      <w:r w:rsidRPr="008E5A62">
        <w:rPr>
          <w:rFonts w:ascii="Arial" w:hAnsi="Arial"/>
        </w:rPr>
        <w:t xml:space="preserve"> </w:t>
      </w:r>
      <w:r w:rsidR="00DF2630">
        <w:rPr>
          <w:rFonts w:ascii="Arial" w:hAnsi="Arial"/>
        </w:rPr>
        <w:t>ibídem</w:t>
      </w:r>
      <w:r w:rsidRPr="008E5A62">
        <w:rPr>
          <w:rFonts w:ascii="Arial" w:hAnsi="Arial"/>
        </w:rPr>
        <w:t xml:space="preserve">). </w:t>
      </w:r>
      <w:r w:rsidR="00DF2630">
        <w:rPr>
          <w:rFonts w:ascii="Arial" w:hAnsi="Arial"/>
        </w:rPr>
        <w:t>Los accionados guardaron silencio</w:t>
      </w:r>
      <w:r>
        <w:rPr>
          <w:rFonts w:ascii="Arial" w:hAnsi="Arial"/>
        </w:rPr>
        <w:t xml:space="preserve">. </w:t>
      </w:r>
      <w:r w:rsidR="00DF2630">
        <w:rPr>
          <w:rFonts w:ascii="Arial" w:hAnsi="Arial"/>
        </w:rPr>
        <w:t xml:space="preserve">El actor </w:t>
      </w:r>
      <w:r w:rsidR="007033F9">
        <w:rPr>
          <w:rFonts w:ascii="Arial" w:hAnsi="Arial"/>
        </w:rPr>
        <w:t>arrimó prueba de entrega del derecho de petición</w:t>
      </w:r>
      <w:r w:rsidR="00DF2630">
        <w:rPr>
          <w:rFonts w:ascii="Arial" w:hAnsi="Arial"/>
        </w:rPr>
        <w:t xml:space="preserve"> </w:t>
      </w:r>
      <w:r w:rsidR="007033F9">
        <w:rPr>
          <w:rFonts w:ascii="Arial" w:hAnsi="Arial"/>
        </w:rPr>
        <w:t>(Folio</w:t>
      </w:r>
      <w:r>
        <w:rPr>
          <w:rFonts w:ascii="Arial" w:hAnsi="Arial"/>
        </w:rPr>
        <w:t xml:space="preserve"> </w:t>
      </w:r>
      <w:r w:rsidR="007033F9">
        <w:rPr>
          <w:rFonts w:ascii="Arial" w:hAnsi="Arial"/>
        </w:rPr>
        <w:t>18</w:t>
      </w:r>
      <w:r>
        <w:rPr>
          <w:rFonts w:ascii="Arial" w:hAnsi="Arial"/>
        </w:rPr>
        <w:t>, ibídem).</w:t>
      </w:r>
    </w:p>
    <w:p w:rsidR="007033F9" w:rsidRDefault="007033F9" w:rsidP="00AC23B4">
      <w:pPr>
        <w:spacing w:line="360" w:lineRule="auto"/>
        <w:jc w:val="both"/>
        <w:rPr>
          <w:rFonts w:ascii="Arial" w:hAnsi="Arial"/>
        </w:rPr>
      </w:pPr>
    </w:p>
    <w:p w:rsidR="00AC23B4" w:rsidRDefault="00AC23B4" w:rsidP="00AC23B4">
      <w:pPr>
        <w:spacing w:line="360" w:lineRule="auto"/>
        <w:jc w:val="both"/>
        <w:rPr>
          <w:rFonts w:ascii="Arial" w:hAnsi="Arial"/>
        </w:rPr>
      </w:pPr>
    </w:p>
    <w:p w:rsidR="00AC23B4" w:rsidRDefault="00AC23B4" w:rsidP="00AC23B4">
      <w:pPr>
        <w:pStyle w:val="Textoindependiente"/>
        <w:numPr>
          <w:ilvl w:val="0"/>
          <w:numId w:val="18"/>
        </w:numPr>
        <w:spacing w:line="360" w:lineRule="auto"/>
        <w:rPr>
          <w:rFonts w:ascii="Arial" w:hAnsi="Arial"/>
          <w:szCs w:val="24"/>
        </w:rPr>
      </w:pPr>
      <w:smartTag w:uri="urn:schemas-microsoft-com:office:smarttags" w:element="PersonName">
        <w:smartTagPr>
          <w:attr w:name="ProductID" w:val="LA FUNDAMENTACIￓN JURￍDICA"/>
        </w:smartTagPr>
        <w:r w:rsidRPr="006F4450">
          <w:rPr>
            <w:rFonts w:ascii="Arial" w:hAnsi="Arial"/>
            <w:szCs w:val="24"/>
          </w:rPr>
          <w:t>LA FUNDAMENTACIÓN JURÍDICA</w:t>
        </w:r>
      </w:smartTag>
      <w:r w:rsidRPr="006F4450">
        <w:rPr>
          <w:rFonts w:ascii="Arial" w:hAnsi="Arial"/>
          <w:szCs w:val="24"/>
        </w:rPr>
        <w:t xml:space="preserve"> PARA DECIDIR</w:t>
      </w:r>
    </w:p>
    <w:p w:rsidR="00AC23B4" w:rsidRPr="006F4450" w:rsidRDefault="00AC23B4" w:rsidP="00AC23B4">
      <w:pPr>
        <w:pStyle w:val="Textoindependiente"/>
        <w:spacing w:line="360" w:lineRule="auto"/>
        <w:ind w:left="400"/>
        <w:rPr>
          <w:rFonts w:ascii="Arial" w:hAnsi="Arial"/>
          <w:szCs w:val="24"/>
        </w:rPr>
      </w:pPr>
    </w:p>
    <w:p w:rsidR="00AC23B4" w:rsidRDefault="00AC23B4" w:rsidP="00AC23B4">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C23B4" w:rsidRDefault="00AC23B4" w:rsidP="00AC23B4">
      <w:pPr>
        <w:pStyle w:val="Textoindependiente"/>
        <w:tabs>
          <w:tab w:val="clear" w:pos="708"/>
          <w:tab w:val="left" w:pos="709"/>
        </w:tabs>
        <w:spacing w:line="360" w:lineRule="auto"/>
        <w:ind w:left="720"/>
        <w:rPr>
          <w:rFonts w:ascii="Arial" w:hAnsi="Arial"/>
          <w:szCs w:val="24"/>
        </w:rPr>
      </w:pPr>
    </w:p>
    <w:p w:rsidR="007033F9" w:rsidRDefault="007033F9" w:rsidP="007033F9">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Est</w:t>
      </w:r>
      <w:r>
        <w:rPr>
          <w:rFonts w:ascii="Arial" w:hAnsi="Arial" w:cs="Arial"/>
          <w:sz w:val="24"/>
          <w:szCs w:val="24"/>
        </w:rPr>
        <w:t>e Tribunal e</w:t>
      </w:r>
      <w:r w:rsidRPr="00BD0D74">
        <w:rPr>
          <w:rFonts w:ascii="Arial" w:hAnsi="Arial" w:cs="Arial"/>
          <w:sz w:val="24"/>
          <w:szCs w:val="24"/>
        </w:rPr>
        <w:t>s compe</w:t>
      </w:r>
      <w:r>
        <w:rPr>
          <w:rFonts w:ascii="Arial" w:hAnsi="Arial" w:cs="Arial"/>
          <w:sz w:val="24"/>
          <w:szCs w:val="24"/>
        </w:rPr>
        <w:t xml:space="preserve">tente para conocer la acción en virtud del factor territorial, en razón al lugar donde ocurre la presunta violación, al tener 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la accionada, es una entidad del orden nacional (Artículo 1°-1°, Decreto 1382 del 2000).</w:t>
      </w:r>
    </w:p>
    <w:p w:rsidR="00AC23B4" w:rsidRDefault="00AC23B4" w:rsidP="00AC23B4">
      <w:pPr>
        <w:pStyle w:val="Sangra2detindependiente"/>
        <w:spacing w:after="0" w:line="360" w:lineRule="auto"/>
        <w:ind w:left="0"/>
        <w:jc w:val="both"/>
        <w:rPr>
          <w:rFonts w:ascii="Arial" w:hAnsi="Arial" w:cs="Arial"/>
          <w:sz w:val="24"/>
          <w:szCs w:val="24"/>
        </w:rPr>
      </w:pPr>
    </w:p>
    <w:p w:rsidR="00AC23B4" w:rsidRPr="00DF74B6" w:rsidRDefault="00AC23B4" w:rsidP="00AC23B4">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AC23B4" w:rsidRPr="007033F9" w:rsidRDefault="00AC23B4" w:rsidP="00AC23B4">
      <w:pPr>
        <w:pStyle w:val="Textoindependiente"/>
        <w:spacing w:line="360" w:lineRule="auto"/>
        <w:rPr>
          <w:rFonts w:ascii="Arial" w:hAnsi="Arial" w:cs="Arial"/>
          <w:szCs w:val="24"/>
        </w:rPr>
      </w:pPr>
    </w:p>
    <w:p w:rsidR="007033F9" w:rsidRPr="007033F9" w:rsidRDefault="00AC23B4" w:rsidP="007033F9">
      <w:pPr>
        <w:pStyle w:val="Sangra2detindependiente"/>
        <w:spacing w:after="0" w:line="360" w:lineRule="auto"/>
        <w:ind w:left="0"/>
        <w:jc w:val="both"/>
        <w:rPr>
          <w:rFonts w:ascii="Arial" w:hAnsi="Arial" w:cs="Arial"/>
          <w:sz w:val="24"/>
          <w:szCs w:val="24"/>
        </w:rPr>
      </w:pPr>
      <w:r w:rsidRPr="007033F9">
        <w:rPr>
          <w:rFonts w:ascii="Arial" w:hAnsi="Arial" w:cs="Arial"/>
          <w:sz w:val="24"/>
          <w:szCs w:val="24"/>
        </w:rPr>
        <w:t xml:space="preserve">Por activa se cumple en consideración a que el derecho de petición </w:t>
      </w:r>
      <w:r w:rsidR="00A431A3">
        <w:rPr>
          <w:rFonts w:ascii="Arial" w:hAnsi="Arial" w:cs="Arial"/>
          <w:sz w:val="24"/>
          <w:szCs w:val="24"/>
        </w:rPr>
        <w:t xml:space="preserve">se presentó a favor del </w:t>
      </w:r>
      <w:r w:rsidR="007033F9">
        <w:rPr>
          <w:rFonts w:ascii="Arial" w:hAnsi="Arial" w:cs="Arial"/>
          <w:sz w:val="24"/>
          <w:szCs w:val="24"/>
        </w:rPr>
        <w:t xml:space="preserve">señor Francisco Javier </w:t>
      </w:r>
      <w:r w:rsidR="00A431A3">
        <w:rPr>
          <w:rFonts w:ascii="Arial" w:hAnsi="Arial" w:cs="Arial"/>
          <w:sz w:val="24"/>
          <w:szCs w:val="24"/>
        </w:rPr>
        <w:t xml:space="preserve">Patiño </w:t>
      </w:r>
      <w:r w:rsidR="007033F9">
        <w:rPr>
          <w:rFonts w:ascii="Arial" w:hAnsi="Arial" w:cs="Arial"/>
          <w:sz w:val="24"/>
          <w:szCs w:val="24"/>
        </w:rPr>
        <w:t xml:space="preserve">Valencia </w:t>
      </w:r>
      <w:r w:rsidRPr="007033F9">
        <w:rPr>
          <w:rFonts w:ascii="Arial" w:hAnsi="Arial" w:cs="Arial"/>
          <w:sz w:val="24"/>
          <w:szCs w:val="24"/>
        </w:rPr>
        <w:t xml:space="preserve">(Artículo 86, CP, y 10º, Decreto 2591 de 1991). </w:t>
      </w:r>
    </w:p>
    <w:p w:rsidR="007033F9" w:rsidRDefault="007033F9" w:rsidP="00AC23B4">
      <w:pPr>
        <w:pStyle w:val="Textoindependiente"/>
        <w:spacing w:line="360" w:lineRule="auto"/>
        <w:rPr>
          <w:rFonts w:ascii="Arial" w:hAnsi="Arial" w:cs="Arial"/>
          <w:szCs w:val="24"/>
        </w:rPr>
      </w:pPr>
    </w:p>
    <w:p w:rsidR="00A431A3" w:rsidRPr="007D6174" w:rsidRDefault="00A431A3" w:rsidP="00A431A3">
      <w:pPr>
        <w:widowControl/>
        <w:autoSpaceDE/>
        <w:autoSpaceDN/>
        <w:adjustRightInd/>
        <w:spacing w:line="360" w:lineRule="auto"/>
        <w:jc w:val="both"/>
        <w:rPr>
          <w:rFonts w:ascii="Arial" w:hAnsi="Arial" w:cs="Arial"/>
        </w:rPr>
      </w:pPr>
      <w:r>
        <w:rPr>
          <w:rFonts w:ascii="Arial" w:hAnsi="Arial" w:cs="Arial"/>
          <w:lang w:val="es-CO"/>
        </w:rPr>
        <w:t>El abogado</w:t>
      </w:r>
      <w:r w:rsidRPr="007D6174">
        <w:rPr>
          <w:rFonts w:ascii="Arial" w:hAnsi="Arial" w:cs="Arial"/>
          <w:lang w:val="es-CO"/>
        </w:rPr>
        <w:t xml:space="preserve"> </w:t>
      </w:r>
      <w:r>
        <w:rPr>
          <w:rFonts w:ascii="Arial" w:hAnsi="Arial" w:cs="Arial"/>
          <w:lang w:val="es-CO"/>
        </w:rPr>
        <w:t xml:space="preserve">Óscar Mauricio Toro Valencia </w:t>
      </w:r>
      <w:r w:rsidRPr="007D6174">
        <w:rPr>
          <w:rFonts w:ascii="Arial" w:hAnsi="Arial" w:cs="Arial"/>
          <w:lang w:val="es-CO"/>
        </w:rPr>
        <w:t>se encuentra legitimad</w:t>
      </w:r>
      <w:r>
        <w:rPr>
          <w:rFonts w:ascii="Arial" w:hAnsi="Arial" w:cs="Arial"/>
          <w:lang w:val="es-CO"/>
        </w:rPr>
        <w:t>o</w:t>
      </w:r>
      <w:r w:rsidRPr="007D6174">
        <w:rPr>
          <w:rFonts w:ascii="Arial" w:hAnsi="Arial" w:cs="Arial"/>
          <w:lang w:val="es-CO"/>
        </w:rPr>
        <w:t xml:space="preserve"> para representar a su agenciado, señor </w:t>
      </w:r>
      <w:r>
        <w:rPr>
          <w:rFonts w:ascii="Arial" w:hAnsi="Arial" w:cs="Arial"/>
        </w:rPr>
        <w:t>Patiño Valencia</w:t>
      </w:r>
      <w:r w:rsidRPr="007D6174">
        <w:rPr>
          <w:rFonts w:ascii="Arial" w:hAnsi="Arial" w:cs="Arial"/>
          <w:lang w:val="es-CO"/>
        </w:rPr>
        <w:t>, en su calidad de defensor públic</w:t>
      </w:r>
      <w:r>
        <w:rPr>
          <w:rFonts w:ascii="Arial" w:hAnsi="Arial" w:cs="Arial"/>
          <w:lang w:val="es-CO"/>
        </w:rPr>
        <w:t>o y</w:t>
      </w:r>
      <w:r w:rsidRPr="007D6174">
        <w:rPr>
          <w:rFonts w:ascii="Arial" w:hAnsi="Arial" w:cs="Arial"/>
          <w:lang w:val="es-CO"/>
        </w:rPr>
        <w:t xml:space="preserve"> </w:t>
      </w:r>
      <w:r>
        <w:rPr>
          <w:rFonts w:ascii="Arial" w:hAnsi="Arial" w:cs="Arial"/>
          <w:i/>
          <w:lang w:val="es-CO"/>
        </w:rPr>
        <w:t xml:space="preserve">“(…) </w:t>
      </w:r>
      <w:r w:rsidRPr="007D6174">
        <w:rPr>
          <w:rFonts w:ascii="Arial" w:hAnsi="Arial" w:cs="Arial"/>
          <w:i/>
          <w:iCs/>
          <w:color w:val="2D2D2D"/>
          <w:sz w:val="22"/>
          <w:bdr w:val="none" w:sz="0" w:space="0" w:color="auto" w:frame="1"/>
        </w:rPr>
        <w:t xml:space="preserve">en atención a sus funciones constitucionales y legales, de guarda y promoción de los derechos fundamentales, están legitimados para presentar acciones de tutela, </w:t>
      </w:r>
      <w:r>
        <w:rPr>
          <w:rFonts w:ascii="Arial" w:hAnsi="Arial" w:cs="Arial"/>
          <w:i/>
          <w:iCs/>
          <w:color w:val="2D2D2D"/>
          <w:sz w:val="22"/>
          <w:bdr w:val="none" w:sz="0" w:space="0" w:color="auto" w:frame="1"/>
        </w:rPr>
        <w:t>(…)</w:t>
      </w:r>
      <w:r w:rsidRPr="007D6174">
        <w:rPr>
          <w:rFonts w:ascii="Arial" w:hAnsi="Arial" w:cs="Arial"/>
          <w:i/>
          <w:iCs/>
          <w:color w:val="2D2D2D"/>
          <w:sz w:val="22"/>
          <w:bdr w:val="none" w:sz="0" w:space="0" w:color="auto" w:frame="1"/>
        </w:rPr>
        <w:t>en nombre del individuo que se lo solicite o que se encuentre en situación de desamparo o indefensión</w:t>
      </w:r>
      <w:r>
        <w:rPr>
          <w:rFonts w:ascii="Arial" w:hAnsi="Arial" w:cs="Arial"/>
          <w:i/>
          <w:iCs/>
          <w:color w:val="2D2D2D"/>
          <w:sz w:val="22"/>
          <w:bdr w:val="none" w:sz="0" w:space="0" w:color="auto" w:frame="1"/>
        </w:rPr>
        <w:t>”</w:t>
      </w:r>
      <w:r>
        <w:rPr>
          <w:rStyle w:val="Refdenotaalpie"/>
          <w:rFonts w:ascii="Arial" w:hAnsi="Arial"/>
          <w:i/>
          <w:iCs/>
          <w:color w:val="2D2D2D"/>
          <w:sz w:val="22"/>
          <w:bdr w:val="none" w:sz="0" w:space="0" w:color="auto" w:frame="1"/>
        </w:rPr>
        <w:footnoteReference w:id="1"/>
      </w:r>
      <w:r>
        <w:rPr>
          <w:rFonts w:ascii="Arial" w:hAnsi="Arial" w:cs="Arial"/>
        </w:rPr>
        <w:t>.</w:t>
      </w:r>
    </w:p>
    <w:p w:rsidR="007033F9" w:rsidRPr="00DC1470" w:rsidRDefault="007033F9" w:rsidP="007033F9">
      <w:pPr>
        <w:pStyle w:val="Textoindependiente"/>
        <w:spacing w:line="360" w:lineRule="auto"/>
        <w:rPr>
          <w:rFonts w:ascii="Arial" w:hAnsi="Arial"/>
        </w:rPr>
      </w:pPr>
    </w:p>
    <w:p w:rsidR="007033F9" w:rsidRDefault="007033F9" w:rsidP="007033F9">
      <w:pPr>
        <w:pStyle w:val="Textoindependiente"/>
        <w:tabs>
          <w:tab w:val="clear" w:pos="4248"/>
        </w:tabs>
        <w:spacing w:line="360" w:lineRule="auto"/>
        <w:rPr>
          <w:rFonts w:ascii="Arial" w:hAnsi="Arial"/>
          <w:szCs w:val="24"/>
        </w:rPr>
      </w:pPr>
      <w:r w:rsidRPr="00B95960">
        <w:rPr>
          <w:rFonts w:ascii="Arial" w:hAnsi="Arial"/>
          <w:szCs w:val="24"/>
        </w:rPr>
        <w:t>E</w:t>
      </w:r>
      <w:r w:rsidRPr="00B95960">
        <w:rPr>
          <w:rFonts w:ascii="Arial" w:hAnsi="Arial" w:cs="Arial"/>
          <w:szCs w:val="24"/>
        </w:rPr>
        <w:t xml:space="preserve">n el extremo pasivo, </w:t>
      </w:r>
      <w:r w:rsidR="00972EBA">
        <w:rPr>
          <w:rFonts w:ascii="Arial" w:hAnsi="Arial" w:cs="Arial"/>
          <w:szCs w:val="24"/>
        </w:rPr>
        <w:t>el DM51 de Bogotá</w:t>
      </w:r>
      <w:r>
        <w:rPr>
          <w:rFonts w:ascii="Arial" w:hAnsi="Arial" w:cs="Arial"/>
          <w:szCs w:val="24"/>
        </w:rPr>
        <w:t>, porque fue ante quien se presentó el derecho de petición</w:t>
      </w:r>
      <w:r w:rsidR="00972EBA">
        <w:rPr>
          <w:rFonts w:ascii="Arial" w:hAnsi="Arial" w:cs="Arial"/>
          <w:szCs w:val="24"/>
        </w:rPr>
        <w:t xml:space="preserve"> y es el encargado de expedir la libreta militar</w:t>
      </w:r>
      <w:r w:rsidRPr="00EB64D9">
        <w:rPr>
          <w:rFonts w:ascii="Arial" w:hAnsi="Arial" w:cs="Arial"/>
          <w:szCs w:val="24"/>
        </w:rPr>
        <w:t>.</w:t>
      </w:r>
      <w:r>
        <w:rPr>
          <w:rFonts w:ascii="Arial" w:hAnsi="Arial" w:cs="Arial"/>
          <w:szCs w:val="24"/>
        </w:rPr>
        <w:t xml:space="preserve"> No así, </w:t>
      </w:r>
      <w:r w:rsidR="00972EBA">
        <w:rPr>
          <w:rFonts w:ascii="Arial" w:hAnsi="Arial" w:cs="Arial"/>
          <w:szCs w:val="24"/>
        </w:rPr>
        <w:t>el Ministerio de Defensa Nacional y el Ejército Nacional</w:t>
      </w:r>
      <w:r>
        <w:rPr>
          <w:rFonts w:ascii="Arial" w:hAnsi="Arial" w:cs="Arial"/>
        </w:rPr>
        <w:t xml:space="preserve">, </w:t>
      </w:r>
      <w:r>
        <w:rPr>
          <w:rFonts w:ascii="Arial" w:hAnsi="Arial"/>
          <w:szCs w:val="24"/>
        </w:rPr>
        <w:t xml:space="preserve">pues, </w:t>
      </w:r>
      <w:r w:rsidR="00972EBA">
        <w:rPr>
          <w:rFonts w:ascii="Arial" w:hAnsi="Arial"/>
          <w:szCs w:val="24"/>
        </w:rPr>
        <w:t>no fueron los receptores de la petición</w:t>
      </w:r>
      <w:r>
        <w:rPr>
          <w:rFonts w:ascii="Arial" w:hAnsi="Arial"/>
          <w:szCs w:val="24"/>
        </w:rPr>
        <w:t xml:space="preserve">. Se denegará el amparo en su contra. </w:t>
      </w:r>
    </w:p>
    <w:p w:rsidR="007033F9" w:rsidRDefault="007033F9" w:rsidP="00AC23B4">
      <w:pPr>
        <w:pStyle w:val="Textoindependiente"/>
        <w:spacing w:line="360" w:lineRule="auto"/>
        <w:rPr>
          <w:rFonts w:ascii="Arial" w:hAnsi="Arial" w:cs="Arial"/>
          <w:szCs w:val="24"/>
        </w:rPr>
      </w:pPr>
    </w:p>
    <w:p w:rsidR="00AC23B4" w:rsidRDefault="00AC23B4" w:rsidP="00AC23B4">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AC23B4" w:rsidRPr="007975AC" w:rsidRDefault="00AC23B4" w:rsidP="00AC23B4">
      <w:pPr>
        <w:pStyle w:val="Textoindependiente"/>
        <w:spacing w:line="360" w:lineRule="auto"/>
        <w:ind w:left="720"/>
        <w:rPr>
          <w:rFonts w:ascii="Arial" w:hAnsi="Arial"/>
          <w:szCs w:val="24"/>
        </w:rPr>
      </w:pPr>
    </w:p>
    <w:p w:rsidR="00AC23B4" w:rsidRDefault="00AC23B4" w:rsidP="00AC23B4">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Pr>
          <w:rFonts w:ascii="Arial" w:hAnsi="Arial" w:cs="Arial"/>
        </w:rPr>
        <w:t xml:space="preserve">El </w:t>
      </w:r>
      <w:r w:rsidR="00972EBA">
        <w:rPr>
          <w:rFonts w:ascii="Arial" w:hAnsi="Arial" w:cs="Arial"/>
          <w:szCs w:val="24"/>
        </w:rPr>
        <w:t>DM51 de Bogotá</w:t>
      </w:r>
      <w:r w:rsidRPr="0050145C">
        <w:rPr>
          <w:rFonts w:ascii="Arial" w:hAnsi="Arial"/>
          <w:szCs w:val="24"/>
        </w:rPr>
        <w:t>, viola o amena</w:t>
      </w:r>
      <w:r>
        <w:rPr>
          <w:rFonts w:ascii="Arial" w:hAnsi="Arial"/>
          <w:szCs w:val="24"/>
        </w:rPr>
        <w:t>za</w:t>
      </w:r>
      <w:r w:rsidRPr="0050145C">
        <w:rPr>
          <w:rFonts w:ascii="Arial" w:hAnsi="Arial"/>
          <w:szCs w:val="24"/>
        </w:rPr>
        <w:t xml:space="preserve"> </w:t>
      </w:r>
      <w:r>
        <w:rPr>
          <w:rFonts w:ascii="Arial" w:hAnsi="Arial"/>
          <w:szCs w:val="24"/>
        </w:rPr>
        <w:t>e</w:t>
      </w:r>
      <w:r w:rsidRPr="0050145C">
        <w:rPr>
          <w:rFonts w:ascii="Arial" w:hAnsi="Arial"/>
          <w:szCs w:val="24"/>
        </w:rPr>
        <w:t>l derecho fundamental alegado por la parte accionante, según los hechos expuestos en la petición de tutela</w:t>
      </w:r>
      <w:r w:rsidRPr="0050145C">
        <w:rPr>
          <w:rFonts w:ascii="Arial" w:hAnsi="Arial" w:cs="Arial"/>
          <w:szCs w:val="24"/>
        </w:rPr>
        <w:t>?</w:t>
      </w:r>
    </w:p>
    <w:p w:rsidR="003F420F" w:rsidRDefault="003F420F" w:rsidP="00AC23B4">
      <w:pPr>
        <w:pStyle w:val="Textoindependiente"/>
        <w:tabs>
          <w:tab w:val="clear" w:pos="708"/>
          <w:tab w:val="clear" w:pos="1416"/>
          <w:tab w:val="left" w:pos="709"/>
          <w:tab w:val="left" w:pos="1418"/>
        </w:tabs>
        <w:spacing w:line="360" w:lineRule="auto"/>
        <w:rPr>
          <w:rFonts w:ascii="Arial" w:hAnsi="Arial" w:cs="Arial"/>
          <w:szCs w:val="24"/>
        </w:rPr>
      </w:pPr>
    </w:p>
    <w:p w:rsidR="00CE2303" w:rsidRDefault="00AC23B4" w:rsidP="00CE2303">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7.4.</w:t>
      </w:r>
      <w:r>
        <w:rPr>
          <w:rFonts w:ascii="Arial" w:hAnsi="Arial"/>
          <w:szCs w:val="24"/>
        </w:rPr>
        <w:tab/>
      </w:r>
      <w:r w:rsidR="00CE2303" w:rsidRPr="00333FB6">
        <w:rPr>
          <w:rFonts w:ascii="Arial" w:hAnsi="Arial"/>
          <w:szCs w:val="24"/>
        </w:rPr>
        <w:t>La resolución del problema jurídico</w:t>
      </w:r>
    </w:p>
    <w:p w:rsidR="00CE2303" w:rsidRDefault="00CE2303" w:rsidP="00CE2303">
      <w:pPr>
        <w:pStyle w:val="Textoindependiente"/>
        <w:tabs>
          <w:tab w:val="clear" w:pos="708"/>
          <w:tab w:val="clear" w:pos="1416"/>
          <w:tab w:val="left" w:pos="709"/>
          <w:tab w:val="left" w:pos="1418"/>
        </w:tabs>
        <w:spacing w:line="360" w:lineRule="auto"/>
        <w:rPr>
          <w:rFonts w:ascii="Arial" w:hAnsi="Arial"/>
          <w:szCs w:val="24"/>
        </w:rPr>
      </w:pPr>
    </w:p>
    <w:p w:rsidR="00CE2303" w:rsidRPr="00CF128F" w:rsidRDefault="00CE2303" w:rsidP="00CE2303">
      <w:pPr>
        <w:pStyle w:val="Textoindependiente"/>
        <w:numPr>
          <w:ilvl w:val="2"/>
          <w:numId w:val="27"/>
        </w:numPr>
        <w:spacing w:line="360" w:lineRule="auto"/>
        <w:rPr>
          <w:rFonts w:ascii="Arial" w:hAnsi="Arial" w:cs="Arial"/>
          <w:szCs w:val="24"/>
        </w:rPr>
      </w:pPr>
      <w:r w:rsidRPr="00CF128F">
        <w:rPr>
          <w:rFonts w:ascii="Arial" w:hAnsi="Arial" w:cs="Arial"/>
          <w:szCs w:val="24"/>
        </w:rPr>
        <w:t>Los requisitos de procedencia de la acción: inmediatez y subsidiariedad</w:t>
      </w:r>
    </w:p>
    <w:p w:rsidR="00CE2303" w:rsidRDefault="00CE2303" w:rsidP="00CE2303">
      <w:pPr>
        <w:spacing w:line="360" w:lineRule="auto"/>
        <w:jc w:val="both"/>
        <w:rPr>
          <w:rFonts w:ascii="Arial" w:hAnsi="Arial" w:cs="Arial"/>
          <w:noProof/>
          <w:lang w:val="es-ES_tradnl"/>
        </w:rPr>
      </w:pPr>
    </w:p>
    <w:p w:rsidR="000953D2" w:rsidRPr="0098589D" w:rsidRDefault="000953D2" w:rsidP="000953D2">
      <w:pPr>
        <w:spacing w:line="360" w:lineRule="auto"/>
        <w:jc w:val="both"/>
        <w:rPr>
          <w:rFonts w:ascii="Arial" w:hAnsi="Arial" w:cs="Arial"/>
        </w:rPr>
      </w:pPr>
      <w:r w:rsidRPr="00F31B69">
        <w:rPr>
          <w:rFonts w:ascii="Arial" w:hAnsi="Arial" w:cs="Arial"/>
          <w:noProof/>
          <w:lang w:val="es-ES_tradnl"/>
        </w:rPr>
        <w:t>N</w:t>
      </w:r>
      <w:r w:rsidRPr="0098589D">
        <w:rPr>
          <w:rFonts w:ascii="Arial" w:hAnsi="Arial" w:cs="Arial"/>
          <w:noProof/>
        </w:rPr>
        <w:t xml:space="preserve">uestra Corte Constitucional tiene establecido que la subsidiariedad e inmediatez, son exigencias generales de procedencia de la acción de tutela, ha sido tradicionalmente una condición necesaria para el conocimiento de fondo de las solicitudes de protección de derechos fundamentales, por vía excepcional.  </w:t>
      </w:r>
      <w:r w:rsidRPr="0098589D">
        <w:rPr>
          <w:rFonts w:ascii="Arial" w:hAnsi="Arial" w:cs="Arial"/>
        </w:rPr>
        <w:t xml:space="preserve">Se considera también que es </w:t>
      </w:r>
      <w:r>
        <w:rPr>
          <w:rFonts w:ascii="Arial" w:hAnsi="Arial" w:cs="Arial"/>
        </w:rPr>
        <w:t xml:space="preserve">vía </w:t>
      </w:r>
      <w:r w:rsidRPr="0098589D">
        <w:rPr>
          <w:rFonts w:ascii="Arial" w:hAnsi="Arial" w:cs="Arial"/>
        </w:rPr>
        <w:t>procesal supletori</w:t>
      </w:r>
      <w:r>
        <w:rPr>
          <w:rFonts w:ascii="Arial" w:hAnsi="Arial" w:cs="Arial"/>
        </w:rPr>
        <w:t>a</w:t>
      </w:r>
      <w:r w:rsidRPr="0098589D">
        <w:rPr>
          <w:rFonts w:ascii="Arial" w:hAnsi="Arial" w:cs="Arial"/>
        </w:rPr>
        <w:t xml:space="preserve"> de los me</w:t>
      </w:r>
      <w:r>
        <w:rPr>
          <w:rFonts w:ascii="Arial" w:hAnsi="Arial" w:cs="Arial"/>
        </w:rPr>
        <w:t xml:space="preserve">dios </w:t>
      </w:r>
      <w:r w:rsidRPr="0098589D">
        <w:rPr>
          <w:rFonts w:ascii="Arial" w:hAnsi="Arial" w:cs="Arial"/>
        </w:rPr>
        <w:t>habituales, frente a la falta de idoneidad del mecanismo ordinario de protección, circunstancia ligada a la inminencia del perjuicio irremediable.  Evento en el cual su carácter protector permite convertirlo en herramienta transitoria de amparo.</w:t>
      </w:r>
    </w:p>
    <w:p w:rsidR="000953D2" w:rsidRDefault="000953D2" w:rsidP="000953D2">
      <w:pPr>
        <w:spacing w:line="360" w:lineRule="auto"/>
        <w:jc w:val="both"/>
        <w:rPr>
          <w:rFonts w:ascii="Arial" w:hAnsi="Arial" w:cs="Arial"/>
        </w:rPr>
      </w:pPr>
    </w:p>
    <w:p w:rsidR="000953D2" w:rsidRDefault="000953D2" w:rsidP="000953D2">
      <w:pPr>
        <w:spacing w:line="360" w:lineRule="auto"/>
        <w:jc w:val="both"/>
        <w:rPr>
          <w:rFonts w:ascii="Arial" w:hAnsi="Arial" w:cs="Arial"/>
        </w:rPr>
      </w:pPr>
      <w:r>
        <w:rPr>
          <w:rFonts w:ascii="Arial" w:hAnsi="Arial" w:cs="Arial"/>
        </w:rPr>
        <w:t>7.4.2. La inmediatez</w:t>
      </w:r>
    </w:p>
    <w:p w:rsidR="000953D2" w:rsidRPr="0098589D" w:rsidRDefault="000953D2" w:rsidP="000953D2">
      <w:pPr>
        <w:spacing w:line="360" w:lineRule="auto"/>
        <w:jc w:val="both"/>
        <w:rPr>
          <w:rFonts w:ascii="Arial" w:hAnsi="Arial" w:cs="Arial"/>
        </w:rPr>
      </w:pPr>
    </w:p>
    <w:p w:rsidR="000953D2" w:rsidRDefault="000953D2" w:rsidP="000953D2">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2"/>
      </w:r>
      <w:r w:rsidRPr="0098589D">
        <w:rPr>
          <w:rFonts w:ascii="Arial" w:hAnsi="Arial" w:cs="Arial"/>
        </w:rPr>
        <w:t>, y también de la Corte Suprema de Justicia</w:t>
      </w:r>
      <w:r w:rsidRPr="0098589D">
        <w:rPr>
          <w:rStyle w:val="Refdenotaalpie"/>
          <w:rFonts w:ascii="Calibri" w:hAnsi="Calibri" w:cs="Calibri"/>
        </w:rPr>
        <w:footnoteReference w:id="3"/>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0953D2" w:rsidRPr="0098589D" w:rsidRDefault="000953D2" w:rsidP="000953D2">
      <w:pPr>
        <w:spacing w:line="360" w:lineRule="auto"/>
        <w:jc w:val="both"/>
        <w:rPr>
          <w:rFonts w:ascii="Arial" w:hAnsi="Arial" w:cs="Arial"/>
          <w:u w:val="single"/>
        </w:rPr>
      </w:pPr>
    </w:p>
    <w:p w:rsidR="000953D2" w:rsidRPr="006D5F73" w:rsidRDefault="000953D2" w:rsidP="000953D2">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Habida consideración de la significación del principio de inmediatez, ha concluido en recientes decisiones nuestro Alto Tribunal</w:t>
      </w:r>
      <w:r w:rsidRPr="006D5F73">
        <w:rPr>
          <w:rFonts w:ascii="Arial" w:hAnsi="Arial" w:cs="Arial"/>
        </w:rPr>
        <w:t xml:space="preserve">, que la “OPORTUNIDAD”, </w:t>
      </w:r>
      <w:r w:rsidRPr="006D5F73">
        <w:rPr>
          <w:rFonts w:ascii="Arial" w:hAnsi="Arial" w:cs="Arial"/>
          <w:u w:val="single"/>
        </w:rPr>
        <w:t>es un requisito de procedibilidad esencial para el ejercicio del amparo constitucional</w:t>
      </w:r>
      <w:r w:rsidRPr="006D5F73">
        <w:rPr>
          <w:rStyle w:val="Refdenotaalpie"/>
          <w:rFonts w:ascii="Calibri" w:hAnsi="Calibri" w:cs="Calibri"/>
        </w:rPr>
        <w:footnoteReference w:id="4"/>
      </w:r>
      <w:r w:rsidRPr="006D5F73">
        <w:rPr>
          <w:rFonts w:ascii="Arial" w:hAnsi="Arial" w:cs="Arial"/>
        </w:rPr>
        <w:t>. Así mismo lo ha señalado la Corte Suprema de Justicia en sus Salas de Casación Penal</w:t>
      </w:r>
      <w:r w:rsidRPr="006D5F73">
        <w:rPr>
          <w:rStyle w:val="Refdenotaalpie"/>
          <w:rFonts w:ascii="Arial" w:hAnsi="Arial"/>
        </w:rPr>
        <w:footnoteReference w:id="5"/>
      </w:r>
      <w:r w:rsidRPr="006D5F73">
        <w:rPr>
          <w:rFonts w:ascii="Arial" w:hAnsi="Arial" w:cs="Arial"/>
        </w:rPr>
        <w:t xml:space="preserve"> y de Casación Civil</w:t>
      </w:r>
      <w:r w:rsidRPr="006D5F73">
        <w:rPr>
          <w:rStyle w:val="Refdenotaalpie"/>
          <w:rFonts w:ascii="Arial" w:hAnsi="Arial" w:cs="Arial"/>
        </w:rPr>
        <w:footnoteReference w:id="6"/>
      </w:r>
      <w:r w:rsidRPr="006D5F73">
        <w:rPr>
          <w:rFonts w:ascii="Arial" w:hAnsi="Arial" w:cs="Arial"/>
        </w:rPr>
        <w:t xml:space="preserve"> que en reciente providencia </w:t>
      </w:r>
      <w:r w:rsidR="00C9008E">
        <w:rPr>
          <w:rFonts w:ascii="Arial" w:hAnsi="Arial" w:cs="Arial"/>
        </w:rPr>
        <w:t>reiteró</w:t>
      </w:r>
      <w:r w:rsidRPr="006D5F73">
        <w:rPr>
          <w:rFonts w:ascii="Arial" w:hAnsi="Arial" w:cs="Arial"/>
        </w:rPr>
        <w:t xml:space="preserve">: </w:t>
      </w:r>
    </w:p>
    <w:p w:rsidR="000953D2" w:rsidRPr="006D5F73" w:rsidRDefault="000953D2" w:rsidP="000953D2">
      <w:pPr>
        <w:spacing w:line="360" w:lineRule="auto"/>
        <w:ind w:right="22"/>
        <w:jc w:val="both"/>
        <w:rPr>
          <w:rFonts w:ascii="Arial" w:hAnsi="Arial" w:cs="Arial"/>
        </w:rPr>
      </w:pPr>
    </w:p>
    <w:p w:rsidR="00C9008E" w:rsidRPr="00C9008E" w:rsidRDefault="00C9008E" w:rsidP="00C9008E">
      <w:pPr>
        <w:ind w:left="720" w:right="618"/>
        <w:jc w:val="both"/>
        <w:rPr>
          <w:rFonts w:ascii="Arial" w:hAnsi="Arial" w:cs="Arial"/>
          <w:iCs/>
        </w:rPr>
      </w:pPr>
      <w:r w:rsidRPr="00C9008E">
        <w:rPr>
          <w:rFonts w:ascii="Arial" w:hAnsi="Arial" w:cs="Arial"/>
          <w:iCs/>
        </w:rPr>
        <w:t xml:space="preserve">…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rsidR="00C9008E" w:rsidRPr="00C9008E" w:rsidRDefault="00C9008E" w:rsidP="00C9008E">
      <w:pPr>
        <w:ind w:left="720" w:right="618"/>
        <w:jc w:val="both"/>
        <w:rPr>
          <w:rFonts w:ascii="Arial" w:hAnsi="Arial" w:cs="Arial"/>
          <w:iCs/>
        </w:rPr>
      </w:pPr>
    </w:p>
    <w:p w:rsidR="000953D2" w:rsidRPr="00C9008E" w:rsidRDefault="00C9008E" w:rsidP="00C9008E">
      <w:pPr>
        <w:ind w:left="720" w:right="618"/>
        <w:jc w:val="both"/>
        <w:rPr>
          <w:rFonts w:ascii="Bookman Old Style" w:hAnsi="Bookman Old Style" w:cs="Arial"/>
          <w:iCs/>
        </w:rPr>
      </w:pPr>
      <w:r w:rsidRPr="00C9008E">
        <w:rPr>
          <w:rFonts w:ascii="Arial" w:hAnsi="Arial" w:cs="Arial"/>
          <w:iCs/>
        </w:rPr>
        <w:t xml:space="preserve">Precisamente, en orden a procurar el cumplimiento del memorado requisito, </w:t>
      </w:r>
      <w:r w:rsidRPr="00C9008E">
        <w:rPr>
          <w:rFonts w:ascii="Arial" w:hAnsi="Arial" w:cs="Arial"/>
          <w:iCs/>
          <w:u w:val="single"/>
        </w:rPr>
        <w:t>la Sala en reiterados pronunciamientos ha considerado por término razonable para la interposición de la acción el de seis meses</w:t>
      </w:r>
      <w:r w:rsidRPr="00C9008E">
        <w:rPr>
          <w:rFonts w:ascii="Arial" w:hAnsi="Arial" w:cs="Arial"/>
          <w:iCs/>
        </w:rPr>
        <w:t>.</w:t>
      </w:r>
      <w:r w:rsidR="00B05F74">
        <w:rPr>
          <w:rFonts w:ascii="Arial" w:hAnsi="Arial" w:cs="Arial"/>
        </w:rPr>
        <w:t xml:space="preserve"> </w:t>
      </w:r>
      <w:r w:rsidR="000953D2">
        <w:rPr>
          <w:rFonts w:ascii="Arial" w:hAnsi="Arial" w:cs="Arial"/>
        </w:rPr>
        <w:t>Sublínea de esta S</w:t>
      </w:r>
      <w:r w:rsidR="000953D2" w:rsidRPr="006D5F73">
        <w:rPr>
          <w:rFonts w:ascii="Arial" w:hAnsi="Arial" w:cs="Arial"/>
        </w:rPr>
        <w:t>ala.</w:t>
      </w:r>
    </w:p>
    <w:p w:rsidR="000953D2" w:rsidRPr="006D5F73" w:rsidRDefault="000953D2" w:rsidP="000953D2">
      <w:pPr>
        <w:spacing w:line="360" w:lineRule="auto"/>
        <w:ind w:right="22"/>
        <w:jc w:val="both"/>
        <w:rPr>
          <w:rFonts w:ascii="Arial" w:hAnsi="Arial" w:cs="Arial"/>
        </w:rPr>
      </w:pPr>
    </w:p>
    <w:p w:rsidR="000953D2" w:rsidRPr="006D5F73" w:rsidRDefault="000953D2" w:rsidP="000953D2">
      <w:pPr>
        <w:spacing w:line="360" w:lineRule="auto"/>
        <w:ind w:right="22"/>
        <w:jc w:val="both"/>
        <w:rPr>
          <w:rFonts w:ascii="Arial" w:hAnsi="Arial" w:cs="Arial"/>
        </w:rPr>
      </w:pPr>
      <w:r w:rsidRPr="006D5F73">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0953D2" w:rsidRPr="006D5F73" w:rsidRDefault="000953D2" w:rsidP="000953D2">
      <w:pPr>
        <w:spacing w:line="360" w:lineRule="auto"/>
        <w:ind w:right="22"/>
        <w:jc w:val="both"/>
        <w:rPr>
          <w:rFonts w:ascii="Arial" w:hAnsi="Arial" w:cs="Arial"/>
        </w:rPr>
      </w:pPr>
    </w:p>
    <w:p w:rsidR="000953D2" w:rsidRPr="006D5F73" w:rsidRDefault="000953D2" w:rsidP="000953D2">
      <w:pPr>
        <w:spacing w:line="360" w:lineRule="auto"/>
        <w:ind w:right="22"/>
        <w:jc w:val="both"/>
        <w:rPr>
          <w:rFonts w:ascii="Arial" w:hAnsi="Arial" w:cs="Arial"/>
        </w:rPr>
      </w:pPr>
      <w:r w:rsidRPr="006D5F73">
        <w:rPr>
          <w:rFonts w:ascii="Arial" w:hAnsi="Arial" w:cs="Arial"/>
        </w:rPr>
        <w:t>Los aspectos acabados de reseñar, fueron precisados en una decisión del 2006 de la Corte Constitucional</w:t>
      </w:r>
      <w:r w:rsidRPr="006D5F73">
        <w:rPr>
          <w:rStyle w:val="Refdenotaalpie"/>
          <w:rFonts w:ascii="Arial" w:hAnsi="Arial" w:cs="Arial"/>
        </w:rPr>
        <w:footnoteReference w:id="7"/>
      </w:r>
      <w:r w:rsidRPr="006D5F73">
        <w:rPr>
          <w:rFonts w:ascii="Arial" w:hAnsi="Arial" w:cs="Arial"/>
        </w:rPr>
        <w:t>, con apoyo en un precedente anterior de 2003</w:t>
      </w:r>
      <w:r w:rsidRPr="006D5F73">
        <w:rPr>
          <w:rStyle w:val="Refdenotaalpie"/>
          <w:rFonts w:ascii="Arial" w:hAnsi="Arial" w:cs="Arial"/>
        </w:rPr>
        <w:footnoteReference w:id="8"/>
      </w:r>
      <w:r w:rsidRPr="006D5F73">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6D5F73">
        <w:rPr>
          <w:rStyle w:val="Refdenotaalpie"/>
          <w:rFonts w:ascii="Arial" w:hAnsi="Arial" w:cs="Arial"/>
        </w:rPr>
        <w:footnoteReference w:id="9"/>
      </w:r>
      <w:r w:rsidRPr="006D5F73">
        <w:rPr>
          <w:rFonts w:ascii="Arial" w:hAnsi="Arial" w:cs="Arial"/>
        </w:rPr>
        <w:t>.</w:t>
      </w:r>
    </w:p>
    <w:p w:rsidR="000953D2" w:rsidRPr="006D5F73" w:rsidRDefault="000953D2" w:rsidP="000953D2">
      <w:pPr>
        <w:spacing w:line="360" w:lineRule="auto"/>
        <w:ind w:right="22"/>
        <w:jc w:val="both"/>
        <w:rPr>
          <w:rFonts w:ascii="Arial" w:hAnsi="Arial" w:cs="Arial"/>
        </w:rPr>
      </w:pPr>
    </w:p>
    <w:p w:rsidR="000953D2" w:rsidRPr="006D5F73" w:rsidRDefault="000953D2" w:rsidP="000953D2">
      <w:pPr>
        <w:spacing w:line="360" w:lineRule="auto"/>
        <w:jc w:val="both"/>
        <w:rPr>
          <w:rFonts w:ascii="Arial" w:hAnsi="Arial" w:cs="Arial"/>
          <w:lang w:val="es-ES_tradnl"/>
        </w:rPr>
      </w:pPr>
      <w:r w:rsidRPr="006D5F73">
        <w:rPr>
          <w:rFonts w:ascii="Arial" w:hAnsi="Arial" w:cs="Arial"/>
          <w:lang w:val="es-ES_tradnl"/>
        </w:rPr>
        <w:t>En reciente providencia</w:t>
      </w:r>
      <w:r w:rsidRPr="006D5F73">
        <w:rPr>
          <w:rStyle w:val="Refdenotaalpie"/>
          <w:rFonts w:ascii="Arial" w:hAnsi="Arial" w:cs="Arial"/>
          <w:lang w:val="es-ES_tradnl"/>
        </w:rPr>
        <w:footnoteReference w:id="10"/>
      </w:r>
      <w:r>
        <w:rPr>
          <w:rFonts w:ascii="Arial" w:hAnsi="Arial" w:cs="Arial"/>
          <w:lang w:val="es-ES_tradnl"/>
        </w:rPr>
        <w:t xml:space="preserve"> </w:t>
      </w:r>
      <w:r w:rsidRPr="006D5F73">
        <w:rPr>
          <w:rFonts w:ascii="Arial" w:hAnsi="Arial" w:cs="Arial"/>
          <w:lang w:val="es-ES_tradnl"/>
        </w:rPr>
        <w:t>(2015) nuestro órgano de cierre en la especialidad constitucional, ratificó el pensamiento traído en su larga línea jurisprudencial, y resaltó las razones que fundamenta el factor “inmediatez” como presupuesto de procedibilidad, así acotó:</w:t>
      </w:r>
    </w:p>
    <w:p w:rsidR="000953D2" w:rsidRPr="006D5F73" w:rsidRDefault="000953D2" w:rsidP="000953D2">
      <w:pPr>
        <w:ind w:left="567"/>
        <w:jc w:val="both"/>
        <w:rPr>
          <w:rFonts w:ascii="Arial" w:hAnsi="Arial" w:cs="Arial"/>
          <w:lang w:val="es-ES_tradnl"/>
        </w:rPr>
      </w:pPr>
    </w:p>
    <w:p w:rsidR="000953D2" w:rsidRPr="006D5F73" w:rsidRDefault="000953D2" w:rsidP="000953D2">
      <w:pPr>
        <w:tabs>
          <w:tab w:val="left" w:pos="1979"/>
        </w:tabs>
        <w:ind w:left="567" w:right="567"/>
        <w:jc w:val="both"/>
        <w:rPr>
          <w:rFonts w:ascii="Arial" w:hAnsi="Arial" w:cs="Arial"/>
          <w:sz w:val="28"/>
          <w:lang w:val="es-ES_tradnl"/>
        </w:rPr>
      </w:pPr>
      <w:r w:rsidRPr="006D5F73">
        <w:rPr>
          <w:rFonts w:ascii="Arial" w:hAnsi="Arial" w:cs="Arial"/>
          <w:szCs w:val="28"/>
          <w:shd w:val="clear" w:color="auto" w:fill="FFFFFF"/>
        </w:rPr>
        <w:t xml:space="preserve">… la Corte reiteró que la </w:t>
      </w:r>
      <w:r w:rsidRPr="006D5F73">
        <w:rPr>
          <w:rFonts w:ascii="Arial" w:hAnsi="Arial" w:cs="Arial"/>
          <w:szCs w:val="28"/>
          <w:u w:val="single"/>
          <w:shd w:val="clear" w:color="auto" w:fill="FFFFFF"/>
        </w:rPr>
        <w:t>exigencia de presentar la acción de tutela en un término razonable, se debe a la necesidad de</w:t>
      </w:r>
      <w:r w:rsidRPr="006D5F73">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supletiva de la propia negligencia en la agencia de los derechos. </w:t>
      </w:r>
    </w:p>
    <w:p w:rsidR="000953D2" w:rsidRPr="006D5F73" w:rsidRDefault="000953D2" w:rsidP="000953D2">
      <w:pPr>
        <w:pStyle w:val="Textoindependiente"/>
        <w:spacing w:line="240" w:lineRule="auto"/>
        <w:ind w:left="567" w:right="567"/>
        <w:rPr>
          <w:rFonts w:ascii="Arial" w:hAnsi="Arial" w:cs="Arial"/>
          <w:sz w:val="22"/>
          <w:szCs w:val="24"/>
        </w:rPr>
      </w:pPr>
    </w:p>
    <w:p w:rsidR="000953D2" w:rsidRPr="006D5F73" w:rsidRDefault="000953D2" w:rsidP="000953D2">
      <w:pPr>
        <w:pStyle w:val="Textoindependiente"/>
        <w:spacing w:line="240" w:lineRule="auto"/>
        <w:ind w:left="567" w:right="567"/>
        <w:rPr>
          <w:rFonts w:ascii="Arial" w:hAnsi="Arial" w:cs="Arial"/>
          <w:sz w:val="22"/>
          <w:szCs w:val="24"/>
        </w:rPr>
      </w:pPr>
      <w:r w:rsidRPr="006D5F73">
        <w:rPr>
          <w:rFonts w:ascii="Arial" w:hAnsi="Arial" w:cs="Arial"/>
          <w:sz w:val="22"/>
          <w:szCs w:val="24"/>
        </w:rPr>
        <w:t xml:space="preserve">(…) </w:t>
      </w:r>
    </w:p>
    <w:p w:rsidR="000953D2" w:rsidRPr="006D5F73" w:rsidRDefault="000953D2" w:rsidP="000953D2">
      <w:pPr>
        <w:pStyle w:val="Textoindependiente"/>
        <w:spacing w:line="240" w:lineRule="auto"/>
        <w:ind w:left="567" w:right="567"/>
        <w:rPr>
          <w:rFonts w:ascii="Arial" w:hAnsi="Arial" w:cs="Arial"/>
          <w:sz w:val="22"/>
          <w:szCs w:val="24"/>
        </w:rPr>
      </w:pPr>
    </w:p>
    <w:p w:rsidR="000953D2" w:rsidRPr="006D5F73" w:rsidRDefault="000953D2" w:rsidP="000953D2">
      <w:pPr>
        <w:tabs>
          <w:tab w:val="left" w:pos="1979"/>
        </w:tabs>
        <w:ind w:left="567" w:right="567"/>
        <w:jc w:val="both"/>
        <w:rPr>
          <w:rFonts w:ascii="Arial" w:hAnsi="Arial" w:cs="Arial"/>
          <w:sz w:val="28"/>
          <w:lang w:val="es-ES_tradnl"/>
        </w:rPr>
      </w:pPr>
      <w:r w:rsidRPr="006D5F73">
        <w:rPr>
          <w:rFonts w:ascii="Arial" w:hAnsi="Arial" w:cs="Arial"/>
          <w:szCs w:val="28"/>
          <w:shd w:val="clear" w:color="auto" w:fill="FFFFFF"/>
        </w:rPr>
        <w:t xml:space="preserve">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sidRPr="006D5F73">
        <w:rPr>
          <w:rFonts w:ascii="Arial" w:hAnsi="Arial" w:cs="Arial"/>
          <w:lang w:val="es-CO"/>
        </w:rPr>
        <w:t>La sublínea de este Tribunal.</w:t>
      </w:r>
    </w:p>
    <w:p w:rsidR="00CE2303" w:rsidRDefault="00CE2303" w:rsidP="00CE2303">
      <w:pPr>
        <w:spacing w:line="360" w:lineRule="auto"/>
        <w:ind w:right="51"/>
        <w:jc w:val="both"/>
        <w:rPr>
          <w:rFonts w:ascii="Arial" w:hAnsi="Arial"/>
        </w:rPr>
      </w:pPr>
    </w:p>
    <w:p w:rsidR="00AC23B4" w:rsidRPr="008E6F7C" w:rsidRDefault="00AC23B4" w:rsidP="008E6F7C">
      <w:pPr>
        <w:pStyle w:val="Prrafodelista"/>
        <w:numPr>
          <w:ilvl w:val="2"/>
          <w:numId w:val="27"/>
        </w:numPr>
        <w:spacing w:line="360" w:lineRule="auto"/>
        <w:jc w:val="both"/>
        <w:rPr>
          <w:rFonts w:ascii="Arial" w:hAnsi="Arial"/>
        </w:rPr>
      </w:pPr>
      <w:r w:rsidRPr="008E6F7C">
        <w:rPr>
          <w:rFonts w:ascii="Arial" w:hAnsi="Arial"/>
        </w:rPr>
        <w:t>El</w:t>
      </w:r>
      <w:r w:rsidRPr="008E6F7C">
        <w:rPr>
          <w:rFonts w:ascii="Arial" w:hAnsi="Arial"/>
          <w:lang w:val="es-ES_tradnl"/>
        </w:rPr>
        <w:t xml:space="preserve"> análisis del caso en concreto</w:t>
      </w:r>
    </w:p>
    <w:p w:rsidR="00AC23B4" w:rsidRPr="000A038F" w:rsidRDefault="00AC23B4" w:rsidP="00AC23B4">
      <w:pPr>
        <w:pStyle w:val="Prrafodelista"/>
        <w:spacing w:line="360" w:lineRule="auto"/>
        <w:ind w:left="720"/>
        <w:jc w:val="both"/>
        <w:rPr>
          <w:rFonts w:ascii="Arial" w:hAnsi="Arial"/>
          <w:lang w:val="es-ES_tradnl"/>
        </w:rPr>
      </w:pPr>
    </w:p>
    <w:p w:rsidR="00101196" w:rsidRDefault="00972EBA" w:rsidP="000953D2">
      <w:pPr>
        <w:pStyle w:val="Textoindependiente"/>
        <w:spacing w:line="360" w:lineRule="auto"/>
        <w:rPr>
          <w:rFonts w:ascii="Arial" w:hAnsi="Arial" w:cs="Arial"/>
        </w:rPr>
      </w:pPr>
      <w:r>
        <w:rPr>
          <w:rFonts w:ascii="Arial" w:hAnsi="Arial"/>
          <w:szCs w:val="24"/>
        </w:rPr>
        <w:t xml:space="preserve">Busca </w:t>
      </w:r>
      <w:r w:rsidRPr="00160026">
        <w:rPr>
          <w:rFonts w:ascii="Arial" w:hAnsi="Arial"/>
          <w:szCs w:val="24"/>
        </w:rPr>
        <w:t>el ac</w:t>
      </w:r>
      <w:r>
        <w:rPr>
          <w:rFonts w:ascii="Arial" w:hAnsi="Arial"/>
          <w:szCs w:val="24"/>
        </w:rPr>
        <w:t xml:space="preserve">tor </w:t>
      </w:r>
      <w:r w:rsidRPr="00160026">
        <w:rPr>
          <w:rFonts w:ascii="Arial" w:hAnsi="Arial"/>
          <w:szCs w:val="24"/>
        </w:rPr>
        <w:t xml:space="preserve">que se </w:t>
      </w:r>
      <w:r>
        <w:rPr>
          <w:rFonts w:ascii="Arial" w:hAnsi="Arial" w:cs="Arial"/>
          <w:szCs w:val="24"/>
        </w:rPr>
        <w:t xml:space="preserve">ordene a la accionada responder el derecho de petición presentado </w:t>
      </w:r>
      <w:r w:rsidR="000953D2">
        <w:rPr>
          <w:rFonts w:ascii="Arial" w:hAnsi="Arial" w:cs="Arial"/>
          <w:szCs w:val="24"/>
        </w:rPr>
        <w:t>el 20-08-2015 (Folios 10, 11 y 18, ib.) y expedir la libreta militar sin costo alguno.</w:t>
      </w:r>
      <w:r w:rsidR="000953D2" w:rsidRPr="000953D2">
        <w:rPr>
          <w:rFonts w:ascii="Arial" w:hAnsi="Arial" w:cs="Arial"/>
        </w:rPr>
        <w:t xml:space="preserve"> </w:t>
      </w:r>
    </w:p>
    <w:p w:rsidR="00101196" w:rsidRDefault="00101196" w:rsidP="000953D2">
      <w:pPr>
        <w:pStyle w:val="Textoindependiente"/>
        <w:spacing w:line="360" w:lineRule="auto"/>
        <w:rPr>
          <w:rFonts w:ascii="Arial" w:hAnsi="Arial" w:cs="Arial"/>
        </w:rPr>
      </w:pPr>
    </w:p>
    <w:p w:rsidR="000953D2" w:rsidRDefault="000953D2" w:rsidP="000953D2">
      <w:pPr>
        <w:pStyle w:val="Textoindependiente"/>
        <w:spacing w:line="360" w:lineRule="auto"/>
        <w:rPr>
          <w:rFonts w:ascii="Arial" w:hAnsi="Arial" w:cs="Arial"/>
        </w:rPr>
      </w:pPr>
      <w:r>
        <w:rPr>
          <w:rFonts w:ascii="Arial" w:hAnsi="Arial" w:cs="Arial"/>
        </w:rPr>
        <w:t>Tal fecha permite afirmar que la presente acción carece de inmediatez, pues su interposición desborda el plazo de los seis (6) meses fijado por la jurisprudencia tanto constitucional</w:t>
      </w:r>
      <w:r w:rsidRPr="0098589D">
        <w:rPr>
          <w:rStyle w:val="Refdenotaalpie"/>
          <w:rFonts w:ascii="Calibri" w:hAnsi="Calibri" w:cs="Calibri"/>
        </w:rPr>
        <w:footnoteReference w:id="11"/>
      </w:r>
      <w:r>
        <w:rPr>
          <w:rFonts w:ascii="Arial" w:hAnsi="Arial" w:cs="Arial"/>
        </w:rPr>
        <w:t xml:space="preserve"> como ordinaria</w:t>
      </w:r>
      <w:r>
        <w:rPr>
          <w:rStyle w:val="Refdenotaalpie"/>
          <w:rFonts w:ascii="Arial" w:hAnsi="Arial"/>
        </w:rPr>
        <w:footnoteReference w:id="12"/>
      </w:r>
      <w:r>
        <w:rPr>
          <w:rFonts w:ascii="Arial" w:hAnsi="Arial" w:cs="Arial"/>
        </w:rPr>
        <w:t xml:space="preserve">; como tiempo razonable para interponerla, ya que transcurrieron </w:t>
      </w:r>
      <w:r w:rsidR="00C625BB">
        <w:rPr>
          <w:rFonts w:ascii="Arial" w:hAnsi="Arial" w:cs="Arial"/>
        </w:rPr>
        <w:t xml:space="preserve">siete </w:t>
      </w:r>
      <w:r>
        <w:rPr>
          <w:rFonts w:ascii="Arial" w:hAnsi="Arial" w:cs="Arial"/>
        </w:rPr>
        <w:t>(</w:t>
      </w:r>
      <w:r w:rsidR="00C625BB">
        <w:rPr>
          <w:rFonts w:ascii="Arial" w:hAnsi="Arial" w:cs="Arial"/>
        </w:rPr>
        <w:t>7</w:t>
      </w:r>
      <w:r>
        <w:rPr>
          <w:rFonts w:ascii="Arial" w:hAnsi="Arial" w:cs="Arial"/>
        </w:rPr>
        <w:t xml:space="preserve">) </w:t>
      </w:r>
      <w:r w:rsidR="00C625BB">
        <w:rPr>
          <w:rFonts w:ascii="Arial" w:hAnsi="Arial" w:cs="Arial"/>
        </w:rPr>
        <w:t>meses desde la presentación de la petición</w:t>
      </w:r>
      <w:r>
        <w:rPr>
          <w:rFonts w:ascii="Arial" w:hAnsi="Arial" w:cs="Arial"/>
        </w:rPr>
        <w:t>.</w:t>
      </w:r>
    </w:p>
    <w:p w:rsidR="00C625BB" w:rsidRDefault="00C625BB" w:rsidP="00C625BB">
      <w:pPr>
        <w:spacing w:line="360" w:lineRule="auto"/>
        <w:ind w:right="45"/>
        <w:jc w:val="both"/>
        <w:rPr>
          <w:rFonts w:ascii="Arial" w:hAnsi="Arial" w:cs="Arial"/>
        </w:rPr>
      </w:pPr>
    </w:p>
    <w:p w:rsidR="00101196" w:rsidRDefault="00C625BB" w:rsidP="00101196">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13"/>
      </w:r>
      <w:r>
        <w:rPr>
          <w:rFonts w:ascii="Arial" w:hAnsi="Arial" w:cs="Arial"/>
        </w:rPr>
        <w:t>; circunstancias que no fueron expuestas ni probadas en el trámite. De igual forma, no se encuentra ni alegado ni probado, que el actor sea persona de especial protección constitucional</w:t>
      </w:r>
      <w:r>
        <w:rPr>
          <w:rStyle w:val="Refdenotaalpie"/>
          <w:rFonts w:ascii="Arial" w:hAnsi="Arial"/>
        </w:rPr>
        <w:footnoteReference w:id="14"/>
      </w:r>
      <w:r w:rsidR="00101196">
        <w:rPr>
          <w:rFonts w:ascii="Arial" w:hAnsi="Arial" w:cs="Arial"/>
        </w:rPr>
        <w:t>.</w:t>
      </w:r>
    </w:p>
    <w:p w:rsidR="00101196" w:rsidRDefault="00101196" w:rsidP="00101196">
      <w:pPr>
        <w:spacing w:line="360" w:lineRule="auto"/>
        <w:jc w:val="both"/>
        <w:rPr>
          <w:rFonts w:ascii="Arial" w:hAnsi="Arial" w:cs="Arial"/>
        </w:rPr>
      </w:pPr>
    </w:p>
    <w:p w:rsidR="00AC23B4" w:rsidRDefault="00AC23B4" w:rsidP="008D71BB">
      <w:pPr>
        <w:pStyle w:val="Textoindependiente"/>
        <w:numPr>
          <w:ilvl w:val="0"/>
          <w:numId w:val="2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AC23B4" w:rsidRPr="00BB12E8" w:rsidRDefault="00AC23B4" w:rsidP="00AC23B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85"/>
        <w:textAlignment w:val="auto"/>
        <w:rPr>
          <w:rFonts w:ascii="Arial" w:hAnsi="Arial" w:cs="Arial"/>
          <w:szCs w:val="24"/>
        </w:rPr>
      </w:pPr>
    </w:p>
    <w:p w:rsidR="00101196" w:rsidRDefault="00101196" w:rsidP="00101196">
      <w:pPr>
        <w:pStyle w:val="Textoindependiente"/>
        <w:spacing w:line="360" w:lineRule="auto"/>
        <w:rPr>
          <w:rFonts w:ascii="Arial" w:hAnsi="Arial" w:cs="Arial"/>
          <w:szCs w:val="24"/>
        </w:rPr>
      </w:pPr>
      <w:r>
        <w:rPr>
          <w:rFonts w:ascii="Arial" w:hAnsi="Arial" w:cs="Arial"/>
          <w:szCs w:val="24"/>
        </w:rPr>
        <w:t xml:space="preserve">Acorde </w:t>
      </w:r>
      <w:r w:rsidRPr="0070673A">
        <w:rPr>
          <w:rFonts w:ascii="Arial" w:hAnsi="Arial" w:cs="Arial"/>
          <w:szCs w:val="24"/>
        </w:rPr>
        <w:t xml:space="preserve">con las premisas expuestas en los acápites anteriores se declarará la improcedencia de la presente acción </w:t>
      </w:r>
      <w:r>
        <w:rPr>
          <w:rFonts w:ascii="Arial" w:hAnsi="Arial" w:cs="Arial"/>
          <w:szCs w:val="24"/>
        </w:rPr>
        <w:t xml:space="preserve">ante </w:t>
      </w:r>
      <w:r w:rsidRPr="0070673A">
        <w:rPr>
          <w:rFonts w:ascii="Arial" w:hAnsi="Arial" w:cs="Arial"/>
          <w:szCs w:val="24"/>
        </w:rPr>
        <w:t xml:space="preserve">el incumplimiento del requisito de inmediatez.  </w:t>
      </w:r>
    </w:p>
    <w:p w:rsidR="00101196" w:rsidRPr="0070673A" w:rsidRDefault="00101196" w:rsidP="00101196">
      <w:pPr>
        <w:pStyle w:val="Textoindependiente"/>
        <w:spacing w:line="360" w:lineRule="auto"/>
        <w:rPr>
          <w:rFonts w:ascii="Arial" w:hAnsi="Arial" w:cs="Arial"/>
          <w:szCs w:val="24"/>
          <w:lang w:val="es-ES"/>
        </w:rPr>
      </w:pPr>
    </w:p>
    <w:p w:rsidR="00101196" w:rsidRDefault="00101196" w:rsidP="00101196">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101196" w:rsidRDefault="00101196" w:rsidP="00101196">
      <w:pPr>
        <w:tabs>
          <w:tab w:val="left" w:pos="-720"/>
        </w:tabs>
        <w:suppressAutoHyphens/>
        <w:spacing w:line="360" w:lineRule="auto"/>
        <w:jc w:val="both"/>
        <w:rPr>
          <w:rFonts w:ascii="Arial" w:hAnsi="Arial" w:cs="Arial"/>
        </w:rPr>
      </w:pPr>
    </w:p>
    <w:p w:rsidR="00101196" w:rsidRPr="0070673A" w:rsidRDefault="00101196" w:rsidP="00101196">
      <w:pPr>
        <w:pStyle w:val="Textoindependiente"/>
        <w:spacing w:line="360" w:lineRule="auto"/>
        <w:jc w:val="center"/>
        <w:rPr>
          <w:rFonts w:ascii="Arial" w:hAnsi="Arial" w:cs="Arial"/>
          <w:smallCaps/>
          <w:szCs w:val="24"/>
        </w:rPr>
      </w:pPr>
      <w:r w:rsidRPr="0070673A">
        <w:rPr>
          <w:rFonts w:ascii="Arial" w:hAnsi="Arial" w:cs="Arial"/>
          <w:smallCaps/>
          <w:szCs w:val="24"/>
        </w:rPr>
        <w:t>F A L L A,</w:t>
      </w:r>
    </w:p>
    <w:p w:rsidR="00101196" w:rsidRPr="0070673A" w:rsidRDefault="00101196" w:rsidP="00101196">
      <w:pPr>
        <w:pStyle w:val="Textoindependiente"/>
        <w:spacing w:line="360" w:lineRule="auto"/>
        <w:jc w:val="center"/>
        <w:rPr>
          <w:rFonts w:ascii="Arial" w:hAnsi="Arial" w:cs="Arial"/>
          <w:smallCaps/>
          <w:szCs w:val="24"/>
        </w:rPr>
      </w:pPr>
    </w:p>
    <w:p w:rsidR="00101196" w:rsidRPr="00FA1A01" w:rsidRDefault="00101196" w:rsidP="00101196">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DECLARAR improcedente la tutela por incumplimiento del requisito de inmediatez.</w:t>
      </w:r>
    </w:p>
    <w:p w:rsidR="00101196" w:rsidRPr="00FA1A01" w:rsidRDefault="00101196" w:rsidP="00101196">
      <w:pPr>
        <w:pStyle w:val="Textoindependiente"/>
        <w:tabs>
          <w:tab w:val="clear" w:pos="708"/>
        </w:tabs>
        <w:spacing w:line="360" w:lineRule="auto"/>
        <w:ind w:left="357"/>
        <w:rPr>
          <w:rFonts w:ascii="Arial" w:hAnsi="Arial" w:cs="Arial"/>
          <w:szCs w:val="24"/>
        </w:rPr>
      </w:pPr>
    </w:p>
    <w:p w:rsidR="00101196" w:rsidRPr="00FA1A01" w:rsidRDefault="00101196" w:rsidP="00101196">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NOTIFICAR esta decisión a todas las partes, por el medio más expedito y eficaz.</w:t>
      </w:r>
    </w:p>
    <w:p w:rsidR="00101196" w:rsidRPr="00FA1A01" w:rsidRDefault="00101196" w:rsidP="00101196">
      <w:pPr>
        <w:pStyle w:val="Textoindependiente"/>
        <w:tabs>
          <w:tab w:val="clear" w:pos="708"/>
        </w:tabs>
        <w:spacing w:line="360" w:lineRule="auto"/>
        <w:ind w:left="357"/>
        <w:rPr>
          <w:rFonts w:ascii="Arial" w:hAnsi="Arial" w:cs="Arial"/>
          <w:szCs w:val="24"/>
        </w:rPr>
      </w:pPr>
    </w:p>
    <w:p w:rsidR="00101196" w:rsidRPr="00FA1A01" w:rsidRDefault="00101196" w:rsidP="00101196">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 xml:space="preserve">REMITIR este expediente, a la Corte Constitucional para su eventual revisión, de no ser impugnada. </w:t>
      </w:r>
    </w:p>
    <w:p w:rsidR="00101196" w:rsidRPr="00FA1A01" w:rsidRDefault="00101196" w:rsidP="00101196">
      <w:pPr>
        <w:pStyle w:val="Textoindependiente"/>
        <w:tabs>
          <w:tab w:val="clear" w:pos="708"/>
        </w:tabs>
        <w:spacing w:line="360" w:lineRule="auto"/>
        <w:ind w:left="357"/>
        <w:rPr>
          <w:rFonts w:ascii="Arial" w:hAnsi="Arial" w:cs="Arial"/>
          <w:szCs w:val="24"/>
        </w:rPr>
      </w:pPr>
    </w:p>
    <w:p w:rsidR="00101196" w:rsidRPr="00FA1A01" w:rsidRDefault="00101196" w:rsidP="00101196">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 xml:space="preserve">ARCHIVAR el expediente, previas anotaciones en los libros radicadores, una vez agotado el trámite ante la Corte Constitucional. </w:t>
      </w:r>
    </w:p>
    <w:p w:rsidR="00101196" w:rsidRPr="00EE2823" w:rsidRDefault="00101196" w:rsidP="00101196">
      <w:pPr>
        <w:pStyle w:val="Textoindependiente"/>
        <w:spacing w:line="360" w:lineRule="auto"/>
        <w:jc w:val="center"/>
        <w:rPr>
          <w:rFonts w:ascii="Arial" w:hAnsi="Arial"/>
          <w:smallCaps/>
          <w:szCs w:val="24"/>
        </w:rPr>
      </w:pPr>
    </w:p>
    <w:p w:rsidR="00101196" w:rsidRDefault="00101196" w:rsidP="00101196">
      <w:pPr>
        <w:pStyle w:val="Textoindependiente"/>
        <w:spacing w:line="360" w:lineRule="auto"/>
        <w:jc w:val="center"/>
        <w:rPr>
          <w:rFonts w:ascii="Arial" w:hAnsi="Arial"/>
          <w:smallCaps/>
          <w:szCs w:val="24"/>
        </w:rPr>
      </w:pPr>
      <w:r w:rsidRPr="00C641FE">
        <w:rPr>
          <w:rFonts w:ascii="Arial" w:hAnsi="Arial"/>
          <w:smallCaps/>
          <w:szCs w:val="24"/>
        </w:rPr>
        <w:t>Notifíquese,</w:t>
      </w:r>
    </w:p>
    <w:p w:rsidR="00101196" w:rsidRPr="008E1AB0" w:rsidRDefault="00101196" w:rsidP="003A1C74">
      <w:pPr>
        <w:pStyle w:val="Textoindependiente"/>
        <w:spacing w:line="360" w:lineRule="auto"/>
        <w:rPr>
          <w:rFonts w:ascii="Arial" w:hAnsi="Arial"/>
        </w:rPr>
      </w:pPr>
    </w:p>
    <w:p w:rsidR="00101196" w:rsidRPr="008E1AB0" w:rsidRDefault="00101196" w:rsidP="00101196">
      <w:pPr>
        <w:pStyle w:val="Textoindependiente"/>
        <w:spacing w:line="360" w:lineRule="auto"/>
        <w:jc w:val="center"/>
        <w:rPr>
          <w:rFonts w:ascii="Arial" w:hAnsi="Arial"/>
        </w:rPr>
      </w:pPr>
    </w:p>
    <w:p w:rsidR="00101196" w:rsidRPr="009A36CF" w:rsidRDefault="00101196" w:rsidP="001011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101196" w:rsidRPr="009A36CF" w:rsidRDefault="00101196" w:rsidP="0010119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AC23B4"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C23B4" w:rsidRPr="009A36CF"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AC23B4" w:rsidRPr="00025CC3"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AC23B4" w:rsidRDefault="00AC23B4" w:rsidP="00AC23B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341297" w:rsidRPr="00341297" w:rsidRDefault="00AC23B4" w:rsidP="003A1C7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s-AR"/>
        </w:rPr>
      </w:pPr>
      <w:r>
        <w:rPr>
          <w:rFonts w:ascii="Arial" w:hAnsi="Arial"/>
          <w:w w:val="150"/>
          <w:sz w:val="16"/>
          <w:lang w:val="en-US"/>
        </w:rPr>
        <w:tab/>
      </w:r>
      <w:r>
        <w:rPr>
          <w:rFonts w:ascii="Arial" w:hAnsi="Arial"/>
          <w:w w:val="150"/>
          <w:sz w:val="16"/>
          <w:lang w:val="en-US"/>
        </w:rPr>
        <w:tab/>
      </w:r>
      <w:r w:rsidRPr="00D9225F">
        <w:rPr>
          <w:rFonts w:ascii="Arial" w:hAnsi="Arial"/>
          <w:w w:val="150"/>
          <w:sz w:val="10"/>
          <w:szCs w:val="10"/>
          <w:lang w:val="en-US"/>
        </w:rPr>
        <w:t>DGH/</w:t>
      </w:r>
      <w:r w:rsidR="00993967">
        <w:rPr>
          <w:rFonts w:ascii="Arial" w:hAnsi="Arial"/>
          <w:w w:val="150"/>
          <w:sz w:val="10"/>
          <w:szCs w:val="10"/>
          <w:lang w:val="en-US"/>
        </w:rPr>
        <w:t>ODCD</w:t>
      </w:r>
      <w:r>
        <w:rPr>
          <w:rFonts w:ascii="Arial" w:hAnsi="Arial"/>
          <w:w w:val="150"/>
          <w:sz w:val="10"/>
          <w:szCs w:val="10"/>
          <w:lang w:val="en-US"/>
        </w:rPr>
        <w:t>/</w:t>
      </w:r>
      <w:r w:rsidR="00993967">
        <w:rPr>
          <w:rFonts w:ascii="Arial" w:hAnsi="Arial"/>
          <w:w w:val="150"/>
          <w:sz w:val="10"/>
          <w:szCs w:val="10"/>
          <w:lang w:val="en-US"/>
        </w:rPr>
        <w:t>2016</w:t>
      </w:r>
    </w:p>
    <w:sectPr w:rsidR="00341297" w:rsidRPr="00341297"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15" w:rsidRDefault="00571815" w:rsidP="0099045D">
      <w:r>
        <w:separator/>
      </w:r>
    </w:p>
  </w:endnote>
  <w:endnote w:type="continuationSeparator" w:id="0">
    <w:p w:rsidR="00571815" w:rsidRDefault="0057181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B4" w:rsidRDefault="00AC23B4"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AC23B4" w:rsidRDefault="00AC23B4" w:rsidP="0013771A">
    <w:pPr>
      <w:pStyle w:val="Piedepgina"/>
      <w:spacing w:line="360" w:lineRule="auto"/>
      <w:jc w:val="right"/>
      <w:rPr>
        <w:rFonts w:ascii="Arial" w:hAnsi="Arial" w:cs="Arial"/>
        <w:spacing w:val="20"/>
        <w:w w:val="200"/>
        <w:sz w:val="14"/>
        <w:szCs w:val="10"/>
        <w:lang w:val="es-CO"/>
      </w:rPr>
    </w:pPr>
  </w:p>
  <w:p w:rsidR="00AC23B4" w:rsidRPr="003E18D8" w:rsidRDefault="00AC23B4"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C23B4" w:rsidRPr="007F7D49" w:rsidRDefault="00AC23B4"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15" w:rsidRDefault="00571815" w:rsidP="0099045D">
      <w:r>
        <w:separator/>
      </w:r>
    </w:p>
  </w:footnote>
  <w:footnote w:type="continuationSeparator" w:id="0">
    <w:p w:rsidR="00571815" w:rsidRDefault="00571815" w:rsidP="0099045D">
      <w:r>
        <w:continuationSeparator/>
      </w:r>
    </w:p>
  </w:footnote>
  <w:footnote w:id="1">
    <w:p w:rsidR="00A431A3" w:rsidRPr="002A4605" w:rsidRDefault="00A431A3" w:rsidP="00A431A3">
      <w:pPr>
        <w:pStyle w:val="Textonotapie"/>
        <w:rPr>
          <w:lang w:val="es-CO"/>
        </w:rPr>
      </w:pPr>
      <w:r>
        <w:rPr>
          <w:rStyle w:val="Refdenotaalpie"/>
        </w:rPr>
        <w:footnoteRef/>
      </w:r>
      <w:r>
        <w:t xml:space="preserve"> </w:t>
      </w:r>
      <w:r w:rsidRPr="007A32B4">
        <w:rPr>
          <w:rFonts w:ascii="Calibri" w:hAnsi="Calibri" w:cs="Calibri"/>
        </w:rPr>
        <w:t>CORTE CONSTITUCIONAL. Sentencia T-</w:t>
      </w:r>
      <w:r>
        <w:rPr>
          <w:rFonts w:ascii="Calibri" w:hAnsi="Calibri" w:cs="Calibri"/>
        </w:rPr>
        <w:t>682</w:t>
      </w:r>
      <w:r w:rsidRPr="007A32B4">
        <w:rPr>
          <w:rFonts w:ascii="Calibri" w:hAnsi="Calibri" w:cs="Calibri"/>
        </w:rPr>
        <w:t xml:space="preserve"> del </w:t>
      </w:r>
      <w:r>
        <w:rPr>
          <w:rFonts w:ascii="Calibri" w:hAnsi="Calibri" w:cs="Calibri"/>
        </w:rPr>
        <w:t>23-09-2013</w:t>
      </w:r>
      <w:r w:rsidRPr="007A32B4">
        <w:rPr>
          <w:rFonts w:ascii="Calibri" w:hAnsi="Calibri" w:cs="Calibri"/>
        </w:rPr>
        <w:t>.</w:t>
      </w:r>
    </w:p>
  </w:footnote>
  <w:footnote w:id="2">
    <w:p w:rsidR="000953D2" w:rsidRPr="00351422" w:rsidRDefault="000953D2" w:rsidP="000953D2">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w:t>
      </w:r>
      <w:r w:rsidRPr="00351422">
        <w:rPr>
          <w:rFonts w:asciiTheme="minorHAnsi" w:hAnsiTheme="minorHAnsi" w:cs="Calibri"/>
        </w:rPr>
        <w:t>CORTE CONSTITUCIONAL.  Sentencia</w:t>
      </w:r>
      <w:r>
        <w:rPr>
          <w:rFonts w:asciiTheme="minorHAnsi" w:hAnsiTheme="minorHAnsi" w:cs="Calibri"/>
        </w:rPr>
        <w:t xml:space="preserve">s SU-961 de 1999, </w:t>
      </w:r>
      <w:r w:rsidRPr="00351422">
        <w:rPr>
          <w:rFonts w:asciiTheme="minorHAnsi" w:hAnsiTheme="minorHAnsi" w:cs="Calibri"/>
          <w:lang w:val="es-CO"/>
        </w:rPr>
        <w:t>T-890 de</w:t>
      </w:r>
      <w:r>
        <w:rPr>
          <w:rFonts w:asciiTheme="minorHAnsi" w:hAnsiTheme="minorHAnsi" w:cs="Calibri"/>
          <w:lang w:val="es-CO"/>
        </w:rPr>
        <w:t xml:space="preserve"> </w:t>
      </w:r>
      <w:r w:rsidRPr="00351422">
        <w:rPr>
          <w:rFonts w:asciiTheme="minorHAnsi" w:hAnsiTheme="minorHAnsi" w:cs="Calibri"/>
          <w:lang w:val="es-CO"/>
        </w:rPr>
        <w:t>2006</w:t>
      </w:r>
      <w:r>
        <w:rPr>
          <w:rFonts w:asciiTheme="minorHAnsi" w:hAnsiTheme="minorHAnsi" w:cs="Calibri"/>
          <w:lang w:val="es-CO"/>
        </w:rPr>
        <w:t>, T-548 de 2011, T-172 de 2013</w:t>
      </w:r>
      <w:r w:rsidRPr="00351422">
        <w:rPr>
          <w:rFonts w:asciiTheme="minorHAnsi" w:hAnsiTheme="minorHAnsi" w:cs="Calibri"/>
          <w:lang w:val="es-CO"/>
        </w:rPr>
        <w:t>.</w:t>
      </w:r>
    </w:p>
  </w:footnote>
  <w:footnote w:id="3">
    <w:p w:rsidR="000953D2" w:rsidRPr="00351422" w:rsidRDefault="000953D2" w:rsidP="000953D2">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CORTE SUPREMA DE JUSTICIA, Sala de Casación Civil. Sentencia del 09-03-2011.</w:t>
      </w:r>
    </w:p>
  </w:footnote>
  <w:footnote w:id="4">
    <w:p w:rsidR="000953D2" w:rsidRPr="009565CF" w:rsidRDefault="000953D2" w:rsidP="000953D2">
      <w:pPr>
        <w:pStyle w:val="Textonotapie"/>
        <w:jc w:val="both"/>
        <w:rPr>
          <w:rFonts w:asciiTheme="minorHAnsi" w:hAnsiTheme="minorHAnsi"/>
          <w:lang w:val="es-CO"/>
        </w:rPr>
      </w:pPr>
      <w:r w:rsidRPr="009565CF">
        <w:rPr>
          <w:rStyle w:val="Refdenotaalpie"/>
          <w:rFonts w:cs="Calibri"/>
          <w:lang w:val="es-CO"/>
        </w:rPr>
        <w:footnoteRef/>
      </w:r>
      <w:r w:rsidRPr="009565CF">
        <w:rPr>
          <w:rFonts w:cs="Calibri"/>
          <w:lang w:val="es-CO"/>
        </w:rPr>
        <w:t xml:space="preserve"> </w:t>
      </w:r>
      <w:r w:rsidRPr="009565CF">
        <w:rPr>
          <w:rFonts w:asciiTheme="minorHAnsi" w:hAnsiTheme="minorHAnsi" w:cs="Calibri"/>
          <w:lang w:val="es-CO"/>
        </w:rPr>
        <w:t>CORTE CONSTITUCIONAL.  Sentencia T-1079 de</w:t>
      </w:r>
      <w:r>
        <w:rPr>
          <w:rFonts w:asciiTheme="minorHAnsi" w:hAnsiTheme="minorHAnsi" w:cs="Calibri"/>
          <w:lang w:val="es-CO"/>
        </w:rPr>
        <w:t xml:space="preserve"> </w:t>
      </w:r>
      <w:r w:rsidRPr="009565CF">
        <w:rPr>
          <w:rFonts w:asciiTheme="minorHAnsi" w:hAnsiTheme="minorHAnsi" w:cs="Calibri"/>
          <w:lang w:val="es-CO"/>
        </w:rPr>
        <w:t>2008.</w:t>
      </w:r>
    </w:p>
  </w:footnote>
  <w:footnote w:id="5">
    <w:p w:rsidR="000953D2" w:rsidRPr="009565CF" w:rsidRDefault="000953D2" w:rsidP="000953D2">
      <w:pPr>
        <w:pStyle w:val="Textonotapie"/>
        <w:jc w:val="both"/>
        <w:rPr>
          <w:rFonts w:asciiTheme="minorHAnsi" w:hAnsiTheme="minorHAnsi"/>
          <w:lang w:val="es-CO"/>
        </w:rPr>
      </w:pPr>
      <w:r w:rsidRPr="009565CF">
        <w:rPr>
          <w:rStyle w:val="Refdenotaalpie"/>
          <w:rFonts w:asciiTheme="minorHAnsi" w:hAnsiTheme="minorHAnsi"/>
          <w:lang w:val="es-CO"/>
        </w:rPr>
        <w:footnoteRef/>
      </w:r>
      <w:r w:rsidRPr="009565CF">
        <w:rPr>
          <w:rFonts w:asciiTheme="minorHAnsi" w:hAnsiTheme="minorHAnsi"/>
          <w:lang w:val="es-CO"/>
        </w:rPr>
        <w:t xml:space="preserve"> CORTE SUPREMA DE JUSTICIA, Sala de Casación Penal – Sala de decisión de tutelas No.3. Sentencia del 11-03-2014, MP. Eugenio Fernández Carlier.</w:t>
      </w:r>
    </w:p>
  </w:footnote>
  <w:footnote w:id="6">
    <w:p w:rsidR="000953D2" w:rsidRPr="00B05F74" w:rsidRDefault="000953D2" w:rsidP="00C9008E">
      <w:pPr>
        <w:pStyle w:val="Textonotapie"/>
        <w:jc w:val="both"/>
        <w:rPr>
          <w:rFonts w:asciiTheme="minorHAnsi" w:hAnsiTheme="minorHAnsi"/>
          <w:b/>
        </w:rPr>
      </w:pPr>
      <w:r w:rsidRPr="009565CF">
        <w:rPr>
          <w:rStyle w:val="Refdenotaalpie"/>
          <w:lang w:val="es-CO"/>
        </w:rPr>
        <w:footnoteRef/>
      </w:r>
      <w:r w:rsidRPr="009565CF">
        <w:rPr>
          <w:lang w:val="es-CO"/>
        </w:rPr>
        <w:t xml:space="preserve"> </w:t>
      </w:r>
      <w:r w:rsidR="0046463C" w:rsidRPr="009565CF">
        <w:rPr>
          <w:rFonts w:asciiTheme="minorHAnsi" w:hAnsiTheme="minorHAnsi"/>
          <w:lang w:val="es-CO"/>
        </w:rPr>
        <w:t xml:space="preserve">CORTE SUPREMA DE JUSTICIA, Sala de Casación Civil, </w:t>
      </w:r>
      <w:r w:rsidR="00C9008E">
        <w:rPr>
          <w:rFonts w:asciiTheme="minorHAnsi" w:hAnsiTheme="minorHAnsi"/>
          <w:lang w:val="es-CO"/>
        </w:rPr>
        <w:t xml:space="preserve">sentencia </w:t>
      </w:r>
      <w:r w:rsidR="00C9008E">
        <w:rPr>
          <w:rFonts w:asciiTheme="minorHAnsi" w:hAnsiTheme="minorHAnsi"/>
          <w:iCs/>
        </w:rPr>
        <w:t>del 29-04-2009</w:t>
      </w:r>
      <w:r w:rsidR="00C9008E" w:rsidRPr="00C9008E">
        <w:rPr>
          <w:rFonts w:asciiTheme="minorHAnsi" w:hAnsiTheme="minorHAnsi"/>
          <w:iCs/>
        </w:rPr>
        <w:t>, exp. 0062</w:t>
      </w:r>
      <w:r w:rsidR="00C9008E">
        <w:rPr>
          <w:rFonts w:asciiTheme="minorHAnsi" w:hAnsiTheme="minorHAnsi"/>
          <w:iCs/>
        </w:rPr>
        <w:t xml:space="preserve">4-00, reiterada en la sentencia </w:t>
      </w:r>
      <w:r w:rsidR="00C9008E" w:rsidRPr="00C9008E">
        <w:rPr>
          <w:rFonts w:asciiTheme="minorHAnsi" w:hAnsiTheme="minorHAnsi"/>
          <w:iCs/>
        </w:rPr>
        <w:t>STC7438-2015</w:t>
      </w:r>
      <w:r w:rsidR="00C9008E">
        <w:rPr>
          <w:rFonts w:asciiTheme="minorHAnsi" w:hAnsiTheme="minorHAnsi"/>
          <w:iCs/>
        </w:rPr>
        <w:t>.</w:t>
      </w:r>
    </w:p>
  </w:footnote>
  <w:footnote w:id="7">
    <w:p w:rsidR="000953D2" w:rsidRPr="009565CF" w:rsidRDefault="000953D2" w:rsidP="000953D2">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w:t>
      </w:r>
      <w:r>
        <w:rPr>
          <w:rFonts w:asciiTheme="minorHAnsi" w:hAnsiTheme="minorHAnsi" w:cs="Calibri"/>
          <w:lang w:val="es-CO"/>
        </w:rPr>
        <w:t xml:space="preserve">ONAL. Sentencia T-016 de </w:t>
      </w:r>
      <w:r w:rsidRPr="009565CF">
        <w:rPr>
          <w:rFonts w:asciiTheme="minorHAnsi" w:hAnsiTheme="minorHAnsi" w:cs="Calibri"/>
          <w:lang w:val="es-CO"/>
        </w:rPr>
        <w:t>2006.</w:t>
      </w:r>
    </w:p>
  </w:footnote>
  <w:footnote w:id="8">
    <w:p w:rsidR="000953D2" w:rsidRPr="009565CF" w:rsidRDefault="000953D2" w:rsidP="000953D2">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T-684 de</w:t>
      </w:r>
      <w:r>
        <w:rPr>
          <w:rFonts w:asciiTheme="minorHAnsi" w:hAnsiTheme="minorHAnsi" w:cs="Calibri"/>
          <w:lang w:val="es-CO"/>
        </w:rPr>
        <w:t xml:space="preserve"> </w:t>
      </w:r>
      <w:r w:rsidRPr="009565CF">
        <w:rPr>
          <w:rFonts w:asciiTheme="minorHAnsi" w:hAnsiTheme="minorHAnsi" w:cs="Calibri"/>
          <w:lang w:val="es-CO"/>
        </w:rPr>
        <w:t>2003.</w:t>
      </w:r>
    </w:p>
  </w:footnote>
  <w:footnote w:id="9">
    <w:p w:rsidR="000953D2" w:rsidRPr="009565CF" w:rsidRDefault="000953D2" w:rsidP="000953D2">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QUINCHE RAMÍREZ, Manuel Fernando. La acción de tutela, el amparo en Colombia, Temis, Bogotá DC, 2011, p.105-106.</w:t>
      </w:r>
    </w:p>
  </w:footnote>
  <w:footnote w:id="10">
    <w:p w:rsidR="000953D2" w:rsidRPr="007E1963" w:rsidRDefault="000953D2" w:rsidP="000953D2">
      <w:pPr>
        <w:pStyle w:val="Textonotapie"/>
        <w:rPr>
          <w:rFonts w:asciiTheme="minorHAnsi" w:hAnsiTheme="minorHAnsi"/>
        </w:rPr>
      </w:pPr>
      <w:r w:rsidRPr="007E1963">
        <w:rPr>
          <w:rStyle w:val="Refdenotaalpie"/>
          <w:rFonts w:asciiTheme="minorHAnsi" w:hAnsiTheme="minorHAnsi" w:cs="Calibri"/>
        </w:rPr>
        <w:footnoteRef/>
      </w:r>
      <w:r w:rsidRPr="007E1963">
        <w:rPr>
          <w:rFonts w:asciiTheme="minorHAnsi" w:hAnsiTheme="minorHAnsi" w:cs="Calibri"/>
        </w:rPr>
        <w:t xml:space="preserve"> </w:t>
      </w:r>
      <w:r w:rsidRPr="007E1963">
        <w:rPr>
          <w:rFonts w:asciiTheme="minorHAnsi" w:hAnsiTheme="minorHAnsi" w:cs="Calibri"/>
          <w:lang w:val="es-CO"/>
        </w:rPr>
        <w:t>CORTE CONSTITUCIONAL. Sentencia T-2</w:t>
      </w:r>
      <w:r>
        <w:rPr>
          <w:rFonts w:asciiTheme="minorHAnsi" w:hAnsiTheme="minorHAnsi" w:cs="Calibri"/>
          <w:lang w:val="es-CO"/>
        </w:rPr>
        <w:t>07</w:t>
      </w:r>
      <w:r w:rsidRPr="007E1963">
        <w:rPr>
          <w:rFonts w:asciiTheme="minorHAnsi" w:hAnsiTheme="minorHAnsi" w:cs="Calibri"/>
          <w:lang w:val="es-CO"/>
        </w:rPr>
        <w:t xml:space="preserve"> de</w:t>
      </w:r>
      <w:r>
        <w:rPr>
          <w:rFonts w:asciiTheme="minorHAnsi" w:hAnsiTheme="minorHAnsi" w:cs="Calibri"/>
          <w:lang w:val="es-CO"/>
        </w:rPr>
        <w:t xml:space="preserve"> </w:t>
      </w:r>
      <w:r w:rsidRPr="007E1963">
        <w:rPr>
          <w:rFonts w:asciiTheme="minorHAnsi" w:hAnsiTheme="minorHAnsi" w:cs="Calibri"/>
          <w:lang w:val="es-CO"/>
        </w:rPr>
        <w:t>201</w:t>
      </w:r>
      <w:r>
        <w:rPr>
          <w:rFonts w:asciiTheme="minorHAnsi" w:hAnsiTheme="minorHAnsi" w:cs="Calibri"/>
          <w:lang w:val="es-CO"/>
        </w:rPr>
        <w:t>5</w:t>
      </w:r>
      <w:r w:rsidRPr="007E1963">
        <w:rPr>
          <w:rFonts w:asciiTheme="minorHAnsi" w:hAnsiTheme="minorHAnsi" w:cs="Calibri"/>
        </w:rPr>
        <w:t>.</w:t>
      </w:r>
    </w:p>
  </w:footnote>
  <w:footnote w:id="11">
    <w:p w:rsidR="000953D2" w:rsidRPr="009C4841" w:rsidRDefault="000953D2" w:rsidP="000953D2">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12">
    <w:p w:rsidR="000953D2" w:rsidRPr="009C4841" w:rsidRDefault="000953D2" w:rsidP="000953D2">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13">
    <w:p w:rsidR="00C625BB" w:rsidRPr="004905B4" w:rsidRDefault="00C625BB" w:rsidP="00C625BB">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14">
    <w:p w:rsidR="00C625BB" w:rsidRPr="004905B4" w:rsidRDefault="00C625BB" w:rsidP="00C625BB">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B4" w:rsidRPr="006414F7" w:rsidRDefault="00AC23B4">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71815">
      <w:rPr>
        <w:rFonts w:ascii="Calibri" w:hAnsi="Calibri" w:cs="Calibri"/>
        <w:i/>
        <w:noProof/>
        <w:sz w:val="20"/>
      </w:rPr>
      <w:t>1</w:t>
    </w:r>
    <w:r w:rsidRPr="006414F7">
      <w:rPr>
        <w:rFonts w:ascii="Calibri" w:hAnsi="Calibri" w:cs="Calibri"/>
        <w:i/>
        <w:sz w:val="20"/>
      </w:rPr>
      <w:fldChar w:fldCharType="end"/>
    </w:r>
  </w:p>
  <w:p w:rsidR="00AC23B4" w:rsidRPr="006414F7" w:rsidRDefault="00AC23B4"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CE2303">
      <w:rPr>
        <w:rFonts w:ascii="Calibri" w:hAnsi="Calibri" w:cs="Calibri"/>
        <w:i/>
        <w:sz w:val="20"/>
        <w:szCs w:val="22"/>
      </w:rPr>
      <w:t>00362</w:t>
    </w:r>
    <w:r>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096330"/>
    <w:multiLevelType w:val="multilevel"/>
    <w:tmpl w:val="EB20D02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DA3FFC"/>
    <w:multiLevelType w:val="multilevel"/>
    <w:tmpl w:val="CF72C9F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4"/>
  </w:num>
  <w:num w:numId="3">
    <w:abstractNumId w:val="13"/>
  </w:num>
  <w:num w:numId="4">
    <w:abstractNumId w:val="2"/>
  </w:num>
  <w:num w:numId="5">
    <w:abstractNumId w:val="24"/>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3"/>
  </w:num>
  <w:num w:numId="13">
    <w:abstractNumId w:val="8"/>
  </w:num>
  <w:num w:numId="14">
    <w:abstractNumId w:val="10"/>
  </w:num>
  <w:num w:numId="15">
    <w:abstractNumId w:val="15"/>
  </w:num>
  <w:num w:numId="16">
    <w:abstractNumId w:val="3"/>
  </w:num>
  <w:num w:numId="17">
    <w:abstractNumId w:val="16"/>
  </w:num>
  <w:num w:numId="18">
    <w:abstractNumId w:val="6"/>
  </w:num>
  <w:num w:numId="19">
    <w:abstractNumId w:val="4"/>
  </w:num>
  <w:num w:numId="20">
    <w:abstractNumId w:val="11"/>
  </w:num>
  <w:num w:numId="21">
    <w:abstractNumId w:val="18"/>
  </w:num>
  <w:num w:numId="22">
    <w:abstractNumId w:val="22"/>
  </w:num>
  <w:num w:numId="23">
    <w:abstractNumId w:val="12"/>
  </w:num>
  <w:num w:numId="24">
    <w:abstractNumId w:val="21"/>
  </w:num>
  <w:num w:numId="25">
    <w:abstractNumId w:val="9"/>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1F4"/>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3277"/>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A6F"/>
    <w:rsid w:val="000769E5"/>
    <w:rsid w:val="000774AE"/>
    <w:rsid w:val="000803A5"/>
    <w:rsid w:val="00080DED"/>
    <w:rsid w:val="00081F32"/>
    <w:rsid w:val="00082813"/>
    <w:rsid w:val="000833E9"/>
    <w:rsid w:val="000838FF"/>
    <w:rsid w:val="00084351"/>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4533"/>
    <w:rsid w:val="000953D2"/>
    <w:rsid w:val="00095EAB"/>
    <w:rsid w:val="000965B3"/>
    <w:rsid w:val="00096A82"/>
    <w:rsid w:val="000970D6"/>
    <w:rsid w:val="0009797E"/>
    <w:rsid w:val="00097C7C"/>
    <w:rsid w:val="000A038F"/>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4C5"/>
    <w:rsid w:val="000D152C"/>
    <w:rsid w:val="000D1769"/>
    <w:rsid w:val="000D2B3D"/>
    <w:rsid w:val="000D2D98"/>
    <w:rsid w:val="000D31B6"/>
    <w:rsid w:val="000D364C"/>
    <w:rsid w:val="000D3948"/>
    <w:rsid w:val="000D3F22"/>
    <w:rsid w:val="000D41CB"/>
    <w:rsid w:val="000D6276"/>
    <w:rsid w:val="000D763A"/>
    <w:rsid w:val="000D78F8"/>
    <w:rsid w:val="000D7A85"/>
    <w:rsid w:val="000D7DD7"/>
    <w:rsid w:val="000D7EFB"/>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68C"/>
    <w:rsid w:val="00100C47"/>
    <w:rsid w:val="00100C96"/>
    <w:rsid w:val="00100DAC"/>
    <w:rsid w:val="00100F9F"/>
    <w:rsid w:val="00100FFF"/>
    <w:rsid w:val="00101196"/>
    <w:rsid w:val="00101751"/>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8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7DB"/>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1E4"/>
    <w:rsid w:val="001753AB"/>
    <w:rsid w:val="00175C70"/>
    <w:rsid w:val="00175D2D"/>
    <w:rsid w:val="00176C9B"/>
    <w:rsid w:val="001778CF"/>
    <w:rsid w:val="00177C3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07A"/>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07D76"/>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DD3"/>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5B84"/>
    <w:rsid w:val="002D62CE"/>
    <w:rsid w:val="002D77A5"/>
    <w:rsid w:val="002D786F"/>
    <w:rsid w:val="002D7F39"/>
    <w:rsid w:val="002E000E"/>
    <w:rsid w:val="002E03F1"/>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0F3"/>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0C8"/>
    <w:rsid w:val="00334539"/>
    <w:rsid w:val="00334A5D"/>
    <w:rsid w:val="00334C3A"/>
    <w:rsid w:val="00335FCF"/>
    <w:rsid w:val="003364D3"/>
    <w:rsid w:val="00336AC5"/>
    <w:rsid w:val="00337AED"/>
    <w:rsid w:val="00337F22"/>
    <w:rsid w:val="00340361"/>
    <w:rsid w:val="00340F08"/>
    <w:rsid w:val="00341297"/>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1418"/>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68B3"/>
    <w:rsid w:val="00396AF9"/>
    <w:rsid w:val="00396F9B"/>
    <w:rsid w:val="00397153"/>
    <w:rsid w:val="00397174"/>
    <w:rsid w:val="00397548"/>
    <w:rsid w:val="00397E40"/>
    <w:rsid w:val="003A0BE6"/>
    <w:rsid w:val="003A1A7C"/>
    <w:rsid w:val="003A1BF0"/>
    <w:rsid w:val="003A1C74"/>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0D4"/>
    <w:rsid w:val="003F2ADA"/>
    <w:rsid w:val="003F2BE4"/>
    <w:rsid w:val="003F3BCD"/>
    <w:rsid w:val="003F420F"/>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2B9"/>
    <w:rsid w:val="004003FD"/>
    <w:rsid w:val="004009A3"/>
    <w:rsid w:val="004009CB"/>
    <w:rsid w:val="00401064"/>
    <w:rsid w:val="00401364"/>
    <w:rsid w:val="00401973"/>
    <w:rsid w:val="00401EFF"/>
    <w:rsid w:val="004024F4"/>
    <w:rsid w:val="00402C11"/>
    <w:rsid w:val="004038A2"/>
    <w:rsid w:val="00403F0E"/>
    <w:rsid w:val="00404517"/>
    <w:rsid w:val="0040457C"/>
    <w:rsid w:val="0040489F"/>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1AB8"/>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E69"/>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63C"/>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0C06"/>
    <w:rsid w:val="00491288"/>
    <w:rsid w:val="00491333"/>
    <w:rsid w:val="00491B8B"/>
    <w:rsid w:val="00491D39"/>
    <w:rsid w:val="004927CF"/>
    <w:rsid w:val="004935DB"/>
    <w:rsid w:val="00493D0E"/>
    <w:rsid w:val="004940D6"/>
    <w:rsid w:val="004940DE"/>
    <w:rsid w:val="00494F4B"/>
    <w:rsid w:val="00495FB0"/>
    <w:rsid w:val="00496625"/>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4B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88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3DA8"/>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17"/>
    <w:rsid w:val="00567722"/>
    <w:rsid w:val="0057016E"/>
    <w:rsid w:val="00570BB0"/>
    <w:rsid w:val="00571815"/>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84"/>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6631"/>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469"/>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5AC8"/>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2C"/>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3F9"/>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961"/>
    <w:rsid w:val="007161AC"/>
    <w:rsid w:val="00717574"/>
    <w:rsid w:val="00720F6E"/>
    <w:rsid w:val="007219B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1B19"/>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55EC"/>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DFA"/>
    <w:rsid w:val="00773F30"/>
    <w:rsid w:val="00773F6E"/>
    <w:rsid w:val="007744F2"/>
    <w:rsid w:val="007749D9"/>
    <w:rsid w:val="00774EAF"/>
    <w:rsid w:val="007750E0"/>
    <w:rsid w:val="00775262"/>
    <w:rsid w:val="00775707"/>
    <w:rsid w:val="00776662"/>
    <w:rsid w:val="00776A75"/>
    <w:rsid w:val="007776C1"/>
    <w:rsid w:val="00777898"/>
    <w:rsid w:val="00777DDF"/>
    <w:rsid w:val="00780C2A"/>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14B"/>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5E14"/>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67"/>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4B5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1C9"/>
    <w:rsid w:val="008914F4"/>
    <w:rsid w:val="00891BA7"/>
    <w:rsid w:val="00892529"/>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33C"/>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E6C"/>
    <w:rsid w:val="008B7434"/>
    <w:rsid w:val="008B7596"/>
    <w:rsid w:val="008B77FC"/>
    <w:rsid w:val="008C049F"/>
    <w:rsid w:val="008C192F"/>
    <w:rsid w:val="008C197B"/>
    <w:rsid w:val="008C25A0"/>
    <w:rsid w:val="008C2602"/>
    <w:rsid w:val="008C2FCA"/>
    <w:rsid w:val="008C334B"/>
    <w:rsid w:val="008C3547"/>
    <w:rsid w:val="008C3CB1"/>
    <w:rsid w:val="008C40D5"/>
    <w:rsid w:val="008C42B4"/>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1BB"/>
    <w:rsid w:val="008E2633"/>
    <w:rsid w:val="008E2790"/>
    <w:rsid w:val="008E36DB"/>
    <w:rsid w:val="008E412D"/>
    <w:rsid w:val="008E5334"/>
    <w:rsid w:val="008E638B"/>
    <w:rsid w:val="008E6592"/>
    <w:rsid w:val="008E6F7C"/>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225"/>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7D1"/>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2EBA"/>
    <w:rsid w:val="009736C5"/>
    <w:rsid w:val="009737E1"/>
    <w:rsid w:val="00973E19"/>
    <w:rsid w:val="009740D5"/>
    <w:rsid w:val="00974A0E"/>
    <w:rsid w:val="00975D9D"/>
    <w:rsid w:val="00975FA1"/>
    <w:rsid w:val="0097600A"/>
    <w:rsid w:val="00976010"/>
    <w:rsid w:val="009763D6"/>
    <w:rsid w:val="00976E97"/>
    <w:rsid w:val="00980A11"/>
    <w:rsid w:val="00980AC5"/>
    <w:rsid w:val="0098136D"/>
    <w:rsid w:val="00982323"/>
    <w:rsid w:val="00982332"/>
    <w:rsid w:val="009824FF"/>
    <w:rsid w:val="0098258C"/>
    <w:rsid w:val="00982616"/>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96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5DB"/>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415"/>
    <w:rsid w:val="00A325F8"/>
    <w:rsid w:val="00A3306A"/>
    <w:rsid w:val="00A33447"/>
    <w:rsid w:val="00A337FF"/>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1A3"/>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3B4"/>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A36"/>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5F74"/>
    <w:rsid w:val="00B06A13"/>
    <w:rsid w:val="00B06BAF"/>
    <w:rsid w:val="00B06C2C"/>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47F"/>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CF9"/>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398"/>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97D16"/>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54"/>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16E"/>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829"/>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EAA"/>
    <w:rsid w:val="00C15191"/>
    <w:rsid w:val="00C15358"/>
    <w:rsid w:val="00C15C92"/>
    <w:rsid w:val="00C15D67"/>
    <w:rsid w:val="00C171D4"/>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5BB"/>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015"/>
    <w:rsid w:val="00C87118"/>
    <w:rsid w:val="00C9008E"/>
    <w:rsid w:val="00C901FD"/>
    <w:rsid w:val="00C91451"/>
    <w:rsid w:val="00C914BD"/>
    <w:rsid w:val="00C91BD9"/>
    <w:rsid w:val="00C92A0F"/>
    <w:rsid w:val="00C932B1"/>
    <w:rsid w:val="00C94F63"/>
    <w:rsid w:val="00C958A3"/>
    <w:rsid w:val="00C958C1"/>
    <w:rsid w:val="00C968CD"/>
    <w:rsid w:val="00C96F91"/>
    <w:rsid w:val="00C9794A"/>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2303"/>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B5E"/>
    <w:rsid w:val="00D020D3"/>
    <w:rsid w:val="00D02184"/>
    <w:rsid w:val="00D026C3"/>
    <w:rsid w:val="00D0377A"/>
    <w:rsid w:val="00D04389"/>
    <w:rsid w:val="00D04422"/>
    <w:rsid w:val="00D0509A"/>
    <w:rsid w:val="00D053F8"/>
    <w:rsid w:val="00D0594E"/>
    <w:rsid w:val="00D05AB2"/>
    <w:rsid w:val="00D065AB"/>
    <w:rsid w:val="00D07152"/>
    <w:rsid w:val="00D0751B"/>
    <w:rsid w:val="00D07692"/>
    <w:rsid w:val="00D07877"/>
    <w:rsid w:val="00D10388"/>
    <w:rsid w:val="00D1070A"/>
    <w:rsid w:val="00D1161F"/>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D9"/>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63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35F"/>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11E6"/>
    <w:rsid w:val="00E62C1E"/>
    <w:rsid w:val="00E62F1F"/>
    <w:rsid w:val="00E63652"/>
    <w:rsid w:val="00E6647B"/>
    <w:rsid w:val="00E6739C"/>
    <w:rsid w:val="00E67583"/>
    <w:rsid w:val="00E67640"/>
    <w:rsid w:val="00E67AE1"/>
    <w:rsid w:val="00E67F45"/>
    <w:rsid w:val="00E706C8"/>
    <w:rsid w:val="00E714B2"/>
    <w:rsid w:val="00E73692"/>
    <w:rsid w:val="00E736B7"/>
    <w:rsid w:val="00E74199"/>
    <w:rsid w:val="00E74353"/>
    <w:rsid w:val="00E74E32"/>
    <w:rsid w:val="00E74E5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90196"/>
    <w:rsid w:val="00E90224"/>
    <w:rsid w:val="00E908E3"/>
    <w:rsid w:val="00E90FB5"/>
    <w:rsid w:val="00E913D2"/>
    <w:rsid w:val="00E91982"/>
    <w:rsid w:val="00E91D0E"/>
    <w:rsid w:val="00E92497"/>
    <w:rsid w:val="00E9274E"/>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E3B"/>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0A97"/>
    <w:rsid w:val="00F0165D"/>
    <w:rsid w:val="00F01E42"/>
    <w:rsid w:val="00F01EF9"/>
    <w:rsid w:val="00F021CB"/>
    <w:rsid w:val="00F025F5"/>
    <w:rsid w:val="00F029B2"/>
    <w:rsid w:val="00F02B99"/>
    <w:rsid w:val="00F03880"/>
    <w:rsid w:val="00F03C45"/>
    <w:rsid w:val="00F03CFB"/>
    <w:rsid w:val="00F03E18"/>
    <w:rsid w:val="00F040F0"/>
    <w:rsid w:val="00F04202"/>
    <w:rsid w:val="00F047FB"/>
    <w:rsid w:val="00F04C91"/>
    <w:rsid w:val="00F04E5F"/>
    <w:rsid w:val="00F055DE"/>
    <w:rsid w:val="00F057FE"/>
    <w:rsid w:val="00F05E6E"/>
    <w:rsid w:val="00F06DA2"/>
    <w:rsid w:val="00F072DE"/>
    <w:rsid w:val="00F0768D"/>
    <w:rsid w:val="00F10295"/>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A29"/>
    <w:rsid w:val="00F348E7"/>
    <w:rsid w:val="00F34CA4"/>
    <w:rsid w:val="00F34ECB"/>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49BF"/>
    <w:rsid w:val="00F650F6"/>
    <w:rsid w:val="00F655AD"/>
    <w:rsid w:val="00F65E77"/>
    <w:rsid w:val="00F65FD9"/>
    <w:rsid w:val="00F6614C"/>
    <w:rsid w:val="00F66EF7"/>
    <w:rsid w:val="00F66F96"/>
    <w:rsid w:val="00F6746D"/>
    <w:rsid w:val="00F6760D"/>
    <w:rsid w:val="00F676B1"/>
    <w:rsid w:val="00F707B9"/>
    <w:rsid w:val="00F70AC0"/>
    <w:rsid w:val="00F70EFD"/>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5FA8"/>
    <w:rsid w:val="00F77990"/>
    <w:rsid w:val="00F80828"/>
    <w:rsid w:val="00F815CC"/>
    <w:rsid w:val="00F826AB"/>
    <w:rsid w:val="00F8363D"/>
    <w:rsid w:val="00F8470C"/>
    <w:rsid w:val="00F859D9"/>
    <w:rsid w:val="00F86773"/>
    <w:rsid w:val="00F867CE"/>
    <w:rsid w:val="00F86FB8"/>
    <w:rsid w:val="00F86FBC"/>
    <w:rsid w:val="00F8738D"/>
    <w:rsid w:val="00F87514"/>
    <w:rsid w:val="00F87C59"/>
    <w:rsid w:val="00F901B8"/>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8E2"/>
    <w:rsid w:val="00FA59D4"/>
    <w:rsid w:val="00FA6651"/>
    <w:rsid w:val="00FA67CA"/>
    <w:rsid w:val="00FA6C8A"/>
    <w:rsid w:val="00FA6D29"/>
    <w:rsid w:val="00FA7F1F"/>
    <w:rsid w:val="00FB0496"/>
    <w:rsid w:val="00FB0DBA"/>
    <w:rsid w:val="00FB0E63"/>
    <w:rsid w:val="00FB1171"/>
    <w:rsid w:val="00FB1492"/>
    <w:rsid w:val="00FB14AC"/>
    <w:rsid w:val="00FB18B1"/>
    <w:rsid w:val="00FB1BEF"/>
    <w:rsid w:val="00FB2CDB"/>
    <w:rsid w:val="00FB37B1"/>
    <w:rsid w:val="00FB3D8D"/>
    <w:rsid w:val="00FB4F27"/>
    <w:rsid w:val="00FB5E7E"/>
    <w:rsid w:val="00FB602A"/>
    <w:rsid w:val="00FB6998"/>
    <w:rsid w:val="00FB6CFE"/>
    <w:rsid w:val="00FC06A3"/>
    <w:rsid w:val="00FC25CC"/>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D7948"/>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3590">
      <w:bodyDiv w:val="1"/>
      <w:marLeft w:val="0"/>
      <w:marRight w:val="0"/>
      <w:marTop w:val="0"/>
      <w:marBottom w:val="0"/>
      <w:divBdr>
        <w:top w:val="none" w:sz="0" w:space="0" w:color="auto"/>
        <w:left w:val="none" w:sz="0" w:space="0" w:color="auto"/>
        <w:bottom w:val="none" w:sz="0" w:space="0" w:color="auto"/>
        <w:right w:val="none" w:sz="0" w:space="0" w:color="auto"/>
      </w:divBdr>
    </w:div>
    <w:div w:id="79177078">
      <w:bodyDiv w:val="1"/>
      <w:marLeft w:val="0"/>
      <w:marRight w:val="0"/>
      <w:marTop w:val="0"/>
      <w:marBottom w:val="0"/>
      <w:divBdr>
        <w:top w:val="none" w:sz="0" w:space="0" w:color="auto"/>
        <w:left w:val="none" w:sz="0" w:space="0" w:color="auto"/>
        <w:bottom w:val="none" w:sz="0" w:space="0" w:color="auto"/>
        <w:right w:val="none" w:sz="0" w:space="0" w:color="auto"/>
      </w:divBdr>
    </w:div>
    <w:div w:id="140733292">
      <w:bodyDiv w:val="1"/>
      <w:marLeft w:val="0"/>
      <w:marRight w:val="0"/>
      <w:marTop w:val="0"/>
      <w:marBottom w:val="0"/>
      <w:divBdr>
        <w:top w:val="none" w:sz="0" w:space="0" w:color="auto"/>
        <w:left w:val="none" w:sz="0" w:space="0" w:color="auto"/>
        <w:bottom w:val="none" w:sz="0" w:space="0" w:color="auto"/>
        <w:right w:val="none" w:sz="0" w:space="0" w:color="auto"/>
      </w:divBdr>
    </w:div>
    <w:div w:id="555632162">
      <w:bodyDiv w:val="1"/>
      <w:marLeft w:val="0"/>
      <w:marRight w:val="0"/>
      <w:marTop w:val="0"/>
      <w:marBottom w:val="0"/>
      <w:divBdr>
        <w:top w:val="none" w:sz="0" w:space="0" w:color="auto"/>
        <w:left w:val="none" w:sz="0" w:space="0" w:color="auto"/>
        <w:bottom w:val="none" w:sz="0" w:space="0" w:color="auto"/>
        <w:right w:val="none" w:sz="0" w:space="0" w:color="auto"/>
      </w:divBdr>
    </w:div>
    <w:div w:id="555706879">
      <w:bodyDiv w:val="1"/>
      <w:marLeft w:val="0"/>
      <w:marRight w:val="0"/>
      <w:marTop w:val="0"/>
      <w:marBottom w:val="0"/>
      <w:divBdr>
        <w:top w:val="none" w:sz="0" w:space="0" w:color="auto"/>
        <w:left w:val="none" w:sz="0" w:space="0" w:color="auto"/>
        <w:bottom w:val="none" w:sz="0" w:space="0" w:color="auto"/>
        <w:right w:val="none" w:sz="0" w:space="0" w:color="auto"/>
      </w:divBdr>
    </w:div>
    <w:div w:id="618266652">
      <w:bodyDiv w:val="1"/>
      <w:marLeft w:val="0"/>
      <w:marRight w:val="0"/>
      <w:marTop w:val="0"/>
      <w:marBottom w:val="0"/>
      <w:divBdr>
        <w:top w:val="none" w:sz="0" w:space="0" w:color="auto"/>
        <w:left w:val="none" w:sz="0" w:space="0" w:color="auto"/>
        <w:bottom w:val="none" w:sz="0" w:space="0" w:color="auto"/>
        <w:right w:val="none" w:sz="0" w:space="0" w:color="auto"/>
      </w:divBdr>
    </w:div>
    <w:div w:id="1047336416">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4302343">
      <w:bodyDiv w:val="1"/>
      <w:marLeft w:val="0"/>
      <w:marRight w:val="0"/>
      <w:marTop w:val="0"/>
      <w:marBottom w:val="0"/>
      <w:divBdr>
        <w:top w:val="none" w:sz="0" w:space="0" w:color="auto"/>
        <w:left w:val="none" w:sz="0" w:space="0" w:color="auto"/>
        <w:bottom w:val="none" w:sz="0" w:space="0" w:color="auto"/>
        <w:right w:val="none" w:sz="0" w:space="0" w:color="auto"/>
      </w:divBdr>
    </w:div>
    <w:div w:id="148650847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5828">
      <w:bodyDiv w:val="1"/>
      <w:marLeft w:val="0"/>
      <w:marRight w:val="0"/>
      <w:marTop w:val="0"/>
      <w:marBottom w:val="0"/>
      <w:divBdr>
        <w:top w:val="none" w:sz="0" w:space="0" w:color="auto"/>
        <w:left w:val="none" w:sz="0" w:space="0" w:color="auto"/>
        <w:bottom w:val="none" w:sz="0" w:space="0" w:color="auto"/>
        <w:right w:val="none" w:sz="0" w:space="0" w:color="auto"/>
      </w:divBdr>
    </w:div>
    <w:div w:id="21334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7B30-317D-473C-AA26-81FEBA97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1724</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2016-04-11T15:44:00Z</cp:lastPrinted>
  <dcterms:created xsi:type="dcterms:W3CDTF">2016-04-08T15:18:00Z</dcterms:created>
  <dcterms:modified xsi:type="dcterms:W3CDTF">2016-09-23T20:30:00Z</dcterms:modified>
</cp:coreProperties>
</file>