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C02" w:rsidRPr="00767755" w:rsidRDefault="00624C02" w:rsidP="00624C02">
      <w:pPr>
        <w:jc w:val="both"/>
        <w:rPr>
          <w:rFonts w:ascii="Arial" w:hAnsi="Arial" w:cs="Arial"/>
          <w:bCs/>
          <w:spacing w:val="-8"/>
          <w:sz w:val="19"/>
          <w:szCs w:val="19"/>
          <w:lang w:val="es-CO"/>
        </w:rPr>
      </w:pPr>
      <w:r w:rsidRPr="00767755">
        <w:rPr>
          <w:rFonts w:ascii="Arial" w:hAnsi="Arial" w:cs="Arial"/>
          <w:bCs/>
          <w:spacing w:val="-8"/>
          <w:sz w:val="19"/>
          <w:szCs w:val="19"/>
          <w:lang w:val="es-CO"/>
        </w:rPr>
        <w:t xml:space="preserve">TUTELA CONTRA PROVIDENCIA JUDICIAL/ Improcedencia </w:t>
      </w:r>
      <w:r w:rsidR="00A21753" w:rsidRPr="00767755">
        <w:rPr>
          <w:rFonts w:ascii="Arial" w:hAnsi="Arial" w:cs="Arial"/>
          <w:bCs/>
          <w:spacing w:val="-8"/>
          <w:sz w:val="19"/>
          <w:szCs w:val="19"/>
          <w:lang w:val="es-CO"/>
        </w:rPr>
        <w:t>por superarse el término raz</w:t>
      </w:r>
      <w:r w:rsidR="00767755">
        <w:rPr>
          <w:rFonts w:ascii="Arial" w:hAnsi="Arial" w:cs="Arial"/>
          <w:bCs/>
          <w:spacing w:val="-8"/>
          <w:sz w:val="19"/>
          <w:szCs w:val="19"/>
          <w:lang w:val="es-CO"/>
        </w:rPr>
        <w:t>onable para interponer la acción</w:t>
      </w:r>
      <w:r w:rsidR="00A21753" w:rsidRPr="00767755">
        <w:rPr>
          <w:rFonts w:ascii="Arial" w:hAnsi="Arial" w:cs="Arial"/>
          <w:bCs/>
          <w:spacing w:val="-8"/>
          <w:sz w:val="19"/>
          <w:szCs w:val="19"/>
          <w:lang w:val="es-CO"/>
        </w:rPr>
        <w:t xml:space="preserve"> y por </w:t>
      </w:r>
      <w:r w:rsidR="009B0F5B" w:rsidRPr="00767755">
        <w:rPr>
          <w:rFonts w:ascii="Arial" w:hAnsi="Arial" w:cs="Arial"/>
          <w:bCs/>
          <w:spacing w:val="-8"/>
          <w:sz w:val="19"/>
          <w:szCs w:val="19"/>
          <w:lang w:val="es-CO"/>
        </w:rPr>
        <w:t>no agotarse los recursos disponibles contra la</w:t>
      </w:r>
      <w:r w:rsidR="00767755" w:rsidRPr="00767755">
        <w:rPr>
          <w:rFonts w:ascii="Arial" w:hAnsi="Arial" w:cs="Arial"/>
          <w:bCs/>
          <w:spacing w:val="-8"/>
          <w:sz w:val="19"/>
          <w:szCs w:val="19"/>
          <w:lang w:val="es-CO"/>
        </w:rPr>
        <w:t>s</w:t>
      </w:r>
      <w:r w:rsidR="009B0F5B" w:rsidRPr="00767755">
        <w:rPr>
          <w:rFonts w:ascii="Arial" w:hAnsi="Arial" w:cs="Arial"/>
          <w:bCs/>
          <w:spacing w:val="-8"/>
          <w:sz w:val="19"/>
          <w:szCs w:val="19"/>
          <w:lang w:val="es-CO"/>
        </w:rPr>
        <w:t xml:space="preserve"> decisi</w:t>
      </w:r>
      <w:r w:rsidR="00767755" w:rsidRPr="00767755">
        <w:rPr>
          <w:rFonts w:ascii="Arial" w:hAnsi="Arial" w:cs="Arial"/>
          <w:bCs/>
          <w:spacing w:val="-8"/>
          <w:sz w:val="19"/>
          <w:szCs w:val="19"/>
          <w:lang w:val="es-CO"/>
        </w:rPr>
        <w:t>ones</w:t>
      </w:r>
      <w:r w:rsidR="009B0F5B" w:rsidRPr="00767755">
        <w:rPr>
          <w:rFonts w:ascii="Arial" w:hAnsi="Arial" w:cs="Arial"/>
          <w:bCs/>
          <w:spacing w:val="-8"/>
          <w:sz w:val="19"/>
          <w:szCs w:val="19"/>
          <w:lang w:val="es-CO"/>
        </w:rPr>
        <w:t xml:space="preserve"> objeto del amparo</w:t>
      </w:r>
    </w:p>
    <w:p w:rsidR="00624C02" w:rsidRPr="00767755" w:rsidRDefault="00624C02" w:rsidP="00624C02">
      <w:pPr>
        <w:jc w:val="both"/>
        <w:rPr>
          <w:rFonts w:ascii="Arial" w:hAnsi="Arial" w:cs="Arial"/>
          <w:bCs/>
          <w:spacing w:val="-8"/>
          <w:sz w:val="19"/>
          <w:szCs w:val="19"/>
          <w:lang w:val="es-CO"/>
        </w:rPr>
      </w:pPr>
    </w:p>
    <w:p w:rsidR="00E74605" w:rsidRPr="00767755" w:rsidRDefault="00E74605" w:rsidP="00E74605">
      <w:pPr>
        <w:jc w:val="both"/>
        <w:rPr>
          <w:rFonts w:ascii="Arial" w:hAnsi="Arial" w:cs="Arial"/>
          <w:bCs/>
          <w:spacing w:val="-8"/>
          <w:sz w:val="19"/>
          <w:szCs w:val="19"/>
          <w:lang w:val="es-CO"/>
        </w:rPr>
      </w:pPr>
      <w:r w:rsidRPr="00767755">
        <w:rPr>
          <w:rFonts w:ascii="Arial" w:hAnsi="Arial" w:cs="Arial"/>
          <w:bCs/>
          <w:spacing w:val="-8"/>
          <w:sz w:val="19"/>
          <w:szCs w:val="19"/>
          <w:lang w:val="es-CO"/>
        </w:rPr>
        <w:t>“</w:t>
      </w:r>
      <w:r w:rsidRPr="00767755">
        <w:rPr>
          <w:rFonts w:ascii="Arial" w:hAnsi="Arial" w:cs="Arial"/>
          <w:bCs/>
          <w:spacing w:val="-8"/>
          <w:sz w:val="19"/>
          <w:szCs w:val="19"/>
          <w:lang w:val="es-CO"/>
        </w:rPr>
        <w:t>El actor alega que el juzgado accionado incurrió en vía de hecho en la sentencia que resolvió las excepciones formuladas, dictada el día 03-03-2015 (</w:t>
      </w:r>
      <w:r w:rsidR="009B0F5B" w:rsidRPr="00767755">
        <w:rPr>
          <w:rFonts w:ascii="Arial" w:hAnsi="Arial" w:cs="Arial"/>
          <w:bCs/>
          <w:spacing w:val="-8"/>
          <w:sz w:val="19"/>
          <w:szCs w:val="19"/>
          <w:lang w:val="es-CO"/>
        </w:rPr>
        <w:t>…)</w:t>
      </w:r>
      <w:r w:rsidRPr="00767755">
        <w:rPr>
          <w:rFonts w:ascii="Arial" w:hAnsi="Arial" w:cs="Arial"/>
          <w:bCs/>
          <w:spacing w:val="-8"/>
          <w:sz w:val="19"/>
          <w:szCs w:val="19"/>
          <w:lang w:val="es-CO"/>
        </w:rPr>
        <w:t xml:space="preserve"> debidamente notificada y ejecutoriada el día 19-03-2015 (</w:t>
      </w:r>
      <w:r w:rsidR="009B0F5B" w:rsidRPr="00767755">
        <w:rPr>
          <w:rFonts w:ascii="Arial" w:hAnsi="Arial" w:cs="Arial"/>
          <w:bCs/>
          <w:spacing w:val="-8"/>
          <w:sz w:val="19"/>
          <w:szCs w:val="19"/>
          <w:lang w:val="es-CO"/>
        </w:rPr>
        <w:t>…)</w:t>
      </w:r>
      <w:r w:rsidRPr="00767755">
        <w:rPr>
          <w:rFonts w:ascii="Arial" w:hAnsi="Arial" w:cs="Arial"/>
          <w:bCs/>
          <w:spacing w:val="-8"/>
          <w:sz w:val="19"/>
          <w:szCs w:val="19"/>
          <w:lang w:val="es-CO"/>
        </w:rPr>
        <w:t xml:space="preserve"> por lo que evidente es que el presente amparo carece de inmediatez, pues su interposición (17-02-2016) desborda el plazo de los seis (6) meses </w:t>
      </w:r>
      <w:r w:rsidR="00005ED2" w:rsidRPr="00767755">
        <w:rPr>
          <w:rFonts w:ascii="Arial" w:hAnsi="Arial" w:cs="Arial"/>
          <w:bCs/>
          <w:spacing w:val="-8"/>
          <w:sz w:val="19"/>
          <w:szCs w:val="19"/>
          <w:lang w:val="es-CO"/>
        </w:rPr>
        <w:t>(…)</w:t>
      </w:r>
      <w:r w:rsidR="00DA41CA" w:rsidRPr="00767755">
        <w:rPr>
          <w:rFonts w:ascii="Arial" w:hAnsi="Arial" w:cs="Arial"/>
          <w:bCs/>
          <w:spacing w:val="-8"/>
          <w:sz w:val="19"/>
          <w:szCs w:val="19"/>
          <w:lang w:val="es-CO"/>
        </w:rPr>
        <w:t>”</w:t>
      </w:r>
    </w:p>
    <w:p w:rsidR="00E74605" w:rsidRPr="00767755" w:rsidRDefault="00E74605" w:rsidP="00E74605">
      <w:pPr>
        <w:jc w:val="both"/>
        <w:rPr>
          <w:rFonts w:ascii="Arial" w:hAnsi="Arial" w:cs="Arial"/>
          <w:bCs/>
          <w:spacing w:val="-8"/>
          <w:sz w:val="19"/>
          <w:szCs w:val="19"/>
          <w:lang w:val="es-CO"/>
        </w:rPr>
      </w:pPr>
    </w:p>
    <w:p w:rsidR="00E74605" w:rsidRPr="00767755" w:rsidRDefault="00DA41CA" w:rsidP="00E74605">
      <w:pPr>
        <w:jc w:val="both"/>
        <w:rPr>
          <w:rFonts w:ascii="Arial" w:hAnsi="Arial" w:cs="Arial"/>
          <w:bCs/>
          <w:spacing w:val="-8"/>
          <w:sz w:val="19"/>
          <w:szCs w:val="19"/>
          <w:lang w:val="es-CO"/>
        </w:rPr>
      </w:pPr>
      <w:r w:rsidRPr="00767755">
        <w:rPr>
          <w:rFonts w:ascii="Arial" w:hAnsi="Arial" w:cs="Arial"/>
          <w:bCs/>
          <w:spacing w:val="-8"/>
          <w:sz w:val="19"/>
          <w:szCs w:val="19"/>
          <w:lang w:val="es-CO"/>
        </w:rPr>
        <w:t>“</w:t>
      </w:r>
      <w:r w:rsidR="00005ED2" w:rsidRPr="00767755">
        <w:rPr>
          <w:rFonts w:ascii="Arial" w:hAnsi="Arial" w:cs="Arial"/>
          <w:bCs/>
          <w:spacing w:val="-8"/>
          <w:sz w:val="19"/>
          <w:szCs w:val="19"/>
          <w:lang w:val="es-CO"/>
        </w:rPr>
        <w:t xml:space="preserve">(…) </w:t>
      </w:r>
      <w:r w:rsidR="00E74605" w:rsidRPr="00767755">
        <w:rPr>
          <w:rFonts w:ascii="Arial" w:hAnsi="Arial" w:cs="Arial"/>
          <w:bCs/>
          <w:spacing w:val="-8"/>
          <w:sz w:val="19"/>
          <w:szCs w:val="19"/>
          <w:lang w:val="es-CO"/>
        </w:rPr>
        <w:t xml:space="preserve">también habría lugar a declarar la improcedencia de la acción por el incumplimiento del supuesto de subsidiariedad, pues en el proceso ejecutivo hipotecario de menor cuantía, no se agotaron los mecanismos ordinarios de defensa judicial, en efecto, contra el fallo que ordenó seguir adelante con la ejecución y posterior remate del bien aprisionado, dejó de presentar el recurso de apelación </w:t>
      </w:r>
      <w:r w:rsidR="00767755" w:rsidRPr="00767755">
        <w:rPr>
          <w:rFonts w:ascii="Arial" w:hAnsi="Arial" w:cs="Arial"/>
          <w:bCs/>
          <w:spacing w:val="-8"/>
          <w:sz w:val="19"/>
          <w:szCs w:val="19"/>
          <w:lang w:val="es-CO"/>
        </w:rPr>
        <w:t>(…</w:t>
      </w:r>
      <w:r w:rsidR="00E74605" w:rsidRPr="00767755">
        <w:rPr>
          <w:rFonts w:ascii="Arial" w:hAnsi="Arial" w:cs="Arial"/>
          <w:bCs/>
          <w:spacing w:val="-8"/>
          <w:sz w:val="19"/>
          <w:szCs w:val="19"/>
          <w:lang w:val="es-CO"/>
        </w:rPr>
        <w:t>) pese a su viabilidad, pues se trata de una sentencia de primera instancia (</w:t>
      </w:r>
      <w:r w:rsidR="00767755" w:rsidRPr="00767755">
        <w:rPr>
          <w:rFonts w:ascii="Arial" w:hAnsi="Arial" w:cs="Arial"/>
          <w:bCs/>
          <w:spacing w:val="-8"/>
          <w:sz w:val="19"/>
          <w:szCs w:val="19"/>
          <w:lang w:val="es-CO"/>
        </w:rPr>
        <w:t>…)”</w:t>
      </w:r>
    </w:p>
    <w:p w:rsidR="00624C02" w:rsidRPr="00767755" w:rsidRDefault="00624C02" w:rsidP="00624C02">
      <w:pPr>
        <w:ind w:right="51"/>
        <w:jc w:val="both"/>
        <w:rPr>
          <w:rFonts w:ascii="Arial" w:hAnsi="Arial"/>
          <w:spacing w:val="-8"/>
          <w:sz w:val="17"/>
          <w:szCs w:val="17"/>
        </w:rPr>
      </w:pPr>
    </w:p>
    <w:p w:rsidR="00624C02" w:rsidRPr="00767755" w:rsidRDefault="00624C02" w:rsidP="00767755">
      <w:pPr>
        <w:ind w:right="51"/>
        <w:jc w:val="both"/>
        <w:rPr>
          <w:rFonts w:ascii="Arial" w:hAnsi="Arial"/>
          <w:spacing w:val="-8"/>
          <w:sz w:val="17"/>
          <w:szCs w:val="17"/>
        </w:rPr>
      </w:pPr>
      <w:r w:rsidRPr="00767755">
        <w:rPr>
          <w:rFonts w:ascii="Arial" w:hAnsi="Arial"/>
          <w:spacing w:val="-8"/>
          <w:sz w:val="17"/>
          <w:szCs w:val="17"/>
        </w:rPr>
        <w:t>Citas:</w:t>
      </w:r>
      <w:r w:rsidRPr="00767755">
        <w:rPr>
          <w:spacing w:val="-8"/>
          <w:sz w:val="17"/>
          <w:szCs w:val="17"/>
        </w:rPr>
        <w:t xml:space="preserve"> </w:t>
      </w:r>
      <w:r w:rsidRPr="00767755">
        <w:rPr>
          <w:rFonts w:ascii="Arial" w:hAnsi="Arial"/>
          <w:spacing w:val="-8"/>
          <w:sz w:val="17"/>
          <w:szCs w:val="17"/>
        </w:rPr>
        <w:t>Corte Constitucional, sentencias T-134 de 1994</w:t>
      </w:r>
      <w:r w:rsidR="00DD55BF" w:rsidRPr="00767755">
        <w:rPr>
          <w:rFonts w:ascii="Arial" w:hAnsi="Arial"/>
          <w:spacing w:val="-8"/>
          <w:sz w:val="17"/>
          <w:szCs w:val="17"/>
        </w:rPr>
        <w:t xml:space="preserve">, T-567 de 1998 y T-103 de 2014; </w:t>
      </w:r>
      <w:r w:rsidR="00870BBA" w:rsidRPr="00767755">
        <w:rPr>
          <w:rFonts w:ascii="Arial" w:hAnsi="Arial" w:cs="Arial"/>
          <w:spacing w:val="-8"/>
          <w:sz w:val="17"/>
          <w:szCs w:val="17"/>
          <w:lang w:val="es-CO"/>
        </w:rPr>
        <w:t xml:space="preserve">Corte Suprema de Justicia, Sala Civil, sentencia </w:t>
      </w:r>
      <w:r w:rsidR="00870BBA" w:rsidRPr="00767755">
        <w:rPr>
          <w:rFonts w:ascii="Arial" w:hAnsi="Arial" w:cs="Arial"/>
          <w:iCs/>
          <w:spacing w:val="-8"/>
          <w:sz w:val="17"/>
          <w:szCs w:val="17"/>
          <w:lang w:val="es-CO"/>
        </w:rPr>
        <w:t>de 29 de abril de 2009 -rad. 00624-00-.</w:t>
      </w:r>
    </w:p>
    <w:p w:rsidR="003913E3" w:rsidRDefault="00165382" w:rsidP="00F839CE">
      <w:pPr>
        <w:pStyle w:val="Sinespaciado"/>
        <w:spacing w:line="360" w:lineRule="auto"/>
        <w:rPr>
          <w:rFonts w:ascii="Arial" w:hAnsi="Arial" w:cs="Arial"/>
          <w:w w:val="140"/>
        </w:rPr>
      </w:pPr>
      <w:r>
        <w:rPr>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inespaciado"/>
        <w:spacing w:line="360" w:lineRule="auto"/>
        <w:rPr>
          <w:rFonts w:ascii="Arial" w:hAnsi="Arial" w:cs="Arial"/>
          <w:w w:val="140"/>
          <w:sz w:val="14"/>
        </w:rPr>
      </w:pPr>
    </w:p>
    <w:p w:rsidR="003913E3" w:rsidRDefault="003913E3" w:rsidP="00417661">
      <w:pPr>
        <w:pStyle w:val="Sinespaciado"/>
        <w:spacing w:line="360" w:lineRule="auto"/>
        <w:ind w:left="708" w:firstLine="708"/>
        <w:jc w:val="center"/>
        <w:rPr>
          <w:rFonts w:ascii="Arial" w:hAnsi="Arial" w:cs="Arial"/>
          <w:w w:val="140"/>
          <w:sz w:val="14"/>
        </w:rPr>
      </w:pPr>
    </w:p>
    <w:p w:rsidR="003913E3" w:rsidRPr="007860C0" w:rsidRDefault="003913E3" w:rsidP="00D37757">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3913E3" w:rsidRPr="007860C0" w:rsidRDefault="003913E3" w:rsidP="00692159">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3913E3" w:rsidRPr="00E55393" w:rsidRDefault="003913E3" w:rsidP="00692159">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E702E" w:rsidRPr="003D195F" w:rsidRDefault="004E702E" w:rsidP="004E702E">
      <w:pPr>
        <w:pStyle w:val="Sinespaciado"/>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C65627" w:rsidRPr="007860C0" w:rsidRDefault="00C65627" w:rsidP="00C65627">
      <w:pPr>
        <w:pStyle w:val="Sinespaciado"/>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3913E3" w:rsidRPr="005069CE" w:rsidRDefault="003913E3" w:rsidP="00F839CE">
      <w:pPr>
        <w:spacing w:line="360" w:lineRule="auto"/>
        <w:jc w:val="center"/>
        <w:rPr>
          <w:rFonts w:ascii="Arial" w:hAnsi="Arial" w:cs="Arial"/>
          <w:b/>
          <w:bCs/>
          <w:szCs w:val="26"/>
        </w:rPr>
      </w:pPr>
    </w:p>
    <w:p w:rsidR="003913E3" w:rsidRPr="00F86DCE" w:rsidRDefault="003913E3" w:rsidP="00F839CE">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Pr="00F86DCE">
        <w:rPr>
          <w:rFonts w:ascii="Arial" w:hAnsi="Arial"/>
          <w:sz w:val="22"/>
          <w:szCs w:val="22"/>
        </w:rPr>
        <w:t>Asunto</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Sentencia de tutela en segunda instancia</w:t>
      </w:r>
    </w:p>
    <w:p w:rsidR="003913E3" w:rsidRDefault="003913E3" w:rsidP="00F839CE">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004E702E">
        <w:rPr>
          <w:rFonts w:ascii="Arial" w:hAnsi="Arial"/>
          <w:sz w:val="22"/>
          <w:szCs w:val="22"/>
        </w:rPr>
        <w:t xml:space="preserve"> (s)</w:t>
      </w:r>
      <w:r w:rsidRPr="00F86DCE">
        <w:rPr>
          <w:rFonts w:ascii="Arial" w:hAnsi="Arial"/>
          <w:sz w:val="22"/>
          <w:szCs w:val="22"/>
        </w:rPr>
        <w:tab/>
      </w:r>
      <w:r w:rsidRPr="00F86DCE">
        <w:rPr>
          <w:rFonts w:ascii="Arial" w:hAnsi="Arial"/>
          <w:sz w:val="22"/>
          <w:szCs w:val="22"/>
        </w:rPr>
        <w:tab/>
        <w:t xml:space="preserve">: </w:t>
      </w:r>
      <w:r w:rsidR="00FC0A07">
        <w:rPr>
          <w:rFonts w:ascii="Arial" w:hAnsi="Arial"/>
          <w:sz w:val="22"/>
          <w:szCs w:val="22"/>
        </w:rPr>
        <w:t>José Arlen Ferro Martínez</w:t>
      </w:r>
    </w:p>
    <w:p w:rsidR="00E06AE8" w:rsidRDefault="00E06AE8" w:rsidP="00E06AE8">
      <w:pPr>
        <w:pStyle w:val="Textoindependiente"/>
        <w:spacing w:line="360" w:lineRule="auto"/>
        <w:rPr>
          <w:rFonts w:ascii="Arial" w:hAnsi="Arial"/>
          <w:sz w:val="22"/>
          <w:szCs w:val="22"/>
          <w:lang w:val="es-CO"/>
        </w:rPr>
      </w:pPr>
      <w:r w:rsidRPr="00F86DCE">
        <w:rPr>
          <w:rFonts w:ascii="Arial" w:hAnsi="Arial"/>
          <w:sz w:val="22"/>
          <w:szCs w:val="22"/>
        </w:rPr>
        <w:tab/>
      </w:r>
      <w:r>
        <w:rPr>
          <w:rFonts w:ascii="Arial" w:hAnsi="Arial"/>
          <w:sz w:val="22"/>
          <w:szCs w:val="22"/>
        </w:rPr>
        <w:tab/>
      </w:r>
      <w:r w:rsidR="00FC0A07">
        <w:rPr>
          <w:rFonts w:ascii="Arial" w:hAnsi="Arial"/>
          <w:sz w:val="22"/>
          <w:szCs w:val="22"/>
        </w:rPr>
        <w:t xml:space="preserve">Accionado (s) </w:t>
      </w:r>
      <w:r w:rsidR="00FC0A07">
        <w:rPr>
          <w:rFonts w:ascii="Arial" w:hAnsi="Arial"/>
          <w:sz w:val="22"/>
          <w:szCs w:val="22"/>
        </w:rPr>
        <w:tab/>
      </w:r>
      <w:r w:rsidRPr="00F86DCE">
        <w:rPr>
          <w:rFonts w:ascii="Arial" w:hAnsi="Arial"/>
          <w:sz w:val="22"/>
          <w:szCs w:val="22"/>
        </w:rPr>
        <w:tab/>
        <w:t xml:space="preserve">: </w:t>
      </w:r>
      <w:r w:rsidR="00E87A47">
        <w:rPr>
          <w:rFonts w:ascii="Arial" w:hAnsi="Arial"/>
          <w:sz w:val="22"/>
          <w:szCs w:val="22"/>
        </w:rPr>
        <w:t xml:space="preserve">Juzgado </w:t>
      </w:r>
      <w:r w:rsidR="00FC0A07">
        <w:rPr>
          <w:rFonts w:ascii="Arial" w:hAnsi="Arial"/>
          <w:sz w:val="22"/>
          <w:szCs w:val="22"/>
          <w:lang w:val="es-CO"/>
        </w:rPr>
        <w:t>Sexto Civil Municipal de Pereira y otro</w:t>
      </w:r>
    </w:p>
    <w:p w:rsidR="00FC0A07" w:rsidRDefault="00FC0A07" w:rsidP="00E06AE8">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t>Litisconsorte (s)</w:t>
      </w:r>
      <w:r>
        <w:rPr>
          <w:rFonts w:ascii="Arial" w:hAnsi="Arial"/>
          <w:sz w:val="22"/>
          <w:szCs w:val="22"/>
        </w:rPr>
        <w:tab/>
        <w:t>: Juzgado Séptimo Civil Municipal de Pereira y otra</w:t>
      </w:r>
    </w:p>
    <w:p w:rsidR="003913E3" w:rsidRDefault="003913E3" w:rsidP="00F839CE">
      <w:pPr>
        <w:pStyle w:val="Textoindependiente"/>
        <w:spacing w:line="360" w:lineRule="auto"/>
        <w:rPr>
          <w:rFonts w:ascii="Arial" w:hAnsi="Arial"/>
          <w:sz w:val="22"/>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sidR="00FC0A07">
        <w:rPr>
          <w:rFonts w:ascii="Arial" w:hAnsi="Arial"/>
          <w:sz w:val="22"/>
        </w:rPr>
        <w:t xml:space="preserve">2016-00037-01 </w:t>
      </w:r>
    </w:p>
    <w:p w:rsidR="00435CCB" w:rsidRDefault="003913E3" w:rsidP="00DB2859">
      <w:pPr>
        <w:pStyle w:val="Textoindependiente"/>
        <w:spacing w:line="360" w:lineRule="auto"/>
        <w:ind w:left="708" w:hanging="708"/>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sidR="002D6B23">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00435CCB" w:rsidRPr="009C10E2">
        <w:rPr>
          <w:rFonts w:ascii="Arial" w:hAnsi="Arial"/>
          <w:sz w:val="22"/>
          <w:szCs w:val="22"/>
        </w:rPr>
        <w:t>Procedibilidad</w:t>
      </w:r>
      <w:r w:rsidR="009C22A8">
        <w:rPr>
          <w:rFonts w:ascii="Arial" w:hAnsi="Arial"/>
          <w:sz w:val="22"/>
          <w:szCs w:val="22"/>
        </w:rPr>
        <w:t xml:space="preserve"> </w:t>
      </w:r>
      <w:r w:rsidR="00DB2859" w:rsidRPr="009C10E2">
        <w:rPr>
          <w:rFonts w:ascii="Arial" w:hAnsi="Arial"/>
          <w:sz w:val="22"/>
          <w:szCs w:val="22"/>
        </w:rPr>
        <w:t xml:space="preserve">- </w:t>
      </w:r>
      <w:r w:rsidR="00E06AE8">
        <w:rPr>
          <w:rFonts w:ascii="Arial" w:hAnsi="Arial"/>
          <w:sz w:val="22"/>
          <w:szCs w:val="22"/>
        </w:rPr>
        <w:t>Inmediatez</w:t>
      </w:r>
      <w:r w:rsidR="009C22A8">
        <w:rPr>
          <w:rFonts w:ascii="Arial" w:hAnsi="Arial"/>
          <w:sz w:val="22"/>
          <w:szCs w:val="22"/>
        </w:rPr>
        <w:t xml:space="preserve"> - Subsidiariedad</w:t>
      </w:r>
    </w:p>
    <w:p w:rsidR="00DB2859" w:rsidRDefault="00435CCB" w:rsidP="00DB2859">
      <w:pPr>
        <w:pStyle w:val="Textoindependiente"/>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t xml:space="preserve">: </w:t>
      </w:r>
      <w:r w:rsidR="00E87A47">
        <w:rPr>
          <w:rFonts w:ascii="Arial" w:hAnsi="Arial"/>
          <w:sz w:val="22"/>
          <w:szCs w:val="22"/>
        </w:rPr>
        <w:t xml:space="preserve">Juzgado </w:t>
      </w:r>
      <w:r w:rsidR="00FC0A07">
        <w:rPr>
          <w:rFonts w:ascii="Arial" w:hAnsi="Arial"/>
          <w:sz w:val="22"/>
          <w:szCs w:val="22"/>
        </w:rPr>
        <w:t xml:space="preserve">Cuarto Civil </w:t>
      </w:r>
      <w:r w:rsidR="00E87A47">
        <w:rPr>
          <w:rFonts w:ascii="Arial" w:hAnsi="Arial"/>
          <w:sz w:val="22"/>
          <w:szCs w:val="22"/>
        </w:rPr>
        <w:t xml:space="preserve">del Circuito de </w:t>
      </w:r>
      <w:r w:rsidR="00FC0A07">
        <w:rPr>
          <w:rFonts w:ascii="Arial" w:hAnsi="Arial"/>
          <w:sz w:val="22"/>
          <w:szCs w:val="22"/>
        </w:rPr>
        <w:t>Pereira</w:t>
      </w:r>
      <w:r w:rsidR="00E87A47">
        <w:rPr>
          <w:rFonts w:ascii="Arial" w:hAnsi="Arial"/>
          <w:sz w:val="22"/>
          <w:szCs w:val="22"/>
        </w:rPr>
        <w:t>.</w:t>
      </w:r>
    </w:p>
    <w:p w:rsidR="003913E3" w:rsidRPr="00B772B6" w:rsidRDefault="003913E3"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r w:rsidRPr="00F86DCE">
        <w:rPr>
          <w:rFonts w:ascii="Arial" w:hAnsi="Arial" w:cs="Arial"/>
          <w:smallCaps/>
          <w:sz w:val="22"/>
          <w:szCs w:val="22"/>
          <w:lang w:val="es-CO"/>
        </w:rPr>
        <w:t>Duberney Grisales Herrera</w:t>
      </w:r>
    </w:p>
    <w:p w:rsidR="003913E3" w:rsidRPr="00F86DCE" w:rsidRDefault="003913E3" w:rsidP="00EC7665">
      <w:pPr>
        <w:spacing w:line="360" w:lineRule="auto"/>
        <w:ind w:left="708" w:firstLine="708"/>
        <w:rPr>
          <w:rFonts w:ascii="Arial" w:hAnsi="Arial" w:cs="Arial"/>
          <w:b/>
          <w:bCs/>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CD5D7B">
        <w:rPr>
          <w:rFonts w:ascii="Arial" w:hAnsi="Arial"/>
          <w:sz w:val="22"/>
          <w:szCs w:val="22"/>
        </w:rPr>
        <w:t>173 de 18-04-2016</w:t>
      </w:r>
    </w:p>
    <w:p w:rsidR="003913E3" w:rsidRPr="005069CE" w:rsidRDefault="003913E3" w:rsidP="00F839CE">
      <w:pPr>
        <w:pBdr>
          <w:bottom w:val="double" w:sz="6" w:space="1" w:color="auto"/>
        </w:pBdr>
        <w:spacing w:line="360" w:lineRule="auto"/>
        <w:jc w:val="center"/>
        <w:rPr>
          <w:rFonts w:ascii="Arial" w:hAnsi="Arial" w:cs="Arial"/>
          <w:b/>
          <w:bCs/>
          <w:szCs w:val="22"/>
        </w:rPr>
      </w:pPr>
    </w:p>
    <w:p w:rsidR="003913E3" w:rsidRPr="005069CE" w:rsidRDefault="003913E3" w:rsidP="00F839CE">
      <w:pPr>
        <w:spacing w:line="360" w:lineRule="auto"/>
        <w:jc w:val="center"/>
        <w:rPr>
          <w:rFonts w:ascii="Arial" w:hAnsi="Arial" w:cs="Arial"/>
          <w:b/>
          <w:bCs/>
          <w:szCs w:val="22"/>
        </w:rPr>
      </w:pPr>
    </w:p>
    <w:p w:rsidR="003913E3" w:rsidRPr="00311FCA" w:rsidRDefault="003913E3" w:rsidP="00F839CE">
      <w:pPr>
        <w:spacing w:line="360" w:lineRule="auto"/>
        <w:jc w:val="center"/>
        <w:rPr>
          <w:rFonts w:ascii="Arial" w:hAnsi="Arial" w:cs="Arial"/>
          <w:iCs/>
          <w:lang w:val="es-CO"/>
        </w:rPr>
      </w:pPr>
      <w:r w:rsidRPr="00311FCA">
        <w:rPr>
          <w:rFonts w:ascii="Arial" w:hAnsi="Arial" w:cs="Arial"/>
          <w:iCs/>
          <w:smallCaps/>
          <w:lang w:val="es-CO"/>
        </w:rPr>
        <w:t xml:space="preserve">Pereira, </w:t>
      </w:r>
      <w:r w:rsidR="00E87A47">
        <w:rPr>
          <w:rFonts w:ascii="Arial" w:hAnsi="Arial" w:cs="Arial"/>
          <w:iCs/>
          <w:smallCaps/>
          <w:lang w:val="es-CO"/>
        </w:rPr>
        <w:t>R.</w:t>
      </w:r>
      <w:r w:rsidRPr="00311FCA">
        <w:rPr>
          <w:rFonts w:ascii="Arial" w:hAnsi="Arial" w:cs="Arial"/>
          <w:iCs/>
          <w:smallCaps/>
          <w:lang w:val="es-CO"/>
        </w:rPr>
        <w:t xml:space="preserve">, </w:t>
      </w:r>
      <w:r w:rsidR="00CD5D7B">
        <w:rPr>
          <w:rFonts w:ascii="Arial" w:hAnsi="Arial" w:cs="Arial"/>
          <w:iCs/>
          <w:smallCaps/>
          <w:lang w:val="es-CO"/>
        </w:rPr>
        <w:t xml:space="preserve">dieciocho </w:t>
      </w:r>
      <w:r w:rsidRPr="00311FCA">
        <w:rPr>
          <w:rFonts w:ascii="Arial" w:hAnsi="Arial" w:cs="Arial"/>
          <w:iCs/>
          <w:smallCaps/>
          <w:lang w:val="es-CO"/>
        </w:rPr>
        <w:t>(</w:t>
      </w:r>
      <w:r w:rsidR="00CD5D7B">
        <w:rPr>
          <w:rFonts w:ascii="Arial" w:hAnsi="Arial" w:cs="Arial"/>
          <w:iCs/>
          <w:smallCaps/>
          <w:lang w:val="es-CO"/>
        </w:rPr>
        <w:t>18</w:t>
      </w:r>
      <w:r w:rsidRPr="00311FCA">
        <w:rPr>
          <w:rFonts w:ascii="Arial" w:hAnsi="Arial" w:cs="Arial"/>
          <w:iCs/>
          <w:smallCaps/>
          <w:lang w:val="es-CO"/>
        </w:rPr>
        <w:t xml:space="preserve">) de </w:t>
      </w:r>
      <w:r w:rsidR="00FC0A07">
        <w:rPr>
          <w:rFonts w:ascii="Arial" w:hAnsi="Arial" w:cs="Arial"/>
          <w:iCs/>
          <w:smallCaps/>
          <w:lang w:val="es-CO"/>
        </w:rPr>
        <w:t xml:space="preserve">abril </w:t>
      </w:r>
      <w:r w:rsidRPr="00311FCA">
        <w:rPr>
          <w:rFonts w:ascii="Arial" w:hAnsi="Arial" w:cs="Arial"/>
          <w:iCs/>
          <w:smallCaps/>
          <w:lang w:val="es-CO"/>
        </w:rPr>
        <w:t xml:space="preserve">de dos mil </w:t>
      </w:r>
      <w:r w:rsidR="00E87A47">
        <w:rPr>
          <w:rFonts w:ascii="Arial" w:hAnsi="Arial" w:cs="Arial"/>
          <w:iCs/>
          <w:smallCaps/>
          <w:lang w:val="es-CO"/>
        </w:rPr>
        <w:t xml:space="preserve">dieciséis </w:t>
      </w:r>
      <w:r w:rsidRPr="00311FCA">
        <w:rPr>
          <w:rFonts w:ascii="Arial" w:hAnsi="Arial" w:cs="Arial"/>
          <w:iCs/>
          <w:smallCaps/>
          <w:lang w:val="es-CO"/>
        </w:rPr>
        <w:t>(</w:t>
      </w:r>
      <w:r w:rsidR="00E87A47">
        <w:rPr>
          <w:rFonts w:ascii="Arial" w:hAnsi="Arial" w:cs="Arial"/>
          <w:iCs/>
          <w:smallCaps/>
          <w:lang w:val="es-CO"/>
        </w:rPr>
        <w:t>2016</w:t>
      </w:r>
      <w:r w:rsidRPr="00311FCA">
        <w:rPr>
          <w:rFonts w:ascii="Arial" w:hAnsi="Arial" w:cs="Arial"/>
          <w:iCs/>
          <w:smallCaps/>
          <w:lang w:val="es-CO"/>
        </w:rPr>
        <w:t>)</w:t>
      </w:r>
      <w:r w:rsidRPr="00311FCA">
        <w:rPr>
          <w:rFonts w:ascii="Arial" w:hAnsi="Arial" w:cs="Arial"/>
          <w:iCs/>
          <w:lang w:val="es-CO"/>
        </w:rPr>
        <w:t>.</w:t>
      </w:r>
    </w:p>
    <w:p w:rsidR="003913E3" w:rsidRPr="00311FCA" w:rsidRDefault="003913E3" w:rsidP="00F839CE">
      <w:pPr>
        <w:pStyle w:val="Textoindependiente"/>
        <w:spacing w:line="360" w:lineRule="auto"/>
        <w:rPr>
          <w:rFonts w:ascii="Arial" w:hAnsi="Arial" w:cs="Arial"/>
          <w:sz w:val="24"/>
          <w:szCs w:val="24"/>
          <w:lang w:val="es-CO"/>
        </w:rPr>
      </w:pP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r w:rsidRPr="00311FCA">
        <w:rPr>
          <w:rFonts w:ascii="Arial" w:hAnsi="Arial" w:cs="Arial"/>
          <w:sz w:val="24"/>
          <w:szCs w:val="24"/>
        </w:rPr>
        <w:t>EL ASUNTO A DECIDIR</w:t>
      </w:r>
    </w:p>
    <w:p w:rsidR="003913E3" w:rsidRPr="00311FCA" w:rsidRDefault="003913E3" w:rsidP="00F839CE">
      <w:pPr>
        <w:pStyle w:val="Textoindependiente"/>
        <w:spacing w:line="360" w:lineRule="auto"/>
        <w:rPr>
          <w:rFonts w:ascii="Arial" w:hAnsi="Arial" w:cs="Arial"/>
          <w:sz w:val="24"/>
          <w:szCs w:val="24"/>
        </w:rPr>
      </w:pPr>
    </w:p>
    <w:p w:rsidR="006545A0" w:rsidRPr="006545A0" w:rsidRDefault="006545A0" w:rsidP="006545A0">
      <w:pPr>
        <w:pStyle w:val="Textoindependiente"/>
        <w:spacing w:line="360" w:lineRule="auto"/>
        <w:rPr>
          <w:rFonts w:ascii="Arial" w:hAnsi="Arial"/>
          <w:sz w:val="24"/>
          <w:szCs w:val="24"/>
        </w:rPr>
      </w:pPr>
      <w:r w:rsidRPr="006545A0">
        <w:rPr>
          <w:rFonts w:ascii="Arial" w:hAnsi="Arial"/>
          <w:sz w:val="24"/>
          <w:szCs w:val="24"/>
        </w:rPr>
        <w:t xml:space="preserve">La impugnación </w:t>
      </w:r>
      <w:r w:rsidR="00435CCB">
        <w:rPr>
          <w:rFonts w:ascii="Arial" w:hAnsi="Arial"/>
          <w:sz w:val="24"/>
          <w:szCs w:val="24"/>
        </w:rPr>
        <w:t>suscitada</w:t>
      </w:r>
      <w:r w:rsidRPr="006545A0">
        <w:rPr>
          <w:rFonts w:ascii="Arial" w:hAnsi="Arial"/>
          <w:sz w:val="24"/>
          <w:szCs w:val="24"/>
        </w:rPr>
        <w:t xml:space="preserve"> en el trámite constitucional ya referido, una vez se ha cumplido la actuación de primera instancia.</w:t>
      </w: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LOS SUPUESTOS FÁCTICOS RELEVANTES</w:t>
      </w:r>
    </w:p>
    <w:p w:rsidR="003913E3" w:rsidRPr="00311FCA" w:rsidRDefault="003913E3" w:rsidP="00F839CE">
      <w:pPr>
        <w:pStyle w:val="Textoindependiente"/>
        <w:spacing w:line="360" w:lineRule="auto"/>
        <w:rPr>
          <w:rFonts w:ascii="Arial" w:hAnsi="Arial" w:cs="Arial"/>
          <w:sz w:val="24"/>
          <w:szCs w:val="24"/>
        </w:rPr>
      </w:pPr>
    </w:p>
    <w:p w:rsidR="003913E3" w:rsidRDefault="005A0E1D" w:rsidP="00386A25">
      <w:pPr>
        <w:pStyle w:val="Textoindependiente"/>
        <w:spacing w:line="360" w:lineRule="auto"/>
        <w:rPr>
          <w:rFonts w:ascii="Arial" w:hAnsi="Arial" w:cs="Arial"/>
          <w:color w:val="000000"/>
          <w:sz w:val="24"/>
          <w:szCs w:val="24"/>
          <w:lang w:val="es-CO"/>
        </w:rPr>
      </w:pPr>
      <w:r>
        <w:rPr>
          <w:rFonts w:ascii="Arial" w:hAnsi="Arial" w:cs="Arial"/>
          <w:sz w:val="24"/>
          <w:szCs w:val="24"/>
        </w:rPr>
        <w:t>I</w:t>
      </w:r>
      <w:r w:rsidR="00E06AE8">
        <w:rPr>
          <w:rFonts w:ascii="Arial" w:hAnsi="Arial" w:cs="Arial"/>
          <w:sz w:val="24"/>
          <w:szCs w:val="24"/>
        </w:rPr>
        <w:t xml:space="preserve">nformó </w:t>
      </w:r>
      <w:r w:rsidR="00E87A47">
        <w:rPr>
          <w:rFonts w:ascii="Arial" w:hAnsi="Arial" w:cs="Arial"/>
          <w:sz w:val="24"/>
          <w:szCs w:val="24"/>
        </w:rPr>
        <w:t>el actor</w:t>
      </w:r>
      <w:r w:rsidR="00E06AE8">
        <w:rPr>
          <w:rFonts w:ascii="Arial" w:hAnsi="Arial" w:cs="Arial"/>
          <w:sz w:val="24"/>
          <w:szCs w:val="24"/>
        </w:rPr>
        <w:t xml:space="preserve"> </w:t>
      </w:r>
      <w:r>
        <w:rPr>
          <w:rFonts w:ascii="Arial" w:hAnsi="Arial" w:cs="Arial"/>
          <w:sz w:val="24"/>
          <w:szCs w:val="24"/>
        </w:rPr>
        <w:t xml:space="preserve">que es </w:t>
      </w:r>
      <w:r w:rsidR="00FC0A07">
        <w:rPr>
          <w:rFonts w:ascii="Arial" w:hAnsi="Arial" w:cs="Arial"/>
          <w:sz w:val="24"/>
          <w:szCs w:val="24"/>
        </w:rPr>
        <w:t xml:space="preserve">demandado en proceso ejecutivo que se adelanta en el juzgado accionado, </w:t>
      </w:r>
      <w:r>
        <w:rPr>
          <w:rFonts w:ascii="Arial" w:hAnsi="Arial" w:cs="Arial"/>
          <w:sz w:val="24"/>
          <w:szCs w:val="24"/>
        </w:rPr>
        <w:t xml:space="preserve">quien </w:t>
      </w:r>
      <w:r w:rsidR="00FC0A07">
        <w:rPr>
          <w:rFonts w:ascii="Arial" w:hAnsi="Arial" w:cs="Arial"/>
          <w:sz w:val="24"/>
          <w:szCs w:val="24"/>
        </w:rPr>
        <w:t>profirió sentencia en la que ordenó continuar con el trámite y el remate de su vivienda</w:t>
      </w:r>
      <w:r>
        <w:rPr>
          <w:rFonts w:ascii="Arial" w:hAnsi="Arial" w:cs="Arial"/>
          <w:sz w:val="24"/>
          <w:szCs w:val="24"/>
        </w:rPr>
        <w:t xml:space="preserve"> familiar</w:t>
      </w:r>
      <w:r w:rsidR="00FC0A07">
        <w:rPr>
          <w:rFonts w:ascii="Arial" w:hAnsi="Arial" w:cs="Arial"/>
          <w:sz w:val="24"/>
          <w:szCs w:val="24"/>
        </w:rPr>
        <w:t xml:space="preserve">, </w:t>
      </w:r>
      <w:r>
        <w:rPr>
          <w:rFonts w:ascii="Arial" w:hAnsi="Arial" w:cs="Arial"/>
          <w:sz w:val="24"/>
          <w:szCs w:val="24"/>
        </w:rPr>
        <w:t xml:space="preserve">a pesar de que el crédito </w:t>
      </w:r>
      <w:r w:rsidR="001442CC">
        <w:rPr>
          <w:rFonts w:ascii="Arial" w:hAnsi="Arial" w:cs="Arial"/>
          <w:sz w:val="24"/>
          <w:szCs w:val="24"/>
        </w:rPr>
        <w:t xml:space="preserve">cobrado </w:t>
      </w:r>
      <w:r>
        <w:rPr>
          <w:rFonts w:ascii="Arial" w:hAnsi="Arial" w:cs="Arial"/>
          <w:sz w:val="24"/>
          <w:szCs w:val="24"/>
        </w:rPr>
        <w:t>ya estaba pagado, además</w:t>
      </w:r>
      <w:r w:rsidR="001442CC">
        <w:rPr>
          <w:rFonts w:ascii="Arial" w:hAnsi="Arial" w:cs="Arial"/>
          <w:sz w:val="24"/>
          <w:szCs w:val="24"/>
        </w:rPr>
        <w:t xml:space="preserve"> de que</w:t>
      </w:r>
      <w:r>
        <w:rPr>
          <w:rFonts w:ascii="Arial" w:hAnsi="Arial" w:cs="Arial"/>
          <w:sz w:val="24"/>
          <w:szCs w:val="24"/>
        </w:rPr>
        <w:t xml:space="preserve">, </w:t>
      </w:r>
      <w:r>
        <w:rPr>
          <w:rFonts w:ascii="Arial" w:hAnsi="Arial" w:cs="Arial"/>
          <w:sz w:val="24"/>
          <w:szCs w:val="24"/>
        </w:rPr>
        <w:lastRenderedPageBreak/>
        <w:t xml:space="preserve">nunca hizo la reliquidación </w:t>
      </w:r>
      <w:r w:rsidR="001442CC">
        <w:rPr>
          <w:rFonts w:ascii="Arial" w:hAnsi="Arial" w:cs="Arial"/>
          <w:sz w:val="24"/>
          <w:szCs w:val="24"/>
        </w:rPr>
        <w:t xml:space="preserve">del crédito </w:t>
      </w:r>
      <w:r w:rsidR="00B43EA8">
        <w:rPr>
          <w:rFonts w:ascii="Arial" w:hAnsi="Arial" w:cs="Arial"/>
          <w:sz w:val="24"/>
          <w:szCs w:val="24"/>
        </w:rPr>
        <w:t>conforme lo ordena la Ley; c</w:t>
      </w:r>
      <w:r>
        <w:rPr>
          <w:rFonts w:ascii="Arial" w:hAnsi="Arial" w:cs="Arial"/>
          <w:sz w:val="24"/>
          <w:szCs w:val="24"/>
        </w:rPr>
        <w:t xml:space="preserve">onsideró que el accionado en sus actuaciones incurrió en vía de hecho </w:t>
      </w:r>
      <w:r w:rsidR="003913E3" w:rsidRPr="00311FCA">
        <w:rPr>
          <w:rFonts w:ascii="Arial" w:hAnsi="Arial" w:cs="Arial"/>
          <w:color w:val="000000"/>
          <w:sz w:val="24"/>
          <w:szCs w:val="24"/>
          <w:lang w:val="es-CO"/>
        </w:rPr>
        <w:t xml:space="preserve">(Folio </w:t>
      </w:r>
      <w:r w:rsidR="00B26FA3">
        <w:rPr>
          <w:rFonts w:ascii="Arial" w:hAnsi="Arial" w:cs="Arial"/>
          <w:color w:val="000000"/>
          <w:sz w:val="24"/>
          <w:szCs w:val="24"/>
          <w:lang w:val="es-CO"/>
        </w:rPr>
        <w:t>1 a 3</w:t>
      </w:r>
      <w:r w:rsidR="003913E3" w:rsidRPr="00311FCA">
        <w:rPr>
          <w:rFonts w:ascii="Arial" w:hAnsi="Arial" w:cs="Arial"/>
          <w:color w:val="000000"/>
          <w:sz w:val="24"/>
          <w:szCs w:val="24"/>
          <w:lang w:val="es-CO"/>
        </w:rPr>
        <w:t xml:space="preserve">, del cuaderno </w:t>
      </w:r>
      <w:r w:rsidR="00D13C1E" w:rsidRPr="00386A25">
        <w:rPr>
          <w:rFonts w:ascii="Arial" w:hAnsi="Arial" w:cs="Arial"/>
          <w:color w:val="000000"/>
          <w:sz w:val="24"/>
          <w:lang w:val="es-CO"/>
        </w:rPr>
        <w:t>No.1</w:t>
      </w:r>
      <w:r w:rsidR="003913E3" w:rsidRPr="00311FCA">
        <w:rPr>
          <w:rFonts w:ascii="Arial" w:hAnsi="Arial" w:cs="Arial"/>
          <w:color w:val="000000"/>
          <w:sz w:val="24"/>
          <w:szCs w:val="24"/>
          <w:lang w:val="es-CO"/>
        </w:rPr>
        <w:t>).</w:t>
      </w:r>
    </w:p>
    <w:p w:rsidR="00996E1D" w:rsidRDefault="00996E1D" w:rsidP="00386A25">
      <w:pPr>
        <w:pStyle w:val="Textoindependiente"/>
        <w:spacing w:line="360" w:lineRule="auto"/>
        <w:rPr>
          <w:rFonts w:ascii="Arial" w:hAnsi="Arial" w:cs="Arial"/>
          <w:color w:val="000000"/>
          <w:sz w:val="24"/>
          <w:szCs w:val="24"/>
          <w:lang w:val="es-CO"/>
        </w:rPr>
      </w:pPr>
    </w:p>
    <w:p w:rsidR="00996E1D" w:rsidRPr="00311FCA" w:rsidRDefault="00996E1D" w:rsidP="00386A25">
      <w:pPr>
        <w:pStyle w:val="Textoindependiente"/>
        <w:spacing w:line="360" w:lineRule="auto"/>
        <w:rPr>
          <w:rFonts w:ascii="Arial" w:hAnsi="Arial" w:cs="Arial"/>
          <w:color w:val="000000"/>
          <w:sz w:val="24"/>
          <w:szCs w:val="24"/>
          <w:lang w:val="es-CO"/>
        </w:rPr>
      </w:pPr>
    </w:p>
    <w:p w:rsidR="00386A25" w:rsidRDefault="00386A25" w:rsidP="00386A25">
      <w:pPr>
        <w:pStyle w:val="Textoindependiente"/>
        <w:numPr>
          <w:ilvl w:val="0"/>
          <w:numId w:val="1"/>
        </w:numPr>
        <w:spacing w:line="360" w:lineRule="auto"/>
        <w:rPr>
          <w:rFonts w:ascii="Arial" w:hAnsi="Arial"/>
          <w:sz w:val="24"/>
          <w:szCs w:val="24"/>
        </w:rPr>
      </w:pPr>
      <w:r w:rsidRPr="00FB469C">
        <w:rPr>
          <w:rFonts w:ascii="Arial" w:hAnsi="Arial"/>
          <w:sz w:val="24"/>
          <w:szCs w:val="24"/>
        </w:rPr>
        <w:t>LOS DERECHOS PRESUNTAMENTE VULNERADOS</w:t>
      </w:r>
    </w:p>
    <w:p w:rsidR="00D13C1E" w:rsidRPr="00FB469C" w:rsidRDefault="00D13C1E" w:rsidP="00D13C1E">
      <w:pPr>
        <w:pStyle w:val="Textoindependiente"/>
        <w:spacing w:line="360" w:lineRule="auto"/>
        <w:ind w:left="360"/>
        <w:rPr>
          <w:rFonts w:ascii="Arial" w:hAnsi="Arial"/>
          <w:sz w:val="24"/>
          <w:szCs w:val="24"/>
        </w:rPr>
      </w:pPr>
    </w:p>
    <w:p w:rsidR="00386A25" w:rsidRPr="00386A25" w:rsidRDefault="00CD5D7B" w:rsidP="00386A25">
      <w:pPr>
        <w:pStyle w:val="Textoindependiente"/>
        <w:widowControl w:val="0"/>
        <w:spacing w:line="360" w:lineRule="auto"/>
        <w:rPr>
          <w:rFonts w:ascii="Arial" w:hAnsi="Arial"/>
          <w:sz w:val="24"/>
          <w:szCs w:val="24"/>
        </w:rPr>
      </w:pPr>
      <w:r>
        <w:rPr>
          <w:rFonts w:ascii="Arial" w:hAnsi="Arial"/>
          <w:sz w:val="24"/>
          <w:szCs w:val="24"/>
        </w:rPr>
        <w:t xml:space="preserve">Se invocan </w:t>
      </w:r>
      <w:r w:rsidR="00B26FA3">
        <w:rPr>
          <w:rFonts w:ascii="Arial" w:hAnsi="Arial"/>
          <w:sz w:val="24"/>
          <w:szCs w:val="24"/>
        </w:rPr>
        <w:t xml:space="preserve">los </w:t>
      </w:r>
      <w:r w:rsidR="00386A25">
        <w:rPr>
          <w:rFonts w:ascii="Arial" w:hAnsi="Arial"/>
          <w:sz w:val="24"/>
          <w:szCs w:val="24"/>
        </w:rPr>
        <w:t>derecho</w:t>
      </w:r>
      <w:r w:rsidR="00B26FA3">
        <w:rPr>
          <w:rFonts w:ascii="Arial" w:hAnsi="Arial"/>
          <w:sz w:val="24"/>
          <w:szCs w:val="24"/>
        </w:rPr>
        <w:t>s</w:t>
      </w:r>
      <w:r w:rsidR="00386A25">
        <w:rPr>
          <w:rFonts w:ascii="Arial" w:hAnsi="Arial"/>
          <w:sz w:val="24"/>
          <w:szCs w:val="24"/>
        </w:rPr>
        <w:t xml:space="preserve"> fundamental</w:t>
      </w:r>
      <w:r w:rsidR="00B26FA3">
        <w:rPr>
          <w:rFonts w:ascii="Arial" w:hAnsi="Arial"/>
          <w:sz w:val="24"/>
          <w:szCs w:val="24"/>
        </w:rPr>
        <w:t xml:space="preserve">es al debido proceso, al acceso a la justicia y a la vivienda digna </w:t>
      </w:r>
      <w:r w:rsidR="00386A25" w:rsidRPr="00386A25">
        <w:rPr>
          <w:rFonts w:ascii="Arial" w:hAnsi="Arial"/>
          <w:sz w:val="24"/>
          <w:szCs w:val="24"/>
        </w:rPr>
        <w:t>(Folio</w:t>
      </w:r>
      <w:r w:rsidR="00B26FA3">
        <w:rPr>
          <w:rFonts w:ascii="Arial" w:hAnsi="Arial"/>
          <w:sz w:val="24"/>
          <w:szCs w:val="24"/>
        </w:rPr>
        <w:t>s</w:t>
      </w:r>
      <w:r w:rsidR="00386A25" w:rsidRPr="00386A25">
        <w:rPr>
          <w:rFonts w:ascii="Arial" w:hAnsi="Arial"/>
          <w:sz w:val="24"/>
          <w:szCs w:val="24"/>
        </w:rPr>
        <w:t xml:space="preserve"> </w:t>
      </w:r>
      <w:r w:rsidR="00B26FA3">
        <w:rPr>
          <w:rFonts w:ascii="Arial" w:hAnsi="Arial"/>
          <w:sz w:val="24"/>
          <w:szCs w:val="24"/>
        </w:rPr>
        <w:t>1 y 3</w:t>
      </w:r>
      <w:r w:rsidR="00386A25">
        <w:rPr>
          <w:rFonts w:ascii="Arial" w:hAnsi="Arial"/>
          <w:sz w:val="24"/>
          <w:szCs w:val="24"/>
        </w:rPr>
        <w:t>,</w:t>
      </w:r>
      <w:r w:rsidR="00386A25" w:rsidRPr="00386A25">
        <w:rPr>
          <w:rFonts w:ascii="Arial" w:hAnsi="Arial"/>
          <w:sz w:val="24"/>
          <w:szCs w:val="24"/>
        </w:rPr>
        <w:t xml:space="preserve"> </w:t>
      </w:r>
      <w:r w:rsidR="00386A25" w:rsidRPr="00386A25">
        <w:rPr>
          <w:rFonts w:ascii="Arial" w:hAnsi="Arial" w:cs="Arial"/>
          <w:color w:val="000000"/>
          <w:sz w:val="24"/>
          <w:lang w:val="es-CO"/>
        </w:rPr>
        <w:t>del cuaderno No.1</w:t>
      </w:r>
      <w:r w:rsidR="00386A25" w:rsidRPr="00386A25">
        <w:rPr>
          <w:rFonts w:ascii="Arial" w:hAnsi="Arial"/>
          <w:sz w:val="24"/>
          <w:szCs w:val="24"/>
        </w:rPr>
        <w:t>).</w:t>
      </w:r>
    </w:p>
    <w:p w:rsidR="00800C57" w:rsidRDefault="00800C57" w:rsidP="00F839CE">
      <w:pPr>
        <w:pStyle w:val="Textoindependiente"/>
        <w:widowControl w:val="0"/>
        <w:spacing w:line="360" w:lineRule="auto"/>
        <w:rPr>
          <w:rFonts w:ascii="Arial" w:hAnsi="Arial" w:cs="Arial"/>
          <w:sz w:val="24"/>
          <w:szCs w:val="24"/>
        </w:rPr>
      </w:pPr>
    </w:p>
    <w:p w:rsidR="00E87A47" w:rsidRDefault="00E87A47" w:rsidP="00F839CE">
      <w:pPr>
        <w:pStyle w:val="Textoindependiente"/>
        <w:widowControl w:val="0"/>
        <w:spacing w:line="360" w:lineRule="auto"/>
        <w:rPr>
          <w:rFonts w:ascii="Arial" w:hAnsi="Arial" w:cs="Arial"/>
          <w:sz w:val="24"/>
          <w:szCs w:val="24"/>
        </w:rPr>
      </w:pPr>
    </w:p>
    <w:p w:rsidR="003913E3"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LA SÍNTESIS DE LA CRÓNICA PROCESAL</w:t>
      </w:r>
    </w:p>
    <w:p w:rsidR="00B26FA3" w:rsidRPr="00311FCA" w:rsidRDefault="00B26FA3" w:rsidP="00B26FA3">
      <w:pPr>
        <w:pStyle w:val="Textoindependiente"/>
        <w:widowControl w:val="0"/>
        <w:spacing w:line="360" w:lineRule="auto"/>
        <w:ind w:left="360"/>
        <w:rPr>
          <w:rFonts w:ascii="Arial" w:hAnsi="Arial" w:cs="Arial"/>
          <w:sz w:val="24"/>
          <w:szCs w:val="24"/>
        </w:rPr>
      </w:pPr>
    </w:p>
    <w:p w:rsidR="00E23D2E" w:rsidRDefault="006E78FF" w:rsidP="00E23D2E">
      <w:pPr>
        <w:pStyle w:val="Textoindependiente"/>
        <w:widowControl w:val="0"/>
        <w:spacing w:line="360" w:lineRule="auto"/>
        <w:rPr>
          <w:rFonts w:ascii="Arial" w:hAnsi="Arial"/>
          <w:sz w:val="24"/>
        </w:rPr>
      </w:pPr>
      <w:r w:rsidRPr="00E23D2E">
        <w:rPr>
          <w:rFonts w:ascii="Arial" w:hAnsi="Arial"/>
          <w:sz w:val="24"/>
        </w:rPr>
        <w:t xml:space="preserve">Correspondió </w:t>
      </w:r>
      <w:r w:rsidR="00E23D2E" w:rsidRPr="00E23D2E">
        <w:rPr>
          <w:rFonts w:ascii="Arial" w:hAnsi="Arial"/>
          <w:sz w:val="24"/>
        </w:rPr>
        <w:t xml:space="preserve">al Juzgado </w:t>
      </w:r>
      <w:r w:rsidR="00B26FA3">
        <w:rPr>
          <w:rFonts w:ascii="Arial" w:hAnsi="Arial"/>
          <w:sz w:val="24"/>
        </w:rPr>
        <w:t xml:space="preserve">Cuarto Civil del </w:t>
      </w:r>
      <w:r w:rsidR="00E87A47">
        <w:rPr>
          <w:rFonts w:ascii="Arial" w:hAnsi="Arial"/>
          <w:sz w:val="24"/>
        </w:rPr>
        <w:t xml:space="preserve">Circuito de </w:t>
      </w:r>
      <w:r w:rsidR="00B26FA3">
        <w:rPr>
          <w:rFonts w:ascii="Arial" w:hAnsi="Arial"/>
          <w:sz w:val="24"/>
        </w:rPr>
        <w:t>Pereira</w:t>
      </w:r>
      <w:r w:rsidR="00E87A47">
        <w:rPr>
          <w:rFonts w:ascii="Arial" w:hAnsi="Arial"/>
          <w:sz w:val="24"/>
        </w:rPr>
        <w:t xml:space="preserve">, </w:t>
      </w:r>
      <w:r w:rsidR="00E23D2E" w:rsidRPr="00E23D2E">
        <w:rPr>
          <w:rFonts w:ascii="Arial" w:hAnsi="Arial"/>
          <w:sz w:val="24"/>
        </w:rPr>
        <w:t xml:space="preserve">que con providencia del </w:t>
      </w:r>
      <w:r w:rsidR="00B26FA3">
        <w:rPr>
          <w:rFonts w:ascii="Arial" w:hAnsi="Arial"/>
          <w:sz w:val="24"/>
        </w:rPr>
        <w:t>18-02-2016</w:t>
      </w:r>
      <w:r w:rsidR="00E87A47">
        <w:rPr>
          <w:rFonts w:ascii="Arial" w:hAnsi="Arial"/>
          <w:sz w:val="24"/>
        </w:rPr>
        <w:t xml:space="preserve"> </w:t>
      </w:r>
      <w:r w:rsidR="00E23D2E" w:rsidRPr="00E23D2E">
        <w:rPr>
          <w:rFonts w:ascii="Arial" w:hAnsi="Arial"/>
          <w:sz w:val="24"/>
        </w:rPr>
        <w:t>la admitió</w:t>
      </w:r>
      <w:r w:rsidR="00B26FA3">
        <w:rPr>
          <w:rFonts w:ascii="Arial" w:hAnsi="Arial"/>
          <w:sz w:val="24"/>
        </w:rPr>
        <w:t xml:space="preserve">, </w:t>
      </w:r>
      <w:r w:rsidR="00B26FA3" w:rsidRPr="00B26FA3">
        <w:rPr>
          <w:rFonts w:ascii="Arial" w:hAnsi="Arial"/>
          <w:sz w:val="24"/>
          <w:lang w:val="es-ES"/>
        </w:rPr>
        <w:t>vinculó a quienes se estimó conveniente</w:t>
      </w:r>
      <w:r w:rsidR="00E23D2E" w:rsidRPr="00E23D2E">
        <w:rPr>
          <w:rFonts w:ascii="Arial" w:hAnsi="Arial"/>
          <w:sz w:val="24"/>
        </w:rPr>
        <w:t xml:space="preserve"> y ordenó </w:t>
      </w:r>
      <w:r w:rsidR="00B26FA3" w:rsidRPr="00B26FA3">
        <w:rPr>
          <w:rFonts w:ascii="Arial" w:hAnsi="Arial"/>
          <w:sz w:val="24"/>
          <w:lang w:val="es-ES"/>
        </w:rPr>
        <w:t>notificar a la partes</w:t>
      </w:r>
      <w:r w:rsidR="00B26FA3">
        <w:rPr>
          <w:rFonts w:ascii="Arial" w:hAnsi="Arial"/>
          <w:sz w:val="24"/>
          <w:lang w:val="es-ES"/>
        </w:rPr>
        <w:t>, entre otros ordenamientos</w:t>
      </w:r>
      <w:r w:rsidR="00E87A47">
        <w:rPr>
          <w:rFonts w:ascii="Arial" w:hAnsi="Arial"/>
          <w:sz w:val="24"/>
        </w:rPr>
        <w:t xml:space="preserve"> </w:t>
      </w:r>
      <w:r w:rsidR="00E23D2E" w:rsidRPr="00E23D2E">
        <w:rPr>
          <w:rFonts w:ascii="Arial" w:hAnsi="Arial"/>
          <w:sz w:val="24"/>
        </w:rPr>
        <w:t>(Folio</w:t>
      </w:r>
      <w:r w:rsidR="00B26FA3">
        <w:rPr>
          <w:rFonts w:ascii="Arial" w:hAnsi="Arial"/>
          <w:sz w:val="24"/>
        </w:rPr>
        <w:t>s</w:t>
      </w:r>
      <w:r w:rsidR="00FB469C">
        <w:rPr>
          <w:rFonts w:ascii="Arial" w:hAnsi="Arial"/>
          <w:sz w:val="24"/>
        </w:rPr>
        <w:t xml:space="preserve"> </w:t>
      </w:r>
      <w:r w:rsidR="00B26FA3">
        <w:rPr>
          <w:rFonts w:ascii="Arial" w:hAnsi="Arial"/>
          <w:sz w:val="24"/>
        </w:rPr>
        <w:t>36 y 37</w:t>
      </w:r>
      <w:r w:rsidR="00E23D2E" w:rsidRPr="00E23D2E">
        <w:rPr>
          <w:rFonts w:ascii="Arial" w:hAnsi="Arial"/>
          <w:sz w:val="24"/>
        </w:rPr>
        <w:t xml:space="preserve">, </w:t>
      </w:r>
      <w:r w:rsidR="00E23D2E" w:rsidRPr="00E23D2E">
        <w:rPr>
          <w:rFonts w:ascii="Arial" w:hAnsi="Arial" w:cs="Arial"/>
          <w:color w:val="000000"/>
          <w:sz w:val="24"/>
          <w:lang w:val="es-CO"/>
        </w:rPr>
        <w:t>del cuaderno No.1</w:t>
      </w:r>
      <w:r w:rsidR="00E23D2E" w:rsidRPr="00E23D2E">
        <w:rPr>
          <w:rFonts w:ascii="Arial" w:hAnsi="Arial"/>
          <w:sz w:val="24"/>
        </w:rPr>
        <w:t>)</w:t>
      </w:r>
      <w:r w:rsidR="00490305">
        <w:rPr>
          <w:rFonts w:ascii="Arial" w:hAnsi="Arial"/>
          <w:sz w:val="24"/>
        </w:rPr>
        <w:t>. Contest</w:t>
      </w:r>
      <w:r w:rsidR="004A5B43">
        <w:rPr>
          <w:rFonts w:ascii="Arial" w:hAnsi="Arial"/>
          <w:sz w:val="24"/>
        </w:rPr>
        <w:t xml:space="preserve">ó </w:t>
      </w:r>
      <w:r w:rsidR="00B26FA3">
        <w:rPr>
          <w:rFonts w:ascii="Arial" w:hAnsi="Arial"/>
          <w:sz w:val="24"/>
        </w:rPr>
        <w:t>el Servicio Nacional de Aprendizaje (En adelante SENA)</w:t>
      </w:r>
      <w:r w:rsidR="00B26FA3">
        <w:rPr>
          <w:rFonts w:ascii="Arial" w:hAnsi="Arial"/>
          <w:sz w:val="24"/>
          <w:lang w:val="es-CO"/>
        </w:rPr>
        <w:t xml:space="preserve"> </w:t>
      </w:r>
      <w:r w:rsidR="00E87A47">
        <w:rPr>
          <w:rFonts w:ascii="Arial" w:hAnsi="Arial"/>
          <w:sz w:val="24"/>
        </w:rPr>
        <w:t>(Folios</w:t>
      </w:r>
      <w:r w:rsidR="00E23D2E" w:rsidRPr="00E23D2E">
        <w:rPr>
          <w:rFonts w:ascii="Arial" w:hAnsi="Arial"/>
          <w:sz w:val="24"/>
        </w:rPr>
        <w:t xml:space="preserve"> </w:t>
      </w:r>
      <w:r w:rsidR="00B26FA3">
        <w:rPr>
          <w:rFonts w:ascii="Arial" w:hAnsi="Arial"/>
          <w:sz w:val="24"/>
        </w:rPr>
        <w:t>51 a 55</w:t>
      </w:r>
      <w:r w:rsidR="00E23D2E" w:rsidRPr="00E23D2E">
        <w:rPr>
          <w:rFonts w:ascii="Arial" w:hAnsi="Arial"/>
          <w:sz w:val="24"/>
        </w:rPr>
        <w:t>, ibídem)</w:t>
      </w:r>
      <w:r w:rsidR="00A22A2E">
        <w:rPr>
          <w:rFonts w:ascii="Arial" w:hAnsi="Arial"/>
          <w:sz w:val="24"/>
        </w:rPr>
        <w:t xml:space="preserve">; luego, se profirió sentencia el día </w:t>
      </w:r>
      <w:r w:rsidR="00B26FA3">
        <w:rPr>
          <w:rFonts w:ascii="Arial" w:hAnsi="Arial"/>
          <w:sz w:val="24"/>
        </w:rPr>
        <w:t>02-03-2016</w:t>
      </w:r>
      <w:r w:rsidR="00A22A2E">
        <w:rPr>
          <w:rFonts w:ascii="Arial" w:hAnsi="Arial"/>
          <w:sz w:val="24"/>
        </w:rPr>
        <w:t xml:space="preserve"> (Folio</w:t>
      </w:r>
      <w:r w:rsidR="00E23D2E" w:rsidRPr="00E23D2E">
        <w:rPr>
          <w:rFonts w:ascii="Arial" w:hAnsi="Arial"/>
          <w:sz w:val="24"/>
        </w:rPr>
        <w:t xml:space="preserve"> </w:t>
      </w:r>
      <w:r w:rsidR="00B26FA3">
        <w:rPr>
          <w:rFonts w:ascii="Arial" w:hAnsi="Arial"/>
          <w:sz w:val="24"/>
        </w:rPr>
        <w:t>77 a 84</w:t>
      </w:r>
      <w:r w:rsidR="00E23D2E" w:rsidRPr="00E23D2E">
        <w:rPr>
          <w:rFonts w:ascii="Arial" w:hAnsi="Arial"/>
          <w:sz w:val="24"/>
        </w:rPr>
        <w:t xml:space="preserve">, </w:t>
      </w:r>
      <w:r w:rsidR="004A5B43" w:rsidRPr="00E23D2E">
        <w:rPr>
          <w:rFonts w:ascii="Arial" w:hAnsi="Arial"/>
          <w:sz w:val="24"/>
        </w:rPr>
        <w:t>ibídem</w:t>
      </w:r>
      <w:r w:rsidR="00E23D2E" w:rsidRPr="00E23D2E">
        <w:rPr>
          <w:rFonts w:ascii="Arial" w:hAnsi="Arial"/>
          <w:sz w:val="24"/>
        </w:rPr>
        <w:t>)</w:t>
      </w:r>
      <w:r w:rsidR="00A22A2E">
        <w:rPr>
          <w:rFonts w:ascii="Arial" w:hAnsi="Arial"/>
          <w:sz w:val="24"/>
        </w:rPr>
        <w:t xml:space="preserve">; y, posteriormente, </w:t>
      </w:r>
      <w:r w:rsidR="00E23D2E" w:rsidRPr="00E23D2E">
        <w:rPr>
          <w:rFonts w:ascii="Arial" w:hAnsi="Arial"/>
          <w:sz w:val="24"/>
        </w:rPr>
        <w:t xml:space="preserve">con proveído del </w:t>
      </w:r>
      <w:r w:rsidR="00C345F6">
        <w:rPr>
          <w:rFonts w:ascii="Arial" w:hAnsi="Arial"/>
          <w:sz w:val="24"/>
        </w:rPr>
        <w:t xml:space="preserve">11-03-2016 </w:t>
      </w:r>
      <w:r w:rsidR="00E23D2E" w:rsidRPr="00E23D2E">
        <w:rPr>
          <w:rFonts w:ascii="Arial" w:hAnsi="Arial"/>
          <w:sz w:val="24"/>
        </w:rPr>
        <w:t xml:space="preserve">se concedió la impugnación </w:t>
      </w:r>
      <w:r w:rsidR="00E23D2E">
        <w:rPr>
          <w:rFonts w:ascii="Arial" w:hAnsi="Arial"/>
          <w:sz w:val="24"/>
        </w:rPr>
        <w:t xml:space="preserve">formulada por </w:t>
      </w:r>
      <w:r w:rsidR="00A22A2E">
        <w:rPr>
          <w:rFonts w:ascii="Arial" w:hAnsi="Arial"/>
          <w:sz w:val="24"/>
        </w:rPr>
        <w:t xml:space="preserve">el </w:t>
      </w:r>
      <w:r w:rsidR="00B66B8E">
        <w:rPr>
          <w:rFonts w:ascii="Arial" w:hAnsi="Arial"/>
          <w:sz w:val="24"/>
        </w:rPr>
        <w:t>accionante</w:t>
      </w:r>
      <w:r w:rsidR="00E23D2E" w:rsidRPr="00E23D2E">
        <w:rPr>
          <w:rFonts w:ascii="Arial" w:hAnsi="Arial"/>
          <w:sz w:val="24"/>
        </w:rPr>
        <w:t xml:space="preserve">, ante este Tribunal (Folio </w:t>
      </w:r>
      <w:r w:rsidR="00C345F6">
        <w:rPr>
          <w:rFonts w:ascii="Arial" w:hAnsi="Arial"/>
          <w:sz w:val="24"/>
        </w:rPr>
        <w:t>96</w:t>
      </w:r>
      <w:r w:rsidR="00E23D2E" w:rsidRPr="00E23D2E">
        <w:rPr>
          <w:rFonts w:ascii="Arial" w:hAnsi="Arial"/>
          <w:sz w:val="24"/>
        </w:rPr>
        <w:t xml:space="preserve">, </w:t>
      </w:r>
      <w:r w:rsidR="00C345F6" w:rsidRPr="00E23D2E">
        <w:rPr>
          <w:rFonts w:ascii="Arial" w:hAnsi="Arial"/>
          <w:sz w:val="24"/>
        </w:rPr>
        <w:t>ibídem</w:t>
      </w:r>
      <w:r w:rsidR="00E23D2E" w:rsidRPr="00E23D2E">
        <w:rPr>
          <w:rFonts w:ascii="Arial" w:hAnsi="Arial"/>
          <w:sz w:val="24"/>
        </w:rPr>
        <w:t xml:space="preserve">). </w:t>
      </w:r>
    </w:p>
    <w:p w:rsidR="00996E1D" w:rsidRDefault="00996E1D" w:rsidP="00E23D2E">
      <w:pPr>
        <w:pStyle w:val="Textoindependiente"/>
        <w:widowControl w:val="0"/>
        <w:spacing w:line="360" w:lineRule="auto"/>
        <w:rPr>
          <w:rFonts w:ascii="Arial" w:hAnsi="Arial"/>
          <w:sz w:val="24"/>
        </w:rPr>
      </w:pPr>
    </w:p>
    <w:p w:rsidR="003913E3" w:rsidRPr="00311FCA" w:rsidRDefault="003913E3" w:rsidP="00B942B6">
      <w:pPr>
        <w:pStyle w:val="Textoindependiente"/>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 xml:space="preserve">EL RESUMEN DE </w:t>
      </w:r>
      <w:smartTag w:uri="urn:schemas-microsoft-com:office:smarttags" w:element="PersonName">
        <w:smartTagPr>
          <w:attr w:name="ProductID" w:val="LA SENTENCIA IMPUGNADA"/>
        </w:smartTagPr>
        <w:r w:rsidRPr="00311FCA">
          <w:rPr>
            <w:rFonts w:ascii="Arial" w:hAnsi="Arial" w:cs="Arial"/>
            <w:sz w:val="24"/>
            <w:szCs w:val="24"/>
          </w:rPr>
          <w:t>LA SENTENCIA IMPUGNADA</w:t>
        </w:r>
      </w:smartTag>
    </w:p>
    <w:p w:rsidR="003913E3" w:rsidRPr="00311FCA" w:rsidRDefault="003913E3" w:rsidP="00B942B6">
      <w:pPr>
        <w:pStyle w:val="Textoindependiente"/>
        <w:spacing w:line="360" w:lineRule="auto"/>
        <w:rPr>
          <w:rFonts w:ascii="Arial" w:hAnsi="Arial" w:cs="Arial"/>
          <w:sz w:val="24"/>
          <w:szCs w:val="24"/>
        </w:rPr>
      </w:pPr>
    </w:p>
    <w:p w:rsidR="003913E3" w:rsidRPr="00B3071D" w:rsidRDefault="00C345F6"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Declaró improcedente </w:t>
      </w:r>
      <w:r w:rsidR="004807E3">
        <w:rPr>
          <w:rFonts w:ascii="Arial" w:hAnsi="Arial" w:cs="Arial"/>
          <w:sz w:val="24"/>
          <w:szCs w:val="24"/>
        </w:rPr>
        <w:t xml:space="preserve">el amparo por </w:t>
      </w:r>
      <w:r>
        <w:rPr>
          <w:rFonts w:ascii="Arial" w:hAnsi="Arial" w:cs="Arial"/>
          <w:sz w:val="24"/>
          <w:szCs w:val="24"/>
        </w:rPr>
        <w:t>subsidiariedad</w:t>
      </w:r>
      <w:r w:rsidR="00B43EA8">
        <w:rPr>
          <w:rFonts w:ascii="Arial" w:hAnsi="Arial" w:cs="Arial"/>
          <w:sz w:val="24"/>
          <w:szCs w:val="24"/>
        </w:rPr>
        <w:t xml:space="preserve">, ya que el actor no agotó los medios ordinarios de defensa judicial </w:t>
      </w:r>
      <w:r w:rsidR="004807E3">
        <w:rPr>
          <w:rFonts w:ascii="Arial" w:hAnsi="Arial" w:cs="Arial"/>
          <w:sz w:val="24"/>
          <w:szCs w:val="24"/>
        </w:rPr>
        <w:t xml:space="preserve">frente al fallo dictado por el Juzgado accionado </w:t>
      </w:r>
      <w:r w:rsidR="003913E3" w:rsidRPr="00B3071D">
        <w:rPr>
          <w:rFonts w:ascii="Arial" w:hAnsi="Arial" w:cs="Arial"/>
          <w:sz w:val="24"/>
          <w:szCs w:val="24"/>
        </w:rPr>
        <w:t>(Folios</w:t>
      </w:r>
      <w:r w:rsidR="004A5B43">
        <w:rPr>
          <w:rFonts w:ascii="Arial" w:hAnsi="Arial" w:cs="Arial"/>
          <w:sz w:val="24"/>
          <w:szCs w:val="24"/>
        </w:rPr>
        <w:t xml:space="preserve"> </w:t>
      </w:r>
      <w:r>
        <w:rPr>
          <w:rFonts w:ascii="Arial" w:hAnsi="Arial"/>
          <w:sz w:val="24"/>
        </w:rPr>
        <w:t>77 a 84</w:t>
      </w:r>
      <w:r w:rsidR="004A5B43">
        <w:rPr>
          <w:rFonts w:ascii="Arial" w:hAnsi="Arial"/>
          <w:sz w:val="24"/>
        </w:rPr>
        <w:t>, ib.</w:t>
      </w:r>
      <w:r w:rsidR="003913E3" w:rsidRPr="00B3071D">
        <w:rPr>
          <w:rFonts w:ascii="Arial" w:hAnsi="Arial" w:cs="Arial"/>
          <w:sz w:val="24"/>
          <w:szCs w:val="24"/>
        </w:rPr>
        <w:t>).</w:t>
      </w:r>
    </w:p>
    <w:p w:rsidR="003913E3" w:rsidRPr="00311FCA" w:rsidRDefault="003913E3"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w:t>
      </w:r>
      <w:smartTag w:uri="urn:schemas-microsoft-com:office:smarttags" w:element="PersonName">
        <w:smartTagPr>
          <w:attr w:name="ProductID" w:val="LA IMPUGNACIÓN"/>
        </w:smartTagPr>
        <w:r w:rsidRPr="00311FCA">
          <w:rPr>
            <w:rFonts w:ascii="Arial" w:hAnsi="Arial" w:cs="Arial"/>
            <w:sz w:val="24"/>
            <w:szCs w:val="24"/>
          </w:rPr>
          <w:t>LA IMPUGNACIÓN</w:t>
        </w:r>
      </w:smartTag>
    </w:p>
    <w:p w:rsidR="003913E3" w:rsidRPr="00311FCA" w:rsidRDefault="003913E3" w:rsidP="00B942B6">
      <w:pPr>
        <w:pStyle w:val="Textoindependiente"/>
        <w:spacing w:line="360" w:lineRule="auto"/>
        <w:rPr>
          <w:rFonts w:ascii="Arial" w:hAnsi="Arial" w:cs="Arial"/>
          <w:sz w:val="24"/>
          <w:szCs w:val="24"/>
        </w:rPr>
      </w:pPr>
    </w:p>
    <w:p w:rsidR="003913E3" w:rsidRPr="00311FCA" w:rsidRDefault="005770C3"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La </w:t>
      </w:r>
      <w:r w:rsidR="001270BF">
        <w:rPr>
          <w:rFonts w:ascii="Arial" w:hAnsi="Arial" w:cs="Arial"/>
          <w:sz w:val="24"/>
          <w:szCs w:val="24"/>
        </w:rPr>
        <w:t xml:space="preserve">parte </w:t>
      </w:r>
      <w:r w:rsidR="00FB469C">
        <w:rPr>
          <w:rFonts w:ascii="Arial" w:hAnsi="Arial" w:cs="Arial"/>
          <w:sz w:val="24"/>
          <w:szCs w:val="24"/>
        </w:rPr>
        <w:t>accionante</w:t>
      </w:r>
      <w:r>
        <w:rPr>
          <w:rFonts w:ascii="Arial" w:hAnsi="Arial" w:cs="Arial"/>
          <w:sz w:val="24"/>
          <w:szCs w:val="24"/>
        </w:rPr>
        <w:t xml:space="preserve"> recurrió porque consideró </w:t>
      </w:r>
      <w:r w:rsidR="00DC787B">
        <w:rPr>
          <w:rFonts w:ascii="Arial" w:hAnsi="Arial" w:cs="Arial"/>
          <w:sz w:val="24"/>
          <w:szCs w:val="24"/>
        </w:rPr>
        <w:t xml:space="preserve">que es claro que el SENA le cobra un crédito ya pagado; además el accionado, desestimó las excepciones formuladas y practicó pruebas desconociendo su derecho al debido proceso </w:t>
      </w:r>
      <w:r w:rsidR="003B677E" w:rsidRPr="00D93FEB">
        <w:rPr>
          <w:rFonts w:ascii="Arial" w:hAnsi="Arial" w:cs="Arial"/>
          <w:sz w:val="24"/>
          <w:szCs w:val="24"/>
        </w:rPr>
        <w:t>(Folio</w:t>
      </w:r>
      <w:r w:rsidR="003D1506">
        <w:rPr>
          <w:rFonts w:ascii="Arial" w:hAnsi="Arial" w:cs="Arial"/>
          <w:sz w:val="24"/>
          <w:szCs w:val="24"/>
        </w:rPr>
        <w:t xml:space="preserve"> </w:t>
      </w:r>
      <w:r w:rsidR="00DC787B">
        <w:rPr>
          <w:rFonts w:ascii="Arial" w:hAnsi="Arial" w:cs="Arial"/>
          <w:sz w:val="24"/>
          <w:szCs w:val="24"/>
        </w:rPr>
        <w:t>94</w:t>
      </w:r>
      <w:r w:rsidR="003B677E" w:rsidRPr="00D93FEB">
        <w:rPr>
          <w:rFonts w:ascii="Arial" w:hAnsi="Arial" w:cs="Arial"/>
          <w:sz w:val="24"/>
          <w:szCs w:val="24"/>
        </w:rPr>
        <w:t>, ib.)</w:t>
      </w:r>
      <w:r w:rsidR="00E5080E" w:rsidRPr="00D93FEB">
        <w:rPr>
          <w:rFonts w:ascii="Arial" w:hAnsi="Arial" w:cs="Arial"/>
          <w:sz w:val="24"/>
          <w:szCs w:val="24"/>
        </w:rPr>
        <w:t>.</w:t>
      </w:r>
    </w:p>
    <w:p w:rsidR="003913E3" w:rsidRPr="00311FCA" w:rsidRDefault="003913E3" w:rsidP="00B942B6">
      <w:pPr>
        <w:pStyle w:val="Textoindependiente"/>
        <w:spacing w:line="360" w:lineRule="auto"/>
        <w:rPr>
          <w:rFonts w:ascii="Arial" w:hAnsi="Arial" w:cs="Arial"/>
          <w:sz w:val="24"/>
          <w:szCs w:val="24"/>
        </w:rPr>
      </w:pPr>
    </w:p>
    <w:p w:rsidR="003913E3" w:rsidRPr="00311FCA" w:rsidRDefault="003913E3" w:rsidP="00B942B6">
      <w:pPr>
        <w:pStyle w:val="Textoindependiente"/>
        <w:spacing w:line="360" w:lineRule="auto"/>
        <w:rPr>
          <w:rFonts w:ascii="Arial" w:hAnsi="Arial" w:cs="Arial"/>
          <w:sz w:val="24"/>
          <w:szCs w:val="24"/>
        </w:rPr>
      </w:pPr>
    </w:p>
    <w:p w:rsidR="003913E3" w:rsidRDefault="003913E3" w:rsidP="006C1FB5">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smartTag w:uri="urn:schemas-microsoft-com:office:smarttags" w:element="PersonName">
        <w:smartTagPr>
          <w:attr w:name="ProductID" w:val="LA FUNDAMENTACIÓN JURÍDICA"/>
        </w:smartTagPr>
        <w:r w:rsidRPr="00311FCA">
          <w:rPr>
            <w:rFonts w:ascii="Arial" w:hAnsi="Arial" w:cs="Arial"/>
            <w:sz w:val="24"/>
            <w:szCs w:val="24"/>
          </w:rPr>
          <w:t>LA FUNDAMENTACIÓN JURÍDICA</w:t>
        </w:r>
      </w:smartTag>
      <w:r w:rsidRPr="00311FCA">
        <w:rPr>
          <w:rFonts w:ascii="Arial" w:hAnsi="Arial" w:cs="Arial"/>
          <w:sz w:val="24"/>
          <w:szCs w:val="24"/>
        </w:rPr>
        <w:t xml:space="preserve"> PARA RESOLVER</w:t>
      </w:r>
    </w:p>
    <w:p w:rsidR="00912A38" w:rsidRDefault="00912A38" w:rsidP="00912A38">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z w:val="24"/>
          <w:szCs w:val="24"/>
        </w:rPr>
      </w:pPr>
    </w:p>
    <w:p w:rsidR="003913E3" w:rsidRDefault="003913E3" w:rsidP="00F839CE">
      <w:pPr>
        <w:pStyle w:val="Textoindependiente"/>
        <w:spacing w:line="360" w:lineRule="auto"/>
        <w:rPr>
          <w:rFonts w:ascii="Arial" w:hAnsi="Arial" w:cs="Arial"/>
          <w:sz w:val="24"/>
          <w:szCs w:val="24"/>
        </w:rPr>
      </w:pPr>
      <w:r w:rsidRPr="00311FCA">
        <w:rPr>
          <w:rFonts w:ascii="Arial" w:hAnsi="Arial" w:cs="Arial"/>
          <w:sz w:val="24"/>
          <w:szCs w:val="24"/>
        </w:rPr>
        <w:t>7.1. La competencia funcional</w:t>
      </w:r>
    </w:p>
    <w:p w:rsidR="00290D6E" w:rsidRPr="00311FCA" w:rsidRDefault="00290D6E" w:rsidP="00F839CE">
      <w:pPr>
        <w:pStyle w:val="Textoindependiente"/>
        <w:spacing w:line="360" w:lineRule="auto"/>
        <w:rPr>
          <w:rFonts w:ascii="Arial" w:hAnsi="Arial" w:cs="Arial"/>
          <w:sz w:val="24"/>
          <w:szCs w:val="24"/>
        </w:rPr>
      </w:pPr>
    </w:p>
    <w:p w:rsidR="0017096D" w:rsidRDefault="0017096D" w:rsidP="0017096D">
      <w:pPr>
        <w:spacing w:line="360" w:lineRule="auto"/>
        <w:jc w:val="both"/>
        <w:rPr>
          <w:rFonts w:ascii="Arial" w:hAnsi="Arial" w:cs="Arial"/>
          <w:lang w:val="es-CO"/>
        </w:rPr>
      </w:pPr>
      <w:r>
        <w:rPr>
          <w:rFonts w:ascii="Arial" w:hAnsi="Arial" w:cs="Arial"/>
          <w:lang w:val="es-CO"/>
        </w:rPr>
        <w:t>Esta Sala especializada está facultada en forma legal para desatar la controversia puesta a su consideración, por ser la superiora jerárquica del Despacho que conoció en primera instancia (Artículo 32 del Decreto 2591 de 1991).</w:t>
      </w:r>
    </w:p>
    <w:p w:rsidR="00C65627" w:rsidRPr="00311FCA" w:rsidRDefault="00C65627" w:rsidP="00F839CE">
      <w:pPr>
        <w:spacing w:line="360" w:lineRule="auto"/>
        <w:jc w:val="both"/>
        <w:rPr>
          <w:rFonts w:ascii="Arial" w:hAnsi="Arial" w:cs="Arial"/>
          <w:lang w:val="es-MX"/>
        </w:rPr>
      </w:pPr>
    </w:p>
    <w:p w:rsidR="003913E3" w:rsidRDefault="003913E3" w:rsidP="00F839CE">
      <w:pPr>
        <w:pStyle w:val="Textoindependiente"/>
        <w:numPr>
          <w:ilvl w:val="1"/>
          <w:numId w:val="18"/>
        </w:numPr>
        <w:tabs>
          <w:tab w:val="clear" w:pos="0"/>
          <w:tab w:val="clear" w:pos="708"/>
          <w:tab w:val="clear" w:pos="1416"/>
          <w:tab w:val="left" w:pos="567"/>
        </w:tabs>
        <w:spacing w:line="360" w:lineRule="auto"/>
        <w:ind w:left="567" w:hanging="567"/>
        <w:rPr>
          <w:rFonts w:ascii="Arial" w:hAnsi="Arial" w:cs="Arial"/>
          <w:sz w:val="24"/>
          <w:szCs w:val="24"/>
        </w:rPr>
      </w:pPr>
      <w:r w:rsidRPr="00311FCA">
        <w:rPr>
          <w:rFonts w:ascii="Arial" w:hAnsi="Arial" w:cs="Arial"/>
          <w:sz w:val="24"/>
          <w:szCs w:val="24"/>
        </w:rPr>
        <w:t>La legitimación en la causa</w:t>
      </w:r>
    </w:p>
    <w:p w:rsidR="003D1506" w:rsidRPr="00311FCA" w:rsidRDefault="003D1506" w:rsidP="003D1506">
      <w:pPr>
        <w:pStyle w:val="Textoindependiente"/>
        <w:tabs>
          <w:tab w:val="clear" w:pos="0"/>
          <w:tab w:val="clear" w:pos="708"/>
          <w:tab w:val="clear" w:pos="1416"/>
          <w:tab w:val="left" w:pos="567"/>
        </w:tabs>
        <w:spacing w:line="360" w:lineRule="auto"/>
        <w:ind w:left="567"/>
        <w:rPr>
          <w:rFonts w:ascii="Arial" w:hAnsi="Arial" w:cs="Arial"/>
          <w:sz w:val="24"/>
          <w:szCs w:val="24"/>
        </w:rPr>
      </w:pPr>
    </w:p>
    <w:p w:rsidR="008D4074" w:rsidRDefault="003913E3" w:rsidP="008D4074">
      <w:pPr>
        <w:pStyle w:val="Textoindependiente"/>
        <w:spacing w:line="360" w:lineRule="auto"/>
        <w:rPr>
          <w:rFonts w:ascii="Arial" w:hAnsi="Arial" w:cs="Arial"/>
          <w:sz w:val="24"/>
          <w:szCs w:val="24"/>
          <w:lang w:val="es-CO"/>
        </w:rPr>
      </w:pPr>
      <w:r w:rsidRPr="00311FCA">
        <w:rPr>
          <w:rFonts w:ascii="Arial" w:hAnsi="Arial" w:cs="Arial"/>
          <w:sz w:val="24"/>
          <w:szCs w:val="24"/>
        </w:rPr>
        <w:t xml:space="preserve">Se cumple la legitimación por activa porque </w:t>
      </w:r>
      <w:r w:rsidR="00680DC6">
        <w:rPr>
          <w:rFonts w:ascii="Arial" w:hAnsi="Arial" w:cs="Arial"/>
          <w:sz w:val="24"/>
          <w:szCs w:val="24"/>
        </w:rPr>
        <w:t xml:space="preserve">el </w:t>
      </w:r>
      <w:r w:rsidR="0083685E">
        <w:rPr>
          <w:rFonts w:ascii="Arial" w:hAnsi="Arial" w:cs="Arial"/>
          <w:sz w:val="24"/>
          <w:szCs w:val="24"/>
        </w:rPr>
        <w:t>señor</w:t>
      </w:r>
      <w:r w:rsidR="003D1506">
        <w:rPr>
          <w:rFonts w:ascii="Arial" w:hAnsi="Arial" w:cs="Arial"/>
          <w:sz w:val="24"/>
          <w:szCs w:val="24"/>
        </w:rPr>
        <w:t xml:space="preserve"> </w:t>
      </w:r>
      <w:r w:rsidR="00DC787B">
        <w:rPr>
          <w:rFonts w:ascii="Arial" w:hAnsi="Arial" w:cs="Arial"/>
          <w:sz w:val="24"/>
          <w:szCs w:val="24"/>
        </w:rPr>
        <w:t>José Arlen Ferro Martínez</w:t>
      </w:r>
      <w:r w:rsidR="00680DC6">
        <w:rPr>
          <w:rFonts w:ascii="Arial" w:hAnsi="Arial" w:cs="Arial"/>
          <w:sz w:val="24"/>
          <w:szCs w:val="24"/>
        </w:rPr>
        <w:t xml:space="preserve"> </w:t>
      </w:r>
      <w:r w:rsidR="00DC787B">
        <w:rPr>
          <w:rFonts w:ascii="Arial" w:hAnsi="Arial" w:cs="Arial"/>
          <w:sz w:val="24"/>
          <w:szCs w:val="24"/>
        </w:rPr>
        <w:t>es parte en el proceso ejecutivo hipotecario</w:t>
      </w:r>
      <w:r w:rsidRPr="00D60BD1">
        <w:rPr>
          <w:rFonts w:ascii="Arial" w:hAnsi="Arial" w:cs="Arial"/>
          <w:sz w:val="24"/>
          <w:szCs w:val="24"/>
        </w:rPr>
        <w:t xml:space="preserve">. </w:t>
      </w:r>
      <w:r w:rsidR="008D4074" w:rsidRPr="00D60BD1">
        <w:rPr>
          <w:rFonts w:ascii="Arial" w:hAnsi="Arial" w:cs="Arial"/>
          <w:sz w:val="24"/>
          <w:szCs w:val="24"/>
        </w:rPr>
        <w:t>En el extremo pasivo,</w:t>
      </w:r>
      <w:r w:rsidR="00D60BD1">
        <w:rPr>
          <w:rFonts w:ascii="Arial" w:hAnsi="Arial" w:cs="Arial"/>
          <w:sz w:val="24"/>
          <w:szCs w:val="24"/>
        </w:rPr>
        <w:t xml:space="preserve"> </w:t>
      </w:r>
      <w:r w:rsidR="00680DC6">
        <w:rPr>
          <w:rFonts w:ascii="Arial" w:hAnsi="Arial" w:cs="Arial"/>
          <w:sz w:val="24"/>
          <w:szCs w:val="24"/>
        </w:rPr>
        <w:t xml:space="preserve">el Juzgado </w:t>
      </w:r>
      <w:r w:rsidR="00DC787B">
        <w:rPr>
          <w:rFonts w:ascii="Arial" w:hAnsi="Arial" w:cs="Arial"/>
          <w:sz w:val="24"/>
          <w:szCs w:val="24"/>
        </w:rPr>
        <w:t xml:space="preserve">Sexto </w:t>
      </w:r>
      <w:r w:rsidR="00680DC6">
        <w:rPr>
          <w:rFonts w:ascii="Arial" w:hAnsi="Arial" w:cs="Arial"/>
          <w:sz w:val="24"/>
          <w:szCs w:val="24"/>
        </w:rPr>
        <w:t xml:space="preserve">Municipal de </w:t>
      </w:r>
      <w:r w:rsidR="00DC787B">
        <w:rPr>
          <w:rFonts w:ascii="Arial" w:hAnsi="Arial" w:cs="Arial"/>
          <w:sz w:val="24"/>
          <w:szCs w:val="24"/>
        </w:rPr>
        <w:t>Pereira</w:t>
      </w:r>
      <w:r w:rsidR="00D60BD1">
        <w:rPr>
          <w:rFonts w:ascii="Arial" w:hAnsi="Arial"/>
          <w:sz w:val="24"/>
          <w:szCs w:val="24"/>
        </w:rPr>
        <w:t xml:space="preserve">, </w:t>
      </w:r>
      <w:r w:rsidR="006736FA">
        <w:rPr>
          <w:rFonts w:ascii="Arial" w:hAnsi="Arial" w:cs="Arial"/>
          <w:sz w:val="24"/>
          <w:szCs w:val="24"/>
        </w:rPr>
        <w:t>por ser</w:t>
      </w:r>
      <w:r w:rsidR="006736FA" w:rsidRPr="009A3C9D">
        <w:rPr>
          <w:rFonts w:ascii="Arial" w:hAnsi="Arial" w:cs="Arial"/>
          <w:sz w:val="24"/>
          <w:szCs w:val="24"/>
        </w:rPr>
        <w:t xml:space="preserve"> la autoridad judicial que </w:t>
      </w:r>
      <w:r w:rsidR="006736FA">
        <w:rPr>
          <w:rFonts w:ascii="Arial" w:hAnsi="Arial" w:cs="Arial"/>
          <w:sz w:val="24"/>
          <w:szCs w:val="24"/>
        </w:rPr>
        <w:t>profirió la sentencia criticada</w:t>
      </w:r>
      <w:r w:rsidR="00DC787B">
        <w:rPr>
          <w:rFonts w:ascii="Arial" w:hAnsi="Arial" w:cs="Arial"/>
          <w:sz w:val="24"/>
          <w:szCs w:val="24"/>
          <w:lang w:val="es-CO"/>
        </w:rPr>
        <w:t>, y</w:t>
      </w:r>
      <w:r w:rsidR="006736FA">
        <w:rPr>
          <w:rFonts w:ascii="Arial" w:hAnsi="Arial" w:cs="Arial"/>
          <w:sz w:val="24"/>
          <w:szCs w:val="24"/>
          <w:lang w:val="es-CO"/>
        </w:rPr>
        <w:t>,</w:t>
      </w:r>
      <w:r w:rsidR="00DC787B">
        <w:rPr>
          <w:rFonts w:ascii="Arial" w:hAnsi="Arial" w:cs="Arial"/>
          <w:sz w:val="24"/>
          <w:szCs w:val="24"/>
          <w:lang w:val="es-CO"/>
        </w:rPr>
        <w:t xml:space="preserve"> el Juzgado Séptimo Civil Municipal local, porque actualmente </w:t>
      </w:r>
      <w:r w:rsidR="006736FA">
        <w:rPr>
          <w:rFonts w:ascii="Arial" w:hAnsi="Arial" w:cs="Arial"/>
          <w:sz w:val="24"/>
          <w:szCs w:val="24"/>
          <w:lang w:val="es-CO"/>
        </w:rPr>
        <w:t xml:space="preserve">conoce </w:t>
      </w:r>
      <w:r w:rsidR="00DC787B">
        <w:rPr>
          <w:rFonts w:ascii="Arial" w:hAnsi="Arial" w:cs="Arial"/>
          <w:sz w:val="24"/>
          <w:szCs w:val="24"/>
          <w:lang w:val="es-CO"/>
        </w:rPr>
        <w:t>del asunto</w:t>
      </w:r>
      <w:r w:rsidR="009963C1">
        <w:rPr>
          <w:rFonts w:ascii="Arial" w:hAnsi="Arial" w:cs="Arial"/>
          <w:sz w:val="24"/>
          <w:szCs w:val="24"/>
          <w:lang w:val="es-CO"/>
        </w:rPr>
        <w:t>.</w:t>
      </w:r>
    </w:p>
    <w:p w:rsidR="003913E3" w:rsidRPr="008C4B67"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1"/>
          <w:numId w:val="18"/>
        </w:numPr>
        <w:tabs>
          <w:tab w:val="clear" w:pos="708"/>
          <w:tab w:val="left" w:pos="567"/>
        </w:tabs>
        <w:spacing w:line="360" w:lineRule="auto"/>
        <w:rPr>
          <w:rFonts w:ascii="Arial" w:hAnsi="Arial" w:cs="Arial"/>
          <w:sz w:val="24"/>
          <w:szCs w:val="24"/>
        </w:rPr>
      </w:pPr>
      <w:r w:rsidRPr="00311FCA">
        <w:rPr>
          <w:rFonts w:ascii="Arial" w:hAnsi="Arial" w:cs="Arial"/>
          <w:sz w:val="24"/>
          <w:szCs w:val="24"/>
        </w:rPr>
        <w:t>El problema jurídico a resolver</w:t>
      </w:r>
    </w:p>
    <w:p w:rsidR="003913E3" w:rsidRPr="00311FCA" w:rsidRDefault="003913E3" w:rsidP="00F839CE">
      <w:pPr>
        <w:pStyle w:val="Textoindependiente"/>
        <w:spacing w:line="360" w:lineRule="auto"/>
        <w:rPr>
          <w:rFonts w:ascii="Arial" w:hAnsi="Arial" w:cs="Arial"/>
          <w:sz w:val="24"/>
          <w:szCs w:val="24"/>
        </w:rPr>
      </w:pPr>
    </w:p>
    <w:p w:rsidR="003913E3" w:rsidRDefault="003913E3" w:rsidP="00F839CE">
      <w:pPr>
        <w:pStyle w:val="Textoindependiente"/>
        <w:spacing w:line="360" w:lineRule="auto"/>
        <w:rPr>
          <w:rFonts w:ascii="Arial" w:hAnsi="Arial" w:cs="Arial"/>
          <w:sz w:val="24"/>
          <w:szCs w:val="24"/>
        </w:rPr>
      </w:pPr>
      <w:r w:rsidRPr="00EF4E29">
        <w:rPr>
          <w:rFonts w:ascii="Arial" w:hAnsi="Arial" w:cs="Arial"/>
          <w:sz w:val="24"/>
          <w:szCs w:val="24"/>
        </w:rPr>
        <w:t xml:space="preserve">¿Es procedente confirmar, modificar o revocar la sentencia del </w:t>
      </w:r>
      <w:r w:rsidR="00D60BD1" w:rsidRPr="00E23D2E">
        <w:rPr>
          <w:rFonts w:ascii="Arial" w:hAnsi="Arial"/>
          <w:sz w:val="24"/>
        </w:rPr>
        <w:t xml:space="preserve">Juzgado </w:t>
      </w:r>
      <w:r w:rsidR="006736FA">
        <w:rPr>
          <w:rFonts w:ascii="Arial" w:hAnsi="Arial"/>
          <w:sz w:val="24"/>
        </w:rPr>
        <w:t xml:space="preserve">Cuarto Civil del </w:t>
      </w:r>
      <w:r w:rsidR="00680DC6">
        <w:rPr>
          <w:rFonts w:ascii="Arial" w:hAnsi="Arial"/>
          <w:sz w:val="24"/>
        </w:rPr>
        <w:t xml:space="preserve">Circuito </w:t>
      </w:r>
      <w:r w:rsidR="006736FA">
        <w:rPr>
          <w:rFonts w:ascii="Arial" w:hAnsi="Arial"/>
          <w:sz w:val="24"/>
        </w:rPr>
        <w:t xml:space="preserve">de Pereira, </w:t>
      </w:r>
      <w:r w:rsidRPr="00EF4E29">
        <w:rPr>
          <w:rFonts w:ascii="Arial" w:hAnsi="Arial" w:cs="Arial"/>
          <w:sz w:val="24"/>
          <w:szCs w:val="24"/>
        </w:rPr>
        <w:t>según la impugnación</w:t>
      </w:r>
      <w:r w:rsidR="005069CE" w:rsidRPr="00EF4E29">
        <w:rPr>
          <w:rFonts w:ascii="Arial" w:hAnsi="Arial" w:cs="Arial"/>
          <w:sz w:val="24"/>
          <w:szCs w:val="24"/>
        </w:rPr>
        <w:t xml:space="preserve"> d</w:t>
      </w:r>
      <w:r w:rsidR="00311747" w:rsidRPr="00EF4E29">
        <w:rPr>
          <w:rFonts w:ascii="Arial" w:hAnsi="Arial" w:cs="Arial"/>
          <w:sz w:val="24"/>
          <w:szCs w:val="24"/>
        </w:rPr>
        <w:t>e</w:t>
      </w:r>
      <w:r w:rsidR="002F2011">
        <w:rPr>
          <w:rFonts w:ascii="Arial" w:hAnsi="Arial" w:cs="Arial"/>
          <w:sz w:val="24"/>
          <w:szCs w:val="24"/>
        </w:rPr>
        <w:t xml:space="preserve"> </w:t>
      </w:r>
      <w:r w:rsidR="00EF4E29" w:rsidRPr="00EF4E29">
        <w:rPr>
          <w:rFonts w:ascii="Arial" w:hAnsi="Arial" w:cs="Arial"/>
          <w:sz w:val="24"/>
          <w:szCs w:val="24"/>
        </w:rPr>
        <w:t>l</w:t>
      </w:r>
      <w:r w:rsidR="002F2011">
        <w:rPr>
          <w:rFonts w:ascii="Arial" w:hAnsi="Arial" w:cs="Arial"/>
          <w:sz w:val="24"/>
          <w:szCs w:val="24"/>
        </w:rPr>
        <w:t>a</w:t>
      </w:r>
      <w:r w:rsidR="00EF4E29" w:rsidRPr="00EF4E29">
        <w:rPr>
          <w:rFonts w:ascii="Arial" w:hAnsi="Arial" w:cs="Arial"/>
          <w:sz w:val="24"/>
          <w:szCs w:val="24"/>
        </w:rPr>
        <w:t xml:space="preserve"> </w:t>
      </w:r>
      <w:r w:rsidR="002F2011">
        <w:rPr>
          <w:rFonts w:ascii="Arial" w:hAnsi="Arial" w:cs="Arial"/>
          <w:sz w:val="24"/>
          <w:szCs w:val="24"/>
        </w:rPr>
        <w:t>parte actora</w:t>
      </w:r>
      <w:r w:rsidRPr="00EF4E29">
        <w:rPr>
          <w:rFonts w:ascii="Arial" w:hAnsi="Arial" w:cs="Arial"/>
          <w:sz w:val="24"/>
          <w:szCs w:val="24"/>
        </w:rPr>
        <w:t>?</w:t>
      </w:r>
      <w:r w:rsidRPr="00311FCA">
        <w:rPr>
          <w:rFonts w:ascii="Arial" w:hAnsi="Arial" w:cs="Arial"/>
          <w:sz w:val="24"/>
          <w:szCs w:val="24"/>
        </w:rPr>
        <w:t xml:space="preserve"> </w:t>
      </w:r>
    </w:p>
    <w:p w:rsidR="001270BF" w:rsidRPr="00311FCA" w:rsidRDefault="001270BF" w:rsidP="00F839CE">
      <w:pPr>
        <w:pStyle w:val="Textoindependiente"/>
        <w:spacing w:line="360" w:lineRule="auto"/>
        <w:rPr>
          <w:rFonts w:ascii="Arial" w:hAnsi="Arial" w:cs="Arial"/>
          <w:sz w:val="24"/>
          <w:szCs w:val="24"/>
        </w:rPr>
      </w:pPr>
    </w:p>
    <w:p w:rsidR="003913E3" w:rsidRDefault="003913E3" w:rsidP="00F839CE">
      <w:pPr>
        <w:pStyle w:val="Textoindependiente"/>
        <w:numPr>
          <w:ilvl w:val="1"/>
          <w:numId w:val="18"/>
        </w:numPr>
        <w:tabs>
          <w:tab w:val="clear" w:pos="0"/>
        </w:tabs>
        <w:spacing w:line="360" w:lineRule="auto"/>
        <w:rPr>
          <w:rFonts w:ascii="Arial" w:hAnsi="Arial" w:cs="Arial"/>
          <w:sz w:val="24"/>
          <w:szCs w:val="24"/>
        </w:rPr>
      </w:pPr>
      <w:r w:rsidRPr="00311FCA">
        <w:rPr>
          <w:rFonts w:ascii="Arial" w:hAnsi="Arial" w:cs="Arial"/>
          <w:sz w:val="24"/>
          <w:szCs w:val="24"/>
        </w:rPr>
        <w:t>La resolución del problema jurídico planteado</w:t>
      </w:r>
    </w:p>
    <w:p w:rsidR="001270BF" w:rsidRDefault="001270BF" w:rsidP="001270BF">
      <w:pPr>
        <w:pStyle w:val="Textoindependiente"/>
        <w:tabs>
          <w:tab w:val="clear" w:pos="0"/>
        </w:tabs>
        <w:spacing w:line="360" w:lineRule="auto"/>
        <w:ind w:left="720"/>
        <w:rPr>
          <w:rFonts w:ascii="Arial" w:hAnsi="Arial" w:cs="Arial"/>
          <w:sz w:val="24"/>
          <w:szCs w:val="24"/>
        </w:rPr>
      </w:pPr>
    </w:p>
    <w:p w:rsidR="008D2CD7" w:rsidRPr="001270BF" w:rsidRDefault="008D2CD7" w:rsidP="001270BF">
      <w:pPr>
        <w:pStyle w:val="Prrafodelista"/>
        <w:numPr>
          <w:ilvl w:val="2"/>
          <w:numId w:val="18"/>
        </w:numPr>
        <w:tabs>
          <w:tab w:val="left" w:pos="993"/>
        </w:tabs>
        <w:spacing w:after="0" w:line="360" w:lineRule="auto"/>
        <w:jc w:val="both"/>
        <w:rPr>
          <w:rFonts w:ascii="Arial" w:hAnsi="Arial" w:cs="Arial"/>
          <w:spacing w:val="-3"/>
          <w:sz w:val="24"/>
          <w:szCs w:val="24"/>
          <w:lang w:val="es-ES_tradnl"/>
        </w:rPr>
      </w:pPr>
      <w:r w:rsidRPr="001270BF">
        <w:rPr>
          <w:rFonts w:ascii="Arial" w:hAnsi="Arial" w:cs="Arial"/>
          <w:spacing w:val="-3"/>
          <w:sz w:val="24"/>
          <w:szCs w:val="24"/>
          <w:lang w:val="es-ES_tradnl"/>
        </w:rPr>
        <w:t>Las sub-reglas de análisis en la procedibilidad frente a decisiones judiciales</w:t>
      </w:r>
    </w:p>
    <w:p w:rsidR="001270BF" w:rsidRDefault="001270BF" w:rsidP="001270B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8D2CD7" w:rsidRPr="008D2CD7" w:rsidRDefault="008D2CD7" w:rsidP="001270B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1270BF">
        <w:rPr>
          <w:rFonts w:ascii="Arial" w:hAnsi="Arial" w:cs="Arial"/>
          <w:spacing w:val="-3"/>
          <w:lang w:val="es-ES_tradnl"/>
        </w:rPr>
        <w:t>A partir de la sentencia C-543 de 1992, mediante la cual se examinaron en sede de</w:t>
      </w:r>
      <w:r w:rsidRPr="008D2CD7">
        <w:rPr>
          <w:rFonts w:ascii="Arial" w:hAnsi="Arial" w:cs="Arial"/>
          <w:spacing w:val="-3"/>
          <w:lang w:val="es-ES_tradnl"/>
        </w:rPr>
        <w:t xml:space="preserve"> constitucionalidad, los artículos 11, 12 y 40 del Decreto 2591 de 1991, que se declararon ajustados a la Carta Política, se inicia la línea jurisprudencial en torno a la tutela contra providencias judiciales, que ha evolucionado hasta una re-definición dogmática entre 2003 y 2005</w:t>
      </w:r>
      <w:r w:rsidRPr="008D2CD7">
        <w:rPr>
          <w:rFonts w:ascii="Arial" w:hAnsi="Arial" w:cs="Arial"/>
          <w:spacing w:val="-3"/>
          <w:vertAlign w:val="superscript"/>
          <w:lang w:val="es-ES_tradnl"/>
        </w:rPr>
        <w:footnoteReference w:id="1"/>
      </w:r>
      <w:r w:rsidRPr="008D2CD7">
        <w:rPr>
          <w:rFonts w:ascii="Arial" w:hAnsi="Arial" w:cs="Arial"/>
          <w:spacing w:val="-3"/>
          <w:lang w:val="es-ES_tradnl"/>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8D2CD7" w:rsidRPr="008D2CD7" w:rsidRDefault="008D2CD7" w:rsidP="008D2C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8D2CD7" w:rsidRPr="008D2CD7" w:rsidRDefault="008D2CD7" w:rsidP="008D2C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8D2CD7">
        <w:rPr>
          <w:rFonts w:ascii="Arial" w:hAnsi="Arial" w:cs="Arial"/>
          <w:spacing w:val="-3"/>
          <w:lang w:val="es-ES_tradnl"/>
        </w:rPr>
        <w:t xml:space="preserve">Ahora, en frente del examen que se reclama en sede constitucional, resulta de mayúscula trascendencia, precisar que </w:t>
      </w:r>
      <w:r w:rsidRPr="008D2CD7">
        <w:rPr>
          <w:rFonts w:ascii="Arial" w:hAnsi="Arial" w:cs="Arial"/>
          <w:spacing w:val="-3"/>
          <w:u w:val="single"/>
          <w:lang w:val="es-ES_tradnl"/>
        </w:rPr>
        <w:t>se trata de un juicio de validez y no de corrección</w:t>
      </w:r>
      <w:r w:rsidRPr="008D2CD7">
        <w:rPr>
          <w:rFonts w:ascii="Arial" w:hAnsi="Arial" w:cs="Arial"/>
          <w:spacing w:val="-3"/>
          <w:lang w:val="es-ES_tradnl"/>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8D2CD7">
          <w:rPr>
            <w:rFonts w:ascii="Arial" w:hAnsi="Arial" w:cs="Arial"/>
            <w:spacing w:val="-3"/>
            <w:lang w:val="es-ES_tradnl"/>
          </w:rPr>
          <w:t>la Colegiatura</w:t>
        </w:r>
      </w:smartTag>
      <w:r w:rsidRPr="008D2CD7">
        <w:rPr>
          <w:rFonts w:ascii="Arial" w:hAnsi="Arial" w:cs="Arial"/>
          <w:spacing w:val="-3"/>
          <w:lang w:val="es-ES_tradnl"/>
        </w:rPr>
        <w:t xml:space="preserve"> constitucional</w:t>
      </w:r>
      <w:r w:rsidRPr="008D2CD7">
        <w:rPr>
          <w:rFonts w:ascii="Arial" w:hAnsi="Arial" w:cs="Arial"/>
          <w:spacing w:val="-3"/>
          <w:vertAlign w:val="superscript"/>
          <w:lang w:val="es-ES_tradnl"/>
        </w:rPr>
        <w:footnoteReference w:id="2"/>
      </w:r>
      <w:r w:rsidRPr="008D2CD7">
        <w:rPr>
          <w:rFonts w:ascii="Arial" w:hAnsi="Arial" w:cs="Arial"/>
          <w:spacing w:val="-3"/>
          <w:lang w:val="es-ES_tradnl"/>
        </w:rPr>
        <w:t>.</w:t>
      </w:r>
    </w:p>
    <w:p w:rsidR="008D2CD7" w:rsidRPr="008D2CD7" w:rsidRDefault="008D2CD7" w:rsidP="008D2C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8D2CD7" w:rsidRDefault="008D2CD7" w:rsidP="008D2C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8D2CD7">
        <w:rPr>
          <w:rFonts w:ascii="Arial" w:hAnsi="Arial" w:cs="Arial"/>
          <w:spacing w:val="-3"/>
          <w:lang w:val="es-ES_tradnl"/>
        </w:rPr>
        <w:t>Los requisitos generales de procedibilidad, explicados en amplitud en la sentencia C-590 de 2005</w:t>
      </w:r>
      <w:r w:rsidRPr="008D2CD7">
        <w:rPr>
          <w:rFonts w:ascii="Arial" w:hAnsi="Arial" w:cs="Arial"/>
          <w:spacing w:val="-3"/>
          <w:vertAlign w:val="superscript"/>
          <w:lang w:val="es-ES_tradnl"/>
        </w:rPr>
        <w:footnoteReference w:id="3"/>
      </w:r>
      <w:r w:rsidRPr="008D2CD7">
        <w:rPr>
          <w:rFonts w:ascii="Arial" w:hAnsi="Arial" w:cs="Arial"/>
          <w:spacing w:val="-3"/>
          <w:lang w:val="es-ES_tradnl"/>
        </w:rPr>
        <w:t xml:space="preserve"> y reiterados en la consolidada línea jurisprudencial de la Corte Constitucional</w:t>
      </w:r>
      <w:r w:rsidRPr="008D2CD7">
        <w:rPr>
          <w:rFonts w:ascii="Arial" w:hAnsi="Arial" w:cs="Arial"/>
          <w:spacing w:val="-3"/>
          <w:vertAlign w:val="superscript"/>
          <w:lang w:val="es-ES_tradnl"/>
        </w:rPr>
        <w:footnoteReference w:id="4"/>
      </w:r>
      <w:r w:rsidRPr="008D2CD7">
        <w:rPr>
          <w:rFonts w:ascii="Arial" w:hAnsi="Arial" w:cs="Arial"/>
          <w:spacing w:val="-3"/>
          <w:lang w:val="es-ES_tradnl"/>
        </w:rPr>
        <w:t xml:space="preserve"> (2015)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8D2CD7">
        <w:rPr>
          <w:rFonts w:ascii="Arial" w:hAnsi="Arial" w:cs="Times New Roman"/>
          <w:spacing w:val="-3"/>
          <w:vertAlign w:val="superscript"/>
          <w:lang w:val="es-ES_tradnl"/>
        </w:rPr>
        <w:footnoteReference w:id="5"/>
      </w:r>
      <w:r w:rsidRPr="008D2CD7">
        <w:rPr>
          <w:rFonts w:ascii="Arial" w:hAnsi="Arial" w:cs="Arial"/>
          <w:spacing w:val="-3"/>
          <w:lang w:val="es-ES_tradnl"/>
        </w:rPr>
        <w:t>.</w:t>
      </w:r>
    </w:p>
    <w:p w:rsidR="008D2CD7" w:rsidRPr="008D2CD7" w:rsidRDefault="008D2CD7" w:rsidP="008D2C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8D2CD7" w:rsidRPr="008D2CD7" w:rsidRDefault="008D2CD7" w:rsidP="008D2C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8D2CD7">
        <w:rPr>
          <w:rFonts w:ascii="Arial" w:hAnsi="Arial" w:cs="Arial"/>
          <w:spacing w:val="-3"/>
          <w:lang w:val="es-ES_tradnl"/>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8D2CD7">
        <w:rPr>
          <w:rFonts w:ascii="Arial" w:hAnsi="Arial" w:cs="Arial"/>
          <w:spacing w:val="-3"/>
          <w:vertAlign w:val="superscript"/>
          <w:lang w:val="es-ES_tradnl"/>
        </w:rPr>
        <w:footnoteReference w:id="6"/>
      </w:r>
      <w:r w:rsidRPr="008D2CD7">
        <w:rPr>
          <w:rFonts w:ascii="Arial" w:hAnsi="Arial" w:cs="Arial"/>
          <w:spacing w:val="-3"/>
          <w:lang w:val="es-ES_tradnl"/>
        </w:rPr>
        <w:t xml:space="preserve"> y Quinche Ramírez</w:t>
      </w:r>
      <w:r w:rsidRPr="008D2CD7">
        <w:rPr>
          <w:rFonts w:ascii="Arial" w:hAnsi="Arial" w:cs="Arial"/>
          <w:spacing w:val="-3"/>
          <w:vertAlign w:val="superscript"/>
          <w:lang w:val="es-ES_tradnl"/>
        </w:rPr>
        <w:footnoteReference w:id="7"/>
      </w:r>
      <w:r w:rsidRPr="008D2CD7">
        <w:rPr>
          <w:rFonts w:ascii="Arial" w:hAnsi="Arial" w:cs="Arial"/>
          <w:spacing w:val="-3"/>
          <w:lang w:val="es-ES_tradnl"/>
        </w:rPr>
        <w:t>.</w:t>
      </w:r>
    </w:p>
    <w:p w:rsidR="00117D2E" w:rsidRDefault="00117D2E" w:rsidP="00117D2E">
      <w:pPr>
        <w:spacing w:line="360" w:lineRule="auto"/>
        <w:jc w:val="both"/>
        <w:rPr>
          <w:rFonts w:ascii="Arial" w:hAnsi="Arial" w:cs="Arial"/>
        </w:rPr>
      </w:pPr>
    </w:p>
    <w:p w:rsidR="00117D2E" w:rsidRDefault="00117D2E" w:rsidP="00117D2E">
      <w:pPr>
        <w:spacing w:line="360" w:lineRule="auto"/>
        <w:jc w:val="both"/>
        <w:rPr>
          <w:rFonts w:ascii="Arial" w:hAnsi="Arial" w:cs="Arial"/>
        </w:rPr>
      </w:pPr>
      <w:r>
        <w:rPr>
          <w:rFonts w:ascii="Arial" w:hAnsi="Arial" w:cs="Arial"/>
        </w:rPr>
        <w:t>7.4.2. La inmediatez</w:t>
      </w:r>
    </w:p>
    <w:p w:rsidR="00117D2E" w:rsidRPr="0098589D" w:rsidRDefault="00117D2E" w:rsidP="00117D2E">
      <w:pPr>
        <w:spacing w:line="360" w:lineRule="auto"/>
        <w:jc w:val="both"/>
        <w:rPr>
          <w:rFonts w:ascii="Arial" w:hAnsi="Arial" w:cs="Arial"/>
        </w:rPr>
      </w:pPr>
    </w:p>
    <w:p w:rsidR="00117D2E" w:rsidRDefault="00117D2E" w:rsidP="00117D2E">
      <w:pPr>
        <w:spacing w:line="360" w:lineRule="auto"/>
        <w:jc w:val="both"/>
        <w:rPr>
          <w:rFonts w:ascii="Arial" w:hAnsi="Arial" w:cs="Arial"/>
          <w:u w:val="single"/>
        </w:rPr>
      </w:pPr>
      <w:r w:rsidRPr="0098589D">
        <w:rPr>
          <w:rFonts w:ascii="Arial" w:hAnsi="Arial" w:cs="Arial"/>
        </w:rPr>
        <w:t>Según constante jurisprudencia de nuestro máximo Tribunal Constitucional</w:t>
      </w:r>
      <w:r w:rsidRPr="0098589D">
        <w:rPr>
          <w:rStyle w:val="Refdenotaalpie"/>
        </w:rPr>
        <w:footnoteReference w:id="8"/>
      </w:r>
      <w:r w:rsidRPr="0098589D">
        <w:rPr>
          <w:rFonts w:ascii="Arial" w:hAnsi="Arial" w:cs="Arial"/>
        </w:rPr>
        <w:t>, y también de la Corte Suprema de Justicia</w:t>
      </w:r>
      <w:r w:rsidRPr="0098589D">
        <w:rPr>
          <w:rStyle w:val="Refdenotaalpie"/>
          <w:rFonts w:ascii="Calibri" w:hAnsi="Calibri" w:cs="Calibri"/>
        </w:rPr>
        <w:footnoteReference w:id="9"/>
      </w:r>
      <w:r w:rsidRPr="0098589D">
        <w:rPr>
          <w:rFonts w:ascii="Calibri" w:hAnsi="Calibri" w:cs="Calibri"/>
        </w:rPr>
        <w:t xml:space="preserve"> (</w:t>
      </w:r>
      <w:r w:rsidRPr="0098589D">
        <w:rPr>
          <w:rFonts w:ascii="Arial" w:hAnsi="Arial" w:cs="Arial"/>
        </w:rPr>
        <w:t xml:space="preserve">Sala de Casación Civil), la inmediatez en la protección, que implica la tutela, conlleva entender que el remedio judicial requiere </w:t>
      </w:r>
      <w:r w:rsidRPr="0098589D">
        <w:rPr>
          <w:rFonts w:ascii="Arial" w:hAnsi="Arial" w:cs="Arial"/>
          <w:b/>
          <w:bCs/>
        </w:rPr>
        <w:t>aplicación urgente,</w:t>
      </w:r>
      <w:r w:rsidRPr="0098589D">
        <w:rPr>
          <w:rFonts w:ascii="Arial" w:hAnsi="Arial"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sidRPr="0098589D">
        <w:rPr>
          <w:rFonts w:ascii="Arial" w:hAnsi="Arial" w:cs="Arial"/>
          <w:u w:val="single"/>
        </w:rPr>
        <w:t>la inmediatez es consustancial a la protección que brinda la mencionada acción como defensa efectiva de los derechos fundamentales.</w:t>
      </w:r>
    </w:p>
    <w:p w:rsidR="00117D2E" w:rsidRPr="0098589D" w:rsidRDefault="00117D2E" w:rsidP="00117D2E">
      <w:pPr>
        <w:spacing w:line="360" w:lineRule="auto"/>
        <w:jc w:val="both"/>
        <w:rPr>
          <w:rFonts w:ascii="Arial" w:hAnsi="Arial" w:cs="Arial"/>
          <w:u w:val="single"/>
        </w:rPr>
      </w:pPr>
    </w:p>
    <w:p w:rsidR="00E27425" w:rsidRDefault="00117D2E" w:rsidP="00E27425">
      <w:pPr>
        <w:spacing w:line="360" w:lineRule="auto"/>
        <w:ind w:right="22"/>
        <w:jc w:val="both"/>
        <w:rPr>
          <w:rFonts w:ascii="Arial" w:hAnsi="Arial" w:cs="Arial"/>
        </w:rPr>
      </w:pPr>
      <w:r w:rsidRPr="0098589D">
        <w:rPr>
          <w:rFonts w:ascii="Arial" w:hAnsi="Arial" w:cs="Arial"/>
        </w:rPr>
        <w:t xml:space="preserve">Oportuno resulta, evocar </w:t>
      </w:r>
      <w:r w:rsidRPr="0098589D">
        <w:rPr>
          <w:rFonts w:ascii="Arial" w:hAnsi="Arial" w:cs="Arial"/>
          <w:kern w:val="44"/>
        </w:rPr>
        <w:t xml:space="preserve">con relación a la prontitud que debe acompañar el reclamo para la protección de los derechos, que la jurisprudencia de la Corte Interamericana de Derechos Humanos ha señalado que el transcurso de un lapso mayor a </w:t>
      </w:r>
      <w:r w:rsidRPr="00E91C83">
        <w:rPr>
          <w:rFonts w:ascii="Arial" w:hAnsi="Arial" w:cs="Arial"/>
          <w:b/>
          <w:kern w:val="44"/>
        </w:rPr>
        <w:t>seis meses</w:t>
      </w:r>
      <w:r w:rsidRPr="0098589D">
        <w:rPr>
          <w:rFonts w:ascii="Arial" w:hAnsi="Arial" w:cs="Arial"/>
          <w:kern w:val="44"/>
        </w:rPr>
        <w:t xml:space="preserve"> para resolver amparos excede el principio de plazo razonable. </w:t>
      </w:r>
      <w:r w:rsidRPr="0098589D">
        <w:rPr>
          <w:rFonts w:ascii="Arial" w:hAnsi="Arial" w:cs="Arial"/>
        </w:rPr>
        <w:t xml:space="preserve">Habida consideración de la significación del principio de inmediatez, ha concluido en recientes decisiones nuestro Alto Tribunal, que la “OPORTUNIDAD”, </w:t>
      </w:r>
      <w:r w:rsidRPr="0098589D">
        <w:rPr>
          <w:rFonts w:ascii="Arial" w:hAnsi="Arial" w:cs="Arial"/>
          <w:u w:val="single"/>
        </w:rPr>
        <w:t>es un requisito de procedibilidad esencial para el ejercicio del amparo constitucional</w:t>
      </w:r>
      <w:r w:rsidRPr="0098589D">
        <w:rPr>
          <w:rStyle w:val="Refdenotaalpie"/>
          <w:rFonts w:ascii="Calibri" w:hAnsi="Calibri" w:cs="Calibri"/>
        </w:rPr>
        <w:footnoteReference w:id="10"/>
      </w:r>
      <w:r w:rsidRPr="0098589D">
        <w:rPr>
          <w:rFonts w:ascii="Arial" w:hAnsi="Arial" w:cs="Arial"/>
        </w:rPr>
        <w:t>.</w:t>
      </w:r>
      <w:r>
        <w:rPr>
          <w:rFonts w:ascii="Arial" w:hAnsi="Arial" w:cs="Arial"/>
        </w:rPr>
        <w:t xml:space="preserve"> </w:t>
      </w:r>
      <w:r w:rsidR="00E27425" w:rsidRPr="006D5F73">
        <w:rPr>
          <w:rFonts w:ascii="Arial" w:hAnsi="Arial" w:cs="Arial"/>
        </w:rPr>
        <w:t>Así mismo lo ha señalado la Corte Suprema de Justicia en sus Salas de Casación Penal</w:t>
      </w:r>
      <w:r w:rsidR="00E27425" w:rsidRPr="006D5F73">
        <w:rPr>
          <w:rStyle w:val="Refdenotaalpie"/>
          <w:rFonts w:ascii="Arial" w:hAnsi="Arial"/>
        </w:rPr>
        <w:footnoteReference w:id="11"/>
      </w:r>
      <w:r w:rsidR="00E27425" w:rsidRPr="006D5F73">
        <w:rPr>
          <w:rFonts w:ascii="Arial" w:hAnsi="Arial" w:cs="Arial"/>
        </w:rPr>
        <w:t xml:space="preserve"> y de Casación Civil</w:t>
      </w:r>
      <w:r w:rsidR="00E27425" w:rsidRPr="006D5F73">
        <w:rPr>
          <w:rStyle w:val="Refdenotaalpie"/>
          <w:rFonts w:ascii="Arial" w:hAnsi="Arial" w:cs="Arial"/>
        </w:rPr>
        <w:footnoteReference w:id="12"/>
      </w:r>
      <w:r w:rsidR="00E27425" w:rsidRPr="006D5F73">
        <w:rPr>
          <w:rFonts w:ascii="Arial" w:hAnsi="Arial" w:cs="Arial"/>
        </w:rPr>
        <w:t xml:space="preserve"> que en reciente providencia </w:t>
      </w:r>
      <w:r w:rsidR="00E27425">
        <w:rPr>
          <w:rFonts w:ascii="Arial" w:hAnsi="Arial" w:cs="Arial"/>
        </w:rPr>
        <w:t>reiteró</w:t>
      </w:r>
      <w:r w:rsidR="00E27425" w:rsidRPr="006D5F73">
        <w:rPr>
          <w:rFonts w:ascii="Arial" w:hAnsi="Arial" w:cs="Arial"/>
        </w:rPr>
        <w:t xml:space="preserve">: </w:t>
      </w:r>
    </w:p>
    <w:p w:rsidR="00B43EA8" w:rsidRPr="006D5F73" w:rsidRDefault="00B43EA8" w:rsidP="00E27425">
      <w:pPr>
        <w:spacing w:line="360" w:lineRule="auto"/>
        <w:ind w:right="22"/>
        <w:jc w:val="both"/>
        <w:rPr>
          <w:rFonts w:ascii="Arial" w:hAnsi="Arial" w:cs="Arial"/>
        </w:rPr>
      </w:pPr>
    </w:p>
    <w:p w:rsidR="00E27425" w:rsidRPr="00C9008E" w:rsidRDefault="00E27425" w:rsidP="00E27425">
      <w:pPr>
        <w:ind w:left="720" w:right="618"/>
        <w:jc w:val="both"/>
        <w:rPr>
          <w:rFonts w:ascii="Arial" w:hAnsi="Arial" w:cs="Arial"/>
          <w:iCs/>
        </w:rPr>
      </w:pPr>
      <w:r w:rsidRPr="00C9008E">
        <w:rPr>
          <w:rFonts w:ascii="Arial" w:hAnsi="Arial" w:cs="Arial"/>
          <w:iCs/>
        </w:rPr>
        <w:t xml:space="preserve">… al ciudadano le asiste el deber recíproco de colaborar para el adecuado funcionamiento de la administración de justicia (ordinal 7, artículo 95 Superior), en este caso, impetrando oportunamente la solicitud tutelar, pues la demora en el ejercicio de dicha acción constitucional, puede tomarse, ora como síntoma del carácter dudoso de la lesión o puesta en peligro de los derechos fundamentales, o como señal de aceptación a lo resuelto, contrario en todo caso la urgencia, celeridad, eficacia e inmediatez inherente a la lesión o amenaza del derecho fundamental. </w:t>
      </w:r>
    </w:p>
    <w:p w:rsidR="00E27425" w:rsidRPr="00C9008E" w:rsidRDefault="00E27425" w:rsidP="00E27425">
      <w:pPr>
        <w:ind w:left="720" w:right="618"/>
        <w:jc w:val="both"/>
        <w:rPr>
          <w:rFonts w:ascii="Arial" w:hAnsi="Arial" w:cs="Arial"/>
          <w:iCs/>
        </w:rPr>
      </w:pPr>
    </w:p>
    <w:p w:rsidR="00E27425" w:rsidRPr="00C9008E" w:rsidRDefault="00E27425" w:rsidP="00E27425">
      <w:pPr>
        <w:ind w:left="720" w:right="618"/>
        <w:jc w:val="both"/>
        <w:rPr>
          <w:rFonts w:ascii="Bookman Old Style" w:hAnsi="Bookman Old Style" w:cs="Arial"/>
          <w:iCs/>
        </w:rPr>
      </w:pPr>
      <w:r w:rsidRPr="00C9008E">
        <w:rPr>
          <w:rFonts w:ascii="Arial" w:hAnsi="Arial" w:cs="Arial"/>
          <w:iCs/>
        </w:rPr>
        <w:t xml:space="preserve">Precisamente, en orden a procurar el cumplimiento del memorado requisito, </w:t>
      </w:r>
      <w:r w:rsidRPr="00C9008E">
        <w:rPr>
          <w:rFonts w:ascii="Arial" w:hAnsi="Arial" w:cs="Arial"/>
          <w:iCs/>
          <w:u w:val="single"/>
        </w:rPr>
        <w:t>la Sala en reiterados pronunciamientos ha considerado por término razonable para la interposición de la acción el de seis meses</w:t>
      </w:r>
      <w:r w:rsidRPr="00C9008E">
        <w:rPr>
          <w:rFonts w:ascii="Arial" w:hAnsi="Arial" w:cs="Arial"/>
          <w:iCs/>
        </w:rPr>
        <w:t>.</w:t>
      </w:r>
      <w:r>
        <w:rPr>
          <w:rFonts w:ascii="Arial" w:hAnsi="Arial" w:cs="Arial"/>
        </w:rPr>
        <w:t xml:space="preserve"> Sublínea de esta S</w:t>
      </w:r>
      <w:r w:rsidRPr="006D5F73">
        <w:rPr>
          <w:rFonts w:ascii="Arial" w:hAnsi="Arial" w:cs="Arial"/>
        </w:rPr>
        <w:t>ala.</w:t>
      </w:r>
    </w:p>
    <w:p w:rsidR="00117D2E" w:rsidRPr="0098589D" w:rsidRDefault="00117D2E" w:rsidP="00E27425">
      <w:pPr>
        <w:spacing w:line="360" w:lineRule="auto"/>
        <w:ind w:right="22"/>
        <w:jc w:val="both"/>
        <w:rPr>
          <w:rFonts w:ascii="Arial" w:hAnsi="Arial" w:cs="Arial"/>
        </w:rPr>
      </w:pPr>
    </w:p>
    <w:p w:rsidR="00117D2E" w:rsidRPr="0098589D" w:rsidRDefault="00117D2E" w:rsidP="00117D2E">
      <w:pPr>
        <w:spacing w:line="360" w:lineRule="auto"/>
        <w:ind w:right="22"/>
        <w:jc w:val="both"/>
        <w:rPr>
          <w:rFonts w:ascii="Arial" w:hAnsi="Arial" w:cs="Arial"/>
        </w:rPr>
      </w:pPr>
      <w:r w:rsidRPr="0098589D">
        <w:rPr>
          <w:rFonts w:ascii="Arial" w:hAnsi="Arial" w:cs="Arial"/>
        </w:rPr>
        <w:t>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decisión; y, (iii) Si existe un nexo causal entre el ejercicio oportuno de la acción y la vulneración de los derechos de los interesados.</w:t>
      </w:r>
    </w:p>
    <w:p w:rsidR="00117D2E" w:rsidRPr="0098589D" w:rsidRDefault="00117D2E" w:rsidP="00117D2E">
      <w:pPr>
        <w:spacing w:line="360" w:lineRule="auto"/>
        <w:ind w:right="22"/>
        <w:jc w:val="both"/>
        <w:rPr>
          <w:rFonts w:ascii="Arial" w:hAnsi="Arial" w:cs="Arial"/>
        </w:rPr>
      </w:pPr>
    </w:p>
    <w:p w:rsidR="00117D2E" w:rsidRDefault="00117D2E" w:rsidP="00117D2E">
      <w:pPr>
        <w:spacing w:line="360" w:lineRule="auto"/>
        <w:ind w:right="22"/>
        <w:jc w:val="both"/>
        <w:rPr>
          <w:rFonts w:ascii="Arial" w:hAnsi="Arial" w:cs="Arial"/>
        </w:rPr>
      </w:pPr>
      <w:r w:rsidRPr="0098589D">
        <w:rPr>
          <w:rFonts w:ascii="Arial" w:hAnsi="Arial" w:cs="Arial"/>
        </w:rPr>
        <w:t>Los aspectos acabados de reseñar, fueron precisados en una decisión del 2006 de la Corte Constitucional</w:t>
      </w:r>
      <w:r w:rsidRPr="0098589D">
        <w:rPr>
          <w:rStyle w:val="Refdenotaalpie"/>
          <w:rFonts w:ascii="Arial" w:hAnsi="Arial" w:cs="Arial"/>
        </w:rPr>
        <w:footnoteReference w:id="13"/>
      </w:r>
      <w:r w:rsidRPr="0098589D">
        <w:rPr>
          <w:rFonts w:ascii="Arial" w:hAnsi="Arial" w:cs="Arial"/>
        </w:rPr>
        <w:t>, con apoyo en un precedente anterior de 2003</w:t>
      </w:r>
      <w:r w:rsidRPr="0098589D">
        <w:rPr>
          <w:rStyle w:val="Refdenotaalpie"/>
          <w:rFonts w:ascii="Arial" w:hAnsi="Arial" w:cs="Arial"/>
        </w:rPr>
        <w:footnoteReference w:id="14"/>
      </w:r>
      <w:r w:rsidRPr="0098589D">
        <w:rPr>
          <w:rFonts w:ascii="Arial" w:hAnsi="Arial" w:cs="Arial"/>
        </w:rPr>
        <w:t>.  En sentencia de 2010 la Corte amparó los derechos, al estimar que para el caso particular que examinó, la razonabilidad del plazo cubría algunos años, en tratándose de “vías de hecho” judiciales.  En este sentido puede consultarse la síntesis doctrinal que hace el profesor Quinche Ramírez</w:t>
      </w:r>
      <w:r w:rsidRPr="0098589D">
        <w:rPr>
          <w:rStyle w:val="Refdenotaalpie"/>
          <w:rFonts w:ascii="Arial" w:hAnsi="Arial" w:cs="Arial"/>
        </w:rPr>
        <w:footnoteReference w:id="15"/>
      </w:r>
      <w:r w:rsidRPr="0098589D">
        <w:rPr>
          <w:rFonts w:ascii="Arial" w:hAnsi="Arial" w:cs="Arial"/>
        </w:rPr>
        <w:t>.</w:t>
      </w:r>
    </w:p>
    <w:p w:rsidR="00117D2E" w:rsidRDefault="00117D2E" w:rsidP="00117D2E">
      <w:pPr>
        <w:spacing w:line="360" w:lineRule="auto"/>
        <w:ind w:right="22"/>
        <w:jc w:val="both"/>
        <w:rPr>
          <w:rFonts w:ascii="Arial" w:hAnsi="Arial" w:cs="Arial"/>
        </w:rPr>
      </w:pPr>
    </w:p>
    <w:p w:rsidR="00117D2E" w:rsidRDefault="00117D2E" w:rsidP="00117D2E">
      <w:pPr>
        <w:spacing w:line="360" w:lineRule="auto"/>
        <w:jc w:val="both"/>
        <w:rPr>
          <w:rFonts w:ascii="Arial" w:hAnsi="Arial" w:cs="Arial"/>
          <w:lang w:val="es-ES_tradnl"/>
        </w:rPr>
      </w:pPr>
      <w:r>
        <w:rPr>
          <w:rFonts w:ascii="Arial" w:hAnsi="Arial" w:cs="Arial"/>
          <w:lang w:val="es-ES_tradnl"/>
        </w:rPr>
        <w:t>En reciente providencia</w:t>
      </w:r>
      <w:r>
        <w:rPr>
          <w:rStyle w:val="Refdenotaalpie"/>
          <w:rFonts w:ascii="Arial" w:hAnsi="Arial" w:cs="Arial"/>
          <w:lang w:val="es-ES_tradnl"/>
        </w:rPr>
        <w:footnoteReference w:id="16"/>
      </w:r>
      <w:r w:rsidR="007E1963">
        <w:rPr>
          <w:rFonts w:ascii="Arial" w:hAnsi="Arial" w:cs="Arial"/>
          <w:lang w:val="es-ES_tradnl"/>
        </w:rPr>
        <w:t xml:space="preserve"> (2015</w:t>
      </w:r>
      <w:r>
        <w:rPr>
          <w:rFonts w:ascii="Arial" w:hAnsi="Arial" w:cs="Arial"/>
          <w:lang w:val="es-ES_tradnl"/>
        </w:rPr>
        <w:t>) nuestro órgano de cierre en la especialidad constitucional, ratificó el pensamiento traído en su larga línea jurisprudencial, y resaltó las razones que fundamenta el factor “inmediatez” como presupuesto de procedibilidad, así acotó:</w:t>
      </w:r>
    </w:p>
    <w:p w:rsidR="007E1963" w:rsidRPr="00E27425" w:rsidRDefault="007E1963" w:rsidP="007E1963">
      <w:pPr>
        <w:tabs>
          <w:tab w:val="left" w:pos="1979"/>
        </w:tabs>
        <w:ind w:left="567" w:right="567"/>
        <w:jc w:val="both"/>
        <w:rPr>
          <w:rFonts w:ascii="Arial" w:hAnsi="Arial" w:cs="Arial"/>
          <w:color w:val="000000" w:themeColor="text1"/>
          <w:sz w:val="28"/>
          <w:lang w:val="es-ES_tradnl"/>
        </w:rPr>
      </w:pPr>
      <w:r w:rsidRPr="00E27425">
        <w:rPr>
          <w:rFonts w:ascii="Arial" w:hAnsi="Arial" w:cs="Arial"/>
          <w:color w:val="000000" w:themeColor="text1"/>
          <w:szCs w:val="28"/>
          <w:shd w:val="clear" w:color="auto" w:fill="FFFFFF"/>
        </w:rPr>
        <w:t xml:space="preserve">… la Corte reiteró que la </w:t>
      </w:r>
      <w:r w:rsidRPr="00E27425">
        <w:rPr>
          <w:rFonts w:ascii="Arial" w:hAnsi="Arial" w:cs="Arial"/>
          <w:color w:val="000000" w:themeColor="text1"/>
          <w:szCs w:val="28"/>
          <w:u w:val="single"/>
          <w:shd w:val="clear" w:color="auto" w:fill="FFFFFF"/>
        </w:rPr>
        <w:t>exigencia de presentar la acción de tutela en un término razonable, se debe a la necesidad de</w:t>
      </w:r>
      <w:r w:rsidRPr="00E27425">
        <w:rPr>
          <w:rFonts w:ascii="Arial" w:hAnsi="Arial" w:cs="Arial"/>
          <w:color w:val="000000" w:themeColor="text1"/>
          <w:szCs w:val="28"/>
          <w:shd w:val="clear" w:color="auto" w:fill="FFFFFF"/>
        </w:rPr>
        <w:t xml:space="preserve"> (i) proteger derechos de terceros que pueden verse vulnerados con la presentación de la tutela; (ii) impedir que este mecanismo constitucional se convierta en fuente de inseguridad jurídica; y (iii) evitar el uso del amparo como herramienta supletiva de la propia negligencia en la agencia de los derechos. </w:t>
      </w:r>
    </w:p>
    <w:p w:rsidR="007E1963" w:rsidRPr="00E27425" w:rsidRDefault="007E1963" w:rsidP="007E1963">
      <w:pPr>
        <w:pStyle w:val="Textoindependiente"/>
        <w:spacing w:line="240" w:lineRule="auto"/>
        <w:ind w:left="567" w:right="567"/>
        <w:rPr>
          <w:rFonts w:ascii="Arial" w:hAnsi="Arial" w:cs="Arial"/>
          <w:color w:val="000000" w:themeColor="text1"/>
          <w:sz w:val="22"/>
          <w:szCs w:val="24"/>
        </w:rPr>
      </w:pPr>
    </w:p>
    <w:p w:rsidR="007E1963" w:rsidRPr="00E27425" w:rsidRDefault="007E1963" w:rsidP="007E1963">
      <w:pPr>
        <w:pStyle w:val="Textoindependiente"/>
        <w:spacing w:line="240" w:lineRule="auto"/>
        <w:ind w:left="567" w:right="567"/>
        <w:rPr>
          <w:rFonts w:ascii="Arial" w:hAnsi="Arial" w:cs="Arial"/>
          <w:color w:val="000000" w:themeColor="text1"/>
          <w:sz w:val="22"/>
          <w:szCs w:val="24"/>
        </w:rPr>
      </w:pPr>
      <w:r w:rsidRPr="00E27425">
        <w:rPr>
          <w:rFonts w:ascii="Arial" w:hAnsi="Arial" w:cs="Arial"/>
          <w:color w:val="000000" w:themeColor="text1"/>
          <w:sz w:val="22"/>
          <w:szCs w:val="24"/>
        </w:rPr>
        <w:t xml:space="preserve">(…) </w:t>
      </w:r>
    </w:p>
    <w:p w:rsidR="007E1963" w:rsidRPr="00E27425" w:rsidRDefault="007E1963" w:rsidP="007E1963">
      <w:pPr>
        <w:pStyle w:val="Textoindependiente"/>
        <w:spacing w:line="240" w:lineRule="auto"/>
        <w:ind w:left="567" w:right="567"/>
        <w:rPr>
          <w:rFonts w:ascii="Arial" w:hAnsi="Arial" w:cs="Arial"/>
          <w:color w:val="000000" w:themeColor="text1"/>
          <w:sz w:val="22"/>
          <w:szCs w:val="24"/>
        </w:rPr>
      </w:pPr>
    </w:p>
    <w:p w:rsidR="00FC7750" w:rsidRPr="00E27425" w:rsidRDefault="007E1963" w:rsidP="00FC7750">
      <w:pPr>
        <w:tabs>
          <w:tab w:val="left" w:pos="1979"/>
        </w:tabs>
        <w:ind w:left="567" w:right="567"/>
        <w:jc w:val="both"/>
        <w:rPr>
          <w:rFonts w:ascii="Arial" w:hAnsi="Arial" w:cs="Arial"/>
          <w:color w:val="000000" w:themeColor="text1"/>
          <w:sz w:val="28"/>
          <w:lang w:val="es-ES_tradnl"/>
        </w:rPr>
      </w:pPr>
      <w:r w:rsidRPr="00E27425">
        <w:rPr>
          <w:rFonts w:ascii="Arial" w:hAnsi="Arial" w:cs="Arial"/>
          <w:color w:val="000000" w:themeColor="text1"/>
          <w:szCs w:val="28"/>
          <w:shd w:val="clear" w:color="auto" w:fill="FFFFFF"/>
        </w:rPr>
        <w:t>En consecuencia, se debe presumir que la acción de tutela cumple con el requisito de inmediatez cuando: (i) el accionante logra demostrar los motivos por los cuales la presentó en ese momento a pesar de que ha transcurrido mucho tiempo desde los hechos que la originaron; (ii) la vulneración o amenaza del derecho persiste; o (iii) el actor se encuentra en situación de vulnerabilidad, a pesar de haber sido presentada tiempo después de que ocurrieron los actos que generaron la vulneración o amenaza de los derechos fundamentales.</w:t>
      </w:r>
      <w:r w:rsidR="00FC7750" w:rsidRPr="00E27425">
        <w:rPr>
          <w:rFonts w:ascii="Arial" w:hAnsi="Arial" w:cs="Arial"/>
          <w:color w:val="000000" w:themeColor="text1"/>
          <w:szCs w:val="28"/>
          <w:shd w:val="clear" w:color="auto" w:fill="FFFFFF"/>
        </w:rPr>
        <w:t xml:space="preserve"> </w:t>
      </w:r>
      <w:r w:rsidR="00FC7750" w:rsidRPr="00E27425">
        <w:rPr>
          <w:rFonts w:ascii="Arial" w:hAnsi="Arial" w:cs="Arial"/>
          <w:color w:val="000000" w:themeColor="text1"/>
          <w:lang w:val="es-CO"/>
        </w:rPr>
        <w:t>La sublínea de este Tribunal.</w:t>
      </w:r>
    </w:p>
    <w:p w:rsidR="007E1963" w:rsidRPr="00AC7177" w:rsidRDefault="007E1963" w:rsidP="001270BF">
      <w:pPr>
        <w:widowControl/>
        <w:shd w:val="clear" w:color="auto" w:fill="FFFFFF"/>
        <w:autoSpaceDE/>
        <w:autoSpaceDN/>
        <w:adjustRightInd/>
        <w:spacing w:line="360" w:lineRule="auto"/>
        <w:ind w:left="567" w:right="567"/>
        <w:jc w:val="both"/>
        <w:textAlignment w:val="baseline"/>
        <w:rPr>
          <w:rFonts w:ascii="Arial" w:hAnsi="Arial" w:cs="Arial"/>
          <w:color w:val="2D2D2D"/>
          <w:sz w:val="22"/>
          <w:szCs w:val="28"/>
          <w:shd w:val="clear" w:color="auto" w:fill="FFFFFF"/>
        </w:rPr>
      </w:pPr>
    </w:p>
    <w:p w:rsidR="00680DC6" w:rsidRPr="0005426D" w:rsidRDefault="00680DC6" w:rsidP="0005426D">
      <w:pPr>
        <w:pStyle w:val="Prrafodelista"/>
        <w:numPr>
          <w:ilvl w:val="2"/>
          <w:numId w:val="33"/>
        </w:numPr>
        <w:tabs>
          <w:tab w:val="left" w:pos="993"/>
        </w:tabs>
        <w:spacing w:line="360" w:lineRule="auto"/>
        <w:jc w:val="both"/>
        <w:rPr>
          <w:rFonts w:ascii="Arial" w:hAnsi="Arial" w:cs="Arial"/>
          <w:spacing w:val="-3"/>
          <w:sz w:val="24"/>
          <w:szCs w:val="24"/>
          <w:lang w:val="es-ES_tradnl"/>
        </w:rPr>
      </w:pPr>
      <w:r w:rsidRPr="0005426D">
        <w:rPr>
          <w:rFonts w:ascii="Arial" w:hAnsi="Arial" w:cs="Arial"/>
          <w:spacing w:val="-3"/>
          <w:sz w:val="24"/>
          <w:szCs w:val="24"/>
          <w:lang w:val="es-ES_tradnl"/>
        </w:rPr>
        <w:t>El carácter subsidiario de la acción de tutela</w:t>
      </w:r>
      <w:r w:rsidRPr="0005426D">
        <w:rPr>
          <w:rFonts w:ascii="Arial" w:hAnsi="Arial" w:cs="Arial"/>
          <w:spacing w:val="-3"/>
          <w:sz w:val="24"/>
          <w:szCs w:val="24"/>
          <w:lang w:val="es-ES_tradnl"/>
        </w:rPr>
        <w:tab/>
      </w:r>
    </w:p>
    <w:p w:rsidR="00680DC6" w:rsidRPr="0005426D" w:rsidRDefault="00680DC6" w:rsidP="001270B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color w:val="000000" w:themeColor="text1"/>
          <w:spacing w:val="-3"/>
          <w:sz w:val="2"/>
          <w:lang w:val="es-ES_tradnl"/>
        </w:rPr>
      </w:pPr>
    </w:p>
    <w:p w:rsidR="00680DC6" w:rsidRPr="00E27425" w:rsidRDefault="00680DC6" w:rsidP="001270B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color w:val="000000" w:themeColor="text1"/>
          <w:spacing w:val="-3"/>
          <w:sz w:val="22"/>
          <w:szCs w:val="22"/>
          <w:u w:val="single"/>
          <w:lang w:val="es-ES_tradnl"/>
        </w:rPr>
      </w:pPr>
      <w:r w:rsidRPr="0005426D">
        <w:rPr>
          <w:rFonts w:ascii="Arial" w:hAnsi="Arial" w:cs="Arial"/>
          <w:color w:val="000000" w:themeColor="text1"/>
          <w:spacing w:val="-3"/>
          <w:lang w:val="es-ES_tradnl"/>
        </w:rPr>
        <w:t>La acción de</w:t>
      </w:r>
      <w:r w:rsidRPr="00E27425">
        <w:rPr>
          <w:rFonts w:ascii="Arial" w:hAnsi="Arial" w:cs="Arial"/>
          <w:color w:val="000000" w:themeColor="text1"/>
          <w:spacing w:val="-3"/>
          <w:lang w:val="es-ES_tradnl"/>
        </w:rPr>
        <w:t xml:space="preserve"> tutela, se halla prescrita en el artículo 86 de la Constitución Nacional, definiendo la regla general sobre la procedencia de la acción, al consagrar en el inciso 3° que  </w:t>
      </w:r>
      <w:r w:rsidRPr="00E27425">
        <w:rPr>
          <w:rFonts w:ascii="Arial" w:hAnsi="Arial" w:cs="Arial"/>
          <w:color w:val="000000" w:themeColor="text1"/>
          <w:spacing w:val="-3"/>
          <w:sz w:val="22"/>
          <w:szCs w:val="22"/>
          <w:lang w:val="es-ES_tradnl"/>
        </w:rPr>
        <w:t>“</w:t>
      </w:r>
      <w:r w:rsidRPr="00E27425">
        <w:rPr>
          <w:rFonts w:ascii="Arial" w:hAnsi="Arial" w:cs="Arial"/>
          <w:i/>
          <w:color w:val="000000" w:themeColor="text1"/>
          <w:spacing w:val="-3"/>
          <w:sz w:val="22"/>
          <w:szCs w:val="22"/>
          <w:lang w:val="es-ES_tradnl"/>
        </w:rPr>
        <w:t xml:space="preserve">Esta acción solo procederá </w:t>
      </w:r>
      <w:r w:rsidRPr="00E27425">
        <w:rPr>
          <w:rFonts w:ascii="Arial" w:hAnsi="Arial" w:cs="Arial"/>
          <w:i/>
          <w:color w:val="000000" w:themeColor="text1"/>
          <w:spacing w:val="-3"/>
          <w:sz w:val="22"/>
          <w:szCs w:val="22"/>
          <w:u w:val="single"/>
          <w:lang w:val="es-ES_tradnl"/>
        </w:rPr>
        <w:t>cuando el afectado no disponga de otro medio de defensa judicial, salvo que aquella se utilice como mecanismo transitorio para evitar un perjuicio irremediable</w:t>
      </w:r>
      <w:r w:rsidRPr="00E27425">
        <w:rPr>
          <w:rFonts w:ascii="Arial" w:hAnsi="Arial" w:cs="Arial"/>
          <w:color w:val="000000" w:themeColor="text1"/>
          <w:spacing w:val="-3"/>
          <w:sz w:val="22"/>
          <w:szCs w:val="22"/>
          <w:u w:val="single"/>
          <w:lang w:val="es-ES_tradnl"/>
        </w:rPr>
        <w:t xml:space="preserve">”. </w:t>
      </w:r>
    </w:p>
    <w:p w:rsidR="00680DC6" w:rsidRPr="00AC7177" w:rsidRDefault="00680DC6" w:rsidP="00680DC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color w:val="000000" w:themeColor="text1"/>
          <w:spacing w:val="-3"/>
          <w:sz w:val="22"/>
          <w:u w:val="single"/>
          <w:lang w:val="es-ES_tradnl"/>
        </w:rPr>
      </w:pPr>
    </w:p>
    <w:p w:rsidR="00680DC6" w:rsidRPr="00E27425" w:rsidRDefault="00680DC6" w:rsidP="00680DC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i/>
          <w:color w:val="000000" w:themeColor="text1"/>
          <w:spacing w:val="-3"/>
          <w:sz w:val="22"/>
          <w:szCs w:val="22"/>
          <w:lang w:val="es-ES_tradnl"/>
        </w:rPr>
      </w:pPr>
      <w:r w:rsidRPr="00E27425">
        <w:rPr>
          <w:rFonts w:ascii="Arial" w:hAnsi="Arial" w:cs="Arial"/>
          <w:color w:val="000000" w:themeColor="text1"/>
          <w:spacing w:val="-3"/>
          <w:lang w:val="es-ES_tradnl"/>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E27425">
        <w:rPr>
          <w:rFonts w:ascii="Arial" w:hAnsi="Arial" w:cs="Arial"/>
          <w:i/>
          <w:color w:val="000000" w:themeColor="text1"/>
          <w:spacing w:val="-3"/>
          <w:lang w:val="es-ES_tradnl"/>
        </w:rPr>
        <w:t>:</w:t>
      </w:r>
      <w:r w:rsidRPr="00E27425">
        <w:rPr>
          <w:rFonts w:ascii="Arial" w:hAnsi="Arial" w:cs="Arial"/>
          <w:i/>
          <w:color w:val="000000" w:themeColor="text1"/>
          <w:spacing w:val="-3"/>
          <w:szCs w:val="20"/>
          <w:lang w:val="es-ES_tradnl"/>
        </w:rPr>
        <w:t xml:space="preserve"> </w:t>
      </w:r>
      <w:r w:rsidRPr="00E27425">
        <w:rPr>
          <w:rFonts w:ascii="Arial" w:hAnsi="Arial" w:cs="Arial"/>
          <w:i/>
          <w:color w:val="000000" w:themeColor="text1"/>
          <w:spacing w:val="-3"/>
          <w:sz w:val="22"/>
          <w:szCs w:val="22"/>
          <w:lang w:val="es-ES_tradnl"/>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E27425">
        <w:rPr>
          <w:rFonts w:ascii="Arial" w:hAnsi="Arial" w:cs="Arial"/>
          <w:i/>
          <w:color w:val="000000" w:themeColor="text1"/>
          <w:spacing w:val="-3"/>
          <w:sz w:val="22"/>
          <w:szCs w:val="22"/>
          <w:vertAlign w:val="superscript"/>
          <w:lang w:val="es-ES_tradnl"/>
        </w:rPr>
        <w:footnoteReference w:id="17"/>
      </w:r>
      <w:r w:rsidRPr="00E27425">
        <w:rPr>
          <w:rFonts w:ascii="Arial" w:hAnsi="Arial" w:cs="Arial"/>
          <w:i/>
          <w:color w:val="000000" w:themeColor="text1"/>
          <w:spacing w:val="-3"/>
          <w:sz w:val="22"/>
          <w:szCs w:val="22"/>
          <w:lang w:val="es-ES_tradnl"/>
        </w:rPr>
        <w:t>.</w:t>
      </w:r>
    </w:p>
    <w:p w:rsidR="00680DC6" w:rsidRPr="00AC7177" w:rsidRDefault="00680DC6" w:rsidP="00680DC6">
      <w:pPr>
        <w:widowControl/>
        <w:autoSpaceDE/>
        <w:autoSpaceDN/>
        <w:adjustRightInd/>
        <w:spacing w:line="360" w:lineRule="auto"/>
        <w:jc w:val="both"/>
        <w:rPr>
          <w:rFonts w:ascii="Arial" w:hAnsi="Arial" w:cs="Arial"/>
          <w:color w:val="000000" w:themeColor="text1"/>
          <w:sz w:val="22"/>
          <w:szCs w:val="22"/>
          <w:lang w:val="es-ES_tradnl"/>
        </w:rPr>
      </w:pPr>
    </w:p>
    <w:p w:rsidR="00680DC6" w:rsidRPr="00E27425" w:rsidRDefault="00680DC6" w:rsidP="00680DC6">
      <w:pPr>
        <w:widowControl/>
        <w:autoSpaceDE/>
        <w:autoSpaceDN/>
        <w:adjustRightInd/>
        <w:spacing w:line="360" w:lineRule="auto"/>
        <w:jc w:val="both"/>
        <w:rPr>
          <w:rFonts w:ascii="Arial" w:hAnsi="Arial" w:cs="Arial"/>
          <w:color w:val="000000" w:themeColor="text1"/>
          <w:lang w:val="es-ES_tradnl"/>
        </w:rPr>
      </w:pPr>
      <w:r w:rsidRPr="00E27425">
        <w:rPr>
          <w:rFonts w:ascii="Arial" w:hAnsi="Arial" w:cs="Arial"/>
          <w:color w:val="000000" w:themeColor="text1"/>
          <w:lang w:val="es-ES_tradnl"/>
        </w:rPr>
        <w:t>La Corte Constitucional</w:t>
      </w:r>
      <w:r w:rsidRPr="00E27425">
        <w:rPr>
          <w:rFonts w:ascii="Arial" w:hAnsi="Arial" w:cs="Times New Roman"/>
          <w:color w:val="000000" w:themeColor="text1"/>
          <w:shd w:val="clear" w:color="auto" w:fill="FFFFFF"/>
          <w:vertAlign w:val="superscript"/>
        </w:rPr>
        <w:footnoteReference w:id="18"/>
      </w:r>
      <w:r w:rsidRPr="00E27425">
        <w:rPr>
          <w:rFonts w:ascii="Arial" w:hAnsi="Arial" w:cs="Arial"/>
          <w:color w:val="000000" w:themeColor="text1"/>
          <w:lang w:val="es-ES_tradnl"/>
        </w:rPr>
        <w:t xml:space="preserve"> en su jurisprudencia ha destacado la importancia de preservar el principio de subsidiariedad en el amparo constitucional:</w:t>
      </w:r>
    </w:p>
    <w:p w:rsidR="00680DC6" w:rsidRPr="00AC7177" w:rsidRDefault="00680DC6" w:rsidP="00680DC6">
      <w:pPr>
        <w:widowControl/>
        <w:overflowPunct w:val="0"/>
        <w:spacing w:line="360" w:lineRule="auto"/>
        <w:ind w:left="540" w:right="560"/>
        <w:jc w:val="both"/>
        <w:textAlignment w:val="baseline"/>
        <w:rPr>
          <w:rFonts w:ascii="Arial" w:hAnsi="Arial" w:cs="Arial"/>
          <w:i/>
          <w:iCs/>
          <w:color w:val="000000" w:themeColor="text1"/>
          <w:sz w:val="22"/>
          <w:lang w:val="es-ES_tradnl"/>
        </w:rPr>
      </w:pPr>
    </w:p>
    <w:p w:rsidR="00680DC6" w:rsidRPr="00E27425" w:rsidRDefault="00680DC6" w:rsidP="00680DC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567"/>
        <w:jc w:val="both"/>
        <w:textAlignment w:val="baseline"/>
        <w:rPr>
          <w:rFonts w:ascii="Arial" w:hAnsi="Arial" w:cs="Arial"/>
          <w:color w:val="000000" w:themeColor="text1"/>
          <w:spacing w:val="-3"/>
          <w:shd w:val="clear" w:color="auto" w:fill="FFFFFF"/>
          <w:lang w:val="es-ES_tradnl"/>
        </w:rPr>
      </w:pPr>
      <w:r w:rsidRPr="00E27425">
        <w:rPr>
          <w:rFonts w:ascii="Arial" w:hAnsi="Arial" w:cs="Arial"/>
          <w:color w:val="000000" w:themeColor="text1"/>
          <w:spacing w:val="-3"/>
          <w:shd w:val="clear" w:color="auto" w:fill="FFFFFF"/>
          <w:lang w:val="es-ES_tradnl"/>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p>
    <w:p w:rsidR="00680DC6" w:rsidRPr="00E27425" w:rsidRDefault="00680DC6" w:rsidP="001270B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color w:val="000000" w:themeColor="text1"/>
          <w:spacing w:val="-3"/>
          <w:lang w:val="es-ES_tradnl"/>
        </w:rPr>
      </w:pPr>
      <w:r w:rsidRPr="00E27425">
        <w:rPr>
          <w:rFonts w:ascii="Arial" w:hAnsi="Arial" w:cs="Arial"/>
          <w:color w:val="000000" w:themeColor="text1"/>
          <w:spacing w:val="-3"/>
          <w:lang w:val="es-ES_tradnl"/>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E27425">
        <w:rPr>
          <w:rFonts w:ascii="Arial" w:hAnsi="Arial" w:cs="Arial"/>
          <w:color w:val="000000" w:themeColor="text1"/>
          <w:spacing w:val="-3"/>
          <w:szCs w:val="20"/>
          <w:lang w:val="es-ES_tradnl"/>
        </w:rPr>
        <w:t xml:space="preserve">: </w:t>
      </w:r>
      <w:r w:rsidRPr="00E27425">
        <w:rPr>
          <w:rFonts w:ascii="Arial" w:hAnsi="Arial" w:cs="Arial"/>
          <w:i/>
          <w:color w:val="000000" w:themeColor="text1"/>
          <w:spacing w:val="-3"/>
          <w:sz w:val="22"/>
          <w:szCs w:val="22"/>
          <w:lang w:val="es-ES_tradnl"/>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E27425">
        <w:rPr>
          <w:rFonts w:ascii="Arial" w:hAnsi="Arial" w:cs="Arial"/>
          <w:color w:val="000000" w:themeColor="text1"/>
          <w:spacing w:val="-3"/>
          <w:sz w:val="22"/>
          <w:szCs w:val="22"/>
          <w:vertAlign w:val="superscript"/>
          <w:lang w:val="es-ES_tradnl"/>
        </w:rPr>
        <w:footnoteReference w:id="19"/>
      </w:r>
      <w:r w:rsidRPr="00E27425">
        <w:rPr>
          <w:rFonts w:ascii="Arial" w:hAnsi="Arial" w:cs="Arial"/>
          <w:color w:val="000000" w:themeColor="text1"/>
          <w:spacing w:val="-3"/>
          <w:sz w:val="22"/>
          <w:szCs w:val="22"/>
          <w:lang w:val="es-ES_tradnl"/>
        </w:rPr>
        <w:t>.</w:t>
      </w:r>
      <w:r w:rsidRPr="00E27425">
        <w:rPr>
          <w:rFonts w:ascii="Arial" w:hAnsi="Arial" w:cs="Arial"/>
          <w:color w:val="000000" w:themeColor="text1"/>
          <w:spacing w:val="-3"/>
          <w:lang w:val="es-ES_tradnl"/>
        </w:rPr>
        <w:t xml:space="preserve"> Además, la Corte ha sido reiterativa en su criterio (2013)</w:t>
      </w:r>
      <w:r w:rsidRPr="00E27425">
        <w:rPr>
          <w:rFonts w:ascii="Arial" w:hAnsi="Arial" w:cs="Times New Roman"/>
          <w:color w:val="000000" w:themeColor="text1"/>
          <w:spacing w:val="-3"/>
          <w:vertAlign w:val="superscript"/>
          <w:lang w:val="es-ES_tradnl"/>
        </w:rPr>
        <w:footnoteReference w:id="20"/>
      </w:r>
      <w:r w:rsidRPr="00E27425">
        <w:rPr>
          <w:rFonts w:ascii="Arial" w:hAnsi="Arial" w:cs="Arial"/>
          <w:color w:val="000000" w:themeColor="text1"/>
          <w:spacing w:val="-3"/>
          <w:lang w:val="es-ES_tradnl"/>
        </w:rPr>
        <w:t>.</w:t>
      </w:r>
    </w:p>
    <w:p w:rsidR="00680DC6" w:rsidRPr="00AC7177" w:rsidRDefault="00680DC6" w:rsidP="001270B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color w:val="000000" w:themeColor="text1"/>
          <w:spacing w:val="-3"/>
          <w:sz w:val="22"/>
          <w:lang w:val="es-ES_tradnl"/>
        </w:rPr>
      </w:pPr>
    </w:p>
    <w:p w:rsidR="00680DC6" w:rsidRPr="00E27425" w:rsidRDefault="00680DC6" w:rsidP="001270BF">
      <w:pPr>
        <w:spacing w:line="360" w:lineRule="auto"/>
        <w:jc w:val="both"/>
        <w:rPr>
          <w:rFonts w:ascii="Arial" w:hAnsi="Arial" w:cs="Arial"/>
          <w:color w:val="000000" w:themeColor="text1"/>
          <w:lang w:val="es-ES_tradnl"/>
        </w:rPr>
      </w:pPr>
      <w:r w:rsidRPr="00E27425">
        <w:rPr>
          <w:rFonts w:ascii="Arial" w:hAnsi="Arial" w:cs="Arial"/>
          <w:color w:val="000000" w:themeColor="text1"/>
          <w:lang w:val="es-ES_tradnl"/>
        </w:rPr>
        <w:t>También la Corte Suprema de Justicia se ha referido al tema (2015)</w:t>
      </w:r>
      <w:r w:rsidRPr="00E27425">
        <w:rPr>
          <w:rFonts w:ascii="Arial" w:hAnsi="Arial" w:cs="Arial"/>
          <w:color w:val="000000" w:themeColor="text1"/>
          <w:vertAlign w:val="superscript"/>
          <w:lang w:val="es-ES_tradnl"/>
        </w:rPr>
        <w:footnoteReference w:id="21"/>
      </w:r>
      <w:r w:rsidRPr="00E27425">
        <w:rPr>
          <w:rFonts w:ascii="Arial" w:hAnsi="Arial" w:cs="Arial"/>
          <w:color w:val="000000" w:themeColor="text1"/>
          <w:vertAlign w:val="superscript"/>
          <w:lang w:val="es-ES_tradnl"/>
        </w:rPr>
        <w:t>-</w:t>
      </w:r>
      <w:r w:rsidRPr="00E27425">
        <w:rPr>
          <w:rFonts w:ascii="Arial" w:hAnsi="Arial" w:cs="Times New Roman"/>
          <w:color w:val="000000" w:themeColor="text1"/>
          <w:vertAlign w:val="superscript"/>
          <w:lang w:val="es-ES_tradnl"/>
        </w:rPr>
        <w:footnoteReference w:id="22"/>
      </w:r>
      <w:r w:rsidRPr="00E27425">
        <w:rPr>
          <w:rFonts w:ascii="Arial" w:hAnsi="Arial" w:cs="Arial"/>
          <w:color w:val="000000" w:themeColor="text1"/>
          <w:lang w:val="es-ES_tradnl"/>
        </w:rPr>
        <w:t>, prohija la improcedencia de la tutela por aplicación del principio de subsidiariedad.</w:t>
      </w:r>
    </w:p>
    <w:p w:rsidR="009565CF" w:rsidRPr="00AC7177" w:rsidRDefault="009565CF" w:rsidP="002F2011">
      <w:pPr>
        <w:pStyle w:val="Textoindependiente"/>
        <w:spacing w:line="360" w:lineRule="auto"/>
        <w:rPr>
          <w:rFonts w:ascii="Arial" w:hAnsi="Arial" w:cs="Arial"/>
          <w:color w:val="000000" w:themeColor="text1"/>
          <w:sz w:val="22"/>
          <w:szCs w:val="24"/>
        </w:rPr>
      </w:pPr>
    </w:p>
    <w:p w:rsidR="008D2CD7" w:rsidRPr="00AC7177" w:rsidRDefault="008D2CD7" w:rsidP="002F2011">
      <w:pPr>
        <w:pStyle w:val="Textoindependiente"/>
        <w:spacing w:line="360" w:lineRule="auto"/>
        <w:rPr>
          <w:rFonts w:ascii="Arial" w:hAnsi="Arial" w:cs="Arial"/>
          <w:sz w:val="22"/>
          <w:szCs w:val="24"/>
        </w:rPr>
      </w:pPr>
    </w:p>
    <w:p w:rsidR="002F2011" w:rsidRPr="007E1963" w:rsidRDefault="002F2011" w:rsidP="0005426D">
      <w:pPr>
        <w:pStyle w:val="Prrafodelista"/>
        <w:numPr>
          <w:ilvl w:val="0"/>
          <w:numId w:val="33"/>
        </w:numPr>
        <w:spacing w:line="360" w:lineRule="auto"/>
        <w:jc w:val="both"/>
        <w:rPr>
          <w:rFonts w:ascii="Arial" w:hAnsi="Arial" w:cs="Arial"/>
          <w:sz w:val="24"/>
          <w:szCs w:val="24"/>
        </w:rPr>
      </w:pPr>
      <w:r w:rsidRPr="007E1963">
        <w:rPr>
          <w:rFonts w:ascii="Arial" w:hAnsi="Arial" w:cs="Arial"/>
          <w:sz w:val="24"/>
          <w:szCs w:val="24"/>
        </w:rPr>
        <w:t>EL CASO CONCRETO MATERIA DE ANÁLISIS</w:t>
      </w:r>
    </w:p>
    <w:p w:rsidR="002F2011" w:rsidRDefault="002F2011" w:rsidP="002F2011">
      <w:pPr>
        <w:pStyle w:val="Prrafodelista"/>
        <w:spacing w:after="0" w:line="360" w:lineRule="auto"/>
        <w:ind w:left="390"/>
        <w:jc w:val="both"/>
        <w:rPr>
          <w:rFonts w:ascii="Arial" w:hAnsi="Arial" w:cs="Arial"/>
          <w:sz w:val="24"/>
          <w:szCs w:val="24"/>
        </w:rPr>
      </w:pPr>
    </w:p>
    <w:p w:rsidR="00BA5468" w:rsidRDefault="008F679C" w:rsidP="008F679C">
      <w:pPr>
        <w:spacing w:line="360" w:lineRule="auto"/>
        <w:ind w:right="51"/>
        <w:jc w:val="both"/>
        <w:rPr>
          <w:rFonts w:ascii="Arial" w:hAnsi="Arial"/>
          <w:lang w:val="es-CO"/>
        </w:rPr>
      </w:pPr>
      <w:r w:rsidRPr="003176C1">
        <w:rPr>
          <w:rFonts w:ascii="Arial" w:hAnsi="Arial"/>
          <w:lang w:val="es-CO"/>
        </w:rPr>
        <w:t xml:space="preserve">De entrada </w:t>
      </w:r>
      <w:r>
        <w:rPr>
          <w:rFonts w:ascii="Arial" w:hAnsi="Arial"/>
          <w:lang w:val="es-CO"/>
        </w:rPr>
        <w:t>advierte esta</w:t>
      </w:r>
      <w:r w:rsidRPr="003176C1">
        <w:rPr>
          <w:rFonts w:ascii="Arial" w:hAnsi="Arial"/>
          <w:lang w:val="es-CO"/>
        </w:rPr>
        <w:t xml:space="preserve"> Sala</w:t>
      </w:r>
      <w:r>
        <w:rPr>
          <w:rFonts w:ascii="Arial" w:hAnsi="Arial"/>
          <w:lang w:val="es-CO"/>
        </w:rPr>
        <w:t xml:space="preserve"> que, el fallo venido en apelación será confirmado, pues está acorde con las premisas jurídicas expuestas</w:t>
      </w:r>
      <w:r w:rsidR="00DE2F8C">
        <w:rPr>
          <w:rFonts w:ascii="Arial" w:hAnsi="Arial"/>
          <w:lang w:val="es-CO"/>
        </w:rPr>
        <w:t xml:space="preserve">; en efecto, como </w:t>
      </w:r>
      <w:r w:rsidR="00DE2F8C">
        <w:rPr>
          <w:rFonts w:ascii="Arial" w:hAnsi="Arial" w:cs="Arial"/>
          <w:lang w:val="es-ES_tradnl"/>
        </w:rPr>
        <w:t xml:space="preserve">los requisitos generales de procedibilidad son concurrentes, esto es, incumplido uno, se torna inane el examen de los demás, menos podrían revisarse los supuestos especiales, </w:t>
      </w:r>
      <w:r w:rsidR="0089263B">
        <w:rPr>
          <w:rFonts w:ascii="Arial" w:hAnsi="Arial" w:cs="Arial"/>
          <w:lang w:val="es-ES_tradnl"/>
        </w:rPr>
        <w:t xml:space="preserve">y </w:t>
      </w:r>
      <w:r w:rsidR="00BA5468">
        <w:rPr>
          <w:rFonts w:ascii="Arial" w:hAnsi="Arial" w:cs="Arial"/>
          <w:lang w:val="es-ES_tradnl"/>
        </w:rPr>
        <w:t xml:space="preserve">así lo </w:t>
      </w:r>
      <w:r w:rsidR="0089263B">
        <w:rPr>
          <w:rFonts w:ascii="Arial" w:hAnsi="Arial" w:cs="Arial"/>
          <w:lang w:val="es-ES_tradnl"/>
        </w:rPr>
        <w:t xml:space="preserve">hizo </w:t>
      </w:r>
      <w:r w:rsidR="00716B79">
        <w:rPr>
          <w:rFonts w:ascii="Arial" w:hAnsi="Arial" w:cs="Arial"/>
          <w:lang w:val="es-ES_tradnl"/>
        </w:rPr>
        <w:t>la</w:t>
      </w:r>
      <w:r w:rsidR="00DE2F8C">
        <w:rPr>
          <w:rFonts w:ascii="Arial" w:hAnsi="Arial" w:cs="Arial"/>
          <w:lang w:val="es-ES_tradnl"/>
        </w:rPr>
        <w:t xml:space="preserve"> </w:t>
      </w:r>
      <w:r w:rsidR="00DE2F8C">
        <w:rPr>
          <w:rFonts w:ascii="Arial" w:hAnsi="Arial" w:cs="Arial"/>
          <w:i/>
          <w:lang w:val="es-ES_tradnl"/>
        </w:rPr>
        <w:t xml:space="preserve">a quo, </w:t>
      </w:r>
      <w:r w:rsidR="0089263B">
        <w:rPr>
          <w:rFonts w:ascii="Arial" w:hAnsi="Arial" w:cs="Arial"/>
          <w:lang w:val="es-ES_tradnl"/>
        </w:rPr>
        <w:t xml:space="preserve">al declarar </w:t>
      </w:r>
      <w:r>
        <w:rPr>
          <w:rFonts w:ascii="Arial" w:hAnsi="Arial"/>
          <w:lang w:val="es-CO"/>
        </w:rPr>
        <w:t xml:space="preserve">improcedente la acción por </w:t>
      </w:r>
      <w:r w:rsidR="0089263B">
        <w:rPr>
          <w:rFonts w:ascii="Arial" w:hAnsi="Arial"/>
          <w:lang w:val="es-CO"/>
        </w:rPr>
        <w:t xml:space="preserve">el </w:t>
      </w:r>
      <w:r>
        <w:rPr>
          <w:rFonts w:ascii="Arial" w:hAnsi="Arial"/>
          <w:lang w:val="es-CO"/>
        </w:rPr>
        <w:t xml:space="preserve">incumplimiento </w:t>
      </w:r>
      <w:r w:rsidR="00F97ADD">
        <w:rPr>
          <w:rFonts w:ascii="Arial" w:hAnsi="Arial"/>
          <w:lang w:val="es-CO"/>
        </w:rPr>
        <w:t>del presupuesto</w:t>
      </w:r>
      <w:r>
        <w:rPr>
          <w:rFonts w:ascii="Arial" w:hAnsi="Arial"/>
          <w:lang w:val="es-CO"/>
        </w:rPr>
        <w:t xml:space="preserve"> </w:t>
      </w:r>
      <w:r w:rsidR="00F97ADD">
        <w:rPr>
          <w:rFonts w:ascii="Arial" w:hAnsi="Arial"/>
          <w:lang w:val="es-CO"/>
        </w:rPr>
        <w:t xml:space="preserve">de la </w:t>
      </w:r>
      <w:r>
        <w:rPr>
          <w:rFonts w:ascii="Arial" w:hAnsi="Arial"/>
          <w:lang w:val="es-CO"/>
        </w:rPr>
        <w:t>subsidiariedad</w:t>
      </w:r>
      <w:r w:rsidR="00F97ADD">
        <w:rPr>
          <w:rFonts w:ascii="Arial" w:hAnsi="Arial"/>
          <w:lang w:val="es-CO"/>
        </w:rPr>
        <w:t>, además de reseñar que tampoco se cumplía con el de inmediatez.</w:t>
      </w:r>
    </w:p>
    <w:p w:rsidR="00BA5468" w:rsidRPr="00AC7177" w:rsidRDefault="00BA5468" w:rsidP="008F679C">
      <w:pPr>
        <w:spacing w:line="360" w:lineRule="auto"/>
        <w:ind w:right="51"/>
        <w:jc w:val="both"/>
        <w:rPr>
          <w:rFonts w:ascii="Arial" w:hAnsi="Arial"/>
          <w:sz w:val="22"/>
          <w:lang w:val="es-CO"/>
        </w:rPr>
      </w:pPr>
    </w:p>
    <w:p w:rsidR="00FA4DB7" w:rsidRDefault="00BA5468" w:rsidP="00FA4DB7">
      <w:pPr>
        <w:spacing w:line="360" w:lineRule="auto"/>
        <w:jc w:val="both"/>
        <w:rPr>
          <w:rFonts w:ascii="Arial" w:hAnsi="Arial" w:cs="Arial"/>
        </w:rPr>
      </w:pPr>
      <w:r>
        <w:rPr>
          <w:rFonts w:ascii="Arial" w:hAnsi="Arial"/>
          <w:lang w:val="es-CO"/>
        </w:rPr>
        <w:t xml:space="preserve">El actor alega que el juzgado accionado incurrió </w:t>
      </w:r>
      <w:r w:rsidR="00012DAE">
        <w:rPr>
          <w:rFonts w:ascii="Arial" w:hAnsi="Arial"/>
          <w:lang w:val="es-CO"/>
        </w:rPr>
        <w:t xml:space="preserve">en </w:t>
      </w:r>
      <w:r>
        <w:rPr>
          <w:rFonts w:ascii="Arial" w:hAnsi="Arial"/>
          <w:lang w:val="es-CO"/>
        </w:rPr>
        <w:t xml:space="preserve">vía de hecho en la </w:t>
      </w:r>
      <w:r w:rsidR="00B43EA8">
        <w:rPr>
          <w:rFonts w:ascii="Arial" w:hAnsi="Arial"/>
          <w:lang w:val="es-CO"/>
        </w:rPr>
        <w:t xml:space="preserve">sentencia que resolvió las excepciones formuladas, </w:t>
      </w:r>
      <w:r w:rsidR="008A6C90">
        <w:rPr>
          <w:rFonts w:ascii="Arial" w:hAnsi="Arial"/>
          <w:lang w:val="es-CO"/>
        </w:rPr>
        <w:t>dictada el día 03-03-2015 (Folio 8, este cuaderno)</w:t>
      </w:r>
      <w:r>
        <w:rPr>
          <w:rFonts w:ascii="Arial" w:hAnsi="Arial"/>
          <w:lang w:val="es-CO"/>
        </w:rPr>
        <w:t xml:space="preserve">, </w:t>
      </w:r>
      <w:r w:rsidR="0089263B">
        <w:rPr>
          <w:rFonts w:ascii="Arial" w:hAnsi="Arial"/>
          <w:lang w:val="es-CO"/>
        </w:rPr>
        <w:t xml:space="preserve">debidamente </w:t>
      </w:r>
      <w:r w:rsidR="00012DAE">
        <w:rPr>
          <w:rFonts w:ascii="Arial" w:hAnsi="Arial"/>
          <w:lang w:val="es-CO"/>
        </w:rPr>
        <w:t xml:space="preserve">notificada y ejecutoriada el día 19-03-2015 (Folio 24, este cuaderno), </w:t>
      </w:r>
      <w:r w:rsidR="00FA4DB7">
        <w:rPr>
          <w:rFonts w:ascii="Arial" w:hAnsi="Arial" w:cs="Arial"/>
        </w:rPr>
        <w:t>por lo que evidente e</w:t>
      </w:r>
      <w:r w:rsidR="00B43EA8">
        <w:rPr>
          <w:rFonts w:ascii="Arial" w:hAnsi="Arial" w:cs="Arial"/>
        </w:rPr>
        <w:t>s que el presente amparo carece</w:t>
      </w:r>
      <w:r w:rsidR="00FA4DB7">
        <w:rPr>
          <w:rFonts w:ascii="Arial" w:hAnsi="Arial" w:cs="Arial"/>
        </w:rPr>
        <w:t xml:space="preserve"> de inmediatez, pues su interposición (17-02-2016) desborda el plazo de los seis (6) meses fijado por la jurisprudencia tanto constitucional</w:t>
      </w:r>
      <w:r w:rsidR="00FA4DB7" w:rsidRPr="0098589D">
        <w:rPr>
          <w:rStyle w:val="Refdenotaalpie"/>
          <w:rFonts w:ascii="Calibri" w:hAnsi="Calibri" w:cs="Calibri"/>
        </w:rPr>
        <w:footnoteReference w:id="23"/>
      </w:r>
      <w:r w:rsidR="00FA4DB7">
        <w:rPr>
          <w:rFonts w:ascii="Arial" w:hAnsi="Arial" w:cs="Arial"/>
        </w:rPr>
        <w:t xml:space="preserve"> como ordinaria</w:t>
      </w:r>
      <w:r w:rsidR="00FA4DB7">
        <w:rPr>
          <w:rStyle w:val="Refdenotaalpie"/>
          <w:rFonts w:ascii="Arial" w:hAnsi="Arial"/>
        </w:rPr>
        <w:footnoteReference w:id="24"/>
      </w:r>
      <w:r w:rsidR="00716B79">
        <w:rPr>
          <w:rFonts w:ascii="Arial" w:hAnsi="Arial" w:cs="Arial"/>
        </w:rPr>
        <w:t xml:space="preserve">, </w:t>
      </w:r>
      <w:r w:rsidR="00FA4DB7">
        <w:rPr>
          <w:rFonts w:ascii="Arial" w:hAnsi="Arial" w:cs="Arial"/>
        </w:rPr>
        <w:t>ya que transcurrieron once (11) meses desde la ejecutoria.</w:t>
      </w:r>
    </w:p>
    <w:p w:rsidR="00FA4DB7" w:rsidRPr="00AC7177" w:rsidRDefault="00FA4DB7" w:rsidP="00FA4DB7">
      <w:pPr>
        <w:spacing w:line="360" w:lineRule="auto"/>
        <w:jc w:val="both"/>
        <w:rPr>
          <w:rFonts w:ascii="Arial" w:hAnsi="Arial" w:cs="Arial"/>
          <w:sz w:val="22"/>
        </w:rPr>
      </w:pPr>
    </w:p>
    <w:p w:rsidR="00FA4DB7" w:rsidRDefault="00FA4DB7" w:rsidP="00FA4DB7">
      <w:pPr>
        <w:spacing w:line="360" w:lineRule="auto"/>
        <w:jc w:val="both"/>
        <w:rPr>
          <w:rFonts w:ascii="Arial" w:hAnsi="Arial" w:cs="Arial"/>
        </w:rPr>
      </w:pPr>
      <w:r>
        <w:rPr>
          <w:rFonts w:ascii="Arial" w:hAnsi="Arial" w:cs="Arial"/>
        </w:rPr>
        <w:t xml:space="preserve">Ahora bien, es cierto que conforme a la doctrina, el juez de la causa debe tener flexibilidad en la aplicación de este principio, pero a ese </w:t>
      </w:r>
      <w:r>
        <w:rPr>
          <w:rFonts w:ascii="Arial" w:hAnsi="Arial" w:cs="Arial"/>
          <w:lang w:val="es-ES_tradnl"/>
        </w:rPr>
        <w:t xml:space="preserve">tenor, se debe </w:t>
      </w:r>
      <w:r w:rsidRPr="008B0539">
        <w:rPr>
          <w:rFonts w:ascii="Arial" w:hAnsi="Arial" w:cs="Arial"/>
        </w:rPr>
        <w:t>proba</w:t>
      </w:r>
      <w:r>
        <w:rPr>
          <w:rFonts w:ascii="Arial" w:hAnsi="Arial" w:cs="Arial"/>
        </w:rPr>
        <w:t>r</w:t>
      </w:r>
      <w:r w:rsidRPr="008B0539">
        <w:rPr>
          <w:rFonts w:ascii="Arial" w:hAnsi="Arial" w:cs="Arial"/>
        </w:rPr>
        <w:t xml:space="preserve"> </w:t>
      </w:r>
      <w:r>
        <w:rPr>
          <w:rFonts w:ascii="Arial" w:hAnsi="Arial" w:cs="Arial"/>
        </w:rPr>
        <w:t>o alegar</w:t>
      </w:r>
      <w:r w:rsidRPr="008B0539">
        <w:rPr>
          <w:rFonts w:ascii="Arial" w:hAnsi="Arial" w:cs="Arial"/>
        </w:rPr>
        <w:t>, que medi</w:t>
      </w:r>
      <w:r>
        <w:rPr>
          <w:rFonts w:ascii="Arial" w:hAnsi="Arial" w:cs="Arial"/>
        </w:rPr>
        <w:t>ó</w:t>
      </w:r>
      <w:r w:rsidRPr="008B0539">
        <w:rPr>
          <w:rFonts w:ascii="Arial" w:hAnsi="Arial" w:cs="Arial"/>
        </w:rPr>
        <w:t xml:space="preserve"> causa alguna de fuerza mayor o caso fortuito que impidiera </w:t>
      </w:r>
      <w:r>
        <w:rPr>
          <w:rFonts w:ascii="Arial" w:hAnsi="Arial" w:cs="Arial"/>
        </w:rPr>
        <w:t xml:space="preserve">al </w:t>
      </w:r>
      <w:r w:rsidRPr="008B0539">
        <w:rPr>
          <w:rFonts w:ascii="Arial" w:hAnsi="Arial" w:cs="Arial"/>
        </w:rPr>
        <w:t>actor gestionar</w:t>
      </w:r>
      <w:r>
        <w:rPr>
          <w:rFonts w:ascii="Arial" w:hAnsi="Arial" w:cs="Arial"/>
        </w:rPr>
        <w:t>,</w:t>
      </w:r>
      <w:r w:rsidRPr="008B0539">
        <w:rPr>
          <w:rFonts w:ascii="Arial" w:hAnsi="Arial" w:cs="Arial"/>
        </w:rPr>
        <w:t xml:space="preserve"> su defensa</w:t>
      </w:r>
      <w:r>
        <w:rPr>
          <w:rFonts w:ascii="Arial" w:hAnsi="Arial" w:cs="Arial"/>
        </w:rPr>
        <w:t xml:space="preserve"> a través de esta acción</w:t>
      </w:r>
      <w:r w:rsidRPr="008B0539">
        <w:rPr>
          <w:rFonts w:ascii="Arial" w:hAnsi="Arial" w:cs="Arial"/>
        </w:rPr>
        <w:t xml:space="preserve"> con mayor celeridad sin desconocer</w:t>
      </w:r>
      <w:r>
        <w:rPr>
          <w:rFonts w:ascii="Arial" w:hAnsi="Arial" w:cs="Arial"/>
        </w:rPr>
        <w:t xml:space="preserve"> la inmediatez</w:t>
      </w:r>
      <w:r>
        <w:rPr>
          <w:rStyle w:val="Refdenotaalpie"/>
          <w:rFonts w:ascii="Arial" w:hAnsi="Arial"/>
        </w:rPr>
        <w:footnoteReference w:id="25"/>
      </w:r>
      <w:r>
        <w:rPr>
          <w:rFonts w:ascii="Arial" w:hAnsi="Arial" w:cs="Arial"/>
        </w:rPr>
        <w:t xml:space="preserve">; circunstancias que no fueron expuestas ni probadas en el trámite. </w:t>
      </w:r>
    </w:p>
    <w:p w:rsidR="00FA4DB7" w:rsidRPr="00AC7177" w:rsidRDefault="00FA4DB7" w:rsidP="00FA4DB7">
      <w:pPr>
        <w:spacing w:line="360" w:lineRule="auto"/>
        <w:jc w:val="both"/>
        <w:rPr>
          <w:rFonts w:ascii="Arial" w:hAnsi="Arial" w:cs="Arial"/>
          <w:sz w:val="22"/>
        </w:rPr>
      </w:pPr>
    </w:p>
    <w:p w:rsidR="00D65C77" w:rsidRDefault="00015131" w:rsidP="00015131">
      <w:pPr>
        <w:spacing w:line="360" w:lineRule="auto"/>
        <w:jc w:val="both"/>
        <w:rPr>
          <w:rFonts w:ascii="Arial" w:hAnsi="Arial" w:cs="Arial"/>
          <w:bCs/>
          <w:lang w:val="es-CO"/>
        </w:rPr>
      </w:pPr>
      <w:r>
        <w:rPr>
          <w:rFonts w:ascii="Arial" w:hAnsi="Arial" w:cs="Arial"/>
        </w:rPr>
        <w:t>Asimismo</w:t>
      </w:r>
      <w:r w:rsidR="00FA4DB7">
        <w:rPr>
          <w:rFonts w:ascii="Arial" w:hAnsi="Arial" w:cs="Arial"/>
        </w:rPr>
        <w:t xml:space="preserve">, </w:t>
      </w:r>
      <w:r>
        <w:rPr>
          <w:rFonts w:ascii="Arial" w:hAnsi="Arial" w:cs="Arial"/>
        </w:rPr>
        <w:t xml:space="preserve">aun cuando se considerara satisfecho el </w:t>
      </w:r>
      <w:r w:rsidR="00FA4DB7">
        <w:rPr>
          <w:rFonts w:ascii="Arial" w:hAnsi="Arial" w:cs="Arial"/>
        </w:rPr>
        <w:t>citado presupuesto, se tiene que también habría lugar a declarar la improcedencia de la acción por el incum</w:t>
      </w:r>
      <w:r>
        <w:rPr>
          <w:rFonts w:ascii="Arial" w:hAnsi="Arial" w:cs="Arial"/>
        </w:rPr>
        <w:t xml:space="preserve">plimiento del supuesto de </w:t>
      </w:r>
      <w:r>
        <w:rPr>
          <w:rFonts w:ascii="Arial" w:hAnsi="Arial"/>
          <w:lang w:val="es-CO"/>
        </w:rPr>
        <w:t>subsidiariedad</w:t>
      </w:r>
      <w:r w:rsidR="00FA4DB7">
        <w:rPr>
          <w:rFonts w:ascii="Arial" w:hAnsi="Arial" w:cs="Arial"/>
        </w:rPr>
        <w:t>,</w:t>
      </w:r>
      <w:r>
        <w:rPr>
          <w:rFonts w:ascii="Arial" w:hAnsi="Arial" w:cs="Arial"/>
        </w:rPr>
        <w:t xml:space="preserve"> pues en el proceso ejecutivo hipotecario</w:t>
      </w:r>
      <w:r w:rsidR="00716B79">
        <w:rPr>
          <w:rFonts w:ascii="Arial" w:hAnsi="Arial" w:cs="Arial"/>
        </w:rPr>
        <w:t xml:space="preserve"> de menor cuantía</w:t>
      </w:r>
      <w:r w:rsidR="00D65C77">
        <w:rPr>
          <w:rFonts w:ascii="Arial" w:hAnsi="Arial" w:cs="Arial"/>
        </w:rPr>
        <w:t xml:space="preserve">, </w:t>
      </w:r>
      <w:r w:rsidR="00E65166" w:rsidRPr="00E65166">
        <w:rPr>
          <w:rFonts w:ascii="Arial" w:hAnsi="Arial" w:cs="Arial"/>
          <w:spacing w:val="-3"/>
          <w:lang w:val="es-ES_tradnl"/>
        </w:rPr>
        <w:t xml:space="preserve">no se agotaron los mecanismos ordinarios </w:t>
      </w:r>
      <w:r w:rsidR="00D65C77">
        <w:rPr>
          <w:rFonts w:ascii="Arial" w:hAnsi="Arial" w:cs="Arial"/>
          <w:spacing w:val="-3"/>
          <w:lang w:val="es-ES_tradnl"/>
        </w:rPr>
        <w:t xml:space="preserve">de </w:t>
      </w:r>
      <w:r w:rsidR="00E65166" w:rsidRPr="00E65166">
        <w:rPr>
          <w:rFonts w:ascii="Arial" w:hAnsi="Arial" w:cs="Arial"/>
          <w:spacing w:val="-3"/>
          <w:lang w:val="es-ES_tradnl"/>
        </w:rPr>
        <w:t xml:space="preserve">defensa judicial, </w:t>
      </w:r>
      <w:r w:rsidR="00D65C77">
        <w:rPr>
          <w:rFonts w:ascii="Arial" w:hAnsi="Arial" w:cs="Arial"/>
        </w:rPr>
        <w:t xml:space="preserve">en efecto, contra el </w:t>
      </w:r>
      <w:r>
        <w:rPr>
          <w:rFonts w:ascii="Arial" w:hAnsi="Arial" w:cs="Arial"/>
        </w:rPr>
        <w:t>fallo que ordenó seguir adelante con la ejecución y posterior remate del bien aprisionado</w:t>
      </w:r>
      <w:r w:rsidR="00D65C77">
        <w:rPr>
          <w:rFonts w:ascii="Arial" w:hAnsi="Arial" w:cs="Arial"/>
        </w:rPr>
        <w:t xml:space="preserve">, </w:t>
      </w:r>
      <w:r w:rsidR="00B43EA8">
        <w:rPr>
          <w:rFonts w:ascii="Arial" w:hAnsi="Arial" w:cs="Arial"/>
        </w:rPr>
        <w:t xml:space="preserve">dejó de presentar </w:t>
      </w:r>
      <w:r w:rsidR="00261F11">
        <w:rPr>
          <w:rFonts w:ascii="Arial" w:hAnsi="Arial" w:cs="Arial"/>
        </w:rPr>
        <w:t xml:space="preserve">el recurso de apelación </w:t>
      </w:r>
      <w:r w:rsidR="00B43EA8">
        <w:rPr>
          <w:rFonts w:ascii="Arial" w:hAnsi="Arial" w:cs="Arial"/>
        </w:rPr>
        <w:t>(Folio 24, este cuaderno)</w:t>
      </w:r>
      <w:r w:rsidR="00716B79">
        <w:rPr>
          <w:rFonts w:ascii="Arial" w:hAnsi="Arial" w:cs="Arial"/>
        </w:rPr>
        <w:t>, pese a su viabilidad</w:t>
      </w:r>
      <w:r w:rsidR="00B43EA8">
        <w:rPr>
          <w:rFonts w:ascii="Arial" w:hAnsi="Arial" w:cs="Arial"/>
        </w:rPr>
        <w:t xml:space="preserve">, </w:t>
      </w:r>
      <w:r w:rsidR="00261F11">
        <w:rPr>
          <w:rFonts w:ascii="Arial" w:hAnsi="Arial" w:cs="Arial"/>
        </w:rPr>
        <w:t xml:space="preserve">pues se </w:t>
      </w:r>
      <w:r w:rsidR="00B43EA8">
        <w:rPr>
          <w:rFonts w:ascii="Arial" w:hAnsi="Arial" w:cs="Arial"/>
        </w:rPr>
        <w:t xml:space="preserve">trata </w:t>
      </w:r>
      <w:r w:rsidR="004807E3">
        <w:rPr>
          <w:rFonts w:ascii="Arial" w:hAnsi="Arial" w:cs="Arial"/>
        </w:rPr>
        <w:t xml:space="preserve">de una sentencia de primera instancia (Artículo 351 </w:t>
      </w:r>
      <w:r w:rsidR="004807E3">
        <w:rPr>
          <w:rFonts w:ascii="Arial" w:hAnsi="Arial" w:cs="Arial"/>
          <w:bCs/>
          <w:lang w:val="es-CO"/>
        </w:rPr>
        <w:t>del CPC)</w:t>
      </w:r>
      <w:r w:rsidR="00D65C77">
        <w:rPr>
          <w:rFonts w:ascii="Arial" w:hAnsi="Arial" w:cs="Arial"/>
        </w:rPr>
        <w:t xml:space="preserve">, </w:t>
      </w:r>
      <w:r w:rsidR="001270BF">
        <w:rPr>
          <w:rFonts w:ascii="Arial" w:hAnsi="Arial" w:cs="Arial"/>
        </w:rPr>
        <w:t xml:space="preserve">por lo que se pretermitieron </w:t>
      </w:r>
      <w:r w:rsidR="00D65C77">
        <w:rPr>
          <w:rFonts w:ascii="Arial" w:hAnsi="Arial" w:cs="Arial"/>
          <w:lang w:val="es-ES_tradnl"/>
        </w:rPr>
        <w:t xml:space="preserve">los términos de ley para atacar </w:t>
      </w:r>
      <w:r w:rsidR="00C42F1D">
        <w:rPr>
          <w:rFonts w:ascii="Arial" w:hAnsi="Arial" w:cs="Arial"/>
          <w:lang w:val="es-ES_tradnl"/>
        </w:rPr>
        <w:t xml:space="preserve">la </w:t>
      </w:r>
      <w:r w:rsidR="00D65C77">
        <w:rPr>
          <w:rFonts w:ascii="Arial" w:hAnsi="Arial" w:cs="Arial"/>
          <w:lang w:val="es-ES_tradnl"/>
        </w:rPr>
        <w:t>decisión</w:t>
      </w:r>
      <w:r w:rsidR="00C42F1D">
        <w:rPr>
          <w:rFonts w:ascii="Arial" w:hAnsi="Arial" w:cs="Arial"/>
          <w:lang w:val="es-ES_tradnl"/>
        </w:rPr>
        <w:t>,</w:t>
      </w:r>
      <w:r w:rsidR="00D65C77">
        <w:rPr>
          <w:rFonts w:ascii="Arial" w:hAnsi="Arial" w:cs="Arial"/>
          <w:lang w:val="es-CO"/>
        </w:rPr>
        <w:t xml:space="preserve"> </w:t>
      </w:r>
      <w:r w:rsidR="00261F11">
        <w:rPr>
          <w:rFonts w:ascii="Arial" w:hAnsi="Arial" w:cs="Arial"/>
          <w:lang w:val="es-CO"/>
        </w:rPr>
        <w:t>permitiendo</w:t>
      </w:r>
      <w:r w:rsidR="00D65C77">
        <w:rPr>
          <w:rFonts w:ascii="Arial" w:hAnsi="Arial" w:cs="Arial"/>
          <w:lang w:val="es-CO"/>
        </w:rPr>
        <w:t xml:space="preserve"> que adquiriera </w:t>
      </w:r>
      <w:r w:rsidR="00D65C77">
        <w:rPr>
          <w:rFonts w:ascii="Arial" w:hAnsi="Arial" w:cs="Arial"/>
          <w:lang w:val="es-ES_tradnl"/>
        </w:rPr>
        <w:t>firmeza (</w:t>
      </w:r>
      <w:r w:rsidR="00716B79">
        <w:rPr>
          <w:rFonts w:ascii="Arial" w:hAnsi="Arial" w:cs="Arial"/>
          <w:bCs/>
          <w:lang w:val="es-CO"/>
        </w:rPr>
        <w:t xml:space="preserve">Artículos 331 </w:t>
      </w:r>
      <w:r w:rsidR="004807E3">
        <w:rPr>
          <w:rFonts w:ascii="Arial" w:hAnsi="Arial" w:cs="Arial"/>
          <w:bCs/>
          <w:lang w:val="es-CO"/>
        </w:rPr>
        <w:t>del CPC</w:t>
      </w:r>
      <w:r w:rsidR="00D65C77">
        <w:rPr>
          <w:rFonts w:ascii="Arial" w:hAnsi="Arial" w:cs="Arial"/>
          <w:bCs/>
          <w:lang w:val="es-CO"/>
        </w:rPr>
        <w:t>).</w:t>
      </w:r>
    </w:p>
    <w:p w:rsidR="00D65C77" w:rsidRPr="00AC7177" w:rsidRDefault="00D65C77" w:rsidP="00D65C77">
      <w:pPr>
        <w:spacing w:line="360" w:lineRule="auto"/>
        <w:jc w:val="both"/>
        <w:rPr>
          <w:rFonts w:ascii="Arial" w:hAnsi="Arial" w:cs="Arial"/>
          <w:sz w:val="22"/>
          <w:lang w:val="es-ES_tradnl"/>
        </w:rPr>
      </w:pPr>
    </w:p>
    <w:p w:rsidR="00716B79" w:rsidRPr="00CB3037" w:rsidRDefault="00716B79" w:rsidP="00716B79">
      <w:pPr>
        <w:spacing w:line="360" w:lineRule="auto"/>
        <w:jc w:val="both"/>
        <w:rPr>
          <w:rFonts w:ascii="Arial" w:hAnsi="Arial" w:cs="Arial"/>
          <w:bCs/>
          <w:lang w:val="es-CO"/>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w:t>
      </w:r>
      <w:r w:rsidR="00AC7177">
        <w:rPr>
          <w:rFonts w:ascii="Arial" w:hAnsi="Arial" w:cs="Arial"/>
          <w:lang w:val="es-ES_tradnl"/>
        </w:rPr>
        <w:t xml:space="preserve">también </w:t>
      </w:r>
      <w:r>
        <w:rPr>
          <w:rFonts w:ascii="Arial" w:hAnsi="Arial" w:cs="Arial"/>
          <w:lang w:val="es-ES_tradnl"/>
        </w:rPr>
        <w:t xml:space="preserve">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la Corte Constitucional, que reiteradamente ha referido que la acción de tutela es improcedente cuando por negligencia, descuido o incuria, no son utilizados los mecanismos ordinarios de defensa</w:t>
      </w:r>
      <w:r w:rsidRPr="00FF4929">
        <w:rPr>
          <w:rStyle w:val="Refdenotaalpie"/>
          <w:rFonts w:ascii="Arial" w:hAnsi="Arial" w:cs="Arial"/>
          <w:sz w:val="22"/>
          <w:szCs w:val="22"/>
        </w:rPr>
        <w:footnoteReference w:id="26"/>
      </w:r>
      <w:r w:rsidRPr="00FF4929">
        <w:rPr>
          <w:rFonts w:ascii="Arial" w:hAnsi="Arial" w:cs="Arial"/>
          <w:sz w:val="22"/>
          <w:szCs w:val="22"/>
        </w:rPr>
        <w:t>.</w:t>
      </w:r>
    </w:p>
    <w:p w:rsidR="00716B79" w:rsidRPr="00AC7177" w:rsidRDefault="00716B79" w:rsidP="00716B79">
      <w:pPr>
        <w:spacing w:line="360" w:lineRule="auto"/>
        <w:jc w:val="both"/>
        <w:rPr>
          <w:rFonts w:ascii="Arial" w:hAnsi="Arial" w:cs="Arial"/>
          <w:sz w:val="22"/>
        </w:rPr>
      </w:pPr>
    </w:p>
    <w:p w:rsidR="00716B79" w:rsidRDefault="00716B79" w:rsidP="00716B79">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27"/>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los mencionados </w:t>
      </w:r>
      <w:r w:rsidRPr="008B43C6">
        <w:rPr>
          <w:rFonts w:ascii="Arial" w:hAnsi="Arial" w:cs="Arial"/>
          <w:bCs/>
          <w:szCs w:val="22"/>
          <w:lang w:val="es-CO"/>
        </w:rPr>
        <w:t>auto</w:t>
      </w:r>
      <w:r>
        <w:rPr>
          <w:rFonts w:ascii="Arial" w:hAnsi="Arial" w:cs="Arial"/>
          <w:bCs/>
          <w:szCs w:val="22"/>
          <w:lang w:val="es-CO"/>
        </w:rPr>
        <w:t>s</w:t>
      </w:r>
      <w:r w:rsidRPr="008B43C6">
        <w:rPr>
          <w:rStyle w:val="Refdenotaalpie"/>
          <w:rFonts w:ascii="Arial" w:hAnsi="Arial"/>
          <w:bCs/>
          <w:szCs w:val="22"/>
          <w:lang w:val="es-CO"/>
        </w:rPr>
        <w:footnoteReference w:id="28"/>
      </w:r>
      <w:r w:rsidRPr="008B43C6">
        <w:rPr>
          <w:rFonts w:ascii="Arial" w:hAnsi="Arial" w:cs="Arial"/>
          <w:bCs/>
          <w:szCs w:val="22"/>
          <w:lang w:val="es-CO"/>
        </w:rPr>
        <w:t>, de tal modo que amerite un análisis flexible del requisito de procedibilidad echado de menos</w:t>
      </w:r>
      <w:r>
        <w:rPr>
          <w:rFonts w:ascii="Arial" w:hAnsi="Arial" w:cs="Arial"/>
          <w:bCs/>
          <w:szCs w:val="22"/>
          <w:lang w:val="es-CO"/>
        </w:rPr>
        <w:t xml:space="preserve">, </w:t>
      </w:r>
      <w:r>
        <w:rPr>
          <w:rFonts w:ascii="Arial" w:hAnsi="Arial"/>
        </w:rPr>
        <w:t>por ende solo a la parte le es imputable tal descuido.</w:t>
      </w:r>
    </w:p>
    <w:p w:rsidR="00716B79" w:rsidRPr="00AC7177" w:rsidRDefault="00716B79" w:rsidP="00716B79">
      <w:pPr>
        <w:spacing w:line="360" w:lineRule="auto"/>
        <w:ind w:right="51"/>
        <w:jc w:val="both"/>
        <w:rPr>
          <w:rFonts w:ascii="Arial" w:hAnsi="Arial"/>
          <w:sz w:val="22"/>
        </w:rPr>
      </w:pPr>
    </w:p>
    <w:p w:rsidR="00954CAE" w:rsidRDefault="00D65C77" w:rsidP="00AC7177">
      <w:pPr>
        <w:spacing w:line="360" w:lineRule="auto"/>
        <w:jc w:val="both"/>
        <w:rPr>
          <w:rFonts w:ascii="Arial" w:hAnsi="Arial" w:cs="Arial"/>
          <w:lang w:val="es-CO"/>
        </w:rPr>
      </w:pPr>
      <w:r>
        <w:rPr>
          <w:rFonts w:ascii="Arial" w:hAnsi="Arial" w:cs="Arial"/>
          <w:lang w:val="es-ES_tradnl"/>
        </w:rPr>
        <w:t xml:space="preserve">Acorde con lo expuesto, esta </w:t>
      </w:r>
      <w:r>
        <w:rPr>
          <w:rFonts w:ascii="Arial" w:hAnsi="Arial"/>
        </w:rPr>
        <w:t xml:space="preserve">acción </w:t>
      </w:r>
      <w:r w:rsidRPr="00486763">
        <w:rPr>
          <w:rFonts w:ascii="Arial" w:hAnsi="Arial"/>
        </w:rPr>
        <w:t xml:space="preserve">de tutela </w:t>
      </w:r>
      <w:r>
        <w:rPr>
          <w:rFonts w:ascii="Arial" w:hAnsi="Arial"/>
        </w:rPr>
        <w:t xml:space="preserve">es improcedente </w:t>
      </w:r>
      <w:r w:rsidRPr="00486763">
        <w:rPr>
          <w:rFonts w:ascii="Arial" w:hAnsi="Arial"/>
        </w:rPr>
        <w:t>toda vez que no</w:t>
      </w:r>
      <w:r>
        <w:rPr>
          <w:rFonts w:ascii="Arial" w:hAnsi="Arial"/>
        </w:rPr>
        <w:t xml:space="preserve"> </w:t>
      </w:r>
      <w:r w:rsidRPr="00486763">
        <w:rPr>
          <w:rFonts w:ascii="Arial" w:hAnsi="Arial"/>
        </w:rPr>
        <w:t xml:space="preserve">cumple con </w:t>
      </w:r>
      <w:r w:rsidR="00AC7177">
        <w:rPr>
          <w:rFonts w:ascii="Arial" w:hAnsi="Arial"/>
        </w:rPr>
        <w:t xml:space="preserve">dos </w:t>
      </w:r>
      <w:r w:rsidRPr="00486763">
        <w:rPr>
          <w:rFonts w:ascii="Arial" w:hAnsi="Arial"/>
        </w:rPr>
        <w:t xml:space="preserve">de los </w:t>
      </w:r>
      <w:r>
        <w:rPr>
          <w:rFonts w:ascii="Arial" w:hAnsi="Arial"/>
        </w:rPr>
        <w:t>siete</w:t>
      </w:r>
      <w:r w:rsidRPr="00486763">
        <w:rPr>
          <w:rFonts w:ascii="Arial" w:hAnsi="Arial"/>
        </w:rPr>
        <w:t xml:space="preserve"> (</w:t>
      </w:r>
      <w:r>
        <w:rPr>
          <w:rFonts w:ascii="Arial" w:hAnsi="Arial"/>
        </w:rPr>
        <w:t>7</w:t>
      </w:r>
      <w:r w:rsidRPr="00486763">
        <w:rPr>
          <w:rFonts w:ascii="Arial" w:hAnsi="Arial"/>
        </w:rPr>
        <w:t xml:space="preserve">) requisitos generales de procedibilidad, como lo </w:t>
      </w:r>
      <w:r w:rsidR="00AC7177">
        <w:rPr>
          <w:rFonts w:ascii="Arial" w:hAnsi="Arial"/>
        </w:rPr>
        <w:t xml:space="preserve">son el de la inmediatez y de </w:t>
      </w:r>
      <w:r w:rsidRPr="00486763">
        <w:rPr>
          <w:rFonts w:ascii="Arial" w:hAnsi="Arial"/>
        </w:rPr>
        <w:t xml:space="preserve">la subsidiariedad, </w:t>
      </w:r>
      <w:r w:rsidRPr="00483001">
        <w:rPr>
          <w:rFonts w:ascii="Arial" w:hAnsi="Arial"/>
        </w:rPr>
        <w:t>la parte actora</w:t>
      </w:r>
      <w:r w:rsidR="00AC7177">
        <w:rPr>
          <w:rFonts w:ascii="Arial" w:hAnsi="Arial"/>
        </w:rPr>
        <w:t xml:space="preserve"> no </w:t>
      </w:r>
      <w:r w:rsidR="00AC7177">
        <w:rPr>
          <w:rFonts w:ascii="Arial" w:hAnsi="Arial" w:cs="Arial"/>
          <w:iCs/>
        </w:rPr>
        <w:t xml:space="preserve">formuló </w:t>
      </w:r>
      <w:r w:rsidR="00AC7177" w:rsidRPr="00C9008E">
        <w:rPr>
          <w:rFonts w:ascii="Arial" w:hAnsi="Arial" w:cs="Arial"/>
          <w:iCs/>
        </w:rPr>
        <w:t xml:space="preserve">oportunamente </w:t>
      </w:r>
      <w:r w:rsidR="00AC7177">
        <w:rPr>
          <w:rFonts w:ascii="Arial" w:hAnsi="Arial" w:cs="Arial"/>
          <w:iCs/>
        </w:rPr>
        <w:t>el amparo y</w:t>
      </w:r>
      <w:r w:rsidRPr="00483001">
        <w:rPr>
          <w:rFonts w:ascii="Arial" w:hAnsi="Arial"/>
        </w:rPr>
        <w:t xml:space="preserve"> en el trámite </w:t>
      </w:r>
      <w:r w:rsidR="00AC7177">
        <w:rPr>
          <w:rFonts w:ascii="Arial" w:hAnsi="Arial"/>
        </w:rPr>
        <w:t>del proceso ejecutivo</w:t>
      </w:r>
      <w:r w:rsidRPr="00483001">
        <w:rPr>
          <w:rFonts w:ascii="Arial" w:hAnsi="Arial"/>
        </w:rPr>
        <w:t xml:space="preserve">, </w:t>
      </w:r>
      <w:r>
        <w:rPr>
          <w:rFonts w:ascii="Arial" w:hAnsi="Arial"/>
        </w:rPr>
        <w:t xml:space="preserve">no formuló el </w:t>
      </w:r>
      <w:r w:rsidRPr="00954CAE">
        <w:rPr>
          <w:rFonts w:ascii="Arial" w:hAnsi="Arial"/>
        </w:rPr>
        <w:t xml:space="preserve">recurso ordinario. </w:t>
      </w:r>
      <w:r w:rsidR="00CE32AE" w:rsidRPr="00954CAE">
        <w:rPr>
          <w:rFonts w:ascii="Arial" w:hAnsi="Arial" w:cs="Arial"/>
        </w:rPr>
        <w:t>Por lo tanto</w:t>
      </w:r>
      <w:r w:rsidR="00CE32AE" w:rsidRPr="00954CAE">
        <w:rPr>
          <w:rFonts w:ascii="Arial" w:hAnsi="Arial" w:cs="Arial"/>
          <w:lang w:val="es-CO"/>
        </w:rPr>
        <w:t>, se confirmará el fallo opugnado</w:t>
      </w:r>
    </w:p>
    <w:p w:rsidR="00AC7177" w:rsidRPr="00AC7177" w:rsidRDefault="00AC7177" w:rsidP="00AC7177">
      <w:pPr>
        <w:spacing w:line="360" w:lineRule="auto"/>
        <w:jc w:val="both"/>
        <w:rPr>
          <w:rFonts w:ascii="Arial" w:hAnsi="Arial" w:cs="Arial"/>
          <w:sz w:val="22"/>
          <w:lang w:val="es-CO"/>
        </w:rPr>
      </w:pPr>
    </w:p>
    <w:p w:rsidR="002724B1" w:rsidRPr="00AC7177" w:rsidRDefault="002724B1" w:rsidP="00CE32AE">
      <w:pPr>
        <w:shd w:val="clear" w:color="auto" w:fill="FFFFFF"/>
        <w:spacing w:line="360" w:lineRule="auto"/>
        <w:jc w:val="both"/>
        <w:rPr>
          <w:rFonts w:ascii="Arial" w:hAnsi="Arial" w:cs="Arial"/>
          <w:color w:val="000000"/>
          <w:sz w:val="20"/>
          <w:lang w:val="es-CO" w:eastAsia="es-CO"/>
        </w:rPr>
      </w:pPr>
    </w:p>
    <w:p w:rsidR="00AC7177" w:rsidRPr="008A1328" w:rsidRDefault="00AC7177" w:rsidP="00AC7177">
      <w:pPr>
        <w:pStyle w:val="Textoindependiente"/>
        <w:numPr>
          <w:ilvl w:val="0"/>
          <w:numId w:val="20"/>
        </w:numPr>
        <w:spacing w:line="360" w:lineRule="auto"/>
        <w:ind w:left="851" w:right="567" w:hanging="851"/>
        <w:rPr>
          <w:rFonts w:ascii="Arial" w:hAnsi="Arial" w:cs="Arial"/>
          <w:sz w:val="24"/>
          <w:szCs w:val="24"/>
          <w:lang w:val="es-CO"/>
        </w:rPr>
      </w:pPr>
      <w:r>
        <w:rPr>
          <w:rFonts w:ascii="Arial" w:hAnsi="Arial" w:cs="Arial"/>
          <w:sz w:val="24"/>
          <w:szCs w:val="24"/>
          <w:lang w:val="es-CO"/>
        </w:rPr>
        <w:t xml:space="preserve">LAS </w:t>
      </w:r>
      <w:r w:rsidRPr="008A1328">
        <w:rPr>
          <w:rFonts w:ascii="Arial" w:hAnsi="Arial" w:cs="Arial"/>
          <w:sz w:val="24"/>
          <w:szCs w:val="24"/>
          <w:lang w:val="es-CO"/>
        </w:rPr>
        <w:t xml:space="preserve">CONCLUSIONES </w:t>
      </w:r>
    </w:p>
    <w:p w:rsidR="00AC7177" w:rsidRPr="00AC7177" w:rsidRDefault="00AC7177" w:rsidP="00AC7177">
      <w:pPr>
        <w:spacing w:line="360" w:lineRule="auto"/>
        <w:jc w:val="both"/>
        <w:rPr>
          <w:rFonts w:ascii="Arial" w:hAnsi="Arial" w:cs="Arial"/>
          <w:sz w:val="22"/>
          <w:lang w:val="es-CO"/>
        </w:rPr>
      </w:pPr>
    </w:p>
    <w:p w:rsidR="00AC7177" w:rsidRDefault="00AC7177" w:rsidP="00AC7177">
      <w:pPr>
        <w:spacing w:line="360" w:lineRule="auto"/>
        <w:jc w:val="both"/>
        <w:rPr>
          <w:rFonts w:ascii="Arial" w:hAnsi="Arial"/>
          <w:lang w:val="es-CO"/>
        </w:rPr>
      </w:pPr>
      <w:r>
        <w:rPr>
          <w:rFonts w:ascii="Arial" w:hAnsi="Arial"/>
          <w:lang w:val="es-CO"/>
        </w:rPr>
        <w:t>En armonía con lo discurrido se confirmará el fallo venido en impugnación.</w:t>
      </w:r>
    </w:p>
    <w:p w:rsidR="00AC7177" w:rsidRPr="00AC7177" w:rsidRDefault="00AC7177" w:rsidP="00AC7177">
      <w:pPr>
        <w:spacing w:line="360" w:lineRule="auto"/>
        <w:jc w:val="both"/>
        <w:rPr>
          <w:rFonts w:ascii="Arial" w:hAnsi="Arial" w:cs="Arial"/>
          <w:sz w:val="22"/>
          <w:lang w:val="es-CO"/>
        </w:rPr>
      </w:pPr>
    </w:p>
    <w:p w:rsidR="00AC7177" w:rsidRPr="008A1328" w:rsidRDefault="00AC7177" w:rsidP="00AC7177">
      <w:pPr>
        <w:spacing w:line="360" w:lineRule="auto"/>
        <w:jc w:val="both"/>
        <w:rPr>
          <w:rFonts w:ascii="Arial" w:hAnsi="Arial" w:cs="Arial"/>
        </w:rPr>
      </w:pPr>
      <w:r w:rsidRPr="008A1328">
        <w:rPr>
          <w:rFonts w:ascii="Arial" w:hAnsi="Arial" w:cs="Arial"/>
        </w:rPr>
        <w:t xml:space="preserve">En mérito de lo expuesto, el </w:t>
      </w:r>
      <w:r w:rsidRPr="008A1328">
        <w:rPr>
          <w:rFonts w:ascii="Arial" w:hAnsi="Arial" w:cs="Arial"/>
          <w:bCs/>
          <w:smallCaps/>
        </w:rPr>
        <w:t>Tribunal Superior del Distrito Judicial de Pereira, Sala de Decisión Civil -Familia</w:t>
      </w:r>
      <w:r w:rsidRPr="008A1328">
        <w:rPr>
          <w:rFonts w:ascii="Arial" w:hAnsi="Arial" w:cs="Arial"/>
        </w:rPr>
        <w:t>, administrando Justicia, en nombre de la República y por autoridad de la Ley,</w:t>
      </w:r>
    </w:p>
    <w:p w:rsidR="00AC7177" w:rsidRPr="00AC7177" w:rsidRDefault="00AC7177" w:rsidP="00AC71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2"/>
          <w:lang w:val="es-ES_tradnl"/>
        </w:rPr>
      </w:pPr>
    </w:p>
    <w:p w:rsidR="00AC7177" w:rsidRDefault="00AC7177" w:rsidP="00AC71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sidRPr="008A1328">
        <w:rPr>
          <w:rFonts w:ascii="Arial" w:hAnsi="Arial" w:cs="Arial"/>
          <w:bCs/>
          <w:smallCaps/>
          <w:spacing w:val="-3"/>
          <w:lang w:val="es-ES_tradnl"/>
        </w:rPr>
        <w:t>F A L L A,</w:t>
      </w:r>
    </w:p>
    <w:p w:rsidR="00AC7177" w:rsidRPr="008A1328" w:rsidRDefault="00AC7177" w:rsidP="00AC71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p>
    <w:p w:rsidR="00AC7177" w:rsidRPr="002B7B47" w:rsidRDefault="00AC7177" w:rsidP="00AC7177">
      <w:pPr>
        <w:pStyle w:val="Prrafodelista"/>
        <w:numPr>
          <w:ilvl w:val="0"/>
          <w:numId w:val="28"/>
        </w:numPr>
        <w:tabs>
          <w:tab w:val="left" w:pos="0"/>
          <w:tab w:val="left" w:pos="142"/>
          <w:tab w:val="left" w:pos="4956"/>
          <w:tab w:val="left" w:pos="5664"/>
          <w:tab w:val="left" w:pos="6372"/>
          <w:tab w:val="left" w:pos="7080"/>
          <w:tab w:val="left" w:pos="7788"/>
          <w:tab w:val="left" w:pos="7920"/>
        </w:tabs>
        <w:suppressAutoHyphens/>
        <w:overflowPunct w:val="0"/>
        <w:spacing w:after="0" w:line="360" w:lineRule="auto"/>
        <w:jc w:val="both"/>
        <w:textAlignment w:val="baseline"/>
        <w:rPr>
          <w:rFonts w:ascii="Arial" w:hAnsi="Arial"/>
          <w:spacing w:val="-3"/>
          <w:sz w:val="24"/>
          <w:szCs w:val="24"/>
          <w:lang w:val="es-ES_tradnl"/>
        </w:rPr>
      </w:pPr>
      <w:r w:rsidRPr="00D23CD1">
        <w:rPr>
          <w:rFonts w:ascii="Arial" w:hAnsi="Arial"/>
          <w:spacing w:val="-3"/>
          <w:sz w:val="24"/>
          <w:szCs w:val="24"/>
          <w:lang w:val="es-ES_tradnl"/>
        </w:rPr>
        <w:t xml:space="preserve">CONFIRMAR la sentencia del día </w:t>
      </w:r>
      <w:r>
        <w:rPr>
          <w:rFonts w:ascii="Arial" w:hAnsi="Arial"/>
          <w:spacing w:val="-3"/>
          <w:sz w:val="24"/>
          <w:szCs w:val="24"/>
          <w:lang w:val="es-ES_tradnl"/>
        </w:rPr>
        <w:t>02-03-2016</w:t>
      </w:r>
      <w:r w:rsidRPr="00D23CD1">
        <w:rPr>
          <w:rFonts w:ascii="Arial" w:hAnsi="Arial"/>
          <w:spacing w:val="-3"/>
          <w:sz w:val="24"/>
          <w:szCs w:val="24"/>
          <w:lang w:val="es-ES_tradnl"/>
        </w:rPr>
        <w:t xml:space="preserve"> proferida por el Juzgado </w:t>
      </w:r>
      <w:r>
        <w:rPr>
          <w:rFonts w:ascii="Arial" w:hAnsi="Arial"/>
          <w:spacing w:val="-3"/>
          <w:sz w:val="24"/>
          <w:szCs w:val="24"/>
          <w:lang w:val="es-ES_tradnl"/>
        </w:rPr>
        <w:t xml:space="preserve">Cuarto Civil del Circuito </w:t>
      </w:r>
      <w:r w:rsidRPr="00D23CD1">
        <w:rPr>
          <w:rFonts w:ascii="Arial" w:hAnsi="Arial"/>
          <w:spacing w:val="-3"/>
          <w:sz w:val="24"/>
          <w:szCs w:val="24"/>
          <w:lang w:val="es-ES_tradnl"/>
        </w:rPr>
        <w:t>de esta ciudad</w:t>
      </w:r>
      <w:r w:rsidRPr="00D23CD1">
        <w:rPr>
          <w:rFonts w:ascii="Arial" w:hAnsi="Arial"/>
          <w:sz w:val="24"/>
          <w:szCs w:val="24"/>
        </w:rPr>
        <w:t>.</w:t>
      </w:r>
    </w:p>
    <w:p w:rsidR="002B7B47" w:rsidRPr="002821E1" w:rsidRDefault="002B7B47" w:rsidP="002B7B47">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360"/>
        <w:jc w:val="both"/>
        <w:textAlignment w:val="baseline"/>
        <w:rPr>
          <w:rFonts w:ascii="Arial" w:hAnsi="Arial"/>
          <w:spacing w:val="-3"/>
          <w:sz w:val="24"/>
          <w:szCs w:val="24"/>
          <w:lang w:val="es-ES_tradnl"/>
        </w:rPr>
      </w:pPr>
    </w:p>
    <w:p w:rsidR="00AC7177" w:rsidRPr="008A1328" w:rsidRDefault="00AC7177" w:rsidP="00AC7177">
      <w:pPr>
        <w:pStyle w:val="Textoindependien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8A1328">
        <w:rPr>
          <w:rFonts w:ascii="Arial" w:hAnsi="Arial" w:cs="Arial"/>
          <w:sz w:val="24"/>
          <w:szCs w:val="24"/>
        </w:rPr>
        <w:t>NOTIFICAR esta decisión a todas las partes, por el medio más expedito y eficaz.</w:t>
      </w:r>
    </w:p>
    <w:p w:rsidR="00AC7177" w:rsidRPr="006A6927" w:rsidRDefault="00AC7177" w:rsidP="00AC7177">
      <w:pPr>
        <w:pStyle w:val="Prrafodelista"/>
        <w:spacing w:after="0" w:line="360" w:lineRule="auto"/>
        <w:ind w:left="360"/>
        <w:rPr>
          <w:rFonts w:ascii="Arial" w:hAnsi="Arial" w:cs="Arial"/>
          <w:sz w:val="24"/>
          <w:szCs w:val="24"/>
        </w:rPr>
      </w:pPr>
    </w:p>
    <w:p w:rsidR="00AC7177" w:rsidRPr="00CE32AE" w:rsidRDefault="00AC7177" w:rsidP="00AC7177">
      <w:pPr>
        <w:pStyle w:val="Textoindependien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8A1328">
        <w:rPr>
          <w:rFonts w:ascii="Arial" w:hAnsi="Arial" w:cs="Arial"/>
          <w:sz w:val="24"/>
          <w:szCs w:val="24"/>
        </w:rPr>
        <w:t>REMITIR el expediente a la Corte Constitucional para su eventual revisión.</w:t>
      </w:r>
    </w:p>
    <w:p w:rsidR="00D4466B" w:rsidRPr="00463F13" w:rsidRDefault="00D4466B" w:rsidP="00CE32AE">
      <w:pPr>
        <w:pStyle w:val="Textoindependiente"/>
        <w:tabs>
          <w:tab w:val="clear" w:pos="708"/>
          <w:tab w:val="clear" w:pos="1416"/>
          <w:tab w:val="left" w:pos="426"/>
        </w:tabs>
        <w:spacing w:line="360" w:lineRule="auto"/>
        <w:ind w:left="426"/>
        <w:rPr>
          <w:rFonts w:ascii="Arial" w:hAnsi="Arial"/>
          <w:sz w:val="16"/>
          <w:szCs w:val="24"/>
        </w:rPr>
      </w:pPr>
    </w:p>
    <w:p w:rsidR="003913E3" w:rsidRDefault="003913E3" w:rsidP="00F839CE">
      <w:pPr>
        <w:pStyle w:val="Textoindependiente"/>
        <w:spacing w:line="360" w:lineRule="auto"/>
        <w:jc w:val="center"/>
        <w:rPr>
          <w:rFonts w:ascii="Arial" w:hAnsi="Arial" w:cs="Arial"/>
          <w:smallCaps/>
          <w:sz w:val="24"/>
          <w:szCs w:val="24"/>
          <w:lang w:val="en-US"/>
        </w:rPr>
      </w:pPr>
      <w:r w:rsidRPr="008A1328">
        <w:rPr>
          <w:rFonts w:ascii="Arial" w:hAnsi="Arial" w:cs="Arial"/>
          <w:smallCaps/>
          <w:sz w:val="24"/>
          <w:szCs w:val="24"/>
          <w:lang w:val="en-US"/>
        </w:rPr>
        <w:t>Notifíquese,</w:t>
      </w:r>
    </w:p>
    <w:p w:rsidR="00C2274B" w:rsidRPr="002724B1"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6"/>
          <w:lang w:val="en-GB"/>
        </w:rPr>
      </w:pPr>
    </w:p>
    <w:p w:rsidR="00C2274B" w:rsidRPr="002724B1"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6"/>
          <w:lang w:val="en-GB"/>
        </w:rPr>
      </w:pPr>
    </w:p>
    <w:p w:rsidR="004736F9" w:rsidRPr="002724B1" w:rsidRDefault="004736F9"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6"/>
          <w:lang w:val="en-GB"/>
        </w:rPr>
      </w:pP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CO"/>
        </w:rPr>
      </w:pPr>
      <w:r>
        <w:rPr>
          <w:rFonts w:ascii="Arial" w:hAnsi="Arial" w:cs="Arial"/>
          <w:spacing w:val="-3"/>
          <w:w w:val="150"/>
          <w:sz w:val="32"/>
          <w:szCs w:val="18"/>
          <w:lang w:val="es-CO"/>
        </w:rPr>
        <w:t>D</w:t>
      </w:r>
      <w:r>
        <w:rPr>
          <w:rFonts w:ascii="Arial" w:hAnsi="Arial" w:cs="Arial"/>
          <w:spacing w:val="-3"/>
          <w:w w:val="150"/>
          <w:sz w:val="18"/>
          <w:szCs w:val="18"/>
          <w:lang w:val="es-CO"/>
        </w:rPr>
        <w:t xml:space="preserve">UBERNEY </w:t>
      </w:r>
      <w:r>
        <w:rPr>
          <w:rFonts w:ascii="Arial" w:hAnsi="Arial" w:cs="Arial"/>
          <w:spacing w:val="-3"/>
          <w:w w:val="150"/>
          <w:sz w:val="28"/>
          <w:szCs w:val="18"/>
          <w:lang w:val="es-CO"/>
        </w:rPr>
        <w:t>G</w:t>
      </w:r>
      <w:r>
        <w:rPr>
          <w:rFonts w:ascii="Arial" w:hAnsi="Arial" w:cs="Arial"/>
          <w:spacing w:val="-3"/>
          <w:w w:val="150"/>
          <w:sz w:val="18"/>
          <w:szCs w:val="18"/>
          <w:lang w:val="es-CO"/>
        </w:rPr>
        <w:t xml:space="preserve">RISALES </w:t>
      </w:r>
      <w:r>
        <w:rPr>
          <w:rFonts w:ascii="Arial" w:hAnsi="Arial" w:cs="Arial"/>
          <w:spacing w:val="-3"/>
          <w:w w:val="150"/>
          <w:sz w:val="28"/>
          <w:szCs w:val="18"/>
          <w:lang w:val="es-CO"/>
        </w:rPr>
        <w:t>H</w:t>
      </w:r>
      <w:r>
        <w:rPr>
          <w:rFonts w:ascii="Arial" w:hAnsi="Arial" w:cs="Arial"/>
          <w:spacing w:val="-3"/>
          <w:w w:val="150"/>
          <w:sz w:val="18"/>
          <w:szCs w:val="18"/>
          <w:lang w:val="es-CO"/>
        </w:rPr>
        <w:t>ERRERA</w:t>
      </w: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6"/>
          <w:szCs w:val="20"/>
          <w:lang w:val="es-CO"/>
        </w:rPr>
      </w:pPr>
      <w:r>
        <w:rPr>
          <w:rFonts w:ascii="Arial" w:hAnsi="Arial" w:cs="Arial"/>
          <w:spacing w:val="-3"/>
          <w:w w:val="150"/>
          <w:sz w:val="32"/>
          <w:lang w:val="es-CO"/>
        </w:rPr>
        <w:t>M</w:t>
      </w:r>
      <w:r>
        <w:rPr>
          <w:rFonts w:ascii="Arial" w:hAnsi="Arial" w:cs="Arial"/>
          <w:spacing w:val="-3"/>
          <w:w w:val="150"/>
          <w:sz w:val="16"/>
          <w:lang w:val="es-CO"/>
        </w:rPr>
        <w:t xml:space="preserve"> </w:t>
      </w:r>
      <w:r>
        <w:rPr>
          <w:rFonts w:ascii="Arial" w:hAnsi="Arial" w:cs="Arial"/>
          <w:spacing w:val="-3"/>
          <w:w w:val="150"/>
          <w:sz w:val="18"/>
          <w:szCs w:val="20"/>
          <w:lang w:val="es-CO"/>
        </w:rPr>
        <w:t>A G I S T R A D O</w:t>
      </w:r>
    </w:p>
    <w:p w:rsidR="0017096D" w:rsidRPr="002724B1"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6"/>
          <w:szCs w:val="18"/>
          <w:lang w:val="es-ES_tradnl"/>
        </w:rPr>
      </w:pPr>
    </w:p>
    <w:p w:rsidR="0017096D" w:rsidRPr="002724B1"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6"/>
          <w:szCs w:val="18"/>
          <w:lang w:val="es-ES_tradnl"/>
        </w:rPr>
      </w:pPr>
    </w:p>
    <w:p w:rsidR="0017096D" w:rsidRPr="002724B1"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6"/>
          <w:szCs w:val="18"/>
          <w:lang w:val="es-ES_tradnl"/>
        </w:rPr>
      </w:pP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r>
        <w:rPr>
          <w:rFonts w:ascii="Arial" w:hAnsi="Arial"/>
          <w:w w:val="150"/>
          <w:sz w:val="28"/>
          <w:szCs w:val="18"/>
          <w:lang w:val="es-ES_tradnl"/>
        </w:rPr>
        <w:t>E</w:t>
      </w:r>
      <w:r>
        <w:rPr>
          <w:rFonts w:ascii="Arial" w:hAnsi="Arial"/>
          <w:w w:val="150"/>
          <w:sz w:val="18"/>
          <w:szCs w:val="18"/>
          <w:lang w:val="es-ES_tradnl"/>
        </w:rPr>
        <w:t>DDER</w:t>
      </w:r>
      <w:r>
        <w:rPr>
          <w:rFonts w:ascii="Arial" w:hAnsi="Arial"/>
          <w:w w:val="150"/>
          <w:sz w:val="18"/>
          <w:lang w:val="es-ES_tradnl"/>
        </w:rPr>
        <w:t xml:space="preserve"> </w:t>
      </w:r>
      <w:r>
        <w:rPr>
          <w:rFonts w:ascii="Arial" w:hAnsi="Arial"/>
          <w:w w:val="150"/>
          <w:sz w:val="28"/>
          <w:lang w:val="es-ES_tradnl"/>
        </w:rPr>
        <w:t>J</w:t>
      </w:r>
      <w:r>
        <w:rPr>
          <w:rFonts w:ascii="Arial" w:hAnsi="Arial"/>
          <w:w w:val="150"/>
          <w:sz w:val="18"/>
          <w:szCs w:val="18"/>
          <w:lang w:val="es-ES_tradnl"/>
        </w:rPr>
        <w:t xml:space="preserve">IMMY </w:t>
      </w:r>
      <w:r>
        <w:rPr>
          <w:rFonts w:ascii="Arial" w:hAnsi="Arial"/>
          <w:w w:val="150"/>
          <w:sz w:val="28"/>
          <w:lang w:val="es-ES_tradnl"/>
        </w:rPr>
        <w:t>S</w:t>
      </w:r>
      <w:r>
        <w:rPr>
          <w:rFonts w:ascii="Arial" w:hAnsi="Arial"/>
          <w:w w:val="150"/>
          <w:sz w:val="18"/>
          <w:szCs w:val="18"/>
          <w:lang w:val="es-ES_tradnl"/>
        </w:rPr>
        <w:t xml:space="preserve">ÁNCHEZ </w:t>
      </w:r>
      <w:r>
        <w:rPr>
          <w:rFonts w:ascii="Arial" w:hAnsi="Arial"/>
          <w:w w:val="150"/>
          <w:sz w:val="28"/>
          <w:szCs w:val="18"/>
          <w:lang w:val="es-ES_tradnl"/>
        </w:rPr>
        <w:t>C.</w:t>
      </w:r>
      <w:r>
        <w:rPr>
          <w:rFonts w:ascii="Arial" w:hAnsi="Arial"/>
          <w:w w:val="150"/>
          <w:sz w:val="28"/>
          <w:szCs w:val="18"/>
          <w:lang w:val="es-ES_tradnl"/>
        </w:rPr>
        <w:tab/>
      </w:r>
      <w:r>
        <w:rPr>
          <w:rFonts w:ascii="Arial" w:hAnsi="Arial"/>
          <w:w w:val="150"/>
          <w:sz w:val="28"/>
          <w:szCs w:val="18"/>
          <w:lang w:val="es-ES_tradnl"/>
        </w:rPr>
        <w:tab/>
      </w:r>
      <w:r>
        <w:rPr>
          <w:rFonts w:ascii="Arial" w:hAnsi="Arial" w:cs="Arial"/>
          <w:spacing w:val="-3"/>
          <w:w w:val="150"/>
          <w:sz w:val="28"/>
          <w:szCs w:val="18"/>
        </w:rPr>
        <w:t>J</w:t>
      </w:r>
      <w:r>
        <w:rPr>
          <w:rFonts w:ascii="Arial" w:hAnsi="Arial" w:cs="Arial"/>
          <w:spacing w:val="-3"/>
          <w:w w:val="150"/>
          <w:sz w:val="18"/>
          <w:szCs w:val="18"/>
        </w:rPr>
        <w:t xml:space="preserve">AIME </w:t>
      </w:r>
      <w:r>
        <w:rPr>
          <w:rFonts w:ascii="Arial" w:hAnsi="Arial" w:cs="Arial"/>
          <w:spacing w:val="-3"/>
          <w:w w:val="150"/>
          <w:sz w:val="28"/>
          <w:szCs w:val="18"/>
        </w:rPr>
        <w:t>A</w:t>
      </w:r>
      <w:r>
        <w:rPr>
          <w:rFonts w:ascii="Arial" w:hAnsi="Arial"/>
          <w:w w:val="150"/>
          <w:sz w:val="18"/>
          <w:szCs w:val="18"/>
        </w:rPr>
        <w:t xml:space="preserve">LBERTO </w:t>
      </w:r>
      <w:r>
        <w:rPr>
          <w:rFonts w:ascii="Arial" w:hAnsi="Arial" w:cs="Arial"/>
          <w:spacing w:val="-3"/>
          <w:w w:val="150"/>
          <w:sz w:val="28"/>
          <w:szCs w:val="18"/>
        </w:rPr>
        <w:t>S</w:t>
      </w:r>
      <w:r>
        <w:rPr>
          <w:rFonts w:ascii="Arial" w:hAnsi="Arial" w:cs="Arial"/>
          <w:spacing w:val="-3"/>
          <w:w w:val="150"/>
          <w:sz w:val="18"/>
          <w:szCs w:val="16"/>
        </w:rPr>
        <w:t xml:space="preserve">ARAZA </w:t>
      </w:r>
      <w:r>
        <w:rPr>
          <w:rFonts w:ascii="Arial" w:hAnsi="Arial" w:cs="Arial"/>
          <w:spacing w:val="-3"/>
          <w:w w:val="150"/>
          <w:sz w:val="28"/>
          <w:szCs w:val="18"/>
        </w:rPr>
        <w:t>N.</w:t>
      </w:r>
    </w:p>
    <w:p w:rsidR="00BD5831" w:rsidRDefault="0017096D" w:rsidP="00BD583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w w:val="150"/>
          <w:sz w:val="18"/>
          <w:lang w:val="en-GB"/>
        </w:rPr>
      </w:pPr>
      <w:r>
        <w:rPr>
          <w:rFonts w:ascii="Arial" w:hAnsi="Arial" w:cs="Arial"/>
          <w:w w:val="150"/>
          <w:sz w:val="28"/>
          <w:lang w:val="en-GB"/>
        </w:rPr>
        <w:t>M</w:t>
      </w:r>
      <w:r>
        <w:rPr>
          <w:rFonts w:ascii="Arial" w:hAnsi="Arial" w:cs="Arial"/>
          <w:w w:val="150"/>
          <w:sz w:val="18"/>
          <w:lang w:val="en-GB"/>
        </w:rPr>
        <w:t xml:space="preserve"> A G I S T R A D O </w:t>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28"/>
          <w:lang w:val="en-GB"/>
        </w:rPr>
        <w:t>M</w:t>
      </w:r>
      <w:r>
        <w:rPr>
          <w:rFonts w:ascii="Arial" w:hAnsi="Arial" w:cs="Arial"/>
          <w:w w:val="150"/>
          <w:sz w:val="18"/>
          <w:lang w:val="en-GB"/>
        </w:rPr>
        <w:t xml:space="preserve"> A G I S T R A D O</w:t>
      </w:r>
      <w:r w:rsidR="00BD5831">
        <w:rPr>
          <w:rFonts w:ascii="Arial" w:hAnsi="Arial" w:cs="Arial"/>
          <w:w w:val="150"/>
          <w:sz w:val="18"/>
          <w:lang w:val="en-GB"/>
        </w:rPr>
        <w:t xml:space="preserve">  </w:t>
      </w:r>
    </w:p>
    <w:p w:rsidR="00AC7177" w:rsidRDefault="00BD5831" w:rsidP="00BD583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w w:val="150"/>
          <w:sz w:val="16"/>
        </w:rPr>
      </w:pP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t xml:space="preserve">     </w:t>
      </w:r>
    </w:p>
    <w:p w:rsidR="00350057" w:rsidRPr="00BD5831" w:rsidRDefault="00AC7177" w:rsidP="00BD583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mallCaps/>
          <w:sz w:val="22"/>
          <w:lang w:val="en-US"/>
        </w:rPr>
      </w:pP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sidR="00BD5831">
        <w:rPr>
          <w:rFonts w:ascii="Arial" w:hAnsi="Arial" w:cs="Times New Roman"/>
          <w:i/>
          <w:smallCaps/>
          <w:spacing w:val="-3"/>
          <w:sz w:val="8"/>
          <w:szCs w:val="16"/>
          <w:lang w:val="en-US"/>
        </w:rPr>
        <w:t>DGH / ODCD / 2016</w:t>
      </w:r>
      <w:bookmarkStart w:id="0" w:name="_GoBack"/>
      <w:bookmarkEnd w:id="0"/>
    </w:p>
    <w:sectPr w:rsidR="00350057" w:rsidRPr="00BD5831" w:rsidSect="00D42D5F">
      <w:headerReference w:type="even" r:id="rId9"/>
      <w:headerReference w:type="default" r:id="rId10"/>
      <w:footerReference w:type="even" r:id="rId11"/>
      <w:footerReference w:type="default" r:id="rId12"/>
      <w:headerReference w:type="first" r:id="rId13"/>
      <w:footerReference w:type="first" r:id="rId14"/>
      <w:pgSz w:w="12242" w:h="18722" w:code="121"/>
      <w:pgMar w:top="1418" w:right="1134" w:bottom="1134"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7B2" w:rsidRDefault="00F477B2" w:rsidP="002F20AB">
      <w:r>
        <w:separator/>
      </w:r>
    </w:p>
  </w:endnote>
  <w:endnote w:type="continuationSeparator" w:id="0">
    <w:p w:rsidR="00F477B2" w:rsidRDefault="00F477B2"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6508CF" w:rsidRDefault="006508CF">
    <w:pPr>
      <w:pStyle w:val="Piedepgina"/>
      <w:ind w:right="360"/>
    </w:pPr>
  </w:p>
  <w:p w:rsidR="00A02133" w:rsidRDefault="00A021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F839CE" w:rsidRDefault="006508CF" w:rsidP="00A67268">
    <w:pPr>
      <w:pStyle w:val="Piedepgina"/>
      <w:pBdr>
        <w:bottom w:val="double" w:sz="6" w:space="1" w:color="auto"/>
      </w:pBdr>
      <w:spacing w:line="360" w:lineRule="auto"/>
      <w:rPr>
        <w:rFonts w:ascii="Arial" w:hAnsi="Arial" w:cs="Arial"/>
        <w:spacing w:val="20"/>
        <w:w w:val="200"/>
        <w:sz w:val="14"/>
        <w:szCs w:val="10"/>
        <w:lang w:val="es-ES"/>
      </w:rPr>
    </w:pPr>
  </w:p>
  <w:p w:rsidR="006508CF" w:rsidRDefault="006508CF" w:rsidP="00751EE2">
    <w:pPr>
      <w:pStyle w:val="Piedepgina"/>
      <w:spacing w:line="360" w:lineRule="auto"/>
      <w:jc w:val="right"/>
      <w:rPr>
        <w:rFonts w:ascii="Arial" w:hAnsi="Arial" w:cs="Arial"/>
        <w:spacing w:val="20"/>
        <w:w w:val="200"/>
        <w:sz w:val="14"/>
        <w:szCs w:val="10"/>
      </w:rPr>
    </w:pPr>
  </w:p>
  <w:p w:rsidR="006508CF" w:rsidRPr="00C53999" w:rsidRDefault="006508CF" w:rsidP="00751EE2">
    <w:pPr>
      <w:pStyle w:val="Piedepgina"/>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6508CF" w:rsidRPr="00C53999" w:rsidRDefault="006508CF" w:rsidP="00751EE2">
    <w:pPr>
      <w:pStyle w:val="Piedepgina"/>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C53999" w:rsidRDefault="006508CF"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7B2" w:rsidRDefault="00F477B2" w:rsidP="002F20AB">
      <w:r>
        <w:separator/>
      </w:r>
    </w:p>
  </w:footnote>
  <w:footnote w:type="continuationSeparator" w:id="0">
    <w:p w:rsidR="00F477B2" w:rsidRDefault="00F477B2" w:rsidP="002F20AB">
      <w:r>
        <w:continuationSeparator/>
      </w:r>
    </w:p>
  </w:footnote>
  <w:footnote w:id="1">
    <w:p w:rsidR="008D2CD7" w:rsidRPr="00E27425" w:rsidRDefault="008D2CD7" w:rsidP="008D2CD7">
      <w:pPr>
        <w:pStyle w:val="Textonotapie"/>
        <w:jc w:val="both"/>
        <w:rPr>
          <w:lang w:val="es-CO"/>
        </w:rPr>
      </w:pPr>
      <w:r w:rsidRPr="00E27425">
        <w:rPr>
          <w:rStyle w:val="Refdenotaalpie"/>
          <w:rFonts w:ascii="Calibri" w:hAnsi="Calibri" w:cs="Calibri"/>
          <w:lang w:val="es-CO"/>
        </w:rPr>
        <w:footnoteRef/>
      </w:r>
      <w:r w:rsidRPr="00E27425">
        <w:rPr>
          <w:rFonts w:ascii="Calibri" w:hAnsi="Calibri" w:cs="Calibri"/>
          <w:lang w:val="es-CO"/>
        </w:rPr>
        <w:t xml:space="preserve"> QUINCHE RAMÍREZ, Manuel Fernando. Vías de hecho, acción de tutela contra providencias, Editorial Temis SA, Bogotá, 2013, p.103.</w:t>
      </w:r>
    </w:p>
  </w:footnote>
  <w:footnote w:id="2">
    <w:p w:rsidR="008D2CD7" w:rsidRPr="00E27425" w:rsidRDefault="008D2CD7" w:rsidP="008D2CD7">
      <w:pPr>
        <w:pStyle w:val="Textonotapie"/>
        <w:jc w:val="both"/>
        <w:rPr>
          <w:rFonts w:ascii="Calibri" w:hAnsi="Calibri"/>
          <w:lang w:val="es-CO"/>
        </w:rPr>
      </w:pPr>
      <w:r w:rsidRPr="00E27425">
        <w:rPr>
          <w:rStyle w:val="Refdenotaalpie"/>
          <w:rFonts w:ascii="Calibri" w:hAnsi="Calibri" w:cs="Calibri"/>
          <w:lang w:val="es-CO"/>
        </w:rPr>
        <w:footnoteRef/>
      </w:r>
      <w:r w:rsidRPr="00E27425">
        <w:rPr>
          <w:rFonts w:ascii="Calibri" w:hAnsi="Calibri" w:cs="Calibri"/>
          <w:lang w:val="es-CO"/>
        </w:rPr>
        <w:t xml:space="preserve"> CORTE CONSTITUCIONAL. Sentencia T-917 de 2011.</w:t>
      </w:r>
    </w:p>
  </w:footnote>
  <w:footnote w:id="3">
    <w:p w:rsidR="008D2CD7" w:rsidRPr="00E27425" w:rsidRDefault="008D2CD7" w:rsidP="008D2CD7">
      <w:pPr>
        <w:pStyle w:val="Textonotapie"/>
        <w:jc w:val="both"/>
        <w:rPr>
          <w:rFonts w:ascii="Calibri" w:hAnsi="Calibri"/>
          <w:lang w:val="es-CO"/>
        </w:rPr>
      </w:pPr>
      <w:r w:rsidRPr="00E27425">
        <w:rPr>
          <w:rStyle w:val="Refdenotaalpie"/>
          <w:rFonts w:ascii="Calibri" w:hAnsi="Calibri" w:cs="Calibri"/>
          <w:lang w:val="es-CO"/>
        </w:rPr>
        <w:footnoteRef/>
      </w:r>
      <w:r w:rsidRPr="00E27425">
        <w:rPr>
          <w:rFonts w:ascii="Calibri" w:hAnsi="Calibri" w:cs="Calibri"/>
          <w:lang w:val="es-CO"/>
        </w:rPr>
        <w:t xml:space="preserve"> CORTE CONSTITUCIONAL. Sentencia C-590 de 2005.</w:t>
      </w:r>
    </w:p>
  </w:footnote>
  <w:footnote w:id="4">
    <w:p w:rsidR="008D2CD7" w:rsidRPr="00E27425" w:rsidRDefault="008D2CD7" w:rsidP="008D2CD7">
      <w:pPr>
        <w:pStyle w:val="Textonotapie"/>
        <w:jc w:val="both"/>
        <w:rPr>
          <w:rFonts w:ascii="Calibri" w:hAnsi="Calibri"/>
          <w:lang w:val="es-CO"/>
        </w:rPr>
      </w:pPr>
      <w:r w:rsidRPr="00E27425">
        <w:rPr>
          <w:rStyle w:val="Refdenotaalpie"/>
          <w:rFonts w:ascii="Calibri" w:hAnsi="Calibri" w:cs="Calibri"/>
          <w:lang w:val="es-CO"/>
        </w:rPr>
        <w:footnoteRef/>
      </w:r>
      <w:r w:rsidRPr="00E27425">
        <w:rPr>
          <w:rFonts w:ascii="Calibri" w:hAnsi="Calibri" w:cs="Calibri"/>
          <w:lang w:val="es-CO"/>
        </w:rPr>
        <w:t xml:space="preserve"> CORTE CONSTITUCIONAL. Sentencia T-064 de 2015.</w:t>
      </w:r>
    </w:p>
  </w:footnote>
  <w:footnote w:id="5">
    <w:p w:rsidR="008D2CD7" w:rsidRPr="00E27425" w:rsidRDefault="008D2CD7" w:rsidP="00E27425">
      <w:pPr>
        <w:pStyle w:val="Textonotapie"/>
        <w:jc w:val="both"/>
        <w:rPr>
          <w:rFonts w:asciiTheme="minorHAnsi" w:hAnsiTheme="minorHAnsi"/>
          <w:lang w:val="es-CO"/>
        </w:rPr>
      </w:pPr>
      <w:r w:rsidRPr="00E27425">
        <w:rPr>
          <w:rStyle w:val="Refdenotaalpie"/>
          <w:rFonts w:asciiTheme="minorHAnsi" w:hAnsiTheme="minorHAnsi"/>
          <w:lang w:val="es-CO"/>
        </w:rPr>
        <w:footnoteRef/>
      </w:r>
      <w:r w:rsidRPr="00E27425">
        <w:rPr>
          <w:rFonts w:asciiTheme="minorHAnsi" w:hAnsiTheme="minorHAnsi"/>
          <w:lang w:val="es-CO"/>
        </w:rPr>
        <w:t xml:space="preserve"> </w:t>
      </w:r>
      <w:r w:rsidRPr="00E27425">
        <w:rPr>
          <w:rFonts w:asciiTheme="minorHAnsi" w:hAnsiTheme="minorHAnsi" w:cs="Calibri"/>
          <w:lang w:val="es-CO"/>
        </w:rPr>
        <w:t>CORTE CONSTITUCIONAL. Sentencia T-307 de 2015</w:t>
      </w:r>
    </w:p>
  </w:footnote>
  <w:footnote w:id="6">
    <w:p w:rsidR="008D2CD7" w:rsidRPr="00E27425" w:rsidRDefault="008D2CD7" w:rsidP="00E27425">
      <w:pPr>
        <w:pStyle w:val="Textonotapie"/>
        <w:jc w:val="both"/>
        <w:rPr>
          <w:rFonts w:asciiTheme="minorHAnsi" w:hAnsiTheme="minorHAnsi"/>
          <w:lang w:val="es-CO"/>
        </w:rPr>
      </w:pPr>
      <w:r w:rsidRPr="00E27425">
        <w:rPr>
          <w:rFonts w:asciiTheme="minorHAnsi" w:hAnsiTheme="minorHAnsi" w:cs="Calibri"/>
          <w:vertAlign w:val="superscript"/>
          <w:lang w:val="es-CO"/>
        </w:rPr>
        <w:footnoteRef/>
      </w:r>
      <w:r w:rsidRPr="00E27425">
        <w:rPr>
          <w:rFonts w:asciiTheme="minorHAnsi" w:hAnsiTheme="minorHAnsi" w:cs="Calibri"/>
          <w:lang w:val="es-CO"/>
        </w:rPr>
        <w:t xml:space="preserve"> ESCUELA JUDICIAL RODRIGO LARA BONILLA. La acción de tutela en el ordenamiento constitucional colombiano, Universidad Nacional de Colombia, Catalina Botero Marino, Ediprime Ltda., 2006, p.61-75.</w:t>
      </w:r>
    </w:p>
  </w:footnote>
  <w:footnote w:id="7">
    <w:p w:rsidR="008D2CD7" w:rsidRPr="00E27425" w:rsidRDefault="008D2CD7" w:rsidP="00E27425">
      <w:pPr>
        <w:pStyle w:val="Textonotapie"/>
        <w:jc w:val="both"/>
        <w:rPr>
          <w:rFonts w:asciiTheme="minorHAnsi" w:hAnsiTheme="minorHAnsi"/>
          <w:lang w:val="es-CO"/>
        </w:rPr>
      </w:pPr>
      <w:r w:rsidRPr="00E27425">
        <w:rPr>
          <w:rStyle w:val="Refdenotaalpie"/>
          <w:rFonts w:asciiTheme="minorHAnsi" w:hAnsiTheme="minorHAnsi" w:cs="Calibri"/>
          <w:lang w:val="es-CO"/>
        </w:rPr>
        <w:footnoteRef/>
      </w:r>
      <w:r w:rsidRPr="00E27425">
        <w:rPr>
          <w:rFonts w:asciiTheme="minorHAnsi" w:hAnsiTheme="minorHAnsi" w:cs="Calibri"/>
          <w:lang w:val="es-CO"/>
        </w:rPr>
        <w:t xml:space="preserve"> QUINCHE RAMÍREZ, Manuel Fernando. La acción de tutela, el amparo en Colombia, Bogotá DC, 2011, p.233-285.</w:t>
      </w:r>
    </w:p>
  </w:footnote>
  <w:footnote w:id="8">
    <w:p w:rsidR="00117D2E" w:rsidRPr="00E27425" w:rsidRDefault="00117D2E" w:rsidP="00E27425">
      <w:pPr>
        <w:pStyle w:val="Textonotapie"/>
        <w:jc w:val="both"/>
        <w:rPr>
          <w:rFonts w:asciiTheme="minorHAnsi" w:hAnsiTheme="minorHAnsi"/>
          <w:lang w:val="es-CO"/>
        </w:rPr>
      </w:pPr>
      <w:r w:rsidRPr="00E27425">
        <w:rPr>
          <w:rStyle w:val="Refdenotaalpie"/>
          <w:rFonts w:asciiTheme="minorHAnsi" w:hAnsiTheme="minorHAnsi" w:cs="Calibri"/>
          <w:lang w:val="es-CO"/>
        </w:rPr>
        <w:footnoteRef/>
      </w:r>
      <w:r w:rsidRPr="00E27425">
        <w:rPr>
          <w:rFonts w:asciiTheme="minorHAnsi" w:hAnsiTheme="minorHAnsi" w:cs="Calibri"/>
          <w:lang w:val="es-CO"/>
        </w:rPr>
        <w:t xml:space="preserve"> CORTE CONSTITUCIONAL.  Sentencia</w:t>
      </w:r>
      <w:r w:rsidR="00351422" w:rsidRPr="00E27425">
        <w:rPr>
          <w:rFonts w:asciiTheme="minorHAnsi" w:hAnsiTheme="minorHAnsi" w:cs="Calibri"/>
          <w:lang w:val="es-CO"/>
        </w:rPr>
        <w:t xml:space="preserve">s SU-961 de 1999, </w:t>
      </w:r>
      <w:r w:rsidRPr="00E27425">
        <w:rPr>
          <w:rFonts w:asciiTheme="minorHAnsi" w:hAnsiTheme="minorHAnsi" w:cs="Calibri"/>
          <w:lang w:val="es-CO"/>
        </w:rPr>
        <w:t>T-890 de</w:t>
      </w:r>
      <w:r w:rsidR="00351422" w:rsidRPr="00E27425">
        <w:rPr>
          <w:rFonts w:asciiTheme="minorHAnsi" w:hAnsiTheme="minorHAnsi" w:cs="Calibri"/>
          <w:lang w:val="es-CO"/>
        </w:rPr>
        <w:t xml:space="preserve"> </w:t>
      </w:r>
      <w:r w:rsidRPr="00E27425">
        <w:rPr>
          <w:rFonts w:asciiTheme="minorHAnsi" w:hAnsiTheme="minorHAnsi" w:cs="Calibri"/>
          <w:lang w:val="es-CO"/>
        </w:rPr>
        <w:t>2006</w:t>
      </w:r>
      <w:r w:rsidR="00351422" w:rsidRPr="00E27425">
        <w:rPr>
          <w:rFonts w:asciiTheme="minorHAnsi" w:hAnsiTheme="minorHAnsi" w:cs="Calibri"/>
          <w:lang w:val="es-CO"/>
        </w:rPr>
        <w:t>, T-548 de 2011, T-172 de 2013</w:t>
      </w:r>
      <w:r w:rsidRPr="00E27425">
        <w:rPr>
          <w:rFonts w:asciiTheme="minorHAnsi" w:hAnsiTheme="minorHAnsi" w:cs="Calibri"/>
          <w:lang w:val="es-CO"/>
        </w:rPr>
        <w:t>.</w:t>
      </w:r>
    </w:p>
  </w:footnote>
  <w:footnote w:id="9">
    <w:p w:rsidR="00117D2E" w:rsidRPr="00E27425" w:rsidRDefault="00117D2E" w:rsidP="00E27425">
      <w:pPr>
        <w:pStyle w:val="Textonotapie"/>
        <w:jc w:val="both"/>
        <w:rPr>
          <w:rFonts w:asciiTheme="minorHAnsi" w:hAnsiTheme="minorHAnsi"/>
          <w:lang w:val="es-CO"/>
        </w:rPr>
      </w:pPr>
      <w:r w:rsidRPr="00E27425">
        <w:rPr>
          <w:rStyle w:val="Refdenotaalpie"/>
          <w:rFonts w:asciiTheme="minorHAnsi" w:hAnsiTheme="minorHAnsi" w:cs="Calibri"/>
          <w:lang w:val="es-CO"/>
        </w:rPr>
        <w:footnoteRef/>
      </w:r>
      <w:r w:rsidRPr="00E27425">
        <w:rPr>
          <w:rFonts w:asciiTheme="minorHAnsi" w:hAnsiTheme="minorHAnsi" w:cs="Calibri"/>
          <w:lang w:val="es-CO"/>
        </w:rPr>
        <w:t xml:space="preserve"> CORTE SUPREMA DE JUSTICIA, Sala de Casación Civil. Sentencia del 09-03-2011.</w:t>
      </w:r>
    </w:p>
  </w:footnote>
  <w:footnote w:id="10">
    <w:p w:rsidR="00117D2E" w:rsidRPr="00E27425" w:rsidRDefault="00117D2E" w:rsidP="00E27425">
      <w:pPr>
        <w:pStyle w:val="Textonotapie"/>
        <w:jc w:val="both"/>
        <w:rPr>
          <w:rFonts w:asciiTheme="minorHAnsi" w:hAnsiTheme="minorHAnsi"/>
          <w:lang w:val="es-CO"/>
        </w:rPr>
      </w:pPr>
      <w:r w:rsidRPr="00E27425">
        <w:rPr>
          <w:rStyle w:val="Refdenotaalpie"/>
          <w:rFonts w:asciiTheme="minorHAnsi" w:hAnsiTheme="minorHAnsi" w:cs="Calibri"/>
          <w:lang w:val="es-CO"/>
        </w:rPr>
        <w:footnoteRef/>
      </w:r>
      <w:r w:rsidRPr="00E27425">
        <w:rPr>
          <w:rFonts w:asciiTheme="minorHAnsi" w:hAnsiTheme="minorHAnsi" w:cs="Calibri"/>
          <w:lang w:val="es-CO"/>
        </w:rPr>
        <w:t xml:space="preserve"> CORTE CONSTITUCIONAL.  Sentencia T-1079 del 05-11-2008.</w:t>
      </w:r>
    </w:p>
  </w:footnote>
  <w:footnote w:id="11">
    <w:p w:rsidR="00E27425" w:rsidRPr="00E27425" w:rsidRDefault="00E27425" w:rsidP="00E27425">
      <w:pPr>
        <w:pStyle w:val="Textonotapie"/>
        <w:jc w:val="both"/>
        <w:rPr>
          <w:rFonts w:asciiTheme="minorHAnsi" w:hAnsiTheme="minorHAnsi"/>
          <w:lang w:val="es-CO"/>
        </w:rPr>
      </w:pPr>
      <w:r w:rsidRPr="00E27425">
        <w:rPr>
          <w:rStyle w:val="Refdenotaalpie"/>
          <w:rFonts w:asciiTheme="minorHAnsi" w:hAnsiTheme="minorHAnsi"/>
          <w:lang w:val="es-CO"/>
        </w:rPr>
        <w:footnoteRef/>
      </w:r>
      <w:r w:rsidRPr="00E27425">
        <w:rPr>
          <w:rFonts w:asciiTheme="minorHAnsi" w:hAnsiTheme="minorHAnsi"/>
          <w:lang w:val="es-CO"/>
        </w:rPr>
        <w:t xml:space="preserve"> CORTE SUPREMA DE JUSTICIA, Sala de Casación Penal – Sala de decisión de tutelas No.3. Sentencia del 11-03-2014, MP. Eugenio Fernández Carlier.</w:t>
      </w:r>
    </w:p>
  </w:footnote>
  <w:footnote w:id="12">
    <w:p w:rsidR="00E27425" w:rsidRPr="00E27425" w:rsidRDefault="00E27425" w:rsidP="00E27425">
      <w:pPr>
        <w:pStyle w:val="Textonotapie"/>
        <w:jc w:val="both"/>
        <w:rPr>
          <w:rFonts w:asciiTheme="minorHAnsi" w:hAnsiTheme="minorHAnsi"/>
          <w:b/>
          <w:lang w:val="es-CO"/>
        </w:rPr>
      </w:pPr>
      <w:r w:rsidRPr="00E27425">
        <w:rPr>
          <w:rStyle w:val="Refdenotaalpie"/>
          <w:rFonts w:asciiTheme="minorHAnsi" w:hAnsiTheme="minorHAnsi"/>
          <w:lang w:val="es-CO"/>
        </w:rPr>
        <w:footnoteRef/>
      </w:r>
      <w:r w:rsidRPr="00E27425">
        <w:rPr>
          <w:rFonts w:asciiTheme="minorHAnsi" w:hAnsiTheme="minorHAnsi"/>
          <w:lang w:val="es-CO"/>
        </w:rPr>
        <w:t xml:space="preserve"> CORTE SUPREMA DE JUSTICIA, Sala de Casación Civil. Sentencia </w:t>
      </w:r>
      <w:r w:rsidRPr="00E27425">
        <w:rPr>
          <w:rFonts w:asciiTheme="minorHAnsi" w:hAnsiTheme="minorHAnsi"/>
          <w:iCs/>
          <w:lang w:val="es-CO"/>
        </w:rPr>
        <w:t>del 29-04-2009, exp.00624-00, reiterada en la sentencia STC7438-2015.</w:t>
      </w:r>
    </w:p>
  </w:footnote>
  <w:footnote w:id="13">
    <w:p w:rsidR="00117D2E" w:rsidRPr="00E27425" w:rsidRDefault="00117D2E" w:rsidP="00117D2E">
      <w:pPr>
        <w:pStyle w:val="Textonotapie"/>
        <w:jc w:val="both"/>
        <w:rPr>
          <w:rFonts w:asciiTheme="minorHAnsi" w:hAnsiTheme="minorHAnsi"/>
          <w:lang w:val="es-CO"/>
        </w:rPr>
      </w:pPr>
      <w:r w:rsidRPr="00E27425">
        <w:rPr>
          <w:rStyle w:val="Refdenotaalpie"/>
          <w:rFonts w:asciiTheme="minorHAnsi" w:hAnsiTheme="minorHAnsi" w:cs="Calibri"/>
          <w:lang w:val="es-CO"/>
        </w:rPr>
        <w:footnoteRef/>
      </w:r>
      <w:r w:rsidRPr="00E27425">
        <w:rPr>
          <w:rFonts w:asciiTheme="minorHAnsi" w:hAnsiTheme="minorHAnsi" w:cs="Calibri"/>
          <w:lang w:val="es-CO"/>
        </w:rPr>
        <w:t xml:space="preserve"> CORTE CONSTITUCIONAL. Sentencia T-016 del 25-01-2006.</w:t>
      </w:r>
    </w:p>
  </w:footnote>
  <w:footnote w:id="14">
    <w:p w:rsidR="00117D2E" w:rsidRPr="00E27425" w:rsidRDefault="00117D2E" w:rsidP="00117D2E">
      <w:pPr>
        <w:pStyle w:val="Textonotapie"/>
        <w:jc w:val="both"/>
        <w:rPr>
          <w:rFonts w:asciiTheme="minorHAnsi" w:hAnsiTheme="minorHAnsi"/>
          <w:lang w:val="es-CO"/>
        </w:rPr>
      </w:pPr>
      <w:r w:rsidRPr="00E27425">
        <w:rPr>
          <w:rStyle w:val="Refdenotaalpie"/>
          <w:rFonts w:asciiTheme="minorHAnsi" w:hAnsiTheme="minorHAnsi" w:cs="Calibri"/>
          <w:lang w:val="es-CO"/>
        </w:rPr>
        <w:footnoteRef/>
      </w:r>
      <w:r w:rsidRPr="00E27425">
        <w:rPr>
          <w:rFonts w:asciiTheme="minorHAnsi" w:hAnsiTheme="minorHAnsi" w:cs="Calibri"/>
          <w:lang w:val="es-CO"/>
        </w:rPr>
        <w:t xml:space="preserve"> CORTE CONSTITUCIONAL. Sentencia T-684 del 08-08-2003.</w:t>
      </w:r>
    </w:p>
  </w:footnote>
  <w:footnote w:id="15">
    <w:p w:rsidR="00117D2E" w:rsidRPr="00E27425" w:rsidRDefault="00117D2E" w:rsidP="00117D2E">
      <w:pPr>
        <w:pStyle w:val="Textonotapie"/>
        <w:jc w:val="both"/>
        <w:rPr>
          <w:rFonts w:asciiTheme="minorHAnsi" w:hAnsiTheme="minorHAnsi"/>
          <w:lang w:val="es-CO"/>
        </w:rPr>
      </w:pPr>
      <w:r w:rsidRPr="00E27425">
        <w:rPr>
          <w:rStyle w:val="Refdenotaalpie"/>
          <w:rFonts w:asciiTheme="minorHAnsi" w:hAnsiTheme="minorHAnsi" w:cs="Calibri"/>
          <w:lang w:val="es-CO"/>
        </w:rPr>
        <w:footnoteRef/>
      </w:r>
      <w:r w:rsidRPr="00E27425">
        <w:rPr>
          <w:rFonts w:asciiTheme="minorHAnsi" w:hAnsiTheme="minorHAnsi" w:cs="Calibri"/>
          <w:lang w:val="es-CO"/>
        </w:rPr>
        <w:t xml:space="preserve"> QUINCHE RAMÍREZ, Manuel Fernando. La acción de tutela, el amparo en Colombia, Temis, Bogotá DC, 2011, p.105-106.</w:t>
      </w:r>
    </w:p>
  </w:footnote>
  <w:footnote w:id="16">
    <w:p w:rsidR="00117D2E" w:rsidRPr="00E27425" w:rsidRDefault="00117D2E" w:rsidP="00117D2E">
      <w:pPr>
        <w:pStyle w:val="Textonotapie"/>
        <w:rPr>
          <w:rFonts w:asciiTheme="minorHAnsi" w:hAnsiTheme="minorHAnsi"/>
          <w:lang w:val="es-CO"/>
        </w:rPr>
      </w:pPr>
      <w:r w:rsidRPr="00E27425">
        <w:rPr>
          <w:rStyle w:val="Refdenotaalpie"/>
          <w:rFonts w:asciiTheme="minorHAnsi" w:hAnsiTheme="minorHAnsi" w:cs="Calibri"/>
          <w:lang w:val="es-CO"/>
        </w:rPr>
        <w:footnoteRef/>
      </w:r>
      <w:r w:rsidRPr="00E27425">
        <w:rPr>
          <w:rFonts w:asciiTheme="minorHAnsi" w:hAnsiTheme="minorHAnsi" w:cs="Calibri"/>
          <w:lang w:val="es-CO"/>
        </w:rPr>
        <w:t xml:space="preserve"> CORTE CONSTITUCIONAL. Sentencia T-2</w:t>
      </w:r>
      <w:r w:rsidR="007E1963" w:rsidRPr="00E27425">
        <w:rPr>
          <w:rFonts w:asciiTheme="minorHAnsi" w:hAnsiTheme="minorHAnsi" w:cs="Calibri"/>
          <w:lang w:val="es-CO"/>
        </w:rPr>
        <w:t>07</w:t>
      </w:r>
      <w:r w:rsidRPr="00E27425">
        <w:rPr>
          <w:rFonts w:asciiTheme="minorHAnsi" w:hAnsiTheme="minorHAnsi" w:cs="Calibri"/>
          <w:lang w:val="es-CO"/>
        </w:rPr>
        <w:t xml:space="preserve"> del </w:t>
      </w:r>
      <w:r w:rsidR="007E1963" w:rsidRPr="00E27425">
        <w:rPr>
          <w:rFonts w:asciiTheme="minorHAnsi" w:hAnsiTheme="minorHAnsi" w:cs="Calibri"/>
          <w:lang w:val="es-CO"/>
        </w:rPr>
        <w:t>20</w:t>
      </w:r>
      <w:r w:rsidRPr="00E27425">
        <w:rPr>
          <w:rFonts w:asciiTheme="minorHAnsi" w:hAnsiTheme="minorHAnsi" w:cs="Calibri"/>
          <w:lang w:val="es-CO"/>
        </w:rPr>
        <w:t>-04-201</w:t>
      </w:r>
      <w:r w:rsidR="007E1963" w:rsidRPr="00E27425">
        <w:rPr>
          <w:rFonts w:asciiTheme="minorHAnsi" w:hAnsiTheme="minorHAnsi" w:cs="Calibri"/>
          <w:lang w:val="es-CO"/>
        </w:rPr>
        <w:t>5</w:t>
      </w:r>
      <w:r w:rsidRPr="00E27425">
        <w:rPr>
          <w:rFonts w:asciiTheme="minorHAnsi" w:hAnsiTheme="minorHAnsi" w:cs="Calibri"/>
          <w:lang w:val="es-CO"/>
        </w:rPr>
        <w:t>.</w:t>
      </w:r>
    </w:p>
  </w:footnote>
  <w:footnote w:id="17">
    <w:p w:rsidR="00680DC6" w:rsidRPr="00E27425" w:rsidRDefault="00680DC6" w:rsidP="00680DC6">
      <w:pPr>
        <w:pStyle w:val="Textonotapie"/>
        <w:jc w:val="both"/>
        <w:rPr>
          <w:lang w:val="es-CO"/>
        </w:rPr>
      </w:pPr>
      <w:r w:rsidRPr="00E27425">
        <w:rPr>
          <w:rStyle w:val="Refdenotaalpie"/>
          <w:rFonts w:ascii="Calibri" w:hAnsi="Calibri"/>
          <w:lang w:val="es-CO"/>
        </w:rPr>
        <w:footnoteRef/>
      </w:r>
      <w:r w:rsidRPr="00E27425">
        <w:rPr>
          <w:rFonts w:ascii="Calibri" w:hAnsi="Calibri"/>
          <w:lang w:val="es-CO"/>
        </w:rPr>
        <w:t xml:space="preserve"> </w:t>
      </w:r>
      <w:r w:rsidRPr="00E27425">
        <w:rPr>
          <w:rFonts w:ascii="Calibri" w:hAnsi="Calibri" w:cs="Calibri"/>
          <w:lang w:val="es-CO"/>
        </w:rPr>
        <w:t xml:space="preserve">CORTE CONSTITUCIONAL. Sentencia T-134 de 1994. </w:t>
      </w:r>
    </w:p>
  </w:footnote>
  <w:footnote w:id="18">
    <w:p w:rsidR="00680DC6" w:rsidRPr="00E27425" w:rsidRDefault="00680DC6" w:rsidP="00680DC6">
      <w:pPr>
        <w:pStyle w:val="Textonotapie"/>
        <w:rPr>
          <w:lang w:val="es-CO"/>
        </w:rPr>
      </w:pPr>
      <w:r w:rsidRPr="00E27425">
        <w:rPr>
          <w:rStyle w:val="Refdenotaalpie"/>
          <w:lang w:val="es-CO"/>
        </w:rPr>
        <w:footnoteRef/>
      </w:r>
      <w:r w:rsidRPr="00E27425">
        <w:rPr>
          <w:lang w:val="es-CO"/>
        </w:rPr>
        <w:t xml:space="preserve"> </w:t>
      </w:r>
      <w:r w:rsidRPr="00E27425">
        <w:rPr>
          <w:rFonts w:ascii="Calibri" w:hAnsi="Calibri" w:cs="Calibri"/>
          <w:lang w:val="es-CO"/>
        </w:rPr>
        <w:t>CORTE CONSTITUCIONAL. Sentencia T-103 de 2014.</w:t>
      </w:r>
    </w:p>
  </w:footnote>
  <w:footnote w:id="19">
    <w:p w:rsidR="00680DC6" w:rsidRPr="00E27425" w:rsidRDefault="00680DC6" w:rsidP="00680DC6">
      <w:pPr>
        <w:pStyle w:val="Textonotapie"/>
        <w:jc w:val="both"/>
        <w:rPr>
          <w:lang w:val="es-CO"/>
        </w:rPr>
      </w:pPr>
      <w:r w:rsidRPr="00E27425">
        <w:rPr>
          <w:rStyle w:val="Refdenotaalpie"/>
          <w:rFonts w:ascii="Calibri" w:hAnsi="Calibri" w:cs="Calibri"/>
          <w:lang w:val="es-CO"/>
        </w:rPr>
        <w:footnoteRef/>
      </w:r>
      <w:r w:rsidRPr="00E27425">
        <w:rPr>
          <w:rFonts w:ascii="Calibri" w:hAnsi="Calibri" w:cs="Calibri"/>
          <w:lang w:val="es-CO"/>
        </w:rPr>
        <w:t xml:space="preserve"> CORTE CONSTITUCIONAL. Sentencia T-567 de 1998.</w:t>
      </w:r>
    </w:p>
  </w:footnote>
  <w:footnote w:id="20">
    <w:p w:rsidR="00680DC6" w:rsidRPr="00E27425" w:rsidRDefault="00680DC6" w:rsidP="00680DC6">
      <w:pPr>
        <w:pStyle w:val="Textonotapie"/>
        <w:jc w:val="both"/>
        <w:rPr>
          <w:lang w:val="es-CO"/>
        </w:rPr>
      </w:pPr>
      <w:r w:rsidRPr="00E27425">
        <w:rPr>
          <w:rStyle w:val="Refdenotaalpie"/>
          <w:rFonts w:ascii="Calibri" w:hAnsi="Calibri"/>
          <w:lang w:val="es-CO"/>
        </w:rPr>
        <w:footnoteRef/>
      </w:r>
      <w:r w:rsidRPr="00E27425">
        <w:rPr>
          <w:rFonts w:ascii="Calibri" w:hAnsi="Calibri"/>
          <w:lang w:val="es-CO"/>
        </w:rPr>
        <w:t xml:space="preserve"> </w:t>
      </w:r>
      <w:r w:rsidRPr="00E27425">
        <w:rPr>
          <w:rFonts w:ascii="Calibri" w:hAnsi="Calibri" w:cs="Calibri"/>
          <w:lang w:val="es-CO"/>
        </w:rPr>
        <w:t>CORTE CONSTITUCIONAL. Sentencia T-662 de 2013.</w:t>
      </w:r>
    </w:p>
  </w:footnote>
  <w:footnote w:id="21">
    <w:p w:rsidR="00680DC6" w:rsidRPr="00E27425" w:rsidRDefault="00680DC6" w:rsidP="00680DC6">
      <w:pPr>
        <w:pStyle w:val="Textonotapie"/>
        <w:jc w:val="both"/>
        <w:rPr>
          <w:lang w:val="es-CO"/>
        </w:rPr>
      </w:pPr>
      <w:r w:rsidRPr="00E27425">
        <w:rPr>
          <w:rStyle w:val="Refdenotaalpie"/>
          <w:rFonts w:ascii="Calibri" w:hAnsi="Calibri" w:cs="Calibri"/>
          <w:lang w:val="es-CO"/>
        </w:rPr>
        <w:footnoteRef/>
      </w:r>
      <w:r w:rsidRPr="00E27425">
        <w:rPr>
          <w:rFonts w:ascii="Calibri" w:hAnsi="Calibri" w:cs="Calibri"/>
          <w:lang w:val="es-CO"/>
        </w:rPr>
        <w:t xml:space="preserve"> CORTE SUPREMA DE JUSTICIA, Sala de Casación Civil. Sentencia del 02-09-2014, MP: Margarita Cabello Blanco, expediente No.23001 22 14 000 2014 00097 01</w:t>
      </w:r>
      <w:r w:rsidRPr="00E27425">
        <w:rPr>
          <w:rFonts w:ascii="Calibri" w:hAnsi="Calibri" w:cs="Calibri"/>
          <w:w w:val="110"/>
          <w:lang w:val="es-CO"/>
        </w:rPr>
        <w:t>.</w:t>
      </w:r>
    </w:p>
  </w:footnote>
  <w:footnote w:id="22">
    <w:p w:rsidR="00680DC6" w:rsidRPr="00E27425" w:rsidRDefault="00680DC6" w:rsidP="00680DC6">
      <w:pPr>
        <w:pStyle w:val="Textonotapie"/>
        <w:jc w:val="both"/>
        <w:rPr>
          <w:rFonts w:ascii="Calibri" w:hAnsi="Calibri"/>
          <w:lang w:val="es-CO"/>
        </w:rPr>
      </w:pPr>
      <w:r w:rsidRPr="00E27425">
        <w:rPr>
          <w:rStyle w:val="Refdenotaalpie"/>
          <w:lang w:val="es-CO"/>
        </w:rPr>
        <w:footnoteRef/>
      </w:r>
      <w:r w:rsidRPr="00E27425">
        <w:rPr>
          <w:lang w:val="es-CO"/>
        </w:rPr>
        <w:t xml:space="preserve"> </w:t>
      </w:r>
      <w:r w:rsidRPr="00E27425">
        <w:rPr>
          <w:rFonts w:ascii="Calibri" w:hAnsi="Calibri" w:cs="Calibri"/>
          <w:lang w:val="es-CO"/>
        </w:rPr>
        <w:t>CORTE SUPREMA DE JUSTICIA, Sala de Casación Civil. Providencia STC6121-2015 del 21-05-2015</w:t>
      </w:r>
      <w:r w:rsidRPr="00E27425">
        <w:rPr>
          <w:rFonts w:ascii="Calibri" w:hAnsi="Calibri" w:cs="Calibri"/>
          <w:w w:val="110"/>
          <w:lang w:val="es-CO"/>
        </w:rPr>
        <w:t>.</w:t>
      </w:r>
    </w:p>
  </w:footnote>
  <w:footnote w:id="23">
    <w:p w:rsidR="00FA4DB7" w:rsidRPr="009C4841" w:rsidRDefault="00FA4DB7" w:rsidP="00FA4DB7">
      <w:pPr>
        <w:pStyle w:val="Textonotapie"/>
        <w:jc w:val="both"/>
        <w:rPr>
          <w:rFonts w:asciiTheme="minorHAnsi" w:hAnsiTheme="minorHAnsi"/>
        </w:rPr>
      </w:pPr>
      <w:r w:rsidRPr="009C4841">
        <w:rPr>
          <w:rStyle w:val="Refdenotaalpie"/>
          <w:rFonts w:asciiTheme="minorHAnsi" w:hAnsiTheme="minorHAnsi" w:cs="Calibri"/>
        </w:rPr>
        <w:footnoteRef/>
      </w:r>
      <w:r w:rsidRPr="009C4841">
        <w:rPr>
          <w:rFonts w:asciiTheme="minorHAnsi" w:hAnsiTheme="minorHAnsi" w:cs="Calibri"/>
        </w:rPr>
        <w:t xml:space="preserve"> CORTE CONSTITUCIONAL.  Sentencia T-1079 de 2008.</w:t>
      </w:r>
    </w:p>
  </w:footnote>
  <w:footnote w:id="24">
    <w:p w:rsidR="00FA4DB7" w:rsidRPr="009C4841" w:rsidRDefault="00FA4DB7" w:rsidP="00FA4DB7">
      <w:pPr>
        <w:pStyle w:val="Textonotapie"/>
        <w:jc w:val="both"/>
        <w:rPr>
          <w:rFonts w:asciiTheme="minorHAnsi" w:hAnsiTheme="minorHAnsi"/>
          <w:lang w:val="es-CO"/>
        </w:rPr>
      </w:pPr>
      <w:r w:rsidRPr="009C4841">
        <w:rPr>
          <w:rStyle w:val="Refdenotaalpie"/>
          <w:rFonts w:asciiTheme="minorHAnsi" w:hAnsiTheme="minorHAnsi"/>
          <w:lang w:val="es-CO"/>
        </w:rPr>
        <w:footnoteRef/>
      </w:r>
      <w:r w:rsidRPr="009C4841">
        <w:rPr>
          <w:rFonts w:asciiTheme="minorHAnsi" w:hAnsiTheme="minorHAnsi"/>
          <w:lang w:val="es-CO"/>
        </w:rPr>
        <w:t xml:space="preserve"> CORTE SUPREMA DE JUSTICIA, Sala de Casación Penal – Sala de decisión de tutelas No.3. Sentencia del 11-03-2014, M.P. Eugenio Fernández Carlier.</w:t>
      </w:r>
    </w:p>
  </w:footnote>
  <w:footnote w:id="25">
    <w:p w:rsidR="00FA4DB7" w:rsidRPr="004905B4" w:rsidRDefault="00FA4DB7" w:rsidP="00FA4DB7">
      <w:pPr>
        <w:pStyle w:val="Textonotapie"/>
        <w:rPr>
          <w:rFonts w:asciiTheme="minorHAnsi" w:hAnsiTheme="minorHAnsi"/>
          <w:lang w:val="es-CO"/>
        </w:rPr>
      </w:pPr>
      <w:r w:rsidRPr="004905B4">
        <w:rPr>
          <w:rStyle w:val="Refdenotaalpie"/>
          <w:rFonts w:asciiTheme="minorHAnsi" w:hAnsiTheme="minorHAnsi"/>
        </w:rPr>
        <w:footnoteRef/>
      </w:r>
      <w:r w:rsidRPr="004905B4">
        <w:rPr>
          <w:rFonts w:asciiTheme="minorHAnsi" w:hAnsiTheme="minorHAnsi"/>
        </w:rPr>
        <w:t xml:space="preserve"> </w:t>
      </w:r>
      <w:r w:rsidRPr="004905B4">
        <w:rPr>
          <w:rFonts w:asciiTheme="minorHAnsi" w:hAnsiTheme="minorHAnsi" w:cs="Calibri"/>
          <w:lang w:val="es-CO"/>
        </w:rPr>
        <w:t>CORTE CONSTITUCIONAL. Sentencia T-299 de 2009.</w:t>
      </w:r>
    </w:p>
  </w:footnote>
  <w:footnote w:id="26">
    <w:p w:rsidR="00716B79" w:rsidRDefault="00716B79" w:rsidP="00716B79">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27">
    <w:p w:rsidR="00716B79" w:rsidRPr="008B43C6" w:rsidRDefault="00716B79" w:rsidP="00716B79">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22-09-2011</w:t>
      </w:r>
      <w:r w:rsidRPr="0088104A">
        <w:rPr>
          <w:rFonts w:asciiTheme="minorHAnsi" w:hAnsiTheme="minorHAnsi" w:cs="Calibri"/>
        </w:rPr>
        <w:t>.</w:t>
      </w:r>
    </w:p>
  </w:footnote>
  <w:footnote w:id="28">
    <w:p w:rsidR="00716B79" w:rsidRPr="008B43C6" w:rsidRDefault="00716B79" w:rsidP="00716B79">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19-05-2011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sidR="00BD5831">
      <w:rPr>
        <w:rStyle w:val="Nmerodepgina"/>
        <w:rFonts w:cs="Verdana"/>
        <w:noProof/>
      </w:rPr>
      <w:t>8</w:t>
    </w:r>
    <w:r>
      <w:rPr>
        <w:rStyle w:val="Nmerodepgina"/>
        <w:rFonts w:cs="Verdana"/>
      </w:rPr>
      <w:fldChar w:fldCharType="end"/>
    </w:r>
  </w:p>
  <w:p w:rsidR="006508CF" w:rsidRDefault="006508C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AA6B28" w:rsidRDefault="006508CF">
    <w:pPr>
      <w:pStyle w:val="Encabezado"/>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F477B2">
      <w:rPr>
        <w:rFonts w:ascii="Calibri" w:hAnsi="Calibri"/>
        <w:noProof/>
        <w:sz w:val="22"/>
        <w:lang w:val="es-CO"/>
      </w:rPr>
      <w:t>1</w:t>
    </w:r>
    <w:r w:rsidRPr="00AA6B28">
      <w:rPr>
        <w:rFonts w:ascii="Calibri" w:hAnsi="Calibri"/>
        <w:sz w:val="22"/>
        <w:lang w:val="es-CO"/>
      </w:rPr>
      <w:fldChar w:fldCharType="end"/>
    </w:r>
  </w:p>
  <w:p w:rsidR="006508CF" w:rsidRPr="00AA6B28" w:rsidRDefault="006508CF" w:rsidP="00235DC0">
    <w:pPr>
      <w:pStyle w:val="Encabezado"/>
      <w:ind w:right="360"/>
      <w:jc w:val="both"/>
      <w:rPr>
        <w:rFonts w:ascii="Calibri" w:hAnsi="Calibri" w:cs="Calibri"/>
        <w:i/>
        <w:sz w:val="20"/>
        <w:szCs w:val="20"/>
        <w:lang w:val="es-CO"/>
      </w:rPr>
    </w:pPr>
    <w:r w:rsidRPr="00AA6B28">
      <w:rPr>
        <w:rFonts w:ascii="Calibri" w:hAnsi="Calibri" w:cs="Calibri"/>
        <w:i/>
        <w:sz w:val="20"/>
        <w:szCs w:val="20"/>
        <w:lang w:val="es-CO"/>
      </w:rPr>
      <w:t>EXPEDIENTE No.</w:t>
    </w:r>
    <w:r w:rsidR="00FC0A07">
      <w:rPr>
        <w:rFonts w:ascii="Calibri" w:hAnsi="Calibri" w:cs="Calibri"/>
        <w:i/>
        <w:sz w:val="20"/>
        <w:szCs w:val="20"/>
        <w:lang w:val="es-CO"/>
      </w:rPr>
      <w:t>2016-00037</w:t>
    </w:r>
    <w:r w:rsidRPr="00AA6B28">
      <w:rPr>
        <w:rFonts w:ascii="Calibri" w:hAnsi="Calibri" w:cs="Calibri"/>
        <w:i/>
        <w:sz w:val="20"/>
        <w:szCs w:val="20"/>
        <w:lang w:val="es-CO"/>
      </w:rPr>
      <w:t>-0</w:t>
    </w:r>
    <w:r w:rsidR="00D146F4">
      <w:rPr>
        <w:rFonts w:ascii="Calibri" w:hAnsi="Calibri" w:cs="Calibri"/>
        <w:i/>
        <w:sz w:val="20"/>
        <w:szCs w:val="20"/>
        <w:lang w:val="es-CO"/>
      </w:rPr>
      <w:t>1</w:t>
    </w:r>
    <w:r w:rsidRPr="00AA6B28">
      <w:rPr>
        <w:rFonts w:ascii="Calibri" w:hAnsi="Calibri" w:cs="Calibri"/>
        <w:i/>
        <w:sz w:val="20"/>
        <w:szCs w:val="20"/>
        <w:lang w:val="es-CO"/>
      </w:rPr>
      <w:t xml:space="preserve"> LLRR</w:t>
    </w:r>
  </w:p>
  <w:p w:rsidR="006508CF" w:rsidRPr="00F839CE" w:rsidRDefault="006508CF" w:rsidP="006F562A">
    <w:pPr>
      <w:pStyle w:val="Encabezado"/>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92089F" w:rsidRDefault="006508C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1121CAA"/>
    <w:multiLevelType w:val="multilevel"/>
    <w:tmpl w:val="BB624E00"/>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8">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0">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4">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5">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9">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0">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22"/>
  </w:num>
  <w:num w:numId="3">
    <w:abstractNumId w:val="17"/>
  </w:num>
  <w:num w:numId="4">
    <w:abstractNumId w:val="15"/>
  </w:num>
  <w:num w:numId="5">
    <w:abstractNumId w:val="24"/>
  </w:num>
  <w:num w:numId="6">
    <w:abstractNumId w:val="16"/>
  </w:num>
  <w:num w:numId="7">
    <w:abstractNumId w:val="3"/>
  </w:num>
  <w:num w:numId="8">
    <w:abstractNumId w:val="11"/>
  </w:num>
  <w:num w:numId="9">
    <w:abstractNumId w:val="12"/>
  </w:num>
  <w:num w:numId="10">
    <w:abstractNumId w:val="2"/>
  </w:num>
  <w:num w:numId="11">
    <w:abstractNumId w:val="21"/>
  </w:num>
  <w:num w:numId="12">
    <w:abstractNumId w:val="8"/>
  </w:num>
  <w:num w:numId="13">
    <w:abstractNumId w:val="14"/>
  </w:num>
  <w:num w:numId="14">
    <w:abstractNumId w:val="27"/>
  </w:num>
  <w:num w:numId="15">
    <w:abstractNumId w:val="19"/>
  </w:num>
  <w:num w:numId="16">
    <w:abstractNumId w:val="1"/>
  </w:num>
  <w:num w:numId="17">
    <w:abstractNumId w:val="29"/>
  </w:num>
  <w:num w:numId="18">
    <w:abstractNumId w:val="20"/>
  </w:num>
  <w:num w:numId="19">
    <w:abstractNumId w:val="26"/>
  </w:num>
  <w:num w:numId="20">
    <w:abstractNumId w:val="25"/>
  </w:num>
  <w:num w:numId="21">
    <w:abstractNumId w:val="5"/>
  </w:num>
  <w:num w:numId="22">
    <w:abstractNumId w:val="0"/>
  </w:num>
  <w:num w:numId="23">
    <w:abstractNumId w:val="30"/>
  </w:num>
  <w:num w:numId="24">
    <w:abstractNumId w:val="18"/>
  </w:num>
  <w:num w:numId="25">
    <w:abstractNumId w:val="10"/>
  </w:num>
  <w:num w:numId="26">
    <w:abstractNumId w:val="13"/>
  </w:num>
  <w:num w:numId="27">
    <w:abstractNumId w:val="4"/>
  </w:num>
  <w:num w:numId="28">
    <w:abstractNumId w:val="23"/>
  </w:num>
  <w:num w:numId="29">
    <w:abstractNumId w:val="9"/>
  </w:num>
  <w:num w:numId="30">
    <w:abstractNumId w:val="25"/>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111"/>
    <w:rsid w:val="00005281"/>
    <w:rsid w:val="00005ED2"/>
    <w:rsid w:val="00006C9E"/>
    <w:rsid w:val="00007912"/>
    <w:rsid w:val="000100E5"/>
    <w:rsid w:val="00011CF2"/>
    <w:rsid w:val="00011D52"/>
    <w:rsid w:val="00012DAE"/>
    <w:rsid w:val="00013BE8"/>
    <w:rsid w:val="00015131"/>
    <w:rsid w:val="00017BC5"/>
    <w:rsid w:val="0002042C"/>
    <w:rsid w:val="000215F0"/>
    <w:rsid w:val="00022F38"/>
    <w:rsid w:val="00023886"/>
    <w:rsid w:val="00023FAD"/>
    <w:rsid w:val="00024E51"/>
    <w:rsid w:val="00025764"/>
    <w:rsid w:val="00026F32"/>
    <w:rsid w:val="00027251"/>
    <w:rsid w:val="00031D5D"/>
    <w:rsid w:val="000332E9"/>
    <w:rsid w:val="00033F1E"/>
    <w:rsid w:val="00041B57"/>
    <w:rsid w:val="0004382E"/>
    <w:rsid w:val="00043EC5"/>
    <w:rsid w:val="00047896"/>
    <w:rsid w:val="000505E7"/>
    <w:rsid w:val="00051F5B"/>
    <w:rsid w:val="00052FE3"/>
    <w:rsid w:val="0005426D"/>
    <w:rsid w:val="00055B9D"/>
    <w:rsid w:val="00056027"/>
    <w:rsid w:val="000601B1"/>
    <w:rsid w:val="00060954"/>
    <w:rsid w:val="00060F7F"/>
    <w:rsid w:val="0006117C"/>
    <w:rsid w:val="0006167A"/>
    <w:rsid w:val="00061922"/>
    <w:rsid w:val="000634BA"/>
    <w:rsid w:val="00065A2F"/>
    <w:rsid w:val="000664A8"/>
    <w:rsid w:val="00066726"/>
    <w:rsid w:val="00067E4F"/>
    <w:rsid w:val="0007063B"/>
    <w:rsid w:val="00072310"/>
    <w:rsid w:val="00072763"/>
    <w:rsid w:val="00072B7F"/>
    <w:rsid w:val="00073265"/>
    <w:rsid w:val="0007503D"/>
    <w:rsid w:val="0007524F"/>
    <w:rsid w:val="00075C73"/>
    <w:rsid w:val="00076139"/>
    <w:rsid w:val="00076772"/>
    <w:rsid w:val="00076D55"/>
    <w:rsid w:val="00076F62"/>
    <w:rsid w:val="0007768D"/>
    <w:rsid w:val="0008009F"/>
    <w:rsid w:val="000818FB"/>
    <w:rsid w:val="000820F0"/>
    <w:rsid w:val="0008427C"/>
    <w:rsid w:val="0008432D"/>
    <w:rsid w:val="00085FB4"/>
    <w:rsid w:val="00086D8F"/>
    <w:rsid w:val="00086DEB"/>
    <w:rsid w:val="0008767C"/>
    <w:rsid w:val="00087DB9"/>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B307B"/>
    <w:rsid w:val="000B6A4A"/>
    <w:rsid w:val="000B7BE2"/>
    <w:rsid w:val="000C0A5D"/>
    <w:rsid w:val="000C5D2C"/>
    <w:rsid w:val="000C5F0C"/>
    <w:rsid w:val="000C6F60"/>
    <w:rsid w:val="000C7144"/>
    <w:rsid w:val="000C7176"/>
    <w:rsid w:val="000C75AD"/>
    <w:rsid w:val="000C7C79"/>
    <w:rsid w:val="000D1818"/>
    <w:rsid w:val="000D253C"/>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FB"/>
    <w:rsid w:val="00103CD9"/>
    <w:rsid w:val="0010401B"/>
    <w:rsid w:val="001055E9"/>
    <w:rsid w:val="00105F37"/>
    <w:rsid w:val="001064AC"/>
    <w:rsid w:val="00106AD1"/>
    <w:rsid w:val="001107AC"/>
    <w:rsid w:val="001127AE"/>
    <w:rsid w:val="00115C96"/>
    <w:rsid w:val="00117015"/>
    <w:rsid w:val="00117C99"/>
    <w:rsid w:val="00117D2E"/>
    <w:rsid w:val="00120933"/>
    <w:rsid w:val="00120EAE"/>
    <w:rsid w:val="001240AF"/>
    <w:rsid w:val="00124A3F"/>
    <w:rsid w:val="00124BDB"/>
    <w:rsid w:val="00124DDA"/>
    <w:rsid w:val="00124F49"/>
    <w:rsid w:val="00125979"/>
    <w:rsid w:val="001266B4"/>
    <w:rsid w:val="00126EC6"/>
    <w:rsid w:val="001270BF"/>
    <w:rsid w:val="001322A1"/>
    <w:rsid w:val="0013310E"/>
    <w:rsid w:val="00133D97"/>
    <w:rsid w:val="00135B04"/>
    <w:rsid w:val="001424D3"/>
    <w:rsid w:val="00143D8D"/>
    <w:rsid w:val="001442CC"/>
    <w:rsid w:val="0014678E"/>
    <w:rsid w:val="00146F13"/>
    <w:rsid w:val="00147EF8"/>
    <w:rsid w:val="00147F79"/>
    <w:rsid w:val="00150AF5"/>
    <w:rsid w:val="00150C96"/>
    <w:rsid w:val="00152DAF"/>
    <w:rsid w:val="0015445A"/>
    <w:rsid w:val="001545B7"/>
    <w:rsid w:val="00156283"/>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7410"/>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B2A"/>
    <w:rsid w:val="001A3EF7"/>
    <w:rsid w:val="001A4B98"/>
    <w:rsid w:val="001A4F41"/>
    <w:rsid w:val="001A71BE"/>
    <w:rsid w:val="001A7CD5"/>
    <w:rsid w:val="001B03A5"/>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6AB8"/>
    <w:rsid w:val="001E7EDB"/>
    <w:rsid w:val="001F08CF"/>
    <w:rsid w:val="001F08D7"/>
    <w:rsid w:val="001F0AC0"/>
    <w:rsid w:val="001F1DC2"/>
    <w:rsid w:val="001F2983"/>
    <w:rsid w:val="001F3204"/>
    <w:rsid w:val="001F55DF"/>
    <w:rsid w:val="001F6067"/>
    <w:rsid w:val="001F6B77"/>
    <w:rsid w:val="001F7D5D"/>
    <w:rsid w:val="0020003C"/>
    <w:rsid w:val="00202EB9"/>
    <w:rsid w:val="0020383C"/>
    <w:rsid w:val="00204694"/>
    <w:rsid w:val="00205091"/>
    <w:rsid w:val="002062FD"/>
    <w:rsid w:val="00207906"/>
    <w:rsid w:val="00210A59"/>
    <w:rsid w:val="00211D59"/>
    <w:rsid w:val="00213147"/>
    <w:rsid w:val="00214468"/>
    <w:rsid w:val="00214A4A"/>
    <w:rsid w:val="00217035"/>
    <w:rsid w:val="00221B21"/>
    <w:rsid w:val="00221B6D"/>
    <w:rsid w:val="00225472"/>
    <w:rsid w:val="00227BA7"/>
    <w:rsid w:val="00227D2E"/>
    <w:rsid w:val="00230D6E"/>
    <w:rsid w:val="00230F0D"/>
    <w:rsid w:val="00231A7F"/>
    <w:rsid w:val="00231EFB"/>
    <w:rsid w:val="002338DF"/>
    <w:rsid w:val="00235DC0"/>
    <w:rsid w:val="00240E98"/>
    <w:rsid w:val="00242E93"/>
    <w:rsid w:val="002431E8"/>
    <w:rsid w:val="00243973"/>
    <w:rsid w:val="00243BF8"/>
    <w:rsid w:val="00245D96"/>
    <w:rsid w:val="0024679A"/>
    <w:rsid w:val="00250401"/>
    <w:rsid w:val="00250FAB"/>
    <w:rsid w:val="002524D7"/>
    <w:rsid w:val="00252B94"/>
    <w:rsid w:val="00253BE8"/>
    <w:rsid w:val="00253DB2"/>
    <w:rsid w:val="00254D05"/>
    <w:rsid w:val="00255A76"/>
    <w:rsid w:val="00255E29"/>
    <w:rsid w:val="00257A0E"/>
    <w:rsid w:val="00257C43"/>
    <w:rsid w:val="002617B1"/>
    <w:rsid w:val="00261F11"/>
    <w:rsid w:val="00265452"/>
    <w:rsid w:val="00267DED"/>
    <w:rsid w:val="002724B1"/>
    <w:rsid w:val="0027273C"/>
    <w:rsid w:val="00275F4A"/>
    <w:rsid w:val="0028166B"/>
    <w:rsid w:val="00283209"/>
    <w:rsid w:val="0028498A"/>
    <w:rsid w:val="002865F6"/>
    <w:rsid w:val="00286A56"/>
    <w:rsid w:val="00287CF2"/>
    <w:rsid w:val="002901E0"/>
    <w:rsid w:val="00290D6E"/>
    <w:rsid w:val="00291B96"/>
    <w:rsid w:val="002923B3"/>
    <w:rsid w:val="0029313D"/>
    <w:rsid w:val="002946FF"/>
    <w:rsid w:val="0029571A"/>
    <w:rsid w:val="0029574A"/>
    <w:rsid w:val="00296EA8"/>
    <w:rsid w:val="002978A1"/>
    <w:rsid w:val="002A0F18"/>
    <w:rsid w:val="002A259F"/>
    <w:rsid w:val="002A2B8A"/>
    <w:rsid w:val="002A5547"/>
    <w:rsid w:val="002B0529"/>
    <w:rsid w:val="002B2E94"/>
    <w:rsid w:val="002B4459"/>
    <w:rsid w:val="002B44A9"/>
    <w:rsid w:val="002B4504"/>
    <w:rsid w:val="002B503F"/>
    <w:rsid w:val="002B6043"/>
    <w:rsid w:val="002B7A49"/>
    <w:rsid w:val="002B7B47"/>
    <w:rsid w:val="002C0DE9"/>
    <w:rsid w:val="002C4CF9"/>
    <w:rsid w:val="002C763E"/>
    <w:rsid w:val="002D1038"/>
    <w:rsid w:val="002D5131"/>
    <w:rsid w:val="002D6785"/>
    <w:rsid w:val="002D688F"/>
    <w:rsid w:val="002D6B23"/>
    <w:rsid w:val="002E1A27"/>
    <w:rsid w:val="002E1BBA"/>
    <w:rsid w:val="002E33DD"/>
    <w:rsid w:val="002E393C"/>
    <w:rsid w:val="002E64BE"/>
    <w:rsid w:val="002E71F1"/>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78B1"/>
    <w:rsid w:val="00332FAA"/>
    <w:rsid w:val="0033413E"/>
    <w:rsid w:val="003377CA"/>
    <w:rsid w:val="00340212"/>
    <w:rsid w:val="0034319E"/>
    <w:rsid w:val="00344D27"/>
    <w:rsid w:val="00345261"/>
    <w:rsid w:val="00345ED5"/>
    <w:rsid w:val="00350057"/>
    <w:rsid w:val="0035091C"/>
    <w:rsid w:val="003509ED"/>
    <w:rsid w:val="00351422"/>
    <w:rsid w:val="00351A77"/>
    <w:rsid w:val="00351BE4"/>
    <w:rsid w:val="003530CC"/>
    <w:rsid w:val="00356574"/>
    <w:rsid w:val="00356E28"/>
    <w:rsid w:val="003575CA"/>
    <w:rsid w:val="003620FA"/>
    <w:rsid w:val="00362F8C"/>
    <w:rsid w:val="00367DF8"/>
    <w:rsid w:val="003708EF"/>
    <w:rsid w:val="0037385E"/>
    <w:rsid w:val="00373EC1"/>
    <w:rsid w:val="00374FC2"/>
    <w:rsid w:val="00377C39"/>
    <w:rsid w:val="00377F8E"/>
    <w:rsid w:val="003801D6"/>
    <w:rsid w:val="003832EC"/>
    <w:rsid w:val="00383C88"/>
    <w:rsid w:val="003855C9"/>
    <w:rsid w:val="00386A25"/>
    <w:rsid w:val="003908F6"/>
    <w:rsid w:val="0039105A"/>
    <w:rsid w:val="003913E3"/>
    <w:rsid w:val="003929B3"/>
    <w:rsid w:val="00393460"/>
    <w:rsid w:val="00393A40"/>
    <w:rsid w:val="0039564A"/>
    <w:rsid w:val="00396D5A"/>
    <w:rsid w:val="00396F25"/>
    <w:rsid w:val="00397CA0"/>
    <w:rsid w:val="003A241C"/>
    <w:rsid w:val="003A29EA"/>
    <w:rsid w:val="003A3829"/>
    <w:rsid w:val="003A46C9"/>
    <w:rsid w:val="003A562B"/>
    <w:rsid w:val="003A606E"/>
    <w:rsid w:val="003A7064"/>
    <w:rsid w:val="003B030B"/>
    <w:rsid w:val="003B0B67"/>
    <w:rsid w:val="003B17E8"/>
    <w:rsid w:val="003B26B1"/>
    <w:rsid w:val="003B4254"/>
    <w:rsid w:val="003B5607"/>
    <w:rsid w:val="003B59CD"/>
    <w:rsid w:val="003B5FE0"/>
    <w:rsid w:val="003B604B"/>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506"/>
    <w:rsid w:val="003D1702"/>
    <w:rsid w:val="003D3820"/>
    <w:rsid w:val="003D3B31"/>
    <w:rsid w:val="003E18D8"/>
    <w:rsid w:val="003E431C"/>
    <w:rsid w:val="003E6D15"/>
    <w:rsid w:val="003F01EC"/>
    <w:rsid w:val="003F08A7"/>
    <w:rsid w:val="003F10B4"/>
    <w:rsid w:val="003F162E"/>
    <w:rsid w:val="003F298D"/>
    <w:rsid w:val="003F2AB6"/>
    <w:rsid w:val="003F63F2"/>
    <w:rsid w:val="0040074A"/>
    <w:rsid w:val="004017E5"/>
    <w:rsid w:val="004046B5"/>
    <w:rsid w:val="00404829"/>
    <w:rsid w:val="0041105C"/>
    <w:rsid w:val="004121F7"/>
    <w:rsid w:val="004134D8"/>
    <w:rsid w:val="0041414C"/>
    <w:rsid w:val="0041757E"/>
    <w:rsid w:val="00417661"/>
    <w:rsid w:val="00417DA3"/>
    <w:rsid w:val="00420EDE"/>
    <w:rsid w:val="00421D69"/>
    <w:rsid w:val="0042362D"/>
    <w:rsid w:val="004259A6"/>
    <w:rsid w:val="00427D6B"/>
    <w:rsid w:val="00430378"/>
    <w:rsid w:val="00431AEE"/>
    <w:rsid w:val="004343C1"/>
    <w:rsid w:val="004344C0"/>
    <w:rsid w:val="0043473A"/>
    <w:rsid w:val="00434E57"/>
    <w:rsid w:val="00435CCB"/>
    <w:rsid w:val="00435CE5"/>
    <w:rsid w:val="00435E0C"/>
    <w:rsid w:val="00436117"/>
    <w:rsid w:val="00436ECB"/>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3F13"/>
    <w:rsid w:val="00464A72"/>
    <w:rsid w:val="00467235"/>
    <w:rsid w:val="0046775F"/>
    <w:rsid w:val="00472E2D"/>
    <w:rsid w:val="004736F9"/>
    <w:rsid w:val="00474092"/>
    <w:rsid w:val="00474304"/>
    <w:rsid w:val="00475136"/>
    <w:rsid w:val="00475C03"/>
    <w:rsid w:val="00476D6C"/>
    <w:rsid w:val="00480233"/>
    <w:rsid w:val="00480688"/>
    <w:rsid w:val="004807E3"/>
    <w:rsid w:val="00483D25"/>
    <w:rsid w:val="00485811"/>
    <w:rsid w:val="00486576"/>
    <w:rsid w:val="00490305"/>
    <w:rsid w:val="004905B4"/>
    <w:rsid w:val="0049109E"/>
    <w:rsid w:val="0049174B"/>
    <w:rsid w:val="004930CF"/>
    <w:rsid w:val="00493C9F"/>
    <w:rsid w:val="00494780"/>
    <w:rsid w:val="004975AA"/>
    <w:rsid w:val="004A0593"/>
    <w:rsid w:val="004A05CD"/>
    <w:rsid w:val="004A0DCF"/>
    <w:rsid w:val="004A0F23"/>
    <w:rsid w:val="004A0FE6"/>
    <w:rsid w:val="004A1E39"/>
    <w:rsid w:val="004A2227"/>
    <w:rsid w:val="004A2DDC"/>
    <w:rsid w:val="004A38E3"/>
    <w:rsid w:val="004A5B43"/>
    <w:rsid w:val="004A6DD5"/>
    <w:rsid w:val="004A6E0A"/>
    <w:rsid w:val="004A7D32"/>
    <w:rsid w:val="004B3751"/>
    <w:rsid w:val="004B3A37"/>
    <w:rsid w:val="004B47A3"/>
    <w:rsid w:val="004B53D6"/>
    <w:rsid w:val="004B5E6C"/>
    <w:rsid w:val="004B638F"/>
    <w:rsid w:val="004C0806"/>
    <w:rsid w:val="004C31A3"/>
    <w:rsid w:val="004C4256"/>
    <w:rsid w:val="004C4A5C"/>
    <w:rsid w:val="004C5BDE"/>
    <w:rsid w:val="004C6746"/>
    <w:rsid w:val="004C7D84"/>
    <w:rsid w:val="004D1CFD"/>
    <w:rsid w:val="004D4476"/>
    <w:rsid w:val="004D4912"/>
    <w:rsid w:val="004D49AC"/>
    <w:rsid w:val="004D564D"/>
    <w:rsid w:val="004D678C"/>
    <w:rsid w:val="004D69AB"/>
    <w:rsid w:val="004D7EC1"/>
    <w:rsid w:val="004E2B78"/>
    <w:rsid w:val="004E4AC4"/>
    <w:rsid w:val="004E6287"/>
    <w:rsid w:val="004E702E"/>
    <w:rsid w:val="004F1BDB"/>
    <w:rsid w:val="004F31F1"/>
    <w:rsid w:val="004F448C"/>
    <w:rsid w:val="004F5D30"/>
    <w:rsid w:val="004F6583"/>
    <w:rsid w:val="004F6D6A"/>
    <w:rsid w:val="004F7A80"/>
    <w:rsid w:val="004F7AA5"/>
    <w:rsid w:val="00502776"/>
    <w:rsid w:val="00503BF5"/>
    <w:rsid w:val="00505776"/>
    <w:rsid w:val="005069CE"/>
    <w:rsid w:val="00506B03"/>
    <w:rsid w:val="0050752F"/>
    <w:rsid w:val="0051036C"/>
    <w:rsid w:val="00512B8A"/>
    <w:rsid w:val="00513E31"/>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5175"/>
    <w:rsid w:val="00565450"/>
    <w:rsid w:val="005660B9"/>
    <w:rsid w:val="00570C27"/>
    <w:rsid w:val="00571181"/>
    <w:rsid w:val="00571A04"/>
    <w:rsid w:val="00574FAA"/>
    <w:rsid w:val="0057530B"/>
    <w:rsid w:val="005755F3"/>
    <w:rsid w:val="005770C3"/>
    <w:rsid w:val="00580067"/>
    <w:rsid w:val="00580913"/>
    <w:rsid w:val="00581321"/>
    <w:rsid w:val="00582361"/>
    <w:rsid w:val="00584B9D"/>
    <w:rsid w:val="005859B5"/>
    <w:rsid w:val="00587194"/>
    <w:rsid w:val="00587698"/>
    <w:rsid w:val="005902CE"/>
    <w:rsid w:val="00590CB5"/>
    <w:rsid w:val="0059311A"/>
    <w:rsid w:val="0059342A"/>
    <w:rsid w:val="00596C0B"/>
    <w:rsid w:val="00597CED"/>
    <w:rsid w:val="005A0E1D"/>
    <w:rsid w:val="005A2467"/>
    <w:rsid w:val="005A2595"/>
    <w:rsid w:val="005A3B1D"/>
    <w:rsid w:val="005A3C01"/>
    <w:rsid w:val="005A461E"/>
    <w:rsid w:val="005A66FC"/>
    <w:rsid w:val="005A7334"/>
    <w:rsid w:val="005A7685"/>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6722"/>
    <w:rsid w:val="005C7391"/>
    <w:rsid w:val="005C7936"/>
    <w:rsid w:val="005D1620"/>
    <w:rsid w:val="005D269F"/>
    <w:rsid w:val="005D29AD"/>
    <w:rsid w:val="005D2A01"/>
    <w:rsid w:val="005D4289"/>
    <w:rsid w:val="005D5B8A"/>
    <w:rsid w:val="005E0DC3"/>
    <w:rsid w:val="005E14BE"/>
    <w:rsid w:val="005E25A0"/>
    <w:rsid w:val="005E45DD"/>
    <w:rsid w:val="005E799C"/>
    <w:rsid w:val="005F1D7B"/>
    <w:rsid w:val="005F288E"/>
    <w:rsid w:val="005F2B51"/>
    <w:rsid w:val="005F4CEA"/>
    <w:rsid w:val="005F583A"/>
    <w:rsid w:val="005F6B42"/>
    <w:rsid w:val="005F7975"/>
    <w:rsid w:val="005F7A1F"/>
    <w:rsid w:val="00600602"/>
    <w:rsid w:val="00600AC6"/>
    <w:rsid w:val="006018EB"/>
    <w:rsid w:val="006027B0"/>
    <w:rsid w:val="00604455"/>
    <w:rsid w:val="00607FBD"/>
    <w:rsid w:val="00607FC8"/>
    <w:rsid w:val="00611180"/>
    <w:rsid w:val="00614195"/>
    <w:rsid w:val="00614452"/>
    <w:rsid w:val="006145D8"/>
    <w:rsid w:val="00615133"/>
    <w:rsid w:val="00615E1E"/>
    <w:rsid w:val="00616841"/>
    <w:rsid w:val="00617636"/>
    <w:rsid w:val="00620C95"/>
    <w:rsid w:val="00624C02"/>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50262"/>
    <w:rsid w:val="006507EA"/>
    <w:rsid w:val="006508CF"/>
    <w:rsid w:val="0065133D"/>
    <w:rsid w:val="00652D2F"/>
    <w:rsid w:val="006535FE"/>
    <w:rsid w:val="006545A0"/>
    <w:rsid w:val="00655913"/>
    <w:rsid w:val="006562FD"/>
    <w:rsid w:val="006568AE"/>
    <w:rsid w:val="00656C54"/>
    <w:rsid w:val="00660082"/>
    <w:rsid w:val="00661297"/>
    <w:rsid w:val="006615CB"/>
    <w:rsid w:val="006627C2"/>
    <w:rsid w:val="00662B8C"/>
    <w:rsid w:val="006641CB"/>
    <w:rsid w:val="006642B1"/>
    <w:rsid w:val="0066436E"/>
    <w:rsid w:val="006668E1"/>
    <w:rsid w:val="006678FC"/>
    <w:rsid w:val="00667F0F"/>
    <w:rsid w:val="00671D69"/>
    <w:rsid w:val="00672F20"/>
    <w:rsid w:val="00673453"/>
    <w:rsid w:val="006736FA"/>
    <w:rsid w:val="00676C54"/>
    <w:rsid w:val="00680DC6"/>
    <w:rsid w:val="00684673"/>
    <w:rsid w:val="0068471D"/>
    <w:rsid w:val="0068549C"/>
    <w:rsid w:val="006862CD"/>
    <w:rsid w:val="006904E2"/>
    <w:rsid w:val="00690E0F"/>
    <w:rsid w:val="00692159"/>
    <w:rsid w:val="00692569"/>
    <w:rsid w:val="006938F5"/>
    <w:rsid w:val="00694281"/>
    <w:rsid w:val="006950A1"/>
    <w:rsid w:val="00695FDF"/>
    <w:rsid w:val="0069656E"/>
    <w:rsid w:val="006975BD"/>
    <w:rsid w:val="006A04FE"/>
    <w:rsid w:val="006A3A7B"/>
    <w:rsid w:val="006A5F1E"/>
    <w:rsid w:val="006A66EB"/>
    <w:rsid w:val="006A6927"/>
    <w:rsid w:val="006A6C0A"/>
    <w:rsid w:val="006A6FA0"/>
    <w:rsid w:val="006A7035"/>
    <w:rsid w:val="006A78E4"/>
    <w:rsid w:val="006B0DC5"/>
    <w:rsid w:val="006B0F10"/>
    <w:rsid w:val="006B28B3"/>
    <w:rsid w:val="006B3DB3"/>
    <w:rsid w:val="006B6B2E"/>
    <w:rsid w:val="006B6D9B"/>
    <w:rsid w:val="006B77CB"/>
    <w:rsid w:val="006C0A90"/>
    <w:rsid w:val="006C11A5"/>
    <w:rsid w:val="006C1FB5"/>
    <w:rsid w:val="006C2AFC"/>
    <w:rsid w:val="006C325C"/>
    <w:rsid w:val="006C5C89"/>
    <w:rsid w:val="006D1972"/>
    <w:rsid w:val="006D1B00"/>
    <w:rsid w:val="006D3B8F"/>
    <w:rsid w:val="006D5236"/>
    <w:rsid w:val="006D5F62"/>
    <w:rsid w:val="006D6BA1"/>
    <w:rsid w:val="006D7214"/>
    <w:rsid w:val="006E1629"/>
    <w:rsid w:val="006E1832"/>
    <w:rsid w:val="006E3DA0"/>
    <w:rsid w:val="006E5690"/>
    <w:rsid w:val="006E6874"/>
    <w:rsid w:val="006E6B60"/>
    <w:rsid w:val="006E71AC"/>
    <w:rsid w:val="006E78FF"/>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5353"/>
    <w:rsid w:val="00707B4A"/>
    <w:rsid w:val="007117A0"/>
    <w:rsid w:val="00716B70"/>
    <w:rsid w:val="00716B79"/>
    <w:rsid w:val="007201D5"/>
    <w:rsid w:val="0072020C"/>
    <w:rsid w:val="00720D87"/>
    <w:rsid w:val="0072250C"/>
    <w:rsid w:val="007238E9"/>
    <w:rsid w:val="007239AD"/>
    <w:rsid w:val="00723F96"/>
    <w:rsid w:val="00725575"/>
    <w:rsid w:val="00725A38"/>
    <w:rsid w:val="00726989"/>
    <w:rsid w:val="0073192F"/>
    <w:rsid w:val="00731B65"/>
    <w:rsid w:val="00731CB2"/>
    <w:rsid w:val="00732403"/>
    <w:rsid w:val="007328DA"/>
    <w:rsid w:val="0073555B"/>
    <w:rsid w:val="00735CD2"/>
    <w:rsid w:val="00740452"/>
    <w:rsid w:val="00740778"/>
    <w:rsid w:val="00743286"/>
    <w:rsid w:val="007469AE"/>
    <w:rsid w:val="007470B5"/>
    <w:rsid w:val="00747531"/>
    <w:rsid w:val="00747ED4"/>
    <w:rsid w:val="00751EE2"/>
    <w:rsid w:val="007535D5"/>
    <w:rsid w:val="00753EFD"/>
    <w:rsid w:val="007552B7"/>
    <w:rsid w:val="00755DA9"/>
    <w:rsid w:val="00757533"/>
    <w:rsid w:val="00757715"/>
    <w:rsid w:val="007640D2"/>
    <w:rsid w:val="00764347"/>
    <w:rsid w:val="007671B0"/>
    <w:rsid w:val="00767755"/>
    <w:rsid w:val="00771090"/>
    <w:rsid w:val="007720C9"/>
    <w:rsid w:val="0077234A"/>
    <w:rsid w:val="00772855"/>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3458"/>
    <w:rsid w:val="007A53D4"/>
    <w:rsid w:val="007A56E2"/>
    <w:rsid w:val="007A6DAB"/>
    <w:rsid w:val="007A6EFF"/>
    <w:rsid w:val="007A73BB"/>
    <w:rsid w:val="007A741D"/>
    <w:rsid w:val="007B1C17"/>
    <w:rsid w:val="007B2DD3"/>
    <w:rsid w:val="007B4249"/>
    <w:rsid w:val="007B4307"/>
    <w:rsid w:val="007B4FAE"/>
    <w:rsid w:val="007B68AB"/>
    <w:rsid w:val="007B7CB1"/>
    <w:rsid w:val="007C1154"/>
    <w:rsid w:val="007C1F0B"/>
    <w:rsid w:val="007C3091"/>
    <w:rsid w:val="007C32C7"/>
    <w:rsid w:val="007C68C1"/>
    <w:rsid w:val="007C6965"/>
    <w:rsid w:val="007D130E"/>
    <w:rsid w:val="007D1E22"/>
    <w:rsid w:val="007D4737"/>
    <w:rsid w:val="007D6F7F"/>
    <w:rsid w:val="007E1963"/>
    <w:rsid w:val="007E269D"/>
    <w:rsid w:val="007E2FA0"/>
    <w:rsid w:val="007E3CDF"/>
    <w:rsid w:val="007E4E84"/>
    <w:rsid w:val="007E62ED"/>
    <w:rsid w:val="007E7710"/>
    <w:rsid w:val="007F2158"/>
    <w:rsid w:val="007F3A65"/>
    <w:rsid w:val="007F7D49"/>
    <w:rsid w:val="00800654"/>
    <w:rsid w:val="00800C57"/>
    <w:rsid w:val="008025E6"/>
    <w:rsid w:val="008067C9"/>
    <w:rsid w:val="008114E1"/>
    <w:rsid w:val="00812318"/>
    <w:rsid w:val="0081509A"/>
    <w:rsid w:val="0081536B"/>
    <w:rsid w:val="0081561D"/>
    <w:rsid w:val="00815BC3"/>
    <w:rsid w:val="00816246"/>
    <w:rsid w:val="0081669C"/>
    <w:rsid w:val="00821AC0"/>
    <w:rsid w:val="00821FFD"/>
    <w:rsid w:val="00823227"/>
    <w:rsid w:val="008241DE"/>
    <w:rsid w:val="008260C7"/>
    <w:rsid w:val="00830F64"/>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70BBA"/>
    <w:rsid w:val="00872680"/>
    <w:rsid w:val="00875D4E"/>
    <w:rsid w:val="00877A45"/>
    <w:rsid w:val="0088212C"/>
    <w:rsid w:val="00882F38"/>
    <w:rsid w:val="008847CB"/>
    <w:rsid w:val="0088683E"/>
    <w:rsid w:val="0089263B"/>
    <w:rsid w:val="00893FCA"/>
    <w:rsid w:val="008961CD"/>
    <w:rsid w:val="00896588"/>
    <w:rsid w:val="00896FA9"/>
    <w:rsid w:val="008A1328"/>
    <w:rsid w:val="008A14FC"/>
    <w:rsid w:val="008A2B57"/>
    <w:rsid w:val="008A4A7A"/>
    <w:rsid w:val="008A4D55"/>
    <w:rsid w:val="008A6C90"/>
    <w:rsid w:val="008B0BC9"/>
    <w:rsid w:val="008B0D88"/>
    <w:rsid w:val="008B2D04"/>
    <w:rsid w:val="008B3C3E"/>
    <w:rsid w:val="008B615C"/>
    <w:rsid w:val="008B7331"/>
    <w:rsid w:val="008C043B"/>
    <w:rsid w:val="008C0916"/>
    <w:rsid w:val="008C0F06"/>
    <w:rsid w:val="008C16DE"/>
    <w:rsid w:val="008C3D59"/>
    <w:rsid w:val="008C42CD"/>
    <w:rsid w:val="008C4916"/>
    <w:rsid w:val="008C4B4E"/>
    <w:rsid w:val="008C4B67"/>
    <w:rsid w:val="008C7AF3"/>
    <w:rsid w:val="008D112B"/>
    <w:rsid w:val="008D2CD7"/>
    <w:rsid w:val="008D4074"/>
    <w:rsid w:val="008D4EE1"/>
    <w:rsid w:val="008D5CC7"/>
    <w:rsid w:val="008D698B"/>
    <w:rsid w:val="008D767F"/>
    <w:rsid w:val="008D77CB"/>
    <w:rsid w:val="008E1D0B"/>
    <w:rsid w:val="008E33BF"/>
    <w:rsid w:val="008E4DA9"/>
    <w:rsid w:val="008E50EF"/>
    <w:rsid w:val="008E5C6D"/>
    <w:rsid w:val="008E6FC1"/>
    <w:rsid w:val="008F04FE"/>
    <w:rsid w:val="008F05E9"/>
    <w:rsid w:val="008F2A37"/>
    <w:rsid w:val="008F2DE9"/>
    <w:rsid w:val="008F2E47"/>
    <w:rsid w:val="008F3514"/>
    <w:rsid w:val="008F449D"/>
    <w:rsid w:val="008F533C"/>
    <w:rsid w:val="008F60D0"/>
    <w:rsid w:val="008F6566"/>
    <w:rsid w:val="008F679C"/>
    <w:rsid w:val="008F6FC2"/>
    <w:rsid w:val="008F71EF"/>
    <w:rsid w:val="008F7A9D"/>
    <w:rsid w:val="00900508"/>
    <w:rsid w:val="00901E1E"/>
    <w:rsid w:val="009026FC"/>
    <w:rsid w:val="00902D4C"/>
    <w:rsid w:val="00904E56"/>
    <w:rsid w:val="00905425"/>
    <w:rsid w:val="00905E36"/>
    <w:rsid w:val="00907B47"/>
    <w:rsid w:val="00912A38"/>
    <w:rsid w:val="00913716"/>
    <w:rsid w:val="00913B35"/>
    <w:rsid w:val="009147B3"/>
    <w:rsid w:val="00916708"/>
    <w:rsid w:val="00916BD5"/>
    <w:rsid w:val="0091769E"/>
    <w:rsid w:val="00917999"/>
    <w:rsid w:val="00917BF8"/>
    <w:rsid w:val="0092089F"/>
    <w:rsid w:val="00922E55"/>
    <w:rsid w:val="0092352E"/>
    <w:rsid w:val="009262D5"/>
    <w:rsid w:val="00927162"/>
    <w:rsid w:val="0092748E"/>
    <w:rsid w:val="00931691"/>
    <w:rsid w:val="0093403F"/>
    <w:rsid w:val="009346FF"/>
    <w:rsid w:val="0094060D"/>
    <w:rsid w:val="00940B61"/>
    <w:rsid w:val="00940C53"/>
    <w:rsid w:val="00940FE3"/>
    <w:rsid w:val="009429E1"/>
    <w:rsid w:val="00942D80"/>
    <w:rsid w:val="00943BD1"/>
    <w:rsid w:val="0095183F"/>
    <w:rsid w:val="009520FD"/>
    <w:rsid w:val="0095291D"/>
    <w:rsid w:val="00954CAE"/>
    <w:rsid w:val="009551E8"/>
    <w:rsid w:val="009565CF"/>
    <w:rsid w:val="00956621"/>
    <w:rsid w:val="00956A70"/>
    <w:rsid w:val="00957870"/>
    <w:rsid w:val="00963416"/>
    <w:rsid w:val="00963C4C"/>
    <w:rsid w:val="0096734B"/>
    <w:rsid w:val="0096755F"/>
    <w:rsid w:val="00970BE6"/>
    <w:rsid w:val="00971C3A"/>
    <w:rsid w:val="00972E5F"/>
    <w:rsid w:val="00974030"/>
    <w:rsid w:val="00975546"/>
    <w:rsid w:val="009758F3"/>
    <w:rsid w:val="00977C42"/>
    <w:rsid w:val="00980038"/>
    <w:rsid w:val="00980916"/>
    <w:rsid w:val="00983599"/>
    <w:rsid w:val="00985901"/>
    <w:rsid w:val="00985D9D"/>
    <w:rsid w:val="0098633C"/>
    <w:rsid w:val="00986544"/>
    <w:rsid w:val="0098678D"/>
    <w:rsid w:val="00993072"/>
    <w:rsid w:val="00994E00"/>
    <w:rsid w:val="00995A0B"/>
    <w:rsid w:val="009963C1"/>
    <w:rsid w:val="009968A3"/>
    <w:rsid w:val="00996E1D"/>
    <w:rsid w:val="00997AFC"/>
    <w:rsid w:val="00997B9C"/>
    <w:rsid w:val="009A09E7"/>
    <w:rsid w:val="009A17AB"/>
    <w:rsid w:val="009A30FA"/>
    <w:rsid w:val="009A4B2D"/>
    <w:rsid w:val="009A4B9C"/>
    <w:rsid w:val="009A7604"/>
    <w:rsid w:val="009A7C3E"/>
    <w:rsid w:val="009B0F5B"/>
    <w:rsid w:val="009B2801"/>
    <w:rsid w:val="009B4F92"/>
    <w:rsid w:val="009C00B3"/>
    <w:rsid w:val="009C1824"/>
    <w:rsid w:val="009C22A8"/>
    <w:rsid w:val="009C2DA9"/>
    <w:rsid w:val="009C553D"/>
    <w:rsid w:val="009C56F5"/>
    <w:rsid w:val="009C635F"/>
    <w:rsid w:val="009D0422"/>
    <w:rsid w:val="009D0D8E"/>
    <w:rsid w:val="009D1E21"/>
    <w:rsid w:val="009D2AA8"/>
    <w:rsid w:val="009D2AAF"/>
    <w:rsid w:val="009D2BC9"/>
    <w:rsid w:val="009D4D2B"/>
    <w:rsid w:val="009E17E9"/>
    <w:rsid w:val="009E4769"/>
    <w:rsid w:val="009E579C"/>
    <w:rsid w:val="009E65C8"/>
    <w:rsid w:val="009E7674"/>
    <w:rsid w:val="009F0BC3"/>
    <w:rsid w:val="009F17BA"/>
    <w:rsid w:val="009F3788"/>
    <w:rsid w:val="009F5C6C"/>
    <w:rsid w:val="009F7765"/>
    <w:rsid w:val="009F7B88"/>
    <w:rsid w:val="009F7C3E"/>
    <w:rsid w:val="009F7FC5"/>
    <w:rsid w:val="00A01283"/>
    <w:rsid w:val="00A018E6"/>
    <w:rsid w:val="00A01C46"/>
    <w:rsid w:val="00A02133"/>
    <w:rsid w:val="00A040C2"/>
    <w:rsid w:val="00A05DB4"/>
    <w:rsid w:val="00A1019D"/>
    <w:rsid w:val="00A1098C"/>
    <w:rsid w:val="00A1168F"/>
    <w:rsid w:val="00A12315"/>
    <w:rsid w:val="00A13B23"/>
    <w:rsid w:val="00A14E56"/>
    <w:rsid w:val="00A16E76"/>
    <w:rsid w:val="00A21281"/>
    <w:rsid w:val="00A21753"/>
    <w:rsid w:val="00A22A2E"/>
    <w:rsid w:val="00A231EF"/>
    <w:rsid w:val="00A23B0E"/>
    <w:rsid w:val="00A23C49"/>
    <w:rsid w:val="00A24DF3"/>
    <w:rsid w:val="00A25327"/>
    <w:rsid w:val="00A254D2"/>
    <w:rsid w:val="00A25584"/>
    <w:rsid w:val="00A25DCF"/>
    <w:rsid w:val="00A25EF0"/>
    <w:rsid w:val="00A26337"/>
    <w:rsid w:val="00A304FA"/>
    <w:rsid w:val="00A30C3F"/>
    <w:rsid w:val="00A31490"/>
    <w:rsid w:val="00A36D98"/>
    <w:rsid w:val="00A36DEC"/>
    <w:rsid w:val="00A36EB8"/>
    <w:rsid w:val="00A37190"/>
    <w:rsid w:val="00A3754E"/>
    <w:rsid w:val="00A376DA"/>
    <w:rsid w:val="00A42755"/>
    <w:rsid w:val="00A4288C"/>
    <w:rsid w:val="00A4376B"/>
    <w:rsid w:val="00A4395D"/>
    <w:rsid w:val="00A43E7E"/>
    <w:rsid w:val="00A45F3A"/>
    <w:rsid w:val="00A46722"/>
    <w:rsid w:val="00A51118"/>
    <w:rsid w:val="00A519A2"/>
    <w:rsid w:val="00A531E0"/>
    <w:rsid w:val="00A5414B"/>
    <w:rsid w:val="00A554B2"/>
    <w:rsid w:val="00A55ED7"/>
    <w:rsid w:val="00A55F71"/>
    <w:rsid w:val="00A60F57"/>
    <w:rsid w:val="00A63601"/>
    <w:rsid w:val="00A643AF"/>
    <w:rsid w:val="00A66348"/>
    <w:rsid w:val="00A67268"/>
    <w:rsid w:val="00A67644"/>
    <w:rsid w:val="00A6794E"/>
    <w:rsid w:val="00A67BA9"/>
    <w:rsid w:val="00A701ED"/>
    <w:rsid w:val="00A71300"/>
    <w:rsid w:val="00A716DD"/>
    <w:rsid w:val="00A717E8"/>
    <w:rsid w:val="00A72FCA"/>
    <w:rsid w:val="00A73DA4"/>
    <w:rsid w:val="00A74577"/>
    <w:rsid w:val="00A747DA"/>
    <w:rsid w:val="00A748C7"/>
    <w:rsid w:val="00A755B7"/>
    <w:rsid w:val="00A75B1D"/>
    <w:rsid w:val="00A75DA8"/>
    <w:rsid w:val="00A763B0"/>
    <w:rsid w:val="00A77179"/>
    <w:rsid w:val="00A80F0C"/>
    <w:rsid w:val="00A8100F"/>
    <w:rsid w:val="00A8129C"/>
    <w:rsid w:val="00A82ED3"/>
    <w:rsid w:val="00A8309A"/>
    <w:rsid w:val="00A859C7"/>
    <w:rsid w:val="00A867A7"/>
    <w:rsid w:val="00A8787C"/>
    <w:rsid w:val="00A92EB1"/>
    <w:rsid w:val="00A93460"/>
    <w:rsid w:val="00A93B4F"/>
    <w:rsid w:val="00A94126"/>
    <w:rsid w:val="00A94AAE"/>
    <w:rsid w:val="00A9535D"/>
    <w:rsid w:val="00AA06EF"/>
    <w:rsid w:val="00AA1C1A"/>
    <w:rsid w:val="00AA25A4"/>
    <w:rsid w:val="00AA25B6"/>
    <w:rsid w:val="00AA2AD9"/>
    <w:rsid w:val="00AA6B28"/>
    <w:rsid w:val="00AB0048"/>
    <w:rsid w:val="00AB0D7B"/>
    <w:rsid w:val="00AB190E"/>
    <w:rsid w:val="00AB2B91"/>
    <w:rsid w:val="00AB3059"/>
    <w:rsid w:val="00AB45FB"/>
    <w:rsid w:val="00AB498B"/>
    <w:rsid w:val="00AB54C2"/>
    <w:rsid w:val="00AB6246"/>
    <w:rsid w:val="00AB7BF3"/>
    <w:rsid w:val="00AC01AE"/>
    <w:rsid w:val="00AC411C"/>
    <w:rsid w:val="00AC5998"/>
    <w:rsid w:val="00AC626D"/>
    <w:rsid w:val="00AC66DA"/>
    <w:rsid w:val="00AC67A1"/>
    <w:rsid w:val="00AC70ED"/>
    <w:rsid w:val="00AC7177"/>
    <w:rsid w:val="00AC7679"/>
    <w:rsid w:val="00AD0BF1"/>
    <w:rsid w:val="00AD2E57"/>
    <w:rsid w:val="00AD3CE7"/>
    <w:rsid w:val="00AD4B6A"/>
    <w:rsid w:val="00AD5832"/>
    <w:rsid w:val="00AD5990"/>
    <w:rsid w:val="00AE08D1"/>
    <w:rsid w:val="00AE0F4B"/>
    <w:rsid w:val="00AE3D47"/>
    <w:rsid w:val="00AE45C6"/>
    <w:rsid w:val="00AE4964"/>
    <w:rsid w:val="00AE4CFE"/>
    <w:rsid w:val="00AE6A4F"/>
    <w:rsid w:val="00AE6C6B"/>
    <w:rsid w:val="00AE7D08"/>
    <w:rsid w:val="00AF48A5"/>
    <w:rsid w:val="00AF6FE8"/>
    <w:rsid w:val="00B0031E"/>
    <w:rsid w:val="00B00453"/>
    <w:rsid w:val="00B00489"/>
    <w:rsid w:val="00B011DC"/>
    <w:rsid w:val="00B023D5"/>
    <w:rsid w:val="00B02529"/>
    <w:rsid w:val="00B033DB"/>
    <w:rsid w:val="00B047F5"/>
    <w:rsid w:val="00B04D33"/>
    <w:rsid w:val="00B05CFA"/>
    <w:rsid w:val="00B06D42"/>
    <w:rsid w:val="00B072A5"/>
    <w:rsid w:val="00B07CB8"/>
    <w:rsid w:val="00B11EA9"/>
    <w:rsid w:val="00B122EF"/>
    <w:rsid w:val="00B123B3"/>
    <w:rsid w:val="00B13D0F"/>
    <w:rsid w:val="00B14227"/>
    <w:rsid w:val="00B14311"/>
    <w:rsid w:val="00B15A63"/>
    <w:rsid w:val="00B15E33"/>
    <w:rsid w:val="00B16565"/>
    <w:rsid w:val="00B16DD3"/>
    <w:rsid w:val="00B17799"/>
    <w:rsid w:val="00B202C3"/>
    <w:rsid w:val="00B2085E"/>
    <w:rsid w:val="00B21BCD"/>
    <w:rsid w:val="00B247D4"/>
    <w:rsid w:val="00B24E19"/>
    <w:rsid w:val="00B26BE9"/>
    <w:rsid w:val="00B26FA3"/>
    <w:rsid w:val="00B30644"/>
    <w:rsid w:val="00B30689"/>
    <w:rsid w:val="00B3071D"/>
    <w:rsid w:val="00B317C5"/>
    <w:rsid w:val="00B32328"/>
    <w:rsid w:val="00B34E93"/>
    <w:rsid w:val="00B357FD"/>
    <w:rsid w:val="00B36DCA"/>
    <w:rsid w:val="00B40C21"/>
    <w:rsid w:val="00B41036"/>
    <w:rsid w:val="00B4190A"/>
    <w:rsid w:val="00B437AB"/>
    <w:rsid w:val="00B43D9D"/>
    <w:rsid w:val="00B43EA8"/>
    <w:rsid w:val="00B440FD"/>
    <w:rsid w:val="00B44BA8"/>
    <w:rsid w:val="00B4624C"/>
    <w:rsid w:val="00B478FE"/>
    <w:rsid w:val="00B47F00"/>
    <w:rsid w:val="00B509BE"/>
    <w:rsid w:val="00B5195E"/>
    <w:rsid w:val="00B52709"/>
    <w:rsid w:val="00B533C4"/>
    <w:rsid w:val="00B54BA9"/>
    <w:rsid w:val="00B552A6"/>
    <w:rsid w:val="00B5576A"/>
    <w:rsid w:val="00B55D36"/>
    <w:rsid w:val="00B620F5"/>
    <w:rsid w:val="00B62341"/>
    <w:rsid w:val="00B62F4B"/>
    <w:rsid w:val="00B64C11"/>
    <w:rsid w:val="00B64CE8"/>
    <w:rsid w:val="00B64EF9"/>
    <w:rsid w:val="00B664D2"/>
    <w:rsid w:val="00B66B8E"/>
    <w:rsid w:val="00B6731F"/>
    <w:rsid w:val="00B676CC"/>
    <w:rsid w:val="00B677AB"/>
    <w:rsid w:val="00B67935"/>
    <w:rsid w:val="00B67AF7"/>
    <w:rsid w:val="00B70072"/>
    <w:rsid w:val="00B72130"/>
    <w:rsid w:val="00B74916"/>
    <w:rsid w:val="00B755A0"/>
    <w:rsid w:val="00B7667E"/>
    <w:rsid w:val="00B772B6"/>
    <w:rsid w:val="00B77DFA"/>
    <w:rsid w:val="00B81D1E"/>
    <w:rsid w:val="00B82C68"/>
    <w:rsid w:val="00B8402B"/>
    <w:rsid w:val="00B87F44"/>
    <w:rsid w:val="00B902FF"/>
    <w:rsid w:val="00B90B52"/>
    <w:rsid w:val="00B931CB"/>
    <w:rsid w:val="00B942B6"/>
    <w:rsid w:val="00B9636E"/>
    <w:rsid w:val="00B963C6"/>
    <w:rsid w:val="00B964F2"/>
    <w:rsid w:val="00B97412"/>
    <w:rsid w:val="00BA1780"/>
    <w:rsid w:val="00BA2498"/>
    <w:rsid w:val="00BA2ED5"/>
    <w:rsid w:val="00BA454B"/>
    <w:rsid w:val="00BA5468"/>
    <w:rsid w:val="00BA5744"/>
    <w:rsid w:val="00BA594C"/>
    <w:rsid w:val="00BA620B"/>
    <w:rsid w:val="00BA67CE"/>
    <w:rsid w:val="00BA72A8"/>
    <w:rsid w:val="00BA7368"/>
    <w:rsid w:val="00BA7461"/>
    <w:rsid w:val="00BA7D97"/>
    <w:rsid w:val="00BB08B2"/>
    <w:rsid w:val="00BB0B08"/>
    <w:rsid w:val="00BB1123"/>
    <w:rsid w:val="00BB1D1D"/>
    <w:rsid w:val="00BB1D42"/>
    <w:rsid w:val="00BB1DEC"/>
    <w:rsid w:val="00BB51DC"/>
    <w:rsid w:val="00BB56D4"/>
    <w:rsid w:val="00BB74FF"/>
    <w:rsid w:val="00BC017D"/>
    <w:rsid w:val="00BC06A8"/>
    <w:rsid w:val="00BC0987"/>
    <w:rsid w:val="00BC1677"/>
    <w:rsid w:val="00BC1C36"/>
    <w:rsid w:val="00BC1E92"/>
    <w:rsid w:val="00BC4D28"/>
    <w:rsid w:val="00BC5662"/>
    <w:rsid w:val="00BD166F"/>
    <w:rsid w:val="00BD491A"/>
    <w:rsid w:val="00BD5831"/>
    <w:rsid w:val="00BD7D7B"/>
    <w:rsid w:val="00BE0BEF"/>
    <w:rsid w:val="00BE210F"/>
    <w:rsid w:val="00BE2865"/>
    <w:rsid w:val="00BF0265"/>
    <w:rsid w:val="00BF0BA5"/>
    <w:rsid w:val="00BF257E"/>
    <w:rsid w:val="00BF2953"/>
    <w:rsid w:val="00BF2D53"/>
    <w:rsid w:val="00BF3CE6"/>
    <w:rsid w:val="00BF4B32"/>
    <w:rsid w:val="00C01000"/>
    <w:rsid w:val="00C015A5"/>
    <w:rsid w:val="00C045A0"/>
    <w:rsid w:val="00C054CD"/>
    <w:rsid w:val="00C07092"/>
    <w:rsid w:val="00C0768E"/>
    <w:rsid w:val="00C1156E"/>
    <w:rsid w:val="00C12A96"/>
    <w:rsid w:val="00C1385E"/>
    <w:rsid w:val="00C144F5"/>
    <w:rsid w:val="00C15706"/>
    <w:rsid w:val="00C21AB2"/>
    <w:rsid w:val="00C2274B"/>
    <w:rsid w:val="00C248CC"/>
    <w:rsid w:val="00C25D39"/>
    <w:rsid w:val="00C278E5"/>
    <w:rsid w:val="00C305DA"/>
    <w:rsid w:val="00C308FC"/>
    <w:rsid w:val="00C312D0"/>
    <w:rsid w:val="00C327A5"/>
    <w:rsid w:val="00C33EF9"/>
    <w:rsid w:val="00C34319"/>
    <w:rsid w:val="00C345F6"/>
    <w:rsid w:val="00C34C23"/>
    <w:rsid w:val="00C34CBF"/>
    <w:rsid w:val="00C35357"/>
    <w:rsid w:val="00C36670"/>
    <w:rsid w:val="00C406A9"/>
    <w:rsid w:val="00C40CBF"/>
    <w:rsid w:val="00C40D13"/>
    <w:rsid w:val="00C42F1D"/>
    <w:rsid w:val="00C43FC8"/>
    <w:rsid w:val="00C46338"/>
    <w:rsid w:val="00C46708"/>
    <w:rsid w:val="00C50767"/>
    <w:rsid w:val="00C51054"/>
    <w:rsid w:val="00C51AB9"/>
    <w:rsid w:val="00C52889"/>
    <w:rsid w:val="00C52D6B"/>
    <w:rsid w:val="00C53999"/>
    <w:rsid w:val="00C53DAB"/>
    <w:rsid w:val="00C54653"/>
    <w:rsid w:val="00C568DD"/>
    <w:rsid w:val="00C576F9"/>
    <w:rsid w:val="00C61834"/>
    <w:rsid w:val="00C65627"/>
    <w:rsid w:val="00C65A0F"/>
    <w:rsid w:val="00C662C1"/>
    <w:rsid w:val="00C67CA2"/>
    <w:rsid w:val="00C70F24"/>
    <w:rsid w:val="00C7546E"/>
    <w:rsid w:val="00C76997"/>
    <w:rsid w:val="00C8203C"/>
    <w:rsid w:val="00C8302F"/>
    <w:rsid w:val="00C838FC"/>
    <w:rsid w:val="00C85FFF"/>
    <w:rsid w:val="00C862D7"/>
    <w:rsid w:val="00C873CC"/>
    <w:rsid w:val="00C91BBB"/>
    <w:rsid w:val="00C93B2A"/>
    <w:rsid w:val="00C95350"/>
    <w:rsid w:val="00C959B4"/>
    <w:rsid w:val="00C961BD"/>
    <w:rsid w:val="00C96B2D"/>
    <w:rsid w:val="00C96DA5"/>
    <w:rsid w:val="00C97DFA"/>
    <w:rsid w:val="00CA0962"/>
    <w:rsid w:val="00CA5F8D"/>
    <w:rsid w:val="00CA67C7"/>
    <w:rsid w:val="00CA7384"/>
    <w:rsid w:val="00CB1751"/>
    <w:rsid w:val="00CB3A58"/>
    <w:rsid w:val="00CB7701"/>
    <w:rsid w:val="00CC1C22"/>
    <w:rsid w:val="00CC39CD"/>
    <w:rsid w:val="00CC3BCB"/>
    <w:rsid w:val="00CC7DFC"/>
    <w:rsid w:val="00CD09F7"/>
    <w:rsid w:val="00CD0DCC"/>
    <w:rsid w:val="00CD1C29"/>
    <w:rsid w:val="00CD2CB0"/>
    <w:rsid w:val="00CD354D"/>
    <w:rsid w:val="00CD3E8C"/>
    <w:rsid w:val="00CD43FC"/>
    <w:rsid w:val="00CD461C"/>
    <w:rsid w:val="00CD4C65"/>
    <w:rsid w:val="00CD57FB"/>
    <w:rsid w:val="00CD5AB8"/>
    <w:rsid w:val="00CD5D7B"/>
    <w:rsid w:val="00CE1D1C"/>
    <w:rsid w:val="00CE2B49"/>
    <w:rsid w:val="00CE32AE"/>
    <w:rsid w:val="00CE3C23"/>
    <w:rsid w:val="00CE3CD5"/>
    <w:rsid w:val="00CE3DD8"/>
    <w:rsid w:val="00CF03D1"/>
    <w:rsid w:val="00CF0562"/>
    <w:rsid w:val="00CF0884"/>
    <w:rsid w:val="00CF088B"/>
    <w:rsid w:val="00CF191F"/>
    <w:rsid w:val="00CF3971"/>
    <w:rsid w:val="00CF4D81"/>
    <w:rsid w:val="00CF5E40"/>
    <w:rsid w:val="00CF667A"/>
    <w:rsid w:val="00D0039D"/>
    <w:rsid w:val="00D01DE0"/>
    <w:rsid w:val="00D067E0"/>
    <w:rsid w:val="00D0757E"/>
    <w:rsid w:val="00D108C2"/>
    <w:rsid w:val="00D11813"/>
    <w:rsid w:val="00D1298B"/>
    <w:rsid w:val="00D12F43"/>
    <w:rsid w:val="00D13B9F"/>
    <w:rsid w:val="00D13C1E"/>
    <w:rsid w:val="00D146F4"/>
    <w:rsid w:val="00D1751E"/>
    <w:rsid w:val="00D2051D"/>
    <w:rsid w:val="00D2069B"/>
    <w:rsid w:val="00D21EEA"/>
    <w:rsid w:val="00D22184"/>
    <w:rsid w:val="00D22801"/>
    <w:rsid w:val="00D2288E"/>
    <w:rsid w:val="00D23191"/>
    <w:rsid w:val="00D2373A"/>
    <w:rsid w:val="00D254F9"/>
    <w:rsid w:val="00D32E88"/>
    <w:rsid w:val="00D33D2C"/>
    <w:rsid w:val="00D33D3F"/>
    <w:rsid w:val="00D33D52"/>
    <w:rsid w:val="00D342F8"/>
    <w:rsid w:val="00D35921"/>
    <w:rsid w:val="00D37757"/>
    <w:rsid w:val="00D42D5F"/>
    <w:rsid w:val="00D42F40"/>
    <w:rsid w:val="00D43C0E"/>
    <w:rsid w:val="00D4466B"/>
    <w:rsid w:val="00D44CED"/>
    <w:rsid w:val="00D460F2"/>
    <w:rsid w:val="00D47861"/>
    <w:rsid w:val="00D50671"/>
    <w:rsid w:val="00D5296C"/>
    <w:rsid w:val="00D54BF8"/>
    <w:rsid w:val="00D55820"/>
    <w:rsid w:val="00D60BD1"/>
    <w:rsid w:val="00D6104D"/>
    <w:rsid w:val="00D648BB"/>
    <w:rsid w:val="00D65C77"/>
    <w:rsid w:val="00D66C88"/>
    <w:rsid w:val="00D73163"/>
    <w:rsid w:val="00D74733"/>
    <w:rsid w:val="00D7492E"/>
    <w:rsid w:val="00D76EA3"/>
    <w:rsid w:val="00D7703E"/>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41CA"/>
    <w:rsid w:val="00DA5A63"/>
    <w:rsid w:val="00DA60B1"/>
    <w:rsid w:val="00DA73AB"/>
    <w:rsid w:val="00DB0619"/>
    <w:rsid w:val="00DB0FF4"/>
    <w:rsid w:val="00DB2859"/>
    <w:rsid w:val="00DB3157"/>
    <w:rsid w:val="00DB36E5"/>
    <w:rsid w:val="00DB6C55"/>
    <w:rsid w:val="00DB78CD"/>
    <w:rsid w:val="00DB79F2"/>
    <w:rsid w:val="00DB7F28"/>
    <w:rsid w:val="00DC0ADE"/>
    <w:rsid w:val="00DC1326"/>
    <w:rsid w:val="00DC1800"/>
    <w:rsid w:val="00DC1F9D"/>
    <w:rsid w:val="00DC22B3"/>
    <w:rsid w:val="00DC47F9"/>
    <w:rsid w:val="00DC5255"/>
    <w:rsid w:val="00DC5F9B"/>
    <w:rsid w:val="00DC624E"/>
    <w:rsid w:val="00DC787B"/>
    <w:rsid w:val="00DD20F9"/>
    <w:rsid w:val="00DD304F"/>
    <w:rsid w:val="00DD3F4A"/>
    <w:rsid w:val="00DD55BF"/>
    <w:rsid w:val="00DD79ED"/>
    <w:rsid w:val="00DE19F8"/>
    <w:rsid w:val="00DE1F32"/>
    <w:rsid w:val="00DE20EA"/>
    <w:rsid w:val="00DE25BB"/>
    <w:rsid w:val="00DE2F8C"/>
    <w:rsid w:val="00DE43BE"/>
    <w:rsid w:val="00DE7DCD"/>
    <w:rsid w:val="00DF180B"/>
    <w:rsid w:val="00DF2230"/>
    <w:rsid w:val="00DF4164"/>
    <w:rsid w:val="00DF6B4C"/>
    <w:rsid w:val="00DF6FAD"/>
    <w:rsid w:val="00E02766"/>
    <w:rsid w:val="00E05640"/>
    <w:rsid w:val="00E0600F"/>
    <w:rsid w:val="00E06AE8"/>
    <w:rsid w:val="00E14018"/>
    <w:rsid w:val="00E1458E"/>
    <w:rsid w:val="00E16DFE"/>
    <w:rsid w:val="00E17DF3"/>
    <w:rsid w:val="00E21F2B"/>
    <w:rsid w:val="00E22306"/>
    <w:rsid w:val="00E22A58"/>
    <w:rsid w:val="00E23D2E"/>
    <w:rsid w:val="00E24161"/>
    <w:rsid w:val="00E24C10"/>
    <w:rsid w:val="00E26A5B"/>
    <w:rsid w:val="00E27425"/>
    <w:rsid w:val="00E32841"/>
    <w:rsid w:val="00E34A00"/>
    <w:rsid w:val="00E36DB7"/>
    <w:rsid w:val="00E4314D"/>
    <w:rsid w:val="00E4399D"/>
    <w:rsid w:val="00E46BAA"/>
    <w:rsid w:val="00E5080E"/>
    <w:rsid w:val="00E524AE"/>
    <w:rsid w:val="00E535AE"/>
    <w:rsid w:val="00E54491"/>
    <w:rsid w:val="00E55393"/>
    <w:rsid w:val="00E55F7F"/>
    <w:rsid w:val="00E56AE7"/>
    <w:rsid w:val="00E56BC0"/>
    <w:rsid w:val="00E5717C"/>
    <w:rsid w:val="00E5762C"/>
    <w:rsid w:val="00E57C7E"/>
    <w:rsid w:val="00E6111C"/>
    <w:rsid w:val="00E65166"/>
    <w:rsid w:val="00E654A0"/>
    <w:rsid w:val="00E66BFB"/>
    <w:rsid w:val="00E67FC4"/>
    <w:rsid w:val="00E70A23"/>
    <w:rsid w:val="00E71BB4"/>
    <w:rsid w:val="00E74605"/>
    <w:rsid w:val="00E75008"/>
    <w:rsid w:val="00E7584C"/>
    <w:rsid w:val="00E7621F"/>
    <w:rsid w:val="00E76D99"/>
    <w:rsid w:val="00E77549"/>
    <w:rsid w:val="00E815F5"/>
    <w:rsid w:val="00E819AD"/>
    <w:rsid w:val="00E82C3B"/>
    <w:rsid w:val="00E82CE1"/>
    <w:rsid w:val="00E838E0"/>
    <w:rsid w:val="00E85616"/>
    <w:rsid w:val="00E86D69"/>
    <w:rsid w:val="00E87A47"/>
    <w:rsid w:val="00E91010"/>
    <w:rsid w:val="00E9207C"/>
    <w:rsid w:val="00E9348C"/>
    <w:rsid w:val="00E934CB"/>
    <w:rsid w:val="00E942CB"/>
    <w:rsid w:val="00E957A3"/>
    <w:rsid w:val="00E96EBF"/>
    <w:rsid w:val="00E975A9"/>
    <w:rsid w:val="00E97DCA"/>
    <w:rsid w:val="00EA13C8"/>
    <w:rsid w:val="00EA1B5E"/>
    <w:rsid w:val="00EA4F49"/>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E0105"/>
    <w:rsid w:val="00EE0CB5"/>
    <w:rsid w:val="00EE1730"/>
    <w:rsid w:val="00EE4205"/>
    <w:rsid w:val="00EE58DB"/>
    <w:rsid w:val="00EF2151"/>
    <w:rsid w:val="00EF3C0E"/>
    <w:rsid w:val="00EF3FE1"/>
    <w:rsid w:val="00EF4E29"/>
    <w:rsid w:val="00EF5408"/>
    <w:rsid w:val="00EF5765"/>
    <w:rsid w:val="00F02D6F"/>
    <w:rsid w:val="00F02F49"/>
    <w:rsid w:val="00F04D44"/>
    <w:rsid w:val="00F051FB"/>
    <w:rsid w:val="00F05B49"/>
    <w:rsid w:val="00F064B3"/>
    <w:rsid w:val="00F07649"/>
    <w:rsid w:val="00F1453B"/>
    <w:rsid w:val="00F14A50"/>
    <w:rsid w:val="00F15030"/>
    <w:rsid w:val="00F17B33"/>
    <w:rsid w:val="00F20799"/>
    <w:rsid w:val="00F2083E"/>
    <w:rsid w:val="00F21D34"/>
    <w:rsid w:val="00F2520B"/>
    <w:rsid w:val="00F25E55"/>
    <w:rsid w:val="00F26165"/>
    <w:rsid w:val="00F26514"/>
    <w:rsid w:val="00F26B05"/>
    <w:rsid w:val="00F30557"/>
    <w:rsid w:val="00F30DDD"/>
    <w:rsid w:val="00F32EE7"/>
    <w:rsid w:val="00F34554"/>
    <w:rsid w:val="00F34CCB"/>
    <w:rsid w:val="00F35167"/>
    <w:rsid w:val="00F35D52"/>
    <w:rsid w:val="00F407F0"/>
    <w:rsid w:val="00F40905"/>
    <w:rsid w:val="00F42D77"/>
    <w:rsid w:val="00F45C90"/>
    <w:rsid w:val="00F46B1C"/>
    <w:rsid w:val="00F46B42"/>
    <w:rsid w:val="00F477B2"/>
    <w:rsid w:val="00F51A57"/>
    <w:rsid w:val="00F53813"/>
    <w:rsid w:val="00F54AD5"/>
    <w:rsid w:val="00F54BCF"/>
    <w:rsid w:val="00F54EF6"/>
    <w:rsid w:val="00F60161"/>
    <w:rsid w:val="00F60957"/>
    <w:rsid w:val="00F62F83"/>
    <w:rsid w:val="00F62FC8"/>
    <w:rsid w:val="00F631F2"/>
    <w:rsid w:val="00F66918"/>
    <w:rsid w:val="00F70534"/>
    <w:rsid w:val="00F70C08"/>
    <w:rsid w:val="00F7132A"/>
    <w:rsid w:val="00F71B57"/>
    <w:rsid w:val="00F72A57"/>
    <w:rsid w:val="00F73F45"/>
    <w:rsid w:val="00F748BB"/>
    <w:rsid w:val="00F748E0"/>
    <w:rsid w:val="00F755CB"/>
    <w:rsid w:val="00F80C8B"/>
    <w:rsid w:val="00F839CE"/>
    <w:rsid w:val="00F83E14"/>
    <w:rsid w:val="00F84342"/>
    <w:rsid w:val="00F8533E"/>
    <w:rsid w:val="00F85F06"/>
    <w:rsid w:val="00F86A7A"/>
    <w:rsid w:val="00F86DCE"/>
    <w:rsid w:val="00F90658"/>
    <w:rsid w:val="00F90AB3"/>
    <w:rsid w:val="00F917CC"/>
    <w:rsid w:val="00F917E2"/>
    <w:rsid w:val="00F91B1D"/>
    <w:rsid w:val="00F92D90"/>
    <w:rsid w:val="00F94295"/>
    <w:rsid w:val="00F94A1B"/>
    <w:rsid w:val="00F95498"/>
    <w:rsid w:val="00F95F8F"/>
    <w:rsid w:val="00F96CF6"/>
    <w:rsid w:val="00F97ADD"/>
    <w:rsid w:val="00F97CEA"/>
    <w:rsid w:val="00FA0874"/>
    <w:rsid w:val="00FA12D7"/>
    <w:rsid w:val="00FA14A6"/>
    <w:rsid w:val="00FA1597"/>
    <w:rsid w:val="00FA36E1"/>
    <w:rsid w:val="00FA399C"/>
    <w:rsid w:val="00FA4DB7"/>
    <w:rsid w:val="00FA73CF"/>
    <w:rsid w:val="00FB0F0A"/>
    <w:rsid w:val="00FB27AA"/>
    <w:rsid w:val="00FB469C"/>
    <w:rsid w:val="00FB5476"/>
    <w:rsid w:val="00FB559A"/>
    <w:rsid w:val="00FB570D"/>
    <w:rsid w:val="00FB7AC6"/>
    <w:rsid w:val="00FC02EA"/>
    <w:rsid w:val="00FC071A"/>
    <w:rsid w:val="00FC0A07"/>
    <w:rsid w:val="00FC31D9"/>
    <w:rsid w:val="00FC3E8F"/>
    <w:rsid w:val="00FC457A"/>
    <w:rsid w:val="00FC48F9"/>
    <w:rsid w:val="00FC623A"/>
    <w:rsid w:val="00FC632B"/>
    <w:rsid w:val="00FC7750"/>
    <w:rsid w:val="00FD0DFF"/>
    <w:rsid w:val="00FD5558"/>
    <w:rsid w:val="00FD58EF"/>
    <w:rsid w:val="00FE2934"/>
    <w:rsid w:val="00FE5669"/>
    <w:rsid w:val="00FE5C14"/>
    <w:rsid w:val="00FF0137"/>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0538B8C5-EFB4-4F89-8E09-5FF13F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518F7-EE18-45D7-BE05-9D4916D02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4294966210</TotalTime>
  <Pages>9</Pages>
  <Words>2828</Words>
  <Characters>15557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Mariela López de Meneses</cp:lastModifiedBy>
  <cp:revision>12</cp:revision>
  <cp:lastPrinted>2016-04-18T20:18:00Z</cp:lastPrinted>
  <dcterms:created xsi:type="dcterms:W3CDTF">2016-04-13T13:36:00Z</dcterms:created>
  <dcterms:modified xsi:type="dcterms:W3CDTF">2016-09-23T15:04:00Z</dcterms:modified>
</cp:coreProperties>
</file>