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4F" w:rsidRPr="00E005BA" w:rsidRDefault="007D144F" w:rsidP="007D144F">
      <w:pPr>
        <w:tabs>
          <w:tab w:val="left" w:pos="4046"/>
        </w:tabs>
        <w:jc w:val="both"/>
        <w:rPr>
          <w:rFonts w:ascii="Arial" w:hAnsi="Arial" w:cs="Arial"/>
          <w:spacing w:val="-4"/>
          <w:sz w:val="19"/>
          <w:szCs w:val="19"/>
          <w:lang w:val="es-CO" w:eastAsia="es-CO"/>
        </w:rPr>
      </w:pPr>
      <w:r w:rsidRPr="00E005BA">
        <w:rPr>
          <w:rFonts w:ascii="Arial" w:hAnsi="Arial" w:cs="Arial"/>
          <w:spacing w:val="-4"/>
          <w:sz w:val="19"/>
          <w:szCs w:val="19"/>
          <w:lang w:val="es-CO" w:eastAsia="es-CO"/>
        </w:rPr>
        <w:t xml:space="preserve">CARENCIA ACTUAL DE OBJETO/ </w:t>
      </w:r>
      <w:r w:rsidR="00E005BA" w:rsidRPr="00E005BA">
        <w:rPr>
          <w:rFonts w:ascii="Arial" w:hAnsi="Arial" w:cs="Arial"/>
          <w:spacing w:val="-4"/>
          <w:sz w:val="19"/>
          <w:szCs w:val="19"/>
          <w:lang w:val="es-CO" w:eastAsia="es-CO"/>
        </w:rPr>
        <w:t>Superación del hecho que generaba la mora judicial</w:t>
      </w:r>
      <w:r w:rsidR="00FF1BE8" w:rsidRPr="00E005BA">
        <w:rPr>
          <w:rFonts w:ascii="Arial" w:hAnsi="Arial" w:cs="Arial"/>
          <w:spacing w:val="-4"/>
          <w:sz w:val="19"/>
          <w:szCs w:val="19"/>
          <w:lang w:val="es-CO" w:eastAsia="es-CO"/>
        </w:rPr>
        <w:t xml:space="preserve"> </w:t>
      </w:r>
    </w:p>
    <w:p w:rsidR="00DF26CF" w:rsidRPr="00E005BA" w:rsidRDefault="00DF26CF" w:rsidP="007D144F">
      <w:pPr>
        <w:tabs>
          <w:tab w:val="left" w:pos="4046"/>
        </w:tabs>
        <w:jc w:val="both"/>
        <w:rPr>
          <w:rFonts w:ascii="Arial" w:hAnsi="Arial" w:cs="Arial"/>
          <w:spacing w:val="-4"/>
          <w:sz w:val="19"/>
          <w:szCs w:val="19"/>
          <w:lang w:val="es-CO" w:eastAsia="es-CO"/>
        </w:rPr>
      </w:pPr>
    </w:p>
    <w:p w:rsidR="00945234" w:rsidRPr="00E005BA" w:rsidRDefault="007D144F" w:rsidP="009452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4"/>
          <w:sz w:val="19"/>
          <w:szCs w:val="19"/>
          <w:lang w:val="es-CO" w:eastAsia="es-CO"/>
        </w:rPr>
      </w:pPr>
      <w:r w:rsidRPr="00E005BA">
        <w:rPr>
          <w:rFonts w:ascii="Arial" w:hAnsi="Arial" w:cs="Arial"/>
          <w:spacing w:val="-4"/>
          <w:sz w:val="19"/>
          <w:szCs w:val="19"/>
          <w:lang w:val="es-CO" w:eastAsia="es-CO"/>
        </w:rPr>
        <w:t>“(…)</w:t>
      </w:r>
      <w:r w:rsidR="00FF1BE8" w:rsidRPr="00E005BA">
        <w:rPr>
          <w:rFonts w:ascii="Arial" w:hAnsi="Arial" w:cs="Arial"/>
          <w:spacing w:val="-4"/>
          <w:sz w:val="19"/>
          <w:szCs w:val="19"/>
          <w:lang w:val="es-CO" w:eastAsia="es-CO"/>
        </w:rPr>
        <w:t xml:space="preserve"> </w:t>
      </w:r>
      <w:r w:rsidR="00945234" w:rsidRPr="00E005BA">
        <w:rPr>
          <w:rFonts w:ascii="Arial" w:hAnsi="Arial" w:cs="Arial"/>
          <w:spacing w:val="-4"/>
          <w:sz w:val="19"/>
          <w:szCs w:val="19"/>
          <w:lang w:val="es-CO" w:eastAsia="es-CO"/>
        </w:rPr>
        <w:t>si bien no lo hizo dentro de los plazos ley (Artículo 20 de la Ley 472), pues, las demandas fueron recibidas el día 17-03-2016 (</w:t>
      </w:r>
      <w:r w:rsidR="00FF1BE8" w:rsidRPr="00E005BA">
        <w:rPr>
          <w:rFonts w:ascii="Arial" w:hAnsi="Arial" w:cs="Arial"/>
          <w:spacing w:val="-4"/>
          <w:sz w:val="19"/>
          <w:szCs w:val="19"/>
          <w:lang w:val="es-CO" w:eastAsia="es-CO"/>
        </w:rPr>
        <w:t>..</w:t>
      </w:r>
      <w:r w:rsidR="00945234" w:rsidRPr="00E005BA">
        <w:rPr>
          <w:rFonts w:ascii="Arial" w:hAnsi="Arial" w:cs="Arial"/>
          <w:spacing w:val="-4"/>
          <w:sz w:val="19"/>
          <w:szCs w:val="19"/>
          <w:lang w:val="es-CO" w:eastAsia="es-CO"/>
        </w:rPr>
        <w:t xml:space="preserve">.) y el término para decidir venció el día 29-03-2016, se observa que cesó la vulneración </w:t>
      </w:r>
      <w:r w:rsidR="00E005BA" w:rsidRPr="00E005BA">
        <w:rPr>
          <w:rFonts w:ascii="Arial" w:hAnsi="Arial" w:cs="Arial"/>
          <w:spacing w:val="-4"/>
          <w:sz w:val="19"/>
          <w:szCs w:val="19"/>
          <w:lang w:val="es-CO" w:eastAsia="es-CO"/>
        </w:rPr>
        <w:t>(…)</w:t>
      </w:r>
      <w:r w:rsidR="00945234" w:rsidRPr="00E005BA">
        <w:rPr>
          <w:rFonts w:ascii="Arial" w:hAnsi="Arial" w:cs="Arial"/>
          <w:spacing w:val="-4"/>
          <w:sz w:val="19"/>
          <w:szCs w:val="19"/>
          <w:lang w:val="es-CO" w:eastAsia="es-CO"/>
        </w:rPr>
        <w:t xml:space="preserve"> al debido proceso. </w:t>
      </w:r>
    </w:p>
    <w:p w:rsidR="00A962D1" w:rsidRDefault="00A962D1" w:rsidP="009452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4"/>
          <w:sz w:val="19"/>
          <w:szCs w:val="19"/>
          <w:lang w:val="es-CO" w:eastAsia="es-CO"/>
        </w:rPr>
      </w:pPr>
    </w:p>
    <w:p w:rsidR="007D144F" w:rsidRPr="00E005BA" w:rsidRDefault="00A962D1" w:rsidP="009452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4"/>
          <w:sz w:val="19"/>
          <w:szCs w:val="19"/>
          <w:lang w:val="es-CO" w:eastAsia="es-CO"/>
        </w:rPr>
      </w:pPr>
      <w:r>
        <w:rPr>
          <w:rFonts w:ascii="Arial" w:hAnsi="Arial" w:cs="Arial"/>
          <w:spacing w:val="-4"/>
          <w:sz w:val="19"/>
          <w:szCs w:val="19"/>
          <w:lang w:val="es-CO" w:eastAsia="es-CO"/>
        </w:rPr>
        <w:t xml:space="preserve">(…) </w:t>
      </w:r>
      <w:r w:rsidR="00945234" w:rsidRPr="00E005BA">
        <w:rPr>
          <w:rFonts w:ascii="Arial" w:hAnsi="Arial" w:cs="Arial"/>
          <w:spacing w:val="-4"/>
          <w:sz w:val="19"/>
          <w:szCs w:val="19"/>
          <w:lang w:val="es-CO" w:eastAsia="es-CO"/>
        </w:rPr>
        <w:t>no hay objeto jurídico sobre el cual fallar y la decisión que se adopte resultará inocua. De esta manera, se configura el hecho superado, pues las pretensiones del actor se encuentran satisfechas y sus derechos a salvo.</w:t>
      </w:r>
      <w:r w:rsidR="00945234" w:rsidRPr="00E005BA">
        <w:rPr>
          <w:rFonts w:ascii="Arial" w:hAnsi="Arial" w:cs="Arial"/>
          <w:spacing w:val="-4"/>
          <w:sz w:val="19"/>
          <w:szCs w:val="19"/>
          <w:lang w:val="es-CO" w:eastAsia="es-CO"/>
        </w:rPr>
        <w:t>”</w:t>
      </w:r>
    </w:p>
    <w:p w:rsidR="00945234" w:rsidRPr="00E005BA" w:rsidRDefault="00945234" w:rsidP="009452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4"/>
          <w:sz w:val="19"/>
          <w:szCs w:val="19"/>
        </w:rPr>
      </w:pPr>
    </w:p>
    <w:p w:rsidR="00F71A66" w:rsidRPr="00E005BA" w:rsidRDefault="007D144F" w:rsidP="00945234">
      <w:pPr>
        <w:pStyle w:val="Textoindependiente"/>
        <w:spacing w:line="240" w:lineRule="auto"/>
        <w:rPr>
          <w:rFonts w:ascii="Arial" w:hAnsi="Arial" w:cs="Arial"/>
          <w:spacing w:val="-4"/>
          <w:sz w:val="17"/>
          <w:szCs w:val="17"/>
        </w:rPr>
      </w:pPr>
      <w:r w:rsidRPr="00E005BA">
        <w:rPr>
          <w:rFonts w:ascii="Arial" w:hAnsi="Arial" w:cs="Arial"/>
          <w:spacing w:val="-4"/>
          <w:sz w:val="17"/>
          <w:szCs w:val="17"/>
        </w:rPr>
        <w:t xml:space="preserve">Citas: Corte Constitucional, </w:t>
      </w:r>
      <w:r w:rsidRPr="00E005BA">
        <w:rPr>
          <w:rFonts w:ascii="Arial" w:hAnsi="Arial" w:cs="Arial"/>
          <w:bCs/>
          <w:spacing w:val="-4"/>
          <w:sz w:val="17"/>
          <w:szCs w:val="17"/>
        </w:rPr>
        <w:t xml:space="preserve">sentencias </w:t>
      </w:r>
      <w:r w:rsidR="00945234" w:rsidRPr="00E005BA">
        <w:rPr>
          <w:rFonts w:ascii="Arial" w:hAnsi="Arial" w:cs="Arial"/>
          <w:spacing w:val="-4"/>
          <w:sz w:val="17"/>
          <w:szCs w:val="17"/>
        </w:rPr>
        <w:t>T-970 de 2014</w:t>
      </w:r>
      <w:r w:rsidRPr="00E005BA">
        <w:rPr>
          <w:rFonts w:ascii="Arial" w:hAnsi="Arial" w:cs="Arial"/>
          <w:spacing w:val="-4"/>
          <w:sz w:val="17"/>
          <w:szCs w:val="17"/>
        </w:rPr>
        <w:t xml:space="preserve">, </w:t>
      </w:r>
      <w:r w:rsidRPr="00E005BA">
        <w:rPr>
          <w:rFonts w:ascii="Arial" w:hAnsi="Arial" w:cs="Arial"/>
          <w:bCs/>
          <w:spacing w:val="-4"/>
          <w:sz w:val="17"/>
          <w:szCs w:val="17"/>
        </w:rPr>
        <w:t xml:space="preserve">T-011 y </w:t>
      </w:r>
      <w:r w:rsidRPr="00E005BA">
        <w:rPr>
          <w:rFonts w:ascii="Arial" w:hAnsi="Arial" w:cs="Arial"/>
          <w:color w:val="000000"/>
          <w:spacing w:val="-4"/>
          <w:sz w:val="17"/>
          <w:szCs w:val="17"/>
          <w:bdr w:val="none" w:sz="0" w:space="0" w:color="auto" w:frame="1"/>
        </w:rPr>
        <w:t>T-041</w:t>
      </w:r>
      <w:r w:rsidRPr="00E005BA">
        <w:rPr>
          <w:rFonts w:ascii="Arial" w:hAnsi="Arial" w:cs="Arial"/>
          <w:bCs/>
          <w:spacing w:val="-4"/>
          <w:sz w:val="17"/>
          <w:szCs w:val="17"/>
        </w:rPr>
        <w:t xml:space="preserve"> de 2016.</w:t>
      </w:r>
    </w:p>
    <w:p w:rsidR="00EE7CA4" w:rsidRDefault="00EE7CA4" w:rsidP="00F71A66">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Andrés Felipe Morales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244ECA">
        <w:rPr>
          <w:rFonts w:ascii="Arial" w:hAnsi="Arial" w:cs="Arial"/>
          <w:sz w:val="22"/>
        </w:rPr>
        <w:t>Juzgado Segundo 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F7681B">
        <w:rPr>
          <w:rFonts w:ascii="Arial" w:hAnsi="Arial" w:cs="Arial"/>
          <w:sz w:val="22"/>
        </w:rPr>
        <w:t>00379</w:t>
      </w:r>
      <w:r w:rsidRPr="00964618">
        <w:rPr>
          <w:rFonts w:ascii="Arial" w:hAnsi="Arial" w:cs="Arial"/>
          <w:sz w:val="22"/>
        </w:rPr>
        <w:t>-00 (Interno No.</w:t>
      </w:r>
      <w:r w:rsidR="00F7681B">
        <w:rPr>
          <w:rFonts w:ascii="Arial" w:hAnsi="Arial" w:cs="Arial"/>
          <w:sz w:val="22"/>
        </w:rPr>
        <w:t>379</w:t>
      </w:r>
      <w:r w:rsidRPr="00964618">
        <w:rPr>
          <w:rFonts w:ascii="Arial" w:hAnsi="Arial" w:cs="Arial"/>
          <w:sz w:val="22"/>
        </w:rPr>
        <w:t xml:space="preserve">) </w:t>
      </w:r>
      <w:r w:rsidR="00CB272A">
        <w:rPr>
          <w:rFonts w:ascii="Arial" w:hAnsi="Arial" w:cs="Arial"/>
          <w:sz w:val="22"/>
        </w:rPr>
        <w:t xml:space="preserve">y otras </w:t>
      </w:r>
      <w:r w:rsidR="00F7681B">
        <w:rPr>
          <w:rFonts w:ascii="Arial" w:hAnsi="Arial" w:cs="Arial"/>
          <w:sz w:val="22"/>
        </w:rPr>
        <w:t xml:space="preserve">3 </w:t>
      </w:r>
      <w:r w:rsidR="00CB272A">
        <w:rPr>
          <w:rFonts w:ascii="Arial" w:hAnsi="Arial" w:cs="Arial"/>
          <w:sz w:val="22"/>
        </w:rPr>
        <w:t>más</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31BC5">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027135">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027135">
        <w:rPr>
          <w:rFonts w:ascii="Arial" w:hAnsi="Arial" w:cs="Arial"/>
          <w:iCs/>
          <w:smallCaps/>
          <w:szCs w:val="28"/>
          <w:lang w:val="es-CO"/>
        </w:rPr>
        <w:t xml:space="preserve">doce </w:t>
      </w:r>
      <w:r w:rsidRPr="000B1B68">
        <w:rPr>
          <w:rFonts w:ascii="Arial" w:hAnsi="Arial" w:cs="Arial"/>
          <w:iCs/>
          <w:smallCaps/>
          <w:szCs w:val="28"/>
          <w:lang w:val="es-CO"/>
        </w:rPr>
        <w:t>(</w:t>
      </w:r>
      <w:r w:rsidR="009C288C">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0C5EA2">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C04FD" w:rsidRDefault="000147A2" w:rsidP="0099045D">
      <w:pPr>
        <w:spacing w:line="360" w:lineRule="auto"/>
        <w:jc w:val="center"/>
        <w:rPr>
          <w:rFonts w:ascii="Arial" w:hAnsi="Arial" w:cs="Arial"/>
          <w:b/>
          <w:bCs/>
          <w:sz w:val="18"/>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CB272A" w:rsidRDefault="00CB272A" w:rsidP="00CB272A">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Nos.2016-</w:t>
      </w:r>
      <w:r w:rsidR="00F7681B">
        <w:rPr>
          <w:rFonts w:ascii="Arial" w:hAnsi="Arial"/>
          <w:szCs w:val="24"/>
        </w:rPr>
        <w:t>00379</w:t>
      </w:r>
      <w:r>
        <w:rPr>
          <w:rFonts w:ascii="Arial" w:hAnsi="Arial"/>
          <w:szCs w:val="24"/>
        </w:rPr>
        <w:t>-00, 2016-</w:t>
      </w:r>
      <w:r w:rsidR="00F7681B">
        <w:rPr>
          <w:rFonts w:ascii="Arial" w:hAnsi="Arial"/>
          <w:szCs w:val="24"/>
        </w:rPr>
        <w:t>00380</w:t>
      </w:r>
      <w:r>
        <w:rPr>
          <w:rFonts w:ascii="Arial" w:hAnsi="Arial"/>
          <w:szCs w:val="24"/>
        </w:rPr>
        <w:t>-00, 2016-</w:t>
      </w:r>
      <w:r w:rsidR="00F7681B">
        <w:rPr>
          <w:rFonts w:ascii="Arial" w:hAnsi="Arial"/>
          <w:szCs w:val="24"/>
        </w:rPr>
        <w:t>00383</w:t>
      </w:r>
      <w:r>
        <w:rPr>
          <w:rFonts w:ascii="Arial" w:hAnsi="Arial"/>
          <w:szCs w:val="24"/>
        </w:rPr>
        <w:t>-00</w:t>
      </w:r>
      <w:r w:rsidR="00F7681B">
        <w:rPr>
          <w:rFonts w:ascii="Arial" w:hAnsi="Arial"/>
          <w:szCs w:val="24"/>
        </w:rPr>
        <w:t xml:space="preserve"> </w:t>
      </w:r>
      <w:r w:rsidR="0075088B">
        <w:rPr>
          <w:rFonts w:ascii="Arial" w:hAnsi="Arial"/>
          <w:szCs w:val="24"/>
        </w:rPr>
        <w:t>y 2016-</w:t>
      </w:r>
      <w:r w:rsidR="00F7681B">
        <w:rPr>
          <w:rFonts w:ascii="Arial" w:hAnsi="Arial"/>
          <w:szCs w:val="24"/>
        </w:rPr>
        <w:t>00385</w:t>
      </w:r>
      <w:r w:rsidR="0075088B">
        <w:rPr>
          <w:rFonts w:ascii="Arial" w:hAnsi="Arial"/>
          <w:szCs w:val="24"/>
        </w:rPr>
        <w:t>-00</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Default="00CB272A" w:rsidP="00CB272A">
      <w:pPr>
        <w:pStyle w:val="Textoindependiente"/>
        <w:spacing w:line="360" w:lineRule="auto"/>
        <w:rPr>
          <w:rFonts w:ascii="Arial" w:hAnsi="Arial"/>
          <w:szCs w:val="24"/>
        </w:rPr>
      </w:pP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 presentó ante el accionado, las acciones populares radicadas a los Nos.</w:t>
      </w:r>
      <w:r w:rsidR="0075088B">
        <w:rPr>
          <w:rFonts w:ascii="Arial" w:hAnsi="Arial" w:cs="Arial"/>
        </w:rPr>
        <w:t>2016-</w:t>
      </w:r>
      <w:r w:rsidR="00F7681B">
        <w:rPr>
          <w:rFonts w:ascii="Arial" w:hAnsi="Arial" w:cs="Arial"/>
        </w:rPr>
        <w:t>00136</w:t>
      </w:r>
      <w:r w:rsidR="0075088B">
        <w:rPr>
          <w:rFonts w:ascii="Arial" w:hAnsi="Arial" w:cs="Arial"/>
        </w:rPr>
        <w:t>-00, 2016-</w:t>
      </w:r>
      <w:r w:rsidR="00F7681B">
        <w:rPr>
          <w:rFonts w:ascii="Arial" w:hAnsi="Arial" w:cs="Arial"/>
        </w:rPr>
        <w:t>00130</w:t>
      </w:r>
      <w:r w:rsidR="0075088B">
        <w:rPr>
          <w:rFonts w:ascii="Arial" w:hAnsi="Arial" w:cs="Arial"/>
        </w:rPr>
        <w:t>-00, 2016-</w:t>
      </w:r>
      <w:r w:rsidR="00F7681B">
        <w:rPr>
          <w:rFonts w:ascii="Arial" w:hAnsi="Arial" w:cs="Arial"/>
        </w:rPr>
        <w:t>00142</w:t>
      </w:r>
      <w:r w:rsidR="0075088B">
        <w:rPr>
          <w:rFonts w:ascii="Arial" w:hAnsi="Arial" w:cs="Arial"/>
        </w:rPr>
        <w:t>-00</w:t>
      </w:r>
      <w:r w:rsidR="00F7681B">
        <w:rPr>
          <w:rFonts w:ascii="Arial" w:hAnsi="Arial" w:cs="Arial"/>
        </w:rPr>
        <w:t xml:space="preserve"> </w:t>
      </w:r>
      <w:r w:rsidR="0075088B">
        <w:rPr>
          <w:rFonts w:ascii="Arial" w:hAnsi="Arial" w:cs="Arial"/>
        </w:rPr>
        <w:t>y 2016-</w:t>
      </w:r>
      <w:r w:rsidR="00F7681B">
        <w:rPr>
          <w:rFonts w:ascii="Arial" w:hAnsi="Arial" w:cs="Arial"/>
        </w:rPr>
        <w:t>00132</w:t>
      </w:r>
      <w:r w:rsidR="0075088B">
        <w:rPr>
          <w:rFonts w:ascii="Arial" w:hAnsi="Arial" w:cs="Arial"/>
        </w:rPr>
        <w:t>-00,</w:t>
      </w:r>
      <w:r>
        <w:rPr>
          <w:rFonts w:ascii="Arial" w:hAnsi="Arial" w:cs="Arial"/>
        </w:rPr>
        <w:t xml:space="preserve"> a la fecha no </w:t>
      </w:r>
      <w:r w:rsidR="001B6BBA">
        <w:rPr>
          <w:rFonts w:ascii="Arial" w:hAnsi="Arial" w:cs="Arial"/>
        </w:rPr>
        <w:t xml:space="preserve">ha resuelto sobre su admisión </w:t>
      </w:r>
      <w:r>
        <w:rPr>
          <w:rFonts w:ascii="Arial" w:hAnsi="Arial" w:cs="Arial"/>
        </w:rPr>
        <w:t>y los términos se encuentran vencidos</w:t>
      </w:r>
      <w:r w:rsidRPr="00AF753A">
        <w:rPr>
          <w:rFonts w:ascii="Arial" w:hAnsi="Arial" w:cs="Arial"/>
        </w:rPr>
        <w:t xml:space="preserve"> (Folio</w:t>
      </w:r>
      <w:r w:rsidR="001B6BBA">
        <w:rPr>
          <w:rFonts w:ascii="Arial" w:hAnsi="Arial" w:cs="Arial"/>
        </w:rPr>
        <w:t>s</w:t>
      </w:r>
      <w:r>
        <w:rPr>
          <w:rFonts w:ascii="Arial" w:hAnsi="Arial" w:cs="Arial"/>
        </w:rPr>
        <w:t xml:space="preserve"> 1</w:t>
      </w:r>
      <w:r w:rsidR="00F7681B">
        <w:rPr>
          <w:rFonts w:ascii="Arial" w:hAnsi="Arial" w:cs="Arial"/>
        </w:rPr>
        <w:t xml:space="preserve">, 3, 5 y </w:t>
      </w:r>
      <w:r w:rsidR="001B6BBA">
        <w:rPr>
          <w:rFonts w:ascii="Arial" w:hAnsi="Arial" w:cs="Arial"/>
        </w:rPr>
        <w:t>7</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DF42B6" w:rsidRDefault="00DF42B6" w:rsidP="0099045D">
      <w:pPr>
        <w:pStyle w:val="Textoindependiente"/>
        <w:spacing w:line="360" w:lineRule="auto"/>
        <w:rPr>
          <w:rFonts w:ascii="Arial" w:hAnsi="Arial"/>
          <w:szCs w:val="24"/>
          <w:lang w:val="es-CO"/>
        </w:rPr>
      </w:pP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F7681B" w:rsidRPr="00AF753A">
        <w:rPr>
          <w:rFonts w:ascii="Arial" w:hAnsi="Arial" w:cs="Arial"/>
        </w:rPr>
        <w:t>(Folio</w:t>
      </w:r>
      <w:r w:rsidR="00F7681B">
        <w:rPr>
          <w:rFonts w:ascii="Arial" w:hAnsi="Arial" w:cs="Arial"/>
        </w:rPr>
        <w:t>s 1, 3, 5 y 7</w:t>
      </w:r>
      <w:r w:rsidR="00F7681B" w:rsidRPr="00AF753A">
        <w:rPr>
          <w:rFonts w:ascii="Arial" w:hAnsi="Arial" w:cs="Arial"/>
        </w:rPr>
        <w:t xml:space="preserve">, </w:t>
      </w:r>
      <w:r w:rsidR="00F7681B">
        <w:rPr>
          <w:rFonts w:ascii="Arial" w:hAnsi="Arial" w:cs="Arial"/>
        </w:rPr>
        <w:t>del cuaderno No.1)</w:t>
      </w:r>
      <w:r w:rsidR="00F7681B" w:rsidRPr="00AF753A">
        <w:rPr>
          <w:rFonts w:ascii="Arial" w:hAnsi="Arial" w:cs="Arial"/>
        </w:rPr>
        <w:t xml:space="preserve">. </w:t>
      </w:r>
    </w:p>
    <w:p w:rsidR="00F7681B" w:rsidRDefault="00F7681B" w:rsidP="00F7681B">
      <w:pPr>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E51070">
        <w:rPr>
          <w:rFonts w:ascii="Arial" w:hAnsi="Arial" w:cs="Arial"/>
        </w:rPr>
        <w:t>resolver de manera inmediata sobre la admisión</w:t>
      </w:r>
      <w:r>
        <w:rPr>
          <w:rFonts w:ascii="Arial" w:hAnsi="Arial" w:cs="Arial"/>
        </w:rPr>
        <w:t xml:space="preserve"> </w:t>
      </w:r>
      <w:r w:rsidR="001B6BBA">
        <w:rPr>
          <w:rFonts w:ascii="Arial" w:hAnsi="Arial" w:cs="Arial"/>
        </w:rPr>
        <w:t>de los procesos</w:t>
      </w:r>
      <w:r w:rsidR="003F77C9">
        <w:rPr>
          <w:rFonts w:ascii="Arial" w:hAnsi="Arial" w:cs="Arial"/>
        </w:rPr>
        <w:t xml:space="preserve">; </w:t>
      </w:r>
      <w:r w:rsidR="001B6BBA">
        <w:rPr>
          <w:rFonts w:ascii="Arial" w:hAnsi="Arial" w:cs="Arial"/>
        </w:rPr>
        <w:t xml:space="preserve">(iii) Se notifique lo actuado en las acciones de tutela al correo electrónico aportado; y, </w:t>
      </w:r>
      <w:r w:rsidR="0012749A">
        <w:rPr>
          <w:rFonts w:ascii="Arial" w:hAnsi="Arial" w:cs="Arial"/>
        </w:rPr>
        <w:t>(</w:t>
      </w:r>
      <w:r w:rsidR="001B6BBA">
        <w:rPr>
          <w:rFonts w:ascii="Arial" w:hAnsi="Arial" w:cs="Arial"/>
        </w:rPr>
        <w:t>iv</w:t>
      </w:r>
      <w:r w:rsidR="0012749A">
        <w:rPr>
          <w:rFonts w:ascii="Arial" w:hAnsi="Arial" w:cs="Arial"/>
        </w:rPr>
        <w:t>)</w:t>
      </w:r>
      <w:r w:rsidR="009C1B3A">
        <w:rPr>
          <w:rFonts w:ascii="Arial" w:hAnsi="Arial" w:cs="Arial"/>
        </w:rPr>
        <w:t xml:space="preserve"> </w:t>
      </w:r>
      <w:r w:rsidR="001B6BBA">
        <w:rPr>
          <w:rFonts w:ascii="Arial" w:hAnsi="Arial" w:cs="Arial"/>
        </w:rPr>
        <w:t>Se haga extensivo el fallo a todas las acciones populares en las que la accionada haya actuado igual</w:t>
      </w:r>
      <w:r w:rsidR="000C5128">
        <w:rPr>
          <w:rFonts w:ascii="Arial" w:hAnsi="Arial" w:cs="Arial"/>
        </w:rPr>
        <w:t>.</w:t>
      </w:r>
      <w:r w:rsidR="00006C6E" w:rsidRPr="00006C6E">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s 1, 3, 5 y 7</w:t>
      </w:r>
      <w:r w:rsidR="00F7681B" w:rsidRPr="00AF753A">
        <w:rPr>
          <w:rFonts w:ascii="Arial" w:hAnsi="Arial" w:cs="Arial"/>
        </w:rPr>
        <w:t xml:space="preserve">, </w:t>
      </w:r>
      <w:r w:rsidR="00F7681B">
        <w:rPr>
          <w:rFonts w:ascii="Arial" w:hAnsi="Arial" w:cs="Arial"/>
        </w:rPr>
        <w:t>del cuaderno No.1)</w:t>
      </w:r>
      <w:r w:rsidR="00F7681B" w:rsidRPr="00AF753A">
        <w:rPr>
          <w:rFonts w:ascii="Arial" w:hAnsi="Arial" w:cs="Arial"/>
        </w:rPr>
        <w:t>.</w:t>
      </w:r>
    </w:p>
    <w:p w:rsidR="00F7681B" w:rsidRPr="009C04FD" w:rsidRDefault="00F7681B"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Pr>
          <w:rFonts w:ascii="Arial" w:hAnsi="Arial"/>
        </w:rPr>
        <w:t>04-04-2016 correspondieron</w:t>
      </w:r>
      <w:r w:rsidRPr="00B74361">
        <w:rPr>
          <w:rFonts w:ascii="Arial" w:hAnsi="Arial"/>
        </w:rPr>
        <w:t xml:space="preserve"> a este Despacho</w:t>
      </w:r>
      <w:r>
        <w:rPr>
          <w:rFonts w:ascii="Arial" w:hAnsi="Arial"/>
        </w:rPr>
        <w:t xml:space="preserve"> las </w:t>
      </w:r>
      <w:r w:rsidR="00F7681B">
        <w:rPr>
          <w:rFonts w:ascii="Arial" w:hAnsi="Arial"/>
        </w:rPr>
        <w:t xml:space="preserve">tres </w:t>
      </w:r>
      <w:r>
        <w:rPr>
          <w:rFonts w:ascii="Arial" w:hAnsi="Arial"/>
        </w:rPr>
        <w:t>(</w:t>
      </w:r>
      <w:r w:rsidR="00F7681B">
        <w:rPr>
          <w:rFonts w:ascii="Arial" w:hAnsi="Arial"/>
        </w:rPr>
        <w:t>3</w:t>
      </w:r>
      <w:r>
        <w:rPr>
          <w:rFonts w:ascii="Arial" w:hAnsi="Arial"/>
        </w:rPr>
        <w:t xml:space="preserve">) tutelas aquí acumuladas que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F7681B">
        <w:rPr>
          <w:rFonts w:ascii="Arial" w:hAnsi="Arial"/>
        </w:rPr>
        <w:t>10 y 11</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F7681B">
        <w:rPr>
          <w:rFonts w:ascii="Arial" w:hAnsi="Arial"/>
        </w:rPr>
        <w:t>12 y 13</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12749A" w:rsidRPr="00E859EA">
        <w:rPr>
          <w:rFonts w:ascii="Arial" w:hAnsi="Arial" w:cs="Arial"/>
          <w:spacing w:val="3"/>
        </w:rPr>
        <w:t>la Procuraduría General de la Nación Regional de Risaralda</w:t>
      </w:r>
      <w:r w:rsidR="00006C6E">
        <w:rPr>
          <w:rFonts w:ascii="Arial" w:hAnsi="Arial" w:cs="Arial"/>
          <w:spacing w:val="3"/>
        </w:rPr>
        <w:t xml:space="preserve"> (Folio </w:t>
      </w:r>
      <w:r w:rsidR="00F7681B">
        <w:rPr>
          <w:rFonts w:ascii="Arial" w:hAnsi="Arial" w:cs="Arial"/>
          <w:spacing w:val="3"/>
        </w:rPr>
        <w:t>15</w:t>
      </w:r>
      <w:r w:rsidR="00DF42B6">
        <w:rPr>
          <w:rFonts w:ascii="Arial" w:hAnsi="Arial" w:cs="Arial"/>
          <w:spacing w:val="3"/>
        </w:rPr>
        <w:t xml:space="preserve">, </w:t>
      </w:r>
      <w:r w:rsidR="00006C6E">
        <w:rPr>
          <w:rFonts w:ascii="Arial" w:hAnsi="Arial"/>
        </w:rPr>
        <w:t>ibídem</w:t>
      </w:r>
      <w:r w:rsidR="00DF42B6">
        <w:rPr>
          <w:rFonts w:ascii="Arial" w:hAnsi="Arial" w:cs="Arial"/>
          <w:spacing w:val="3"/>
        </w:rPr>
        <w:t>)</w:t>
      </w:r>
      <w:r w:rsidR="00006C6E">
        <w:rPr>
          <w:rFonts w:ascii="Arial" w:hAnsi="Arial" w:cs="Arial"/>
          <w:spacing w:val="3"/>
        </w:rPr>
        <w:t xml:space="preserve"> y la Alcaldía de Pereira (Folios </w:t>
      </w:r>
      <w:r w:rsidR="00F7681B">
        <w:rPr>
          <w:rFonts w:ascii="Arial" w:hAnsi="Arial" w:cs="Arial"/>
          <w:spacing w:val="3"/>
        </w:rPr>
        <w:t>29 a 31</w:t>
      </w:r>
      <w:r w:rsidR="00006C6E">
        <w:rPr>
          <w:rFonts w:ascii="Arial" w:hAnsi="Arial" w:cs="Arial"/>
          <w:spacing w:val="3"/>
        </w:rPr>
        <w:t>, ib.);</w:t>
      </w:r>
      <w:r w:rsidR="00C01E52">
        <w:rPr>
          <w:rFonts w:ascii="Arial" w:hAnsi="Arial" w:cs="Arial"/>
          <w:spacing w:val="3"/>
        </w:rPr>
        <w:t xml:space="preserve"> </w:t>
      </w:r>
      <w:r w:rsidR="00DF42B6">
        <w:rPr>
          <w:rFonts w:ascii="Arial" w:hAnsi="Arial" w:cs="Arial"/>
          <w:spacing w:val="3"/>
        </w:rPr>
        <w:t xml:space="preserve">el Juzgado accionado </w:t>
      </w:r>
      <w:r w:rsidR="00006C6E">
        <w:rPr>
          <w:rFonts w:ascii="Arial" w:hAnsi="Arial" w:cs="Arial"/>
          <w:spacing w:val="3"/>
        </w:rPr>
        <w:t xml:space="preserve">arrimó las copias requeridas </w:t>
      </w:r>
      <w:r w:rsidR="00DF42B6">
        <w:rPr>
          <w:rFonts w:ascii="Arial" w:hAnsi="Arial" w:cs="Arial"/>
          <w:spacing w:val="3"/>
        </w:rPr>
        <w:t xml:space="preserve">(Folios </w:t>
      </w:r>
      <w:r w:rsidR="00A94EB2">
        <w:rPr>
          <w:rFonts w:ascii="Arial" w:hAnsi="Arial" w:cs="Arial"/>
          <w:spacing w:val="3"/>
        </w:rPr>
        <w:t>33 a 49</w:t>
      </w:r>
      <w:r w:rsidR="00006C6E">
        <w:rPr>
          <w:rFonts w:ascii="Arial" w:hAnsi="Arial" w:cs="Arial"/>
          <w:spacing w:val="3"/>
        </w:rPr>
        <w:t>,</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840071" w:rsidRDefault="00840071" w:rsidP="00840071">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840071" w:rsidRPr="009A0395" w:rsidRDefault="00840071" w:rsidP="00840071">
      <w:pPr>
        <w:spacing w:line="360" w:lineRule="auto"/>
        <w:jc w:val="both"/>
        <w:rPr>
          <w:rFonts w:ascii="Arial" w:hAnsi="Arial"/>
          <w:sz w:val="28"/>
        </w:rPr>
      </w:pPr>
    </w:p>
    <w:p w:rsidR="00840071" w:rsidRDefault="007651F3" w:rsidP="00840071">
      <w:pPr>
        <w:spacing w:line="360" w:lineRule="auto"/>
        <w:jc w:val="both"/>
        <w:rPr>
          <w:rFonts w:ascii="Arial" w:hAnsi="Arial"/>
        </w:rPr>
      </w:pPr>
      <w:r>
        <w:rPr>
          <w:rFonts w:ascii="Arial" w:hAnsi="Arial"/>
        </w:rPr>
        <w:t>Hizo referencia al papel del agente del Ministerio Público en las acciones populares</w:t>
      </w:r>
      <w:r w:rsidR="00DC1B10">
        <w:rPr>
          <w:rFonts w:ascii="Arial" w:hAnsi="Arial"/>
        </w:rPr>
        <w:t>, y que</w:t>
      </w:r>
      <w:r>
        <w:rPr>
          <w:rFonts w:ascii="Arial" w:hAnsi="Arial"/>
        </w:rPr>
        <w:t xml:space="preserve"> es el de proteger los derechos colectivos que estén en juego, por lo tanto, estima que la situación alegada en </w:t>
      </w:r>
      <w:r w:rsidR="00DC1B10">
        <w:rPr>
          <w:rFonts w:ascii="Arial" w:hAnsi="Arial"/>
        </w:rPr>
        <w:t>los amparos</w:t>
      </w:r>
      <w:r>
        <w:rPr>
          <w:rFonts w:ascii="Arial" w:hAnsi="Arial"/>
        </w:rPr>
        <w:t>, es ajena a su función, de allí que solicita su desvinculación</w:t>
      </w:r>
      <w:r w:rsidRPr="008E5A62">
        <w:rPr>
          <w:rFonts w:ascii="Arial" w:hAnsi="Arial"/>
        </w:rPr>
        <w:t xml:space="preserve"> </w:t>
      </w:r>
      <w:r w:rsidR="00840071" w:rsidRPr="008E5A62">
        <w:rPr>
          <w:rFonts w:ascii="Arial" w:hAnsi="Arial"/>
        </w:rPr>
        <w:t>(Folio</w:t>
      </w:r>
      <w:r w:rsidR="00840071">
        <w:rPr>
          <w:rFonts w:ascii="Arial" w:hAnsi="Arial"/>
        </w:rPr>
        <w:t xml:space="preserve"> </w:t>
      </w:r>
      <w:r w:rsidR="00A94EB2">
        <w:rPr>
          <w:rFonts w:ascii="Arial" w:hAnsi="Arial"/>
        </w:rPr>
        <w:t>15</w:t>
      </w:r>
      <w:r w:rsidR="00840071">
        <w:rPr>
          <w:rFonts w:ascii="Arial" w:hAnsi="Arial" w:cs="Arial"/>
        </w:rPr>
        <w:t>, ib.</w:t>
      </w:r>
      <w:r w:rsidR="00840071" w:rsidRPr="008E5A62">
        <w:rPr>
          <w:rFonts w:ascii="Arial" w:hAnsi="Arial"/>
        </w:rPr>
        <w:t>).</w:t>
      </w:r>
    </w:p>
    <w:p w:rsidR="00840071" w:rsidRDefault="00840071" w:rsidP="003A2CB1">
      <w:pPr>
        <w:spacing w:line="360" w:lineRule="auto"/>
        <w:jc w:val="both"/>
        <w:rPr>
          <w:rFonts w:ascii="Arial" w:hAnsi="Arial"/>
        </w:rPr>
      </w:pPr>
    </w:p>
    <w:p w:rsidR="00DF42B6" w:rsidRDefault="00DC1B10" w:rsidP="00A24CF7">
      <w:pPr>
        <w:pStyle w:val="Prrafodelista"/>
        <w:numPr>
          <w:ilvl w:val="1"/>
          <w:numId w:val="18"/>
        </w:numPr>
        <w:spacing w:line="360" w:lineRule="auto"/>
        <w:jc w:val="both"/>
        <w:rPr>
          <w:rFonts w:ascii="Arial" w:hAnsi="Arial"/>
        </w:rPr>
      </w:pPr>
      <w:r>
        <w:rPr>
          <w:rFonts w:ascii="Arial" w:hAnsi="Arial"/>
        </w:rPr>
        <w:t xml:space="preserve">La Alcaldía </w:t>
      </w:r>
      <w:r w:rsidR="00DF42B6">
        <w:rPr>
          <w:rFonts w:ascii="Arial" w:hAnsi="Arial"/>
        </w:rPr>
        <w:t>de Pereira</w:t>
      </w:r>
    </w:p>
    <w:p w:rsidR="007651F3" w:rsidRDefault="007651F3" w:rsidP="007651F3">
      <w:pPr>
        <w:pStyle w:val="Prrafodelista"/>
        <w:spacing w:line="360" w:lineRule="auto"/>
        <w:ind w:left="720"/>
        <w:jc w:val="both"/>
        <w:rPr>
          <w:rFonts w:ascii="Arial" w:hAnsi="Arial"/>
        </w:rPr>
      </w:pPr>
    </w:p>
    <w:p w:rsidR="00DF42B6" w:rsidRDefault="00DC1B10" w:rsidP="00DF42B6">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w:t>
      </w:r>
      <w:r w:rsidR="007651F3">
        <w:rPr>
          <w:rFonts w:ascii="Arial" w:hAnsi="Arial"/>
        </w:rPr>
        <w:t xml:space="preserve"> </w:t>
      </w:r>
      <w:r w:rsidR="00DF42B6">
        <w:rPr>
          <w:rFonts w:ascii="Arial" w:hAnsi="Arial"/>
        </w:rPr>
        <w:t>(Folio</w:t>
      </w:r>
      <w:r w:rsidR="000B5596">
        <w:rPr>
          <w:rFonts w:ascii="Arial" w:hAnsi="Arial"/>
        </w:rPr>
        <w:t xml:space="preserve">s </w:t>
      </w:r>
      <w:r w:rsidR="00A94EB2">
        <w:rPr>
          <w:rFonts w:ascii="Arial" w:hAnsi="Arial"/>
        </w:rPr>
        <w:t>29 a 31</w:t>
      </w:r>
      <w:r>
        <w:rPr>
          <w:rFonts w:ascii="Arial" w:hAnsi="Arial"/>
        </w:rPr>
        <w:t>, ib.).</w:t>
      </w:r>
    </w:p>
    <w:p w:rsidR="00DF42B6" w:rsidRDefault="00DF42B6" w:rsidP="003A2CB1">
      <w:pPr>
        <w:spacing w:line="360" w:lineRule="auto"/>
        <w:jc w:val="both"/>
        <w:rPr>
          <w:rFonts w:ascii="Arial" w:hAnsi="Arial"/>
        </w:rPr>
      </w:pPr>
    </w:p>
    <w:p w:rsidR="00840071" w:rsidRDefault="00840071" w:rsidP="003A2CB1">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w:t>
      </w:r>
      <w:r w:rsidR="00244ECA">
        <w:rPr>
          <w:rFonts w:ascii="Arial" w:hAnsi="Arial" w:cs="Arial"/>
          <w:sz w:val="24"/>
          <w:szCs w:val="24"/>
        </w:rPr>
        <w:t>Juzgado Segundo Civil del Circuito de 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F6968" w:rsidRDefault="008F6968" w:rsidP="008F6968">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 xml:space="preserve">lo es el </w:t>
      </w:r>
      <w:r w:rsidR="00244ECA">
        <w:rPr>
          <w:rFonts w:ascii="Arial" w:hAnsi="Arial" w:cs="Arial"/>
          <w:szCs w:val="24"/>
        </w:rPr>
        <w:t>Juzgado Segundo Civil del Circuito de Pereira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C52552" w:rsidRPr="00AE73C7" w:rsidRDefault="00C52552" w:rsidP="00DF74B6">
      <w:pPr>
        <w:pStyle w:val="Textoindependiente"/>
        <w:spacing w:line="360" w:lineRule="auto"/>
        <w:rPr>
          <w:rFonts w:ascii="Arial" w:hAnsi="Arial" w:cs="Arial"/>
          <w:szCs w:val="24"/>
        </w:rPr>
      </w:pPr>
    </w:p>
    <w:p w:rsidR="00C52552" w:rsidRPr="00AE73C7" w:rsidRDefault="00C52552" w:rsidP="00C52552">
      <w:pPr>
        <w:pStyle w:val="Textoindependiente"/>
        <w:spacing w:line="360" w:lineRule="auto"/>
        <w:rPr>
          <w:rFonts w:ascii="Arial" w:hAnsi="Arial" w:cs="Arial"/>
          <w:szCs w:val="24"/>
        </w:rPr>
      </w:pPr>
      <w:r w:rsidRPr="00AE73C7">
        <w:rPr>
          <w:rFonts w:ascii="Arial" w:hAnsi="Arial" w:cs="Arial"/>
          <w:szCs w:val="24"/>
        </w:rPr>
        <w:t>Los vinculados a este trámite, como eventuales afectados con la acción constitucional, no incurriero</w:t>
      </w:r>
      <w:r w:rsidR="00DC1B10">
        <w:rPr>
          <w:rFonts w:ascii="Arial" w:hAnsi="Arial" w:cs="Arial"/>
          <w:szCs w:val="24"/>
        </w:rPr>
        <w:t>n en violación o amenaza alguna, por lo tanto se negarán los amparos en su contra.</w:t>
      </w:r>
    </w:p>
    <w:p w:rsidR="00DF74B6" w:rsidRPr="00AE73C7"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00244ECA">
        <w:rPr>
          <w:rFonts w:ascii="Arial" w:hAnsi="Arial" w:cs="Arial"/>
        </w:rPr>
        <w:t>Juzgado Segundo 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Pr="005041CA"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C12187" w:rsidRDefault="00C12187" w:rsidP="00C12187">
      <w:pPr>
        <w:pStyle w:val="Textoindependiente"/>
        <w:numPr>
          <w:ilvl w:val="2"/>
          <w:numId w:val="29"/>
        </w:numPr>
        <w:spacing w:line="360" w:lineRule="auto"/>
        <w:textAlignment w:val="auto"/>
        <w:rPr>
          <w:rFonts w:ascii="Arial" w:hAnsi="Arial" w:cs="Arial"/>
          <w:szCs w:val="24"/>
        </w:rPr>
      </w:pPr>
      <w:r>
        <w:rPr>
          <w:rFonts w:ascii="Arial" w:hAnsi="Arial" w:cs="Arial"/>
          <w:szCs w:val="24"/>
        </w:rPr>
        <w:t>El hecho superado por carencia actual de objeto</w:t>
      </w:r>
    </w:p>
    <w:p w:rsidR="00C12187" w:rsidRDefault="00C12187" w:rsidP="00C12187">
      <w:pPr>
        <w:pStyle w:val="Textoindependiente"/>
        <w:spacing w:line="360" w:lineRule="auto"/>
        <w:rPr>
          <w:rFonts w:ascii="Arial" w:hAnsi="Arial" w:cs="Arial"/>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1"/>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2"/>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C12187" w:rsidRDefault="00C12187" w:rsidP="00C12187">
      <w:pPr>
        <w:pStyle w:val="Textoindependiente"/>
        <w:spacing w:line="360" w:lineRule="auto"/>
        <w:rPr>
          <w:rFonts w:ascii="Arial" w:hAnsi="Arial" w:cs="Arial"/>
          <w:szCs w:val="24"/>
        </w:rPr>
      </w:pPr>
    </w:p>
    <w:p w:rsidR="00C12187" w:rsidRDefault="00C12187" w:rsidP="00C12187">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C12187" w:rsidRDefault="00C12187" w:rsidP="00C12187">
      <w:pPr>
        <w:pStyle w:val="Textoindependiente"/>
        <w:spacing w:line="360" w:lineRule="auto"/>
        <w:rPr>
          <w:rFonts w:ascii="Arial" w:hAnsi="Arial" w:cs="Arial"/>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3"/>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4"/>
      </w:r>
      <w:r>
        <w:rPr>
          <w:rFonts w:ascii="Arial" w:hAnsi="Arial" w:cs="Arial"/>
          <w:szCs w:val="24"/>
        </w:rPr>
        <w:t>.</w:t>
      </w:r>
      <w:r>
        <w:rPr>
          <w:rFonts w:ascii="Arial" w:hAnsi="Arial" w:cs="Arial"/>
          <w:b/>
          <w:bCs/>
          <w:szCs w:val="24"/>
        </w:rPr>
        <w:t xml:space="preserve"> </w:t>
      </w:r>
    </w:p>
    <w:p w:rsidR="00C12187" w:rsidRDefault="00C12187" w:rsidP="00C12187">
      <w:pPr>
        <w:pStyle w:val="Textoindependiente"/>
        <w:spacing w:line="360" w:lineRule="auto"/>
        <w:rPr>
          <w:rFonts w:ascii="Arial" w:hAnsi="Arial" w:cs="Arial"/>
          <w:szCs w:val="24"/>
          <w:lang w:val="es-ES"/>
        </w:rPr>
      </w:pPr>
    </w:p>
    <w:p w:rsidR="00C12187" w:rsidRDefault="00C12187" w:rsidP="00C12187">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5"/>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C12187" w:rsidRDefault="00C12187" w:rsidP="00C12187">
      <w:pPr>
        <w:shd w:val="clear" w:color="auto" w:fill="FFFFFF"/>
        <w:spacing w:line="360" w:lineRule="auto"/>
        <w:jc w:val="both"/>
        <w:textAlignment w:val="baseline"/>
        <w:rPr>
          <w:rFonts w:ascii="Arial" w:hAnsi="Arial" w:cs="Arial"/>
        </w:rPr>
      </w:pPr>
    </w:p>
    <w:p w:rsidR="00C12187" w:rsidRDefault="00C12187" w:rsidP="00C12187">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6"/>
      </w:r>
      <w:r>
        <w:rPr>
          <w:rFonts w:ascii="Arial" w:hAnsi="Arial" w:cs="Arial"/>
          <w:i/>
          <w:sz w:val="22"/>
          <w:lang w:val="es-CO"/>
        </w:rPr>
        <w:t>.</w:t>
      </w:r>
    </w:p>
    <w:p w:rsidR="00431BC5" w:rsidRDefault="00431BC5" w:rsidP="00431BC5">
      <w:pPr>
        <w:pStyle w:val="Textoindependiente"/>
        <w:spacing w:line="360" w:lineRule="auto"/>
        <w:rPr>
          <w:rFonts w:ascii="Arial" w:hAnsi="Arial"/>
          <w:szCs w:val="24"/>
        </w:rPr>
      </w:pPr>
    </w:p>
    <w:p w:rsidR="009E4FCD" w:rsidRPr="00C12187" w:rsidRDefault="009E4FCD" w:rsidP="00C12187">
      <w:pPr>
        <w:pStyle w:val="Prrafodelista"/>
        <w:numPr>
          <w:ilvl w:val="2"/>
          <w:numId w:val="29"/>
        </w:numPr>
        <w:spacing w:line="360" w:lineRule="auto"/>
        <w:jc w:val="both"/>
        <w:rPr>
          <w:rFonts w:ascii="Arial" w:hAnsi="Arial"/>
          <w:lang w:val="es-ES_tradnl"/>
        </w:rPr>
      </w:pPr>
      <w:r w:rsidRPr="00C12187">
        <w:rPr>
          <w:rFonts w:ascii="Arial" w:hAnsi="Arial"/>
        </w:rPr>
        <w:t>El</w:t>
      </w:r>
      <w:r w:rsidRPr="00C12187">
        <w:rPr>
          <w:rFonts w:ascii="Arial" w:hAnsi="Arial"/>
          <w:lang w:val="es-ES_tradnl"/>
        </w:rPr>
        <w:t xml:space="preserve"> análisis del caso en concreto</w:t>
      </w:r>
    </w:p>
    <w:p w:rsidR="009E4FCD" w:rsidRPr="00C571A4" w:rsidRDefault="009E4FCD" w:rsidP="009E4FCD">
      <w:pPr>
        <w:pStyle w:val="Prrafodelista"/>
        <w:spacing w:line="360" w:lineRule="auto"/>
        <w:ind w:left="720"/>
        <w:jc w:val="both"/>
        <w:rPr>
          <w:rFonts w:ascii="Arial" w:hAnsi="Arial"/>
          <w:lang w:val="es-ES_tradnl"/>
        </w:rPr>
      </w:pPr>
    </w:p>
    <w:p w:rsidR="00C75445" w:rsidRDefault="002F307C" w:rsidP="00F04FAF">
      <w:pPr>
        <w:pStyle w:val="Textoindependiente"/>
        <w:spacing w:line="360" w:lineRule="auto"/>
        <w:rPr>
          <w:rFonts w:ascii="Arial" w:hAnsi="Arial"/>
          <w:szCs w:val="24"/>
        </w:rPr>
      </w:pPr>
      <w:r>
        <w:rPr>
          <w:rFonts w:ascii="Arial" w:hAnsi="Arial"/>
          <w:szCs w:val="24"/>
        </w:rPr>
        <w:t>Pretendía</w:t>
      </w:r>
      <w:r w:rsidR="00CB5836">
        <w:rPr>
          <w:rFonts w:ascii="Arial" w:hAnsi="Arial"/>
          <w:szCs w:val="24"/>
        </w:rPr>
        <w:t xml:space="preserve"> el</w:t>
      </w:r>
      <w:r w:rsidRPr="008D792E">
        <w:rPr>
          <w:rFonts w:ascii="Arial" w:hAnsi="Arial"/>
          <w:szCs w:val="24"/>
        </w:rPr>
        <w:t xml:space="preserve"> ac</w:t>
      </w:r>
      <w:r>
        <w:rPr>
          <w:rFonts w:ascii="Arial" w:hAnsi="Arial"/>
          <w:szCs w:val="24"/>
        </w:rPr>
        <w:t xml:space="preserve">cionante que se le </w:t>
      </w:r>
      <w:r w:rsidR="00066FAC">
        <w:rPr>
          <w:rFonts w:ascii="Arial" w:hAnsi="Arial"/>
          <w:szCs w:val="24"/>
        </w:rPr>
        <w:t>resolviera</w:t>
      </w:r>
      <w:r>
        <w:rPr>
          <w:rFonts w:ascii="Arial" w:hAnsi="Arial"/>
          <w:szCs w:val="24"/>
        </w:rPr>
        <w:t xml:space="preserve"> sobre la</w:t>
      </w:r>
      <w:r w:rsidR="00CB5836">
        <w:rPr>
          <w:rFonts w:ascii="Arial" w:hAnsi="Arial"/>
          <w:szCs w:val="24"/>
        </w:rPr>
        <w:t xml:space="preserve"> admisión de las acciones populares atrás referenciadas</w:t>
      </w:r>
      <w:r w:rsidR="00A94EB2">
        <w:rPr>
          <w:rFonts w:ascii="Arial" w:hAnsi="Arial"/>
          <w:szCs w:val="24"/>
        </w:rPr>
        <w:t xml:space="preserve"> y según se desprende de las copias </w:t>
      </w:r>
      <w:r w:rsidR="00C75445">
        <w:rPr>
          <w:rFonts w:ascii="Arial" w:hAnsi="Arial"/>
          <w:szCs w:val="24"/>
        </w:rPr>
        <w:t xml:space="preserve">arrimadas por la </w:t>
      </w:r>
      <w:r w:rsidR="00C75445" w:rsidRPr="00C75445">
        <w:rPr>
          <w:rFonts w:ascii="Arial" w:hAnsi="Arial"/>
          <w:i/>
          <w:szCs w:val="24"/>
        </w:rPr>
        <w:t>a quo</w:t>
      </w:r>
      <w:r w:rsidR="00027135">
        <w:rPr>
          <w:rFonts w:ascii="Arial" w:hAnsi="Arial"/>
          <w:i/>
          <w:szCs w:val="24"/>
        </w:rPr>
        <w:t>,</w:t>
      </w:r>
      <w:r w:rsidR="00C75445">
        <w:rPr>
          <w:rFonts w:ascii="Arial" w:hAnsi="Arial"/>
          <w:szCs w:val="24"/>
        </w:rPr>
        <w:t xml:space="preserve"> </w:t>
      </w:r>
      <w:r w:rsidR="00A94EB2">
        <w:rPr>
          <w:rFonts w:ascii="Arial" w:hAnsi="Arial"/>
          <w:szCs w:val="24"/>
        </w:rPr>
        <w:t xml:space="preserve">fueron </w:t>
      </w:r>
      <w:r w:rsidR="00C75445">
        <w:rPr>
          <w:rFonts w:ascii="Arial" w:hAnsi="Arial"/>
          <w:szCs w:val="24"/>
        </w:rPr>
        <w:t>inadmitidas</w:t>
      </w:r>
      <w:r w:rsidR="00A94EB2">
        <w:rPr>
          <w:rFonts w:ascii="Arial" w:hAnsi="Arial"/>
          <w:szCs w:val="24"/>
        </w:rPr>
        <w:t xml:space="preserve"> con sendos proveídos dictados el </w:t>
      </w:r>
      <w:r w:rsidR="00C75445">
        <w:rPr>
          <w:rFonts w:ascii="Arial" w:hAnsi="Arial"/>
          <w:szCs w:val="24"/>
        </w:rPr>
        <w:t xml:space="preserve">día </w:t>
      </w:r>
      <w:r w:rsidR="00A94EB2">
        <w:rPr>
          <w:rFonts w:ascii="Arial" w:hAnsi="Arial"/>
          <w:szCs w:val="24"/>
        </w:rPr>
        <w:t>06-04-2016</w:t>
      </w:r>
      <w:r w:rsidR="00C75445">
        <w:rPr>
          <w:rFonts w:ascii="Arial" w:hAnsi="Arial"/>
          <w:szCs w:val="24"/>
        </w:rPr>
        <w:t xml:space="preserve"> (Folios 36, 40, 44 y 48, ib.), posteriormente a la presentación de los amparos (04-04-2016)</w:t>
      </w:r>
      <w:r w:rsidR="00A94EB2">
        <w:rPr>
          <w:rFonts w:ascii="Arial" w:hAnsi="Arial"/>
          <w:szCs w:val="24"/>
        </w:rPr>
        <w:t>.</w:t>
      </w:r>
      <w:r>
        <w:rPr>
          <w:rFonts w:ascii="Arial" w:hAnsi="Arial"/>
          <w:szCs w:val="24"/>
        </w:rPr>
        <w:t xml:space="preserve"> </w:t>
      </w:r>
    </w:p>
    <w:p w:rsidR="00C75445" w:rsidRPr="00C12187" w:rsidRDefault="00C75445" w:rsidP="00F04FAF">
      <w:pPr>
        <w:pStyle w:val="Textoindependiente"/>
        <w:spacing w:line="360" w:lineRule="auto"/>
        <w:rPr>
          <w:rFonts w:ascii="Arial" w:hAnsi="Arial"/>
          <w:sz w:val="20"/>
          <w:szCs w:val="24"/>
        </w:rPr>
      </w:pPr>
    </w:p>
    <w:p w:rsidR="00F04FAF" w:rsidRDefault="00B65814" w:rsidP="00F04FAF">
      <w:pPr>
        <w:pStyle w:val="Textoindependiente"/>
        <w:spacing w:line="360" w:lineRule="auto"/>
        <w:rPr>
          <w:rFonts w:ascii="Arial" w:hAnsi="Arial"/>
          <w:szCs w:val="24"/>
        </w:rPr>
      </w:pPr>
      <w:r>
        <w:rPr>
          <w:rFonts w:ascii="Arial" w:hAnsi="Arial"/>
          <w:szCs w:val="24"/>
        </w:rPr>
        <w:t xml:space="preserve">Advierte </w:t>
      </w:r>
      <w:r w:rsidR="00C75445">
        <w:rPr>
          <w:rFonts w:ascii="Arial" w:hAnsi="Arial"/>
          <w:szCs w:val="24"/>
        </w:rPr>
        <w:t xml:space="preserve">la Sala </w:t>
      </w:r>
      <w:r w:rsidR="00A94EB2">
        <w:rPr>
          <w:rFonts w:ascii="Arial" w:hAnsi="Arial"/>
          <w:szCs w:val="24"/>
        </w:rPr>
        <w:t xml:space="preserve">que, </w:t>
      </w:r>
      <w:r w:rsidR="00D069F0">
        <w:rPr>
          <w:rFonts w:ascii="Arial" w:hAnsi="Arial"/>
          <w:szCs w:val="24"/>
        </w:rPr>
        <w:t xml:space="preserve">si bien no lo hizo </w:t>
      </w:r>
      <w:r>
        <w:rPr>
          <w:rFonts w:ascii="Arial" w:hAnsi="Arial"/>
          <w:szCs w:val="24"/>
        </w:rPr>
        <w:t>dentro de los plazos ley (</w:t>
      </w:r>
      <w:r w:rsidR="00DE3184">
        <w:rPr>
          <w:rFonts w:ascii="Arial" w:hAnsi="Arial"/>
          <w:szCs w:val="24"/>
        </w:rPr>
        <w:t>A</w:t>
      </w:r>
      <w:r>
        <w:rPr>
          <w:rFonts w:ascii="Arial" w:hAnsi="Arial"/>
          <w:szCs w:val="24"/>
        </w:rPr>
        <w:t xml:space="preserve">rtículo 20 de la Ley 472), </w:t>
      </w:r>
      <w:r w:rsidR="00D069F0">
        <w:rPr>
          <w:rFonts w:ascii="Arial" w:hAnsi="Arial"/>
          <w:szCs w:val="24"/>
        </w:rPr>
        <w:t xml:space="preserve">pues, </w:t>
      </w:r>
      <w:r>
        <w:rPr>
          <w:rFonts w:ascii="Arial" w:hAnsi="Arial"/>
          <w:szCs w:val="24"/>
        </w:rPr>
        <w:t xml:space="preserve">las demandas fueron recibidas el día 17-03-2016 (Folios </w:t>
      </w:r>
      <w:r w:rsidR="00431BC5">
        <w:rPr>
          <w:rFonts w:ascii="Arial" w:hAnsi="Arial"/>
          <w:szCs w:val="24"/>
        </w:rPr>
        <w:t>35 vto.</w:t>
      </w:r>
      <w:r>
        <w:rPr>
          <w:rFonts w:ascii="Arial" w:hAnsi="Arial"/>
          <w:szCs w:val="24"/>
        </w:rPr>
        <w:t xml:space="preserve">, </w:t>
      </w:r>
      <w:r w:rsidR="00431BC5">
        <w:rPr>
          <w:rFonts w:ascii="Arial" w:hAnsi="Arial"/>
          <w:szCs w:val="24"/>
        </w:rPr>
        <w:t xml:space="preserve">39 vto., 43 vto. y 47 vto., </w:t>
      </w:r>
      <w:r>
        <w:rPr>
          <w:rFonts w:ascii="Arial" w:hAnsi="Arial"/>
          <w:szCs w:val="24"/>
        </w:rPr>
        <w:t>ib.)</w:t>
      </w:r>
      <w:r w:rsidR="00A94EB2">
        <w:rPr>
          <w:rFonts w:ascii="Arial" w:hAnsi="Arial"/>
          <w:szCs w:val="24"/>
        </w:rPr>
        <w:t xml:space="preserve"> y </w:t>
      </w:r>
      <w:r>
        <w:rPr>
          <w:rFonts w:ascii="Arial" w:hAnsi="Arial"/>
          <w:szCs w:val="24"/>
        </w:rPr>
        <w:t xml:space="preserve">el término para decidir venció el día </w:t>
      </w:r>
      <w:r w:rsidR="00431BC5">
        <w:rPr>
          <w:rFonts w:ascii="Arial" w:hAnsi="Arial"/>
          <w:szCs w:val="24"/>
        </w:rPr>
        <w:t>29-03-2016</w:t>
      </w:r>
      <w:r w:rsidR="00F04FAF">
        <w:rPr>
          <w:rFonts w:ascii="Arial" w:hAnsi="Arial"/>
          <w:szCs w:val="24"/>
        </w:rPr>
        <w:t xml:space="preserve">, se observa que </w:t>
      </w:r>
      <w:r w:rsidR="00C75445">
        <w:rPr>
          <w:rFonts w:ascii="Arial" w:hAnsi="Arial"/>
          <w:szCs w:val="24"/>
        </w:rPr>
        <w:t>cesó la vulneración o amenazada al debido proceso</w:t>
      </w:r>
      <w:r w:rsidR="00F04FAF">
        <w:rPr>
          <w:rFonts w:ascii="Arial" w:hAnsi="Arial"/>
          <w:szCs w:val="24"/>
        </w:rPr>
        <w:t xml:space="preserve">. </w:t>
      </w:r>
    </w:p>
    <w:p w:rsidR="00A94EB2" w:rsidRDefault="00A94EB2" w:rsidP="00A94EB2">
      <w:pPr>
        <w:pStyle w:val="Textoindependiente"/>
        <w:spacing w:line="360" w:lineRule="auto"/>
        <w:rPr>
          <w:rFonts w:ascii="Arial" w:hAnsi="Arial" w:cs="Arial"/>
          <w:szCs w:val="24"/>
        </w:rPr>
      </w:pPr>
      <w:r w:rsidRPr="00160026">
        <w:rPr>
          <w:rFonts w:ascii="Arial" w:hAnsi="Arial" w:cs="Arial"/>
          <w:szCs w:val="24"/>
          <w:lang w:val="es-CO" w:eastAsia="es-CO"/>
        </w:rPr>
        <w:t xml:space="preserve">Por lo tanto, </w:t>
      </w:r>
      <w:r w:rsidRPr="00160026">
        <w:rPr>
          <w:rFonts w:ascii="Arial" w:hAnsi="Arial" w:cs="Arial"/>
          <w:szCs w:val="24"/>
        </w:rPr>
        <w:t xml:space="preserve">no hay objeto jurídico sobre el cual fallar y la decisión que se adopte resultará inocua. De esta manera, se configura el hecho superado, pues </w:t>
      </w:r>
      <w:r w:rsidR="00C75445">
        <w:rPr>
          <w:rFonts w:ascii="Arial" w:hAnsi="Arial" w:cs="Arial"/>
          <w:szCs w:val="24"/>
        </w:rPr>
        <w:t xml:space="preserve">las pretensiones </w:t>
      </w:r>
      <w:r w:rsidRPr="00160026">
        <w:rPr>
          <w:rFonts w:ascii="Arial" w:hAnsi="Arial" w:cs="Arial"/>
          <w:szCs w:val="24"/>
        </w:rPr>
        <w:t>del actor se encuentra</w:t>
      </w:r>
      <w:r w:rsidR="00C75445">
        <w:rPr>
          <w:rFonts w:ascii="Arial" w:hAnsi="Arial" w:cs="Arial"/>
          <w:szCs w:val="24"/>
        </w:rPr>
        <w:t>n</w:t>
      </w:r>
      <w:r w:rsidRPr="00160026">
        <w:rPr>
          <w:rFonts w:ascii="Arial" w:hAnsi="Arial" w:cs="Arial"/>
          <w:szCs w:val="24"/>
        </w:rPr>
        <w:t xml:space="preserve"> satisfecha</w:t>
      </w:r>
      <w:r w:rsidR="00C75445">
        <w:rPr>
          <w:rFonts w:ascii="Arial" w:hAnsi="Arial" w:cs="Arial"/>
          <w:szCs w:val="24"/>
        </w:rPr>
        <w:t>s</w:t>
      </w:r>
      <w:r w:rsidRPr="00160026">
        <w:rPr>
          <w:rFonts w:ascii="Arial" w:hAnsi="Arial" w:cs="Arial"/>
          <w:szCs w:val="24"/>
        </w:rPr>
        <w:t xml:space="preserve"> y </w:t>
      </w:r>
      <w:r w:rsidR="00C75445">
        <w:rPr>
          <w:rFonts w:ascii="Arial" w:hAnsi="Arial" w:cs="Arial"/>
          <w:szCs w:val="24"/>
        </w:rPr>
        <w:t xml:space="preserve">sus </w:t>
      </w:r>
      <w:r w:rsidRPr="00160026">
        <w:rPr>
          <w:rFonts w:ascii="Arial" w:hAnsi="Arial" w:cs="Arial"/>
          <w:szCs w:val="24"/>
        </w:rPr>
        <w:t xml:space="preserve">derechos a salvo. </w:t>
      </w:r>
    </w:p>
    <w:p w:rsidR="007D4D36" w:rsidRPr="00C12187" w:rsidRDefault="007D4D36" w:rsidP="00BC3C80">
      <w:pPr>
        <w:pStyle w:val="Textopredeterminado"/>
        <w:spacing w:line="360" w:lineRule="auto"/>
        <w:jc w:val="both"/>
        <w:rPr>
          <w:rFonts w:ascii="Arial" w:hAnsi="Arial"/>
          <w:sz w:val="20"/>
          <w:szCs w:val="24"/>
          <w:lang w:val="es-ES_tradnl"/>
        </w:rPr>
      </w:pPr>
    </w:p>
    <w:p w:rsidR="00CA5F88" w:rsidRDefault="00CA5F88" w:rsidP="00CA5F88">
      <w:pPr>
        <w:widowControl/>
        <w:spacing w:line="360" w:lineRule="auto"/>
        <w:jc w:val="both"/>
        <w:rPr>
          <w:rFonts w:ascii="Arial" w:hAnsi="Arial"/>
        </w:rPr>
      </w:pPr>
      <w:r>
        <w:rPr>
          <w:rFonts w:ascii="Arial" w:hAnsi="Arial"/>
        </w:rPr>
        <w:t xml:space="preserve">De otra parte, </w:t>
      </w:r>
      <w:r w:rsidR="00F04FAF">
        <w:rPr>
          <w:rFonts w:ascii="Arial" w:hAnsi="Arial"/>
        </w:rPr>
        <w:t xml:space="preserve">se itera que, </w:t>
      </w:r>
      <w:r>
        <w:rPr>
          <w:rFonts w:ascii="Arial" w:hAnsi="Arial"/>
        </w:rPr>
        <w:t>se negará</w:t>
      </w:r>
      <w:r w:rsidR="00F04FAF">
        <w:rPr>
          <w:rFonts w:ascii="Arial" w:hAnsi="Arial"/>
        </w:rPr>
        <w:t>n</w:t>
      </w:r>
      <w:r>
        <w:rPr>
          <w:rFonts w:ascii="Arial" w:hAnsi="Arial"/>
        </w:rPr>
        <w:t xml:space="preserve"> la</w:t>
      </w:r>
      <w:r w:rsidR="00F04FAF">
        <w:rPr>
          <w:rFonts w:ascii="Arial" w:hAnsi="Arial"/>
        </w:rPr>
        <w:t>s</w:t>
      </w:r>
      <w:r>
        <w:rPr>
          <w:rFonts w:ascii="Arial" w:hAnsi="Arial"/>
        </w:rPr>
        <w:t xml:space="preserve"> </w:t>
      </w:r>
      <w:r w:rsidR="00F04FAF">
        <w:rPr>
          <w:rFonts w:ascii="Arial" w:hAnsi="Arial"/>
        </w:rPr>
        <w:t xml:space="preserve">acciones </w:t>
      </w:r>
      <w:r>
        <w:rPr>
          <w:rFonts w:ascii="Arial" w:hAnsi="Arial"/>
        </w:rPr>
        <w:t>frente a las entidades vinculadas, ya que ninguna conducta se les imputa y por lo tanto, es inexistente vulneración alguna.</w:t>
      </w:r>
    </w:p>
    <w:p w:rsidR="00CA5F88" w:rsidRPr="00C12187" w:rsidRDefault="00CA5F88" w:rsidP="00BC3C80">
      <w:pPr>
        <w:pStyle w:val="Textopredeterminado"/>
        <w:spacing w:line="360" w:lineRule="auto"/>
        <w:jc w:val="both"/>
        <w:rPr>
          <w:rFonts w:ascii="Arial" w:hAnsi="Arial"/>
          <w:sz w:val="20"/>
          <w:szCs w:val="24"/>
        </w:rPr>
      </w:pPr>
    </w:p>
    <w:p w:rsidR="000B5596" w:rsidRPr="00C12187" w:rsidRDefault="000B5596" w:rsidP="00BC3C80">
      <w:pPr>
        <w:pStyle w:val="Textopredeterminado"/>
        <w:spacing w:line="360" w:lineRule="auto"/>
        <w:jc w:val="both"/>
        <w:rPr>
          <w:rFonts w:ascii="Arial" w:hAnsi="Arial"/>
          <w:sz w:val="20"/>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rPr>
      </w:pPr>
    </w:p>
    <w:p w:rsidR="00D07BE1" w:rsidRPr="00A30437" w:rsidRDefault="00431BC5"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Pr="00951700">
        <w:rPr>
          <w:rFonts w:ascii="Arial" w:hAnsi="Arial"/>
        </w:rPr>
        <w:t>declarará el hecho superado por carencia actual de objeto</w:t>
      </w:r>
      <w:r>
        <w:rPr>
          <w:rFonts w:ascii="Arial" w:hAnsi="Arial"/>
        </w:rPr>
        <w:t>,</w:t>
      </w:r>
      <w:r w:rsidRPr="00951700">
        <w:rPr>
          <w:rFonts w:ascii="Arial" w:hAnsi="Arial"/>
        </w:rPr>
        <w:t xml:space="preserve"> </w:t>
      </w:r>
      <w:r>
        <w:rPr>
          <w:rFonts w:ascii="Arial" w:hAnsi="Arial"/>
        </w:rPr>
        <w:t xml:space="preserve">en </w:t>
      </w:r>
      <w:r w:rsidRPr="00951700">
        <w:rPr>
          <w:rFonts w:ascii="Arial" w:hAnsi="Arial"/>
        </w:rPr>
        <w:t xml:space="preserve">relación </w:t>
      </w:r>
      <w:r>
        <w:rPr>
          <w:rFonts w:ascii="Arial" w:hAnsi="Arial"/>
        </w:rPr>
        <w:t xml:space="preserve">con la pretensión de resolver sobre la admisión de las acciones populares; </w:t>
      </w:r>
      <w:r w:rsidR="00F04FAF">
        <w:rPr>
          <w:rFonts w:ascii="Arial" w:hAnsi="Arial"/>
        </w:rPr>
        <w:t xml:space="preserve">y, </w:t>
      </w:r>
      <w:r w:rsidR="006E3281">
        <w:rPr>
          <w:rFonts w:ascii="Arial" w:hAnsi="Arial"/>
        </w:rPr>
        <w:t xml:space="preserve">(ii) </w:t>
      </w:r>
      <w:r w:rsidR="00976AB5">
        <w:rPr>
          <w:rFonts w:ascii="Arial" w:hAnsi="Arial" w:cs="Arial"/>
        </w:rPr>
        <w:t>Se negará</w:t>
      </w:r>
      <w:r w:rsidR="00F04FAF">
        <w:rPr>
          <w:rFonts w:ascii="Arial" w:hAnsi="Arial" w:cs="Arial"/>
        </w:rPr>
        <w:t>n</w:t>
      </w:r>
      <w:r w:rsidR="00976AB5">
        <w:rPr>
          <w:rFonts w:ascii="Arial" w:hAnsi="Arial" w:cs="Arial"/>
        </w:rPr>
        <w:t xml:space="preserve"> </w:t>
      </w:r>
      <w:r w:rsidR="00F04FAF">
        <w:rPr>
          <w:rFonts w:ascii="Arial" w:hAnsi="Arial" w:cs="Arial"/>
        </w:rPr>
        <w:t xml:space="preserve">los </w:t>
      </w:r>
      <w:r w:rsidR="00976AB5">
        <w:rPr>
          <w:rFonts w:ascii="Arial" w:hAnsi="Arial" w:cs="Arial"/>
        </w:rPr>
        <w:t>amparo</w:t>
      </w:r>
      <w:r w:rsidR="00F04FAF">
        <w:rPr>
          <w:rFonts w:ascii="Arial" w:hAnsi="Arial" w:cs="Arial"/>
        </w:rPr>
        <w:t>s</w:t>
      </w:r>
      <w:r w:rsidR="00976AB5">
        <w:rPr>
          <w:rFonts w:ascii="Arial" w:hAnsi="Arial" w:cs="Arial"/>
        </w:rPr>
        <w:t xml:space="preserve"> respecto a los vinculados</w:t>
      </w:r>
      <w:r w:rsidR="00D07BE1" w:rsidRPr="00A30437">
        <w:rPr>
          <w:rFonts w:ascii="Arial" w:hAnsi="Arial" w:cs="Arial"/>
        </w:rPr>
        <w:t>.</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0827E2" w:rsidRPr="00C12187" w:rsidRDefault="000827E2" w:rsidP="006E3281">
      <w:pPr>
        <w:pStyle w:val="Textoindependiente"/>
        <w:spacing w:line="360" w:lineRule="auto"/>
        <w:jc w:val="center"/>
        <w:rPr>
          <w:rFonts w:ascii="Arial" w:hAnsi="Arial" w:cs="Arial"/>
          <w:bCs/>
          <w:smallCaps/>
          <w:sz w:val="2"/>
          <w:szCs w:val="24"/>
        </w:rPr>
      </w:pP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F A L L A,</w:t>
      </w:r>
    </w:p>
    <w:p w:rsidR="006E3281" w:rsidRPr="00C12187" w:rsidRDefault="006E3281" w:rsidP="006E3281">
      <w:pPr>
        <w:pStyle w:val="Textoindependiente"/>
        <w:spacing w:line="360" w:lineRule="auto"/>
        <w:jc w:val="center"/>
        <w:rPr>
          <w:rFonts w:ascii="Arial" w:hAnsi="Arial" w:cs="Arial"/>
          <w:bCs/>
          <w:smallCaps/>
          <w:sz w:val="22"/>
          <w:szCs w:val="24"/>
        </w:rPr>
      </w:pPr>
    </w:p>
    <w:p w:rsidR="00431BC5" w:rsidRPr="00BF1DAC" w:rsidRDefault="00431BC5" w:rsidP="00431BC5">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BF1DAC">
        <w:rPr>
          <w:rFonts w:ascii="Arial" w:hAnsi="Arial" w:cs="Arial"/>
        </w:rPr>
        <w:t>DECLARAR el hecho superado por carencia actual de objeto, frente a la petición de que se resolviera</w:t>
      </w:r>
      <w:r>
        <w:rPr>
          <w:rFonts w:ascii="Arial" w:hAnsi="Arial"/>
        </w:rPr>
        <w:t xml:space="preserve"> sobre la admisión de las acciones populares </w:t>
      </w:r>
      <w:r w:rsidRPr="00431BC5">
        <w:rPr>
          <w:rFonts w:ascii="Arial" w:hAnsi="Arial" w:cs="Arial"/>
        </w:rPr>
        <w:t xml:space="preserve">Nos. </w:t>
      </w:r>
      <w:r>
        <w:rPr>
          <w:rFonts w:ascii="Arial" w:hAnsi="Arial" w:cs="Arial"/>
        </w:rPr>
        <w:t>Nos.2016-00136-00, 2016-00130-00, 2016-00142-00 y 2016-00132-00.</w:t>
      </w:r>
    </w:p>
    <w:p w:rsidR="00976AB5" w:rsidRPr="00C12187"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976AB5"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NEGAR la</w:t>
      </w:r>
      <w:r w:rsidR="00F04FAF">
        <w:rPr>
          <w:rFonts w:ascii="Arial" w:hAnsi="Arial" w:cs="Arial"/>
          <w:szCs w:val="24"/>
        </w:rPr>
        <w:t>s</w:t>
      </w:r>
      <w:r w:rsidRPr="003C1983">
        <w:rPr>
          <w:rFonts w:ascii="Arial" w:hAnsi="Arial" w:cs="Arial"/>
          <w:szCs w:val="24"/>
        </w:rPr>
        <w:t xml:space="preserve"> </w:t>
      </w:r>
      <w:r w:rsidR="00F04FAF">
        <w:rPr>
          <w:rFonts w:ascii="Arial" w:hAnsi="Arial" w:cs="Arial"/>
          <w:szCs w:val="24"/>
        </w:rPr>
        <w:t>acciones</w:t>
      </w:r>
      <w:r w:rsidRPr="003C1983">
        <w:rPr>
          <w:rFonts w:ascii="Arial" w:hAnsi="Arial" w:cs="Arial"/>
          <w:szCs w:val="24"/>
        </w:rPr>
        <w:t xml:space="preserve"> de tutela frente </w:t>
      </w:r>
      <w:r w:rsidRPr="003C1983">
        <w:rPr>
          <w:rFonts w:ascii="Arial" w:hAnsi="Arial" w:cs="Arial"/>
          <w:spacing w:val="3"/>
          <w:szCs w:val="24"/>
        </w:rPr>
        <w:t xml:space="preserve">a la Defensoría del Pueblo </w:t>
      </w:r>
      <w:r w:rsidR="00F04FAF">
        <w:rPr>
          <w:rFonts w:ascii="Arial" w:hAnsi="Arial" w:cs="Arial"/>
          <w:spacing w:val="3"/>
          <w:szCs w:val="24"/>
        </w:rPr>
        <w:t xml:space="preserve">y a la Procuraduría General de la Nación, </w:t>
      </w:r>
      <w:r w:rsidRPr="003C1983">
        <w:rPr>
          <w:rFonts w:ascii="Arial" w:hAnsi="Arial" w:cs="Arial"/>
          <w:spacing w:val="3"/>
          <w:szCs w:val="24"/>
        </w:rPr>
        <w:t>Regional</w:t>
      </w:r>
      <w:r w:rsidR="00F04FAF">
        <w:rPr>
          <w:rFonts w:ascii="Arial" w:hAnsi="Arial" w:cs="Arial"/>
          <w:spacing w:val="3"/>
          <w:szCs w:val="24"/>
        </w:rPr>
        <w:t>es de</w:t>
      </w:r>
      <w:r w:rsidRPr="003C1983">
        <w:rPr>
          <w:rFonts w:ascii="Arial" w:hAnsi="Arial" w:cs="Arial"/>
          <w:spacing w:val="3"/>
          <w:szCs w:val="24"/>
        </w:rPr>
        <w:t xml:space="preserve"> Risaralda</w:t>
      </w:r>
      <w:r w:rsidR="00F04FAF">
        <w:rPr>
          <w:rFonts w:ascii="Arial" w:hAnsi="Arial" w:cs="Arial"/>
          <w:spacing w:val="3"/>
          <w:szCs w:val="24"/>
        </w:rPr>
        <w:t xml:space="preserve">; y, a </w:t>
      </w:r>
      <w:r w:rsidRPr="003C1983">
        <w:rPr>
          <w:rFonts w:ascii="Arial" w:hAnsi="Arial" w:cs="Arial"/>
          <w:spacing w:val="3"/>
          <w:szCs w:val="24"/>
        </w:rPr>
        <w:t xml:space="preserve">la Alcaldía </w:t>
      </w:r>
      <w:r>
        <w:rPr>
          <w:rFonts w:ascii="Arial" w:hAnsi="Arial" w:cs="Arial"/>
          <w:spacing w:val="3"/>
          <w:szCs w:val="24"/>
        </w:rPr>
        <w:t>y</w:t>
      </w:r>
      <w:r w:rsidRPr="003C1983">
        <w:rPr>
          <w:rFonts w:ascii="Arial" w:hAnsi="Arial" w:cs="Arial"/>
          <w:spacing w:val="3"/>
          <w:szCs w:val="24"/>
        </w:rPr>
        <w:t xml:space="preserve"> a la Personería de Pereira;</w:t>
      </w:r>
      <w:r w:rsidRPr="003C1983">
        <w:rPr>
          <w:rFonts w:ascii="Arial" w:hAnsi="Arial" w:cs="Arial"/>
          <w:szCs w:val="24"/>
        </w:rPr>
        <w:t xml:space="preserve"> por inexistencia de violación o amenaza a los derechos invocados.</w:t>
      </w:r>
    </w:p>
    <w:p w:rsidR="000827E2" w:rsidRPr="00C12187" w:rsidRDefault="000827E2" w:rsidP="00F04FAF">
      <w:pPr>
        <w:rPr>
          <w:rFonts w:ascii="Arial" w:hAnsi="Arial" w:cs="Arial"/>
          <w:sz w:val="22"/>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C12187"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C12187" w:rsidRDefault="00023B2D" w:rsidP="00023B2D">
      <w:pPr>
        <w:pStyle w:val="Prrafodelista"/>
        <w:rPr>
          <w:rFonts w:ascii="Arial" w:hAnsi="Arial"/>
          <w:spacing w:val="-3"/>
          <w:sz w:val="22"/>
          <w:lang w:val="es-CO"/>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C12187" w:rsidRDefault="00984EE4" w:rsidP="00126266">
      <w:pPr>
        <w:pStyle w:val="Textoindependiente"/>
        <w:spacing w:line="360" w:lineRule="auto"/>
        <w:jc w:val="center"/>
        <w:rPr>
          <w:rFonts w:ascii="Arial" w:hAnsi="Arial"/>
          <w:smallCaps/>
          <w:sz w:val="12"/>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C12187" w:rsidRDefault="000848A3" w:rsidP="00C641FE">
      <w:pPr>
        <w:pStyle w:val="Textoindependiente"/>
        <w:spacing w:line="360" w:lineRule="auto"/>
        <w:jc w:val="center"/>
        <w:rPr>
          <w:rFonts w:ascii="Arial" w:hAnsi="Arial"/>
          <w:sz w:val="2"/>
          <w:lang w:val="en-US"/>
        </w:rPr>
      </w:pPr>
    </w:p>
    <w:p w:rsidR="000006D6" w:rsidRDefault="000006D6" w:rsidP="00017666">
      <w:pPr>
        <w:pStyle w:val="Textoindependiente"/>
        <w:spacing w:line="360" w:lineRule="auto"/>
        <w:rPr>
          <w:rFonts w:ascii="Arial" w:hAnsi="Arial"/>
          <w:lang w:val="en-US"/>
        </w:rPr>
      </w:pPr>
    </w:p>
    <w:p w:rsidR="00C12187" w:rsidRDefault="00C12187" w:rsidP="00017666">
      <w:pPr>
        <w:pStyle w:val="Textoindependiente"/>
        <w:spacing w:line="360" w:lineRule="auto"/>
        <w:rPr>
          <w:rFonts w:ascii="Arial" w:hAnsi="Arial"/>
          <w:lang w:val="en-US"/>
        </w:rPr>
      </w:pPr>
    </w:p>
    <w:p w:rsidR="007423AE" w:rsidRDefault="007423AE" w:rsidP="00017666">
      <w:pPr>
        <w:pStyle w:val="Textoindependiente"/>
        <w:spacing w:line="360" w:lineRule="auto"/>
        <w:rPr>
          <w:rFonts w:ascii="Arial" w:hAnsi="Arial"/>
          <w:lang w:val="en-US"/>
        </w:rPr>
      </w:pPr>
    </w:p>
    <w:p w:rsidR="007423AE" w:rsidRDefault="007423AE" w:rsidP="00017666">
      <w:pPr>
        <w:pStyle w:val="Textoindependiente"/>
        <w:spacing w:line="360" w:lineRule="auto"/>
        <w:rPr>
          <w:rFonts w:ascii="Arial" w:hAnsi="Arial"/>
          <w:lang w:val="en-US"/>
        </w:rPr>
      </w:pPr>
    </w:p>
    <w:p w:rsidR="007423AE" w:rsidRPr="001B6BBA" w:rsidRDefault="007423AE" w:rsidP="00017666">
      <w:pPr>
        <w:pStyle w:val="Textoindependiente"/>
        <w:spacing w:line="360" w:lineRule="auto"/>
        <w:rPr>
          <w:rFonts w:ascii="Arial" w:hAnsi="Arial"/>
          <w:lang w:val="en-US"/>
        </w:rPr>
      </w:pPr>
      <w:bookmarkStart w:id="0" w:name="_GoBack"/>
      <w:bookmarkEnd w:id="0"/>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C12187" w:rsidRPr="001B6BBA" w:rsidRDefault="00C1218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C16956" w:rsidP="004E4D7B">
      <w:pPr>
        <w:pStyle w:val="Textoindependiente"/>
        <w:spacing w:line="360" w:lineRule="auto"/>
        <w:jc w:val="right"/>
        <w:rPr>
          <w:rFonts w:ascii="Arial" w:hAnsi="Arial"/>
          <w:sz w:val="22"/>
        </w:rPr>
      </w:pPr>
      <w:r>
        <w:rPr>
          <w:rFonts w:ascii="Arial" w:hAnsi="Arial"/>
          <w:w w:val="150"/>
          <w:sz w:val="8"/>
          <w:szCs w:val="10"/>
          <w:lang w:val="en-US"/>
        </w:rPr>
        <w:t>DGH/</w:t>
      </w:r>
      <w:r w:rsidR="00F04FAF">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p w:rsidR="004E4D7B" w:rsidRDefault="004E4D7B"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B65814" w:rsidRPr="00B65814" w:rsidRDefault="00B6581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s-ES_tradnl"/>
        </w:rPr>
      </w:pPr>
    </w:p>
    <w:sectPr w:rsidR="00B65814" w:rsidRPr="00B65814"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8E" w:rsidRDefault="00651A8E" w:rsidP="0099045D">
      <w:r>
        <w:separator/>
      </w:r>
    </w:p>
  </w:endnote>
  <w:endnote w:type="continuationSeparator" w:id="0">
    <w:p w:rsidR="00651A8E" w:rsidRDefault="00651A8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8E" w:rsidRDefault="00651A8E" w:rsidP="0099045D">
      <w:r>
        <w:separator/>
      </w:r>
    </w:p>
  </w:footnote>
  <w:footnote w:type="continuationSeparator" w:id="0">
    <w:p w:rsidR="00651A8E" w:rsidRDefault="00651A8E" w:rsidP="0099045D">
      <w:r>
        <w:continuationSeparator/>
      </w:r>
    </w:p>
  </w:footnote>
  <w:footnote w:id="1">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2">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3">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4">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5">
    <w:p w:rsidR="00C12187" w:rsidRDefault="00C12187" w:rsidP="00C12187">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6">
    <w:p w:rsidR="00C12187" w:rsidRDefault="00C12187" w:rsidP="00C12187">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651A8E">
      <w:rPr>
        <w:rFonts w:ascii="Calibri" w:hAnsi="Calibri" w:cs="Calibri"/>
        <w:i/>
        <w:noProof/>
        <w:sz w:val="20"/>
      </w:rPr>
      <w:t>1</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F7681B">
      <w:rPr>
        <w:rFonts w:ascii="Calibri" w:hAnsi="Calibri" w:cs="Calibri"/>
        <w:i/>
        <w:sz w:val="20"/>
        <w:szCs w:val="22"/>
      </w:rPr>
      <w:t>00379</w:t>
    </w:r>
    <w:r w:rsidR="00F7395A">
      <w:rPr>
        <w:rFonts w:ascii="Calibri" w:hAnsi="Calibri" w:cs="Calibri"/>
        <w:i/>
        <w:sz w:val="20"/>
        <w:szCs w:val="22"/>
      </w:rPr>
      <w:t xml:space="preserve">-00 - ACUMULADAS </w:t>
    </w:r>
    <w:r w:rsidR="00F7681B">
      <w:rPr>
        <w:rFonts w:ascii="Calibri" w:hAnsi="Calibri" w:cs="Calibri"/>
        <w:i/>
        <w:sz w:val="20"/>
        <w:szCs w:val="22"/>
      </w:rPr>
      <w:t xml:space="preserve">3 </w:t>
    </w:r>
    <w:r w:rsidR="00F7395A">
      <w:rPr>
        <w:rFonts w:ascii="Calibri" w:hAnsi="Calibri" w:cs="Calibri"/>
        <w:i/>
        <w:sz w:val="20"/>
        <w:szCs w:val="22"/>
      </w:rPr>
      <w:t xml:space="preserve">ACCIONES </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2"/>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3"/>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2"/>
  </w:num>
  <w:num w:numId="23">
    <w:abstractNumId w:val="6"/>
  </w:num>
  <w:num w:numId="24">
    <w:abstractNumId w:val="20"/>
  </w:num>
  <w:num w:numId="25">
    <w:abstractNumId w:val="3"/>
  </w:num>
  <w:num w:numId="26">
    <w:abstractNumId w:val="11"/>
  </w:num>
  <w:num w:numId="27">
    <w:abstractNumId w:val="21"/>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642"/>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1A8E"/>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3AE"/>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144F"/>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F30"/>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234"/>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2D1"/>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EFF"/>
    <w:rsid w:val="00DF17B5"/>
    <w:rsid w:val="00DF26CF"/>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05BA"/>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A66"/>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BE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C693-48F6-46E2-A875-AE0FCC71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10</cp:revision>
  <cp:lastPrinted>2016-04-12T17:36:00Z</cp:lastPrinted>
  <dcterms:created xsi:type="dcterms:W3CDTF">2016-04-10T20:35:00Z</dcterms:created>
  <dcterms:modified xsi:type="dcterms:W3CDTF">2016-09-23T16:52:00Z</dcterms:modified>
</cp:coreProperties>
</file>