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5C26B3" w:rsidRPr="003D195F" w:rsidRDefault="005C26B3" w:rsidP="005C26B3">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5C26B3" w:rsidRPr="003D195F" w:rsidRDefault="005C26B3" w:rsidP="005C26B3">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D</w:t>
      </w:r>
      <w:r w:rsidRPr="003D195F">
        <w:rPr>
          <w:rFonts w:ascii="Arial" w:hAnsi="Arial" w:cs="Arial"/>
          <w:w w:val="140"/>
          <w:sz w:val="16"/>
          <w:szCs w:val="18"/>
          <w:lang w:val="es-CO"/>
        </w:rPr>
        <w:t xml:space="preserve">EPARTAMENTO DE </w:t>
      </w:r>
      <w:r w:rsidRPr="003D195F">
        <w:rPr>
          <w:rFonts w:ascii="Arial" w:hAnsi="Arial" w:cs="Arial"/>
          <w:w w:val="140"/>
          <w:sz w:val="18"/>
          <w:szCs w:val="18"/>
          <w:lang w:val="es-CO"/>
        </w:rPr>
        <w:t>R</w:t>
      </w:r>
      <w:r w:rsidRPr="003D195F">
        <w:rPr>
          <w:rFonts w:ascii="Arial" w:hAnsi="Arial" w:cs="Arial"/>
          <w:w w:val="140"/>
          <w:sz w:val="16"/>
          <w:szCs w:val="18"/>
          <w:lang w:val="es-CO"/>
        </w:rPr>
        <w:t>ISARALDA</w:t>
      </w:r>
    </w:p>
    <w:p w:rsidR="003913E3" w:rsidRPr="007A7120" w:rsidRDefault="003913E3" w:rsidP="00F839CE">
      <w:pPr>
        <w:spacing w:line="360" w:lineRule="auto"/>
        <w:jc w:val="center"/>
        <w:rPr>
          <w:rFonts w:ascii="Arial" w:hAnsi="Arial" w:cs="Arial"/>
          <w:b/>
          <w:bCs/>
          <w:sz w:val="20"/>
          <w:szCs w:val="26"/>
        </w:rPr>
      </w:pPr>
    </w:p>
    <w:p w:rsidR="003913E3" w:rsidRPr="00F86DCE" w:rsidRDefault="003913E3" w:rsidP="00C55802">
      <w:pPr>
        <w:pStyle w:val="Textoindependiente"/>
        <w:spacing w:line="360" w:lineRule="auto"/>
        <w:ind w:left="1416"/>
        <w:rPr>
          <w:rFonts w:ascii="Arial" w:hAnsi="Arial"/>
          <w:sz w:val="22"/>
          <w:szCs w:val="22"/>
        </w:rPr>
      </w:pP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Accionante</w:t>
      </w:r>
      <w:r w:rsidRPr="00594392">
        <w:rPr>
          <w:rFonts w:ascii="Arial" w:hAnsi="Arial" w:cs="Arial"/>
          <w:sz w:val="22"/>
          <w:szCs w:val="22"/>
        </w:rPr>
        <w:tab/>
      </w:r>
      <w:r w:rsidRPr="00594392">
        <w:rPr>
          <w:rFonts w:ascii="Arial" w:hAnsi="Arial" w:cs="Arial"/>
          <w:sz w:val="22"/>
          <w:szCs w:val="22"/>
        </w:rPr>
        <w:tab/>
        <w:t xml:space="preserve">: </w:t>
      </w:r>
      <w:r w:rsidR="00945E30">
        <w:rPr>
          <w:rFonts w:ascii="Arial" w:hAnsi="Arial" w:cs="Arial"/>
          <w:sz w:val="22"/>
          <w:szCs w:val="22"/>
        </w:rPr>
        <w:t>Empresa de Energía de Bogotá SA ESP</w:t>
      </w:r>
    </w:p>
    <w:p w:rsidR="00586A21"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 xml:space="preserve">o </w:t>
      </w:r>
      <w:r w:rsidRPr="00594392">
        <w:rPr>
          <w:rFonts w:ascii="Arial" w:hAnsi="Arial" w:cs="Arial"/>
          <w:sz w:val="22"/>
          <w:szCs w:val="22"/>
        </w:rPr>
        <w:tab/>
      </w:r>
      <w:r w:rsidRPr="00594392">
        <w:rPr>
          <w:rFonts w:ascii="Arial" w:hAnsi="Arial" w:cs="Arial"/>
          <w:sz w:val="22"/>
          <w:szCs w:val="22"/>
        </w:rPr>
        <w:tab/>
        <w:t xml:space="preserve">: </w:t>
      </w:r>
      <w:r>
        <w:rPr>
          <w:rFonts w:ascii="Arial" w:hAnsi="Arial" w:cs="Arial"/>
          <w:sz w:val="22"/>
          <w:szCs w:val="22"/>
        </w:rPr>
        <w:t xml:space="preserve">Juzgado </w:t>
      </w:r>
      <w:r w:rsidR="00945E30">
        <w:rPr>
          <w:rFonts w:ascii="Arial" w:hAnsi="Arial" w:cs="Arial"/>
          <w:sz w:val="22"/>
          <w:szCs w:val="22"/>
        </w:rPr>
        <w:t xml:space="preserve">Primero </w:t>
      </w:r>
      <w:r w:rsidR="005967FC">
        <w:rPr>
          <w:rFonts w:ascii="Arial" w:hAnsi="Arial" w:cs="Arial"/>
          <w:sz w:val="22"/>
          <w:szCs w:val="22"/>
        </w:rPr>
        <w:t xml:space="preserve">Civil Municipal de </w:t>
      </w:r>
      <w:r w:rsidR="00945E30">
        <w:rPr>
          <w:rFonts w:ascii="Arial" w:hAnsi="Arial" w:cs="Arial"/>
          <w:sz w:val="22"/>
          <w:szCs w:val="22"/>
        </w:rPr>
        <w:t>Dosquebradas</w:t>
      </w:r>
      <w:r>
        <w:rPr>
          <w:rFonts w:ascii="Arial" w:hAnsi="Arial" w:cs="Arial"/>
          <w:sz w:val="22"/>
          <w:szCs w:val="22"/>
        </w:rPr>
        <w:t>, R.</w:t>
      </w:r>
    </w:p>
    <w:p w:rsidR="00586A21" w:rsidRPr="00594392" w:rsidRDefault="00586A21" w:rsidP="00586A21">
      <w:pPr>
        <w:pStyle w:val="Textoindependiente"/>
        <w:spacing w:line="360" w:lineRule="auto"/>
        <w:ind w:left="1416"/>
        <w:rPr>
          <w:rFonts w:ascii="Arial" w:hAnsi="Arial" w:cs="Arial"/>
          <w:sz w:val="22"/>
          <w:szCs w:val="22"/>
        </w:rPr>
      </w:pPr>
      <w:r>
        <w:rPr>
          <w:rFonts w:ascii="Arial" w:hAnsi="Arial" w:cs="Arial"/>
          <w:sz w:val="22"/>
          <w:szCs w:val="22"/>
        </w:rPr>
        <w:t>Vinculado</w:t>
      </w:r>
      <w:r w:rsidR="00945E30">
        <w:rPr>
          <w:rFonts w:ascii="Arial" w:hAnsi="Arial" w:cs="Arial"/>
          <w:sz w:val="22"/>
          <w:szCs w:val="22"/>
        </w:rPr>
        <w:t xml:space="preserve"> (s)</w:t>
      </w:r>
      <w:r w:rsidR="000A572A">
        <w:rPr>
          <w:rFonts w:ascii="Arial" w:hAnsi="Arial" w:cs="Arial"/>
          <w:sz w:val="22"/>
          <w:szCs w:val="22"/>
        </w:rPr>
        <w:tab/>
      </w:r>
      <w:r>
        <w:rPr>
          <w:rFonts w:ascii="Arial" w:hAnsi="Arial" w:cs="Arial"/>
          <w:sz w:val="22"/>
          <w:szCs w:val="22"/>
        </w:rPr>
        <w:tab/>
        <w:t xml:space="preserve">: </w:t>
      </w:r>
      <w:r w:rsidR="00945E30">
        <w:rPr>
          <w:rFonts w:ascii="Arial" w:hAnsi="Arial" w:cs="Arial"/>
          <w:sz w:val="22"/>
          <w:szCs w:val="22"/>
        </w:rPr>
        <w:t>Amparito Castaño de Gómez y otros</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3A3A0B">
        <w:rPr>
          <w:rFonts w:ascii="Arial" w:hAnsi="Arial" w:cs="Arial"/>
          <w:sz w:val="22"/>
          <w:szCs w:val="22"/>
        </w:rPr>
        <w:t>Civil</w:t>
      </w:r>
      <w:r w:rsidR="005967FC">
        <w:rPr>
          <w:rFonts w:ascii="Arial" w:hAnsi="Arial" w:cs="Arial"/>
          <w:sz w:val="22"/>
          <w:szCs w:val="22"/>
        </w:rPr>
        <w:t xml:space="preserve"> </w:t>
      </w:r>
      <w:r>
        <w:rPr>
          <w:rFonts w:ascii="Arial" w:hAnsi="Arial" w:cs="Arial"/>
          <w:sz w:val="22"/>
          <w:szCs w:val="22"/>
        </w:rPr>
        <w:t xml:space="preserve">del Circuito de </w:t>
      </w:r>
      <w:r w:rsidR="00945E30">
        <w:rPr>
          <w:rFonts w:ascii="Arial" w:hAnsi="Arial" w:cs="Arial"/>
          <w:sz w:val="22"/>
          <w:szCs w:val="22"/>
        </w:rPr>
        <w:t>Dosquebradas</w:t>
      </w:r>
      <w:r>
        <w:rPr>
          <w:rFonts w:ascii="Arial" w:hAnsi="Arial" w:cs="Arial"/>
          <w:sz w:val="22"/>
          <w:szCs w:val="22"/>
        </w:rPr>
        <w:t>, R.</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945E30">
        <w:rPr>
          <w:rFonts w:ascii="Arial" w:hAnsi="Arial" w:cs="Arial"/>
          <w:sz w:val="22"/>
          <w:szCs w:val="22"/>
        </w:rPr>
        <w:t xml:space="preserve">2016-00019-01 </w:t>
      </w:r>
    </w:p>
    <w:p w:rsidR="004A12F7" w:rsidRPr="002917E6" w:rsidRDefault="004A12F7" w:rsidP="004A12F7">
      <w:pPr>
        <w:pStyle w:val="Textoindependiente"/>
        <w:spacing w:line="360" w:lineRule="auto"/>
        <w:rPr>
          <w:rFonts w:ascii="Arial" w:hAnsi="Arial" w:cs="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932E7">
        <w:rPr>
          <w:rFonts w:ascii="Arial" w:hAnsi="Arial"/>
          <w:sz w:val="22"/>
          <w:szCs w:val="22"/>
        </w:rPr>
        <w:t>Procedibilidad – In</w:t>
      </w:r>
      <w:bookmarkStart w:id="0" w:name="_GoBack"/>
      <w:bookmarkEnd w:id="0"/>
      <w:r w:rsidR="005932E7">
        <w:rPr>
          <w:rFonts w:ascii="Arial" w:hAnsi="Arial"/>
          <w:sz w:val="22"/>
          <w:szCs w:val="22"/>
        </w:rPr>
        <w:t>mediatez</w:t>
      </w:r>
    </w:p>
    <w:p w:rsidR="003913E3" w:rsidRPr="00B772B6" w:rsidRDefault="004A12F7" w:rsidP="004A12F7">
      <w:pPr>
        <w:pStyle w:val="Textoindependien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913E3" w:rsidRPr="00F86DCE" w:rsidRDefault="003913E3" w:rsidP="00C55802">
      <w:pPr>
        <w:spacing w:line="360" w:lineRule="auto"/>
        <w:ind w:left="1416"/>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56500B">
        <w:rPr>
          <w:rFonts w:ascii="Arial" w:hAnsi="Arial"/>
          <w:sz w:val="22"/>
          <w:szCs w:val="22"/>
        </w:rPr>
        <w:t>226 de 13-05-2016</w:t>
      </w:r>
    </w:p>
    <w:p w:rsidR="003913E3" w:rsidRPr="00CE2F87" w:rsidRDefault="003913E3" w:rsidP="00F839CE">
      <w:pPr>
        <w:pBdr>
          <w:bottom w:val="double" w:sz="6" w:space="1" w:color="auto"/>
        </w:pBdr>
        <w:spacing w:line="360" w:lineRule="auto"/>
        <w:jc w:val="center"/>
        <w:rPr>
          <w:rFonts w:ascii="Arial" w:hAnsi="Arial" w:cs="Arial"/>
          <w:b/>
          <w:bCs/>
          <w:sz w:val="14"/>
          <w:szCs w:val="22"/>
        </w:rPr>
      </w:pPr>
    </w:p>
    <w:p w:rsidR="003913E3" w:rsidRDefault="003913E3" w:rsidP="00F839CE">
      <w:pPr>
        <w:spacing w:line="360" w:lineRule="auto"/>
        <w:jc w:val="center"/>
        <w:rPr>
          <w:rFonts w:ascii="Arial" w:hAnsi="Arial" w:cs="Arial"/>
          <w:b/>
          <w:bCs/>
          <w:sz w:val="20"/>
          <w:szCs w:val="22"/>
        </w:rPr>
      </w:pPr>
    </w:p>
    <w:p w:rsidR="00BD6B8B" w:rsidRPr="00CE2F87" w:rsidRDefault="00BD6B8B" w:rsidP="00F839CE">
      <w:pPr>
        <w:spacing w:line="360" w:lineRule="auto"/>
        <w:jc w:val="center"/>
        <w:rPr>
          <w:rFonts w:ascii="Arial" w:hAnsi="Arial" w:cs="Arial"/>
          <w:b/>
          <w:bCs/>
          <w:sz w:val="20"/>
          <w:szCs w:val="22"/>
        </w:rPr>
      </w:pPr>
    </w:p>
    <w:p w:rsidR="003913E3" w:rsidRPr="00BD6B8B" w:rsidRDefault="003913E3" w:rsidP="00F839CE">
      <w:pPr>
        <w:spacing w:line="360" w:lineRule="auto"/>
        <w:jc w:val="center"/>
        <w:rPr>
          <w:rFonts w:ascii="Arial" w:hAnsi="Arial" w:cs="Arial"/>
          <w:iCs/>
          <w:sz w:val="26"/>
          <w:szCs w:val="26"/>
          <w:lang w:val="es-CO"/>
        </w:rPr>
      </w:pPr>
      <w:r w:rsidRPr="00BD6B8B">
        <w:rPr>
          <w:rFonts w:ascii="Arial" w:hAnsi="Arial" w:cs="Arial"/>
          <w:iCs/>
          <w:smallCaps/>
          <w:sz w:val="26"/>
          <w:szCs w:val="26"/>
          <w:lang w:val="es-CO"/>
        </w:rPr>
        <w:t xml:space="preserve">Pereira, </w:t>
      </w:r>
      <w:r w:rsidR="00945E30">
        <w:rPr>
          <w:rFonts w:ascii="Arial" w:hAnsi="Arial" w:cs="Arial"/>
          <w:iCs/>
          <w:smallCaps/>
          <w:sz w:val="26"/>
          <w:szCs w:val="26"/>
          <w:lang w:val="es-CO"/>
        </w:rPr>
        <w:t>R.</w:t>
      </w:r>
      <w:r w:rsidR="00C55802" w:rsidRPr="00BD6B8B">
        <w:rPr>
          <w:rFonts w:ascii="Arial" w:hAnsi="Arial" w:cs="Arial"/>
          <w:iCs/>
          <w:smallCaps/>
          <w:sz w:val="26"/>
          <w:szCs w:val="26"/>
          <w:lang w:val="es-CO"/>
        </w:rPr>
        <w:t>,</w:t>
      </w:r>
      <w:r w:rsidRPr="00BD6B8B">
        <w:rPr>
          <w:rFonts w:ascii="Arial" w:hAnsi="Arial" w:cs="Arial"/>
          <w:iCs/>
          <w:smallCaps/>
          <w:sz w:val="26"/>
          <w:szCs w:val="26"/>
          <w:lang w:val="es-CO"/>
        </w:rPr>
        <w:t xml:space="preserve"> </w:t>
      </w:r>
      <w:r w:rsidR="0056500B">
        <w:rPr>
          <w:rFonts w:ascii="Arial" w:hAnsi="Arial" w:cs="Arial"/>
          <w:iCs/>
          <w:smallCaps/>
          <w:sz w:val="26"/>
          <w:szCs w:val="26"/>
          <w:lang w:val="es-CO"/>
        </w:rPr>
        <w:t>trece</w:t>
      </w:r>
      <w:r w:rsidR="00945E30">
        <w:rPr>
          <w:rFonts w:ascii="Arial" w:hAnsi="Arial" w:cs="Arial"/>
          <w:iCs/>
          <w:smallCaps/>
          <w:sz w:val="26"/>
          <w:szCs w:val="26"/>
          <w:lang w:val="es-CO"/>
        </w:rPr>
        <w:t xml:space="preserve"> </w:t>
      </w:r>
      <w:r w:rsidRPr="00BD6B8B">
        <w:rPr>
          <w:rFonts w:ascii="Arial" w:hAnsi="Arial" w:cs="Arial"/>
          <w:iCs/>
          <w:smallCaps/>
          <w:sz w:val="26"/>
          <w:szCs w:val="26"/>
          <w:lang w:val="es-CO"/>
        </w:rPr>
        <w:t>(</w:t>
      </w:r>
      <w:r w:rsidR="0056500B">
        <w:rPr>
          <w:rFonts w:ascii="Arial" w:hAnsi="Arial" w:cs="Arial"/>
          <w:iCs/>
          <w:smallCaps/>
          <w:sz w:val="26"/>
          <w:szCs w:val="26"/>
          <w:lang w:val="es-CO"/>
        </w:rPr>
        <w:t>13</w:t>
      </w:r>
      <w:r w:rsidRPr="00BD6B8B">
        <w:rPr>
          <w:rFonts w:ascii="Arial" w:hAnsi="Arial" w:cs="Arial"/>
          <w:iCs/>
          <w:smallCaps/>
          <w:sz w:val="26"/>
          <w:szCs w:val="26"/>
          <w:lang w:val="es-CO"/>
        </w:rPr>
        <w:t xml:space="preserve">) de </w:t>
      </w:r>
      <w:r w:rsidR="00945E30">
        <w:rPr>
          <w:rFonts w:ascii="Arial" w:hAnsi="Arial" w:cs="Arial"/>
          <w:iCs/>
          <w:smallCaps/>
          <w:sz w:val="26"/>
          <w:szCs w:val="26"/>
          <w:lang w:val="es-CO"/>
        </w:rPr>
        <w:t xml:space="preserve">mayo </w:t>
      </w:r>
      <w:r w:rsidRPr="00BD6B8B">
        <w:rPr>
          <w:rFonts w:ascii="Arial" w:hAnsi="Arial" w:cs="Arial"/>
          <w:iCs/>
          <w:smallCaps/>
          <w:sz w:val="26"/>
          <w:szCs w:val="26"/>
          <w:lang w:val="es-CO"/>
        </w:rPr>
        <w:t xml:space="preserve">de dos mil </w:t>
      </w:r>
      <w:r w:rsidR="00945E30">
        <w:rPr>
          <w:rFonts w:ascii="Arial" w:hAnsi="Arial" w:cs="Arial"/>
          <w:iCs/>
          <w:smallCaps/>
          <w:sz w:val="26"/>
          <w:szCs w:val="26"/>
          <w:lang w:val="es-CO"/>
        </w:rPr>
        <w:t xml:space="preserve">dieciséis </w:t>
      </w:r>
      <w:r w:rsidRPr="00BD6B8B">
        <w:rPr>
          <w:rFonts w:ascii="Arial" w:hAnsi="Arial" w:cs="Arial"/>
          <w:iCs/>
          <w:smallCaps/>
          <w:sz w:val="26"/>
          <w:szCs w:val="26"/>
          <w:lang w:val="es-CO"/>
        </w:rPr>
        <w:t>(</w:t>
      </w:r>
      <w:r w:rsidR="00945E30">
        <w:rPr>
          <w:rFonts w:ascii="Arial" w:hAnsi="Arial" w:cs="Arial"/>
          <w:iCs/>
          <w:smallCaps/>
          <w:sz w:val="26"/>
          <w:szCs w:val="26"/>
          <w:lang w:val="es-CO"/>
        </w:rPr>
        <w:t>2016</w:t>
      </w:r>
      <w:r w:rsidRPr="00BD6B8B">
        <w:rPr>
          <w:rFonts w:ascii="Arial" w:hAnsi="Arial" w:cs="Arial"/>
          <w:iCs/>
          <w:smallCaps/>
          <w:sz w:val="26"/>
          <w:szCs w:val="26"/>
          <w:lang w:val="es-CO"/>
        </w:rPr>
        <w:t>)</w:t>
      </w:r>
      <w:r w:rsidRPr="00BD6B8B">
        <w:rPr>
          <w:rFonts w:ascii="Arial" w:hAnsi="Arial" w:cs="Arial"/>
          <w:iCs/>
          <w:sz w:val="26"/>
          <w:szCs w:val="26"/>
          <w:lang w:val="es-CO"/>
        </w:rPr>
        <w:t>.</w:t>
      </w:r>
    </w:p>
    <w:p w:rsidR="003913E3"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B4B9C" w:rsidRDefault="003913E3" w:rsidP="00F839CE">
      <w:pPr>
        <w:pStyle w:val="Textoindependiente"/>
        <w:spacing w:line="360" w:lineRule="auto"/>
        <w:rPr>
          <w:rFonts w:ascii="Arial" w:hAnsi="Arial" w:cs="Arial"/>
          <w:sz w:val="24"/>
          <w:szCs w:val="24"/>
        </w:rPr>
      </w:pP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color w:val="000000"/>
          <w:sz w:val="24"/>
          <w:szCs w:val="24"/>
          <w:lang w:val="es-CO"/>
        </w:rPr>
      </w:pPr>
      <w:r w:rsidRPr="00311FCA">
        <w:rPr>
          <w:rFonts w:ascii="Arial" w:hAnsi="Arial" w:cs="Arial"/>
          <w:sz w:val="24"/>
          <w:szCs w:val="24"/>
        </w:rPr>
        <w:t>Expres</w:t>
      </w:r>
      <w:r w:rsidR="004C5D2C">
        <w:rPr>
          <w:rFonts w:ascii="Arial" w:hAnsi="Arial" w:cs="Arial"/>
          <w:sz w:val="24"/>
          <w:szCs w:val="24"/>
        </w:rPr>
        <w:t>ó</w:t>
      </w:r>
      <w:r w:rsidRPr="00311FCA">
        <w:rPr>
          <w:rFonts w:ascii="Arial" w:hAnsi="Arial" w:cs="Arial"/>
          <w:sz w:val="24"/>
          <w:szCs w:val="24"/>
        </w:rPr>
        <w:t xml:space="preserve"> </w:t>
      </w:r>
      <w:r w:rsidR="00860153">
        <w:rPr>
          <w:rFonts w:ascii="Arial" w:hAnsi="Arial" w:cs="Arial"/>
          <w:sz w:val="24"/>
          <w:szCs w:val="24"/>
        </w:rPr>
        <w:t>el actor</w:t>
      </w:r>
      <w:r w:rsidR="005967FC">
        <w:rPr>
          <w:rFonts w:ascii="Arial" w:hAnsi="Arial" w:cs="Arial"/>
          <w:sz w:val="24"/>
          <w:szCs w:val="24"/>
        </w:rPr>
        <w:t xml:space="preserve"> que</w:t>
      </w:r>
      <w:r w:rsidR="00860153">
        <w:rPr>
          <w:rFonts w:ascii="Arial" w:hAnsi="Arial" w:cs="Arial"/>
          <w:sz w:val="24"/>
          <w:szCs w:val="24"/>
        </w:rPr>
        <w:t xml:space="preserve"> inició proceso </w:t>
      </w:r>
      <w:r w:rsidR="00945E30">
        <w:rPr>
          <w:rFonts w:ascii="Arial" w:hAnsi="Arial" w:cs="Arial"/>
          <w:sz w:val="24"/>
          <w:szCs w:val="24"/>
        </w:rPr>
        <w:t>de imposición de servidumbre de conducción de energía eléctrica</w:t>
      </w:r>
      <w:r w:rsidR="006E3EF6">
        <w:rPr>
          <w:rFonts w:ascii="Arial" w:hAnsi="Arial" w:cs="Arial"/>
          <w:sz w:val="24"/>
          <w:szCs w:val="24"/>
        </w:rPr>
        <w:t>,</w:t>
      </w:r>
      <w:r w:rsidR="00945E30">
        <w:rPr>
          <w:rFonts w:ascii="Arial" w:hAnsi="Arial" w:cs="Arial"/>
          <w:sz w:val="24"/>
          <w:szCs w:val="24"/>
        </w:rPr>
        <w:t xml:space="preserve"> </w:t>
      </w:r>
      <w:r w:rsidR="006E3EF6">
        <w:rPr>
          <w:rFonts w:ascii="Arial" w:hAnsi="Arial" w:cs="Arial"/>
          <w:sz w:val="24"/>
          <w:szCs w:val="24"/>
        </w:rPr>
        <w:t xml:space="preserve">que </w:t>
      </w:r>
      <w:r w:rsidR="00860153">
        <w:rPr>
          <w:rFonts w:ascii="Arial" w:hAnsi="Arial" w:cs="Arial"/>
          <w:sz w:val="24"/>
          <w:szCs w:val="24"/>
        </w:rPr>
        <w:t xml:space="preserve">correspondió al Juzgado </w:t>
      </w:r>
      <w:r w:rsidR="00945E30">
        <w:rPr>
          <w:rFonts w:ascii="Arial" w:hAnsi="Arial" w:cs="Arial"/>
          <w:sz w:val="24"/>
          <w:szCs w:val="24"/>
        </w:rPr>
        <w:t>1</w:t>
      </w:r>
      <w:r w:rsidR="00860153">
        <w:rPr>
          <w:rFonts w:ascii="Arial" w:hAnsi="Arial" w:cs="Arial"/>
          <w:sz w:val="24"/>
          <w:szCs w:val="24"/>
        </w:rPr>
        <w:t xml:space="preserve">° Civil Municipal </w:t>
      </w:r>
      <w:r w:rsidR="00945E30">
        <w:rPr>
          <w:rFonts w:ascii="Arial" w:hAnsi="Arial" w:cs="Arial"/>
          <w:sz w:val="24"/>
          <w:szCs w:val="24"/>
        </w:rPr>
        <w:t>de Dosquebradas</w:t>
      </w:r>
      <w:r w:rsidR="00860153">
        <w:rPr>
          <w:rFonts w:ascii="Arial" w:hAnsi="Arial" w:cs="Arial"/>
          <w:sz w:val="24"/>
          <w:szCs w:val="24"/>
        </w:rPr>
        <w:t xml:space="preserve">. </w:t>
      </w:r>
      <w:r w:rsidR="00945E30">
        <w:rPr>
          <w:rFonts w:ascii="Arial" w:hAnsi="Arial" w:cs="Arial"/>
          <w:sz w:val="24"/>
          <w:szCs w:val="24"/>
        </w:rPr>
        <w:t xml:space="preserve">Con </w:t>
      </w:r>
      <w:r w:rsidR="00860153">
        <w:rPr>
          <w:rFonts w:ascii="Arial" w:hAnsi="Arial" w:cs="Arial"/>
          <w:sz w:val="24"/>
          <w:szCs w:val="24"/>
        </w:rPr>
        <w:t xml:space="preserve">auto </w:t>
      </w:r>
      <w:r w:rsidR="00945E30">
        <w:rPr>
          <w:rFonts w:ascii="Arial" w:hAnsi="Arial" w:cs="Arial"/>
          <w:sz w:val="24"/>
          <w:szCs w:val="24"/>
        </w:rPr>
        <w:t>del 12-02-2015</w:t>
      </w:r>
      <w:r w:rsidR="00860153">
        <w:rPr>
          <w:rFonts w:ascii="Arial" w:hAnsi="Arial" w:cs="Arial"/>
          <w:sz w:val="24"/>
          <w:szCs w:val="24"/>
        </w:rPr>
        <w:t xml:space="preserve">, </w:t>
      </w:r>
      <w:r w:rsidR="0007430C">
        <w:rPr>
          <w:rFonts w:ascii="Arial" w:hAnsi="Arial" w:cs="Arial"/>
          <w:sz w:val="24"/>
          <w:szCs w:val="24"/>
        </w:rPr>
        <w:t xml:space="preserve">el despacho judicial </w:t>
      </w:r>
      <w:r w:rsidR="00945E30">
        <w:rPr>
          <w:rFonts w:ascii="Arial" w:hAnsi="Arial" w:cs="Arial"/>
          <w:sz w:val="24"/>
          <w:szCs w:val="24"/>
        </w:rPr>
        <w:t xml:space="preserve">decretó pruebas y designó dos peritos, uno de la lista de auxiliares de la justicia </w:t>
      </w:r>
      <w:r w:rsidR="0007430C">
        <w:rPr>
          <w:rFonts w:ascii="Arial" w:hAnsi="Arial" w:cs="Arial"/>
          <w:sz w:val="24"/>
          <w:szCs w:val="24"/>
        </w:rPr>
        <w:t xml:space="preserve">y otro del IGAC, para que avaluaran el predio objeto del proceso; formuló recurso contra el proveído del 09-06-2015, </w:t>
      </w:r>
      <w:r w:rsidR="006E3EF6">
        <w:rPr>
          <w:rFonts w:ascii="Arial" w:hAnsi="Arial" w:cs="Arial"/>
          <w:sz w:val="24"/>
          <w:szCs w:val="24"/>
        </w:rPr>
        <w:t>(</w:t>
      </w:r>
      <w:r w:rsidR="0007430C">
        <w:rPr>
          <w:rFonts w:ascii="Arial" w:hAnsi="Arial" w:cs="Arial"/>
          <w:sz w:val="24"/>
          <w:szCs w:val="24"/>
        </w:rPr>
        <w:t>para que se ordenara a los expertos que presentaran sus trabajos por separado y no uno en conjunto</w:t>
      </w:r>
      <w:r w:rsidR="006E3EF6">
        <w:rPr>
          <w:rFonts w:ascii="Arial" w:hAnsi="Arial" w:cs="Arial"/>
          <w:sz w:val="24"/>
          <w:szCs w:val="24"/>
        </w:rPr>
        <w:t>)</w:t>
      </w:r>
      <w:r w:rsidR="0007430C">
        <w:rPr>
          <w:rFonts w:ascii="Arial" w:hAnsi="Arial" w:cs="Arial"/>
          <w:sz w:val="24"/>
          <w:szCs w:val="24"/>
        </w:rPr>
        <w:t xml:space="preserve">, </w:t>
      </w:r>
      <w:r w:rsidR="006E3EF6">
        <w:rPr>
          <w:rFonts w:ascii="Arial" w:hAnsi="Arial" w:cs="Arial"/>
          <w:sz w:val="24"/>
          <w:szCs w:val="24"/>
        </w:rPr>
        <w:t xml:space="preserve">pero se le negó </w:t>
      </w:r>
      <w:r w:rsidR="0007430C">
        <w:rPr>
          <w:rFonts w:ascii="Arial" w:hAnsi="Arial" w:cs="Arial"/>
          <w:sz w:val="24"/>
          <w:szCs w:val="24"/>
        </w:rPr>
        <w:t xml:space="preserve">mediante auto del 29-06-2015; posteriormente el 21-08-2015 </w:t>
      </w:r>
      <w:r w:rsidR="006E3EF6">
        <w:rPr>
          <w:rFonts w:ascii="Arial" w:hAnsi="Arial" w:cs="Arial"/>
          <w:sz w:val="24"/>
          <w:szCs w:val="24"/>
        </w:rPr>
        <w:t xml:space="preserve">objetó </w:t>
      </w:r>
      <w:r w:rsidR="0007430C">
        <w:rPr>
          <w:rFonts w:ascii="Arial" w:hAnsi="Arial" w:cs="Arial"/>
          <w:sz w:val="24"/>
          <w:szCs w:val="24"/>
        </w:rPr>
        <w:t xml:space="preserve">por error grave el avalúo y pidió como prueba un experticio </w:t>
      </w:r>
      <w:r w:rsidR="006E3EF6">
        <w:rPr>
          <w:rFonts w:ascii="Arial" w:hAnsi="Arial" w:cs="Arial"/>
          <w:sz w:val="24"/>
          <w:szCs w:val="24"/>
        </w:rPr>
        <w:t xml:space="preserve">de </w:t>
      </w:r>
      <w:r w:rsidR="0007430C">
        <w:rPr>
          <w:rFonts w:ascii="Arial" w:hAnsi="Arial" w:cs="Arial"/>
          <w:sz w:val="24"/>
          <w:szCs w:val="24"/>
        </w:rPr>
        <w:t xml:space="preserve">perito del IGAC, el </w:t>
      </w:r>
      <w:r w:rsidR="0007430C">
        <w:rPr>
          <w:rFonts w:ascii="Arial" w:hAnsi="Arial" w:cs="Arial"/>
          <w:i/>
          <w:sz w:val="24"/>
          <w:szCs w:val="24"/>
        </w:rPr>
        <w:t xml:space="preserve">a quo </w:t>
      </w:r>
      <w:r w:rsidR="0007430C">
        <w:rPr>
          <w:rFonts w:ascii="Arial" w:hAnsi="Arial" w:cs="Arial"/>
          <w:sz w:val="24"/>
          <w:szCs w:val="24"/>
        </w:rPr>
        <w:t xml:space="preserve">el 09-09-2015 designó a un </w:t>
      </w:r>
      <w:r w:rsidR="00AD1746">
        <w:rPr>
          <w:rFonts w:ascii="Arial" w:hAnsi="Arial" w:cs="Arial"/>
          <w:sz w:val="24"/>
          <w:szCs w:val="24"/>
        </w:rPr>
        <w:t xml:space="preserve">perito de la lista de </w:t>
      </w:r>
      <w:r w:rsidR="0007430C">
        <w:rPr>
          <w:rFonts w:ascii="Arial" w:hAnsi="Arial" w:cs="Arial"/>
          <w:sz w:val="24"/>
          <w:szCs w:val="24"/>
        </w:rPr>
        <w:t>auxiliar</w:t>
      </w:r>
      <w:r w:rsidR="00AD1746">
        <w:rPr>
          <w:rFonts w:ascii="Arial" w:hAnsi="Arial" w:cs="Arial"/>
          <w:sz w:val="24"/>
          <w:szCs w:val="24"/>
        </w:rPr>
        <w:t>es</w:t>
      </w:r>
      <w:r w:rsidR="0007430C">
        <w:rPr>
          <w:rFonts w:ascii="Arial" w:hAnsi="Arial" w:cs="Arial"/>
          <w:sz w:val="24"/>
          <w:szCs w:val="24"/>
        </w:rPr>
        <w:t xml:space="preserve"> de la justicia, interpuso reposición y apelación</w:t>
      </w:r>
      <w:r w:rsidR="006E3EF6">
        <w:rPr>
          <w:rFonts w:ascii="Arial" w:hAnsi="Arial" w:cs="Arial"/>
          <w:sz w:val="24"/>
          <w:szCs w:val="24"/>
        </w:rPr>
        <w:t>,</w:t>
      </w:r>
      <w:r w:rsidR="0007430C">
        <w:rPr>
          <w:rFonts w:ascii="Arial" w:hAnsi="Arial" w:cs="Arial"/>
          <w:sz w:val="24"/>
          <w:szCs w:val="24"/>
        </w:rPr>
        <w:t xml:space="preserve"> </w:t>
      </w:r>
      <w:r w:rsidR="006E3EF6">
        <w:rPr>
          <w:rFonts w:ascii="Arial" w:hAnsi="Arial" w:cs="Arial"/>
          <w:sz w:val="24"/>
          <w:szCs w:val="24"/>
        </w:rPr>
        <w:t>que fueron negadas</w:t>
      </w:r>
      <w:r w:rsidR="00AD1746">
        <w:rPr>
          <w:rFonts w:ascii="Arial" w:hAnsi="Arial" w:cs="Arial"/>
          <w:sz w:val="24"/>
          <w:szCs w:val="24"/>
        </w:rPr>
        <w:t>;</w:t>
      </w:r>
      <w:r w:rsidR="00653893">
        <w:rPr>
          <w:rFonts w:ascii="Arial" w:hAnsi="Arial" w:cs="Arial"/>
          <w:sz w:val="24"/>
          <w:szCs w:val="24"/>
        </w:rPr>
        <w:t xml:space="preserve"> </w:t>
      </w:r>
      <w:r w:rsidR="00AD1746">
        <w:rPr>
          <w:rFonts w:ascii="Arial" w:hAnsi="Arial" w:cs="Arial"/>
          <w:sz w:val="24"/>
          <w:szCs w:val="24"/>
        </w:rPr>
        <w:t xml:space="preserve">adicionalmente </w:t>
      </w:r>
      <w:r w:rsidR="006E3EF6">
        <w:rPr>
          <w:rFonts w:ascii="Arial" w:hAnsi="Arial" w:cs="Arial"/>
          <w:sz w:val="24"/>
          <w:szCs w:val="24"/>
        </w:rPr>
        <w:t xml:space="preserve">inició </w:t>
      </w:r>
      <w:r w:rsidR="00653893">
        <w:rPr>
          <w:rFonts w:ascii="Arial" w:hAnsi="Arial" w:cs="Arial"/>
          <w:sz w:val="24"/>
          <w:szCs w:val="24"/>
        </w:rPr>
        <w:t>incidente de nulidad</w:t>
      </w:r>
      <w:r w:rsidR="006E3EF6">
        <w:rPr>
          <w:rFonts w:ascii="Arial" w:hAnsi="Arial" w:cs="Arial"/>
          <w:sz w:val="24"/>
          <w:szCs w:val="24"/>
        </w:rPr>
        <w:t>,</w:t>
      </w:r>
      <w:r w:rsidR="00653893">
        <w:rPr>
          <w:rFonts w:ascii="Arial" w:hAnsi="Arial" w:cs="Arial"/>
          <w:sz w:val="24"/>
          <w:szCs w:val="24"/>
        </w:rPr>
        <w:t xml:space="preserve"> despachado desfavorablemente</w:t>
      </w:r>
      <w:r w:rsidR="00860153">
        <w:rPr>
          <w:rFonts w:ascii="Arial" w:hAnsi="Arial" w:cs="Arial"/>
          <w:sz w:val="24"/>
          <w:szCs w:val="24"/>
        </w:rPr>
        <w:t>.</w:t>
      </w:r>
      <w:r w:rsidR="001024AA">
        <w:rPr>
          <w:rFonts w:ascii="Arial" w:hAnsi="Arial" w:cs="Arial"/>
          <w:sz w:val="24"/>
          <w:szCs w:val="24"/>
        </w:rPr>
        <w:t xml:space="preserve"> </w:t>
      </w:r>
      <w:r w:rsidR="00653893">
        <w:rPr>
          <w:rFonts w:ascii="Arial" w:hAnsi="Arial" w:cs="Arial"/>
          <w:sz w:val="24"/>
          <w:szCs w:val="24"/>
        </w:rPr>
        <w:t xml:space="preserve">Considera que el trámite dado por el juzgado trasgrede las normas especiales </w:t>
      </w:r>
      <w:r w:rsidR="006E3EF6">
        <w:rPr>
          <w:rFonts w:ascii="Arial" w:hAnsi="Arial" w:cs="Arial"/>
          <w:sz w:val="24"/>
          <w:szCs w:val="24"/>
        </w:rPr>
        <w:t xml:space="preserve">de </w:t>
      </w:r>
      <w:r w:rsidR="00653893">
        <w:rPr>
          <w:rFonts w:ascii="Arial" w:hAnsi="Arial" w:cs="Arial"/>
          <w:sz w:val="24"/>
          <w:szCs w:val="24"/>
        </w:rPr>
        <w:t xml:space="preserve">la Ley 56 de 1981 y </w:t>
      </w:r>
      <w:r w:rsidR="006E3EF6">
        <w:rPr>
          <w:rFonts w:ascii="Arial" w:hAnsi="Arial" w:cs="Arial"/>
          <w:sz w:val="24"/>
          <w:szCs w:val="24"/>
        </w:rPr>
        <w:t xml:space="preserve">de </w:t>
      </w:r>
      <w:r w:rsidR="00653893">
        <w:rPr>
          <w:rFonts w:ascii="Arial" w:hAnsi="Arial" w:cs="Arial"/>
          <w:sz w:val="24"/>
          <w:szCs w:val="24"/>
        </w:rPr>
        <w:lastRenderedPageBreak/>
        <w:t xml:space="preserve">los Decretos 2580 de 1985 y 1073 de 2015. </w:t>
      </w:r>
      <w:r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653893">
        <w:rPr>
          <w:rFonts w:ascii="Arial" w:hAnsi="Arial" w:cs="Arial"/>
          <w:color w:val="000000"/>
          <w:sz w:val="24"/>
          <w:szCs w:val="24"/>
          <w:lang w:val="es-CO"/>
        </w:rPr>
        <w:t>101 a 114</w:t>
      </w:r>
      <w:r w:rsidRPr="00311FCA">
        <w:rPr>
          <w:rFonts w:ascii="Arial" w:hAnsi="Arial" w:cs="Arial"/>
          <w:color w:val="000000"/>
          <w:sz w:val="24"/>
          <w:szCs w:val="24"/>
          <w:lang w:val="es-CO"/>
        </w:rPr>
        <w:t xml:space="preserve">, del cuaderno </w:t>
      </w:r>
      <w:r w:rsidR="003B677E">
        <w:rPr>
          <w:rFonts w:ascii="Arial" w:hAnsi="Arial" w:cs="Arial"/>
          <w:color w:val="000000"/>
          <w:sz w:val="24"/>
          <w:szCs w:val="24"/>
          <w:lang w:val="es-CO"/>
        </w:rPr>
        <w:t>de primera instancia</w:t>
      </w:r>
      <w:r w:rsidRPr="00311FCA">
        <w:rPr>
          <w:rFonts w:ascii="Arial" w:hAnsi="Arial" w:cs="Arial"/>
          <w:color w:val="000000"/>
          <w:sz w:val="24"/>
          <w:szCs w:val="24"/>
          <w:lang w:val="es-CO"/>
        </w:rPr>
        <w:t>).</w:t>
      </w:r>
    </w:p>
    <w:p w:rsidR="00531C40" w:rsidRDefault="00531C40" w:rsidP="00F839CE">
      <w:pPr>
        <w:pStyle w:val="Textoindependiente"/>
        <w:spacing w:line="360" w:lineRule="auto"/>
        <w:rPr>
          <w:rFonts w:ascii="Arial" w:hAnsi="Arial" w:cs="Arial"/>
          <w:color w:val="000000"/>
          <w:sz w:val="24"/>
          <w:szCs w:val="24"/>
          <w:lang w:val="es-CO"/>
        </w:rPr>
      </w:pPr>
    </w:p>
    <w:p w:rsidR="00531C40" w:rsidRPr="00311FCA" w:rsidRDefault="00531C40" w:rsidP="00F839CE">
      <w:pPr>
        <w:pStyle w:val="Textoindependiente"/>
        <w:spacing w:line="360" w:lineRule="auto"/>
        <w:rPr>
          <w:rFonts w:ascii="Arial" w:hAnsi="Arial" w:cs="Arial"/>
          <w:color w:val="000000"/>
          <w:sz w:val="24"/>
          <w:szCs w:val="24"/>
          <w:lang w:val="es-CO"/>
        </w:rPr>
      </w:pPr>
    </w:p>
    <w:p w:rsidR="003913E3"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B978A7" w:rsidRPr="00311FCA" w:rsidRDefault="00B978A7" w:rsidP="00B978A7">
      <w:pPr>
        <w:pStyle w:val="Textoindependiente"/>
        <w:spacing w:line="360" w:lineRule="auto"/>
        <w:ind w:left="360"/>
        <w:rPr>
          <w:rFonts w:ascii="Arial" w:hAnsi="Arial" w:cs="Arial"/>
          <w:sz w:val="24"/>
          <w:szCs w:val="24"/>
        </w:rPr>
      </w:pPr>
    </w:p>
    <w:p w:rsidR="003913E3" w:rsidRDefault="001024AA" w:rsidP="00F839CE">
      <w:pPr>
        <w:pStyle w:val="Textoindependiente"/>
        <w:widowControl w:val="0"/>
        <w:spacing w:line="360" w:lineRule="auto"/>
        <w:rPr>
          <w:rFonts w:ascii="Arial" w:hAnsi="Arial" w:cs="Arial"/>
          <w:sz w:val="24"/>
          <w:szCs w:val="24"/>
        </w:rPr>
      </w:pPr>
      <w:r>
        <w:rPr>
          <w:rFonts w:ascii="Arial" w:hAnsi="Arial" w:cs="Arial"/>
          <w:sz w:val="24"/>
          <w:szCs w:val="24"/>
        </w:rPr>
        <w:t>Los</w:t>
      </w:r>
      <w:r w:rsidR="004B3407">
        <w:rPr>
          <w:rFonts w:ascii="Arial" w:hAnsi="Arial" w:cs="Arial"/>
          <w:sz w:val="24"/>
          <w:szCs w:val="24"/>
        </w:rPr>
        <w:t xml:space="preserve">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 al debido proceso</w:t>
      </w:r>
      <w:r w:rsidR="00653893">
        <w:rPr>
          <w:rFonts w:ascii="Arial" w:hAnsi="Arial" w:cs="Arial"/>
          <w:sz w:val="24"/>
          <w:szCs w:val="24"/>
        </w:rPr>
        <w:t xml:space="preserve"> y al derecho de defensa </w:t>
      </w:r>
      <w:r w:rsidR="003913E3" w:rsidRPr="00311FCA">
        <w:rPr>
          <w:rFonts w:ascii="Arial" w:hAnsi="Arial" w:cs="Arial"/>
          <w:sz w:val="24"/>
          <w:szCs w:val="24"/>
        </w:rPr>
        <w:t>(Folio</w:t>
      </w:r>
      <w:r w:rsidR="00B978A7">
        <w:rPr>
          <w:rFonts w:ascii="Arial" w:hAnsi="Arial" w:cs="Arial"/>
          <w:sz w:val="24"/>
          <w:szCs w:val="24"/>
        </w:rPr>
        <w:t xml:space="preserve"> </w:t>
      </w:r>
      <w:r w:rsidR="00653893">
        <w:rPr>
          <w:rFonts w:ascii="Arial" w:hAnsi="Arial" w:cs="Arial"/>
          <w:sz w:val="24"/>
          <w:szCs w:val="24"/>
        </w:rPr>
        <w:t>101</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1024AA" w:rsidRPr="0000148D" w:rsidRDefault="001024AA" w:rsidP="00F839CE">
      <w:pPr>
        <w:pStyle w:val="Textoindependiente"/>
        <w:widowControl w:val="0"/>
        <w:spacing w:line="360" w:lineRule="auto"/>
        <w:rPr>
          <w:rFonts w:ascii="Arial" w:hAnsi="Arial" w:cs="Arial"/>
          <w:sz w:val="22"/>
          <w:szCs w:val="24"/>
        </w:rPr>
      </w:pPr>
    </w:p>
    <w:p w:rsidR="001024AA" w:rsidRDefault="001024AA"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00148D" w:rsidRDefault="003913E3" w:rsidP="00B942B6">
      <w:pPr>
        <w:pStyle w:val="Textoindependiente"/>
        <w:spacing w:line="360" w:lineRule="auto"/>
        <w:rPr>
          <w:rFonts w:ascii="Arial" w:hAnsi="Arial" w:cs="Arial"/>
          <w:sz w:val="22"/>
          <w:szCs w:val="24"/>
        </w:rPr>
      </w:pPr>
    </w:p>
    <w:p w:rsidR="002A7121" w:rsidRDefault="004B3407" w:rsidP="004B3407">
      <w:pPr>
        <w:pStyle w:val="Textoindependien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1024AA">
        <w:rPr>
          <w:rFonts w:ascii="Arial" w:hAnsi="Arial"/>
          <w:sz w:val="24"/>
        </w:rPr>
        <w:t xml:space="preserve">Civil del Circuito de </w:t>
      </w:r>
      <w:r w:rsidR="00653893">
        <w:rPr>
          <w:rFonts w:ascii="Arial" w:hAnsi="Arial"/>
          <w:sz w:val="24"/>
        </w:rPr>
        <w:t>Dosquebradas</w:t>
      </w:r>
      <w:r w:rsidRPr="00E23D2E">
        <w:rPr>
          <w:rFonts w:ascii="Arial" w:hAnsi="Arial"/>
          <w:sz w:val="24"/>
        </w:rPr>
        <w:t xml:space="preserve">, que con providencia del </w:t>
      </w:r>
      <w:r w:rsidR="00653893">
        <w:rPr>
          <w:rFonts w:ascii="Arial" w:hAnsi="Arial"/>
          <w:sz w:val="24"/>
        </w:rPr>
        <w:t>24-02-2016</w:t>
      </w:r>
      <w:r>
        <w:rPr>
          <w:rFonts w:ascii="Arial" w:hAnsi="Arial"/>
          <w:sz w:val="24"/>
        </w:rPr>
        <w:t xml:space="preserve"> </w:t>
      </w:r>
      <w:r w:rsidRPr="00E23D2E">
        <w:rPr>
          <w:rFonts w:ascii="Arial" w:hAnsi="Arial"/>
          <w:sz w:val="24"/>
        </w:rPr>
        <w:t>la admitió</w:t>
      </w:r>
      <w:r w:rsidR="004E39D7">
        <w:rPr>
          <w:rFonts w:ascii="Arial" w:hAnsi="Arial"/>
          <w:sz w:val="24"/>
        </w:rPr>
        <w:t>,</w:t>
      </w:r>
      <w:r w:rsidRPr="00E23D2E">
        <w:rPr>
          <w:rFonts w:ascii="Arial" w:hAnsi="Arial"/>
          <w:sz w:val="24"/>
        </w:rPr>
        <w:t xml:space="preserve"> </w:t>
      </w:r>
      <w:r w:rsidR="004E39D7" w:rsidRPr="004E39D7">
        <w:rPr>
          <w:rFonts w:ascii="Arial" w:hAnsi="Arial"/>
          <w:sz w:val="24"/>
          <w:szCs w:val="24"/>
          <w:lang w:val="es-CO"/>
        </w:rPr>
        <w:t xml:space="preserve">vinculó a </w:t>
      </w:r>
      <w:r w:rsidR="00653893">
        <w:rPr>
          <w:rFonts w:ascii="Arial" w:hAnsi="Arial"/>
          <w:sz w:val="24"/>
          <w:szCs w:val="24"/>
          <w:lang w:val="es-CO"/>
        </w:rPr>
        <w:t xml:space="preserve">Amparito Castaño de Gómez y a Luis Enrique Gutiérrez Castaño, y </w:t>
      </w:r>
      <w:r w:rsidR="004E39D7" w:rsidRPr="004E39D7">
        <w:rPr>
          <w:rFonts w:ascii="Arial" w:hAnsi="Arial"/>
          <w:sz w:val="24"/>
          <w:szCs w:val="24"/>
          <w:lang w:val="es-CO"/>
        </w:rPr>
        <w:t>dispuso notificar a las partes</w:t>
      </w:r>
      <w:r w:rsidR="00653893">
        <w:rPr>
          <w:rFonts w:ascii="Arial" w:hAnsi="Arial"/>
          <w:sz w:val="24"/>
          <w:szCs w:val="24"/>
          <w:lang w:val="es-CO"/>
        </w:rPr>
        <w:t xml:space="preserve">, </w:t>
      </w:r>
      <w:r w:rsidR="00653893" w:rsidRPr="004E39D7">
        <w:rPr>
          <w:rFonts w:ascii="Arial" w:hAnsi="Arial"/>
          <w:sz w:val="24"/>
          <w:szCs w:val="24"/>
          <w:lang w:val="es-CO"/>
        </w:rPr>
        <w:t>entre otros ordenamientos</w:t>
      </w:r>
      <w:r w:rsidR="004E39D7" w:rsidRPr="003D195F">
        <w:rPr>
          <w:rFonts w:ascii="Arial" w:hAnsi="Arial"/>
          <w:lang w:val="es-CO"/>
        </w:rPr>
        <w:t xml:space="preserve"> </w:t>
      </w:r>
      <w:r w:rsidRPr="00E23D2E">
        <w:rPr>
          <w:rFonts w:ascii="Arial" w:hAnsi="Arial"/>
          <w:sz w:val="24"/>
        </w:rPr>
        <w:t>(Folio</w:t>
      </w:r>
      <w:r w:rsidR="001024AA">
        <w:rPr>
          <w:rFonts w:ascii="Arial" w:hAnsi="Arial"/>
          <w:sz w:val="24"/>
        </w:rPr>
        <w:t xml:space="preserve"> </w:t>
      </w:r>
      <w:r w:rsidR="00653893">
        <w:rPr>
          <w:rFonts w:ascii="Arial" w:hAnsi="Arial"/>
          <w:sz w:val="24"/>
        </w:rPr>
        <w:t>118</w:t>
      </w:r>
      <w:r w:rsidRPr="00E23D2E">
        <w:rPr>
          <w:rFonts w:ascii="Arial" w:hAnsi="Arial"/>
          <w:sz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E23D2E">
        <w:rPr>
          <w:rFonts w:ascii="Arial" w:hAnsi="Arial"/>
          <w:sz w:val="24"/>
        </w:rPr>
        <w:t>)</w:t>
      </w:r>
      <w:r>
        <w:rPr>
          <w:rFonts w:ascii="Arial" w:hAnsi="Arial"/>
          <w:sz w:val="24"/>
        </w:rPr>
        <w:t xml:space="preserve">. </w:t>
      </w:r>
      <w:r w:rsidR="002A7121">
        <w:rPr>
          <w:rFonts w:ascii="Arial" w:hAnsi="Arial"/>
          <w:sz w:val="24"/>
        </w:rPr>
        <w:t>El día 29-02-2016 se practicó inspección judicial al expediente (Folios 122 a 124, ibídem). Seguidamente con proveído del 01-03-2016 se ordenó la vinculación de la Caja de Crédito Industrial y Minero en Liquidación, del Procurador Agrario, y de los señores Luz Marina Castaño Naranjo, Juan Carlos Vergara Trujillo, Miguel Ángel Duarte Pulido, José Nayib Vásquez Ramírez y Carlos Ariel Correa Jiménez</w:t>
      </w:r>
      <w:r w:rsidR="002D799F">
        <w:rPr>
          <w:rFonts w:ascii="Arial" w:hAnsi="Arial"/>
          <w:sz w:val="24"/>
        </w:rPr>
        <w:t xml:space="preserve"> (Folio 125, ibídem)</w:t>
      </w:r>
      <w:r w:rsidR="002A7121">
        <w:rPr>
          <w:rFonts w:ascii="Arial" w:hAnsi="Arial"/>
          <w:sz w:val="24"/>
        </w:rPr>
        <w:t xml:space="preserve">. </w:t>
      </w:r>
    </w:p>
    <w:p w:rsidR="002A7121" w:rsidRDefault="002A7121" w:rsidP="004B3407">
      <w:pPr>
        <w:pStyle w:val="Textoindependiente"/>
        <w:widowControl w:val="0"/>
        <w:spacing w:line="360" w:lineRule="auto"/>
        <w:rPr>
          <w:rFonts w:ascii="Arial" w:hAnsi="Arial"/>
          <w:sz w:val="24"/>
        </w:rPr>
      </w:pPr>
    </w:p>
    <w:p w:rsidR="004B3407" w:rsidRDefault="002A7121" w:rsidP="004B3407">
      <w:pPr>
        <w:pStyle w:val="Textoindependiente"/>
        <w:widowControl w:val="0"/>
        <w:spacing w:line="360" w:lineRule="auto"/>
        <w:rPr>
          <w:rFonts w:ascii="Arial" w:hAnsi="Arial"/>
          <w:sz w:val="24"/>
        </w:rPr>
      </w:pPr>
      <w:r>
        <w:rPr>
          <w:rFonts w:ascii="Arial" w:hAnsi="Arial"/>
          <w:sz w:val="24"/>
        </w:rPr>
        <w:t xml:space="preserve">Contestaron el </w:t>
      </w:r>
      <w:r w:rsidR="004B3407">
        <w:rPr>
          <w:rFonts w:ascii="Arial" w:hAnsi="Arial"/>
          <w:sz w:val="24"/>
        </w:rPr>
        <w:t>accionado</w:t>
      </w:r>
      <w:r>
        <w:rPr>
          <w:rFonts w:ascii="Arial" w:hAnsi="Arial"/>
          <w:sz w:val="24"/>
        </w:rPr>
        <w:t xml:space="preserve">, </w:t>
      </w:r>
      <w:r>
        <w:rPr>
          <w:rFonts w:ascii="Arial" w:hAnsi="Arial"/>
          <w:sz w:val="24"/>
          <w:szCs w:val="24"/>
          <w:lang w:val="es-CO"/>
        </w:rPr>
        <w:t>Amparito Castaño de Gómez, Luis Enrique Gutiérrez Castaño</w:t>
      </w:r>
      <w:r>
        <w:rPr>
          <w:rFonts w:ascii="Arial" w:hAnsi="Arial"/>
          <w:sz w:val="24"/>
        </w:rPr>
        <w:t xml:space="preserve"> y Juan Carlos Vergara Trujillo </w:t>
      </w:r>
      <w:r w:rsidR="001024AA">
        <w:rPr>
          <w:rFonts w:ascii="Arial" w:hAnsi="Arial"/>
          <w:sz w:val="24"/>
        </w:rPr>
        <w:t>(Folio</w:t>
      </w:r>
      <w:r>
        <w:rPr>
          <w:rFonts w:ascii="Arial" w:hAnsi="Arial"/>
          <w:sz w:val="24"/>
        </w:rPr>
        <w:t>s</w:t>
      </w:r>
      <w:r w:rsidR="001024AA">
        <w:rPr>
          <w:rFonts w:ascii="Arial" w:hAnsi="Arial"/>
          <w:sz w:val="24"/>
        </w:rPr>
        <w:t xml:space="preserve"> </w:t>
      </w:r>
      <w:r>
        <w:rPr>
          <w:rFonts w:ascii="Arial" w:hAnsi="Arial"/>
          <w:sz w:val="24"/>
        </w:rPr>
        <w:t>121 y 172 a 186</w:t>
      </w:r>
      <w:r w:rsidR="001024AA">
        <w:rPr>
          <w:rFonts w:ascii="Arial" w:hAnsi="Arial"/>
          <w:sz w:val="24"/>
        </w:rPr>
        <w:t xml:space="preserve">, </w:t>
      </w:r>
      <w:r w:rsidR="00E35452">
        <w:rPr>
          <w:rFonts w:ascii="Arial" w:hAnsi="Arial"/>
          <w:sz w:val="24"/>
        </w:rPr>
        <w:t>ibídem</w:t>
      </w:r>
      <w:r w:rsidR="001024AA">
        <w:rPr>
          <w:rFonts w:ascii="Arial" w:hAnsi="Arial"/>
          <w:sz w:val="24"/>
        </w:rPr>
        <w:t>)</w:t>
      </w:r>
      <w:r w:rsidR="004B3407" w:rsidRPr="00E23D2E">
        <w:rPr>
          <w:rFonts w:ascii="Arial" w:hAnsi="Arial"/>
          <w:sz w:val="24"/>
        </w:rPr>
        <w:t xml:space="preserve">. El día </w:t>
      </w:r>
      <w:r>
        <w:rPr>
          <w:rFonts w:ascii="Arial" w:hAnsi="Arial"/>
          <w:sz w:val="24"/>
        </w:rPr>
        <w:t xml:space="preserve">08-03-2016 </w:t>
      </w:r>
      <w:r w:rsidR="004B3407" w:rsidRPr="00E23D2E">
        <w:rPr>
          <w:rFonts w:ascii="Arial" w:hAnsi="Arial"/>
          <w:sz w:val="24"/>
        </w:rPr>
        <w:t xml:space="preserve">se </w:t>
      </w:r>
      <w:r w:rsidR="004B3407">
        <w:rPr>
          <w:rFonts w:ascii="Arial" w:hAnsi="Arial"/>
          <w:sz w:val="24"/>
        </w:rPr>
        <w:t xml:space="preserve">emitió el fallo </w:t>
      </w:r>
      <w:r w:rsidR="004B3407" w:rsidRPr="00E23D2E">
        <w:rPr>
          <w:rFonts w:ascii="Arial" w:hAnsi="Arial"/>
          <w:sz w:val="24"/>
        </w:rPr>
        <w:t xml:space="preserve">(Folios </w:t>
      </w:r>
      <w:r>
        <w:rPr>
          <w:rFonts w:ascii="Arial" w:hAnsi="Arial"/>
          <w:sz w:val="24"/>
        </w:rPr>
        <w:t>191 a 203</w:t>
      </w:r>
      <w:r w:rsidR="004B3407" w:rsidRPr="00E23D2E">
        <w:rPr>
          <w:rFonts w:ascii="Arial" w:hAnsi="Arial"/>
          <w:sz w:val="24"/>
        </w:rPr>
        <w:t xml:space="preserve">, </w:t>
      </w:r>
      <w:r>
        <w:rPr>
          <w:rFonts w:ascii="Arial" w:hAnsi="Arial"/>
          <w:sz w:val="24"/>
        </w:rPr>
        <w:t>ib.</w:t>
      </w:r>
      <w:r w:rsidR="004B3407" w:rsidRPr="00E23D2E">
        <w:rPr>
          <w:rFonts w:ascii="Arial" w:hAnsi="Arial"/>
          <w:sz w:val="24"/>
        </w:rPr>
        <w:t xml:space="preserve">); posteriormente, con proveído del </w:t>
      </w:r>
      <w:r w:rsidR="002D799F">
        <w:rPr>
          <w:rFonts w:ascii="Arial" w:hAnsi="Arial"/>
          <w:sz w:val="24"/>
        </w:rPr>
        <w:t>07-04-2016</w:t>
      </w:r>
      <w:r w:rsidR="004B3407" w:rsidRPr="00E23D2E">
        <w:rPr>
          <w:rFonts w:ascii="Arial" w:hAnsi="Arial"/>
          <w:sz w:val="24"/>
        </w:rPr>
        <w:t xml:space="preserve"> se concedió la impugnación </w:t>
      </w:r>
      <w:r w:rsidR="004B3407">
        <w:rPr>
          <w:rFonts w:ascii="Arial" w:hAnsi="Arial"/>
          <w:sz w:val="24"/>
        </w:rPr>
        <w:t xml:space="preserve">formulada por la parte </w:t>
      </w:r>
      <w:r w:rsidR="002D799F">
        <w:rPr>
          <w:rFonts w:ascii="Arial" w:hAnsi="Arial"/>
          <w:sz w:val="24"/>
        </w:rPr>
        <w:t xml:space="preserve">accionada y </w:t>
      </w:r>
      <w:r w:rsidR="00BD4EA9">
        <w:rPr>
          <w:rFonts w:ascii="Arial" w:hAnsi="Arial"/>
          <w:sz w:val="24"/>
        </w:rPr>
        <w:t xml:space="preserve">el señor </w:t>
      </w:r>
      <w:r w:rsidR="002D799F">
        <w:rPr>
          <w:rFonts w:ascii="Arial" w:hAnsi="Arial"/>
          <w:sz w:val="24"/>
        </w:rPr>
        <w:t>Juan Carlos Vergara Trujillo</w:t>
      </w:r>
      <w:r w:rsidR="004B3407" w:rsidRPr="00E23D2E">
        <w:rPr>
          <w:rFonts w:ascii="Arial" w:hAnsi="Arial"/>
          <w:sz w:val="24"/>
        </w:rPr>
        <w:t xml:space="preserve">, ante este Tribunal (Folio </w:t>
      </w:r>
      <w:r w:rsidR="002D799F">
        <w:rPr>
          <w:rFonts w:ascii="Arial" w:hAnsi="Arial"/>
          <w:sz w:val="24"/>
        </w:rPr>
        <w:t>223</w:t>
      </w:r>
      <w:r w:rsidR="004B3407">
        <w:rPr>
          <w:rFonts w:ascii="Arial" w:hAnsi="Arial"/>
          <w:sz w:val="24"/>
        </w:rPr>
        <w:t>,</w:t>
      </w:r>
      <w:r w:rsidR="004B3407" w:rsidRPr="00E23D2E">
        <w:rPr>
          <w:rFonts w:ascii="Arial" w:hAnsi="Arial"/>
          <w:sz w:val="24"/>
        </w:rPr>
        <w:t xml:space="preserve"> ibídem). </w:t>
      </w:r>
    </w:p>
    <w:p w:rsidR="006F03E2" w:rsidRPr="0000148D" w:rsidRDefault="006F03E2" w:rsidP="006F03E2">
      <w:pPr>
        <w:spacing w:line="360" w:lineRule="auto"/>
        <w:jc w:val="both"/>
        <w:rPr>
          <w:rFonts w:ascii="Arial" w:hAnsi="Arial" w:cs="Arial"/>
          <w:sz w:val="22"/>
        </w:rPr>
      </w:pPr>
    </w:p>
    <w:p w:rsidR="003913E3" w:rsidRPr="007A7120"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B4B9C" w:rsidRDefault="003913E3" w:rsidP="00B942B6">
      <w:pPr>
        <w:pStyle w:val="Textoindependiente"/>
        <w:spacing w:line="360" w:lineRule="auto"/>
        <w:rPr>
          <w:rFonts w:ascii="Arial" w:hAnsi="Arial" w:cs="Arial"/>
          <w:sz w:val="24"/>
          <w:szCs w:val="24"/>
        </w:rPr>
      </w:pPr>
    </w:p>
    <w:p w:rsidR="003913E3" w:rsidRPr="00311FCA" w:rsidRDefault="002D799F" w:rsidP="00F839CE">
      <w:pPr>
        <w:pStyle w:val="Textoindependiente"/>
        <w:widowControl w:val="0"/>
        <w:spacing w:line="360" w:lineRule="auto"/>
        <w:rPr>
          <w:rFonts w:ascii="Arial" w:hAnsi="Arial" w:cs="Arial"/>
          <w:sz w:val="24"/>
          <w:szCs w:val="24"/>
        </w:rPr>
      </w:pPr>
      <w:r>
        <w:rPr>
          <w:rFonts w:ascii="Arial" w:hAnsi="Arial" w:cs="Arial"/>
          <w:sz w:val="24"/>
          <w:szCs w:val="24"/>
        </w:rPr>
        <w:t>Tuteló el derecho fundamental al debido proceso</w:t>
      </w:r>
      <w:r w:rsidR="004B3407">
        <w:rPr>
          <w:rFonts w:ascii="Arial" w:hAnsi="Arial" w:cs="Arial"/>
          <w:sz w:val="24"/>
          <w:szCs w:val="24"/>
        </w:rPr>
        <w:t xml:space="preserve">, porque consideró </w:t>
      </w:r>
      <w:r>
        <w:rPr>
          <w:rFonts w:ascii="Arial" w:hAnsi="Arial" w:cs="Arial"/>
          <w:sz w:val="24"/>
          <w:szCs w:val="24"/>
        </w:rPr>
        <w:t xml:space="preserve">que la normativa que regula los procesos de servidumbre de energía eléctrica </w:t>
      </w:r>
      <w:r w:rsidR="006E3EF6">
        <w:rPr>
          <w:rFonts w:ascii="Arial" w:hAnsi="Arial" w:cs="Arial"/>
          <w:sz w:val="24"/>
          <w:szCs w:val="24"/>
        </w:rPr>
        <w:t>señala</w:t>
      </w:r>
      <w:r>
        <w:rPr>
          <w:rFonts w:ascii="Arial" w:hAnsi="Arial" w:cs="Arial"/>
          <w:sz w:val="24"/>
          <w:szCs w:val="24"/>
        </w:rPr>
        <w:t xml:space="preserve"> que presentado un desacuerdo con el dictamen pericial se debe designar un tercer experto del IGAC y no uno de la lista de auxiliares de la justicia</w:t>
      </w:r>
      <w:r w:rsidR="007D309F">
        <w:rPr>
          <w:rFonts w:ascii="Arial" w:hAnsi="Arial" w:cs="Arial"/>
          <w:sz w:val="24"/>
          <w:szCs w:val="24"/>
        </w:rPr>
        <w:t xml:space="preserve">, aun cuando el procedimiento aplicable sea </w:t>
      </w:r>
      <w:r w:rsidR="006E3EF6">
        <w:rPr>
          <w:rFonts w:ascii="Arial" w:hAnsi="Arial" w:cs="Arial"/>
          <w:sz w:val="24"/>
          <w:szCs w:val="24"/>
        </w:rPr>
        <w:t xml:space="preserve">el de </w:t>
      </w:r>
      <w:r w:rsidR="007D309F">
        <w:rPr>
          <w:rFonts w:ascii="Arial" w:hAnsi="Arial" w:cs="Arial"/>
          <w:sz w:val="24"/>
          <w:szCs w:val="24"/>
        </w:rPr>
        <w:t xml:space="preserve">los artículos 237 y 238 del CPC, por lo que ordenó al accionado dejar sin efectos el auto mediante el cual designó al auxiliar de la justicia para que en su lugar nombre uno del IGAC </w:t>
      </w:r>
      <w:r w:rsidR="003913E3" w:rsidRPr="007460BC">
        <w:rPr>
          <w:rFonts w:ascii="Arial" w:hAnsi="Arial" w:cs="Arial"/>
          <w:sz w:val="24"/>
          <w:szCs w:val="24"/>
        </w:rPr>
        <w:t xml:space="preserve">(Folios </w:t>
      </w:r>
      <w:r w:rsidR="007D309F">
        <w:rPr>
          <w:rFonts w:ascii="Arial" w:hAnsi="Arial"/>
          <w:sz w:val="24"/>
        </w:rPr>
        <w:t>191 a 203</w:t>
      </w:r>
      <w:r w:rsidR="003913E3" w:rsidRPr="007460BC">
        <w:rPr>
          <w:rFonts w:ascii="Arial" w:hAnsi="Arial" w:cs="Arial"/>
          <w:sz w:val="24"/>
          <w:szCs w:val="24"/>
        </w:rPr>
        <w:t>, ib.).</w:t>
      </w: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LA</w:t>
      </w:r>
      <w:r w:rsidR="007D309F">
        <w:rPr>
          <w:rFonts w:ascii="Arial" w:hAnsi="Arial" w:cs="Arial"/>
          <w:sz w:val="24"/>
          <w:szCs w:val="24"/>
        </w:rPr>
        <w:t>S</w:t>
      </w:r>
      <w:r w:rsidRPr="00311FCA">
        <w:rPr>
          <w:rFonts w:ascii="Arial" w:hAnsi="Arial" w:cs="Arial"/>
          <w:sz w:val="24"/>
          <w:szCs w:val="24"/>
        </w:rPr>
        <w:t xml:space="preserve"> </w:t>
      </w:r>
      <w:r w:rsidR="007D309F">
        <w:rPr>
          <w:rFonts w:ascii="Arial" w:hAnsi="Arial" w:cs="Arial"/>
          <w:sz w:val="24"/>
          <w:szCs w:val="24"/>
        </w:rPr>
        <w:t>IMPUGNACIONES</w:t>
      </w:r>
    </w:p>
    <w:p w:rsidR="003913E3" w:rsidRPr="00311FCA" w:rsidRDefault="003913E3" w:rsidP="00B942B6">
      <w:pPr>
        <w:pStyle w:val="Textoindependiente"/>
        <w:spacing w:line="360" w:lineRule="auto"/>
        <w:rPr>
          <w:rFonts w:ascii="Arial" w:hAnsi="Arial" w:cs="Arial"/>
          <w:sz w:val="24"/>
          <w:szCs w:val="24"/>
        </w:rPr>
      </w:pPr>
    </w:p>
    <w:p w:rsidR="007D309F" w:rsidRDefault="007D309F" w:rsidP="00F839CE">
      <w:pPr>
        <w:pStyle w:val="Textoindependiente"/>
        <w:widowControl w:val="0"/>
        <w:spacing w:line="360" w:lineRule="auto"/>
        <w:rPr>
          <w:rFonts w:ascii="Arial" w:hAnsi="Arial" w:cs="Arial"/>
          <w:sz w:val="24"/>
          <w:szCs w:val="24"/>
        </w:rPr>
      </w:pPr>
      <w:r>
        <w:rPr>
          <w:rFonts w:ascii="Arial" w:hAnsi="Arial" w:cs="Arial"/>
          <w:sz w:val="24"/>
          <w:szCs w:val="24"/>
        </w:rPr>
        <w:t>6.1. El Juez Primero Civil Municipal de Dosquebradas</w:t>
      </w:r>
    </w:p>
    <w:p w:rsidR="007D309F" w:rsidRDefault="007D309F" w:rsidP="00F839CE">
      <w:pPr>
        <w:pStyle w:val="Textoindependiente"/>
        <w:widowControl w:val="0"/>
        <w:spacing w:line="360" w:lineRule="auto"/>
        <w:rPr>
          <w:rFonts w:ascii="Arial" w:hAnsi="Arial" w:cs="Arial"/>
          <w:sz w:val="24"/>
          <w:szCs w:val="24"/>
        </w:rPr>
      </w:pPr>
    </w:p>
    <w:p w:rsidR="00BD4EA9" w:rsidRDefault="007D309F" w:rsidP="00F839CE">
      <w:pPr>
        <w:pStyle w:val="Textoindependiente"/>
        <w:widowControl w:val="0"/>
        <w:spacing w:line="360" w:lineRule="auto"/>
        <w:rPr>
          <w:rFonts w:ascii="Arial" w:hAnsi="Arial" w:cs="Arial"/>
          <w:sz w:val="24"/>
          <w:szCs w:val="24"/>
        </w:rPr>
      </w:pPr>
      <w:r>
        <w:rPr>
          <w:rFonts w:ascii="Arial" w:hAnsi="Arial" w:cs="Arial"/>
          <w:sz w:val="24"/>
          <w:szCs w:val="24"/>
        </w:rPr>
        <w:t>R</w:t>
      </w:r>
      <w:r w:rsidR="007B4AD7">
        <w:rPr>
          <w:rFonts w:ascii="Arial" w:hAnsi="Arial" w:cs="Arial"/>
          <w:sz w:val="24"/>
          <w:szCs w:val="24"/>
        </w:rPr>
        <w:t xml:space="preserve">ecurrió porque considera </w:t>
      </w:r>
      <w:r>
        <w:rPr>
          <w:rFonts w:ascii="Arial" w:hAnsi="Arial" w:cs="Arial"/>
          <w:sz w:val="24"/>
          <w:szCs w:val="24"/>
        </w:rPr>
        <w:t xml:space="preserve">que la designación del experto del IGAC al que hace referencia la norma, </w:t>
      </w:r>
      <w:r w:rsidR="00BD4EA9">
        <w:rPr>
          <w:rFonts w:ascii="Arial" w:hAnsi="Arial" w:cs="Arial"/>
          <w:sz w:val="24"/>
          <w:szCs w:val="24"/>
        </w:rPr>
        <w:t xml:space="preserve">se </w:t>
      </w:r>
      <w:r w:rsidR="00786E7E">
        <w:rPr>
          <w:rFonts w:ascii="Arial" w:hAnsi="Arial" w:cs="Arial"/>
          <w:sz w:val="24"/>
          <w:szCs w:val="24"/>
        </w:rPr>
        <w:t xml:space="preserve">realiza </w:t>
      </w:r>
      <w:r>
        <w:rPr>
          <w:rFonts w:ascii="Arial" w:hAnsi="Arial" w:cs="Arial"/>
          <w:sz w:val="24"/>
          <w:szCs w:val="24"/>
        </w:rPr>
        <w:t>cuando haya desacuerdo entre los peritos designados inicialmente</w:t>
      </w:r>
      <w:r w:rsidR="00786E7E">
        <w:rPr>
          <w:rFonts w:ascii="Arial" w:hAnsi="Arial" w:cs="Arial"/>
          <w:sz w:val="24"/>
          <w:szCs w:val="24"/>
        </w:rPr>
        <w:t xml:space="preserve">, únicamente </w:t>
      </w:r>
      <w:r w:rsidR="00BD4EA9">
        <w:rPr>
          <w:rFonts w:ascii="Arial" w:hAnsi="Arial" w:cs="Arial"/>
          <w:sz w:val="24"/>
          <w:szCs w:val="24"/>
        </w:rPr>
        <w:t xml:space="preserve">para que dirima el asunto y no para efectos de la contradicción del dictamen reglado en el CPC (Folios 216 y 217, ib.). </w:t>
      </w:r>
    </w:p>
    <w:p w:rsidR="00BD4EA9" w:rsidRDefault="00BD4EA9" w:rsidP="00F839CE">
      <w:pPr>
        <w:pStyle w:val="Textoindependiente"/>
        <w:widowControl w:val="0"/>
        <w:spacing w:line="360" w:lineRule="auto"/>
        <w:rPr>
          <w:rFonts w:ascii="Arial" w:hAnsi="Arial" w:cs="Arial"/>
          <w:sz w:val="24"/>
          <w:szCs w:val="24"/>
        </w:rPr>
      </w:pPr>
    </w:p>
    <w:p w:rsidR="00BD4EA9" w:rsidRDefault="00BD4EA9" w:rsidP="00F839CE">
      <w:pPr>
        <w:pStyle w:val="Textoindependiente"/>
        <w:widowControl w:val="0"/>
        <w:spacing w:line="360" w:lineRule="auto"/>
        <w:rPr>
          <w:rFonts w:ascii="Arial" w:hAnsi="Arial" w:cs="Arial"/>
          <w:sz w:val="24"/>
          <w:szCs w:val="24"/>
        </w:rPr>
      </w:pPr>
      <w:r>
        <w:rPr>
          <w:rFonts w:ascii="Arial" w:hAnsi="Arial" w:cs="Arial"/>
          <w:sz w:val="24"/>
          <w:szCs w:val="24"/>
        </w:rPr>
        <w:t>6.2. El Litisconsorte Juan Carlos Vergara Trujillo</w:t>
      </w:r>
    </w:p>
    <w:p w:rsidR="00BD4EA9" w:rsidRDefault="00BD4EA9" w:rsidP="00F839CE">
      <w:pPr>
        <w:pStyle w:val="Textoindependiente"/>
        <w:widowControl w:val="0"/>
        <w:spacing w:line="360" w:lineRule="auto"/>
        <w:rPr>
          <w:rFonts w:ascii="Arial" w:hAnsi="Arial" w:cs="Arial"/>
          <w:sz w:val="24"/>
          <w:szCs w:val="24"/>
        </w:rPr>
      </w:pPr>
    </w:p>
    <w:p w:rsidR="003913E3" w:rsidRDefault="00AD1746" w:rsidP="00AD1746">
      <w:pPr>
        <w:pStyle w:val="Textoindependiente"/>
        <w:widowControl w:val="0"/>
        <w:spacing w:line="360" w:lineRule="auto"/>
        <w:rPr>
          <w:rFonts w:ascii="Arial" w:hAnsi="Arial" w:cs="Arial"/>
          <w:sz w:val="24"/>
          <w:szCs w:val="24"/>
        </w:rPr>
      </w:pPr>
      <w:r>
        <w:rPr>
          <w:rFonts w:ascii="Arial" w:hAnsi="Arial" w:cs="Arial"/>
          <w:sz w:val="24"/>
          <w:szCs w:val="24"/>
        </w:rPr>
        <w:t xml:space="preserve">Solicitó revocar la sentencia de primera instancia porque la designación que hizo el accionado del experto de la lista de auxiliares de la justicia </w:t>
      </w:r>
      <w:r w:rsidR="00786E7E">
        <w:rPr>
          <w:rFonts w:ascii="Arial" w:hAnsi="Arial" w:cs="Arial"/>
          <w:sz w:val="24"/>
          <w:szCs w:val="24"/>
        </w:rPr>
        <w:t xml:space="preserve">lo fue </w:t>
      </w:r>
      <w:r>
        <w:rPr>
          <w:rFonts w:ascii="Arial" w:hAnsi="Arial" w:cs="Arial"/>
          <w:sz w:val="24"/>
          <w:szCs w:val="24"/>
        </w:rPr>
        <w:t xml:space="preserve">conforme al artículo 238 del CPC, en razón a la objeción que por error grave </w:t>
      </w:r>
      <w:r w:rsidR="00786E7E">
        <w:rPr>
          <w:rFonts w:ascii="Arial" w:hAnsi="Arial" w:cs="Arial"/>
          <w:sz w:val="24"/>
          <w:szCs w:val="24"/>
        </w:rPr>
        <w:t xml:space="preserve">que </w:t>
      </w:r>
      <w:r>
        <w:rPr>
          <w:rFonts w:ascii="Arial" w:hAnsi="Arial" w:cs="Arial"/>
          <w:sz w:val="24"/>
          <w:szCs w:val="24"/>
        </w:rPr>
        <w:t xml:space="preserve">formuló el accionante y no para dirimir alguna diferencia entre los peritos que en conjunto presentaron el avalúo </w:t>
      </w:r>
      <w:r w:rsidR="00C53548">
        <w:rPr>
          <w:rFonts w:ascii="Arial" w:hAnsi="Arial" w:cs="Arial"/>
          <w:sz w:val="24"/>
          <w:szCs w:val="24"/>
        </w:rPr>
        <w:t xml:space="preserve">(Folios </w:t>
      </w:r>
      <w:r>
        <w:rPr>
          <w:rFonts w:ascii="Arial" w:hAnsi="Arial" w:cs="Arial"/>
          <w:sz w:val="24"/>
          <w:szCs w:val="24"/>
        </w:rPr>
        <w:t>218 y 222</w:t>
      </w:r>
      <w:r w:rsidR="00C53548">
        <w:rPr>
          <w:rFonts w:ascii="Arial" w:hAnsi="Arial" w:cs="Arial"/>
          <w:sz w:val="24"/>
          <w:szCs w:val="24"/>
        </w:rPr>
        <w:t xml:space="preserve">, </w:t>
      </w:r>
      <w:r w:rsidR="007B4AD7">
        <w:rPr>
          <w:rFonts w:ascii="Arial" w:hAnsi="Arial" w:cs="Arial"/>
          <w:sz w:val="24"/>
          <w:szCs w:val="24"/>
        </w:rPr>
        <w:t>ib.</w:t>
      </w:r>
      <w:r w:rsidR="00C53548">
        <w:rPr>
          <w:rFonts w:ascii="Arial" w:hAnsi="Arial" w:cs="Arial"/>
          <w:sz w:val="24"/>
          <w:szCs w:val="24"/>
        </w:rPr>
        <w:t>)</w:t>
      </w:r>
      <w:r w:rsidR="00E5080E">
        <w:rPr>
          <w:rFonts w:ascii="Arial" w:hAnsi="Arial" w:cs="Arial"/>
          <w:sz w:val="24"/>
          <w:szCs w:val="24"/>
        </w:rPr>
        <w:t>.</w:t>
      </w:r>
    </w:p>
    <w:p w:rsidR="000D01DC" w:rsidRPr="0000148D" w:rsidRDefault="000D01DC" w:rsidP="00F839CE">
      <w:pPr>
        <w:pStyle w:val="Textoindependiente"/>
        <w:widowControl w:val="0"/>
        <w:spacing w:line="360" w:lineRule="auto"/>
        <w:rPr>
          <w:rFonts w:ascii="Arial" w:hAnsi="Arial" w:cs="Arial"/>
          <w:sz w:val="22"/>
          <w:szCs w:val="24"/>
        </w:rPr>
      </w:pPr>
    </w:p>
    <w:p w:rsidR="000D01DC" w:rsidRPr="0000148D" w:rsidRDefault="000D01DC" w:rsidP="00F839CE">
      <w:pPr>
        <w:pStyle w:val="Textoindependiente"/>
        <w:widowControl w:val="0"/>
        <w:spacing w:line="360" w:lineRule="auto"/>
        <w:rPr>
          <w:rFonts w:ascii="Arial" w:hAnsi="Arial" w:cs="Arial"/>
          <w:sz w:val="22"/>
          <w:szCs w:val="24"/>
        </w:rPr>
      </w:pPr>
    </w:p>
    <w:p w:rsidR="003913E3" w:rsidRPr="00D64C08"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3913E3" w:rsidRPr="003B4B9C" w:rsidRDefault="00A43D42" w:rsidP="00A43D42">
      <w:pPr>
        <w:tabs>
          <w:tab w:val="left" w:pos="1416"/>
        </w:tabs>
        <w:spacing w:line="360" w:lineRule="auto"/>
        <w:jc w:val="both"/>
        <w:rPr>
          <w:rFonts w:ascii="Arial" w:hAnsi="Arial" w:cs="Arial"/>
        </w:rPr>
      </w:pPr>
      <w:r>
        <w:rPr>
          <w:rFonts w:ascii="Arial" w:hAnsi="Arial" w:cs="Arial"/>
        </w:rPr>
        <w:tab/>
      </w:r>
    </w:p>
    <w:p w:rsidR="004B2CC3" w:rsidRPr="0039469E" w:rsidRDefault="00D64C08" w:rsidP="004B2CC3">
      <w:pPr>
        <w:spacing w:line="360" w:lineRule="auto"/>
        <w:jc w:val="both"/>
        <w:rPr>
          <w:rFonts w:ascii="Arial" w:hAnsi="Arial" w:cs="Arial"/>
          <w:lang w:val="es-MX"/>
        </w:rPr>
      </w:pPr>
      <w:r w:rsidRPr="003D195F">
        <w:rPr>
          <w:rFonts w:ascii="Arial" w:hAnsi="Arial" w:cs="Arial"/>
          <w:lang w:val="es-CO"/>
        </w:rPr>
        <w:t>Esta Sala especializada está facultada en forma legal para desatar la controversia puesta a su consideración, por ser l</w:t>
      </w:r>
      <w:r w:rsidR="0000148D">
        <w:rPr>
          <w:rFonts w:ascii="Arial" w:hAnsi="Arial" w:cs="Arial"/>
          <w:lang w:val="es-CO"/>
        </w:rPr>
        <w:t>a</w:t>
      </w:r>
      <w:r w:rsidRPr="003D195F">
        <w:rPr>
          <w:rFonts w:ascii="Arial" w:hAnsi="Arial" w:cs="Arial"/>
          <w:lang w:val="es-CO"/>
        </w:rPr>
        <w:t xml:space="preserve"> superior</w:t>
      </w:r>
      <w:r w:rsidR="0000148D">
        <w:rPr>
          <w:rFonts w:ascii="Arial" w:hAnsi="Arial" w:cs="Arial"/>
          <w:lang w:val="es-CO"/>
        </w:rPr>
        <w:t>a</w:t>
      </w:r>
      <w:r w:rsidRPr="003D195F">
        <w:rPr>
          <w:rFonts w:ascii="Arial" w:hAnsi="Arial" w:cs="Arial"/>
          <w:lang w:val="es-CO"/>
        </w:rPr>
        <w:t xml:space="preserve"> jerárquic</w:t>
      </w:r>
      <w:r w:rsidR="0000148D">
        <w:rPr>
          <w:rFonts w:ascii="Arial" w:hAnsi="Arial" w:cs="Arial"/>
          <w:lang w:val="es-CO"/>
        </w:rPr>
        <w:t>a</w:t>
      </w:r>
      <w:r w:rsidRPr="003D195F">
        <w:rPr>
          <w:rFonts w:ascii="Arial" w:hAnsi="Arial" w:cs="Arial"/>
          <w:lang w:val="es-CO"/>
        </w:rPr>
        <w:t xml:space="preserve"> del Despacho que conoció en primera instancia (Artículo 32 del Decreto 2591 de 1991).</w:t>
      </w:r>
    </w:p>
    <w:p w:rsidR="003913E3" w:rsidRPr="003B4B9C" w:rsidRDefault="003913E3" w:rsidP="00F839CE">
      <w:pPr>
        <w:spacing w:line="360" w:lineRule="auto"/>
        <w:jc w:val="both"/>
        <w:rPr>
          <w:rFonts w:ascii="Arial" w:hAnsi="Arial" w:cs="Arial"/>
          <w:lang w:val="es-MX"/>
        </w:rPr>
      </w:pPr>
    </w:p>
    <w:p w:rsidR="003913E3" w:rsidRPr="00311FCA"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913E3" w:rsidRDefault="003913E3" w:rsidP="00F839CE">
      <w:pPr>
        <w:pStyle w:val="Textoindependiente"/>
        <w:spacing w:line="360" w:lineRule="auto"/>
        <w:rPr>
          <w:rFonts w:ascii="Arial" w:hAnsi="Arial" w:cs="Arial"/>
          <w:sz w:val="24"/>
          <w:szCs w:val="24"/>
        </w:rPr>
      </w:pPr>
    </w:p>
    <w:p w:rsidR="00350325" w:rsidRPr="00902F93" w:rsidRDefault="008924A4" w:rsidP="00350325">
      <w:pPr>
        <w:pStyle w:val="Textoindependiente"/>
        <w:spacing w:line="360" w:lineRule="auto"/>
        <w:rPr>
          <w:rFonts w:ascii="Arial" w:hAnsi="Arial" w:cs="Arial"/>
          <w:sz w:val="24"/>
          <w:szCs w:val="24"/>
        </w:rPr>
      </w:pPr>
      <w:r w:rsidRPr="00D91A51">
        <w:rPr>
          <w:rFonts w:ascii="Arial" w:hAnsi="Arial" w:cs="Arial"/>
          <w:sz w:val="24"/>
          <w:szCs w:val="24"/>
        </w:rPr>
        <w:t>Se cumple la le</w:t>
      </w:r>
      <w:r w:rsidR="006F52BC">
        <w:rPr>
          <w:rFonts w:ascii="Arial" w:hAnsi="Arial" w:cs="Arial"/>
          <w:sz w:val="24"/>
          <w:szCs w:val="24"/>
        </w:rPr>
        <w:t xml:space="preserve">gitimación por activa dado que </w:t>
      </w:r>
      <w:r w:rsidR="00786E7E">
        <w:rPr>
          <w:rFonts w:ascii="Arial" w:hAnsi="Arial" w:cs="Arial"/>
          <w:sz w:val="24"/>
          <w:szCs w:val="24"/>
        </w:rPr>
        <w:t>la Empresa de Energía de Bogotá SA ESP es la demandante en el proceso de servidumbre</w:t>
      </w:r>
      <w:r w:rsidR="00350325" w:rsidRPr="00902F93">
        <w:rPr>
          <w:rFonts w:ascii="Arial" w:hAnsi="Arial" w:cs="Arial"/>
          <w:sz w:val="24"/>
          <w:szCs w:val="24"/>
        </w:rPr>
        <w:t xml:space="preserve">.  Y por pasiva, </w:t>
      </w:r>
      <w:r w:rsidR="00350325">
        <w:rPr>
          <w:rFonts w:ascii="Arial" w:hAnsi="Arial" w:cs="Arial"/>
          <w:sz w:val="24"/>
          <w:szCs w:val="24"/>
        </w:rPr>
        <w:t xml:space="preserve">lo es </w:t>
      </w:r>
      <w:r w:rsidR="00350325" w:rsidRPr="00902F93">
        <w:rPr>
          <w:rFonts w:ascii="Arial" w:hAnsi="Arial" w:cs="Arial"/>
          <w:sz w:val="24"/>
          <w:szCs w:val="24"/>
        </w:rPr>
        <w:t xml:space="preserve">el </w:t>
      </w:r>
      <w:r w:rsidR="00350325" w:rsidRPr="009A3C9D">
        <w:rPr>
          <w:rFonts w:ascii="Arial" w:hAnsi="Arial" w:cs="Arial"/>
          <w:sz w:val="24"/>
          <w:szCs w:val="24"/>
        </w:rPr>
        <w:t xml:space="preserve">Juzgado </w:t>
      </w:r>
      <w:r w:rsidR="00786E7E">
        <w:rPr>
          <w:rFonts w:ascii="Arial" w:hAnsi="Arial" w:cs="Arial"/>
          <w:sz w:val="24"/>
          <w:szCs w:val="24"/>
        </w:rPr>
        <w:t xml:space="preserve">Primero </w:t>
      </w:r>
      <w:r w:rsidR="00350325" w:rsidRPr="009A3C9D">
        <w:rPr>
          <w:rFonts w:ascii="Arial" w:hAnsi="Arial" w:cs="Arial"/>
          <w:sz w:val="24"/>
          <w:szCs w:val="24"/>
        </w:rPr>
        <w:t>C</w:t>
      </w:r>
      <w:r w:rsidR="00350325">
        <w:rPr>
          <w:rFonts w:ascii="Arial" w:hAnsi="Arial" w:cs="Arial"/>
          <w:sz w:val="24"/>
          <w:szCs w:val="24"/>
        </w:rPr>
        <w:t>ivil Municipal</w:t>
      </w:r>
      <w:r w:rsidR="006F52BC">
        <w:rPr>
          <w:rFonts w:ascii="Arial" w:hAnsi="Arial" w:cs="Arial"/>
          <w:sz w:val="24"/>
          <w:szCs w:val="24"/>
        </w:rPr>
        <w:t xml:space="preserve"> de </w:t>
      </w:r>
      <w:r w:rsidR="00786E7E">
        <w:rPr>
          <w:rFonts w:ascii="Arial" w:hAnsi="Arial" w:cs="Arial"/>
          <w:sz w:val="24"/>
          <w:szCs w:val="24"/>
        </w:rPr>
        <w:t>Dosquebradas</w:t>
      </w:r>
      <w:r w:rsidR="00350325">
        <w:rPr>
          <w:rFonts w:ascii="Arial" w:hAnsi="Arial" w:cs="Arial"/>
          <w:sz w:val="24"/>
          <w:szCs w:val="24"/>
        </w:rPr>
        <w:t>, por ser</w:t>
      </w:r>
      <w:r w:rsidR="00350325" w:rsidRPr="009A3C9D">
        <w:rPr>
          <w:rFonts w:ascii="Arial" w:hAnsi="Arial" w:cs="Arial"/>
          <w:sz w:val="24"/>
          <w:szCs w:val="24"/>
        </w:rPr>
        <w:t xml:space="preserve"> la autoridad judicial </w:t>
      </w:r>
      <w:r w:rsidR="00496952">
        <w:rPr>
          <w:rFonts w:ascii="Arial" w:hAnsi="Arial" w:cs="Arial"/>
          <w:sz w:val="24"/>
          <w:szCs w:val="24"/>
        </w:rPr>
        <w:t xml:space="preserve">que </w:t>
      </w:r>
      <w:r w:rsidR="00350325" w:rsidRPr="009A3C9D">
        <w:rPr>
          <w:rFonts w:ascii="Arial" w:hAnsi="Arial" w:cs="Arial"/>
          <w:sz w:val="24"/>
          <w:szCs w:val="24"/>
        </w:rPr>
        <w:t>conoce del</w:t>
      </w:r>
      <w:r w:rsidR="00350325" w:rsidRPr="00902F93">
        <w:rPr>
          <w:rFonts w:ascii="Arial" w:hAnsi="Arial" w:cs="Arial"/>
          <w:sz w:val="24"/>
          <w:szCs w:val="24"/>
        </w:rPr>
        <w:t xml:space="preserve"> proceso</w:t>
      </w:r>
      <w:r w:rsidR="006C593B">
        <w:rPr>
          <w:rFonts w:ascii="Arial" w:hAnsi="Arial" w:cs="Arial"/>
          <w:sz w:val="24"/>
          <w:szCs w:val="24"/>
        </w:rPr>
        <w:t>.</w:t>
      </w:r>
    </w:p>
    <w:p w:rsidR="00350325" w:rsidRPr="003E0733" w:rsidRDefault="00350325" w:rsidP="00350325">
      <w:pPr>
        <w:pStyle w:val="Textoindependiente"/>
        <w:spacing w:line="360" w:lineRule="auto"/>
        <w:rPr>
          <w:rFonts w:ascii="Arial" w:hAnsi="Arial" w:cs="Arial"/>
          <w:sz w:val="24"/>
        </w:rPr>
      </w:pPr>
    </w:p>
    <w:p w:rsidR="00786E7E" w:rsidRDefault="00786E7E" w:rsidP="00786E7E">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3913E3" w:rsidRPr="003B4B9C" w:rsidRDefault="003913E3" w:rsidP="00350325">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55471">
        <w:rPr>
          <w:rFonts w:ascii="Arial" w:hAnsi="Arial" w:cs="Arial"/>
          <w:sz w:val="24"/>
          <w:szCs w:val="24"/>
        </w:rPr>
        <w:lastRenderedPageBreak/>
        <w:t xml:space="preserve">¿Es procedente confirmar, modificar o revocar la sentencia del </w:t>
      </w:r>
      <w:r w:rsidR="00106142" w:rsidRPr="00E55471">
        <w:rPr>
          <w:rFonts w:ascii="Arial" w:hAnsi="Arial"/>
          <w:sz w:val="24"/>
        </w:rPr>
        <w:t xml:space="preserve">Juzgado </w:t>
      </w:r>
      <w:r w:rsidR="00350325" w:rsidRPr="00E55471">
        <w:rPr>
          <w:rFonts w:ascii="Arial" w:hAnsi="Arial"/>
          <w:sz w:val="24"/>
        </w:rPr>
        <w:t xml:space="preserve">Civil del </w:t>
      </w:r>
      <w:r w:rsidR="007B4AD7" w:rsidRPr="00E55471">
        <w:rPr>
          <w:rFonts w:ascii="Arial" w:hAnsi="Arial" w:cs="Arial"/>
          <w:sz w:val="24"/>
          <w:szCs w:val="24"/>
        </w:rPr>
        <w:t xml:space="preserve">Circuito </w:t>
      </w:r>
      <w:r w:rsidR="00786E7E">
        <w:rPr>
          <w:rFonts w:ascii="Arial" w:hAnsi="Arial" w:cs="Arial"/>
          <w:sz w:val="24"/>
          <w:szCs w:val="24"/>
        </w:rPr>
        <w:t>de Dosquebradas</w:t>
      </w:r>
      <w:r w:rsidRPr="00E55471">
        <w:rPr>
          <w:rFonts w:ascii="Arial" w:hAnsi="Arial" w:cs="Arial"/>
          <w:sz w:val="24"/>
          <w:szCs w:val="24"/>
        </w:rPr>
        <w:t>, según la</w:t>
      </w:r>
      <w:r w:rsidR="00786E7E">
        <w:rPr>
          <w:rFonts w:ascii="Arial" w:hAnsi="Arial" w:cs="Arial"/>
          <w:sz w:val="24"/>
          <w:szCs w:val="24"/>
        </w:rPr>
        <w:t>s</w:t>
      </w:r>
      <w:r w:rsidRPr="00E55471">
        <w:rPr>
          <w:rFonts w:ascii="Arial" w:hAnsi="Arial" w:cs="Arial"/>
          <w:sz w:val="24"/>
          <w:szCs w:val="24"/>
        </w:rPr>
        <w:t xml:space="preserve"> </w:t>
      </w:r>
      <w:r w:rsidR="00786E7E">
        <w:rPr>
          <w:rFonts w:ascii="Arial" w:hAnsi="Arial" w:cs="Arial"/>
          <w:sz w:val="24"/>
          <w:szCs w:val="24"/>
        </w:rPr>
        <w:t xml:space="preserve">impugnaciones </w:t>
      </w:r>
      <w:r w:rsidR="00106142" w:rsidRPr="00E55471">
        <w:rPr>
          <w:rFonts w:ascii="Arial" w:hAnsi="Arial" w:cs="Arial"/>
          <w:sz w:val="24"/>
          <w:szCs w:val="24"/>
        </w:rPr>
        <w:t>presentada</w:t>
      </w:r>
      <w:r w:rsidR="00786E7E">
        <w:rPr>
          <w:rFonts w:ascii="Arial" w:hAnsi="Arial" w:cs="Arial"/>
          <w:sz w:val="24"/>
          <w:szCs w:val="24"/>
        </w:rPr>
        <w:t>s</w:t>
      </w:r>
      <w:r w:rsidRPr="00E55471">
        <w:rPr>
          <w:rFonts w:ascii="Arial" w:hAnsi="Arial" w:cs="Arial"/>
          <w:sz w:val="24"/>
          <w:szCs w:val="24"/>
        </w:rPr>
        <w:t>?</w:t>
      </w:r>
      <w:r w:rsidRPr="00311FCA">
        <w:rPr>
          <w:rFonts w:ascii="Arial" w:hAnsi="Arial" w:cs="Arial"/>
          <w:sz w:val="24"/>
          <w:szCs w:val="24"/>
        </w:rPr>
        <w:t xml:space="preserve"> </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Default="00DD3AF5" w:rsidP="00DD3AF5">
      <w:pPr>
        <w:pStyle w:val="Textoindependiente"/>
        <w:tabs>
          <w:tab w:val="clear" w:pos="0"/>
          <w:tab w:val="clear" w:pos="708"/>
          <w:tab w:val="left" w:pos="709"/>
        </w:tabs>
        <w:spacing w:line="360" w:lineRule="auto"/>
        <w:rPr>
          <w:rFonts w:ascii="Arial" w:hAnsi="Arial" w:cs="Arial"/>
          <w:sz w:val="24"/>
          <w:szCs w:val="24"/>
        </w:rPr>
      </w:pPr>
    </w:p>
    <w:p w:rsidR="00E77D52" w:rsidRPr="00E77D52" w:rsidRDefault="00E77D52" w:rsidP="00E77D52">
      <w:pPr>
        <w:pStyle w:val="Prrafodelista"/>
        <w:numPr>
          <w:ilvl w:val="0"/>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0"/>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E77D52" w:rsidRPr="00E77D52" w:rsidRDefault="00E77D52" w:rsidP="00E77D52">
      <w:pPr>
        <w:pStyle w:val="Prrafodelista"/>
        <w:numPr>
          <w:ilvl w:val="1"/>
          <w:numId w:val="35"/>
        </w:numPr>
        <w:tabs>
          <w:tab w:val="left" w:pos="993"/>
        </w:tabs>
        <w:spacing w:after="0" w:line="360" w:lineRule="auto"/>
        <w:contextualSpacing w:val="0"/>
        <w:jc w:val="both"/>
        <w:rPr>
          <w:rFonts w:ascii="Arial" w:hAnsi="Arial" w:cs="Arial"/>
          <w:vanish/>
          <w:spacing w:val="-3"/>
          <w:sz w:val="24"/>
          <w:szCs w:val="24"/>
          <w:lang w:val="es-ES_tradnl" w:eastAsia="es-ES"/>
        </w:rPr>
      </w:pPr>
    </w:p>
    <w:p w:rsidR="00786E7E" w:rsidRPr="00786E7E" w:rsidRDefault="00786E7E" w:rsidP="00786E7E">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786E7E">
        <w:rPr>
          <w:rFonts w:ascii="Arial" w:hAnsi="Arial" w:cs="Arial"/>
          <w:sz w:val="24"/>
          <w:szCs w:val="24"/>
        </w:rPr>
        <w:t>Las sub-reglas de análisis en la procedibilidad frente a decisiones judiciales</w:t>
      </w:r>
    </w:p>
    <w:p w:rsidR="00786E7E" w:rsidRPr="00786E7E" w:rsidRDefault="00786E7E" w:rsidP="00786E7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4"/>
          <w:szCs w:val="24"/>
        </w:rPr>
      </w:pPr>
    </w:p>
    <w:p w:rsidR="00786E7E" w:rsidRPr="00786E7E" w:rsidRDefault="00786E7E" w:rsidP="00786E7E">
      <w:pPr>
        <w:pStyle w:val="Textoindependiente"/>
        <w:spacing w:line="360" w:lineRule="auto"/>
        <w:rPr>
          <w:rFonts w:ascii="Arial" w:hAnsi="Arial" w:cs="Arial"/>
          <w:sz w:val="24"/>
          <w:szCs w:val="24"/>
        </w:rPr>
      </w:pPr>
      <w:r w:rsidRPr="00786E7E">
        <w:rPr>
          <w:rFonts w:ascii="Arial" w:hAnsi="Arial" w:cs="Arial"/>
          <w:sz w:val="24"/>
          <w:szCs w:val="24"/>
        </w:rPr>
        <w:t>A partir 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786E7E">
        <w:rPr>
          <w:rStyle w:val="Refdenotaalpie"/>
          <w:rFonts w:ascii="Arial" w:hAnsi="Arial" w:cs="Arial"/>
          <w:sz w:val="24"/>
          <w:szCs w:val="24"/>
        </w:rPr>
        <w:footnoteReference w:id="1"/>
      </w:r>
      <w:r w:rsidRPr="00786E7E">
        <w:rPr>
          <w:rFonts w:ascii="Arial" w:hAnsi="Arial" w:cs="Arial"/>
          <w:sz w:val="24"/>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786E7E" w:rsidRPr="00786E7E" w:rsidRDefault="00786E7E" w:rsidP="00786E7E">
      <w:pPr>
        <w:pStyle w:val="Textoindependiente"/>
        <w:spacing w:line="360" w:lineRule="auto"/>
        <w:rPr>
          <w:rFonts w:ascii="Arial" w:hAnsi="Arial" w:cs="Arial"/>
          <w:sz w:val="24"/>
          <w:szCs w:val="24"/>
        </w:rPr>
      </w:pPr>
    </w:p>
    <w:p w:rsidR="00786E7E" w:rsidRPr="00786E7E" w:rsidRDefault="00786E7E" w:rsidP="00786E7E">
      <w:pPr>
        <w:pStyle w:val="Textoindependiente"/>
        <w:spacing w:line="360" w:lineRule="auto"/>
        <w:rPr>
          <w:rFonts w:ascii="Arial" w:hAnsi="Arial" w:cs="Arial"/>
          <w:sz w:val="24"/>
          <w:szCs w:val="24"/>
        </w:rPr>
      </w:pPr>
      <w:r w:rsidRPr="00786E7E">
        <w:rPr>
          <w:rFonts w:ascii="Arial" w:hAnsi="Arial" w:cs="Arial"/>
          <w:sz w:val="24"/>
          <w:szCs w:val="24"/>
        </w:rPr>
        <w:t xml:space="preserve">Ahora, en frente del examen que se reclama en sede constitucional, resulta de mayúscula trascendencia, precisar que </w:t>
      </w:r>
      <w:r w:rsidRPr="00786E7E">
        <w:rPr>
          <w:rFonts w:ascii="Arial" w:hAnsi="Arial" w:cs="Arial"/>
          <w:sz w:val="24"/>
          <w:szCs w:val="24"/>
          <w:u w:val="single"/>
        </w:rPr>
        <w:t>se trata de un juicio de validez y no de corrección</w:t>
      </w:r>
      <w:r w:rsidRPr="00786E7E">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86E7E">
        <w:rPr>
          <w:rStyle w:val="Refdenotaalpie"/>
          <w:rFonts w:ascii="Arial" w:hAnsi="Arial" w:cs="Arial"/>
          <w:sz w:val="24"/>
          <w:szCs w:val="24"/>
        </w:rPr>
        <w:footnoteReference w:id="2"/>
      </w:r>
      <w:r w:rsidRPr="00786E7E">
        <w:rPr>
          <w:rFonts w:ascii="Arial" w:hAnsi="Arial" w:cs="Arial"/>
          <w:sz w:val="24"/>
          <w:szCs w:val="24"/>
        </w:rPr>
        <w:t>.</w:t>
      </w:r>
    </w:p>
    <w:p w:rsidR="00786E7E" w:rsidRPr="00786E7E" w:rsidRDefault="00786E7E" w:rsidP="00786E7E">
      <w:pPr>
        <w:pStyle w:val="Textoindependiente"/>
        <w:spacing w:line="360" w:lineRule="auto"/>
        <w:rPr>
          <w:rFonts w:ascii="Arial" w:hAnsi="Arial" w:cs="Arial"/>
          <w:sz w:val="24"/>
          <w:szCs w:val="24"/>
        </w:rPr>
      </w:pPr>
    </w:p>
    <w:p w:rsidR="00786E7E" w:rsidRPr="00786E7E" w:rsidRDefault="00786E7E" w:rsidP="00786E7E">
      <w:pPr>
        <w:pStyle w:val="Textoindependiente"/>
        <w:spacing w:line="360" w:lineRule="auto"/>
        <w:rPr>
          <w:rFonts w:ascii="Arial" w:hAnsi="Arial" w:cs="Arial"/>
          <w:sz w:val="24"/>
          <w:szCs w:val="24"/>
        </w:rPr>
      </w:pPr>
      <w:r w:rsidRPr="00786E7E">
        <w:rPr>
          <w:rFonts w:ascii="Arial" w:hAnsi="Arial" w:cs="Arial"/>
          <w:sz w:val="24"/>
          <w:szCs w:val="24"/>
        </w:rPr>
        <w:t>Los requisitos generales de procedibilidad, explicados en amplitud en la sentencia C-590 de 2005</w:t>
      </w:r>
      <w:r w:rsidRPr="00786E7E">
        <w:rPr>
          <w:rStyle w:val="Refdenotaalpie"/>
          <w:rFonts w:ascii="Arial" w:hAnsi="Arial" w:cs="Arial"/>
          <w:sz w:val="24"/>
          <w:szCs w:val="24"/>
        </w:rPr>
        <w:footnoteReference w:id="3"/>
      </w:r>
      <w:r w:rsidRPr="00786E7E">
        <w:rPr>
          <w:rFonts w:ascii="Arial" w:hAnsi="Arial" w:cs="Arial"/>
          <w:sz w:val="24"/>
          <w:szCs w:val="24"/>
        </w:rPr>
        <w:t xml:space="preserve"> y reiterados en la consolidada línea jurisprudencial de la Corte Constitucional</w:t>
      </w:r>
      <w:r w:rsidRPr="00786E7E">
        <w:rPr>
          <w:rStyle w:val="Refdenotaalpie"/>
          <w:rFonts w:ascii="Arial" w:hAnsi="Arial" w:cs="Arial"/>
          <w:sz w:val="24"/>
          <w:szCs w:val="24"/>
        </w:rPr>
        <w:footnoteReference w:id="4"/>
      </w:r>
      <w:r w:rsidRPr="00786E7E">
        <w:rPr>
          <w:rFonts w:ascii="Arial" w:hAnsi="Arial" w:cs="Arial"/>
          <w:sz w:val="24"/>
          <w:szCs w:val="24"/>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86E7E">
        <w:rPr>
          <w:rStyle w:val="Refdenotaalpie"/>
          <w:rFonts w:ascii="Arial" w:hAnsi="Arial" w:cs="Arial"/>
          <w:sz w:val="24"/>
          <w:szCs w:val="24"/>
        </w:rPr>
        <w:footnoteReference w:id="5"/>
      </w:r>
      <w:r w:rsidRPr="00786E7E">
        <w:rPr>
          <w:rFonts w:ascii="Arial" w:hAnsi="Arial" w:cs="Arial"/>
          <w:sz w:val="24"/>
          <w:szCs w:val="24"/>
        </w:rPr>
        <w:t>.</w:t>
      </w:r>
    </w:p>
    <w:p w:rsidR="00786E7E" w:rsidRPr="00786E7E" w:rsidRDefault="00786E7E" w:rsidP="00786E7E">
      <w:pPr>
        <w:pStyle w:val="Textoindependiente"/>
        <w:spacing w:line="360" w:lineRule="auto"/>
        <w:rPr>
          <w:rFonts w:ascii="Arial" w:hAnsi="Arial" w:cs="Arial"/>
          <w:sz w:val="24"/>
          <w:szCs w:val="24"/>
        </w:rPr>
      </w:pPr>
    </w:p>
    <w:p w:rsidR="00786E7E" w:rsidRPr="00786E7E" w:rsidRDefault="00786E7E" w:rsidP="00786E7E">
      <w:pPr>
        <w:pStyle w:val="Textoindependiente"/>
        <w:spacing w:line="360" w:lineRule="auto"/>
        <w:rPr>
          <w:rFonts w:ascii="Arial" w:hAnsi="Arial" w:cs="Arial"/>
          <w:sz w:val="24"/>
          <w:szCs w:val="24"/>
        </w:rPr>
      </w:pPr>
      <w:r w:rsidRPr="00786E7E">
        <w:rPr>
          <w:rFonts w:ascii="Arial" w:hAnsi="Arial" w:cs="Arial"/>
          <w:sz w:val="24"/>
          <w:szCs w:val="24"/>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86E7E">
        <w:rPr>
          <w:rFonts w:ascii="Arial" w:hAnsi="Arial" w:cs="Arial"/>
          <w:sz w:val="24"/>
          <w:szCs w:val="24"/>
          <w:vertAlign w:val="superscript"/>
        </w:rPr>
        <w:footnoteReference w:id="6"/>
      </w:r>
      <w:r w:rsidRPr="00786E7E">
        <w:rPr>
          <w:rFonts w:ascii="Arial" w:hAnsi="Arial" w:cs="Arial"/>
          <w:sz w:val="24"/>
          <w:szCs w:val="24"/>
        </w:rPr>
        <w:t xml:space="preserve"> y Quinche Ramírez</w:t>
      </w:r>
      <w:r w:rsidRPr="00786E7E">
        <w:rPr>
          <w:rStyle w:val="Refdenotaalpie"/>
          <w:rFonts w:ascii="Arial" w:hAnsi="Arial" w:cs="Arial"/>
          <w:sz w:val="24"/>
          <w:szCs w:val="24"/>
        </w:rPr>
        <w:footnoteReference w:id="7"/>
      </w:r>
      <w:r w:rsidRPr="00786E7E">
        <w:rPr>
          <w:rFonts w:ascii="Arial" w:hAnsi="Arial" w:cs="Arial"/>
          <w:sz w:val="24"/>
          <w:szCs w:val="24"/>
        </w:rPr>
        <w:t>. Presupuestos reiterados recientemente por la Jurisprudencia Constitucional (2015)</w:t>
      </w:r>
      <w:r w:rsidRPr="00786E7E">
        <w:rPr>
          <w:rStyle w:val="Refdenotaalpie"/>
          <w:rFonts w:ascii="Arial" w:hAnsi="Arial" w:cs="Arial"/>
          <w:sz w:val="24"/>
          <w:szCs w:val="24"/>
        </w:rPr>
        <w:footnoteReference w:id="8"/>
      </w:r>
    </w:p>
    <w:p w:rsidR="00786E7E" w:rsidRPr="00786E7E" w:rsidRDefault="00786E7E" w:rsidP="00786E7E">
      <w:pPr>
        <w:pStyle w:val="Textoindependiente"/>
        <w:spacing w:line="360" w:lineRule="auto"/>
        <w:rPr>
          <w:rFonts w:ascii="Arial" w:hAnsi="Arial" w:cs="Arial"/>
          <w:sz w:val="24"/>
          <w:szCs w:val="24"/>
        </w:rPr>
      </w:pPr>
    </w:p>
    <w:p w:rsidR="00786E7E" w:rsidRPr="00786E7E" w:rsidRDefault="00786E7E" w:rsidP="00786E7E">
      <w:pPr>
        <w:pStyle w:val="Prrafodelista"/>
        <w:widowControl w:val="0"/>
        <w:numPr>
          <w:ilvl w:val="2"/>
          <w:numId w:val="35"/>
        </w:numPr>
        <w:autoSpaceDE w:val="0"/>
        <w:autoSpaceDN w:val="0"/>
        <w:adjustRightInd w:val="0"/>
        <w:spacing w:after="0" w:line="360" w:lineRule="auto"/>
        <w:contextualSpacing w:val="0"/>
        <w:jc w:val="both"/>
        <w:rPr>
          <w:rFonts w:ascii="Arial" w:hAnsi="Arial" w:cs="Arial"/>
          <w:sz w:val="24"/>
          <w:szCs w:val="24"/>
        </w:rPr>
      </w:pPr>
      <w:r w:rsidRPr="00786E7E">
        <w:rPr>
          <w:rFonts w:ascii="Arial" w:hAnsi="Arial" w:cs="Arial"/>
          <w:sz w:val="24"/>
          <w:szCs w:val="24"/>
        </w:rPr>
        <w:t>La inmediatez</w:t>
      </w:r>
    </w:p>
    <w:p w:rsidR="00786E7E" w:rsidRPr="00786E7E" w:rsidRDefault="00786E7E" w:rsidP="00786E7E">
      <w:pPr>
        <w:pStyle w:val="Prrafodelista"/>
        <w:spacing w:line="360" w:lineRule="auto"/>
        <w:jc w:val="both"/>
        <w:rPr>
          <w:rFonts w:ascii="Arial" w:hAnsi="Arial" w:cs="Arial"/>
          <w:sz w:val="14"/>
          <w:szCs w:val="24"/>
        </w:rPr>
      </w:pPr>
    </w:p>
    <w:p w:rsidR="00786E7E" w:rsidRDefault="00786E7E" w:rsidP="00786E7E">
      <w:pPr>
        <w:spacing w:line="360" w:lineRule="auto"/>
        <w:jc w:val="both"/>
        <w:rPr>
          <w:rFonts w:ascii="Arial" w:hAnsi="Arial" w:cs="Arial"/>
          <w:u w:val="single"/>
        </w:rPr>
      </w:pPr>
      <w:r w:rsidRPr="00786E7E">
        <w:rPr>
          <w:rFonts w:ascii="Arial" w:hAnsi="Arial" w:cs="Arial"/>
        </w:rPr>
        <w:t>Según constante jurisprudencia de nuestro máximo Tribunal Constitucional</w:t>
      </w:r>
      <w:r w:rsidRPr="00786E7E">
        <w:rPr>
          <w:rStyle w:val="Refdenotaalpie"/>
          <w:rFonts w:ascii="Arial" w:hAnsi="Arial" w:cs="Arial"/>
        </w:rPr>
        <w:footnoteReference w:id="9"/>
      </w:r>
      <w:r w:rsidRPr="00786E7E">
        <w:rPr>
          <w:rFonts w:ascii="Arial" w:hAnsi="Arial" w:cs="Arial"/>
        </w:rPr>
        <w:t>, y también de la Corte Suprema</w:t>
      </w:r>
      <w:r w:rsidRPr="0098589D">
        <w:rPr>
          <w:rFonts w:ascii="Arial" w:hAnsi="Arial" w:cs="Arial"/>
        </w:rPr>
        <w:t xml:space="preserve"> de Justicia</w:t>
      </w:r>
      <w:r w:rsidRPr="0098589D">
        <w:rPr>
          <w:rStyle w:val="Refdenotaalpie"/>
          <w:rFonts w:ascii="Calibri" w:hAnsi="Calibri" w:cs="Calibri"/>
        </w:rPr>
        <w:footnoteReference w:id="10"/>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786E7E" w:rsidRPr="0098589D" w:rsidRDefault="00786E7E" w:rsidP="00786E7E">
      <w:pPr>
        <w:spacing w:line="360" w:lineRule="auto"/>
        <w:jc w:val="both"/>
        <w:rPr>
          <w:rFonts w:ascii="Arial" w:hAnsi="Arial" w:cs="Arial"/>
          <w:u w:val="single"/>
        </w:rPr>
      </w:pPr>
    </w:p>
    <w:p w:rsidR="00786E7E" w:rsidRDefault="00786E7E" w:rsidP="00786E7E">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11"/>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12"/>
      </w:r>
      <w:r>
        <w:rPr>
          <w:rFonts w:ascii="Arial" w:hAnsi="Arial" w:cs="Arial"/>
        </w:rPr>
        <w:t xml:space="preserve"> y de Casación Civil que en reciente providencia señaló: </w:t>
      </w:r>
    </w:p>
    <w:p w:rsidR="00786E7E" w:rsidRDefault="00786E7E" w:rsidP="00786E7E">
      <w:pPr>
        <w:spacing w:line="360" w:lineRule="auto"/>
        <w:ind w:right="22"/>
        <w:jc w:val="both"/>
        <w:rPr>
          <w:rFonts w:ascii="Arial" w:hAnsi="Arial" w:cs="Arial"/>
        </w:rPr>
      </w:pPr>
    </w:p>
    <w:p w:rsidR="00786E7E" w:rsidRPr="00C83EC6" w:rsidRDefault="00786E7E" w:rsidP="00786E7E">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w:t>
      </w:r>
      <w:r w:rsidRPr="00C83EC6">
        <w:rPr>
          <w:rFonts w:ascii="Arial" w:hAnsi="Arial" w:cs="Arial"/>
          <w:color w:val="000000"/>
        </w:rPr>
        <w:lastRenderedPageBreak/>
        <w:t xml:space="preserve">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Style w:val="Refdenotaalpie"/>
          <w:rFonts w:ascii="Arial" w:hAnsi="Arial" w:cs="Arial"/>
        </w:rPr>
        <w:footnoteReference w:id="13"/>
      </w:r>
      <w:r w:rsidRPr="00C83EC6">
        <w:rPr>
          <w:rFonts w:ascii="Arial" w:hAnsi="Arial" w:cs="Arial"/>
        </w:rPr>
        <w:t xml:space="preserve"> </w:t>
      </w:r>
      <w:r>
        <w:rPr>
          <w:rFonts w:ascii="Arial" w:hAnsi="Arial" w:cs="Arial"/>
        </w:rPr>
        <w:t>Sublínea de esta sala.</w:t>
      </w:r>
    </w:p>
    <w:p w:rsidR="00786E7E" w:rsidRPr="0098589D" w:rsidRDefault="00786E7E" w:rsidP="00786E7E">
      <w:pPr>
        <w:spacing w:line="360" w:lineRule="auto"/>
        <w:ind w:right="22"/>
        <w:jc w:val="both"/>
        <w:rPr>
          <w:rFonts w:ascii="Arial" w:hAnsi="Arial" w:cs="Arial"/>
        </w:rPr>
      </w:pPr>
    </w:p>
    <w:p w:rsidR="00786E7E" w:rsidRPr="0098589D" w:rsidRDefault="00786E7E" w:rsidP="00786E7E">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786E7E" w:rsidRPr="0098589D" w:rsidRDefault="00786E7E" w:rsidP="00786E7E">
      <w:pPr>
        <w:spacing w:line="360" w:lineRule="auto"/>
        <w:ind w:right="22"/>
        <w:jc w:val="both"/>
        <w:rPr>
          <w:rFonts w:ascii="Arial" w:hAnsi="Arial" w:cs="Arial"/>
        </w:rPr>
      </w:pPr>
    </w:p>
    <w:p w:rsidR="00786E7E" w:rsidRDefault="00786E7E" w:rsidP="00786E7E">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w:t>
      </w:r>
      <w:r>
        <w:rPr>
          <w:rFonts w:ascii="Arial" w:hAnsi="Arial" w:cs="Arial"/>
        </w:rPr>
        <w:t xml:space="preserve">ías de hecho” judiciales. </w:t>
      </w:r>
      <w:r w:rsidRPr="0098589D">
        <w:rPr>
          <w:rFonts w:ascii="Arial" w:hAnsi="Arial" w:cs="Arial"/>
        </w:rPr>
        <w:t>En este sentido puede consultarse la síntesis doctrinal que hace el profesor Quinche Ramírez</w:t>
      </w:r>
      <w:r w:rsidRPr="0098589D">
        <w:rPr>
          <w:rStyle w:val="Refdenotaalpie"/>
          <w:rFonts w:ascii="Arial" w:hAnsi="Arial" w:cs="Arial"/>
        </w:rPr>
        <w:footnoteReference w:id="16"/>
      </w:r>
      <w:r w:rsidRPr="0098589D">
        <w:rPr>
          <w:rFonts w:ascii="Arial" w:hAnsi="Arial" w:cs="Arial"/>
        </w:rPr>
        <w:t>.</w:t>
      </w:r>
    </w:p>
    <w:p w:rsidR="00786E7E" w:rsidRDefault="00786E7E" w:rsidP="00786E7E">
      <w:pPr>
        <w:spacing w:line="360" w:lineRule="auto"/>
        <w:ind w:right="22"/>
        <w:jc w:val="both"/>
        <w:rPr>
          <w:rFonts w:ascii="Arial" w:hAnsi="Arial" w:cs="Arial"/>
        </w:rPr>
      </w:pPr>
    </w:p>
    <w:p w:rsidR="00786E7E" w:rsidRPr="00D52C98" w:rsidRDefault="00786E7E" w:rsidP="00786E7E">
      <w:pPr>
        <w:spacing w:line="360" w:lineRule="auto"/>
        <w:jc w:val="both"/>
        <w:rPr>
          <w:rFonts w:ascii="Arial" w:hAnsi="Arial" w:cs="Arial"/>
          <w:lang w:val="es-ES_tradnl"/>
        </w:rPr>
      </w:pPr>
      <w:r w:rsidRPr="00D52C98">
        <w:rPr>
          <w:rFonts w:ascii="Arial" w:hAnsi="Arial" w:cs="Arial"/>
          <w:lang w:val="es-ES_tradnl"/>
        </w:rPr>
        <w:t>En decisión del año 2013</w:t>
      </w:r>
      <w:r w:rsidRPr="00D52C98">
        <w:rPr>
          <w:rStyle w:val="Refdenotaalpie"/>
          <w:rFonts w:ascii="Arial" w:hAnsi="Arial" w:cs="Arial"/>
          <w:lang w:val="es-ES_tradnl"/>
        </w:rPr>
        <w:footnoteReference w:id="17"/>
      </w:r>
      <w:r w:rsidRPr="00D52C98">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procedibilidad, así acotó:</w:t>
      </w:r>
    </w:p>
    <w:p w:rsidR="00786E7E" w:rsidRPr="00D52C98" w:rsidRDefault="00786E7E" w:rsidP="00786E7E">
      <w:pPr>
        <w:ind w:left="567"/>
        <w:jc w:val="both"/>
        <w:rPr>
          <w:rFonts w:ascii="Arial" w:hAnsi="Arial" w:cs="Arial"/>
          <w:lang w:val="es-ES_tradnl"/>
        </w:rPr>
      </w:pPr>
    </w:p>
    <w:p w:rsidR="00786E7E" w:rsidRPr="00D52C98" w:rsidRDefault="00786E7E" w:rsidP="00786E7E">
      <w:pPr>
        <w:ind w:left="567" w:right="567"/>
        <w:jc w:val="both"/>
        <w:rPr>
          <w:rFonts w:ascii="Arial" w:hAnsi="Arial" w:cs="Arial"/>
          <w:lang w:val="es-ES_tradnl"/>
        </w:rPr>
      </w:pPr>
      <w:r w:rsidRPr="00D52C98">
        <w:rPr>
          <w:rFonts w:ascii="Arial" w:hAnsi="Arial" w:cs="Arial"/>
        </w:rPr>
        <w:t xml:space="preserve">La Corte constitucional ha establecido en su jurisprudencia que </w:t>
      </w:r>
      <w:r w:rsidRPr="00D52C98">
        <w:rPr>
          <w:rFonts w:ascii="Arial" w:hAnsi="Arial" w:cs="Arial"/>
          <w:u w:val="single"/>
        </w:rPr>
        <w:t>esta exigencia está encaminada a</w:t>
      </w:r>
      <w:r w:rsidRPr="00D52C98">
        <w:rPr>
          <w:rFonts w:ascii="Arial" w:hAnsi="Arial" w:cs="Arial"/>
        </w:rPr>
        <w:t xml:space="preserve">: </w:t>
      </w:r>
      <w:r w:rsidRPr="00D52C98">
        <w:rPr>
          <w:rFonts w:ascii="Arial" w:hAnsi="Arial" w:cs="Arial"/>
          <w:i/>
          <w:iCs/>
        </w:rPr>
        <w:t>i) proteger derechos de terceros que pueden verse vulnerados por una tutela ejercida en un plazo irrazonable</w:t>
      </w:r>
      <w:r w:rsidRPr="00D52C98">
        <w:rPr>
          <w:rFonts w:ascii="Arial" w:hAnsi="Arial" w:cs="Arial"/>
          <w:i/>
          <w:iCs/>
          <w:vertAlign w:val="superscript"/>
        </w:rPr>
        <w:footnoteReference w:id="18"/>
      </w:r>
      <w:r w:rsidRPr="00D52C98">
        <w:rPr>
          <w:rFonts w:ascii="Arial" w:hAnsi="Arial" w:cs="Arial"/>
          <w:i/>
          <w:iCs/>
        </w:rPr>
        <w:t>; ii) impedir que el amparo se convierta en factor de inseguridad jurídica</w:t>
      </w:r>
      <w:r w:rsidRPr="00D52C98">
        <w:rPr>
          <w:rFonts w:ascii="Arial" w:hAnsi="Arial" w:cs="Arial"/>
          <w:i/>
          <w:iCs/>
          <w:vertAlign w:val="superscript"/>
        </w:rPr>
        <w:footnoteReference w:id="19"/>
      </w:r>
      <w:r w:rsidRPr="00D52C98">
        <w:rPr>
          <w:rFonts w:ascii="Arial" w:hAnsi="Arial" w:cs="Arial"/>
          <w:i/>
          <w:iCs/>
        </w:rPr>
        <w:t xml:space="preserve">; y iii) </w:t>
      </w:r>
      <w:r w:rsidRPr="00D52C98">
        <w:rPr>
          <w:rFonts w:ascii="Arial" w:hAnsi="Arial" w:cs="Arial"/>
          <w:i/>
          <w:iCs/>
          <w:lang w:val="es-CO"/>
        </w:rPr>
        <w:t>evitar el uso de este mecanismo constitucional como herramienta supletiva de la propia negligencia en la agencia de los derechos</w:t>
      </w:r>
      <w:r w:rsidRPr="00D52C98">
        <w:rPr>
          <w:rFonts w:ascii="Arial" w:hAnsi="Arial" w:cs="Arial"/>
          <w:vertAlign w:val="superscript"/>
          <w:lang w:val="es-CO"/>
        </w:rPr>
        <w:footnoteReference w:id="20"/>
      </w:r>
      <w:r w:rsidRPr="00D52C98">
        <w:rPr>
          <w:rFonts w:ascii="Arial" w:hAnsi="Arial" w:cs="Arial"/>
          <w:lang w:val="es-CO"/>
        </w:rPr>
        <w:t xml:space="preserve">. La sublínea y la cursiva son de </w:t>
      </w:r>
      <w:r w:rsidRPr="00D52C98">
        <w:rPr>
          <w:rFonts w:ascii="Arial" w:hAnsi="Arial" w:cs="Arial"/>
          <w:lang w:val="es-CO"/>
        </w:rPr>
        <w:lastRenderedPageBreak/>
        <w:t>este Tribunal.</w:t>
      </w:r>
    </w:p>
    <w:p w:rsidR="008C50CD" w:rsidRPr="00786E7E" w:rsidRDefault="008C50CD" w:rsidP="008C50CD">
      <w:pPr>
        <w:pStyle w:val="Textoindependiente"/>
        <w:spacing w:line="360" w:lineRule="auto"/>
        <w:rPr>
          <w:rFonts w:ascii="Arial" w:hAnsi="Arial" w:cs="Arial"/>
          <w:sz w:val="28"/>
        </w:rPr>
      </w:pPr>
    </w:p>
    <w:p w:rsidR="00E55471" w:rsidRPr="00E55471" w:rsidRDefault="00E55471" w:rsidP="00E55471">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E55471">
        <w:rPr>
          <w:rFonts w:ascii="Arial" w:hAnsi="Arial" w:cs="Arial"/>
          <w:sz w:val="24"/>
          <w:szCs w:val="24"/>
        </w:rPr>
        <w:t>El defecto sustantivo o material</w:t>
      </w:r>
    </w:p>
    <w:p w:rsidR="00E55471" w:rsidRDefault="00E55471" w:rsidP="00E55471">
      <w:pPr>
        <w:spacing w:line="360" w:lineRule="auto"/>
        <w:ind w:right="22"/>
        <w:jc w:val="both"/>
        <w:rPr>
          <w:rFonts w:ascii="Arial" w:hAnsi="Arial" w:cs="Arial"/>
          <w:szCs w:val="22"/>
          <w:lang w:val="es-ES_tradnl"/>
        </w:rPr>
      </w:pPr>
    </w:p>
    <w:p w:rsidR="00E55471" w:rsidRDefault="00E55471" w:rsidP="00E55471">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21"/>
      </w:r>
      <w:r>
        <w:rPr>
          <w:rFonts w:ascii="Arial" w:hAnsi="Arial" w:cs="Arial"/>
          <w:szCs w:val="22"/>
          <w:lang w:val="es-ES_tradnl"/>
        </w:rPr>
        <w:t>, luego en otra decisión</w:t>
      </w:r>
      <w:r>
        <w:rPr>
          <w:rStyle w:val="Refdenotaalpie"/>
          <w:rFonts w:ascii="Arial" w:hAnsi="Arial"/>
          <w:szCs w:val="22"/>
          <w:lang w:val="es-ES_tradnl"/>
        </w:rPr>
        <w:footnoteReference w:id="22"/>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ha ido ampliando esa noción, para prodigar protección en varios eventos</w:t>
      </w:r>
      <w:r>
        <w:rPr>
          <w:rStyle w:val="Refdenotaalpie"/>
          <w:rFonts w:ascii="Arial" w:hAnsi="Arial"/>
          <w:szCs w:val="22"/>
          <w:lang w:val="es-ES_tradnl"/>
        </w:rPr>
        <w:footnoteReference w:id="23"/>
      </w:r>
      <w:r>
        <w:rPr>
          <w:rFonts w:ascii="Arial" w:hAnsi="Arial" w:cs="Arial"/>
          <w:szCs w:val="22"/>
          <w:lang w:val="es-ES_tradnl"/>
        </w:rPr>
        <w:t>, al efecto tiene precisadas distintas variables:</w:t>
      </w:r>
    </w:p>
    <w:p w:rsidR="00E55471" w:rsidRDefault="00E55471" w:rsidP="00E55471">
      <w:pPr>
        <w:ind w:left="567" w:right="22"/>
        <w:jc w:val="both"/>
        <w:rPr>
          <w:rFonts w:ascii="Arial" w:hAnsi="Arial" w:cs="Arial"/>
          <w:szCs w:val="22"/>
          <w:lang w:val="es-ES_tradnl"/>
        </w:rPr>
      </w:pPr>
    </w:p>
    <w:p w:rsidR="00E55471" w:rsidRPr="007C12E8" w:rsidRDefault="00E55471" w:rsidP="00E55471">
      <w:pPr>
        <w:ind w:left="567" w:right="567"/>
        <w:jc w:val="both"/>
        <w:rPr>
          <w:rFonts w:ascii="Arial" w:hAnsi="Arial" w:cs="Arial"/>
          <w:iCs/>
          <w:vanish/>
          <w:specVanish/>
        </w:rPr>
      </w:pPr>
      <w:r>
        <w:rPr>
          <w:rFonts w:ascii="Arial" w:hAnsi="Arial" w:cs="Arial"/>
        </w:rPr>
        <w:t>(…)</w:t>
      </w:r>
      <w:r w:rsidRPr="000A1B5D">
        <w:rPr>
          <w:rFonts w:ascii="Arial" w:hAnsi="Arial" w:cs="Arial"/>
        </w:rPr>
        <w:t xml:space="preserve"> </w:t>
      </w:r>
      <w:r w:rsidRPr="00B73E96">
        <w:rPr>
          <w:rFonts w:ascii="Arial" w:hAnsi="Arial" w:cs="Arial"/>
          <w:u w:val="single"/>
        </w:rPr>
        <w:t>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24"/>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5"/>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6"/>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E55471" w:rsidRPr="000A1B5D" w:rsidRDefault="00E55471" w:rsidP="00E55471">
      <w:pPr>
        <w:ind w:left="567" w:right="567"/>
        <w:jc w:val="both"/>
        <w:rPr>
          <w:rFonts w:ascii="Arial" w:hAnsi="Arial" w:cs="Arial"/>
        </w:rPr>
      </w:pPr>
      <w:r w:rsidRPr="007C12E8">
        <w:rPr>
          <w:rStyle w:val="Refdenotaalpie"/>
          <w:rFonts w:ascii="Arial" w:hAnsi="Arial"/>
          <w:iCs/>
        </w:rPr>
        <w:footnoteReference w:id="27"/>
      </w:r>
      <w:r w:rsidRPr="007C12E8">
        <w:rPr>
          <w:rFonts w:ascii="Arial" w:hAnsi="Arial" w:cs="Arial"/>
          <w:iCs/>
        </w:rPr>
        <w:t>.</w:t>
      </w:r>
    </w:p>
    <w:p w:rsidR="00E55471" w:rsidRPr="00B73E96" w:rsidRDefault="00E55471" w:rsidP="00B73E96">
      <w:pPr>
        <w:ind w:left="567" w:right="22"/>
        <w:jc w:val="both"/>
        <w:rPr>
          <w:rFonts w:ascii="Arial" w:hAnsi="Arial" w:cs="Arial"/>
          <w:szCs w:val="22"/>
          <w:lang w:val="es-ES_tradnl"/>
        </w:rPr>
      </w:pPr>
    </w:p>
    <w:p w:rsidR="00175740" w:rsidRPr="00175740" w:rsidRDefault="00175740" w:rsidP="00175740">
      <w:pPr>
        <w:pStyle w:val="Textoindependiente"/>
        <w:spacing w:line="360" w:lineRule="auto"/>
        <w:rPr>
          <w:rFonts w:ascii="Arial" w:hAnsi="Arial" w:cs="Arial"/>
          <w:sz w:val="24"/>
          <w:szCs w:val="24"/>
        </w:rPr>
      </w:pPr>
      <w:r w:rsidRPr="00175740">
        <w:rPr>
          <w:rFonts w:ascii="Arial" w:hAnsi="Arial" w:cs="Arial"/>
          <w:sz w:val="24"/>
          <w:szCs w:val="24"/>
        </w:rPr>
        <w:t xml:space="preserve">Así mismo </w:t>
      </w:r>
      <w:r>
        <w:rPr>
          <w:rFonts w:ascii="Arial" w:hAnsi="Arial" w:cs="Arial"/>
          <w:sz w:val="24"/>
          <w:szCs w:val="24"/>
        </w:rPr>
        <w:t xml:space="preserve">este </w:t>
      </w:r>
      <w:r w:rsidRPr="00175740">
        <w:rPr>
          <w:rFonts w:ascii="Arial" w:hAnsi="Arial" w:cs="Arial"/>
          <w:sz w:val="24"/>
          <w:szCs w:val="24"/>
        </w:rPr>
        <w:t>alto Tribunal Constitucional</w:t>
      </w:r>
      <w:r w:rsidRPr="00175740">
        <w:rPr>
          <w:rStyle w:val="Refdenotaalpie"/>
          <w:rFonts w:ascii="Arial" w:hAnsi="Arial"/>
          <w:sz w:val="24"/>
          <w:szCs w:val="24"/>
        </w:rPr>
        <w:footnoteReference w:id="28"/>
      </w:r>
      <w:r w:rsidRPr="00175740">
        <w:rPr>
          <w:rFonts w:ascii="Arial" w:hAnsi="Arial" w:cs="Arial"/>
          <w:sz w:val="24"/>
          <w:szCs w:val="24"/>
        </w:rPr>
        <w:t xml:space="preserve">, señaló: </w:t>
      </w:r>
    </w:p>
    <w:p w:rsidR="00175740" w:rsidRDefault="00175740" w:rsidP="00175740">
      <w:pPr>
        <w:ind w:left="567" w:right="567"/>
        <w:jc w:val="both"/>
        <w:rPr>
          <w:rFonts w:ascii="Arial" w:hAnsi="Arial" w:cs="Arial"/>
        </w:rPr>
      </w:pPr>
    </w:p>
    <w:p w:rsidR="00175740" w:rsidRPr="00175740" w:rsidRDefault="00175740" w:rsidP="00175740">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w:t>
      </w:r>
      <w:r w:rsidRPr="00175740">
        <w:rPr>
          <w:rFonts w:ascii="Arial" w:hAnsi="Arial" w:cs="Arial"/>
        </w:rPr>
        <w:t xml:space="preserve">inconstitucional, </w:t>
      </w:r>
      <w:r w:rsidRPr="00175740">
        <w:rPr>
          <w:rFonts w:ascii="Arial" w:hAnsi="Arial" w:cs="Arial"/>
          <w:u w:val="single"/>
        </w:rPr>
        <w:t xml:space="preserve">o </w:t>
      </w:r>
      <w:r w:rsidRPr="00175740">
        <w:rPr>
          <w:rFonts w:ascii="Arial" w:hAnsi="Arial" w:cs="Arial"/>
          <w:i/>
          <w:u w:val="single"/>
        </w:rPr>
        <w:t>interprete en forma contraevidente, irrazonable o desproporcionada la norma aplicable</w:t>
      </w:r>
      <w:r w:rsidRPr="00175740">
        <w:rPr>
          <w:rFonts w:ascii="Arial" w:hAnsi="Arial" w:cs="Arial"/>
          <w:i/>
        </w:rPr>
        <w:t>.</w:t>
      </w:r>
      <w:r w:rsidRPr="00175740">
        <w:rPr>
          <w:rFonts w:ascii="Arial" w:hAnsi="Arial" w:cs="Arial"/>
        </w:rPr>
        <w:t xml:space="preserve">  </w:t>
      </w:r>
    </w:p>
    <w:p w:rsidR="00175740" w:rsidRPr="00175740" w:rsidRDefault="00175740" w:rsidP="00175740">
      <w:pPr>
        <w:pStyle w:val="Textoindependiente"/>
        <w:spacing w:line="240" w:lineRule="auto"/>
        <w:rPr>
          <w:rFonts w:ascii="Arial" w:hAnsi="Arial" w:cs="Arial"/>
          <w:sz w:val="24"/>
          <w:szCs w:val="24"/>
        </w:rPr>
      </w:pPr>
    </w:p>
    <w:p w:rsidR="00175740" w:rsidRDefault="00175740" w:rsidP="00175740">
      <w:pPr>
        <w:pStyle w:val="Textoindependiente"/>
        <w:spacing w:line="240" w:lineRule="auto"/>
        <w:ind w:left="567" w:right="567"/>
        <w:rPr>
          <w:rFonts w:ascii="Arial" w:hAnsi="Arial" w:cs="Arial"/>
          <w:spacing w:val="0"/>
          <w:sz w:val="24"/>
          <w:szCs w:val="24"/>
          <w:lang w:val="es-ES"/>
        </w:rPr>
      </w:pPr>
      <w:r w:rsidRPr="00175740">
        <w:rPr>
          <w:rFonts w:ascii="Arial" w:hAnsi="Arial" w:cs="Arial"/>
          <w:spacing w:val="0"/>
          <w:sz w:val="24"/>
          <w:szCs w:val="24"/>
          <w:lang w:val="es-ES"/>
        </w:rPr>
        <w:t>Así las cosas, constituye un defecto material o sustantivo la decisión judicial que se funda en una interpretación indebida de una disposición legal.  (Sublínea fuera de texto).</w:t>
      </w:r>
    </w:p>
    <w:p w:rsidR="0099533C" w:rsidRDefault="0099533C" w:rsidP="00175740">
      <w:pPr>
        <w:pStyle w:val="Textoindependiente"/>
        <w:spacing w:line="240" w:lineRule="auto"/>
        <w:ind w:left="567" w:right="567"/>
        <w:rPr>
          <w:rFonts w:ascii="Arial" w:hAnsi="Arial" w:cs="Arial"/>
          <w:spacing w:val="0"/>
          <w:sz w:val="24"/>
          <w:szCs w:val="24"/>
          <w:lang w:val="es-ES"/>
        </w:rPr>
      </w:pPr>
    </w:p>
    <w:p w:rsidR="0099533C" w:rsidRDefault="0099533C" w:rsidP="00175740">
      <w:pPr>
        <w:pStyle w:val="Textoindependiente"/>
        <w:spacing w:line="240" w:lineRule="auto"/>
        <w:ind w:left="567" w:right="567"/>
        <w:rPr>
          <w:rFonts w:ascii="Arial" w:hAnsi="Arial" w:cs="Arial"/>
          <w:spacing w:val="0"/>
          <w:sz w:val="24"/>
          <w:szCs w:val="24"/>
          <w:lang w:val="es-ES"/>
        </w:rPr>
      </w:pPr>
    </w:p>
    <w:p w:rsidR="0099533C" w:rsidRPr="00175740" w:rsidRDefault="0099533C" w:rsidP="00175740">
      <w:pPr>
        <w:pStyle w:val="Textoindependiente"/>
        <w:spacing w:line="240" w:lineRule="auto"/>
        <w:ind w:left="567" w:right="567"/>
        <w:rPr>
          <w:rFonts w:ascii="Arial" w:hAnsi="Arial" w:cs="Arial"/>
          <w:spacing w:val="0"/>
          <w:sz w:val="24"/>
          <w:szCs w:val="24"/>
          <w:lang w:val="es-ES"/>
        </w:rPr>
      </w:pPr>
    </w:p>
    <w:p w:rsidR="00283803" w:rsidRP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283803">
        <w:rPr>
          <w:rFonts w:ascii="Arial" w:hAnsi="Arial" w:cs="Arial"/>
          <w:sz w:val="24"/>
          <w:szCs w:val="24"/>
        </w:rPr>
        <w:t>EL CASO CONCRETO QUE SE ANALIZA</w:t>
      </w:r>
    </w:p>
    <w:p w:rsidR="00B73E96" w:rsidRDefault="00B73E96" w:rsidP="00FD768F">
      <w:pPr>
        <w:spacing w:line="360" w:lineRule="auto"/>
        <w:jc w:val="both"/>
        <w:rPr>
          <w:rFonts w:ascii="Arial" w:hAnsi="Arial" w:cs="Arial"/>
          <w:lang w:val="es-ES_tradnl"/>
        </w:rPr>
      </w:pPr>
    </w:p>
    <w:p w:rsidR="00175740" w:rsidRDefault="0082026B" w:rsidP="0082026B">
      <w:pPr>
        <w:spacing w:line="360" w:lineRule="auto"/>
        <w:ind w:right="51"/>
        <w:jc w:val="both"/>
        <w:rPr>
          <w:rFonts w:ascii="Arial" w:hAnsi="Arial"/>
        </w:rPr>
      </w:pPr>
      <w:r w:rsidRPr="0082026B">
        <w:rPr>
          <w:rFonts w:ascii="Arial" w:hAnsi="Arial" w:cs="Arial"/>
          <w:lang w:val="es-ES_tradnl"/>
        </w:rPr>
        <w:lastRenderedPageBreak/>
        <w:t xml:space="preserve">Según </w:t>
      </w:r>
      <w:r w:rsidRPr="0082026B">
        <w:rPr>
          <w:rFonts w:ascii="Arial" w:hAnsi="Arial"/>
        </w:rPr>
        <w:t xml:space="preserve">la metodología enseñada por la doctrina constitucional, corresponde realizar el examen de verificación de los presupuestos generales de procedibilidad, para luego pasar al estudio de la causal especial alegada.  </w:t>
      </w:r>
    </w:p>
    <w:p w:rsidR="00175740" w:rsidRDefault="00175740" w:rsidP="0082026B">
      <w:pPr>
        <w:spacing w:line="360" w:lineRule="auto"/>
        <w:ind w:right="51"/>
        <w:jc w:val="both"/>
        <w:rPr>
          <w:rFonts w:ascii="Arial" w:hAnsi="Arial"/>
        </w:rPr>
      </w:pPr>
    </w:p>
    <w:p w:rsidR="00C13EEE" w:rsidRDefault="00C13EEE" w:rsidP="00C13EEE">
      <w:pPr>
        <w:spacing w:line="360" w:lineRule="auto"/>
        <w:ind w:right="51"/>
        <w:jc w:val="both"/>
        <w:rPr>
          <w:rFonts w:ascii="Arial" w:hAnsi="Arial"/>
        </w:rPr>
      </w:pPr>
      <w:r>
        <w:rPr>
          <w:rFonts w:ascii="Arial" w:hAnsi="Arial"/>
        </w:rPr>
        <w:t xml:space="preserve">8.1. La improcedencia por faltar la inmediatez </w:t>
      </w:r>
    </w:p>
    <w:p w:rsidR="00C13EEE" w:rsidRDefault="00C13EEE" w:rsidP="00C13EEE">
      <w:pPr>
        <w:pStyle w:val="Textoindependiente"/>
        <w:spacing w:line="360" w:lineRule="auto"/>
        <w:ind w:left="720"/>
        <w:rPr>
          <w:rFonts w:ascii="Arial" w:hAnsi="Arial"/>
          <w:szCs w:val="24"/>
        </w:rPr>
      </w:pPr>
    </w:p>
    <w:p w:rsidR="00C13EEE" w:rsidRDefault="00C13EEE" w:rsidP="00C13EEE">
      <w:pPr>
        <w:spacing w:line="360" w:lineRule="auto"/>
        <w:jc w:val="both"/>
        <w:rPr>
          <w:rFonts w:ascii="Arial" w:hAnsi="Arial" w:cs="Arial"/>
          <w:lang w:val="es-ES_tradnl"/>
        </w:rPr>
      </w:pPr>
      <w:r>
        <w:rPr>
          <w:rFonts w:ascii="Arial" w:hAnsi="Arial" w:cs="Arial"/>
          <w:lang w:val="es-ES_tradnl"/>
        </w:rPr>
        <w:t xml:space="preserve">Así entonces, como dichos requisitos son concurrentes, esto es, incumplido uno, se torna inane el examen de los demás, menos podrían revisarse los supuestos especiales; por consiguiente, respecto de la pretensión atinente a que se ordene la práctica de dos dictámenes periciales separados, independientes e imparciales, se considera que el análisis debe limitarse a la inmediatez, porque es </w:t>
      </w:r>
      <w:r w:rsidRPr="004802FE">
        <w:rPr>
          <w:rFonts w:ascii="Arial" w:hAnsi="Arial" w:cs="Arial"/>
          <w:lang w:val="es-ES_tradnl"/>
        </w:rPr>
        <w:t xml:space="preserve">el elemento que se advierte ausente y resulta suficiente para el fracaso </w:t>
      </w:r>
      <w:r>
        <w:rPr>
          <w:rFonts w:ascii="Arial" w:hAnsi="Arial" w:cs="Arial"/>
          <w:lang w:val="es-ES_tradnl"/>
        </w:rPr>
        <w:t xml:space="preserve">de los </w:t>
      </w:r>
      <w:r w:rsidRPr="004802FE">
        <w:rPr>
          <w:rFonts w:ascii="Arial" w:hAnsi="Arial" w:cs="Arial"/>
          <w:lang w:val="es-ES_tradnl"/>
        </w:rPr>
        <w:t>amparo</w:t>
      </w:r>
      <w:r>
        <w:rPr>
          <w:rFonts w:ascii="Arial" w:hAnsi="Arial" w:cs="Arial"/>
          <w:lang w:val="es-ES_tradnl"/>
        </w:rPr>
        <w:t>s</w:t>
      </w:r>
      <w:r w:rsidRPr="004802FE">
        <w:rPr>
          <w:rFonts w:ascii="Arial" w:hAnsi="Arial" w:cs="Arial"/>
          <w:lang w:val="es-ES_tradnl"/>
        </w:rPr>
        <w:t>.</w:t>
      </w:r>
    </w:p>
    <w:p w:rsidR="00C13EEE" w:rsidRDefault="00C13EEE" w:rsidP="00C13EEE">
      <w:pPr>
        <w:spacing w:line="360" w:lineRule="auto"/>
        <w:jc w:val="both"/>
        <w:rPr>
          <w:rFonts w:ascii="Arial" w:hAnsi="Arial" w:cs="Arial"/>
          <w:lang w:val="es-ES_tradnl"/>
        </w:rPr>
      </w:pPr>
    </w:p>
    <w:p w:rsidR="0064429A" w:rsidRDefault="00C13EEE" w:rsidP="0064429A">
      <w:pPr>
        <w:spacing w:line="360" w:lineRule="auto"/>
        <w:jc w:val="both"/>
        <w:rPr>
          <w:rFonts w:ascii="Arial" w:hAnsi="Arial" w:cs="Arial"/>
        </w:rPr>
      </w:pPr>
      <w:r>
        <w:rPr>
          <w:rFonts w:ascii="Arial" w:hAnsi="Arial" w:cs="Arial"/>
          <w:lang w:val="es-ES_tradnl"/>
        </w:rPr>
        <w:t xml:space="preserve">Conforme al acervo </w:t>
      </w:r>
      <w:r w:rsidR="004E6D37">
        <w:rPr>
          <w:rFonts w:ascii="Arial" w:hAnsi="Arial" w:cs="Arial"/>
          <w:lang w:val="es-ES_tradnl"/>
        </w:rPr>
        <w:t xml:space="preserve">probatorio </w:t>
      </w:r>
      <w:r>
        <w:rPr>
          <w:rFonts w:ascii="Arial" w:hAnsi="Arial" w:cs="Arial"/>
          <w:lang w:val="es-ES_tradnl"/>
        </w:rPr>
        <w:t xml:space="preserve">el accionante </w:t>
      </w:r>
      <w:r w:rsidR="004E6D37">
        <w:rPr>
          <w:rFonts w:ascii="Arial" w:hAnsi="Arial" w:cs="Arial"/>
          <w:lang w:val="es-ES_tradnl"/>
        </w:rPr>
        <w:t xml:space="preserve">mediante </w:t>
      </w:r>
      <w:r>
        <w:rPr>
          <w:rFonts w:ascii="Arial" w:hAnsi="Arial" w:cs="Arial"/>
          <w:lang w:val="es-ES_tradnl"/>
        </w:rPr>
        <w:t xml:space="preserve">recurso de reposición </w:t>
      </w:r>
      <w:r w:rsidR="00C0299C">
        <w:rPr>
          <w:rFonts w:ascii="Arial" w:hAnsi="Arial" w:cs="Arial"/>
          <w:lang w:val="es-ES_tradnl"/>
        </w:rPr>
        <w:t xml:space="preserve">frente al proveído del 09-07-2015, que </w:t>
      </w:r>
      <w:r w:rsidR="004E6D37">
        <w:rPr>
          <w:rFonts w:ascii="Arial" w:hAnsi="Arial" w:cs="Arial"/>
          <w:lang w:val="es-ES_tradnl"/>
        </w:rPr>
        <w:t xml:space="preserve">extendió el plazo </w:t>
      </w:r>
      <w:r w:rsidR="00C0299C">
        <w:rPr>
          <w:rFonts w:ascii="Arial" w:hAnsi="Arial" w:cs="Arial"/>
          <w:lang w:val="es-ES_tradnl"/>
        </w:rPr>
        <w:t xml:space="preserve">a los peritos para presentar el dictamen, </w:t>
      </w:r>
      <w:r w:rsidR="004E6D37">
        <w:rPr>
          <w:rFonts w:ascii="Arial" w:hAnsi="Arial" w:cs="Arial"/>
          <w:lang w:val="es-ES_tradnl"/>
        </w:rPr>
        <w:t xml:space="preserve">pretendió que se ordenara a los expertos rendir </w:t>
      </w:r>
      <w:r w:rsidR="0064429A">
        <w:rPr>
          <w:rFonts w:ascii="Arial" w:hAnsi="Arial" w:cs="Arial"/>
          <w:lang w:val="es-ES_tradnl"/>
        </w:rPr>
        <w:t xml:space="preserve">de forma separada sus avalúos </w:t>
      </w:r>
      <w:r w:rsidR="00C0299C">
        <w:rPr>
          <w:rFonts w:ascii="Arial" w:hAnsi="Arial" w:cs="Arial"/>
          <w:lang w:val="es-ES_tradnl"/>
        </w:rPr>
        <w:t>(Folio</w:t>
      </w:r>
      <w:r w:rsidR="004E6D37">
        <w:rPr>
          <w:rFonts w:ascii="Arial" w:hAnsi="Arial" w:cs="Arial"/>
          <w:lang w:val="es-ES_tradnl"/>
        </w:rPr>
        <w:t>s</w:t>
      </w:r>
      <w:r w:rsidR="00C0299C">
        <w:rPr>
          <w:rFonts w:ascii="Arial" w:hAnsi="Arial" w:cs="Arial"/>
          <w:lang w:val="es-ES_tradnl"/>
        </w:rPr>
        <w:t xml:space="preserve"> 63</w:t>
      </w:r>
      <w:r w:rsidR="004E6D37">
        <w:rPr>
          <w:rFonts w:ascii="Arial" w:hAnsi="Arial" w:cs="Arial"/>
          <w:lang w:val="es-ES_tradnl"/>
        </w:rPr>
        <w:t xml:space="preserve"> a 66</w:t>
      </w:r>
      <w:r w:rsidR="00C0299C">
        <w:rPr>
          <w:rFonts w:ascii="Arial" w:hAnsi="Arial" w:cs="Arial"/>
          <w:lang w:val="es-ES_tradnl"/>
        </w:rPr>
        <w:t>, ib.)</w:t>
      </w:r>
      <w:r w:rsidR="004E6D37">
        <w:rPr>
          <w:rFonts w:ascii="Arial" w:hAnsi="Arial" w:cs="Arial"/>
          <w:lang w:val="es-ES_tradnl"/>
        </w:rPr>
        <w:t xml:space="preserve">; seguidamente con auto del 29-07-2015 el </w:t>
      </w:r>
      <w:r w:rsidR="004E6D37">
        <w:rPr>
          <w:rFonts w:ascii="Arial" w:hAnsi="Arial" w:cs="Arial"/>
          <w:i/>
          <w:lang w:val="es-ES_tradnl"/>
        </w:rPr>
        <w:t xml:space="preserve">a quo </w:t>
      </w:r>
      <w:r w:rsidR="004E6D37">
        <w:rPr>
          <w:rFonts w:ascii="Arial" w:hAnsi="Arial" w:cs="Arial"/>
          <w:lang w:val="es-ES_tradnl"/>
        </w:rPr>
        <w:t xml:space="preserve">se mantuvo su decisión, notificado </w:t>
      </w:r>
      <w:r w:rsidR="0064429A">
        <w:rPr>
          <w:rFonts w:ascii="Arial" w:hAnsi="Arial" w:cs="Arial"/>
          <w:lang w:val="es-ES_tradnl"/>
        </w:rPr>
        <w:t xml:space="preserve">en estado del día 31-07-2015 (Folios 68 a 71, ib.), </w:t>
      </w:r>
      <w:r w:rsidR="0064429A">
        <w:rPr>
          <w:rFonts w:ascii="Arial" w:hAnsi="Arial" w:cs="Arial"/>
        </w:rPr>
        <w:t>por lo que evidente es que la presente acción carece de inmediatez, pues su interposición (23-02-2016) desborda el plazo de los seis (6) meses fijado por la jurisprudencia tanto constitucional</w:t>
      </w:r>
      <w:r w:rsidR="0064429A" w:rsidRPr="0098589D">
        <w:rPr>
          <w:rStyle w:val="Refdenotaalpie"/>
          <w:rFonts w:ascii="Calibri" w:hAnsi="Calibri" w:cs="Calibri"/>
        </w:rPr>
        <w:footnoteReference w:id="29"/>
      </w:r>
      <w:r w:rsidR="0064429A">
        <w:rPr>
          <w:rFonts w:ascii="Arial" w:hAnsi="Arial" w:cs="Arial"/>
        </w:rPr>
        <w:t xml:space="preserve"> como ordinaria</w:t>
      </w:r>
      <w:r w:rsidR="0064429A">
        <w:rPr>
          <w:rStyle w:val="Refdenotaalpie"/>
          <w:rFonts w:ascii="Arial" w:hAnsi="Arial"/>
        </w:rPr>
        <w:footnoteReference w:id="30"/>
      </w:r>
      <w:r w:rsidR="0064429A">
        <w:rPr>
          <w:rFonts w:ascii="Arial" w:hAnsi="Arial" w:cs="Arial"/>
        </w:rPr>
        <w:t>; como tiempo razonable, ya que transcurrieron aproximadamente siete (7) meses desde su notificación.</w:t>
      </w:r>
    </w:p>
    <w:p w:rsidR="0064429A" w:rsidRDefault="0064429A" w:rsidP="0064429A">
      <w:pPr>
        <w:spacing w:line="360" w:lineRule="auto"/>
        <w:jc w:val="both"/>
        <w:rPr>
          <w:rFonts w:ascii="Arial" w:hAnsi="Arial" w:cs="Arial"/>
        </w:rPr>
      </w:pPr>
    </w:p>
    <w:p w:rsidR="0064429A" w:rsidRDefault="0064429A" w:rsidP="0064429A">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31"/>
      </w:r>
      <w:r>
        <w:rPr>
          <w:rFonts w:ascii="Arial" w:hAnsi="Arial" w:cs="Arial"/>
        </w:rPr>
        <w:t>; circunstancias que no fueron expuestas ni probadas en el trámite, además de que la parte actora esta asistida por un profesional del derecho.</w:t>
      </w:r>
    </w:p>
    <w:p w:rsidR="0064429A" w:rsidRDefault="0064429A" w:rsidP="0064429A">
      <w:pPr>
        <w:spacing w:line="360" w:lineRule="auto"/>
        <w:jc w:val="both"/>
        <w:rPr>
          <w:rFonts w:ascii="Arial" w:hAnsi="Arial" w:cs="Arial"/>
        </w:rPr>
      </w:pPr>
    </w:p>
    <w:p w:rsidR="0064429A" w:rsidRDefault="0064429A" w:rsidP="0064429A">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w:t>
      </w:r>
      <w:r>
        <w:rPr>
          <w:rFonts w:ascii="Arial" w:hAnsi="Arial"/>
        </w:rPr>
        <w:t xml:space="preserve">en cuanto a la </w:t>
      </w:r>
      <w:r w:rsidR="0099533C">
        <w:rPr>
          <w:rFonts w:ascii="Arial" w:hAnsi="Arial"/>
        </w:rPr>
        <w:t>pretensión que refiere</w:t>
      </w:r>
      <w:r>
        <w:rPr>
          <w:rFonts w:ascii="Arial" w:hAnsi="Arial"/>
        </w:rPr>
        <w:t xml:space="preserve"> a que los peritos designados presenten sus dictámenes por separado y no de forma conjunta, </w:t>
      </w:r>
      <w:r w:rsidRPr="00486763">
        <w:rPr>
          <w:rFonts w:ascii="Arial" w:hAnsi="Arial"/>
        </w:rPr>
        <w:t xml:space="preserve">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w:t>
      </w:r>
      <w:r>
        <w:rPr>
          <w:rFonts w:ascii="Arial" w:hAnsi="Arial"/>
        </w:rPr>
        <w:t>inmediatez.</w:t>
      </w:r>
    </w:p>
    <w:p w:rsidR="0099533C" w:rsidRDefault="0099533C" w:rsidP="0064429A">
      <w:pPr>
        <w:spacing w:line="360" w:lineRule="auto"/>
        <w:ind w:right="51"/>
        <w:jc w:val="both"/>
        <w:rPr>
          <w:rFonts w:ascii="Arial" w:hAnsi="Arial"/>
        </w:rPr>
      </w:pPr>
    </w:p>
    <w:p w:rsidR="0064429A" w:rsidRPr="0099533C" w:rsidRDefault="0064429A" w:rsidP="0099533C">
      <w:pPr>
        <w:pStyle w:val="Prrafodelista"/>
        <w:numPr>
          <w:ilvl w:val="1"/>
          <w:numId w:val="40"/>
        </w:numPr>
        <w:spacing w:line="360" w:lineRule="auto"/>
        <w:jc w:val="both"/>
        <w:rPr>
          <w:rFonts w:ascii="Arial" w:hAnsi="Arial" w:cs="Arial"/>
          <w:sz w:val="24"/>
          <w:szCs w:val="24"/>
          <w:lang w:val="es-ES_tradnl"/>
        </w:rPr>
      </w:pPr>
      <w:r w:rsidRPr="0099533C">
        <w:rPr>
          <w:rFonts w:ascii="Arial" w:hAnsi="Arial" w:cs="Arial"/>
          <w:sz w:val="24"/>
          <w:szCs w:val="24"/>
          <w:lang w:val="es-ES_tradnl"/>
        </w:rPr>
        <w:lastRenderedPageBreak/>
        <w:t>El defecto material o desconocimiento del precedente</w:t>
      </w:r>
    </w:p>
    <w:p w:rsidR="005B3D34" w:rsidRPr="0099533C" w:rsidRDefault="005B3D34" w:rsidP="0064429A">
      <w:pPr>
        <w:spacing w:line="360" w:lineRule="auto"/>
        <w:jc w:val="both"/>
        <w:rPr>
          <w:rFonts w:ascii="Arial" w:hAnsi="Arial" w:cs="Arial"/>
          <w:sz w:val="14"/>
          <w:lang w:val="es-ES_tradnl"/>
        </w:rPr>
      </w:pPr>
    </w:p>
    <w:p w:rsidR="0064429A" w:rsidRDefault="0064429A" w:rsidP="0064429A">
      <w:pPr>
        <w:spacing w:line="360" w:lineRule="auto"/>
        <w:jc w:val="both"/>
        <w:rPr>
          <w:rFonts w:ascii="Arial" w:hAnsi="Arial"/>
        </w:rPr>
      </w:pPr>
      <w:r w:rsidRPr="004802FE">
        <w:rPr>
          <w:rFonts w:ascii="Arial" w:hAnsi="Arial" w:cs="Arial"/>
          <w:lang w:val="es-ES_tradnl"/>
        </w:rPr>
        <w:t xml:space="preserve">No sucede lo mismo con relación </w:t>
      </w:r>
      <w:r>
        <w:rPr>
          <w:rFonts w:ascii="Arial" w:hAnsi="Arial" w:cs="Arial"/>
          <w:lang w:val="es-ES_tradnl"/>
        </w:rPr>
        <w:t xml:space="preserve">a la solicitud de que se </w:t>
      </w:r>
      <w:r w:rsidR="005B3D34">
        <w:rPr>
          <w:rFonts w:ascii="Arial" w:hAnsi="Arial" w:cs="Arial"/>
          <w:lang w:val="es-ES_tradnl"/>
        </w:rPr>
        <w:t>ordene la práctica de un tercer dictamen pericial por perito del IGAC, para dirimir la controversia entre los dos primeros dictámenes</w:t>
      </w:r>
      <w:r w:rsidRPr="004802FE">
        <w:rPr>
          <w:rFonts w:ascii="Arial" w:hAnsi="Arial" w:cs="Arial"/>
          <w:lang w:val="es-ES_tradnl"/>
        </w:rPr>
        <w:t xml:space="preserve">, pues </w:t>
      </w:r>
      <w:r>
        <w:rPr>
          <w:rFonts w:ascii="Arial" w:hAnsi="Arial" w:cs="Arial"/>
          <w:lang w:val="es-ES_tradnl"/>
        </w:rPr>
        <w:t xml:space="preserve">están </w:t>
      </w:r>
      <w:r w:rsidRPr="004802FE">
        <w:rPr>
          <w:rFonts w:ascii="Arial" w:hAnsi="Arial" w:cs="Arial"/>
          <w:lang w:val="es-ES_tradnl"/>
        </w:rPr>
        <w:t>debidamente cumplidos los requisitos generales de procedibilidad</w:t>
      </w:r>
      <w:r w:rsidRPr="004802FE">
        <w:rPr>
          <w:rFonts w:ascii="Arial" w:hAnsi="Arial"/>
        </w:rPr>
        <w:t xml:space="preserve">. El asunto es de relevancia constitucional; se agotó </w:t>
      </w:r>
      <w:r w:rsidRPr="004802FE">
        <w:rPr>
          <w:rFonts w:ascii="Arial" w:hAnsi="Arial"/>
          <w:lang w:val="es-CO"/>
        </w:rPr>
        <w:t xml:space="preserve">el medio ordinario, recurso de reposición, </w:t>
      </w:r>
      <w:r w:rsidRPr="004802FE">
        <w:rPr>
          <w:rFonts w:ascii="Arial" w:hAnsi="Arial"/>
        </w:rPr>
        <w:t xml:space="preserve">ante </w:t>
      </w:r>
      <w:r>
        <w:rPr>
          <w:rFonts w:ascii="Arial" w:hAnsi="Arial"/>
        </w:rPr>
        <w:t xml:space="preserve">el </w:t>
      </w:r>
      <w:r w:rsidRPr="004802FE">
        <w:rPr>
          <w:rFonts w:ascii="Arial" w:hAnsi="Arial"/>
          <w:i/>
        </w:rPr>
        <w:t>a quo</w:t>
      </w:r>
      <w:r w:rsidRPr="004802FE">
        <w:rPr>
          <w:rFonts w:ascii="Arial" w:hAnsi="Arial"/>
        </w:rPr>
        <w:t xml:space="preserve"> (Subsidiariedad); la</w:t>
      </w:r>
      <w:r>
        <w:rPr>
          <w:rFonts w:ascii="Arial" w:hAnsi="Arial"/>
        </w:rPr>
        <w:t>s</w:t>
      </w:r>
      <w:r w:rsidRPr="004802FE">
        <w:rPr>
          <w:rFonts w:ascii="Arial" w:hAnsi="Arial"/>
        </w:rPr>
        <w:t xml:space="preserve"> </w:t>
      </w:r>
      <w:r>
        <w:rPr>
          <w:rFonts w:ascii="Arial" w:hAnsi="Arial"/>
        </w:rPr>
        <w:t xml:space="preserve">decisiones </w:t>
      </w:r>
      <w:r w:rsidRPr="004802FE">
        <w:rPr>
          <w:rFonts w:ascii="Arial" w:hAnsi="Arial"/>
        </w:rPr>
        <w:t>reprochada</w:t>
      </w:r>
      <w:r>
        <w:rPr>
          <w:rFonts w:ascii="Arial" w:hAnsi="Arial"/>
        </w:rPr>
        <w:t>s</w:t>
      </w:r>
      <w:r w:rsidRPr="004802FE">
        <w:rPr>
          <w:rFonts w:ascii="Arial" w:hAnsi="Arial"/>
        </w:rPr>
        <w:t xml:space="preserve"> no </w:t>
      </w:r>
      <w:r>
        <w:rPr>
          <w:rFonts w:ascii="Arial" w:hAnsi="Arial"/>
        </w:rPr>
        <w:t>son</w:t>
      </w:r>
      <w:r w:rsidRPr="004802FE">
        <w:rPr>
          <w:rFonts w:ascii="Arial" w:hAnsi="Arial"/>
        </w:rPr>
        <w:t xml:space="preserve"> de tutela; hay inmediatez porque la providencia</w:t>
      </w:r>
      <w:r w:rsidR="005B3D34">
        <w:rPr>
          <w:rFonts w:ascii="Arial" w:hAnsi="Arial"/>
        </w:rPr>
        <w:t xml:space="preserve"> que resolvió</w:t>
      </w:r>
      <w:r w:rsidRPr="004802FE">
        <w:rPr>
          <w:rFonts w:ascii="Arial" w:hAnsi="Arial"/>
        </w:rPr>
        <w:t xml:space="preserve"> </w:t>
      </w:r>
      <w:r w:rsidR="005B3D34">
        <w:rPr>
          <w:rFonts w:ascii="Arial" w:hAnsi="Arial"/>
        </w:rPr>
        <w:t xml:space="preserve">el </w:t>
      </w:r>
      <w:r w:rsidRPr="004802FE">
        <w:rPr>
          <w:rFonts w:ascii="Arial" w:hAnsi="Arial"/>
        </w:rPr>
        <w:t>recurso de reposición y neg</w:t>
      </w:r>
      <w:r w:rsidR="005B3D34">
        <w:rPr>
          <w:rFonts w:ascii="Arial" w:hAnsi="Arial"/>
        </w:rPr>
        <w:t>ó</w:t>
      </w:r>
      <w:r>
        <w:rPr>
          <w:rFonts w:ascii="Arial" w:hAnsi="Arial"/>
        </w:rPr>
        <w:t xml:space="preserve"> </w:t>
      </w:r>
      <w:r w:rsidRPr="004802FE">
        <w:rPr>
          <w:rFonts w:ascii="Arial" w:hAnsi="Arial"/>
        </w:rPr>
        <w:t>la</w:t>
      </w:r>
      <w:r w:rsidR="005B3D34">
        <w:rPr>
          <w:rFonts w:ascii="Arial" w:hAnsi="Arial"/>
        </w:rPr>
        <w:t xml:space="preserve"> apelación</w:t>
      </w:r>
      <w:r w:rsidRPr="004802FE">
        <w:rPr>
          <w:rFonts w:ascii="Arial" w:hAnsi="Arial"/>
        </w:rPr>
        <w:t xml:space="preserve"> está</w:t>
      </w:r>
      <w:r w:rsidR="005B3D34">
        <w:rPr>
          <w:rFonts w:ascii="Arial" w:hAnsi="Arial"/>
        </w:rPr>
        <w:t xml:space="preserve"> </w:t>
      </w:r>
      <w:r w:rsidRPr="004802FE">
        <w:rPr>
          <w:rFonts w:ascii="Arial" w:hAnsi="Arial"/>
        </w:rPr>
        <w:t xml:space="preserve">fechada </w:t>
      </w:r>
      <w:r w:rsidR="005B3D34">
        <w:rPr>
          <w:rFonts w:ascii="Arial" w:hAnsi="Arial"/>
        </w:rPr>
        <w:t xml:space="preserve">05-10-2015 </w:t>
      </w:r>
      <w:r>
        <w:rPr>
          <w:rFonts w:ascii="Arial" w:hAnsi="Arial"/>
        </w:rPr>
        <w:t xml:space="preserve">(Folios </w:t>
      </w:r>
      <w:r w:rsidR="005B3D34">
        <w:rPr>
          <w:rFonts w:ascii="Arial" w:hAnsi="Arial"/>
        </w:rPr>
        <w:t>90 a 94</w:t>
      </w:r>
      <w:r>
        <w:rPr>
          <w:rFonts w:ascii="Arial" w:hAnsi="Arial"/>
        </w:rPr>
        <w:t xml:space="preserve">, ib.) y </w:t>
      </w:r>
      <w:r w:rsidR="005B3D34">
        <w:rPr>
          <w:rFonts w:ascii="Arial" w:hAnsi="Arial"/>
        </w:rPr>
        <w:t xml:space="preserve">la acción fue instaurada </w:t>
      </w:r>
      <w:r>
        <w:rPr>
          <w:rFonts w:ascii="Arial" w:hAnsi="Arial"/>
        </w:rPr>
        <w:t xml:space="preserve">el </w:t>
      </w:r>
      <w:r w:rsidR="005B3D34">
        <w:rPr>
          <w:rFonts w:ascii="Arial" w:hAnsi="Arial"/>
        </w:rPr>
        <w:t>23-02-2016 (Folio</w:t>
      </w:r>
      <w:r>
        <w:rPr>
          <w:rFonts w:ascii="Arial" w:hAnsi="Arial"/>
        </w:rPr>
        <w:t xml:space="preserve"> </w:t>
      </w:r>
      <w:r w:rsidR="005B3D34">
        <w:rPr>
          <w:rFonts w:ascii="Arial" w:hAnsi="Arial"/>
        </w:rPr>
        <w:t>116</w:t>
      </w:r>
      <w:r>
        <w:rPr>
          <w:rFonts w:ascii="Arial" w:hAnsi="Arial"/>
        </w:rPr>
        <w:t>, ib.)</w:t>
      </w:r>
      <w:r w:rsidRPr="004802FE">
        <w:rPr>
          <w:rFonts w:ascii="Arial" w:hAnsi="Arial"/>
        </w:rPr>
        <w:t>; y la irregularidad realzada por la parte, resulta ser trascedente para el trámite del asunto.</w:t>
      </w:r>
    </w:p>
    <w:p w:rsidR="0064429A" w:rsidRPr="004802FE" w:rsidRDefault="0064429A" w:rsidP="0064429A">
      <w:pPr>
        <w:spacing w:line="360" w:lineRule="auto"/>
        <w:jc w:val="both"/>
        <w:rPr>
          <w:rFonts w:ascii="Arial" w:hAnsi="Arial"/>
        </w:rPr>
      </w:pPr>
    </w:p>
    <w:p w:rsidR="001D2CCE" w:rsidRDefault="001D2CCE" w:rsidP="001D2CCE">
      <w:pPr>
        <w:spacing w:line="360" w:lineRule="auto"/>
        <w:jc w:val="both"/>
        <w:rPr>
          <w:rFonts w:ascii="Arial" w:hAnsi="Arial" w:cs="Arial"/>
          <w:bCs/>
        </w:rPr>
      </w:pPr>
      <w:r w:rsidRPr="001D2CCE">
        <w:rPr>
          <w:rFonts w:ascii="Arial" w:hAnsi="Arial" w:cs="Arial"/>
          <w:bCs/>
        </w:rPr>
        <w:t xml:space="preserve">El </w:t>
      </w:r>
      <w:r w:rsidRPr="001D2CCE">
        <w:rPr>
          <w:rFonts w:ascii="Arial" w:hAnsi="Arial" w:cs="Arial"/>
          <w:bCs/>
          <w:lang w:val="es-ES_tradnl"/>
        </w:rPr>
        <w:t>Capítulo II del Título II de la </w:t>
      </w:r>
      <w:hyperlink r:id="rId9" w:tooltip="Haga clic para abrir TODA la Ley 56 de 1981" w:history="1">
        <w:r w:rsidRPr="001D2CCE">
          <w:rPr>
            <w:rStyle w:val="Hipervnculo"/>
            <w:rFonts w:ascii="Arial" w:hAnsi="Arial" w:cs="Arial"/>
            <w:bCs/>
            <w:color w:val="auto"/>
            <w:u w:val="none"/>
            <w:lang w:val="es-ES_tradnl"/>
          </w:rPr>
          <w:t>Ley 56 de 1981</w:t>
        </w:r>
      </w:hyperlink>
      <w:r>
        <w:rPr>
          <w:rFonts w:ascii="Arial" w:hAnsi="Arial" w:cs="Arial"/>
          <w:bCs/>
        </w:rPr>
        <w:t xml:space="preserve"> establece el procedimiento para adelantar el trámite de imposición de </w:t>
      </w:r>
      <w:r w:rsidRPr="001D2CCE">
        <w:rPr>
          <w:rFonts w:ascii="Arial" w:hAnsi="Arial" w:cs="Arial"/>
          <w:bCs/>
        </w:rPr>
        <w:t>servidumbre pública de conducción de energía eléctrica</w:t>
      </w:r>
      <w:r w:rsidR="002E08D8">
        <w:rPr>
          <w:rFonts w:ascii="Arial" w:hAnsi="Arial" w:cs="Arial"/>
          <w:bCs/>
        </w:rPr>
        <w:t>,</w:t>
      </w:r>
      <w:r>
        <w:rPr>
          <w:rFonts w:ascii="Arial" w:hAnsi="Arial" w:cs="Arial"/>
          <w:bCs/>
        </w:rPr>
        <w:t xml:space="preserve"> en </w:t>
      </w:r>
      <w:r w:rsidR="002E08D8">
        <w:rPr>
          <w:rFonts w:ascii="Arial" w:hAnsi="Arial" w:cs="Arial"/>
          <w:bCs/>
        </w:rPr>
        <w:t>su</w:t>
      </w:r>
      <w:r>
        <w:rPr>
          <w:rFonts w:ascii="Arial" w:hAnsi="Arial" w:cs="Arial"/>
          <w:bCs/>
        </w:rPr>
        <w:t xml:space="preserve"> artículo 27 establece la obligación de </w:t>
      </w:r>
      <w:r w:rsidRPr="001D2CCE">
        <w:rPr>
          <w:rFonts w:ascii="Arial" w:hAnsi="Arial" w:cs="Arial"/>
          <w:bCs/>
          <w:lang w:val="es-ES_tradnl"/>
        </w:rPr>
        <w:t xml:space="preserve">la entidad de derecho público </w:t>
      </w:r>
      <w:r>
        <w:rPr>
          <w:rFonts w:ascii="Arial" w:hAnsi="Arial" w:cs="Arial"/>
          <w:bCs/>
          <w:lang w:val="es-ES_tradnl"/>
        </w:rPr>
        <w:t xml:space="preserve">de </w:t>
      </w:r>
      <w:r w:rsidRPr="001D2CCE">
        <w:rPr>
          <w:rFonts w:ascii="Arial" w:hAnsi="Arial" w:cs="Arial"/>
          <w:bCs/>
          <w:lang w:val="es-ES_tradnl"/>
        </w:rPr>
        <w:t xml:space="preserve">promover </w:t>
      </w:r>
      <w:r>
        <w:rPr>
          <w:rFonts w:ascii="Arial" w:hAnsi="Arial" w:cs="Arial"/>
          <w:bCs/>
          <w:lang w:val="es-ES_tradnl"/>
        </w:rPr>
        <w:t xml:space="preserve">el proceso respectivo e indica que serán aplicables las reglas generales </w:t>
      </w:r>
      <w:r w:rsidRPr="001D2CCE">
        <w:rPr>
          <w:rFonts w:ascii="Arial" w:hAnsi="Arial" w:cs="Arial"/>
          <w:bCs/>
        </w:rPr>
        <w:t xml:space="preserve">contendidas en los libros 1 y 2 del </w:t>
      </w:r>
      <w:r>
        <w:rPr>
          <w:rFonts w:ascii="Arial" w:hAnsi="Arial" w:cs="Arial"/>
          <w:bCs/>
        </w:rPr>
        <w:t>CPC.</w:t>
      </w:r>
    </w:p>
    <w:p w:rsidR="001D2CCE" w:rsidRDefault="001D2CCE" w:rsidP="001D2CCE">
      <w:pPr>
        <w:spacing w:line="360" w:lineRule="auto"/>
        <w:jc w:val="both"/>
        <w:rPr>
          <w:rFonts w:ascii="Arial" w:hAnsi="Arial" w:cs="Arial"/>
          <w:bCs/>
        </w:rPr>
      </w:pPr>
    </w:p>
    <w:p w:rsidR="001D2CCE" w:rsidRDefault="001D2CCE" w:rsidP="001D2CCE">
      <w:pPr>
        <w:spacing w:line="360" w:lineRule="auto"/>
        <w:jc w:val="both"/>
        <w:rPr>
          <w:rFonts w:ascii="Arial" w:hAnsi="Arial" w:cs="Arial"/>
          <w:color w:val="000000"/>
          <w:shd w:val="clear" w:color="auto" w:fill="FFFFFF"/>
        </w:rPr>
      </w:pPr>
      <w:r>
        <w:rPr>
          <w:rFonts w:ascii="Arial" w:hAnsi="Arial" w:cs="Arial"/>
          <w:bCs/>
        </w:rPr>
        <w:t xml:space="preserve">Asimismo, </w:t>
      </w:r>
      <w:r w:rsidR="002E08D8">
        <w:rPr>
          <w:rFonts w:ascii="Arial" w:hAnsi="Arial" w:cs="Arial"/>
          <w:bCs/>
        </w:rPr>
        <w:t xml:space="preserve">señala </w:t>
      </w:r>
      <w:r>
        <w:rPr>
          <w:rFonts w:ascii="Arial" w:hAnsi="Arial" w:cs="Arial"/>
          <w:bCs/>
        </w:rPr>
        <w:t xml:space="preserve">el artículo 29 que: </w:t>
      </w:r>
      <w:r w:rsidRPr="00EF623E">
        <w:rPr>
          <w:rFonts w:ascii="Arial" w:hAnsi="Arial" w:cs="Arial"/>
          <w:bCs/>
          <w:i/>
          <w:sz w:val="22"/>
        </w:rPr>
        <w:t xml:space="preserve">“(…) </w:t>
      </w:r>
      <w:r w:rsidRPr="00EF623E">
        <w:rPr>
          <w:rFonts w:ascii="Arial" w:hAnsi="Arial" w:cs="Arial"/>
          <w:i/>
          <w:color w:val="000000"/>
          <w:sz w:val="22"/>
          <w:shd w:val="clear" w:color="auto" w:fill="FFFFFF"/>
        </w:rPr>
        <w:t xml:space="preserve">Cuando el demandado no estuviere conforme con el estimativo de los perjuicios, podrá pedir (…), que por peritos designados por el juez se practique avalúos de los daños que se causen y tasen la indemnización </w:t>
      </w:r>
      <w:r w:rsidR="00EF623E" w:rsidRPr="00EF623E">
        <w:rPr>
          <w:rFonts w:ascii="Arial" w:hAnsi="Arial" w:cs="Arial"/>
          <w:i/>
          <w:color w:val="000000"/>
          <w:sz w:val="22"/>
          <w:shd w:val="clear" w:color="auto" w:fill="FFFFFF"/>
        </w:rPr>
        <w:t>(…)</w:t>
      </w:r>
      <w:r w:rsidRPr="00EF623E">
        <w:rPr>
          <w:rFonts w:ascii="Arial" w:hAnsi="Arial" w:cs="Arial"/>
          <w:i/>
          <w:color w:val="000000"/>
          <w:sz w:val="22"/>
          <w:shd w:val="clear" w:color="auto" w:fill="FFFFFF"/>
        </w:rPr>
        <w:t xml:space="preserve">. Los peritos se nombrarán conforme a lo indicado en el </w:t>
      </w:r>
      <w:r w:rsidR="00EF623E" w:rsidRPr="00EF623E">
        <w:rPr>
          <w:rFonts w:ascii="Arial" w:hAnsi="Arial" w:cs="Arial"/>
          <w:i/>
          <w:color w:val="000000"/>
          <w:sz w:val="22"/>
          <w:shd w:val="clear" w:color="auto" w:fill="FFFFFF"/>
        </w:rPr>
        <w:t>artículo</w:t>
      </w:r>
      <w:r w:rsidRPr="00EF623E">
        <w:rPr>
          <w:rFonts w:ascii="Arial" w:hAnsi="Arial" w:cs="Arial"/>
          <w:i/>
          <w:color w:val="000000"/>
          <w:sz w:val="22"/>
          <w:shd w:val="clear" w:color="auto" w:fill="FFFFFF"/>
        </w:rPr>
        <w:t xml:space="preserve"> 21 de esta Ley.</w:t>
      </w:r>
      <w:r w:rsidR="00EF623E" w:rsidRPr="00EF623E">
        <w:rPr>
          <w:rFonts w:ascii="Arial" w:hAnsi="Arial" w:cs="Arial"/>
          <w:i/>
          <w:color w:val="000000"/>
          <w:sz w:val="22"/>
          <w:shd w:val="clear" w:color="auto" w:fill="FFFFFF"/>
        </w:rPr>
        <w:t>”</w:t>
      </w:r>
    </w:p>
    <w:p w:rsidR="00EF623E" w:rsidRDefault="00EF623E" w:rsidP="001D2CCE">
      <w:pPr>
        <w:spacing w:line="360" w:lineRule="auto"/>
        <w:jc w:val="both"/>
        <w:rPr>
          <w:rFonts w:ascii="Arial" w:hAnsi="Arial" w:cs="Arial"/>
          <w:color w:val="000000"/>
          <w:shd w:val="clear" w:color="auto" w:fill="FFFFFF"/>
        </w:rPr>
      </w:pPr>
    </w:p>
    <w:p w:rsidR="00EF623E" w:rsidRDefault="00EF623E" w:rsidP="00EF623E">
      <w:pPr>
        <w:spacing w:line="360" w:lineRule="auto"/>
        <w:jc w:val="both"/>
        <w:rPr>
          <w:rFonts w:ascii="Arial" w:hAnsi="Arial" w:cs="Arial"/>
          <w:bCs/>
        </w:rPr>
      </w:pPr>
      <w:r w:rsidRPr="00EF623E">
        <w:rPr>
          <w:rFonts w:ascii="Arial" w:hAnsi="Arial" w:cs="Arial"/>
          <w:color w:val="000000"/>
          <w:shd w:val="clear" w:color="auto" w:fill="FFFFFF"/>
        </w:rPr>
        <w:t xml:space="preserve">En aquel evento se designarán dos peritos, uno de la lista de auxiliares y el otro </w:t>
      </w:r>
      <w:r>
        <w:rPr>
          <w:rFonts w:ascii="Arial" w:hAnsi="Arial" w:cs="Arial"/>
          <w:color w:val="000000"/>
          <w:shd w:val="clear" w:color="auto" w:fill="FFFFFF"/>
        </w:rPr>
        <w:t xml:space="preserve">del </w:t>
      </w:r>
      <w:r w:rsidRPr="00EF623E">
        <w:rPr>
          <w:rFonts w:ascii="Arial" w:hAnsi="Arial" w:cs="Arial"/>
          <w:color w:val="000000"/>
          <w:shd w:val="clear" w:color="auto" w:fill="FFFFFF"/>
        </w:rPr>
        <w:t>IGAC</w:t>
      </w:r>
      <w:r>
        <w:rPr>
          <w:rFonts w:ascii="Arial" w:hAnsi="Arial" w:cs="Arial"/>
          <w:color w:val="000000"/>
          <w:shd w:val="clear" w:color="auto" w:fill="FFFFFF"/>
        </w:rPr>
        <w:t xml:space="preserve"> y</w:t>
      </w:r>
      <w:r w:rsidRPr="00EF623E">
        <w:rPr>
          <w:rFonts w:ascii="Arial" w:hAnsi="Arial" w:cs="Arial"/>
          <w:color w:val="000000"/>
          <w:shd w:val="clear" w:color="auto" w:fill="FFFFFF"/>
        </w:rPr>
        <w:t xml:space="preserve"> </w:t>
      </w:r>
      <w:r w:rsidRPr="00EF623E">
        <w:rPr>
          <w:rFonts w:ascii="Arial" w:hAnsi="Arial" w:cs="Arial"/>
          <w:i/>
          <w:color w:val="000000"/>
          <w:sz w:val="22"/>
          <w:shd w:val="clear" w:color="auto" w:fill="FFFFFF"/>
        </w:rPr>
        <w:t xml:space="preserve">“(…) En caso de desacuerdo en el dictamen se designará un tercer perito, </w:t>
      </w:r>
      <w:r w:rsidRPr="00EF623E">
        <w:rPr>
          <w:rFonts w:ascii="Arial" w:hAnsi="Arial" w:cs="Arial"/>
          <w:i/>
          <w:color w:val="000000"/>
          <w:sz w:val="22"/>
          <w:u w:val="single"/>
          <w:shd w:val="clear" w:color="auto" w:fill="FFFFFF"/>
        </w:rPr>
        <w:t>dirimente</w:t>
      </w:r>
      <w:r w:rsidRPr="00EF623E">
        <w:rPr>
          <w:rFonts w:ascii="Arial" w:hAnsi="Arial" w:cs="Arial"/>
          <w:i/>
          <w:color w:val="000000"/>
          <w:sz w:val="22"/>
          <w:shd w:val="clear" w:color="auto" w:fill="FFFFFF"/>
        </w:rPr>
        <w:t>, de la respectiva lista del Instituto Geográfico Agustín Codazzi.”</w:t>
      </w:r>
      <w:r w:rsidRPr="00EF623E">
        <w:rPr>
          <w:rFonts w:ascii="Arial" w:hAnsi="Arial" w:cs="Arial"/>
          <w:color w:val="000000"/>
          <w:shd w:val="clear" w:color="auto" w:fill="FFFFFF"/>
        </w:rPr>
        <w:t xml:space="preserve"> (Artículos 21, Ley 56 de 1981)</w:t>
      </w:r>
      <w:r w:rsidR="001D2CCE" w:rsidRPr="00EF623E">
        <w:rPr>
          <w:rFonts w:ascii="Arial" w:hAnsi="Arial" w:cs="Arial"/>
          <w:bCs/>
          <w:lang w:val="es-ES_tradnl"/>
        </w:rPr>
        <w:t>.</w:t>
      </w:r>
      <w:r>
        <w:rPr>
          <w:rFonts w:ascii="Arial" w:hAnsi="Arial" w:cs="Arial"/>
          <w:bCs/>
          <w:lang w:val="es-ES_tradnl"/>
        </w:rPr>
        <w:t xml:space="preserve"> </w:t>
      </w:r>
      <w:r w:rsidRPr="00EF623E">
        <w:rPr>
          <w:rFonts w:ascii="Arial" w:hAnsi="Arial" w:cs="Arial"/>
          <w:bCs/>
        </w:rPr>
        <w:t xml:space="preserve">Directriz que se repite en los artículos 3-5º del Decreto </w:t>
      </w:r>
      <w:r w:rsidRPr="00EF623E">
        <w:rPr>
          <w:rFonts w:ascii="Arial" w:hAnsi="Arial" w:cs="Arial"/>
          <w:bCs/>
          <w:lang w:val="es-ES_tradnl"/>
        </w:rPr>
        <w:t xml:space="preserve">2580 de 1985 y </w:t>
      </w:r>
      <w:r w:rsidRPr="00EF623E">
        <w:rPr>
          <w:rFonts w:ascii="Arial" w:hAnsi="Arial" w:cs="Arial"/>
          <w:bCs/>
          <w:lang w:val="es-CO"/>
        </w:rPr>
        <w:t xml:space="preserve">2.2.3.7.5.3-5 del </w:t>
      </w:r>
      <w:r w:rsidRPr="00EF623E">
        <w:rPr>
          <w:rFonts w:ascii="Arial" w:hAnsi="Arial" w:cs="Arial"/>
          <w:bCs/>
        </w:rPr>
        <w:t xml:space="preserve">Decreto 1073 </w:t>
      </w:r>
      <w:r>
        <w:rPr>
          <w:rFonts w:ascii="Arial" w:hAnsi="Arial" w:cs="Arial"/>
          <w:bCs/>
        </w:rPr>
        <w:t xml:space="preserve">de </w:t>
      </w:r>
      <w:r w:rsidRPr="00EF623E">
        <w:rPr>
          <w:rFonts w:ascii="Arial" w:hAnsi="Arial" w:cs="Arial"/>
          <w:bCs/>
        </w:rPr>
        <w:t>2015</w:t>
      </w:r>
      <w:r>
        <w:rPr>
          <w:rFonts w:ascii="Arial" w:hAnsi="Arial" w:cs="Arial"/>
          <w:bCs/>
        </w:rPr>
        <w:t>.</w:t>
      </w:r>
    </w:p>
    <w:p w:rsidR="00EF623E" w:rsidRDefault="00EF623E" w:rsidP="00EF623E">
      <w:pPr>
        <w:spacing w:line="360" w:lineRule="auto"/>
        <w:jc w:val="both"/>
        <w:rPr>
          <w:rFonts w:ascii="Arial" w:hAnsi="Arial" w:cs="Arial"/>
          <w:bCs/>
        </w:rPr>
      </w:pPr>
    </w:p>
    <w:p w:rsidR="00205002" w:rsidRDefault="00205002" w:rsidP="00EF623E">
      <w:pPr>
        <w:spacing w:line="360" w:lineRule="auto"/>
        <w:jc w:val="both"/>
        <w:rPr>
          <w:rFonts w:ascii="Arial" w:hAnsi="Arial" w:cs="Arial"/>
          <w:bCs/>
          <w:i/>
          <w:sz w:val="22"/>
        </w:rPr>
      </w:pPr>
      <w:r>
        <w:rPr>
          <w:rFonts w:ascii="Arial" w:hAnsi="Arial" w:cs="Arial"/>
          <w:bCs/>
        </w:rPr>
        <w:t xml:space="preserve">Así la norma establece la posibilidad de nombrar un tercer perito del IGAC en </w:t>
      </w:r>
      <w:r w:rsidR="002E08D8">
        <w:rPr>
          <w:rFonts w:ascii="Arial" w:hAnsi="Arial" w:cs="Arial"/>
          <w:bCs/>
        </w:rPr>
        <w:t xml:space="preserve">el </w:t>
      </w:r>
      <w:r>
        <w:rPr>
          <w:rFonts w:ascii="Arial" w:hAnsi="Arial" w:cs="Arial"/>
          <w:bCs/>
        </w:rPr>
        <w:t xml:space="preserve">evento en que se presente desacuerdo en el dictamen, es decir, controversia entre los </w:t>
      </w:r>
      <w:r w:rsidR="002E08D8">
        <w:rPr>
          <w:rFonts w:ascii="Arial" w:hAnsi="Arial" w:cs="Arial"/>
          <w:bCs/>
        </w:rPr>
        <w:t xml:space="preserve">dos </w:t>
      </w:r>
      <w:r>
        <w:rPr>
          <w:rFonts w:ascii="Arial" w:hAnsi="Arial" w:cs="Arial"/>
          <w:bCs/>
        </w:rPr>
        <w:t xml:space="preserve">peritos designados. Criterio expuesto en la doctrina del doctor Jaime Azula Camacho, </w:t>
      </w:r>
      <w:r w:rsidRPr="00205002">
        <w:rPr>
          <w:rFonts w:ascii="Arial" w:hAnsi="Arial" w:cs="Arial"/>
          <w:bCs/>
          <w:i/>
          <w:sz w:val="22"/>
        </w:rPr>
        <w:t>“(…) si hay desacuerdo entre ellos, se designa para dirimirlo un tercer perito de la lista suministrada por el mismo instituto.”</w:t>
      </w:r>
      <w:r>
        <w:rPr>
          <w:rStyle w:val="Refdenotaalpie"/>
          <w:rFonts w:ascii="Arial" w:hAnsi="Arial"/>
          <w:bCs/>
        </w:rPr>
        <w:footnoteReference w:id="32"/>
      </w:r>
    </w:p>
    <w:p w:rsidR="00205002" w:rsidRPr="00205002" w:rsidRDefault="00205002" w:rsidP="00EF623E">
      <w:pPr>
        <w:spacing w:line="360" w:lineRule="auto"/>
        <w:jc w:val="both"/>
        <w:rPr>
          <w:rFonts w:ascii="Arial" w:hAnsi="Arial" w:cs="Arial"/>
          <w:bCs/>
        </w:rPr>
      </w:pPr>
      <w:r w:rsidRPr="00205002">
        <w:rPr>
          <w:rFonts w:ascii="Arial" w:hAnsi="Arial" w:cs="Arial"/>
          <w:bCs/>
        </w:rPr>
        <w:t xml:space="preserve">Cabe resaltar </w:t>
      </w:r>
      <w:r>
        <w:rPr>
          <w:rFonts w:ascii="Arial" w:hAnsi="Arial" w:cs="Arial"/>
          <w:bCs/>
        </w:rPr>
        <w:t xml:space="preserve">que </w:t>
      </w:r>
      <w:r w:rsidRPr="00205002">
        <w:rPr>
          <w:rFonts w:ascii="Arial" w:hAnsi="Arial" w:cs="Arial"/>
          <w:bCs/>
        </w:rPr>
        <w:t xml:space="preserve">la referida normativa carece de directriz alguna con relación a la contradicción del dictamen por las partes del proceso, de tal manera, que debe aplicarse </w:t>
      </w:r>
      <w:r w:rsidRPr="00205002">
        <w:rPr>
          <w:rFonts w:ascii="Arial" w:hAnsi="Arial" w:cs="Arial"/>
          <w:bCs/>
        </w:rPr>
        <w:lastRenderedPageBreak/>
        <w:t xml:space="preserve">en este aspecto las reglas dispuestas </w:t>
      </w:r>
      <w:r w:rsidR="002E08D8">
        <w:rPr>
          <w:rFonts w:ascii="Arial" w:hAnsi="Arial" w:cs="Arial"/>
          <w:bCs/>
        </w:rPr>
        <w:t xml:space="preserve">en el </w:t>
      </w:r>
      <w:r w:rsidRPr="00205002">
        <w:rPr>
          <w:rFonts w:ascii="Arial" w:hAnsi="Arial" w:cs="Arial"/>
          <w:bCs/>
        </w:rPr>
        <w:t>CPC</w:t>
      </w:r>
      <w:r w:rsidR="002E08D8">
        <w:rPr>
          <w:rFonts w:ascii="Arial" w:hAnsi="Arial" w:cs="Arial"/>
          <w:bCs/>
        </w:rPr>
        <w:t xml:space="preserve"> (</w:t>
      </w:r>
      <w:r w:rsidR="0099533C">
        <w:rPr>
          <w:rFonts w:ascii="Arial" w:hAnsi="Arial" w:cs="Arial"/>
          <w:bCs/>
        </w:rPr>
        <w:t>A</w:t>
      </w:r>
      <w:r w:rsidR="002E08D8">
        <w:rPr>
          <w:rFonts w:ascii="Arial" w:hAnsi="Arial" w:cs="Arial"/>
          <w:bCs/>
        </w:rPr>
        <w:t>rtículo 27, Ley 56 de 1981)</w:t>
      </w:r>
      <w:r w:rsidRPr="00205002">
        <w:rPr>
          <w:rFonts w:ascii="Arial" w:hAnsi="Arial" w:cs="Arial"/>
          <w:bCs/>
        </w:rPr>
        <w:t>.</w:t>
      </w:r>
      <w:r>
        <w:rPr>
          <w:rFonts w:ascii="Arial" w:hAnsi="Arial" w:cs="Arial"/>
          <w:bCs/>
          <w:sz w:val="22"/>
        </w:rPr>
        <w:t xml:space="preserve"> </w:t>
      </w:r>
    </w:p>
    <w:p w:rsidR="00205002" w:rsidRDefault="00205002" w:rsidP="00EF623E">
      <w:pPr>
        <w:spacing w:line="360" w:lineRule="auto"/>
        <w:jc w:val="both"/>
        <w:rPr>
          <w:rFonts w:ascii="Arial" w:hAnsi="Arial" w:cs="Arial"/>
          <w:bCs/>
        </w:rPr>
      </w:pPr>
    </w:p>
    <w:p w:rsidR="002E08D8" w:rsidRDefault="002E08D8" w:rsidP="0064429A">
      <w:pPr>
        <w:spacing w:line="360" w:lineRule="auto"/>
        <w:jc w:val="both"/>
        <w:rPr>
          <w:rFonts w:ascii="Arial" w:hAnsi="Arial" w:cs="Arial"/>
          <w:lang w:val="es-CO"/>
        </w:rPr>
      </w:pPr>
      <w:r>
        <w:rPr>
          <w:rFonts w:ascii="Arial" w:hAnsi="Arial" w:cs="Arial"/>
          <w:lang w:val="es-CO"/>
        </w:rPr>
        <w:t xml:space="preserve">Conforme lo discurrido, considera la Sala que no le asistió razón al juez de primera instancia </w:t>
      </w:r>
      <w:r w:rsidR="0099533C">
        <w:rPr>
          <w:rFonts w:ascii="Arial" w:hAnsi="Arial" w:cs="Arial"/>
          <w:lang w:val="es-CO"/>
        </w:rPr>
        <w:t>cuando tuteló</w:t>
      </w:r>
      <w:r>
        <w:rPr>
          <w:rFonts w:ascii="Arial" w:hAnsi="Arial" w:cs="Arial"/>
          <w:lang w:val="es-CO"/>
        </w:rPr>
        <w:t xml:space="preserve"> los derechos fundamentales, puesto que la normativa aplicable en los procesos de imposición de servidumbre de energía eléctrica no contiene el procedimiento para adelantar la controversia del dictamen rendido por los dos peritos con ocasión de la objeción</w:t>
      </w:r>
      <w:r w:rsidR="0099533C">
        <w:rPr>
          <w:rFonts w:ascii="Arial" w:hAnsi="Arial" w:cs="Arial"/>
          <w:lang w:val="es-CO"/>
        </w:rPr>
        <w:t>,</w:t>
      </w:r>
      <w:r>
        <w:rPr>
          <w:rFonts w:ascii="Arial" w:hAnsi="Arial" w:cs="Arial"/>
          <w:lang w:val="es-CO"/>
        </w:rPr>
        <w:t xml:space="preserve"> que por error grave</w:t>
      </w:r>
      <w:r w:rsidR="0099533C">
        <w:rPr>
          <w:rFonts w:ascii="Arial" w:hAnsi="Arial" w:cs="Arial"/>
          <w:lang w:val="es-CO"/>
        </w:rPr>
        <w:t>,</w:t>
      </w:r>
      <w:r>
        <w:rPr>
          <w:rFonts w:ascii="Arial" w:hAnsi="Arial" w:cs="Arial"/>
          <w:lang w:val="es-CO"/>
        </w:rPr>
        <w:t xml:space="preserve"> formule alguna de las partes.</w:t>
      </w:r>
    </w:p>
    <w:p w:rsidR="002E08D8" w:rsidRDefault="002E08D8" w:rsidP="0064429A">
      <w:pPr>
        <w:spacing w:line="360" w:lineRule="auto"/>
        <w:jc w:val="both"/>
        <w:rPr>
          <w:rFonts w:ascii="Arial" w:hAnsi="Arial" w:cs="Arial"/>
          <w:lang w:val="es-CO"/>
        </w:rPr>
      </w:pPr>
    </w:p>
    <w:p w:rsidR="00E94E72" w:rsidRDefault="002E08D8" w:rsidP="0064429A">
      <w:pPr>
        <w:spacing w:line="360" w:lineRule="auto"/>
        <w:jc w:val="both"/>
        <w:rPr>
          <w:rFonts w:ascii="Arial" w:hAnsi="Arial" w:cs="Arial"/>
          <w:lang w:val="es-CO"/>
        </w:rPr>
      </w:pPr>
      <w:r>
        <w:rPr>
          <w:rFonts w:ascii="Arial" w:hAnsi="Arial" w:cs="Arial"/>
          <w:lang w:val="es-CO"/>
        </w:rPr>
        <w:t>Evidente es que el único evento en que se debe designar un tercer perito de la lista del IGAC, es cuando exista controversia entre los expertos designados para realizar el primer dictamen, y nunca como prueba para desatar la objeción que alguna de las partes formule.</w:t>
      </w:r>
      <w:r w:rsidR="00E94E72">
        <w:rPr>
          <w:rFonts w:ascii="Arial" w:hAnsi="Arial" w:cs="Arial"/>
          <w:lang w:val="es-CO"/>
        </w:rPr>
        <w:t xml:space="preserve"> </w:t>
      </w:r>
      <w:r>
        <w:rPr>
          <w:rFonts w:ascii="Arial" w:hAnsi="Arial" w:cs="Arial"/>
          <w:lang w:val="es-CO"/>
        </w:rPr>
        <w:t xml:space="preserve">Son dos </w:t>
      </w:r>
      <w:r w:rsidR="00756CA1">
        <w:rPr>
          <w:rFonts w:ascii="Arial" w:hAnsi="Arial" w:cs="Arial"/>
          <w:lang w:val="es-CO"/>
        </w:rPr>
        <w:t xml:space="preserve">situaciones </w:t>
      </w:r>
      <w:r>
        <w:rPr>
          <w:rFonts w:ascii="Arial" w:hAnsi="Arial" w:cs="Arial"/>
          <w:lang w:val="es-CO"/>
        </w:rPr>
        <w:t xml:space="preserve">diferentes y dimanan de la actividad y </w:t>
      </w:r>
      <w:r w:rsidR="00756CA1">
        <w:rPr>
          <w:rFonts w:ascii="Arial" w:hAnsi="Arial" w:cs="Arial"/>
          <w:lang w:val="es-CO"/>
        </w:rPr>
        <w:t xml:space="preserve">del </w:t>
      </w:r>
      <w:r w:rsidR="00E94E72">
        <w:rPr>
          <w:rFonts w:ascii="Arial" w:hAnsi="Arial" w:cs="Arial"/>
          <w:lang w:val="es-CO"/>
        </w:rPr>
        <w:t>desacuerdo entre personas distintas, las primeras</w:t>
      </w:r>
      <w:r w:rsidR="00756CA1">
        <w:rPr>
          <w:rFonts w:ascii="Arial" w:hAnsi="Arial" w:cs="Arial"/>
          <w:lang w:val="es-CO"/>
        </w:rPr>
        <w:t>,</w:t>
      </w:r>
      <w:r w:rsidR="00E94E72">
        <w:rPr>
          <w:rFonts w:ascii="Arial" w:hAnsi="Arial" w:cs="Arial"/>
          <w:lang w:val="es-CO"/>
        </w:rPr>
        <w:t xml:space="preserve"> los peritos</w:t>
      </w:r>
      <w:r w:rsidR="00756CA1">
        <w:rPr>
          <w:rFonts w:ascii="Arial" w:hAnsi="Arial" w:cs="Arial"/>
          <w:lang w:val="es-CO"/>
        </w:rPr>
        <w:t>,</w:t>
      </w:r>
      <w:r w:rsidR="00E94E72">
        <w:rPr>
          <w:rFonts w:ascii="Arial" w:hAnsi="Arial" w:cs="Arial"/>
          <w:lang w:val="es-CO"/>
        </w:rPr>
        <w:t xml:space="preserve"> y las últimas</w:t>
      </w:r>
      <w:r w:rsidR="00756CA1">
        <w:rPr>
          <w:rFonts w:ascii="Arial" w:hAnsi="Arial" w:cs="Arial"/>
          <w:lang w:val="es-CO"/>
        </w:rPr>
        <w:t>,</w:t>
      </w:r>
      <w:r w:rsidR="00E94E72">
        <w:rPr>
          <w:rFonts w:ascii="Arial" w:hAnsi="Arial" w:cs="Arial"/>
          <w:lang w:val="es-CO"/>
        </w:rPr>
        <w:t xml:space="preserve"> las partes frente a estos.</w:t>
      </w:r>
    </w:p>
    <w:p w:rsidR="00E94E72" w:rsidRDefault="00E94E72" w:rsidP="0064429A">
      <w:pPr>
        <w:spacing w:line="360" w:lineRule="auto"/>
        <w:jc w:val="both"/>
        <w:rPr>
          <w:rFonts w:ascii="Arial" w:hAnsi="Arial" w:cs="Arial"/>
          <w:lang w:val="es-CO"/>
        </w:rPr>
      </w:pPr>
    </w:p>
    <w:p w:rsidR="00E94E72" w:rsidRDefault="00E94E72" w:rsidP="00E94E72">
      <w:pPr>
        <w:spacing w:line="360" w:lineRule="auto"/>
        <w:jc w:val="both"/>
        <w:rPr>
          <w:rFonts w:ascii="Arial" w:hAnsi="Arial" w:cs="Arial"/>
          <w:bCs/>
        </w:rPr>
      </w:pPr>
      <w:r>
        <w:rPr>
          <w:rFonts w:ascii="Arial" w:hAnsi="Arial" w:cs="Arial"/>
          <w:lang w:val="es-CO"/>
        </w:rPr>
        <w:t xml:space="preserve">Tampoco </w:t>
      </w:r>
      <w:r w:rsidR="00756CA1">
        <w:rPr>
          <w:rFonts w:ascii="Arial" w:hAnsi="Arial" w:cs="Arial"/>
          <w:lang w:val="es-CO"/>
        </w:rPr>
        <w:t xml:space="preserve">se concibe </w:t>
      </w:r>
      <w:r>
        <w:rPr>
          <w:rFonts w:ascii="Arial" w:hAnsi="Arial" w:cs="Arial"/>
          <w:lang w:val="es-CO"/>
        </w:rPr>
        <w:t xml:space="preserve">la posibilidad </w:t>
      </w:r>
      <w:r w:rsidR="0099533C">
        <w:rPr>
          <w:rFonts w:ascii="Arial" w:hAnsi="Arial" w:cs="Arial"/>
          <w:lang w:val="es-CO"/>
        </w:rPr>
        <w:t xml:space="preserve">de </w:t>
      </w:r>
      <w:r w:rsidR="00756CA1">
        <w:rPr>
          <w:rFonts w:ascii="Arial" w:hAnsi="Arial" w:cs="Arial"/>
          <w:lang w:val="es-CO"/>
        </w:rPr>
        <w:t xml:space="preserve">conjugar </w:t>
      </w:r>
      <w:r>
        <w:rPr>
          <w:rFonts w:ascii="Arial" w:hAnsi="Arial" w:cs="Arial"/>
          <w:lang w:val="es-CO"/>
        </w:rPr>
        <w:t xml:space="preserve">las directrices del CPC con la Ley y Decretos reglamentarios especiales, </w:t>
      </w:r>
      <w:r w:rsidR="00A8296A">
        <w:rPr>
          <w:rFonts w:ascii="Arial" w:hAnsi="Arial" w:cs="Arial"/>
          <w:lang w:val="es-CO"/>
        </w:rPr>
        <w:t>para aplicar el procedimiento en cuanto a la objeción pero modificando lo relacionado con el perito nombrado.</w:t>
      </w:r>
      <w:r>
        <w:rPr>
          <w:rFonts w:ascii="Arial" w:hAnsi="Arial" w:cs="Arial"/>
          <w:lang w:val="es-CO"/>
        </w:rPr>
        <w:t xml:space="preserve"> </w:t>
      </w:r>
      <w:r w:rsidR="00A8296A">
        <w:rPr>
          <w:rFonts w:ascii="Arial" w:hAnsi="Arial" w:cs="Arial"/>
          <w:lang w:val="es-CO"/>
        </w:rPr>
        <w:t>N</w:t>
      </w:r>
      <w:r>
        <w:rPr>
          <w:rFonts w:ascii="Arial" w:hAnsi="Arial" w:cs="Arial"/>
          <w:lang w:val="es-CO"/>
        </w:rPr>
        <w:t>o pueden mezclarse ambas normas cuando la Ley no lo ha dispuesto</w:t>
      </w:r>
      <w:r w:rsidR="00A8296A">
        <w:rPr>
          <w:rFonts w:ascii="Arial" w:hAnsi="Arial" w:cs="Arial"/>
          <w:lang w:val="es-CO"/>
        </w:rPr>
        <w:t>.</w:t>
      </w:r>
    </w:p>
    <w:p w:rsidR="00E94E72" w:rsidRDefault="00E94E72" w:rsidP="00E94E72">
      <w:pPr>
        <w:spacing w:line="360" w:lineRule="auto"/>
        <w:jc w:val="both"/>
        <w:rPr>
          <w:rFonts w:ascii="Arial" w:hAnsi="Arial" w:cs="Arial"/>
          <w:bCs/>
        </w:rPr>
      </w:pPr>
    </w:p>
    <w:p w:rsidR="002006BE" w:rsidRPr="00BE1A6B" w:rsidRDefault="00E94E72" w:rsidP="00E94E72">
      <w:pPr>
        <w:spacing w:line="360" w:lineRule="auto"/>
        <w:ind w:right="51"/>
        <w:jc w:val="both"/>
        <w:rPr>
          <w:color w:val="000000" w:themeColor="text1"/>
          <w:sz w:val="28"/>
          <w:szCs w:val="28"/>
          <w:lang w:eastAsia="es-CO"/>
        </w:rPr>
      </w:pPr>
      <w:r>
        <w:rPr>
          <w:rFonts w:ascii="Arial" w:hAnsi="Arial" w:cs="Arial"/>
          <w:bCs/>
        </w:rPr>
        <w:t xml:space="preserve">En ese orden de ideas, se consideran fundados los argumentos de las impugnaciones, y se revocara la </w:t>
      </w:r>
      <w:r w:rsidR="00A26057">
        <w:rPr>
          <w:rFonts w:ascii="Arial" w:hAnsi="Arial" w:cs="Arial"/>
          <w:bCs/>
        </w:rPr>
        <w:t>decisión</w:t>
      </w:r>
      <w:r>
        <w:rPr>
          <w:rFonts w:ascii="Arial" w:hAnsi="Arial" w:cs="Arial"/>
          <w:bCs/>
        </w:rPr>
        <w:t xml:space="preserve"> de primer grado, para en su lugar negar la tutela de los derechos invocados.</w:t>
      </w:r>
    </w:p>
    <w:p w:rsidR="00C032BF" w:rsidRPr="0000148D" w:rsidRDefault="00C032BF" w:rsidP="008C50CD">
      <w:pPr>
        <w:pStyle w:val="Textoindependiente"/>
        <w:spacing w:line="360" w:lineRule="auto"/>
        <w:rPr>
          <w:rFonts w:ascii="Arial" w:hAnsi="Arial"/>
          <w:sz w:val="22"/>
          <w:szCs w:val="24"/>
        </w:rPr>
      </w:pPr>
    </w:p>
    <w:p w:rsidR="00532FD9" w:rsidRPr="0000148D" w:rsidRDefault="00532FD9" w:rsidP="008C50CD">
      <w:pPr>
        <w:pStyle w:val="Textoindependiente"/>
        <w:spacing w:line="360" w:lineRule="auto"/>
        <w:rPr>
          <w:rFonts w:ascii="Arial" w:hAnsi="Arial"/>
          <w:sz w:val="22"/>
          <w:szCs w:val="24"/>
        </w:rPr>
      </w:pPr>
    </w:p>
    <w:p w:rsidR="008C50CD" w:rsidRPr="006F52BC" w:rsidRDefault="008C50CD" w:rsidP="008C50C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Arial" w:hAnsi="Arial" w:cs="Arial"/>
          <w:sz w:val="24"/>
          <w:szCs w:val="24"/>
          <w:lang w:val="es-ES"/>
        </w:rPr>
      </w:pPr>
      <w:r w:rsidRPr="006F52BC">
        <w:rPr>
          <w:rFonts w:ascii="Arial" w:hAnsi="Arial" w:cs="Arial"/>
          <w:sz w:val="24"/>
          <w:szCs w:val="24"/>
        </w:rPr>
        <w:t xml:space="preserve">LAS CONCLUSIONES </w:t>
      </w:r>
    </w:p>
    <w:p w:rsidR="006F52BC" w:rsidRPr="006F52BC" w:rsidRDefault="006F52BC" w:rsidP="00833CB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Arial" w:hAnsi="Arial" w:cs="Arial"/>
          <w:sz w:val="24"/>
          <w:szCs w:val="24"/>
          <w:lang w:val="es-ES"/>
        </w:rPr>
      </w:pPr>
    </w:p>
    <w:p w:rsidR="0087196E" w:rsidRDefault="00C032BF" w:rsidP="0087196E">
      <w:pPr>
        <w:pStyle w:val="Textoindependiente"/>
        <w:tabs>
          <w:tab w:val="clear" w:pos="0"/>
          <w:tab w:val="clear" w:pos="708"/>
          <w:tab w:val="clear" w:pos="1416"/>
          <w:tab w:val="left" w:pos="426"/>
        </w:tabs>
        <w:spacing w:line="360" w:lineRule="auto"/>
        <w:rPr>
          <w:rFonts w:ascii="Arial" w:hAnsi="Arial"/>
          <w:sz w:val="24"/>
          <w:szCs w:val="24"/>
        </w:rPr>
      </w:pPr>
      <w:r w:rsidRPr="00833CB3">
        <w:rPr>
          <w:rFonts w:ascii="Arial" w:hAnsi="Arial"/>
          <w:sz w:val="24"/>
          <w:szCs w:val="24"/>
          <w:lang w:val="es-CO"/>
        </w:rPr>
        <w:t xml:space="preserve">En armonía con lo expresado, (i) Se </w:t>
      </w:r>
      <w:r w:rsidR="00E94E72">
        <w:rPr>
          <w:rFonts w:ascii="Arial" w:hAnsi="Arial"/>
          <w:sz w:val="24"/>
          <w:szCs w:val="24"/>
          <w:lang w:val="es-CO"/>
        </w:rPr>
        <w:t>revocará</w:t>
      </w:r>
      <w:r w:rsidR="00833CB3" w:rsidRPr="00833CB3">
        <w:rPr>
          <w:rFonts w:ascii="Arial" w:hAnsi="Arial"/>
          <w:sz w:val="24"/>
          <w:szCs w:val="24"/>
          <w:lang w:val="es-CO"/>
        </w:rPr>
        <w:t xml:space="preserve"> </w:t>
      </w:r>
      <w:r w:rsidRPr="00833CB3">
        <w:rPr>
          <w:rFonts w:ascii="Arial" w:hAnsi="Arial" w:cs="Arial"/>
          <w:sz w:val="24"/>
          <w:szCs w:val="24"/>
        </w:rPr>
        <w:t>el fallo reprochado</w:t>
      </w:r>
      <w:r w:rsidR="00833CB3" w:rsidRPr="00833CB3">
        <w:rPr>
          <w:rFonts w:ascii="Arial" w:hAnsi="Arial" w:cs="Arial"/>
          <w:sz w:val="24"/>
          <w:szCs w:val="24"/>
        </w:rPr>
        <w:t>;</w:t>
      </w:r>
      <w:r w:rsidRPr="00833CB3">
        <w:rPr>
          <w:rFonts w:ascii="Arial" w:hAnsi="Arial" w:cs="Arial"/>
          <w:sz w:val="24"/>
          <w:szCs w:val="24"/>
        </w:rPr>
        <w:t xml:space="preserve"> (ii) </w:t>
      </w:r>
      <w:r w:rsidR="00C96C85" w:rsidRPr="00833CB3">
        <w:rPr>
          <w:rFonts w:ascii="Arial" w:hAnsi="Arial" w:cs="Arial"/>
          <w:sz w:val="24"/>
          <w:szCs w:val="24"/>
          <w:lang w:val="es-ES"/>
        </w:rPr>
        <w:t xml:space="preserve">Se </w:t>
      </w:r>
      <w:r w:rsidR="00E94E72">
        <w:rPr>
          <w:rFonts w:ascii="Arial" w:hAnsi="Arial" w:cs="Arial"/>
          <w:sz w:val="24"/>
          <w:szCs w:val="24"/>
          <w:lang w:val="es-ES"/>
        </w:rPr>
        <w:t xml:space="preserve">negará la tutela </w:t>
      </w:r>
      <w:r w:rsidR="0078191A">
        <w:rPr>
          <w:rFonts w:ascii="Arial" w:hAnsi="Arial" w:cs="Arial"/>
          <w:sz w:val="24"/>
          <w:szCs w:val="24"/>
          <w:lang w:val="es-CO"/>
        </w:rPr>
        <w:t xml:space="preserve">frente al Juzgado Primero Civil Municipal de Dosquebradas; (iii) Se declarará improcedente el amparo en cuanto a la pretensión de que se realicen dos dictámenes separados </w:t>
      </w:r>
      <w:r w:rsidR="0078191A" w:rsidRPr="0078191A">
        <w:rPr>
          <w:rFonts w:ascii="Arial" w:hAnsi="Arial" w:cs="Arial"/>
          <w:sz w:val="24"/>
          <w:szCs w:val="24"/>
          <w:lang w:val="es-ES"/>
        </w:rPr>
        <w:t xml:space="preserve">con estribo en que se incumplió el presupuesto de </w:t>
      </w:r>
      <w:r w:rsidR="0078191A">
        <w:rPr>
          <w:rFonts w:ascii="Arial" w:hAnsi="Arial" w:cs="Arial"/>
          <w:sz w:val="24"/>
          <w:szCs w:val="24"/>
          <w:lang w:val="es-ES"/>
        </w:rPr>
        <w:t>inmediatez</w:t>
      </w:r>
      <w:r w:rsidR="00BE1A6B" w:rsidRPr="00833CB3">
        <w:rPr>
          <w:rFonts w:ascii="Arial" w:hAnsi="Arial"/>
          <w:sz w:val="24"/>
          <w:szCs w:val="24"/>
        </w:rPr>
        <w:t xml:space="preserve">; </w:t>
      </w:r>
      <w:r w:rsidR="00C96C85" w:rsidRPr="00833CB3">
        <w:rPr>
          <w:rFonts w:ascii="Arial" w:hAnsi="Arial"/>
          <w:sz w:val="24"/>
          <w:szCs w:val="24"/>
        </w:rPr>
        <w:t xml:space="preserve">y, </w:t>
      </w:r>
      <w:r w:rsidR="00BE1A6B" w:rsidRPr="00833CB3">
        <w:rPr>
          <w:rFonts w:ascii="Arial" w:hAnsi="Arial"/>
          <w:sz w:val="24"/>
          <w:szCs w:val="24"/>
        </w:rPr>
        <w:t xml:space="preserve">(v) </w:t>
      </w:r>
      <w:r w:rsidR="0087196E" w:rsidRPr="00833CB3">
        <w:rPr>
          <w:rFonts w:ascii="Arial" w:hAnsi="Arial"/>
          <w:color w:val="000000" w:themeColor="text1"/>
          <w:sz w:val="24"/>
          <w:szCs w:val="24"/>
        </w:rPr>
        <w:t xml:space="preserve">Se </w:t>
      </w:r>
      <w:r w:rsidR="006255B8">
        <w:rPr>
          <w:rFonts w:ascii="Arial" w:hAnsi="Arial"/>
          <w:color w:val="000000" w:themeColor="text1"/>
          <w:sz w:val="24"/>
          <w:szCs w:val="24"/>
        </w:rPr>
        <w:t xml:space="preserve">adicionará para </w:t>
      </w:r>
      <w:r w:rsidR="006255B8">
        <w:rPr>
          <w:rFonts w:ascii="Arial" w:hAnsi="Arial"/>
          <w:sz w:val="24"/>
          <w:szCs w:val="24"/>
        </w:rPr>
        <w:t>negar</w:t>
      </w:r>
      <w:r w:rsidR="0087196E" w:rsidRPr="00833CB3">
        <w:rPr>
          <w:rFonts w:ascii="Arial" w:hAnsi="Arial"/>
          <w:sz w:val="24"/>
          <w:szCs w:val="24"/>
        </w:rPr>
        <w:t xml:space="preserve"> la acción de tutela frente </w:t>
      </w:r>
      <w:r w:rsidR="0078191A">
        <w:rPr>
          <w:rFonts w:ascii="Arial" w:hAnsi="Arial"/>
          <w:sz w:val="24"/>
          <w:szCs w:val="24"/>
        </w:rPr>
        <w:t xml:space="preserve">a los vinculados </w:t>
      </w:r>
      <w:r w:rsidR="0087196E" w:rsidRPr="00833CB3">
        <w:rPr>
          <w:rFonts w:ascii="Arial" w:hAnsi="Arial"/>
          <w:sz w:val="24"/>
          <w:szCs w:val="24"/>
        </w:rPr>
        <w:t xml:space="preserve">por inexistencia o </w:t>
      </w:r>
      <w:r w:rsidR="0080277A" w:rsidRPr="00833CB3">
        <w:rPr>
          <w:rFonts w:ascii="Arial" w:hAnsi="Arial"/>
          <w:sz w:val="24"/>
          <w:szCs w:val="24"/>
        </w:rPr>
        <w:t>v</w:t>
      </w:r>
      <w:r w:rsidR="0087196E" w:rsidRPr="00833CB3">
        <w:rPr>
          <w:rFonts w:ascii="Arial" w:hAnsi="Arial"/>
          <w:sz w:val="24"/>
          <w:szCs w:val="24"/>
        </w:rPr>
        <w:t>ulneración frente a los derechos invocados</w:t>
      </w:r>
      <w:r w:rsidR="0080277A" w:rsidRPr="00833CB3">
        <w:rPr>
          <w:rFonts w:ascii="Arial" w:hAnsi="Arial"/>
          <w:sz w:val="24"/>
          <w:szCs w:val="24"/>
        </w:rPr>
        <w:t xml:space="preserve"> por el actor</w:t>
      </w:r>
      <w:r w:rsidR="0087196E" w:rsidRPr="00833CB3">
        <w:rPr>
          <w:rFonts w:ascii="Arial" w:hAnsi="Arial"/>
          <w:sz w:val="24"/>
          <w:szCs w:val="24"/>
        </w:rPr>
        <w:t>.</w:t>
      </w:r>
    </w:p>
    <w:p w:rsidR="0080622E" w:rsidRPr="00833CB3" w:rsidRDefault="0080622E" w:rsidP="0087196E">
      <w:pPr>
        <w:pStyle w:val="Textoindependiente"/>
        <w:tabs>
          <w:tab w:val="clear" w:pos="0"/>
          <w:tab w:val="clear" w:pos="708"/>
          <w:tab w:val="clear" w:pos="1416"/>
          <w:tab w:val="left" w:pos="426"/>
        </w:tabs>
        <w:spacing w:line="360" w:lineRule="auto"/>
        <w:rPr>
          <w:rFonts w:ascii="Arial" w:hAnsi="Arial"/>
          <w:sz w:val="24"/>
          <w:szCs w:val="24"/>
        </w:rPr>
      </w:pPr>
    </w:p>
    <w:p w:rsidR="00C032BF" w:rsidRDefault="00C032BF" w:rsidP="00C032BF">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p>
    <w:p w:rsidR="00137A81" w:rsidRDefault="00137A81" w:rsidP="00C032BF">
      <w:pPr>
        <w:pStyle w:val="Textoindependiente"/>
        <w:tabs>
          <w:tab w:val="left" w:pos="3155"/>
          <w:tab w:val="center" w:pos="4703"/>
        </w:tabs>
        <w:spacing w:line="360" w:lineRule="auto"/>
        <w:jc w:val="center"/>
        <w:rPr>
          <w:rFonts w:ascii="Arial" w:hAnsi="Arial" w:cs="Arial"/>
          <w:bCs/>
          <w:smallCaps/>
          <w:sz w:val="24"/>
          <w:szCs w:val="24"/>
        </w:rPr>
      </w:pPr>
    </w:p>
    <w:p w:rsidR="00137A81" w:rsidRDefault="00137A81" w:rsidP="00C032BF">
      <w:pPr>
        <w:pStyle w:val="Textoindependiente"/>
        <w:tabs>
          <w:tab w:val="left" w:pos="3155"/>
          <w:tab w:val="center" w:pos="4703"/>
        </w:tabs>
        <w:spacing w:line="360" w:lineRule="auto"/>
        <w:jc w:val="center"/>
        <w:rPr>
          <w:rFonts w:ascii="Arial" w:hAnsi="Arial" w:cs="Arial"/>
          <w:bCs/>
          <w:smallCaps/>
          <w:sz w:val="24"/>
          <w:szCs w:val="24"/>
        </w:rPr>
      </w:pPr>
    </w:p>
    <w:p w:rsidR="00C032BF" w:rsidRDefault="00C032BF" w:rsidP="00C032BF">
      <w:pPr>
        <w:pStyle w:val="Textoindependien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lastRenderedPageBreak/>
        <w:t>F A L L A,</w:t>
      </w:r>
    </w:p>
    <w:p w:rsidR="00C032BF" w:rsidRPr="00D108C2" w:rsidRDefault="00C032BF" w:rsidP="00C032BF">
      <w:pPr>
        <w:pStyle w:val="Textoindependiente"/>
        <w:tabs>
          <w:tab w:val="left" w:pos="3155"/>
          <w:tab w:val="center" w:pos="4703"/>
        </w:tabs>
        <w:spacing w:line="360" w:lineRule="auto"/>
        <w:jc w:val="center"/>
        <w:rPr>
          <w:rFonts w:ascii="Arial" w:hAnsi="Arial" w:cs="Arial"/>
          <w:bCs/>
          <w:smallCaps/>
          <w:sz w:val="24"/>
          <w:szCs w:val="24"/>
        </w:rPr>
      </w:pPr>
    </w:p>
    <w:p w:rsidR="0078191A" w:rsidRDefault="0078191A" w:rsidP="0078191A">
      <w:pPr>
        <w:pStyle w:val="Textoindependiente"/>
        <w:numPr>
          <w:ilvl w:val="0"/>
          <w:numId w:val="21"/>
        </w:numPr>
        <w:tabs>
          <w:tab w:val="clear" w:pos="708"/>
          <w:tab w:val="clear" w:pos="1416"/>
          <w:tab w:val="left" w:pos="426"/>
        </w:tabs>
        <w:spacing w:line="360" w:lineRule="auto"/>
        <w:ind w:left="426" w:hanging="426"/>
        <w:rPr>
          <w:rFonts w:ascii="Arial" w:hAnsi="Arial"/>
          <w:sz w:val="24"/>
          <w:szCs w:val="24"/>
        </w:rPr>
      </w:pPr>
      <w:r>
        <w:rPr>
          <w:rFonts w:ascii="Arial" w:hAnsi="Arial"/>
          <w:sz w:val="24"/>
          <w:szCs w:val="24"/>
        </w:rPr>
        <w:t xml:space="preserve">REVOCAR </w:t>
      </w:r>
      <w:r w:rsidR="00C032BF" w:rsidRPr="00D108C2">
        <w:rPr>
          <w:rFonts w:ascii="Arial" w:hAnsi="Arial"/>
          <w:sz w:val="24"/>
          <w:szCs w:val="24"/>
        </w:rPr>
        <w:t xml:space="preserve">la sentencia fechada el día </w:t>
      </w:r>
      <w:r>
        <w:rPr>
          <w:rFonts w:ascii="Arial" w:hAnsi="Arial"/>
          <w:sz w:val="24"/>
          <w:szCs w:val="24"/>
        </w:rPr>
        <w:t xml:space="preserve">08-03-2016 </w:t>
      </w:r>
      <w:r w:rsidR="00C032BF" w:rsidRPr="00D108C2">
        <w:rPr>
          <w:rFonts w:ascii="Arial" w:hAnsi="Arial"/>
          <w:sz w:val="24"/>
          <w:szCs w:val="24"/>
        </w:rPr>
        <w:t xml:space="preserve">del Juzgado </w:t>
      </w:r>
      <w:r>
        <w:rPr>
          <w:rFonts w:ascii="Arial" w:hAnsi="Arial"/>
          <w:sz w:val="24"/>
          <w:szCs w:val="24"/>
        </w:rPr>
        <w:t>Civil del Circuito de Dosquebradas</w:t>
      </w:r>
      <w:r w:rsidR="00C032BF">
        <w:rPr>
          <w:rFonts w:ascii="Arial" w:hAnsi="Arial"/>
          <w:sz w:val="24"/>
          <w:szCs w:val="24"/>
        </w:rPr>
        <w:t>.</w:t>
      </w:r>
    </w:p>
    <w:p w:rsidR="0078191A" w:rsidRDefault="0078191A" w:rsidP="0078191A">
      <w:pPr>
        <w:pStyle w:val="Textoindependiente"/>
        <w:tabs>
          <w:tab w:val="clear" w:pos="708"/>
          <w:tab w:val="clear" w:pos="1416"/>
          <w:tab w:val="left" w:pos="426"/>
        </w:tabs>
        <w:spacing w:line="360" w:lineRule="auto"/>
        <w:ind w:left="426"/>
        <w:rPr>
          <w:rFonts w:ascii="Arial" w:hAnsi="Arial"/>
          <w:sz w:val="24"/>
          <w:szCs w:val="24"/>
        </w:rPr>
      </w:pPr>
    </w:p>
    <w:p w:rsidR="0078191A" w:rsidRDefault="0078191A" w:rsidP="0078191A">
      <w:pPr>
        <w:pStyle w:val="Textoindependien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Pr>
          <w:rFonts w:ascii="Arial" w:hAnsi="Arial"/>
          <w:color w:val="000000" w:themeColor="text1"/>
          <w:sz w:val="24"/>
          <w:szCs w:val="24"/>
        </w:rPr>
        <w:t xml:space="preserve">NEGAR </w:t>
      </w:r>
      <w:r w:rsidRPr="0078191A">
        <w:rPr>
          <w:rFonts w:ascii="Arial" w:hAnsi="Arial"/>
          <w:color w:val="000000" w:themeColor="text1"/>
          <w:sz w:val="24"/>
          <w:szCs w:val="24"/>
        </w:rPr>
        <w:t xml:space="preserve">la acción de tutela por inexistencia de defecto sustantivo </w:t>
      </w:r>
      <w:r>
        <w:rPr>
          <w:rFonts w:ascii="Arial" w:hAnsi="Arial"/>
          <w:color w:val="000000" w:themeColor="text1"/>
          <w:sz w:val="24"/>
          <w:szCs w:val="24"/>
        </w:rPr>
        <w:t xml:space="preserve">en las actuaciones surtidas en el proceso de imposición de servidumbre de energía eléctrica por el </w:t>
      </w:r>
      <w:r w:rsidRPr="0078191A">
        <w:rPr>
          <w:rFonts w:ascii="Arial" w:hAnsi="Arial"/>
          <w:color w:val="000000" w:themeColor="text1"/>
          <w:sz w:val="24"/>
          <w:szCs w:val="24"/>
        </w:rPr>
        <w:t xml:space="preserve">Juzgado </w:t>
      </w:r>
      <w:r>
        <w:rPr>
          <w:rFonts w:ascii="Arial" w:hAnsi="Arial"/>
          <w:color w:val="000000" w:themeColor="text1"/>
          <w:sz w:val="24"/>
          <w:szCs w:val="24"/>
        </w:rPr>
        <w:t>Primero Civil Municipal de Dosquebradas</w:t>
      </w:r>
      <w:r w:rsidRPr="0078191A">
        <w:rPr>
          <w:rFonts w:ascii="Arial" w:hAnsi="Arial"/>
          <w:color w:val="000000" w:themeColor="text1"/>
          <w:sz w:val="24"/>
          <w:szCs w:val="24"/>
        </w:rPr>
        <w:t>.</w:t>
      </w:r>
    </w:p>
    <w:p w:rsidR="0078191A" w:rsidRDefault="0078191A" w:rsidP="0078191A">
      <w:pPr>
        <w:pStyle w:val="Textoindependiente"/>
        <w:tabs>
          <w:tab w:val="clear" w:pos="708"/>
          <w:tab w:val="clear" w:pos="1416"/>
          <w:tab w:val="left" w:pos="426"/>
        </w:tabs>
        <w:spacing w:line="360" w:lineRule="auto"/>
        <w:rPr>
          <w:rFonts w:ascii="Arial" w:hAnsi="Arial"/>
          <w:color w:val="000000" w:themeColor="text1"/>
          <w:sz w:val="24"/>
          <w:szCs w:val="24"/>
        </w:rPr>
      </w:pPr>
    </w:p>
    <w:p w:rsidR="0078191A" w:rsidRDefault="0078191A" w:rsidP="0078191A">
      <w:pPr>
        <w:pStyle w:val="Textoindependiente"/>
        <w:numPr>
          <w:ilvl w:val="0"/>
          <w:numId w:val="21"/>
        </w:numPr>
        <w:tabs>
          <w:tab w:val="clear" w:pos="708"/>
          <w:tab w:val="clear" w:pos="1416"/>
          <w:tab w:val="left" w:pos="426"/>
        </w:tabs>
        <w:spacing w:line="360" w:lineRule="auto"/>
        <w:ind w:left="426" w:hanging="426"/>
        <w:rPr>
          <w:rFonts w:ascii="Arial" w:hAnsi="Arial"/>
          <w:sz w:val="24"/>
          <w:szCs w:val="24"/>
        </w:rPr>
      </w:pPr>
      <w:r w:rsidRPr="0078191A">
        <w:rPr>
          <w:rFonts w:ascii="Arial" w:hAnsi="Arial"/>
          <w:color w:val="000000" w:themeColor="text1"/>
          <w:sz w:val="24"/>
          <w:szCs w:val="24"/>
        </w:rPr>
        <w:t>DECLARAR improcedente</w:t>
      </w:r>
      <w:r>
        <w:rPr>
          <w:rFonts w:ascii="Arial" w:hAnsi="Arial"/>
          <w:color w:val="000000" w:themeColor="text1"/>
          <w:sz w:val="24"/>
          <w:szCs w:val="24"/>
        </w:rPr>
        <w:t xml:space="preserve"> la tutela propuesta por la Empresa de Energía de Bogotá SA ESP, en cuanto a la pretensión </w:t>
      </w:r>
      <w:r>
        <w:rPr>
          <w:rFonts w:ascii="Arial" w:hAnsi="Arial" w:cs="Arial"/>
          <w:sz w:val="24"/>
          <w:szCs w:val="24"/>
          <w:lang w:val="es-CO"/>
        </w:rPr>
        <w:t xml:space="preserve">de que se realicen dos dictámenes separados, </w:t>
      </w:r>
      <w:r w:rsidRPr="0078191A">
        <w:rPr>
          <w:rFonts w:ascii="Arial" w:hAnsi="Arial" w:cs="Arial"/>
          <w:sz w:val="24"/>
          <w:szCs w:val="24"/>
          <w:lang w:val="es-ES"/>
        </w:rPr>
        <w:t xml:space="preserve">con estribo en que se incumplió el presupuesto de </w:t>
      </w:r>
      <w:r>
        <w:rPr>
          <w:rFonts w:ascii="Arial" w:hAnsi="Arial" w:cs="Arial"/>
          <w:sz w:val="24"/>
          <w:szCs w:val="24"/>
          <w:lang w:val="es-ES"/>
        </w:rPr>
        <w:t>inmediatez</w:t>
      </w:r>
    </w:p>
    <w:p w:rsidR="0078191A" w:rsidRPr="0078191A" w:rsidRDefault="0078191A" w:rsidP="0078191A">
      <w:pPr>
        <w:pStyle w:val="Textoindependiente"/>
        <w:tabs>
          <w:tab w:val="clear" w:pos="708"/>
          <w:tab w:val="clear" w:pos="1416"/>
          <w:tab w:val="left" w:pos="426"/>
        </w:tabs>
        <w:spacing w:line="360" w:lineRule="auto"/>
        <w:rPr>
          <w:rFonts w:ascii="Arial" w:hAnsi="Arial"/>
          <w:color w:val="000000" w:themeColor="text1"/>
          <w:sz w:val="24"/>
          <w:szCs w:val="24"/>
        </w:rPr>
      </w:pPr>
    </w:p>
    <w:p w:rsidR="0087196E" w:rsidRPr="0078191A" w:rsidRDefault="006255B8" w:rsidP="001A53FD">
      <w:pPr>
        <w:pStyle w:val="Textoindependiente"/>
        <w:numPr>
          <w:ilvl w:val="0"/>
          <w:numId w:val="21"/>
        </w:numPr>
        <w:tabs>
          <w:tab w:val="clear" w:pos="708"/>
          <w:tab w:val="clear" w:pos="1416"/>
          <w:tab w:val="left" w:pos="426"/>
        </w:tabs>
        <w:spacing w:line="360" w:lineRule="auto"/>
        <w:ind w:left="426" w:hanging="426"/>
        <w:rPr>
          <w:rFonts w:ascii="Arial" w:hAnsi="Arial"/>
          <w:color w:val="000000" w:themeColor="text1"/>
          <w:sz w:val="24"/>
          <w:szCs w:val="24"/>
        </w:rPr>
      </w:pPr>
      <w:r w:rsidRPr="0078191A">
        <w:rPr>
          <w:rFonts w:ascii="Arial" w:hAnsi="Arial"/>
          <w:sz w:val="24"/>
          <w:szCs w:val="24"/>
        </w:rPr>
        <w:t xml:space="preserve">ADICIONAR </w:t>
      </w:r>
      <w:r w:rsidR="00BD4AAF" w:rsidRPr="0078191A">
        <w:rPr>
          <w:rFonts w:ascii="Arial" w:hAnsi="Arial"/>
          <w:color w:val="000000" w:themeColor="text1"/>
          <w:sz w:val="24"/>
          <w:szCs w:val="24"/>
        </w:rPr>
        <w:t>impugnada</w:t>
      </w:r>
      <w:r w:rsidR="00DC19DC" w:rsidRPr="0078191A">
        <w:rPr>
          <w:rFonts w:ascii="Arial" w:hAnsi="Arial"/>
          <w:color w:val="000000" w:themeColor="text1"/>
          <w:sz w:val="24"/>
          <w:szCs w:val="24"/>
        </w:rPr>
        <w:t xml:space="preserve"> para N</w:t>
      </w:r>
      <w:r w:rsidR="0087196E" w:rsidRPr="0078191A">
        <w:rPr>
          <w:rFonts w:ascii="Arial" w:hAnsi="Arial"/>
          <w:color w:val="000000" w:themeColor="text1"/>
          <w:sz w:val="24"/>
          <w:szCs w:val="24"/>
        </w:rPr>
        <w:t>EGA</w:t>
      </w:r>
      <w:r w:rsidR="00DC19DC" w:rsidRPr="0078191A">
        <w:rPr>
          <w:rFonts w:ascii="Arial" w:hAnsi="Arial"/>
          <w:color w:val="000000" w:themeColor="text1"/>
          <w:sz w:val="24"/>
          <w:szCs w:val="24"/>
        </w:rPr>
        <w:t>R</w:t>
      </w:r>
      <w:r w:rsidR="0087196E" w:rsidRPr="0078191A">
        <w:rPr>
          <w:rFonts w:ascii="Arial" w:hAnsi="Arial"/>
          <w:color w:val="000000" w:themeColor="text1"/>
          <w:sz w:val="24"/>
          <w:szCs w:val="24"/>
        </w:rPr>
        <w:t xml:space="preserve"> la tutela frente </w:t>
      </w:r>
      <w:r w:rsidR="0078191A">
        <w:rPr>
          <w:rFonts w:ascii="Arial" w:hAnsi="Arial"/>
          <w:color w:val="000000" w:themeColor="text1"/>
          <w:sz w:val="24"/>
          <w:szCs w:val="24"/>
        </w:rPr>
        <w:t xml:space="preserve">a la </w:t>
      </w:r>
      <w:r w:rsidR="0078191A" w:rsidRPr="0078191A">
        <w:rPr>
          <w:rFonts w:ascii="Arial" w:hAnsi="Arial"/>
          <w:color w:val="000000" w:themeColor="text1"/>
          <w:sz w:val="24"/>
          <w:szCs w:val="24"/>
          <w:lang w:val="es-ES"/>
        </w:rPr>
        <w:t>Caja de Crédito Industrial y Minero en Liquid</w:t>
      </w:r>
      <w:r w:rsidR="0078191A">
        <w:rPr>
          <w:rFonts w:ascii="Arial" w:hAnsi="Arial"/>
          <w:color w:val="000000" w:themeColor="text1"/>
          <w:sz w:val="24"/>
          <w:szCs w:val="24"/>
          <w:lang w:val="es-ES"/>
        </w:rPr>
        <w:t>ación, el Procurador Agrario</w:t>
      </w:r>
      <w:r w:rsidR="0078191A">
        <w:rPr>
          <w:rFonts w:ascii="Arial" w:hAnsi="Arial" w:cs="Arial"/>
          <w:sz w:val="24"/>
          <w:szCs w:val="24"/>
        </w:rPr>
        <w:t>, y los señores Amparito Castaño de Gómez, Luis Enrique Gutiérrez Castaño</w:t>
      </w:r>
      <w:r w:rsidR="0087196E" w:rsidRPr="0078191A">
        <w:rPr>
          <w:rFonts w:ascii="Arial" w:hAnsi="Arial"/>
          <w:color w:val="000000" w:themeColor="text1"/>
          <w:sz w:val="24"/>
          <w:szCs w:val="24"/>
        </w:rPr>
        <w:t xml:space="preserve">, </w:t>
      </w:r>
      <w:r w:rsidR="0078191A" w:rsidRPr="0078191A">
        <w:rPr>
          <w:rFonts w:ascii="Arial" w:hAnsi="Arial"/>
          <w:color w:val="000000" w:themeColor="text1"/>
          <w:sz w:val="24"/>
          <w:szCs w:val="24"/>
          <w:lang w:val="es-ES"/>
        </w:rPr>
        <w:t>Luz Marina Castaño Naranjo, Juan Carlos Vergara Trujillo, Miguel Ángel Duarte Pulido, José Nayib Vásquez Ramírez y Carlos Ariel Correa Jiménez</w:t>
      </w:r>
      <w:r w:rsidR="0078191A">
        <w:rPr>
          <w:rFonts w:ascii="Arial" w:hAnsi="Arial"/>
          <w:color w:val="000000" w:themeColor="text1"/>
          <w:sz w:val="24"/>
          <w:szCs w:val="24"/>
          <w:lang w:val="es-ES"/>
        </w:rPr>
        <w:t xml:space="preserve">, </w:t>
      </w:r>
      <w:r w:rsidR="0087196E" w:rsidRPr="0078191A">
        <w:rPr>
          <w:rFonts w:ascii="Arial" w:hAnsi="Arial"/>
          <w:color w:val="000000" w:themeColor="text1"/>
          <w:sz w:val="24"/>
          <w:szCs w:val="24"/>
        </w:rPr>
        <w:t xml:space="preserve">por inexistencia o </w:t>
      </w:r>
      <w:r w:rsidR="00DC19DC" w:rsidRPr="0078191A">
        <w:rPr>
          <w:rFonts w:ascii="Arial" w:hAnsi="Arial"/>
          <w:color w:val="000000" w:themeColor="text1"/>
          <w:sz w:val="24"/>
          <w:szCs w:val="24"/>
        </w:rPr>
        <w:t>v</w:t>
      </w:r>
      <w:r w:rsidR="0087196E" w:rsidRPr="0078191A">
        <w:rPr>
          <w:rFonts w:ascii="Arial" w:hAnsi="Arial"/>
          <w:color w:val="000000" w:themeColor="text1"/>
          <w:sz w:val="24"/>
          <w:szCs w:val="24"/>
        </w:rPr>
        <w:t>ulneración frente a los derechos invocados.</w:t>
      </w:r>
    </w:p>
    <w:p w:rsidR="00C032BF" w:rsidRPr="00E24FB8" w:rsidRDefault="00C032BF" w:rsidP="00E24FB8">
      <w:pPr>
        <w:pStyle w:val="Textoindependiente"/>
        <w:tabs>
          <w:tab w:val="clear" w:pos="708"/>
          <w:tab w:val="clear" w:pos="1416"/>
          <w:tab w:val="left" w:pos="426"/>
        </w:tabs>
        <w:spacing w:line="360" w:lineRule="auto"/>
        <w:ind w:left="426"/>
        <w:rPr>
          <w:rFonts w:ascii="Arial" w:hAnsi="Arial"/>
          <w:color w:val="000000" w:themeColor="text1"/>
          <w:sz w:val="24"/>
          <w:szCs w:val="24"/>
        </w:rPr>
      </w:pPr>
    </w:p>
    <w:p w:rsidR="00C032BF" w:rsidRPr="00E24FB8" w:rsidRDefault="00C032BF" w:rsidP="00E24FB8">
      <w:pPr>
        <w:pStyle w:val="Textoindependien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E24FB8">
        <w:rPr>
          <w:rFonts w:ascii="Arial" w:hAnsi="Arial"/>
          <w:color w:val="000000" w:themeColor="text1"/>
          <w:sz w:val="24"/>
          <w:szCs w:val="24"/>
        </w:rPr>
        <w:t>NOTIFICAR esta decisión a todas las partes, por el medio más expedito y eficaz.</w:t>
      </w:r>
    </w:p>
    <w:p w:rsidR="00C032BF" w:rsidRPr="00E24FB8" w:rsidRDefault="00C032BF" w:rsidP="00E24FB8">
      <w:pPr>
        <w:pStyle w:val="Textoindependiente"/>
        <w:tabs>
          <w:tab w:val="clear" w:pos="708"/>
          <w:tab w:val="clear" w:pos="1416"/>
          <w:tab w:val="left" w:pos="426"/>
        </w:tabs>
        <w:spacing w:line="360" w:lineRule="auto"/>
        <w:ind w:left="426"/>
        <w:rPr>
          <w:rFonts w:ascii="Arial" w:hAnsi="Arial"/>
          <w:color w:val="000000" w:themeColor="text1"/>
          <w:sz w:val="24"/>
          <w:szCs w:val="24"/>
        </w:rPr>
      </w:pPr>
    </w:p>
    <w:p w:rsidR="00C032BF" w:rsidRPr="00E24FB8" w:rsidRDefault="00C032BF" w:rsidP="00E24FB8">
      <w:pPr>
        <w:pStyle w:val="Textoindependiente"/>
        <w:numPr>
          <w:ilvl w:val="0"/>
          <w:numId w:val="21"/>
        </w:numPr>
        <w:tabs>
          <w:tab w:val="clear" w:pos="708"/>
          <w:tab w:val="clear" w:pos="1416"/>
          <w:tab w:val="num" w:pos="360"/>
          <w:tab w:val="left" w:pos="426"/>
        </w:tabs>
        <w:spacing w:line="360" w:lineRule="auto"/>
        <w:ind w:left="426" w:hanging="426"/>
        <w:rPr>
          <w:rFonts w:ascii="Arial" w:hAnsi="Arial"/>
          <w:color w:val="000000" w:themeColor="text1"/>
          <w:sz w:val="24"/>
          <w:szCs w:val="24"/>
        </w:rPr>
      </w:pPr>
      <w:r w:rsidRPr="00E24FB8">
        <w:rPr>
          <w:rFonts w:ascii="Arial" w:hAnsi="Arial"/>
          <w:color w:val="000000" w:themeColor="text1"/>
          <w:sz w:val="24"/>
          <w:szCs w:val="24"/>
        </w:rPr>
        <w:t>REMITIR este expediente a la Corte Constitucional para su eventual revisión.</w:t>
      </w:r>
    </w:p>
    <w:p w:rsidR="003913E3" w:rsidRPr="00A8296A"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
          <w:lang w:val="es-ES_tradnl"/>
        </w:rPr>
      </w:pPr>
    </w:p>
    <w:p w:rsidR="003913E3" w:rsidRPr="00C53999" w:rsidRDefault="003913E3" w:rsidP="00F839CE">
      <w:pPr>
        <w:pStyle w:val="Textoindependiente"/>
        <w:spacing w:line="360" w:lineRule="auto"/>
        <w:jc w:val="center"/>
        <w:rPr>
          <w:rFonts w:ascii="Arial" w:hAnsi="Arial"/>
          <w:smallCaps/>
          <w:sz w:val="22"/>
          <w:szCs w:val="24"/>
          <w:lang w:val="en-US"/>
        </w:rPr>
      </w:pPr>
      <w:r w:rsidRPr="005069CE">
        <w:rPr>
          <w:rFonts w:ascii="Arial" w:hAnsi="Arial"/>
          <w:smallCaps/>
          <w:sz w:val="24"/>
          <w:szCs w:val="24"/>
          <w:lang w:val="en-US"/>
        </w:rPr>
        <w:t>Notifíquese,</w:t>
      </w:r>
    </w:p>
    <w:p w:rsidR="000D55C9" w:rsidRDefault="000D55C9"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A8296A" w:rsidRPr="002D619F" w:rsidRDefault="00A8296A"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F72D3F" w:rsidRPr="00534B95"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534B95">
        <w:rPr>
          <w:rFonts w:ascii="Arial" w:hAnsi="Arial" w:cs="Arial"/>
          <w:spacing w:val="-3"/>
          <w:w w:val="150"/>
          <w:sz w:val="32"/>
          <w:szCs w:val="18"/>
          <w:lang w:val="es-CO"/>
        </w:rPr>
        <w:t>D</w:t>
      </w:r>
      <w:r w:rsidRPr="00534B95">
        <w:rPr>
          <w:rFonts w:ascii="Arial" w:hAnsi="Arial" w:cs="Arial"/>
          <w:spacing w:val="-3"/>
          <w:w w:val="150"/>
          <w:sz w:val="18"/>
          <w:szCs w:val="18"/>
          <w:lang w:val="es-CO"/>
        </w:rPr>
        <w:t xml:space="preserve">UBERNEY </w:t>
      </w:r>
      <w:r w:rsidRPr="00534B95">
        <w:rPr>
          <w:rFonts w:ascii="Arial" w:hAnsi="Arial" w:cs="Arial"/>
          <w:spacing w:val="-3"/>
          <w:w w:val="150"/>
          <w:sz w:val="28"/>
          <w:szCs w:val="18"/>
          <w:lang w:val="es-CO"/>
        </w:rPr>
        <w:t>G</w:t>
      </w:r>
      <w:r w:rsidRPr="00534B95">
        <w:rPr>
          <w:rFonts w:ascii="Arial" w:hAnsi="Arial" w:cs="Arial"/>
          <w:spacing w:val="-3"/>
          <w:w w:val="150"/>
          <w:sz w:val="18"/>
          <w:szCs w:val="18"/>
          <w:lang w:val="es-CO"/>
        </w:rPr>
        <w:t xml:space="preserve">RISALES </w:t>
      </w:r>
      <w:r w:rsidRPr="00534B95">
        <w:rPr>
          <w:rFonts w:ascii="Arial" w:hAnsi="Arial" w:cs="Arial"/>
          <w:spacing w:val="-3"/>
          <w:w w:val="150"/>
          <w:sz w:val="28"/>
          <w:szCs w:val="18"/>
          <w:lang w:val="es-CO"/>
        </w:rPr>
        <w:t>H</w:t>
      </w:r>
      <w:r w:rsidRPr="00534B95">
        <w:rPr>
          <w:rFonts w:ascii="Arial" w:hAnsi="Arial" w:cs="Arial"/>
          <w:spacing w:val="-3"/>
          <w:w w:val="150"/>
          <w:sz w:val="18"/>
          <w:szCs w:val="18"/>
          <w:lang w:val="es-CO"/>
        </w:rPr>
        <w:t>ERRERA</w:t>
      </w:r>
    </w:p>
    <w:p w:rsidR="00F72D3F" w:rsidRPr="00534B95"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534B95">
        <w:rPr>
          <w:rFonts w:ascii="Arial" w:hAnsi="Arial" w:cs="Arial"/>
          <w:spacing w:val="-3"/>
          <w:w w:val="150"/>
          <w:sz w:val="32"/>
          <w:lang w:val="es-CO"/>
        </w:rPr>
        <w:t>M</w:t>
      </w:r>
      <w:r w:rsidRPr="00534B95">
        <w:rPr>
          <w:rFonts w:ascii="Arial" w:hAnsi="Arial" w:cs="Arial"/>
          <w:spacing w:val="-3"/>
          <w:w w:val="150"/>
          <w:sz w:val="16"/>
          <w:lang w:val="es-CO"/>
        </w:rPr>
        <w:t xml:space="preserve"> </w:t>
      </w:r>
      <w:r w:rsidRPr="00534B95">
        <w:rPr>
          <w:rFonts w:ascii="Arial" w:hAnsi="Arial" w:cs="Arial"/>
          <w:spacing w:val="-3"/>
          <w:w w:val="150"/>
          <w:sz w:val="18"/>
          <w:szCs w:val="20"/>
          <w:lang w:val="es-CO"/>
        </w:rPr>
        <w:t>A G I S T R A D O</w:t>
      </w:r>
    </w:p>
    <w:p w:rsidR="000D55C9" w:rsidRDefault="000D55C9"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ES_tradnl"/>
        </w:rPr>
      </w:pPr>
    </w:p>
    <w:p w:rsidR="00A8296A" w:rsidRDefault="00A8296A"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ES_tradnl"/>
        </w:rPr>
      </w:pPr>
    </w:p>
    <w:p w:rsidR="00F72D3F" w:rsidRPr="00534B95" w:rsidRDefault="00F72D3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534B95">
        <w:rPr>
          <w:rFonts w:ascii="Arial" w:hAnsi="Arial"/>
          <w:w w:val="150"/>
          <w:sz w:val="28"/>
          <w:szCs w:val="18"/>
          <w:lang w:val="es-ES_tradnl"/>
        </w:rPr>
        <w:t>E</w:t>
      </w:r>
      <w:r w:rsidRPr="00534B95">
        <w:rPr>
          <w:rFonts w:ascii="Arial" w:hAnsi="Arial"/>
          <w:w w:val="150"/>
          <w:sz w:val="18"/>
          <w:szCs w:val="18"/>
          <w:lang w:val="es-ES_tradnl"/>
        </w:rPr>
        <w:t>DDER</w:t>
      </w:r>
      <w:r w:rsidRPr="00534B95">
        <w:rPr>
          <w:rFonts w:ascii="Arial" w:hAnsi="Arial"/>
          <w:w w:val="150"/>
          <w:sz w:val="18"/>
          <w:lang w:val="es-ES_tradnl"/>
        </w:rPr>
        <w:t xml:space="preserve"> </w:t>
      </w:r>
      <w:r w:rsidRPr="00534B95">
        <w:rPr>
          <w:rFonts w:ascii="Arial" w:hAnsi="Arial"/>
          <w:w w:val="150"/>
          <w:sz w:val="28"/>
          <w:lang w:val="es-ES_tradnl"/>
        </w:rPr>
        <w:t>J</w:t>
      </w:r>
      <w:r w:rsidRPr="00534B95">
        <w:rPr>
          <w:rFonts w:ascii="Arial" w:hAnsi="Arial"/>
          <w:w w:val="150"/>
          <w:sz w:val="18"/>
          <w:szCs w:val="18"/>
          <w:lang w:val="es-ES_tradnl"/>
        </w:rPr>
        <w:t xml:space="preserve">IMMY </w:t>
      </w:r>
      <w:r w:rsidRPr="00534B95">
        <w:rPr>
          <w:rFonts w:ascii="Arial" w:hAnsi="Arial"/>
          <w:w w:val="150"/>
          <w:sz w:val="28"/>
          <w:lang w:val="es-ES_tradnl"/>
        </w:rPr>
        <w:t>S</w:t>
      </w:r>
      <w:r w:rsidRPr="00534B95">
        <w:rPr>
          <w:rFonts w:ascii="Arial" w:hAnsi="Arial"/>
          <w:w w:val="150"/>
          <w:sz w:val="18"/>
          <w:szCs w:val="18"/>
          <w:lang w:val="es-ES_tradnl"/>
        </w:rPr>
        <w:t xml:space="preserve">ÁNCHEZ </w:t>
      </w:r>
      <w:r w:rsidRPr="00534B95">
        <w:rPr>
          <w:rFonts w:ascii="Arial" w:hAnsi="Arial"/>
          <w:w w:val="150"/>
          <w:sz w:val="28"/>
          <w:szCs w:val="18"/>
          <w:lang w:val="es-ES_tradnl"/>
        </w:rPr>
        <w:t>C.</w:t>
      </w:r>
      <w:r w:rsidR="006618F4" w:rsidRPr="00534B95">
        <w:rPr>
          <w:rFonts w:ascii="Arial" w:hAnsi="Arial"/>
          <w:w w:val="150"/>
          <w:sz w:val="28"/>
          <w:szCs w:val="18"/>
          <w:lang w:val="es-ES_tradnl"/>
        </w:rPr>
        <w:tab/>
      </w:r>
      <w:r w:rsidR="006618F4" w:rsidRPr="00534B95">
        <w:rPr>
          <w:rFonts w:ascii="Arial" w:hAnsi="Arial"/>
          <w:w w:val="150"/>
          <w:sz w:val="28"/>
          <w:szCs w:val="18"/>
          <w:lang w:val="es-ES_tradnl"/>
        </w:rPr>
        <w:tab/>
      </w:r>
      <w:r w:rsidR="00F75CEC">
        <w:rPr>
          <w:rFonts w:ascii="Arial" w:hAnsi="Arial"/>
          <w:w w:val="150"/>
          <w:sz w:val="28"/>
          <w:szCs w:val="18"/>
          <w:lang w:val="es-ES_tradnl"/>
        </w:rPr>
        <w:t xml:space="preserve">   </w:t>
      </w:r>
      <w:r w:rsidR="006618F4" w:rsidRPr="00534B95">
        <w:rPr>
          <w:rFonts w:ascii="Arial" w:hAnsi="Arial" w:cs="Arial"/>
          <w:spacing w:val="-3"/>
          <w:w w:val="150"/>
          <w:sz w:val="28"/>
          <w:szCs w:val="18"/>
        </w:rPr>
        <w:t>J</w:t>
      </w:r>
      <w:r w:rsidR="006618F4" w:rsidRPr="00534B95">
        <w:rPr>
          <w:rFonts w:ascii="Arial" w:hAnsi="Arial" w:cs="Arial"/>
          <w:spacing w:val="-3"/>
          <w:w w:val="150"/>
          <w:sz w:val="18"/>
          <w:szCs w:val="18"/>
        </w:rPr>
        <w:t xml:space="preserve">AIME </w:t>
      </w:r>
      <w:r w:rsidR="006618F4" w:rsidRPr="00534B95">
        <w:rPr>
          <w:rFonts w:ascii="Arial" w:hAnsi="Arial" w:cs="Arial"/>
          <w:spacing w:val="-3"/>
          <w:w w:val="150"/>
          <w:sz w:val="28"/>
          <w:szCs w:val="18"/>
        </w:rPr>
        <w:t>A</w:t>
      </w:r>
      <w:r w:rsidR="006618F4" w:rsidRPr="00534B95">
        <w:rPr>
          <w:rFonts w:ascii="Arial" w:hAnsi="Arial"/>
          <w:w w:val="150"/>
          <w:sz w:val="18"/>
          <w:szCs w:val="18"/>
        </w:rPr>
        <w:t xml:space="preserve">LBERTO </w:t>
      </w:r>
      <w:r w:rsidR="006618F4" w:rsidRPr="00534B95">
        <w:rPr>
          <w:rFonts w:ascii="Arial" w:hAnsi="Arial" w:cs="Arial"/>
          <w:spacing w:val="-3"/>
          <w:w w:val="150"/>
          <w:sz w:val="28"/>
          <w:szCs w:val="18"/>
        </w:rPr>
        <w:t>S</w:t>
      </w:r>
      <w:r w:rsidR="006618F4" w:rsidRPr="00534B95">
        <w:rPr>
          <w:rFonts w:ascii="Arial" w:hAnsi="Arial" w:cs="Arial"/>
          <w:spacing w:val="-3"/>
          <w:w w:val="150"/>
          <w:sz w:val="18"/>
          <w:szCs w:val="16"/>
        </w:rPr>
        <w:t xml:space="preserve">ARAZA </w:t>
      </w:r>
      <w:r w:rsidR="006618F4" w:rsidRPr="00534B95">
        <w:rPr>
          <w:rFonts w:ascii="Arial" w:hAnsi="Arial" w:cs="Arial"/>
          <w:spacing w:val="-3"/>
          <w:w w:val="150"/>
          <w:sz w:val="28"/>
          <w:szCs w:val="18"/>
        </w:rPr>
        <w:t>N.</w:t>
      </w:r>
    </w:p>
    <w:p w:rsidR="0056500B" w:rsidRDefault="00F72D3F" w:rsidP="007819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534B95">
        <w:rPr>
          <w:rFonts w:ascii="Arial" w:hAnsi="Arial" w:cs="Arial"/>
          <w:w w:val="150"/>
          <w:sz w:val="28"/>
          <w:lang w:val="es-ES_tradnl"/>
        </w:rPr>
        <w:tab/>
      </w:r>
      <w:r w:rsidRPr="00534B95">
        <w:rPr>
          <w:rFonts w:ascii="Arial" w:hAnsi="Arial" w:cs="Arial"/>
          <w:w w:val="150"/>
          <w:sz w:val="28"/>
          <w:lang w:val="en-GB"/>
        </w:rPr>
        <w:t>M</w:t>
      </w:r>
      <w:r w:rsidRPr="00534B95">
        <w:rPr>
          <w:rFonts w:ascii="Arial" w:hAnsi="Arial" w:cs="Arial"/>
          <w:w w:val="150"/>
          <w:sz w:val="18"/>
          <w:lang w:val="en-GB"/>
        </w:rPr>
        <w:t xml:space="preserve"> A G I S T R A D </w:t>
      </w:r>
      <w:r w:rsidR="00580039" w:rsidRPr="00534B95">
        <w:rPr>
          <w:rFonts w:ascii="Arial" w:hAnsi="Arial" w:cs="Arial"/>
          <w:w w:val="150"/>
          <w:sz w:val="18"/>
          <w:lang w:val="en-GB"/>
        </w:rPr>
        <w:t>O</w:t>
      </w:r>
      <w:r w:rsidRPr="00534B95">
        <w:rPr>
          <w:rFonts w:ascii="Arial" w:hAnsi="Arial" w:cs="Arial"/>
          <w:w w:val="150"/>
          <w:sz w:val="18"/>
          <w:lang w:val="en-GB"/>
        </w:rPr>
        <w:t xml:space="preserve"> </w:t>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Pr="00534B95">
        <w:rPr>
          <w:rFonts w:ascii="Arial" w:hAnsi="Arial" w:cs="Arial"/>
          <w:w w:val="150"/>
          <w:sz w:val="18"/>
          <w:lang w:val="en-GB"/>
        </w:rPr>
        <w:tab/>
      </w:r>
      <w:r w:rsidR="00F75CEC">
        <w:rPr>
          <w:rFonts w:ascii="Arial" w:hAnsi="Arial" w:cs="Arial"/>
          <w:w w:val="150"/>
          <w:sz w:val="18"/>
          <w:lang w:val="en-GB"/>
        </w:rPr>
        <w:t xml:space="preserve">  </w:t>
      </w:r>
      <w:r w:rsidRPr="00534B95">
        <w:rPr>
          <w:rFonts w:ascii="Arial" w:hAnsi="Arial" w:cs="Arial"/>
          <w:w w:val="150"/>
          <w:sz w:val="28"/>
          <w:lang w:val="en-GB"/>
        </w:rPr>
        <w:t>M</w:t>
      </w:r>
      <w:r w:rsidRPr="00534B95">
        <w:rPr>
          <w:rFonts w:ascii="Arial" w:hAnsi="Arial" w:cs="Arial"/>
          <w:w w:val="150"/>
          <w:sz w:val="18"/>
          <w:lang w:val="en-GB"/>
        </w:rPr>
        <w:t xml:space="preserve"> A G I S T R A D</w:t>
      </w:r>
      <w:r w:rsidR="005424E8">
        <w:rPr>
          <w:rFonts w:ascii="Arial" w:hAnsi="Arial" w:cs="Arial"/>
          <w:w w:val="150"/>
          <w:sz w:val="18"/>
          <w:lang w:val="en-GB"/>
        </w:rPr>
        <w:t xml:space="preserve"> </w:t>
      </w:r>
      <w:r w:rsidRPr="00534B95">
        <w:rPr>
          <w:rFonts w:ascii="Arial" w:hAnsi="Arial" w:cs="Arial"/>
          <w:w w:val="150"/>
          <w:sz w:val="18"/>
          <w:lang w:val="en-GB"/>
        </w:rPr>
        <w:t>O</w:t>
      </w:r>
    </w:p>
    <w:p w:rsidR="00B047F5" w:rsidRPr="005A4153" w:rsidRDefault="0056500B" w:rsidP="005650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r>
      <w:r w:rsidRPr="0056500B">
        <w:rPr>
          <w:rFonts w:ascii="Arial" w:hAnsi="Arial" w:cs="Arial"/>
          <w:w w:val="150"/>
          <w:sz w:val="6"/>
          <w:lang w:val="en-GB"/>
        </w:rPr>
        <w:tab/>
        <w:t>DGH/ODCD/2016</w:t>
      </w:r>
      <w:r w:rsidR="005424E8">
        <w:rPr>
          <w:rFonts w:ascii="Arial" w:hAnsi="Arial" w:cs="Arial"/>
          <w:w w:val="150"/>
          <w:sz w:val="18"/>
          <w:lang w:val="en-GB"/>
        </w:rPr>
        <w:t xml:space="preserve">   </w:t>
      </w:r>
    </w:p>
    <w:sectPr w:rsidR="00B047F5" w:rsidRPr="005A4153" w:rsidSect="00CD08AD">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85" w:rsidRDefault="00080385" w:rsidP="002F20AB">
      <w:r>
        <w:separator/>
      </w:r>
    </w:p>
  </w:endnote>
  <w:endnote w:type="continuationSeparator" w:id="0">
    <w:p w:rsidR="00080385" w:rsidRDefault="0008038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E" w:rsidRDefault="00EF623E">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EF623E" w:rsidRDefault="00EF62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E" w:rsidRPr="00F839CE" w:rsidRDefault="00EF623E" w:rsidP="00A67268">
    <w:pPr>
      <w:pStyle w:val="Piedepgina"/>
      <w:pBdr>
        <w:bottom w:val="double" w:sz="6" w:space="1" w:color="auto"/>
      </w:pBdr>
      <w:spacing w:line="360" w:lineRule="auto"/>
      <w:rPr>
        <w:rFonts w:ascii="Arial" w:hAnsi="Arial" w:cs="Arial"/>
        <w:spacing w:val="20"/>
        <w:w w:val="200"/>
        <w:sz w:val="14"/>
        <w:szCs w:val="10"/>
        <w:lang w:val="es-ES"/>
      </w:rPr>
    </w:pPr>
  </w:p>
  <w:p w:rsidR="00EF623E" w:rsidRDefault="00EF623E" w:rsidP="00751EE2">
    <w:pPr>
      <w:pStyle w:val="Piedepgina"/>
      <w:spacing w:line="360" w:lineRule="auto"/>
      <w:jc w:val="right"/>
      <w:rPr>
        <w:rFonts w:ascii="Arial" w:hAnsi="Arial" w:cs="Arial"/>
        <w:spacing w:val="20"/>
        <w:w w:val="200"/>
        <w:sz w:val="14"/>
        <w:szCs w:val="10"/>
      </w:rPr>
    </w:pPr>
  </w:p>
  <w:p w:rsidR="00EF623E" w:rsidRPr="00C53999" w:rsidRDefault="00EF623E"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EF623E" w:rsidRPr="00C53999" w:rsidRDefault="00EF623E"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E" w:rsidRPr="00C53999" w:rsidRDefault="00EF623E"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EF623E" w:rsidRPr="00213147" w:rsidRDefault="00EF623E"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85" w:rsidRDefault="00080385" w:rsidP="002F20AB">
      <w:r>
        <w:separator/>
      </w:r>
    </w:p>
  </w:footnote>
  <w:footnote w:type="continuationSeparator" w:id="0">
    <w:p w:rsidR="00080385" w:rsidRDefault="00080385" w:rsidP="002F20AB">
      <w:r>
        <w:continuationSeparator/>
      </w:r>
    </w:p>
  </w:footnote>
  <w:footnote w:id="1">
    <w:p w:rsidR="00EF623E" w:rsidRDefault="00EF623E" w:rsidP="00786E7E">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EF623E" w:rsidRPr="00567558" w:rsidRDefault="00EF623E" w:rsidP="00786E7E">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EF623E" w:rsidRPr="00567558" w:rsidRDefault="00EF623E" w:rsidP="00786E7E">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EF623E" w:rsidRPr="00567558" w:rsidRDefault="00EF623E" w:rsidP="00786E7E">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EF623E" w:rsidRPr="005D1B2D" w:rsidRDefault="00EF623E" w:rsidP="00786E7E">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EF623E" w:rsidRPr="00567558" w:rsidRDefault="00EF623E" w:rsidP="00786E7E">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EF623E" w:rsidRDefault="00EF623E" w:rsidP="00786E7E">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EF623E" w:rsidRPr="00870FE8" w:rsidRDefault="00EF623E" w:rsidP="00786E7E">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SU-636 de 2015.</w:t>
      </w:r>
    </w:p>
  </w:footnote>
  <w:footnote w:id="9">
    <w:p w:rsidR="00EF623E" w:rsidRPr="00376F61" w:rsidRDefault="00EF623E" w:rsidP="00786E7E">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10">
    <w:p w:rsidR="00EF623E" w:rsidRPr="00376F61" w:rsidRDefault="00EF623E" w:rsidP="00786E7E">
      <w:pPr>
        <w:pStyle w:val="Textonotapie"/>
        <w:jc w:val="both"/>
        <w:rPr>
          <w:rFonts w:asciiTheme="minorHAnsi" w:hAnsiTheme="minorHAnsi"/>
        </w:rPr>
      </w:pPr>
      <w:r w:rsidRPr="00376F61">
        <w:rPr>
          <w:rStyle w:val="Refdenotaalpie"/>
          <w:rFonts w:asciiTheme="minorHAnsi" w:hAnsiTheme="minorHAnsi" w:cs="Calibri"/>
        </w:rPr>
        <w:footnoteRef/>
      </w:r>
      <w:r>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11">
    <w:p w:rsidR="00EF623E" w:rsidRPr="00C83EC6" w:rsidRDefault="00EF623E" w:rsidP="00786E7E">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12">
    <w:p w:rsidR="00EF623E" w:rsidRPr="00C83EC6" w:rsidRDefault="00EF623E" w:rsidP="00786E7E">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11-03-2014, M.P. Eugenio Fernández Carlier.</w:t>
      </w:r>
    </w:p>
  </w:footnote>
  <w:footnote w:id="13">
    <w:p w:rsidR="00EF623E" w:rsidRPr="00C83EC6" w:rsidRDefault="00EF623E" w:rsidP="00786E7E">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M.P. Margarita Cabello Blanco.</w:t>
      </w:r>
    </w:p>
  </w:footnote>
  <w:footnote w:id="14">
    <w:p w:rsidR="00EF623E" w:rsidRPr="00C83EC6" w:rsidRDefault="00EF623E" w:rsidP="00786E7E">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15">
    <w:p w:rsidR="00EF623E" w:rsidRPr="00C83EC6" w:rsidRDefault="00EF623E" w:rsidP="00786E7E">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16">
    <w:p w:rsidR="00EF623E" w:rsidRPr="00C83EC6" w:rsidRDefault="00EF623E" w:rsidP="00786E7E">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17">
    <w:p w:rsidR="00EF623E" w:rsidRPr="00376F61" w:rsidRDefault="00EF623E" w:rsidP="00786E7E">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8">
    <w:p w:rsidR="00EF623E" w:rsidRPr="00376F61" w:rsidRDefault="00EF623E" w:rsidP="00786E7E">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 xml:space="preserve">Sentencias T-016 de 2006, T-158 de 2006, T-654 de 2006, T-890 de 2006, T-905 de 2006, T-1084 de 2006, T-1009 de 2006, T-792 de 2007, T-594 de 2008 entre otras.  </w:t>
      </w:r>
    </w:p>
  </w:footnote>
  <w:footnote w:id="19">
    <w:p w:rsidR="00EF623E" w:rsidRPr="00376F61" w:rsidRDefault="00EF623E" w:rsidP="00786E7E">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20">
    <w:p w:rsidR="00EF623E" w:rsidRPr="00376F61" w:rsidRDefault="00EF623E" w:rsidP="00786E7E">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 T-692 de 2006, T-1009 de 2006, T-299 de 2009, T-691 de 2009, T-883 de 2009, entre otras. </w:t>
      </w:r>
    </w:p>
  </w:footnote>
  <w:footnote w:id="21">
    <w:p w:rsidR="00EF623E" w:rsidRPr="000D55C9" w:rsidRDefault="00EF623E"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T-231 de 1994.</w:t>
      </w:r>
    </w:p>
  </w:footnote>
  <w:footnote w:id="22">
    <w:p w:rsidR="00EF623E" w:rsidRPr="000D55C9" w:rsidRDefault="00EF623E"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CORTE CONSTITUCIONAL. Sentencia T-831 del 22-10-2012.</w:t>
      </w:r>
    </w:p>
  </w:footnote>
  <w:footnote w:id="23">
    <w:p w:rsidR="00EF623E" w:rsidRPr="000D55C9" w:rsidRDefault="00EF623E" w:rsidP="003861A4">
      <w:pPr>
        <w:pStyle w:val="Textonotapie"/>
        <w:jc w:val="both"/>
        <w:rPr>
          <w:rFonts w:asciiTheme="minorHAnsi" w:hAnsiTheme="minorHAnsi"/>
          <w:lang w:val="es-CO"/>
        </w:rPr>
      </w:pPr>
      <w:r w:rsidRPr="000D55C9">
        <w:rPr>
          <w:rStyle w:val="Refdenotaalpie"/>
          <w:rFonts w:asciiTheme="minorHAnsi" w:hAnsiTheme="minorHAnsi" w:cs="Calibri"/>
          <w:lang w:val="es-CO"/>
        </w:rPr>
        <w:footnoteRef/>
      </w:r>
      <w:r w:rsidRPr="000D55C9">
        <w:rPr>
          <w:rFonts w:asciiTheme="minorHAnsi" w:hAnsiTheme="minorHAnsi" w:cs="Calibri"/>
          <w:lang w:val="es-CO"/>
        </w:rPr>
        <w:t xml:space="preserve"> QUINCHE RAMÍREZ, Manuel Fernando. La acción de tutela, el amparo en Colombia, Bogotá DC, 2011, p.268.</w:t>
      </w:r>
    </w:p>
  </w:footnote>
  <w:footnote w:id="24">
    <w:p w:rsidR="00EF623E" w:rsidRPr="000D55C9" w:rsidRDefault="00EF623E" w:rsidP="003861A4">
      <w:pPr>
        <w:pStyle w:val="Textonotapie"/>
        <w:jc w:val="both"/>
        <w:rPr>
          <w:rFonts w:asciiTheme="minorHAnsi" w:hAnsiTheme="minorHAnsi"/>
          <w:lang w:val="es-CO"/>
        </w:rPr>
      </w:pPr>
      <w:r w:rsidRPr="000D55C9">
        <w:rPr>
          <w:rFonts w:asciiTheme="minorHAnsi" w:hAnsiTheme="minorHAnsi"/>
          <w:vertAlign w:val="superscript"/>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w:t>
      </w:r>
      <w:r w:rsidRPr="000D55C9">
        <w:rPr>
          <w:rFonts w:asciiTheme="minorHAnsi" w:hAnsiTheme="minorHAnsi"/>
          <w:lang w:val="es-CO"/>
        </w:rPr>
        <w:t>. Sentencia T-573 de 1997.</w:t>
      </w:r>
    </w:p>
  </w:footnote>
  <w:footnote w:id="25">
    <w:p w:rsidR="00EF623E" w:rsidRPr="000D55C9" w:rsidRDefault="00EF623E" w:rsidP="003861A4">
      <w:pPr>
        <w:pStyle w:val="Textonotapie"/>
        <w:jc w:val="both"/>
        <w:rPr>
          <w:rFonts w:asciiTheme="minorHAnsi" w:hAnsiTheme="minorHAnsi"/>
          <w:lang w:val="es-CO"/>
        </w:rPr>
      </w:pPr>
      <w:r w:rsidRPr="000D55C9">
        <w:rPr>
          <w:rFonts w:asciiTheme="minorHAnsi" w:hAnsiTheme="minorHAnsi"/>
          <w:vertAlign w:val="superscript"/>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w:t>
      </w:r>
      <w:r w:rsidRPr="000D55C9">
        <w:rPr>
          <w:rFonts w:asciiTheme="minorHAnsi" w:hAnsiTheme="minorHAnsi"/>
          <w:lang w:val="es-CO"/>
        </w:rPr>
        <w:t>. Sentencia T-567 de 1998.</w:t>
      </w:r>
    </w:p>
  </w:footnote>
  <w:footnote w:id="26">
    <w:p w:rsidR="00EF623E" w:rsidRPr="000D55C9" w:rsidRDefault="00EF623E" w:rsidP="003861A4">
      <w:pPr>
        <w:pStyle w:val="Textonotapie"/>
        <w:jc w:val="both"/>
        <w:rPr>
          <w:rFonts w:asciiTheme="minorHAnsi" w:hAnsiTheme="minorHAnsi"/>
          <w:lang w:val="es-CO"/>
        </w:rPr>
      </w:pPr>
      <w:r w:rsidRPr="000D55C9">
        <w:rPr>
          <w:rFonts w:asciiTheme="minorHAnsi" w:hAnsiTheme="minorHAnsi"/>
          <w:vertAlign w:val="superscript"/>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w:t>
      </w:r>
      <w:r w:rsidRPr="000D55C9">
        <w:rPr>
          <w:rFonts w:asciiTheme="minorHAnsi" w:hAnsiTheme="minorHAnsi"/>
          <w:lang w:val="es-CO"/>
        </w:rPr>
        <w:t>. Sentencia T-001 de 1999.</w:t>
      </w:r>
    </w:p>
  </w:footnote>
  <w:footnote w:id="27">
    <w:p w:rsidR="00EF623E" w:rsidRPr="000D55C9" w:rsidRDefault="00EF623E" w:rsidP="003861A4">
      <w:pPr>
        <w:pStyle w:val="Textonotapie"/>
        <w:jc w:val="both"/>
        <w:rPr>
          <w:rFonts w:asciiTheme="minorHAnsi" w:hAnsiTheme="minorHAnsi"/>
          <w:lang w:val="es-CO"/>
        </w:rPr>
      </w:pPr>
      <w:r w:rsidRPr="000D55C9">
        <w:rPr>
          <w:rStyle w:val="Refdenotaalpie"/>
          <w:rFonts w:asciiTheme="minorHAnsi" w:hAnsiTheme="minorHAnsi"/>
          <w:lang w:val="es-CO"/>
        </w:rPr>
        <w:footnoteRef/>
      </w:r>
      <w:r w:rsidRPr="000D55C9">
        <w:rPr>
          <w:rFonts w:asciiTheme="minorHAnsi" w:hAnsiTheme="minorHAnsi"/>
          <w:lang w:val="es-CO"/>
        </w:rPr>
        <w:t xml:space="preserve"> </w:t>
      </w:r>
      <w:r w:rsidRPr="000D55C9">
        <w:rPr>
          <w:rFonts w:asciiTheme="minorHAnsi" w:hAnsiTheme="minorHAnsi" w:cs="Calibri"/>
          <w:lang w:val="es-CO"/>
        </w:rPr>
        <w:t>CORTE CONSTITUCIONAL. Sentencia SU-949 del 04-12-2014.</w:t>
      </w:r>
    </w:p>
  </w:footnote>
  <w:footnote w:id="28">
    <w:p w:rsidR="00EF623E" w:rsidRPr="003F120A" w:rsidRDefault="00EF623E" w:rsidP="00175740">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0A1B5D">
        <w:rPr>
          <w:rFonts w:asciiTheme="minorHAnsi" w:hAnsiTheme="minorHAnsi" w:cs="Calibri"/>
          <w:lang w:val="es-MX"/>
        </w:rPr>
        <w:t>CORTE CONSTITUCIONAL. Sentencia SU-949 de</w:t>
      </w:r>
      <w:r>
        <w:rPr>
          <w:rFonts w:asciiTheme="minorHAnsi" w:hAnsiTheme="minorHAnsi" w:cs="Calibri"/>
          <w:lang w:val="es-MX"/>
        </w:rPr>
        <w:t xml:space="preserve"> </w:t>
      </w:r>
      <w:r w:rsidRPr="000A1B5D">
        <w:rPr>
          <w:rFonts w:asciiTheme="minorHAnsi" w:hAnsiTheme="minorHAnsi" w:cs="Calibri"/>
          <w:lang w:val="es-MX"/>
        </w:rPr>
        <w:t>2014</w:t>
      </w:r>
      <w:r w:rsidRPr="003F120A">
        <w:rPr>
          <w:rFonts w:asciiTheme="minorHAnsi" w:hAnsiTheme="minorHAnsi"/>
          <w:lang w:val="es-CO"/>
        </w:rPr>
        <w:t xml:space="preserve">. </w:t>
      </w:r>
    </w:p>
  </w:footnote>
  <w:footnote w:id="29">
    <w:p w:rsidR="00EF623E" w:rsidRPr="009C4841" w:rsidRDefault="00EF623E" w:rsidP="0064429A">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30">
    <w:p w:rsidR="00EF623E" w:rsidRPr="009C4841" w:rsidRDefault="00EF623E" w:rsidP="0064429A">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31">
    <w:p w:rsidR="00EF623E" w:rsidRPr="004905B4" w:rsidRDefault="00EF623E" w:rsidP="0064429A">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32">
    <w:p w:rsidR="00205002" w:rsidRPr="0080622E" w:rsidRDefault="00205002" w:rsidP="0080622E">
      <w:pPr>
        <w:pStyle w:val="Textonotapie"/>
        <w:jc w:val="both"/>
        <w:rPr>
          <w:rFonts w:asciiTheme="minorHAnsi" w:hAnsiTheme="minorHAnsi"/>
          <w:lang w:val="es-CO"/>
        </w:rPr>
      </w:pPr>
      <w:r w:rsidRPr="0080622E">
        <w:rPr>
          <w:rStyle w:val="Refdenotaalpie"/>
          <w:rFonts w:asciiTheme="minorHAnsi" w:hAnsiTheme="minorHAnsi"/>
          <w:lang w:val="es-CO"/>
        </w:rPr>
        <w:footnoteRef/>
      </w:r>
      <w:r w:rsidR="00A26057" w:rsidRPr="0080622E">
        <w:rPr>
          <w:rFonts w:asciiTheme="minorHAnsi" w:hAnsiTheme="minorHAnsi"/>
          <w:lang w:val="es-CO"/>
        </w:rPr>
        <w:t xml:space="preserve"> AZULA CAMACHO, Jaime, Manual de Derecho Procesal, procesos de conocimiento, Tomo II, quinta </w:t>
      </w:r>
      <w:r w:rsidR="00847BAE" w:rsidRPr="0080622E">
        <w:rPr>
          <w:rFonts w:asciiTheme="minorHAnsi" w:hAnsiTheme="minorHAnsi"/>
          <w:lang w:val="es-CO"/>
        </w:rPr>
        <w:t>edición</w:t>
      </w:r>
      <w:r w:rsidR="00A26057" w:rsidRPr="0080622E">
        <w:rPr>
          <w:rFonts w:asciiTheme="minorHAnsi" w:hAnsiTheme="minorHAnsi"/>
          <w:lang w:val="es-CO"/>
        </w:rPr>
        <w:t xml:space="preserve">, Editorial Temis SA, Bogotà DC 2005, </w:t>
      </w:r>
      <w:r w:rsidRPr="0080622E">
        <w:rPr>
          <w:rFonts w:asciiTheme="minorHAnsi" w:hAnsiTheme="minorHAnsi"/>
          <w:lang w:val="es-CO"/>
        </w:rPr>
        <w:t>P</w:t>
      </w:r>
      <w:r w:rsidR="00A26057" w:rsidRPr="0080622E">
        <w:rPr>
          <w:rFonts w:asciiTheme="minorHAnsi" w:hAnsiTheme="minorHAnsi"/>
          <w:lang w:val="es-CO"/>
        </w:rPr>
        <w:t>.</w:t>
      </w:r>
      <w:r w:rsidRPr="0080622E">
        <w:rPr>
          <w:rFonts w:asciiTheme="minorHAnsi" w:hAnsiTheme="minorHAnsi"/>
          <w:lang w:val="es-CO"/>
        </w:rPr>
        <w:t xml:space="preserve">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E" w:rsidRDefault="00EF623E"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EF623E" w:rsidRDefault="00EF623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E" w:rsidRPr="00C55802" w:rsidRDefault="00EF623E">
    <w:pPr>
      <w:pStyle w:val="Encabezado"/>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CD08AD">
      <w:rPr>
        <w:rFonts w:ascii="Calibri" w:hAnsi="Calibri"/>
        <w:noProof/>
        <w:sz w:val="22"/>
        <w:lang w:val="es-CO"/>
      </w:rPr>
      <w:t>11</w:t>
    </w:r>
    <w:r w:rsidRPr="00C55802">
      <w:rPr>
        <w:rFonts w:ascii="Calibri" w:hAnsi="Calibri"/>
        <w:sz w:val="22"/>
        <w:lang w:val="es-CO"/>
      </w:rPr>
      <w:fldChar w:fldCharType="end"/>
    </w:r>
  </w:p>
  <w:p w:rsidR="00EF623E" w:rsidRPr="00F839CE" w:rsidRDefault="00EF623E"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2016-00019-01</w:t>
    </w:r>
    <w:r w:rsidRPr="00F839CE">
      <w:rPr>
        <w:rFonts w:ascii="Calibri" w:hAnsi="Calibri" w:cs="Calibri"/>
        <w:i/>
        <w:sz w:val="20"/>
        <w:szCs w:val="20"/>
      </w:rPr>
      <w:t xml:space="preserve"> LLRR</w:t>
    </w:r>
  </w:p>
  <w:p w:rsidR="00EF623E" w:rsidRPr="00F839CE" w:rsidRDefault="00EF623E"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3E" w:rsidRPr="0092089F" w:rsidRDefault="00EF623E">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EF623E" w:rsidRDefault="00EF623E"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7497B3B"/>
    <w:multiLevelType w:val="multilevel"/>
    <w:tmpl w:val="CC78D27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8"/>
  </w:num>
  <w:num w:numId="3">
    <w:abstractNumId w:val="21"/>
  </w:num>
  <w:num w:numId="4">
    <w:abstractNumId w:val="18"/>
  </w:num>
  <w:num w:numId="5">
    <w:abstractNumId w:val="32"/>
  </w:num>
  <w:num w:numId="6">
    <w:abstractNumId w:val="19"/>
  </w:num>
  <w:num w:numId="7">
    <w:abstractNumId w:val="3"/>
  </w:num>
  <w:num w:numId="8">
    <w:abstractNumId w:val="14"/>
  </w:num>
  <w:num w:numId="9">
    <w:abstractNumId w:val="15"/>
  </w:num>
  <w:num w:numId="10">
    <w:abstractNumId w:val="2"/>
  </w:num>
  <w:num w:numId="11">
    <w:abstractNumId w:val="27"/>
  </w:num>
  <w:num w:numId="12">
    <w:abstractNumId w:val="11"/>
  </w:num>
  <w:num w:numId="13">
    <w:abstractNumId w:val="17"/>
  </w:num>
  <w:num w:numId="14">
    <w:abstractNumId w:val="35"/>
  </w:num>
  <w:num w:numId="15">
    <w:abstractNumId w:val="24"/>
  </w:num>
  <w:num w:numId="16">
    <w:abstractNumId w:val="1"/>
  </w:num>
  <w:num w:numId="17">
    <w:abstractNumId w:val="37"/>
  </w:num>
  <w:num w:numId="18">
    <w:abstractNumId w:val="25"/>
  </w:num>
  <w:num w:numId="19">
    <w:abstractNumId w:val="34"/>
  </w:num>
  <w:num w:numId="20">
    <w:abstractNumId w:val="33"/>
  </w:num>
  <w:num w:numId="21">
    <w:abstractNumId w:val="6"/>
  </w:num>
  <w:num w:numId="22">
    <w:abstractNumId w:val="0"/>
  </w:num>
  <w:num w:numId="23">
    <w:abstractNumId w:val="39"/>
  </w:num>
  <w:num w:numId="24">
    <w:abstractNumId w:val="22"/>
  </w:num>
  <w:num w:numId="25">
    <w:abstractNumId w:val="13"/>
  </w:num>
  <w:num w:numId="26">
    <w:abstractNumId w:val="16"/>
  </w:num>
  <w:num w:numId="27">
    <w:abstractNumId w:val="4"/>
  </w:num>
  <w:num w:numId="28">
    <w:abstractNumId w:val="31"/>
  </w:num>
  <w:num w:numId="29">
    <w:abstractNumId w:val="20"/>
  </w:num>
  <w:num w:numId="30">
    <w:abstractNumId w:val="12"/>
  </w:num>
  <w:num w:numId="31">
    <w:abstractNumId w:val="38"/>
  </w:num>
  <w:num w:numId="32">
    <w:abstractNumId w:val="26"/>
  </w:num>
  <w:num w:numId="33">
    <w:abstractNumId w:val="8"/>
  </w:num>
  <w:num w:numId="34">
    <w:abstractNumId w:val="30"/>
  </w:num>
  <w:num w:numId="35">
    <w:abstractNumId w:val="9"/>
  </w:num>
  <w:num w:numId="36">
    <w:abstractNumId w:val="29"/>
  </w:num>
  <w:num w:numId="37">
    <w:abstractNumId w:val="23"/>
  </w:num>
  <w:num w:numId="38">
    <w:abstractNumId w:val="5"/>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430C"/>
    <w:rsid w:val="0007503D"/>
    <w:rsid w:val="0007524F"/>
    <w:rsid w:val="00075C73"/>
    <w:rsid w:val="00076139"/>
    <w:rsid w:val="00076634"/>
    <w:rsid w:val="00076D55"/>
    <w:rsid w:val="00076F62"/>
    <w:rsid w:val="0007768D"/>
    <w:rsid w:val="0008009F"/>
    <w:rsid w:val="000800F7"/>
    <w:rsid w:val="00080385"/>
    <w:rsid w:val="000818FB"/>
    <w:rsid w:val="000820F0"/>
    <w:rsid w:val="0008427C"/>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37A81"/>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C83"/>
    <w:rsid w:val="0017206C"/>
    <w:rsid w:val="00172487"/>
    <w:rsid w:val="00172F27"/>
    <w:rsid w:val="00173244"/>
    <w:rsid w:val="00173EBC"/>
    <w:rsid w:val="0017543D"/>
    <w:rsid w:val="00175740"/>
    <w:rsid w:val="00175F77"/>
    <w:rsid w:val="0017606A"/>
    <w:rsid w:val="00180E47"/>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D0A6A"/>
    <w:rsid w:val="001D14A5"/>
    <w:rsid w:val="001D2702"/>
    <w:rsid w:val="001D2CCE"/>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E37"/>
    <w:rsid w:val="001F0F9B"/>
    <w:rsid w:val="001F1B56"/>
    <w:rsid w:val="001F1DC2"/>
    <w:rsid w:val="001F2983"/>
    <w:rsid w:val="001F3204"/>
    <w:rsid w:val="001F55DF"/>
    <w:rsid w:val="001F5AC4"/>
    <w:rsid w:val="001F6067"/>
    <w:rsid w:val="001F6B77"/>
    <w:rsid w:val="0020003C"/>
    <w:rsid w:val="002006BE"/>
    <w:rsid w:val="00200FDF"/>
    <w:rsid w:val="00202EB9"/>
    <w:rsid w:val="0020383C"/>
    <w:rsid w:val="00204694"/>
    <w:rsid w:val="00205002"/>
    <w:rsid w:val="00205091"/>
    <w:rsid w:val="00205B98"/>
    <w:rsid w:val="00207906"/>
    <w:rsid w:val="00210A59"/>
    <w:rsid w:val="00213147"/>
    <w:rsid w:val="00214468"/>
    <w:rsid w:val="00214A4A"/>
    <w:rsid w:val="00217035"/>
    <w:rsid w:val="00221B21"/>
    <w:rsid w:val="00221B6D"/>
    <w:rsid w:val="00222AC9"/>
    <w:rsid w:val="00227BA7"/>
    <w:rsid w:val="00227D2E"/>
    <w:rsid w:val="00230D6E"/>
    <w:rsid w:val="00230F0D"/>
    <w:rsid w:val="002316F1"/>
    <w:rsid w:val="00231A7F"/>
    <w:rsid w:val="00231EFB"/>
    <w:rsid w:val="00232C01"/>
    <w:rsid w:val="002338DF"/>
    <w:rsid w:val="00235DC0"/>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5452"/>
    <w:rsid w:val="0027273C"/>
    <w:rsid w:val="00275F4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121"/>
    <w:rsid w:val="002B0529"/>
    <w:rsid w:val="002B2E94"/>
    <w:rsid w:val="002B2FD8"/>
    <w:rsid w:val="002B33C0"/>
    <w:rsid w:val="002B503F"/>
    <w:rsid w:val="002B6043"/>
    <w:rsid w:val="002B7A49"/>
    <w:rsid w:val="002C2796"/>
    <w:rsid w:val="002C3307"/>
    <w:rsid w:val="002C4CF9"/>
    <w:rsid w:val="002C763E"/>
    <w:rsid w:val="002D1038"/>
    <w:rsid w:val="002D5131"/>
    <w:rsid w:val="002D55BA"/>
    <w:rsid w:val="002D5DFB"/>
    <w:rsid w:val="002D619F"/>
    <w:rsid w:val="002D6785"/>
    <w:rsid w:val="002D688F"/>
    <w:rsid w:val="002D799F"/>
    <w:rsid w:val="002E08D8"/>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3F6CA6"/>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5811"/>
    <w:rsid w:val="004858D6"/>
    <w:rsid w:val="00486576"/>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3663"/>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6D37"/>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2995"/>
    <w:rsid w:val="00563DAB"/>
    <w:rsid w:val="0056500B"/>
    <w:rsid w:val="00565175"/>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32E7"/>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BDE"/>
    <w:rsid w:val="005B387F"/>
    <w:rsid w:val="005B3BD2"/>
    <w:rsid w:val="005B3D34"/>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4D8C"/>
    <w:rsid w:val="00634E55"/>
    <w:rsid w:val="006352B7"/>
    <w:rsid w:val="00635ED8"/>
    <w:rsid w:val="0063767B"/>
    <w:rsid w:val="00637AB3"/>
    <w:rsid w:val="00640CA5"/>
    <w:rsid w:val="00641308"/>
    <w:rsid w:val="0064234D"/>
    <w:rsid w:val="0064429A"/>
    <w:rsid w:val="00644360"/>
    <w:rsid w:val="00644F63"/>
    <w:rsid w:val="00645798"/>
    <w:rsid w:val="006472F2"/>
    <w:rsid w:val="00650262"/>
    <w:rsid w:val="006507EA"/>
    <w:rsid w:val="0065133D"/>
    <w:rsid w:val="00652D2F"/>
    <w:rsid w:val="006535FE"/>
    <w:rsid w:val="00653893"/>
    <w:rsid w:val="00654759"/>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D1B00"/>
    <w:rsid w:val="006D3B8F"/>
    <w:rsid w:val="006D5236"/>
    <w:rsid w:val="006D5C64"/>
    <w:rsid w:val="006D5F62"/>
    <w:rsid w:val="006D6BA1"/>
    <w:rsid w:val="006D7214"/>
    <w:rsid w:val="006E1334"/>
    <w:rsid w:val="006E1629"/>
    <w:rsid w:val="006E1832"/>
    <w:rsid w:val="006E3EF6"/>
    <w:rsid w:val="006E4489"/>
    <w:rsid w:val="006E5690"/>
    <w:rsid w:val="006E6874"/>
    <w:rsid w:val="006E6B60"/>
    <w:rsid w:val="006E6F53"/>
    <w:rsid w:val="006E71AC"/>
    <w:rsid w:val="006E766C"/>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675"/>
    <w:rsid w:val="00707B4A"/>
    <w:rsid w:val="007117A0"/>
    <w:rsid w:val="007118A0"/>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2102"/>
    <w:rsid w:val="00743286"/>
    <w:rsid w:val="007460BC"/>
    <w:rsid w:val="007469AE"/>
    <w:rsid w:val="007470B5"/>
    <w:rsid w:val="00747531"/>
    <w:rsid w:val="00747ED4"/>
    <w:rsid w:val="00751924"/>
    <w:rsid w:val="00751EE2"/>
    <w:rsid w:val="007535D5"/>
    <w:rsid w:val="00753EFD"/>
    <w:rsid w:val="007552B7"/>
    <w:rsid w:val="00755DA9"/>
    <w:rsid w:val="00756CA1"/>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91A"/>
    <w:rsid w:val="00781B9C"/>
    <w:rsid w:val="007857F3"/>
    <w:rsid w:val="00785B30"/>
    <w:rsid w:val="007860C0"/>
    <w:rsid w:val="00786CF7"/>
    <w:rsid w:val="00786E7E"/>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09F"/>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0622E"/>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D57"/>
    <w:rsid w:val="00846E0C"/>
    <w:rsid w:val="0084769F"/>
    <w:rsid w:val="00847A96"/>
    <w:rsid w:val="00847BAE"/>
    <w:rsid w:val="00847D64"/>
    <w:rsid w:val="00847F3F"/>
    <w:rsid w:val="0085152A"/>
    <w:rsid w:val="00851A70"/>
    <w:rsid w:val="0085260A"/>
    <w:rsid w:val="00852D40"/>
    <w:rsid w:val="00854008"/>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1DFC"/>
    <w:rsid w:val="008D2F69"/>
    <w:rsid w:val="008D4EE1"/>
    <w:rsid w:val="008D5CC7"/>
    <w:rsid w:val="008D698B"/>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34A"/>
    <w:rsid w:val="008F5B98"/>
    <w:rsid w:val="008F60D0"/>
    <w:rsid w:val="008F6566"/>
    <w:rsid w:val="008F6828"/>
    <w:rsid w:val="008F6FC2"/>
    <w:rsid w:val="008F71EF"/>
    <w:rsid w:val="008F729E"/>
    <w:rsid w:val="008F7FE9"/>
    <w:rsid w:val="00901E1E"/>
    <w:rsid w:val="009026FC"/>
    <w:rsid w:val="00904E56"/>
    <w:rsid w:val="00905425"/>
    <w:rsid w:val="00905E36"/>
    <w:rsid w:val="00906C56"/>
    <w:rsid w:val="009076CC"/>
    <w:rsid w:val="009079F3"/>
    <w:rsid w:val="00907B47"/>
    <w:rsid w:val="0091177C"/>
    <w:rsid w:val="00913716"/>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5E30"/>
    <w:rsid w:val="0094602E"/>
    <w:rsid w:val="0095183F"/>
    <w:rsid w:val="009520FD"/>
    <w:rsid w:val="00952290"/>
    <w:rsid w:val="0095291D"/>
    <w:rsid w:val="009551E8"/>
    <w:rsid w:val="00955CA1"/>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533C"/>
    <w:rsid w:val="009968A3"/>
    <w:rsid w:val="00997AFC"/>
    <w:rsid w:val="00997B9C"/>
    <w:rsid w:val="009A09E7"/>
    <w:rsid w:val="009A17AB"/>
    <w:rsid w:val="009A4B2D"/>
    <w:rsid w:val="009A4B9C"/>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B0"/>
    <w:rsid w:val="00A25EF0"/>
    <w:rsid w:val="00A26057"/>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96A"/>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1746"/>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17C5"/>
    <w:rsid w:val="00B32328"/>
    <w:rsid w:val="00B34E93"/>
    <w:rsid w:val="00B357FD"/>
    <w:rsid w:val="00B35865"/>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2A8"/>
    <w:rsid w:val="00BA7368"/>
    <w:rsid w:val="00BA7D97"/>
    <w:rsid w:val="00BB08B2"/>
    <w:rsid w:val="00BB0B08"/>
    <w:rsid w:val="00BB1D1D"/>
    <w:rsid w:val="00BB1DEC"/>
    <w:rsid w:val="00BB51DC"/>
    <w:rsid w:val="00BB56D4"/>
    <w:rsid w:val="00BB74FF"/>
    <w:rsid w:val="00BC017D"/>
    <w:rsid w:val="00BC1C36"/>
    <w:rsid w:val="00BC1E92"/>
    <w:rsid w:val="00BD491A"/>
    <w:rsid w:val="00BD4AAF"/>
    <w:rsid w:val="00BD4EA9"/>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C0299C"/>
    <w:rsid w:val="00C032BF"/>
    <w:rsid w:val="00C045A0"/>
    <w:rsid w:val="00C054CD"/>
    <w:rsid w:val="00C06333"/>
    <w:rsid w:val="00C07092"/>
    <w:rsid w:val="00C0768E"/>
    <w:rsid w:val="00C1156E"/>
    <w:rsid w:val="00C1385E"/>
    <w:rsid w:val="00C13EE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5A0F"/>
    <w:rsid w:val="00C662C1"/>
    <w:rsid w:val="00C678D8"/>
    <w:rsid w:val="00C67CA2"/>
    <w:rsid w:val="00C70F24"/>
    <w:rsid w:val="00C7546E"/>
    <w:rsid w:val="00C76997"/>
    <w:rsid w:val="00C80540"/>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39CD"/>
    <w:rsid w:val="00CC3BCB"/>
    <w:rsid w:val="00CC42E9"/>
    <w:rsid w:val="00CC7DFC"/>
    <w:rsid w:val="00CD08AD"/>
    <w:rsid w:val="00CD09F7"/>
    <w:rsid w:val="00CD0DCC"/>
    <w:rsid w:val="00CD1570"/>
    <w:rsid w:val="00CD2CB0"/>
    <w:rsid w:val="00CD354D"/>
    <w:rsid w:val="00CD3E8C"/>
    <w:rsid w:val="00CD43FC"/>
    <w:rsid w:val="00CD461C"/>
    <w:rsid w:val="00CD4C65"/>
    <w:rsid w:val="00CD57FB"/>
    <w:rsid w:val="00CE2B49"/>
    <w:rsid w:val="00CE2F87"/>
    <w:rsid w:val="00CE3C23"/>
    <w:rsid w:val="00CE3DD8"/>
    <w:rsid w:val="00CF03D1"/>
    <w:rsid w:val="00CF0562"/>
    <w:rsid w:val="00CF0884"/>
    <w:rsid w:val="00CF3971"/>
    <w:rsid w:val="00CF4D81"/>
    <w:rsid w:val="00CF5E40"/>
    <w:rsid w:val="00CF667A"/>
    <w:rsid w:val="00D0039D"/>
    <w:rsid w:val="00D008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54F9"/>
    <w:rsid w:val="00D2683E"/>
    <w:rsid w:val="00D31364"/>
    <w:rsid w:val="00D32E88"/>
    <w:rsid w:val="00D33D3F"/>
    <w:rsid w:val="00D33D52"/>
    <w:rsid w:val="00D35921"/>
    <w:rsid w:val="00D37757"/>
    <w:rsid w:val="00D42F40"/>
    <w:rsid w:val="00D43C0E"/>
    <w:rsid w:val="00D44CED"/>
    <w:rsid w:val="00D45801"/>
    <w:rsid w:val="00D460F2"/>
    <w:rsid w:val="00D47861"/>
    <w:rsid w:val="00D50671"/>
    <w:rsid w:val="00D506A1"/>
    <w:rsid w:val="00D5296C"/>
    <w:rsid w:val="00D54BF8"/>
    <w:rsid w:val="00D55245"/>
    <w:rsid w:val="00D55820"/>
    <w:rsid w:val="00D57987"/>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800"/>
    <w:rsid w:val="00DC19DC"/>
    <w:rsid w:val="00DC22B3"/>
    <w:rsid w:val="00DC5255"/>
    <w:rsid w:val="00DC5F9B"/>
    <w:rsid w:val="00DC624E"/>
    <w:rsid w:val="00DD196C"/>
    <w:rsid w:val="00DD20F9"/>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2A3A"/>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4701"/>
    <w:rsid w:val="00E94E72"/>
    <w:rsid w:val="00E957A3"/>
    <w:rsid w:val="00E95B60"/>
    <w:rsid w:val="00E96EBF"/>
    <w:rsid w:val="00E975A9"/>
    <w:rsid w:val="00E97DCA"/>
    <w:rsid w:val="00EA1B5E"/>
    <w:rsid w:val="00EA1FB8"/>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F2151"/>
    <w:rsid w:val="00EF3C0E"/>
    <w:rsid w:val="00EF3FE1"/>
    <w:rsid w:val="00EF4EF8"/>
    <w:rsid w:val="00EF5408"/>
    <w:rsid w:val="00EF5765"/>
    <w:rsid w:val="00EF623E"/>
    <w:rsid w:val="00F01E2F"/>
    <w:rsid w:val="00F02D6F"/>
    <w:rsid w:val="00F02F49"/>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6928"/>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503058119">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5644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base.biz/lexbase/normas/leyes/1981/L0056de1981.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89D6-8A49-4FD2-8FA8-6A8CAE4E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3482</Words>
  <Characters>19151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13</cp:revision>
  <cp:lastPrinted>2016-05-18T12:22:00Z</cp:lastPrinted>
  <dcterms:created xsi:type="dcterms:W3CDTF">2016-05-12T21:47:00Z</dcterms:created>
  <dcterms:modified xsi:type="dcterms:W3CDTF">2016-05-18T12:22:00Z</dcterms:modified>
</cp:coreProperties>
</file>