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proofErr w:type="spellStart"/>
      <w:r w:rsidR="00672668">
        <w:rPr>
          <w:rFonts w:ascii="Arial" w:hAnsi="Arial" w:cs="Arial"/>
          <w:sz w:val="22"/>
          <w:szCs w:val="22"/>
        </w:rPr>
        <w:t>Deicy</w:t>
      </w:r>
      <w:proofErr w:type="spellEnd"/>
      <w:r w:rsidR="00672668">
        <w:rPr>
          <w:rFonts w:ascii="Arial" w:hAnsi="Arial" w:cs="Arial"/>
          <w:sz w:val="22"/>
          <w:szCs w:val="22"/>
        </w:rPr>
        <w:t xml:space="preserve"> </w:t>
      </w:r>
      <w:proofErr w:type="spellStart"/>
      <w:r w:rsidR="00672668">
        <w:rPr>
          <w:rFonts w:ascii="Arial" w:hAnsi="Arial" w:cs="Arial"/>
          <w:sz w:val="22"/>
          <w:szCs w:val="22"/>
        </w:rPr>
        <w:t>Marlen</w:t>
      </w:r>
      <w:proofErr w:type="spellEnd"/>
      <w:r w:rsidR="00672668">
        <w:rPr>
          <w:rFonts w:ascii="Arial" w:hAnsi="Arial" w:cs="Arial"/>
          <w:sz w:val="22"/>
          <w:szCs w:val="22"/>
        </w:rPr>
        <w:t xml:space="preserve"> Chiquito Pinto</w:t>
      </w:r>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72668">
        <w:rPr>
          <w:rFonts w:ascii="Arial" w:hAnsi="Arial" w:cs="Arial"/>
          <w:sz w:val="22"/>
          <w:szCs w:val="22"/>
        </w:rPr>
        <w:t xml:space="preserve">Subdirección de Reparación Individual </w:t>
      </w:r>
      <w:proofErr w:type="spellStart"/>
      <w:r w:rsidR="00672668">
        <w:rPr>
          <w:rFonts w:ascii="Arial" w:hAnsi="Arial" w:cs="Arial"/>
          <w:sz w:val="22"/>
          <w:szCs w:val="22"/>
        </w:rPr>
        <w:t>UARIV</w:t>
      </w:r>
      <w:proofErr w:type="spellEnd"/>
      <w:r w:rsidR="00672668">
        <w:rPr>
          <w:rFonts w:ascii="Arial" w:hAnsi="Arial" w:cs="Arial"/>
          <w:sz w:val="22"/>
          <w:szCs w:val="22"/>
        </w:rPr>
        <w:t xml:space="preserve"> y otra</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672668">
        <w:rPr>
          <w:rFonts w:ascii="Arial" w:hAnsi="Arial" w:cs="Arial"/>
          <w:sz w:val="22"/>
          <w:szCs w:val="22"/>
        </w:rPr>
        <w:t xml:space="preserve">Primero Civil del Circuito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672668">
        <w:rPr>
          <w:rFonts w:ascii="Arial" w:hAnsi="Arial" w:cs="Arial"/>
          <w:sz w:val="22"/>
          <w:szCs w:val="22"/>
        </w:rPr>
        <w:t>2016-00038-01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F902DE">
        <w:rPr>
          <w:rFonts w:ascii="Arial" w:hAnsi="Arial" w:cs="Arial"/>
          <w:sz w:val="22"/>
          <w:szCs w:val="22"/>
          <w:lang w:val="es-CO"/>
        </w:rPr>
        <w:t>245 de 25-05-2016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F902DE">
        <w:rPr>
          <w:rFonts w:ascii="Arial" w:hAnsi="Arial" w:cs="Arial"/>
          <w:smallCaps/>
          <w:sz w:val="28"/>
          <w:szCs w:val="28"/>
          <w:lang w:val="es-CO"/>
        </w:rPr>
        <w:t>veinticinco</w:t>
      </w:r>
      <w:r w:rsidR="00672668">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F902DE">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672668">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Default="00EA3092" w:rsidP="00771048">
      <w:pPr>
        <w:spacing w:line="360" w:lineRule="auto"/>
        <w:jc w:val="center"/>
        <w:rPr>
          <w:rFonts w:ascii="Arial" w:hAnsi="Arial" w:cs="Arial"/>
          <w:b/>
          <w:bCs/>
          <w:sz w:val="24"/>
          <w:szCs w:val="24"/>
          <w:lang w:val="es-CO"/>
        </w:rPr>
      </w:pP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2E115F" w:rsidRPr="00771AD1" w:rsidRDefault="002E115F" w:rsidP="002E115F">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727F9A" w:rsidRPr="00771AD1"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Default="002E115F" w:rsidP="000F08DD">
      <w:pPr>
        <w:pStyle w:val="Textoindependiente"/>
        <w:spacing w:line="360" w:lineRule="auto"/>
        <w:rPr>
          <w:rFonts w:ascii="Arial" w:hAnsi="Arial" w:cs="Arial"/>
          <w:lang w:val="es-CO"/>
        </w:rPr>
      </w:pPr>
      <w:r>
        <w:rPr>
          <w:rFonts w:ascii="Arial" w:hAnsi="Arial" w:cs="Arial"/>
          <w:lang w:val="es-CO"/>
        </w:rPr>
        <w:t xml:space="preserve">La </w:t>
      </w:r>
      <w:r w:rsidR="00E27627">
        <w:rPr>
          <w:rFonts w:ascii="Arial" w:hAnsi="Arial" w:cs="Arial"/>
          <w:lang w:val="es-CO"/>
        </w:rPr>
        <w:t>actor</w:t>
      </w:r>
      <w:r>
        <w:rPr>
          <w:rFonts w:ascii="Arial" w:hAnsi="Arial" w:cs="Arial"/>
          <w:lang w:val="es-CO"/>
        </w:rPr>
        <w:t>a</w:t>
      </w:r>
      <w:r w:rsidR="00E27627">
        <w:rPr>
          <w:rFonts w:ascii="Arial" w:hAnsi="Arial" w:cs="Arial"/>
          <w:lang w:val="es-CO"/>
        </w:rPr>
        <w:t xml:space="preserve"> solicitó al juzgado de conocimiento el día </w:t>
      </w:r>
      <w:r w:rsidR="00672668">
        <w:rPr>
          <w:rFonts w:ascii="Arial" w:hAnsi="Arial" w:cs="Arial"/>
          <w:lang w:val="es-CO"/>
        </w:rPr>
        <w:t>15-04-2016</w:t>
      </w:r>
      <w:r w:rsidR="00E27627">
        <w:rPr>
          <w:rFonts w:ascii="Arial" w:hAnsi="Arial" w:cs="Arial"/>
          <w:lang w:val="es-CO"/>
        </w:rPr>
        <w:t xml:space="preserve">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C2538D">
        <w:rPr>
          <w:rFonts w:ascii="Arial" w:hAnsi="Arial" w:cs="Arial"/>
        </w:rPr>
        <w:t>(Folio</w:t>
      </w:r>
      <w:r w:rsidR="00E27627">
        <w:rPr>
          <w:rFonts w:ascii="Arial" w:hAnsi="Arial" w:cs="Arial"/>
        </w:rPr>
        <w:t xml:space="preserve"> </w:t>
      </w:r>
      <w:r w:rsidR="00C03F01">
        <w:rPr>
          <w:rFonts w:ascii="Arial" w:hAnsi="Arial" w:cs="Arial"/>
        </w:rPr>
        <w:t>5</w:t>
      </w:r>
      <w:r w:rsidR="00130590">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 xml:space="preserve">El Despacho </w:t>
      </w:r>
      <w:r w:rsidR="00E27627">
        <w:rPr>
          <w:rFonts w:ascii="Arial" w:hAnsi="Arial" w:cs="Arial"/>
          <w:lang w:val="es-CO"/>
        </w:rPr>
        <w:t xml:space="preserve">a través de auto de fecha </w:t>
      </w:r>
      <w:r w:rsidR="00672668">
        <w:rPr>
          <w:rFonts w:ascii="Arial" w:hAnsi="Arial" w:cs="Arial"/>
          <w:lang w:val="es-CO"/>
        </w:rPr>
        <w:t>18-04-2016</w:t>
      </w:r>
      <w:r w:rsidR="00E27627">
        <w:rPr>
          <w:rFonts w:ascii="Arial" w:hAnsi="Arial" w:cs="Arial"/>
          <w:lang w:val="es-CO"/>
        </w:rPr>
        <w:t xml:space="preserve">, </w:t>
      </w:r>
      <w:r w:rsidR="00BA577F">
        <w:rPr>
          <w:rFonts w:ascii="Arial" w:hAnsi="Arial" w:cs="Arial"/>
          <w:lang w:val="es-CO"/>
        </w:rPr>
        <w:t xml:space="preserve">requirió a la </w:t>
      </w:r>
      <w:r w:rsidR="00672668">
        <w:rPr>
          <w:rFonts w:ascii="Arial" w:hAnsi="Arial" w:cs="Arial"/>
          <w:lang w:val="es-CO"/>
        </w:rPr>
        <w:t xml:space="preserve">Subdirectora de Reparación Individual y a la Directora de Reparación de la </w:t>
      </w:r>
      <w:proofErr w:type="spellStart"/>
      <w:r w:rsidR="00672668">
        <w:rPr>
          <w:rFonts w:ascii="Arial" w:hAnsi="Arial" w:cs="Arial"/>
          <w:lang w:val="es-CO"/>
        </w:rPr>
        <w:t>UARIV</w:t>
      </w:r>
      <w:proofErr w:type="spellEnd"/>
      <w:r w:rsidR="00672668">
        <w:rPr>
          <w:rFonts w:ascii="Arial" w:hAnsi="Arial" w:cs="Arial"/>
          <w:lang w:val="es-CO"/>
        </w:rPr>
        <w:t xml:space="preserve"> </w:t>
      </w:r>
      <w:r w:rsidR="00BA577F">
        <w:rPr>
          <w:rFonts w:ascii="Arial" w:hAnsi="Arial" w:cs="Arial"/>
          <w:lang w:val="es-CO"/>
        </w:rPr>
        <w:t>(Folio</w:t>
      </w:r>
      <w:r w:rsidR="00672668">
        <w:rPr>
          <w:rFonts w:ascii="Arial" w:hAnsi="Arial" w:cs="Arial"/>
          <w:lang w:val="es-CO"/>
        </w:rPr>
        <w:t>s 7 y 8</w:t>
      </w:r>
      <w:r w:rsidR="00BA577F">
        <w:rPr>
          <w:rFonts w:ascii="Arial" w:hAnsi="Arial" w:cs="Arial"/>
        </w:rPr>
        <w:t>, del cuaderno del incidente</w:t>
      </w:r>
      <w:r w:rsidR="00BA577F">
        <w:rPr>
          <w:rFonts w:ascii="Arial" w:hAnsi="Arial" w:cs="Arial"/>
          <w:lang w:val="es-CO"/>
        </w:rPr>
        <w:t>). Luego</w:t>
      </w:r>
      <w:r w:rsidR="00E27627" w:rsidRPr="00771AD1">
        <w:rPr>
          <w:rFonts w:ascii="Arial" w:hAnsi="Arial" w:cs="Arial"/>
          <w:lang w:val="es-CO"/>
        </w:rPr>
        <w:t xml:space="preserve">, con decisión del </w:t>
      </w:r>
      <w:r w:rsidR="00672668">
        <w:rPr>
          <w:rFonts w:ascii="Arial" w:hAnsi="Arial" w:cs="Arial"/>
          <w:lang w:val="es-CO"/>
        </w:rPr>
        <w:t>25</w:t>
      </w:r>
      <w:r w:rsidR="00130590">
        <w:rPr>
          <w:rFonts w:ascii="Arial" w:hAnsi="Arial" w:cs="Arial"/>
          <w:lang w:val="es-CO"/>
        </w:rPr>
        <w:t>-</w:t>
      </w:r>
      <w:r w:rsidR="00672668">
        <w:rPr>
          <w:rFonts w:ascii="Arial" w:hAnsi="Arial" w:cs="Arial"/>
          <w:lang w:val="es-CO"/>
        </w:rPr>
        <w:t xml:space="preserve">04-2016 </w:t>
      </w:r>
      <w:r w:rsidR="00247A02">
        <w:rPr>
          <w:rFonts w:ascii="Arial" w:hAnsi="Arial" w:cs="Arial"/>
          <w:lang w:val="es-CO"/>
        </w:rPr>
        <w:t xml:space="preserve">se dio apertura al desacato </w:t>
      </w:r>
      <w:r w:rsidR="000F08DD">
        <w:rPr>
          <w:rFonts w:ascii="Arial" w:hAnsi="Arial" w:cs="Arial"/>
          <w:lang w:val="es-CO"/>
        </w:rPr>
        <w:t xml:space="preserve">contra </w:t>
      </w:r>
      <w:r w:rsidR="00672668">
        <w:rPr>
          <w:rFonts w:ascii="Arial" w:hAnsi="Arial" w:cs="Arial"/>
          <w:lang w:val="es-CO"/>
        </w:rPr>
        <w:t>ambas funcionarias</w:t>
      </w:r>
      <w:r w:rsidR="00BE152C">
        <w:rPr>
          <w:rFonts w:ascii="Arial" w:hAnsi="Arial" w:cs="Arial"/>
          <w:lang w:val="es-CO"/>
        </w:rPr>
        <w:t xml:space="preserve"> </w:t>
      </w:r>
      <w:r w:rsidR="002C688F">
        <w:rPr>
          <w:rFonts w:ascii="Arial" w:hAnsi="Arial" w:cs="Arial"/>
          <w:lang w:val="es-CO"/>
        </w:rPr>
        <w:t>(Folio 12</w:t>
      </w:r>
      <w:r w:rsidR="00BA577F">
        <w:rPr>
          <w:rFonts w:ascii="Arial" w:hAnsi="Arial" w:cs="Arial"/>
          <w:lang w:val="es-CO"/>
        </w:rPr>
        <w:t>,</w:t>
      </w:r>
      <w:r w:rsidR="007E4C78" w:rsidRPr="007E4C78">
        <w:rPr>
          <w:rFonts w:ascii="Arial" w:hAnsi="Arial" w:cs="Arial"/>
        </w:rPr>
        <w:t xml:space="preserve"> </w:t>
      </w:r>
      <w:r w:rsidR="007E4C78">
        <w:rPr>
          <w:rFonts w:ascii="Arial" w:hAnsi="Arial" w:cs="Arial"/>
        </w:rPr>
        <w:t>del cuaderno del incidente</w:t>
      </w:r>
      <w:r w:rsidR="000F08DD">
        <w:rPr>
          <w:rFonts w:ascii="Arial" w:hAnsi="Arial" w:cs="Arial"/>
          <w:lang w:val="es-CO"/>
        </w:rPr>
        <w:t xml:space="preserve">); y, ante el </w:t>
      </w:r>
      <w:r w:rsidR="00990365" w:rsidRPr="00771AD1">
        <w:rPr>
          <w:rFonts w:ascii="Arial" w:hAnsi="Arial" w:cs="Arial"/>
          <w:lang w:val="es-CO"/>
        </w:rPr>
        <w:t>silencio</w:t>
      </w:r>
      <w:r w:rsidR="000F08DD">
        <w:rPr>
          <w:rFonts w:ascii="Arial" w:hAnsi="Arial" w:cs="Arial"/>
          <w:lang w:val="es-CO"/>
        </w:rPr>
        <w:t>,</w:t>
      </w:r>
      <w:r w:rsidR="0039751D">
        <w:rPr>
          <w:rFonts w:ascii="Arial" w:hAnsi="Arial" w:cs="Arial"/>
          <w:lang w:val="es-CO"/>
        </w:rPr>
        <w:t xml:space="preserve"> </w:t>
      </w:r>
      <w:r w:rsidR="00A431E6">
        <w:rPr>
          <w:rFonts w:ascii="Arial" w:hAnsi="Arial" w:cs="Arial"/>
          <w:lang w:val="es-CO"/>
        </w:rPr>
        <w:t xml:space="preserve">con </w:t>
      </w:r>
      <w:r w:rsidR="008F529B">
        <w:rPr>
          <w:rFonts w:ascii="Arial" w:hAnsi="Arial" w:cs="Arial"/>
          <w:lang w:val="es-CO"/>
        </w:rPr>
        <w:t xml:space="preserve">proveído </w:t>
      </w:r>
      <w:r w:rsidR="00A431E6">
        <w:rPr>
          <w:rFonts w:ascii="Arial" w:hAnsi="Arial" w:cs="Arial"/>
          <w:lang w:val="es-CO"/>
        </w:rPr>
        <w:t xml:space="preserve">del </w:t>
      </w:r>
      <w:r w:rsidR="002C688F">
        <w:rPr>
          <w:rFonts w:ascii="Arial" w:hAnsi="Arial" w:cs="Arial"/>
          <w:lang w:val="es-CO"/>
        </w:rPr>
        <w:t xml:space="preserve">03-05-2016 las </w:t>
      </w:r>
      <w:r w:rsidR="00070879" w:rsidRPr="00771AD1">
        <w:rPr>
          <w:rFonts w:ascii="Arial" w:hAnsi="Arial" w:cs="Arial"/>
          <w:lang w:val="es-CO"/>
        </w:rPr>
        <w:t xml:space="preserve">sancionó </w:t>
      </w:r>
      <w:r w:rsidR="00B9514F" w:rsidRPr="00771AD1">
        <w:rPr>
          <w:rFonts w:ascii="Arial" w:hAnsi="Arial" w:cs="Arial"/>
          <w:lang w:val="es-CO"/>
        </w:rPr>
        <w:t xml:space="preserve">con multa y </w:t>
      </w:r>
      <w:r w:rsidR="003B0484" w:rsidRPr="00771AD1">
        <w:rPr>
          <w:rFonts w:ascii="Arial" w:hAnsi="Arial" w:cs="Arial"/>
          <w:lang w:val="es-CO"/>
        </w:rPr>
        <w:t>arresto</w:t>
      </w:r>
      <w:r w:rsidR="00B9514F" w:rsidRPr="00771AD1">
        <w:rPr>
          <w:rFonts w:ascii="Arial" w:hAnsi="Arial" w:cs="Arial"/>
          <w:lang w:val="es-CO"/>
        </w:rPr>
        <w:t xml:space="preserve"> (Folio</w:t>
      </w:r>
      <w:r w:rsidR="00443C3C">
        <w:rPr>
          <w:rFonts w:ascii="Arial" w:hAnsi="Arial" w:cs="Arial"/>
          <w:lang w:val="es-CO"/>
        </w:rPr>
        <w:t xml:space="preserve">s </w:t>
      </w:r>
      <w:r w:rsidR="002C688F">
        <w:rPr>
          <w:rFonts w:ascii="Arial" w:hAnsi="Arial" w:cs="Arial"/>
          <w:lang w:val="es-CO"/>
        </w:rPr>
        <w:t>17 y 18</w:t>
      </w:r>
      <w:r w:rsidR="00B9514F" w:rsidRPr="00771AD1">
        <w:rPr>
          <w:rFonts w:ascii="Arial" w:hAnsi="Arial" w:cs="Arial"/>
          <w:lang w:val="es-CO"/>
        </w:rPr>
        <w:t xml:space="preserve">, </w:t>
      </w:r>
      <w:r w:rsidR="007E4C78">
        <w:rPr>
          <w:rFonts w:ascii="Arial" w:hAnsi="Arial" w:cs="Arial"/>
          <w:lang w:val="es-CO"/>
        </w:rPr>
        <w:t>ídem</w:t>
      </w:r>
      <w:r w:rsidR="000F08DD">
        <w:rPr>
          <w:rFonts w:ascii="Arial" w:hAnsi="Arial" w:cs="Arial"/>
          <w:lang w:val="es-CO"/>
        </w:rPr>
        <w:t>)</w:t>
      </w:r>
      <w:r w:rsidR="003B0484" w:rsidRPr="00771AD1">
        <w:rPr>
          <w:rFonts w:ascii="Arial" w:hAnsi="Arial" w:cs="Arial"/>
          <w:lang w:val="es-CO"/>
        </w:rPr>
        <w:t>.</w:t>
      </w:r>
    </w:p>
    <w:p w:rsidR="00923F64" w:rsidRDefault="00923F64" w:rsidP="0039751D">
      <w:pPr>
        <w:pStyle w:val="Textoindependiente"/>
        <w:spacing w:line="360" w:lineRule="auto"/>
        <w:rPr>
          <w:rFonts w:ascii="Arial" w:hAnsi="Arial" w:cs="Arial"/>
          <w:lang w:val="es-ES"/>
        </w:rPr>
      </w:pPr>
    </w:p>
    <w:p w:rsidR="008F529B" w:rsidRDefault="008F529B" w:rsidP="0039751D">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30590" w:rsidRDefault="00130590" w:rsidP="00130590">
      <w:pPr>
        <w:pStyle w:val="Prrafodelista"/>
        <w:spacing w:line="360" w:lineRule="auto"/>
        <w:ind w:left="360"/>
        <w:jc w:val="both"/>
        <w:rPr>
          <w:rFonts w:ascii="Arial" w:hAnsi="Arial" w:cs="Arial"/>
          <w:sz w:val="24"/>
          <w:szCs w:val="24"/>
          <w:lang w:val="es-MX"/>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BA577F" w:rsidRDefault="00BA577F" w:rsidP="00BA577F">
      <w:pPr>
        <w:pStyle w:val="Textoindependiente"/>
        <w:spacing w:line="360" w:lineRule="auto"/>
        <w:ind w:left="709"/>
        <w:rPr>
          <w:rFonts w:ascii="Arial" w:hAnsi="Arial" w:cs="Arial"/>
          <w:smallCaps/>
          <w:lang w:val="es-CO"/>
        </w:rPr>
      </w:pPr>
    </w:p>
    <w:p w:rsidR="002C688F" w:rsidRPr="00621AE2"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lastRenderedPageBreak/>
        <w:t>Esta Corporación está facultada para revisar la decisión sancionatoria, al tener la condición de superiora jerárquica del Despacho que la adoptó (Artículo 52 del Decreto 2591 de 1991).</w:t>
      </w:r>
    </w:p>
    <w:p w:rsidR="00E574A7" w:rsidRPr="00923F64" w:rsidRDefault="00E574A7" w:rsidP="00B746F1">
      <w:pPr>
        <w:spacing w:line="360" w:lineRule="auto"/>
        <w:jc w:val="both"/>
        <w:rPr>
          <w:rFonts w:ascii="Arial" w:hAnsi="Arial" w:cs="Arial"/>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923F64" w:rsidRDefault="00E574A7" w:rsidP="005B0851">
      <w:pPr>
        <w:pStyle w:val="Puesto"/>
        <w:spacing w:line="360" w:lineRule="auto"/>
        <w:jc w:val="left"/>
        <w:rPr>
          <w:b w:val="0"/>
          <w:bCs w:val="0"/>
          <w:i w:val="0"/>
          <w:iCs w:val="0"/>
          <w:spacing w:val="-3"/>
          <w:sz w:val="20"/>
          <w:szCs w:val="22"/>
          <w:lang w:val="es-ES_tradnl"/>
        </w:rPr>
      </w:pPr>
    </w:p>
    <w:p w:rsidR="00E574A7" w:rsidRPr="00771AD1" w:rsidRDefault="00E574A7" w:rsidP="00E574A7">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2C688F">
        <w:rPr>
          <w:rFonts w:ascii="Arial" w:hAnsi="Arial" w:cs="Arial"/>
        </w:rPr>
        <w:t>03-05-2016</w:t>
      </w:r>
      <w:r w:rsidR="00275009">
        <w:rPr>
          <w:rFonts w:ascii="Arial" w:hAnsi="Arial" w:cs="Arial"/>
        </w:rPr>
        <w:t xml:space="preserve"> </w:t>
      </w:r>
      <w:r w:rsidR="008B7874" w:rsidRPr="00771AD1">
        <w:rPr>
          <w:rFonts w:ascii="Arial" w:hAnsi="Arial" w:cs="Arial"/>
        </w:rPr>
        <w:t xml:space="preserve">mediante la cual se impuso arresto y multa </w:t>
      </w:r>
      <w:r w:rsidR="002C688F">
        <w:rPr>
          <w:rFonts w:ascii="Arial" w:hAnsi="Arial" w:cs="Arial"/>
        </w:rPr>
        <w:t xml:space="preserve">a las doctoras Beatriz Carmenza Ochoa Osorio y María Eugenia Morales Castro en sus calidades de Subdirectora de Reparación Individual y Directora de Reparación de la </w:t>
      </w:r>
      <w:proofErr w:type="spellStart"/>
      <w:r w:rsidR="002C688F">
        <w:rPr>
          <w:rFonts w:ascii="Arial" w:hAnsi="Arial" w:cs="Arial"/>
        </w:rPr>
        <w:t>UARIV</w:t>
      </w:r>
      <w:proofErr w:type="spellEnd"/>
      <w:r w:rsidR="002C688F">
        <w:rPr>
          <w:rFonts w:ascii="Arial" w:hAnsi="Arial" w:cs="Arial"/>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C03F82">
        <w:rPr>
          <w:rFonts w:ascii="Arial" w:hAnsi="Arial" w:cs="Arial"/>
        </w:rPr>
        <w:t xml:space="preserve">la </w:t>
      </w:r>
      <w:r w:rsidR="00C03F82">
        <w:rPr>
          <w:rFonts w:ascii="Arial" w:hAnsi="Arial" w:cs="Arial"/>
          <w:i/>
        </w:rPr>
        <w:t>a quo</w:t>
      </w:r>
      <w:r w:rsidRPr="00771AD1">
        <w:rPr>
          <w:rFonts w:ascii="Arial" w:hAnsi="Arial" w:cs="Arial"/>
        </w:rPr>
        <w:t>?</w:t>
      </w:r>
    </w:p>
    <w:p w:rsidR="00E574A7" w:rsidRDefault="00E574A7" w:rsidP="00B746F1">
      <w:pPr>
        <w:spacing w:line="360" w:lineRule="auto"/>
        <w:jc w:val="both"/>
        <w:rPr>
          <w:rFonts w:ascii="Arial" w:hAnsi="Arial" w:cs="Arial"/>
          <w:sz w:val="24"/>
          <w:szCs w:val="24"/>
          <w:lang w:val="es-CO"/>
        </w:rPr>
      </w:pPr>
    </w:p>
    <w:p w:rsidR="006A1FE4" w:rsidRPr="00B3550C" w:rsidRDefault="006A1FE4" w:rsidP="006A1FE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F61B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sidR="008F529B">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61BB" w:rsidRDefault="006F61BB" w:rsidP="00631EA0">
      <w:pPr>
        <w:spacing w:line="360" w:lineRule="auto"/>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6F61BB">
        <w:rPr>
          <w:rStyle w:val="Refdenotaalpie"/>
          <w:rFonts w:cs="Arial"/>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61BB" w:rsidRPr="00B3550C" w:rsidRDefault="006F61BB" w:rsidP="00631EA0">
      <w:pPr>
        <w:spacing w:line="360" w:lineRule="auto"/>
        <w:ind w:left="567"/>
        <w:jc w:val="both"/>
        <w:rPr>
          <w:rFonts w:ascii="Arial" w:hAnsi="Arial" w:cs="Arial"/>
          <w:sz w:val="22"/>
          <w:szCs w:val="22"/>
          <w:lang w:val="es-CO"/>
        </w:rPr>
      </w:pPr>
    </w:p>
    <w:p w:rsidR="006A1FE4" w:rsidRPr="00B3550C" w:rsidRDefault="006A1FE4" w:rsidP="006A1FE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A1FE4" w:rsidRPr="00923F64" w:rsidRDefault="006A1FE4" w:rsidP="006A1FE4">
      <w:pPr>
        <w:tabs>
          <w:tab w:val="left" w:pos="-720"/>
        </w:tabs>
        <w:suppressAutoHyphens/>
        <w:spacing w:line="360" w:lineRule="auto"/>
        <w:jc w:val="both"/>
        <w:rPr>
          <w:rFonts w:ascii="Arial" w:hAnsi="Arial" w:cs="Arial"/>
          <w:spacing w:val="-3"/>
          <w:szCs w:val="24"/>
          <w:lang w:val="es-CO"/>
        </w:rPr>
      </w:pPr>
    </w:p>
    <w:p w:rsidR="006A1FE4" w:rsidRDefault="008F529B" w:rsidP="006A1FE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No sobre </w:t>
      </w:r>
      <w:r w:rsidR="006A1FE4" w:rsidRPr="00B3550C">
        <w:rPr>
          <w:rFonts w:ascii="Arial" w:hAnsi="Arial" w:cs="Arial"/>
          <w:spacing w:val="-3"/>
          <w:sz w:val="24"/>
          <w:szCs w:val="24"/>
          <w:lang w:val="es-CO"/>
        </w:rPr>
        <w:t>resaltar que el trámite de incumplimiento y el de desacato, son instrumentos legales relacionados pero diferenciables, a saber:</w:t>
      </w:r>
    </w:p>
    <w:p w:rsidR="00631EA0" w:rsidRPr="00B3550C" w:rsidRDefault="00631EA0" w:rsidP="006A1FE4">
      <w:pPr>
        <w:tabs>
          <w:tab w:val="left" w:pos="-720"/>
        </w:tabs>
        <w:suppressAutoHyphens/>
        <w:spacing w:line="360" w:lineRule="auto"/>
        <w:jc w:val="both"/>
        <w:rPr>
          <w:rFonts w:ascii="Arial" w:hAnsi="Arial" w:cs="Arial"/>
          <w:spacing w:val="-3"/>
          <w:sz w:val="24"/>
          <w:szCs w:val="24"/>
          <w:lang w:val="es-CO"/>
        </w:rPr>
      </w:pPr>
    </w:p>
    <w:p w:rsidR="006A1FE4" w:rsidRPr="00923F64" w:rsidRDefault="006A1FE4" w:rsidP="006A1FE4">
      <w:pPr>
        <w:ind w:left="567" w:right="567"/>
        <w:jc w:val="both"/>
        <w:rPr>
          <w:rFonts w:ascii="Arial" w:hAnsi="Arial" w:cs="Arial"/>
          <w:sz w:val="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A1FE4" w:rsidRPr="00B3550C" w:rsidRDefault="006A1FE4" w:rsidP="006A1FE4">
      <w:pPr>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A1FE4" w:rsidRPr="00B3550C" w:rsidRDefault="006A1FE4" w:rsidP="006A1FE4">
      <w:pPr>
        <w:tabs>
          <w:tab w:val="left" w:pos="426"/>
        </w:tabs>
        <w:ind w:left="567" w:right="567"/>
        <w:jc w:val="both"/>
        <w:rPr>
          <w:rFonts w:ascii="Arial" w:hAnsi="Arial" w:cs="Arial"/>
          <w:sz w:val="22"/>
          <w:szCs w:val="22"/>
          <w:lang w:val="es-CO"/>
        </w:rPr>
      </w:pPr>
    </w:p>
    <w:p w:rsidR="006A1FE4" w:rsidRDefault="006A1FE4" w:rsidP="006A1FE4">
      <w:pPr>
        <w:tabs>
          <w:tab w:val="left" w:pos="-720"/>
        </w:tabs>
        <w:suppressAutoHyphens/>
        <w:ind w:left="567" w:right="567"/>
        <w:jc w:val="both"/>
        <w:rPr>
          <w:rFonts w:ascii="Arial" w:hAnsi="Arial" w:cs="Arial"/>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31EA0" w:rsidRPr="00B3550C" w:rsidRDefault="00631EA0" w:rsidP="00631EA0">
      <w:pPr>
        <w:tabs>
          <w:tab w:val="left" w:pos="-720"/>
        </w:tabs>
        <w:suppressAutoHyphens/>
        <w:spacing w:line="360" w:lineRule="auto"/>
        <w:ind w:left="567" w:right="567"/>
        <w:jc w:val="both"/>
        <w:rPr>
          <w:rFonts w:ascii="Arial" w:hAnsi="Arial" w:cs="Arial"/>
          <w:spacing w:val="-3"/>
          <w:sz w:val="24"/>
          <w:szCs w:val="24"/>
          <w:lang w:val="es-CO"/>
        </w:rPr>
      </w:pPr>
    </w:p>
    <w:p w:rsidR="006A1FE4" w:rsidRPr="00B3550C" w:rsidRDefault="008F529B" w:rsidP="000F08DD">
      <w:pPr>
        <w:pStyle w:val="Sangradetextonormal"/>
        <w:spacing w:after="0" w:line="360" w:lineRule="auto"/>
        <w:ind w:left="0"/>
        <w:jc w:val="both"/>
        <w:rPr>
          <w:lang w:val="es-CO"/>
        </w:rPr>
      </w:pPr>
      <w:r w:rsidRPr="00B3550C">
        <w:rPr>
          <w:spacing w:val="-3"/>
          <w:lang w:val="es-CO"/>
        </w:rPr>
        <w:t xml:space="preserve">La </w:t>
      </w:r>
      <w:r w:rsidR="006A1FE4" w:rsidRPr="00B3550C">
        <w:rPr>
          <w:spacing w:val="-3"/>
          <w:lang w:val="es-CO"/>
        </w:rPr>
        <w:t>jurisprudencia de la Corte Suprema de Justicia</w:t>
      </w:r>
      <w:r w:rsidR="006A1FE4" w:rsidRPr="00B3550C">
        <w:rPr>
          <w:rStyle w:val="Refdenotaalpie"/>
          <w:rFonts w:cs="Arial"/>
          <w:spacing w:val="-3"/>
          <w:lang w:val="es-CO"/>
        </w:rPr>
        <w:footnoteReference w:id="11"/>
      </w:r>
      <w:r w:rsidR="006A1FE4" w:rsidRPr="00B3550C">
        <w:rPr>
          <w:spacing w:val="-3"/>
          <w:lang w:val="es-CO"/>
        </w:rPr>
        <w:t>, Sala de Casación Penal</w:t>
      </w:r>
      <w:r w:rsidR="006A1FE4">
        <w:rPr>
          <w:spacing w:val="-3"/>
          <w:lang w:val="es-CO"/>
        </w:rPr>
        <w:t>,</w:t>
      </w:r>
      <w:r w:rsidR="006A1FE4" w:rsidRPr="00B3550C">
        <w:rPr>
          <w:spacing w:val="-3"/>
          <w:lang w:val="es-CO"/>
        </w:rPr>
        <w:t xml:space="preserve"> en </w:t>
      </w:r>
      <w:r w:rsidR="0063543E">
        <w:rPr>
          <w:spacing w:val="-3"/>
          <w:lang w:val="es-CO"/>
        </w:rPr>
        <w:t>decisi</w:t>
      </w:r>
      <w:r w:rsidR="006A1FE4" w:rsidRPr="00B3550C">
        <w:rPr>
          <w:spacing w:val="-3"/>
          <w:lang w:val="es-CO"/>
        </w:rPr>
        <w:t>ón que acoge el criterio de la Corte Constitucional</w:t>
      </w:r>
      <w:r>
        <w:rPr>
          <w:spacing w:val="-3"/>
          <w:lang w:val="es-CO"/>
        </w:rPr>
        <w:t>, tiene dicho</w:t>
      </w:r>
      <w:r w:rsidR="006A1FE4" w:rsidRPr="00B3550C">
        <w:rPr>
          <w:spacing w:val="-3"/>
          <w:lang w:val="es-CO"/>
        </w:rPr>
        <w:t>:</w:t>
      </w:r>
      <w:r w:rsidR="006A1FE4">
        <w:rPr>
          <w:spacing w:val="-3"/>
          <w:lang w:val="es-CO"/>
        </w:rPr>
        <w:t xml:space="preserve"> </w:t>
      </w:r>
      <w:r w:rsidR="006A1FE4" w:rsidRPr="00B3550C">
        <w:rPr>
          <w:spacing w:val="-3"/>
          <w:sz w:val="22"/>
          <w:szCs w:val="22"/>
          <w:lang w:val="es-CO"/>
        </w:rPr>
        <w:t>“</w:t>
      </w:r>
      <w:r w:rsidR="006A1FE4" w:rsidRPr="00B3550C">
        <w:rPr>
          <w:i/>
          <w:iCs/>
          <w:spacing w:val="-3"/>
          <w:sz w:val="22"/>
          <w:szCs w:val="22"/>
          <w:lang w:val="es-CO"/>
        </w:rPr>
        <w:t xml:space="preserve">(…) </w:t>
      </w:r>
      <w:r w:rsidR="006A1FE4" w:rsidRPr="00B3550C">
        <w:rPr>
          <w:i/>
          <w:iCs/>
          <w:sz w:val="22"/>
          <w:szCs w:val="22"/>
          <w:lang w:val="es-CO"/>
        </w:rPr>
        <w:t xml:space="preserve">el incidente de desacato es un mecanismo sancionatorio que procura obtener de forma persuasiva, el cumplimiento de la orden de tutela, </w:t>
      </w:r>
      <w:r w:rsidR="006A1FE4" w:rsidRPr="00B3550C">
        <w:rPr>
          <w:i/>
          <w:iCs/>
          <w:sz w:val="22"/>
          <w:szCs w:val="22"/>
          <w:u w:val="single"/>
          <w:lang w:val="es-CO"/>
        </w:rPr>
        <w:t>pero no constituye un fin en sí mismo.</w:t>
      </w:r>
      <w:r w:rsidR="006A1FE4">
        <w:rPr>
          <w:i/>
          <w:iCs/>
          <w:lang w:val="es-CO"/>
        </w:rPr>
        <w:t>”,</w:t>
      </w:r>
      <w:r w:rsidR="006A1FE4" w:rsidRPr="00B3550C">
        <w:rPr>
          <w:lang w:val="es-CO"/>
        </w:rPr>
        <w:t xml:space="preserve"> luego citó a la Corporación</w:t>
      </w:r>
      <w:r w:rsidR="006A1FE4" w:rsidRPr="00B3550C">
        <w:rPr>
          <w:rStyle w:val="Refdenotaalpie"/>
          <w:rFonts w:cs="Arial"/>
          <w:lang w:val="es-CO"/>
        </w:rPr>
        <w:footnoteReference w:id="12"/>
      </w:r>
      <w:r w:rsidR="006A1FE4" w:rsidRPr="00B3550C">
        <w:rPr>
          <w:lang w:val="es-CO"/>
        </w:rPr>
        <w:t xml:space="preserve"> referida: “</w:t>
      </w:r>
      <w:r w:rsidR="006A1FE4" w:rsidRPr="00B3550C">
        <w:rPr>
          <w:i/>
          <w:iCs/>
          <w:sz w:val="22"/>
          <w:szCs w:val="22"/>
          <w:lang w:val="es-CO"/>
        </w:rPr>
        <w:t>En caso de que se haya adelantado todo el trámite y resuelto sancionar por desacato, para que la sanción no se haga efectiva, el renuente a cumplir podrá evitar ser sancionado acatando.</w:t>
      </w:r>
      <w:r w:rsidR="006A1FE4" w:rsidRPr="00B3550C">
        <w:rPr>
          <w:i/>
          <w:iCs/>
          <w:lang w:val="es-CO"/>
        </w:rPr>
        <w:t>”</w:t>
      </w:r>
      <w:r w:rsidR="006A1FE4" w:rsidRPr="00B3550C">
        <w:rPr>
          <w:i/>
          <w:iCs/>
          <w:sz w:val="20"/>
          <w:szCs w:val="20"/>
          <w:lang w:val="es-CO"/>
        </w:rPr>
        <w:t xml:space="preserve">; </w:t>
      </w:r>
      <w:r w:rsidR="006A1FE4" w:rsidRPr="00B3550C">
        <w:rPr>
          <w:lang w:val="es-CO"/>
        </w:rPr>
        <w:t>enseguida trajo a colación un precedente horizontal</w:t>
      </w:r>
      <w:r w:rsidR="006A1FE4" w:rsidRPr="00B3550C">
        <w:rPr>
          <w:rStyle w:val="Refdenotaalpie"/>
          <w:rFonts w:cs="Arial"/>
          <w:lang w:val="es-CO"/>
        </w:rPr>
        <w:footnoteReference w:id="13"/>
      </w:r>
      <w:r w:rsidR="006A1FE4" w:rsidRPr="00B3550C">
        <w:rPr>
          <w:lang w:val="es-CO"/>
        </w:rPr>
        <w:t>, y reiteró:</w:t>
      </w:r>
      <w:r w:rsidR="006A1FE4" w:rsidRPr="00B3550C">
        <w:rPr>
          <w:sz w:val="22"/>
          <w:szCs w:val="22"/>
          <w:lang w:val="es-CO"/>
        </w:rPr>
        <w:t xml:space="preserve"> </w:t>
      </w:r>
      <w:r w:rsidR="006A1FE4" w:rsidRPr="00B3550C">
        <w:rPr>
          <w:lang w:val="es-CO"/>
        </w:rPr>
        <w:t>“</w:t>
      </w:r>
      <w:r w:rsidR="006A1FE4" w:rsidRPr="00B3550C">
        <w:rPr>
          <w:i/>
          <w:iCs/>
          <w:sz w:val="22"/>
          <w:szCs w:val="22"/>
          <w:lang w:val="es-CO"/>
        </w:rPr>
        <w:t xml:space="preserve">aunque el accionado inicialmente se sustrajo de forma injustificada al cumplimiento de lo dispuesto en el fallo de tutela, </w:t>
      </w:r>
      <w:r w:rsidR="006A1FE4" w:rsidRPr="00B3550C">
        <w:rPr>
          <w:i/>
          <w:iCs/>
          <w:sz w:val="22"/>
          <w:szCs w:val="22"/>
          <w:lang w:val="es-CO"/>
        </w:rPr>
        <w:lastRenderedPageBreak/>
        <w:t>se observa luego de sancionado con desacato, reparó su omisión, y en tal sentido, es innecesaria la ejecución de la misma (…)</w:t>
      </w:r>
      <w:r w:rsidR="006A1FE4" w:rsidRPr="00B3550C">
        <w:rPr>
          <w:i/>
          <w:iCs/>
          <w:lang w:val="es-CO"/>
        </w:rPr>
        <w:t>”.</w:t>
      </w:r>
    </w:p>
    <w:p w:rsidR="006A1FE4" w:rsidRDefault="006A1FE4" w:rsidP="00B746F1">
      <w:pPr>
        <w:spacing w:line="360" w:lineRule="auto"/>
        <w:jc w:val="both"/>
        <w:rPr>
          <w:rFonts w:ascii="Arial" w:hAnsi="Arial" w:cs="Arial"/>
          <w:sz w:val="24"/>
          <w:szCs w:val="24"/>
          <w:lang w:val="es-CO"/>
        </w:rPr>
      </w:pPr>
    </w:p>
    <w:p w:rsidR="00F60EEC" w:rsidRDefault="00F60EEC" w:rsidP="00F60EEC">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F60EEC" w:rsidRPr="002650A3" w:rsidRDefault="00F60EEC" w:rsidP="00F60EEC">
      <w:pPr>
        <w:pStyle w:val="Sangradetextonormal"/>
        <w:spacing w:after="0" w:line="360" w:lineRule="auto"/>
        <w:ind w:left="0"/>
        <w:jc w:val="both"/>
        <w:rPr>
          <w:iCs/>
          <w:lang w:val="es-CO"/>
        </w:rPr>
      </w:pPr>
    </w:p>
    <w:p w:rsidR="00F60EEC" w:rsidRDefault="00F60EEC" w:rsidP="00F60EEC">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F60EEC" w:rsidRDefault="00F60EEC" w:rsidP="00F60EEC">
      <w:pPr>
        <w:pStyle w:val="Sangradetextonormal"/>
        <w:spacing w:after="0"/>
        <w:ind w:left="567" w:rightChars="567" w:right="1134"/>
        <w:jc w:val="both"/>
        <w:rPr>
          <w:bCs/>
        </w:rPr>
      </w:pPr>
    </w:p>
    <w:p w:rsidR="00F60EEC" w:rsidRDefault="00F60EEC" w:rsidP="00F60EEC">
      <w:pPr>
        <w:pStyle w:val="Sangradetextonormal"/>
        <w:spacing w:after="0"/>
        <w:ind w:left="0" w:rightChars="567" w:right="1134"/>
        <w:jc w:val="both"/>
        <w:rPr>
          <w:lang w:val="es-CO"/>
        </w:rPr>
      </w:pPr>
    </w:p>
    <w:p w:rsidR="00F60EEC" w:rsidRDefault="00F60EEC" w:rsidP="00F60EEC">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45E42" w:rsidRPr="00631EA0" w:rsidRDefault="00745E42" w:rsidP="00B746F1">
      <w:pPr>
        <w:spacing w:line="360" w:lineRule="auto"/>
        <w:jc w:val="both"/>
        <w:rPr>
          <w:rFonts w:ascii="Arial" w:hAnsi="Arial" w:cs="Arial"/>
          <w:sz w:val="24"/>
          <w:szCs w:val="24"/>
          <w:lang w:val="es-CO"/>
        </w:rPr>
      </w:pPr>
    </w:p>
    <w:p w:rsidR="00616B14" w:rsidRDefault="00F902DE" w:rsidP="00616B14">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9D53C1" w:rsidRPr="00036C75" w:rsidRDefault="009D53C1" w:rsidP="009D53C1">
      <w:pPr>
        <w:spacing w:line="360" w:lineRule="auto"/>
        <w:jc w:val="both"/>
        <w:rPr>
          <w:rFonts w:ascii="Arial" w:hAnsi="Arial" w:cs="Arial"/>
          <w:sz w:val="22"/>
          <w:szCs w:val="24"/>
          <w:lang w:val="es-CO"/>
        </w:rPr>
      </w:pPr>
    </w:p>
    <w:p w:rsidR="00883240" w:rsidRPr="00883240" w:rsidRDefault="003C5067"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Conforme </w:t>
      </w:r>
      <w:r w:rsidR="00883240" w:rsidRPr="00883240">
        <w:rPr>
          <w:rFonts w:ascii="Arial" w:hAnsi="Arial" w:cs="Arial"/>
          <w:spacing w:val="-3"/>
          <w:sz w:val="24"/>
          <w:szCs w:val="24"/>
          <w:lang w:val="es-CO"/>
        </w:rPr>
        <w:t xml:space="preserve">los </w:t>
      </w:r>
      <w:r w:rsidRPr="00883240">
        <w:rPr>
          <w:rFonts w:ascii="Arial" w:hAnsi="Arial" w:cs="Arial"/>
          <w:spacing w:val="-3"/>
          <w:sz w:val="24"/>
          <w:szCs w:val="24"/>
          <w:lang w:val="es-CO"/>
        </w:rPr>
        <w:t>razonamientos</w:t>
      </w:r>
      <w:r w:rsidR="00883240" w:rsidRPr="00883240">
        <w:rPr>
          <w:rFonts w:ascii="Arial" w:hAnsi="Arial" w:cs="Arial"/>
          <w:spacing w:val="-3"/>
          <w:sz w:val="24"/>
          <w:szCs w:val="24"/>
          <w:lang w:val="es-CO"/>
        </w:rPr>
        <w:t xml:space="preserve"> jurídicos </w:t>
      </w:r>
      <w:r>
        <w:rPr>
          <w:rFonts w:ascii="Arial" w:hAnsi="Arial" w:cs="Arial"/>
          <w:spacing w:val="-3"/>
          <w:sz w:val="24"/>
          <w:szCs w:val="24"/>
          <w:lang w:val="es-CO"/>
        </w:rPr>
        <w:t>precitados</w:t>
      </w:r>
      <w:r w:rsidR="00883240" w:rsidRPr="00883240">
        <w:rPr>
          <w:rFonts w:ascii="Arial" w:hAnsi="Arial" w:cs="Arial"/>
          <w:spacing w:val="-3"/>
          <w:sz w:val="24"/>
          <w:szCs w:val="24"/>
          <w:lang w:val="es-CO"/>
        </w:rPr>
        <w:t>,</w:t>
      </w:r>
      <w:bookmarkStart w:id="0" w:name="_GoBack"/>
      <w:bookmarkEnd w:id="0"/>
      <w:r w:rsidR="00883240" w:rsidRPr="00883240">
        <w:rPr>
          <w:rFonts w:ascii="Arial" w:hAnsi="Arial" w:cs="Arial"/>
          <w:spacing w:val="-3"/>
          <w:sz w:val="24"/>
          <w:szCs w:val="24"/>
          <w:lang w:val="es-CO"/>
        </w:rPr>
        <w:t xml:space="preserve"> </w:t>
      </w:r>
      <w:r>
        <w:rPr>
          <w:rFonts w:ascii="Arial" w:hAnsi="Arial" w:cs="Arial"/>
          <w:spacing w:val="-3"/>
          <w:sz w:val="24"/>
          <w:szCs w:val="24"/>
          <w:lang w:val="es-CO"/>
        </w:rPr>
        <w:t>cotejado</w:t>
      </w:r>
      <w:r w:rsidR="00883240">
        <w:rPr>
          <w:rFonts w:ascii="Arial" w:hAnsi="Arial" w:cs="Arial"/>
          <w:spacing w:val="-3"/>
          <w:sz w:val="24"/>
          <w:szCs w:val="24"/>
          <w:lang w:val="es-CO"/>
        </w:rPr>
        <w:t xml:space="preserve"> su cumplimiento en </w:t>
      </w:r>
      <w:r w:rsidR="00883240" w:rsidRPr="00883240">
        <w:rPr>
          <w:rFonts w:ascii="Arial" w:hAnsi="Arial" w:cs="Arial"/>
          <w:spacing w:val="-3"/>
          <w:sz w:val="24"/>
          <w:szCs w:val="24"/>
          <w:lang w:val="es-CO"/>
        </w:rPr>
        <w:t xml:space="preserve">el asunto, se </w:t>
      </w:r>
      <w:r>
        <w:rPr>
          <w:rFonts w:ascii="Arial" w:hAnsi="Arial" w:cs="Arial"/>
          <w:spacing w:val="-3"/>
          <w:sz w:val="24"/>
          <w:szCs w:val="24"/>
          <w:lang w:val="es-CO"/>
        </w:rPr>
        <w:t xml:space="preserve">infiere </w:t>
      </w:r>
      <w:r w:rsidR="00883240" w:rsidRPr="00883240">
        <w:rPr>
          <w:rFonts w:ascii="Arial" w:hAnsi="Arial" w:cs="Arial"/>
          <w:spacing w:val="-3"/>
          <w:sz w:val="24"/>
          <w:szCs w:val="24"/>
          <w:lang w:val="es-CO"/>
        </w:rPr>
        <w:t xml:space="preserve">que en la sentencia de tutela se incurrió en una falencia, pues </w:t>
      </w:r>
      <w:r w:rsidR="00883240">
        <w:rPr>
          <w:rFonts w:ascii="Arial" w:hAnsi="Arial" w:cs="Arial"/>
          <w:spacing w:val="-3"/>
          <w:sz w:val="24"/>
          <w:szCs w:val="24"/>
          <w:lang w:val="es-CO"/>
        </w:rPr>
        <w:t xml:space="preserve">la orden que se emitió </w:t>
      </w:r>
      <w:r w:rsidR="00883240" w:rsidRPr="00883240">
        <w:rPr>
          <w:rFonts w:ascii="Arial" w:hAnsi="Arial" w:cs="Arial"/>
          <w:spacing w:val="-3"/>
          <w:sz w:val="24"/>
          <w:szCs w:val="24"/>
          <w:lang w:val="es-CO"/>
        </w:rPr>
        <w:t xml:space="preserve">para proteger el derecho invocado, </w:t>
      </w:r>
      <w:r w:rsidR="00883240">
        <w:rPr>
          <w:rFonts w:ascii="Arial" w:hAnsi="Arial" w:cs="Arial"/>
          <w:spacing w:val="-3"/>
          <w:sz w:val="24"/>
          <w:szCs w:val="24"/>
          <w:lang w:val="es-CO"/>
        </w:rPr>
        <w:t xml:space="preserve">pretermitió indicar </w:t>
      </w:r>
      <w:r w:rsidR="00883240" w:rsidRPr="00883240">
        <w:rPr>
          <w:rFonts w:ascii="Arial" w:hAnsi="Arial" w:cs="Arial"/>
          <w:spacing w:val="-3"/>
          <w:sz w:val="24"/>
          <w:szCs w:val="24"/>
          <w:lang w:val="es-CO"/>
        </w:rPr>
        <w:t>quién debía cumplirla, conforme el Decreto 4802 del 20-12-2011</w:t>
      </w:r>
      <w:r w:rsidR="00883240" w:rsidRPr="00883240">
        <w:rPr>
          <w:rFonts w:ascii="Arial" w:hAnsi="Arial" w:cs="Arial"/>
          <w:sz w:val="24"/>
          <w:szCs w:val="24"/>
          <w:lang w:val="es-CO"/>
        </w:rPr>
        <w:t xml:space="preserve"> (Que empezó a regir</w:t>
      </w:r>
      <w:r w:rsidR="00883240" w:rsidRPr="00883240">
        <w:rPr>
          <w:rFonts w:ascii="Arial" w:hAnsi="Arial" w:cs="Arial"/>
          <w:spacing w:val="-3"/>
          <w:sz w:val="24"/>
          <w:szCs w:val="24"/>
          <w:lang w:val="es-CO"/>
        </w:rPr>
        <w:t xml:space="preserve"> en la misma fecha)</w:t>
      </w:r>
      <w:r w:rsidR="004D1A07">
        <w:rPr>
          <w:rFonts w:ascii="Arial" w:hAnsi="Arial" w:cs="Arial"/>
          <w:spacing w:val="-3"/>
          <w:sz w:val="24"/>
          <w:szCs w:val="24"/>
          <w:lang w:val="es-CO"/>
        </w:rPr>
        <w:t xml:space="preserve"> y la Resolución 00185 de 17-03-2015</w:t>
      </w:r>
      <w:r w:rsidR="00883240" w:rsidRPr="00883240">
        <w:rPr>
          <w:rFonts w:ascii="Arial" w:hAnsi="Arial" w:cs="Arial"/>
          <w:spacing w:val="-3"/>
          <w:sz w:val="24"/>
          <w:szCs w:val="24"/>
          <w:lang w:val="es-CO"/>
        </w:rPr>
        <w:t xml:space="preserve">. </w:t>
      </w:r>
      <w:r w:rsidR="00F90FA2">
        <w:rPr>
          <w:rFonts w:ascii="Arial" w:hAnsi="Arial" w:cs="Arial"/>
          <w:spacing w:val="-3"/>
          <w:sz w:val="24"/>
          <w:szCs w:val="24"/>
          <w:lang w:val="es-CO"/>
        </w:rPr>
        <w:t>Tal como se recordara en la Circular No.003 de esta Sala Especializada.</w:t>
      </w:r>
    </w:p>
    <w:p w:rsidR="00883240" w:rsidRPr="00745E42" w:rsidRDefault="00883240" w:rsidP="00883240">
      <w:pPr>
        <w:widowControl w:val="0"/>
        <w:spacing w:line="360" w:lineRule="auto"/>
        <w:jc w:val="both"/>
        <w:rPr>
          <w:rFonts w:ascii="Arial" w:hAnsi="Arial" w:cs="Arial"/>
          <w:spacing w:val="-3"/>
          <w:sz w:val="18"/>
          <w:szCs w:val="24"/>
          <w:lang w:val="es-CO"/>
        </w:rPr>
      </w:pPr>
    </w:p>
    <w:p w:rsidR="00883240" w:rsidRDefault="00F90FA2"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Sucede</w:t>
      </w:r>
      <w:r w:rsidR="006551D3">
        <w:rPr>
          <w:rFonts w:ascii="Arial" w:hAnsi="Arial" w:cs="Arial"/>
          <w:spacing w:val="-3"/>
          <w:sz w:val="24"/>
          <w:szCs w:val="24"/>
          <w:lang w:val="es-CO"/>
        </w:rPr>
        <w:t xml:space="preserve"> qu</w:t>
      </w:r>
      <w:r w:rsidR="00883240" w:rsidRPr="00883240">
        <w:rPr>
          <w:rFonts w:ascii="Arial" w:hAnsi="Arial" w:cs="Arial"/>
          <w:spacing w:val="-3"/>
          <w:sz w:val="24"/>
          <w:szCs w:val="24"/>
          <w:lang w:val="es-CO"/>
        </w:rPr>
        <w:t xml:space="preserve">e </w:t>
      </w:r>
      <w:r>
        <w:rPr>
          <w:rFonts w:ascii="Arial" w:hAnsi="Arial" w:cs="Arial"/>
          <w:spacing w:val="-3"/>
          <w:sz w:val="24"/>
          <w:szCs w:val="24"/>
          <w:lang w:val="es-CO"/>
        </w:rPr>
        <w:t>el fallo dispuso</w:t>
      </w:r>
      <w:r w:rsidR="000B7BD2">
        <w:rPr>
          <w:rFonts w:ascii="Arial" w:hAnsi="Arial" w:cs="Arial"/>
          <w:spacing w:val="-3"/>
          <w:sz w:val="24"/>
          <w:szCs w:val="24"/>
          <w:lang w:val="es-CO"/>
        </w:rPr>
        <w:t>:</w:t>
      </w:r>
      <w:r w:rsidR="006551D3">
        <w:rPr>
          <w:rFonts w:ascii="Arial" w:hAnsi="Arial" w:cs="Arial"/>
          <w:spacing w:val="-3"/>
          <w:sz w:val="24"/>
          <w:szCs w:val="24"/>
          <w:lang w:val="es-CO"/>
        </w:rPr>
        <w:t xml:space="preserve"> </w:t>
      </w:r>
      <w:r w:rsidR="006551D3" w:rsidRPr="006551D3">
        <w:rPr>
          <w:rFonts w:ascii="Arial" w:hAnsi="Arial" w:cs="Arial"/>
          <w:i/>
          <w:spacing w:val="-3"/>
          <w:sz w:val="22"/>
          <w:szCs w:val="24"/>
          <w:lang w:val="es-CO"/>
        </w:rPr>
        <w:t xml:space="preserve">“(…) </w:t>
      </w:r>
      <w:r w:rsidR="002C688F">
        <w:rPr>
          <w:rFonts w:ascii="Arial" w:hAnsi="Arial" w:cs="Arial"/>
          <w:i/>
          <w:spacing w:val="-3"/>
          <w:sz w:val="22"/>
          <w:szCs w:val="24"/>
          <w:lang w:val="es-CO"/>
        </w:rPr>
        <w:t xml:space="preserve">se ORDENA a la UNIDAD PARA LA </w:t>
      </w:r>
      <w:proofErr w:type="spellStart"/>
      <w:r w:rsidR="002C688F">
        <w:rPr>
          <w:rFonts w:ascii="Arial" w:hAnsi="Arial" w:cs="Arial"/>
          <w:i/>
          <w:spacing w:val="-3"/>
          <w:sz w:val="22"/>
          <w:szCs w:val="24"/>
          <w:lang w:val="es-CO"/>
        </w:rPr>
        <w:t>ATENCION</w:t>
      </w:r>
      <w:proofErr w:type="spellEnd"/>
      <w:r w:rsidR="002C688F">
        <w:rPr>
          <w:rFonts w:ascii="Arial" w:hAnsi="Arial" w:cs="Arial"/>
          <w:i/>
          <w:spacing w:val="-3"/>
          <w:sz w:val="22"/>
          <w:szCs w:val="24"/>
          <w:lang w:val="es-CO"/>
        </w:rPr>
        <w:t xml:space="preserve"> (Sic) Y </w:t>
      </w:r>
      <w:proofErr w:type="spellStart"/>
      <w:r w:rsidR="002C688F">
        <w:rPr>
          <w:rFonts w:ascii="Arial" w:hAnsi="Arial" w:cs="Arial"/>
          <w:i/>
          <w:spacing w:val="-3"/>
          <w:sz w:val="22"/>
          <w:szCs w:val="24"/>
          <w:lang w:val="es-CO"/>
        </w:rPr>
        <w:t>REPARACION</w:t>
      </w:r>
      <w:proofErr w:type="spellEnd"/>
      <w:r w:rsidR="002C688F">
        <w:rPr>
          <w:rFonts w:ascii="Arial" w:hAnsi="Arial" w:cs="Arial"/>
          <w:i/>
          <w:spacing w:val="-3"/>
          <w:sz w:val="22"/>
          <w:szCs w:val="24"/>
          <w:lang w:val="es-CO"/>
        </w:rPr>
        <w:t xml:space="preserve"> (Sic) A LAS VICTIMAS (Sic) – Subdirección de Reparación Individual, doctora BEATRIZ CARMENZA OCHOA OSORIO o por quien haga sus veces, que en el término de cuarenta y ocho (48) horas siguientes a la notificación del presente proveído, si aún no lo ha hecho, INICIE los trámites que sean necesarios, tendientes a resolver de manera clara, precisa y congruente la </w:t>
      </w:r>
      <w:r w:rsidR="002C688F">
        <w:rPr>
          <w:rFonts w:ascii="Arial" w:hAnsi="Arial" w:cs="Arial"/>
          <w:i/>
          <w:spacing w:val="-3"/>
          <w:sz w:val="22"/>
          <w:szCs w:val="24"/>
          <w:lang w:val="es-CO"/>
        </w:rPr>
        <w:lastRenderedPageBreak/>
        <w:t xml:space="preserve">petición presentada por la señora </w:t>
      </w:r>
      <w:proofErr w:type="spellStart"/>
      <w:r w:rsidR="002C688F">
        <w:rPr>
          <w:rFonts w:ascii="Arial" w:hAnsi="Arial" w:cs="Arial"/>
          <w:i/>
          <w:spacing w:val="-3"/>
          <w:sz w:val="22"/>
          <w:szCs w:val="24"/>
          <w:lang w:val="es-CO"/>
        </w:rPr>
        <w:t>DEICY</w:t>
      </w:r>
      <w:proofErr w:type="spellEnd"/>
      <w:r w:rsidR="002C688F">
        <w:rPr>
          <w:rFonts w:ascii="Arial" w:hAnsi="Arial" w:cs="Arial"/>
          <w:i/>
          <w:spacing w:val="-3"/>
          <w:sz w:val="22"/>
          <w:szCs w:val="24"/>
          <w:lang w:val="es-CO"/>
        </w:rPr>
        <w:t xml:space="preserve"> </w:t>
      </w:r>
      <w:proofErr w:type="spellStart"/>
      <w:r w:rsidR="002C688F">
        <w:rPr>
          <w:rFonts w:ascii="Arial" w:hAnsi="Arial" w:cs="Arial"/>
          <w:i/>
          <w:spacing w:val="-3"/>
          <w:sz w:val="22"/>
          <w:szCs w:val="24"/>
          <w:lang w:val="es-CO"/>
        </w:rPr>
        <w:t>MARLEN</w:t>
      </w:r>
      <w:proofErr w:type="spellEnd"/>
      <w:r w:rsidR="002C688F">
        <w:rPr>
          <w:rFonts w:ascii="Arial" w:hAnsi="Arial" w:cs="Arial"/>
          <w:i/>
          <w:spacing w:val="-3"/>
          <w:sz w:val="22"/>
          <w:szCs w:val="24"/>
          <w:lang w:val="es-CO"/>
        </w:rPr>
        <w:t xml:space="preserve"> CHIQUITO PINTO el día 2 de febrero de 2016</w:t>
      </w:r>
      <w:r w:rsidR="006551D3" w:rsidRPr="006551D3">
        <w:rPr>
          <w:rFonts w:ascii="Arial" w:hAnsi="Arial" w:cs="Arial"/>
          <w:i/>
          <w:spacing w:val="-3"/>
          <w:sz w:val="22"/>
          <w:szCs w:val="24"/>
          <w:lang w:val="es-CO"/>
        </w:rPr>
        <w:t xml:space="preserve"> </w:t>
      </w:r>
      <w:r w:rsidR="002C688F">
        <w:rPr>
          <w:rFonts w:ascii="Arial" w:hAnsi="Arial" w:cs="Arial"/>
          <w:i/>
          <w:spacing w:val="-3"/>
          <w:sz w:val="22"/>
          <w:szCs w:val="24"/>
          <w:lang w:val="es-CO"/>
        </w:rPr>
        <w:t>(…)</w:t>
      </w:r>
      <w:r w:rsidR="006551D3" w:rsidRPr="006551D3">
        <w:rPr>
          <w:rFonts w:ascii="Arial" w:hAnsi="Arial" w:cs="Arial"/>
          <w:i/>
          <w:spacing w:val="-3"/>
          <w:sz w:val="22"/>
          <w:szCs w:val="24"/>
          <w:lang w:val="es-CO"/>
        </w:rPr>
        <w:t>”</w:t>
      </w:r>
      <w:r w:rsidR="000B7BD2">
        <w:rPr>
          <w:rFonts w:ascii="Arial" w:hAnsi="Arial" w:cs="Arial"/>
          <w:i/>
          <w:spacing w:val="-3"/>
          <w:sz w:val="22"/>
          <w:szCs w:val="24"/>
          <w:lang w:val="es-CO"/>
        </w:rPr>
        <w:t>,</w:t>
      </w:r>
      <w:r w:rsidR="00883240" w:rsidRPr="00883240">
        <w:rPr>
          <w:rFonts w:ascii="Arial" w:hAnsi="Arial" w:cs="Arial"/>
          <w:spacing w:val="-3"/>
          <w:sz w:val="24"/>
          <w:szCs w:val="24"/>
          <w:lang w:val="es-CO"/>
        </w:rPr>
        <w:t xml:space="preserve">(Numeral segundo del fallo de tutela, visible a folio </w:t>
      </w:r>
      <w:r w:rsidR="002C688F">
        <w:rPr>
          <w:rFonts w:ascii="Arial" w:hAnsi="Arial" w:cs="Arial"/>
          <w:spacing w:val="-3"/>
          <w:sz w:val="24"/>
          <w:szCs w:val="24"/>
          <w:lang w:val="es-CO"/>
        </w:rPr>
        <w:t>4 vto.</w:t>
      </w:r>
      <w:r w:rsidR="00883240" w:rsidRPr="00883240">
        <w:rPr>
          <w:rFonts w:ascii="Arial" w:hAnsi="Arial" w:cs="Arial"/>
          <w:spacing w:val="-3"/>
          <w:sz w:val="24"/>
          <w:szCs w:val="24"/>
          <w:lang w:val="es-CO"/>
        </w:rPr>
        <w:t xml:space="preserve">, </w:t>
      </w:r>
      <w:r w:rsidR="002C688F" w:rsidRPr="002C688F">
        <w:rPr>
          <w:rFonts w:ascii="Arial" w:hAnsi="Arial" w:cs="Arial"/>
          <w:spacing w:val="-3"/>
          <w:sz w:val="24"/>
          <w:szCs w:val="24"/>
          <w:lang w:val="es-CO"/>
        </w:rPr>
        <w:t>cuaderno del incidente</w:t>
      </w:r>
      <w:r w:rsidR="006551D3" w:rsidRPr="005831A6">
        <w:rPr>
          <w:rFonts w:ascii="Arial" w:hAnsi="Arial" w:cs="Arial"/>
          <w:spacing w:val="-3"/>
          <w:sz w:val="24"/>
          <w:szCs w:val="24"/>
          <w:lang w:val="es-CO"/>
        </w:rPr>
        <w:t>)</w:t>
      </w:r>
      <w:r w:rsidR="00883240" w:rsidRPr="005831A6">
        <w:rPr>
          <w:rFonts w:ascii="Arial" w:hAnsi="Arial" w:cs="Arial"/>
          <w:spacing w:val="-3"/>
          <w:sz w:val="24"/>
          <w:szCs w:val="24"/>
          <w:lang w:val="es-CO"/>
        </w:rPr>
        <w:t xml:space="preserve">, cuando la orden debió imponerse a la </w:t>
      </w:r>
      <w:r w:rsidR="00DA5224" w:rsidRPr="00DA5224">
        <w:rPr>
          <w:rFonts w:ascii="Arial" w:hAnsi="Arial" w:cs="Arial"/>
          <w:sz w:val="24"/>
          <w:szCs w:val="24"/>
          <w:lang w:val="es-CO"/>
        </w:rPr>
        <w:t>Directora de Reparación</w:t>
      </w:r>
      <w:r w:rsidR="00DA5224" w:rsidRPr="00DA5224">
        <w:rPr>
          <w:rFonts w:ascii="Arial" w:hAnsi="Arial" w:cs="Arial"/>
          <w:sz w:val="24"/>
          <w:szCs w:val="24"/>
        </w:rPr>
        <w:t> </w:t>
      </w:r>
      <w:r w:rsidR="005831A6" w:rsidRPr="005831A6">
        <w:rPr>
          <w:rFonts w:ascii="Arial" w:hAnsi="Arial" w:cs="Arial"/>
          <w:sz w:val="24"/>
          <w:szCs w:val="24"/>
          <w:lang w:val="es-CO"/>
        </w:rPr>
        <w:t xml:space="preserve">de la </w:t>
      </w:r>
      <w:proofErr w:type="spellStart"/>
      <w:r w:rsidR="005831A6" w:rsidRPr="005831A6">
        <w:rPr>
          <w:rFonts w:ascii="Arial" w:hAnsi="Arial" w:cs="Arial"/>
          <w:sz w:val="24"/>
          <w:szCs w:val="24"/>
          <w:lang w:val="es-CO"/>
        </w:rPr>
        <w:t>UARIV</w:t>
      </w:r>
      <w:proofErr w:type="spellEnd"/>
      <w:r w:rsidR="002C688F">
        <w:rPr>
          <w:rFonts w:ascii="Arial" w:hAnsi="Arial" w:cs="Arial"/>
          <w:sz w:val="24"/>
          <w:szCs w:val="24"/>
          <w:lang w:val="es-CO"/>
        </w:rPr>
        <w:t xml:space="preserve">, </w:t>
      </w:r>
      <w:r w:rsidR="00DA5224">
        <w:rPr>
          <w:rFonts w:ascii="Arial" w:hAnsi="Arial" w:cs="Arial"/>
          <w:sz w:val="24"/>
          <w:szCs w:val="24"/>
          <w:lang w:val="es-CO"/>
        </w:rPr>
        <w:t xml:space="preserve">por </w:t>
      </w:r>
      <w:r w:rsidR="002C688F">
        <w:rPr>
          <w:rFonts w:ascii="Arial" w:hAnsi="Arial" w:cs="Arial"/>
          <w:sz w:val="24"/>
          <w:szCs w:val="24"/>
          <w:lang w:val="es-CO"/>
        </w:rPr>
        <w:t>ser la encargada de ot</w:t>
      </w:r>
      <w:r w:rsidR="002C688F" w:rsidRPr="002C688F">
        <w:rPr>
          <w:rFonts w:ascii="Arial" w:hAnsi="Arial" w:cs="Arial"/>
          <w:sz w:val="24"/>
          <w:szCs w:val="24"/>
          <w:lang w:val="es-CO"/>
        </w:rPr>
        <w:t>orgar la indemnización administrativa a las víctimas</w:t>
      </w:r>
      <w:r w:rsidR="007D610A" w:rsidRPr="002C688F">
        <w:rPr>
          <w:rFonts w:ascii="Arial" w:hAnsi="Arial" w:cs="Arial"/>
          <w:spacing w:val="-3"/>
          <w:sz w:val="24"/>
          <w:szCs w:val="24"/>
          <w:lang w:val="es-CO"/>
        </w:rPr>
        <w:t xml:space="preserve"> </w:t>
      </w:r>
      <w:r w:rsidR="00883240" w:rsidRPr="002C688F">
        <w:rPr>
          <w:rFonts w:ascii="Arial" w:hAnsi="Arial" w:cs="Arial"/>
          <w:spacing w:val="-3"/>
          <w:sz w:val="24"/>
          <w:szCs w:val="24"/>
          <w:lang w:val="es-CO"/>
        </w:rPr>
        <w:t>(Artículo</w:t>
      </w:r>
      <w:r w:rsidR="00DA5224">
        <w:rPr>
          <w:rFonts w:ascii="Arial" w:hAnsi="Arial" w:cs="Arial"/>
          <w:spacing w:val="-3"/>
          <w:sz w:val="24"/>
          <w:szCs w:val="24"/>
          <w:lang w:val="es-CO"/>
        </w:rPr>
        <w:t>s</w:t>
      </w:r>
      <w:r w:rsidR="006551D3" w:rsidRPr="002C688F">
        <w:rPr>
          <w:rFonts w:ascii="Arial" w:hAnsi="Arial" w:cs="Arial"/>
          <w:spacing w:val="-3"/>
          <w:sz w:val="24"/>
          <w:szCs w:val="24"/>
          <w:lang w:val="es-CO"/>
        </w:rPr>
        <w:t xml:space="preserve"> </w:t>
      </w:r>
      <w:r w:rsidR="002C688F">
        <w:rPr>
          <w:rFonts w:ascii="Arial" w:hAnsi="Arial" w:cs="Arial"/>
          <w:spacing w:val="-3"/>
          <w:sz w:val="24"/>
          <w:szCs w:val="24"/>
          <w:lang w:val="es-CO"/>
        </w:rPr>
        <w:t>21</w:t>
      </w:r>
      <w:r w:rsidR="00DA5224">
        <w:rPr>
          <w:rFonts w:ascii="Arial" w:hAnsi="Arial" w:cs="Arial"/>
          <w:spacing w:val="-3"/>
          <w:sz w:val="24"/>
          <w:szCs w:val="24"/>
          <w:lang w:val="es-CO"/>
        </w:rPr>
        <w:t xml:space="preserve"> numeral 1º del </w:t>
      </w:r>
      <w:r w:rsidR="00DA5224" w:rsidRPr="00883240">
        <w:rPr>
          <w:rFonts w:ascii="Arial" w:hAnsi="Arial" w:cs="Arial"/>
          <w:spacing w:val="-3"/>
          <w:sz w:val="24"/>
          <w:szCs w:val="24"/>
          <w:lang w:val="es-CO"/>
        </w:rPr>
        <w:t xml:space="preserve">Decreto 4802 </w:t>
      </w:r>
      <w:r w:rsidR="00DA5224">
        <w:rPr>
          <w:rFonts w:ascii="Arial" w:hAnsi="Arial" w:cs="Arial"/>
          <w:spacing w:val="-3"/>
          <w:sz w:val="24"/>
          <w:szCs w:val="24"/>
          <w:lang w:val="es-CO"/>
        </w:rPr>
        <w:t xml:space="preserve">de 2011 y 1 numerales 1º y 2º de la </w:t>
      </w:r>
      <w:r w:rsidR="00DA5224" w:rsidRPr="00DA5224">
        <w:rPr>
          <w:rFonts w:ascii="Arial" w:hAnsi="Arial" w:cs="Arial"/>
          <w:spacing w:val="-3"/>
          <w:sz w:val="24"/>
          <w:szCs w:val="24"/>
          <w:lang w:val="es-CO"/>
        </w:rPr>
        <w:t xml:space="preserve">Resolución </w:t>
      </w:r>
      <w:proofErr w:type="spellStart"/>
      <w:r w:rsidR="00DA5224">
        <w:rPr>
          <w:rFonts w:ascii="Arial" w:hAnsi="Arial" w:cs="Arial"/>
          <w:spacing w:val="-3"/>
          <w:sz w:val="24"/>
          <w:szCs w:val="24"/>
          <w:lang w:val="es-CO"/>
        </w:rPr>
        <w:t>UARIV</w:t>
      </w:r>
      <w:proofErr w:type="spellEnd"/>
      <w:r w:rsidR="00DA5224" w:rsidRPr="00DA5224">
        <w:rPr>
          <w:rFonts w:ascii="Arial" w:hAnsi="Arial" w:cs="Arial"/>
          <w:spacing w:val="-3"/>
          <w:sz w:val="24"/>
          <w:szCs w:val="24"/>
          <w:lang w:val="es-CO"/>
        </w:rPr>
        <w:t xml:space="preserve"> 64 </w:t>
      </w:r>
      <w:r w:rsidR="00DA5224">
        <w:rPr>
          <w:rFonts w:ascii="Arial" w:hAnsi="Arial" w:cs="Arial"/>
          <w:spacing w:val="-3"/>
          <w:sz w:val="24"/>
          <w:szCs w:val="24"/>
          <w:lang w:val="es-CO"/>
        </w:rPr>
        <w:t xml:space="preserve">de </w:t>
      </w:r>
      <w:r w:rsidR="00DA5224" w:rsidRPr="00DA5224">
        <w:rPr>
          <w:rFonts w:ascii="Arial" w:hAnsi="Arial" w:cs="Arial"/>
          <w:spacing w:val="-3"/>
          <w:sz w:val="24"/>
          <w:szCs w:val="24"/>
          <w:lang w:val="es-CO"/>
        </w:rPr>
        <w:t>2012</w:t>
      </w:r>
      <w:r w:rsidR="00883240" w:rsidRPr="002C688F">
        <w:rPr>
          <w:rFonts w:ascii="Arial" w:hAnsi="Arial" w:cs="Arial"/>
          <w:spacing w:val="-3"/>
          <w:sz w:val="24"/>
          <w:szCs w:val="24"/>
          <w:lang w:val="es-CO"/>
        </w:rPr>
        <w:t>).</w:t>
      </w:r>
      <w:r w:rsidR="00DA5224">
        <w:rPr>
          <w:rFonts w:ascii="Arial" w:hAnsi="Arial" w:cs="Arial"/>
          <w:spacing w:val="-3"/>
          <w:sz w:val="24"/>
          <w:szCs w:val="24"/>
          <w:lang w:val="es-CO"/>
        </w:rPr>
        <w:t xml:space="preserve"> </w:t>
      </w:r>
    </w:p>
    <w:p w:rsidR="00DA5224" w:rsidRPr="00745E42" w:rsidRDefault="00DA5224" w:rsidP="00883240">
      <w:pPr>
        <w:widowControl w:val="0"/>
        <w:spacing w:line="360" w:lineRule="auto"/>
        <w:jc w:val="both"/>
        <w:rPr>
          <w:rFonts w:ascii="Arial" w:hAnsi="Arial" w:cs="Arial"/>
          <w:spacing w:val="-3"/>
          <w:szCs w:val="24"/>
          <w:lang w:val="es-CO"/>
        </w:rPr>
      </w:pPr>
    </w:p>
    <w:p w:rsidR="005424FE" w:rsidRDefault="005424FE"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Desatención que no puede considerarse subsanada con el requerimiento de la referida funcionaria (Folios 7 a 8, cuaderno del incidente), pues se le hizo en su condición de superiora jerárquica de la Subdirección de Reparación Individual </w:t>
      </w:r>
      <w:r w:rsidR="001D63E6">
        <w:rPr>
          <w:rFonts w:ascii="Arial" w:hAnsi="Arial" w:cs="Arial"/>
          <w:spacing w:val="-3"/>
          <w:sz w:val="24"/>
          <w:szCs w:val="24"/>
          <w:lang w:val="es-CO"/>
        </w:rPr>
        <w:t xml:space="preserve">únicamente </w:t>
      </w:r>
      <w:r>
        <w:rPr>
          <w:rFonts w:ascii="Arial" w:hAnsi="Arial" w:cs="Arial"/>
          <w:spacing w:val="-3"/>
          <w:sz w:val="24"/>
          <w:szCs w:val="24"/>
          <w:lang w:val="es-CO"/>
        </w:rPr>
        <w:t xml:space="preserve">con el fin de que procurara el cumplimiento de la orden de tutela, </w:t>
      </w:r>
      <w:r w:rsidR="001D63E6">
        <w:rPr>
          <w:rFonts w:ascii="Arial" w:hAnsi="Arial" w:cs="Arial"/>
          <w:spacing w:val="-3"/>
          <w:sz w:val="24"/>
          <w:szCs w:val="24"/>
          <w:lang w:val="es-CO"/>
        </w:rPr>
        <w:t xml:space="preserve">además, </w:t>
      </w:r>
      <w:r>
        <w:rPr>
          <w:rFonts w:ascii="Arial" w:hAnsi="Arial" w:cs="Arial"/>
          <w:spacing w:val="-3"/>
          <w:sz w:val="24"/>
          <w:szCs w:val="24"/>
          <w:lang w:val="es-CO"/>
        </w:rPr>
        <w:t>imposible de atender ya que su subordinada carece de competencia para responder la petición.</w:t>
      </w:r>
    </w:p>
    <w:p w:rsidR="005424FE" w:rsidRPr="00745E42" w:rsidRDefault="005424FE" w:rsidP="00883240">
      <w:pPr>
        <w:widowControl w:val="0"/>
        <w:spacing w:line="360" w:lineRule="auto"/>
        <w:jc w:val="both"/>
        <w:rPr>
          <w:rFonts w:ascii="Arial" w:hAnsi="Arial" w:cs="Arial"/>
          <w:spacing w:val="-3"/>
          <w:szCs w:val="24"/>
          <w:lang w:val="es-CO"/>
        </w:rPr>
      </w:pPr>
    </w:p>
    <w:p w:rsidR="00883240" w:rsidRPr="00883240" w:rsidRDefault="00883240" w:rsidP="00883240">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Refdenotaalpie"/>
          <w:rFonts w:ascii="Arial" w:hAnsi="Arial" w:cs="Arial"/>
          <w:spacing w:val="-3"/>
          <w:sz w:val="24"/>
          <w:szCs w:val="24"/>
          <w:lang w:val="es-CO"/>
        </w:rPr>
        <w:footnoteReference w:id="17"/>
      </w:r>
      <w:r w:rsidRPr="00883240">
        <w:rPr>
          <w:rFonts w:ascii="Arial" w:hAnsi="Arial" w:cs="Arial"/>
          <w:spacing w:val="-3"/>
          <w:sz w:val="24"/>
          <w:szCs w:val="24"/>
          <w:lang w:val="es-CO"/>
        </w:rPr>
        <w:t>, en criterio acogido por esta Sala</w:t>
      </w:r>
      <w:r w:rsidRPr="00883240">
        <w:rPr>
          <w:rStyle w:val="Refdenotaalpie"/>
          <w:rFonts w:ascii="Arial" w:hAnsi="Arial"/>
          <w:spacing w:val="-3"/>
          <w:sz w:val="24"/>
          <w:szCs w:val="24"/>
          <w:lang w:val="es-CO"/>
        </w:rPr>
        <w:footnoteReference w:id="18"/>
      </w:r>
      <w:r w:rsidRPr="00883240">
        <w:rPr>
          <w:rFonts w:ascii="Arial" w:hAnsi="Arial" w:cs="Arial"/>
          <w:spacing w:val="-3"/>
          <w:sz w:val="24"/>
          <w:szCs w:val="24"/>
          <w:vertAlign w:val="superscript"/>
          <w:lang w:val="es-CO"/>
        </w:rPr>
        <w:t>-</w:t>
      </w:r>
      <w:r w:rsidRPr="00883240">
        <w:rPr>
          <w:rStyle w:val="Refdenotaalpie"/>
          <w:rFonts w:ascii="Arial" w:hAnsi="Arial" w:cs="Arial"/>
          <w:spacing w:val="-3"/>
          <w:sz w:val="24"/>
          <w:szCs w:val="24"/>
          <w:lang w:val="es-CO"/>
        </w:rPr>
        <w:footnoteReference w:id="19"/>
      </w:r>
      <w:r w:rsidRPr="00883240">
        <w:rPr>
          <w:rFonts w:ascii="Arial" w:hAnsi="Arial" w:cs="Arial"/>
          <w:spacing w:val="-3"/>
          <w:sz w:val="24"/>
          <w:szCs w:val="24"/>
          <w:lang w:val="es-CO"/>
        </w:rPr>
        <w:t>:</w:t>
      </w:r>
    </w:p>
    <w:p w:rsidR="00883240" w:rsidRPr="00B3550C" w:rsidRDefault="00883240" w:rsidP="00883240">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5734C9" w:rsidRPr="00745E42" w:rsidRDefault="005734C9" w:rsidP="00883240">
      <w:pPr>
        <w:widowControl w:val="0"/>
        <w:spacing w:line="360" w:lineRule="auto"/>
        <w:jc w:val="both"/>
        <w:rPr>
          <w:rFonts w:ascii="Arial" w:hAnsi="Arial" w:cs="Arial"/>
          <w:spacing w:val="-3"/>
          <w:szCs w:val="24"/>
          <w:lang w:val="es-CO"/>
        </w:rPr>
      </w:pPr>
    </w:p>
    <w:p w:rsidR="00883240" w:rsidRPr="00B3550C" w:rsidRDefault="00883240" w:rsidP="00883240">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secuente</w:t>
      </w:r>
      <w:r w:rsidR="00C03F01">
        <w:rPr>
          <w:rFonts w:ascii="Arial" w:hAnsi="Arial" w:cs="Arial"/>
          <w:spacing w:val="-3"/>
          <w:sz w:val="24"/>
          <w:szCs w:val="24"/>
          <w:lang w:val="es-CO"/>
        </w:rPr>
        <w:t>s</w:t>
      </w:r>
      <w:r>
        <w:rPr>
          <w:rFonts w:ascii="Arial" w:hAnsi="Arial" w:cs="Arial"/>
          <w:spacing w:val="-3"/>
          <w:sz w:val="24"/>
          <w:szCs w:val="24"/>
          <w:lang w:val="es-CO"/>
        </w:rPr>
        <w:t xml:space="preserve"> </w:t>
      </w:r>
      <w:r w:rsidR="00C03F01">
        <w:rPr>
          <w:rFonts w:ascii="Arial" w:hAnsi="Arial" w:cs="Arial"/>
          <w:spacing w:val="-3"/>
          <w:sz w:val="24"/>
          <w:szCs w:val="24"/>
          <w:lang w:val="es-CO"/>
        </w:rPr>
        <w:t xml:space="preserve">con </w:t>
      </w:r>
      <w:r w:rsidRPr="00B3550C">
        <w:rPr>
          <w:rFonts w:ascii="Arial" w:hAnsi="Arial" w:cs="Arial"/>
          <w:spacing w:val="-3"/>
          <w:sz w:val="24"/>
          <w:szCs w:val="24"/>
          <w:lang w:val="es-CO"/>
        </w:rPr>
        <w:t xml:space="preserve">lo transcrito, ha debido </w:t>
      </w:r>
      <w:r w:rsidR="00C03F01">
        <w:rPr>
          <w:rFonts w:ascii="Arial" w:hAnsi="Arial" w:cs="Arial"/>
          <w:spacing w:val="-3"/>
          <w:sz w:val="24"/>
          <w:szCs w:val="24"/>
          <w:lang w:val="es-CO"/>
        </w:rPr>
        <w:t xml:space="preserve">la jueza </w:t>
      </w:r>
      <w:r w:rsidRPr="00B3550C">
        <w:rPr>
          <w:rFonts w:ascii="Arial" w:hAnsi="Arial" w:cs="Arial"/>
          <w:spacing w:val="-3"/>
          <w:sz w:val="24"/>
          <w:szCs w:val="24"/>
          <w:lang w:val="es-CO"/>
        </w:rPr>
        <w:t>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883240" w:rsidRPr="00745E42" w:rsidRDefault="00883240" w:rsidP="00883240">
      <w:pPr>
        <w:pStyle w:val="Puesto"/>
        <w:spacing w:line="360" w:lineRule="auto"/>
        <w:jc w:val="left"/>
        <w:rPr>
          <w:b w:val="0"/>
          <w:bCs w:val="0"/>
          <w:i w:val="0"/>
          <w:iCs w:val="0"/>
          <w:spacing w:val="-3"/>
          <w:sz w:val="20"/>
          <w:szCs w:val="22"/>
          <w:lang w:val="es-ES_tradnl"/>
        </w:rPr>
      </w:pPr>
    </w:p>
    <w:p w:rsidR="006B39D9" w:rsidRDefault="006B39D9" w:rsidP="006B39D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recordar la obligación </w:t>
      </w:r>
      <w:r w:rsidR="00C03F01">
        <w:rPr>
          <w:rFonts w:ascii="Arial" w:hAnsi="Arial" w:cs="Arial"/>
          <w:spacing w:val="-3"/>
          <w:sz w:val="24"/>
          <w:szCs w:val="24"/>
          <w:lang w:val="es-CO"/>
        </w:rPr>
        <w:t xml:space="preserve">de acatar </w:t>
      </w:r>
      <w:r>
        <w:rPr>
          <w:rFonts w:ascii="Arial" w:hAnsi="Arial" w:cs="Arial"/>
          <w:spacing w:val="-3"/>
          <w:sz w:val="24"/>
          <w:szCs w:val="24"/>
          <w:lang w:val="es-CO"/>
        </w:rPr>
        <w:t xml:space="preserve">el Acuerdo No.PSAA10-6979 de 2010 de la Sala Administrativa del CSJ; por cuanto en el proveído sancionatorio se omitió advertir que en caso de no pagar la multa en el plazo concedido, se remitirá copia de la providencia con sus respectivas constancias a la </w:t>
      </w:r>
      <w:r>
        <w:rPr>
          <w:rFonts w:ascii="Arial" w:hAnsi="Arial" w:cs="Arial"/>
          <w:spacing w:val="-3"/>
          <w:sz w:val="24"/>
          <w:szCs w:val="24"/>
          <w:lang w:val="es-CO"/>
        </w:rPr>
        <w:lastRenderedPageBreak/>
        <w:t>Dirección Ejecutiva de Administración Judicial local, con el fin de que se inicie el proceso de cobro coactivo.</w:t>
      </w:r>
    </w:p>
    <w:p w:rsidR="006B39D9" w:rsidRPr="00745E42" w:rsidRDefault="006B39D9" w:rsidP="00883240">
      <w:pPr>
        <w:pStyle w:val="Puesto"/>
        <w:spacing w:line="360" w:lineRule="auto"/>
        <w:jc w:val="left"/>
        <w:rPr>
          <w:b w:val="0"/>
          <w:bCs w:val="0"/>
          <w:i w:val="0"/>
          <w:iCs w:val="0"/>
          <w:spacing w:val="-3"/>
          <w:sz w:val="20"/>
          <w:szCs w:val="22"/>
          <w:lang w:val="es-ES_tradnl"/>
        </w:rPr>
      </w:pPr>
    </w:p>
    <w:p w:rsidR="00883240" w:rsidRPr="00745E42" w:rsidRDefault="00883240" w:rsidP="00883240">
      <w:pPr>
        <w:pStyle w:val="Puesto"/>
        <w:spacing w:line="360" w:lineRule="auto"/>
        <w:jc w:val="left"/>
        <w:rPr>
          <w:b w:val="0"/>
          <w:bCs w:val="0"/>
          <w:i w:val="0"/>
          <w:iCs w:val="0"/>
          <w:spacing w:val="-3"/>
          <w:sz w:val="20"/>
          <w:szCs w:val="22"/>
          <w:lang w:val="es-ES_tradnl"/>
        </w:rPr>
      </w:pPr>
    </w:p>
    <w:p w:rsidR="00883240" w:rsidRPr="00B3550C" w:rsidRDefault="00883240" w:rsidP="00883240">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923F64" w:rsidRDefault="00883240" w:rsidP="00883240">
      <w:pPr>
        <w:pStyle w:val="Puesto"/>
        <w:spacing w:line="360" w:lineRule="auto"/>
        <w:jc w:val="left"/>
        <w:rPr>
          <w:b w:val="0"/>
          <w:bCs w:val="0"/>
          <w:i w:val="0"/>
          <w:iCs w:val="0"/>
          <w:spacing w:val="-3"/>
          <w:sz w:val="20"/>
          <w:szCs w:val="22"/>
          <w:lang w:val="es-ES_tradnl"/>
        </w:rPr>
      </w:pPr>
    </w:p>
    <w:p w:rsidR="00883240" w:rsidRDefault="00883240" w:rsidP="00883240">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sidR="00C03F01">
        <w:rPr>
          <w:rFonts w:ascii="Arial" w:hAnsi="Arial" w:cs="Arial"/>
          <w:lang w:val="es-CO"/>
        </w:rPr>
        <w:t xml:space="preserve">la </w:t>
      </w:r>
      <w:r w:rsidRPr="00B3550C">
        <w:rPr>
          <w:rFonts w:ascii="Arial" w:hAnsi="Arial" w:cs="Arial"/>
          <w:i/>
          <w:iCs/>
          <w:lang w:val="es-CO"/>
        </w:rPr>
        <w:t>a quo</w:t>
      </w:r>
      <w:r w:rsidRPr="00B3550C">
        <w:rPr>
          <w:rFonts w:ascii="Arial" w:hAnsi="Arial" w:cs="Arial"/>
          <w:lang w:val="es-CO"/>
        </w:rPr>
        <w:t xml:space="preserve"> modificar </w:t>
      </w:r>
      <w:r>
        <w:rPr>
          <w:rFonts w:ascii="Arial" w:hAnsi="Arial" w:cs="Arial"/>
          <w:lang w:val="es-CO"/>
        </w:rPr>
        <w:t xml:space="preserve">el </w:t>
      </w:r>
      <w:r w:rsidRPr="00B3550C">
        <w:rPr>
          <w:rFonts w:ascii="Arial" w:hAnsi="Arial" w:cs="Arial"/>
          <w:lang w:val="es-CO"/>
        </w:rPr>
        <w:t xml:space="preserve">fallo para </w:t>
      </w:r>
      <w:r>
        <w:rPr>
          <w:rFonts w:ascii="Arial" w:hAnsi="Arial" w:cs="Arial"/>
          <w:lang w:val="es-CO"/>
        </w:rPr>
        <w:t xml:space="preserve">incluir una orden concreta y ejecutable que sea </w:t>
      </w:r>
      <w:r w:rsidRPr="00B3550C">
        <w:rPr>
          <w:rFonts w:ascii="Arial" w:hAnsi="Arial" w:cs="Arial"/>
          <w:lang w:val="es-CO"/>
        </w:rPr>
        <w:t>garant</w:t>
      </w:r>
      <w:r>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l</w:t>
      </w:r>
      <w:r w:rsidR="005734C9">
        <w:rPr>
          <w:rFonts w:ascii="Arial" w:hAnsi="Arial" w:cs="Arial"/>
          <w:lang w:val="es-CO"/>
        </w:rPr>
        <w:t>a</w:t>
      </w:r>
      <w:r>
        <w:rPr>
          <w:rFonts w:ascii="Arial" w:hAnsi="Arial" w:cs="Arial"/>
          <w:lang w:val="es-CO"/>
        </w:rPr>
        <w:t xml:space="preserve"> actor</w:t>
      </w:r>
      <w:r w:rsidR="005734C9">
        <w:rPr>
          <w:rFonts w:ascii="Arial" w:hAnsi="Arial" w:cs="Arial"/>
          <w:lang w:val="es-CO"/>
        </w:rPr>
        <w:t>a</w:t>
      </w:r>
      <w:r>
        <w:rPr>
          <w:rFonts w:ascii="Arial" w:hAnsi="Arial" w:cs="Arial"/>
          <w:lang w:val="es-CO"/>
        </w:rPr>
        <w:t>.</w:t>
      </w:r>
    </w:p>
    <w:p w:rsidR="00883240" w:rsidRPr="00745E42" w:rsidRDefault="00883240" w:rsidP="00883240">
      <w:pPr>
        <w:widowControl w:val="0"/>
        <w:spacing w:line="360" w:lineRule="auto"/>
        <w:jc w:val="both"/>
        <w:rPr>
          <w:rFonts w:ascii="Arial" w:hAnsi="Arial" w:cs="Arial"/>
          <w:spacing w:val="-3"/>
          <w:szCs w:val="24"/>
          <w:lang w:val="es-CO"/>
        </w:rPr>
      </w:pPr>
    </w:p>
    <w:p w:rsidR="00883240" w:rsidRPr="00B3550C" w:rsidRDefault="00883240" w:rsidP="00883240">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883240" w:rsidRPr="00745E42" w:rsidRDefault="00883240" w:rsidP="00883240">
      <w:pPr>
        <w:widowControl w:val="0"/>
        <w:spacing w:line="360" w:lineRule="auto"/>
        <w:jc w:val="both"/>
        <w:rPr>
          <w:rFonts w:ascii="Arial" w:hAnsi="Arial" w:cs="Arial"/>
          <w:spacing w:val="-3"/>
          <w:sz w:val="2"/>
          <w:szCs w:val="24"/>
          <w:lang w:val="es-CO"/>
        </w:rPr>
      </w:pPr>
    </w:p>
    <w:p w:rsidR="003B5774" w:rsidRPr="003B5774" w:rsidRDefault="003B5774" w:rsidP="00883240">
      <w:pPr>
        <w:tabs>
          <w:tab w:val="left" w:pos="-720"/>
        </w:tabs>
        <w:suppressAutoHyphens/>
        <w:spacing w:line="360" w:lineRule="auto"/>
        <w:jc w:val="center"/>
        <w:rPr>
          <w:rFonts w:ascii="Arial" w:hAnsi="Arial" w:cs="Arial"/>
          <w:smallCaps/>
          <w:sz w:val="8"/>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BC484E" w:rsidRDefault="00883240" w:rsidP="00883240">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5424FE">
        <w:rPr>
          <w:rFonts w:ascii="Arial" w:hAnsi="Arial" w:cs="Arial"/>
          <w:sz w:val="24"/>
          <w:szCs w:val="24"/>
          <w:lang w:val="es-CO"/>
        </w:rPr>
        <w:t>03-05-2016</w:t>
      </w:r>
      <w:r w:rsidRPr="00B3550C">
        <w:rPr>
          <w:rFonts w:ascii="Arial" w:hAnsi="Arial" w:cs="Arial"/>
          <w:sz w:val="24"/>
          <w:szCs w:val="24"/>
          <w:lang w:val="es-CO"/>
        </w:rPr>
        <w:t xml:space="preserve"> del Juzgado </w:t>
      </w:r>
      <w:r w:rsidR="005424FE">
        <w:rPr>
          <w:rFonts w:ascii="Arial" w:hAnsi="Arial" w:cs="Arial"/>
          <w:sz w:val="24"/>
          <w:szCs w:val="24"/>
          <w:lang w:val="es-CO"/>
        </w:rPr>
        <w:t>Primero Civil del Circuito de Pereira</w:t>
      </w:r>
      <w:r>
        <w:rPr>
          <w:rFonts w:ascii="Arial" w:hAnsi="Arial" w:cs="Arial"/>
          <w:sz w:val="24"/>
          <w:szCs w:val="24"/>
          <w:lang w:val="es-CO"/>
        </w:rPr>
        <w:t>, conforme a lo razonado en esta decisión</w:t>
      </w:r>
      <w:r w:rsidRPr="00312CAF">
        <w:rPr>
          <w:rFonts w:ascii="Arial" w:hAnsi="Arial" w:cs="Arial"/>
          <w:sz w:val="24"/>
          <w:szCs w:val="24"/>
          <w:lang w:val="es-CO"/>
        </w:rPr>
        <w:t>.</w:t>
      </w:r>
    </w:p>
    <w:p w:rsidR="00883240" w:rsidRPr="00D8697F" w:rsidRDefault="00883240" w:rsidP="00883240">
      <w:pPr>
        <w:widowControl w:val="0"/>
        <w:spacing w:line="360" w:lineRule="auto"/>
        <w:jc w:val="both"/>
        <w:rPr>
          <w:rFonts w:ascii="Arial" w:hAnsi="Arial" w:cs="Arial"/>
          <w:spacing w:val="-3"/>
          <w:sz w:val="16"/>
          <w:szCs w:val="24"/>
          <w:lang w:val="es-CO"/>
        </w:rPr>
      </w:pPr>
    </w:p>
    <w:p w:rsidR="00883240" w:rsidRPr="0063543E" w:rsidRDefault="00883240" w:rsidP="00883240">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4D1A07">
        <w:rPr>
          <w:rFonts w:ascii="Arial" w:hAnsi="Arial" w:cs="Arial"/>
          <w:sz w:val="24"/>
          <w:szCs w:val="24"/>
          <w:lang w:val="es-CO"/>
        </w:rPr>
        <w:t>al</w:t>
      </w:r>
      <w:r>
        <w:rPr>
          <w:rFonts w:ascii="Arial" w:hAnsi="Arial" w:cs="Arial"/>
          <w:sz w:val="24"/>
          <w:szCs w:val="24"/>
          <w:lang w:val="es-CO"/>
        </w:rPr>
        <w:t xml:space="preserve"> </w:t>
      </w:r>
      <w:r w:rsidRPr="0063543E">
        <w:rPr>
          <w:rFonts w:ascii="Arial" w:hAnsi="Arial" w:cs="Arial"/>
          <w:spacing w:val="-3"/>
          <w:sz w:val="24"/>
          <w:szCs w:val="24"/>
          <w:lang w:val="es-CO"/>
        </w:rPr>
        <w:t xml:space="preserve">juez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5424FE">
        <w:rPr>
          <w:rFonts w:ascii="Arial" w:hAnsi="Arial" w:cs="Arial"/>
          <w:sz w:val="24"/>
          <w:szCs w:val="24"/>
          <w:lang w:val="es-CO"/>
        </w:rPr>
        <w:t>01-04-2016</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según el </w:t>
      </w:r>
      <w:r w:rsidR="004D1A07">
        <w:rPr>
          <w:rFonts w:ascii="Arial" w:hAnsi="Arial" w:cs="Arial"/>
          <w:spacing w:val="-3"/>
          <w:sz w:val="24"/>
          <w:szCs w:val="24"/>
          <w:lang w:val="es-CO"/>
        </w:rPr>
        <w:t>Decreto 4802 de 2011 y la Resolución 00185 de 17-03-2015</w:t>
      </w:r>
      <w:r w:rsidRPr="0063543E">
        <w:rPr>
          <w:rFonts w:ascii="Arial" w:hAnsi="Arial" w:cs="Arial"/>
          <w:spacing w:val="-3"/>
          <w:sz w:val="24"/>
          <w:szCs w:val="24"/>
          <w:lang w:val="es-CO"/>
        </w:rPr>
        <w:t xml:space="preserve">. </w:t>
      </w:r>
    </w:p>
    <w:p w:rsidR="00883240" w:rsidRPr="0063543E" w:rsidRDefault="00883240" w:rsidP="00883240">
      <w:pPr>
        <w:pStyle w:val="Prrafodelista"/>
        <w:rPr>
          <w:rFonts w:ascii="Arial" w:hAnsi="Arial" w:cs="Arial"/>
          <w:szCs w:val="24"/>
          <w:lang w:val="es-CO"/>
        </w:rPr>
      </w:pPr>
    </w:p>
    <w:p w:rsidR="00883240"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745E42" w:rsidRPr="00745E42" w:rsidRDefault="00745E42" w:rsidP="00745E42">
      <w:pPr>
        <w:spacing w:line="360" w:lineRule="auto"/>
        <w:jc w:val="both"/>
        <w:rPr>
          <w:rFonts w:ascii="Arial" w:hAnsi="Arial" w:cs="Arial"/>
          <w:szCs w:val="24"/>
          <w:lang w:val="es-CO"/>
        </w:rPr>
      </w:pPr>
    </w:p>
    <w:p w:rsidR="00003AFC" w:rsidRPr="00153B26" w:rsidRDefault="00883240" w:rsidP="00883240">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745E42" w:rsidRDefault="00745E42"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F47D8" w:rsidRDefault="005F47D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5424FE"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
    <w:sectPr w:rsidR="005424FE" w:rsidSect="00F902DE">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262" w:rsidRDefault="007F7262" w:rsidP="0005223F">
      <w:r>
        <w:separator/>
      </w:r>
    </w:p>
  </w:endnote>
  <w:endnote w:type="continuationSeparator" w:id="0">
    <w:p w:rsidR="007F7262" w:rsidRDefault="007F7262"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262" w:rsidRDefault="007F7262" w:rsidP="0005223F">
      <w:r>
        <w:separator/>
      </w:r>
    </w:p>
  </w:footnote>
  <w:footnote w:type="continuationSeparator" w:id="0">
    <w:p w:rsidR="007F7262" w:rsidRDefault="007F7262" w:rsidP="0005223F">
      <w:r>
        <w:continuationSeparator/>
      </w:r>
    </w:p>
  </w:footnote>
  <w:footnote w:id="1">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T-343 del 05-05-2011.</w:t>
      </w:r>
    </w:p>
  </w:footnote>
  <w:footnote w:id="2">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fr-FR"/>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3">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Tms Rmn"/>
        </w:rPr>
        <w:footnoteRef/>
      </w:r>
      <w:r w:rsidRPr="00087130">
        <w:rPr>
          <w:rFonts w:asciiTheme="minorHAnsi" w:hAnsiTheme="minorHAnsi"/>
          <w:lang w:val="es-ES"/>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4">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0F08DD" w:rsidRPr="00087130" w:rsidRDefault="000F08DD" w:rsidP="006A1FE4">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penal. Sentencia del 16-04-2012; </w:t>
      </w:r>
      <w:proofErr w:type="spellStart"/>
      <w:r w:rsidRPr="00087130">
        <w:rPr>
          <w:rFonts w:asciiTheme="minorHAnsi" w:hAnsiTheme="minorHAnsi" w:cs="Calibri"/>
          <w:lang w:val="es-CO"/>
        </w:rPr>
        <w:t>MP</w:t>
      </w:r>
      <w:proofErr w:type="spellEnd"/>
      <w:r w:rsidRPr="00087130">
        <w:rPr>
          <w:rFonts w:asciiTheme="minorHAnsi" w:hAnsiTheme="minorHAnsi" w:cs="Calibri"/>
          <w:lang w:val="es-CO"/>
        </w:rPr>
        <w:t xml:space="preserve">: </w:t>
      </w:r>
      <w:proofErr w:type="spellStart"/>
      <w:r w:rsidRPr="00087130">
        <w:rPr>
          <w:rFonts w:asciiTheme="minorHAnsi" w:hAnsiTheme="minorHAnsi" w:cs="Calibri"/>
          <w:lang w:val="es-CO"/>
        </w:rPr>
        <w:t>Sigifredo</w:t>
      </w:r>
      <w:proofErr w:type="spellEnd"/>
      <w:r w:rsidRPr="00087130">
        <w:rPr>
          <w:rFonts w:asciiTheme="minorHAnsi" w:hAnsiTheme="minorHAnsi" w:cs="Calibri"/>
          <w:lang w:val="es-CO"/>
        </w:rPr>
        <w:t xml:space="preserve"> Espinosa P., consulta incidente de desacato No.59.891.</w:t>
      </w:r>
    </w:p>
  </w:footnote>
  <w:footnote w:id="12">
    <w:p w:rsidR="000F08DD" w:rsidRPr="00087130" w:rsidRDefault="000F08DD" w:rsidP="006A1FE4">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0F08DD" w:rsidRPr="0063543E" w:rsidRDefault="000F08DD"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CO"/>
        </w:rPr>
        <w:t xml:space="preserve"> CORTE SUPREMA DE JUSTICIA, Sala de Decisión de tutelas. Sentencia del 01-03-2007; expediente No.30.127.</w:t>
      </w:r>
    </w:p>
  </w:footnote>
  <w:footnote w:id="14">
    <w:p w:rsidR="00F60EEC" w:rsidRPr="00563881" w:rsidRDefault="00F60EEC" w:rsidP="00F60EEC">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F60EEC" w:rsidRPr="002F1294" w:rsidRDefault="00F60EEC" w:rsidP="00F60EEC">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F60EEC" w:rsidRPr="00D75D25" w:rsidRDefault="00F60EEC" w:rsidP="00F60EEC">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883240" w:rsidRPr="0063543E" w:rsidRDefault="00883240" w:rsidP="00883240">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sidR="004D1A07">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No.201</w:t>
      </w:r>
      <w:r w:rsidR="004D1A07">
        <w:rPr>
          <w:rFonts w:asciiTheme="minorHAnsi" w:hAnsiTheme="minorHAnsi" w:cs="Calibri"/>
          <w:lang w:val="es-ES"/>
        </w:rPr>
        <w:t>4</w:t>
      </w:r>
      <w:r w:rsidRPr="0063543E">
        <w:rPr>
          <w:rFonts w:asciiTheme="minorHAnsi" w:hAnsiTheme="minorHAnsi" w:cs="Calibri"/>
          <w:lang w:val="es-ES"/>
        </w:rPr>
        <w:t>-00</w:t>
      </w:r>
      <w:r w:rsidR="004D1A07">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F902DE" w:rsidRPr="00F902DE">
      <w:rPr>
        <w:rFonts w:ascii="Cambria" w:hAnsi="Cambria" w:cs="Cambria"/>
        <w:i/>
        <w:iCs/>
        <w:noProof/>
        <w:sz w:val="22"/>
        <w:szCs w:val="22"/>
        <w:lang w:val="es-ES"/>
      </w:rPr>
      <w:t>6</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72668">
      <w:rPr>
        <w:rFonts w:ascii="Calibri" w:hAnsi="Calibri" w:cs="Calibri"/>
        <w:i/>
        <w:iCs/>
        <w:lang w:val="es-CO"/>
      </w:rPr>
      <w:t>2016</w:t>
    </w:r>
    <w:r>
      <w:rPr>
        <w:rFonts w:ascii="Calibri" w:hAnsi="Calibri" w:cs="Calibri"/>
        <w:i/>
        <w:iCs/>
        <w:lang w:val="es-CO"/>
      </w:rPr>
      <w:t>-</w:t>
    </w:r>
    <w:r w:rsidR="00672668">
      <w:rPr>
        <w:rFonts w:ascii="Calibri" w:hAnsi="Calibri" w:cs="Calibri"/>
        <w:i/>
        <w:iCs/>
        <w:lang w:val="es-CO"/>
      </w:rPr>
      <w:t>00038-01</w:t>
    </w:r>
    <w:r>
      <w:rPr>
        <w:rFonts w:ascii="Calibri" w:hAnsi="Calibri" w:cs="Calibri"/>
        <w:i/>
        <w:iCs/>
        <w:lang w:val="es-CO"/>
      </w:rPr>
      <w:t xml:space="preserve">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C688F"/>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3906"/>
    <w:rsid w:val="003A5963"/>
    <w:rsid w:val="003A6F60"/>
    <w:rsid w:val="003A755A"/>
    <w:rsid w:val="003B0484"/>
    <w:rsid w:val="003B2ADA"/>
    <w:rsid w:val="003B2BB7"/>
    <w:rsid w:val="003B3E8B"/>
    <w:rsid w:val="003B474A"/>
    <w:rsid w:val="003B5774"/>
    <w:rsid w:val="003B64BE"/>
    <w:rsid w:val="003B6B9A"/>
    <w:rsid w:val="003C35F7"/>
    <w:rsid w:val="003C5067"/>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45F9"/>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3221"/>
    <w:rsid w:val="006A3315"/>
    <w:rsid w:val="006A350F"/>
    <w:rsid w:val="006A64FA"/>
    <w:rsid w:val="006B0AF3"/>
    <w:rsid w:val="006B39D9"/>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1BC1"/>
    <w:rsid w:val="006F2820"/>
    <w:rsid w:val="006F46C6"/>
    <w:rsid w:val="006F4EB8"/>
    <w:rsid w:val="006F5731"/>
    <w:rsid w:val="006F5825"/>
    <w:rsid w:val="006F61BB"/>
    <w:rsid w:val="00700D68"/>
    <w:rsid w:val="0070536C"/>
    <w:rsid w:val="007073F8"/>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5E42"/>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262"/>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554F"/>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E7BDA"/>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03F01"/>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6EF"/>
    <w:rsid w:val="00F55AA8"/>
    <w:rsid w:val="00F55DE5"/>
    <w:rsid w:val="00F60EEC"/>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6E5F"/>
    <w:rsid w:val="00F87A7D"/>
    <w:rsid w:val="00F87C65"/>
    <w:rsid w:val="00F902DE"/>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3DBB-491D-49AF-869C-65659397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1968</Words>
  <Characters>10825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10</cp:revision>
  <cp:lastPrinted>2016-05-23T15:21:00Z</cp:lastPrinted>
  <dcterms:created xsi:type="dcterms:W3CDTF">2016-05-19T18:02:00Z</dcterms:created>
  <dcterms:modified xsi:type="dcterms:W3CDTF">2016-05-24T22:09:00Z</dcterms:modified>
</cp:coreProperties>
</file>