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3E3" w:rsidRDefault="00165382" w:rsidP="00F839CE">
      <w:pPr>
        <w:pStyle w:val="Sinespaciado"/>
        <w:spacing w:line="360" w:lineRule="auto"/>
        <w:rPr>
          <w:rFonts w:ascii="Arial" w:hAnsi="Arial" w:cs="Arial"/>
          <w:w w:val="140"/>
        </w:rPr>
      </w:pPr>
      <w:r>
        <w:rPr>
          <w:noProof/>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Default="003913E3" w:rsidP="00F839CE">
      <w:pPr>
        <w:pStyle w:val="Sinespaciado"/>
        <w:spacing w:line="360" w:lineRule="auto"/>
        <w:rPr>
          <w:rFonts w:ascii="Arial" w:hAnsi="Arial" w:cs="Arial"/>
          <w:w w:val="140"/>
          <w:sz w:val="14"/>
        </w:rPr>
      </w:pPr>
    </w:p>
    <w:p w:rsidR="003913E3" w:rsidRDefault="003913E3" w:rsidP="00417661">
      <w:pPr>
        <w:pStyle w:val="Sinespaciado"/>
        <w:spacing w:line="360" w:lineRule="auto"/>
        <w:ind w:left="708" w:firstLine="708"/>
        <w:jc w:val="center"/>
        <w:rPr>
          <w:rFonts w:ascii="Arial" w:hAnsi="Arial" w:cs="Arial"/>
          <w:w w:val="140"/>
          <w:sz w:val="14"/>
        </w:rPr>
      </w:pPr>
    </w:p>
    <w:p w:rsidR="003913E3" w:rsidRPr="007860C0" w:rsidRDefault="003913E3" w:rsidP="00D37757">
      <w:pPr>
        <w:pStyle w:val="Sinespaciado"/>
        <w:spacing w:line="360" w:lineRule="auto"/>
        <w:jc w:val="center"/>
        <w:rPr>
          <w:rFonts w:ascii="Arial" w:hAnsi="Arial" w:cs="Arial"/>
          <w:w w:val="140"/>
          <w:sz w:val="14"/>
        </w:rPr>
      </w:pPr>
      <w:r w:rsidRPr="007860C0">
        <w:rPr>
          <w:rFonts w:ascii="Arial" w:hAnsi="Arial" w:cs="Arial"/>
          <w:w w:val="140"/>
          <w:sz w:val="14"/>
        </w:rPr>
        <w:t>REPUBLICA DE COLOMBIA</w:t>
      </w:r>
    </w:p>
    <w:p w:rsidR="003913E3" w:rsidRPr="007860C0" w:rsidRDefault="003913E3" w:rsidP="00692159">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3913E3" w:rsidRPr="00E55393" w:rsidRDefault="003913E3" w:rsidP="00692159">
      <w:pPr>
        <w:pStyle w:val="Sinespaciado"/>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4E702E" w:rsidRPr="003D195F" w:rsidRDefault="004E702E" w:rsidP="004E702E">
      <w:pPr>
        <w:pStyle w:val="Sinespaciado"/>
        <w:spacing w:line="360" w:lineRule="auto"/>
        <w:jc w:val="center"/>
        <w:rPr>
          <w:rFonts w:ascii="Arial" w:hAnsi="Arial" w:cs="Arial"/>
          <w:w w:val="140"/>
          <w:sz w:val="16"/>
          <w:szCs w:val="18"/>
          <w:lang w:val="es-CO"/>
        </w:rPr>
      </w:pPr>
      <w:r w:rsidRPr="003D195F">
        <w:rPr>
          <w:rFonts w:ascii="Arial" w:hAnsi="Arial" w:cs="Arial"/>
          <w:w w:val="140"/>
          <w:sz w:val="18"/>
          <w:szCs w:val="18"/>
          <w:lang w:val="es-CO"/>
        </w:rPr>
        <w:t>S</w:t>
      </w:r>
      <w:r w:rsidRPr="003D195F">
        <w:rPr>
          <w:rFonts w:ascii="Arial" w:hAnsi="Arial" w:cs="Arial"/>
          <w:w w:val="140"/>
          <w:sz w:val="16"/>
          <w:szCs w:val="18"/>
          <w:lang w:val="es-CO"/>
        </w:rPr>
        <w:t xml:space="preserve">ALA DE </w:t>
      </w:r>
      <w:r w:rsidRPr="003D195F">
        <w:rPr>
          <w:rFonts w:ascii="Arial" w:hAnsi="Arial" w:cs="Arial"/>
          <w:w w:val="140"/>
          <w:sz w:val="18"/>
          <w:szCs w:val="18"/>
          <w:lang w:val="es-CO"/>
        </w:rPr>
        <w:t>D</w:t>
      </w:r>
      <w:r w:rsidRPr="003D195F">
        <w:rPr>
          <w:rFonts w:ascii="Arial" w:hAnsi="Arial" w:cs="Arial"/>
          <w:w w:val="140"/>
          <w:sz w:val="16"/>
          <w:szCs w:val="18"/>
          <w:lang w:val="es-CO"/>
        </w:rPr>
        <w:t xml:space="preserve">ECISIÓN </w:t>
      </w:r>
      <w:r w:rsidRPr="003D195F">
        <w:rPr>
          <w:rFonts w:ascii="Arial" w:hAnsi="Arial" w:cs="Arial"/>
          <w:w w:val="140"/>
          <w:sz w:val="18"/>
          <w:szCs w:val="18"/>
          <w:lang w:val="es-CO"/>
        </w:rPr>
        <w:t>C</w:t>
      </w:r>
      <w:r w:rsidRPr="003D195F">
        <w:rPr>
          <w:rFonts w:ascii="Arial" w:hAnsi="Arial" w:cs="Arial"/>
          <w:w w:val="140"/>
          <w:sz w:val="16"/>
          <w:szCs w:val="18"/>
          <w:lang w:val="es-CO"/>
        </w:rPr>
        <w:t xml:space="preserve">IVIL – </w:t>
      </w:r>
      <w:r w:rsidRPr="003D195F">
        <w:rPr>
          <w:rFonts w:ascii="Arial" w:hAnsi="Arial" w:cs="Arial"/>
          <w:w w:val="140"/>
          <w:sz w:val="18"/>
          <w:szCs w:val="18"/>
          <w:lang w:val="es-CO"/>
        </w:rPr>
        <w:t>F</w:t>
      </w:r>
      <w:r w:rsidRPr="003D195F">
        <w:rPr>
          <w:rFonts w:ascii="Arial" w:hAnsi="Arial" w:cs="Arial"/>
          <w:w w:val="140"/>
          <w:sz w:val="16"/>
          <w:szCs w:val="18"/>
          <w:lang w:val="es-CO"/>
        </w:rPr>
        <w:t xml:space="preserve">AMILIA – </w:t>
      </w:r>
      <w:r w:rsidRPr="003D195F">
        <w:rPr>
          <w:rFonts w:ascii="Arial" w:hAnsi="Arial" w:cs="Arial"/>
          <w:w w:val="140"/>
          <w:sz w:val="18"/>
          <w:szCs w:val="18"/>
          <w:lang w:val="es-CO"/>
        </w:rPr>
        <w:t>D</w:t>
      </w:r>
      <w:r w:rsidRPr="003D195F">
        <w:rPr>
          <w:rFonts w:ascii="Arial" w:hAnsi="Arial" w:cs="Arial"/>
          <w:w w:val="140"/>
          <w:sz w:val="16"/>
          <w:szCs w:val="18"/>
          <w:lang w:val="es-CO"/>
        </w:rPr>
        <w:t xml:space="preserve">ISTRITO DE </w:t>
      </w:r>
      <w:r w:rsidRPr="003D195F">
        <w:rPr>
          <w:rFonts w:ascii="Arial" w:hAnsi="Arial" w:cs="Arial"/>
          <w:w w:val="140"/>
          <w:sz w:val="18"/>
          <w:szCs w:val="18"/>
          <w:lang w:val="es-CO"/>
        </w:rPr>
        <w:t>P</w:t>
      </w:r>
      <w:r w:rsidRPr="003D195F">
        <w:rPr>
          <w:rFonts w:ascii="Arial" w:hAnsi="Arial" w:cs="Arial"/>
          <w:w w:val="140"/>
          <w:sz w:val="16"/>
          <w:szCs w:val="18"/>
          <w:lang w:val="es-CO"/>
        </w:rPr>
        <w:t>EREIRA</w:t>
      </w:r>
    </w:p>
    <w:p w:rsidR="00C65627" w:rsidRPr="007860C0" w:rsidRDefault="00C65627" w:rsidP="00C65627">
      <w:pPr>
        <w:pStyle w:val="Sinespaciado"/>
        <w:spacing w:line="360" w:lineRule="auto"/>
        <w:jc w:val="center"/>
        <w:rPr>
          <w:rFonts w:ascii="Arial" w:hAnsi="Arial" w:cs="Arial"/>
          <w:w w:val="140"/>
          <w:sz w:val="16"/>
          <w:szCs w:val="18"/>
        </w:rPr>
      </w:pPr>
      <w:r w:rsidRPr="00F755CB">
        <w:rPr>
          <w:rFonts w:ascii="Arial" w:hAnsi="Arial" w:cs="Arial"/>
          <w:w w:val="140"/>
          <w:sz w:val="18"/>
          <w:szCs w:val="18"/>
        </w:rPr>
        <w:t>D</w:t>
      </w:r>
      <w:r w:rsidRPr="00E4399D">
        <w:rPr>
          <w:rFonts w:ascii="Arial" w:hAnsi="Arial" w:cs="Arial"/>
          <w:w w:val="140"/>
          <w:sz w:val="16"/>
          <w:szCs w:val="18"/>
        </w:rPr>
        <w:t xml:space="preserve">EPARTAMENTO DEL </w:t>
      </w:r>
      <w:r w:rsidRPr="00F755CB">
        <w:rPr>
          <w:rFonts w:ascii="Arial" w:hAnsi="Arial" w:cs="Arial"/>
          <w:w w:val="140"/>
          <w:sz w:val="18"/>
          <w:szCs w:val="18"/>
        </w:rPr>
        <w:t>R</w:t>
      </w:r>
      <w:r w:rsidRPr="00E4399D">
        <w:rPr>
          <w:rFonts w:ascii="Arial" w:hAnsi="Arial" w:cs="Arial"/>
          <w:w w:val="140"/>
          <w:sz w:val="16"/>
          <w:szCs w:val="18"/>
        </w:rPr>
        <w:t>ISARALDA</w:t>
      </w:r>
    </w:p>
    <w:p w:rsidR="003913E3" w:rsidRPr="005069CE" w:rsidRDefault="003913E3" w:rsidP="00F839CE">
      <w:pPr>
        <w:spacing w:line="360" w:lineRule="auto"/>
        <w:jc w:val="center"/>
        <w:rPr>
          <w:rFonts w:ascii="Arial" w:hAnsi="Arial" w:cs="Arial"/>
          <w:b/>
          <w:bCs/>
          <w:szCs w:val="26"/>
        </w:rPr>
      </w:pPr>
    </w:p>
    <w:p w:rsidR="003913E3" w:rsidRPr="00F86DCE" w:rsidRDefault="003913E3" w:rsidP="00F839CE">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Pr="00F86DCE">
        <w:rPr>
          <w:rFonts w:ascii="Arial" w:hAnsi="Arial"/>
          <w:sz w:val="22"/>
          <w:szCs w:val="22"/>
        </w:rPr>
        <w:t>Asunto</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Sentencia de tutela en segunda instancia</w:t>
      </w:r>
    </w:p>
    <w:p w:rsidR="003913E3" w:rsidRDefault="003913E3" w:rsidP="00F839CE">
      <w:pPr>
        <w:pStyle w:val="Textoindependiente"/>
        <w:spacing w:line="360" w:lineRule="auto"/>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Accionante</w:t>
      </w:r>
      <w:r w:rsidR="004E702E">
        <w:rPr>
          <w:rFonts w:ascii="Arial" w:hAnsi="Arial"/>
          <w:sz w:val="22"/>
          <w:szCs w:val="22"/>
        </w:rPr>
        <w:t xml:space="preserve"> (s)</w:t>
      </w:r>
      <w:r w:rsidRPr="00F86DCE">
        <w:rPr>
          <w:rFonts w:ascii="Arial" w:hAnsi="Arial"/>
          <w:sz w:val="22"/>
          <w:szCs w:val="22"/>
        </w:rPr>
        <w:tab/>
      </w:r>
      <w:r w:rsidRPr="00F86DCE">
        <w:rPr>
          <w:rFonts w:ascii="Arial" w:hAnsi="Arial"/>
          <w:sz w:val="22"/>
          <w:szCs w:val="22"/>
        </w:rPr>
        <w:tab/>
        <w:t xml:space="preserve">: </w:t>
      </w:r>
      <w:r w:rsidR="00F908F9">
        <w:rPr>
          <w:rFonts w:ascii="Arial" w:hAnsi="Arial"/>
          <w:sz w:val="22"/>
          <w:szCs w:val="22"/>
        </w:rPr>
        <w:t>Uriel Giraldo Carmona</w:t>
      </w:r>
    </w:p>
    <w:p w:rsidR="00E06AE8" w:rsidRDefault="00E06AE8" w:rsidP="00E06AE8">
      <w:pPr>
        <w:pStyle w:val="Textoindependiente"/>
        <w:spacing w:line="360" w:lineRule="auto"/>
        <w:rPr>
          <w:rFonts w:ascii="Arial" w:hAnsi="Arial"/>
          <w:sz w:val="22"/>
          <w:szCs w:val="22"/>
          <w:lang w:val="es-CO"/>
        </w:rPr>
      </w:pPr>
      <w:r w:rsidRPr="00F86DCE">
        <w:rPr>
          <w:rFonts w:ascii="Arial" w:hAnsi="Arial"/>
          <w:sz w:val="22"/>
          <w:szCs w:val="22"/>
        </w:rPr>
        <w:tab/>
      </w:r>
      <w:r>
        <w:rPr>
          <w:rFonts w:ascii="Arial" w:hAnsi="Arial"/>
          <w:sz w:val="22"/>
          <w:szCs w:val="22"/>
        </w:rPr>
        <w:tab/>
      </w:r>
      <w:r w:rsidR="00FC0A07">
        <w:rPr>
          <w:rFonts w:ascii="Arial" w:hAnsi="Arial"/>
          <w:sz w:val="22"/>
          <w:szCs w:val="22"/>
        </w:rPr>
        <w:t xml:space="preserve">Accionado (s) </w:t>
      </w:r>
      <w:r w:rsidR="00FC0A07">
        <w:rPr>
          <w:rFonts w:ascii="Arial" w:hAnsi="Arial"/>
          <w:sz w:val="22"/>
          <w:szCs w:val="22"/>
        </w:rPr>
        <w:tab/>
      </w:r>
      <w:r w:rsidRPr="00F86DCE">
        <w:rPr>
          <w:rFonts w:ascii="Arial" w:hAnsi="Arial"/>
          <w:sz w:val="22"/>
          <w:szCs w:val="22"/>
        </w:rPr>
        <w:tab/>
        <w:t xml:space="preserve">: </w:t>
      </w:r>
      <w:r w:rsidR="00E87A47">
        <w:rPr>
          <w:rFonts w:ascii="Arial" w:hAnsi="Arial"/>
          <w:sz w:val="22"/>
          <w:szCs w:val="22"/>
        </w:rPr>
        <w:t xml:space="preserve">Juzgado </w:t>
      </w:r>
      <w:r w:rsidR="00F908F9">
        <w:rPr>
          <w:rFonts w:ascii="Arial" w:hAnsi="Arial"/>
          <w:sz w:val="22"/>
          <w:szCs w:val="22"/>
          <w:lang w:val="es-CO"/>
        </w:rPr>
        <w:t xml:space="preserve">Segundo Civil </w:t>
      </w:r>
      <w:r w:rsidR="00FC0A07">
        <w:rPr>
          <w:rFonts w:ascii="Arial" w:hAnsi="Arial"/>
          <w:sz w:val="22"/>
          <w:szCs w:val="22"/>
          <w:lang w:val="es-CO"/>
        </w:rPr>
        <w:t xml:space="preserve">Municipal de </w:t>
      </w:r>
      <w:r w:rsidR="00F908F9">
        <w:rPr>
          <w:rFonts w:ascii="Arial" w:hAnsi="Arial"/>
          <w:sz w:val="22"/>
          <w:szCs w:val="22"/>
          <w:lang w:val="es-CO"/>
        </w:rPr>
        <w:t>Santa Rosa de Cabal</w:t>
      </w:r>
    </w:p>
    <w:p w:rsidR="00FC0A07" w:rsidRDefault="00FC0A07" w:rsidP="00E06AE8">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t>Litisconsorte (s)</w:t>
      </w:r>
      <w:r>
        <w:rPr>
          <w:rFonts w:ascii="Arial" w:hAnsi="Arial"/>
          <w:sz w:val="22"/>
          <w:szCs w:val="22"/>
        </w:rPr>
        <w:tab/>
        <w:t xml:space="preserve">: </w:t>
      </w:r>
      <w:r w:rsidR="00F908F9">
        <w:rPr>
          <w:rFonts w:ascii="Arial" w:hAnsi="Arial"/>
          <w:sz w:val="22"/>
          <w:szCs w:val="22"/>
        </w:rPr>
        <w:t xml:space="preserve">Elvia María </w:t>
      </w:r>
      <w:proofErr w:type="spellStart"/>
      <w:r w:rsidR="00F908F9">
        <w:rPr>
          <w:rFonts w:ascii="Arial" w:hAnsi="Arial"/>
          <w:sz w:val="22"/>
          <w:szCs w:val="22"/>
        </w:rPr>
        <w:t>Aristizábal</w:t>
      </w:r>
      <w:proofErr w:type="spellEnd"/>
      <w:r w:rsidR="00F908F9">
        <w:rPr>
          <w:rFonts w:ascii="Arial" w:hAnsi="Arial"/>
          <w:sz w:val="22"/>
          <w:szCs w:val="22"/>
        </w:rPr>
        <w:t xml:space="preserve"> Daza y otros</w:t>
      </w:r>
    </w:p>
    <w:p w:rsidR="003913E3" w:rsidRPr="00F908F9" w:rsidRDefault="003913E3" w:rsidP="00F839CE">
      <w:pPr>
        <w:pStyle w:val="Textoindependiente"/>
        <w:spacing w:line="360" w:lineRule="auto"/>
        <w:rPr>
          <w:rFonts w:ascii="Arial" w:hAnsi="Arial"/>
          <w:sz w:val="22"/>
          <w:lang w:val="es-CO"/>
        </w:rPr>
      </w:pPr>
      <w:r>
        <w:rPr>
          <w:rFonts w:ascii="Arial" w:hAnsi="Arial"/>
          <w:sz w:val="18"/>
          <w:szCs w:val="22"/>
        </w:rPr>
        <w:tab/>
      </w:r>
      <w:r>
        <w:rPr>
          <w:rFonts w:ascii="Arial" w:hAnsi="Arial"/>
          <w:sz w:val="18"/>
          <w:szCs w:val="22"/>
        </w:rPr>
        <w:tab/>
      </w:r>
      <w:r w:rsidRPr="00F86DCE">
        <w:rPr>
          <w:rFonts w:ascii="Arial" w:hAnsi="Arial"/>
          <w:sz w:val="22"/>
          <w:szCs w:val="22"/>
        </w:rPr>
        <w:t>Radicación</w:t>
      </w:r>
      <w:r w:rsidRPr="00F86DCE">
        <w:rPr>
          <w:rFonts w:ascii="Arial" w:hAnsi="Arial"/>
          <w:sz w:val="22"/>
          <w:szCs w:val="22"/>
        </w:rPr>
        <w:tab/>
      </w:r>
      <w:r w:rsidRPr="00F86DCE">
        <w:rPr>
          <w:rFonts w:ascii="Arial" w:hAnsi="Arial"/>
          <w:sz w:val="22"/>
          <w:szCs w:val="22"/>
        </w:rPr>
        <w:tab/>
        <w:t xml:space="preserve">: </w:t>
      </w:r>
      <w:r w:rsidR="00FC0A07">
        <w:rPr>
          <w:rFonts w:ascii="Arial" w:hAnsi="Arial"/>
          <w:sz w:val="22"/>
        </w:rPr>
        <w:t>2016-</w:t>
      </w:r>
      <w:r w:rsidR="00F908F9">
        <w:rPr>
          <w:rFonts w:ascii="Arial" w:hAnsi="Arial"/>
          <w:sz w:val="22"/>
        </w:rPr>
        <w:t>00044</w:t>
      </w:r>
      <w:r w:rsidR="00FC0A07">
        <w:rPr>
          <w:rFonts w:ascii="Arial" w:hAnsi="Arial"/>
          <w:sz w:val="22"/>
        </w:rPr>
        <w:t xml:space="preserve">-01 </w:t>
      </w:r>
    </w:p>
    <w:p w:rsidR="00435CCB" w:rsidRDefault="003913E3" w:rsidP="00DB2859">
      <w:pPr>
        <w:pStyle w:val="Textoindependiente"/>
        <w:spacing w:line="360" w:lineRule="auto"/>
        <w:ind w:left="708" w:hanging="708"/>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Tema</w:t>
      </w:r>
      <w:r w:rsidR="002D6B23">
        <w:rPr>
          <w:rFonts w:ascii="Arial" w:hAnsi="Arial"/>
          <w:sz w:val="22"/>
          <w:szCs w:val="22"/>
        </w:rPr>
        <w:t>s</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xml:space="preserve">: </w:t>
      </w:r>
      <w:r w:rsidR="002A43EF">
        <w:rPr>
          <w:rFonts w:ascii="Arial" w:hAnsi="Arial"/>
          <w:sz w:val="22"/>
          <w:szCs w:val="22"/>
        </w:rPr>
        <w:t xml:space="preserve">Legitimación - </w:t>
      </w:r>
      <w:r w:rsidR="00E06AE8">
        <w:rPr>
          <w:rFonts w:ascii="Arial" w:hAnsi="Arial"/>
          <w:sz w:val="22"/>
          <w:szCs w:val="22"/>
        </w:rPr>
        <w:t>Inmediatez</w:t>
      </w:r>
      <w:r w:rsidR="009C22A8">
        <w:rPr>
          <w:rFonts w:ascii="Arial" w:hAnsi="Arial"/>
          <w:sz w:val="22"/>
          <w:szCs w:val="22"/>
        </w:rPr>
        <w:t xml:space="preserve"> - Subsidiariedad</w:t>
      </w:r>
    </w:p>
    <w:p w:rsidR="00DB2859" w:rsidRDefault="00435CCB" w:rsidP="00DB2859">
      <w:pPr>
        <w:pStyle w:val="Textoindependiente"/>
        <w:spacing w:line="360" w:lineRule="auto"/>
        <w:ind w:left="708" w:hanging="708"/>
        <w:rPr>
          <w:rFonts w:ascii="Arial" w:hAnsi="Arial"/>
          <w:sz w:val="22"/>
          <w:szCs w:val="22"/>
        </w:rPr>
      </w:pPr>
      <w:r>
        <w:rPr>
          <w:rFonts w:ascii="Arial" w:hAnsi="Arial"/>
          <w:sz w:val="22"/>
          <w:szCs w:val="22"/>
        </w:rPr>
        <w:tab/>
      </w:r>
      <w:r>
        <w:rPr>
          <w:rFonts w:ascii="Arial" w:hAnsi="Arial"/>
          <w:sz w:val="22"/>
          <w:szCs w:val="22"/>
        </w:rPr>
        <w:tab/>
      </w:r>
      <w:r w:rsidR="00C65627" w:rsidRPr="00F86DCE">
        <w:rPr>
          <w:rFonts w:ascii="Arial" w:hAnsi="Arial"/>
          <w:sz w:val="22"/>
          <w:szCs w:val="22"/>
        </w:rPr>
        <w:t>Despacho de origen</w:t>
      </w:r>
      <w:r w:rsidR="00C65627" w:rsidRPr="00F86DCE">
        <w:rPr>
          <w:rFonts w:ascii="Arial" w:hAnsi="Arial"/>
          <w:sz w:val="22"/>
          <w:szCs w:val="22"/>
        </w:rPr>
        <w:tab/>
        <w:t xml:space="preserve">: </w:t>
      </w:r>
      <w:r w:rsidR="00E87A47">
        <w:rPr>
          <w:rFonts w:ascii="Arial" w:hAnsi="Arial"/>
          <w:sz w:val="22"/>
          <w:szCs w:val="22"/>
        </w:rPr>
        <w:t xml:space="preserve">Juzgado </w:t>
      </w:r>
      <w:r w:rsidR="00FC0A07">
        <w:rPr>
          <w:rFonts w:ascii="Arial" w:hAnsi="Arial"/>
          <w:sz w:val="22"/>
          <w:szCs w:val="22"/>
        </w:rPr>
        <w:t xml:space="preserve">Civil </w:t>
      </w:r>
      <w:r w:rsidR="00E87A47">
        <w:rPr>
          <w:rFonts w:ascii="Arial" w:hAnsi="Arial"/>
          <w:sz w:val="22"/>
          <w:szCs w:val="22"/>
        </w:rPr>
        <w:t xml:space="preserve">del Circuito de </w:t>
      </w:r>
      <w:r w:rsidR="00F908F9">
        <w:rPr>
          <w:rFonts w:ascii="Arial" w:hAnsi="Arial"/>
          <w:sz w:val="22"/>
          <w:szCs w:val="22"/>
        </w:rPr>
        <w:t>Santa Rosa de Cabal</w:t>
      </w:r>
      <w:r w:rsidR="00E87A47">
        <w:rPr>
          <w:rFonts w:ascii="Arial" w:hAnsi="Arial"/>
          <w:sz w:val="22"/>
          <w:szCs w:val="22"/>
        </w:rPr>
        <w:t>.</w:t>
      </w:r>
    </w:p>
    <w:p w:rsidR="003913E3" w:rsidRPr="00B772B6" w:rsidRDefault="003913E3" w:rsidP="00EC7665">
      <w:pPr>
        <w:spacing w:line="360" w:lineRule="auto"/>
        <w:ind w:left="708" w:firstLine="708"/>
        <w:rPr>
          <w:rFonts w:ascii="Arial" w:hAnsi="Arial" w:cs="Arial"/>
          <w:smallCaps/>
          <w:sz w:val="22"/>
          <w:szCs w:val="22"/>
          <w:lang w:val="es-CO"/>
        </w:rPr>
      </w:pPr>
      <w:r w:rsidRPr="00F86DCE">
        <w:rPr>
          <w:rFonts w:ascii="Arial" w:hAnsi="Arial"/>
          <w:sz w:val="22"/>
          <w:szCs w:val="22"/>
        </w:rPr>
        <w:t>Magistrado Ponente</w:t>
      </w:r>
      <w:r w:rsidRPr="00F86DCE">
        <w:rPr>
          <w:rFonts w:ascii="Arial" w:hAnsi="Arial"/>
          <w:sz w:val="22"/>
          <w:szCs w:val="22"/>
        </w:rPr>
        <w:tab/>
        <w:t xml:space="preserve">: </w:t>
      </w:r>
      <w:r w:rsidRPr="00F86DCE">
        <w:rPr>
          <w:rFonts w:ascii="Arial" w:hAnsi="Arial" w:cs="Arial"/>
          <w:smallCaps/>
          <w:sz w:val="22"/>
          <w:szCs w:val="22"/>
          <w:lang w:val="es-CO"/>
        </w:rPr>
        <w:t>Duberney Grisales Herrera</w:t>
      </w:r>
    </w:p>
    <w:p w:rsidR="003913E3" w:rsidRPr="00F86DCE" w:rsidRDefault="003913E3" w:rsidP="00EC7665">
      <w:pPr>
        <w:spacing w:line="360" w:lineRule="auto"/>
        <w:ind w:left="708" w:firstLine="708"/>
        <w:rPr>
          <w:rFonts w:ascii="Arial" w:hAnsi="Arial" w:cs="Arial"/>
          <w:b/>
          <w:bCs/>
          <w:sz w:val="22"/>
          <w:szCs w:val="22"/>
        </w:rPr>
      </w:pPr>
      <w:r>
        <w:rPr>
          <w:rFonts w:ascii="Arial" w:hAnsi="Arial"/>
          <w:sz w:val="22"/>
          <w:szCs w:val="22"/>
        </w:rPr>
        <w:t>Acta número</w:t>
      </w:r>
      <w:r w:rsidRPr="00F86DCE">
        <w:rPr>
          <w:rFonts w:ascii="Arial" w:hAnsi="Arial"/>
          <w:sz w:val="22"/>
          <w:szCs w:val="22"/>
        </w:rPr>
        <w:tab/>
      </w:r>
      <w:r>
        <w:rPr>
          <w:rFonts w:ascii="Arial" w:hAnsi="Arial"/>
          <w:sz w:val="22"/>
          <w:szCs w:val="22"/>
        </w:rPr>
        <w:tab/>
      </w:r>
      <w:r w:rsidRPr="00F86DCE">
        <w:rPr>
          <w:rFonts w:ascii="Arial" w:hAnsi="Arial"/>
          <w:sz w:val="22"/>
          <w:szCs w:val="22"/>
        </w:rPr>
        <w:t xml:space="preserve">: </w:t>
      </w:r>
      <w:r w:rsidR="00A54D0E">
        <w:rPr>
          <w:rFonts w:ascii="Arial" w:hAnsi="Arial"/>
          <w:sz w:val="22"/>
          <w:szCs w:val="22"/>
        </w:rPr>
        <w:t>243 de 24-05-2016</w:t>
      </w:r>
    </w:p>
    <w:p w:rsidR="003913E3" w:rsidRPr="005069CE" w:rsidRDefault="003913E3" w:rsidP="00F839CE">
      <w:pPr>
        <w:pBdr>
          <w:bottom w:val="double" w:sz="6" w:space="1" w:color="auto"/>
        </w:pBdr>
        <w:spacing w:line="360" w:lineRule="auto"/>
        <w:jc w:val="center"/>
        <w:rPr>
          <w:rFonts w:ascii="Arial" w:hAnsi="Arial" w:cs="Arial"/>
          <w:b/>
          <w:bCs/>
          <w:szCs w:val="22"/>
        </w:rPr>
      </w:pPr>
    </w:p>
    <w:p w:rsidR="003913E3" w:rsidRPr="005069CE" w:rsidRDefault="003913E3" w:rsidP="00F839CE">
      <w:pPr>
        <w:spacing w:line="360" w:lineRule="auto"/>
        <w:jc w:val="center"/>
        <w:rPr>
          <w:rFonts w:ascii="Arial" w:hAnsi="Arial" w:cs="Arial"/>
          <w:b/>
          <w:bCs/>
          <w:szCs w:val="22"/>
        </w:rPr>
      </w:pPr>
    </w:p>
    <w:p w:rsidR="003913E3" w:rsidRPr="00311FCA" w:rsidRDefault="003913E3" w:rsidP="00F839CE">
      <w:pPr>
        <w:spacing w:line="360" w:lineRule="auto"/>
        <w:jc w:val="center"/>
        <w:rPr>
          <w:rFonts w:ascii="Arial" w:hAnsi="Arial" w:cs="Arial"/>
          <w:iCs/>
          <w:lang w:val="es-CO"/>
        </w:rPr>
      </w:pPr>
      <w:r w:rsidRPr="00311FCA">
        <w:rPr>
          <w:rFonts w:ascii="Arial" w:hAnsi="Arial" w:cs="Arial"/>
          <w:iCs/>
          <w:smallCaps/>
          <w:lang w:val="es-CO"/>
        </w:rPr>
        <w:t xml:space="preserve">Pereira, </w:t>
      </w:r>
      <w:r w:rsidR="00E87A47">
        <w:rPr>
          <w:rFonts w:ascii="Arial" w:hAnsi="Arial" w:cs="Arial"/>
          <w:iCs/>
          <w:smallCaps/>
          <w:lang w:val="es-CO"/>
        </w:rPr>
        <w:t>R.</w:t>
      </w:r>
      <w:r w:rsidRPr="00311FCA">
        <w:rPr>
          <w:rFonts w:ascii="Arial" w:hAnsi="Arial" w:cs="Arial"/>
          <w:iCs/>
          <w:smallCaps/>
          <w:lang w:val="es-CO"/>
        </w:rPr>
        <w:t xml:space="preserve">, </w:t>
      </w:r>
      <w:r w:rsidR="00A54D0E">
        <w:rPr>
          <w:rFonts w:ascii="Arial" w:hAnsi="Arial" w:cs="Arial"/>
          <w:iCs/>
          <w:smallCaps/>
          <w:lang w:val="es-CO"/>
        </w:rPr>
        <w:t xml:space="preserve">veinticuatro </w:t>
      </w:r>
      <w:r w:rsidRPr="00311FCA">
        <w:rPr>
          <w:rFonts w:ascii="Arial" w:hAnsi="Arial" w:cs="Arial"/>
          <w:iCs/>
          <w:smallCaps/>
          <w:lang w:val="es-CO"/>
        </w:rPr>
        <w:t>(</w:t>
      </w:r>
      <w:r w:rsidR="00A54D0E">
        <w:rPr>
          <w:rFonts w:ascii="Arial" w:hAnsi="Arial" w:cs="Arial"/>
          <w:iCs/>
          <w:smallCaps/>
          <w:lang w:val="es-CO"/>
        </w:rPr>
        <w:t>24</w:t>
      </w:r>
      <w:r w:rsidRPr="00311FCA">
        <w:rPr>
          <w:rFonts w:ascii="Arial" w:hAnsi="Arial" w:cs="Arial"/>
          <w:iCs/>
          <w:smallCaps/>
          <w:lang w:val="es-CO"/>
        </w:rPr>
        <w:t xml:space="preserve">) de </w:t>
      </w:r>
      <w:r w:rsidR="00F908F9">
        <w:rPr>
          <w:rFonts w:ascii="Arial" w:hAnsi="Arial" w:cs="Arial"/>
          <w:iCs/>
          <w:smallCaps/>
          <w:lang w:val="es-CO"/>
        </w:rPr>
        <w:t xml:space="preserve">mayo </w:t>
      </w:r>
      <w:r w:rsidRPr="00311FCA">
        <w:rPr>
          <w:rFonts w:ascii="Arial" w:hAnsi="Arial" w:cs="Arial"/>
          <w:iCs/>
          <w:smallCaps/>
          <w:lang w:val="es-CO"/>
        </w:rPr>
        <w:t xml:space="preserve">de dos mil </w:t>
      </w:r>
      <w:r w:rsidR="00E87A47">
        <w:rPr>
          <w:rFonts w:ascii="Arial" w:hAnsi="Arial" w:cs="Arial"/>
          <w:iCs/>
          <w:smallCaps/>
          <w:lang w:val="es-CO"/>
        </w:rPr>
        <w:t xml:space="preserve">dieciséis </w:t>
      </w:r>
      <w:r w:rsidRPr="00311FCA">
        <w:rPr>
          <w:rFonts w:ascii="Arial" w:hAnsi="Arial" w:cs="Arial"/>
          <w:iCs/>
          <w:smallCaps/>
          <w:lang w:val="es-CO"/>
        </w:rPr>
        <w:t>(</w:t>
      </w:r>
      <w:r w:rsidR="00E87A47">
        <w:rPr>
          <w:rFonts w:ascii="Arial" w:hAnsi="Arial" w:cs="Arial"/>
          <w:iCs/>
          <w:smallCaps/>
          <w:lang w:val="es-CO"/>
        </w:rPr>
        <w:t>2016</w:t>
      </w:r>
      <w:r w:rsidRPr="00311FCA">
        <w:rPr>
          <w:rFonts w:ascii="Arial" w:hAnsi="Arial" w:cs="Arial"/>
          <w:iCs/>
          <w:smallCaps/>
          <w:lang w:val="es-CO"/>
        </w:rPr>
        <w:t>)</w:t>
      </w:r>
      <w:r w:rsidRPr="00311FCA">
        <w:rPr>
          <w:rFonts w:ascii="Arial" w:hAnsi="Arial" w:cs="Arial"/>
          <w:iCs/>
          <w:lang w:val="es-CO"/>
        </w:rPr>
        <w:t>.</w:t>
      </w:r>
    </w:p>
    <w:p w:rsidR="003913E3" w:rsidRPr="00311FCA" w:rsidRDefault="003913E3" w:rsidP="00F839CE">
      <w:pPr>
        <w:pStyle w:val="Textoindependiente"/>
        <w:spacing w:line="360" w:lineRule="auto"/>
        <w:rPr>
          <w:rFonts w:ascii="Arial" w:hAnsi="Arial" w:cs="Arial"/>
          <w:sz w:val="24"/>
          <w:szCs w:val="24"/>
          <w:lang w:val="es-CO"/>
        </w:rPr>
      </w:pPr>
    </w:p>
    <w:p w:rsidR="003913E3" w:rsidRPr="00311FCA"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numPr>
          <w:ilvl w:val="0"/>
          <w:numId w:val="1"/>
        </w:numPr>
        <w:spacing w:line="360" w:lineRule="auto"/>
        <w:rPr>
          <w:rFonts w:ascii="Arial" w:hAnsi="Arial" w:cs="Arial"/>
          <w:sz w:val="24"/>
          <w:szCs w:val="24"/>
        </w:rPr>
      </w:pPr>
      <w:r w:rsidRPr="00311FCA">
        <w:rPr>
          <w:rFonts w:ascii="Arial" w:hAnsi="Arial" w:cs="Arial"/>
          <w:sz w:val="24"/>
          <w:szCs w:val="24"/>
        </w:rPr>
        <w:t>EL ASUNTO A DECIDIR</w:t>
      </w:r>
    </w:p>
    <w:p w:rsidR="003913E3" w:rsidRPr="00311FCA" w:rsidRDefault="003913E3" w:rsidP="00F839CE">
      <w:pPr>
        <w:pStyle w:val="Textoindependiente"/>
        <w:spacing w:line="360" w:lineRule="auto"/>
        <w:rPr>
          <w:rFonts w:ascii="Arial" w:hAnsi="Arial" w:cs="Arial"/>
          <w:sz w:val="24"/>
          <w:szCs w:val="24"/>
        </w:rPr>
      </w:pPr>
    </w:p>
    <w:p w:rsidR="006545A0" w:rsidRPr="006545A0" w:rsidRDefault="006545A0" w:rsidP="006545A0">
      <w:pPr>
        <w:pStyle w:val="Textoindependiente"/>
        <w:spacing w:line="360" w:lineRule="auto"/>
        <w:rPr>
          <w:rFonts w:ascii="Arial" w:hAnsi="Arial"/>
          <w:sz w:val="24"/>
          <w:szCs w:val="24"/>
        </w:rPr>
      </w:pPr>
      <w:r w:rsidRPr="006545A0">
        <w:rPr>
          <w:rFonts w:ascii="Arial" w:hAnsi="Arial"/>
          <w:sz w:val="24"/>
          <w:szCs w:val="24"/>
        </w:rPr>
        <w:t xml:space="preserve">La impugnación </w:t>
      </w:r>
      <w:r w:rsidR="00435CCB">
        <w:rPr>
          <w:rFonts w:ascii="Arial" w:hAnsi="Arial"/>
          <w:sz w:val="24"/>
          <w:szCs w:val="24"/>
        </w:rPr>
        <w:t>suscitada</w:t>
      </w:r>
      <w:r w:rsidRPr="006545A0">
        <w:rPr>
          <w:rFonts w:ascii="Arial" w:hAnsi="Arial"/>
          <w:sz w:val="24"/>
          <w:szCs w:val="24"/>
        </w:rPr>
        <w:t xml:space="preserve"> en el trámite constitucional ya referido, una vez se ha cumplido la actuación de primera instancia.</w:t>
      </w:r>
    </w:p>
    <w:p w:rsidR="003913E3" w:rsidRPr="00311FCA"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numPr>
          <w:ilvl w:val="0"/>
          <w:numId w:val="1"/>
        </w:numPr>
        <w:spacing w:line="360" w:lineRule="auto"/>
        <w:rPr>
          <w:rFonts w:ascii="Arial" w:hAnsi="Arial" w:cs="Arial"/>
          <w:sz w:val="24"/>
          <w:szCs w:val="24"/>
        </w:rPr>
      </w:pPr>
      <w:smartTag w:uri="urn:schemas-microsoft-com:office:smarttags" w:element="PersonName">
        <w:smartTagPr>
          <w:attr w:name="ProductID" w:val="LA SÍNTESIS DE"/>
        </w:smartTagPr>
        <w:r w:rsidRPr="00311FCA">
          <w:rPr>
            <w:rFonts w:ascii="Arial" w:hAnsi="Arial" w:cs="Arial"/>
            <w:sz w:val="24"/>
            <w:szCs w:val="24"/>
          </w:rPr>
          <w:t>LA SÍNTESIS DE</w:t>
        </w:r>
      </w:smartTag>
      <w:r w:rsidRPr="00311FCA">
        <w:rPr>
          <w:rFonts w:ascii="Arial" w:hAnsi="Arial" w:cs="Arial"/>
          <w:sz w:val="24"/>
          <w:szCs w:val="24"/>
        </w:rPr>
        <w:t xml:space="preserve"> LOS SUPUESTOS FÁCTICOS RELEVANTES</w:t>
      </w:r>
    </w:p>
    <w:p w:rsidR="003913E3" w:rsidRPr="00311FCA" w:rsidRDefault="003913E3" w:rsidP="00F839CE">
      <w:pPr>
        <w:pStyle w:val="Textoindependiente"/>
        <w:spacing w:line="360" w:lineRule="auto"/>
        <w:rPr>
          <w:rFonts w:ascii="Arial" w:hAnsi="Arial" w:cs="Arial"/>
          <w:sz w:val="24"/>
          <w:szCs w:val="24"/>
        </w:rPr>
      </w:pPr>
    </w:p>
    <w:p w:rsidR="00D46031" w:rsidRDefault="005A0E1D" w:rsidP="00386A25">
      <w:pPr>
        <w:pStyle w:val="Textoindependiente"/>
        <w:spacing w:line="360" w:lineRule="auto"/>
        <w:rPr>
          <w:rFonts w:ascii="Arial" w:hAnsi="Arial" w:cs="Arial"/>
          <w:sz w:val="24"/>
          <w:szCs w:val="24"/>
        </w:rPr>
      </w:pPr>
      <w:r>
        <w:rPr>
          <w:rFonts w:ascii="Arial" w:hAnsi="Arial" w:cs="Arial"/>
          <w:sz w:val="24"/>
          <w:szCs w:val="24"/>
        </w:rPr>
        <w:t>I</w:t>
      </w:r>
      <w:r w:rsidR="00E06AE8">
        <w:rPr>
          <w:rFonts w:ascii="Arial" w:hAnsi="Arial" w:cs="Arial"/>
          <w:sz w:val="24"/>
          <w:szCs w:val="24"/>
        </w:rPr>
        <w:t xml:space="preserve">nformó </w:t>
      </w:r>
      <w:r w:rsidR="00E87A47">
        <w:rPr>
          <w:rFonts w:ascii="Arial" w:hAnsi="Arial" w:cs="Arial"/>
          <w:sz w:val="24"/>
          <w:szCs w:val="24"/>
        </w:rPr>
        <w:t>el actor</w:t>
      </w:r>
      <w:r w:rsidR="00E06AE8">
        <w:rPr>
          <w:rFonts w:ascii="Arial" w:hAnsi="Arial" w:cs="Arial"/>
          <w:sz w:val="24"/>
          <w:szCs w:val="24"/>
        </w:rPr>
        <w:t xml:space="preserve"> </w:t>
      </w:r>
      <w:r w:rsidR="00F908F9">
        <w:rPr>
          <w:rFonts w:ascii="Arial" w:hAnsi="Arial" w:cs="Arial"/>
          <w:sz w:val="24"/>
          <w:szCs w:val="24"/>
        </w:rPr>
        <w:t>que el día 13-11-2013 mediante contrato de permuta celebrado con el señor José Álvaro Llanos Duque adquirió el 48% del inmueble identificado con el folio de matrícula No.296-62097, sobre el que ha ejercido posesión y realizado mejoras</w:t>
      </w:r>
      <w:r w:rsidR="00155A1A">
        <w:rPr>
          <w:rFonts w:ascii="Arial" w:hAnsi="Arial" w:cs="Arial"/>
          <w:sz w:val="24"/>
          <w:szCs w:val="24"/>
        </w:rPr>
        <w:t xml:space="preserve">; refirió que dicho predio </w:t>
      </w:r>
      <w:r w:rsidR="005A3346">
        <w:rPr>
          <w:rFonts w:ascii="Arial" w:hAnsi="Arial" w:cs="Arial"/>
          <w:sz w:val="24"/>
          <w:szCs w:val="24"/>
        </w:rPr>
        <w:t xml:space="preserve">lo compró </w:t>
      </w:r>
      <w:r w:rsidR="00155A1A">
        <w:rPr>
          <w:rFonts w:ascii="Arial" w:hAnsi="Arial" w:cs="Arial"/>
          <w:sz w:val="24"/>
          <w:szCs w:val="24"/>
        </w:rPr>
        <w:t>el señor Llanos Duque a Marco Aurelio Rodríguez Osorio</w:t>
      </w:r>
      <w:r w:rsidR="005A3346">
        <w:rPr>
          <w:rFonts w:ascii="Arial" w:hAnsi="Arial" w:cs="Arial"/>
          <w:sz w:val="24"/>
          <w:szCs w:val="24"/>
        </w:rPr>
        <w:t>,</w:t>
      </w:r>
      <w:r w:rsidR="00155A1A">
        <w:rPr>
          <w:rFonts w:ascii="Arial" w:hAnsi="Arial" w:cs="Arial"/>
          <w:sz w:val="24"/>
          <w:szCs w:val="24"/>
        </w:rPr>
        <w:t xml:space="preserve"> quien lo adquirió de la señora Viviana Calderón Mesa</w:t>
      </w:r>
      <w:r w:rsidR="00F908F9">
        <w:rPr>
          <w:rFonts w:ascii="Arial" w:hAnsi="Arial" w:cs="Arial"/>
          <w:sz w:val="24"/>
          <w:szCs w:val="24"/>
        </w:rPr>
        <w:t xml:space="preserve">. </w:t>
      </w:r>
      <w:r w:rsidR="00155A1A">
        <w:rPr>
          <w:rFonts w:ascii="Arial" w:hAnsi="Arial" w:cs="Arial"/>
          <w:sz w:val="24"/>
          <w:szCs w:val="24"/>
        </w:rPr>
        <w:t>Adujo que m</w:t>
      </w:r>
      <w:r w:rsidR="007A36F0">
        <w:rPr>
          <w:rFonts w:ascii="Arial" w:hAnsi="Arial" w:cs="Arial"/>
          <w:sz w:val="24"/>
          <w:szCs w:val="24"/>
        </w:rPr>
        <w:t xml:space="preserve">aliciosamente y sin su consentimiento </w:t>
      </w:r>
      <w:r w:rsidR="00155A1A">
        <w:rPr>
          <w:rFonts w:ascii="Arial" w:hAnsi="Arial" w:cs="Arial"/>
          <w:sz w:val="24"/>
          <w:szCs w:val="24"/>
        </w:rPr>
        <w:t>el señor Rodríguez Osorio</w:t>
      </w:r>
      <w:r w:rsidR="005A3346">
        <w:rPr>
          <w:rFonts w:ascii="Arial" w:hAnsi="Arial" w:cs="Arial"/>
          <w:sz w:val="24"/>
          <w:szCs w:val="24"/>
        </w:rPr>
        <w:t>,</w:t>
      </w:r>
      <w:r w:rsidR="00155A1A">
        <w:rPr>
          <w:rFonts w:ascii="Arial" w:hAnsi="Arial" w:cs="Arial"/>
          <w:sz w:val="24"/>
          <w:szCs w:val="24"/>
        </w:rPr>
        <w:t xml:space="preserve"> </w:t>
      </w:r>
      <w:r w:rsidR="007A36F0">
        <w:rPr>
          <w:rFonts w:ascii="Arial" w:hAnsi="Arial" w:cs="Arial"/>
          <w:sz w:val="24"/>
          <w:szCs w:val="24"/>
        </w:rPr>
        <w:t>por intermedio de su hijo</w:t>
      </w:r>
      <w:r w:rsidR="005A3346">
        <w:rPr>
          <w:rFonts w:ascii="Arial" w:hAnsi="Arial" w:cs="Arial"/>
          <w:sz w:val="24"/>
          <w:szCs w:val="24"/>
        </w:rPr>
        <w:t>,</w:t>
      </w:r>
      <w:r w:rsidR="007A36F0">
        <w:rPr>
          <w:rFonts w:ascii="Arial" w:hAnsi="Arial" w:cs="Arial"/>
          <w:sz w:val="24"/>
          <w:szCs w:val="24"/>
        </w:rPr>
        <w:t xml:space="preserve"> Marco Antonio Rodríguez Gómez</w:t>
      </w:r>
      <w:r w:rsidR="005A3346">
        <w:rPr>
          <w:rFonts w:ascii="Arial" w:hAnsi="Arial" w:cs="Arial"/>
          <w:sz w:val="24"/>
          <w:szCs w:val="24"/>
        </w:rPr>
        <w:t>,</w:t>
      </w:r>
      <w:r w:rsidR="007A36F0">
        <w:rPr>
          <w:rFonts w:ascii="Arial" w:hAnsi="Arial" w:cs="Arial"/>
          <w:sz w:val="24"/>
          <w:szCs w:val="24"/>
        </w:rPr>
        <w:t xml:space="preserve"> </w:t>
      </w:r>
      <w:r w:rsidR="005A3346">
        <w:rPr>
          <w:rFonts w:ascii="Arial" w:hAnsi="Arial" w:cs="Arial"/>
          <w:sz w:val="24"/>
          <w:szCs w:val="24"/>
        </w:rPr>
        <w:t xml:space="preserve">lo hipotecó </w:t>
      </w:r>
      <w:r w:rsidR="007A36F0">
        <w:rPr>
          <w:rFonts w:ascii="Arial" w:hAnsi="Arial" w:cs="Arial"/>
          <w:sz w:val="24"/>
          <w:szCs w:val="24"/>
        </w:rPr>
        <w:t xml:space="preserve">a favor de Jairo de J. Arbeláez y Elvia </w:t>
      </w:r>
      <w:proofErr w:type="spellStart"/>
      <w:r w:rsidR="007A36F0">
        <w:rPr>
          <w:rFonts w:ascii="Arial" w:hAnsi="Arial" w:cs="Arial"/>
          <w:sz w:val="24"/>
          <w:szCs w:val="24"/>
        </w:rPr>
        <w:t>Aristizábal</w:t>
      </w:r>
      <w:proofErr w:type="spellEnd"/>
      <w:r w:rsidR="00155A1A">
        <w:rPr>
          <w:rFonts w:ascii="Arial" w:hAnsi="Arial" w:cs="Arial"/>
          <w:sz w:val="24"/>
          <w:szCs w:val="24"/>
        </w:rPr>
        <w:t>.</w:t>
      </w:r>
      <w:r w:rsidR="007A36F0">
        <w:rPr>
          <w:rFonts w:ascii="Arial" w:hAnsi="Arial" w:cs="Arial"/>
          <w:sz w:val="24"/>
          <w:szCs w:val="24"/>
        </w:rPr>
        <w:t xml:space="preserve"> </w:t>
      </w:r>
    </w:p>
    <w:p w:rsidR="00D46031" w:rsidRDefault="00D46031" w:rsidP="00386A25">
      <w:pPr>
        <w:pStyle w:val="Textoindependiente"/>
        <w:spacing w:line="360" w:lineRule="auto"/>
        <w:rPr>
          <w:rFonts w:ascii="Arial" w:hAnsi="Arial" w:cs="Arial"/>
          <w:sz w:val="24"/>
          <w:szCs w:val="24"/>
        </w:rPr>
      </w:pPr>
    </w:p>
    <w:p w:rsidR="003913E3" w:rsidRDefault="00D46031" w:rsidP="00386A25">
      <w:pPr>
        <w:pStyle w:val="Textoindependiente"/>
        <w:spacing w:line="360" w:lineRule="auto"/>
        <w:rPr>
          <w:rFonts w:ascii="Arial" w:hAnsi="Arial" w:cs="Arial"/>
          <w:color w:val="000000"/>
          <w:sz w:val="24"/>
          <w:szCs w:val="24"/>
          <w:lang w:val="es-CO"/>
        </w:rPr>
      </w:pPr>
      <w:r>
        <w:rPr>
          <w:rFonts w:ascii="Arial" w:hAnsi="Arial" w:cs="Arial"/>
          <w:sz w:val="24"/>
          <w:szCs w:val="24"/>
          <w:lang w:val="es-CO"/>
        </w:rPr>
        <w:t xml:space="preserve">Con </w:t>
      </w:r>
      <w:r w:rsidR="007A36F0">
        <w:rPr>
          <w:rFonts w:ascii="Arial" w:hAnsi="Arial" w:cs="Arial"/>
          <w:sz w:val="24"/>
          <w:szCs w:val="24"/>
        </w:rPr>
        <w:t xml:space="preserve">el fin de </w:t>
      </w:r>
      <w:r w:rsidR="00155A1A">
        <w:rPr>
          <w:rFonts w:ascii="Arial" w:hAnsi="Arial" w:cs="Arial"/>
          <w:sz w:val="24"/>
          <w:szCs w:val="24"/>
        </w:rPr>
        <w:t xml:space="preserve">que su cuota parte fuera </w:t>
      </w:r>
      <w:proofErr w:type="spellStart"/>
      <w:r w:rsidR="00155A1A">
        <w:rPr>
          <w:rFonts w:ascii="Arial" w:hAnsi="Arial" w:cs="Arial"/>
          <w:sz w:val="24"/>
          <w:szCs w:val="24"/>
        </w:rPr>
        <w:t>desenglobada</w:t>
      </w:r>
      <w:proofErr w:type="spellEnd"/>
      <w:r w:rsidR="00155A1A">
        <w:rPr>
          <w:rFonts w:ascii="Arial" w:hAnsi="Arial" w:cs="Arial"/>
          <w:sz w:val="24"/>
          <w:szCs w:val="24"/>
        </w:rPr>
        <w:t xml:space="preserve"> pagó </w:t>
      </w:r>
      <w:r w:rsidR="005A3346">
        <w:rPr>
          <w:rFonts w:ascii="Arial" w:hAnsi="Arial" w:cs="Arial"/>
          <w:sz w:val="24"/>
          <w:szCs w:val="24"/>
        </w:rPr>
        <w:t xml:space="preserve">a los señores </w:t>
      </w:r>
      <w:r w:rsidR="007A36F0">
        <w:rPr>
          <w:rFonts w:ascii="Arial" w:hAnsi="Arial" w:cs="Arial"/>
          <w:sz w:val="24"/>
          <w:szCs w:val="24"/>
        </w:rPr>
        <w:t xml:space="preserve">Arbeláez y </w:t>
      </w:r>
      <w:proofErr w:type="spellStart"/>
      <w:r w:rsidR="007A36F0">
        <w:rPr>
          <w:rFonts w:ascii="Arial" w:hAnsi="Arial" w:cs="Arial"/>
          <w:sz w:val="24"/>
          <w:szCs w:val="24"/>
        </w:rPr>
        <w:t>Aristizábal</w:t>
      </w:r>
      <w:proofErr w:type="spellEnd"/>
      <w:r w:rsidR="007A36F0">
        <w:rPr>
          <w:rFonts w:ascii="Arial" w:hAnsi="Arial" w:cs="Arial"/>
          <w:sz w:val="24"/>
          <w:szCs w:val="24"/>
        </w:rPr>
        <w:t xml:space="preserve"> la suma de $9.000.000, </w:t>
      </w:r>
      <w:r w:rsidR="00155A1A">
        <w:rPr>
          <w:rFonts w:ascii="Arial" w:hAnsi="Arial" w:cs="Arial"/>
          <w:sz w:val="24"/>
          <w:szCs w:val="24"/>
        </w:rPr>
        <w:t xml:space="preserve">correspondiente a la deuda </w:t>
      </w:r>
      <w:r>
        <w:rPr>
          <w:rFonts w:ascii="Arial" w:hAnsi="Arial" w:cs="Arial"/>
          <w:sz w:val="24"/>
          <w:szCs w:val="24"/>
        </w:rPr>
        <w:t xml:space="preserve">contraída por Llanos Duque, </w:t>
      </w:r>
      <w:r w:rsidR="007A36F0">
        <w:rPr>
          <w:rFonts w:ascii="Arial" w:hAnsi="Arial" w:cs="Arial"/>
          <w:sz w:val="24"/>
          <w:szCs w:val="24"/>
        </w:rPr>
        <w:lastRenderedPageBreak/>
        <w:t>no obstante</w:t>
      </w:r>
      <w:r>
        <w:rPr>
          <w:rFonts w:ascii="Arial" w:hAnsi="Arial" w:cs="Arial"/>
          <w:sz w:val="24"/>
          <w:szCs w:val="24"/>
        </w:rPr>
        <w:t xml:space="preserve">, </w:t>
      </w:r>
      <w:r w:rsidR="007A36F0">
        <w:rPr>
          <w:rFonts w:ascii="Arial" w:hAnsi="Arial" w:cs="Arial"/>
          <w:sz w:val="24"/>
          <w:szCs w:val="24"/>
        </w:rPr>
        <w:t xml:space="preserve">están ejecutando la hipoteca </w:t>
      </w:r>
      <w:r>
        <w:rPr>
          <w:rFonts w:ascii="Arial" w:hAnsi="Arial" w:cs="Arial"/>
          <w:sz w:val="24"/>
          <w:szCs w:val="24"/>
        </w:rPr>
        <w:t xml:space="preserve">ante el juzgado accionado </w:t>
      </w:r>
      <w:r w:rsidR="007A36F0">
        <w:rPr>
          <w:rFonts w:ascii="Arial" w:hAnsi="Arial" w:cs="Arial"/>
          <w:sz w:val="24"/>
          <w:szCs w:val="24"/>
        </w:rPr>
        <w:t xml:space="preserve">sin cumplir con el </w:t>
      </w:r>
      <w:proofErr w:type="spellStart"/>
      <w:r w:rsidR="007A36F0">
        <w:rPr>
          <w:rFonts w:ascii="Arial" w:hAnsi="Arial" w:cs="Arial"/>
          <w:sz w:val="24"/>
          <w:szCs w:val="24"/>
        </w:rPr>
        <w:t>desenglobe</w:t>
      </w:r>
      <w:proofErr w:type="spellEnd"/>
      <w:r>
        <w:rPr>
          <w:rFonts w:ascii="Arial" w:hAnsi="Arial" w:cs="Arial"/>
          <w:sz w:val="24"/>
          <w:szCs w:val="24"/>
        </w:rPr>
        <w:t>. Dijo que se han vulnerado sus derechos a la propiedad y debido proceso, por lo que requiere la suspensión o cancelación del proceso ejecutivo hipotecario hasta tanto los tr</w:t>
      </w:r>
      <w:r w:rsidR="005A3346">
        <w:rPr>
          <w:rFonts w:ascii="Arial" w:hAnsi="Arial" w:cs="Arial"/>
          <w:sz w:val="24"/>
          <w:szCs w:val="24"/>
        </w:rPr>
        <w:t>á</w:t>
      </w:r>
      <w:r>
        <w:rPr>
          <w:rFonts w:ascii="Arial" w:hAnsi="Arial" w:cs="Arial"/>
          <w:sz w:val="24"/>
          <w:szCs w:val="24"/>
        </w:rPr>
        <w:t>mites penales y civiles que adelanta sean resueltos</w:t>
      </w:r>
      <w:r w:rsidRPr="00311FCA">
        <w:rPr>
          <w:rFonts w:ascii="Arial" w:hAnsi="Arial" w:cs="Arial"/>
          <w:color w:val="000000"/>
          <w:sz w:val="24"/>
          <w:szCs w:val="24"/>
          <w:lang w:val="es-CO"/>
        </w:rPr>
        <w:t xml:space="preserve"> </w:t>
      </w:r>
      <w:r w:rsidR="003913E3" w:rsidRPr="00311FCA">
        <w:rPr>
          <w:rFonts w:ascii="Arial" w:hAnsi="Arial" w:cs="Arial"/>
          <w:color w:val="000000"/>
          <w:sz w:val="24"/>
          <w:szCs w:val="24"/>
          <w:lang w:val="es-CO"/>
        </w:rPr>
        <w:t>(Folio</w:t>
      </w:r>
      <w:r>
        <w:rPr>
          <w:rFonts w:ascii="Arial" w:hAnsi="Arial" w:cs="Arial"/>
          <w:color w:val="000000"/>
          <w:sz w:val="24"/>
          <w:szCs w:val="24"/>
          <w:lang w:val="es-CO"/>
        </w:rPr>
        <w:t>s</w:t>
      </w:r>
      <w:r w:rsidR="003913E3" w:rsidRPr="00311FCA">
        <w:rPr>
          <w:rFonts w:ascii="Arial" w:hAnsi="Arial" w:cs="Arial"/>
          <w:color w:val="000000"/>
          <w:sz w:val="24"/>
          <w:szCs w:val="24"/>
          <w:lang w:val="es-CO"/>
        </w:rPr>
        <w:t xml:space="preserve"> </w:t>
      </w:r>
      <w:r>
        <w:rPr>
          <w:rFonts w:ascii="Arial" w:hAnsi="Arial" w:cs="Arial"/>
          <w:color w:val="000000"/>
          <w:sz w:val="24"/>
          <w:szCs w:val="24"/>
          <w:lang w:val="es-CO"/>
        </w:rPr>
        <w:t>17 a 19</w:t>
      </w:r>
      <w:r w:rsidR="003913E3" w:rsidRPr="00311FCA">
        <w:rPr>
          <w:rFonts w:ascii="Arial" w:hAnsi="Arial" w:cs="Arial"/>
          <w:color w:val="000000"/>
          <w:sz w:val="24"/>
          <w:szCs w:val="24"/>
          <w:lang w:val="es-CO"/>
        </w:rPr>
        <w:t xml:space="preserve">, del cuaderno </w:t>
      </w:r>
      <w:r w:rsidR="00D13C1E" w:rsidRPr="00386A25">
        <w:rPr>
          <w:rFonts w:ascii="Arial" w:hAnsi="Arial" w:cs="Arial"/>
          <w:color w:val="000000"/>
          <w:sz w:val="24"/>
          <w:lang w:val="es-CO"/>
        </w:rPr>
        <w:t>No.1</w:t>
      </w:r>
      <w:r w:rsidR="003913E3" w:rsidRPr="00311FCA">
        <w:rPr>
          <w:rFonts w:ascii="Arial" w:hAnsi="Arial" w:cs="Arial"/>
          <w:color w:val="000000"/>
          <w:sz w:val="24"/>
          <w:szCs w:val="24"/>
          <w:lang w:val="es-CO"/>
        </w:rPr>
        <w:t>).</w:t>
      </w:r>
    </w:p>
    <w:p w:rsidR="00996E1D" w:rsidRDefault="00996E1D" w:rsidP="00386A25">
      <w:pPr>
        <w:pStyle w:val="Textoindependiente"/>
        <w:spacing w:line="360" w:lineRule="auto"/>
        <w:rPr>
          <w:rFonts w:ascii="Arial" w:hAnsi="Arial" w:cs="Arial"/>
          <w:color w:val="000000"/>
          <w:sz w:val="24"/>
          <w:szCs w:val="24"/>
          <w:lang w:val="es-CO"/>
        </w:rPr>
      </w:pPr>
    </w:p>
    <w:p w:rsidR="00996E1D" w:rsidRPr="00311FCA" w:rsidRDefault="00996E1D" w:rsidP="00386A25">
      <w:pPr>
        <w:pStyle w:val="Textoindependiente"/>
        <w:spacing w:line="360" w:lineRule="auto"/>
        <w:rPr>
          <w:rFonts w:ascii="Arial" w:hAnsi="Arial" w:cs="Arial"/>
          <w:color w:val="000000"/>
          <w:sz w:val="24"/>
          <w:szCs w:val="24"/>
          <w:lang w:val="es-CO"/>
        </w:rPr>
      </w:pPr>
    </w:p>
    <w:p w:rsidR="00386A25" w:rsidRDefault="00386A25" w:rsidP="00386A25">
      <w:pPr>
        <w:pStyle w:val="Textoindependiente"/>
        <w:numPr>
          <w:ilvl w:val="0"/>
          <w:numId w:val="1"/>
        </w:numPr>
        <w:spacing w:line="360" w:lineRule="auto"/>
        <w:rPr>
          <w:rFonts w:ascii="Arial" w:hAnsi="Arial"/>
          <w:sz w:val="24"/>
          <w:szCs w:val="24"/>
        </w:rPr>
      </w:pPr>
      <w:r w:rsidRPr="00FB469C">
        <w:rPr>
          <w:rFonts w:ascii="Arial" w:hAnsi="Arial"/>
          <w:sz w:val="24"/>
          <w:szCs w:val="24"/>
        </w:rPr>
        <w:t>LOS DERECHOS PRESUNTAMENTE VULNERADOS</w:t>
      </w:r>
    </w:p>
    <w:p w:rsidR="00D13C1E" w:rsidRPr="00FB469C" w:rsidRDefault="00D13C1E" w:rsidP="00D13C1E">
      <w:pPr>
        <w:pStyle w:val="Textoindependiente"/>
        <w:spacing w:line="360" w:lineRule="auto"/>
        <w:ind w:left="360"/>
        <w:rPr>
          <w:rFonts w:ascii="Arial" w:hAnsi="Arial"/>
          <w:sz w:val="24"/>
          <w:szCs w:val="24"/>
        </w:rPr>
      </w:pPr>
    </w:p>
    <w:p w:rsidR="00386A25" w:rsidRPr="00386A25" w:rsidRDefault="00CD5D7B" w:rsidP="00386A25">
      <w:pPr>
        <w:pStyle w:val="Textoindependiente"/>
        <w:widowControl w:val="0"/>
        <w:spacing w:line="360" w:lineRule="auto"/>
        <w:rPr>
          <w:rFonts w:ascii="Arial" w:hAnsi="Arial"/>
          <w:sz w:val="24"/>
          <w:szCs w:val="24"/>
        </w:rPr>
      </w:pPr>
      <w:r>
        <w:rPr>
          <w:rFonts w:ascii="Arial" w:hAnsi="Arial"/>
          <w:sz w:val="24"/>
          <w:szCs w:val="24"/>
        </w:rPr>
        <w:t xml:space="preserve">Se invocan </w:t>
      </w:r>
      <w:r w:rsidR="00B26FA3">
        <w:rPr>
          <w:rFonts w:ascii="Arial" w:hAnsi="Arial"/>
          <w:sz w:val="24"/>
          <w:szCs w:val="24"/>
        </w:rPr>
        <w:t xml:space="preserve">los </w:t>
      </w:r>
      <w:r w:rsidR="00386A25">
        <w:rPr>
          <w:rFonts w:ascii="Arial" w:hAnsi="Arial"/>
          <w:sz w:val="24"/>
          <w:szCs w:val="24"/>
        </w:rPr>
        <w:t>derecho</w:t>
      </w:r>
      <w:r w:rsidR="00B26FA3">
        <w:rPr>
          <w:rFonts w:ascii="Arial" w:hAnsi="Arial"/>
          <w:sz w:val="24"/>
          <w:szCs w:val="24"/>
        </w:rPr>
        <w:t>s</w:t>
      </w:r>
      <w:r w:rsidR="00386A25">
        <w:rPr>
          <w:rFonts w:ascii="Arial" w:hAnsi="Arial"/>
          <w:sz w:val="24"/>
          <w:szCs w:val="24"/>
        </w:rPr>
        <w:t xml:space="preserve"> fundamental</w:t>
      </w:r>
      <w:r w:rsidR="00B26FA3">
        <w:rPr>
          <w:rFonts w:ascii="Arial" w:hAnsi="Arial"/>
          <w:sz w:val="24"/>
          <w:szCs w:val="24"/>
        </w:rPr>
        <w:t>es al debido proceso</w:t>
      </w:r>
      <w:r w:rsidR="00D46031">
        <w:rPr>
          <w:rFonts w:ascii="Arial" w:hAnsi="Arial"/>
          <w:sz w:val="24"/>
          <w:szCs w:val="24"/>
        </w:rPr>
        <w:t xml:space="preserve"> y a la propiedad</w:t>
      </w:r>
      <w:r w:rsidR="00B26FA3">
        <w:rPr>
          <w:rFonts w:ascii="Arial" w:hAnsi="Arial"/>
          <w:sz w:val="24"/>
          <w:szCs w:val="24"/>
        </w:rPr>
        <w:t xml:space="preserve"> </w:t>
      </w:r>
      <w:r w:rsidR="00386A25" w:rsidRPr="00386A25">
        <w:rPr>
          <w:rFonts w:ascii="Arial" w:hAnsi="Arial"/>
          <w:sz w:val="24"/>
          <w:szCs w:val="24"/>
        </w:rPr>
        <w:t>(Folio</w:t>
      </w:r>
      <w:r w:rsidR="00B26FA3">
        <w:rPr>
          <w:rFonts w:ascii="Arial" w:hAnsi="Arial"/>
          <w:sz w:val="24"/>
          <w:szCs w:val="24"/>
        </w:rPr>
        <w:t>s</w:t>
      </w:r>
      <w:r w:rsidR="00386A25" w:rsidRPr="00386A25">
        <w:rPr>
          <w:rFonts w:ascii="Arial" w:hAnsi="Arial"/>
          <w:sz w:val="24"/>
          <w:szCs w:val="24"/>
        </w:rPr>
        <w:t xml:space="preserve"> </w:t>
      </w:r>
      <w:r w:rsidR="00D46031">
        <w:rPr>
          <w:rFonts w:ascii="Arial" w:hAnsi="Arial"/>
          <w:sz w:val="24"/>
          <w:szCs w:val="24"/>
        </w:rPr>
        <w:t xml:space="preserve">17 a 19 </w:t>
      </w:r>
      <w:r w:rsidR="00386A25" w:rsidRPr="00386A25">
        <w:rPr>
          <w:rFonts w:ascii="Arial" w:hAnsi="Arial" w:cs="Arial"/>
          <w:color w:val="000000"/>
          <w:sz w:val="24"/>
          <w:lang w:val="es-CO"/>
        </w:rPr>
        <w:t>del cuaderno No.1</w:t>
      </w:r>
      <w:r w:rsidR="00386A25" w:rsidRPr="00386A25">
        <w:rPr>
          <w:rFonts w:ascii="Arial" w:hAnsi="Arial"/>
          <w:sz w:val="24"/>
          <w:szCs w:val="24"/>
        </w:rPr>
        <w:t>).</w:t>
      </w:r>
    </w:p>
    <w:p w:rsidR="00800C57" w:rsidRDefault="00800C57" w:rsidP="00F839CE">
      <w:pPr>
        <w:pStyle w:val="Textoindependiente"/>
        <w:widowControl w:val="0"/>
        <w:spacing w:line="360" w:lineRule="auto"/>
        <w:rPr>
          <w:rFonts w:ascii="Arial" w:hAnsi="Arial" w:cs="Arial"/>
          <w:sz w:val="24"/>
          <w:szCs w:val="24"/>
        </w:rPr>
      </w:pPr>
    </w:p>
    <w:p w:rsidR="00E87A47" w:rsidRDefault="00E87A47" w:rsidP="00F839CE">
      <w:pPr>
        <w:pStyle w:val="Textoindependiente"/>
        <w:widowControl w:val="0"/>
        <w:spacing w:line="360" w:lineRule="auto"/>
        <w:rPr>
          <w:rFonts w:ascii="Arial" w:hAnsi="Arial" w:cs="Arial"/>
          <w:sz w:val="24"/>
          <w:szCs w:val="24"/>
        </w:rPr>
      </w:pPr>
    </w:p>
    <w:p w:rsidR="003913E3" w:rsidRDefault="003913E3" w:rsidP="00F839CE">
      <w:pPr>
        <w:pStyle w:val="Textoindependiente"/>
        <w:widowControl w:val="0"/>
        <w:numPr>
          <w:ilvl w:val="0"/>
          <w:numId w:val="1"/>
        </w:numPr>
        <w:spacing w:line="360" w:lineRule="auto"/>
        <w:rPr>
          <w:rFonts w:ascii="Arial" w:hAnsi="Arial" w:cs="Arial"/>
          <w:sz w:val="24"/>
          <w:szCs w:val="24"/>
        </w:rPr>
      </w:pPr>
      <w:r w:rsidRPr="00311FCA">
        <w:rPr>
          <w:rFonts w:ascii="Arial" w:hAnsi="Arial" w:cs="Arial"/>
          <w:sz w:val="24"/>
          <w:szCs w:val="24"/>
        </w:rPr>
        <w:t>LA SÍNTESIS DE LA CRÓNICA PROCESAL</w:t>
      </w:r>
    </w:p>
    <w:p w:rsidR="00B26FA3" w:rsidRPr="00311FCA" w:rsidRDefault="00B26FA3" w:rsidP="00B26FA3">
      <w:pPr>
        <w:pStyle w:val="Textoindependiente"/>
        <w:widowControl w:val="0"/>
        <w:spacing w:line="360" w:lineRule="auto"/>
        <w:ind w:left="360"/>
        <w:rPr>
          <w:rFonts w:ascii="Arial" w:hAnsi="Arial" w:cs="Arial"/>
          <w:sz w:val="24"/>
          <w:szCs w:val="24"/>
        </w:rPr>
      </w:pPr>
    </w:p>
    <w:p w:rsidR="00E23D2E" w:rsidRDefault="006E78FF" w:rsidP="00E23D2E">
      <w:pPr>
        <w:pStyle w:val="Textoindependiente"/>
        <w:widowControl w:val="0"/>
        <w:spacing w:line="360" w:lineRule="auto"/>
        <w:rPr>
          <w:rFonts w:ascii="Arial" w:hAnsi="Arial"/>
          <w:sz w:val="24"/>
        </w:rPr>
      </w:pPr>
      <w:r w:rsidRPr="00E23D2E">
        <w:rPr>
          <w:rFonts w:ascii="Arial" w:hAnsi="Arial"/>
          <w:sz w:val="24"/>
        </w:rPr>
        <w:t xml:space="preserve">Correspondió </w:t>
      </w:r>
      <w:r w:rsidR="00E23D2E" w:rsidRPr="00E23D2E">
        <w:rPr>
          <w:rFonts w:ascii="Arial" w:hAnsi="Arial"/>
          <w:sz w:val="24"/>
        </w:rPr>
        <w:t xml:space="preserve">al Juzgado </w:t>
      </w:r>
      <w:r w:rsidR="00B26FA3">
        <w:rPr>
          <w:rFonts w:ascii="Arial" w:hAnsi="Arial"/>
          <w:sz w:val="24"/>
        </w:rPr>
        <w:t xml:space="preserve">Civil del </w:t>
      </w:r>
      <w:r w:rsidR="00E87A47">
        <w:rPr>
          <w:rFonts w:ascii="Arial" w:hAnsi="Arial"/>
          <w:sz w:val="24"/>
        </w:rPr>
        <w:t xml:space="preserve">Circuito de </w:t>
      </w:r>
      <w:r w:rsidR="00D46031">
        <w:rPr>
          <w:rFonts w:ascii="Arial" w:hAnsi="Arial"/>
          <w:sz w:val="24"/>
        </w:rPr>
        <w:t>Santa Rosa de Cabal</w:t>
      </w:r>
      <w:r w:rsidR="00E87A47">
        <w:rPr>
          <w:rFonts w:ascii="Arial" w:hAnsi="Arial"/>
          <w:sz w:val="24"/>
        </w:rPr>
        <w:t xml:space="preserve">, </w:t>
      </w:r>
      <w:r w:rsidR="00E23D2E" w:rsidRPr="00E23D2E">
        <w:rPr>
          <w:rFonts w:ascii="Arial" w:hAnsi="Arial"/>
          <w:sz w:val="24"/>
        </w:rPr>
        <w:t xml:space="preserve">que con providencia del </w:t>
      </w:r>
      <w:r w:rsidR="00D46031">
        <w:rPr>
          <w:rFonts w:ascii="Arial" w:hAnsi="Arial"/>
          <w:sz w:val="24"/>
        </w:rPr>
        <w:t xml:space="preserve">07-03-2016 </w:t>
      </w:r>
      <w:r w:rsidR="00E23D2E" w:rsidRPr="00E23D2E">
        <w:rPr>
          <w:rFonts w:ascii="Arial" w:hAnsi="Arial"/>
          <w:sz w:val="24"/>
        </w:rPr>
        <w:t>la admitió</w:t>
      </w:r>
      <w:r w:rsidR="00B26FA3">
        <w:rPr>
          <w:rFonts w:ascii="Arial" w:hAnsi="Arial"/>
          <w:sz w:val="24"/>
        </w:rPr>
        <w:t xml:space="preserve">, </w:t>
      </w:r>
      <w:r w:rsidR="00B26FA3" w:rsidRPr="00B26FA3">
        <w:rPr>
          <w:rFonts w:ascii="Arial" w:hAnsi="Arial"/>
          <w:sz w:val="24"/>
          <w:lang w:val="es-ES"/>
        </w:rPr>
        <w:t>vinculó a quienes se estimó conveniente</w:t>
      </w:r>
      <w:r w:rsidR="00E23D2E" w:rsidRPr="00E23D2E">
        <w:rPr>
          <w:rFonts w:ascii="Arial" w:hAnsi="Arial"/>
          <w:sz w:val="24"/>
        </w:rPr>
        <w:t xml:space="preserve"> y ordenó </w:t>
      </w:r>
      <w:r w:rsidR="00B26FA3" w:rsidRPr="00B26FA3">
        <w:rPr>
          <w:rFonts w:ascii="Arial" w:hAnsi="Arial"/>
          <w:sz w:val="24"/>
          <w:lang w:val="es-ES"/>
        </w:rPr>
        <w:t>notificar a la partes</w:t>
      </w:r>
      <w:r w:rsidR="00B26FA3">
        <w:rPr>
          <w:rFonts w:ascii="Arial" w:hAnsi="Arial"/>
          <w:sz w:val="24"/>
          <w:lang w:val="es-ES"/>
        </w:rPr>
        <w:t>, entre otros ordenamientos</w:t>
      </w:r>
      <w:r w:rsidR="00E87A47">
        <w:rPr>
          <w:rFonts w:ascii="Arial" w:hAnsi="Arial"/>
          <w:sz w:val="24"/>
        </w:rPr>
        <w:t xml:space="preserve"> </w:t>
      </w:r>
      <w:r w:rsidR="00E23D2E" w:rsidRPr="00E23D2E">
        <w:rPr>
          <w:rFonts w:ascii="Arial" w:hAnsi="Arial"/>
          <w:sz w:val="24"/>
        </w:rPr>
        <w:t>(Folio</w:t>
      </w:r>
      <w:r w:rsidR="00FB469C">
        <w:rPr>
          <w:rFonts w:ascii="Arial" w:hAnsi="Arial"/>
          <w:sz w:val="24"/>
        </w:rPr>
        <w:t xml:space="preserve"> </w:t>
      </w:r>
      <w:r w:rsidR="00D46031">
        <w:rPr>
          <w:rFonts w:ascii="Arial" w:hAnsi="Arial"/>
          <w:sz w:val="24"/>
        </w:rPr>
        <w:t>20</w:t>
      </w:r>
      <w:r w:rsidR="00E23D2E" w:rsidRPr="00E23D2E">
        <w:rPr>
          <w:rFonts w:ascii="Arial" w:hAnsi="Arial"/>
          <w:sz w:val="24"/>
        </w:rPr>
        <w:t xml:space="preserve">, </w:t>
      </w:r>
      <w:r w:rsidR="00E23D2E" w:rsidRPr="00E23D2E">
        <w:rPr>
          <w:rFonts w:ascii="Arial" w:hAnsi="Arial" w:cs="Arial"/>
          <w:color w:val="000000"/>
          <w:sz w:val="24"/>
          <w:lang w:val="es-CO"/>
        </w:rPr>
        <w:t>del cuaderno No.1</w:t>
      </w:r>
      <w:r w:rsidR="00E23D2E" w:rsidRPr="00E23D2E">
        <w:rPr>
          <w:rFonts w:ascii="Arial" w:hAnsi="Arial"/>
          <w:sz w:val="24"/>
        </w:rPr>
        <w:t>)</w:t>
      </w:r>
      <w:r w:rsidR="00490305">
        <w:rPr>
          <w:rFonts w:ascii="Arial" w:hAnsi="Arial"/>
          <w:sz w:val="24"/>
        </w:rPr>
        <w:t>. Contest</w:t>
      </w:r>
      <w:r w:rsidR="004A5B43">
        <w:rPr>
          <w:rFonts w:ascii="Arial" w:hAnsi="Arial"/>
          <w:sz w:val="24"/>
        </w:rPr>
        <w:t xml:space="preserve">ó </w:t>
      </w:r>
      <w:r w:rsidR="00B26FA3">
        <w:rPr>
          <w:rFonts w:ascii="Arial" w:hAnsi="Arial"/>
          <w:sz w:val="24"/>
        </w:rPr>
        <w:t xml:space="preserve">el </w:t>
      </w:r>
      <w:r w:rsidR="00D46031">
        <w:rPr>
          <w:rFonts w:ascii="Arial" w:hAnsi="Arial"/>
          <w:sz w:val="24"/>
        </w:rPr>
        <w:t>Juzgado accionado (Folios 23 y 24</w:t>
      </w:r>
      <w:r w:rsidR="00E23D2E" w:rsidRPr="00E23D2E">
        <w:rPr>
          <w:rFonts w:ascii="Arial" w:hAnsi="Arial"/>
          <w:sz w:val="24"/>
        </w:rPr>
        <w:t>, ibídem)</w:t>
      </w:r>
      <w:r w:rsidR="00D46031">
        <w:rPr>
          <w:rFonts w:ascii="Arial" w:hAnsi="Arial"/>
          <w:sz w:val="24"/>
        </w:rPr>
        <w:t xml:space="preserve"> y el señor Jairo de Jesús Arbeláez Tabares (Folios 30 a 32, ibídem)</w:t>
      </w:r>
      <w:r w:rsidR="00A22A2E">
        <w:rPr>
          <w:rFonts w:ascii="Arial" w:hAnsi="Arial"/>
          <w:sz w:val="24"/>
        </w:rPr>
        <w:t xml:space="preserve">; luego, se profirió sentencia el día </w:t>
      </w:r>
      <w:r w:rsidR="00D46031">
        <w:rPr>
          <w:rFonts w:ascii="Arial" w:hAnsi="Arial"/>
          <w:sz w:val="24"/>
        </w:rPr>
        <w:t>18</w:t>
      </w:r>
      <w:r w:rsidR="00B26FA3">
        <w:rPr>
          <w:rFonts w:ascii="Arial" w:hAnsi="Arial"/>
          <w:sz w:val="24"/>
        </w:rPr>
        <w:t>-03-2016</w:t>
      </w:r>
      <w:r w:rsidR="00A22A2E">
        <w:rPr>
          <w:rFonts w:ascii="Arial" w:hAnsi="Arial"/>
          <w:sz w:val="24"/>
        </w:rPr>
        <w:t xml:space="preserve"> (Folio</w:t>
      </w:r>
      <w:r w:rsidR="00D46031">
        <w:rPr>
          <w:rFonts w:ascii="Arial" w:hAnsi="Arial"/>
          <w:sz w:val="24"/>
        </w:rPr>
        <w:t>s</w:t>
      </w:r>
      <w:r w:rsidR="00E23D2E" w:rsidRPr="00E23D2E">
        <w:rPr>
          <w:rFonts w:ascii="Arial" w:hAnsi="Arial"/>
          <w:sz w:val="24"/>
        </w:rPr>
        <w:t xml:space="preserve"> </w:t>
      </w:r>
      <w:r w:rsidR="00D46031">
        <w:rPr>
          <w:rFonts w:ascii="Arial" w:hAnsi="Arial"/>
          <w:sz w:val="24"/>
        </w:rPr>
        <w:t>33 a 40</w:t>
      </w:r>
      <w:r w:rsidR="00E23D2E" w:rsidRPr="00E23D2E">
        <w:rPr>
          <w:rFonts w:ascii="Arial" w:hAnsi="Arial"/>
          <w:sz w:val="24"/>
        </w:rPr>
        <w:t xml:space="preserve">, </w:t>
      </w:r>
      <w:r w:rsidR="004A5B43" w:rsidRPr="00E23D2E">
        <w:rPr>
          <w:rFonts w:ascii="Arial" w:hAnsi="Arial"/>
          <w:sz w:val="24"/>
        </w:rPr>
        <w:t>ibídem</w:t>
      </w:r>
      <w:r w:rsidR="00E23D2E" w:rsidRPr="00E23D2E">
        <w:rPr>
          <w:rFonts w:ascii="Arial" w:hAnsi="Arial"/>
          <w:sz w:val="24"/>
        </w:rPr>
        <w:t>)</w:t>
      </w:r>
      <w:r w:rsidR="00A22A2E">
        <w:rPr>
          <w:rFonts w:ascii="Arial" w:hAnsi="Arial"/>
          <w:sz w:val="24"/>
        </w:rPr>
        <w:t xml:space="preserve">; y, posteriormente, </w:t>
      </w:r>
      <w:r w:rsidR="00E23D2E" w:rsidRPr="00E23D2E">
        <w:rPr>
          <w:rFonts w:ascii="Arial" w:hAnsi="Arial"/>
          <w:sz w:val="24"/>
        </w:rPr>
        <w:t xml:space="preserve">con proveído del </w:t>
      </w:r>
      <w:r w:rsidR="00D46031">
        <w:rPr>
          <w:rFonts w:ascii="Arial" w:hAnsi="Arial"/>
          <w:sz w:val="24"/>
        </w:rPr>
        <w:t xml:space="preserve">07-04-2016 </w:t>
      </w:r>
      <w:r w:rsidR="00E23D2E" w:rsidRPr="00E23D2E">
        <w:rPr>
          <w:rFonts w:ascii="Arial" w:hAnsi="Arial"/>
          <w:sz w:val="24"/>
        </w:rPr>
        <w:t xml:space="preserve">se concedió la impugnación </w:t>
      </w:r>
      <w:r w:rsidR="00E23D2E">
        <w:rPr>
          <w:rFonts w:ascii="Arial" w:hAnsi="Arial"/>
          <w:sz w:val="24"/>
        </w:rPr>
        <w:t xml:space="preserve">formulada por </w:t>
      </w:r>
      <w:r w:rsidR="00A22A2E">
        <w:rPr>
          <w:rFonts w:ascii="Arial" w:hAnsi="Arial"/>
          <w:sz w:val="24"/>
        </w:rPr>
        <w:t xml:space="preserve">el </w:t>
      </w:r>
      <w:r w:rsidR="00B66B8E">
        <w:rPr>
          <w:rFonts w:ascii="Arial" w:hAnsi="Arial"/>
          <w:sz w:val="24"/>
        </w:rPr>
        <w:t>accionante</w:t>
      </w:r>
      <w:r w:rsidR="00E23D2E" w:rsidRPr="00E23D2E">
        <w:rPr>
          <w:rFonts w:ascii="Arial" w:hAnsi="Arial"/>
          <w:sz w:val="24"/>
        </w:rPr>
        <w:t xml:space="preserve">, ante este Tribunal (Folio </w:t>
      </w:r>
      <w:r w:rsidR="00D46031">
        <w:rPr>
          <w:rFonts w:ascii="Arial" w:hAnsi="Arial"/>
          <w:sz w:val="24"/>
        </w:rPr>
        <w:t>49</w:t>
      </w:r>
      <w:r w:rsidR="00E23D2E" w:rsidRPr="00E23D2E">
        <w:rPr>
          <w:rFonts w:ascii="Arial" w:hAnsi="Arial"/>
          <w:sz w:val="24"/>
        </w:rPr>
        <w:t xml:space="preserve">, </w:t>
      </w:r>
      <w:r w:rsidR="00D46031">
        <w:rPr>
          <w:rFonts w:ascii="Arial" w:hAnsi="Arial"/>
          <w:sz w:val="24"/>
        </w:rPr>
        <w:t>ib.</w:t>
      </w:r>
      <w:r w:rsidR="00E23D2E" w:rsidRPr="00E23D2E">
        <w:rPr>
          <w:rFonts w:ascii="Arial" w:hAnsi="Arial"/>
          <w:sz w:val="24"/>
        </w:rPr>
        <w:t xml:space="preserve">). </w:t>
      </w:r>
    </w:p>
    <w:p w:rsidR="00996E1D" w:rsidRDefault="00996E1D" w:rsidP="00E23D2E">
      <w:pPr>
        <w:pStyle w:val="Textoindependiente"/>
        <w:widowControl w:val="0"/>
        <w:spacing w:line="360" w:lineRule="auto"/>
        <w:rPr>
          <w:rFonts w:ascii="Arial" w:hAnsi="Arial"/>
          <w:sz w:val="24"/>
        </w:rPr>
      </w:pPr>
    </w:p>
    <w:p w:rsidR="003913E3" w:rsidRPr="00311FCA" w:rsidRDefault="003913E3" w:rsidP="00B942B6">
      <w:pPr>
        <w:pStyle w:val="Textoindependiente"/>
        <w:spacing w:line="360" w:lineRule="auto"/>
        <w:rPr>
          <w:rFonts w:ascii="Arial" w:hAnsi="Arial" w:cs="Arial"/>
          <w:sz w:val="24"/>
          <w:szCs w:val="24"/>
        </w:rPr>
      </w:pPr>
    </w:p>
    <w:p w:rsidR="003913E3" w:rsidRPr="00311FCA" w:rsidRDefault="003913E3" w:rsidP="00F839CE">
      <w:pPr>
        <w:pStyle w:val="Textoindependiente"/>
        <w:widowControl w:val="0"/>
        <w:numPr>
          <w:ilvl w:val="0"/>
          <w:numId w:val="1"/>
        </w:numPr>
        <w:spacing w:line="360" w:lineRule="auto"/>
        <w:rPr>
          <w:rFonts w:ascii="Arial" w:hAnsi="Arial" w:cs="Arial"/>
          <w:sz w:val="24"/>
          <w:szCs w:val="24"/>
        </w:rPr>
      </w:pPr>
      <w:r w:rsidRPr="00311FCA">
        <w:rPr>
          <w:rFonts w:ascii="Arial" w:hAnsi="Arial" w:cs="Arial"/>
          <w:sz w:val="24"/>
          <w:szCs w:val="24"/>
        </w:rPr>
        <w:t xml:space="preserve">EL RESUMEN DE </w:t>
      </w:r>
      <w:smartTag w:uri="urn:schemas-microsoft-com:office:smarttags" w:element="PersonName">
        <w:smartTagPr>
          <w:attr w:name="ProductID" w:val="LA SENTENCIA IMPUGNADA"/>
        </w:smartTagPr>
        <w:r w:rsidRPr="00311FCA">
          <w:rPr>
            <w:rFonts w:ascii="Arial" w:hAnsi="Arial" w:cs="Arial"/>
            <w:sz w:val="24"/>
            <w:szCs w:val="24"/>
          </w:rPr>
          <w:t>LA SENTENCIA IMPUGNADA</w:t>
        </w:r>
      </w:smartTag>
    </w:p>
    <w:p w:rsidR="003913E3" w:rsidRPr="00311FCA" w:rsidRDefault="003913E3" w:rsidP="00B942B6">
      <w:pPr>
        <w:pStyle w:val="Textoindependiente"/>
        <w:spacing w:line="360" w:lineRule="auto"/>
        <w:rPr>
          <w:rFonts w:ascii="Arial" w:hAnsi="Arial" w:cs="Arial"/>
          <w:sz w:val="24"/>
          <w:szCs w:val="24"/>
        </w:rPr>
      </w:pPr>
    </w:p>
    <w:p w:rsidR="003913E3" w:rsidRPr="00B3071D" w:rsidRDefault="00C345F6" w:rsidP="00F839CE">
      <w:pPr>
        <w:pStyle w:val="Textoindependiente"/>
        <w:widowControl w:val="0"/>
        <w:spacing w:line="360" w:lineRule="auto"/>
        <w:rPr>
          <w:rFonts w:ascii="Arial" w:hAnsi="Arial" w:cs="Arial"/>
          <w:sz w:val="24"/>
          <w:szCs w:val="24"/>
        </w:rPr>
      </w:pPr>
      <w:r>
        <w:rPr>
          <w:rFonts w:ascii="Arial" w:hAnsi="Arial" w:cs="Arial"/>
          <w:sz w:val="24"/>
          <w:szCs w:val="24"/>
        </w:rPr>
        <w:t xml:space="preserve">Declaró improcedente </w:t>
      </w:r>
      <w:r w:rsidR="004807E3">
        <w:rPr>
          <w:rFonts w:ascii="Arial" w:hAnsi="Arial" w:cs="Arial"/>
          <w:sz w:val="24"/>
          <w:szCs w:val="24"/>
        </w:rPr>
        <w:t xml:space="preserve">el amparo </w:t>
      </w:r>
      <w:r w:rsidR="00D46031">
        <w:rPr>
          <w:rFonts w:ascii="Arial" w:hAnsi="Arial" w:cs="Arial"/>
          <w:sz w:val="24"/>
          <w:szCs w:val="24"/>
        </w:rPr>
        <w:t>porque el accionante no es parte en el proceso ejecutivo hipotecario</w:t>
      </w:r>
      <w:r w:rsidR="005A3346">
        <w:rPr>
          <w:rFonts w:ascii="Arial" w:hAnsi="Arial" w:cs="Arial"/>
          <w:sz w:val="24"/>
          <w:szCs w:val="24"/>
        </w:rPr>
        <w:t xml:space="preserve"> y tampoco ha intervenido como tercero;</w:t>
      </w:r>
      <w:r w:rsidR="00A0339F">
        <w:rPr>
          <w:rFonts w:ascii="Arial" w:hAnsi="Arial" w:cs="Arial"/>
          <w:sz w:val="24"/>
          <w:szCs w:val="24"/>
        </w:rPr>
        <w:t xml:space="preserve"> </w:t>
      </w:r>
      <w:r w:rsidR="005A3346">
        <w:rPr>
          <w:rFonts w:ascii="Arial" w:hAnsi="Arial" w:cs="Arial"/>
          <w:sz w:val="24"/>
          <w:szCs w:val="24"/>
        </w:rPr>
        <w:t>además,</w:t>
      </w:r>
      <w:r w:rsidR="00A0339F">
        <w:rPr>
          <w:rFonts w:ascii="Arial" w:hAnsi="Arial" w:cs="Arial"/>
          <w:sz w:val="24"/>
          <w:szCs w:val="24"/>
        </w:rPr>
        <w:t xml:space="preserve"> el juzgado accionado ha tramitado el asunto conforme las normas procesales, garantizando el derecho de defensa y contradicción </w:t>
      </w:r>
      <w:r w:rsidR="003913E3" w:rsidRPr="00B3071D">
        <w:rPr>
          <w:rFonts w:ascii="Arial" w:hAnsi="Arial" w:cs="Arial"/>
          <w:sz w:val="24"/>
          <w:szCs w:val="24"/>
        </w:rPr>
        <w:t>(Folios</w:t>
      </w:r>
      <w:r w:rsidR="004A5B43">
        <w:rPr>
          <w:rFonts w:ascii="Arial" w:hAnsi="Arial" w:cs="Arial"/>
          <w:sz w:val="24"/>
          <w:szCs w:val="24"/>
        </w:rPr>
        <w:t xml:space="preserve"> </w:t>
      </w:r>
      <w:r w:rsidR="00A0339F">
        <w:rPr>
          <w:rFonts w:ascii="Arial" w:hAnsi="Arial"/>
          <w:sz w:val="24"/>
        </w:rPr>
        <w:t>33 a 40</w:t>
      </w:r>
      <w:r w:rsidR="004A5B43">
        <w:rPr>
          <w:rFonts w:ascii="Arial" w:hAnsi="Arial"/>
          <w:sz w:val="24"/>
        </w:rPr>
        <w:t>, ib.</w:t>
      </w:r>
      <w:r w:rsidR="003913E3" w:rsidRPr="00B3071D">
        <w:rPr>
          <w:rFonts w:ascii="Arial" w:hAnsi="Arial" w:cs="Arial"/>
          <w:sz w:val="24"/>
          <w:szCs w:val="24"/>
        </w:rPr>
        <w:t>).</w:t>
      </w:r>
    </w:p>
    <w:p w:rsidR="003913E3" w:rsidRPr="00311FCA" w:rsidRDefault="003913E3" w:rsidP="00F839CE">
      <w:pPr>
        <w:pStyle w:val="Textoindependiente"/>
        <w:widowControl w:val="0"/>
        <w:spacing w:line="360" w:lineRule="auto"/>
        <w:rPr>
          <w:rFonts w:ascii="Arial" w:hAnsi="Arial" w:cs="Arial"/>
          <w:sz w:val="24"/>
          <w:szCs w:val="24"/>
        </w:rPr>
      </w:pPr>
    </w:p>
    <w:p w:rsidR="003913E3" w:rsidRPr="00311FCA" w:rsidRDefault="003913E3" w:rsidP="00F839CE">
      <w:pPr>
        <w:pStyle w:val="Textoindependiente"/>
        <w:widowControl w:val="0"/>
        <w:spacing w:line="360" w:lineRule="auto"/>
        <w:rPr>
          <w:rFonts w:ascii="Arial" w:hAnsi="Arial" w:cs="Arial"/>
          <w:sz w:val="24"/>
          <w:szCs w:val="24"/>
        </w:rPr>
      </w:pPr>
    </w:p>
    <w:p w:rsidR="003913E3" w:rsidRPr="00311FCA" w:rsidRDefault="003913E3" w:rsidP="00F839CE">
      <w:pPr>
        <w:pStyle w:val="Textoindependiente"/>
        <w:widowControl w:val="0"/>
        <w:numPr>
          <w:ilvl w:val="0"/>
          <w:numId w:val="1"/>
        </w:numPr>
        <w:spacing w:line="360" w:lineRule="auto"/>
        <w:rPr>
          <w:rFonts w:ascii="Arial" w:hAnsi="Arial" w:cs="Arial"/>
          <w:sz w:val="24"/>
          <w:szCs w:val="24"/>
        </w:rPr>
      </w:pPr>
      <w:smartTag w:uri="urn:schemas-microsoft-com:office:smarttags" w:element="PersonName">
        <w:smartTagPr>
          <w:attr w:name="ProductID" w:val="LA SÍNTESIS DE"/>
        </w:smartTagPr>
        <w:r w:rsidRPr="00311FCA">
          <w:rPr>
            <w:rFonts w:ascii="Arial" w:hAnsi="Arial" w:cs="Arial"/>
            <w:sz w:val="24"/>
            <w:szCs w:val="24"/>
          </w:rPr>
          <w:t>LA SÍNTESIS DE</w:t>
        </w:r>
      </w:smartTag>
      <w:r w:rsidRPr="00311FCA">
        <w:rPr>
          <w:rFonts w:ascii="Arial" w:hAnsi="Arial" w:cs="Arial"/>
          <w:sz w:val="24"/>
          <w:szCs w:val="24"/>
        </w:rPr>
        <w:t xml:space="preserve"> </w:t>
      </w:r>
      <w:smartTag w:uri="urn:schemas-microsoft-com:office:smarttags" w:element="PersonName">
        <w:smartTagPr>
          <w:attr w:name="ProductID" w:val="LA IMPUGNACIÓN"/>
        </w:smartTagPr>
        <w:r w:rsidRPr="00311FCA">
          <w:rPr>
            <w:rFonts w:ascii="Arial" w:hAnsi="Arial" w:cs="Arial"/>
            <w:sz w:val="24"/>
            <w:szCs w:val="24"/>
          </w:rPr>
          <w:t>LA IMPUGNACIÓN</w:t>
        </w:r>
      </w:smartTag>
    </w:p>
    <w:p w:rsidR="003913E3" w:rsidRPr="00311FCA" w:rsidRDefault="003913E3" w:rsidP="00B942B6">
      <w:pPr>
        <w:pStyle w:val="Textoindependiente"/>
        <w:spacing w:line="360" w:lineRule="auto"/>
        <w:rPr>
          <w:rFonts w:ascii="Arial" w:hAnsi="Arial" w:cs="Arial"/>
          <w:sz w:val="24"/>
          <w:szCs w:val="24"/>
        </w:rPr>
      </w:pPr>
    </w:p>
    <w:p w:rsidR="003913E3" w:rsidRDefault="005770C3" w:rsidP="00F839CE">
      <w:pPr>
        <w:pStyle w:val="Textoindependiente"/>
        <w:widowControl w:val="0"/>
        <w:spacing w:line="360" w:lineRule="auto"/>
        <w:rPr>
          <w:rFonts w:ascii="Arial" w:hAnsi="Arial" w:cs="Arial"/>
          <w:sz w:val="24"/>
          <w:szCs w:val="24"/>
        </w:rPr>
      </w:pPr>
      <w:r>
        <w:rPr>
          <w:rFonts w:ascii="Arial" w:hAnsi="Arial" w:cs="Arial"/>
          <w:sz w:val="24"/>
          <w:szCs w:val="24"/>
        </w:rPr>
        <w:t xml:space="preserve">La </w:t>
      </w:r>
      <w:r w:rsidR="001270BF">
        <w:rPr>
          <w:rFonts w:ascii="Arial" w:hAnsi="Arial" w:cs="Arial"/>
          <w:sz w:val="24"/>
          <w:szCs w:val="24"/>
        </w:rPr>
        <w:t xml:space="preserve">parte </w:t>
      </w:r>
      <w:r w:rsidR="00FB469C">
        <w:rPr>
          <w:rFonts w:ascii="Arial" w:hAnsi="Arial" w:cs="Arial"/>
          <w:sz w:val="24"/>
          <w:szCs w:val="24"/>
        </w:rPr>
        <w:t>accionante</w:t>
      </w:r>
      <w:r>
        <w:rPr>
          <w:rFonts w:ascii="Arial" w:hAnsi="Arial" w:cs="Arial"/>
          <w:sz w:val="24"/>
          <w:szCs w:val="24"/>
        </w:rPr>
        <w:t xml:space="preserve"> recurrió porque </w:t>
      </w:r>
      <w:r w:rsidR="00A0339F">
        <w:rPr>
          <w:rFonts w:ascii="Arial" w:hAnsi="Arial" w:cs="Arial"/>
          <w:sz w:val="24"/>
          <w:szCs w:val="24"/>
        </w:rPr>
        <w:t>el juez de primera instancia solo se limitó a considerar los presupuestos procesales de ley y no estudió las diferentes irregularidades de que ha sido víctima</w:t>
      </w:r>
      <w:r w:rsidR="00DC787B">
        <w:rPr>
          <w:rFonts w:ascii="Arial" w:hAnsi="Arial" w:cs="Arial"/>
          <w:sz w:val="24"/>
          <w:szCs w:val="24"/>
        </w:rPr>
        <w:t xml:space="preserve"> </w:t>
      </w:r>
      <w:r w:rsidR="003B677E" w:rsidRPr="00D93FEB">
        <w:rPr>
          <w:rFonts w:ascii="Arial" w:hAnsi="Arial" w:cs="Arial"/>
          <w:sz w:val="24"/>
          <w:szCs w:val="24"/>
        </w:rPr>
        <w:t>(Folio</w:t>
      </w:r>
      <w:r w:rsidR="003D1506">
        <w:rPr>
          <w:rFonts w:ascii="Arial" w:hAnsi="Arial" w:cs="Arial"/>
          <w:sz w:val="24"/>
          <w:szCs w:val="24"/>
        </w:rPr>
        <w:t xml:space="preserve"> </w:t>
      </w:r>
      <w:r w:rsidR="00A0339F">
        <w:rPr>
          <w:rFonts w:ascii="Arial" w:hAnsi="Arial" w:cs="Arial"/>
          <w:sz w:val="24"/>
          <w:szCs w:val="24"/>
        </w:rPr>
        <w:t>47</w:t>
      </w:r>
      <w:r w:rsidR="003B677E" w:rsidRPr="00D93FEB">
        <w:rPr>
          <w:rFonts w:ascii="Arial" w:hAnsi="Arial" w:cs="Arial"/>
          <w:sz w:val="24"/>
          <w:szCs w:val="24"/>
        </w:rPr>
        <w:t>, ib.)</w:t>
      </w:r>
      <w:r w:rsidR="00E5080E" w:rsidRPr="00D93FEB">
        <w:rPr>
          <w:rFonts w:ascii="Arial" w:hAnsi="Arial" w:cs="Arial"/>
          <w:sz w:val="24"/>
          <w:szCs w:val="24"/>
        </w:rPr>
        <w:t>.</w:t>
      </w:r>
    </w:p>
    <w:p w:rsidR="005A3346" w:rsidRPr="00311FCA" w:rsidRDefault="005A3346" w:rsidP="00F839CE">
      <w:pPr>
        <w:pStyle w:val="Textoindependiente"/>
        <w:widowControl w:val="0"/>
        <w:spacing w:line="360" w:lineRule="auto"/>
        <w:rPr>
          <w:rFonts w:ascii="Arial" w:hAnsi="Arial" w:cs="Arial"/>
          <w:sz w:val="24"/>
          <w:szCs w:val="24"/>
        </w:rPr>
      </w:pPr>
    </w:p>
    <w:p w:rsidR="003913E3" w:rsidRDefault="003913E3" w:rsidP="006C1FB5">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Arial" w:hAnsi="Arial" w:cs="Arial"/>
          <w:sz w:val="24"/>
          <w:szCs w:val="24"/>
        </w:rPr>
      </w:pPr>
      <w:r w:rsidRPr="00311FCA">
        <w:rPr>
          <w:rFonts w:ascii="Arial" w:hAnsi="Arial" w:cs="Arial"/>
          <w:sz w:val="24"/>
          <w:szCs w:val="24"/>
        </w:rPr>
        <w:lastRenderedPageBreak/>
        <w:t>LA FUNDAMENTACIÓN JURÍDICA PARA RESOLVER</w:t>
      </w:r>
    </w:p>
    <w:p w:rsidR="00912A38" w:rsidRDefault="00912A38" w:rsidP="00912A38">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Arial" w:hAnsi="Arial" w:cs="Arial"/>
          <w:sz w:val="24"/>
          <w:szCs w:val="24"/>
        </w:rPr>
      </w:pPr>
    </w:p>
    <w:p w:rsidR="003913E3" w:rsidRDefault="003913E3" w:rsidP="00F839CE">
      <w:pPr>
        <w:pStyle w:val="Textoindependiente"/>
        <w:spacing w:line="360" w:lineRule="auto"/>
        <w:rPr>
          <w:rFonts w:ascii="Arial" w:hAnsi="Arial" w:cs="Arial"/>
          <w:sz w:val="24"/>
          <w:szCs w:val="24"/>
        </w:rPr>
      </w:pPr>
      <w:r w:rsidRPr="00311FCA">
        <w:rPr>
          <w:rFonts w:ascii="Arial" w:hAnsi="Arial" w:cs="Arial"/>
          <w:sz w:val="24"/>
          <w:szCs w:val="24"/>
        </w:rPr>
        <w:t>7.1. La competencia funcional</w:t>
      </w:r>
    </w:p>
    <w:p w:rsidR="00290D6E" w:rsidRPr="00311FCA" w:rsidRDefault="00290D6E" w:rsidP="00F839CE">
      <w:pPr>
        <w:pStyle w:val="Textoindependiente"/>
        <w:spacing w:line="360" w:lineRule="auto"/>
        <w:rPr>
          <w:rFonts w:ascii="Arial" w:hAnsi="Arial" w:cs="Arial"/>
          <w:sz w:val="24"/>
          <w:szCs w:val="24"/>
        </w:rPr>
      </w:pPr>
    </w:p>
    <w:p w:rsidR="0017096D" w:rsidRDefault="0017096D" w:rsidP="0017096D">
      <w:pPr>
        <w:spacing w:line="360" w:lineRule="auto"/>
        <w:jc w:val="both"/>
        <w:rPr>
          <w:rFonts w:ascii="Arial" w:hAnsi="Arial" w:cs="Arial"/>
          <w:lang w:val="es-CO"/>
        </w:rPr>
      </w:pPr>
      <w:r>
        <w:rPr>
          <w:rFonts w:ascii="Arial" w:hAnsi="Arial" w:cs="Arial"/>
          <w:lang w:val="es-CO"/>
        </w:rPr>
        <w:t>Esta Sala especializada está facultada en forma legal para desatar la controversia puesta a su consideración, por ser la superiora jerárquica del Despacho que conoció en primera instancia (Artículo 32 del Decreto 2591 de 1991).</w:t>
      </w:r>
    </w:p>
    <w:p w:rsidR="001A3C41" w:rsidRPr="001A3C41" w:rsidRDefault="001A3C41" w:rsidP="0017096D">
      <w:pPr>
        <w:spacing w:line="360" w:lineRule="auto"/>
        <w:jc w:val="both"/>
        <w:rPr>
          <w:rFonts w:ascii="Arial" w:hAnsi="Arial" w:cs="Arial"/>
          <w:lang w:val="es-CO"/>
        </w:rPr>
      </w:pPr>
    </w:p>
    <w:p w:rsidR="003913E3" w:rsidRPr="00311FCA" w:rsidRDefault="003913E3" w:rsidP="00B72868">
      <w:pPr>
        <w:pStyle w:val="Textoindependiente"/>
        <w:numPr>
          <w:ilvl w:val="1"/>
          <w:numId w:val="35"/>
        </w:numPr>
        <w:tabs>
          <w:tab w:val="clear" w:pos="708"/>
          <w:tab w:val="left" w:pos="567"/>
        </w:tabs>
        <w:spacing w:line="360" w:lineRule="auto"/>
        <w:rPr>
          <w:rFonts w:ascii="Arial" w:hAnsi="Arial" w:cs="Arial"/>
          <w:sz w:val="24"/>
          <w:szCs w:val="24"/>
        </w:rPr>
      </w:pPr>
      <w:r w:rsidRPr="00311FCA">
        <w:rPr>
          <w:rFonts w:ascii="Arial" w:hAnsi="Arial" w:cs="Arial"/>
          <w:sz w:val="24"/>
          <w:szCs w:val="24"/>
        </w:rPr>
        <w:t>El problema jurídico a resolver</w:t>
      </w:r>
    </w:p>
    <w:p w:rsidR="003913E3" w:rsidRPr="00311FCA" w:rsidRDefault="003913E3" w:rsidP="00F839CE">
      <w:pPr>
        <w:pStyle w:val="Textoindependiente"/>
        <w:spacing w:line="360" w:lineRule="auto"/>
        <w:rPr>
          <w:rFonts w:ascii="Arial" w:hAnsi="Arial" w:cs="Arial"/>
          <w:sz w:val="24"/>
          <w:szCs w:val="24"/>
        </w:rPr>
      </w:pPr>
    </w:p>
    <w:p w:rsidR="003913E3" w:rsidRDefault="003913E3" w:rsidP="00F839CE">
      <w:pPr>
        <w:pStyle w:val="Textoindependiente"/>
        <w:spacing w:line="360" w:lineRule="auto"/>
        <w:rPr>
          <w:rFonts w:ascii="Arial" w:hAnsi="Arial" w:cs="Arial"/>
          <w:sz w:val="24"/>
          <w:szCs w:val="24"/>
        </w:rPr>
      </w:pPr>
      <w:r w:rsidRPr="00EF4E29">
        <w:rPr>
          <w:rFonts w:ascii="Arial" w:hAnsi="Arial" w:cs="Arial"/>
          <w:sz w:val="24"/>
          <w:szCs w:val="24"/>
        </w:rPr>
        <w:t xml:space="preserve">¿Es procedente confirmar, modificar o revocar la sentencia del </w:t>
      </w:r>
      <w:r w:rsidR="00D60BD1" w:rsidRPr="00E23D2E">
        <w:rPr>
          <w:rFonts w:ascii="Arial" w:hAnsi="Arial"/>
          <w:sz w:val="24"/>
        </w:rPr>
        <w:t xml:space="preserve">Juzgado </w:t>
      </w:r>
      <w:r w:rsidR="006736FA">
        <w:rPr>
          <w:rFonts w:ascii="Arial" w:hAnsi="Arial"/>
          <w:sz w:val="24"/>
        </w:rPr>
        <w:t xml:space="preserve">Civil del </w:t>
      </w:r>
      <w:r w:rsidR="00680DC6">
        <w:rPr>
          <w:rFonts w:ascii="Arial" w:hAnsi="Arial"/>
          <w:sz w:val="24"/>
        </w:rPr>
        <w:t xml:space="preserve">Circuito </w:t>
      </w:r>
      <w:r w:rsidR="006736FA">
        <w:rPr>
          <w:rFonts w:ascii="Arial" w:hAnsi="Arial"/>
          <w:sz w:val="24"/>
        </w:rPr>
        <w:t xml:space="preserve">de </w:t>
      </w:r>
      <w:r w:rsidR="00471BA7">
        <w:rPr>
          <w:rFonts w:ascii="Arial" w:hAnsi="Arial"/>
          <w:sz w:val="24"/>
        </w:rPr>
        <w:t>Santa Rosa de Cabal</w:t>
      </w:r>
      <w:r w:rsidR="006736FA">
        <w:rPr>
          <w:rFonts w:ascii="Arial" w:hAnsi="Arial"/>
          <w:sz w:val="24"/>
        </w:rPr>
        <w:t xml:space="preserve">, </w:t>
      </w:r>
      <w:r w:rsidRPr="00EF4E29">
        <w:rPr>
          <w:rFonts w:ascii="Arial" w:hAnsi="Arial" w:cs="Arial"/>
          <w:sz w:val="24"/>
          <w:szCs w:val="24"/>
        </w:rPr>
        <w:t>según la impugnación</w:t>
      </w:r>
      <w:r w:rsidR="005069CE" w:rsidRPr="00EF4E29">
        <w:rPr>
          <w:rFonts w:ascii="Arial" w:hAnsi="Arial" w:cs="Arial"/>
          <w:sz w:val="24"/>
          <w:szCs w:val="24"/>
        </w:rPr>
        <w:t xml:space="preserve"> d</w:t>
      </w:r>
      <w:r w:rsidR="00311747" w:rsidRPr="00EF4E29">
        <w:rPr>
          <w:rFonts w:ascii="Arial" w:hAnsi="Arial" w:cs="Arial"/>
          <w:sz w:val="24"/>
          <w:szCs w:val="24"/>
        </w:rPr>
        <w:t>e</w:t>
      </w:r>
      <w:r w:rsidR="002F2011">
        <w:rPr>
          <w:rFonts w:ascii="Arial" w:hAnsi="Arial" w:cs="Arial"/>
          <w:sz w:val="24"/>
          <w:szCs w:val="24"/>
        </w:rPr>
        <w:t xml:space="preserve"> </w:t>
      </w:r>
      <w:r w:rsidR="00EF4E29" w:rsidRPr="00EF4E29">
        <w:rPr>
          <w:rFonts w:ascii="Arial" w:hAnsi="Arial" w:cs="Arial"/>
          <w:sz w:val="24"/>
          <w:szCs w:val="24"/>
        </w:rPr>
        <w:t>l</w:t>
      </w:r>
      <w:r w:rsidR="002F2011">
        <w:rPr>
          <w:rFonts w:ascii="Arial" w:hAnsi="Arial" w:cs="Arial"/>
          <w:sz w:val="24"/>
          <w:szCs w:val="24"/>
        </w:rPr>
        <w:t>a</w:t>
      </w:r>
      <w:r w:rsidR="00EF4E29" w:rsidRPr="00EF4E29">
        <w:rPr>
          <w:rFonts w:ascii="Arial" w:hAnsi="Arial" w:cs="Arial"/>
          <w:sz w:val="24"/>
          <w:szCs w:val="24"/>
        </w:rPr>
        <w:t xml:space="preserve"> </w:t>
      </w:r>
      <w:r w:rsidR="002F2011">
        <w:rPr>
          <w:rFonts w:ascii="Arial" w:hAnsi="Arial" w:cs="Arial"/>
          <w:sz w:val="24"/>
          <w:szCs w:val="24"/>
        </w:rPr>
        <w:t>parte actora</w:t>
      </w:r>
      <w:r w:rsidRPr="00EF4E29">
        <w:rPr>
          <w:rFonts w:ascii="Arial" w:hAnsi="Arial" w:cs="Arial"/>
          <w:sz w:val="24"/>
          <w:szCs w:val="24"/>
        </w:rPr>
        <w:t>?</w:t>
      </w:r>
      <w:r w:rsidRPr="00311FCA">
        <w:rPr>
          <w:rFonts w:ascii="Arial" w:hAnsi="Arial" w:cs="Arial"/>
          <w:sz w:val="24"/>
          <w:szCs w:val="24"/>
        </w:rPr>
        <w:t xml:space="preserve"> </w:t>
      </w:r>
    </w:p>
    <w:p w:rsidR="001270BF" w:rsidRPr="00311FCA" w:rsidRDefault="001270BF" w:rsidP="00F839CE">
      <w:pPr>
        <w:pStyle w:val="Textoindependiente"/>
        <w:spacing w:line="360" w:lineRule="auto"/>
        <w:rPr>
          <w:rFonts w:ascii="Arial" w:hAnsi="Arial" w:cs="Arial"/>
          <w:sz w:val="24"/>
          <w:szCs w:val="24"/>
        </w:rPr>
      </w:pPr>
    </w:p>
    <w:p w:rsidR="003913E3" w:rsidRDefault="003913E3" w:rsidP="00B72868">
      <w:pPr>
        <w:pStyle w:val="Textoindependiente"/>
        <w:numPr>
          <w:ilvl w:val="1"/>
          <w:numId w:val="35"/>
        </w:numPr>
        <w:tabs>
          <w:tab w:val="clear" w:pos="0"/>
        </w:tabs>
        <w:spacing w:line="360" w:lineRule="auto"/>
        <w:rPr>
          <w:rFonts w:ascii="Arial" w:hAnsi="Arial" w:cs="Arial"/>
          <w:sz w:val="24"/>
          <w:szCs w:val="24"/>
        </w:rPr>
      </w:pPr>
      <w:r w:rsidRPr="00311FCA">
        <w:rPr>
          <w:rFonts w:ascii="Arial" w:hAnsi="Arial" w:cs="Arial"/>
          <w:sz w:val="24"/>
          <w:szCs w:val="24"/>
        </w:rPr>
        <w:t>La resolución del problema jurídico planteado</w:t>
      </w:r>
    </w:p>
    <w:p w:rsidR="00B72868" w:rsidRDefault="00B72868" w:rsidP="00B72868">
      <w:pPr>
        <w:pStyle w:val="Textoindependiente"/>
        <w:tabs>
          <w:tab w:val="clear" w:pos="0"/>
        </w:tabs>
        <w:spacing w:line="360" w:lineRule="auto"/>
        <w:rPr>
          <w:rFonts w:ascii="Arial" w:hAnsi="Arial" w:cs="Arial"/>
          <w:sz w:val="24"/>
          <w:szCs w:val="24"/>
        </w:rPr>
      </w:pPr>
    </w:p>
    <w:p w:rsidR="00B72868" w:rsidRPr="00B72868" w:rsidRDefault="00B72868" w:rsidP="00B72868">
      <w:pPr>
        <w:pStyle w:val="Textoindependiente"/>
        <w:numPr>
          <w:ilvl w:val="2"/>
          <w:numId w:val="35"/>
        </w:numPr>
        <w:tabs>
          <w:tab w:val="clear" w:pos="0"/>
          <w:tab w:val="clear" w:pos="708"/>
          <w:tab w:val="clear" w:pos="1416"/>
          <w:tab w:val="left" w:pos="567"/>
        </w:tabs>
        <w:spacing w:line="360" w:lineRule="auto"/>
        <w:rPr>
          <w:rFonts w:ascii="Arial" w:hAnsi="Arial"/>
          <w:sz w:val="24"/>
          <w:szCs w:val="24"/>
        </w:rPr>
      </w:pPr>
      <w:r w:rsidRPr="00B72868">
        <w:rPr>
          <w:rFonts w:ascii="Arial" w:hAnsi="Arial"/>
          <w:sz w:val="24"/>
          <w:szCs w:val="24"/>
        </w:rPr>
        <w:t>Los presupuestos sustanciales de la acción</w:t>
      </w:r>
    </w:p>
    <w:p w:rsidR="00B72868" w:rsidRPr="00B72868" w:rsidRDefault="00B72868" w:rsidP="00B72868">
      <w:pPr>
        <w:pStyle w:val="Textoindependiente"/>
        <w:spacing w:line="360" w:lineRule="auto"/>
        <w:rPr>
          <w:rFonts w:ascii="Arial" w:hAnsi="Arial"/>
          <w:sz w:val="24"/>
          <w:szCs w:val="24"/>
        </w:rPr>
      </w:pPr>
    </w:p>
    <w:p w:rsidR="00B72868" w:rsidRPr="00B72868" w:rsidRDefault="00B72868" w:rsidP="00B72868">
      <w:pPr>
        <w:pStyle w:val="Textoindependiente"/>
        <w:spacing w:line="360" w:lineRule="auto"/>
        <w:rPr>
          <w:sz w:val="24"/>
          <w:szCs w:val="24"/>
        </w:rPr>
      </w:pPr>
      <w:r w:rsidRPr="00B72868">
        <w:rPr>
          <w:rFonts w:ascii="Arial" w:hAnsi="Arial" w:cs="Arial"/>
          <w:sz w:val="24"/>
          <w:szCs w:val="24"/>
        </w:rPr>
        <w:t>Sobre la legitimación en la causa, la autorizada doctrina de la Corte Constitucional, constitutiva de precedente horizontal, expresa</w:t>
      </w:r>
      <w:r w:rsidRPr="00B72868">
        <w:rPr>
          <w:rStyle w:val="Refdenotaalpie"/>
          <w:rFonts w:ascii="Arial" w:hAnsi="Arial" w:cs="Arial"/>
          <w:sz w:val="24"/>
          <w:szCs w:val="24"/>
        </w:rPr>
        <w:footnoteReference w:id="1"/>
      </w:r>
      <w:r w:rsidRPr="00B72868">
        <w:rPr>
          <w:rFonts w:ascii="Arial" w:hAnsi="Arial" w:cs="Arial"/>
          <w:sz w:val="24"/>
          <w:szCs w:val="24"/>
        </w:rPr>
        <w:t>:</w:t>
      </w:r>
    </w:p>
    <w:p w:rsidR="00B72868" w:rsidRPr="00164966" w:rsidRDefault="00B72868" w:rsidP="00B72868">
      <w:pPr>
        <w:spacing w:line="360" w:lineRule="auto"/>
        <w:ind w:left="567" w:right="335"/>
        <w:jc w:val="both"/>
        <w:rPr>
          <w:rFonts w:ascii="Arial" w:hAnsi="Arial" w:cs="Arial"/>
          <w:sz w:val="22"/>
          <w:lang w:val="es-CO"/>
        </w:rPr>
      </w:pPr>
    </w:p>
    <w:p w:rsidR="00B72868" w:rsidRPr="00254939" w:rsidRDefault="00B72868" w:rsidP="00B72868">
      <w:pPr>
        <w:ind w:left="567" w:right="567"/>
        <w:jc w:val="both"/>
        <w:rPr>
          <w:rFonts w:ascii="Arial" w:hAnsi="Arial" w:cs="Arial"/>
          <w:lang w:val="es-CO"/>
        </w:rPr>
      </w:pPr>
      <w:r w:rsidRPr="00254939">
        <w:rPr>
          <w:rFonts w:ascii="Arial" w:hAnsi="Arial" w:cs="Arial"/>
          <w:lang w:val="es-CO"/>
        </w:rPr>
        <w:t xml:space="preserve">De conformidad con lo estatuido en el artículo 10° del Decreto 2591 de 1991, la acción de tutela se ejerce por la persona </w:t>
      </w:r>
      <w:r w:rsidRPr="00254939">
        <w:rPr>
          <w:rFonts w:ascii="Arial" w:hAnsi="Arial" w:cs="Arial"/>
          <w:i/>
          <w:lang w:val="es-CO"/>
        </w:rPr>
        <w:t>“vulnerada o amenazada en uno de sus derechos fundamentales, quien actuará por sí misma o a través de representante”</w:t>
      </w:r>
      <w:r w:rsidRPr="00254939">
        <w:rPr>
          <w:rFonts w:ascii="Arial" w:hAnsi="Arial" w:cs="Arial"/>
          <w:lang w:val="es-CO"/>
        </w:rPr>
        <w:t xml:space="preserve">, o por un tercero, mediante la figura de la agencia de derechos, cuando el titular de los mismos no esté en condiciones de promover la acción. </w:t>
      </w:r>
    </w:p>
    <w:p w:rsidR="00B72868" w:rsidRPr="00254939" w:rsidRDefault="00B72868" w:rsidP="00B72868">
      <w:pPr>
        <w:ind w:left="567" w:right="567"/>
        <w:rPr>
          <w:rFonts w:ascii="Arial" w:hAnsi="Arial" w:cs="Arial"/>
          <w:b/>
          <w:lang w:val="es-CO"/>
        </w:rPr>
      </w:pPr>
    </w:p>
    <w:p w:rsidR="00B72868" w:rsidRPr="00254939" w:rsidRDefault="00B72868" w:rsidP="00B72868">
      <w:pPr>
        <w:ind w:left="567" w:right="567"/>
        <w:jc w:val="both"/>
        <w:rPr>
          <w:rFonts w:ascii="Arial" w:hAnsi="Arial" w:cs="Arial"/>
          <w:lang w:val="es-CO"/>
        </w:rPr>
      </w:pPr>
      <w:r w:rsidRPr="00254939">
        <w:rPr>
          <w:rFonts w:ascii="Arial" w:hAnsi="Arial" w:cs="Arial"/>
          <w:lang w:val="es-CO"/>
        </w:rPr>
        <w:t xml:space="preserve">La Corte Constitucional se ha referido a la legitimación en la causa como un requisito de </w:t>
      </w:r>
      <w:proofErr w:type="spellStart"/>
      <w:r w:rsidRPr="00254939">
        <w:rPr>
          <w:rFonts w:ascii="Arial" w:hAnsi="Arial" w:cs="Arial"/>
          <w:lang w:val="es-CO"/>
        </w:rPr>
        <w:t>procedibilidad</w:t>
      </w:r>
      <w:proofErr w:type="spellEnd"/>
      <w:r w:rsidRPr="00254939">
        <w:rPr>
          <w:rFonts w:ascii="Arial" w:hAnsi="Arial" w:cs="Arial"/>
          <w:lang w:val="es-CO"/>
        </w:rPr>
        <w:t xml:space="preserve"> de la acción de tutela, en los siguientes términos</w:t>
      </w:r>
      <w:r w:rsidRPr="00254939">
        <w:rPr>
          <w:rStyle w:val="Refdenotaalpie"/>
          <w:rFonts w:ascii="Arial" w:hAnsi="Arial" w:cs="Arial"/>
          <w:lang w:val="es-CO"/>
        </w:rPr>
        <w:footnoteReference w:id="2"/>
      </w:r>
      <w:r w:rsidRPr="00254939">
        <w:rPr>
          <w:rFonts w:ascii="Arial" w:hAnsi="Arial" w:cs="Arial"/>
          <w:lang w:val="es-CO"/>
        </w:rPr>
        <w:t xml:space="preserve">: </w:t>
      </w:r>
    </w:p>
    <w:p w:rsidR="00B72868" w:rsidRPr="00254939" w:rsidRDefault="00B72868" w:rsidP="00B72868">
      <w:pPr>
        <w:ind w:left="567" w:right="567"/>
        <w:rPr>
          <w:rFonts w:ascii="Arial" w:hAnsi="Arial" w:cs="Arial"/>
          <w:lang w:val="es-CO"/>
        </w:rPr>
      </w:pPr>
    </w:p>
    <w:p w:rsidR="00B72868" w:rsidRDefault="00B72868" w:rsidP="00B72868">
      <w:pPr>
        <w:ind w:left="567" w:right="567"/>
        <w:jc w:val="both"/>
        <w:rPr>
          <w:rFonts w:ascii="Arial" w:hAnsi="Arial" w:cs="Arial"/>
          <w:u w:val="single"/>
          <w:lang w:val="es-CO"/>
        </w:rPr>
      </w:pPr>
      <w:r w:rsidRPr="00254939">
        <w:rPr>
          <w:rFonts w:ascii="Arial" w:hAnsi="Arial" w:cs="Arial"/>
          <w:lang w:val="es-CO"/>
        </w:rPr>
        <w:t xml:space="preserve">La legitimación en la causa es un presupuesto de la sentencia de fondo porque otorga a las partes el derecho a que el juez se pronuncie sobre el mérito de las pretensiones del actor y las razones de la oposición por el demandado, mediante sentencia favorable o desfavorable. </w:t>
      </w:r>
      <w:r w:rsidRPr="0004734F">
        <w:rPr>
          <w:rFonts w:ascii="Arial" w:hAnsi="Arial" w:cs="Arial"/>
          <w:u w:val="single"/>
          <w:lang w:val="es-CO"/>
        </w:rPr>
        <w:t>Es una calidad subjetiva de las partes en relación con el interés sustancial que se discute en el proceso.</w:t>
      </w:r>
      <w:r w:rsidRPr="00254939">
        <w:rPr>
          <w:rFonts w:ascii="Arial" w:hAnsi="Arial" w:cs="Arial"/>
          <w:lang w:val="es-CO"/>
        </w:rPr>
        <w:t xml:space="preserve"> </w:t>
      </w:r>
      <w:r w:rsidRPr="00FA72C8">
        <w:rPr>
          <w:rFonts w:ascii="Arial" w:hAnsi="Arial" w:cs="Arial"/>
          <w:u w:val="single"/>
          <w:lang w:val="es-CO"/>
        </w:rPr>
        <w:t>Por tanto, cuando una de las partes carece de dicha calidad o atributo, no puede el juez adoptar una decisión de mérito y debe entonces simplemente declararse inhibid</w:t>
      </w:r>
      <w:r>
        <w:rPr>
          <w:rFonts w:ascii="Arial" w:hAnsi="Arial" w:cs="Arial"/>
          <w:u w:val="single"/>
          <w:lang w:val="es-CO"/>
        </w:rPr>
        <w:t>o para fallar el caso de fondo.</w:t>
      </w:r>
    </w:p>
    <w:p w:rsidR="00B72868" w:rsidRDefault="00B72868" w:rsidP="00B72868">
      <w:pPr>
        <w:ind w:left="567" w:right="567"/>
        <w:jc w:val="both"/>
        <w:rPr>
          <w:rFonts w:ascii="Arial" w:hAnsi="Arial" w:cs="Arial"/>
          <w:u w:val="single"/>
          <w:lang w:val="es-CO"/>
        </w:rPr>
      </w:pPr>
    </w:p>
    <w:p w:rsidR="00B72868" w:rsidRDefault="00B72868" w:rsidP="00B72868">
      <w:pPr>
        <w:ind w:left="567" w:right="567"/>
        <w:jc w:val="both"/>
        <w:rPr>
          <w:rFonts w:ascii="Arial" w:hAnsi="Arial" w:cs="Arial"/>
          <w:lang w:val="es-ES_tradnl"/>
        </w:rPr>
      </w:pPr>
      <w:r w:rsidRPr="00254939">
        <w:rPr>
          <w:rFonts w:ascii="Arial" w:hAnsi="Arial" w:cs="Arial"/>
          <w:lang w:val="es-CO"/>
        </w:rPr>
        <w:t xml:space="preserve">La legitimación por activa es requisito de </w:t>
      </w:r>
      <w:proofErr w:type="spellStart"/>
      <w:r w:rsidRPr="00254939">
        <w:rPr>
          <w:rFonts w:ascii="Arial" w:hAnsi="Arial" w:cs="Arial"/>
          <w:lang w:val="es-CO"/>
        </w:rPr>
        <w:t>procedibilidad</w:t>
      </w:r>
      <w:proofErr w:type="spellEnd"/>
      <w:r w:rsidRPr="00254939">
        <w:rPr>
          <w:rFonts w:ascii="Arial" w:hAnsi="Arial" w:cs="Arial"/>
          <w:lang w:val="es-CO"/>
        </w:rPr>
        <w:t xml:space="preserve">. </w:t>
      </w:r>
      <w:r w:rsidRPr="00AA7F44">
        <w:rPr>
          <w:rFonts w:ascii="Arial" w:hAnsi="Arial" w:cs="Arial"/>
          <w:lang w:val="es-CO"/>
        </w:rPr>
        <w:t>Esta exigencia significa que el derecho para cuya protección se interpone la acción sea un derecho fundamental propio del demandante y no de otra persona</w:t>
      </w:r>
      <w:r w:rsidRPr="00254939">
        <w:rPr>
          <w:rFonts w:ascii="Arial" w:hAnsi="Arial" w:cs="Arial"/>
          <w:lang w:val="es-CO"/>
        </w:rPr>
        <w:t>…</w:t>
      </w:r>
      <w:r>
        <w:rPr>
          <w:rFonts w:ascii="Arial" w:hAnsi="Arial" w:cs="Arial"/>
          <w:lang w:val="es-ES_tradnl"/>
        </w:rPr>
        <w:t xml:space="preserve"> </w:t>
      </w:r>
    </w:p>
    <w:p w:rsidR="00AC18BD" w:rsidRDefault="00AC18BD" w:rsidP="00B72868">
      <w:pPr>
        <w:ind w:left="567" w:right="567"/>
        <w:jc w:val="both"/>
        <w:rPr>
          <w:rFonts w:ascii="Arial" w:hAnsi="Arial" w:cs="Arial"/>
          <w:lang w:val="es-ES_tradnl"/>
        </w:rPr>
      </w:pPr>
    </w:p>
    <w:p w:rsidR="00B72868" w:rsidRPr="000D313A" w:rsidRDefault="00B72868" w:rsidP="00B72868">
      <w:pPr>
        <w:ind w:left="567" w:right="567"/>
        <w:jc w:val="both"/>
        <w:rPr>
          <w:rFonts w:ascii="Arial" w:hAnsi="Arial" w:cs="Arial"/>
          <w:u w:val="single"/>
          <w:lang w:val="es-CO"/>
        </w:rPr>
      </w:pPr>
      <w:r w:rsidRPr="00254939">
        <w:rPr>
          <w:rFonts w:ascii="Arial" w:hAnsi="Arial" w:cs="Arial"/>
          <w:lang w:val="es-CO"/>
        </w:rPr>
        <w:t xml:space="preserve">Adicionalmente, la legitimación en la causa como requisito de </w:t>
      </w:r>
      <w:proofErr w:type="spellStart"/>
      <w:r w:rsidRPr="00254939">
        <w:rPr>
          <w:rFonts w:ascii="Arial" w:hAnsi="Arial" w:cs="Arial"/>
          <w:lang w:val="es-CO"/>
        </w:rPr>
        <w:t>procedibilidad</w:t>
      </w:r>
      <w:proofErr w:type="spellEnd"/>
      <w:r w:rsidRPr="00254939">
        <w:rPr>
          <w:rFonts w:ascii="Arial" w:hAnsi="Arial" w:cs="Arial"/>
          <w:lang w:val="es-CO"/>
        </w:rPr>
        <w:t xml:space="preserve"> </w:t>
      </w:r>
      <w:r w:rsidRPr="00F55303">
        <w:rPr>
          <w:rFonts w:ascii="Arial" w:hAnsi="Arial" w:cs="Arial"/>
          <w:u w:val="single"/>
          <w:lang w:val="es-CO"/>
        </w:rPr>
        <w:t xml:space="preserve">exige la presencia de un nexo de causalidad entre la vulneración de los </w:t>
      </w:r>
      <w:r w:rsidRPr="00F55303">
        <w:rPr>
          <w:rFonts w:ascii="Arial" w:hAnsi="Arial" w:cs="Arial"/>
          <w:u w:val="single"/>
          <w:lang w:val="es-CO"/>
        </w:rPr>
        <w:lastRenderedPageBreak/>
        <w:t>derechos del demandante, y la acción u omisión de la autoridad o el particular demandado, vínculo sin el cual la tutela se torna improcedente</w:t>
      </w:r>
      <w:r w:rsidRPr="00254939">
        <w:rPr>
          <w:rFonts w:ascii="Arial" w:hAnsi="Arial" w:cs="Arial"/>
          <w:lang w:val="es-CO"/>
        </w:rPr>
        <w:t>.</w:t>
      </w:r>
      <w:r>
        <w:rPr>
          <w:rFonts w:ascii="Arial" w:hAnsi="Arial" w:cs="Arial"/>
          <w:lang w:val="es-CO"/>
        </w:rPr>
        <w:t xml:space="preserve"> La </w:t>
      </w:r>
      <w:proofErr w:type="spellStart"/>
      <w:r>
        <w:rPr>
          <w:rFonts w:ascii="Arial" w:hAnsi="Arial" w:cs="Arial"/>
          <w:lang w:val="es-CO"/>
        </w:rPr>
        <w:t>sublínea</w:t>
      </w:r>
      <w:proofErr w:type="spellEnd"/>
      <w:r>
        <w:rPr>
          <w:rFonts w:ascii="Arial" w:hAnsi="Arial" w:cs="Arial"/>
          <w:lang w:val="es-CO"/>
        </w:rPr>
        <w:t xml:space="preserve"> es de esta Sala.</w:t>
      </w:r>
    </w:p>
    <w:p w:rsidR="00B72868" w:rsidRPr="00164966" w:rsidRDefault="00B72868" w:rsidP="00B72868">
      <w:pPr>
        <w:pStyle w:val="Textoindependiente"/>
        <w:spacing w:line="360" w:lineRule="auto"/>
        <w:rPr>
          <w:rFonts w:ascii="Arial" w:hAnsi="Arial" w:cs="Arial"/>
          <w:sz w:val="22"/>
          <w:szCs w:val="24"/>
        </w:rPr>
      </w:pPr>
    </w:p>
    <w:p w:rsidR="00B72868" w:rsidRDefault="00B72868" w:rsidP="00B72868">
      <w:pPr>
        <w:spacing w:line="360" w:lineRule="auto"/>
        <w:jc w:val="both"/>
        <w:rPr>
          <w:rFonts w:ascii="Arial" w:hAnsi="Arial" w:cs="Arial"/>
          <w:lang w:val="es-ES_tradnl"/>
        </w:rPr>
      </w:pPr>
      <w:r>
        <w:rPr>
          <w:rFonts w:ascii="Arial" w:hAnsi="Arial" w:cs="Arial"/>
          <w:lang w:val="es-ES_tradnl"/>
        </w:rPr>
        <w:t>Doctrina constitucional que la CSJ comparte y ha reiterado en su jurisprudencia</w:t>
      </w:r>
      <w:r>
        <w:rPr>
          <w:rStyle w:val="Refdenotaalpie"/>
          <w:rFonts w:ascii="Arial" w:hAnsi="Arial"/>
          <w:lang w:val="es-ES_tradnl"/>
        </w:rPr>
        <w:footnoteReference w:id="3"/>
      </w:r>
      <w:r>
        <w:rPr>
          <w:rFonts w:ascii="Arial" w:hAnsi="Arial" w:cs="Arial"/>
          <w:lang w:val="es-ES_tradnl"/>
        </w:rPr>
        <w:t>: “</w:t>
      </w:r>
      <w:r w:rsidRPr="0023729E">
        <w:rPr>
          <w:rFonts w:ascii="Arial" w:hAnsi="Arial" w:cs="Arial"/>
          <w:i/>
          <w:sz w:val="22"/>
          <w:lang w:val="es-ES_tradnl"/>
        </w:rPr>
        <w:t xml:space="preserve">Ciertamente, aunque el artículo 10 del Decreto 2591 de 1991, establece que ‘cualquier persona’ puede acudir a la referida acción, no debe desconocerse, que a renglón seguido condiciona su legitimación a que ella sea la  ‘vulnerada o amenazada en uno de sus derechos fundamentales’, no el de terceros, como así también se menciona en el artículo 86 de la Constitución Política, al decir que a tal mecanismo sólo puede acudir quien le hayan sido ‘vulnerados o amenazados’ aquellos </w:t>
      </w:r>
      <w:r w:rsidRPr="0023729E">
        <w:rPr>
          <w:rFonts w:ascii="Arial" w:hAnsi="Arial" w:cs="Arial"/>
          <w:sz w:val="22"/>
          <w:lang w:val="es-ES_tradnl"/>
        </w:rPr>
        <w:t>(…)”</w:t>
      </w:r>
      <w:r>
        <w:rPr>
          <w:rFonts w:ascii="Arial" w:hAnsi="Arial" w:cs="Arial"/>
          <w:sz w:val="22"/>
          <w:lang w:val="es-ES_tradnl"/>
        </w:rPr>
        <w:t>.</w:t>
      </w:r>
    </w:p>
    <w:p w:rsidR="00B72868" w:rsidRPr="00067C0F" w:rsidRDefault="00B72868" w:rsidP="00067C0F">
      <w:pPr>
        <w:pStyle w:val="Textoindependiente"/>
        <w:tabs>
          <w:tab w:val="clear" w:pos="0"/>
        </w:tabs>
        <w:spacing w:line="360" w:lineRule="auto"/>
        <w:rPr>
          <w:rFonts w:ascii="Arial" w:hAnsi="Arial" w:cs="Arial"/>
          <w:sz w:val="24"/>
          <w:szCs w:val="24"/>
        </w:rPr>
      </w:pPr>
    </w:p>
    <w:p w:rsidR="00067C0F" w:rsidRPr="00067C0F" w:rsidRDefault="00B72868" w:rsidP="00067C0F">
      <w:pPr>
        <w:pStyle w:val="Textoindependiente"/>
        <w:spacing w:line="360" w:lineRule="auto"/>
        <w:rPr>
          <w:rFonts w:ascii="Arial" w:hAnsi="Arial" w:cs="Arial"/>
          <w:sz w:val="24"/>
          <w:szCs w:val="24"/>
        </w:rPr>
      </w:pPr>
      <w:r w:rsidRPr="00067C0F">
        <w:rPr>
          <w:rFonts w:ascii="Arial" w:hAnsi="Arial" w:cs="Arial"/>
          <w:sz w:val="24"/>
          <w:szCs w:val="24"/>
        </w:rPr>
        <w:t>También ha dicho la CSJ</w:t>
      </w:r>
      <w:r w:rsidR="00067C0F">
        <w:rPr>
          <w:rStyle w:val="Refdenotaalpie"/>
          <w:rFonts w:ascii="Arial" w:hAnsi="Arial"/>
          <w:sz w:val="24"/>
          <w:szCs w:val="24"/>
        </w:rPr>
        <w:footnoteReference w:id="4"/>
      </w:r>
      <w:r w:rsidRPr="00067C0F">
        <w:rPr>
          <w:rFonts w:ascii="Arial" w:hAnsi="Arial" w:cs="Arial"/>
          <w:sz w:val="24"/>
          <w:szCs w:val="24"/>
        </w:rPr>
        <w:t xml:space="preserve"> en lo atinente a la tutela contra actuaciones o providencias dictadas al interior de un proceso </w:t>
      </w:r>
      <w:r w:rsidRPr="00067C0F">
        <w:rPr>
          <w:rFonts w:ascii="Arial" w:hAnsi="Arial" w:cs="Arial"/>
          <w:iCs/>
          <w:sz w:val="24"/>
          <w:szCs w:val="24"/>
        </w:rPr>
        <w:t xml:space="preserve">que </w:t>
      </w:r>
      <w:r w:rsidR="00067C0F">
        <w:rPr>
          <w:rFonts w:ascii="Arial" w:hAnsi="Arial" w:cs="Arial"/>
          <w:iCs/>
          <w:sz w:val="24"/>
          <w:szCs w:val="24"/>
        </w:rPr>
        <w:t>“</w:t>
      </w:r>
      <w:r w:rsidRPr="00067C0F">
        <w:rPr>
          <w:rFonts w:ascii="Arial" w:hAnsi="Arial" w:cs="Arial"/>
          <w:i/>
          <w:iCs/>
          <w:sz w:val="22"/>
          <w:szCs w:val="24"/>
        </w:rPr>
        <w:t>«</w:t>
      </w:r>
      <w:r w:rsidRPr="00067C0F">
        <w:rPr>
          <w:rFonts w:ascii="Arial" w:hAnsi="Arial" w:cs="Arial"/>
          <w:i/>
          <w:sz w:val="22"/>
          <w:szCs w:val="24"/>
        </w:rPr>
        <w:t xml:space="preserve">cualquier actuación, sin importar el sentido y el alcance de la misma, derivada de aquéllas diligencias judiciales, cuando se someta a examen en el escenario de la tutela, por considerar que se vulneró algún derecho fundamental, ha de ser impetrada por quienes allí intervinieron como terceros reconocidos o participaron en calidad de parte». </w:t>
      </w:r>
      <w:r w:rsidRPr="00067C0F">
        <w:rPr>
          <w:rFonts w:ascii="Arial" w:hAnsi="Arial" w:cs="Arial"/>
          <w:i/>
          <w:sz w:val="22"/>
          <w:szCs w:val="24"/>
          <w:lang w:val="es-ES"/>
        </w:rPr>
        <w:t xml:space="preserve">(CSJ </w:t>
      </w:r>
      <w:proofErr w:type="spellStart"/>
      <w:r w:rsidRPr="00067C0F">
        <w:rPr>
          <w:rFonts w:ascii="Arial" w:hAnsi="Arial" w:cs="Arial"/>
          <w:i/>
          <w:sz w:val="22"/>
          <w:szCs w:val="24"/>
          <w:lang w:val="es-ES"/>
        </w:rPr>
        <w:t>STC</w:t>
      </w:r>
      <w:proofErr w:type="spellEnd"/>
      <w:r w:rsidRPr="00067C0F">
        <w:rPr>
          <w:rFonts w:ascii="Arial" w:hAnsi="Arial" w:cs="Arial"/>
          <w:i/>
          <w:sz w:val="22"/>
          <w:szCs w:val="24"/>
          <w:lang w:val="es-ES"/>
        </w:rPr>
        <w:t>, 6 mar 2012, Rad. 00357-00)</w:t>
      </w:r>
      <w:r w:rsidR="00067C0F">
        <w:rPr>
          <w:rFonts w:ascii="Arial" w:hAnsi="Arial" w:cs="Arial"/>
          <w:i/>
          <w:sz w:val="22"/>
          <w:szCs w:val="24"/>
          <w:lang w:val="es-ES"/>
        </w:rPr>
        <w:t>”</w:t>
      </w:r>
      <w:r w:rsidRPr="00067C0F">
        <w:rPr>
          <w:rFonts w:ascii="Arial" w:hAnsi="Arial" w:cs="Arial"/>
          <w:i/>
          <w:sz w:val="22"/>
          <w:szCs w:val="24"/>
          <w:lang w:val="es-ES"/>
        </w:rPr>
        <w:t>.</w:t>
      </w:r>
      <w:r w:rsidR="00067C0F">
        <w:rPr>
          <w:rFonts w:ascii="Arial" w:hAnsi="Arial" w:cs="Arial"/>
          <w:i/>
          <w:sz w:val="22"/>
          <w:szCs w:val="24"/>
          <w:lang w:val="es-ES"/>
        </w:rPr>
        <w:t xml:space="preserve"> </w:t>
      </w:r>
      <w:r w:rsidR="00067C0F">
        <w:rPr>
          <w:rFonts w:ascii="Arial" w:hAnsi="Arial" w:cs="Arial"/>
          <w:sz w:val="24"/>
          <w:szCs w:val="24"/>
          <w:lang w:val="es-CO"/>
        </w:rPr>
        <w:t xml:space="preserve">De tal suerte </w:t>
      </w:r>
      <w:r w:rsidR="00067C0F" w:rsidRPr="00067C0F">
        <w:rPr>
          <w:rFonts w:ascii="Arial" w:hAnsi="Arial" w:cs="Arial"/>
          <w:sz w:val="24"/>
          <w:szCs w:val="24"/>
        </w:rPr>
        <w:t xml:space="preserve">que las </w:t>
      </w:r>
      <w:r w:rsidR="00067C0F">
        <w:rPr>
          <w:rFonts w:ascii="Arial" w:hAnsi="Arial" w:cs="Arial"/>
          <w:sz w:val="24"/>
          <w:szCs w:val="24"/>
        </w:rPr>
        <w:t xml:space="preserve">decisiones </w:t>
      </w:r>
      <w:r w:rsidR="00067C0F" w:rsidRPr="00067C0F">
        <w:rPr>
          <w:rFonts w:ascii="Arial" w:hAnsi="Arial" w:cs="Arial"/>
          <w:sz w:val="24"/>
          <w:szCs w:val="24"/>
        </w:rPr>
        <w:t>de un juez</w:t>
      </w:r>
      <w:r w:rsidR="00AC18BD">
        <w:rPr>
          <w:rFonts w:ascii="Arial" w:hAnsi="Arial" w:cs="Arial"/>
          <w:sz w:val="24"/>
          <w:szCs w:val="24"/>
        </w:rPr>
        <w:t>,</w:t>
      </w:r>
      <w:r w:rsidR="00067C0F" w:rsidRPr="00067C0F">
        <w:rPr>
          <w:rFonts w:ascii="Arial" w:hAnsi="Arial" w:cs="Arial"/>
          <w:sz w:val="24"/>
          <w:szCs w:val="24"/>
        </w:rPr>
        <w:t xml:space="preserve"> solo pueden ser atacadas por quienes intervinieron en el proceso, es decir, alguno de los extremos de la </w:t>
      </w:r>
      <w:proofErr w:type="spellStart"/>
      <w:r w:rsidR="00067C0F" w:rsidRPr="00067C0F">
        <w:rPr>
          <w:rFonts w:ascii="Arial" w:hAnsi="Arial" w:cs="Arial"/>
          <w:sz w:val="24"/>
          <w:szCs w:val="24"/>
        </w:rPr>
        <w:t>litis</w:t>
      </w:r>
      <w:proofErr w:type="spellEnd"/>
      <w:r w:rsidR="00AC18BD">
        <w:rPr>
          <w:rFonts w:ascii="Arial" w:hAnsi="Arial" w:cs="Arial"/>
          <w:sz w:val="24"/>
          <w:szCs w:val="24"/>
        </w:rPr>
        <w:t xml:space="preserve"> o los terceros</w:t>
      </w:r>
      <w:r w:rsidR="00067C0F" w:rsidRPr="00067C0F">
        <w:rPr>
          <w:rFonts w:ascii="Arial" w:hAnsi="Arial" w:cs="Arial"/>
          <w:sz w:val="24"/>
          <w:szCs w:val="24"/>
        </w:rPr>
        <w:t xml:space="preserve">, </w:t>
      </w:r>
      <w:r w:rsidR="00067C0F">
        <w:rPr>
          <w:rFonts w:ascii="Arial" w:hAnsi="Arial" w:cs="Arial"/>
          <w:sz w:val="24"/>
          <w:szCs w:val="24"/>
        </w:rPr>
        <w:t xml:space="preserve">únicos </w:t>
      </w:r>
      <w:r w:rsidR="00067C0F" w:rsidRPr="00067C0F">
        <w:rPr>
          <w:rFonts w:ascii="Arial" w:hAnsi="Arial" w:cs="Arial"/>
          <w:sz w:val="24"/>
          <w:szCs w:val="24"/>
        </w:rPr>
        <w:t xml:space="preserve">facultados para </w:t>
      </w:r>
      <w:r w:rsidR="00067C0F">
        <w:rPr>
          <w:rFonts w:ascii="Arial" w:hAnsi="Arial" w:cs="Arial"/>
          <w:sz w:val="24"/>
          <w:szCs w:val="24"/>
        </w:rPr>
        <w:t xml:space="preserve">controvertirlas, </w:t>
      </w:r>
      <w:r w:rsidR="00AC18BD">
        <w:rPr>
          <w:rFonts w:ascii="Arial" w:hAnsi="Arial" w:cs="Arial"/>
          <w:sz w:val="24"/>
          <w:szCs w:val="24"/>
        </w:rPr>
        <w:t>y</w:t>
      </w:r>
      <w:r w:rsidR="00067C0F">
        <w:rPr>
          <w:rFonts w:ascii="Arial" w:hAnsi="Arial" w:cs="Arial"/>
          <w:sz w:val="24"/>
          <w:szCs w:val="24"/>
        </w:rPr>
        <w:t xml:space="preserve">, para formular </w:t>
      </w:r>
      <w:r w:rsidR="00067C0F" w:rsidRPr="00067C0F">
        <w:rPr>
          <w:rFonts w:ascii="Arial" w:hAnsi="Arial" w:cs="Arial"/>
          <w:sz w:val="24"/>
          <w:szCs w:val="24"/>
        </w:rPr>
        <w:t>la acción de tutela.</w:t>
      </w:r>
    </w:p>
    <w:p w:rsidR="00067C0F" w:rsidRPr="00067C0F" w:rsidRDefault="00067C0F" w:rsidP="00067C0F">
      <w:pPr>
        <w:pStyle w:val="Textoindependiente"/>
        <w:tabs>
          <w:tab w:val="clear" w:pos="0"/>
        </w:tabs>
        <w:spacing w:line="360" w:lineRule="auto"/>
        <w:rPr>
          <w:rFonts w:ascii="Arial" w:hAnsi="Arial" w:cs="Arial"/>
          <w:sz w:val="24"/>
          <w:szCs w:val="24"/>
        </w:rPr>
      </w:pPr>
    </w:p>
    <w:p w:rsidR="008D2CD7" w:rsidRPr="001270BF" w:rsidRDefault="008D2CD7" w:rsidP="00B72868">
      <w:pPr>
        <w:pStyle w:val="Prrafodelista"/>
        <w:numPr>
          <w:ilvl w:val="2"/>
          <w:numId w:val="35"/>
        </w:numPr>
        <w:tabs>
          <w:tab w:val="left" w:pos="993"/>
        </w:tabs>
        <w:spacing w:after="0" w:line="360" w:lineRule="auto"/>
        <w:jc w:val="both"/>
        <w:rPr>
          <w:rFonts w:ascii="Arial" w:hAnsi="Arial" w:cs="Arial"/>
          <w:spacing w:val="-3"/>
          <w:sz w:val="24"/>
          <w:szCs w:val="24"/>
          <w:lang w:val="es-ES_tradnl"/>
        </w:rPr>
      </w:pPr>
      <w:r w:rsidRPr="001270BF">
        <w:rPr>
          <w:rFonts w:ascii="Arial" w:hAnsi="Arial" w:cs="Arial"/>
          <w:spacing w:val="-3"/>
          <w:sz w:val="24"/>
          <w:szCs w:val="24"/>
          <w:lang w:val="es-ES_tradnl"/>
        </w:rPr>
        <w:t xml:space="preserve">Las sub-reglas de análisis en la </w:t>
      </w:r>
      <w:proofErr w:type="spellStart"/>
      <w:r w:rsidRPr="001270BF">
        <w:rPr>
          <w:rFonts w:ascii="Arial" w:hAnsi="Arial" w:cs="Arial"/>
          <w:spacing w:val="-3"/>
          <w:sz w:val="24"/>
          <w:szCs w:val="24"/>
          <w:lang w:val="es-ES_tradnl"/>
        </w:rPr>
        <w:t>procedibilidad</w:t>
      </w:r>
      <w:proofErr w:type="spellEnd"/>
      <w:r w:rsidRPr="001270BF">
        <w:rPr>
          <w:rFonts w:ascii="Arial" w:hAnsi="Arial" w:cs="Arial"/>
          <w:spacing w:val="-3"/>
          <w:sz w:val="24"/>
          <w:szCs w:val="24"/>
          <w:lang w:val="es-ES_tradnl"/>
        </w:rPr>
        <w:t xml:space="preserve"> frente a decisiones judiciales</w:t>
      </w:r>
    </w:p>
    <w:p w:rsidR="001270BF" w:rsidRDefault="001270BF" w:rsidP="001270B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p>
    <w:p w:rsidR="008D2CD7" w:rsidRPr="008D2CD7" w:rsidRDefault="008D2CD7" w:rsidP="001270B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r w:rsidRPr="001270BF">
        <w:rPr>
          <w:rFonts w:ascii="Arial" w:hAnsi="Arial" w:cs="Arial"/>
          <w:spacing w:val="-3"/>
          <w:lang w:val="es-ES_tradnl"/>
        </w:rPr>
        <w:t>A partir de la sentencia C-543 de 1992, mediante la cual se examinaron en sede de</w:t>
      </w:r>
      <w:r w:rsidRPr="008D2CD7">
        <w:rPr>
          <w:rFonts w:ascii="Arial" w:hAnsi="Arial" w:cs="Arial"/>
          <w:spacing w:val="-3"/>
          <w:lang w:val="es-ES_tradnl"/>
        </w:rPr>
        <w:t xml:space="preserve"> constitucionalidad, los artículos 11, 12 y 40 del Decreto 2591 de 1991, que se declararon ajustados a la Carta Política, se inicia la línea jurisprudencial en torno a la tutela contra providencias judiciales, que ha evolucionado hasta una re-definición dogmática entre 2003 y 2005</w:t>
      </w:r>
      <w:r w:rsidRPr="008D2CD7">
        <w:rPr>
          <w:rFonts w:ascii="Arial" w:hAnsi="Arial" w:cs="Arial"/>
          <w:spacing w:val="-3"/>
          <w:vertAlign w:val="superscript"/>
          <w:lang w:val="es-ES_tradnl"/>
        </w:rPr>
        <w:footnoteReference w:id="5"/>
      </w:r>
      <w:r w:rsidRPr="008D2CD7">
        <w:rPr>
          <w:rFonts w:ascii="Arial" w:hAnsi="Arial" w:cs="Arial"/>
          <w:spacing w:val="-3"/>
          <w:lang w:val="es-ES_tradnl"/>
        </w:rPr>
        <w:t xml:space="preserve">, que consistió básicamente en sustituir la expresión “vías de hecho” a la de “causales genéricas de </w:t>
      </w:r>
      <w:proofErr w:type="spellStart"/>
      <w:r w:rsidRPr="008D2CD7">
        <w:rPr>
          <w:rFonts w:ascii="Arial" w:hAnsi="Arial" w:cs="Arial"/>
          <w:spacing w:val="-3"/>
          <w:lang w:val="es-ES_tradnl"/>
        </w:rPr>
        <w:t>procedibilidad</w:t>
      </w:r>
      <w:proofErr w:type="spellEnd"/>
      <w:r w:rsidRPr="008D2CD7">
        <w:rPr>
          <w:rFonts w:ascii="Arial" w:hAnsi="Arial" w:cs="Arial"/>
          <w:spacing w:val="-3"/>
          <w:lang w:val="es-ES_tradnl"/>
        </w:rPr>
        <w:t>” y ensanchar las causales, pasando de cuatro (4) a ocho (8), es decir, las “causales especiales”, que deben reunirse para adentrarse en el estudio concreto del caso.</w:t>
      </w:r>
    </w:p>
    <w:p w:rsidR="008D2CD7" w:rsidRPr="008D2CD7" w:rsidRDefault="008D2CD7" w:rsidP="008D2CD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p>
    <w:p w:rsidR="008D2CD7" w:rsidRPr="008D2CD7" w:rsidRDefault="008D2CD7" w:rsidP="008D2CD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r w:rsidRPr="008D2CD7">
        <w:rPr>
          <w:rFonts w:ascii="Arial" w:hAnsi="Arial" w:cs="Arial"/>
          <w:spacing w:val="-3"/>
          <w:lang w:val="es-ES_tradnl"/>
        </w:rPr>
        <w:t xml:space="preserve">Ahora, en frente del examen que se reclama en sede constitucional, resulta de mayúscula trascendencia, precisar que </w:t>
      </w:r>
      <w:r w:rsidRPr="008D2CD7">
        <w:rPr>
          <w:rFonts w:ascii="Arial" w:hAnsi="Arial" w:cs="Arial"/>
          <w:spacing w:val="-3"/>
          <w:u w:val="single"/>
          <w:lang w:val="es-ES_tradnl"/>
        </w:rPr>
        <w:t>se trata de un juicio de validez y no de corrección</w:t>
      </w:r>
      <w:r w:rsidRPr="008D2CD7">
        <w:rPr>
          <w:rFonts w:ascii="Arial" w:hAnsi="Arial" w:cs="Arial"/>
          <w:spacing w:val="-3"/>
          <w:lang w:val="es-ES_tradnl"/>
        </w:rPr>
        <w:t xml:space="preserve">, lo que evidencia que son dos planos de estudio diversos, entonces, mal puede mutarse en constitucional lo que compete al ámbito legal, ello se traduce en evitar el riesgo de </w:t>
      </w:r>
      <w:r w:rsidRPr="008D2CD7">
        <w:rPr>
          <w:rFonts w:ascii="Arial" w:hAnsi="Arial" w:cs="Arial"/>
          <w:spacing w:val="-3"/>
          <w:lang w:val="es-ES_tradnl"/>
        </w:rPr>
        <w:lastRenderedPageBreak/>
        <w:t xml:space="preserve">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8D2CD7">
          <w:rPr>
            <w:rFonts w:ascii="Arial" w:hAnsi="Arial" w:cs="Arial"/>
            <w:spacing w:val="-3"/>
            <w:lang w:val="es-ES_tradnl"/>
          </w:rPr>
          <w:t>la Colegiatura</w:t>
        </w:r>
      </w:smartTag>
      <w:r w:rsidRPr="008D2CD7">
        <w:rPr>
          <w:rFonts w:ascii="Arial" w:hAnsi="Arial" w:cs="Arial"/>
          <w:spacing w:val="-3"/>
          <w:lang w:val="es-ES_tradnl"/>
        </w:rPr>
        <w:t xml:space="preserve"> constitucional</w:t>
      </w:r>
      <w:r w:rsidRPr="008D2CD7">
        <w:rPr>
          <w:rFonts w:ascii="Arial" w:hAnsi="Arial" w:cs="Arial"/>
          <w:spacing w:val="-3"/>
          <w:vertAlign w:val="superscript"/>
          <w:lang w:val="es-ES_tradnl"/>
        </w:rPr>
        <w:footnoteReference w:id="6"/>
      </w:r>
      <w:r w:rsidRPr="008D2CD7">
        <w:rPr>
          <w:rFonts w:ascii="Arial" w:hAnsi="Arial" w:cs="Arial"/>
          <w:spacing w:val="-3"/>
          <w:lang w:val="es-ES_tradnl"/>
        </w:rPr>
        <w:t>.</w:t>
      </w:r>
    </w:p>
    <w:p w:rsidR="008D2CD7" w:rsidRPr="008D2CD7" w:rsidRDefault="008D2CD7" w:rsidP="008D2CD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p>
    <w:p w:rsidR="008D2CD7" w:rsidRDefault="008D2CD7" w:rsidP="008D2CD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r w:rsidRPr="008D2CD7">
        <w:rPr>
          <w:rFonts w:ascii="Arial" w:hAnsi="Arial" w:cs="Arial"/>
          <w:spacing w:val="-3"/>
          <w:lang w:val="es-ES_tradnl"/>
        </w:rPr>
        <w:t xml:space="preserve">Los requisitos generales de </w:t>
      </w:r>
      <w:proofErr w:type="spellStart"/>
      <w:r w:rsidRPr="008D2CD7">
        <w:rPr>
          <w:rFonts w:ascii="Arial" w:hAnsi="Arial" w:cs="Arial"/>
          <w:spacing w:val="-3"/>
          <w:lang w:val="es-ES_tradnl"/>
        </w:rPr>
        <w:t>procedibilidad</w:t>
      </w:r>
      <w:proofErr w:type="spellEnd"/>
      <w:r w:rsidRPr="008D2CD7">
        <w:rPr>
          <w:rFonts w:ascii="Arial" w:hAnsi="Arial" w:cs="Arial"/>
          <w:spacing w:val="-3"/>
          <w:lang w:val="es-ES_tradnl"/>
        </w:rPr>
        <w:t>, explicados en amplitud en la sentencia C-590 de 2005</w:t>
      </w:r>
      <w:r w:rsidRPr="008D2CD7">
        <w:rPr>
          <w:rFonts w:ascii="Arial" w:hAnsi="Arial" w:cs="Arial"/>
          <w:spacing w:val="-3"/>
          <w:vertAlign w:val="superscript"/>
          <w:lang w:val="es-ES_tradnl"/>
        </w:rPr>
        <w:footnoteReference w:id="7"/>
      </w:r>
      <w:r w:rsidRPr="008D2CD7">
        <w:rPr>
          <w:rFonts w:ascii="Arial" w:hAnsi="Arial" w:cs="Arial"/>
          <w:spacing w:val="-3"/>
          <w:lang w:val="es-ES_tradnl"/>
        </w:rPr>
        <w:t xml:space="preserve"> y reiterados en la consolidada línea jurisprudencial de la Corte Constitucional</w:t>
      </w:r>
      <w:r w:rsidRPr="008D2CD7">
        <w:rPr>
          <w:rFonts w:ascii="Arial" w:hAnsi="Arial" w:cs="Arial"/>
          <w:spacing w:val="-3"/>
          <w:vertAlign w:val="superscript"/>
          <w:lang w:val="es-ES_tradnl"/>
        </w:rPr>
        <w:footnoteReference w:id="8"/>
      </w:r>
      <w:r w:rsidRPr="008D2CD7">
        <w:rPr>
          <w:rFonts w:ascii="Arial" w:hAnsi="Arial" w:cs="Arial"/>
          <w:spacing w:val="-3"/>
          <w:lang w:val="es-ES_tradnl"/>
        </w:rPr>
        <w:t xml:space="preserve"> (2015)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8D2CD7">
        <w:rPr>
          <w:rFonts w:ascii="Arial" w:hAnsi="Arial" w:cs="Times New Roman"/>
          <w:spacing w:val="-3"/>
          <w:vertAlign w:val="superscript"/>
          <w:lang w:val="es-ES_tradnl"/>
        </w:rPr>
        <w:footnoteReference w:id="9"/>
      </w:r>
      <w:r w:rsidRPr="008D2CD7">
        <w:rPr>
          <w:rFonts w:ascii="Arial" w:hAnsi="Arial" w:cs="Arial"/>
          <w:spacing w:val="-3"/>
          <w:lang w:val="es-ES_tradnl"/>
        </w:rPr>
        <w:t>.</w:t>
      </w:r>
    </w:p>
    <w:p w:rsidR="008D2CD7" w:rsidRPr="008D2CD7" w:rsidRDefault="008D2CD7" w:rsidP="008D2CD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p>
    <w:p w:rsidR="008D2CD7" w:rsidRPr="008D2CD7" w:rsidRDefault="008D2CD7" w:rsidP="008D2CD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r w:rsidRPr="008D2CD7">
        <w:rPr>
          <w:rFonts w:ascii="Arial" w:hAnsi="Arial" w:cs="Arial"/>
          <w:spacing w:val="-3"/>
          <w:lang w:val="es-ES_tradnl"/>
        </w:rPr>
        <w:t xml:space="preserve">De otra parte, como requisitos o causales especiales de </w:t>
      </w:r>
      <w:proofErr w:type="spellStart"/>
      <w:r w:rsidRPr="008D2CD7">
        <w:rPr>
          <w:rFonts w:ascii="Arial" w:hAnsi="Arial" w:cs="Arial"/>
          <w:spacing w:val="-3"/>
          <w:lang w:val="es-ES_tradnl"/>
        </w:rPr>
        <w:t>procedibilidad</w:t>
      </w:r>
      <w:proofErr w:type="spellEnd"/>
      <w:r w:rsidRPr="008D2CD7">
        <w:rPr>
          <w:rFonts w:ascii="Arial" w:hAnsi="Arial" w:cs="Arial"/>
          <w:spacing w:val="-3"/>
          <w:lang w:val="es-ES_tradnl"/>
        </w:rPr>
        <w:t>,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8D2CD7">
        <w:rPr>
          <w:rFonts w:ascii="Arial" w:hAnsi="Arial" w:cs="Arial"/>
          <w:spacing w:val="-3"/>
          <w:vertAlign w:val="superscript"/>
          <w:lang w:val="es-ES_tradnl"/>
        </w:rPr>
        <w:footnoteReference w:id="10"/>
      </w:r>
      <w:r w:rsidRPr="008D2CD7">
        <w:rPr>
          <w:rFonts w:ascii="Arial" w:hAnsi="Arial" w:cs="Arial"/>
          <w:spacing w:val="-3"/>
          <w:lang w:val="es-ES_tradnl"/>
        </w:rPr>
        <w:t xml:space="preserve"> y Quinche Ramírez</w:t>
      </w:r>
      <w:r w:rsidRPr="008D2CD7">
        <w:rPr>
          <w:rFonts w:ascii="Arial" w:hAnsi="Arial" w:cs="Arial"/>
          <w:spacing w:val="-3"/>
          <w:vertAlign w:val="superscript"/>
          <w:lang w:val="es-ES_tradnl"/>
        </w:rPr>
        <w:footnoteReference w:id="11"/>
      </w:r>
      <w:r w:rsidRPr="008D2CD7">
        <w:rPr>
          <w:rFonts w:ascii="Arial" w:hAnsi="Arial" w:cs="Arial"/>
          <w:spacing w:val="-3"/>
          <w:lang w:val="es-ES_tradnl"/>
        </w:rPr>
        <w:t>.</w:t>
      </w:r>
    </w:p>
    <w:p w:rsidR="00117D2E" w:rsidRPr="006449F5" w:rsidRDefault="00117D2E" w:rsidP="00117D2E">
      <w:pPr>
        <w:spacing w:line="360" w:lineRule="auto"/>
        <w:jc w:val="both"/>
        <w:rPr>
          <w:rFonts w:ascii="Arial" w:hAnsi="Arial" w:cs="Arial"/>
        </w:rPr>
      </w:pPr>
    </w:p>
    <w:p w:rsidR="00117D2E" w:rsidRPr="006449F5" w:rsidRDefault="00117D2E" w:rsidP="006449F5">
      <w:pPr>
        <w:pStyle w:val="Prrafodelista"/>
        <w:numPr>
          <w:ilvl w:val="2"/>
          <w:numId w:val="35"/>
        </w:numPr>
        <w:spacing w:line="360" w:lineRule="auto"/>
        <w:jc w:val="both"/>
        <w:rPr>
          <w:rFonts w:ascii="Arial" w:hAnsi="Arial" w:cs="Arial"/>
          <w:sz w:val="24"/>
          <w:szCs w:val="24"/>
        </w:rPr>
      </w:pPr>
      <w:r w:rsidRPr="006449F5">
        <w:rPr>
          <w:rFonts w:ascii="Arial" w:hAnsi="Arial" w:cs="Arial"/>
          <w:sz w:val="24"/>
          <w:szCs w:val="24"/>
        </w:rPr>
        <w:t>La inmediatez</w:t>
      </w:r>
    </w:p>
    <w:p w:rsidR="00117D2E" w:rsidRPr="006449F5" w:rsidRDefault="00117D2E" w:rsidP="00117D2E">
      <w:pPr>
        <w:spacing w:line="360" w:lineRule="auto"/>
        <w:jc w:val="both"/>
        <w:rPr>
          <w:rFonts w:ascii="Arial" w:hAnsi="Arial" w:cs="Arial"/>
          <w:sz w:val="10"/>
        </w:rPr>
      </w:pPr>
    </w:p>
    <w:p w:rsidR="00117D2E" w:rsidRDefault="00117D2E" w:rsidP="00117D2E">
      <w:pPr>
        <w:spacing w:line="360" w:lineRule="auto"/>
        <w:jc w:val="both"/>
        <w:rPr>
          <w:rFonts w:ascii="Arial" w:hAnsi="Arial" w:cs="Arial"/>
          <w:u w:val="single"/>
        </w:rPr>
      </w:pPr>
      <w:r w:rsidRPr="0098589D">
        <w:rPr>
          <w:rFonts w:ascii="Arial" w:hAnsi="Arial" w:cs="Arial"/>
        </w:rPr>
        <w:t>Según constante jurisprudencia de nuestro máximo Tribunal Constitucional</w:t>
      </w:r>
      <w:r w:rsidRPr="0098589D">
        <w:rPr>
          <w:rStyle w:val="Refdenotaalpie"/>
        </w:rPr>
        <w:footnoteReference w:id="12"/>
      </w:r>
      <w:r w:rsidRPr="0098589D">
        <w:rPr>
          <w:rFonts w:ascii="Arial" w:hAnsi="Arial" w:cs="Arial"/>
        </w:rPr>
        <w:t>, y también de la Corte Suprema de Justicia</w:t>
      </w:r>
      <w:r w:rsidRPr="0098589D">
        <w:rPr>
          <w:rStyle w:val="Refdenotaalpie"/>
          <w:rFonts w:ascii="Calibri" w:hAnsi="Calibri" w:cs="Calibri"/>
        </w:rPr>
        <w:footnoteReference w:id="13"/>
      </w:r>
      <w:r w:rsidRPr="0098589D">
        <w:rPr>
          <w:rFonts w:ascii="Calibri" w:hAnsi="Calibri" w:cs="Calibri"/>
        </w:rPr>
        <w:t xml:space="preserve"> (</w:t>
      </w:r>
      <w:r w:rsidRPr="0098589D">
        <w:rPr>
          <w:rFonts w:ascii="Arial" w:hAnsi="Arial" w:cs="Arial"/>
        </w:rPr>
        <w:t xml:space="preserve">Sala de Casación Civil), la inmediatez en la protección, que implica la tutela, conlleva entender que el remedio judicial requiere </w:t>
      </w:r>
      <w:r w:rsidRPr="0098589D">
        <w:rPr>
          <w:rFonts w:ascii="Arial" w:hAnsi="Arial" w:cs="Arial"/>
          <w:b/>
          <w:bCs/>
        </w:rPr>
        <w:t>aplicación urgente,</w:t>
      </w:r>
      <w:r w:rsidRPr="0098589D">
        <w:rPr>
          <w:rFonts w:ascii="Arial" w:hAnsi="Arial" w:cs="Arial"/>
        </w:rPr>
        <w:t xml:space="preserve"> por lo que quien actúa en ejercicio de la tutela, debe usarla en forma oportuna.  Significa lo dicho que el juez no está obligado a atender una petición cuando el afectado injustificadamente, por desidia o desinterés, ha dejado pasar el tiempo para elevarla, </w:t>
      </w:r>
      <w:r w:rsidRPr="0098589D">
        <w:rPr>
          <w:rFonts w:ascii="Arial" w:hAnsi="Arial" w:cs="Arial"/>
          <w:u w:val="single"/>
        </w:rPr>
        <w:t>la inmediatez es consustancial a la protección que brinda la mencionada acción como defensa efectiva de los derechos fundamentales.</w:t>
      </w:r>
    </w:p>
    <w:p w:rsidR="00117D2E" w:rsidRPr="0098589D" w:rsidRDefault="00117D2E" w:rsidP="00117D2E">
      <w:pPr>
        <w:spacing w:line="360" w:lineRule="auto"/>
        <w:jc w:val="both"/>
        <w:rPr>
          <w:rFonts w:ascii="Arial" w:hAnsi="Arial" w:cs="Arial"/>
          <w:u w:val="single"/>
        </w:rPr>
      </w:pPr>
    </w:p>
    <w:p w:rsidR="00E27425" w:rsidRDefault="00117D2E" w:rsidP="00E27425">
      <w:pPr>
        <w:spacing w:line="360" w:lineRule="auto"/>
        <w:ind w:right="22"/>
        <w:jc w:val="both"/>
        <w:rPr>
          <w:rFonts w:ascii="Arial" w:hAnsi="Arial" w:cs="Arial"/>
        </w:rPr>
      </w:pPr>
      <w:r w:rsidRPr="0098589D">
        <w:rPr>
          <w:rFonts w:ascii="Arial" w:hAnsi="Arial" w:cs="Arial"/>
        </w:rPr>
        <w:t xml:space="preserve">Oportuno resulta, evocar </w:t>
      </w:r>
      <w:r w:rsidRPr="0098589D">
        <w:rPr>
          <w:rFonts w:ascii="Arial" w:hAnsi="Arial" w:cs="Arial"/>
          <w:kern w:val="44"/>
        </w:rPr>
        <w:t xml:space="preserve">con relación a la prontitud que debe acompañar el reclamo para </w:t>
      </w:r>
      <w:r w:rsidRPr="0098589D">
        <w:rPr>
          <w:rFonts w:ascii="Arial" w:hAnsi="Arial" w:cs="Arial"/>
          <w:kern w:val="44"/>
        </w:rPr>
        <w:lastRenderedPageBreak/>
        <w:t xml:space="preserve">la protección de los derechos, que la jurisprudencia de la Corte Interamericana de Derechos Humanos ha señalado que el transcurso de un lapso mayor a </w:t>
      </w:r>
      <w:r w:rsidRPr="00E91C83">
        <w:rPr>
          <w:rFonts w:ascii="Arial" w:hAnsi="Arial" w:cs="Arial"/>
          <w:b/>
          <w:kern w:val="44"/>
        </w:rPr>
        <w:t>seis meses</w:t>
      </w:r>
      <w:r w:rsidRPr="0098589D">
        <w:rPr>
          <w:rFonts w:ascii="Arial" w:hAnsi="Arial" w:cs="Arial"/>
          <w:kern w:val="44"/>
        </w:rPr>
        <w:t xml:space="preserve"> para resolver amparos excede el principio de plazo razonable. </w:t>
      </w:r>
      <w:r w:rsidRPr="0098589D">
        <w:rPr>
          <w:rFonts w:ascii="Arial" w:hAnsi="Arial" w:cs="Arial"/>
        </w:rPr>
        <w:t xml:space="preserve">Habida consideración de la significación del principio de inmediatez, ha concluido en recientes decisiones nuestro Alto Tribunal, que la “OPORTUNIDAD”, </w:t>
      </w:r>
      <w:r w:rsidRPr="0098589D">
        <w:rPr>
          <w:rFonts w:ascii="Arial" w:hAnsi="Arial" w:cs="Arial"/>
          <w:u w:val="single"/>
        </w:rPr>
        <w:t xml:space="preserve">es un requisito de </w:t>
      </w:r>
      <w:proofErr w:type="spellStart"/>
      <w:r w:rsidRPr="0098589D">
        <w:rPr>
          <w:rFonts w:ascii="Arial" w:hAnsi="Arial" w:cs="Arial"/>
          <w:u w:val="single"/>
        </w:rPr>
        <w:t>procedibilidad</w:t>
      </w:r>
      <w:proofErr w:type="spellEnd"/>
      <w:r w:rsidRPr="0098589D">
        <w:rPr>
          <w:rFonts w:ascii="Arial" w:hAnsi="Arial" w:cs="Arial"/>
          <w:u w:val="single"/>
        </w:rPr>
        <w:t xml:space="preserve"> esencial para el ejercicio del amparo constitucional</w:t>
      </w:r>
      <w:r w:rsidRPr="0098589D">
        <w:rPr>
          <w:rStyle w:val="Refdenotaalpie"/>
          <w:rFonts w:ascii="Calibri" w:hAnsi="Calibri" w:cs="Calibri"/>
        </w:rPr>
        <w:footnoteReference w:id="14"/>
      </w:r>
      <w:r w:rsidRPr="0098589D">
        <w:rPr>
          <w:rFonts w:ascii="Arial" w:hAnsi="Arial" w:cs="Arial"/>
        </w:rPr>
        <w:t>.</w:t>
      </w:r>
      <w:r>
        <w:rPr>
          <w:rFonts w:ascii="Arial" w:hAnsi="Arial" w:cs="Arial"/>
        </w:rPr>
        <w:t xml:space="preserve"> </w:t>
      </w:r>
      <w:r w:rsidR="00E27425" w:rsidRPr="006D5F73">
        <w:rPr>
          <w:rFonts w:ascii="Arial" w:hAnsi="Arial" w:cs="Arial"/>
        </w:rPr>
        <w:t>Así mismo lo ha señalado la Corte Suprema de Justicia en sus Salas de Casación Penal</w:t>
      </w:r>
      <w:r w:rsidR="00E27425" w:rsidRPr="006D5F73">
        <w:rPr>
          <w:rStyle w:val="Refdenotaalpie"/>
          <w:rFonts w:ascii="Arial" w:hAnsi="Arial"/>
        </w:rPr>
        <w:footnoteReference w:id="15"/>
      </w:r>
      <w:r w:rsidR="00E27425" w:rsidRPr="006D5F73">
        <w:rPr>
          <w:rFonts w:ascii="Arial" w:hAnsi="Arial" w:cs="Arial"/>
        </w:rPr>
        <w:t xml:space="preserve"> y de Casación Civil</w:t>
      </w:r>
      <w:r w:rsidR="00E27425" w:rsidRPr="006D5F73">
        <w:rPr>
          <w:rStyle w:val="Refdenotaalpie"/>
          <w:rFonts w:ascii="Arial" w:hAnsi="Arial" w:cs="Arial"/>
        </w:rPr>
        <w:footnoteReference w:id="16"/>
      </w:r>
      <w:r w:rsidR="00E27425" w:rsidRPr="006D5F73">
        <w:rPr>
          <w:rFonts w:ascii="Arial" w:hAnsi="Arial" w:cs="Arial"/>
        </w:rPr>
        <w:t xml:space="preserve"> que en reciente providencia </w:t>
      </w:r>
      <w:r w:rsidR="00E27425">
        <w:rPr>
          <w:rFonts w:ascii="Arial" w:hAnsi="Arial" w:cs="Arial"/>
        </w:rPr>
        <w:t>reiteró</w:t>
      </w:r>
      <w:r w:rsidR="00E27425" w:rsidRPr="006D5F73">
        <w:rPr>
          <w:rFonts w:ascii="Arial" w:hAnsi="Arial" w:cs="Arial"/>
        </w:rPr>
        <w:t xml:space="preserve">: </w:t>
      </w:r>
    </w:p>
    <w:p w:rsidR="00B43EA8" w:rsidRPr="006D5F73" w:rsidRDefault="00B43EA8" w:rsidP="00E27425">
      <w:pPr>
        <w:spacing w:line="360" w:lineRule="auto"/>
        <w:ind w:right="22"/>
        <w:jc w:val="both"/>
        <w:rPr>
          <w:rFonts w:ascii="Arial" w:hAnsi="Arial" w:cs="Arial"/>
        </w:rPr>
      </w:pPr>
    </w:p>
    <w:p w:rsidR="00E27425" w:rsidRPr="00C9008E" w:rsidRDefault="00E27425" w:rsidP="00E27425">
      <w:pPr>
        <w:ind w:left="720" w:right="618"/>
        <w:jc w:val="both"/>
        <w:rPr>
          <w:rFonts w:ascii="Arial" w:hAnsi="Arial" w:cs="Arial"/>
          <w:iCs/>
        </w:rPr>
      </w:pPr>
      <w:r w:rsidRPr="00C9008E">
        <w:rPr>
          <w:rFonts w:ascii="Arial" w:hAnsi="Arial" w:cs="Arial"/>
          <w:iCs/>
        </w:rPr>
        <w:t xml:space="preserve">… al ciudadano le asiste el deber recíproco de colaborar para el adecuado funcionamiento de la administración de justicia (ordinal 7, artículo 95 Superior), en este caso, impetrando oportunamente la solicitud tutelar, pues la demora en el ejercicio de dicha acción constitucional, puede tomarse, ora como síntoma del carácter dudoso de la lesión o puesta en peligro de los derechos fundamentales, o como señal de aceptación a lo resuelto, contrario en todo caso la urgencia, celeridad, eficacia e inmediatez inherente a la lesión o amenaza del derecho fundamental. </w:t>
      </w:r>
    </w:p>
    <w:p w:rsidR="00E27425" w:rsidRPr="00C9008E" w:rsidRDefault="00E27425" w:rsidP="00E27425">
      <w:pPr>
        <w:ind w:left="720" w:right="618"/>
        <w:jc w:val="both"/>
        <w:rPr>
          <w:rFonts w:ascii="Arial" w:hAnsi="Arial" w:cs="Arial"/>
          <w:iCs/>
        </w:rPr>
      </w:pPr>
    </w:p>
    <w:p w:rsidR="00E27425" w:rsidRPr="00C9008E" w:rsidRDefault="00E27425" w:rsidP="00E27425">
      <w:pPr>
        <w:ind w:left="720" w:right="618"/>
        <w:jc w:val="both"/>
        <w:rPr>
          <w:rFonts w:ascii="Bookman Old Style" w:hAnsi="Bookman Old Style" w:cs="Arial"/>
          <w:iCs/>
        </w:rPr>
      </w:pPr>
      <w:r w:rsidRPr="00C9008E">
        <w:rPr>
          <w:rFonts w:ascii="Arial" w:hAnsi="Arial" w:cs="Arial"/>
          <w:iCs/>
        </w:rPr>
        <w:t xml:space="preserve">Precisamente, en orden a procurar el cumplimiento del memorado requisito, </w:t>
      </w:r>
      <w:r w:rsidRPr="00C9008E">
        <w:rPr>
          <w:rFonts w:ascii="Arial" w:hAnsi="Arial" w:cs="Arial"/>
          <w:iCs/>
          <w:u w:val="single"/>
        </w:rPr>
        <w:t>la Sala en reiterados pronunciamientos ha considerado por término razonable para la interposición de la acción el de seis meses</w:t>
      </w:r>
      <w:r w:rsidRPr="00C9008E">
        <w:rPr>
          <w:rFonts w:ascii="Arial" w:hAnsi="Arial" w:cs="Arial"/>
          <w:iCs/>
        </w:rPr>
        <w:t>.</w:t>
      </w:r>
      <w:r>
        <w:rPr>
          <w:rFonts w:ascii="Arial" w:hAnsi="Arial" w:cs="Arial"/>
        </w:rPr>
        <w:t xml:space="preserve"> </w:t>
      </w:r>
      <w:proofErr w:type="spellStart"/>
      <w:r>
        <w:rPr>
          <w:rFonts w:ascii="Arial" w:hAnsi="Arial" w:cs="Arial"/>
        </w:rPr>
        <w:t>Sublínea</w:t>
      </w:r>
      <w:proofErr w:type="spellEnd"/>
      <w:r>
        <w:rPr>
          <w:rFonts w:ascii="Arial" w:hAnsi="Arial" w:cs="Arial"/>
        </w:rPr>
        <w:t xml:space="preserve"> de esta S</w:t>
      </w:r>
      <w:r w:rsidRPr="006D5F73">
        <w:rPr>
          <w:rFonts w:ascii="Arial" w:hAnsi="Arial" w:cs="Arial"/>
        </w:rPr>
        <w:t>ala.</w:t>
      </w:r>
    </w:p>
    <w:p w:rsidR="00117D2E" w:rsidRPr="0098589D" w:rsidRDefault="00117D2E" w:rsidP="00E27425">
      <w:pPr>
        <w:spacing w:line="360" w:lineRule="auto"/>
        <w:ind w:right="22"/>
        <w:jc w:val="both"/>
        <w:rPr>
          <w:rFonts w:ascii="Arial" w:hAnsi="Arial" w:cs="Arial"/>
        </w:rPr>
      </w:pPr>
    </w:p>
    <w:p w:rsidR="00117D2E" w:rsidRPr="0098589D" w:rsidRDefault="00117D2E" w:rsidP="00117D2E">
      <w:pPr>
        <w:spacing w:line="360" w:lineRule="auto"/>
        <w:ind w:right="22"/>
        <w:jc w:val="both"/>
        <w:rPr>
          <w:rFonts w:ascii="Arial" w:hAnsi="Arial" w:cs="Arial"/>
        </w:rPr>
      </w:pPr>
      <w:r w:rsidRPr="0098589D">
        <w:rPr>
          <w:rFonts w:ascii="Arial" w:hAnsi="Arial" w:cs="Arial"/>
        </w:rPr>
        <w:t>Sin embargo de lo razonado, es menester acotar que el mencionado plazo no es absoluto, sino que se entiende como razonable para la interposición de la acción de amparo, pues más allá de ese término, lo que en realidad lo determina son: (i) Si existió o no un motivo válido que justifique la inactividad de los accionantes; (ii) Si la inactividad injustificada vulnera el núcleo esencial de los derechos de terceros afectados con la decisión; y, (iii) Si existe un nexo causal entre el ejercicio oportuno de la acción y la vulneración de los derechos de los interesados.</w:t>
      </w:r>
    </w:p>
    <w:p w:rsidR="00117D2E" w:rsidRPr="0098589D" w:rsidRDefault="00117D2E" w:rsidP="00117D2E">
      <w:pPr>
        <w:spacing w:line="360" w:lineRule="auto"/>
        <w:ind w:right="22"/>
        <w:jc w:val="both"/>
        <w:rPr>
          <w:rFonts w:ascii="Arial" w:hAnsi="Arial" w:cs="Arial"/>
        </w:rPr>
      </w:pPr>
    </w:p>
    <w:p w:rsidR="00117D2E" w:rsidRDefault="00117D2E" w:rsidP="00117D2E">
      <w:pPr>
        <w:spacing w:line="360" w:lineRule="auto"/>
        <w:ind w:right="22"/>
        <w:jc w:val="both"/>
        <w:rPr>
          <w:rFonts w:ascii="Arial" w:hAnsi="Arial" w:cs="Arial"/>
        </w:rPr>
      </w:pPr>
      <w:r w:rsidRPr="0098589D">
        <w:rPr>
          <w:rFonts w:ascii="Arial" w:hAnsi="Arial" w:cs="Arial"/>
        </w:rPr>
        <w:t>Los aspectos acabados de reseñar, fueron precisados en una decisión del 2006 de la Corte Constitucional</w:t>
      </w:r>
      <w:r w:rsidRPr="0098589D">
        <w:rPr>
          <w:rStyle w:val="Refdenotaalpie"/>
          <w:rFonts w:ascii="Arial" w:hAnsi="Arial" w:cs="Arial"/>
        </w:rPr>
        <w:footnoteReference w:id="17"/>
      </w:r>
      <w:r w:rsidRPr="0098589D">
        <w:rPr>
          <w:rFonts w:ascii="Arial" w:hAnsi="Arial" w:cs="Arial"/>
        </w:rPr>
        <w:t>, con apoyo en un precedente anterior de 2003</w:t>
      </w:r>
      <w:r w:rsidRPr="0098589D">
        <w:rPr>
          <w:rStyle w:val="Refdenotaalpie"/>
          <w:rFonts w:ascii="Arial" w:hAnsi="Arial" w:cs="Arial"/>
        </w:rPr>
        <w:footnoteReference w:id="18"/>
      </w:r>
      <w:r w:rsidRPr="0098589D">
        <w:rPr>
          <w:rFonts w:ascii="Arial" w:hAnsi="Arial" w:cs="Arial"/>
        </w:rPr>
        <w:t xml:space="preserve">.  En sentencia de 2010 la Corte amparó los derechos, al estimar que para el caso particular que examinó, la razonabilidad del plazo cubría algunos años, en tratándose de “vías de hecho” judiciales.  En este sentido puede consultarse la síntesis doctrinal que hace el profesor </w:t>
      </w:r>
      <w:r w:rsidRPr="0098589D">
        <w:rPr>
          <w:rFonts w:ascii="Arial" w:hAnsi="Arial" w:cs="Arial"/>
        </w:rPr>
        <w:lastRenderedPageBreak/>
        <w:t>Quinche Ramírez</w:t>
      </w:r>
      <w:r w:rsidRPr="0098589D">
        <w:rPr>
          <w:rStyle w:val="Refdenotaalpie"/>
          <w:rFonts w:ascii="Arial" w:hAnsi="Arial" w:cs="Arial"/>
        </w:rPr>
        <w:footnoteReference w:id="19"/>
      </w:r>
      <w:r w:rsidRPr="0098589D">
        <w:rPr>
          <w:rFonts w:ascii="Arial" w:hAnsi="Arial" w:cs="Arial"/>
        </w:rPr>
        <w:t>.</w:t>
      </w:r>
    </w:p>
    <w:p w:rsidR="00117D2E" w:rsidRDefault="00117D2E" w:rsidP="00117D2E">
      <w:pPr>
        <w:spacing w:line="360" w:lineRule="auto"/>
        <w:ind w:right="22"/>
        <w:jc w:val="both"/>
        <w:rPr>
          <w:rFonts w:ascii="Arial" w:hAnsi="Arial" w:cs="Arial"/>
        </w:rPr>
      </w:pPr>
    </w:p>
    <w:p w:rsidR="00117D2E" w:rsidRDefault="00117D2E" w:rsidP="00117D2E">
      <w:pPr>
        <w:spacing w:line="360" w:lineRule="auto"/>
        <w:jc w:val="both"/>
        <w:rPr>
          <w:rFonts w:ascii="Arial" w:hAnsi="Arial" w:cs="Arial"/>
          <w:lang w:val="es-ES_tradnl"/>
        </w:rPr>
      </w:pPr>
      <w:r>
        <w:rPr>
          <w:rFonts w:ascii="Arial" w:hAnsi="Arial" w:cs="Arial"/>
          <w:lang w:val="es-ES_tradnl"/>
        </w:rPr>
        <w:t>En reciente providencia</w:t>
      </w:r>
      <w:r>
        <w:rPr>
          <w:rStyle w:val="Refdenotaalpie"/>
          <w:rFonts w:ascii="Arial" w:hAnsi="Arial" w:cs="Arial"/>
          <w:lang w:val="es-ES_tradnl"/>
        </w:rPr>
        <w:footnoteReference w:id="20"/>
      </w:r>
      <w:r w:rsidR="007E1963">
        <w:rPr>
          <w:rFonts w:ascii="Arial" w:hAnsi="Arial" w:cs="Arial"/>
          <w:lang w:val="es-ES_tradnl"/>
        </w:rPr>
        <w:t xml:space="preserve"> (2015</w:t>
      </w:r>
      <w:r>
        <w:rPr>
          <w:rFonts w:ascii="Arial" w:hAnsi="Arial" w:cs="Arial"/>
          <w:lang w:val="es-ES_tradnl"/>
        </w:rPr>
        <w:t xml:space="preserve">) nuestro órgano de cierre en la especialidad constitucional, ratificó el pensamiento traído en su larga línea jurisprudencial, y resaltó las razones que fundamenta el factor “inmediatez” como presupuesto de </w:t>
      </w:r>
      <w:proofErr w:type="spellStart"/>
      <w:r>
        <w:rPr>
          <w:rFonts w:ascii="Arial" w:hAnsi="Arial" w:cs="Arial"/>
          <w:lang w:val="es-ES_tradnl"/>
        </w:rPr>
        <w:t>procedibilidad</w:t>
      </w:r>
      <w:proofErr w:type="spellEnd"/>
      <w:r>
        <w:rPr>
          <w:rFonts w:ascii="Arial" w:hAnsi="Arial" w:cs="Arial"/>
          <w:lang w:val="es-ES_tradnl"/>
        </w:rPr>
        <w:t>, así acotó:</w:t>
      </w:r>
    </w:p>
    <w:p w:rsidR="007E1963" w:rsidRPr="00E27425" w:rsidRDefault="007E1963" w:rsidP="007E1963">
      <w:pPr>
        <w:tabs>
          <w:tab w:val="left" w:pos="1979"/>
        </w:tabs>
        <w:ind w:left="567" w:right="567"/>
        <w:jc w:val="both"/>
        <w:rPr>
          <w:rFonts w:ascii="Arial" w:hAnsi="Arial" w:cs="Arial"/>
          <w:color w:val="000000" w:themeColor="text1"/>
          <w:sz w:val="28"/>
          <w:lang w:val="es-ES_tradnl"/>
        </w:rPr>
      </w:pPr>
      <w:r w:rsidRPr="00E27425">
        <w:rPr>
          <w:rFonts w:ascii="Arial" w:hAnsi="Arial" w:cs="Arial"/>
          <w:color w:val="000000" w:themeColor="text1"/>
          <w:szCs w:val="28"/>
          <w:shd w:val="clear" w:color="auto" w:fill="FFFFFF"/>
        </w:rPr>
        <w:t xml:space="preserve">… la Corte reiteró que la </w:t>
      </w:r>
      <w:r w:rsidRPr="00E27425">
        <w:rPr>
          <w:rFonts w:ascii="Arial" w:hAnsi="Arial" w:cs="Arial"/>
          <w:color w:val="000000" w:themeColor="text1"/>
          <w:szCs w:val="28"/>
          <w:u w:val="single"/>
          <w:shd w:val="clear" w:color="auto" w:fill="FFFFFF"/>
        </w:rPr>
        <w:t>exigencia de presentar la acción de tutela en un término razonable, se debe a la necesidad de</w:t>
      </w:r>
      <w:r w:rsidRPr="00E27425">
        <w:rPr>
          <w:rFonts w:ascii="Arial" w:hAnsi="Arial" w:cs="Arial"/>
          <w:color w:val="000000" w:themeColor="text1"/>
          <w:szCs w:val="28"/>
          <w:shd w:val="clear" w:color="auto" w:fill="FFFFFF"/>
        </w:rPr>
        <w:t xml:space="preserve"> (i) proteger derechos de terceros que pueden verse vulnerados con la presentación de la tutela; (ii) impedir que este mecanismo constitucional se convierta en fuente de inseguridad jurídica; y (iii) evitar el uso del amparo como herramienta </w:t>
      </w:r>
      <w:proofErr w:type="spellStart"/>
      <w:r w:rsidRPr="00E27425">
        <w:rPr>
          <w:rFonts w:ascii="Arial" w:hAnsi="Arial" w:cs="Arial"/>
          <w:color w:val="000000" w:themeColor="text1"/>
          <w:szCs w:val="28"/>
          <w:shd w:val="clear" w:color="auto" w:fill="FFFFFF"/>
        </w:rPr>
        <w:t>supletiva</w:t>
      </w:r>
      <w:proofErr w:type="spellEnd"/>
      <w:r w:rsidRPr="00E27425">
        <w:rPr>
          <w:rFonts w:ascii="Arial" w:hAnsi="Arial" w:cs="Arial"/>
          <w:color w:val="000000" w:themeColor="text1"/>
          <w:szCs w:val="28"/>
          <w:shd w:val="clear" w:color="auto" w:fill="FFFFFF"/>
        </w:rPr>
        <w:t xml:space="preserve"> de la propia negligencia en la agencia de los derechos. </w:t>
      </w:r>
    </w:p>
    <w:p w:rsidR="007E1963" w:rsidRPr="00E27425" w:rsidRDefault="007E1963" w:rsidP="007E1963">
      <w:pPr>
        <w:pStyle w:val="Textoindependiente"/>
        <w:spacing w:line="240" w:lineRule="auto"/>
        <w:ind w:left="567" w:right="567"/>
        <w:rPr>
          <w:rFonts w:ascii="Arial" w:hAnsi="Arial" w:cs="Arial"/>
          <w:color w:val="000000" w:themeColor="text1"/>
          <w:sz w:val="22"/>
          <w:szCs w:val="24"/>
        </w:rPr>
      </w:pPr>
    </w:p>
    <w:p w:rsidR="007E1963" w:rsidRPr="00E27425" w:rsidRDefault="007E1963" w:rsidP="007E1963">
      <w:pPr>
        <w:pStyle w:val="Textoindependiente"/>
        <w:spacing w:line="240" w:lineRule="auto"/>
        <w:ind w:left="567" w:right="567"/>
        <w:rPr>
          <w:rFonts w:ascii="Arial" w:hAnsi="Arial" w:cs="Arial"/>
          <w:color w:val="000000" w:themeColor="text1"/>
          <w:sz w:val="22"/>
          <w:szCs w:val="24"/>
        </w:rPr>
      </w:pPr>
      <w:r w:rsidRPr="00E27425">
        <w:rPr>
          <w:rFonts w:ascii="Arial" w:hAnsi="Arial" w:cs="Arial"/>
          <w:color w:val="000000" w:themeColor="text1"/>
          <w:sz w:val="22"/>
          <w:szCs w:val="24"/>
        </w:rPr>
        <w:t xml:space="preserve">(…) </w:t>
      </w:r>
    </w:p>
    <w:p w:rsidR="007E1963" w:rsidRPr="00E27425" w:rsidRDefault="007E1963" w:rsidP="007E1963">
      <w:pPr>
        <w:pStyle w:val="Textoindependiente"/>
        <w:spacing w:line="240" w:lineRule="auto"/>
        <w:ind w:left="567" w:right="567"/>
        <w:rPr>
          <w:rFonts w:ascii="Arial" w:hAnsi="Arial" w:cs="Arial"/>
          <w:color w:val="000000" w:themeColor="text1"/>
          <w:sz w:val="22"/>
          <w:szCs w:val="24"/>
        </w:rPr>
      </w:pPr>
    </w:p>
    <w:p w:rsidR="00FC7750" w:rsidRPr="00E27425" w:rsidRDefault="007E1963" w:rsidP="00FC7750">
      <w:pPr>
        <w:tabs>
          <w:tab w:val="left" w:pos="1979"/>
        </w:tabs>
        <w:ind w:left="567" w:right="567"/>
        <w:jc w:val="both"/>
        <w:rPr>
          <w:rFonts w:ascii="Arial" w:hAnsi="Arial" w:cs="Arial"/>
          <w:color w:val="000000" w:themeColor="text1"/>
          <w:sz w:val="28"/>
          <w:lang w:val="es-ES_tradnl"/>
        </w:rPr>
      </w:pPr>
      <w:r w:rsidRPr="00E27425">
        <w:rPr>
          <w:rFonts w:ascii="Arial" w:hAnsi="Arial" w:cs="Arial"/>
          <w:color w:val="000000" w:themeColor="text1"/>
          <w:szCs w:val="28"/>
          <w:shd w:val="clear" w:color="auto" w:fill="FFFFFF"/>
        </w:rPr>
        <w:t>En consecuencia, se debe presumir que la acción de tutela cumple con el requisito de inmediatez cuando: (i) el accionante logra demostrar los motivos por los cuales la presentó en ese momento a pesar de que ha transcurrido mucho tiempo desde los hechos que la originaron; (ii) la vulneración o amenaza del derecho persiste; o (iii) el actor se encuentra en situación de vulnerabilidad, a pesar de haber sido presentada tiempo después de que ocurrieron los actos que generaron la vulneración o amenaza de los derechos fundamentales.</w:t>
      </w:r>
      <w:r w:rsidR="00FC7750" w:rsidRPr="00E27425">
        <w:rPr>
          <w:rFonts w:ascii="Arial" w:hAnsi="Arial" w:cs="Arial"/>
          <w:color w:val="000000" w:themeColor="text1"/>
          <w:szCs w:val="28"/>
          <w:shd w:val="clear" w:color="auto" w:fill="FFFFFF"/>
        </w:rPr>
        <w:t xml:space="preserve"> </w:t>
      </w:r>
      <w:r w:rsidR="00FC7750" w:rsidRPr="00E27425">
        <w:rPr>
          <w:rFonts w:ascii="Arial" w:hAnsi="Arial" w:cs="Arial"/>
          <w:color w:val="000000" w:themeColor="text1"/>
          <w:lang w:val="es-CO"/>
        </w:rPr>
        <w:t xml:space="preserve">La </w:t>
      </w:r>
      <w:proofErr w:type="spellStart"/>
      <w:r w:rsidR="00FC7750" w:rsidRPr="00E27425">
        <w:rPr>
          <w:rFonts w:ascii="Arial" w:hAnsi="Arial" w:cs="Arial"/>
          <w:color w:val="000000" w:themeColor="text1"/>
          <w:lang w:val="es-CO"/>
        </w:rPr>
        <w:t>sublínea</w:t>
      </w:r>
      <w:proofErr w:type="spellEnd"/>
      <w:r w:rsidR="00FC7750" w:rsidRPr="00E27425">
        <w:rPr>
          <w:rFonts w:ascii="Arial" w:hAnsi="Arial" w:cs="Arial"/>
          <w:color w:val="000000" w:themeColor="text1"/>
          <w:lang w:val="es-CO"/>
        </w:rPr>
        <w:t xml:space="preserve"> de este Tribunal.</w:t>
      </w:r>
    </w:p>
    <w:p w:rsidR="007E1963" w:rsidRPr="00AC7177" w:rsidRDefault="007E1963" w:rsidP="001270BF">
      <w:pPr>
        <w:widowControl/>
        <w:shd w:val="clear" w:color="auto" w:fill="FFFFFF"/>
        <w:autoSpaceDE/>
        <w:autoSpaceDN/>
        <w:adjustRightInd/>
        <w:spacing w:line="360" w:lineRule="auto"/>
        <w:ind w:left="567" w:right="567"/>
        <w:jc w:val="both"/>
        <w:textAlignment w:val="baseline"/>
        <w:rPr>
          <w:rFonts w:ascii="Arial" w:hAnsi="Arial" w:cs="Arial"/>
          <w:color w:val="2D2D2D"/>
          <w:sz w:val="22"/>
          <w:szCs w:val="28"/>
          <w:shd w:val="clear" w:color="auto" w:fill="FFFFFF"/>
        </w:rPr>
      </w:pPr>
    </w:p>
    <w:p w:rsidR="00471BA7" w:rsidRPr="00471BA7" w:rsidRDefault="00471BA7" w:rsidP="006449F5">
      <w:pPr>
        <w:pStyle w:val="Textoindependiente"/>
        <w:numPr>
          <w:ilvl w:val="2"/>
          <w:numId w:val="35"/>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4"/>
          <w:szCs w:val="24"/>
        </w:rPr>
      </w:pPr>
      <w:r w:rsidRPr="00471BA7">
        <w:rPr>
          <w:rFonts w:ascii="Arial" w:hAnsi="Arial" w:cs="Arial"/>
          <w:sz w:val="24"/>
          <w:szCs w:val="24"/>
        </w:rPr>
        <w:t>El carácter subsidiario de la acción de tutela</w:t>
      </w:r>
      <w:r w:rsidRPr="00471BA7">
        <w:rPr>
          <w:rFonts w:ascii="Arial" w:hAnsi="Arial" w:cs="Arial"/>
          <w:sz w:val="24"/>
          <w:szCs w:val="24"/>
        </w:rPr>
        <w:tab/>
      </w:r>
    </w:p>
    <w:p w:rsidR="00471BA7" w:rsidRPr="00471BA7" w:rsidRDefault="00471BA7" w:rsidP="00471BA7">
      <w:pPr>
        <w:pStyle w:val="Textoindependiente"/>
        <w:tabs>
          <w:tab w:val="clear" w:pos="0"/>
        </w:tabs>
        <w:spacing w:line="360" w:lineRule="auto"/>
        <w:rPr>
          <w:rFonts w:ascii="Arial" w:hAnsi="Arial" w:cs="Arial"/>
          <w:sz w:val="24"/>
          <w:szCs w:val="24"/>
        </w:rPr>
      </w:pPr>
    </w:p>
    <w:p w:rsidR="00471BA7" w:rsidRPr="00471BA7" w:rsidRDefault="00471BA7" w:rsidP="00471BA7">
      <w:pPr>
        <w:pStyle w:val="Textoindependiente"/>
        <w:tabs>
          <w:tab w:val="clear" w:pos="0"/>
        </w:tabs>
        <w:spacing w:line="360" w:lineRule="auto"/>
        <w:rPr>
          <w:rFonts w:ascii="Arial" w:hAnsi="Arial" w:cs="Arial"/>
          <w:sz w:val="22"/>
          <w:szCs w:val="24"/>
          <w:u w:val="single"/>
        </w:rPr>
      </w:pPr>
      <w:r w:rsidRPr="00471BA7">
        <w:rPr>
          <w:rFonts w:ascii="Arial" w:hAnsi="Arial" w:cs="Arial"/>
          <w:sz w:val="24"/>
          <w:szCs w:val="24"/>
        </w:rPr>
        <w:t xml:space="preserve">La acción de tutela, se halla prescrita en el artículo 86 de la Constitución Nacional, definiendo la regla general sobre la procedencia de la acción, al consagrar en el inciso 3° que  </w:t>
      </w:r>
      <w:r w:rsidRPr="00471BA7">
        <w:rPr>
          <w:rFonts w:ascii="Arial" w:hAnsi="Arial" w:cs="Arial"/>
          <w:sz w:val="22"/>
          <w:szCs w:val="24"/>
        </w:rPr>
        <w:t>“</w:t>
      </w:r>
      <w:r w:rsidRPr="00471BA7">
        <w:rPr>
          <w:rFonts w:ascii="Arial" w:hAnsi="Arial" w:cs="Arial"/>
          <w:i/>
          <w:sz w:val="22"/>
          <w:szCs w:val="24"/>
        </w:rPr>
        <w:t xml:space="preserve">Esta acción solo procederá </w:t>
      </w:r>
      <w:r w:rsidRPr="00471BA7">
        <w:rPr>
          <w:rFonts w:ascii="Arial" w:hAnsi="Arial" w:cs="Arial"/>
          <w:i/>
          <w:sz w:val="22"/>
          <w:szCs w:val="24"/>
          <w:u w:val="single"/>
        </w:rPr>
        <w:t>cuando el afectado no disponga de otro medio de defensa judicial, salvo que aquella se utilice como mecanismo transitorio para evitar un perjuicio irremediable</w:t>
      </w:r>
      <w:r w:rsidRPr="00471BA7">
        <w:rPr>
          <w:rFonts w:ascii="Arial" w:hAnsi="Arial" w:cs="Arial"/>
          <w:sz w:val="22"/>
          <w:szCs w:val="24"/>
          <w:u w:val="single"/>
        </w:rPr>
        <w:t xml:space="preserve">”. </w:t>
      </w:r>
    </w:p>
    <w:p w:rsidR="00471BA7" w:rsidRPr="00471BA7" w:rsidRDefault="00471BA7" w:rsidP="00471BA7">
      <w:pPr>
        <w:pStyle w:val="Textoindependiente"/>
        <w:tabs>
          <w:tab w:val="clear" w:pos="0"/>
        </w:tabs>
        <w:spacing w:line="360" w:lineRule="auto"/>
        <w:rPr>
          <w:rFonts w:ascii="Arial" w:hAnsi="Arial" w:cs="Arial"/>
          <w:sz w:val="24"/>
          <w:szCs w:val="24"/>
          <w:u w:val="single"/>
        </w:rPr>
      </w:pPr>
    </w:p>
    <w:p w:rsidR="00471BA7" w:rsidRPr="00471BA7" w:rsidRDefault="00471BA7" w:rsidP="00471BA7">
      <w:pPr>
        <w:pStyle w:val="Textoindependiente"/>
        <w:tabs>
          <w:tab w:val="clear" w:pos="0"/>
        </w:tabs>
        <w:spacing w:line="360" w:lineRule="auto"/>
        <w:rPr>
          <w:rFonts w:ascii="Arial" w:hAnsi="Arial" w:cs="Arial"/>
          <w:i/>
          <w:sz w:val="22"/>
          <w:szCs w:val="24"/>
        </w:rPr>
      </w:pPr>
      <w:r w:rsidRPr="00471BA7">
        <w:rPr>
          <w:rFonts w:ascii="Arial" w:hAnsi="Arial" w:cs="Arial"/>
          <w:sz w:val="24"/>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471BA7">
        <w:rPr>
          <w:rFonts w:ascii="Arial" w:hAnsi="Arial" w:cs="Arial"/>
          <w:i/>
          <w:sz w:val="24"/>
          <w:szCs w:val="24"/>
        </w:rPr>
        <w:t xml:space="preserve">: </w:t>
      </w:r>
      <w:r w:rsidRPr="00471BA7">
        <w:rPr>
          <w:rFonts w:ascii="Arial" w:hAnsi="Arial" w:cs="Arial"/>
          <w:i/>
          <w:sz w:val="22"/>
          <w:szCs w:val="24"/>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471BA7">
        <w:rPr>
          <w:rStyle w:val="Refdenotaalpie"/>
          <w:rFonts w:ascii="Arial" w:hAnsi="Arial" w:cs="Arial"/>
          <w:i/>
          <w:sz w:val="22"/>
          <w:szCs w:val="24"/>
        </w:rPr>
        <w:footnoteReference w:id="21"/>
      </w:r>
      <w:r w:rsidRPr="00471BA7">
        <w:rPr>
          <w:rFonts w:ascii="Arial" w:hAnsi="Arial" w:cs="Arial"/>
          <w:i/>
          <w:sz w:val="22"/>
          <w:szCs w:val="24"/>
        </w:rPr>
        <w:t>.</w:t>
      </w:r>
    </w:p>
    <w:p w:rsidR="00471BA7" w:rsidRPr="00471BA7" w:rsidRDefault="00471BA7" w:rsidP="00471BA7">
      <w:pPr>
        <w:widowControl/>
        <w:autoSpaceDE/>
        <w:autoSpaceDN/>
        <w:adjustRightInd/>
        <w:spacing w:line="360" w:lineRule="auto"/>
        <w:jc w:val="both"/>
        <w:rPr>
          <w:rFonts w:ascii="Arial" w:hAnsi="Arial" w:cs="Arial"/>
          <w:lang w:val="es-ES_tradnl"/>
        </w:rPr>
      </w:pPr>
    </w:p>
    <w:p w:rsidR="00471BA7" w:rsidRPr="00471BA7" w:rsidRDefault="00471BA7" w:rsidP="00471BA7">
      <w:pPr>
        <w:widowControl/>
        <w:autoSpaceDE/>
        <w:autoSpaceDN/>
        <w:adjustRightInd/>
        <w:spacing w:line="360" w:lineRule="auto"/>
        <w:jc w:val="both"/>
        <w:rPr>
          <w:rFonts w:ascii="Arial" w:hAnsi="Arial" w:cs="Arial"/>
          <w:lang w:val="es-ES_tradnl"/>
        </w:rPr>
      </w:pPr>
      <w:r w:rsidRPr="00471BA7">
        <w:rPr>
          <w:rFonts w:ascii="Arial" w:hAnsi="Arial" w:cs="Arial"/>
          <w:lang w:val="es-ES_tradnl"/>
        </w:rPr>
        <w:lastRenderedPageBreak/>
        <w:t>La Corte Constitucional</w:t>
      </w:r>
      <w:r w:rsidRPr="00471BA7">
        <w:rPr>
          <w:rStyle w:val="Refdenotaalpie"/>
          <w:rFonts w:ascii="Arial" w:hAnsi="Arial"/>
          <w:color w:val="000000"/>
          <w:shd w:val="clear" w:color="auto" w:fill="FFFFFF"/>
        </w:rPr>
        <w:footnoteReference w:id="22"/>
      </w:r>
      <w:r w:rsidRPr="00471BA7">
        <w:rPr>
          <w:rFonts w:ascii="Arial" w:hAnsi="Arial" w:cs="Arial"/>
          <w:lang w:val="es-ES_tradnl"/>
        </w:rPr>
        <w:t xml:space="preserve"> en su jurisprudencia ha destacado la importancia de preservar el principio de subsidiariedad en el amparo constitucional:</w:t>
      </w:r>
    </w:p>
    <w:p w:rsidR="00471BA7" w:rsidRPr="00471BA7" w:rsidRDefault="00471BA7" w:rsidP="00471BA7">
      <w:pPr>
        <w:widowControl/>
        <w:overflowPunct w:val="0"/>
        <w:spacing w:line="360" w:lineRule="auto"/>
        <w:ind w:left="540" w:right="560"/>
        <w:jc w:val="both"/>
        <w:textAlignment w:val="baseline"/>
        <w:rPr>
          <w:rFonts w:ascii="Arial" w:hAnsi="Arial" w:cs="Arial"/>
          <w:i/>
          <w:iCs/>
          <w:lang w:val="es-ES_tradnl"/>
        </w:rPr>
      </w:pPr>
    </w:p>
    <w:p w:rsidR="00471BA7" w:rsidRPr="00471BA7" w:rsidRDefault="00471BA7" w:rsidP="00471BA7">
      <w:pPr>
        <w:pStyle w:val="Textoindependiente"/>
        <w:tabs>
          <w:tab w:val="clear" w:pos="0"/>
        </w:tabs>
        <w:spacing w:line="240" w:lineRule="auto"/>
        <w:ind w:left="567" w:right="567"/>
        <w:rPr>
          <w:rFonts w:ascii="Arial" w:hAnsi="Arial" w:cs="Arial"/>
          <w:color w:val="000000"/>
          <w:sz w:val="24"/>
          <w:szCs w:val="24"/>
          <w:shd w:val="clear" w:color="auto" w:fill="FFFFFF"/>
        </w:rPr>
      </w:pPr>
      <w:r w:rsidRPr="00471BA7">
        <w:rPr>
          <w:rFonts w:ascii="Arial" w:hAnsi="Arial" w:cs="Arial"/>
          <w:color w:val="000000"/>
          <w:sz w:val="24"/>
          <w:szCs w:val="24"/>
          <w:shd w:val="clear" w:color="auto" w:fill="FFFFFF"/>
        </w:rPr>
        <w:t>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falta injustificada de agotamiento de los recursos legales deviene en la improcedencia del mecanismo de amparo establecido en el artículo 86 Superior.</w:t>
      </w:r>
    </w:p>
    <w:p w:rsidR="00471BA7" w:rsidRPr="00471BA7" w:rsidRDefault="00471BA7" w:rsidP="00471BA7">
      <w:pPr>
        <w:pStyle w:val="Textoindependiente"/>
        <w:tabs>
          <w:tab w:val="clear" w:pos="0"/>
        </w:tabs>
        <w:spacing w:line="360" w:lineRule="auto"/>
        <w:rPr>
          <w:rFonts w:ascii="Arial" w:hAnsi="Arial" w:cs="Arial"/>
          <w:sz w:val="24"/>
          <w:szCs w:val="24"/>
        </w:rPr>
      </w:pPr>
    </w:p>
    <w:p w:rsidR="00471BA7" w:rsidRPr="00471BA7" w:rsidRDefault="00471BA7" w:rsidP="00471BA7">
      <w:pPr>
        <w:pStyle w:val="Textoindependiente"/>
        <w:tabs>
          <w:tab w:val="clear" w:pos="0"/>
        </w:tabs>
        <w:spacing w:line="360" w:lineRule="auto"/>
        <w:rPr>
          <w:rFonts w:ascii="Arial" w:hAnsi="Arial" w:cs="Arial"/>
          <w:sz w:val="24"/>
          <w:szCs w:val="24"/>
        </w:rPr>
      </w:pPr>
      <w:r w:rsidRPr="00471BA7">
        <w:rPr>
          <w:rFonts w:ascii="Arial" w:hAnsi="Arial" w:cs="Arial"/>
          <w:sz w:val="24"/>
          <w:szCs w:val="24"/>
        </w:rPr>
        <w:t xml:space="preserve">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 </w:t>
      </w:r>
      <w:r w:rsidRPr="00471BA7">
        <w:rPr>
          <w:rFonts w:ascii="Arial" w:hAnsi="Arial" w:cs="Arial"/>
          <w:i/>
          <w:sz w:val="22"/>
          <w:szCs w:val="24"/>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471BA7">
        <w:rPr>
          <w:rStyle w:val="Refdenotaalpie"/>
          <w:rFonts w:ascii="Arial" w:hAnsi="Arial" w:cs="Arial"/>
          <w:sz w:val="22"/>
          <w:szCs w:val="24"/>
        </w:rPr>
        <w:footnoteReference w:id="23"/>
      </w:r>
      <w:r w:rsidRPr="00471BA7">
        <w:rPr>
          <w:rFonts w:ascii="Arial" w:hAnsi="Arial" w:cs="Arial"/>
          <w:sz w:val="22"/>
          <w:szCs w:val="24"/>
        </w:rPr>
        <w:t>.</w:t>
      </w:r>
      <w:r w:rsidRPr="00471BA7">
        <w:rPr>
          <w:rFonts w:ascii="Arial" w:hAnsi="Arial" w:cs="Arial"/>
          <w:sz w:val="24"/>
          <w:szCs w:val="24"/>
        </w:rPr>
        <w:t xml:space="preserve"> Además, la Corte ha sido reiterativa en su criterio</w:t>
      </w:r>
      <w:r w:rsidRPr="00471BA7">
        <w:rPr>
          <w:rStyle w:val="Refdenotaalpie"/>
          <w:rFonts w:ascii="Arial" w:hAnsi="Arial"/>
          <w:sz w:val="24"/>
          <w:szCs w:val="24"/>
        </w:rPr>
        <w:footnoteReference w:id="24"/>
      </w:r>
      <w:r w:rsidRPr="00471BA7">
        <w:rPr>
          <w:rFonts w:ascii="Arial" w:hAnsi="Arial" w:cs="Arial"/>
          <w:sz w:val="24"/>
          <w:szCs w:val="24"/>
        </w:rPr>
        <w:t>(2016)</w:t>
      </w:r>
      <w:r w:rsidRPr="00471BA7">
        <w:rPr>
          <w:rStyle w:val="Refdenotaalpie"/>
          <w:rFonts w:ascii="Arial" w:hAnsi="Arial"/>
          <w:sz w:val="24"/>
          <w:szCs w:val="24"/>
        </w:rPr>
        <w:footnoteReference w:id="25"/>
      </w:r>
      <w:r w:rsidRPr="00471BA7">
        <w:rPr>
          <w:rFonts w:ascii="Arial" w:hAnsi="Arial" w:cs="Arial"/>
          <w:sz w:val="24"/>
          <w:szCs w:val="24"/>
        </w:rPr>
        <w:t>.</w:t>
      </w:r>
    </w:p>
    <w:p w:rsidR="00471BA7" w:rsidRPr="00471BA7" w:rsidRDefault="00471BA7" w:rsidP="00471BA7">
      <w:pPr>
        <w:pStyle w:val="Textoindependiente"/>
        <w:tabs>
          <w:tab w:val="clear" w:pos="0"/>
        </w:tabs>
        <w:spacing w:line="360" w:lineRule="auto"/>
        <w:rPr>
          <w:rFonts w:ascii="Arial" w:hAnsi="Arial" w:cs="Arial"/>
          <w:sz w:val="24"/>
          <w:szCs w:val="24"/>
        </w:rPr>
      </w:pPr>
    </w:p>
    <w:p w:rsidR="00471BA7" w:rsidRPr="00471BA7" w:rsidRDefault="00471BA7" w:rsidP="00471BA7">
      <w:pPr>
        <w:spacing w:line="360" w:lineRule="auto"/>
        <w:jc w:val="both"/>
        <w:rPr>
          <w:rFonts w:ascii="Arial" w:hAnsi="Arial" w:cs="Arial"/>
          <w:lang w:val="es-ES_tradnl"/>
        </w:rPr>
      </w:pPr>
      <w:r w:rsidRPr="00471BA7">
        <w:rPr>
          <w:rFonts w:ascii="Arial" w:hAnsi="Arial" w:cs="Arial"/>
          <w:lang w:val="es-ES_tradnl"/>
        </w:rPr>
        <w:t xml:space="preserve">También la </w:t>
      </w:r>
      <w:r w:rsidR="00AC18BD">
        <w:rPr>
          <w:rFonts w:ascii="Arial" w:hAnsi="Arial" w:cs="Arial"/>
          <w:lang w:val="es-ES_tradnl"/>
        </w:rPr>
        <w:t>CSJ</w:t>
      </w:r>
      <w:r w:rsidRPr="00471BA7">
        <w:rPr>
          <w:rFonts w:ascii="Arial" w:hAnsi="Arial" w:cs="Arial"/>
          <w:lang w:val="es-ES_tradnl"/>
        </w:rPr>
        <w:t xml:space="preserve"> se ha referido al tema</w:t>
      </w:r>
      <w:r w:rsidRPr="00471BA7">
        <w:rPr>
          <w:rStyle w:val="Refdenotaalpie"/>
          <w:rFonts w:ascii="Arial" w:hAnsi="Arial" w:cs="Arial"/>
          <w:lang w:val="es-ES_tradnl"/>
        </w:rPr>
        <w:footnoteReference w:id="26"/>
      </w:r>
      <w:r w:rsidRPr="00471BA7">
        <w:rPr>
          <w:rFonts w:ascii="Arial" w:hAnsi="Arial" w:cs="Arial"/>
          <w:vertAlign w:val="superscript"/>
          <w:lang w:val="es-ES_tradnl"/>
        </w:rPr>
        <w:t>-</w:t>
      </w:r>
      <w:r w:rsidRPr="00471BA7">
        <w:rPr>
          <w:rStyle w:val="Refdenotaalpie"/>
          <w:rFonts w:ascii="Arial" w:hAnsi="Arial"/>
          <w:lang w:val="es-ES_tradnl"/>
        </w:rPr>
        <w:footnoteReference w:id="27"/>
      </w:r>
      <w:r w:rsidRPr="00471BA7">
        <w:rPr>
          <w:rFonts w:ascii="Arial" w:hAnsi="Arial" w:cs="Arial"/>
          <w:lang w:val="es-ES_tradnl"/>
        </w:rPr>
        <w:t xml:space="preserve"> (2016)</w:t>
      </w:r>
      <w:r w:rsidRPr="00471BA7">
        <w:rPr>
          <w:rStyle w:val="Refdenotaalpie"/>
          <w:rFonts w:ascii="Arial" w:hAnsi="Arial"/>
          <w:lang w:val="es-ES_tradnl"/>
        </w:rPr>
        <w:footnoteReference w:id="28"/>
      </w:r>
      <w:r w:rsidRPr="00471BA7">
        <w:rPr>
          <w:rFonts w:ascii="Arial" w:hAnsi="Arial" w:cs="Arial"/>
          <w:lang w:val="es-ES_tradnl"/>
        </w:rPr>
        <w:t xml:space="preserve">, </w:t>
      </w:r>
      <w:proofErr w:type="spellStart"/>
      <w:r w:rsidRPr="00471BA7">
        <w:rPr>
          <w:rFonts w:ascii="Arial" w:hAnsi="Arial" w:cs="Arial"/>
          <w:lang w:val="es-ES_tradnl"/>
        </w:rPr>
        <w:t>prohija</w:t>
      </w:r>
      <w:proofErr w:type="spellEnd"/>
      <w:r w:rsidRPr="00471BA7">
        <w:rPr>
          <w:rFonts w:ascii="Arial" w:hAnsi="Arial" w:cs="Arial"/>
          <w:lang w:val="es-ES_tradnl"/>
        </w:rPr>
        <w:t xml:space="preserve"> la improcedencia de la tutela por aplicación del principio de subsidiariedad.</w:t>
      </w:r>
    </w:p>
    <w:p w:rsidR="009565CF" w:rsidRPr="00AC7177" w:rsidRDefault="009565CF" w:rsidP="002F2011">
      <w:pPr>
        <w:pStyle w:val="Textoindependiente"/>
        <w:spacing w:line="360" w:lineRule="auto"/>
        <w:rPr>
          <w:rFonts w:ascii="Arial" w:hAnsi="Arial" w:cs="Arial"/>
          <w:color w:val="000000" w:themeColor="text1"/>
          <w:sz w:val="22"/>
          <w:szCs w:val="24"/>
        </w:rPr>
      </w:pPr>
    </w:p>
    <w:p w:rsidR="008D2CD7" w:rsidRPr="00AC7177" w:rsidRDefault="008D2CD7" w:rsidP="002F2011">
      <w:pPr>
        <w:pStyle w:val="Textoindependiente"/>
        <w:spacing w:line="360" w:lineRule="auto"/>
        <w:rPr>
          <w:rFonts w:ascii="Arial" w:hAnsi="Arial" w:cs="Arial"/>
          <w:sz w:val="22"/>
          <w:szCs w:val="24"/>
        </w:rPr>
      </w:pPr>
    </w:p>
    <w:p w:rsidR="002F2011" w:rsidRPr="006449F5" w:rsidRDefault="002F2011" w:rsidP="006449F5">
      <w:pPr>
        <w:pStyle w:val="Prrafodelista"/>
        <w:numPr>
          <w:ilvl w:val="0"/>
          <w:numId w:val="35"/>
        </w:numPr>
        <w:spacing w:line="360" w:lineRule="auto"/>
        <w:jc w:val="both"/>
        <w:rPr>
          <w:rFonts w:ascii="Arial" w:hAnsi="Arial" w:cs="Arial"/>
        </w:rPr>
      </w:pPr>
      <w:r w:rsidRPr="006449F5">
        <w:rPr>
          <w:rFonts w:ascii="Arial" w:hAnsi="Arial" w:cs="Arial"/>
        </w:rPr>
        <w:t>EL CASO CONCRETO MATERIA DE ANÁLISIS</w:t>
      </w:r>
    </w:p>
    <w:p w:rsidR="002F2011" w:rsidRDefault="002F2011" w:rsidP="002F2011">
      <w:pPr>
        <w:pStyle w:val="Prrafodelista"/>
        <w:spacing w:after="0" w:line="360" w:lineRule="auto"/>
        <w:ind w:left="390"/>
        <w:jc w:val="both"/>
        <w:rPr>
          <w:rFonts w:ascii="Arial" w:hAnsi="Arial" w:cs="Arial"/>
          <w:sz w:val="24"/>
          <w:szCs w:val="24"/>
        </w:rPr>
      </w:pPr>
    </w:p>
    <w:p w:rsidR="00E20670" w:rsidRDefault="00E20670" w:rsidP="00E20670">
      <w:pPr>
        <w:spacing w:line="360" w:lineRule="auto"/>
        <w:ind w:right="51"/>
        <w:jc w:val="both"/>
        <w:rPr>
          <w:rFonts w:ascii="Arial" w:hAnsi="Arial"/>
          <w:lang w:val="es-CO"/>
        </w:rPr>
      </w:pPr>
      <w:r w:rsidRPr="003176C1">
        <w:rPr>
          <w:rFonts w:ascii="Arial" w:hAnsi="Arial"/>
          <w:lang w:val="es-CO"/>
        </w:rPr>
        <w:t xml:space="preserve">De entrada </w:t>
      </w:r>
      <w:r>
        <w:rPr>
          <w:rFonts w:ascii="Arial" w:hAnsi="Arial"/>
          <w:lang w:val="es-CO"/>
        </w:rPr>
        <w:t>advierte esta</w:t>
      </w:r>
      <w:r w:rsidRPr="003176C1">
        <w:rPr>
          <w:rFonts w:ascii="Arial" w:hAnsi="Arial"/>
          <w:lang w:val="es-CO"/>
        </w:rPr>
        <w:t xml:space="preserve"> Sala</w:t>
      </w:r>
      <w:r>
        <w:rPr>
          <w:rFonts w:ascii="Arial" w:hAnsi="Arial"/>
          <w:lang w:val="es-CO"/>
        </w:rPr>
        <w:t xml:space="preserve"> que, el fallo venido en apelación será confirmado, pues está acorde con las premisas jurídicas expuestas; en efecto, como </w:t>
      </w:r>
      <w:r>
        <w:rPr>
          <w:rFonts w:ascii="Arial" w:hAnsi="Arial" w:cs="Arial"/>
          <w:lang w:val="es-ES_tradnl"/>
        </w:rPr>
        <w:t xml:space="preserve">los requisitos generales de </w:t>
      </w:r>
      <w:proofErr w:type="spellStart"/>
      <w:r>
        <w:rPr>
          <w:rFonts w:ascii="Arial" w:hAnsi="Arial" w:cs="Arial"/>
          <w:lang w:val="es-ES_tradnl"/>
        </w:rPr>
        <w:t>procedibilidad</w:t>
      </w:r>
      <w:proofErr w:type="spellEnd"/>
      <w:r>
        <w:rPr>
          <w:rFonts w:ascii="Arial" w:hAnsi="Arial" w:cs="Arial"/>
          <w:lang w:val="es-ES_tradnl"/>
        </w:rPr>
        <w:t xml:space="preserve"> son concurrentes, esto es, incumplido uno, se torna inane el examen de los demás, menos podrían revisarse los supuestos especiales</w:t>
      </w:r>
      <w:r w:rsidR="00AC18BD">
        <w:rPr>
          <w:rFonts w:ascii="Arial" w:hAnsi="Arial" w:cs="Arial"/>
          <w:lang w:val="es-ES_tradnl"/>
        </w:rPr>
        <w:t xml:space="preserve"> (Defectos)</w:t>
      </w:r>
      <w:r>
        <w:rPr>
          <w:rFonts w:ascii="Arial" w:hAnsi="Arial"/>
          <w:lang w:val="es-CO"/>
        </w:rPr>
        <w:t>.</w:t>
      </w:r>
    </w:p>
    <w:p w:rsidR="00067C0F" w:rsidRDefault="00067C0F" w:rsidP="008F679C">
      <w:pPr>
        <w:spacing w:line="360" w:lineRule="auto"/>
        <w:ind w:right="51"/>
        <w:jc w:val="both"/>
        <w:rPr>
          <w:rFonts w:ascii="Arial" w:hAnsi="Arial"/>
          <w:lang w:val="es-CO"/>
        </w:rPr>
      </w:pPr>
    </w:p>
    <w:p w:rsidR="00067C0F" w:rsidRPr="00067C0F" w:rsidRDefault="00067C0F" w:rsidP="00067C0F">
      <w:pPr>
        <w:spacing w:line="360" w:lineRule="auto"/>
        <w:ind w:right="51"/>
        <w:jc w:val="both"/>
        <w:rPr>
          <w:rFonts w:ascii="Arial" w:hAnsi="Arial"/>
        </w:rPr>
      </w:pPr>
      <w:r w:rsidRPr="00067C0F">
        <w:rPr>
          <w:rFonts w:ascii="Arial" w:hAnsi="Arial"/>
        </w:rPr>
        <w:t xml:space="preserve">Advierte la Sala que el actor </w:t>
      </w:r>
      <w:r w:rsidR="007A5415">
        <w:rPr>
          <w:rFonts w:ascii="Arial" w:hAnsi="Arial"/>
        </w:rPr>
        <w:t xml:space="preserve">se duele de </w:t>
      </w:r>
      <w:r w:rsidRPr="00067C0F">
        <w:rPr>
          <w:rFonts w:ascii="Arial" w:hAnsi="Arial"/>
        </w:rPr>
        <w:t xml:space="preserve">la presunta vulneración o amenaza de su derecho fundamental al debido proceso en </w:t>
      </w:r>
      <w:r>
        <w:rPr>
          <w:rFonts w:ascii="Arial" w:hAnsi="Arial"/>
        </w:rPr>
        <w:t xml:space="preserve">el proceso ejecutivo hipotecario </w:t>
      </w:r>
      <w:r w:rsidR="00131F12">
        <w:rPr>
          <w:rFonts w:ascii="Arial" w:hAnsi="Arial"/>
        </w:rPr>
        <w:t>No</w:t>
      </w:r>
      <w:r w:rsidRPr="00067C0F">
        <w:rPr>
          <w:rFonts w:ascii="Arial" w:hAnsi="Arial"/>
        </w:rPr>
        <w:t>.</w:t>
      </w:r>
      <w:r>
        <w:rPr>
          <w:rFonts w:ascii="Arial" w:hAnsi="Arial"/>
        </w:rPr>
        <w:t>2015-00358-00</w:t>
      </w:r>
      <w:r w:rsidRPr="00067C0F">
        <w:rPr>
          <w:rFonts w:ascii="Arial" w:hAnsi="Arial"/>
        </w:rPr>
        <w:t>,</w:t>
      </w:r>
      <w:r>
        <w:rPr>
          <w:rFonts w:ascii="Arial" w:hAnsi="Arial"/>
        </w:rPr>
        <w:t xml:space="preserve"> incoado por los señores Elvia </w:t>
      </w:r>
      <w:proofErr w:type="spellStart"/>
      <w:r>
        <w:rPr>
          <w:rFonts w:ascii="Arial" w:hAnsi="Arial"/>
        </w:rPr>
        <w:t>Aristizábal</w:t>
      </w:r>
      <w:proofErr w:type="spellEnd"/>
      <w:r>
        <w:rPr>
          <w:rFonts w:ascii="Arial" w:hAnsi="Arial"/>
        </w:rPr>
        <w:t xml:space="preserve"> Daza y Jairo de Jesús Arbeláez Tabares </w:t>
      </w:r>
      <w:r w:rsidR="00E20670">
        <w:rPr>
          <w:rFonts w:ascii="Arial" w:hAnsi="Arial"/>
        </w:rPr>
        <w:t>contra Marco Antonio Rodríguez Gómez</w:t>
      </w:r>
      <w:r w:rsidRPr="00067C0F">
        <w:rPr>
          <w:rFonts w:ascii="Arial" w:hAnsi="Arial"/>
        </w:rPr>
        <w:t xml:space="preserve">, en </w:t>
      </w:r>
      <w:r w:rsidR="00E20670">
        <w:rPr>
          <w:rFonts w:ascii="Arial" w:hAnsi="Arial"/>
        </w:rPr>
        <w:t xml:space="preserve">el que </w:t>
      </w:r>
      <w:r w:rsidR="007A5415">
        <w:rPr>
          <w:rFonts w:ascii="Arial" w:hAnsi="Arial"/>
        </w:rPr>
        <w:t xml:space="preserve">no es parte ni ha sido </w:t>
      </w:r>
      <w:r w:rsidR="007A5415">
        <w:rPr>
          <w:rFonts w:ascii="Arial" w:hAnsi="Arial"/>
        </w:rPr>
        <w:lastRenderedPageBreak/>
        <w:t xml:space="preserve">vinculado </w:t>
      </w:r>
      <w:r w:rsidR="00E20670">
        <w:rPr>
          <w:rFonts w:ascii="Arial" w:hAnsi="Arial"/>
        </w:rPr>
        <w:t>como litisconsorte</w:t>
      </w:r>
      <w:r w:rsidRPr="00067C0F">
        <w:rPr>
          <w:rFonts w:ascii="Arial" w:hAnsi="Arial"/>
        </w:rPr>
        <w:t xml:space="preserve">; de tal manera, que carece de legitimación en la causa para promover esta </w:t>
      </w:r>
      <w:r w:rsidR="00E20670">
        <w:rPr>
          <w:rFonts w:ascii="Arial" w:hAnsi="Arial"/>
        </w:rPr>
        <w:t xml:space="preserve">acción </w:t>
      </w:r>
      <w:r w:rsidRPr="00067C0F">
        <w:rPr>
          <w:rFonts w:ascii="Arial" w:hAnsi="Arial"/>
        </w:rPr>
        <w:t xml:space="preserve">constitucional, pues </w:t>
      </w:r>
      <w:r w:rsidR="00E20670">
        <w:rPr>
          <w:rFonts w:ascii="Arial" w:hAnsi="Arial"/>
        </w:rPr>
        <w:t>el derecho al debido proceso</w:t>
      </w:r>
      <w:r w:rsidRPr="00067C0F">
        <w:rPr>
          <w:rFonts w:ascii="Arial" w:hAnsi="Arial"/>
        </w:rPr>
        <w:t xml:space="preserve">, </w:t>
      </w:r>
      <w:r w:rsidRPr="00AC18BD">
        <w:rPr>
          <w:rFonts w:ascii="Arial" w:hAnsi="Arial"/>
          <w:u w:val="single"/>
        </w:rPr>
        <w:t>solo pued</w:t>
      </w:r>
      <w:r w:rsidR="00AC18BD">
        <w:rPr>
          <w:rFonts w:ascii="Arial" w:hAnsi="Arial"/>
          <w:u w:val="single"/>
        </w:rPr>
        <w:t>e ser ejercido</w:t>
      </w:r>
      <w:r w:rsidR="00E20670" w:rsidRPr="00AC18BD">
        <w:rPr>
          <w:rFonts w:ascii="Arial" w:hAnsi="Arial"/>
          <w:u w:val="single"/>
        </w:rPr>
        <w:t xml:space="preserve"> por las partes intervinientes en el asunto</w:t>
      </w:r>
      <w:r w:rsidR="00AC18BD">
        <w:rPr>
          <w:rFonts w:ascii="Arial" w:hAnsi="Arial"/>
          <w:u w:val="single"/>
        </w:rPr>
        <w:t>, o por los terceros reconocidos</w:t>
      </w:r>
      <w:r w:rsidRPr="00067C0F">
        <w:rPr>
          <w:rFonts w:ascii="Arial" w:hAnsi="Arial"/>
        </w:rPr>
        <w:t>.</w:t>
      </w:r>
    </w:p>
    <w:p w:rsidR="00067C0F" w:rsidRPr="00067C0F" w:rsidRDefault="00067C0F" w:rsidP="00067C0F">
      <w:pPr>
        <w:spacing w:line="360" w:lineRule="auto"/>
        <w:ind w:right="51"/>
        <w:jc w:val="both"/>
        <w:rPr>
          <w:rFonts w:ascii="Arial" w:hAnsi="Arial"/>
        </w:rPr>
      </w:pPr>
    </w:p>
    <w:p w:rsidR="003A3347" w:rsidRDefault="00067C0F" w:rsidP="003A3347">
      <w:pPr>
        <w:spacing w:line="360" w:lineRule="auto"/>
        <w:ind w:right="51"/>
        <w:jc w:val="both"/>
        <w:rPr>
          <w:rFonts w:ascii="Arial" w:hAnsi="Arial"/>
          <w:lang w:val="es-CO"/>
        </w:rPr>
      </w:pPr>
      <w:r w:rsidRPr="00067C0F">
        <w:rPr>
          <w:rFonts w:ascii="Arial" w:hAnsi="Arial"/>
          <w:lang w:val="es-ES_tradnl"/>
        </w:rPr>
        <w:t xml:space="preserve">En esas condiciones, considera la Sala, que en el presente caso, se halla incumplido el requisito de </w:t>
      </w:r>
      <w:proofErr w:type="spellStart"/>
      <w:r w:rsidRPr="00067C0F">
        <w:rPr>
          <w:rFonts w:ascii="Arial" w:hAnsi="Arial"/>
          <w:lang w:val="es-ES_tradnl"/>
        </w:rPr>
        <w:t>procedibilidad</w:t>
      </w:r>
      <w:proofErr w:type="spellEnd"/>
      <w:r w:rsidRPr="00067C0F">
        <w:rPr>
          <w:rFonts w:ascii="Arial" w:hAnsi="Arial"/>
          <w:lang w:val="es-ES_tradnl"/>
        </w:rPr>
        <w:t xml:space="preserve"> de legitimación para actuar, en virtud a que el accionante no es titular </w:t>
      </w:r>
      <w:r w:rsidR="00E20670">
        <w:rPr>
          <w:rFonts w:ascii="Arial" w:hAnsi="Arial"/>
          <w:lang w:val="es-ES_tradnl"/>
        </w:rPr>
        <w:t>del derecho invocado</w:t>
      </w:r>
      <w:r w:rsidRPr="00067C0F">
        <w:rPr>
          <w:rFonts w:ascii="Arial" w:hAnsi="Arial"/>
          <w:lang w:val="es-ES_tradnl"/>
        </w:rPr>
        <w:t>.</w:t>
      </w:r>
      <w:r w:rsidR="003A3347">
        <w:rPr>
          <w:rFonts w:ascii="Arial" w:hAnsi="Arial"/>
          <w:lang w:val="es-ES_tradnl"/>
        </w:rPr>
        <w:t xml:space="preserve"> </w:t>
      </w:r>
      <w:r w:rsidR="003A3347">
        <w:rPr>
          <w:rFonts w:ascii="Arial" w:hAnsi="Arial"/>
          <w:lang w:val="es-CO"/>
        </w:rPr>
        <w:t>N</w:t>
      </w:r>
      <w:r w:rsidR="00AC18BD">
        <w:rPr>
          <w:rFonts w:ascii="Arial" w:hAnsi="Arial"/>
          <w:lang w:val="es-CO"/>
        </w:rPr>
        <w:t xml:space="preserve">o obstante </w:t>
      </w:r>
      <w:r w:rsidR="003A3347">
        <w:rPr>
          <w:rFonts w:ascii="Arial" w:hAnsi="Arial"/>
          <w:lang w:val="es-CO"/>
        </w:rPr>
        <w:t xml:space="preserve">que la falta de aquel requisito sea </w:t>
      </w:r>
      <w:r w:rsidR="00AC18BD">
        <w:rPr>
          <w:rFonts w:ascii="Arial" w:hAnsi="Arial"/>
          <w:lang w:val="es-CO"/>
        </w:rPr>
        <w:t xml:space="preserve">suficiente para declarar </w:t>
      </w:r>
      <w:r w:rsidR="003A3347">
        <w:rPr>
          <w:rFonts w:ascii="Arial" w:hAnsi="Arial"/>
          <w:lang w:val="es-CO"/>
        </w:rPr>
        <w:t>improcedente el amparo constitucional, considera la Sala conveniente referir los defectos procesales adicionales que se revelan en este asunto y que también implican igual declaratoria.</w:t>
      </w:r>
    </w:p>
    <w:p w:rsidR="003A3347" w:rsidRDefault="003A3347" w:rsidP="004107F0">
      <w:pPr>
        <w:spacing w:line="360" w:lineRule="auto"/>
        <w:jc w:val="both"/>
        <w:rPr>
          <w:rFonts w:ascii="Arial" w:hAnsi="Arial"/>
          <w:lang w:val="es-CO"/>
        </w:rPr>
      </w:pPr>
    </w:p>
    <w:p w:rsidR="004107F0" w:rsidRDefault="003A3347" w:rsidP="004107F0">
      <w:pPr>
        <w:spacing w:line="360" w:lineRule="auto"/>
        <w:jc w:val="both"/>
        <w:rPr>
          <w:rFonts w:ascii="Arial" w:hAnsi="Arial" w:cs="Arial"/>
        </w:rPr>
      </w:pPr>
      <w:r>
        <w:rPr>
          <w:rFonts w:ascii="Arial" w:hAnsi="Arial"/>
          <w:lang w:val="es-CO"/>
        </w:rPr>
        <w:t>S</w:t>
      </w:r>
      <w:r w:rsidR="004D725E">
        <w:rPr>
          <w:rFonts w:ascii="Arial" w:hAnsi="Arial"/>
          <w:lang w:val="es-CO"/>
        </w:rPr>
        <w:t xml:space="preserve">e tiene que </w:t>
      </w:r>
      <w:r w:rsidR="00F8243B">
        <w:rPr>
          <w:rFonts w:ascii="Arial" w:hAnsi="Arial"/>
          <w:lang w:val="es-CO"/>
        </w:rPr>
        <w:t xml:space="preserve">el inmueble No.296-62097 fue secuestrado por el Juzgado Primero Civil Municipal de Santa Rosa de Cabal dentro del proceso ejecutivo radicado No.2014-00416-00, </w:t>
      </w:r>
      <w:r>
        <w:rPr>
          <w:rFonts w:ascii="Arial" w:hAnsi="Arial"/>
          <w:lang w:val="es-CO"/>
        </w:rPr>
        <w:t xml:space="preserve">mediante </w:t>
      </w:r>
      <w:r w:rsidR="00F8243B">
        <w:rPr>
          <w:rFonts w:ascii="Arial" w:hAnsi="Arial"/>
          <w:lang w:val="es-CO"/>
        </w:rPr>
        <w:t xml:space="preserve">diligencia </w:t>
      </w:r>
      <w:r>
        <w:rPr>
          <w:rFonts w:ascii="Arial" w:hAnsi="Arial"/>
          <w:lang w:val="es-CO"/>
        </w:rPr>
        <w:t>d</w:t>
      </w:r>
      <w:r w:rsidR="00C30B0C">
        <w:rPr>
          <w:rFonts w:ascii="Arial" w:hAnsi="Arial"/>
          <w:lang w:val="es-CO"/>
        </w:rPr>
        <w:t>el día 17-04-2015</w:t>
      </w:r>
      <w:r>
        <w:rPr>
          <w:rFonts w:ascii="Arial" w:hAnsi="Arial"/>
          <w:lang w:val="es-CO"/>
        </w:rPr>
        <w:t xml:space="preserve">, </w:t>
      </w:r>
      <w:r w:rsidR="00C30B0C">
        <w:rPr>
          <w:rFonts w:ascii="Arial" w:hAnsi="Arial"/>
          <w:lang w:val="es-CO"/>
        </w:rPr>
        <w:t xml:space="preserve">sin que se presentara oposición </w:t>
      </w:r>
      <w:r>
        <w:rPr>
          <w:rFonts w:ascii="Arial" w:hAnsi="Arial"/>
          <w:lang w:val="es-CO"/>
        </w:rPr>
        <w:t xml:space="preserve">durante </w:t>
      </w:r>
      <w:r w:rsidR="00131F12">
        <w:rPr>
          <w:rFonts w:ascii="Arial" w:hAnsi="Arial"/>
          <w:lang w:val="es-CO"/>
        </w:rPr>
        <w:t xml:space="preserve">la </w:t>
      </w:r>
      <w:r>
        <w:rPr>
          <w:rFonts w:ascii="Arial" w:hAnsi="Arial"/>
          <w:lang w:val="es-CO"/>
        </w:rPr>
        <w:t xml:space="preserve">práctica ni dentro de los 20 días siguientes a su realización </w:t>
      </w:r>
      <w:r w:rsidR="00C30B0C">
        <w:rPr>
          <w:rFonts w:ascii="Arial" w:hAnsi="Arial"/>
          <w:lang w:val="es-CO"/>
        </w:rPr>
        <w:t>(Fol</w:t>
      </w:r>
      <w:r w:rsidR="00A54D0E">
        <w:rPr>
          <w:rFonts w:ascii="Arial" w:hAnsi="Arial"/>
          <w:lang w:val="es-CO"/>
        </w:rPr>
        <w:t>ios 7 a 9, este cuaderno</w:t>
      </w:r>
      <w:r w:rsidR="004107F0">
        <w:rPr>
          <w:rFonts w:ascii="Arial" w:hAnsi="Arial"/>
          <w:lang w:val="es-CO"/>
        </w:rPr>
        <w:t xml:space="preserve">), cuando ese era el mecanismo ordinario para procurar la protección de sus derechos como poseedor </w:t>
      </w:r>
      <w:r>
        <w:rPr>
          <w:rFonts w:ascii="Arial" w:hAnsi="Arial"/>
          <w:lang w:val="es-CO"/>
        </w:rPr>
        <w:t xml:space="preserve">al interior </w:t>
      </w:r>
      <w:r w:rsidR="00131F12">
        <w:rPr>
          <w:rFonts w:ascii="Arial" w:hAnsi="Arial"/>
          <w:lang w:val="es-CO"/>
        </w:rPr>
        <w:t xml:space="preserve">del aludido trámite </w:t>
      </w:r>
      <w:r w:rsidR="004107F0">
        <w:rPr>
          <w:rFonts w:ascii="Arial" w:hAnsi="Arial"/>
          <w:lang w:val="es-CO"/>
        </w:rPr>
        <w:t xml:space="preserve">(Artículo 687, </w:t>
      </w:r>
      <w:proofErr w:type="spellStart"/>
      <w:r w:rsidR="004107F0">
        <w:rPr>
          <w:rFonts w:ascii="Arial" w:hAnsi="Arial"/>
          <w:lang w:val="es-CO"/>
        </w:rPr>
        <w:t>CPC</w:t>
      </w:r>
      <w:proofErr w:type="spellEnd"/>
      <w:r w:rsidR="004107F0">
        <w:rPr>
          <w:rFonts w:ascii="Arial" w:hAnsi="Arial"/>
          <w:lang w:val="es-CO"/>
        </w:rPr>
        <w:t>)</w:t>
      </w:r>
      <w:r w:rsidR="00E504F6">
        <w:rPr>
          <w:rFonts w:ascii="Arial" w:hAnsi="Arial"/>
          <w:lang w:val="es-CO"/>
        </w:rPr>
        <w:t>.</w:t>
      </w:r>
      <w:r w:rsidR="004107F0">
        <w:rPr>
          <w:rFonts w:ascii="Arial" w:hAnsi="Arial" w:cs="Arial"/>
        </w:rPr>
        <w:t xml:space="preserve"> </w:t>
      </w:r>
    </w:p>
    <w:p w:rsidR="00333EFB" w:rsidRDefault="00333EFB" w:rsidP="004107F0">
      <w:pPr>
        <w:spacing w:line="360" w:lineRule="auto"/>
        <w:jc w:val="both"/>
        <w:rPr>
          <w:rFonts w:ascii="Arial" w:hAnsi="Arial" w:cs="Arial"/>
        </w:rPr>
      </w:pPr>
    </w:p>
    <w:p w:rsidR="004107F0" w:rsidRDefault="00E20670" w:rsidP="004107F0">
      <w:pPr>
        <w:spacing w:line="360" w:lineRule="auto"/>
        <w:jc w:val="both"/>
        <w:rPr>
          <w:rFonts w:ascii="Arial" w:hAnsi="Arial" w:cs="Arial"/>
          <w:sz w:val="22"/>
          <w:szCs w:val="22"/>
        </w:rPr>
      </w:pPr>
      <w:r>
        <w:rPr>
          <w:rFonts w:ascii="Arial" w:hAnsi="Arial" w:cs="Arial"/>
          <w:lang w:val="es-ES_tradnl"/>
        </w:rPr>
        <w:t xml:space="preserve">De tal suerte que también es evidente </w:t>
      </w:r>
      <w:r w:rsidR="004107F0">
        <w:rPr>
          <w:rFonts w:ascii="Arial" w:hAnsi="Arial" w:cs="Arial"/>
          <w:lang w:val="es-ES_tradnl"/>
        </w:rPr>
        <w:t xml:space="preserve">la </w:t>
      </w:r>
      <w:r w:rsidR="004107F0" w:rsidRPr="00AF14C3">
        <w:rPr>
          <w:rFonts w:ascii="Arial" w:hAnsi="Arial" w:cs="Arial"/>
          <w:lang w:val="es-ES_tradnl"/>
        </w:rPr>
        <w:t xml:space="preserve">falta </w:t>
      </w:r>
      <w:r w:rsidR="004107F0">
        <w:rPr>
          <w:rFonts w:ascii="Arial" w:hAnsi="Arial" w:cs="Arial"/>
          <w:lang w:val="es-ES_tradnl"/>
        </w:rPr>
        <w:t xml:space="preserve">de agotamiento del supuesto de </w:t>
      </w:r>
      <w:r w:rsidR="004107F0" w:rsidRPr="00AF14C3">
        <w:rPr>
          <w:rFonts w:ascii="Arial" w:hAnsi="Arial" w:cs="Arial"/>
          <w:lang w:val="es-ES_tradnl"/>
        </w:rPr>
        <w:t>subsidiari</w:t>
      </w:r>
      <w:r w:rsidR="004107F0">
        <w:rPr>
          <w:rFonts w:ascii="Arial" w:hAnsi="Arial" w:cs="Arial"/>
          <w:lang w:val="es-ES_tradnl"/>
        </w:rPr>
        <w:t>e</w:t>
      </w:r>
      <w:r w:rsidR="004107F0" w:rsidRPr="00AF14C3">
        <w:rPr>
          <w:rFonts w:ascii="Arial" w:hAnsi="Arial" w:cs="Arial"/>
          <w:lang w:val="es-ES_tradnl"/>
        </w:rPr>
        <w:t>dad</w:t>
      </w:r>
      <w:r w:rsidR="004107F0">
        <w:rPr>
          <w:rFonts w:ascii="Arial" w:hAnsi="Arial" w:cs="Arial"/>
          <w:lang w:val="es-ES_tradnl"/>
        </w:rPr>
        <w:t xml:space="preserve">, como ha explicado </w:t>
      </w:r>
      <w:r w:rsidR="004107F0">
        <w:rPr>
          <w:rFonts w:ascii="Arial" w:hAnsi="Arial"/>
        </w:rPr>
        <w:t>la Corte Constitucional, que reiteradamente ha referido que la acción de tutela es improcedente cuando por negligencia, descuido o incuria, no son utilizados los mecanismos ordinarios de defensa</w:t>
      </w:r>
      <w:r w:rsidR="004107F0" w:rsidRPr="00FF4929">
        <w:rPr>
          <w:rStyle w:val="Refdenotaalpie"/>
          <w:rFonts w:ascii="Arial" w:hAnsi="Arial" w:cs="Arial"/>
          <w:sz w:val="22"/>
          <w:szCs w:val="22"/>
        </w:rPr>
        <w:footnoteReference w:id="29"/>
      </w:r>
      <w:r w:rsidR="00333EFB">
        <w:rPr>
          <w:rFonts w:ascii="Arial" w:hAnsi="Arial" w:cs="Arial"/>
          <w:sz w:val="22"/>
          <w:szCs w:val="22"/>
        </w:rPr>
        <w:t xml:space="preserve">. </w:t>
      </w:r>
    </w:p>
    <w:p w:rsidR="00E504F6" w:rsidRDefault="00E504F6" w:rsidP="004107F0">
      <w:pPr>
        <w:spacing w:line="360" w:lineRule="auto"/>
        <w:jc w:val="both"/>
        <w:rPr>
          <w:rFonts w:ascii="Arial" w:hAnsi="Arial" w:cs="Arial"/>
          <w:sz w:val="22"/>
          <w:szCs w:val="22"/>
        </w:rPr>
      </w:pPr>
    </w:p>
    <w:p w:rsidR="00E504F6" w:rsidRDefault="00E504F6" w:rsidP="00E504F6">
      <w:pPr>
        <w:spacing w:line="360" w:lineRule="auto"/>
        <w:ind w:right="51"/>
        <w:jc w:val="both"/>
        <w:rPr>
          <w:rFonts w:ascii="Arial" w:hAnsi="Arial"/>
        </w:rPr>
      </w:pPr>
      <w:r>
        <w:rPr>
          <w:rFonts w:ascii="Arial" w:hAnsi="Arial"/>
        </w:rPr>
        <w:t xml:space="preserve">Cabe </w:t>
      </w:r>
      <w:r w:rsidRPr="008B43C6">
        <w:rPr>
          <w:rFonts w:ascii="Arial" w:hAnsi="Arial"/>
        </w:rPr>
        <w:t>acotar que nada se arguyó y menos acreditó por parte del ac</w:t>
      </w:r>
      <w:r>
        <w:rPr>
          <w:rFonts w:ascii="Arial" w:hAnsi="Arial"/>
        </w:rPr>
        <w:t>cionante</w:t>
      </w:r>
      <w:r w:rsidRPr="008B43C6">
        <w:rPr>
          <w:rFonts w:ascii="Arial" w:hAnsi="Arial"/>
        </w:rPr>
        <w:t xml:space="preserve">, de forma que pudiera estimarse </w:t>
      </w:r>
      <w:r w:rsidRPr="008B43C6">
        <w:rPr>
          <w:rFonts w:ascii="Arial" w:hAnsi="Arial" w:cs="Arial"/>
          <w:bCs/>
          <w:szCs w:val="22"/>
          <w:lang w:val="es-CO"/>
        </w:rPr>
        <w:t>que es una persona que requiere de protección reforzada</w:t>
      </w:r>
      <w:r w:rsidRPr="008B43C6">
        <w:rPr>
          <w:rStyle w:val="Refdenotaalpie"/>
          <w:rFonts w:ascii="Arial" w:hAnsi="Arial"/>
          <w:bCs/>
          <w:szCs w:val="22"/>
          <w:lang w:val="es-CO"/>
        </w:rPr>
        <w:footnoteReference w:id="30"/>
      </w:r>
      <w:r w:rsidRPr="008B43C6">
        <w:rPr>
          <w:rFonts w:ascii="Arial" w:hAnsi="Arial" w:cs="Arial"/>
          <w:bCs/>
          <w:szCs w:val="22"/>
          <w:lang w:val="es-CO"/>
        </w:rPr>
        <w:t xml:space="preserve"> o que estaba en una situación de imposibilidad para </w:t>
      </w:r>
      <w:r>
        <w:rPr>
          <w:rFonts w:ascii="Arial" w:hAnsi="Arial" w:cs="Arial"/>
          <w:bCs/>
          <w:szCs w:val="22"/>
          <w:lang w:val="es-CO"/>
        </w:rPr>
        <w:t>oponerse al secuestro del inmueble</w:t>
      </w:r>
      <w:r w:rsidRPr="008B43C6">
        <w:rPr>
          <w:rStyle w:val="Refdenotaalpie"/>
          <w:rFonts w:ascii="Arial" w:hAnsi="Arial"/>
          <w:bCs/>
          <w:szCs w:val="22"/>
          <w:lang w:val="es-CO"/>
        </w:rPr>
        <w:footnoteReference w:id="31"/>
      </w:r>
      <w:r w:rsidRPr="008B43C6">
        <w:rPr>
          <w:rFonts w:ascii="Arial" w:hAnsi="Arial" w:cs="Arial"/>
          <w:bCs/>
          <w:szCs w:val="22"/>
          <w:lang w:val="es-CO"/>
        </w:rPr>
        <w:t xml:space="preserve">, </w:t>
      </w:r>
      <w:r w:rsidR="00333EFB">
        <w:rPr>
          <w:rFonts w:ascii="Arial" w:hAnsi="Arial" w:cs="Arial"/>
          <w:bCs/>
          <w:szCs w:val="22"/>
          <w:lang w:val="es-CO"/>
        </w:rPr>
        <w:t xml:space="preserve">o que </w:t>
      </w:r>
      <w:r w:rsidR="00131F12">
        <w:rPr>
          <w:rFonts w:ascii="Arial" w:hAnsi="Arial" w:cs="Arial"/>
          <w:bCs/>
          <w:szCs w:val="22"/>
          <w:lang w:val="es-CO"/>
        </w:rPr>
        <w:t>formuló</w:t>
      </w:r>
      <w:r w:rsidR="00333EFB">
        <w:rPr>
          <w:rFonts w:ascii="Arial" w:hAnsi="Arial" w:cs="Arial"/>
          <w:bCs/>
          <w:szCs w:val="22"/>
          <w:lang w:val="es-CO"/>
        </w:rPr>
        <w:t xml:space="preserve"> la acción como mecanismo transitorio para evitar un perjuicio irremediable,</w:t>
      </w:r>
      <w:r w:rsidR="00333EFB" w:rsidRPr="008B43C6">
        <w:rPr>
          <w:rFonts w:ascii="Arial" w:hAnsi="Arial" w:cs="Arial"/>
          <w:bCs/>
          <w:szCs w:val="22"/>
          <w:lang w:val="es-CO"/>
        </w:rPr>
        <w:t xml:space="preserve"> </w:t>
      </w:r>
      <w:r w:rsidRPr="008B43C6">
        <w:rPr>
          <w:rFonts w:ascii="Arial" w:hAnsi="Arial" w:cs="Arial"/>
          <w:bCs/>
          <w:szCs w:val="22"/>
          <w:lang w:val="es-CO"/>
        </w:rPr>
        <w:t xml:space="preserve">de tal modo que amerite un análisis flexible del requisito de </w:t>
      </w:r>
      <w:proofErr w:type="spellStart"/>
      <w:r w:rsidRPr="008B43C6">
        <w:rPr>
          <w:rFonts w:ascii="Arial" w:hAnsi="Arial" w:cs="Arial"/>
          <w:bCs/>
          <w:szCs w:val="22"/>
          <w:lang w:val="es-CO"/>
        </w:rPr>
        <w:t>procedibilidad</w:t>
      </w:r>
      <w:proofErr w:type="spellEnd"/>
      <w:r w:rsidRPr="008B43C6">
        <w:rPr>
          <w:rFonts w:ascii="Arial" w:hAnsi="Arial" w:cs="Arial"/>
          <w:bCs/>
          <w:szCs w:val="22"/>
          <w:lang w:val="es-CO"/>
        </w:rPr>
        <w:t xml:space="preserve"> echado de menos</w:t>
      </w:r>
      <w:r>
        <w:rPr>
          <w:rFonts w:ascii="Arial" w:hAnsi="Arial" w:cs="Arial"/>
          <w:bCs/>
          <w:szCs w:val="22"/>
          <w:lang w:val="es-CO"/>
        </w:rPr>
        <w:t xml:space="preserve">, </w:t>
      </w:r>
      <w:r>
        <w:rPr>
          <w:rFonts w:ascii="Arial" w:hAnsi="Arial"/>
        </w:rPr>
        <w:t>por ende solo a la parte le es imputable tal descuido.</w:t>
      </w:r>
    </w:p>
    <w:p w:rsidR="004107F0" w:rsidRPr="00131F12" w:rsidRDefault="004107F0" w:rsidP="004107F0">
      <w:pPr>
        <w:spacing w:line="360" w:lineRule="auto"/>
        <w:jc w:val="both"/>
        <w:rPr>
          <w:rFonts w:ascii="Arial" w:hAnsi="Arial" w:cs="Arial"/>
          <w:sz w:val="22"/>
        </w:rPr>
      </w:pPr>
    </w:p>
    <w:p w:rsidR="00A63AD0" w:rsidRDefault="00131F12" w:rsidP="00A63AD0">
      <w:pPr>
        <w:spacing w:line="360" w:lineRule="auto"/>
        <w:jc w:val="both"/>
        <w:rPr>
          <w:rFonts w:ascii="Arial" w:hAnsi="Arial" w:cs="Arial"/>
        </w:rPr>
      </w:pPr>
      <w:r>
        <w:rPr>
          <w:rFonts w:ascii="Arial" w:hAnsi="Arial" w:cs="Arial"/>
        </w:rPr>
        <w:t>T</w:t>
      </w:r>
      <w:r w:rsidR="004107F0">
        <w:rPr>
          <w:rFonts w:ascii="Arial" w:hAnsi="Arial" w:cs="Arial"/>
        </w:rPr>
        <w:t xml:space="preserve">ambién habría lugar a declarar la improcedencia de la acción por el incumplimiento del supuesto de </w:t>
      </w:r>
      <w:r w:rsidR="004107F0">
        <w:rPr>
          <w:rFonts w:ascii="Arial" w:hAnsi="Arial"/>
          <w:lang w:val="es-CO"/>
        </w:rPr>
        <w:t>inmediatez</w:t>
      </w:r>
      <w:r w:rsidR="004107F0">
        <w:rPr>
          <w:rFonts w:ascii="Arial" w:hAnsi="Arial" w:cs="Arial"/>
        </w:rPr>
        <w:t xml:space="preserve">, pues </w:t>
      </w:r>
      <w:r w:rsidR="00A63AD0">
        <w:rPr>
          <w:rFonts w:ascii="Arial" w:hAnsi="Arial" w:cs="Arial"/>
        </w:rPr>
        <w:t>su interposición (03-03-2016) desborda el plazo de los seis (6) meses fijado por la jurisprudencia tanto constitucional</w:t>
      </w:r>
      <w:r w:rsidR="00A63AD0" w:rsidRPr="0098589D">
        <w:rPr>
          <w:rStyle w:val="Refdenotaalpie"/>
          <w:rFonts w:ascii="Calibri" w:hAnsi="Calibri" w:cs="Calibri"/>
        </w:rPr>
        <w:footnoteReference w:id="32"/>
      </w:r>
      <w:r w:rsidR="00A63AD0">
        <w:rPr>
          <w:rFonts w:ascii="Arial" w:hAnsi="Arial" w:cs="Arial"/>
        </w:rPr>
        <w:t xml:space="preserve"> como ordinaria</w:t>
      </w:r>
      <w:r w:rsidR="00A63AD0">
        <w:rPr>
          <w:rStyle w:val="Refdenotaalpie"/>
          <w:rFonts w:ascii="Arial" w:hAnsi="Arial"/>
        </w:rPr>
        <w:footnoteReference w:id="33"/>
      </w:r>
      <w:r w:rsidR="00A63AD0">
        <w:rPr>
          <w:rFonts w:ascii="Arial" w:hAnsi="Arial" w:cs="Arial"/>
        </w:rPr>
        <w:t xml:space="preserve">, ya que </w:t>
      </w:r>
      <w:r w:rsidR="00A63AD0">
        <w:rPr>
          <w:rFonts w:ascii="Arial" w:hAnsi="Arial" w:cs="Arial"/>
        </w:rPr>
        <w:lastRenderedPageBreak/>
        <w:t xml:space="preserve">transcurrieron diez (10) </w:t>
      </w:r>
      <w:r w:rsidR="00333EFB">
        <w:rPr>
          <w:rFonts w:ascii="Arial" w:hAnsi="Arial" w:cs="Arial"/>
        </w:rPr>
        <w:t xml:space="preserve">meses </w:t>
      </w:r>
      <w:r w:rsidR="00A63AD0">
        <w:rPr>
          <w:rFonts w:ascii="Arial" w:hAnsi="Arial" w:cs="Arial"/>
        </w:rPr>
        <w:t xml:space="preserve">desde el día en que venció el plazo para presentar la </w:t>
      </w:r>
      <w:r>
        <w:rPr>
          <w:rFonts w:ascii="Arial" w:hAnsi="Arial" w:cs="Arial"/>
        </w:rPr>
        <w:t xml:space="preserve">oposición </w:t>
      </w:r>
      <w:r w:rsidR="00A63AD0">
        <w:rPr>
          <w:rFonts w:ascii="Arial" w:hAnsi="Arial" w:cs="Arial"/>
          <w:lang w:val="es-CO"/>
        </w:rPr>
        <w:t>(19-05-2015)</w:t>
      </w:r>
      <w:r w:rsidR="00A63AD0">
        <w:rPr>
          <w:rFonts w:ascii="Arial" w:hAnsi="Arial" w:cs="Arial"/>
        </w:rPr>
        <w:t>.</w:t>
      </w:r>
    </w:p>
    <w:p w:rsidR="00A63AD0" w:rsidRPr="00131F12" w:rsidRDefault="00A63AD0" w:rsidP="004107F0">
      <w:pPr>
        <w:spacing w:line="360" w:lineRule="auto"/>
        <w:jc w:val="both"/>
        <w:rPr>
          <w:rFonts w:ascii="Arial" w:hAnsi="Arial" w:cs="Arial"/>
          <w:sz w:val="22"/>
        </w:rPr>
      </w:pPr>
    </w:p>
    <w:p w:rsidR="00A63AD0" w:rsidRDefault="00A63AD0" w:rsidP="004107F0">
      <w:pPr>
        <w:spacing w:line="360" w:lineRule="auto"/>
        <w:jc w:val="both"/>
        <w:rPr>
          <w:rFonts w:ascii="Arial" w:hAnsi="Arial" w:cs="Arial"/>
        </w:rPr>
      </w:pPr>
      <w:r>
        <w:rPr>
          <w:rFonts w:ascii="Arial" w:hAnsi="Arial" w:cs="Arial"/>
        </w:rPr>
        <w:t xml:space="preserve">Es cierto que conforme a la doctrina, el juez de la causa debe tener flexibilidad en la aplicación de este principio, pero a ese </w:t>
      </w:r>
      <w:r>
        <w:rPr>
          <w:rFonts w:ascii="Arial" w:hAnsi="Arial" w:cs="Arial"/>
          <w:lang w:val="es-ES_tradnl"/>
        </w:rPr>
        <w:t xml:space="preserve">tenor, se debe </w:t>
      </w:r>
      <w:r w:rsidRPr="008B0539">
        <w:rPr>
          <w:rFonts w:ascii="Arial" w:hAnsi="Arial" w:cs="Arial"/>
        </w:rPr>
        <w:t>proba</w:t>
      </w:r>
      <w:r>
        <w:rPr>
          <w:rFonts w:ascii="Arial" w:hAnsi="Arial" w:cs="Arial"/>
        </w:rPr>
        <w:t>r</w:t>
      </w:r>
      <w:r w:rsidRPr="008B0539">
        <w:rPr>
          <w:rFonts w:ascii="Arial" w:hAnsi="Arial" w:cs="Arial"/>
        </w:rPr>
        <w:t xml:space="preserve"> </w:t>
      </w:r>
      <w:r>
        <w:rPr>
          <w:rFonts w:ascii="Arial" w:hAnsi="Arial" w:cs="Arial"/>
        </w:rPr>
        <w:t>o alegar</w:t>
      </w:r>
      <w:r w:rsidRPr="008B0539">
        <w:rPr>
          <w:rFonts w:ascii="Arial" w:hAnsi="Arial" w:cs="Arial"/>
        </w:rPr>
        <w:t>, que medi</w:t>
      </w:r>
      <w:r>
        <w:rPr>
          <w:rFonts w:ascii="Arial" w:hAnsi="Arial" w:cs="Arial"/>
        </w:rPr>
        <w:t>ó</w:t>
      </w:r>
      <w:r w:rsidRPr="008B0539">
        <w:rPr>
          <w:rFonts w:ascii="Arial" w:hAnsi="Arial" w:cs="Arial"/>
        </w:rPr>
        <w:t xml:space="preserve"> causa alguna de fuerza mayor o caso fortuito que impidiera </w:t>
      </w:r>
      <w:r>
        <w:rPr>
          <w:rFonts w:ascii="Arial" w:hAnsi="Arial" w:cs="Arial"/>
        </w:rPr>
        <w:t xml:space="preserve">al </w:t>
      </w:r>
      <w:r w:rsidRPr="008B0539">
        <w:rPr>
          <w:rFonts w:ascii="Arial" w:hAnsi="Arial" w:cs="Arial"/>
        </w:rPr>
        <w:t>actor gestionar</w:t>
      </w:r>
      <w:r>
        <w:rPr>
          <w:rFonts w:ascii="Arial" w:hAnsi="Arial" w:cs="Arial"/>
        </w:rPr>
        <w:t>,</w:t>
      </w:r>
      <w:r w:rsidRPr="008B0539">
        <w:rPr>
          <w:rFonts w:ascii="Arial" w:hAnsi="Arial" w:cs="Arial"/>
        </w:rPr>
        <w:t xml:space="preserve"> su defensa</w:t>
      </w:r>
      <w:r>
        <w:rPr>
          <w:rFonts w:ascii="Arial" w:hAnsi="Arial" w:cs="Arial"/>
        </w:rPr>
        <w:t xml:space="preserve"> a través de esta acción</w:t>
      </w:r>
      <w:r w:rsidRPr="008B0539">
        <w:rPr>
          <w:rFonts w:ascii="Arial" w:hAnsi="Arial" w:cs="Arial"/>
        </w:rPr>
        <w:t xml:space="preserve"> con mayor celeridad sin desconocer</w:t>
      </w:r>
      <w:r>
        <w:rPr>
          <w:rFonts w:ascii="Arial" w:hAnsi="Arial" w:cs="Arial"/>
        </w:rPr>
        <w:t xml:space="preserve"> la inmediatez</w:t>
      </w:r>
      <w:r>
        <w:rPr>
          <w:rStyle w:val="Refdenotaalpie"/>
          <w:rFonts w:ascii="Arial" w:hAnsi="Arial"/>
        </w:rPr>
        <w:footnoteReference w:id="34"/>
      </w:r>
      <w:r>
        <w:rPr>
          <w:rFonts w:ascii="Arial" w:hAnsi="Arial" w:cs="Arial"/>
        </w:rPr>
        <w:t>; circunstancias que no fueron expuestas ni probadas en el trámite.</w:t>
      </w:r>
    </w:p>
    <w:p w:rsidR="00A63AD0" w:rsidRPr="00131F12" w:rsidRDefault="00A63AD0" w:rsidP="004107F0">
      <w:pPr>
        <w:spacing w:line="360" w:lineRule="auto"/>
        <w:jc w:val="both"/>
        <w:rPr>
          <w:rFonts w:ascii="Arial" w:hAnsi="Arial" w:cs="Arial"/>
          <w:sz w:val="22"/>
        </w:rPr>
      </w:pPr>
    </w:p>
    <w:p w:rsidR="00E504F6" w:rsidRDefault="00E504F6" w:rsidP="004107F0">
      <w:pPr>
        <w:spacing w:line="360" w:lineRule="auto"/>
        <w:jc w:val="both"/>
        <w:rPr>
          <w:rFonts w:ascii="Arial" w:hAnsi="Arial" w:cs="Arial"/>
        </w:rPr>
      </w:pPr>
      <w:r>
        <w:rPr>
          <w:rFonts w:ascii="Arial" w:hAnsi="Arial" w:cs="Arial"/>
          <w:lang w:val="es-ES_tradnl"/>
        </w:rPr>
        <w:t xml:space="preserve">Acorde con lo expuesto, esta </w:t>
      </w:r>
      <w:r>
        <w:rPr>
          <w:rFonts w:ascii="Arial" w:hAnsi="Arial"/>
        </w:rPr>
        <w:t xml:space="preserve">acción </w:t>
      </w:r>
      <w:r w:rsidRPr="00486763">
        <w:rPr>
          <w:rFonts w:ascii="Arial" w:hAnsi="Arial"/>
        </w:rPr>
        <w:t xml:space="preserve">de tutela </w:t>
      </w:r>
      <w:r>
        <w:rPr>
          <w:rFonts w:ascii="Arial" w:hAnsi="Arial"/>
        </w:rPr>
        <w:t xml:space="preserve">es improcedente </w:t>
      </w:r>
      <w:r w:rsidR="00131F12">
        <w:rPr>
          <w:rFonts w:ascii="Arial" w:hAnsi="Arial"/>
        </w:rPr>
        <w:t xml:space="preserve">por la ausencia de legitimación para actuar en el accionante; y, en todo caso, porque también incumple </w:t>
      </w:r>
      <w:r>
        <w:rPr>
          <w:rFonts w:ascii="Arial" w:hAnsi="Arial"/>
        </w:rPr>
        <w:t xml:space="preserve">dos </w:t>
      </w:r>
      <w:r w:rsidRPr="00486763">
        <w:rPr>
          <w:rFonts w:ascii="Arial" w:hAnsi="Arial"/>
        </w:rPr>
        <w:t xml:space="preserve">de los </w:t>
      </w:r>
      <w:r>
        <w:rPr>
          <w:rFonts w:ascii="Arial" w:hAnsi="Arial"/>
        </w:rPr>
        <w:t>siete</w:t>
      </w:r>
      <w:r w:rsidRPr="00486763">
        <w:rPr>
          <w:rFonts w:ascii="Arial" w:hAnsi="Arial"/>
        </w:rPr>
        <w:t xml:space="preserve"> (</w:t>
      </w:r>
      <w:r>
        <w:rPr>
          <w:rFonts w:ascii="Arial" w:hAnsi="Arial"/>
        </w:rPr>
        <w:t>7</w:t>
      </w:r>
      <w:r w:rsidRPr="00486763">
        <w:rPr>
          <w:rFonts w:ascii="Arial" w:hAnsi="Arial"/>
        </w:rPr>
        <w:t xml:space="preserve">) requisitos generales de </w:t>
      </w:r>
      <w:proofErr w:type="spellStart"/>
      <w:r w:rsidRPr="00486763">
        <w:rPr>
          <w:rFonts w:ascii="Arial" w:hAnsi="Arial"/>
        </w:rPr>
        <w:t>procedibilidad</w:t>
      </w:r>
      <w:proofErr w:type="spellEnd"/>
      <w:r w:rsidR="00131F12">
        <w:rPr>
          <w:rFonts w:ascii="Arial" w:hAnsi="Arial"/>
        </w:rPr>
        <w:t xml:space="preserve"> frente a decisiones judiciales</w:t>
      </w:r>
      <w:r w:rsidRPr="00486763">
        <w:rPr>
          <w:rFonts w:ascii="Arial" w:hAnsi="Arial"/>
        </w:rPr>
        <w:t xml:space="preserve">, como lo </w:t>
      </w:r>
      <w:r>
        <w:rPr>
          <w:rFonts w:ascii="Arial" w:hAnsi="Arial"/>
        </w:rPr>
        <w:t xml:space="preserve">son el de la inmediatez y de </w:t>
      </w:r>
      <w:r w:rsidRPr="00486763">
        <w:rPr>
          <w:rFonts w:ascii="Arial" w:hAnsi="Arial"/>
        </w:rPr>
        <w:t xml:space="preserve">la subsidiariedad, </w:t>
      </w:r>
      <w:r>
        <w:rPr>
          <w:rFonts w:ascii="Arial" w:hAnsi="Arial"/>
        </w:rPr>
        <w:t xml:space="preserve">no </w:t>
      </w:r>
      <w:r>
        <w:rPr>
          <w:rFonts w:ascii="Arial" w:hAnsi="Arial" w:cs="Arial"/>
          <w:iCs/>
        </w:rPr>
        <w:t xml:space="preserve">formuló </w:t>
      </w:r>
      <w:r w:rsidRPr="00C9008E">
        <w:rPr>
          <w:rFonts w:ascii="Arial" w:hAnsi="Arial" w:cs="Arial"/>
          <w:iCs/>
        </w:rPr>
        <w:t xml:space="preserve">oportunamente </w:t>
      </w:r>
      <w:r>
        <w:rPr>
          <w:rFonts w:ascii="Arial" w:hAnsi="Arial" w:cs="Arial"/>
          <w:iCs/>
        </w:rPr>
        <w:t>el amparo y</w:t>
      </w:r>
      <w:r w:rsidRPr="00483001">
        <w:rPr>
          <w:rFonts w:ascii="Arial" w:hAnsi="Arial"/>
        </w:rPr>
        <w:t xml:space="preserve"> en el trámite </w:t>
      </w:r>
      <w:r>
        <w:rPr>
          <w:rFonts w:ascii="Arial" w:hAnsi="Arial"/>
        </w:rPr>
        <w:t>del proceso ejecutivo</w:t>
      </w:r>
      <w:r w:rsidRPr="00483001">
        <w:rPr>
          <w:rFonts w:ascii="Arial" w:hAnsi="Arial"/>
        </w:rPr>
        <w:t xml:space="preserve">, </w:t>
      </w:r>
      <w:r>
        <w:rPr>
          <w:rFonts w:ascii="Arial" w:hAnsi="Arial"/>
        </w:rPr>
        <w:t>no se opuso a la diligencia de secuestro</w:t>
      </w:r>
      <w:r w:rsidRPr="00954CAE">
        <w:rPr>
          <w:rFonts w:ascii="Arial" w:hAnsi="Arial"/>
        </w:rPr>
        <w:t xml:space="preserve">. </w:t>
      </w:r>
      <w:r w:rsidRPr="00954CAE">
        <w:rPr>
          <w:rFonts w:ascii="Arial" w:hAnsi="Arial" w:cs="Arial"/>
        </w:rPr>
        <w:t>Por lo tanto</w:t>
      </w:r>
      <w:r w:rsidRPr="00954CAE">
        <w:rPr>
          <w:rFonts w:ascii="Arial" w:hAnsi="Arial" w:cs="Arial"/>
          <w:lang w:val="es-CO"/>
        </w:rPr>
        <w:t>, se confirmará el fallo opugnado</w:t>
      </w:r>
      <w:r>
        <w:rPr>
          <w:rFonts w:ascii="Arial" w:hAnsi="Arial" w:cs="Arial"/>
          <w:lang w:val="es-CO"/>
        </w:rPr>
        <w:t>.</w:t>
      </w:r>
    </w:p>
    <w:p w:rsidR="00AC7177" w:rsidRPr="00AC7177" w:rsidRDefault="00AC7177" w:rsidP="00AC7177">
      <w:pPr>
        <w:spacing w:line="360" w:lineRule="auto"/>
        <w:jc w:val="both"/>
        <w:rPr>
          <w:rFonts w:ascii="Arial" w:hAnsi="Arial" w:cs="Arial"/>
          <w:sz w:val="22"/>
          <w:lang w:val="es-CO"/>
        </w:rPr>
      </w:pPr>
    </w:p>
    <w:p w:rsidR="002724B1" w:rsidRPr="00AC7177" w:rsidRDefault="002724B1" w:rsidP="00CE32AE">
      <w:pPr>
        <w:shd w:val="clear" w:color="auto" w:fill="FFFFFF"/>
        <w:spacing w:line="360" w:lineRule="auto"/>
        <w:jc w:val="both"/>
        <w:rPr>
          <w:rFonts w:ascii="Arial" w:hAnsi="Arial" w:cs="Arial"/>
          <w:color w:val="000000"/>
          <w:sz w:val="20"/>
          <w:lang w:val="es-CO" w:eastAsia="es-CO"/>
        </w:rPr>
      </w:pPr>
    </w:p>
    <w:p w:rsidR="00AC7177" w:rsidRPr="008A1328" w:rsidRDefault="00AC7177" w:rsidP="00AC7177">
      <w:pPr>
        <w:pStyle w:val="Textoindependiente"/>
        <w:numPr>
          <w:ilvl w:val="0"/>
          <w:numId w:val="20"/>
        </w:numPr>
        <w:spacing w:line="360" w:lineRule="auto"/>
        <w:ind w:left="851" w:right="567" w:hanging="851"/>
        <w:rPr>
          <w:rFonts w:ascii="Arial" w:hAnsi="Arial" w:cs="Arial"/>
          <w:sz w:val="24"/>
          <w:szCs w:val="24"/>
          <w:lang w:val="es-CO"/>
        </w:rPr>
      </w:pPr>
      <w:r>
        <w:rPr>
          <w:rFonts w:ascii="Arial" w:hAnsi="Arial" w:cs="Arial"/>
          <w:sz w:val="24"/>
          <w:szCs w:val="24"/>
          <w:lang w:val="es-CO"/>
        </w:rPr>
        <w:t xml:space="preserve">LAS </w:t>
      </w:r>
      <w:r w:rsidRPr="008A1328">
        <w:rPr>
          <w:rFonts w:ascii="Arial" w:hAnsi="Arial" w:cs="Arial"/>
          <w:sz w:val="24"/>
          <w:szCs w:val="24"/>
          <w:lang w:val="es-CO"/>
        </w:rPr>
        <w:t xml:space="preserve">CONCLUSIONES </w:t>
      </w:r>
    </w:p>
    <w:p w:rsidR="00AC7177" w:rsidRPr="00AC7177" w:rsidRDefault="00AC7177" w:rsidP="00AC7177">
      <w:pPr>
        <w:spacing w:line="360" w:lineRule="auto"/>
        <w:jc w:val="both"/>
        <w:rPr>
          <w:rFonts w:ascii="Arial" w:hAnsi="Arial" w:cs="Arial"/>
          <w:sz w:val="22"/>
          <w:lang w:val="es-CO"/>
        </w:rPr>
      </w:pPr>
    </w:p>
    <w:p w:rsidR="00AC7177" w:rsidRDefault="00AC7177" w:rsidP="00AC7177">
      <w:pPr>
        <w:spacing w:line="360" w:lineRule="auto"/>
        <w:jc w:val="both"/>
        <w:rPr>
          <w:rFonts w:ascii="Arial" w:hAnsi="Arial"/>
          <w:lang w:val="es-CO"/>
        </w:rPr>
      </w:pPr>
      <w:r>
        <w:rPr>
          <w:rFonts w:ascii="Arial" w:hAnsi="Arial"/>
          <w:lang w:val="es-CO"/>
        </w:rPr>
        <w:t>En armonía con lo discurrido se confirmará el fallo venido en impugnación.</w:t>
      </w:r>
    </w:p>
    <w:p w:rsidR="00AC7177" w:rsidRPr="00AC7177" w:rsidRDefault="00AC7177" w:rsidP="00AC7177">
      <w:pPr>
        <w:spacing w:line="360" w:lineRule="auto"/>
        <w:jc w:val="both"/>
        <w:rPr>
          <w:rFonts w:ascii="Arial" w:hAnsi="Arial" w:cs="Arial"/>
          <w:sz w:val="22"/>
          <w:lang w:val="es-CO"/>
        </w:rPr>
      </w:pPr>
    </w:p>
    <w:p w:rsidR="00AC7177" w:rsidRPr="008A1328" w:rsidRDefault="00AC7177" w:rsidP="00AC7177">
      <w:pPr>
        <w:spacing w:line="360" w:lineRule="auto"/>
        <w:jc w:val="both"/>
        <w:rPr>
          <w:rFonts w:ascii="Arial" w:hAnsi="Arial" w:cs="Arial"/>
        </w:rPr>
      </w:pPr>
      <w:r w:rsidRPr="008A1328">
        <w:rPr>
          <w:rFonts w:ascii="Arial" w:hAnsi="Arial" w:cs="Arial"/>
        </w:rPr>
        <w:t xml:space="preserve">En mérito de lo expuesto, el </w:t>
      </w:r>
      <w:r w:rsidRPr="008A1328">
        <w:rPr>
          <w:rFonts w:ascii="Arial" w:hAnsi="Arial" w:cs="Arial"/>
          <w:bCs/>
          <w:smallCaps/>
        </w:rPr>
        <w:t>Tribunal Superior del Distrito Judicial de Pereira, Sala de Decisión Civil -Familia</w:t>
      </w:r>
      <w:r w:rsidRPr="008A1328">
        <w:rPr>
          <w:rFonts w:ascii="Arial" w:hAnsi="Arial" w:cs="Arial"/>
        </w:rPr>
        <w:t>, administrando Justicia, en nombre de la República y por autoridad de la Ley,</w:t>
      </w:r>
    </w:p>
    <w:p w:rsidR="00AC7177" w:rsidRPr="00AC7177" w:rsidRDefault="00AC7177" w:rsidP="00AC717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sz w:val="2"/>
          <w:lang w:val="es-ES_tradnl"/>
        </w:rPr>
      </w:pPr>
    </w:p>
    <w:p w:rsidR="00AC7177" w:rsidRDefault="00AC7177" w:rsidP="00AC717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lang w:val="es-ES_tradnl"/>
        </w:rPr>
      </w:pPr>
      <w:r w:rsidRPr="008A1328">
        <w:rPr>
          <w:rFonts w:ascii="Arial" w:hAnsi="Arial" w:cs="Arial"/>
          <w:bCs/>
          <w:smallCaps/>
          <w:spacing w:val="-3"/>
          <w:lang w:val="es-ES_tradnl"/>
        </w:rPr>
        <w:t xml:space="preserve">F A L </w:t>
      </w:r>
      <w:proofErr w:type="spellStart"/>
      <w:r w:rsidRPr="008A1328">
        <w:rPr>
          <w:rFonts w:ascii="Arial" w:hAnsi="Arial" w:cs="Arial"/>
          <w:bCs/>
          <w:smallCaps/>
          <w:spacing w:val="-3"/>
          <w:lang w:val="es-ES_tradnl"/>
        </w:rPr>
        <w:t>L</w:t>
      </w:r>
      <w:proofErr w:type="spellEnd"/>
      <w:r w:rsidRPr="008A1328">
        <w:rPr>
          <w:rFonts w:ascii="Arial" w:hAnsi="Arial" w:cs="Arial"/>
          <w:bCs/>
          <w:smallCaps/>
          <w:spacing w:val="-3"/>
          <w:lang w:val="es-ES_tradnl"/>
        </w:rPr>
        <w:t xml:space="preserve"> A,</w:t>
      </w:r>
    </w:p>
    <w:p w:rsidR="00AC7177" w:rsidRPr="008A1328" w:rsidRDefault="00AC7177" w:rsidP="00AC717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lang w:val="es-ES_tradnl"/>
        </w:rPr>
      </w:pPr>
    </w:p>
    <w:p w:rsidR="00AC7177" w:rsidRPr="002B7B47" w:rsidRDefault="00AC7177" w:rsidP="00AC7177">
      <w:pPr>
        <w:pStyle w:val="Prrafodelista"/>
        <w:numPr>
          <w:ilvl w:val="0"/>
          <w:numId w:val="28"/>
        </w:numPr>
        <w:tabs>
          <w:tab w:val="left" w:pos="0"/>
          <w:tab w:val="left" w:pos="142"/>
          <w:tab w:val="left" w:pos="4956"/>
          <w:tab w:val="left" w:pos="5664"/>
          <w:tab w:val="left" w:pos="6372"/>
          <w:tab w:val="left" w:pos="7080"/>
          <w:tab w:val="left" w:pos="7788"/>
          <w:tab w:val="left" w:pos="7920"/>
        </w:tabs>
        <w:suppressAutoHyphens/>
        <w:overflowPunct w:val="0"/>
        <w:spacing w:after="0" w:line="360" w:lineRule="auto"/>
        <w:jc w:val="both"/>
        <w:textAlignment w:val="baseline"/>
        <w:rPr>
          <w:rFonts w:ascii="Arial" w:hAnsi="Arial"/>
          <w:spacing w:val="-3"/>
          <w:sz w:val="24"/>
          <w:szCs w:val="24"/>
          <w:lang w:val="es-ES_tradnl"/>
        </w:rPr>
      </w:pPr>
      <w:r w:rsidRPr="00D23CD1">
        <w:rPr>
          <w:rFonts w:ascii="Arial" w:hAnsi="Arial"/>
          <w:spacing w:val="-3"/>
          <w:sz w:val="24"/>
          <w:szCs w:val="24"/>
          <w:lang w:val="es-ES_tradnl"/>
        </w:rPr>
        <w:t xml:space="preserve">CONFIRMAR la sentencia del día </w:t>
      </w:r>
      <w:r w:rsidR="00333EFB">
        <w:rPr>
          <w:rFonts w:ascii="Arial" w:hAnsi="Arial"/>
          <w:spacing w:val="-3"/>
          <w:sz w:val="24"/>
          <w:szCs w:val="24"/>
          <w:lang w:val="es-ES_tradnl"/>
        </w:rPr>
        <w:t>18-03-2016</w:t>
      </w:r>
      <w:r w:rsidRPr="00D23CD1">
        <w:rPr>
          <w:rFonts w:ascii="Arial" w:hAnsi="Arial"/>
          <w:spacing w:val="-3"/>
          <w:sz w:val="24"/>
          <w:szCs w:val="24"/>
          <w:lang w:val="es-ES_tradnl"/>
        </w:rPr>
        <w:t xml:space="preserve"> proferida por el Juzgado </w:t>
      </w:r>
      <w:r>
        <w:rPr>
          <w:rFonts w:ascii="Arial" w:hAnsi="Arial"/>
          <w:spacing w:val="-3"/>
          <w:sz w:val="24"/>
          <w:szCs w:val="24"/>
          <w:lang w:val="es-ES_tradnl"/>
        </w:rPr>
        <w:t xml:space="preserve">Civil del Circuito </w:t>
      </w:r>
      <w:r w:rsidR="00333EFB">
        <w:rPr>
          <w:rFonts w:ascii="Arial" w:hAnsi="Arial"/>
          <w:spacing w:val="-3"/>
          <w:sz w:val="24"/>
          <w:szCs w:val="24"/>
          <w:lang w:val="es-ES_tradnl"/>
        </w:rPr>
        <w:t>Santa Rosa de Cabal</w:t>
      </w:r>
      <w:r w:rsidRPr="00D23CD1">
        <w:rPr>
          <w:rFonts w:ascii="Arial" w:hAnsi="Arial"/>
          <w:sz w:val="24"/>
          <w:szCs w:val="24"/>
        </w:rPr>
        <w:t>.</w:t>
      </w:r>
    </w:p>
    <w:p w:rsidR="002B7B47" w:rsidRPr="002821E1" w:rsidRDefault="002B7B47" w:rsidP="002B7B47">
      <w:pPr>
        <w:pStyle w:val="Prrafodelista"/>
        <w:tabs>
          <w:tab w:val="left" w:pos="0"/>
          <w:tab w:val="left" w:pos="142"/>
          <w:tab w:val="left" w:pos="4956"/>
          <w:tab w:val="left" w:pos="5664"/>
          <w:tab w:val="left" w:pos="6372"/>
          <w:tab w:val="left" w:pos="7080"/>
          <w:tab w:val="left" w:pos="7788"/>
          <w:tab w:val="left" w:pos="7920"/>
        </w:tabs>
        <w:suppressAutoHyphens/>
        <w:overflowPunct w:val="0"/>
        <w:spacing w:after="0" w:line="360" w:lineRule="auto"/>
        <w:ind w:left="360"/>
        <w:jc w:val="both"/>
        <w:textAlignment w:val="baseline"/>
        <w:rPr>
          <w:rFonts w:ascii="Arial" w:hAnsi="Arial"/>
          <w:spacing w:val="-3"/>
          <w:sz w:val="24"/>
          <w:szCs w:val="24"/>
          <w:lang w:val="es-ES_tradnl"/>
        </w:rPr>
      </w:pPr>
    </w:p>
    <w:p w:rsidR="00AC7177" w:rsidRPr="008A1328" w:rsidRDefault="00AC7177" w:rsidP="00AC7177">
      <w:pPr>
        <w:pStyle w:val="Textoindependiente"/>
        <w:numPr>
          <w:ilvl w:val="0"/>
          <w:numId w:val="28"/>
        </w:numPr>
        <w:tabs>
          <w:tab w:val="clear" w:pos="360"/>
          <w:tab w:val="clear" w:pos="708"/>
          <w:tab w:val="clear" w:pos="1416"/>
          <w:tab w:val="left" w:pos="426"/>
          <w:tab w:val="num" w:pos="720"/>
        </w:tabs>
        <w:spacing w:line="360" w:lineRule="auto"/>
        <w:rPr>
          <w:rFonts w:ascii="Arial" w:hAnsi="Arial" w:cs="Arial"/>
          <w:sz w:val="24"/>
          <w:szCs w:val="24"/>
        </w:rPr>
      </w:pPr>
      <w:r w:rsidRPr="008A1328">
        <w:rPr>
          <w:rFonts w:ascii="Arial" w:hAnsi="Arial" w:cs="Arial"/>
          <w:sz w:val="24"/>
          <w:szCs w:val="24"/>
        </w:rPr>
        <w:t>NOTIFICAR esta decisión a todas las partes, por el medio más expedito y eficaz.</w:t>
      </w:r>
    </w:p>
    <w:p w:rsidR="00AC7177" w:rsidRPr="006A6927" w:rsidRDefault="00AC7177" w:rsidP="00AC7177">
      <w:pPr>
        <w:pStyle w:val="Prrafodelista"/>
        <w:spacing w:after="0" w:line="360" w:lineRule="auto"/>
        <w:ind w:left="360"/>
        <w:rPr>
          <w:rFonts w:ascii="Arial" w:hAnsi="Arial" w:cs="Arial"/>
          <w:sz w:val="24"/>
          <w:szCs w:val="24"/>
        </w:rPr>
      </w:pPr>
    </w:p>
    <w:p w:rsidR="00AC7177" w:rsidRPr="00CE32AE" w:rsidRDefault="00AC7177" w:rsidP="00AC7177">
      <w:pPr>
        <w:pStyle w:val="Textoindependiente"/>
        <w:numPr>
          <w:ilvl w:val="0"/>
          <w:numId w:val="28"/>
        </w:numPr>
        <w:tabs>
          <w:tab w:val="clear" w:pos="360"/>
          <w:tab w:val="clear" w:pos="708"/>
          <w:tab w:val="clear" w:pos="1416"/>
          <w:tab w:val="left" w:pos="426"/>
          <w:tab w:val="num" w:pos="720"/>
        </w:tabs>
        <w:spacing w:line="360" w:lineRule="auto"/>
        <w:rPr>
          <w:rFonts w:ascii="Arial" w:hAnsi="Arial" w:cs="Arial"/>
          <w:sz w:val="24"/>
          <w:szCs w:val="24"/>
        </w:rPr>
      </w:pPr>
      <w:r w:rsidRPr="008A1328">
        <w:rPr>
          <w:rFonts w:ascii="Arial" w:hAnsi="Arial" w:cs="Arial"/>
          <w:sz w:val="24"/>
          <w:szCs w:val="24"/>
        </w:rPr>
        <w:t>REMITIR el expediente a la Corte Constitucional para su eventual revisión.</w:t>
      </w:r>
    </w:p>
    <w:p w:rsidR="00D4466B" w:rsidRPr="00131F12" w:rsidRDefault="00D4466B" w:rsidP="00CE32AE">
      <w:pPr>
        <w:pStyle w:val="Textoindependiente"/>
        <w:tabs>
          <w:tab w:val="clear" w:pos="708"/>
          <w:tab w:val="clear" w:pos="1416"/>
          <w:tab w:val="left" w:pos="426"/>
        </w:tabs>
        <w:spacing w:line="360" w:lineRule="auto"/>
        <w:ind w:left="426"/>
        <w:rPr>
          <w:rFonts w:ascii="Arial" w:hAnsi="Arial"/>
          <w:sz w:val="2"/>
          <w:szCs w:val="24"/>
        </w:rPr>
      </w:pPr>
    </w:p>
    <w:p w:rsidR="003913E3" w:rsidRDefault="003913E3" w:rsidP="00F839CE">
      <w:pPr>
        <w:pStyle w:val="Textoindependiente"/>
        <w:spacing w:line="360" w:lineRule="auto"/>
        <w:jc w:val="center"/>
        <w:rPr>
          <w:rFonts w:ascii="Arial" w:hAnsi="Arial" w:cs="Arial"/>
          <w:smallCaps/>
          <w:sz w:val="24"/>
          <w:szCs w:val="24"/>
          <w:lang w:val="en-US"/>
        </w:rPr>
      </w:pPr>
      <w:proofErr w:type="spellStart"/>
      <w:r w:rsidRPr="008A1328">
        <w:rPr>
          <w:rFonts w:ascii="Arial" w:hAnsi="Arial" w:cs="Arial"/>
          <w:smallCaps/>
          <w:sz w:val="24"/>
          <w:szCs w:val="24"/>
          <w:lang w:val="en-US"/>
        </w:rPr>
        <w:t>Notifíquese</w:t>
      </w:r>
      <w:proofErr w:type="spellEnd"/>
      <w:r w:rsidRPr="008A1328">
        <w:rPr>
          <w:rFonts w:ascii="Arial" w:hAnsi="Arial" w:cs="Arial"/>
          <w:smallCaps/>
          <w:sz w:val="24"/>
          <w:szCs w:val="24"/>
          <w:lang w:val="en-US"/>
        </w:rPr>
        <w:t>,</w:t>
      </w:r>
    </w:p>
    <w:p w:rsidR="00C2274B" w:rsidRPr="002724B1" w:rsidRDefault="00C2274B"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16"/>
          <w:lang w:val="en-GB"/>
        </w:rPr>
      </w:pPr>
    </w:p>
    <w:p w:rsidR="00C2274B" w:rsidRPr="00984F39" w:rsidRDefault="00C2274B"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sz w:val="16"/>
        </w:rPr>
      </w:pPr>
    </w:p>
    <w:p w:rsidR="004736F9" w:rsidRPr="00131F12" w:rsidRDefault="004736F9"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2"/>
          <w:lang w:val="en-GB"/>
        </w:rPr>
      </w:pPr>
    </w:p>
    <w:p w:rsidR="0017096D"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s-CO"/>
        </w:rPr>
      </w:pPr>
      <w:r>
        <w:rPr>
          <w:rFonts w:ascii="Arial" w:hAnsi="Arial" w:cs="Arial"/>
          <w:spacing w:val="-3"/>
          <w:w w:val="150"/>
          <w:sz w:val="32"/>
          <w:szCs w:val="18"/>
          <w:lang w:val="es-CO"/>
        </w:rPr>
        <w:t>D</w:t>
      </w:r>
      <w:r>
        <w:rPr>
          <w:rFonts w:ascii="Arial" w:hAnsi="Arial" w:cs="Arial"/>
          <w:spacing w:val="-3"/>
          <w:w w:val="150"/>
          <w:sz w:val="18"/>
          <w:szCs w:val="18"/>
          <w:lang w:val="es-CO"/>
        </w:rPr>
        <w:t xml:space="preserve">UBERNEY </w:t>
      </w:r>
      <w:r>
        <w:rPr>
          <w:rFonts w:ascii="Arial" w:hAnsi="Arial" w:cs="Arial"/>
          <w:spacing w:val="-3"/>
          <w:w w:val="150"/>
          <w:sz w:val="28"/>
          <w:szCs w:val="18"/>
          <w:lang w:val="es-CO"/>
        </w:rPr>
        <w:t>G</w:t>
      </w:r>
      <w:r>
        <w:rPr>
          <w:rFonts w:ascii="Arial" w:hAnsi="Arial" w:cs="Arial"/>
          <w:spacing w:val="-3"/>
          <w:w w:val="150"/>
          <w:sz w:val="18"/>
          <w:szCs w:val="18"/>
          <w:lang w:val="es-CO"/>
        </w:rPr>
        <w:t xml:space="preserve">RISALES </w:t>
      </w:r>
      <w:r>
        <w:rPr>
          <w:rFonts w:ascii="Arial" w:hAnsi="Arial" w:cs="Arial"/>
          <w:spacing w:val="-3"/>
          <w:w w:val="150"/>
          <w:sz w:val="28"/>
          <w:szCs w:val="18"/>
          <w:lang w:val="es-CO"/>
        </w:rPr>
        <w:t>H</w:t>
      </w:r>
      <w:r>
        <w:rPr>
          <w:rFonts w:ascii="Arial" w:hAnsi="Arial" w:cs="Arial"/>
          <w:spacing w:val="-3"/>
          <w:w w:val="150"/>
          <w:sz w:val="18"/>
          <w:szCs w:val="18"/>
          <w:lang w:val="es-CO"/>
        </w:rPr>
        <w:t>ERRERA</w:t>
      </w:r>
    </w:p>
    <w:p w:rsidR="0017096D"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6"/>
          <w:szCs w:val="20"/>
          <w:lang w:val="es-CO"/>
        </w:rPr>
      </w:pPr>
      <w:r>
        <w:rPr>
          <w:rFonts w:ascii="Arial" w:hAnsi="Arial" w:cs="Arial"/>
          <w:spacing w:val="-3"/>
          <w:w w:val="150"/>
          <w:sz w:val="32"/>
          <w:lang w:val="es-CO"/>
        </w:rPr>
        <w:t>M</w:t>
      </w:r>
      <w:r>
        <w:rPr>
          <w:rFonts w:ascii="Arial" w:hAnsi="Arial" w:cs="Arial"/>
          <w:spacing w:val="-3"/>
          <w:w w:val="150"/>
          <w:sz w:val="16"/>
          <w:lang w:val="es-CO"/>
        </w:rPr>
        <w:t xml:space="preserve"> </w:t>
      </w:r>
      <w:r>
        <w:rPr>
          <w:rFonts w:ascii="Arial" w:hAnsi="Arial" w:cs="Arial"/>
          <w:spacing w:val="-3"/>
          <w:w w:val="150"/>
          <w:sz w:val="18"/>
          <w:szCs w:val="20"/>
          <w:lang w:val="es-CO"/>
        </w:rPr>
        <w:t>A G I S T R A D O</w:t>
      </w:r>
    </w:p>
    <w:p w:rsidR="0017096D" w:rsidRPr="002724B1"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6"/>
          <w:szCs w:val="18"/>
          <w:lang w:val="es-ES_tradnl"/>
        </w:rPr>
      </w:pPr>
    </w:p>
    <w:p w:rsidR="00131F12" w:rsidRDefault="00131F12"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6"/>
          <w:szCs w:val="18"/>
          <w:lang w:val="es-ES_tradnl"/>
        </w:rPr>
      </w:pPr>
      <w:bookmarkStart w:id="0" w:name="_GoBack"/>
      <w:bookmarkEnd w:id="0"/>
    </w:p>
    <w:p w:rsidR="00131F12" w:rsidRPr="002724B1" w:rsidRDefault="00131F12"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6"/>
          <w:szCs w:val="18"/>
          <w:lang w:val="es-ES_tradnl"/>
        </w:rPr>
      </w:pPr>
    </w:p>
    <w:p w:rsidR="0017096D" w:rsidRPr="002724B1"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6"/>
          <w:szCs w:val="18"/>
          <w:lang w:val="es-ES_tradnl"/>
        </w:rPr>
      </w:pPr>
    </w:p>
    <w:p w:rsidR="0017096D"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s-ES_tradnl"/>
        </w:rPr>
      </w:pPr>
      <w:proofErr w:type="spellStart"/>
      <w:r>
        <w:rPr>
          <w:rFonts w:ascii="Arial" w:hAnsi="Arial"/>
          <w:w w:val="150"/>
          <w:sz w:val="28"/>
          <w:szCs w:val="18"/>
          <w:lang w:val="es-ES_tradnl"/>
        </w:rPr>
        <w:t>E</w:t>
      </w:r>
      <w:r>
        <w:rPr>
          <w:rFonts w:ascii="Arial" w:hAnsi="Arial"/>
          <w:w w:val="150"/>
          <w:sz w:val="18"/>
          <w:szCs w:val="18"/>
          <w:lang w:val="es-ES_tradnl"/>
        </w:rPr>
        <w:t>DDER</w:t>
      </w:r>
      <w:proofErr w:type="spellEnd"/>
      <w:r>
        <w:rPr>
          <w:rFonts w:ascii="Arial" w:hAnsi="Arial"/>
          <w:w w:val="150"/>
          <w:sz w:val="18"/>
          <w:lang w:val="es-ES_tradnl"/>
        </w:rPr>
        <w:t xml:space="preserve"> </w:t>
      </w:r>
      <w:r>
        <w:rPr>
          <w:rFonts w:ascii="Arial" w:hAnsi="Arial"/>
          <w:w w:val="150"/>
          <w:sz w:val="28"/>
          <w:lang w:val="es-ES_tradnl"/>
        </w:rPr>
        <w:t>J</w:t>
      </w:r>
      <w:r>
        <w:rPr>
          <w:rFonts w:ascii="Arial" w:hAnsi="Arial"/>
          <w:w w:val="150"/>
          <w:sz w:val="18"/>
          <w:szCs w:val="18"/>
          <w:lang w:val="es-ES_tradnl"/>
        </w:rPr>
        <w:t xml:space="preserve">IMMY </w:t>
      </w:r>
      <w:r>
        <w:rPr>
          <w:rFonts w:ascii="Arial" w:hAnsi="Arial"/>
          <w:w w:val="150"/>
          <w:sz w:val="28"/>
          <w:lang w:val="es-ES_tradnl"/>
        </w:rPr>
        <w:t>S</w:t>
      </w:r>
      <w:r>
        <w:rPr>
          <w:rFonts w:ascii="Arial" w:hAnsi="Arial"/>
          <w:w w:val="150"/>
          <w:sz w:val="18"/>
          <w:szCs w:val="18"/>
          <w:lang w:val="es-ES_tradnl"/>
        </w:rPr>
        <w:t xml:space="preserve">ÁNCHEZ </w:t>
      </w:r>
      <w:r>
        <w:rPr>
          <w:rFonts w:ascii="Arial" w:hAnsi="Arial"/>
          <w:w w:val="150"/>
          <w:sz w:val="28"/>
          <w:szCs w:val="18"/>
          <w:lang w:val="es-ES_tradnl"/>
        </w:rPr>
        <w:t>C.</w:t>
      </w:r>
      <w:r>
        <w:rPr>
          <w:rFonts w:ascii="Arial" w:hAnsi="Arial"/>
          <w:w w:val="150"/>
          <w:sz w:val="28"/>
          <w:szCs w:val="18"/>
          <w:lang w:val="es-ES_tradnl"/>
        </w:rPr>
        <w:tab/>
      </w:r>
      <w:r>
        <w:rPr>
          <w:rFonts w:ascii="Arial" w:hAnsi="Arial"/>
          <w:w w:val="150"/>
          <w:sz w:val="28"/>
          <w:szCs w:val="18"/>
          <w:lang w:val="es-ES_tradnl"/>
        </w:rPr>
        <w:tab/>
      </w:r>
      <w:r>
        <w:rPr>
          <w:rFonts w:ascii="Arial" w:hAnsi="Arial" w:cs="Arial"/>
          <w:spacing w:val="-3"/>
          <w:w w:val="150"/>
          <w:sz w:val="28"/>
          <w:szCs w:val="18"/>
        </w:rPr>
        <w:t>J</w:t>
      </w:r>
      <w:r>
        <w:rPr>
          <w:rFonts w:ascii="Arial" w:hAnsi="Arial" w:cs="Arial"/>
          <w:spacing w:val="-3"/>
          <w:w w:val="150"/>
          <w:sz w:val="18"/>
          <w:szCs w:val="18"/>
        </w:rPr>
        <w:t xml:space="preserve">AIME </w:t>
      </w:r>
      <w:r>
        <w:rPr>
          <w:rFonts w:ascii="Arial" w:hAnsi="Arial" w:cs="Arial"/>
          <w:spacing w:val="-3"/>
          <w:w w:val="150"/>
          <w:sz w:val="28"/>
          <w:szCs w:val="18"/>
        </w:rPr>
        <w:t>A</w:t>
      </w:r>
      <w:r>
        <w:rPr>
          <w:rFonts w:ascii="Arial" w:hAnsi="Arial"/>
          <w:w w:val="150"/>
          <w:sz w:val="18"/>
          <w:szCs w:val="18"/>
        </w:rPr>
        <w:t xml:space="preserve">LBERTO </w:t>
      </w:r>
      <w:r>
        <w:rPr>
          <w:rFonts w:ascii="Arial" w:hAnsi="Arial" w:cs="Arial"/>
          <w:spacing w:val="-3"/>
          <w:w w:val="150"/>
          <w:sz w:val="28"/>
          <w:szCs w:val="18"/>
        </w:rPr>
        <w:t>S</w:t>
      </w:r>
      <w:r>
        <w:rPr>
          <w:rFonts w:ascii="Arial" w:hAnsi="Arial" w:cs="Arial"/>
          <w:spacing w:val="-3"/>
          <w:w w:val="150"/>
          <w:sz w:val="18"/>
          <w:szCs w:val="16"/>
        </w:rPr>
        <w:t xml:space="preserve">ARAZA </w:t>
      </w:r>
      <w:r>
        <w:rPr>
          <w:rFonts w:ascii="Arial" w:hAnsi="Arial" w:cs="Arial"/>
          <w:spacing w:val="-3"/>
          <w:w w:val="150"/>
          <w:sz w:val="28"/>
          <w:szCs w:val="18"/>
        </w:rPr>
        <w:t>N.</w:t>
      </w:r>
    </w:p>
    <w:p w:rsidR="00BD5831" w:rsidRDefault="0017096D" w:rsidP="00BD583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w w:val="150"/>
          <w:sz w:val="18"/>
          <w:lang w:val="en-GB"/>
        </w:rPr>
      </w:pPr>
      <w:r>
        <w:rPr>
          <w:rFonts w:ascii="Arial" w:hAnsi="Arial" w:cs="Arial"/>
          <w:w w:val="150"/>
          <w:sz w:val="28"/>
          <w:lang w:val="en-GB"/>
        </w:rPr>
        <w:t>M</w:t>
      </w:r>
      <w:r>
        <w:rPr>
          <w:rFonts w:ascii="Arial" w:hAnsi="Arial" w:cs="Arial"/>
          <w:w w:val="150"/>
          <w:sz w:val="18"/>
          <w:lang w:val="en-GB"/>
        </w:rPr>
        <w:t xml:space="preserve"> A G I S T R A D O </w:t>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28"/>
          <w:lang w:val="en-GB"/>
        </w:rPr>
        <w:t>M</w:t>
      </w:r>
      <w:r>
        <w:rPr>
          <w:rFonts w:ascii="Arial" w:hAnsi="Arial" w:cs="Arial"/>
          <w:w w:val="150"/>
          <w:sz w:val="18"/>
          <w:lang w:val="en-GB"/>
        </w:rPr>
        <w:t xml:space="preserve"> A G I S T R A D O</w:t>
      </w:r>
      <w:r w:rsidR="00BD5831">
        <w:rPr>
          <w:rFonts w:ascii="Arial" w:hAnsi="Arial" w:cs="Arial"/>
          <w:w w:val="150"/>
          <w:sz w:val="18"/>
          <w:lang w:val="en-GB"/>
        </w:rPr>
        <w:t xml:space="preserve">  </w:t>
      </w:r>
    </w:p>
    <w:p w:rsidR="00AC7177" w:rsidRDefault="00BD5831" w:rsidP="00BD583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w w:val="150"/>
          <w:sz w:val="16"/>
        </w:rPr>
      </w:pPr>
      <w:r>
        <w:rPr>
          <w:rFonts w:ascii="Arial" w:hAnsi="Arial" w:cs="Arial"/>
          <w:i/>
          <w:w w:val="150"/>
          <w:sz w:val="16"/>
        </w:rPr>
        <w:tab/>
      </w:r>
      <w:r>
        <w:rPr>
          <w:rFonts w:ascii="Arial" w:hAnsi="Arial" w:cs="Arial"/>
          <w:i/>
          <w:w w:val="150"/>
          <w:sz w:val="16"/>
        </w:rPr>
        <w:tab/>
      </w:r>
      <w:r>
        <w:rPr>
          <w:rFonts w:ascii="Arial" w:hAnsi="Arial" w:cs="Arial"/>
          <w:i/>
          <w:w w:val="150"/>
          <w:sz w:val="16"/>
        </w:rPr>
        <w:tab/>
      </w:r>
      <w:r>
        <w:rPr>
          <w:rFonts w:ascii="Arial" w:hAnsi="Arial" w:cs="Arial"/>
          <w:i/>
          <w:w w:val="150"/>
          <w:sz w:val="16"/>
        </w:rPr>
        <w:tab/>
      </w:r>
      <w:r>
        <w:rPr>
          <w:rFonts w:ascii="Arial" w:hAnsi="Arial" w:cs="Arial"/>
          <w:i/>
          <w:w w:val="150"/>
          <w:sz w:val="16"/>
        </w:rPr>
        <w:tab/>
      </w:r>
      <w:r>
        <w:rPr>
          <w:rFonts w:ascii="Arial" w:hAnsi="Arial" w:cs="Arial"/>
          <w:i/>
          <w:w w:val="150"/>
          <w:sz w:val="16"/>
        </w:rPr>
        <w:tab/>
      </w:r>
      <w:r>
        <w:rPr>
          <w:rFonts w:ascii="Arial" w:hAnsi="Arial" w:cs="Arial"/>
          <w:i/>
          <w:w w:val="150"/>
          <w:sz w:val="16"/>
        </w:rPr>
        <w:tab/>
      </w:r>
      <w:r>
        <w:rPr>
          <w:rFonts w:ascii="Arial" w:hAnsi="Arial" w:cs="Arial"/>
          <w:i/>
          <w:w w:val="150"/>
          <w:sz w:val="16"/>
        </w:rPr>
        <w:tab/>
        <w:t xml:space="preserve">     </w:t>
      </w:r>
    </w:p>
    <w:p w:rsidR="00350057" w:rsidRPr="00BD5831" w:rsidRDefault="00AC7177" w:rsidP="00BD583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mallCaps/>
          <w:sz w:val="22"/>
          <w:lang w:val="en-US"/>
        </w:rPr>
      </w:pPr>
      <w:r>
        <w:rPr>
          <w:rFonts w:ascii="Arial" w:hAnsi="Arial" w:cs="Arial"/>
          <w:i/>
          <w:w w:val="150"/>
          <w:sz w:val="16"/>
        </w:rPr>
        <w:tab/>
      </w:r>
      <w:r>
        <w:rPr>
          <w:rFonts w:ascii="Arial" w:hAnsi="Arial" w:cs="Arial"/>
          <w:i/>
          <w:w w:val="150"/>
          <w:sz w:val="16"/>
        </w:rPr>
        <w:tab/>
      </w:r>
      <w:r>
        <w:rPr>
          <w:rFonts w:ascii="Arial" w:hAnsi="Arial" w:cs="Arial"/>
          <w:i/>
          <w:w w:val="150"/>
          <w:sz w:val="16"/>
        </w:rPr>
        <w:tab/>
      </w:r>
      <w:r>
        <w:rPr>
          <w:rFonts w:ascii="Arial" w:hAnsi="Arial" w:cs="Arial"/>
          <w:i/>
          <w:w w:val="150"/>
          <w:sz w:val="16"/>
        </w:rPr>
        <w:tab/>
      </w:r>
      <w:r>
        <w:rPr>
          <w:rFonts w:ascii="Arial" w:hAnsi="Arial" w:cs="Arial"/>
          <w:i/>
          <w:w w:val="150"/>
          <w:sz w:val="16"/>
        </w:rPr>
        <w:tab/>
      </w:r>
      <w:r>
        <w:rPr>
          <w:rFonts w:ascii="Arial" w:hAnsi="Arial" w:cs="Arial"/>
          <w:i/>
          <w:w w:val="150"/>
          <w:sz w:val="16"/>
        </w:rPr>
        <w:tab/>
      </w:r>
      <w:r>
        <w:rPr>
          <w:rFonts w:ascii="Arial" w:hAnsi="Arial" w:cs="Arial"/>
          <w:i/>
          <w:w w:val="150"/>
          <w:sz w:val="16"/>
        </w:rPr>
        <w:tab/>
      </w:r>
      <w:r>
        <w:rPr>
          <w:rFonts w:ascii="Arial" w:hAnsi="Arial" w:cs="Arial"/>
          <w:i/>
          <w:w w:val="150"/>
          <w:sz w:val="16"/>
        </w:rPr>
        <w:tab/>
      </w:r>
      <w:r>
        <w:rPr>
          <w:rFonts w:ascii="Arial" w:hAnsi="Arial" w:cs="Arial"/>
          <w:i/>
          <w:w w:val="150"/>
          <w:sz w:val="16"/>
        </w:rPr>
        <w:tab/>
      </w:r>
      <w:r>
        <w:rPr>
          <w:rFonts w:ascii="Arial" w:hAnsi="Arial" w:cs="Arial"/>
          <w:i/>
          <w:w w:val="150"/>
          <w:sz w:val="16"/>
        </w:rPr>
        <w:tab/>
      </w:r>
      <w:r>
        <w:rPr>
          <w:rFonts w:ascii="Arial" w:hAnsi="Arial" w:cs="Arial"/>
          <w:i/>
          <w:w w:val="150"/>
          <w:sz w:val="16"/>
        </w:rPr>
        <w:tab/>
      </w:r>
      <w:r>
        <w:rPr>
          <w:rFonts w:ascii="Arial" w:hAnsi="Arial" w:cs="Arial"/>
          <w:i/>
          <w:w w:val="150"/>
          <w:sz w:val="16"/>
        </w:rPr>
        <w:tab/>
      </w:r>
      <w:r>
        <w:rPr>
          <w:rFonts w:ascii="Arial" w:hAnsi="Arial" w:cs="Arial"/>
          <w:i/>
          <w:w w:val="150"/>
          <w:sz w:val="16"/>
        </w:rPr>
        <w:tab/>
      </w:r>
      <w:proofErr w:type="spellStart"/>
      <w:r w:rsidR="00BD5831">
        <w:rPr>
          <w:rFonts w:ascii="Arial" w:hAnsi="Arial" w:cs="Times New Roman"/>
          <w:i/>
          <w:smallCaps/>
          <w:spacing w:val="-3"/>
          <w:sz w:val="8"/>
          <w:szCs w:val="16"/>
          <w:lang w:val="en-US"/>
        </w:rPr>
        <w:t>DGH</w:t>
      </w:r>
      <w:proofErr w:type="spellEnd"/>
      <w:r w:rsidR="00BD5831">
        <w:rPr>
          <w:rFonts w:ascii="Arial" w:hAnsi="Arial" w:cs="Times New Roman"/>
          <w:i/>
          <w:smallCaps/>
          <w:spacing w:val="-3"/>
          <w:sz w:val="8"/>
          <w:szCs w:val="16"/>
          <w:lang w:val="en-US"/>
        </w:rPr>
        <w:t xml:space="preserve"> / </w:t>
      </w:r>
      <w:proofErr w:type="spellStart"/>
      <w:r w:rsidR="00BD5831">
        <w:rPr>
          <w:rFonts w:ascii="Arial" w:hAnsi="Arial" w:cs="Times New Roman"/>
          <w:i/>
          <w:smallCaps/>
          <w:spacing w:val="-3"/>
          <w:sz w:val="8"/>
          <w:szCs w:val="16"/>
          <w:lang w:val="en-US"/>
        </w:rPr>
        <w:t>ODCD</w:t>
      </w:r>
      <w:proofErr w:type="spellEnd"/>
      <w:r w:rsidR="00BD5831">
        <w:rPr>
          <w:rFonts w:ascii="Arial" w:hAnsi="Arial" w:cs="Times New Roman"/>
          <w:i/>
          <w:smallCaps/>
          <w:spacing w:val="-3"/>
          <w:sz w:val="8"/>
          <w:szCs w:val="16"/>
          <w:lang w:val="en-US"/>
        </w:rPr>
        <w:t xml:space="preserve"> / 2016</w:t>
      </w:r>
    </w:p>
    <w:sectPr w:rsidR="00350057" w:rsidRPr="00BD5831" w:rsidSect="00984F39">
      <w:headerReference w:type="even" r:id="rId9"/>
      <w:headerReference w:type="default" r:id="rId10"/>
      <w:footerReference w:type="even" r:id="rId11"/>
      <w:footerReference w:type="default" r:id="rId12"/>
      <w:headerReference w:type="first" r:id="rId13"/>
      <w:footerReference w:type="first" r:id="rId14"/>
      <w:pgSz w:w="12242" w:h="18722" w:code="121"/>
      <w:pgMar w:top="1418" w:right="1134" w:bottom="1134"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CE4" w:rsidRDefault="002C6CE4" w:rsidP="002F20AB">
      <w:r>
        <w:separator/>
      </w:r>
    </w:p>
  </w:endnote>
  <w:endnote w:type="continuationSeparator" w:id="0">
    <w:p w:rsidR="002C6CE4" w:rsidRDefault="002C6CE4"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Default="006508CF">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rsidR="006508CF" w:rsidRDefault="006508CF">
    <w:pPr>
      <w:pStyle w:val="Piedepgina"/>
      <w:ind w:right="360"/>
    </w:pPr>
  </w:p>
  <w:p w:rsidR="00A02133" w:rsidRDefault="00A0213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F839CE" w:rsidRDefault="006508CF" w:rsidP="00A67268">
    <w:pPr>
      <w:pStyle w:val="Piedepgina"/>
      <w:pBdr>
        <w:bottom w:val="double" w:sz="6" w:space="1" w:color="auto"/>
      </w:pBdr>
      <w:spacing w:line="360" w:lineRule="auto"/>
      <w:rPr>
        <w:rFonts w:ascii="Arial" w:hAnsi="Arial" w:cs="Arial"/>
        <w:spacing w:val="20"/>
        <w:w w:val="200"/>
        <w:sz w:val="14"/>
        <w:szCs w:val="10"/>
        <w:lang w:val="es-ES"/>
      </w:rPr>
    </w:pPr>
  </w:p>
  <w:p w:rsidR="006508CF" w:rsidRDefault="006508CF" w:rsidP="00751EE2">
    <w:pPr>
      <w:pStyle w:val="Piedepgina"/>
      <w:spacing w:line="360" w:lineRule="auto"/>
      <w:jc w:val="right"/>
      <w:rPr>
        <w:rFonts w:ascii="Arial" w:hAnsi="Arial" w:cs="Arial"/>
        <w:spacing w:val="20"/>
        <w:w w:val="200"/>
        <w:sz w:val="14"/>
        <w:szCs w:val="10"/>
      </w:rPr>
    </w:pPr>
  </w:p>
  <w:p w:rsidR="006508CF" w:rsidRPr="00C53999" w:rsidRDefault="006508CF" w:rsidP="00751EE2">
    <w:pPr>
      <w:pStyle w:val="Piedepgina"/>
      <w:spacing w:line="360" w:lineRule="auto"/>
      <w:jc w:val="right"/>
      <w:rPr>
        <w:rFonts w:ascii="Arial" w:hAnsi="Arial" w:cs="Arial"/>
        <w:spacing w:val="20"/>
        <w:w w:val="200"/>
        <w:sz w:val="10"/>
        <w:szCs w:val="10"/>
        <w:lang w:val="es-ES"/>
      </w:rPr>
    </w:pPr>
    <w:r w:rsidRPr="00C53999">
      <w:rPr>
        <w:rFonts w:ascii="Arial" w:hAnsi="Arial" w:cs="Arial"/>
        <w:spacing w:val="20"/>
        <w:w w:val="200"/>
        <w:sz w:val="14"/>
        <w:szCs w:val="10"/>
        <w:lang w:val="es-ES"/>
      </w:rPr>
      <w:t>T</w:t>
    </w:r>
    <w:r w:rsidRPr="00C53999">
      <w:rPr>
        <w:rFonts w:ascii="Arial" w:hAnsi="Arial" w:cs="Arial"/>
        <w:spacing w:val="20"/>
        <w:w w:val="200"/>
        <w:sz w:val="10"/>
        <w:szCs w:val="10"/>
        <w:lang w:val="es-ES"/>
      </w:rPr>
      <w:t xml:space="preserve">RIBUNAL </w:t>
    </w:r>
    <w:r w:rsidRPr="00C53999">
      <w:rPr>
        <w:rFonts w:ascii="Arial" w:hAnsi="Arial" w:cs="Arial"/>
        <w:spacing w:val="20"/>
        <w:w w:val="200"/>
        <w:sz w:val="14"/>
        <w:szCs w:val="10"/>
        <w:lang w:val="es-ES"/>
      </w:rPr>
      <w:t>S</w:t>
    </w:r>
    <w:r w:rsidRPr="00C53999">
      <w:rPr>
        <w:rFonts w:ascii="Arial" w:hAnsi="Arial" w:cs="Arial"/>
        <w:spacing w:val="20"/>
        <w:w w:val="200"/>
        <w:sz w:val="10"/>
        <w:szCs w:val="10"/>
        <w:lang w:val="es-ES"/>
      </w:rPr>
      <w:t xml:space="preserve">UPERIOR DE </w:t>
    </w:r>
    <w:r w:rsidRPr="00C53999">
      <w:rPr>
        <w:rFonts w:ascii="Arial" w:hAnsi="Arial" w:cs="Arial"/>
        <w:spacing w:val="20"/>
        <w:w w:val="200"/>
        <w:sz w:val="14"/>
        <w:szCs w:val="10"/>
        <w:lang w:val="es-ES"/>
      </w:rPr>
      <w:t>P</w:t>
    </w:r>
    <w:r w:rsidRPr="00C53999">
      <w:rPr>
        <w:rFonts w:ascii="Arial" w:hAnsi="Arial" w:cs="Arial"/>
        <w:spacing w:val="20"/>
        <w:w w:val="200"/>
        <w:sz w:val="10"/>
        <w:szCs w:val="10"/>
        <w:lang w:val="es-ES"/>
      </w:rPr>
      <w:t>EREIRA</w:t>
    </w:r>
  </w:p>
  <w:p w:rsidR="006508CF" w:rsidRPr="00C53999" w:rsidRDefault="006508CF" w:rsidP="00751EE2">
    <w:pPr>
      <w:pStyle w:val="Piedepgina"/>
      <w:jc w:val="right"/>
      <w:rPr>
        <w:lang w:val="es-ES"/>
      </w:rPr>
    </w:pPr>
    <w:proofErr w:type="spellStart"/>
    <w:r w:rsidRPr="00C53999">
      <w:rPr>
        <w:rFonts w:ascii="Arial" w:hAnsi="Arial" w:cs="Arial"/>
        <w:spacing w:val="20"/>
        <w:w w:val="200"/>
        <w:sz w:val="10"/>
        <w:szCs w:val="10"/>
        <w:lang w:val="es-ES"/>
      </w:rPr>
      <w:t>MP</w:t>
    </w:r>
    <w:proofErr w:type="spellEnd"/>
    <w:r w:rsidRPr="00C53999">
      <w:rPr>
        <w:rFonts w:ascii="Arial" w:hAnsi="Arial" w:cs="Arial"/>
        <w:spacing w:val="20"/>
        <w:w w:val="200"/>
        <w:sz w:val="10"/>
        <w:szCs w:val="10"/>
        <w:lang w:val="es-ES"/>
      </w:rPr>
      <w:t xml:space="preserve"> </w:t>
    </w:r>
    <w:r w:rsidRPr="00C53999">
      <w:rPr>
        <w:rFonts w:ascii="Arial" w:hAnsi="Arial" w:cs="Arial"/>
        <w:spacing w:val="20"/>
        <w:w w:val="200"/>
        <w:sz w:val="12"/>
        <w:szCs w:val="10"/>
        <w:lang w:val="es-ES"/>
      </w:rPr>
      <w:t>D</w:t>
    </w:r>
    <w:r w:rsidRPr="00C53999">
      <w:rPr>
        <w:rFonts w:ascii="Arial" w:hAnsi="Arial" w:cs="Arial"/>
        <w:spacing w:val="20"/>
        <w:w w:val="200"/>
        <w:sz w:val="8"/>
        <w:szCs w:val="10"/>
        <w:lang w:val="es-ES"/>
      </w:rPr>
      <w:t>UBERNEY</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G</w:t>
    </w:r>
    <w:r w:rsidRPr="00C53999">
      <w:rPr>
        <w:rFonts w:ascii="Arial" w:hAnsi="Arial" w:cs="Arial"/>
        <w:spacing w:val="20"/>
        <w:w w:val="200"/>
        <w:sz w:val="8"/>
        <w:szCs w:val="10"/>
        <w:lang w:val="es-ES"/>
      </w:rPr>
      <w:t>RISALES</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H</w:t>
    </w:r>
    <w:r w:rsidRPr="00C53999">
      <w:rPr>
        <w:rFonts w:ascii="Arial" w:hAnsi="Arial"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C53999" w:rsidRDefault="006508CF"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6508CF" w:rsidRPr="00213147" w:rsidRDefault="006508CF" w:rsidP="006E1629">
    <w:pPr>
      <w:pStyle w:val="Piedepgina"/>
      <w:jc w:val="center"/>
      <w:rPr>
        <w:rFonts w:ascii="Calibri" w:hAnsi="Calibri" w:cs="Calibri"/>
      </w:rPr>
    </w:pPr>
    <w:proofErr w:type="spellStart"/>
    <w:r w:rsidRPr="00213147">
      <w:rPr>
        <w:rFonts w:ascii="Calibri" w:hAnsi="Calibri" w:cs="Calibri"/>
        <w:smallCaps/>
        <w:spacing w:val="20"/>
        <w:w w:val="200"/>
        <w:position w:val="6"/>
        <w:sz w:val="8"/>
        <w:szCs w:val="8"/>
      </w:rPr>
      <w:t>MPDUBERNEY</w:t>
    </w:r>
    <w:proofErr w:type="spellEnd"/>
    <w:r w:rsidRPr="00213147">
      <w:rPr>
        <w:rFonts w:ascii="Calibri" w:hAnsi="Calibri" w:cs="Calibri"/>
        <w:smallCaps/>
        <w:spacing w:val="20"/>
        <w:w w:val="200"/>
        <w:position w:val="6"/>
        <w:sz w:val="8"/>
        <w:szCs w:val="8"/>
      </w:rPr>
      <w:t xml:space="preserve"> </w:t>
    </w:r>
    <w:proofErr w:type="spellStart"/>
    <w:r w:rsidRPr="00213147">
      <w:rPr>
        <w:rFonts w:ascii="Calibri" w:hAnsi="Calibri" w:cs="Calibri"/>
        <w:smallCaps/>
        <w:spacing w:val="20"/>
        <w:w w:val="200"/>
        <w:position w:val="6"/>
        <w:sz w:val="8"/>
        <w:szCs w:val="8"/>
      </w:rPr>
      <w:t>GRISALES</w:t>
    </w:r>
    <w:proofErr w:type="spellEnd"/>
    <w:r w:rsidRPr="00213147">
      <w:rPr>
        <w:rFonts w:ascii="Calibri" w:hAnsi="Calibri" w:cs="Calibri"/>
        <w:smallCaps/>
        <w:spacing w:val="20"/>
        <w:w w:val="200"/>
        <w:position w:val="6"/>
        <w:sz w:val="8"/>
        <w:szCs w:val="8"/>
      </w:rPr>
      <w:t xml:space="preserve">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CE4" w:rsidRDefault="002C6CE4" w:rsidP="002F20AB">
      <w:r>
        <w:separator/>
      </w:r>
    </w:p>
  </w:footnote>
  <w:footnote w:type="continuationSeparator" w:id="0">
    <w:p w:rsidR="002C6CE4" w:rsidRDefault="002C6CE4" w:rsidP="002F20AB">
      <w:r>
        <w:continuationSeparator/>
      </w:r>
    </w:p>
  </w:footnote>
  <w:footnote w:id="1">
    <w:p w:rsidR="00B72868" w:rsidRPr="00851B0C" w:rsidRDefault="00B72868" w:rsidP="00B72868">
      <w:pPr>
        <w:pStyle w:val="Textonotapie"/>
        <w:rPr>
          <w:rFonts w:ascii="Calibri" w:hAnsi="Calibri"/>
        </w:rPr>
      </w:pPr>
      <w:r w:rsidRPr="00851B0C">
        <w:rPr>
          <w:rStyle w:val="Refdenotaalpie"/>
          <w:rFonts w:ascii="Calibri" w:hAnsi="Calibri"/>
        </w:rPr>
        <w:footnoteRef/>
      </w:r>
      <w:r w:rsidRPr="00851B0C">
        <w:rPr>
          <w:rFonts w:ascii="Calibri" w:hAnsi="Calibri"/>
        </w:rPr>
        <w:t xml:space="preserve"> CORTE </w:t>
      </w:r>
      <w:proofErr w:type="spellStart"/>
      <w:r w:rsidRPr="00851B0C">
        <w:rPr>
          <w:rFonts w:ascii="Calibri" w:hAnsi="Calibri"/>
        </w:rPr>
        <w:t>CONSTITUCIONAL</w:t>
      </w:r>
      <w:proofErr w:type="spellEnd"/>
      <w:r>
        <w:rPr>
          <w:rFonts w:ascii="Calibri" w:hAnsi="Calibri"/>
        </w:rPr>
        <w:t xml:space="preserve">. </w:t>
      </w:r>
      <w:proofErr w:type="spellStart"/>
      <w:r w:rsidRPr="00851B0C">
        <w:rPr>
          <w:rFonts w:ascii="Calibri" w:hAnsi="Calibri"/>
        </w:rPr>
        <w:t>Sentencia</w:t>
      </w:r>
      <w:proofErr w:type="spellEnd"/>
      <w:r w:rsidRPr="00851B0C">
        <w:rPr>
          <w:rFonts w:ascii="Calibri" w:hAnsi="Calibri"/>
        </w:rPr>
        <w:t xml:space="preserve"> T-464 de 2013.</w:t>
      </w:r>
    </w:p>
  </w:footnote>
  <w:footnote w:id="2">
    <w:p w:rsidR="00B72868" w:rsidRPr="00851B0C" w:rsidRDefault="00B72868" w:rsidP="00B72868">
      <w:pPr>
        <w:pStyle w:val="Textonotapie"/>
        <w:rPr>
          <w:rFonts w:ascii="Calibri" w:hAnsi="Calibri"/>
        </w:rPr>
      </w:pPr>
      <w:r w:rsidRPr="00851B0C">
        <w:rPr>
          <w:rStyle w:val="Refdenotaalpie"/>
          <w:rFonts w:ascii="Calibri" w:hAnsi="Calibri"/>
        </w:rPr>
        <w:footnoteRef/>
      </w:r>
      <w:r w:rsidRPr="00851B0C">
        <w:rPr>
          <w:rFonts w:ascii="Calibri" w:hAnsi="Calibri"/>
        </w:rPr>
        <w:t xml:space="preserve"> </w:t>
      </w:r>
      <w:r>
        <w:rPr>
          <w:rFonts w:ascii="Calibri" w:hAnsi="Calibri"/>
        </w:rPr>
        <w:t xml:space="preserve">CORTE </w:t>
      </w:r>
      <w:proofErr w:type="spellStart"/>
      <w:r>
        <w:rPr>
          <w:rFonts w:ascii="Calibri" w:hAnsi="Calibri"/>
        </w:rPr>
        <w:t>CONSTITUCIONAL</w:t>
      </w:r>
      <w:proofErr w:type="spellEnd"/>
      <w:r>
        <w:rPr>
          <w:rFonts w:ascii="Calibri" w:hAnsi="Calibri"/>
        </w:rPr>
        <w:t xml:space="preserve">. </w:t>
      </w:r>
      <w:proofErr w:type="spellStart"/>
      <w:r>
        <w:rPr>
          <w:rFonts w:ascii="Calibri" w:hAnsi="Calibri"/>
        </w:rPr>
        <w:t>Sentencia</w:t>
      </w:r>
      <w:proofErr w:type="spellEnd"/>
      <w:r>
        <w:rPr>
          <w:rFonts w:ascii="Calibri" w:hAnsi="Calibri"/>
        </w:rPr>
        <w:t xml:space="preserve"> </w:t>
      </w:r>
      <w:r w:rsidRPr="00851B0C">
        <w:rPr>
          <w:rFonts w:ascii="Calibri" w:hAnsi="Calibri"/>
        </w:rPr>
        <w:t>T-928 de 2012.</w:t>
      </w:r>
    </w:p>
  </w:footnote>
  <w:footnote w:id="3">
    <w:p w:rsidR="00B72868" w:rsidRDefault="00B72868" w:rsidP="00B72868">
      <w:pPr>
        <w:pStyle w:val="Textonotapie"/>
      </w:pPr>
      <w:r>
        <w:rPr>
          <w:rStyle w:val="Refdenotaalpie"/>
        </w:rPr>
        <w:footnoteRef/>
      </w:r>
      <w:r>
        <w:t xml:space="preserve"> </w:t>
      </w:r>
      <w:r w:rsidRPr="00E71F9F">
        <w:rPr>
          <w:rFonts w:asciiTheme="minorHAnsi" w:hAnsiTheme="minorHAnsi"/>
        </w:rPr>
        <w:t xml:space="preserve">CORTE </w:t>
      </w:r>
      <w:proofErr w:type="spellStart"/>
      <w:r w:rsidRPr="00E71F9F">
        <w:rPr>
          <w:rFonts w:asciiTheme="minorHAnsi" w:hAnsiTheme="minorHAnsi"/>
        </w:rPr>
        <w:t>SUPREMA</w:t>
      </w:r>
      <w:proofErr w:type="spellEnd"/>
      <w:r w:rsidRPr="00E71F9F">
        <w:rPr>
          <w:rFonts w:asciiTheme="minorHAnsi" w:hAnsiTheme="minorHAnsi"/>
        </w:rPr>
        <w:t xml:space="preserve"> DE </w:t>
      </w:r>
      <w:proofErr w:type="spellStart"/>
      <w:r w:rsidRPr="00E71F9F">
        <w:rPr>
          <w:rFonts w:asciiTheme="minorHAnsi" w:hAnsiTheme="minorHAnsi"/>
        </w:rPr>
        <w:t>JUSTICIA</w:t>
      </w:r>
      <w:proofErr w:type="spellEnd"/>
      <w:r w:rsidRPr="00E71F9F">
        <w:rPr>
          <w:rFonts w:asciiTheme="minorHAnsi" w:hAnsiTheme="minorHAnsi"/>
        </w:rPr>
        <w:t xml:space="preserve">, </w:t>
      </w:r>
      <w:proofErr w:type="spellStart"/>
      <w:r w:rsidRPr="00E71F9F">
        <w:rPr>
          <w:rFonts w:asciiTheme="minorHAnsi" w:hAnsiTheme="minorHAnsi"/>
        </w:rPr>
        <w:t>Sala</w:t>
      </w:r>
      <w:proofErr w:type="spellEnd"/>
      <w:r w:rsidRPr="00E71F9F">
        <w:rPr>
          <w:rFonts w:asciiTheme="minorHAnsi" w:hAnsiTheme="minorHAnsi"/>
        </w:rPr>
        <w:t xml:space="preserve"> de </w:t>
      </w:r>
      <w:proofErr w:type="spellStart"/>
      <w:r w:rsidRPr="00E71F9F">
        <w:rPr>
          <w:rFonts w:asciiTheme="minorHAnsi" w:hAnsiTheme="minorHAnsi"/>
        </w:rPr>
        <w:t>Casación</w:t>
      </w:r>
      <w:proofErr w:type="spellEnd"/>
      <w:r w:rsidRPr="00E71F9F">
        <w:rPr>
          <w:rFonts w:asciiTheme="minorHAnsi" w:hAnsiTheme="minorHAnsi"/>
        </w:rPr>
        <w:t xml:space="preserve"> Civil. </w:t>
      </w:r>
      <w:proofErr w:type="spellStart"/>
      <w:r w:rsidRPr="00E71F9F">
        <w:rPr>
          <w:rFonts w:asciiTheme="minorHAnsi" w:hAnsiTheme="minorHAnsi"/>
        </w:rPr>
        <w:t>Sentencia</w:t>
      </w:r>
      <w:proofErr w:type="spellEnd"/>
      <w:r w:rsidRPr="00E71F9F">
        <w:rPr>
          <w:rFonts w:asciiTheme="minorHAnsi" w:hAnsiTheme="minorHAnsi"/>
        </w:rPr>
        <w:t xml:space="preserve"> </w:t>
      </w:r>
      <w:r w:rsidRPr="00746D14">
        <w:rPr>
          <w:rFonts w:asciiTheme="minorHAnsi" w:hAnsiTheme="minorHAnsi"/>
          <w:lang w:val="es-CO"/>
        </w:rPr>
        <w:t xml:space="preserve">CSJ </w:t>
      </w:r>
      <w:proofErr w:type="spellStart"/>
      <w:r w:rsidRPr="00746D14">
        <w:rPr>
          <w:rFonts w:asciiTheme="minorHAnsi" w:hAnsiTheme="minorHAnsi"/>
          <w:lang w:val="es-CO"/>
        </w:rPr>
        <w:t>STC</w:t>
      </w:r>
      <w:proofErr w:type="spellEnd"/>
      <w:r w:rsidRPr="00746D14">
        <w:rPr>
          <w:rFonts w:asciiTheme="minorHAnsi" w:hAnsiTheme="minorHAnsi"/>
          <w:lang w:val="es-CO"/>
        </w:rPr>
        <w:t>. 13 dic. 2011, Rad. 0028</w:t>
      </w:r>
      <w:r>
        <w:rPr>
          <w:rFonts w:asciiTheme="minorHAnsi" w:hAnsiTheme="minorHAnsi"/>
          <w:lang w:val="es-CO"/>
        </w:rPr>
        <w:t xml:space="preserve">4-02; reiterada en STC5313-2015, </w:t>
      </w:r>
      <w:r w:rsidRPr="00746D14">
        <w:rPr>
          <w:rFonts w:asciiTheme="minorHAnsi" w:hAnsiTheme="minorHAnsi"/>
          <w:lang w:val="es-CO"/>
        </w:rPr>
        <w:t>STC5520-2015</w:t>
      </w:r>
      <w:r>
        <w:rPr>
          <w:rFonts w:asciiTheme="minorHAnsi" w:hAnsiTheme="minorHAnsi"/>
          <w:lang w:val="es-CO"/>
        </w:rPr>
        <w:t xml:space="preserve">, </w:t>
      </w:r>
      <w:r w:rsidRPr="00E71F9F">
        <w:rPr>
          <w:rFonts w:asciiTheme="minorHAnsi" w:hAnsiTheme="minorHAnsi"/>
        </w:rPr>
        <w:t xml:space="preserve">STC2344-2016, entre </w:t>
      </w:r>
      <w:proofErr w:type="spellStart"/>
      <w:r w:rsidRPr="00E71F9F">
        <w:rPr>
          <w:rFonts w:asciiTheme="minorHAnsi" w:hAnsiTheme="minorHAnsi"/>
        </w:rPr>
        <w:t>otras</w:t>
      </w:r>
      <w:proofErr w:type="spellEnd"/>
      <w:r w:rsidRPr="00E71F9F">
        <w:rPr>
          <w:rFonts w:asciiTheme="minorHAnsi" w:hAnsiTheme="minorHAnsi"/>
        </w:rPr>
        <w:t>.</w:t>
      </w:r>
    </w:p>
  </w:footnote>
  <w:footnote w:id="4">
    <w:p w:rsidR="00067C0F" w:rsidRPr="00067C0F" w:rsidRDefault="00067C0F">
      <w:pPr>
        <w:pStyle w:val="Textonotapie"/>
        <w:rPr>
          <w:rFonts w:asciiTheme="minorHAnsi" w:hAnsiTheme="minorHAnsi"/>
          <w:lang w:val="es-ES"/>
        </w:rPr>
      </w:pPr>
      <w:r>
        <w:rPr>
          <w:rStyle w:val="Refdenotaalpie"/>
        </w:rPr>
        <w:footnoteRef/>
      </w:r>
      <w:r>
        <w:t xml:space="preserve"> </w:t>
      </w:r>
      <w:r w:rsidRPr="00E71F9F">
        <w:rPr>
          <w:rFonts w:asciiTheme="minorHAnsi" w:hAnsiTheme="minorHAnsi"/>
        </w:rPr>
        <w:t xml:space="preserve">CORTE </w:t>
      </w:r>
      <w:proofErr w:type="spellStart"/>
      <w:r w:rsidRPr="00E71F9F">
        <w:rPr>
          <w:rFonts w:asciiTheme="minorHAnsi" w:hAnsiTheme="minorHAnsi"/>
        </w:rPr>
        <w:t>SUPREMA</w:t>
      </w:r>
      <w:proofErr w:type="spellEnd"/>
      <w:r w:rsidRPr="00E71F9F">
        <w:rPr>
          <w:rFonts w:asciiTheme="minorHAnsi" w:hAnsiTheme="minorHAnsi"/>
        </w:rPr>
        <w:t xml:space="preserve"> DE </w:t>
      </w:r>
      <w:proofErr w:type="spellStart"/>
      <w:r w:rsidRPr="00E71F9F">
        <w:rPr>
          <w:rFonts w:asciiTheme="minorHAnsi" w:hAnsiTheme="minorHAnsi"/>
        </w:rPr>
        <w:t>JUSTICIA</w:t>
      </w:r>
      <w:proofErr w:type="spellEnd"/>
      <w:r w:rsidRPr="00E71F9F">
        <w:rPr>
          <w:rFonts w:asciiTheme="minorHAnsi" w:hAnsiTheme="minorHAnsi"/>
        </w:rPr>
        <w:t xml:space="preserve">, </w:t>
      </w:r>
      <w:proofErr w:type="spellStart"/>
      <w:r w:rsidRPr="00E71F9F">
        <w:rPr>
          <w:rFonts w:asciiTheme="minorHAnsi" w:hAnsiTheme="minorHAnsi"/>
        </w:rPr>
        <w:t>Sala</w:t>
      </w:r>
      <w:proofErr w:type="spellEnd"/>
      <w:r w:rsidRPr="00E71F9F">
        <w:rPr>
          <w:rFonts w:asciiTheme="minorHAnsi" w:hAnsiTheme="minorHAnsi"/>
        </w:rPr>
        <w:t xml:space="preserve"> de </w:t>
      </w:r>
      <w:proofErr w:type="spellStart"/>
      <w:r w:rsidRPr="00E71F9F">
        <w:rPr>
          <w:rFonts w:asciiTheme="minorHAnsi" w:hAnsiTheme="minorHAnsi"/>
        </w:rPr>
        <w:t>Casación</w:t>
      </w:r>
      <w:proofErr w:type="spellEnd"/>
      <w:r w:rsidRPr="00E71F9F">
        <w:rPr>
          <w:rFonts w:asciiTheme="minorHAnsi" w:hAnsiTheme="minorHAnsi"/>
        </w:rPr>
        <w:t xml:space="preserve"> Civil. </w:t>
      </w:r>
      <w:proofErr w:type="spellStart"/>
      <w:r w:rsidRPr="00E71F9F">
        <w:rPr>
          <w:rFonts w:asciiTheme="minorHAnsi" w:hAnsiTheme="minorHAnsi"/>
        </w:rPr>
        <w:t>Sentencia</w:t>
      </w:r>
      <w:proofErr w:type="spellEnd"/>
      <w:r w:rsidRPr="00E71F9F">
        <w:rPr>
          <w:rFonts w:asciiTheme="minorHAnsi" w:hAnsiTheme="minorHAnsi"/>
        </w:rPr>
        <w:t xml:space="preserve"> </w:t>
      </w:r>
      <w:r w:rsidRPr="00067C0F">
        <w:rPr>
          <w:rFonts w:asciiTheme="minorHAnsi" w:hAnsiTheme="minorHAnsi"/>
          <w:lang w:val="es-ES"/>
        </w:rPr>
        <w:t>STC15561-2015</w:t>
      </w:r>
      <w:r w:rsidRPr="00E71F9F">
        <w:rPr>
          <w:rFonts w:asciiTheme="minorHAnsi" w:hAnsiTheme="minorHAnsi"/>
        </w:rPr>
        <w:t>.</w:t>
      </w:r>
    </w:p>
  </w:footnote>
  <w:footnote w:id="5">
    <w:p w:rsidR="008D2CD7" w:rsidRPr="00E27425" w:rsidRDefault="008D2CD7" w:rsidP="008D2CD7">
      <w:pPr>
        <w:pStyle w:val="Textonotapie"/>
        <w:jc w:val="both"/>
        <w:rPr>
          <w:lang w:val="es-CO"/>
        </w:rPr>
      </w:pPr>
      <w:r w:rsidRPr="00E27425">
        <w:rPr>
          <w:rStyle w:val="Refdenotaalpie"/>
          <w:rFonts w:ascii="Calibri" w:hAnsi="Calibri" w:cs="Calibri"/>
          <w:lang w:val="es-CO"/>
        </w:rPr>
        <w:footnoteRef/>
      </w:r>
      <w:r w:rsidRPr="00E27425">
        <w:rPr>
          <w:rFonts w:ascii="Calibri" w:hAnsi="Calibri" w:cs="Calibri"/>
          <w:lang w:val="es-CO"/>
        </w:rPr>
        <w:t xml:space="preserve"> QUINCHE RAMÍREZ, Manuel Fernando. Vías de hecho, acción de tutela contra providencias, Editorial Temis </w:t>
      </w:r>
      <w:proofErr w:type="spellStart"/>
      <w:r w:rsidRPr="00E27425">
        <w:rPr>
          <w:rFonts w:ascii="Calibri" w:hAnsi="Calibri" w:cs="Calibri"/>
          <w:lang w:val="es-CO"/>
        </w:rPr>
        <w:t>SA</w:t>
      </w:r>
      <w:proofErr w:type="spellEnd"/>
      <w:r w:rsidRPr="00E27425">
        <w:rPr>
          <w:rFonts w:ascii="Calibri" w:hAnsi="Calibri" w:cs="Calibri"/>
          <w:lang w:val="es-CO"/>
        </w:rPr>
        <w:t>, Bogotá, 2013, p.103.</w:t>
      </w:r>
    </w:p>
  </w:footnote>
  <w:footnote w:id="6">
    <w:p w:rsidR="008D2CD7" w:rsidRPr="00E27425" w:rsidRDefault="008D2CD7" w:rsidP="008D2CD7">
      <w:pPr>
        <w:pStyle w:val="Textonotapie"/>
        <w:jc w:val="both"/>
        <w:rPr>
          <w:rFonts w:ascii="Calibri" w:hAnsi="Calibri"/>
          <w:lang w:val="es-CO"/>
        </w:rPr>
      </w:pPr>
      <w:r w:rsidRPr="00E27425">
        <w:rPr>
          <w:rStyle w:val="Refdenotaalpie"/>
          <w:rFonts w:ascii="Calibri" w:hAnsi="Calibri" w:cs="Calibri"/>
          <w:lang w:val="es-CO"/>
        </w:rPr>
        <w:footnoteRef/>
      </w:r>
      <w:r w:rsidRPr="00E27425">
        <w:rPr>
          <w:rFonts w:ascii="Calibri" w:hAnsi="Calibri" w:cs="Calibri"/>
          <w:lang w:val="es-CO"/>
        </w:rPr>
        <w:t xml:space="preserve"> CORTE CONSTITUCIONAL. Sentencia T-917 de 2011.</w:t>
      </w:r>
    </w:p>
  </w:footnote>
  <w:footnote w:id="7">
    <w:p w:rsidR="008D2CD7" w:rsidRPr="00E27425" w:rsidRDefault="008D2CD7" w:rsidP="008D2CD7">
      <w:pPr>
        <w:pStyle w:val="Textonotapie"/>
        <w:jc w:val="both"/>
        <w:rPr>
          <w:rFonts w:ascii="Calibri" w:hAnsi="Calibri"/>
          <w:lang w:val="es-CO"/>
        </w:rPr>
      </w:pPr>
      <w:r w:rsidRPr="00E27425">
        <w:rPr>
          <w:rStyle w:val="Refdenotaalpie"/>
          <w:rFonts w:ascii="Calibri" w:hAnsi="Calibri" w:cs="Calibri"/>
          <w:lang w:val="es-CO"/>
        </w:rPr>
        <w:footnoteRef/>
      </w:r>
      <w:r w:rsidRPr="00E27425">
        <w:rPr>
          <w:rFonts w:ascii="Calibri" w:hAnsi="Calibri" w:cs="Calibri"/>
          <w:lang w:val="es-CO"/>
        </w:rPr>
        <w:t xml:space="preserve"> CORTE CONSTITUCIONAL. Sentencia C-590 de 2005.</w:t>
      </w:r>
    </w:p>
  </w:footnote>
  <w:footnote w:id="8">
    <w:p w:rsidR="008D2CD7" w:rsidRPr="00E27425" w:rsidRDefault="008D2CD7" w:rsidP="008D2CD7">
      <w:pPr>
        <w:pStyle w:val="Textonotapie"/>
        <w:jc w:val="both"/>
        <w:rPr>
          <w:rFonts w:ascii="Calibri" w:hAnsi="Calibri"/>
          <w:lang w:val="es-CO"/>
        </w:rPr>
      </w:pPr>
      <w:r w:rsidRPr="00E27425">
        <w:rPr>
          <w:rStyle w:val="Refdenotaalpie"/>
          <w:rFonts w:ascii="Calibri" w:hAnsi="Calibri" w:cs="Calibri"/>
          <w:lang w:val="es-CO"/>
        </w:rPr>
        <w:footnoteRef/>
      </w:r>
      <w:r w:rsidRPr="00E27425">
        <w:rPr>
          <w:rFonts w:ascii="Calibri" w:hAnsi="Calibri" w:cs="Calibri"/>
          <w:lang w:val="es-CO"/>
        </w:rPr>
        <w:t xml:space="preserve"> CORTE CONSTITUCIONAL. Sentencia T-064 de 2015.</w:t>
      </w:r>
    </w:p>
  </w:footnote>
  <w:footnote w:id="9">
    <w:p w:rsidR="008D2CD7" w:rsidRPr="00E27425" w:rsidRDefault="008D2CD7" w:rsidP="00E27425">
      <w:pPr>
        <w:pStyle w:val="Textonotapie"/>
        <w:jc w:val="both"/>
        <w:rPr>
          <w:rFonts w:asciiTheme="minorHAnsi" w:hAnsiTheme="minorHAnsi"/>
          <w:lang w:val="es-CO"/>
        </w:rPr>
      </w:pPr>
      <w:r w:rsidRPr="00E27425">
        <w:rPr>
          <w:rStyle w:val="Refdenotaalpie"/>
          <w:rFonts w:asciiTheme="minorHAnsi" w:hAnsiTheme="minorHAnsi"/>
          <w:lang w:val="es-CO"/>
        </w:rPr>
        <w:footnoteRef/>
      </w:r>
      <w:r w:rsidRPr="00E27425">
        <w:rPr>
          <w:rFonts w:asciiTheme="minorHAnsi" w:hAnsiTheme="minorHAnsi"/>
          <w:lang w:val="es-CO"/>
        </w:rPr>
        <w:t xml:space="preserve"> </w:t>
      </w:r>
      <w:r w:rsidRPr="00E27425">
        <w:rPr>
          <w:rFonts w:asciiTheme="minorHAnsi" w:hAnsiTheme="minorHAnsi" w:cs="Calibri"/>
          <w:lang w:val="es-CO"/>
        </w:rPr>
        <w:t>CORTE CONSTITUCIONAL. Sentencia T-307 de 2015</w:t>
      </w:r>
    </w:p>
  </w:footnote>
  <w:footnote w:id="10">
    <w:p w:rsidR="008D2CD7" w:rsidRPr="00E27425" w:rsidRDefault="008D2CD7" w:rsidP="00E27425">
      <w:pPr>
        <w:pStyle w:val="Textonotapie"/>
        <w:jc w:val="both"/>
        <w:rPr>
          <w:rFonts w:asciiTheme="minorHAnsi" w:hAnsiTheme="minorHAnsi"/>
          <w:lang w:val="es-CO"/>
        </w:rPr>
      </w:pPr>
      <w:r w:rsidRPr="00E27425">
        <w:rPr>
          <w:rFonts w:asciiTheme="minorHAnsi" w:hAnsiTheme="minorHAnsi" w:cs="Calibri"/>
          <w:vertAlign w:val="superscript"/>
          <w:lang w:val="es-CO"/>
        </w:rPr>
        <w:footnoteRef/>
      </w:r>
      <w:r w:rsidRPr="00E27425">
        <w:rPr>
          <w:rFonts w:asciiTheme="minorHAnsi" w:hAnsiTheme="minorHAnsi" w:cs="Calibri"/>
          <w:lang w:val="es-CO"/>
        </w:rPr>
        <w:t xml:space="preserve"> ESCUELA JUDICIAL RODRIGO LARA BONILLA. La acción de tutela en el ordenamiento constitucional colombiano, Universidad Nacional de Colombia, Catalina Botero Marino, </w:t>
      </w:r>
      <w:proofErr w:type="spellStart"/>
      <w:r w:rsidRPr="00E27425">
        <w:rPr>
          <w:rFonts w:asciiTheme="minorHAnsi" w:hAnsiTheme="minorHAnsi" w:cs="Calibri"/>
          <w:lang w:val="es-CO"/>
        </w:rPr>
        <w:t>Ediprime</w:t>
      </w:r>
      <w:proofErr w:type="spellEnd"/>
      <w:r w:rsidRPr="00E27425">
        <w:rPr>
          <w:rFonts w:asciiTheme="minorHAnsi" w:hAnsiTheme="minorHAnsi" w:cs="Calibri"/>
          <w:lang w:val="es-CO"/>
        </w:rPr>
        <w:t xml:space="preserve"> Ltda., 2006, p.61-75.</w:t>
      </w:r>
    </w:p>
  </w:footnote>
  <w:footnote w:id="11">
    <w:p w:rsidR="008D2CD7" w:rsidRPr="00E27425" w:rsidRDefault="008D2CD7" w:rsidP="00E27425">
      <w:pPr>
        <w:pStyle w:val="Textonotapie"/>
        <w:jc w:val="both"/>
        <w:rPr>
          <w:rFonts w:asciiTheme="minorHAnsi" w:hAnsiTheme="minorHAnsi"/>
          <w:lang w:val="es-CO"/>
        </w:rPr>
      </w:pPr>
      <w:r w:rsidRPr="00E27425">
        <w:rPr>
          <w:rStyle w:val="Refdenotaalpie"/>
          <w:rFonts w:asciiTheme="minorHAnsi" w:hAnsiTheme="minorHAnsi" w:cs="Calibri"/>
          <w:lang w:val="es-CO"/>
        </w:rPr>
        <w:footnoteRef/>
      </w:r>
      <w:r w:rsidRPr="00E27425">
        <w:rPr>
          <w:rFonts w:asciiTheme="minorHAnsi" w:hAnsiTheme="minorHAnsi" w:cs="Calibri"/>
          <w:lang w:val="es-CO"/>
        </w:rPr>
        <w:t xml:space="preserve"> QUINCHE RAMÍREZ, Manuel Fernando. La acción de tutela, el amparo en Colombia, Bogotá DC, 2011, p.233-285.</w:t>
      </w:r>
    </w:p>
  </w:footnote>
  <w:footnote w:id="12">
    <w:p w:rsidR="00117D2E" w:rsidRPr="00E27425" w:rsidRDefault="00117D2E" w:rsidP="00E27425">
      <w:pPr>
        <w:pStyle w:val="Textonotapie"/>
        <w:jc w:val="both"/>
        <w:rPr>
          <w:rFonts w:asciiTheme="minorHAnsi" w:hAnsiTheme="minorHAnsi"/>
          <w:lang w:val="es-CO"/>
        </w:rPr>
      </w:pPr>
      <w:r w:rsidRPr="00E27425">
        <w:rPr>
          <w:rStyle w:val="Refdenotaalpie"/>
          <w:rFonts w:asciiTheme="minorHAnsi" w:hAnsiTheme="minorHAnsi" w:cs="Calibri"/>
          <w:lang w:val="es-CO"/>
        </w:rPr>
        <w:footnoteRef/>
      </w:r>
      <w:r w:rsidRPr="00E27425">
        <w:rPr>
          <w:rFonts w:asciiTheme="minorHAnsi" w:hAnsiTheme="minorHAnsi" w:cs="Calibri"/>
          <w:lang w:val="es-CO"/>
        </w:rPr>
        <w:t xml:space="preserve"> CORTE CONSTITUCIONAL.  Sentencia</w:t>
      </w:r>
      <w:r w:rsidR="00351422" w:rsidRPr="00E27425">
        <w:rPr>
          <w:rFonts w:asciiTheme="minorHAnsi" w:hAnsiTheme="minorHAnsi" w:cs="Calibri"/>
          <w:lang w:val="es-CO"/>
        </w:rPr>
        <w:t xml:space="preserve">s SU-961 de 1999, </w:t>
      </w:r>
      <w:r w:rsidRPr="00E27425">
        <w:rPr>
          <w:rFonts w:asciiTheme="minorHAnsi" w:hAnsiTheme="minorHAnsi" w:cs="Calibri"/>
          <w:lang w:val="es-CO"/>
        </w:rPr>
        <w:t>T-890 de</w:t>
      </w:r>
      <w:r w:rsidR="00351422" w:rsidRPr="00E27425">
        <w:rPr>
          <w:rFonts w:asciiTheme="minorHAnsi" w:hAnsiTheme="minorHAnsi" w:cs="Calibri"/>
          <w:lang w:val="es-CO"/>
        </w:rPr>
        <w:t xml:space="preserve"> </w:t>
      </w:r>
      <w:r w:rsidRPr="00E27425">
        <w:rPr>
          <w:rFonts w:asciiTheme="minorHAnsi" w:hAnsiTheme="minorHAnsi" w:cs="Calibri"/>
          <w:lang w:val="es-CO"/>
        </w:rPr>
        <w:t>2006</w:t>
      </w:r>
      <w:r w:rsidR="00351422" w:rsidRPr="00E27425">
        <w:rPr>
          <w:rFonts w:asciiTheme="minorHAnsi" w:hAnsiTheme="minorHAnsi" w:cs="Calibri"/>
          <w:lang w:val="es-CO"/>
        </w:rPr>
        <w:t>, T-548 de 2011, T-172 de 2013</w:t>
      </w:r>
      <w:r w:rsidRPr="00E27425">
        <w:rPr>
          <w:rFonts w:asciiTheme="minorHAnsi" w:hAnsiTheme="minorHAnsi" w:cs="Calibri"/>
          <w:lang w:val="es-CO"/>
        </w:rPr>
        <w:t>.</w:t>
      </w:r>
    </w:p>
  </w:footnote>
  <w:footnote w:id="13">
    <w:p w:rsidR="00117D2E" w:rsidRPr="00E27425" w:rsidRDefault="00117D2E" w:rsidP="00E27425">
      <w:pPr>
        <w:pStyle w:val="Textonotapie"/>
        <w:jc w:val="both"/>
        <w:rPr>
          <w:rFonts w:asciiTheme="minorHAnsi" w:hAnsiTheme="minorHAnsi"/>
          <w:lang w:val="es-CO"/>
        </w:rPr>
      </w:pPr>
      <w:r w:rsidRPr="00E27425">
        <w:rPr>
          <w:rStyle w:val="Refdenotaalpie"/>
          <w:rFonts w:asciiTheme="minorHAnsi" w:hAnsiTheme="minorHAnsi" w:cs="Calibri"/>
          <w:lang w:val="es-CO"/>
        </w:rPr>
        <w:footnoteRef/>
      </w:r>
      <w:r w:rsidRPr="00E27425">
        <w:rPr>
          <w:rFonts w:asciiTheme="minorHAnsi" w:hAnsiTheme="minorHAnsi" w:cs="Calibri"/>
          <w:lang w:val="es-CO"/>
        </w:rPr>
        <w:t xml:space="preserve"> CORTE SUPREMA DE JUSTICIA, Sala de Casación Civil. Sentencia del 09-03-2011.</w:t>
      </w:r>
    </w:p>
  </w:footnote>
  <w:footnote w:id="14">
    <w:p w:rsidR="00117D2E" w:rsidRPr="00E27425" w:rsidRDefault="00117D2E" w:rsidP="00E27425">
      <w:pPr>
        <w:pStyle w:val="Textonotapie"/>
        <w:jc w:val="both"/>
        <w:rPr>
          <w:rFonts w:asciiTheme="minorHAnsi" w:hAnsiTheme="minorHAnsi"/>
          <w:lang w:val="es-CO"/>
        </w:rPr>
      </w:pPr>
      <w:r w:rsidRPr="00E27425">
        <w:rPr>
          <w:rStyle w:val="Refdenotaalpie"/>
          <w:rFonts w:asciiTheme="minorHAnsi" w:hAnsiTheme="minorHAnsi" w:cs="Calibri"/>
          <w:lang w:val="es-CO"/>
        </w:rPr>
        <w:footnoteRef/>
      </w:r>
      <w:r w:rsidRPr="00E27425">
        <w:rPr>
          <w:rFonts w:asciiTheme="minorHAnsi" w:hAnsiTheme="minorHAnsi" w:cs="Calibri"/>
          <w:lang w:val="es-CO"/>
        </w:rPr>
        <w:t xml:space="preserve"> CORTE CONSTITUCIONAL.  Sentencia T-1079 del 05-11-2008.</w:t>
      </w:r>
    </w:p>
  </w:footnote>
  <w:footnote w:id="15">
    <w:p w:rsidR="00E27425" w:rsidRPr="00E27425" w:rsidRDefault="00E27425" w:rsidP="00E27425">
      <w:pPr>
        <w:pStyle w:val="Textonotapie"/>
        <w:jc w:val="both"/>
        <w:rPr>
          <w:rFonts w:asciiTheme="minorHAnsi" w:hAnsiTheme="minorHAnsi"/>
          <w:lang w:val="es-CO"/>
        </w:rPr>
      </w:pPr>
      <w:r w:rsidRPr="00E27425">
        <w:rPr>
          <w:rStyle w:val="Refdenotaalpie"/>
          <w:rFonts w:asciiTheme="minorHAnsi" w:hAnsiTheme="minorHAnsi"/>
          <w:lang w:val="es-CO"/>
        </w:rPr>
        <w:footnoteRef/>
      </w:r>
      <w:r w:rsidRPr="00E27425">
        <w:rPr>
          <w:rFonts w:asciiTheme="minorHAnsi" w:hAnsiTheme="minorHAnsi"/>
          <w:lang w:val="es-CO"/>
        </w:rPr>
        <w:t xml:space="preserve"> CORTE SUPREMA DE JUSTICIA, Sala de Casación Penal – Sala de decisión de tutelas No.3. Sentencia del 11-03-2014, </w:t>
      </w:r>
      <w:proofErr w:type="spellStart"/>
      <w:r w:rsidRPr="00E27425">
        <w:rPr>
          <w:rFonts w:asciiTheme="minorHAnsi" w:hAnsiTheme="minorHAnsi"/>
          <w:lang w:val="es-CO"/>
        </w:rPr>
        <w:t>MP</w:t>
      </w:r>
      <w:proofErr w:type="spellEnd"/>
      <w:r w:rsidRPr="00E27425">
        <w:rPr>
          <w:rFonts w:asciiTheme="minorHAnsi" w:hAnsiTheme="minorHAnsi"/>
          <w:lang w:val="es-CO"/>
        </w:rPr>
        <w:t xml:space="preserve">. Eugenio Fernández </w:t>
      </w:r>
      <w:proofErr w:type="spellStart"/>
      <w:r w:rsidRPr="00E27425">
        <w:rPr>
          <w:rFonts w:asciiTheme="minorHAnsi" w:hAnsiTheme="minorHAnsi"/>
          <w:lang w:val="es-CO"/>
        </w:rPr>
        <w:t>Carlier</w:t>
      </w:r>
      <w:proofErr w:type="spellEnd"/>
      <w:r w:rsidRPr="00E27425">
        <w:rPr>
          <w:rFonts w:asciiTheme="minorHAnsi" w:hAnsiTheme="minorHAnsi"/>
          <w:lang w:val="es-CO"/>
        </w:rPr>
        <w:t>.</w:t>
      </w:r>
    </w:p>
  </w:footnote>
  <w:footnote w:id="16">
    <w:p w:rsidR="00E27425" w:rsidRPr="00E27425" w:rsidRDefault="00E27425" w:rsidP="00E27425">
      <w:pPr>
        <w:pStyle w:val="Textonotapie"/>
        <w:jc w:val="both"/>
        <w:rPr>
          <w:rFonts w:asciiTheme="minorHAnsi" w:hAnsiTheme="minorHAnsi"/>
          <w:b/>
          <w:lang w:val="es-CO"/>
        </w:rPr>
      </w:pPr>
      <w:r w:rsidRPr="00E27425">
        <w:rPr>
          <w:rStyle w:val="Refdenotaalpie"/>
          <w:rFonts w:asciiTheme="minorHAnsi" w:hAnsiTheme="minorHAnsi"/>
          <w:lang w:val="es-CO"/>
        </w:rPr>
        <w:footnoteRef/>
      </w:r>
      <w:r w:rsidRPr="00E27425">
        <w:rPr>
          <w:rFonts w:asciiTheme="minorHAnsi" w:hAnsiTheme="minorHAnsi"/>
          <w:lang w:val="es-CO"/>
        </w:rPr>
        <w:t xml:space="preserve"> CORTE SUPREMA DE JUSTICIA, Sala de Casación Civil. Sentencia </w:t>
      </w:r>
      <w:r w:rsidRPr="00E27425">
        <w:rPr>
          <w:rFonts w:asciiTheme="minorHAnsi" w:hAnsiTheme="minorHAnsi"/>
          <w:iCs/>
          <w:lang w:val="es-CO"/>
        </w:rPr>
        <w:t>del 29-04-2009, exp.00624-00, reiterada en la sentencia STC7438-2015.</w:t>
      </w:r>
    </w:p>
  </w:footnote>
  <w:footnote w:id="17">
    <w:p w:rsidR="00117D2E" w:rsidRPr="00E27425" w:rsidRDefault="00117D2E" w:rsidP="00117D2E">
      <w:pPr>
        <w:pStyle w:val="Textonotapie"/>
        <w:jc w:val="both"/>
        <w:rPr>
          <w:rFonts w:asciiTheme="minorHAnsi" w:hAnsiTheme="minorHAnsi"/>
          <w:lang w:val="es-CO"/>
        </w:rPr>
      </w:pPr>
      <w:r w:rsidRPr="00E27425">
        <w:rPr>
          <w:rStyle w:val="Refdenotaalpie"/>
          <w:rFonts w:asciiTheme="minorHAnsi" w:hAnsiTheme="minorHAnsi" w:cs="Calibri"/>
          <w:lang w:val="es-CO"/>
        </w:rPr>
        <w:footnoteRef/>
      </w:r>
      <w:r w:rsidRPr="00E27425">
        <w:rPr>
          <w:rFonts w:asciiTheme="minorHAnsi" w:hAnsiTheme="minorHAnsi" w:cs="Calibri"/>
          <w:lang w:val="es-CO"/>
        </w:rPr>
        <w:t xml:space="preserve"> CORTE CONSTITUCIONAL. Sentencia T-016 del 25-01-2006.</w:t>
      </w:r>
    </w:p>
  </w:footnote>
  <w:footnote w:id="18">
    <w:p w:rsidR="00117D2E" w:rsidRPr="00E27425" w:rsidRDefault="00117D2E" w:rsidP="00117D2E">
      <w:pPr>
        <w:pStyle w:val="Textonotapie"/>
        <w:jc w:val="both"/>
        <w:rPr>
          <w:rFonts w:asciiTheme="minorHAnsi" w:hAnsiTheme="minorHAnsi"/>
          <w:lang w:val="es-CO"/>
        </w:rPr>
      </w:pPr>
      <w:r w:rsidRPr="00E27425">
        <w:rPr>
          <w:rStyle w:val="Refdenotaalpie"/>
          <w:rFonts w:asciiTheme="minorHAnsi" w:hAnsiTheme="minorHAnsi" w:cs="Calibri"/>
          <w:lang w:val="es-CO"/>
        </w:rPr>
        <w:footnoteRef/>
      </w:r>
      <w:r w:rsidRPr="00E27425">
        <w:rPr>
          <w:rFonts w:asciiTheme="minorHAnsi" w:hAnsiTheme="minorHAnsi" w:cs="Calibri"/>
          <w:lang w:val="es-CO"/>
        </w:rPr>
        <w:t xml:space="preserve"> CORTE CONSTITUCIONAL. Sentencia T-684 del 08-08-2003.</w:t>
      </w:r>
    </w:p>
  </w:footnote>
  <w:footnote w:id="19">
    <w:p w:rsidR="00117D2E" w:rsidRPr="00E27425" w:rsidRDefault="00117D2E" w:rsidP="00117D2E">
      <w:pPr>
        <w:pStyle w:val="Textonotapie"/>
        <w:jc w:val="both"/>
        <w:rPr>
          <w:rFonts w:asciiTheme="minorHAnsi" w:hAnsiTheme="minorHAnsi"/>
          <w:lang w:val="es-CO"/>
        </w:rPr>
      </w:pPr>
      <w:r w:rsidRPr="00E27425">
        <w:rPr>
          <w:rStyle w:val="Refdenotaalpie"/>
          <w:rFonts w:asciiTheme="minorHAnsi" w:hAnsiTheme="minorHAnsi" w:cs="Calibri"/>
          <w:lang w:val="es-CO"/>
        </w:rPr>
        <w:footnoteRef/>
      </w:r>
      <w:r w:rsidRPr="00E27425">
        <w:rPr>
          <w:rFonts w:asciiTheme="minorHAnsi" w:hAnsiTheme="minorHAnsi" w:cs="Calibri"/>
          <w:lang w:val="es-CO"/>
        </w:rPr>
        <w:t xml:space="preserve"> QUINCHE RAMÍREZ, Manuel Fernando. La acción de tutela, el amparo en Colombia, Temis, Bogotá DC, 2011, p.105-106.</w:t>
      </w:r>
    </w:p>
  </w:footnote>
  <w:footnote w:id="20">
    <w:p w:rsidR="00117D2E" w:rsidRPr="00E27425" w:rsidRDefault="00117D2E" w:rsidP="00117D2E">
      <w:pPr>
        <w:pStyle w:val="Textonotapie"/>
        <w:rPr>
          <w:rFonts w:asciiTheme="minorHAnsi" w:hAnsiTheme="minorHAnsi"/>
          <w:lang w:val="es-CO"/>
        </w:rPr>
      </w:pPr>
      <w:r w:rsidRPr="00E27425">
        <w:rPr>
          <w:rStyle w:val="Refdenotaalpie"/>
          <w:rFonts w:asciiTheme="minorHAnsi" w:hAnsiTheme="minorHAnsi" w:cs="Calibri"/>
          <w:lang w:val="es-CO"/>
        </w:rPr>
        <w:footnoteRef/>
      </w:r>
      <w:r w:rsidRPr="00E27425">
        <w:rPr>
          <w:rFonts w:asciiTheme="minorHAnsi" w:hAnsiTheme="minorHAnsi" w:cs="Calibri"/>
          <w:lang w:val="es-CO"/>
        </w:rPr>
        <w:t xml:space="preserve"> CORTE CONSTITUCIONAL. Sentencia T-2</w:t>
      </w:r>
      <w:r w:rsidR="007E1963" w:rsidRPr="00E27425">
        <w:rPr>
          <w:rFonts w:asciiTheme="minorHAnsi" w:hAnsiTheme="minorHAnsi" w:cs="Calibri"/>
          <w:lang w:val="es-CO"/>
        </w:rPr>
        <w:t>07</w:t>
      </w:r>
      <w:r w:rsidRPr="00E27425">
        <w:rPr>
          <w:rFonts w:asciiTheme="minorHAnsi" w:hAnsiTheme="minorHAnsi" w:cs="Calibri"/>
          <w:lang w:val="es-CO"/>
        </w:rPr>
        <w:t xml:space="preserve"> del </w:t>
      </w:r>
      <w:r w:rsidR="007E1963" w:rsidRPr="00E27425">
        <w:rPr>
          <w:rFonts w:asciiTheme="minorHAnsi" w:hAnsiTheme="minorHAnsi" w:cs="Calibri"/>
          <w:lang w:val="es-CO"/>
        </w:rPr>
        <w:t>20</w:t>
      </w:r>
      <w:r w:rsidRPr="00E27425">
        <w:rPr>
          <w:rFonts w:asciiTheme="minorHAnsi" w:hAnsiTheme="minorHAnsi" w:cs="Calibri"/>
          <w:lang w:val="es-CO"/>
        </w:rPr>
        <w:t>-04-201</w:t>
      </w:r>
      <w:r w:rsidR="007E1963" w:rsidRPr="00E27425">
        <w:rPr>
          <w:rFonts w:asciiTheme="minorHAnsi" w:hAnsiTheme="minorHAnsi" w:cs="Calibri"/>
          <w:lang w:val="es-CO"/>
        </w:rPr>
        <w:t>5</w:t>
      </w:r>
      <w:r w:rsidRPr="00E27425">
        <w:rPr>
          <w:rFonts w:asciiTheme="minorHAnsi" w:hAnsiTheme="minorHAnsi" w:cs="Calibri"/>
          <w:lang w:val="es-CO"/>
        </w:rPr>
        <w:t>.</w:t>
      </w:r>
    </w:p>
  </w:footnote>
  <w:footnote w:id="21">
    <w:p w:rsidR="00471BA7" w:rsidRDefault="00471BA7" w:rsidP="00471BA7">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 xml:space="preserve">CORTE </w:t>
      </w:r>
      <w:proofErr w:type="spellStart"/>
      <w:r w:rsidRPr="0088104A">
        <w:rPr>
          <w:rFonts w:asciiTheme="minorHAnsi" w:hAnsiTheme="minorHAnsi" w:cs="Calibri"/>
        </w:rPr>
        <w:t>CONSTITUCIONAL</w:t>
      </w:r>
      <w:proofErr w:type="spellEnd"/>
      <w:r w:rsidRPr="0088104A">
        <w:rPr>
          <w:rFonts w:asciiTheme="minorHAnsi" w:hAnsiTheme="minorHAnsi" w:cs="Calibri"/>
        </w:rPr>
        <w:t xml:space="preserve">. </w:t>
      </w:r>
      <w:proofErr w:type="spellStart"/>
      <w:r w:rsidRPr="0088104A">
        <w:rPr>
          <w:rFonts w:asciiTheme="minorHAnsi" w:hAnsiTheme="minorHAnsi" w:cs="Calibri"/>
        </w:rPr>
        <w:t>Sentencia</w:t>
      </w:r>
      <w:proofErr w:type="spellEnd"/>
      <w:r w:rsidRPr="0088104A">
        <w:rPr>
          <w:rFonts w:asciiTheme="minorHAnsi" w:hAnsiTheme="minorHAnsi" w:cs="Calibri"/>
        </w:rPr>
        <w:t xml:space="preserve"> T-134 de 1994. </w:t>
      </w:r>
    </w:p>
  </w:footnote>
  <w:footnote w:id="22">
    <w:p w:rsidR="00471BA7" w:rsidRPr="00D73B3B" w:rsidRDefault="00471BA7" w:rsidP="00471BA7">
      <w:pPr>
        <w:pStyle w:val="Textonotapie"/>
        <w:rPr>
          <w:lang w:val="es-CO"/>
        </w:rPr>
      </w:pPr>
      <w:r>
        <w:rPr>
          <w:rStyle w:val="Refdenotaalpie"/>
        </w:rPr>
        <w:footnoteRef/>
      </w:r>
      <w:r>
        <w:t xml:space="preserve"> </w:t>
      </w:r>
      <w:r w:rsidRPr="0088104A">
        <w:rPr>
          <w:rFonts w:asciiTheme="minorHAnsi" w:hAnsiTheme="minorHAnsi" w:cs="Calibri"/>
        </w:rPr>
        <w:t xml:space="preserve">CORTE </w:t>
      </w:r>
      <w:proofErr w:type="spellStart"/>
      <w:r w:rsidRPr="0088104A">
        <w:rPr>
          <w:rFonts w:asciiTheme="minorHAnsi" w:hAnsiTheme="minorHAnsi" w:cs="Calibri"/>
        </w:rPr>
        <w:t>CONSTITUCIONAL</w:t>
      </w:r>
      <w:proofErr w:type="spellEnd"/>
      <w:r w:rsidRPr="0088104A">
        <w:rPr>
          <w:rFonts w:asciiTheme="minorHAnsi" w:hAnsiTheme="minorHAnsi" w:cs="Calibri"/>
        </w:rPr>
        <w:t xml:space="preserve">. </w:t>
      </w:r>
      <w:proofErr w:type="spellStart"/>
      <w:r w:rsidRPr="0088104A">
        <w:rPr>
          <w:rFonts w:asciiTheme="minorHAnsi" w:hAnsiTheme="minorHAnsi" w:cs="Calibri"/>
        </w:rPr>
        <w:t>Sentencia</w:t>
      </w:r>
      <w:proofErr w:type="spellEnd"/>
      <w:r w:rsidRPr="0088104A">
        <w:rPr>
          <w:rFonts w:asciiTheme="minorHAnsi" w:hAnsiTheme="minorHAnsi" w:cs="Calibri"/>
        </w:rPr>
        <w:t xml:space="preserve"> T-1</w:t>
      </w:r>
      <w:r>
        <w:rPr>
          <w:rFonts w:asciiTheme="minorHAnsi" w:hAnsiTheme="minorHAnsi" w:cs="Calibri"/>
        </w:rPr>
        <w:t>03</w:t>
      </w:r>
      <w:r w:rsidRPr="0088104A">
        <w:rPr>
          <w:rFonts w:asciiTheme="minorHAnsi" w:hAnsiTheme="minorHAnsi" w:cs="Calibri"/>
        </w:rPr>
        <w:t xml:space="preserve"> de </w:t>
      </w:r>
      <w:r>
        <w:rPr>
          <w:rFonts w:asciiTheme="minorHAnsi" w:hAnsiTheme="minorHAnsi" w:cs="Calibri"/>
        </w:rPr>
        <w:t>2014</w:t>
      </w:r>
      <w:r w:rsidRPr="0088104A">
        <w:rPr>
          <w:rFonts w:asciiTheme="minorHAnsi" w:hAnsiTheme="minorHAnsi" w:cs="Calibri"/>
        </w:rPr>
        <w:t>.</w:t>
      </w:r>
    </w:p>
  </w:footnote>
  <w:footnote w:id="23">
    <w:p w:rsidR="00471BA7" w:rsidRDefault="00471BA7" w:rsidP="00471BA7">
      <w:pPr>
        <w:pStyle w:val="Textonotapie"/>
        <w:jc w:val="both"/>
      </w:pPr>
      <w:r w:rsidRPr="0088104A">
        <w:rPr>
          <w:rStyle w:val="Refdenotaalpie"/>
          <w:rFonts w:asciiTheme="minorHAnsi" w:hAnsiTheme="minorHAnsi" w:cs="Calibri"/>
        </w:rPr>
        <w:footnoteRef/>
      </w:r>
      <w:r>
        <w:rPr>
          <w:rFonts w:asciiTheme="minorHAnsi" w:hAnsiTheme="minorHAnsi" w:cs="Calibri"/>
        </w:rPr>
        <w:t xml:space="preserve"> CORTE </w:t>
      </w:r>
      <w:proofErr w:type="spellStart"/>
      <w:r>
        <w:rPr>
          <w:rFonts w:asciiTheme="minorHAnsi" w:hAnsiTheme="minorHAnsi" w:cs="Calibri"/>
        </w:rPr>
        <w:t>CONSTITUCIONAL</w:t>
      </w:r>
      <w:proofErr w:type="spellEnd"/>
      <w:r>
        <w:rPr>
          <w:rFonts w:asciiTheme="minorHAnsi" w:hAnsiTheme="minorHAnsi" w:cs="Calibri"/>
        </w:rPr>
        <w:t xml:space="preserve">. </w:t>
      </w:r>
      <w:proofErr w:type="spellStart"/>
      <w:r w:rsidRPr="0088104A">
        <w:rPr>
          <w:rFonts w:asciiTheme="minorHAnsi" w:hAnsiTheme="minorHAnsi" w:cs="Calibri"/>
        </w:rPr>
        <w:t>Sentencia</w:t>
      </w:r>
      <w:proofErr w:type="spellEnd"/>
      <w:r w:rsidRPr="0088104A">
        <w:rPr>
          <w:rFonts w:asciiTheme="minorHAnsi" w:hAnsiTheme="minorHAnsi" w:cs="Calibri"/>
        </w:rPr>
        <w:t xml:space="preserve"> T-567 de 1998.</w:t>
      </w:r>
    </w:p>
  </w:footnote>
  <w:footnote w:id="24">
    <w:p w:rsidR="00471BA7" w:rsidRDefault="00471BA7" w:rsidP="00471BA7">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 xml:space="preserve">CORTE </w:t>
      </w:r>
      <w:proofErr w:type="spellStart"/>
      <w:r w:rsidRPr="0088104A">
        <w:rPr>
          <w:rFonts w:asciiTheme="minorHAnsi" w:hAnsiTheme="minorHAnsi" w:cs="Calibri"/>
        </w:rPr>
        <w:t>CONSTITUCIONAL</w:t>
      </w:r>
      <w:proofErr w:type="spellEnd"/>
      <w:r w:rsidRPr="0088104A">
        <w:rPr>
          <w:rFonts w:asciiTheme="minorHAnsi" w:hAnsiTheme="minorHAnsi" w:cs="Calibri"/>
        </w:rPr>
        <w:t xml:space="preserve">. </w:t>
      </w:r>
      <w:proofErr w:type="spellStart"/>
      <w:r w:rsidRPr="0088104A">
        <w:rPr>
          <w:rFonts w:asciiTheme="minorHAnsi" w:hAnsiTheme="minorHAnsi" w:cs="Calibri"/>
        </w:rPr>
        <w:t>Sentencia</w:t>
      </w:r>
      <w:proofErr w:type="spellEnd"/>
      <w:r w:rsidRPr="0088104A">
        <w:rPr>
          <w:rFonts w:asciiTheme="minorHAnsi" w:hAnsiTheme="minorHAnsi" w:cs="Calibri"/>
        </w:rPr>
        <w:t xml:space="preserve"> T-662 de 2013.</w:t>
      </w:r>
      <w:r w:rsidRPr="005648CB">
        <w:rPr>
          <w:b/>
          <w:bCs/>
          <w:color w:val="2D2D2D"/>
          <w:sz w:val="28"/>
          <w:szCs w:val="28"/>
          <w:bdr w:val="none" w:sz="0" w:space="0" w:color="auto" w:frame="1"/>
          <w:shd w:val="clear" w:color="auto" w:fill="FFFFFF"/>
        </w:rPr>
        <w:t xml:space="preserve"> </w:t>
      </w:r>
    </w:p>
  </w:footnote>
  <w:footnote w:id="25">
    <w:p w:rsidR="00471BA7" w:rsidRPr="005648CB" w:rsidRDefault="00471BA7" w:rsidP="00471BA7">
      <w:pPr>
        <w:pStyle w:val="Textonotapie"/>
        <w:jc w:val="both"/>
      </w:pPr>
      <w:r w:rsidRPr="005648CB">
        <w:rPr>
          <w:rStyle w:val="Refdenotaalpie"/>
        </w:rPr>
        <w:footnoteRef/>
      </w:r>
      <w:r w:rsidRPr="005648CB">
        <w:t xml:space="preserve"> </w:t>
      </w:r>
      <w:r w:rsidRPr="005648CB">
        <w:rPr>
          <w:rFonts w:asciiTheme="minorHAnsi" w:hAnsiTheme="minorHAnsi" w:cs="Calibri"/>
        </w:rPr>
        <w:t xml:space="preserve">CORTE </w:t>
      </w:r>
      <w:proofErr w:type="spellStart"/>
      <w:r w:rsidRPr="005648CB">
        <w:rPr>
          <w:rFonts w:asciiTheme="minorHAnsi" w:hAnsiTheme="minorHAnsi" w:cs="Calibri"/>
        </w:rPr>
        <w:t>CONSTITUCIONAL</w:t>
      </w:r>
      <w:proofErr w:type="spellEnd"/>
      <w:r w:rsidRPr="005648CB">
        <w:rPr>
          <w:rFonts w:asciiTheme="minorHAnsi" w:hAnsiTheme="minorHAnsi" w:cs="Calibri"/>
        </w:rPr>
        <w:t xml:space="preserve">. </w:t>
      </w:r>
      <w:proofErr w:type="spellStart"/>
      <w:r w:rsidRPr="005648CB">
        <w:rPr>
          <w:rFonts w:ascii="Calibri" w:hAnsi="Calibri"/>
          <w:bCs/>
          <w:bdr w:val="none" w:sz="0" w:space="0" w:color="auto" w:frame="1"/>
          <w:shd w:val="clear" w:color="auto" w:fill="FFFFFF"/>
        </w:rPr>
        <w:t>Sentencia</w:t>
      </w:r>
      <w:proofErr w:type="spellEnd"/>
      <w:r w:rsidRPr="005648CB">
        <w:rPr>
          <w:rFonts w:ascii="Calibri" w:hAnsi="Calibri"/>
          <w:bCs/>
          <w:bdr w:val="none" w:sz="0" w:space="0" w:color="auto" w:frame="1"/>
          <w:shd w:val="clear" w:color="auto" w:fill="FFFFFF"/>
        </w:rPr>
        <w:t xml:space="preserve"> T-037 de 2016</w:t>
      </w:r>
      <w:r>
        <w:rPr>
          <w:rFonts w:ascii="Calibri" w:hAnsi="Calibri"/>
          <w:bCs/>
          <w:bdr w:val="none" w:sz="0" w:space="0" w:color="auto" w:frame="1"/>
          <w:shd w:val="clear" w:color="auto" w:fill="FFFFFF"/>
        </w:rPr>
        <w:t xml:space="preserve"> y </w:t>
      </w:r>
      <w:r w:rsidRPr="005648CB">
        <w:rPr>
          <w:rFonts w:ascii="Calibri" w:hAnsi="Calibri"/>
          <w:bCs/>
          <w:bdr w:val="none" w:sz="0" w:space="0" w:color="auto" w:frame="1"/>
          <w:shd w:val="clear" w:color="auto" w:fill="FFFFFF"/>
        </w:rPr>
        <w:t>T-120</w:t>
      </w:r>
      <w:r>
        <w:rPr>
          <w:rFonts w:ascii="Calibri" w:hAnsi="Calibri"/>
          <w:bCs/>
          <w:bdr w:val="none" w:sz="0" w:space="0" w:color="auto" w:frame="1"/>
          <w:shd w:val="clear" w:color="auto" w:fill="FFFFFF"/>
        </w:rPr>
        <w:t xml:space="preserve"> de 20</w:t>
      </w:r>
      <w:r w:rsidRPr="005648CB">
        <w:rPr>
          <w:rFonts w:ascii="Calibri" w:hAnsi="Calibri"/>
          <w:bCs/>
          <w:bdr w:val="none" w:sz="0" w:space="0" w:color="auto" w:frame="1"/>
          <w:shd w:val="clear" w:color="auto" w:fill="FFFFFF"/>
        </w:rPr>
        <w:t>16.</w:t>
      </w:r>
    </w:p>
  </w:footnote>
  <w:footnote w:id="26">
    <w:p w:rsidR="00471BA7" w:rsidRDefault="00471BA7" w:rsidP="00471BA7">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w:t>
      </w:r>
      <w:r w:rsidRPr="0088104A">
        <w:rPr>
          <w:rFonts w:asciiTheme="minorHAnsi" w:hAnsiTheme="minorHAnsi" w:cs="Calibri"/>
          <w:lang w:val="es-CO"/>
        </w:rPr>
        <w:t>CORTE SUPREMA DE JUSTICIA</w:t>
      </w:r>
      <w:r>
        <w:rPr>
          <w:rFonts w:asciiTheme="minorHAnsi" w:hAnsiTheme="minorHAnsi" w:cs="Calibri"/>
          <w:lang w:val="es-CO"/>
        </w:rPr>
        <w:t>,</w:t>
      </w:r>
      <w:r w:rsidRPr="0088104A">
        <w:rPr>
          <w:rFonts w:asciiTheme="minorHAnsi" w:hAnsiTheme="minorHAnsi" w:cs="Calibri"/>
          <w:lang w:val="es-CO"/>
        </w:rPr>
        <w:t xml:space="preserve"> Sala de </w:t>
      </w:r>
      <w:r>
        <w:rPr>
          <w:rFonts w:asciiTheme="minorHAnsi" w:hAnsiTheme="minorHAnsi" w:cs="Calibri"/>
          <w:lang w:val="es-CO"/>
        </w:rPr>
        <w:t>Casación Civil</w:t>
      </w:r>
      <w:r w:rsidRPr="0088104A">
        <w:rPr>
          <w:rFonts w:asciiTheme="minorHAnsi" w:hAnsiTheme="minorHAnsi" w:cs="Calibri"/>
          <w:lang w:val="es-CO"/>
        </w:rPr>
        <w:t xml:space="preserve">.  Sentencia del </w:t>
      </w:r>
      <w:r>
        <w:rPr>
          <w:rFonts w:asciiTheme="minorHAnsi" w:hAnsiTheme="minorHAnsi" w:cs="Calibri"/>
          <w:lang w:val="es-CO"/>
        </w:rPr>
        <w:t>02-09-2014</w:t>
      </w:r>
      <w:r w:rsidRPr="0088104A">
        <w:rPr>
          <w:rFonts w:asciiTheme="minorHAnsi" w:hAnsiTheme="minorHAnsi" w:cs="Calibri"/>
          <w:lang w:val="es-CO"/>
        </w:rPr>
        <w:t xml:space="preserve">, </w:t>
      </w:r>
      <w:proofErr w:type="spellStart"/>
      <w:r w:rsidRPr="0088104A">
        <w:rPr>
          <w:rFonts w:asciiTheme="minorHAnsi" w:hAnsiTheme="minorHAnsi" w:cs="Calibri"/>
          <w:lang w:val="es-CO"/>
        </w:rPr>
        <w:t>MP</w:t>
      </w:r>
      <w:proofErr w:type="spellEnd"/>
      <w:r w:rsidRPr="0088104A">
        <w:rPr>
          <w:rFonts w:asciiTheme="minorHAnsi" w:hAnsiTheme="minorHAnsi" w:cs="Calibri"/>
          <w:lang w:val="es-CO"/>
        </w:rPr>
        <w:t xml:space="preserve">: </w:t>
      </w:r>
      <w:r>
        <w:rPr>
          <w:rFonts w:asciiTheme="minorHAnsi" w:hAnsiTheme="minorHAnsi" w:cs="Calibri"/>
          <w:lang w:val="es-CO"/>
        </w:rPr>
        <w:t>Margarita Cabello Blanco</w:t>
      </w:r>
      <w:r w:rsidRPr="0088104A">
        <w:rPr>
          <w:rFonts w:asciiTheme="minorHAnsi" w:hAnsiTheme="minorHAnsi" w:cs="Calibri"/>
          <w:lang w:val="es-CO"/>
        </w:rPr>
        <w:t>, expediente No</w:t>
      </w:r>
      <w:r>
        <w:rPr>
          <w:rFonts w:asciiTheme="minorHAnsi" w:hAnsiTheme="minorHAnsi" w:cs="Calibri"/>
          <w:lang w:val="es-CO"/>
        </w:rPr>
        <w:t>.23001 22 14 000 2014 00097 01</w:t>
      </w:r>
      <w:r w:rsidRPr="0088104A">
        <w:rPr>
          <w:rFonts w:asciiTheme="minorHAnsi" w:hAnsiTheme="minorHAnsi" w:cs="Calibri"/>
          <w:w w:val="110"/>
          <w:lang w:val="es-CO"/>
        </w:rPr>
        <w:t>.</w:t>
      </w:r>
    </w:p>
  </w:footnote>
  <w:footnote w:id="27">
    <w:p w:rsidR="00471BA7" w:rsidRPr="00EE61B2" w:rsidRDefault="00471BA7" w:rsidP="00471BA7">
      <w:pPr>
        <w:pStyle w:val="Textonotapie"/>
        <w:jc w:val="both"/>
        <w:rPr>
          <w:rFonts w:ascii="Calibri" w:hAnsi="Calibri"/>
          <w:lang w:val="es-CO"/>
        </w:rPr>
      </w:pPr>
      <w:r>
        <w:rPr>
          <w:rStyle w:val="Refdenotaalpie"/>
        </w:rPr>
        <w:footnoteRef/>
      </w:r>
      <w:r>
        <w:t xml:space="preserve"> </w:t>
      </w:r>
      <w:r w:rsidRPr="00574D42">
        <w:rPr>
          <w:rFonts w:asciiTheme="minorHAnsi" w:hAnsiTheme="minorHAnsi" w:cs="Calibri"/>
          <w:lang w:val="es-CO"/>
        </w:rPr>
        <w:t xml:space="preserve">CORTE </w:t>
      </w:r>
      <w:r w:rsidRPr="00EE61B2">
        <w:rPr>
          <w:rFonts w:ascii="Calibri" w:hAnsi="Calibri" w:cs="Calibri"/>
          <w:lang w:val="es-CO"/>
        </w:rPr>
        <w:t xml:space="preserve">SUPREMA DE JUSTICIA, </w:t>
      </w:r>
      <w:proofErr w:type="spellStart"/>
      <w:r w:rsidRPr="00EE61B2">
        <w:rPr>
          <w:rFonts w:ascii="Calibri" w:hAnsi="Calibri" w:cs="Calibri"/>
        </w:rPr>
        <w:t>Sala</w:t>
      </w:r>
      <w:proofErr w:type="spellEnd"/>
      <w:r w:rsidRPr="00EE61B2">
        <w:rPr>
          <w:rFonts w:ascii="Calibri" w:hAnsi="Calibri" w:cs="Calibri"/>
        </w:rPr>
        <w:t xml:space="preserve"> de </w:t>
      </w:r>
      <w:proofErr w:type="spellStart"/>
      <w:r w:rsidRPr="00EE61B2">
        <w:rPr>
          <w:rFonts w:ascii="Calibri" w:hAnsi="Calibri" w:cs="Calibri"/>
        </w:rPr>
        <w:t>Casación</w:t>
      </w:r>
      <w:proofErr w:type="spellEnd"/>
      <w:r w:rsidRPr="00EE61B2">
        <w:rPr>
          <w:rFonts w:ascii="Calibri" w:hAnsi="Calibri" w:cs="Calibri"/>
        </w:rPr>
        <w:t xml:space="preserve"> Civil.  </w:t>
      </w:r>
      <w:proofErr w:type="spellStart"/>
      <w:r w:rsidRPr="00EE61B2">
        <w:rPr>
          <w:rFonts w:ascii="Calibri" w:hAnsi="Calibri" w:cs="Calibri"/>
        </w:rPr>
        <w:t>Providencia</w:t>
      </w:r>
      <w:proofErr w:type="spellEnd"/>
      <w:r w:rsidRPr="00EE61B2">
        <w:rPr>
          <w:rFonts w:ascii="Calibri" w:hAnsi="Calibri" w:cs="Calibri"/>
        </w:rPr>
        <w:t xml:space="preserve"> STC6121-2015.</w:t>
      </w:r>
    </w:p>
  </w:footnote>
  <w:footnote w:id="28">
    <w:p w:rsidR="00471BA7" w:rsidRPr="00EE61B2" w:rsidRDefault="00471BA7" w:rsidP="00471BA7">
      <w:pPr>
        <w:pStyle w:val="Textonotapie"/>
        <w:rPr>
          <w:rFonts w:ascii="Calibri" w:hAnsi="Calibri"/>
          <w:lang w:val="es-CO"/>
        </w:rPr>
      </w:pPr>
      <w:r w:rsidRPr="00EE61B2">
        <w:rPr>
          <w:rStyle w:val="Refdenotaalpie"/>
          <w:rFonts w:ascii="Calibri" w:hAnsi="Calibri"/>
        </w:rPr>
        <w:footnoteRef/>
      </w:r>
      <w:r w:rsidRPr="00EE61B2">
        <w:rPr>
          <w:rFonts w:ascii="Calibri" w:hAnsi="Calibri"/>
        </w:rPr>
        <w:t xml:space="preserve"> </w:t>
      </w:r>
      <w:r w:rsidRPr="00EE61B2">
        <w:rPr>
          <w:rFonts w:ascii="Calibri" w:hAnsi="Calibri" w:cs="Calibri"/>
          <w:lang w:val="es-CO"/>
        </w:rPr>
        <w:t xml:space="preserve">CORTE SUPREMA DE JUSTICIA, </w:t>
      </w:r>
      <w:proofErr w:type="spellStart"/>
      <w:r w:rsidRPr="00EE61B2">
        <w:rPr>
          <w:rFonts w:ascii="Calibri" w:hAnsi="Calibri" w:cs="Calibri"/>
        </w:rPr>
        <w:t>Sala</w:t>
      </w:r>
      <w:proofErr w:type="spellEnd"/>
      <w:r w:rsidRPr="00EE61B2">
        <w:rPr>
          <w:rFonts w:ascii="Calibri" w:hAnsi="Calibri" w:cs="Calibri"/>
        </w:rPr>
        <w:t xml:space="preserve"> de </w:t>
      </w:r>
      <w:proofErr w:type="spellStart"/>
      <w:r w:rsidRPr="00EE61B2">
        <w:rPr>
          <w:rFonts w:ascii="Calibri" w:hAnsi="Calibri" w:cs="Calibri"/>
        </w:rPr>
        <w:t>Casación</w:t>
      </w:r>
      <w:proofErr w:type="spellEnd"/>
      <w:r w:rsidRPr="00EE61B2">
        <w:rPr>
          <w:rFonts w:ascii="Calibri" w:hAnsi="Calibri" w:cs="Calibri"/>
        </w:rPr>
        <w:t xml:space="preserve"> Civil.  </w:t>
      </w:r>
      <w:proofErr w:type="spellStart"/>
      <w:r w:rsidRPr="00EE61B2">
        <w:rPr>
          <w:rFonts w:ascii="Calibri" w:hAnsi="Calibri" w:cs="Calibri"/>
        </w:rPr>
        <w:t>Providencia</w:t>
      </w:r>
      <w:proofErr w:type="spellEnd"/>
      <w:r w:rsidRPr="00EE61B2">
        <w:rPr>
          <w:rFonts w:ascii="Calibri" w:hAnsi="Calibri" w:cs="Calibri"/>
        </w:rPr>
        <w:t xml:space="preserve"> </w:t>
      </w:r>
      <w:r w:rsidRPr="00EE61B2">
        <w:rPr>
          <w:rFonts w:ascii="Calibri" w:hAnsi="Calibri"/>
          <w:lang w:val="es-CO"/>
        </w:rPr>
        <w:t>STC3931-2016</w:t>
      </w:r>
      <w:r>
        <w:rPr>
          <w:rFonts w:ascii="Calibri" w:hAnsi="Calibri"/>
          <w:lang w:val="es-CO"/>
        </w:rPr>
        <w:t>, entre otras.</w:t>
      </w:r>
    </w:p>
  </w:footnote>
  <w:footnote w:id="29">
    <w:p w:rsidR="004107F0" w:rsidRDefault="004107F0" w:rsidP="004107F0">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CORTE </w:t>
      </w:r>
      <w:proofErr w:type="spellStart"/>
      <w:r w:rsidRPr="0088104A">
        <w:rPr>
          <w:rFonts w:asciiTheme="minorHAnsi" w:hAnsiTheme="minorHAnsi" w:cs="Calibri"/>
        </w:rPr>
        <w:t>CONSTITUCIONAL</w:t>
      </w:r>
      <w:proofErr w:type="spellEnd"/>
      <w:r w:rsidRPr="0088104A">
        <w:rPr>
          <w:rFonts w:asciiTheme="minorHAnsi" w:hAnsiTheme="minorHAnsi" w:cs="Calibri"/>
        </w:rPr>
        <w:t xml:space="preserve">.  </w:t>
      </w:r>
      <w:proofErr w:type="spellStart"/>
      <w:r w:rsidRPr="0088104A">
        <w:rPr>
          <w:rFonts w:asciiTheme="minorHAnsi" w:hAnsiTheme="minorHAnsi" w:cs="Calibri"/>
        </w:rPr>
        <w:t>Sentencia</w:t>
      </w:r>
      <w:proofErr w:type="spellEnd"/>
      <w:r w:rsidRPr="0088104A">
        <w:rPr>
          <w:rFonts w:asciiTheme="minorHAnsi" w:hAnsiTheme="minorHAnsi" w:cs="Calibri"/>
        </w:rPr>
        <w:t xml:space="preserve"> T-567 de 1998.</w:t>
      </w:r>
    </w:p>
  </w:footnote>
  <w:footnote w:id="30">
    <w:p w:rsidR="00E504F6" w:rsidRPr="008B43C6" w:rsidRDefault="00E504F6" w:rsidP="00E504F6">
      <w:pPr>
        <w:pStyle w:val="Textonotapie"/>
        <w:rPr>
          <w:lang w:val="es-CO"/>
        </w:rPr>
      </w:pPr>
      <w:r>
        <w:rPr>
          <w:rStyle w:val="Refdenotaalpie"/>
        </w:rPr>
        <w:footnoteRef/>
      </w:r>
      <w:r>
        <w:t xml:space="preserve"> </w:t>
      </w:r>
      <w:r w:rsidRPr="0088104A">
        <w:rPr>
          <w:rFonts w:asciiTheme="minorHAnsi" w:hAnsiTheme="minorHAnsi" w:cs="Calibri"/>
        </w:rPr>
        <w:t xml:space="preserve">CORTE </w:t>
      </w:r>
      <w:proofErr w:type="spellStart"/>
      <w:r w:rsidRPr="0088104A">
        <w:rPr>
          <w:rFonts w:asciiTheme="minorHAnsi" w:hAnsiTheme="minorHAnsi" w:cs="Calibri"/>
        </w:rPr>
        <w:t>CONSTITUCIONAL</w:t>
      </w:r>
      <w:proofErr w:type="spellEnd"/>
      <w:r w:rsidRPr="0088104A">
        <w:rPr>
          <w:rFonts w:asciiTheme="minorHAnsi" w:hAnsiTheme="minorHAnsi" w:cs="Calibri"/>
        </w:rPr>
        <w:t xml:space="preserve">.  </w:t>
      </w:r>
      <w:proofErr w:type="spellStart"/>
      <w:r w:rsidRPr="0088104A">
        <w:rPr>
          <w:rFonts w:asciiTheme="minorHAnsi" w:hAnsiTheme="minorHAnsi" w:cs="Calibri"/>
        </w:rPr>
        <w:t>Sentencia</w:t>
      </w:r>
      <w:proofErr w:type="spellEnd"/>
      <w:r w:rsidRPr="0088104A">
        <w:rPr>
          <w:rFonts w:asciiTheme="minorHAnsi" w:hAnsiTheme="minorHAnsi" w:cs="Calibri"/>
        </w:rPr>
        <w:t xml:space="preserve"> T-</w:t>
      </w:r>
      <w:r>
        <w:rPr>
          <w:rFonts w:asciiTheme="minorHAnsi" w:hAnsiTheme="minorHAnsi" w:cs="Calibri"/>
        </w:rPr>
        <w:t>717</w:t>
      </w:r>
      <w:r w:rsidRPr="0088104A">
        <w:rPr>
          <w:rFonts w:asciiTheme="minorHAnsi" w:hAnsiTheme="minorHAnsi" w:cs="Calibri"/>
        </w:rPr>
        <w:t xml:space="preserve"> de</w:t>
      </w:r>
      <w:r>
        <w:rPr>
          <w:rFonts w:asciiTheme="minorHAnsi" w:hAnsiTheme="minorHAnsi" w:cs="Calibri"/>
        </w:rPr>
        <w:t xml:space="preserve"> 22-09-2011</w:t>
      </w:r>
      <w:r w:rsidRPr="0088104A">
        <w:rPr>
          <w:rFonts w:asciiTheme="minorHAnsi" w:hAnsiTheme="minorHAnsi" w:cs="Calibri"/>
        </w:rPr>
        <w:t>.</w:t>
      </w:r>
    </w:p>
  </w:footnote>
  <w:footnote w:id="31">
    <w:p w:rsidR="00E504F6" w:rsidRPr="008B43C6" w:rsidRDefault="00E504F6" w:rsidP="00E504F6">
      <w:pPr>
        <w:pStyle w:val="Textonotapie"/>
        <w:rPr>
          <w:lang w:val="es-CO"/>
        </w:rPr>
      </w:pPr>
      <w:r>
        <w:rPr>
          <w:rStyle w:val="Refdenotaalpie"/>
        </w:rPr>
        <w:footnoteRef/>
      </w:r>
      <w:r>
        <w:t xml:space="preserve"> </w:t>
      </w:r>
      <w:r w:rsidRPr="0088104A">
        <w:rPr>
          <w:rFonts w:asciiTheme="minorHAnsi" w:hAnsiTheme="minorHAnsi" w:cs="Calibri"/>
        </w:rPr>
        <w:t xml:space="preserve">CORTE </w:t>
      </w:r>
      <w:proofErr w:type="spellStart"/>
      <w:r w:rsidRPr="0088104A">
        <w:rPr>
          <w:rFonts w:asciiTheme="minorHAnsi" w:hAnsiTheme="minorHAnsi" w:cs="Calibri"/>
        </w:rPr>
        <w:t>CONSTITUCIONAL</w:t>
      </w:r>
      <w:proofErr w:type="spellEnd"/>
      <w:r w:rsidRPr="0088104A">
        <w:rPr>
          <w:rFonts w:asciiTheme="minorHAnsi" w:hAnsiTheme="minorHAnsi" w:cs="Calibri"/>
        </w:rPr>
        <w:t xml:space="preserve">.  </w:t>
      </w:r>
      <w:proofErr w:type="spellStart"/>
      <w:r w:rsidRPr="0088104A">
        <w:rPr>
          <w:rFonts w:asciiTheme="minorHAnsi" w:hAnsiTheme="minorHAnsi" w:cs="Calibri"/>
        </w:rPr>
        <w:t>Sentencia</w:t>
      </w:r>
      <w:proofErr w:type="spellEnd"/>
      <w:r w:rsidRPr="0088104A">
        <w:rPr>
          <w:rFonts w:asciiTheme="minorHAnsi" w:hAnsiTheme="minorHAnsi" w:cs="Calibri"/>
        </w:rPr>
        <w:t xml:space="preserve"> T-</w:t>
      </w:r>
      <w:r>
        <w:rPr>
          <w:rFonts w:asciiTheme="minorHAnsi" w:hAnsiTheme="minorHAnsi" w:cs="Calibri"/>
        </w:rPr>
        <w:t>429</w:t>
      </w:r>
      <w:r w:rsidRPr="0088104A">
        <w:rPr>
          <w:rFonts w:asciiTheme="minorHAnsi" w:hAnsiTheme="minorHAnsi" w:cs="Calibri"/>
        </w:rPr>
        <w:t xml:space="preserve"> de</w:t>
      </w:r>
      <w:r>
        <w:rPr>
          <w:rFonts w:asciiTheme="minorHAnsi" w:hAnsiTheme="minorHAnsi" w:cs="Calibri"/>
        </w:rPr>
        <w:t xml:space="preserve"> 19-05-2011</w:t>
      </w:r>
      <w:r w:rsidRPr="0088104A">
        <w:rPr>
          <w:rFonts w:asciiTheme="minorHAnsi" w:hAnsiTheme="minorHAnsi" w:cs="Calibri"/>
        </w:rPr>
        <w:t>.</w:t>
      </w:r>
    </w:p>
  </w:footnote>
  <w:footnote w:id="32">
    <w:p w:rsidR="00A63AD0" w:rsidRPr="009C4841" w:rsidRDefault="00A63AD0" w:rsidP="00A63AD0">
      <w:pPr>
        <w:pStyle w:val="Textonotapie"/>
        <w:jc w:val="both"/>
        <w:rPr>
          <w:rFonts w:asciiTheme="minorHAnsi" w:hAnsiTheme="minorHAnsi"/>
        </w:rPr>
      </w:pPr>
      <w:r w:rsidRPr="009C4841">
        <w:rPr>
          <w:rStyle w:val="Refdenotaalpie"/>
          <w:rFonts w:asciiTheme="minorHAnsi" w:hAnsiTheme="minorHAnsi" w:cs="Calibri"/>
        </w:rPr>
        <w:footnoteRef/>
      </w:r>
      <w:r w:rsidRPr="009C4841">
        <w:rPr>
          <w:rFonts w:asciiTheme="minorHAnsi" w:hAnsiTheme="minorHAnsi" w:cs="Calibri"/>
        </w:rPr>
        <w:t xml:space="preserve"> CORTE </w:t>
      </w:r>
      <w:proofErr w:type="spellStart"/>
      <w:r w:rsidRPr="009C4841">
        <w:rPr>
          <w:rFonts w:asciiTheme="minorHAnsi" w:hAnsiTheme="minorHAnsi" w:cs="Calibri"/>
        </w:rPr>
        <w:t>CONSTITUCIONAL</w:t>
      </w:r>
      <w:proofErr w:type="spellEnd"/>
      <w:r w:rsidRPr="009C4841">
        <w:rPr>
          <w:rFonts w:asciiTheme="minorHAnsi" w:hAnsiTheme="minorHAnsi" w:cs="Calibri"/>
        </w:rPr>
        <w:t xml:space="preserve">.  </w:t>
      </w:r>
      <w:proofErr w:type="spellStart"/>
      <w:r w:rsidRPr="009C4841">
        <w:rPr>
          <w:rFonts w:asciiTheme="minorHAnsi" w:hAnsiTheme="minorHAnsi" w:cs="Calibri"/>
        </w:rPr>
        <w:t>Sentencia</w:t>
      </w:r>
      <w:proofErr w:type="spellEnd"/>
      <w:r w:rsidRPr="009C4841">
        <w:rPr>
          <w:rFonts w:asciiTheme="minorHAnsi" w:hAnsiTheme="minorHAnsi" w:cs="Calibri"/>
        </w:rPr>
        <w:t xml:space="preserve"> T-1079 de 2008.</w:t>
      </w:r>
    </w:p>
  </w:footnote>
  <w:footnote w:id="33">
    <w:p w:rsidR="00A63AD0" w:rsidRPr="009C4841" w:rsidRDefault="00A63AD0" w:rsidP="00A63AD0">
      <w:pPr>
        <w:pStyle w:val="Textonotapie"/>
        <w:jc w:val="both"/>
        <w:rPr>
          <w:rFonts w:asciiTheme="minorHAnsi" w:hAnsiTheme="minorHAnsi"/>
          <w:lang w:val="es-CO"/>
        </w:rPr>
      </w:pPr>
      <w:r w:rsidRPr="009C4841">
        <w:rPr>
          <w:rStyle w:val="Refdenotaalpie"/>
          <w:rFonts w:asciiTheme="minorHAnsi" w:hAnsiTheme="minorHAnsi"/>
          <w:lang w:val="es-CO"/>
        </w:rPr>
        <w:footnoteRef/>
      </w:r>
      <w:r w:rsidRPr="009C4841">
        <w:rPr>
          <w:rFonts w:asciiTheme="minorHAnsi" w:hAnsiTheme="minorHAnsi"/>
          <w:lang w:val="es-CO"/>
        </w:rPr>
        <w:t xml:space="preserve"> CORTE SUPREMA DE JUSTICIA, Sala de Casación Penal – Sala de decisión de tutelas No.3. Sentencia del 11-03-2014, </w:t>
      </w:r>
      <w:proofErr w:type="spellStart"/>
      <w:r w:rsidRPr="009C4841">
        <w:rPr>
          <w:rFonts w:asciiTheme="minorHAnsi" w:hAnsiTheme="minorHAnsi"/>
          <w:lang w:val="es-CO"/>
        </w:rPr>
        <w:t>M.P</w:t>
      </w:r>
      <w:proofErr w:type="spellEnd"/>
      <w:r w:rsidRPr="009C4841">
        <w:rPr>
          <w:rFonts w:asciiTheme="minorHAnsi" w:hAnsiTheme="minorHAnsi"/>
          <w:lang w:val="es-CO"/>
        </w:rPr>
        <w:t xml:space="preserve">. Eugenio Fernández </w:t>
      </w:r>
      <w:proofErr w:type="spellStart"/>
      <w:r w:rsidRPr="009C4841">
        <w:rPr>
          <w:rFonts w:asciiTheme="minorHAnsi" w:hAnsiTheme="minorHAnsi"/>
          <w:lang w:val="es-CO"/>
        </w:rPr>
        <w:t>Carlier</w:t>
      </w:r>
      <w:proofErr w:type="spellEnd"/>
      <w:r w:rsidRPr="009C4841">
        <w:rPr>
          <w:rFonts w:asciiTheme="minorHAnsi" w:hAnsiTheme="minorHAnsi"/>
          <w:lang w:val="es-CO"/>
        </w:rPr>
        <w:t>.</w:t>
      </w:r>
    </w:p>
  </w:footnote>
  <w:footnote w:id="34">
    <w:p w:rsidR="00A63AD0" w:rsidRPr="004905B4" w:rsidRDefault="00A63AD0" w:rsidP="00A63AD0">
      <w:pPr>
        <w:pStyle w:val="Textonotapie"/>
        <w:rPr>
          <w:rFonts w:asciiTheme="minorHAnsi" w:hAnsiTheme="minorHAnsi"/>
          <w:lang w:val="es-CO"/>
        </w:rPr>
      </w:pPr>
      <w:r w:rsidRPr="004905B4">
        <w:rPr>
          <w:rStyle w:val="Refdenotaalpie"/>
          <w:rFonts w:asciiTheme="minorHAnsi" w:hAnsiTheme="minorHAnsi"/>
        </w:rPr>
        <w:footnoteRef/>
      </w:r>
      <w:r w:rsidRPr="004905B4">
        <w:rPr>
          <w:rFonts w:asciiTheme="minorHAnsi" w:hAnsiTheme="minorHAnsi"/>
        </w:rPr>
        <w:t xml:space="preserve"> </w:t>
      </w:r>
      <w:r w:rsidRPr="004905B4">
        <w:rPr>
          <w:rFonts w:asciiTheme="minorHAnsi" w:hAnsiTheme="minorHAnsi" w:cs="Calibri"/>
          <w:lang w:val="es-CO"/>
        </w:rPr>
        <w:t>CORTE CONSTITUCIONAL. Sentencia T-299 de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Default="006508CF"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sidR="00BD5831">
      <w:rPr>
        <w:rStyle w:val="Nmerodepgina"/>
        <w:rFonts w:cs="Verdana"/>
        <w:noProof/>
      </w:rPr>
      <w:t>8</w:t>
    </w:r>
    <w:r>
      <w:rPr>
        <w:rStyle w:val="Nmerodepgina"/>
        <w:rFonts w:cs="Verdana"/>
      </w:rPr>
      <w:fldChar w:fldCharType="end"/>
    </w:r>
  </w:p>
  <w:p w:rsidR="006508CF" w:rsidRDefault="006508C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AA6B28" w:rsidRDefault="006508CF">
    <w:pPr>
      <w:pStyle w:val="Encabezado"/>
      <w:pBdr>
        <w:bottom w:val="single" w:sz="4" w:space="1" w:color="D9D9D9"/>
      </w:pBdr>
      <w:jc w:val="right"/>
      <w:rPr>
        <w:rFonts w:ascii="Calibri" w:hAnsi="Calibri"/>
        <w:b/>
        <w:lang w:val="es-CO"/>
      </w:rPr>
    </w:pPr>
    <w:r w:rsidRPr="00AA6B28">
      <w:rPr>
        <w:rFonts w:ascii="Calibri" w:hAnsi="Calibri"/>
        <w:color w:val="7F7F7F"/>
        <w:spacing w:val="60"/>
        <w:sz w:val="22"/>
        <w:lang w:val="es-CO"/>
      </w:rPr>
      <w:t>Página</w:t>
    </w:r>
    <w:r w:rsidRPr="00AA6B28">
      <w:rPr>
        <w:rFonts w:ascii="Calibri" w:hAnsi="Calibri"/>
        <w:sz w:val="22"/>
        <w:lang w:val="es-CO"/>
      </w:rPr>
      <w:t xml:space="preserve"> | </w:t>
    </w:r>
    <w:r w:rsidRPr="00AA6B28">
      <w:rPr>
        <w:rFonts w:ascii="Calibri" w:hAnsi="Calibri"/>
        <w:sz w:val="22"/>
        <w:lang w:val="es-CO"/>
      </w:rPr>
      <w:fldChar w:fldCharType="begin"/>
    </w:r>
    <w:r w:rsidRPr="00AA6B28">
      <w:rPr>
        <w:rFonts w:ascii="Calibri" w:hAnsi="Calibri"/>
        <w:sz w:val="22"/>
        <w:lang w:val="es-CO"/>
      </w:rPr>
      <w:instrText xml:space="preserve"> PAGE   \* MERGEFORMAT </w:instrText>
    </w:r>
    <w:r w:rsidRPr="00AA6B28">
      <w:rPr>
        <w:rFonts w:ascii="Calibri" w:hAnsi="Calibri"/>
        <w:sz w:val="22"/>
        <w:lang w:val="es-CO"/>
      </w:rPr>
      <w:fldChar w:fldCharType="separate"/>
    </w:r>
    <w:r w:rsidR="00A3396F">
      <w:rPr>
        <w:rFonts w:ascii="Calibri" w:hAnsi="Calibri"/>
        <w:noProof/>
        <w:sz w:val="22"/>
        <w:lang w:val="es-CO"/>
      </w:rPr>
      <w:t>11</w:t>
    </w:r>
    <w:r w:rsidRPr="00AA6B28">
      <w:rPr>
        <w:rFonts w:ascii="Calibri" w:hAnsi="Calibri"/>
        <w:sz w:val="22"/>
        <w:lang w:val="es-CO"/>
      </w:rPr>
      <w:fldChar w:fldCharType="end"/>
    </w:r>
  </w:p>
  <w:p w:rsidR="006508CF" w:rsidRPr="00AA6B28" w:rsidRDefault="006508CF" w:rsidP="00235DC0">
    <w:pPr>
      <w:pStyle w:val="Encabezado"/>
      <w:ind w:right="360"/>
      <w:jc w:val="both"/>
      <w:rPr>
        <w:rFonts w:ascii="Calibri" w:hAnsi="Calibri" w:cs="Calibri"/>
        <w:i/>
        <w:sz w:val="20"/>
        <w:szCs w:val="20"/>
        <w:lang w:val="es-CO"/>
      </w:rPr>
    </w:pPr>
    <w:r w:rsidRPr="00AA6B28">
      <w:rPr>
        <w:rFonts w:ascii="Calibri" w:hAnsi="Calibri" w:cs="Calibri"/>
        <w:i/>
        <w:sz w:val="20"/>
        <w:szCs w:val="20"/>
        <w:lang w:val="es-CO"/>
      </w:rPr>
      <w:t>EXPEDIENTE No.</w:t>
    </w:r>
    <w:r w:rsidR="00FC0A07">
      <w:rPr>
        <w:rFonts w:ascii="Calibri" w:hAnsi="Calibri" w:cs="Calibri"/>
        <w:i/>
        <w:sz w:val="20"/>
        <w:szCs w:val="20"/>
        <w:lang w:val="es-CO"/>
      </w:rPr>
      <w:t>2016-</w:t>
    </w:r>
    <w:r w:rsidR="00F908F9">
      <w:rPr>
        <w:rFonts w:ascii="Calibri" w:hAnsi="Calibri" w:cs="Calibri"/>
        <w:i/>
        <w:sz w:val="20"/>
        <w:szCs w:val="20"/>
        <w:lang w:val="es-CO"/>
      </w:rPr>
      <w:t>00044</w:t>
    </w:r>
    <w:r w:rsidRPr="00AA6B28">
      <w:rPr>
        <w:rFonts w:ascii="Calibri" w:hAnsi="Calibri" w:cs="Calibri"/>
        <w:i/>
        <w:sz w:val="20"/>
        <w:szCs w:val="20"/>
        <w:lang w:val="es-CO"/>
      </w:rPr>
      <w:t>-0</w:t>
    </w:r>
    <w:r w:rsidR="00D146F4">
      <w:rPr>
        <w:rFonts w:ascii="Calibri" w:hAnsi="Calibri" w:cs="Calibri"/>
        <w:i/>
        <w:sz w:val="20"/>
        <w:szCs w:val="20"/>
        <w:lang w:val="es-CO"/>
      </w:rPr>
      <w:t>1</w:t>
    </w:r>
    <w:r w:rsidRPr="00AA6B28">
      <w:rPr>
        <w:rFonts w:ascii="Calibri" w:hAnsi="Calibri" w:cs="Calibri"/>
        <w:i/>
        <w:sz w:val="20"/>
        <w:szCs w:val="20"/>
        <w:lang w:val="es-CO"/>
      </w:rPr>
      <w:t xml:space="preserve"> </w:t>
    </w:r>
    <w:proofErr w:type="spellStart"/>
    <w:r w:rsidRPr="00AA6B28">
      <w:rPr>
        <w:rFonts w:ascii="Calibri" w:hAnsi="Calibri" w:cs="Calibri"/>
        <w:i/>
        <w:sz w:val="20"/>
        <w:szCs w:val="20"/>
        <w:lang w:val="es-CO"/>
      </w:rPr>
      <w:t>LLRR</w:t>
    </w:r>
    <w:proofErr w:type="spellEnd"/>
  </w:p>
  <w:p w:rsidR="006508CF" w:rsidRPr="00F839CE" w:rsidRDefault="006508CF" w:rsidP="006F562A">
    <w:pPr>
      <w:pStyle w:val="Encabezado"/>
      <w:ind w:right="360"/>
      <w:jc w:val="both"/>
      <w:rPr>
        <w:rFonts w:ascii="Calibri" w:hAnsi="Calibri"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92089F" w:rsidRDefault="006508CF">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6508CF" w:rsidRDefault="006508CF" w:rsidP="006E1629">
    <w:pPr>
      <w:pStyle w:val="Encabezado"/>
      <w:ind w:right="360"/>
      <w:jc w:val="both"/>
    </w:pPr>
    <w:proofErr w:type="spellStart"/>
    <w:r w:rsidRPr="0020383C">
      <w:rPr>
        <w:rFonts w:ascii="Calibri" w:hAnsi="Calibri"/>
        <w:i/>
      </w:rPr>
      <w:t>E</w:t>
    </w:r>
    <w:r>
      <w:rPr>
        <w:rFonts w:ascii="Calibri" w:hAnsi="Calibri"/>
        <w:i/>
        <w:sz w:val="18"/>
      </w:rPr>
      <w:t>XPEDIENTE</w:t>
    </w:r>
    <w:proofErr w:type="spellEnd"/>
    <w:r>
      <w:rPr>
        <w:rFonts w:ascii="Calibri" w:hAnsi="Calibri"/>
        <w:i/>
        <w:sz w:val="18"/>
      </w:rPr>
      <w:t xml:space="preserv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11121CAA"/>
    <w:multiLevelType w:val="multilevel"/>
    <w:tmpl w:val="BB624E00"/>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4322EF0"/>
    <w:multiLevelType w:val="multilevel"/>
    <w:tmpl w:val="EC2E2208"/>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3">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E5808C7"/>
    <w:multiLevelType w:val="multilevel"/>
    <w:tmpl w:val="C540CA5E"/>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0">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2">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6">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7">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0">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1">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2">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0"/>
  </w:num>
  <w:num w:numId="2">
    <w:abstractNumId w:val="24"/>
  </w:num>
  <w:num w:numId="3">
    <w:abstractNumId w:val="19"/>
  </w:num>
  <w:num w:numId="4">
    <w:abstractNumId w:val="17"/>
  </w:num>
  <w:num w:numId="5">
    <w:abstractNumId w:val="26"/>
  </w:num>
  <w:num w:numId="6">
    <w:abstractNumId w:val="18"/>
  </w:num>
  <w:num w:numId="7">
    <w:abstractNumId w:val="3"/>
  </w:num>
  <w:num w:numId="8">
    <w:abstractNumId w:val="12"/>
  </w:num>
  <w:num w:numId="9">
    <w:abstractNumId w:val="13"/>
  </w:num>
  <w:num w:numId="10">
    <w:abstractNumId w:val="2"/>
  </w:num>
  <w:num w:numId="11">
    <w:abstractNumId w:val="23"/>
  </w:num>
  <w:num w:numId="12">
    <w:abstractNumId w:val="8"/>
  </w:num>
  <w:num w:numId="13">
    <w:abstractNumId w:val="15"/>
  </w:num>
  <w:num w:numId="14">
    <w:abstractNumId w:val="29"/>
  </w:num>
  <w:num w:numId="15">
    <w:abstractNumId w:val="21"/>
  </w:num>
  <w:num w:numId="16">
    <w:abstractNumId w:val="1"/>
  </w:num>
  <w:num w:numId="17">
    <w:abstractNumId w:val="31"/>
  </w:num>
  <w:num w:numId="18">
    <w:abstractNumId w:val="22"/>
  </w:num>
  <w:num w:numId="19">
    <w:abstractNumId w:val="28"/>
  </w:num>
  <w:num w:numId="20">
    <w:abstractNumId w:val="27"/>
  </w:num>
  <w:num w:numId="21">
    <w:abstractNumId w:val="5"/>
  </w:num>
  <w:num w:numId="22">
    <w:abstractNumId w:val="0"/>
  </w:num>
  <w:num w:numId="23">
    <w:abstractNumId w:val="32"/>
  </w:num>
  <w:num w:numId="24">
    <w:abstractNumId w:val="20"/>
  </w:num>
  <w:num w:numId="25">
    <w:abstractNumId w:val="11"/>
  </w:num>
  <w:num w:numId="26">
    <w:abstractNumId w:val="14"/>
  </w:num>
  <w:num w:numId="27">
    <w:abstractNumId w:val="4"/>
  </w:num>
  <w:num w:numId="28">
    <w:abstractNumId w:val="25"/>
  </w:num>
  <w:num w:numId="29">
    <w:abstractNumId w:val="9"/>
  </w:num>
  <w:num w:numId="30">
    <w:abstractNumId w:val="27"/>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6"/>
  </w:num>
  <w:num w:numId="34">
    <w:abstractNumId w:val="16"/>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91C"/>
    <w:rsid w:val="0000299D"/>
    <w:rsid w:val="00002C84"/>
    <w:rsid w:val="00003111"/>
    <w:rsid w:val="00005281"/>
    <w:rsid w:val="00006C9E"/>
    <w:rsid w:val="00007912"/>
    <w:rsid w:val="000100E5"/>
    <w:rsid w:val="00011CF2"/>
    <w:rsid w:val="00011D52"/>
    <w:rsid w:val="00012DAE"/>
    <w:rsid w:val="00013BE8"/>
    <w:rsid w:val="00015131"/>
    <w:rsid w:val="00017BC5"/>
    <w:rsid w:val="0002042C"/>
    <w:rsid w:val="000215F0"/>
    <w:rsid w:val="00022F38"/>
    <w:rsid w:val="00023886"/>
    <w:rsid w:val="00023FAD"/>
    <w:rsid w:val="00024E51"/>
    <w:rsid w:val="00025764"/>
    <w:rsid w:val="00026F32"/>
    <w:rsid w:val="00027251"/>
    <w:rsid w:val="00031D5D"/>
    <w:rsid w:val="000332E9"/>
    <w:rsid w:val="00033F1E"/>
    <w:rsid w:val="00041B57"/>
    <w:rsid w:val="0004382E"/>
    <w:rsid w:val="00043EC5"/>
    <w:rsid w:val="00047896"/>
    <w:rsid w:val="000505E7"/>
    <w:rsid w:val="00051F5B"/>
    <w:rsid w:val="00052FE3"/>
    <w:rsid w:val="0005426D"/>
    <w:rsid w:val="00055B9D"/>
    <w:rsid w:val="00056027"/>
    <w:rsid w:val="000601B1"/>
    <w:rsid w:val="00060954"/>
    <w:rsid w:val="00060F7F"/>
    <w:rsid w:val="0006117C"/>
    <w:rsid w:val="0006167A"/>
    <w:rsid w:val="00061922"/>
    <w:rsid w:val="000634BA"/>
    <w:rsid w:val="00065A2F"/>
    <w:rsid w:val="000664A8"/>
    <w:rsid w:val="00066726"/>
    <w:rsid w:val="00067C0F"/>
    <w:rsid w:val="00067E4F"/>
    <w:rsid w:val="0007063B"/>
    <w:rsid w:val="00072310"/>
    <w:rsid w:val="00072763"/>
    <w:rsid w:val="00072B7F"/>
    <w:rsid w:val="00073265"/>
    <w:rsid w:val="0007503D"/>
    <w:rsid w:val="0007524F"/>
    <w:rsid w:val="00075C73"/>
    <w:rsid w:val="00076139"/>
    <w:rsid w:val="00076772"/>
    <w:rsid w:val="00076D55"/>
    <w:rsid w:val="00076F62"/>
    <w:rsid w:val="0007768D"/>
    <w:rsid w:val="0008009F"/>
    <w:rsid w:val="000818FB"/>
    <w:rsid w:val="000820F0"/>
    <w:rsid w:val="0008427C"/>
    <w:rsid w:val="0008432D"/>
    <w:rsid w:val="00085FB4"/>
    <w:rsid w:val="00086D8F"/>
    <w:rsid w:val="00086DEB"/>
    <w:rsid w:val="0008767C"/>
    <w:rsid w:val="00087DB9"/>
    <w:rsid w:val="00091A3B"/>
    <w:rsid w:val="00092CB6"/>
    <w:rsid w:val="0009345E"/>
    <w:rsid w:val="000937F8"/>
    <w:rsid w:val="0009397A"/>
    <w:rsid w:val="00093AD0"/>
    <w:rsid w:val="000956EB"/>
    <w:rsid w:val="00096950"/>
    <w:rsid w:val="00096F42"/>
    <w:rsid w:val="000975AD"/>
    <w:rsid w:val="00097BAB"/>
    <w:rsid w:val="000A0940"/>
    <w:rsid w:val="000A0EB7"/>
    <w:rsid w:val="000A0F80"/>
    <w:rsid w:val="000A1739"/>
    <w:rsid w:val="000A2533"/>
    <w:rsid w:val="000A4450"/>
    <w:rsid w:val="000A51FF"/>
    <w:rsid w:val="000A6C04"/>
    <w:rsid w:val="000B307B"/>
    <w:rsid w:val="000B6A4A"/>
    <w:rsid w:val="000B7BE2"/>
    <w:rsid w:val="000C0A5D"/>
    <w:rsid w:val="000C5D2C"/>
    <w:rsid w:val="000C6F60"/>
    <w:rsid w:val="000C7144"/>
    <w:rsid w:val="000C7176"/>
    <w:rsid w:val="000C75AD"/>
    <w:rsid w:val="000C7C79"/>
    <w:rsid w:val="000D1818"/>
    <w:rsid w:val="000D253C"/>
    <w:rsid w:val="000D302F"/>
    <w:rsid w:val="000D3AE1"/>
    <w:rsid w:val="000D4585"/>
    <w:rsid w:val="000D5ECA"/>
    <w:rsid w:val="000E1A18"/>
    <w:rsid w:val="000E2262"/>
    <w:rsid w:val="000E324D"/>
    <w:rsid w:val="000E4B1F"/>
    <w:rsid w:val="000E52D7"/>
    <w:rsid w:val="000E7042"/>
    <w:rsid w:val="000E742B"/>
    <w:rsid w:val="000E7ABD"/>
    <w:rsid w:val="000F1AC1"/>
    <w:rsid w:val="000F2CA2"/>
    <w:rsid w:val="000F3710"/>
    <w:rsid w:val="000F3FF5"/>
    <w:rsid w:val="000F45EF"/>
    <w:rsid w:val="000F6C11"/>
    <w:rsid w:val="001012AD"/>
    <w:rsid w:val="001017E7"/>
    <w:rsid w:val="001039FB"/>
    <w:rsid w:val="00103CD9"/>
    <w:rsid w:val="0010401B"/>
    <w:rsid w:val="001055E9"/>
    <w:rsid w:val="00105F37"/>
    <w:rsid w:val="001064AC"/>
    <w:rsid w:val="00106AD1"/>
    <w:rsid w:val="001107AC"/>
    <w:rsid w:val="001127AE"/>
    <w:rsid w:val="00115C96"/>
    <w:rsid w:val="00117015"/>
    <w:rsid w:val="00117C99"/>
    <w:rsid w:val="00117D2E"/>
    <w:rsid w:val="00120933"/>
    <w:rsid w:val="00120EAE"/>
    <w:rsid w:val="001240AF"/>
    <w:rsid w:val="00124A3F"/>
    <w:rsid w:val="00124BDB"/>
    <w:rsid w:val="00124DDA"/>
    <w:rsid w:val="00124F49"/>
    <w:rsid w:val="00125979"/>
    <w:rsid w:val="001266B4"/>
    <w:rsid w:val="00126EC6"/>
    <w:rsid w:val="001270BF"/>
    <w:rsid w:val="00131F12"/>
    <w:rsid w:val="001322A1"/>
    <w:rsid w:val="0013310E"/>
    <w:rsid w:val="00133D97"/>
    <w:rsid w:val="00135B04"/>
    <w:rsid w:val="001424D3"/>
    <w:rsid w:val="00143D8D"/>
    <w:rsid w:val="001442CC"/>
    <w:rsid w:val="0014678E"/>
    <w:rsid w:val="00146F13"/>
    <w:rsid w:val="00147EF8"/>
    <w:rsid w:val="00147F79"/>
    <w:rsid w:val="00150AF5"/>
    <w:rsid w:val="00150C96"/>
    <w:rsid w:val="00152DAF"/>
    <w:rsid w:val="0015445A"/>
    <w:rsid w:val="001545B7"/>
    <w:rsid w:val="00155A1A"/>
    <w:rsid w:val="00156283"/>
    <w:rsid w:val="00160A8B"/>
    <w:rsid w:val="00161353"/>
    <w:rsid w:val="00162BFC"/>
    <w:rsid w:val="00162DEF"/>
    <w:rsid w:val="00162EC9"/>
    <w:rsid w:val="00164342"/>
    <w:rsid w:val="00164959"/>
    <w:rsid w:val="00165382"/>
    <w:rsid w:val="00165935"/>
    <w:rsid w:val="00166158"/>
    <w:rsid w:val="00167BBA"/>
    <w:rsid w:val="0017096D"/>
    <w:rsid w:val="0017129C"/>
    <w:rsid w:val="0017206C"/>
    <w:rsid w:val="00172487"/>
    <w:rsid w:val="00172F27"/>
    <w:rsid w:val="00173244"/>
    <w:rsid w:val="00173EBC"/>
    <w:rsid w:val="0017543D"/>
    <w:rsid w:val="00175F77"/>
    <w:rsid w:val="0017606A"/>
    <w:rsid w:val="0018099D"/>
    <w:rsid w:val="00180F71"/>
    <w:rsid w:val="0018124A"/>
    <w:rsid w:val="00181871"/>
    <w:rsid w:val="00184D93"/>
    <w:rsid w:val="00187410"/>
    <w:rsid w:val="001900A1"/>
    <w:rsid w:val="001900B9"/>
    <w:rsid w:val="001917D1"/>
    <w:rsid w:val="001929A7"/>
    <w:rsid w:val="00192CFD"/>
    <w:rsid w:val="0019307C"/>
    <w:rsid w:val="00193789"/>
    <w:rsid w:val="00193798"/>
    <w:rsid w:val="001952B7"/>
    <w:rsid w:val="00195627"/>
    <w:rsid w:val="001972AF"/>
    <w:rsid w:val="001A0871"/>
    <w:rsid w:val="001A1A41"/>
    <w:rsid w:val="001A2112"/>
    <w:rsid w:val="001A239F"/>
    <w:rsid w:val="001A261B"/>
    <w:rsid w:val="001A2BC5"/>
    <w:rsid w:val="001A3B2A"/>
    <w:rsid w:val="001A3C41"/>
    <w:rsid w:val="001A3EF7"/>
    <w:rsid w:val="001A4B98"/>
    <w:rsid w:val="001A4F41"/>
    <w:rsid w:val="001A71BE"/>
    <w:rsid w:val="001A7CD5"/>
    <w:rsid w:val="001B03A5"/>
    <w:rsid w:val="001B22A1"/>
    <w:rsid w:val="001B2876"/>
    <w:rsid w:val="001B2BF9"/>
    <w:rsid w:val="001B47F2"/>
    <w:rsid w:val="001B4E5A"/>
    <w:rsid w:val="001B5C6F"/>
    <w:rsid w:val="001B6B9C"/>
    <w:rsid w:val="001C1259"/>
    <w:rsid w:val="001C1611"/>
    <w:rsid w:val="001C2101"/>
    <w:rsid w:val="001D0A6A"/>
    <w:rsid w:val="001D14A5"/>
    <w:rsid w:val="001D2702"/>
    <w:rsid w:val="001D300C"/>
    <w:rsid w:val="001D3D53"/>
    <w:rsid w:val="001D5B0F"/>
    <w:rsid w:val="001D6658"/>
    <w:rsid w:val="001D6840"/>
    <w:rsid w:val="001D76C4"/>
    <w:rsid w:val="001E1592"/>
    <w:rsid w:val="001E311C"/>
    <w:rsid w:val="001E6AB8"/>
    <w:rsid w:val="001E7EDB"/>
    <w:rsid w:val="001F08CF"/>
    <w:rsid w:val="001F08D7"/>
    <w:rsid w:val="001F0AC0"/>
    <w:rsid w:val="001F1DC2"/>
    <w:rsid w:val="001F2983"/>
    <w:rsid w:val="001F3204"/>
    <w:rsid w:val="001F55DF"/>
    <w:rsid w:val="001F6067"/>
    <w:rsid w:val="001F6B77"/>
    <w:rsid w:val="001F7D5D"/>
    <w:rsid w:val="0020003C"/>
    <w:rsid w:val="00202EB9"/>
    <w:rsid w:val="0020383C"/>
    <w:rsid w:val="00204694"/>
    <w:rsid w:val="00205091"/>
    <w:rsid w:val="00207906"/>
    <w:rsid w:val="00210A59"/>
    <w:rsid w:val="00211D59"/>
    <w:rsid w:val="00213147"/>
    <w:rsid w:val="00214468"/>
    <w:rsid w:val="00214A4A"/>
    <w:rsid w:val="00217035"/>
    <w:rsid w:val="00221B21"/>
    <w:rsid w:val="00221B6D"/>
    <w:rsid w:val="00225472"/>
    <w:rsid w:val="00227BA7"/>
    <w:rsid w:val="00227D2E"/>
    <w:rsid w:val="00230D6E"/>
    <w:rsid w:val="00230F0D"/>
    <w:rsid w:val="00231A7F"/>
    <w:rsid w:val="00231EFB"/>
    <w:rsid w:val="002338DF"/>
    <w:rsid w:val="00235DC0"/>
    <w:rsid w:val="00240E98"/>
    <w:rsid w:val="00242E93"/>
    <w:rsid w:val="002431E8"/>
    <w:rsid w:val="00243973"/>
    <w:rsid w:val="00243BF8"/>
    <w:rsid w:val="00245D96"/>
    <w:rsid w:val="0024679A"/>
    <w:rsid w:val="00250401"/>
    <w:rsid w:val="00250FAB"/>
    <w:rsid w:val="002524D7"/>
    <w:rsid w:val="00252B94"/>
    <w:rsid w:val="00253BE8"/>
    <w:rsid w:val="00253DB2"/>
    <w:rsid w:val="00254D05"/>
    <w:rsid w:val="00255A76"/>
    <w:rsid w:val="00255E29"/>
    <w:rsid w:val="00257A0E"/>
    <w:rsid w:val="00257C43"/>
    <w:rsid w:val="002617B1"/>
    <w:rsid w:val="00261F11"/>
    <w:rsid w:val="00265452"/>
    <w:rsid w:val="00267DED"/>
    <w:rsid w:val="002724B1"/>
    <w:rsid w:val="0027273C"/>
    <w:rsid w:val="00275F4A"/>
    <w:rsid w:val="0028166B"/>
    <w:rsid w:val="00283209"/>
    <w:rsid w:val="0028498A"/>
    <w:rsid w:val="002865F6"/>
    <w:rsid w:val="00286A56"/>
    <w:rsid w:val="00287CF2"/>
    <w:rsid w:val="002901E0"/>
    <w:rsid w:val="00290D6E"/>
    <w:rsid w:val="00291B96"/>
    <w:rsid w:val="002923B3"/>
    <w:rsid w:val="0029313D"/>
    <w:rsid w:val="002946FF"/>
    <w:rsid w:val="0029571A"/>
    <w:rsid w:val="0029574A"/>
    <w:rsid w:val="00296EA8"/>
    <w:rsid w:val="002978A1"/>
    <w:rsid w:val="002A0F18"/>
    <w:rsid w:val="002A259F"/>
    <w:rsid w:val="002A2B8A"/>
    <w:rsid w:val="002A43EF"/>
    <w:rsid w:val="002A5547"/>
    <w:rsid w:val="002B0529"/>
    <w:rsid w:val="002B2E94"/>
    <w:rsid w:val="002B4459"/>
    <w:rsid w:val="002B44A9"/>
    <w:rsid w:val="002B4504"/>
    <w:rsid w:val="002B503F"/>
    <w:rsid w:val="002B6043"/>
    <w:rsid w:val="002B7A49"/>
    <w:rsid w:val="002B7B47"/>
    <w:rsid w:val="002C0DE9"/>
    <w:rsid w:val="002C4CF9"/>
    <w:rsid w:val="002C6CE4"/>
    <w:rsid w:val="002C763E"/>
    <w:rsid w:val="002D1038"/>
    <w:rsid w:val="002D5131"/>
    <w:rsid w:val="002D6785"/>
    <w:rsid w:val="002D688F"/>
    <w:rsid w:val="002D6B23"/>
    <w:rsid w:val="002E1A27"/>
    <w:rsid w:val="002E1BBA"/>
    <w:rsid w:val="002E33DD"/>
    <w:rsid w:val="002E393C"/>
    <w:rsid w:val="002E64BE"/>
    <w:rsid w:val="002E71F1"/>
    <w:rsid w:val="002E7DC6"/>
    <w:rsid w:val="002F1F4A"/>
    <w:rsid w:val="002F2011"/>
    <w:rsid w:val="002F20AB"/>
    <w:rsid w:val="002F2345"/>
    <w:rsid w:val="002F330A"/>
    <w:rsid w:val="002F7BE7"/>
    <w:rsid w:val="0030058B"/>
    <w:rsid w:val="00300CF9"/>
    <w:rsid w:val="00300E36"/>
    <w:rsid w:val="00301D9F"/>
    <w:rsid w:val="00303127"/>
    <w:rsid w:val="00304138"/>
    <w:rsid w:val="0030690A"/>
    <w:rsid w:val="00306DE6"/>
    <w:rsid w:val="003071A1"/>
    <w:rsid w:val="003106C4"/>
    <w:rsid w:val="0031077B"/>
    <w:rsid w:val="00310803"/>
    <w:rsid w:val="00311747"/>
    <w:rsid w:val="00311FCA"/>
    <w:rsid w:val="00312032"/>
    <w:rsid w:val="00312D1F"/>
    <w:rsid w:val="003169D9"/>
    <w:rsid w:val="00317A3A"/>
    <w:rsid w:val="00320A40"/>
    <w:rsid w:val="0032385F"/>
    <w:rsid w:val="003278B1"/>
    <w:rsid w:val="00332FAA"/>
    <w:rsid w:val="00333EFB"/>
    <w:rsid w:val="0033413E"/>
    <w:rsid w:val="003377CA"/>
    <w:rsid w:val="00340212"/>
    <w:rsid w:val="0034319E"/>
    <w:rsid w:val="00344D27"/>
    <w:rsid w:val="00345261"/>
    <w:rsid w:val="00345ED5"/>
    <w:rsid w:val="00350057"/>
    <w:rsid w:val="0035091C"/>
    <w:rsid w:val="003509ED"/>
    <w:rsid w:val="00351422"/>
    <w:rsid w:val="00351A77"/>
    <w:rsid w:val="00351BE4"/>
    <w:rsid w:val="003530CC"/>
    <w:rsid w:val="00356574"/>
    <w:rsid w:val="00356E28"/>
    <w:rsid w:val="003575CA"/>
    <w:rsid w:val="003620FA"/>
    <w:rsid w:val="00362F8C"/>
    <w:rsid w:val="00367DF8"/>
    <w:rsid w:val="003708EF"/>
    <w:rsid w:val="0037385E"/>
    <w:rsid w:val="00373EC1"/>
    <w:rsid w:val="00374FC2"/>
    <w:rsid w:val="00377C39"/>
    <w:rsid w:val="00377F8E"/>
    <w:rsid w:val="003801D6"/>
    <w:rsid w:val="003832EC"/>
    <w:rsid w:val="00383C88"/>
    <w:rsid w:val="003855C9"/>
    <w:rsid w:val="00386A25"/>
    <w:rsid w:val="003908F6"/>
    <w:rsid w:val="0039105A"/>
    <w:rsid w:val="003913E3"/>
    <w:rsid w:val="003929B3"/>
    <w:rsid w:val="00393460"/>
    <w:rsid w:val="00393A40"/>
    <w:rsid w:val="0039564A"/>
    <w:rsid w:val="00396D5A"/>
    <w:rsid w:val="00396F25"/>
    <w:rsid w:val="00397CA0"/>
    <w:rsid w:val="003A241C"/>
    <w:rsid w:val="003A29EA"/>
    <w:rsid w:val="003A3347"/>
    <w:rsid w:val="003A3829"/>
    <w:rsid w:val="003A46C9"/>
    <w:rsid w:val="003A562B"/>
    <w:rsid w:val="003A606E"/>
    <w:rsid w:val="003A7064"/>
    <w:rsid w:val="003B030B"/>
    <w:rsid w:val="003B0B67"/>
    <w:rsid w:val="003B17E8"/>
    <w:rsid w:val="003B26B1"/>
    <w:rsid w:val="003B4254"/>
    <w:rsid w:val="003B5607"/>
    <w:rsid w:val="003B59CD"/>
    <w:rsid w:val="003B5FE0"/>
    <w:rsid w:val="003B604B"/>
    <w:rsid w:val="003B677E"/>
    <w:rsid w:val="003B695B"/>
    <w:rsid w:val="003B6CA8"/>
    <w:rsid w:val="003B6CC5"/>
    <w:rsid w:val="003C137A"/>
    <w:rsid w:val="003C2934"/>
    <w:rsid w:val="003C2C88"/>
    <w:rsid w:val="003C2CFD"/>
    <w:rsid w:val="003C2E51"/>
    <w:rsid w:val="003C396C"/>
    <w:rsid w:val="003C4A4A"/>
    <w:rsid w:val="003C620C"/>
    <w:rsid w:val="003C6992"/>
    <w:rsid w:val="003C710D"/>
    <w:rsid w:val="003C7446"/>
    <w:rsid w:val="003D0448"/>
    <w:rsid w:val="003D0FBA"/>
    <w:rsid w:val="003D1506"/>
    <w:rsid w:val="003D1702"/>
    <w:rsid w:val="003D3820"/>
    <w:rsid w:val="003D3B31"/>
    <w:rsid w:val="003E18D8"/>
    <w:rsid w:val="003E431C"/>
    <w:rsid w:val="003E6D15"/>
    <w:rsid w:val="003F01EC"/>
    <w:rsid w:val="003F08A7"/>
    <w:rsid w:val="003F10B4"/>
    <w:rsid w:val="003F162E"/>
    <w:rsid w:val="003F298D"/>
    <w:rsid w:val="003F2AB6"/>
    <w:rsid w:val="003F63F2"/>
    <w:rsid w:val="0040074A"/>
    <w:rsid w:val="004017E5"/>
    <w:rsid w:val="004046B5"/>
    <w:rsid w:val="00404829"/>
    <w:rsid w:val="004107F0"/>
    <w:rsid w:val="0041105C"/>
    <w:rsid w:val="004121F7"/>
    <w:rsid w:val="004134D8"/>
    <w:rsid w:val="0041414C"/>
    <w:rsid w:val="0041757E"/>
    <w:rsid w:val="00417661"/>
    <w:rsid w:val="00417DA3"/>
    <w:rsid w:val="00420EDE"/>
    <w:rsid w:val="00421D69"/>
    <w:rsid w:val="0042362D"/>
    <w:rsid w:val="004259A6"/>
    <w:rsid w:val="00427D6B"/>
    <w:rsid w:val="00430378"/>
    <w:rsid w:val="00431AEE"/>
    <w:rsid w:val="004343C1"/>
    <w:rsid w:val="004344C0"/>
    <w:rsid w:val="0043473A"/>
    <w:rsid w:val="00434E57"/>
    <w:rsid w:val="00435CCB"/>
    <w:rsid w:val="00435CE5"/>
    <w:rsid w:val="00435E0C"/>
    <w:rsid w:val="00436117"/>
    <w:rsid w:val="00436ECB"/>
    <w:rsid w:val="00437F21"/>
    <w:rsid w:val="004421F1"/>
    <w:rsid w:val="00443720"/>
    <w:rsid w:val="0044407A"/>
    <w:rsid w:val="00444414"/>
    <w:rsid w:val="00444980"/>
    <w:rsid w:val="00444E8C"/>
    <w:rsid w:val="004466BF"/>
    <w:rsid w:val="004518F7"/>
    <w:rsid w:val="0045202E"/>
    <w:rsid w:val="00452844"/>
    <w:rsid w:val="00454539"/>
    <w:rsid w:val="00455284"/>
    <w:rsid w:val="004604D3"/>
    <w:rsid w:val="00461F7E"/>
    <w:rsid w:val="0046206E"/>
    <w:rsid w:val="00463482"/>
    <w:rsid w:val="00463583"/>
    <w:rsid w:val="00463D16"/>
    <w:rsid w:val="00463F13"/>
    <w:rsid w:val="00464A72"/>
    <w:rsid w:val="00467235"/>
    <w:rsid w:val="0046775F"/>
    <w:rsid w:val="00471BA7"/>
    <w:rsid w:val="00472E2D"/>
    <w:rsid w:val="004736F9"/>
    <w:rsid w:val="00474092"/>
    <w:rsid w:val="00474304"/>
    <w:rsid w:val="00475136"/>
    <w:rsid w:val="00475C03"/>
    <w:rsid w:val="00476D6C"/>
    <w:rsid w:val="00480688"/>
    <w:rsid w:val="004807E3"/>
    <w:rsid w:val="00483D25"/>
    <w:rsid w:val="00485811"/>
    <w:rsid w:val="00486576"/>
    <w:rsid w:val="00490305"/>
    <w:rsid w:val="004905B4"/>
    <w:rsid w:val="0049109E"/>
    <w:rsid w:val="0049174B"/>
    <w:rsid w:val="004930CF"/>
    <w:rsid w:val="00493C9F"/>
    <w:rsid w:val="00494780"/>
    <w:rsid w:val="004975AA"/>
    <w:rsid w:val="004A0593"/>
    <w:rsid w:val="004A05CD"/>
    <w:rsid w:val="004A0DCF"/>
    <w:rsid w:val="004A0F23"/>
    <w:rsid w:val="004A0FE6"/>
    <w:rsid w:val="004A1E39"/>
    <w:rsid w:val="004A2227"/>
    <w:rsid w:val="004A2DDC"/>
    <w:rsid w:val="004A38E3"/>
    <w:rsid w:val="004A5B43"/>
    <w:rsid w:val="004A6DD5"/>
    <w:rsid w:val="004A6E0A"/>
    <w:rsid w:val="004A7D32"/>
    <w:rsid w:val="004B3751"/>
    <w:rsid w:val="004B3A37"/>
    <w:rsid w:val="004B47A3"/>
    <w:rsid w:val="004B53D6"/>
    <w:rsid w:val="004B5E6C"/>
    <w:rsid w:val="004B638F"/>
    <w:rsid w:val="004C0806"/>
    <w:rsid w:val="004C31A3"/>
    <w:rsid w:val="004C4256"/>
    <w:rsid w:val="004C4A5C"/>
    <w:rsid w:val="004C5BDE"/>
    <w:rsid w:val="004C6746"/>
    <w:rsid w:val="004C7D84"/>
    <w:rsid w:val="004D1CFD"/>
    <w:rsid w:val="004D4476"/>
    <w:rsid w:val="004D4912"/>
    <w:rsid w:val="004D49AC"/>
    <w:rsid w:val="004D564D"/>
    <w:rsid w:val="004D678C"/>
    <w:rsid w:val="004D69AB"/>
    <w:rsid w:val="004D725E"/>
    <w:rsid w:val="004D7EC1"/>
    <w:rsid w:val="004E2B78"/>
    <w:rsid w:val="004E4AC4"/>
    <w:rsid w:val="004E6287"/>
    <w:rsid w:val="004E702E"/>
    <w:rsid w:val="004F1BDB"/>
    <w:rsid w:val="004F31F1"/>
    <w:rsid w:val="004F448C"/>
    <w:rsid w:val="004F5D30"/>
    <w:rsid w:val="004F6583"/>
    <w:rsid w:val="004F6D6A"/>
    <w:rsid w:val="004F7A80"/>
    <w:rsid w:val="004F7AA5"/>
    <w:rsid w:val="00502776"/>
    <w:rsid w:val="00503BF5"/>
    <w:rsid w:val="00505776"/>
    <w:rsid w:val="005069CE"/>
    <w:rsid w:val="00506B03"/>
    <w:rsid w:val="0050752F"/>
    <w:rsid w:val="0051036C"/>
    <w:rsid w:val="00512B8A"/>
    <w:rsid w:val="00513E31"/>
    <w:rsid w:val="00514EA8"/>
    <w:rsid w:val="00515E52"/>
    <w:rsid w:val="00517B20"/>
    <w:rsid w:val="005206FB"/>
    <w:rsid w:val="00520BF9"/>
    <w:rsid w:val="0052222D"/>
    <w:rsid w:val="00522421"/>
    <w:rsid w:val="005227AC"/>
    <w:rsid w:val="00524424"/>
    <w:rsid w:val="00524A0F"/>
    <w:rsid w:val="005254D4"/>
    <w:rsid w:val="00525EDC"/>
    <w:rsid w:val="005265D9"/>
    <w:rsid w:val="005266C2"/>
    <w:rsid w:val="00527AF8"/>
    <w:rsid w:val="00530623"/>
    <w:rsid w:val="00531544"/>
    <w:rsid w:val="00534323"/>
    <w:rsid w:val="00534EE4"/>
    <w:rsid w:val="00535F02"/>
    <w:rsid w:val="0053721C"/>
    <w:rsid w:val="005378BD"/>
    <w:rsid w:val="00541088"/>
    <w:rsid w:val="00541D99"/>
    <w:rsid w:val="0054435F"/>
    <w:rsid w:val="00545096"/>
    <w:rsid w:val="0054570A"/>
    <w:rsid w:val="00545A2C"/>
    <w:rsid w:val="00546CA1"/>
    <w:rsid w:val="00546F0C"/>
    <w:rsid w:val="00547163"/>
    <w:rsid w:val="0054723D"/>
    <w:rsid w:val="00547436"/>
    <w:rsid w:val="00550989"/>
    <w:rsid w:val="00550D96"/>
    <w:rsid w:val="00551CB9"/>
    <w:rsid w:val="005537AD"/>
    <w:rsid w:val="005548B0"/>
    <w:rsid w:val="00554C04"/>
    <w:rsid w:val="005551E2"/>
    <w:rsid w:val="00557BCF"/>
    <w:rsid w:val="00562995"/>
    <w:rsid w:val="00563DAB"/>
    <w:rsid w:val="00565175"/>
    <w:rsid w:val="00565450"/>
    <w:rsid w:val="005660B9"/>
    <w:rsid w:val="00570C27"/>
    <w:rsid w:val="00571181"/>
    <w:rsid w:val="00571A04"/>
    <w:rsid w:val="00574FAA"/>
    <w:rsid w:val="0057530B"/>
    <w:rsid w:val="005755F3"/>
    <w:rsid w:val="005770C3"/>
    <w:rsid w:val="00580913"/>
    <w:rsid w:val="00581321"/>
    <w:rsid w:val="00582361"/>
    <w:rsid w:val="00584B9D"/>
    <w:rsid w:val="005859B5"/>
    <w:rsid w:val="00587194"/>
    <w:rsid w:val="00587698"/>
    <w:rsid w:val="005902CE"/>
    <w:rsid w:val="00590CB5"/>
    <w:rsid w:val="0059311A"/>
    <w:rsid w:val="0059342A"/>
    <w:rsid w:val="00596C0B"/>
    <w:rsid w:val="00597CED"/>
    <w:rsid w:val="005A0E1D"/>
    <w:rsid w:val="005A2467"/>
    <w:rsid w:val="005A2595"/>
    <w:rsid w:val="005A3346"/>
    <w:rsid w:val="005A3B1D"/>
    <w:rsid w:val="005A3C01"/>
    <w:rsid w:val="005A461E"/>
    <w:rsid w:val="005A66FC"/>
    <w:rsid w:val="005A7334"/>
    <w:rsid w:val="005A7685"/>
    <w:rsid w:val="005A7BED"/>
    <w:rsid w:val="005B025A"/>
    <w:rsid w:val="005B248B"/>
    <w:rsid w:val="005B2516"/>
    <w:rsid w:val="005B2BDE"/>
    <w:rsid w:val="005B387F"/>
    <w:rsid w:val="005B3BD2"/>
    <w:rsid w:val="005B606C"/>
    <w:rsid w:val="005B66D3"/>
    <w:rsid w:val="005C085F"/>
    <w:rsid w:val="005C19D8"/>
    <w:rsid w:val="005C1C5A"/>
    <w:rsid w:val="005C2225"/>
    <w:rsid w:val="005C31C9"/>
    <w:rsid w:val="005C3B96"/>
    <w:rsid w:val="005C458F"/>
    <w:rsid w:val="005C661D"/>
    <w:rsid w:val="005C6722"/>
    <w:rsid w:val="005C7391"/>
    <w:rsid w:val="005C7936"/>
    <w:rsid w:val="005D1620"/>
    <w:rsid w:val="005D269F"/>
    <w:rsid w:val="005D29AD"/>
    <w:rsid w:val="005D2A01"/>
    <w:rsid w:val="005D4289"/>
    <w:rsid w:val="005D5B8A"/>
    <w:rsid w:val="005E0DC3"/>
    <w:rsid w:val="005E14BE"/>
    <w:rsid w:val="005E25A0"/>
    <w:rsid w:val="005E45DD"/>
    <w:rsid w:val="005E799C"/>
    <w:rsid w:val="005F1D7B"/>
    <w:rsid w:val="005F288E"/>
    <w:rsid w:val="005F2B51"/>
    <w:rsid w:val="005F4CEA"/>
    <w:rsid w:val="005F583A"/>
    <w:rsid w:val="005F6B42"/>
    <w:rsid w:val="005F7975"/>
    <w:rsid w:val="005F7A1F"/>
    <w:rsid w:val="00600602"/>
    <w:rsid w:val="00600AC6"/>
    <w:rsid w:val="006018EB"/>
    <w:rsid w:val="006027B0"/>
    <w:rsid w:val="00604455"/>
    <w:rsid w:val="00607FBD"/>
    <w:rsid w:val="00607FC8"/>
    <w:rsid w:val="00611180"/>
    <w:rsid w:val="00614195"/>
    <w:rsid w:val="00614452"/>
    <w:rsid w:val="006145D8"/>
    <w:rsid w:val="00615133"/>
    <w:rsid w:val="00615E1E"/>
    <w:rsid w:val="00616841"/>
    <w:rsid w:val="00617636"/>
    <w:rsid w:val="00620C95"/>
    <w:rsid w:val="0062698A"/>
    <w:rsid w:val="006278ED"/>
    <w:rsid w:val="00630A34"/>
    <w:rsid w:val="00631D04"/>
    <w:rsid w:val="00634AD8"/>
    <w:rsid w:val="00634D8C"/>
    <w:rsid w:val="00634E55"/>
    <w:rsid w:val="006352B7"/>
    <w:rsid w:val="00635ED8"/>
    <w:rsid w:val="0063671B"/>
    <w:rsid w:val="0063767B"/>
    <w:rsid w:val="00637AB3"/>
    <w:rsid w:val="00640CA5"/>
    <w:rsid w:val="00641308"/>
    <w:rsid w:val="0064234D"/>
    <w:rsid w:val="006449F5"/>
    <w:rsid w:val="00644F63"/>
    <w:rsid w:val="00645798"/>
    <w:rsid w:val="006472F2"/>
    <w:rsid w:val="00650262"/>
    <w:rsid w:val="006507EA"/>
    <w:rsid w:val="006508CF"/>
    <w:rsid w:val="0065133D"/>
    <w:rsid w:val="00652D2F"/>
    <w:rsid w:val="006535FE"/>
    <w:rsid w:val="006545A0"/>
    <w:rsid w:val="00655913"/>
    <w:rsid w:val="006562FD"/>
    <w:rsid w:val="006568AE"/>
    <w:rsid w:val="00656C54"/>
    <w:rsid w:val="00660082"/>
    <w:rsid w:val="00661297"/>
    <w:rsid w:val="006615CB"/>
    <w:rsid w:val="006627C2"/>
    <w:rsid w:val="00662B8C"/>
    <w:rsid w:val="006641CB"/>
    <w:rsid w:val="006642B1"/>
    <w:rsid w:val="0066436E"/>
    <w:rsid w:val="006668E1"/>
    <w:rsid w:val="006678FC"/>
    <w:rsid w:val="00667F0F"/>
    <w:rsid w:val="00671D69"/>
    <w:rsid w:val="00672F20"/>
    <w:rsid w:val="00673453"/>
    <w:rsid w:val="006736FA"/>
    <w:rsid w:val="00676C54"/>
    <w:rsid w:val="00680DC6"/>
    <w:rsid w:val="00684673"/>
    <w:rsid w:val="0068471D"/>
    <w:rsid w:val="0068549C"/>
    <w:rsid w:val="006862CD"/>
    <w:rsid w:val="006904E2"/>
    <w:rsid w:val="00690E0F"/>
    <w:rsid w:val="00692159"/>
    <w:rsid w:val="00692569"/>
    <w:rsid w:val="006938F5"/>
    <w:rsid w:val="00694281"/>
    <w:rsid w:val="006950A1"/>
    <w:rsid w:val="00695FDF"/>
    <w:rsid w:val="0069656E"/>
    <w:rsid w:val="006975BD"/>
    <w:rsid w:val="006A04FE"/>
    <w:rsid w:val="006A3A7B"/>
    <w:rsid w:val="006A5F1E"/>
    <w:rsid w:val="006A66EB"/>
    <w:rsid w:val="006A6927"/>
    <w:rsid w:val="006A6C0A"/>
    <w:rsid w:val="006A6FA0"/>
    <w:rsid w:val="006A7035"/>
    <w:rsid w:val="006A78E4"/>
    <w:rsid w:val="006B0DC5"/>
    <w:rsid w:val="006B0F10"/>
    <w:rsid w:val="006B28B3"/>
    <w:rsid w:val="006B3DB3"/>
    <w:rsid w:val="006B6B2E"/>
    <w:rsid w:val="006B6D9B"/>
    <w:rsid w:val="006B77CB"/>
    <w:rsid w:val="006C0A90"/>
    <w:rsid w:val="006C11A5"/>
    <w:rsid w:val="006C1FB5"/>
    <w:rsid w:val="006C2AFC"/>
    <w:rsid w:val="006C325C"/>
    <w:rsid w:val="006C5C89"/>
    <w:rsid w:val="006D1972"/>
    <w:rsid w:val="006D1B00"/>
    <w:rsid w:val="006D3B8F"/>
    <w:rsid w:val="006D5236"/>
    <w:rsid w:val="006D5F62"/>
    <w:rsid w:val="006D6BA1"/>
    <w:rsid w:val="006D7214"/>
    <w:rsid w:val="006E1629"/>
    <w:rsid w:val="006E1832"/>
    <w:rsid w:val="006E3DA0"/>
    <w:rsid w:val="006E5690"/>
    <w:rsid w:val="006E6874"/>
    <w:rsid w:val="006E6B60"/>
    <w:rsid w:val="006E71AC"/>
    <w:rsid w:val="006E78FF"/>
    <w:rsid w:val="006F01CE"/>
    <w:rsid w:val="006F07F5"/>
    <w:rsid w:val="006F1D71"/>
    <w:rsid w:val="006F1FC6"/>
    <w:rsid w:val="006F24DB"/>
    <w:rsid w:val="006F2808"/>
    <w:rsid w:val="006F4219"/>
    <w:rsid w:val="006F44E5"/>
    <w:rsid w:val="006F4A4C"/>
    <w:rsid w:val="006F52B4"/>
    <w:rsid w:val="006F562A"/>
    <w:rsid w:val="006F5A2B"/>
    <w:rsid w:val="006F6160"/>
    <w:rsid w:val="006F695B"/>
    <w:rsid w:val="00701835"/>
    <w:rsid w:val="00701A66"/>
    <w:rsid w:val="00705353"/>
    <w:rsid w:val="00707B4A"/>
    <w:rsid w:val="007117A0"/>
    <w:rsid w:val="00716B70"/>
    <w:rsid w:val="00716B79"/>
    <w:rsid w:val="007201D5"/>
    <w:rsid w:val="0072020C"/>
    <w:rsid w:val="00720D87"/>
    <w:rsid w:val="0072250C"/>
    <w:rsid w:val="007238E9"/>
    <w:rsid w:val="007239AD"/>
    <w:rsid w:val="00723F96"/>
    <w:rsid w:val="00725575"/>
    <w:rsid w:val="00725A38"/>
    <w:rsid w:val="00726989"/>
    <w:rsid w:val="0073192F"/>
    <w:rsid w:val="00731B65"/>
    <w:rsid w:val="00731CB2"/>
    <w:rsid w:val="00732403"/>
    <w:rsid w:val="007328DA"/>
    <w:rsid w:val="0073555B"/>
    <w:rsid w:val="00735CD2"/>
    <w:rsid w:val="00740452"/>
    <w:rsid w:val="00740778"/>
    <w:rsid w:val="00743286"/>
    <w:rsid w:val="007469AE"/>
    <w:rsid w:val="007470B5"/>
    <w:rsid w:val="00747531"/>
    <w:rsid w:val="00747ED4"/>
    <w:rsid w:val="00751EE2"/>
    <w:rsid w:val="007535D5"/>
    <w:rsid w:val="00753EFD"/>
    <w:rsid w:val="007552B7"/>
    <w:rsid w:val="00755DA9"/>
    <w:rsid w:val="00757533"/>
    <w:rsid w:val="00757715"/>
    <w:rsid w:val="007640D2"/>
    <w:rsid w:val="00764347"/>
    <w:rsid w:val="007671B0"/>
    <w:rsid w:val="00771090"/>
    <w:rsid w:val="007720C9"/>
    <w:rsid w:val="0077234A"/>
    <w:rsid w:val="00772855"/>
    <w:rsid w:val="00774500"/>
    <w:rsid w:val="00775C19"/>
    <w:rsid w:val="00775E15"/>
    <w:rsid w:val="00775F63"/>
    <w:rsid w:val="00776B80"/>
    <w:rsid w:val="007776C4"/>
    <w:rsid w:val="00777919"/>
    <w:rsid w:val="007800F2"/>
    <w:rsid w:val="00781457"/>
    <w:rsid w:val="00781B9C"/>
    <w:rsid w:val="007857F3"/>
    <w:rsid w:val="00785B30"/>
    <w:rsid w:val="007860C0"/>
    <w:rsid w:val="00786CF7"/>
    <w:rsid w:val="00790B5F"/>
    <w:rsid w:val="00791A42"/>
    <w:rsid w:val="007937B6"/>
    <w:rsid w:val="00794635"/>
    <w:rsid w:val="007956E2"/>
    <w:rsid w:val="00795905"/>
    <w:rsid w:val="00795FFE"/>
    <w:rsid w:val="007962BE"/>
    <w:rsid w:val="0079684A"/>
    <w:rsid w:val="00797324"/>
    <w:rsid w:val="00797588"/>
    <w:rsid w:val="0079762C"/>
    <w:rsid w:val="007A16DB"/>
    <w:rsid w:val="007A1A8D"/>
    <w:rsid w:val="007A21BD"/>
    <w:rsid w:val="007A2210"/>
    <w:rsid w:val="007A3458"/>
    <w:rsid w:val="007A36F0"/>
    <w:rsid w:val="007A53D4"/>
    <w:rsid w:val="007A5415"/>
    <w:rsid w:val="007A56E2"/>
    <w:rsid w:val="007A6DAB"/>
    <w:rsid w:val="007A6EFF"/>
    <w:rsid w:val="007A73BB"/>
    <w:rsid w:val="007B1C17"/>
    <w:rsid w:val="007B2DD3"/>
    <w:rsid w:val="007B4249"/>
    <w:rsid w:val="007B4307"/>
    <w:rsid w:val="007B4FAE"/>
    <w:rsid w:val="007B68AB"/>
    <w:rsid w:val="007B7CB1"/>
    <w:rsid w:val="007C1154"/>
    <w:rsid w:val="007C1F0B"/>
    <w:rsid w:val="007C3091"/>
    <w:rsid w:val="007C32C7"/>
    <w:rsid w:val="007C68C1"/>
    <w:rsid w:val="007C6965"/>
    <w:rsid w:val="007D130E"/>
    <w:rsid w:val="007D1E22"/>
    <w:rsid w:val="007D4737"/>
    <w:rsid w:val="007D6F7F"/>
    <w:rsid w:val="007E1963"/>
    <w:rsid w:val="007E269D"/>
    <w:rsid w:val="007E2FA0"/>
    <w:rsid w:val="007E3CDF"/>
    <w:rsid w:val="007E4E84"/>
    <w:rsid w:val="007E62ED"/>
    <w:rsid w:val="007E7710"/>
    <w:rsid w:val="007F2158"/>
    <w:rsid w:val="007F3A65"/>
    <w:rsid w:val="007F7D49"/>
    <w:rsid w:val="00800654"/>
    <w:rsid w:val="00800C57"/>
    <w:rsid w:val="008025E6"/>
    <w:rsid w:val="008067C9"/>
    <w:rsid w:val="008114E1"/>
    <w:rsid w:val="00812318"/>
    <w:rsid w:val="0081509A"/>
    <w:rsid w:val="0081536B"/>
    <w:rsid w:val="0081561D"/>
    <w:rsid w:val="00815BC3"/>
    <w:rsid w:val="00816246"/>
    <w:rsid w:val="0081669C"/>
    <w:rsid w:val="00821AC0"/>
    <w:rsid w:val="00821FFD"/>
    <w:rsid w:val="00823227"/>
    <w:rsid w:val="008241DE"/>
    <w:rsid w:val="008260C7"/>
    <w:rsid w:val="00830F64"/>
    <w:rsid w:val="0083685E"/>
    <w:rsid w:val="00836EE1"/>
    <w:rsid w:val="00843062"/>
    <w:rsid w:val="00843342"/>
    <w:rsid w:val="00843668"/>
    <w:rsid w:val="00844928"/>
    <w:rsid w:val="00845D57"/>
    <w:rsid w:val="00846E0C"/>
    <w:rsid w:val="0084769F"/>
    <w:rsid w:val="00847A96"/>
    <w:rsid w:val="00847D64"/>
    <w:rsid w:val="00847F3F"/>
    <w:rsid w:val="00851A70"/>
    <w:rsid w:val="0085260A"/>
    <w:rsid w:val="00852D40"/>
    <w:rsid w:val="00854008"/>
    <w:rsid w:val="00857554"/>
    <w:rsid w:val="008577D9"/>
    <w:rsid w:val="00860841"/>
    <w:rsid w:val="00860DAD"/>
    <w:rsid w:val="00860E07"/>
    <w:rsid w:val="008616C9"/>
    <w:rsid w:val="008630A2"/>
    <w:rsid w:val="00864D0F"/>
    <w:rsid w:val="0086594C"/>
    <w:rsid w:val="0086606D"/>
    <w:rsid w:val="00866292"/>
    <w:rsid w:val="00866D83"/>
    <w:rsid w:val="00872389"/>
    <w:rsid w:val="00872680"/>
    <w:rsid w:val="00875D4E"/>
    <w:rsid w:val="00877A45"/>
    <w:rsid w:val="0088212C"/>
    <w:rsid w:val="00882F38"/>
    <w:rsid w:val="008847CB"/>
    <w:rsid w:val="0088683E"/>
    <w:rsid w:val="0089263B"/>
    <w:rsid w:val="00893FCA"/>
    <w:rsid w:val="008961CD"/>
    <w:rsid w:val="00896588"/>
    <w:rsid w:val="00896FA9"/>
    <w:rsid w:val="008A1328"/>
    <w:rsid w:val="008A14FC"/>
    <w:rsid w:val="008A2B57"/>
    <w:rsid w:val="008A4A7A"/>
    <w:rsid w:val="008A4D55"/>
    <w:rsid w:val="008A6C90"/>
    <w:rsid w:val="008B0BC9"/>
    <w:rsid w:val="008B0D88"/>
    <w:rsid w:val="008B2D04"/>
    <w:rsid w:val="008B3C3E"/>
    <w:rsid w:val="008B615C"/>
    <w:rsid w:val="008B7331"/>
    <w:rsid w:val="008C043B"/>
    <w:rsid w:val="008C0916"/>
    <w:rsid w:val="008C0F06"/>
    <w:rsid w:val="008C16DE"/>
    <w:rsid w:val="008C3D59"/>
    <w:rsid w:val="008C42CD"/>
    <w:rsid w:val="008C4916"/>
    <w:rsid w:val="008C4B4E"/>
    <w:rsid w:val="008C4B67"/>
    <w:rsid w:val="008C7AF3"/>
    <w:rsid w:val="008D112B"/>
    <w:rsid w:val="008D2CD7"/>
    <w:rsid w:val="008D4074"/>
    <w:rsid w:val="008D4EE1"/>
    <w:rsid w:val="008D5CC7"/>
    <w:rsid w:val="008D698B"/>
    <w:rsid w:val="008D767F"/>
    <w:rsid w:val="008D77CB"/>
    <w:rsid w:val="008E1D0B"/>
    <w:rsid w:val="008E33BF"/>
    <w:rsid w:val="008E4DA9"/>
    <w:rsid w:val="008E50EF"/>
    <w:rsid w:val="008E5C6D"/>
    <w:rsid w:val="008E6FC1"/>
    <w:rsid w:val="008F04FE"/>
    <w:rsid w:val="008F05E9"/>
    <w:rsid w:val="008F2A37"/>
    <w:rsid w:val="008F2DE9"/>
    <w:rsid w:val="008F2E47"/>
    <w:rsid w:val="008F3514"/>
    <w:rsid w:val="008F449D"/>
    <w:rsid w:val="008F533C"/>
    <w:rsid w:val="008F60D0"/>
    <w:rsid w:val="008F6566"/>
    <w:rsid w:val="008F679C"/>
    <w:rsid w:val="008F6FC2"/>
    <w:rsid w:val="008F71EF"/>
    <w:rsid w:val="008F7A9D"/>
    <w:rsid w:val="00900508"/>
    <w:rsid w:val="00901E1E"/>
    <w:rsid w:val="009026FC"/>
    <w:rsid w:val="00902D4C"/>
    <w:rsid w:val="00904E56"/>
    <w:rsid w:val="00905425"/>
    <w:rsid w:val="00905E36"/>
    <w:rsid w:val="00907B47"/>
    <w:rsid w:val="00912A38"/>
    <w:rsid w:val="00913716"/>
    <w:rsid w:val="00913B35"/>
    <w:rsid w:val="009147B3"/>
    <w:rsid w:val="00916708"/>
    <w:rsid w:val="00916BD5"/>
    <w:rsid w:val="0091769E"/>
    <w:rsid w:val="00917999"/>
    <w:rsid w:val="00917BF8"/>
    <w:rsid w:val="0092089F"/>
    <w:rsid w:val="00922E55"/>
    <w:rsid w:val="0092352E"/>
    <w:rsid w:val="009262D5"/>
    <w:rsid w:val="00927162"/>
    <w:rsid w:val="0092748E"/>
    <w:rsid w:val="00931691"/>
    <w:rsid w:val="0093403F"/>
    <w:rsid w:val="009346FF"/>
    <w:rsid w:val="0094060D"/>
    <w:rsid w:val="00940B61"/>
    <w:rsid w:val="00940C53"/>
    <w:rsid w:val="00940FE3"/>
    <w:rsid w:val="009429E1"/>
    <w:rsid w:val="00942D80"/>
    <w:rsid w:val="00943BD1"/>
    <w:rsid w:val="0095183F"/>
    <w:rsid w:val="009520FD"/>
    <w:rsid w:val="0095291D"/>
    <w:rsid w:val="00954CAE"/>
    <w:rsid w:val="009551E8"/>
    <w:rsid w:val="009565CF"/>
    <w:rsid w:val="00956621"/>
    <w:rsid w:val="00956A70"/>
    <w:rsid w:val="00957870"/>
    <w:rsid w:val="00963416"/>
    <w:rsid w:val="00963C4C"/>
    <w:rsid w:val="0096734B"/>
    <w:rsid w:val="0096755F"/>
    <w:rsid w:val="00970BE6"/>
    <w:rsid w:val="00971C3A"/>
    <w:rsid w:val="00972E5F"/>
    <w:rsid w:val="00974030"/>
    <w:rsid w:val="00975546"/>
    <w:rsid w:val="009758F3"/>
    <w:rsid w:val="00977C42"/>
    <w:rsid w:val="00980038"/>
    <w:rsid w:val="00980916"/>
    <w:rsid w:val="00983599"/>
    <w:rsid w:val="00984F39"/>
    <w:rsid w:val="00985901"/>
    <w:rsid w:val="00985D9D"/>
    <w:rsid w:val="0098633C"/>
    <w:rsid w:val="00986544"/>
    <w:rsid w:val="0098678D"/>
    <w:rsid w:val="00993072"/>
    <w:rsid w:val="00994E00"/>
    <w:rsid w:val="00995A0B"/>
    <w:rsid w:val="009963C1"/>
    <w:rsid w:val="009968A3"/>
    <w:rsid w:val="00996E1D"/>
    <w:rsid w:val="00997AFC"/>
    <w:rsid w:val="00997B9C"/>
    <w:rsid w:val="009A09E7"/>
    <w:rsid w:val="009A17AB"/>
    <w:rsid w:val="009A30FA"/>
    <w:rsid w:val="009A4B2D"/>
    <w:rsid w:val="009A4B9C"/>
    <w:rsid w:val="009A7604"/>
    <w:rsid w:val="009A7C3E"/>
    <w:rsid w:val="009B2801"/>
    <w:rsid w:val="009B4F92"/>
    <w:rsid w:val="009C00B3"/>
    <w:rsid w:val="009C1824"/>
    <w:rsid w:val="009C22A8"/>
    <w:rsid w:val="009C2DA9"/>
    <w:rsid w:val="009C553D"/>
    <w:rsid w:val="009C56F5"/>
    <w:rsid w:val="009C635F"/>
    <w:rsid w:val="009D0422"/>
    <w:rsid w:val="009D0D8E"/>
    <w:rsid w:val="009D1E21"/>
    <w:rsid w:val="009D2AA8"/>
    <w:rsid w:val="009D2AAF"/>
    <w:rsid w:val="009D2BC9"/>
    <w:rsid w:val="009D4D2B"/>
    <w:rsid w:val="009E17E9"/>
    <w:rsid w:val="009E4769"/>
    <w:rsid w:val="009E579C"/>
    <w:rsid w:val="009E65C8"/>
    <w:rsid w:val="009E7674"/>
    <w:rsid w:val="009F0BC3"/>
    <w:rsid w:val="009F17BA"/>
    <w:rsid w:val="009F3788"/>
    <w:rsid w:val="009F5C6C"/>
    <w:rsid w:val="009F7765"/>
    <w:rsid w:val="009F7B88"/>
    <w:rsid w:val="009F7C3E"/>
    <w:rsid w:val="009F7FC5"/>
    <w:rsid w:val="00A01283"/>
    <w:rsid w:val="00A018E6"/>
    <w:rsid w:val="00A01C46"/>
    <w:rsid w:val="00A02133"/>
    <w:rsid w:val="00A0339F"/>
    <w:rsid w:val="00A040C2"/>
    <w:rsid w:val="00A05DB4"/>
    <w:rsid w:val="00A1019D"/>
    <w:rsid w:val="00A1098C"/>
    <w:rsid w:val="00A1168F"/>
    <w:rsid w:val="00A12315"/>
    <w:rsid w:val="00A13B23"/>
    <w:rsid w:val="00A14E56"/>
    <w:rsid w:val="00A16E76"/>
    <w:rsid w:val="00A21281"/>
    <w:rsid w:val="00A22A2E"/>
    <w:rsid w:val="00A231EF"/>
    <w:rsid w:val="00A23B0E"/>
    <w:rsid w:val="00A23C49"/>
    <w:rsid w:val="00A24DF3"/>
    <w:rsid w:val="00A25327"/>
    <w:rsid w:val="00A25584"/>
    <w:rsid w:val="00A25DCF"/>
    <w:rsid w:val="00A25EF0"/>
    <w:rsid w:val="00A26337"/>
    <w:rsid w:val="00A304FA"/>
    <w:rsid w:val="00A30C3F"/>
    <w:rsid w:val="00A31490"/>
    <w:rsid w:val="00A3396F"/>
    <w:rsid w:val="00A36D98"/>
    <w:rsid w:val="00A36DEC"/>
    <w:rsid w:val="00A36EB8"/>
    <w:rsid w:val="00A37190"/>
    <w:rsid w:val="00A3754E"/>
    <w:rsid w:val="00A376DA"/>
    <w:rsid w:val="00A42755"/>
    <w:rsid w:val="00A4288C"/>
    <w:rsid w:val="00A4376B"/>
    <w:rsid w:val="00A4395D"/>
    <w:rsid w:val="00A43E7E"/>
    <w:rsid w:val="00A45F3A"/>
    <w:rsid w:val="00A46722"/>
    <w:rsid w:val="00A51118"/>
    <w:rsid w:val="00A519A2"/>
    <w:rsid w:val="00A531E0"/>
    <w:rsid w:val="00A5414B"/>
    <w:rsid w:val="00A54D0E"/>
    <w:rsid w:val="00A554B2"/>
    <w:rsid w:val="00A55ED7"/>
    <w:rsid w:val="00A55F71"/>
    <w:rsid w:val="00A60F57"/>
    <w:rsid w:val="00A63601"/>
    <w:rsid w:val="00A63AD0"/>
    <w:rsid w:val="00A643AF"/>
    <w:rsid w:val="00A66348"/>
    <w:rsid w:val="00A67268"/>
    <w:rsid w:val="00A67644"/>
    <w:rsid w:val="00A6794E"/>
    <w:rsid w:val="00A67BA9"/>
    <w:rsid w:val="00A701ED"/>
    <w:rsid w:val="00A71300"/>
    <w:rsid w:val="00A716DD"/>
    <w:rsid w:val="00A717E8"/>
    <w:rsid w:val="00A72FCA"/>
    <w:rsid w:val="00A73DA4"/>
    <w:rsid w:val="00A74577"/>
    <w:rsid w:val="00A747DA"/>
    <w:rsid w:val="00A748C7"/>
    <w:rsid w:val="00A755B7"/>
    <w:rsid w:val="00A75B1D"/>
    <w:rsid w:val="00A75DA8"/>
    <w:rsid w:val="00A763B0"/>
    <w:rsid w:val="00A77179"/>
    <w:rsid w:val="00A80F0C"/>
    <w:rsid w:val="00A8100F"/>
    <w:rsid w:val="00A8129C"/>
    <w:rsid w:val="00A82ED3"/>
    <w:rsid w:val="00A8309A"/>
    <w:rsid w:val="00A859C7"/>
    <w:rsid w:val="00A867A7"/>
    <w:rsid w:val="00A8787C"/>
    <w:rsid w:val="00A92EB1"/>
    <w:rsid w:val="00A93460"/>
    <w:rsid w:val="00A93B4F"/>
    <w:rsid w:val="00A94126"/>
    <w:rsid w:val="00A94AAE"/>
    <w:rsid w:val="00A9535D"/>
    <w:rsid w:val="00AA06EF"/>
    <w:rsid w:val="00AA1C1A"/>
    <w:rsid w:val="00AA25A4"/>
    <w:rsid w:val="00AA25B6"/>
    <w:rsid w:val="00AA2AD9"/>
    <w:rsid w:val="00AA6B28"/>
    <w:rsid w:val="00AB0048"/>
    <w:rsid w:val="00AB0D7B"/>
    <w:rsid w:val="00AB190E"/>
    <w:rsid w:val="00AB2B91"/>
    <w:rsid w:val="00AB3059"/>
    <w:rsid w:val="00AB45FB"/>
    <w:rsid w:val="00AB498B"/>
    <w:rsid w:val="00AB54C2"/>
    <w:rsid w:val="00AB6246"/>
    <w:rsid w:val="00AB7BF3"/>
    <w:rsid w:val="00AC01AE"/>
    <w:rsid w:val="00AC18BD"/>
    <w:rsid w:val="00AC411C"/>
    <w:rsid w:val="00AC5998"/>
    <w:rsid w:val="00AC626D"/>
    <w:rsid w:val="00AC66DA"/>
    <w:rsid w:val="00AC67A1"/>
    <w:rsid w:val="00AC70ED"/>
    <w:rsid w:val="00AC7177"/>
    <w:rsid w:val="00AC7679"/>
    <w:rsid w:val="00AD0BF1"/>
    <w:rsid w:val="00AD2E57"/>
    <w:rsid w:val="00AD3CE7"/>
    <w:rsid w:val="00AD4B6A"/>
    <w:rsid w:val="00AD5832"/>
    <w:rsid w:val="00AD5990"/>
    <w:rsid w:val="00AE08D1"/>
    <w:rsid w:val="00AE0F4B"/>
    <w:rsid w:val="00AE3D47"/>
    <w:rsid w:val="00AE45C6"/>
    <w:rsid w:val="00AE4964"/>
    <w:rsid w:val="00AE4CFE"/>
    <w:rsid w:val="00AE6A4F"/>
    <w:rsid w:val="00AE6C6B"/>
    <w:rsid w:val="00AE7D08"/>
    <w:rsid w:val="00AF48A5"/>
    <w:rsid w:val="00AF6FE8"/>
    <w:rsid w:val="00B0031E"/>
    <w:rsid w:val="00B00453"/>
    <w:rsid w:val="00B00489"/>
    <w:rsid w:val="00B011DC"/>
    <w:rsid w:val="00B023D5"/>
    <w:rsid w:val="00B02529"/>
    <w:rsid w:val="00B033DB"/>
    <w:rsid w:val="00B047F5"/>
    <w:rsid w:val="00B04D33"/>
    <w:rsid w:val="00B05CFA"/>
    <w:rsid w:val="00B06D42"/>
    <w:rsid w:val="00B072A5"/>
    <w:rsid w:val="00B07CB8"/>
    <w:rsid w:val="00B11EA9"/>
    <w:rsid w:val="00B122EF"/>
    <w:rsid w:val="00B123B3"/>
    <w:rsid w:val="00B13D0F"/>
    <w:rsid w:val="00B14227"/>
    <w:rsid w:val="00B14311"/>
    <w:rsid w:val="00B15A63"/>
    <w:rsid w:val="00B15E33"/>
    <w:rsid w:val="00B16565"/>
    <w:rsid w:val="00B16DD3"/>
    <w:rsid w:val="00B17799"/>
    <w:rsid w:val="00B202C3"/>
    <w:rsid w:val="00B2085E"/>
    <w:rsid w:val="00B21BCD"/>
    <w:rsid w:val="00B247D4"/>
    <w:rsid w:val="00B24E19"/>
    <w:rsid w:val="00B26BE9"/>
    <w:rsid w:val="00B26FA3"/>
    <w:rsid w:val="00B30644"/>
    <w:rsid w:val="00B30689"/>
    <w:rsid w:val="00B3071D"/>
    <w:rsid w:val="00B317C5"/>
    <w:rsid w:val="00B32328"/>
    <w:rsid w:val="00B34E93"/>
    <w:rsid w:val="00B357FD"/>
    <w:rsid w:val="00B36DCA"/>
    <w:rsid w:val="00B40C21"/>
    <w:rsid w:val="00B41036"/>
    <w:rsid w:val="00B4190A"/>
    <w:rsid w:val="00B437AB"/>
    <w:rsid w:val="00B43D9D"/>
    <w:rsid w:val="00B43EA8"/>
    <w:rsid w:val="00B440FD"/>
    <w:rsid w:val="00B44BA8"/>
    <w:rsid w:val="00B4624C"/>
    <w:rsid w:val="00B478FE"/>
    <w:rsid w:val="00B47F00"/>
    <w:rsid w:val="00B509BE"/>
    <w:rsid w:val="00B5195E"/>
    <w:rsid w:val="00B52709"/>
    <w:rsid w:val="00B533C4"/>
    <w:rsid w:val="00B54BA9"/>
    <w:rsid w:val="00B552A6"/>
    <w:rsid w:val="00B5576A"/>
    <w:rsid w:val="00B55D36"/>
    <w:rsid w:val="00B620F5"/>
    <w:rsid w:val="00B62341"/>
    <w:rsid w:val="00B62F4B"/>
    <w:rsid w:val="00B64C11"/>
    <w:rsid w:val="00B64CE8"/>
    <w:rsid w:val="00B64EF9"/>
    <w:rsid w:val="00B664D2"/>
    <w:rsid w:val="00B66B8E"/>
    <w:rsid w:val="00B6731F"/>
    <w:rsid w:val="00B676CC"/>
    <w:rsid w:val="00B677AB"/>
    <w:rsid w:val="00B67935"/>
    <w:rsid w:val="00B67AF7"/>
    <w:rsid w:val="00B70072"/>
    <w:rsid w:val="00B72130"/>
    <w:rsid w:val="00B72868"/>
    <w:rsid w:val="00B74916"/>
    <w:rsid w:val="00B755A0"/>
    <w:rsid w:val="00B7667E"/>
    <w:rsid w:val="00B772B6"/>
    <w:rsid w:val="00B77DFA"/>
    <w:rsid w:val="00B81D1E"/>
    <w:rsid w:val="00B82C68"/>
    <w:rsid w:val="00B8402B"/>
    <w:rsid w:val="00B87F44"/>
    <w:rsid w:val="00B902FF"/>
    <w:rsid w:val="00B90B52"/>
    <w:rsid w:val="00B931CB"/>
    <w:rsid w:val="00B942B6"/>
    <w:rsid w:val="00B9636E"/>
    <w:rsid w:val="00B963C6"/>
    <w:rsid w:val="00B964F2"/>
    <w:rsid w:val="00B97412"/>
    <w:rsid w:val="00BA1780"/>
    <w:rsid w:val="00BA2498"/>
    <w:rsid w:val="00BA2ED5"/>
    <w:rsid w:val="00BA454B"/>
    <w:rsid w:val="00BA5468"/>
    <w:rsid w:val="00BA5744"/>
    <w:rsid w:val="00BA594C"/>
    <w:rsid w:val="00BA620B"/>
    <w:rsid w:val="00BA67CE"/>
    <w:rsid w:val="00BA72A8"/>
    <w:rsid w:val="00BA7368"/>
    <w:rsid w:val="00BA7461"/>
    <w:rsid w:val="00BA7D97"/>
    <w:rsid w:val="00BB08B2"/>
    <w:rsid w:val="00BB0B08"/>
    <w:rsid w:val="00BB1123"/>
    <w:rsid w:val="00BB1D1D"/>
    <w:rsid w:val="00BB1D42"/>
    <w:rsid w:val="00BB1DEC"/>
    <w:rsid w:val="00BB51DC"/>
    <w:rsid w:val="00BB56D4"/>
    <w:rsid w:val="00BB74FF"/>
    <w:rsid w:val="00BC017D"/>
    <w:rsid w:val="00BC06A8"/>
    <w:rsid w:val="00BC0987"/>
    <w:rsid w:val="00BC1677"/>
    <w:rsid w:val="00BC1C36"/>
    <w:rsid w:val="00BC1E92"/>
    <w:rsid w:val="00BC4D28"/>
    <w:rsid w:val="00BC5662"/>
    <w:rsid w:val="00BD166F"/>
    <w:rsid w:val="00BD491A"/>
    <w:rsid w:val="00BD5831"/>
    <w:rsid w:val="00BD7D7B"/>
    <w:rsid w:val="00BE0BEF"/>
    <w:rsid w:val="00BE210F"/>
    <w:rsid w:val="00BE2865"/>
    <w:rsid w:val="00BF0265"/>
    <w:rsid w:val="00BF0BA5"/>
    <w:rsid w:val="00BF257E"/>
    <w:rsid w:val="00BF2953"/>
    <w:rsid w:val="00BF2D53"/>
    <w:rsid w:val="00BF3CE6"/>
    <w:rsid w:val="00BF4B32"/>
    <w:rsid w:val="00C01000"/>
    <w:rsid w:val="00C015A5"/>
    <w:rsid w:val="00C045A0"/>
    <w:rsid w:val="00C054CD"/>
    <w:rsid w:val="00C07092"/>
    <w:rsid w:val="00C0768E"/>
    <w:rsid w:val="00C1156E"/>
    <w:rsid w:val="00C12A96"/>
    <w:rsid w:val="00C1385E"/>
    <w:rsid w:val="00C144F5"/>
    <w:rsid w:val="00C15706"/>
    <w:rsid w:val="00C21AB2"/>
    <w:rsid w:val="00C2274B"/>
    <w:rsid w:val="00C248CC"/>
    <w:rsid w:val="00C25D39"/>
    <w:rsid w:val="00C278E5"/>
    <w:rsid w:val="00C305DA"/>
    <w:rsid w:val="00C308FC"/>
    <w:rsid w:val="00C30B0C"/>
    <w:rsid w:val="00C312D0"/>
    <w:rsid w:val="00C327A5"/>
    <w:rsid w:val="00C33EF9"/>
    <w:rsid w:val="00C34319"/>
    <w:rsid w:val="00C345F6"/>
    <w:rsid w:val="00C34C23"/>
    <w:rsid w:val="00C34CBF"/>
    <w:rsid w:val="00C35357"/>
    <w:rsid w:val="00C36670"/>
    <w:rsid w:val="00C406A9"/>
    <w:rsid w:val="00C40CBF"/>
    <w:rsid w:val="00C40D13"/>
    <w:rsid w:val="00C42F1D"/>
    <w:rsid w:val="00C43FC8"/>
    <w:rsid w:val="00C46338"/>
    <w:rsid w:val="00C46708"/>
    <w:rsid w:val="00C50767"/>
    <w:rsid w:val="00C51054"/>
    <w:rsid w:val="00C51AB9"/>
    <w:rsid w:val="00C52889"/>
    <w:rsid w:val="00C52D6B"/>
    <w:rsid w:val="00C53999"/>
    <w:rsid w:val="00C53DAB"/>
    <w:rsid w:val="00C54653"/>
    <w:rsid w:val="00C568DD"/>
    <w:rsid w:val="00C576F9"/>
    <w:rsid w:val="00C61834"/>
    <w:rsid w:val="00C65627"/>
    <w:rsid w:val="00C65A0F"/>
    <w:rsid w:val="00C662C1"/>
    <w:rsid w:val="00C67CA2"/>
    <w:rsid w:val="00C70F24"/>
    <w:rsid w:val="00C7546E"/>
    <w:rsid w:val="00C76997"/>
    <w:rsid w:val="00C8203C"/>
    <w:rsid w:val="00C8302F"/>
    <w:rsid w:val="00C838FC"/>
    <w:rsid w:val="00C85FFF"/>
    <w:rsid w:val="00C862D7"/>
    <w:rsid w:val="00C873CC"/>
    <w:rsid w:val="00C91BBB"/>
    <w:rsid w:val="00C93B2A"/>
    <w:rsid w:val="00C95350"/>
    <w:rsid w:val="00C959B4"/>
    <w:rsid w:val="00C961BD"/>
    <w:rsid w:val="00C96B2D"/>
    <w:rsid w:val="00C96DA5"/>
    <w:rsid w:val="00C97DFA"/>
    <w:rsid w:val="00CA0962"/>
    <w:rsid w:val="00CA5F8D"/>
    <w:rsid w:val="00CA67C7"/>
    <w:rsid w:val="00CA7384"/>
    <w:rsid w:val="00CB1751"/>
    <w:rsid w:val="00CB3A58"/>
    <w:rsid w:val="00CB7701"/>
    <w:rsid w:val="00CC1C22"/>
    <w:rsid w:val="00CC39CD"/>
    <w:rsid w:val="00CC3BCB"/>
    <w:rsid w:val="00CC7DFC"/>
    <w:rsid w:val="00CD09F7"/>
    <w:rsid w:val="00CD0DCC"/>
    <w:rsid w:val="00CD1C29"/>
    <w:rsid w:val="00CD2CB0"/>
    <w:rsid w:val="00CD354D"/>
    <w:rsid w:val="00CD3E8C"/>
    <w:rsid w:val="00CD43FC"/>
    <w:rsid w:val="00CD461C"/>
    <w:rsid w:val="00CD4C65"/>
    <w:rsid w:val="00CD57FB"/>
    <w:rsid w:val="00CD5AB8"/>
    <w:rsid w:val="00CD5D7B"/>
    <w:rsid w:val="00CE1D1C"/>
    <w:rsid w:val="00CE2B49"/>
    <w:rsid w:val="00CE32AE"/>
    <w:rsid w:val="00CE3C23"/>
    <w:rsid w:val="00CE3CD5"/>
    <w:rsid w:val="00CE3DD8"/>
    <w:rsid w:val="00CF03D1"/>
    <w:rsid w:val="00CF0562"/>
    <w:rsid w:val="00CF0884"/>
    <w:rsid w:val="00CF088B"/>
    <w:rsid w:val="00CF191F"/>
    <w:rsid w:val="00CF3971"/>
    <w:rsid w:val="00CF4D81"/>
    <w:rsid w:val="00CF5E40"/>
    <w:rsid w:val="00CF667A"/>
    <w:rsid w:val="00D0039D"/>
    <w:rsid w:val="00D01DE0"/>
    <w:rsid w:val="00D067E0"/>
    <w:rsid w:val="00D0757E"/>
    <w:rsid w:val="00D108C2"/>
    <w:rsid w:val="00D11813"/>
    <w:rsid w:val="00D1298B"/>
    <w:rsid w:val="00D12F43"/>
    <w:rsid w:val="00D13B9F"/>
    <w:rsid w:val="00D13C1E"/>
    <w:rsid w:val="00D146F4"/>
    <w:rsid w:val="00D1751E"/>
    <w:rsid w:val="00D2051D"/>
    <w:rsid w:val="00D2069B"/>
    <w:rsid w:val="00D21EEA"/>
    <w:rsid w:val="00D22184"/>
    <w:rsid w:val="00D22801"/>
    <w:rsid w:val="00D2288E"/>
    <w:rsid w:val="00D23191"/>
    <w:rsid w:val="00D2373A"/>
    <w:rsid w:val="00D254F9"/>
    <w:rsid w:val="00D32E88"/>
    <w:rsid w:val="00D33D2C"/>
    <w:rsid w:val="00D33D3F"/>
    <w:rsid w:val="00D33D52"/>
    <w:rsid w:val="00D342F8"/>
    <w:rsid w:val="00D35921"/>
    <w:rsid w:val="00D37757"/>
    <w:rsid w:val="00D42D5F"/>
    <w:rsid w:val="00D42F40"/>
    <w:rsid w:val="00D43C0E"/>
    <w:rsid w:val="00D4466B"/>
    <w:rsid w:val="00D44CED"/>
    <w:rsid w:val="00D46031"/>
    <w:rsid w:val="00D460F2"/>
    <w:rsid w:val="00D47861"/>
    <w:rsid w:val="00D50671"/>
    <w:rsid w:val="00D5296C"/>
    <w:rsid w:val="00D54BF8"/>
    <w:rsid w:val="00D55820"/>
    <w:rsid w:val="00D60BD1"/>
    <w:rsid w:val="00D6104D"/>
    <w:rsid w:val="00D648BB"/>
    <w:rsid w:val="00D65C77"/>
    <w:rsid w:val="00D66C88"/>
    <w:rsid w:val="00D73163"/>
    <w:rsid w:val="00D74733"/>
    <w:rsid w:val="00D7492E"/>
    <w:rsid w:val="00D76EA3"/>
    <w:rsid w:val="00D7703E"/>
    <w:rsid w:val="00D80C4E"/>
    <w:rsid w:val="00D82363"/>
    <w:rsid w:val="00D82429"/>
    <w:rsid w:val="00D842A2"/>
    <w:rsid w:val="00D8463B"/>
    <w:rsid w:val="00D864EE"/>
    <w:rsid w:val="00D87B7C"/>
    <w:rsid w:val="00D90022"/>
    <w:rsid w:val="00D90292"/>
    <w:rsid w:val="00D906C9"/>
    <w:rsid w:val="00D92150"/>
    <w:rsid w:val="00D92BE6"/>
    <w:rsid w:val="00D92E73"/>
    <w:rsid w:val="00D93FEB"/>
    <w:rsid w:val="00D95583"/>
    <w:rsid w:val="00D96884"/>
    <w:rsid w:val="00D97226"/>
    <w:rsid w:val="00D97B22"/>
    <w:rsid w:val="00D97D1F"/>
    <w:rsid w:val="00DA0A7F"/>
    <w:rsid w:val="00DA136D"/>
    <w:rsid w:val="00DA15BC"/>
    <w:rsid w:val="00DA15E0"/>
    <w:rsid w:val="00DA2877"/>
    <w:rsid w:val="00DA2E79"/>
    <w:rsid w:val="00DA3A99"/>
    <w:rsid w:val="00DA5A63"/>
    <w:rsid w:val="00DA60B1"/>
    <w:rsid w:val="00DA73AB"/>
    <w:rsid w:val="00DB0619"/>
    <w:rsid w:val="00DB0FF4"/>
    <w:rsid w:val="00DB2859"/>
    <w:rsid w:val="00DB3157"/>
    <w:rsid w:val="00DB36E5"/>
    <w:rsid w:val="00DB6C55"/>
    <w:rsid w:val="00DB78CD"/>
    <w:rsid w:val="00DB79F2"/>
    <w:rsid w:val="00DB7F28"/>
    <w:rsid w:val="00DC0ADE"/>
    <w:rsid w:val="00DC1326"/>
    <w:rsid w:val="00DC1800"/>
    <w:rsid w:val="00DC1F9D"/>
    <w:rsid w:val="00DC22B3"/>
    <w:rsid w:val="00DC47F9"/>
    <w:rsid w:val="00DC5255"/>
    <w:rsid w:val="00DC5F9B"/>
    <w:rsid w:val="00DC624E"/>
    <w:rsid w:val="00DC787B"/>
    <w:rsid w:val="00DD20F9"/>
    <w:rsid w:val="00DD304F"/>
    <w:rsid w:val="00DD3F4A"/>
    <w:rsid w:val="00DD79ED"/>
    <w:rsid w:val="00DE19F8"/>
    <w:rsid w:val="00DE1F32"/>
    <w:rsid w:val="00DE20EA"/>
    <w:rsid w:val="00DE25BB"/>
    <w:rsid w:val="00DE2F8C"/>
    <w:rsid w:val="00DE43BE"/>
    <w:rsid w:val="00DE7DCD"/>
    <w:rsid w:val="00DF180B"/>
    <w:rsid w:val="00DF2230"/>
    <w:rsid w:val="00DF4164"/>
    <w:rsid w:val="00DF6B4C"/>
    <w:rsid w:val="00DF6FAD"/>
    <w:rsid w:val="00E02766"/>
    <w:rsid w:val="00E05640"/>
    <w:rsid w:val="00E0600F"/>
    <w:rsid w:val="00E06AE8"/>
    <w:rsid w:val="00E14018"/>
    <w:rsid w:val="00E1458E"/>
    <w:rsid w:val="00E16DFE"/>
    <w:rsid w:val="00E17DF3"/>
    <w:rsid w:val="00E20670"/>
    <w:rsid w:val="00E21F2B"/>
    <w:rsid w:val="00E22306"/>
    <w:rsid w:val="00E22A58"/>
    <w:rsid w:val="00E23D2E"/>
    <w:rsid w:val="00E24161"/>
    <w:rsid w:val="00E24C10"/>
    <w:rsid w:val="00E26A5B"/>
    <w:rsid w:val="00E27425"/>
    <w:rsid w:val="00E32841"/>
    <w:rsid w:val="00E34A00"/>
    <w:rsid w:val="00E36DB7"/>
    <w:rsid w:val="00E42CA0"/>
    <w:rsid w:val="00E4314D"/>
    <w:rsid w:val="00E4399D"/>
    <w:rsid w:val="00E46BAA"/>
    <w:rsid w:val="00E504F6"/>
    <w:rsid w:val="00E5080E"/>
    <w:rsid w:val="00E524AE"/>
    <w:rsid w:val="00E535AE"/>
    <w:rsid w:val="00E54491"/>
    <w:rsid w:val="00E55393"/>
    <w:rsid w:val="00E55F7F"/>
    <w:rsid w:val="00E56AE7"/>
    <w:rsid w:val="00E56BC0"/>
    <w:rsid w:val="00E5717C"/>
    <w:rsid w:val="00E5762C"/>
    <w:rsid w:val="00E57C7E"/>
    <w:rsid w:val="00E6111C"/>
    <w:rsid w:val="00E65166"/>
    <w:rsid w:val="00E654A0"/>
    <w:rsid w:val="00E66BFB"/>
    <w:rsid w:val="00E67FC4"/>
    <w:rsid w:val="00E70A23"/>
    <w:rsid w:val="00E71BB4"/>
    <w:rsid w:val="00E75008"/>
    <w:rsid w:val="00E7584C"/>
    <w:rsid w:val="00E7621F"/>
    <w:rsid w:val="00E76D99"/>
    <w:rsid w:val="00E77549"/>
    <w:rsid w:val="00E815F5"/>
    <w:rsid w:val="00E819AD"/>
    <w:rsid w:val="00E82C3B"/>
    <w:rsid w:val="00E82CE1"/>
    <w:rsid w:val="00E838E0"/>
    <w:rsid w:val="00E85616"/>
    <w:rsid w:val="00E86D69"/>
    <w:rsid w:val="00E87A47"/>
    <w:rsid w:val="00E91010"/>
    <w:rsid w:val="00E9207C"/>
    <w:rsid w:val="00E9348C"/>
    <w:rsid w:val="00E934CB"/>
    <w:rsid w:val="00E942CB"/>
    <w:rsid w:val="00E957A3"/>
    <w:rsid w:val="00E96EBF"/>
    <w:rsid w:val="00E975A9"/>
    <w:rsid w:val="00E97DCA"/>
    <w:rsid w:val="00EA13C8"/>
    <w:rsid w:val="00EA1B5E"/>
    <w:rsid w:val="00EA4F49"/>
    <w:rsid w:val="00EA4FBC"/>
    <w:rsid w:val="00EA64B7"/>
    <w:rsid w:val="00EA7C10"/>
    <w:rsid w:val="00EB007E"/>
    <w:rsid w:val="00EB0C2A"/>
    <w:rsid w:val="00EB0C80"/>
    <w:rsid w:val="00EB44BF"/>
    <w:rsid w:val="00EB4D38"/>
    <w:rsid w:val="00EB7193"/>
    <w:rsid w:val="00EB7638"/>
    <w:rsid w:val="00EC0BBF"/>
    <w:rsid w:val="00EC0DD5"/>
    <w:rsid w:val="00EC3E6B"/>
    <w:rsid w:val="00EC3EC0"/>
    <w:rsid w:val="00EC5C2E"/>
    <w:rsid w:val="00EC6711"/>
    <w:rsid w:val="00EC7665"/>
    <w:rsid w:val="00ED132D"/>
    <w:rsid w:val="00ED1A3B"/>
    <w:rsid w:val="00ED1D80"/>
    <w:rsid w:val="00ED2012"/>
    <w:rsid w:val="00ED435E"/>
    <w:rsid w:val="00EE0105"/>
    <w:rsid w:val="00EE0CB5"/>
    <w:rsid w:val="00EE1730"/>
    <w:rsid w:val="00EE4205"/>
    <w:rsid w:val="00EE58DB"/>
    <w:rsid w:val="00EF2151"/>
    <w:rsid w:val="00EF3C0E"/>
    <w:rsid w:val="00EF3FE1"/>
    <w:rsid w:val="00EF4E29"/>
    <w:rsid w:val="00EF5408"/>
    <w:rsid w:val="00EF5765"/>
    <w:rsid w:val="00F02D6F"/>
    <w:rsid w:val="00F02F49"/>
    <w:rsid w:val="00F04D44"/>
    <w:rsid w:val="00F051FB"/>
    <w:rsid w:val="00F05B49"/>
    <w:rsid w:val="00F064B3"/>
    <w:rsid w:val="00F07649"/>
    <w:rsid w:val="00F1453B"/>
    <w:rsid w:val="00F14A50"/>
    <w:rsid w:val="00F15030"/>
    <w:rsid w:val="00F17B33"/>
    <w:rsid w:val="00F20799"/>
    <w:rsid w:val="00F2083E"/>
    <w:rsid w:val="00F21D34"/>
    <w:rsid w:val="00F2520B"/>
    <w:rsid w:val="00F25E55"/>
    <w:rsid w:val="00F26165"/>
    <w:rsid w:val="00F26514"/>
    <w:rsid w:val="00F26B05"/>
    <w:rsid w:val="00F30557"/>
    <w:rsid w:val="00F30DDD"/>
    <w:rsid w:val="00F32EE7"/>
    <w:rsid w:val="00F34554"/>
    <w:rsid w:val="00F34CCB"/>
    <w:rsid w:val="00F35167"/>
    <w:rsid w:val="00F35D52"/>
    <w:rsid w:val="00F407F0"/>
    <w:rsid w:val="00F40905"/>
    <w:rsid w:val="00F42D77"/>
    <w:rsid w:val="00F45C90"/>
    <w:rsid w:val="00F46B1C"/>
    <w:rsid w:val="00F46B42"/>
    <w:rsid w:val="00F51A57"/>
    <w:rsid w:val="00F53813"/>
    <w:rsid w:val="00F54AD5"/>
    <w:rsid w:val="00F54BCF"/>
    <w:rsid w:val="00F54EF6"/>
    <w:rsid w:val="00F60161"/>
    <w:rsid w:val="00F60957"/>
    <w:rsid w:val="00F62F83"/>
    <w:rsid w:val="00F62FC8"/>
    <w:rsid w:val="00F631F2"/>
    <w:rsid w:val="00F66918"/>
    <w:rsid w:val="00F70534"/>
    <w:rsid w:val="00F70C08"/>
    <w:rsid w:val="00F7132A"/>
    <w:rsid w:val="00F71B57"/>
    <w:rsid w:val="00F72A57"/>
    <w:rsid w:val="00F73F45"/>
    <w:rsid w:val="00F748BB"/>
    <w:rsid w:val="00F748E0"/>
    <w:rsid w:val="00F755CB"/>
    <w:rsid w:val="00F80C8B"/>
    <w:rsid w:val="00F8243B"/>
    <w:rsid w:val="00F839CE"/>
    <w:rsid w:val="00F83E14"/>
    <w:rsid w:val="00F84342"/>
    <w:rsid w:val="00F8533E"/>
    <w:rsid w:val="00F85F06"/>
    <w:rsid w:val="00F86A7A"/>
    <w:rsid w:val="00F86DCE"/>
    <w:rsid w:val="00F90658"/>
    <w:rsid w:val="00F908F9"/>
    <w:rsid w:val="00F90AB3"/>
    <w:rsid w:val="00F917CC"/>
    <w:rsid w:val="00F917E2"/>
    <w:rsid w:val="00F91B1D"/>
    <w:rsid w:val="00F92D90"/>
    <w:rsid w:val="00F94295"/>
    <w:rsid w:val="00F94A1B"/>
    <w:rsid w:val="00F95498"/>
    <w:rsid w:val="00F95F8F"/>
    <w:rsid w:val="00F96CF6"/>
    <w:rsid w:val="00F97ADD"/>
    <w:rsid w:val="00F97CEA"/>
    <w:rsid w:val="00FA0874"/>
    <w:rsid w:val="00FA12D7"/>
    <w:rsid w:val="00FA14A6"/>
    <w:rsid w:val="00FA1597"/>
    <w:rsid w:val="00FA36E1"/>
    <w:rsid w:val="00FA399C"/>
    <w:rsid w:val="00FA4DB7"/>
    <w:rsid w:val="00FA73CF"/>
    <w:rsid w:val="00FB0F0A"/>
    <w:rsid w:val="00FB27AA"/>
    <w:rsid w:val="00FB469C"/>
    <w:rsid w:val="00FB5476"/>
    <w:rsid w:val="00FB559A"/>
    <w:rsid w:val="00FB570D"/>
    <w:rsid w:val="00FB7AC6"/>
    <w:rsid w:val="00FC02EA"/>
    <w:rsid w:val="00FC071A"/>
    <w:rsid w:val="00FC0A07"/>
    <w:rsid w:val="00FC31D9"/>
    <w:rsid w:val="00FC3E8F"/>
    <w:rsid w:val="00FC457A"/>
    <w:rsid w:val="00FC48F9"/>
    <w:rsid w:val="00FC623A"/>
    <w:rsid w:val="00FC632B"/>
    <w:rsid w:val="00FC7750"/>
    <w:rsid w:val="00FD0DFF"/>
    <w:rsid w:val="00FD5558"/>
    <w:rsid w:val="00FD58EF"/>
    <w:rsid w:val="00FE2934"/>
    <w:rsid w:val="00FE5669"/>
    <w:rsid w:val="00FE5C14"/>
    <w:rsid w:val="00FF0137"/>
    <w:rsid w:val="00FF281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0538B8C5-EFB4-4F89-8E09-5FF13F55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Fuentedeprrafopredeter"/>
    <w:rsid w:val="00554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316958200">
      <w:bodyDiv w:val="1"/>
      <w:marLeft w:val="0"/>
      <w:marRight w:val="0"/>
      <w:marTop w:val="0"/>
      <w:marBottom w:val="0"/>
      <w:divBdr>
        <w:top w:val="none" w:sz="0" w:space="0" w:color="auto"/>
        <w:left w:val="none" w:sz="0" w:space="0" w:color="auto"/>
        <w:bottom w:val="none" w:sz="0" w:space="0" w:color="auto"/>
        <w:right w:val="none" w:sz="0" w:space="0" w:color="auto"/>
      </w:divBdr>
    </w:div>
    <w:div w:id="325476556">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644819723">
      <w:bodyDiv w:val="1"/>
      <w:marLeft w:val="0"/>
      <w:marRight w:val="0"/>
      <w:marTop w:val="0"/>
      <w:marBottom w:val="0"/>
      <w:divBdr>
        <w:top w:val="none" w:sz="0" w:space="0" w:color="auto"/>
        <w:left w:val="none" w:sz="0" w:space="0" w:color="auto"/>
        <w:bottom w:val="none" w:sz="0" w:space="0" w:color="auto"/>
        <w:right w:val="none" w:sz="0" w:space="0" w:color="auto"/>
      </w:divBdr>
    </w:div>
    <w:div w:id="696658273">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069838636">
      <w:bodyDiv w:val="1"/>
      <w:marLeft w:val="0"/>
      <w:marRight w:val="0"/>
      <w:marTop w:val="0"/>
      <w:marBottom w:val="0"/>
      <w:divBdr>
        <w:top w:val="none" w:sz="0" w:space="0" w:color="auto"/>
        <w:left w:val="none" w:sz="0" w:space="0" w:color="auto"/>
        <w:bottom w:val="none" w:sz="0" w:space="0" w:color="auto"/>
        <w:right w:val="none" w:sz="0" w:space="0" w:color="auto"/>
      </w:divBdr>
    </w:div>
    <w:div w:id="1108355027">
      <w:bodyDiv w:val="1"/>
      <w:marLeft w:val="0"/>
      <w:marRight w:val="0"/>
      <w:marTop w:val="0"/>
      <w:marBottom w:val="0"/>
      <w:divBdr>
        <w:top w:val="none" w:sz="0" w:space="0" w:color="auto"/>
        <w:left w:val="none" w:sz="0" w:space="0" w:color="auto"/>
        <w:bottom w:val="none" w:sz="0" w:space="0" w:color="auto"/>
        <w:right w:val="none" w:sz="0" w:space="0" w:color="auto"/>
      </w:divBdr>
    </w:div>
    <w:div w:id="1198930531">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60156584">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678389724">
      <w:bodyDiv w:val="1"/>
      <w:marLeft w:val="0"/>
      <w:marRight w:val="0"/>
      <w:marTop w:val="0"/>
      <w:marBottom w:val="0"/>
      <w:divBdr>
        <w:top w:val="none" w:sz="0" w:space="0" w:color="auto"/>
        <w:left w:val="none" w:sz="0" w:space="0" w:color="auto"/>
        <w:bottom w:val="none" w:sz="0" w:space="0" w:color="auto"/>
        <w:right w:val="none" w:sz="0" w:space="0" w:color="auto"/>
      </w:divBdr>
    </w:div>
    <w:div w:id="1885628865">
      <w:bodyDiv w:val="1"/>
      <w:marLeft w:val="0"/>
      <w:marRight w:val="0"/>
      <w:marTop w:val="0"/>
      <w:marBottom w:val="0"/>
      <w:divBdr>
        <w:top w:val="none" w:sz="0" w:space="0" w:color="auto"/>
        <w:left w:val="none" w:sz="0" w:space="0" w:color="auto"/>
        <w:bottom w:val="none" w:sz="0" w:space="0" w:color="auto"/>
        <w:right w:val="none" w:sz="0" w:space="0" w:color="auto"/>
      </w:divBdr>
    </w:div>
    <w:div w:id="1932083674">
      <w:bodyDiv w:val="1"/>
      <w:marLeft w:val="0"/>
      <w:marRight w:val="0"/>
      <w:marTop w:val="0"/>
      <w:marBottom w:val="0"/>
      <w:divBdr>
        <w:top w:val="none" w:sz="0" w:space="0" w:color="auto"/>
        <w:left w:val="none" w:sz="0" w:space="0" w:color="auto"/>
        <w:bottom w:val="none" w:sz="0" w:space="0" w:color="auto"/>
        <w:right w:val="none" w:sz="0" w:space="0" w:color="auto"/>
      </w:divBdr>
    </w:div>
    <w:div w:id="1997107747">
      <w:bodyDiv w:val="1"/>
      <w:marLeft w:val="0"/>
      <w:marRight w:val="0"/>
      <w:marTop w:val="0"/>
      <w:marBottom w:val="0"/>
      <w:divBdr>
        <w:top w:val="none" w:sz="0" w:space="0" w:color="auto"/>
        <w:left w:val="none" w:sz="0" w:space="0" w:color="auto"/>
        <w:bottom w:val="none" w:sz="0" w:space="0" w:color="auto"/>
        <w:right w:val="none" w:sz="0" w:space="0" w:color="auto"/>
      </w:divBdr>
    </w:div>
    <w:div w:id="20461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2B7D0-2A4C-43C1-B3ED-47E9C6DD8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11</Pages>
  <Words>3294</Words>
  <Characters>18118</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Alonso Gaviria Ocampo</cp:lastModifiedBy>
  <cp:revision>10</cp:revision>
  <cp:lastPrinted>2016-05-24T14:07:00Z</cp:lastPrinted>
  <dcterms:created xsi:type="dcterms:W3CDTF">2016-05-23T11:56:00Z</dcterms:created>
  <dcterms:modified xsi:type="dcterms:W3CDTF">2016-05-24T14:13:00Z</dcterms:modified>
</cp:coreProperties>
</file>